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DD" w:rsidRPr="00D918F2" w:rsidRDefault="001547DD" w:rsidP="00F70868">
      <w:pPr>
        <w:tabs>
          <w:tab w:val="left" w:pos="0"/>
        </w:tabs>
        <w:rPr>
          <w:rFonts w:ascii="Times New Roman" w:hAnsi="Times New Roman"/>
          <w:sz w:val="22"/>
          <w:szCs w:val="22"/>
          <w:lang w:val="en-US"/>
        </w:rPr>
      </w:pPr>
    </w:p>
    <w:p w:rsidR="00285BC0" w:rsidRPr="00F70868" w:rsidRDefault="00285BC0" w:rsidP="00F70868">
      <w:pPr>
        <w:tabs>
          <w:tab w:val="left" w:pos="0"/>
          <w:tab w:val="left" w:pos="567"/>
        </w:tabs>
        <w:rPr>
          <w:rFonts w:ascii="Times New Roman" w:hAnsi="Times New Roman"/>
          <w:b/>
          <w:noProof/>
          <w:snapToGrid w:val="0"/>
          <w:sz w:val="22"/>
          <w:szCs w:val="22"/>
          <w:lang w:val="el-GR"/>
        </w:rPr>
      </w:pPr>
    </w:p>
    <w:p w:rsidR="00285BC0" w:rsidRPr="00F70868" w:rsidRDefault="00285BC0" w:rsidP="00F70868">
      <w:pPr>
        <w:tabs>
          <w:tab w:val="left" w:pos="0"/>
          <w:tab w:val="left" w:pos="567"/>
        </w:tabs>
        <w:rPr>
          <w:rFonts w:ascii="Times New Roman" w:hAnsi="Times New Roman"/>
          <w:b/>
          <w:noProof/>
          <w:snapToGrid w:val="0"/>
          <w:sz w:val="22"/>
          <w:szCs w:val="22"/>
          <w:lang w:val="el-GR"/>
        </w:rPr>
      </w:pPr>
    </w:p>
    <w:p w:rsidR="00285BC0" w:rsidRPr="00F70868" w:rsidRDefault="00285BC0" w:rsidP="00F70868">
      <w:pPr>
        <w:tabs>
          <w:tab w:val="left" w:pos="0"/>
          <w:tab w:val="left" w:pos="567"/>
        </w:tabs>
        <w:rPr>
          <w:rFonts w:ascii="Times New Roman" w:hAnsi="Times New Roman"/>
          <w:b/>
          <w:noProof/>
          <w:snapToGrid w:val="0"/>
          <w:sz w:val="22"/>
          <w:szCs w:val="22"/>
          <w:lang w:val="el-GR"/>
        </w:rPr>
      </w:pPr>
    </w:p>
    <w:p w:rsidR="00285BC0" w:rsidRPr="00F70868" w:rsidRDefault="00285BC0" w:rsidP="00F70868">
      <w:pPr>
        <w:tabs>
          <w:tab w:val="left" w:pos="0"/>
          <w:tab w:val="left" w:pos="567"/>
        </w:tabs>
        <w:rPr>
          <w:rFonts w:ascii="Times New Roman" w:hAnsi="Times New Roman"/>
          <w:b/>
          <w:noProof/>
          <w:snapToGrid w:val="0"/>
          <w:sz w:val="22"/>
          <w:szCs w:val="22"/>
          <w:lang w:val="el-GR"/>
        </w:rPr>
      </w:pPr>
    </w:p>
    <w:p w:rsidR="00285BC0" w:rsidRPr="00F70868" w:rsidRDefault="00285BC0" w:rsidP="00F70868">
      <w:pPr>
        <w:tabs>
          <w:tab w:val="left" w:pos="0"/>
          <w:tab w:val="left" w:pos="567"/>
        </w:tabs>
        <w:rPr>
          <w:rFonts w:ascii="Times New Roman" w:hAnsi="Times New Roman"/>
          <w:b/>
          <w:noProof/>
          <w:snapToGrid w:val="0"/>
          <w:sz w:val="22"/>
          <w:szCs w:val="22"/>
          <w:lang w:val="el-GR"/>
        </w:rPr>
      </w:pPr>
    </w:p>
    <w:p w:rsidR="00285BC0" w:rsidRPr="00F70868" w:rsidRDefault="00285BC0" w:rsidP="00F70868">
      <w:pPr>
        <w:tabs>
          <w:tab w:val="left" w:pos="0"/>
          <w:tab w:val="left" w:pos="567"/>
        </w:tabs>
        <w:rPr>
          <w:rFonts w:ascii="Times New Roman" w:hAnsi="Times New Roman"/>
          <w:b/>
          <w:noProof/>
          <w:snapToGrid w:val="0"/>
          <w:sz w:val="22"/>
          <w:szCs w:val="22"/>
          <w:lang w:val="el-GR"/>
        </w:rPr>
      </w:pPr>
    </w:p>
    <w:p w:rsidR="00285BC0" w:rsidRPr="00F70868" w:rsidRDefault="00285BC0" w:rsidP="00F70868">
      <w:pPr>
        <w:tabs>
          <w:tab w:val="left" w:pos="0"/>
          <w:tab w:val="left" w:pos="567"/>
        </w:tabs>
        <w:rPr>
          <w:rFonts w:ascii="Times New Roman" w:hAnsi="Times New Roman"/>
          <w:b/>
          <w:noProof/>
          <w:snapToGrid w:val="0"/>
          <w:sz w:val="22"/>
          <w:szCs w:val="22"/>
          <w:lang w:val="el-GR"/>
        </w:rPr>
      </w:pPr>
    </w:p>
    <w:p w:rsidR="00285BC0" w:rsidRPr="00F70868" w:rsidRDefault="00285BC0" w:rsidP="00F70868">
      <w:pPr>
        <w:tabs>
          <w:tab w:val="left" w:pos="0"/>
          <w:tab w:val="left" w:pos="567"/>
        </w:tabs>
        <w:rPr>
          <w:rFonts w:ascii="Times New Roman" w:hAnsi="Times New Roman"/>
          <w:b/>
          <w:noProof/>
          <w:snapToGrid w:val="0"/>
          <w:sz w:val="22"/>
          <w:szCs w:val="22"/>
          <w:lang w:val="el-GR"/>
        </w:rPr>
      </w:pPr>
    </w:p>
    <w:p w:rsidR="00285BC0" w:rsidRPr="00F70868" w:rsidRDefault="00285BC0" w:rsidP="00F70868">
      <w:pPr>
        <w:tabs>
          <w:tab w:val="left" w:pos="0"/>
          <w:tab w:val="left" w:pos="567"/>
        </w:tabs>
        <w:rPr>
          <w:rFonts w:ascii="Times New Roman" w:hAnsi="Times New Roman"/>
          <w:b/>
          <w:noProof/>
          <w:snapToGrid w:val="0"/>
          <w:sz w:val="22"/>
          <w:szCs w:val="22"/>
          <w:lang w:val="el-GR"/>
        </w:rPr>
      </w:pPr>
    </w:p>
    <w:p w:rsidR="00285BC0" w:rsidRPr="00F70868" w:rsidRDefault="00285BC0" w:rsidP="00F70868">
      <w:pPr>
        <w:tabs>
          <w:tab w:val="left" w:pos="0"/>
          <w:tab w:val="left" w:pos="567"/>
        </w:tabs>
        <w:rPr>
          <w:rFonts w:ascii="Times New Roman" w:hAnsi="Times New Roman"/>
          <w:b/>
          <w:noProof/>
          <w:snapToGrid w:val="0"/>
          <w:sz w:val="22"/>
          <w:szCs w:val="22"/>
          <w:lang w:val="el-GR"/>
        </w:rPr>
      </w:pPr>
    </w:p>
    <w:p w:rsidR="00285BC0" w:rsidRPr="00F70868" w:rsidRDefault="00285BC0" w:rsidP="00F70868">
      <w:pPr>
        <w:tabs>
          <w:tab w:val="left" w:pos="0"/>
          <w:tab w:val="left" w:pos="567"/>
        </w:tabs>
        <w:rPr>
          <w:rFonts w:ascii="Times New Roman" w:hAnsi="Times New Roman"/>
          <w:b/>
          <w:noProof/>
          <w:snapToGrid w:val="0"/>
          <w:sz w:val="22"/>
          <w:szCs w:val="22"/>
          <w:lang w:val="el-GR"/>
        </w:rPr>
      </w:pPr>
    </w:p>
    <w:p w:rsidR="00285BC0" w:rsidRPr="00F70868" w:rsidRDefault="00285BC0" w:rsidP="00F70868">
      <w:pPr>
        <w:tabs>
          <w:tab w:val="left" w:pos="0"/>
          <w:tab w:val="left" w:pos="567"/>
        </w:tabs>
        <w:rPr>
          <w:rFonts w:ascii="Times New Roman" w:hAnsi="Times New Roman"/>
          <w:b/>
          <w:noProof/>
          <w:snapToGrid w:val="0"/>
          <w:sz w:val="22"/>
          <w:szCs w:val="22"/>
          <w:lang w:val="el-GR"/>
        </w:rPr>
      </w:pPr>
    </w:p>
    <w:p w:rsidR="00285BC0" w:rsidRPr="00F70868" w:rsidRDefault="00285BC0" w:rsidP="00F70868">
      <w:pPr>
        <w:tabs>
          <w:tab w:val="left" w:pos="0"/>
          <w:tab w:val="left" w:pos="567"/>
        </w:tabs>
        <w:rPr>
          <w:rFonts w:ascii="Times New Roman" w:hAnsi="Times New Roman"/>
          <w:b/>
          <w:noProof/>
          <w:snapToGrid w:val="0"/>
          <w:sz w:val="22"/>
          <w:szCs w:val="22"/>
          <w:lang w:val="el-GR"/>
        </w:rPr>
      </w:pPr>
    </w:p>
    <w:p w:rsidR="00285BC0" w:rsidRPr="00F70868" w:rsidRDefault="00285BC0" w:rsidP="00F70868">
      <w:pPr>
        <w:tabs>
          <w:tab w:val="left" w:pos="0"/>
          <w:tab w:val="left" w:pos="567"/>
        </w:tabs>
        <w:rPr>
          <w:rFonts w:ascii="Times New Roman" w:hAnsi="Times New Roman"/>
          <w:b/>
          <w:noProof/>
          <w:snapToGrid w:val="0"/>
          <w:sz w:val="22"/>
          <w:szCs w:val="22"/>
          <w:lang w:val="el-GR"/>
        </w:rPr>
      </w:pPr>
    </w:p>
    <w:p w:rsidR="00285BC0" w:rsidRPr="00F70868" w:rsidRDefault="00285BC0" w:rsidP="00F70868">
      <w:pPr>
        <w:tabs>
          <w:tab w:val="left" w:pos="0"/>
          <w:tab w:val="left" w:pos="567"/>
        </w:tabs>
        <w:rPr>
          <w:rFonts w:ascii="Times New Roman" w:hAnsi="Times New Roman"/>
          <w:b/>
          <w:noProof/>
          <w:snapToGrid w:val="0"/>
          <w:sz w:val="22"/>
          <w:szCs w:val="22"/>
          <w:lang w:val="el-GR"/>
        </w:rPr>
      </w:pPr>
    </w:p>
    <w:p w:rsidR="00285BC0" w:rsidRPr="00F70868" w:rsidRDefault="00285BC0" w:rsidP="00F70868">
      <w:pPr>
        <w:tabs>
          <w:tab w:val="left" w:pos="0"/>
          <w:tab w:val="left" w:pos="567"/>
        </w:tabs>
        <w:rPr>
          <w:rFonts w:ascii="Times New Roman" w:hAnsi="Times New Roman"/>
          <w:b/>
          <w:noProof/>
          <w:snapToGrid w:val="0"/>
          <w:sz w:val="22"/>
          <w:szCs w:val="22"/>
          <w:lang w:val="el-GR"/>
        </w:rPr>
      </w:pPr>
    </w:p>
    <w:p w:rsidR="00285BC0" w:rsidRPr="00F70868" w:rsidRDefault="00285BC0" w:rsidP="00F70868">
      <w:pPr>
        <w:tabs>
          <w:tab w:val="left" w:pos="0"/>
          <w:tab w:val="left" w:pos="567"/>
        </w:tabs>
        <w:rPr>
          <w:rFonts w:ascii="Times New Roman" w:hAnsi="Times New Roman"/>
          <w:b/>
          <w:noProof/>
          <w:snapToGrid w:val="0"/>
          <w:sz w:val="22"/>
          <w:szCs w:val="22"/>
          <w:lang w:val="el-GR"/>
        </w:rPr>
      </w:pPr>
    </w:p>
    <w:p w:rsidR="00285BC0" w:rsidRPr="00F70868" w:rsidRDefault="00285BC0" w:rsidP="00F70868">
      <w:pPr>
        <w:tabs>
          <w:tab w:val="left" w:pos="0"/>
          <w:tab w:val="left" w:pos="567"/>
        </w:tabs>
        <w:rPr>
          <w:rFonts w:ascii="Times New Roman" w:hAnsi="Times New Roman"/>
          <w:b/>
          <w:noProof/>
          <w:snapToGrid w:val="0"/>
          <w:sz w:val="22"/>
          <w:szCs w:val="22"/>
          <w:lang w:val="el-GR"/>
        </w:rPr>
      </w:pPr>
    </w:p>
    <w:p w:rsidR="00285BC0" w:rsidRPr="00F70868" w:rsidRDefault="00285BC0" w:rsidP="00F70868">
      <w:pPr>
        <w:tabs>
          <w:tab w:val="left" w:pos="0"/>
          <w:tab w:val="left" w:pos="567"/>
        </w:tabs>
        <w:rPr>
          <w:rFonts w:ascii="Times New Roman" w:hAnsi="Times New Roman"/>
          <w:b/>
          <w:noProof/>
          <w:snapToGrid w:val="0"/>
          <w:sz w:val="22"/>
          <w:szCs w:val="22"/>
          <w:lang w:val="el-GR"/>
        </w:rPr>
      </w:pPr>
    </w:p>
    <w:p w:rsidR="00285BC0" w:rsidRDefault="00285BC0" w:rsidP="00F70868">
      <w:pPr>
        <w:tabs>
          <w:tab w:val="left" w:pos="0"/>
          <w:tab w:val="left" w:pos="567"/>
        </w:tabs>
        <w:rPr>
          <w:rFonts w:ascii="Times New Roman" w:hAnsi="Times New Roman"/>
          <w:b/>
          <w:noProof/>
          <w:snapToGrid w:val="0"/>
          <w:sz w:val="22"/>
          <w:szCs w:val="22"/>
          <w:lang w:val="en-US"/>
        </w:rPr>
      </w:pPr>
    </w:p>
    <w:p w:rsidR="00234942" w:rsidRPr="00F70868" w:rsidRDefault="00234942" w:rsidP="00F70868">
      <w:pPr>
        <w:tabs>
          <w:tab w:val="left" w:pos="0"/>
          <w:tab w:val="left" w:pos="567"/>
        </w:tabs>
        <w:rPr>
          <w:rFonts w:ascii="Times New Roman" w:hAnsi="Times New Roman"/>
          <w:b/>
          <w:noProof/>
          <w:snapToGrid w:val="0"/>
          <w:sz w:val="22"/>
          <w:szCs w:val="22"/>
          <w:lang w:val="en-US"/>
        </w:rPr>
      </w:pPr>
    </w:p>
    <w:p w:rsidR="00F70868" w:rsidRDefault="00F70868" w:rsidP="00F70868">
      <w:pPr>
        <w:tabs>
          <w:tab w:val="left" w:pos="0"/>
          <w:tab w:val="left" w:pos="567"/>
        </w:tabs>
        <w:jc w:val="center"/>
        <w:rPr>
          <w:rFonts w:ascii="Times New Roman" w:hAnsi="Times New Roman"/>
          <w:b/>
          <w:noProof/>
          <w:snapToGrid w:val="0"/>
          <w:sz w:val="22"/>
          <w:szCs w:val="22"/>
          <w:lang w:val="el-GR"/>
        </w:rPr>
      </w:pPr>
    </w:p>
    <w:p w:rsidR="001547DD" w:rsidRPr="00541EC2" w:rsidRDefault="001547DD" w:rsidP="00F70868">
      <w:pPr>
        <w:tabs>
          <w:tab w:val="left" w:pos="0"/>
        </w:tabs>
        <w:jc w:val="center"/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b/>
          <w:sz w:val="22"/>
          <w:szCs w:val="22"/>
          <w:lang w:val="el-GR"/>
        </w:rPr>
        <w:t xml:space="preserve">ΠΕΡΙΛΗΨΗ </w:t>
      </w:r>
      <w:r w:rsidR="008235B1" w:rsidRPr="00541EC2">
        <w:rPr>
          <w:rFonts w:ascii="Times New Roman" w:hAnsi="Times New Roman"/>
          <w:b/>
          <w:sz w:val="22"/>
          <w:szCs w:val="22"/>
          <w:lang w:val="el-GR"/>
        </w:rPr>
        <w:t xml:space="preserve">ΤΩΝ </w:t>
      </w:r>
      <w:r w:rsidRPr="00541EC2">
        <w:rPr>
          <w:rFonts w:ascii="Times New Roman" w:hAnsi="Times New Roman"/>
          <w:b/>
          <w:sz w:val="22"/>
          <w:szCs w:val="22"/>
          <w:lang w:val="el-GR"/>
        </w:rPr>
        <w:t>ΧΑΡΑΚΤΗΡΙΣΤΙΚΩΝ Τ</w:t>
      </w:r>
      <w:r w:rsidRPr="00541EC2">
        <w:rPr>
          <w:rFonts w:ascii="Times New Roman" w:hAnsi="Times New Roman"/>
          <w:b/>
          <w:sz w:val="22"/>
          <w:szCs w:val="22"/>
        </w:rPr>
        <w:t>OY</w:t>
      </w:r>
      <w:r w:rsidRPr="00541EC2">
        <w:rPr>
          <w:rFonts w:ascii="Times New Roman" w:hAnsi="Times New Roman"/>
          <w:b/>
          <w:sz w:val="22"/>
          <w:szCs w:val="22"/>
          <w:lang w:val="el-GR"/>
        </w:rPr>
        <w:t xml:space="preserve"> ΠΡΟΪΟΝΤΟΣ</w:t>
      </w:r>
    </w:p>
    <w:p w:rsidR="00C94968" w:rsidRPr="00541EC2" w:rsidRDefault="00C94968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9B046A" w:rsidRPr="00541EC2" w:rsidRDefault="003C253A" w:rsidP="00BA6169">
      <w:pPr>
        <w:tabs>
          <w:tab w:val="left" w:pos="567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b/>
          <w:i/>
          <w:sz w:val="22"/>
          <w:szCs w:val="22"/>
          <w:lang w:val="el-GR"/>
        </w:rPr>
      </w:pPr>
      <w:r w:rsidRPr="00541EC2">
        <w:rPr>
          <w:rFonts w:ascii="Times New Roman" w:hAnsi="Times New Roman"/>
          <w:b/>
          <w:sz w:val="22"/>
          <w:szCs w:val="22"/>
          <w:lang w:val="el-GR"/>
        </w:rPr>
        <w:br w:type="page"/>
      </w:r>
      <w:r w:rsidR="009B046A" w:rsidRPr="00541EC2">
        <w:rPr>
          <w:rFonts w:ascii="Times New Roman" w:hAnsi="Times New Roman"/>
          <w:b/>
          <w:sz w:val="22"/>
          <w:szCs w:val="22"/>
          <w:lang w:val="el-GR"/>
        </w:rPr>
        <w:lastRenderedPageBreak/>
        <w:t>1.</w:t>
      </w:r>
      <w:r w:rsidR="009B046A" w:rsidRPr="00541EC2">
        <w:rPr>
          <w:rFonts w:ascii="Times New Roman" w:hAnsi="Times New Roman"/>
          <w:b/>
          <w:sz w:val="22"/>
          <w:szCs w:val="22"/>
          <w:lang w:val="el-GR"/>
        </w:rPr>
        <w:tab/>
        <w:t>ΟΝΟΜΑΣΙΑ ΤΟΥ ΦΑΡΜΑΚΕΥΤΙΚΟΥ ΠΡΟΙΟΝΤΟΣ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b/>
          <w:i/>
          <w:sz w:val="22"/>
          <w:szCs w:val="22"/>
          <w:lang w:val="el-GR"/>
        </w:rPr>
      </w:pPr>
    </w:p>
    <w:p w:rsidR="00B01013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</w:rPr>
        <w:t>Influvac</w:t>
      </w:r>
      <w:r w:rsidR="00CC19EB" w:rsidRPr="00541EC2">
        <w:rPr>
          <w:rFonts w:ascii="Times New Roman" w:hAnsi="Times New Roman"/>
          <w:sz w:val="22"/>
          <w:szCs w:val="22"/>
          <w:vertAlign w:val="superscript"/>
        </w:rPr>
        <w:t>®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541EC2">
        <w:rPr>
          <w:rFonts w:ascii="Times New Roman" w:hAnsi="Times New Roman"/>
          <w:sz w:val="22"/>
          <w:szCs w:val="22"/>
        </w:rPr>
        <w:t>sub</w:t>
      </w:r>
      <w:r w:rsidRPr="00541EC2">
        <w:rPr>
          <w:rFonts w:ascii="Times New Roman" w:hAnsi="Times New Roman"/>
          <w:sz w:val="22"/>
          <w:szCs w:val="22"/>
          <w:lang w:val="el-GR"/>
        </w:rPr>
        <w:t>-</w:t>
      </w:r>
      <w:r w:rsidRPr="00541EC2">
        <w:rPr>
          <w:rFonts w:ascii="Times New Roman" w:hAnsi="Times New Roman"/>
          <w:sz w:val="22"/>
          <w:szCs w:val="22"/>
        </w:rPr>
        <w:t>unit</w:t>
      </w:r>
      <w:r w:rsidRPr="00541EC2">
        <w:rPr>
          <w:rFonts w:ascii="Times New Roman" w:hAnsi="Times New Roman"/>
          <w:sz w:val="22"/>
          <w:szCs w:val="22"/>
          <w:lang w:val="el-GR"/>
        </w:rPr>
        <w:t>, ενέσιμο εναιώρημα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>(αντιγριπικό εμβόλιο, απενεργοποιημένων επιφανειακών αντιγόνων).</w:t>
      </w:r>
    </w:p>
    <w:p w:rsidR="00920B00" w:rsidRPr="00541EC2" w:rsidRDefault="00920B00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b/>
          <w:sz w:val="22"/>
          <w:szCs w:val="22"/>
          <w:u w:val="single"/>
          <w:lang w:val="en-US"/>
        </w:rPr>
      </w:pPr>
    </w:p>
    <w:p w:rsidR="00657C90" w:rsidRPr="00541EC2" w:rsidRDefault="00657C90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b/>
          <w:sz w:val="22"/>
          <w:szCs w:val="22"/>
          <w:u w:val="single"/>
          <w:lang w:val="en-US"/>
        </w:rPr>
      </w:pPr>
    </w:p>
    <w:p w:rsidR="009B046A" w:rsidRPr="00541EC2" w:rsidRDefault="009B046A" w:rsidP="00BA6169">
      <w:pPr>
        <w:tabs>
          <w:tab w:val="left" w:pos="0"/>
          <w:tab w:val="left" w:pos="567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b/>
          <w:sz w:val="22"/>
          <w:szCs w:val="22"/>
          <w:lang w:val="el-GR"/>
        </w:rPr>
        <w:t>2.</w:t>
      </w:r>
      <w:r w:rsidRPr="00541EC2">
        <w:rPr>
          <w:rFonts w:ascii="Times New Roman" w:hAnsi="Times New Roman"/>
          <w:b/>
          <w:sz w:val="22"/>
          <w:szCs w:val="22"/>
          <w:lang w:val="el-GR"/>
        </w:rPr>
        <w:tab/>
        <w:t>ΠΟΙΟΤΙΚΗ ΚΑΙ ΠΟΣΟΤΙΚΗ ΣΥΝΘΕΣΗ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9B046A" w:rsidRPr="00541EC2" w:rsidRDefault="00B01013" w:rsidP="00F70868">
      <w:pPr>
        <w:tabs>
          <w:tab w:val="left" w:pos="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n-US"/>
        </w:rPr>
        <w:t>E</w:t>
      </w:r>
      <w:r w:rsidR="009B046A" w:rsidRPr="00541EC2">
        <w:rPr>
          <w:rFonts w:ascii="Times New Roman" w:hAnsi="Times New Roman"/>
          <w:sz w:val="22"/>
          <w:szCs w:val="22"/>
          <w:lang w:val="el-GR"/>
        </w:rPr>
        <w:t xml:space="preserve">πιφανειακά αντιγόνα (αιμοσυγκολλητίνη και νευροαμινιδάση)* </w:t>
      </w:r>
      <w:r w:rsidR="004D6A78" w:rsidRPr="00541EC2">
        <w:rPr>
          <w:rFonts w:ascii="Times New Roman" w:hAnsi="Times New Roman"/>
          <w:sz w:val="22"/>
          <w:szCs w:val="22"/>
          <w:lang w:val="el-GR"/>
        </w:rPr>
        <w:t xml:space="preserve">των ακόλουθων </w:t>
      </w:r>
      <w:r w:rsidR="009B046A" w:rsidRPr="00541EC2">
        <w:rPr>
          <w:rFonts w:ascii="Times New Roman" w:hAnsi="Times New Roman"/>
          <w:sz w:val="22"/>
          <w:szCs w:val="22"/>
          <w:lang w:val="el-GR"/>
        </w:rPr>
        <w:t>στελεχών του ιού της γρίπης:</w:t>
      </w:r>
    </w:p>
    <w:tbl>
      <w:tblPr>
        <w:tblW w:w="9090" w:type="dxa"/>
        <w:tblLook w:val="01E0"/>
      </w:tblPr>
      <w:tblGrid>
        <w:gridCol w:w="6364"/>
        <w:gridCol w:w="2726"/>
      </w:tblGrid>
      <w:tr w:rsidR="00B01013" w:rsidRPr="00541EC2" w:rsidTr="00F70868">
        <w:trPr>
          <w:trHeight w:val="563"/>
        </w:trPr>
        <w:tc>
          <w:tcPr>
            <w:tcW w:w="6364" w:type="dxa"/>
            <w:shd w:val="clear" w:color="auto" w:fill="auto"/>
          </w:tcPr>
          <w:p w:rsidR="00B01013" w:rsidRPr="00541EC2" w:rsidRDefault="00C30E2A" w:rsidP="00541EC2">
            <w:pPr>
              <w:tabs>
                <w:tab w:val="left" w:pos="0"/>
                <w:tab w:val="left" w:pos="6804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41EC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r w:rsidR="00B01013" w:rsidRPr="00541EC2">
              <w:rPr>
                <w:rFonts w:ascii="Times New Roman" w:hAnsi="Times New Roman"/>
                <w:sz w:val="22"/>
                <w:szCs w:val="22"/>
              </w:rPr>
              <w:t>A</w:t>
            </w:r>
            <w:r w:rsidR="00B01013" w:rsidRPr="00541EC2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="00B01013" w:rsidRPr="00541EC2">
              <w:rPr>
                <w:rFonts w:ascii="Times New Roman" w:hAnsi="Times New Roman"/>
                <w:sz w:val="22"/>
                <w:szCs w:val="22"/>
              </w:rPr>
              <w:t>California</w:t>
            </w:r>
            <w:r w:rsidR="00B01013" w:rsidRPr="00541EC2">
              <w:rPr>
                <w:rFonts w:ascii="Times New Roman" w:hAnsi="Times New Roman"/>
                <w:sz w:val="22"/>
                <w:szCs w:val="22"/>
                <w:lang w:val="en-US"/>
              </w:rPr>
              <w:t>/7/2009 (H1N1)</w:t>
            </w:r>
            <w:r w:rsidR="001334DC" w:rsidRPr="00541EC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B60614" w:rsidRPr="00541EC2">
              <w:rPr>
                <w:rFonts w:ascii="Times New Roman" w:hAnsi="Times New Roman"/>
                <w:sz w:val="22"/>
                <w:szCs w:val="22"/>
                <w:lang w:val="en-US"/>
              </w:rPr>
              <w:t>pdm09</w:t>
            </w:r>
            <w:r w:rsidR="000347FF" w:rsidRPr="00541EC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="00774236" w:rsidRPr="00541EC2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>προσομοιάζον</w:t>
            </w:r>
            <w:r w:rsidRPr="00541E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B01013" w:rsidRPr="00541EC2">
              <w:rPr>
                <w:rFonts w:ascii="Times New Roman" w:hAnsi="Times New Roman"/>
                <w:sz w:val="22"/>
                <w:szCs w:val="22"/>
                <w:lang w:val="el-GR"/>
              </w:rPr>
              <w:t>στέλεχος</w:t>
            </w:r>
            <w:r w:rsidR="00B01013" w:rsidRPr="00541EC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407715" w:rsidRPr="00541EC2"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 w:rsidR="00774236" w:rsidRPr="00541E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A/California/7/2009, X-181</w:t>
            </w:r>
            <w:r w:rsidR="00407715" w:rsidRPr="00541EC2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726" w:type="dxa"/>
            <w:shd w:val="clear" w:color="auto" w:fill="auto"/>
          </w:tcPr>
          <w:p w:rsidR="00B01013" w:rsidRPr="00541EC2" w:rsidRDefault="00B01013" w:rsidP="00F70868">
            <w:pPr>
              <w:tabs>
                <w:tab w:val="left" w:pos="0"/>
                <w:tab w:val="left" w:pos="6804"/>
              </w:tabs>
              <w:rPr>
                <w:rFonts w:ascii="Times New Roman" w:hAnsi="Times New Roman"/>
                <w:sz w:val="22"/>
                <w:szCs w:val="22"/>
              </w:rPr>
            </w:pPr>
            <w:r w:rsidRPr="00541EC2">
              <w:rPr>
                <w:rFonts w:ascii="Times New Roman" w:hAnsi="Times New Roman"/>
                <w:sz w:val="22"/>
                <w:szCs w:val="22"/>
                <w:lang w:val="el-GR"/>
              </w:rPr>
              <w:t>15</w:t>
            </w:r>
            <w:r w:rsidR="00AD7971" w:rsidRPr="00541EC2">
              <w:rPr>
                <w:rFonts w:ascii="Times New Roman" w:hAnsi="Times New Roman"/>
                <w:sz w:val="22"/>
                <w:szCs w:val="22"/>
                <w:lang w:val="el-GR"/>
              </w:rPr>
              <w:t> </w:t>
            </w:r>
            <w:r w:rsidRPr="00541EC2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μικρογραμμάρια </w:t>
            </w:r>
            <w:r w:rsidRPr="00541EC2">
              <w:rPr>
                <w:rFonts w:ascii="Times New Roman" w:hAnsi="Times New Roman"/>
                <w:sz w:val="22"/>
                <w:szCs w:val="22"/>
                <w:lang w:val="pt-BR"/>
              </w:rPr>
              <w:t>HA</w:t>
            </w:r>
            <w:r w:rsidRPr="00541EC2">
              <w:rPr>
                <w:rFonts w:ascii="Times New Roman" w:hAnsi="Times New Roman"/>
                <w:sz w:val="22"/>
                <w:szCs w:val="22"/>
                <w:lang w:val="el-GR"/>
              </w:rPr>
              <w:t>**</w:t>
            </w:r>
          </w:p>
        </w:tc>
      </w:tr>
      <w:tr w:rsidR="00B01013" w:rsidRPr="00541EC2" w:rsidTr="00F70868">
        <w:trPr>
          <w:trHeight w:val="563"/>
        </w:trPr>
        <w:tc>
          <w:tcPr>
            <w:tcW w:w="6364" w:type="dxa"/>
            <w:shd w:val="clear" w:color="auto" w:fill="auto"/>
          </w:tcPr>
          <w:p w:rsidR="00B01013" w:rsidRPr="00541EC2" w:rsidRDefault="00C30E2A" w:rsidP="00541EC2">
            <w:pPr>
              <w:tabs>
                <w:tab w:val="left" w:pos="0"/>
                <w:tab w:val="left" w:pos="6804"/>
              </w:tabs>
              <w:rPr>
                <w:rFonts w:ascii="Times New Roman" w:hAnsi="Times New Roman"/>
                <w:sz w:val="22"/>
                <w:szCs w:val="22"/>
              </w:rPr>
            </w:pPr>
            <w:r w:rsidRPr="00541EC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="00B01013" w:rsidRPr="00541E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74236" w:rsidRPr="00541EC2">
              <w:rPr>
                <w:rFonts w:ascii="Times New Roman" w:hAnsi="Times New Roman"/>
                <w:sz w:val="22"/>
                <w:szCs w:val="22"/>
              </w:rPr>
              <w:t xml:space="preserve">A/Texas/50/2012 </w:t>
            </w:r>
            <w:r w:rsidR="00B01013" w:rsidRPr="00541EC2">
              <w:rPr>
                <w:rFonts w:ascii="Times New Roman" w:hAnsi="Times New Roman"/>
                <w:sz w:val="22"/>
                <w:szCs w:val="22"/>
              </w:rPr>
              <w:t>(</w:t>
            </w:r>
            <w:r w:rsidR="00B01013" w:rsidRPr="00541EC2">
              <w:rPr>
                <w:rFonts w:ascii="Times New Roman" w:hAnsi="Times New Roman"/>
                <w:sz w:val="22"/>
                <w:szCs w:val="22"/>
                <w:lang w:val="en-US"/>
              </w:rPr>
              <w:t>H</w:t>
            </w:r>
            <w:r w:rsidR="00B01013" w:rsidRPr="00541EC2">
              <w:rPr>
                <w:rFonts w:ascii="Times New Roman" w:hAnsi="Times New Roman"/>
                <w:sz w:val="22"/>
                <w:szCs w:val="22"/>
              </w:rPr>
              <w:t>3</w:t>
            </w:r>
            <w:r w:rsidR="00B01013" w:rsidRPr="00541EC2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="00B01013" w:rsidRPr="00541EC2">
              <w:rPr>
                <w:rFonts w:ascii="Times New Roman" w:hAnsi="Times New Roman"/>
                <w:sz w:val="22"/>
                <w:szCs w:val="22"/>
              </w:rPr>
              <w:t>2)</w:t>
            </w:r>
            <w:r w:rsidR="000347FF" w:rsidRPr="00541EC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="00234942" w:rsidRPr="00541EC2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>προσομοιάζον</w:t>
            </w:r>
            <w:r w:rsidR="00B01013" w:rsidRPr="00541E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01013" w:rsidRPr="00541EC2">
              <w:rPr>
                <w:rFonts w:ascii="Times New Roman" w:hAnsi="Times New Roman"/>
                <w:sz w:val="22"/>
                <w:szCs w:val="22"/>
                <w:lang w:val="el-GR"/>
              </w:rPr>
              <w:t>στέλεχος</w:t>
            </w:r>
            <w:r w:rsidR="00B01013" w:rsidRPr="00541E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34942" w:rsidRPr="00541EC2">
              <w:rPr>
                <w:rFonts w:ascii="Times New Roman" w:hAnsi="Times New Roman"/>
                <w:sz w:val="22"/>
                <w:szCs w:val="22"/>
              </w:rPr>
              <w:t>(</w:t>
            </w:r>
            <w:r w:rsidR="0005161C" w:rsidRPr="00541E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A/Texas/50/2012, X-223A</w:t>
            </w:r>
            <w:r w:rsidR="00234942" w:rsidRPr="00541EC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726" w:type="dxa"/>
            <w:shd w:val="clear" w:color="auto" w:fill="auto"/>
          </w:tcPr>
          <w:p w:rsidR="00B01013" w:rsidRPr="00541EC2" w:rsidRDefault="00B01013" w:rsidP="00F70868">
            <w:pPr>
              <w:tabs>
                <w:tab w:val="left" w:pos="0"/>
                <w:tab w:val="left" w:pos="6804"/>
              </w:tabs>
              <w:rPr>
                <w:rFonts w:ascii="Times New Roman" w:hAnsi="Times New Roman"/>
                <w:sz w:val="22"/>
                <w:szCs w:val="22"/>
              </w:rPr>
            </w:pPr>
            <w:r w:rsidRPr="00541EC2">
              <w:rPr>
                <w:rFonts w:ascii="Times New Roman" w:hAnsi="Times New Roman"/>
                <w:sz w:val="22"/>
                <w:szCs w:val="22"/>
                <w:lang w:val="el-GR"/>
              </w:rPr>
              <w:t>15</w:t>
            </w:r>
            <w:r w:rsidR="00AD7971" w:rsidRPr="00541EC2">
              <w:rPr>
                <w:rFonts w:ascii="Times New Roman" w:hAnsi="Times New Roman"/>
                <w:sz w:val="22"/>
                <w:szCs w:val="22"/>
                <w:lang w:val="el-GR"/>
              </w:rPr>
              <w:t> </w:t>
            </w:r>
            <w:r w:rsidRPr="00541EC2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μικρογραμμάρια </w:t>
            </w:r>
            <w:r w:rsidRPr="00541EC2">
              <w:rPr>
                <w:rFonts w:ascii="Times New Roman" w:hAnsi="Times New Roman"/>
                <w:sz w:val="22"/>
                <w:szCs w:val="22"/>
                <w:lang w:val="pt-BR"/>
              </w:rPr>
              <w:t>HA</w:t>
            </w:r>
            <w:r w:rsidRPr="00541EC2">
              <w:rPr>
                <w:rFonts w:ascii="Times New Roman" w:hAnsi="Times New Roman"/>
                <w:sz w:val="22"/>
                <w:szCs w:val="22"/>
                <w:lang w:val="el-GR"/>
              </w:rPr>
              <w:t>**</w:t>
            </w:r>
          </w:p>
        </w:tc>
      </w:tr>
      <w:tr w:rsidR="00B01013" w:rsidRPr="00541EC2" w:rsidTr="00F70868">
        <w:trPr>
          <w:trHeight w:val="844"/>
        </w:trPr>
        <w:tc>
          <w:tcPr>
            <w:tcW w:w="6364" w:type="dxa"/>
            <w:shd w:val="clear" w:color="auto" w:fill="auto"/>
          </w:tcPr>
          <w:p w:rsidR="00B01013" w:rsidRPr="00541EC2" w:rsidRDefault="00C30E2A" w:rsidP="00541EC2">
            <w:pPr>
              <w:tabs>
                <w:tab w:val="left" w:pos="0"/>
                <w:tab w:val="left" w:pos="6804"/>
              </w:tabs>
              <w:rPr>
                <w:rFonts w:ascii="Times New Roman" w:hAnsi="Times New Roman"/>
                <w:sz w:val="22"/>
                <w:szCs w:val="22"/>
              </w:rPr>
            </w:pPr>
            <w:r w:rsidRPr="00541EC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9778D8" w:rsidRPr="00541EC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B01013" w:rsidRPr="00541EC2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B</w:t>
            </w:r>
            <w:r w:rsidR="00B01013" w:rsidRPr="00541EC2"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  <w:r w:rsidR="00234942" w:rsidRPr="00541EC2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Massachusetts/2/2012</w:t>
            </w:r>
            <w:r w:rsidR="000347FF" w:rsidRPr="00541EC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777A8B" w:rsidRPr="00541EC2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>προσομοιάζον</w:t>
            </w:r>
            <w:r w:rsidR="00407715" w:rsidRPr="00541EC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407715" w:rsidRPr="00541EC2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>στέλεχος</w:t>
            </w:r>
            <w:r w:rsidR="00247889" w:rsidRPr="00541E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407715" w:rsidRPr="00541EC2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 w:rsidR="00777A8B" w:rsidRPr="00541EC2">
              <w:rPr>
                <w:rFonts w:ascii="Times New Roman" w:hAnsi="Times New Roman"/>
                <w:color w:val="000000"/>
                <w:sz w:val="22"/>
                <w:szCs w:val="22"/>
              </w:rPr>
              <w:t>B/Massachusetts/2/2012, BX-51B</w:t>
            </w:r>
            <w:r w:rsidR="00407715" w:rsidRPr="00541EC2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26" w:type="dxa"/>
            <w:shd w:val="clear" w:color="auto" w:fill="auto"/>
          </w:tcPr>
          <w:p w:rsidR="00B01013" w:rsidRPr="00541EC2" w:rsidRDefault="00B01013" w:rsidP="00F70868">
            <w:pPr>
              <w:tabs>
                <w:tab w:val="left" w:pos="0"/>
                <w:tab w:val="left" w:pos="6804"/>
              </w:tabs>
              <w:rPr>
                <w:rFonts w:ascii="Times New Roman" w:hAnsi="Times New Roman"/>
                <w:sz w:val="22"/>
                <w:szCs w:val="22"/>
              </w:rPr>
            </w:pPr>
            <w:r w:rsidRPr="00541EC2">
              <w:rPr>
                <w:rFonts w:ascii="Times New Roman" w:hAnsi="Times New Roman"/>
                <w:sz w:val="22"/>
                <w:szCs w:val="22"/>
                <w:lang w:val="el-GR"/>
              </w:rPr>
              <w:t>15</w:t>
            </w:r>
            <w:r w:rsidR="00AD7971" w:rsidRPr="00541EC2">
              <w:rPr>
                <w:rFonts w:ascii="Times New Roman" w:hAnsi="Times New Roman"/>
                <w:sz w:val="22"/>
                <w:szCs w:val="22"/>
                <w:lang w:val="el-GR"/>
              </w:rPr>
              <w:t> </w:t>
            </w:r>
            <w:r w:rsidRPr="00541EC2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μικρογραμμάρια </w:t>
            </w:r>
            <w:r w:rsidRPr="00541EC2">
              <w:rPr>
                <w:rFonts w:ascii="Times New Roman" w:hAnsi="Times New Roman"/>
                <w:sz w:val="22"/>
                <w:szCs w:val="22"/>
                <w:lang w:val="pt-BR"/>
              </w:rPr>
              <w:t>HA</w:t>
            </w:r>
            <w:r w:rsidRPr="00541EC2">
              <w:rPr>
                <w:rFonts w:ascii="Times New Roman" w:hAnsi="Times New Roman"/>
                <w:sz w:val="22"/>
                <w:szCs w:val="22"/>
                <w:lang w:val="el-GR"/>
              </w:rPr>
              <w:t>**</w:t>
            </w:r>
          </w:p>
        </w:tc>
      </w:tr>
      <w:tr w:rsidR="00B01013" w:rsidRPr="00541EC2" w:rsidTr="00F70868">
        <w:trPr>
          <w:trHeight w:val="281"/>
        </w:trPr>
        <w:tc>
          <w:tcPr>
            <w:tcW w:w="6364" w:type="dxa"/>
            <w:shd w:val="clear" w:color="auto" w:fill="auto"/>
          </w:tcPr>
          <w:p w:rsidR="00B01013" w:rsidRPr="00541EC2" w:rsidRDefault="00B01013" w:rsidP="00F70868">
            <w:pPr>
              <w:tabs>
                <w:tab w:val="left" w:pos="0"/>
                <w:tab w:val="left" w:pos="680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B01013" w:rsidRPr="00541EC2" w:rsidRDefault="00B01013" w:rsidP="00F70868">
            <w:pPr>
              <w:tabs>
                <w:tab w:val="left" w:pos="0"/>
                <w:tab w:val="left" w:pos="6804"/>
              </w:tabs>
              <w:rPr>
                <w:rFonts w:ascii="Times New Roman" w:hAnsi="Times New Roman"/>
                <w:sz w:val="22"/>
                <w:szCs w:val="22"/>
              </w:rPr>
            </w:pPr>
            <w:r w:rsidRPr="00541EC2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ανά δόση </w:t>
            </w:r>
            <w:r w:rsidR="000058AC" w:rsidRPr="00541EC2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των </w:t>
            </w:r>
            <w:r w:rsidRPr="00541EC2">
              <w:rPr>
                <w:rFonts w:ascii="Times New Roman" w:hAnsi="Times New Roman"/>
                <w:sz w:val="22"/>
                <w:szCs w:val="22"/>
                <w:lang w:val="el-GR"/>
              </w:rPr>
              <w:t>0,5</w:t>
            </w:r>
            <w:r w:rsidR="00AD7971" w:rsidRPr="00541EC2">
              <w:rPr>
                <w:rFonts w:ascii="Times New Roman" w:hAnsi="Times New Roman"/>
                <w:sz w:val="22"/>
                <w:szCs w:val="22"/>
                <w:lang w:val="el-GR"/>
              </w:rPr>
              <w:t> </w:t>
            </w:r>
            <w:r w:rsidRPr="00541EC2">
              <w:rPr>
                <w:rFonts w:ascii="Times New Roman" w:hAnsi="Times New Roman"/>
                <w:sz w:val="22"/>
                <w:szCs w:val="22"/>
                <w:lang w:val="en-US"/>
              </w:rPr>
              <w:t>ml</w:t>
            </w:r>
          </w:p>
        </w:tc>
      </w:tr>
    </w:tbl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>* καλλιεργημένα σε γονιμοποιημένα αυγά όρνιθας, από υγιείς πληθυσμούς πτηνών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>** αιμοσυγκολλητίνη</w:t>
      </w:r>
    </w:p>
    <w:p w:rsidR="009B046A" w:rsidRPr="00541EC2" w:rsidRDefault="001E5FFC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</w:p>
    <w:p w:rsidR="009B046A" w:rsidRPr="00541EC2" w:rsidRDefault="009B046A" w:rsidP="001E5FFC">
      <w:pPr>
        <w:pStyle w:val="a4"/>
        <w:tabs>
          <w:tab w:val="left" w:pos="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 xml:space="preserve">Το εμβόλιο αυτό </w:t>
      </w:r>
      <w:r w:rsidR="000058AC" w:rsidRPr="00541EC2">
        <w:rPr>
          <w:rFonts w:ascii="Times New Roman" w:hAnsi="Times New Roman"/>
          <w:sz w:val="22"/>
          <w:szCs w:val="22"/>
          <w:lang w:val="el-GR"/>
        </w:rPr>
        <w:t>συμμορφώνεται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0058AC" w:rsidRPr="00541EC2">
        <w:rPr>
          <w:rFonts w:ascii="Times New Roman" w:hAnsi="Times New Roman"/>
          <w:sz w:val="22"/>
          <w:szCs w:val="22"/>
          <w:lang w:val="el-GR"/>
        </w:rPr>
        <w:t>στην υπόδειξη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C853CB" w:rsidRPr="00541EC2">
        <w:rPr>
          <w:rFonts w:ascii="Times New Roman" w:hAnsi="Times New Roman"/>
          <w:sz w:val="22"/>
          <w:szCs w:val="22"/>
          <w:lang w:val="el-GR"/>
        </w:rPr>
        <w:t xml:space="preserve">(για το βόρειο ημισφαίριο) 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του Παγκόσμιου Οργανισμού Υγείας </w:t>
      </w:r>
      <w:r w:rsidR="000058AC" w:rsidRPr="00541EC2">
        <w:rPr>
          <w:rFonts w:ascii="Times New Roman" w:hAnsi="Times New Roman"/>
          <w:sz w:val="22"/>
          <w:szCs w:val="22"/>
          <w:lang w:val="el-GR"/>
        </w:rPr>
        <w:t>(</w:t>
      </w:r>
      <w:r w:rsidRPr="00541EC2">
        <w:rPr>
          <w:rFonts w:ascii="Times New Roman" w:hAnsi="Times New Roman"/>
          <w:sz w:val="22"/>
          <w:szCs w:val="22"/>
          <w:lang w:val="el-GR"/>
        </w:rPr>
        <w:t>Π.Ο.Υ.</w:t>
      </w:r>
      <w:r w:rsidR="000058AC" w:rsidRPr="00541EC2">
        <w:rPr>
          <w:rFonts w:ascii="Times New Roman" w:hAnsi="Times New Roman"/>
          <w:sz w:val="22"/>
          <w:szCs w:val="22"/>
          <w:lang w:val="el-GR"/>
        </w:rPr>
        <w:t>)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και τη </w:t>
      </w:r>
      <w:r w:rsidR="009B27B4" w:rsidRPr="00541EC2">
        <w:rPr>
          <w:rFonts w:ascii="Times New Roman" w:hAnsi="Times New Roman"/>
          <w:sz w:val="22"/>
          <w:szCs w:val="22"/>
          <w:lang w:val="el-GR"/>
        </w:rPr>
        <w:t>σύσταση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της Ε.Ε. για την εμβολιαστική περίοδο </w:t>
      </w:r>
      <w:bookmarkStart w:id="0" w:name="OLE_LINK3"/>
      <w:bookmarkStart w:id="1" w:name="OLE_LINK4"/>
      <w:r w:rsidR="009B27B4" w:rsidRPr="00541EC2">
        <w:rPr>
          <w:rFonts w:ascii="Times New Roman" w:hAnsi="Times New Roman"/>
          <w:sz w:val="22"/>
          <w:szCs w:val="22"/>
          <w:lang w:val="el-GR"/>
        </w:rPr>
        <w:t>2014/2015</w:t>
      </w:r>
      <w:bookmarkEnd w:id="0"/>
      <w:bookmarkEnd w:id="1"/>
      <w:r w:rsidRPr="00541EC2">
        <w:rPr>
          <w:rFonts w:ascii="Times New Roman" w:hAnsi="Times New Roman"/>
          <w:sz w:val="22"/>
          <w:szCs w:val="22"/>
          <w:lang w:val="el-GR"/>
        </w:rPr>
        <w:t xml:space="preserve">. </w:t>
      </w:r>
    </w:p>
    <w:p w:rsidR="009B046A" w:rsidRPr="00541EC2" w:rsidRDefault="009B046A" w:rsidP="00F70868">
      <w:pPr>
        <w:pStyle w:val="a4"/>
        <w:tabs>
          <w:tab w:val="left" w:pos="0"/>
        </w:tabs>
        <w:rPr>
          <w:rFonts w:ascii="Times New Roman" w:hAnsi="Times New Roman"/>
          <w:color w:val="0000FF"/>
          <w:sz w:val="22"/>
          <w:szCs w:val="22"/>
          <w:lang w:val="el-GR"/>
        </w:rPr>
      </w:pPr>
    </w:p>
    <w:p w:rsidR="009B046A" w:rsidRPr="00541EC2" w:rsidRDefault="009B046A" w:rsidP="00F70868">
      <w:pPr>
        <w:pStyle w:val="a4"/>
        <w:tabs>
          <w:tab w:val="left" w:pos="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>Για τον πλήρη κατάλογο των εκδόχων</w:t>
      </w:r>
      <w:r w:rsidR="008235B1" w:rsidRPr="00541EC2">
        <w:rPr>
          <w:rFonts w:ascii="Times New Roman" w:hAnsi="Times New Roman"/>
          <w:sz w:val="22"/>
          <w:szCs w:val="22"/>
          <w:lang w:val="el-GR"/>
        </w:rPr>
        <w:t>,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8235B1" w:rsidRPr="00541EC2">
        <w:rPr>
          <w:rFonts w:ascii="Times New Roman" w:hAnsi="Times New Roman"/>
          <w:sz w:val="22"/>
          <w:szCs w:val="22"/>
          <w:lang w:val="el-GR"/>
        </w:rPr>
        <w:t xml:space="preserve">βλ. 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παράγραφο 6.1. </w:t>
      </w:r>
    </w:p>
    <w:p w:rsidR="00B01013" w:rsidRPr="00541EC2" w:rsidRDefault="00B01013" w:rsidP="00F70868">
      <w:pPr>
        <w:pStyle w:val="a4"/>
        <w:tabs>
          <w:tab w:val="left" w:pos="0"/>
        </w:tabs>
        <w:rPr>
          <w:rFonts w:ascii="Times New Roman" w:hAnsi="Times New Roman"/>
          <w:sz w:val="22"/>
          <w:szCs w:val="22"/>
          <w:lang w:val="el-GR"/>
        </w:rPr>
      </w:pPr>
    </w:p>
    <w:p w:rsidR="00B01013" w:rsidRPr="00541EC2" w:rsidRDefault="00B01013" w:rsidP="00F70868">
      <w:pPr>
        <w:pStyle w:val="a4"/>
        <w:tabs>
          <w:tab w:val="left" w:pos="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n-US"/>
        </w:rPr>
        <w:t>To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541EC2">
        <w:rPr>
          <w:rFonts w:ascii="Times New Roman" w:hAnsi="Times New Roman"/>
          <w:sz w:val="22"/>
          <w:szCs w:val="22"/>
          <w:lang w:val="en-US"/>
        </w:rPr>
        <w:t>Influvac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4D778D" w:rsidRPr="00541EC2">
        <w:rPr>
          <w:rFonts w:ascii="Times New Roman" w:hAnsi="Times New Roman"/>
          <w:sz w:val="22"/>
          <w:szCs w:val="22"/>
          <w:lang w:val="en-US"/>
        </w:rPr>
        <w:t>s</w:t>
      </w:r>
      <w:r w:rsidRPr="00541EC2">
        <w:rPr>
          <w:rFonts w:ascii="Times New Roman" w:hAnsi="Times New Roman"/>
          <w:sz w:val="22"/>
          <w:szCs w:val="22"/>
          <w:lang w:val="en-US"/>
        </w:rPr>
        <w:t>ub</w:t>
      </w:r>
      <w:r w:rsidRPr="00541EC2">
        <w:rPr>
          <w:rFonts w:ascii="Times New Roman" w:hAnsi="Times New Roman"/>
          <w:sz w:val="22"/>
          <w:szCs w:val="22"/>
          <w:lang w:val="el-GR"/>
        </w:rPr>
        <w:t>-</w:t>
      </w:r>
      <w:r w:rsidRPr="00541EC2">
        <w:rPr>
          <w:rFonts w:ascii="Times New Roman" w:hAnsi="Times New Roman"/>
          <w:sz w:val="22"/>
          <w:szCs w:val="22"/>
          <w:lang w:val="en-US"/>
        </w:rPr>
        <w:t>unit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μπορεί να περιέχει </w:t>
      </w:r>
      <w:r w:rsidR="000376AB" w:rsidRPr="00541EC2">
        <w:rPr>
          <w:rFonts w:ascii="Times New Roman" w:hAnsi="Times New Roman"/>
          <w:sz w:val="22"/>
          <w:szCs w:val="22"/>
          <w:lang w:val="el-GR"/>
        </w:rPr>
        <w:t>ί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χνη από αυγά (όπως οβαλβουμίνη, πρωτεΐνες του κοτόπουλου), φορμαλδεΰδη, </w:t>
      </w:r>
      <w:r w:rsidRPr="00541EC2">
        <w:rPr>
          <w:rFonts w:ascii="Times New Roman" w:hAnsi="Times New Roman"/>
          <w:sz w:val="22"/>
          <w:szCs w:val="22"/>
        </w:rPr>
        <w:t>cetyltrimethylammonium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541EC2">
        <w:rPr>
          <w:rFonts w:ascii="Times New Roman" w:hAnsi="Times New Roman"/>
          <w:sz w:val="22"/>
          <w:szCs w:val="22"/>
        </w:rPr>
        <w:t>bromide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, </w:t>
      </w:r>
      <w:r w:rsidRPr="00541EC2">
        <w:rPr>
          <w:rFonts w:ascii="Times New Roman" w:hAnsi="Times New Roman"/>
          <w:sz w:val="22"/>
          <w:szCs w:val="22"/>
        </w:rPr>
        <w:t>polysorbate</w:t>
      </w:r>
      <w:r w:rsidR="00E334CA" w:rsidRPr="00541EC2">
        <w:rPr>
          <w:rFonts w:ascii="Times New Roman" w:hAnsi="Times New Roman"/>
          <w:sz w:val="22"/>
          <w:szCs w:val="22"/>
          <w:lang w:val="el-GR"/>
        </w:rPr>
        <w:t> </w:t>
      </w:r>
      <w:r w:rsidRPr="00541EC2">
        <w:rPr>
          <w:rFonts w:ascii="Times New Roman" w:hAnsi="Times New Roman"/>
          <w:sz w:val="22"/>
          <w:szCs w:val="22"/>
          <w:lang w:val="el-GR"/>
        </w:rPr>
        <w:t>80 ή γενταμυκίνη, που χρησιμ</w:t>
      </w:r>
      <w:r w:rsidR="00AB2156" w:rsidRPr="00541EC2">
        <w:rPr>
          <w:rFonts w:ascii="Times New Roman" w:hAnsi="Times New Roman"/>
          <w:sz w:val="22"/>
          <w:szCs w:val="22"/>
          <w:lang w:val="en-US"/>
        </w:rPr>
        <w:t>o</w:t>
      </w:r>
      <w:r w:rsidRPr="00541EC2">
        <w:rPr>
          <w:rFonts w:ascii="Times New Roman" w:hAnsi="Times New Roman"/>
          <w:sz w:val="22"/>
          <w:szCs w:val="22"/>
          <w:lang w:val="el-GR"/>
        </w:rPr>
        <w:t>ποιούνται κατά την διαδικασία παραγωγής (βλ. παράγραφο 4.3).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920B00" w:rsidRPr="00541EC2" w:rsidRDefault="00920B00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9B046A" w:rsidRPr="00541EC2" w:rsidRDefault="009B046A" w:rsidP="00BA6169">
      <w:pPr>
        <w:tabs>
          <w:tab w:val="left" w:pos="0"/>
          <w:tab w:val="left" w:pos="567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b/>
          <w:sz w:val="22"/>
          <w:szCs w:val="22"/>
          <w:lang w:val="el-GR"/>
        </w:rPr>
        <w:t>3.</w:t>
      </w:r>
      <w:r w:rsidRPr="00541EC2">
        <w:rPr>
          <w:rFonts w:ascii="Times New Roman" w:hAnsi="Times New Roman"/>
          <w:b/>
          <w:sz w:val="22"/>
          <w:szCs w:val="22"/>
          <w:lang w:val="el-GR"/>
        </w:rPr>
        <w:tab/>
        <w:t>ΦΑΡΜΑΚΟΤΕΧΝΙΚΗ ΜΟΡΦΗ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126B58" w:rsidRPr="00541EC2" w:rsidRDefault="009B046A" w:rsidP="00F70868">
      <w:pPr>
        <w:tabs>
          <w:tab w:val="left" w:pos="0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>Ενέσιμο εναιώρημα σε προγεμισμένες σύριγγες</w:t>
      </w:r>
      <w:r w:rsidR="00126B58" w:rsidRPr="00541EC2">
        <w:rPr>
          <w:rFonts w:ascii="Times New Roman" w:hAnsi="Times New Roman"/>
          <w:sz w:val="22"/>
          <w:szCs w:val="22"/>
          <w:lang w:val="el-GR"/>
        </w:rPr>
        <w:t xml:space="preserve">: Σύριγγες μοναδιαίας δόσεως (γυάλινες, </w:t>
      </w:r>
      <w:r w:rsidR="00DD7E2E" w:rsidRPr="00541EC2">
        <w:rPr>
          <w:rFonts w:ascii="Times New Roman" w:hAnsi="Times New Roman"/>
          <w:sz w:val="22"/>
          <w:szCs w:val="22"/>
          <w:lang w:val="el-GR"/>
        </w:rPr>
        <w:t xml:space="preserve">τύπου </w:t>
      </w:r>
      <w:r w:rsidR="00126B58" w:rsidRPr="00541EC2">
        <w:rPr>
          <w:rFonts w:ascii="Times New Roman" w:hAnsi="Times New Roman"/>
          <w:sz w:val="22"/>
          <w:szCs w:val="22"/>
          <w:lang w:val="el-GR"/>
        </w:rPr>
        <w:t xml:space="preserve">Ι) γεμάτες με </w:t>
      </w:r>
      <w:r w:rsidR="00613744" w:rsidRPr="00541EC2">
        <w:rPr>
          <w:rFonts w:ascii="Times New Roman" w:hAnsi="Times New Roman"/>
          <w:sz w:val="22"/>
          <w:szCs w:val="22"/>
          <w:lang w:val="el-GR"/>
        </w:rPr>
        <w:t xml:space="preserve">άχρωμο διαυγές </w:t>
      </w:r>
      <w:r w:rsidR="00126B58" w:rsidRPr="00541EC2">
        <w:rPr>
          <w:rFonts w:ascii="Times New Roman" w:hAnsi="Times New Roman"/>
          <w:sz w:val="22"/>
          <w:szCs w:val="22"/>
          <w:lang w:val="el-GR"/>
        </w:rPr>
        <w:t>υγρό.</w:t>
      </w:r>
    </w:p>
    <w:p w:rsidR="00920B00" w:rsidRPr="00541EC2" w:rsidRDefault="00920B00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b/>
          <w:sz w:val="22"/>
          <w:szCs w:val="22"/>
          <w:u w:val="single"/>
          <w:lang w:val="el-GR"/>
        </w:rPr>
      </w:pPr>
    </w:p>
    <w:p w:rsidR="009B046A" w:rsidRPr="00541EC2" w:rsidRDefault="009B046A" w:rsidP="00BA6169">
      <w:pPr>
        <w:tabs>
          <w:tab w:val="left" w:pos="0"/>
          <w:tab w:val="left" w:pos="567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b/>
          <w:sz w:val="22"/>
          <w:szCs w:val="22"/>
          <w:lang w:val="el-GR"/>
        </w:rPr>
      </w:pPr>
      <w:r w:rsidRPr="00541EC2">
        <w:rPr>
          <w:rFonts w:ascii="Times New Roman" w:hAnsi="Times New Roman"/>
          <w:b/>
          <w:sz w:val="22"/>
          <w:szCs w:val="22"/>
          <w:lang w:val="el-GR"/>
        </w:rPr>
        <w:t>4.</w:t>
      </w:r>
      <w:r w:rsidRPr="00541EC2">
        <w:rPr>
          <w:rFonts w:ascii="Times New Roman" w:hAnsi="Times New Roman"/>
          <w:b/>
          <w:sz w:val="22"/>
          <w:szCs w:val="22"/>
          <w:lang w:val="el-GR"/>
        </w:rPr>
        <w:tab/>
        <w:t>ΚΛΙΝΙΚΕΣ ΠΛΗΡΟΦΟΡΙΕΣ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b/>
          <w:sz w:val="22"/>
          <w:szCs w:val="22"/>
          <w:lang w:val="el-GR"/>
        </w:rPr>
      </w:pPr>
    </w:p>
    <w:p w:rsidR="009B046A" w:rsidRPr="00541EC2" w:rsidRDefault="009B046A" w:rsidP="00BA6169">
      <w:pPr>
        <w:tabs>
          <w:tab w:val="left" w:pos="0"/>
          <w:tab w:val="left" w:pos="567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outlineLvl w:val="0"/>
        <w:rPr>
          <w:rFonts w:ascii="Times New Roman" w:hAnsi="Times New Roman"/>
          <w:b/>
          <w:sz w:val="22"/>
          <w:szCs w:val="22"/>
          <w:lang w:val="el-GR"/>
        </w:rPr>
      </w:pPr>
      <w:r w:rsidRPr="00541EC2">
        <w:rPr>
          <w:rFonts w:ascii="Times New Roman" w:hAnsi="Times New Roman"/>
          <w:b/>
          <w:sz w:val="22"/>
          <w:szCs w:val="22"/>
          <w:lang w:val="el-GR"/>
        </w:rPr>
        <w:t>4.1</w:t>
      </w:r>
      <w:r w:rsidRPr="00541EC2">
        <w:rPr>
          <w:rFonts w:ascii="Times New Roman" w:hAnsi="Times New Roman"/>
          <w:b/>
          <w:sz w:val="22"/>
          <w:szCs w:val="22"/>
          <w:lang w:val="el-GR"/>
        </w:rPr>
        <w:tab/>
        <w:t>Θεραπευτικές ενδείξεις</w:t>
      </w:r>
    </w:p>
    <w:p w:rsidR="009B046A" w:rsidRPr="00541EC2" w:rsidRDefault="009B046A" w:rsidP="00F70868">
      <w:pPr>
        <w:tabs>
          <w:tab w:val="left" w:pos="0"/>
          <w:tab w:val="left" w:pos="567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b/>
          <w:sz w:val="22"/>
          <w:szCs w:val="22"/>
          <w:lang w:val="el-GR"/>
        </w:rPr>
      </w:pPr>
    </w:p>
    <w:p w:rsidR="009B046A" w:rsidRPr="00541EC2" w:rsidRDefault="009B046A" w:rsidP="00F70868">
      <w:pPr>
        <w:tabs>
          <w:tab w:val="left" w:pos="0"/>
          <w:tab w:val="left" w:pos="284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 xml:space="preserve">Προφύλαξη από τη γρίπη, ιδιαίτερα σε άτομα που διατρέχουν αυξημένο κίνδυνο εμφάνισης επιπλοκών που σχετίζονται με τη γρίπη. </w:t>
      </w:r>
    </w:p>
    <w:p w:rsidR="009B046A" w:rsidRPr="00541EC2" w:rsidRDefault="009B046A" w:rsidP="00F70868">
      <w:pPr>
        <w:tabs>
          <w:tab w:val="left" w:pos="0"/>
          <w:tab w:val="left" w:pos="284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6E114D" w:rsidRPr="00541EC2" w:rsidRDefault="00C30E2A" w:rsidP="00F70868">
      <w:pPr>
        <w:tabs>
          <w:tab w:val="left" w:pos="0"/>
          <w:tab w:val="left" w:pos="284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>Το</w:t>
      </w:r>
      <w:r w:rsidR="006E114D"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6E114D" w:rsidRPr="00541EC2">
        <w:rPr>
          <w:rFonts w:ascii="Times New Roman" w:hAnsi="Times New Roman"/>
          <w:sz w:val="22"/>
          <w:szCs w:val="22"/>
          <w:lang w:val="en-US"/>
        </w:rPr>
        <w:t>Influvac</w:t>
      </w:r>
      <w:r w:rsidR="006E114D"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4D778D" w:rsidRPr="00541EC2">
        <w:rPr>
          <w:rFonts w:ascii="Times New Roman" w:hAnsi="Times New Roman"/>
          <w:sz w:val="22"/>
          <w:szCs w:val="22"/>
          <w:lang w:val="en-US"/>
        </w:rPr>
        <w:t>s</w:t>
      </w:r>
      <w:r w:rsidR="006E114D" w:rsidRPr="00541EC2">
        <w:rPr>
          <w:rFonts w:ascii="Times New Roman" w:hAnsi="Times New Roman"/>
          <w:sz w:val="22"/>
          <w:szCs w:val="22"/>
          <w:lang w:val="en-US"/>
        </w:rPr>
        <w:t>ub</w:t>
      </w:r>
      <w:r w:rsidR="006E114D" w:rsidRPr="00541EC2">
        <w:rPr>
          <w:rFonts w:ascii="Times New Roman" w:hAnsi="Times New Roman"/>
          <w:sz w:val="22"/>
          <w:szCs w:val="22"/>
          <w:lang w:val="el-GR"/>
        </w:rPr>
        <w:t>-</w:t>
      </w:r>
      <w:r w:rsidR="006E114D" w:rsidRPr="00541EC2">
        <w:rPr>
          <w:rFonts w:ascii="Times New Roman" w:hAnsi="Times New Roman"/>
          <w:sz w:val="22"/>
          <w:szCs w:val="22"/>
          <w:lang w:val="en-US"/>
        </w:rPr>
        <w:t>unit</w:t>
      </w:r>
      <w:r w:rsidR="006E114D" w:rsidRPr="00541EC2">
        <w:rPr>
          <w:rFonts w:ascii="Times New Roman" w:hAnsi="Times New Roman"/>
          <w:sz w:val="22"/>
          <w:szCs w:val="22"/>
          <w:lang w:val="el-GR"/>
        </w:rPr>
        <w:t xml:space="preserve"> ενδείκνυται σε ενήλικες και παιδιά ηλικίας 6 μηνών</w:t>
      </w:r>
      <w:r w:rsidR="00AB2156" w:rsidRPr="00541EC2">
        <w:rPr>
          <w:rFonts w:ascii="Times New Roman" w:hAnsi="Times New Roman"/>
          <w:sz w:val="22"/>
          <w:szCs w:val="22"/>
          <w:lang w:val="el-GR"/>
        </w:rPr>
        <w:t xml:space="preserve"> και άνω</w:t>
      </w:r>
      <w:r w:rsidR="006E114D" w:rsidRPr="00541EC2">
        <w:rPr>
          <w:rFonts w:ascii="Times New Roman" w:hAnsi="Times New Roman"/>
          <w:sz w:val="22"/>
          <w:szCs w:val="22"/>
          <w:lang w:val="el-GR"/>
        </w:rPr>
        <w:t>.</w:t>
      </w:r>
    </w:p>
    <w:p w:rsidR="009B046A" w:rsidRPr="00541EC2" w:rsidRDefault="009B046A" w:rsidP="00F70868">
      <w:pPr>
        <w:tabs>
          <w:tab w:val="left" w:pos="0"/>
          <w:tab w:val="left" w:pos="284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trike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>Η χρήση του Ι</w:t>
      </w:r>
      <w:r w:rsidRPr="00541EC2">
        <w:rPr>
          <w:rFonts w:ascii="Times New Roman" w:hAnsi="Times New Roman"/>
          <w:sz w:val="22"/>
          <w:szCs w:val="22"/>
        </w:rPr>
        <w:t>nfluvac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541EC2">
        <w:rPr>
          <w:rFonts w:ascii="Times New Roman" w:hAnsi="Times New Roman"/>
          <w:sz w:val="22"/>
          <w:szCs w:val="22"/>
        </w:rPr>
        <w:t>sub</w:t>
      </w:r>
      <w:r w:rsidRPr="00541EC2">
        <w:rPr>
          <w:rFonts w:ascii="Times New Roman" w:hAnsi="Times New Roman"/>
          <w:sz w:val="22"/>
          <w:szCs w:val="22"/>
          <w:lang w:val="el-GR"/>
        </w:rPr>
        <w:t>-</w:t>
      </w:r>
      <w:r w:rsidRPr="00541EC2">
        <w:rPr>
          <w:rFonts w:ascii="Times New Roman" w:hAnsi="Times New Roman"/>
          <w:sz w:val="22"/>
          <w:szCs w:val="22"/>
        </w:rPr>
        <w:t>unit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θα γίνεται βάσει των επίσημων συστάσεων.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b/>
          <w:sz w:val="22"/>
          <w:szCs w:val="22"/>
          <w:lang w:val="el-GR"/>
        </w:rPr>
      </w:pP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b/>
          <w:sz w:val="22"/>
          <w:szCs w:val="22"/>
          <w:lang w:val="el-GR"/>
        </w:rPr>
        <w:t>4.2</w:t>
      </w:r>
      <w:r w:rsidRPr="00541EC2">
        <w:rPr>
          <w:rFonts w:ascii="Times New Roman" w:hAnsi="Times New Roman"/>
          <w:b/>
          <w:sz w:val="22"/>
          <w:szCs w:val="22"/>
          <w:lang w:val="el-GR"/>
        </w:rPr>
        <w:tab/>
        <w:t>Δοσολογία και τρόπος χορήγησης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9E1BB8" w:rsidRPr="00541EC2" w:rsidRDefault="006E114D" w:rsidP="00F70868">
      <w:pPr>
        <w:tabs>
          <w:tab w:val="left" w:pos="0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u w:val="single"/>
          <w:lang w:val="el-GR"/>
        </w:rPr>
      </w:pPr>
      <w:r w:rsidRPr="00541EC2">
        <w:rPr>
          <w:rFonts w:ascii="Times New Roman" w:hAnsi="Times New Roman"/>
          <w:sz w:val="22"/>
          <w:szCs w:val="22"/>
          <w:u w:val="single"/>
          <w:lang w:val="el-GR"/>
        </w:rPr>
        <w:t>Δοσολογία</w:t>
      </w:r>
    </w:p>
    <w:p w:rsidR="006E114D" w:rsidRPr="00541EC2" w:rsidRDefault="006E114D" w:rsidP="00F70868">
      <w:pPr>
        <w:tabs>
          <w:tab w:val="left" w:pos="0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u w:val="single"/>
          <w:lang w:val="el-GR"/>
        </w:rPr>
      </w:pPr>
      <w:r w:rsidRPr="00541EC2">
        <w:rPr>
          <w:rFonts w:ascii="Times New Roman" w:hAnsi="Times New Roman"/>
          <w:sz w:val="22"/>
          <w:szCs w:val="22"/>
          <w:u w:val="single"/>
          <w:lang w:val="el-GR"/>
        </w:rPr>
        <w:t xml:space="preserve"> </w:t>
      </w:r>
    </w:p>
    <w:p w:rsidR="009B046A" w:rsidRPr="00541EC2" w:rsidRDefault="009B046A" w:rsidP="00F70868">
      <w:pPr>
        <w:tabs>
          <w:tab w:val="left" w:pos="0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>Ενήλικες: 0</w:t>
      </w:r>
      <w:r w:rsidR="004D778D" w:rsidRPr="00541EC2">
        <w:rPr>
          <w:rFonts w:ascii="Times New Roman" w:hAnsi="Times New Roman"/>
          <w:sz w:val="22"/>
          <w:szCs w:val="22"/>
          <w:lang w:val="el-GR"/>
        </w:rPr>
        <w:t>,</w:t>
      </w:r>
      <w:r w:rsidRPr="00541EC2">
        <w:rPr>
          <w:rFonts w:ascii="Times New Roman" w:hAnsi="Times New Roman"/>
          <w:sz w:val="22"/>
          <w:szCs w:val="22"/>
          <w:lang w:val="el-GR"/>
        </w:rPr>
        <w:t>5</w:t>
      </w:r>
      <w:r w:rsidR="00AD7971" w:rsidRPr="00541EC2">
        <w:rPr>
          <w:rFonts w:ascii="Times New Roman" w:hAnsi="Times New Roman"/>
          <w:sz w:val="22"/>
          <w:szCs w:val="22"/>
          <w:lang w:val="el-GR"/>
        </w:rPr>
        <w:t> </w:t>
      </w:r>
      <w:r w:rsidRPr="00541EC2">
        <w:rPr>
          <w:rFonts w:ascii="Times New Roman" w:hAnsi="Times New Roman"/>
          <w:sz w:val="22"/>
          <w:szCs w:val="22"/>
        </w:rPr>
        <w:t>ml</w:t>
      </w:r>
      <w:r w:rsidRPr="00541EC2">
        <w:rPr>
          <w:rFonts w:ascii="Times New Roman" w:hAnsi="Times New Roman"/>
          <w:sz w:val="22"/>
          <w:szCs w:val="22"/>
          <w:lang w:val="el-GR"/>
        </w:rPr>
        <w:t>.</w:t>
      </w:r>
    </w:p>
    <w:p w:rsidR="006E114D" w:rsidRPr="00541EC2" w:rsidRDefault="006E114D" w:rsidP="00F70868">
      <w:pPr>
        <w:tabs>
          <w:tab w:val="left" w:pos="0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6E114D" w:rsidRPr="00541EC2" w:rsidRDefault="006E114D" w:rsidP="00F70868">
      <w:pPr>
        <w:tabs>
          <w:tab w:val="left" w:pos="0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i/>
          <w:sz w:val="22"/>
          <w:szCs w:val="22"/>
          <w:lang w:val="el-GR"/>
        </w:rPr>
      </w:pPr>
      <w:r w:rsidRPr="00541EC2">
        <w:rPr>
          <w:rFonts w:ascii="Times New Roman" w:hAnsi="Times New Roman"/>
          <w:i/>
          <w:sz w:val="22"/>
          <w:szCs w:val="22"/>
          <w:lang w:val="el-GR"/>
        </w:rPr>
        <w:lastRenderedPageBreak/>
        <w:t>Παιδιατρικός πληθυσμός</w:t>
      </w:r>
    </w:p>
    <w:p w:rsidR="006E114D" w:rsidRPr="00541EC2" w:rsidRDefault="006E114D" w:rsidP="00F70868">
      <w:pPr>
        <w:tabs>
          <w:tab w:val="left" w:pos="0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>Παιδιά ηλικίας πάνω από 36 μηνών: 0</w:t>
      </w:r>
      <w:r w:rsidR="004D778D" w:rsidRPr="00541EC2">
        <w:rPr>
          <w:rFonts w:ascii="Times New Roman" w:hAnsi="Times New Roman"/>
          <w:sz w:val="22"/>
          <w:szCs w:val="22"/>
          <w:lang w:val="el-GR"/>
        </w:rPr>
        <w:t>,</w:t>
      </w:r>
      <w:r w:rsidRPr="00541EC2">
        <w:rPr>
          <w:rFonts w:ascii="Times New Roman" w:hAnsi="Times New Roman"/>
          <w:sz w:val="22"/>
          <w:szCs w:val="22"/>
          <w:lang w:val="el-GR"/>
        </w:rPr>
        <w:t>5</w:t>
      </w:r>
      <w:r w:rsidR="00AD7971" w:rsidRPr="00541EC2">
        <w:rPr>
          <w:rFonts w:ascii="Times New Roman" w:hAnsi="Times New Roman"/>
          <w:sz w:val="22"/>
          <w:szCs w:val="22"/>
          <w:lang w:val="el-GR"/>
        </w:rPr>
        <w:t> </w:t>
      </w:r>
      <w:r w:rsidRPr="00541EC2">
        <w:rPr>
          <w:rFonts w:ascii="Times New Roman" w:hAnsi="Times New Roman"/>
          <w:sz w:val="22"/>
          <w:szCs w:val="22"/>
        </w:rPr>
        <w:t>ml</w:t>
      </w:r>
      <w:r w:rsidRPr="00541EC2">
        <w:rPr>
          <w:rFonts w:ascii="Times New Roman" w:hAnsi="Times New Roman"/>
          <w:sz w:val="22"/>
          <w:szCs w:val="22"/>
          <w:lang w:val="el-GR"/>
        </w:rPr>
        <w:t>.</w:t>
      </w:r>
    </w:p>
    <w:p w:rsidR="006E114D" w:rsidRPr="00541EC2" w:rsidRDefault="006E114D" w:rsidP="00F70868">
      <w:pPr>
        <w:tabs>
          <w:tab w:val="left" w:pos="0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9B046A" w:rsidRPr="00541EC2" w:rsidRDefault="009B046A" w:rsidP="00F70868">
      <w:pPr>
        <w:tabs>
          <w:tab w:val="left" w:pos="0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 xml:space="preserve">Παιδιά ηλικίας από 6 μηνών έως 35 μηνών: Τα κλινικά δεδομένα είναι περιορισμένα. </w:t>
      </w:r>
      <w:r w:rsidR="006E114D" w:rsidRPr="00541EC2">
        <w:rPr>
          <w:rFonts w:ascii="Times New Roman" w:hAnsi="Times New Roman"/>
          <w:sz w:val="22"/>
          <w:szCs w:val="22"/>
          <w:lang w:val="el-GR"/>
        </w:rPr>
        <w:t>Μπορούν να χορηγηθούν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δόσεις 0</w:t>
      </w:r>
      <w:r w:rsidR="004D778D" w:rsidRPr="00541EC2">
        <w:rPr>
          <w:rFonts w:ascii="Times New Roman" w:hAnsi="Times New Roman"/>
          <w:sz w:val="22"/>
          <w:szCs w:val="22"/>
          <w:lang w:val="el-GR"/>
        </w:rPr>
        <w:t>,</w:t>
      </w:r>
      <w:r w:rsidRPr="00541EC2">
        <w:rPr>
          <w:rFonts w:ascii="Times New Roman" w:hAnsi="Times New Roman"/>
          <w:sz w:val="22"/>
          <w:szCs w:val="22"/>
          <w:lang w:val="el-GR"/>
        </w:rPr>
        <w:t>25</w:t>
      </w:r>
      <w:r w:rsidR="00AD7971" w:rsidRPr="00541EC2">
        <w:rPr>
          <w:rFonts w:ascii="Times New Roman" w:hAnsi="Times New Roman"/>
          <w:sz w:val="22"/>
          <w:szCs w:val="22"/>
          <w:lang w:val="el-GR"/>
        </w:rPr>
        <w:t> </w:t>
      </w:r>
      <w:r w:rsidRPr="00541EC2">
        <w:rPr>
          <w:rFonts w:ascii="Times New Roman" w:hAnsi="Times New Roman"/>
          <w:sz w:val="22"/>
          <w:szCs w:val="22"/>
        </w:rPr>
        <w:t>ml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ή 0</w:t>
      </w:r>
      <w:r w:rsidR="004D778D" w:rsidRPr="00541EC2">
        <w:rPr>
          <w:rFonts w:ascii="Times New Roman" w:hAnsi="Times New Roman"/>
          <w:sz w:val="22"/>
          <w:szCs w:val="22"/>
          <w:lang w:val="el-GR"/>
        </w:rPr>
        <w:t>,</w:t>
      </w:r>
      <w:r w:rsidRPr="00541EC2">
        <w:rPr>
          <w:rFonts w:ascii="Times New Roman" w:hAnsi="Times New Roman"/>
          <w:sz w:val="22"/>
          <w:szCs w:val="22"/>
          <w:lang w:val="el-GR"/>
        </w:rPr>
        <w:t>5</w:t>
      </w:r>
      <w:r w:rsidR="00AD7971" w:rsidRPr="00541EC2">
        <w:rPr>
          <w:rFonts w:ascii="Times New Roman" w:hAnsi="Times New Roman"/>
          <w:sz w:val="22"/>
          <w:szCs w:val="22"/>
          <w:lang w:val="el-GR"/>
        </w:rPr>
        <w:t> </w:t>
      </w:r>
      <w:r w:rsidRPr="00541EC2">
        <w:rPr>
          <w:rFonts w:ascii="Times New Roman" w:hAnsi="Times New Roman"/>
          <w:sz w:val="22"/>
          <w:szCs w:val="22"/>
        </w:rPr>
        <w:t>ml</w:t>
      </w:r>
      <w:r w:rsidR="00231518" w:rsidRPr="00541EC2">
        <w:rPr>
          <w:rFonts w:ascii="Times New Roman" w:hAnsi="Times New Roman"/>
          <w:sz w:val="22"/>
          <w:szCs w:val="22"/>
          <w:lang w:val="el-GR"/>
        </w:rPr>
        <w:t xml:space="preserve"> – για λεπτομερείς συστάσεις αναφορικά με τη χορήγηση δόσεων 0,25 </w:t>
      </w:r>
      <w:r w:rsidR="00231518" w:rsidRPr="00541EC2">
        <w:rPr>
          <w:rFonts w:ascii="Times New Roman" w:hAnsi="Times New Roman"/>
          <w:sz w:val="22"/>
          <w:szCs w:val="22"/>
          <w:lang w:val="en-US"/>
        </w:rPr>
        <w:t>ml</w:t>
      </w:r>
      <w:r w:rsidR="00231518" w:rsidRPr="00541EC2">
        <w:rPr>
          <w:rFonts w:ascii="Times New Roman" w:hAnsi="Times New Roman"/>
          <w:sz w:val="22"/>
          <w:szCs w:val="22"/>
          <w:lang w:val="el-GR"/>
        </w:rPr>
        <w:t xml:space="preserve"> ή 0,5 </w:t>
      </w:r>
      <w:r w:rsidR="00231518" w:rsidRPr="00541EC2">
        <w:rPr>
          <w:rFonts w:ascii="Times New Roman" w:hAnsi="Times New Roman"/>
          <w:sz w:val="22"/>
          <w:szCs w:val="22"/>
          <w:lang w:val="en-US"/>
        </w:rPr>
        <w:t>ml</w:t>
      </w:r>
      <w:r w:rsidR="00231518" w:rsidRPr="00541EC2">
        <w:rPr>
          <w:rFonts w:ascii="Times New Roman" w:hAnsi="Times New Roman"/>
          <w:sz w:val="22"/>
          <w:szCs w:val="22"/>
          <w:lang w:val="el-GR"/>
        </w:rPr>
        <w:t>, βλ. παράγραφο 6.6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. </w:t>
      </w:r>
      <w:r w:rsidR="006E114D" w:rsidRPr="00541EC2">
        <w:rPr>
          <w:rFonts w:ascii="Times New Roman" w:hAnsi="Times New Roman"/>
          <w:sz w:val="22"/>
          <w:szCs w:val="22"/>
          <w:lang w:val="el-GR"/>
        </w:rPr>
        <w:t>Η χορηγούμενη δόση πρέπει να συμφωνεί με τις υπάρχουσες εθνικές συστάσεις.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</w:p>
    <w:p w:rsidR="009B046A" w:rsidRPr="00541EC2" w:rsidRDefault="009B046A" w:rsidP="00F70868">
      <w:pPr>
        <w:tabs>
          <w:tab w:val="left" w:pos="0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>Σε παιδιά</w:t>
      </w:r>
      <w:r w:rsidR="004D6A78" w:rsidRPr="00541EC2">
        <w:rPr>
          <w:rFonts w:ascii="Times New Roman" w:hAnsi="Times New Roman"/>
          <w:sz w:val="22"/>
          <w:szCs w:val="22"/>
          <w:lang w:val="el-GR"/>
        </w:rPr>
        <w:t>,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που δεν έχουν προηγουμένως εμβολιασθεί, πρέπει να χορηγείται μια δεύτερη δόση μετά από τουλάχιστον 4 εβδομάδες.</w:t>
      </w:r>
    </w:p>
    <w:p w:rsidR="009B046A" w:rsidRPr="00541EC2" w:rsidRDefault="009B046A" w:rsidP="00F70868">
      <w:pPr>
        <w:tabs>
          <w:tab w:val="left" w:pos="0"/>
          <w:tab w:val="left" w:pos="709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6E114D" w:rsidRPr="00541EC2" w:rsidRDefault="006E114D" w:rsidP="00F70868">
      <w:pPr>
        <w:tabs>
          <w:tab w:val="left" w:pos="0"/>
          <w:tab w:val="left" w:pos="709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 xml:space="preserve">Παιδιά μικρότερα των 6 μηνών: η </w:t>
      </w:r>
      <w:r w:rsidR="00833B9E" w:rsidRPr="00541EC2">
        <w:rPr>
          <w:rFonts w:ascii="Times New Roman" w:hAnsi="Times New Roman"/>
          <w:sz w:val="22"/>
          <w:szCs w:val="22"/>
          <w:lang w:val="el-GR"/>
        </w:rPr>
        <w:t>ασ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φάλεια και η αποτελεσματικότητα του </w:t>
      </w:r>
      <w:r w:rsidRPr="00541EC2">
        <w:rPr>
          <w:rFonts w:ascii="Times New Roman" w:hAnsi="Times New Roman"/>
          <w:sz w:val="22"/>
          <w:szCs w:val="22"/>
          <w:lang w:val="en-US"/>
        </w:rPr>
        <w:t>Influvac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4D778D" w:rsidRPr="00541EC2">
        <w:rPr>
          <w:rFonts w:ascii="Times New Roman" w:hAnsi="Times New Roman"/>
          <w:sz w:val="22"/>
          <w:szCs w:val="22"/>
          <w:lang w:val="en-US"/>
        </w:rPr>
        <w:t>s</w:t>
      </w:r>
      <w:r w:rsidRPr="00541EC2">
        <w:rPr>
          <w:rFonts w:ascii="Times New Roman" w:hAnsi="Times New Roman"/>
          <w:sz w:val="22"/>
          <w:szCs w:val="22"/>
          <w:lang w:val="en-US"/>
        </w:rPr>
        <w:t>ub</w:t>
      </w:r>
      <w:r w:rsidRPr="00541EC2">
        <w:rPr>
          <w:rFonts w:ascii="Times New Roman" w:hAnsi="Times New Roman"/>
          <w:sz w:val="22"/>
          <w:szCs w:val="22"/>
          <w:lang w:val="el-GR"/>
        </w:rPr>
        <w:t>-</w:t>
      </w:r>
      <w:r w:rsidRPr="00541EC2">
        <w:rPr>
          <w:rFonts w:ascii="Times New Roman" w:hAnsi="Times New Roman"/>
          <w:sz w:val="22"/>
          <w:szCs w:val="22"/>
          <w:lang w:val="en-US"/>
        </w:rPr>
        <w:t>unit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σε παιδιά μικρότερα των 6 μηνών δεν έχει καθιερωθεί. Δεν υπάρχουν διαθέσιμα δεδομένα. </w:t>
      </w:r>
    </w:p>
    <w:p w:rsidR="006E114D" w:rsidRPr="00541EC2" w:rsidRDefault="006E114D" w:rsidP="00F70868">
      <w:pPr>
        <w:tabs>
          <w:tab w:val="left" w:pos="0"/>
          <w:tab w:val="left" w:pos="709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u w:val="single"/>
          <w:lang w:val="el-GR"/>
        </w:rPr>
      </w:pPr>
    </w:p>
    <w:p w:rsidR="006E114D" w:rsidRPr="00541EC2" w:rsidRDefault="006B608B" w:rsidP="00F70868">
      <w:pPr>
        <w:tabs>
          <w:tab w:val="left" w:pos="0"/>
          <w:tab w:val="left" w:pos="709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b/>
          <w:sz w:val="22"/>
          <w:szCs w:val="22"/>
          <w:u w:val="single"/>
          <w:lang w:val="el-GR"/>
        </w:rPr>
      </w:pPr>
      <w:r w:rsidRPr="00541EC2">
        <w:rPr>
          <w:rFonts w:ascii="Times New Roman" w:hAnsi="Times New Roman"/>
          <w:b/>
          <w:sz w:val="22"/>
          <w:szCs w:val="22"/>
          <w:u w:val="single"/>
          <w:lang w:val="el-GR"/>
        </w:rPr>
        <w:t xml:space="preserve">Τρόπος </w:t>
      </w:r>
      <w:r w:rsidR="006E114D" w:rsidRPr="00541EC2">
        <w:rPr>
          <w:rFonts w:ascii="Times New Roman" w:hAnsi="Times New Roman"/>
          <w:b/>
          <w:sz w:val="22"/>
          <w:szCs w:val="22"/>
          <w:u w:val="single"/>
          <w:lang w:val="el-GR"/>
        </w:rPr>
        <w:t>Χορήγησης</w:t>
      </w:r>
    </w:p>
    <w:p w:rsidR="009E1BB8" w:rsidRPr="00541EC2" w:rsidRDefault="009E1BB8" w:rsidP="00F70868">
      <w:pPr>
        <w:tabs>
          <w:tab w:val="left" w:pos="0"/>
          <w:tab w:val="left" w:pos="709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u w:val="single"/>
          <w:lang w:val="el-GR"/>
        </w:rPr>
      </w:pP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 xml:space="preserve">Το εμβόλιο πρέπει να χορηγείται ενδομυϊκά ή βαθιά υποδόρια. </w:t>
      </w:r>
    </w:p>
    <w:p w:rsidR="0065766A" w:rsidRPr="00541EC2" w:rsidRDefault="006576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65766A" w:rsidRPr="00541EC2" w:rsidRDefault="006576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 xml:space="preserve">Προφυλάξεις που πρέπει να </w:t>
      </w:r>
      <w:r w:rsidR="008235B1" w:rsidRPr="00541EC2">
        <w:rPr>
          <w:rFonts w:ascii="Times New Roman" w:hAnsi="Times New Roman"/>
          <w:sz w:val="22"/>
          <w:szCs w:val="22"/>
          <w:lang w:val="el-GR"/>
        </w:rPr>
        <w:t xml:space="preserve">ληφθούν 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πριν </w:t>
      </w:r>
      <w:r w:rsidR="00BA7FC9" w:rsidRPr="00541EC2">
        <w:rPr>
          <w:rFonts w:ascii="Times New Roman" w:hAnsi="Times New Roman"/>
          <w:sz w:val="22"/>
          <w:szCs w:val="22"/>
          <w:lang w:val="el-GR"/>
        </w:rPr>
        <w:t xml:space="preserve">από </w:t>
      </w:r>
      <w:r w:rsidRPr="00541EC2">
        <w:rPr>
          <w:rFonts w:ascii="Times New Roman" w:hAnsi="Times New Roman"/>
          <w:sz w:val="22"/>
          <w:szCs w:val="22"/>
          <w:lang w:val="el-GR"/>
        </w:rPr>
        <w:t>το</w:t>
      </w:r>
      <w:r w:rsidR="00BA7FC9" w:rsidRPr="00541EC2">
        <w:rPr>
          <w:rFonts w:ascii="Times New Roman" w:hAnsi="Times New Roman"/>
          <w:sz w:val="22"/>
          <w:szCs w:val="22"/>
          <w:lang w:val="el-GR"/>
        </w:rPr>
        <w:t>ν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χειρισμό </w:t>
      </w:r>
      <w:r w:rsidR="00BA7FC9" w:rsidRPr="00541EC2">
        <w:rPr>
          <w:rFonts w:ascii="Times New Roman" w:hAnsi="Times New Roman"/>
          <w:sz w:val="22"/>
          <w:szCs w:val="22"/>
          <w:lang w:val="el-GR"/>
        </w:rPr>
        <w:t xml:space="preserve">ή την 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χορήγηση του φαρμακευτικού προϊόντος: 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>Για οδηγίες προετοιμασίας</w:t>
      </w:r>
      <w:r w:rsidR="0065766A" w:rsidRPr="00541EC2">
        <w:rPr>
          <w:rFonts w:ascii="Times New Roman" w:hAnsi="Times New Roman"/>
          <w:sz w:val="22"/>
          <w:szCs w:val="22"/>
          <w:lang w:val="el-GR"/>
        </w:rPr>
        <w:t xml:space="preserve"> του φαρμακευτικού προϊόντος πριν τη</w:t>
      </w:r>
      <w:r w:rsidR="00BA7FC9" w:rsidRPr="00541EC2">
        <w:rPr>
          <w:rFonts w:ascii="Times New Roman" w:hAnsi="Times New Roman"/>
          <w:sz w:val="22"/>
          <w:szCs w:val="22"/>
          <w:lang w:val="el-GR"/>
        </w:rPr>
        <w:t>ν</w:t>
      </w:r>
      <w:r w:rsidR="0065766A" w:rsidRPr="00541EC2">
        <w:rPr>
          <w:rFonts w:ascii="Times New Roman" w:hAnsi="Times New Roman"/>
          <w:sz w:val="22"/>
          <w:szCs w:val="22"/>
          <w:lang w:val="el-GR"/>
        </w:rPr>
        <w:t xml:space="preserve"> χορήγηση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, </w:t>
      </w:r>
      <w:r w:rsidR="00BA7FC9" w:rsidRPr="00541EC2">
        <w:rPr>
          <w:rFonts w:ascii="Times New Roman" w:hAnsi="Times New Roman"/>
          <w:sz w:val="22"/>
          <w:szCs w:val="22"/>
          <w:lang w:val="el-GR"/>
        </w:rPr>
        <w:t xml:space="preserve">βλ. </w:t>
      </w:r>
      <w:r w:rsidR="0065766A" w:rsidRPr="00541EC2">
        <w:rPr>
          <w:rFonts w:ascii="Times New Roman" w:hAnsi="Times New Roman"/>
          <w:sz w:val="22"/>
          <w:szCs w:val="22"/>
          <w:lang w:val="el-GR"/>
        </w:rPr>
        <w:t xml:space="preserve">παράγραφο </w:t>
      </w:r>
      <w:r w:rsidRPr="00541EC2">
        <w:rPr>
          <w:rFonts w:ascii="Times New Roman" w:hAnsi="Times New Roman"/>
          <w:sz w:val="22"/>
          <w:szCs w:val="22"/>
          <w:lang w:val="el-GR"/>
        </w:rPr>
        <w:t>6.6.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outlineLvl w:val="0"/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b/>
          <w:sz w:val="22"/>
          <w:szCs w:val="22"/>
          <w:lang w:val="el-GR"/>
        </w:rPr>
        <w:t>4.3</w:t>
      </w:r>
      <w:r w:rsidRPr="00541EC2">
        <w:rPr>
          <w:rFonts w:ascii="Times New Roman" w:hAnsi="Times New Roman"/>
          <w:b/>
          <w:sz w:val="22"/>
          <w:szCs w:val="22"/>
          <w:lang w:val="el-GR"/>
        </w:rPr>
        <w:tab/>
        <w:t>Αντενδείξεις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color w:val="0000FF"/>
          <w:sz w:val="22"/>
          <w:szCs w:val="22"/>
          <w:lang w:val="el-GR"/>
        </w:rPr>
      </w:pPr>
    </w:p>
    <w:p w:rsidR="009B046A" w:rsidRPr="00541EC2" w:rsidRDefault="00C853CB" w:rsidP="00D14F37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>Υ</w:t>
      </w:r>
      <w:r w:rsidR="009B046A" w:rsidRPr="00541EC2">
        <w:rPr>
          <w:rFonts w:ascii="Times New Roman" w:hAnsi="Times New Roman"/>
          <w:sz w:val="22"/>
          <w:szCs w:val="22"/>
          <w:lang w:val="el-GR"/>
        </w:rPr>
        <w:t xml:space="preserve">περευαισθησία </w:t>
      </w:r>
      <w:r w:rsidR="00BA7FC9" w:rsidRPr="00541EC2">
        <w:rPr>
          <w:rFonts w:ascii="Times New Roman" w:hAnsi="Times New Roman"/>
          <w:sz w:val="22"/>
          <w:szCs w:val="22"/>
          <w:lang w:val="el-GR"/>
        </w:rPr>
        <w:t>στις δραστικές ουσίες</w:t>
      </w:r>
      <w:r w:rsidR="009B046A" w:rsidRPr="00541EC2">
        <w:rPr>
          <w:rFonts w:ascii="Times New Roman" w:hAnsi="Times New Roman"/>
          <w:sz w:val="22"/>
          <w:szCs w:val="22"/>
          <w:lang w:val="el-GR"/>
        </w:rPr>
        <w:t xml:space="preserve">, σε </w:t>
      </w:r>
      <w:r w:rsidR="0070511D" w:rsidRPr="00541EC2">
        <w:rPr>
          <w:rFonts w:ascii="Times New Roman" w:hAnsi="Times New Roman"/>
          <w:sz w:val="22"/>
          <w:szCs w:val="22"/>
          <w:lang w:val="el-GR"/>
        </w:rPr>
        <w:t>κάποιο από τα έκδοχα</w:t>
      </w:r>
      <w:r w:rsidR="009B046A"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65766A" w:rsidRPr="00541EC2">
        <w:rPr>
          <w:rFonts w:ascii="Times New Roman" w:hAnsi="Times New Roman"/>
          <w:sz w:val="22"/>
          <w:szCs w:val="22"/>
          <w:lang w:val="el-GR"/>
        </w:rPr>
        <w:t xml:space="preserve">ή σε οποιοδήποτε συστατικό μπορεί να είναι παρόν σε ίχνη όπως αυγά </w:t>
      </w:r>
      <w:r w:rsidR="00826909" w:rsidRPr="00541EC2">
        <w:rPr>
          <w:rFonts w:ascii="Times New Roman" w:hAnsi="Times New Roman"/>
          <w:sz w:val="22"/>
          <w:szCs w:val="22"/>
          <w:lang w:val="el-GR"/>
        </w:rPr>
        <w:t>(</w:t>
      </w:r>
      <w:r w:rsidR="009D4F07" w:rsidRPr="00541EC2">
        <w:rPr>
          <w:rFonts w:ascii="Times New Roman" w:hAnsi="Times New Roman"/>
          <w:sz w:val="22"/>
          <w:szCs w:val="22"/>
          <w:lang w:val="el-GR"/>
        </w:rPr>
        <w:t>οβαλβουμίνη</w:t>
      </w:r>
      <w:r w:rsidR="0065766A" w:rsidRPr="00541EC2">
        <w:rPr>
          <w:rFonts w:ascii="Times New Roman" w:hAnsi="Times New Roman"/>
          <w:sz w:val="22"/>
          <w:szCs w:val="22"/>
          <w:lang w:val="el-GR"/>
        </w:rPr>
        <w:t>, πρωτεΐνες όρνιθας</w:t>
      </w:r>
      <w:r w:rsidR="00826909" w:rsidRPr="00541EC2">
        <w:rPr>
          <w:rFonts w:ascii="Times New Roman" w:hAnsi="Times New Roman"/>
          <w:sz w:val="22"/>
          <w:szCs w:val="22"/>
          <w:lang w:val="el-GR"/>
        </w:rPr>
        <w:t>)</w:t>
      </w:r>
      <w:r w:rsidR="009D4F07" w:rsidRPr="00541EC2">
        <w:rPr>
          <w:rFonts w:ascii="Times New Roman" w:hAnsi="Times New Roman"/>
          <w:sz w:val="22"/>
          <w:szCs w:val="22"/>
          <w:lang w:val="el-GR"/>
        </w:rPr>
        <w:t xml:space="preserve">, </w:t>
      </w:r>
      <w:r w:rsidR="009B046A" w:rsidRPr="00541EC2">
        <w:rPr>
          <w:rFonts w:ascii="Times New Roman" w:hAnsi="Times New Roman"/>
          <w:sz w:val="22"/>
          <w:szCs w:val="22"/>
          <w:lang w:val="el-GR"/>
        </w:rPr>
        <w:t>φορμαλδεΰδη, cetyltrimethylammonium bromide, polysorbate</w:t>
      </w:r>
      <w:r w:rsidR="00AD7971" w:rsidRPr="00541EC2">
        <w:rPr>
          <w:rFonts w:ascii="Times New Roman" w:hAnsi="Times New Roman"/>
          <w:sz w:val="22"/>
          <w:szCs w:val="22"/>
          <w:lang w:val="el-GR"/>
        </w:rPr>
        <w:t> </w:t>
      </w:r>
      <w:r w:rsidR="009B046A" w:rsidRPr="00541EC2">
        <w:rPr>
          <w:rFonts w:ascii="Times New Roman" w:hAnsi="Times New Roman"/>
          <w:sz w:val="22"/>
          <w:szCs w:val="22"/>
          <w:lang w:val="el-GR"/>
        </w:rPr>
        <w:t>80 ή γενταμυκίνη.</w:t>
      </w:r>
    </w:p>
    <w:p w:rsidR="009B046A" w:rsidRPr="00541EC2" w:rsidRDefault="009B046A" w:rsidP="00D14F37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9B046A" w:rsidRPr="00541EC2" w:rsidRDefault="009B046A" w:rsidP="00D14F37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>Ο εμβολιασμός πρέπει να αναβάλλεται σε ασθενείς με εμπύρετη νόσο ή οξεία λοίμωξη.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993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color w:val="0000FF"/>
          <w:sz w:val="22"/>
          <w:szCs w:val="22"/>
          <w:lang w:val="el-GR"/>
        </w:rPr>
      </w:pPr>
    </w:p>
    <w:p w:rsidR="009B046A" w:rsidRPr="00541EC2" w:rsidRDefault="009B046A" w:rsidP="00BA6169">
      <w:pPr>
        <w:tabs>
          <w:tab w:val="left" w:pos="0"/>
          <w:tab w:val="left" w:pos="567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22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outlineLvl w:val="0"/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b/>
          <w:sz w:val="22"/>
          <w:szCs w:val="22"/>
          <w:lang w:val="el-GR"/>
        </w:rPr>
        <w:t>4.4</w:t>
      </w:r>
      <w:r w:rsidRPr="00541EC2">
        <w:rPr>
          <w:rFonts w:ascii="Times New Roman" w:hAnsi="Times New Roman"/>
          <w:b/>
          <w:sz w:val="22"/>
          <w:szCs w:val="22"/>
          <w:lang w:val="el-GR"/>
        </w:rPr>
        <w:tab/>
        <w:t>Ειδικές προειδοποιήσεις και προφυλάξεις κατά τη χρήση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9B046A" w:rsidRPr="00541EC2" w:rsidRDefault="009B046A" w:rsidP="00F70868">
      <w:pPr>
        <w:tabs>
          <w:tab w:val="left" w:pos="0"/>
          <w:tab w:val="left" w:pos="564"/>
          <w:tab w:val="left" w:pos="851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>Όπως συνιστάται για όλα τα ενέσιμα εμβόλια, πρέπει πάντα να υπάρχει διαθέσιμη άμεση θεραπευτική αγωγή και παρακολούθηση στην περίπτωση αναφυλακτικής αντίδρασης μετά από τη χορήγηση του εμβολίου.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851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9B046A" w:rsidRPr="00541EC2" w:rsidRDefault="009B046A" w:rsidP="00F70868">
      <w:pPr>
        <w:tabs>
          <w:tab w:val="left" w:pos="0"/>
          <w:tab w:val="left" w:pos="564"/>
          <w:tab w:val="left" w:pos="851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outlineLvl w:val="0"/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>Το εμβόλιο Ι</w:t>
      </w:r>
      <w:r w:rsidRPr="00541EC2">
        <w:rPr>
          <w:rFonts w:ascii="Times New Roman" w:hAnsi="Times New Roman"/>
          <w:sz w:val="22"/>
          <w:szCs w:val="22"/>
        </w:rPr>
        <w:t>nfluvac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541EC2">
        <w:rPr>
          <w:rFonts w:ascii="Times New Roman" w:hAnsi="Times New Roman"/>
          <w:sz w:val="22"/>
          <w:szCs w:val="22"/>
        </w:rPr>
        <w:t>sub</w:t>
      </w:r>
      <w:r w:rsidRPr="00541EC2">
        <w:rPr>
          <w:rFonts w:ascii="Times New Roman" w:hAnsi="Times New Roman"/>
          <w:sz w:val="22"/>
          <w:szCs w:val="22"/>
          <w:lang w:val="el-GR"/>
        </w:rPr>
        <w:t>-</w:t>
      </w:r>
      <w:r w:rsidRPr="00541EC2">
        <w:rPr>
          <w:rFonts w:ascii="Times New Roman" w:hAnsi="Times New Roman"/>
          <w:sz w:val="22"/>
          <w:szCs w:val="22"/>
        </w:rPr>
        <w:t>unit</w:t>
      </w:r>
      <w:r w:rsidRPr="00541EC2">
        <w:rPr>
          <w:rFonts w:ascii="Times New Roman" w:hAnsi="Times New Roman"/>
          <w:sz w:val="22"/>
          <w:szCs w:val="22"/>
          <w:vertAlign w:val="superscript"/>
          <w:lang w:val="el-GR"/>
        </w:rPr>
        <w:t xml:space="preserve"> </w:t>
      </w:r>
      <w:r w:rsidRPr="00541EC2">
        <w:rPr>
          <w:rFonts w:ascii="Times New Roman" w:hAnsi="Times New Roman"/>
          <w:sz w:val="22"/>
          <w:szCs w:val="22"/>
          <w:lang w:val="el-GR"/>
        </w:rPr>
        <w:t>δεν πρέπει σε καμ</w:t>
      </w:r>
      <w:r w:rsidR="00C853CB" w:rsidRPr="00541EC2">
        <w:rPr>
          <w:rFonts w:ascii="Times New Roman" w:hAnsi="Times New Roman"/>
          <w:sz w:val="22"/>
          <w:szCs w:val="22"/>
          <w:lang w:val="el-GR"/>
        </w:rPr>
        <w:t>ία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περίπτωση να χορηγείται ενδοαγγειακά.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851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9B046A" w:rsidRPr="00541EC2" w:rsidRDefault="009B046A" w:rsidP="00F70868">
      <w:pPr>
        <w:tabs>
          <w:tab w:val="left" w:pos="0"/>
          <w:tab w:val="left" w:pos="564"/>
          <w:tab w:val="left" w:pos="851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 xml:space="preserve">Η αντισωματική απάντηση σε ασθενείς με ενδογενή ή ιατρογενή ανοσοκαταστολή πιθανόν να είναι ανεπαρκής. </w:t>
      </w:r>
    </w:p>
    <w:p w:rsidR="00B4549D" w:rsidRPr="00541EC2" w:rsidRDefault="00B4549D" w:rsidP="00F70868">
      <w:pPr>
        <w:tabs>
          <w:tab w:val="left" w:pos="0"/>
          <w:tab w:val="left" w:pos="564"/>
          <w:tab w:val="left" w:pos="851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B4549D" w:rsidRPr="00541EC2" w:rsidRDefault="00B4549D" w:rsidP="00F70868">
      <w:pPr>
        <w:tabs>
          <w:tab w:val="left" w:pos="0"/>
          <w:tab w:val="left" w:pos="564"/>
          <w:tab w:val="left" w:pos="851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>Παρέμβαση σε ορολογική εξέταση: βλέπε παράγραφο 4.5.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b/>
          <w:sz w:val="22"/>
          <w:szCs w:val="22"/>
          <w:lang w:val="el-GR"/>
        </w:rPr>
      </w:pPr>
    </w:p>
    <w:p w:rsidR="009B046A" w:rsidRPr="00541EC2" w:rsidRDefault="009B046A" w:rsidP="00DB133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outlineLvl w:val="0"/>
        <w:rPr>
          <w:rFonts w:ascii="Times New Roman" w:hAnsi="Times New Roman"/>
          <w:b/>
          <w:sz w:val="22"/>
          <w:szCs w:val="22"/>
          <w:lang w:val="el-GR"/>
        </w:rPr>
      </w:pPr>
      <w:r w:rsidRPr="00541EC2">
        <w:rPr>
          <w:rFonts w:ascii="Times New Roman" w:hAnsi="Times New Roman"/>
          <w:b/>
          <w:sz w:val="22"/>
          <w:szCs w:val="22"/>
          <w:lang w:val="el-GR"/>
        </w:rPr>
        <w:t>4.5</w:t>
      </w:r>
      <w:r w:rsidRPr="00541EC2">
        <w:rPr>
          <w:rFonts w:ascii="Times New Roman" w:hAnsi="Times New Roman"/>
          <w:b/>
          <w:sz w:val="22"/>
          <w:szCs w:val="22"/>
          <w:lang w:val="el-GR"/>
        </w:rPr>
        <w:tab/>
        <w:t>Αλληλεπιδράσεις με άλλα φαρμακευτικά προϊόντα και άλλες μορφές αλληλεπίδρασης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9B046A" w:rsidRPr="00541EC2" w:rsidRDefault="009B046A" w:rsidP="00F70868">
      <w:pPr>
        <w:tabs>
          <w:tab w:val="left" w:pos="0"/>
          <w:tab w:val="left" w:pos="564"/>
          <w:tab w:val="left" w:pos="993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>Το εμβόλιο Ι</w:t>
      </w:r>
      <w:r w:rsidRPr="00541EC2">
        <w:rPr>
          <w:rFonts w:ascii="Times New Roman" w:hAnsi="Times New Roman"/>
          <w:sz w:val="22"/>
          <w:szCs w:val="22"/>
        </w:rPr>
        <w:t>nfluvac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4D778D" w:rsidRPr="00541EC2">
        <w:rPr>
          <w:rFonts w:ascii="Times New Roman" w:hAnsi="Times New Roman"/>
          <w:sz w:val="22"/>
          <w:szCs w:val="22"/>
        </w:rPr>
        <w:t>s</w:t>
      </w:r>
      <w:r w:rsidR="000376AB" w:rsidRPr="00541EC2">
        <w:rPr>
          <w:rFonts w:ascii="Times New Roman" w:hAnsi="Times New Roman"/>
          <w:sz w:val="22"/>
          <w:szCs w:val="22"/>
        </w:rPr>
        <w:t>ub</w:t>
      </w:r>
      <w:r w:rsidRPr="00541EC2">
        <w:rPr>
          <w:rFonts w:ascii="Times New Roman" w:hAnsi="Times New Roman"/>
          <w:sz w:val="22"/>
          <w:szCs w:val="22"/>
          <w:lang w:val="el-GR"/>
        </w:rPr>
        <w:t>-</w:t>
      </w:r>
      <w:r w:rsidRPr="00541EC2">
        <w:rPr>
          <w:rFonts w:ascii="Times New Roman" w:hAnsi="Times New Roman"/>
          <w:sz w:val="22"/>
          <w:szCs w:val="22"/>
        </w:rPr>
        <w:t>unit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μπορεί να χορηγηθεί ταυτόχρονα με άλλα εμβόλια. Οι ενέσεις πρέπει να γίνονται σε διαφορετικά μέλη του σώματος. Πρέπει να σημειωθεί ότι οι ανεπιθύμητες ενέργειες ενδέχεται να ενταθούν. 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993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9B046A" w:rsidRPr="00541EC2" w:rsidRDefault="009B046A" w:rsidP="00F70868">
      <w:pPr>
        <w:tabs>
          <w:tab w:val="left" w:pos="0"/>
          <w:tab w:val="left" w:pos="564"/>
          <w:tab w:val="left" w:pos="993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 xml:space="preserve">Η ανοσολογική απάντηση μπορεί να είναι μειωμένη εάν ο ασθενής υποβάλλεται σε θεραπεία με ανοσοκατασταλτικά φάρμακα. 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993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color w:val="0000FF"/>
          <w:sz w:val="22"/>
          <w:szCs w:val="22"/>
          <w:lang w:val="el-GR"/>
        </w:rPr>
      </w:pPr>
    </w:p>
    <w:p w:rsidR="009B046A" w:rsidRPr="00541EC2" w:rsidRDefault="009B046A" w:rsidP="00F70868">
      <w:pPr>
        <w:pStyle w:val="a9"/>
        <w:tabs>
          <w:tab w:val="clear" w:pos="1"/>
          <w:tab w:val="clear" w:pos="426"/>
          <w:tab w:val="left" w:pos="0"/>
        </w:tabs>
        <w:spacing w:line="240" w:lineRule="auto"/>
        <w:ind w:left="0"/>
        <w:jc w:val="left"/>
        <w:rPr>
          <w:rFonts w:ascii="Times New Roman" w:hAnsi="Times New Roman"/>
          <w:strike w:val="0"/>
          <w:szCs w:val="22"/>
          <w:lang w:val="el-GR"/>
        </w:rPr>
      </w:pPr>
      <w:bookmarkStart w:id="2" w:name="OLE_LINK1"/>
      <w:r w:rsidRPr="00541EC2">
        <w:rPr>
          <w:rFonts w:ascii="Times New Roman" w:hAnsi="Times New Roman"/>
          <w:strike w:val="0"/>
          <w:szCs w:val="22"/>
          <w:lang w:val="el-GR"/>
        </w:rPr>
        <w:t xml:space="preserve">Μετά από τον αντιγριπικό εμβολιασμό, έχουν παρατηρηθεί ψευδώς θετικά αποτελέσματα σε ορολογικές δοκιμασίες με τη μέθοδο </w:t>
      </w:r>
      <w:r w:rsidRPr="00541EC2">
        <w:rPr>
          <w:rFonts w:ascii="Times New Roman" w:hAnsi="Times New Roman"/>
          <w:strike w:val="0"/>
          <w:szCs w:val="22"/>
        </w:rPr>
        <w:t>ELISA</w:t>
      </w:r>
      <w:r w:rsidRPr="00541EC2">
        <w:rPr>
          <w:rFonts w:ascii="Times New Roman" w:hAnsi="Times New Roman"/>
          <w:strike w:val="0"/>
          <w:szCs w:val="22"/>
          <w:lang w:val="el-GR"/>
        </w:rPr>
        <w:t xml:space="preserve">, η οποία χρησιμοποιείται για την ανίχνευση αντισωμάτων έναντι του </w:t>
      </w:r>
      <w:r w:rsidRPr="00541EC2">
        <w:rPr>
          <w:rFonts w:ascii="Times New Roman" w:hAnsi="Times New Roman"/>
          <w:strike w:val="0"/>
          <w:szCs w:val="22"/>
        </w:rPr>
        <w:t>HIV</w:t>
      </w:r>
      <w:r w:rsidRPr="00541EC2">
        <w:rPr>
          <w:rFonts w:ascii="Times New Roman" w:hAnsi="Times New Roman"/>
          <w:strike w:val="0"/>
          <w:szCs w:val="22"/>
          <w:lang w:val="el-GR"/>
        </w:rPr>
        <w:t xml:space="preserve">1, της Ηπατίτιδας </w:t>
      </w:r>
      <w:r w:rsidRPr="00541EC2">
        <w:rPr>
          <w:rFonts w:ascii="Times New Roman" w:hAnsi="Times New Roman"/>
          <w:strike w:val="0"/>
          <w:szCs w:val="22"/>
        </w:rPr>
        <w:t>C</w:t>
      </w:r>
      <w:r w:rsidRPr="00541EC2">
        <w:rPr>
          <w:rFonts w:ascii="Times New Roman" w:hAnsi="Times New Roman"/>
          <w:strike w:val="0"/>
          <w:szCs w:val="22"/>
          <w:lang w:val="el-GR"/>
        </w:rPr>
        <w:t xml:space="preserve"> και ιδιαίτερα του </w:t>
      </w:r>
      <w:r w:rsidRPr="00541EC2">
        <w:rPr>
          <w:rFonts w:ascii="Times New Roman" w:hAnsi="Times New Roman"/>
          <w:strike w:val="0"/>
          <w:szCs w:val="22"/>
        </w:rPr>
        <w:t>HTLV</w:t>
      </w:r>
      <w:r w:rsidRPr="00541EC2">
        <w:rPr>
          <w:rFonts w:ascii="Times New Roman" w:hAnsi="Times New Roman"/>
          <w:strike w:val="0"/>
          <w:szCs w:val="22"/>
          <w:lang w:val="el-GR"/>
        </w:rPr>
        <w:t xml:space="preserve">1. Η τεχνική </w:t>
      </w:r>
      <w:r w:rsidRPr="00541EC2">
        <w:rPr>
          <w:rFonts w:ascii="Times New Roman" w:hAnsi="Times New Roman"/>
          <w:strike w:val="0"/>
          <w:szCs w:val="22"/>
        </w:rPr>
        <w:t>Western</w:t>
      </w:r>
      <w:r w:rsidRPr="00541EC2">
        <w:rPr>
          <w:rFonts w:ascii="Times New Roman" w:hAnsi="Times New Roman"/>
          <w:strike w:val="0"/>
          <w:szCs w:val="22"/>
          <w:lang w:val="el-GR"/>
        </w:rPr>
        <w:t xml:space="preserve"> </w:t>
      </w:r>
      <w:r w:rsidRPr="00541EC2">
        <w:rPr>
          <w:rFonts w:ascii="Times New Roman" w:hAnsi="Times New Roman"/>
          <w:strike w:val="0"/>
          <w:szCs w:val="22"/>
        </w:rPr>
        <w:t>Blot</w:t>
      </w:r>
      <w:r w:rsidRPr="00541EC2">
        <w:rPr>
          <w:rFonts w:ascii="Times New Roman" w:hAnsi="Times New Roman"/>
          <w:strike w:val="0"/>
          <w:szCs w:val="22"/>
          <w:lang w:val="el-GR"/>
        </w:rPr>
        <w:t xml:space="preserve"> </w:t>
      </w:r>
      <w:r w:rsidRPr="00541EC2">
        <w:rPr>
          <w:rFonts w:ascii="Times New Roman" w:hAnsi="Times New Roman"/>
          <w:strike w:val="0"/>
          <w:szCs w:val="22"/>
          <w:lang w:val="el-GR"/>
        </w:rPr>
        <w:lastRenderedPageBreak/>
        <w:t xml:space="preserve">δεν επιβεβαιώνει τα ψευδώς θετικά αποτελέσματα της δοκιμασίας </w:t>
      </w:r>
      <w:r w:rsidRPr="00541EC2">
        <w:rPr>
          <w:rFonts w:ascii="Times New Roman" w:hAnsi="Times New Roman"/>
          <w:strike w:val="0"/>
          <w:szCs w:val="22"/>
        </w:rPr>
        <w:t>ELISA</w:t>
      </w:r>
      <w:r w:rsidRPr="00541EC2">
        <w:rPr>
          <w:rFonts w:ascii="Times New Roman" w:hAnsi="Times New Roman"/>
          <w:strike w:val="0"/>
          <w:szCs w:val="22"/>
          <w:lang w:val="el-GR"/>
        </w:rPr>
        <w:t xml:space="preserve">. Οι παροδικές ψευδώς θετικές αντιδράσεις πιθανόν να οφείλονται στην παραγωγή </w:t>
      </w:r>
      <w:r w:rsidRPr="00541EC2">
        <w:rPr>
          <w:rFonts w:ascii="Times New Roman" w:hAnsi="Times New Roman"/>
          <w:strike w:val="0"/>
          <w:szCs w:val="22"/>
        </w:rPr>
        <w:t>IgM</w:t>
      </w:r>
      <w:r w:rsidRPr="00541EC2">
        <w:rPr>
          <w:rFonts w:ascii="Times New Roman" w:hAnsi="Times New Roman"/>
          <w:strike w:val="0"/>
          <w:szCs w:val="22"/>
          <w:lang w:val="el-GR"/>
        </w:rPr>
        <w:t xml:space="preserve"> σε απάντηση στο εμβόλιο.</w:t>
      </w:r>
    </w:p>
    <w:bookmarkEnd w:id="2"/>
    <w:p w:rsidR="009B046A" w:rsidRPr="00541EC2" w:rsidRDefault="009B046A" w:rsidP="00F70868">
      <w:pPr>
        <w:tabs>
          <w:tab w:val="left" w:pos="0"/>
          <w:tab w:val="left" w:pos="564"/>
          <w:tab w:val="left" w:pos="993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9B046A" w:rsidRPr="00541EC2" w:rsidRDefault="009B046A" w:rsidP="00BA6169">
      <w:pPr>
        <w:tabs>
          <w:tab w:val="left" w:pos="0"/>
          <w:tab w:val="left" w:pos="567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outlineLvl w:val="0"/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b/>
          <w:sz w:val="22"/>
          <w:szCs w:val="22"/>
          <w:lang w:val="el-GR"/>
        </w:rPr>
        <w:t>4.6</w:t>
      </w:r>
      <w:r w:rsidRPr="00541EC2">
        <w:rPr>
          <w:rFonts w:ascii="Times New Roman" w:hAnsi="Times New Roman"/>
          <w:b/>
          <w:sz w:val="22"/>
          <w:szCs w:val="22"/>
          <w:lang w:val="el-GR"/>
        </w:rPr>
        <w:tab/>
      </w:r>
      <w:r w:rsidR="00B4549D" w:rsidRPr="00541EC2">
        <w:rPr>
          <w:rFonts w:ascii="Times New Roman" w:hAnsi="Times New Roman"/>
          <w:b/>
          <w:sz w:val="22"/>
          <w:szCs w:val="22"/>
          <w:lang w:val="el-GR"/>
        </w:rPr>
        <w:t xml:space="preserve">Γονιμότητα, κύηση </w:t>
      </w:r>
      <w:r w:rsidRPr="00541EC2">
        <w:rPr>
          <w:rFonts w:ascii="Times New Roman" w:hAnsi="Times New Roman"/>
          <w:b/>
          <w:sz w:val="22"/>
          <w:szCs w:val="22"/>
          <w:lang w:val="el-GR"/>
        </w:rPr>
        <w:t>και γαλουχία</w:t>
      </w:r>
    </w:p>
    <w:p w:rsidR="006B608B" w:rsidRPr="00541EC2" w:rsidRDefault="006B608B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u w:val="single"/>
          <w:lang w:val="el-GR"/>
        </w:rPr>
      </w:pPr>
    </w:p>
    <w:p w:rsidR="009B046A" w:rsidRPr="00541EC2" w:rsidRDefault="006B608B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b/>
          <w:sz w:val="22"/>
          <w:szCs w:val="22"/>
          <w:u w:val="single"/>
          <w:lang w:val="el-GR"/>
        </w:rPr>
      </w:pPr>
      <w:r w:rsidRPr="00541EC2">
        <w:rPr>
          <w:rFonts w:ascii="Times New Roman" w:hAnsi="Times New Roman"/>
          <w:b/>
          <w:sz w:val="22"/>
          <w:szCs w:val="22"/>
          <w:u w:val="single"/>
          <w:lang w:val="el-GR"/>
        </w:rPr>
        <w:t>Εγκυμοσύνη</w:t>
      </w:r>
    </w:p>
    <w:p w:rsidR="00B4549D" w:rsidRPr="00541EC2" w:rsidRDefault="00B4549D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 xml:space="preserve">Τα απενεργοποιημένα αντιγριπικά εμβόλια μπορούν να χρησιμοποιούνται σε όλα τα στάδια της </w:t>
      </w:r>
      <w:r w:rsidR="00CF2C12" w:rsidRPr="00541EC2">
        <w:rPr>
          <w:rFonts w:ascii="Times New Roman" w:hAnsi="Times New Roman"/>
          <w:sz w:val="22"/>
          <w:szCs w:val="22"/>
          <w:lang w:val="el-GR"/>
        </w:rPr>
        <w:t>κυήσεως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. Συγκριτικά με το πρώτο τρίμηνο, </w:t>
      </w:r>
      <w:r w:rsidR="004C045C" w:rsidRPr="00541EC2">
        <w:rPr>
          <w:rFonts w:ascii="Times New Roman" w:hAnsi="Times New Roman"/>
          <w:sz w:val="22"/>
          <w:szCs w:val="22"/>
          <w:lang w:val="el-GR"/>
        </w:rPr>
        <w:t>περισσό</w:t>
      </w:r>
      <w:r w:rsidRPr="00541EC2">
        <w:rPr>
          <w:rFonts w:ascii="Times New Roman" w:hAnsi="Times New Roman"/>
          <w:sz w:val="22"/>
          <w:szCs w:val="22"/>
          <w:lang w:val="el-GR"/>
        </w:rPr>
        <w:t>τερα δεδομέν</w:t>
      </w:r>
      <w:r w:rsidR="004C045C" w:rsidRPr="00541EC2">
        <w:rPr>
          <w:rFonts w:ascii="Times New Roman" w:hAnsi="Times New Roman"/>
          <w:sz w:val="22"/>
          <w:szCs w:val="22"/>
          <w:lang w:val="el-GR"/>
        </w:rPr>
        <w:t>α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για την ασφάλεια είναι διαθέσιμα για το δεύτερο και το τρίτο τρίμηνο. Εν τούτοις, δεδομένα από τη διεθνή χρήση αντιγριπικών εμβολίων δεν δείχνουν κάποι</w:t>
      </w:r>
      <w:r w:rsidR="00CF2C12" w:rsidRPr="00541EC2">
        <w:rPr>
          <w:rFonts w:ascii="Times New Roman" w:hAnsi="Times New Roman"/>
          <w:sz w:val="22"/>
          <w:szCs w:val="22"/>
          <w:lang w:val="el-GR"/>
        </w:rPr>
        <w:t>ο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CF2C12" w:rsidRPr="00541EC2">
        <w:rPr>
          <w:rFonts w:ascii="Times New Roman" w:hAnsi="Times New Roman"/>
          <w:sz w:val="22"/>
          <w:szCs w:val="22"/>
          <w:lang w:val="el-GR"/>
        </w:rPr>
        <w:t xml:space="preserve">ανεπιθύμητο αποτέλεσμα για το έμβρυο ή τη μητέρα που θα μπορούσε να αποδωθεί στο εμβόλιο. </w:t>
      </w:r>
    </w:p>
    <w:p w:rsidR="00CF2C12" w:rsidRPr="00541EC2" w:rsidRDefault="00CF2C12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u w:val="single"/>
          <w:lang w:val="el-GR"/>
        </w:rPr>
      </w:pPr>
    </w:p>
    <w:p w:rsidR="00B4549D" w:rsidRPr="00541EC2" w:rsidRDefault="00426BBA" w:rsidP="00F70868">
      <w:pPr>
        <w:tabs>
          <w:tab w:val="left" w:pos="0"/>
          <w:tab w:val="left" w:pos="564"/>
          <w:tab w:val="left" w:pos="851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b/>
          <w:sz w:val="22"/>
          <w:szCs w:val="22"/>
          <w:u w:val="single"/>
          <w:lang w:val="en-US"/>
        </w:rPr>
      </w:pPr>
      <w:r w:rsidRPr="00541EC2">
        <w:rPr>
          <w:rFonts w:ascii="Times New Roman" w:hAnsi="Times New Roman"/>
          <w:b/>
          <w:sz w:val="22"/>
          <w:szCs w:val="22"/>
          <w:u w:val="single"/>
          <w:lang w:val="el-GR"/>
        </w:rPr>
        <w:t>Θηλασμός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851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>Το εμβόλιο Ι</w:t>
      </w:r>
      <w:r w:rsidRPr="00541EC2">
        <w:rPr>
          <w:rFonts w:ascii="Times New Roman" w:hAnsi="Times New Roman"/>
          <w:sz w:val="22"/>
          <w:szCs w:val="22"/>
        </w:rPr>
        <w:t>nfluvac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541EC2">
        <w:rPr>
          <w:rFonts w:ascii="Times New Roman" w:hAnsi="Times New Roman"/>
          <w:sz w:val="22"/>
          <w:szCs w:val="22"/>
        </w:rPr>
        <w:t>sub</w:t>
      </w:r>
      <w:r w:rsidRPr="00541EC2">
        <w:rPr>
          <w:rFonts w:ascii="Times New Roman" w:hAnsi="Times New Roman"/>
          <w:sz w:val="22"/>
          <w:szCs w:val="22"/>
          <w:lang w:val="el-GR"/>
        </w:rPr>
        <w:t>-</w:t>
      </w:r>
      <w:r w:rsidRPr="00541EC2">
        <w:rPr>
          <w:rFonts w:ascii="Times New Roman" w:hAnsi="Times New Roman"/>
          <w:sz w:val="22"/>
          <w:szCs w:val="22"/>
        </w:rPr>
        <w:t>unit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μπορεί να χρησιμοποιηθεί κατά την διάρκεια του θηλασμού. 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851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B4549D" w:rsidRPr="00541EC2" w:rsidRDefault="00B4549D" w:rsidP="00F70868">
      <w:pPr>
        <w:tabs>
          <w:tab w:val="left" w:pos="0"/>
          <w:tab w:val="left" w:pos="564"/>
          <w:tab w:val="left" w:pos="851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b/>
          <w:sz w:val="22"/>
          <w:szCs w:val="22"/>
          <w:u w:val="single"/>
          <w:lang w:val="el-GR"/>
        </w:rPr>
      </w:pPr>
      <w:r w:rsidRPr="00541EC2">
        <w:rPr>
          <w:rFonts w:ascii="Times New Roman" w:hAnsi="Times New Roman"/>
          <w:b/>
          <w:sz w:val="22"/>
          <w:szCs w:val="22"/>
          <w:u w:val="single"/>
          <w:lang w:val="el-GR"/>
        </w:rPr>
        <w:t>Γονιμότητα</w:t>
      </w:r>
    </w:p>
    <w:p w:rsidR="00B4549D" w:rsidRPr="00541EC2" w:rsidRDefault="00B4549D" w:rsidP="00F70868">
      <w:pPr>
        <w:tabs>
          <w:tab w:val="left" w:pos="0"/>
          <w:tab w:val="left" w:pos="564"/>
          <w:tab w:val="left" w:pos="851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 xml:space="preserve">Δεν υπάρχουν δεδομένα για </w:t>
      </w:r>
      <w:r w:rsidR="000376AB" w:rsidRPr="00541EC2">
        <w:rPr>
          <w:rFonts w:ascii="Times New Roman" w:hAnsi="Times New Roman"/>
          <w:sz w:val="22"/>
          <w:szCs w:val="22"/>
          <w:lang w:val="el-GR"/>
        </w:rPr>
        <w:t xml:space="preserve">τη </w:t>
      </w:r>
      <w:r w:rsidRPr="00541EC2">
        <w:rPr>
          <w:rFonts w:ascii="Times New Roman" w:hAnsi="Times New Roman"/>
          <w:sz w:val="22"/>
          <w:szCs w:val="22"/>
          <w:lang w:val="el-GR"/>
        </w:rPr>
        <w:t>γονιμότητα</w:t>
      </w:r>
      <w:r w:rsidR="000376AB" w:rsidRPr="00541EC2">
        <w:rPr>
          <w:rFonts w:ascii="Times New Roman" w:hAnsi="Times New Roman"/>
          <w:sz w:val="22"/>
          <w:szCs w:val="22"/>
          <w:lang w:val="el-GR"/>
        </w:rPr>
        <w:t>.</w:t>
      </w:r>
    </w:p>
    <w:p w:rsidR="00B4549D" w:rsidRPr="00541EC2" w:rsidRDefault="00B4549D" w:rsidP="00F70868">
      <w:pPr>
        <w:tabs>
          <w:tab w:val="left" w:pos="0"/>
          <w:tab w:val="left" w:pos="564"/>
          <w:tab w:val="left" w:pos="851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9B046A" w:rsidRPr="00541EC2" w:rsidRDefault="009B046A" w:rsidP="00DB1338">
      <w:pPr>
        <w:tabs>
          <w:tab w:val="left" w:pos="0"/>
          <w:tab w:val="left" w:pos="567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outlineLvl w:val="0"/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b/>
          <w:sz w:val="22"/>
          <w:szCs w:val="22"/>
          <w:lang w:val="el-GR"/>
        </w:rPr>
        <w:t>4.7</w:t>
      </w:r>
      <w:r w:rsidRPr="00541EC2">
        <w:rPr>
          <w:rFonts w:ascii="Times New Roman" w:hAnsi="Times New Roman"/>
          <w:b/>
          <w:sz w:val="22"/>
          <w:szCs w:val="22"/>
          <w:lang w:val="el-GR"/>
        </w:rPr>
        <w:tab/>
      </w:r>
      <w:r w:rsidR="00C91391" w:rsidRPr="00541EC2">
        <w:rPr>
          <w:rFonts w:ascii="Times New Roman" w:hAnsi="Times New Roman"/>
          <w:b/>
          <w:sz w:val="22"/>
          <w:szCs w:val="22"/>
          <w:lang w:val="el-GR"/>
        </w:rPr>
        <w:t>Επιδράσεις</w:t>
      </w:r>
      <w:r w:rsidRPr="00541EC2">
        <w:rPr>
          <w:rFonts w:ascii="Times New Roman" w:hAnsi="Times New Roman"/>
          <w:b/>
          <w:sz w:val="22"/>
          <w:szCs w:val="22"/>
          <w:lang w:val="el-GR"/>
        </w:rPr>
        <w:t xml:space="preserve"> στην ικανότητα οδήγησης και χειρισμ</w:t>
      </w:r>
      <w:r w:rsidRPr="00541EC2">
        <w:rPr>
          <w:rFonts w:ascii="Times New Roman" w:hAnsi="Times New Roman"/>
          <w:b/>
          <w:sz w:val="22"/>
          <w:szCs w:val="22"/>
        </w:rPr>
        <w:t>o</w:t>
      </w:r>
      <w:r w:rsidRPr="00541EC2">
        <w:rPr>
          <w:rFonts w:ascii="Times New Roman" w:hAnsi="Times New Roman"/>
          <w:b/>
          <w:sz w:val="22"/>
          <w:szCs w:val="22"/>
          <w:lang w:val="el-GR"/>
        </w:rPr>
        <w:t xml:space="preserve">ύ </w:t>
      </w:r>
      <w:r w:rsidR="00BA7FC9" w:rsidRPr="00541EC2">
        <w:rPr>
          <w:rFonts w:ascii="Times New Roman" w:hAnsi="Times New Roman"/>
          <w:b/>
          <w:sz w:val="22"/>
          <w:szCs w:val="22"/>
          <w:lang w:val="el-GR"/>
        </w:rPr>
        <w:t>μηχανών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253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>Το εμβόλιο Ι</w:t>
      </w:r>
      <w:r w:rsidRPr="00541EC2">
        <w:rPr>
          <w:rFonts w:ascii="Times New Roman" w:hAnsi="Times New Roman"/>
          <w:sz w:val="22"/>
          <w:szCs w:val="22"/>
        </w:rPr>
        <w:t>nfluvac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541EC2">
        <w:rPr>
          <w:rFonts w:ascii="Times New Roman" w:hAnsi="Times New Roman"/>
          <w:sz w:val="22"/>
          <w:szCs w:val="22"/>
        </w:rPr>
        <w:t>sub</w:t>
      </w:r>
      <w:r w:rsidRPr="00541EC2">
        <w:rPr>
          <w:rFonts w:ascii="Times New Roman" w:hAnsi="Times New Roman"/>
          <w:sz w:val="22"/>
          <w:szCs w:val="22"/>
          <w:lang w:val="el-GR"/>
        </w:rPr>
        <w:t>-</w:t>
      </w:r>
      <w:r w:rsidRPr="00541EC2">
        <w:rPr>
          <w:rFonts w:ascii="Times New Roman" w:hAnsi="Times New Roman"/>
          <w:sz w:val="22"/>
          <w:szCs w:val="22"/>
        </w:rPr>
        <w:t>unit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δεν </w:t>
      </w:r>
      <w:r w:rsidR="00CF2C12" w:rsidRPr="00541EC2">
        <w:rPr>
          <w:rFonts w:ascii="Times New Roman" w:hAnsi="Times New Roman"/>
          <w:noProof/>
          <w:sz w:val="22"/>
          <w:szCs w:val="22"/>
          <w:lang w:val="el-GR"/>
        </w:rPr>
        <w:t xml:space="preserve">έχει καμία ή έχει ασήμαντη 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επίδραση στην ικανότητα οδήγησης και χειρισμού </w:t>
      </w:r>
      <w:r w:rsidR="00CF2C12" w:rsidRPr="00541EC2">
        <w:rPr>
          <w:rFonts w:ascii="Times New Roman" w:hAnsi="Times New Roman"/>
          <w:sz w:val="22"/>
          <w:szCs w:val="22"/>
          <w:lang w:val="el-GR"/>
        </w:rPr>
        <w:t>μηχανών</w:t>
      </w:r>
      <w:r w:rsidRPr="00541EC2">
        <w:rPr>
          <w:rFonts w:ascii="Times New Roman" w:hAnsi="Times New Roman"/>
          <w:sz w:val="22"/>
          <w:szCs w:val="22"/>
          <w:lang w:val="el-GR"/>
        </w:rPr>
        <w:t>.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outlineLvl w:val="0"/>
        <w:rPr>
          <w:rFonts w:ascii="Times New Roman" w:hAnsi="Times New Roman"/>
          <w:b/>
          <w:sz w:val="22"/>
          <w:szCs w:val="22"/>
          <w:lang w:val="el-GR"/>
        </w:rPr>
      </w:pPr>
    </w:p>
    <w:p w:rsidR="009B046A" w:rsidRPr="00541EC2" w:rsidRDefault="009B046A" w:rsidP="00DB133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outlineLvl w:val="0"/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b/>
          <w:sz w:val="22"/>
          <w:szCs w:val="22"/>
          <w:lang w:val="el-GR"/>
        </w:rPr>
        <w:t>4.8</w:t>
      </w:r>
      <w:r w:rsidRPr="00541EC2">
        <w:rPr>
          <w:rFonts w:ascii="Times New Roman" w:hAnsi="Times New Roman"/>
          <w:b/>
          <w:sz w:val="22"/>
          <w:szCs w:val="22"/>
          <w:lang w:val="el-GR"/>
        </w:rPr>
        <w:tab/>
        <w:t>Ανεπιθύμητες ενέργειες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u w:val="single"/>
          <w:lang w:val="el-GR"/>
        </w:rPr>
      </w:pPr>
      <w:r w:rsidRPr="00541EC2">
        <w:rPr>
          <w:rFonts w:ascii="Times New Roman" w:hAnsi="Times New Roman"/>
          <w:caps/>
          <w:sz w:val="22"/>
          <w:szCs w:val="22"/>
          <w:u w:val="single"/>
          <w:lang w:val="el-GR"/>
        </w:rPr>
        <w:t>Ανεπιθύμητες ΑΝΤΙΔΡΑΣΕΙς που παρατηρήθηκαν από κλινικές μελέτες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>Η ασφάλεια των τριδύναμων αδρανοποιημένων αντιγριπικών εμβολίων αξιολογείται σε ανοιχτές μη ελεγχόμενες κλινικές μελέτες που πραγματοποιούνται ως απαίτηση της ετήσιας ενημέρωσης/επικαιροποίησης, στις οποίες συμμετέχουν τουλάχιστον 50 ενήλικοι ηλικίας 18</w:t>
      </w:r>
      <w:r w:rsidR="00E334CA" w:rsidRPr="00541EC2">
        <w:rPr>
          <w:rFonts w:ascii="Times New Roman" w:hAnsi="Times New Roman"/>
          <w:sz w:val="22"/>
          <w:szCs w:val="22"/>
          <w:lang w:val="el-GR"/>
        </w:rPr>
        <w:noBreakHyphen/>
      </w:r>
      <w:r w:rsidRPr="00541EC2">
        <w:rPr>
          <w:rFonts w:ascii="Times New Roman" w:hAnsi="Times New Roman"/>
          <w:sz w:val="22"/>
          <w:szCs w:val="22"/>
          <w:lang w:val="el-GR"/>
        </w:rPr>
        <w:t>60 ετών και τουλάχιστον 50 ηλικιωμένα άτομα ηλικίας 61 ετών και άνω. Η αξιολόγηση της ασφάλειας γίνεται στις πρώτες 3 ημέρες από τον εμβολιασμό.</w:t>
      </w:r>
    </w:p>
    <w:p w:rsidR="009B046A" w:rsidRPr="00541EC2" w:rsidRDefault="009B046A" w:rsidP="00F70868">
      <w:pPr>
        <w:tabs>
          <w:tab w:val="left" w:pos="0"/>
        </w:tabs>
        <w:rPr>
          <w:rFonts w:ascii="Times New Roman" w:hAnsi="Times New Roman"/>
          <w:sz w:val="22"/>
          <w:szCs w:val="22"/>
          <w:lang w:val="el-GR"/>
        </w:rPr>
      </w:pPr>
    </w:p>
    <w:p w:rsidR="009B046A" w:rsidRPr="00541EC2" w:rsidRDefault="009B046A" w:rsidP="00F70868">
      <w:pPr>
        <w:tabs>
          <w:tab w:val="left" w:pos="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 xml:space="preserve">Κατά τη διάρκεια κλινικών μελετών παρατηρήθηκαν οι κάτωθι ανεπιθύμητες ενέργειες με τις ακόλουθες συχνότητες: </w:t>
      </w:r>
    </w:p>
    <w:p w:rsidR="009B046A" w:rsidRPr="00541EC2" w:rsidRDefault="009B046A" w:rsidP="00F70868">
      <w:pPr>
        <w:tabs>
          <w:tab w:val="left" w:pos="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>πολύ συχνές (</w:t>
      </w:r>
      <w:r w:rsidR="00755CEB" w:rsidRPr="00541EC2">
        <w:rPr>
          <w:rFonts w:ascii="Times New Roman" w:hAnsi="Times New Roman"/>
          <w:sz w:val="22"/>
          <w:szCs w:val="22"/>
          <w:lang w:val="el-GR"/>
        </w:rPr>
        <w:t>≥</w:t>
      </w:r>
      <w:r w:rsidRPr="00541EC2">
        <w:rPr>
          <w:rFonts w:ascii="Times New Roman" w:hAnsi="Times New Roman"/>
          <w:sz w:val="22"/>
          <w:szCs w:val="22"/>
          <w:lang w:val="el-GR"/>
        </w:rPr>
        <w:t>1/10)</w:t>
      </w:r>
      <w:r w:rsidR="00A23D25" w:rsidRPr="00541EC2">
        <w:rPr>
          <w:rFonts w:ascii="Times New Roman" w:hAnsi="Times New Roman"/>
          <w:sz w:val="22"/>
          <w:szCs w:val="22"/>
          <w:lang w:val="el-GR"/>
        </w:rPr>
        <w:t>,</w:t>
      </w:r>
      <w:r w:rsidRPr="00541EC2">
        <w:rPr>
          <w:rFonts w:ascii="Times New Roman" w:hAnsi="Times New Roman"/>
          <w:sz w:val="22"/>
          <w:szCs w:val="22"/>
          <w:vertAlign w:val="superscript"/>
          <w:lang w:val="el-GR"/>
        </w:rPr>
        <w:t>.</w:t>
      </w:r>
      <w:r w:rsidRPr="00541EC2">
        <w:rPr>
          <w:rFonts w:ascii="Times New Roman" w:hAnsi="Times New Roman"/>
          <w:sz w:val="22"/>
          <w:szCs w:val="22"/>
          <w:lang w:val="el-GR"/>
        </w:rPr>
        <w:t>συχνές (</w:t>
      </w:r>
      <w:r w:rsidR="00755CEB" w:rsidRPr="00541EC2">
        <w:rPr>
          <w:rFonts w:ascii="Times New Roman" w:hAnsi="Times New Roman"/>
          <w:sz w:val="22"/>
          <w:szCs w:val="22"/>
          <w:lang w:val="el-GR"/>
        </w:rPr>
        <w:t>≥</w:t>
      </w:r>
      <w:r w:rsidRPr="00541EC2">
        <w:rPr>
          <w:rFonts w:ascii="Times New Roman" w:hAnsi="Times New Roman"/>
          <w:sz w:val="22"/>
          <w:szCs w:val="22"/>
          <w:lang w:val="el-GR"/>
        </w:rPr>
        <w:t>1/100, &lt;1/10)</w:t>
      </w:r>
      <w:r w:rsidR="00A23D25" w:rsidRPr="00541EC2">
        <w:rPr>
          <w:rFonts w:ascii="Times New Roman" w:hAnsi="Times New Roman"/>
          <w:sz w:val="22"/>
          <w:szCs w:val="22"/>
          <w:lang w:val="el-GR"/>
        </w:rPr>
        <w:t>,</w:t>
      </w:r>
      <w:r w:rsidRPr="00541EC2">
        <w:rPr>
          <w:rFonts w:ascii="Times New Roman" w:hAnsi="Times New Roman"/>
          <w:sz w:val="22"/>
          <w:szCs w:val="22"/>
          <w:vertAlign w:val="superscript"/>
          <w:lang w:val="el-GR"/>
        </w:rPr>
        <w:t>.</w:t>
      </w:r>
      <w:r w:rsidRPr="00541EC2">
        <w:rPr>
          <w:rFonts w:ascii="Times New Roman" w:hAnsi="Times New Roman"/>
          <w:sz w:val="22"/>
          <w:szCs w:val="22"/>
          <w:lang w:val="el-GR"/>
        </w:rPr>
        <w:t>όχι συχνές (</w:t>
      </w:r>
      <w:r w:rsidR="00755CEB" w:rsidRPr="00541EC2">
        <w:rPr>
          <w:rFonts w:ascii="Times New Roman" w:hAnsi="Times New Roman"/>
          <w:sz w:val="22"/>
          <w:szCs w:val="22"/>
          <w:lang w:val="el-GR"/>
        </w:rPr>
        <w:t>≥</w:t>
      </w:r>
      <w:r w:rsidRPr="00541EC2">
        <w:rPr>
          <w:rFonts w:ascii="Times New Roman" w:hAnsi="Times New Roman"/>
          <w:sz w:val="22"/>
          <w:szCs w:val="22"/>
          <w:lang w:val="el-GR"/>
        </w:rPr>
        <w:t>1/1.000, &lt;1/100).</w:t>
      </w:r>
    </w:p>
    <w:p w:rsidR="00CF2C12" w:rsidRPr="00541EC2" w:rsidRDefault="00CF2C12" w:rsidP="00F70868">
      <w:pPr>
        <w:tabs>
          <w:tab w:val="left" w:pos="0"/>
        </w:tabs>
        <w:rPr>
          <w:rFonts w:ascii="Times New Roman" w:hAnsi="Times New Roman"/>
          <w:sz w:val="22"/>
          <w:szCs w:val="22"/>
          <w:lang w:val="el-GR"/>
        </w:rPr>
      </w:pPr>
    </w:p>
    <w:p w:rsidR="00CF2C12" w:rsidRPr="00541EC2" w:rsidRDefault="00CF2C12" w:rsidP="00F70868">
      <w:pPr>
        <w:tabs>
          <w:tab w:val="left" w:pos="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 xml:space="preserve">Κατάλογος των </w:t>
      </w:r>
      <w:r w:rsidR="00A23D25" w:rsidRPr="00541EC2">
        <w:rPr>
          <w:rFonts w:ascii="Times New Roman" w:hAnsi="Times New Roman"/>
          <w:sz w:val="22"/>
          <w:szCs w:val="22"/>
          <w:lang w:val="el-GR"/>
        </w:rPr>
        <w:t>ανεπιθύμητων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ενεργειών</w:t>
      </w:r>
      <w:r w:rsidR="00A23D25" w:rsidRPr="00541EC2">
        <w:rPr>
          <w:rFonts w:ascii="Times New Roman" w:hAnsi="Times New Roman"/>
          <w:sz w:val="22"/>
          <w:szCs w:val="22"/>
          <w:lang w:val="el-GR"/>
        </w:rPr>
        <w:t xml:space="preserve"> σε μορφή πίνακα</w:t>
      </w:r>
      <w:r w:rsidRPr="00541EC2">
        <w:rPr>
          <w:rFonts w:ascii="Times New Roman" w:hAnsi="Times New Roman"/>
          <w:sz w:val="22"/>
          <w:szCs w:val="22"/>
          <w:lang w:val="el-GR"/>
        </w:rPr>
        <w:t>: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color w:val="0000FF"/>
          <w:sz w:val="22"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2"/>
        <w:gridCol w:w="1520"/>
        <w:gridCol w:w="3180"/>
        <w:gridCol w:w="1858"/>
      </w:tblGrid>
      <w:tr w:rsidR="00984ABC" w:rsidRPr="00541EC2" w:rsidTr="00F70868">
        <w:trPr>
          <w:trHeight w:val="870"/>
        </w:trPr>
        <w:tc>
          <w:tcPr>
            <w:tcW w:w="2132" w:type="dxa"/>
            <w:shd w:val="clear" w:color="auto" w:fill="auto"/>
          </w:tcPr>
          <w:p w:rsidR="00984ABC" w:rsidRPr="00541EC2" w:rsidRDefault="00984ABC" w:rsidP="00F70868">
            <w:pPr>
              <w:tabs>
                <w:tab w:val="left" w:pos="0"/>
                <w:tab w:val="left" w:pos="56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066"/>
                <w:tab w:val="left" w:pos="9636"/>
                <w:tab w:val="left" w:pos="10200"/>
                <w:tab w:val="left" w:pos="10770"/>
                <w:tab w:val="left" w:pos="11334"/>
                <w:tab w:val="left" w:pos="11904"/>
                <w:tab w:val="left" w:pos="12468"/>
                <w:tab w:val="left" w:pos="13038"/>
                <w:tab w:val="left" w:pos="13602"/>
                <w:tab w:val="left" w:pos="14172"/>
                <w:tab w:val="left" w:pos="14736"/>
                <w:tab w:val="left" w:pos="15306"/>
                <w:tab w:val="left" w:pos="15870"/>
                <w:tab w:val="left" w:pos="16440"/>
                <w:tab w:val="left" w:pos="17004"/>
                <w:tab w:val="left" w:pos="17574"/>
                <w:tab w:val="left" w:pos="18138"/>
                <w:tab w:val="left" w:pos="18708"/>
                <w:tab w:val="left" w:pos="19272"/>
                <w:tab w:val="left" w:pos="19842"/>
                <w:tab w:val="left" w:pos="20406"/>
                <w:tab w:val="left" w:pos="20976"/>
                <w:tab w:val="left" w:pos="21540"/>
                <w:tab w:val="left" w:pos="22110"/>
              </w:tabs>
              <w:rPr>
                <w:rFonts w:ascii="Times New Roman" w:hAnsi="Times New Roman"/>
                <w:color w:val="0000FF"/>
                <w:sz w:val="22"/>
                <w:szCs w:val="22"/>
                <w:lang w:val="el-GR"/>
              </w:rPr>
            </w:pPr>
            <w:r w:rsidRPr="00541EC2">
              <w:rPr>
                <w:rFonts w:ascii="Times New Roman" w:hAnsi="Times New Roman"/>
                <w:noProof/>
                <w:sz w:val="22"/>
                <w:szCs w:val="22"/>
              </w:rPr>
              <w:t>K</w:t>
            </w:r>
            <w:r w:rsidRPr="00541EC2">
              <w:rPr>
                <w:rFonts w:ascii="Times New Roman" w:hAnsi="Times New Roman"/>
                <w:noProof/>
                <w:sz w:val="22"/>
                <w:szCs w:val="22"/>
                <w:lang w:val="el-GR"/>
              </w:rPr>
              <w:t xml:space="preserve">ατηγορία οργάνου </w:t>
            </w:r>
          </w:p>
        </w:tc>
        <w:tc>
          <w:tcPr>
            <w:tcW w:w="1520" w:type="dxa"/>
            <w:shd w:val="clear" w:color="auto" w:fill="auto"/>
          </w:tcPr>
          <w:p w:rsidR="00984ABC" w:rsidRPr="00541EC2" w:rsidRDefault="00984ABC" w:rsidP="00984ABC">
            <w:pPr>
              <w:tabs>
                <w:tab w:val="left" w:pos="0"/>
                <w:tab w:val="left" w:pos="56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066"/>
                <w:tab w:val="left" w:pos="9636"/>
                <w:tab w:val="left" w:pos="10200"/>
                <w:tab w:val="left" w:pos="10770"/>
                <w:tab w:val="left" w:pos="11334"/>
                <w:tab w:val="left" w:pos="11904"/>
                <w:tab w:val="left" w:pos="12468"/>
                <w:tab w:val="left" w:pos="13038"/>
                <w:tab w:val="left" w:pos="13602"/>
                <w:tab w:val="left" w:pos="14172"/>
                <w:tab w:val="left" w:pos="14736"/>
                <w:tab w:val="left" w:pos="15306"/>
                <w:tab w:val="left" w:pos="15870"/>
                <w:tab w:val="left" w:pos="16440"/>
                <w:tab w:val="left" w:pos="17004"/>
                <w:tab w:val="left" w:pos="17574"/>
                <w:tab w:val="left" w:pos="18138"/>
                <w:tab w:val="left" w:pos="18708"/>
                <w:tab w:val="left" w:pos="19272"/>
                <w:tab w:val="left" w:pos="19842"/>
                <w:tab w:val="left" w:pos="20406"/>
                <w:tab w:val="left" w:pos="20976"/>
                <w:tab w:val="left" w:pos="21540"/>
                <w:tab w:val="left" w:pos="22110"/>
              </w:tabs>
              <w:rPr>
                <w:rFonts w:ascii="Times New Roman" w:hAnsi="Times New Roman"/>
                <w:color w:val="0000FF"/>
                <w:sz w:val="22"/>
                <w:szCs w:val="22"/>
                <w:lang w:val="el-GR"/>
              </w:rPr>
            </w:pPr>
            <w:r w:rsidRPr="00541EC2">
              <w:rPr>
                <w:rFonts w:ascii="Times New Roman" w:hAnsi="Times New Roman"/>
                <w:noProof/>
                <w:sz w:val="22"/>
                <w:szCs w:val="22"/>
              </w:rPr>
              <w:t>Πολύ</w:t>
            </w:r>
            <w:r w:rsidRPr="00541EC2">
              <w:rPr>
                <w:rFonts w:ascii="Times New Roman" w:hAnsi="Times New Roman"/>
                <w:noProof/>
                <w:sz w:val="22"/>
                <w:szCs w:val="22"/>
                <w:lang w:val="de-DE"/>
              </w:rPr>
              <w:t xml:space="preserve"> </w:t>
            </w:r>
            <w:r w:rsidRPr="00541EC2">
              <w:rPr>
                <w:rFonts w:ascii="Times New Roman" w:hAnsi="Times New Roman"/>
                <w:noProof/>
                <w:sz w:val="22"/>
                <w:szCs w:val="22"/>
              </w:rPr>
              <w:t>συχνές</w:t>
            </w:r>
            <w:r w:rsidRPr="00541EC2">
              <w:rPr>
                <w:rFonts w:ascii="Times New Roman" w:hAnsi="Times New Roman"/>
                <w:noProof/>
                <w:sz w:val="22"/>
                <w:szCs w:val="22"/>
                <w:lang w:val="de-DE"/>
              </w:rPr>
              <w:t xml:space="preserve"> </w:t>
            </w:r>
            <w:r w:rsidRPr="00541EC2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≥ </w:t>
            </w:r>
            <w:r w:rsidRPr="00541EC2">
              <w:rPr>
                <w:rFonts w:ascii="Times New Roman" w:hAnsi="Times New Roman"/>
                <w:noProof/>
                <w:sz w:val="22"/>
                <w:szCs w:val="22"/>
                <w:lang w:val="de-DE"/>
              </w:rPr>
              <w:t>1/10</w:t>
            </w:r>
          </w:p>
        </w:tc>
        <w:tc>
          <w:tcPr>
            <w:tcW w:w="3180" w:type="dxa"/>
            <w:shd w:val="clear" w:color="auto" w:fill="auto"/>
          </w:tcPr>
          <w:p w:rsidR="00984ABC" w:rsidRPr="00541EC2" w:rsidRDefault="00984ABC" w:rsidP="00F70868">
            <w:pPr>
              <w:tabs>
                <w:tab w:val="left" w:pos="0"/>
                <w:tab w:val="left" w:pos="56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066"/>
                <w:tab w:val="left" w:pos="9636"/>
                <w:tab w:val="left" w:pos="10200"/>
                <w:tab w:val="left" w:pos="10770"/>
                <w:tab w:val="left" w:pos="11334"/>
                <w:tab w:val="left" w:pos="11904"/>
                <w:tab w:val="left" w:pos="12468"/>
                <w:tab w:val="left" w:pos="13038"/>
                <w:tab w:val="left" w:pos="13602"/>
                <w:tab w:val="left" w:pos="14172"/>
                <w:tab w:val="left" w:pos="14736"/>
                <w:tab w:val="left" w:pos="15306"/>
                <w:tab w:val="left" w:pos="15870"/>
                <w:tab w:val="left" w:pos="16440"/>
                <w:tab w:val="left" w:pos="17004"/>
                <w:tab w:val="left" w:pos="17574"/>
                <w:tab w:val="left" w:pos="18138"/>
                <w:tab w:val="left" w:pos="18708"/>
                <w:tab w:val="left" w:pos="19272"/>
                <w:tab w:val="left" w:pos="19842"/>
                <w:tab w:val="left" w:pos="20406"/>
                <w:tab w:val="left" w:pos="20976"/>
                <w:tab w:val="left" w:pos="21540"/>
                <w:tab w:val="left" w:pos="22110"/>
              </w:tabs>
              <w:rPr>
                <w:rFonts w:ascii="Times New Roman" w:hAnsi="Times New Roman"/>
                <w:color w:val="0000FF"/>
                <w:sz w:val="22"/>
                <w:szCs w:val="22"/>
                <w:lang w:val="el-GR"/>
              </w:rPr>
            </w:pPr>
            <w:r w:rsidRPr="00541EC2">
              <w:rPr>
                <w:rFonts w:ascii="Times New Roman" w:hAnsi="Times New Roman"/>
                <w:noProof/>
                <w:sz w:val="22"/>
                <w:szCs w:val="22"/>
              </w:rPr>
              <w:t>Συχνές</w:t>
            </w:r>
            <w:r w:rsidRPr="00541EC2">
              <w:rPr>
                <w:rFonts w:ascii="Times New Roman" w:hAnsi="Times New Roman"/>
                <w:noProof/>
                <w:sz w:val="22"/>
                <w:szCs w:val="22"/>
                <w:lang w:val="de-DE"/>
              </w:rPr>
              <w:t xml:space="preserve"> </w:t>
            </w:r>
            <w:r w:rsidRPr="00541EC2">
              <w:rPr>
                <w:rFonts w:ascii="Times New Roman" w:hAnsi="Times New Roman"/>
                <w:sz w:val="22"/>
                <w:szCs w:val="22"/>
                <w:lang w:val="el-GR"/>
              </w:rPr>
              <w:t>≥</w:t>
            </w:r>
            <w:r w:rsidRPr="00541EC2">
              <w:rPr>
                <w:rFonts w:ascii="Times New Roman" w:hAnsi="Times New Roman"/>
                <w:noProof/>
                <w:sz w:val="22"/>
                <w:szCs w:val="22"/>
                <w:lang w:val="de-DE"/>
              </w:rPr>
              <w:t>1/100, &lt;1/10</w:t>
            </w:r>
          </w:p>
        </w:tc>
        <w:tc>
          <w:tcPr>
            <w:tcW w:w="1858" w:type="dxa"/>
            <w:shd w:val="clear" w:color="auto" w:fill="auto"/>
          </w:tcPr>
          <w:p w:rsidR="00984ABC" w:rsidRPr="00541EC2" w:rsidRDefault="00707ECA" w:rsidP="00F70868">
            <w:pPr>
              <w:tabs>
                <w:tab w:val="left" w:pos="0"/>
                <w:tab w:val="left" w:pos="56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066"/>
                <w:tab w:val="left" w:pos="9636"/>
                <w:tab w:val="left" w:pos="10200"/>
                <w:tab w:val="left" w:pos="10770"/>
                <w:tab w:val="left" w:pos="11334"/>
                <w:tab w:val="left" w:pos="11904"/>
                <w:tab w:val="left" w:pos="12468"/>
                <w:tab w:val="left" w:pos="13038"/>
                <w:tab w:val="left" w:pos="13602"/>
                <w:tab w:val="left" w:pos="14172"/>
                <w:tab w:val="left" w:pos="14736"/>
                <w:tab w:val="left" w:pos="15306"/>
                <w:tab w:val="left" w:pos="15870"/>
                <w:tab w:val="left" w:pos="16440"/>
                <w:tab w:val="left" w:pos="17004"/>
                <w:tab w:val="left" w:pos="17574"/>
                <w:tab w:val="left" w:pos="18138"/>
                <w:tab w:val="left" w:pos="18708"/>
                <w:tab w:val="left" w:pos="19272"/>
                <w:tab w:val="left" w:pos="19842"/>
                <w:tab w:val="left" w:pos="20406"/>
                <w:tab w:val="left" w:pos="20976"/>
                <w:tab w:val="left" w:pos="21540"/>
                <w:tab w:val="left" w:pos="22110"/>
              </w:tabs>
              <w:rPr>
                <w:rFonts w:ascii="Times New Roman" w:hAnsi="Times New Roman"/>
                <w:color w:val="0000FF"/>
                <w:sz w:val="22"/>
                <w:szCs w:val="22"/>
                <w:lang w:val="el-GR"/>
              </w:rPr>
            </w:pPr>
            <w:r w:rsidRPr="00541EC2">
              <w:rPr>
                <w:rFonts w:ascii="Times New Roman" w:hAnsi="Times New Roman"/>
                <w:noProof/>
                <w:sz w:val="22"/>
                <w:szCs w:val="22"/>
                <w:lang w:val="el-GR"/>
              </w:rPr>
              <w:t xml:space="preserve">Όχι συχνές </w:t>
            </w:r>
            <w:r w:rsidR="00984ABC" w:rsidRPr="00541EC2">
              <w:rPr>
                <w:rFonts w:ascii="Times New Roman" w:hAnsi="Times New Roman"/>
                <w:sz w:val="22"/>
                <w:szCs w:val="22"/>
                <w:lang w:val="el-GR"/>
              </w:rPr>
              <w:t>≥</w:t>
            </w:r>
            <w:r w:rsidR="00984ABC" w:rsidRPr="00541EC2">
              <w:rPr>
                <w:rFonts w:ascii="Times New Roman" w:hAnsi="Times New Roman"/>
                <w:noProof/>
                <w:sz w:val="22"/>
                <w:szCs w:val="22"/>
                <w:lang w:val="el-GR"/>
              </w:rPr>
              <w:t>1/1.000, &lt;1/100</w:t>
            </w:r>
          </w:p>
        </w:tc>
      </w:tr>
      <w:tr w:rsidR="00984ABC" w:rsidRPr="00541EC2" w:rsidTr="00F70868">
        <w:trPr>
          <w:trHeight w:val="786"/>
        </w:trPr>
        <w:tc>
          <w:tcPr>
            <w:tcW w:w="2132" w:type="dxa"/>
            <w:shd w:val="clear" w:color="auto" w:fill="auto"/>
          </w:tcPr>
          <w:p w:rsidR="00984ABC" w:rsidRPr="00541EC2" w:rsidRDefault="00984ABC" w:rsidP="00F70868">
            <w:pPr>
              <w:tabs>
                <w:tab w:val="left" w:pos="0"/>
                <w:tab w:val="left" w:pos="56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066"/>
                <w:tab w:val="left" w:pos="9636"/>
                <w:tab w:val="left" w:pos="10200"/>
                <w:tab w:val="left" w:pos="10770"/>
                <w:tab w:val="left" w:pos="11334"/>
                <w:tab w:val="left" w:pos="11904"/>
                <w:tab w:val="left" w:pos="12468"/>
                <w:tab w:val="left" w:pos="13038"/>
                <w:tab w:val="left" w:pos="13602"/>
                <w:tab w:val="left" w:pos="14172"/>
                <w:tab w:val="left" w:pos="14736"/>
                <w:tab w:val="left" w:pos="15306"/>
                <w:tab w:val="left" w:pos="15870"/>
                <w:tab w:val="left" w:pos="16440"/>
                <w:tab w:val="left" w:pos="17004"/>
                <w:tab w:val="left" w:pos="17574"/>
                <w:tab w:val="left" w:pos="18138"/>
                <w:tab w:val="left" w:pos="18708"/>
                <w:tab w:val="left" w:pos="19272"/>
                <w:tab w:val="left" w:pos="19842"/>
                <w:tab w:val="left" w:pos="20406"/>
                <w:tab w:val="left" w:pos="20976"/>
                <w:tab w:val="left" w:pos="21540"/>
                <w:tab w:val="left" w:pos="22110"/>
              </w:tabs>
              <w:rPr>
                <w:rFonts w:ascii="Times New Roman" w:hAnsi="Times New Roman"/>
                <w:noProof/>
                <w:sz w:val="22"/>
                <w:szCs w:val="22"/>
                <w:lang w:val="el-GR"/>
              </w:rPr>
            </w:pPr>
            <w:r w:rsidRPr="00541EC2">
              <w:rPr>
                <w:rFonts w:ascii="Times New Roman" w:hAnsi="Times New Roman"/>
                <w:noProof/>
                <w:sz w:val="22"/>
                <w:szCs w:val="22"/>
                <w:lang w:val="el-GR"/>
              </w:rPr>
              <w:t>Διαταραχές του νευρικού συστήματος</w:t>
            </w:r>
          </w:p>
          <w:p w:rsidR="00984ABC" w:rsidRPr="00541EC2" w:rsidRDefault="00984ABC" w:rsidP="00F70868">
            <w:pPr>
              <w:tabs>
                <w:tab w:val="left" w:pos="0"/>
                <w:tab w:val="left" w:pos="56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066"/>
                <w:tab w:val="left" w:pos="9636"/>
                <w:tab w:val="left" w:pos="10200"/>
                <w:tab w:val="left" w:pos="10770"/>
                <w:tab w:val="left" w:pos="11334"/>
                <w:tab w:val="left" w:pos="11904"/>
                <w:tab w:val="left" w:pos="12468"/>
                <w:tab w:val="left" w:pos="13038"/>
                <w:tab w:val="left" w:pos="13602"/>
                <w:tab w:val="left" w:pos="14172"/>
                <w:tab w:val="left" w:pos="14736"/>
                <w:tab w:val="left" w:pos="15306"/>
                <w:tab w:val="left" w:pos="15870"/>
                <w:tab w:val="left" w:pos="16440"/>
                <w:tab w:val="left" w:pos="17004"/>
                <w:tab w:val="left" w:pos="17574"/>
                <w:tab w:val="left" w:pos="18138"/>
                <w:tab w:val="left" w:pos="18708"/>
                <w:tab w:val="left" w:pos="19272"/>
                <w:tab w:val="left" w:pos="19842"/>
                <w:tab w:val="left" w:pos="20406"/>
                <w:tab w:val="left" w:pos="20976"/>
                <w:tab w:val="left" w:pos="21540"/>
                <w:tab w:val="left" w:pos="22110"/>
              </w:tabs>
              <w:rPr>
                <w:rFonts w:ascii="Times New Roman" w:hAnsi="Times New Roman"/>
                <w:color w:val="0000FF"/>
                <w:sz w:val="22"/>
                <w:szCs w:val="22"/>
                <w:lang w:val="el-GR"/>
              </w:rPr>
            </w:pPr>
          </w:p>
        </w:tc>
        <w:tc>
          <w:tcPr>
            <w:tcW w:w="1520" w:type="dxa"/>
            <w:shd w:val="clear" w:color="auto" w:fill="auto"/>
          </w:tcPr>
          <w:p w:rsidR="00984ABC" w:rsidRPr="00541EC2" w:rsidRDefault="00984ABC" w:rsidP="00F70868">
            <w:pPr>
              <w:tabs>
                <w:tab w:val="left" w:pos="0"/>
                <w:tab w:val="left" w:pos="56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066"/>
                <w:tab w:val="left" w:pos="9636"/>
                <w:tab w:val="left" w:pos="10200"/>
                <w:tab w:val="left" w:pos="10770"/>
                <w:tab w:val="left" w:pos="11334"/>
                <w:tab w:val="left" w:pos="11904"/>
                <w:tab w:val="left" w:pos="12468"/>
                <w:tab w:val="left" w:pos="13038"/>
                <w:tab w:val="left" w:pos="13602"/>
                <w:tab w:val="left" w:pos="14172"/>
                <w:tab w:val="left" w:pos="14736"/>
                <w:tab w:val="left" w:pos="15306"/>
                <w:tab w:val="left" w:pos="15870"/>
                <w:tab w:val="left" w:pos="16440"/>
                <w:tab w:val="left" w:pos="17004"/>
                <w:tab w:val="left" w:pos="17574"/>
                <w:tab w:val="left" w:pos="18138"/>
                <w:tab w:val="left" w:pos="18708"/>
                <w:tab w:val="left" w:pos="19272"/>
                <w:tab w:val="left" w:pos="19842"/>
                <w:tab w:val="left" w:pos="20406"/>
                <w:tab w:val="left" w:pos="20976"/>
                <w:tab w:val="left" w:pos="21540"/>
                <w:tab w:val="left" w:pos="22110"/>
              </w:tabs>
              <w:rPr>
                <w:rFonts w:ascii="Times New Roman" w:hAnsi="Times New Roman"/>
                <w:color w:val="0000FF"/>
                <w:sz w:val="22"/>
                <w:szCs w:val="22"/>
                <w:lang w:val="el-GR"/>
              </w:rPr>
            </w:pPr>
          </w:p>
        </w:tc>
        <w:tc>
          <w:tcPr>
            <w:tcW w:w="3180" w:type="dxa"/>
            <w:shd w:val="clear" w:color="auto" w:fill="auto"/>
          </w:tcPr>
          <w:p w:rsidR="00984ABC" w:rsidRPr="00541EC2" w:rsidRDefault="00984ABC" w:rsidP="00F70868">
            <w:pPr>
              <w:tabs>
                <w:tab w:val="left" w:pos="0"/>
                <w:tab w:val="left" w:pos="56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066"/>
                <w:tab w:val="left" w:pos="9636"/>
                <w:tab w:val="left" w:pos="10200"/>
                <w:tab w:val="left" w:pos="10770"/>
                <w:tab w:val="left" w:pos="11334"/>
                <w:tab w:val="left" w:pos="11904"/>
                <w:tab w:val="left" w:pos="12468"/>
                <w:tab w:val="left" w:pos="13038"/>
                <w:tab w:val="left" w:pos="13602"/>
                <w:tab w:val="left" w:pos="14172"/>
                <w:tab w:val="left" w:pos="14736"/>
                <w:tab w:val="left" w:pos="15306"/>
                <w:tab w:val="left" w:pos="15870"/>
                <w:tab w:val="left" w:pos="16440"/>
                <w:tab w:val="left" w:pos="17004"/>
                <w:tab w:val="left" w:pos="17574"/>
                <w:tab w:val="left" w:pos="18138"/>
                <w:tab w:val="left" w:pos="18708"/>
                <w:tab w:val="left" w:pos="19272"/>
                <w:tab w:val="left" w:pos="19842"/>
                <w:tab w:val="left" w:pos="20406"/>
                <w:tab w:val="left" w:pos="20976"/>
                <w:tab w:val="left" w:pos="21540"/>
                <w:tab w:val="left" w:pos="22110"/>
              </w:tabs>
              <w:rPr>
                <w:rFonts w:ascii="Times New Roman" w:hAnsi="Times New Roman"/>
                <w:color w:val="0000FF"/>
                <w:sz w:val="22"/>
                <w:szCs w:val="22"/>
                <w:lang w:val="el-GR"/>
              </w:rPr>
            </w:pPr>
            <w:r w:rsidRPr="00541EC2">
              <w:rPr>
                <w:rFonts w:ascii="Times New Roman" w:hAnsi="Times New Roman"/>
                <w:sz w:val="22"/>
                <w:szCs w:val="22"/>
                <w:lang w:val="el-GR"/>
              </w:rPr>
              <w:t>Κεφαλαλγία*</w:t>
            </w:r>
          </w:p>
        </w:tc>
        <w:tc>
          <w:tcPr>
            <w:tcW w:w="1858" w:type="dxa"/>
            <w:shd w:val="clear" w:color="auto" w:fill="auto"/>
          </w:tcPr>
          <w:p w:rsidR="00984ABC" w:rsidRPr="00541EC2" w:rsidRDefault="00984ABC" w:rsidP="00F70868">
            <w:pPr>
              <w:tabs>
                <w:tab w:val="left" w:pos="0"/>
                <w:tab w:val="left" w:pos="56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066"/>
                <w:tab w:val="left" w:pos="9636"/>
                <w:tab w:val="left" w:pos="10200"/>
                <w:tab w:val="left" w:pos="10770"/>
                <w:tab w:val="left" w:pos="11334"/>
                <w:tab w:val="left" w:pos="11904"/>
                <w:tab w:val="left" w:pos="12468"/>
                <w:tab w:val="left" w:pos="13038"/>
                <w:tab w:val="left" w:pos="13602"/>
                <w:tab w:val="left" w:pos="14172"/>
                <w:tab w:val="left" w:pos="14736"/>
                <w:tab w:val="left" w:pos="15306"/>
                <w:tab w:val="left" w:pos="15870"/>
                <w:tab w:val="left" w:pos="16440"/>
                <w:tab w:val="left" w:pos="17004"/>
                <w:tab w:val="left" w:pos="17574"/>
                <w:tab w:val="left" w:pos="18138"/>
                <w:tab w:val="left" w:pos="18708"/>
                <w:tab w:val="left" w:pos="19272"/>
                <w:tab w:val="left" w:pos="19842"/>
                <w:tab w:val="left" w:pos="20406"/>
                <w:tab w:val="left" w:pos="20976"/>
                <w:tab w:val="left" w:pos="21540"/>
                <w:tab w:val="left" w:pos="22110"/>
              </w:tabs>
              <w:rPr>
                <w:rFonts w:ascii="Times New Roman" w:hAnsi="Times New Roman"/>
                <w:color w:val="0000FF"/>
                <w:sz w:val="22"/>
                <w:szCs w:val="22"/>
                <w:lang w:val="el-GR"/>
              </w:rPr>
            </w:pPr>
          </w:p>
        </w:tc>
      </w:tr>
      <w:tr w:rsidR="00984ABC" w:rsidRPr="00541EC2" w:rsidTr="00F70868">
        <w:trPr>
          <w:trHeight w:val="1032"/>
        </w:trPr>
        <w:tc>
          <w:tcPr>
            <w:tcW w:w="2132" w:type="dxa"/>
            <w:shd w:val="clear" w:color="auto" w:fill="auto"/>
          </w:tcPr>
          <w:p w:rsidR="00984ABC" w:rsidRPr="00541EC2" w:rsidRDefault="00984ABC" w:rsidP="00F70868">
            <w:pPr>
              <w:tabs>
                <w:tab w:val="left" w:pos="0"/>
                <w:tab w:val="left" w:pos="56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066"/>
                <w:tab w:val="left" w:pos="9636"/>
                <w:tab w:val="left" w:pos="10200"/>
                <w:tab w:val="left" w:pos="10770"/>
                <w:tab w:val="left" w:pos="11334"/>
                <w:tab w:val="left" w:pos="11904"/>
                <w:tab w:val="left" w:pos="12468"/>
                <w:tab w:val="left" w:pos="13038"/>
                <w:tab w:val="left" w:pos="13602"/>
                <w:tab w:val="left" w:pos="14172"/>
                <w:tab w:val="left" w:pos="14736"/>
                <w:tab w:val="left" w:pos="15306"/>
                <w:tab w:val="left" w:pos="15870"/>
                <w:tab w:val="left" w:pos="16440"/>
                <w:tab w:val="left" w:pos="17004"/>
                <w:tab w:val="left" w:pos="17574"/>
                <w:tab w:val="left" w:pos="18138"/>
                <w:tab w:val="left" w:pos="18708"/>
                <w:tab w:val="left" w:pos="19272"/>
                <w:tab w:val="left" w:pos="19842"/>
                <w:tab w:val="left" w:pos="20406"/>
                <w:tab w:val="left" w:pos="20976"/>
                <w:tab w:val="left" w:pos="21540"/>
                <w:tab w:val="left" w:pos="22110"/>
              </w:tabs>
              <w:rPr>
                <w:rFonts w:ascii="Times New Roman" w:hAnsi="Times New Roman"/>
                <w:color w:val="0000FF"/>
                <w:sz w:val="22"/>
                <w:szCs w:val="22"/>
                <w:lang w:val="el-GR"/>
              </w:rPr>
            </w:pPr>
            <w:r w:rsidRPr="00541EC2">
              <w:rPr>
                <w:rFonts w:ascii="Times New Roman" w:hAnsi="Times New Roman"/>
                <w:noProof/>
                <w:sz w:val="22"/>
                <w:szCs w:val="22"/>
                <w:lang w:val="el-GR"/>
              </w:rPr>
              <w:t>Διαταραχές του δέρματος και του υποδόριου ιστού</w:t>
            </w:r>
          </w:p>
        </w:tc>
        <w:tc>
          <w:tcPr>
            <w:tcW w:w="1520" w:type="dxa"/>
            <w:shd w:val="clear" w:color="auto" w:fill="auto"/>
          </w:tcPr>
          <w:p w:rsidR="00984ABC" w:rsidRPr="00541EC2" w:rsidRDefault="00984ABC" w:rsidP="00F70868">
            <w:pPr>
              <w:tabs>
                <w:tab w:val="left" w:pos="0"/>
                <w:tab w:val="left" w:pos="56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066"/>
                <w:tab w:val="left" w:pos="9636"/>
                <w:tab w:val="left" w:pos="10200"/>
                <w:tab w:val="left" w:pos="10770"/>
                <w:tab w:val="left" w:pos="11334"/>
                <w:tab w:val="left" w:pos="11904"/>
                <w:tab w:val="left" w:pos="12468"/>
                <w:tab w:val="left" w:pos="13038"/>
                <w:tab w:val="left" w:pos="13602"/>
                <w:tab w:val="left" w:pos="14172"/>
                <w:tab w:val="left" w:pos="14736"/>
                <w:tab w:val="left" w:pos="15306"/>
                <w:tab w:val="left" w:pos="15870"/>
                <w:tab w:val="left" w:pos="16440"/>
                <w:tab w:val="left" w:pos="17004"/>
                <w:tab w:val="left" w:pos="17574"/>
                <w:tab w:val="left" w:pos="18138"/>
                <w:tab w:val="left" w:pos="18708"/>
                <w:tab w:val="left" w:pos="19272"/>
                <w:tab w:val="left" w:pos="19842"/>
                <w:tab w:val="left" w:pos="20406"/>
                <w:tab w:val="left" w:pos="20976"/>
                <w:tab w:val="left" w:pos="21540"/>
                <w:tab w:val="left" w:pos="22110"/>
              </w:tabs>
              <w:rPr>
                <w:rFonts w:ascii="Times New Roman" w:hAnsi="Times New Roman"/>
                <w:color w:val="0000FF"/>
                <w:sz w:val="22"/>
                <w:szCs w:val="22"/>
                <w:lang w:val="el-GR"/>
              </w:rPr>
            </w:pPr>
          </w:p>
        </w:tc>
        <w:tc>
          <w:tcPr>
            <w:tcW w:w="3180" w:type="dxa"/>
            <w:shd w:val="clear" w:color="auto" w:fill="auto"/>
          </w:tcPr>
          <w:p w:rsidR="00984ABC" w:rsidRPr="00541EC2" w:rsidRDefault="00984ABC" w:rsidP="00F70868">
            <w:pPr>
              <w:tabs>
                <w:tab w:val="left" w:pos="0"/>
                <w:tab w:val="left" w:pos="56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066"/>
                <w:tab w:val="left" w:pos="9636"/>
                <w:tab w:val="left" w:pos="10200"/>
                <w:tab w:val="left" w:pos="10770"/>
                <w:tab w:val="left" w:pos="11334"/>
                <w:tab w:val="left" w:pos="11904"/>
                <w:tab w:val="left" w:pos="12468"/>
                <w:tab w:val="left" w:pos="13038"/>
                <w:tab w:val="left" w:pos="13602"/>
                <w:tab w:val="left" w:pos="14172"/>
                <w:tab w:val="left" w:pos="14736"/>
                <w:tab w:val="left" w:pos="15306"/>
                <w:tab w:val="left" w:pos="15870"/>
                <w:tab w:val="left" w:pos="16440"/>
                <w:tab w:val="left" w:pos="17004"/>
                <w:tab w:val="left" w:pos="17574"/>
                <w:tab w:val="left" w:pos="18138"/>
                <w:tab w:val="left" w:pos="18708"/>
                <w:tab w:val="left" w:pos="19272"/>
                <w:tab w:val="left" w:pos="19842"/>
                <w:tab w:val="left" w:pos="20406"/>
                <w:tab w:val="left" w:pos="20976"/>
                <w:tab w:val="left" w:pos="21540"/>
                <w:tab w:val="left" w:pos="22110"/>
              </w:tabs>
              <w:rPr>
                <w:rFonts w:ascii="Times New Roman" w:hAnsi="Times New Roman"/>
                <w:color w:val="0000FF"/>
                <w:sz w:val="22"/>
                <w:szCs w:val="22"/>
                <w:lang w:val="el-GR"/>
              </w:rPr>
            </w:pPr>
            <w:r w:rsidRPr="00541EC2">
              <w:rPr>
                <w:rFonts w:ascii="Times New Roman" w:hAnsi="Times New Roman"/>
                <w:sz w:val="22"/>
                <w:szCs w:val="22"/>
                <w:lang w:val="el-GR"/>
              </w:rPr>
              <w:t>Εφίδρωση*</w:t>
            </w:r>
          </w:p>
        </w:tc>
        <w:tc>
          <w:tcPr>
            <w:tcW w:w="1858" w:type="dxa"/>
            <w:shd w:val="clear" w:color="auto" w:fill="auto"/>
          </w:tcPr>
          <w:p w:rsidR="00984ABC" w:rsidRPr="00541EC2" w:rsidRDefault="00984ABC" w:rsidP="00F70868">
            <w:pPr>
              <w:tabs>
                <w:tab w:val="left" w:pos="0"/>
                <w:tab w:val="left" w:pos="56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066"/>
                <w:tab w:val="left" w:pos="9636"/>
                <w:tab w:val="left" w:pos="10200"/>
                <w:tab w:val="left" w:pos="10770"/>
                <w:tab w:val="left" w:pos="11334"/>
                <w:tab w:val="left" w:pos="11904"/>
                <w:tab w:val="left" w:pos="12468"/>
                <w:tab w:val="left" w:pos="13038"/>
                <w:tab w:val="left" w:pos="13602"/>
                <w:tab w:val="left" w:pos="14172"/>
                <w:tab w:val="left" w:pos="14736"/>
                <w:tab w:val="left" w:pos="15306"/>
                <w:tab w:val="left" w:pos="15870"/>
                <w:tab w:val="left" w:pos="16440"/>
                <w:tab w:val="left" w:pos="17004"/>
                <w:tab w:val="left" w:pos="17574"/>
                <w:tab w:val="left" w:pos="18138"/>
                <w:tab w:val="left" w:pos="18708"/>
                <w:tab w:val="left" w:pos="19272"/>
                <w:tab w:val="left" w:pos="19842"/>
                <w:tab w:val="left" w:pos="20406"/>
                <w:tab w:val="left" w:pos="20976"/>
                <w:tab w:val="left" w:pos="21540"/>
                <w:tab w:val="left" w:pos="22110"/>
              </w:tabs>
              <w:rPr>
                <w:rFonts w:ascii="Times New Roman" w:hAnsi="Times New Roman"/>
                <w:color w:val="0000FF"/>
                <w:sz w:val="22"/>
                <w:szCs w:val="22"/>
                <w:lang w:val="el-GR"/>
              </w:rPr>
            </w:pPr>
          </w:p>
        </w:tc>
      </w:tr>
      <w:tr w:rsidR="00984ABC" w:rsidRPr="00541EC2" w:rsidTr="00F70868">
        <w:trPr>
          <w:trHeight w:val="1557"/>
        </w:trPr>
        <w:tc>
          <w:tcPr>
            <w:tcW w:w="2132" w:type="dxa"/>
            <w:shd w:val="clear" w:color="auto" w:fill="auto"/>
          </w:tcPr>
          <w:p w:rsidR="00984ABC" w:rsidRPr="00541EC2" w:rsidRDefault="00984ABC" w:rsidP="00F70868">
            <w:pPr>
              <w:tabs>
                <w:tab w:val="left" w:pos="0"/>
                <w:tab w:val="left" w:pos="56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066"/>
                <w:tab w:val="left" w:pos="9636"/>
                <w:tab w:val="left" w:pos="10200"/>
                <w:tab w:val="left" w:pos="10770"/>
                <w:tab w:val="left" w:pos="11334"/>
                <w:tab w:val="left" w:pos="11904"/>
                <w:tab w:val="left" w:pos="12468"/>
                <w:tab w:val="left" w:pos="13038"/>
                <w:tab w:val="left" w:pos="13602"/>
                <w:tab w:val="left" w:pos="14172"/>
                <w:tab w:val="left" w:pos="14736"/>
                <w:tab w:val="left" w:pos="15306"/>
                <w:tab w:val="left" w:pos="15870"/>
                <w:tab w:val="left" w:pos="16440"/>
                <w:tab w:val="left" w:pos="17004"/>
                <w:tab w:val="left" w:pos="17574"/>
                <w:tab w:val="left" w:pos="18138"/>
                <w:tab w:val="left" w:pos="18708"/>
                <w:tab w:val="left" w:pos="19272"/>
                <w:tab w:val="left" w:pos="19842"/>
                <w:tab w:val="left" w:pos="20406"/>
                <w:tab w:val="left" w:pos="20976"/>
                <w:tab w:val="left" w:pos="21540"/>
                <w:tab w:val="left" w:pos="22110"/>
              </w:tabs>
              <w:rPr>
                <w:rFonts w:ascii="Times New Roman" w:hAnsi="Times New Roman"/>
                <w:noProof/>
                <w:sz w:val="22"/>
                <w:szCs w:val="22"/>
                <w:lang w:val="el-GR"/>
              </w:rPr>
            </w:pPr>
            <w:r w:rsidRPr="00541EC2">
              <w:rPr>
                <w:rFonts w:ascii="Times New Roman" w:hAnsi="Times New Roman"/>
                <w:noProof/>
                <w:sz w:val="22"/>
                <w:szCs w:val="22"/>
                <w:lang w:val="el-GR"/>
              </w:rPr>
              <w:lastRenderedPageBreak/>
              <w:t>Διαταραχές του μυοσκελετικού συστήματος και του συνδετικού ιστού</w:t>
            </w:r>
          </w:p>
        </w:tc>
        <w:tc>
          <w:tcPr>
            <w:tcW w:w="1520" w:type="dxa"/>
            <w:shd w:val="clear" w:color="auto" w:fill="auto"/>
          </w:tcPr>
          <w:p w:rsidR="00984ABC" w:rsidRPr="00541EC2" w:rsidRDefault="00984ABC" w:rsidP="00F70868">
            <w:pPr>
              <w:tabs>
                <w:tab w:val="left" w:pos="0"/>
                <w:tab w:val="left" w:pos="56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066"/>
                <w:tab w:val="left" w:pos="9636"/>
                <w:tab w:val="left" w:pos="10200"/>
                <w:tab w:val="left" w:pos="10770"/>
                <w:tab w:val="left" w:pos="11334"/>
                <w:tab w:val="left" w:pos="11904"/>
                <w:tab w:val="left" w:pos="12468"/>
                <w:tab w:val="left" w:pos="13038"/>
                <w:tab w:val="left" w:pos="13602"/>
                <w:tab w:val="left" w:pos="14172"/>
                <w:tab w:val="left" w:pos="14736"/>
                <w:tab w:val="left" w:pos="15306"/>
                <w:tab w:val="left" w:pos="15870"/>
                <w:tab w:val="left" w:pos="16440"/>
                <w:tab w:val="left" w:pos="17004"/>
                <w:tab w:val="left" w:pos="17574"/>
                <w:tab w:val="left" w:pos="18138"/>
                <w:tab w:val="left" w:pos="18708"/>
                <w:tab w:val="left" w:pos="19272"/>
                <w:tab w:val="left" w:pos="19842"/>
                <w:tab w:val="left" w:pos="20406"/>
                <w:tab w:val="left" w:pos="20976"/>
                <w:tab w:val="left" w:pos="21540"/>
                <w:tab w:val="left" w:pos="22110"/>
              </w:tabs>
              <w:rPr>
                <w:rFonts w:ascii="Times New Roman" w:hAnsi="Times New Roman"/>
                <w:color w:val="0000FF"/>
                <w:sz w:val="22"/>
                <w:szCs w:val="22"/>
                <w:lang w:val="el-GR"/>
              </w:rPr>
            </w:pPr>
          </w:p>
        </w:tc>
        <w:tc>
          <w:tcPr>
            <w:tcW w:w="3180" w:type="dxa"/>
            <w:shd w:val="clear" w:color="auto" w:fill="auto"/>
          </w:tcPr>
          <w:p w:rsidR="00984ABC" w:rsidRPr="00541EC2" w:rsidRDefault="00984ABC" w:rsidP="00F70868">
            <w:pPr>
              <w:tabs>
                <w:tab w:val="left" w:pos="0"/>
                <w:tab w:val="left" w:pos="56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066"/>
                <w:tab w:val="left" w:pos="9636"/>
                <w:tab w:val="left" w:pos="10200"/>
                <w:tab w:val="left" w:pos="10770"/>
                <w:tab w:val="left" w:pos="11334"/>
                <w:tab w:val="left" w:pos="11904"/>
                <w:tab w:val="left" w:pos="12468"/>
                <w:tab w:val="left" w:pos="13038"/>
                <w:tab w:val="left" w:pos="13602"/>
                <w:tab w:val="left" w:pos="14172"/>
                <w:tab w:val="left" w:pos="14736"/>
                <w:tab w:val="left" w:pos="15306"/>
                <w:tab w:val="left" w:pos="15870"/>
                <w:tab w:val="left" w:pos="16440"/>
                <w:tab w:val="left" w:pos="17004"/>
                <w:tab w:val="left" w:pos="17574"/>
                <w:tab w:val="left" w:pos="18138"/>
                <w:tab w:val="left" w:pos="18708"/>
                <w:tab w:val="left" w:pos="19272"/>
                <w:tab w:val="left" w:pos="19842"/>
                <w:tab w:val="left" w:pos="20406"/>
                <w:tab w:val="left" w:pos="20976"/>
                <w:tab w:val="left" w:pos="21540"/>
                <w:tab w:val="left" w:pos="22110"/>
              </w:tabs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541EC2">
              <w:rPr>
                <w:rFonts w:ascii="Times New Roman" w:hAnsi="Times New Roman"/>
                <w:sz w:val="22"/>
                <w:szCs w:val="22"/>
                <w:lang w:val="el-GR"/>
              </w:rPr>
              <w:t>Μυαλγία, αρθραλγία*</w:t>
            </w:r>
          </w:p>
        </w:tc>
        <w:tc>
          <w:tcPr>
            <w:tcW w:w="1858" w:type="dxa"/>
            <w:shd w:val="clear" w:color="auto" w:fill="auto"/>
          </w:tcPr>
          <w:p w:rsidR="00984ABC" w:rsidRPr="00541EC2" w:rsidRDefault="00984ABC" w:rsidP="00F70868">
            <w:pPr>
              <w:tabs>
                <w:tab w:val="left" w:pos="0"/>
                <w:tab w:val="left" w:pos="56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066"/>
                <w:tab w:val="left" w:pos="9636"/>
                <w:tab w:val="left" w:pos="10200"/>
                <w:tab w:val="left" w:pos="10770"/>
                <w:tab w:val="left" w:pos="11334"/>
                <w:tab w:val="left" w:pos="11904"/>
                <w:tab w:val="left" w:pos="12468"/>
                <w:tab w:val="left" w:pos="13038"/>
                <w:tab w:val="left" w:pos="13602"/>
                <w:tab w:val="left" w:pos="14172"/>
                <w:tab w:val="left" w:pos="14736"/>
                <w:tab w:val="left" w:pos="15306"/>
                <w:tab w:val="left" w:pos="15870"/>
                <w:tab w:val="left" w:pos="16440"/>
                <w:tab w:val="left" w:pos="17004"/>
                <w:tab w:val="left" w:pos="17574"/>
                <w:tab w:val="left" w:pos="18138"/>
                <w:tab w:val="left" w:pos="18708"/>
                <w:tab w:val="left" w:pos="19272"/>
                <w:tab w:val="left" w:pos="19842"/>
                <w:tab w:val="left" w:pos="20406"/>
                <w:tab w:val="left" w:pos="20976"/>
                <w:tab w:val="left" w:pos="21540"/>
                <w:tab w:val="left" w:pos="22110"/>
              </w:tabs>
              <w:rPr>
                <w:rFonts w:ascii="Times New Roman" w:hAnsi="Times New Roman"/>
                <w:color w:val="0000FF"/>
                <w:sz w:val="22"/>
                <w:szCs w:val="22"/>
                <w:lang w:val="el-GR"/>
              </w:rPr>
            </w:pPr>
          </w:p>
        </w:tc>
      </w:tr>
      <w:tr w:rsidR="00984ABC" w:rsidRPr="00541EC2" w:rsidTr="00F70868">
        <w:trPr>
          <w:trHeight w:val="262"/>
        </w:trPr>
        <w:tc>
          <w:tcPr>
            <w:tcW w:w="2132" w:type="dxa"/>
            <w:shd w:val="clear" w:color="auto" w:fill="auto"/>
          </w:tcPr>
          <w:p w:rsidR="00984ABC" w:rsidRPr="00541EC2" w:rsidRDefault="00984ABC" w:rsidP="00F70868">
            <w:pPr>
              <w:tabs>
                <w:tab w:val="left" w:pos="0"/>
                <w:tab w:val="left" w:pos="56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066"/>
                <w:tab w:val="left" w:pos="9636"/>
                <w:tab w:val="left" w:pos="10200"/>
                <w:tab w:val="left" w:pos="10770"/>
                <w:tab w:val="left" w:pos="11334"/>
                <w:tab w:val="left" w:pos="11904"/>
                <w:tab w:val="left" w:pos="12468"/>
                <w:tab w:val="left" w:pos="13038"/>
                <w:tab w:val="left" w:pos="13602"/>
                <w:tab w:val="left" w:pos="14172"/>
                <w:tab w:val="left" w:pos="14736"/>
                <w:tab w:val="left" w:pos="15306"/>
                <w:tab w:val="left" w:pos="15870"/>
                <w:tab w:val="left" w:pos="16440"/>
                <w:tab w:val="left" w:pos="17004"/>
                <w:tab w:val="left" w:pos="17574"/>
                <w:tab w:val="left" w:pos="18138"/>
                <w:tab w:val="left" w:pos="18708"/>
                <w:tab w:val="left" w:pos="19272"/>
                <w:tab w:val="left" w:pos="19842"/>
                <w:tab w:val="left" w:pos="20406"/>
                <w:tab w:val="left" w:pos="20976"/>
                <w:tab w:val="left" w:pos="21540"/>
                <w:tab w:val="left" w:pos="22110"/>
              </w:tabs>
              <w:rPr>
                <w:rFonts w:ascii="Times New Roman" w:hAnsi="Times New Roman"/>
                <w:noProof/>
                <w:sz w:val="22"/>
                <w:szCs w:val="22"/>
                <w:lang w:val="el-GR"/>
              </w:rPr>
            </w:pPr>
            <w:r w:rsidRPr="00541EC2">
              <w:rPr>
                <w:rFonts w:ascii="Times New Roman" w:hAnsi="Times New Roman"/>
                <w:noProof/>
                <w:sz w:val="22"/>
                <w:szCs w:val="22"/>
                <w:lang w:val="el-GR"/>
              </w:rPr>
              <w:t>Γενικές διαταραχές και καταστάσεις της οδού χορήγησης</w:t>
            </w:r>
          </w:p>
        </w:tc>
        <w:tc>
          <w:tcPr>
            <w:tcW w:w="1520" w:type="dxa"/>
            <w:shd w:val="clear" w:color="auto" w:fill="auto"/>
          </w:tcPr>
          <w:p w:rsidR="00984ABC" w:rsidRPr="00541EC2" w:rsidRDefault="00984ABC" w:rsidP="00F70868">
            <w:pPr>
              <w:tabs>
                <w:tab w:val="left" w:pos="0"/>
                <w:tab w:val="left" w:pos="56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066"/>
                <w:tab w:val="left" w:pos="9636"/>
                <w:tab w:val="left" w:pos="10200"/>
                <w:tab w:val="left" w:pos="10770"/>
                <w:tab w:val="left" w:pos="11334"/>
                <w:tab w:val="left" w:pos="11904"/>
                <w:tab w:val="left" w:pos="12468"/>
                <w:tab w:val="left" w:pos="13038"/>
                <w:tab w:val="left" w:pos="13602"/>
                <w:tab w:val="left" w:pos="14172"/>
                <w:tab w:val="left" w:pos="14736"/>
                <w:tab w:val="left" w:pos="15306"/>
                <w:tab w:val="left" w:pos="15870"/>
                <w:tab w:val="left" w:pos="16440"/>
                <w:tab w:val="left" w:pos="17004"/>
                <w:tab w:val="left" w:pos="17574"/>
                <w:tab w:val="left" w:pos="18138"/>
                <w:tab w:val="left" w:pos="18708"/>
                <w:tab w:val="left" w:pos="19272"/>
                <w:tab w:val="left" w:pos="19842"/>
                <w:tab w:val="left" w:pos="20406"/>
                <w:tab w:val="left" w:pos="20976"/>
                <w:tab w:val="left" w:pos="21540"/>
                <w:tab w:val="left" w:pos="22110"/>
              </w:tabs>
              <w:rPr>
                <w:rFonts w:ascii="Times New Roman" w:hAnsi="Times New Roman"/>
                <w:color w:val="0000FF"/>
                <w:sz w:val="22"/>
                <w:szCs w:val="22"/>
                <w:lang w:val="el-GR"/>
              </w:rPr>
            </w:pPr>
          </w:p>
        </w:tc>
        <w:tc>
          <w:tcPr>
            <w:tcW w:w="3180" w:type="dxa"/>
            <w:shd w:val="clear" w:color="auto" w:fill="auto"/>
          </w:tcPr>
          <w:p w:rsidR="00984ABC" w:rsidRPr="00541EC2" w:rsidRDefault="00984ABC" w:rsidP="00F70868">
            <w:pPr>
              <w:tabs>
                <w:tab w:val="left" w:pos="0"/>
                <w:tab w:val="left" w:pos="56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066"/>
                <w:tab w:val="left" w:pos="9636"/>
                <w:tab w:val="left" w:pos="10200"/>
                <w:tab w:val="left" w:pos="10770"/>
                <w:tab w:val="left" w:pos="11334"/>
                <w:tab w:val="left" w:pos="11904"/>
                <w:tab w:val="left" w:pos="12468"/>
                <w:tab w:val="left" w:pos="13038"/>
                <w:tab w:val="left" w:pos="13602"/>
                <w:tab w:val="left" w:pos="14172"/>
                <w:tab w:val="left" w:pos="14736"/>
                <w:tab w:val="left" w:pos="15306"/>
                <w:tab w:val="left" w:pos="15870"/>
                <w:tab w:val="left" w:pos="16440"/>
                <w:tab w:val="left" w:pos="17004"/>
                <w:tab w:val="left" w:pos="17574"/>
                <w:tab w:val="left" w:pos="18138"/>
                <w:tab w:val="left" w:pos="18708"/>
                <w:tab w:val="left" w:pos="19272"/>
                <w:tab w:val="left" w:pos="19842"/>
                <w:tab w:val="left" w:pos="20406"/>
                <w:tab w:val="left" w:pos="20976"/>
                <w:tab w:val="left" w:pos="21540"/>
                <w:tab w:val="left" w:pos="22110"/>
              </w:tabs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541EC2">
              <w:rPr>
                <w:rFonts w:ascii="Times New Roman" w:hAnsi="Times New Roman"/>
                <w:sz w:val="22"/>
                <w:szCs w:val="22"/>
                <w:lang w:val="el-GR"/>
              </w:rPr>
              <w:t>Πυρετός, αίσθημα κακουχίας, ρίγος, κόπωση</w:t>
            </w:r>
          </w:p>
          <w:p w:rsidR="00984ABC" w:rsidRPr="00541EC2" w:rsidRDefault="00984ABC" w:rsidP="00F70868">
            <w:pPr>
              <w:tabs>
                <w:tab w:val="left" w:pos="0"/>
                <w:tab w:val="left" w:pos="56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066"/>
                <w:tab w:val="left" w:pos="9636"/>
                <w:tab w:val="left" w:pos="10200"/>
                <w:tab w:val="left" w:pos="10770"/>
                <w:tab w:val="left" w:pos="11334"/>
                <w:tab w:val="left" w:pos="11904"/>
                <w:tab w:val="left" w:pos="12468"/>
                <w:tab w:val="left" w:pos="13038"/>
                <w:tab w:val="left" w:pos="13602"/>
                <w:tab w:val="left" w:pos="14172"/>
                <w:tab w:val="left" w:pos="14736"/>
                <w:tab w:val="left" w:pos="15306"/>
                <w:tab w:val="left" w:pos="15870"/>
                <w:tab w:val="left" w:pos="16440"/>
                <w:tab w:val="left" w:pos="17004"/>
                <w:tab w:val="left" w:pos="17574"/>
                <w:tab w:val="left" w:pos="18138"/>
                <w:tab w:val="left" w:pos="18708"/>
                <w:tab w:val="left" w:pos="19272"/>
                <w:tab w:val="left" w:pos="19842"/>
                <w:tab w:val="left" w:pos="20406"/>
                <w:tab w:val="left" w:pos="20976"/>
                <w:tab w:val="left" w:pos="21540"/>
                <w:tab w:val="left" w:pos="22110"/>
              </w:tabs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541EC2">
              <w:rPr>
                <w:rFonts w:ascii="Times New Roman" w:hAnsi="Times New Roman"/>
                <w:sz w:val="22"/>
                <w:szCs w:val="22"/>
                <w:lang w:val="el-GR"/>
              </w:rPr>
              <w:t>Τοπικές αντιδράσεις: ερύθημα, οίδημα, άλγος, εκχύμωση, σκλήρυνση*</w:t>
            </w:r>
          </w:p>
        </w:tc>
        <w:tc>
          <w:tcPr>
            <w:tcW w:w="1858" w:type="dxa"/>
            <w:shd w:val="clear" w:color="auto" w:fill="auto"/>
          </w:tcPr>
          <w:p w:rsidR="00984ABC" w:rsidRPr="00541EC2" w:rsidRDefault="00984ABC" w:rsidP="00F70868">
            <w:pPr>
              <w:tabs>
                <w:tab w:val="left" w:pos="0"/>
                <w:tab w:val="left" w:pos="564"/>
                <w:tab w:val="left" w:pos="1698"/>
                <w:tab w:val="left" w:pos="2268"/>
                <w:tab w:val="left" w:pos="2832"/>
                <w:tab w:val="left" w:pos="3402"/>
                <w:tab w:val="left" w:pos="3966"/>
                <w:tab w:val="left" w:pos="4530"/>
                <w:tab w:val="left" w:pos="5100"/>
                <w:tab w:val="left" w:pos="5664"/>
                <w:tab w:val="left" w:pos="6234"/>
                <w:tab w:val="left" w:pos="6798"/>
                <w:tab w:val="left" w:pos="7368"/>
                <w:tab w:val="left" w:pos="7932"/>
                <w:tab w:val="left" w:pos="8502"/>
                <w:tab w:val="left" w:pos="9066"/>
                <w:tab w:val="left" w:pos="9636"/>
                <w:tab w:val="left" w:pos="10200"/>
                <w:tab w:val="left" w:pos="10770"/>
                <w:tab w:val="left" w:pos="11334"/>
                <w:tab w:val="left" w:pos="11904"/>
                <w:tab w:val="left" w:pos="12468"/>
                <w:tab w:val="left" w:pos="13038"/>
                <w:tab w:val="left" w:pos="13602"/>
                <w:tab w:val="left" w:pos="14172"/>
                <w:tab w:val="left" w:pos="14736"/>
                <w:tab w:val="left" w:pos="15306"/>
                <w:tab w:val="left" w:pos="15870"/>
                <w:tab w:val="left" w:pos="16440"/>
                <w:tab w:val="left" w:pos="17004"/>
                <w:tab w:val="left" w:pos="17574"/>
                <w:tab w:val="left" w:pos="18138"/>
                <w:tab w:val="left" w:pos="18708"/>
                <w:tab w:val="left" w:pos="19272"/>
                <w:tab w:val="left" w:pos="19842"/>
                <w:tab w:val="left" w:pos="20406"/>
                <w:tab w:val="left" w:pos="20976"/>
                <w:tab w:val="left" w:pos="21540"/>
                <w:tab w:val="left" w:pos="22110"/>
              </w:tabs>
              <w:rPr>
                <w:rFonts w:ascii="Times New Roman" w:hAnsi="Times New Roman"/>
                <w:color w:val="0000FF"/>
                <w:sz w:val="22"/>
                <w:szCs w:val="22"/>
                <w:lang w:val="el-GR"/>
              </w:rPr>
            </w:pPr>
          </w:p>
        </w:tc>
      </w:tr>
    </w:tbl>
    <w:p w:rsidR="009B046A" w:rsidRPr="00541EC2" w:rsidRDefault="009B046A" w:rsidP="00F70868">
      <w:pPr>
        <w:tabs>
          <w:tab w:val="left" w:pos="0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>* Οι αντιδράσεις αυτές συνήθως εξαφανίζονται σε 1</w:t>
      </w:r>
      <w:r w:rsidR="00E334CA" w:rsidRPr="00541EC2">
        <w:rPr>
          <w:rFonts w:ascii="Times New Roman" w:hAnsi="Times New Roman"/>
          <w:sz w:val="22"/>
          <w:szCs w:val="22"/>
          <w:lang w:val="el-GR"/>
        </w:rPr>
        <w:noBreakHyphen/>
      </w:r>
      <w:r w:rsidRPr="00541EC2">
        <w:rPr>
          <w:rFonts w:ascii="Times New Roman" w:hAnsi="Times New Roman"/>
          <w:sz w:val="22"/>
          <w:szCs w:val="22"/>
          <w:lang w:val="el-GR"/>
        </w:rPr>
        <w:t>2 ημέρες χωρίς καμία θεραπευτική αγωγή.</w:t>
      </w:r>
    </w:p>
    <w:p w:rsidR="009B046A" w:rsidRPr="00541EC2" w:rsidRDefault="009B046A" w:rsidP="00F70868">
      <w:pPr>
        <w:tabs>
          <w:tab w:val="left" w:pos="0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color w:val="0000FF"/>
          <w:sz w:val="22"/>
          <w:szCs w:val="22"/>
          <w:lang w:val="el-GR"/>
        </w:rPr>
      </w:pPr>
    </w:p>
    <w:p w:rsidR="009B046A" w:rsidRPr="00541EC2" w:rsidRDefault="009B046A" w:rsidP="00F70868">
      <w:pPr>
        <w:tabs>
          <w:tab w:val="left" w:pos="0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u w:val="single"/>
          <w:lang w:val="el-GR"/>
        </w:rPr>
      </w:pPr>
      <w:bookmarkStart w:id="3" w:name="OLE_LINK2"/>
      <w:r w:rsidRPr="00541EC2">
        <w:rPr>
          <w:rFonts w:ascii="Times New Roman" w:hAnsi="Times New Roman"/>
          <w:sz w:val="22"/>
          <w:szCs w:val="22"/>
          <w:u w:val="single"/>
          <w:lang w:val="el-GR"/>
        </w:rPr>
        <w:t xml:space="preserve">ΑΝΕΠΙΘΥΜΗΤΕΣ ΑΝΤΙΔΡΑΣΕΙΣ ΠΟΥ ΑΝΑΦΕΡΘΗΚΑΝ ΑΠΟ ΤΗΝ ΠΑΡΑΚΟΛΟΥΘΗΣΗ ΜΕΤΑ ΤΗΝ ΚΥΚΛΟΦΟΡΙΑ ΤΟΥ ΕΜΒΟΛΙΟΥ </w:t>
      </w:r>
    </w:p>
    <w:p w:rsidR="009B046A" w:rsidRPr="00541EC2" w:rsidRDefault="009B046A" w:rsidP="00F70868">
      <w:pPr>
        <w:tabs>
          <w:tab w:val="left" w:pos="0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 xml:space="preserve">Επιπρόσθετα των αντιδράσεων που έχουν επίσης παρατηρηθεί κατά τη διάρκεια κλινικών μελετών, </w:t>
      </w:r>
      <w:r w:rsidRPr="00541EC2">
        <w:rPr>
          <w:rFonts w:ascii="Times New Roman" w:hAnsi="Times New Roman"/>
          <w:sz w:val="22"/>
          <w:szCs w:val="22"/>
          <w:lang w:val="en-US"/>
        </w:rPr>
        <w:t>o</w:t>
      </w:r>
      <w:r w:rsidRPr="00541EC2">
        <w:rPr>
          <w:rFonts w:ascii="Times New Roman" w:hAnsi="Times New Roman"/>
          <w:sz w:val="22"/>
          <w:szCs w:val="22"/>
          <w:lang w:val="el-GR"/>
        </w:rPr>
        <w:t>ι ανεπιθύμητες αντιδράσεις που έχουν αναφερθεί από την παρακολούθηση μετά την κυκλοφορία του εμβολίου είναι οι ακόλουθες:</w:t>
      </w:r>
    </w:p>
    <w:p w:rsidR="009B046A" w:rsidRPr="00541EC2" w:rsidRDefault="009B046A" w:rsidP="00F70868">
      <w:pPr>
        <w:tabs>
          <w:tab w:val="left" w:pos="0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color w:val="0000FF"/>
          <w:sz w:val="22"/>
          <w:szCs w:val="22"/>
          <w:lang w:val="el-GR"/>
        </w:rPr>
      </w:pPr>
    </w:p>
    <w:p w:rsidR="009B046A" w:rsidRPr="00541EC2" w:rsidRDefault="009B046A" w:rsidP="00F70868">
      <w:pPr>
        <w:tabs>
          <w:tab w:val="left" w:pos="0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u w:val="single"/>
          <w:lang w:val="el-GR"/>
        </w:rPr>
      </w:pPr>
      <w:r w:rsidRPr="00541EC2">
        <w:rPr>
          <w:rFonts w:ascii="Times New Roman" w:hAnsi="Times New Roman"/>
          <w:noProof/>
          <w:sz w:val="22"/>
          <w:szCs w:val="22"/>
          <w:u w:val="single"/>
          <w:lang w:val="el-GR"/>
        </w:rPr>
        <w:t>Διαταραχές του αιμοποιητικού και του λεμφικού συστήματος:</w:t>
      </w:r>
    </w:p>
    <w:p w:rsidR="009B046A" w:rsidRPr="00541EC2" w:rsidRDefault="009B046A" w:rsidP="00F70868">
      <w:pPr>
        <w:tabs>
          <w:tab w:val="left" w:pos="0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>Παροδική θρομβοκυτοπενία, παροδική λεμφαδενοπάθεια</w:t>
      </w:r>
      <w:r w:rsidR="001A325B" w:rsidRPr="00541EC2">
        <w:rPr>
          <w:rFonts w:ascii="Times New Roman" w:hAnsi="Times New Roman"/>
          <w:sz w:val="22"/>
          <w:szCs w:val="22"/>
          <w:lang w:val="el-GR"/>
        </w:rPr>
        <w:t>.</w:t>
      </w:r>
    </w:p>
    <w:p w:rsidR="009B046A" w:rsidRPr="00541EC2" w:rsidRDefault="009B046A" w:rsidP="00F70868">
      <w:pPr>
        <w:tabs>
          <w:tab w:val="left" w:pos="0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9B046A" w:rsidRPr="00541EC2" w:rsidRDefault="009B046A" w:rsidP="00F70868">
      <w:pPr>
        <w:tabs>
          <w:tab w:val="left" w:pos="0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trike/>
          <w:sz w:val="22"/>
          <w:szCs w:val="22"/>
          <w:u w:val="single"/>
          <w:lang w:val="el-GR"/>
        </w:rPr>
      </w:pPr>
      <w:r w:rsidRPr="00541EC2">
        <w:rPr>
          <w:rFonts w:ascii="Times New Roman" w:hAnsi="Times New Roman"/>
          <w:noProof/>
          <w:sz w:val="22"/>
          <w:szCs w:val="22"/>
          <w:u w:val="single"/>
          <w:lang w:val="el-GR"/>
        </w:rPr>
        <w:t>Διαταραχές του ανοσοποιητικού συστήματος:</w:t>
      </w:r>
    </w:p>
    <w:p w:rsidR="009B046A" w:rsidRPr="00541EC2" w:rsidRDefault="009B046A" w:rsidP="00F70868">
      <w:pPr>
        <w:tabs>
          <w:tab w:val="left" w:pos="0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>Αλλεργικές αντιδράσεις, οι οποίες σε σπάνιες περιπτώσεις οδηγούν σε καταπληξία (</w:t>
      </w:r>
      <w:r w:rsidRPr="00541EC2">
        <w:rPr>
          <w:rFonts w:ascii="Times New Roman" w:hAnsi="Times New Roman"/>
          <w:sz w:val="22"/>
          <w:szCs w:val="22"/>
          <w:lang w:val="en-US"/>
        </w:rPr>
        <w:t>shock</w:t>
      </w:r>
      <w:r w:rsidRPr="00541EC2">
        <w:rPr>
          <w:rFonts w:ascii="Times New Roman" w:hAnsi="Times New Roman"/>
          <w:sz w:val="22"/>
          <w:szCs w:val="22"/>
          <w:lang w:val="el-GR"/>
        </w:rPr>
        <w:t>), αγγειοοίδημα.</w:t>
      </w:r>
    </w:p>
    <w:p w:rsidR="009B046A" w:rsidRPr="00541EC2" w:rsidRDefault="009B046A" w:rsidP="00F70868">
      <w:pPr>
        <w:tabs>
          <w:tab w:val="left" w:pos="0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9B046A" w:rsidRPr="00541EC2" w:rsidRDefault="009B046A" w:rsidP="00F70868">
      <w:pPr>
        <w:tabs>
          <w:tab w:val="left" w:pos="0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trike/>
          <w:sz w:val="22"/>
          <w:szCs w:val="22"/>
          <w:u w:val="single"/>
          <w:lang w:val="el-GR"/>
        </w:rPr>
      </w:pPr>
      <w:r w:rsidRPr="00541EC2">
        <w:rPr>
          <w:rFonts w:ascii="Times New Roman" w:hAnsi="Times New Roman"/>
          <w:noProof/>
          <w:sz w:val="22"/>
          <w:szCs w:val="22"/>
          <w:u w:val="single"/>
          <w:lang w:val="el-GR"/>
        </w:rPr>
        <w:t>Διαταραχές του νευρικού συστήματος:</w:t>
      </w:r>
    </w:p>
    <w:p w:rsidR="009B046A" w:rsidRPr="00541EC2" w:rsidRDefault="009B046A" w:rsidP="00F70868">
      <w:pPr>
        <w:tabs>
          <w:tab w:val="left" w:pos="0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 xml:space="preserve">Νευραλγία, παραισθησία, πυρετικοί σπασμοί, νευρολογικές διαταραχές, όπως εγκεφαλομυελίτιδα, νευρίτιδα, σύνδρομο </w:t>
      </w:r>
      <w:r w:rsidRPr="00541EC2">
        <w:rPr>
          <w:rFonts w:ascii="Times New Roman" w:hAnsi="Times New Roman"/>
          <w:sz w:val="22"/>
          <w:szCs w:val="22"/>
        </w:rPr>
        <w:t>Guillain</w:t>
      </w:r>
      <w:r w:rsidRPr="00541EC2">
        <w:rPr>
          <w:rFonts w:ascii="Times New Roman" w:hAnsi="Times New Roman"/>
          <w:sz w:val="22"/>
          <w:szCs w:val="22"/>
          <w:lang w:val="el-GR"/>
        </w:rPr>
        <w:t>-</w:t>
      </w:r>
      <w:r w:rsidRPr="00541EC2">
        <w:rPr>
          <w:rFonts w:ascii="Times New Roman" w:hAnsi="Times New Roman"/>
          <w:sz w:val="22"/>
          <w:szCs w:val="22"/>
        </w:rPr>
        <w:t>Barr</w:t>
      </w:r>
      <w:r w:rsidRPr="00541EC2">
        <w:rPr>
          <w:rFonts w:ascii="Times New Roman" w:hAnsi="Times New Roman"/>
          <w:sz w:val="22"/>
          <w:szCs w:val="22"/>
          <w:lang w:val="el-GR"/>
        </w:rPr>
        <w:t>é.</w:t>
      </w:r>
    </w:p>
    <w:p w:rsidR="009B046A" w:rsidRPr="00541EC2" w:rsidRDefault="009B046A" w:rsidP="00F70868">
      <w:pPr>
        <w:tabs>
          <w:tab w:val="left" w:pos="0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trike/>
          <w:sz w:val="22"/>
          <w:szCs w:val="22"/>
          <w:lang w:val="el-GR"/>
        </w:rPr>
      </w:pPr>
    </w:p>
    <w:p w:rsidR="009B046A" w:rsidRPr="00541EC2" w:rsidRDefault="009B046A" w:rsidP="00F70868">
      <w:pPr>
        <w:tabs>
          <w:tab w:val="left" w:pos="0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trike/>
          <w:sz w:val="22"/>
          <w:szCs w:val="22"/>
          <w:u w:val="single"/>
          <w:lang w:val="el-GR"/>
        </w:rPr>
      </w:pPr>
      <w:r w:rsidRPr="00541EC2">
        <w:rPr>
          <w:rFonts w:ascii="Times New Roman" w:hAnsi="Times New Roman"/>
          <w:noProof/>
          <w:sz w:val="22"/>
          <w:szCs w:val="22"/>
          <w:u w:val="single"/>
          <w:lang w:val="el-GR"/>
        </w:rPr>
        <w:t>Αγγειακές διαταραχές:</w:t>
      </w:r>
    </w:p>
    <w:p w:rsidR="009B046A" w:rsidRPr="00541EC2" w:rsidRDefault="009B046A" w:rsidP="00F70868">
      <w:pPr>
        <w:tabs>
          <w:tab w:val="left" w:pos="0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trike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>Αγγειίτιδα σχετιζόμενη σε πολύ σπάνιες περιπτώσεις με παροδική νεφρική επιπλοκή.</w:t>
      </w:r>
    </w:p>
    <w:p w:rsidR="009B046A" w:rsidRPr="00541EC2" w:rsidRDefault="009B046A" w:rsidP="00F70868">
      <w:pPr>
        <w:tabs>
          <w:tab w:val="left" w:pos="0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noProof/>
          <w:sz w:val="22"/>
          <w:szCs w:val="22"/>
          <w:u w:val="single"/>
          <w:lang w:val="el-GR"/>
        </w:rPr>
      </w:pPr>
    </w:p>
    <w:p w:rsidR="009B046A" w:rsidRPr="00541EC2" w:rsidRDefault="009B046A" w:rsidP="00F70868">
      <w:pPr>
        <w:tabs>
          <w:tab w:val="left" w:pos="0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trike/>
          <w:sz w:val="22"/>
          <w:szCs w:val="22"/>
          <w:u w:val="single"/>
          <w:lang w:val="el-GR"/>
        </w:rPr>
      </w:pPr>
      <w:r w:rsidRPr="00541EC2">
        <w:rPr>
          <w:rFonts w:ascii="Times New Roman" w:hAnsi="Times New Roman"/>
          <w:noProof/>
          <w:sz w:val="22"/>
          <w:szCs w:val="22"/>
          <w:u w:val="single"/>
          <w:lang w:val="el-GR"/>
        </w:rPr>
        <w:t>Διαταραχές του δέρματος και του υποδόριου ιστού:</w:t>
      </w:r>
    </w:p>
    <w:p w:rsidR="009B046A" w:rsidRPr="00541EC2" w:rsidRDefault="009B046A" w:rsidP="00F70868">
      <w:pPr>
        <w:tabs>
          <w:tab w:val="left" w:pos="0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trike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>Γενικευμένες δερματικές αντιδράσεις συμπεριλαμβανομένων κνησμού, κνίδωσης ή μη ειδικού εξανθήματος.</w:t>
      </w:r>
    </w:p>
    <w:p w:rsidR="009B046A" w:rsidRPr="00541EC2" w:rsidRDefault="009B046A" w:rsidP="00F70868">
      <w:pPr>
        <w:tabs>
          <w:tab w:val="left" w:pos="0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trike/>
          <w:sz w:val="22"/>
          <w:szCs w:val="22"/>
          <w:lang w:val="el-GR"/>
        </w:rPr>
      </w:pPr>
    </w:p>
    <w:bookmarkEnd w:id="3"/>
    <w:p w:rsidR="003317D2" w:rsidRPr="00541EC2" w:rsidRDefault="003317D2" w:rsidP="00DC7D48">
      <w:pPr>
        <w:tabs>
          <w:tab w:val="left" w:pos="0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u w:val="single"/>
          <w:lang w:val="el-GR"/>
        </w:rPr>
      </w:pPr>
      <w:r w:rsidRPr="00541EC2">
        <w:rPr>
          <w:rFonts w:ascii="Times New Roman" w:hAnsi="Times New Roman"/>
          <w:sz w:val="22"/>
          <w:szCs w:val="22"/>
          <w:u w:val="single"/>
          <w:lang w:val="el-GR"/>
        </w:rPr>
        <w:t>Αναφορά πιθανολογούμενων ανεπιθύμητων ενεργειών</w:t>
      </w:r>
    </w:p>
    <w:p w:rsidR="0026084E" w:rsidRPr="00541EC2" w:rsidRDefault="003317D2" w:rsidP="00541EC2">
      <w:pPr>
        <w:tabs>
          <w:tab w:val="left" w:pos="0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>Η αναφορά πιθανολογούμενων ανεπιθύμητων ενεργειών μετά από τη χορήγηση άδειας κυκλοφορίας του φαρμακευτικού προϊόντος είναι σημαντική. Επιτρέπει τη συνεχή παρακολούθηση της σχέσης οφέλους-κινδύνου του φαρμακευτικού προϊόντος. Ζητείται από τους επαγγελματίες του τομέα της υγειονομικής περίθαλψης να αναφέρουν οποιεσδήποτε πιθανολογούμενες ανεπιθύμητες ενέργειες</w:t>
      </w:r>
      <w:r w:rsidR="00C30E2A"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στον Εθνικό Οργανισμό Φαρμάκων, Μεσογείων 284, GR-15562 Χολαργός, Αθήνα, Τηλ: + 30 21 32040380/337, Φαξ: + 30 210 6549585, Ιστότοπος: </w:t>
      </w:r>
      <w:hyperlink r:id="rId8" w:history="1">
        <w:r w:rsidRPr="00541EC2">
          <w:rPr>
            <w:rFonts w:ascii="Times New Roman" w:hAnsi="Times New Roman"/>
            <w:sz w:val="22"/>
            <w:szCs w:val="22"/>
            <w:u w:val="single"/>
            <w:lang w:val="el-GR"/>
          </w:rPr>
          <w:t>http://www.eof.gr</w:t>
        </w:r>
      </w:hyperlink>
      <w:r w:rsidRPr="00541EC2">
        <w:rPr>
          <w:rFonts w:ascii="Times New Roman" w:hAnsi="Times New Roman"/>
          <w:sz w:val="22"/>
          <w:szCs w:val="22"/>
          <w:lang w:val="el-GR"/>
        </w:rPr>
        <w:t>.</w:t>
      </w:r>
    </w:p>
    <w:p w:rsidR="003317D2" w:rsidRPr="00541EC2" w:rsidRDefault="003317D2" w:rsidP="003317D2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outlineLvl w:val="0"/>
        <w:rPr>
          <w:rFonts w:ascii="Calibri" w:hAnsi="Calibri"/>
          <w:b/>
          <w:sz w:val="22"/>
          <w:szCs w:val="22"/>
          <w:lang w:val="el-GR"/>
        </w:rPr>
      </w:pPr>
    </w:p>
    <w:p w:rsidR="009B046A" w:rsidRPr="00541EC2" w:rsidRDefault="009B046A" w:rsidP="00DD47A7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outlineLvl w:val="0"/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b/>
          <w:sz w:val="22"/>
          <w:szCs w:val="22"/>
          <w:lang w:val="el-GR"/>
        </w:rPr>
        <w:t>4.9</w:t>
      </w:r>
      <w:r w:rsidRPr="00541EC2">
        <w:rPr>
          <w:rFonts w:ascii="Times New Roman" w:hAnsi="Times New Roman"/>
          <w:b/>
          <w:sz w:val="22"/>
          <w:szCs w:val="22"/>
          <w:lang w:val="el-GR"/>
        </w:rPr>
        <w:tab/>
        <w:t>Υπερδοσολογία</w:t>
      </w:r>
    </w:p>
    <w:p w:rsidR="006F31D6" w:rsidRPr="00541EC2" w:rsidRDefault="006F31D6" w:rsidP="00F70868">
      <w:pPr>
        <w:pStyle w:val="a9"/>
        <w:tabs>
          <w:tab w:val="clear" w:pos="1"/>
          <w:tab w:val="clear" w:pos="426"/>
          <w:tab w:val="left" w:pos="0"/>
        </w:tabs>
        <w:spacing w:line="240" w:lineRule="auto"/>
        <w:ind w:left="0"/>
        <w:jc w:val="left"/>
        <w:outlineLvl w:val="0"/>
        <w:rPr>
          <w:rFonts w:ascii="Times New Roman" w:hAnsi="Times New Roman"/>
          <w:strike w:val="0"/>
          <w:szCs w:val="22"/>
          <w:lang w:val="el-GR"/>
        </w:rPr>
      </w:pPr>
    </w:p>
    <w:p w:rsidR="009B046A" w:rsidRPr="00541EC2" w:rsidRDefault="009B046A" w:rsidP="00F70868">
      <w:pPr>
        <w:pStyle w:val="a9"/>
        <w:tabs>
          <w:tab w:val="clear" w:pos="1"/>
          <w:tab w:val="clear" w:pos="426"/>
          <w:tab w:val="left" w:pos="0"/>
        </w:tabs>
        <w:spacing w:line="240" w:lineRule="auto"/>
        <w:ind w:left="0"/>
        <w:jc w:val="left"/>
        <w:outlineLvl w:val="0"/>
        <w:rPr>
          <w:rFonts w:ascii="Times New Roman" w:hAnsi="Times New Roman"/>
          <w:strike w:val="0"/>
          <w:szCs w:val="22"/>
          <w:lang w:val="el-GR"/>
        </w:rPr>
      </w:pPr>
      <w:r w:rsidRPr="00541EC2">
        <w:rPr>
          <w:rFonts w:ascii="Times New Roman" w:hAnsi="Times New Roman"/>
          <w:strike w:val="0"/>
          <w:szCs w:val="22"/>
          <w:lang w:val="el-GR"/>
        </w:rPr>
        <w:t>Δεν υπάρχει πιθανότητα η υπερδοσολογία να έχει οποιαδήποτε δυσμενή επίδραση.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993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920B00" w:rsidRPr="00541EC2" w:rsidRDefault="00920B00" w:rsidP="00F70868">
      <w:pPr>
        <w:tabs>
          <w:tab w:val="left" w:pos="0"/>
          <w:tab w:val="left" w:pos="564"/>
          <w:tab w:val="left" w:pos="993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9B046A" w:rsidRPr="00541EC2" w:rsidRDefault="009B046A" w:rsidP="00BA6169">
      <w:pPr>
        <w:tabs>
          <w:tab w:val="left" w:pos="0"/>
          <w:tab w:val="left" w:pos="567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b/>
          <w:sz w:val="22"/>
          <w:szCs w:val="22"/>
          <w:lang w:val="el-GR"/>
        </w:rPr>
      </w:pPr>
      <w:r w:rsidRPr="00541EC2">
        <w:rPr>
          <w:rFonts w:ascii="Times New Roman" w:hAnsi="Times New Roman"/>
          <w:b/>
          <w:sz w:val="22"/>
          <w:szCs w:val="22"/>
          <w:lang w:val="el-GR"/>
        </w:rPr>
        <w:t>5.</w:t>
      </w:r>
      <w:r w:rsidRPr="00541EC2">
        <w:rPr>
          <w:rFonts w:ascii="Times New Roman" w:hAnsi="Times New Roman"/>
          <w:b/>
          <w:sz w:val="22"/>
          <w:szCs w:val="22"/>
          <w:lang w:val="el-GR"/>
        </w:rPr>
        <w:tab/>
        <w:t>ΦΑΡΜΑΚΟΛΟΓΙΚΕΣ ΙΔΙΟΤΗΤΕΣ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b/>
          <w:sz w:val="22"/>
          <w:szCs w:val="22"/>
          <w:lang w:val="el-GR"/>
        </w:rPr>
      </w:pPr>
    </w:p>
    <w:p w:rsidR="009B046A" w:rsidRPr="00541EC2" w:rsidRDefault="009B046A" w:rsidP="00BA6169">
      <w:pPr>
        <w:tabs>
          <w:tab w:val="left" w:pos="0"/>
          <w:tab w:val="left" w:pos="567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outlineLvl w:val="0"/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b/>
          <w:sz w:val="22"/>
          <w:szCs w:val="22"/>
          <w:lang w:val="el-GR"/>
        </w:rPr>
        <w:t>5.1</w:t>
      </w:r>
      <w:r w:rsidRPr="00541EC2">
        <w:rPr>
          <w:rFonts w:ascii="Times New Roman" w:hAnsi="Times New Roman"/>
          <w:b/>
          <w:sz w:val="22"/>
          <w:szCs w:val="22"/>
          <w:lang w:val="el-GR"/>
        </w:rPr>
        <w:tab/>
        <w:t>Φαρμακοδυναμικές ιδιότητες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lastRenderedPageBreak/>
        <w:t xml:space="preserve">Φαρμακοθεραπευτική κατηγορία: Αντιγριπικό </w:t>
      </w:r>
      <w:r w:rsidR="00711A23" w:rsidRPr="00541EC2">
        <w:rPr>
          <w:rFonts w:ascii="Times New Roman" w:hAnsi="Times New Roman"/>
          <w:sz w:val="22"/>
          <w:szCs w:val="22"/>
          <w:lang w:val="el-GR"/>
        </w:rPr>
        <w:t>ε</w:t>
      </w:r>
      <w:r w:rsidRPr="00541EC2">
        <w:rPr>
          <w:rFonts w:ascii="Times New Roman" w:hAnsi="Times New Roman"/>
          <w:sz w:val="22"/>
          <w:szCs w:val="22"/>
          <w:lang w:val="el-GR"/>
        </w:rPr>
        <w:t>μβόλιο</w:t>
      </w:r>
      <w:r w:rsidR="006B608B" w:rsidRPr="00541EC2">
        <w:rPr>
          <w:rFonts w:ascii="Times New Roman" w:hAnsi="Times New Roman"/>
          <w:sz w:val="22"/>
          <w:szCs w:val="22"/>
          <w:lang w:val="el-GR"/>
        </w:rPr>
        <w:t>,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Κωδικός </w:t>
      </w:r>
      <w:r w:rsidRPr="00541EC2">
        <w:rPr>
          <w:rFonts w:ascii="Times New Roman" w:hAnsi="Times New Roman"/>
          <w:sz w:val="22"/>
          <w:szCs w:val="22"/>
          <w:lang w:val="en-US"/>
        </w:rPr>
        <w:t>ATC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: </w:t>
      </w:r>
      <w:r w:rsidRPr="00541EC2">
        <w:rPr>
          <w:rFonts w:ascii="Times New Roman" w:hAnsi="Times New Roman"/>
          <w:sz w:val="22"/>
          <w:szCs w:val="22"/>
          <w:lang w:val="en-US"/>
        </w:rPr>
        <w:t>J</w:t>
      </w:r>
      <w:r w:rsidRPr="00541EC2">
        <w:rPr>
          <w:rFonts w:ascii="Times New Roman" w:hAnsi="Times New Roman"/>
          <w:sz w:val="22"/>
          <w:szCs w:val="22"/>
          <w:lang w:val="el-GR"/>
        </w:rPr>
        <w:t>07</w:t>
      </w:r>
      <w:r w:rsidRPr="00541EC2">
        <w:rPr>
          <w:rFonts w:ascii="Times New Roman" w:hAnsi="Times New Roman"/>
          <w:sz w:val="22"/>
          <w:szCs w:val="22"/>
          <w:lang w:val="en-US"/>
        </w:rPr>
        <w:t>BB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02. 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>Οροπροστασία επιτυγχάνεται κατά κανόνα σε 2 έως 3 εβδομάδες. Η διάρκεια της ανοσίας μετά τον εμβολιασμό με ομόλογα στελέχη ή με στελέχη που έχουν στενή συγγένεια με τα στελέχη του εμβολίου ποικίλλει αλλά συνήθως κυμαίνεται από 6</w:t>
      </w:r>
      <w:r w:rsidR="00E334CA" w:rsidRPr="00541EC2">
        <w:rPr>
          <w:rFonts w:ascii="Times New Roman" w:hAnsi="Times New Roman"/>
          <w:sz w:val="22"/>
          <w:szCs w:val="22"/>
          <w:lang w:val="el-GR"/>
        </w:rPr>
        <w:noBreakHyphen/>
      </w:r>
      <w:r w:rsidRPr="00541EC2">
        <w:rPr>
          <w:rFonts w:ascii="Times New Roman" w:hAnsi="Times New Roman"/>
          <w:sz w:val="22"/>
          <w:szCs w:val="22"/>
          <w:lang w:val="el-GR"/>
        </w:rPr>
        <w:t>12 μήνες.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color w:val="0000FF"/>
          <w:sz w:val="22"/>
          <w:szCs w:val="22"/>
          <w:lang w:val="el-GR"/>
        </w:rPr>
      </w:pPr>
    </w:p>
    <w:p w:rsidR="009B046A" w:rsidRPr="00541EC2" w:rsidRDefault="009B046A" w:rsidP="00BA6169">
      <w:pPr>
        <w:tabs>
          <w:tab w:val="left" w:pos="0"/>
          <w:tab w:val="left" w:pos="567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b/>
          <w:sz w:val="22"/>
          <w:szCs w:val="22"/>
          <w:lang w:val="el-GR"/>
        </w:rPr>
        <w:t>5.2</w:t>
      </w:r>
      <w:r w:rsidRPr="00541EC2">
        <w:rPr>
          <w:rFonts w:ascii="Times New Roman" w:hAnsi="Times New Roman"/>
          <w:b/>
          <w:sz w:val="22"/>
          <w:szCs w:val="22"/>
          <w:lang w:val="el-GR"/>
        </w:rPr>
        <w:tab/>
        <w:t>Φαρμακοκινητικές ιδιότητες</w:t>
      </w:r>
    </w:p>
    <w:p w:rsidR="006F31D6" w:rsidRPr="00541EC2" w:rsidRDefault="006F31D6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>Δεν εφαρμόζεται.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b/>
          <w:sz w:val="22"/>
          <w:szCs w:val="22"/>
          <w:lang w:val="el-GR"/>
        </w:rPr>
      </w:pPr>
    </w:p>
    <w:p w:rsidR="009B046A" w:rsidRPr="00541EC2" w:rsidRDefault="009B046A" w:rsidP="00BA6169">
      <w:pPr>
        <w:tabs>
          <w:tab w:val="left" w:pos="0"/>
          <w:tab w:val="left" w:pos="567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outlineLvl w:val="0"/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b/>
          <w:sz w:val="22"/>
          <w:szCs w:val="22"/>
          <w:lang w:val="el-GR"/>
        </w:rPr>
        <w:t>5.3</w:t>
      </w:r>
      <w:r w:rsidRPr="00541EC2">
        <w:rPr>
          <w:rFonts w:ascii="Times New Roman" w:hAnsi="Times New Roman"/>
          <w:b/>
          <w:sz w:val="22"/>
          <w:szCs w:val="22"/>
          <w:lang w:val="el-GR"/>
        </w:rPr>
        <w:tab/>
        <w:t xml:space="preserve">Προκλινικά </w:t>
      </w:r>
      <w:r w:rsidR="00BA7FC9" w:rsidRPr="00541EC2">
        <w:rPr>
          <w:rFonts w:ascii="Times New Roman" w:hAnsi="Times New Roman"/>
          <w:b/>
          <w:sz w:val="22"/>
          <w:szCs w:val="22"/>
          <w:lang w:val="el-GR"/>
        </w:rPr>
        <w:t xml:space="preserve">δεδομένα </w:t>
      </w:r>
      <w:r w:rsidR="006B608B" w:rsidRPr="00541EC2">
        <w:rPr>
          <w:rFonts w:ascii="Times New Roman" w:hAnsi="Times New Roman"/>
          <w:b/>
          <w:noProof/>
          <w:sz w:val="22"/>
          <w:szCs w:val="22"/>
          <w:lang w:val="el-GR"/>
        </w:rPr>
        <w:t>για την ασφάλεια</w:t>
      </w:r>
    </w:p>
    <w:p w:rsidR="006F31D6" w:rsidRPr="00541EC2" w:rsidRDefault="006F31D6" w:rsidP="00F70868">
      <w:pPr>
        <w:tabs>
          <w:tab w:val="left" w:pos="0"/>
          <w:tab w:val="left" w:pos="56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outlineLvl w:val="0"/>
        <w:rPr>
          <w:rFonts w:ascii="Times New Roman" w:hAnsi="Times New Roman"/>
          <w:sz w:val="22"/>
          <w:szCs w:val="22"/>
          <w:lang w:val="el-GR"/>
        </w:rPr>
      </w:pPr>
    </w:p>
    <w:p w:rsidR="009B046A" w:rsidRPr="00541EC2" w:rsidRDefault="009B046A" w:rsidP="00F70868">
      <w:pPr>
        <w:tabs>
          <w:tab w:val="left" w:pos="0"/>
          <w:tab w:val="left" w:pos="56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outlineLvl w:val="0"/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>Δεν εφαρμόζεται</w:t>
      </w:r>
      <w:r w:rsidR="001A325B" w:rsidRPr="00541EC2">
        <w:rPr>
          <w:rFonts w:ascii="Times New Roman" w:hAnsi="Times New Roman"/>
          <w:sz w:val="22"/>
          <w:szCs w:val="22"/>
          <w:lang w:val="el-GR"/>
        </w:rPr>
        <w:t>.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b/>
          <w:sz w:val="22"/>
          <w:szCs w:val="22"/>
          <w:lang w:val="el-GR"/>
        </w:rPr>
      </w:pPr>
    </w:p>
    <w:p w:rsidR="00920B00" w:rsidRPr="00541EC2" w:rsidRDefault="00920B00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b/>
          <w:sz w:val="22"/>
          <w:szCs w:val="22"/>
          <w:lang w:val="el-GR"/>
        </w:rPr>
      </w:pPr>
    </w:p>
    <w:p w:rsidR="009B046A" w:rsidRPr="00541EC2" w:rsidRDefault="009B046A" w:rsidP="00DD47A7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b/>
          <w:sz w:val="22"/>
          <w:szCs w:val="22"/>
          <w:lang w:val="el-GR"/>
        </w:rPr>
      </w:pPr>
      <w:r w:rsidRPr="00541EC2">
        <w:rPr>
          <w:rFonts w:ascii="Times New Roman" w:hAnsi="Times New Roman"/>
          <w:b/>
          <w:sz w:val="22"/>
          <w:szCs w:val="22"/>
          <w:lang w:val="el-GR"/>
        </w:rPr>
        <w:t>6.</w:t>
      </w:r>
      <w:r w:rsidRPr="00541EC2">
        <w:rPr>
          <w:rFonts w:ascii="Times New Roman" w:hAnsi="Times New Roman"/>
          <w:b/>
          <w:sz w:val="22"/>
          <w:szCs w:val="22"/>
          <w:lang w:val="el-GR"/>
        </w:rPr>
        <w:tab/>
      </w:r>
      <w:r w:rsidR="006B608B" w:rsidRPr="00541EC2">
        <w:rPr>
          <w:rFonts w:ascii="Times New Roman" w:hAnsi="Times New Roman"/>
          <w:b/>
          <w:noProof/>
          <w:sz w:val="22"/>
          <w:szCs w:val="22"/>
          <w:lang w:val="el-GR"/>
        </w:rPr>
        <w:t>ΦΑΡΜΑΚΕΥΤΙΚΕΣ ΠΛΗΡΟΦΟΡΙΕΣ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b/>
          <w:sz w:val="22"/>
          <w:szCs w:val="22"/>
          <w:lang w:val="el-GR"/>
        </w:rPr>
      </w:pP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outlineLvl w:val="0"/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b/>
          <w:sz w:val="22"/>
          <w:szCs w:val="22"/>
          <w:lang w:val="el-GR"/>
        </w:rPr>
        <w:t>6.1</w:t>
      </w:r>
      <w:r w:rsidRPr="00541EC2">
        <w:rPr>
          <w:rFonts w:ascii="Times New Roman" w:hAnsi="Times New Roman"/>
          <w:b/>
          <w:sz w:val="22"/>
          <w:szCs w:val="22"/>
          <w:lang w:val="el-GR"/>
        </w:rPr>
        <w:tab/>
        <w:t>Κατάλογος εκδόχων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</w:rPr>
        <w:t>Potassium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541EC2">
        <w:rPr>
          <w:rFonts w:ascii="Times New Roman" w:hAnsi="Times New Roman"/>
          <w:sz w:val="22"/>
          <w:szCs w:val="22"/>
        </w:rPr>
        <w:t>chloride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, </w:t>
      </w:r>
      <w:r w:rsidRPr="00541EC2">
        <w:rPr>
          <w:rFonts w:ascii="Times New Roman" w:hAnsi="Times New Roman"/>
          <w:sz w:val="22"/>
          <w:szCs w:val="22"/>
        </w:rPr>
        <w:t>potassium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541EC2">
        <w:rPr>
          <w:rFonts w:ascii="Times New Roman" w:hAnsi="Times New Roman"/>
          <w:sz w:val="22"/>
          <w:szCs w:val="22"/>
        </w:rPr>
        <w:t>dihydrogen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541EC2">
        <w:rPr>
          <w:rFonts w:ascii="Times New Roman" w:hAnsi="Times New Roman"/>
          <w:sz w:val="22"/>
          <w:szCs w:val="22"/>
        </w:rPr>
        <w:t>phosphate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, </w:t>
      </w:r>
      <w:r w:rsidRPr="00541EC2">
        <w:rPr>
          <w:rFonts w:ascii="Times New Roman" w:hAnsi="Times New Roman"/>
          <w:sz w:val="22"/>
          <w:szCs w:val="22"/>
        </w:rPr>
        <w:t>disodium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541EC2">
        <w:rPr>
          <w:rFonts w:ascii="Times New Roman" w:hAnsi="Times New Roman"/>
          <w:sz w:val="22"/>
          <w:szCs w:val="22"/>
        </w:rPr>
        <w:t>phosphate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541EC2">
        <w:rPr>
          <w:rFonts w:ascii="Times New Roman" w:hAnsi="Times New Roman"/>
          <w:sz w:val="22"/>
          <w:szCs w:val="22"/>
        </w:rPr>
        <w:t>dihydrate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, </w:t>
      </w:r>
      <w:r w:rsidRPr="00541EC2">
        <w:rPr>
          <w:rFonts w:ascii="Times New Roman" w:hAnsi="Times New Roman"/>
          <w:sz w:val="22"/>
          <w:szCs w:val="22"/>
        </w:rPr>
        <w:t>sodium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541EC2">
        <w:rPr>
          <w:rFonts w:ascii="Times New Roman" w:hAnsi="Times New Roman"/>
          <w:sz w:val="22"/>
          <w:szCs w:val="22"/>
        </w:rPr>
        <w:t>chloride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, </w:t>
      </w:r>
      <w:r w:rsidRPr="00541EC2">
        <w:rPr>
          <w:rFonts w:ascii="Times New Roman" w:hAnsi="Times New Roman"/>
          <w:sz w:val="22"/>
          <w:szCs w:val="22"/>
        </w:rPr>
        <w:t>calcium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541EC2">
        <w:rPr>
          <w:rFonts w:ascii="Times New Roman" w:hAnsi="Times New Roman"/>
          <w:sz w:val="22"/>
          <w:szCs w:val="22"/>
        </w:rPr>
        <w:t>chloride</w:t>
      </w:r>
      <w:r w:rsidR="009D4F07"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9D4F07" w:rsidRPr="00541EC2">
        <w:rPr>
          <w:rFonts w:ascii="Times New Roman" w:hAnsi="Times New Roman"/>
          <w:sz w:val="22"/>
          <w:szCs w:val="22"/>
          <w:lang w:val="en-US"/>
        </w:rPr>
        <w:t>dihydrate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, </w:t>
      </w:r>
      <w:r w:rsidRPr="00541EC2">
        <w:rPr>
          <w:rFonts w:ascii="Times New Roman" w:hAnsi="Times New Roman"/>
          <w:sz w:val="22"/>
          <w:szCs w:val="22"/>
        </w:rPr>
        <w:t>magnesium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541EC2">
        <w:rPr>
          <w:rFonts w:ascii="Times New Roman" w:hAnsi="Times New Roman"/>
          <w:sz w:val="22"/>
          <w:szCs w:val="22"/>
        </w:rPr>
        <w:t>chloride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541EC2">
        <w:rPr>
          <w:rFonts w:ascii="Times New Roman" w:hAnsi="Times New Roman"/>
          <w:sz w:val="22"/>
          <w:szCs w:val="22"/>
        </w:rPr>
        <w:t>hexahydrate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623B8E" w:rsidRPr="00541EC2">
        <w:rPr>
          <w:rFonts w:ascii="Times New Roman" w:hAnsi="Times New Roman"/>
          <w:sz w:val="22"/>
          <w:szCs w:val="22"/>
          <w:lang w:val="el-GR"/>
        </w:rPr>
        <w:t>και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541EC2">
        <w:rPr>
          <w:rFonts w:ascii="Times New Roman" w:hAnsi="Times New Roman"/>
          <w:sz w:val="22"/>
          <w:szCs w:val="22"/>
        </w:rPr>
        <w:t>water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541EC2">
        <w:rPr>
          <w:rFonts w:ascii="Times New Roman" w:hAnsi="Times New Roman"/>
          <w:sz w:val="22"/>
          <w:szCs w:val="22"/>
        </w:rPr>
        <w:t>for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541EC2">
        <w:rPr>
          <w:rFonts w:ascii="Times New Roman" w:hAnsi="Times New Roman"/>
          <w:sz w:val="22"/>
          <w:szCs w:val="22"/>
        </w:rPr>
        <w:t>injections</w:t>
      </w:r>
      <w:r w:rsidRPr="00541EC2">
        <w:rPr>
          <w:rFonts w:ascii="Times New Roman" w:hAnsi="Times New Roman"/>
          <w:sz w:val="22"/>
          <w:szCs w:val="22"/>
          <w:lang w:val="el-GR"/>
        </w:rPr>
        <w:t>.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b/>
          <w:sz w:val="22"/>
          <w:szCs w:val="22"/>
          <w:lang w:val="el-GR"/>
        </w:rPr>
      </w:pP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b/>
          <w:sz w:val="22"/>
          <w:szCs w:val="22"/>
          <w:lang w:val="el-GR"/>
        </w:rPr>
        <w:t>6.2</w:t>
      </w:r>
      <w:r w:rsidRPr="00541EC2">
        <w:rPr>
          <w:rFonts w:ascii="Times New Roman" w:hAnsi="Times New Roman"/>
          <w:b/>
          <w:sz w:val="22"/>
          <w:szCs w:val="22"/>
          <w:lang w:val="el-GR"/>
        </w:rPr>
        <w:tab/>
        <w:t>Ασυμβατότητες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9B046A" w:rsidRPr="00541EC2" w:rsidRDefault="00EA0D93" w:rsidP="00F70868">
      <w:pPr>
        <w:pStyle w:val="20"/>
        <w:tabs>
          <w:tab w:val="clear" w:pos="1"/>
          <w:tab w:val="clear" w:pos="426"/>
          <w:tab w:val="left" w:pos="0"/>
        </w:tabs>
        <w:spacing w:line="240" w:lineRule="auto"/>
        <w:ind w:left="0"/>
        <w:jc w:val="left"/>
        <w:rPr>
          <w:rFonts w:ascii="Times New Roman" w:hAnsi="Times New Roman"/>
          <w:b w:val="0"/>
          <w:szCs w:val="22"/>
          <w:lang w:val="el-GR"/>
        </w:rPr>
      </w:pPr>
      <w:r w:rsidRPr="00541EC2">
        <w:rPr>
          <w:rFonts w:ascii="Times New Roman" w:hAnsi="Times New Roman"/>
          <w:b w:val="0"/>
          <w:szCs w:val="22"/>
          <w:lang w:val="el-GR"/>
        </w:rPr>
        <w:t>Ελλείψει μελετών σχετικά με τη συμβατότητα, το παρόν</w:t>
      </w:r>
      <w:r w:rsidR="009B046A" w:rsidRPr="00541EC2">
        <w:rPr>
          <w:rFonts w:ascii="Times New Roman" w:hAnsi="Times New Roman"/>
          <w:b w:val="0"/>
          <w:szCs w:val="22"/>
          <w:lang w:val="el-GR"/>
        </w:rPr>
        <w:t xml:space="preserve"> </w:t>
      </w:r>
      <w:r w:rsidR="009F002F" w:rsidRPr="00541EC2">
        <w:rPr>
          <w:rFonts w:ascii="Times New Roman" w:hAnsi="Times New Roman"/>
          <w:b w:val="0"/>
          <w:szCs w:val="22"/>
          <w:lang w:val="el-GR"/>
        </w:rPr>
        <w:t>φαρμακευτικό προϊόν</w:t>
      </w:r>
      <w:r w:rsidR="009B046A" w:rsidRPr="00541EC2">
        <w:rPr>
          <w:rFonts w:ascii="Times New Roman" w:hAnsi="Times New Roman"/>
          <w:b w:val="0"/>
          <w:szCs w:val="22"/>
          <w:lang w:val="el-GR"/>
        </w:rPr>
        <w:t xml:space="preserve"> δεν πρέπει να αναμιγνύεται με άλλα φαρμακευτικά προϊόντα. 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b/>
          <w:sz w:val="22"/>
          <w:szCs w:val="22"/>
          <w:lang w:val="el-GR"/>
        </w:rPr>
      </w:pPr>
    </w:p>
    <w:p w:rsidR="009B046A" w:rsidRPr="00541EC2" w:rsidRDefault="009B046A" w:rsidP="00DD47A7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outlineLvl w:val="0"/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b/>
          <w:sz w:val="22"/>
          <w:szCs w:val="22"/>
          <w:lang w:val="el-GR"/>
        </w:rPr>
        <w:t>6.3</w:t>
      </w:r>
      <w:r w:rsidRPr="00541EC2">
        <w:rPr>
          <w:rFonts w:ascii="Times New Roman" w:hAnsi="Times New Roman"/>
          <w:b/>
          <w:sz w:val="22"/>
          <w:szCs w:val="22"/>
          <w:lang w:val="el-GR"/>
        </w:rPr>
        <w:tab/>
        <w:t>Διάρκεια ζωής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9B046A" w:rsidRPr="00541EC2" w:rsidRDefault="009B046A" w:rsidP="00F70868">
      <w:pPr>
        <w:pStyle w:val="a9"/>
        <w:tabs>
          <w:tab w:val="clear" w:pos="1"/>
          <w:tab w:val="clear" w:pos="426"/>
          <w:tab w:val="clear" w:pos="993"/>
          <w:tab w:val="left" w:pos="0"/>
          <w:tab w:val="left" w:pos="851"/>
        </w:tabs>
        <w:spacing w:line="240" w:lineRule="auto"/>
        <w:ind w:left="0"/>
        <w:jc w:val="left"/>
        <w:rPr>
          <w:rFonts w:ascii="Times New Roman" w:hAnsi="Times New Roman"/>
          <w:strike w:val="0"/>
          <w:szCs w:val="22"/>
          <w:lang w:val="el-GR"/>
        </w:rPr>
      </w:pPr>
      <w:r w:rsidRPr="00541EC2">
        <w:rPr>
          <w:rFonts w:ascii="Times New Roman" w:hAnsi="Times New Roman"/>
          <w:strike w:val="0"/>
          <w:szCs w:val="22"/>
          <w:lang w:val="el-GR"/>
        </w:rPr>
        <w:t>1</w:t>
      </w:r>
      <w:r w:rsidR="00CF2C12" w:rsidRPr="00541EC2">
        <w:rPr>
          <w:rFonts w:ascii="Times New Roman" w:hAnsi="Times New Roman"/>
          <w:strike w:val="0"/>
          <w:szCs w:val="22"/>
          <w:lang w:val="el-GR"/>
        </w:rPr>
        <w:t xml:space="preserve"> χρόνος</w:t>
      </w:r>
      <w:r w:rsidRPr="00541EC2">
        <w:rPr>
          <w:rFonts w:ascii="Times New Roman" w:hAnsi="Times New Roman"/>
          <w:strike w:val="0"/>
          <w:szCs w:val="22"/>
          <w:lang w:val="el-GR"/>
        </w:rPr>
        <w:t>.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851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b/>
          <w:sz w:val="22"/>
          <w:szCs w:val="22"/>
          <w:lang w:val="el-GR"/>
        </w:rPr>
        <w:t>6.4</w:t>
      </w:r>
      <w:r w:rsidRPr="00541EC2">
        <w:rPr>
          <w:rFonts w:ascii="Times New Roman" w:hAnsi="Times New Roman"/>
          <w:b/>
          <w:sz w:val="22"/>
          <w:szCs w:val="22"/>
          <w:lang w:val="el-GR"/>
        </w:rPr>
        <w:tab/>
        <w:t>Ιδιαίτερες προφυλάξεις κατά τη φύλαξη του προϊόντος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834ACF" w:rsidRPr="00541EC2" w:rsidRDefault="006A3E22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noProof/>
          <w:sz w:val="22"/>
          <w:szCs w:val="22"/>
          <w:lang w:val="el-GR"/>
        </w:rPr>
        <w:t>Φυλάσσετε σε ψυγείο (</w:t>
      </w:r>
      <w:r w:rsidR="00020053" w:rsidRPr="00541EC2">
        <w:rPr>
          <w:rFonts w:ascii="Times New Roman" w:hAnsi="Times New Roman"/>
          <w:noProof/>
          <w:sz w:val="22"/>
          <w:szCs w:val="22"/>
          <w:lang w:val="el-GR"/>
        </w:rPr>
        <w:t>+</w:t>
      </w:r>
      <w:r w:rsidRPr="00541EC2">
        <w:rPr>
          <w:rFonts w:ascii="Times New Roman" w:hAnsi="Times New Roman"/>
          <w:noProof/>
          <w:sz w:val="22"/>
          <w:szCs w:val="22"/>
          <w:lang w:val="el-GR"/>
        </w:rPr>
        <w:t xml:space="preserve">2°C </w:t>
      </w:r>
      <w:r w:rsidR="00020053" w:rsidRPr="00541EC2">
        <w:rPr>
          <w:rFonts w:ascii="Times New Roman" w:hAnsi="Times New Roman"/>
          <w:noProof/>
          <w:sz w:val="22"/>
          <w:szCs w:val="22"/>
          <w:lang w:val="el-GR"/>
        </w:rPr>
        <w:t>μέχρι</w:t>
      </w:r>
      <w:r w:rsidRPr="00541EC2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 w:rsidR="00020053" w:rsidRPr="00541EC2">
        <w:rPr>
          <w:rFonts w:ascii="Times New Roman" w:hAnsi="Times New Roman"/>
          <w:noProof/>
          <w:sz w:val="22"/>
          <w:szCs w:val="22"/>
          <w:lang w:val="el-GR"/>
        </w:rPr>
        <w:t>+</w:t>
      </w:r>
      <w:r w:rsidRPr="00541EC2">
        <w:rPr>
          <w:rFonts w:ascii="Times New Roman" w:hAnsi="Times New Roman"/>
          <w:noProof/>
          <w:sz w:val="22"/>
          <w:szCs w:val="22"/>
          <w:lang w:val="el-GR"/>
        </w:rPr>
        <w:t>8°C)</w:t>
      </w:r>
      <w:r w:rsidR="001A325B" w:rsidRPr="00541EC2">
        <w:rPr>
          <w:rFonts w:ascii="Times New Roman" w:hAnsi="Times New Roman"/>
          <w:noProof/>
          <w:sz w:val="22"/>
          <w:szCs w:val="22"/>
          <w:lang w:val="el-GR"/>
        </w:rPr>
        <w:t>.</w:t>
      </w:r>
    </w:p>
    <w:p w:rsidR="006A3E22" w:rsidRPr="00541EC2" w:rsidRDefault="006A3E22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noProof/>
          <w:sz w:val="22"/>
          <w:szCs w:val="22"/>
          <w:lang w:val="el-GR"/>
        </w:rPr>
        <w:t>Μην καταψύχετε.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</w:p>
    <w:p w:rsidR="009B046A" w:rsidRPr="00541EC2" w:rsidRDefault="00F31017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noProof/>
          <w:sz w:val="22"/>
          <w:szCs w:val="22"/>
          <w:lang w:val="el-GR"/>
        </w:rPr>
        <w:t>Φυλάσσετε</w:t>
      </w:r>
      <w:r w:rsidR="008010D7" w:rsidRPr="00541EC2">
        <w:rPr>
          <w:rFonts w:ascii="Times New Roman" w:hAnsi="Times New Roman"/>
          <w:noProof/>
          <w:sz w:val="22"/>
          <w:szCs w:val="22"/>
          <w:lang w:val="el-GR"/>
        </w:rPr>
        <w:t xml:space="preserve"> στην αρχική συσκευασία για να</w:t>
      </w:r>
      <w:r w:rsidR="006A3E22" w:rsidRPr="00541EC2">
        <w:rPr>
          <w:rFonts w:ascii="Times New Roman" w:hAnsi="Times New Roman"/>
          <w:noProof/>
          <w:sz w:val="22"/>
          <w:szCs w:val="22"/>
          <w:lang w:val="el-GR"/>
        </w:rPr>
        <w:t xml:space="preserve"> προστατεύετ</w:t>
      </w:r>
      <w:r w:rsidR="00AB2156" w:rsidRPr="00541EC2">
        <w:rPr>
          <w:rFonts w:ascii="Times New Roman" w:hAnsi="Times New Roman"/>
          <w:noProof/>
          <w:sz w:val="22"/>
          <w:szCs w:val="22"/>
          <w:lang w:val="el-GR"/>
        </w:rPr>
        <w:t>αι</w:t>
      </w:r>
      <w:r w:rsidR="006A3E22" w:rsidRPr="00541EC2">
        <w:rPr>
          <w:rFonts w:ascii="Times New Roman" w:hAnsi="Times New Roman"/>
          <w:noProof/>
          <w:sz w:val="22"/>
          <w:szCs w:val="22"/>
          <w:lang w:val="el-GR"/>
        </w:rPr>
        <w:t xml:space="preserve"> από το φως.</w:t>
      </w:r>
      <w:r w:rsidR="006A3E22" w:rsidRPr="00541EC2" w:rsidDel="006A3E22">
        <w:rPr>
          <w:rFonts w:ascii="Times New Roman" w:hAnsi="Times New Roman"/>
          <w:sz w:val="22"/>
          <w:szCs w:val="22"/>
          <w:lang w:val="el-GR"/>
        </w:rPr>
        <w:t xml:space="preserve"> </w:t>
      </w:r>
    </w:p>
    <w:p w:rsidR="001051F3" w:rsidRPr="00541EC2" w:rsidRDefault="001051F3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noProof/>
          <w:sz w:val="22"/>
          <w:szCs w:val="22"/>
          <w:lang w:val="el-GR"/>
        </w:rPr>
      </w:pPr>
    </w:p>
    <w:p w:rsidR="009B046A" w:rsidRPr="00541EC2" w:rsidRDefault="009B046A" w:rsidP="00DD47A7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outlineLvl w:val="0"/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b/>
          <w:sz w:val="22"/>
          <w:szCs w:val="22"/>
          <w:lang w:val="el-GR"/>
        </w:rPr>
        <w:t>6.5</w:t>
      </w:r>
      <w:r w:rsidRPr="00541EC2">
        <w:rPr>
          <w:rFonts w:ascii="Times New Roman" w:hAnsi="Times New Roman"/>
          <w:b/>
          <w:sz w:val="22"/>
          <w:szCs w:val="22"/>
          <w:lang w:val="el-GR"/>
        </w:rPr>
        <w:tab/>
        <w:t>Φύση και συστατικά του περιέκτη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0C739C" w:rsidRPr="00541EC2" w:rsidRDefault="000C739C" w:rsidP="00F70868">
      <w:pPr>
        <w:tabs>
          <w:tab w:val="left" w:pos="0"/>
        </w:tabs>
        <w:rPr>
          <w:rFonts w:ascii="Times New Roman" w:hAnsi="Times New Roman"/>
          <w:sz w:val="22"/>
          <w:szCs w:val="22"/>
          <w:u w:val="single"/>
          <w:lang w:val="el-GR"/>
        </w:rPr>
      </w:pPr>
      <w:r w:rsidRPr="00541EC2">
        <w:rPr>
          <w:rFonts w:ascii="Times New Roman" w:hAnsi="Times New Roman"/>
          <w:sz w:val="22"/>
          <w:szCs w:val="22"/>
          <w:u w:val="single"/>
          <w:lang w:val="el-GR"/>
        </w:rPr>
        <w:t xml:space="preserve">Συσκευασίες που εγκρίθηκαν κατά την Αμοιβαία Διαδικασία: </w:t>
      </w:r>
    </w:p>
    <w:p w:rsidR="009B046A" w:rsidRPr="00541EC2" w:rsidRDefault="009B046A" w:rsidP="00AA0CF5">
      <w:pPr>
        <w:tabs>
          <w:tab w:val="left" w:pos="0"/>
          <w:tab w:val="left" w:pos="564"/>
          <w:tab w:val="left" w:pos="851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>0</w:t>
      </w:r>
      <w:r w:rsidR="006F31D6" w:rsidRPr="00541EC2">
        <w:rPr>
          <w:rFonts w:ascii="Times New Roman" w:hAnsi="Times New Roman"/>
          <w:sz w:val="22"/>
          <w:szCs w:val="22"/>
          <w:lang w:val="el-GR"/>
        </w:rPr>
        <w:t>,</w:t>
      </w:r>
      <w:r w:rsidRPr="00541EC2">
        <w:rPr>
          <w:rFonts w:ascii="Times New Roman" w:hAnsi="Times New Roman"/>
          <w:sz w:val="22"/>
          <w:szCs w:val="22"/>
          <w:lang w:val="el-GR"/>
        </w:rPr>
        <w:t>5</w:t>
      </w:r>
      <w:r w:rsidR="00E334CA" w:rsidRPr="00541EC2">
        <w:rPr>
          <w:rFonts w:ascii="Times New Roman" w:hAnsi="Times New Roman"/>
          <w:sz w:val="22"/>
          <w:szCs w:val="22"/>
          <w:lang w:val="el-GR"/>
        </w:rPr>
        <w:t> </w:t>
      </w:r>
      <w:r w:rsidRPr="00541EC2">
        <w:rPr>
          <w:rFonts w:ascii="Times New Roman" w:hAnsi="Times New Roman"/>
          <w:sz w:val="22"/>
          <w:szCs w:val="22"/>
        </w:rPr>
        <w:t>ml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ενέσιμου εναιωρήματος σε προγεμισμένες σύριγγες </w:t>
      </w:r>
      <w:r w:rsidR="00324269" w:rsidRPr="00541EC2">
        <w:rPr>
          <w:rFonts w:ascii="Times New Roman" w:hAnsi="Times New Roman"/>
          <w:sz w:val="22"/>
          <w:szCs w:val="22"/>
          <w:lang w:val="el-GR"/>
        </w:rPr>
        <w:t xml:space="preserve">με/χωρίς βελόνα 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(γυαλί </w:t>
      </w:r>
      <w:r w:rsidR="00422F7C" w:rsidRPr="00541EC2">
        <w:rPr>
          <w:rFonts w:ascii="Times New Roman" w:hAnsi="Times New Roman"/>
          <w:sz w:val="22"/>
          <w:szCs w:val="22"/>
          <w:lang w:val="el-GR"/>
        </w:rPr>
        <w:t>τύπου</w:t>
      </w:r>
      <w:r w:rsidR="00DD7E2E"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541EC2">
        <w:rPr>
          <w:rFonts w:ascii="Times New Roman" w:hAnsi="Times New Roman"/>
          <w:sz w:val="22"/>
          <w:szCs w:val="22"/>
          <w:lang w:val="el-GR"/>
        </w:rPr>
        <w:t>Ι), σε συσκευασία της 1 ή των 10.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851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b/>
          <w:sz w:val="22"/>
          <w:szCs w:val="22"/>
          <w:lang w:val="el-GR"/>
        </w:rPr>
      </w:pPr>
    </w:p>
    <w:p w:rsidR="000C739C" w:rsidRPr="00541EC2" w:rsidRDefault="000C739C" w:rsidP="00F70868">
      <w:pPr>
        <w:tabs>
          <w:tab w:val="left" w:pos="0"/>
        </w:tabs>
        <w:rPr>
          <w:rFonts w:ascii="Times New Roman" w:hAnsi="Times New Roman"/>
          <w:sz w:val="22"/>
          <w:szCs w:val="22"/>
          <w:u w:val="single"/>
          <w:lang w:val="el-GR"/>
        </w:rPr>
      </w:pPr>
      <w:r w:rsidRPr="00541EC2">
        <w:rPr>
          <w:rFonts w:ascii="Times New Roman" w:hAnsi="Times New Roman"/>
          <w:sz w:val="22"/>
          <w:szCs w:val="22"/>
          <w:u w:val="single"/>
          <w:lang w:val="el-GR"/>
        </w:rPr>
        <w:t xml:space="preserve">Συσκευασίες που θα κυκλοφορήσουν στην ελληνική αγορά: </w:t>
      </w:r>
    </w:p>
    <w:p w:rsidR="000C739C" w:rsidRPr="00541EC2" w:rsidRDefault="000C739C" w:rsidP="00F70868">
      <w:pPr>
        <w:tabs>
          <w:tab w:val="left" w:pos="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 xml:space="preserve">Συσκευασία της 1 σύριγγας. </w:t>
      </w:r>
    </w:p>
    <w:p w:rsidR="000C739C" w:rsidRPr="00541EC2" w:rsidRDefault="000C739C" w:rsidP="00F70868">
      <w:pPr>
        <w:tabs>
          <w:tab w:val="left" w:pos="0"/>
          <w:tab w:val="left" w:pos="564"/>
          <w:tab w:val="left" w:pos="851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b/>
          <w:sz w:val="22"/>
          <w:szCs w:val="22"/>
          <w:lang w:val="el-GR"/>
        </w:rPr>
      </w:pPr>
    </w:p>
    <w:p w:rsidR="009B046A" w:rsidRPr="00541EC2" w:rsidRDefault="009B046A" w:rsidP="00DD47A7">
      <w:pPr>
        <w:tabs>
          <w:tab w:val="left" w:pos="567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b/>
          <w:sz w:val="22"/>
          <w:szCs w:val="22"/>
          <w:lang w:val="el-GR"/>
        </w:rPr>
        <w:t>6.6</w:t>
      </w:r>
      <w:r w:rsidR="00A060DB" w:rsidRPr="00541EC2">
        <w:rPr>
          <w:rFonts w:ascii="Times New Roman" w:hAnsi="Times New Roman"/>
          <w:b/>
          <w:sz w:val="22"/>
          <w:szCs w:val="22"/>
          <w:lang w:val="el-GR"/>
        </w:rPr>
        <w:tab/>
      </w:r>
      <w:r w:rsidRPr="00541EC2">
        <w:rPr>
          <w:rFonts w:ascii="Times New Roman" w:hAnsi="Times New Roman"/>
          <w:b/>
          <w:noProof/>
          <w:sz w:val="22"/>
          <w:szCs w:val="22"/>
          <w:lang w:val="el-GR"/>
        </w:rPr>
        <w:t xml:space="preserve">Ιδιαίτερες προφυλάξεις απόρριψης και </w:t>
      </w:r>
      <w:r w:rsidR="006B608B" w:rsidRPr="00541EC2">
        <w:rPr>
          <w:rFonts w:ascii="Times New Roman" w:hAnsi="Times New Roman" w:hint="eastAsia"/>
          <w:b/>
          <w:sz w:val="22"/>
          <w:szCs w:val="22"/>
          <w:lang w:val="el-GR"/>
        </w:rPr>
        <w:t>άλλος</w:t>
      </w:r>
      <w:r w:rsidR="006B608B" w:rsidRPr="00541EC2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="006B608B" w:rsidRPr="00541EC2">
        <w:rPr>
          <w:rFonts w:ascii="Times New Roman" w:hAnsi="Times New Roman" w:hint="eastAsia"/>
          <w:b/>
          <w:sz w:val="22"/>
          <w:szCs w:val="22"/>
          <w:lang w:val="el-GR"/>
        </w:rPr>
        <w:t>χειρισμός</w:t>
      </w:r>
    </w:p>
    <w:p w:rsidR="00A060DB" w:rsidRPr="00541EC2" w:rsidRDefault="00A060DB" w:rsidP="00F70868">
      <w:pPr>
        <w:tabs>
          <w:tab w:val="left" w:pos="0"/>
          <w:tab w:val="left" w:pos="564"/>
          <w:tab w:val="left" w:pos="993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834ACF" w:rsidRPr="00541EC2" w:rsidRDefault="009B046A" w:rsidP="00F70868">
      <w:pPr>
        <w:tabs>
          <w:tab w:val="left" w:pos="0"/>
          <w:tab w:val="left" w:pos="564"/>
          <w:tab w:val="left" w:pos="993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 xml:space="preserve">Πριν από τη χρήση το εμβόλιο πρέπει </w:t>
      </w:r>
      <w:r w:rsidR="006A3E22" w:rsidRPr="00541EC2">
        <w:rPr>
          <w:rFonts w:ascii="Times New Roman" w:hAnsi="Times New Roman"/>
          <w:sz w:val="22"/>
          <w:szCs w:val="22"/>
          <w:lang w:val="el-GR"/>
        </w:rPr>
        <w:t xml:space="preserve">να αφήνεται 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να φθάσει σε θερμοκρασία δωματίου. 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993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>Ανακιν</w:t>
      </w:r>
      <w:r w:rsidR="00711A23" w:rsidRPr="00541EC2">
        <w:rPr>
          <w:rFonts w:ascii="Times New Roman" w:hAnsi="Times New Roman"/>
          <w:sz w:val="22"/>
          <w:szCs w:val="22"/>
          <w:lang w:val="el-GR"/>
        </w:rPr>
        <w:t>ή</w:t>
      </w:r>
      <w:r w:rsidRPr="00541EC2">
        <w:rPr>
          <w:rFonts w:ascii="Times New Roman" w:hAnsi="Times New Roman"/>
          <w:sz w:val="22"/>
          <w:szCs w:val="22"/>
          <w:lang w:val="el-GR"/>
        </w:rPr>
        <w:t>στε πριν από τη χρήση.</w:t>
      </w:r>
      <w:r w:rsidR="006A3E22" w:rsidRPr="00541EC2">
        <w:rPr>
          <w:rFonts w:ascii="Times New Roman" w:hAnsi="Times New Roman"/>
          <w:sz w:val="22"/>
          <w:szCs w:val="22"/>
          <w:lang w:val="el-GR"/>
        </w:rPr>
        <w:t xml:space="preserve"> Επιθεωρήστε οπτικά πριν τη χορήγηση. 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993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9B046A" w:rsidRPr="00541EC2" w:rsidRDefault="009B046A" w:rsidP="00F70868">
      <w:pPr>
        <w:tabs>
          <w:tab w:val="left" w:pos="0"/>
          <w:tab w:val="left" w:pos="564"/>
          <w:tab w:val="left" w:pos="993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 xml:space="preserve">Για τη χορήγηση </w:t>
      </w:r>
      <w:r w:rsidR="006A3E22" w:rsidRPr="00541EC2">
        <w:rPr>
          <w:rFonts w:ascii="Times New Roman" w:hAnsi="Times New Roman"/>
          <w:sz w:val="22"/>
          <w:szCs w:val="22"/>
          <w:lang w:val="el-GR"/>
        </w:rPr>
        <w:t>μίας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δόσης 0</w:t>
      </w:r>
      <w:r w:rsidR="00AB2156" w:rsidRPr="00541EC2">
        <w:rPr>
          <w:rFonts w:ascii="Times New Roman" w:hAnsi="Times New Roman"/>
          <w:sz w:val="22"/>
          <w:szCs w:val="22"/>
          <w:lang w:val="el-GR"/>
        </w:rPr>
        <w:t>,</w:t>
      </w:r>
      <w:r w:rsidRPr="00541EC2">
        <w:rPr>
          <w:rFonts w:ascii="Times New Roman" w:hAnsi="Times New Roman"/>
          <w:sz w:val="22"/>
          <w:szCs w:val="22"/>
          <w:lang w:val="el-GR"/>
        </w:rPr>
        <w:t>25</w:t>
      </w:r>
      <w:r w:rsidR="00E334CA" w:rsidRPr="00541EC2">
        <w:rPr>
          <w:rFonts w:ascii="Times New Roman" w:hAnsi="Times New Roman"/>
          <w:sz w:val="22"/>
          <w:szCs w:val="22"/>
          <w:lang w:val="el-GR"/>
        </w:rPr>
        <w:t> </w:t>
      </w:r>
      <w:r w:rsidRPr="00541EC2">
        <w:rPr>
          <w:rFonts w:ascii="Times New Roman" w:hAnsi="Times New Roman"/>
          <w:sz w:val="22"/>
          <w:szCs w:val="22"/>
        </w:rPr>
        <w:t>ml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6A3E22" w:rsidRPr="00541EC2">
        <w:rPr>
          <w:rFonts w:ascii="Times New Roman" w:hAnsi="Times New Roman"/>
          <w:sz w:val="22"/>
          <w:szCs w:val="22"/>
          <w:lang w:val="el-GR"/>
        </w:rPr>
        <w:t>από μία σύριγγα μοναδιαίας δόσης 0,5</w:t>
      </w:r>
      <w:r w:rsidR="00E334CA" w:rsidRPr="00541EC2">
        <w:rPr>
          <w:rFonts w:ascii="Times New Roman" w:hAnsi="Times New Roman"/>
          <w:sz w:val="22"/>
          <w:szCs w:val="22"/>
          <w:lang w:val="el-GR"/>
        </w:rPr>
        <w:t> </w:t>
      </w:r>
      <w:r w:rsidR="006A3E22" w:rsidRPr="00541EC2">
        <w:rPr>
          <w:rFonts w:ascii="Times New Roman" w:hAnsi="Times New Roman"/>
          <w:sz w:val="22"/>
          <w:szCs w:val="22"/>
        </w:rPr>
        <w:t>ml</w:t>
      </w:r>
      <w:r w:rsidR="006A3E22" w:rsidRPr="00541EC2">
        <w:rPr>
          <w:rFonts w:ascii="Times New Roman" w:hAnsi="Times New Roman"/>
          <w:sz w:val="22"/>
          <w:szCs w:val="22"/>
          <w:lang w:val="el-GR"/>
        </w:rPr>
        <w:t xml:space="preserve">, 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σπρώχνετε το εμπρός άκρο </w:t>
      </w:r>
      <w:r w:rsidR="006A3E22" w:rsidRPr="00541EC2">
        <w:rPr>
          <w:rFonts w:ascii="Times New Roman" w:hAnsi="Times New Roman"/>
          <w:sz w:val="22"/>
          <w:szCs w:val="22"/>
          <w:lang w:val="el-GR"/>
        </w:rPr>
        <w:t xml:space="preserve">του εμβόλου </w:t>
      </w:r>
      <w:r w:rsidRPr="00541EC2">
        <w:rPr>
          <w:rFonts w:ascii="Times New Roman" w:hAnsi="Times New Roman"/>
          <w:sz w:val="22"/>
          <w:szCs w:val="22"/>
          <w:lang w:val="el-GR"/>
        </w:rPr>
        <w:t>ακριβώς στα όρια του</w:t>
      </w:r>
      <w:r w:rsidR="00231518"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F36955" w:rsidRPr="00541EC2">
        <w:rPr>
          <w:rFonts w:ascii="Times New Roman" w:hAnsi="Times New Roman"/>
          <w:sz w:val="22"/>
          <w:szCs w:val="22"/>
          <w:lang w:val="el-GR"/>
        </w:rPr>
        <w:t>χαρακτηριστικού σημείου</w:t>
      </w:r>
      <w:r w:rsidR="00231518" w:rsidRPr="00541EC2">
        <w:rPr>
          <w:rFonts w:ascii="Times New Roman" w:hAnsi="Times New Roman"/>
          <w:sz w:val="22"/>
          <w:szCs w:val="22"/>
          <w:lang w:val="el-GR"/>
        </w:rPr>
        <w:t xml:space="preserve">, </w:t>
      </w:r>
      <w:r w:rsidR="00231518" w:rsidRPr="00541EC2">
        <w:rPr>
          <w:rFonts w:ascii="Times New Roman" w:hAnsi="Times New Roman" w:hint="eastAsia"/>
          <w:sz w:val="22"/>
          <w:szCs w:val="22"/>
          <w:lang w:val="el-GR"/>
        </w:rPr>
        <w:t>έτσι</w:t>
      </w:r>
      <w:r w:rsidR="00231518"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231518" w:rsidRPr="00541EC2">
        <w:rPr>
          <w:rFonts w:ascii="Times New Roman" w:hAnsi="Times New Roman" w:hint="eastAsia"/>
          <w:sz w:val="22"/>
          <w:szCs w:val="22"/>
          <w:lang w:val="el-GR"/>
        </w:rPr>
        <w:t>ώστε</w:t>
      </w:r>
      <w:r w:rsidR="00231518"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231518" w:rsidRPr="00541EC2">
        <w:rPr>
          <w:rFonts w:ascii="Times New Roman" w:hAnsi="Times New Roman" w:hint="eastAsia"/>
          <w:sz w:val="22"/>
          <w:szCs w:val="22"/>
          <w:lang w:val="el-GR"/>
        </w:rPr>
        <w:t>το</w:t>
      </w:r>
      <w:r w:rsidR="00231518"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231518" w:rsidRPr="00541EC2">
        <w:rPr>
          <w:rFonts w:ascii="Times New Roman" w:hAnsi="Times New Roman" w:hint="eastAsia"/>
          <w:sz w:val="22"/>
          <w:szCs w:val="22"/>
          <w:lang w:val="el-GR"/>
        </w:rPr>
        <w:t>ήμισυ</w:t>
      </w:r>
      <w:r w:rsidR="00231518"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231518" w:rsidRPr="00541EC2">
        <w:rPr>
          <w:rFonts w:ascii="Times New Roman" w:hAnsi="Times New Roman" w:hint="eastAsia"/>
          <w:sz w:val="22"/>
          <w:szCs w:val="22"/>
          <w:lang w:val="el-GR"/>
        </w:rPr>
        <w:t>του</w:t>
      </w:r>
      <w:r w:rsidR="00231518"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231518" w:rsidRPr="00541EC2">
        <w:rPr>
          <w:rFonts w:ascii="Times New Roman" w:hAnsi="Times New Roman" w:hint="eastAsia"/>
          <w:sz w:val="22"/>
          <w:szCs w:val="22"/>
          <w:lang w:val="el-GR"/>
        </w:rPr>
        <w:t>όγκου</w:t>
      </w:r>
      <w:r w:rsidR="00231518" w:rsidRPr="00541EC2">
        <w:rPr>
          <w:rFonts w:ascii="Times New Roman" w:hAnsi="Times New Roman"/>
          <w:sz w:val="22"/>
          <w:szCs w:val="22"/>
          <w:lang w:val="el-GR"/>
        </w:rPr>
        <w:t xml:space="preserve"> να </w:t>
      </w:r>
      <w:r w:rsidR="00231518" w:rsidRPr="00541EC2">
        <w:rPr>
          <w:rFonts w:ascii="Times New Roman" w:hAnsi="Times New Roman" w:hint="eastAsia"/>
          <w:sz w:val="22"/>
          <w:szCs w:val="22"/>
          <w:lang w:val="el-GR"/>
        </w:rPr>
        <w:t>απομακρ</w:t>
      </w:r>
      <w:r w:rsidR="00231518" w:rsidRPr="00541EC2">
        <w:rPr>
          <w:rFonts w:ascii="Times New Roman" w:hAnsi="Times New Roman"/>
          <w:sz w:val="22"/>
          <w:szCs w:val="22"/>
          <w:lang w:val="el-GR"/>
        </w:rPr>
        <w:t>υνθεί</w:t>
      </w:r>
      <w:r w:rsidR="00F36955" w:rsidRPr="00541EC2">
        <w:rPr>
          <w:rFonts w:ascii="Times New Roman" w:hAnsi="Times New Roman"/>
          <w:sz w:val="22"/>
          <w:szCs w:val="22"/>
          <w:lang w:val="el-GR"/>
        </w:rPr>
        <w:t xml:space="preserve"> από τη σύριγγα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. Η ποσότητα </w:t>
      </w:r>
      <w:r w:rsidR="006A3E22" w:rsidRPr="00541EC2">
        <w:rPr>
          <w:rFonts w:ascii="Times New Roman" w:hAnsi="Times New Roman"/>
          <w:sz w:val="22"/>
          <w:szCs w:val="22"/>
          <w:lang w:val="el-GR"/>
        </w:rPr>
        <w:t>των 0</w:t>
      </w:r>
      <w:r w:rsidR="00AB2156" w:rsidRPr="00541EC2">
        <w:rPr>
          <w:rFonts w:ascii="Times New Roman" w:hAnsi="Times New Roman"/>
          <w:sz w:val="22"/>
          <w:szCs w:val="22"/>
          <w:lang w:val="el-GR"/>
        </w:rPr>
        <w:t>,</w:t>
      </w:r>
      <w:r w:rsidR="006A3E22" w:rsidRPr="00541EC2">
        <w:rPr>
          <w:rFonts w:ascii="Times New Roman" w:hAnsi="Times New Roman"/>
          <w:sz w:val="22"/>
          <w:szCs w:val="22"/>
          <w:lang w:val="el-GR"/>
        </w:rPr>
        <w:t>25</w:t>
      </w:r>
      <w:r w:rsidR="00E334CA" w:rsidRPr="00541EC2">
        <w:rPr>
          <w:rFonts w:ascii="Times New Roman" w:hAnsi="Times New Roman"/>
          <w:sz w:val="22"/>
          <w:szCs w:val="22"/>
          <w:lang w:val="el-GR"/>
        </w:rPr>
        <w:t> </w:t>
      </w:r>
      <w:r w:rsidR="006A3E22" w:rsidRPr="00541EC2">
        <w:rPr>
          <w:rFonts w:ascii="Times New Roman" w:hAnsi="Times New Roman"/>
          <w:sz w:val="22"/>
          <w:szCs w:val="22"/>
        </w:rPr>
        <w:t>ml</w:t>
      </w:r>
      <w:r w:rsidR="006A3E22"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του εμβολίου που παραμένει στη σύριγγα </w:t>
      </w:r>
      <w:r w:rsidR="006A3E22" w:rsidRPr="00541EC2">
        <w:rPr>
          <w:rFonts w:ascii="Times New Roman" w:hAnsi="Times New Roman"/>
          <w:sz w:val="22"/>
          <w:szCs w:val="22"/>
          <w:lang w:val="el-GR"/>
        </w:rPr>
        <w:t>είναι κατάλληλη για χορήγηση</w:t>
      </w:r>
      <w:r w:rsidRPr="00541EC2">
        <w:rPr>
          <w:rFonts w:ascii="Times New Roman" w:hAnsi="Times New Roman"/>
          <w:sz w:val="22"/>
          <w:szCs w:val="22"/>
          <w:lang w:val="el-GR"/>
        </w:rPr>
        <w:t>. Βλέπε επίσης παράγραφο 4.2.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993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9D4F07" w:rsidRPr="00541EC2" w:rsidRDefault="009D4F07" w:rsidP="00F70868">
      <w:pPr>
        <w:tabs>
          <w:tab w:val="left" w:pos="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 xml:space="preserve">Κάθε αχρησιμοποίητο προϊόν ή υπόλειμμα πρέπει να </w:t>
      </w:r>
      <w:r w:rsidR="00BA7FC9" w:rsidRPr="00541EC2">
        <w:rPr>
          <w:rFonts w:ascii="Times New Roman" w:hAnsi="Times New Roman"/>
          <w:sz w:val="22"/>
          <w:szCs w:val="22"/>
          <w:lang w:val="el-GR"/>
        </w:rPr>
        <w:t xml:space="preserve">απορρίπτεται </w:t>
      </w:r>
      <w:r w:rsidRPr="00541EC2">
        <w:rPr>
          <w:rFonts w:ascii="Times New Roman" w:hAnsi="Times New Roman"/>
          <w:sz w:val="22"/>
          <w:szCs w:val="22"/>
          <w:lang w:val="el-GR"/>
        </w:rPr>
        <w:t>σύμφωνα με τις κατά τόπους ισχύουσες σχετικές διατάξεις.</w:t>
      </w:r>
    </w:p>
    <w:p w:rsidR="009D4F07" w:rsidRPr="00541EC2" w:rsidRDefault="009D4F07" w:rsidP="00F70868">
      <w:pPr>
        <w:tabs>
          <w:tab w:val="left" w:pos="0"/>
          <w:tab w:val="left" w:pos="564"/>
          <w:tab w:val="left" w:pos="993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920B00" w:rsidRPr="00541EC2" w:rsidRDefault="00920B00" w:rsidP="00F70868">
      <w:pPr>
        <w:tabs>
          <w:tab w:val="left" w:pos="0"/>
          <w:tab w:val="left" w:pos="564"/>
          <w:tab w:val="left" w:pos="993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9B046A" w:rsidRPr="00541EC2" w:rsidRDefault="009B046A" w:rsidP="00DD47A7">
      <w:pPr>
        <w:tabs>
          <w:tab w:val="left" w:pos="567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b/>
          <w:sz w:val="22"/>
          <w:szCs w:val="22"/>
          <w:lang w:val="el-GR"/>
        </w:rPr>
      </w:pPr>
      <w:r w:rsidRPr="00541EC2">
        <w:rPr>
          <w:rFonts w:ascii="Times New Roman" w:hAnsi="Times New Roman"/>
          <w:b/>
          <w:sz w:val="22"/>
          <w:szCs w:val="22"/>
          <w:lang w:val="el-GR"/>
        </w:rPr>
        <w:t>7.</w:t>
      </w:r>
      <w:r w:rsidRPr="00541EC2">
        <w:rPr>
          <w:rFonts w:ascii="Times New Roman" w:hAnsi="Times New Roman"/>
          <w:b/>
          <w:sz w:val="22"/>
          <w:szCs w:val="22"/>
          <w:lang w:val="el-GR"/>
        </w:rPr>
        <w:tab/>
        <w:t xml:space="preserve">ΚΑΤΟΧΟΣ ΤΗΣ ΑΔΕΙΑΣ ΚΥΚΛΟΦΟΡΙΑΣ </w:t>
      </w:r>
    </w:p>
    <w:p w:rsidR="009778D8" w:rsidRPr="00541EC2" w:rsidRDefault="009778D8" w:rsidP="00EE0FD2">
      <w:pPr>
        <w:tabs>
          <w:tab w:val="left" w:pos="459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ind w:left="-534" w:firstLine="534"/>
        <w:rPr>
          <w:rFonts w:ascii="Times New Roman" w:hAnsi="Times New Roman"/>
          <w:caps/>
          <w:sz w:val="22"/>
          <w:szCs w:val="22"/>
        </w:rPr>
      </w:pPr>
    </w:p>
    <w:p w:rsidR="009B046A" w:rsidRPr="00541EC2" w:rsidRDefault="00EE0FD2" w:rsidP="00BA6169">
      <w:pPr>
        <w:tabs>
          <w:tab w:val="left" w:pos="459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caps/>
          <w:sz w:val="22"/>
          <w:szCs w:val="22"/>
        </w:rPr>
        <w:t>A</w:t>
      </w:r>
      <w:r w:rsidRPr="00541EC2">
        <w:rPr>
          <w:rFonts w:ascii="Times New Roman" w:hAnsi="Times New Roman"/>
          <w:caps/>
          <w:sz w:val="22"/>
          <w:szCs w:val="22"/>
          <w:lang w:val="en-US"/>
        </w:rPr>
        <w:t xml:space="preserve">bbott </w:t>
      </w:r>
      <w:r w:rsidRPr="00541EC2">
        <w:rPr>
          <w:rFonts w:ascii="Times New Roman" w:hAnsi="Times New Roman"/>
          <w:caps/>
          <w:sz w:val="22"/>
          <w:szCs w:val="22"/>
        </w:rPr>
        <w:t>L</w:t>
      </w:r>
      <w:r w:rsidRPr="00541EC2">
        <w:rPr>
          <w:rFonts w:ascii="Times New Roman" w:hAnsi="Times New Roman"/>
          <w:caps/>
          <w:sz w:val="22"/>
          <w:szCs w:val="22"/>
          <w:lang w:val="en-US"/>
        </w:rPr>
        <w:t>aboratories (</w:t>
      </w:r>
      <w:r w:rsidRPr="00541EC2">
        <w:rPr>
          <w:rFonts w:ascii="Times New Roman" w:hAnsi="Times New Roman"/>
          <w:caps/>
          <w:sz w:val="22"/>
          <w:szCs w:val="22"/>
          <w:lang w:val="el-GR"/>
        </w:rPr>
        <w:t>Ελλάς</w:t>
      </w:r>
      <w:r w:rsidRPr="00541EC2">
        <w:rPr>
          <w:rFonts w:ascii="Times New Roman" w:hAnsi="Times New Roman"/>
          <w:caps/>
          <w:sz w:val="22"/>
          <w:szCs w:val="22"/>
          <w:lang w:val="en-US"/>
        </w:rPr>
        <w:t>)</w:t>
      </w:r>
      <w:r w:rsidRPr="00541EC2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541EC2">
        <w:rPr>
          <w:rFonts w:ascii="Times New Roman" w:hAnsi="Times New Roman"/>
          <w:sz w:val="22"/>
          <w:szCs w:val="22"/>
          <w:lang w:val="el-GR"/>
        </w:rPr>
        <w:t>Α</w:t>
      </w:r>
      <w:r w:rsidRPr="00541EC2">
        <w:rPr>
          <w:rFonts w:ascii="Times New Roman" w:hAnsi="Times New Roman"/>
          <w:sz w:val="22"/>
          <w:szCs w:val="22"/>
          <w:lang w:val="en-US"/>
        </w:rPr>
        <w:t>.</w:t>
      </w:r>
      <w:r w:rsidRPr="00541EC2">
        <w:rPr>
          <w:rFonts w:ascii="Times New Roman" w:hAnsi="Times New Roman"/>
          <w:sz w:val="22"/>
          <w:szCs w:val="22"/>
          <w:lang w:val="el-GR"/>
        </w:rPr>
        <w:t>Β</w:t>
      </w:r>
      <w:r w:rsidRPr="00541EC2">
        <w:rPr>
          <w:rFonts w:ascii="Times New Roman" w:hAnsi="Times New Roman"/>
          <w:sz w:val="22"/>
          <w:szCs w:val="22"/>
          <w:lang w:val="en-US"/>
        </w:rPr>
        <w:t>.</w:t>
      </w:r>
      <w:r w:rsidRPr="00541EC2">
        <w:rPr>
          <w:rFonts w:ascii="Times New Roman" w:hAnsi="Times New Roman"/>
          <w:sz w:val="22"/>
          <w:szCs w:val="22"/>
          <w:lang w:val="el-GR"/>
        </w:rPr>
        <w:t>Ε</w:t>
      </w:r>
      <w:r w:rsidRPr="00541EC2">
        <w:rPr>
          <w:rFonts w:ascii="Times New Roman" w:hAnsi="Times New Roman"/>
          <w:sz w:val="22"/>
          <w:szCs w:val="22"/>
          <w:lang w:val="en-US"/>
        </w:rPr>
        <w:t>.</w:t>
      </w:r>
      <w:r w:rsidRPr="00541EC2">
        <w:rPr>
          <w:rFonts w:ascii="Times New Roman" w:hAnsi="Times New Roman"/>
          <w:sz w:val="22"/>
          <w:szCs w:val="22"/>
          <w:lang w:val="el-GR"/>
        </w:rPr>
        <w:t>Ε</w:t>
      </w:r>
      <w:r w:rsidRPr="00541EC2">
        <w:rPr>
          <w:rFonts w:ascii="Times New Roman" w:hAnsi="Times New Roman"/>
          <w:sz w:val="22"/>
          <w:szCs w:val="22"/>
          <w:lang w:val="en-US"/>
        </w:rPr>
        <w:t xml:space="preserve">., </w:t>
      </w:r>
      <w:r w:rsidR="009E25AD" w:rsidRPr="00541EC2">
        <w:rPr>
          <w:rFonts w:ascii="Times New Roman" w:hAnsi="Times New Roman"/>
          <w:sz w:val="22"/>
          <w:szCs w:val="22"/>
          <w:lang w:val="el-GR"/>
        </w:rPr>
        <w:t>Αγ</w:t>
      </w:r>
      <w:r w:rsidR="009E25AD" w:rsidRPr="00541EC2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9E25AD" w:rsidRPr="00541EC2">
        <w:rPr>
          <w:rFonts w:ascii="Times New Roman" w:hAnsi="Times New Roman"/>
          <w:sz w:val="22"/>
          <w:szCs w:val="22"/>
          <w:lang w:val="el-GR"/>
        </w:rPr>
        <w:t>Δημητρίου 63</w:t>
      </w:r>
      <w:r w:rsidRPr="00541EC2">
        <w:rPr>
          <w:rFonts w:ascii="Times New Roman" w:hAnsi="Times New Roman"/>
          <w:sz w:val="22"/>
          <w:szCs w:val="22"/>
          <w:lang w:val="el-GR"/>
        </w:rPr>
        <w:t>, 174 56 Άλιμος, Τηλ.</w:t>
      </w:r>
      <w:r w:rsidR="00A23723" w:rsidRPr="00541EC2">
        <w:rPr>
          <w:rFonts w:ascii="Times New Roman" w:hAnsi="Times New Roman"/>
          <w:sz w:val="22"/>
          <w:szCs w:val="22"/>
          <w:lang w:val="el-GR"/>
        </w:rPr>
        <w:t>: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210 9985 222.</w:t>
      </w:r>
    </w:p>
    <w:p w:rsidR="00920B00" w:rsidRPr="00541EC2" w:rsidRDefault="00920B00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9778D8" w:rsidRPr="00541EC2" w:rsidRDefault="009778D8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9B046A" w:rsidRPr="00541EC2" w:rsidRDefault="009B046A" w:rsidP="00F70868">
      <w:pPr>
        <w:tabs>
          <w:tab w:val="left" w:pos="567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b/>
          <w:sz w:val="22"/>
          <w:szCs w:val="22"/>
          <w:lang w:val="el-GR"/>
        </w:rPr>
        <w:t>8.</w:t>
      </w:r>
      <w:r w:rsidRPr="00541EC2">
        <w:rPr>
          <w:rFonts w:ascii="Times New Roman" w:hAnsi="Times New Roman"/>
          <w:b/>
          <w:sz w:val="22"/>
          <w:szCs w:val="22"/>
          <w:lang w:val="el-GR"/>
        </w:rPr>
        <w:tab/>
        <w:t>ΑΡΙΘΜΟΣ</w:t>
      </w:r>
      <w:r w:rsidR="006B608B" w:rsidRPr="00541EC2">
        <w:rPr>
          <w:rFonts w:ascii="Times New Roman" w:hAnsi="Times New Roman"/>
          <w:b/>
          <w:sz w:val="22"/>
          <w:szCs w:val="22"/>
          <w:lang w:val="el-GR"/>
        </w:rPr>
        <w:t>(ΟΙ)</w:t>
      </w:r>
      <w:r w:rsidRPr="00541EC2">
        <w:rPr>
          <w:rFonts w:ascii="Times New Roman" w:hAnsi="Times New Roman"/>
          <w:b/>
          <w:sz w:val="22"/>
          <w:szCs w:val="22"/>
          <w:lang w:val="el-GR"/>
        </w:rPr>
        <w:t xml:space="preserve"> ΑΔΕΙΑΣ ΚΥΚΛΟΦΟΡΙΑΣ </w:t>
      </w:r>
    </w:p>
    <w:p w:rsidR="006B608B" w:rsidRPr="00541EC2" w:rsidRDefault="006B608B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9B046A" w:rsidRPr="00541EC2" w:rsidRDefault="00092234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trike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>54693</w:t>
      </w:r>
      <w:r w:rsidR="009B046A" w:rsidRPr="00541EC2">
        <w:rPr>
          <w:rFonts w:ascii="Times New Roman" w:hAnsi="Times New Roman"/>
          <w:sz w:val="22"/>
          <w:szCs w:val="22"/>
          <w:lang w:val="el-GR"/>
        </w:rPr>
        <w:t>/</w:t>
      </w:r>
      <w:r w:rsidR="006E74B7" w:rsidRPr="00541EC2">
        <w:rPr>
          <w:rFonts w:ascii="Times New Roman" w:hAnsi="Times New Roman"/>
          <w:sz w:val="22"/>
          <w:szCs w:val="22"/>
          <w:lang w:val="el-GR"/>
        </w:rPr>
        <w:t>28</w:t>
      </w:r>
      <w:r w:rsidR="009B046A" w:rsidRPr="00541EC2">
        <w:rPr>
          <w:rFonts w:ascii="Times New Roman" w:hAnsi="Times New Roman"/>
          <w:sz w:val="22"/>
          <w:szCs w:val="22"/>
          <w:lang w:val="el-GR"/>
        </w:rPr>
        <w:t>-</w:t>
      </w:r>
      <w:r w:rsidR="00A23723" w:rsidRPr="00541EC2">
        <w:rPr>
          <w:rFonts w:ascii="Times New Roman" w:hAnsi="Times New Roman"/>
          <w:sz w:val="22"/>
          <w:szCs w:val="22"/>
          <w:lang w:val="el-GR"/>
        </w:rPr>
        <w:t>0</w:t>
      </w:r>
      <w:r w:rsidR="009B046A" w:rsidRPr="00541EC2">
        <w:rPr>
          <w:rFonts w:ascii="Times New Roman" w:hAnsi="Times New Roman"/>
          <w:sz w:val="22"/>
          <w:szCs w:val="22"/>
          <w:lang w:val="el-GR"/>
        </w:rPr>
        <w:t>8-200</w:t>
      </w:r>
      <w:r w:rsidR="006E74B7" w:rsidRPr="00541EC2">
        <w:rPr>
          <w:rFonts w:ascii="Times New Roman" w:hAnsi="Times New Roman"/>
          <w:sz w:val="22"/>
          <w:szCs w:val="22"/>
          <w:lang w:val="el-GR"/>
        </w:rPr>
        <w:t>8</w:t>
      </w:r>
      <w:r w:rsidR="009B046A"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b/>
          <w:sz w:val="22"/>
          <w:szCs w:val="22"/>
          <w:lang w:val="el-GR"/>
        </w:rPr>
      </w:pPr>
    </w:p>
    <w:p w:rsidR="00920B00" w:rsidRPr="00541EC2" w:rsidRDefault="00920B00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b/>
          <w:sz w:val="22"/>
          <w:szCs w:val="22"/>
          <w:lang w:val="el-GR"/>
        </w:rPr>
      </w:pP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b/>
          <w:sz w:val="22"/>
          <w:szCs w:val="22"/>
          <w:lang w:val="el-GR"/>
        </w:rPr>
        <w:t>9.</w:t>
      </w:r>
      <w:r w:rsidRPr="00541EC2">
        <w:rPr>
          <w:rFonts w:ascii="Times New Roman" w:hAnsi="Times New Roman"/>
          <w:b/>
          <w:sz w:val="22"/>
          <w:szCs w:val="22"/>
          <w:lang w:val="el-GR"/>
        </w:rPr>
        <w:tab/>
        <w:t xml:space="preserve">ΗΜΕΡΟΜΗΝΙΑ ΠΡΩΤΗΣ </w:t>
      </w:r>
      <w:r w:rsidR="006B608B" w:rsidRPr="00541EC2">
        <w:rPr>
          <w:rFonts w:ascii="Times New Roman" w:hAnsi="Times New Roman"/>
          <w:b/>
          <w:sz w:val="22"/>
          <w:szCs w:val="22"/>
          <w:lang w:val="el-GR"/>
        </w:rPr>
        <w:t>ΕΓΚΡΙΣΗΣ/</w:t>
      </w:r>
      <w:r w:rsidRPr="00541EC2">
        <w:rPr>
          <w:rFonts w:ascii="Times New Roman" w:hAnsi="Times New Roman"/>
          <w:b/>
          <w:sz w:val="22"/>
          <w:szCs w:val="22"/>
          <w:lang w:val="el-GR"/>
        </w:rPr>
        <w:t>ΑΝΑΝΕΩΣΗΣ ΤΗΣ ΑΔΕΙΑΣ</w:t>
      </w:r>
    </w:p>
    <w:p w:rsidR="006B608B" w:rsidRPr="00541EC2" w:rsidRDefault="006B608B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9B046A" w:rsidRPr="00541EC2" w:rsidRDefault="006B608B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>Ημερομηνία πρώτης έγκρισης: 0</w:t>
      </w:r>
      <w:r w:rsidR="009B046A" w:rsidRPr="00541EC2">
        <w:rPr>
          <w:rFonts w:ascii="Times New Roman" w:hAnsi="Times New Roman"/>
          <w:sz w:val="22"/>
          <w:szCs w:val="22"/>
          <w:lang w:val="el-GR"/>
        </w:rPr>
        <w:t>2</w:t>
      </w:r>
      <w:r w:rsidR="00D133F6"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541EC2">
        <w:rPr>
          <w:rFonts w:ascii="Times New Roman" w:hAnsi="Times New Roman"/>
          <w:sz w:val="22"/>
          <w:szCs w:val="22"/>
          <w:lang w:val="el-GR"/>
        </w:rPr>
        <w:t>Οκτ</w:t>
      </w:r>
      <w:r w:rsidR="00EA0D93" w:rsidRPr="00541EC2">
        <w:rPr>
          <w:rFonts w:ascii="Times New Roman" w:hAnsi="Times New Roman"/>
          <w:sz w:val="22"/>
          <w:szCs w:val="22"/>
          <w:lang w:val="el-GR"/>
        </w:rPr>
        <w:t>ωβρίου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9B046A" w:rsidRPr="00541EC2">
        <w:rPr>
          <w:rFonts w:ascii="Times New Roman" w:hAnsi="Times New Roman"/>
          <w:sz w:val="22"/>
          <w:szCs w:val="22"/>
          <w:lang w:val="el-GR"/>
        </w:rPr>
        <w:t>1996 (Εθνική Διαδικασία)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, </w:t>
      </w:r>
      <w:r w:rsidR="00EA0D93" w:rsidRPr="00541EC2">
        <w:rPr>
          <w:rFonts w:ascii="Times New Roman" w:hAnsi="Times New Roman"/>
          <w:sz w:val="22"/>
          <w:szCs w:val="22"/>
          <w:lang w:val="el-GR"/>
        </w:rPr>
        <w:t>0</w:t>
      </w:r>
      <w:r w:rsidR="009B046A" w:rsidRPr="00541EC2">
        <w:rPr>
          <w:rFonts w:ascii="Times New Roman" w:hAnsi="Times New Roman"/>
          <w:sz w:val="22"/>
          <w:szCs w:val="22"/>
          <w:lang w:val="el-GR"/>
        </w:rPr>
        <w:t>4</w:t>
      </w:r>
      <w:r w:rsidR="00EA0D93" w:rsidRPr="00541EC2">
        <w:rPr>
          <w:rFonts w:ascii="Times New Roman" w:hAnsi="Times New Roman"/>
          <w:sz w:val="22"/>
          <w:szCs w:val="22"/>
          <w:lang w:val="el-GR"/>
        </w:rPr>
        <w:t xml:space="preserve"> Αυγούστου </w:t>
      </w:r>
      <w:r w:rsidR="00C64191" w:rsidRPr="00541EC2">
        <w:rPr>
          <w:rFonts w:ascii="Times New Roman" w:hAnsi="Times New Roman"/>
          <w:sz w:val="22"/>
          <w:szCs w:val="22"/>
          <w:lang w:val="el-GR"/>
        </w:rPr>
        <w:t>1</w:t>
      </w:r>
      <w:r w:rsidR="009B046A" w:rsidRPr="00541EC2">
        <w:rPr>
          <w:rFonts w:ascii="Times New Roman" w:hAnsi="Times New Roman"/>
          <w:sz w:val="22"/>
          <w:szCs w:val="22"/>
          <w:lang w:val="el-GR"/>
        </w:rPr>
        <w:t xml:space="preserve">998 (Διαδικασία Αμοιβαίας Αναγνώρισης) </w:t>
      </w:r>
    </w:p>
    <w:p w:rsidR="009B046A" w:rsidRPr="00541EC2" w:rsidRDefault="00EA0D93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 xml:space="preserve">Ημερομηνία τελευταίας ανανέωσης: </w:t>
      </w:r>
      <w:r w:rsidR="006E74B7" w:rsidRPr="00541EC2">
        <w:rPr>
          <w:rFonts w:ascii="Times New Roman" w:hAnsi="Times New Roman"/>
          <w:sz w:val="22"/>
          <w:szCs w:val="22"/>
          <w:lang w:val="el-GR"/>
        </w:rPr>
        <w:t>28</w:t>
      </w:r>
      <w:r w:rsidRPr="00541EC2">
        <w:rPr>
          <w:rFonts w:ascii="Times New Roman" w:hAnsi="Times New Roman"/>
          <w:sz w:val="22"/>
          <w:szCs w:val="22"/>
          <w:lang w:val="el-GR"/>
        </w:rPr>
        <w:t xml:space="preserve"> Αυγούστου </w:t>
      </w:r>
      <w:r w:rsidR="006E74B7" w:rsidRPr="00541EC2">
        <w:rPr>
          <w:rFonts w:ascii="Times New Roman" w:hAnsi="Times New Roman"/>
          <w:sz w:val="22"/>
          <w:szCs w:val="22"/>
          <w:lang w:val="el-GR"/>
        </w:rPr>
        <w:t xml:space="preserve">2008 </w:t>
      </w: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920B00" w:rsidRPr="00541EC2" w:rsidRDefault="00920B00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</w:p>
    <w:p w:rsidR="009B046A" w:rsidRPr="00541EC2" w:rsidRDefault="009B046A" w:rsidP="00F70868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  <w:tab w:val="left" w:pos="17574"/>
          <w:tab w:val="left" w:pos="18138"/>
          <w:tab w:val="left" w:pos="18708"/>
          <w:tab w:val="left" w:pos="19272"/>
          <w:tab w:val="left" w:pos="19842"/>
          <w:tab w:val="left" w:pos="20406"/>
          <w:tab w:val="left" w:pos="20976"/>
          <w:tab w:val="left" w:pos="21540"/>
          <w:tab w:val="left" w:pos="22110"/>
        </w:tabs>
        <w:rPr>
          <w:rFonts w:ascii="Times New Roman" w:hAnsi="Times New Roman"/>
          <w:sz w:val="22"/>
          <w:szCs w:val="22"/>
          <w:lang w:val="el-GR"/>
        </w:rPr>
      </w:pPr>
      <w:r w:rsidRPr="00541EC2">
        <w:rPr>
          <w:rFonts w:ascii="Times New Roman" w:hAnsi="Times New Roman"/>
          <w:b/>
          <w:sz w:val="22"/>
          <w:szCs w:val="22"/>
          <w:lang w:val="el-GR"/>
        </w:rPr>
        <w:t>10.</w:t>
      </w:r>
      <w:r w:rsidRPr="00541EC2">
        <w:rPr>
          <w:rFonts w:ascii="Times New Roman" w:hAnsi="Times New Roman"/>
          <w:b/>
          <w:sz w:val="22"/>
          <w:szCs w:val="22"/>
          <w:lang w:val="el-GR"/>
        </w:rPr>
        <w:tab/>
        <w:t>ΗΜΕΡΟΜΗΝΙΑ ΑΝΑΘΕΩΡΗΣΗΣ ΤΟΥ ΚΕΙΜΕΝΟΥ</w:t>
      </w:r>
    </w:p>
    <w:p w:rsidR="00EA0D93" w:rsidRPr="00541EC2" w:rsidRDefault="00EA0D93" w:rsidP="00F70868">
      <w:pPr>
        <w:pStyle w:val="20"/>
        <w:tabs>
          <w:tab w:val="clear" w:pos="1"/>
          <w:tab w:val="clear" w:pos="426"/>
          <w:tab w:val="left" w:pos="0"/>
        </w:tabs>
        <w:spacing w:line="240" w:lineRule="auto"/>
        <w:ind w:left="0"/>
        <w:jc w:val="left"/>
        <w:outlineLvl w:val="0"/>
        <w:rPr>
          <w:rFonts w:ascii="Times New Roman" w:hAnsi="Times New Roman"/>
          <w:b w:val="0"/>
          <w:szCs w:val="22"/>
          <w:lang w:val="el-GR"/>
        </w:rPr>
      </w:pPr>
    </w:p>
    <w:p w:rsidR="00EA0D93" w:rsidRPr="00A23723" w:rsidRDefault="00BA3FD3" w:rsidP="00F70868">
      <w:pPr>
        <w:rPr>
          <w:rFonts w:ascii="Times New Roman" w:hAnsi="Times New Roman"/>
          <w:b/>
          <w:caps/>
          <w:sz w:val="24"/>
          <w:szCs w:val="22"/>
          <w:lang w:val="el-GR"/>
        </w:rPr>
      </w:pPr>
      <w:r w:rsidRPr="00541EC2">
        <w:rPr>
          <w:rFonts w:ascii="Times New Roman" w:hAnsi="Times New Roman"/>
          <w:sz w:val="22"/>
          <w:szCs w:val="22"/>
          <w:lang w:val="el-GR"/>
        </w:rPr>
        <w:t xml:space="preserve">Απρίλιος </w:t>
      </w:r>
      <w:r w:rsidR="00AA0CF5" w:rsidRPr="00541EC2">
        <w:rPr>
          <w:rFonts w:ascii="Times New Roman" w:hAnsi="Times New Roman"/>
          <w:sz w:val="22"/>
          <w:szCs w:val="22"/>
          <w:lang w:val="el-GR"/>
        </w:rPr>
        <w:t>201</w:t>
      </w:r>
      <w:r w:rsidR="00A23723" w:rsidRPr="00541EC2">
        <w:rPr>
          <w:rFonts w:ascii="Times New Roman" w:hAnsi="Times New Roman"/>
          <w:sz w:val="22"/>
          <w:szCs w:val="22"/>
          <w:lang w:val="el-GR"/>
        </w:rPr>
        <w:t>4</w:t>
      </w:r>
    </w:p>
    <w:p w:rsidR="00EA0D93" w:rsidRPr="00F70868" w:rsidRDefault="00EA0D93" w:rsidP="00F70868">
      <w:pPr>
        <w:jc w:val="center"/>
        <w:rPr>
          <w:rFonts w:ascii="Times New Roman" w:hAnsi="Times New Roman"/>
          <w:b/>
          <w:caps/>
          <w:sz w:val="22"/>
          <w:szCs w:val="22"/>
          <w:lang w:val="el-GR"/>
        </w:rPr>
      </w:pPr>
    </w:p>
    <w:p w:rsidR="00EA0D93" w:rsidRPr="00F70868" w:rsidRDefault="00EA0D93" w:rsidP="00F70868">
      <w:pPr>
        <w:jc w:val="center"/>
        <w:rPr>
          <w:rFonts w:ascii="Times New Roman" w:hAnsi="Times New Roman"/>
          <w:b/>
          <w:caps/>
          <w:sz w:val="22"/>
          <w:szCs w:val="22"/>
          <w:lang w:val="el-GR"/>
        </w:rPr>
      </w:pPr>
    </w:p>
    <w:p w:rsidR="00EA0D93" w:rsidRPr="00F70868" w:rsidRDefault="00EA0D93" w:rsidP="00F70868">
      <w:pPr>
        <w:jc w:val="center"/>
        <w:rPr>
          <w:rFonts w:ascii="Times New Roman" w:hAnsi="Times New Roman"/>
          <w:b/>
          <w:caps/>
          <w:sz w:val="22"/>
          <w:szCs w:val="22"/>
          <w:lang w:val="el-GR"/>
        </w:rPr>
      </w:pPr>
    </w:p>
    <w:p w:rsidR="001547DD" w:rsidRPr="00F70868" w:rsidRDefault="001547DD" w:rsidP="00F70868">
      <w:pPr>
        <w:pStyle w:val="20"/>
        <w:tabs>
          <w:tab w:val="clear" w:pos="426"/>
        </w:tabs>
        <w:spacing w:line="240" w:lineRule="auto"/>
        <w:ind w:left="0"/>
        <w:jc w:val="left"/>
        <w:outlineLvl w:val="0"/>
        <w:rPr>
          <w:rFonts w:ascii="Times New Roman" w:hAnsi="Times New Roman"/>
          <w:szCs w:val="22"/>
          <w:lang w:val="el-GR"/>
        </w:rPr>
      </w:pPr>
    </w:p>
    <w:sectPr w:rsidR="001547DD" w:rsidRPr="00F70868" w:rsidSect="00C853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9D3" w:rsidRDefault="00D869D3">
      <w:r>
        <w:separator/>
      </w:r>
    </w:p>
  </w:endnote>
  <w:endnote w:type="continuationSeparator" w:id="0">
    <w:p w:rsidR="00D869D3" w:rsidRDefault="00D8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C2" w:rsidRDefault="00541EC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83" w:rsidRPr="00F02A83" w:rsidRDefault="00F02A83" w:rsidP="00F02A83">
    <w:pPr>
      <w:pStyle w:val="a3"/>
      <w:rPr>
        <w:lang w:val="en-US"/>
      </w:rPr>
    </w:pPr>
  </w:p>
  <w:p w:rsidR="00F02A83" w:rsidRPr="00F02A83" w:rsidRDefault="00711A23" w:rsidP="00F02A83">
    <w:pPr>
      <w:pStyle w:val="a3"/>
      <w:rPr>
        <w:rFonts w:ascii="Times New Roman" w:hAnsi="Times New Roman"/>
        <w:i/>
        <w:sz w:val="16"/>
        <w:szCs w:val="16"/>
        <w:lang w:val="en-US"/>
      </w:rPr>
    </w:pPr>
    <w:r w:rsidRPr="00F02A83">
      <w:rPr>
        <w:rFonts w:ascii="Times New Roman" w:hAnsi="Times New Roman"/>
        <w:i/>
        <w:sz w:val="16"/>
        <w:szCs w:val="16"/>
      </w:rPr>
      <w:fldChar w:fldCharType="begin"/>
    </w:r>
    <w:r w:rsidRPr="00F02A83">
      <w:rPr>
        <w:rFonts w:ascii="Times New Roman" w:hAnsi="Times New Roman"/>
        <w:i/>
        <w:sz w:val="16"/>
        <w:szCs w:val="16"/>
      </w:rPr>
      <w:instrText xml:space="preserve"> FILENAME \p </w:instrText>
    </w:r>
    <w:r w:rsidRPr="00F02A83">
      <w:rPr>
        <w:rFonts w:ascii="Times New Roman" w:hAnsi="Times New Roman"/>
        <w:i/>
        <w:sz w:val="16"/>
        <w:szCs w:val="16"/>
      </w:rPr>
      <w:fldChar w:fldCharType="separate"/>
    </w:r>
    <w:r w:rsidR="006F59AF">
      <w:rPr>
        <w:rFonts w:ascii="Times New Roman" w:hAnsi="Times New Roman"/>
        <w:i/>
        <w:noProof/>
        <w:sz w:val="16"/>
        <w:szCs w:val="16"/>
      </w:rPr>
      <w:t>R:\EPD\INFLUVAC_SUBUNIT\ANNEXES\Var 0xx Annual Update 2014\W184_SPC_53099_25-9-2013_II73LongNeedledSyringe_address change_AnnualUpdate2014_clean.doc</w:t>
    </w:r>
    <w:r w:rsidRPr="00F02A83">
      <w:rPr>
        <w:rFonts w:ascii="Times New Roman" w:hAnsi="Times New Roman"/>
        <w:sz w:val="16"/>
        <w:szCs w:val="16"/>
      </w:rPr>
      <w:fldChar w:fldCharType="end"/>
    </w:r>
    <w:r w:rsidR="00F02A83" w:rsidRPr="00F02A83">
      <w:rPr>
        <w:rFonts w:ascii="Times New Roman" w:hAnsi="Times New Roman"/>
        <w:i/>
        <w:sz w:val="16"/>
        <w:szCs w:val="16"/>
      </w:rPr>
      <w:t xml:space="preserve">, </w:t>
    </w:r>
    <w:r w:rsidR="00F02A83" w:rsidRPr="00F02A83">
      <w:rPr>
        <w:rFonts w:ascii="Times New Roman" w:hAnsi="Times New Roman"/>
        <w:i/>
        <w:sz w:val="16"/>
        <w:szCs w:val="16"/>
        <w:lang w:val="el-GR"/>
      </w:rPr>
      <w:t>Σελίδα</w:t>
    </w:r>
    <w:r w:rsidR="00F02A83" w:rsidRPr="00F02A83">
      <w:rPr>
        <w:rFonts w:ascii="Times New Roman" w:hAnsi="Times New Roman"/>
        <w:i/>
        <w:sz w:val="16"/>
        <w:szCs w:val="16"/>
        <w:lang w:val="en-US"/>
      </w:rPr>
      <w:t xml:space="preserve"> </w:t>
    </w:r>
    <w:r w:rsidR="00F02A83" w:rsidRPr="00F02A83">
      <w:rPr>
        <w:rFonts w:ascii="Times New Roman" w:hAnsi="Times New Roman"/>
        <w:i/>
        <w:sz w:val="16"/>
        <w:szCs w:val="16"/>
        <w:lang w:val="el-GR"/>
      </w:rPr>
      <w:fldChar w:fldCharType="begin"/>
    </w:r>
    <w:r w:rsidR="00F02A83" w:rsidRPr="00F02A83">
      <w:rPr>
        <w:rFonts w:ascii="Times New Roman" w:hAnsi="Times New Roman"/>
        <w:i/>
        <w:sz w:val="16"/>
        <w:szCs w:val="16"/>
        <w:lang w:val="en-US"/>
      </w:rPr>
      <w:instrText xml:space="preserve"> PAGE </w:instrText>
    </w:r>
    <w:r w:rsidR="00F02A83" w:rsidRPr="00F02A83">
      <w:rPr>
        <w:rFonts w:ascii="Times New Roman" w:hAnsi="Times New Roman"/>
        <w:i/>
        <w:sz w:val="16"/>
        <w:szCs w:val="16"/>
        <w:lang w:val="el-GR"/>
      </w:rPr>
      <w:fldChar w:fldCharType="separate"/>
    </w:r>
    <w:r w:rsidR="005E2825">
      <w:rPr>
        <w:rFonts w:ascii="Times New Roman" w:hAnsi="Times New Roman"/>
        <w:i/>
        <w:noProof/>
        <w:sz w:val="16"/>
        <w:szCs w:val="16"/>
        <w:lang w:val="en-US"/>
      </w:rPr>
      <w:t>7</w:t>
    </w:r>
    <w:r w:rsidR="00F02A83" w:rsidRPr="00F02A83">
      <w:rPr>
        <w:rFonts w:ascii="Times New Roman" w:hAnsi="Times New Roman"/>
        <w:sz w:val="16"/>
        <w:szCs w:val="16"/>
      </w:rPr>
      <w:fldChar w:fldCharType="end"/>
    </w:r>
    <w:r w:rsidR="00F02A83" w:rsidRPr="00F02A83">
      <w:rPr>
        <w:rFonts w:ascii="Times New Roman" w:hAnsi="Times New Roman"/>
        <w:i/>
        <w:sz w:val="16"/>
        <w:szCs w:val="16"/>
        <w:lang w:val="en-US"/>
      </w:rPr>
      <w:t xml:space="preserve"> </w:t>
    </w:r>
    <w:r w:rsidR="00F02A83" w:rsidRPr="00F02A83">
      <w:rPr>
        <w:rFonts w:ascii="Times New Roman" w:hAnsi="Times New Roman"/>
        <w:i/>
        <w:sz w:val="16"/>
        <w:szCs w:val="16"/>
        <w:lang w:val="el-GR"/>
      </w:rPr>
      <w:t>από</w:t>
    </w:r>
    <w:r w:rsidR="00F02A83" w:rsidRPr="00F02A83">
      <w:rPr>
        <w:rFonts w:ascii="Times New Roman" w:hAnsi="Times New Roman"/>
        <w:i/>
        <w:sz w:val="16"/>
        <w:szCs w:val="16"/>
        <w:lang w:val="en-US"/>
      </w:rPr>
      <w:t xml:space="preserve"> </w:t>
    </w:r>
    <w:r w:rsidR="00F02A83" w:rsidRPr="00F02A83">
      <w:rPr>
        <w:rFonts w:ascii="Times New Roman" w:hAnsi="Times New Roman"/>
        <w:i/>
        <w:sz w:val="16"/>
        <w:szCs w:val="16"/>
        <w:lang w:val="el-GR"/>
      </w:rPr>
      <w:fldChar w:fldCharType="begin"/>
    </w:r>
    <w:r w:rsidR="00F02A83" w:rsidRPr="00F02A83">
      <w:rPr>
        <w:rFonts w:ascii="Times New Roman" w:hAnsi="Times New Roman"/>
        <w:i/>
        <w:sz w:val="16"/>
        <w:szCs w:val="16"/>
        <w:lang w:val="en-US"/>
      </w:rPr>
      <w:instrText xml:space="preserve"> NUMPAGES </w:instrText>
    </w:r>
    <w:r w:rsidR="00F02A83" w:rsidRPr="00F02A83">
      <w:rPr>
        <w:rFonts w:ascii="Times New Roman" w:hAnsi="Times New Roman"/>
        <w:i/>
        <w:sz w:val="16"/>
        <w:szCs w:val="16"/>
        <w:lang w:val="el-GR"/>
      </w:rPr>
      <w:fldChar w:fldCharType="separate"/>
    </w:r>
    <w:r w:rsidR="005E2825">
      <w:rPr>
        <w:rFonts w:ascii="Times New Roman" w:hAnsi="Times New Roman"/>
        <w:i/>
        <w:noProof/>
        <w:sz w:val="16"/>
        <w:szCs w:val="16"/>
        <w:lang w:val="en-US"/>
      </w:rPr>
      <w:t>7</w:t>
    </w:r>
    <w:r w:rsidR="00F02A83" w:rsidRPr="00F02A83">
      <w:rPr>
        <w:rFonts w:ascii="Times New Roman" w:hAnsi="Times New Roman"/>
        <w:sz w:val="16"/>
        <w:szCs w:val="16"/>
      </w:rPr>
      <w:fldChar w:fldCharType="end"/>
    </w:r>
  </w:p>
  <w:p w:rsidR="00F02A83" w:rsidRPr="00F02A83" w:rsidRDefault="00F02A83">
    <w:pPr>
      <w:pStyle w:val="a3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C2" w:rsidRDefault="00541EC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9D3" w:rsidRDefault="00D869D3">
      <w:r>
        <w:separator/>
      </w:r>
    </w:p>
  </w:footnote>
  <w:footnote w:type="continuationSeparator" w:id="0">
    <w:p w:rsidR="00D869D3" w:rsidRDefault="00D86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C2" w:rsidRDefault="00541EC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59" w:rsidRPr="00541EC2" w:rsidRDefault="00DB6459" w:rsidP="00541EC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C2" w:rsidRDefault="00541EC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4F46"/>
    <w:multiLevelType w:val="hybridMultilevel"/>
    <w:tmpl w:val="01545D42"/>
    <w:lvl w:ilvl="0" w:tplc="9616589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40427"/>
    <w:multiLevelType w:val="hybridMultilevel"/>
    <w:tmpl w:val="2FD2E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77B05"/>
    <w:multiLevelType w:val="hybridMultilevel"/>
    <w:tmpl w:val="A504203A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">
    <w:nsid w:val="284F2356"/>
    <w:multiLevelType w:val="hybridMultilevel"/>
    <w:tmpl w:val="6CA46BEC"/>
    <w:lvl w:ilvl="0" w:tplc="EAEC271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856E55"/>
    <w:multiLevelType w:val="hybridMultilevel"/>
    <w:tmpl w:val="F9BE79CC"/>
    <w:lvl w:ilvl="0" w:tplc="9616589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E0084"/>
    <w:multiLevelType w:val="hybridMultilevel"/>
    <w:tmpl w:val="DC5C2F88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3A3B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91A5E0B"/>
    <w:multiLevelType w:val="hybridMultilevel"/>
    <w:tmpl w:val="37AE936C"/>
    <w:lvl w:ilvl="0" w:tplc="9616589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56264"/>
    <w:multiLevelType w:val="hybridMultilevel"/>
    <w:tmpl w:val="CAC80526"/>
    <w:lvl w:ilvl="0" w:tplc="B33A3B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78452BF"/>
    <w:multiLevelType w:val="hybridMultilevel"/>
    <w:tmpl w:val="5F5E1886"/>
    <w:lvl w:ilvl="0" w:tplc="B33A3BAC">
      <w:start w:val="1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9">
    <w:nsid w:val="4C120751"/>
    <w:multiLevelType w:val="hybridMultilevel"/>
    <w:tmpl w:val="6A6A070C"/>
    <w:lvl w:ilvl="0" w:tplc="9616589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B29D3"/>
    <w:multiLevelType w:val="hybridMultilevel"/>
    <w:tmpl w:val="63B6B6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AB0F63"/>
    <w:multiLevelType w:val="hybridMultilevel"/>
    <w:tmpl w:val="02D02B6A"/>
    <w:lvl w:ilvl="0" w:tplc="B33A3B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B33A3B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56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A081A"/>
    <w:rsid w:val="000015CD"/>
    <w:rsid w:val="00003106"/>
    <w:rsid w:val="000058AC"/>
    <w:rsid w:val="00020053"/>
    <w:rsid w:val="00020294"/>
    <w:rsid w:val="00026F6A"/>
    <w:rsid w:val="000347FF"/>
    <w:rsid w:val="000376AB"/>
    <w:rsid w:val="00044A54"/>
    <w:rsid w:val="000461F6"/>
    <w:rsid w:val="000462BF"/>
    <w:rsid w:val="00047B67"/>
    <w:rsid w:val="0005161C"/>
    <w:rsid w:val="00056028"/>
    <w:rsid w:val="00056BC6"/>
    <w:rsid w:val="00066804"/>
    <w:rsid w:val="00066B30"/>
    <w:rsid w:val="00071825"/>
    <w:rsid w:val="00081FA5"/>
    <w:rsid w:val="0008276A"/>
    <w:rsid w:val="00092120"/>
    <w:rsid w:val="00092234"/>
    <w:rsid w:val="000A118D"/>
    <w:rsid w:val="000A3F35"/>
    <w:rsid w:val="000A6B27"/>
    <w:rsid w:val="000B21FD"/>
    <w:rsid w:val="000C2344"/>
    <w:rsid w:val="000C6D65"/>
    <w:rsid w:val="000C739C"/>
    <w:rsid w:val="000C7D91"/>
    <w:rsid w:val="000E2B1C"/>
    <w:rsid w:val="000E35B9"/>
    <w:rsid w:val="000F50F9"/>
    <w:rsid w:val="0010042F"/>
    <w:rsid w:val="001051F3"/>
    <w:rsid w:val="00105C8A"/>
    <w:rsid w:val="00112B7E"/>
    <w:rsid w:val="00124C92"/>
    <w:rsid w:val="00126B58"/>
    <w:rsid w:val="001310F5"/>
    <w:rsid w:val="001334DC"/>
    <w:rsid w:val="00153C1D"/>
    <w:rsid w:val="00153DA8"/>
    <w:rsid w:val="001547DD"/>
    <w:rsid w:val="00164ECA"/>
    <w:rsid w:val="00167B51"/>
    <w:rsid w:val="00185C87"/>
    <w:rsid w:val="00192236"/>
    <w:rsid w:val="001964B3"/>
    <w:rsid w:val="001A325B"/>
    <w:rsid w:val="001A39AA"/>
    <w:rsid w:val="001B221E"/>
    <w:rsid w:val="001B4242"/>
    <w:rsid w:val="001C5C48"/>
    <w:rsid w:val="001D5DD7"/>
    <w:rsid w:val="001E4C01"/>
    <w:rsid w:val="001E5FFC"/>
    <w:rsid w:val="001F2F0C"/>
    <w:rsid w:val="001F3A90"/>
    <w:rsid w:val="001F4739"/>
    <w:rsid w:val="001F6536"/>
    <w:rsid w:val="0022190D"/>
    <w:rsid w:val="00222BFF"/>
    <w:rsid w:val="0022760F"/>
    <w:rsid w:val="00231518"/>
    <w:rsid w:val="00233262"/>
    <w:rsid w:val="00234942"/>
    <w:rsid w:val="00237787"/>
    <w:rsid w:val="00242EB1"/>
    <w:rsid w:val="00247889"/>
    <w:rsid w:val="002559D7"/>
    <w:rsid w:val="0026084E"/>
    <w:rsid w:val="0026408F"/>
    <w:rsid w:val="00277A3B"/>
    <w:rsid w:val="00285BC0"/>
    <w:rsid w:val="00295137"/>
    <w:rsid w:val="002A7D70"/>
    <w:rsid w:val="002B0C0E"/>
    <w:rsid w:val="002B0D70"/>
    <w:rsid w:val="002B37F5"/>
    <w:rsid w:val="002C1C45"/>
    <w:rsid w:val="002D4B33"/>
    <w:rsid w:val="002D6EB9"/>
    <w:rsid w:val="002E3D5B"/>
    <w:rsid w:val="002E5DB7"/>
    <w:rsid w:val="002E6250"/>
    <w:rsid w:val="002E68F1"/>
    <w:rsid w:val="002F5DD1"/>
    <w:rsid w:val="003008A0"/>
    <w:rsid w:val="00324269"/>
    <w:rsid w:val="00324494"/>
    <w:rsid w:val="003317D2"/>
    <w:rsid w:val="00335839"/>
    <w:rsid w:val="003368FA"/>
    <w:rsid w:val="00336CD0"/>
    <w:rsid w:val="00345BEE"/>
    <w:rsid w:val="0035289E"/>
    <w:rsid w:val="00374958"/>
    <w:rsid w:val="00376B41"/>
    <w:rsid w:val="00384B46"/>
    <w:rsid w:val="003954CD"/>
    <w:rsid w:val="003A6683"/>
    <w:rsid w:val="003B24D5"/>
    <w:rsid w:val="003B2CA3"/>
    <w:rsid w:val="003B5DB5"/>
    <w:rsid w:val="003C253A"/>
    <w:rsid w:val="003E3938"/>
    <w:rsid w:val="00407715"/>
    <w:rsid w:val="00422F7C"/>
    <w:rsid w:val="0042566E"/>
    <w:rsid w:val="00426BBA"/>
    <w:rsid w:val="00430148"/>
    <w:rsid w:val="00433856"/>
    <w:rsid w:val="00440157"/>
    <w:rsid w:val="00440448"/>
    <w:rsid w:val="004648EA"/>
    <w:rsid w:val="004738CC"/>
    <w:rsid w:val="004771B7"/>
    <w:rsid w:val="004A1567"/>
    <w:rsid w:val="004C045C"/>
    <w:rsid w:val="004D18D2"/>
    <w:rsid w:val="004D33F5"/>
    <w:rsid w:val="004D6A78"/>
    <w:rsid w:val="004D778D"/>
    <w:rsid w:val="004D7EB1"/>
    <w:rsid w:val="004E7E73"/>
    <w:rsid w:val="0050328A"/>
    <w:rsid w:val="00523744"/>
    <w:rsid w:val="0053215A"/>
    <w:rsid w:val="00540D14"/>
    <w:rsid w:val="00541EC2"/>
    <w:rsid w:val="005509CE"/>
    <w:rsid w:val="005510BC"/>
    <w:rsid w:val="005573A6"/>
    <w:rsid w:val="00565782"/>
    <w:rsid w:val="00572160"/>
    <w:rsid w:val="005776D5"/>
    <w:rsid w:val="00577B4E"/>
    <w:rsid w:val="00592DFD"/>
    <w:rsid w:val="005949D0"/>
    <w:rsid w:val="005A3C3E"/>
    <w:rsid w:val="005A4D7D"/>
    <w:rsid w:val="005B08BE"/>
    <w:rsid w:val="005C2902"/>
    <w:rsid w:val="005C3D26"/>
    <w:rsid w:val="005C7B38"/>
    <w:rsid w:val="005E04A3"/>
    <w:rsid w:val="005E2825"/>
    <w:rsid w:val="005E6082"/>
    <w:rsid w:val="005F11AE"/>
    <w:rsid w:val="005F433B"/>
    <w:rsid w:val="005F69BC"/>
    <w:rsid w:val="00612B75"/>
    <w:rsid w:val="00613744"/>
    <w:rsid w:val="00623B8E"/>
    <w:rsid w:val="006246DB"/>
    <w:rsid w:val="006324E3"/>
    <w:rsid w:val="0065766A"/>
    <w:rsid w:val="00657C90"/>
    <w:rsid w:val="00666A5A"/>
    <w:rsid w:val="00675F5B"/>
    <w:rsid w:val="00676636"/>
    <w:rsid w:val="00680FED"/>
    <w:rsid w:val="00683088"/>
    <w:rsid w:val="00685284"/>
    <w:rsid w:val="00685EAB"/>
    <w:rsid w:val="006914BA"/>
    <w:rsid w:val="00691561"/>
    <w:rsid w:val="006A081A"/>
    <w:rsid w:val="006A2083"/>
    <w:rsid w:val="006A2958"/>
    <w:rsid w:val="006A3E22"/>
    <w:rsid w:val="006B2D7A"/>
    <w:rsid w:val="006B5BFC"/>
    <w:rsid w:val="006B608B"/>
    <w:rsid w:val="006B63B1"/>
    <w:rsid w:val="006C50B8"/>
    <w:rsid w:val="006E114D"/>
    <w:rsid w:val="006E40D4"/>
    <w:rsid w:val="006E4D90"/>
    <w:rsid w:val="006E74B7"/>
    <w:rsid w:val="006F31D6"/>
    <w:rsid w:val="006F59AF"/>
    <w:rsid w:val="006F7E64"/>
    <w:rsid w:val="0070511D"/>
    <w:rsid w:val="00706FA8"/>
    <w:rsid w:val="00707ECA"/>
    <w:rsid w:val="00711A23"/>
    <w:rsid w:val="00712D9C"/>
    <w:rsid w:val="00714F61"/>
    <w:rsid w:val="00716D0A"/>
    <w:rsid w:val="0072619A"/>
    <w:rsid w:val="00730286"/>
    <w:rsid w:val="00731810"/>
    <w:rsid w:val="007339C6"/>
    <w:rsid w:val="00736A40"/>
    <w:rsid w:val="00741242"/>
    <w:rsid w:val="00745BC7"/>
    <w:rsid w:val="007553D5"/>
    <w:rsid w:val="00755CEB"/>
    <w:rsid w:val="00760AA3"/>
    <w:rsid w:val="0076307C"/>
    <w:rsid w:val="00771894"/>
    <w:rsid w:val="00774236"/>
    <w:rsid w:val="00775E25"/>
    <w:rsid w:val="00776DED"/>
    <w:rsid w:val="00777A8B"/>
    <w:rsid w:val="00790D98"/>
    <w:rsid w:val="00792A9B"/>
    <w:rsid w:val="007A0188"/>
    <w:rsid w:val="007A3741"/>
    <w:rsid w:val="007A4353"/>
    <w:rsid w:val="007A5857"/>
    <w:rsid w:val="007D0A8E"/>
    <w:rsid w:val="007D343D"/>
    <w:rsid w:val="007F0721"/>
    <w:rsid w:val="007F53B7"/>
    <w:rsid w:val="008010D7"/>
    <w:rsid w:val="00802C0B"/>
    <w:rsid w:val="00802C2A"/>
    <w:rsid w:val="0080596C"/>
    <w:rsid w:val="00806CEC"/>
    <w:rsid w:val="00813D10"/>
    <w:rsid w:val="0081412C"/>
    <w:rsid w:val="008222E9"/>
    <w:rsid w:val="008235B1"/>
    <w:rsid w:val="00824B44"/>
    <w:rsid w:val="00826909"/>
    <w:rsid w:val="00833B9E"/>
    <w:rsid w:val="00834ACF"/>
    <w:rsid w:val="00851F10"/>
    <w:rsid w:val="008645D2"/>
    <w:rsid w:val="00870489"/>
    <w:rsid w:val="008760CF"/>
    <w:rsid w:val="00877B50"/>
    <w:rsid w:val="00883F87"/>
    <w:rsid w:val="0089199C"/>
    <w:rsid w:val="00894AEA"/>
    <w:rsid w:val="008A2FC0"/>
    <w:rsid w:val="008A4A0F"/>
    <w:rsid w:val="008A58FC"/>
    <w:rsid w:val="008A77CB"/>
    <w:rsid w:val="008B1531"/>
    <w:rsid w:val="008B4B92"/>
    <w:rsid w:val="008D62AE"/>
    <w:rsid w:val="008E35C7"/>
    <w:rsid w:val="008F7289"/>
    <w:rsid w:val="0090211A"/>
    <w:rsid w:val="00914EB6"/>
    <w:rsid w:val="00916AA4"/>
    <w:rsid w:val="00920B00"/>
    <w:rsid w:val="009304C8"/>
    <w:rsid w:val="0093122E"/>
    <w:rsid w:val="00936753"/>
    <w:rsid w:val="0095740C"/>
    <w:rsid w:val="00963775"/>
    <w:rsid w:val="009667A9"/>
    <w:rsid w:val="0097231A"/>
    <w:rsid w:val="009778D8"/>
    <w:rsid w:val="00984ABC"/>
    <w:rsid w:val="00996EA1"/>
    <w:rsid w:val="009B046A"/>
    <w:rsid w:val="009B27B4"/>
    <w:rsid w:val="009B36E7"/>
    <w:rsid w:val="009B3D23"/>
    <w:rsid w:val="009B3EE5"/>
    <w:rsid w:val="009B450F"/>
    <w:rsid w:val="009C00DC"/>
    <w:rsid w:val="009C668A"/>
    <w:rsid w:val="009D45C4"/>
    <w:rsid w:val="009D4F07"/>
    <w:rsid w:val="009E1BB8"/>
    <w:rsid w:val="009E25AD"/>
    <w:rsid w:val="009E796B"/>
    <w:rsid w:val="009F002F"/>
    <w:rsid w:val="009F2FAD"/>
    <w:rsid w:val="009F5DD8"/>
    <w:rsid w:val="00A011FF"/>
    <w:rsid w:val="00A01694"/>
    <w:rsid w:val="00A02C95"/>
    <w:rsid w:val="00A060DB"/>
    <w:rsid w:val="00A076F9"/>
    <w:rsid w:val="00A07D7E"/>
    <w:rsid w:val="00A162B5"/>
    <w:rsid w:val="00A20277"/>
    <w:rsid w:val="00A23723"/>
    <w:rsid w:val="00A23D25"/>
    <w:rsid w:val="00A2711E"/>
    <w:rsid w:val="00A27C28"/>
    <w:rsid w:val="00A44B99"/>
    <w:rsid w:val="00A54F43"/>
    <w:rsid w:val="00A61060"/>
    <w:rsid w:val="00A6256C"/>
    <w:rsid w:val="00A62CE8"/>
    <w:rsid w:val="00A6507A"/>
    <w:rsid w:val="00A714F1"/>
    <w:rsid w:val="00A73367"/>
    <w:rsid w:val="00A742D4"/>
    <w:rsid w:val="00A927C6"/>
    <w:rsid w:val="00A92E19"/>
    <w:rsid w:val="00AA0CF5"/>
    <w:rsid w:val="00AA2263"/>
    <w:rsid w:val="00AA24FA"/>
    <w:rsid w:val="00AB0E78"/>
    <w:rsid w:val="00AB2156"/>
    <w:rsid w:val="00AB24D7"/>
    <w:rsid w:val="00AB2EA5"/>
    <w:rsid w:val="00AB7DF9"/>
    <w:rsid w:val="00AD0697"/>
    <w:rsid w:val="00AD7971"/>
    <w:rsid w:val="00AF304F"/>
    <w:rsid w:val="00AF67BC"/>
    <w:rsid w:val="00B01013"/>
    <w:rsid w:val="00B060C5"/>
    <w:rsid w:val="00B1573E"/>
    <w:rsid w:val="00B21488"/>
    <w:rsid w:val="00B224F1"/>
    <w:rsid w:val="00B34532"/>
    <w:rsid w:val="00B37D75"/>
    <w:rsid w:val="00B4549D"/>
    <w:rsid w:val="00B47DBA"/>
    <w:rsid w:val="00B5145F"/>
    <w:rsid w:val="00B60614"/>
    <w:rsid w:val="00B63C0A"/>
    <w:rsid w:val="00B714F1"/>
    <w:rsid w:val="00B8497D"/>
    <w:rsid w:val="00B86D2E"/>
    <w:rsid w:val="00B9180C"/>
    <w:rsid w:val="00B9428E"/>
    <w:rsid w:val="00BA342F"/>
    <w:rsid w:val="00BA3FD3"/>
    <w:rsid w:val="00BA6169"/>
    <w:rsid w:val="00BA7FC9"/>
    <w:rsid w:val="00BB135A"/>
    <w:rsid w:val="00BB4C19"/>
    <w:rsid w:val="00BC03AC"/>
    <w:rsid w:val="00BC0870"/>
    <w:rsid w:val="00BC0C52"/>
    <w:rsid w:val="00BC16F2"/>
    <w:rsid w:val="00BF0F3B"/>
    <w:rsid w:val="00C012E6"/>
    <w:rsid w:val="00C04E05"/>
    <w:rsid w:val="00C109B7"/>
    <w:rsid w:val="00C143C5"/>
    <w:rsid w:val="00C14DBC"/>
    <w:rsid w:val="00C206AD"/>
    <w:rsid w:val="00C30E2A"/>
    <w:rsid w:val="00C50D79"/>
    <w:rsid w:val="00C55ECB"/>
    <w:rsid w:val="00C64191"/>
    <w:rsid w:val="00C853CB"/>
    <w:rsid w:val="00C90E88"/>
    <w:rsid w:val="00C91391"/>
    <w:rsid w:val="00C94968"/>
    <w:rsid w:val="00CB3D62"/>
    <w:rsid w:val="00CC19EB"/>
    <w:rsid w:val="00CC1D0A"/>
    <w:rsid w:val="00CC6F62"/>
    <w:rsid w:val="00CD5D02"/>
    <w:rsid w:val="00CE0368"/>
    <w:rsid w:val="00CF2C12"/>
    <w:rsid w:val="00CF2CC8"/>
    <w:rsid w:val="00D0252B"/>
    <w:rsid w:val="00D133F6"/>
    <w:rsid w:val="00D14F37"/>
    <w:rsid w:val="00D15629"/>
    <w:rsid w:val="00D15AA4"/>
    <w:rsid w:val="00D257C8"/>
    <w:rsid w:val="00D309AD"/>
    <w:rsid w:val="00D377E4"/>
    <w:rsid w:val="00D41893"/>
    <w:rsid w:val="00D4375E"/>
    <w:rsid w:val="00D43FE9"/>
    <w:rsid w:val="00D529C6"/>
    <w:rsid w:val="00D52B56"/>
    <w:rsid w:val="00D6041D"/>
    <w:rsid w:val="00D63F5A"/>
    <w:rsid w:val="00D64473"/>
    <w:rsid w:val="00D82711"/>
    <w:rsid w:val="00D869D3"/>
    <w:rsid w:val="00D86FFE"/>
    <w:rsid w:val="00D90812"/>
    <w:rsid w:val="00D908BE"/>
    <w:rsid w:val="00D918F2"/>
    <w:rsid w:val="00D92329"/>
    <w:rsid w:val="00DA3987"/>
    <w:rsid w:val="00DA3EC8"/>
    <w:rsid w:val="00DB00B4"/>
    <w:rsid w:val="00DB12C2"/>
    <w:rsid w:val="00DB1338"/>
    <w:rsid w:val="00DB6459"/>
    <w:rsid w:val="00DB7BDD"/>
    <w:rsid w:val="00DC0DC0"/>
    <w:rsid w:val="00DC15FC"/>
    <w:rsid w:val="00DC7D48"/>
    <w:rsid w:val="00DD47A7"/>
    <w:rsid w:val="00DD6C48"/>
    <w:rsid w:val="00DD7E2E"/>
    <w:rsid w:val="00DF2B51"/>
    <w:rsid w:val="00DF6C95"/>
    <w:rsid w:val="00E00CEA"/>
    <w:rsid w:val="00E02098"/>
    <w:rsid w:val="00E10303"/>
    <w:rsid w:val="00E153B4"/>
    <w:rsid w:val="00E17A14"/>
    <w:rsid w:val="00E21B15"/>
    <w:rsid w:val="00E21B78"/>
    <w:rsid w:val="00E263C8"/>
    <w:rsid w:val="00E310EF"/>
    <w:rsid w:val="00E32B5F"/>
    <w:rsid w:val="00E334CA"/>
    <w:rsid w:val="00E429C3"/>
    <w:rsid w:val="00E4591E"/>
    <w:rsid w:val="00E46CFD"/>
    <w:rsid w:val="00E60877"/>
    <w:rsid w:val="00E64A1A"/>
    <w:rsid w:val="00E670FE"/>
    <w:rsid w:val="00E679A6"/>
    <w:rsid w:val="00E85652"/>
    <w:rsid w:val="00E978E1"/>
    <w:rsid w:val="00EA0D93"/>
    <w:rsid w:val="00EA3ED8"/>
    <w:rsid w:val="00EB4498"/>
    <w:rsid w:val="00ED1CB3"/>
    <w:rsid w:val="00EE0FD2"/>
    <w:rsid w:val="00EE39B1"/>
    <w:rsid w:val="00EF1483"/>
    <w:rsid w:val="00EF68BB"/>
    <w:rsid w:val="00F011BB"/>
    <w:rsid w:val="00F02A83"/>
    <w:rsid w:val="00F1068C"/>
    <w:rsid w:val="00F20917"/>
    <w:rsid w:val="00F22D2D"/>
    <w:rsid w:val="00F2506F"/>
    <w:rsid w:val="00F2616C"/>
    <w:rsid w:val="00F31017"/>
    <w:rsid w:val="00F360F2"/>
    <w:rsid w:val="00F36955"/>
    <w:rsid w:val="00F45208"/>
    <w:rsid w:val="00F5472F"/>
    <w:rsid w:val="00F62D60"/>
    <w:rsid w:val="00F6655E"/>
    <w:rsid w:val="00F67E13"/>
    <w:rsid w:val="00F70868"/>
    <w:rsid w:val="00F74F07"/>
    <w:rsid w:val="00F801CF"/>
    <w:rsid w:val="00F8468B"/>
    <w:rsid w:val="00F85A31"/>
    <w:rsid w:val="00F966D1"/>
    <w:rsid w:val="00FC212A"/>
    <w:rsid w:val="00FD5C42"/>
    <w:rsid w:val="00FD7D1B"/>
    <w:rsid w:val="00FE615B"/>
    <w:rsid w:val="00FE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tabs>
        <w:tab w:val="left" w:pos="1"/>
        <w:tab w:val="left" w:pos="564"/>
        <w:tab w:val="left" w:pos="1134"/>
        <w:tab w:val="left" w:pos="1698"/>
        <w:tab w:val="left" w:pos="2268"/>
        <w:tab w:val="left" w:pos="2832"/>
        <w:tab w:val="left" w:pos="3402"/>
        <w:tab w:val="left" w:pos="3966"/>
        <w:tab w:val="left" w:pos="4530"/>
        <w:tab w:val="left" w:pos="5100"/>
        <w:tab w:val="left" w:pos="5664"/>
        <w:tab w:val="left" w:pos="6234"/>
        <w:tab w:val="left" w:pos="6798"/>
        <w:tab w:val="left" w:pos="7368"/>
        <w:tab w:val="left" w:pos="7932"/>
        <w:tab w:val="left" w:pos="8502"/>
        <w:tab w:val="left" w:pos="9066"/>
        <w:tab w:val="left" w:pos="9636"/>
        <w:tab w:val="left" w:pos="10200"/>
        <w:tab w:val="left" w:pos="10770"/>
        <w:tab w:val="left" w:pos="11334"/>
        <w:tab w:val="left" w:pos="11904"/>
        <w:tab w:val="left" w:pos="12468"/>
        <w:tab w:val="left" w:pos="13038"/>
        <w:tab w:val="left" w:pos="13602"/>
        <w:tab w:val="left" w:pos="14172"/>
        <w:tab w:val="left" w:pos="14736"/>
        <w:tab w:val="left" w:pos="15306"/>
        <w:tab w:val="left" w:pos="15870"/>
        <w:tab w:val="left" w:pos="16440"/>
        <w:tab w:val="left" w:pos="17004"/>
        <w:tab w:val="left" w:pos="17574"/>
        <w:tab w:val="left" w:pos="18138"/>
        <w:tab w:val="left" w:pos="18708"/>
        <w:tab w:val="left" w:pos="19272"/>
        <w:tab w:val="left" w:pos="19842"/>
        <w:tab w:val="left" w:pos="20406"/>
        <w:tab w:val="left" w:pos="20976"/>
        <w:tab w:val="left" w:pos="21540"/>
        <w:tab w:val="left" w:pos="22110"/>
      </w:tabs>
      <w:spacing w:line="280" w:lineRule="exact"/>
      <w:ind w:left="426"/>
      <w:jc w:val="both"/>
      <w:outlineLvl w:val="0"/>
    </w:pPr>
    <w:rPr>
      <w:rFonts w:ascii="Arial" w:hAnsi="Arial"/>
      <w:b/>
      <w:sz w:val="22"/>
      <w:lang w:val="el-GR"/>
    </w:rPr>
  </w:style>
  <w:style w:type="paragraph" w:styleId="4">
    <w:name w:val="heading 4"/>
    <w:basedOn w:val="a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qFormat/>
    <w:pPr>
      <w:ind w:left="720"/>
      <w:outlineLvl w:val="4"/>
    </w:pPr>
    <w:rPr>
      <w:b/>
    </w:rPr>
  </w:style>
  <w:style w:type="paragraph" w:styleId="6">
    <w:name w:val="heading 6"/>
    <w:basedOn w:val="a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qFormat/>
    <w:pPr>
      <w:ind w:left="720"/>
      <w:outlineLvl w:val="6"/>
    </w:pPr>
    <w:rPr>
      <w:i/>
    </w:rPr>
  </w:style>
  <w:style w:type="paragraph" w:styleId="8">
    <w:name w:val="heading 8"/>
    <w:basedOn w:val="a"/>
    <w:qFormat/>
    <w:pPr>
      <w:ind w:left="720"/>
      <w:outlineLvl w:val="7"/>
    </w:pPr>
    <w:rPr>
      <w:i/>
    </w:rPr>
  </w:style>
  <w:style w:type="paragraph" w:styleId="9">
    <w:name w:val="heading 9"/>
    <w:basedOn w:val="a"/>
    <w:qFormat/>
    <w:pPr>
      <w:ind w:left="720"/>
      <w:outlineLvl w:val="8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Char"/>
    <w:uiPriority w:val="99"/>
    <w:pPr>
      <w:tabs>
        <w:tab w:val="center" w:pos="4819"/>
        <w:tab w:val="right" w:pos="9071"/>
      </w:tabs>
    </w:pPr>
    <w:rPr>
      <w:lang/>
    </w:rPr>
  </w:style>
  <w:style w:type="paragraph" w:styleId="a4">
    <w:name w:val="header"/>
    <w:basedOn w:val="a"/>
    <w:pPr>
      <w:tabs>
        <w:tab w:val="center" w:pos="4819"/>
        <w:tab w:val="right" w:pos="9071"/>
      </w:tabs>
    </w:pPr>
  </w:style>
  <w:style w:type="character" w:styleId="a5">
    <w:name w:val="footnote reference"/>
    <w:semiHidden/>
    <w:rPr>
      <w:position w:val="6"/>
      <w:sz w:val="16"/>
    </w:rPr>
  </w:style>
  <w:style w:type="paragraph" w:styleId="a6">
    <w:name w:val="footnote text"/>
    <w:basedOn w:val="a"/>
    <w:semiHidden/>
  </w:style>
  <w:style w:type="character" w:styleId="a7">
    <w:name w:val="page number"/>
    <w:basedOn w:val="a0"/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Body Text Indent"/>
    <w:basedOn w:val="a"/>
    <w:pPr>
      <w:tabs>
        <w:tab w:val="left" w:pos="1"/>
        <w:tab w:val="left" w:pos="426"/>
        <w:tab w:val="left" w:pos="564"/>
        <w:tab w:val="left" w:pos="993"/>
        <w:tab w:val="left" w:pos="1698"/>
        <w:tab w:val="left" w:pos="2268"/>
        <w:tab w:val="left" w:pos="2832"/>
        <w:tab w:val="left" w:pos="3402"/>
        <w:tab w:val="left" w:pos="3966"/>
        <w:tab w:val="left" w:pos="4530"/>
        <w:tab w:val="left" w:pos="5100"/>
        <w:tab w:val="left" w:pos="5664"/>
        <w:tab w:val="left" w:pos="6234"/>
        <w:tab w:val="left" w:pos="6798"/>
        <w:tab w:val="left" w:pos="7368"/>
        <w:tab w:val="left" w:pos="7932"/>
        <w:tab w:val="left" w:pos="8502"/>
        <w:tab w:val="left" w:pos="9066"/>
        <w:tab w:val="left" w:pos="9636"/>
        <w:tab w:val="left" w:pos="10200"/>
        <w:tab w:val="left" w:pos="10770"/>
        <w:tab w:val="left" w:pos="11334"/>
        <w:tab w:val="left" w:pos="11904"/>
        <w:tab w:val="left" w:pos="12468"/>
        <w:tab w:val="left" w:pos="13038"/>
        <w:tab w:val="left" w:pos="13602"/>
        <w:tab w:val="left" w:pos="14172"/>
        <w:tab w:val="left" w:pos="14736"/>
        <w:tab w:val="left" w:pos="15306"/>
        <w:tab w:val="left" w:pos="15870"/>
        <w:tab w:val="left" w:pos="16440"/>
        <w:tab w:val="left" w:pos="17004"/>
        <w:tab w:val="left" w:pos="17574"/>
        <w:tab w:val="left" w:pos="18138"/>
        <w:tab w:val="left" w:pos="18708"/>
        <w:tab w:val="left" w:pos="19272"/>
        <w:tab w:val="left" w:pos="19842"/>
        <w:tab w:val="left" w:pos="20406"/>
        <w:tab w:val="left" w:pos="20976"/>
        <w:tab w:val="left" w:pos="21540"/>
        <w:tab w:val="left" w:pos="22110"/>
      </w:tabs>
      <w:spacing w:line="280" w:lineRule="exact"/>
      <w:ind w:left="426"/>
      <w:jc w:val="both"/>
    </w:pPr>
    <w:rPr>
      <w:rFonts w:ascii="Arial" w:hAnsi="Arial"/>
      <w:strike/>
      <w:sz w:val="22"/>
    </w:rPr>
  </w:style>
  <w:style w:type="paragraph" w:styleId="2">
    <w:name w:val="Body Text 2"/>
    <w:basedOn w:val="a"/>
    <w:pPr>
      <w:jc w:val="both"/>
    </w:pPr>
    <w:rPr>
      <w:rFonts w:ascii="Arial Narrow" w:hAnsi="Arial Narrow"/>
      <w:position w:val="6"/>
      <w:lang w:val="el-GR"/>
    </w:rPr>
  </w:style>
  <w:style w:type="paragraph" w:styleId="20">
    <w:name w:val="Body Text Indent 2"/>
    <w:basedOn w:val="a"/>
    <w:pPr>
      <w:tabs>
        <w:tab w:val="left" w:pos="1"/>
        <w:tab w:val="left" w:pos="426"/>
        <w:tab w:val="left" w:pos="564"/>
        <w:tab w:val="left" w:pos="1134"/>
        <w:tab w:val="left" w:pos="1698"/>
        <w:tab w:val="left" w:pos="2268"/>
        <w:tab w:val="left" w:pos="2832"/>
        <w:tab w:val="left" w:pos="3402"/>
        <w:tab w:val="left" w:pos="3966"/>
        <w:tab w:val="left" w:pos="4530"/>
        <w:tab w:val="left" w:pos="5100"/>
        <w:tab w:val="left" w:pos="5664"/>
        <w:tab w:val="left" w:pos="6234"/>
        <w:tab w:val="left" w:pos="6798"/>
        <w:tab w:val="left" w:pos="7368"/>
        <w:tab w:val="left" w:pos="7932"/>
        <w:tab w:val="left" w:pos="8502"/>
        <w:tab w:val="left" w:pos="9066"/>
        <w:tab w:val="left" w:pos="9636"/>
        <w:tab w:val="left" w:pos="10200"/>
        <w:tab w:val="left" w:pos="10770"/>
        <w:tab w:val="left" w:pos="11334"/>
        <w:tab w:val="left" w:pos="11904"/>
        <w:tab w:val="left" w:pos="12468"/>
        <w:tab w:val="left" w:pos="13038"/>
        <w:tab w:val="left" w:pos="13602"/>
        <w:tab w:val="left" w:pos="14172"/>
        <w:tab w:val="left" w:pos="14736"/>
        <w:tab w:val="left" w:pos="15306"/>
        <w:tab w:val="left" w:pos="15870"/>
        <w:tab w:val="left" w:pos="16440"/>
        <w:tab w:val="left" w:pos="17004"/>
        <w:tab w:val="left" w:pos="17574"/>
        <w:tab w:val="left" w:pos="18138"/>
        <w:tab w:val="left" w:pos="18708"/>
        <w:tab w:val="left" w:pos="19272"/>
        <w:tab w:val="left" w:pos="19842"/>
        <w:tab w:val="left" w:pos="20406"/>
        <w:tab w:val="left" w:pos="20976"/>
        <w:tab w:val="left" w:pos="21540"/>
        <w:tab w:val="left" w:pos="22110"/>
      </w:tabs>
      <w:spacing w:line="280" w:lineRule="exact"/>
      <w:ind w:left="426"/>
      <w:jc w:val="both"/>
    </w:pPr>
    <w:rPr>
      <w:rFonts w:ascii="Arial" w:hAnsi="Arial"/>
      <w:b/>
      <w:sz w:val="22"/>
    </w:rPr>
  </w:style>
  <w:style w:type="table" w:styleId="aa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B24D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a1"/>
    <w:next w:val="aa"/>
    <w:rsid w:val="001547D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a"/>
    <w:rsid w:val="001547DD"/>
    <w:pPr>
      <w:tabs>
        <w:tab w:val="left" w:pos="1080"/>
      </w:tabs>
      <w:suppressAutoHyphens/>
      <w:jc w:val="both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B8497D"/>
    <w:rPr>
      <w:lang w:val="en-GB" w:eastAsia="en-US"/>
    </w:rPr>
  </w:style>
  <w:style w:type="character" w:customStyle="1" w:styleId="Char">
    <w:name w:val="Υποσέλιδο Char"/>
    <w:link w:val="a3"/>
    <w:uiPriority w:val="99"/>
    <w:rsid w:val="00026F6A"/>
    <w:rPr>
      <w:lang w:val="en-GB"/>
    </w:rPr>
  </w:style>
  <w:style w:type="character" w:styleId="ad">
    <w:name w:val="annotation reference"/>
    <w:rsid w:val="00C30E2A"/>
    <w:rPr>
      <w:sz w:val="16"/>
      <w:szCs w:val="16"/>
    </w:rPr>
  </w:style>
  <w:style w:type="paragraph" w:styleId="ae">
    <w:name w:val="annotation text"/>
    <w:basedOn w:val="a"/>
    <w:link w:val="Char0"/>
    <w:rsid w:val="00C30E2A"/>
    <w:rPr>
      <w:lang/>
    </w:rPr>
  </w:style>
  <w:style w:type="character" w:customStyle="1" w:styleId="Char0">
    <w:name w:val="Κείμενο σχολίου Char"/>
    <w:link w:val="ae"/>
    <w:rsid w:val="00C30E2A"/>
    <w:rPr>
      <w:lang w:val="en-GB"/>
    </w:rPr>
  </w:style>
  <w:style w:type="paragraph" w:styleId="af">
    <w:name w:val="annotation subject"/>
    <w:basedOn w:val="ae"/>
    <w:next w:val="ae"/>
    <w:link w:val="Char1"/>
    <w:rsid w:val="00C30E2A"/>
    <w:rPr>
      <w:b/>
      <w:bCs/>
    </w:rPr>
  </w:style>
  <w:style w:type="character" w:customStyle="1" w:styleId="Char1">
    <w:name w:val="Θέμα σχολίου Char"/>
    <w:link w:val="af"/>
    <w:rsid w:val="00C30E2A"/>
    <w:rPr>
      <w:b/>
      <w:bCs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6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6823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7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5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3127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23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f.g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BF4F0-BDFC-4920-9D8A-8BE465AA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1675</Words>
  <Characters>9045</Characters>
  <Application>Microsoft Office Word</Application>
  <DocSecurity>0</DocSecurity>
  <Lines>75</Lines>
  <Paragraphs>21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ΠΕΡΙΛΗΨΗ  ΧΑΡΑΚΤΗΡΙΣΤΙΚΩΝ  ΤOY  ΠΡΟΙΟΝΤΟΣ  (SmPC)</vt:lpstr>
      <vt:lpstr>ΠΕΡΙΛΗΨΗ  ΧΑΡΑΚΤΗΡΙΣΤΙΚΩΝ  ΤOY  ΠΡΟΙΟΝΤΟΣ  (SmPC)</vt:lpstr>
    </vt:vector>
  </TitlesOfParts>
  <Company>Solvay Pharma Hellas</Company>
  <LinksUpToDate>false</LinksUpToDate>
  <CharactersWithSpaces>10699</CharactersWithSpaces>
  <SharedDoc>false</SharedDoc>
  <HLinks>
    <vt:vector size="6" baseType="variant"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http://www.eof.gr/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ΠΕΡΙΛΗΨΗ  ΧΑΡΑΚΤΗΡΙΣΤΙΚΩΝ  ΤOY  ΠΡΟΙΟΝΤΟΣ  (SmPC)</dc:title>
  <dc:creator>REG</dc:creator>
  <cp:lastModifiedBy>user146</cp:lastModifiedBy>
  <cp:revision>2</cp:revision>
  <cp:lastPrinted>2014-04-25T15:03:00Z</cp:lastPrinted>
  <dcterms:created xsi:type="dcterms:W3CDTF">2014-12-08T07:07:00Z</dcterms:created>
  <dcterms:modified xsi:type="dcterms:W3CDTF">2014-12-08T07:07:00Z</dcterms:modified>
</cp:coreProperties>
</file>