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6" w:rsidRDefault="00F233F6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192EE3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b/>
          <w:bCs/>
          <w:sz w:val="22"/>
          <w:szCs w:val="22"/>
          <w:lang w:val="el-GR"/>
        </w:rPr>
        <w:t>1.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ΟΝΟΜΑΣΙΑ ΤΟΥ ΦΑΡΜΑΚΕΥΤΙΚΟΥ ΠΡΟΪΟΝΤΟΣ</w:t>
      </w:r>
      <w:r w:rsidRPr="00510549" w:rsidDel="00192EE3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</w:p>
    <w:p w:rsidR="00192EE3" w:rsidRPr="00510549" w:rsidRDefault="00192EE3" w:rsidP="00510549">
      <w:pPr>
        <w:ind w:firstLine="720"/>
        <w:jc w:val="both"/>
        <w:rPr>
          <w:rFonts w:ascii="Times New Roman" w:hAnsi="Times New Roman" w:cs="Times New Roman"/>
          <w:caps/>
          <w:sz w:val="22"/>
          <w:szCs w:val="22"/>
          <w:lang w:val="el-GR"/>
        </w:rPr>
      </w:pPr>
    </w:p>
    <w:p w:rsidR="00F233F6" w:rsidRPr="00510549" w:rsidRDefault="00F233F6" w:rsidP="005832FB">
      <w:pPr>
        <w:ind w:firstLine="720"/>
        <w:jc w:val="both"/>
        <w:rPr>
          <w:rFonts w:ascii="Times New Roman" w:hAnsi="Times New Roman" w:cs="Times New Roman"/>
          <w:caps/>
          <w:sz w:val="22"/>
          <w:szCs w:val="22"/>
          <w:lang w:val="el-GR"/>
        </w:rPr>
      </w:pPr>
      <w:proofErr w:type="gramStart"/>
      <w:r w:rsidRPr="00BF1164">
        <w:rPr>
          <w:rFonts w:ascii="Times New Roman" w:hAnsi="Times New Roman" w:cs="Times New Roman"/>
          <w:caps/>
          <w:sz w:val="22"/>
          <w:szCs w:val="22"/>
        </w:rPr>
        <w:t>H</w:t>
      </w:r>
      <w:r w:rsidR="00F172DB" w:rsidRPr="00510549">
        <w:rPr>
          <w:rFonts w:ascii="Times New Roman" w:hAnsi="Times New Roman" w:cs="Times New Roman"/>
          <w:sz w:val="22"/>
          <w:szCs w:val="22"/>
        </w:rPr>
        <w:t>uman</w:t>
      </w:r>
      <w:r w:rsidRPr="0051054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caps/>
          <w:sz w:val="22"/>
          <w:szCs w:val="22"/>
        </w:rPr>
        <w:t>A</w:t>
      </w:r>
      <w:r w:rsidR="00F172DB" w:rsidRPr="00510549">
        <w:rPr>
          <w:rFonts w:ascii="Times New Roman" w:hAnsi="Times New Roman" w:cs="Times New Roman"/>
          <w:sz w:val="22"/>
          <w:szCs w:val="22"/>
        </w:rPr>
        <w:t>lbumin</w:t>
      </w:r>
      <w:r w:rsidR="006C658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F1164">
        <w:rPr>
          <w:rFonts w:ascii="Times New Roman" w:hAnsi="Times New Roman" w:cs="Times New Roman"/>
          <w:caps/>
          <w:sz w:val="22"/>
          <w:szCs w:val="22"/>
        </w:rPr>
        <w:t>G</w:t>
      </w:r>
      <w:r w:rsidR="00F172DB" w:rsidRPr="00510549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Pr="0051054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>20</w:t>
      </w:r>
      <w:r w:rsidR="003E3DD4" w:rsidRPr="00D51E79">
        <w:rPr>
          <w:rFonts w:ascii="Times New Roman" w:hAnsi="Times New Roman" w:cs="Times New Roman"/>
          <w:sz w:val="22"/>
          <w:szCs w:val="22"/>
          <w:lang w:val="el-GR"/>
        </w:rPr>
        <w:t>0</w:t>
      </w:r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E3DD4">
        <w:rPr>
          <w:rFonts w:ascii="Times New Roman" w:hAnsi="Times New Roman" w:cs="Times New Roman"/>
          <w:sz w:val="22"/>
          <w:szCs w:val="22"/>
        </w:rPr>
        <w:t>mg</w:t>
      </w:r>
      <w:r w:rsidR="003E3DD4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3E3DD4">
        <w:rPr>
          <w:rFonts w:ascii="Times New Roman" w:hAnsi="Times New Roman" w:cs="Times New Roman"/>
          <w:sz w:val="22"/>
          <w:szCs w:val="22"/>
        </w:rPr>
        <w:t>ml</w:t>
      </w:r>
      <w:r w:rsidR="00F172DB" w:rsidRPr="00D51E7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, </w:t>
      </w:r>
      <w:r w:rsidR="00F172DB" w:rsidRPr="00192EE3">
        <w:rPr>
          <w:rFonts w:ascii="Times New Roman" w:hAnsi="Times New Roman" w:cs="Times New Roman"/>
          <w:sz w:val="22"/>
          <w:szCs w:val="22"/>
          <w:lang w:val="el-GR"/>
        </w:rPr>
        <w:t>Διάλυμα για έγχυση</w:t>
      </w:r>
      <w:r w:rsidRPr="00510549">
        <w:rPr>
          <w:rFonts w:ascii="Times New Roman" w:hAnsi="Times New Roman" w:cs="Times New Roman"/>
          <w:caps/>
          <w:sz w:val="22"/>
          <w:szCs w:val="22"/>
          <w:lang w:val="el-GR"/>
        </w:rPr>
        <w:t>.</w:t>
      </w:r>
      <w:proofErr w:type="gramEnd"/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2. ΠΟΙΟΤΙΚΗ ΚΑΙ ΠΟΣΟΤΙΚΗ ΣΥΝΘΕΣΗ</w:t>
      </w:r>
    </w:p>
    <w:p w:rsidR="00202762" w:rsidRPr="00510549" w:rsidRDefault="00202762" w:rsidP="005832F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F233F6" w:rsidRDefault="00192EE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Ανθρώπινη λευκωματίνη</w:t>
      </w:r>
    </w:p>
    <w:p w:rsidR="00192EE3" w:rsidRPr="00BF1164" w:rsidRDefault="00192EE3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F172DB">
        <w:rPr>
          <w:rFonts w:ascii="Times New Roman" w:hAnsi="Times New Roman" w:cs="Times New Roman"/>
          <w:caps/>
          <w:sz w:val="22"/>
          <w:szCs w:val="22"/>
        </w:rPr>
        <w:t>H</w:t>
      </w:r>
      <w:r w:rsidR="00F172DB">
        <w:rPr>
          <w:rFonts w:ascii="Times New Roman" w:hAnsi="Times New Roman" w:cs="Times New Roman"/>
          <w:sz w:val="22"/>
          <w:szCs w:val="22"/>
        </w:rPr>
        <w:t>uman</w:t>
      </w:r>
      <w:r w:rsidR="00F172DB"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F172DB">
        <w:rPr>
          <w:rFonts w:ascii="Times New Roman" w:hAnsi="Times New Roman" w:cs="Times New Roman"/>
          <w:caps/>
          <w:sz w:val="22"/>
          <w:szCs w:val="22"/>
        </w:rPr>
        <w:t>A</w:t>
      </w:r>
      <w:r w:rsidR="00F172DB">
        <w:rPr>
          <w:rFonts w:ascii="Times New Roman" w:hAnsi="Times New Roman" w:cs="Times New Roman"/>
          <w:sz w:val="22"/>
          <w:szCs w:val="22"/>
        </w:rPr>
        <w:t>lbumin</w:t>
      </w:r>
      <w:r w:rsidR="006C6588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proofErr w:type="spellStart"/>
      <w:r w:rsidR="00F172DB">
        <w:rPr>
          <w:rFonts w:ascii="Times New Roman" w:hAnsi="Times New Roman" w:cs="Times New Roman"/>
          <w:caps/>
          <w:sz w:val="22"/>
          <w:szCs w:val="22"/>
        </w:rPr>
        <w:t>G</w:t>
      </w:r>
      <w:r w:rsidR="00F172DB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192EE3">
        <w:rPr>
          <w:rFonts w:ascii="Times New Roman" w:hAnsi="Times New Roman" w:cs="Times New Roman"/>
          <w:sz w:val="22"/>
          <w:szCs w:val="22"/>
          <w:lang w:val="el-GR"/>
        </w:rPr>
        <w:t xml:space="preserve">είναι ένα διάλυμα που περιέχει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200g</w:t>
      </w:r>
      <w:r w:rsidRPr="00192EE3">
        <w:rPr>
          <w:rFonts w:ascii="Times New Roman" w:hAnsi="Times New Roman" w:cs="Times New Roman"/>
          <w:sz w:val="22"/>
          <w:szCs w:val="22"/>
          <w:lang w:val="el-GR"/>
        </w:rPr>
        <w:t>/l ολική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πρωτεΐνη </w:t>
      </w:r>
      <w:r w:rsidRPr="00192EE3">
        <w:rPr>
          <w:rFonts w:ascii="Times New Roman" w:hAnsi="Times New Roman" w:cs="Times New Roman"/>
          <w:sz w:val="22"/>
          <w:szCs w:val="22"/>
          <w:lang w:val="el-GR"/>
        </w:rPr>
        <w:t>της οποίας τουλάχιστον το 9</w:t>
      </w:r>
      <w:r>
        <w:rPr>
          <w:rFonts w:ascii="Times New Roman" w:hAnsi="Times New Roman" w:cs="Times New Roman"/>
          <w:sz w:val="22"/>
          <w:szCs w:val="22"/>
          <w:lang w:val="el-GR"/>
        </w:rPr>
        <w:t>5</w:t>
      </w:r>
      <w:r w:rsidRPr="00192EE3">
        <w:rPr>
          <w:rFonts w:ascii="Times New Roman" w:hAnsi="Times New Roman" w:cs="Times New Roman"/>
          <w:sz w:val="22"/>
          <w:szCs w:val="22"/>
          <w:lang w:val="el-GR"/>
        </w:rPr>
        <w:t>% είναι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ανθρώπινη λευκωματίνη.</w:t>
      </w:r>
    </w:p>
    <w:p w:rsidR="00192EE3" w:rsidRPr="00192EE3" w:rsidRDefault="00192EE3" w:rsidP="005832FB">
      <w:pPr>
        <w:tabs>
          <w:tab w:val="left" w:pos="142"/>
          <w:tab w:val="left" w:pos="567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>Ένα φιαλίδιο των 50 ml περιέχει 10 g ανθρώπινης λευκωματίνης.</w:t>
      </w:r>
    </w:p>
    <w:p w:rsidR="00192EE3" w:rsidRPr="00192EE3" w:rsidRDefault="00192EE3" w:rsidP="005832FB">
      <w:pPr>
        <w:tabs>
          <w:tab w:val="left" w:pos="142"/>
          <w:tab w:val="left" w:pos="567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>Ένα φιαλίδιο των 100 ml περιέχει 20 g ανθρώπινης λευκωματίνης.</w:t>
      </w:r>
    </w:p>
    <w:p w:rsidR="00192EE3" w:rsidRPr="00BF1164" w:rsidRDefault="00192EE3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F172DB">
        <w:rPr>
          <w:rFonts w:ascii="Times New Roman" w:hAnsi="Times New Roman" w:cs="Times New Roman"/>
          <w:caps/>
          <w:sz w:val="22"/>
          <w:szCs w:val="22"/>
        </w:rPr>
        <w:t>H</w:t>
      </w:r>
      <w:r w:rsidR="00F172DB">
        <w:rPr>
          <w:rFonts w:ascii="Times New Roman" w:hAnsi="Times New Roman" w:cs="Times New Roman"/>
          <w:sz w:val="22"/>
          <w:szCs w:val="22"/>
        </w:rPr>
        <w:t>uman</w:t>
      </w:r>
      <w:r w:rsidR="00F172DB"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F172DB">
        <w:rPr>
          <w:rFonts w:ascii="Times New Roman" w:hAnsi="Times New Roman" w:cs="Times New Roman"/>
          <w:caps/>
          <w:sz w:val="22"/>
          <w:szCs w:val="22"/>
        </w:rPr>
        <w:t>A</w:t>
      </w:r>
      <w:r w:rsidR="00F172DB">
        <w:rPr>
          <w:rFonts w:ascii="Times New Roman" w:hAnsi="Times New Roman" w:cs="Times New Roman"/>
          <w:sz w:val="22"/>
          <w:szCs w:val="22"/>
        </w:rPr>
        <w:t>lbumin</w:t>
      </w:r>
      <w:r w:rsidR="006C6588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proofErr w:type="spellStart"/>
      <w:r w:rsidR="00F172DB">
        <w:rPr>
          <w:rFonts w:ascii="Times New Roman" w:hAnsi="Times New Roman" w:cs="Times New Roman"/>
          <w:caps/>
          <w:sz w:val="22"/>
          <w:szCs w:val="22"/>
        </w:rPr>
        <w:t>G</w:t>
      </w:r>
      <w:r w:rsidR="00F172DB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 w:rsidRPr="00664A51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έχει υπερογκωτική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δράση</w:t>
      </w:r>
    </w:p>
    <w:p w:rsidR="00F233F6" w:rsidRPr="00510549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Το διάλυμα περιέχει 130-160 </w:t>
      </w:r>
      <w:proofErr w:type="spellStart"/>
      <w:r w:rsidRPr="00510549">
        <w:rPr>
          <w:rFonts w:ascii="Times New Roman" w:hAnsi="Times New Roman" w:cs="Times New Roman"/>
          <w:sz w:val="22"/>
          <w:szCs w:val="22"/>
        </w:rPr>
        <w:t>mmol</w:t>
      </w:r>
      <w:proofErr w:type="spellEnd"/>
      <w:r w:rsidR="00192EE3" w:rsidRPr="006E1CE0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192EE3" w:rsidRPr="006E1CE0">
        <w:rPr>
          <w:rFonts w:ascii="Times New Roman" w:hAnsi="Times New Roman" w:cs="Times New Roman"/>
          <w:sz w:val="22"/>
          <w:szCs w:val="22"/>
        </w:rPr>
        <w:t>l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νατρίου και όχι </w:t>
      </w:r>
      <w:r w:rsidR="00664A51" w:rsidRPr="00D51E79">
        <w:rPr>
          <w:rFonts w:ascii="Times New Roman" w:hAnsi="Times New Roman" w:cs="Times New Roman"/>
          <w:sz w:val="22"/>
          <w:szCs w:val="22"/>
          <w:lang w:val="el-GR"/>
        </w:rPr>
        <w:t>περισσότερο</w:t>
      </w:r>
      <w:r w:rsidR="00664A51"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από </w:t>
      </w:r>
      <w:r w:rsidRPr="00D51E79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F172DB" w:rsidRPr="00D51E7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D51E79">
        <w:rPr>
          <w:rFonts w:ascii="Times New Roman" w:hAnsi="Times New Roman" w:cs="Times New Roman"/>
          <w:sz w:val="22"/>
          <w:szCs w:val="22"/>
        </w:rPr>
        <w:t>mmol</w:t>
      </w:r>
      <w:proofErr w:type="spellEnd"/>
      <w:r w:rsidR="00192EE3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192EE3" w:rsidRPr="00D51E79">
        <w:rPr>
          <w:rFonts w:ascii="Times New Roman" w:hAnsi="Times New Roman" w:cs="Times New Roman"/>
          <w:sz w:val="22"/>
          <w:szCs w:val="22"/>
        </w:rPr>
        <w:t>l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καλίου.</w:t>
      </w:r>
    </w:p>
    <w:p w:rsidR="00C43BBE" w:rsidRPr="00BF1164" w:rsidRDefault="00C43BBE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92EE3" w:rsidRPr="00BF1164" w:rsidRDefault="00192EE3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>Για τον πλήρη κατάλογο των εκδόχων, βλ. παράγραφο 6.1</w:t>
      </w: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1054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ΦΑΡΜΑΚΟΤΕΧΝΙΚΗ ΜΟΡΦΗ</w:t>
      </w:r>
    </w:p>
    <w:p w:rsidR="00192EE3" w:rsidRPr="00192EE3" w:rsidRDefault="00192EE3" w:rsidP="005832F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2EE3" w:rsidRPr="00192EE3" w:rsidRDefault="00192EE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>Διάλυμα για έγχυση.</w:t>
      </w:r>
    </w:p>
    <w:p w:rsidR="00192EE3" w:rsidRPr="00192EE3" w:rsidRDefault="00192EE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2EE3">
        <w:rPr>
          <w:rFonts w:ascii="Times New Roman" w:hAnsi="Times New Roman" w:cs="Times New Roman"/>
          <w:sz w:val="22"/>
          <w:szCs w:val="22"/>
          <w:lang w:val="el-GR"/>
        </w:rPr>
        <w:t>Ένα διαυγές, ελαφρώς παχύρευστο υγρό, σχεδόν άχρωμο, κίτρινο, κεχριμπαρένιο ή πράσινο.</w:t>
      </w: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4.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ΚΛΙΝΙΚ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ΕΣ 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ΠΛΗΡΟΦΟΡΙΕΣ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BF1164" w:rsidRDefault="00F233F6" w:rsidP="00510549">
      <w:pPr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Θεραπευτικές ενδείξεις</w:t>
      </w:r>
    </w:p>
    <w:p w:rsidR="00192EE3" w:rsidRPr="00510549" w:rsidRDefault="00192EE3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192EE3" w:rsidRPr="0054551F" w:rsidRDefault="00192EE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Αποκατάσταση και διατήρηση του κυκλοφορούντος όγκου αίματος όταν έχει αποδειχθεί η 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έλλειψη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του όγκου και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E1CE0" w:rsidRPr="00664A51">
        <w:rPr>
          <w:rFonts w:ascii="Times New Roman" w:hAnsi="Times New Roman" w:cs="Times New Roman"/>
          <w:sz w:val="22"/>
          <w:szCs w:val="22"/>
          <w:lang w:val="el-GR"/>
        </w:rPr>
        <w:t>ενδείκνυται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η χρήση ενός κολλοειδούς.</w:t>
      </w:r>
    </w:p>
    <w:p w:rsidR="00192EE3" w:rsidRPr="0054551F" w:rsidRDefault="00192EE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92EE3" w:rsidRPr="0054551F" w:rsidRDefault="00192EE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Η επιλογή της λευκωματίνης αντί ενός τεχνητού κολλοειδούς θα εξαρτηθεί από την κλινική κατάσταση του συγκεκριμένο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υ ασθενή, βάσει επίσημων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συστάσεων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C43BBE" w:rsidRPr="00510549" w:rsidRDefault="00C43BBE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4.2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>Δοσολογία και τρόπος χορήγησης</w:t>
      </w:r>
    </w:p>
    <w:p w:rsidR="00F172DB" w:rsidRPr="00D51E79" w:rsidRDefault="00F172DB" w:rsidP="005832F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192EE3" w:rsidRPr="00BF1164" w:rsidRDefault="00192EE3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Η συγκέντρωση του σκευάσματος λευκωματίνης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, η δοσολογία και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ο ρυθμός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έγχυσης </w:t>
      </w:r>
      <w:r w:rsidR="00F26C86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θα 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πρέπει να προσαρμόζονται στις </w:t>
      </w:r>
      <w:r w:rsidR="000F68DC">
        <w:rPr>
          <w:rFonts w:ascii="Times New Roman" w:hAnsi="Times New Roman" w:cs="Times New Roman"/>
          <w:sz w:val="22"/>
          <w:szCs w:val="22"/>
          <w:lang w:val="el-GR"/>
        </w:rPr>
        <w:t>εξατομικευμένες</w:t>
      </w:r>
      <w:r w:rsidR="000F68DC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ανάγκες του 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>ασθενή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172DB" w:rsidRPr="00BF1164" w:rsidRDefault="00F233F6" w:rsidP="00510549">
      <w:pPr>
        <w:ind w:left="60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Δοσολογία</w:t>
      </w:r>
      <w:r w:rsidR="006C6588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192EE3" w:rsidRPr="00BF1164" w:rsidRDefault="00192EE3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Η απαιτούμενη δόση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εξαρτάται από το μέγεθος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του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ασθενή,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τη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σοβαρότητα του τραύματος ή της ασθένειας και από τις συνεχιζόμενες απώλειες υγρών και πρωτεϊνών. 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>Για τον καθορισμό της απαιτούμενης δόσης πρέπε</w:t>
      </w:r>
      <w:r w:rsidR="00321864" w:rsidRPr="00664A51">
        <w:rPr>
          <w:rFonts w:ascii="Times New Roman" w:hAnsi="Times New Roman" w:cs="Times New Roman"/>
          <w:sz w:val="22"/>
          <w:szCs w:val="22"/>
          <w:lang w:val="el-GR"/>
        </w:rPr>
        <w:t>ι να διενεργούνται μετρήσεις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της</w:t>
      </w:r>
      <w:r w:rsidR="00321864"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επάρκεια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="00321864"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του 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>κυκλοφορούντος όγκου και όχι των επιπέδων λευκωματίνης στο πλάσμα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321864" w:rsidRPr="0054551F" w:rsidRDefault="00321864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Εάν πρόκειται να χορηγηθεί ανθρώπινη λευκωματίνη, πρέπει να ελέγχεται σε τακτά χρονικά διαστήματα </w:t>
      </w:r>
      <w:r w:rsidRPr="003F568F">
        <w:rPr>
          <w:rFonts w:ascii="Times New Roman" w:hAnsi="Times New Roman" w:cs="Times New Roman"/>
          <w:sz w:val="22"/>
          <w:szCs w:val="22"/>
          <w:lang w:val="el-GR"/>
        </w:rPr>
        <w:t>η αιμοδυναμική κατάσταση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. Ο έλεγχος μπορεί να περιλαμβάνει:</w:t>
      </w:r>
    </w:p>
    <w:p w:rsidR="00321864" w:rsidRPr="00664A51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664A51">
        <w:rPr>
          <w:sz w:val="22"/>
          <w:szCs w:val="22"/>
          <w:lang w:val="el-GR"/>
        </w:rPr>
        <w:t>αρτηριακή πίεση</w:t>
      </w:r>
      <w:r w:rsidR="00664A51" w:rsidRPr="00664A51">
        <w:rPr>
          <w:sz w:val="22"/>
          <w:szCs w:val="22"/>
          <w:lang w:val="el-GR"/>
        </w:rPr>
        <w:t xml:space="preserve"> του αίματος</w:t>
      </w:r>
      <w:r w:rsidRPr="00664A51">
        <w:rPr>
          <w:sz w:val="22"/>
          <w:szCs w:val="22"/>
          <w:lang w:val="el-GR"/>
        </w:rPr>
        <w:t xml:space="preserve"> και </w:t>
      </w:r>
      <w:r w:rsidR="00664A51" w:rsidRPr="00664A51">
        <w:rPr>
          <w:sz w:val="22"/>
          <w:szCs w:val="22"/>
          <w:lang w:val="el-GR"/>
        </w:rPr>
        <w:t>αριθμό παλμών ανά λεπτό</w:t>
      </w:r>
    </w:p>
    <w:p w:rsidR="00321864" w:rsidRPr="0054551F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πίεση κεντρικής φλέβας</w:t>
      </w:r>
    </w:p>
    <w:p w:rsidR="00321864" w:rsidRPr="0054551F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πίεση ενσφήνωσης της πνευμονικής αρτηρίας</w:t>
      </w:r>
    </w:p>
    <w:p w:rsidR="00321864" w:rsidRPr="0054551F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εξαγόμενη ποσότητα των ούρων</w:t>
      </w:r>
    </w:p>
    <w:p w:rsidR="00321864" w:rsidRPr="0054551F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ηλεκτρολύτες</w:t>
      </w:r>
    </w:p>
    <w:p w:rsidR="00321864" w:rsidRPr="0054551F" w:rsidRDefault="00321864" w:rsidP="005832FB">
      <w:pPr>
        <w:pStyle w:val="a6"/>
        <w:numPr>
          <w:ilvl w:val="0"/>
          <w:numId w:val="6"/>
        </w:numPr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lastRenderedPageBreak/>
        <w:t xml:space="preserve">αιματοκρίτη/αιμοσφαιρίνη </w:t>
      </w:r>
    </w:p>
    <w:p w:rsidR="00F233F6" w:rsidRDefault="00F233F6">
      <w:pPr>
        <w:pStyle w:val="a3"/>
        <w:rPr>
          <w:rFonts w:ascii="Times New Roman" w:hAnsi="Times New Roman" w:cs="Times New Roman"/>
          <w:lang w:val="el-GR"/>
        </w:rPr>
      </w:pPr>
    </w:p>
    <w:p w:rsidR="00CD7632" w:rsidRPr="00510549" w:rsidRDefault="00CD7632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Τρόπος χορήγησης </w:t>
      </w:r>
    </w:p>
    <w:p w:rsidR="00F172DB" w:rsidRPr="00D51E79" w:rsidRDefault="00F172DB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ES"/>
        </w:rPr>
      </w:pPr>
    </w:p>
    <w:p w:rsidR="00EC2DF5" w:rsidRPr="00664A51" w:rsidRDefault="00CD7632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sz w:val="22"/>
          <w:szCs w:val="22"/>
          <w:lang w:val="el-GR"/>
        </w:rPr>
        <w:t>Η ανθρώπινη λευκωματίνη μπορεί να χορηγηθεί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κατευθείαν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διά της ενδοφλέβιας οδού </w:t>
      </w:r>
      <w:r w:rsidR="00664A51">
        <w:rPr>
          <w:rFonts w:ascii="Times New Roman" w:hAnsi="Times New Roman" w:cs="Times New Roman"/>
          <w:sz w:val="22"/>
          <w:szCs w:val="22"/>
          <w:lang w:val="el-GR"/>
        </w:rPr>
        <w:t xml:space="preserve">ή μπορεί επίσης να αραιωθεί 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σε ισότονο διάλυμα (π.χ. γλυκόζη 5% ή χλωριούχο νάτριο 0,9%). </w:t>
      </w:r>
    </w:p>
    <w:p w:rsidR="00EC2DF5" w:rsidRPr="00BF1164" w:rsidRDefault="00CD7632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sz w:val="22"/>
          <w:szCs w:val="22"/>
          <w:lang w:val="el-GR"/>
        </w:rPr>
        <w:t>Ο ρυθμός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έγχυ</w:t>
      </w:r>
      <w:r w:rsidR="00664A51" w:rsidRPr="00BF1164">
        <w:rPr>
          <w:rFonts w:ascii="Times New Roman" w:hAnsi="Times New Roman" w:cs="Times New Roman"/>
          <w:sz w:val="22"/>
          <w:szCs w:val="22"/>
          <w:lang w:val="el-GR"/>
        </w:rPr>
        <w:t>σης πρέπει να προσαρμόζεται στη συγκεκριμένη περίπτωση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ι στην ένδειξη. </w:t>
      </w:r>
    </w:p>
    <w:p w:rsidR="00CD7632" w:rsidRPr="0054551F" w:rsidRDefault="00CD7632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Κατά την ανταλλαγή πλάσματος ο ρυθμός έγχυσης πρέπει να προσαρμόζεται</w:t>
      </w:r>
      <w:r w:rsidR="00F26C86">
        <w:rPr>
          <w:rFonts w:ascii="Times New Roman" w:hAnsi="Times New Roman" w:cs="Times New Roman"/>
          <w:sz w:val="22"/>
          <w:szCs w:val="22"/>
          <w:lang w:val="el-GR"/>
        </w:rPr>
        <w:t xml:space="preserve"> ανάλογα με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ρυθμό απομάκρυνσης.</w:t>
      </w:r>
    </w:p>
    <w:p w:rsidR="00EC2DF5" w:rsidRPr="0054551F" w:rsidRDefault="00EC2DF5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Για περισσότερες πληροφορίες βλέπε παράγραφο 6.6.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4.3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>Αντενδείξεις</w:t>
      </w:r>
    </w:p>
    <w:p w:rsidR="00A2424E" w:rsidRDefault="00A2424E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EC2DF5" w:rsidRPr="0054551F" w:rsidRDefault="00EC2DF5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Υπερευαισθησία στα σκευάσματα λευκωματίνης ή σε οποιοδήποτε από τα έκδοχα</w:t>
      </w:r>
      <w:r w:rsidRPr="0054551F" w:rsidDel="00EC2DF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EC2DF5" w:rsidRPr="0054551F" w:rsidRDefault="00EC2DF5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EC2DF5" w:rsidRPr="0054551F" w:rsidRDefault="00EC2DF5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Βλέπε ειδικές προειδοποιήσεις σχετικά με τα έκδοχα, παράγραφος 4.4.</w:t>
      </w:r>
    </w:p>
    <w:p w:rsidR="00F233F6" w:rsidRPr="00EC2DF5" w:rsidRDefault="00F233F6" w:rsidP="005832FB">
      <w:pPr>
        <w:ind w:left="720"/>
        <w:jc w:val="both"/>
        <w:rPr>
          <w:rFonts w:ascii="Times New Roman" w:hAnsi="Times New Roman" w:cs="Times New Roman"/>
          <w:lang w:val="el-GR"/>
        </w:rPr>
      </w:pPr>
    </w:p>
    <w:p w:rsidR="00EC2DF5" w:rsidRPr="00EC2DF5" w:rsidRDefault="00F233F6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4.4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EC2DF5" w:rsidRPr="00EC2DF5">
        <w:rPr>
          <w:rFonts w:ascii="Times New Roman" w:hAnsi="Times New Roman" w:cs="Times New Roman"/>
          <w:b/>
          <w:bCs/>
          <w:sz w:val="22"/>
          <w:szCs w:val="22"/>
          <w:lang w:val="el-GR"/>
        </w:rPr>
        <w:t>Ειδικές προειδοποιήσεις και προφυλάξεις κατά τη χρήση</w:t>
      </w:r>
    </w:p>
    <w:p w:rsidR="00F233F6" w:rsidRDefault="00F233F6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2A773C" w:rsidRPr="0054551F" w:rsidRDefault="002A773C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Εάν υπάρχουν υπόνοιες για αλλεργικές ή αναφυλακτικού τύπου αντιδράσεις, η έγχυση πρέπει να διακόπτεται αμέσως. Σε περίπτωση καταπληξίας, πρέπει να ακολουθούνται οι ισχύουσες ιατρικές οδηγίες για την αντιμετώπιση της καταπληξίας. </w:t>
      </w:r>
    </w:p>
    <w:p w:rsidR="002A773C" w:rsidRPr="0054551F" w:rsidRDefault="002A773C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A773C" w:rsidRPr="00BF1164" w:rsidRDefault="002A773C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Η λευκωματίνη πρέπει να χρησιμοποιείται με προσοχή σε </w:t>
      </w:r>
      <w:r w:rsidR="007922C5">
        <w:rPr>
          <w:rFonts w:ascii="Times New Roman" w:hAnsi="Times New Roman" w:cs="Times New Roman"/>
          <w:sz w:val="22"/>
          <w:szCs w:val="22"/>
          <w:lang w:val="el-GR"/>
        </w:rPr>
        <w:t>περιπτώσεις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στις οποίες η υπερογκαιμία και οι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συνέπειές της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ή η αιμοαραίωση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είναι δυνατόν να αποτελούν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ιδιαίτερ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>ο κίνδυνο για τον ασθενή.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Παραδείγματα τέτοιων καταστάσεων είναι:</w:t>
      </w:r>
    </w:p>
    <w:p w:rsidR="002A773C" w:rsidRPr="0054551F" w:rsidRDefault="002A773C" w:rsidP="005832FB">
      <w:pPr>
        <w:pStyle w:val="a6"/>
        <w:numPr>
          <w:ilvl w:val="0"/>
          <w:numId w:val="8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Μη αντιρροπούμενη καρδιακή ανεπάρκεια</w:t>
      </w:r>
    </w:p>
    <w:p w:rsidR="002A773C" w:rsidRPr="00BF1164" w:rsidRDefault="002A773C" w:rsidP="00510549">
      <w:pPr>
        <w:pStyle w:val="a6"/>
        <w:numPr>
          <w:ilvl w:val="0"/>
          <w:numId w:val="10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BF1164">
        <w:rPr>
          <w:sz w:val="22"/>
          <w:szCs w:val="22"/>
          <w:lang w:val="el-GR"/>
        </w:rPr>
        <w:t>Υπέρταση</w:t>
      </w:r>
    </w:p>
    <w:p w:rsidR="002A773C" w:rsidRPr="00F26C86" w:rsidRDefault="00F26C86" w:rsidP="005832FB">
      <w:pPr>
        <w:pStyle w:val="a6"/>
        <w:numPr>
          <w:ilvl w:val="0"/>
          <w:numId w:val="10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F26C86">
        <w:rPr>
          <w:sz w:val="22"/>
          <w:szCs w:val="22"/>
          <w:lang w:val="el-GR"/>
        </w:rPr>
        <w:t>Κ</w:t>
      </w:r>
      <w:r w:rsidR="002A773C" w:rsidRPr="00F26C86">
        <w:rPr>
          <w:sz w:val="22"/>
          <w:szCs w:val="22"/>
          <w:lang w:val="el-GR"/>
        </w:rPr>
        <w:t>ιρσοί</w:t>
      </w:r>
      <w:r w:rsidRPr="00F26C86">
        <w:rPr>
          <w:sz w:val="22"/>
          <w:szCs w:val="22"/>
          <w:lang w:val="el-GR"/>
        </w:rPr>
        <w:t xml:space="preserve"> οισοφάγου</w:t>
      </w:r>
      <w:r w:rsidR="002A773C" w:rsidRPr="00F26C86">
        <w:rPr>
          <w:sz w:val="22"/>
          <w:szCs w:val="22"/>
          <w:lang w:val="el-GR"/>
        </w:rPr>
        <w:t xml:space="preserve"> </w:t>
      </w:r>
    </w:p>
    <w:p w:rsidR="002A773C" w:rsidRPr="00BF1164" w:rsidRDefault="002A773C" w:rsidP="00510549">
      <w:pPr>
        <w:pStyle w:val="a6"/>
        <w:numPr>
          <w:ilvl w:val="0"/>
          <w:numId w:val="14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BF1164">
        <w:rPr>
          <w:sz w:val="22"/>
          <w:szCs w:val="22"/>
          <w:lang w:val="el-GR"/>
        </w:rPr>
        <w:t>Πνευμονικό οίδημα</w:t>
      </w:r>
    </w:p>
    <w:p w:rsidR="002A773C" w:rsidRPr="00BF1164" w:rsidRDefault="002A773C" w:rsidP="00510549">
      <w:pPr>
        <w:pStyle w:val="a6"/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BF1164">
        <w:rPr>
          <w:sz w:val="22"/>
          <w:szCs w:val="22"/>
          <w:lang w:val="el-GR"/>
        </w:rPr>
        <w:t>Αιμορραγική διάθεση</w:t>
      </w:r>
    </w:p>
    <w:p w:rsidR="002A773C" w:rsidRPr="00510549" w:rsidRDefault="002A773C" w:rsidP="00510549">
      <w:pPr>
        <w:pStyle w:val="a6"/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510549">
        <w:rPr>
          <w:sz w:val="22"/>
          <w:szCs w:val="22"/>
          <w:lang w:val="el-GR"/>
        </w:rPr>
        <w:t>Σοβαρή αναιμία</w:t>
      </w:r>
    </w:p>
    <w:p w:rsidR="002A773C" w:rsidRPr="0054551F" w:rsidRDefault="002A773C" w:rsidP="005832FB">
      <w:pPr>
        <w:pStyle w:val="a6"/>
        <w:numPr>
          <w:ilvl w:val="0"/>
          <w:numId w:val="20"/>
        </w:numPr>
        <w:tabs>
          <w:tab w:val="left" w:pos="1080"/>
        </w:tabs>
        <w:ind w:left="720" w:firstLine="0"/>
        <w:jc w:val="both"/>
        <w:rPr>
          <w:sz w:val="22"/>
          <w:szCs w:val="22"/>
          <w:lang w:val="el-GR"/>
        </w:rPr>
      </w:pPr>
      <w:r w:rsidRPr="0054551F">
        <w:rPr>
          <w:sz w:val="22"/>
          <w:szCs w:val="22"/>
          <w:lang w:val="el-GR"/>
        </w:rPr>
        <w:t>Νεφρική και μετά-νεφρική ανουρία</w:t>
      </w:r>
    </w:p>
    <w:p w:rsidR="002A773C" w:rsidRDefault="002A773C" w:rsidP="00D51E79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A773C" w:rsidRPr="00BF1164" w:rsidRDefault="002A773C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Η κολλοειδωσμωτική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πίεση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της ανθρώπινης λευκωματίνης 20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0g/l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είναι περίπου τετραπλάσια αυτής του πλάσματος</w:t>
      </w:r>
      <w:r w:rsidR="00F26C86"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του αίματος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>Επομένως,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όταν χορηγείται συμπυκνωμένη λευκωματίνη, πρέπει να 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>δίδεται προσοχή στη διασφάλιση της επαρκούς ενυδάτωσης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του ασθενούς. Οι ασθενείς πρέπει να παρακολουθούνται</w:t>
      </w:r>
      <w:r w:rsidR="00F26C86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προσεκτικά ώστε να προφυλάσσονται από την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κυκλοφορική υπερφόρτωση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και </w:t>
      </w:r>
      <w:r w:rsidR="00F26C86" w:rsidRPr="00BF1164">
        <w:rPr>
          <w:rFonts w:ascii="Times New Roman" w:hAnsi="Times New Roman" w:cs="Times New Roman"/>
          <w:sz w:val="22"/>
          <w:szCs w:val="22"/>
          <w:lang w:val="el-GR"/>
        </w:rPr>
        <w:t>την υπερενυδάτωση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2A773C" w:rsidRPr="00510549" w:rsidRDefault="002A773C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A773C" w:rsidRPr="00BF1164" w:rsidRDefault="002A773C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Τα διαλύματα</w:t>
      </w:r>
      <w:r w:rsidR="002C0A08"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ανθρώπινης λευκωματίνης 200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g/l περιέχουν σχετικά λιγότερους ηλεκτρολύτες σε σύγκριση με τα διαλύματα ανθρώπινης λευκωματίνης 40-50g/l. Όταν χορηγείται λευκωματίνη, πρέπει να παρακολουθείται η κατάσταση των ηλεκτρολυτών του ασθενή (βλ. παράγραφο 4.2) και να λαμβάνονται κατάλληλα μέτρα για την αποκατάσταση ή τη διατήρηση της ισορροπίας των ηλεκτρολυτών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960A06" w:rsidRPr="004B0DFD" w:rsidRDefault="00960A06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C0A08" w:rsidRPr="0054551F" w:rsidRDefault="002C0A08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Τα διαλύματα λευκωματίνης δεν πρέπει να αραιώνονται με ύδωρ για ενέσιμα διότι αυτό είναι δυνατόν να προκαλέσει αιμόλυση στους λήπτες.</w:t>
      </w:r>
    </w:p>
    <w:p w:rsidR="002C0A08" w:rsidRPr="00BF1164" w:rsidRDefault="002C0A08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C0A08" w:rsidRPr="00BF1164" w:rsidRDefault="002C0A08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Εάν πρόκειται να αντικατασταθούν σχετικά </w:t>
      </w:r>
      <w:r w:rsidRPr="00D51E79">
        <w:rPr>
          <w:rFonts w:ascii="Times New Roman" w:hAnsi="Times New Roman" w:cs="Times New Roman"/>
          <w:sz w:val="22"/>
          <w:szCs w:val="22"/>
          <w:lang w:val="el-GR"/>
        </w:rPr>
        <w:t>μεγάλοι όγκοι,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είναι αναγκαία η διενέργεια ελέγχων της πήξης και του αιματοκρίτη. Πρέπει να λαμβάνεται μέριμνα</w:t>
      </w:r>
      <w:r w:rsidRPr="00510549">
        <w:rPr>
          <w:rFonts w:ascii="Times New Roman" w:hAnsi="Times New Roman" w:cs="Times New Roman"/>
          <w:lang w:val="el-GR"/>
        </w:rPr>
        <w:t xml:space="preserve">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ώστε να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lastRenderedPageBreak/>
        <w:t>διασφαλιστεί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η επαρκής υποκατάσταση των άλλων συστατικών του αίματος (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παράγοντες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πήξης,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ηλεκτρολύτες, αιμοπετάλια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και ερυθροκύτταρα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)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4A27DD" w:rsidRDefault="004A27DD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A27DD" w:rsidRPr="0054551F" w:rsidRDefault="004A27DD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Μπορεί να εμφανιστεί υπερογκαιμία εάν η δοσολογία και ο ρυθμός έγχυσης δεν έχουν προσαρμοστεί στην κυκλοφορική κατάσταση του ασθενούς. Με τα πρώτα κλινικά σημεία καρδιαγγειακής υπερφόρτωσης (κεφαλαλγία, δύσπνοια, συμφόρηση της σφαγίτιδας φλέβας) ή </w:t>
      </w:r>
      <w:r w:rsidR="00F26C86">
        <w:rPr>
          <w:rFonts w:ascii="Times New Roman" w:hAnsi="Times New Roman" w:cs="Times New Roman"/>
          <w:sz w:val="22"/>
          <w:szCs w:val="22"/>
          <w:lang w:val="el-GR"/>
        </w:rPr>
        <w:t>αυξημένης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πίεσης του αίματος, αυξημένης φλεβικής πίεσης </w:t>
      </w:r>
      <w:r w:rsidR="00F26C86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πνευμονικού οιδήματος, η έγχυση πρέπει να διακόπτεται αμέσως.</w:t>
      </w:r>
    </w:p>
    <w:p w:rsidR="00594677" w:rsidRDefault="00594677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94677" w:rsidRPr="0054551F" w:rsidRDefault="00954992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Στα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καθιερωμένα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μέτρα για την πρόληψη των λοιμώξεων που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προκαλούνται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από τη χρήση φαρμακευτικών προϊόντων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που παράγονται 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>από ανθρώπινο αίμα ή πλάσμα</w:t>
      </w:r>
      <w:r w:rsidR="00594677"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συμ</w:t>
      </w:r>
      <w:r w:rsidR="00594677" w:rsidRPr="0054551F">
        <w:rPr>
          <w:rFonts w:ascii="Times New Roman" w:hAnsi="Times New Roman" w:cs="Times New Roman"/>
          <w:sz w:val="22"/>
          <w:szCs w:val="22"/>
          <w:lang w:val="el-GR"/>
        </w:rPr>
        <w:t>περιλαμβάνο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νται η </w:t>
      </w:r>
      <w:r w:rsidR="00594677" w:rsidRPr="0054551F">
        <w:rPr>
          <w:rFonts w:ascii="Times New Roman" w:hAnsi="Times New Roman" w:cs="Times New Roman"/>
          <w:sz w:val="22"/>
          <w:szCs w:val="22"/>
          <w:lang w:val="el-GR"/>
        </w:rPr>
        <w:t>επιλογή των δοτών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>,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ο 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>έλεγχο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των μεμονωμένων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δωρεών</w:t>
      </w:r>
      <w:r w:rsidR="00594677"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και τ</w:t>
      </w:r>
      <w:r w:rsidR="00594677" w:rsidRPr="0054551F">
        <w:rPr>
          <w:rFonts w:ascii="Times New Roman" w:hAnsi="Times New Roman" w:cs="Times New Roman"/>
          <w:sz w:val="22"/>
          <w:szCs w:val="22"/>
          <w:lang w:val="el-GR"/>
        </w:rPr>
        <w:t>ων δεξαμενών πλάσματος για ειδικούς δείκτες λοιμώξεων και η εφαρμογή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σταδίων  </w:t>
      </w:r>
      <w:r w:rsidRPr="00954992">
        <w:rPr>
          <w:rFonts w:ascii="Times New Roman" w:hAnsi="Times New Roman" w:cs="Times New Roman"/>
          <w:sz w:val="22"/>
          <w:szCs w:val="22"/>
          <w:lang w:val="el-GR"/>
        </w:rPr>
        <w:t>διασφάλιση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ς </w:t>
      </w:r>
      <w:r w:rsidR="00594677"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κατά την παραγωγική διαδικασία, για  την αδρανοποίηση/ απομάκρυνση των ιών.  Παρ’ όλα αυτά, όταν χορηγούνται φαρμακευτικά προϊόντα παρασκευασμένα από ανθρώπινο αίμα ή πλάσμα, η πιθανότητα μετάδοσης λοιμογόνων παραγόντων δεν μπορεί να αποκλειστεί εντελώς. Αυτό ισχύει επίσης για άγνωστους ή νεοαναδυόμενους ιούς και άλλους παθογόνους παράγοντες. </w:t>
      </w:r>
    </w:p>
    <w:p w:rsidR="00594677" w:rsidRPr="00510549" w:rsidRDefault="00594677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94677" w:rsidRPr="0054551F" w:rsidRDefault="00594677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>Δεν υπάρχουν αναφο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ρές μετάδοσης ιών </w:t>
      </w:r>
      <w:r w:rsidR="00F26C86" w:rsidRPr="00F26C86"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Pr="00F26C86">
        <w:rPr>
          <w:rFonts w:ascii="Times New Roman" w:hAnsi="Times New Roman" w:cs="Times New Roman"/>
          <w:sz w:val="22"/>
          <w:szCs w:val="22"/>
          <w:lang w:val="el-GR"/>
        </w:rPr>
        <w:t xml:space="preserve"> την λευκωματίνη π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ου παρασκευάζεται σύμφωνα με τις προδιαγραφές της Ευρωπαϊκής Φαρμακοποιίας </w:t>
      </w:r>
      <w:r w:rsidR="00F26C86">
        <w:rPr>
          <w:rFonts w:ascii="Times New Roman" w:hAnsi="Times New Roman" w:cs="Times New Roman"/>
          <w:sz w:val="22"/>
          <w:szCs w:val="22"/>
          <w:lang w:val="el-GR"/>
        </w:rPr>
        <w:t>με καθιερωμένες παραγωγικές διαδικασίες.</w:t>
      </w:r>
    </w:p>
    <w:p w:rsidR="00594677" w:rsidRDefault="00594677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94677" w:rsidRPr="0054551F" w:rsidRDefault="00594677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Συνιστάται </w:t>
      </w:r>
      <w:r w:rsidR="00954992" w:rsidRPr="00D51E79">
        <w:rPr>
          <w:rFonts w:ascii="Times New Roman" w:hAnsi="Times New Roman" w:cs="Times New Roman"/>
          <w:sz w:val="22"/>
          <w:szCs w:val="22"/>
          <w:lang w:val="el-GR"/>
        </w:rPr>
        <w:t>ιδιαιτέρως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>, κάθε φορά που το Human Albumin</w:t>
      </w:r>
      <w:r w:rsidR="006C6588" w:rsidRPr="00D51E7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Grifols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 w:rsidRPr="0054551F">
        <w:rPr>
          <w:rFonts w:ascii="Times New Roman" w:hAnsi="Times New Roman" w:cs="Times New Roman"/>
          <w:sz w:val="22"/>
          <w:szCs w:val="22"/>
          <w:lang w:val="el-GR"/>
        </w:rPr>
        <w:t xml:space="preserve"> χορηγείται σε έναν ασθενή, να καταγράφονται το όνομα και ο αριθμός παρτίδας του προϊόντος, προκειμένου να </w:t>
      </w:r>
      <w:r w:rsidR="001C7846">
        <w:rPr>
          <w:rFonts w:ascii="Times New Roman" w:hAnsi="Times New Roman" w:cs="Times New Roman"/>
          <w:sz w:val="22"/>
          <w:szCs w:val="22"/>
          <w:lang w:val="el-GR"/>
        </w:rPr>
        <w:t>διατηρείται ένα αρχείο όλων των παρτίδων που</w:t>
      </w:r>
      <w:r w:rsidR="00960A06" w:rsidRPr="00D51E7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60A06">
        <w:rPr>
          <w:rFonts w:ascii="Times New Roman" w:hAnsi="Times New Roman" w:cs="Times New Roman"/>
          <w:sz w:val="22"/>
          <w:szCs w:val="22"/>
          <w:lang w:val="el-GR"/>
        </w:rPr>
        <w:t>έχουν χρησιμοποιηθεί.</w:t>
      </w:r>
      <w:r w:rsidR="001C7846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</w:p>
    <w:p w:rsidR="00594677" w:rsidRPr="00D51E79" w:rsidRDefault="00594677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lang w:val="el-GR"/>
        </w:rPr>
      </w:pPr>
    </w:p>
    <w:p w:rsidR="00594677" w:rsidRPr="000B3109" w:rsidRDefault="00664A51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i/>
          <w:sz w:val="22"/>
          <w:szCs w:val="22"/>
          <w:lang w:val="el-GR"/>
        </w:rPr>
      </w:pPr>
      <w:r w:rsidRPr="000B3109">
        <w:rPr>
          <w:rFonts w:ascii="Times New Roman" w:hAnsi="Times New Roman" w:cs="Times New Roman"/>
          <w:i/>
          <w:sz w:val="22"/>
          <w:szCs w:val="22"/>
          <w:lang w:val="el-GR"/>
        </w:rPr>
        <w:t>Ειδική</w:t>
      </w:r>
      <w:r w:rsidR="00594677" w:rsidRPr="000B3109">
        <w:rPr>
          <w:rFonts w:ascii="Times New Roman" w:hAnsi="Times New Roman" w:cs="Times New Roman"/>
          <w:i/>
          <w:sz w:val="22"/>
          <w:szCs w:val="22"/>
          <w:lang w:val="el-GR"/>
        </w:rPr>
        <w:t xml:space="preserve"> προειδοπο</w:t>
      </w:r>
      <w:r w:rsidRPr="000B3109">
        <w:rPr>
          <w:rFonts w:ascii="Times New Roman" w:hAnsi="Times New Roman" w:cs="Times New Roman"/>
          <w:i/>
          <w:sz w:val="22"/>
          <w:szCs w:val="22"/>
          <w:lang w:val="el-GR"/>
        </w:rPr>
        <w:t>ίηση</w:t>
      </w:r>
      <w:r w:rsidR="00594677" w:rsidRPr="000B3109">
        <w:rPr>
          <w:rFonts w:ascii="Times New Roman" w:hAnsi="Times New Roman" w:cs="Times New Roman"/>
          <w:i/>
          <w:sz w:val="22"/>
          <w:szCs w:val="22"/>
          <w:lang w:val="el-GR"/>
        </w:rPr>
        <w:t xml:space="preserve"> σχετικά με τα έκδοχα</w:t>
      </w:r>
      <w:r w:rsidR="00F172DB" w:rsidRPr="000B3109">
        <w:rPr>
          <w:rFonts w:ascii="Times New Roman" w:hAnsi="Times New Roman" w:cs="Times New Roman"/>
          <w:i/>
          <w:sz w:val="22"/>
          <w:szCs w:val="22"/>
          <w:lang w:val="el-GR"/>
        </w:rPr>
        <w:t>:</w:t>
      </w:r>
    </w:p>
    <w:p w:rsidR="002611D5" w:rsidRPr="00BF2BB9" w:rsidRDefault="002611D5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highlight w:val="yellow"/>
          <w:lang w:val="el-GR"/>
        </w:rPr>
      </w:pPr>
    </w:p>
    <w:p w:rsidR="002611D5" w:rsidRPr="00664A51" w:rsidRDefault="002611D5" w:rsidP="005832FB">
      <w:pPr>
        <w:pStyle w:val="a7"/>
        <w:tabs>
          <w:tab w:val="clear" w:pos="4153"/>
          <w:tab w:val="clear" w:pos="8306"/>
        </w:tabs>
        <w:ind w:left="720"/>
        <w:jc w:val="both"/>
        <w:rPr>
          <w:rFonts w:ascii="Times New Roman" w:hAnsi="Times New Roman" w:cs="Times New Roman"/>
        </w:rPr>
      </w:pPr>
      <w:r w:rsidRPr="00664A51">
        <w:rPr>
          <w:rFonts w:ascii="Times New Roman" w:hAnsi="Times New Roman" w:cs="Times New Roman"/>
        </w:rPr>
        <w:t>Αυτό το φαρμακευτικό προϊόν  περιέχει 7,3 mmol (166,8 mg) νατρίου ανά φιαλίδιο των 50 ml και 14,5 mmol (333,5 mg) νατρίου ανά φιαλίδιο των 100 ml</w:t>
      </w:r>
      <w:r w:rsidR="00960A06">
        <w:rPr>
          <w:rFonts w:ascii="Times New Roman" w:hAnsi="Times New Roman" w:cs="Times New Roman"/>
        </w:rPr>
        <w:t>.</w:t>
      </w:r>
      <w:r w:rsidR="000B3109" w:rsidRPr="000B3109">
        <w:rPr>
          <w:rFonts w:ascii="Times New Roman" w:hAnsi="Times New Roman" w:cs="Times New Roman"/>
        </w:rPr>
        <w:t xml:space="preserve"> </w:t>
      </w:r>
      <w:r w:rsidR="00960A06">
        <w:rPr>
          <w:rFonts w:ascii="Times New Roman" w:hAnsi="Times New Roman" w:cs="Times New Roman"/>
        </w:rPr>
        <w:t>Π</w:t>
      </w:r>
      <w:r w:rsidR="00960A06" w:rsidRPr="00664A51">
        <w:rPr>
          <w:rFonts w:ascii="Times New Roman" w:hAnsi="Times New Roman" w:cs="Times New Roman"/>
        </w:rPr>
        <w:t xml:space="preserve">ρέπει </w:t>
      </w:r>
      <w:r w:rsidRPr="00664A51">
        <w:rPr>
          <w:rFonts w:ascii="Times New Roman" w:hAnsi="Times New Roman" w:cs="Times New Roman"/>
        </w:rPr>
        <w:t>να λαμβάνεται υπόψη από ασθενείς</w:t>
      </w:r>
      <w:r w:rsidR="00664A51" w:rsidRPr="00664A51">
        <w:rPr>
          <w:rFonts w:ascii="Times New Roman" w:hAnsi="Times New Roman" w:cs="Times New Roman"/>
        </w:rPr>
        <w:t xml:space="preserve"> που ακολουθούν δίαιτα</w:t>
      </w:r>
      <w:r w:rsidRPr="00664A51">
        <w:rPr>
          <w:rFonts w:ascii="Times New Roman" w:hAnsi="Times New Roman" w:cs="Times New Roman"/>
        </w:rPr>
        <w:t xml:space="preserve"> ελεγχόμενη σε νάτριο</w:t>
      </w:r>
      <w:r w:rsidR="003274C2" w:rsidRPr="00664A51">
        <w:rPr>
          <w:rFonts w:ascii="Times New Roman" w:hAnsi="Times New Roman" w:cs="Times New Roman"/>
        </w:rPr>
        <w:t>.</w:t>
      </w:r>
    </w:p>
    <w:p w:rsidR="003274C2" w:rsidRPr="00BF2BB9" w:rsidRDefault="003274C2" w:rsidP="005832FB">
      <w:pPr>
        <w:pStyle w:val="a7"/>
        <w:tabs>
          <w:tab w:val="clear" w:pos="4153"/>
          <w:tab w:val="clear" w:pos="8306"/>
        </w:tabs>
        <w:ind w:left="720"/>
        <w:jc w:val="both"/>
        <w:rPr>
          <w:rFonts w:ascii="Times New Roman" w:hAnsi="Times New Roman" w:cs="Times New Roman"/>
          <w:highlight w:val="yellow"/>
        </w:rPr>
      </w:pPr>
    </w:p>
    <w:p w:rsidR="003274C2" w:rsidRPr="0054551F" w:rsidRDefault="003274C2" w:rsidP="005832FB">
      <w:pPr>
        <w:pStyle w:val="a7"/>
        <w:tabs>
          <w:tab w:val="clear" w:pos="4153"/>
          <w:tab w:val="clear" w:pos="8306"/>
        </w:tabs>
        <w:ind w:left="720"/>
        <w:jc w:val="both"/>
        <w:rPr>
          <w:rFonts w:ascii="Times New Roman" w:hAnsi="Times New Roman" w:cs="Times New Roman"/>
        </w:rPr>
      </w:pPr>
      <w:r w:rsidRPr="00664A51">
        <w:rPr>
          <w:rFonts w:ascii="Times New Roman" w:hAnsi="Times New Roman" w:cs="Times New Roman"/>
        </w:rPr>
        <w:t>Αυτό το φαρμακευτικό προϊόν περιέχει λιγότερο από 1</w:t>
      </w:r>
      <w:r w:rsidR="00F172DB" w:rsidRPr="00D51E79">
        <w:rPr>
          <w:rFonts w:ascii="Times New Roman" w:hAnsi="Times New Roman" w:cs="Times New Roman"/>
        </w:rPr>
        <w:t xml:space="preserve"> </w:t>
      </w:r>
      <w:r w:rsidRPr="00664A51">
        <w:rPr>
          <w:rFonts w:ascii="Times New Roman" w:hAnsi="Times New Roman" w:cs="Times New Roman"/>
        </w:rPr>
        <w:t>mmol (39</w:t>
      </w:r>
      <w:r w:rsidR="00F172DB" w:rsidRPr="00D51E79">
        <w:rPr>
          <w:rFonts w:ascii="Times New Roman" w:hAnsi="Times New Roman" w:cs="Times New Roman"/>
        </w:rPr>
        <w:t xml:space="preserve"> </w:t>
      </w:r>
      <w:r w:rsidRPr="00664A51">
        <w:rPr>
          <w:rFonts w:ascii="Times New Roman" w:hAnsi="Times New Roman" w:cs="Times New Roman"/>
        </w:rPr>
        <w:t>mg) καλίου ανά φιαλίδιο και για αυτό το λόγο μπορεί να θεωρηθεί “ελεύθερο καλίου”</w:t>
      </w:r>
    </w:p>
    <w:p w:rsidR="00220FFF" w:rsidRPr="00BF1164" w:rsidRDefault="00220FFF" w:rsidP="00510549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20FFF" w:rsidRPr="00510549" w:rsidRDefault="00220FFF" w:rsidP="00510549">
      <w:pPr>
        <w:tabs>
          <w:tab w:val="left" w:pos="142"/>
          <w:tab w:val="left" w:pos="720"/>
        </w:tabs>
        <w:ind w:right="-269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4.5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 xml:space="preserve">Αλληλεπιδράσεις με άλλα </w:t>
      </w:r>
      <w:r w:rsidRPr="00220FFF">
        <w:rPr>
          <w:rFonts w:ascii="Times New Roman" w:hAnsi="Times New Roman" w:cs="Times New Roman"/>
          <w:b/>
          <w:bCs/>
          <w:sz w:val="22"/>
          <w:szCs w:val="22"/>
          <w:lang w:val="el-GR"/>
        </w:rPr>
        <w:t>φαρμακευτικά προϊόντα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και άλλες μορφές 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αλληλεπίδρασης</w:t>
      </w:r>
    </w:p>
    <w:p w:rsidR="00220FFF" w:rsidRPr="00220FFF" w:rsidRDefault="00220FFF" w:rsidP="005832FB">
      <w:pPr>
        <w:tabs>
          <w:tab w:val="left" w:pos="142"/>
          <w:tab w:val="left" w:pos="720"/>
        </w:tabs>
        <w:ind w:right="-269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220FFF" w:rsidRPr="00BF1164" w:rsidRDefault="00220FFF" w:rsidP="00510549">
      <w:pPr>
        <w:pStyle w:val="a7"/>
        <w:tabs>
          <w:tab w:val="clear" w:pos="4153"/>
          <w:tab w:val="clear" w:pos="8306"/>
        </w:tabs>
        <w:ind w:left="720"/>
        <w:jc w:val="both"/>
        <w:rPr>
          <w:rFonts w:ascii="Times New Roman" w:hAnsi="Times New Roman" w:cs="Times New Roman"/>
        </w:rPr>
      </w:pPr>
      <w:r w:rsidRPr="00F26C86">
        <w:rPr>
          <w:rFonts w:ascii="Times New Roman" w:hAnsi="Times New Roman" w:cs="Times New Roman"/>
        </w:rPr>
        <w:t>Δεν</w:t>
      </w:r>
      <w:r w:rsidRPr="00BF1164">
        <w:rPr>
          <w:rFonts w:ascii="Times New Roman" w:hAnsi="Times New Roman" w:cs="Times New Roman"/>
        </w:rPr>
        <w:t xml:space="preserve"> είναι </w:t>
      </w:r>
      <w:r w:rsidRPr="00F26C86">
        <w:rPr>
          <w:rFonts w:ascii="Times New Roman" w:hAnsi="Times New Roman" w:cs="Times New Roman"/>
        </w:rPr>
        <w:t xml:space="preserve">γνωστές </w:t>
      </w:r>
      <w:r w:rsidR="00F26C86" w:rsidRPr="00F26C86">
        <w:rPr>
          <w:rFonts w:ascii="Times New Roman" w:hAnsi="Times New Roman" w:cs="Times New Roman"/>
        </w:rPr>
        <w:t>συγκεκριμένες</w:t>
      </w:r>
      <w:r w:rsidRPr="00F26C86">
        <w:rPr>
          <w:rFonts w:ascii="Times New Roman" w:hAnsi="Times New Roman" w:cs="Times New Roman"/>
        </w:rPr>
        <w:t xml:space="preserve"> αλληλεπιδράσεις</w:t>
      </w:r>
      <w:r w:rsidRPr="00BF1164">
        <w:rPr>
          <w:rFonts w:ascii="Times New Roman" w:hAnsi="Times New Roman" w:cs="Times New Roman"/>
        </w:rPr>
        <w:t xml:space="preserve"> της αν</w:t>
      </w:r>
      <w:r w:rsidRPr="00510549">
        <w:rPr>
          <w:rFonts w:ascii="Times New Roman" w:hAnsi="Times New Roman" w:cs="Times New Roman"/>
        </w:rPr>
        <w:t xml:space="preserve">θρώπινης λευκωματίνης με άλλα </w:t>
      </w:r>
      <w:r w:rsidRPr="0054551F">
        <w:rPr>
          <w:rFonts w:ascii="Times New Roman" w:hAnsi="Times New Roman" w:cs="Times New Roman"/>
        </w:rPr>
        <w:t xml:space="preserve">φαρμακευτικά </w:t>
      </w:r>
      <w:r w:rsidRPr="00BF1164">
        <w:rPr>
          <w:rFonts w:ascii="Times New Roman" w:hAnsi="Times New Roman" w:cs="Times New Roman"/>
        </w:rPr>
        <w:t>προϊόντα.</w:t>
      </w:r>
      <w:r w:rsidRPr="0054551F">
        <w:rPr>
          <w:rFonts w:ascii="Times New Roman" w:hAnsi="Times New Roman" w:cs="Times New Roman"/>
        </w:rPr>
        <w:t xml:space="preserve"> </w:t>
      </w:r>
    </w:p>
    <w:p w:rsidR="003101C7" w:rsidRPr="00510549" w:rsidRDefault="003101C7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4.6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="00A531BB" w:rsidRPr="00510549">
        <w:rPr>
          <w:rFonts w:ascii="Times New Roman" w:hAnsi="Times New Roman" w:cs="Times New Roman"/>
          <w:b/>
          <w:sz w:val="22"/>
          <w:szCs w:val="22"/>
          <w:lang w:val="el-GR"/>
        </w:rPr>
        <w:t>Κ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ύηση και γαλουχία</w:t>
      </w:r>
    </w:p>
    <w:p w:rsidR="00220FFF" w:rsidRDefault="00220FFF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220FFF" w:rsidRDefault="00F233F6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Η ασφάλεια χρήσης </w:t>
      </w:r>
      <w:r w:rsidR="00220FFF" w:rsidRPr="00594677">
        <w:rPr>
          <w:rFonts w:ascii="Times New Roman" w:hAnsi="Times New Roman" w:cs="Times New Roman"/>
          <w:lang w:val="el-GR"/>
        </w:rPr>
        <w:t>το</w:t>
      </w:r>
      <w:r w:rsidR="00220FFF">
        <w:rPr>
          <w:rFonts w:ascii="Times New Roman" w:hAnsi="Times New Roman" w:cs="Times New Roman"/>
          <w:lang w:val="el-GR"/>
        </w:rPr>
        <w:t>υ</w:t>
      </w:r>
      <w:r w:rsidR="00220FFF" w:rsidRPr="00594677">
        <w:rPr>
          <w:rFonts w:ascii="Times New Roman" w:hAnsi="Times New Roman" w:cs="Times New Roman"/>
          <w:lang w:val="el-GR"/>
        </w:rPr>
        <w:t xml:space="preserve"> </w:t>
      </w:r>
      <w:r w:rsidR="007A15B8">
        <w:rPr>
          <w:rFonts w:ascii="Times New Roman" w:hAnsi="Times New Roman" w:cs="Times New Roman"/>
          <w:caps/>
          <w:sz w:val="22"/>
          <w:szCs w:val="22"/>
        </w:rPr>
        <w:t>H</w:t>
      </w:r>
      <w:r w:rsidR="007A15B8">
        <w:rPr>
          <w:rFonts w:ascii="Times New Roman" w:hAnsi="Times New Roman" w:cs="Times New Roman"/>
          <w:sz w:val="22"/>
          <w:szCs w:val="22"/>
        </w:rPr>
        <w:t>uman</w:t>
      </w:r>
      <w:r w:rsidR="007A15B8"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7A15B8">
        <w:rPr>
          <w:rFonts w:ascii="Times New Roman" w:hAnsi="Times New Roman" w:cs="Times New Roman"/>
          <w:caps/>
          <w:sz w:val="22"/>
          <w:szCs w:val="22"/>
        </w:rPr>
        <w:t>A</w:t>
      </w:r>
      <w:r w:rsidR="007A15B8">
        <w:rPr>
          <w:rFonts w:ascii="Times New Roman" w:hAnsi="Times New Roman" w:cs="Times New Roman"/>
          <w:sz w:val="22"/>
          <w:szCs w:val="22"/>
        </w:rPr>
        <w:t>lbumin</w:t>
      </w:r>
      <w:r w:rsidR="006C6588" w:rsidRPr="00D51E7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proofErr w:type="spellStart"/>
      <w:r w:rsidR="007A15B8">
        <w:rPr>
          <w:rFonts w:ascii="Times New Roman" w:hAnsi="Times New Roman" w:cs="Times New Roman"/>
          <w:caps/>
          <w:sz w:val="22"/>
          <w:szCs w:val="22"/>
        </w:rPr>
        <w:t>G</w:t>
      </w:r>
      <w:r w:rsidR="007A15B8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 w:rsidR="003F568F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κατά την κύηση του ανθρώπου δεν έχει αποδειχτεί με ελεγχόμενες κλινικές μελέτες.</w:t>
      </w:r>
      <w:r w:rsidR="00220FFF" w:rsidRPr="00220FFF">
        <w:rPr>
          <w:sz w:val="22"/>
          <w:szCs w:val="22"/>
          <w:lang w:val="el-GR"/>
        </w:rPr>
        <w:t xml:space="preserve"> </w:t>
      </w:r>
      <w:r w:rsidR="00220FFF" w:rsidRPr="00220FFF">
        <w:rPr>
          <w:rFonts w:ascii="Times New Roman" w:hAnsi="Times New Roman" w:cs="Times New Roman"/>
          <w:sz w:val="22"/>
          <w:szCs w:val="22"/>
          <w:lang w:val="el-GR"/>
        </w:rPr>
        <w:t xml:space="preserve">Ωστόσο, η κλινική εμπειρία με τη λευκωματίνη υποδηλώνει ότι δεν αναμένονται βλαβερές επιδράσεις κατά τη διάρκεια της κύησης, ή στο έμβρυο και το νεογέννητο. </w:t>
      </w:r>
    </w:p>
    <w:p w:rsidR="00060730" w:rsidRPr="00220FFF" w:rsidRDefault="00060730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Default="00060730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60730">
        <w:rPr>
          <w:rFonts w:ascii="Times New Roman" w:hAnsi="Times New Roman" w:cs="Times New Roman"/>
          <w:sz w:val="22"/>
          <w:szCs w:val="22"/>
          <w:lang w:val="el-GR"/>
        </w:rPr>
        <w:t xml:space="preserve">Δεν έχουν διεξαχθεί μελέτες αναπαραγωγής σε πειραματόζωα με το </w:t>
      </w:r>
      <w:r w:rsidR="007A15B8">
        <w:rPr>
          <w:rFonts w:ascii="Times New Roman" w:hAnsi="Times New Roman" w:cs="Times New Roman"/>
          <w:caps/>
          <w:sz w:val="22"/>
          <w:szCs w:val="22"/>
        </w:rPr>
        <w:t>H</w:t>
      </w:r>
      <w:r w:rsidR="007A15B8">
        <w:rPr>
          <w:rFonts w:ascii="Times New Roman" w:hAnsi="Times New Roman" w:cs="Times New Roman"/>
          <w:sz w:val="22"/>
          <w:szCs w:val="22"/>
        </w:rPr>
        <w:t>uman</w:t>
      </w:r>
      <w:r w:rsidR="007A15B8"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7A15B8">
        <w:rPr>
          <w:rFonts w:ascii="Times New Roman" w:hAnsi="Times New Roman" w:cs="Times New Roman"/>
          <w:caps/>
          <w:sz w:val="22"/>
          <w:szCs w:val="22"/>
        </w:rPr>
        <w:t>A</w:t>
      </w:r>
      <w:r w:rsidR="007A15B8">
        <w:rPr>
          <w:rFonts w:ascii="Times New Roman" w:hAnsi="Times New Roman" w:cs="Times New Roman"/>
          <w:sz w:val="22"/>
          <w:szCs w:val="22"/>
        </w:rPr>
        <w:t>lbumin</w:t>
      </w:r>
      <w:r w:rsidR="006C6588" w:rsidRPr="00D51E7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proofErr w:type="spellStart"/>
      <w:r w:rsidR="007A15B8">
        <w:rPr>
          <w:rFonts w:ascii="Times New Roman" w:hAnsi="Times New Roman" w:cs="Times New Roman"/>
          <w:caps/>
          <w:sz w:val="22"/>
          <w:szCs w:val="22"/>
        </w:rPr>
        <w:t>G</w:t>
      </w:r>
      <w:r w:rsidR="007A15B8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 w:rsidRPr="00060730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AF3C84" w:rsidRPr="00BF1164" w:rsidRDefault="00AF3C84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AF3C84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sz w:val="22"/>
          <w:szCs w:val="22"/>
          <w:lang w:val="el-GR"/>
        </w:rPr>
        <w:lastRenderedPageBreak/>
        <w:t xml:space="preserve">Οι μελέτες σε πειραματόζωα δεν επαρκούν για την αξιολόγηση της ασφάλειας όσον αφορά στην αναπαραγωγή, στην ανάπτυξη του εμβρύου, στην πορεία της κύησης και στην περι- και μεταγεννητική ανάπτυξη. </w:t>
      </w:r>
    </w:p>
    <w:p w:rsidR="00AF3C84" w:rsidRDefault="00AF3C84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Ωστόσο, η ανθρώπινη λευκωματίνη είναι ένα φυσιολογικό συστατικό του ανθρωπίνου αίματος. 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53FC4" w:rsidRPr="00510549" w:rsidRDefault="00F233F6" w:rsidP="00510549">
      <w:pPr>
        <w:tabs>
          <w:tab w:val="left" w:pos="142"/>
          <w:tab w:val="left" w:pos="720"/>
        </w:tabs>
        <w:jc w:val="both"/>
        <w:rPr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4.7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="00153FC4" w:rsidRPr="00153FC4">
        <w:rPr>
          <w:rFonts w:ascii="Times New Roman" w:hAnsi="Times New Roman" w:cs="Times New Roman"/>
          <w:b/>
          <w:bCs/>
          <w:sz w:val="22"/>
          <w:szCs w:val="22"/>
          <w:lang w:val="el-GR"/>
        </w:rPr>
        <w:t>Επιδράσεις</w:t>
      </w:r>
      <w:r w:rsidR="00153FC4"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στην ικανότητα οδήγησης και </w:t>
      </w:r>
      <w:r w:rsidR="00153FC4" w:rsidRPr="00153FC4">
        <w:rPr>
          <w:rFonts w:ascii="Times New Roman" w:hAnsi="Times New Roman" w:cs="Times New Roman"/>
          <w:b/>
          <w:bCs/>
          <w:sz w:val="22"/>
          <w:szCs w:val="22"/>
          <w:lang w:val="el-GR"/>
        </w:rPr>
        <w:t>χειρισμού μηχανών</w:t>
      </w:r>
    </w:p>
    <w:p w:rsidR="00F233F6" w:rsidRDefault="00F233F6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153FC4" w:rsidRPr="00BF1164" w:rsidRDefault="00153FC4" w:rsidP="00510549">
      <w:pPr>
        <w:pStyle w:val="2"/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Δεν </w:t>
      </w:r>
      <w:r w:rsidRPr="00153FC4">
        <w:rPr>
          <w:rFonts w:ascii="Times New Roman" w:hAnsi="Times New Roman" w:cs="Times New Roman"/>
          <w:sz w:val="22"/>
          <w:szCs w:val="22"/>
          <w:lang w:val="el-GR"/>
        </w:rPr>
        <w:t>έχουν παρατηρηθεί επιδράσεις σ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την ικανότητα οδήγησης </w:t>
      </w:r>
      <w:r w:rsidRPr="00153FC4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χειρισμού </w:t>
      </w:r>
      <w:r w:rsidRPr="00153FC4">
        <w:rPr>
          <w:rFonts w:ascii="Times New Roman" w:hAnsi="Times New Roman" w:cs="Times New Roman"/>
          <w:sz w:val="22"/>
          <w:szCs w:val="22"/>
          <w:lang w:val="el-GR"/>
        </w:rPr>
        <w:t>μηχανών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10549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Ανεπιθύμητες ενέργειες</w:t>
      </w:r>
    </w:p>
    <w:p w:rsidR="00BF2CCE" w:rsidRDefault="00BF2CCE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BF2CCE" w:rsidRPr="00BF1164" w:rsidRDefault="00BF2CCE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2CCE">
        <w:rPr>
          <w:rFonts w:ascii="Times New Roman" w:hAnsi="Times New Roman" w:cs="Times New Roman"/>
          <w:sz w:val="22"/>
          <w:szCs w:val="22"/>
          <w:lang w:val="el-GR"/>
        </w:rPr>
        <w:t>Ήπιας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μορφής αντιδράσεις όπως εξάψεις, κνίδωση, πυρετός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 xml:space="preserve"> και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ναυτία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 xml:space="preserve">εμφανίζονται σπάνια. Αυτές οι αντιδράσεις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συνήθως εξαφανίζονται ταχέως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όταν ο ρυθμός έγχυσης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επιβραδυνθεί ή διακοπεί η έγχυση. Σε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πολύ σπάνιες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περιπτώσεις μπορεί να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εμφανισθούν σοβαρές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αντιδράσεις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, όπως καταπληξία.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Στις περιπτώσεις αυτές</w:t>
      </w:r>
      <w:r w:rsidR="009019D3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 xml:space="preserve"> η έγχυση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πρέπει να διακόπτεται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αμέσως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και να </w:t>
      </w:r>
      <w:r w:rsidRPr="00BF2CCE">
        <w:rPr>
          <w:rFonts w:ascii="Times New Roman" w:hAnsi="Times New Roman" w:cs="Times New Roman"/>
          <w:sz w:val="22"/>
          <w:szCs w:val="22"/>
          <w:lang w:val="el-GR"/>
        </w:rPr>
        <w:t>αρχίζει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κατάλληλη θεραπεία.</w:t>
      </w:r>
    </w:p>
    <w:p w:rsidR="00BF2CCE" w:rsidRPr="00BF2CCE" w:rsidRDefault="009019D3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BF2CCE" w:rsidRPr="00BF2CCE" w:rsidRDefault="00BF2CCE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Για την ασφάλεια 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αναφορικά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με </w:t>
      </w:r>
      <w:r w:rsidR="00F26C9C">
        <w:rPr>
          <w:rFonts w:ascii="Times New Roman" w:hAnsi="Times New Roman" w:cs="Times New Roman"/>
          <w:sz w:val="22"/>
          <w:szCs w:val="22"/>
          <w:lang w:val="el-GR"/>
        </w:rPr>
        <w:t xml:space="preserve">τους 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>μεταδοτικούς παράγοντες, βλ. παράγραφο 4.4.</w:t>
      </w:r>
    </w:p>
    <w:p w:rsidR="009019D3" w:rsidRDefault="009019D3" w:rsidP="00D51E7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el-GR"/>
        </w:rPr>
      </w:pPr>
    </w:p>
    <w:p w:rsidR="008C69CF" w:rsidRPr="008C69CF" w:rsidRDefault="008C69CF" w:rsidP="00D51E7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D51E79">
        <w:rPr>
          <w:rFonts w:ascii="Times New Roman" w:hAnsi="Times New Roman" w:cs="Times New Roman"/>
          <w:noProof/>
          <w:sz w:val="22"/>
          <w:szCs w:val="22"/>
          <w:u w:val="single"/>
          <w:lang w:val="el-GR"/>
        </w:rPr>
        <w:t>Αναφορά πιθανολογούμενων ανεπιθύμητων ενεργειών</w:t>
      </w:r>
      <w:r w:rsidRPr="008C69CF">
        <w:rPr>
          <w:rFonts w:ascii="Times New Roman" w:hAnsi="Times New Roman" w:cs="Times New Roman"/>
          <w:noProof/>
          <w:sz w:val="22"/>
          <w:szCs w:val="22"/>
          <w:u w:val="single"/>
          <w:lang w:val="el-GR"/>
        </w:rPr>
        <w:t xml:space="preserve"> </w:t>
      </w:r>
    </w:p>
    <w:p w:rsidR="008C69CF" w:rsidRPr="008C69CF" w:rsidRDefault="008C69CF" w:rsidP="00D51E79">
      <w:pPr>
        <w:ind w:left="709"/>
        <w:jc w:val="both"/>
        <w:rPr>
          <w:rFonts w:ascii="Times New Roman" w:eastAsia="Calibri" w:hAnsi="Times New Roman" w:cs="Times New Roman"/>
          <w:sz w:val="22"/>
          <w:szCs w:val="22"/>
          <w:lang w:val="el-GR" w:eastAsia="zh-CN"/>
        </w:rPr>
      </w:pPr>
      <w:r w:rsidRPr="008C69CF">
        <w:rPr>
          <w:rFonts w:ascii="Times New Roman" w:hAnsi="Times New Roman" w:cs="Times New Roman"/>
          <w:sz w:val="22"/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8C69CF">
        <w:rPr>
          <w:rFonts w:ascii="Times New Roman" w:hAnsi="Times New Roman" w:cs="Times New Roman"/>
          <w:noProof/>
          <w:sz w:val="22"/>
          <w:szCs w:val="22"/>
          <w:lang w:val="el-GR"/>
        </w:rPr>
        <w:t>.</w:t>
      </w:r>
      <w:r w:rsidRPr="008C69CF">
        <w:rPr>
          <w:rFonts w:ascii="Times New Roman" w:hAnsi="Times New Roman" w:cs="Times New Roman"/>
          <w:sz w:val="22"/>
          <w:szCs w:val="22"/>
          <w:lang w:val="el-GR"/>
        </w:rPr>
        <w:t xml:space="preserve"> Επιτρέπει τη συνεχή</w:t>
      </w:r>
      <w:r w:rsidR="009019D3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8C69CF">
        <w:rPr>
          <w:rFonts w:ascii="Times New Roman" w:hAnsi="Times New Roman" w:cs="Times New Roman"/>
          <w:sz w:val="22"/>
          <w:szCs w:val="22"/>
          <w:lang w:val="el-GR"/>
        </w:rPr>
        <w:t>παρακολούθηση της σχέσης οφέλους-κινδύνου του φαρμακευτικού προϊόντος</w:t>
      </w:r>
      <w:r w:rsidRPr="008C69CF">
        <w:rPr>
          <w:rFonts w:ascii="Times New Roman" w:hAnsi="Times New Roman" w:cs="Times New Roman"/>
          <w:noProof/>
          <w:sz w:val="22"/>
          <w:szCs w:val="22"/>
          <w:lang w:val="el-GR"/>
        </w:rPr>
        <w:t>.</w:t>
      </w:r>
      <w:r w:rsidRPr="008C69CF">
        <w:rPr>
          <w:rFonts w:ascii="Times New Roman" w:hAnsi="Times New Roman" w:cs="Times New Roman"/>
          <w:sz w:val="22"/>
          <w:szCs w:val="22"/>
          <w:lang w:val="el-GR"/>
        </w:rPr>
        <w:t xml:space="preserve"> Ζητείται από τους επαγγελματίες του τομέα της υγειονομικής περίθαλψης να αναφέρουν</w:t>
      </w:r>
      <w:r w:rsidR="009019D3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8C69CF">
        <w:rPr>
          <w:rFonts w:ascii="Times New Roman" w:hAnsi="Times New Roman" w:cs="Times New Roman"/>
          <w:sz w:val="22"/>
          <w:szCs w:val="22"/>
          <w:lang w:val="el-GR"/>
        </w:rPr>
        <w:t xml:space="preserve">οποιεσδήποτε πιθανολογούμενες ανεπιθύμητες ενέργειες στον 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Εθνικό Οργανισμό Φαρμάκων, Μεσογείων 284, 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n-AU" w:eastAsia="zh-CN"/>
        </w:rPr>
        <w:t>GR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-15562 Χολαργός, Αθήνα, Τηλ: + 30 </w:t>
      </w:r>
      <w:r w:rsidRPr="008C69CF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21 32040380/337, Φαξ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: + 30 </w:t>
      </w:r>
      <w:r w:rsidRPr="008C69CF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21 06549585.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 </w:t>
      </w:r>
      <w:r w:rsidRPr="008C69CF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Ιστότοπος</w:t>
      </w:r>
      <w:r w:rsidRPr="008C69CF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: </w:t>
      </w:r>
      <w:hyperlink r:id="rId7" w:history="1"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http</w:t>
        </w:r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://</w:t>
        </w:r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www</w:t>
        </w:r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proofErr w:type="spellStart"/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eof</w:t>
        </w:r>
        <w:proofErr w:type="spellEnd"/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r w:rsidRPr="008C69C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gr</w:t>
        </w:r>
      </w:hyperlink>
    </w:p>
    <w:p w:rsidR="00F233F6" w:rsidRPr="00BF1164" w:rsidRDefault="00F233F6" w:rsidP="00510549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4.9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>Υπερδοσολογία</w:t>
      </w:r>
    </w:p>
    <w:p w:rsidR="0022339B" w:rsidRPr="00E67C7C" w:rsidRDefault="0022339B" w:rsidP="005832FB">
      <w:pPr>
        <w:tabs>
          <w:tab w:val="left" w:pos="142"/>
        </w:tabs>
        <w:jc w:val="both"/>
        <w:rPr>
          <w:b/>
          <w:sz w:val="22"/>
          <w:szCs w:val="22"/>
          <w:lang w:val="el-GR"/>
        </w:rPr>
      </w:pPr>
    </w:p>
    <w:p w:rsidR="0022339B" w:rsidRPr="00BF1164" w:rsidRDefault="0022339B" w:rsidP="00510549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Εάν η δοσολογία και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ο ρυθμός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έγχυσης είναι υπερβολικά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υψηλοί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, ενδέχεται να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εμφανιστεί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υπερογκαιμία. Με τα πρώτα κλινικά </w:t>
      </w:r>
      <w:r w:rsidR="00F26C9C">
        <w:rPr>
          <w:rFonts w:ascii="Times New Roman" w:hAnsi="Times New Roman" w:cs="Times New Roman"/>
          <w:sz w:val="22"/>
          <w:szCs w:val="22"/>
          <w:lang w:val="el-GR"/>
        </w:rPr>
        <w:t>στοιχεία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καρδιαγγειακής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υπερφόρτωσης (κεφαλαλγία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, δύσπνοια,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συμφόρηση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της σφαγίτιδας φλέβας) ή αυξημένης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 xml:space="preserve">αρτηριακής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πίεσης, αυξημένης πίεσης της κεντρικής φλέβας και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πνευμονικού οιδήματος, η έγχυση πρέπει να διακόπτεται αμέσως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και </w:t>
      </w:r>
      <w:r w:rsidRPr="0022339B">
        <w:rPr>
          <w:rFonts w:ascii="Times New Roman" w:hAnsi="Times New Roman" w:cs="Times New Roman"/>
          <w:sz w:val="22"/>
          <w:szCs w:val="22"/>
          <w:lang w:val="el-GR"/>
        </w:rPr>
        <w:t>να ελέγχονται προσεκτικά οι αιμοδυναμικές παράμετροι του ασθενούς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ΦΑΡΜΑΚΟΛΟΓΙΚΕΣ ΙΔΙΟΤΗΤΕΣ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5.1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>Φαρμακοδυναμικές ιδιότητες</w:t>
      </w:r>
    </w:p>
    <w:p w:rsidR="00A30055" w:rsidRDefault="00A30055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A30055" w:rsidRPr="00A30055" w:rsidRDefault="00A30055" w:rsidP="005832FB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30055">
        <w:rPr>
          <w:rFonts w:ascii="Times New Roman" w:hAnsi="Times New Roman" w:cs="Times New Roman"/>
          <w:sz w:val="22"/>
          <w:szCs w:val="22"/>
          <w:lang w:val="el-GR"/>
        </w:rPr>
        <w:t xml:space="preserve">Φαρμακοθεραπευτική κατηγορία: Υποκατάστατα πλάσματος και κλάσματα πρωτεϊνών πλάσματος, κωδικός ATC: Β05ΑΑ01. </w:t>
      </w:r>
    </w:p>
    <w:p w:rsidR="00A30055" w:rsidRPr="00510549" w:rsidRDefault="00A30055" w:rsidP="00510549">
      <w:pPr>
        <w:ind w:left="720"/>
        <w:jc w:val="both"/>
        <w:rPr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Η ανθρώπινη λευκωματίνη αντιστοιχεί ποσοτικά</w:t>
      </w:r>
      <w:r w:rsidR="00F26C86"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σε κλάσμα άνω του ημίσεως της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ολικής πρωτεΐνης στο πλάσμα και αντιπροσωπεύει το 10% περίπου της πρωτεϊνικής σύνθεσης που διενεργείται στο ήπαρ.</w:t>
      </w:r>
      <w:r w:rsidRPr="00510549">
        <w:rPr>
          <w:b/>
          <w:sz w:val="22"/>
          <w:szCs w:val="22"/>
          <w:lang w:val="el-GR"/>
        </w:rPr>
        <w:tab/>
      </w:r>
    </w:p>
    <w:p w:rsidR="00A30055" w:rsidRPr="00BF1164" w:rsidRDefault="00A30055" w:rsidP="00510549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A30055" w:rsidRPr="00BF1164" w:rsidRDefault="00A30055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sz w:val="22"/>
          <w:szCs w:val="22"/>
          <w:lang w:val="el-GR"/>
        </w:rPr>
        <w:t>Φυσικοχημικά δεδομένα:</w:t>
      </w:r>
      <w:r w:rsidRPr="00A300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Η ανθρώπινη λευκωματίνη </w:t>
      </w:r>
      <w:r w:rsidR="00241006" w:rsidRPr="00BF1164">
        <w:rPr>
          <w:rFonts w:ascii="Times New Roman" w:hAnsi="Times New Roman" w:cs="Times New Roman"/>
          <w:sz w:val="22"/>
          <w:szCs w:val="22"/>
          <w:lang w:val="el-GR"/>
        </w:rPr>
        <w:t>20</w:t>
      </w:r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0 </w:t>
      </w:r>
      <w:r w:rsidR="00241006">
        <w:rPr>
          <w:rFonts w:ascii="Times New Roman" w:hAnsi="Times New Roman" w:cs="Times New Roman"/>
          <w:sz w:val="22"/>
          <w:szCs w:val="22"/>
          <w:lang w:val="es-ES"/>
        </w:rPr>
        <w:t>mg</w:t>
      </w:r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  <w:lang w:val="es-ES"/>
        </w:rPr>
        <w:t>ml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έχει </w:t>
      </w:r>
      <w:r w:rsidRPr="00A30055">
        <w:rPr>
          <w:rFonts w:ascii="Times New Roman" w:hAnsi="Times New Roman" w:cs="Times New Roman"/>
          <w:sz w:val="22"/>
          <w:szCs w:val="22"/>
          <w:lang w:val="el-GR"/>
        </w:rPr>
        <w:t>αντίστοιχη υπερογκωτική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δράση.</w:t>
      </w:r>
    </w:p>
    <w:p w:rsidR="00A30055" w:rsidRPr="00BF1164" w:rsidRDefault="00A30055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30055">
        <w:rPr>
          <w:rFonts w:ascii="Times New Roman" w:hAnsi="Times New Roman" w:cs="Times New Roman"/>
          <w:sz w:val="22"/>
          <w:szCs w:val="22"/>
          <w:lang w:val="el-GR"/>
        </w:rPr>
        <w:lastRenderedPageBreak/>
        <w:t>Οι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σημαντικότερες φυσιολογικές λειτουργίες της λευκωματίνης </w:t>
      </w:r>
      <w:r w:rsidRPr="00A30055">
        <w:rPr>
          <w:rFonts w:ascii="Times New Roman" w:hAnsi="Times New Roman" w:cs="Times New Roman"/>
          <w:sz w:val="22"/>
          <w:szCs w:val="22"/>
          <w:lang w:val="el-GR"/>
        </w:rPr>
        <w:t xml:space="preserve">απορρέουν από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τη συμμετοχή της στην ογκωτική πίεση του αίματος και στη λειτουργία μεταφοράς. Η λευκωματίνη σταθεροποιεί </w:t>
      </w:r>
      <w:r w:rsidR="007326AB" w:rsidRPr="00510549">
        <w:rPr>
          <w:rFonts w:ascii="Times New Roman" w:hAnsi="Times New Roman" w:cs="Times New Roman"/>
          <w:sz w:val="22"/>
          <w:szCs w:val="22"/>
          <w:lang w:val="el-GR"/>
        </w:rPr>
        <w:t>την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κυκλοφορού</w:t>
      </w:r>
      <w:r w:rsidR="007326AB" w:rsidRPr="00510549">
        <w:rPr>
          <w:rFonts w:ascii="Times New Roman" w:hAnsi="Times New Roman" w:cs="Times New Roman"/>
          <w:sz w:val="22"/>
          <w:szCs w:val="22"/>
          <w:lang w:val="el-GR"/>
        </w:rPr>
        <w:t>σα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7326AB" w:rsidRPr="00510549">
        <w:rPr>
          <w:rFonts w:ascii="Times New Roman" w:hAnsi="Times New Roman" w:cs="Times New Roman"/>
          <w:sz w:val="22"/>
          <w:szCs w:val="22"/>
          <w:lang w:val="el-GR"/>
        </w:rPr>
        <w:t>ποσότητα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7326AB">
        <w:rPr>
          <w:rFonts w:ascii="Times New Roman" w:hAnsi="Times New Roman" w:cs="Times New Roman"/>
          <w:sz w:val="22"/>
          <w:szCs w:val="22"/>
          <w:lang w:val="el-GR"/>
        </w:rPr>
        <w:t xml:space="preserve">του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αίματος και μεταφέρει ορμόνες, ένζυμα, φάρμακα</w:t>
      </w:r>
      <w:r w:rsidRPr="00A30055">
        <w:rPr>
          <w:rFonts w:ascii="Times New Roman" w:hAnsi="Times New Roman" w:cs="Times New Roman"/>
          <w:sz w:val="22"/>
          <w:szCs w:val="22"/>
          <w:lang w:val="el-GR"/>
        </w:rPr>
        <w:t xml:space="preserve"> και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τοξίνες.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5.2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>Φαρμακοκινητικές ιδιότητες</w:t>
      </w:r>
    </w:p>
    <w:p w:rsidR="0048120D" w:rsidRDefault="0048120D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8120D" w:rsidRPr="00BF1164" w:rsidRDefault="0048120D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Υπό κανονικές συνθήκες η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>ολική ανταλλάξιμη δεξαμενή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της λευκωματίνης ανέρχεται σε 4-5 g/kg σωματικού βάρους, </w:t>
      </w:r>
      <w:r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της οποίας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το 40-45% </w:t>
      </w:r>
      <w:r w:rsidR="004A6850" w:rsidRPr="00BF1164">
        <w:rPr>
          <w:rFonts w:ascii="Times New Roman" w:hAnsi="Times New Roman" w:cs="Times New Roman"/>
          <w:sz w:val="22"/>
          <w:szCs w:val="22"/>
          <w:lang w:val="el-GR"/>
        </w:rPr>
        <w:t>υπάρχει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4A6850">
        <w:rPr>
          <w:rFonts w:ascii="Times New Roman" w:hAnsi="Times New Roman" w:cs="Times New Roman"/>
          <w:sz w:val="22"/>
          <w:szCs w:val="22"/>
          <w:lang w:val="el-GR"/>
        </w:rPr>
        <w:t>ενδοαγγειακά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και το 55-60%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 xml:space="preserve">εξωαγγειακά. Η αυξημένη διαπερατότητα των τριχοειδών επηρεάζει την κινητική της λευκωματίνης και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μπορεί να παρατηρηθεί μη φυσιολογική κατανομή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 xml:space="preserve"> σε καταστάσεις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όπως σοβαρά εγκαύματα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 xml:space="preserve">ή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καταπληξία σηπτικής αιτιολογίας.</w:t>
      </w:r>
    </w:p>
    <w:p w:rsidR="0048120D" w:rsidRPr="00BF1164" w:rsidRDefault="0048120D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8120D" w:rsidRPr="00BF1164" w:rsidRDefault="0048120D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Υπό κανονικές συνθήκε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>ς ο</w:t>
      </w:r>
      <w:r w:rsidR="004A6850"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A6850" w:rsidRPr="004A6850">
        <w:rPr>
          <w:rFonts w:ascii="Times New Roman" w:hAnsi="Times New Roman" w:cs="Times New Roman"/>
          <w:sz w:val="22"/>
          <w:szCs w:val="22"/>
          <w:lang w:val="el-GR"/>
        </w:rPr>
        <w:t>μέσος</w:t>
      </w:r>
      <w:r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χρόνος ημιζωής της λευκωματίνης είναι περίπου 19 ημέρες.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>Το ισοζύγιο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μεταξύ σύνθεσης και αποικοδόμησης επιτυγχάνεται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>φυσιολογικά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με ρύθμιση ανάδρασης.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>Ο καταβολισμός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είναι κυρίως </w:t>
      </w:r>
      <w:r w:rsidRPr="0048120D">
        <w:rPr>
          <w:rFonts w:ascii="Times New Roman" w:hAnsi="Times New Roman" w:cs="Times New Roman"/>
          <w:sz w:val="22"/>
          <w:szCs w:val="22"/>
          <w:lang w:val="el-GR"/>
        </w:rPr>
        <w:t>ενδοκυτταρικός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και οφείλεται στις λυσοσωμικές πρωτεάσες.</w:t>
      </w:r>
    </w:p>
    <w:p w:rsidR="0048120D" w:rsidRPr="00BF1164" w:rsidRDefault="0048120D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8120D" w:rsidRPr="00BF1164" w:rsidRDefault="00257916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257916">
        <w:rPr>
          <w:rFonts w:ascii="Times New Roman" w:hAnsi="Times New Roman" w:cs="Times New Roman"/>
          <w:sz w:val="22"/>
          <w:szCs w:val="22"/>
          <w:lang w:val="el-GR"/>
        </w:rPr>
        <w:t>Σε υγιή άτομα, ποσοστό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μικρότερο του 10% της εγχυόμενης λευκωματίνης εγκαταλείπει το ενδοαγγειακό διαμέρισμα τις 2 πρώτες ώρες μετά την έγχυση.</w:t>
      </w:r>
      <w:r w:rsidR="009019D3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8120D" w:rsidRPr="0048120D">
        <w:rPr>
          <w:rFonts w:ascii="Times New Roman" w:hAnsi="Times New Roman" w:cs="Times New Roman"/>
          <w:sz w:val="22"/>
          <w:szCs w:val="22"/>
          <w:lang w:val="el-GR"/>
        </w:rPr>
        <w:t>Υπάρχει αξιοσημείωτη εξατομικευμένη διαφοροποίηση στην επίδραση στον όγκο του πλάσματος. Σε ορισμένους ασθενείς ο όγκος του πλάσματος μπορεί να παραμείνει αυξημ</w:t>
      </w:r>
      <w:r w:rsidR="0048120D" w:rsidRPr="004A6850">
        <w:rPr>
          <w:rFonts w:ascii="Times New Roman" w:hAnsi="Times New Roman" w:cs="Times New Roman"/>
          <w:sz w:val="22"/>
          <w:szCs w:val="22"/>
          <w:lang w:val="el-GR"/>
        </w:rPr>
        <w:t>ένος για μερικές ώρες. Ωστόσο, σε ασθενείς σε κρίσιμη κατάσταση η λευκωματίνη μπορεί να διαφύγει</w:t>
      </w:r>
      <w:r w:rsidR="004A6850"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94C7C">
        <w:rPr>
          <w:rFonts w:ascii="Times New Roman" w:hAnsi="Times New Roman" w:cs="Times New Roman"/>
          <w:sz w:val="22"/>
          <w:szCs w:val="22"/>
          <w:lang w:val="el-GR"/>
        </w:rPr>
        <w:t xml:space="preserve">εκτός του </w:t>
      </w:r>
      <w:r w:rsidR="004A6850"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 αγγειακ</w:t>
      </w:r>
      <w:r w:rsidR="00394C7C">
        <w:rPr>
          <w:rFonts w:ascii="Times New Roman" w:hAnsi="Times New Roman" w:cs="Times New Roman"/>
          <w:sz w:val="22"/>
          <w:szCs w:val="22"/>
          <w:lang w:val="el-GR"/>
        </w:rPr>
        <w:t>ού</w:t>
      </w:r>
      <w:r w:rsidR="004A6850"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χώρο</w:t>
      </w:r>
      <w:r w:rsidR="00394C7C">
        <w:rPr>
          <w:rFonts w:ascii="Times New Roman" w:hAnsi="Times New Roman" w:cs="Times New Roman"/>
          <w:sz w:val="22"/>
          <w:szCs w:val="22"/>
          <w:lang w:val="el-GR"/>
        </w:rPr>
        <w:t>υ</w:t>
      </w:r>
      <w:r w:rsidR="0048120D"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σε σημαντικές ποσότητες </w:t>
      </w:r>
      <w:r w:rsidR="00394C7C">
        <w:rPr>
          <w:rFonts w:ascii="Times New Roman" w:hAnsi="Times New Roman" w:cs="Times New Roman"/>
          <w:sz w:val="22"/>
          <w:szCs w:val="22"/>
          <w:lang w:val="el-GR"/>
        </w:rPr>
        <w:t xml:space="preserve">με </w:t>
      </w:r>
      <w:r w:rsidR="0048120D" w:rsidRPr="004A6850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="00394C7C">
        <w:rPr>
          <w:rFonts w:ascii="Times New Roman" w:hAnsi="Times New Roman" w:cs="Times New Roman"/>
          <w:sz w:val="22"/>
          <w:szCs w:val="22"/>
          <w:lang w:val="el-GR"/>
        </w:rPr>
        <w:t>η προβλέψιμο</w:t>
      </w:r>
      <w:r w:rsidR="0048120D" w:rsidRPr="004A6850">
        <w:rPr>
          <w:rFonts w:ascii="Times New Roman" w:hAnsi="Times New Roman" w:cs="Times New Roman"/>
          <w:sz w:val="22"/>
          <w:szCs w:val="22"/>
          <w:lang w:val="el-GR"/>
        </w:rPr>
        <w:t xml:space="preserve">  ρυθμό</w:t>
      </w:r>
      <w:r w:rsidR="0048120D"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5.3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 xml:space="preserve">Προκλινικά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δεδομένα</w:t>
      </w:r>
      <w:r w:rsidR="000B146C"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για την ασφάλεια</w:t>
      </w:r>
    </w:p>
    <w:p w:rsidR="0048120D" w:rsidRDefault="0048120D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8120D" w:rsidRPr="00BF1164" w:rsidRDefault="0048120D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Η ανθρώπινη λευκωματίνη αποτελεί φυσιολογικό συστατικό του ανθρώπινου πλάσματος και δρα όπως η φυσιολογική λευκωματίνη.</w:t>
      </w:r>
    </w:p>
    <w:p w:rsidR="0048120D" w:rsidRDefault="0048120D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942E0" w:rsidRPr="00BF1164" w:rsidRDefault="004942E0" w:rsidP="00510549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4942E0">
        <w:rPr>
          <w:rFonts w:ascii="Times New Roman" w:hAnsi="Times New Roman" w:cs="Times New Roman"/>
          <w:sz w:val="22"/>
          <w:szCs w:val="22"/>
          <w:lang w:val="el-GR"/>
        </w:rPr>
        <w:t xml:space="preserve">Σε πειραματόζωα, η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διενέργεια δοκιμασίας τοξικότητας με εφάπαξ χορήγηση </w:t>
      </w:r>
      <w:r w:rsidR="004A6850" w:rsidRPr="00510549">
        <w:rPr>
          <w:rFonts w:ascii="Times New Roman" w:hAnsi="Times New Roman" w:cs="Times New Roman"/>
          <w:sz w:val="22"/>
          <w:szCs w:val="22"/>
          <w:lang w:val="el-GR"/>
        </w:rPr>
        <w:t>δεν είναι σκόπιμη</w:t>
      </w:r>
      <w:r w:rsidRPr="00510549">
        <w:rPr>
          <w:rFonts w:ascii="Times New Roman" w:hAnsi="Times New Roman" w:cs="Times New Roman"/>
          <w:sz w:val="22"/>
          <w:szCs w:val="22"/>
          <w:lang w:val="el-GR"/>
        </w:rPr>
        <w:t xml:space="preserve"> και δεν επιτρέπει την αξιολόγηση της τοξικής ή θανατηφόρου δόσης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 xml:space="preserve"> ή τη  </w:t>
      </w:r>
      <w:r w:rsidR="009B78C6">
        <w:rPr>
          <w:rFonts w:ascii="Times New Roman" w:hAnsi="Times New Roman" w:cs="Times New Roman"/>
          <w:sz w:val="22"/>
          <w:szCs w:val="22"/>
          <w:lang w:val="el-GR"/>
        </w:rPr>
        <w:t xml:space="preserve">συσχέτιση μεταξύ 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>δόσης-αποτελ</w:t>
      </w:r>
      <w:r w:rsidR="00FF2786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>σματ</w:t>
      </w:r>
      <w:r w:rsidR="00FF2786">
        <w:rPr>
          <w:rFonts w:ascii="Times New Roman" w:hAnsi="Times New Roman" w:cs="Times New Roman"/>
          <w:sz w:val="22"/>
          <w:szCs w:val="22"/>
          <w:lang w:val="el-GR"/>
        </w:rPr>
        <w:t>ικότητας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>. Λόγω της ανάπτυξης αντισωμάτων έναντι της ετερόλογης πρωτεΐνης στα πειραματόζωα, είναι ανέφικτη 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διεξαγωγή δοκιμασιών τοξικότητας με επανειλημμένη χορήγηση δόσεων.</w:t>
      </w:r>
    </w:p>
    <w:p w:rsidR="004942E0" w:rsidRDefault="004942E0" w:rsidP="005832FB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964AE9" w:rsidRPr="00BF1164" w:rsidRDefault="004942E0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Μέχρι 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>σήμερα,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δεν υπάρχουν αναφορές που να συνδέουν την ανθρώπινη λευκωματίνη με εμβρυοτοξικότητα, ογκογόνο ή μεταλλαξιογόνο δράση.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964AE9" w:rsidRDefault="00964AE9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4942E0" w:rsidRPr="00BF1164" w:rsidRDefault="004942E0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Δεν έχουν περιγραφεί </w:t>
      </w:r>
      <w:r w:rsidRPr="004942E0">
        <w:rPr>
          <w:rFonts w:ascii="Times New Roman" w:hAnsi="Times New Roman" w:cs="Times New Roman"/>
          <w:sz w:val="22"/>
          <w:szCs w:val="22"/>
          <w:lang w:val="el-GR"/>
        </w:rPr>
        <w:t>σημεία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οξείας τοξικότητας σε πειραματόζωα.</w:t>
      </w:r>
    </w:p>
    <w:p w:rsidR="00F233F6" w:rsidRPr="00BF1164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6.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ΦΑΡΜΑΚΕΥΤΙΚ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ΕΣ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ΠΛΗΡΟΦΟΡΙΕΣ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10549">
      <w:pPr>
        <w:numPr>
          <w:ilvl w:val="1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Κατάλογος εκδόχων</w:t>
      </w:r>
    </w:p>
    <w:p w:rsidR="00F2459C" w:rsidRPr="00510549" w:rsidRDefault="00F2459C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459C" w:rsidRPr="00F2459C" w:rsidRDefault="00F2459C" w:rsidP="005832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459C">
        <w:rPr>
          <w:rFonts w:ascii="Times New Roman" w:hAnsi="Times New Roman" w:cs="Times New Roman"/>
          <w:sz w:val="22"/>
          <w:szCs w:val="22"/>
        </w:rPr>
        <w:t>Κάθε</w:t>
      </w:r>
      <w:proofErr w:type="spellEnd"/>
      <w:r w:rsidRPr="00F2459C">
        <w:rPr>
          <w:rFonts w:ascii="Times New Roman" w:hAnsi="Times New Roman" w:cs="Times New Roman"/>
          <w:sz w:val="22"/>
          <w:szCs w:val="22"/>
        </w:rPr>
        <w:t xml:space="preserve"> ml </w:t>
      </w:r>
      <w:proofErr w:type="spellStart"/>
      <w:r w:rsidRPr="00F2459C">
        <w:rPr>
          <w:rFonts w:ascii="Times New Roman" w:hAnsi="Times New Roman" w:cs="Times New Roman"/>
          <w:sz w:val="22"/>
          <w:szCs w:val="22"/>
        </w:rPr>
        <w:t>περιέχει</w:t>
      </w:r>
      <w:proofErr w:type="spellEnd"/>
      <w:r w:rsidRPr="00F2459C">
        <w:rPr>
          <w:rFonts w:ascii="Times New Roman" w:hAnsi="Times New Roman" w:cs="Times New Roman"/>
          <w:sz w:val="22"/>
          <w:szCs w:val="22"/>
        </w:rPr>
        <w:t>:</w:t>
      </w:r>
    </w:p>
    <w:p w:rsidR="00F2459C" w:rsidRDefault="00F2459C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2459C" w:rsidRPr="00F2459C" w:rsidRDefault="00F2459C" w:rsidP="005832F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άτριο χλωριούχο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</w:rPr>
        <w:t>q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.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ιόν νατρίου)     </w:t>
      </w:r>
      <w:r w:rsidR="00C213FC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0,145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</w:p>
    <w:p w:rsidR="00F2459C" w:rsidRPr="00F2459C" w:rsidRDefault="00F2459C" w:rsidP="005832F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άτριο καπρυλικό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                            </w:t>
      </w:r>
      <w:r w:rsidR="000B310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  0,016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</w:p>
    <w:p w:rsidR="00F2459C" w:rsidRDefault="00F2459C" w:rsidP="005832F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2459C">
        <w:rPr>
          <w:rFonts w:ascii="Times New Roman" w:hAnsi="Times New Roman" w:cs="Times New Roman"/>
          <w:sz w:val="22"/>
          <w:szCs w:val="22"/>
          <w:lang w:val="el-GR"/>
        </w:rPr>
        <w:t>N-ακετυλο-θρυπτοφάνη νατριούχος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     </w:t>
      </w:r>
      <w:r w:rsidR="00C213F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0,016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</w:p>
    <w:p w:rsidR="00F2459C" w:rsidRPr="00F2459C" w:rsidRDefault="00F2459C" w:rsidP="005832F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Ύ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δωρ για ενέσιμα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q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.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2459C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A7A82" w:rsidRPr="00510549" w:rsidRDefault="005A7A82" w:rsidP="00510549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lastRenderedPageBreak/>
        <w:t>6.2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>Ασυμβατότητες</w:t>
      </w:r>
    </w:p>
    <w:p w:rsidR="00ED7629" w:rsidRDefault="00ED7629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ED7629" w:rsidRPr="00BF1164" w:rsidRDefault="00ED7629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Η </w:t>
      </w:r>
      <w:r w:rsidRPr="00ED7629">
        <w:rPr>
          <w:rFonts w:ascii="Times New Roman" w:hAnsi="Times New Roman" w:cs="Times New Roman"/>
          <w:sz w:val="22"/>
          <w:szCs w:val="22"/>
          <w:lang w:val="el-GR"/>
        </w:rPr>
        <w:t>ανθρώπινη λευκωματίνη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δεν πρέπει να αναμιγνύεται με άλλα φαρμακευτικά προϊόντα</w:t>
      </w:r>
      <w:r w:rsidRPr="00ED7629">
        <w:rPr>
          <w:rFonts w:ascii="Times New Roman" w:hAnsi="Times New Roman" w:cs="Times New Roman"/>
          <w:sz w:val="22"/>
          <w:szCs w:val="22"/>
          <w:lang w:val="el-GR"/>
        </w:rPr>
        <w:t xml:space="preserve"> (εκτός </w:t>
      </w:r>
      <w:r>
        <w:rPr>
          <w:rFonts w:ascii="Times New Roman" w:hAnsi="Times New Roman" w:cs="Times New Roman"/>
          <w:sz w:val="22"/>
          <w:szCs w:val="22"/>
          <w:lang w:val="el-GR"/>
        </w:rPr>
        <w:t>αυτών</w:t>
      </w:r>
      <w:r w:rsidRPr="00ED7629">
        <w:rPr>
          <w:rFonts w:ascii="Times New Roman" w:hAnsi="Times New Roman" w:cs="Times New Roman"/>
          <w:sz w:val="22"/>
          <w:szCs w:val="22"/>
          <w:lang w:val="el-GR"/>
        </w:rPr>
        <w:t xml:space="preserve"> που αναφέρονται στην παράγραφο 6.6), πλήρες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αίμα και </w:t>
      </w:r>
      <w:r w:rsidRPr="00ED7629">
        <w:rPr>
          <w:rFonts w:ascii="Times New Roman" w:hAnsi="Times New Roman" w:cs="Times New Roman"/>
          <w:sz w:val="22"/>
          <w:szCs w:val="22"/>
          <w:lang w:val="el-GR"/>
        </w:rPr>
        <w:t>συμπύκνωμα ερυθρών αιμοσφαιρίων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6.3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ab/>
        <w:t>Διάρκεια ζωής</w:t>
      </w:r>
    </w:p>
    <w:p w:rsidR="00ED7629" w:rsidRDefault="00ED7629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ED7629" w:rsidRPr="00BF1164" w:rsidRDefault="00ED7629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3 χρόνια.</w:t>
      </w:r>
    </w:p>
    <w:p w:rsidR="00F233F6" w:rsidRPr="00510549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10549">
      <w:pPr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Ιδιαίτερες προφυλάξεις κατά την φύλαξη του προϊόντος</w:t>
      </w:r>
    </w:p>
    <w:p w:rsidR="00ED7629" w:rsidRDefault="00ED7629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7A15B8" w:rsidRDefault="00ED7629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56E4E">
        <w:rPr>
          <w:rFonts w:ascii="Times New Roman" w:hAnsi="Times New Roman" w:cs="Times New Roman"/>
          <w:sz w:val="22"/>
          <w:szCs w:val="22"/>
          <w:lang w:val="el-GR"/>
        </w:rPr>
        <w:t xml:space="preserve">Μη φυλάσσετε σε θερμοκρασία μεγαλύτερη των 25°C. Μην καταψύχετε. </w:t>
      </w:r>
    </w:p>
    <w:p w:rsidR="00ED7629" w:rsidRPr="00ED7629" w:rsidRDefault="00ED7629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56E4E">
        <w:rPr>
          <w:rFonts w:ascii="Times New Roman" w:hAnsi="Times New Roman" w:cs="Times New Roman"/>
          <w:sz w:val="22"/>
          <w:szCs w:val="22"/>
          <w:lang w:val="el-GR"/>
        </w:rPr>
        <w:t>Φυλάσσετε το φιαλίδιο στο εξωτερικό κουτί για να προστατεύεται από το φως.</w:t>
      </w: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Pr="00BF1164" w:rsidRDefault="00F233F6" w:rsidP="00510549">
      <w:pPr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Φύση και συστατικά του περιέκτη</w:t>
      </w:r>
    </w:p>
    <w:p w:rsidR="00772983" w:rsidRPr="00510549" w:rsidRDefault="00772983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772983" w:rsidRPr="00772983" w:rsidRDefault="00772983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64A51">
        <w:rPr>
          <w:rFonts w:ascii="Times New Roman" w:hAnsi="Times New Roman" w:cs="Times New Roman"/>
          <w:lang w:val="el-GR"/>
        </w:rPr>
        <w:t xml:space="preserve">Το </w:t>
      </w:r>
      <w:r w:rsidR="007A15B8">
        <w:rPr>
          <w:rFonts w:ascii="Times New Roman" w:hAnsi="Times New Roman" w:cs="Times New Roman"/>
          <w:caps/>
          <w:sz w:val="22"/>
          <w:szCs w:val="22"/>
        </w:rPr>
        <w:t>H</w:t>
      </w:r>
      <w:r w:rsidR="007A15B8">
        <w:rPr>
          <w:rFonts w:ascii="Times New Roman" w:hAnsi="Times New Roman" w:cs="Times New Roman"/>
          <w:sz w:val="22"/>
          <w:szCs w:val="22"/>
        </w:rPr>
        <w:t>uman</w:t>
      </w:r>
      <w:r w:rsidR="007A15B8" w:rsidRPr="0014393E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7A15B8">
        <w:rPr>
          <w:rFonts w:ascii="Times New Roman" w:hAnsi="Times New Roman" w:cs="Times New Roman"/>
          <w:caps/>
          <w:sz w:val="22"/>
          <w:szCs w:val="22"/>
        </w:rPr>
        <w:t>A</w:t>
      </w:r>
      <w:r w:rsidR="007A15B8">
        <w:rPr>
          <w:rFonts w:ascii="Times New Roman" w:hAnsi="Times New Roman" w:cs="Times New Roman"/>
          <w:sz w:val="22"/>
          <w:szCs w:val="22"/>
        </w:rPr>
        <w:t>lbumin</w:t>
      </w:r>
      <w:r w:rsidR="006C6588" w:rsidRPr="00D51E79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proofErr w:type="spellStart"/>
      <w:r w:rsidR="007A15B8">
        <w:rPr>
          <w:rFonts w:ascii="Times New Roman" w:hAnsi="Times New Roman" w:cs="Times New Roman"/>
          <w:caps/>
          <w:sz w:val="22"/>
          <w:szCs w:val="22"/>
        </w:rPr>
        <w:t>G</w:t>
      </w:r>
      <w:r w:rsidR="007A15B8">
        <w:rPr>
          <w:rFonts w:ascii="Times New Roman" w:hAnsi="Times New Roman" w:cs="Times New Roman"/>
          <w:sz w:val="22"/>
          <w:szCs w:val="22"/>
        </w:rPr>
        <w:t>rifols</w:t>
      </w:r>
      <w:proofErr w:type="spellEnd"/>
      <w:r w:rsidR="00241006" w:rsidRPr="000A183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241006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41006">
        <w:rPr>
          <w:rFonts w:ascii="Times New Roman" w:hAnsi="Times New Roman" w:cs="Times New Roman"/>
          <w:sz w:val="22"/>
          <w:szCs w:val="22"/>
        </w:rPr>
        <w:t>mg</w:t>
      </w:r>
      <w:r w:rsidR="00241006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241006">
        <w:rPr>
          <w:rFonts w:ascii="Times New Roman" w:hAnsi="Times New Roman" w:cs="Times New Roman"/>
          <w:sz w:val="22"/>
          <w:szCs w:val="22"/>
        </w:rPr>
        <w:t>ml</w:t>
      </w:r>
      <w:r w:rsidRPr="00664A51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664A51" w:rsidRPr="00664A51">
        <w:rPr>
          <w:rFonts w:ascii="Times New Roman" w:hAnsi="Times New Roman" w:cs="Times New Roman"/>
          <w:sz w:val="22"/>
          <w:szCs w:val="22"/>
          <w:lang w:val="el-GR"/>
        </w:rPr>
        <w:t>διατίθεται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σε γυάλιν</w:t>
      </w:r>
      <w:r w:rsidR="00416DA9" w:rsidRPr="00664A51">
        <w:rPr>
          <w:rFonts w:ascii="Times New Roman" w:hAnsi="Times New Roman" w:cs="Times New Roman"/>
          <w:sz w:val="22"/>
          <w:szCs w:val="22"/>
          <w:lang w:val="el-GR"/>
        </w:rPr>
        <w:t>α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φι</w:t>
      </w:r>
      <w:r w:rsidR="00416DA9" w:rsidRPr="00664A51">
        <w:rPr>
          <w:rFonts w:ascii="Times New Roman" w:hAnsi="Times New Roman" w:cs="Times New Roman"/>
          <w:sz w:val="22"/>
          <w:szCs w:val="22"/>
          <w:lang w:val="el-GR"/>
        </w:rPr>
        <w:t>αλίδια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τύπου ΙΙ που περιέχουν 50 </w:t>
      </w:r>
      <w:r w:rsidRPr="00664A51">
        <w:rPr>
          <w:rFonts w:ascii="Times New Roman" w:hAnsi="Times New Roman" w:cs="Times New Roman"/>
          <w:sz w:val="22"/>
          <w:szCs w:val="22"/>
        </w:rPr>
        <w:t>ml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και 100 </w:t>
      </w:r>
      <w:r w:rsidRPr="00664A51">
        <w:rPr>
          <w:rFonts w:ascii="Times New Roman" w:hAnsi="Times New Roman" w:cs="Times New Roman"/>
          <w:sz w:val="22"/>
          <w:szCs w:val="22"/>
        </w:rPr>
        <w:t>ml</w:t>
      </w:r>
      <w:r w:rsidRPr="00664A51">
        <w:rPr>
          <w:rFonts w:ascii="Times New Roman" w:hAnsi="Times New Roman" w:cs="Times New Roman"/>
          <w:sz w:val="22"/>
          <w:szCs w:val="22"/>
          <w:lang w:val="el-GR"/>
        </w:rPr>
        <w:t xml:space="preserve"> ανθρώπινη λευκωματίνη.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233F6" w:rsidRDefault="006C10EC" w:rsidP="005832FB">
      <w:pPr>
        <w:numPr>
          <w:ilvl w:val="1"/>
          <w:numId w:val="24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Ιδιαίτερες προφυλάξεις απόρριψης και άλλος χειρισμός</w:t>
      </w:r>
    </w:p>
    <w:p w:rsidR="00772983" w:rsidRDefault="00772983" w:rsidP="005832F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772983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832FB">
        <w:rPr>
          <w:rFonts w:ascii="Times New Roman" w:hAnsi="Times New Roman" w:cs="Times New Roman"/>
          <w:sz w:val="22"/>
          <w:szCs w:val="22"/>
        </w:rPr>
        <w:t>To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διάλυμα 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μπορεί να χορηγηθεί </w:t>
      </w:r>
      <w:r w:rsidR="00EF3184">
        <w:rPr>
          <w:rFonts w:ascii="Times New Roman" w:hAnsi="Times New Roman" w:cs="Times New Roman"/>
          <w:sz w:val="22"/>
          <w:szCs w:val="22"/>
          <w:lang w:val="el-GR"/>
        </w:rPr>
        <w:t xml:space="preserve">απευθείας 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>διά της ενδοφλέβιας οδού</w:t>
      </w:r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 ή </w:t>
      </w:r>
      <w:proofErr w:type="gramStart"/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>μπορεί  να</w:t>
      </w:r>
      <w:proofErr w:type="gramEnd"/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 αραιωθεί σε ισότονο διάλυμα</w:t>
      </w:r>
      <w:r w:rsidRPr="006C10EC">
        <w:rPr>
          <w:rFonts w:ascii="Times New Roman" w:hAnsi="Times New Roman" w:cs="Times New Roman"/>
          <w:sz w:val="22"/>
          <w:szCs w:val="22"/>
          <w:lang w:val="el-GR"/>
        </w:rPr>
        <w:t xml:space="preserve"> (π.χ. γλυκόζης 5% ή χλωριούχου νατρίου 0,9%).</w:t>
      </w:r>
    </w:p>
    <w:p w:rsidR="00772983" w:rsidRPr="006C10EC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C10E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772983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265B88">
        <w:rPr>
          <w:rFonts w:ascii="Times New Roman" w:hAnsi="Times New Roman" w:cs="Times New Roman"/>
          <w:sz w:val="22"/>
          <w:szCs w:val="22"/>
          <w:lang w:val="el-GR"/>
        </w:rPr>
        <w:t>Τα διαλύματα λευκωματίνης δεν πρέπει να αραιώνονται με ύδωρ για ενέσιμα διότι αυτό μπορεί να προκαλέσει αιμόλυση στους λήπτες.</w:t>
      </w:r>
    </w:p>
    <w:p w:rsidR="00772983" w:rsidRPr="00772983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C10EC" w:rsidRPr="005832FB" w:rsidRDefault="006C10EC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Εάν πρόκειται να χορηγηθούν μεγάλοι όγκοι, το προϊόν </w:t>
      </w:r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>πρέπει να θερμαίνεται σε θερμοκρασία δωματίου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 ή σε θερμοκρασία σώματος πριν από τη χρήση.</w:t>
      </w:r>
    </w:p>
    <w:p w:rsidR="00772983" w:rsidRDefault="00772983" w:rsidP="00D51E79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72983" w:rsidRPr="00BF1164" w:rsidRDefault="00772983" w:rsidP="00510549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F233F6">
        <w:rPr>
          <w:rFonts w:ascii="Times New Roman" w:hAnsi="Times New Roman" w:cs="Times New Roman"/>
          <w:sz w:val="22"/>
          <w:szCs w:val="22"/>
          <w:lang w:val="el-GR"/>
        </w:rPr>
        <w:t>ο διάλυμα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πρέπει να</w:t>
      </w:r>
      <w:r w:rsidR="00F233F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233F6" w:rsidRPr="00BF1164">
        <w:rPr>
          <w:rFonts w:ascii="Times New Roman" w:hAnsi="Times New Roman" w:cs="Times New Roman"/>
          <w:sz w:val="22"/>
          <w:szCs w:val="22"/>
          <w:lang w:val="el-GR"/>
        </w:rPr>
        <w:t>είναι διαυγές ή ελαφρώς ιριδίζον.</w:t>
      </w:r>
      <w:r w:rsidRPr="00772983">
        <w:rPr>
          <w:sz w:val="22"/>
          <w:szCs w:val="22"/>
          <w:lang w:val="el-GR"/>
        </w:rPr>
        <w:t xml:space="preserve"> </w:t>
      </w:r>
      <w:r w:rsidRPr="00772983">
        <w:rPr>
          <w:rFonts w:ascii="Times New Roman" w:hAnsi="Times New Roman" w:cs="Times New Roman"/>
          <w:sz w:val="22"/>
          <w:szCs w:val="22"/>
          <w:lang w:val="el-GR"/>
        </w:rPr>
        <w:t>Μη χρησιμοποιείτε διαλύματα τα οποία είναι θολά ή περιέχουν ιζήματα. Αυτό ενδέχεται να σημαίν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ει ότι η πρωτεΐνη </w:t>
      </w:r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>είναι ασ</w:t>
      </w:r>
      <w:r w:rsidR="00DA1ED1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5832FB" w:rsidRPr="005832FB">
        <w:rPr>
          <w:rFonts w:ascii="Times New Roman" w:hAnsi="Times New Roman" w:cs="Times New Roman"/>
          <w:sz w:val="22"/>
          <w:szCs w:val="22"/>
          <w:lang w:val="el-GR"/>
        </w:rPr>
        <w:t>αθής</w:t>
      </w:r>
      <w:r w:rsidRPr="005832FB">
        <w:rPr>
          <w:rFonts w:ascii="Times New Roman" w:hAnsi="Times New Roman" w:cs="Times New Roman"/>
          <w:sz w:val="22"/>
          <w:szCs w:val="22"/>
          <w:lang w:val="el-GR"/>
        </w:rPr>
        <w:t xml:space="preserve"> ή ότι το διάλυμα έχει επιμολυνθεί.</w:t>
      </w:r>
    </w:p>
    <w:p w:rsidR="00772983" w:rsidRPr="00772983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72983" w:rsidRPr="00BF1164" w:rsidRDefault="00DA1ED1" w:rsidP="00510549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Από τη στιγμή</w:t>
      </w:r>
      <w:r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που</w:t>
      </w:r>
      <w:r w:rsidR="00C213FC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772983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772983" w:rsidRPr="00772983">
        <w:rPr>
          <w:rFonts w:ascii="Times New Roman" w:hAnsi="Times New Roman" w:cs="Times New Roman"/>
          <w:sz w:val="22"/>
          <w:szCs w:val="22"/>
          <w:lang w:val="el-GR"/>
        </w:rPr>
        <w:t>φιαλίδιο ανοιχθεί, το περιεχόμενό του</w:t>
      </w:r>
      <w:r w:rsidR="00772983" w:rsidRPr="00BF1164">
        <w:rPr>
          <w:rFonts w:ascii="Times New Roman" w:hAnsi="Times New Roman" w:cs="Times New Roman"/>
          <w:sz w:val="22"/>
          <w:szCs w:val="22"/>
          <w:lang w:val="el-GR"/>
        </w:rPr>
        <w:t xml:space="preserve"> πρέπει να χρησιμοποιείται </w:t>
      </w:r>
      <w:r w:rsidR="00772983" w:rsidRPr="00772983">
        <w:rPr>
          <w:rFonts w:ascii="Times New Roman" w:hAnsi="Times New Roman" w:cs="Times New Roman"/>
          <w:sz w:val="22"/>
          <w:szCs w:val="22"/>
          <w:lang w:val="el-GR"/>
        </w:rPr>
        <w:t>άμεσα</w:t>
      </w:r>
      <w:r w:rsidR="00772983" w:rsidRPr="00BF11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772983" w:rsidRPr="00772983" w:rsidRDefault="00772983" w:rsidP="005832FB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72983" w:rsidRPr="00772983" w:rsidRDefault="00772983" w:rsidP="005832FB">
      <w:pPr>
        <w:ind w:left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72983">
        <w:rPr>
          <w:rFonts w:ascii="Times New Roman" w:hAnsi="Times New Roman" w:cs="Times New Roman"/>
          <w:sz w:val="22"/>
          <w:szCs w:val="22"/>
          <w:lang w:val="el-GR"/>
        </w:rPr>
        <w:t>Κάθε αχρησιμοποίητο προϊόν ή υπόλειμμα πρέπει να απορρίπτεται σύμφωνα με τις κατά τόπους ισχύουσες σχετικές διατάξεις.</w:t>
      </w:r>
    </w:p>
    <w:p w:rsidR="00F233F6" w:rsidRPr="00510549" w:rsidRDefault="00F233F6" w:rsidP="00510549">
      <w:pPr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7.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>ΚΑΤΟΧΟΣ</w:t>
      </w:r>
      <w:r w:rsidR="000B146C" w:rsidRPr="00510549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Pr="00510549">
        <w:rPr>
          <w:rFonts w:ascii="Times New Roman" w:hAnsi="Times New Roman" w:cs="Times New Roman"/>
          <w:b/>
          <w:sz w:val="22"/>
          <w:szCs w:val="22"/>
          <w:lang w:val="el-GR"/>
        </w:rPr>
        <w:t>ΑΔΕΙΑΣ ΚΥΚΛΟΦΟΡΙΑΣ</w:t>
      </w:r>
    </w:p>
    <w:p w:rsidR="00772983" w:rsidRDefault="00772983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7A15B8" w:rsidRPr="00D51E79" w:rsidRDefault="007A15B8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D51E79">
        <w:rPr>
          <w:rFonts w:ascii="Times New Roman" w:eastAsia="Arial Unicode MS" w:hAnsi="Times New Roman" w:cs="Times New Roman"/>
          <w:bCs/>
          <w:sz w:val="22"/>
          <w:szCs w:val="22"/>
          <w:lang w:val="el-GR" w:eastAsia="ja-JP"/>
        </w:rPr>
        <w:t>Κάτοχος  άδειας κυκλοφορίας:</w:t>
      </w:r>
    </w:p>
    <w:p w:rsidR="00F233F6" w:rsidRPr="00BF1164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DEMO ΑΒΕΕ</w:t>
      </w:r>
    </w:p>
    <w:p w:rsidR="00F233F6" w:rsidRPr="00BF1164" w:rsidRDefault="00415B93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D51E7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21ο</w:t>
      </w:r>
      <w:r w:rsidRPr="0051054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χλμ</w:t>
      </w:r>
      <w:r w:rsidRPr="00D51E7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. Εθν. Οδού</w:t>
      </w:r>
      <w:r w:rsidRPr="0051054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Αθηνών-Λαμίας</w:t>
      </w:r>
      <w:r w:rsidRPr="006E1CE0" w:rsidDel="00415B93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51054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14568 </w:t>
      </w:r>
      <w:r w:rsidRPr="00D51E79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Αθήνα Ελλάδα</w:t>
      </w:r>
    </w:p>
    <w:p w:rsidR="00F233F6" w:rsidRPr="00510549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Τηλ</w:t>
      </w:r>
      <w:r w:rsidR="00415B93" w:rsidRPr="00510549">
        <w:rPr>
          <w:rFonts w:ascii="Times New Roman" w:hAnsi="Times New Roman" w:cs="Times New Roman"/>
          <w:sz w:val="22"/>
          <w:szCs w:val="22"/>
        </w:rPr>
        <w:t>:</w:t>
      </w:r>
      <w:r w:rsidRPr="00510549">
        <w:rPr>
          <w:rFonts w:ascii="Times New Roman" w:hAnsi="Times New Roman" w:cs="Times New Roman"/>
          <w:sz w:val="22"/>
          <w:szCs w:val="22"/>
        </w:rPr>
        <w:t xml:space="preserve"> 210 8161802</w:t>
      </w:r>
    </w:p>
    <w:p w:rsidR="00F233F6" w:rsidRPr="00510549" w:rsidRDefault="00F233F6" w:rsidP="005832FB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F1164">
        <w:rPr>
          <w:rFonts w:ascii="Times New Roman" w:hAnsi="Times New Roman" w:cs="Times New Roman"/>
          <w:sz w:val="22"/>
          <w:szCs w:val="22"/>
          <w:lang w:val="el-GR"/>
        </w:rPr>
        <w:t>Φαξ</w:t>
      </w:r>
      <w:r w:rsidR="00415B93" w:rsidRPr="00510549">
        <w:rPr>
          <w:rFonts w:ascii="Times New Roman" w:hAnsi="Times New Roman" w:cs="Times New Roman"/>
          <w:sz w:val="22"/>
          <w:szCs w:val="22"/>
        </w:rPr>
        <w:t>:</w:t>
      </w:r>
      <w:r w:rsidRPr="00510549">
        <w:rPr>
          <w:rFonts w:ascii="Times New Roman" w:hAnsi="Times New Roman" w:cs="Times New Roman"/>
          <w:sz w:val="22"/>
          <w:szCs w:val="22"/>
        </w:rPr>
        <w:t xml:space="preserve"> 210 8161587</w:t>
      </w:r>
    </w:p>
    <w:p w:rsidR="007A15B8" w:rsidRPr="00510549" w:rsidRDefault="007A15B8" w:rsidP="0051054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A15B8" w:rsidRPr="00510549" w:rsidRDefault="007A15B8" w:rsidP="00510549">
      <w:pPr>
        <w:ind w:left="709"/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r w:rsidRPr="00D51E79">
        <w:rPr>
          <w:rFonts w:ascii="Times New Roman" w:eastAsia="Arial Unicode MS" w:hAnsi="Times New Roman" w:cs="Times New Roman"/>
          <w:bCs/>
          <w:sz w:val="22"/>
          <w:szCs w:val="22"/>
          <w:lang w:val="el-GR" w:eastAsia="ja-JP"/>
        </w:rPr>
        <w:t>Παραγωγός</w:t>
      </w:r>
      <w:r w:rsidRPr="00510549">
        <w:rPr>
          <w:rFonts w:ascii="Times New Roman" w:eastAsia="Arial Unicode MS" w:hAnsi="Times New Roman" w:cs="Times New Roman"/>
          <w:bCs/>
          <w:sz w:val="22"/>
          <w:szCs w:val="22"/>
          <w:lang w:eastAsia="ja-JP"/>
        </w:rPr>
        <w:t>:</w:t>
      </w:r>
    </w:p>
    <w:p w:rsidR="007A15B8" w:rsidRPr="00D51E79" w:rsidRDefault="007A15B8" w:rsidP="005832FB">
      <w:pPr>
        <w:ind w:left="709"/>
        <w:jc w:val="both"/>
        <w:rPr>
          <w:rFonts w:ascii="Times New Roman" w:eastAsia="Arial Unicode MS" w:hAnsi="Times New Roman" w:cs="Times New Roman"/>
          <w:sz w:val="22"/>
          <w:szCs w:val="22"/>
          <w:lang w:val="es-ES" w:eastAsia="ja-JP"/>
        </w:rPr>
      </w:pPr>
      <w:proofErr w:type="spell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Instituto</w:t>
      </w:r>
      <w:proofErr w:type="spellEnd"/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proofErr w:type="spell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Grifols</w:t>
      </w:r>
      <w:proofErr w:type="spellEnd"/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, </w:t>
      </w:r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S</w:t>
      </w: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>.</w:t>
      </w:r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A</w:t>
      </w: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>.</w:t>
      </w:r>
    </w:p>
    <w:p w:rsidR="007A15B8" w:rsidRPr="00D51E79" w:rsidRDefault="007A15B8" w:rsidP="005832FB">
      <w:pPr>
        <w:ind w:left="709"/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Can</w:t>
      </w: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proofErr w:type="spell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Guasc</w:t>
      </w:r>
      <w:proofErr w:type="spellEnd"/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, 2 </w:t>
      </w:r>
      <w:r>
        <w:rPr>
          <w:rFonts w:ascii="Times New Roman" w:eastAsia="Arial Unicode MS" w:hAnsi="Times New Roman" w:cs="Times New Roman"/>
          <w:sz w:val="22"/>
          <w:szCs w:val="22"/>
          <w:lang w:val="es-ES" w:eastAsia="ja-JP"/>
        </w:rPr>
        <w:t>-</w:t>
      </w: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proofErr w:type="spell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Parets</w:t>
      </w:r>
      <w:proofErr w:type="spellEnd"/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proofErr w:type="gram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del</w:t>
      </w:r>
      <w:proofErr w:type="gramEnd"/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proofErr w:type="spellStart"/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Vall</w:t>
      </w: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>è</w:t>
      </w:r>
      <w:r w:rsidRPr="00D51E79">
        <w:rPr>
          <w:rFonts w:ascii="Times New Roman" w:eastAsia="Arial Unicode MS" w:hAnsi="Times New Roman" w:cs="Times New Roman"/>
          <w:sz w:val="22"/>
          <w:szCs w:val="22"/>
          <w:lang w:eastAsia="ja-JP"/>
        </w:rPr>
        <w:t>s</w:t>
      </w:r>
      <w:proofErr w:type="spellEnd"/>
    </w:p>
    <w:p w:rsidR="007A15B8" w:rsidRPr="00D51E79" w:rsidRDefault="007A15B8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510549">
        <w:rPr>
          <w:rFonts w:ascii="Times New Roman" w:eastAsia="Arial Unicode MS" w:hAnsi="Times New Roman" w:cs="Times New Roman"/>
          <w:sz w:val="22"/>
          <w:szCs w:val="22"/>
          <w:lang w:eastAsia="ja-JP"/>
        </w:rPr>
        <w:t>08150 Barcelona - SPAIN</w:t>
      </w:r>
    </w:p>
    <w:p w:rsidR="00F233F6" w:rsidRDefault="00F233F6" w:rsidP="005832FB">
      <w:pPr>
        <w:jc w:val="both"/>
        <w:rPr>
          <w:rFonts w:ascii="Times New Roman" w:hAnsi="Times New Roman" w:cs="Times New Roman"/>
          <w:sz w:val="22"/>
          <w:szCs w:val="22"/>
          <w:lang w:val="fr-CA"/>
        </w:rPr>
      </w:pPr>
    </w:p>
    <w:p w:rsidR="00F233F6" w:rsidRPr="00510549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8.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>ΑΡΙΘΜΟΣ</w:t>
      </w:r>
      <w:r w:rsidR="000B146C"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(ΟΙ)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ΑΔΕΙΑΣ ΚΥΚΛΟΦΟΡΙΑΣ</w:t>
      </w:r>
    </w:p>
    <w:p w:rsidR="009D2B6A" w:rsidRDefault="009D2B6A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F90DF4" w:rsidRPr="00510549" w:rsidRDefault="00F90DF4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sz w:val="22"/>
          <w:szCs w:val="22"/>
          <w:lang w:val="el-GR"/>
        </w:rPr>
        <w:t>1140/20-3-2000</w:t>
      </w:r>
    </w:p>
    <w:p w:rsidR="00F90DF4" w:rsidRPr="00510549" w:rsidRDefault="00F90DF4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233F6" w:rsidRPr="00BF1164" w:rsidRDefault="00F233F6" w:rsidP="005832FB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9.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 xml:space="preserve">ΗΜΕΡΟΜΗΝΙΑ ΠΡΩΤΗΣ 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ΕΓΚΡΙΣΗΣ / ΑΝΑΝΕΩΣΗΣ ΤΗΣ 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ΑΔΕΙΑΣ </w:t>
      </w:r>
    </w:p>
    <w:p w:rsidR="009D2B6A" w:rsidRPr="004B0DFD" w:rsidRDefault="009D2B6A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90DF4" w:rsidRPr="00510549" w:rsidRDefault="00F90DF4" w:rsidP="005832FB">
      <w:pPr>
        <w:ind w:left="709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10549">
        <w:rPr>
          <w:rFonts w:ascii="Times New Roman" w:hAnsi="Times New Roman" w:cs="Times New Roman"/>
          <w:sz w:val="22"/>
          <w:szCs w:val="22"/>
          <w:lang w:val="el-GR"/>
        </w:rPr>
        <w:t>15-2-1999</w:t>
      </w:r>
    </w:p>
    <w:p w:rsidR="00F233F6" w:rsidRPr="00510549" w:rsidRDefault="00F233F6" w:rsidP="00510549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772983" w:rsidRDefault="00F233F6" w:rsidP="005832FB">
      <w:pPr>
        <w:jc w:val="both"/>
        <w:rPr>
          <w:rFonts w:ascii="Times New Roman" w:hAnsi="Times New Roman" w:cs="Times New Roman"/>
          <w:lang w:val="el-GR"/>
        </w:rPr>
      </w:pP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>10.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ab/>
        <w:t xml:space="preserve">ΗΜΕΡΟΜΗΝΙΑ 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ΑΝΑΘΕΩΡΗΣ</w:t>
      </w:r>
      <w:r w:rsidR="000B146C">
        <w:rPr>
          <w:rFonts w:ascii="Times New Roman" w:hAnsi="Times New Roman" w:cs="Times New Roman"/>
          <w:b/>
          <w:bCs/>
          <w:sz w:val="22"/>
          <w:szCs w:val="22"/>
          <w:lang w:val="el-GR"/>
        </w:rPr>
        <w:t>ΗΣ</w:t>
      </w:r>
      <w:r w:rsidRPr="00BF1164">
        <w:rPr>
          <w:rFonts w:ascii="Times New Roman" w:hAnsi="Times New Roman" w:cs="Times New Roman"/>
          <w:b/>
          <w:sz w:val="22"/>
          <w:szCs w:val="22"/>
          <w:lang w:val="el-GR"/>
        </w:rPr>
        <w:t xml:space="preserve"> ΤΟΥ ΚΕΙΜΕΝΟΥ</w:t>
      </w:r>
    </w:p>
    <w:p w:rsidR="00F233F6" w:rsidRPr="00510549" w:rsidRDefault="00F233F6" w:rsidP="0051054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sectPr w:rsidR="00F233F6" w:rsidRPr="00510549">
      <w:headerReference w:type="default" r:id="rId8"/>
      <w:footerReference w:type="default" r:id="rId9"/>
      <w:pgSz w:w="11907" w:h="16840" w:code="9"/>
      <w:pgMar w:top="1440" w:right="1588" w:bottom="1440" w:left="1588" w:header="1077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6B" w:rsidRDefault="002E646B">
      <w:r>
        <w:separator/>
      </w:r>
    </w:p>
  </w:endnote>
  <w:endnote w:type="continuationSeparator" w:id="0">
    <w:p w:rsidR="002E646B" w:rsidRDefault="002E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9E" w:rsidRPr="00510549" w:rsidRDefault="0014139E">
    <w:pPr>
      <w:pStyle w:val="a8"/>
      <w:rPr>
        <w:rFonts w:ascii="Times New Roman" w:hAnsi="Times New Roman" w:cs="Times New Roman"/>
        <w:sz w:val="20"/>
        <w:szCs w:val="20"/>
      </w:rPr>
    </w:pPr>
    <w:r w:rsidRPr="0014139E">
      <w:rPr>
        <w:rFonts w:ascii="Times New Roman" w:hAnsi="Times New Roman" w:cs="Times New Roman"/>
        <w:sz w:val="20"/>
        <w:szCs w:val="20"/>
      </w:rPr>
      <w:t xml:space="preserve">R:\IG\PROD\ALB\20%\ALB2003I\GRECIA\Renewal 2009\SPC-Mat </w:t>
    </w:r>
    <w:proofErr w:type="spellStart"/>
    <w:r w:rsidRPr="0014139E">
      <w:rPr>
        <w:rFonts w:ascii="Times New Roman" w:hAnsi="Times New Roman" w:cs="Times New Roman"/>
        <w:sz w:val="20"/>
        <w:szCs w:val="20"/>
      </w:rPr>
      <w:t>acond</w:t>
    </w:r>
    <w:proofErr w:type="spellEnd"/>
    <w:r w:rsidRPr="0014139E">
      <w:rPr>
        <w:rFonts w:ascii="Times New Roman" w:hAnsi="Times New Roman" w:cs="Times New Roman"/>
        <w:sz w:val="20"/>
        <w:szCs w:val="20"/>
      </w:rPr>
      <w:t xml:space="preserve"> QRD templates\Module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6B" w:rsidRDefault="002E646B">
      <w:r>
        <w:separator/>
      </w:r>
    </w:p>
  </w:footnote>
  <w:footnote w:type="continuationSeparator" w:id="0">
    <w:p w:rsidR="002E646B" w:rsidRDefault="002E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D" w:rsidRDefault="004B0D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6B1F6F"/>
    <w:multiLevelType w:val="hybridMultilevel"/>
    <w:tmpl w:val="37EEF232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372CC"/>
    <w:multiLevelType w:val="hybridMultilevel"/>
    <w:tmpl w:val="9A949AD0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F7647"/>
    <w:multiLevelType w:val="hybridMultilevel"/>
    <w:tmpl w:val="A3D8328E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36001"/>
    <w:multiLevelType w:val="hybridMultilevel"/>
    <w:tmpl w:val="98EAB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B7A71"/>
    <w:multiLevelType w:val="multilevel"/>
    <w:tmpl w:val="1AB884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B140E2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D6762B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B4086"/>
    <w:multiLevelType w:val="multilevel"/>
    <w:tmpl w:val="1AEE6DF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24E6CE7"/>
    <w:multiLevelType w:val="multilevel"/>
    <w:tmpl w:val="520E50F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3B24CE9"/>
    <w:multiLevelType w:val="singleLevel"/>
    <w:tmpl w:val="93ACC84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1">
    <w:nsid w:val="4F110F4E"/>
    <w:multiLevelType w:val="hybridMultilevel"/>
    <w:tmpl w:val="8946EC28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C041E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B6657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60B82"/>
    <w:multiLevelType w:val="singleLevel"/>
    <w:tmpl w:val="744ABC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lasArial" w:hAnsi="HellasArial" w:cs="HellasArial" w:hint="default"/>
        <w:b/>
        <w:bCs/>
        <w:i w:val="0"/>
        <w:iCs w:val="0"/>
        <w:sz w:val="24"/>
        <w:szCs w:val="24"/>
      </w:rPr>
    </w:lvl>
  </w:abstractNum>
  <w:abstractNum w:abstractNumId="15">
    <w:nsid w:val="59E913AE"/>
    <w:multiLevelType w:val="hybridMultilevel"/>
    <w:tmpl w:val="4F24855E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E13BC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C212D1"/>
    <w:multiLevelType w:val="multilevel"/>
    <w:tmpl w:val="37EEF232"/>
    <w:lvl w:ilvl="0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052A2C"/>
    <w:multiLevelType w:val="multilevel"/>
    <w:tmpl w:val="17AEB9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C496EFF"/>
    <w:multiLevelType w:val="hybridMultilevel"/>
    <w:tmpl w:val="F61AE7BE"/>
    <w:lvl w:ilvl="0" w:tplc="49FE26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D39E3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A44BFE"/>
    <w:multiLevelType w:val="multilevel"/>
    <w:tmpl w:val="98EAB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DD7A4C"/>
    <w:multiLevelType w:val="hybridMultilevel"/>
    <w:tmpl w:val="F6861BC8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106197"/>
    <w:multiLevelType w:val="hybridMultilevel"/>
    <w:tmpl w:val="6772F0E0"/>
    <w:lvl w:ilvl="0" w:tplc="68A85716">
      <w:start w:val="40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Symbol" w:hint="default"/>
        </w:rPr>
      </w:lvl>
    </w:lvlOverride>
  </w:num>
  <w:num w:numId="3">
    <w:abstractNumId w:val="10"/>
  </w:num>
  <w:num w:numId="4">
    <w:abstractNumId w:val="18"/>
  </w:num>
  <w:num w:numId="5">
    <w:abstractNumId w:val="19"/>
  </w:num>
  <w:num w:numId="6">
    <w:abstractNumId w:val="4"/>
  </w:num>
  <w:num w:numId="7">
    <w:abstractNumId w:val="21"/>
  </w:num>
  <w:num w:numId="8">
    <w:abstractNumId w:val="1"/>
  </w:num>
  <w:num w:numId="9">
    <w:abstractNumId w:val="16"/>
  </w:num>
  <w:num w:numId="10">
    <w:abstractNumId w:val="11"/>
  </w:num>
  <w:num w:numId="11">
    <w:abstractNumId w:val="20"/>
  </w:num>
  <w:num w:numId="12">
    <w:abstractNumId w:val="23"/>
  </w:num>
  <w:num w:numId="13">
    <w:abstractNumId w:val="13"/>
  </w:num>
  <w:num w:numId="14">
    <w:abstractNumId w:val="22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9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6D65"/>
    <w:rsid w:val="000048FE"/>
    <w:rsid w:val="00033AFA"/>
    <w:rsid w:val="00060730"/>
    <w:rsid w:val="00065485"/>
    <w:rsid w:val="000A183C"/>
    <w:rsid w:val="000B146C"/>
    <w:rsid w:val="000B3109"/>
    <w:rsid w:val="000F68DC"/>
    <w:rsid w:val="0014139E"/>
    <w:rsid w:val="00142E86"/>
    <w:rsid w:val="0014393E"/>
    <w:rsid w:val="0014505E"/>
    <w:rsid w:val="00153FC4"/>
    <w:rsid w:val="001714CA"/>
    <w:rsid w:val="00191634"/>
    <w:rsid w:val="00192EE3"/>
    <w:rsid w:val="001C7846"/>
    <w:rsid w:val="00202762"/>
    <w:rsid w:val="00210ED2"/>
    <w:rsid w:val="00220FFF"/>
    <w:rsid w:val="0022339B"/>
    <w:rsid w:val="002272EE"/>
    <w:rsid w:val="00241006"/>
    <w:rsid w:val="00257916"/>
    <w:rsid w:val="002611D5"/>
    <w:rsid w:val="00265B88"/>
    <w:rsid w:val="002A773C"/>
    <w:rsid w:val="002C0A08"/>
    <w:rsid w:val="002E26C0"/>
    <w:rsid w:val="002E646B"/>
    <w:rsid w:val="003101C7"/>
    <w:rsid w:val="00321864"/>
    <w:rsid w:val="00321C89"/>
    <w:rsid w:val="003274C2"/>
    <w:rsid w:val="00394C7C"/>
    <w:rsid w:val="003A7842"/>
    <w:rsid w:val="003C001F"/>
    <w:rsid w:val="003E0495"/>
    <w:rsid w:val="003E3DD4"/>
    <w:rsid w:val="003F568F"/>
    <w:rsid w:val="00407596"/>
    <w:rsid w:val="00411C81"/>
    <w:rsid w:val="00415B93"/>
    <w:rsid w:val="00416DA9"/>
    <w:rsid w:val="00454054"/>
    <w:rsid w:val="0048120D"/>
    <w:rsid w:val="004942E0"/>
    <w:rsid w:val="004A27DD"/>
    <w:rsid w:val="004A6850"/>
    <w:rsid w:val="004B0DFD"/>
    <w:rsid w:val="004C2B8D"/>
    <w:rsid w:val="00510549"/>
    <w:rsid w:val="00521D3C"/>
    <w:rsid w:val="0054551F"/>
    <w:rsid w:val="005722E2"/>
    <w:rsid w:val="005832FB"/>
    <w:rsid w:val="00594677"/>
    <w:rsid w:val="005A3A19"/>
    <w:rsid w:val="005A7A82"/>
    <w:rsid w:val="00664A51"/>
    <w:rsid w:val="006B540F"/>
    <w:rsid w:val="006C10EC"/>
    <w:rsid w:val="006C6588"/>
    <w:rsid w:val="006E1CE0"/>
    <w:rsid w:val="00713356"/>
    <w:rsid w:val="007217C4"/>
    <w:rsid w:val="0072677F"/>
    <w:rsid w:val="007326AB"/>
    <w:rsid w:val="007641E7"/>
    <w:rsid w:val="00772983"/>
    <w:rsid w:val="007915BC"/>
    <w:rsid w:val="007922C5"/>
    <w:rsid w:val="007A15B8"/>
    <w:rsid w:val="00860743"/>
    <w:rsid w:val="008C69CF"/>
    <w:rsid w:val="008E149C"/>
    <w:rsid w:val="008E1CBD"/>
    <w:rsid w:val="009019D3"/>
    <w:rsid w:val="00904161"/>
    <w:rsid w:val="00954992"/>
    <w:rsid w:val="00960A06"/>
    <w:rsid w:val="00964AE9"/>
    <w:rsid w:val="009A7394"/>
    <w:rsid w:val="009B78C6"/>
    <w:rsid w:val="009D2B6A"/>
    <w:rsid w:val="009E7F2A"/>
    <w:rsid w:val="00A2424E"/>
    <w:rsid w:val="00A30055"/>
    <w:rsid w:val="00A531BB"/>
    <w:rsid w:val="00AB01B7"/>
    <w:rsid w:val="00AE6B2E"/>
    <w:rsid w:val="00AF3C84"/>
    <w:rsid w:val="00BF1164"/>
    <w:rsid w:val="00BF2BB9"/>
    <w:rsid w:val="00BF2CCE"/>
    <w:rsid w:val="00C213FC"/>
    <w:rsid w:val="00C43BBE"/>
    <w:rsid w:val="00C56E4E"/>
    <w:rsid w:val="00C75BA7"/>
    <w:rsid w:val="00C80402"/>
    <w:rsid w:val="00CD7632"/>
    <w:rsid w:val="00D24C04"/>
    <w:rsid w:val="00D51E79"/>
    <w:rsid w:val="00D81770"/>
    <w:rsid w:val="00D96D65"/>
    <w:rsid w:val="00DA1ED1"/>
    <w:rsid w:val="00DD1575"/>
    <w:rsid w:val="00E02A24"/>
    <w:rsid w:val="00EC2AFC"/>
    <w:rsid w:val="00EC2DF5"/>
    <w:rsid w:val="00ED7629"/>
    <w:rsid w:val="00EE7AB5"/>
    <w:rsid w:val="00EF3184"/>
    <w:rsid w:val="00F0347F"/>
    <w:rsid w:val="00F172DB"/>
    <w:rsid w:val="00F233F3"/>
    <w:rsid w:val="00F233F6"/>
    <w:rsid w:val="00F2459C"/>
    <w:rsid w:val="00F26C86"/>
    <w:rsid w:val="00F26C9C"/>
    <w:rsid w:val="00F84CF3"/>
    <w:rsid w:val="00F90DF4"/>
    <w:rsid w:val="00FA4A29"/>
    <w:rsid w:val="00FD0AE6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9"/>
      <w:jc w:val="both"/>
    </w:pPr>
    <w:rPr>
      <w:sz w:val="22"/>
      <w:szCs w:val="22"/>
    </w:rPr>
  </w:style>
  <w:style w:type="paragraph" w:styleId="a4">
    <w:name w:val="Title"/>
    <w:basedOn w:val="a"/>
    <w:qFormat/>
    <w:pPr>
      <w:jc w:val="center"/>
    </w:pPr>
    <w:rPr>
      <w:b/>
      <w:bCs/>
      <w:lang w:val="el-GR"/>
    </w:rPr>
  </w:style>
  <w:style w:type="paragraph" w:styleId="a5">
    <w:name w:val="Balloon Text"/>
    <w:basedOn w:val="a"/>
    <w:semiHidden/>
    <w:rsid w:val="00192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21864"/>
    <w:pPr>
      <w:ind w:left="720"/>
    </w:pPr>
    <w:rPr>
      <w:rFonts w:ascii="Times New Roman" w:hAnsi="Times New Roman" w:cs="Times New Roman"/>
      <w:lang w:val="en-GB"/>
    </w:rPr>
  </w:style>
  <w:style w:type="paragraph" w:styleId="a7">
    <w:name w:val="header"/>
    <w:basedOn w:val="a"/>
    <w:rsid w:val="002611D5"/>
    <w:pPr>
      <w:widowControl w:val="0"/>
      <w:tabs>
        <w:tab w:val="center" w:pos="4153"/>
        <w:tab w:val="right" w:pos="8306"/>
      </w:tabs>
    </w:pPr>
    <w:rPr>
      <w:sz w:val="22"/>
      <w:szCs w:val="22"/>
      <w:lang w:val="el-GR"/>
    </w:rPr>
  </w:style>
  <w:style w:type="paragraph" w:styleId="2">
    <w:name w:val="Body Text Indent 2"/>
    <w:basedOn w:val="a"/>
    <w:rsid w:val="00153FC4"/>
    <w:pPr>
      <w:spacing w:after="120" w:line="480" w:lineRule="auto"/>
      <w:ind w:left="283"/>
    </w:pPr>
  </w:style>
  <w:style w:type="paragraph" w:styleId="a8">
    <w:name w:val="footer"/>
    <w:basedOn w:val="a"/>
    <w:rsid w:val="0014139E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11527</Characters>
  <Application>Microsoft Office Word</Application>
  <DocSecurity>0</DocSecurity>
  <Lines>96</Lines>
  <Paragraphs>27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ΠΕΡΙΛΗΨΗ ΤΩΝ ΧΑΡΑΚΤΗΡΙΣΤΙΚΩΝ ΤΟΥ ΠΡΟΙΟΝΤΟΣ</vt:lpstr>
      <vt:lpstr>ΠΕΡΙΛΗΨΗ ΤΩΝ ΧΑΡΑΚΤΗΡΙΣΤΙΚΩΝ ΤΟΥ ΠΡΟΙΟΝΤΟΣ</vt:lpstr>
      <vt:lpstr>ΠΕΡΙΛΗΨΗ ΤΩΝ ΧΑΡΑΚΤΗΡΙΣΤΙΚΩΝ ΤΟΥ ΠΡΟΙΟΝΤΟΣ</vt:lpstr>
    </vt:vector>
  </TitlesOfParts>
  <Company>Hewlett-Packard Company</Company>
  <LinksUpToDate>false</LinksUpToDate>
  <CharactersWithSpaces>13634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ΠΡΟΙΟΝΤΟΣ</dc:title>
  <dc:creator>User124</dc:creator>
  <cp:lastModifiedBy>user146</cp:lastModifiedBy>
  <cp:revision>2</cp:revision>
  <cp:lastPrinted>2015-09-16T11:52:00Z</cp:lastPrinted>
  <dcterms:created xsi:type="dcterms:W3CDTF">2015-09-16T11:58:00Z</dcterms:created>
  <dcterms:modified xsi:type="dcterms:W3CDTF">2015-09-16T11:58:00Z</dcterms:modified>
</cp:coreProperties>
</file>