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31D" w:rsidRPr="00B33C88" w:rsidRDefault="0062231D" w:rsidP="0062231D">
      <w:r w:rsidRPr="00B33C88">
        <w:rPr>
          <w:b/>
        </w:rPr>
        <w:t>1.</w:t>
      </w:r>
      <w:r w:rsidRPr="00B33C88">
        <w:rPr>
          <w:b/>
        </w:rPr>
        <w:tab/>
        <w:t>ΟΝΟΜΑΣΙΑ ΤΟΥ ΦΑΡΜΑΚΕΥΤΙΚΟΥ ΠΡΟΪΟΝΤΟΣ</w:t>
      </w:r>
    </w:p>
    <w:p w:rsidR="0062231D" w:rsidRPr="00B33C88" w:rsidRDefault="0062231D" w:rsidP="0062231D"/>
    <w:p w:rsidR="0062231D" w:rsidRPr="00B33C88" w:rsidRDefault="0062231D" w:rsidP="0062231D">
      <w:proofErr w:type="spellStart"/>
      <w:r>
        <w:rPr>
          <w:lang w:val="en-US"/>
        </w:rPr>
        <w:t>Afluon</w:t>
      </w:r>
      <w:proofErr w:type="spellEnd"/>
      <w:r w:rsidRPr="0099242C">
        <w:t xml:space="preserve"> 0</w:t>
      </w:r>
      <w:proofErr w:type="gramStart"/>
      <w:r w:rsidRPr="0099242C">
        <w:t>,15</w:t>
      </w:r>
      <w:proofErr w:type="gramEnd"/>
      <w:r w:rsidRPr="0099242C">
        <w:t xml:space="preserve">% </w:t>
      </w:r>
      <w:r>
        <w:rPr>
          <w:lang w:val="en-US"/>
        </w:rPr>
        <w:t>w</w:t>
      </w:r>
      <w:r w:rsidRPr="0099242C">
        <w:t>/</w:t>
      </w:r>
      <w:r>
        <w:rPr>
          <w:lang w:val="en-US"/>
        </w:rPr>
        <w:t>v</w:t>
      </w:r>
      <w:r>
        <w:t>, ρινικό εκνέφω</w:t>
      </w:r>
      <w:r w:rsidRPr="00B33C88">
        <w:t>μα, διάλυμα</w:t>
      </w:r>
    </w:p>
    <w:p w:rsidR="0062231D" w:rsidRPr="00B33C88" w:rsidRDefault="0062231D" w:rsidP="0062231D"/>
    <w:p w:rsidR="0062231D" w:rsidRPr="00B33C88" w:rsidRDefault="0062231D" w:rsidP="0062231D"/>
    <w:p w:rsidR="0062231D" w:rsidRPr="00B33C88" w:rsidRDefault="0062231D" w:rsidP="0062231D">
      <w:r w:rsidRPr="00B33C88">
        <w:rPr>
          <w:b/>
        </w:rPr>
        <w:t>2.</w:t>
      </w:r>
      <w:r w:rsidRPr="00B33C88">
        <w:rPr>
          <w:b/>
        </w:rPr>
        <w:tab/>
        <w:t>ΠΟΙΟΤΙΚΗ ΚΑΙ ΠΟΣΟΤΙΚΗ ΣΥΝΘΕΣΗ</w:t>
      </w:r>
    </w:p>
    <w:p w:rsidR="0062231D" w:rsidRPr="00B33C88" w:rsidRDefault="0062231D" w:rsidP="0062231D"/>
    <w:p w:rsidR="0062231D" w:rsidRPr="00B33C88" w:rsidRDefault="0062231D" w:rsidP="0062231D">
      <w:r w:rsidRPr="00B33C88">
        <w:t>Διάλυμα που περιέχει 1,5 mg/ml υδροχλωρικής αζελαστίνης.</w:t>
      </w:r>
    </w:p>
    <w:p w:rsidR="0062231D" w:rsidRPr="00B33C88" w:rsidRDefault="0062231D" w:rsidP="0062231D">
      <w:r w:rsidRPr="00B33C88">
        <w:t>Η παρεχόμενη δόση ανά ψεκασμό (0,14 ml) περιέχει 0,21 mg υδροχλωρικής αζελαστίνης ισοδύναμης με 0,19 mg αζελαστίνης.</w:t>
      </w:r>
    </w:p>
    <w:p w:rsidR="0062231D" w:rsidRPr="00B33C88" w:rsidRDefault="0062231D" w:rsidP="0062231D"/>
    <w:p w:rsidR="0062231D" w:rsidRPr="00B33C88" w:rsidRDefault="0062231D" w:rsidP="0062231D">
      <w:pPr>
        <w:rPr>
          <w:i/>
        </w:rPr>
      </w:pPr>
      <w:r w:rsidRPr="00B33C88">
        <w:rPr>
          <w:i/>
        </w:rPr>
        <w:t>Έκδοχα:</w:t>
      </w:r>
    </w:p>
    <w:p w:rsidR="0062231D" w:rsidRPr="00B33C88" w:rsidRDefault="0062231D" w:rsidP="0062231D">
      <w:r w:rsidRPr="00B33C88">
        <w:t>Ένας ψεκασμός περιέχει 0,017 mg χλωριούχου βενζαλκ</w:t>
      </w:r>
      <w:r>
        <w:t>ω</w:t>
      </w:r>
      <w:r w:rsidRPr="00B33C88">
        <w:t>νίου.</w:t>
      </w:r>
    </w:p>
    <w:p w:rsidR="0062231D" w:rsidRPr="00B33C88" w:rsidRDefault="0062231D" w:rsidP="0062231D"/>
    <w:p w:rsidR="0062231D" w:rsidRPr="00B33C88" w:rsidRDefault="0062231D" w:rsidP="0062231D">
      <w:r w:rsidRPr="00B33C88">
        <w:t>Για τον πλήρη κατάλογο των εκδόχων, βλ. παράγραφο 6.1.</w:t>
      </w:r>
    </w:p>
    <w:p w:rsidR="0062231D" w:rsidRPr="00B33C88" w:rsidRDefault="0062231D" w:rsidP="0062231D">
      <w:pPr>
        <w:pStyle w:val="a3"/>
        <w:tabs>
          <w:tab w:val="clear" w:pos="4153"/>
          <w:tab w:val="clear" w:pos="8306"/>
        </w:tabs>
      </w:pPr>
    </w:p>
    <w:p w:rsidR="0062231D" w:rsidRPr="00B33C88" w:rsidRDefault="0062231D" w:rsidP="0062231D"/>
    <w:p w:rsidR="0062231D" w:rsidRPr="00B33C88" w:rsidRDefault="0062231D" w:rsidP="0062231D">
      <w:r w:rsidRPr="00B33C88">
        <w:rPr>
          <w:b/>
        </w:rPr>
        <w:t>3.</w:t>
      </w:r>
      <w:r w:rsidRPr="00B33C88">
        <w:rPr>
          <w:b/>
        </w:rPr>
        <w:tab/>
        <w:t>ΦΑΡΜΑΚΟΤΕΧΝΙΚΗ ΜΟΡΦΗ</w:t>
      </w:r>
    </w:p>
    <w:p w:rsidR="0062231D" w:rsidRPr="00B33C88" w:rsidRDefault="0062231D" w:rsidP="0062231D"/>
    <w:p w:rsidR="0062231D" w:rsidRPr="00B33C88" w:rsidRDefault="0062231D" w:rsidP="0062231D">
      <w:r w:rsidRPr="00B33C88">
        <w:t>Ρινικό εκνέφωμα, διάλυμα</w:t>
      </w:r>
    </w:p>
    <w:p w:rsidR="0062231D" w:rsidRPr="00B33C88" w:rsidRDefault="0062231D" w:rsidP="0062231D">
      <w:r w:rsidRPr="00B33C88">
        <w:t>Διαυγές άχρωμο διάλυμα</w:t>
      </w:r>
    </w:p>
    <w:p w:rsidR="0062231D" w:rsidRPr="00B33C88" w:rsidRDefault="0062231D" w:rsidP="0062231D"/>
    <w:p w:rsidR="0062231D" w:rsidRPr="00B33C88" w:rsidRDefault="0062231D" w:rsidP="0062231D"/>
    <w:p w:rsidR="0062231D" w:rsidRPr="00B33C88" w:rsidRDefault="0062231D" w:rsidP="0062231D">
      <w:r w:rsidRPr="00B33C88">
        <w:rPr>
          <w:b/>
        </w:rPr>
        <w:t>4.</w:t>
      </w:r>
      <w:r w:rsidRPr="00B33C88">
        <w:rPr>
          <w:b/>
        </w:rPr>
        <w:tab/>
        <w:t>ΚΛΙΝΙΚΕΣ ΠΛΗΡΟΦΟΡΙΕΣ</w:t>
      </w:r>
    </w:p>
    <w:p w:rsidR="0062231D" w:rsidRPr="00B33C88" w:rsidRDefault="0062231D" w:rsidP="0062231D"/>
    <w:p w:rsidR="0062231D" w:rsidRPr="00B33C88" w:rsidRDefault="0062231D" w:rsidP="0062231D">
      <w:r w:rsidRPr="00B33C88">
        <w:rPr>
          <w:b/>
        </w:rPr>
        <w:t>4.1</w:t>
      </w:r>
      <w:r w:rsidRPr="00B33C88">
        <w:rPr>
          <w:b/>
        </w:rPr>
        <w:tab/>
        <w:t>Θεραπευτικές ενδείξεις</w:t>
      </w:r>
    </w:p>
    <w:p w:rsidR="0062231D" w:rsidRPr="00B33C88" w:rsidRDefault="0062231D" w:rsidP="0062231D"/>
    <w:p w:rsidR="0062231D" w:rsidRPr="00B33C88" w:rsidRDefault="0062231D" w:rsidP="0062231D">
      <w:r w:rsidRPr="00B33C88">
        <w:t xml:space="preserve">Συμπτωματική θεραπεία </w:t>
      </w:r>
      <w:r>
        <w:t>της αλλεργικής ρινίτιδας σε ενήλικες, εφήβους και παιδιά ηλικίας 6 ετών και άνω.</w:t>
      </w:r>
    </w:p>
    <w:p w:rsidR="0062231D" w:rsidRPr="00B33C88" w:rsidRDefault="0062231D" w:rsidP="0062231D"/>
    <w:p w:rsidR="0062231D" w:rsidRPr="00B33C88" w:rsidRDefault="0062231D" w:rsidP="0062231D">
      <w:pPr>
        <w:numPr>
          <w:ilvl w:val="1"/>
          <w:numId w:val="1"/>
        </w:numPr>
        <w:rPr>
          <w:b/>
        </w:rPr>
      </w:pPr>
      <w:r w:rsidRPr="00B33C88">
        <w:rPr>
          <w:b/>
        </w:rPr>
        <w:t>Δοσολογία και τρόπος χορήγησης</w:t>
      </w:r>
    </w:p>
    <w:p w:rsidR="0062231D" w:rsidRPr="00B33C88" w:rsidRDefault="0062231D" w:rsidP="0062231D"/>
    <w:p w:rsidR="0062231D" w:rsidRPr="00B33C88" w:rsidRDefault="0062231D" w:rsidP="0062231D">
      <w:pPr>
        <w:rPr>
          <w:u w:val="single"/>
        </w:rPr>
      </w:pPr>
      <w:r w:rsidRPr="00B33C88">
        <w:rPr>
          <w:u w:val="single"/>
        </w:rPr>
        <w:t>Δοσολογία</w:t>
      </w:r>
    </w:p>
    <w:p w:rsidR="0062231D" w:rsidRDefault="0062231D" w:rsidP="0062231D">
      <w:r w:rsidRPr="00B33C88">
        <w:t>Ενήλικες</w:t>
      </w:r>
      <w:r>
        <w:t xml:space="preserve"> και έφηβοι ηλικίας 12 ετών και άνω:</w:t>
      </w:r>
    </w:p>
    <w:p w:rsidR="0062231D" w:rsidRDefault="0062231D" w:rsidP="0062231D">
      <w:r>
        <w:t>2 ψεκασμοί σε κάθε ρουθούνι άπαξ ημερησίως</w:t>
      </w:r>
      <w:r w:rsidRPr="00987491">
        <w:t>.</w:t>
      </w:r>
      <w:r>
        <w:t xml:space="preserve"> Σε ορισμένες περιπτώσεις μπορεί να χρειαστούν δύο ψεκασμοί σε κάθε ρουθούνι δύο φορές ημερησίως</w:t>
      </w:r>
      <w:r w:rsidDel="00A95C2D">
        <w:t xml:space="preserve"> </w:t>
      </w:r>
      <w:r>
        <w:t>ανάλογα με τη βαρύτητα των συμπτωμάτων. Η μέγιστη ημερήσια δόση είναι 2 ψεκασμοί σε κάθε ρουθούνι δύο φορές ημερησίως.</w:t>
      </w:r>
    </w:p>
    <w:p w:rsidR="0062231D" w:rsidRDefault="0062231D" w:rsidP="0062231D"/>
    <w:p w:rsidR="0062231D" w:rsidRDefault="0062231D" w:rsidP="0062231D">
      <w:r>
        <w:t>Παιδιά ηλικίας 6 έως 11 ετών:</w:t>
      </w:r>
    </w:p>
    <w:p w:rsidR="0062231D" w:rsidRDefault="0062231D" w:rsidP="0062231D">
      <w:r>
        <w:t>1 ψεκασμός σε κάθε ρουθούνι δύο φορές ημερησίως.</w:t>
      </w:r>
    </w:p>
    <w:p w:rsidR="0062231D" w:rsidRDefault="0062231D" w:rsidP="0062231D"/>
    <w:p w:rsidR="0062231D" w:rsidRDefault="0062231D" w:rsidP="0062231D">
      <w:r>
        <w:t>Η κλινική εμπειρία για διάρκεια χρήσης έως 4 εβδομάδων σε παιδιά έδειξε επαρκή αποτελεσματικότητα και ασφάλεια. Δεν υπάρχουν δεδομένα για μεγαλύτερης διάρκειας εμπειρία σε παιδιά. Ωστόσο, κλινικές δοκιμές διάρκειας έως και ενός έτους με υψηλότερη διπλάσια ημερήσια δόση έδειξαν επαρκή ασφάλεια σε ενήλικες κι εφήβους.</w:t>
      </w:r>
    </w:p>
    <w:p w:rsidR="0062231D" w:rsidRDefault="0062231D" w:rsidP="0062231D"/>
    <w:p w:rsidR="0062231D" w:rsidRPr="00A654FD" w:rsidRDefault="0062231D" w:rsidP="0062231D">
      <w:pPr>
        <w:rPr>
          <w:u w:val="single"/>
        </w:rPr>
      </w:pPr>
      <w:r w:rsidRPr="00A654FD">
        <w:rPr>
          <w:u w:val="single"/>
        </w:rPr>
        <w:t xml:space="preserve">Το </w:t>
      </w:r>
      <w:proofErr w:type="spellStart"/>
      <w:r w:rsidRPr="0099242C">
        <w:rPr>
          <w:u w:val="single"/>
          <w:lang w:val="en-US"/>
        </w:rPr>
        <w:t>Afluon</w:t>
      </w:r>
      <w:proofErr w:type="spellEnd"/>
      <w:r w:rsidRPr="00A654FD">
        <w:rPr>
          <w:u w:val="single"/>
        </w:rPr>
        <w:t xml:space="preserve"> δε συνιστάται για χρήση σε παιδιά </w:t>
      </w:r>
      <w:r>
        <w:rPr>
          <w:u w:val="single"/>
        </w:rPr>
        <w:t xml:space="preserve">ηλικίας </w:t>
      </w:r>
      <w:r w:rsidRPr="00A654FD">
        <w:rPr>
          <w:u w:val="single"/>
        </w:rPr>
        <w:t>κάτω των 6 ετών λόγω έλλειψης δεδομένων ασφάλειας και/ή αποτελεσματικότητας.</w:t>
      </w:r>
    </w:p>
    <w:p w:rsidR="0062231D" w:rsidRDefault="0062231D" w:rsidP="0062231D"/>
    <w:p w:rsidR="0062231D" w:rsidRPr="00987491" w:rsidRDefault="0062231D" w:rsidP="0062231D">
      <w:pPr>
        <w:rPr>
          <w:u w:val="single"/>
        </w:rPr>
      </w:pPr>
      <w:r w:rsidRPr="00987491">
        <w:rPr>
          <w:u w:val="single"/>
        </w:rPr>
        <w:t>Διάρκεια Θεραπείας</w:t>
      </w:r>
    </w:p>
    <w:p w:rsidR="0062231D" w:rsidRDefault="0062231D" w:rsidP="0062231D">
      <w:r w:rsidRPr="00B33C88">
        <w:t xml:space="preserve">Το </w:t>
      </w:r>
      <w:proofErr w:type="spellStart"/>
      <w:r w:rsidRPr="0099242C">
        <w:rPr>
          <w:lang w:val="en-US"/>
        </w:rPr>
        <w:t>Afluon</w:t>
      </w:r>
      <w:proofErr w:type="spellEnd"/>
      <w:r w:rsidRPr="00944B51">
        <w:t xml:space="preserve"> </w:t>
      </w:r>
      <w:r w:rsidRPr="00B33C88">
        <w:t xml:space="preserve">είναι κατάλληλο για μακροχρόνια χρήση. </w:t>
      </w:r>
      <w:r>
        <w:t>Η διάρκεια της θεραπείας πρέπει να αποτελεί κλινική απόφαση λαμβάνοντας υπόψη τη σοβαρότητα των αλλεργικών συμπτωμάτων, την ασφάλεια και πρέπει να αντιστοιχεί στην περίοδο έκθεσης στα αλλεργιογόνα.</w:t>
      </w:r>
    </w:p>
    <w:p w:rsidR="0062231D" w:rsidRDefault="0062231D" w:rsidP="0062231D">
      <w:r>
        <w:t>Δεν συνιστάται η χρήση διάρκειας άνω των 4 εβδομάδων σε παιδιά ηλικίας 6-11 ετών εξαιτίας της έλλειψης κλινικών δεδομένων.</w:t>
      </w:r>
    </w:p>
    <w:p w:rsidR="0062231D" w:rsidRDefault="0062231D" w:rsidP="0062231D"/>
    <w:p w:rsidR="0062231D" w:rsidRPr="00B33C88" w:rsidRDefault="0062231D" w:rsidP="0062231D">
      <w:pPr>
        <w:rPr>
          <w:u w:val="single"/>
        </w:rPr>
      </w:pPr>
      <w:r w:rsidRPr="00B33C88">
        <w:rPr>
          <w:u w:val="single"/>
        </w:rPr>
        <w:t>Τρόπος χορήγησης</w:t>
      </w:r>
    </w:p>
    <w:p w:rsidR="0062231D" w:rsidRPr="00B33C88" w:rsidRDefault="0062231D" w:rsidP="0062231D">
      <w:r>
        <w:lastRenderedPageBreak/>
        <w:t>Ρινική χρήση (τοπική – ρινικός βλεννογόνος)</w:t>
      </w:r>
    </w:p>
    <w:p w:rsidR="0062231D" w:rsidRDefault="0062231D" w:rsidP="0062231D">
      <w:pPr>
        <w:rPr>
          <w:i/>
        </w:rPr>
      </w:pPr>
    </w:p>
    <w:p w:rsidR="0062231D" w:rsidRPr="00B33C88" w:rsidRDefault="0062231D" w:rsidP="0062231D">
      <w:pPr>
        <w:rPr>
          <w:i/>
        </w:rPr>
      </w:pPr>
      <w:r w:rsidRPr="00B33C88">
        <w:rPr>
          <w:i/>
        </w:rPr>
        <w:t>Προφυλάξεις που πρέπει να ληφθούν πριν από το χειρισμό ή τη χορήγ</w:t>
      </w:r>
      <w:r>
        <w:rPr>
          <w:i/>
        </w:rPr>
        <w:t>ηση του φαρμακευτικού προϊόντος</w:t>
      </w:r>
    </w:p>
    <w:p w:rsidR="0062231D" w:rsidRDefault="0062231D" w:rsidP="0062231D">
      <w:r>
        <w:t>Ψεκάστε με την κεφαλή σε όρθια θέση.</w:t>
      </w:r>
    </w:p>
    <w:p w:rsidR="0062231D" w:rsidRPr="00357188" w:rsidRDefault="0062231D" w:rsidP="0062231D">
      <w:r>
        <w:t xml:space="preserve">Πριν από την πρώτη χρήση, η αντλία πρέπει να ενεργοποιηθεί πιέζοντας προς τα κάτω και απελευθερώνοντας την αντλία έξι φορές. Όταν το </w:t>
      </w:r>
      <w:proofErr w:type="spellStart"/>
      <w:r w:rsidRPr="0099242C">
        <w:rPr>
          <w:lang w:val="en-US"/>
        </w:rPr>
        <w:t>Afluon</w:t>
      </w:r>
      <w:proofErr w:type="spellEnd"/>
      <w:r>
        <w:t xml:space="preserve"> δεν έχει χρησιμοποιηθεί για 3 ή περισσότερες ημέρες, η αντλία πρέπει να ενεργοποιηθεί εκ νέου πιέζοντας προς τα κάτω και απελευθερώνοντας την αντλία όσες φορές χρειάζεται μέχρι να εμφανιστεί ένα λεπτό εκνέφωμα.</w:t>
      </w:r>
    </w:p>
    <w:p w:rsidR="0062231D" w:rsidRPr="00B33C88" w:rsidRDefault="0062231D" w:rsidP="0062231D"/>
    <w:p w:rsidR="0062231D" w:rsidRPr="00B33C88" w:rsidRDefault="0062231D" w:rsidP="0062231D">
      <w:r w:rsidRPr="00B33C88">
        <w:rPr>
          <w:b/>
        </w:rPr>
        <w:t>4.3</w:t>
      </w:r>
      <w:r w:rsidRPr="00B33C88">
        <w:rPr>
          <w:b/>
        </w:rPr>
        <w:tab/>
        <w:t>Αντενδείξεις</w:t>
      </w:r>
    </w:p>
    <w:p w:rsidR="0062231D" w:rsidRPr="00B33C88" w:rsidRDefault="0062231D" w:rsidP="0062231D"/>
    <w:p w:rsidR="0062231D" w:rsidRPr="00B33C88" w:rsidRDefault="0062231D" w:rsidP="0062231D">
      <w:r w:rsidRPr="00B33C88">
        <w:t>Υπερευαισθησία στη δραστική ουσία</w:t>
      </w:r>
      <w:r>
        <w:t xml:space="preserve"> υδροχλωρική αζελαστίνη</w:t>
      </w:r>
      <w:r w:rsidRPr="00B33C88">
        <w:t xml:space="preserve"> ή σε κάποιο από τα έκδοχα </w:t>
      </w:r>
      <w:r>
        <w:t>που αναφέρονται στ</w:t>
      </w:r>
      <w:r w:rsidRPr="00B33C88">
        <w:t>ην παράγραφο 6.1.</w:t>
      </w:r>
    </w:p>
    <w:p w:rsidR="0062231D" w:rsidRPr="00B33C88" w:rsidRDefault="0062231D" w:rsidP="0062231D"/>
    <w:p w:rsidR="0062231D" w:rsidRPr="00B33C88" w:rsidRDefault="0062231D" w:rsidP="0062231D">
      <w:pPr>
        <w:rPr>
          <w:b/>
        </w:rPr>
      </w:pPr>
      <w:r w:rsidRPr="00B33C88">
        <w:rPr>
          <w:b/>
        </w:rPr>
        <w:t>4.4</w:t>
      </w:r>
      <w:r w:rsidRPr="00B33C88">
        <w:rPr>
          <w:b/>
        </w:rPr>
        <w:tab/>
        <w:t>Ειδικές προειδοποιήσεις και προφυλάξεις κατά τη χρήση</w:t>
      </w:r>
    </w:p>
    <w:p w:rsidR="0062231D" w:rsidRPr="00B33C88" w:rsidRDefault="0062231D" w:rsidP="0062231D">
      <w:pPr>
        <w:rPr>
          <w:b/>
        </w:rPr>
      </w:pPr>
    </w:p>
    <w:p w:rsidR="0062231D" w:rsidRDefault="0062231D" w:rsidP="0062231D">
      <w:r w:rsidRPr="00357188">
        <w:t xml:space="preserve">Το </w:t>
      </w:r>
      <w:r w:rsidRPr="0099242C">
        <w:t>Afluon</w:t>
      </w:r>
      <w:r>
        <w:t xml:space="preserve"> περιέχει τη συντηρητική ουσία χλωριούχο βενζαλκώνιο, που είναι ερεθιστικό και μπορεί να προκαλέσει δερματικές αντιδράσεις.</w:t>
      </w:r>
    </w:p>
    <w:p w:rsidR="0062231D" w:rsidRPr="00B33C88" w:rsidRDefault="0062231D" w:rsidP="0062231D"/>
    <w:p w:rsidR="0062231D" w:rsidRPr="00B33C88" w:rsidRDefault="0062231D" w:rsidP="0062231D">
      <w:r w:rsidRPr="00B33C88">
        <w:rPr>
          <w:b/>
        </w:rPr>
        <w:t>4.5</w:t>
      </w:r>
      <w:r w:rsidRPr="00B33C88">
        <w:rPr>
          <w:b/>
        </w:rPr>
        <w:tab/>
        <w:t>Αλληλεπιδράσεις με άλλα φαρμακευτικά προϊόντα και άλλες μορφές αλληλεπίδρασης</w:t>
      </w:r>
    </w:p>
    <w:p w:rsidR="0062231D" w:rsidRPr="00B33C88" w:rsidRDefault="0062231D" w:rsidP="0062231D"/>
    <w:p w:rsidR="0062231D" w:rsidRPr="00357188" w:rsidRDefault="0062231D" w:rsidP="0062231D">
      <w:r w:rsidRPr="00B33C88">
        <w:t>Δεν έχουν πραγματοποιηθεί</w:t>
      </w:r>
      <w:r>
        <w:t xml:space="preserve"> εξειδικευμένες</w:t>
      </w:r>
      <w:r w:rsidRPr="00B33C88">
        <w:t xml:space="preserve"> μελέτες αλληλεπιδράσεων</w:t>
      </w:r>
      <w:r>
        <w:t xml:space="preserve"> με το ρινικό εκνέφωμα αζελαστίνης. Έχουν πραγματοποιηθεί μελέτες αλληλεπιδράσεων με υψηλές </w:t>
      </w:r>
      <w:r w:rsidRPr="00357188">
        <w:rPr>
          <w:u w:val="single"/>
        </w:rPr>
        <w:t>από του στόματος</w:t>
      </w:r>
      <w:r>
        <w:t xml:space="preserve"> χορηγούμενες δόσεις</w:t>
      </w:r>
      <w:r w:rsidRPr="00B33C88">
        <w:t>.</w:t>
      </w:r>
      <w:r>
        <w:t xml:space="preserve"> Ωστόσο, δεν μπορούν να συσχετισθούν με το</w:t>
      </w:r>
      <w:r w:rsidRPr="00357188">
        <w:t xml:space="preserve"> </w:t>
      </w:r>
      <w:proofErr w:type="spellStart"/>
      <w:r w:rsidRPr="0099242C">
        <w:rPr>
          <w:lang w:val="en-US"/>
        </w:rPr>
        <w:t>Afluon</w:t>
      </w:r>
      <w:proofErr w:type="spellEnd"/>
      <w:r>
        <w:t>, δεδομένου ότι τα συστηματικά επίπεδα στον οργανισμό μετά τη χορήγησή του δεν υπερβαίνουν το 1/5 των επιπέδων που ήταν καλά ανεκτά μετά την από του στόματος χορήγηση.</w:t>
      </w:r>
    </w:p>
    <w:p w:rsidR="0062231D" w:rsidRPr="00B33C88" w:rsidRDefault="0062231D" w:rsidP="0062231D"/>
    <w:p w:rsidR="0062231D" w:rsidRPr="00B33C88" w:rsidRDefault="0062231D" w:rsidP="0062231D">
      <w:r w:rsidRPr="00B33C88">
        <w:rPr>
          <w:b/>
        </w:rPr>
        <w:t>4.6</w:t>
      </w:r>
      <w:r w:rsidRPr="00B33C88">
        <w:rPr>
          <w:b/>
        </w:rPr>
        <w:tab/>
        <w:t>Γονιμότητα, κύηση και γαλουχία</w:t>
      </w:r>
    </w:p>
    <w:p w:rsidR="0062231D" w:rsidRPr="00B33C88" w:rsidRDefault="0062231D" w:rsidP="0062231D"/>
    <w:p w:rsidR="0062231D" w:rsidRPr="00B33C88" w:rsidRDefault="0062231D" w:rsidP="0062231D">
      <w:r w:rsidRPr="00B33C88">
        <w:rPr>
          <w:u w:val="single"/>
        </w:rPr>
        <w:t>Εγκυμοσύνη</w:t>
      </w:r>
    </w:p>
    <w:p w:rsidR="0062231D" w:rsidRPr="0017742E" w:rsidRDefault="0062231D" w:rsidP="0062231D">
      <w:r>
        <w:t>Δεν διατίθενται ή είναι περιορισμένα τα δεδομένα από τη χρήση της αζελαστίνης σε έγκυες γυναίκες. Σε υψηλές από του στόματος δόσεις έχει παρατηρηθεί αναπαραγωγική τοξικότητα σε ζώα (βλ. παράγραφο 5.3). Κατά συνέπεια πρέπει να εφιστάται προσοχή όταν χρησιμοποιείται το</w:t>
      </w:r>
      <w:r w:rsidRPr="0017742E">
        <w:t xml:space="preserve"> </w:t>
      </w:r>
      <w:proofErr w:type="spellStart"/>
      <w:r w:rsidRPr="0099242C">
        <w:rPr>
          <w:lang w:val="en-US"/>
        </w:rPr>
        <w:t>Afluon</w:t>
      </w:r>
      <w:proofErr w:type="spellEnd"/>
      <w:r>
        <w:t xml:space="preserve"> κατά τη διάρκεια της εγκυμοσύνης.</w:t>
      </w:r>
    </w:p>
    <w:p w:rsidR="0062231D" w:rsidRDefault="0062231D" w:rsidP="0062231D"/>
    <w:p w:rsidR="0062231D" w:rsidRDefault="0062231D" w:rsidP="0062231D">
      <w:r w:rsidRPr="00B33C88">
        <w:rPr>
          <w:u w:val="single"/>
        </w:rPr>
        <w:t>Θηλασμός</w:t>
      </w:r>
    </w:p>
    <w:p w:rsidR="0062231D" w:rsidRDefault="0062231D" w:rsidP="0062231D">
      <w:r>
        <w:t xml:space="preserve">Δεν είναι γνωστό κατά πόσο η αζελαστίνη/οι μεταβολίτες της απεκκρίνονται στο ανθρώπινο γάλα. Δεδομένου ότι πολλά φάρμακα απεκκρίνονται στο ανθρώπινο γάλα, πρέπει να εφιστάται προσοχή όταν χορηγείται η αζελαστίνη σε γυναίκα που θηλάζει. </w:t>
      </w:r>
    </w:p>
    <w:p w:rsidR="0062231D" w:rsidRPr="00B33C88" w:rsidRDefault="0062231D" w:rsidP="0062231D"/>
    <w:p w:rsidR="0062231D" w:rsidRPr="00B33C88" w:rsidRDefault="0062231D" w:rsidP="0062231D">
      <w:r w:rsidRPr="00B33C88">
        <w:rPr>
          <w:u w:val="single"/>
        </w:rPr>
        <w:t>Γονιμότητα</w:t>
      </w:r>
    </w:p>
    <w:p w:rsidR="0062231D" w:rsidRDefault="0062231D" w:rsidP="0062231D">
      <w:r>
        <w:t>Παρατηρήθηκαν επιδράσεις στη γονιμότητα σε μελέτες που πραγματοποιήθηκαν σε ζώα (βλ. παράγραφο 5.3)</w:t>
      </w:r>
    </w:p>
    <w:p w:rsidR="0062231D" w:rsidRPr="00B33C88" w:rsidRDefault="0062231D" w:rsidP="0062231D"/>
    <w:p w:rsidR="0062231D" w:rsidRPr="00B33C88" w:rsidRDefault="0062231D" w:rsidP="0062231D">
      <w:r w:rsidRPr="00B33C88">
        <w:rPr>
          <w:b/>
        </w:rPr>
        <w:t>4.7</w:t>
      </w:r>
      <w:r w:rsidRPr="00B33C88">
        <w:rPr>
          <w:b/>
        </w:rPr>
        <w:tab/>
        <w:t>Επιδράσεις στην ικανότητα οδήγησης και χειρισμού μηχανών</w:t>
      </w:r>
    </w:p>
    <w:p w:rsidR="0062231D" w:rsidRPr="00B33C88" w:rsidRDefault="0062231D" w:rsidP="0062231D"/>
    <w:p w:rsidR="0062231D" w:rsidRDefault="0062231D" w:rsidP="0062231D">
      <w:r w:rsidRPr="00B33C88">
        <w:t xml:space="preserve">Το </w:t>
      </w:r>
      <w:proofErr w:type="spellStart"/>
      <w:r w:rsidRPr="0099242C">
        <w:rPr>
          <w:lang w:val="en-US"/>
        </w:rPr>
        <w:t>Afluon</w:t>
      </w:r>
      <w:proofErr w:type="spellEnd"/>
      <w:r w:rsidRPr="00B33C88">
        <w:t xml:space="preserve"> έχει </w:t>
      </w:r>
      <w:r>
        <w:t>μικρή επίδραση</w:t>
      </w:r>
      <w:r w:rsidRPr="00B33C88">
        <w:t xml:space="preserve"> στην ικανότητα </w:t>
      </w:r>
      <w:r>
        <w:t>οδήγησης και χειρισμού μηχανών.</w:t>
      </w:r>
    </w:p>
    <w:p w:rsidR="0062231D" w:rsidRPr="00B33C88" w:rsidRDefault="0062231D" w:rsidP="0062231D">
      <w:r>
        <w:t xml:space="preserve">Σπάνια, ο ασθενής μπορεί να αισθανθεί κόπωση, εξασθένιση, εξάντληση, ζάλη ή αδυναμία λόγω της ίδιας της νόσου ή όταν χρησιμοποιεί το </w:t>
      </w:r>
      <w:r w:rsidRPr="0099242C">
        <w:t>Afluon</w:t>
      </w:r>
      <w:r>
        <w:t xml:space="preserve">. Στις περιπτώσεις αυτές, η ικανότητα οδήγησης και χειρισμού μηχανών μπορεί να είναι μειωμένη. Πρέπει να λαμβάνεται ιδιαίτερα υπόψη το γεγονός ότι η χρήση οινοπνεύματος μπορεί να ενισχύσει αυτές τις επιδράσεις. </w:t>
      </w:r>
    </w:p>
    <w:p w:rsidR="0062231D" w:rsidRPr="00B33C88" w:rsidRDefault="0062231D" w:rsidP="0062231D"/>
    <w:p w:rsidR="0062231D" w:rsidRPr="00B33C88" w:rsidRDefault="0062231D" w:rsidP="0062231D">
      <w:pPr>
        <w:keepNext/>
        <w:keepLines/>
      </w:pPr>
      <w:r w:rsidRPr="00B33C88">
        <w:rPr>
          <w:b/>
        </w:rPr>
        <w:lastRenderedPageBreak/>
        <w:t>4.8</w:t>
      </w:r>
      <w:r w:rsidRPr="00B33C88">
        <w:rPr>
          <w:b/>
        </w:rPr>
        <w:tab/>
        <w:t>Ανεπιθύμητες ενέργειες</w:t>
      </w:r>
    </w:p>
    <w:p w:rsidR="0062231D" w:rsidRPr="00B33C88" w:rsidRDefault="0062231D" w:rsidP="0062231D">
      <w:pPr>
        <w:keepNext/>
        <w:keepLines/>
      </w:pPr>
    </w:p>
    <w:p w:rsidR="0062231D" w:rsidRDefault="0062231D" w:rsidP="0062231D">
      <w:pPr>
        <w:keepNext/>
        <w:keepLines/>
      </w:pPr>
      <w:r>
        <w:t>Συχνά, δυσγευσία, μια δυσάρεστη γεύση χαρακτηριστική του δραστικού συστατικού, μπορεί να εμφανιστεί μετά τη χορήγηση (συνήθως λόγω μη ορθού τρόπου χορήγησης, που συνίσταται στην υπερβολική κλίση της κεφαλής προς τα πίσω κατά τη διάρκεια της χορήγησης), που μπορεί να προκαλέσει ναυτία σε σπάνιες περιπτώσεις.</w:t>
      </w:r>
    </w:p>
    <w:p w:rsidR="0062231D" w:rsidRDefault="0062231D" w:rsidP="0062231D"/>
    <w:p w:rsidR="0062231D" w:rsidRDefault="0062231D" w:rsidP="0062231D">
      <w:pPr>
        <w:rPr>
          <w:b/>
          <w:noProof/>
        </w:rPr>
      </w:pPr>
      <w:r>
        <w:t>Οι ανεπιθύμητες ενέργειες παρατίθενται κατωτέρω ταξινομημένες ανά κατηγορία οργανικού συστήματος και συχνότητα. Οι συχνότητες καθορίζονται ως εξής:</w:t>
      </w:r>
      <w:r w:rsidRPr="00821951">
        <w:rPr>
          <w:b/>
          <w:noProof/>
        </w:rPr>
        <w:t xml:space="preserve"> </w:t>
      </w:r>
    </w:p>
    <w:p w:rsidR="0062231D" w:rsidRDefault="0062231D" w:rsidP="0062231D">
      <w:pPr>
        <w:rPr>
          <w:noProof/>
        </w:rPr>
      </w:pPr>
      <w:r w:rsidRPr="00821951">
        <w:rPr>
          <w:noProof/>
        </w:rPr>
        <w:t>Πολύ</w:t>
      </w:r>
      <w:r w:rsidRPr="00821951">
        <w:rPr>
          <w:noProof/>
          <w:lang w:val="fi-FI"/>
        </w:rPr>
        <w:t xml:space="preserve"> </w:t>
      </w:r>
      <w:r w:rsidRPr="00821951">
        <w:rPr>
          <w:noProof/>
        </w:rPr>
        <w:t>συχνές</w:t>
      </w:r>
      <w:r w:rsidRPr="00821951">
        <w:rPr>
          <w:noProof/>
          <w:lang w:val="fi-FI"/>
        </w:rPr>
        <w:t xml:space="preserve"> (</w:t>
      </w:r>
      <w:r w:rsidRPr="00821951">
        <w:rPr>
          <w:noProof/>
        </w:rPr>
        <w:sym w:font="Symbol" w:char="F0B3"/>
      </w:r>
      <w:r w:rsidRPr="00821951">
        <w:rPr>
          <w:noProof/>
          <w:lang w:val="fi-FI"/>
        </w:rPr>
        <w:t>1/10)</w:t>
      </w:r>
    </w:p>
    <w:p w:rsidR="0062231D" w:rsidRDefault="0062231D" w:rsidP="0062231D">
      <w:pPr>
        <w:rPr>
          <w:noProof/>
        </w:rPr>
      </w:pPr>
      <w:r w:rsidRPr="00821951">
        <w:rPr>
          <w:noProof/>
        </w:rPr>
        <w:t>Συχνές</w:t>
      </w:r>
      <w:r w:rsidRPr="00821951">
        <w:rPr>
          <w:noProof/>
          <w:lang w:val="de-DE"/>
        </w:rPr>
        <w:t xml:space="preserve"> (</w:t>
      </w:r>
      <w:r w:rsidRPr="00821951">
        <w:rPr>
          <w:noProof/>
        </w:rPr>
        <w:sym w:font="Symbol" w:char="F0B3"/>
      </w:r>
      <w:r w:rsidRPr="00821951">
        <w:rPr>
          <w:noProof/>
          <w:lang w:val="de-DE"/>
        </w:rPr>
        <w:t>1/100</w:t>
      </w:r>
      <w:r w:rsidRPr="00821951">
        <w:rPr>
          <w:noProof/>
        </w:rPr>
        <w:t xml:space="preserve"> έως</w:t>
      </w:r>
      <w:r w:rsidRPr="00821951">
        <w:rPr>
          <w:noProof/>
          <w:lang w:val="de-DE"/>
        </w:rPr>
        <w:t xml:space="preserve"> &lt;1/10)</w:t>
      </w:r>
    </w:p>
    <w:p w:rsidR="0062231D" w:rsidRDefault="0062231D" w:rsidP="0062231D">
      <w:pPr>
        <w:rPr>
          <w:noProof/>
        </w:rPr>
      </w:pPr>
      <w:r w:rsidRPr="00821951">
        <w:rPr>
          <w:noProof/>
        </w:rPr>
        <w:t>Όχι</w:t>
      </w:r>
      <w:r w:rsidRPr="00821951">
        <w:rPr>
          <w:noProof/>
          <w:lang w:val="de-DE"/>
        </w:rPr>
        <w:t xml:space="preserve"> </w:t>
      </w:r>
      <w:r w:rsidRPr="00821951">
        <w:rPr>
          <w:noProof/>
        </w:rPr>
        <w:t>συχνές</w:t>
      </w:r>
      <w:r w:rsidRPr="00821951">
        <w:rPr>
          <w:noProof/>
          <w:lang w:val="de-DE"/>
        </w:rPr>
        <w:t xml:space="preserve"> (</w:t>
      </w:r>
      <w:r w:rsidRPr="00821951">
        <w:rPr>
          <w:noProof/>
        </w:rPr>
        <w:sym w:font="Symbol" w:char="F0B3"/>
      </w:r>
      <w:r w:rsidRPr="00821951">
        <w:rPr>
          <w:noProof/>
          <w:lang w:val="de-DE"/>
        </w:rPr>
        <w:t>1/1.000</w:t>
      </w:r>
      <w:r w:rsidRPr="00821951">
        <w:rPr>
          <w:noProof/>
        </w:rPr>
        <w:t xml:space="preserve"> έως</w:t>
      </w:r>
      <w:r w:rsidRPr="00821951">
        <w:rPr>
          <w:noProof/>
          <w:lang w:val="de-DE"/>
        </w:rPr>
        <w:t xml:space="preserve"> &lt;1/100)</w:t>
      </w:r>
    </w:p>
    <w:p w:rsidR="0062231D" w:rsidRPr="00821951" w:rsidRDefault="0062231D" w:rsidP="0062231D">
      <w:pPr>
        <w:rPr>
          <w:noProof/>
        </w:rPr>
      </w:pPr>
      <w:r w:rsidRPr="00821951">
        <w:rPr>
          <w:noProof/>
        </w:rPr>
        <w:t>Σπάνιες</w:t>
      </w:r>
      <w:r w:rsidRPr="00821951">
        <w:rPr>
          <w:noProof/>
          <w:lang w:val="de-DE"/>
        </w:rPr>
        <w:t xml:space="preserve"> </w:t>
      </w:r>
      <w:r w:rsidRPr="00821951">
        <w:rPr>
          <w:noProof/>
        </w:rPr>
        <w:t>(</w:t>
      </w:r>
      <w:r w:rsidRPr="00821951">
        <w:rPr>
          <w:noProof/>
        </w:rPr>
        <w:sym w:font="Symbol" w:char="F0B3"/>
      </w:r>
      <w:r w:rsidRPr="00821951">
        <w:rPr>
          <w:noProof/>
        </w:rPr>
        <w:t>1/10.000 έως &lt;1/1.000)</w:t>
      </w:r>
    </w:p>
    <w:p w:rsidR="0062231D" w:rsidRPr="00821951" w:rsidRDefault="0062231D" w:rsidP="0062231D">
      <w:pPr>
        <w:rPr>
          <w:noProof/>
        </w:rPr>
      </w:pPr>
      <w:r w:rsidRPr="00821951">
        <w:rPr>
          <w:noProof/>
          <w:lang w:val="de-DE"/>
        </w:rPr>
        <w:t>Πολύ σπάνιες (&lt;1/10.000)</w:t>
      </w:r>
      <w:r w:rsidRPr="00821951">
        <w:rPr>
          <w:noProof/>
        </w:rPr>
        <w:t>,</w:t>
      </w:r>
      <w:r w:rsidRPr="00821951">
        <w:rPr>
          <w:noProof/>
          <w:lang w:val="de-DE"/>
        </w:rPr>
        <w:t xml:space="preserve"> μη γνωστές (δεν μπορούν να εκτιμηθούν με βάση τα διαθέσιμα δεδομένα)</w:t>
      </w:r>
    </w:p>
    <w:p w:rsidR="0062231D" w:rsidRPr="00247892" w:rsidRDefault="0062231D" w:rsidP="0062231D">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70"/>
        <w:gridCol w:w="3096"/>
        <w:gridCol w:w="3044"/>
      </w:tblGrid>
      <w:tr w:rsidR="0062231D" w:rsidTr="00987491">
        <w:trPr>
          <w:cantSplit/>
        </w:trPr>
        <w:tc>
          <w:tcPr>
            <w:tcW w:w="3070" w:type="dxa"/>
            <w:vAlign w:val="center"/>
          </w:tcPr>
          <w:p w:rsidR="0062231D" w:rsidRPr="00821951" w:rsidRDefault="0062231D" w:rsidP="00987491">
            <w:pPr>
              <w:pStyle w:val="N"/>
              <w:rPr>
                <w:b/>
                <w:bCs/>
                <w:lang w:val="el-GR"/>
              </w:rPr>
            </w:pPr>
            <w:r>
              <w:rPr>
                <w:b/>
                <w:bCs/>
                <w:lang w:val="el-GR"/>
              </w:rPr>
              <w:t>Διαταραχές του ανοσοποιητικού συστήματος</w:t>
            </w:r>
          </w:p>
        </w:tc>
        <w:tc>
          <w:tcPr>
            <w:tcW w:w="3096" w:type="dxa"/>
            <w:vAlign w:val="center"/>
          </w:tcPr>
          <w:p w:rsidR="0062231D" w:rsidRPr="00821951" w:rsidRDefault="0062231D" w:rsidP="00987491">
            <w:pPr>
              <w:pStyle w:val="N"/>
              <w:rPr>
                <w:b/>
                <w:bCs/>
                <w:i/>
                <w:iCs/>
                <w:lang w:val="el-GR"/>
              </w:rPr>
            </w:pPr>
            <w:r>
              <w:rPr>
                <w:b/>
                <w:bCs/>
                <w:i/>
                <w:iCs/>
                <w:lang w:val="el-GR"/>
              </w:rPr>
              <w:t>Πολύ σπάνιες</w:t>
            </w:r>
          </w:p>
          <w:p w:rsidR="0062231D" w:rsidRPr="002B27BB" w:rsidRDefault="0062231D" w:rsidP="00987491">
            <w:pPr>
              <w:pStyle w:val="N"/>
              <w:rPr>
                <w:i/>
                <w:iCs/>
                <w:lang w:val="en-GB"/>
              </w:rPr>
            </w:pPr>
          </w:p>
        </w:tc>
        <w:tc>
          <w:tcPr>
            <w:tcW w:w="3044" w:type="dxa"/>
            <w:vAlign w:val="center"/>
          </w:tcPr>
          <w:p w:rsidR="0062231D" w:rsidRPr="00821951" w:rsidRDefault="0062231D" w:rsidP="00987491">
            <w:pPr>
              <w:pStyle w:val="N"/>
              <w:rPr>
                <w:lang w:val="el-GR"/>
              </w:rPr>
            </w:pPr>
            <w:r>
              <w:rPr>
                <w:lang w:val="el-GR"/>
              </w:rPr>
              <w:t>Υπερευαισθησία</w:t>
            </w:r>
          </w:p>
          <w:p w:rsidR="0062231D" w:rsidRPr="008A3A92" w:rsidRDefault="0062231D" w:rsidP="00987491">
            <w:pPr>
              <w:pStyle w:val="N"/>
              <w:rPr>
                <w:lang w:val="en-GB"/>
              </w:rPr>
            </w:pPr>
            <w:r>
              <w:rPr>
                <w:lang w:val="el-GR"/>
              </w:rPr>
              <w:t>Αναφυλακτοειδής αντίδραση</w:t>
            </w:r>
            <w:r w:rsidRPr="008A3A92">
              <w:rPr>
                <w:lang w:val="en-GB"/>
              </w:rPr>
              <w:t>*</w:t>
            </w:r>
          </w:p>
        </w:tc>
      </w:tr>
      <w:tr w:rsidR="0062231D" w:rsidTr="00987491">
        <w:trPr>
          <w:cantSplit/>
        </w:trPr>
        <w:tc>
          <w:tcPr>
            <w:tcW w:w="3070" w:type="dxa"/>
            <w:vMerge w:val="restart"/>
            <w:vAlign w:val="center"/>
          </w:tcPr>
          <w:p w:rsidR="0062231D" w:rsidRPr="00821951" w:rsidRDefault="0062231D" w:rsidP="00987491">
            <w:pPr>
              <w:pStyle w:val="N"/>
              <w:rPr>
                <w:b/>
                <w:bCs/>
                <w:lang w:val="el-GR"/>
              </w:rPr>
            </w:pPr>
            <w:r>
              <w:rPr>
                <w:b/>
                <w:bCs/>
                <w:lang w:val="el-GR"/>
              </w:rPr>
              <w:t>Διαταραχές του νευρικού συστήματος</w:t>
            </w:r>
          </w:p>
        </w:tc>
        <w:tc>
          <w:tcPr>
            <w:tcW w:w="3096" w:type="dxa"/>
            <w:vAlign w:val="center"/>
          </w:tcPr>
          <w:p w:rsidR="0062231D" w:rsidRPr="00821951" w:rsidRDefault="0062231D" w:rsidP="00987491">
            <w:pPr>
              <w:pStyle w:val="N"/>
              <w:rPr>
                <w:b/>
                <w:bCs/>
                <w:i/>
                <w:iCs/>
                <w:lang w:val="el-GR"/>
              </w:rPr>
            </w:pPr>
            <w:r>
              <w:rPr>
                <w:b/>
                <w:bCs/>
                <w:i/>
                <w:iCs/>
                <w:lang w:val="el-GR"/>
              </w:rPr>
              <w:t>Συχνές</w:t>
            </w:r>
          </w:p>
          <w:p w:rsidR="0062231D" w:rsidRPr="002B27BB" w:rsidRDefault="0062231D" w:rsidP="00987491">
            <w:pPr>
              <w:pStyle w:val="N"/>
              <w:rPr>
                <w:b/>
                <w:bCs/>
                <w:i/>
                <w:iCs/>
                <w:lang w:val="en-GB"/>
              </w:rPr>
            </w:pPr>
          </w:p>
        </w:tc>
        <w:tc>
          <w:tcPr>
            <w:tcW w:w="3044" w:type="dxa"/>
            <w:vAlign w:val="center"/>
          </w:tcPr>
          <w:p w:rsidR="0062231D" w:rsidRDefault="0062231D" w:rsidP="00987491">
            <w:pPr>
              <w:pStyle w:val="N"/>
              <w:rPr>
                <w:lang w:val="en-GB"/>
              </w:rPr>
            </w:pPr>
            <w:r>
              <w:rPr>
                <w:lang w:val="el-GR"/>
              </w:rPr>
              <w:t>Δυσγευσία</w:t>
            </w:r>
            <w:r>
              <w:rPr>
                <w:lang w:val="en-GB"/>
              </w:rPr>
              <w:t xml:space="preserve"> (</w:t>
            </w:r>
            <w:r>
              <w:rPr>
                <w:lang w:val="el-GR"/>
              </w:rPr>
              <w:t>δυσάρεστη γεύση</w:t>
            </w:r>
            <w:r>
              <w:rPr>
                <w:lang w:val="en-GB"/>
              </w:rPr>
              <w:t>)</w:t>
            </w:r>
          </w:p>
        </w:tc>
      </w:tr>
      <w:tr w:rsidR="0062231D" w:rsidTr="00987491">
        <w:trPr>
          <w:cantSplit/>
        </w:trPr>
        <w:tc>
          <w:tcPr>
            <w:tcW w:w="3070" w:type="dxa"/>
            <w:vMerge/>
            <w:vAlign w:val="center"/>
          </w:tcPr>
          <w:p w:rsidR="0062231D" w:rsidRDefault="0062231D" w:rsidP="00987491">
            <w:pPr>
              <w:pStyle w:val="N"/>
              <w:rPr>
                <w:b/>
                <w:bCs/>
                <w:lang w:val="en-GB"/>
              </w:rPr>
            </w:pPr>
          </w:p>
        </w:tc>
        <w:tc>
          <w:tcPr>
            <w:tcW w:w="3096" w:type="dxa"/>
            <w:vAlign w:val="center"/>
          </w:tcPr>
          <w:p w:rsidR="0062231D" w:rsidRPr="00821951" w:rsidRDefault="0062231D" w:rsidP="00987491">
            <w:pPr>
              <w:pStyle w:val="N"/>
              <w:rPr>
                <w:b/>
                <w:bCs/>
                <w:i/>
                <w:iCs/>
                <w:lang w:val="el-GR"/>
              </w:rPr>
            </w:pPr>
            <w:r>
              <w:rPr>
                <w:b/>
                <w:bCs/>
                <w:i/>
                <w:iCs/>
                <w:lang w:val="el-GR"/>
              </w:rPr>
              <w:t>Σπάνιες</w:t>
            </w:r>
          </w:p>
          <w:p w:rsidR="0062231D" w:rsidRPr="002B27BB" w:rsidRDefault="0062231D" w:rsidP="00987491">
            <w:pPr>
              <w:pStyle w:val="N"/>
              <w:rPr>
                <w:b/>
                <w:bCs/>
                <w:i/>
                <w:iCs/>
                <w:lang w:val="en-GB"/>
              </w:rPr>
            </w:pPr>
          </w:p>
        </w:tc>
        <w:tc>
          <w:tcPr>
            <w:tcW w:w="3044" w:type="dxa"/>
            <w:vAlign w:val="center"/>
          </w:tcPr>
          <w:p w:rsidR="0062231D" w:rsidRPr="00670746" w:rsidRDefault="0062231D" w:rsidP="00987491">
            <w:pPr>
              <w:pStyle w:val="N"/>
              <w:rPr>
                <w:lang w:val="el-GR"/>
              </w:rPr>
            </w:pPr>
            <w:r>
              <w:rPr>
                <w:lang w:val="el-GR"/>
              </w:rPr>
              <w:t>Ζάλη</w:t>
            </w:r>
            <w:r>
              <w:rPr>
                <w:lang w:val="en-GB"/>
              </w:rPr>
              <w:t xml:space="preserve">**, </w:t>
            </w:r>
            <w:r>
              <w:rPr>
                <w:lang w:val="el-GR"/>
              </w:rPr>
              <w:t>υπνηλία</w:t>
            </w:r>
          </w:p>
        </w:tc>
      </w:tr>
      <w:tr w:rsidR="0062231D" w:rsidTr="00987491">
        <w:trPr>
          <w:cantSplit/>
        </w:trPr>
        <w:tc>
          <w:tcPr>
            <w:tcW w:w="3070" w:type="dxa"/>
            <w:vAlign w:val="center"/>
          </w:tcPr>
          <w:p w:rsidR="0062231D" w:rsidRPr="00821951" w:rsidRDefault="0062231D" w:rsidP="00987491">
            <w:pPr>
              <w:pStyle w:val="N"/>
              <w:rPr>
                <w:b/>
                <w:bCs/>
                <w:lang w:val="el-GR"/>
              </w:rPr>
            </w:pPr>
            <w:r w:rsidRPr="00821951">
              <w:rPr>
                <w:b/>
                <w:bCs/>
                <w:lang w:val="el-GR"/>
              </w:rPr>
              <w:t>Διαταραχές του αναπνευστικού συστήματος, του θώρακα και του μεσοθωράκιου</w:t>
            </w:r>
          </w:p>
        </w:tc>
        <w:tc>
          <w:tcPr>
            <w:tcW w:w="3096" w:type="dxa"/>
            <w:vAlign w:val="center"/>
          </w:tcPr>
          <w:p w:rsidR="0062231D" w:rsidRPr="00821951" w:rsidRDefault="0062231D" w:rsidP="00987491">
            <w:pPr>
              <w:pStyle w:val="N"/>
              <w:rPr>
                <w:b/>
                <w:bCs/>
                <w:i/>
                <w:iCs/>
                <w:lang w:val="el-GR"/>
              </w:rPr>
            </w:pPr>
            <w:r>
              <w:rPr>
                <w:b/>
                <w:bCs/>
                <w:i/>
                <w:iCs/>
                <w:lang w:val="el-GR"/>
              </w:rPr>
              <w:t>Όχι συχνές</w:t>
            </w:r>
          </w:p>
          <w:p w:rsidR="0062231D" w:rsidRPr="002B27BB" w:rsidRDefault="0062231D" w:rsidP="00987491">
            <w:pPr>
              <w:pStyle w:val="N"/>
              <w:rPr>
                <w:b/>
                <w:bCs/>
                <w:i/>
                <w:iCs/>
                <w:lang w:val="en-GB"/>
              </w:rPr>
            </w:pPr>
          </w:p>
        </w:tc>
        <w:tc>
          <w:tcPr>
            <w:tcW w:w="3044" w:type="dxa"/>
            <w:vAlign w:val="center"/>
          </w:tcPr>
          <w:p w:rsidR="0062231D" w:rsidRPr="00944B51" w:rsidRDefault="0062231D" w:rsidP="00987491">
            <w:pPr>
              <w:pStyle w:val="N"/>
              <w:rPr>
                <w:lang w:val="el-GR"/>
              </w:rPr>
            </w:pPr>
            <w:r>
              <w:rPr>
                <w:lang w:val="el-GR"/>
              </w:rPr>
              <w:t>Ρινική δυσφορία</w:t>
            </w:r>
            <w:r w:rsidRPr="00944B51">
              <w:rPr>
                <w:lang w:val="el-GR"/>
              </w:rPr>
              <w:t xml:space="preserve"> (</w:t>
            </w:r>
            <w:r>
              <w:rPr>
                <w:lang w:val="el-GR"/>
              </w:rPr>
              <w:t>τσούξιμο, κνησμός</w:t>
            </w:r>
            <w:r w:rsidRPr="00944B51">
              <w:rPr>
                <w:lang w:val="el-GR"/>
              </w:rPr>
              <w:t>)</w:t>
            </w:r>
          </w:p>
          <w:p w:rsidR="0062231D" w:rsidRPr="00670746" w:rsidRDefault="0062231D" w:rsidP="00987491">
            <w:pPr>
              <w:pStyle w:val="N"/>
              <w:rPr>
                <w:lang w:val="el-GR"/>
              </w:rPr>
            </w:pPr>
            <w:r>
              <w:rPr>
                <w:lang w:val="el-GR"/>
              </w:rPr>
              <w:t>Πταρμός</w:t>
            </w:r>
          </w:p>
          <w:p w:rsidR="0062231D" w:rsidRPr="00670746" w:rsidRDefault="0062231D" w:rsidP="00987491">
            <w:pPr>
              <w:pStyle w:val="N"/>
              <w:rPr>
                <w:lang w:val="el-GR"/>
              </w:rPr>
            </w:pPr>
            <w:r>
              <w:rPr>
                <w:lang w:val="el-GR"/>
              </w:rPr>
              <w:t>Επίσταξη</w:t>
            </w:r>
          </w:p>
        </w:tc>
      </w:tr>
      <w:tr w:rsidR="0062231D" w:rsidTr="00987491">
        <w:trPr>
          <w:cantSplit/>
        </w:trPr>
        <w:tc>
          <w:tcPr>
            <w:tcW w:w="3070" w:type="dxa"/>
            <w:vAlign w:val="center"/>
          </w:tcPr>
          <w:p w:rsidR="0062231D" w:rsidRPr="00821951" w:rsidRDefault="0062231D" w:rsidP="00987491">
            <w:pPr>
              <w:pStyle w:val="N"/>
              <w:rPr>
                <w:lang w:val="el-GR"/>
              </w:rPr>
            </w:pPr>
            <w:r>
              <w:rPr>
                <w:b/>
                <w:bCs/>
                <w:lang w:val="el-GR"/>
              </w:rPr>
              <w:t>Διαταραχές του γαστρεντερικού</w:t>
            </w:r>
          </w:p>
        </w:tc>
        <w:tc>
          <w:tcPr>
            <w:tcW w:w="3096" w:type="dxa"/>
            <w:vAlign w:val="center"/>
          </w:tcPr>
          <w:p w:rsidR="0062231D" w:rsidRPr="00821951" w:rsidRDefault="0062231D" w:rsidP="00987491">
            <w:pPr>
              <w:pStyle w:val="N"/>
              <w:rPr>
                <w:b/>
                <w:bCs/>
                <w:i/>
                <w:iCs/>
                <w:lang w:val="el-GR"/>
              </w:rPr>
            </w:pPr>
            <w:r>
              <w:rPr>
                <w:b/>
                <w:bCs/>
                <w:i/>
                <w:iCs/>
                <w:lang w:val="el-GR"/>
              </w:rPr>
              <w:t>Σπάνιες</w:t>
            </w:r>
          </w:p>
          <w:p w:rsidR="0062231D" w:rsidRPr="002B27BB" w:rsidRDefault="0062231D" w:rsidP="00987491">
            <w:pPr>
              <w:pStyle w:val="N"/>
              <w:rPr>
                <w:lang w:val="en-GB"/>
              </w:rPr>
            </w:pPr>
          </w:p>
        </w:tc>
        <w:tc>
          <w:tcPr>
            <w:tcW w:w="3044" w:type="dxa"/>
            <w:vAlign w:val="center"/>
          </w:tcPr>
          <w:p w:rsidR="0062231D" w:rsidRPr="00670746" w:rsidRDefault="0062231D" w:rsidP="00987491">
            <w:pPr>
              <w:pStyle w:val="N"/>
              <w:rPr>
                <w:lang w:val="el-GR"/>
              </w:rPr>
            </w:pPr>
            <w:r>
              <w:rPr>
                <w:lang w:val="el-GR"/>
              </w:rPr>
              <w:t>Ναυτία</w:t>
            </w:r>
          </w:p>
        </w:tc>
      </w:tr>
      <w:tr w:rsidR="0062231D" w:rsidTr="00987491">
        <w:trPr>
          <w:cantSplit/>
        </w:trPr>
        <w:tc>
          <w:tcPr>
            <w:tcW w:w="3070" w:type="dxa"/>
            <w:vAlign w:val="center"/>
          </w:tcPr>
          <w:p w:rsidR="0062231D" w:rsidRPr="00821951" w:rsidRDefault="0062231D" w:rsidP="00987491">
            <w:pPr>
              <w:pStyle w:val="N"/>
              <w:rPr>
                <w:b/>
                <w:bCs/>
                <w:lang w:val="el-GR"/>
              </w:rPr>
            </w:pPr>
            <w:r>
              <w:rPr>
                <w:b/>
                <w:bCs/>
                <w:lang w:val="el-GR"/>
              </w:rPr>
              <w:t>Γενικές διαταραχές</w:t>
            </w:r>
          </w:p>
        </w:tc>
        <w:tc>
          <w:tcPr>
            <w:tcW w:w="3096" w:type="dxa"/>
            <w:vAlign w:val="center"/>
          </w:tcPr>
          <w:p w:rsidR="0062231D" w:rsidRPr="00821951" w:rsidRDefault="0062231D" w:rsidP="00987491">
            <w:pPr>
              <w:pStyle w:val="N"/>
              <w:rPr>
                <w:b/>
                <w:bCs/>
                <w:i/>
                <w:iCs/>
                <w:lang w:val="el-GR"/>
              </w:rPr>
            </w:pPr>
            <w:r>
              <w:rPr>
                <w:b/>
                <w:bCs/>
                <w:i/>
                <w:iCs/>
                <w:lang w:val="el-GR"/>
              </w:rPr>
              <w:t>Σπάνιες</w:t>
            </w:r>
          </w:p>
          <w:p w:rsidR="0062231D" w:rsidRPr="002B27BB" w:rsidRDefault="0062231D" w:rsidP="00987491">
            <w:pPr>
              <w:pStyle w:val="N"/>
              <w:rPr>
                <w:b/>
                <w:bCs/>
                <w:i/>
                <w:iCs/>
                <w:lang w:val="en-GB"/>
              </w:rPr>
            </w:pPr>
          </w:p>
        </w:tc>
        <w:tc>
          <w:tcPr>
            <w:tcW w:w="3044" w:type="dxa"/>
            <w:vAlign w:val="center"/>
          </w:tcPr>
          <w:p w:rsidR="0062231D" w:rsidRDefault="0062231D" w:rsidP="00987491">
            <w:pPr>
              <w:pStyle w:val="N"/>
              <w:rPr>
                <w:lang w:val="en-GB"/>
              </w:rPr>
            </w:pPr>
            <w:r>
              <w:rPr>
                <w:lang w:val="el-GR"/>
              </w:rPr>
              <w:t>Κόπωση</w:t>
            </w:r>
            <w:r>
              <w:rPr>
                <w:lang w:val="en-GB"/>
              </w:rPr>
              <w:t>** (</w:t>
            </w:r>
            <w:r>
              <w:rPr>
                <w:lang w:val="el-GR"/>
              </w:rPr>
              <w:t>ασθενικότητα, εξάντληση</w:t>
            </w:r>
            <w:r>
              <w:rPr>
                <w:lang w:val="en-GB"/>
              </w:rPr>
              <w:t>)</w:t>
            </w:r>
          </w:p>
          <w:p w:rsidR="0062231D" w:rsidRDefault="0062231D" w:rsidP="00987491">
            <w:pPr>
              <w:pStyle w:val="N"/>
              <w:rPr>
                <w:lang w:val="en-GB"/>
              </w:rPr>
            </w:pPr>
            <w:r>
              <w:rPr>
                <w:lang w:val="el-GR"/>
              </w:rPr>
              <w:t>Αδυναμία</w:t>
            </w:r>
            <w:r>
              <w:rPr>
                <w:lang w:val="en-GB"/>
              </w:rPr>
              <w:t>**</w:t>
            </w:r>
          </w:p>
        </w:tc>
      </w:tr>
      <w:tr w:rsidR="0062231D" w:rsidTr="00987491">
        <w:trPr>
          <w:cantSplit/>
        </w:trPr>
        <w:tc>
          <w:tcPr>
            <w:tcW w:w="3070" w:type="dxa"/>
            <w:vAlign w:val="center"/>
          </w:tcPr>
          <w:p w:rsidR="0062231D" w:rsidRPr="00821951" w:rsidRDefault="0062231D" w:rsidP="00987491">
            <w:pPr>
              <w:pStyle w:val="N"/>
              <w:rPr>
                <w:b/>
                <w:bCs/>
                <w:lang w:val="el-GR"/>
              </w:rPr>
            </w:pPr>
            <w:r>
              <w:rPr>
                <w:b/>
                <w:bCs/>
                <w:lang w:val="el-GR"/>
              </w:rPr>
              <w:t>Διαταραχές του δέρματος και του υποδόριου ιστού</w:t>
            </w:r>
          </w:p>
        </w:tc>
        <w:tc>
          <w:tcPr>
            <w:tcW w:w="3096" w:type="dxa"/>
            <w:vAlign w:val="center"/>
          </w:tcPr>
          <w:p w:rsidR="0062231D" w:rsidRPr="00821951" w:rsidRDefault="0062231D" w:rsidP="00987491">
            <w:pPr>
              <w:pStyle w:val="N"/>
              <w:rPr>
                <w:b/>
                <w:bCs/>
                <w:i/>
                <w:iCs/>
                <w:lang w:val="el-GR"/>
              </w:rPr>
            </w:pPr>
            <w:r>
              <w:rPr>
                <w:b/>
                <w:bCs/>
                <w:i/>
                <w:iCs/>
                <w:lang w:val="el-GR"/>
              </w:rPr>
              <w:t>Πολύ σπάνιες</w:t>
            </w:r>
          </w:p>
          <w:p w:rsidR="0062231D" w:rsidRPr="002B27BB" w:rsidRDefault="0062231D" w:rsidP="00987491">
            <w:pPr>
              <w:pStyle w:val="N"/>
              <w:rPr>
                <w:b/>
                <w:bCs/>
                <w:i/>
                <w:iCs/>
                <w:lang w:val="en-GB"/>
              </w:rPr>
            </w:pPr>
          </w:p>
        </w:tc>
        <w:tc>
          <w:tcPr>
            <w:tcW w:w="3044" w:type="dxa"/>
            <w:vAlign w:val="center"/>
          </w:tcPr>
          <w:p w:rsidR="0062231D" w:rsidRPr="00670746" w:rsidRDefault="0062231D" w:rsidP="00987491">
            <w:pPr>
              <w:pStyle w:val="N"/>
              <w:rPr>
                <w:lang w:val="el-GR"/>
              </w:rPr>
            </w:pPr>
            <w:r>
              <w:rPr>
                <w:lang w:val="el-GR"/>
              </w:rPr>
              <w:t>Εξάνθημα</w:t>
            </w:r>
          </w:p>
          <w:p w:rsidR="0062231D" w:rsidRPr="00670746" w:rsidRDefault="0062231D" w:rsidP="00987491">
            <w:pPr>
              <w:pStyle w:val="N"/>
              <w:rPr>
                <w:lang w:val="el-GR"/>
              </w:rPr>
            </w:pPr>
            <w:r>
              <w:rPr>
                <w:lang w:val="el-GR"/>
              </w:rPr>
              <w:t>Κνησμός</w:t>
            </w:r>
          </w:p>
          <w:p w:rsidR="0062231D" w:rsidRPr="00670746" w:rsidRDefault="0062231D" w:rsidP="00987491">
            <w:pPr>
              <w:pStyle w:val="N"/>
              <w:rPr>
                <w:lang w:val="el-GR"/>
              </w:rPr>
            </w:pPr>
            <w:r>
              <w:rPr>
                <w:lang w:val="el-GR"/>
              </w:rPr>
              <w:t>Κνίδωση</w:t>
            </w:r>
          </w:p>
        </w:tc>
      </w:tr>
    </w:tbl>
    <w:p w:rsidR="0062231D" w:rsidRDefault="0062231D" w:rsidP="0062231D">
      <w:pPr>
        <w:ind w:left="567" w:hanging="567"/>
        <w:outlineLvl w:val="0"/>
      </w:pPr>
      <w:r w:rsidRPr="00511185">
        <w:t xml:space="preserve">* </w:t>
      </w:r>
      <w:r w:rsidRPr="00511185">
        <w:tab/>
      </w:r>
      <w:r>
        <w:t>αναφέρθηκε για τις φαρμακοτεχνικές μορφές που περιέχουν χλωριούχο βενζαλκώνιο</w:t>
      </w:r>
    </w:p>
    <w:p w:rsidR="0062231D" w:rsidRDefault="0062231D" w:rsidP="0062231D">
      <w:pPr>
        <w:ind w:left="567" w:hanging="567"/>
        <w:outlineLvl w:val="0"/>
      </w:pPr>
      <w:r w:rsidRPr="00511185">
        <w:t>**</w:t>
      </w:r>
      <w:r w:rsidRPr="00511185">
        <w:tab/>
      </w:r>
      <w:r>
        <w:t>μπορεί επίσης να προκληθεί από την ίδια τη νόσο (βλ. επίσης παράγραφο 4.7</w:t>
      </w:r>
      <w:r w:rsidRPr="00511185">
        <w:t>)</w:t>
      </w:r>
    </w:p>
    <w:p w:rsidR="0062231D" w:rsidRDefault="0062231D" w:rsidP="0062231D">
      <w:pPr>
        <w:ind w:left="567" w:hanging="567"/>
        <w:outlineLvl w:val="0"/>
      </w:pPr>
    </w:p>
    <w:p w:rsidR="0062231D" w:rsidRDefault="0062231D" w:rsidP="0062231D">
      <w:pPr>
        <w:jc w:val="both"/>
        <w:rPr>
          <w:iCs/>
          <w:szCs w:val="22"/>
          <w:u w:val="single"/>
        </w:rPr>
      </w:pPr>
      <w:r w:rsidRPr="00C26DCB">
        <w:rPr>
          <w:iCs/>
          <w:szCs w:val="22"/>
          <w:u w:val="single"/>
        </w:rPr>
        <w:t>Αναφορά πιθανολογούμενων ανεπιθύμητων ενεργειών</w:t>
      </w:r>
    </w:p>
    <w:p w:rsidR="0062231D" w:rsidRPr="00C26DCB" w:rsidRDefault="0062231D" w:rsidP="0062231D">
      <w:pPr>
        <w:jc w:val="both"/>
        <w:rPr>
          <w:iCs/>
          <w:szCs w:val="22"/>
          <w:u w:val="single"/>
        </w:rPr>
      </w:pPr>
    </w:p>
    <w:p w:rsidR="0062231D" w:rsidRDefault="0062231D" w:rsidP="0062231D">
      <w:pPr>
        <w:jc w:val="both"/>
        <w:rPr>
          <w:iCs/>
          <w:szCs w:val="22"/>
        </w:rPr>
      </w:pPr>
      <w:r w:rsidRPr="00C26DCB">
        <w:rPr>
          <w:iCs/>
          <w:szCs w:val="22"/>
        </w:rPr>
        <w:t xml:space="preserve">Η αναφορά πιθανολογούμενων ανεπιθύμητων ενεργειών μετά από τη χορήγηση άδειας κυκλοφορίας του φαρμακευτικού προϊόντος είναι σημαντική. Επιτρέπει τη συνεχή παρακολούθηση της σχέσης οφέλους-κινδύνου του φαρμακευτικού προϊόντος. Ζητείται από τους επαγγελματίες του τομέα της υγειονομικής </w:t>
      </w:r>
      <w:r w:rsidRPr="0079357C">
        <w:rPr>
          <w:iCs/>
          <w:szCs w:val="22"/>
        </w:rPr>
        <w:t xml:space="preserve">περίθαλψης να αναφέρουν οποιεσδήποτε πιθανολογούμενες ανεπιθύμητες ενέργειες </w:t>
      </w:r>
      <w:r>
        <w:rPr>
          <w:iCs/>
          <w:szCs w:val="22"/>
        </w:rPr>
        <w:t>μέσω του εθνικού συστήματος αναφοράς:</w:t>
      </w:r>
    </w:p>
    <w:p w:rsidR="0062231D" w:rsidRDefault="0062231D" w:rsidP="0062231D">
      <w:pPr>
        <w:jc w:val="both"/>
        <w:rPr>
          <w:iCs/>
          <w:szCs w:val="22"/>
        </w:rPr>
      </w:pPr>
    </w:p>
    <w:p w:rsidR="0062231D" w:rsidRDefault="0062231D" w:rsidP="0062231D">
      <w:pPr>
        <w:jc w:val="both"/>
        <w:rPr>
          <w:iCs/>
          <w:szCs w:val="22"/>
        </w:rPr>
      </w:pPr>
      <w:r w:rsidRPr="0079357C">
        <w:rPr>
          <w:iCs/>
          <w:szCs w:val="22"/>
        </w:rPr>
        <w:t>Εθνικό</w:t>
      </w:r>
      <w:r>
        <w:rPr>
          <w:iCs/>
          <w:szCs w:val="22"/>
        </w:rPr>
        <w:t>ς</w:t>
      </w:r>
      <w:r w:rsidRPr="0079357C">
        <w:rPr>
          <w:iCs/>
          <w:szCs w:val="22"/>
        </w:rPr>
        <w:t xml:space="preserve"> Οργανισμό</w:t>
      </w:r>
      <w:r>
        <w:rPr>
          <w:iCs/>
          <w:szCs w:val="22"/>
        </w:rPr>
        <w:t>ς</w:t>
      </w:r>
      <w:r w:rsidRPr="0079357C">
        <w:rPr>
          <w:iCs/>
          <w:szCs w:val="22"/>
        </w:rPr>
        <w:t xml:space="preserve"> Φαρμάκων </w:t>
      </w:r>
    </w:p>
    <w:p w:rsidR="0062231D" w:rsidRDefault="0062231D" w:rsidP="0062231D">
      <w:pPr>
        <w:jc w:val="both"/>
        <w:rPr>
          <w:iCs/>
          <w:szCs w:val="22"/>
        </w:rPr>
      </w:pPr>
      <w:r w:rsidRPr="0079357C">
        <w:rPr>
          <w:iCs/>
          <w:szCs w:val="22"/>
        </w:rPr>
        <w:t>Μεσογείων 284, 15562</w:t>
      </w:r>
    </w:p>
    <w:p w:rsidR="0062231D" w:rsidRDefault="0062231D" w:rsidP="0062231D">
      <w:pPr>
        <w:jc w:val="both"/>
        <w:rPr>
          <w:iCs/>
          <w:szCs w:val="22"/>
        </w:rPr>
      </w:pPr>
      <w:r w:rsidRPr="0079357C">
        <w:rPr>
          <w:iCs/>
          <w:szCs w:val="22"/>
        </w:rPr>
        <w:t xml:space="preserve">Χολαργός, Αθήνα </w:t>
      </w:r>
    </w:p>
    <w:p w:rsidR="0062231D" w:rsidRDefault="0062231D" w:rsidP="0062231D">
      <w:pPr>
        <w:jc w:val="both"/>
        <w:rPr>
          <w:iCs/>
          <w:szCs w:val="22"/>
        </w:rPr>
      </w:pPr>
      <w:r w:rsidRPr="0079357C">
        <w:rPr>
          <w:iCs/>
          <w:szCs w:val="22"/>
        </w:rPr>
        <w:t>Τηλ: 213</w:t>
      </w:r>
      <w:r>
        <w:rPr>
          <w:iCs/>
          <w:szCs w:val="22"/>
        </w:rPr>
        <w:t xml:space="preserve"> </w:t>
      </w:r>
      <w:r w:rsidRPr="0079357C">
        <w:rPr>
          <w:iCs/>
          <w:szCs w:val="22"/>
        </w:rPr>
        <w:t>2040380/337</w:t>
      </w:r>
    </w:p>
    <w:p w:rsidR="0062231D" w:rsidRDefault="0062231D" w:rsidP="0062231D">
      <w:pPr>
        <w:jc w:val="both"/>
        <w:rPr>
          <w:iCs/>
          <w:szCs w:val="22"/>
        </w:rPr>
      </w:pPr>
      <w:r w:rsidRPr="0079357C">
        <w:rPr>
          <w:iCs/>
          <w:szCs w:val="22"/>
        </w:rPr>
        <w:t>Φαξ: 210</w:t>
      </w:r>
      <w:r>
        <w:rPr>
          <w:iCs/>
          <w:szCs w:val="22"/>
        </w:rPr>
        <w:t xml:space="preserve"> </w:t>
      </w:r>
      <w:r w:rsidRPr="0079357C">
        <w:rPr>
          <w:iCs/>
          <w:szCs w:val="22"/>
        </w:rPr>
        <w:t xml:space="preserve">6549585 </w:t>
      </w:r>
    </w:p>
    <w:p w:rsidR="0062231D" w:rsidRDefault="0062231D" w:rsidP="0062231D">
      <w:pPr>
        <w:jc w:val="both"/>
        <w:rPr>
          <w:iCs/>
          <w:szCs w:val="22"/>
        </w:rPr>
      </w:pPr>
      <w:r w:rsidRPr="0079357C">
        <w:rPr>
          <w:iCs/>
          <w:szCs w:val="22"/>
        </w:rPr>
        <w:t xml:space="preserve">Ιστότοπος: </w:t>
      </w:r>
      <w:hyperlink r:id="rId7" w:tooltip="blocked::http://www.eof.gr/" w:history="1">
        <w:r w:rsidRPr="0079357C">
          <w:rPr>
            <w:rStyle w:val="-"/>
            <w:iCs/>
            <w:szCs w:val="22"/>
          </w:rPr>
          <w:t>http://www.eof.gr</w:t>
        </w:r>
      </w:hyperlink>
      <w:r w:rsidRPr="0079357C">
        <w:rPr>
          <w:iCs/>
          <w:szCs w:val="22"/>
        </w:rPr>
        <w:t xml:space="preserve"> </w:t>
      </w:r>
    </w:p>
    <w:p w:rsidR="0062231D" w:rsidRDefault="0062231D" w:rsidP="0062231D">
      <w:pPr>
        <w:ind w:left="567" w:hanging="567"/>
        <w:outlineLvl w:val="0"/>
      </w:pPr>
    </w:p>
    <w:p w:rsidR="0062231D" w:rsidRPr="00B33C88" w:rsidRDefault="0062231D" w:rsidP="0062231D"/>
    <w:p w:rsidR="0062231D" w:rsidRPr="00B33C88" w:rsidRDefault="0062231D" w:rsidP="0062231D">
      <w:r w:rsidRPr="00B33C88">
        <w:rPr>
          <w:b/>
        </w:rPr>
        <w:t>4.9</w:t>
      </w:r>
      <w:r w:rsidRPr="00B33C88">
        <w:rPr>
          <w:b/>
        </w:rPr>
        <w:tab/>
        <w:t>Υπερδοσολογία</w:t>
      </w:r>
    </w:p>
    <w:p w:rsidR="0062231D" w:rsidRPr="00B33C88" w:rsidRDefault="0062231D" w:rsidP="0062231D"/>
    <w:p w:rsidR="0062231D" w:rsidRPr="00B33C88" w:rsidRDefault="0062231D" w:rsidP="0062231D">
      <w:r>
        <w:t xml:space="preserve">Δεν αναμένονται αντιδράσεις από υπερδοσολογία με τη ρινική οδό χορήγησης. Σε περίπτωση υπέρβασης της δοσολογίας μετά από λανθασμένη λήψη από το στόμα, αναμένονται διαταραχές του κεντρικού νευρικού συστήματος (περιλαμβανομένων υπνηλίας, σύγχυσης, κώματος, ταχυκαρδίας και </w:t>
      </w:r>
      <w:r>
        <w:lastRenderedPageBreak/>
        <w:t>υπότασης) με βάση τα αποτελέσματα μελετών που πραγματοποιήθηκαν σε ζώα. Η αντιμετώπιση αυτών των συμπτωμάτων πρέπει να είναι συμπτωματική. Ανάλογα με την ποσότητα που ελήφθη, συνιστάται πλύση στομάχου. Δεν υπάρχει γνωστό αντίδοτο.</w:t>
      </w:r>
    </w:p>
    <w:p w:rsidR="0062231D" w:rsidRDefault="0062231D" w:rsidP="0062231D"/>
    <w:p w:rsidR="0062231D" w:rsidRPr="00B33C88" w:rsidRDefault="0062231D" w:rsidP="0062231D"/>
    <w:p w:rsidR="0062231D" w:rsidRPr="00B33C88" w:rsidRDefault="0062231D" w:rsidP="0062231D">
      <w:r w:rsidRPr="00B33C88">
        <w:rPr>
          <w:b/>
        </w:rPr>
        <w:t>5.</w:t>
      </w:r>
      <w:r w:rsidRPr="00B33C88">
        <w:rPr>
          <w:b/>
        </w:rPr>
        <w:tab/>
        <w:t>ΦΑΡΜΑΚΟΛΟΓΙΚΕΣ ΙΔΙΟΤΗΤΕΣ</w:t>
      </w:r>
    </w:p>
    <w:p w:rsidR="0062231D" w:rsidRPr="00B33C88" w:rsidRDefault="0062231D" w:rsidP="0062231D"/>
    <w:p w:rsidR="0062231D" w:rsidRPr="00B33C88" w:rsidRDefault="0062231D" w:rsidP="0062231D">
      <w:r w:rsidRPr="00B33C88">
        <w:rPr>
          <w:b/>
        </w:rPr>
        <w:t>5.1</w:t>
      </w:r>
      <w:r w:rsidRPr="00B33C88">
        <w:rPr>
          <w:b/>
        </w:rPr>
        <w:tab/>
        <w:t>Φαρμακοδυναμικές ιδιότητες</w:t>
      </w:r>
    </w:p>
    <w:p w:rsidR="0062231D" w:rsidRPr="00B33C88" w:rsidRDefault="0062231D" w:rsidP="0062231D"/>
    <w:p w:rsidR="0062231D" w:rsidRDefault="0062231D" w:rsidP="0062231D">
      <w:r w:rsidRPr="00B33C88">
        <w:t xml:space="preserve">Φαρμακοθεραπευτική κατηγορία: </w:t>
      </w:r>
      <w:r>
        <w:t>Αποσυμφορητικά και άλλα ρινικά σκευάσματα για τοπική χρήση, Αντιαλλεργικοί παράγοντες, εξαιρουμένων των κορτικοστεροειδών.</w:t>
      </w:r>
    </w:p>
    <w:p w:rsidR="0062231D" w:rsidRDefault="0062231D" w:rsidP="0062231D"/>
    <w:p w:rsidR="0062231D" w:rsidRPr="00B33C88" w:rsidRDefault="0062231D" w:rsidP="0062231D">
      <w:r>
        <w:t>Κ</w:t>
      </w:r>
      <w:r w:rsidRPr="00B33C88">
        <w:t xml:space="preserve">ωδικός ATC: </w:t>
      </w:r>
      <w:r>
        <w:rPr>
          <w:lang w:val="en-US"/>
        </w:rPr>
        <w:t>R</w:t>
      </w:r>
      <w:r w:rsidRPr="00944B51">
        <w:t>01</w:t>
      </w:r>
      <w:r>
        <w:rPr>
          <w:lang w:val="en-US"/>
        </w:rPr>
        <w:t>AC</w:t>
      </w:r>
      <w:r w:rsidRPr="00944B51">
        <w:t>03</w:t>
      </w:r>
    </w:p>
    <w:p w:rsidR="0062231D" w:rsidRPr="00B33C88" w:rsidRDefault="0062231D" w:rsidP="0062231D"/>
    <w:p w:rsidR="0062231D" w:rsidRDefault="0062231D" w:rsidP="0062231D">
      <w:r>
        <w:t xml:space="preserve">Η αζελαστίνη, ένα παράγωγο της φθαλαζινόνης, έχει χαρακτηρισθεί ως μια ισχυρή μακράς δράσης αντιαλλεργική ένωση με εκλεκτικές </w:t>
      </w:r>
      <w:r w:rsidRPr="00511185">
        <w:t>H</w:t>
      </w:r>
      <w:r w:rsidRPr="00511185">
        <w:rPr>
          <w:vertAlign w:val="subscript"/>
        </w:rPr>
        <w:t>1</w:t>
      </w:r>
      <w:r>
        <w:t>-ανταγωνιστικές ιδιότητες. Κατέστη δυνατή η ανίχνευση μιας επιπλέον αντιφλεγμονώδους δράσης μετά από τοπική οφθαλμική χορήγηση.</w:t>
      </w:r>
    </w:p>
    <w:p w:rsidR="0062231D" w:rsidRDefault="0062231D" w:rsidP="0062231D"/>
    <w:p w:rsidR="0062231D" w:rsidRDefault="0062231D" w:rsidP="0062231D">
      <w:r>
        <w:t xml:space="preserve">Δεδομένα από </w:t>
      </w:r>
      <w:r>
        <w:rPr>
          <w:lang w:val="en-US"/>
        </w:rPr>
        <w:t>in</w:t>
      </w:r>
      <w:r w:rsidRPr="00944B51">
        <w:t xml:space="preserve"> </w:t>
      </w:r>
      <w:r>
        <w:rPr>
          <w:lang w:val="en-US"/>
        </w:rPr>
        <w:t>vivo</w:t>
      </w:r>
      <w:r w:rsidRPr="00944B51">
        <w:t xml:space="preserve"> </w:t>
      </w:r>
      <w:r>
        <w:t xml:space="preserve">(προκλινικές) και </w:t>
      </w:r>
      <w:r>
        <w:rPr>
          <w:lang w:val="en-US"/>
        </w:rPr>
        <w:t>in</w:t>
      </w:r>
      <w:r w:rsidRPr="00944B51">
        <w:t xml:space="preserve"> </w:t>
      </w:r>
      <w:r>
        <w:rPr>
          <w:lang w:val="en-US"/>
        </w:rPr>
        <w:t>vitro</w:t>
      </w:r>
      <w:r w:rsidRPr="00944B51">
        <w:t xml:space="preserve"> </w:t>
      </w:r>
      <w:r>
        <w:t xml:space="preserve">μελέτες δείχνουν ότι η αζελαστίνη αναστέλλει τη σύνθεση ή αποδέσμευση των χημικών διαμεσολαβητών, που είναι διαπιστωμένο ότι συμμετέχουν στα πρώιμα και όψιμα στάδια των αλλεργικών αντιδράσεων, </w:t>
      </w:r>
      <w:r w:rsidRPr="00987491">
        <w:t>π.χ.</w:t>
      </w:r>
      <w:r>
        <w:t xml:space="preserve"> των λευκοτριενίων, της ισταμίνης, του παράγοντα ενεργοποίησης αιμοπεταλίων και της σεροτονίνης.</w:t>
      </w:r>
    </w:p>
    <w:p w:rsidR="0062231D" w:rsidRDefault="0062231D" w:rsidP="0062231D"/>
    <w:p w:rsidR="0062231D" w:rsidRPr="00B0536B" w:rsidRDefault="0062231D" w:rsidP="0062231D">
      <w:r>
        <w:t>Δεδομένα από κλινικές μελέτες δείχνουν ότι το ρινικό εκνέφωμα αζελαστίνης έχει ταχύτερη έναρξη δράσης από τη δελοραταδίνη και τη ρινικά χορηγούμενη μομεταζόνη. Ανακούφιση των ρινικών αλλεργικών συμπτωμάτων παρατηρείται εντός 15 λεπτών μετά τη χορήγηση.</w:t>
      </w:r>
    </w:p>
    <w:p w:rsidR="0062231D" w:rsidRDefault="0062231D" w:rsidP="0062231D"/>
    <w:p w:rsidR="0062231D" w:rsidRPr="00B33C88" w:rsidRDefault="0062231D" w:rsidP="0062231D">
      <w:pPr>
        <w:rPr>
          <w:b/>
        </w:rPr>
      </w:pPr>
      <w:r w:rsidRPr="00B33C88">
        <w:rPr>
          <w:b/>
        </w:rPr>
        <w:t>5.2</w:t>
      </w:r>
      <w:r w:rsidRPr="00B33C88">
        <w:rPr>
          <w:b/>
        </w:rPr>
        <w:tab/>
        <w:t>Φαρμακοκινητικές ιδιότητες</w:t>
      </w:r>
    </w:p>
    <w:p w:rsidR="0062231D" w:rsidRPr="00B33C88" w:rsidRDefault="0062231D" w:rsidP="0062231D">
      <w:pPr>
        <w:rPr>
          <w:b/>
        </w:rPr>
      </w:pPr>
    </w:p>
    <w:p w:rsidR="0062231D" w:rsidRDefault="0062231D" w:rsidP="0062231D">
      <w:r>
        <w:rPr>
          <w:i/>
        </w:rPr>
        <w:t>Γενικές ιδιότητες:</w:t>
      </w:r>
    </w:p>
    <w:p w:rsidR="0062231D" w:rsidRDefault="0062231D" w:rsidP="0062231D">
      <w:r>
        <w:t>Μετά την από του στόματος χορήγηση, η αζελαστίνη απορροφάται ταχέως εμφανίζοντας απόλυτη βιοδιαθεσιμότητα 81%. Η τροφή δεν επηρεάζει την απορρόφηση. Ο όγκος κατανομής είναι υψηλός, υποδεικνύοντας κατανομή κυρίως στους περιφερικούς ιστούς. Το επίπεδο της πρωτεϊνικής σύνδεσης είναι σχετικά χαμηλό (80%-90%, επίπεδο πολύ χαμηλό για να εγείρει ανησυχίες σχετικά με αντιδράσεις εκτόπισης φαρμάκου).</w:t>
      </w:r>
    </w:p>
    <w:p w:rsidR="0062231D" w:rsidRDefault="0062231D" w:rsidP="0062231D"/>
    <w:p w:rsidR="0062231D" w:rsidRDefault="0062231D" w:rsidP="0062231D">
      <w:r>
        <w:t>Οι χρόνοι ημιζωής πλάσματος μετά από εφάπαξ δόση της αζελαστίνης είναι περίπου 20 ώρες για την αζελαστίνη και περίπου 45 ώρες για το θεραπευτικά ενεργό μεταβολίτη Ν-Desmethyl azelastine. Η απομάκρυνση πραγματοποιείται κυρίως μέσω των κοπράνων. Η παρατεταμένη αποβολή μικρών ποσοτήτων της δόσης στα κόπρανα υποδεικνύει ότι ενδεχομένως λαμβάνει χώρα κάποιου βαθμού εντεροηπατική κυκλοφορία.</w:t>
      </w:r>
    </w:p>
    <w:p w:rsidR="0062231D" w:rsidRDefault="0062231D" w:rsidP="0062231D"/>
    <w:p w:rsidR="0062231D" w:rsidRPr="00BD6880" w:rsidRDefault="0062231D" w:rsidP="0062231D">
      <w:r>
        <w:t xml:space="preserve">Μετά από ενδορρινική χορήγηση 2 ψεκασμών ανά ρουθούνι (συνολική δόση 0,822 mg) του </w:t>
      </w:r>
      <w:r w:rsidRPr="0099242C">
        <w:t>Afluon</w:t>
      </w:r>
      <w:r>
        <w:t xml:space="preserve">, η μέση μέγιστη συγκέντρωση πλάσματος </w:t>
      </w:r>
      <w:r w:rsidRPr="005B08E2">
        <w:t>(C</w:t>
      </w:r>
      <w:r w:rsidRPr="00CC24A9">
        <w:rPr>
          <w:vertAlign w:val="subscript"/>
        </w:rPr>
        <w:t>max</w:t>
      </w:r>
      <w:r w:rsidRPr="005B08E2">
        <w:t xml:space="preserve">) </w:t>
      </w:r>
      <w:r>
        <w:t xml:space="preserve">της αζελαστίνης είναι 409 </w:t>
      </w:r>
      <w:r>
        <w:rPr>
          <w:lang w:val="en-US"/>
        </w:rPr>
        <w:t>pg</w:t>
      </w:r>
      <w:r w:rsidRPr="00944B51">
        <w:t>/</w:t>
      </w:r>
      <w:r>
        <w:rPr>
          <w:lang w:val="en-US"/>
        </w:rPr>
        <w:t>ml</w:t>
      </w:r>
      <w:r w:rsidRPr="00944B51">
        <w:t xml:space="preserve"> </w:t>
      </w:r>
      <w:r>
        <w:t xml:space="preserve">σε υγιείς εθελοντές, ο μέσος βαθμός της συστηματικής έκθεσης </w:t>
      </w:r>
      <w:r w:rsidRPr="00944B51">
        <w:t>(</w:t>
      </w:r>
      <w:r>
        <w:rPr>
          <w:lang w:val="en-US"/>
        </w:rPr>
        <w:t>AUC</w:t>
      </w:r>
      <w:r w:rsidRPr="00944B51">
        <w:t xml:space="preserve">) </w:t>
      </w:r>
      <w:r>
        <w:t xml:space="preserve">είναι 9.312 </w:t>
      </w:r>
      <w:r>
        <w:rPr>
          <w:lang w:val="en-US"/>
        </w:rPr>
        <w:t>pg</w:t>
      </w:r>
      <w:r w:rsidRPr="005B08E2">
        <w:t>•</w:t>
      </w:r>
      <w:r>
        <w:t>hr/ml</w:t>
      </w:r>
      <w:r w:rsidRPr="00944B51">
        <w:t xml:space="preserve"> </w:t>
      </w:r>
      <w:r>
        <w:t xml:space="preserve">και ο διάμεσος χρόνος για την επίτευξη της </w:t>
      </w:r>
      <w:r w:rsidRPr="005B08E2">
        <w:t>C</w:t>
      </w:r>
      <w:r w:rsidRPr="00CC24A9">
        <w:rPr>
          <w:vertAlign w:val="subscript"/>
        </w:rPr>
        <w:t>max</w:t>
      </w:r>
      <w:r w:rsidRPr="005B08E2">
        <w:t xml:space="preserve"> </w:t>
      </w:r>
      <w:r w:rsidRPr="00944B51">
        <w:t>(</w:t>
      </w:r>
      <w:r>
        <w:rPr>
          <w:lang w:val="en-US"/>
        </w:rPr>
        <w:t>t</w:t>
      </w:r>
      <w:r w:rsidRPr="00CC24A9">
        <w:rPr>
          <w:vertAlign w:val="subscript"/>
        </w:rPr>
        <w:t>max</w:t>
      </w:r>
      <w:r w:rsidRPr="005B08E2">
        <w:t xml:space="preserve">) </w:t>
      </w:r>
      <w:r>
        <w:t>είναι 4 ώρες.</w:t>
      </w:r>
    </w:p>
    <w:p w:rsidR="0062231D" w:rsidRPr="00B33C88" w:rsidRDefault="0062231D" w:rsidP="0062231D"/>
    <w:p w:rsidR="0062231D" w:rsidRPr="00B33C88" w:rsidRDefault="0062231D" w:rsidP="0062231D">
      <w:r w:rsidRPr="00B33C88">
        <w:rPr>
          <w:b/>
        </w:rPr>
        <w:t>5.3</w:t>
      </w:r>
      <w:r w:rsidRPr="00B33C88">
        <w:rPr>
          <w:b/>
        </w:rPr>
        <w:tab/>
        <w:t>Προκλινικά δεδομένα για την ασφάλεια</w:t>
      </w:r>
    </w:p>
    <w:p w:rsidR="0062231D" w:rsidRPr="00B33C88" w:rsidRDefault="0062231D" w:rsidP="0062231D"/>
    <w:p w:rsidR="0062231D" w:rsidRDefault="0062231D" w:rsidP="0062231D">
      <w:r>
        <w:t xml:space="preserve">Η υδροχλωρική αζελαστίνη δεν εμφάνισε δυναμικό ευαισθητοποίησης σε ινδικά χοιρίδια. Η αζελαστίνη δεν εμφάνισε δυναμικό γονοτοξικότητας σε σειρά δοκιμών </w:t>
      </w:r>
      <w:r>
        <w:rPr>
          <w:lang w:val="en-US"/>
        </w:rPr>
        <w:t>in</w:t>
      </w:r>
      <w:r w:rsidRPr="00944B51">
        <w:t xml:space="preserve"> </w:t>
      </w:r>
      <w:r>
        <w:rPr>
          <w:lang w:val="en-US"/>
        </w:rPr>
        <w:t>vitro</w:t>
      </w:r>
      <w:r>
        <w:t xml:space="preserve"> και </w:t>
      </w:r>
      <w:r>
        <w:rPr>
          <w:lang w:val="en-US"/>
        </w:rPr>
        <w:t>in</w:t>
      </w:r>
      <w:r w:rsidRPr="00944B51">
        <w:t xml:space="preserve"> </w:t>
      </w:r>
      <w:r>
        <w:rPr>
          <w:lang w:val="en-US"/>
        </w:rPr>
        <w:t>vivo</w:t>
      </w:r>
      <w:r>
        <w:t xml:space="preserve">, ούτε κάποιο δυναμικό καρκινογένεσης σε αρουραίους και ποντικούς. Σε άρρενες και θήλεις αρουραίους, η αζελαστίνη σε από του στόματος δόσεις υψηλότερες των 3,0 </w:t>
      </w:r>
      <w:r>
        <w:rPr>
          <w:lang w:val="en-US"/>
        </w:rPr>
        <w:t>mg</w:t>
      </w:r>
      <w:r w:rsidRPr="00944B51">
        <w:t>/</w:t>
      </w:r>
      <w:r>
        <w:rPr>
          <w:lang w:val="en-US"/>
        </w:rPr>
        <w:t>kg</w:t>
      </w:r>
      <w:r w:rsidRPr="00944B51">
        <w:t>/</w:t>
      </w:r>
      <w:r>
        <w:t xml:space="preserve">ημέρα προκάλεσε δοσοεξαρτώμενη μείωση του δείκτη γονιμότητας. Δεν διαπιστώθηκαν σχετιζόμενες με τη δραστική ουσία αλλοιώσεις στα αναπαραγωγικά όργανα των αρρένων ή των θήλεων κατά τη διάρκεια μελετών χρόνιας τοξικότητας. Οι εμβρυοτοξικές και τερατογόνες επιδράσεις σε αρουραίους, ποντικούς και κουνέλια εμφανίστηκαν μόνο σε τοξικές για τη μητέρα δόσεις (για παράδειγμα σε ποντικούς και </w:t>
      </w:r>
      <w:r>
        <w:lastRenderedPageBreak/>
        <w:t xml:space="preserve">αρουραίους σε δόσεις των 68,6 </w:t>
      </w:r>
      <w:r>
        <w:rPr>
          <w:lang w:val="en-US"/>
        </w:rPr>
        <w:t>mg</w:t>
      </w:r>
      <w:r w:rsidRPr="00944B51">
        <w:t>/</w:t>
      </w:r>
      <w:r>
        <w:rPr>
          <w:lang w:val="en-US"/>
        </w:rPr>
        <w:t>kg</w:t>
      </w:r>
      <w:r w:rsidRPr="00944B51">
        <w:t>/</w:t>
      </w:r>
      <w:r>
        <w:t>ημέρα).</w:t>
      </w:r>
    </w:p>
    <w:p w:rsidR="0062231D" w:rsidRPr="00BD6880" w:rsidRDefault="0062231D" w:rsidP="0062231D">
      <w:r>
        <w:t>Σε υψηλές από του στόματος δόσεις σε ζώα, 1.095 φορές υψηλότερες από τη μέγιστη συνιστώμενη ενδορρινική ημερήσια δόση στον άνθρωπο, παρατηρήθηκε εμβρυικός θάνατος, επιβράδυνση της ανάπτυξης και αυξημένη επίπτωση σκελετικών ανωμαλιών κατά τη διάρκεια δοκιμασιών αναπαραγωγικής τοξικότητας.</w:t>
      </w:r>
    </w:p>
    <w:p w:rsidR="0062231D" w:rsidRPr="00B33C88" w:rsidRDefault="0062231D" w:rsidP="0062231D">
      <w:pPr>
        <w:rPr>
          <w:b/>
          <w:bCs/>
        </w:rPr>
      </w:pPr>
    </w:p>
    <w:p w:rsidR="0062231D" w:rsidRPr="00B33C88" w:rsidRDefault="0062231D" w:rsidP="0062231D">
      <w:pPr>
        <w:pStyle w:val="a3"/>
        <w:tabs>
          <w:tab w:val="clear" w:pos="4153"/>
          <w:tab w:val="clear" w:pos="8306"/>
        </w:tabs>
      </w:pPr>
    </w:p>
    <w:p w:rsidR="0062231D" w:rsidRPr="00B33C88" w:rsidRDefault="0062231D" w:rsidP="0062231D">
      <w:r w:rsidRPr="00B33C88">
        <w:rPr>
          <w:b/>
        </w:rPr>
        <w:t>6.</w:t>
      </w:r>
      <w:r w:rsidRPr="00B33C88">
        <w:rPr>
          <w:b/>
        </w:rPr>
        <w:tab/>
        <w:t>ΦΑΡΜΑΚΕΥΤΙΚΕΣ ΠΛΗΡΟΦΟΡΙΕΣ</w:t>
      </w:r>
    </w:p>
    <w:p w:rsidR="0062231D" w:rsidRPr="00B33C88" w:rsidRDefault="0062231D" w:rsidP="0062231D"/>
    <w:p w:rsidR="0062231D" w:rsidRPr="00B33C88" w:rsidRDefault="0062231D" w:rsidP="0062231D">
      <w:r w:rsidRPr="00B33C88">
        <w:rPr>
          <w:b/>
        </w:rPr>
        <w:t>6.1</w:t>
      </w:r>
      <w:r w:rsidRPr="00B33C88">
        <w:rPr>
          <w:b/>
        </w:rPr>
        <w:tab/>
        <w:t>Κατάλογος εκδόχων</w:t>
      </w:r>
    </w:p>
    <w:p w:rsidR="0062231D" w:rsidRPr="00B33C88" w:rsidRDefault="0062231D" w:rsidP="0062231D"/>
    <w:p w:rsidR="0062231D" w:rsidRPr="00BD6880" w:rsidRDefault="0062231D" w:rsidP="0062231D">
      <w:r>
        <w:t>Υπρομελλόζη, σουκραλόζη (Ε 955), υγρή σορβιτόλη (κρυσταλλοποιούμενη), α</w:t>
      </w:r>
      <w:r w:rsidRPr="00BD6880">
        <w:t>ιθυλεν</w:t>
      </w:r>
      <w:r>
        <w:t>οδιαμινοτετραοξικό δινάτριο, κιτρικό νάτριο, χλωριούχο βενζαλκώνιο, κεκαθαρμένο ύδωρ.</w:t>
      </w:r>
    </w:p>
    <w:p w:rsidR="0062231D" w:rsidRPr="00B33C88" w:rsidRDefault="0062231D" w:rsidP="0062231D"/>
    <w:p w:rsidR="0062231D" w:rsidRPr="00B33C88" w:rsidRDefault="0062231D" w:rsidP="0062231D">
      <w:r w:rsidRPr="00B33C88">
        <w:rPr>
          <w:b/>
        </w:rPr>
        <w:t>6.2</w:t>
      </w:r>
      <w:r w:rsidRPr="00B33C88">
        <w:rPr>
          <w:b/>
        </w:rPr>
        <w:tab/>
        <w:t>Ασυμβατότητες</w:t>
      </w:r>
    </w:p>
    <w:p w:rsidR="0062231D" w:rsidRPr="00B33C88" w:rsidRDefault="0062231D" w:rsidP="0062231D"/>
    <w:p w:rsidR="0062231D" w:rsidRPr="00B33C88" w:rsidRDefault="0062231D" w:rsidP="0062231D">
      <w:r w:rsidRPr="00B33C88">
        <w:t>Δεν εφαρμόζεται.</w:t>
      </w:r>
    </w:p>
    <w:p w:rsidR="0062231D" w:rsidRPr="00B33C88" w:rsidRDefault="0062231D" w:rsidP="0062231D"/>
    <w:p w:rsidR="0062231D" w:rsidRPr="00B33C88" w:rsidRDefault="0062231D" w:rsidP="0062231D">
      <w:r w:rsidRPr="00B33C88">
        <w:rPr>
          <w:b/>
        </w:rPr>
        <w:t>6.3</w:t>
      </w:r>
      <w:r w:rsidRPr="00B33C88">
        <w:rPr>
          <w:b/>
        </w:rPr>
        <w:tab/>
        <w:t>Διάρκεια ζωής</w:t>
      </w:r>
    </w:p>
    <w:p w:rsidR="0062231D" w:rsidRPr="00B33C88" w:rsidRDefault="0062231D" w:rsidP="0062231D"/>
    <w:p w:rsidR="0062231D" w:rsidRDefault="0062231D" w:rsidP="0062231D">
      <w:r w:rsidRPr="00B33C88">
        <w:t>3 χρόνια.</w:t>
      </w:r>
    </w:p>
    <w:p w:rsidR="0062231D" w:rsidRDefault="0062231D" w:rsidP="0062231D"/>
    <w:p w:rsidR="0062231D" w:rsidRPr="001606AD" w:rsidRDefault="0062231D" w:rsidP="0062231D">
      <w:r>
        <w:rPr>
          <w:i/>
        </w:rPr>
        <w:t xml:space="preserve">Διάρκεια ζωής κατά τη διάρκεια της χρήσης (μετά την πρώτη χρήση): </w:t>
      </w:r>
      <w:r w:rsidRPr="001606AD">
        <w:rPr>
          <w:i/>
        </w:rPr>
        <w:t>6</w:t>
      </w:r>
      <w:r>
        <w:t xml:space="preserve"> μήνες</w:t>
      </w:r>
    </w:p>
    <w:p w:rsidR="0062231D" w:rsidRPr="00B33C88" w:rsidRDefault="0062231D" w:rsidP="0062231D"/>
    <w:p w:rsidR="0062231D" w:rsidRPr="00B33C88" w:rsidRDefault="0062231D" w:rsidP="0062231D">
      <w:r w:rsidRPr="00B33C88">
        <w:rPr>
          <w:b/>
        </w:rPr>
        <w:t>6.4</w:t>
      </w:r>
      <w:r w:rsidRPr="00B33C88">
        <w:rPr>
          <w:b/>
        </w:rPr>
        <w:tab/>
        <w:t>Ιδιαίτερες προφυλάξεις κατά τη φύλαξη του προϊόντος</w:t>
      </w:r>
    </w:p>
    <w:p w:rsidR="0062231D" w:rsidRPr="00B33C88" w:rsidRDefault="0062231D" w:rsidP="0062231D"/>
    <w:p w:rsidR="0062231D" w:rsidRPr="00B33C88" w:rsidRDefault="0062231D" w:rsidP="0062231D">
      <w:r>
        <w:rPr>
          <w:noProof/>
        </w:rPr>
        <w:t>Μην ψύχετε ή καταψύχετε.</w:t>
      </w:r>
    </w:p>
    <w:p w:rsidR="0062231D" w:rsidRPr="00B33C88" w:rsidRDefault="0062231D" w:rsidP="0062231D"/>
    <w:p w:rsidR="0062231D" w:rsidRPr="00B33C88" w:rsidRDefault="0062231D" w:rsidP="0062231D">
      <w:pPr>
        <w:rPr>
          <w:b/>
        </w:rPr>
      </w:pPr>
      <w:r w:rsidRPr="00B33C88">
        <w:rPr>
          <w:b/>
        </w:rPr>
        <w:t>6.5</w:t>
      </w:r>
      <w:r w:rsidRPr="00B33C88">
        <w:rPr>
          <w:b/>
        </w:rPr>
        <w:tab/>
        <w:t xml:space="preserve">Φύση και συστατικά του περιέκτη </w:t>
      </w:r>
    </w:p>
    <w:p w:rsidR="0062231D" w:rsidRPr="00B33C88" w:rsidRDefault="0062231D" w:rsidP="0062231D"/>
    <w:p w:rsidR="0062231D" w:rsidRDefault="0062231D" w:rsidP="0062231D">
      <w:r>
        <w:t xml:space="preserve">Λευκή πλαστική </w:t>
      </w:r>
      <w:r w:rsidRPr="00944B51">
        <w:t>(</w:t>
      </w:r>
      <w:r>
        <w:rPr>
          <w:lang w:val="en-US"/>
        </w:rPr>
        <w:t>HDPE</w:t>
      </w:r>
      <w:r w:rsidRPr="00944B51">
        <w:t xml:space="preserve">) </w:t>
      </w:r>
      <w:r>
        <w:t>φιάλη που φέρει αντλία ψεκασμού (τα τμήματα της αντλίας που έρχονται σε επαφή με το διάλυμα συνίστανται σε πολυπροπυλένιο, πολυαιθυλένιο, πολυοξυμεθυλένιο, ελαστομερές και ανοξείδωτο ατσάλι):</w:t>
      </w:r>
    </w:p>
    <w:p w:rsidR="0062231D" w:rsidRDefault="0062231D" w:rsidP="0062231D">
      <w:r>
        <w:t xml:space="preserve">όγκος πλήρωσης </w:t>
      </w:r>
      <w:r w:rsidRPr="00944B51">
        <w:t xml:space="preserve">4 </w:t>
      </w:r>
      <w:r>
        <w:rPr>
          <w:lang w:val="en-US"/>
        </w:rPr>
        <w:t>ml</w:t>
      </w:r>
      <w:r w:rsidRPr="00944B51">
        <w:t xml:space="preserve"> </w:t>
      </w:r>
      <w:r>
        <w:t>σε φιάλες των 15 ml (συσκευασία λιανικής διάθεσης και δειγμάτων)</w:t>
      </w:r>
    </w:p>
    <w:p w:rsidR="0062231D" w:rsidRDefault="0062231D" w:rsidP="0062231D">
      <w:r>
        <w:t>όγκος πλήρωσης 30</w:t>
      </w:r>
      <w:r w:rsidRPr="00944B51">
        <w:t xml:space="preserve"> </w:t>
      </w:r>
      <w:r>
        <w:rPr>
          <w:lang w:val="en-US"/>
        </w:rPr>
        <w:t>ml</w:t>
      </w:r>
      <w:r w:rsidRPr="00944B51">
        <w:t xml:space="preserve"> </w:t>
      </w:r>
      <w:r>
        <w:t>σε φιάλες των 34,5 ml</w:t>
      </w:r>
    </w:p>
    <w:p w:rsidR="0062231D" w:rsidRPr="00B73A9B" w:rsidRDefault="0062231D" w:rsidP="0062231D">
      <w:r>
        <w:t>όγκος πλήρωσης 30</w:t>
      </w:r>
      <w:r w:rsidRPr="00944B51">
        <w:t xml:space="preserve"> </w:t>
      </w:r>
      <w:r>
        <w:rPr>
          <w:lang w:val="en-US"/>
        </w:rPr>
        <w:t>ml</w:t>
      </w:r>
      <w:r w:rsidRPr="00944B51">
        <w:t xml:space="preserve"> </w:t>
      </w:r>
      <w:r>
        <w:t>σε φιάλες των 34,5 ml</w:t>
      </w:r>
      <w:r w:rsidRPr="00944B51">
        <w:t xml:space="preserve"> </w:t>
      </w:r>
      <w:r>
        <w:rPr>
          <w:lang w:val="en-US"/>
        </w:rPr>
        <w:t>x</w:t>
      </w:r>
      <w:r w:rsidRPr="00944B51">
        <w:t xml:space="preserve"> 10</w:t>
      </w:r>
      <w:r>
        <w:t xml:space="preserve"> (συσκευασία νοσοκομειακής χρήσης)</w:t>
      </w:r>
    </w:p>
    <w:p w:rsidR="0062231D" w:rsidRDefault="0062231D" w:rsidP="0062231D"/>
    <w:p w:rsidR="0062231D" w:rsidRPr="00B33C88" w:rsidRDefault="0062231D" w:rsidP="0062231D">
      <w:pPr>
        <w:rPr>
          <w:b/>
        </w:rPr>
      </w:pPr>
      <w:r w:rsidRPr="00B33C88">
        <w:t>Μπορεί να μην κυκλοφορούν όλες οι συσκευασίες.</w:t>
      </w:r>
    </w:p>
    <w:p w:rsidR="0062231D" w:rsidRPr="00B33C88" w:rsidRDefault="0062231D" w:rsidP="0062231D">
      <w:pPr>
        <w:rPr>
          <w:b/>
        </w:rPr>
      </w:pPr>
    </w:p>
    <w:p w:rsidR="0062231D" w:rsidRPr="00B33C88" w:rsidRDefault="0062231D" w:rsidP="0062231D">
      <w:r w:rsidRPr="00B33C88">
        <w:rPr>
          <w:b/>
        </w:rPr>
        <w:t>6.6</w:t>
      </w:r>
      <w:r w:rsidRPr="00B33C88">
        <w:rPr>
          <w:b/>
        </w:rPr>
        <w:tab/>
        <w:t>Ιδιαίτερες προφυλάξεις απόρριψης και άλλος χειρισμός</w:t>
      </w:r>
    </w:p>
    <w:p w:rsidR="0062231D" w:rsidRPr="00B33C88" w:rsidRDefault="0062231D" w:rsidP="0062231D"/>
    <w:p w:rsidR="0062231D" w:rsidRPr="00B33C88" w:rsidRDefault="0062231D" w:rsidP="0062231D">
      <w:r w:rsidRPr="00B33C88">
        <w:t>Καμία ειδική υποχρέωση</w:t>
      </w:r>
      <w:r>
        <w:t>.</w:t>
      </w:r>
    </w:p>
    <w:p w:rsidR="0062231D" w:rsidRPr="00B33C88" w:rsidRDefault="0062231D" w:rsidP="0062231D"/>
    <w:p w:rsidR="0062231D" w:rsidRPr="00B33C88" w:rsidRDefault="0062231D" w:rsidP="0062231D"/>
    <w:p w:rsidR="0062231D" w:rsidRPr="00B33C88" w:rsidRDefault="0062231D" w:rsidP="0062231D">
      <w:r w:rsidRPr="00B33C88">
        <w:rPr>
          <w:b/>
        </w:rPr>
        <w:t>7.</w:t>
      </w:r>
      <w:r w:rsidRPr="00B33C88">
        <w:rPr>
          <w:b/>
        </w:rPr>
        <w:tab/>
        <w:t>ΚΑΤΟΧΟΣ ΤΗΣ ΑΔΕΙΑΣ ΚΥΚΛΟΦΟΡΙΑΣ</w:t>
      </w:r>
    </w:p>
    <w:p w:rsidR="0062231D" w:rsidRPr="00B33C88" w:rsidRDefault="0062231D" w:rsidP="0062231D"/>
    <w:p w:rsidR="0062231D" w:rsidRPr="0099242C" w:rsidRDefault="0062231D" w:rsidP="0062231D">
      <w:pPr>
        <w:rPr>
          <w:lang w:val="en-US"/>
        </w:rPr>
      </w:pPr>
      <w:proofErr w:type="gramStart"/>
      <w:r w:rsidRPr="0099242C">
        <w:rPr>
          <w:lang w:val="en-US"/>
        </w:rPr>
        <w:t xml:space="preserve">MEDA </w:t>
      </w:r>
      <w:r>
        <w:rPr>
          <w:lang w:val="en-US"/>
        </w:rPr>
        <w:t>Pharmaceuticals</w:t>
      </w:r>
      <w:r w:rsidRPr="0099242C">
        <w:rPr>
          <w:lang w:val="en-US"/>
        </w:rPr>
        <w:t xml:space="preserve"> A.E.</w:t>
      </w:r>
      <w:proofErr w:type="gramEnd"/>
    </w:p>
    <w:p w:rsidR="0062231D" w:rsidRPr="0099242C" w:rsidRDefault="0062231D" w:rsidP="0062231D">
      <w:pPr>
        <w:rPr>
          <w:lang w:val="en-US"/>
        </w:rPr>
      </w:pPr>
      <w:r>
        <w:t>Ευρυτανίας</w:t>
      </w:r>
      <w:r>
        <w:rPr>
          <w:lang w:val="en-US"/>
        </w:rPr>
        <w:t xml:space="preserve"> 3</w:t>
      </w:r>
    </w:p>
    <w:p w:rsidR="0062231D" w:rsidRDefault="0062231D" w:rsidP="0062231D">
      <w:r>
        <w:t>152 31 Χαλάνδρι</w:t>
      </w:r>
    </w:p>
    <w:p w:rsidR="0062231D" w:rsidRPr="00B33C88" w:rsidRDefault="0062231D" w:rsidP="0062231D">
      <w:r>
        <w:t>Ελλάδα</w:t>
      </w:r>
      <w:r>
        <w:tab/>
      </w:r>
    </w:p>
    <w:p w:rsidR="0062231D" w:rsidRPr="00B33C88" w:rsidRDefault="0062231D" w:rsidP="0062231D"/>
    <w:p w:rsidR="0062231D" w:rsidRPr="00B33C88" w:rsidRDefault="0062231D" w:rsidP="0062231D">
      <w:r w:rsidRPr="00B33C88">
        <w:rPr>
          <w:b/>
        </w:rPr>
        <w:t>8.</w:t>
      </w:r>
      <w:r w:rsidRPr="00B33C88">
        <w:rPr>
          <w:b/>
        </w:rPr>
        <w:tab/>
        <w:t>ΑΡΙΘΜΟΣ(ΟΙ) ΑΔΕΙΑΣ ΚΥΚΛΟΦΟΡΙΑΣ</w:t>
      </w:r>
    </w:p>
    <w:p w:rsidR="0062231D" w:rsidRDefault="0062231D" w:rsidP="0062231D"/>
    <w:p w:rsidR="0062231D" w:rsidRPr="00B33C88" w:rsidRDefault="0062231D" w:rsidP="0062231D">
      <w:r>
        <w:t>&lt;[Συμπληρώνεται σε εθνικό επίπεδο]&gt;</w:t>
      </w:r>
    </w:p>
    <w:p w:rsidR="0062231D" w:rsidRPr="00B33C88" w:rsidRDefault="0062231D" w:rsidP="0062231D"/>
    <w:p w:rsidR="0062231D" w:rsidRPr="00B33C88" w:rsidRDefault="0062231D" w:rsidP="0062231D"/>
    <w:p w:rsidR="0062231D" w:rsidRPr="00B33C88" w:rsidRDefault="0062231D" w:rsidP="0062231D">
      <w:r w:rsidRPr="00B33C88">
        <w:rPr>
          <w:b/>
        </w:rPr>
        <w:t>9.</w:t>
      </w:r>
      <w:r w:rsidRPr="00B33C88">
        <w:rPr>
          <w:b/>
        </w:rPr>
        <w:tab/>
        <w:t>ΗΜΕΡΟΜΗΝΙΑ ΠΡΩΤΗΣ ΕΓΚΡΙΣΗΣ/ΑΝΑΝΕΩΣΗΣ ΤΗΣ ΑΔΕΙΑΣ</w:t>
      </w:r>
    </w:p>
    <w:p w:rsidR="0062231D" w:rsidRPr="00B33C88" w:rsidRDefault="0062231D" w:rsidP="0062231D"/>
    <w:p w:rsidR="0062231D" w:rsidRPr="00B33C88" w:rsidRDefault="0062231D" w:rsidP="0062231D">
      <w:r w:rsidRPr="00B33C88">
        <w:t>Ημερομηνία πρώτης έγκρισης</w:t>
      </w:r>
      <w:r w:rsidRPr="00B33C88">
        <w:rPr>
          <w:szCs w:val="22"/>
        </w:rPr>
        <w:t xml:space="preserve">: </w:t>
      </w:r>
      <w:r>
        <w:rPr>
          <w:szCs w:val="22"/>
        </w:rPr>
        <w:t>&lt;</w:t>
      </w:r>
      <w:r w:rsidRPr="00B33C88">
        <w:rPr>
          <w:szCs w:val="22"/>
        </w:rPr>
        <w:t>{ΗΗ μήνας ΕΕΕΕ}&gt;</w:t>
      </w:r>
    </w:p>
    <w:p w:rsidR="0062231D" w:rsidRPr="0062231D" w:rsidRDefault="0062231D" w:rsidP="0062231D"/>
    <w:p w:rsidR="0062231D" w:rsidRPr="0062231D" w:rsidRDefault="0062231D" w:rsidP="0062231D"/>
    <w:p w:rsidR="0062231D" w:rsidRPr="00B33C88" w:rsidRDefault="0062231D" w:rsidP="0062231D">
      <w:pPr>
        <w:rPr>
          <w:b/>
        </w:rPr>
      </w:pPr>
      <w:r w:rsidRPr="00B33C88">
        <w:rPr>
          <w:b/>
        </w:rPr>
        <w:t>10.</w:t>
      </w:r>
      <w:r w:rsidRPr="00B33C88">
        <w:rPr>
          <w:b/>
        </w:rPr>
        <w:tab/>
        <w:t>ΗΜΕΡΟΜΗΝΙΑ ΑΝΑΘΕΩΡΗΣΗΣ ΤΟΥ ΚΕΙΜΕΝΟΥ</w:t>
      </w:r>
    </w:p>
    <w:p w:rsidR="0062231D" w:rsidRPr="00B33C88" w:rsidRDefault="0062231D" w:rsidP="0062231D">
      <w:pPr>
        <w:rPr>
          <w:bCs/>
        </w:rPr>
      </w:pPr>
    </w:p>
    <w:p w:rsidR="0062231D" w:rsidRPr="00B33C88" w:rsidRDefault="0062231D" w:rsidP="0062231D"/>
    <w:p w:rsidR="0062231D" w:rsidRPr="00B33C88" w:rsidRDefault="0062231D" w:rsidP="0062231D"/>
    <w:p w:rsidR="0062231D" w:rsidRPr="00BC1EDB" w:rsidRDefault="0062231D" w:rsidP="0062231D">
      <w:pPr>
        <w:jc w:val="both"/>
        <w:rPr>
          <w:bCs/>
          <w:lang w:val="en-US"/>
        </w:rPr>
      </w:pPr>
    </w:p>
    <w:p w:rsidR="00C739BD" w:rsidRDefault="00C739BD">
      <w:bookmarkStart w:id="0" w:name="_GoBack"/>
      <w:bookmarkEnd w:id="0"/>
    </w:p>
    <w:sectPr w:rsidR="00C739BD" w:rsidSect="00F31849">
      <w:footerReference w:type="default" r:id="rId8"/>
      <w:footerReference w:type="first" r:id="rId9"/>
      <w:endnotePr>
        <w:numFmt w:val="decimal"/>
      </w:endnotePr>
      <w:pgSz w:w="11896" w:h="16834" w:code="9"/>
      <w:pgMar w:top="1134" w:right="1418" w:bottom="1134" w:left="1418" w:header="737" w:footer="73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B17" w:rsidRDefault="00266B17" w:rsidP="00F31849">
      <w:r>
        <w:separator/>
      </w:r>
    </w:p>
  </w:endnote>
  <w:endnote w:type="continuationSeparator" w:id="0">
    <w:p w:rsidR="00266B17" w:rsidRDefault="00266B17" w:rsidP="00F318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FCE" w:rsidRDefault="00F31849">
    <w:pPr>
      <w:pStyle w:val="a4"/>
      <w:tabs>
        <w:tab w:val="clear" w:pos="4153"/>
        <w:tab w:val="clear" w:pos="8306"/>
        <w:tab w:val="center" w:pos="4536"/>
        <w:tab w:val="center" w:pos="8930"/>
      </w:tabs>
      <w:jc w:val="center"/>
      <w:rPr>
        <w:rFonts w:ascii="Arial" w:hAnsi="Arial" w:cs="Arial"/>
        <w:sz w:val="16"/>
        <w:lang w:val="fr-FR"/>
      </w:rPr>
    </w:pPr>
    <w:r>
      <w:rPr>
        <w:rFonts w:ascii="Arial" w:hAnsi="Arial" w:cs="Arial"/>
        <w:sz w:val="16"/>
        <w:lang w:val="fr-FR"/>
      </w:rPr>
      <w:fldChar w:fldCharType="begin"/>
    </w:r>
    <w:r w:rsidR="0062231D">
      <w:rPr>
        <w:rFonts w:ascii="Arial" w:hAnsi="Arial" w:cs="Arial"/>
        <w:sz w:val="16"/>
        <w:lang w:val="fr-FR"/>
      </w:rPr>
      <w:instrText xml:space="preserve">PAGE  </w:instrText>
    </w:r>
    <w:r>
      <w:rPr>
        <w:rFonts w:ascii="Arial" w:hAnsi="Arial" w:cs="Arial"/>
        <w:sz w:val="16"/>
        <w:lang w:val="fr-FR"/>
      </w:rPr>
      <w:fldChar w:fldCharType="separate"/>
    </w:r>
    <w:r w:rsidR="003134A4">
      <w:rPr>
        <w:rFonts w:ascii="Arial" w:hAnsi="Arial" w:cs="Arial"/>
        <w:noProof/>
        <w:sz w:val="16"/>
        <w:lang w:val="fr-FR"/>
      </w:rPr>
      <w:t>6</w:t>
    </w:r>
    <w:r>
      <w:rPr>
        <w:rFonts w:ascii="Arial" w:hAnsi="Arial" w:cs="Arial"/>
        <w:sz w:val="16"/>
        <w:lang w:val="fr-F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FCE" w:rsidRDefault="00F31849">
    <w:pPr>
      <w:pStyle w:val="a4"/>
      <w:tabs>
        <w:tab w:val="clear" w:pos="4153"/>
        <w:tab w:val="clear" w:pos="8306"/>
        <w:tab w:val="center" w:pos="4536"/>
        <w:tab w:val="center" w:pos="8930"/>
      </w:tabs>
      <w:jc w:val="center"/>
      <w:rPr>
        <w:rFonts w:ascii="Arial" w:hAnsi="Arial" w:cs="Arial"/>
        <w:sz w:val="16"/>
        <w:lang w:val="fr-FR"/>
      </w:rPr>
    </w:pPr>
    <w:r>
      <w:rPr>
        <w:rFonts w:ascii="Arial" w:hAnsi="Arial" w:cs="Arial"/>
        <w:sz w:val="16"/>
        <w:lang w:val="fr-FR"/>
      </w:rPr>
      <w:fldChar w:fldCharType="begin"/>
    </w:r>
    <w:r w:rsidR="0062231D">
      <w:rPr>
        <w:rFonts w:ascii="Arial" w:hAnsi="Arial" w:cs="Arial"/>
        <w:sz w:val="16"/>
        <w:lang w:val="fr-FR"/>
      </w:rPr>
      <w:instrText xml:space="preserve">PAGE  </w:instrText>
    </w:r>
    <w:r>
      <w:rPr>
        <w:rFonts w:ascii="Arial" w:hAnsi="Arial" w:cs="Arial"/>
        <w:sz w:val="16"/>
        <w:lang w:val="fr-FR"/>
      </w:rPr>
      <w:fldChar w:fldCharType="separate"/>
    </w:r>
    <w:r w:rsidR="003134A4">
      <w:rPr>
        <w:rFonts w:ascii="Arial" w:hAnsi="Arial" w:cs="Arial"/>
        <w:noProof/>
        <w:sz w:val="16"/>
        <w:lang w:val="fr-FR"/>
      </w:rPr>
      <w:t>1</w:t>
    </w:r>
    <w:r>
      <w:rPr>
        <w:rFonts w:ascii="Arial" w:hAnsi="Arial" w:cs="Arial"/>
        <w:sz w:val="16"/>
        <w:lang w:val="fr-F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B17" w:rsidRDefault="00266B17" w:rsidP="00F31849">
      <w:r>
        <w:separator/>
      </w:r>
    </w:p>
  </w:footnote>
  <w:footnote w:type="continuationSeparator" w:id="0">
    <w:p w:rsidR="00266B17" w:rsidRDefault="00266B17" w:rsidP="00F318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07258"/>
    <w:multiLevelType w:val="multilevel"/>
    <w:tmpl w:val="F75069E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endnote w:id="-1"/>
    <w:endnote w:id="0"/>
  </w:endnotePr>
  <w:compat/>
  <w:rsids>
    <w:rsidRoot w:val="0062231D"/>
    <w:rsid w:val="00266B17"/>
    <w:rsid w:val="003134A4"/>
    <w:rsid w:val="0062231D"/>
    <w:rsid w:val="00C739BD"/>
    <w:rsid w:val="00F3184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31D"/>
    <w:pPr>
      <w:widowControl w:val="0"/>
      <w:spacing w:after="0" w:line="240" w:lineRule="auto"/>
    </w:pPr>
    <w:rPr>
      <w:rFonts w:ascii="Times New Roman" w:eastAsia="Times New Roman"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2231D"/>
    <w:pPr>
      <w:tabs>
        <w:tab w:val="center" w:pos="4153"/>
        <w:tab w:val="right" w:pos="8306"/>
      </w:tabs>
    </w:pPr>
  </w:style>
  <w:style w:type="character" w:customStyle="1" w:styleId="Char">
    <w:name w:val="Κεφαλίδα Char"/>
    <w:basedOn w:val="a0"/>
    <w:link w:val="a3"/>
    <w:rsid w:val="0062231D"/>
    <w:rPr>
      <w:rFonts w:ascii="Times New Roman" w:eastAsia="Times New Roman" w:hAnsi="Times New Roman" w:cs="Times New Roman"/>
      <w:szCs w:val="20"/>
    </w:rPr>
  </w:style>
  <w:style w:type="paragraph" w:styleId="a4">
    <w:name w:val="footer"/>
    <w:basedOn w:val="a"/>
    <w:link w:val="Char0"/>
    <w:rsid w:val="0062231D"/>
    <w:pPr>
      <w:tabs>
        <w:tab w:val="center" w:pos="4153"/>
        <w:tab w:val="right" w:pos="8306"/>
      </w:tabs>
    </w:pPr>
  </w:style>
  <w:style w:type="character" w:customStyle="1" w:styleId="Char0">
    <w:name w:val="Υποσέλιδο Char"/>
    <w:basedOn w:val="a0"/>
    <w:link w:val="a4"/>
    <w:rsid w:val="0062231D"/>
    <w:rPr>
      <w:rFonts w:ascii="Times New Roman" w:eastAsia="Times New Roman" w:hAnsi="Times New Roman" w:cs="Times New Roman"/>
      <w:szCs w:val="20"/>
    </w:rPr>
  </w:style>
  <w:style w:type="character" w:styleId="-">
    <w:name w:val="Hyperlink"/>
    <w:rsid w:val="0062231D"/>
    <w:rPr>
      <w:color w:val="0000FF"/>
      <w:u w:val="single"/>
    </w:rPr>
  </w:style>
  <w:style w:type="paragraph" w:customStyle="1" w:styleId="N">
    <w:name w:val="N"/>
    <w:basedOn w:val="a"/>
    <w:uiPriority w:val="99"/>
    <w:rsid w:val="0062231D"/>
    <w:pPr>
      <w:widowControl/>
    </w:pPr>
    <w:rPr>
      <w:szCs w:val="22"/>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31D"/>
    <w:pPr>
      <w:widowControl w:val="0"/>
      <w:spacing w:after="0" w:line="240" w:lineRule="auto"/>
    </w:pPr>
    <w:rPr>
      <w:rFonts w:ascii="Times New Roman" w:eastAsia="Times New Roman"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2231D"/>
    <w:pPr>
      <w:tabs>
        <w:tab w:val="center" w:pos="4153"/>
        <w:tab w:val="right" w:pos="8306"/>
      </w:tabs>
    </w:pPr>
  </w:style>
  <w:style w:type="character" w:customStyle="1" w:styleId="Char">
    <w:name w:val="Κεφαλίδα Char"/>
    <w:basedOn w:val="a0"/>
    <w:link w:val="a3"/>
    <w:rsid w:val="0062231D"/>
    <w:rPr>
      <w:rFonts w:ascii="Times New Roman" w:eastAsia="Times New Roman" w:hAnsi="Times New Roman" w:cs="Times New Roman"/>
      <w:szCs w:val="20"/>
    </w:rPr>
  </w:style>
  <w:style w:type="paragraph" w:styleId="a4">
    <w:name w:val="footer"/>
    <w:basedOn w:val="a"/>
    <w:link w:val="Char0"/>
    <w:rsid w:val="0062231D"/>
    <w:pPr>
      <w:tabs>
        <w:tab w:val="center" w:pos="4153"/>
        <w:tab w:val="right" w:pos="8306"/>
      </w:tabs>
    </w:pPr>
  </w:style>
  <w:style w:type="character" w:customStyle="1" w:styleId="Char0">
    <w:name w:val="Υποσέλιδο Char"/>
    <w:basedOn w:val="a0"/>
    <w:link w:val="a4"/>
    <w:rsid w:val="0062231D"/>
    <w:rPr>
      <w:rFonts w:ascii="Times New Roman" w:eastAsia="Times New Roman" w:hAnsi="Times New Roman" w:cs="Times New Roman"/>
      <w:szCs w:val="20"/>
    </w:rPr>
  </w:style>
  <w:style w:type="character" w:styleId="-">
    <w:name w:val="Hyperlink"/>
    <w:rsid w:val="0062231D"/>
    <w:rPr>
      <w:color w:val="0000FF"/>
      <w:u w:val="single"/>
    </w:rPr>
  </w:style>
  <w:style w:type="paragraph" w:customStyle="1" w:styleId="N">
    <w:name w:val="N"/>
    <w:basedOn w:val="a"/>
    <w:uiPriority w:val="99"/>
    <w:rsid w:val="0062231D"/>
    <w:pPr>
      <w:widowControl/>
    </w:pPr>
    <w:rPr>
      <w:szCs w:val="22"/>
      <w:lang w:val="de-DE" w:eastAsia="de-D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of.gr"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1840</Words>
  <Characters>9941</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user146</cp:lastModifiedBy>
  <cp:revision>2</cp:revision>
  <dcterms:created xsi:type="dcterms:W3CDTF">2014-12-22T08:59:00Z</dcterms:created>
  <dcterms:modified xsi:type="dcterms:W3CDTF">2014-12-22T08:59:00Z</dcterms:modified>
</cp:coreProperties>
</file>