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88D" w:rsidRPr="00106D84" w:rsidRDefault="0018188D">
      <w:pPr>
        <w:tabs>
          <w:tab w:val="left" w:pos="851"/>
        </w:tabs>
        <w:jc w:val="center"/>
        <w:rPr>
          <w:b/>
          <w:sz w:val="22"/>
          <w:u w:val="single"/>
          <w:lang w:val="el-GR"/>
        </w:rPr>
      </w:pPr>
      <w:r w:rsidRPr="00106D84">
        <w:rPr>
          <w:b/>
          <w:sz w:val="22"/>
          <w:u w:val="single"/>
          <w:lang w:val="el-GR"/>
        </w:rPr>
        <w:t xml:space="preserve">ΠΕΡΙΛΗΨΗ  ΤΩΝ  ΧΑΡΑΚΤΗΡΙΣΤΙΚΩΝ  ΤΟΥ  ΠΡΟΪΟΝΤΟΣ </w:t>
      </w:r>
    </w:p>
    <w:p w:rsidR="0018188D" w:rsidRPr="00106D84" w:rsidRDefault="0018188D">
      <w:pPr>
        <w:tabs>
          <w:tab w:val="left" w:pos="851"/>
        </w:tabs>
        <w:jc w:val="center"/>
        <w:rPr>
          <w:sz w:val="22"/>
          <w:lang w:val="el-GR"/>
        </w:rPr>
      </w:pPr>
    </w:p>
    <w:p w:rsidR="0018188D" w:rsidRPr="00106D84" w:rsidRDefault="0018188D">
      <w:pPr>
        <w:tabs>
          <w:tab w:val="left" w:pos="851"/>
        </w:tabs>
        <w:jc w:val="center"/>
        <w:rPr>
          <w:sz w:val="22"/>
          <w:lang w:val="el-GR"/>
        </w:rPr>
      </w:pPr>
    </w:p>
    <w:p w:rsidR="0018188D" w:rsidRPr="00106D84" w:rsidRDefault="0018188D">
      <w:pPr>
        <w:tabs>
          <w:tab w:val="left" w:pos="426"/>
          <w:tab w:val="left" w:pos="851"/>
        </w:tabs>
        <w:rPr>
          <w:b/>
          <w:sz w:val="22"/>
          <w:lang w:val="el-GR"/>
        </w:rPr>
      </w:pPr>
      <w:r w:rsidRPr="00106D84">
        <w:rPr>
          <w:b/>
          <w:sz w:val="22"/>
          <w:lang w:val="el-GR"/>
        </w:rPr>
        <w:t>1.</w:t>
      </w:r>
      <w:r w:rsidRPr="00106D84">
        <w:rPr>
          <w:b/>
          <w:sz w:val="22"/>
          <w:lang w:val="el-GR"/>
        </w:rPr>
        <w:tab/>
      </w:r>
      <w:r w:rsidRPr="00106D84">
        <w:rPr>
          <w:b/>
          <w:sz w:val="22"/>
          <w:u w:val="single"/>
          <w:lang w:val="el-GR"/>
        </w:rPr>
        <w:t>ΟΝΟΜΑΣΙΑ ΤΟΥ ΦΑΡΜΑΚΕΥΤΙΚΟΥ ΠΡΟΙΟΝΤΟΣ</w:t>
      </w:r>
    </w:p>
    <w:p w:rsidR="0018188D" w:rsidRPr="00106D84" w:rsidRDefault="0018188D">
      <w:pPr>
        <w:tabs>
          <w:tab w:val="left" w:pos="426"/>
          <w:tab w:val="left" w:pos="851"/>
        </w:tabs>
        <w:rPr>
          <w:sz w:val="22"/>
          <w:lang w:val="el-GR"/>
        </w:rPr>
      </w:pPr>
    </w:p>
    <w:p w:rsidR="0018188D" w:rsidRPr="00106D84" w:rsidRDefault="0018188D">
      <w:pPr>
        <w:tabs>
          <w:tab w:val="left" w:pos="426"/>
        </w:tabs>
        <w:ind w:left="420"/>
        <w:rPr>
          <w:sz w:val="22"/>
          <w:vertAlign w:val="superscript"/>
          <w:lang w:val="el-GR"/>
        </w:rPr>
      </w:pPr>
      <w:r w:rsidRPr="00106D84">
        <w:rPr>
          <w:b/>
          <w:sz w:val="22"/>
          <w:lang w:val="el-GR"/>
        </w:rPr>
        <w:t>TEVETEN</w:t>
      </w:r>
      <w:r w:rsidR="006E00C3" w:rsidRPr="00106D84">
        <w:rPr>
          <w:b/>
          <w:sz w:val="22"/>
          <w:lang w:val="el-GR"/>
        </w:rPr>
        <w:t xml:space="preserve"> </w:t>
      </w:r>
      <w:r w:rsidRPr="00106D84">
        <w:rPr>
          <w:sz w:val="22"/>
          <w:lang w:val="el-GR"/>
        </w:rPr>
        <w:t xml:space="preserve">600 </w:t>
      </w:r>
      <w:r w:rsidRPr="00106D84">
        <w:rPr>
          <w:sz w:val="22"/>
          <w:lang w:val="en-US"/>
        </w:rPr>
        <w:t>mg</w:t>
      </w:r>
      <w:r w:rsidRPr="00106D84">
        <w:rPr>
          <w:b/>
          <w:sz w:val="22"/>
          <w:lang w:val="el-GR"/>
        </w:rPr>
        <w:t xml:space="preserve"> </w:t>
      </w:r>
      <w:r w:rsidRPr="00106D84">
        <w:rPr>
          <w:sz w:val="22"/>
          <w:lang w:val="el-GR"/>
        </w:rPr>
        <w:t>επικαλυμμένα με λεπτό υμένιο δισκία</w:t>
      </w:r>
    </w:p>
    <w:p w:rsidR="0018188D" w:rsidRPr="00106D84" w:rsidRDefault="0018188D">
      <w:pPr>
        <w:tabs>
          <w:tab w:val="left" w:pos="426"/>
          <w:tab w:val="left" w:pos="851"/>
        </w:tabs>
        <w:rPr>
          <w:sz w:val="22"/>
          <w:lang w:val="el-GR"/>
        </w:rPr>
      </w:pPr>
    </w:p>
    <w:p w:rsidR="0018188D" w:rsidRPr="00106D84" w:rsidRDefault="0018188D">
      <w:pPr>
        <w:tabs>
          <w:tab w:val="left" w:pos="426"/>
          <w:tab w:val="left" w:pos="851"/>
        </w:tabs>
        <w:rPr>
          <w:b/>
          <w:sz w:val="22"/>
          <w:u w:val="single"/>
          <w:lang w:val="el-GR"/>
        </w:rPr>
      </w:pPr>
      <w:r w:rsidRPr="00106D84">
        <w:rPr>
          <w:b/>
          <w:sz w:val="22"/>
          <w:lang w:val="el-GR"/>
        </w:rPr>
        <w:t>2.</w:t>
      </w:r>
      <w:r w:rsidRPr="00106D84">
        <w:rPr>
          <w:b/>
          <w:sz w:val="22"/>
          <w:lang w:val="el-GR"/>
        </w:rPr>
        <w:tab/>
      </w:r>
      <w:r w:rsidRPr="00106D84">
        <w:rPr>
          <w:b/>
          <w:sz w:val="22"/>
          <w:u w:val="single"/>
          <w:lang w:val="el-GR"/>
        </w:rPr>
        <w:t xml:space="preserve">ΠΟΙΟΤΙΚΗ ΚΑΙ ΠΟΣΟΤΙΚΗ ΣΥΝΘΕΣΗ </w:t>
      </w:r>
    </w:p>
    <w:p w:rsidR="0018188D" w:rsidRPr="00106D84" w:rsidRDefault="0018188D">
      <w:pPr>
        <w:tabs>
          <w:tab w:val="left" w:pos="426"/>
          <w:tab w:val="left" w:pos="851"/>
        </w:tabs>
        <w:rPr>
          <w:sz w:val="22"/>
          <w:lang w:val="el-GR"/>
        </w:rPr>
      </w:pPr>
    </w:p>
    <w:p w:rsidR="00A92164" w:rsidRPr="00106D84" w:rsidRDefault="0018188D">
      <w:pPr>
        <w:tabs>
          <w:tab w:val="left" w:pos="426"/>
        </w:tabs>
        <w:ind w:left="426"/>
        <w:rPr>
          <w:sz w:val="22"/>
          <w:lang w:val="el-GR"/>
        </w:rPr>
      </w:pPr>
      <w:r w:rsidRPr="00106D84">
        <w:rPr>
          <w:sz w:val="22"/>
          <w:lang w:val="el-GR"/>
        </w:rPr>
        <w:t xml:space="preserve">Κάθε επικαλυμμένο με λεπτό υμένιο δισκίο περιέχει </w:t>
      </w:r>
      <w:r w:rsidR="00494010" w:rsidRPr="00106D84">
        <w:rPr>
          <w:sz w:val="22"/>
          <w:lang w:val="en-US"/>
        </w:rPr>
        <w:t>e</w:t>
      </w:r>
      <w:r w:rsidRPr="00106D84">
        <w:rPr>
          <w:sz w:val="22"/>
        </w:rPr>
        <w:t>prosartan</w:t>
      </w:r>
      <w:r w:rsidRPr="00106D84">
        <w:rPr>
          <w:sz w:val="22"/>
          <w:lang w:val="el-GR"/>
        </w:rPr>
        <w:t xml:space="preserve"> </w:t>
      </w:r>
      <w:r w:rsidRPr="00106D84">
        <w:rPr>
          <w:sz w:val="22"/>
        </w:rPr>
        <w:t>mesylate</w:t>
      </w:r>
      <w:r w:rsidRPr="00106D84">
        <w:rPr>
          <w:sz w:val="22"/>
          <w:lang w:val="el-GR"/>
        </w:rPr>
        <w:t xml:space="preserve">, ισοδύναμη με </w:t>
      </w:r>
      <w:r w:rsidR="002D6D36" w:rsidRPr="00106D84">
        <w:rPr>
          <w:sz w:val="22"/>
          <w:lang w:val="el-GR"/>
        </w:rPr>
        <w:t>600</w:t>
      </w:r>
      <w:r w:rsidR="002D6D36" w:rsidRPr="00106D84">
        <w:rPr>
          <w:sz w:val="22"/>
        </w:rPr>
        <w:t>mg</w:t>
      </w:r>
      <w:r w:rsidR="002D6D36" w:rsidRPr="00106D84">
        <w:rPr>
          <w:sz w:val="22"/>
          <w:lang w:val="el-GR"/>
        </w:rPr>
        <w:t xml:space="preserve"> </w:t>
      </w:r>
      <w:r w:rsidR="002D6D36" w:rsidRPr="00106D84">
        <w:rPr>
          <w:sz w:val="22"/>
          <w:lang w:val="en-US"/>
        </w:rPr>
        <w:t>eprosartan</w:t>
      </w:r>
      <w:r w:rsidRPr="00106D84">
        <w:rPr>
          <w:sz w:val="22"/>
          <w:lang w:val="el-GR"/>
        </w:rPr>
        <w:t xml:space="preserve">. </w:t>
      </w:r>
    </w:p>
    <w:p w:rsidR="00C028FC" w:rsidRPr="00106D84" w:rsidRDefault="00C028FC">
      <w:pPr>
        <w:tabs>
          <w:tab w:val="left" w:pos="426"/>
        </w:tabs>
        <w:ind w:left="426"/>
        <w:rPr>
          <w:sz w:val="22"/>
          <w:lang w:val="el-GR"/>
        </w:rPr>
      </w:pPr>
    </w:p>
    <w:p w:rsidR="0018188D" w:rsidRPr="00106D84" w:rsidRDefault="0018188D">
      <w:pPr>
        <w:tabs>
          <w:tab w:val="left" w:pos="426"/>
        </w:tabs>
        <w:ind w:left="426"/>
        <w:rPr>
          <w:sz w:val="22"/>
          <w:lang w:val="el-GR"/>
        </w:rPr>
      </w:pPr>
      <w:r w:rsidRPr="00106D84">
        <w:rPr>
          <w:sz w:val="22"/>
          <w:lang w:val="el-GR"/>
        </w:rPr>
        <w:t xml:space="preserve">Για </w:t>
      </w:r>
      <w:r w:rsidR="00A92164" w:rsidRPr="00106D84">
        <w:rPr>
          <w:sz w:val="22"/>
          <w:szCs w:val="22"/>
          <w:lang w:val="el-GR"/>
        </w:rPr>
        <w:t xml:space="preserve">πλήρη κατάλογο των εκδόχων </w:t>
      </w:r>
      <w:r w:rsidRPr="00106D84">
        <w:rPr>
          <w:sz w:val="22"/>
          <w:lang w:val="el-GR"/>
        </w:rPr>
        <w:t>βλ. παρ</w:t>
      </w:r>
      <w:r w:rsidR="00FC2816" w:rsidRPr="00106D84">
        <w:rPr>
          <w:sz w:val="22"/>
          <w:lang w:val="el-GR"/>
        </w:rPr>
        <w:t>ά</w:t>
      </w:r>
      <w:r w:rsidRPr="00106D84">
        <w:rPr>
          <w:sz w:val="22"/>
          <w:lang w:val="el-GR"/>
        </w:rPr>
        <w:t>γρ. 6.1.</w:t>
      </w:r>
    </w:p>
    <w:p w:rsidR="0018188D" w:rsidRPr="00106D84" w:rsidRDefault="0018188D">
      <w:pPr>
        <w:tabs>
          <w:tab w:val="left" w:pos="426"/>
          <w:tab w:val="left" w:pos="851"/>
        </w:tabs>
        <w:rPr>
          <w:sz w:val="22"/>
          <w:lang w:val="el-GR"/>
        </w:rPr>
      </w:pPr>
    </w:p>
    <w:p w:rsidR="0018188D" w:rsidRPr="00106D84" w:rsidRDefault="0018188D">
      <w:pPr>
        <w:tabs>
          <w:tab w:val="left" w:pos="426"/>
          <w:tab w:val="left" w:pos="851"/>
        </w:tabs>
        <w:rPr>
          <w:b/>
          <w:sz w:val="22"/>
          <w:lang w:val="el-GR"/>
        </w:rPr>
      </w:pPr>
      <w:r w:rsidRPr="00106D84">
        <w:rPr>
          <w:b/>
          <w:sz w:val="22"/>
          <w:lang w:val="el-GR"/>
        </w:rPr>
        <w:t>3.</w:t>
      </w:r>
      <w:r w:rsidRPr="00106D84">
        <w:rPr>
          <w:b/>
          <w:sz w:val="22"/>
          <w:lang w:val="el-GR"/>
        </w:rPr>
        <w:tab/>
      </w:r>
      <w:r w:rsidRPr="00106D84">
        <w:rPr>
          <w:b/>
          <w:sz w:val="22"/>
          <w:u w:val="single"/>
          <w:lang w:val="el-GR"/>
        </w:rPr>
        <w:t>ΦΑΡΜΑΚΟΤΕΧΝΙΚΗ ΜΟΡΦΗ</w:t>
      </w:r>
    </w:p>
    <w:p w:rsidR="0018188D" w:rsidRPr="00106D84" w:rsidRDefault="0018188D">
      <w:pPr>
        <w:tabs>
          <w:tab w:val="left" w:pos="426"/>
          <w:tab w:val="left" w:pos="851"/>
        </w:tabs>
        <w:rPr>
          <w:sz w:val="22"/>
          <w:lang w:val="el-GR"/>
        </w:rPr>
      </w:pPr>
    </w:p>
    <w:p w:rsidR="0018188D" w:rsidRPr="00106D84" w:rsidRDefault="0018188D">
      <w:pPr>
        <w:tabs>
          <w:tab w:val="left" w:pos="426"/>
          <w:tab w:val="left" w:pos="851"/>
        </w:tabs>
        <w:ind w:left="426"/>
        <w:rPr>
          <w:sz w:val="22"/>
          <w:lang w:val="el-GR"/>
        </w:rPr>
      </w:pPr>
      <w:r w:rsidRPr="00106D84">
        <w:rPr>
          <w:sz w:val="22"/>
          <w:lang w:val="el-GR"/>
        </w:rPr>
        <w:t xml:space="preserve">Δισκία επικαλυμμένα με λεπτό υμένιο. </w:t>
      </w:r>
    </w:p>
    <w:p w:rsidR="001A3498" w:rsidRPr="00106D84" w:rsidRDefault="001A3498" w:rsidP="001A3498">
      <w:pPr>
        <w:tabs>
          <w:tab w:val="left" w:pos="426"/>
          <w:tab w:val="left" w:pos="851"/>
        </w:tabs>
        <w:ind w:left="426"/>
        <w:rPr>
          <w:sz w:val="22"/>
          <w:lang w:val="el-GR"/>
        </w:rPr>
      </w:pPr>
      <w:r w:rsidRPr="00106D84">
        <w:rPr>
          <w:sz w:val="22"/>
          <w:lang w:val="en-US"/>
        </w:rPr>
        <w:t>T</w:t>
      </w:r>
      <w:r w:rsidRPr="00106D84">
        <w:rPr>
          <w:sz w:val="22"/>
          <w:lang w:val="el-GR"/>
        </w:rPr>
        <w:t xml:space="preserve">α </w:t>
      </w:r>
      <w:r w:rsidRPr="00106D84">
        <w:rPr>
          <w:sz w:val="22"/>
          <w:lang w:val="en-US"/>
        </w:rPr>
        <w:t>Teveten</w:t>
      </w:r>
      <w:r w:rsidR="001715C0" w:rsidRPr="00106D84">
        <w:rPr>
          <w:b/>
          <w:sz w:val="22"/>
          <w:lang w:val="el-GR"/>
        </w:rPr>
        <w:t xml:space="preserve"> </w:t>
      </w:r>
      <w:r w:rsidRPr="00106D84">
        <w:rPr>
          <w:sz w:val="22"/>
          <w:lang w:val="el-GR"/>
        </w:rPr>
        <w:t>600</w:t>
      </w:r>
      <w:r w:rsidR="00B01470" w:rsidRPr="00106D84">
        <w:rPr>
          <w:sz w:val="22"/>
          <w:lang w:val="el-GR"/>
        </w:rPr>
        <w:t xml:space="preserve"> </w:t>
      </w:r>
      <w:r w:rsidR="00E25898" w:rsidRPr="00106D84">
        <w:rPr>
          <w:sz w:val="22"/>
        </w:rPr>
        <w:t>mg</w:t>
      </w:r>
      <w:r w:rsidRPr="00106D84">
        <w:rPr>
          <w:sz w:val="22"/>
          <w:lang w:val="el-GR"/>
        </w:rPr>
        <w:t xml:space="preserve"> είναι σχήματος κάψουλας, λευκά, επικαλυμμένα με λεπτό υμένιο δισκία, με την εκτύπωση </w:t>
      </w:r>
      <w:r w:rsidR="00B01470" w:rsidRPr="00106D84">
        <w:rPr>
          <w:sz w:val="22"/>
          <w:lang w:val="el-GR"/>
        </w:rPr>
        <w:t>«</w:t>
      </w:r>
      <w:r w:rsidRPr="00106D84">
        <w:rPr>
          <w:sz w:val="22"/>
          <w:lang w:val="el-GR"/>
        </w:rPr>
        <w:t>5046</w:t>
      </w:r>
      <w:r w:rsidR="00B01470" w:rsidRPr="00106D84">
        <w:rPr>
          <w:sz w:val="22"/>
          <w:lang w:val="el-GR"/>
        </w:rPr>
        <w:t>»</w:t>
      </w:r>
      <w:r w:rsidRPr="00106D84">
        <w:rPr>
          <w:sz w:val="22"/>
          <w:lang w:val="el-GR"/>
        </w:rPr>
        <w:t xml:space="preserve"> στη μία πλευρά του</w:t>
      </w:r>
      <w:r w:rsidR="009D6824" w:rsidRPr="00106D84">
        <w:rPr>
          <w:sz w:val="22"/>
          <w:lang w:val="el-GR"/>
        </w:rPr>
        <w:t>ς</w:t>
      </w:r>
      <w:r w:rsidRPr="00106D84">
        <w:rPr>
          <w:sz w:val="22"/>
          <w:lang w:val="el-GR"/>
        </w:rPr>
        <w:t xml:space="preserve">.  </w:t>
      </w:r>
    </w:p>
    <w:p w:rsidR="001A3498" w:rsidRPr="00106D84" w:rsidRDefault="001A3498" w:rsidP="001A3498">
      <w:pPr>
        <w:tabs>
          <w:tab w:val="left" w:pos="426"/>
          <w:tab w:val="left" w:pos="851"/>
        </w:tabs>
        <w:rPr>
          <w:sz w:val="22"/>
          <w:lang w:val="el-GR"/>
        </w:rPr>
      </w:pPr>
    </w:p>
    <w:p w:rsidR="00136979" w:rsidRPr="00106D84" w:rsidRDefault="0018188D" w:rsidP="00136979">
      <w:pPr>
        <w:rPr>
          <w:lang w:val="el-GR"/>
        </w:rPr>
      </w:pPr>
      <w:r w:rsidRPr="00106D84">
        <w:rPr>
          <w:b/>
          <w:sz w:val="22"/>
          <w:lang w:val="el-GR"/>
        </w:rPr>
        <w:t>4.</w:t>
      </w:r>
      <w:r w:rsidR="00136979" w:rsidRPr="00106D84">
        <w:rPr>
          <w:b/>
          <w:sz w:val="22"/>
          <w:lang w:val="en-US"/>
        </w:rPr>
        <w:t xml:space="preserve">     </w:t>
      </w:r>
      <w:r w:rsidR="00136979" w:rsidRPr="00106D84">
        <w:rPr>
          <w:b/>
          <w:sz w:val="22"/>
          <w:szCs w:val="22"/>
          <w:u w:val="single"/>
          <w:lang w:val="el-GR"/>
        </w:rPr>
        <w:t>ΚΛΙΝΙΚΕΣ ΠΛΗΡΟΦΟΡΙΕΣ</w:t>
      </w:r>
    </w:p>
    <w:p w:rsidR="0018188D" w:rsidRPr="00106D84" w:rsidRDefault="0018188D">
      <w:pPr>
        <w:tabs>
          <w:tab w:val="left" w:pos="426"/>
          <w:tab w:val="left" w:pos="851"/>
        </w:tabs>
        <w:rPr>
          <w:b/>
          <w:sz w:val="22"/>
          <w:u w:val="single"/>
          <w:lang w:val="el-GR"/>
        </w:rPr>
      </w:pPr>
    </w:p>
    <w:p w:rsidR="0018188D" w:rsidRPr="00106D84" w:rsidRDefault="0018188D">
      <w:pPr>
        <w:tabs>
          <w:tab w:val="left" w:pos="426"/>
          <w:tab w:val="left" w:pos="851"/>
        </w:tabs>
        <w:rPr>
          <w:sz w:val="22"/>
          <w:lang w:val="el-GR"/>
        </w:rPr>
      </w:pPr>
    </w:p>
    <w:p w:rsidR="0018188D" w:rsidRPr="00106D84" w:rsidRDefault="0018188D">
      <w:pPr>
        <w:tabs>
          <w:tab w:val="left" w:pos="426"/>
          <w:tab w:val="left" w:pos="851"/>
        </w:tabs>
        <w:rPr>
          <w:b/>
          <w:sz w:val="22"/>
          <w:lang w:val="el-GR"/>
        </w:rPr>
      </w:pPr>
      <w:r w:rsidRPr="00106D84">
        <w:rPr>
          <w:b/>
          <w:sz w:val="22"/>
          <w:lang w:val="el-GR"/>
        </w:rPr>
        <w:t>4.1</w:t>
      </w:r>
      <w:r w:rsidRPr="00106D84">
        <w:rPr>
          <w:b/>
          <w:sz w:val="22"/>
          <w:lang w:val="el-GR"/>
        </w:rPr>
        <w:tab/>
        <w:t>Θεραπευτικές Ενδείξεις</w:t>
      </w:r>
    </w:p>
    <w:p w:rsidR="0018188D" w:rsidRPr="00106D84" w:rsidRDefault="0018188D">
      <w:pPr>
        <w:tabs>
          <w:tab w:val="left" w:pos="426"/>
          <w:tab w:val="left" w:pos="851"/>
        </w:tabs>
        <w:rPr>
          <w:b/>
          <w:sz w:val="22"/>
          <w:lang w:val="el-GR"/>
        </w:rPr>
      </w:pPr>
    </w:p>
    <w:p w:rsidR="0018188D" w:rsidRPr="00106D84" w:rsidRDefault="0018188D">
      <w:pPr>
        <w:tabs>
          <w:tab w:val="left" w:pos="426"/>
          <w:tab w:val="left" w:pos="851"/>
        </w:tabs>
        <w:ind w:left="425"/>
        <w:rPr>
          <w:sz w:val="22"/>
          <w:lang w:val="el-GR"/>
        </w:rPr>
      </w:pPr>
      <w:r w:rsidRPr="00106D84">
        <w:rPr>
          <w:sz w:val="22"/>
          <w:lang w:val="el-GR"/>
        </w:rPr>
        <w:t>Η  επροσαρτάνη ενδείκνυται στη θεραπεία της ιδιοπαθούς υπέρτασης</w:t>
      </w:r>
    </w:p>
    <w:p w:rsidR="00594EFC" w:rsidRPr="00106D84" w:rsidRDefault="00594EFC">
      <w:pPr>
        <w:tabs>
          <w:tab w:val="left" w:pos="426"/>
          <w:tab w:val="left" w:pos="851"/>
        </w:tabs>
        <w:ind w:left="425"/>
        <w:rPr>
          <w:sz w:val="22"/>
          <w:lang w:val="en-US"/>
        </w:rPr>
      </w:pPr>
    </w:p>
    <w:p w:rsidR="002603FD" w:rsidRPr="00106D84" w:rsidRDefault="002603FD" w:rsidP="002603FD">
      <w:pPr>
        <w:tabs>
          <w:tab w:val="left" w:pos="426"/>
          <w:tab w:val="left" w:pos="851"/>
        </w:tabs>
        <w:rPr>
          <w:sz w:val="22"/>
          <w:lang w:val="en-US"/>
        </w:rPr>
      </w:pPr>
    </w:p>
    <w:p w:rsidR="0018188D" w:rsidRPr="00106D84" w:rsidRDefault="0018188D">
      <w:pPr>
        <w:tabs>
          <w:tab w:val="left" w:pos="426"/>
          <w:tab w:val="left" w:pos="851"/>
        </w:tabs>
        <w:rPr>
          <w:b/>
          <w:sz w:val="22"/>
          <w:lang w:val="el-GR"/>
        </w:rPr>
      </w:pPr>
      <w:r w:rsidRPr="00106D84">
        <w:rPr>
          <w:b/>
          <w:sz w:val="22"/>
          <w:lang w:val="el-GR"/>
        </w:rPr>
        <w:t>4.2</w:t>
      </w:r>
      <w:r w:rsidRPr="00106D84">
        <w:rPr>
          <w:b/>
          <w:sz w:val="22"/>
          <w:lang w:val="el-GR"/>
        </w:rPr>
        <w:tab/>
        <w:t>Δοσολογία και τρόπος χορήγησης</w:t>
      </w:r>
    </w:p>
    <w:p w:rsidR="0018188D" w:rsidRPr="00106D84" w:rsidRDefault="0018188D">
      <w:pPr>
        <w:tabs>
          <w:tab w:val="left" w:pos="426"/>
          <w:tab w:val="left" w:pos="851"/>
        </w:tabs>
        <w:rPr>
          <w:b/>
          <w:sz w:val="22"/>
          <w:lang w:val="el-GR"/>
        </w:rPr>
      </w:pPr>
    </w:p>
    <w:p w:rsidR="0018188D" w:rsidRPr="00106D84" w:rsidRDefault="0018188D">
      <w:pPr>
        <w:tabs>
          <w:tab w:val="left" w:pos="426"/>
          <w:tab w:val="left" w:pos="851"/>
        </w:tabs>
        <w:ind w:left="426"/>
        <w:rPr>
          <w:sz w:val="22"/>
          <w:lang w:val="el-GR"/>
        </w:rPr>
      </w:pPr>
      <w:r w:rsidRPr="00106D84">
        <w:rPr>
          <w:sz w:val="22"/>
          <w:lang w:val="el-GR"/>
        </w:rPr>
        <w:t xml:space="preserve">Η συνιστώμενη δόση είναι 600 </w:t>
      </w:r>
      <w:r w:rsidRPr="00106D84">
        <w:rPr>
          <w:sz w:val="22"/>
        </w:rPr>
        <w:t>mg</w:t>
      </w:r>
      <w:r w:rsidRPr="00106D84">
        <w:rPr>
          <w:sz w:val="22"/>
          <w:lang w:val="el-GR"/>
        </w:rPr>
        <w:t xml:space="preserve"> επροσαρτάνης, μια φορά την ημέρα.</w:t>
      </w:r>
    </w:p>
    <w:p w:rsidR="0015117A" w:rsidRPr="00106D84" w:rsidRDefault="0015117A">
      <w:pPr>
        <w:tabs>
          <w:tab w:val="left" w:pos="426"/>
          <w:tab w:val="left" w:pos="851"/>
        </w:tabs>
        <w:ind w:left="426"/>
        <w:rPr>
          <w:sz w:val="22"/>
          <w:lang w:val="el-GR"/>
        </w:rPr>
      </w:pPr>
    </w:p>
    <w:p w:rsidR="0018188D" w:rsidRPr="00106D84" w:rsidRDefault="0018188D">
      <w:pPr>
        <w:tabs>
          <w:tab w:val="left" w:pos="426"/>
          <w:tab w:val="left" w:pos="851"/>
        </w:tabs>
        <w:ind w:left="426"/>
        <w:rPr>
          <w:sz w:val="22"/>
          <w:lang w:val="el-GR"/>
        </w:rPr>
      </w:pPr>
      <w:r w:rsidRPr="00106D84">
        <w:rPr>
          <w:sz w:val="22"/>
          <w:lang w:val="el-GR"/>
        </w:rPr>
        <w:t>Η μέγιστη μείωση της αρτηριακής πίεσης στους περισσότερους ασθενείς επιτυγχάνεται μέσα σε διάστημα 2 ως 3 εβδομάδων από την έναρξη της αγωγής.</w:t>
      </w:r>
    </w:p>
    <w:p w:rsidR="0015117A" w:rsidRPr="00106D84" w:rsidRDefault="0015117A">
      <w:pPr>
        <w:tabs>
          <w:tab w:val="left" w:pos="426"/>
          <w:tab w:val="left" w:pos="851"/>
        </w:tabs>
        <w:ind w:left="426"/>
        <w:rPr>
          <w:sz w:val="22"/>
          <w:lang w:val="el-GR"/>
        </w:rPr>
      </w:pPr>
    </w:p>
    <w:p w:rsidR="0018188D" w:rsidRPr="00106D84" w:rsidRDefault="0018188D">
      <w:pPr>
        <w:tabs>
          <w:tab w:val="left" w:pos="426"/>
          <w:tab w:val="left" w:pos="851"/>
        </w:tabs>
        <w:ind w:left="426"/>
        <w:rPr>
          <w:sz w:val="22"/>
          <w:lang w:val="el-GR"/>
        </w:rPr>
      </w:pPr>
      <w:r w:rsidRPr="00106D84">
        <w:rPr>
          <w:sz w:val="22"/>
          <w:lang w:val="el-GR"/>
        </w:rPr>
        <w:t>Η επροσαρτάνη μπορεί να χορηγηθεί μόνη ή σε συνδυασμό με άλλα αντιυπερτασικά. Συγκεκριμένα, η προσθήκη ενός θειαζιδικού διουρητικού, όπως η υδροχλωροθειαζίδη ή ενός αναστολέα διαύλων ασβεστίου, όπως η νιφεδιπίνη ελεγχόμενης αποδέσμευσης, έχει αποδειχθεί ότι έχει συνεργική δράση με την επροσαρτάνη.</w:t>
      </w:r>
    </w:p>
    <w:p w:rsidR="0018188D" w:rsidRPr="00106D84" w:rsidRDefault="0018188D">
      <w:pPr>
        <w:tabs>
          <w:tab w:val="left" w:pos="426"/>
          <w:tab w:val="left" w:pos="851"/>
        </w:tabs>
        <w:ind w:left="426"/>
        <w:rPr>
          <w:sz w:val="22"/>
          <w:lang w:val="el-GR"/>
        </w:rPr>
      </w:pPr>
    </w:p>
    <w:p w:rsidR="0015117A" w:rsidRPr="00106D84" w:rsidRDefault="0015117A" w:rsidP="0015117A">
      <w:pPr>
        <w:tabs>
          <w:tab w:val="left" w:pos="426"/>
        </w:tabs>
        <w:spacing w:line="280" w:lineRule="exact"/>
        <w:ind w:left="425"/>
        <w:rPr>
          <w:sz w:val="22"/>
          <w:lang w:val="el-GR"/>
        </w:rPr>
      </w:pPr>
      <w:r w:rsidRPr="00106D84">
        <w:rPr>
          <w:sz w:val="22"/>
          <w:lang w:val="el-GR"/>
        </w:rPr>
        <w:t>Η επροσαρτάνη  μπορεί να χορηγηθεί με ή χωρίς τροφή</w:t>
      </w:r>
      <w:r w:rsidRPr="00106D84">
        <w:rPr>
          <w:sz w:val="22"/>
          <w:szCs w:val="22"/>
          <w:lang w:val="el-GR"/>
        </w:rPr>
        <w:t>.</w:t>
      </w:r>
    </w:p>
    <w:p w:rsidR="0015117A" w:rsidRPr="00106D84" w:rsidRDefault="0015117A" w:rsidP="0015117A">
      <w:pPr>
        <w:tabs>
          <w:tab w:val="left" w:pos="426"/>
        </w:tabs>
        <w:spacing w:line="280" w:lineRule="exact"/>
        <w:ind w:left="425"/>
        <w:rPr>
          <w:sz w:val="22"/>
          <w:lang w:val="el-GR"/>
        </w:rPr>
      </w:pPr>
    </w:p>
    <w:p w:rsidR="0015117A" w:rsidRPr="00106D84" w:rsidRDefault="0015117A" w:rsidP="0015117A">
      <w:pPr>
        <w:tabs>
          <w:tab w:val="left" w:pos="426"/>
        </w:tabs>
        <w:spacing w:line="280" w:lineRule="exact"/>
        <w:ind w:left="425"/>
        <w:rPr>
          <w:sz w:val="22"/>
          <w:lang w:val="el-GR"/>
        </w:rPr>
      </w:pPr>
      <w:r w:rsidRPr="00106D84">
        <w:rPr>
          <w:sz w:val="22"/>
          <w:lang w:val="el-GR"/>
        </w:rPr>
        <w:t xml:space="preserve">Η διάρκεια της αγωγής δεν είναι περιορισμένη. </w:t>
      </w:r>
    </w:p>
    <w:p w:rsidR="0015117A" w:rsidRPr="00106D84" w:rsidRDefault="0015117A">
      <w:pPr>
        <w:tabs>
          <w:tab w:val="left" w:pos="426"/>
          <w:tab w:val="left" w:pos="851"/>
        </w:tabs>
        <w:ind w:left="426"/>
        <w:rPr>
          <w:sz w:val="22"/>
          <w:lang w:val="el-GR"/>
        </w:rPr>
      </w:pPr>
    </w:p>
    <w:p w:rsidR="00D23213" w:rsidRPr="00106D84" w:rsidRDefault="00F76E8C" w:rsidP="00D23213">
      <w:pPr>
        <w:tabs>
          <w:tab w:val="left" w:pos="426"/>
          <w:tab w:val="left" w:pos="851"/>
        </w:tabs>
        <w:ind w:left="426"/>
        <w:rPr>
          <w:strike/>
          <w:sz w:val="22"/>
          <w:szCs w:val="22"/>
          <w:lang w:val="el-GR"/>
        </w:rPr>
      </w:pPr>
      <w:r w:rsidRPr="00106D84">
        <w:rPr>
          <w:b/>
          <w:sz w:val="22"/>
          <w:szCs w:val="22"/>
          <w:lang w:val="el-GR"/>
        </w:rPr>
        <w:t xml:space="preserve">Γηριατρικοί </w:t>
      </w:r>
      <w:r w:rsidR="00D23213" w:rsidRPr="00106D84">
        <w:rPr>
          <w:b/>
          <w:sz w:val="22"/>
          <w:szCs w:val="22"/>
          <w:lang w:val="el-GR"/>
        </w:rPr>
        <w:t xml:space="preserve">ασθενείς </w:t>
      </w:r>
    </w:p>
    <w:p w:rsidR="0018188D" w:rsidRPr="00106D84" w:rsidRDefault="0018188D">
      <w:pPr>
        <w:tabs>
          <w:tab w:val="left" w:pos="426"/>
          <w:tab w:val="left" w:pos="851"/>
        </w:tabs>
        <w:ind w:left="426"/>
        <w:rPr>
          <w:sz w:val="22"/>
          <w:lang w:val="el-GR"/>
        </w:rPr>
      </w:pPr>
      <w:r w:rsidRPr="00106D84">
        <w:rPr>
          <w:sz w:val="22"/>
          <w:lang w:val="el-GR"/>
        </w:rPr>
        <w:t>Δεν απαιτείται προσαρμογή της δοσολογίας στους ηλικιωμένους.</w:t>
      </w:r>
    </w:p>
    <w:p w:rsidR="0018188D" w:rsidRPr="00106D84" w:rsidRDefault="0018188D">
      <w:pPr>
        <w:tabs>
          <w:tab w:val="left" w:pos="426"/>
          <w:tab w:val="left" w:pos="851"/>
        </w:tabs>
        <w:ind w:left="426"/>
        <w:rPr>
          <w:i/>
          <w:sz w:val="22"/>
          <w:lang w:val="el-GR"/>
        </w:rPr>
      </w:pPr>
    </w:p>
    <w:p w:rsidR="0018188D" w:rsidRPr="00106D84" w:rsidRDefault="0018188D">
      <w:pPr>
        <w:tabs>
          <w:tab w:val="left" w:pos="426"/>
          <w:tab w:val="left" w:pos="851"/>
        </w:tabs>
        <w:ind w:left="426"/>
        <w:rPr>
          <w:sz w:val="22"/>
          <w:lang w:val="el-GR"/>
        </w:rPr>
      </w:pPr>
      <w:r w:rsidRPr="00106D84">
        <w:rPr>
          <w:b/>
          <w:sz w:val="22"/>
          <w:lang w:val="el-GR"/>
        </w:rPr>
        <w:t>Δοσολογία σε ασθενείς με ηπατική ανεπάρκεια</w:t>
      </w:r>
    </w:p>
    <w:p w:rsidR="0018188D" w:rsidRPr="00106D84" w:rsidRDefault="0018188D">
      <w:pPr>
        <w:tabs>
          <w:tab w:val="left" w:pos="426"/>
          <w:tab w:val="left" w:pos="851"/>
        </w:tabs>
        <w:ind w:left="426"/>
        <w:rPr>
          <w:sz w:val="22"/>
          <w:lang w:val="el-GR"/>
        </w:rPr>
      </w:pPr>
      <w:r w:rsidRPr="00106D84">
        <w:rPr>
          <w:sz w:val="22"/>
          <w:lang w:val="el-GR"/>
        </w:rPr>
        <w:t>Υπάρχει περιορισμένη εμπειρία σε ασθενείς με ηπατική ανεπάρκεια (βλέπ. Παράγραφο 4.3).</w:t>
      </w:r>
    </w:p>
    <w:p w:rsidR="0018188D" w:rsidRPr="00106D84" w:rsidRDefault="0018188D">
      <w:pPr>
        <w:tabs>
          <w:tab w:val="left" w:pos="426"/>
          <w:tab w:val="left" w:pos="851"/>
        </w:tabs>
        <w:rPr>
          <w:sz w:val="22"/>
          <w:lang w:val="el-GR"/>
        </w:rPr>
      </w:pPr>
    </w:p>
    <w:p w:rsidR="0018188D" w:rsidRPr="00106D84" w:rsidRDefault="0018188D">
      <w:pPr>
        <w:pStyle w:val="1"/>
        <w:tabs>
          <w:tab w:val="left" w:pos="426"/>
          <w:tab w:val="left" w:pos="851"/>
        </w:tabs>
        <w:ind w:left="426"/>
        <w:rPr>
          <w:sz w:val="22"/>
          <w:lang w:val="el-GR"/>
        </w:rPr>
      </w:pPr>
      <w:r w:rsidRPr="00106D84">
        <w:rPr>
          <w:sz w:val="22"/>
          <w:lang w:val="el-GR"/>
        </w:rPr>
        <w:t>Δοσολογία σε</w:t>
      </w:r>
      <w:r w:rsidRPr="00106D84">
        <w:rPr>
          <w:b w:val="0"/>
          <w:sz w:val="22"/>
          <w:lang w:val="el-GR"/>
        </w:rPr>
        <w:t xml:space="preserve"> </w:t>
      </w:r>
      <w:r w:rsidRPr="00106D84">
        <w:rPr>
          <w:sz w:val="22"/>
          <w:lang w:val="el-GR"/>
        </w:rPr>
        <w:t>ασθενείς με νεφρική ανεπάρκεια</w:t>
      </w:r>
    </w:p>
    <w:p w:rsidR="0018188D" w:rsidRPr="00106D84" w:rsidRDefault="00995825">
      <w:pPr>
        <w:tabs>
          <w:tab w:val="left" w:pos="426"/>
          <w:tab w:val="left" w:pos="851"/>
        </w:tabs>
        <w:ind w:left="426"/>
        <w:rPr>
          <w:sz w:val="22"/>
          <w:lang w:val="el-GR"/>
        </w:rPr>
      </w:pPr>
      <w:r w:rsidRPr="00106D84">
        <w:rPr>
          <w:sz w:val="22"/>
          <w:lang w:val="el-GR"/>
        </w:rPr>
        <w:t xml:space="preserve">Σε </w:t>
      </w:r>
      <w:r w:rsidR="0018188D" w:rsidRPr="00106D84">
        <w:rPr>
          <w:sz w:val="22"/>
          <w:lang w:val="el-GR"/>
        </w:rPr>
        <w:t>ασθενείς με μέτρια και σοβαρή νεφρική ανεπάρκεια (κάθαρση κρεατινίνης &lt;60</w:t>
      </w:r>
      <w:r w:rsidR="0018188D" w:rsidRPr="00106D84">
        <w:rPr>
          <w:sz w:val="22"/>
        </w:rPr>
        <w:t>ml</w:t>
      </w:r>
      <w:r w:rsidR="0018188D" w:rsidRPr="00106D84">
        <w:rPr>
          <w:sz w:val="22"/>
          <w:lang w:val="el-GR"/>
        </w:rPr>
        <w:t>/</w:t>
      </w:r>
      <w:r w:rsidR="0018188D" w:rsidRPr="00106D84">
        <w:rPr>
          <w:sz w:val="22"/>
        </w:rPr>
        <w:t>min</w:t>
      </w:r>
      <w:r w:rsidR="0018188D" w:rsidRPr="00106D84">
        <w:rPr>
          <w:sz w:val="22"/>
          <w:lang w:val="el-GR"/>
        </w:rPr>
        <w:t xml:space="preserve">), η ημερήσια δόση δεν πρέπει να υπερβαίνει τα 600 </w:t>
      </w:r>
      <w:r w:rsidR="0018188D" w:rsidRPr="00106D84">
        <w:rPr>
          <w:sz w:val="22"/>
          <w:lang w:val="en-US"/>
        </w:rPr>
        <w:t>mg</w:t>
      </w:r>
      <w:r w:rsidR="0018188D" w:rsidRPr="00106D84">
        <w:rPr>
          <w:sz w:val="22"/>
          <w:lang w:val="el-GR"/>
        </w:rPr>
        <w:t xml:space="preserve">. </w:t>
      </w:r>
    </w:p>
    <w:p w:rsidR="0018188D" w:rsidRPr="00106D84" w:rsidRDefault="0018188D">
      <w:pPr>
        <w:tabs>
          <w:tab w:val="left" w:pos="426"/>
          <w:tab w:val="left" w:pos="851"/>
        </w:tabs>
        <w:ind w:left="426"/>
        <w:rPr>
          <w:sz w:val="22"/>
          <w:lang w:val="el-GR"/>
        </w:rPr>
      </w:pPr>
    </w:p>
    <w:p w:rsidR="00D71D48" w:rsidRPr="00106D84" w:rsidRDefault="00D71D48" w:rsidP="00D71D48">
      <w:pPr>
        <w:tabs>
          <w:tab w:val="left" w:pos="426"/>
          <w:tab w:val="left" w:pos="851"/>
        </w:tabs>
        <w:ind w:left="426"/>
        <w:rPr>
          <w:sz w:val="22"/>
          <w:lang w:val="el-GR"/>
        </w:rPr>
      </w:pPr>
      <w:r w:rsidRPr="00106D84">
        <w:rPr>
          <w:b/>
          <w:sz w:val="22"/>
          <w:lang w:val="el-GR"/>
        </w:rPr>
        <w:lastRenderedPageBreak/>
        <w:t xml:space="preserve">Παιδιατρικοί Ασθενείς </w:t>
      </w:r>
    </w:p>
    <w:p w:rsidR="0018188D" w:rsidRPr="00106D84" w:rsidRDefault="00C45873">
      <w:pPr>
        <w:tabs>
          <w:tab w:val="left" w:pos="426"/>
          <w:tab w:val="left" w:pos="851"/>
        </w:tabs>
        <w:ind w:left="426"/>
        <w:rPr>
          <w:sz w:val="22"/>
          <w:szCs w:val="22"/>
          <w:lang w:val="el-GR"/>
        </w:rPr>
      </w:pPr>
      <w:r w:rsidRPr="00106D84">
        <w:rPr>
          <w:sz w:val="22"/>
          <w:lang w:val="el-GR"/>
        </w:rPr>
        <w:t xml:space="preserve">Το </w:t>
      </w:r>
      <w:r w:rsidRPr="00106D84">
        <w:rPr>
          <w:sz w:val="22"/>
          <w:lang w:val="en-US"/>
        </w:rPr>
        <w:t>Teveten</w:t>
      </w:r>
      <w:r w:rsidRPr="00106D84">
        <w:rPr>
          <w:sz w:val="22"/>
          <w:lang w:val="el-GR"/>
        </w:rPr>
        <w:t xml:space="preserve"> </w:t>
      </w:r>
      <w:r w:rsidRPr="00106D84">
        <w:rPr>
          <w:sz w:val="22"/>
          <w:szCs w:val="22"/>
          <w:lang w:val="el-GR"/>
        </w:rPr>
        <w:t>δεν συνιστάται για χορήγηση σε παιδιά και εφήβους λόγω της έλλειψης δεδομένων για την ασφάλεια και την αποτελεσματικότητα.</w:t>
      </w:r>
    </w:p>
    <w:p w:rsidR="00C45873" w:rsidRPr="00106D84" w:rsidRDefault="00C45873">
      <w:pPr>
        <w:tabs>
          <w:tab w:val="left" w:pos="426"/>
          <w:tab w:val="left" w:pos="851"/>
        </w:tabs>
        <w:ind w:left="426"/>
        <w:rPr>
          <w:sz w:val="22"/>
          <w:lang w:val="el-GR"/>
        </w:rPr>
      </w:pPr>
    </w:p>
    <w:p w:rsidR="0018188D" w:rsidRPr="00106D84" w:rsidRDefault="0018188D">
      <w:pPr>
        <w:tabs>
          <w:tab w:val="left" w:pos="851"/>
        </w:tabs>
        <w:ind w:left="426"/>
        <w:rPr>
          <w:b/>
          <w:sz w:val="22"/>
          <w:lang w:val="el-GR"/>
        </w:rPr>
      </w:pPr>
      <w:r w:rsidRPr="00106D84">
        <w:rPr>
          <w:b/>
          <w:sz w:val="22"/>
          <w:lang w:val="el-GR"/>
        </w:rPr>
        <w:t>4.3</w:t>
      </w:r>
      <w:r w:rsidRPr="00106D84">
        <w:rPr>
          <w:b/>
          <w:sz w:val="22"/>
          <w:lang w:val="el-GR"/>
        </w:rPr>
        <w:tab/>
      </w:r>
      <w:r w:rsidRPr="00106D84">
        <w:rPr>
          <w:b/>
          <w:sz w:val="22"/>
        </w:rPr>
        <w:t>A</w:t>
      </w:r>
      <w:r w:rsidRPr="00106D84">
        <w:rPr>
          <w:b/>
          <w:sz w:val="22"/>
          <w:lang w:val="el-GR"/>
        </w:rPr>
        <w:t>ντενδείξεις</w:t>
      </w:r>
    </w:p>
    <w:p w:rsidR="0018188D" w:rsidRPr="00106D84" w:rsidRDefault="0018188D">
      <w:pPr>
        <w:tabs>
          <w:tab w:val="left" w:pos="426"/>
          <w:tab w:val="left" w:pos="851"/>
        </w:tabs>
        <w:ind w:left="426"/>
        <w:jc w:val="left"/>
        <w:rPr>
          <w:sz w:val="22"/>
          <w:lang w:val="el-GR"/>
        </w:rPr>
      </w:pPr>
    </w:p>
    <w:p w:rsidR="0018188D" w:rsidRPr="00106D84" w:rsidRDefault="0018188D">
      <w:pPr>
        <w:tabs>
          <w:tab w:val="left" w:pos="426"/>
          <w:tab w:val="left" w:pos="851"/>
        </w:tabs>
        <w:ind w:left="426"/>
        <w:rPr>
          <w:sz w:val="22"/>
          <w:lang w:val="el-GR"/>
        </w:rPr>
      </w:pPr>
      <w:r w:rsidRPr="00106D84">
        <w:rPr>
          <w:sz w:val="22"/>
          <w:lang w:val="el-GR"/>
        </w:rPr>
        <w:t xml:space="preserve">Γνωστή υπερευαισθησία </w:t>
      </w:r>
      <w:r w:rsidR="00FC2816" w:rsidRPr="00106D84">
        <w:rPr>
          <w:sz w:val="22"/>
          <w:szCs w:val="22"/>
          <w:lang w:val="el-GR"/>
        </w:rPr>
        <w:t>στην επροσαρτάνη ή σε οποιοδήποτε από τα έκδοχα</w:t>
      </w:r>
      <w:r w:rsidRPr="00106D84">
        <w:rPr>
          <w:sz w:val="22"/>
          <w:lang w:val="el-GR"/>
        </w:rPr>
        <w:t xml:space="preserve">. </w:t>
      </w:r>
    </w:p>
    <w:p w:rsidR="0018188D" w:rsidRPr="00106D84" w:rsidRDefault="0018188D">
      <w:pPr>
        <w:tabs>
          <w:tab w:val="left" w:pos="426"/>
          <w:tab w:val="left" w:pos="851"/>
        </w:tabs>
        <w:ind w:left="426"/>
        <w:rPr>
          <w:sz w:val="22"/>
          <w:lang w:val="el-GR"/>
        </w:rPr>
      </w:pPr>
      <w:r w:rsidRPr="00106D84">
        <w:rPr>
          <w:sz w:val="22"/>
          <w:lang w:val="el-GR"/>
        </w:rPr>
        <w:t>Σοβαρή ηπατική ανεπάρκεια</w:t>
      </w:r>
    </w:p>
    <w:p w:rsidR="00331D09" w:rsidRPr="00106D84" w:rsidRDefault="002603FD" w:rsidP="00362360">
      <w:pPr>
        <w:tabs>
          <w:tab w:val="left" w:pos="426"/>
          <w:tab w:val="left" w:pos="851"/>
        </w:tabs>
        <w:ind w:left="426"/>
        <w:rPr>
          <w:sz w:val="22"/>
          <w:szCs w:val="22"/>
          <w:lang w:val="el-GR"/>
        </w:rPr>
      </w:pPr>
      <w:r w:rsidRPr="00106D84">
        <w:rPr>
          <w:sz w:val="22"/>
          <w:szCs w:val="22"/>
          <w:lang w:val="el-GR"/>
        </w:rPr>
        <w:t>Δεύτερο και τρίτο τρίμηνο κύησης (βλεπ. παραγράφους 4.4. και 4.6).</w:t>
      </w:r>
      <w:r w:rsidR="00331D09" w:rsidRPr="00106D84">
        <w:rPr>
          <w:strike/>
          <w:sz w:val="22"/>
          <w:szCs w:val="22"/>
          <w:lang w:val="el-GR"/>
        </w:rPr>
        <w:t xml:space="preserve"> </w:t>
      </w:r>
    </w:p>
    <w:p w:rsidR="009C42A0" w:rsidRPr="00106D84" w:rsidRDefault="009C42A0" w:rsidP="00331D09">
      <w:pPr>
        <w:tabs>
          <w:tab w:val="left" w:pos="426"/>
          <w:tab w:val="left" w:pos="851"/>
        </w:tabs>
        <w:ind w:left="426"/>
        <w:rPr>
          <w:sz w:val="22"/>
          <w:lang w:val="el-GR"/>
        </w:rPr>
      </w:pPr>
      <w:r w:rsidRPr="00106D84">
        <w:rPr>
          <w:sz w:val="22"/>
          <w:lang w:val="el-GR"/>
        </w:rPr>
        <w:t xml:space="preserve">Αιμοδυναμικά σημαντική αμφοτερόπλευρη νεφραγγειακή νόσος ή σοβαρή στένωση μονήρους λειτουργικού νεφρού. </w:t>
      </w:r>
    </w:p>
    <w:p w:rsidR="0018188D" w:rsidRPr="00106D84" w:rsidRDefault="0018188D">
      <w:pPr>
        <w:tabs>
          <w:tab w:val="left" w:pos="426"/>
          <w:tab w:val="left" w:pos="851"/>
        </w:tabs>
        <w:ind w:left="426"/>
        <w:rPr>
          <w:sz w:val="22"/>
          <w:lang w:val="el-GR"/>
        </w:rPr>
      </w:pPr>
    </w:p>
    <w:p w:rsidR="0018188D" w:rsidRPr="00106D84" w:rsidRDefault="0018188D">
      <w:pPr>
        <w:tabs>
          <w:tab w:val="left" w:pos="426"/>
          <w:tab w:val="left" w:pos="851"/>
        </w:tabs>
        <w:ind w:left="426"/>
        <w:rPr>
          <w:b/>
          <w:sz w:val="22"/>
          <w:lang w:val="el-GR"/>
        </w:rPr>
      </w:pPr>
      <w:r w:rsidRPr="00106D84">
        <w:rPr>
          <w:b/>
          <w:sz w:val="22"/>
          <w:lang w:val="el-GR"/>
        </w:rPr>
        <w:t>4.4</w:t>
      </w:r>
      <w:r w:rsidRPr="00106D84">
        <w:rPr>
          <w:b/>
          <w:sz w:val="22"/>
          <w:lang w:val="el-GR"/>
        </w:rPr>
        <w:tab/>
      </w:r>
      <w:r w:rsidR="008F1380" w:rsidRPr="00106D84">
        <w:rPr>
          <w:b/>
          <w:sz w:val="22"/>
          <w:lang w:val="el-GR"/>
        </w:rPr>
        <w:t xml:space="preserve">Ειδικές </w:t>
      </w:r>
      <w:r w:rsidRPr="00106D84">
        <w:rPr>
          <w:b/>
          <w:sz w:val="22"/>
          <w:lang w:val="el-GR"/>
        </w:rPr>
        <w:t>προειδοποιήσεις και προφυλάξεις κατά τη χρήση</w:t>
      </w:r>
    </w:p>
    <w:p w:rsidR="0018188D" w:rsidRPr="00106D84" w:rsidRDefault="0018188D">
      <w:pPr>
        <w:tabs>
          <w:tab w:val="left" w:pos="426"/>
          <w:tab w:val="left" w:pos="851"/>
        </w:tabs>
        <w:rPr>
          <w:sz w:val="22"/>
          <w:lang w:val="el-GR"/>
        </w:rPr>
      </w:pPr>
    </w:p>
    <w:p w:rsidR="0018188D" w:rsidRPr="00106D84" w:rsidRDefault="0018188D">
      <w:pPr>
        <w:pStyle w:val="3"/>
        <w:tabs>
          <w:tab w:val="left" w:pos="851"/>
        </w:tabs>
        <w:rPr>
          <w:sz w:val="22"/>
          <w:lang w:val="el-GR"/>
        </w:rPr>
      </w:pPr>
      <w:r w:rsidRPr="00106D84">
        <w:rPr>
          <w:sz w:val="22"/>
          <w:lang w:val="el-GR"/>
        </w:rPr>
        <w:t>Ηπατική ανεπάρκεια</w:t>
      </w:r>
    </w:p>
    <w:p w:rsidR="0018188D" w:rsidRPr="00106D84" w:rsidRDefault="00B26683">
      <w:pPr>
        <w:tabs>
          <w:tab w:val="left" w:pos="426"/>
          <w:tab w:val="left" w:pos="851"/>
        </w:tabs>
        <w:ind w:left="426"/>
        <w:rPr>
          <w:b/>
          <w:sz w:val="22"/>
          <w:lang w:val="el-GR"/>
        </w:rPr>
      </w:pPr>
      <w:r>
        <w:rPr>
          <w:sz w:val="22"/>
          <w:lang w:val="el-GR"/>
        </w:rPr>
        <w:t xml:space="preserve">Όταν η επροσαρτάνη χρησιμοποιείται σε ασθενείς </w:t>
      </w:r>
      <w:r w:rsidR="00F00832">
        <w:rPr>
          <w:sz w:val="22"/>
          <w:lang w:val="el-GR"/>
        </w:rPr>
        <w:t xml:space="preserve">με ήπια έως μέτρια ηπατική </w:t>
      </w:r>
      <w:r w:rsidR="005D2EE5">
        <w:rPr>
          <w:sz w:val="22"/>
          <w:lang w:val="el-GR"/>
        </w:rPr>
        <w:t>ανεπάρκεια</w:t>
      </w:r>
      <w:r w:rsidR="00F00832">
        <w:rPr>
          <w:sz w:val="22"/>
          <w:lang w:val="el-GR"/>
        </w:rPr>
        <w:t xml:space="preserve">, απαιτείται ιδιαίτερη προσοχή εξ’ αιτίας της περιορισμένης εμπειρίας σε αυτόν το πληθυσμό ασθενών. </w:t>
      </w:r>
    </w:p>
    <w:p w:rsidR="0018188D" w:rsidRPr="00106D84" w:rsidRDefault="0018188D">
      <w:pPr>
        <w:tabs>
          <w:tab w:val="left" w:pos="426"/>
          <w:tab w:val="left" w:pos="851"/>
        </w:tabs>
        <w:ind w:left="426"/>
        <w:jc w:val="left"/>
        <w:rPr>
          <w:sz w:val="22"/>
          <w:lang w:val="el-GR"/>
        </w:rPr>
      </w:pPr>
    </w:p>
    <w:p w:rsidR="0018188D" w:rsidRPr="00106D84" w:rsidRDefault="0018188D">
      <w:pPr>
        <w:tabs>
          <w:tab w:val="left" w:pos="426"/>
          <w:tab w:val="left" w:pos="851"/>
        </w:tabs>
        <w:ind w:left="426"/>
        <w:rPr>
          <w:sz w:val="22"/>
          <w:lang w:val="el-GR"/>
        </w:rPr>
      </w:pPr>
      <w:r w:rsidRPr="00106D84">
        <w:rPr>
          <w:b/>
          <w:sz w:val="22"/>
          <w:lang w:val="el-GR"/>
        </w:rPr>
        <w:t>Νεφρική ανεπάρκεια</w:t>
      </w:r>
    </w:p>
    <w:p w:rsidR="0018188D" w:rsidRPr="00106D84" w:rsidRDefault="0018188D">
      <w:pPr>
        <w:tabs>
          <w:tab w:val="left" w:pos="426"/>
          <w:tab w:val="left" w:pos="851"/>
        </w:tabs>
        <w:ind w:left="426"/>
        <w:rPr>
          <w:sz w:val="22"/>
          <w:lang w:val="el-GR"/>
        </w:rPr>
      </w:pPr>
      <w:r w:rsidRPr="00106D84">
        <w:rPr>
          <w:sz w:val="22"/>
          <w:lang w:val="el-GR"/>
        </w:rPr>
        <w:t xml:space="preserve">Δεν απαιτείται προσαρμογή της δοσολογίας </w:t>
      </w:r>
      <w:r w:rsidR="00FF6EE2" w:rsidRPr="00106D84">
        <w:rPr>
          <w:sz w:val="22"/>
          <w:lang w:val="el-GR"/>
        </w:rPr>
        <w:t xml:space="preserve">σε </w:t>
      </w:r>
      <w:r w:rsidRPr="00106D84">
        <w:rPr>
          <w:sz w:val="22"/>
          <w:lang w:val="el-GR"/>
        </w:rPr>
        <w:t xml:space="preserve">ασθενείς με ήπια έως μέτρια νεφρική ανεπάρκεια (κάθαρση κρεατινίνης </w:t>
      </w:r>
      <w:r w:rsidRPr="00106D84">
        <w:rPr>
          <w:sz w:val="22"/>
        </w:rPr>
        <w:sym w:font="Symbol" w:char="F0B3"/>
      </w:r>
      <w:r w:rsidRPr="00106D84">
        <w:rPr>
          <w:sz w:val="22"/>
          <w:lang w:val="el-GR"/>
        </w:rPr>
        <w:t xml:space="preserve">30 </w:t>
      </w:r>
      <w:r w:rsidRPr="00106D84">
        <w:rPr>
          <w:sz w:val="22"/>
        </w:rPr>
        <w:t>m</w:t>
      </w:r>
      <w:r w:rsidRPr="00106D84">
        <w:rPr>
          <w:sz w:val="22"/>
          <w:lang w:val="en-US"/>
        </w:rPr>
        <w:t>l</w:t>
      </w:r>
      <w:r w:rsidRPr="00106D84">
        <w:rPr>
          <w:sz w:val="22"/>
          <w:lang w:val="el-GR"/>
        </w:rPr>
        <w:t>/</w:t>
      </w:r>
      <w:r w:rsidRPr="00106D84">
        <w:rPr>
          <w:sz w:val="22"/>
        </w:rPr>
        <w:t>min</w:t>
      </w:r>
      <w:r w:rsidRPr="00106D84">
        <w:rPr>
          <w:sz w:val="22"/>
          <w:lang w:val="el-GR"/>
        </w:rPr>
        <w:t>). Συνιστάται προσοχή στη χορήγηση σε ασθενείς με κάθαρση κρεατινίνης &lt;30</w:t>
      </w:r>
      <w:r w:rsidRPr="00106D84">
        <w:rPr>
          <w:sz w:val="22"/>
          <w:lang w:val="en-US"/>
        </w:rPr>
        <w:t>ml</w:t>
      </w:r>
      <w:r w:rsidRPr="00106D84">
        <w:rPr>
          <w:sz w:val="22"/>
          <w:lang w:val="el-GR"/>
        </w:rPr>
        <w:t>/</w:t>
      </w:r>
      <w:r w:rsidRPr="00106D84">
        <w:rPr>
          <w:sz w:val="22"/>
          <w:lang w:val="en-US"/>
        </w:rPr>
        <w:t>min</w:t>
      </w:r>
      <w:r w:rsidRPr="00106D84">
        <w:rPr>
          <w:sz w:val="22"/>
          <w:lang w:val="el-GR"/>
        </w:rPr>
        <w:t xml:space="preserve"> ή σε ασθενείς που υποβάλλονται σε </w:t>
      </w:r>
      <w:r w:rsidR="00FF6EE2" w:rsidRPr="00106D84">
        <w:rPr>
          <w:sz w:val="22"/>
          <w:lang w:val="el-GR"/>
        </w:rPr>
        <w:t>αιμοκάθαρση</w:t>
      </w:r>
      <w:r w:rsidRPr="00106D84">
        <w:rPr>
          <w:sz w:val="22"/>
          <w:lang w:val="el-GR"/>
        </w:rPr>
        <w:t xml:space="preserve">. </w:t>
      </w:r>
    </w:p>
    <w:p w:rsidR="0034718A" w:rsidRPr="00106D84" w:rsidRDefault="0034718A">
      <w:pPr>
        <w:tabs>
          <w:tab w:val="left" w:pos="426"/>
          <w:tab w:val="left" w:pos="851"/>
        </w:tabs>
        <w:ind w:left="426"/>
        <w:rPr>
          <w:sz w:val="22"/>
          <w:lang w:val="el-GR"/>
        </w:rPr>
      </w:pPr>
    </w:p>
    <w:p w:rsidR="0034718A" w:rsidRPr="00106D84" w:rsidRDefault="0034718A" w:rsidP="00B93735">
      <w:pPr>
        <w:pStyle w:val="20"/>
        <w:tabs>
          <w:tab w:val="left" w:pos="851"/>
          <w:tab w:val="left" w:pos="6324"/>
        </w:tabs>
        <w:ind w:left="432"/>
        <w:rPr>
          <w:b/>
          <w:sz w:val="22"/>
          <w:lang w:val="el-GR"/>
        </w:rPr>
      </w:pPr>
      <w:r w:rsidRPr="00106D84">
        <w:rPr>
          <w:b/>
          <w:sz w:val="22"/>
          <w:lang w:val="el-GR"/>
        </w:rPr>
        <w:t xml:space="preserve">Ασθενείς που </w:t>
      </w:r>
      <w:r w:rsidR="005D2EE5">
        <w:rPr>
          <w:b/>
          <w:sz w:val="22"/>
          <w:lang w:val="el-GR"/>
        </w:rPr>
        <w:t>εξαρτώνται</w:t>
      </w:r>
      <w:r w:rsidR="005D2EE5" w:rsidRPr="00106D84">
        <w:rPr>
          <w:b/>
          <w:sz w:val="22"/>
          <w:lang w:val="el-GR"/>
        </w:rPr>
        <w:t xml:space="preserve"> </w:t>
      </w:r>
      <w:r w:rsidRPr="00106D84">
        <w:rPr>
          <w:b/>
          <w:sz w:val="22"/>
          <w:lang w:val="el-GR"/>
        </w:rPr>
        <w:t>από το σύστημα ρενίνης-αγγειοτασίνης-αλδοστερόνης</w:t>
      </w:r>
      <w:r w:rsidR="00430C0F" w:rsidRPr="00106D84">
        <w:rPr>
          <w:b/>
          <w:sz w:val="22"/>
          <w:lang w:val="el-GR"/>
        </w:rPr>
        <w:t xml:space="preserve"> </w:t>
      </w:r>
    </w:p>
    <w:p w:rsidR="00B93735" w:rsidRDefault="00B93735" w:rsidP="0034718A">
      <w:pPr>
        <w:pStyle w:val="20"/>
        <w:tabs>
          <w:tab w:val="left" w:pos="851"/>
        </w:tabs>
        <w:rPr>
          <w:sz w:val="22"/>
          <w:lang w:val="el-GR"/>
        </w:rPr>
      </w:pPr>
      <w:r>
        <w:rPr>
          <w:sz w:val="22"/>
          <w:lang w:val="el-GR"/>
        </w:rPr>
        <w:t xml:space="preserve">Μερικοί ασθενείς των οποίων η νεφρική λειτουργία εξαρτάται από τη συνεχή εγγενή δράση του συστήματος ρενίνης-αγγειοτασίνης-αλδοστερόνης </w:t>
      </w:r>
      <w:r w:rsidRPr="00106D84">
        <w:rPr>
          <w:sz w:val="22"/>
          <w:lang w:val="el-GR"/>
        </w:rPr>
        <w:t>(</w:t>
      </w:r>
      <w:r>
        <w:rPr>
          <w:sz w:val="22"/>
          <w:lang w:val="el-GR"/>
        </w:rPr>
        <w:t>π.χ</w:t>
      </w:r>
      <w:r w:rsidRPr="00106D84">
        <w:rPr>
          <w:sz w:val="22"/>
          <w:lang w:val="el-GR"/>
        </w:rPr>
        <w:t xml:space="preserve">. ασθενείς με σοβαρή καρδιακή ανεπάρκεια (ΝΥΗΑ – κατάταξη: τάξη </w:t>
      </w:r>
      <w:r w:rsidRPr="00106D84">
        <w:rPr>
          <w:sz w:val="22"/>
          <w:lang w:val="en-US"/>
        </w:rPr>
        <w:t>IV</w:t>
      </w:r>
      <w:r w:rsidRPr="00106D84">
        <w:rPr>
          <w:sz w:val="22"/>
          <w:lang w:val="el-GR"/>
        </w:rPr>
        <w:t xml:space="preserve">), αμφοτερόπλευρη στένωση νεφρικής αρτηρίας ή στένωση νεφρικής αρτηρίας μονήρους νεφρού), </w:t>
      </w:r>
      <w:r>
        <w:rPr>
          <w:sz w:val="22"/>
          <w:lang w:val="el-GR"/>
        </w:rPr>
        <w:t>κινδυνεύ</w:t>
      </w:r>
      <w:r w:rsidRPr="00106D84">
        <w:rPr>
          <w:sz w:val="22"/>
          <w:lang w:val="el-GR"/>
        </w:rPr>
        <w:t xml:space="preserve">ουν </w:t>
      </w:r>
      <w:r>
        <w:rPr>
          <w:sz w:val="22"/>
          <w:lang w:val="el-GR"/>
        </w:rPr>
        <w:t xml:space="preserve">να </w:t>
      </w:r>
      <w:r w:rsidRPr="00106D84">
        <w:rPr>
          <w:sz w:val="22"/>
          <w:lang w:val="el-GR"/>
        </w:rPr>
        <w:t>εμφανίσ</w:t>
      </w:r>
      <w:r>
        <w:rPr>
          <w:sz w:val="22"/>
          <w:lang w:val="el-GR"/>
        </w:rPr>
        <w:t>ουν</w:t>
      </w:r>
      <w:r w:rsidRPr="00106D84">
        <w:rPr>
          <w:sz w:val="22"/>
          <w:lang w:val="el-GR"/>
        </w:rPr>
        <w:t xml:space="preserve"> ολιγουρία και/ή προοδευτική αζωθαιμία και σπανίως οξεία νεφρική ανεπάρκεια κατά την αγωγή με αναστολείς του μετατρεπτικού ενζύμου της αγγειοτασίνης (ΜΕΑ). </w:t>
      </w:r>
      <w:r w:rsidR="00C01FDF">
        <w:rPr>
          <w:sz w:val="22"/>
          <w:lang w:val="el-GR"/>
        </w:rPr>
        <w:t xml:space="preserve">Τέτοια συμβάντα είναι πιθανότερο να συμβούν σε ασθενείς </w:t>
      </w:r>
      <w:r w:rsidR="00BB398D">
        <w:rPr>
          <w:sz w:val="22"/>
          <w:lang w:val="el-GR"/>
        </w:rPr>
        <w:t>εκ παραλλήλου σε αγωγή με ένα διουρητικό.</w:t>
      </w:r>
      <w:r w:rsidR="00C01FDF">
        <w:rPr>
          <w:sz w:val="22"/>
          <w:lang w:val="el-GR"/>
        </w:rPr>
        <w:t xml:space="preserve"> Με τους αναστολείς των υποδοχέων της αγγειοτασίνης ΙΙ, όπως η επροσαρτάνη, δεν έχει υπάρξει επαρκής</w:t>
      </w:r>
      <w:r w:rsidRPr="00106D84">
        <w:rPr>
          <w:sz w:val="22"/>
          <w:lang w:val="el-GR"/>
        </w:rPr>
        <w:t xml:space="preserve"> θεραπευτική εμπειρία </w:t>
      </w:r>
      <w:r w:rsidR="003865E5">
        <w:rPr>
          <w:sz w:val="22"/>
          <w:lang w:val="el-GR"/>
        </w:rPr>
        <w:t>ώστε</w:t>
      </w:r>
      <w:r w:rsidR="00BB398D">
        <w:rPr>
          <w:sz w:val="22"/>
          <w:lang w:val="el-GR"/>
        </w:rPr>
        <w:t xml:space="preserve"> να προσδιοριστεί εάν υπάρχει παρόμοιος κίνδυνος </w:t>
      </w:r>
      <w:r w:rsidR="003865E5">
        <w:rPr>
          <w:sz w:val="22"/>
          <w:lang w:val="el-GR"/>
        </w:rPr>
        <w:t xml:space="preserve">ανάπτυξης </w:t>
      </w:r>
      <w:r w:rsidR="00705BFC">
        <w:rPr>
          <w:sz w:val="22"/>
          <w:lang w:val="el-GR"/>
        </w:rPr>
        <w:t>επιβάρυνσης</w:t>
      </w:r>
      <w:r w:rsidR="003865E5">
        <w:rPr>
          <w:sz w:val="22"/>
          <w:lang w:val="el-GR"/>
        </w:rPr>
        <w:t xml:space="preserve"> στη νεφρική λειτουργία τέτοιων ε</w:t>
      </w:r>
      <w:r w:rsidR="00705BFC">
        <w:rPr>
          <w:sz w:val="22"/>
          <w:lang w:val="el-GR"/>
        </w:rPr>
        <w:t>υπαθ</w:t>
      </w:r>
      <w:r w:rsidR="003865E5">
        <w:rPr>
          <w:sz w:val="22"/>
          <w:lang w:val="el-GR"/>
        </w:rPr>
        <w:t xml:space="preserve">ών </w:t>
      </w:r>
      <w:r w:rsidRPr="00106D84">
        <w:rPr>
          <w:sz w:val="22"/>
          <w:lang w:val="el-GR"/>
        </w:rPr>
        <w:t>ασθεν</w:t>
      </w:r>
      <w:r w:rsidR="003865E5">
        <w:rPr>
          <w:sz w:val="22"/>
          <w:lang w:val="el-GR"/>
        </w:rPr>
        <w:t>ών</w:t>
      </w:r>
      <w:r w:rsidRPr="00106D84">
        <w:rPr>
          <w:sz w:val="22"/>
          <w:lang w:val="el-GR"/>
        </w:rPr>
        <w:t xml:space="preserve">. Όταν η επροσαρτάνη </w:t>
      </w:r>
      <w:r>
        <w:rPr>
          <w:sz w:val="22"/>
          <w:lang w:val="el-GR"/>
        </w:rPr>
        <w:t xml:space="preserve">πρόκειται να </w:t>
      </w:r>
      <w:r w:rsidRPr="00106D84">
        <w:rPr>
          <w:sz w:val="22"/>
          <w:lang w:val="el-GR"/>
        </w:rPr>
        <w:t>χορηγ</w:t>
      </w:r>
      <w:r>
        <w:rPr>
          <w:sz w:val="22"/>
          <w:lang w:val="el-GR"/>
        </w:rPr>
        <w:t>ηθεί</w:t>
      </w:r>
      <w:r w:rsidRPr="00106D84">
        <w:rPr>
          <w:sz w:val="22"/>
          <w:lang w:val="el-GR"/>
        </w:rPr>
        <w:t xml:space="preserve"> σε ασθενείς με νεφρική ανεπάρκεια, η νεφρική λειτουργία πρέπει να </w:t>
      </w:r>
      <w:r w:rsidR="003865E5">
        <w:rPr>
          <w:sz w:val="22"/>
          <w:lang w:val="el-GR"/>
        </w:rPr>
        <w:t>αξιολογεί</w:t>
      </w:r>
      <w:r w:rsidRPr="00106D84">
        <w:rPr>
          <w:sz w:val="22"/>
          <w:lang w:val="el-GR"/>
        </w:rPr>
        <w:t xml:space="preserve">ται πριν την έναρξη της αγωγής </w:t>
      </w:r>
      <w:r w:rsidR="003865E5">
        <w:rPr>
          <w:sz w:val="22"/>
          <w:lang w:val="el-GR"/>
        </w:rPr>
        <w:t xml:space="preserve">με επροσαρτάνη </w:t>
      </w:r>
      <w:r w:rsidRPr="00106D84">
        <w:rPr>
          <w:sz w:val="22"/>
          <w:lang w:val="el-GR"/>
        </w:rPr>
        <w:t xml:space="preserve">και </w:t>
      </w:r>
      <w:r w:rsidR="003865E5">
        <w:rPr>
          <w:sz w:val="22"/>
          <w:lang w:val="el-GR"/>
        </w:rPr>
        <w:t>κατά διαστήματα σ</w:t>
      </w:r>
      <w:r w:rsidRPr="00106D84">
        <w:rPr>
          <w:sz w:val="22"/>
          <w:lang w:val="el-GR"/>
        </w:rPr>
        <w:t>τη διάρκει</w:t>
      </w:r>
      <w:r w:rsidR="003865E5">
        <w:rPr>
          <w:sz w:val="22"/>
          <w:lang w:val="el-GR"/>
        </w:rPr>
        <w:t>α</w:t>
      </w:r>
      <w:r w:rsidRPr="00106D84">
        <w:rPr>
          <w:sz w:val="22"/>
          <w:lang w:val="el-GR"/>
        </w:rPr>
        <w:t xml:space="preserve"> της</w:t>
      </w:r>
      <w:r w:rsidR="003865E5">
        <w:rPr>
          <w:sz w:val="22"/>
          <w:lang w:val="el-GR"/>
        </w:rPr>
        <w:t xml:space="preserve"> θεραπείας</w:t>
      </w:r>
      <w:r w:rsidRPr="00106D84">
        <w:rPr>
          <w:sz w:val="22"/>
          <w:lang w:val="el-GR"/>
        </w:rPr>
        <w:t xml:space="preserve">. Αν παρατηρηθεί επιβάρυνση της νεφρικής λειτουργίας κατά τη διάρκεια της </w:t>
      </w:r>
      <w:r w:rsidR="003865E5">
        <w:rPr>
          <w:sz w:val="22"/>
          <w:lang w:val="el-GR"/>
        </w:rPr>
        <w:t>θεραπείας</w:t>
      </w:r>
      <w:r w:rsidRPr="00106D84">
        <w:rPr>
          <w:sz w:val="22"/>
          <w:lang w:val="el-GR"/>
        </w:rPr>
        <w:t xml:space="preserve">, η </w:t>
      </w:r>
      <w:r w:rsidR="003865E5">
        <w:rPr>
          <w:sz w:val="22"/>
          <w:lang w:val="el-GR"/>
        </w:rPr>
        <w:t>αγωγή με επροσαρτάνη</w:t>
      </w:r>
      <w:r w:rsidRPr="00106D84">
        <w:rPr>
          <w:sz w:val="22"/>
          <w:lang w:val="el-GR"/>
        </w:rPr>
        <w:t xml:space="preserve"> </w:t>
      </w:r>
      <w:r w:rsidR="003865E5">
        <w:rPr>
          <w:sz w:val="22"/>
          <w:lang w:val="el-GR"/>
        </w:rPr>
        <w:t xml:space="preserve">θα </w:t>
      </w:r>
      <w:r w:rsidRPr="00106D84">
        <w:rPr>
          <w:sz w:val="22"/>
          <w:lang w:val="el-GR"/>
        </w:rPr>
        <w:t>πρέπει να επανεκτιμηθεί.</w:t>
      </w:r>
    </w:p>
    <w:p w:rsidR="0034718A" w:rsidRPr="00106D84" w:rsidRDefault="0034718A" w:rsidP="0034718A">
      <w:pPr>
        <w:pStyle w:val="20"/>
        <w:tabs>
          <w:tab w:val="left" w:pos="851"/>
        </w:tabs>
        <w:rPr>
          <w:sz w:val="22"/>
          <w:lang w:val="el-GR"/>
        </w:rPr>
      </w:pPr>
    </w:p>
    <w:p w:rsidR="0034718A" w:rsidRPr="00106D84" w:rsidRDefault="0034718A" w:rsidP="0034718A">
      <w:pPr>
        <w:tabs>
          <w:tab w:val="left" w:pos="426"/>
          <w:tab w:val="left" w:pos="851"/>
        </w:tabs>
        <w:ind w:left="426"/>
        <w:rPr>
          <w:sz w:val="22"/>
          <w:lang w:val="el-GR"/>
        </w:rPr>
      </w:pPr>
      <w:r w:rsidRPr="00106D84">
        <w:rPr>
          <w:sz w:val="22"/>
          <w:lang w:val="el-GR"/>
        </w:rPr>
        <w:t>Οι κατωτέρω αναφερόμενες προφυλάξεις βασίζονται στην αποκτηθείσα εμπειρία από άλλους παράγοντες αυτής της κατηγορίας καθώς και από αναστολείς του Μ</w:t>
      </w:r>
      <w:r w:rsidRPr="00106D84">
        <w:rPr>
          <w:sz w:val="22"/>
        </w:rPr>
        <w:t>E</w:t>
      </w:r>
      <w:r w:rsidRPr="00106D84">
        <w:rPr>
          <w:sz w:val="22"/>
          <w:lang w:val="el-GR"/>
        </w:rPr>
        <w:t xml:space="preserve">Α: </w:t>
      </w:r>
    </w:p>
    <w:p w:rsidR="0018188D" w:rsidRPr="00106D84" w:rsidRDefault="0018188D">
      <w:pPr>
        <w:tabs>
          <w:tab w:val="left" w:pos="426"/>
          <w:tab w:val="left" w:pos="851"/>
        </w:tabs>
        <w:ind w:left="426"/>
        <w:rPr>
          <w:b/>
          <w:sz w:val="22"/>
          <w:lang w:val="el-GR"/>
        </w:rPr>
      </w:pPr>
    </w:p>
    <w:p w:rsidR="0034718A" w:rsidRPr="00106D84" w:rsidRDefault="0034718A" w:rsidP="0034718A">
      <w:pPr>
        <w:tabs>
          <w:tab w:val="left" w:pos="426"/>
          <w:tab w:val="left" w:pos="851"/>
        </w:tabs>
        <w:ind w:left="426"/>
        <w:rPr>
          <w:b/>
          <w:sz w:val="22"/>
          <w:lang w:val="el-GR"/>
        </w:rPr>
      </w:pPr>
      <w:r w:rsidRPr="00106D84">
        <w:rPr>
          <w:b/>
          <w:sz w:val="22"/>
          <w:lang w:val="el-GR"/>
        </w:rPr>
        <w:t>Υπερκαλιαιμία</w:t>
      </w:r>
    </w:p>
    <w:p w:rsidR="0034718A" w:rsidRPr="00106D84" w:rsidRDefault="0034718A" w:rsidP="0034718A">
      <w:pPr>
        <w:tabs>
          <w:tab w:val="left" w:pos="426"/>
          <w:tab w:val="left" w:pos="851"/>
        </w:tabs>
        <w:ind w:left="426"/>
        <w:rPr>
          <w:sz w:val="22"/>
          <w:lang w:val="el-GR"/>
        </w:rPr>
      </w:pPr>
      <w:r w:rsidRPr="00106D84">
        <w:rPr>
          <w:sz w:val="22"/>
          <w:lang w:val="el-GR"/>
        </w:rPr>
        <w:t xml:space="preserve">Κατά τη διάρκεια αγωγής μαζί με άλλα φαρμακευτικά προϊόντα που επηρρεάζουν το σύστημα ρενίνης-αγγειοτασίνης-αλδοστερόνης μπορεί να </w:t>
      </w:r>
      <w:r w:rsidR="005749FA">
        <w:rPr>
          <w:sz w:val="22"/>
          <w:lang w:val="el-GR"/>
        </w:rPr>
        <w:t>προκύψει</w:t>
      </w:r>
      <w:r w:rsidR="005749FA" w:rsidRPr="00106D84">
        <w:rPr>
          <w:sz w:val="22"/>
          <w:lang w:val="el-GR"/>
        </w:rPr>
        <w:t xml:space="preserve"> </w:t>
      </w:r>
      <w:r w:rsidRPr="00106D84">
        <w:rPr>
          <w:sz w:val="22"/>
          <w:lang w:val="el-GR"/>
        </w:rPr>
        <w:t>υπερκαλιαιμία, ειδικά όταν υπάρχει νεφρική ανεπάρκεια και/ή καρδιακή ανεπάρκεια. Για τους ασθενείς που υπόκεινται σε τέτοιο κίνδυνο συνιστάται τακτική παρακολούθηση του καλίου του ορού.</w:t>
      </w:r>
    </w:p>
    <w:p w:rsidR="0034718A" w:rsidRPr="00106D84" w:rsidRDefault="0034718A" w:rsidP="0034718A">
      <w:pPr>
        <w:tabs>
          <w:tab w:val="left" w:pos="426"/>
          <w:tab w:val="left" w:pos="851"/>
        </w:tabs>
        <w:ind w:left="426"/>
        <w:rPr>
          <w:sz w:val="22"/>
          <w:lang w:val="el-GR"/>
        </w:rPr>
      </w:pPr>
    </w:p>
    <w:p w:rsidR="0034718A" w:rsidRPr="00106D84" w:rsidRDefault="0034718A" w:rsidP="0034718A">
      <w:pPr>
        <w:tabs>
          <w:tab w:val="left" w:pos="426"/>
          <w:tab w:val="left" w:pos="851"/>
        </w:tabs>
        <w:ind w:left="426"/>
        <w:rPr>
          <w:sz w:val="22"/>
          <w:szCs w:val="22"/>
          <w:lang w:val="el-GR"/>
        </w:rPr>
      </w:pPr>
      <w:r w:rsidRPr="00106D84">
        <w:rPr>
          <w:sz w:val="22"/>
          <w:lang w:val="el-GR"/>
        </w:rPr>
        <w:t xml:space="preserve">Με βάση την εμπειρία από τη χρήση άλλων φαρμακευτικών προϊόντων που επηρεάζουν το σύστημα ρενίνης-αγγειοτασίνης-αλδοστερόνης, η συγχορήγηση καλιοσυντηρητικών </w:t>
      </w:r>
      <w:r w:rsidRPr="00106D84">
        <w:rPr>
          <w:sz w:val="22"/>
          <w:lang w:val="el-GR"/>
        </w:rPr>
        <w:lastRenderedPageBreak/>
        <w:t xml:space="preserve">διουρητικών, συμπληρωμάτων καλίου, υποκαταστάτων άλατος που περιέχουν κάλιο ή άλλων φαρμακευτικών προϊόντων που μπορεί να ανεβάσουν το επίπεδο του καλίου (π.χ. ηπαρίνη) μπορεί να οδηγήσουν σε αύξηση του καλίου στον ορρό και συνεπώς πρέπει να να συγχορηγούνται προσεκτικά με το </w:t>
      </w:r>
      <w:r w:rsidRPr="00106D84">
        <w:rPr>
          <w:sz w:val="22"/>
          <w:lang w:val="en-US"/>
        </w:rPr>
        <w:t>Teveten</w:t>
      </w:r>
      <w:r w:rsidRPr="00106D84">
        <w:rPr>
          <w:sz w:val="22"/>
          <w:szCs w:val="22"/>
          <w:lang w:val="el-GR"/>
        </w:rPr>
        <w:t>.</w:t>
      </w:r>
    </w:p>
    <w:p w:rsidR="0034718A" w:rsidRPr="00106D84" w:rsidRDefault="0034718A" w:rsidP="0034718A">
      <w:pPr>
        <w:tabs>
          <w:tab w:val="left" w:pos="426"/>
          <w:tab w:val="left" w:pos="851"/>
        </w:tabs>
        <w:ind w:left="426"/>
        <w:rPr>
          <w:sz w:val="22"/>
          <w:lang w:val="el-GR"/>
        </w:rPr>
      </w:pPr>
    </w:p>
    <w:p w:rsidR="0034718A" w:rsidRPr="00106D84" w:rsidRDefault="0034718A" w:rsidP="0034718A">
      <w:pPr>
        <w:tabs>
          <w:tab w:val="left" w:pos="426"/>
          <w:tab w:val="left" w:pos="851"/>
        </w:tabs>
        <w:ind w:left="426"/>
        <w:rPr>
          <w:sz w:val="22"/>
          <w:lang w:val="el-GR"/>
        </w:rPr>
      </w:pPr>
      <w:r w:rsidRPr="00106D84">
        <w:rPr>
          <w:b/>
          <w:sz w:val="22"/>
          <w:lang w:val="el-GR"/>
        </w:rPr>
        <w:t>Πρωτοπαθής υπεραλδοστερονισμός</w:t>
      </w:r>
    </w:p>
    <w:p w:rsidR="0034718A" w:rsidRPr="00106D84" w:rsidRDefault="0034718A" w:rsidP="0034718A">
      <w:pPr>
        <w:tabs>
          <w:tab w:val="left" w:pos="426"/>
          <w:tab w:val="left" w:pos="851"/>
        </w:tabs>
        <w:ind w:left="426"/>
        <w:rPr>
          <w:sz w:val="22"/>
          <w:lang w:val="el-GR"/>
        </w:rPr>
      </w:pPr>
      <w:r w:rsidRPr="00106D84">
        <w:rPr>
          <w:sz w:val="22"/>
          <w:lang w:val="el-GR"/>
        </w:rPr>
        <w:t>Δεν συνιστάται η χορήγηση επροσαρτάνης σε ασθενείς με πρωτοπαθή υπεραλδοστερονισμό.</w:t>
      </w:r>
    </w:p>
    <w:p w:rsidR="0034718A" w:rsidRPr="00106D84" w:rsidRDefault="0034718A" w:rsidP="0034718A">
      <w:pPr>
        <w:tabs>
          <w:tab w:val="left" w:pos="426"/>
          <w:tab w:val="left" w:pos="851"/>
        </w:tabs>
        <w:ind w:left="426"/>
        <w:rPr>
          <w:sz w:val="22"/>
          <w:lang w:val="el-GR"/>
        </w:rPr>
      </w:pPr>
      <w:r w:rsidRPr="00106D84">
        <w:rPr>
          <w:sz w:val="22"/>
          <w:lang w:val="el-GR"/>
        </w:rPr>
        <w:t xml:space="preserve">  </w:t>
      </w:r>
    </w:p>
    <w:p w:rsidR="0034718A" w:rsidRPr="00106D84" w:rsidRDefault="00FE1363" w:rsidP="0034718A">
      <w:pPr>
        <w:pStyle w:val="5"/>
      </w:pPr>
      <w:r>
        <w:t>Υπόταση</w:t>
      </w:r>
    </w:p>
    <w:p w:rsidR="0034718A" w:rsidRPr="00106D84" w:rsidRDefault="0034718A" w:rsidP="0034718A">
      <w:pPr>
        <w:pStyle w:val="20"/>
        <w:tabs>
          <w:tab w:val="left" w:pos="851"/>
        </w:tabs>
        <w:rPr>
          <w:sz w:val="22"/>
          <w:lang w:val="el-GR"/>
        </w:rPr>
      </w:pPr>
      <w:r w:rsidRPr="00106D84">
        <w:rPr>
          <w:sz w:val="22"/>
          <w:lang w:val="el-GR"/>
        </w:rPr>
        <w:t xml:space="preserve">Μπορεί να παρουσιασθεί συμπτωματική υπόταση σε ασθενείς με σοβαρή μείωση του όγκου του αίματος </w:t>
      </w:r>
      <w:r w:rsidR="00CD78BD">
        <w:rPr>
          <w:sz w:val="22"/>
          <w:lang w:val="el-GR"/>
        </w:rPr>
        <w:t xml:space="preserve">και/ή του άλατος </w:t>
      </w:r>
      <w:r w:rsidRPr="00106D84">
        <w:rPr>
          <w:sz w:val="22"/>
          <w:lang w:val="el-GR"/>
        </w:rPr>
        <w:t xml:space="preserve">(π.χ. επί θεραπείας με υψηλές δόσεις διουρητικών). </w:t>
      </w:r>
      <w:r w:rsidR="00EA7EF2" w:rsidRPr="00106D84">
        <w:rPr>
          <w:sz w:val="22"/>
          <w:lang w:val="el-GR"/>
        </w:rPr>
        <w:t xml:space="preserve">Αυτές οι παθολογικές καταστάσεις </w:t>
      </w:r>
      <w:r w:rsidRPr="00106D84">
        <w:rPr>
          <w:sz w:val="22"/>
          <w:lang w:val="el-GR"/>
        </w:rPr>
        <w:t>πρέπει να αποκατασταθούν πριν την έναρξη της θεραπείας.</w:t>
      </w:r>
    </w:p>
    <w:p w:rsidR="0034718A" w:rsidRPr="00106D84" w:rsidRDefault="0034718A" w:rsidP="0034718A">
      <w:pPr>
        <w:pStyle w:val="20"/>
        <w:tabs>
          <w:tab w:val="left" w:pos="851"/>
        </w:tabs>
        <w:rPr>
          <w:sz w:val="22"/>
          <w:lang w:val="el-GR"/>
        </w:rPr>
      </w:pPr>
    </w:p>
    <w:p w:rsidR="0018188D" w:rsidRPr="00106D84" w:rsidRDefault="0018188D">
      <w:pPr>
        <w:tabs>
          <w:tab w:val="left" w:pos="426"/>
          <w:tab w:val="left" w:pos="851"/>
        </w:tabs>
        <w:ind w:left="426"/>
        <w:rPr>
          <w:sz w:val="22"/>
          <w:lang w:val="el-GR"/>
        </w:rPr>
      </w:pPr>
      <w:r w:rsidRPr="00106D84">
        <w:rPr>
          <w:b/>
          <w:sz w:val="22"/>
          <w:lang w:val="el-GR"/>
        </w:rPr>
        <w:t xml:space="preserve">Στεφανιαία </w:t>
      </w:r>
      <w:r w:rsidR="00FF6EE2" w:rsidRPr="00106D84">
        <w:rPr>
          <w:b/>
          <w:sz w:val="22"/>
          <w:lang w:val="el-GR"/>
        </w:rPr>
        <w:t>ν</w:t>
      </w:r>
      <w:r w:rsidRPr="00106D84">
        <w:rPr>
          <w:b/>
          <w:sz w:val="22"/>
          <w:lang w:val="el-GR"/>
        </w:rPr>
        <w:t>όσος</w:t>
      </w:r>
    </w:p>
    <w:p w:rsidR="0018188D" w:rsidRPr="00106D84" w:rsidRDefault="0018188D">
      <w:pPr>
        <w:tabs>
          <w:tab w:val="left" w:pos="426"/>
          <w:tab w:val="left" w:pos="851"/>
        </w:tabs>
        <w:ind w:left="426"/>
        <w:rPr>
          <w:sz w:val="22"/>
          <w:lang w:val="el-GR"/>
        </w:rPr>
      </w:pPr>
      <w:r w:rsidRPr="00106D84">
        <w:rPr>
          <w:sz w:val="22"/>
          <w:lang w:val="el-GR"/>
        </w:rPr>
        <w:t>Προς το παρόν υπάρχει περιορισμένη εμπειρία σε ασθενείς με στεφανιαία νόσο.</w:t>
      </w:r>
    </w:p>
    <w:p w:rsidR="0018188D" w:rsidRPr="00106D84" w:rsidRDefault="0018188D">
      <w:pPr>
        <w:tabs>
          <w:tab w:val="left" w:pos="426"/>
          <w:tab w:val="left" w:pos="851"/>
        </w:tabs>
        <w:ind w:left="426"/>
        <w:rPr>
          <w:sz w:val="22"/>
          <w:lang w:val="el-GR"/>
        </w:rPr>
      </w:pPr>
    </w:p>
    <w:p w:rsidR="0018188D" w:rsidRPr="00106D84" w:rsidRDefault="0018188D">
      <w:pPr>
        <w:tabs>
          <w:tab w:val="left" w:pos="426"/>
          <w:tab w:val="left" w:pos="851"/>
        </w:tabs>
        <w:ind w:left="426"/>
        <w:rPr>
          <w:sz w:val="22"/>
          <w:lang w:val="el-GR"/>
        </w:rPr>
      </w:pPr>
      <w:r w:rsidRPr="00106D84">
        <w:rPr>
          <w:b/>
          <w:sz w:val="22"/>
          <w:lang w:val="el-GR"/>
        </w:rPr>
        <w:t xml:space="preserve">Στένωση </w:t>
      </w:r>
      <w:r w:rsidR="00FF6EE2" w:rsidRPr="00106D84">
        <w:rPr>
          <w:b/>
          <w:sz w:val="22"/>
          <w:lang w:val="el-GR"/>
        </w:rPr>
        <w:t>α</w:t>
      </w:r>
      <w:r w:rsidRPr="00106D84">
        <w:rPr>
          <w:b/>
          <w:sz w:val="22"/>
          <w:lang w:val="el-GR"/>
        </w:rPr>
        <w:t xml:space="preserve">ορτικής και </w:t>
      </w:r>
      <w:r w:rsidR="00FF6EE2" w:rsidRPr="00106D84">
        <w:rPr>
          <w:b/>
          <w:sz w:val="22"/>
          <w:lang w:val="el-GR"/>
        </w:rPr>
        <w:t>μ</w:t>
      </w:r>
      <w:r w:rsidRPr="00106D84">
        <w:rPr>
          <w:b/>
          <w:sz w:val="22"/>
          <w:lang w:val="el-GR"/>
        </w:rPr>
        <w:t xml:space="preserve">ιτροειδούς </w:t>
      </w:r>
      <w:r w:rsidR="00FF6EE2" w:rsidRPr="00106D84">
        <w:rPr>
          <w:b/>
          <w:sz w:val="22"/>
          <w:lang w:val="el-GR"/>
        </w:rPr>
        <w:t>β</w:t>
      </w:r>
      <w:r w:rsidRPr="00106D84">
        <w:rPr>
          <w:b/>
          <w:sz w:val="22"/>
          <w:lang w:val="el-GR"/>
        </w:rPr>
        <w:t>αλβίδος</w:t>
      </w:r>
      <w:r w:rsidR="00061108" w:rsidRPr="00106D84">
        <w:rPr>
          <w:b/>
          <w:sz w:val="22"/>
          <w:lang w:val="el-GR"/>
        </w:rPr>
        <w:t xml:space="preserve"> </w:t>
      </w:r>
      <w:r w:rsidRPr="00106D84">
        <w:rPr>
          <w:b/>
          <w:sz w:val="22"/>
          <w:lang w:val="el-GR"/>
        </w:rPr>
        <w:t>/</w:t>
      </w:r>
      <w:r w:rsidR="00A54809" w:rsidRPr="00106D84">
        <w:rPr>
          <w:b/>
          <w:sz w:val="22"/>
          <w:lang w:val="el-GR"/>
        </w:rPr>
        <w:t xml:space="preserve"> </w:t>
      </w:r>
      <w:r w:rsidRPr="00106D84">
        <w:rPr>
          <w:b/>
          <w:sz w:val="22"/>
          <w:lang w:val="el-GR"/>
        </w:rPr>
        <w:t xml:space="preserve">Υπερτροφική </w:t>
      </w:r>
      <w:r w:rsidR="00FF6EE2" w:rsidRPr="00106D84">
        <w:rPr>
          <w:b/>
          <w:sz w:val="22"/>
          <w:lang w:val="el-GR"/>
        </w:rPr>
        <w:t>μ</w:t>
      </w:r>
      <w:r w:rsidRPr="00106D84">
        <w:rPr>
          <w:b/>
          <w:sz w:val="22"/>
          <w:lang w:val="el-GR"/>
        </w:rPr>
        <w:t>υοκαρδιοπάθεια</w:t>
      </w:r>
    </w:p>
    <w:p w:rsidR="0018188D" w:rsidRPr="00106D84" w:rsidRDefault="0018188D">
      <w:pPr>
        <w:pStyle w:val="20"/>
        <w:tabs>
          <w:tab w:val="left" w:pos="851"/>
        </w:tabs>
        <w:rPr>
          <w:sz w:val="22"/>
          <w:lang w:val="el-GR"/>
        </w:rPr>
      </w:pPr>
      <w:r w:rsidRPr="00106D84">
        <w:rPr>
          <w:sz w:val="22"/>
          <w:lang w:val="el-GR"/>
        </w:rPr>
        <w:t>Όπως με όλα τα αγγειοδιασταλτικά, η επροσαρτάνη πρέπει να χορηγείται με προσοχή σε ασθενείς με στένωση αορτ</w:t>
      </w:r>
      <w:r w:rsidR="002B01F2" w:rsidRPr="00106D84">
        <w:rPr>
          <w:sz w:val="22"/>
          <w:lang w:val="el-GR"/>
        </w:rPr>
        <w:t>ικ</w:t>
      </w:r>
      <w:r w:rsidRPr="00106D84">
        <w:rPr>
          <w:sz w:val="22"/>
          <w:lang w:val="el-GR"/>
        </w:rPr>
        <w:t>ής και μιτροειδούς βαλβίδος ή με υπερτροφική μυοκαρδιοπάθεια.</w:t>
      </w:r>
    </w:p>
    <w:p w:rsidR="0018188D" w:rsidRPr="00106D84" w:rsidRDefault="0018188D">
      <w:pPr>
        <w:tabs>
          <w:tab w:val="left" w:pos="426"/>
          <w:tab w:val="left" w:pos="851"/>
        </w:tabs>
        <w:ind w:left="426"/>
        <w:rPr>
          <w:strike/>
          <w:sz w:val="22"/>
          <w:lang w:val="el-GR"/>
        </w:rPr>
      </w:pPr>
    </w:p>
    <w:p w:rsidR="0018188D" w:rsidRPr="00106D84" w:rsidRDefault="00FF6EE2">
      <w:pPr>
        <w:pStyle w:val="1"/>
        <w:tabs>
          <w:tab w:val="left" w:pos="426"/>
          <w:tab w:val="left" w:pos="851"/>
        </w:tabs>
        <w:ind w:left="426"/>
        <w:rPr>
          <w:strike/>
          <w:sz w:val="22"/>
          <w:szCs w:val="22"/>
          <w:lang w:val="el-GR"/>
        </w:rPr>
      </w:pPr>
      <w:r w:rsidRPr="00106D84">
        <w:rPr>
          <w:sz w:val="22"/>
          <w:szCs w:val="22"/>
          <w:lang w:val="el-GR"/>
        </w:rPr>
        <w:t xml:space="preserve">Μεταμόσχευση νεφρού </w:t>
      </w:r>
    </w:p>
    <w:p w:rsidR="0018188D" w:rsidRPr="00106D84" w:rsidRDefault="0018188D">
      <w:pPr>
        <w:tabs>
          <w:tab w:val="left" w:pos="426"/>
          <w:tab w:val="left" w:pos="851"/>
        </w:tabs>
        <w:ind w:left="426"/>
        <w:rPr>
          <w:sz w:val="22"/>
          <w:lang w:val="el-GR"/>
        </w:rPr>
      </w:pPr>
      <w:r w:rsidRPr="00106D84">
        <w:rPr>
          <w:sz w:val="22"/>
          <w:lang w:val="el-GR"/>
        </w:rPr>
        <w:t xml:space="preserve">Δεν υπάρχει εμπειρία σε ασθενείς που υποβλήθηκαν προσφάτως σε μεταμόσχευση νεφρού. </w:t>
      </w:r>
    </w:p>
    <w:p w:rsidR="0018188D" w:rsidRPr="00106D84" w:rsidRDefault="0018188D">
      <w:pPr>
        <w:tabs>
          <w:tab w:val="left" w:pos="426"/>
          <w:tab w:val="left" w:pos="851"/>
        </w:tabs>
        <w:rPr>
          <w:b/>
          <w:sz w:val="22"/>
          <w:lang w:val="el-GR"/>
        </w:rPr>
      </w:pPr>
    </w:p>
    <w:p w:rsidR="002603FD" w:rsidRPr="00106D84" w:rsidRDefault="002603FD" w:rsidP="002603FD">
      <w:pPr>
        <w:tabs>
          <w:tab w:val="left" w:pos="426"/>
          <w:tab w:val="left" w:pos="851"/>
        </w:tabs>
        <w:rPr>
          <w:b/>
          <w:sz w:val="22"/>
          <w:lang w:val="el-GR"/>
        </w:rPr>
      </w:pPr>
      <w:r w:rsidRPr="00106D84">
        <w:rPr>
          <w:b/>
          <w:sz w:val="22"/>
          <w:lang w:val="el-GR"/>
        </w:rPr>
        <w:tab/>
        <w:t>Κύηση</w:t>
      </w:r>
    </w:p>
    <w:p w:rsidR="002603FD" w:rsidRPr="00106D84" w:rsidRDefault="002603FD" w:rsidP="002603FD">
      <w:pPr>
        <w:tabs>
          <w:tab w:val="left" w:pos="426"/>
          <w:tab w:val="left" w:pos="851"/>
        </w:tabs>
        <w:ind w:left="426"/>
        <w:rPr>
          <w:sz w:val="22"/>
          <w:lang w:val="el-GR"/>
        </w:rPr>
      </w:pPr>
      <w:r w:rsidRPr="00106D84">
        <w:rPr>
          <w:sz w:val="22"/>
          <w:lang w:val="el-GR"/>
        </w:rPr>
        <w:t>Η αγωγή επροσαρτάνης δεν θα πρέπει να ξεκινά κατά την κύηση. Εκτός εάν η συνεχιζόμενη θεραπεία επροσαρτάνης κρίνεται απαραίτητη, οι ασθενείς που σχεδιάζουν να μείνουν έγκυοι θα πρέπει να αλλάξουν σε εναλλακτική αντι</w:t>
      </w:r>
      <w:r w:rsidR="00705BFC">
        <w:rPr>
          <w:sz w:val="22"/>
          <w:lang w:val="el-GR"/>
        </w:rPr>
        <w:t>υ</w:t>
      </w:r>
      <w:r w:rsidRPr="00106D84">
        <w:rPr>
          <w:sz w:val="22"/>
          <w:lang w:val="el-GR"/>
        </w:rPr>
        <w:t xml:space="preserve">περτασική αγωγή που να διαθέτει ένα καθιερωμένο προφίλ ασφαλείας για χρήση σε εγκυμοσύνη. Όταν διαγνωσθεί κύηση, η αγωγή με επροσαρτάνη θα πρέπει να σταματήσει αμέσως και, εάν απαιτείται, πρέπει να ξεκινήσει εναλλακτική θεραπεία (βλ. παραγράφους 4.3 και 4.6).  </w:t>
      </w:r>
    </w:p>
    <w:p w:rsidR="002603FD" w:rsidRPr="00106D84" w:rsidRDefault="002603FD" w:rsidP="002F06F1">
      <w:pPr>
        <w:tabs>
          <w:tab w:val="left" w:pos="426"/>
          <w:tab w:val="left" w:pos="851"/>
        </w:tabs>
        <w:ind w:left="432"/>
        <w:rPr>
          <w:b/>
          <w:sz w:val="22"/>
          <w:lang w:val="el-GR"/>
        </w:rPr>
      </w:pPr>
    </w:p>
    <w:p w:rsidR="003E1A6F" w:rsidRPr="00106D84" w:rsidRDefault="003E1A6F" w:rsidP="002F06F1">
      <w:pPr>
        <w:tabs>
          <w:tab w:val="left" w:pos="426"/>
          <w:tab w:val="left" w:pos="851"/>
        </w:tabs>
        <w:ind w:left="432"/>
        <w:rPr>
          <w:b/>
          <w:sz w:val="22"/>
          <w:lang w:val="el-GR"/>
        </w:rPr>
      </w:pPr>
      <w:r w:rsidRPr="00106D84">
        <w:rPr>
          <w:b/>
          <w:sz w:val="22"/>
          <w:lang w:val="el-GR"/>
        </w:rPr>
        <w:t xml:space="preserve">Άλλες προειδοποιήσεις και προφυλάξεις </w:t>
      </w:r>
    </w:p>
    <w:p w:rsidR="003E1A6F" w:rsidRPr="00106D84" w:rsidRDefault="003E1A6F" w:rsidP="002F06F1">
      <w:pPr>
        <w:tabs>
          <w:tab w:val="left" w:pos="426"/>
          <w:tab w:val="left" w:pos="851"/>
        </w:tabs>
        <w:ind w:left="432"/>
        <w:rPr>
          <w:sz w:val="22"/>
          <w:lang w:val="el-GR"/>
        </w:rPr>
      </w:pPr>
      <w:r w:rsidRPr="00106D84">
        <w:rPr>
          <w:sz w:val="22"/>
          <w:lang w:val="el-GR"/>
        </w:rPr>
        <w:t xml:space="preserve">Όπως έχει παρατηρηθεί για τους αναστολείς του μετατρεπτικού ενζύμου της αγγειοτασίνης, η επροσαρτάνη και οι άλλοι ανταγωνιστές της αγγειοτασίνης είναι </w:t>
      </w:r>
      <w:r w:rsidR="00FF6EE2" w:rsidRPr="00106D84">
        <w:rPr>
          <w:sz w:val="22"/>
          <w:lang w:val="el-GR"/>
        </w:rPr>
        <w:t xml:space="preserve">εμφανώς </w:t>
      </w:r>
      <w:r w:rsidRPr="00106D84">
        <w:rPr>
          <w:sz w:val="22"/>
          <w:lang w:val="el-GR"/>
        </w:rPr>
        <w:t xml:space="preserve">λιγότερο αποτελεσματικοί στη μείωση της αρτηριακής πιέσεως </w:t>
      </w:r>
      <w:r w:rsidR="002F06F1" w:rsidRPr="00106D84">
        <w:rPr>
          <w:sz w:val="22"/>
          <w:lang w:val="el-GR"/>
        </w:rPr>
        <w:t xml:space="preserve">σε άτομα της μαύρης φυλής σε σχέση </w:t>
      </w:r>
      <w:r w:rsidR="00056E21" w:rsidRPr="00106D84">
        <w:rPr>
          <w:sz w:val="22"/>
          <w:lang w:val="el-GR"/>
        </w:rPr>
        <w:t xml:space="preserve">με </w:t>
      </w:r>
      <w:r w:rsidR="002F06F1" w:rsidRPr="00106D84">
        <w:rPr>
          <w:sz w:val="22"/>
          <w:lang w:val="el-GR"/>
        </w:rPr>
        <w:t xml:space="preserve">ασθενείς άλλων φυλών, πιθανώς εξαιτίας της υψηλότερης συχνότητας καταστάσεων χαμηλών επιπέδων ρενίνης στον πληθυσμό των υπερτασικών της μαύρης φυλής. </w:t>
      </w:r>
    </w:p>
    <w:p w:rsidR="00FC2816" w:rsidRPr="00106D84" w:rsidRDefault="00FC2816" w:rsidP="002F06F1">
      <w:pPr>
        <w:tabs>
          <w:tab w:val="left" w:pos="426"/>
          <w:tab w:val="left" w:pos="851"/>
        </w:tabs>
        <w:ind w:left="432"/>
        <w:rPr>
          <w:sz w:val="22"/>
          <w:lang w:val="el-GR"/>
        </w:rPr>
      </w:pPr>
    </w:p>
    <w:p w:rsidR="00FC2816" w:rsidRPr="00106D84" w:rsidRDefault="00FC2816" w:rsidP="002F06F1">
      <w:pPr>
        <w:tabs>
          <w:tab w:val="left" w:pos="426"/>
          <w:tab w:val="left" w:pos="851"/>
        </w:tabs>
        <w:ind w:left="432"/>
        <w:rPr>
          <w:sz w:val="22"/>
          <w:lang w:val="el-GR"/>
        </w:rPr>
      </w:pPr>
      <w:r w:rsidRPr="00106D84">
        <w:rPr>
          <w:sz w:val="22"/>
          <w:lang w:val="el-GR"/>
        </w:rPr>
        <w:t xml:space="preserve">Ασθενείς με σπάνια κληρονομικά προβλήματα δυσανεξίας στη γαλακτόζη, </w:t>
      </w:r>
      <w:r w:rsidR="004B58F3" w:rsidRPr="00106D84">
        <w:rPr>
          <w:sz w:val="22"/>
          <w:lang w:val="el-GR"/>
        </w:rPr>
        <w:t xml:space="preserve">όπως </w:t>
      </w:r>
      <w:r w:rsidRPr="00106D84">
        <w:rPr>
          <w:sz w:val="22"/>
          <w:lang w:val="en-US"/>
        </w:rPr>
        <w:t>Lapp</w:t>
      </w:r>
      <w:r w:rsidRPr="00106D84">
        <w:rPr>
          <w:sz w:val="22"/>
          <w:lang w:val="el-GR"/>
        </w:rPr>
        <w:t xml:space="preserve"> ανεπάρκεια λακτάσης ή δυσαπορρόφηση γλυκόζης – γαλακτόζης, δεν πρέπει να λαμβάνουν αυτό το φαρμακευτικό προϊόν. </w:t>
      </w:r>
    </w:p>
    <w:p w:rsidR="003E1A6F" w:rsidRPr="00106D84" w:rsidRDefault="003E1A6F">
      <w:pPr>
        <w:tabs>
          <w:tab w:val="left" w:pos="426"/>
          <w:tab w:val="left" w:pos="851"/>
        </w:tabs>
        <w:rPr>
          <w:b/>
          <w:sz w:val="22"/>
          <w:lang w:val="el-GR"/>
        </w:rPr>
      </w:pPr>
    </w:p>
    <w:p w:rsidR="0018188D" w:rsidRPr="00106D84" w:rsidRDefault="0018188D" w:rsidP="008F1380">
      <w:pPr>
        <w:tabs>
          <w:tab w:val="left" w:pos="426"/>
          <w:tab w:val="left" w:pos="851"/>
        </w:tabs>
        <w:ind w:left="720" w:hanging="294"/>
        <w:rPr>
          <w:b/>
          <w:sz w:val="22"/>
          <w:lang w:val="el-GR"/>
        </w:rPr>
      </w:pPr>
      <w:r w:rsidRPr="00106D84">
        <w:rPr>
          <w:b/>
          <w:sz w:val="22"/>
          <w:lang w:val="el-GR"/>
        </w:rPr>
        <w:t>4.5</w:t>
      </w:r>
      <w:r w:rsidRPr="00106D84">
        <w:rPr>
          <w:b/>
          <w:sz w:val="22"/>
          <w:lang w:val="el-GR"/>
        </w:rPr>
        <w:tab/>
      </w:r>
      <w:r w:rsidRPr="00106D84">
        <w:rPr>
          <w:b/>
          <w:sz w:val="22"/>
        </w:rPr>
        <w:t>A</w:t>
      </w:r>
      <w:r w:rsidRPr="00106D84">
        <w:rPr>
          <w:b/>
          <w:sz w:val="22"/>
          <w:lang w:val="el-GR"/>
        </w:rPr>
        <w:t xml:space="preserve">λληλεπιδράσεις με άλλα </w:t>
      </w:r>
      <w:r w:rsidR="008F1380" w:rsidRPr="00106D84">
        <w:rPr>
          <w:b/>
          <w:sz w:val="22"/>
          <w:lang w:val="el-GR"/>
        </w:rPr>
        <w:t xml:space="preserve">φαρμακευτικά προϊόντα </w:t>
      </w:r>
      <w:r w:rsidRPr="00106D84">
        <w:rPr>
          <w:b/>
          <w:sz w:val="22"/>
          <w:lang w:val="el-GR"/>
        </w:rPr>
        <w:t xml:space="preserve">και άλλες μορφές αλληλεπίδρασης. </w:t>
      </w:r>
    </w:p>
    <w:p w:rsidR="0018188D" w:rsidRPr="00106D84" w:rsidRDefault="0018188D">
      <w:pPr>
        <w:tabs>
          <w:tab w:val="left" w:pos="426"/>
          <w:tab w:val="left" w:pos="851"/>
        </w:tabs>
        <w:ind w:left="426"/>
        <w:rPr>
          <w:sz w:val="22"/>
          <w:lang w:val="el-GR"/>
        </w:rPr>
      </w:pPr>
    </w:p>
    <w:p w:rsidR="00060FA0" w:rsidRPr="00106D84" w:rsidRDefault="00FF6EE2">
      <w:pPr>
        <w:tabs>
          <w:tab w:val="left" w:pos="426"/>
          <w:tab w:val="left" w:pos="851"/>
        </w:tabs>
        <w:ind w:left="426"/>
        <w:rPr>
          <w:sz w:val="22"/>
          <w:lang w:val="el-GR"/>
        </w:rPr>
      </w:pPr>
      <w:r w:rsidRPr="00106D84">
        <w:rPr>
          <w:sz w:val="22"/>
          <w:lang w:val="el-GR"/>
        </w:rPr>
        <w:t xml:space="preserve">Δεν παρατηρήθηκε καμία </w:t>
      </w:r>
      <w:r w:rsidR="00E4711F" w:rsidRPr="00106D84">
        <w:rPr>
          <w:sz w:val="22"/>
          <w:lang w:val="el-GR"/>
        </w:rPr>
        <w:t xml:space="preserve">επίδραση της επροσαρτάνης στη φαρμακοκινητική της διγοξίνης και στη φαρμακοδυναμική της βαρφαρίνης ή της γλυβουρίδης (γλιβενκλαμίδης). Ομοίως δεν έχει παρατηρηθεί καμμία επίδραση στη φαρμακοκινητική της επροσαρτάνης με ρανιτιδίνη, κετοκοναζόλη, ή φλουκοναζόλη. </w:t>
      </w:r>
    </w:p>
    <w:p w:rsidR="00060FA0" w:rsidRPr="00106D84" w:rsidRDefault="00060FA0">
      <w:pPr>
        <w:tabs>
          <w:tab w:val="left" w:pos="426"/>
          <w:tab w:val="left" w:pos="851"/>
        </w:tabs>
        <w:ind w:left="426"/>
        <w:rPr>
          <w:sz w:val="22"/>
          <w:lang w:val="el-GR"/>
        </w:rPr>
      </w:pPr>
    </w:p>
    <w:p w:rsidR="00A54809" w:rsidRPr="00106D84" w:rsidRDefault="00E4711F">
      <w:pPr>
        <w:tabs>
          <w:tab w:val="left" w:pos="426"/>
          <w:tab w:val="left" w:pos="851"/>
        </w:tabs>
        <w:ind w:left="426"/>
        <w:rPr>
          <w:sz w:val="22"/>
          <w:lang w:val="el-GR"/>
        </w:rPr>
      </w:pPr>
      <w:r w:rsidRPr="00106D84">
        <w:rPr>
          <w:sz w:val="22"/>
          <w:lang w:val="el-GR"/>
        </w:rPr>
        <w:t>Η επροσαρτάνη έχει συγχορηγηθεί με ασφάλεια με θειαζιδικά διουρητικά (όπως υδροχλωροθειαζίδη) και αναστολείς διαύλων ασβεστίου (όπως νιφεδιπίνη ελεγχόμενης αποδέσμευσης) χωρίς κλινικά σημαντικές ανεπιθύμητες αλληλεπιδράσεις.</w:t>
      </w:r>
      <w:r w:rsidR="00060FA0" w:rsidRPr="00106D84">
        <w:rPr>
          <w:sz w:val="22"/>
          <w:lang w:val="el-GR"/>
        </w:rPr>
        <w:t xml:space="preserve"> </w:t>
      </w:r>
    </w:p>
    <w:p w:rsidR="00A54809" w:rsidRPr="00106D84" w:rsidRDefault="00A54809">
      <w:pPr>
        <w:tabs>
          <w:tab w:val="left" w:pos="426"/>
          <w:tab w:val="left" w:pos="851"/>
        </w:tabs>
        <w:ind w:left="426"/>
        <w:rPr>
          <w:sz w:val="22"/>
          <w:lang w:val="el-GR"/>
        </w:rPr>
      </w:pPr>
    </w:p>
    <w:p w:rsidR="0018188D" w:rsidRPr="00106D84" w:rsidRDefault="00DD29B6">
      <w:pPr>
        <w:tabs>
          <w:tab w:val="left" w:pos="426"/>
          <w:tab w:val="left" w:pos="851"/>
        </w:tabs>
        <w:ind w:left="426"/>
        <w:rPr>
          <w:sz w:val="22"/>
          <w:lang w:val="el-GR"/>
        </w:rPr>
      </w:pPr>
      <w:r w:rsidRPr="00106D84">
        <w:rPr>
          <w:sz w:val="22"/>
          <w:lang w:val="el-GR"/>
        </w:rPr>
        <w:t xml:space="preserve">Καθώς σε κλινικές μελέτες ελεγχόμενες με εικονικό φάρμακο παρατηρήθηκαν σημαντικά αυξημένες συγκεντρώσεις καλίου στον ορό, και </w:t>
      </w:r>
      <w:r w:rsidR="0018188D" w:rsidRPr="00106D84">
        <w:rPr>
          <w:sz w:val="22"/>
          <w:lang w:val="el-GR"/>
        </w:rPr>
        <w:t>βάσει της εμπειρίας από τη χρήση άλλων φαρμάκων που επηρεάζουν το σύστημα ρενίνης-αγγειοτασίνης-αλδοστερόνης, η συγχορήγηση καλιοσυντηρητικών διουρητικών, συμπληρωμάτων καλίου, υποκατάστατων άλατος που περιέχουν κάλιο ή άλλων φαρμάκων που μπορεί να αυξήσουν τα επίπεδα καλίου στον ορό (π.χ. η ηπαρίνη), μπορεί να οδηγήσουν σε αύξηση του καλίου του ορού.</w:t>
      </w:r>
    </w:p>
    <w:p w:rsidR="00060FA0" w:rsidRPr="00106D84" w:rsidRDefault="00060FA0">
      <w:pPr>
        <w:tabs>
          <w:tab w:val="left" w:pos="426"/>
          <w:tab w:val="left" w:pos="851"/>
        </w:tabs>
        <w:ind w:left="426"/>
        <w:rPr>
          <w:sz w:val="22"/>
          <w:lang w:val="el-GR"/>
        </w:rPr>
      </w:pPr>
    </w:p>
    <w:p w:rsidR="0018188D" w:rsidRPr="00106D84" w:rsidRDefault="0018188D">
      <w:pPr>
        <w:tabs>
          <w:tab w:val="left" w:pos="426"/>
          <w:tab w:val="left" w:pos="851"/>
        </w:tabs>
        <w:ind w:left="426"/>
        <w:rPr>
          <w:sz w:val="22"/>
          <w:lang w:val="el-GR"/>
        </w:rPr>
      </w:pPr>
      <w:r w:rsidRPr="00106D84">
        <w:rPr>
          <w:sz w:val="22"/>
          <w:lang w:val="el-GR"/>
        </w:rPr>
        <w:t>Το αντιυπερτασικό αποτέλεσμα μπορεί να ενισχυθεί με τη συγχορήγηση άλλων αντιυπερτασικών.</w:t>
      </w:r>
    </w:p>
    <w:p w:rsidR="00060FA0" w:rsidRPr="00106D84" w:rsidRDefault="00060FA0">
      <w:pPr>
        <w:tabs>
          <w:tab w:val="left" w:pos="426"/>
          <w:tab w:val="left" w:pos="851"/>
        </w:tabs>
        <w:ind w:left="426"/>
        <w:rPr>
          <w:sz w:val="22"/>
          <w:lang w:val="el-GR"/>
        </w:rPr>
      </w:pPr>
    </w:p>
    <w:p w:rsidR="0018188D" w:rsidRPr="00106D84" w:rsidRDefault="0018188D">
      <w:pPr>
        <w:tabs>
          <w:tab w:val="left" w:pos="426"/>
          <w:tab w:val="left" w:pos="851"/>
        </w:tabs>
        <w:ind w:left="426"/>
        <w:rPr>
          <w:strike/>
          <w:sz w:val="22"/>
          <w:lang w:val="el-GR"/>
        </w:rPr>
      </w:pPr>
      <w:r w:rsidRPr="00106D84">
        <w:rPr>
          <w:sz w:val="22"/>
          <w:lang w:val="el-GR"/>
        </w:rPr>
        <w:t>Κατά τη διάρκεια ταυτόχρονης θεραπείας με σκευάσματα λιθίου και αναστολείς του Μ</w:t>
      </w:r>
      <w:r w:rsidRPr="00106D84">
        <w:rPr>
          <w:sz w:val="22"/>
        </w:rPr>
        <w:t>EA</w:t>
      </w:r>
      <w:r w:rsidRPr="00106D84">
        <w:rPr>
          <w:sz w:val="22"/>
          <w:lang w:val="el-GR"/>
        </w:rPr>
        <w:t>, έχουν αναφερθεί τοξικά φαινόμενα και αναστρέψιμη αύξηση των συγκεντρώσεων του λιθίου στον ορό</w:t>
      </w:r>
      <w:r w:rsidRPr="00106D84">
        <w:rPr>
          <w:sz w:val="22"/>
          <w:szCs w:val="22"/>
          <w:lang w:val="el-GR"/>
        </w:rPr>
        <w:t xml:space="preserve">. </w:t>
      </w:r>
      <w:r w:rsidR="004B58F3" w:rsidRPr="00106D84">
        <w:rPr>
          <w:sz w:val="22"/>
          <w:lang w:val="el-GR"/>
        </w:rPr>
        <w:t>Καθώς, η πιθανότητα να συμβούν τα προαναφερθέντα μετά από χρήση επροσαρτάνης</w:t>
      </w:r>
      <w:r w:rsidR="004B58F3" w:rsidRPr="00106D84">
        <w:rPr>
          <w:b/>
          <w:sz w:val="22"/>
          <w:lang w:val="el-GR"/>
        </w:rPr>
        <w:t xml:space="preserve"> </w:t>
      </w:r>
      <w:r w:rsidRPr="00106D84">
        <w:rPr>
          <w:sz w:val="22"/>
          <w:lang w:val="el-GR"/>
        </w:rPr>
        <w:t>δεν μπορεί να αποκλεισθεί</w:t>
      </w:r>
      <w:r w:rsidR="004B58F3" w:rsidRPr="00106D84">
        <w:rPr>
          <w:sz w:val="22"/>
          <w:lang w:val="el-GR"/>
        </w:rPr>
        <w:t>,</w:t>
      </w:r>
      <w:r w:rsidRPr="00106D84">
        <w:rPr>
          <w:sz w:val="22"/>
          <w:lang w:val="el-GR"/>
        </w:rPr>
        <w:t xml:space="preserve"> συνιστάται προσεκτική παρακολούθηση των επιπέδων λιθίου στον ορό κατά την διάρκεια συγχορήγησης επροσαρτάνης και λιθίου.</w:t>
      </w:r>
    </w:p>
    <w:p w:rsidR="0018188D" w:rsidRPr="00106D84" w:rsidRDefault="0018188D">
      <w:pPr>
        <w:tabs>
          <w:tab w:val="left" w:pos="426"/>
          <w:tab w:val="left" w:pos="851"/>
        </w:tabs>
        <w:rPr>
          <w:sz w:val="22"/>
          <w:lang w:val="el-GR"/>
        </w:rPr>
      </w:pPr>
    </w:p>
    <w:p w:rsidR="00060FA0" w:rsidRDefault="00060FA0" w:rsidP="00060FA0">
      <w:pPr>
        <w:tabs>
          <w:tab w:val="left" w:pos="426"/>
          <w:tab w:val="left" w:pos="851"/>
        </w:tabs>
        <w:ind w:left="426"/>
        <w:rPr>
          <w:sz w:val="22"/>
          <w:lang w:val="el-GR"/>
        </w:rPr>
      </w:pPr>
      <w:r w:rsidRPr="00106D84">
        <w:rPr>
          <w:sz w:val="22"/>
          <w:lang w:val="en-US"/>
        </w:rPr>
        <w:t>In</w:t>
      </w:r>
      <w:r w:rsidRPr="00106D84">
        <w:rPr>
          <w:sz w:val="22"/>
          <w:lang w:val="el-GR"/>
        </w:rPr>
        <w:t xml:space="preserve"> </w:t>
      </w:r>
      <w:r w:rsidRPr="00106D84">
        <w:rPr>
          <w:sz w:val="22"/>
          <w:lang w:val="en-US"/>
        </w:rPr>
        <w:t>vitro</w:t>
      </w:r>
      <w:r w:rsidRPr="00106D84">
        <w:rPr>
          <w:sz w:val="22"/>
          <w:lang w:val="el-GR"/>
        </w:rPr>
        <w:t xml:space="preserve"> </w:t>
      </w:r>
      <w:r w:rsidR="00FE1363">
        <w:rPr>
          <w:sz w:val="22"/>
          <w:lang w:val="el-GR"/>
        </w:rPr>
        <w:t xml:space="preserve">έχει αποδειχθεί ότι </w:t>
      </w:r>
      <w:r w:rsidRPr="00106D84">
        <w:rPr>
          <w:sz w:val="22"/>
          <w:lang w:val="el-GR"/>
        </w:rPr>
        <w:t xml:space="preserve">η επροσαρτάνη δεν αναστέλλει τα ένζυμα του ανθρώπινου κυτοχρώματος Ρ450: </w:t>
      </w:r>
      <w:r w:rsidRPr="00106D84">
        <w:rPr>
          <w:sz w:val="22"/>
          <w:lang w:val="en-US"/>
        </w:rPr>
        <w:t>CYP</w:t>
      </w:r>
      <w:r w:rsidRPr="00106D84">
        <w:rPr>
          <w:sz w:val="22"/>
          <w:lang w:val="el-GR"/>
        </w:rPr>
        <w:t>1</w:t>
      </w:r>
      <w:r w:rsidRPr="00106D84">
        <w:rPr>
          <w:sz w:val="22"/>
          <w:lang w:val="en-US"/>
        </w:rPr>
        <w:t>A</w:t>
      </w:r>
      <w:r w:rsidRPr="00106D84">
        <w:rPr>
          <w:sz w:val="22"/>
          <w:lang w:val="el-GR"/>
        </w:rPr>
        <w:t>, 2</w:t>
      </w:r>
      <w:r w:rsidRPr="00106D84">
        <w:rPr>
          <w:sz w:val="22"/>
          <w:lang w:val="en-US"/>
        </w:rPr>
        <w:t>A</w:t>
      </w:r>
      <w:r w:rsidRPr="00106D84">
        <w:rPr>
          <w:sz w:val="22"/>
          <w:lang w:val="el-GR"/>
        </w:rPr>
        <w:t>6, 2</w:t>
      </w:r>
      <w:r w:rsidRPr="00106D84">
        <w:rPr>
          <w:sz w:val="22"/>
          <w:lang w:val="en-US"/>
        </w:rPr>
        <w:t>C</w:t>
      </w:r>
      <w:r w:rsidRPr="00106D84">
        <w:rPr>
          <w:sz w:val="22"/>
          <w:lang w:val="el-GR"/>
        </w:rPr>
        <w:t>9/8, 2</w:t>
      </w:r>
      <w:r w:rsidRPr="00106D84">
        <w:rPr>
          <w:sz w:val="22"/>
          <w:lang w:val="en-US"/>
        </w:rPr>
        <w:t>C</w:t>
      </w:r>
      <w:r w:rsidRPr="00106D84">
        <w:rPr>
          <w:sz w:val="22"/>
          <w:lang w:val="el-GR"/>
        </w:rPr>
        <w:t>19, 2</w:t>
      </w:r>
      <w:r w:rsidRPr="00106D84">
        <w:rPr>
          <w:sz w:val="22"/>
          <w:lang w:val="en-US"/>
        </w:rPr>
        <w:t>D</w:t>
      </w:r>
      <w:r w:rsidRPr="00106D84">
        <w:rPr>
          <w:sz w:val="22"/>
          <w:lang w:val="el-GR"/>
        </w:rPr>
        <w:t>6, 2</w:t>
      </w:r>
      <w:r w:rsidRPr="00106D84">
        <w:rPr>
          <w:sz w:val="22"/>
          <w:lang w:val="en-US"/>
        </w:rPr>
        <w:t>E</w:t>
      </w:r>
      <w:r w:rsidRPr="00106D84">
        <w:rPr>
          <w:sz w:val="22"/>
          <w:lang w:val="el-GR"/>
        </w:rPr>
        <w:t xml:space="preserve"> και 3Α.</w:t>
      </w:r>
    </w:p>
    <w:p w:rsidR="00FE1363" w:rsidRDefault="00FE1363" w:rsidP="00060FA0">
      <w:pPr>
        <w:tabs>
          <w:tab w:val="left" w:pos="426"/>
          <w:tab w:val="left" w:pos="851"/>
        </w:tabs>
        <w:ind w:left="426"/>
        <w:rPr>
          <w:sz w:val="22"/>
          <w:lang w:val="el-GR"/>
        </w:rPr>
      </w:pPr>
    </w:p>
    <w:p w:rsidR="00FE1363" w:rsidRDefault="00FE1363" w:rsidP="00060FA0">
      <w:pPr>
        <w:tabs>
          <w:tab w:val="left" w:pos="426"/>
          <w:tab w:val="left" w:pos="851"/>
        </w:tabs>
        <w:ind w:left="426"/>
        <w:rPr>
          <w:sz w:val="22"/>
          <w:lang w:val="el-GR"/>
        </w:rPr>
      </w:pPr>
      <w:r>
        <w:rPr>
          <w:sz w:val="22"/>
          <w:lang w:val="el-GR"/>
        </w:rPr>
        <w:t>Όπως και με τους αναστολείς</w:t>
      </w:r>
      <w:r w:rsidR="00DA4024">
        <w:rPr>
          <w:sz w:val="22"/>
          <w:lang w:val="el-GR"/>
        </w:rPr>
        <w:t>-</w:t>
      </w:r>
      <w:r>
        <w:rPr>
          <w:sz w:val="22"/>
          <w:lang w:val="el-GR"/>
        </w:rPr>
        <w:t xml:space="preserve">ΜΕΑ, η ταυτόχρονη χρήση ανταγωνιστών αγγειοτασίνης ΙΙ και ΜΗΣΑΦ μπορεί να οδηγήσει σε αύξηση του κινδύνου επιδείνωσης της νεφρικής λειτουργίας, συμπεριλαμβανομένης πιθανής οξείας νεφρικής ανεπάρκειας, και </w:t>
      </w:r>
      <w:r w:rsidR="00347DA1">
        <w:rPr>
          <w:sz w:val="22"/>
          <w:lang w:val="el-GR"/>
        </w:rPr>
        <w:t xml:space="preserve">αύξησης του καλίου στον ορό, ιδιαίτερα σε ασθενείς με προϋπάρχουσα επιβαρυμένη νεφρική λειτουργία. Ο συνδυασμός πρέπει να χορηγείται </w:t>
      </w:r>
      <w:r w:rsidR="00DA4024">
        <w:rPr>
          <w:sz w:val="22"/>
          <w:lang w:val="el-GR"/>
        </w:rPr>
        <w:t>με</w:t>
      </w:r>
      <w:r w:rsidR="00347DA1">
        <w:rPr>
          <w:sz w:val="22"/>
          <w:lang w:val="el-GR"/>
        </w:rPr>
        <w:t xml:space="preserve"> προσοχή, ιδιαίτερα στους ηλικιωμένους. </w:t>
      </w:r>
      <w:r w:rsidR="00691905">
        <w:rPr>
          <w:sz w:val="22"/>
          <w:lang w:val="el-GR"/>
        </w:rPr>
        <w:t xml:space="preserve">Οι ασθενείς πρέπει να </w:t>
      </w:r>
      <w:r w:rsidR="00705BFC">
        <w:rPr>
          <w:sz w:val="22"/>
          <w:lang w:val="el-GR"/>
        </w:rPr>
        <w:t>είναι επαρκώς ενυδατωμένοι</w:t>
      </w:r>
      <w:r w:rsidR="00691905">
        <w:rPr>
          <w:sz w:val="22"/>
          <w:lang w:val="el-GR"/>
        </w:rPr>
        <w:t xml:space="preserve"> και να λαμβάνεται υπ’ όψη ότι, μετά την έναρξη της συγχορηγούμενης θεραπείας και περιοδικά </w:t>
      </w:r>
      <w:r w:rsidR="00DA4024">
        <w:rPr>
          <w:sz w:val="22"/>
          <w:lang w:val="el-GR"/>
        </w:rPr>
        <w:t>στο εξής</w:t>
      </w:r>
      <w:r w:rsidR="00691905">
        <w:rPr>
          <w:sz w:val="22"/>
          <w:lang w:val="el-GR"/>
        </w:rPr>
        <w:t xml:space="preserve">, πρέπει να παρακολουθείται η νεφρική λειτουργία. </w:t>
      </w:r>
    </w:p>
    <w:p w:rsidR="00691905" w:rsidRPr="003E7F43" w:rsidRDefault="00691905" w:rsidP="00060FA0">
      <w:pPr>
        <w:tabs>
          <w:tab w:val="left" w:pos="426"/>
          <w:tab w:val="left" w:pos="851"/>
        </w:tabs>
        <w:ind w:left="426"/>
        <w:rPr>
          <w:sz w:val="22"/>
          <w:lang w:val="el-GR"/>
        </w:rPr>
      </w:pPr>
      <w:r>
        <w:rPr>
          <w:sz w:val="22"/>
          <w:lang w:val="el-GR"/>
        </w:rPr>
        <w:t>Η παράλληλη χρήση λοσαρτάνης με το ΜΗΣΑΦ ινδομετασίνη οδηγεί σε μείωση της αποτελεσματικότητας του ανταγωνιστή της αγγειοτασίνης ΙΙ και δεν μπορεί να αποκλειστε</w:t>
      </w:r>
      <w:r w:rsidR="00CA2F25">
        <w:rPr>
          <w:sz w:val="22"/>
          <w:lang w:val="el-GR"/>
        </w:rPr>
        <w:t xml:space="preserve">ί </w:t>
      </w:r>
      <w:r w:rsidR="003E7F43">
        <w:rPr>
          <w:sz w:val="22"/>
          <w:lang w:val="el-GR"/>
        </w:rPr>
        <w:t>επίδραση από φ</w:t>
      </w:r>
      <w:r w:rsidR="00DA4024">
        <w:rPr>
          <w:sz w:val="22"/>
          <w:lang w:val="el-GR"/>
        </w:rPr>
        <w:t>ά</w:t>
      </w:r>
      <w:r w:rsidR="003E7F43">
        <w:rPr>
          <w:sz w:val="22"/>
          <w:lang w:val="el-GR"/>
        </w:rPr>
        <w:t>ρμακ</w:t>
      </w:r>
      <w:r w:rsidR="00DA4024">
        <w:rPr>
          <w:sz w:val="22"/>
          <w:lang w:val="el-GR"/>
        </w:rPr>
        <w:t>α της ιδίας</w:t>
      </w:r>
      <w:r w:rsidR="003E7F43">
        <w:rPr>
          <w:sz w:val="22"/>
          <w:lang w:val="el-GR"/>
        </w:rPr>
        <w:t xml:space="preserve"> κατηγορία</w:t>
      </w:r>
      <w:r w:rsidR="00DA4024">
        <w:rPr>
          <w:sz w:val="22"/>
          <w:lang w:val="el-GR"/>
        </w:rPr>
        <w:t>ς</w:t>
      </w:r>
      <w:r w:rsidR="003E7F43">
        <w:rPr>
          <w:sz w:val="22"/>
          <w:lang w:val="el-GR"/>
        </w:rPr>
        <w:t>.</w:t>
      </w:r>
    </w:p>
    <w:p w:rsidR="00060FA0" w:rsidRPr="00106D84" w:rsidRDefault="00060FA0">
      <w:pPr>
        <w:tabs>
          <w:tab w:val="left" w:pos="426"/>
          <w:tab w:val="left" w:pos="851"/>
        </w:tabs>
        <w:rPr>
          <w:sz w:val="22"/>
          <w:lang w:val="el-GR"/>
        </w:rPr>
      </w:pPr>
    </w:p>
    <w:p w:rsidR="0018188D" w:rsidRPr="00106D84" w:rsidRDefault="0018188D">
      <w:pPr>
        <w:tabs>
          <w:tab w:val="left" w:pos="426"/>
          <w:tab w:val="left" w:pos="851"/>
        </w:tabs>
        <w:ind w:left="426"/>
        <w:rPr>
          <w:b/>
          <w:sz w:val="22"/>
          <w:lang w:val="el-GR"/>
        </w:rPr>
      </w:pPr>
      <w:r w:rsidRPr="00106D84">
        <w:rPr>
          <w:b/>
          <w:sz w:val="22"/>
          <w:lang w:val="el-GR"/>
        </w:rPr>
        <w:t>4.6</w:t>
      </w:r>
      <w:r w:rsidRPr="00106D84">
        <w:rPr>
          <w:b/>
          <w:sz w:val="22"/>
          <w:lang w:val="el-GR"/>
        </w:rPr>
        <w:tab/>
        <w:t>Κύηση και γαλουχία</w:t>
      </w:r>
    </w:p>
    <w:p w:rsidR="0018188D" w:rsidRPr="00106D84" w:rsidRDefault="0018188D">
      <w:pPr>
        <w:tabs>
          <w:tab w:val="left" w:pos="426"/>
          <w:tab w:val="left" w:pos="851"/>
        </w:tabs>
        <w:ind w:left="426"/>
        <w:rPr>
          <w:sz w:val="22"/>
          <w:lang w:val="el-GR"/>
        </w:rPr>
      </w:pPr>
    </w:p>
    <w:p w:rsidR="0018188D" w:rsidRPr="00106D84" w:rsidRDefault="0018188D">
      <w:pPr>
        <w:tabs>
          <w:tab w:val="left" w:pos="426"/>
          <w:tab w:val="left" w:pos="851"/>
        </w:tabs>
        <w:ind w:left="426"/>
        <w:rPr>
          <w:sz w:val="22"/>
          <w:lang w:val="el-GR"/>
        </w:rPr>
      </w:pPr>
      <w:r w:rsidRPr="00106D84">
        <w:rPr>
          <w:b/>
          <w:sz w:val="22"/>
          <w:lang w:val="el-GR"/>
        </w:rPr>
        <w:t>Κύηση</w:t>
      </w:r>
      <w:r w:rsidRPr="00106D84">
        <w:rPr>
          <w:sz w:val="22"/>
          <w:lang w:val="el-GR"/>
        </w:rPr>
        <w:t xml:space="preserve">: </w:t>
      </w:r>
    </w:p>
    <w:p w:rsidR="002603FD" w:rsidRPr="00106D84" w:rsidRDefault="002603FD" w:rsidP="002603FD">
      <w:pPr>
        <w:tabs>
          <w:tab w:val="left" w:pos="426"/>
          <w:tab w:val="left" w:pos="851"/>
        </w:tabs>
        <w:ind w:left="426"/>
        <w:rPr>
          <w:sz w:val="22"/>
          <w:lang w:val="el-GR"/>
        </w:rPr>
      </w:pPr>
      <w:r w:rsidRPr="00106D84">
        <w:rPr>
          <w:sz w:val="22"/>
          <w:lang w:val="el-GR"/>
        </w:rPr>
        <w:t>Η χρήση επροσαρτάνης δεν συνιστάται κατά τη διάρκεια του πρώτου τριμήνου της κύησης (βλ. παράγραφο 4.4). Η χρήση επροσαρτάνης αντενδείκνυται κατά τη διάρκεια του δεύτερου και του τρίτου τριμήνου της κύησης (βλ. παραγράφους 4.3 και 4.4).</w:t>
      </w:r>
    </w:p>
    <w:p w:rsidR="002603FD" w:rsidRPr="00106D84" w:rsidRDefault="002603FD" w:rsidP="002603FD">
      <w:pPr>
        <w:tabs>
          <w:tab w:val="left" w:pos="426"/>
          <w:tab w:val="left" w:pos="851"/>
        </w:tabs>
        <w:rPr>
          <w:sz w:val="22"/>
          <w:lang w:val="el-GR"/>
        </w:rPr>
      </w:pPr>
    </w:p>
    <w:p w:rsidR="007F6010" w:rsidRDefault="007F6010" w:rsidP="007F6010">
      <w:pPr>
        <w:tabs>
          <w:tab w:val="left" w:pos="426"/>
          <w:tab w:val="left" w:pos="851"/>
        </w:tabs>
        <w:ind w:left="426"/>
        <w:rPr>
          <w:sz w:val="22"/>
          <w:lang w:val="el-GR"/>
        </w:rPr>
      </w:pPr>
      <w:r w:rsidRPr="00875D9D">
        <w:rPr>
          <w:sz w:val="22"/>
          <w:lang w:val="el-GR"/>
        </w:rPr>
        <w:t xml:space="preserve">Οι επιδημιολογικές ενδείξεις αναφορικά με τον κίνδυνο τερατογόνου </w:t>
      </w:r>
      <w:r>
        <w:rPr>
          <w:sz w:val="22"/>
          <w:lang w:val="el-GR"/>
        </w:rPr>
        <w:t>δράσης</w:t>
      </w:r>
      <w:r w:rsidRPr="00875D9D">
        <w:rPr>
          <w:sz w:val="22"/>
          <w:lang w:val="el-GR"/>
        </w:rPr>
        <w:t xml:space="preserve"> κατόπιν έκθεσης σε αναστολείς ΜΕΑ κατά το πρώτο τρίμηνο της κύησης δεν υπήρξαν </w:t>
      </w:r>
      <w:r w:rsidR="005749FA">
        <w:rPr>
          <w:sz w:val="22"/>
          <w:lang w:val="el-GR"/>
        </w:rPr>
        <w:t>πειστικές</w:t>
      </w:r>
      <w:r w:rsidRPr="00875D9D">
        <w:rPr>
          <w:sz w:val="22"/>
          <w:lang w:val="el-GR"/>
        </w:rPr>
        <w:t xml:space="preserve">, εν τούτοις μία μικρή αύξηση του κινδύνου δεν μπορεί να αποκλεισθεί. Αν και δεν υπάρχουν </w:t>
      </w:r>
      <w:r>
        <w:rPr>
          <w:sz w:val="22"/>
          <w:lang w:val="el-GR"/>
        </w:rPr>
        <w:t>επαληθευμένα</w:t>
      </w:r>
      <w:r w:rsidRPr="00875D9D">
        <w:rPr>
          <w:sz w:val="22"/>
          <w:lang w:val="el-GR"/>
        </w:rPr>
        <w:t xml:space="preserve"> επιδημιολογικά στοιχεία αναφορικά με τον κίνδυνο με </w:t>
      </w:r>
      <w:r>
        <w:rPr>
          <w:sz w:val="22"/>
          <w:lang w:val="el-GR"/>
        </w:rPr>
        <w:t>ανταγων</w:t>
      </w:r>
      <w:r w:rsidRPr="00875D9D">
        <w:rPr>
          <w:sz w:val="22"/>
          <w:lang w:val="el-GR"/>
        </w:rPr>
        <w:t xml:space="preserve">ιστές των υποδοχέων της </w:t>
      </w:r>
      <w:r>
        <w:rPr>
          <w:sz w:val="22"/>
          <w:lang w:val="en-US"/>
        </w:rPr>
        <w:t>A</w:t>
      </w:r>
      <w:r w:rsidRPr="00875D9D">
        <w:rPr>
          <w:sz w:val="22"/>
          <w:lang w:val="el-GR"/>
        </w:rPr>
        <w:t>γγειοτασίνης</w:t>
      </w:r>
      <w:r>
        <w:rPr>
          <w:sz w:val="22"/>
          <w:lang w:val="el-GR"/>
        </w:rPr>
        <w:t>-</w:t>
      </w:r>
      <w:r w:rsidRPr="00875D9D">
        <w:rPr>
          <w:sz w:val="22"/>
          <w:lang w:val="el-GR"/>
        </w:rPr>
        <w:t xml:space="preserve">ΙΙ, παρόμοιοι κίνδυνοι μπορεί να υπάρχουν και για αυτή την κατηγορία των φαρμάκων. Εκτός εάν η </w:t>
      </w:r>
      <w:r>
        <w:rPr>
          <w:sz w:val="22"/>
          <w:lang w:val="el-GR"/>
        </w:rPr>
        <w:t>συνέχιση της</w:t>
      </w:r>
      <w:r w:rsidRPr="00875D9D">
        <w:rPr>
          <w:sz w:val="22"/>
          <w:lang w:val="el-GR"/>
        </w:rPr>
        <w:t xml:space="preserve"> θεραπεία </w:t>
      </w:r>
      <w:r>
        <w:rPr>
          <w:sz w:val="22"/>
          <w:lang w:val="el-GR"/>
        </w:rPr>
        <w:t>με ανταγων</w:t>
      </w:r>
      <w:r w:rsidRPr="00875D9D">
        <w:rPr>
          <w:sz w:val="22"/>
          <w:lang w:val="el-GR"/>
        </w:rPr>
        <w:t xml:space="preserve">ιστές των υποδοχέων της </w:t>
      </w:r>
      <w:r>
        <w:rPr>
          <w:sz w:val="22"/>
          <w:lang w:val="en-US"/>
        </w:rPr>
        <w:t>A</w:t>
      </w:r>
      <w:r w:rsidRPr="00875D9D">
        <w:rPr>
          <w:sz w:val="22"/>
          <w:lang w:val="el-GR"/>
        </w:rPr>
        <w:t>γγειοτασίνης</w:t>
      </w:r>
      <w:r>
        <w:rPr>
          <w:sz w:val="22"/>
          <w:lang w:val="el-GR"/>
        </w:rPr>
        <w:t>-</w:t>
      </w:r>
      <w:r w:rsidRPr="00875D9D">
        <w:rPr>
          <w:sz w:val="22"/>
          <w:lang w:val="el-GR"/>
        </w:rPr>
        <w:t xml:space="preserve">ΙΙ κρίνεται </w:t>
      </w:r>
      <w:r>
        <w:rPr>
          <w:sz w:val="22"/>
          <w:lang w:val="el-GR"/>
        </w:rPr>
        <w:t>ουσιώδης</w:t>
      </w:r>
      <w:r w:rsidRPr="00875D9D">
        <w:rPr>
          <w:sz w:val="22"/>
          <w:lang w:val="el-GR"/>
        </w:rPr>
        <w:t>, οι ασθενείς που σχεδιάζουν να μείνουν έγκυοι θα πρέπει να αλλάξουν σε εναλλακτικ</w:t>
      </w:r>
      <w:r>
        <w:rPr>
          <w:sz w:val="22"/>
          <w:lang w:val="el-GR"/>
        </w:rPr>
        <w:t>ά σχήματα</w:t>
      </w:r>
      <w:r w:rsidRPr="00875D9D">
        <w:rPr>
          <w:sz w:val="22"/>
          <w:lang w:val="el-GR"/>
        </w:rPr>
        <w:t xml:space="preserve"> αντι-ϋπερτασική</w:t>
      </w:r>
      <w:r>
        <w:rPr>
          <w:sz w:val="22"/>
          <w:lang w:val="el-GR"/>
        </w:rPr>
        <w:t>ς</w:t>
      </w:r>
      <w:r w:rsidRPr="00875D9D">
        <w:rPr>
          <w:sz w:val="22"/>
          <w:lang w:val="el-GR"/>
        </w:rPr>
        <w:t xml:space="preserve"> αγωγή</w:t>
      </w:r>
      <w:r>
        <w:rPr>
          <w:sz w:val="22"/>
          <w:lang w:val="el-GR"/>
        </w:rPr>
        <w:t>ς</w:t>
      </w:r>
      <w:r w:rsidRPr="00875D9D">
        <w:rPr>
          <w:sz w:val="22"/>
          <w:lang w:val="el-GR"/>
        </w:rPr>
        <w:t xml:space="preserve"> που να διαθέτ</w:t>
      </w:r>
      <w:r>
        <w:rPr>
          <w:sz w:val="22"/>
          <w:lang w:val="el-GR"/>
        </w:rPr>
        <w:t>ουν</w:t>
      </w:r>
      <w:r w:rsidRPr="00875D9D">
        <w:rPr>
          <w:sz w:val="22"/>
          <w:lang w:val="el-GR"/>
        </w:rPr>
        <w:t xml:space="preserve"> ένα καθιερωμένο προφίλ </w:t>
      </w:r>
      <w:r w:rsidRPr="00875D9D">
        <w:rPr>
          <w:sz w:val="22"/>
          <w:lang w:val="el-GR"/>
        </w:rPr>
        <w:lastRenderedPageBreak/>
        <w:t>ασφαλείας για χρήση σε εγκυμοσύνη. Όταν δια</w:t>
      </w:r>
      <w:r>
        <w:rPr>
          <w:sz w:val="22"/>
          <w:lang w:val="el-GR"/>
        </w:rPr>
        <w:t>πιστω</w:t>
      </w:r>
      <w:r w:rsidRPr="00875D9D">
        <w:rPr>
          <w:sz w:val="22"/>
          <w:lang w:val="el-GR"/>
        </w:rPr>
        <w:t xml:space="preserve">θεί κύηση, η αγωγή με </w:t>
      </w:r>
      <w:r>
        <w:rPr>
          <w:sz w:val="22"/>
          <w:lang w:val="el-GR"/>
        </w:rPr>
        <w:t>ανταγων</w:t>
      </w:r>
      <w:r w:rsidRPr="00875D9D">
        <w:rPr>
          <w:sz w:val="22"/>
          <w:lang w:val="el-GR"/>
        </w:rPr>
        <w:t xml:space="preserve">ιστές των υποδοχέων της </w:t>
      </w:r>
      <w:r>
        <w:rPr>
          <w:sz w:val="22"/>
          <w:lang w:val="en-US"/>
        </w:rPr>
        <w:t>A</w:t>
      </w:r>
      <w:r w:rsidRPr="00875D9D">
        <w:rPr>
          <w:sz w:val="22"/>
          <w:lang w:val="el-GR"/>
        </w:rPr>
        <w:t>γγειοτασίνης</w:t>
      </w:r>
      <w:r>
        <w:rPr>
          <w:sz w:val="22"/>
          <w:lang w:val="el-GR"/>
        </w:rPr>
        <w:t>-</w:t>
      </w:r>
      <w:r w:rsidRPr="00875D9D">
        <w:rPr>
          <w:sz w:val="22"/>
          <w:lang w:val="el-GR"/>
        </w:rPr>
        <w:t xml:space="preserve">ΙΙ θα πρέπει να σταματήσει αμέσως και, εάν απαιτείται, πρέπει να ξεκινήσει εναλλακτική θεραπεία. </w:t>
      </w:r>
    </w:p>
    <w:p w:rsidR="007F6010" w:rsidRPr="00875D9D" w:rsidRDefault="007F6010" w:rsidP="007F6010">
      <w:pPr>
        <w:tabs>
          <w:tab w:val="left" w:pos="426"/>
          <w:tab w:val="left" w:pos="851"/>
        </w:tabs>
        <w:ind w:left="426"/>
        <w:rPr>
          <w:sz w:val="22"/>
          <w:lang w:val="el-GR"/>
        </w:rPr>
      </w:pPr>
      <w:r w:rsidRPr="00875D9D">
        <w:rPr>
          <w:sz w:val="22"/>
          <w:lang w:val="el-GR"/>
        </w:rPr>
        <w:t xml:space="preserve">Έκθεση σε θεραπεία με </w:t>
      </w:r>
      <w:r>
        <w:rPr>
          <w:sz w:val="22"/>
          <w:lang w:val="el-GR"/>
        </w:rPr>
        <w:t>ανταγων</w:t>
      </w:r>
      <w:r w:rsidRPr="00875D9D">
        <w:rPr>
          <w:sz w:val="22"/>
          <w:lang w:val="el-GR"/>
        </w:rPr>
        <w:t xml:space="preserve">ιστές των υποδοχέων της </w:t>
      </w:r>
      <w:r>
        <w:rPr>
          <w:sz w:val="22"/>
          <w:lang w:val="en-US"/>
        </w:rPr>
        <w:t>A</w:t>
      </w:r>
      <w:r w:rsidRPr="00875D9D">
        <w:rPr>
          <w:sz w:val="22"/>
          <w:lang w:val="el-GR"/>
        </w:rPr>
        <w:t>γγειοτασίνης</w:t>
      </w:r>
      <w:r>
        <w:rPr>
          <w:sz w:val="22"/>
          <w:lang w:val="el-GR"/>
        </w:rPr>
        <w:t>-</w:t>
      </w:r>
      <w:r w:rsidRPr="00875D9D">
        <w:rPr>
          <w:sz w:val="22"/>
          <w:lang w:val="el-GR"/>
        </w:rPr>
        <w:t xml:space="preserve">ΙΙ κατά τη διάρκεια του δεύτερου και του τρίτου τριμήνου της κύησης είναι γνωστό πως επάγει φαινόμενα τοξικότητας στο έμβρυο (μειωμένη νεφρική λειτουργία, ολιγοϋδράμνιο, καθυστέρηση κρανιακής οστεοποίησης) και στο νεογνό (νεφρική ανεπάρκεια, υπόταση, υπερκαλιαιμία). </w:t>
      </w:r>
    </w:p>
    <w:p w:rsidR="007F6010" w:rsidRPr="00875D9D" w:rsidRDefault="007F6010" w:rsidP="007F6010">
      <w:pPr>
        <w:tabs>
          <w:tab w:val="left" w:pos="426"/>
          <w:tab w:val="left" w:pos="851"/>
        </w:tabs>
        <w:ind w:left="426"/>
        <w:rPr>
          <w:sz w:val="22"/>
          <w:lang w:val="el-GR"/>
        </w:rPr>
      </w:pPr>
      <w:r w:rsidRPr="00875D9D">
        <w:rPr>
          <w:sz w:val="22"/>
          <w:lang w:val="el-GR"/>
        </w:rPr>
        <w:t xml:space="preserve">Σε περίπτωση που έχει υπάρξει έκθεση στην επροσαρτάνη από το δεύτερο τρίμηνο της κύησης και μετά, συνιστάται ο </w:t>
      </w:r>
      <w:r>
        <w:rPr>
          <w:sz w:val="22"/>
          <w:lang w:val="el-GR"/>
        </w:rPr>
        <w:t xml:space="preserve">υπερηχογραφικός </w:t>
      </w:r>
      <w:r w:rsidRPr="00875D9D">
        <w:rPr>
          <w:sz w:val="22"/>
          <w:lang w:val="el-GR"/>
        </w:rPr>
        <w:t>έλ</w:t>
      </w:r>
      <w:r>
        <w:rPr>
          <w:sz w:val="22"/>
          <w:lang w:val="el-GR"/>
        </w:rPr>
        <w:t>ε</w:t>
      </w:r>
      <w:r w:rsidRPr="00875D9D">
        <w:rPr>
          <w:sz w:val="22"/>
          <w:lang w:val="el-GR"/>
        </w:rPr>
        <w:t xml:space="preserve">γχος της νεφρικής λειτουργίας και του κρανίου. </w:t>
      </w:r>
    </w:p>
    <w:p w:rsidR="007F6010" w:rsidRPr="00875D9D" w:rsidRDefault="007F6010" w:rsidP="007F6010">
      <w:pPr>
        <w:tabs>
          <w:tab w:val="left" w:pos="426"/>
          <w:tab w:val="left" w:pos="851"/>
        </w:tabs>
        <w:ind w:left="426"/>
        <w:rPr>
          <w:sz w:val="22"/>
          <w:lang w:val="el-GR"/>
        </w:rPr>
      </w:pPr>
      <w:r w:rsidRPr="00875D9D">
        <w:rPr>
          <w:sz w:val="22"/>
          <w:lang w:val="el-GR"/>
        </w:rPr>
        <w:t xml:space="preserve">Βρέφη των οποίων οι μητέρες έλαβαν </w:t>
      </w:r>
      <w:r>
        <w:rPr>
          <w:sz w:val="22"/>
          <w:lang w:val="el-GR"/>
        </w:rPr>
        <w:t>ανταγων</w:t>
      </w:r>
      <w:r w:rsidRPr="00875D9D">
        <w:rPr>
          <w:sz w:val="22"/>
          <w:lang w:val="el-GR"/>
        </w:rPr>
        <w:t xml:space="preserve">ιστές των υποδοχέων της </w:t>
      </w:r>
      <w:r>
        <w:rPr>
          <w:sz w:val="22"/>
          <w:lang w:val="en-US"/>
        </w:rPr>
        <w:t>A</w:t>
      </w:r>
      <w:r w:rsidRPr="00875D9D">
        <w:rPr>
          <w:sz w:val="22"/>
          <w:lang w:val="el-GR"/>
        </w:rPr>
        <w:t>γγειοτασίνης</w:t>
      </w:r>
      <w:r>
        <w:rPr>
          <w:sz w:val="22"/>
          <w:lang w:val="el-GR"/>
        </w:rPr>
        <w:t>-</w:t>
      </w:r>
      <w:r w:rsidRPr="00875D9D">
        <w:rPr>
          <w:sz w:val="22"/>
          <w:lang w:val="el-GR"/>
        </w:rPr>
        <w:t xml:space="preserve">ΙΙ θα πρέπει να παρακολουθούνται στενά για υπόταση (βλ. παραγράφους 4.3 και 4.4). </w:t>
      </w:r>
    </w:p>
    <w:p w:rsidR="006453AC" w:rsidRPr="00106D84" w:rsidRDefault="006453AC">
      <w:pPr>
        <w:tabs>
          <w:tab w:val="left" w:pos="426"/>
          <w:tab w:val="left" w:pos="851"/>
        </w:tabs>
        <w:ind w:left="426"/>
        <w:rPr>
          <w:b/>
          <w:sz w:val="22"/>
          <w:lang w:val="el-GR"/>
        </w:rPr>
      </w:pPr>
    </w:p>
    <w:p w:rsidR="0018188D" w:rsidRPr="00106D84" w:rsidRDefault="0018188D">
      <w:pPr>
        <w:tabs>
          <w:tab w:val="left" w:pos="426"/>
          <w:tab w:val="left" w:pos="851"/>
        </w:tabs>
        <w:ind w:left="426"/>
        <w:rPr>
          <w:sz w:val="22"/>
          <w:lang w:val="el-GR"/>
        </w:rPr>
      </w:pPr>
      <w:r w:rsidRPr="00106D84">
        <w:rPr>
          <w:b/>
          <w:sz w:val="22"/>
          <w:lang w:val="el-GR"/>
        </w:rPr>
        <w:t>Γαλουχία</w:t>
      </w:r>
      <w:r w:rsidRPr="00106D84">
        <w:rPr>
          <w:sz w:val="22"/>
          <w:lang w:val="el-GR"/>
        </w:rPr>
        <w:t>:</w:t>
      </w:r>
    </w:p>
    <w:p w:rsidR="00331D09" w:rsidRPr="00106D84" w:rsidRDefault="00331D09" w:rsidP="00331D09">
      <w:pPr>
        <w:tabs>
          <w:tab w:val="left" w:pos="426"/>
          <w:tab w:val="left" w:pos="851"/>
        </w:tabs>
        <w:ind w:left="426"/>
        <w:rPr>
          <w:sz w:val="22"/>
          <w:lang w:val="el-GR"/>
        </w:rPr>
      </w:pPr>
      <w:r w:rsidRPr="00106D84">
        <w:rPr>
          <w:sz w:val="22"/>
          <w:lang w:val="el-GR"/>
        </w:rPr>
        <w:t xml:space="preserve">Καθώς δεν υπάρχουν διαθέσιμες πληροφορίες αναφορικά με τη χρήση της επροσαρτάνης κατά τη γαλουχία, η επροσαρτάνη δεν συνιστάται κατά τη γαλουχία – ιδιαίτερα όταν θηλάζει νεογέννητο ή πρόωρο νήπιο - και είναι προτιμότερα εναλλακτικά σχήματα αγωγής με περισσότερο καθιερωμένο προφίλ ασφαλείας.  </w:t>
      </w:r>
    </w:p>
    <w:p w:rsidR="0018188D" w:rsidRPr="00106D84" w:rsidRDefault="0018188D">
      <w:pPr>
        <w:tabs>
          <w:tab w:val="left" w:pos="426"/>
          <w:tab w:val="left" w:pos="851"/>
        </w:tabs>
        <w:rPr>
          <w:b/>
          <w:sz w:val="22"/>
          <w:lang w:val="el-GR"/>
        </w:rPr>
      </w:pPr>
    </w:p>
    <w:p w:rsidR="0018188D" w:rsidRPr="00106D84" w:rsidRDefault="0018188D">
      <w:pPr>
        <w:tabs>
          <w:tab w:val="left" w:pos="426"/>
          <w:tab w:val="left" w:pos="851"/>
        </w:tabs>
        <w:ind w:left="426"/>
        <w:rPr>
          <w:b/>
          <w:sz w:val="22"/>
          <w:lang w:val="el-GR"/>
        </w:rPr>
      </w:pPr>
      <w:r w:rsidRPr="00106D84">
        <w:rPr>
          <w:b/>
          <w:sz w:val="22"/>
          <w:lang w:val="el-GR"/>
        </w:rPr>
        <w:t>4.7</w:t>
      </w:r>
      <w:r w:rsidRPr="00106D84">
        <w:rPr>
          <w:b/>
          <w:sz w:val="22"/>
          <w:lang w:val="el-GR"/>
        </w:rPr>
        <w:tab/>
        <w:t>Επίδραση στην ικανότητα οδήγησης και χειρισμού μηχανημάτων</w:t>
      </w:r>
    </w:p>
    <w:p w:rsidR="0018188D" w:rsidRPr="00106D84" w:rsidRDefault="0018188D">
      <w:pPr>
        <w:tabs>
          <w:tab w:val="left" w:pos="426"/>
          <w:tab w:val="left" w:pos="851"/>
        </w:tabs>
        <w:ind w:left="426"/>
        <w:rPr>
          <w:sz w:val="22"/>
          <w:lang w:val="el-GR"/>
        </w:rPr>
      </w:pPr>
    </w:p>
    <w:p w:rsidR="0018188D" w:rsidRPr="00106D84" w:rsidRDefault="0018188D">
      <w:pPr>
        <w:tabs>
          <w:tab w:val="left" w:pos="426"/>
          <w:tab w:val="left" w:pos="851"/>
        </w:tabs>
        <w:ind w:left="426"/>
        <w:rPr>
          <w:sz w:val="22"/>
          <w:lang w:val="el-GR"/>
        </w:rPr>
      </w:pPr>
      <w:r w:rsidRPr="00106D84">
        <w:rPr>
          <w:sz w:val="22"/>
          <w:lang w:val="el-GR"/>
        </w:rPr>
        <w:t>Η δράση της επροσαρτάνης στην ικανότητα οδήγησης και χειρισμού μηχανημάτων δεν έχει μελετηθεί, αλλά με βάση τις φαρμα</w:t>
      </w:r>
      <w:r w:rsidR="009B7039" w:rsidRPr="00106D84">
        <w:rPr>
          <w:sz w:val="22"/>
          <w:lang w:val="el-GR"/>
        </w:rPr>
        <w:t>κο</w:t>
      </w:r>
      <w:r w:rsidRPr="00106D84">
        <w:rPr>
          <w:sz w:val="22"/>
          <w:lang w:val="el-GR"/>
        </w:rPr>
        <w:t>δυναμικές της ιδιότητες είναι απίθανο να</w:t>
      </w:r>
      <w:r w:rsidR="00A44EB2" w:rsidRPr="00106D84">
        <w:rPr>
          <w:sz w:val="22"/>
          <w:lang w:val="el-GR"/>
        </w:rPr>
        <w:t xml:space="preserve"> επηρεάζει την ικανότητα αυτή. </w:t>
      </w:r>
      <w:r w:rsidRPr="00106D84">
        <w:rPr>
          <w:sz w:val="22"/>
          <w:lang w:val="el-GR"/>
        </w:rPr>
        <w:t>Κατά την οδήγηση οχημάτων ή το χειρισμό μηχανημάτων θα πρέπει να λαμβάνεται υπ’ όψη ότι περιστασιακά μπορεί να εμφανιστεί αίσθημα ζάλης ή κ</w:t>
      </w:r>
      <w:r w:rsidR="00775597" w:rsidRPr="00106D84">
        <w:rPr>
          <w:sz w:val="22"/>
          <w:lang w:val="el-GR"/>
        </w:rPr>
        <w:t>όπω</w:t>
      </w:r>
      <w:r w:rsidRPr="00106D84">
        <w:rPr>
          <w:sz w:val="22"/>
          <w:lang w:val="el-GR"/>
        </w:rPr>
        <w:t>σης κατά την αντιυπερτασική</w:t>
      </w:r>
      <w:r w:rsidRPr="00106D84">
        <w:rPr>
          <w:i/>
          <w:sz w:val="22"/>
          <w:lang w:val="el-GR"/>
        </w:rPr>
        <w:t xml:space="preserve"> </w:t>
      </w:r>
      <w:r w:rsidRPr="00106D84">
        <w:rPr>
          <w:sz w:val="22"/>
          <w:lang w:val="el-GR"/>
        </w:rPr>
        <w:t xml:space="preserve">αγωγή </w:t>
      </w:r>
      <w:r w:rsidRPr="00106D84">
        <w:rPr>
          <w:i/>
          <w:sz w:val="22"/>
          <w:lang w:val="el-GR"/>
        </w:rPr>
        <w:t>.</w:t>
      </w:r>
      <w:r w:rsidRPr="00106D84">
        <w:rPr>
          <w:sz w:val="22"/>
          <w:lang w:val="el-GR"/>
        </w:rPr>
        <w:t xml:space="preserve"> </w:t>
      </w:r>
    </w:p>
    <w:p w:rsidR="0018188D" w:rsidRPr="00106D84" w:rsidRDefault="0018188D">
      <w:pPr>
        <w:tabs>
          <w:tab w:val="left" w:pos="426"/>
          <w:tab w:val="left" w:pos="851"/>
        </w:tabs>
        <w:ind w:left="426"/>
        <w:rPr>
          <w:sz w:val="22"/>
          <w:lang w:val="el-GR"/>
        </w:rPr>
      </w:pPr>
    </w:p>
    <w:p w:rsidR="0018188D" w:rsidRPr="00106D84" w:rsidRDefault="0018188D">
      <w:pPr>
        <w:tabs>
          <w:tab w:val="left" w:pos="426"/>
          <w:tab w:val="left" w:pos="851"/>
        </w:tabs>
        <w:ind w:left="426"/>
        <w:rPr>
          <w:b/>
          <w:sz w:val="22"/>
          <w:lang w:val="el-GR"/>
        </w:rPr>
      </w:pPr>
      <w:r w:rsidRPr="00106D84">
        <w:rPr>
          <w:b/>
          <w:sz w:val="22"/>
          <w:lang w:val="el-GR"/>
        </w:rPr>
        <w:t>4.8</w:t>
      </w:r>
      <w:r w:rsidRPr="00106D84">
        <w:rPr>
          <w:b/>
          <w:sz w:val="22"/>
          <w:lang w:val="el-GR"/>
        </w:rPr>
        <w:tab/>
        <w:t>Ανεπιθύμητες Ενέργειες</w:t>
      </w:r>
    </w:p>
    <w:p w:rsidR="0018188D" w:rsidRPr="00106D84" w:rsidRDefault="0018188D">
      <w:pPr>
        <w:pStyle w:val="20"/>
        <w:tabs>
          <w:tab w:val="left" w:pos="851"/>
        </w:tabs>
        <w:rPr>
          <w:sz w:val="22"/>
          <w:lang w:val="el-GR"/>
        </w:rPr>
      </w:pPr>
    </w:p>
    <w:p w:rsidR="00987981" w:rsidRDefault="00987981">
      <w:pPr>
        <w:pStyle w:val="20"/>
        <w:tabs>
          <w:tab w:val="left" w:pos="851"/>
        </w:tabs>
        <w:rPr>
          <w:sz w:val="22"/>
          <w:lang w:val="el-GR"/>
        </w:rPr>
      </w:pPr>
      <w:r>
        <w:rPr>
          <w:sz w:val="22"/>
          <w:lang w:val="el-GR"/>
        </w:rPr>
        <w:t>Οι πιο συχνά αναφερόμενες ανεπιθύμητες ενέργειες σε ασθενείς που βρίσκονται σε αγωγή επροσαρτάνης είναι η κεφαλαλγία και ακαθόριστα συμπτώματα του γαστρεντερικού που παρατηρούνται στο 11% και 8% αντιστο</w:t>
      </w:r>
      <w:r w:rsidR="00DA4024">
        <w:rPr>
          <w:sz w:val="22"/>
          <w:lang w:val="el-GR"/>
        </w:rPr>
        <w:t>ί</w:t>
      </w:r>
      <w:r>
        <w:rPr>
          <w:sz w:val="22"/>
          <w:lang w:val="el-GR"/>
        </w:rPr>
        <w:t xml:space="preserve">χως περίπου των ασθενών. </w:t>
      </w:r>
    </w:p>
    <w:p w:rsidR="00987981" w:rsidRDefault="00987981">
      <w:pPr>
        <w:pStyle w:val="20"/>
        <w:tabs>
          <w:tab w:val="left" w:pos="851"/>
        </w:tabs>
        <w:rPr>
          <w:sz w:val="22"/>
          <w:lang w:val="el-GR"/>
        </w:rPr>
      </w:pPr>
    </w:p>
    <w:p w:rsidR="00987981" w:rsidRDefault="00987981">
      <w:pPr>
        <w:pStyle w:val="20"/>
        <w:tabs>
          <w:tab w:val="left" w:pos="851"/>
        </w:tabs>
        <w:rPr>
          <w:sz w:val="22"/>
          <w:lang w:val="el-GR"/>
        </w:rPr>
      </w:pPr>
      <w:r w:rsidRPr="00106D84">
        <w:rPr>
          <w:b/>
          <w:sz w:val="22"/>
          <w:lang w:val="el-GR"/>
        </w:rPr>
        <w:t>ΑΝΕΠΙΘΥΜΗΤΕΣ ΕΝΕΡΓΕΙΕΣ ΑΠΟ ΑΣΘΕΝΕΙΣ ΠΟΥ ΕΛΑΒΑΝ ΑΓΩΓΗ ΕΠΡΟΣΑΡΤΑΝΗΣ ΣΕ ΚΛΙΝΙΚΕΣ ΜΕΛΕΤΕΣ</w:t>
      </w:r>
      <w:r w:rsidRPr="00106D84">
        <w:rPr>
          <w:sz w:val="22"/>
          <w:lang w:val="el-GR"/>
        </w:rPr>
        <w:t xml:space="preserve"> </w:t>
      </w:r>
      <w:r>
        <w:rPr>
          <w:sz w:val="22"/>
          <w:lang w:val="el-GR"/>
        </w:rPr>
        <w:t xml:space="preserve">(ν = 2316). </w:t>
      </w:r>
    </w:p>
    <w:p w:rsidR="00987981" w:rsidRDefault="00987981">
      <w:pPr>
        <w:pStyle w:val="20"/>
        <w:tabs>
          <w:tab w:val="left" w:pos="851"/>
        </w:tabs>
        <w:rPr>
          <w:sz w:val="22"/>
          <w:lang w:val="el-GR"/>
        </w:rPr>
      </w:pPr>
    </w:p>
    <w:tbl>
      <w:tblPr>
        <w:tblW w:w="8024"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68"/>
        <w:gridCol w:w="2012"/>
        <w:gridCol w:w="1800"/>
        <w:gridCol w:w="2144"/>
      </w:tblGrid>
      <w:tr w:rsidR="00E7045C" w:rsidRPr="00106D84" w:rsidTr="00762DF7">
        <w:trPr>
          <w:trHeight w:val="878"/>
        </w:trPr>
        <w:tc>
          <w:tcPr>
            <w:tcW w:w="2068" w:type="dxa"/>
          </w:tcPr>
          <w:p w:rsidR="00E7045C" w:rsidRPr="00106D84" w:rsidRDefault="00E7045C" w:rsidP="00E7045C">
            <w:pPr>
              <w:tabs>
                <w:tab w:val="left" w:pos="-112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48"/>
              </w:tabs>
              <w:jc w:val="left"/>
              <w:rPr>
                <w:sz w:val="22"/>
                <w:szCs w:val="22"/>
                <w:lang w:val="el-GR"/>
              </w:rPr>
            </w:pPr>
            <w:r w:rsidRPr="00106D84">
              <w:rPr>
                <w:sz w:val="22"/>
                <w:szCs w:val="22"/>
                <w:lang w:val="el-GR"/>
              </w:rPr>
              <w:t xml:space="preserve">Κατηγορία οργάνων κατά το σύστημα </w:t>
            </w:r>
            <w:r w:rsidRPr="00106D84">
              <w:rPr>
                <w:sz w:val="22"/>
                <w:szCs w:val="22"/>
              </w:rPr>
              <w:t>MedDRA</w:t>
            </w:r>
            <w:r w:rsidRPr="00106D84">
              <w:rPr>
                <w:sz w:val="22"/>
                <w:szCs w:val="22"/>
                <w:lang w:val="el-GR"/>
              </w:rPr>
              <w:t xml:space="preserve"> </w:t>
            </w:r>
          </w:p>
        </w:tc>
        <w:tc>
          <w:tcPr>
            <w:tcW w:w="2012" w:type="dxa"/>
          </w:tcPr>
          <w:p w:rsidR="00E7045C" w:rsidRPr="00106D84" w:rsidRDefault="00E7045C" w:rsidP="00C654C3">
            <w:pPr>
              <w:tabs>
                <w:tab w:val="left" w:pos="-112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48"/>
              </w:tabs>
              <w:rPr>
                <w:sz w:val="22"/>
                <w:szCs w:val="22"/>
                <w:lang w:val="el-GR"/>
              </w:rPr>
            </w:pPr>
            <w:r>
              <w:rPr>
                <w:sz w:val="22"/>
                <w:szCs w:val="22"/>
                <w:lang w:val="el-GR"/>
              </w:rPr>
              <w:t xml:space="preserve">Πολύ </w:t>
            </w:r>
            <w:r w:rsidR="00DA4024">
              <w:rPr>
                <w:sz w:val="22"/>
                <w:szCs w:val="22"/>
                <w:lang w:val="el-GR"/>
              </w:rPr>
              <w:t>κοιν</w:t>
            </w:r>
            <w:r>
              <w:rPr>
                <w:sz w:val="22"/>
                <w:szCs w:val="22"/>
                <w:lang w:val="el-GR"/>
              </w:rPr>
              <w:t xml:space="preserve">ές </w:t>
            </w:r>
            <w:r w:rsidRPr="00106D84">
              <w:rPr>
                <w:sz w:val="22"/>
                <w:szCs w:val="22"/>
                <w:u w:val="single"/>
                <w:lang w:val="el-GR"/>
              </w:rPr>
              <w:t>&gt;</w:t>
            </w:r>
            <w:r w:rsidRPr="00106D84">
              <w:rPr>
                <w:sz w:val="22"/>
                <w:szCs w:val="22"/>
                <w:lang w:val="el-GR"/>
              </w:rPr>
              <w:t>1/10</w:t>
            </w:r>
          </w:p>
        </w:tc>
        <w:tc>
          <w:tcPr>
            <w:tcW w:w="1800" w:type="dxa"/>
          </w:tcPr>
          <w:p w:rsidR="00E7045C" w:rsidRPr="00106D84" w:rsidRDefault="00E7045C" w:rsidP="00987981">
            <w:pPr>
              <w:tabs>
                <w:tab w:val="left" w:pos="-112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48"/>
              </w:tabs>
              <w:rPr>
                <w:sz w:val="22"/>
                <w:szCs w:val="22"/>
                <w:lang w:val="el-GR"/>
              </w:rPr>
            </w:pPr>
            <w:r w:rsidRPr="00106D84">
              <w:rPr>
                <w:sz w:val="22"/>
                <w:szCs w:val="22"/>
                <w:lang w:val="el-GR"/>
              </w:rPr>
              <w:t xml:space="preserve"> Συνήθεις </w:t>
            </w:r>
          </w:p>
          <w:p w:rsidR="00E7045C" w:rsidRPr="00106D84" w:rsidRDefault="00E7045C" w:rsidP="00987981">
            <w:pPr>
              <w:tabs>
                <w:tab w:val="left" w:pos="-112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48"/>
              </w:tabs>
              <w:rPr>
                <w:sz w:val="22"/>
                <w:szCs w:val="22"/>
                <w:lang w:val="el-GR"/>
              </w:rPr>
            </w:pPr>
            <w:r w:rsidRPr="00106D84">
              <w:rPr>
                <w:sz w:val="22"/>
                <w:szCs w:val="22"/>
                <w:u w:val="single"/>
                <w:lang w:val="el-GR"/>
              </w:rPr>
              <w:t>&gt;</w:t>
            </w:r>
            <w:r w:rsidRPr="00106D84">
              <w:rPr>
                <w:sz w:val="22"/>
                <w:szCs w:val="22"/>
                <w:lang w:val="el-GR"/>
              </w:rPr>
              <w:t>1/100</w:t>
            </w:r>
            <w:r w:rsidR="00762DF7">
              <w:rPr>
                <w:sz w:val="22"/>
                <w:szCs w:val="22"/>
                <w:lang w:val="el-GR"/>
              </w:rPr>
              <w:t xml:space="preserve"> έως</w:t>
            </w:r>
            <w:r w:rsidRPr="00106D84">
              <w:rPr>
                <w:sz w:val="22"/>
                <w:szCs w:val="22"/>
                <w:lang w:val="el-GR"/>
              </w:rPr>
              <w:t xml:space="preserve"> &lt;1/10</w:t>
            </w:r>
          </w:p>
        </w:tc>
        <w:tc>
          <w:tcPr>
            <w:tcW w:w="2144" w:type="dxa"/>
          </w:tcPr>
          <w:p w:rsidR="00E7045C" w:rsidRPr="00106D84" w:rsidRDefault="00DA4024" w:rsidP="00987981">
            <w:pPr>
              <w:tabs>
                <w:tab w:val="left" w:pos="-112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48"/>
              </w:tabs>
              <w:rPr>
                <w:sz w:val="22"/>
                <w:szCs w:val="22"/>
                <w:lang w:val="el-GR"/>
              </w:rPr>
            </w:pPr>
            <w:r>
              <w:rPr>
                <w:sz w:val="22"/>
                <w:szCs w:val="22"/>
                <w:lang w:val="el-GR"/>
              </w:rPr>
              <w:t>Α</w:t>
            </w:r>
            <w:r w:rsidR="00E7045C" w:rsidRPr="00106D84">
              <w:rPr>
                <w:sz w:val="22"/>
                <w:szCs w:val="22"/>
                <w:lang w:val="el-GR"/>
              </w:rPr>
              <w:t xml:space="preserve">συνήθεις </w:t>
            </w:r>
          </w:p>
          <w:p w:rsidR="00E7045C" w:rsidRPr="00106D84" w:rsidRDefault="00E7045C" w:rsidP="00987981">
            <w:pPr>
              <w:tabs>
                <w:tab w:val="left" w:pos="-112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48"/>
              </w:tabs>
              <w:rPr>
                <w:sz w:val="22"/>
                <w:szCs w:val="22"/>
                <w:lang w:val="el-GR"/>
              </w:rPr>
            </w:pPr>
            <w:r w:rsidRPr="00106D84">
              <w:rPr>
                <w:sz w:val="22"/>
                <w:szCs w:val="22"/>
                <w:u w:val="single"/>
                <w:lang w:val="el-GR"/>
              </w:rPr>
              <w:t>&gt;</w:t>
            </w:r>
            <w:r w:rsidRPr="00106D84">
              <w:rPr>
                <w:sz w:val="22"/>
                <w:szCs w:val="22"/>
                <w:lang w:val="el-GR"/>
              </w:rPr>
              <w:t>1/1.000</w:t>
            </w:r>
            <w:r w:rsidR="00762DF7">
              <w:rPr>
                <w:sz w:val="22"/>
                <w:szCs w:val="22"/>
                <w:lang w:val="el-GR"/>
              </w:rPr>
              <w:t xml:space="preserve"> έως</w:t>
            </w:r>
            <w:r w:rsidRPr="00106D84">
              <w:rPr>
                <w:sz w:val="22"/>
                <w:szCs w:val="22"/>
                <w:lang w:val="el-GR"/>
              </w:rPr>
              <w:t xml:space="preserve"> &lt;1/100</w:t>
            </w:r>
          </w:p>
        </w:tc>
      </w:tr>
      <w:tr w:rsidR="00E7045C" w:rsidRPr="00106D84" w:rsidTr="00762DF7">
        <w:trPr>
          <w:trHeight w:val="590"/>
        </w:trPr>
        <w:tc>
          <w:tcPr>
            <w:tcW w:w="2068" w:type="dxa"/>
          </w:tcPr>
          <w:p w:rsidR="00E7045C" w:rsidRPr="00106D84" w:rsidRDefault="00E7045C" w:rsidP="00E7045C">
            <w:pPr>
              <w:jc w:val="left"/>
              <w:rPr>
                <w:sz w:val="22"/>
                <w:szCs w:val="22"/>
                <w:lang w:val="el-GR"/>
              </w:rPr>
            </w:pPr>
            <w:r>
              <w:rPr>
                <w:sz w:val="22"/>
                <w:szCs w:val="22"/>
                <w:lang w:val="el-GR"/>
              </w:rPr>
              <w:t>Διαταραχές του ανοσοποιητικού</w:t>
            </w:r>
          </w:p>
        </w:tc>
        <w:tc>
          <w:tcPr>
            <w:tcW w:w="2012" w:type="dxa"/>
          </w:tcPr>
          <w:p w:rsidR="00E7045C" w:rsidRPr="00106D84" w:rsidRDefault="00E7045C" w:rsidP="00C654C3">
            <w:pPr>
              <w:tabs>
                <w:tab w:val="left" w:pos="-112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48"/>
              </w:tabs>
              <w:rPr>
                <w:sz w:val="22"/>
                <w:szCs w:val="22"/>
                <w:lang w:val="el-GR"/>
              </w:rPr>
            </w:pPr>
          </w:p>
        </w:tc>
        <w:tc>
          <w:tcPr>
            <w:tcW w:w="1800" w:type="dxa"/>
          </w:tcPr>
          <w:p w:rsidR="00E7045C" w:rsidRPr="00106D84" w:rsidRDefault="00E7045C" w:rsidP="00C654C3">
            <w:pPr>
              <w:tabs>
                <w:tab w:val="left" w:pos="-112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48"/>
              </w:tabs>
              <w:rPr>
                <w:sz w:val="22"/>
                <w:szCs w:val="22"/>
                <w:lang w:val="el-GR"/>
              </w:rPr>
            </w:pPr>
          </w:p>
        </w:tc>
        <w:tc>
          <w:tcPr>
            <w:tcW w:w="2144" w:type="dxa"/>
          </w:tcPr>
          <w:p w:rsidR="00E7045C" w:rsidRPr="00106D84" w:rsidRDefault="00E7045C" w:rsidP="00C654C3">
            <w:pPr>
              <w:tabs>
                <w:tab w:val="left" w:pos="-112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48"/>
              </w:tabs>
              <w:rPr>
                <w:sz w:val="22"/>
                <w:szCs w:val="22"/>
                <w:lang w:val="el-GR"/>
              </w:rPr>
            </w:pPr>
            <w:r>
              <w:rPr>
                <w:sz w:val="22"/>
                <w:szCs w:val="22"/>
                <w:lang w:val="el-GR"/>
              </w:rPr>
              <w:t>Υπερευαισθησία *</w:t>
            </w:r>
          </w:p>
        </w:tc>
      </w:tr>
      <w:tr w:rsidR="00E7045C" w:rsidRPr="00106D84" w:rsidTr="00762DF7">
        <w:trPr>
          <w:trHeight w:val="950"/>
        </w:trPr>
        <w:tc>
          <w:tcPr>
            <w:tcW w:w="2068" w:type="dxa"/>
          </w:tcPr>
          <w:p w:rsidR="00E7045C" w:rsidRPr="00106D84" w:rsidRDefault="00E7045C" w:rsidP="00E7045C">
            <w:pPr>
              <w:tabs>
                <w:tab w:val="left" w:pos="-112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48"/>
              </w:tabs>
              <w:jc w:val="left"/>
              <w:rPr>
                <w:sz w:val="22"/>
                <w:szCs w:val="22"/>
                <w:lang w:val="el-GR"/>
              </w:rPr>
            </w:pPr>
            <w:r w:rsidRPr="00106D84">
              <w:rPr>
                <w:sz w:val="22"/>
                <w:szCs w:val="22"/>
                <w:lang w:val="el-GR"/>
              </w:rPr>
              <w:t>Διαταραχές του νευρικού συστήματος</w:t>
            </w:r>
          </w:p>
        </w:tc>
        <w:tc>
          <w:tcPr>
            <w:tcW w:w="2012" w:type="dxa"/>
          </w:tcPr>
          <w:p w:rsidR="00E7045C" w:rsidRPr="00106D84" w:rsidRDefault="00E7045C" w:rsidP="00C654C3">
            <w:pPr>
              <w:tabs>
                <w:tab w:val="left" w:pos="-112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48"/>
              </w:tabs>
              <w:rPr>
                <w:sz w:val="22"/>
                <w:szCs w:val="22"/>
                <w:lang w:val="el-GR"/>
              </w:rPr>
            </w:pPr>
            <w:r w:rsidRPr="00106D84">
              <w:rPr>
                <w:sz w:val="22"/>
                <w:lang w:val="el-GR"/>
              </w:rPr>
              <w:t>Κεφαλαλγία</w:t>
            </w:r>
            <w:r>
              <w:rPr>
                <w:sz w:val="22"/>
                <w:lang w:val="el-GR"/>
              </w:rPr>
              <w:t xml:space="preserve"> *</w:t>
            </w:r>
          </w:p>
        </w:tc>
        <w:tc>
          <w:tcPr>
            <w:tcW w:w="1800" w:type="dxa"/>
          </w:tcPr>
          <w:p w:rsidR="00E7045C" w:rsidRPr="00106D84" w:rsidRDefault="00E7045C" w:rsidP="00C654C3">
            <w:pPr>
              <w:tabs>
                <w:tab w:val="left" w:pos="-112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48"/>
              </w:tabs>
              <w:rPr>
                <w:sz w:val="22"/>
                <w:szCs w:val="22"/>
                <w:lang w:val="el-GR"/>
              </w:rPr>
            </w:pPr>
            <w:r>
              <w:rPr>
                <w:sz w:val="22"/>
                <w:lang w:val="el-GR"/>
              </w:rPr>
              <w:t>Ζ</w:t>
            </w:r>
            <w:r w:rsidRPr="00106D84">
              <w:rPr>
                <w:sz w:val="22"/>
                <w:lang w:val="el-GR"/>
              </w:rPr>
              <w:t>άλη</w:t>
            </w:r>
            <w:r>
              <w:rPr>
                <w:sz w:val="22"/>
                <w:lang w:val="el-GR"/>
              </w:rPr>
              <w:t xml:space="preserve"> *</w:t>
            </w:r>
          </w:p>
        </w:tc>
        <w:tc>
          <w:tcPr>
            <w:tcW w:w="2144" w:type="dxa"/>
          </w:tcPr>
          <w:p w:rsidR="00E7045C" w:rsidRPr="00106D84" w:rsidRDefault="00E7045C" w:rsidP="00C654C3">
            <w:pPr>
              <w:tabs>
                <w:tab w:val="left" w:pos="-112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48"/>
              </w:tabs>
              <w:rPr>
                <w:sz w:val="22"/>
                <w:szCs w:val="22"/>
                <w:lang w:val="el-GR"/>
              </w:rPr>
            </w:pPr>
          </w:p>
        </w:tc>
      </w:tr>
      <w:tr w:rsidR="00E7045C" w:rsidRPr="00106D84" w:rsidTr="00762DF7">
        <w:trPr>
          <w:trHeight w:val="650"/>
        </w:trPr>
        <w:tc>
          <w:tcPr>
            <w:tcW w:w="2068" w:type="dxa"/>
          </w:tcPr>
          <w:p w:rsidR="00E7045C" w:rsidRPr="00106D84" w:rsidRDefault="00E7045C" w:rsidP="00C654C3">
            <w:pPr>
              <w:jc w:val="left"/>
              <w:rPr>
                <w:sz w:val="22"/>
                <w:szCs w:val="22"/>
                <w:lang w:val="el-GR"/>
              </w:rPr>
            </w:pPr>
            <w:r w:rsidRPr="00106D84">
              <w:rPr>
                <w:sz w:val="22"/>
                <w:szCs w:val="22"/>
                <w:lang w:val="el-GR"/>
              </w:rPr>
              <w:t>Αγγειακές διαταραχές</w:t>
            </w:r>
          </w:p>
        </w:tc>
        <w:tc>
          <w:tcPr>
            <w:tcW w:w="2012" w:type="dxa"/>
          </w:tcPr>
          <w:p w:rsidR="00E7045C" w:rsidRPr="00106D84" w:rsidRDefault="00E7045C" w:rsidP="00C654C3">
            <w:pPr>
              <w:tabs>
                <w:tab w:val="left" w:pos="-112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48"/>
              </w:tabs>
              <w:rPr>
                <w:sz w:val="22"/>
                <w:szCs w:val="22"/>
                <w:lang w:val="el-GR"/>
              </w:rPr>
            </w:pPr>
          </w:p>
        </w:tc>
        <w:tc>
          <w:tcPr>
            <w:tcW w:w="1800" w:type="dxa"/>
          </w:tcPr>
          <w:p w:rsidR="00E7045C" w:rsidRPr="00106D84" w:rsidRDefault="00E7045C" w:rsidP="00C654C3">
            <w:pPr>
              <w:tabs>
                <w:tab w:val="left" w:pos="-112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48"/>
              </w:tabs>
              <w:rPr>
                <w:color w:val="000000"/>
                <w:sz w:val="22"/>
                <w:szCs w:val="22"/>
                <w:lang w:val="el-GR"/>
              </w:rPr>
            </w:pPr>
          </w:p>
        </w:tc>
        <w:tc>
          <w:tcPr>
            <w:tcW w:w="2144" w:type="dxa"/>
          </w:tcPr>
          <w:p w:rsidR="00E7045C" w:rsidRPr="00106D84" w:rsidRDefault="00E7045C" w:rsidP="00C654C3">
            <w:pPr>
              <w:tabs>
                <w:tab w:val="left" w:pos="-112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48"/>
              </w:tabs>
              <w:rPr>
                <w:sz w:val="22"/>
                <w:szCs w:val="22"/>
                <w:lang w:val="el-GR"/>
              </w:rPr>
            </w:pPr>
            <w:r w:rsidRPr="00106D84">
              <w:rPr>
                <w:sz w:val="22"/>
                <w:lang w:val="el-GR"/>
              </w:rPr>
              <w:t>Υπόταση</w:t>
            </w:r>
          </w:p>
        </w:tc>
      </w:tr>
      <w:tr w:rsidR="00E7045C" w:rsidRPr="00106D84" w:rsidTr="00762DF7">
        <w:trPr>
          <w:trHeight w:val="1430"/>
        </w:trPr>
        <w:tc>
          <w:tcPr>
            <w:tcW w:w="2068" w:type="dxa"/>
          </w:tcPr>
          <w:p w:rsidR="00E7045C" w:rsidRPr="00106D84" w:rsidRDefault="00E7045C" w:rsidP="00C654C3">
            <w:pPr>
              <w:jc w:val="left"/>
              <w:rPr>
                <w:sz w:val="22"/>
                <w:szCs w:val="22"/>
                <w:lang w:val="el-GR"/>
              </w:rPr>
            </w:pPr>
            <w:r w:rsidRPr="00106D84">
              <w:rPr>
                <w:sz w:val="22"/>
                <w:szCs w:val="22"/>
                <w:lang w:val="el-GR"/>
              </w:rPr>
              <w:lastRenderedPageBreak/>
              <w:t>Διαταραχές του αναπνευστικού συστήματος, του θώρακα και του μεσοθωρακίου</w:t>
            </w:r>
          </w:p>
        </w:tc>
        <w:tc>
          <w:tcPr>
            <w:tcW w:w="2012" w:type="dxa"/>
          </w:tcPr>
          <w:p w:rsidR="00E7045C" w:rsidRPr="00106D84" w:rsidRDefault="00E7045C" w:rsidP="00C654C3">
            <w:pPr>
              <w:tabs>
                <w:tab w:val="left" w:pos="-112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48"/>
              </w:tabs>
              <w:rPr>
                <w:sz w:val="22"/>
                <w:szCs w:val="22"/>
                <w:lang w:val="el-GR"/>
              </w:rPr>
            </w:pPr>
          </w:p>
        </w:tc>
        <w:tc>
          <w:tcPr>
            <w:tcW w:w="1800" w:type="dxa"/>
          </w:tcPr>
          <w:p w:rsidR="00E7045C" w:rsidRPr="00106D84" w:rsidRDefault="00E7045C" w:rsidP="00C654C3">
            <w:pPr>
              <w:tabs>
                <w:tab w:val="left" w:pos="-112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48"/>
              </w:tabs>
              <w:rPr>
                <w:color w:val="000000"/>
                <w:sz w:val="22"/>
                <w:szCs w:val="22"/>
                <w:lang w:val="el-GR"/>
              </w:rPr>
            </w:pPr>
            <w:r w:rsidRPr="00106D84">
              <w:rPr>
                <w:sz w:val="22"/>
                <w:lang w:val="el-GR"/>
              </w:rPr>
              <w:t>Ρινίτιδα</w:t>
            </w:r>
          </w:p>
        </w:tc>
        <w:tc>
          <w:tcPr>
            <w:tcW w:w="2144" w:type="dxa"/>
          </w:tcPr>
          <w:p w:rsidR="00E7045C" w:rsidRPr="00106D84" w:rsidRDefault="00E7045C" w:rsidP="00C654C3">
            <w:pPr>
              <w:tabs>
                <w:tab w:val="left" w:pos="-112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48"/>
              </w:tabs>
              <w:rPr>
                <w:sz w:val="22"/>
                <w:szCs w:val="22"/>
                <w:lang w:val="el-GR"/>
              </w:rPr>
            </w:pPr>
          </w:p>
        </w:tc>
      </w:tr>
      <w:tr w:rsidR="00E7045C" w:rsidRPr="00106D84" w:rsidTr="00762DF7">
        <w:trPr>
          <w:trHeight w:val="1490"/>
        </w:trPr>
        <w:tc>
          <w:tcPr>
            <w:tcW w:w="2068" w:type="dxa"/>
          </w:tcPr>
          <w:p w:rsidR="00E7045C" w:rsidRPr="00106D84" w:rsidRDefault="00E7045C" w:rsidP="00C654C3">
            <w:pPr>
              <w:jc w:val="left"/>
              <w:rPr>
                <w:sz w:val="22"/>
                <w:szCs w:val="22"/>
                <w:lang w:val="el-GR"/>
              </w:rPr>
            </w:pPr>
            <w:r w:rsidRPr="00106D84">
              <w:rPr>
                <w:sz w:val="22"/>
                <w:szCs w:val="22"/>
                <w:lang w:val="el-GR"/>
              </w:rPr>
              <w:t>Διαταραχές του δέρματος και του υποδόριου ιστού</w:t>
            </w:r>
          </w:p>
        </w:tc>
        <w:tc>
          <w:tcPr>
            <w:tcW w:w="2012" w:type="dxa"/>
          </w:tcPr>
          <w:p w:rsidR="00E7045C" w:rsidRPr="00106D84" w:rsidRDefault="00E7045C" w:rsidP="00C654C3">
            <w:pPr>
              <w:tabs>
                <w:tab w:val="left" w:pos="-112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48"/>
              </w:tabs>
              <w:rPr>
                <w:sz w:val="22"/>
                <w:lang w:val="el-GR"/>
              </w:rPr>
            </w:pPr>
          </w:p>
        </w:tc>
        <w:tc>
          <w:tcPr>
            <w:tcW w:w="1800" w:type="dxa"/>
          </w:tcPr>
          <w:p w:rsidR="00E7045C" w:rsidRPr="00106D84" w:rsidRDefault="00E7045C" w:rsidP="00E7045C">
            <w:pPr>
              <w:pStyle w:val="20"/>
              <w:tabs>
                <w:tab w:val="left" w:pos="851"/>
              </w:tabs>
              <w:ind w:left="0"/>
              <w:jc w:val="left"/>
              <w:rPr>
                <w:sz w:val="22"/>
                <w:szCs w:val="22"/>
                <w:lang w:val="el-GR"/>
              </w:rPr>
            </w:pPr>
            <w:r w:rsidRPr="00106D84">
              <w:rPr>
                <w:sz w:val="22"/>
                <w:szCs w:val="22"/>
                <w:lang w:val="el-GR"/>
              </w:rPr>
              <w:t>Αλλεργικές δερματικές αντιδράσεις (π</w:t>
            </w:r>
            <w:r>
              <w:rPr>
                <w:sz w:val="22"/>
                <w:szCs w:val="22"/>
                <w:lang w:val="el-GR"/>
              </w:rPr>
              <w:t>.</w:t>
            </w:r>
            <w:r w:rsidRPr="00106D84">
              <w:rPr>
                <w:sz w:val="22"/>
                <w:szCs w:val="22"/>
                <w:lang w:val="el-GR"/>
              </w:rPr>
              <w:t>χ. εξάνθημα, κνησμός).</w:t>
            </w:r>
          </w:p>
          <w:p w:rsidR="00E7045C" w:rsidRPr="00106D84" w:rsidRDefault="00E7045C" w:rsidP="00C654C3">
            <w:pPr>
              <w:tabs>
                <w:tab w:val="left" w:pos="-112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48"/>
              </w:tabs>
              <w:rPr>
                <w:color w:val="000000"/>
                <w:sz w:val="22"/>
                <w:szCs w:val="22"/>
                <w:lang w:val="el-GR"/>
              </w:rPr>
            </w:pPr>
          </w:p>
        </w:tc>
        <w:tc>
          <w:tcPr>
            <w:tcW w:w="2144" w:type="dxa"/>
          </w:tcPr>
          <w:p w:rsidR="00E7045C" w:rsidRPr="00106D84" w:rsidRDefault="00E7045C" w:rsidP="00C654C3">
            <w:pPr>
              <w:tabs>
                <w:tab w:val="left" w:pos="-112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48"/>
              </w:tabs>
              <w:rPr>
                <w:sz w:val="22"/>
                <w:szCs w:val="22"/>
                <w:lang w:val="el-GR"/>
              </w:rPr>
            </w:pPr>
            <w:r>
              <w:rPr>
                <w:sz w:val="22"/>
                <w:szCs w:val="22"/>
                <w:lang w:val="el-GR"/>
              </w:rPr>
              <w:t>Α</w:t>
            </w:r>
            <w:r w:rsidRPr="00106D84">
              <w:rPr>
                <w:sz w:val="22"/>
                <w:szCs w:val="22"/>
                <w:lang w:val="el-GR"/>
              </w:rPr>
              <w:t>γγειοοίδημα</w:t>
            </w:r>
            <w:r>
              <w:rPr>
                <w:sz w:val="22"/>
                <w:szCs w:val="22"/>
                <w:lang w:val="el-GR"/>
              </w:rPr>
              <w:t xml:space="preserve"> *</w:t>
            </w:r>
          </w:p>
        </w:tc>
      </w:tr>
      <w:tr w:rsidR="00E7045C" w:rsidRPr="00106D84" w:rsidTr="00762DF7">
        <w:trPr>
          <w:trHeight w:val="1430"/>
        </w:trPr>
        <w:tc>
          <w:tcPr>
            <w:tcW w:w="2068" w:type="dxa"/>
          </w:tcPr>
          <w:p w:rsidR="00E7045C" w:rsidRPr="00106D84" w:rsidRDefault="00E7045C" w:rsidP="00C654C3">
            <w:pPr>
              <w:jc w:val="left"/>
              <w:rPr>
                <w:sz w:val="22"/>
                <w:szCs w:val="22"/>
                <w:lang w:val="el-GR"/>
              </w:rPr>
            </w:pPr>
            <w:r w:rsidRPr="00106D84">
              <w:rPr>
                <w:sz w:val="22"/>
                <w:szCs w:val="22"/>
                <w:lang w:val="el-GR"/>
              </w:rPr>
              <w:t>Διαταραχές του γαστρεντερικού συστήματος</w:t>
            </w:r>
          </w:p>
        </w:tc>
        <w:tc>
          <w:tcPr>
            <w:tcW w:w="2012" w:type="dxa"/>
          </w:tcPr>
          <w:p w:rsidR="00E7045C" w:rsidRPr="00106D84" w:rsidRDefault="00E7045C" w:rsidP="00C654C3">
            <w:pPr>
              <w:tabs>
                <w:tab w:val="left" w:pos="-112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48"/>
              </w:tabs>
              <w:rPr>
                <w:sz w:val="22"/>
                <w:lang w:val="el-GR"/>
              </w:rPr>
            </w:pPr>
          </w:p>
        </w:tc>
        <w:tc>
          <w:tcPr>
            <w:tcW w:w="1800" w:type="dxa"/>
          </w:tcPr>
          <w:p w:rsidR="00E7045C" w:rsidRPr="00106D84" w:rsidRDefault="00E7045C" w:rsidP="00E7045C">
            <w:pPr>
              <w:tabs>
                <w:tab w:val="left" w:pos="-112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48"/>
              </w:tabs>
              <w:jc w:val="left"/>
              <w:rPr>
                <w:color w:val="000000"/>
                <w:sz w:val="22"/>
                <w:szCs w:val="22"/>
                <w:lang w:val="el-GR"/>
              </w:rPr>
            </w:pPr>
            <w:r>
              <w:rPr>
                <w:sz w:val="22"/>
                <w:lang w:val="el-GR"/>
              </w:rPr>
              <w:t>Γ</w:t>
            </w:r>
            <w:r w:rsidRPr="00106D84">
              <w:rPr>
                <w:sz w:val="22"/>
                <w:lang w:val="el-GR"/>
              </w:rPr>
              <w:t xml:space="preserve">ενικές </w:t>
            </w:r>
            <w:r w:rsidRPr="00106D84">
              <w:rPr>
                <w:sz w:val="22"/>
                <w:szCs w:val="22"/>
                <w:lang w:val="el-GR"/>
              </w:rPr>
              <w:t>γαστρεντερικές ενοχλήσεις</w:t>
            </w:r>
            <w:r w:rsidRPr="00106D84">
              <w:rPr>
                <w:sz w:val="22"/>
                <w:lang w:val="el-GR"/>
              </w:rPr>
              <w:t xml:space="preserve"> </w:t>
            </w:r>
            <w:r>
              <w:rPr>
                <w:sz w:val="22"/>
                <w:lang w:val="el-GR"/>
              </w:rPr>
              <w:t>(π.χ. ν</w:t>
            </w:r>
            <w:r w:rsidRPr="00106D84">
              <w:rPr>
                <w:sz w:val="22"/>
                <w:lang w:val="el-GR"/>
              </w:rPr>
              <w:t xml:space="preserve">αυτία, διάρροια, </w:t>
            </w:r>
            <w:r>
              <w:rPr>
                <w:sz w:val="22"/>
                <w:lang w:val="el-GR"/>
              </w:rPr>
              <w:t>έμετος)</w:t>
            </w:r>
          </w:p>
        </w:tc>
        <w:tc>
          <w:tcPr>
            <w:tcW w:w="2144" w:type="dxa"/>
          </w:tcPr>
          <w:p w:rsidR="00E7045C" w:rsidRPr="00106D84" w:rsidRDefault="00E7045C" w:rsidP="00C654C3">
            <w:pPr>
              <w:tabs>
                <w:tab w:val="left" w:pos="-112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48"/>
              </w:tabs>
              <w:rPr>
                <w:sz w:val="22"/>
                <w:szCs w:val="22"/>
                <w:lang w:val="el-GR"/>
              </w:rPr>
            </w:pPr>
          </w:p>
        </w:tc>
      </w:tr>
      <w:tr w:rsidR="00E7045C" w:rsidRPr="00106D84" w:rsidTr="00762DF7">
        <w:trPr>
          <w:trHeight w:val="950"/>
        </w:trPr>
        <w:tc>
          <w:tcPr>
            <w:tcW w:w="2068" w:type="dxa"/>
          </w:tcPr>
          <w:p w:rsidR="00E7045C" w:rsidRPr="00106D84" w:rsidRDefault="00E7045C" w:rsidP="00C654C3">
            <w:pPr>
              <w:jc w:val="left"/>
              <w:rPr>
                <w:sz w:val="22"/>
                <w:szCs w:val="22"/>
                <w:lang w:val="el-GR"/>
              </w:rPr>
            </w:pPr>
            <w:r w:rsidRPr="00106D84">
              <w:rPr>
                <w:sz w:val="22"/>
                <w:szCs w:val="22"/>
                <w:lang w:val="el-GR"/>
              </w:rPr>
              <w:t>Γενικές διαταραχές και αντιδράσεις στην οδό χορήγησης</w:t>
            </w:r>
          </w:p>
        </w:tc>
        <w:tc>
          <w:tcPr>
            <w:tcW w:w="2012" w:type="dxa"/>
          </w:tcPr>
          <w:p w:rsidR="00E7045C" w:rsidRPr="00106D84" w:rsidRDefault="00E7045C" w:rsidP="00C654C3">
            <w:pPr>
              <w:tabs>
                <w:tab w:val="left" w:pos="-112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48"/>
              </w:tabs>
              <w:rPr>
                <w:sz w:val="22"/>
                <w:lang w:val="el-GR"/>
              </w:rPr>
            </w:pPr>
          </w:p>
        </w:tc>
        <w:tc>
          <w:tcPr>
            <w:tcW w:w="1800" w:type="dxa"/>
          </w:tcPr>
          <w:p w:rsidR="00E7045C" w:rsidRPr="00106D84" w:rsidRDefault="00E7045C" w:rsidP="00C654C3">
            <w:pPr>
              <w:tabs>
                <w:tab w:val="left" w:pos="-112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48"/>
              </w:tabs>
              <w:rPr>
                <w:color w:val="000000"/>
                <w:sz w:val="22"/>
                <w:szCs w:val="22"/>
                <w:lang w:val="el-GR"/>
              </w:rPr>
            </w:pPr>
            <w:r w:rsidRPr="00106D84">
              <w:rPr>
                <w:sz w:val="22"/>
                <w:lang w:val="el-GR"/>
              </w:rPr>
              <w:t>Εξασθένιση</w:t>
            </w:r>
          </w:p>
        </w:tc>
        <w:tc>
          <w:tcPr>
            <w:tcW w:w="2144" w:type="dxa"/>
          </w:tcPr>
          <w:p w:rsidR="00E7045C" w:rsidRPr="00106D84" w:rsidRDefault="00E7045C" w:rsidP="00C654C3">
            <w:pPr>
              <w:tabs>
                <w:tab w:val="left" w:pos="-112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48"/>
              </w:tabs>
              <w:rPr>
                <w:sz w:val="22"/>
                <w:szCs w:val="22"/>
                <w:lang w:val="el-GR"/>
              </w:rPr>
            </w:pPr>
          </w:p>
        </w:tc>
      </w:tr>
    </w:tbl>
    <w:p w:rsidR="00987981" w:rsidRDefault="00E7045C">
      <w:pPr>
        <w:pStyle w:val="20"/>
        <w:tabs>
          <w:tab w:val="left" w:pos="851"/>
        </w:tabs>
        <w:rPr>
          <w:sz w:val="22"/>
          <w:lang w:val="el-GR"/>
        </w:rPr>
      </w:pPr>
      <w:r>
        <w:rPr>
          <w:sz w:val="22"/>
          <w:lang w:val="el-GR"/>
        </w:rPr>
        <w:t>* Δεν παρατηρήθηκε σε υψηλότερη συχνότητα από το εικονικό φάρμακο.</w:t>
      </w:r>
    </w:p>
    <w:p w:rsidR="00987981" w:rsidRDefault="00987981">
      <w:pPr>
        <w:pStyle w:val="20"/>
        <w:tabs>
          <w:tab w:val="left" w:pos="851"/>
        </w:tabs>
        <w:rPr>
          <w:sz w:val="22"/>
          <w:lang w:val="el-GR"/>
        </w:rPr>
      </w:pPr>
    </w:p>
    <w:p w:rsidR="007C5F5D" w:rsidRPr="00106D84" w:rsidRDefault="007C5F5D" w:rsidP="007C5F5D">
      <w:pPr>
        <w:pStyle w:val="20"/>
        <w:tabs>
          <w:tab w:val="left" w:pos="851"/>
        </w:tabs>
        <w:rPr>
          <w:sz w:val="22"/>
          <w:lang w:val="el-GR"/>
        </w:rPr>
      </w:pPr>
    </w:p>
    <w:p w:rsidR="007C5F5D" w:rsidRPr="00106D84" w:rsidRDefault="007C5F5D" w:rsidP="007C5F5D">
      <w:pPr>
        <w:pStyle w:val="20"/>
        <w:tabs>
          <w:tab w:val="left" w:pos="851"/>
        </w:tabs>
        <w:rPr>
          <w:sz w:val="22"/>
          <w:lang w:val="el-GR"/>
        </w:rPr>
      </w:pPr>
      <w:r w:rsidRPr="00106D84">
        <w:rPr>
          <w:sz w:val="22"/>
          <w:lang w:val="el-GR"/>
        </w:rPr>
        <w:t>Εκτός των ανεπιθύμητων ενεργειών που αναφέρθηκαν κατά τις κλινικές μελέτες, οι ακόλουθες ανεπιθύμητες ενέργειες έχουν αναφερθεί αυθόρμητα μετά την κυκλοφορία της επροσαρτάνης. Η συχνότητα δεν μπορεί να εκτιμηθεί σύμφωνα με τα διαθέσιμα δεδομένα (άγνωστη).</w:t>
      </w:r>
    </w:p>
    <w:p w:rsidR="007C5F5D" w:rsidRPr="00106D84" w:rsidRDefault="007C5F5D" w:rsidP="007C5F5D">
      <w:pPr>
        <w:pStyle w:val="20"/>
        <w:tabs>
          <w:tab w:val="left" w:pos="851"/>
        </w:tabs>
        <w:rPr>
          <w:sz w:val="22"/>
          <w:lang w:val="el-GR"/>
        </w:rPr>
      </w:pPr>
    </w:p>
    <w:p w:rsidR="007C5F5D" w:rsidRPr="00106D84" w:rsidRDefault="007C5F5D" w:rsidP="007C5F5D">
      <w:pPr>
        <w:pStyle w:val="20"/>
        <w:tabs>
          <w:tab w:val="left" w:pos="851"/>
        </w:tabs>
        <w:rPr>
          <w:b/>
          <w:sz w:val="22"/>
          <w:lang w:val="el-GR"/>
        </w:rPr>
      </w:pPr>
      <w:r w:rsidRPr="00106D84">
        <w:rPr>
          <w:b/>
          <w:sz w:val="22"/>
          <w:lang w:val="el-GR"/>
        </w:rPr>
        <w:t>Διαταραχές των νεφρών και των ουροφόρων οδών</w:t>
      </w:r>
    </w:p>
    <w:p w:rsidR="007C5F5D" w:rsidRPr="00106D84" w:rsidRDefault="007C5F5D" w:rsidP="007C5F5D">
      <w:pPr>
        <w:pStyle w:val="20"/>
        <w:tabs>
          <w:tab w:val="left" w:pos="851"/>
        </w:tabs>
        <w:rPr>
          <w:sz w:val="22"/>
          <w:lang w:val="el-GR"/>
        </w:rPr>
      </w:pPr>
      <w:r w:rsidRPr="00106D84">
        <w:rPr>
          <w:sz w:val="22"/>
          <w:lang w:val="el-GR"/>
        </w:rPr>
        <w:t xml:space="preserve">Μειωμένη νεφρική λειτουργία συμπεριλαμβανομένης νεφρικής ανεπάρκειας σε ασθενείς σε κίνδυνο (π.χ. στένωση νεφρικής αρτηρίας). </w:t>
      </w:r>
    </w:p>
    <w:p w:rsidR="00CA38B4" w:rsidRPr="00106D84" w:rsidRDefault="00CA38B4" w:rsidP="00CA38B4">
      <w:pPr>
        <w:pStyle w:val="20"/>
        <w:tabs>
          <w:tab w:val="left" w:pos="851"/>
        </w:tabs>
        <w:rPr>
          <w:sz w:val="22"/>
          <w:lang w:val="el-GR"/>
        </w:rPr>
      </w:pPr>
    </w:p>
    <w:p w:rsidR="0018188D" w:rsidRPr="00106D84" w:rsidRDefault="0018188D">
      <w:pPr>
        <w:tabs>
          <w:tab w:val="left" w:pos="426"/>
          <w:tab w:val="left" w:pos="851"/>
        </w:tabs>
        <w:ind w:left="426"/>
        <w:rPr>
          <w:b/>
          <w:sz w:val="22"/>
          <w:lang w:val="el-GR"/>
        </w:rPr>
      </w:pPr>
      <w:r w:rsidRPr="00106D84">
        <w:rPr>
          <w:b/>
          <w:sz w:val="22"/>
          <w:lang w:val="el-GR"/>
        </w:rPr>
        <w:t>4.9</w:t>
      </w:r>
      <w:r w:rsidRPr="00106D84">
        <w:rPr>
          <w:b/>
          <w:sz w:val="22"/>
          <w:lang w:val="el-GR"/>
        </w:rPr>
        <w:tab/>
        <w:t>Υπερδοσολογία</w:t>
      </w:r>
    </w:p>
    <w:p w:rsidR="0018188D" w:rsidRPr="00106D84" w:rsidRDefault="0018188D">
      <w:pPr>
        <w:tabs>
          <w:tab w:val="left" w:pos="426"/>
          <w:tab w:val="left" w:pos="851"/>
        </w:tabs>
        <w:ind w:left="426"/>
        <w:rPr>
          <w:sz w:val="22"/>
          <w:lang w:val="el-GR"/>
        </w:rPr>
      </w:pPr>
    </w:p>
    <w:p w:rsidR="0018188D" w:rsidRPr="00106D84" w:rsidRDefault="0018188D">
      <w:pPr>
        <w:tabs>
          <w:tab w:val="left" w:pos="426"/>
          <w:tab w:val="left" w:pos="851"/>
        </w:tabs>
        <w:ind w:left="426"/>
        <w:rPr>
          <w:sz w:val="22"/>
          <w:lang w:val="el-GR"/>
        </w:rPr>
      </w:pPr>
      <w:r w:rsidRPr="00106D84">
        <w:rPr>
          <w:sz w:val="22"/>
          <w:lang w:val="el-GR"/>
        </w:rPr>
        <w:t xml:space="preserve">Περιορισμένα δεδομένα υπάρχουν αναφορικά με την υπέρβαση της δοσολογίας στον άνθρωπο. </w:t>
      </w:r>
      <w:r w:rsidR="003F6C6E" w:rsidRPr="00106D84">
        <w:rPr>
          <w:sz w:val="22"/>
          <w:lang w:val="el-GR"/>
        </w:rPr>
        <w:t xml:space="preserve">Η επροσαρτάνη έγινε καλά ανεκτή μετά από του στόματος </w:t>
      </w:r>
      <w:r w:rsidR="00F76E8C" w:rsidRPr="00106D84">
        <w:rPr>
          <w:sz w:val="22"/>
          <w:lang w:val="el-GR"/>
        </w:rPr>
        <w:t>χορήγηση</w:t>
      </w:r>
      <w:r w:rsidR="003F6C6E" w:rsidRPr="00106D84">
        <w:rPr>
          <w:sz w:val="22"/>
          <w:lang w:val="el-GR"/>
        </w:rPr>
        <w:t xml:space="preserve"> (η μέγιστη </w:t>
      </w:r>
      <w:r w:rsidR="00484BC9" w:rsidRPr="00106D84">
        <w:rPr>
          <w:sz w:val="22"/>
          <w:lang w:val="el-GR"/>
        </w:rPr>
        <w:t>μοναδιαία</w:t>
      </w:r>
      <w:r w:rsidR="003F6C6E" w:rsidRPr="00106D84">
        <w:rPr>
          <w:sz w:val="22"/>
          <w:lang w:val="el-GR"/>
        </w:rPr>
        <w:t xml:space="preserve"> δόση που έχει ληφθεί από τον άνθρωπο έως σήμερα είναι 1200</w:t>
      </w:r>
      <w:r w:rsidR="003F6C6E" w:rsidRPr="00106D84">
        <w:rPr>
          <w:sz w:val="22"/>
          <w:lang w:val="en-US"/>
        </w:rPr>
        <w:t>mg</w:t>
      </w:r>
      <w:r w:rsidR="003F6C6E" w:rsidRPr="00106D84">
        <w:rPr>
          <w:sz w:val="22"/>
          <w:lang w:val="el-GR"/>
        </w:rPr>
        <w:t xml:space="preserve">). </w:t>
      </w:r>
      <w:r w:rsidRPr="00106D84">
        <w:rPr>
          <w:sz w:val="22"/>
          <w:lang w:val="el-GR"/>
        </w:rPr>
        <w:t>Η πιθανότερη εκδήλωση της υπ</w:t>
      </w:r>
      <w:r w:rsidR="00175CEA" w:rsidRPr="00106D84">
        <w:rPr>
          <w:sz w:val="22"/>
          <w:lang w:val="el-GR"/>
        </w:rPr>
        <w:t>ερδοσολογίας θα ήταν η υπόταση.</w:t>
      </w:r>
      <w:r w:rsidRPr="00106D84">
        <w:rPr>
          <w:sz w:val="22"/>
          <w:lang w:val="el-GR"/>
        </w:rPr>
        <w:t xml:space="preserve"> Εάν εμφανιστεί συμπτωματική υπόταση, πρέπει να αρχίσει υποστηρικτική αγωγή. </w:t>
      </w:r>
    </w:p>
    <w:p w:rsidR="0018188D" w:rsidRPr="00106D84" w:rsidRDefault="0018188D">
      <w:pPr>
        <w:tabs>
          <w:tab w:val="left" w:pos="426"/>
          <w:tab w:val="left" w:pos="851"/>
        </w:tabs>
        <w:rPr>
          <w:sz w:val="22"/>
          <w:lang w:val="el-GR"/>
        </w:rPr>
      </w:pPr>
    </w:p>
    <w:p w:rsidR="0018188D" w:rsidRPr="00106D84" w:rsidRDefault="0018188D">
      <w:pPr>
        <w:tabs>
          <w:tab w:val="left" w:pos="426"/>
          <w:tab w:val="left" w:pos="851"/>
        </w:tabs>
        <w:rPr>
          <w:b/>
          <w:sz w:val="22"/>
          <w:u w:val="single"/>
          <w:lang w:val="el-GR"/>
        </w:rPr>
      </w:pPr>
      <w:r w:rsidRPr="00106D84">
        <w:rPr>
          <w:b/>
          <w:sz w:val="22"/>
          <w:lang w:val="el-GR"/>
        </w:rPr>
        <w:t>5.</w:t>
      </w:r>
      <w:r w:rsidRPr="00106D84">
        <w:rPr>
          <w:b/>
          <w:sz w:val="22"/>
          <w:lang w:val="el-GR"/>
        </w:rPr>
        <w:tab/>
      </w:r>
      <w:r w:rsidRPr="00106D84">
        <w:rPr>
          <w:b/>
          <w:sz w:val="22"/>
          <w:u w:val="single"/>
          <w:lang w:val="el-GR"/>
        </w:rPr>
        <w:t>ΦΑΡΜΑΚΟΛΟΓΙΚΕΣ ΙΔΙΟΤΗΤΕΣ</w:t>
      </w:r>
    </w:p>
    <w:p w:rsidR="0018188D" w:rsidRPr="00106D84" w:rsidRDefault="0018188D">
      <w:pPr>
        <w:tabs>
          <w:tab w:val="left" w:pos="426"/>
          <w:tab w:val="left" w:pos="851"/>
        </w:tabs>
        <w:rPr>
          <w:sz w:val="22"/>
          <w:lang w:val="el-GR"/>
        </w:rPr>
      </w:pPr>
    </w:p>
    <w:p w:rsidR="0018188D" w:rsidRPr="00106D84" w:rsidRDefault="0018188D">
      <w:pPr>
        <w:tabs>
          <w:tab w:val="left" w:pos="426"/>
          <w:tab w:val="left" w:pos="851"/>
        </w:tabs>
        <w:ind w:left="426"/>
        <w:rPr>
          <w:b/>
          <w:sz w:val="22"/>
          <w:lang w:val="el-GR"/>
        </w:rPr>
      </w:pPr>
      <w:r w:rsidRPr="00106D84">
        <w:rPr>
          <w:b/>
          <w:sz w:val="22"/>
          <w:lang w:val="el-GR"/>
        </w:rPr>
        <w:t>5.1</w:t>
      </w:r>
      <w:r w:rsidRPr="00106D84">
        <w:rPr>
          <w:b/>
          <w:sz w:val="22"/>
          <w:lang w:val="el-GR"/>
        </w:rPr>
        <w:tab/>
        <w:t>Φαρμακοδυναμικές ιδιότητες</w:t>
      </w:r>
    </w:p>
    <w:p w:rsidR="0018188D" w:rsidRPr="00106D84" w:rsidRDefault="0018188D">
      <w:pPr>
        <w:tabs>
          <w:tab w:val="left" w:pos="426"/>
          <w:tab w:val="left" w:pos="851"/>
        </w:tabs>
        <w:ind w:left="426"/>
        <w:rPr>
          <w:sz w:val="22"/>
          <w:lang w:val="el-GR"/>
        </w:rPr>
      </w:pPr>
    </w:p>
    <w:p w:rsidR="0018188D" w:rsidRPr="00106D84" w:rsidRDefault="0018188D">
      <w:pPr>
        <w:tabs>
          <w:tab w:val="left" w:pos="426"/>
          <w:tab w:val="left" w:pos="851"/>
        </w:tabs>
        <w:ind w:left="426"/>
        <w:rPr>
          <w:sz w:val="22"/>
          <w:lang w:val="el-GR"/>
        </w:rPr>
      </w:pPr>
      <w:r w:rsidRPr="00106D84">
        <w:rPr>
          <w:sz w:val="22"/>
          <w:lang w:val="el-GR"/>
        </w:rPr>
        <w:t>Φαρμακοθεραπευτική κατηγορία:</w:t>
      </w:r>
      <w:r w:rsidR="00E073F6" w:rsidRPr="00106D84">
        <w:rPr>
          <w:sz w:val="22"/>
          <w:lang w:val="el-GR"/>
        </w:rPr>
        <w:t xml:space="preserve"> Επροσαρτάνη</w:t>
      </w:r>
      <w:r w:rsidRPr="00106D84">
        <w:rPr>
          <w:sz w:val="22"/>
          <w:lang w:val="el-GR"/>
        </w:rPr>
        <w:t xml:space="preserve"> </w:t>
      </w:r>
    </w:p>
    <w:p w:rsidR="0018188D" w:rsidRPr="00106D84" w:rsidRDefault="0018188D">
      <w:pPr>
        <w:tabs>
          <w:tab w:val="left" w:pos="426"/>
          <w:tab w:val="left" w:pos="851"/>
        </w:tabs>
        <w:ind w:left="426"/>
        <w:rPr>
          <w:sz w:val="22"/>
          <w:lang w:val="el-GR"/>
        </w:rPr>
      </w:pPr>
      <w:r w:rsidRPr="00106D84">
        <w:rPr>
          <w:sz w:val="22"/>
          <w:lang w:val="el-GR"/>
        </w:rPr>
        <w:t>Κωδικός Α</w:t>
      </w:r>
      <w:r w:rsidRPr="00106D84">
        <w:rPr>
          <w:sz w:val="22"/>
        </w:rPr>
        <w:t>TC</w:t>
      </w:r>
      <w:r w:rsidRPr="00106D84">
        <w:rPr>
          <w:sz w:val="22"/>
          <w:lang w:val="el-GR"/>
        </w:rPr>
        <w:t xml:space="preserve">: </w:t>
      </w:r>
      <w:r w:rsidRPr="00106D84">
        <w:rPr>
          <w:sz w:val="22"/>
        </w:rPr>
        <w:t>C</w:t>
      </w:r>
      <w:r w:rsidRPr="00106D84">
        <w:rPr>
          <w:sz w:val="22"/>
          <w:lang w:val="el-GR"/>
        </w:rPr>
        <w:t>09</w:t>
      </w:r>
      <w:r w:rsidRPr="00106D84">
        <w:rPr>
          <w:sz w:val="22"/>
        </w:rPr>
        <w:t>CA</w:t>
      </w:r>
      <w:r w:rsidRPr="00106D84">
        <w:rPr>
          <w:sz w:val="22"/>
          <w:lang w:val="el-GR"/>
        </w:rPr>
        <w:t>02.</w:t>
      </w:r>
    </w:p>
    <w:p w:rsidR="0018188D" w:rsidRPr="00106D84" w:rsidRDefault="0018188D">
      <w:pPr>
        <w:tabs>
          <w:tab w:val="left" w:pos="426"/>
          <w:tab w:val="left" w:pos="851"/>
        </w:tabs>
        <w:ind w:left="426"/>
        <w:rPr>
          <w:sz w:val="22"/>
          <w:lang w:val="el-GR"/>
        </w:rPr>
      </w:pPr>
    </w:p>
    <w:p w:rsidR="00C66383" w:rsidRPr="00106D84" w:rsidRDefault="0018188D">
      <w:pPr>
        <w:tabs>
          <w:tab w:val="left" w:pos="426"/>
          <w:tab w:val="left" w:pos="851"/>
        </w:tabs>
        <w:ind w:left="426"/>
        <w:rPr>
          <w:sz w:val="22"/>
          <w:lang w:val="el-GR"/>
        </w:rPr>
      </w:pPr>
      <w:r w:rsidRPr="00106D84">
        <w:rPr>
          <w:sz w:val="22"/>
          <w:lang w:val="el-GR"/>
        </w:rPr>
        <w:t>Η επροσαρτάνη είναι ένας συνθετικός, δραστικός από το στόμα, μη-διφαινυλικός μη-τετραζολικός ανταγωνιστής των υποδοχέων της αγγ</w:t>
      </w:r>
      <w:r w:rsidR="00175CEA" w:rsidRPr="00106D84">
        <w:rPr>
          <w:sz w:val="22"/>
          <w:lang w:val="el-GR"/>
        </w:rPr>
        <w:t xml:space="preserve">ειοτασίνης ΙΙ. </w:t>
      </w:r>
    </w:p>
    <w:p w:rsidR="00C66383" w:rsidRPr="00106D84" w:rsidRDefault="00C66383">
      <w:pPr>
        <w:tabs>
          <w:tab w:val="left" w:pos="426"/>
          <w:tab w:val="left" w:pos="851"/>
        </w:tabs>
        <w:ind w:left="426"/>
        <w:rPr>
          <w:sz w:val="22"/>
          <w:lang w:val="el-GR"/>
        </w:rPr>
      </w:pPr>
    </w:p>
    <w:p w:rsidR="0018188D" w:rsidRPr="00106D84" w:rsidRDefault="0018188D">
      <w:pPr>
        <w:tabs>
          <w:tab w:val="left" w:pos="426"/>
          <w:tab w:val="left" w:pos="851"/>
        </w:tabs>
        <w:ind w:left="426"/>
        <w:rPr>
          <w:sz w:val="22"/>
          <w:lang w:val="el-GR"/>
        </w:rPr>
      </w:pPr>
      <w:r w:rsidRPr="00106D84">
        <w:rPr>
          <w:sz w:val="22"/>
          <w:lang w:val="el-GR"/>
        </w:rPr>
        <w:t>Η αγγειοτασίνη ΙΙ είναι ένα ισχυρό αγγειοσυσταλτικό και πρωταρχικά δρώσα ορμόνη του συστήματος ρενίνης-αγγειοτασίνης-αλδοστ</w:t>
      </w:r>
      <w:r w:rsidR="009B7039" w:rsidRPr="00106D84">
        <w:rPr>
          <w:sz w:val="22"/>
          <w:lang w:val="el-GR"/>
        </w:rPr>
        <w:t>ε</w:t>
      </w:r>
      <w:r w:rsidRPr="00106D84">
        <w:rPr>
          <w:sz w:val="22"/>
          <w:lang w:val="el-GR"/>
        </w:rPr>
        <w:t xml:space="preserve">ρόνης, με κύριο ρόλο στην παθοφυσιολογία της υπέρτασης. </w:t>
      </w:r>
    </w:p>
    <w:p w:rsidR="0018188D" w:rsidRPr="00106D84" w:rsidRDefault="0018188D">
      <w:pPr>
        <w:tabs>
          <w:tab w:val="left" w:pos="426"/>
          <w:tab w:val="left" w:pos="851"/>
        </w:tabs>
        <w:ind w:left="426"/>
        <w:rPr>
          <w:sz w:val="22"/>
          <w:lang w:val="el-GR"/>
        </w:rPr>
      </w:pPr>
      <w:r w:rsidRPr="00106D84">
        <w:rPr>
          <w:sz w:val="22"/>
          <w:lang w:val="el-GR"/>
        </w:rPr>
        <w:lastRenderedPageBreak/>
        <w:t>Η επροσαρτάνη ανταγωνίζεται τη δράση της αγγειοτασίνης ΙΙ στην αρτηριακή πίεση, στην αιματική ροή του νεφρού και την έκκριση της αλδοστερόνης σε φυσιολογικούς εθελοντές. Η ρύθμιση της αρτηριακής πίεσης διατηρείται με σταθερό και ομαλό τρόπο για χρονικό διάστημα 24 ωρών, χωρίς ορθοστατικό υποτασικό φαινόμ</w:t>
      </w:r>
      <w:r w:rsidR="00175CEA" w:rsidRPr="00106D84">
        <w:rPr>
          <w:sz w:val="22"/>
          <w:lang w:val="el-GR"/>
        </w:rPr>
        <w:t xml:space="preserve">ενο </w:t>
      </w:r>
      <w:r w:rsidR="00826D1C" w:rsidRPr="00106D84">
        <w:rPr>
          <w:sz w:val="22"/>
          <w:lang w:val="el-GR"/>
        </w:rPr>
        <w:t xml:space="preserve">πρώτης δόσης </w:t>
      </w:r>
      <w:r w:rsidR="00175CEA" w:rsidRPr="00106D84">
        <w:rPr>
          <w:sz w:val="22"/>
          <w:lang w:val="el-GR"/>
        </w:rPr>
        <w:t>ή αντιδραστική ταχυκαρδία.</w:t>
      </w:r>
      <w:r w:rsidRPr="00106D84">
        <w:rPr>
          <w:sz w:val="22"/>
          <w:lang w:val="el-GR"/>
        </w:rPr>
        <w:t xml:space="preserve"> Η διακοπή της θεραπείας με την επροσαρτάνη δεν οδηγεί σε φαινόμενο ταχείας ανάδρομης αύξησης (</w:t>
      </w:r>
      <w:r w:rsidRPr="00106D84">
        <w:rPr>
          <w:sz w:val="22"/>
        </w:rPr>
        <w:t>reb</w:t>
      </w:r>
      <w:r w:rsidRPr="00106D84">
        <w:rPr>
          <w:sz w:val="22"/>
          <w:lang w:val="el-GR"/>
        </w:rPr>
        <w:t>ο</w:t>
      </w:r>
      <w:r w:rsidRPr="00106D84">
        <w:rPr>
          <w:sz w:val="22"/>
        </w:rPr>
        <w:t>und</w:t>
      </w:r>
      <w:r w:rsidRPr="00106D84">
        <w:rPr>
          <w:sz w:val="22"/>
          <w:lang w:val="el-GR"/>
        </w:rPr>
        <w:t>) της αρτηριακής πίεσης.</w:t>
      </w:r>
    </w:p>
    <w:p w:rsidR="00C66383" w:rsidRPr="00106D84" w:rsidRDefault="00C66383">
      <w:pPr>
        <w:tabs>
          <w:tab w:val="left" w:pos="426"/>
          <w:tab w:val="left" w:pos="851"/>
        </w:tabs>
        <w:ind w:left="426"/>
        <w:rPr>
          <w:sz w:val="22"/>
          <w:lang w:val="el-GR"/>
        </w:rPr>
      </w:pPr>
    </w:p>
    <w:p w:rsidR="0018188D" w:rsidRPr="00106D84" w:rsidRDefault="0018188D">
      <w:pPr>
        <w:tabs>
          <w:tab w:val="left" w:pos="426"/>
          <w:tab w:val="left" w:pos="851"/>
        </w:tabs>
        <w:ind w:left="426"/>
        <w:rPr>
          <w:sz w:val="22"/>
          <w:lang w:val="el-GR"/>
        </w:rPr>
      </w:pPr>
      <w:r w:rsidRPr="00106D84">
        <w:rPr>
          <w:sz w:val="22"/>
          <w:lang w:val="el-GR"/>
        </w:rPr>
        <w:t xml:space="preserve">Η επροσαρτάνη αξιολογήθηκε σε ασθενείς με ήπια έως μέτρια υπέρταση (διαστολική αρτηριακή πίεση σε καθιστή θέση </w:t>
      </w:r>
      <w:r w:rsidRPr="00106D84">
        <w:rPr>
          <w:sz w:val="22"/>
        </w:rPr>
        <w:sym w:font="Symbol" w:char="F0B3"/>
      </w:r>
      <w:r w:rsidRPr="00106D84">
        <w:rPr>
          <w:sz w:val="22"/>
          <w:lang w:val="el-GR"/>
        </w:rPr>
        <w:t xml:space="preserve"> 95</w:t>
      </w:r>
      <w:r w:rsidRPr="00106D84">
        <w:rPr>
          <w:sz w:val="22"/>
        </w:rPr>
        <w:t>mmHg</w:t>
      </w:r>
      <w:r w:rsidRPr="00106D84">
        <w:rPr>
          <w:sz w:val="22"/>
          <w:lang w:val="el-GR"/>
        </w:rPr>
        <w:t xml:space="preserve"> και &lt; 115 </w:t>
      </w:r>
      <w:r w:rsidRPr="00106D84">
        <w:rPr>
          <w:sz w:val="22"/>
        </w:rPr>
        <w:t>mmHg</w:t>
      </w:r>
      <w:r w:rsidRPr="00106D84">
        <w:rPr>
          <w:sz w:val="22"/>
          <w:lang w:val="el-GR"/>
        </w:rPr>
        <w:t xml:space="preserve">) και σοβαρή υπέρταση (διαστολική αρτηριακή πίεση σε καθιστή θέση </w:t>
      </w:r>
      <w:r w:rsidRPr="00106D84">
        <w:rPr>
          <w:sz w:val="22"/>
        </w:rPr>
        <w:sym w:font="Symbol" w:char="F0B3"/>
      </w:r>
      <w:r w:rsidRPr="00106D84">
        <w:rPr>
          <w:sz w:val="22"/>
          <w:lang w:val="el-GR"/>
        </w:rPr>
        <w:t xml:space="preserve"> 115</w:t>
      </w:r>
      <w:r w:rsidRPr="00106D84">
        <w:rPr>
          <w:sz w:val="22"/>
        </w:rPr>
        <w:t>mmHg</w:t>
      </w:r>
      <w:r w:rsidRPr="00106D84">
        <w:rPr>
          <w:sz w:val="22"/>
          <w:lang w:val="el-GR"/>
        </w:rPr>
        <w:t xml:space="preserve"> και </w:t>
      </w:r>
      <w:r w:rsidRPr="00106D84">
        <w:rPr>
          <w:sz w:val="22"/>
        </w:rPr>
        <w:sym w:font="Symbol" w:char="F0A3"/>
      </w:r>
      <w:r w:rsidRPr="00106D84">
        <w:rPr>
          <w:sz w:val="22"/>
          <w:lang w:val="el-GR"/>
        </w:rPr>
        <w:t xml:space="preserve">125 </w:t>
      </w:r>
      <w:r w:rsidRPr="00106D84">
        <w:rPr>
          <w:sz w:val="22"/>
        </w:rPr>
        <w:t>mmHg</w:t>
      </w:r>
      <w:r w:rsidRPr="00106D84">
        <w:rPr>
          <w:sz w:val="22"/>
          <w:lang w:val="el-GR"/>
        </w:rPr>
        <w:t>).</w:t>
      </w:r>
    </w:p>
    <w:p w:rsidR="0018188D" w:rsidRPr="00106D84" w:rsidRDefault="0018188D">
      <w:pPr>
        <w:tabs>
          <w:tab w:val="left" w:pos="426"/>
          <w:tab w:val="left" w:pos="851"/>
        </w:tabs>
        <w:ind w:left="426"/>
        <w:rPr>
          <w:sz w:val="22"/>
          <w:lang w:val="el-GR"/>
        </w:rPr>
      </w:pPr>
    </w:p>
    <w:p w:rsidR="0018188D" w:rsidRPr="00106D84" w:rsidRDefault="0018188D">
      <w:pPr>
        <w:tabs>
          <w:tab w:val="left" w:pos="426"/>
          <w:tab w:val="left" w:pos="851"/>
        </w:tabs>
        <w:ind w:left="426"/>
        <w:rPr>
          <w:sz w:val="22"/>
          <w:lang w:val="el-GR"/>
        </w:rPr>
      </w:pPr>
      <w:r w:rsidRPr="00106D84">
        <w:rPr>
          <w:sz w:val="22"/>
          <w:lang w:val="el-GR"/>
        </w:rPr>
        <w:t>Σε κλινικές μελέτες, δόσεις μέχρι 1200</w:t>
      </w:r>
      <w:r w:rsidRPr="00106D84">
        <w:rPr>
          <w:sz w:val="22"/>
        </w:rPr>
        <w:t>mg</w:t>
      </w:r>
      <w:r w:rsidRPr="00106D84">
        <w:rPr>
          <w:sz w:val="22"/>
          <w:lang w:val="el-GR"/>
        </w:rPr>
        <w:t xml:space="preserve"> ημερησίως για διάστημα 8 εβδομάδων, έχει αποδειχθεί πως είναι αποτελεσματικές, χωρίς να υπάρχει εμφανής σχέση μεταξύ των δόσεων και της συχνότητας εμφάνισης των ανεπιθυμήτων ενεργειών που αναφέρθηκαν.</w:t>
      </w:r>
    </w:p>
    <w:p w:rsidR="00C66383" w:rsidRPr="00106D84" w:rsidRDefault="00C66383">
      <w:pPr>
        <w:tabs>
          <w:tab w:val="left" w:pos="426"/>
          <w:tab w:val="left" w:pos="851"/>
        </w:tabs>
        <w:ind w:left="426"/>
        <w:rPr>
          <w:sz w:val="22"/>
          <w:lang w:val="el-GR"/>
        </w:rPr>
      </w:pPr>
    </w:p>
    <w:p w:rsidR="0018188D" w:rsidRPr="00106D84" w:rsidRDefault="0018188D">
      <w:pPr>
        <w:tabs>
          <w:tab w:val="left" w:pos="426"/>
          <w:tab w:val="left" w:pos="851"/>
        </w:tabs>
        <w:ind w:left="426"/>
        <w:rPr>
          <w:sz w:val="22"/>
          <w:lang w:val="el-GR"/>
        </w:rPr>
      </w:pPr>
      <w:r w:rsidRPr="00106D84">
        <w:rPr>
          <w:sz w:val="22"/>
          <w:lang w:val="el-GR"/>
        </w:rPr>
        <w:t>Σε ασθενείς με υπέρταση, η ελάττωση της αρτηριακής πίεσης δεν προκάλεσε μεταβολή της καρδιακής συχνότητας.</w:t>
      </w:r>
    </w:p>
    <w:p w:rsidR="00C66383" w:rsidRPr="00106D84" w:rsidRDefault="00C66383">
      <w:pPr>
        <w:tabs>
          <w:tab w:val="left" w:pos="426"/>
          <w:tab w:val="left" w:pos="851"/>
        </w:tabs>
        <w:ind w:left="426"/>
        <w:rPr>
          <w:sz w:val="22"/>
          <w:lang w:val="el-GR"/>
        </w:rPr>
      </w:pPr>
    </w:p>
    <w:p w:rsidR="00425B8C" w:rsidRPr="00106D84" w:rsidRDefault="00AA7F05" w:rsidP="00425B8C">
      <w:pPr>
        <w:tabs>
          <w:tab w:val="left" w:pos="426"/>
          <w:tab w:val="left" w:pos="851"/>
        </w:tabs>
        <w:ind w:left="426"/>
        <w:rPr>
          <w:rFonts w:eastAsia="SimSun"/>
          <w:sz w:val="22"/>
          <w:szCs w:val="22"/>
          <w:lang w:val="el-GR" w:eastAsia="zh-CN"/>
        </w:rPr>
      </w:pPr>
      <w:r w:rsidRPr="00106D84">
        <w:rPr>
          <w:sz w:val="22"/>
          <w:szCs w:val="22"/>
          <w:lang w:val="el-GR"/>
        </w:rPr>
        <w:t xml:space="preserve">Στην μελέτη </w:t>
      </w:r>
      <w:r w:rsidRPr="00106D84">
        <w:rPr>
          <w:sz w:val="22"/>
          <w:szCs w:val="22"/>
          <w:lang w:val="en-US"/>
        </w:rPr>
        <w:t>MOSES</w:t>
      </w:r>
      <w:r w:rsidRPr="00106D84">
        <w:rPr>
          <w:sz w:val="22"/>
          <w:szCs w:val="22"/>
          <w:lang w:val="el-GR"/>
        </w:rPr>
        <w:t xml:space="preserve"> </w:t>
      </w:r>
      <w:r w:rsidR="00BA7625" w:rsidRPr="00106D84">
        <w:rPr>
          <w:rFonts w:eastAsia="SimSun"/>
          <w:sz w:val="22"/>
          <w:szCs w:val="22"/>
          <w:lang w:val="el-GR" w:eastAsia="zh-CN"/>
        </w:rPr>
        <w:t>(</w:t>
      </w:r>
      <w:r w:rsidR="00BA7625" w:rsidRPr="00106D84">
        <w:rPr>
          <w:rFonts w:eastAsia="SimSun"/>
          <w:b/>
          <w:bCs/>
          <w:sz w:val="22"/>
          <w:szCs w:val="22"/>
          <w:lang w:val="en-US" w:eastAsia="zh-CN"/>
        </w:rPr>
        <w:t>mo</w:t>
      </w:r>
      <w:r w:rsidR="00BA7625" w:rsidRPr="00106D84">
        <w:rPr>
          <w:rFonts w:eastAsia="SimSun"/>
          <w:sz w:val="22"/>
          <w:szCs w:val="22"/>
          <w:lang w:val="en-US" w:eastAsia="zh-CN"/>
        </w:rPr>
        <w:t>rbidity</w:t>
      </w:r>
      <w:r w:rsidR="00BA7625" w:rsidRPr="00106D84">
        <w:rPr>
          <w:rFonts w:eastAsia="SimSun"/>
          <w:sz w:val="22"/>
          <w:szCs w:val="22"/>
          <w:lang w:val="el-GR" w:eastAsia="zh-CN"/>
        </w:rPr>
        <w:t xml:space="preserve"> </w:t>
      </w:r>
      <w:r w:rsidR="00BA7625" w:rsidRPr="00106D84">
        <w:rPr>
          <w:rFonts w:eastAsia="SimSun"/>
          <w:sz w:val="22"/>
          <w:szCs w:val="22"/>
          <w:lang w:val="en-US" w:eastAsia="zh-CN"/>
        </w:rPr>
        <w:t>and</w:t>
      </w:r>
      <w:r w:rsidR="00BA7625" w:rsidRPr="00106D84">
        <w:rPr>
          <w:rFonts w:eastAsia="SimSun"/>
          <w:sz w:val="22"/>
          <w:szCs w:val="22"/>
          <w:lang w:val="el-GR" w:eastAsia="zh-CN"/>
        </w:rPr>
        <w:t xml:space="preserve"> </w:t>
      </w:r>
      <w:r w:rsidR="00BA7625" w:rsidRPr="00106D84">
        <w:rPr>
          <w:rFonts w:eastAsia="SimSun"/>
          <w:sz w:val="22"/>
          <w:szCs w:val="22"/>
          <w:lang w:val="en-US" w:eastAsia="zh-CN"/>
        </w:rPr>
        <w:t>mortality</w:t>
      </w:r>
      <w:r w:rsidR="00BA7625" w:rsidRPr="00106D84">
        <w:rPr>
          <w:rFonts w:eastAsia="SimSun"/>
          <w:sz w:val="22"/>
          <w:szCs w:val="22"/>
          <w:lang w:val="el-GR" w:eastAsia="zh-CN"/>
        </w:rPr>
        <w:t xml:space="preserve"> </w:t>
      </w:r>
      <w:r w:rsidR="00BA7625" w:rsidRPr="00106D84">
        <w:rPr>
          <w:rFonts w:eastAsia="SimSun"/>
          <w:sz w:val="22"/>
          <w:szCs w:val="22"/>
          <w:lang w:val="en-US" w:eastAsia="zh-CN"/>
        </w:rPr>
        <w:t>after</w:t>
      </w:r>
      <w:r w:rsidR="00BA7625" w:rsidRPr="00106D84">
        <w:rPr>
          <w:rFonts w:eastAsia="SimSun"/>
          <w:sz w:val="22"/>
          <w:szCs w:val="22"/>
          <w:lang w:val="el-GR" w:eastAsia="zh-CN"/>
        </w:rPr>
        <w:t xml:space="preserve"> </w:t>
      </w:r>
      <w:r w:rsidR="00BA7625" w:rsidRPr="00106D84">
        <w:rPr>
          <w:rFonts w:eastAsia="SimSun"/>
          <w:b/>
          <w:bCs/>
          <w:sz w:val="22"/>
          <w:szCs w:val="22"/>
          <w:lang w:val="en-US" w:eastAsia="zh-CN"/>
        </w:rPr>
        <w:t>s</w:t>
      </w:r>
      <w:r w:rsidR="00BA7625" w:rsidRPr="00106D84">
        <w:rPr>
          <w:rFonts w:eastAsia="SimSun"/>
          <w:sz w:val="22"/>
          <w:szCs w:val="22"/>
          <w:lang w:val="en-US" w:eastAsia="zh-CN"/>
        </w:rPr>
        <w:t>troke</w:t>
      </w:r>
      <w:r w:rsidR="00BA7625" w:rsidRPr="00106D84">
        <w:rPr>
          <w:rFonts w:eastAsia="SimSun"/>
          <w:sz w:val="22"/>
          <w:szCs w:val="22"/>
          <w:lang w:val="el-GR" w:eastAsia="zh-CN"/>
        </w:rPr>
        <w:t xml:space="preserve">, </w:t>
      </w:r>
      <w:r w:rsidR="00BA7625" w:rsidRPr="00106D84">
        <w:rPr>
          <w:rFonts w:eastAsia="SimSun"/>
          <w:b/>
          <w:bCs/>
          <w:sz w:val="22"/>
          <w:szCs w:val="22"/>
          <w:lang w:val="en-US" w:eastAsia="zh-CN"/>
        </w:rPr>
        <w:t>e</w:t>
      </w:r>
      <w:r w:rsidR="00BA7625" w:rsidRPr="00106D84">
        <w:rPr>
          <w:rFonts w:eastAsia="SimSun"/>
          <w:sz w:val="22"/>
          <w:szCs w:val="22"/>
          <w:lang w:val="en-US" w:eastAsia="zh-CN"/>
        </w:rPr>
        <w:t>prosartan</w:t>
      </w:r>
      <w:r w:rsidR="00BA7625" w:rsidRPr="00106D84">
        <w:rPr>
          <w:rFonts w:eastAsia="SimSun"/>
          <w:sz w:val="22"/>
          <w:szCs w:val="22"/>
          <w:lang w:val="el-GR" w:eastAsia="zh-CN"/>
        </w:rPr>
        <w:t xml:space="preserve"> </w:t>
      </w:r>
      <w:r w:rsidR="00BA7625" w:rsidRPr="00106D84">
        <w:rPr>
          <w:rFonts w:eastAsia="SimSun"/>
          <w:sz w:val="22"/>
          <w:szCs w:val="22"/>
          <w:lang w:val="en-US" w:eastAsia="zh-CN"/>
        </w:rPr>
        <w:t>compared</w:t>
      </w:r>
      <w:r w:rsidR="00BA7625" w:rsidRPr="00106D84">
        <w:rPr>
          <w:rFonts w:eastAsia="SimSun"/>
          <w:sz w:val="22"/>
          <w:szCs w:val="22"/>
          <w:lang w:val="el-GR" w:eastAsia="zh-CN"/>
        </w:rPr>
        <w:t xml:space="preserve"> </w:t>
      </w:r>
      <w:r w:rsidR="00BA7625" w:rsidRPr="00106D84">
        <w:rPr>
          <w:rFonts w:eastAsia="SimSun"/>
          <w:sz w:val="22"/>
          <w:szCs w:val="22"/>
          <w:lang w:val="en-US" w:eastAsia="zh-CN"/>
        </w:rPr>
        <w:t>with</w:t>
      </w:r>
      <w:r w:rsidR="00BA7625" w:rsidRPr="00106D84">
        <w:rPr>
          <w:rFonts w:eastAsia="SimSun"/>
          <w:sz w:val="22"/>
          <w:szCs w:val="22"/>
          <w:lang w:val="el-GR" w:eastAsia="zh-CN"/>
        </w:rPr>
        <w:t xml:space="preserve"> </w:t>
      </w:r>
      <w:r w:rsidR="00BA7625" w:rsidRPr="00106D84">
        <w:rPr>
          <w:rFonts w:eastAsia="SimSun"/>
          <w:sz w:val="22"/>
          <w:szCs w:val="22"/>
          <w:lang w:val="en-US" w:eastAsia="zh-CN"/>
        </w:rPr>
        <w:t>nitrendipine</w:t>
      </w:r>
      <w:r w:rsidR="00BA7625" w:rsidRPr="00106D84">
        <w:rPr>
          <w:rFonts w:eastAsia="SimSun"/>
          <w:sz w:val="22"/>
          <w:szCs w:val="22"/>
          <w:lang w:val="el-GR" w:eastAsia="zh-CN"/>
        </w:rPr>
        <w:t xml:space="preserve"> </w:t>
      </w:r>
      <w:r w:rsidR="00BA7625" w:rsidRPr="00106D84">
        <w:rPr>
          <w:rFonts w:eastAsia="SimSun"/>
          <w:sz w:val="22"/>
          <w:szCs w:val="22"/>
          <w:lang w:val="en-US" w:eastAsia="zh-CN"/>
        </w:rPr>
        <w:t>for</w:t>
      </w:r>
      <w:r w:rsidR="00BA7625" w:rsidRPr="00106D84">
        <w:rPr>
          <w:rFonts w:eastAsia="SimSun"/>
          <w:sz w:val="22"/>
          <w:szCs w:val="22"/>
          <w:lang w:val="el-GR" w:eastAsia="zh-CN"/>
        </w:rPr>
        <w:t xml:space="preserve"> </w:t>
      </w:r>
      <w:r w:rsidR="00BA7625" w:rsidRPr="00106D84">
        <w:rPr>
          <w:rFonts w:eastAsia="SimSun"/>
          <w:b/>
          <w:bCs/>
          <w:sz w:val="22"/>
          <w:szCs w:val="22"/>
          <w:lang w:val="en-US" w:eastAsia="zh-CN"/>
        </w:rPr>
        <w:t>s</w:t>
      </w:r>
      <w:r w:rsidR="00BA7625" w:rsidRPr="00106D84">
        <w:rPr>
          <w:rFonts w:eastAsia="SimSun"/>
          <w:sz w:val="22"/>
          <w:szCs w:val="22"/>
          <w:lang w:val="en-US" w:eastAsia="zh-CN"/>
        </w:rPr>
        <w:t>econdary</w:t>
      </w:r>
      <w:r w:rsidR="00BA7625" w:rsidRPr="00106D84">
        <w:rPr>
          <w:rFonts w:eastAsia="SimSun"/>
          <w:sz w:val="22"/>
          <w:szCs w:val="22"/>
          <w:lang w:val="el-GR" w:eastAsia="zh-CN"/>
        </w:rPr>
        <w:t xml:space="preserve"> </w:t>
      </w:r>
      <w:r w:rsidR="00BA7625" w:rsidRPr="00106D84">
        <w:rPr>
          <w:rFonts w:eastAsia="SimSun"/>
          <w:sz w:val="22"/>
          <w:szCs w:val="22"/>
          <w:lang w:val="en-US" w:eastAsia="zh-CN"/>
        </w:rPr>
        <w:t>prevention</w:t>
      </w:r>
      <w:r w:rsidR="00506091" w:rsidRPr="00106D84">
        <w:rPr>
          <w:rFonts w:eastAsia="SimSun"/>
          <w:sz w:val="22"/>
          <w:szCs w:val="22"/>
          <w:lang w:val="el-GR" w:eastAsia="zh-CN"/>
        </w:rPr>
        <w:t xml:space="preserve"> – </w:t>
      </w:r>
      <w:r w:rsidR="003443C8" w:rsidRPr="00106D84">
        <w:rPr>
          <w:rFonts w:eastAsia="SimSun"/>
          <w:sz w:val="22"/>
          <w:szCs w:val="22"/>
          <w:lang w:val="el-GR" w:eastAsia="zh-CN"/>
        </w:rPr>
        <w:t>ν</w:t>
      </w:r>
      <w:r w:rsidR="00506091" w:rsidRPr="00106D84">
        <w:rPr>
          <w:rFonts w:eastAsia="SimSun"/>
          <w:sz w:val="22"/>
          <w:szCs w:val="22"/>
          <w:lang w:val="el-GR" w:eastAsia="zh-CN"/>
        </w:rPr>
        <w:t>οσηρότητα  κ</w:t>
      </w:r>
      <w:r w:rsidR="00BA7625" w:rsidRPr="00106D84">
        <w:rPr>
          <w:rFonts w:eastAsia="SimSun"/>
          <w:sz w:val="22"/>
          <w:szCs w:val="22"/>
          <w:lang w:val="el-GR" w:eastAsia="zh-CN"/>
        </w:rPr>
        <w:t xml:space="preserve">αι θνητότητα μετά από εγγεφαλικό επεισόδιο, σύγκριση επροσαρτάνης και νιτρενδιπίνης </w:t>
      </w:r>
      <w:r w:rsidR="002F50EE" w:rsidRPr="00106D84">
        <w:rPr>
          <w:rFonts w:eastAsia="SimSun"/>
          <w:sz w:val="22"/>
          <w:szCs w:val="22"/>
          <w:lang w:val="el-GR" w:eastAsia="zh-CN"/>
        </w:rPr>
        <w:t xml:space="preserve">στη </w:t>
      </w:r>
      <w:r w:rsidR="00BA7625" w:rsidRPr="00106D84">
        <w:rPr>
          <w:rFonts w:eastAsia="SimSun"/>
          <w:sz w:val="22"/>
          <w:szCs w:val="22"/>
          <w:lang w:val="el-GR" w:eastAsia="zh-CN"/>
        </w:rPr>
        <w:t>δευτερογενή πρόληψη)</w:t>
      </w:r>
      <w:r w:rsidR="00506091" w:rsidRPr="00106D84">
        <w:rPr>
          <w:rFonts w:eastAsia="SimSun"/>
          <w:sz w:val="22"/>
          <w:szCs w:val="22"/>
          <w:lang w:val="el-GR" w:eastAsia="zh-CN"/>
        </w:rPr>
        <w:t xml:space="preserve"> σε 1405 υπερτασικούς ασθενείς με ιστορικό </w:t>
      </w:r>
      <w:r w:rsidR="009A33D6" w:rsidRPr="00106D84">
        <w:rPr>
          <w:rFonts w:eastAsia="SimSun"/>
          <w:sz w:val="22"/>
          <w:szCs w:val="22"/>
          <w:lang w:val="el-GR" w:eastAsia="zh-CN"/>
        </w:rPr>
        <w:t>αγγειακών εγκεφαλικών επεισοδίων</w:t>
      </w:r>
      <w:r w:rsidR="00F13829" w:rsidRPr="00106D84">
        <w:rPr>
          <w:rFonts w:eastAsia="SimSun"/>
          <w:sz w:val="22"/>
          <w:szCs w:val="22"/>
          <w:lang w:val="el-GR" w:eastAsia="zh-CN"/>
        </w:rPr>
        <w:t xml:space="preserve"> </w:t>
      </w:r>
      <w:r w:rsidR="00425B8C" w:rsidRPr="00106D84">
        <w:rPr>
          <w:rFonts w:eastAsia="SimSun"/>
          <w:sz w:val="22"/>
          <w:szCs w:val="22"/>
          <w:lang w:val="el-GR" w:eastAsia="zh-CN"/>
        </w:rPr>
        <w:t xml:space="preserve">δόθηκε αγωγή είτε επροσαρτάνης είτε νιτρενδιπίνης. Στην ομάδα της επροσαρτάνης, το 78% των ασθενών έλαβε 600 </w:t>
      </w:r>
      <w:r w:rsidR="00425B8C" w:rsidRPr="00106D84">
        <w:rPr>
          <w:rFonts w:eastAsia="SimSun"/>
          <w:sz w:val="22"/>
          <w:szCs w:val="22"/>
          <w:lang w:val="en-US" w:eastAsia="zh-CN"/>
        </w:rPr>
        <w:t>mg</w:t>
      </w:r>
      <w:r w:rsidR="00425B8C" w:rsidRPr="00106D84">
        <w:rPr>
          <w:rFonts w:eastAsia="SimSun"/>
          <w:sz w:val="22"/>
          <w:szCs w:val="22"/>
          <w:lang w:val="el-GR" w:eastAsia="zh-CN"/>
        </w:rPr>
        <w:t xml:space="preserve"> εφ’απάξ ημερησίως και το 12% μέχρι και 800 </w:t>
      </w:r>
      <w:r w:rsidR="00425B8C" w:rsidRPr="00106D84">
        <w:rPr>
          <w:rFonts w:eastAsia="SimSun"/>
          <w:sz w:val="22"/>
          <w:szCs w:val="22"/>
          <w:lang w:val="en-US" w:eastAsia="zh-CN"/>
        </w:rPr>
        <w:t>mg</w:t>
      </w:r>
      <w:r w:rsidR="00425B8C" w:rsidRPr="00106D84">
        <w:rPr>
          <w:rFonts w:eastAsia="SimSun"/>
          <w:sz w:val="22"/>
          <w:szCs w:val="22"/>
          <w:lang w:val="el-GR" w:eastAsia="zh-CN"/>
        </w:rPr>
        <w:t xml:space="preserve"> ημερησίως, όταν στην ομάδα της νιτρενδιπίνης το 47% έλαβε 10 </w:t>
      </w:r>
      <w:r w:rsidR="00425B8C" w:rsidRPr="00106D84">
        <w:rPr>
          <w:rFonts w:eastAsia="SimSun"/>
          <w:sz w:val="22"/>
          <w:szCs w:val="22"/>
          <w:lang w:val="en-US" w:eastAsia="zh-CN"/>
        </w:rPr>
        <w:t>mg</w:t>
      </w:r>
      <w:r w:rsidR="00425B8C" w:rsidRPr="00106D84">
        <w:rPr>
          <w:rFonts w:eastAsia="SimSun"/>
          <w:sz w:val="22"/>
          <w:szCs w:val="22"/>
          <w:lang w:val="el-GR" w:eastAsia="zh-CN"/>
        </w:rPr>
        <w:t xml:space="preserve"> και το 42% 20 </w:t>
      </w:r>
      <w:r w:rsidR="00425B8C" w:rsidRPr="00106D84">
        <w:rPr>
          <w:rFonts w:eastAsia="SimSun"/>
          <w:sz w:val="22"/>
          <w:szCs w:val="22"/>
          <w:lang w:val="en-US" w:eastAsia="zh-CN"/>
        </w:rPr>
        <w:t>mg</w:t>
      </w:r>
      <w:r w:rsidR="00425B8C" w:rsidRPr="00106D84">
        <w:rPr>
          <w:rFonts w:eastAsia="SimSun"/>
          <w:sz w:val="22"/>
          <w:szCs w:val="22"/>
          <w:lang w:val="el-GR" w:eastAsia="zh-CN"/>
        </w:rPr>
        <w:t xml:space="preserve"> ημερησίως (το 11% μέχρι και 40 </w:t>
      </w:r>
      <w:r w:rsidR="00425B8C" w:rsidRPr="00106D84">
        <w:rPr>
          <w:rFonts w:eastAsia="SimSun"/>
          <w:sz w:val="22"/>
          <w:szCs w:val="22"/>
          <w:lang w:val="en-US" w:eastAsia="zh-CN"/>
        </w:rPr>
        <w:t>mg</w:t>
      </w:r>
      <w:r w:rsidR="00425B8C" w:rsidRPr="00106D84">
        <w:rPr>
          <w:rFonts w:eastAsia="SimSun"/>
          <w:sz w:val="22"/>
          <w:szCs w:val="22"/>
          <w:lang w:val="el-GR" w:eastAsia="zh-CN"/>
        </w:rPr>
        <w:t xml:space="preserve">) με ανοικτό τυφλής αξιολόγησης τυχαιοποιημένο προοπτικό σχεδιασμό. Το πρωτεύον σύνθετο καταληκτικό σημείο συμπεριελάμβανε ολική θνησιμότητα, αγγειοεγκεφαλικά συμβάματα (ΤΙΑ – παροδικό ισχαιμικό επισόδειο, </w:t>
      </w:r>
      <w:r w:rsidR="00425B8C" w:rsidRPr="00106D84">
        <w:rPr>
          <w:rFonts w:eastAsia="SimSun"/>
          <w:sz w:val="22"/>
          <w:szCs w:val="22"/>
          <w:lang w:val="en-US" w:eastAsia="zh-CN"/>
        </w:rPr>
        <w:t>PRIND</w:t>
      </w:r>
      <w:r w:rsidR="00425B8C" w:rsidRPr="00106D84">
        <w:rPr>
          <w:rFonts w:eastAsia="SimSun"/>
          <w:sz w:val="22"/>
          <w:szCs w:val="22"/>
          <w:lang w:val="el-GR" w:eastAsia="zh-CN"/>
        </w:rPr>
        <w:t xml:space="preserve"> – παρατεταμένη </w:t>
      </w:r>
      <w:r w:rsidR="00FC01C6" w:rsidRPr="00FC01C6">
        <w:rPr>
          <w:rFonts w:eastAsia="SimSun"/>
          <w:sz w:val="22"/>
          <w:szCs w:val="22"/>
          <w:lang w:val="el-GR" w:eastAsia="zh-CN"/>
        </w:rPr>
        <w:t>νευρολογική</w:t>
      </w:r>
      <w:r w:rsidR="00FC01C6" w:rsidRPr="00106D84">
        <w:rPr>
          <w:rFonts w:eastAsia="SimSun"/>
          <w:sz w:val="22"/>
          <w:szCs w:val="22"/>
          <w:lang w:val="el-GR" w:eastAsia="zh-CN"/>
        </w:rPr>
        <w:t xml:space="preserve"> </w:t>
      </w:r>
      <w:r w:rsidR="00425B8C" w:rsidRPr="00106D84">
        <w:rPr>
          <w:rFonts w:eastAsia="SimSun"/>
          <w:sz w:val="22"/>
          <w:szCs w:val="22"/>
          <w:lang w:val="el-GR" w:eastAsia="zh-CN"/>
        </w:rPr>
        <w:t xml:space="preserve">διαταραχή, αγγειακό εγκεφαλικό επεισόδιο) και καρδιαγγειακά συμβάματα (ασταθή στηθάγχη, έμφραγμα του μυοκαρδίου, καρδιακή ανεπάρκεια, πνευμονική εμβολή, θανατηφόρο καρδιακή αρρυθμία) συμπεριλαμβανομένων και υποτροπιαζόντων συμβαμάτων. Οι στόχοι για την αρτηριακή πίεση επληρώθηκαν καλώς και στα δύο σκέλη της αγωγής και διατηρήθηκαν καθ’ όλη τη διάρκεια της μελέτης. Για το πρωτεύον καταληκτικό σημείο επιδείχθηκαν σημαντικά καλύτερα αποτελέσματα για την ομάδα της επροσαρτάνης (μείωση του κινδύνου κατά 21%). </w:t>
      </w:r>
      <w:r w:rsidR="00F20784" w:rsidRPr="00106D84">
        <w:rPr>
          <w:rFonts w:eastAsia="SimSun"/>
          <w:sz w:val="22"/>
          <w:szCs w:val="22"/>
          <w:lang w:val="el-GR" w:eastAsia="zh-CN"/>
        </w:rPr>
        <w:t xml:space="preserve">Η ανάλυση του πρώτου συμβάματος έδωσε αριθμητική μείωση κατά 12% των αγγειοεγκεφαλικών και 30% για το καρδιαγγειακό καταληκτικό σημείο. </w:t>
      </w:r>
      <w:r w:rsidR="00425B8C" w:rsidRPr="00106D84">
        <w:rPr>
          <w:rFonts w:eastAsia="SimSun"/>
          <w:sz w:val="22"/>
          <w:szCs w:val="22"/>
          <w:lang w:val="el-GR" w:eastAsia="zh-CN"/>
        </w:rPr>
        <w:t xml:space="preserve">Αυτά τα αποτελέσματα προέκυψαν κυρίως από μείωση της συχνότητας εμφάνισης των ΤΙΑ/ </w:t>
      </w:r>
      <w:r w:rsidR="00425B8C" w:rsidRPr="00106D84">
        <w:rPr>
          <w:rFonts w:eastAsia="SimSun"/>
          <w:sz w:val="22"/>
          <w:szCs w:val="22"/>
          <w:lang w:val="en-US" w:eastAsia="zh-CN"/>
        </w:rPr>
        <w:t>PRIND</w:t>
      </w:r>
      <w:r w:rsidR="00425B8C" w:rsidRPr="00106D84">
        <w:rPr>
          <w:rFonts w:eastAsia="SimSun"/>
          <w:sz w:val="22"/>
          <w:szCs w:val="22"/>
          <w:lang w:val="el-GR" w:eastAsia="zh-CN"/>
        </w:rPr>
        <w:t xml:space="preserve">, ασταθούς στηθάγχης και καρδιακής ανεπάρκειας. Η ολική θνησιμότητα ήταν αριθμητικά ευνοϊκότερη για την νιτρενδιπίνη: Στην ομάδα της επροσαρτάνης απεβίωσαν 57 από τους 681 ασθενείς έναντι 52 από 671 ασθενείς της ομάδας της νιτρενδιπίνης (λόγος κινδύνου 1,07 και 95% διάστημα εμπιστοσύνης 0,73-1,56 με </w:t>
      </w:r>
      <w:r w:rsidR="00425B8C" w:rsidRPr="00106D84">
        <w:rPr>
          <w:rFonts w:eastAsia="SimSun"/>
          <w:sz w:val="22"/>
          <w:szCs w:val="22"/>
          <w:lang w:val="en-US" w:eastAsia="zh-CN"/>
        </w:rPr>
        <w:t>p</w:t>
      </w:r>
      <w:r w:rsidR="00425B8C" w:rsidRPr="00106D84">
        <w:rPr>
          <w:rFonts w:eastAsia="SimSun"/>
          <w:sz w:val="22"/>
          <w:szCs w:val="22"/>
          <w:lang w:val="el-GR" w:eastAsia="zh-CN"/>
        </w:rPr>
        <w:t>=0,725). Θα</w:t>
      </w:r>
      <w:r w:rsidR="0090644F" w:rsidRPr="00106D84">
        <w:rPr>
          <w:rFonts w:eastAsia="SimSun"/>
          <w:sz w:val="22"/>
          <w:szCs w:val="22"/>
          <w:lang w:val="el-GR" w:eastAsia="zh-CN"/>
        </w:rPr>
        <w:t>ν</w:t>
      </w:r>
      <w:r w:rsidR="00425B8C" w:rsidRPr="00106D84">
        <w:rPr>
          <w:rFonts w:eastAsia="SimSun"/>
          <w:sz w:val="22"/>
          <w:szCs w:val="22"/>
          <w:lang w:val="el-GR" w:eastAsia="zh-CN"/>
        </w:rPr>
        <w:t xml:space="preserve">ατηφόρα και μη θανατηφόρα εμφράγματα του μυοκαρδίου σημειώθηκαν σε 18 έναντι 20 ασθενών και  αγγειακά εγκεφαλικά επεισόδια σε 36 έναντι 42 ασθενείς, δηλ. αριθμητικά ευνοήθηκε η επροσαρτάνη. Για το πρωτεύον καταληκτικό σημείο, η επίδραση της επροσαρτάνης φαίνεται να είναι πιο σαφής σε ασθενείς που δεν ελάμβαναν βήτα-αποκλειστές.   </w:t>
      </w:r>
    </w:p>
    <w:p w:rsidR="00BA7625" w:rsidRPr="00106D84" w:rsidRDefault="00BA7625" w:rsidP="00BA7625">
      <w:pPr>
        <w:tabs>
          <w:tab w:val="left" w:pos="426"/>
          <w:tab w:val="left" w:pos="851"/>
        </w:tabs>
        <w:ind w:left="426"/>
        <w:rPr>
          <w:rFonts w:eastAsia="SimSun"/>
          <w:sz w:val="22"/>
          <w:szCs w:val="22"/>
          <w:lang w:val="el-GR" w:eastAsia="zh-CN"/>
        </w:rPr>
      </w:pPr>
    </w:p>
    <w:p w:rsidR="0018188D" w:rsidRPr="00106D84" w:rsidRDefault="0018188D">
      <w:pPr>
        <w:tabs>
          <w:tab w:val="left" w:pos="426"/>
          <w:tab w:val="left" w:pos="851"/>
        </w:tabs>
        <w:ind w:left="426"/>
        <w:rPr>
          <w:sz w:val="22"/>
          <w:lang w:val="el-GR"/>
        </w:rPr>
      </w:pPr>
      <w:r w:rsidRPr="00106D84">
        <w:rPr>
          <w:sz w:val="22"/>
          <w:lang w:val="el-GR"/>
        </w:rPr>
        <w:t>Η επροσαρτάνη δεν θίγει τους αυτορρυθμιστικούς μηχανισμούς του νεφρού. Σε φυσιολογικούς άρρενες ενήλικες η επροσαρτάνη αποδείχτηκε ότι αυξάνει τη μέση αποτελεσματική ροή του πλάσματος στο νε</w:t>
      </w:r>
      <w:r w:rsidR="000F6B8A" w:rsidRPr="00106D84">
        <w:rPr>
          <w:sz w:val="22"/>
          <w:lang w:val="el-GR"/>
        </w:rPr>
        <w:t>φρό.</w:t>
      </w:r>
      <w:r w:rsidRPr="00106D84">
        <w:rPr>
          <w:sz w:val="22"/>
          <w:lang w:val="el-GR"/>
        </w:rPr>
        <w:t xml:space="preserve"> Η επροσαρτάνη δεν </w:t>
      </w:r>
      <w:r w:rsidR="005621A8" w:rsidRPr="00106D84">
        <w:rPr>
          <w:sz w:val="22"/>
          <w:lang w:val="el-GR"/>
        </w:rPr>
        <w:t xml:space="preserve">επιβαρύνει την </w:t>
      </w:r>
      <w:r w:rsidRPr="00106D84">
        <w:rPr>
          <w:sz w:val="22"/>
          <w:lang w:val="el-GR"/>
        </w:rPr>
        <w:t xml:space="preserve">νεφρική λειτουργία σε ασθενείς με ιδιοπαθή υπέρταση και σε </w:t>
      </w:r>
      <w:r w:rsidR="000F6B8A" w:rsidRPr="00106D84">
        <w:rPr>
          <w:sz w:val="22"/>
          <w:lang w:val="el-GR"/>
        </w:rPr>
        <w:t>ασθενείς με νεφρική ανεπάρκεια.</w:t>
      </w:r>
      <w:r w:rsidRPr="00106D84">
        <w:rPr>
          <w:sz w:val="22"/>
          <w:lang w:val="el-GR"/>
        </w:rPr>
        <w:t xml:space="preserve"> Η επροσαρτάνη δεν ελαττώνει την ταχύτητα της σπειραματικής διήθησης σε φυσιολογικούς άρρενες, σε ασθενείς με υπέρταση ή σε ασθενείς με διαφό</w:t>
      </w:r>
      <w:r w:rsidR="00175CEA" w:rsidRPr="00106D84">
        <w:rPr>
          <w:sz w:val="22"/>
          <w:lang w:val="el-GR"/>
        </w:rPr>
        <w:t xml:space="preserve">ρου βαθμού </w:t>
      </w:r>
      <w:r w:rsidR="00175CEA" w:rsidRPr="00106D84">
        <w:rPr>
          <w:sz w:val="22"/>
          <w:lang w:val="el-GR"/>
        </w:rPr>
        <w:lastRenderedPageBreak/>
        <w:t xml:space="preserve">νεφρική ανεπάρκεια. </w:t>
      </w:r>
      <w:r w:rsidRPr="00106D84">
        <w:rPr>
          <w:sz w:val="22"/>
          <w:lang w:val="el-GR"/>
        </w:rPr>
        <w:t>Η επροσαρτάνη έχει νατριοδιουρητικό αποτέλεσμα σε φυσιολογικά άτομα π</w:t>
      </w:r>
      <w:r w:rsidR="00175CEA" w:rsidRPr="00106D84">
        <w:rPr>
          <w:sz w:val="22"/>
          <w:lang w:val="el-GR"/>
        </w:rPr>
        <w:t>ου έχουν τεθεί σε άναλο δίαιτα.</w:t>
      </w:r>
      <w:r w:rsidRPr="00106D84">
        <w:rPr>
          <w:sz w:val="22"/>
          <w:lang w:val="el-GR"/>
        </w:rPr>
        <w:t xml:space="preserve"> Η επροσαρτάνη μπορεί να χορηγηθεί με ασφάλεια σε ασθενείς με ιδιοπαθή υπέρταση και σε ασθενείς με διαφόρου βαθμού νεφρική ανεπάρκεια χωρίς να προκαλεί κατακράτηση νατρίου ή επιδείνωση της νεφρικής λειτουργίας.</w:t>
      </w:r>
    </w:p>
    <w:p w:rsidR="0018188D" w:rsidRPr="00106D84" w:rsidRDefault="0018188D">
      <w:pPr>
        <w:tabs>
          <w:tab w:val="left" w:pos="426"/>
          <w:tab w:val="left" w:pos="851"/>
        </w:tabs>
        <w:ind w:left="426"/>
        <w:rPr>
          <w:sz w:val="22"/>
          <w:lang w:val="el-GR"/>
        </w:rPr>
      </w:pPr>
    </w:p>
    <w:p w:rsidR="0018188D" w:rsidRPr="00106D84" w:rsidRDefault="0018188D">
      <w:pPr>
        <w:tabs>
          <w:tab w:val="left" w:pos="426"/>
          <w:tab w:val="left" w:pos="851"/>
        </w:tabs>
        <w:ind w:left="426"/>
        <w:rPr>
          <w:sz w:val="22"/>
          <w:lang w:val="el-GR"/>
        </w:rPr>
      </w:pPr>
      <w:r w:rsidRPr="00106D84">
        <w:rPr>
          <w:sz w:val="22"/>
          <w:lang w:val="el-GR"/>
        </w:rPr>
        <w:t>Η επροσαρτάνη δεν επηρεάζει σημαντικά την απέκκριση του ουρικού οξέος στα ούρα.</w:t>
      </w:r>
    </w:p>
    <w:p w:rsidR="0018188D" w:rsidRPr="00106D84" w:rsidRDefault="0018188D">
      <w:pPr>
        <w:tabs>
          <w:tab w:val="left" w:pos="426"/>
          <w:tab w:val="left" w:pos="851"/>
        </w:tabs>
        <w:ind w:left="426"/>
        <w:rPr>
          <w:sz w:val="22"/>
          <w:lang w:val="el-GR"/>
        </w:rPr>
      </w:pPr>
    </w:p>
    <w:p w:rsidR="0018188D" w:rsidRPr="00106D84" w:rsidRDefault="0018188D">
      <w:pPr>
        <w:tabs>
          <w:tab w:val="left" w:pos="426"/>
          <w:tab w:val="left" w:pos="851"/>
        </w:tabs>
        <w:ind w:left="426"/>
        <w:rPr>
          <w:sz w:val="22"/>
          <w:lang w:val="el-GR"/>
        </w:rPr>
      </w:pPr>
      <w:r w:rsidRPr="00106D84">
        <w:rPr>
          <w:sz w:val="22"/>
          <w:lang w:val="el-GR"/>
        </w:rPr>
        <w:t>Η επροσαρτάνη δεν ενισχύει μηχανισμούς που σχετίζονται με τη βραδυκινίνη (μέσω της δράσης του μετατρεπτικού ενζύμου της αγγειοτασίνης - ΜΕΑ), π.χ. το βήχα.  Σε μία μελέτη που σχεδιάστηκε ειδικά για να συγκρίνει τη συχνότητα του βήχα σε ασθενείς που υποβάλλονταν σε θεραπεία με την επροσαρτάνη σε σύγκριση με εκείνους που ελάμβαναν έναν αναστολέα του μετατρεπτικού ενζύμου της αγγειοτασίνης, η συχνότητα του ξηρού, επίμονου βήχα σε ασθενείς που ελάμβαναν την επροσαρτάνη (1,5%) ήταν σημαντικά χαμηλότερη (</w:t>
      </w:r>
      <w:r w:rsidRPr="00106D84">
        <w:rPr>
          <w:sz w:val="22"/>
        </w:rPr>
        <w:t>p</w:t>
      </w:r>
      <w:r w:rsidRPr="00106D84">
        <w:rPr>
          <w:sz w:val="22"/>
          <w:lang w:val="el-GR"/>
        </w:rPr>
        <w:t>&lt;0,05) από εκείνη που παρατηρήθηκε σε ασθενείς που ελάμβαναν τον αναστολέα του μετατρεπτικού ενζύμου της αγγειοτασίνης (5,4%). Σε μία άλλη μελέτη που ερεύνησε τη συχνότητα του βήχα σε ασθενείς που έβηχαν προηγουμένως, ενώ τους χορηγούνταν ένας αναστολέας του ΜΕΑ, η συχνότητα του ξηρού, επίμονου βήχα με την επροσαρτάνη ήταν 2,6%, ενώ με το εικονικό φάρμακο 2,7% και με ένα αναστολέα του ΜΕΑ 25,0% (</w:t>
      </w:r>
      <w:r w:rsidRPr="00106D84">
        <w:rPr>
          <w:sz w:val="22"/>
        </w:rPr>
        <w:t>p</w:t>
      </w:r>
      <w:r w:rsidRPr="00106D84">
        <w:rPr>
          <w:sz w:val="22"/>
        </w:rPr>
        <w:sym w:font="Times New Roman" w:char="003C"/>
      </w:r>
      <w:r w:rsidRPr="00106D84">
        <w:rPr>
          <w:sz w:val="22"/>
          <w:lang w:val="el-GR"/>
        </w:rPr>
        <w:t>0.01 για την επροσαρτάνη έναντι του αναστολέα του ΜΕΑ).</w:t>
      </w:r>
    </w:p>
    <w:p w:rsidR="00E43AE9" w:rsidRPr="00106D84" w:rsidRDefault="00E43AE9" w:rsidP="00175CEA">
      <w:pPr>
        <w:tabs>
          <w:tab w:val="left" w:pos="426"/>
          <w:tab w:val="left" w:pos="851"/>
        </w:tabs>
        <w:ind w:left="426"/>
        <w:rPr>
          <w:sz w:val="22"/>
          <w:lang w:val="el-GR"/>
        </w:rPr>
      </w:pPr>
      <w:r w:rsidRPr="00106D84">
        <w:rPr>
          <w:sz w:val="22"/>
          <w:lang w:val="el-GR"/>
        </w:rPr>
        <w:t xml:space="preserve"> </w:t>
      </w:r>
    </w:p>
    <w:p w:rsidR="0018188D" w:rsidRPr="00106D84" w:rsidRDefault="0018188D">
      <w:pPr>
        <w:tabs>
          <w:tab w:val="left" w:pos="426"/>
          <w:tab w:val="left" w:pos="851"/>
        </w:tabs>
        <w:ind w:left="426"/>
        <w:rPr>
          <w:sz w:val="22"/>
          <w:lang w:val="el-GR"/>
        </w:rPr>
      </w:pPr>
      <w:r w:rsidRPr="00106D84">
        <w:rPr>
          <w:sz w:val="22"/>
          <w:lang w:val="el-GR"/>
        </w:rPr>
        <w:t>Σε τρεις κλινικές μελέτες (</w:t>
      </w:r>
      <w:r w:rsidR="001D0A32" w:rsidRPr="00106D84">
        <w:rPr>
          <w:sz w:val="22"/>
          <w:lang w:val="el-GR"/>
        </w:rPr>
        <w:t xml:space="preserve">ν = </w:t>
      </w:r>
      <w:r w:rsidRPr="00106D84">
        <w:rPr>
          <w:sz w:val="22"/>
          <w:lang w:val="el-GR"/>
        </w:rPr>
        <w:t>791 ασθενείς) η αντιυπερτασική δράση της επροσαρτάνης αποδείχτηκε τουλάχιστον εξ ίσου αποτελεσματική με αυτήν της εναλαπρίλης (αναστολέα του ΜΕΑ), με μία μελέτη σε βαριά υπέρταση να δείχνει στατιστικώς σημαντικά μεγαλύτερη ελάττωση της συστολικής πίεσης σε καθιστή και όρθια θέση για την επροσαρτάνη συγκριτικά με την εναλαπρίλη.</w:t>
      </w:r>
    </w:p>
    <w:p w:rsidR="0018188D" w:rsidRPr="00106D84" w:rsidRDefault="0018188D">
      <w:pPr>
        <w:tabs>
          <w:tab w:val="left" w:pos="426"/>
          <w:tab w:val="left" w:pos="851"/>
        </w:tabs>
        <w:ind w:left="426"/>
        <w:rPr>
          <w:sz w:val="22"/>
          <w:lang w:val="el-GR"/>
        </w:rPr>
      </w:pPr>
    </w:p>
    <w:p w:rsidR="0018188D" w:rsidRPr="00106D84" w:rsidRDefault="0018188D">
      <w:pPr>
        <w:tabs>
          <w:tab w:val="left" w:pos="426"/>
          <w:tab w:val="left" w:pos="851"/>
        </w:tabs>
        <w:ind w:left="426"/>
        <w:rPr>
          <w:b/>
          <w:sz w:val="22"/>
          <w:lang w:val="el-GR"/>
        </w:rPr>
      </w:pPr>
      <w:r w:rsidRPr="00106D84">
        <w:rPr>
          <w:b/>
          <w:sz w:val="22"/>
          <w:lang w:val="el-GR"/>
        </w:rPr>
        <w:t>5.2</w:t>
      </w:r>
      <w:r w:rsidRPr="00106D84">
        <w:rPr>
          <w:b/>
          <w:sz w:val="22"/>
          <w:lang w:val="el-GR"/>
        </w:rPr>
        <w:tab/>
        <w:t>Φαρμακοκινητικές ιδιότητες</w:t>
      </w:r>
    </w:p>
    <w:p w:rsidR="0018188D" w:rsidRPr="00106D84" w:rsidRDefault="0018188D">
      <w:pPr>
        <w:tabs>
          <w:tab w:val="left" w:pos="426"/>
          <w:tab w:val="left" w:pos="851"/>
        </w:tabs>
        <w:ind w:left="426"/>
        <w:rPr>
          <w:sz w:val="22"/>
          <w:lang w:val="el-GR"/>
        </w:rPr>
      </w:pPr>
    </w:p>
    <w:p w:rsidR="0018188D" w:rsidRPr="00106D84" w:rsidRDefault="0018188D" w:rsidP="00C71EAA">
      <w:pPr>
        <w:tabs>
          <w:tab w:val="left" w:pos="426"/>
          <w:tab w:val="left" w:pos="851"/>
          <w:tab w:val="left" w:pos="2880"/>
        </w:tabs>
        <w:ind w:left="426"/>
        <w:rPr>
          <w:sz w:val="22"/>
          <w:lang w:val="el-GR"/>
        </w:rPr>
      </w:pPr>
      <w:r w:rsidRPr="00106D84">
        <w:rPr>
          <w:sz w:val="22"/>
          <w:lang w:val="el-GR"/>
        </w:rPr>
        <w:t>Η απόλυτη βιοδιαθεσιμότητα μετά την από του στόματος εφάπαξ χορήγηση 300</w:t>
      </w:r>
      <w:r w:rsidRPr="00106D84">
        <w:rPr>
          <w:sz w:val="22"/>
        </w:rPr>
        <w:t>mg</w:t>
      </w:r>
      <w:r w:rsidRPr="00106D84">
        <w:rPr>
          <w:sz w:val="22"/>
          <w:lang w:val="el-GR"/>
        </w:rPr>
        <w:t xml:space="preserve"> επροσαρτάνης είναι περίπου 13%, λόγω της περιορισμένης από του στόματος απορρόφησης. Η μέγιστη συγκέντρωση της</w:t>
      </w:r>
      <w:r w:rsidRPr="00106D84">
        <w:rPr>
          <w:b/>
          <w:sz w:val="22"/>
          <w:lang w:val="el-GR"/>
        </w:rPr>
        <w:t xml:space="preserve"> </w:t>
      </w:r>
      <w:r w:rsidRPr="00106D84">
        <w:rPr>
          <w:sz w:val="22"/>
          <w:lang w:val="el-GR"/>
        </w:rPr>
        <w:t>επροσαρτάνης στο πλάσμα επιτυγχάνεται σε 1 έως 2 ώρες μετά την από του στόματος</w:t>
      </w:r>
      <w:r w:rsidR="000F6B8A" w:rsidRPr="00106D84">
        <w:rPr>
          <w:sz w:val="22"/>
          <w:lang w:val="el-GR"/>
        </w:rPr>
        <w:t xml:space="preserve"> χορήγησή της σε νηστικά άτομα.</w:t>
      </w:r>
      <w:r w:rsidRPr="00106D84">
        <w:rPr>
          <w:sz w:val="22"/>
          <w:lang w:val="el-GR"/>
        </w:rPr>
        <w:t xml:space="preserve"> Οι συγκεντρώσεις πλάσματος είναι ευθέως ανάλογες των χορηγούμενων δόσεων για εύρος δόσεων 100 ως 200 </w:t>
      </w:r>
      <w:r w:rsidRPr="00106D84">
        <w:rPr>
          <w:sz w:val="22"/>
        </w:rPr>
        <w:t>mg</w:t>
      </w:r>
      <w:r w:rsidRPr="00106D84">
        <w:rPr>
          <w:sz w:val="22"/>
          <w:lang w:val="el-GR"/>
        </w:rPr>
        <w:t xml:space="preserve">, αλλά αναλογικά μικρότερες για εύρος δόσεων 400 ως 800 </w:t>
      </w:r>
      <w:r w:rsidRPr="00106D84">
        <w:rPr>
          <w:sz w:val="22"/>
        </w:rPr>
        <w:t>mg</w:t>
      </w:r>
      <w:r w:rsidR="000F6B8A" w:rsidRPr="00106D84">
        <w:rPr>
          <w:sz w:val="22"/>
          <w:lang w:val="el-GR"/>
        </w:rPr>
        <w:t xml:space="preserve">. </w:t>
      </w:r>
      <w:r w:rsidRPr="00106D84">
        <w:rPr>
          <w:sz w:val="22"/>
          <w:lang w:val="el-GR"/>
        </w:rPr>
        <w:t xml:space="preserve">Ο τελικός χρόνος </w:t>
      </w:r>
      <w:r w:rsidR="00826D1C" w:rsidRPr="00106D84">
        <w:rPr>
          <w:sz w:val="22"/>
          <w:lang w:val="el-GR"/>
        </w:rPr>
        <w:t xml:space="preserve">ημίσειας ζωής της αποβολής </w:t>
      </w:r>
      <w:r w:rsidRPr="00106D84">
        <w:rPr>
          <w:sz w:val="22"/>
          <w:lang w:val="el-GR"/>
        </w:rPr>
        <w:t>της επροσαρτάνης μετά την από του στόματος χορήγησή</w:t>
      </w:r>
      <w:r w:rsidR="00513219" w:rsidRPr="00106D84">
        <w:rPr>
          <w:sz w:val="22"/>
          <w:lang w:val="el-GR"/>
        </w:rPr>
        <w:t xml:space="preserve"> της είναι συνήθως 5 ως 9 ώρες.</w:t>
      </w:r>
      <w:r w:rsidRPr="00106D84">
        <w:rPr>
          <w:sz w:val="22"/>
          <w:lang w:val="el-GR"/>
        </w:rPr>
        <w:t xml:space="preserve"> Η επροσαρτάνη δεν αθροίζεται σημαντικά κατά τη χρόνια χορήγηση. Η χορήγηση της επροσαρτάνης μαζί με τροφή καθυστερεί την απορρόφηση της πρώτης με μικρές μεταβολές (&lt;25%) να παρατηρούντα</w:t>
      </w:r>
      <w:r w:rsidR="000F6B8A" w:rsidRPr="00106D84">
        <w:rPr>
          <w:sz w:val="22"/>
          <w:lang w:val="el-GR"/>
        </w:rPr>
        <w:t xml:space="preserve">ι στις </w:t>
      </w:r>
      <w:r w:rsidRPr="00106D84">
        <w:rPr>
          <w:sz w:val="22"/>
        </w:rPr>
        <w:t>C</w:t>
      </w:r>
      <w:r w:rsidRPr="00106D84">
        <w:rPr>
          <w:sz w:val="22"/>
          <w:vertAlign w:val="subscript"/>
        </w:rPr>
        <w:t>max</w:t>
      </w:r>
      <w:r w:rsidRPr="00106D84">
        <w:rPr>
          <w:sz w:val="22"/>
          <w:lang w:val="el-GR"/>
        </w:rPr>
        <w:t xml:space="preserve"> και </w:t>
      </w:r>
      <w:r w:rsidRPr="00106D84">
        <w:rPr>
          <w:sz w:val="22"/>
        </w:rPr>
        <w:t>AUC</w:t>
      </w:r>
      <w:r w:rsidRPr="00106D84">
        <w:rPr>
          <w:sz w:val="22"/>
          <w:lang w:val="el-GR"/>
        </w:rPr>
        <w:t>, χωρίς κλινικές συνέπειες.</w:t>
      </w:r>
    </w:p>
    <w:p w:rsidR="0018188D" w:rsidRPr="00106D84" w:rsidRDefault="0018188D">
      <w:pPr>
        <w:tabs>
          <w:tab w:val="left" w:pos="426"/>
          <w:tab w:val="left" w:pos="851"/>
        </w:tabs>
        <w:ind w:left="426"/>
        <w:rPr>
          <w:sz w:val="22"/>
          <w:lang w:val="el-GR"/>
        </w:rPr>
      </w:pPr>
    </w:p>
    <w:p w:rsidR="0018188D" w:rsidRPr="00106D84" w:rsidRDefault="0018188D">
      <w:pPr>
        <w:tabs>
          <w:tab w:val="left" w:pos="426"/>
          <w:tab w:val="left" w:pos="851"/>
        </w:tabs>
        <w:ind w:left="426"/>
        <w:rPr>
          <w:sz w:val="22"/>
          <w:lang w:val="el-GR"/>
        </w:rPr>
      </w:pPr>
      <w:r w:rsidRPr="00106D84">
        <w:rPr>
          <w:sz w:val="22"/>
          <w:lang w:val="el-GR"/>
        </w:rPr>
        <w:t>Η σύνδεση της επροσαρτάνης με τις πρωτε</w:t>
      </w:r>
      <w:r w:rsidR="009B7039" w:rsidRPr="00106D84">
        <w:rPr>
          <w:sz w:val="22"/>
          <w:lang w:val="el-GR"/>
        </w:rPr>
        <w:t>ΐ</w:t>
      </w:r>
      <w:r w:rsidRPr="00106D84">
        <w:rPr>
          <w:sz w:val="22"/>
          <w:lang w:val="el-GR"/>
        </w:rPr>
        <w:t>νες του πλάσματος είναι υψηλή (περίπου 98%) και σταθερή για το εύρος των συγκεντρώσεων που επιτυγχάνοντ</w:t>
      </w:r>
      <w:r w:rsidR="000F6B8A" w:rsidRPr="00106D84">
        <w:rPr>
          <w:sz w:val="22"/>
          <w:lang w:val="el-GR"/>
        </w:rPr>
        <w:t xml:space="preserve">αι με τις θεραπευτικές δόσεις. </w:t>
      </w:r>
      <w:r w:rsidRPr="00106D84">
        <w:rPr>
          <w:sz w:val="22"/>
          <w:lang w:val="el-GR"/>
        </w:rPr>
        <w:t>Η έκταση της σύνδεσης με τις πρωτε</w:t>
      </w:r>
      <w:r w:rsidR="009B7039" w:rsidRPr="00106D84">
        <w:rPr>
          <w:sz w:val="22"/>
          <w:lang w:val="el-GR"/>
        </w:rPr>
        <w:t>ΐ</w:t>
      </w:r>
      <w:r w:rsidRPr="00106D84">
        <w:rPr>
          <w:sz w:val="22"/>
          <w:lang w:val="el-GR"/>
        </w:rPr>
        <w:t>νες του πλάσματος δεν επηρεάζεται από το φύλο, την ηλικία, την ηπατική δυσλειτουργία ή την ελαφρά ως μέτριας βαρύτητας νεφρική ανεπάρκεια, αλλά έχει αποδειχθεί πως ελαττώνεται σε μικρό αριθμό ασθενών με βαριά νεφρική ανεπάρκεια.</w:t>
      </w:r>
    </w:p>
    <w:p w:rsidR="0018188D" w:rsidRPr="00106D84" w:rsidRDefault="0018188D">
      <w:pPr>
        <w:tabs>
          <w:tab w:val="left" w:pos="426"/>
          <w:tab w:val="left" w:pos="851"/>
        </w:tabs>
        <w:ind w:left="426"/>
        <w:rPr>
          <w:sz w:val="22"/>
          <w:lang w:val="el-GR"/>
        </w:rPr>
      </w:pPr>
    </w:p>
    <w:p w:rsidR="0018188D" w:rsidRPr="00106D84" w:rsidRDefault="0018188D">
      <w:pPr>
        <w:tabs>
          <w:tab w:val="left" w:pos="426"/>
          <w:tab w:val="left" w:pos="851"/>
        </w:tabs>
        <w:ind w:left="426"/>
        <w:rPr>
          <w:sz w:val="22"/>
          <w:lang w:val="el-GR"/>
        </w:rPr>
      </w:pPr>
      <w:r w:rsidRPr="00106D84">
        <w:rPr>
          <w:sz w:val="22"/>
          <w:lang w:val="el-GR"/>
        </w:rPr>
        <w:t xml:space="preserve">Μετά την ενδοφλέβια χορήγηση επισημασμένης με </w:t>
      </w:r>
      <w:r w:rsidRPr="00106D84">
        <w:rPr>
          <w:sz w:val="22"/>
        </w:rPr>
        <w:sym w:font="Times New Roman" w:char="005B"/>
      </w:r>
      <w:r w:rsidRPr="00106D84">
        <w:rPr>
          <w:sz w:val="22"/>
          <w:vertAlign w:val="superscript"/>
          <w:lang w:val="el-GR"/>
        </w:rPr>
        <w:t>14</w:t>
      </w:r>
      <w:r w:rsidRPr="00106D84">
        <w:rPr>
          <w:sz w:val="22"/>
        </w:rPr>
        <w:t>C</w:t>
      </w:r>
      <w:r w:rsidRPr="00106D84">
        <w:rPr>
          <w:sz w:val="22"/>
        </w:rPr>
        <w:sym w:font="Times New Roman" w:char="005D"/>
      </w:r>
      <w:r w:rsidRPr="00106D84">
        <w:rPr>
          <w:sz w:val="22"/>
          <w:lang w:val="el-GR"/>
        </w:rPr>
        <w:t xml:space="preserve"> επροσαρτάνης, περίπου 61% της ραδιενέργειας ανιχνεύθηκε στα κόπρανα και περίπου 37% στα ούρα. Μετά την από του στόματος χορήγηση </w:t>
      </w:r>
      <w:r w:rsidRPr="00106D84">
        <w:rPr>
          <w:sz w:val="22"/>
        </w:rPr>
        <w:sym w:font="Times New Roman" w:char="005B"/>
      </w:r>
      <w:r w:rsidRPr="00106D84">
        <w:rPr>
          <w:sz w:val="22"/>
          <w:vertAlign w:val="superscript"/>
          <w:lang w:val="el-GR"/>
        </w:rPr>
        <w:t>14</w:t>
      </w:r>
      <w:r w:rsidRPr="00106D84">
        <w:rPr>
          <w:sz w:val="22"/>
        </w:rPr>
        <w:t>C</w:t>
      </w:r>
      <w:r w:rsidRPr="00106D84">
        <w:rPr>
          <w:sz w:val="22"/>
        </w:rPr>
        <w:sym w:font="Times New Roman" w:char="005D"/>
      </w:r>
      <w:r w:rsidRPr="00106D84">
        <w:rPr>
          <w:sz w:val="22"/>
          <w:lang w:val="el-GR"/>
        </w:rPr>
        <w:t xml:space="preserve"> επροσαρτάνης, περίπου 90% της ραδιενέργειας ανιχνεύθηκε στα κόπρανα και περίπου 7% στα ούρα.</w:t>
      </w:r>
    </w:p>
    <w:p w:rsidR="00615422" w:rsidRPr="00106D84" w:rsidRDefault="00615422">
      <w:pPr>
        <w:tabs>
          <w:tab w:val="left" w:pos="426"/>
          <w:tab w:val="left" w:pos="851"/>
        </w:tabs>
        <w:ind w:left="426"/>
        <w:rPr>
          <w:sz w:val="22"/>
          <w:lang w:val="el-GR"/>
        </w:rPr>
      </w:pPr>
    </w:p>
    <w:p w:rsidR="0018188D" w:rsidRPr="00106D84" w:rsidRDefault="0018188D">
      <w:pPr>
        <w:tabs>
          <w:tab w:val="left" w:pos="426"/>
          <w:tab w:val="left" w:pos="851"/>
        </w:tabs>
        <w:ind w:left="426"/>
        <w:rPr>
          <w:sz w:val="22"/>
          <w:lang w:val="el-GR"/>
        </w:rPr>
      </w:pPr>
      <w:r w:rsidRPr="00106D84">
        <w:rPr>
          <w:sz w:val="22"/>
          <w:lang w:val="el-GR"/>
        </w:rPr>
        <w:lastRenderedPageBreak/>
        <w:t xml:space="preserve">Μετά την από του στόματος και την ενδοφλέβια χορήγηση </w:t>
      </w:r>
      <w:r w:rsidRPr="00106D84">
        <w:rPr>
          <w:sz w:val="22"/>
        </w:rPr>
        <w:sym w:font="Times New Roman" w:char="005B"/>
      </w:r>
      <w:r w:rsidRPr="00106D84">
        <w:rPr>
          <w:sz w:val="22"/>
          <w:vertAlign w:val="superscript"/>
          <w:lang w:val="el-GR"/>
        </w:rPr>
        <w:t>14</w:t>
      </w:r>
      <w:r w:rsidRPr="00106D84">
        <w:rPr>
          <w:sz w:val="22"/>
        </w:rPr>
        <w:t>C</w:t>
      </w:r>
      <w:r w:rsidRPr="00106D84">
        <w:rPr>
          <w:sz w:val="22"/>
        </w:rPr>
        <w:sym w:font="Times New Roman" w:char="005D"/>
      </w:r>
      <w:r w:rsidRPr="00106D84">
        <w:rPr>
          <w:sz w:val="22"/>
          <w:lang w:val="el-GR"/>
        </w:rPr>
        <w:t xml:space="preserve"> επροσαρτάνης στον άνθρωπο, η επροσαρτάνη ήταν η μόνη ουσία από το χορηγηθέν φάρμακο που ανευρέθηκε στο πλάσμα και τα κόπρανα. Στα ούρα, ποσοστό περίπου 20% της ραδιενέργειας που απεκκρίθηκε ήταν ένα ακύλιο του γλυκουρονιδίου της επροσαρτάνης, ενώ το υπόλοιπο 80% ήταν αμετάβλητη επροσαρτάνη.</w:t>
      </w:r>
    </w:p>
    <w:p w:rsidR="0018188D" w:rsidRPr="00106D84" w:rsidRDefault="0018188D">
      <w:pPr>
        <w:tabs>
          <w:tab w:val="left" w:pos="426"/>
          <w:tab w:val="left" w:pos="851"/>
        </w:tabs>
        <w:ind w:left="426"/>
        <w:rPr>
          <w:sz w:val="22"/>
          <w:lang w:val="el-GR"/>
        </w:rPr>
      </w:pPr>
    </w:p>
    <w:p w:rsidR="0018188D" w:rsidRPr="00106D84" w:rsidRDefault="0018188D">
      <w:pPr>
        <w:tabs>
          <w:tab w:val="left" w:pos="426"/>
          <w:tab w:val="left" w:pos="851"/>
        </w:tabs>
        <w:ind w:left="426"/>
        <w:rPr>
          <w:sz w:val="22"/>
          <w:lang w:val="el-GR"/>
        </w:rPr>
      </w:pPr>
      <w:r w:rsidRPr="00106D84">
        <w:rPr>
          <w:sz w:val="22"/>
          <w:lang w:val="el-GR"/>
        </w:rPr>
        <w:t xml:space="preserve">Ο όγκος κατανομής της επροσαρτάνης είναι περίπου 13 λίτρα. Η ολική κάθαρση του πλάσματος είναι περίπου 130 </w:t>
      </w:r>
      <w:r w:rsidRPr="00106D84">
        <w:rPr>
          <w:sz w:val="22"/>
        </w:rPr>
        <w:t>m</w:t>
      </w:r>
      <w:r w:rsidRPr="00106D84">
        <w:rPr>
          <w:sz w:val="22"/>
          <w:lang w:val="en-US"/>
        </w:rPr>
        <w:t>l</w:t>
      </w:r>
      <w:r w:rsidRPr="00106D84">
        <w:rPr>
          <w:sz w:val="22"/>
          <w:lang w:val="el-GR"/>
        </w:rPr>
        <w:t>/</w:t>
      </w:r>
      <w:r w:rsidRPr="00106D84">
        <w:rPr>
          <w:sz w:val="22"/>
        </w:rPr>
        <w:t>min</w:t>
      </w:r>
      <w:r w:rsidRPr="00106D84">
        <w:rPr>
          <w:sz w:val="22"/>
          <w:lang w:val="el-GR"/>
        </w:rPr>
        <w:t>. Η χοληφόρος και νεφρική απέκκριση συμβάλλουν στην αποβολή της επροσαρτάνης.</w:t>
      </w:r>
    </w:p>
    <w:p w:rsidR="00615422" w:rsidRPr="00106D84" w:rsidRDefault="00615422">
      <w:pPr>
        <w:tabs>
          <w:tab w:val="left" w:pos="426"/>
          <w:tab w:val="left" w:pos="851"/>
        </w:tabs>
        <w:ind w:left="426"/>
        <w:rPr>
          <w:sz w:val="22"/>
          <w:lang w:val="el-GR"/>
        </w:rPr>
      </w:pPr>
    </w:p>
    <w:p w:rsidR="0018188D" w:rsidRPr="00106D84" w:rsidRDefault="0018188D">
      <w:pPr>
        <w:tabs>
          <w:tab w:val="left" w:pos="426"/>
          <w:tab w:val="left" w:pos="851"/>
        </w:tabs>
        <w:ind w:left="426"/>
        <w:rPr>
          <w:sz w:val="22"/>
          <w:lang w:val="el-GR"/>
        </w:rPr>
      </w:pPr>
      <w:r w:rsidRPr="00106D84">
        <w:rPr>
          <w:sz w:val="22"/>
          <w:lang w:val="el-GR"/>
        </w:rPr>
        <w:t xml:space="preserve">Οι τιμές των </w:t>
      </w:r>
      <w:r w:rsidRPr="00106D84">
        <w:rPr>
          <w:sz w:val="22"/>
        </w:rPr>
        <w:t>AUC</w:t>
      </w:r>
      <w:r w:rsidRPr="00106D84">
        <w:rPr>
          <w:sz w:val="22"/>
          <w:lang w:val="el-GR"/>
        </w:rPr>
        <w:t xml:space="preserve"> και </w:t>
      </w:r>
      <w:r w:rsidRPr="00106D84">
        <w:rPr>
          <w:sz w:val="22"/>
        </w:rPr>
        <w:t>C</w:t>
      </w:r>
      <w:r w:rsidRPr="00106D84">
        <w:rPr>
          <w:sz w:val="22"/>
          <w:vertAlign w:val="subscript"/>
        </w:rPr>
        <w:t>max</w:t>
      </w:r>
      <w:r w:rsidRPr="00106D84">
        <w:rPr>
          <w:sz w:val="22"/>
          <w:lang w:val="el-GR"/>
        </w:rPr>
        <w:t xml:space="preserve"> για την επροσαρτάνη αυξάνονται στους υπερήλικες (κατά μέσον όρο περίπου στο διπλάσιο), αλλά τούτο δεν απαιτεί μεταβολές στη δοσολογία.</w:t>
      </w:r>
    </w:p>
    <w:p w:rsidR="00615422" w:rsidRPr="00106D84" w:rsidRDefault="00615422">
      <w:pPr>
        <w:tabs>
          <w:tab w:val="left" w:pos="426"/>
          <w:tab w:val="left" w:pos="851"/>
        </w:tabs>
        <w:ind w:left="426"/>
        <w:rPr>
          <w:sz w:val="22"/>
          <w:lang w:val="el-GR"/>
        </w:rPr>
      </w:pPr>
    </w:p>
    <w:p w:rsidR="0018188D" w:rsidRPr="00106D84" w:rsidRDefault="0018188D">
      <w:pPr>
        <w:tabs>
          <w:tab w:val="left" w:pos="426"/>
          <w:tab w:val="left" w:pos="851"/>
        </w:tabs>
        <w:ind w:left="426"/>
        <w:rPr>
          <w:sz w:val="22"/>
          <w:lang w:val="el-GR"/>
        </w:rPr>
      </w:pPr>
      <w:r w:rsidRPr="00106D84">
        <w:rPr>
          <w:sz w:val="22"/>
          <w:lang w:val="el-GR"/>
        </w:rPr>
        <w:t>Μετά τη χορήγηση εφ’ άπαξ δόσης 100</w:t>
      </w:r>
      <w:r w:rsidRPr="00106D84">
        <w:rPr>
          <w:sz w:val="22"/>
          <w:lang w:val="en-US"/>
        </w:rPr>
        <w:t>mg</w:t>
      </w:r>
      <w:r w:rsidRPr="00106D84">
        <w:rPr>
          <w:sz w:val="22"/>
          <w:lang w:val="el-GR"/>
        </w:rPr>
        <w:t xml:space="preserve"> επροσαρτάνης, </w:t>
      </w:r>
      <w:r w:rsidRPr="00106D84">
        <w:rPr>
          <w:sz w:val="22"/>
        </w:rPr>
        <w:t>o</w:t>
      </w:r>
      <w:r w:rsidRPr="00106D84">
        <w:rPr>
          <w:sz w:val="22"/>
          <w:lang w:val="el-GR"/>
        </w:rPr>
        <w:t xml:space="preserve">ι τιμές </w:t>
      </w:r>
      <w:r w:rsidRPr="00106D84">
        <w:rPr>
          <w:sz w:val="22"/>
        </w:rPr>
        <w:t>AUC</w:t>
      </w:r>
      <w:r w:rsidRPr="00106D84">
        <w:rPr>
          <w:sz w:val="22"/>
          <w:lang w:val="el-GR"/>
        </w:rPr>
        <w:t xml:space="preserve"> για την επροσαρτάνη (αλλά όχι και για τη </w:t>
      </w:r>
      <w:r w:rsidRPr="00106D84">
        <w:rPr>
          <w:sz w:val="22"/>
        </w:rPr>
        <w:t>C</w:t>
      </w:r>
      <w:r w:rsidRPr="00106D84">
        <w:rPr>
          <w:sz w:val="22"/>
          <w:vertAlign w:val="subscript"/>
        </w:rPr>
        <w:t>max</w:t>
      </w:r>
      <w:r w:rsidRPr="00106D84">
        <w:rPr>
          <w:sz w:val="22"/>
          <w:lang w:val="el-GR"/>
        </w:rPr>
        <w:t>) αυξάνονται κατά μέσο όρο περίπου 40% σε ασθενείς με ηπατική ανεπάρκεια.</w:t>
      </w:r>
    </w:p>
    <w:p w:rsidR="00615422" w:rsidRPr="00106D84" w:rsidRDefault="00615422">
      <w:pPr>
        <w:tabs>
          <w:tab w:val="left" w:pos="426"/>
          <w:tab w:val="left" w:pos="851"/>
        </w:tabs>
        <w:ind w:left="426"/>
        <w:rPr>
          <w:sz w:val="22"/>
          <w:lang w:val="el-GR"/>
        </w:rPr>
      </w:pPr>
    </w:p>
    <w:p w:rsidR="0018188D" w:rsidRPr="00106D84" w:rsidRDefault="0018188D">
      <w:pPr>
        <w:tabs>
          <w:tab w:val="left" w:pos="426"/>
          <w:tab w:val="left" w:pos="851"/>
        </w:tabs>
        <w:ind w:left="426"/>
        <w:rPr>
          <w:sz w:val="22"/>
          <w:lang w:val="el-GR"/>
        </w:rPr>
      </w:pPr>
      <w:r w:rsidRPr="00106D84">
        <w:rPr>
          <w:sz w:val="22"/>
          <w:lang w:val="el-GR"/>
        </w:rPr>
        <w:t xml:space="preserve">Σε σύγκριση με τα άτομα με φυσιολογική νεφρική λειτουργία, η μέση τιμή των </w:t>
      </w:r>
      <w:r w:rsidRPr="00106D84">
        <w:rPr>
          <w:sz w:val="22"/>
        </w:rPr>
        <w:t>AUC</w:t>
      </w:r>
      <w:r w:rsidRPr="00106D84">
        <w:rPr>
          <w:sz w:val="22"/>
          <w:lang w:val="el-GR"/>
        </w:rPr>
        <w:t xml:space="preserve"> και </w:t>
      </w:r>
      <w:r w:rsidRPr="00106D84">
        <w:rPr>
          <w:sz w:val="22"/>
          <w:lang w:val="en-US"/>
        </w:rPr>
        <w:t>C</w:t>
      </w:r>
      <w:r w:rsidRPr="00106D84">
        <w:rPr>
          <w:sz w:val="22"/>
          <w:vertAlign w:val="subscript"/>
        </w:rPr>
        <w:t>max</w:t>
      </w:r>
      <w:r w:rsidRPr="00106D84">
        <w:rPr>
          <w:sz w:val="22"/>
          <w:lang w:val="el-GR"/>
        </w:rPr>
        <w:t xml:space="preserve"> ήταν περίπου κατά 30% υψηλότερες σε ασθενείς με μετρίου βαθμού νεφρική ανεπάρκεια (κάθαρση κρεατινίνης 30-59 </w:t>
      </w:r>
      <w:r w:rsidRPr="00106D84">
        <w:rPr>
          <w:sz w:val="22"/>
        </w:rPr>
        <w:t>ml</w:t>
      </w:r>
      <w:r w:rsidRPr="00106D84">
        <w:rPr>
          <w:sz w:val="22"/>
          <w:lang w:val="el-GR"/>
        </w:rPr>
        <w:t>/</w:t>
      </w:r>
      <w:r w:rsidRPr="00106D84">
        <w:rPr>
          <w:sz w:val="22"/>
        </w:rPr>
        <w:t>min</w:t>
      </w:r>
      <w:r w:rsidRPr="00106D84">
        <w:rPr>
          <w:sz w:val="22"/>
          <w:lang w:val="el-GR"/>
        </w:rPr>
        <w:t xml:space="preserve">), περίπου κατά 50% υψηλότερες σε ένα μικρό αριθμό ασθενών με βαριά νεφρική ανεπάρκεια (κάθαρση κρεατινίνης 5-29 </w:t>
      </w:r>
      <w:r w:rsidRPr="00106D84">
        <w:rPr>
          <w:sz w:val="22"/>
        </w:rPr>
        <w:t>ml</w:t>
      </w:r>
      <w:r w:rsidRPr="00106D84">
        <w:rPr>
          <w:sz w:val="22"/>
          <w:lang w:val="el-GR"/>
        </w:rPr>
        <w:t>/</w:t>
      </w:r>
      <w:r w:rsidRPr="00106D84">
        <w:rPr>
          <w:sz w:val="22"/>
        </w:rPr>
        <w:t>min</w:t>
      </w:r>
      <w:r w:rsidRPr="00106D84">
        <w:rPr>
          <w:sz w:val="22"/>
          <w:lang w:val="el-GR"/>
        </w:rPr>
        <w:t>) και περίπου κατά 60% σε ασθενείς που υποβάλλονται σε αιμοδιύλιση.</w:t>
      </w:r>
    </w:p>
    <w:p w:rsidR="00615422" w:rsidRPr="00106D84" w:rsidRDefault="00615422">
      <w:pPr>
        <w:tabs>
          <w:tab w:val="left" w:pos="426"/>
          <w:tab w:val="left" w:pos="851"/>
        </w:tabs>
        <w:ind w:left="426"/>
        <w:rPr>
          <w:sz w:val="22"/>
          <w:lang w:val="el-GR"/>
        </w:rPr>
      </w:pPr>
    </w:p>
    <w:p w:rsidR="0018188D" w:rsidRPr="00106D84" w:rsidRDefault="0018188D">
      <w:pPr>
        <w:tabs>
          <w:tab w:val="left" w:pos="426"/>
          <w:tab w:val="left" w:pos="851"/>
        </w:tabs>
        <w:ind w:left="426"/>
        <w:rPr>
          <w:sz w:val="22"/>
          <w:lang w:val="el-GR"/>
        </w:rPr>
      </w:pPr>
      <w:r w:rsidRPr="00106D84">
        <w:rPr>
          <w:sz w:val="22"/>
          <w:lang w:val="el-GR"/>
        </w:rPr>
        <w:t>Δεν υπάρχει καμία διαφορά στη φαρμακοκινητική της επροσαρτάνης μεταξύ ανδρών και γυναικών.</w:t>
      </w:r>
    </w:p>
    <w:p w:rsidR="00E43AE9" w:rsidRPr="00106D84" w:rsidRDefault="00E43AE9">
      <w:pPr>
        <w:tabs>
          <w:tab w:val="left" w:pos="426"/>
          <w:tab w:val="left" w:pos="851"/>
        </w:tabs>
        <w:ind w:left="426"/>
        <w:rPr>
          <w:b/>
          <w:sz w:val="22"/>
          <w:lang w:val="el-GR"/>
        </w:rPr>
      </w:pPr>
    </w:p>
    <w:p w:rsidR="0018188D" w:rsidRPr="00106D84" w:rsidRDefault="0018188D">
      <w:pPr>
        <w:tabs>
          <w:tab w:val="left" w:pos="426"/>
          <w:tab w:val="left" w:pos="851"/>
        </w:tabs>
        <w:ind w:left="426"/>
        <w:rPr>
          <w:b/>
          <w:strike/>
          <w:sz w:val="22"/>
          <w:lang w:val="en-US"/>
        </w:rPr>
      </w:pPr>
      <w:r w:rsidRPr="00106D84">
        <w:rPr>
          <w:b/>
          <w:sz w:val="22"/>
          <w:lang w:val="el-GR"/>
        </w:rPr>
        <w:t>5.3</w:t>
      </w:r>
      <w:r w:rsidRPr="00106D84">
        <w:rPr>
          <w:b/>
          <w:sz w:val="22"/>
          <w:lang w:val="el-GR"/>
        </w:rPr>
        <w:tab/>
        <w:t xml:space="preserve">Προκλινικά δεδομένα </w:t>
      </w:r>
      <w:r w:rsidR="00E237B5" w:rsidRPr="00106D84">
        <w:rPr>
          <w:b/>
          <w:sz w:val="22"/>
          <w:lang w:val="el-GR"/>
        </w:rPr>
        <w:t xml:space="preserve">για την ασφάλεια </w:t>
      </w:r>
    </w:p>
    <w:p w:rsidR="00362360" w:rsidRPr="00106D84" w:rsidRDefault="00362360" w:rsidP="00362360">
      <w:pPr>
        <w:tabs>
          <w:tab w:val="left" w:pos="426"/>
          <w:tab w:val="left" w:pos="851"/>
        </w:tabs>
        <w:rPr>
          <w:sz w:val="22"/>
          <w:lang w:val="en-US"/>
        </w:rPr>
      </w:pPr>
    </w:p>
    <w:p w:rsidR="0018188D" w:rsidRPr="00106D84" w:rsidRDefault="0018188D">
      <w:pPr>
        <w:tabs>
          <w:tab w:val="left" w:pos="426"/>
          <w:tab w:val="left" w:pos="851"/>
        </w:tabs>
        <w:ind w:left="426"/>
        <w:rPr>
          <w:sz w:val="22"/>
          <w:lang w:val="el-GR"/>
        </w:rPr>
      </w:pPr>
      <w:r w:rsidRPr="00106D84">
        <w:rPr>
          <w:b/>
          <w:sz w:val="22"/>
          <w:lang w:val="el-GR"/>
        </w:rPr>
        <w:t xml:space="preserve">Γενική τοξικότητα </w:t>
      </w:r>
    </w:p>
    <w:p w:rsidR="0018188D" w:rsidRPr="00106D84" w:rsidRDefault="0018188D">
      <w:pPr>
        <w:tabs>
          <w:tab w:val="left" w:pos="426"/>
          <w:tab w:val="left" w:pos="851"/>
        </w:tabs>
        <w:ind w:left="426"/>
        <w:rPr>
          <w:b/>
          <w:sz w:val="22"/>
          <w:lang w:val="el-GR"/>
        </w:rPr>
      </w:pPr>
    </w:p>
    <w:p w:rsidR="0018188D" w:rsidRPr="00106D84" w:rsidRDefault="00956B77" w:rsidP="00956B77">
      <w:pPr>
        <w:tabs>
          <w:tab w:val="left" w:pos="426"/>
          <w:tab w:val="left" w:pos="851"/>
        </w:tabs>
        <w:rPr>
          <w:i/>
          <w:sz w:val="22"/>
          <w:lang w:val="el-GR"/>
        </w:rPr>
      </w:pPr>
      <w:r w:rsidRPr="00106D84">
        <w:rPr>
          <w:b/>
          <w:sz w:val="22"/>
          <w:lang w:val="el-GR"/>
        </w:rPr>
        <w:tab/>
      </w:r>
      <w:r w:rsidR="00615422" w:rsidRPr="00106D84">
        <w:rPr>
          <w:i/>
          <w:sz w:val="22"/>
          <w:lang w:val="el-GR"/>
        </w:rPr>
        <w:t xml:space="preserve">α) </w:t>
      </w:r>
      <w:r w:rsidR="0018188D" w:rsidRPr="00106D84">
        <w:rPr>
          <w:i/>
          <w:sz w:val="22"/>
          <w:lang w:val="el-GR"/>
        </w:rPr>
        <w:t>Οξεία τοξικότητα</w:t>
      </w:r>
    </w:p>
    <w:p w:rsidR="0018188D" w:rsidRPr="00106D84" w:rsidRDefault="0018188D">
      <w:pPr>
        <w:tabs>
          <w:tab w:val="left" w:pos="426"/>
          <w:tab w:val="left" w:pos="851"/>
        </w:tabs>
        <w:ind w:left="426"/>
        <w:rPr>
          <w:sz w:val="22"/>
          <w:lang w:val="el-GR"/>
        </w:rPr>
      </w:pPr>
      <w:r w:rsidRPr="00106D84">
        <w:rPr>
          <w:sz w:val="22"/>
          <w:lang w:val="el-GR"/>
        </w:rPr>
        <w:t xml:space="preserve">Δεν παρατηρήθηκε θνησιμότητα σε </w:t>
      </w:r>
      <w:r w:rsidR="00D163B2" w:rsidRPr="00106D84">
        <w:rPr>
          <w:sz w:val="22"/>
          <w:lang w:val="el-GR"/>
        </w:rPr>
        <w:t xml:space="preserve">επίμυες </w:t>
      </w:r>
      <w:r w:rsidRPr="00106D84">
        <w:rPr>
          <w:sz w:val="22"/>
          <w:lang w:val="el-GR"/>
        </w:rPr>
        <w:t>και ποντίκια που έλαβαν δόσεις ως και 3000</w:t>
      </w:r>
      <w:r w:rsidRPr="00106D84">
        <w:rPr>
          <w:sz w:val="22"/>
          <w:lang w:val="en-US"/>
        </w:rPr>
        <w:t>mg</w:t>
      </w:r>
      <w:r w:rsidRPr="00106D84">
        <w:rPr>
          <w:sz w:val="22"/>
          <w:lang w:val="el-GR"/>
        </w:rPr>
        <w:t>/</w:t>
      </w:r>
      <w:r w:rsidRPr="00106D84">
        <w:rPr>
          <w:sz w:val="22"/>
          <w:lang w:val="en-US"/>
        </w:rPr>
        <w:t>kg</w:t>
      </w:r>
      <w:r w:rsidRPr="00106D84">
        <w:rPr>
          <w:sz w:val="22"/>
          <w:lang w:val="el-GR"/>
        </w:rPr>
        <w:t xml:space="preserve"> σωματικού βάρους, ούτε σε σκυλιά που έλαβαν δόσεις ως και 1000</w:t>
      </w:r>
      <w:r w:rsidRPr="00106D84">
        <w:rPr>
          <w:sz w:val="22"/>
          <w:lang w:val="en-US"/>
        </w:rPr>
        <w:t>mg</w:t>
      </w:r>
      <w:r w:rsidRPr="00106D84">
        <w:rPr>
          <w:sz w:val="22"/>
          <w:lang w:val="el-GR"/>
        </w:rPr>
        <w:t>/</w:t>
      </w:r>
      <w:r w:rsidRPr="00106D84">
        <w:rPr>
          <w:sz w:val="22"/>
          <w:lang w:val="en-US"/>
        </w:rPr>
        <w:t>kg</w:t>
      </w:r>
      <w:r w:rsidRPr="00106D84">
        <w:rPr>
          <w:sz w:val="22"/>
          <w:lang w:val="el-GR"/>
        </w:rPr>
        <w:t xml:space="preserve"> σωματικού βάρους.</w:t>
      </w:r>
    </w:p>
    <w:p w:rsidR="0018188D" w:rsidRPr="00106D84" w:rsidRDefault="0018188D">
      <w:pPr>
        <w:tabs>
          <w:tab w:val="left" w:pos="426"/>
          <w:tab w:val="left" w:pos="851"/>
        </w:tabs>
        <w:ind w:left="426"/>
        <w:rPr>
          <w:sz w:val="22"/>
          <w:lang w:val="el-GR"/>
        </w:rPr>
      </w:pPr>
    </w:p>
    <w:p w:rsidR="0018188D" w:rsidRPr="00106D84" w:rsidRDefault="00615422">
      <w:pPr>
        <w:tabs>
          <w:tab w:val="left" w:pos="426"/>
          <w:tab w:val="left" w:pos="851"/>
        </w:tabs>
        <w:ind w:left="426"/>
        <w:rPr>
          <w:i/>
          <w:sz w:val="22"/>
          <w:lang w:val="el-GR"/>
        </w:rPr>
      </w:pPr>
      <w:r w:rsidRPr="00106D84">
        <w:rPr>
          <w:i/>
          <w:sz w:val="22"/>
          <w:lang w:val="el-GR"/>
        </w:rPr>
        <w:t xml:space="preserve">β) </w:t>
      </w:r>
      <w:r w:rsidR="0018188D" w:rsidRPr="00106D84">
        <w:rPr>
          <w:i/>
          <w:sz w:val="22"/>
          <w:lang w:val="el-GR"/>
        </w:rPr>
        <w:t xml:space="preserve">Χρόνια </w:t>
      </w:r>
      <w:r w:rsidR="000E5A90" w:rsidRPr="00106D84">
        <w:rPr>
          <w:i/>
          <w:sz w:val="22"/>
          <w:lang w:val="el-GR"/>
        </w:rPr>
        <w:t>τ</w:t>
      </w:r>
      <w:r w:rsidR="0018188D" w:rsidRPr="00106D84">
        <w:rPr>
          <w:i/>
          <w:sz w:val="22"/>
          <w:lang w:val="el-GR"/>
        </w:rPr>
        <w:t>οξικότητα</w:t>
      </w:r>
    </w:p>
    <w:p w:rsidR="0018188D" w:rsidRPr="00106D84" w:rsidRDefault="0018188D">
      <w:pPr>
        <w:tabs>
          <w:tab w:val="left" w:pos="426"/>
          <w:tab w:val="left" w:pos="851"/>
        </w:tabs>
        <w:ind w:left="426"/>
        <w:rPr>
          <w:sz w:val="22"/>
          <w:lang w:val="el-GR"/>
        </w:rPr>
      </w:pPr>
      <w:r w:rsidRPr="00106D84">
        <w:rPr>
          <w:sz w:val="22"/>
          <w:lang w:val="el-GR"/>
        </w:rPr>
        <w:t xml:space="preserve">Σε μελέτες χρόνιας τοξικότητας, η επροσαρτάνη δεν επέφερε κάποιο τοξικό αποτέλεσμα σε </w:t>
      </w:r>
      <w:r w:rsidR="00D163B2" w:rsidRPr="00106D84">
        <w:rPr>
          <w:sz w:val="22"/>
          <w:lang w:val="el-GR"/>
        </w:rPr>
        <w:t>επίμυες</w:t>
      </w:r>
      <w:r w:rsidRPr="00106D84">
        <w:rPr>
          <w:sz w:val="22"/>
          <w:lang w:val="el-GR"/>
        </w:rPr>
        <w:t xml:space="preserve"> (μετά από του στόματος χορήγηση δόσεων μέχρι 1000</w:t>
      </w:r>
      <w:r w:rsidRPr="00106D84">
        <w:rPr>
          <w:sz w:val="22"/>
        </w:rPr>
        <w:t>mg</w:t>
      </w:r>
      <w:r w:rsidRPr="00106D84">
        <w:rPr>
          <w:sz w:val="22"/>
          <w:lang w:val="el-GR"/>
        </w:rPr>
        <w:t>/</w:t>
      </w:r>
      <w:r w:rsidRPr="00106D84">
        <w:rPr>
          <w:sz w:val="22"/>
          <w:lang w:val="en-US"/>
        </w:rPr>
        <w:t>kg</w:t>
      </w:r>
      <w:r w:rsidRPr="00106D84">
        <w:rPr>
          <w:sz w:val="22"/>
          <w:lang w:val="el-GR"/>
        </w:rPr>
        <w:t xml:space="preserve"> σωματικού βάρους ημερησίως για διάστημα μέχρι και έξι μηνών). Στους σκύλους, η επροσαρτάνη επέφερε μείωση των παραμέτρων των ερυθρών αιμοσφαιρίων (ερυθροκύτταρα, αιμοσφαιρίνη, αιματοκρίτης) για δόσεις της τάξεως των 30</w:t>
      </w:r>
      <w:r w:rsidRPr="00106D84">
        <w:rPr>
          <w:sz w:val="22"/>
        </w:rPr>
        <w:t>mg</w:t>
      </w:r>
      <w:r w:rsidRPr="00106D84">
        <w:rPr>
          <w:sz w:val="22"/>
          <w:lang w:val="el-GR"/>
        </w:rPr>
        <w:t>/</w:t>
      </w:r>
      <w:r w:rsidRPr="00106D84">
        <w:rPr>
          <w:sz w:val="22"/>
          <w:lang w:val="en-US"/>
        </w:rPr>
        <w:t>kg</w:t>
      </w:r>
      <w:r w:rsidRPr="00106D84">
        <w:rPr>
          <w:sz w:val="22"/>
          <w:lang w:val="el-GR"/>
        </w:rPr>
        <w:t xml:space="preserve"> σωματικού βάρους ημερησίως ή μεγαλύτερες, μετά την από του στόματος χορήγηση για διάστημα ως και έξι μήνες, αλλά οι τιμές των παραμέτρων των ερυθρών αιμοσφαιρίων επανήλθαν σε φυσιολογικά επίπεδα σε ένα χρόνο, παρά τη συνεχιζόμενη χορήγηση του φαρμάκου.</w:t>
      </w:r>
    </w:p>
    <w:p w:rsidR="0018188D" w:rsidRPr="00106D84" w:rsidRDefault="0018188D">
      <w:pPr>
        <w:tabs>
          <w:tab w:val="left" w:pos="426"/>
          <w:tab w:val="left" w:pos="851"/>
        </w:tabs>
        <w:ind w:left="426"/>
        <w:rPr>
          <w:sz w:val="22"/>
          <w:lang w:val="el-GR"/>
        </w:rPr>
      </w:pPr>
    </w:p>
    <w:p w:rsidR="0018188D" w:rsidRPr="00106D84" w:rsidRDefault="00615422">
      <w:pPr>
        <w:keepNext/>
        <w:tabs>
          <w:tab w:val="left" w:pos="426"/>
          <w:tab w:val="left" w:pos="851"/>
        </w:tabs>
        <w:ind w:left="425"/>
        <w:rPr>
          <w:i/>
          <w:sz w:val="22"/>
          <w:lang w:val="el-GR"/>
        </w:rPr>
      </w:pPr>
      <w:r w:rsidRPr="00106D84">
        <w:rPr>
          <w:i/>
          <w:sz w:val="22"/>
          <w:lang w:val="el-GR"/>
        </w:rPr>
        <w:t xml:space="preserve">γ) </w:t>
      </w:r>
      <w:r w:rsidR="0018188D" w:rsidRPr="00106D84">
        <w:rPr>
          <w:i/>
          <w:sz w:val="22"/>
          <w:lang w:val="el-GR"/>
        </w:rPr>
        <w:t>Τοξικότητα κατά την αναπαραγωγή</w:t>
      </w:r>
      <w:r w:rsidRPr="00106D84">
        <w:rPr>
          <w:i/>
          <w:sz w:val="22"/>
          <w:lang w:val="el-GR"/>
        </w:rPr>
        <w:t xml:space="preserve"> και την ανάπτυξη</w:t>
      </w:r>
    </w:p>
    <w:p w:rsidR="0018188D" w:rsidRPr="00106D84" w:rsidRDefault="0018188D">
      <w:pPr>
        <w:keepNext/>
        <w:tabs>
          <w:tab w:val="left" w:pos="426"/>
          <w:tab w:val="left" w:pos="851"/>
        </w:tabs>
        <w:ind w:left="425"/>
        <w:rPr>
          <w:sz w:val="22"/>
          <w:lang w:val="el-GR"/>
        </w:rPr>
      </w:pPr>
      <w:r w:rsidRPr="00106D84">
        <w:rPr>
          <w:sz w:val="22"/>
          <w:lang w:val="el-GR"/>
        </w:rPr>
        <w:t>Σε κυοφορούντα κουνέλια, η επροσαρτάνη αποδείχτηκε πως προκαλεί θνησιμότητα των μητέρων και των εμβρύων για δόσεις 10</w:t>
      </w:r>
      <w:r w:rsidRPr="00106D84">
        <w:rPr>
          <w:sz w:val="22"/>
        </w:rPr>
        <w:t>mg</w:t>
      </w:r>
      <w:r w:rsidRPr="00106D84">
        <w:rPr>
          <w:sz w:val="22"/>
          <w:lang w:val="el-GR"/>
        </w:rPr>
        <w:t>/</w:t>
      </w:r>
      <w:r w:rsidRPr="00106D84">
        <w:rPr>
          <w:sz w:val="22"/>
          <w:lang w:val="en-US"/>
        </w:rPr>
        <w:t>kg</w:t>
      </w:r>
      <w:r w:rsidRPr="00106D84">
        <w:rPr>
          <w:sz w:val="22"/>
          <w:lang w:val="el-GR"/>
        </w:rPr>
        <w:t xml:space="preserve"> σωματικού βάρους ημερησίως μόνο κατά το όψιμο στάδιο της κύησης. Αυτό πιθανότατα αποδίδεται σε επιδράσεις στο σύστημα ρενίνης-αγγειοτασίνης-αλδοστερόνης. Τοξικές επιδράσεις στη μητέρα αλλά όχι και στο έμβρυο παρατηρήθηκαν για δόσεις 3 </w:t>
      </w:r>
      <w:r w:rsidRPr="00106D84">
        <w:rPr>
          <w:sz w:val="22"/>
        </w:rPr>
        <w:t>mg</w:t>
      </w:r>
      <w:r w:rsidRPr="00106D84">
        <w:rPr>
          <w:sz w:val="22"/>
          <w:lang w:val="el-GR"/>
        </w:rPr>
        <w:t>/</w:t>
      </w:r>
      <w:r w:rsidRPr="00106D84">
        <w:rPr>
          <w:sz w:val="22"/>
          <w:lang w:val="en-US"/>
        </w:rPr>
        <w:t>kg</w:t>
      </w:r>
      <w:r w:rsidRPr="00106D84">
        <w:rPr>
          <w:sz w:val="22"/>
          <w:lang w:val="el-GR"/>
        </w:rPr>
        <w:t xml:space="preserve"> σωματικού βάρους ημερησίως.</w:t>
      </w:r>
    </w:p>
    <w:p w:rsidR="0018188D" w:rsidRPr="00106D84" w:rsidRDefault="0018188D">
      <w:pPr>
        <w:tabs>
          <w:tab w:val="left" w:pos="426"/>
          <w:tab w:val="left" w:pos="851"/>
        </w:tabs>
        <w:ind w:left="426"/>
        <w:rPr>
          <w:sz w:val="22"/>
          <w:lang w:val="el-GR"/>
        </w:rPr>
      </w:pPr>
    </w:p>
    <w:p w:rsidR="0018188D" w:rsidRPr="00106D84" w:rsidRDefault="00E65B6B">
      <w:pPr>
        <w:pStyle w:val="5"/>
        <w:rPr>
          <w:b w:val="0"/>
          <w:i/>
          <w:u w:val="single"/>
        </w:rPr>
      </w:pPr>
      <w:r w:rsidRPr="00106D84">
        <w:rPr>
          <w:b w:val="0"/>
          <w:i/>
        </w:rPr>
        <w:t xml:space="preserve">δ) </w:t>
      </w:r>
      <w:r w:rsidR="0018188D" w:rsidRPr="00106D84">
        <w:rPr>
          <w:b w:val="0"/>
          <w:i/>
        </w:rPr>
        <w:t xml:space="preserve">Μεταλλαξιογόνο δυναμικό  </w:t>
      </w:r>
    </w:p>
    <w:p w:rsidR="0018188D" w:rsidRPr="00106D84" w:rsidRDefault="0018188D">
      <w:pPr>
        <w:tabs>
          <w:tab w:val="left" w:pos="426"/>
          <w:tab w:val="left" w:pos="851"/>
        </w:tabs>
        <w:ind w:left="426"/>
        <w:rPr>
          <w:sz w:val="22"/>
          <w:lang w:val="el-GR"/>
        </w:rPr>
      </w:pPr>
      <w:r w:rsidRPr="00106D84">
        <w:rPr>
          <w:sz w:val="22"/>
          <w:lang w:val="el-GR"/>
        </w:rPr>
        <w:t xml:space="preserve">Δεν παρατηρήθηκε στο σύνολο των δοκιμασιών </w:t>
      </w:r>
      <w:r w:rsidRPr="00106D84">
        <w:rPr>
          <w:sz w:val="22"/>
        </w:rPr>
        <w:t>in</w:t>
      </w:r>
      <w:r w:rsidRPr="00106D84">
        <w:rPr>
          <w:sz w:val="22"/>
          <w:lang w:val="el-GR"/>
        </w:rPr>
        <w:t xml:space="preserve"> </w:t>
      </w:r>
      <w:r w:rsidRPr="00106D84">
        <w:rPr>
          <w:sz w:val="22"/>
        </w:rPr>
        <w:t>vitro</w:t>
      </w:r>
      <w:r w:rsidRPr="00106D84">
        <w:rPr>
          <w:sz w:val="22"/>
          <w:lang w:val="el-GR"/>
        </w:rPr>
        <w:t xml:space="preserve"> και </w:t>
      </w:r>
      <w:r w:rsidRPr="00106D84">
        <w:rPr>
          <w:sz w:val="22"/>
        </w:rPr>
        <w:t>in</w:t>
      </w:r>
      <w:r w:rsidRPr="00106D84">
        <w:rPr>
          <w:sz w:val="22"/>
          <w:lang w:val="el-GR"/>
        </w:rPr>
        <w:t xml:space="preserve"> </w:t>
      </w:r>
      <w:r w:rsidRPr="00106D84">
        <w:rPr>
          <w:sz w:val="22"/>
        </w:rPr>
        <w:t>vivo</w:t>
      </w:r>
      <w:r w:rsidRPr="00106D84">
        <w:rPr>
          <w:sz w:val="22"/>
          <w:lang w:val="el-GR"/>
        </w:rPr>
        <w:t>.</w:t>
      </w:r>
    </w:p>
    <w:p w:rsidR="0018188D" w:rsidRPr="00106D84" w:rsidRDefault="0018188D">
      <w:pPr>
        <w:tabs>
          <w:tab w:val="left" w:pos="426"/>
          <w:tab w:val="left" w:pos="851"/>
        </w:tabs>
        <w:ind w:left="426"/>
        <w:rPr>
          <w:strike/>
          <w:sz w:val="22"/>
          <w:lang w:val="el-GR"/>
        </w:rPr>
      </w:pPr>
    </w:p>
    <w:p w:rsidR="0018188D" w:rsidRPr="00106D84" w:rsidRDefault="00E65B6B">
      <w:pPr>
        <w:tabs>
          <w:tab w:val="left" w:pos="426"/>
          <w:tab w:val="left" w:pos="851"/>
        </w:tabs>
        <w:ind w:left="426"/>
        <w:rPr>
          <w:i/>
          <w:sz w:val="22"/>
          <w:u w:val="single"/>
          <w:lang w:val="el-GR"/>
        </w:rPr>
      </w:pPr>
      <w:r w:rsidRPr="00106D84">
        <w:rPr>
          <w:i/>
          <w:sz w:val="22"/>
          <w:lang w:val="el-GR"/>
        </w:rPr>
        <w:t xml:space="preserve">ε) </w:t>
      </w:r>
      <w:r w:rsidR="0018188D" w:rsidRPr="00106D84">
        <w:rPr>
          <w:i/>
          <w:sz w:val="22"/>
          <w:lang w:val="el-GR"/>
        </w:rPr>
        <w:t xml:space="preserve">Καρκινογένεση </w:t>
      </w:r>
    </w:p>
    <w:p w:rsidR="0018188D" w:rsidRPr="00106D84" w:rsidRDefault="0018188D">
      <w:pPr>
        <w:tabs>
          <w:tab w:val="left" w:pos="426"/>
          <w:tab w:val="left" w:pos="851"/>
        </w:tabs>
        <w:ind w:left="426"/>
        <w:rPr>
          <w:sz w:val="22"/>
          <w:lang w:val="el-GR"/>
        </w:rPr>
      </w:pPr>
      <w:r w:rsidRPr="00106D84">
        <w:rPr>
          <w:sz w:val="22"/>
          <w:lang w:val="el-GR"/>
        </w:rPr>
        <w:t xml:space="preserve">Δεν παρατηρήθηκε σε </w:t>
      </w:r>
      <w:r w:rsidR="00D163B2" w:rsidRPr="00106D84">
        <w:rPr>
          <w:sz w:val="22"/>
          <w:lang w:val="el-GR"/>
        </w:rPr>
        <w:t xml:space="preserve">επίμυες </w:t>
      </w:r>
      <w:r w:rsidRPr="00106D84">
        <w:rPr>
          <w:sz w:val="22"/>
          <w:lang w:val="el-GR"/>
        </w:rPr>
        <w:t xml:space="preserve">και ποντικούς για δόσεις που τους χορηγήθηκαν μέχρι 600 ή 2.000 </w:t>
      </w:r>
      <w:r w:rsidRPr="00106D84">
        <w:rPr>
          <w:sz w:val="22"/>
        </w:rPr>
        <w:t>mg</w:t>
      </w:r>
      <w:r w:rsidRPr="00106D84">
        <w:rPr>
          <w:sz w:val="22"/>
          <w:lang w:val="el-GR"/>
        </w:rPr>
        <w:t>/</w:t>
      </w:r>
      <w:r w:rsidRPr="00106D84">
        <w:rPr>
          <w:sz w:val="22"/>
          <w:lang w:val="en-US"/>
        </w:rPr>
        <w:t>kg</w:t>
      </w:r>
      <w:r w:rsidRPr="00106D84">
        <w:rPr>
          <w:sz w:val="22"/>
          <w:lang w:val="el-GR"/>
        </w:rPr>
        <w:t xml:space="preserve"> σωματικού βάρους ημερησίως, αντιστοίχως, για 2 έτη.</w:t>
      </w:r>
    </w:p>
    <w:p w:rsidR="0018188D" w:rsidRPr="00106D84" w:rsidRDefault="0018188D">
      <w:pPr>
        <w:tabs>
          <w:tab w:val="left" w:pos="426"/>
          <w:tab w:val="left" w:pos="851"/>
        </w:tabs>
        <w:rPr>
          <w:sz w:val="22"/>
          <w:lang w:val="el-GR"/>
        </w:rPr>
      </w:pPr>
    </w:p>
    <w:p w:rsidR="0018188D" w:rsidRPr="00106D84" w:rsidRDefault="0018188D">
      <w:pPr>
        <w:tabs>
          <w:tab w:val="left" w:pos="426"/>
          <w:tab w:val="left" w:pos="851"/>
        </w:tabs>
        <w:rPr>
          <w:b/>
          <w:sz w:val="22"/>
          <w:u w:val="single"/>
          <w:lang w:val="el-GR"/>
        </w:rPr>
      </w:pPr>
      <w:r w:rsidRPr="00106D84">
        <w:rPr>
          <w:b/>
          <w:sz w:val="22"/>
        </w:rPr>
        <w:t>6.</w:t>
      </w:r>
      <w:r w:rsidRPr="00106D84">
        <w:rPr>
          <w:b/>
          <w:sz w:val="22"/>
        </w:rPr>
        <w:tab/>
      </w:r>
      <w:r w:rsidR="00824708" w:rsidRPr="00106D84">
        <w:rPr>
          <w:b/>
          <w:sz w:val="22"/>
          <w:u w:val="single"/>
          <w:lang w:val="el-GR"/>
        </w:rPr>
        <w:t>ΦΑΡΜΑΚΕΥΤΙΚΕΣ ΠΛΗΡΟΦΟΡΙΕΣ</w:t>
      </w:r>
    </w:p>
    <w:p w:rsidR="0018188D" w:rsidRPr="00106D84" w:rsidRDefault="0018188D">
      <w:pPr>
        <w:tabs>
          <w:tab w:val="left" w:pos="426"/>
          <w:tab w:val="left" w:pos="851"/>
        </w:tabs>
        <w:ind w:left="426"/>
        <w:rPr>
          <w:sz w:val="22"/>
          <w:lang w:val="el-GR"/>
        </w:rPr>
      </w:pPr>
    </w:p>
    <w:p w:rsidR="0018188D" w:rsidRPr="00106D84" w:rsidRDefault="0018188D">
      <w:pPr>
        <w:numPr>
          <w:ilvl w:val="1"/>
          <w:numId w:val="2"/>
        </w:numPr>
        <w:tabs>
          <w:tab w:val="left" w:pos="426"/>
        </w:tabs>
        <w:rPr>
          <w:b/>
          <w:sz w:val="22"/>
        </w:rPr>
      </w:pPr>
      <w:r w:rsidRPr="00106D84">
        <w:rPr>
          <w:b/>
          <w:sz w:val="22"/>
        </w:rPr>
        <w:t>Κατάλογος εκδόχων</w:t>
      </w:r>
    </w:p>
    <w:p w:rsidR="0018188D" w:rsidRPr="00106D84" w:rsidRDefault="0018188D">
      <w:pPr>
        <w:tabs>
          <w:tab w:val="left" w:pos="426"/>
          <w:tab w:val="left" w:pos="851"/>
        </w:tabs>
        <w:ind w:left="861"/>
        <w:rPr>
          <w:b/>
          <w:sz w:val="22"/>
        </w:rPr>
      </w:pPr>
    </w:p>
    <w:p w:rsidR="00E65B6B" w:rsidRPr="00106D84" w:rsidRDefault="00E65B6B" w:rsidP="002603FD">
      <w:pPr>
        <w:tabs>
          <w:tab w:val="left" w:pos="851"/>
        </w:tabs>
        <w:ind w:left="851"/>
        <w:rPr>
          <w:sz w:val="22"/>
          <w:lang w:val="el-GR"/>
        </w:rPr>
      </w:pPr>
      <w:r w:rsidRPr="00106D84">
        <w:rPr>
          <w:b/>
          <w:sz w:val="22"/>
          <w:lang w:val="el-GR"/>
        </w:rPr>
        <w:t>Π</w:t>
      </w:r>
      <w:r w:rsidR="0018188D" w:rsidRPr="00106D84">
        <w:rPr>
          <w:b/>
          <w:sz w:val="22"/>
          <w:lang w:val="el-GR"/>
        </w:rPr>
        <w:t>υρήνες</w:t>
      </w:r>
      <w:r w:rsidR="0018188D" w:rsidRPr="00106D84">
        <w:rPr>
          <w:sz w:val="22"/>
        </w:rPr>
        <w:t xml:space="preserve"> </w:t>
      </w:r>
      <w:r w:rsidR="0018188D" w:rsidRPr="00106D84">
        <w:rPr>
          <w:b/>
          <w:sz w:val="22"/>
          <w:lang w:val="el-GR"/>
        </w:rPr>
        <w:t>δισκίων</w:t>
      </w:r>
      <w:r w:rsidRPr="00106D84">
        <w:rPr>
          <w:b/>
          <w:sz w:val="22"/>
        </w:rPr>
        <w:t>:</w:t>
      </w:r>
      <w:r w:rsidR="0018188D" w:rsidRPr="00106D84">
        <w:rPr>
          <w:sz w:val="22"/>
        </w:rPr>
        <w:t xml:space="preserve"> </w:t>
      </w:r>
      <w:r w:rsidR="0018188D" w:rsidRPr="00106D84">
        <w:rPr>
          <w:strike/>
          <w:sz w:val="22"/>
          <w:lang w:val="en-US"/>
        </w:rPr>
        <w:t xml:space="preserve"> </w:t>
      </w:r>
    </w:p>
    <w:p w:rsidR="00E65B6B" w:rsidRPr="00106D84" w:rsidRDefault="00E65B6B" w:rsidP="00E65B6B">
      <w:pPr>
        <w:tabs>
          <w:tab w:val="left" w:pos="851"/>
        </w:tabs>
        <w:ind w:left="851"/>
        <w:rPr>
          <w:sz w:val="22"/>
          <w:lang w:val="en-US"/>
        </w:rPr>
      </w:pPr>
      <w:r w:rsidRPr="00106D84">
        <w:rPr>
          <w:sz w:val="22"/>
          <w:lang w:val="en-US"/>
        </w:rPr>
        <w:t>Lactose monohydrate</w:t>
      </w:r>
    </w:p>
    <w:p w:rsidR="00E65B6B" w:rsidRPr="00106D84" w:rsidRDefault="00E65B6B" w:rsidP="00E65B6B">
      <w:pPr>
        <w:tabs>
          <w:tab w:val="left" w:pos="851"/>
        </w:tabs>
        <w:ind w:left="851"/>
        <w:rPr>
          <w:sz w:val="22"/>
          <w:lang w:val="en-US"/>
        </w:rPr>
      </w:pPr>
      <w:r w:rsidRPr="00106D84">
        <w:rPr>
          <w:sz w:val="22"/>
          <w:lang w:val="en-US"/>
        </w:rPr>
        <w:t xml:space="preserve">Microcrystalline cellulose </w:t>
      </w:r>
    </w:p>
    <w:p w:rsidR="00E65B6B" w:rsidRPr="00106D84" w:rsidRDefault="00E65B6B" w:rsidP="00E65B6B">
      <w:pPr>
        <w:tabs>
          <w:tab w:val="left" w:pos="851"/>
        </w:tabs>
        <w:ind w:left="851"/>
        <w:rPr>
          <w:sz w:val="22"/>
          <w:lang w:val="en-US"/>
        </w:rPr>
      </w:pPr>
      <w:r w:rsidRPr="00106D84">
        <w:rPr>
          <w:sz w:val="22"/>
          <w:lang w:val="en-US"/>
        </w:rPr>
        <w:t xml:space="preserve">Pregelatinised starch </w:t>
      </w:r>
    </w:p>
    <w:p w:rsidR="00E65B6B" w:rsidRPr="00106D84" w:rsidRDefault="00E65B6B" w:rsidP="00E65B6B">
      <w:pPr>
        <w:tabs>
          <w:tab w:val="left" w:pos="851"/>
        </w:tabs>
        <w:ind w:left="850"/>
        <w:rPr>
          <w:lang w:val="en-US"/>
        </w:rPr>
      </w:pPr>
      <w:r w:rsidRPr="00106D84">
        <w:rPr>
          <w:lang w:val="en-US"/>
        </w:rPr>
        <w:t xml:space="preserve">Crospovidone </w:t>
      </w:r>
    </w:p>
    <w:p w:rsidR="00E65B6B" w:rsidRPr="00106D84" w:rsidRDefault="00E65B6B" w:rsidP="00E65B6B">
      <w:pPr>
        <w:tabs>
          <w:tab w:val="left" w:pos="851"/>
        </w:tabs>
        <w:ind w:left="850"/>
        <w:rPr>
          <w:lang w:val="en-US"/>
        </w:rPr>
      </w:pPr>
      <w:r w:rsidRPr="00106D84">
        <w:rPr>
          <w:lang w:val="en-US"/>
        </w:rPr>
        <w:t>Magnesium stearate</w:t>
      </w:r>
    </w:p>
    <w:p w:rsidR="00E65B6B" w:rsidRPr="00106D84" w:rsidRDefault="00E65B6B" w:rsidP="00E65B6B">
      <w:pPr>
        <w:tabs>
          <w:tab w:val="left" w:pos="851"/>
        </w:tabs>
        <w:ind w:left="851"/>
        <w:rPr>
          <w:sz w:val="22"/>
          <w:lang w:val="en-US"/>
        </w:rPr>
      </w:pPr>
      <w:r w:rsidRPr="00106D84">
        <w:rPr>
          <w:sz w:val="22"/>
          <w:lang w:val="en-US"/>
        </w:rPr>
        <w:t>Purified water</w:t>
      </w:r>
    </w:p>
    <w:p w:rsidR="0018188D" w:rsidRPr="00106D84" w:rsidRDefault="0018188D">
      <w:pPr>
        <w:tabs>
          <w:tab w:val="left" w:pos="851"/>
        </w:tabs>
        <w:ind w:left="851"/>
        <w:rPr>
          <w:b/>
          <w:strike/>
          <w:sz w:val="22"/>
        </w:rPr>
      </w:pPr>
    </w:p>
    <w:p w:rsidR="0045350D" w:rsidRPr="00106D84" w:rsidRDefault="0045350D">
      <w:pPr>
        <w:tabs>
          <w:tab w:val="left" w:pos="851"/>
        </w:tabs>
        <w:ind w:left="851"/>
        <w:rPr>
          <w:sz w:val="22"/>
        </w:rPr>
      </w:pPr>
      <w:r w:rsidRPr="00106D84">
        <w:rPr>
          <w:b/>
          <w:sz w:val="22"/>
          <w:lang w:val="en-US"/>
        </w:rPr>
        <w:t>E</w:t>
      </w:r>
      <w:r w:rsidR="0018188D" w:rsidRPr="00106D84">
        <w:rPr>
          <w:b/>
          <w:sz w:val="22"/>
          <w:lang w:val="el-GR"/>
        </w:rPr>
        <w:t>πικάλυψη</w:t>
      </w:r>
      <w:r w:rsidR="0018188D" w:rsidRPr="00106D84">
        <w:rPr>
          <w:b/>
          <w:sz w:val="22"/>
        </w:rPr>
        <w:t xml:space="preserve"> </w:t>
      </w:r>
      <w:r w:rsidR="0018188D" w:rsidRPr="00106D84">
        <w:rPr>
          <w:b/>
          <w:sz w:val="22"/>
          <w:lang w:val="el-GR"/>
        </w:rPr>
        <w:t>δισκίων</w:t>
      </w:r>
      <w:r w:rsidRPr="00106D84">
        <w:rPr>
          <w:b/>
          <w:sz w:val="22"/>
          <w:lang w:val="en-US"/>
        </w:rPr>
        <w:t>:</w:t>
      </w:r>
      <w:r w:rsidR="0018188D" w:rsidRPr="00106D84">
        <w:rPr>
          <w:sz w:val="22"/>
        </w:rPr>
        <w:t xml:space="preserve"> </w:t>
      </w:r>
    </w:p>
    <w:p w:rsidR="001B1EC2" w:rsidRPr="00106D84" w:rsidRDefault="001B1EC2" w:rsidP="001B1EC2">
      <w:pPr>
        <w:tabs>
          <w:tab w:val="left" w:pos="851"/>
        </w:tabs>
        <w:ind w:left="850"/>
        <w:rPr>
          <w:sz w:val="22"/>
        </w:rPr>
      </w:pPr>
      <w:r w:rsidRPr="00106D84">
        <w:rPr>
          <w:sz w:val="22"/>
          <w:lang w:val="el-GR"/>
        </w:rPr>
        <w:t>Η</w:t>
      </w:r>
      <w:r w:rsidRPr="00106D84">
        <w:rPr>
          <w:sz w:val="22"/>
          <w:lang w:val="en-US"/>
        </w:rPr>
        <w:t>ypromellose</w:t>
      </w:r>
      <w:r w:rsidRPr="00106D84">
        <w:rPr>
          <w:sz w:val="22"/>
        </w:rPr>
        <w:t xml:space="preserve"> (</w:t>
      </w:r>
      <w:r w:rsidRPr="00106D84">
        <w:rPr>
          <w:sz w:val="22"/>
          <w:lang w:val="el-GR"/>
        </w:rPr>
        <w:t>Ε</w:t>
      </w:r>
      <w:r w:rsidRPr="00106D84">
        <w:rPr>
          <w:sz w:val="22"/>
        </w:rPr>
        <w:t xml:space="preserve">464)  </w:t>
      </w:r>
    </w:p>
    <w:p w:rsidR="001B1EC2" w:rsidRPr="00106D84" w:rsidRDefault="001B1EC2" w:rsidP="001B1EC2">
      <w:pPr>
        <w:tabs>
          <w:tab w:val="left" w:pos="851"/>
        </w:tabs>
        <w:ind w:left="850"/>
        <w:rPr>
          <w:sz w:val="22"/>
          <w:lang w:val="en-US"/>
        </w:rPr>
      </w:pPr>
      <w:r w:rsidRPr="00106D84">
        <w:rPr>
          <w:sz w:val="22"/>
          <w:lang w:val="en-US"/>
        </w:rPr>
        <w:t>Titanium</w:t>
      </w:r>
      <w:r w:rsidRPr="00106D84">
        <w:rPr>
          <w:sz w:val="22"/>
        </w:rPr>
        <w:t xml:space="preserve"> </w:t>
      </w:r>
      <w:r w:rsidRPr="00106D84">
        <w:rPr>
          <w:sz w:val="22"/>
          <w:lang w:val="en-US"/>
        </w:rPr>
        <w:t>dioxide</w:t>
      </w:r>
      <w:r w:rsidRPr="00106D84">
        <w:rPr>
          <w:sz w:val="22"/>
        </w:rPr>
        <w:t xml:space="preserve"> (</w:t>
      </w:r>
      <w:r w:rsidRPr="00106D84">
        <w:rPr>
          <w:sz w:val="22"/>
          <w:lang w:val="en-US"/>
        </w:rPr>
        <w:t>E</w:t>
      </w:r>
      <w:r w:rsidRPr="00106D84">
        <w:rPr>
          <w:sz w:val="22"/>
        </w:rPr>
        <w:t>171)</w:t>
      </w:r>
    </w:p>
    <w:p w:rsidR="001B1EC2" w:rsidRPr="00106D84" w:rsidRDefault="001B1EC2" w:rsidP="001B1EC2">
      <w:pPr>
        <w:tabs>
          <w:tab w:val="left" w:pos="851"/>
        </w:tabs>
        <w:ind w:left="850"/>
        <w:rPr>
          <w:sz w:val="22"/>
          <w:lang w:val="en-US"/>
        </w:rPr>
      </w:pPr>
      <w:r w:rsidRPr="00106D84">
        <w:rPr>
          <w:sz w:val="22"/>
          <w:lang w:val="el-GR"/>
        </w:rPr>
        <w:t>Μ</w:t>
      </w:r>
      <w:r w:rsidRPr="00106D84">
        <w:rPr>
          <w:sz w:val="22"/>
          <w:lang w:val="en-US"/>
        </w:rPr>
        <w:t>acrogol</w:t>
      </w:r>
      <w:r w:rsidRPr="00106D84">
        <w:rPr>
          <w:sz w:val="22"/>
        </w:rPr>
        <w:t xml:space="preserve"> 400 </w:t>
      </w:r>
    </w:p>
    <w:p w:rsidR="001B1EC2" w:rsidRPr="00106D84" w:rsidRDefault="001B1EC2" w:rsidP="001B1EC2">
      <w:pPr>
        <w:tabs>
          <w:tab w:val="left" w:pos="851"/>
        </w:tabs>
        <w:ind w:left="850"/>
        <w:rPr>
          <w:sz w:val="22"/>
          <w:lang w:val="pt-BR"/>
        </w:rPr>
      </w:pPr>
      <w:r w:rsidRPr="00106D84">
        <w:rPr>
          <w:sz w:val="22"/>
          <w:lang w:val="pt-BR"/>
        </w:rPr>
        <w:t>Polysorbate 80 (E433)</w:t>
      </w:r>
    </w:p>
    <w:p w:rsidR="002D6D36" w:rsidRPr="00106D84" w:rsidRDefault="002D6D36" w:rsidP="002D6D36">
      <w:pPr>
        <w:tabs>
          <w:tab w:val="left" w:pos="851"/>
        </w:tabs>
        <w:rPr>
          <w:b/>
          <w:strike/>
          <w:sz w:val="22"/>
          <w:lang w:val="pt-BR"/>
        </w:rPr>
      </w:pPr>
    </w:p>
    <w:p w:rsidR="0018188D" w:rsidRPr="00106D84" w:rsidRDefault="0018188D">
      <w:pPr>
        <w:tabs>
          <w:tab w:val="left" w:pos="426"/>
          <w:tab w:val="left" w:pos="851"/>
        </w:tabs>
        <w:ind w:left="426"/>
        <w:rPr>
          <w:sz w:val="22"/>
          <w:lang w:val="en-US"/>
        </w:rPr>
      </w:pPr>
      <w:r w:rsidRPr="00106D84">
        <w:rPr>
          <w:b/>
          <w:sz w:val="22"/>
          <w:lang w:val="en-US"/>
        </w:rPr>
        <w:t>6.2</w:t>
      </w:r>
      <w:r w:rsidRPr="00106D84">
        <w:rPr>
          <w:b/>
          <w:sz w:val="22"/>
          <w:lang w:val="en-US"/>
        </w:rPr>
        <w:tab/>
      </w:r>
      <w:r w:rsidRPr="00106D84">
        <w:rPr>
          <w:b/>
          <w:sz w:val="22"/>
          <w:lang w:val="el-GR"/>
        </w:rPr>
        <w:t>Ασυμβατότητες</w:t>
      </w:r>
    </w:p>
    <w:p w:rsidR="0018188D" w:rsidRPr="00106D84" w:rsidRDefault="0018188D">
      <w:pPr>
        <w:tabs>
          <w:tab w:val="left" w:pos="426"/>
          <w:tab w:val="left" w:pos="851"/>
        </w:tabs>
        <w:ind w:left="720"/>
        <w:rPr>
          <w:sz w:val="22"/>
          <w:lang w:val="en-US"/>
        </w:rPr>
      </w:pPr>
    </w:p>
    <w:p w:rsidR="0018188D" w:rsidRPr="00106D84" w:rsidRDefault="0018188D">
      <w:pPr>
        <w:tabs>
          <w:tab w:val="left" w:pos="426"/>
          <w:tab w:val="left" w:pos="851"/>
        </w:tabs>
        <w:ind w:left="851"/>
        <w:rPr>
          <w:strike/>
          <w:sz w:val="22"/>
          <w:lang w:val="el-GR"/>
        </w:rPr>
      </w:pPr>
      <w:r w:rsidRPr="00106D84">
        <w:rPr>
          <w:sz w:val="22"/>
          <w:lang w:val="el-GR"/>
        </w:rPr>
        <w:t xml:space="preserve">Δεν εφαρμόζεται. </w:t>
      </w:r>
    </w:p>
    <w:p w:rsidR="0018188D" w:rsidRPr="00106D84" w:rsidRDefault="0018188D">
      <w:pPr>
        <w:tabs>
          <w:tab w:val="left" w:pos="426"/>
          <w:tab w:val="left" w:pos="851"/>
        </w:tabs>
        <w:ind w:left="426"/>
        <w:rPr>
          <w:sz w:val="22"/>
          <w:lang w:val="el-GR"/>
        </w:rPr>
      </w:pPr>
    </w:p>
    <w:p w:rsidR="0018188D" w:rsidRPr="00106D84" w:rsidRDefault="0018188D">
      <w:pPr>
        <w:tabs>
          <w:tab w:val="left" w:pos="426"/>
          <w:tab w:val="left" w:pos="851"/>
        </w:tabs>
        <w:ind w:left="426"/>
        <w:rPr>
          <w:strike/>
          <w:sz w:val="22"/>
          <w:lang w:val="el-GR"/>
        </w:rPr>
      </w:pPr>
      <w:r w:rsidRPr="00106D84">
        <w:rPr>
          <w:b/>
          <w:sz w:val="22"/>
          <w:lang w:val="el-GR"/>
        </w:rPr>
        <w:t>6.3</w:t>
      </w:r>
      <w:r w:rsidRPr="00106D84">
        <w:rPr>
          <w:b/>
          <w:sz w:val="22"/>
          <w:lang w:val="el-GR"/>
        </w:rPr>
        <w:tab/>
      </w:r>
      <w:r w:rsidR="00824708" w:rsidRPr="00106D84">
        <w:rPr>
          <w:b/>
          <w:sz w:val="22"/>
          <w:lang w:val="el-GR"/>
        </w:rPr>
        <w:t xml:space="preserve">Διάρκεια ζωής </w:t>
      </w:r>
    </w:p>
    <w:p w:rsidR="0018188D" w:rsidRPr="00106D84" w:rsidRDefault="0018188D">
      <w:pPr>
        <w:tabs>
          <w:tab w:val="left" w:pos="426"/>
          <w:tab w:val="left" w:pos="851"/>
        </w:tabs>
        <w:ind w:left="720"/>
        <w:rPr>
          <w:sz w:val="22"/>
          <w:lang w:val="el-GR"/>
        </w:rPr>
      </w:pPr>
    </w:p>
    <w:p w:rsidR="0018188D" w:rsidRPr="00106D84" w:rsidRDefault="0018188D">
      <w:pPr>
        <w:tabs>
          <w:tab w:val="left" w:pos="426"/>
          <w:tab w:val="left" w:pos="851"/>
        </w:tabs>
        <w:ind w:left="720"/>
        <w:rPr>
          <w:sz w:val="22"/>
          <w:lang w:val="el-GR"/>
        </w:rPr>
      </w:pPr>
      <w:r w:rsidRPr="00106D84">
        <w:rPr>
          <w:sz w:val="22"/>
          <w:lang w:val="el-GR"/>
        </w:rPr>
        <w:t xml:space="preserve">  </w:t>
      </w:r>
      <w:r w:rsidR="006653C4" w:rsidRPr="00106D84">
        <w:rPr>
          <w:sz w:val="22"/>
          <w:lang w:val="el-GR"/>
        </w:rPr>
        <w:t>3</w:t>
      </w:r>
      <w:r w:rsidR="000E5A90" w:rsidRPr="00106D84">
        <w:rPr>
          <w:sz w:val="22"/>
          <w:lang w:val="el-GR"/>
        </w:rPr>
        <w:t xml:space="preserve"> χρόνια </w:t>
      </w:r>
    </w:p>
    <w:p w:rsidR="0018188D" w:rsidRPr="00106D84" w:rsidRDefault="0018188D">
      <w:pPr>
        <w:tabs>
          <w:tab w:val="left" w:pos="426"/>
          <w:tab w:val="left" w:pos="851"/>
        </w:tabs>
        <w:ind w:left="426"/>
        <w:rPr>
          <w:sz w:val="22"/>
          <w:lang w:val="el-GR"/>
        </w:rPr>
      </w:pPr>
    </w:p>
    <w:p w:rsidR="00824708" w:rsidRPr="00106D84" w:rsidRDefault="0018188D" w:rsidP="00824708">
      <w:pPr>
        <w:tabs>
          <w:tab w:val="left" w:pos="426"/>
          <w:tab w:val="left" w:pos="851"/>
        </w:tabs>
        <w:ind w:left="426"/>
        <w:rPr>
          <w:sz w:val="22"/>
          <w:lang w:val="el-GR"/>
        </w:rPr>
      </w:pPr>
      <w:r w:rsidRPr="00106D84">
        <w:rPr>
          <w:b/>
          <w:sz w:val="22"/>
          <w:lang w:val="el-GR"/>
        </w:rPr>
        <w:t>6.4</w:t>
      </w:r>
      <w:r w:rsidRPr="00106D84">
        <w:rPr>
          <w:b/>
          <w:sz w:val="22"/>
          <w:lang w:val="el-GR"/>
        </w:rPr>
        <w:tab/>
      </w:r>
      <w:r w:rsidR="00824708" w:rsidRPr="00106D84">
        <w:rPr>
          <w:b/>
          <w:sz w:val="22"/>
          <w:szCs w:val="22"/>
          <w:lang w:val="el-GR"/>
        </w:rPr>
        <w:t>Ιδιαίτερες προφυλάξεις κατά την φύλαξη του προϊόντος</w:t>
      </w:r>
    </w:p>
    <w:p w:rsidR="0018188D" w:rsidRPr="00106D84" w:rsidRDefault="0018188D">
      <w:pPr>
        <w:tabs>
          <w:tab w:val="left" w:pos="426"/>
          <w:tab w:val="left" w:pos="851"/>
        </w:tabs>
        <w:ind w:left="720"/>
        <w:rPr>
          <w:sz w:val="22"/>
          <w:lang w:val="el-GR"/>
        </w:rPr>
      </w:pPr>
    </w:p>
    <w:p w:rsidR="006F53FE" w:rsidRPr="00106D84" w:rsidRDefault="000E5A90">
      <w:pPr>
        <w:tabs>
          <w:tab w:val="left" w:pos="426"/>
          <w:tab w:val="left" w:pos="851"/>
        </w:tabs>
        <w:ind w:left="851"/>
        <w:rPr>
          <w:sz w:val="22"/>
          <w:szCs w:val="22"/>
          <w:lang w:val="el-GR"/>
        </w:rPr>
      </w:pPr>
      <w:r w:rsidRPr="00106D84">
        <w:rPr>
          <w:sz w:val="22"/>
          <w:szCs w:val="22"/>
          <w:lang w:val="el-GR"/>
        </w:rPr>
        <w:t xml:space="preserve">Να μη φυλάσσεται </w:t>
      </w:r>
      <w:r w:rsidR="0018188D" w:rsidRPr="00106D84">
        <w:rPr>
          <w:sz w:val="22"/>
          <w:szCs w:val="22"/>
          <w:lang w:val="el-GR"/>
        </w:rPr>
        <w:t xml:space="preserve">σε θερμοκρασία </w:t>
      </w:r>
      <w:r w:rsidRPr="00106D84">
        <w:rPr>
          <w:sz w:val="22"/>
          <w:szCs w:val="22"/>
          <w:lang w:val="el-GR"/>
        </w:rPr>
        <w:t xml:space="preserve">άνω των </w:t>
      </w:r>
      <w:r w:rsidR="0018188D" w:rsidRPr="00106D84">
        <w:rPr>
          <w:sz w:val="22"/>
          <w:szCs w:val="22"/>
          <w:lang w:val="el-GR"/>
        </w:rPr>
        <w:t>25</w:t>
      </w:r>
      <w:r w:rsidR="0018188D" w:rsidRPr="00106D84">
        <w:rPr>
          <w:sz w:val="22"/>
          <w:szCs w:val="22"/>
          <w:vertAlign w:val="superscript"/>
          <w:lang w:val="el-GR"/>
        </w:rPr>
        <w:t>ο</w:t>
      </w:r>
      <w:r w:rsidR="0018188D" w:rsidRPr="00106D84">
        <w:rPr>
          <w:sz w:val="22"/>
          <w:szCs w:val="22"/>
        </w:rPr>
        <w:t>C</w:t>
      </w:r>
      <w:r w:rsidR="0018188D" w:rsidRPr="00106D84">
        <w:rPr>
          <w:sz w:val="22"/>
          <w:szCs w:val="22"/>
          <w:lang w:val="el-GR"/>
        </w:rPr>
        <w:t>.</w:t>
      </w:r>
      <w:r w:rsidR="006F53FE" w:rsidRPr="00106D84">
        <w:rPr>
          <w:sz w:val="22"/>
          <w:szCs w:val="22"/>
          <w:lang w:val="el-GR"/>
        </w:rPr>
        <w:t xml:space="preserve"> </w:t>
      </w:r>
    </w:p>
    <w:p w:rsidR="0018188D" w:rsidRPr="00106D84" w:rsidRDefault="0018188D">
      <w:pPr>
        <w:tabs>
          <w:tab w:val="left" w:pos="426"/>
          <w:tab w:val="left" w:pos="851"/>
        </w:tabs>
        <w:ind w:left="426"/>
        <w:rPr>
          <w:sz w:val="22"/>
          <w:lang w:val="el-GR"/>
        </w:rPr>
      </w:pPr>
    </w:p>
    <w:p w:rsidR="0018188D" w:rsidRPr="00106D84" w:rsidRDefault="0018188D">
      <w:pPr>
        <w:tabs>
          <w:tab w:val="left" w:pos="426"/>
          <w:tab w:val="left" w:pos="851"/>
        </w:tabs>
        <w:ind w:left="426"/>
        <w:rPr>
          <w:b/>
          <w:sz w:val="22"/>
          <w:lang w:val="el-GR"/>
        </w:rPr>
      </w:pPr>
      <w:r w:rsidRPr="00106D84">
        <w:rPr>
          <w:b/>
          <w:sz w:val="22"/>
          <w:lang w:val="el-GR"/>
        </w:rPr>
        <w:t>6.5</w:t>
      </w:r>
      <w:r w:rsidRPr="00106D84">
        <w:rPr>
          <w:b/>
          <w:sz w:val="22"/>
          <w:lang w:val="el-GR"/>
        </w:rPr>
        <w:tab/>
        <w:t>Φύση και συστατικά του περιέκτη</w:t>
      </w:r>
    </w:p>
    <w:p w:rsidR="0018188D" w:rsidRPr="00106D84" w:rsidRDefault="0018188D">
      <w:pPr>
        <w:tabs>
          <w:tab w:val="left" w:pos="851"/>
        </w:tabs>
        <w:ind w:left="851"/>
        <w:rPr>
          <w:b/>
          <w:i/>
          <w:sz w:val="22"/>
          <w:lang w:val="el-GR"/>
        </w:rPr>
      </w:pPr>
    </w:p>
    <w:p w:rsidR="002603FD" w:rsidRPr="00106D84" w:rsidRDefault="002603FD" w:rsidP="002603FD">
      <w:pPr>
        <w:pStyle w:val="Text"/>
        <w:tabs>
          <w:tab w:val="right" w:pos="5670"/>
          <w:tab w:val="right" w:pos="6804"/>
        </w:tabs>
        <w:spacing w:after="0" w:line="240" w:lineRule="auto"/>
        <w:ind w:left="851"/>
        <w:rPr>
          <w:sz w:val="22"/>
          <w:lang w:val="el-GR"/>
        </w:rPr>
      </w:pPr>
      <w:r w:rsidRPr="00106D84">
        <w:rPr>
          <w:sz w:val="22"/>
          <w:lang w:val="el-GR"/>
        </w:rPr>
        <w:t xml:space="preserve">Λευκές συσκευασίες </w:t>
      </w:r>
      <w:r w:rsidRPr="00106D84">
        <w:rPr>
          <w:sz w:val="22"/>
          <w:lang w:val="en-US"/>
        </w:rPr>
        <w:t>blister</w:t>
      </w:r>
      <w:r w:rsidRPr="00106D84">
        <w:rPr>
          <w:sz w:val="22"/>
          <w:lang w:val="el-GR"/>
        </w:rPr>
        <w:t xml:space="preserve"> από </w:t>
      </w:r>
      <w:r w:rsidRPr="00106D84">
        <w:rPr>
          <w:sz w:val="22"/>
          <w:lang w:val="en-US"/>
        </w:rPr>
        <w:t>PVC</w:t>
      </w:r>
      <w:r w:rsidRPr="00106D84">
        <w:rPr>
          <w:sz w:val="22"/>
          <w:lang w:val="el-GR"/>
        </w:rPr>
        <w:t>/</w:t>
      </w:r>
      <w:r w:rsidRPr="00106D84">
        <w:rPr>
          <w:sz w:val="22"/>
          <w:lang w:val="en-US"/>
        </w:rPr>
        <w:t>PCTFE</w:t>
      </w:r>
      <w:r w:rsidRPr="00106D84">
        <w:rPr>
          <w:sz w:val="22"/>
          <w:lang w:val="el-GR"/>
        </w:rPr>
        <w:t>/</w:t>
      </w:r>
      <w:r w:rsidRPr="00106D84">
        <w:rPr>
          <w:sz w:val="22"/>
          <w:lang w:val="en-US"/>
        </w:rPr>
        <w:t>Alu</w:t>
      </w:r>
      <w:r w:rsidRPr="00106D84">
        <w:rPr>
          <w:sz w:val="22"/>
          <w:lang w:val="el-GR"/>
        </w:rPr>
        <w:t xml:space="preserve">, </w:t>
      </w:r>
    </w:p>
    <w:p w:rsidR="002603FD" w:rsidRPr="00106D84" w:rsidRDefault="002603FD" w:rsidP="002603FD">
      <w:pPr>
        <w:pStyle w:val="Text"/>
        <w:tabs>
          <w:tab w:val="right" w:pos="5670"/>
          <w:tab w:val="right" w:pos="6804"/>
        </w:tabs>
        <w:spacing w:after="0" w:line="240" w:lineRule="auto"/>
        <w:ind w:left="851"/>
        <w:rPr>
          <w:sz w:val="22"/>
          <w:lang w:val="el-GR"/>
        </w:rPr>
      </w:pPr>
      <w:r w:rsidRPr="00106D84">
        <w:rPr>
          <w:sz w:val="22"/>
          <w:lang w:val="el-GR"/>
        </w:rPr>
        <w:t xml:space="preserve">ή λευκές συσκευασίες </w:t>
      </w:r>
      <w:r w:rsidRPr="00106D84">
        <w:rPr>
          <w:sz w:val="22"/>
          <w:lang w:val="en-US"/>
        </w:rPr>
        <w:t>blister</w:t>
      </w:r>
      <w:r w:rsidRPr="00106D84">
        <w:rPr>
          <w:sz w:val="22"/>
          <w:lang w:val="el-GR"/>
        </w:rPr>
        <w:t xml:space="preserve"> από </w:t>
      </w:r>
      <w:r w:rsidRPr="00106D84">
        <w:rPr>
          <w:sz w:val="22"/>
        </w:rPr>
        <w:t>PVC</w:t>
      </w:r>
      <w:r w:rsidRPr="00106D84">
        <w:rPr>
          <w:sz w:val="22"/>
          <w:lang w:val="el-GR"/>
        </w:rPr>
        <w:t>/</w:t>
      </w:r>
      <w:r w:rsidRPr="00106D84">
        <w:rPr>
          <w:sz w:val="22"/>
        </w:rPr>
        <w:t>PVDC</w:t>
      </w:r>
      <w:r w:rsidRPr="00106D84">
        <w:rPr>
          <w:sz w:val="22"/>
          <w:lang w:val="el-GR"/>
        </w:rPr>
        <w:t>/</w:t>
      </w:r>
      <w:r w:rsidRPr="00106D84">
        <w:rPr>
          <w:sz w:val="22"/>
        </w:rPr>
        <w:t>Alu</w:t>
      </w:r>
      <w:r w:rsidRPr="00106D84">
        <w:rPr>
          <w:sz w:val="22"/>
          <w:lang w:val="el-GR"/>
        </w:rPr>
        <w:t>,</w:t>
      </w:r>
    </w:p>
    <w:p w:rsidR="002603FD" w:rsidRPr="00106D84" w:rsidRDefault="002603FD" w:rsidP="002603FD">
      <w:pPr>
        <w:tabs>
          <w:tab w:val="left" w:pos="851"/>
        </w:tabs>
        <w:ind w:left="851"/>
        <w:rPr>
          <w:sz w:val="22"/>
          <w:lang w:val="el-GR"/>
        </w:rPr>
      </w:pPr>
      <w:r w:rsidRPr="00106D84">
        <w:rPr>
          <w:sz w:val="22"/>
          <w:lang w:val="el-GR"/>
        </w:rPr>
        <w:t xml:space="preserve">ή λευκές φιάλες από </w:t>
      </w:r>
      <w:r w:rsidRPr="00106D84">
        <w:rPr>
          <w:sz w:val="22"/>
          <w:lang w:val="en-US"/>
        </w:rPr>
        <w:t>HDPE</w:t>
      </w:r>
      <w:r w:rsidRPr="00106D84">
        <w:rPr>
          <w:sz w:val="22"/>
          <w:lang w:val="el-GR"/>
        </w:rPr>
        <w:t xml:space="preserve"> με πώμα πολυπροπυλενίου. </w:t>
      </w:r>
    </w:p>
    <w:p w:rsidR="007A5661" w:rsidRPr="00106D84" w:rsidRDefault="007A5661">
      <w:pPr>
        <w:tabs>
          <w:tab w:val="left" w:pos="851"/>
        </w:tabs>
        <w:ind w:left="851"/>
        <w:rPr>
          <w:sz w:val="22"/>
          <w:lang w:val="el-GR"/>
        </w:rPr>
      </w:pPr>
    </w:p>
    <w:p w:rsidR="00EB536F" w:rsidRPr="00106D84" w:rsidRDefault="00EB536F" w:rsidP="00EB536F">
      <w:pPr>
        <w:ind w:left="851"/>
        <w:rPr>
          <w:sz w:val="22"/>
          <w:szCs w:val="22"/>
          <w:u w:val="single"/>
          <w:lang w:val="el-GR"/>
        </w:rPr>
      </w:pPr>
      <w:r w:rsidRPr="00106D84">
        <w:rPr>
          <w:sz w:val="22"/>
          <w:szCs w:val="22"/>
          <w:u w:val="single"/>
          <w:lang w:val="el-GR"/>
        </w:rPr>
        <w:t>Συσκευασίες που εγκρίθηκαν κατά την αμοιβαία/αποκεντρωμένη συσκευασία</w:t>
      </w:r>
    </w:p>
    <w:p w:rsidR="007A5661" w:rsidRPr="00106D84" w:rsidRDefault="007A5661">
      <w:pPr>
        <w:tabs>
          <w:tab w:val="left" w:pos="851"/>
        </w:tabs>
        <w:ind w:left="851"/>
        <w:rPr>
          <w:sz w:val="22"/>
          <w:szCs w:val="22"/>
          <w:lang w:val="el-GR"/>
        </w:rPr>
      </w:pPr>
      <w:r w:rsidRPr="00106D84">
        <w:rPr>
          <w:sz w:val="22"/>
          <w:szCs w:val="22"/>
          <w:lang w:val="el-GR"/>
        </w:rPr>
        <w:t xml:space="preserve">Συσκευασίες σε </w:t>
      </w:r>
      <w:r w:rsidRPr="00106D84">
        <w:rPr>
          <w:sz w:val="22"/>
          <w:szCs w:val="22"/>
          <w:lang w:val="en-US"/>
        </w:rPr>
        <w:t>blister</w:t>
      </w:r>
      <w:r w:rsidRPr="00106D84">
        <w:rPr>
          <w:sz w:val="22"/>
          <w:szCs w:val="22"/>
          <w:lang w:val="el-GR"/>
        </w:rPr>
        <w:t>:</w:t>
      </w:r>
    </w:p>
    <w:p w:rsidR="0018188D" w:rsidRPr="00106D84" w:rsidRDefault="000712E4">
      <w:pPr>
        <w:tabs>
          <w:tab w:val="left" w:pos="851"/>
        </w:tabs>
        <w:ind w:left="851"/>
        <w:rPr>
          <w:sz w:val="22"/>
          <w:szCs w:val="22"/>
          <w:lang w:val="el-GR"/>
        </w:rPr>
      </w:pPr>
      <w:r w:rsidRPr="00106D84">
        <w:rPr>
          <w:sz w:val="22"/>
          <w:szCs w:val="22"/>
          <w:lang w:val="el-GR"/>
        </w:rPr>
        <w:t>Των</w:t>
      </w:r>
      <w:r w:rsidR="0018188D" w:rsidRPr="00106D84">
        <w:rPr>
          <w:sz w:val="22"/>
          <w:szCs w:val="22"/>
          <w:lang w:val="el-GR"/>
        </w:rPr>
        <w:t xml:space="preserve"> 14 επικαλυμμένων με λεπτό υμένιο δισκίων  </w:t>
      </w:r>
    </w:p>
    <w:p w:rsidR="0018188D" w:rsidRPr="00106D84" w:rsidRDefault="000712E4">
      <w:pPr>
        <w:tabs>
          <w:tab w:val="left" w:pos="851"/>
        </w:tabs>
        <w:ind w:left="851"/>
        <w:rPr>
          <w:strike/>
          <w:sz w:val="22"/>
          <w:szCs w:val="22"/>
          <w:lang w:val="el-GR"/>
        </w:rPr>
      </w:pPr>
      <w:r w:rsidRPr="00106D84">
        <w:rPr>
          <w:sz w:val="22"/>
          <w:szCs w:val="22"/>
          <w:lang w:val="el-GR"/>
        </w:rPr>
        <w:t xml:space="preserve">Των </w:t>
      </w:r>
      <w:r w:rsidR="0018188D" w:rsidRPr="00106D84">
        <w:rPr>
          <w:sz w:val="22"/>
          <w:szCs w:val="22"/>
          <w:lang w:val="el-GR"/>
        </w:rPr>
        <w:t xml:space="preserve">28 επικαλυμμένων με λεπτό υμένιο δισκίων  </w:t>
      </w:r>
    </w:p>
    <w:p w:rsidR="0018188D" w:rsidRPr="00106D84" w:rsidRDefault="000712E4">
      <w:pPr>
        <w:tabs>
          <w:tab w:val="left" w:pos="851"/>
        </w:tabs>
        <w:ind w:left="851"/>
        <w:rPr>
          <w:sz w:val="22"/>
          <w:szCs w:val="22"/>
          <w:lang w:val="el-GR"/>
        </w:rPr>
      </w:pPr>
      <w:r w:rsidRPr="00106D84">
        <w:rPr>
          <w:sz w:val="22"/>
          <w:szCs w:val="22"/>
          <w:lang w:val="el-GR"/>
        </w:rPr>
        <w:t xml:space="preserve">Των </w:t>
      </w:r>
      <w:r w:rsidR="0018188D" w:rsidRPr="00106D84">
        <w:rPr>
          <w:sz w:val="22"/>
          <w:szCs w:val="22"/>
          <w:lang w:val="el-GR"/>
        </w:rPr>
        <w:t xml:space="preserve">56 επικαλυμμένων με λεπτό υμένιο δισκίων  </w:t>
      </w:r>
    </w:p>
    <w:p w:rsidR="0018188D" w:rsidRPr="00106D84" w:rsidRDefault="000712E4">
      <w:pPr>
        <w:tabs>
          <w:tab w:val="left" w:pos="851"/>
        </w:tabs>
        <w:ind w:left="851"/>
        <w:rPr>
          <w:strike/>
          <w:sz w:val="22"/>
          <w:szCs w:val="22"/>
          <w:lang w:val="el-GR"/>
        </w:rPr>
      </w:pPr>
      <w:r w:rsidRPr="00106D84">
        <w:rPr>
          <w:sz w:val="22"/>
          <w:szCs w:val="22"/>
          <w:lang w:val="el-GR"/>
        </w:rPr>
        <w:t xml:space="preserve">Των </w:t>
      </w:r>
      <w:r w:rsidR="0018188D" w:rsidRPr="00106D84">
        <w:rPr>
          <w:sz w:val="22"/>
          <w:szCs w:val="22"/>
          <w:lang w:val="el-GR"/>
        </w:rPr>
        <w:t xml:space="preserve">98 επικαλυμμένων με λεπτό υμένιο δισκίων  </w:t>
      </w:r>
    </w:p>
    <w:p w:rsidR="0018188D" w:rsidRPr="00106D84" w:rsidRDefault="000712E4">
      <w:pPr>
        <w:tabs>
          <w:tab w:val="left" w:pos="851"/>
        </w:tabs>
        <w:ind w:left="851"/>
        <w:rPr>
          <w:sz w:val="22"/>
          <w:szCs w:val="22"/>
          <w:lang w:val="el-GR"/>
        </w:rPr>
      </w:pPr>
      <w:r w:rsidRPr="00106D84">
        <w:rPr>
          <w:sz w:val="22"/>
          <w:szCs w:val="22"/>
          <w:lang w:val="el-GR"/>
        </w:rPr>
        <w:t>Των</w:t>
      </w:r>
      <w:r w:rsidR="0018188D" w:rsidRPr="00106D84">
        <w:rPr>
          <w:sz w:val="22"/>
          <w:szCs w:val="22"/>
          <w:lang w:val="el-GR"/>
        </w:rPr>
        <w:t xml:space="preserve"> 280 επικαλυμμένων με λεπτό υμένιο δισκίων (10 x 28 )</w:t>
      </w:r>
    </w:p>
    <w:p w:rsidR="007C55AE" w:rsidRPr="00106D84" w:rsidRDefault="007C55AE" w:rsidP="007C55AE">
      <w:pPr>
        <w:tabs>
          <w:tab w:val="left" w:pos="851"/>
        </w:tabs>
        <w:ind w:left="851"/>
        <w:rPr>
          <w:b/>
          <w:i/>
          <w:sz w:val="22"/>
          <w:szCs w:val="22"/>
          <w:lang w:val="el-GR"/>
        </w:rPr>
      </w:pPr>
    </w:p>
    <w:p w:rsidR="007C55AE" w:rsidRPr="00106D84" w:rsidRDefault="004D73D9" w:rsidP="007C55AE">
      <w:pPr>
        <w:tabs>
          <w:tab w:val="left" w:pos="851"/>
        </w:tabs>
        <w:ind w:left="851"/>
        <w:rPr>
          <w:sz w:val="22"/>
          <w:szCs w:val="22"/>
          <w:lang w:val="el-GR"/>
        </w:rPr>
      </w:pPr>
      <w:r w:rsidRPr="00106D84">
        <w:rPr>
          <w:sz w:val="22"/>
          <w:szCs w:val="22"/>
          <w:lang w:val="el-GR"/>
        </w:rPr>
        <w:t xml:space="preserve">Συσκευασίες </w:t>
      </w:r>
      <w:r w:rsidR="007C55AE" w:rsidRPr="00106D84">
        <w:rPr>
          <w:sz w:val="22"/>
          <w:szCs w:val="22"/>
          <w:lang w:val="el-GR"/>
        </w:rPr>
        <w:t>φιάλης:</w:t>
      </w:r>
    </w:p>
    <w:p w:rsidR="007C55AE" w:rsidRPr="00106D84" w:rsidRDefault="000712E4" w:rsidP="007C55AE">
      <w:pPr>
        <w:tabs>
          <w:tab w:val="left" w:pos="851"/>
        </w:tabs>
        <w:ind w:left="851"/>
        <w:rPr>
          <w:sz w:val="22"/>
          <w:szCs w:val="22"/>
          <w:lang w:val="el-GR"/>
        </w:rPr>
      </w:pPr>
      <w:r w:rsidRPr="00106D84">
        <w:rPr>
          <w:sz w:val="22"/>
          <w:szCs w:val="22"/>
          <w:lang w:val="el-GR"/>
        </w:rPr>
        <w:t xml:space="preserve">Των </w:t>
      </w:r>
      <w:r w:rsidR="007C55AE" w:rsidRPr="00106D84">
        <w:rPr>
          <w:sz w:val="22"/>
          <w:szCs w:val="22"/>
          <w:lang w:val="el-GR"/>
        </w:rPr>
        <w:t xml:space="preserve">100 επικαλυμμένων με λεπτό υμένιο δισκίων </w:t>
      </w:r>
    </w:p>
    <w:p w:rsidR="0018188D" w:rsidRPr="00106D84" w:rsidRDefault="0018188D">
      <w:pPr>
        <w:tabs>
          <w:tab w:val="left" w:pos="426"/>
          <w:tab w:val="left" w:pos="851"/>
        </w:tabs>
        <w:ind w:left="426"/>
        <w:rPr>
          <w:b/>
          <w:sz w:val="22"/>
          <w:szCs w:val="22"/>
          <w:lang w:val="el-GR"/>
        </w:rPr>
      </w:pPr>
    </w:p>
    <w:p w:rsidR="00031426" w:rsidRPr="00106D84" w:rsidRDefault="00F20F9F">
      <w:pPr>
        <w:tabs>
          <w:tab w:val="left" w:pos="426"/>
          <w:tab w:val="left" w:pos="851"/>
        </w:tabs>
        <w:ind w:left="426"/>
        <w:rPr>
          <w:sz w:val="22"/>
          <w:szCs w:val="22"/>
          <w:lang w:val="el-GR"/>
        </w:rPr>
      </w:pPr>
      <w:r w:rsidRPr="00106D84">
        <w:rPr>
          <w:sz w:val="22"/>
          <w:szCs w:val="22"/>
          <w:lang w:val="el-GR"/>
        </w:rPr>
        <w:tab/>
        <w:t xml:space="preserve">Μπορεί να μην κυκλοφορούν όλες οι συσκευασίες. </w:t>
      </w:r>
    </w:p>
    <w:p w:rsidR="00EB536F" w:rsidRPr="00106D84" w:rsidRDefault="00EB536F" w:rsidP="00EB536F">
      <w:pPr>
        <w:keepNext/>
        <w:ind w:left="851"/>
        <w:rPr>
          <w:sz w:val="22"/>
          <w:szCs w:val="22"/>
          <w:u w:val="single"/>
          <w:lang w:val="el-GR"/>
        </w:rPr>
      </w:pPr>
    </w:p>
    <w:p w:rsidR="00EB536F" w:rsidRPr="00106D84" w:rsidRDefault="00EB536F" w:rsidP="00EB536F">
      <w:pPr>
        <w:keepNext/>
        <w:ind w:left="851"/>
        <w:rPr>
          <w:sz w:val="22"/>
          <w:szCs w:val="22"/>
          <w:u w:val="single"/>
          <w:lang w:val="el-GR"/>
        </w:rPr>
      </w:pPr>
      <w:r w:rsidRPr="00106D84">
        <w:rPr>
          <w:sz w:val="22"/>
          <w:szCs w:val="22"/>
          <w:u w:val="single"/>
          <w:lang w:val="el-GR"/>
        </w:rPr>
        <w:t xml:space="preserve">Συσκευασίες που θα κυκλοφορήσουν στην ελληνική αγορά </w:t>
      </w:r>
    </w:p>
    <w:p w:rsidR="00EB536F" w:rsidRPr="00106D84" w:rsidRDefault="00EB536F" w:rsidP="00EB536F">
      <w:pPr>
        <w:ind w:left="851"/>
        <w:rPr>
          <w:sz w:val="22"/>
          <w:szCs w:val="22"/>
          <w:lang w:val="el-GR"/>
        </w:rPr>
      </w:pPr>
      <w:r w:rsidRPr="00106D84">
        <w:rPr>
          <w:sz w:val="22"/>
          <w:szCs w:val="22"/>
          <w:lang w:val="el-GR"/>
        </w:rPr>
        <w:t xml:space="preserve">Συσκευασίες </w:t>
      </w:r>
      <w:r w:rsidRPr="00106D84">
        <w:rPr>
          <w:sz w:val="22"/>
          <w:szCs w:val="22"/>
        </w:rPr>
        <w:t>blisters</w:t>
      </w:r>
      <w:r w:rsidRPr="00106D84">
        <w:rPr>
          <w:sz w:val="22"/>
          <w:szCs w:val="22"/>
          <w:lang w:val="el-GR"/>
        </w:rPr>
        <w:t>:</w:t>
      </w:r>
      <w:r w:rsidR="00254688">
        <w:rPr>
          <w:sz w:val="22"/>
          <w:szCs w:val="22"/>
          <w:lang w:val="el-GR"/>
        </w:rPr>
        <w:t xml:space="preserve"> </w:t>
      </w:r>
      <w:r w:rsidRPr="00106D84">
        <w:rPr>
          <w:sz w:val="22"/>
          <w:szCs w:val="22"/>
          <w:lang w:val="el-GR"/>
        </w:rPr>
        <w:t>28 επικαλυμμένα με λεπτό υμένιο δισκία</w:t>
      </w:r>
    </w:p>
    <w:p w:rsidR="00F20F9F" w:rsidRPr="00106D84" w:rsidRDefault="00F20F9F">
      <w:pPr>
        <w:tabs>
          <w:tab w:val="left" w:pos="426"/>
          <w:tab w:val="left" w:pos="851"/>
        </w:tabs>
        <w:ind w:left="426"/>
        <w:rPr>
          <w:b/>
          <w:sz w:val="22"/>
          <w:lang w:val="el-GR"/>
        </w:rPr>
      </w:pPr>
    </w:p>
    <w:p w:rsidR="00824708" w:rsidRPr="00106D84" w:rsidRDefault="0018188D" w:rsidP="00824708">
      <w:pPr>
        <w:ind w:firstLine="426"/>
        <w:rPr>
          <w:sz w:val="22"/>
          <w:szCs w:val="22"/>
          <w:lang w:val="el-GR"/>
        </w:rPr>
      </w:pPr>
      <w:r w:rsidRPr="00106D84">
        <w:rPr>
          <w:b/>
          <w:sz w:val="22"/>
          <w:lang w:val="el-GR"/>
        </w:rPr>
        <w:t>6.6</w:t>
      </w:r>
      <w:r w:rsidRPr="00106D84">
        <w:rPr>
          <w:b/>
          <w:sz w:val="22"/>
          <w:lang w:val="el-GR"/>
        </w:rPr>
        <w:tab/>
      </w:r>
      <w:r w:rsidR="00824708" w:rsidRPr="00106D84">
        <w:rPr>
          <w:b/>
          <w:sz w:val="22"/>
          <w:lang w:val="el-GR"/>
        </w:rPr>
        <w:t xml:space="preserve"> </w:t>
      </w:r>
      <w:r w:rsidR="00824708" w:rsidRPr="00106D84">
        <w:rPr>
          <w:b/>
          <w:noProof/>
          <w:sz w:val="22"/>
          <w:szCs w:val="22"/>
          <w:lang w:val="el-GR"/>
        </w:rPr>
        <w:t>Ιδιαίτερες προφυλάξεις απόρριψης</w:t>
      </w:r>
    </w:p>
    <w:p w:rsidR="0018188D" w:rsidRPr="00106D84" w:rsidRDefault="0018188D">
      <w:pPr>
        <w:tabs>
          <w:tab w:val="left" w:pos="426"/>
          <w:tab w:val="left" w:pos="851"/>
        </w:tabs>
        <w:ind w:left="426"/>
        <w:rPr>
          <w:b/>
          <w:sz w:val="22"/>
          <w:lang w:val="el-GR"/>
        </w:rPr>
      </w:pPr>
    </w:p>
    <w:p w:rsidR="0018188D" w:rsidRPr="00106D84" w:rsidRDefault="0018188D" w:rsidP="00F20F9F">
      <w:pPr>
        <w:tabs>
          <w:tab w:val="left" w:pos="426"/>
          <w:tab w:val="left" w:pos="851"/>
        </w:tabs>
        <w:ind w:left="432"/>
        <w:rPr>
          <w:sz w:val="22"/>
          <w:lang w:val="el-GR"/>
        </w:rPr>
      </w:pPr>
      <w:r w:rsidRPr="00106D84">
        <w:rPr>
          <w:sz w:val="22"/>
          <w:lang w:val="el-GR"/>
        </w:rPr>
        <w:tab/>
        <w:t>Καμία ειδική υποχρέωση</w:t>
      </w:r>
    </w:p>
    <w:p w:rsidR="0018188D" w:rsidRPr="00106D84" w:rsidRDefault="0018188D">
      <w:pPr>
        <w:tabs>
          <w:tab w:val="left" w:pos="426"/>
          <w:tab w:val="left" w:pos="851"/>
        </w:tabs>
        <w:ind w:left="426"/>
        <w:rPr>
          <w:b/>
          <w:sz w:val="22"/>
          <w:lang w:val="el-GR"/>
        </w:rPr>
      </w:pPr>
    </w:p>
    <w:p w:rsidR="00172DF1" w:rsidRPr="00106D84" w:rsidRDefault="00172DF1" w:rsidP="00172DF1">
      <w:pPr>
        <w:rPr>
          <w:sz w:val="22"/>
          <w:szCs w:val="22"/>
          <w:u w:val="single"/>
          <w:lang w:val="el-GR"/>
        </w:rPr>
      </w:pPr>
      <w:r w:rsidRPr="00106D84">
        <w:rPr>
          <w:b/>
          <w:sz w:val="22"/>
          <w:szCs w:val="22"/>
          <w:lang w:val="el-GR"/>
        </w:rPr>
        <w:t xml:space="preserve">7.     </w:t>
      </w:r>
      <w:r w:rsidRPr="00106D84">
        <w:rPr>
          <w:b/>
          <w:sz w:val="22"/>
          <w:szCs w:val="22"/>
          <w:u w:val="single"/>
          <w:lang w:val="el-GR"/>
        </w:rPr>
        <w:t>ΚΑΤΟΧΟΣ ΤΗΣ ΑΔΕΙΑΣ ΚΥΚΛΟΦΟΡΙΑΣ</w:t>
      </w:r>
    </w:p>
    <w:p w:rsidR="00172DF1" w:rsidRPr="00106D84" w:rsidRDefault="00172DF1" w:rsidP="00172DF1">
      <w:pPr>
        <w:tabs>
          <w:tab w:val="left" w:pos="426"/>
          <w:tab w:val="left" w:pos="851"/>
        </w:tabs>
        <w:jc w:val="left"/>
        <w:rPr>
          <w:lang w:val="el-GR"/>
        </w:rPr>
      </w:pPr>
    </w:p>
    <w:p w:rsidR="00EB536F" w:rsidRPr="00106D84" w:rsidRDefault="00EB536F" w:rsidP="00EB536F">
      <w:pPr>
        <w:keepNext/>
        <w:tabs>
          <w:tab w:val="left" w:pos="426"/>
        </w:tabs>
        <w:spacing w:line="240" w:lineRule="atLeast"/>
        <w:ind w:left="426"/>
        <w:rPr>
          <w:sz w:val="22"/>
          <w:szCs w:val="22"/>
        </w:rPr>
      </w:pPr>
      <w:r w:rsidRPr="00106D84">
        <w:rPr>
          <w:sz w:val="22"/>
          <w:szCs w:val="22"/>
        </w:rPr>
        <w:t>Abbott Laboratories (</w:t>
      </w:r>
      <w:r w:rsidRPr="00106D84">
        <w:rPr>
          <w:sz w:val="22"/>
          <w:szCs w:val="22"/>
          <w:lang w:val="el-GR"/>
        </w:rPr>
        <w:t>Ελλάς</w:t>
      </w:r>
      <w:r w:rsidRPr="00106D84">
        <w:rPr>
          <w:sz w:val="22"/>
          <w:szCs w:val="22"/>
        </w:rPr>
        <w:t>) ABEE,</w:t>
      </w:r>
    </w:p>
    <w:p w:rsidR="00EB536F" w:rsidRPr="00106D84" w:rsidRDefault="00EB536F" w:rsidP="00EB536F">
      <w:pPr>
        <w:keepNext/>
        <w:tabs>
          <w:tab w:val="left" w:pos="426"/>
        </w:tabs>
        <w:spacing w:line="240" w:lineRule="atLeast"/>
        <w:ind w:left="426"/>
        <w:rPr>
          <w:sz w:val="22"/>
          <w:szCs w:val="22"/>
          <w:lang w:val="el-GR"/>
        </w:rPr>
      </w:pPr>
      <w:r w:rsidRPr="00106D84">
        <w:rPr>
          <w:sz w:val="22"/>
          <w:szCs w:val="22"/>
          <w:lang w:val="el-GR"/>
        </w:rPr>
        <w:t>Λεωφ</w:t>
      </w:r>
      <w:r w:rsidRPr="00106D84">
        <w:rPr>
          <w:sz w:val="22"/>
          <w:szCs w:val="22"/>
        </w:rPr>
        <w:t xml:space="preserve">. </w:t>
      </w:r>
      <w:r w:rsidRPr="00106D84">
        <w:rPr>
          <w:sz w:val="22"/>
          <w:szCs w:val="22"/>
          <w:lang w:val="el-GR"/>
        </w:rPr>
        <w:t>Βουλιαγμένης 512,</w:t>
      </w:r>
    </w:p>
    <w:p w:rsidR="00EB536F" w:rsidRPr="00106D84" w:rsidRDefault="00EB536F" w:rsidP="00EB536F">
      <w:pPr>
        <w:keepNext/>
        <w:tabs>
          <w:tab w:val="left" w:pos="426"/>
        </w:tabs>
        <w:spacing w:line="240" w:lineRule="atLeast"/>
        <w:ind w:left="426"/>
        <w:rPr>
          <w:sz w:val="22"/>
          <w:szCs w:val="22"/>
          <w:lang w:val="el-GR"/>
        </w:rPr>
      </w:pPr>
      <w:r w:rsidRPr="00106D84">
        <w:rPr>
          <w:sz w:val="22"/>
          <w:szCs w:val="22"/>
          <w:lang w:val="el-GR"/>
        </w:rPr>
        <w:t>174</w:t>
      </w:r>
      <w:r w:rsidR="00CD78BD">
        <w:rPr>
          <w:sz w:val="22"/>
          <w:szCs w:val="22"/>
          <w:lang w:val="el-GR"/>
        </w:rPr>
        <w:t xml:space="preserve"> </w:t>
      </w:r>
      <w:r w:rsidRPr="00106D84">
        <w:rPr>
          <w:sz w:val="22"/>
          <w:szCs w:val="22"/>
          <w:lang w:val="el-GR"/>
        </w:rPr>
        <w:t>56 Άλιμος</w:t>
      </w:r>
      <w:r w:rsidR="00CD78BD">
        <w:rPr>
          <w:sz w:val="22"/>
          <w:szCs w:val="22"/>
          <w:lang w:val="el-GR"/>
        </w:rPr>
        <w:t>,</w:t>
      </w:r>
      <w:r w:rsidRPr="00106D84">
        <w:rPr>
          <w:sz w:val="22"/>
          <w:szCs w:val="22"/>
          <w:lang w:val="el-GR"/>
        </w:rPr>
        <w:t xml:space="preserve"> </w:t>
      </w:r>
      <w:r w:rsidR="00CD78BD">
        <w:rPr>
          <w:sz w:val="22"/>
          <w:szCs w:val="22"/>
          <w:lang w:val="el-GR"/>
        </w:rPr>
        <w:t>Αθήνα</w:t>
      </w:r>
    </w:p>
    <w:p w:rsidR="00EB536F" w:rsidRPr="00106D84" w:rsidRDefault="00EB536F" w:rsidP="00EB536F">
      <w:pPr>
        <w:keepNext/>
        <w:tabs>
          <w:tab w:val="left" w:pos="426"/>
        </w:tabs>
        <w:spacing w:line="240" w:lineRule="atLeast"/>
        <w:ind w:left="426"/>
        <w:rPr>
          <w:sz w:val="22"/>
          <w:szCs w:val="22"/>
          <w:lang w:val="el-GR"/>
        </w:rPr>
      </w:pPr>
      <w:r w:rsidRPr="00106D84">
        <w:rPr>
          <w:sz w:val="22"/>
          <w:szCs w:val="22"/>
          <w:lang w:val="el-GR"/>
        </w:rPr>
        <w:t>Τηλ. 210 9985222</w:t>
      </w:r>
    </w:p>
    <w:p w:rsidR="0018188D" w:rsidRPr="00106D84" w:rsidRDefault="0018188D">
      <w:pPr>
        <w:tabs>
          <w:tab w:val="left" w:pos="426"/>
          <w:tab w:val="left" w:pos="851"/>
        </w:tabs>
        <w:rPr>
          <w:sz w:val="22"/>
          <w:lang w:val="el-GR"/>
        </w:rPr>
      </w:pPr>
    </w:p>
    <w:p w:rsidR="0018188D" w:rsidRPr="00106D84" w:rsidRDefault="00172DF1">
      <w:pPr>
        <w:tabs>
          <w:tab w:val="left" w:pos="426"/>
          <w:tab w:val="left" w:pos="851"/>
        </w:tabs>
        <w:rPr>
          <w:sz w:val="22"/>
          <w:lang w:val="el-GR"/>
        </w:rPr>
      </w:pPr>
      <w:r w:rsidRPr="00106D84">
        <w:rPr>
          <w:b/>
          <w:sz w:val="22"/>
          <w:lang w:val="el-GR"/>
        </w:rPr>
        <w:t>8</w:t>
      </w:r>
      <w:r w:rsidR="0018188D" w:rsidRPr="00106D84">
        <w:rPr>
          <w:b/>
          <w:sz w:val="22"/>
          <w:lang w:val="el-GR"/>
        </w:rPr>
        <w:t>.</w:t>
      </w:r>
      <w:r w:rsidR="0018188D" w:rsidRPr="00106D84">
        <w:rPr>
          <w:b/>
          <w:sz w:val="22"/>
          <w:lang w:val="el-GR"/>
        </w:rPr>
        <w:tab/>
      </w:r>
      <w:r w:rsidR="0018188D" w:rsidRPr="00106D84">
        <w:rPr>
          <w:b/>
          <w:sz w:val="22"/>
          <w:u w:val="single"/>
          <w:lang w:val="el-GR"/>
        </w:rPr>
        <w:t>ΑΡΙΘΜΟΣ</w:t>
      </w:r>
      <w:r w:rsidRPr="00106D84">
        <w:rPr>
          <w:b/>
          <w:sz w:val="22"/>
          <w:u w:val="single"/>
          <w:lang w:val="el-GR"/>
        </w:rPr>
        <w:t>(ΟΙ)</w:t>
      </w:r>
      <w:r w:rsidR="0018188D" w:rsidRPr="00106D84">
        <w:rPr>
          <w:b/>
          <w:sz w:val="22"/>
          <w:u w:val="single"/>
          <w:lang w:val="el-GR"/>
        </w:rPr>
        <w:t xml:space="preserve"> ΑΔΕΙΑΣ ΚΥΚΛΟΦΟΡΙΑΣ</w:t>
      </w:r>
      <w:r w:rsidR="0018188D" w:rsidRPr="00106D84">
        <w:rPr>
          <w:sz w:val="22"/>
          <w:u w:val="single"/>
          <w:lang w:val="el-GR"/>
        </w:rPr>
        <w:t>:</w:t>
      </w:r>
      <w:r w:rsidR="0018188D" w:rsidRPr="00106D84">
        <w:rPr>
          <w:sz w:val="22"/>
          <w:lang w:val="el-GR"/>
        </w:rPr>
        <w:t xml:space="preserve"> </w:t>
      </w:r>
    </w:p>
    <w:p w:rsidR="0018188D" w:rsidRPr="00106D84" w:rsidRDefault="0018188D">
      <w:pPr>
        <w:tabs>
          <w:tab w:val="left" w:pos="426"/>
        </w:tabs>
        <w:rPr>
          <w:sz w:val="22"/>
          <w:lang w:val="el-GR"/>
        </w:rPr>
      </w:pPr>
      <w:r w:rsidRPr="00106D84">
        <w:rPr>
          <w:sz w:val="22"/>
          <w:lang w:val="el-GR"/>
        </w:rPr>
        <w:tab/>
      </w:r>
    </w:p>
    <w:p w:rsidR="002F45DB" w:rsidRPr="00106D84" w:rsidRDefault="00CD78BD" w:rsidP="002D6D36">
      <w:pPr>
        <w:tabs>
          <w:tab w:val="left" w:pos="426"/>
        </w:tabs>
        <w:ind w:left="426"/>
        <w:rPr>
          <w:sz w:val="22"/>
          <w:lang w:val="el-GR"/>
        </w:rPr>
      </w:pPr>
      <w:r w:rsidRPr="00106D84">
        <w:rPr>
          <w:sz w:val="22"/>
          <w:lang w:val="el-GR"/>
        </w:rPr>
        <w:t>745</w:t>
      </w:r>
      <w:r>
        <w:rPr>
          <w:sz w:val="22"/>
          <w:lang w:val="el-GR"/>
        </w:rPr>
        <w:t>10</w:t>
      </w:r>
      <w:r w:rsidR="002F45DB" w:rsidRPr="00106D84">
        <w:rPr>
          <w:sz w:val="22"/>
          <w:lang w:val="el-GR"/>
        </w:rPr>
        <w:t>/18-11-2008</w:t>
      </w:r>
    </w:p>
    <w:p w:rsidR="00175AA8" w:rsidRPr="00106D84" w:rsidRDefault="00175AA8">
      <w:pPr>
        <w:tabs>
          <w:tab w:val="left" w:pos="426"/>
          <w:tab w:val="left" w:pos="851"/>
        </w:tabs>
        <w:rPr>
          <w:sz w:val="22"/>
          <w:szCs w:val="22"/>
          <w:lang w:val="el-GR"/>
        </w:rPr>
      </w:pPr>
    </w:p>
    <w:p w:rsidR="008C7B9B" w:rsidRPr="00106D84" w:rsidRDefault="0018188D">
      <w:pPr>
        <w:tabs>
          <w:tab w:val="left" w:pos="426"/>
          <w:tab w:val="left" w:pos="851"/>
        </w:tabs>
        <w:rPr>
          <w:b/>
          <w:sz w:val="22"/>
          <w:lang w:val="el-GR"/>
        </w:rPr>
      </w:pPr>
      <w:r w:rsidRPr="00106D84">
        <w:rPr>
          <w:sz w:val="22"/>
          <w:lang w:val="el-GR"/>
        </w:rPr>
        <w:tab/>
      </w:r>
    </w:p>
    <w:p w:rsidR="0018188D" w:rsidRPr="00106D84" w:rsidRDefault="00172DF1">
      <w:pPr>
        <w:tabs>
          <w:tab w:val="left" w:pos="426"/>
          <w:tab w:val="left" w:pos="851"/>
        </w:tabs>
        <w:rPr>
          <w:b/>
          <w:sz w:val="22"/>
          <w:lang w:val="el-GR"/>
        </w:rPr>
      </w:pPr>
      <w:r w:rsidRPr="00106D84">
        <w:rPr>
          <w:b/>
          <w:sz w:val="22"/>
          <w:lang w:val="el-GR"/>
        </w:rPr>
        <w:t>9</w:t>
      </w:r>
      <w:r w:rsidR="0018188D" w:rsidRPr="00106D84">
        <w:rPr>
          <w:b/>
          <w:sz w:val="22"/>
          <w:lang w:val="el-GR"/>
        </w:rPr>
        <w:t>.</w:t>
      </w:r>
      <w:r w:rsidR="0018188D" w:rsidRPr="00106D84">
        <w:rPr>
          <w:b/>
          <w:sz w:val="22"/>
          <w:lang w:val="el-GR"/>
        </w:rPr>
        <w:tab/>
      </w:r>
      <w:r w:rsidR="0018188D" w:rsidRPr="00106D84">
        <w:rPr>
          <w:b/>
          <w:sz w:val="22"/>
          <w:u w:val="single"/>
          <w:lang w:val="el-GR"/>
        </w:rPr>
        <w:t xml:space="preserve">ΗΜΕΡΟΜΗΝΙΑ ΠΡΩΤΗΣ </w:t>
      </w:r>
      <w:r w:rsidRPr="00106D84">
        <w:rPr>
          <w:b/>
          <w:sz w:val="22"/>
          <w:u w:val="single"/>
          <w:lang w:val="el-GR"/>
        </w:rPr>
        <w:t xml:space="preserve">ΕΓΚΡΙΣΗΣ </w:t>
      </w:r>
      <w:r w:rsidR="0018188D" w:rsidRPr="00106D84">
        <w:rPr>
          <w:b/>
          <w:sz w:val="22"/>
          <w:u w:val="single"/>
          <w:lang w:val="el-GR"/>
        </w:rPr>
        <w:t>/</w:t>
      </w:r>
      <w:r w:rsidRPr="00106D84">
        <w:rPr>
          <w:b/>
          <w:sz w:val="22"/>
          <w:u w:val="single"/>
          <w:lang w:val="el-GR"/>
        </w:rPr>
        <w:t xml:space="preserve"> </w:t>
      </w:r>
      <w:r w:rsidR="0018188D" w:rsidRPr="00106D84">
        <w:rPr>
          <w:b/>
          <w:sz w:val="22"/>
          <w:u w:val="single"/>
          <w:lang w:val="el-GR"/>
        </w:rPr>
        <w:t>ΑΝΑΝΕΩΣΗΣ</w:t>
      </w:r>
      <w:r w:rsidRPr="00106D84">
        <w:rPr>
          <w:b/>
          <w:sz w:val="22"/>
          <w:u w:val="single"/>
          <w:lang w:val="el-GR"/>
        </w:rPr>
        <w:t xml:space="preserve"> ΤΗΣ ΑΔΕΙΑΣ</w:t>
      </w:r>
      <w:r w:rsidR="0018188D" w:rsidRPr="00106D84">
        <w:rPr>
          <w:b/>
          <w:sz w:val="22"/>
          <w:u w:val="single"/>
          <w:lang w:val="el-GR"/>
        </w:rPr>
        <w:t xml:space="preserve">  </w:t>
      </w:r>
    </w:p>
    <w:p w:rsidR="0018188D" w:rsidRPr="00106D84" w:rsidRDefault="0018188D">
      <w:pPr>
        <w:tabs>
          <w:tab w:val="left" w:pos="426"/>
          <w:tab w:val="left" w:pos="851"/>
        </w:tabs>
        <w:ind w:firstLine="426"/>
        <w:rPr>
          <w:sz w:val="22"/>
          <w:lang w:val="el-GR"/>
        </w:rPr>
      </w:pPr>
    </w:p>
    <w:p w:rsidR="0018188D" w:rsidRPr="00106D84" w:rsidRDefault="0018188D">
      <w:pPr>
        <w:tabs>
          <w:tab w:val="left" w:pos="426"/>
          <w:tab w:val="left" w:pos="851"/>
        </w:tabs>
        <w:ind w:left="426"/>
        <w:rPr>
          <w:sz w:val="22"/>
          <w:lang w:val="el-GR"/>
        </w:rPr>
      </w:pPr>
      <w:r w:rsidRPr="00106D84">
        <w:rPr>
          <w:sz w:val="22"/>
          <w:lang w:val="el-GR"/>
        </w:rPr>
        <w:t xml:space="preserve">10-2-2000 </w:t>
      </w:r>
      <w:r w:rsidR="002F45DB" w:rsidRPr="00106D84">
        <w:rPr>
          <w:sz w:val="22"/>
          <w:szCs w:val="22"/>
          <w:lang w:val="el-GR"/>
        </w:rPr>
        <w:t xml:space="preserve">/ </w:t>
      </w:r>
      <w:r w:rsidR="002F45DB" w:rsidRPr="00106D84">
        <w:rPr>
          <w:sz w:val="22"/>
          <w:lang w:val="el-GR"/>
        </w:rPr>
        <w:t>18-11-2008</w:t>
      </w:r>
    </w:p>
    <w:p w:rsidR="0018188D" w:rsidRPr="00106D84" w:rsidRDefault="0018188D">
      <w:pPr>
        <w:tabs>
          <w:tab w:val="left" w:pos="426"/>
          <w:tab w:val="left" w:pos="851"/>
        </w:tabs>
        <w:rPr>
          <w:sz w:val="22"/>
          <w:lang w:val="el-GR"/>
        </w:rPr>
      </w:pPr>
    </w:p>
    <w:p w:rsidR="0018188D" w:rsidRPr="00106D84" w:rsidRDefault="00172DF1">
      <w:pPr>
        <w:tabs>
          <w:tab w:val="left" w:pos="426"/>
          <w:tab w:val="left" w:pos="851"/>
        </w:tabs>
        <w:rPr>
          <w:sz w:val="22"/>
          <w:lang w:val="el-GR"/>
        </w:rPr>
      </w:pPr>
      <w:r w:rsidRPr="00106D84">
        <w:rPr>
          <w:b/>
          <w:sz w:val="22"/>
          <w:lang w:val="el-GR"/>
        </w:rPr>
        <w:t>10</w:t>
      </w:r>
      <w:r w:rsidR="0018188D" w:rsidRPr="00106D84">
        <w:rPr>
          <w:b/>
          <w:sz w:val="22"/>
          <w:lang w:val="el-GR"/>
        </w:rPr>
        <w:t>.</w:t>
      </w:r>
      <w:r w:rsidR="0018188D" w:rsidRPr="00106D84">
        <w:rPr>
          <w:b/>
          <w:sz w:val="22"/>
          <w:lang w:val="el-GR"/>
        </w:rPr>
        <w:tab/>
      </w:r>
      <w:r w:rsidR="0018188D" w:rsidRPr="00106D84">
        <w:rPr>
          <w:b/>
          <w:sz w:val="22"/>
          <w:u w:val="single"/>
          <w:lang w:val="el-GR"/>
        </w:rPr>
        <w:t xml:space="preserve">ΗΜΕΡΟΜΗΝΙΑ </w:t>
      </w:r>
      <w:r w:rsidRPr="00106D84">
        <w:rPr>
          <w:b/>
          <w:sz w:val="22"/>
          <w:u w:val="single"/>
          <w:lang w:val="el-GR"/>
        </w:rPr>
        <w:t xml:space="preserve">ΑΝΑΘΕΩΡΗΣΗΣ </w:t>
      </w:r>
      <w:r w:rsidR="0018188D" w:rsidRPr="00106D84">
        <w:rPr>
          <w:b/>
          <w:sz w:val="22"/>
          <w:u w:val="single"/>
          <w:lang w:val="el-GR"/>
        </w:rPr>
        <w:t>ΤΟΥ ΚΕΙΜΕΝΟΥ</w:t>
      </w:r>
      <w:r w:rsidR="0018188D" w:rsidRPr="00106D84">
        <w:rPr>
          <w:sz w:val="22"/>
          <w:lang w:val="el-GR"/>
        </w:rPr>
        <w:t xml:space="preserve">: </w:t>
      </w:r>
    </w:p>
    <w:p w:rsidR="0018188D" w:rsidRPr="00106D84" w:rsidRDefault="0018188D">
      <w:pPr>
        <w:pStyle w:val="a7"/>
        <w:tabs>
          <w:tab w:val="left" w:pos="851"/>
        </w:tabs>
        <w:rPr>
          <w:sz w:val="22"/>
          <w:lang w:val="el-GR"/>
        </w:rPr>
      </w:pPr>
      <w:r w:rsidRPr="00106D84">
        <w:rPr>
          <w:b/>
          <w:sz w:val="22"/>
          <w:lang w:val="el-GR"/>
        </w:rPr>
        <w:tab/>
      </w:r>
    </w:p>
    <w:p w:rsidR="00FB7F8C" w:rsidRPr="00812F9A" w:rsidRDefault="00FB7F8C" w:rsidP="00331D09">
      <w:pPr>
        <w:pStyle w:val="a7"/>
        <w:tabs>
          <w:tab w:val="left" w:pos="851"/>
        </w:tabs>
        <w:rPr>
          <w:sz w:val="22"/>
          <w:lang w:val="el-GR"/>
        </w:rPr>
      </w:pPr>
      <w:r w:rsidRPr="00106D84">
        <w:rPr>
          <w:sz w:val="22"/>
          <w:lang w:val="el-GR"/>
        </w:rPr>
        <w:tab/>
      </w:r>
      <w:r w:rsidR="00B90AAB" w:rsidRPr="00B90AAB">
        <w:rPr>
          <w:i/>
          <w:sz w:val="22"/>
          <w:lang w:val="el-GR"/>
        </w:rPr>
        <w:t>[ΗΗ/ΜΜ/ΧΧΧΧ]</w:t>
      </w:r>
      <w:r w:rsidR="004B3398">
        <w:rPr>
          <w:sz w:val="22"/>
          <w:lang w:val="el-GR"/>
        </w:rPr>
        <w:t xml:space="preserve"> </w:t>
      </w:r>
    </w:p>
    <w:sectPr w:rsidR="00FB7F8C" w:rsidRPr="00812F9A" w:rsidSect="00355225">
      <w:headerReference w:type="default" r:id="rId7"/>
      <w:footerReference w:type="default" r:id="rId8"/>
      <w:footerReference w:type="first" r:id="rId9"/>
      <w:pgSz w:w="11907" w:h="16840"/>
      <w:pgMar w:top="1440" w:right="1797" w:bottom="992" w:left="1797" w:header="720" w:footer="883"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7323" w:rsidRDefault="00537323">
      <w:r>
        <w:separator/>
      </w:r>
    </w:p>
  </w:endnote>
  <w:endnote w:type="continuationSeparator" w:id="0">
    <w:p w:rsidR="00537323" w:rsidRDefault="0053732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A1"/>
    <w:family w:val="roman"/>
    <w:pitch w:val="variable"/>
    <w:sig w:usb0="A00002EF" w:usb1="4000004B" w:usb2="00000000" w:usb3="00000000" w:csb0="0000009F" w:csb1="00000000"/>
  </w:font>
  <w:font w:name="Calibri">
    <w:panose1 w:val="020F0502020204030204"/>
    <w:charset w:val="A1"/>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9EC" w:rsidRPr="000608CA" w:rsidRDefault="002379EC" w:rsidP="00C67444">
    <w:pPr>
      <w:pStyle w:val="a4"/>
      <w:jc w:val="right"/>
      <w:rPr>
        <w:i/>
        <w:sz w:val="16"/>
      </w:rPr>
    </w:pPr>
    <w:r>
      <w:rPr>
        <w:i/>
        <w:sz w:val="16"/>
        <w:lang w:val="el-GR"/>
      </w:rPr>
      <w:t>Σελίδα</w:t>
    </w:r>
    <w:r w:rsidRPr="000608CA">
      <w:rPr>
        <w:i/>
        <w:sz w:val="16"/>
      </w:rPr>
      <w:t xml:space="preserve">  </w:t>
    </w:r>
    <w:r w:rsidR="00355225">
      <w:rPr>
        <w:i/>
        <w:sz w:val="16"/>
      </w:rPr>
      <w:fldChar w:fldCharType="begin"/>
    </w:r>
    <w:r w:rsidRPr="000608CA">
      <w:rPr>
        <w:i/>
        <w:sz w:val="16"/>
      </w:rPr>
      <w:instrText xml:space="preserve"> </w:instrText>
    </w:r>
    <w:r>
      <w:rPr>
        <w:i/>
        <w:sz w:val="16"/>
      </w:rPr>
      <w:instrText>PAGE</w:instrText>
    </w:r>
    <w:r w:rsidRPr="000608CA">
      <w:rPr>
        <w:i/>
        <w:sz w:val="16"/>
      </w:rPr>
      <w:instrText xml:space="preserve"> </w:instrText>
    </w:r>
    <w:r w:rsidR="00355225">
      <w:rPr>
        <w:i/>
        <w:sz w:val="16"/>
      </w:rPr>
      <w:fldChar w:fldCharType="separate"/>
    </w:r>
    <w:r w:rsidR="00446942">
      <w:rPr>
        <w:i/>
        <w:noProof/>
        <w:sz w:val="16"/>
      </w:rPr>
      <w:t>11</w:t>
    </w:r>
    <w:r w:rsidR="00355225">
      <w:rPr>
        <w:i/>
        <w:sz w:val="16"/>
      </w:rPr>
      <w:fldChar w:fldCharType="end"/>
    </w:r>
    <w:r w:rsidRPr="000608CA">
      <w:rPr>
        <w:i/>
        <w:sz w:val="16"/>
      </w:rPr>
      <w:t xml:space="preserve">  </w:t>
    </w:r>
    <w:r>
      <w:rPr>
        <w:i/>
        <w:sz w:val="16"/>
        <w:lang w:val="el-GR"/>
      </w:rPr>
      <w:t>από</w:t>
    </w:r>
    <w:r w:rsidRPr="000608CA">
      <w:rPr>
        <w:i/>
        <w:sz w:val="16"/>
      </w:rPr>
      <w:t xml:space="preserve"> </w:t>
    </w:r>
    <w:r w:rsidR="00355225">
      <w:rPr>
        <w:rStyle w:val="a6"/>
        <w:i/>
        <w:sz w:val="18"/>
      </w:rPr>
      <w:fldChar w:fldCharType="begin"/>
    </w:r>
    <w:r w:rsidRPr="000608CA">
      <w:rPr>
        <w:rStyle w:val="a6"/>
        <w:i/>
        <w:sz w:val="18"/>
      </w:rPr>
      <w:instrText xml:space="preserve"> </w:instrText>
    </w:r>
    <w:r>
      <w:rPr>
        <w:rStyle w:val="a6"/>
        <w:i/>
        <w:sz w:val="18"/>
      </w:rPr>
      <w:instrText>NUMPAGES</w:instrText>
    </w:r>
    <w:r w:rsidRPr="000608CA">
      <w:rPr>
        <w:rStyle w:val="a6"/>
        <w:i/>
        <w:sz w:val="18"/>
      </w:rPr>
      <w:instrText xml:space="preserve"> </w:instrText>
    </w:r>
    <w:r w:rsidR="00355225">
      <w:rPr>
        <w:rStyle w:val="a6"/>
        <w:i/>
        <w:sz w:val="18"/>
      </w:rPr>
      <w:fldChar w:fldCharType="separate"/>
    </w:r>
    <w:r w:rsidR="00446942">
      <w:rPr>
        <w:rStyle w:val="a6"/>
        <w:i/>
        <w:noProof/>
        <w:sz w:val="18"/>
      </w:rPr>
      <w:t>11</w:t>
    </w:r>
    <w:r w:rsidR="00355225">
      <w:rPr>
        <w:rStyle w:val="a6"/>
        <w:i/>
        <w:sz w:val="18"/>
      </w:rPr>
      <w:fldChar w:fldCharType="end"/>
    </w:r>
  </w:p>
  <w:p w:rsidR="002379EC" w:rsidRPr="000608CA" w:rsidRDefault="002379EC">
    <w:pPr>
      <w:pStyle w:val="a4"/>
      <w:ind w:right="360"/>
      <w:jc w:val="center"/>
      <w:rPr>
        <w:sz w:val="16"/>
      </w:rPr>
    </w:pPr>
  </w:p>
  <w:p w:rsidR="002379EC" w:rsidRDefault="002379EC"/>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9EC" w:rsidRPr="000608CA" w:rsidRDefault="002379EC" w:rsidP="00FC2816">
    <w:pPr>
      <w:pStyle w:val="a4"/>
      <w:jc w:val="right"/>
      <w:rPr>
        <w:i/>
        <w:sz w:val="16"/>
        <w:szCs w:val="16"/>
      </w:rPr>
    </w:pPr>
    <w:r w:rsidRPr="00FC2816">
      <w:rPr>
        <w:i/>
        <w:snapToGrid w:val="0"/>
        <w:sz w:val="16"/>
        <w:szCs w:val="16"/>
        <w:lang w:val="el-GR"/>
      </w:rPr>
      <w:t>Σελίδα</w:t>
    </w:r>
    <w:r w:rsidRPr="000608CA">
      <w:rPr>
        <w:i/>
        <w:snapToGrid w:val="0"/>
        <w:sz w:val="16"/>
        <w:szCs w:val="16"/>
      </w:rPr>
      <w:t xml:space="preserve"> </w:t>
    </w:r>
    <w:r w:rsidR="00355225" w:rsidRPr="00FC2816">
      <w:rPr>
        <w:rStyle w:val="a6"/>
        <w:i/>
        <w:sz w:val="16"/>
        <w:szCs w:val="16"/>
      </w:rPr>
      <w:fldChar w:fldCharType="begin"/>
    </w:r>
    <w:r w:rsidRPr="000608CA">
      <w:rPr>
        <w:rStyle w:val="a6"/>
        <w:i/>
        <w:sz w:val="16"/>
        <w:szCs w:val="16"/>
      </w:rPr>
      <w:instrText xml:space="preserve"> </w:instrText>
    </w:r>
    <w:r w:rsidRPr="00FC2816">
      <w:rPr>
        <w:rStyle w:val="a6"/>
        <w:i/>
        <w:sz w:val="16"/>
        <w:szCs w:val="16"/>
        <w:lang w:val="pt-PT"/>
      </w:rPr>
      <w:instrText>PAGE</w:instrText>
    </w:r>
    <w:r w:rsidRPr="000608CA">
      <w:rPr>
        <w:rStyle w:val="a6"/>
        <w:i/>
        <w:sz w:val="16"/>
        <w:szCs w:val="16"/>
      </w:rPr>
      <w:instrText xml:space="preserve"> </w:instrText>
    </w:r>
    <w:r w:rsidR="00355225" w:rsidRPr="00FC2816">
      <w:rPr>
        <w:rStyle w:val="a6"/>
        <w:i/>
        <w:sz w:val="16"/>
        <w:szCs w:val="16"/>
      </w:rPr>
      <w:fldChar w:fldCharType="separate"/>
    </w:r>
    <w:r w:rsidR="00446942">
      <w:rPr>
        <w:rStyle w:val="a6"/>
        <w:i/>
        <w:noProof/>
        <w:sz w:val="16"/>
        <w:szCs w:val="16"/>
        <w:lang w:val="pt-PT"/>
      </w:rPr>
      <w:t>1</w:t>
    </w:r>
    <w:r w:rsidR="00355225" w:rsidRPr="00FC2816">
      <w:rPr>
        <w:rStyle w:val="a6"/>
        <w:i/>
        <w:sz w:val="16"/>
        <w:szCs w:val="16"/>
      </w:rPr>
      <w:fldChar w:fldCharType="end"/>
    </w:r>
    <w:r w:rsidRPr="000608CA">
      <w:rPr>
        <w:rStyle w:val="a6"/>
        <w:i/>
        <w:sz w:val="16"/>
        <w:szCs w:val="16"/>
      </w:rPr>
      <w:t xml:space="preserve"> </w:t>
    </w:r>
    <w:r w:rsidRPr="00FC2816">
      <w:rPr>
        <w:rStyle w:val="a6"/>
        <w:i/>
        <w:sz w:val="16"/>
        <w:szCs w:val="16"/>
        <w:lang w:val="el-GR"/>
      </w:rPr>
      <w:t>από</w:t>
    </w:r>
    <w:r w:rsidRPr="000608CA">
      <w:rPr>
        <w:rStyle w:val="a6"/>
        <w:i/>
        <w:sz w:val="16"/>
        <w:szCs w:val="16"/>
      </w:rPr>
      <w:t xml:space="preserve"> </w:t>
    </w:r>
    <w:r w:rsidR="00355225" w:rsidRPr="00FC2816">
      <w:rPr>
        <w:rStyle w:val="a6"/>
        <w:i/>
        <w:sz w:val="16"/>
        <w:szCs w:val="16"/>
      </w:rPr>
      <w:fldChar w:fldCharType="begin"/>
    </w:r>
    <w:r w:rsidRPr="000608CA">
      <w:rPr>
        <w:rStyle w:val="a6"/>
        <w:i/>
        <w:sz w:val="16"/>
        <w:szCs w:val="16"/>
      </w:rPr>
      <w:instrText xml:space="preserve"> </w:instrText>
    </w:r>
    <w:r w:rsidRPr="00FC2816">
      <w:rPr>
        <w:rStyle w:val="a6"/>
        <w:i/>
        <w:sz w:val="16"/>
        <w:szCs w:val="16"/>
        <w:lang w:val="pt-PT"/>
      </w:rPr>
      <w:instrText>NUMPAGES</w:instrText>
    </w:r>
    <w:r w:rsidRPr="000608CA">
      <w:rPr>
        <w:rStyle w:val="a6"/>
        <w:i/>
        <w:sz w:val="16"/>
        <w:szCs w:val="16"/>
      </w:rPr>
      <w:instrText xml:space="preserve"> </w:instrText>
    </w:r>
    <w:r w:rsidR="00355225" w:rsidRPr="00FC2816">
      <w:rPr>
        <w:rStyle w:val="a6"/>
        <w:i/>
        <w:sz w:val="16"/>
        <w:szCs w:val="16"/>
      </w:rPr>
      <w:fldChar w:fldCharType="separate"/>
    </w:r>
    <w:r w:rsidR="00446942">
      <w:rPr>
        <w:rStyle w:val="a6"/>
        <w:i/>
        <w:noProof/>
        <w:sz w:val="16"/>
        <w:szCs w:val="16"/>
        <w:lang w:val="pt-PT"/>
      </w:rPr>
      <w:t>11</w:t>
    </w:r>
    <w:r w:rsidR="00355225" w:rsidRPr="00FC2816">
      <w:rPr>
        <w:rStyle w:val="a6"/>
        <w:i/>
        <w:sz w:val="16"/>
        <w:szCs w:val="16"/>
      </w:rPr>
      <w:fldChar w:fldCharType="end"/>
    </w:r>
  </w:p>
  <w:p w:rsidR="002379EC" w:rsidRDefault="002379E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7323" w:rsidRDefault="00537323">
      <w:r>
        <w:separator/>
      </w:r>
    </w:p>
  </w:footnote>
  <w:footnote w:type="continuationSeparator" w:id="0">
    <w:p w:rsidR="00537323" w:rsidRDefault="005373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9EC" w:rsidRDefault="002379EC">
    <w:pPr>
      <w:pStyle w:val="a3"/>
      <w:jc w:val="center"/>
      <w:rPr>
        <w:sz w:val="20"/>
        <w:u w:val="single"/>
        <w:lang w:val="el-G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733EED"/>
    <w:multiLevelType w:val="singleLevel"/>
    <w:tmpl w:val="550E56C8"/>
    <w:lvl w:ilvl="0">
      <w:start w:val="1"/>
      <w:numFmt w:val="bullet"/>
      <w:lvlText w:val=""/>
      <w:lvlJc w:val="left"/>
      <w:pPr>
        <w:tabs>
          <w:tab w:val="num" w:pos="360"/>
        </w:tabs>
        <w:ind w:left="360" w:hanging="360"/>
      </w:pPr>
      <w:rPr>
        <w:rFonts w:ascii="Symbol" w:hAnsi="Symbol" w:hint="default"/>
      </w:rPr>
    </w:lvl>
  </w:abstractNum>
  <w:abstractNum w:abstractNumId="1">
    <w:nsid w:val="19CC6B15"/>
    <w:multiLevelType w:val="multilevel"/>
    <w:tmpl w:val="AC6EAB48"/>
    <w:lvl w:ilvl="0">
      <w:start w:val="6"/>
      <w:numFmt w:val="decimal"/>
      <w:lvlText w:val="%1"/>
      <w:lvlJc w:val="left"/>
      <w:pPr>
        <w:tabs>
          <w:tab w:val="num" w:pos="435"/>
        </w:tabs>
        <w:ind w:left="435" w:hanging="435"/>
      </w:pPr>
      <w:rPr>
        <w:rFonts w:hint="default"/>
      </w:rPr>
    </w:lvl>
    <w:lvl w:ilvl="1">
      <w:start w:val="1"/>
      <w:numFmt w:val="decimal"/>
      <w:lvlText w:val="%1.%2"/>
      <w:lvlJc w:val="left"/>
      <w:pPr>
        <w:tabs>
          <w:tab w:val="num" w:pos="861"/>
        </w:tabs>
        <w:ind w:left="861" w:hanging="435"/>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4848"/>
        </w:tabs>
        <w:ind w:left="4848" w:hanging="1440"/>
      </w:pPr>
      <w:rPr>
        <w:rFonts w:hint="default"/>
      </w:rPr>
    </w:lvl>
  </w:abstractNum>
  <w:abstractNum w:abstractNumId="2">
    <w:nsid w:val="7A736D69"/>
    <w:multiLevelType w:val="singleLevel"/>
    <w:tmpl w:val="550E56C8"/>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rsids>
    <w:rsidRoot w:val="0018188D"/>
    <w:rsid w:val="00007D3F"/>
    <w:rsid w:val="000306D7"/>
    <w:rsid w:val="00031426"/>
    <w:rsid w:val="000470EA"/>
    <w:rsid w:val="00056E21"/>
    <w:rsid w:val="000608CA"/>
    <w:rsid w:val="00060FA0"/>
    <w:rsid w:val="00061108"/>
    <w:rsid w:val="00066980"/>
    <w:rsid w:val="000712E4"/>
    <w:rsid w:val="00086B66"/>
    <w:rsid w:val="00097163"/>
    <w:rsid w:val="00097612"/>
    <w:rsid w:val="000A0922"/>
    <w:rsid w:val="000B512A"/>
    <w:rsid w:val="000E5A90"/>
    <w:rsid w:val="000E5FAA"/>
    <w:rsid w:val="000F1A8B"/>
    <w:rsid w:val="000F2E67"/>
    <w:rsid w:val="000F6B8A"/>
    <w:rsid w:val="00104559"/>
    <w:rsid w:val="00106D84"/>
    <w:rsid w:val="00106FE5"/>
    <w:rsid w:val="001178A9"/>
    <w:rsid w:val="00136979"/>
    <w:rsid w:val="0015117A"/>
    <w:rsid w:val="00152127"/>
    <w:rsid w:val="001715C0"/>
    <w:rsid w:val="00171B0A"/>
    <w:rsid w:val="00172DF1"/>
    <w:rsid w:val="00173071"/>
    <w:rsid w:val="00175AA8"/>
    <w:rsid w:val="00175CEA"/>
    <w:rsid w:val="00176D57"/>
    <w:rsid w:val="0018188D"/>
    <w:rsid w:val="0018340F"/>
    <w:rsid w:val="00194E25"/>
    <w:rsid w:val="001A3498"/>
    <w:rsid w:val="001B1EC2"/>
    <w:rsid w:val="001B6D07"/>
    <w:rsid w:val="001C1D80"/>
    <w:rsid w:val="001D0A32"/>
    <w:rsid w:val="001D1978"/>
    <w:rsid w:val="001D47C6"/>
    <w:rsid w:val="001E4D58"/>
    <w:rsid w:val="001F1AC4"/>
    <w:rsid w:val="001F42BB"/>
    <w:rsid w:val="0020559D"/>
    <w:rsid w:val="002236AC"/>
    <w:rsid w:val="00233162"/>
    <w:rsid w:val="002334DF"/>
    <w:rsid w:val="00236FB9"/>
    <w:rsid w:val="002379EC"/>
    <w:rsid w:val="00244BE6"/>
    <w:rsid w:val="00254688"/>
    <w:rsid w:val="002603FD"/>
    <w:rsid w:val="00260E94"/>
    <w:rsid w:val="00267A11"/>
    <w:rsid w:val="002871E0"/>
    <w:rsid w:val="0028797B"/>
    <w:rsid w:val="002A4B3D"/>
    <w:rsid w:val="002B01F2"/>
    <w:rsid w:val="002B1597"/>
    <w:rsid w:val="002C6EF5"/>
    <w:rsid w:val="002D023A"/>
    <w:rsid w:val="002D3AE6"/>
    <w:rsid w:val="002D6D36"/>
    <w:rsid w:val="002E1ADB"/>
    <w:rsid w:val="002E5F46"/>
    <w:rsid w:val="002F06F1"/>
    <w:rsid w:val="002F45DB"/>
    <w:rsid w:val="002F50EE"/>
    <w:rsid w:val="003103CC"/>
    <w:rsid w:val="00313277"/>
    <w:rsid w:val="0032294D"/>
    <w:rsid w:val="00325A16"/>
    <w:rsid w:val="00331D09"/>
    <w:rsid w:val="003443C8"/>
    <w:rsid w:val="0034718A"/>
    <w:rsid w:val="00347DA1"/>
    <w:rsid w:val="00350F9B"/>
    <w:rsid w:val="00351009"/>
    <w:rsid w:val="00352D62"/>
    <w:rsid w:val="00355225"/>
    <w:rsid w:val="00356C91"/>
    <w:rsid w:val="00362360"/>
    <w:rsid w:val="003865E5"/>
    <w:rsid w:val="00396065"/>
    <w:rsid w:val="003B1C7F"/>
    <w:rsid w:val="003B380E"/>
    <w:rsid w:val="003B5F57"/>
    <w:rsid w:val="003D4273"/>
    <w:rsid w:val="003D5034"/>
    <w:rsid w:val="003E1A6F"/>
    <w:rsid w:val="003E7F43"/>
    <w:rsid w:val="003F4846"/>
    <w:rsid w:val="003F6C6E"/>
    <w:rsid w:val="00407D71"/>
    <w:rsid w:val="00425B8C"/>
    <w:rsid w:val="00427E92"/>
    <w:rsid w:val="00430C0F"/>
    <w:rsid w:val="00434371"/>
    <w:rsid w:val="0044091F"/>
    <w:rsid w:val="00446942"/>
    <w:rsid w:val="00451A1C"/>
    <w:rsid w:val="0045350D"/>
    <w:rsid w:val="00471CD7"/>
    <w:rsid w:val="00472692"/>
    <w:rsid w:val="00477C1E"/>
    <w:rsid w:val="00484BC9"/>
    <w:rsid w:val="00494010"/>
    <w:rsid w:val="004A03F4"/>
    <w:rsid w:val="004A43B4"/>
    <w:rsid w:val="004A59B6"/>
    <w:rsid w:val="004B3398"/>
    <w:rsid w:val="004B58F3"/>
    <w:rsid w:val="004C170F"/>
    <w:rsid w:val="004C7C55"/>
    <w:rsid w:val="004D73D9"/>
    <w:rsid w:val="004F37F3"/>
    <w:rsid w:val="004F4459"/>
    <w:rsid w:val="004F7468"/>
    <w:rsid w:val="00501A19"/>
    <w:rsid w:val="00506091"/>
    <w:rsid w:val="00513219"/>
    <w:rsid w:val="0051531D"/>
    <w:rsid w:val="005231D5"/>
    <w:rsid w:val="00525924"/>
    <w:rsid w:val="0053212E"/>
    <w:rsid w:val="00537323"/>
    <w:rsid w:val="0054160B"/>
    <w:rsid w:val="005621A8"/>
    <w:rsid w:val="00565DB8"/>
    <w:rsid w:val="00567C55"/>
    <w:rsid w:val="005749FA"/>
    <w:rsid w:val="00587746"/>
    <w:rsid w:val="00594EFC"/>
    <w:rsid w:val="00597EA2"/>
    <w:rsid w:val="005C2889"/>
    <w:rsid w:val="005C5F50"/>
    <w:rsid w:val="005D2EE5"/>
    <w:rsid w:val="005F3EC3"/>
    <w:rsid w:val="00605A4B"/>
    <w:rsid w:val="00606D59"/>
    <w:rsid w:val="006130A2"/>
    <w:rsid w:val="00615422"/>
    <w:rsid w:val="00615923"/>
    <w:rsid w:val="0061638C"/>
    <w:rsid w:val="006204AD"/>
    <w:rsid w:val="00631B84"/>
    <w:rsid w:val="006453AC"/>
    <w:rsid w:val="006653C4"/>
    <w:rsid w:val="00666EA2"/>
    <w:rsid w:val="00675FE5"/>
    <w:rsid w:val="00691905"/>
    <w:rsid w:val="006B57EE"/>
    <w:rsid w:val="006C0941"/>
    <w:rsid w:val="006C2080"/>
    <w:rsid w:val="006C4D06"/>
    <w:rsid w:val="006E00C3"/>
    <w:rsid w:val="006E40F2"/>
    <w:rsid w:val="006F53FE"/>
    <w:rsid w:val="006F7C2D"/>
    <w:rsid w:val="00700D4F"/>
    <w:rsid w:val="00705BFC"/>
    <w:rsid w:val="00714AF1"/>
    <w:rsid w:val="00726145"/>
    <w:rsid w:val="00726D4E"/>
    <w:rsid w:val="00731218"/>
    <w:rsid w:val="007317C9"/>
    <w:rsid w:val="007318DE"/>
    <w:rsid w:val="00745312"/>
    <w:rsid w:val="00745A61"/>
    <w:rsid w:val="00752E15"/>
    <w:rsid w:val="0075578F"/>
    <w:rsid w:val="00762DF7"/>
    <w:rsid w:val="00775597"/>
    <w:rsid w:val="00775819"/>
    <w:rsid w:val="00776C63"/>
    <w:rsid w:val="00782F40"/>
    <w:rsid w:val="00795E2E"/>
    <w:rsid w:val="007A3AC5"/>
    <w:rsid w:val="007A3B57"/>
    <w:rsid w:val="007A5661"/>
    <w:rsid w:val="007C55AE"/>
    <w:rsid w:val="007C5F5D"/>
    <w:rsid w:val="007D2220"/>
    <w:rsid w:val="007D2F0F"/>
    <w:rsid w:val="007F6010"/>
    <w:rsid w:val="00812F9A"/>
    <w:rsid w:val="00821069"/>
    <w:rsid w:val="00824708"/>
    <w:rsid w:val="00826D1C"/>
    <w:rsid w:val="00830FAC"/>
    <w:rsid w:val="0083415B"/>
    <w:rsid w:val="00860188"/>
    <w:rsid w:val="008723A6"/>
    <w:rsid w:val="00877380"/>
    <w:rsid w:val="0088528D"/>
    <w:rsid w:val="008A4928"/>
    <w:rsid w:val="008C61DA"/>
    <w:rsid w:val="008C65C2"/>
    <w:rsid w:val="008C7B9B"/>
    <w:rsid w:val="008D2EA9"/>
    <w:rsid w:val="008E6120"/>
    <w:rsid w:val="008F1380"/>
    <w:rsid w:val="008F20F6"/>
    <w:rsid w:val="008F735D"/>
    <w:rsid w:val="0090070A"/>
    <w:rsid w:val="0090644F"/>
    <w:rsid w:val="00956B77"/>
    <w:rsid w:val="0096376B"/>
    <w:rsid w:val="009659F0"/>
    <w:rsid w:val="00975D07"/>
    <w:rsid w:val="009769F2"/>
    <w:rsid w:val="00977D1C"/>
    <w:rsid w:val="00987981"/>
    <w:rsid w:val="00991548"/>
    <w:rsid w:val="00995825"/>
    <w:rsid w:val="009A33D6"/>
    <w:rsid w:val="009A3E65"/>
    <w:rsid w:val="009A6DE8"/>
    <w:rsid w:val="009B7039"/>
    <w:rsid w:val="009C42A0"/>
    <w:rsid w:val="009C5A7B"/>
    <w:rsid w:val="009D58BB"/>
    <w:rsid w:val="009D6824"/>
    <w:rsid w:val="009E507C"/>
    <w:rsid w:val="009F72AF"/>
    <w:rsid w:val="00A04E4C"/>
    <w:rsid w:val="00A27B1E"/>
    <w:rsid w:val="00A4166F"/>
    <w:rsid w:val="00A44EB2"/>
    <w:rsid w:val="00A54809"/>
    <w:rsid w:val="00A61348"/>
    <w:rsid w:val="00A63A64"/>
    <w:rsid w:val="00A67B01"/>
    <w:rsid w:val="00A91083"/>
    <w:rsid w:val="00A9109A"/>
    <w:rsid w:val="00A92164"/>
    <w:rsid w:val="00AA7F05"/>
    <w:rsid w:val="00AC3B53"/>
    <w:rsid w:val="00AC605D"/>
    <w:rsid w:val="00AD1B92"/>
    <w:rsid w:val="00AD5033"/>
    <w:rsid w:val="00AF105C"/>
    <w:rsid w:val="00B01470"/>
    <w:rsid w:val="00B26683"/>
    <w:rsid w:val="00B73AB6"/>
    <w:rsid w:val="00B76240"/>
    <w:rsid w:val="00B87B44"/>
    <w:rsid w:val="00B90AAB"/>
    <w:rsid w:val="00B93735"/>
    <w:rsid w:val="00B93773"/>
    <w:rsid w:val="00BA7625"/>
    <w:rsid w:val="00BB2023"/>
    <w:rsid w:val="00BB2E87"/>
    <w:rsid w:val="00BB398D"/>
    <w:rsid w:val="00BC4416"/>
    <w:rsid w:val="00BC53B8"/>
    <w:rsid w:val="00BD2933"/>
    <w:rsid w:val="00BD47F5"/>
    <w:rsid w:val="00BE51AA"/>
    <w:rsid w:val="00BE7DFA"/>
    <w:rsid w:val="00BF35D6"/>
    <w:rsid w:val="00C01FDF"/>
    <w:rsid w:val="00C028FC"/>
    <w:rsid w:val="00C05AC4"/>
    <w:rsid w:val="00C06CFF"/>
    <w:rsid w:val="00C154EB"/>
    <w:rsid w:val="00C230FB"/>
    <w:rsid w:val="00C240BD"/>
    <w:rsid w:val="00C31CEC"/>
    <w:rsid w:val="00C4283F"/>
    <w:rsid w:val="00C42C6E"/>
    <w:rsid w:val="00C45873"/>
    <w:rsid w:val="00C654C3"/>
    <w:rsid w:val="00C66383"/>
    <w:rsid w:val="00C666F6"/>
    <w:rsid w:val="00C67444"/>
    <w:rsid w:val="00C71EAA"/>
    <w:rsid w:val="00C77D85"/>
    <w:rsid w:val="00C8457B"/>
    <w:rsid w:val="00C9575D"/>
    <w:rsid w:val="00CA2F25"/>
    <w:rsid w:val="00CA38B4"/>
    <w:rsid w:val="00CB77E3"/>
    <w:rsid w:val="00CD78BD"/>
    <w:rsid w:val="00D01131"/>
    <w:rsid w:val="00D01B90"/>
    <w:rsid w:val="00D06059"/>
    <w:rsid w:val="00D163B2"/>
    <w:rsid w:val="00D23213"/>
    <w:rsid w:val="00D358B8"/>
    <w:rsid w:val="00D50598"/>
    <w:rsid w:val="00D51279"/>
    <w:rsid w:val="00D53112"/>
    <w:rsid w:val="00D54005"/>
    <w:rsid w:val="00D56027"/>
    <w:rsid w:val="00D61E0B"/>
    <w:rsid w:val="00D7075D"/>
    <w:rsid w:val="00D71D48"/>
    <w:rsid w:val="00D74A7E"/>
    <w:rsid w:val="00D8038F"/>
    <w:rsid w:val="00D80A9C"/>
    <w:rsid w:val="00D87511"/>
    <w:rsid w:val="00D92DD4"/>
    <w:rsid w:val="00D9450B"/>
    <w:rsid w:val="00D972F8"/>
    <w:rsid w:val="00DA2CC8"/>
    <w:rsid w:val="00DA4024"/>
    <w:rsid w:val="00DC2AD2"/>
    <w:rsid w:val="00DD29B6"/>
    <w:rsid w:val="00DE6BED"/>
    <w:rsid w:val="00E035D3"/>
    <w:rsid w:val="00E042B9"/>
    <w:rsid w:val="00E06938"/>
    <w:rsid w:val="00E073F6"/>
    <w:rsid w:val="00E10719"/>
    <w:rsid w:val="00E237B5"/>
    <w:rsid w:val="00E25898"/>
    <w:rsid w:val="00E27930"/>
    <w:rsid w:val="00E43AE9"/>
    <w:rsid w:val="00E4711F"/>
    <w:rsid w:val="00E52EE1"/>
    <w:rsid w:val="00E60E8B"/>
    <w:rsid w:val="00E65B6B"/>
    <w:rsid w:val="00E7045C"/>
    <w:rsid w:val="00E705EB"/>
    <w:rsid w:val="00E75293"/>
    <w:rsid w:val="00E777AA"/>
    <w:rsid w:val="00E81751"/>
    <w:rsid w:val="00E9294F"/>
    <w:rsid w:val="00EA1505"/>
    <w:rsid w:val="00EA3DD2"/>
    <w:rsid w:val="00EA7EF2"/>
    <w:rsid w:val="00EA7FFB"/>
    <w:rsid w:val="00EB282A"/>
    <w:rsid w:val="00EB536F"/>
    <w:rsid w:val="00EB6CED"/>
    <w:rsid w:val="00EC3B40"/>
    <w:rsid w:val="00EF1D1E"/>
    <w:rsid w:val="00EF698D"/>
    <w:rsid w:val="00F00832"/>
    <w:rsid w:val="00F07A78"/>
    <w:rsid w:val="00F13829"/>
    <w:rsid w:val="00F20784"/>
    <w:rsid w:val="00F20F9F"/>
    <w:rsid w:val="00F22689"/>
    <w:rsid w:val="00F37AA2"/>
    <w:rsid w:val="00F45579"/>
    <w:rsid w:val="00F62CBF"/>
    <w:rsid w:val="00F65061"/>
    <w:rsid w:val="00F76E8C"/>
    <w:rsid w:val="00F832FD"/>
    <w:rsid w:val="00F87E05"/>
    <w:rsid w:val="00F92A73"/>
    <w:rsid w:val="00FA1B98"/>
    <w:rsid w:val="00FA42F3"/>
    <w:rsid w:val="00FA635E"/>
    <w:rsid w:val="00FA6F98"/>
    <w:rsid w:val="00FA7728"/>
    <w:rsid w:val="00FB5201"/>
    <w:rsid w:val="00FB7F8C"/>
    <w:rsid w:val="00FC01C6"/>
    <w:rsid w:val="00FC0D1C"/>
    <w:rsid w:val="00FC1EBD"/>
    <w:rsid w:val="00FC2816"/>
    <w:rsid w:val="00FC3666"/>
    <w:rsid w:val="00FE1363"/>
    <w:rsid w:val="00FE720A"/>
    <w:rsid w:val="00FF0DF3"/>
    <w:rsid w:val="00FF1A29"/>
    <w:rsid w:val="00FF2288"/>
    <w:rsid w:val="00FF53B2"/>
    <w:rsid w:val="00FF5600"/>
    <w:rsid w:val="00FF6EE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5225"/>
    <w:pPr>
      <w:widowControl w:val="0"/>
      <w:jc w:val="both"/>
    </w:pPr>
    <w:rPr>
      <w:sz w:val="24"/>
      <w:lang w:val="en-GB" w:eastAsia="en-US"/>
    </w:rPr>
  </w:style>
  <w:style w:type="paragraph" w:styleId="1">
    <w:name w:val="heading 1"/>
    <w:basedOn w:val="a"/>
    <w:next w:val="a"/>
    <w:qFormat/>
    <w:rsid w:val="00355225"/>
    <w:pPr>
      <w:keepNext/>
      <w:outlineLvl w:val="0"/>
    </w:pPr>
    <w:rPr>
      <w:b/>
      <w:sz w:val="20"/>
      <w:lang w:val="en-US"/>
    </w:rPr>
  </w:style>
  <w:style w:type="paragraph" w:styleId="2">
    <w:name w:val="heading 2"/>
    <w:basedOn w:val="a"/>
    <w:next w:val="a"/>
    <w:qFormat/>
    <w:rsid w:val="00355225"/>
    <w:pPr>
      <w:keepNext/>
      <w:ind w:left="3544"/>
      <w:jc w:val="center"/>
      <w:outlineLvl w:val="1"/>
    </w:pPr>
    <w:rPr>
      <w:b/>
      <w:sz w:val="20"/>
    </w:rPr>
  </w:style>
  <w:style w:type="paragraph" w:styleId="3">
    <w:name w:val="heading 3"/>
    <w:basedOn w:val="a"/>
    <w:next w:val="a"/>
    <w:qFormat/>
    <w:rsid w:val="00355225"/>
    <w:pPr>
      <w:keepNext/>
      <w:tabs>
        <w:tab w:val="left" w:pos="426"/>
      </w:tabs>
      <w:ind w:left="426"/>
      <w:outlineLvl w:val="2"/>
    </w:pPr>
    <w:rPr>
      <w:b/>
      <w:sz w:val="20"/>
    </w:rPr>
  </w:style>
  <w:style w:type="paragraph" w:styleId="4">
    <w:name w:val="heading 4"/>
    <w:basedOn w:val="a"/>
    <w:next w:val="a"/>
    <w:qFormat/>
    <w:rsid w:val="00355225"/>
    <w:pPr>
      <w:keepNext/>
      <w:tabs>
        <w:tab w:val="left" w:pos="426"/>
      </w:tabs>
      <w:ind w:left="601" w:hanging="601"/>
      <w:jc w:val="center"/>
      <w:outlineLvl w:val="3"/>
    </w:pPr>
    <w:rPr>
      <w:b/>
      <w:sz w:val="20"/>
    </w:rPr>
  </w:style>
  <w:style w:type="paragraph" w:styleId="5">
    <w:name w:val="heading 5"/>
    <w:basedOn w:val="a"/>
    <w:next w:val="a"/>
    <w:qFormat/>
    <w:rsid w:val="00355225"/>
    <w:pPr>
      <w:keepNext/>
      <w:tabs>
        <w:tab w:val="left" w:pos="426"/>
        <w:tab w:val="left" w:pos="851"/>
      </w:tabs>
      <w:ind w:left="426"/>
      <w:outlineLvl w:val="4"/>
    </w:pPr>
    <w:rPr>
      <w:b/>
      <w:sz w:val="22"/>
      <w:lang w:val="el-GR"/>
    </w:rPr>
  </w:style>
  <w:style w:type="paragraph" w:styleId="6">
    <w:name w:val="heading 6"/>
    <w:basedOn w:val="a"/>
    <w:next w:val="a"/>
    <w:qFormat/>
    <w:rsid w:val="00355225"/>
    <w:pPr>
      <w:keepNext/>
      <w:tabs>
        <w:tab w:val="left" w:pos="426"/>
        <w:tab w:val="left" w:pos="851"/>
      </w:tabs>
      <w:ind w:left="426"/>
      <w:outlineLvl w:val="5"/>
    </w:pPr>
    <w:rPr>
      <w:i/>
      <w:sz w:val="22"/>
      <w:u w:val="single"/>
      <w:lang w:val="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355225"/>
    <w:pPr>
      <w:tabs>
        <w:tab w:val="center" w:pos="4819"/>
        <w:tab w:val="right" w:pos="9071"/>
      </w:tabs>
    </w:pPr>
  </w:style>
  <w:style w:type="paragraph" w:styleId="a4">
    <w:name w:val="footer"/>
    <w:basedOn w:val="a"/>
    <w:rsid w:val="00355225"/>
    <w:pPr>
      <w:tabs>
        <w:tab w:val="center" w:pos="4153"/>
        <w:tab w:val="right" w:pos="8306"/>
      </w:tabs>
    </w:pPr>
  </w:style>
  <w:style w:type="paragraph" w:styleId="a5">
    <w:name w:val="Document Map"/>
    <w:basedOn w:val="a"/>
    <w:semiHidden/>
    <w:rsid w:val="00355225"/>
    <w:pPr>
      <w:shd w:val="clear" w:color="auto" w:fill="000080"/>
    </w:pPr>
    <w:rPr>
      <w:rFonts w:ascii="Tahoma" w:hAnsi="Tahoma"/>
    </w:rPr>
  </w:style>
  <w:style w:type="character" w:styleId="a6">
    <w:name w:val="page number"/>
    <w:basedOn w:val="a0"/>
    <w:rsid w:val="00355225"/>
  </w:style>
  <w:style w:type="paragraph" w:styleId="20">
    <w:name w:val="Body Text 2"/>
    <w:basedOn w:val="a"/>
    <w:rsid w:val="00355225"/>
    <w:pPr>
      <w:tabs>
        <w:tab w:val="left" w:pos="426"/>
      </w:tabs>
      <w:ind w:left="426"/>
    </w:pPr>
    <w:rPr>
      <w:sz w:val="20"/>
    </w:rPr>
  </w:style>
  <w:style w:type="paragraph" w:styleId="a7">
    <w:name w:val="Body Text"/>
    <w:basedOn w:val="a"/>
    <w:rsid w:val="00355225"/>
    <w:pPr>
      <w:tabs>
        <w:tab w:val="left" w:pos="426"/>
      </w:tabs>
    </w:pPr>
    <w:rPr>
      <w:sz w:val="20"/>
    </w:rPr>
  </w:style>
  <w:style w:type="paragraph" w:styleId="a8">
    <w:name w:val="Body Text Indent"/>
    <w:basedOn w:val="a"/>
    <w:rsid w:val="00355225"/>
    <w:pPr>
      <w:tabs>
        <w:tab w:val="left" w:pos="426"/>
      </w:tabs>
      <w:ind w:left="426"/>
    </w:pPr>
    <w:rPr>
      <w:sz w:val="20"/>
    </w:rPr>
  </w:style>
  <w:style w:type="paragraph" w:styleId="21">
    <w:name w:val="Body Text Indent 2"/>
    <w:basedOn w:val="a"/>
    <w:rsid w:val="00355225"/>
    <w:pPr>
      <w:tabs>
        <w:tab w:val="left" w:pos="851"/>
      </w:tabs>
      <w:ind w:left="2127" w:hanging="1276"/>
    </w:pPr>
    <w:rPr>
      <w:sz w:val="22"/>
      <w:lang w:val="en-US"/>
    </w:rPr>
  </w:style>
  <w:style w:type="paragraph" w:styleId="30">
    <w:name w:val="Body Text Indent 3"/>
    <w:basedOn w:val="a"/>
    <w:rsid w:val="00355225"/>
    <w:pPr>
      <w:tabs>
        <w:tab w:val="left" w:pos="426"/>
        <w:tab w:val="left" w:pos="851"/>
      </w:tabs>
      <w:ind w:left="426"/>
    </w:pPr>
    <w:rPr>
      <w:strike/>
      <w:sz w:val="22"/>
    </w:rPr>
  </w:style>
  <w:style w:type="paragraph" w:customStyle="1" w:styleId="Text">
    <w:name w:val="Text"/>
    <w:basedOn w:val="a"/>
    <w:rsid w:val="00BA7625"/>
    <w:pPr>
      <w:widowControl/>
      <w:spacing w:after="240" w:line="312" w:lineRule="atLeast"/>
      <w:jc w:val="left"/>
    </w:pPr>
  </w:style>
  <w:style w:type="paragraph" w:styleId="a9">
    <w:name w:val="Balloon Text"/>
    <w:basedOn w:val="a"/>
    <w:semiHidden/>
    <w:rsid w:val="0074531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11</Pages>
  <Words>4054</Words>
  <Characters>21897</Characters>
  <Application>Microsoft Office Word</Application>
  <DocSecurity>0</DocSecurity>
  <Lines>182</Lines>
  <Paragraphs>51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spc-teveten-chan.5.1-sh.l.18m-Aclar</vt:lpstr>
      <vt:lpstr>spc-teveten-chan.5.1-sh.l.18m-Aclar</vt:lpstr>
    </vt:vector>
  </TitlesOfParts>
  <Company>SMITHKLINE BEECHAM</Company>
  <LinksUpToDate>false</LinksUpToDate>
  <CharactersWithSpaces>25900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spc-teveten-chan.5.1-sh.l.18m-Aclar</dc:title>
  <dc:creator>TSIMSH00</dc:creator>
  <cp:lastModifiedBy>user146</cp:lastModifiedBy>
  <cp:revision>5</cp:revision>
  <cp:lastPrinted>2013-04-04T12:20:00Z</cp:lastPrinted>
  <dcterms:created xsi:type="dcterms:W3CDTF">2013-04-04T12:20:00Z</dcterms:created>
  <dcterms:modified xsi:type="dcterms:W3CDTF">2013-06-26T05:25:00Z</dcterms:modified>
</cp:coreProperties>
</file>