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Default="00910C60" w:rsidP="00910C60">
      <w:pPr>
        <w:spacing w:after="0" w:line="240" w:lineRule="auto"/>
        <w:jc w:val="center"/>
        <w:rPr>
          <w:rFonts w:ascii="Times New Roman" w:eastAsia="Times New Roman" w:hAnsi="Times New Roman" w:cs="Times New Roman"/>
          <w:b/>
          <w:lang w:val="en-US" w:eastAsia="el-GR"/>
        </w:rPr>
      </w:pPr>
    </w:p>
    <w:p w:rsidR="00910C60" w:rsidRPr="00910C60" w:rsidRDefault="00910C60" w:rsidP="00910C60">
      <w:pPr>
        <w:spacing w:after="0" w:line="240" w:lineRule="auto"/>
        <w:jc w:val="center"/>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ΠΕΡΙΛΗΨΗ ΤΩΝ ΧΑΡΑΚΤΗΡΙΣΤΙΚΩΝ ΤΟΥ ΠΡΟΪΟΝΤΟΣ</w:t>
      </w:r>
    </w:p>
    <w:p w:rsidR="00910C60" w:rsidRPr="00910C60" w:rsidRDefault="00910C60" w:rsidP="00910C60">
      <w:pPr>
        <w:spacing w:after="0" w:line="240" w:lineRule="auto"/>
        <w:jc w:val="center"/>
        <w:rPr>
          <w:rFonts w:ascii="Times New Roman" w:eastAsia="Times New Roman" w:hAnsi="Times New Roman" w:cs="Times New Roman"/>
          <w:b/>
          <w:lang w:eastAsia="el-GR"/>
        </w:rPr>
      </w:pPr>
      <w:r w:rsidRPr="00910C60">
        <w:rPr>
          <w:rFonts w:ascii="Arial" w:eastAsia="Times New Roman" w:hAnsi="Arial" w:cs="Times New Roman"/>
          <w:bCs/>
          <w:iCs/>
          <w:noProof/>
          <w:szCs w:val="20"/>
        </w:rPr>
        <w:br w:type="page"/>
      </w:r>
    </w:p>
    <w:p w:rsidR="00910C60" w:rsidRPr="00910C60" w:rsidRDefault="00910C60" w:rsidP="00910C60">
      <w:pPr>
        <w:keepNext/>
        <w:keepLines/>
        <w:tabs>
          <w:tab w:val="left" w:pos="567"/>
        </w:tab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lastRenderedPageBreak/>
        <w:t>1.</w:t>
      </w:r>
      <w:r w:rsidRPr="00910C60">
        <w:rPr>
          <w:rFonts w:ascii="Times New Roman" w:eastAsia="Times New Roman" w:hAnsi="Times New Roman" w:cs="Times New Roman"/>
          <w:b/>
          <w:lang w:eastAsia="el-GR"/>
        </w:rPr>
        <w:tab/>
        <w:t>ΟΝΟΜΑΣΙΑ ΤΟΥ ΦΑΡΜΑΚΕΥΤΙΚΟΥ ΠΡΟΪΟΝΤΟΣ</w:t>
      </w:r>
    </w:p>
    <w:p w:rsidR="00910C60" w:rsidRPr="00910C60" w:rsidRDefault="00910C60" w:rsidP="00910C60">
      <w:pPr>
        <w:keepNext/>
        <w:keepLines/>
        <w:spacing w:after="0" w:line="240" w:lineRule="auto"/>
        <w:rPr>
          <w:rFonts w:ascii="Times New Roman" w:eastAsia="Times New Roman" w:hAnsi="Times New Roman" w:cs="Times New Roman"/>
          <w:bCs/>
          <w:lang w:eastAsia="el-GR"/>
        </w:rPr>
      </w:pPr>
    </w:p>
    <w:p w:rsidR="00910C60" w:rsidRPr="00910C60" w:rsidRDefault="00910C60" w:rsidP="00910C60">
      <w:pPr>
        <w:spacing w:after="0" w:line="240" w:lineRule="auto"/>
        <w:rPr>
          <w:rFonts w:ascii="Times New Roman" w:eastAsia="Times New Roman" w:hAnsi="Times New Roman" w:cs="Times New Roman"/>
          <w:bCs/>
          <w:lang w:eastAsia="el-GR"/>
        </w:rPr>
      </w:pPr>
      <w:proofErr w:type="spellStart"/>
      <w:r w:rsidRPr="00910C60">
        <w:rPr>
          <w:rFonts w:ascii="Times New Roman" w:eastAsia="Times New Roman" w:hAnsi="Times New Roman" w:cs="Times New Roman"/>
          <w:bCs/>
          <w:lang w:eastAsia="el-GR"/>
        </w:rPr>
        <w:t>Cerazette</w:t>
      </w:r>
      <w:proofErr w:type="spellEnd"/>
      <w:r w:rsidRPr="00910C60">
        <w:rPr>
          <w:rFonts w:ascii="Times New Roman" w:eastAsia="Times New Roman" w:hAnsi="Times New Roman" w:cs="Times New Roman"/>
          <w:bCs/>
          <w:vertAlign w:val="superscript"/>
          <w:lang w:eastAsia="el-GR"/>
        </w:rPr>
        <w:t xml:space="preserve"> </w:t>
      </w:r>
      <w:r w:rsidRPr="00910C60">
        <w:rPr>
          <w:rFonts w:ascii="Times New Roman" w:eastAsia="Times New Roman" w:hAnsi="Times New Roman" w:cs="Times New Roman"/>
          <w:bCs/>
          <w:lang w:eastAsia="el-GR"/>
        </w:rPr>
        <w:t xml:space="preserve">75 μικρογραμμάρια επικαλυμμένα με λεπτό </w:t>
      </w:r>
      <w:proofErr w:type="spellStart"/>
      <w:r w:rsidRPr="00910C60">
        <w:rPr>
          <w:rFonts w:ascii="Times New Roman" w:eastAsia="Times New Roman" w:hAnsi="Times New Roman" w:cs="Times New Roman"/>
          <w:bCs/>
          <w:lang w:eastAsia="el-GR"/>
        </w:rPr>
        <w:t>υμένιο</w:t>
      </w:r>
      <w:proofErr w:type="spellEnd"/>
      <w:r w:rsidRPr="00910C60">
        <w:rPr>
          <w:rFonts w:ascii="Times New Roman" w:eastAsia="Times New Roman" w:hAnsi="Times New Roman" w:cs="Times New Roman"/>
          <w:bCs/>
          <w:lang w:eastAsia="el-GR"/>
        </w:rPr>
        <w:t xml:space="preserve"> δισκία.</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tabs>
          <w:tab w:val="left" w:pos="567"/>
        </w:tab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2.</w:t>
      </w:r>
      <w:r w:rsidRPr="00910C60">
        <w:rPr>
          <w:rFonts w:ascii="Times New Roman" w:eastAsia="Times New Roman" w:hAnsi="Times New Roman" w:cs="Times New Roman"/>
          <w:b/>
          <w:lang w:eastAsia="el-GR"/>
        </w:rPr>
        <w:tab/>
        <w:t>ΠΟΙΟΤΙΚΗ ΚΑΙ ΠΟΣΟΤΙΚΗ ΣΥΝΘΕΣΗ</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Κάθε δισκίο περιέχει 75 </w:t>
      </w:r>
      <w:r w:rsidRPr="00910C60">
        <w:rPr>
          <w:rFonts w:ascii="Times New Roman" w:eastAsia="Times New Roman" w:hAnsi="Times New Roman" w:cs="Times New Roman"/>
          <w:bCs/>
          <w:lang w:eastAsia="el-GR"/>
        </w:rPr>
        <w:t>μικρογραμμάρια</w:t>
      </w:r>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δεσογεστρέλη</w:t>
      </w:r>
      <w:proofErr w:type="spellEnd"/>
      <w:r w:rsidRPr="00910C60">
        <w:rPr>
          <w:rFonts w:ascii="Times New Roman" w:eastAsia="Times New Roman" w:hAnsi="Times New Roman" w:cs="Times New Roman"/>
          <w:lang w:eastAsia="el-GR"/>
        </w:rPr>
        <w:t>.</w:t>
      </w:r>
    </w:p>
    <w:p w:rsidR="00910C60" w:rsidRPr="00910C60" w:rsidRDefault="00910C60" w:rsidP="00910C60">
      <w:pPr>
        <w:spacing w:after="0" w:line="240" w:lineRule="auto"/>
        <w:rPr>
          <w:rFonts w:ascii="Times New Roman" w:eastAsia="Times New Roman" w:hAnsi="Times New Roman" w:cs="Times New Roman"/>
          <w:lang w:eastAsia="el-GR"/>
        </w:rPr>
      </w:pPr>
      <w:proofErr w:type="spellStart"/>
      <w:r w:rsidRPr="00910C60">
        <w:rPr>
          <w:rFonts w:ascii="Times New Roman" w:eastAsia="Times New Roman" w:hAnsi="Times New Roman" w:cs="Times New Roman"/>
          <w:lang w:eastAsia="el-GR"/>
        </w:rPr>
        <w:t>Έκδοχο(α</w:t>
      </w:r>
      <w:proofErr w:type="spellEnd"/>
      <w:r w:rsidRPr="00910C60">
        <w:rPr>
          <w:rFonts w:ascii="Times New Roman" w:eastAsia="Times New Roman" w:hAnsi="Times New Roman" w:cs="Times New Roman"/>
          <w:lang w:eastAsia="el-GR"/>
        </w:rPr>
        <w:t>) με γνωστή δράση: Κάθε δισκίο περιέχει κατά προσέγγιση 55 </w:t>
      </w:r>
      <w:proofErr w:type="spellStart"/>
      <w:r w:rsidRPr="00910C60">
        <w:rPr>
          <w:rFonts w:ascii="Times New Roman" w:eastAsia="Times New Roman" w:hAnsi="Times New Roman" w:cs="Times New Roman"/>
          <w:spacing w:val="-2"/>
          <w:lang w:eastAsia="el-GR"/>
        </w:rPr>
        <w:t>m</w:t>
      </w:r>
      <w:r w:rsidRPr="00910C60">
        <w:rPr>
          <w:rFonts w:ascii="Times New Roman" w:eastAsia="Times New Roman" w:hAnsi="Times New Roman" w:cs="Times New Roman"/>
          <w:lang w:eastAsia="el-GR"/>
        </w:rPr>
        <w:t>g</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μονοϋδρικής</w:t>
      </w:r>
      <w:proofErr w:type="spellEnd"/>
      <w:r w:rsidRPr="00910C60">
        <w:rPr>
          <w:rFonts w:ascii="Times New Roman" w:eastAsia="Times New Roman" w:hAnsi="Times New Roman" w:cs="Times New Roman"/>
          <w:color w:val="7F007F"/>
          <w:u w:val="single" w:color="7F007F"/>
          <w:lang w:eastAsia="el-GR"/>
        </w:rPr>
        <w:t xml:space="preserve"> </w:t>
      </w:r>
      <w:r w:rsidRPr="00910C60">
        <w:rPr>
          <w:rFonts w:ascii="Times New Roman" w:eastAsia="Times New Roman" w:hAnsi="Times New Roman" w:cs="Times New Roman"/>
          <w:lang w:eastAsia="el-GR"/>
        </w:rPr>
        <w:t>λακτόζης</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Για τον πλήρη κατάλογο των εκδόχων, βλ. παράγραφο 6.1.</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tabs>
          <w:tab w:val="left" w:pos="567"/>
        </w:tab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3.</w:t>
      </w:r>
      <w:r w:rsidRPr="00910C60">
        <w:rPr>
          <w:rFonts w:ascii="Times New Roman" w:eastAsia="Times New Roman" w:hAnsi="Times New Roman" w:cs="Times New Roman"/>
          <w:b/>
          <w:lang w:eastAsia="el-GR"/>
        </w:rPr>
        <w:tab/>
        <w:t>ΦΑΡΜΑΚΟΤΕΧΝΙΚΗ ΜΟΡΦΗ</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Επικαλυμμένο με λεπτό </w:t>
      </w:r>
      <w:proofErr w:type="spellStart"/>
      <w:r w:rsidRPr="00910C60">
        <w:rPr>
          <w:rFonts w:ascii="Times New Roman" w:eastAsia="Times New Roman" w:hAnsi="Times New Roman" w:cs="Times New Roman"/>
          <w:lang w:eastAsia="el-GR"/>
        </w:rPr>
        <w:t>υμένιο</w:t>
      </w:r>
      <w:proofErr w:type="spellEnd"/>
      <w:r w:rsidRPr="00910C60">
        <w:rPr>
          <w:rFonts w:ascii="Times New Roman" w:eastAsia="Times New Roman" w:hAnsi="Times New Roman" w:cs="Times New Roman"/>
          <w:lang w:eastAsia="el-GR"/>
        </w:rPr>
        <w:t xml:space="preserve"> δισκίο.</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Line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Το δισκίο είναι λευκό, στρογγυλό, αμφίκυρτο, με διάμετρο 5 </w:t>
      </w:r>
      <w:r w:rsidRPr="00910C60">
        <w:rPr>
          <w:rFonts w:ascii="Times New Roman" w:eastAsia="Times New Roman" w:hAnsi="Times New Roman" w:cs="Times New Roman"/>
          <w:lang w:val="en-US" w:eastAsia="el-GR"/>
        </w:rPr>
        <w:t>mm</w:t>
      </w:r>
      <w:r w:rsidRPr="00910C60">
        <w:rPr>
          <w:rFonts w:ascii="Times New Roman" w:eastAsia="Times New Roman" w:hAnsi="Times New Roman" w:cs="Times New Roman"/>
          <w:lang w:eastAsia="el-GR"/>
        </w:rPr>
        <w:t xml:space="preserve">. Στη μία πλευρά φέρει τον κωδικό KV πάνω από το 2 και στην άλλη πλευρά τη λέξη </w:t>
      </w:r>
      <w:r w:rsidRPr="00910C60">
        <w:rPr>
          <w:rFonts w:ascii="Times New Roman" w:eastAsia="Times New Roman" w:hAnsi="Times New Roman" w:cs="Times New Roman"/>
          <w:lang w:val="en-US" w:eastAsia="el-GR"/>
        </w:rPr>
        <w:t>ORGANON</w:t>
      </w:r>
      <w:r w:rsidRPr="00910C60">
        <w:rPr>
          <w:rFonts w:ascii="Times New Roman" w:eastAsia="Times New Roman" w:hAnsi="Times New Roman" w:cs="Times New Roman"/>
          <w:lang w:eastAsia="el-GR"/>
        </w:rPr>
        <w:t>*.</w:t>
      </w:r>
    </w:p>
    <w:p w:rsidR="00910C60" w:rsidRPr="00910C60" w:rsidRDefault="00910C60" w:rsidP="00910C60">
      <w:pPr>
        <w:keepLines/>
        <w:spacing w:after="0" w:line="240" w:lineRule="auto"/>
        <w:rPr>
          <w:rFonts w:ascii="Times New Roman" w:eastAsia="Times New Roman" w:hAnsi="Times New Roman" w:cs="Times New Roman"/>
          <w:lang w:eastAsia="el-GR"/>
        </w:rPr>
      </w:pPr>
    </w:p>
    <w:p w:rsidR="00910C60" w:rsidRPr="00910C60" w:rsidRDefault="00910C60" w:rsidP="00910C60">
      <w:pPr>
        <w:keepLines/>
        <w:spacing w:after="0" w:line="240" w:lineRule="auto"/>
        <w:rPr>
          <w:rFonts w:ascii="Times New Roman" w:eastAsia="Times New Roman" w:hAnsi="Times New Roman" w:cs="Times New Roman"/>
          <w:lang w:eastAsia="el-GR"/>
        </w:rPr>
      </w:pPr>
      <w:bookmarkStart w:id="0" w:name="_GoBack"/>
      <w:bookmarkEnd w:id="0"/>
    </w:p>
    <w:p w:rsidR="00910C60" w:rsidRPr="00910C60" w:rsidRDefault="00910C60" w:rsidP="00910C60">
      <w:pPr>
        <w:keepNext/>
        <w:keepLines/>
        <w:tabs>
          <w:tab w:val="left" w:pos="567"/>
        </w:tab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lastRenderedPageBreak/>
        <w:t>4.</w:t>
      </w:r>
      <w:r w:rsidRPr="00910C60">
        <w:rPr>
          <w:rFonts w:ascii="Times New Roman" w:eastAsia="Times New Roman" w:hAnsi="Times New Roman" w:cs="Times New Roman"/>
          <w:b/>
          <w:lang w:eastAsia="el-GR"/>
        </w:rPr>
        <w:tab/>
        <w:t>ΚΛΙΝΙΚΕΣ ΠΛΗΡΟΦΟΡΙΕΣ</w:t>
      </w:r>
    </w:p>
    <w:p w:rsidR="00910C60" w:rsidRPr="00910C60" w:rsidRDefault="00910C60" w:rsidP="00910C60">
      <w:pPr>
        <w:keepNext/>
        <w:keepLines/>
        <w:spacing w:after="0" w:line="240" w:lineRule="auto"/>
        <w:rPr>
          <w:rFonts w:ascii="Times New Roman" w:eastAsia="Times New Roman" w:hAnsi="Times New Roman" w:cs="Times New Roman"/>
          <w:b/>
          <w:lang w:eastAsia="el-GR"/>
        </w:rPr>
      </w:pPr>
    </w:p>
    <w:p w:rsidR="00910C60" w:rsidRPr="00910C60" w:rsidRDefault="00910C60" w:rsidP="00910C60">
      <w:pPr>
        <w:keepNext/>
        <w:keepLines/>
        <w:tabs>
          <w:tab w:val="left" w:pos="567"/>
        </w:tab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4.1</w:t>
      </w:r>
      <w:r w:rsidRPr="00910C60">
        <w:rPr>
          <w:rFonts w:ascii="Times New Roman" w:eastAsia="Times New Roman" w:hAnsi="Times New Roman" w:cs="Times New Roman"/>
          <w:b/>
          <w:lang w:eastAsia="el-GR"/>
        </w:rPr>
        <w:tab/>
        <w:t>Θεραπευτικές ενδείξεις</w:t>
      </w:r>
    </w:p>
    <w:p w:rsidR="00910C60" w:rsidRPr="00910C60" w:rsidRDefault="00910C60" w:rsidP="00910C60">
      <w:pPr>
        <w:keepNext/>
        <w:keepLines/>
        <w:spacing w:after="0" w:line="240" w:lineRule="auto"/>
        <w:rPr>
          <w:rFonts w:ascii="Times New Roman" w:eastAsia="Times New Roman" w:hAnsi="Times New Roman" w:cs="Times New Roman"/>
          <w:b/>
          <w:i/>
          <w:lang w:eastAsia="el-GR"/>
        </w:rPr>
      </w:pPr>
    </w:p>
    <w:p w:rsidR="00910C60" w:rsidRPr="00910C60" w:rsidRDefault="00910C60" w:rsidP="00910C60">
      <w:pPr>
        <w:keepNext/>
        <w:keepLines/>
        <w:tabs>
          <w:tab w:val="left" w:pos="567"/>
        </w:tab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Αντισύλληψη.</w:t>
      </w:r>
    </w:p>
    <w:p w:rsidR="00910C60" w:rsidRPr="00910C60" w:rsidRDefault="00910C60" w:rsidP="00910C60">
      <w:pPr>
        <w:keepNext/>
        <w:keepLines/>
        <w:tabs>
          <w:tab w:val="left" w:pos="567"/>
        </w:tabs>
        <w:spacing w:after="0" w:line="240" w:lineRule="auto"/>
        <w:rPr>
          <w:rFonts w:ascii="Times New Roman" w:eastAsia="Times New Roman" w:hAnsi="Times New Roman" w:cs="Times New Roman"/>
          <w:b/>
          <w:lang w:eastAsia="el-GR"/>
        </w:rPr>
      </w:pPr>
    </w:p>
    <w:p w:rsidR="00910C60" w:rsidRPr="00910C60" w:rsidRDefault="00910C60" w:rsidP="00910C60">
      <w:pPr>
        <w:keepNext/>
        <w:keepLines/>
        <w:tabs>
          <w:tab w:val="left" w:pos="567"/>
        </w:tab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4.2</w:t>
      </w:r>
      <w:r w:rsidRPr="00910C60">
        <w:rPr>
          <w:rFonts w:ascii="Times New Roman" w:eastAsia="Times New Roman" w:hAnsi="Times New Roman" w:cs="Times New Roman"/>
          <w:b/>
          <w:lang w:eastAsia="el-GR"/>
        </w:rPr>
        <w:tab/>
        <w:t>Δοσολογία και τρόπος χορήγησης</w:t>
      </w:r>
    </w:p>
    <w:p w:rsidR="00910C60" w:rsidRPr="00910C60" w:rsidRDefault="00910C60" w:rsidP="00910C60">
      <w:pPr>
        <w:keepNext/>
        <w:keepLines/>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Δοσολογία</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Για την επίτευξη αντισυλληπτικής αποτελεσματικότητας, 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πρέπει να χρησιμοποιείται σύμφωνα με τις οδηγίες (βλ. &lt;&lt;Πώς να πάρετε 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&gt;&gt; και &lt;&lt;Πώς να αρχίζει η λήψη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&gt;&gt;).</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Ειδικοί πληθυσμοί</w:t>
      </w:r>
    </w:p>
    <w:p w:rsidR="00910C60" w:rsidRPr="00910C60" w:rsidRDefault="00910C60" w:rsidP="00910C60">
      <w:pPr>
        <w:keepNext/>
        <w:keepLines/>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Νεφρική δυσλειτουργία</w:t>
      </w:r>
    </w:p>
    <w:p w:rsidR="00910C60" w:rsidRPr="00910C60" w:rsidRDefault="00910C60" w:rsidP="00910C60">
      <w:pPr>
        <w:keepNext/>
        <w:keepLine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Δεν έχουν διεξαχθεί κλινικές μελέτες σε ασθενείς με νεφρική δυσλειτουργία.</w:t>
      </w:r>
    </w:p>
    <w:p w:rsidR="00910C60" w:rsidRPr="00910C60" w:rsidRDefault="00910C60" w:rsidP="00910C60">
      <w:pPr>
        <w:keepNext/>
        <w:keepLines/>
        <w:spacing w:after="0" w:line="240" w:lineRule="auto"/>
        <w:rPr>
          <w:rFonts w:ascii="Times New Roman" w:eastAsia="Times New Roman" w:hAnsi="Times New Roman" w:cs="Times New Roman"/>
          <w:u w:val="single"/>
          <w:lang w:eastAsia="el-GR"/>
        </w:rPr>
      </w:pPr>
    </w:p>
    <w:p w:rsidR="00910C60" w:rsidRPr="00910C60" w:rsidRDefault="00910C60" w:rsidP="00910C60">
      <w:pPr>
        <w:keepNext/>
        <w:keepLines/>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Ηπατική δυσλειτουργία</w:t>
      </w:r>
    </w:p>
    <w:p w:rsidR="00910C60" w:rsidRPr="00910C60" w:rsidRDefault="00910C60" w:rsidP="00910C60">
      <w:pPr>
        <w:keepNext/>
        <w:keepLine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Δεν έχουν διεξαχθεί κλινικές μελέτες σε ασθενείς με ηπατική δυσλειτουργία. Καθώς ο μεταβολισμός των στεροειδών ορμονών μπορεί να έχει διαταραχθεί σε ασθενείς με σοβαρή ηπατική νόσο, η χρήση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σε αυτές τις γυναίκες δεν ενδείκνυται όσο οι τιμές ηπατικής λειτουργίας δεν έχουν επανέλθει σε φυσιολογικά επίπεδα (βλ. παράγραφο </w:t>
      </w:r>
      <w:r w:rsidRPr="00910C60">
        <w:rPr>
          <w:rFonts w:ascii="Times New Roman" w:eastAsia="Times New Roman" w:hAnsi="Times New Roman" w:cs="Times New Roman"/>
          <w:w w:val="103"/>
          <w:lang w:val="en-US" w:eastAsia="el-GR"/>
        </w:rPr>
        <w:t> </w:t>
      </w:r>
      <w:r w:rsidRPr="00910C60">
        <w:rPr>
          <w:rFonts w:ascii="Times New Roman" w:eastAsia="Times New Roman" w:hAnsi="Times New Roman" w:cs="Times New Roman"/>
          <w:w w:val="103"/>
          <w:position w:val="-1"/>
          <w:lang w:eastAsia="el-GR"/>
        </w:rPr>
        <w:t>4.3).</w:t>
      </w:r>
    </w:p>
    <w:p w:rsidR="00910C60" w:rsidRPr="00910C60" w:rsidRDefault="00910C60" w:rsidP="00910C60">
      <w:pPr>
        <w:keepNext/>
        <w:keepLines/>
        <w:spacing w:after="0" w:line="240" w:lineRule="auto"/>
        <w:rPr>
          <w:rFonts w:ascii="Times New Roman" w:eastAsia="Times New Roman" w:hAnsi="Times New Roman" w:cs="Times New Roman"/>
          <w:u w:val="single"/>
          <w:lang w:eastAsia="el-GR"/>
        </w:rPr>
      </w:pPr>
    </w:p>
    <w:p w:rsidR="00910C60" w:rsidRPr="00910C60" w:rsidRDefault="00910C60" w:rsidP="00910C60">
      <w:pPr>
        <w:keepNext/>
        <w:keepLines/>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Παιδιατρικός πληθυσμός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ασφάλεια και η αποτελεσματικότητα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σε εφήβους ηλικίας κάτω των 18 ετών δεν </w:t>
      </w:r>
      <w:proofErr w:type="spellStart"/>
      <w:r w:rsidRPr="00910C60">
        <w:rPr>
          <w:rFonts w:ascii="Times New Roman" w:eastAsia="Times New Roman" w:hAnsi="Times New Roman" w:cs="Times New Roman"/>
          <w:lang w:eastAsia="el-GR"/>
        </w:rPr>
        <w:t>έχ</w:t>
      </w:r>
      <w:proofErr w:type="spellEnd"/>
      <w:r w:rsidRPr="00910C60">
        <w:rPr>
          <w:rFonts w:ascii="Times New Roman" w:eastAsia="Times New Roman" w:hAnsi="Times New Roman" w:cs="Times New Roman"/>
          <w:lang w:val="en-US" w:eastAsia="el-GR"/>
        </w:rPr>
        <w:t>o</w:t>
      </w:r>
      <w:r w:rsidRPr="00910C60">
        <w:rPr>
          <w:rFonts w:ascii="Times New Roman" w:eastAsia="Times New Roman" w:hAnsi="Times New Roman" w:cs="Times New Roman"/>
          <w:lang w:eastAsia="el-GR"/>
        </w:rPr>
        <w:t>υν τεκμηριωθεί. Δεν υπάρχουν διαθέσιμα δεδομένα.</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Τρόπος χορήγησης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Από του στόματος χρήση.</w:t>
      </w:r>
    </w:p>
    <w:p w:rsidR="00910C60" w:rsidRPr="00910C60" w:rsidRDefault="00910C60" w:rsidP="00910C60">
      <w:pPr>
        <w:keepNext/>
        <w:keepLines/>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 xml:space="preserve">Πώς να πάρετε το </w:t>
      </w:r>
      <w:proofErr w:type="spellStart"/>
      <w:r w:rsidRPr="00910C60">
        <w:rPr>
          <w:rFonts w:ascii="Times New Roman" w:eastAsia="Times New Roman" w:hAnsi="Times New Roman" w:cs="Times New Roman"/>
          <w:b/>
          <w:lang w:val="en-US" w:eastAsia="el-GR"/>
        </w:rPr>
        <w:t>Cerazette</w:t>
      </w:r>
      <w:proofErr w:type="spellEnd"/>
    </w:p>
    <w:p w:rsidR="00910C60" w:rsidRPr="00910C60" w:rsidRDefault="00910C60" w:rsidP="00910C60">
      <w:pPr>
        <w:keepNext/>
        <w:keepLines/>
        <w:spacing w:after="0" w:line="240" w:lineRule="auto"/>
        <w:rPr>
          <w:rFonts w:ascii="Times New Roman" w:eastAsia="Times New Roman" w:hAnsi="Times New Roman" w:cs="Times New Roman"/>
          <w:b/>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Τα δισκία πρέπει να λαμβάνονται καθημερινά και περίπου την ίδια ώρα, ώστε το μεσοδιάστημα μεταξύ δύο δισκίων να είναι πάντοτε 24 ώρες. Το πρώτο δισκίο θα πρέπει να λαμβάνεται κατά την πρώτη ημέρα της έμμηνου ρύσης. Ακολούθως, πρέπει να λαμβάνεται ένα δισκίο κάθε ημέρα συνεχώς, χωρίς να λαμβάνεται υπόψη ενδεχόμενη αιμορραγία. Όταν τελειώσει μία κυψέλη, αρχίζει μία καινούργια την αμέσως επόμενη ημέρα.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b/>
          <w:iCs/>
          <w:lang w:eastAsia="el-GR"/>
        </w:rPr>
      </w:pPr>
      <w:r w:rsidRPr="00910C60">
        <w:rPr>
          <w:rFonts w:ascii="Times New Roman" w:eastAsia="Times New Roman" w:hAnsi="Times New Roman" w:cs="Times New Roman"/>
          <w:b/>
          <w:iCs/>
          <w:lang w:eastAsia="el-GR"/>
        </w:rPr>
        <w:t xml:space="preserve">Πώς να αρχίζει η λήψη του </w:t>
      </w:r>
      <w:proofErr w:type="spellStart"/>
      <w:r w:rsidRPr="00910C60">
        <w:rPr>
          <w:rFonts w:ascii="Times New Roman" w:eastAsia="Times New Roman" w:hAnsi="Times New Roman" w:cs="Times New Roman"/>
          <w:b/>
          <w:iCs/>
          <w:lang w:val="en-US" w:eastAsia="el-GR"/>
        </w:rPr>
        <w:t>Cerazette</w:t>
      </w:r>
      <w:proofErr w:type="spellEnd"/>
    </w:p>
    <w:p w:rsidR="00910C60" w:rsidRPr="00910C60" w:rsidRDefault="00910C60" w:rsidP="00910C60">
      <w:pPr>
        <w:keepNext/>
        <w:keepLines/>
        <w:spacing w:after="0" w:line="240" w:lineRule="auto"/>
        <w:rPr>
          <w:rFonts w:ascii="Times New Roman" w:eastAsia="Times New Roman" w:hAnsi="Times New Roman" w:cs="Times New Roman"/>
          <w:i/>
          <w:u w:val="single"/>
          <w:lang w:eastAsia="el-GR"/>
        </w:rPr>
      </w:pPr>
    </w:p>
    <w:p w:rsidR="00910C60" w:rsidRPr="00910C60" w:rsidRDefault="00910C60" w:rsidP="00910C60">
      <w:pPr>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Χωρίς προηγούμενη χρήση ορμονικών αντισυλληπτικών [τον προηγούμενο μήνα]</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Η λήψη των δισκίων πρέπει να αρχίσει την ημέρα 1 του κανονικού κύκλου της γυναίκας (η ημέρα 1 είναι η πρώτη ημέρα της έμμηνου ρύσης της). Η έναρξη λήψης τις ημέρες 2</w:t>
      </w:r>
      <w:r w:rsidRPr="00910C60">
        <w:rPr>
          <w:rFonts w:ascii="Times New Roman" w:eastAsia="Times New Roman" w:hAnsi="Times New Roman" w:cs="Times New Roman"/>
          <w:lang w:eastAsia="el-GR"/>
        </w:rPr>
        <w:noBreakHyphen/>
        <w:t>5 επιτρέπεται, αλλά κατά τη διάρκεια του πρώτου κύκλου συνιστάται μία μέθοδος φραγμού για τις πρώτες 7 ημέρες λήψης δισκίων.</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Μετά από έκτρωση κατά το πρώτο τρίμηνο</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Μετά από έκτρωση κατά το πρώτο τρίμηνο της κύησης, η αγωγή συνιστάται να ξεκινήσει αμέσως. Στην περίπτωση αυτή δεν υπάρχει ανάγκη να χρησιμοποιηθεί πρόσθετη μέθοδος αντισύλληψης.</w:t>
      </w:r>
    </w:p>
    <w:p w:rsidR="00910C60" w:rsidRPr="00910C60" w:rsidRDefault="00910C60" w:rsidP="00910C60">
      <w:pPr>
        <w:keepNext/>
        <w:widowControl w:val="0"/>
        <w:spacing w:after="0" w:line="240" w:lineRule="auto"/>
        <w:outlineLvl w:val="0"/>
        <w:rPr>
          <w:rFonts w:ascii="Times New Roman" w:eastAsia="Times New Roman" w:hAnsi="Times New Roman" w:cs="Times New Roman"/>
          <w:i/>
          <w:u w:val="single"/>
          <w:lang w:eastAsia="el-GR"/>
        </w:rPr>
      </w:pPr>
    </w:p>
    <w:p w:rsidR="00910C60" w:rsidRPr="00910C60" w:rsidRDefault="00910C60" w:rsidP="00910C60">
      <w:pPr>
        <w:keepNext/>
        <w:widowControl w:val="0"/>
        <w:spacing w:after="0" w:line="240" w:lineRule="auto"/>
        <w:outlineLvl w:val="0"/>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Μετά από τοκετό ή έκτρωση κατά το δεύτερο τρίμηνο</w:t>
      </w:r>
    </w:p>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 xml:space="preserve">Η γυναίκα θα πρέπει να καθοδηγείται να ξεκινά οποιαδήποτε ημέρα μεταξύ της 21 ημέρας και της 28ής μετά τον τοκετό ή την έκτρωση κατά το δεύτερο τρίμηνο. Όταν ξεκινά αργότερα, θα πρέπει να καθοδηγείται να χρησιμοποιεί επιπρόσθετα μια μέθοδο φραγμού μέχρι τη συμπλήρωση των 7 πρώτων ημερών λήψης του δισκίου. Παρόλα αυτά, εάν έχει ήδη λάβει χώρα σεξουαλική επαφή, η εγκυμοσύνη θα πρέπει να αποκλειστεί πριν την έναρξη του </w:t>
      </w:r>
      <w:proofErr w:type="spellStart"/>
      <w:r w:rsidRPr="00910C60">
        <w:rPr>
          <w:rFonts w:ascii="Times New Roman" w:eastAsia="Times New Roman" w:hAnsi="Times New Roman" w:cs="Times New Roman"/>
          <w:bCs/>
          <w:lang w:val="en-US" w:eastAsia="el-GR"/>
        </w:rPr>
        <w:t>Cerazette</w:t>
      </w:r>
      <w:proofErr w:type="spellEnd"/>
      <w:r w:rsidRPr="00910C60">
        <w:rPr>
          <w:rFonts w:ascii="Times New Roman" w:eastAsia="Times New Roman" w:hAnsi="Times New Roman" w:cs="Times New Roman"/>
          <w:bCs/>
          <w:lang w:eastAsia="el-GR"/>
        </w:rPr>
        <w:t xml:space="preserve"> ή η γυναίκα θα πρέπει να περιμένει μέχρι την πρώτη έμμηνο ρύση..</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Για επιπρόσθετες πληροφορίες για γυναίκες που θηλάζουν βλ. Παράγραφο 4.6.</w:t>
      </w:r>
    </w:p>
    <w:p w:rsidR="00910C60" w:rsidRPr="00910C60" w:rsidRDefault="00910C60" w:rsidP="00910C60">
      <w:pPr>
        <w:spacing w:after="0" w:line="240" w:lineRule="auto"/>
        <w:rPr>
          <w:rFonts w:ascii="Times New Roman" w:eastAsia="Times New Roman" w:hAnsi="Times New Roman" w:cs="Times New Roman"/>
          <w:u w:val="single"/>
          <w:lang w:eastAsia="el-GR"/>
        </w:rPr>
      </w:pPr>
    </w:p>
    <w:p w:rsidR="00910C60" w:rsidRPr="00910C60" w:rsidRDefault="00910C60" w:rsidP="00910C60">
      <w:pPr>
        <w:keepNext/>
        <w:keepLines/>
        <w:spacing w:after="0" w:line="240" w:lineRule="auto"/>
        <w:rPr>
          <w:rFonts w:ascii="Times New Roman" w:eastAsia="Times New Roman" w:hAnsi="Times New Roman" w:cs="Times New Roman"/>
          <w:b/>
          <w:bCs/>
          <w:u w:val="single"/>
          <w:lang w:eastAsia="el-GR"/>
        </w:rPr>
      </w:pPr>
      <w:r w:rsidRPr="00910C60">
        <w:rPr>
          <w:rFonts w:ascii="Times New Roman" w:eastAsia="Times New Roman" w:hAnsi="Times New Roman" w:cs="Times New Roman"/>
          <w:b/>
          <w:bCs/>
          <w:iCs/>
          <w:lang w:eastAsia="el-GR"/>
        </w:rPr>
        <w:t xml:space="preserve">Πώς αρχίζει η λήψη του </w:t>
      </w:r>
      <w:proofErr w:type="spellStart"/>
      <w:r w:rsidRPr="00910C60">
        <w:rPr>
          <w:rFonts w:ascii="Times New Roman" w:eastAsia="Times New Roman" w:hAnsi="Times New Roman" w:cs="Times New Roman"/>
          <w:b/>
          <w:bCs/>
          <w:iCs/>
          <w:lang w:eastAsia="el-GR"/>
        </w:rPr>
        <w:t>Cerazette</w:t>
      </w:r>
      <w:proofErr w:type="spellEnd"/>
      <w:r w:rsidRPr="00910C60">
        <w:rPr>
          <w:rFonts w:ascii="Times New Roman" w:eastAsia="Times New Roman" w:hAnsi="Times New Roman" w:cs="Times New Roman"/>
          <w:b/>
          <w:bCs/>
          <w:iCs/>
          <w:lang w:eastAsia="el-GR"/>
        </w:rPr>
        <w:t xml:space="preserve"> μετά από αλλαγή από άλλες αντισυλληπτικές μεθόδους</w:t>
      </w:r>
    </w:p>
    <w:p w:rsidR="00910C60" w:rsidRPr="00910C60" w:rsidRDefault="00910C60" w:rsidP="00910C60">
      <w:pPr>
        <w:keepNext/>
        <w:keepLines/>
        <w:spacing w:after="0" w:line="240" w:lineRule="auto"/>
        <w:rPr>
          <w:rFonts w:ascii="Times New Roman" w:eastAsia="Times New Roman" w:hAnsi="Times New Roman" w:cs="Times New Roman"/>
          <w:i/>
          <w:u w:val="single"/>
          <w:lang w:eastAsia="el-GR"/>
        </w:rPr>
      </w:pPr>
    </w:p>
    <w:p w:rsidR="00910C60" w:rsidRPr="00910C60" w:rsidRDefault="00910C60" w:rsidP="00910C60">
      <w:pPr>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 xml:space="preserve">Αλλαγή από ένα συνδυασμένο ορμονικό αντισυλληπτικό (συνδυασμένο από του στόματος αντισυλληπτικό (ΣΣΑ), κολπικός δακτύλιος ή </w:t>
      </w:r>
      <w:proofErr w:type="spellStart"/>
      <w:r w:rsidRPr="00910C60">
        <w:rPr>
          <w:rFonts w:ascii="Times New Roman" w:eastAsia="Times New Roman" w:hAnsi="Times New Roman" w:cs="Times New Roman"/>
          <w:i/>
          <w:lang w:eastAsia="el-GR"/>
        </w:rPr>
        <w:t>διαδερμικό</w:t>
      </w:r>
      <w:proofErr w:type="spellEnd"/>
      <w:r w:rsidRPr="00910C60">
        <w:rPr>
          <w:rFonts w:ascii="Times New Roman" w:eastAsia="Times New Roman" w:hAnsi="Times New Roman" w:cs="Times New Roman"/>
          <w:i/>
          <w:lang w:eastAsia="el-GR"/>
        </w:rPr>
        <w:t xml:space="preserve"> έμπλαστρο)</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γυναίκα θα πρέπει να αρχίσει τη λήψη του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κατά προτίμηση την ημέρα μετά από τη λήψη του τελευταίου δραστικού δισκίου (το τελευταίο δισκίο που περιέχει τις δραστικές ουσίες) του προηγούμενού της ΣΣΑ ή την ημέρα απομάκρυνσης του κολπικού δακτυλίου της ή του </w:t>
      </w:r>
      <w:proofErr w:type="spellStart"/>
      <w:r w:rsidRPr="00910C60">
        <w:rPr>
          <w:rFonts w:ascii="Times New Roman" w:eastAsia="Times New Roman" w:hAnsi="Times New Roman" w:cs="Times New Roman"/>
          <w:lang w:eastAsia="el-GR"/>
        </w:rPr>
        <w:t>διαδερμικού</w:t>
      </w:r>
      <w:proofErr w:type="spellEnd"/>
      <w:r w:rsidRPr="00910C60">
        <w:rPr>
          <w:rFonts w:ascii="Times New Roman" w:eastAsia="Times New Roman" w:hAnsi="Times New Roman" w:cs="Times New Roman"/>
          <w:lang w:eastAsia="el-GR"/>
        </w:rPr>
        <w:t xml:space="preserve"> εμπλάστρου της. Στις περιπτώσεις αυτές, η χρήση πρόσθετης μεθόδου αντισύλληψης δεν είναι απαραίτητη. Μπορεί να μην είναι διαθέσιμες όλες οι μέθοδοι αντισύλληψης σε όλες τις χώρες της Ευρωπαϊκής Ένωσης.</w:t>
      </w:r>
    </w:p>
    <w:p w:rsidR="00910C60" w:rsidRPr="00910C60" w:rsidRDefault="00910C60" w:rsidP="00910C60">
      <w:pPr>
        <w:spacing w:after="0" w:line="240" w:lineRule="auto"/>
        <w:jc w:val="both"/>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Η γυναίκα μπορεί επίσης να ξεκινήσει το αργότερο την ημέρα μετά από το σύνηθες χρονικό διάστημα χωρίς δισκίο, έμπλαστρο, δακτύλιο ή εικονικό δισκίο του προηγούμενού της συνδυασμένου ορμονικού αντισυλληπτικού, αλλά κατά τη διάρκεια των πρώτων 7 ημερών λήψης των δισκίων συνιστάται μία πρόσθετη μέθοδος φραγμού.</w:t>
      </w:r>
    </w:p>
    <w:p w:rsidR="00910C60" w:rsidRPr="00910C60" w:rsidRDefault="00910C60" w:rsidP="00910C60">
      <w:pPr>
        <w:spacing w:after="0" w:line="240" w:lineRule="auto"/>
        <w:rPr>
          <w:rFonts w:ascii="Times New Roman" w:eastAsia="Times New Roman" w:hAnsi="Times New Roman" w:cs="Times New Roman"/>
          <w:i/>
          <w:u w:val="single"/>
          <w:lang w:eastAsia="el-GR"/>
        </w:rPr>
      </w:pPr>
    </w:p>
    <w:p w:rsidR="00910C60" w:rsidRPr="00910C60" w:rsidRDefault="00910C60" w:rsidP="00910C60">
      <w:pPr>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 xml:space="preserve">Αλλαγή από μία μέθοδο μόνο με </w:t>
      </w:r>
      <w:proofErr w:type="spellStart"/>
      <w:r w:rsidRPr="00910C60">
        <w:rPr>
          <w:rFonts w:ascii="Times New Roman" w:eastAsia="Times New Roman" w:hAnsi="Times New Roman" w:cs="Times New Roman"/>
          <w:i/>
          <w:lang w:eastAsia="el-GR"/>
        </w:rPr>
        <w:t>προγεσταγόνο</w:t>
      </w:r>
      <w:proofErr w:type="spellEnd"/>
      <w:r w:rsidRPr="00910C60">
        <w:rPr>
          <w:rFonts w:ascii="Times New Roman" w:eastAsia="Times New Roman" w:hAnsi="Times New Roman" w:cs="Times New Roman"/>
          <w:i/>
          <w:lang w:eastAsia="el-GR"/>
        </w:rPr>
        <w:t xml:space="preserve"> (</w:t>
      </w:r>
      <w:proofErr w:type="spellStart"/>
      <w:r w:rsidRPr="00910C60">
        <w:rPr>
          <w:rFonts w:ascii="Times New Roman" w:eastAsia="Times New Roman" w:hAnsi="Times New Roman" w:cs="Times New Roman"/>
          <w:i/>
          <w:lang w:eastAsia="el-GR"/>
        </w:rPr>
        <w:t>minipill</w:t>
      </w:r>
      <w:proofErr w:type="spellEnd"/>
      <w:r w:rsidRPr="00910C60">
        <w:rPr>
          <w:rFonts w:ascii="Times New Roman" w:eastAsia="Times New Roman" w:hAnsi="Times New Roman" w:cs="Times New Roman"/>
          <w:i/>
          <w:lang w:eastAsia="el-GR"/>
        </w:rPr>
        <w:t>, ένεση, εμφύτευμα ή ενδομήτριο σύστημα [</w:t>
      </w:r>
      <w:r w:rsidRPr="00910C60">
        <w:rPr>
          <w:rFonts w:ascii="Times New Roman" w:eastAsia="Times New Roman" w:hAnsi="Times New Roman" w:cs="Times New Roman"/>
          <w:i/>
          <w:lang w:val="en-US" w:eastAsia="el-GR"/>
        </w:rPr>
        <w:t>IUS</w:t>
      </w:r>
      <w:r w:rsidRPr="00910C60">
        <w:rPr>
          <w:rFonts w:ascii="Times New Roman" w:eastAsia="Times New Roman" w:hAnsi="Times New Roman" w:cs="Times New Roman"/>
          <w:i/>
          <w:lang w:eastAsia="el-GR"/>
        </w:rPr>
        <w:t xml:space="preserve">] απελευθέρωσης </w:t>
      </w:r>
      <w:proofErr w:type="spellStart"/>
      <w:r w:rsidRPr="00910C60">
        <w:rPr>
          <w:rFonts w:ascii="Times New Roman" w:eastAsia="Times New Roman" w:hAnsi="Times New Roman" w:cs="Times New Roman"/>
          <w:i/>
          <w:lang w:eastAsia="el-GR"/>
        </w:rPr>
        <w:t>προγεσταγόνου</w:t>
      </w:r>
      <w:proofErr w:type="spellEnd"/>
      <w:r w:rsidRPr="00910C60">
        <w:rPr>
          <w:rFonts w:ascii="Times New Roman" w:eastAsia="Times New Roman" w:hAnsi="Times New Roman" w:cs="Times New Roman"/>
          <w:i/>
          <w:lang w:eastAsia="el-GR"/>
        </w:rPr>
        <w:t xml:space="preserve"> )</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γυναίκα μπορεί να αλλάξει οποιαδήποτε ημέρα στην περίπτωση του </w:t>
      </w:r>
      <w:proofErr w:type="spellStart"/>
      <w:r w:rsidRPr="00910C60">
        <w:rPr>
          <w:rFonts w:ascii="Times New Roman" w:eastAsia="Times New Roman" w:hAnsi="Times New Roman" w:cs="Times New Roman"/>
          <w:lang w:eastAsia="el-GR"/>
        </w:rPr>
        <w:t>minipill</w:t>
      </w:r>
      <w:proofErr w:type="spellEnd"/>
      <w:r w:rsidRPr="00910C60">
        <w:rPr>
          <w:rFonts w:ascii="Times New Roman" w:eastAsia="Times New Roman" w:hAnsi="Times New Roman" w:cs="Times New Roman"/>
          <w:lang w:eastAsia="el-GR"/>
        </w:rPr>
        <w:t xml:space="preserve"> (στην περίπτωση εμφυτεύματος ή </w:t>
      </w:r>
      <w:r w:rsidRPr="00910C60">
        <w:rPr>
          <w:rFonts w:ascii="Times New Roman" w:eastAsia="Times New Roman" w:hAnsi="Times New Roman" w:cs="Times New Roman"/>
          <w:lang w:val="en-US" w:eastAsia="el-GR"/>
        </w:rPr>
        <w:t>IUS</w:t>
      </w:r>
      <w:r w:rsidRPr="00910C60">
        <w:rPr>
          <w:rFonts w:ascii="Times New Roman" w:eastAsia="Times New Roman" w:hAnsi="Times New Roman" w:cs="Times New Roman"/>
          <w:lang w:eastAsia="el-GR"/>
        </w:rPr>
        <w:t xml:space="preserve">, την ημέρα απομάκρυνσής του, ενώ στην περίπτωση ενέσιμου, την ημέρα χορήγησης της επόμενης ένεσης). </w:t>
      </w:r>
    </w:p>
    <w:p w:rsidR="00910C60" w:rsidRPr="00910C60" w:rsidRDefault="00910C60" w:rsidP="00910C60">
      <w:pPr>
        <w:spacing w:after="0" w:line="240" w:lineRule="auto"/>
        <w:rPr>
          <w:rFonts w:ascii="Times New Roman" w:eastAsia="Times New Roman" w:hAnsi="Times New Roman" w:cs="Times New Roman"/>
          <w:u w:val="single"/>
          <w:lang w:eastAsia="el-GR"/>
        </w:rPr>
      </w:pPr>
    </w:p>
    <w:p w:rsidR="00910C60" w:rsidRPr="00910C60" w:rsidRDefault="00910C60" w:rsidP="00910C60">
      <w:pPr>
        <w:keepNext/>
        <w:keepLine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b/>
          <w:lang w:eastAsia="el-GR"/>
        </w:rPr>
        <w:t>Διαχείριση σε περίπτωση παράλειψης δισκίων</w:t>
      </w:r>
      <w:r w:rsidRPr="00910C60">
        <w:rPr>
          <w:rFonts w:ascii="Times New Roman" w:eastAsia="Times New Roman" w:hAnsi="Times New Roman" w:cs="Times New Roman"/>
          <w:lang w:eastAsia="el-GR"/>
        </w:rPr>
        <w:t xml:space="preserve"> </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Η αντισυλληπτική προστασία μπορεί να μειωθεί εάν έχουν περάσει περισσότερο από 36 ώρες μεταξύ της λήψης δύο δισκίων. Εάν η καθυστέρηση είναι μικρότερη των 12 ωρών, το δισκίο που παραλείφθηκε θα πρέπει να ληφθεί αμέσως μόλις διαπιστωθεί η παράλειψή του και το επόμενο δισκίο να ληφθεί στον κανονικό χρόνο. Εάν η καθυστέρηση είναι μεγαλύτερη των 12 ωρών, τότε κατά τις επόμενες 7 ημέρες θα πρέπει να χρησιμοποιηθεί μία πρόσθετη αντισυλληπτική μέθοδος. Εάν τα δισκία παραλείφθηκαν κατά την πρώτη εβδομάδα και υπήρξε σεξουαλική επαφή κατά την εβδομάδα πριν από την παράλειψη των δισκίων, θα πρέπει να εξετάζεται η πιθανότητα κύησης.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Συμβουλή σε περίπτωση γαστρεντερικών διαταραχών</w:t>
      </w:r>
    </w:p>
    <w:p w:rsidR="00910C60" w:rsidRPr="00910C60" w:rsidRDefault="00910C60" w:rsidP="00910C60">
      <w:pPr>
        <w:keepNext/>
        <w:keepLines/>
        <w:spacing w:after="0" w:line="240" w:lineRule="auto"/>
        <w:rPr>
          <w:rFonts w:ascii="Times New Roman" w:eastAsia="Times New Roman" w:hAnsi="Times New Roman" w:cs="Times New Roman"/>
          <w:b/>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Σε περίπτωση σοβαρών γαστρεντερικών διαταραχών, η απορρόφηση μπορεί να μην είναι πλήρης και θα πρέπει να ληφθούν πρόσθετα αντισυλληπτικά μέτρα.</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Σε περίπτωση εμέτου εντός 3</w:t>
      </w:r>
      <w:r w:rsidRPr="00910C60">
        <w:rPr>
          <w:rFonts w:ascii="Times New Roman" w:eastAsia="Times New Roman" w:hAnsi="Times New Roman" w:cs="Times New Roman"/>
          <w:lang w:eastAsia="el-GR"/>
        </w:rPr>
        <w:noBreakHyphen/>
        <w:t>4 ωρών μετά από τη λήψη του δισκίου, η απορρόφηση μπορεί να μην είναι πλήρης. Σε τέτοια περίπτωση, εφαρμόζεται η συμβουλή σχετικά με τα ξεχασμένα δισκία, όπως δίνεται στην Παράγραφο 4.2.</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rPr>
          <w:rFonts w:ascii="Times New Roman" w:eastAsia="Times New Roman" w:hAnsi="Times New Roman" w:cs="Times New Roman"/>
          <w:b/>
          <w:bCs/>
          <w:iCs/>
          <w:lang w:eastAsia="el-GR"/>
        </w:rPr>
      </w:pPr>
      <w:r w:rsidRPr="00910C60">
        <w:rPr>
          <w:rFonts w:ascii="Times New Roman" w:eastAsia="Times New Roman" w:hAnsi="Times New Roman" w:cs="Times New Roman"/>
          <w:b/>
          <w:bCs/>
          <w:iCs/>
          <w:lang w:eastAsia="el-GR"/>
        </w:rPr>
        <w:lastRenderedPageBreak/>
        <w:t>Παρακολούθηση της αγωγής</w:t>
      </w:r>
    </w:p>
    <w:p w:rsidR="00910C60" w:rsidRPr="00910C60" w:rsidRDefault="00910C60" w:rsidP="00910C60">
      <w:pPr>
        <w:keepNext/>
        <w:keepLines/>
        <w:spacing w:after="0" w:line="240" w:lineRule="auto"/>
        <w:rPr>
          <w:rFonts w:ascii="Times New Roman" w:eastAsia="Times New Roman" w:hAnsi="Times New Roman" w:cs="Times New Roman"/>
          <w:b/>
          <w:bCs/>
          <w:iCs/>
          <w:u w:val="single"/>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Πριν χορηγηθεί η συνταγή, θα πρέπει να ληφθεί λεπτομερές ιστορικό της γυναίκας και συνιστάται πλήρης γυναικολογική εξέταση προκειμένου να αποκλειστεί η κύηση. Αιμορραγικές διαταραχές, όπως ολιγομηνόρροια και αμηνόρροια, θα πρέπει να διερευνώνται πριν από τη χορήγηση της συνταγής. Το χρονικό διάστημα μεταξύ των ιατρικών ελέγχων εξαρτάται από τις συνθήκες σε κάθε μεμονωμένη περίπτωση. Εάν το προϊόν που </w:t>
      </w:r>
      <w:proofErr w:type="spellStart"/>
      <w:r w:rsidRPr="00910C60">
        <w:rPr>
          <w:rFonts w:ascii="Times New Roman" w:eastAsia="Times New Roman" w:hAnsi="Times New Roman" w:cs="Times New Roman"/>
          <w:lang w:eastAsia="el-GR"/>
        </w:rPr>
        <w:t>συνταγογραφείται</w:t>
      </w:r>
      <w:proofErr w:type="spellEnd"/>
      <w:r w:rsidRPr="00910C60">
        <w:rPr>
          <w:rFonts w:ascii="Times New Roman" w:eastAsia="Times New Roman" w:hAnsi="Times New Roman" w:cs="Times New Roman"/>
          <w:lang w:eastAsia="el-GR"/>
        </w:rPr>
        <w:t xml:space="preserve"> μπορεί να επηρεάσει λανθάνουσα ή εμφανή νόσο κατά τρόπο αντιληπτό (βλ. Παράγραφο 4.4), η χρονική στιγμή για τις εξετάσεις ελέγχου θα πρέπει να προσδιοριστεί αναλόγως.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Παρά το γεγονός ότι 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λαμβάνεται τακτικά, μπορεί να εμφανιστούν αιμορραγικές διαταραχές. Εάν η αιμορραγία είναι πολύ συχνή και ακανόνιστη, θα πρέπει να εξεταστεί μια άλλη αντισυλληπτική μέθοδος. Εάν τα συμπτώματα επιμένουν, θα πρέπει να αποκλειστεί οργανική αιτία.</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Η διαχείριση της αμηνόρροιας κατά τη διάρκεια της αγωγής εξαρτάται από το εάν τα δισκία έχουν ληφθεί ή όχι σύμφωνα με τις οδηγίες και μπορεί να περιλαμβάνει δοκιμασία κύησης.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Η αγωγή θα πρέπει να τερματιστεί εάν υπάρξει κύηση.</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Οι γυναίκες θα πρέπει να ενημερώνονται ότι 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δεν προστατεύει από τον </w:t>
      </w:r>
      <w:r w:rsidRPr="00910C60">
        <w:rPr>
          <w:rFonts w:ascii="Times New Roman" w:eastAsia="Times New Roman" w:hAnsi="Times New Roman" w:cs="Times New Roman"/>
          <w:lang w:val="en-US" w:eastAsia="el-GR"/>
        </w:rPr>
        <w:t>HIV</w:t>
      </w:r>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lang w:val="en-US" w:eastAsia="el-GR"/>
        </w:rPr>
        <w:t>AIDS</w:t>
      </w:r>
      <w:r w:rsidRPr="00910C60">
        <w:rPr>
          <w:rFonts w:ascii="Times New Roman" w:eastAsia="Times New Roman" w:hAnsi="Times New Roman" w:cs="Times New Roman"/>
          <w:lang w:eastAsia="el-GR"/>
        </w:rPr>
        <w:t>) και από άλλες σεξουαλικά μεταδιδόμενες νόσους.</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tabs>
          <w:tab w:val="left" w:pos="567"/>
        </w:tab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4.3</w:t>
      </w:r>
      <w:r w:rsidRPr="00910C60">
        <w:rPr>
          <w:rFonts w:ascii="Times New Roman" w:eastAsia="Times New Roman" w:hAnsi="Times New Roman" w:cs="Times New Roman"/>
          <w:b/>
          <w:lang w:eastAsia="el-GR"/>
        </w:rPr>
        <w:tab/>
        <w:t>Αντενδείξεις</w:t>
      </w:r>
    </w:p>
    <w:p w:rsidR="00910C60" w:rsidRPr="00910C60" w:rsidRDefault="00910C60" w:rsidP="00910C60">
      <w:pPr>
        <w:keepNext/>
        <w:keepLines/>
        <w:spacing w:after="0" w:line="240" w:lineRule="auto"/>
        <w:rPr>
          <w:rFonts w:ascii="Times New Roman" w:eastAsia="Times New Roman" w:hAnsi="Times New Roman" w:cs="Times New Roman"/>
          <w:b/>
          <w:lang w:eastAsia="el-GR"/>
        </w:rPr>
      </w:pPr>
    </w:p>
    <w:p w:rsidR="00910C60" w:rsidRPr="00910C60" w:rsidRDefault="00910C60" w:rsidP="00910C60">
      <w:pPr>
        <w:numPr>
          <w:ilvl w:val="0"/>
          <w:numId w:val="23"/>
        </w:numPr>
        <w:spacing w:after="0" w:line="240" w:lineRule="auto"/>
        <w:ind w:left="567" w:hanging="567"/>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Ενεργή διαταραχή φλεβικής </w:t>
      </w:r>
      <w:proofErr w:type="spellStart"/>
      <w:r w:rsidRPr="00910C60">
        <w:rPr>
          <w:rFonts w:ascii="Times New Roman" w:eastAsia="Times New Roman" w:hAnsi="Times New Roman" w:cs="Times New Roman"/>
          <w:lang w:eastAsia="el-GR"/>
        </w:rPr>
        <w:t>θρομβοεμβολής</w:t>
      </w:r>
      <w:proofErr w:type="spellEnd"/>
      <w:r w:rsidRPr="00910C60">
        <w:rPr>
          <w:rFonts w:ascii="Times New Roman" w:eastAsia="Times New Roman" w:hAnsi="Times New Roman" w:cs="Times New Roman"/>
          <w:lang w:eastAsia="el-GR"/>
        </w:rPr>
        <w:t>.</w:t>
      </w:r>
    </w:p>
    <w:p w:rsidR="00910C60" w:rsidRPr="00910C60" w:rsidRDefault="00910C60" w:rsidP="00910C60">
      <w:pPr>
        <w:numPr>
          <w:ilvl w:val="0"/>
          <w:numId w:val="23"/>
        </w:numPr>
        <w:spacing w:after="0" w:line="240" w:lineRule="auto"/>
        <w:ind w:left="567" w:hanging="567"/>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Παρουσία ή ιστορικό σοβαρής ηπατικής νόσου, εφόσον οι τιμές ηπατικής λειτουργίας δεν έχουν επιστρέψει σε φυσιολογικά επίπεδα.</w:t>
      </w:r>
    </w:p>
    <w:p w:rsidR="00910C60" w:rsidRPr="00910C60" w:rsidRDefault="00910C60" w:rsidP="00910C60">
      <w:pPr>
        <w:numPr>
          <w:ilvl w:val="0"/>
          <w:numId w:val="23"/>
        </w:numPr>
        <w:spacing w:after="0" w:line="240" w:lineRule="auto"/>
        <w:ind w:left="567" w:hanging="567"/>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Γνωστές ή πιθανολογούμενες κακοήθειες, ευαίσθητες σε στεροειδή του φύλου.</w:t>
      </w:r>
    </w:p>
    <w:p w:rsidR="00910C60" w:rsidRPr="00910C60" w:rsidRDefault="00910C60" w:rsidP="00910C60">
      <w:pPr>
        <w:numPr>
          <w:ilvl w:val="0"/>
          <w:numId w:val="23"/>
        </w:numPr>
        <w:spacing w:after="0" w:line="240" w:lineRule="auto"/>
        <w:ind w:left="567" w:hanging="567"/>
        <w:rPr>
          <w:rFonts w:ascii="Times New Roman" w:eastAsia="Times New Roman" w:hAnsi="Times New Roman" w:cs="Times New Roman"/>
          <w:lang w:eastAsia="el-GR"/>
        </w:rPr>
      </w:pPr>
      <w:r w:rsidRPr="00910C60">
        <w:rPr>
          <w:rFonts w:ascii="Times New Roman" w:eastAsia="Times New Roman" w:hAnsi="Times New Roman" w:cs="Times New Roman"/>
          <w:bCs/>
          <w:lang w:eastAsia="el-GR"/>
        </w:rPr>
        <w:t xml:space="preserve">Μη διαγνωσμένη </w:t>
      </w:r>
      <w:r w:rsidRPr="00910C60">
        <w:rPr>
          <w:rFonts w:ascii="Times New Roman" w:eastAsia="Times New Roman" w:hAnsi="Times New Roman" w:cs="Times New Roman"/>
          <w:lang w:eastAsia="el-GR"/>
        </w:rPr>
        <w:t>κολπική αιμορραγία.</w:t>
      </w:r>
    </w:p>
    <w:p w:rsidR="00910C60" w:rsidRPr="00910C60" w:rsidRDefault="00910C60" w:rsidP="00910C60">
      <w:pPr>
        <w:numPr>
          <w:ilvl w:val="0"/>
          <w:numId w:val="23"/>
        </w:numPr>
        <w:spacing w:after="0" w:line="240" w:lineRule="auto"/>
        <w:ind w:left="567" w:hanging="567"/>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Υπερευαισθησία στη δραστική ουσία ή σε κάποιο από τα έκδοχα που αναφέρονται στην παράγραφο</w:t>
      </w:r>
      <w:r w:rsidRPr="00910C60">
        <w:rPr>
          <w:rFonts w:ascii="Times New Roman" w:eastAsia="Times New Roman" w:hAnsi="Times New Roman" w:cs="Times New Roman"/>
          <w:color w:val="7F007F"/>
          <w:position w:val="-1"/>
          <w:lang w:eastAsia="el-GR"/>
        </w:rPr>
        <w:t> </w:t>
      </w:r>
      <w:r w:rsidRPr="00910C60">
        <w:rPr>
          <w:rFonts w:ascii="Times New Roman" w:eastAsia="Times New Roman" w:hAnsi="Times New Roman" w:cs="Times New Roman"/>
          <w:color w:val="7F007F"/>
          <w:spacing w:val="-1"/>
          <w:position w:val="-1"/>
          <w:lang w:eastAsia="el-GR"/>
        </w:rPr>
        <w:t>6</w:t>
      </w:r>
      <w:r w:rsidRPr="00910C60">
        <w:rPr>
          <w:rFonts w:ascii="Times New Roman" w:eastAsia="Times New Roman" w:hAnsi="Times New Roman" w:cs="Times New Roman"/>
          <w:color w:val="7F007F"/>
          <w:spacing w:val="1"/>
          <w:position w:val="-1"/>
          <w:lang w:eastAsia="el-GR"/>
        </w:rPr>
        <w:t>.</w:t>
      </w:r>
      <w:r w:rsidRPr="00910C60">
        <w:rPr>
          <w:rFonts w:ascii="Times New Roman" w:eastAsia="Times New Roman" w:hAnsi="Times New Roman" w:cs="Times New Roman"/>
          <w:color w:val="7F007F"/>
          <w:spacing w:val="-2"/>
          <w:position w:val="-1"/>
          <w:lang w:eastAsia="el-GR"/>
        </w:rPr>
        <w:t>1</w:t>
      </w:r>
      <w:r w:rsidRPr="00910C60">
        <w:rPr>
          <w:rFonts w:ascii="Times New Roman" w:eastAsia="Times New Roman" w:hAnsi="Times New Roman" w:cs="Times New Roman"/>
          <w:color w:val="000000"/>
          <w:position w:val="-1"/>
          <w:sz w:val="24"/>
          <w:lang w:eastAsia="el-GR"/>
        </w:rPr>
        <w:t>.</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4.4</w:t>
      </w:r>
      <w:r w:rsidRPr="00910C60">
        <w:rPr>
          <w:rFonts w:ascii="Times New Roman" w:eastAsia="Times New Roman" w:hAnsi="Times New Roman" w:cs="Times New Roman"/>
          <w:b/>
          <w:lang w:eastAsia="el-GR"/>
        </w:rPr>
        <w:tab/>
        <w:t>Ειδικές προειδοποιήσεις και προφυλάξεις κατά τη χρήση</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Εάν υπάρχει οποιαδήποτε από τις καταστάσεις/παράγοντες κινδύνου που αναφέρονται παρακάτω, τα οφέλη της χρήσης </w:t>
      </w:r>
      <w:proofErr w:type="spellStart"/>
      <w:r w:rsidRPr="00910C60">
        <w:rPr>
          <w:rFonts w:ascii="Times New Roman" w:eastAsia="Times New Roman" w:hAnsi="Times New Roman" w:cs="Times New Roman"/>
          <w:lang w:eastAsia="el-GR"/>
        </w:rPr>
        <w:t>προγεσταγόνου</w:t>
      </w:r>
      <w:proofErr w:type="spellEnd"/>
      <w:r w:rsidRPr="00910C60">
        <w:rPr>
          <w:rFonts w:ascii="Times New Roman" w:eastAsia="Times New Roman" w:hAnsi="Times New Roman" w:cs="Times New Roman"/>
          <w:lang w:eastAsia="el-GR"/>
        </w:rPr>
        <w:t xml:space="preserve"> θα πρέπει να σταθμίζονται έναντι των πιθανών κινδύνων για κάθε γυναίκα ατομικά και να συζητούνται με τη γυναίκα, πριν αυτή αποφασίσει να ξεκινήσει 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Σε περίπτωση επιδείνωσης, παρόξυνσης ή πρώτης εμφάνισης οποιασδήποτε από τις καταστάσεις αυτές, η γυναίκα θα πρέπει να επικοινωνήσει με τον γιατρό της. Ο γιατρός θα πρέπει τότε να αποφασίσει για το εάν θα πρέπει να διακοπεί η χρήση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Ο κίνδυνος καρκίνου του μαστού αυξάνεται γενικώς με την αύξηση της ηλικίας. Κατά τη διάρκεια χρήσης συνδυασμένων από του στόματος αντισυλληπτικών (ΣΣΑ), ο κίνδυνος διάγνωσης καρκίνου του μαστού</w:t>
      </w:r>
      <w:r w:rsidRPr="00910C60">
        <w:rPr>
          <w:rFonts w:ascii="Times New Roman" w:eastAsia="Times New Roman" w:hAnsi="Times New Roman" w:cs="Times New Roman"/>
          <w:sz w:val="24"/>
          <w:szCs w:val="24"/>
          <w:lang w:eastAsia="el-GR"/>
        </w:rPr>
        <w:t xml:space="preserve"> </w:t>
      </w:r>
      <w:r w:rsidRPr="00910C60">
        <w:rPr>
          <w:rFonts w:ascii="Times New Roman" w:eastAsia="Times New Roman" w:hAnsi="Times New Roman" w:cs="Times New Roman"/>
          <w:lang w:eastAsia="el-GR"/>
        </w:rPr>
        <w:t xml:space="preserve">είναι ελαφρά αυξημένος. Ο αυξημένος αυτός κίνδυνος εκλείπει βαθμιαία εντός 10 ετών από τη διακοπή της χρήσης ΣΣΑ και δεν σχετίζεται με τη διάρκεια χρήσης, αλλά με την ηλικία της γυναίκας όταν χρησιμοποιούσε ΣΣΑ. O αναμενόμενος αριθμός περιστατικών διάγνωσης καρκίνου ανά 10.000 γυναίκες που χρησιμοποιούν ΣΣΑ (έως 10 έτη μετά τον τερματισμό τους) σε σχέση με γυναίκες που δεν χρησιμοποίησαν ποτέ ΣΣΑ κατά την ίδια χρονική περίοδο, έχει υπολογιστεί για τις αντίστοιχες ηλικιακές ομάδες και παρουσιάζεται στον παρακάτω πίνακα.  </w:t>
      </w:r>
    </w:p>
    <w:p w:rsidR="00910C60" w:rsidRPr="00910C60" w:rsidRDefault="00910C60" w:rsidP="00910C60">
      <w:pPr>
        <w:spacing w:after="0" w:line="240" w:lineRule="auto"/>
        <w:rPr>
          <w:rFonts w:ascii="Times New Roman" w:eastAsia="Times New Roman" w:hAnsi="Times New Roman" w:cs="Times New Roman"/>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2834"/>
      </w:tblGrid>
      <w:tr w:rsidR="00910C60" w:rsidRPr="00910C60" w:rsidTr="006C51EF">
        <w:tc>
          <w:tcPr>
            <w:tcW w:w="2628" w:type="dxa"/>
            <w:tcBorders>
              <w:top w:val="nil"/>
              <w:left w:val="nil"/>
              <w:bottom w:val="single" w:sz="4" w:space="0" w:color="auto"/>
              <w:right w:val="nil"/>
            </w:tcBorders>
            <w:shd w:val="clear" w:color="auto" w:fill="auto"/>
          </w:tcPr>
          <w:p w:rsidR="00910C60" w:rsidRPr="00910C60" w:rsidRDefault="00910C60" w:rsidP="00910C60">
            <w:pPr>
              <w:keepNext/>
              <w:keepLines/>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lastRenderedPageBreak/>
              <w:t>ηλικιακή ομάδα</w:t>
            </w:r>
          </w:p>
        </w:tc>
        <w:tc>
          <w:tcPr>
            <w:tcW w:w="3060" w:type="dxa"/>
            <w:tcBorders>
              <w:top w:val="nil"/>
              <w:left w:val="nil"/>
              <w:bottom w:val="single" w:sz="4" w:space="0" w:color="auto"/>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αναμενόμενα περιστατικά</w:t>
            </w:r>
          </w:p>
          <w:p w:rsidR="00910C60" w:rsidRPr="00910C60" w:rsidRDefault="00910C60" w:rsidP="00910C60">
            <w:pPr>
              <w:spacing w:after="0" w:line="240" w:lineRule="auto"/>
              <w:jc w:val="center"/>
              <w:rPr>
                <w:rFonts w:ascii="Times New Roman" w:eastAsia="Times New Roman" w:hAnsi="Times New Roman" w:cs="Times New Roman"/>
                <w:b/>
                <w:lang w:eastAsia="el-GR"/>
              </w:rPr>
            </w:pPr>
            <w:r w:rsidRPr="00910C60">
              <w:rPr>
                <w:rFonts w:ascii="Times New Roman" w:eastAsia="Times New Roman" w:hAnsi="Times New Roman" w:cs="Times New Roman"/>
                <w:lang w:eastAsia="el-GR"/>
              </w:rPr>
              <w:t>Γυναίκες-χρήστες</w:t>
            </w:r>
            <w:r w:rsidRPr="00910C60">
              <w:rPr>
                <w:rFonts w:ascii="Times New Roman" w:eastAsia="Times New Roman" w:hAnsi="Times New Roman" w:cs="Times New Roman"/>
                <w:b/>
                <w:lang w:eastAsia="el-GR"/>
              </w:rPr>
              <w:t xml:space="preserve"> </w:t>
            </w:r>
            <w:r w:rsidRPr="00910C60">
              <w:rPr>
                <w:rFonts w:ascii="Times New Roman" w:eastAsia="Times New Roman" w:hAnsi="Times New Roman" w:cs="Times New Roman"/>
                <w:lang w:eastAsia="el-GR"/>
              </w:rPr>
              <w:t>ΣΣΑ</w:t>
            </w:r>
          </w:p>
        </w:tc>
        <w:tc>
          <w:tcPr>
            <w:tcW w:w="2834" w:type="dxa"/>
            <w:tcBorders>
              <w:top w:val="nil"/>
              <w:left w:val="nil"/>
              <w:bottom w:val="single" w:sz="4" w:space="0" w:color="auto"/>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αναμενόμενα περιστατικά</w:t>
            </w:r>
          </w:p>
          <w:p w:rsidR="00910C60" w:rsidRPr="00910C60" w:rsidRDefault="00910C60" w:rsidP="00910C60">
            <w:pPr>
              <w:spacing w:after="0" w:line="240" w:lineRule="auto"/>
              <w:jc w:val="center"/>
              <w:rPr>
                <w:rFonts w:ascii="Times New Roman" w:eastAsia="Times New Roman" w:hAnsi="Times New Roman" w:cs="Times New Roman"/>
                <w:b/>
                <w:lang w:eastAsia="el-GR"/>
              </w:rPr>
            </w:pPr>
            <w:r w:rsidRPr="00910C60">
              <w:rPr>
                <w:rFonts w:ascii="Times New Roman" w:eastAsia="Times New Roman" w:hAnsi="Times New Roman" w:cs="Times New Roman"/>
                <w:lang w:eastAsia="el-GR"/>
              </w:rPr>
              <w:t>Γυναίκες-μη χρήστες</w:t>
            </w:r>
          </w:p>
        </w:tc>
      </w:tr>
      <w:tr w:rsidR="00910C60" w:rsidRPr="00910C60" w:rsidTr="006C51EF">
        <w:tc>
          <w:tcPr>
            <w:tcW w:w="2628" w:type="dxa"/>
            <w:tcBorders>
              <w:top w:val="single" w:sz="4" w:space="0" w:color="auto"/>
              <w:left w:val="nil"/>
              <w:bottom w:val="nil"/>
              <w:right w:val="nil"/>
            </w:tcBorders>
            <w:shd w:val="clear" w:color="auto" w:fill="auto"/>
          </w:tcPr>
          <w:p w:rsidR="00910C60" w:rsidRPr="00910C60" w:rsidRDefault="00910C60" w:rsidP="00910C60">
            <w:pPr>
              <w:keepNext/>
              <w:keepLines/>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16-19 ετών</w:t>
            </w:r>
          </w:p>
        </w:tc>
        <w:tc>
          <w:tcPr>
            <w:tcW w:w="3060" w:type="dxa"/>
            <w:tcBorders>
              <w:top w:val="single" w:sz="4" w:space="0" w:color="auto"/>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4,5</w:t>
            </w:r>
          </w:p>
        </w:tc>
        <w:tc>
          <w:tcPr>
            <w:tcW w:w="2834" w:type="dxa"/>
            <w:tcBorders>
              <w:top w:val="single" w:sz="4" w:space="0" w:color="auto"/>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4</w:t>
            </w:r>
          </w:p>
        </w:tc>
      </w:tr>
      <w:tr w:rsidR="00910C60" w:rsidRPr="00910C60" w:rsidTr="006C51EF">
        <w:tc>
          <w:tcPr>
            <w:tcW w:w="2628" w:type="dxa"/>
            <w:tcBorders>
              <w:top w:val="nil"/>
              <w:left w:val="nil"/>
              <w:bottom w:val="nil"/>
              <w:right w:val="nil"/>
            </w:tcBorders>
            <w:shd w:val="clear" w:color="auto" w:fill="auto"/>
          </w:tcPr>
          <w:p w:rsidR="00910C60" w:rsidRPr="00910C60" w:rsidRDefault="00910C60" w:rsidP="00910C60">
            <w:pPr>
              <w:keepNext/>
              <w:keepLines/>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20-24 ετών</w:t>
            </w:r>
          </w:p>
        </w:tc>
        <w:tc>
          <w:tcPr>
            <w:tcW w:w="3060"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17,5</w:t>
            </w:r>
          </w:p>
        </w:tc>
        <w:tc>
          <w:tcPr>
            <w:tcW w:w="2834"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16</w:t>
            </w:r>
          </w:p>
        </w:tc>
      </w:tr>
      <w:tr w:rsidR="00910C60" w:rsidRPr="00910C60" w:rsidTr="006C51EF">
        <w:tc>
          <w:tcPr>
            <w:tcW w:w="2628" w:type="dxa"/>
            <w:tcBorders>
              <w:top w:val="nil"/>
              <w:left w:val="nil"/>
              <w:bottom w:val="nil"/>
              <w:right w:val="nil"/>
            </w:tcBorders>
            <w:shd w:val="clear" w:color="auto" w:fill="auto"/>
          </w:tcPr>
          <w:p w:rsidR="00910C60" w:rsidRPr="00910C60" w:rsidRDefault="00910C60" w:rsidP="00910C60">
            <w:pPr>
              <w:keepNext/>
              <w:keepLines/>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25-29 ετών</w:t>
            </w:r>
          </w:p>
        </w:tc>
        <w:tc>
          <w:tcPr>
            <w:tcW w:w="3060"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48,7</w:t>
            </w:r>
          </w:p>
        </w:tc>
        <w:tc>
          <w:tcPr>
            <w:tcW w:w="2834"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44</w:t>
            </w:r>
          </w:p>
        </w:tc>
      </w:tr>
      <w:tr w:rsidR="00910C60" w:rsidRPr="00910C60" w:rsidTr="006C51EF">
        <w:tc>
          <w:tcPr>
            <w:tcW w:w="2628" w:type="dxa"/>
            <w:tcBorders>
              <w:top w:val="nil"/>
              <w:left w:val="nil"/>
              <w:bottom w:val="nil"/>
              <w:right w:val="nil"/>
            </w:tcBorders>
            <w:shd w:val="clear" w:color="auto" w:fill="auto"/>
          </w:tcPr>
          <w:p w:rsidR="00910C60" w:rsidRPr="00910C60" w:rsidRDefault="00910C60" w:rsidP="00910C60">
            <w:pPr>
              <w:keepNext/>
              <w:keepLines/>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30-34 ετών</w:t>
            </w:r>
          </w:p>
        </w:tc>
        <w:tc>
          <w:tcPr>
            <w:tcW w:w="3060"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110</w:t>
            </w:r>
          </w:p>
        </w:tc>
        <w:tc>
          <w:tcPr>
            <w:tcW w:w="2834"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100</w:t>
            </w:r>
          </w:p>
        </w:tc>
      </w:tr>
      <w:tr w:rsidR="00910C60" w:rsidRPr="00910C60" w:rsidTr="006C51EF">
        <w:tc>
          <w:tcPr>
            <w:tcW w:w="2628" w:type="dxa"/>
            <w:tcBorders>
              <w:top w:val="nil"/>
              <w:left w:val="nil"/>
              <w:bottom w:val="nil"/>
              <w:right w:val="nil"/>
            </w:tcBorders>
            <w:shd w:val="clear" w:color="auto" w:fill="auto"/>
          </w:tcPr>
          <w:p w:rsidR="00910C60" w:rsidRPr="00910C60" w:rsidRDefault="00910C60" w:rsidP="00910C60">
            <w:pPr>
              <w:keepNext/>
              <w:keepLines/>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35-39 ετών</w:t>
            </w:r>
          </w:p>
        </w:tc>
        <w:tc>
          <w:tcPr>
            <w:tcW w:w="3060"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180</w:t>
            </w:r>
          </w:p>
        </w:tc>
        <w:tc>
          <w:tcPr>
            <w:tcW w:w="2834"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160</w:t>
            </w:r>
          </w:p>
        </w:tc>
      </w:tr>
      <w:tr w:rsidR="00910C60" w:rsidRPr="00910C60" w:rsidTr="006C51EF">
        <w:tc>
          <w:tcPr>
            <w:tcW w:w="2628" w:type="dxa"/>
            <w:tcBorders>
              <w:top w:val="nil"/>
              <w:left w:val="nil"/>
              <w:bottom w:val="nil"/>
              <w:right w:val="nil"/>
            </w:tcBorders>
            <w:shd w:val="clear" w:color="auto" w:fill="auto"/>
          </w:tcPr>
          <w:p w:rsidR="00910C60" w:rsidRPr="00910C60" w:rsidRDefault="00910C60" w:rsidP="00910C60">
            <w:pPr>
              <w:keepNext/>
              <w:keepLines/>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40-44 ετών</w:t>
            </w:r>
          </w:p>
        </w:tc>
        <w:tc>
          <w:tcPr>
            <w:tcW w:w="3060"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260</w:t>
            </w:r>
          </w:p>
        </w:tc>
        <w:tc>
          <w:tcPr>
            <w:tcW w:w="2834" w:type="dxa"/>
            <w:tcBorders>
              <w:top w:val="nil"/>
              <w:left w:val="nil"/>
              <w:bottom w:val="nil"/>
              <w:right w:val="nil"/>
            </w:tcBorders>
            <w:shd w:val="clear" w:color="auto" w:fill="auto"/>
          </w:tcPr>
          <w:p w:rsidR="00910C60" w:rsidRPr="00910C60" w:rsidRDefault="00910C60" w:rsidP="00910C60">
            <w:pPr>
              <w:spacing w:after="0" w:line="240" w:lineRule="auto"/>
              <w:jc w:val="center"/>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230</w:t>
            </w:r>
          </w:p>
        </w:tc>
      </w:tr>
    </w:tbl>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Ο κίνδυνος σε γυναίκες-χρήστες αντισυλληπτικών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(ΑΜΠ) όπως 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είναι πιθανόν παρόμοιου μεγέθους με εκείνον που σχετίζεται με τα ΣΣΑ. Ωστόσο, για τα ΑΜΠ οι αποδείξεις είναι λιγότερο αδιαμφισβήτητες. Σε σύγκριση με τον κίνδυνο εμφάνισης καρκίνου του μαστού σε οποιαδήποτε χρονική στιγμή στη ζωή μιας γυναίκας, ο αυξημένος κίνδυνος που σχετίζεται με τα ΣΣΑ είναι χαμηλός. Τα περιστατικά καρκίνου του μαστού που διαγνώστηκαν σε </w:t>
      </w:r>
      <w:proofErr w:type="spellStart"/>
      <w:r w:rsidRPr="00910C60">
        <w:rPr>
          <w:rFonts w:ascii="Times New Roman" w:eastAsia="Times New Roman" w:hAnsi="Times New Roman" w:cs="Times New Roman"/>
          <w:lang w:eastAsia="el-GR"/>
        </w:rPr>
        <w:t>γυναίκες</w:t>
      </w:r>
      <w:r w:rsidRPr="00910C60">
        <w:rPr>
          <w:rFonts w:ascii="Times New Roman" w:eastAsia="Times New Roman" w:hAnsi="Times New Roman" w:cs="Times New Roman"/>
          <w:lang w:eastAsia="el-GR"/>
        </w:rPr>
        <w:noBreakHyphen/>
        <w:t>χρήστες</w:t>
      </w:r>
      <w:proofErr w:type="spellEnd"/>
      <w:r w:rsidRPr="00910C60">
        <w:rPr>
          <w:rFonts w:ascii="Times New Roman" w:eastAsia="Times New Roman" w:hAnsi="Times New Roman" w:cs="Times New Roman"/>
          <w:lang w:eastAsia="el-GR"/>
        </w:rPr>
        <w:t xml:space="preserve"> ΣΣΑ, τείνουν να είναι λιγότερο προχωρημένα από εκείνα σε </w:t>
      </w:r>
      <w:proofErr w:type="spellStart"/>
      <w:r w:rsidRPr="00910C60">
        <w:rPr>
          <w:rFonts w:ascii="Times New Roman" w:eastAsia="Times New Roman" w:hAnsi="Times New Roman" w:cs="Times New Roman"/>
          <w:lang w:eastAsia="el-GR"/>
        </w:rPr>
        <w:t>γυναίκες</w:t>
      </w:r>
      <w:r w:rsidRPr="00910C60">
        <w:rPr>
          <w:rFonts w:ascii="Times New Roman" w:eastAsia="Times New Roman" w:hAnsi="Times New Roman" w:cs="Times New Roman"/>
          <w:lang w:eastAsia="el-GR"/>
        </w:rPr>
        <w:noBreakHyphen/>
        <w:t>μη</w:t>
      </w:r>
      <w:proofErr w:type="spellEnd"/>
      <w:r w:rsidRPr="00910C60">
        <w:rPr>
          <w:rFonts w:ascii="Times New Roman" w:eastAsia="Times New Roman" w:hAnsi="Times New Roman" w:cs="Times New Roman"/>
          <w:lang w:eastAsia="el-GR"/>
        </w:rPr>
        <w:t xml:space="preserve"> χρήστες ΣΣΑ. Ο αυξημένος κίνδυνος που παρατηρείται σε </w:t>
      </w:r>
      <w:proofErr w:type="spellStart"/>
      <w:r w:rsidRPr="00910C60">
        <w:rPr>
          <w:rFonts w:ascii="Times New Roman" w:eastAsia="Times New Roman" w:hAnsi="Times New Roman" w:cs="Times New Roman"/>
          <w:lang w:eastAsia="el-GR"/>
        </w:rPr>
        <w:t>γυναίκες</w:t>
      </w:r>
      <w:r w:rsidRPr="00910C60">
        <w:rPr>
          <w:rFonts w:ascii="Times New Roman" w:eastAsia="Times New Roman" w:hAnsi="Times New Roman" w:cs="Times New Roman"/>
          <w:lang w:eastAsia="el-GR"/>
        </w:rPr>
        <w:noBreakHyphen/>
        <w:t>χρήστες</w:t>
      </w:r>
      <w:proofErr w:type="spellEnd"/>
      <w:r w:rsidRPr="00910C60">
        <w:rPr>
          <w:rFonts w:ascii="Times New Roman" w:eastAsia="Times New Roman" w:hAnsi="Times New Roman" w:cs="Times New Roman"/>
          <w:lang w:eastAsia="el-GR"/>
        </w:rPr>
        <w:t xml:space="preserve"> ΣΣΑ είναι πιθανό να οφείλεται σε διάγνωση</w:t>
      </w:r>
      <w:r w:rsidRPr="00910C60">
        <w:rPr>
          <w:rFonts w:ascii="Times New Roman" w:eastAsia="Times New Roman" w:hAnsi="Times New Roman" w:cs="Times New Roman"/>
          <w:sz w:val="24"/>
          <w:szCs w:val="24"/>
          <w:lang w:eastAsia="el-GR"/>
        </w:rPr>
        <w:t xml:space="preserve"> </w:t>
      </w:r>
      <w:r w:rsidRPr="00910C60">
        <w:rPr>
          <w:rFonts w:ascii="Times New Roman" w:eastAsia="Times New Roman" w:hAnsi="Times New Roman" w:cs="Times New Roman"/>
          <w:lang w:eastAsia="el-GR"/>
        </w:rPr>
        <w:t xml:space="preserve">που πραγματοποιήθηκε νωρίτερα, σε βιολογικές επιδράσεις του χαπιού ή σε συνδυασμό και των δύο.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Επειδή οι βιολογικές δράσεις των </w:t>
      </w:r>
      <w:proofErr w:type="spellStart"/>
      <w:r w:rsidRPr="00910C60">
        <w:rPr>
          <w:rFonts w:ascii="Times New Roman" w:eastAsia="Times New Roman" w:hAnsi="Times New Roman" w:cs="Times New Roman"/>
          <w:lang w:eastAsia="el-GR"/>
        </w:rPr>
        <w:t>προγεσταγόνων</w:t>
      </w:r>
      <w:proofErr w:type="spellEnd"/>
      <w:r w:rsidRPr="00910C60">
        <w:rPr>
          <w:rFonts w:ascii="Times New Roman" w:eastAsia="Times New Roman" w:hAnsi="Times New Roman" w:cs="Times New Roman"/>
          <w:lang w:eastAsia="el-GR"/>
        </w:rPr>
        <w:t xml:space="preserve"> στον καρκίνο του ήπατος δεν μπορούν να αποκλειστούν, θα πρέπει να πραγματοποιείται ατομική αξιολόγηση του λόγου οφέλους/κινδύνου σε γυναίκες με καρκίνο του ήπατος.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Όταν εμφανιστούν οξείες ή χρόνιες διαταραχές της ηπατικής λειτουργίας, η γυναίκα θα πρέπει να παραπέμπεται σε έναν ειδικό για εξέταση και παροχή συμβουλών.</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Επιδημιολογικές μελέτες έχουν συσχετίσει τη χρήση των ΣΣΑ με αυξημένη επίπτωση φλεβικής </w:t>
      </w:r>
      <w:proofErr w:type="spellStart"/>
      <w:r w:rsidRPr="00910C60">
        <w:rPr>
          <w:rFonts w:ascii="Times New Roman" w:eastAsia="Times New Roman" w:hAnsi="Times New Roman" w:cs="Times New Roman"/>
          <w:lang w:eastAsia="el-GR"/>
        </w:rPr>
        <w:t>θρομβοεμβολής</w:t>
      </w:r>
      <w:proofErr w:type="spellEnd"/>
      <w:r w:rsidRPr="00910C60">
        <w:rPr>
          <w:rFonts w:ascii="Times New Roman" w:eastAsia="Times New Roman" w:hAnsi="Times New Roman" w:cs="Times New Roman"/>
          <w:lang w:eastAsia="el-GR"/>
        </w:rPr>
        <w:t xml:space="preserve"> (ΦΘΕ, εν τω </w:t>
      </w:r>
      <w:proofErr w:type="spellStart"/>
      <w:r w:rsidRPr="00910C60">
        <w:rPr>
          <w:rFonts w:ascii="Times New Roman" w:eastAsia="Times New Roman" w:hAnsi="Times New Roman" w:cs="Times New Roman"/>
          <w:lang w:eastAsia="el-GR"/>
        </w:rPr>
        <w:t>βάθει</w:t>
      </w:r>
      <w:proofErr w:type="spellEnd"/>
      <w:r w:rsidRPr="00910C60">
        <w:rPr>
          <w:rFonts w:ascii="Times New Roman" w:eastAsia="Times New Roman" w:hAnsi="Times New Roman" w:cs="Times New Roman"/>
          <w:lang w:eastAsia="el-GR"/>
        </w:rPr>
        <w:t xml:space="preserve"> φλεβική θρόμβωση και πνευμονική εμβολή). Αν και η κλινική σημασία του ευρήματος αυτού για τη </w:t>
      </w:r>
      <w:proofErr w:type="spellStart"/>
      <w:r w:rsidRPr="00910C60">
        <w:rPr>
          <w:rFonts w:ascii="Times New Roman" w:eastAsia="Times New Roman" w:hAnsi="Times New Roman" w:cs="Times New Roman"/>
          <w:lang w:eastAsia="el-GR"/>
        </w:rPr>
        <w:t>δεσογεστρέλη</w:t>
      </w:r>
      <w:proofErr w:type="spellEnd"/>
      <w:r w:rsidRPr="00910C60">
        <w:rPr>
          <w:rFonts w:ascii="Times New Roman" w:eastAsia="Times New Roman" w:hAnsi="Times New Roman" w:cs="Times New Roman"/>
          <w:lang w:eastAsia="el-GR"/>
        </w:rPr>
        <w:t xml:space="preserve">, όταν χρησιμοποιείται ως αντισυλληπτικό απουσία </w:t>
      </w:r>
      <w:proofErr w:type="spellStart"/>
      <w:r w:rsidRPr="00910C60">
        <w:rPr>
          <w:rFonts w:ascii="Times New Roman" w:eastAsia="Times New Roman" w:hAnsi="Times New Roman" w:cs="Times New Roman"/>
          <w:lang w:eastAsia="el-GR"/>
        </w:rPr>
        <w:t>οιστρογονικού</w:t>
      </w:r>
      <w:proofErr w:type="spellEnd"/>
      <w:r w:rsidRPr="00910C60">
        <w:rPr>
          <w:rFonts w:ascii="Times New Roman" w:eastAsia="Times New Roman" w:hAnsi="Times New Roman" w:cs="Times New Roman"/>
          <w:lang w:eastAsia="el-GR"/>
        </w:rPr>
        <w:t xml:space="preserve"> συστατικού, είναι άγνωστη, 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θα πρέπει να διακόπτεται σε περίπτωση θρόμβωσης. Η διακοπή λήψης του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θα πρέπει επίσης να εξετάζεται σε περιπτώσεις μακροχρόνιας ακινησίας, εξαιτίας χειρουργικής επέμβασης ή νόσου. Γυναίκες με ιστορικό </w:t>
      </w:r>
      <w:proofErr w:type="spellStart"/>
      <w:r w:rsidRPr="00910C60">
        <w:rPr>
          <w:rFonts w:ascii="Times New Roman" w:eastAsia="Times New Roman" w:hAnsi="Times New Roman" w:cs="Times New Roman"/>
          <w:lang w:eastAsia="el-GR"/>
        </w:rPr>
        <w:t>θρομβοεμβολικών</w:t>
      </w:r>
      <w:proofErr w:type="spellEnd"/>
      <w:r w:rsidRPr="00910C60">
        <w:rPr>
          <w:rFonts w:ascii="Times New Roman" w:eastAsia="Times New Roman" w:hAnsi="Times New Roman" w:cs="Times New Roman"/>
          <w:lang w:eastAsia="el-GR"/>
        </w:rPr>
        <w:t xml:space="preserve"> διαταραχών θα πρέπει να ενημερώνονται για την πιθανότητα υποτροπής.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Αν και τα </w:t>
      </w:r>
      <w:proofErr w:type="spellStart"/>
      <w:r w:rsidRPr="00910C60">
        <w:rPr>
          <w:rFonts w:ascii="Times New Roman" w:eastAsia="Times New Roman" w:hAnsi="Times New Roman" w:cs="Times New Roman"/>
          <w:lang w:eastAsia="el-GR"/>
        </w:rPr>
        <w:t>προγεσταγόνα</w:t>
      </w:r>
      <w:proofErr w:type="spellEnd"/>
      <w:r w:rsidRPr="00910C60">
        <w:rPr>
          <w:rFonts w:ascii="Times New Roman" w:eastAsia="Times New Roman" w:hAnsi="Times New Roman" w:cs="Times New Roman"/>
          <w:lang w:eastAsia="el-GR"/>
        </w:rPr>
        <w:t xml:space="preserve"> μπορεί να επιδρούν στην περιφερειακή αντίσταση στην ινσουλίνη και στην ανοχή στη γλυκόζη, δεν υπάρχουν αποδείξεις ότι χρειάζεται αλλαγή στο θεραπευτικό σχήμα για τις γυναίκες με διαβήτη που χρησιμοποιούν χάπια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Ωστόσο, οι διαβητικοί ασθενείς θα πρέπει να παρακολουθούνται προσεκτικά κατά τους πρώτους μήνες χρήσης.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Εάν αναπτυχθεί παρατεταμένη υπέρταση κατά τη διάρκεια χρήσης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ή εάν μία σημαντική αύξηση στην αρτηριακή πίεση δεν ανταποκρίνεται επαρκώς σε </w:t>
      </w:r>
      <w:proofErr w:type="spellStart"/>
      <w:r w:rsidRPr="00910C60">
        <w:rPr>
          <w:rFonts w:ascii="Times New Roman" w:eastAsia="Times New Roman" w:hAnsi="Times New Roman" w:cs="Times New Roman"/>
          <w:lang w:eastAsia="el-GR"/>
        </w:rPr>
        <w:t>αντιυπερτασική</w:t>
      </w:r>
      <w:proofErr w:type="spellEnd"/>
      <w:r w:rsidRPr="00910C60">
        <w:rPr>
          <w:rFonts w:ascii="Times New Roman" w:eastAsia="Times New Roman" w:hAnsi="Times New Roman" w:cs="Times New Roman"/>
          <w:lang w:eastAsia="el-GR"/>
        </w:rPr>
        <w:t xml:space="preserve"> αγωγή, η διακοπή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θα πρέπει να εξετάζεται.</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αγωγή με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οδηγεί σε μειωμένα επίπεδα </w:t>
      </w:r>
      <w:proofErr w:type="spellStart"/>
      <w:r w:rsidRPr="00910C60">
        <w:rPr>
          <w:rFonts w:ascii="Times New Roman" w:eastAsia="Times New Roman" w:hAnsi="Times New Roman" w:cs="Times New Roman"/>
          <w:lang w:eastAsia="el-GR"/>
        </w:rPr>
        <w:t>οιστραδιόλης</w:t>
      </w:r>
      <w:proofErr w:type="spellEnd"/>
      <w:r w:rsidRPr="00910C60">
        <w:rPr>
          <w:rFonts w:ascii="Times New Roman" w:eastAsia="Times New Roman" w:hAnsi="Times New Roman" w:cs="Times New Roman"/>
          <w:lang w:eastAsia="el-GR"/>
        </w:rPr>
        <w:t xml:space="preserve"> στον ορό, που είναι παρόμοια με εκείνα της πρώιμης </w:t>
      </w:r>
      <w:proofErr w:type="spellStart"/>
      <w:r w:rsidRPr="00910C60">
        <w:rPr>
          <w:rFonts w:ascii="Times New Roman" w:eastAsia="Times New Roman" w:hAnsi="Times New Roman" w:cs="Times New Roman"/>
          <w:lang w:eastAsia="el-GR"/>
        </w:rPr>
        <w:t>ωοθυλακικής</w:t>
      </w:r>
      <w:proofErr w:type="spellEnd"/>
      <w:r w:rsidRPr="00910C60">
        <w:rPr>
          <w:rFonts w:ascii="Times New Roman" w:eastAsia="Times New Roman" w:hAnsi="Times New Roman" w:cs="Times New Roman"/>
          <w:lang w:eastAsia="el-GR"/>
        </w:rPr>
        <w:t xml:space="preserve"> φάσης. Παραμένει άγνωστο εάν αυτή η μείωση έχει κάποια κλινικά σημαντική επίδραση στην οστική πυκνότητα.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προστασία από τις εξωμήτριες κυήσεις, που προσφέρουν τα παραδοσιακά χάπια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δεν είναι τόσο καλή όσο εκείνη που προσφέρουν τα συνδυασμένα από του στόματος αντισυλληπτικά, γεγονός που έχει συσχετιστεί με τη συχνή εμφάνιση ωορρηξίας κατά τη διάρκεια χρήσης χαπιών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Παρά το γεγονός ότι 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αναστέλλει σταθερά την </w:t>
      </w:r>
      <w:proofErr w:type="spellStart"/>
      <w:r w:rsidRPr="00910C60">
        <w:rPr>
          <w:rFonts w:ascii="Times New Roman" w:eastAsia="Times New Roman" w:hAnsi="Times New Roman" w:cs="Times New Roman"/>
          <w:lang w:eastAsia="el-GR"/>
        </w:rPr>
        <w:t>ωοθυλακιορρηξία</w:t>
      </w:r>
      <w:proofErr w:type="spellEnd"/>
      <w:r w:rsidRPr="00910C60">
        <w:rPr>
          <w:rFonts w:ascii="Times New Roman" w:eastAsia="Times New Roman" w:hAnsi="Times New Roman" w:cs="Times New Roman"/>
          <w:lang w:eastAsia="el-GR"/>
        </w:rPr>
        <w:t xml:space="preserve">, η πιθανότητα εξωμήτριας κύησης θα πρέπει να </w:t>
      </w:r>
      <w:r w:rsidRPr="00910C60">
        <w:rPr>
          <w:rFonts w:ascii="Times New Roman" w:eastAsia="Times New Roman" w:hAnsi="Times New Roman" w:cs="Times New Roman"/>
          <w:lang w:eastAsia="el-GR"/>
        </w:rPr>
        <w:lastRenderedPageBreak/>
        <w:t>λαμβάνεται υπόψη σε περίπτωση διαφορικής διάγνωσης σε γυναίκες με αμηνόρροια ή κοιλιακό άλγος.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Χλόασμα μπορεί να εκδηλωθεί κατά περίπτωση, ιδιαίτερα σε γυναίκες με ιστορικό χλοάσματος κύησης. Γυναίκες με τάση για χλόασμα θα πρέπει να αποφεύγουν την έκθεση στον ήλιο ή στην υπεριώδη ακτινοβολία ενώ λαμβάνουν το </w:t>
      </w:r>
      <w:bookmarkStart w:id="1" w:name="OLE_LINK1"/>
      <w:proofErr w:type="spellStart"/>
      <w:r w:rsidRPr="00910C60">
        <w:rPr>
          <w:rFonts w:ascii="Times New Roman" w:eastAsia="Times New Roman" w:hAnsi="Times New Roman" w:cs="Times New Roman"/>
          <w:lang w:eastAsia="el-GR"/>
        </w:rPr>
        <w:t>Cerazette</w:t>
      </w:r>
      <w:bookmarkEnd w:id="1"/>
      <w:proofErr w:type="spellEnd"/>
      <w:r w:rsidRPr="00910C60">
        <w:rPr>
          <w:rFonts w:ascii="Times New Roman" w:eastAsia="Times New Roman" w:hAnsi="Times New Roman" w:cs="Times New Roman"/>
          <w:lang w:eastAsia="el-GR"/>
        </w:rPr>
        <w:t>.</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Οι ακόλουθες καταστάσεις έχουν αναφερθεί, τόσο κατά τη διάρκεια της κύησης όσο και κατά τη διάρκεια της χρήσης στεροειδών του φύλου, αλλά η συσχέτισή τους με τη χρήση </w:t>
      </w:r>
      <w:proofErr w:type="spellStart"/>
      <w:r w:rsidRPr="00910C60">
        <w:rPr>
          <w:rFonts w:ascii="Times New Roman" w:eastAsia="Times New Roman" w:hAnsi="Times New Roman" w:cs="Times New Roman"/>
          <w:lang w:eastAsia="el-GR"/>
        </w:rPr>
        <w:t>προγεσταγόνων</w:t>
      </w:r>
      <w:proofErr w:type="spellEnd"/>
      <w:r w:rsidRPr="00910C60">
        <w:rPr>
          <w:rFonts w:ascii="Times New Roman" w:eastAsia="Times New Roman" w:hAnsi="Times New Roman" w:cs="Times New Roman"/>
          <w:lang w:eastAsia="el-GR"/>
        </w:rPr>
        <w:t xml:space="preserve"> δεν έχει τεκμηριωθεί: ίκτερος και/ή κνησμός σχετιζόμενος με </w:t>
      </w:r>
      <w:proofErr w:type="spellStart"/>
      <w:r w:rsidRPr="00910C60">
        <w:rPr>
          <w:rFonts w:ascii="Times New Roman" w:eastAsia="Times New Roman" w:hAnsi="Times New Roman" w:cs="Times New Roman"/>
          <w:lang w:eastAsia="el-GR"/>
        </w:rPr>
        <w:t>χολόσταση</w:t>
      </w:r>
      <w:proofErr w:type="spellEnd"/>
      <w:r w:rsidRPr="00910C60">
        <w:rPr>
          <w:rFonts w:ascii="Times New Roman" w:eastAsia="Times New Roman" w:hAnsi="Times New Roman" w:cs="Times New Roman"/>
          <w:lang w:eastAsia="el-GR"/>
        </w:rPr>
        <w:t xml:space="preserve">, σχηματισμός χολόλιθων, </w:t>
      </w:r>
      <w:proofErr w:type="spellStart"/>
      <w:r w:rsidRPr="00910C60">
        <w:rPr>
          <w:rFonts w:ascii="Times New Roman" w:eastAsia="Times New Roman" w:hAnsi="Times New Roman" w:cs="Times New Roman"/>
          <w:lang w:eastAsia="el-GR"/>
        </w:rPr>
        <w:t>πορφυρία</w:t>
      </w:r>
      <w:proofErr w:type="spellEnd"/>
      <w:r w:rsidRPr="00910C60">
        <w:rPr>
          <w:rFonts w:ascii="Times New Roman" w:eastAsia="Times New Roman" w:hAnsi="Times New Roman" w:cs="Times New Roman"/>
          <w:lang w:eastAsia="el-GR"/>
        </w:rPr>
        <w:t xml:space="preserve">, συστηματικός </w:t>
      </w:r>
      <w:proofErr w:type="spellStart"/>
      <w:r w:rsidRPr="00910C60">
        <w:rPr>
          <w:rFonts w:ascii="Times New Roman" w:eastAsia="Times New Roman" w:hAnsi="Times New Roman" w:cs="Times New Roman"/>
          <w:lang w:eastAsia="el-GR"/>
        </w:rPr>
        <w:t>ερυθηματώδης</w:t>
      </w:r>
      <w:proofErr w:type="spellEnd"/>
      <w:r w:rsidRPr="00910C60">
        <w:rPr>
          <w:rFonts w:ascii="Times New Roman" w:eastAsia="Times New Roman" w:hAnsi="Times New Roman" w:cs="Times New Roman"/>
          <w:lang w:eastAsia="el-GR"/>
        </w:rPr>
        <w:t xml:space="preserve"> λύκος, αιμολυτικό ουραιμικό σύνδρομο, χορεία του </w:t>
      </w:r>
      <w:proofErr w:type="spellStart"/>
      <w:r w:rsidRPr="00910C60">
        <w:rPr>
          <w:rFonts w:ascii="Times New Roman" w:eastAsia="Times New Roman" w:hAnsi="Times New Roman" w:cs="Times New Roman"/>
          <w:lang w:val="en-US" w:eastAsia="el-GR"/>
        </w:rPr>
        <w:t>Syndenham</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έρπης</w:t>
      </w:r>
      <w:proofErr w:type="spellEnd"/>
      <w:r w:rsidRPr="00910C60">
        <w:rPr>
          <w:rFonts w:ascii="Times New Roman" w:eastAsia="Times New Roman" w:hAnsi="Times New Roman" w:cs="Times New Roman"/>
          <w:lang w:eastAsia="el-GR"/>
        </w:rPr>
        <w:t xml:space="preserve"> κατά την κύηση, απώλεια ακοής σχετιζόμενη με ωτοσκλήρυνση, (κληρονομικό) </w:t>
      </w:r>
      <w:proofErr w:type="spellStart"/>
      <w:r w:rsidRPr="00910C60">
        <w:rPr>
          <w:rFonts w:ascii="Times New Roman" w:eastAsia="Times New Roman" w:hAnsi="Times New Roman" w:cs="Times New Roman"/>
          <w:lang w:eastAsia="el-GR"/>
        </w:rPr>
        <w:t>αγγειοοίδημα</w:t>
      </w:r>
      <w:proofErr w:type="spellEnd"/>
      <w:r w:rsidRPr="00910C60">
        <w:rPr>
          <w:rFonts w:ascii="Times New Roman" w:eastAsia="Times New Roman" w:hAnsi="Times New Roman" w:cs="Times New Roman"/>
          <w:lang w:eastAsia="el-GR"/>
        </w:rPr>
        <w:t>.</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περιέχει λακτόζη και συνεπώς δεν θα πρέπει να χορηγείται σε ασθενείς με σπάνια κληρονομικά προβλήματα δυσανεξίας στη γαλακτόζη, ανεπάρκειας </w:t>
      </w:r>
      <w:r w:rsidRPr="00910C60">
        <w:rPr>
          <w:rFonts w:ascii="Times New Roman" w:eastAsia="Times New Roman" w:hAnsi="Times New Roman" w:cs="Times New Roman"/>
          <w:lang w:val="en-US" w:eastAsia="el-GR"/>
        </w:rPr>
        <w:t>Lapp</w:t>
      </w:r>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λακτάσης</w:t>
      </w:r>
      <w:proofErr w:type="spellEnd"/>
      <w:r w:rsidRPr="00910C60">
        <w:rPr>
          <w:rFonts w:ascii="Times New Roman" w:eastAsia="Times New Roman" w:hAnsi="Times New Roman" w:cs="Times New Roman"/>
          <w:lang w:eastAsia="el-GR"/>
        </w:rPr>
        <w:t xml:space="preserve"> ή </w:t>
      </w:r>
      <w:proofErr w:type="spellStart"/>
      <w:r w:rsidRPr="00910C60">
        <w:rPr>
          <w:rFonts w:ascii="Times New Roman" w:eastAsia="Times New Roman" w:hAnsi="Times New Roman" w:cs="Times New Roman"/>
          <w:lang w:eastAsia="el-GR"/>
        </w:rPr>
        <w:t>δυσαπορρόφησης</w:t>
      </w:r>
      <w:proofErr w:type="spellEnd"/>
      <w:r w:rsidRPr="00910C60">
        <w:rPr>
          <w:rFonts w:ascii="Times New Roman" w:eastAsia="Times New Roman" w:hAnsi="Times New Roman" w:cs="Times New Roman"/>
          <w:lang w:eastAsia="el-GR"/>
        </w:rPr>
        <w:t xml:space="preserve"> γλυκόζης-γαλακτόζης.</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4.5</w:t>
      </w:r>
      <w:r w:rsidRPr="00910C60">
        <w:rPr>
          <w:rFonts w:ascii="Times New Roman" w:eastAsia="Times New Roman" w:hAnsi="Times New Roman" w:cs="Times New Roman"/>
          <w:b/>
          <w:lang w:eastAsia="el-GR"/>
        </w:rPr>
        <w:tab/>
        <w:t>Αλληλεπιδράσεις με άλλα φαρμακευτικά προϊόντα και άλλες μορφές αλληλεπίδρασης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Αλληλεπιδράσεις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Αλληλεπιδράσεις μεταξύ ορμονικών αντισυλληπτικών και άλλων φαρμακευτικών προϊόντων μπορούν να οδηγήσουν σε αιμορραγία εκ διαφυγής και/ή αντισυλληπτική αποτυχία. Οι ακόλουθες αλληλεπιδράσεις έχουν αναφερθεί στη βιβλιογραφία (κυρίως με συνδυασμένα αντισυλληπτικά αλλά περιστασιακά και με αντισυλληπτικά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Ηπατικός μεταβολισμός: Αλληλεπιδράσεις μπορεί να υπάρξουν με φαρμακευτικά προϊόντα που επάγουν τα </w:t>
      </w:r>
      <w:proofErr w:type="spellStart"/>
      <w:r w:rsidRPr="00910C60">
        <w:rPr>
          <w:rFonts w:ascii="Times New Roman" w:eastAsia="Times New Roman" w:hAnsi="Times New Roman" w:cs="Times New Roman"/>
          <w:lang w:eastAsia="el-GR"/>
        </w:rPr>
        <w:t>μικροσωμιακά</w:t>
      </w:r>
      <w:proofErr w:type="spellEnd"/>
      <w:r w:rsidRPr="00910C60">
        <w:rPr>
          <w:rFonts w:ascii="Times New Roman" w:eastAsia="Times New Roman" w:hAnsi="Times New Roman" w:cs="Times New Roman"/>
          <w:lang w:eastAsia="el-GR"/>
        </w:rPr>
        <w:t xml:space="preserve"> ένζυμα, οι οποίες μπορεί να οδηγήσουν σε αυξημένη κάθαρση των ορμονών του φύλου (όπως με </w:t>
      </w:r>
      <w:proofErr w:type="spellStart"/>
      <w:r w:rsidRPr="00910C60">
        <w:rPr>
          <w:rFonts w:ascii="Times New Roman" w:eastAsia="Times New Roman" w:hAnsi="Times New Roman" w:cs="Times New Roman"/>
          <w:lang w:eastAsia="el-GR"/>
        </w:rPr>
        <w:t>υδαντοΐνες</w:t>
      </w:r>
      <w:proofErr w:type="spellEnd"/>
      <w:r w:rsidRPr="00910C60">
        <w:rPr>
          <w:rFonts w:ascii="Times New Roman" w:eastAsia="Times New Roman" w:hAnsi="Times New Roman" w:cs="Times New Roman"/>
          <w:lang w:eastAsia="el-GR"/>
        </w:rPr>
        <w:t xml:space="preserve"> (π.χ. </w:t>
      </w:r>
      <w:proofErr w:type="spellStart"/>
      <w:r w:rsidRPr="00910C60">
        <w:rPr>
          <w:rFonts w:ascii="Times New Roman" w:eastAsia="Times New Roman" w:hAnsi="Times New Roman" w:cs="Times New Roman"/>
          <w:lang w:eastAsia="el-GR"/>
        </w:rPr>
        <w:t>φαινυτοΐνη</w:t>
      </w:r>
      <w:proofErr w:type="spellEnd"/>
      <w:r w:rsidRPr="00910C60">
        <w:rPr>
          <w:rFonts w:ascii="Times New Roman" w:eastAsia="Times New Roman" w:hAnsi="Times New Roman" w:cs="Times New Roman"/>
          <w:lang w:eastAsia="el-GR"/>
        </w:rPr>
        <w:t xml:space="preserve">), βαρβιτουρικά (π.χ. </w:t>
      </w:r>
      <w:proofErr w:type="spellStart"/>
      <w:r w:rsidRPr="00910C60">
        <w:rPr>
          <w:rFonts w:ascii="Times New Roman" w:eastAsia="Times New Roman" w:hAnsi="Times New Roman" w:cs="Times New Roman"/>
          <w:lang w:eastAsia="el-GR"/>
        </w:rPr>
        <w:t>φαινοβαρβιτάλη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πριμιδόνη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καρβαμαζεπίνη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ριφαμπικίνη</w:t>
      </w:r>
      <w:proofErr w:type="spellEnd"/>
      <w:r w:rsidRPr="00910C60">
        <w:rPr>
          <w:rFonts w:ascii="Times New Roman" w:eastAsia="Times New Roman" w:hAnsi="Times New Roman" w:cs="Times New Roman"/>
          <w:lang w:eastAsia="el-GR"/>
        </w:rPr>
        <w:t xml:space="preserve"> και πιθανώς επίσης με </w:t>
      </w:r>
      <w:proofErr w:type="spellStart"/>
      <w:r w:rsidRPr="00910C60">
        <w:rPr>
          <w:rFonts w:ascii="Times New Roman" w:eastAsia="Times New Roman" w:hAnsi="Times New Roman" w:cs="Times New Roman"/>
          <w:lang w:eastAsia="el-GR"/>
        </w:rPr>
        <w:t>οξυκαρβαζεπίνη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τοπιραμάτη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ριφαμπουτίνη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φελμπαμάτη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ριτοναβίρη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νελφιναβίρη</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γκριζεοφουλβίνη</w:t>
      </w:r>
      <w:proofErr w:type="spellEnd"/>
      <w:r w:rsidRPr="00910C60">
        <w:rPr>
          <w:rFonts w:ascii="Times New Roman" w:eastAsia="Times New Roman" w:hAnsi="Times New Roman" w:cs="Times New Roman"/>
          <w:lang w:eastAsia="el-GR"/>
        </w:rPr>
        <w:t xml:space="preserve"> και προϊόντα που περιέχουν </w:t>
      </w:r>
      <w:r w:rsidRPr="00910C60">
        <w:rPr>
          <w:rFonts w:ascii="Times New Roman" w:eastAsia="Times New Roman" w:hAnsi="Times New Roman" w:cs="Times New Roman"/>
          <w:lang w:val="en-US" w:eastAsia="el-GR"/>
        </w:rPr>
        <w:t>St</w:t>
      </w:r>
      <w:r w:rsidRPr="00910C60">
        <w:rPr>
          <w:rFonts w:ascii="Times New Roman" w:eastAsia="Times New Roman" w:hAnsi="Times New Roman" w:cs="Times New Roman"/>
          <w:lang w:eastAsia="el-GR"/>
        </w:rPr>
        <w:t xml:space="preserve">. </w:t>
      </w:r>
      <w:proofErr w:type="gramStart"/>
      <w:r w:rsidRPr="00910C60">
        <w:rPr>
          <w:rFonts w:ascii="Times New Roman" w:eastAsia="Times New Roman" w:hAnsi="Times New Roman" w:cs="Times New Roman"/>
          <w:lang w:val="en-US" w:eastAsia="el-GR"/>
        </w:rPr>
        <w:t>John</w:t>
      </w:r>
      <w:r w:rsidRPr="00910C60">
        <w:rPr>
          <w:rFonts w:ascii="Times New Roman" w:eastAsia="Times New Roman" w:hAnsi="Times New Roman" w:cs="Times New Roman"/>
          <w:lang w:eastAsia="el-GR"/>
        </w:rPr>
        <w:t>’</w:t>
      </w:r>
      <w:r w:rsidRPr="00910C60">
        <w:rPr>
          <w:rFonts w:ascii="Times New Roman" w:eastAsia="Times New Roman" w:hAnsi="Times New Roman" w:cs="Times New Roman"/>
          <w:lang w:val="en-US" w:eastAsia="el-GR"/>
        </w:rPr>
        <w:t>s</w:t>
      </w:r>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lang w:val="en-US" w:eastAsia="el-GR"/>
        </w:rPr>
        <w:t>wort</w:t>
      </w:r>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i/>
          <w:lang w:eastAsia="el-GR"/>
        </w:rPr>
        <w:t>(</w:t>
      </w:r>
      <w:proofErr w:type="spellStart"/>
      <w:r w:rsidRPr="00910C60">
        <w:rPr>
          <w:rFonts w:ascii="Times New Roman" w:eastAsia="Times New Roman" w:hAnsi="Times New Roman" w:cs="Times New Roman"/>
          <w:i/>
          <w:lang w:val="en-US" w:eastAsia="el-GR"/>
        </w:rPr>
        <w:t>Hypericum</w:t>
      </w:r>
      <w:proofErr w:type="spellEnd"/>
      <w:r w:rsidRPr="00910C60">
        <w:rPr>
          <w:rFonts w:ascii="Times New Roman" w:eastAsia="Times New Roman" w:hAnsi="Times New Roman" w:cs="Times New Roman"/>
          <w:i/>
          <w:lang w:eastAsia="el-GR"/>
        </w:rPr>
        <w:t xml:space="preserve"> </w:t>
      </w:r>
      <w:proofErr w:type="spellStart"/>
      <w:r w:rsidRPr="00910C60">
        <w:rPr>
          <w:rFonts w:ascii="Times New Roman" w:eastAsia="Times New Roman" w:hAnsi="Times New Roman" w:cs="Times New Roman"/>
          <w:i/>
          <w:lang w:val="en-US" w:eastAsia="el-GR"/>
        </w:rPr>
        <w:t>perforatum</w:t>
      </w:r>
      <w:proofErr w:type="spellEnd"/>
      <w:r w:rsidRPr="00910C60">
        <w:rPr>
          <w:rFonts w:ascii="Times New Roman" w:eastAsia="Times New Roman" w:hAnsi="Times New Roman" w:cs="Times New Roman"/>
          <w:i/>
          <w:lang w:eastAsia="el-GR"/>
        </w:rPr>
        <w:t>)</w:t>
      </w:r>
      <w:r w:rsidRPr="00910C60">
        <w:rPr>
          <w:rFonts w:ascii="Times New Roman" w:eastAsia="Times New Roman" w:hAnsi="Times New Roman" w:cs="Times New Roman"/>
          <w:lang w:eastAsia="el-GR"/>
        </w:rPr>
        <w:t>).</w:t>
      </w:r>
      <w:proofErr w:type="gramEnd"/>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μέγιστη </w:t>
      </w:r>
      <w:proofErr w:type="spellStart"/>
      <w:r w:rsidRPr="00910C60">
        <w:rPr>
          <w:rFonts w:ascii="Times New Roman" w:eastAsia="Times New Roman" w:hAnsi="Times New Roman" w:cs="Times New Roman"/>
          <w:lang w:eastAsia="el-GR"/>
        </w:rPr>
        <w:t>ενζυματική</w:t>
      </w:r>
      <w:proofErr w:type="spellEnd"/>
      <w:r w:rsidRPr="00910C60">
        <w:rPr>
          <w:rFonts w:ascii="Times New Roman" w:eastAsia="Times New Roman" w:hAnsi="Times New Roman" w:cs="Times New Roman"/>
          <w:lang w:eastAsia="el-GR"/>
        </w:rPr>
        <w:t xml:space="preserve"> επαγωγή δεν εμφανίζεται πριν από 2</w:t>
      </w:r>
      <w:r w:rsidRPr="00910C60">
        <w:rPr>
          <w:rFonts w:ascii="Times New Roman" w:eastAsia="Times New Roman" w:hAnsi="Times New Roman" w:cs="Times New Roman"/>
          <w:lang w:eastAsia="el-GR"/>
        </w:rPr>
        <w:noBreakHyphen/>
        <w:t>3</w:t>
      </w:r>
      <w:r w:rsidRPr="00910C60">
        <w:rPr>
          <w:rFonts w:ascii="Times New Roman" w:eastAsia="Times New Roman" w:hAnsi="Times New Roman" w:cs="Times New Roman"/>
          <w:lang w:val="en-US" w:eastAsia="el-GR"/>
        </w:rPr>
        <w:t> </w:t>
      </w:r>
      <w:r w:rsidRPr="00910C60">
        <w:rPr>
          <w:rFonts w:ascii="Times New Roman" w:eastAsia="Times New Roman" w:hAnsi="Times New Roman" w:cs="Times New Roman"/>
          <w:lang w:eastAsia="el-GR"/>
        </w:rPr>
        <w:t>εβδομάδες, αλλά έπειτα μπορεί να διατηρηθεί για τουλάχιστον 4</w:t>
      </w:r>
      <w:r w:rsidRPr="00910C60">
        <w:rPr>
          <w:rFonts w:ascii="Times New Roman" w:eastAsia="Times New Roman" w:hAnsi="Times New Roman" w:cs="Times New Roman"/>
          <w:lang w:val="en-US" w:eastAsia="el-GR"/>
        </w:rPr>
        <w:t> </w:t>
      </w:r>
      <w:r w:rsidRPr="00910C60">
        <w:rPr>
          <w:rFonts w:ascii="Times New Roman" w:eastAsia="Times New Roman" w:hAnsi="Times New Roman" w:cs="Times New Roman"/>
          <w:lang w:eastAsia="el-GR"/>
        </w:rPr>
        <w:t xml:space="preserve">εβδομάδες μετά τη διακοπή της φαρμακευτικής θεραπείας. Γυναίκες σε αγωγή με κάποιο από αυτά τα φαρμακευτικά προϊόντα θα πρέπει προσωρινά να χρησιμοποιήσουν μία μέθοδο φραγμού επιπροσθέτως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Όταν λαμβάνονται φάρμακα που επάγουν τα </w:t>
      </w:r>
      <w:proofErr w:type="spellStart"/>
      <w:r w:rsidRPr="00910C60">
        <w:rPr>
          <w:rFonts w:ascii="Times New Roman" w:eastAsia="Times New Roman" w:hAnsi="Times New Roman" w:cs="Times New Roman"/>
          <w:lang w:eastAsia="el-GR"/>
        </w:rPr>
        <w:t>μικροσωμιακά</w:t>
      </w:r>
      <w:proofErr w:type="spellEnd"/>
      <w:r w:rsidRPr="00910C60">
        <w:rPr>
          <w:rFonts w:ascii="Times New Roman" w:eastAsia="Times New Roman" w:hAnsi="Times New Roman" w:cs="Times New Roman"/>
          <w:lang w:eastAsia="el-GR"/>
        </w:rPr>
        <w:t xml:space="preserve"> ένζυμα, η μέθοδος φραγμού θα πρέπει να χρησιμοποιείται κατά τη διάρκεια της ταυτόχρονης χορήγησης φαρμάκου και για 28</w:t>
      </w:r>
      <w:r w:rsidRPr="00910C60">
        <w:rPr>
          <w:rFonts w:ascii="Times New Roman" w:eastAsia="Times New Roman" w:hAnsi="Times New Roman" w:cs="Times New Roman"/>
          <w:lang w:val="en-US" w:eastAsia="el-GR"/>
        </w:rPr>
        <w:t> </w:t>
      </w:r>
      <w:r w:rsidRPr="00910C60">
        <w:rPr>
          <w:rFonts w:ascii="Times New Roman" w:eastAsia="Times New Roman" w:hAnsi="Times New Roman" w:cs="Times New Roman"/>
          <w:lang w:eastAsia="el-GR"/>
        </w:rPr>
        <w:t xml:space="preserve">ημέρες μετά τη διακοπή τους. Για γυναίκες σε μακροχρόνια αγωγή με </w:t>
      </w:r>
      <w:proofErr w:type="spellStart"/>
      <w:r w:rsidRPr="00910C60">
        <w:rPr>
          <w:rFonts w:ascii="Times New Roman" w:eastAsia="Times New Roman" w:hAnsi="Times New Roman" w:cs="Times New Roman"/>
          <w:lang w:eastAsia="el-GR"/>
        </w:rPr>
        <w:t>επαγωγείς</w:t>
      </w:r>
      <w:proofErr w:type="spellEnd"/>
      <w:r w:rsidRPr="00910C60">
        <w:rPr>
          <w:rFonts w:ascii="Times New Roman" w:eastAsia="Times New Roman" w:hAnsi="Times New Roman" w:cs="Times New Roman"/>
          <w:lang w:eastAsia="el-GR"/>
        </w:rPr>
        <w:t xml:space="preserve"> ηπατικών ενζύμων, μία μη ορμονική μέθοδος αντισύλληψης θα πρέπει να εξετάζεται.</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Κατά τη διάρκεια αγωγής με φαρμακευτικό άνθρακα, η απορρόφηση του </w:t>
      </w:r>
      <w:proofErr w:type="spellStart"/>
      <w:r w:rsidRPr="00910C60">
        <w:rPr>
          <w:rFonts w:ascii="Times New Roman" w:eastAsia="Times New Roman" w:hAnsi="Times New Roman" w:cs="Times New Roman"/>
          <w:lang w:eastAsia="el-GR"/>
        </w:rPr>
        <w:t>στεροειδούς</w:t>
      </w:r>
      <w:proofErr w:type="spellEnd"/>
      <w:r w:rsidRPr="00910C60">
        <w:rPr>
          <w:rFonts w:ascii="Times New Roman" w:eastAsia="Times New Roman" w:hAnsi="Times New Roman" w:cs="Times New Roman"/>
          <w:lang w:eastAsia="el-GR"/>
        </w:rPr>
        <w:t xml:space="preserve"> στο δισκίο μπορεί να μειωθεί και ως εκ τούτου να μειωθεί και η αντισυλληπτική αποτελεσματικότητα. Υπό αυτές τις συνθήκες, εφαρμόζεται η συμβουλή που παρέχεται στην Παράγραφο</w:t>
      </w:r>
      <w:r w:rsidRPr="00910C60">
        <w:rPr>
          <w:rFonts w:ascii="Times New Roman" w:eastAsia="Times New Roman" w:hAnsi="Times New Roman" w:cs="Times New Roman"/>
          <w:lang w:val="en-US" w:eastAsia="el-GR"/>
        </w:rPr>
        <w:t> </w:t>
      </w:r>
      <w:r w:rsidRPr="00910C60">
        <w:rPr>
          <w:rFonts w:ascii="Times New Roman" w:eastAsia="Times New Roman" w:hAnsi="Times New Roman" w:cs="Times New Roman"/>
          <w:lang w:eastAsia="el-GR"/>
        </w:rPr>
        <w:t>4.2 για την περίπτωση παράλειψης δισκίων.</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Τα ορμονικά αντισυλληπτικά μπορεί να παρεμβάλλονται στον μεταβολισμό άλλων φαρμάκων. Ανάλογα, οι συγκεντρώσεις στο πλάσμα και τους ιστούς μπορεί είτε να αυξηθούν (π.χ. </w:t>
      </w:r>
      <w:proofErr w:type="spellStart"/>
      <w:r w:rsidRPr="00910C60">
        <w:rPr>
          <w:rFonts w:ascii="Times New Roman" w:eastAsia="Times New Roman" w:hAnsi="Times New Roman" w:cs="Times New Roman"/>
          <w:lang w:eastAsia="el-GR"/>
        </w:rPr>
        <w:t>κυκλοσπορίνη</w:t>
      </w:r>
      <w:proofErr w:type="spellEnd"/>
      <w:r w:rsidRPr="00910C60">
        <w:rPr>
          <w:rFonts w:ascii="Times New Roman" w:eastAsia="Times New Roman" w:hAnsi="Times New Roman" w:cs="Times New Roman"/>
          <w:lang w:eastAsia="el-GR"/>
        </w:rPr>
        <w:t>) είτε να μειωθούν.</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Σημείωση: Οι </w:t>
      </w:r>
      <w:proofErr w:type="spellStart"/>
      <w:r w:rsidRPr="00910C60">
        <w:rPr>
          <w:rFonts w:ascii="Times New Roman" w:eastAsia="Times New Roman" w:hAnsi="Times New Roman" w:cs="Times New Roman"/>
          <w:lang w:eastAsia="el-GR"/>
        </w:rPr>
        <w:t>συνταγογραφικές</w:t>
      </w:r>
      <w:proofErr w:type="spellEnd"/>
      <w:r w:rsidRPr="00910C60">
        <w:rPr>
          <w:rFonts w:ascii="Times New Roman" w:eastAsia="Times New Roman" w:hAnsi="Times New Roman" w:cs="Times New Roman"/>
          <w:lang w:eastAsia="el-GR"/>
        </w:rPr>
        <w:t xml:space="preserve"> πληροφορίες των ταυτόχρονα χορηγούμενων φαρμάκων θα πρέπει να λαμβάνονται υπόψη ώστε να προσδιορίζονται πιθανές αλληλεπιδράσεις.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lastRenderedPageBreak/>
        <w:t>Εργαστηριακές εξετάσεις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Δεδομένα που λήφθηκαν με ΣΣΑ έχουν δείξει ότι τα αντισυλληπτικά στεροειδή μπορούν να επηρεάσουν τα αποτελέσματα συγκεκριμένων εργαστηριακών εξετάσεων, συμπεριλαμβανομένων των βιοχημικών παραμέτρων της ηπατικής, </w:t>
      </w:r>
      <w:proofErr w:type="spellStart"/>
      <w:r w:rsidRPr="00910C60">
        <w:rPr>
          <w:rFonts w:ascii="Times New Roman" w:eastAsia="Times New Roman" w:hAnsi="Times New Roman" w:cs="Times New Roman"/>
          <w:lang w:eastAsia="el-GR"/>
        </w:rPr>
        <w:t>θυρεοειδικής</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επινεφριδιακής</w:t>
      </w:r>
      <w:proofErr w:type="spellEnd"/>
      <w:r w:rsidRPr="00910C60">
        <w:rPr>
          <w:rFonts w:ascii="Times New Roman" w:eastAsia="Times New Roman" w:hAnsi="Times New Roman" w:cs="Times New Roman"/>
          <w:lang w:eastAsia="el-GR"/>
        </w:rPr>
        <w:t xml:space="preserve"> και νεφρικής λειτουργίας, των επιπέδων πρωτεϊνών (φορέων) στον ορό, π.χ. της σφαιρίνης που δεσμεύει </w:t>
      </w:r>
      <w:proofErr w:type="spellStart"/>
      <w:r w:rsidRPr="00910C60">
        <w:rPr>
          <w:rFonts w:ascii="Times New Roman" w:eastAsia="Times New Roman" w:hAnsi="Times New Roman" w:cs="Times New Roman"/>
          <w:lang w:eastAsia="el-GR"/>
        </w:rPr>
        <w:t>κορτικοστεροειδή</w:t>
      </w:r>
      <w:proofErr w:type="spellEnd"/>
      <w:r w:rsidRPr="00910C60">
        <w:rPr>
          <w:rFonts w:ascii="Times New Roman" w:eastAsia="Times New Roman" w:hAnsi="Times New Roman" w:cs="Times New Roman"/>
          <w:lang w:eastAsia="el-GR"/>
        </w:rPr>
        <w:t xml:space="preserve"> και των κλασμάτων λιπιδίων/</w:t>
      </w:r>
      <w:proofErr w:type="spellStart"/>
      <w:r w:rsidRPr="00910C60">
        <w:rPr>
          <w:rFonts w:ascii="Times New Roman" w:eastAsia="Times New Roman" w:hAnsi="Times New Roman" w:cs="Times New Roman"/>
          <w:lang w:eastAsia="el-GR"/>
        </w:rPr>
        <w:t>λιποπρωτεϊνών</w:t>
      </w:r>
      <w:proofErr w:type="spellEnd"/>
      <w:r w:rsidRPr="00910C60">
        <w:rPr>
          <w:rFonts w:ascii="Times New Roman" w:eastAsia="Times New Roman" w:hAnsi="Times New Roman" w:cs="Times New Roman"/>
          <w:lang w:eastAsia="el-GR"/>
        </w:rPr>
        <w:t xml:space="preserve">, των παραμέτρων του μεταβολισμού των υδατανθράκων και των παραμέτρων πήξης και </w:t>
      </w:r>
      <w:proofErr w:type="spellStart"/>
      <w:r w:rsidRPr="00910C60">
        <w:rPr>
          <w:rFonts w:ascii="Times New Roman" w:eastAsia="Times New Roman" w:hAnsi="Times New Roman" w:cs="Times New Roman"/>
          <w:lang w:eastAsia="el-GR"/>
        </w:rPr>
        <w:t>ινωδόλυσης</w:t>
      </w:r>
      <w:proofErr w:type="spellEnd"/>
      <w:r w:rsidRPr="00910C60">
        <w:rPr>
          <w:rFonts w:ascii="Times New Roman" w:eastAsia="Times New Roman" w:hAnsi="Times New Roman" w:cs="Times New Roman"/>
          <w:lang w:eastAsia="el-GR"/>
        </w:rPr>
        <w:t xml:space="preserve">. Οι μεταβολές γενικά παραμένουν εντός του φυσιολογικού εύρους. Δεν είναι γνωστό μέχρι ποιο βαθμό ισχύει αυτό και για τα αντισυλληπτικά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4.6</w:t>
      </w:r>
      <w:r w:rsidRPr="00910C60">
        <w:rPr>
          <w:rFonts w:ascii="Times New Roman" w:eastAsia="Times New Roman" w:hAnsi="Times New Roman" w:cs="Times New Roman"/>
          <w:b/>
          <w:lang w:eastAsia="el-GR"/>
        </w:rPr>
        <w:tab/>
        <w:t>Γονιμότητα, κύηση και γαλουχία</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Κύηση</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δεν ενδείκνυται κατά τη διάρκεια της κύησης. Εάν υπάρξει εγκυμοσύνη κατά τη διάρκεια της θεραπείας με 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θα πρέπει να τερματίζεται η περαιτέρω λήψη.</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Μελέτες σε πειραματόζωα έδειξαν ότι πολύ υψηλές δόσεις </w:t>
      </w:r>
      <w:proofErr w:type="spellStart"/>
      <w:r w:rsidRPr="00910C60">
        <w:rPr>
          <w:rFonts w:ascii="Times New Roman" w:eastAsia="Times New Roman" w:hAnsi="Times New Roman" w:cs="Times New Roman"/>
          <w:lang w:eastAsia="el-GR"/>
        </w:rPr>
        <w:t>προγεσταγονικών</w:t>
      </w:r>
      <w:proofErr w:type="spellEnd"/>
      <w:r w:rsidRPr="00910C60">
        <w:rPr>
          <w:rFonts w:ascii="Times New Roman" w:eastAsia="Times New Roman" w:hAnsi="Times New Roman" w:cs="Times New Roman"/>
          <w:lang w:eastAsia="el-GR"/>
        </w:rPr>
        <w:t xml:space="preserve"> ουσιών μπορεί να προκαλέσουν </w:t>
      </w:r>
      <w:proofErr w:type="spellStart"/>
      <w:r w:rsidRPr="00910C60">
        <w:rPr>
          <w:rFonts w:ascii="Times New Roman" w:eastAsia="Times New Roman" w:hAnsi="Times New Roman" w:cs="Times New Roman"/>
          <w:lang w:eastAsia="el-GR"/>
        </w:rPr>
        <w:t>αρρενοποίηση</w:t>
      </w:r>
      <w:proofErr w:type="spellEnd"/>
      <w:r w:rsidRPr="00910C60">
        <w:rPr>
          <w:rFonts w:ascii="Times New Roman" w:eastAsia="Times New Roman" w:hAnsi="Times New Roman" w:cs="Times New Roman"/>
          <w:lang w:eastAsia="el-GR"/>
        </w:rPr>
        <w:t xml:space="preserve"> των θήλεων εμβρύων.</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Εκτεταμένες επιδημιολογικές μελέτες δεν αποκάλυψαν ούτε αυξημένο κίνδυνο συγγενών ελαττωμάτων σε παιδιά που γεννήθηκαν από γυναίκες που χρησιμοποίησαν ΣΣΑ πριν από την εγκυμοσύνη, ούτε τερατογόνο δράση, όταν τα ΣΣΑ λήφθηκαν ακούσια κατά την αρχή της εγκυμοσύνης. Δεδομένα </w:t>
      </w:r>
      <w:proofErr w:type="spellStart"/>
      <w:r w:rsidRPr="00910C60">
        <w:rPr>
          <w:rFonts w:ascii="Times New Roman" w:eastAsia="Times New Roman" w:hAnsi="Times New Roman" w:cs="Times New Roman"/>
          <w:lang w:eastAsia="el-GR"/>
        </w:rPr>
        <w:t>φαρμακοεπαγρύπνησης</w:t>
      </w:r>
      <w:proofErr w:type="spellEnd"/>
      <w:r w:rsidRPr="00910C60">
        <w:rPr>
          <w:rFonts w:ascii="Times New Roman" w:eastAsia="Times New Roman" w:hAnsi="Times New Roman" w:cs="Times New Roman"/>
          <w:lang w:eastAsia="el-GR"/>
        </w:rPr>
        <w:t xml:space="preserve"> που συλλέχθηκαν για διάφορα ΣΣΑ που περιέχουν </w:t>
      </w:r>
      <w:proofErr w:type="spellStart"/>
      <w:r w:rsidRPr="00910C60">
        <w:rPr>
          <w:rFonts w:ascii="Times New Roman" w:eastAsia="Times New Roman" w:hAnsi="Times New Roman" w:cs="Times New Roman"/>
          <w:lang w:eastAsia="el-GR"/>
        </w:rPr>
        <w:t>δεσογεστρέλη</w:t>
      </w:r>
      <w:proofErr w:type="spellEnd"/>
      <w:r w:rsidRPr="00910C60">
        <w:rPr>
          <w:rFonts w:ascii="Times New Roman" w:eastAsia="Times New Roman" w:hAnsi="Times New Roman" w:cs="Times New Roman"/>
          <w:lang w:eastAsia="el-GR"/>
        </w:rPr>
        <w:t xml:space="preserve"> επίσης δεν έδειξαν αυξημένο κίνδυνο.</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Θηλασμός</w:t>
      </w:r>
    </w:p>
    <w:p w:rsidR="00910C60" w:rsidRPr="00910C60" w:rsidRDefault="00910C60" w:rsidP="00910C60">
      <w:pPr>
        <w:spacing w:after="0" w:line="240" w:lineRule="auto"/>
        <w:rPr>
          <w:rFonts w:ascii="Times New Roman" w:eastAsia="Times New Roman" w:hAnsi="Times New Roman" w:cs="Times New Roman"/>
          <w:u w:val="single"/>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color w:val="000000"/>
          <w:lang w:eastAsia="el-GR"/>
        </w:rPr>
        <w:t>Τ</w:t>
      </w:r>
      <w:r w:rsidRPr="00910C60">
        <w:rPr>
          <w:rFonts w:ascii="Times New Roman" w:eastAsia="Times New Roman" w:hAnsi="Times New Roman" w:cs="Times New Roman"/>
          <w:lang w:eastAsia="el-GR"/>
        </w:rPr>
        <w:t xml:space="preserve">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δεν επηρεάζει την παραγωγή ή την ποιότητα (πρωτεΐνες, λακτόζη ή περιεκτικότητα σε λιπαρά) του μητρικού γάλακτος. Ωστόσο, μικρές ποσότητες </w:t>
      </w:r>
      <w:proofErr w:type="spellStart"/>
      <w:r w:rsidRPr="00910C60">
        <w:rPr>
          <w:rFonts w:ascii="Times New Roman" w:eastAsia="Times New Roman" w:hAnsi="Times New Roman" w:cs="Times New Roman"/>
          <w:lang w:eastAsia="el-GR"/>
        </w:rPr>
        <w:t>ετονογεστρέλης</w:t>
      </w:r>
      <w:proofErr w:type="spellEnd"/>
      <w:r w:rsidRPr="00910C60">
        <w:rPr>
          <w:rFonts w:ascii="Times New Roman" w:eastAsia="Times New Roman" w:hAnsi="Times New Roman" w:cs="Times New Roman"/>
          <w:lang w:eastAsia="el-GR"/>
        </w:rPr>
        <w:t xml:space="preserve"> εκκρίνονται στο μητρικό γάλα. Ως αποτέλεσμα, 0,01</w:t>
      </w:r>
      <w:r w:rsidRPr="00910C60">
        <w:rPr>
          <w:rFonts w:ascii="Times New Roman" w:eastAsia="Times New Roman" w:hAnsi="Times New Roman" w:cs="Times New Roman"/>
          <w:lang w:eastAsia="el-GR"/>
        </w:rPr>
        <w:noBreakHyphen/>
        <w:t xml:space="preserve">0,05 μικρογραμμάρια </w:t>
      </w:r>
      <w:proofErr w:type="spellStart"/>
      <w:r w:rsidRPr="00910C60">
        <w:rPr>
          <w:rFonts w:ascii="Times New Roman" w:eastAsia="Times New Roman" w:hAnsi="Times New Roman" w:cs="Times New Roman"/>
          <w:lang w:eastAsia="el-GR"/>
        </w:rPr>
        <w:t>ετονογεστρέλης</w:t>
      </w:r>
      <w:proofErr w:type="spellEnd"/>
      <w:r w:rsidRPr="00910C60">
        <w:rPr>
          <w:rFonts w:ascii="Times New Roman" w:eastAsia="Times New Roman" w:hAnsi="Times New Roman" w:cs="Times New Roman"/>
          <w:lang w:eastAsia="el-GR"/>
        </w:rPr>
        <w:t xml:space="preserve"> ανά </w:t>
      </w:r>
      <w:r w:rsidRPr="00910C60">
        <w:rPr>
          <w:rFonts w:ascii="Times New Roman" w:eastAsia="Times New Roman" w:hAnsi="Times New Roman" w:cs="Times New Roman"/>
          <w:lang w:val="en-US" w:eastAsia="el-GR"/>
        </w:rPr>
        <w:t>kg</w:t>
      </w:r>
      <w:r w:rsidRPr="00910C60">
        <w:rPr>
          <w:rFonts w:ascii="Times New Roman" w:eastAsia="Times New Roman" w:hAnsi="Times New Roman" w:cs="Times New Roman"/>
          <w:lang w:eastAsia="el-GR"/>
        </w:rPr>
        <w:t xml:space="preserve"> σωματικού βάρους ανά ημέρα ενδέχεται να προσλαμβάνονται από ένα παιδί (με βάση εκτιμώμενη πρόσληψη ποσότητας γάλακτος 150 ml/</w:t>
      </w:r>
      <w:proofErr w:type="spellStart"/>
      <w:r w:rsidRPr="00910C60">
        <w:rPr>
          <w:rFonts w:ascii="Times New Roman" w:eastAsia="Times New Roman" w:hAnsi="Times New Roman" w:cs="Times New Roman"/>
          <w:lang w:eastAsia="el-GR"/>
        </w:rPr>
        <w:t>kg</w:t>
      </w:r>
      <w:proofErr w:type="spellEnd"/>
      <w:r w:rsidRPr="00910C60">
        <w:rPr>
          <w:rFonts w:ascii="Times New Roman" w:eastAsia="Times New Roman" w:hAnsi="Times New Roman" w:cs="Times New Roman"/>
          <w:lang w:eastAsia="el-GR"/>
        </w:rPr>
        <w:t xml:space="preserve">/ημέρα).  </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Περιορισμένα μακροχρόνια δεδομένα παρακολούθησης είναι διαθέσιμα για παιδιά των οποίων οι μητέρες ξεκίνησαν τη χρήση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μεταξύ 4</w:t>
      </w:r>
      <w:r w:rsidRPr="00910C60">
        <w:rPr>
          <w:rFonts w:ascii="Times New Roman" w:eastAsia="Times New Roman" w:hAnsi="Times New Roman" w:cs="Times New Roman"/>
          <w:vertAlign w:val="superscript"/>
          <w:lang w:eastAsia="el-GR"/>
        </w:rPr>
        <w:t>ης</w:t>
      </w:r>
      <w:r w:rsidRPr="00910C60">
        <w:rPr>
          <w:rFonts w:ascii="Times New Roman" w:eastAsia="Times New Roman" w:hAnsi="Times New Roman" w:cs="Times New Roman"/>
          <w:lang w:eastAsia="el-GR"/>
        </w:rPr>
        <w:t xml:space="preserve"> και 8</w:t>
      </w:r>
      <w:r w:rsidRPr="00910C60">
        <w:rPr>
          <w:rFonts w:ascii="Times New Roman" w:eastAsia="Times New Roman" w:hAnsi="Times New Roman" w:cs="Times New Roman"/>
          <w:vertAlign w:val="superscript"/>
          <w:lang w:eastAsia="el-GR"/>
        </w:rPr>
        <w:t>ης</w:t>
      </w:r>
      <w:r w:rsidRPr="00910C60">
        <w:rPr>
          <w:rFonts w:ascii="Times New Roman" w:eastAsia="Times New Roman" w:hAnsi="Times New Roman" w:cs="Times New Roman"/>
          <w:lang w:eastAsia="el-GR"/>
        </w:rPr>
        <w:t> εβδομάδας μετά τον τοκετό. Τα παιδιά αυτά γαλουχήθηκαν για 7 μήνες και παρακολουθήθηκαν μέχρι την ηλικία των 1,5 ετών (</w:t>
      </w:r>
      <w:r w:rsidRPr="00910C60">
        <w:rPr>
          <w:rFonts w:ascii="Times New Roman" w:eastAsia="Times New Roman" w:hAnsi="Times New Roman" w:cs="Times New Roman"/>
          <w:lang w:val="en-US" w:eastAsia="el-GR"/>
        </w:rPr>
        <w:t>n</w:t>
      </w:r>
      <w:r w:rsidRPr="00910C60">
        <w:rPr>
          <w:rFonts w:ascii="Times New Roman" w:eastAsia="Times New Roman" w:hAnsi="Times New Roman" w:cs="Times New Roman"/>
          <w:lang w:eastAsia="el-GR"/>
        </w:rPr>
        <w:t>=32) ή των 2,5 ετών (</w:t>
      </w:r>
      <w:r w:rsidRPr="00910C60">
        <w:rPr>
          <w:rFonts w:ascii="Times New Roman" w:eastAsia="Times New Roman" w:hAnsi="Times New Roman" w:cs="Times New Roman"/>
          <w:lang w:val="en-US" w:eastAsia="el-GR"/>
        </w:rPr>
        <w:t>n</w:t>
      </w:r>
      <w:r w:rsidRPr="00910C60">
        <w:rPr>
          <w:rFonts w:ascii="Times New Roman" w:eastAsia="Times New Roman" w:hAnsi="Times New Roman" w:cs="Times New Roman"/>
          <w:lang w:eastAsia="el-GR"/>
        </w:rPr>
        <w:t xml:space="preserve">=14). Η αξιολόγηση της ανάπτυξης και της φυσικής και ψυχοκινητικής εξέλιξης δεν υπέδειξε διαφορές συγκριτικά με θηλάζοντα νήπια των οποίων οι μητέρες χρησιμοποίησαν ενδομήτρια συσκευή χαλκού. Βάσει των διαθέσιμων δεδομένων, 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μπορεί να χρησιμοποιηθεί κατά τη διάρκεια της γαλουχίας. Η ανάπτυξη και εξέλιξη ενός θηλάζοντος νήπιου, του οποίου η μητέρα χρησιμοποιεί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θα πρέπει ωστόσο να παρακολουθείται προσεκτικά.</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Γονιμότητα</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lang w:eastAsia="el-GR"/>
        </w:rPr>
        <w:t xml:space="preserve">Το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ενδείκνυται για την πρόληψη της κύησης. Για πληροφορίες σχετικά με την επιστροφή της γονιμότητας (ωορρηξία), βλ. παράγραφο 5.1.</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4.7</w:t>
      </w:r>
      <w:r w:rsidRPr="00910C60">
        <w:rPr>
          <w:rFonts w:ascii="Times New Roman" w:eastAsia="Times New Roman" w:hAnsi="Times New Roman" w:cs="Times New Roman"/>
          <w:b/>
          <w:lang w:eastAsia="el-GR"/>
        </w:rPr>
        <w:tab/>
        <w:t>Επιδράσεις στην ικανότητα οδήγησης και χειρισμού μηχανών</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δεν έχει καμία ή έχει ασήμαντη επίδραση στην ικανότητα οδήγησης και χειρισμού μηχανών.</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lastRenderedPageBreak/>
        <w:t>4.8</w:t>
      </w:r>
      <w:r w:rsidRPr="00910C60">
        <w:rPr>
          <w:rFonts w:ascii="Times New Roman" w:eastAsia="Times New Roman" w:hAnsi="Times New Roman" w:cs="Times New Roman"/>
          <w:b/>
          <w:lang w:eastAsia="el-GR"/>
        </w:rPr>
        <w:tab/>
        <w:t>Ανεπιθύμητες ενέργειες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πιο συχνά αναφερόμενη ανεπιθύμητη ενέργεια στις κλινικές δοκιμές είναι η ακανόνιστη αιμορραγία. Κάποια μορφή ακανόνιστης αιμορραγίας έχει αναφερθεί σε έως και 50% των γυναικών που χρησιμοποιούν 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Καθώς 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προκαλεί αναστολή ωορρηξίας σχεδόν κατά 100%, σε αντίθεση με άλλα χάπια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η ακανόνιστη αιμορραγία είναι περισσότερο συχνή από </w:t>
      </w:r>
      <w:proofErr w:type="spellStart"/>
      <w:r w:rsidRPr="00910C60">
        <w:rPr>
          <w:rFonts w:ascii="Times New Roman" w:eastAsia="Times New Roman" w:hAnsi="Times New Roman" w:cs="Times New Roman"/>
          <w:lang w:eastAsia="el-GR"/>
        </w:rPr>
        <w:t>ό,τι</w:t>
      </w:r>
      <w:proofErr w:type="spellEnd"/>
      <w:r w:rsidRPr="00910C60">
        <w:rPr>
          <w:rFonts w:ascii="Times New Roman" w:eastAsia="Times New Roman" w:hAnsi="Times New Roman" w:cs="Times New Roman"/>
          <w:lang w:eastAsia="el-GR"/>
        </w:rPr>
        <w:t xml:space="preserve"> με άλλα χάπια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Στο 20</w:t>
      </w:r>
      <w:r w:rsidRPr="00910C60">
        <w:rPr>
          <w:rFonts w:ascii="Times New Roman" w:eastAsia="Times New Roman" w:hAnsi="Times New Roman" w:cs="Times New Roman"/>
          <w:lang w:eastAsia="el-GR"/>
        </w:rPr>
        <w:noBreakHyphen/>
        <w:t xml:space="preserve">30% των γυναικών, η αιμορραγία μπορεί να γίνει πιο συχνή, ενώ σε άλλο ένα 20% η αιμορραγία μπορεί να γίνει λιγότερο συχνή ή να μην εμφανιστεί καθόλου. Η κολπική αιμορραγία μπορεί επίσης να είναι μεγαλύτερης διάρκειας. Μετά από μερικούς μήνες αγωγής, οι αιμορραγίες τείνουν να γίνουν λιγότερο συχνές. Η πληροφόρηση, οι συμβουλές και ένα ημερολόγιο για την αιμορραγία μπορούν να βελτιώσουν την εκ μέρους της γυναίκας αποδοχή της μορφής της αιμορραγίας. </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Οι πιο συχνά αναφερόμενες άλλες ανεπιθύμητες ενέργειες στις κλινικές δοκιμές με 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(&gt; 2,5%) ήταν ακμή, αλλαγές στη διάθεση, </w:t>
      </w:r>
      <w:proofErr w:type="spellStart"/>
      <w:r w:rsidRPr="00910C60">
        <w:rPr>
          <w:rFonts w:ascii="Times New Roman" w:eastAsia="Times New Roman" w:hAnsi="Times New Roman" w:cs="Times New Roman"/>
          <w:lang w:eastAsia="el-GR"/>
        </w:rPr>
        <w:t>μαστοδυνία</w:t>
      </w:r>
      <w:proofErr w:type="spellEnd"/>
      <w:r w:rsidRPr="00910C60">
        <w:rPr>
          <w:rFonts w:ascii="Times New Roman" w:eastAsia="Times New Roman" w:hAnsi="Times New Roman" w:cs="Times New Roman"/>
          <w:lang w:eastAsia="el-GR"/>
        </w:rPr>
        <w:t>, ναυτία και αύξηση του σωματικού βάρους. Οι ανεπιθύμητες ενέργειες αναφέρονται στον παρακάτω πίνακα.</w:t>
      </w:r>
    </w:p>
    <w:p w:rsidR="00910C60" w:rsidRPr="00910C60" w:rsidRDefault="00910C60" w:rsidP="00910C60">
      <w:pPr>
        <w:spacing w:after="0" w:line="240" w:lineRule="auto"/>
        <w:jc w:val="both"/>
        <w:rPr>
          <w:rFonts w:ascii="Times New Roman" w:eastAsia="Times New Roman" w:hAnsi="Times New Roman" w:cs="Times New Roman"/>
          <w:lang w:eastAsia="el-GR"/>
        </w:rPr>
      </w:pPr>
    </w:p>
    <w:p w:rsidR="00910C60" w:rsidRPr="00910C60" w:rsidRDefault="00910C60" w:rsidP="00910C60">
      <w:pPr>
        <w:spacing w:after="0" w:line="240" w:lineRule="auto"/>
        <w:jc w:val="both"/>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Όλες οι ανεπιθύμητες ενέργειες έχουν καταχωρηθεί ανά κατηγορία/οργανικό σύστημα και συχνότητα: συχνές (</w:t>
      </w:r>
      <w:r w:rsidRPr="00910C60">
        <w:rPr>
          <w:rFonts w:ascii="Times New Roman" w:eastAsia="Times New Roman" w:hAnsi="Times New Roman" w:cs="Times New Roman"/>
          <w:bCs/>
          <w:lang w:eastAsia="el-GR"/>
        </w:rPr>
        <w:sym w:font="Symbol" w:char="F0B3"/>
      </w:r>
      <w:r w:rsidRPr="00910C60">
        <w:rPr>
          <w:rFonts w:ascii="Times New Roman" w:eastAsia="Times New Roman" w:hAnsi="Times New Roman" w:cs="Times New Roman"/>
          <w:bCs/>
          <w:lang w:eastAsia="el-GR"/>
        </w:rPr>
        <w:t>1/100), όχι συχνές (1/1.000 έως &lt;1/100) και σπάνιες (&lt;1/1.000).</w:t>
      </w:r>
    </w:p>
    <w:p w:rsidR="00910C60" w:rsidRPr="00910C60" w:rsidRDefault="00910C60" w:rsidP="00910C60">
      <w:pPr>
        <w:spacing w:after="0" w:line="240" w:lineRule="auto"/>
        <w:rPr>
          <w:rFonts w:ascii="Times New Roman" w:eastAsia="Times New Roman" w:hAnsi="Times New Roman" w:cs="Times New Roman"/>
          <w:lang w:eastAsia="el-GR"/>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2184"/>
        <w:gridCol w:w="2184"/>
        <w:gridCol w:w="2184"/>
      </w:tblGrid>
      <w:tr w:rsidR="00910C60" w:rsidRPr="00910C60" w:rsidTr="006C51EF">
        <w:tblPrEx>
          <w:tblCellMar>
            <w:top w:w="0" w:type="dxa"/>
            <w:bottom w:w="0" w:type="dxa"/>
          </w:tblCellMar>
        </w:tblPrEx>
        <w:trPr>
          <w:cantSplit/>
          <w:trHeight w:val="372"/>
          <w:tblHeader/>
        </w:trPr>
        <w:tc>
          <w:tcPr>
            <w:tcW w:w="2445" w:type="dxa"/>
            <w:vMerge w:val="restart"/>
          </w:tcPr>
          <w:p w:rsidR="00910C60" w:rsidRPr="00910C60" w:rsidRDefault="00910C60" w:rsidP="00910C60">
            <w:pPr>
              <w:spacing w:after="0" w:line="240" w:lineRule="auto"/>
              <w:jc w:val="center"/>
              <w:rPr>
                <w:rFonts w:ascii="Times New Roman" w:eastAsia="Times New Roman" w:hAnsi="Times New Roman" w:cs="Times New Roman"/>
                <w:b/>
                <w:bCs/>
                <w:lang w:eastAsia="el-GR"/>
              </w:rPr>
            </w:pPr>
            <w:r w:rsidRPr="00910C60">
              <w:rPr>
                <w:rFonts w:ascii="Times New Roman" w:eastAsia="Times New Roman" w:hAnsi="Times New Roman" w:cs="Times New Roman"/>
                <w:b/>
                <w:bCs/>
                <w:lang w:eastAsia="el-GR"/>
              </w:rPr>
              <w:t>Κατηγορία/Οργανικό Σύστημα</w:t>
            </w:r>
          </w:p>
          <w:p w:rsidR="00910C60" w:rsidRPr="00910C60" w:rsidRDefault="00910C60" w:rsidP="00910C60">
            <w:pPr>
              <w:spacing w:after="0" w:line="240" w:lineRule="auto"/>
              <w:jc w:val="center"/>
              <w:rPr>
                <w:rFonts w:ascii="Times New Roman" w:eastAsia="Times New Roman" w:hAnsi="Times New Roman" w:cs="Times New Roman"/>
                <w:b/>
                <w:bCs/>
                <w:lang w:eastAsia="el-GR"/>
              </w:rPr>
            </w:pPr>
            <w:r w:rsidRPr="00910C60">
              <w:rPr>
                <w:rFonts w:ascii="Times New Roman" w:eastAsia="Times New Roman" w:hAnsi="Times New Roman" w:cs="Times New Roman"/>
                <w:b/>
                <w:bCs/>
                <w:lang w:eastAsia="el-GR"/>
              </w:rPr>
              <w:t>(</w:t>
            </w:r>
            <w:proofErr w:type="spellStart"/>
            <w:r w:rsidRPr="00910C60">
              <w:rPr>
                <w:rFonts w:ascii="Times New Roman" w:eastAsia="Times New Roman" w:hAnsi="Times New Roman" w:cs="Times New Roman"/>
                <w:b/>
                <w:bCs/>
                <w:lang w:val="en-US" w:eastAsia="el-GR"/>
              </w:rPr>
              <w:t>MedDRA</w:t>
            </w:r>
            <w:proofErr w:type="spellEnd"/>
            <w:r w:rsidRPr="00910C60">
              <w:rPr>
                <w:rFonts w:ascii="Times New Roman" w:eastAsia="Times New Roman" w:hAnsi="Times New Roman" w:cs="Times New Roman"/>
                <w:b/>
                <w:bCs/>
                <w:lang w:val="en-US" w:eastAsia="el-GR"/>
              </w:rPr>
              <w:t>)</w:t>
            </w:r>
            <w:r w:rsidRPr="00910C60">
              <w:rPr>
                <w:rFonts w:ascii="Times New Roman" w:eastAsia="Times New Roman" w:hAnsi="Times New Roman" w:cs="Times New Roman"/>
                <w:b/>
                <w:bCs/>
                <w:lang w:eastAsia="el-GR"/>
              </w:rPr>
              <w:t>*</w:t>
            </w:r>
          </w:p>
        </w:tc>
        <w:tc>
          <w:tcPr>
            <w:tcW w:w="6552" w:type="dxa"/>
            <w:gridSpan w:val="3"/>
            <w:tcBorders>
              <w:bottom w:val="nil"/>
            </w:tcBorders>
          </w:tcPr>
          <w:p w:rsidR="00910C60" w:rsidRPr="00910C60" w:rsidRDefault="00910C60" w:rsidP="00910C60">
            <w:pPr>
              <w:spacing w:after="0" w:line="240" w:lineRule="auto"/>
              <w:jc w:val="center"/>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Συχνότητα ανεπιθύμητων ενεργειών</w:t>
            </w:r>
          </w:p>
        </w:tc>
      </w:tr>
      <w:tr w:rsidR="00910C60" w:rsidRPr="00910C60" w:rsidTr="006C51EF">
        <w:tblPrEx>
          <w:tblCellMar>
            <w:top w:w="0" w:type="dxa"/>
            <w:bottom w:w="0" w:type="dxa"/>
          </w:tblCellMar>
        </w:tblPrEx>
        <w:trPr>
          <w:cantSplit/>
          <w:trHeight w:val="634"/>
          <w:tblHeader/>
        </w:trPr>
        <w:tc>
          <w:tcPr>
            <w:tcW w:w="2445" w:type="dxa"/>
            <w:vMerge/>
          </w:tcPr>
          <w:p w:rsidR="00910C60" w:rsidRPr="00910C60" w:rsidRDefault="00910C60" w:rsidP="00910C60">
            <w:pPr>
              <w:spacing w:after="0" w:line="240" w:lineRule="auto"/>
              <w:rPr>
                <w:rFonts w:ascii="Times New Roman" w:eastAsia="Times New Roman" w:hAnsi="Times New Roman" w:cs="Times New Roman"/>
                <w:b/>
                <w:bCs/>
                <w:lang w:eastAsia="el-GR"/>
              </w:rPr>
            </w:pPr>
          </w:p>
        </w:tc>
        <w:tc>
          <w:tcPr>
            <w:tcW w:w="2184" w:type="dxa"/>
            <w:tcBorders>
              <w:top w:val="nil"/>
            </w:tcBorders>
          </w:tcPr>
          <w:p w:rsidR="00910C60" w:rsidRPr="00910C60" w:rsidRDefault="00910C60" w:rsidP="00910C60">
            <w:pPr>
              <w:spacing w:after="0" w:line="240" w:lineRule="auto"/>
              <w:jc w:val="center"/>
              <w:rPr>
                <w:rFonts w:ascii="Times New Roman" w:eastAsia="Times New Roman" w:hAnsi="Times New Roman" w:cs="Times New Roman"/>
                <w:b/>
                <w:bCs/>
                <w:lang w:eastAsia="el-GR"/>
              </w:rPr>
            </w:pPr>
            <w:r w:rsidRPr="00910C60">
              <w:rPr>
                <w:rFonts w:ascii="Times New Roman" w:eastAsia="Times New Roman" w:hAnsi="Times New Roman" w:cs="Times New Roman"/>
                <w:b/>
                <w:bCs/>
                <w:lang w:eastAsia="el-GR"/>
              </w:rPr>
              <w:t>Συχνές</w:t>
            </w:r>
          </w:p>
        </w:tc>
        <w:tc>
          <w:tcPr>
            <w:tcW w:w="2184" w:type="dxa"/>
            <w:tcBorders>
              <w:top w:val="nil"/>
            </w:tcBorders>
          </w:tcPr>
          <w:p w:rsidR="00910C60" w:rsidRPr="00910C60" w:rsidRDefault="00910C60" w:rsidP="00910C60">
            <w:pPr>
              <w:spacing w:after="0" w:line="240" w:lineRule="auto"/>
              <w:jc w:val="center"/>
              <w:rPr>
                <w:rFonts w:ascii="Times New Roman" w:eastAsia="Times New Roman" w:hAnsi="Times New Roman" w:cs="Times New Roman"/>
                <w:b/>
                <w:bCs/>
                <w:lang w:eastAsia="el-GR"/>
              </w:rPr>
            </w:pPr>
            <w:r w:rsidRPr="00910C60">
              <w:rPr>
                <w:rFonts w:ascii="Times New Roman" w:eastAsia="Times New Roman" w:hAnsi="Times New Roman" w:cs="Times New Roman"/>
                <w:b/>
                <w:bCs/>
                <w:lang w:eastAsia="el-GR"/>
              </w:rPr>
              <w:t>Όχι συχνές</w:t>
            </w:r>
          </w:p>
        </w:tc>
        <w:tc>
          <w:tcPr>
            <w:tcW w:w="2184" w:type="dxa"/>
            <w:tcBorders>
              <w:top w:val="nil"/>
            </w:tcBorders>
          </w:tcPr>
          <w:p w:rsidR="00910C60" w:rsidRPr="00910C60" w:rsidRDefault="00910C60" w:rsidP="00910C60">
            <w:pPr>
              <w:spacing w:after="0" w:line="240" w:lineRule="auto"/>
              <w:jc w:val="center"/>
              <w:rPr>
                <w:rFonts w:ascii="Times New Roman" w:eastAsia="Times New Roman" w:hAnsi="Times New Roman" w:cs="Times New Roman"/>
                <w:b/>
                <w:bCs/>
                <w:lang w:eastAsia="el-GR"/>
              </w:rPr>
            </w:pPr>
            <w:r w:rsidRPr="00910C60">
              <w:rPr>
                <w:rFonts w:ascii="Times New Roman" w:eastAsia="Times New Roman" w:hAnsi="Times New Roman" w:cs="Times New Roman"/>
                <w:b/>
                <w:bCs/>
                <w:lang w:eastAsia="el-GR"/>
              </w:rPr>
              <w:t>Σπάνιες</w:t>
            </w:r>
          </w:p>
        </w:tc>
      </w:tr>
      <w:tr w:rsidR="00910C60" w:rsidRPr="00910C60" w:rsidTr="006C51EF">
        <w:tblPrEx>
          <w:tblCellMar>
            <w:top w:w="0" w:type="dxa"/>
            <w:bottom w:w="0" w:type="dxa"/>
          </w:tblCellMar>
        </w:tblPrEx>
        <w:trPr>
          <w:cantSplit/>
          <w:trHeight w:val="483"/>
        </w:trPr>
        <w:tc>
          <w:tcPr>
            <w:tcW w:w="2445"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Λοιμώξεις και παρασιτώσεις</w:t>
            </w:r>
          </w:p>
        </w:tc>
        <w:tc>
          <w:tcPr>
            <w:tcW w:w="2184" w:type="dxa"/>
          </w:tcPr>
          <w:p w:rsidR="00910C60" w:rsidRPr="00910C60" w:rsidRDefault="00910C60" w:rsidP="00910C60">
            <w:pPr>
              <w:spacing w:after="0" w:line="240" w:lineRule="auto"/>
              <w:rPr>
                <w:rFonts w:ascii="Times New Roman" w:eastAsia="Times New Roman" w:hAnsi="Times New Roman" w:cs="Times New Roman"/>
                <w:lang w:eastAsia="el-GR"/>
              </w:rPr>
            </w:pP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Λοίμωξη του κόλπου</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p>
        </w:tc>
      </w:tr>
      <w:tr w:rsidR="00910C60" w:rsidRPr="00910C60" w:rsidTr="006C51EF">
        <w:tblPrEx>
          <w:tblCellMar>
            <w:top w:w="0" w:type="dxa"/>
            <w:bottom w:w="0" w:type="dxa"/>
          </w:tblCellMar>
        </w:tblPrEx>
        <w:trPr>
          <w:cantSplit/>
          <w:trHeight w:val="534"/>
        </w:trPr>
        <w:tc>
          <w:tcPr>
            <w:tcW w:w="2445"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Ψυχιατρικές διαταραχές</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 xml:space="preserve">Μεταβολή διάθεσης, Καταθλιπτική διάθεση, </w:t>
            </w:r>
          </w:p>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Γενετήσια ορμή μειωμένη</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p>
        </w:tc>
        <w:tc>
          <w:tcPr>
            <w:tcW w:w="2184" w:type="dxa"/>
            <w:vAlign w:val="center"/>
          </w:tcPr>
          <w:p w:rsidR="00910C60" w:rsidRPr="00910C60" w:rsidRDefault="00910C60" w:rsidP="00910C60">
            <w:pPr>
              <w:spacing w:after="0" w:line="240" w:lineRule="auto"/>
              <w:rPr>
                <w:rFonts w:ascii="Times New Roman" w:eastAsia="Times New Roman" w:hAnsi="Times New Roman" w:cs="Times New Roman"/>
                <w:bCs/>
                <w:lang w:eastAsia="el-GR"/>
              </w:rPr>
            </w:pPr>
          </w:p>
        </w:tc>
      </w:tr>
      <w:tr w:rsidR="00910C60" w:rsidRPr="00910C60" w:rsidTr="006C51EF">
        <w:tblPrEx>
          <w:tblCellMar>
            <w:top w:w="0" w:type="dxa"/>
            <w:bottom w:w="0" w:type="dxa"/>
          </w:tblCellMar>
        </w:tblPrEx>
        <w:trPr>
          <w:cantSplit/>
          <w:trHeight w:val="534"/>
        </w:trPr>
        <w:tc>
          <w:tcPr>
            <w:tcW w:w="2445" w:type="dxa"/>
          </w:tcPr>
          <w:p w:rsidR="00910C60" w:rsidRPr="00910C60" w:rsidRDefault="00910C60" w:rsidP="00910C60">
            <w:pPr>
              <w:spacing w:after="0" w:line="240" w:lineRule="auto"/>
              <w:rPr>
                <w:rFonts w:ascii="Times New Roman" w:eastAsia="Times New Roman" w:hAnsi="Times New Roman" w:cs="Times New Roman"/>
                <w:bCs/>
                <w:lang w:val="en-US" w:eastAsia="el-GR"/>
              </w:rPr>
            </w:pPr>
            <w:proofErr w:type="spellStart"/>
            <w:r w:rsidRPr="00910C60">
              <w:rPr>
                <w:rFonts w:ascii="Times New Roman" w:eastAsia="Times New Roman" w:hAnsi="Times New Roman" w:cs="Times New Roman"/>
                <w:bCs/>
                <w:lang w:val="en-US" w:eastAsia="el-GR"/>
              </w:rPr>
              <w:t>Δι</w:t>
            </w:r>
            <w:proofErr w:type="spellEnd"/>
            <w:r w:rsidRPr="00910C60">
              <w:rPr>
                <w:rFonts w:ascii="Times New Roman" w:eastAsia="Times New Roman" w:hAnsi="Times New Roman" w:cs="Times New Roman"/>
                <w:bCs/>
                <w:lang w:val="en-US" w:eastAsia="el-GR"/>
              </w:rPr>
              <w:t xml:space="preserve">αταραχές </w:t>
            </w:r>
            <w:proofErr w:type="spellStart"/>
            <w:r w:rsidRPr="00910C60">
              <w:rPr>
                <w:rFonts w:ascii="Times New Roman" w:eastAsia="Times New Roman" w:hAnsi="Times New Roman" w:cs="Times New Roman"/>
                <w:bCs/>
                <w:lang w:val="en-US" w:eastAsia="el-GR"/>
              </w:rPr>
              <w:t>του</w:t>
            </w:r>
            <w:proofErr w:type="spellEnd"/>
            <w:r w:rsidRPr="00910C60">
              <w:rPr>
                <w:rFonts w:ascii="Times New Roman" w:eastAsia="Times New Roman" w:hAnsi="Times New Roman" w:cs="Times New Roman"/>
                <w:bCs/>
                <w:lang w:val="en-US" w:eastAsia="el-GR"/>
              </w:rPr>
              <w:t xml:space="preserve"> </w:t>
            </w:r>
            <w:proofErr w:type="spellStart"/>
            <w:r w:rsidRPr="00910C60">
              <w:rPr>
                <w:rFonts w:ascii="Times New Roman" w:eastAsia="Times New Roman" w:hAnsi="Times New Roman" w:cs="Times New Roman"/>
                <w:bCs/>
                <w:lang w:val="en-US" w:eastAsia="el-GR"/>
              </w:rPr>
              <w:t>νευρικού</w:t>
            </w:r>
            <w:proofErr w:type="spellEnd"/>
            <w:r w:rsidRPr="00910C60">
              <w:rPr>
                <w:rFonts w:ascii="Times New Roman" w:eastAsia="Times New Roman" w:hAnsi="Times New Roman" w:cs="Times New Roman"/>
                <w:bCs/>
                <w:lang w:val="en-US" w:eastAsia="el-GR"/>
              </w:rPr>
              <w:t xml:space="preserve"> </w:t>
            </w:r>
            <w:proofErr w:type="spellStart"/>
            <w:r w:rsidRPr="00910C60">
              <w:rPr>
                <w:rFonts w:ascii="Times New Roman" w:eastAsia="Times New Roman" w:hAnsi="Times New Roman" w:cs="Times New Roman"/>
                <w:bCs/>
                <w:lang w:val="en-US" w:eastAsia="el-GR"/>
              </w:rPr>
              <w:t>συστήμ</w:t>
            </w:r>
            <w:proofErr w:type="spellEnd"/>
            <w:r w:rsidRPr="00910C60">
              <w:rPr>
                <w:rFonts w:ascii="Times New Roman" w:eastAsia="Times New Roman" w:hAnsi="Times New Roman" w:cs="Times New Roman"/>
                <w:bCs/>
                <w:lang w:val="en-US" w:eastAsia="el-GR"/>
              </w:rPr>
              <w:t>ατος</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Κεφαλαλγία</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p>
        </w:tc>
      </w:tr>
      <w:tr w:rsidR="00910C60" w:rsidRPr="00910C60" w:rsidTr="006C51EF">
        <w:tblPrEx>
          <w:tblCellMar>
            <w:top w:w="0" w:type="dxa"/>
            <w:bottom w:w="0" w:type="dxa"/>
          </w:tblCellMar>
        </w:tblPrEx>
        <w:trPr>
          <w:cantSplit/>
          <w:trHeight w:val="534"/>
        </w:trPr>
        <w:tc>
          <w:tcPr>
            <w:tcW w:w="2445" w:type="dxa"/>
          </w:tcPr>
          <w:p w:rsidR="00910C60" w:rsidRPr="00910C60" w:rsidRDefault="00910C60" w:rsidP="00910C60">
            <w:pPr>
              <w:spacing w:after="0" w:line="240" w:lineRule="auto"/>
              <w:rPr>
                <w:rFonts w:ascii="Times New Roman" w:eastAsia="Times New Roman" w:hAnsi="Times New Roman" w:cs="Times New Roman"/>
                <w:bCs/>
                <w:lang w:eastAsia="el-GR"/>
              </w:rPr>
            </w:pPr>
            <w:proofErr w:type="spellStart"/>
            <w:r w:rsidRPr="00910C60">
              <w:rPr>
                <w:rFonts w:ascii="Times New Roman" w:eastAsia="Times New Roman" w:hAnsi="Times New Roman" w:cs="Times New Roman"/>
                <w:bCs/>
                <w:lang w:val="en-US" w:eastAsia="el-GR"/>
              </w:rPr>
              <w:t>Οφθ</w:t>
            </w:r>
            <w:proofErr w:type="spellEnd"/>
            <w:r w:rsidRPr="00910C60">
              <w:rPr>
                <w:rFonts w:ascii="Times New Roman" w:eastAsia="Times New Roman" w:hAnsi="Times New Roman" w:cs="Times New Roman"/>
                <w:bCs/>
                <w:lang w:val="en-US" w:eastAsia="el-GR"/>
              </w:rPr>
              <w:t>αλμικές</w:t>
            </w:r>
            <w:r w:rsidRPr="00910C60">
              <w:rPr>
                <w:rFonts w:ascii="Times New Roman" w:eastAsia="Times New Roman" w:hAnsi="Times New Roman" w:cs="Times New Roman"/>
                <w:bCs/>
                <w:lang w:eastAsia="el-GR"/>
              </w:rPr>
              <w:t xml:space="preserve"> διαταραχές</w:t>
            </w:r>
          </w:p>
        </w:tc>
        <w:tc>
          <w:tcPr>
            <w:tcW w:w="2184" w:type="dxa"/>
            <w:vAlign w:val="center"/>
          </w:tcPr>
          <w:p w:rsidR="00910C60" w:rsidRPr="00910C60" w:rsidRDefault="00910C60" w:rsidP="00910C60">
            <w:pPr>
              <w:spacing w:after="0" w:line="240" w:lineRule="auto"/>
              <w:rPr>
                <w:rFonts w:ascii="Times New Roman" w:eastAsia="Times New Roman" w:hAnsi="Times New Roman" w:cs="Times New Roman"/>
                <w:bCs/>
                <w:lang w:eastAsia="el-GR"/>
              </w:rPr>
            </w:pP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Δυσανεξία φακών επαφής</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p>
        </w:tc>
      </w:tr>
      <w:tr w:rsidR="00910C60" w:rsidRPr="00910C60" w:rsidTr="006C51EF">
        <w:tblPrEx>
          <w:tblCellMar>
            <w:top w:w="0" w:type="dxa"/>
            <w:bottom w:w="0" w:type="dxa"/>
          </w:tblCellMar>
        </w:tblPrEx>
        <w:trPr>
          <w:cantSplit/>
          <w:trHeight w:val="704"/>
        </w:trPr>
        <w:tc>
          <w:tcPr>
            <w:tcW w:w="2445"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Διαταραχές του γαστρεντερικού συστήματος</w:t>
            </w:r>
          </w:p>
        </w:tc>
        <w:tc>
          <w:tcPr>
            <w:tcW w:w="2184"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Ναυτία</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Έμετος</w:t>
            </w:r>
          </w:p>
        </w:tc>
        <w:tc>
          <w:tcPr>
            <w:tcW w:w="2184" w:type="dxa"/>
          </w:tcPr>
          <w:p w:rsidR="00910C60" w:rsidRPr="00910C60" w:rsidRDefault="00910C60" w:rsidP="00910C60">
            <w:pPr>
              <w:spacing w:after="0" w:line="240" w:lineRule="auto"/>
              <w:rPr>
                <w:rFonts w:ascii="Times New Roman" w:eastAsia="Times New Roman" w:hAnsi="Times New Roman" w:cs="Times New Roman"/>
                <w:lang w:eastAsia="el-GR"/>
              </w:rPr>
            </w:pPr>
          </w:p>
        </w:tc>
      </w:tr>
      <w:tr w:rsidR="00910C60" w:rsidRPr="00910C60" w:rsidTr="006C51EF">
        <w:tblPrEx>
          <w:tblCellMar>
            <w:top w:w="0" w:type="dxa"/>
            <w:bottom w:w="0" w:type="dxa"/>
          </w:tblCellMar>
        </w:tblPrEx>
        <w:trPr>
          <w:cantSplit/>
          <w:trHeight w:val="673"/>
        </w:trPr>
        <w:tc>
          <w:tcPr>
            <w:tcW w:w="2445"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Διαταραχές του δέρματος και του υποδόριου ιστού</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Ακμή</w:t>
            </w:r>
          </w:p>
        </w:tc>
        <w:tc>
          <w:tcPr>
            <w:tcW w:w="2184"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bCs/>
                <w:lang w:eastAsia="el-GR"/>
              </w:rPr>
              <w:t>Αλωπεκία</w:t>
            </w:r>
          </w:p>
        </w:tc>
        <w:tc>
          <w:tcPr>
            <w:tcW w:w="2184"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bCs/>
                <w:lang w:eastAsia="el-GR"/>
              </w:rPr>
              <w:t>Εξάνθημα, Κνίδωση, Οζώδες ερύθημα</w:t>
            </w:r>
          </w:p>
        </w:tc>
      </w:tr>
      <w:tr w:rsidR="00910C60" w:rsidRPr="00910C60" w:rsidTr="006C51EF">
        <w:tblPrEx>
          <w:tblCellMar>
            <w:top w:w="0" w:type="dxa"/>
            <w:bottom w:w="0" w:type="dxa"/>
          </w:tblCellMar>
        </w:tblPrEx>
        <w:trPr>
          <w:cantSplit/>
          <w:trHeight w:val="896"/>
        </w:trPr>
        <w:tc>
          <w:tcPr>
            <w:tcW w:w="2445"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Διαταραχές του αναπαραγωγικού συστήματος και του μαστού</w:t>
            </w:r>
          </w:p>
        </w:tc>
        <w:tc>
          <w:tcPr>
            <w:tcW w:w="2184" w:type="dxa"/>
          </w:tcPr>
          <w:p w:rsidR="00910C60" w:rsidRPr="00910C60" w:rsidRDefault="00910C60" w:rsidP="00910C60">
            <w:pPr>
              <w:spacing w:after="0" w:line="240" w:lineRule="auto"/>
              <w:rPr>
                <w:rFonts w:ascii="Times New Roman" w:eastAsia="Times New Roman" w:hAnsi="Times New Roman" w:cs="Times New Roman"/>
                <w:bCs/>
                <w:lang w:eastAsia="el-GR"/>
              </w:rPr>
            </w:pPr>
            <w:proofErr w:type="spellStart"/>
            <w:r w:rsidRPr="00910C60">
              <w:rPr>
                <w:rFonts w:ascii="Times New Roman" w:eastAsia="Times New Roman" w:hAnsi="Times New Roman" w:cs="Times New Roman"/>
                <w:bCs/>
                <w:lang w:eastAsia="el-GR"/>
              </w:rPr>
              <w:t>Μαστοδυνία</w:t>
            </w:r>
            <w:proofErr w:type="spellEnd"/>
            <w:r w:rsidRPr="00910C60">
              <w:rPr>
                <w:rFonts w:ascii="Times New Roman" w:eastAsia="Times New Roman" w:hAnsi="Times New Roman" w:cs="Times New Roman"/>
                <w:bCs/>
                <w:lang w:eastAsia="el-GR"/>
              </w:rPr>
              <w:t xml:space="preserve">, </w:t>
            </w:r>
          </w:p>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 xml:space="preserve">Έμμηνος ρύση ακανόνιστη, Αμηνόρροια </w:t>
            </w:r>
          </w:p>
        </w:tc>
        <w:tc>
          <w:tcPr>
            <w:tcW w:w="2184"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Δυσμηνόρροια, </w:t>
            </w:r>
          </w:p>
          <w:p w:rsidR="00910C60" w:rsidRPr="00910C60" w:rsidRDefault="00910C60" w:rsidP="00910C60">
            <w:pPr>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Κύστη ωοθήκης</w:t>
            </w:r>
          </w:p>
        </w:tc>
        <w:tc>
          <w:tcPr>
            <w:tcW w:w="2184" w:type="dxa"/>
          </w:tcPr>
          <w:p w:rsidR="00910C60" w:rsidRPr="00910C60" w:rsidRDefault="00910C60" w:rsidP="00910C60">
            <w:pPr>
              <w:spacing w:after="0" w:line="240" w:lineRule="auto"/>
              <w:rPr>
                <w:rFonts w:ascii="Times New Roman" w:eastAsia="Times New Roman" w:hAnsi="Times New Roman" w:cs="Times New Roman"/>
                <w:lang w:eastAsia="el-GR"/>
              </w:rPr>
            </w:pPr>
          </w:p>
        </w:tc>
      </w:tr>
      <w:tr w:rsidR="00910C60" w:rsidRPr="00910C60" w:rsidTr="006C51EF">
        <w:tblPrEx>
          <w:tblCellMar>
            <w:top w:w="0" w:type="dxa"/>
            <w:bottom w:w="0" w:type="dxa"/>
          </w:tblCellMar>
        </w:tblPrEx>
        <w:trPr>
          <w:cantSplit/>
          <w:trHeight w:val="635"/>
        </w:trPr>
        <w:tc>
          <w:tcPr>
            <w:tcW w:w="2445" w:type="dxa"/>
          </w:tcPr>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Γενικές διαταραχές και καταστάσεις της οδού χορήγησης</w:t>
            </w:r>
          </w:p>
        </w:tc>
        <w:tc>
          <w:tcPr>
            <w:tcW w:w="2184" w:type="dxa"/>
          </w:tcPr>
          <w:p w:rsidR="00910C60" w:rsidRPr="00910C60" w:rsidRDefault="00910C60" w:rsidP="00910C60">
            <w:pPr>
              <w:tabs>
                <w:tab w:val="left" w:pos="884"/>
              </w:tabs>
              <w:spacing w:after="0" w:line="240" w:lineRule="auto"/>
              <w:rPr>
                <w:rFonts w:ascii="Times New Roman" w:eastAsia="Times New Roman" w:hAnsi="Times New Roman" w:cs="Times New Roman"/>
                <w:bCs/>
                <w:lang w:eastAsia="el-GR"/>
              </w:rPr>
            </w:pPr>
          </w:p>
        </w:tc>
        <w:tc>
          <w:tcPr>
            <w:tcW w:w="2184" w:type="dxa"/>
          </w:tcPr>
          <w:p w:rsidR="00910C60" w:rsidRPr="00910C60" w:rsidRDefault="00910C60" w:rsidP="00910C60">
            <w:pPr>
              <w:tabs>
                <w:tab w:val="left" w:pos="884"/>
              </w:tabs>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Κόπωση</w:t>
            </w:r>
          </w:p>
        </w:tc>
        <w:tc>
          <w:tcPr>
            <w:tcW w:w="2184" w:type="dxa"/>
          </w:tcPr>
          <w:p w:rsidR="00910C60" w:rsidRPr="00910C60" w:rsidRDefault="00910C60" w:rsidP="00910C60">
            <w:pPr>
              <w:tabs>
                <w:tab w:val="left" w:pos="884"/>
              </w:tabs>
              <w:spacing w:after="0" w:line="240" w:lineRule="auto"/>
              <w:rPr>
                <w:rFonts w:ascii="Times New Roman" w:eastAsia="Times New Roman" w:hAnsi="Times New Roman" w:cs="Times New Roman"/>
                <w:lang w:eastAsia="el-GR"/>
              </w:rPr>
            </w:pPr>
          </w:p>
        </w:tc>
      </w:tr>
      <w:tr w:rsidR="00910C60" w:rsidRPr="00910C60" w:rsidTr="006C51EF">
        <w:tblPrEx>
          <w:tblCellMar>
            <w:top w:w="0" w:type="dxa"/>
            <w:bottom w:w="0" w:type="dxa"/>
          </w:tblCellMar>
        </w:tblPrEx>
        <w:trPr>
          <w:cantSplit/>
          <w:trHeight w:val="635"/>
        </w:trPr>
        <w:tc>
          <w:tcPr>
            <w:tcW w:w="2445" w:type="dxa"/>
          </w:tcPr>
          <w:p w:rsidR="00910C60" w:rsidRPr="00910C60" w:rsidRDefault="00910C60" w:rsidP="00910C60">
            <w:pPr>
              <w:spacing w:after="0" w:line="240" w:lineRule="auto"/>
              <w:rPr>
                <w:rFonts w:ascii="Times New Roman" w:eastAsia="Times New Roman" w:hAnsi="Times New Roman" w:cs="Times New Roman"/>
                <w:lang w:eastAsia="el-GR"/>
              </w:rPr>
            </w:pPr>
            <w:proofErr w:type="spellStart"/>
            <w:r w:rsidRPr="00910C60">
              <w:rPr>
                <w:rFonts w:ascii="Times New Roman" w:eastAsia="Times New Roman" w:hAnsi="Times New Roman" w:cs="Times New Roman"/>
                <w:lang w:eastAsia="el-GR"/>
              </w:rPr>
              <w:t>Παρακλινικές</w:t>
            </w:r>
            <w:proofErr w:type="spellEnd"/>
            <w:r w:rsidRPr="00910C60">
              <w:rPr>
                <w:rFonts w:ascii="Times New Roman" w:eastAsia="Times New Roman" w:hAnsi="Times New Roman" w:cs="Times New Roman"/>
                <w:lang w:eastAsia="el-GR"/>
              </w:rPr>
              <w:t xml:space="preserve"> εξετάσεις</w:t>
            </w:r>
          </w:p>
        </w:tc>
        <w:tc>
          <w:tcPr>
            <w:tcW w:w="2184" w:type="dxa"/>
          </w:tcPr>
          <w:p w:rsidR="00910C60" w:rsidRPr="00910C60" w:rsidRDefault="00910C60" w:rsidP="00910C60">
            <w:pPr>
              <w:tabs>
                <w:tab w:val="left" w:pos="884"/>
              </w:tabs>
              <w:spacing w:after="0" w:line="240" w:lineRule="auto"/>
              <w:rPr>
                <w:rFonts w:ascii="Times New Roman" w:eastAsia="Times New Roman" w:hAnsi="Times New Roman" w:cs="Times New Roman"/>
                <w:bCs/>
                <w:lang w:eastAsia="el-GR"/>
              </w:rPr>
            </w:pPr>
            <w:r w:rsidRPr="00910C60">
              <w:rPr>
                <w:rFonts w:ascii="Times New Roman" w:eastAsia="Times New Roman" w:hAnsi="Times New Roman" w:cs="Times New Roman"/>
                <w:bCs/>
                <w:lang w:eastAsia="el-GR"/>
              </w:rPr>
              <w:t>Σωματικό βάρος αυξημένο</w:t>
            </w:r>
          </w:p>
        </w:tc>
        <w:tc>
          <w:tcPr>
            <w:tcW w:w="2184" w:type="dxa"/>
            <w:vAlign w:val="center"/>
          </w:tcPr>
          <w:p w:rsidR="00910C60" w:rsidRPr="00910C60" w:rsidRDefault="00910C60" w:rsidP="00910C60">
            <w:pPr>
              <w:tabs>
                <w:tab w:val="left" w:pos="884"/>
              </w:tabs>
              <w:spacing w:after="0" w:line="240" w:lineRule="auto"/>
              <w:rPr>
                <w:rFonts w:ascii="Times New Roman" w:eastAsia="Times New Roman" w:hAnsi="Times New Roman" w:cs="Times New Roman"/>
                <w:lang w:eastAsia="el-GR"/>
              </w:rPr>
            </w:pPr>
          </w:p>
        </w:tc>
        <w:tc>
          <w:tcPr>
            <w:tcW w:w="2184" w:type="dxa"/>
          </w:tcPr>
          <w:p w:rsidR="00910C60" w:rsidRPr="00910C60" w:rsidRDefault="00910C60" w:rsidP="00910C60">
            <w:pPr>
              <w:tabs>
                <w:tab w:val="left" w:pos="884"/>
              </w:tabs>
              <w:spacing w:after="0" w:line="240" w:lineRule="auto"/>
              <w:rPr>
                <w:rFonts w:ascii="Times New Roman" w:eastAsia="Times New Roman" w:hAnsi="Times New Roman" w:cs="Times New Roman"/>
                <w:lang w:eastAsia="el-GR"/>
              </w:rPr>
            </w:pPr>
          </w:p>
        </w:tc>
      </w:tr>
    </w:tbl>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val="en-US" w:eastAsia="el-GR"/>
        </w:rPr>
        <w:t>MedDRA</w:t>
      </w:r>
      <w:proofErr w:type="spellEnd"/>
      <w:r w:rsidRPr="00910C60">
        <w:rPr>
          <w:rFonts w:ascii="Times New Roman" w:eastAsia="Times New Roman" w:hAnsi="Times New Roman" w:cs="Times New Roman"/>
          <w:lang w:eastAsia="el-GR"/>
        </w:rPr>
        <w:t xml:space="preserve"> έκδοση 9.0</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lastRenderedPageBreak/>
        <w:t xml:space="preserve">Έκκριση μαστού μπορεί να εμφανιστεί κατά τη χρήση του </w:t>
      </w:r>
      <w:proofErr w:type="spellStart"/>
      <w:r w:rsidRPr="00910C60">
        <w:rPr>
          <w:rFonts w:ascii="Times New Roman" w:eastAsia="Times New Roman" w:hAnsi="Times New Roman" w:cs="Times New Roman"/>
          <w:lang w:val="en-US" w:eastAsia="el-GR"/>
        </w:rPr>
        <w:t>Cerazette</w:t>
      </w:r>
      <w:proofErr w:type="spellEnd"/>
      <w:r w:rsidRPr="00910C60">
        <w:rPr>
          <w:rFonts w:ascii="Times New Roman" w:eastAsia="Times New Roman" w:hAnsi="Times New Roman" w:cs="Times New Roman"/>
          <w:lang w:eastAsia="el-GR"/>
        </w:rPr>
        <w:t xml:space="preserve">. Σε σπάνιες περιπτώσεις, έχουν αναφερθεί έκτοπες κυήσεις (βλ. Παράγραφο 4.4). Επιπλέον, μπορεί να εμφανιστεί </w:t>
      </w:r>
      <w:proofErr w:type="spellStart"/>
      <w:r w:rsidRPr="00910C60">
        <w:rPr>
          <w:rFonts w:ascii="Times New Roman" w:eastAsia="Times New Roman" w:hAnsi="Times New Roman" w:cs="Times New Roman"/>
          <w:lang w:eastAsia="el-GR"/>
        </w:rPr>
        <w:t>αγγειοοίδημα</w:t>
      </w:r>
      <w:proofErr w:type="spellEnd"/>
      <w:r w:rsidRPr="00910C60">
        <w:rPr>
          <w:rFonts w:ascii="Times New Roman" w:eastAsia="Times New Roman" w:hAnsi="Times New Roman" w:cs="Times New Roman"/>
          <w:lang w:eastAsia="el-GR"/>
        </w:rPr>
        <w:t xml:space="preserve"> (επιδείνωση </w:t>
      </w:r>
      <w:proofErr w:type="spellStart"/>
      <w:r w:rsidRPr="00910C60">
        <w:rPr>
          <w:rFonts w:ascii="Times New Roman" w:eastAsia="Times New Roman" w:hAnsi="Times New Roman" w:cs="Times New Roman"/>
          <w:lang w:eastAsia="el-GR"/>
        </w:rPr>
        <w:t>αγγειοοιδήματος</w:t>
      </w:r>
      <w:proofErr w:type="spellEnd"/>
      <w:r w:rsidRPr="00910C60">
        <w:rPr>
          <w:rFonts w:ascii="Times New Roman" w:eastAsia="Times New Roman" w:hAnsi="Times New Roman" w:cs="Times New Roman"/>
          <w:lang w:eastAsia="el-GR"/>
        </w:rPr>
        <w:t xml:space="preserve">) και/ή επιδείνωση κληρονομικού </w:t>
      </w:r>
      <w:proofErr w:type="spellStart"/>
      <w:r w:rsidRPr="00910C60">
        <w:rPr>
          <w:rFonts w:ascii="Times New Roman" w:eastAsia="Times New Roman" w:hAnsi="Times New Roman" w:cs="Times New Roman"/>
          <w:lang w:eastAsia="el-GR"/>
        </w:rPr>
        <w:t>αγγειοοιδήματος</w:t>
      </w:r>
      <w:proofErr w:type="spellEnd"/>
      <w:r w:rsidRPr="00910C60">
        <w:rPr>
          <w:rFonts w:ascii="Times New Roman" w:eastAsia="Times New Roman" w:hAnsi="Times New Roman" w:cs="Times New Roman"/>
          <w:lang w:eastAsia="el-GR"/>
        </w:rPr>
        <w:t xml:space="preserve"> (βλ. Παράγραφο 4.4).</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Σε γυναίκες που χρησιμοποιούν (συνδυασμένα) από του στόματος αντισυλληπτικά, έχει αναφερθεί ένας αριθμός (σοβαρών) ανεπιθύμητων ενεργειών. Αυτές περιλαμβάνουν φλεβικές </w:t>
      </w:r>
      <w:proofErr w:type="spellStart"/>
      <w:r w:rsidRPr="00910C60">
        <w:rPr>
          <w:rFonts w:ascii="Times New Roman" w:eastAsia="Times New Roman" w:hAnsi="Times New Roman" w:cs="Times New Roman"/>
          <w:lang w:eastAsia="el-GR"/>
        </w:rPr>
        <w:t>θρομβοεμβολικές</w:t>
      </w:r>
      <w:proofErr w:type="spellEnd"/>
      <w:r w:rsidRPr="00910C60">
        <w:rPr>
          <w:rFonts w:ascii="Times New Roman" w:eastAsia="Times New Roman" w:hAnsi="Times New Roman" w:cs="Times New Roman"/>
          <w:lang w:eastAsia="el-GR"/>
        </w:rPr>
        <w:t xml:space="preserve"> διαταραχές, αρτηριακές </w:t>
      </w:r>
      <w:proofErr w:type="spellStart"/>
      <w:r w:rsidRPr="00910C60">
        <w:rPr>
          <w:rFonts w:ascii="Times New Roman" w:eastAsia="Times New Roman" w:hAnsi="Times New Roman" w:cs="Times New Roman"/>
          <w:lang w:eastAsia="el-GR"/>
        </w:rPr>
        <w:t>θρομβοεμβολικές</w:t>
      </w:r>
      <w:proofErr w:type="spellEnd"/>
      <w:r w:rsidRPr="00910C60">
        <w:rPr>
          <w:rFonts w:ascii="Times New Roman" w:eastAsia="Times New Roman" w:hAnsi="Times New Roman" w:cs="Times New Roman"/>
          <w:lang w:eastAsia="el-GR"/>
        </w:rPr>
        <w:t xml:space="preserve"> διαταραχές, </w:t>
      </w:r>
      <w:proofErr w:type="spellStart"/>
      <w:r w:rsidRPr="00910C60">
        <w:rPr>
          <w:rFonts w:ascii="Times New Roman" w:eastAsia="Times New Roman" w:hAnsi="Times New Roman" w:cs="Times New Roman"/>
          <w:lang w:eastAsia="el-GR"/>
        </w:rPr>
        <w:t>ορμονοεξαρτώμενους</w:t>
      </w:r>
      <w:proofErr w:type="spellEnd"/>
      <w:r w:rsidRPr="00910C60">
        <w:rPr>
          <w:rFonts w:ascii="Times New Roman" w:eastAsia="Times New Roman" w:hAnsi="Times New Roman" w:cs="Times New Roman"/>
          <w:lang w:eastAsia="el-GR"/>
        </w:rPr>
        <w:t xml:space="preserve"> όγκους (π.χ. ηπατικοί όγκοι, καρκίνος του μαστού) και χλόασμα, κάποιες από τις οποίες αναφέρονται πιο λεπτομερώς στην Παράγραφο 4.4.</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tabs>
          <w:tab w:val="left" w:pos="567"/>
        </w:tabs>
        <w:autoSpaceDE w:val="0"/>
        <w:autoSpaceDN w:val="0"/>
        <w:adjustRightInd w:val="0"/>
        <w:spacing w:after="0" w:line="240" w:lineRule="auto"/>
        <w:rPr>
          <w:rFonts w:ascii="Times New Roman" w:eastAsia="Times New Roman" w:hAnsi="Times New Roman" w:cs="Times New Roman"/>
          <w:noProof/>
          <w:u w:val="single"/>
        </w:rPr>
      </w:pPr>
      <w:r w:rsidRPr="00910C60">
        <w:rPr>
          <w:rFonts w:ascii="Times New Roman" w:eastAsia="Times New Roman" w:hAnsi="Times New Roman" w:cs="Times New Roman"/>
          <w:noProof/>
          <w:u w:val="single"/>
        </w:rPr>
        <w:t>Αναφορά πιθανολογούμενων ανεπιθύμητων ενεργειών</w:t>
      </w:r>
    </w:p>
    <w:p w:rsidR="00910C60" w:rsidRPr="00910C60" w:rsidRDefault="00910C60" w:rsidP="00910C60">
      <w:pPr>
        <w:tabs>
          <w:tab w:val="left" w:pos="567"/>
        </w:tabs>
        <w:spacing w:after="0" w:line="260" w:lineRule="exact"/>
        <w:rPr>
          <w:rFonts w:ascii="Times New Roman" w:eastAsia="Calibri" w:hAnsi="Times New Roman" w:cs="Times New Roman"/>
          <w:noProof/>
          <w:lang w:eastAsia="zh-CN"/>
        </w:rPr>
      </w:pPr>
      <w:r w:rsidRPr="00910C60">
        <w:rPr>
          <w:rFonts w:ascii="Times New Roman" w:eastAsia="Times New Roman" w:hAnsi="Times New Roman" w:cs="Times New Roman"/>
          <w:noProof/>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υγείας να αναφέρουν οποιεσδήποτε πιθανολογούμενες ανεπιθύμητες ενέργειες στον Εθνικό Οργανισμό Φαρμάκων, Μεσογείων 284, GR-15562 Χολαργός, Αθήνα, Τηλ: + 30 21 32040380/337, Φαξ: + 30 21 06549585, Ιστότοπος: </w:t>
      </w:r>
      <w:hyperlink r:id="rId6" w:history="1">
        <w:r w:rsidRPr="00910C60">
          <w:rPr>
            <w:rFonts w:ascii="Times New Roman" w:eastAsia="Calibri" w:hAnsi="Times New Roman" w:cs="Times New Roman"/>
            <w:noProof/>
            <w:color w:val="0000FF"/>
            <w:u w:val="single"/>
            <w:lang w:eastAsia="zh-CN"/>
          </w:rPr>
          <w:t>http://www.eof.gr</w:t>
        </w:r>
      </w:hyperlink>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4.9</w:t>
      </w:r>
      <w:r w:rsidRPr="00910C60">
        <w:rPr>
          <w:rFonts w:ascii="Times New Roman" w:eastAsia="Times New Roman" w:hAnsi="Times New Roman" w:cs="Times New Roman"/>
          <w:b/>
          <w:lang w:eastAsia="el-GR"/>
        </w:rPr>
        <w:tab/>
      </w:r>
      <w:proofErr w:type="spellStart"/>
      <w:r w:rsidRPr="00910C60">
        <w:rPr>
          <w:rFonts w:ascii="Times New Roman" w:eastAsia="Times New Roman" w:hAnsi="Times New Roman" w:cs="Times New Roman"/>
          <w:b/>
          <w:lang w:eastAsia="el-GR"/>
        </w:rPr>
        <w:t>Υπερδοσολογία</w:t>
      </w:r>
      <w:proofErr w:type="spellEnd"/>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Δεν έχουν αναφερθεί σοβαρές τοξικές επιδράσεις από </w:t>
      </w:r>
      <w:proofErr w:type="spellStart"/>
      <w:r w:rsidRPr="00910C60">
        <w:rPr>
          <w:rFonts w:ascii="Times New Roman" w:eastAsia="Times New Roman" w:hAnsi="Times New Roman" w:cs="Times New Roman"/>
          <w:lang w:eastAsia="el-GR"/>
        </w:rPr>
        <w:t>υπερδοσολογία</w:t>
      </w:r>
      <w:proofErr w:type="spellEnd"/>
      <w:r w:rsidRPr="00910C60">
        <w:rPr>
          <w:rFonts w:ascii="Times New Roman" w:eastAsia="Times New Roman" w:hAnsi="Times New Roman" w:cs="Times New Roman"/>
          <w:lang w:eastAsia="el-GR"/>
        </w:rPr>
        <w:t>. Συμπτώματα που μπορεί να εμφανιστούν σε αυτήν την περίπτωση είναι ναυτία, έμετος και, σε νεαρά κορίτσια, ελαφριά κολπική αιμορραγία. Δεν υπάρχουν αντίδοτα και η περαιτέρω αγωγή θα πρέπει να είναι συμπτωματική.</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5.</w:t>
      </w:r>
      <w:r w:rsidRPr="00910C60">
        <w:rPr>
          <w:rFonts w:ascii="Times New Roman" w:eastAsia="Times New Roman" w:hAnsi="Times New Roman" w:cs="Times New Roman"/>
          <w:b/>
          <w:lang w:eastAsia="el-GR"/>
        </w:rPr>
        <w:tab/>
        <w:t>ΦΑΡΜΑΚΟΛΟΓΙΚΕΣ ΙΔΙΟΤΗΤΕΣ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5.1</w:t>
      </w:r>
      <w:r w:rsidRPr="00910C60">
        <w:rPr>
          <w:rFonts w:ascii="Times New Roman" w:eastAsia="Times New Roman" w:hAnsi="Times New Roman" w:cs="Times New Roman"/>
          <w:b/>
          <w:lang w:eastAsia="el-GR"/>
        </w:rPr>
        <w:tab/>
        <w:t>Φαρμακοδυναμικές ιδιότητες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proofErr w:type="spellStart"/>
      <w:r w:rsidRPr="00910C60">
        <w:rPr>
          <w:rFonts w:ascii="Times New Roman" w:eastAsia="Times New Roman" w:hAnsi="Times New Roman" w:cs="Times New Roman"/>
          <w:lang w:eastAsia="el-GR"/>
        </w:rPr>
        <w:t>Φαρμακοθεραπευτική</w:t>
      </w:r>
      <w:proofErr w:type="spellEnd"/>
      <w:r w:rsidRPr="00910C60">
        <w:rPr>
          <w:rFonts w:ascii="Times New Roman" w:eastAsia="Times New Roman" w:hAnsi="Times New Roman" w:cs="Times New Roman"/>
          <w:lang w:eastAsia="el-GR"/>
        </w:rPr>
        <w:t xml:space="preserve"> κατηγορία: ορμονικά αντισυλληπτικά για συστηματική χρήση, κωδικός </w:t>
      </w:r>
      <w:r w:rsidRPr="00910C60">
        <w:rPr>
          <w:rFonts w:ascii="Times New Roman" w:eastAsia="Times New Roman" w:hAnsi="Times New Roman" w:cs="Times New Roman"/>
          <w:lang w:val="en-US" w:eastAsia="el-GR"/>
        </w:rPr>
        <w:t>ATC</w:t>
      </w:r>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lang w:val="en-US" w:eastAsia="el-GR"/>
        </w:rPr>
        <w:t>G</w:t>
      </w:r>
      <w:r w:rsidRPr="00910C60">
        <w:rPr>
          <w:rFonts w:ascii="Times New Roman" w:eastAsia="Times New Roman" w:hAnsi="Times New Roman" w:cs="Times New Roman"/>
          <w:lang w:eastAsia="el-GR"/>
        </w:rPr>
        <w:t>03</w:t>
      </w:r>
      <w:r w:rsidRPr="00910C60">
        <w:rPr>
          <w:rFonts w:ascii="Times New Roman" w:eastAsia="Times New Roman" w:hAnsi="Times New Roman" w:cs="Times New Roman"/>
          <w:lang w:val="en-US" w:eastAsia="el-GR"/>
        </w:rPr>
        <w:t>AC</w:t>
      </w:r>
      <w:r w:rsidRPr="00910C60">
        <w:rPr>
          <w:rFonts w:ascii="Times New Roman" w:eastAsia="Times New Roman" w:hAnsi="Times New Roman" w:cs="Times New Roman"/>
          <w:lang w:eastAsia="el-GR"/>
        </w:rPr>
        <w:t>09.</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Μηχανισμός δράσης</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είναι ένα χάπι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που περιέχει το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δεσογεστρέλη</w:t>
      </w:r>
      <w:proofErr w:type="spellEnd"/>
      <w:r w:rsidRPr="00910C60">
        <w:rPr>
          <w:rFonts w:ascii="Times New Roman" w:eastAsia="Times New Roman" w:hAnsi="Times New Roman" w:cs="Times New Roman"/>
          <w:lang w:eastAsia="el-GR"/>
        </w:rPr>
        <w:t xml:space="preserve">. Όπως και άλλα χάπια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είναι περισσότερο κατάλληλο για χρήση κατά τη διάρκεια του θηλασμού και για τις γυναίκες που δεν μπορούν ή δεν επιθυμούν να χρησιμοποιούν οιστρογόνα. Σε αντίθεση με τα παραδοσιακά χάπια μόνο με </w:t>
      </w:r>
      <w:proofErr w:type="spellStart"/>
      <w:r w:rsidRPr="00910C60">
        <w:rPr>
          <w:rFonts w:ascii="Times New Roman" w:eastAsia="Times New Roman" w:hAnsi="Times New Roman" w:cs="Times New Roman"/>
          <w:lang w:eastAsia="el-GR"/>
        </w:rPr>
        <w:t>προγεσταγόνο</w:t>
      </w:r>
      <w:proofErr w:type="spellEnd"/>
      <w:r w:rsidRPr="00910C60">
        <w:rPr>
          <w:rFonts w:ascii="Times New Roman" w:eastAsia="Times New Roman" w:hAnsi="Times New Roman" w:cs="Times New Roman"/>
          <w:lang w:eastAsia="el-GR"/>
        </w:rPr>
        <w:t xml:space="preserve">, η αντισυλληπτική δράση του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επιτυγχάνεται κυρίως μέσω αναστολής της ωορρηξίας. Άλλες δράσεις περιλαμβάνουν αυξημένο ιξώδες της τραχηλικής βλέννας.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Κλινική αποτελεσματικότητα και ασφάλεια</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Όταν μελετήθηκε για 2 κύκλους, χρησιμοποιώντας ως ορισμό της ωορρηξίας τα επίπεδα της προγεστερόνης να είναι υψηλότερα από 16 </w:t>
      </w:r>
      <w:proofErr w:type="spellStart"/>
      <w:r w:rsidRPr="00910C60">
        <w:rPr>
          <w:rFonts w:ascii="Times New Roman" w:eastAsia="Times New Roman" w:hAnsi="Times New Roman" w:cs="Times New Roman"/>
          <w:lang w:val="en-US" w:eastAsia="el-GR"/>
        </w:rPr>
        <w:t>nmol</w:t>
      </w:r>
      <w:proofErr w:type="spellEnd"/>
      <w:r w:rsidRPr="00910C60">
        <w:rPr>
          <w:rFonts w:ascii="Times New Roman" w:eastAsia="Times New Roman" w:hAnsi="Times New Roman" w:cs="Times New Roman"/>
          <w:lang w:eastAsia="el-GR"/>
        </w:rPr>
        <w:t>/</w:t>
      </w:r>
      <w:r w:rsidRPr="00910C60">
        <w:rPr>
          <w:rFonts w:ascii="Times New Roman" w:eastAsia="Times New Roman" w:hAnsi="Times New Roman" w:cs="Times New Roman"/>
          <w:lang w:val="en-US" w:eastAsia="el-GR"/>
        </w:rPr>
        <w:t>L</w:t>
      </w:r>
      <w:r w:rsidRPr="00910C60">
        <w:rPr>
          <w:rFonts w:ascii="Times New Roman" w:eastAsia="Times New Roman" w:hAnsi="Times New Roman" w:cs="Times New Roman"/>
          <w:lang w:eastAsia="el-GR"/>
        </w:rPr>
        <w:t xml:space="preserve"> για 5 συνεχόμενες ημέρες, η επίπτωση της ωορρηξίας βρέθηκε να είναι 1% (1/103), με διάστημα εμπιστοσύνης 95% από 0,02% έως 5,29% στην ομάδα ΙΤΤ (αποτυχία του χρήστη και αποτυχία της μεθόδου). Η αναστολή της ωορρηξίας επιτεύχθηκε από τον πρώτο κύκλο χρήσης. Σε αυτήν τη μελέτη, όταν διακόπηκε η χρήση του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μετά από 2 κύκλους (56 συνεχείς ημέρες), η ωορρηξία έλαβε χώρα κατά μέσο όρο μετά από 17 ημέρες (εύρος 7</w:t>
      </w:r>
      <w:r w:rsidRPr="00910C60">
        <w:rPr>
          <w:rFonts w:ascii="Times New Roman" w:eastAsia="Times New Roman" w:hAnsi="Times New Roman" w:cs="Times New Roman"/>
          <w:lang w:eastAsia="el-GR"/>
        </w:rPr>
        <w:noBreakHyphen/>
        <w:t xml:space="preserve">30 ημέρες).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Σε μια συγκριτική δοκιμή αποτελεσματικότητας (όπου επιτράπηκε η παράλειψη χαπιών για μέγιστο χρονικό διάστημα 3 ωρών), ο συνολικός δείκτης </w:t>
      </w:r>
      <w:proofErr w:type="spellStart"/>
      <w:r w:rsidRPr="00910C60">
        <w:rPr>
          <w:rFonts w:ascii="Times New Roman" w:eastAsia="Times New Roman" w:hAnsi="Times New Roman" w:cs="Times New Roman"/>
          <w:lang w:eastAsia="el-GR"/>
        </w:rPr>
        <w:t>Pearl</w:t>
      </w:r>
      <w:proofErr w:type="spellEnd"/>
      <w:r w:rsidRPr="00910C60">
        <w:rPr>
          <w:rFonts w:ascii="Times New Roman" w:eastAsia="Times New Roman" w:hAnsi="Times New Roman" w:cs="Times New Roman"/>
          <w:lang w:eastAsia="el-GR"/>
        </w:rPr>
        <w:t xml:space="preserve"> στην ομάδα ΙΤΤ για το </w:t>
      </w:r>
      <w:proofErr w:type="spellStart"/>
      <w:r w:rsidRPr="00910C60">
        <w:rPr>
          <w:rFonts w:ascii="Times New Roman" w:eastAsia="Times New Roman" w:hAnsi="Times New Roman" w:cs="Times New Roman"/>
          <w:lang w:eastAsia="el-GR"/>
        </w:rPr>
        <w:lastRenderedPageBreak/>
        <w:t>Cerazette</w:t>
      </w:r>
      <w:proofErr w:type="spellEnd"/>
      <w:r w:rsidRPr="00910C60">
        <w:rPr>
          <w:rFonts w:ascii="Times New Roman" w:eastAsia="Times New Roman" w:hAnsi="Times New Roman" w:cs="Times New Roman"/>
          <w:lang w:eastAsia="el-GR"/>
        </w:rPr>
        <w:t xml:space="preserve"> ήταν 0,4 (με διάστημα εμπιστοσύνης 95% από 0,09 έως 1,20), σε σύγκριση με το 1,6 (με διάστημα εμπιστοσύνης 95% από 0,42 έως 3,96) για την ομάδα που λάμβανε 30 </w:t>
      </w:r>
      <w:proofErr w:type="spellStart"/>
      <w:r w:rsidRPr="00910C60">
        <w:rPr>
          <w:rFonts w:ascii="Times New Roman" w:eastAsia="Times New Roman" w:hAnsi="Times New Roman" w:cs="Times New Roman"/>
          <w:lang w:eastAsia="el-GR"/>
        </w:rPr>
        <w:t>μg</w:t>
      </w:r>
      <w:proofErr w:type="spellEnd"/>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eastAsia="el-GR"/>
        </w:rPr>
        <w:t>λεβονοργεστρέλης</w:t>
      </w:r>
      <w:proofErr w:type="spellEnd"/>
      <w:r w:rsidRPr="00910C60">
        <w:rPr>
          <w:rFonts w:ascii="Times New Roman" w:eastAsia="Times New Roman" w:hAnsi="Times New Roman" w:cs="Times New Roman"/>
          <w:lang w:eastAsia="el-GR"/>
        </w:rPr>
        <w:t xml:space="preserve">.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O δείκτης </w:t>
      </w:r>
      <w:proofErr w:type="spellStart"/>
      <w:r w:rsidRPr="00910C60">
        <w:rPr>
          <w:rFonts w:ascii="Times New Roman" w:eastAsia="Times New Roman" w:hAnsi="Times New Roman" w:cs="Times New Roman"/>
          <w:lang w:eastAsia="el-GR"/>
        </w:rPr>
        <w:t>Pearl</w:t>
      </w:r>
      <w:proofErr w:type="spellEnd"/>
      <w:r w:rsidRPr="00910C60">
        <w:rPr>
          <w:rFonts w:ascii="Times New Roman" w:eastAsia="Times New Roman" w:hAnsi="Times New Roman" w:cs="Times New Roman"/>
          <w:lang w:eastAsia="el-GR"/>
        </w:rPr>
        <w:t xml:space="preserve"> για το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είναι συγκρίσιμος με εκείνον που έχει ιστορικά βρεθεί για τα ΣΣΑ στον γενικό πληθυσμό που χρησιμοποιεί ΣΣΑ.</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αγωγή με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οδηγεί σε μειωμένα επίπεδα </w:t>
      </w:r>
      <w:proofErr w:type="spellStart"/>
      <w:r w:rsidRPr="00910C60">
        <w:rPr>
          <w:rFonts w:ascii="Times New Roman" w:eastAsia="Times New Roman" w:hAnsi="Times New Roman" w:cs="Times New Roman"/>
          <w:lang w:eastAsia="el-GR"/>
        </w:rPr>
        <w:t>οιστραδιόλης</w:t>
      </w:r>
      <w:proofErr w:type="spellEnd"/>
      <w:r w:rsidRPr="00910C60">
        <w:rPr>
          <w:rFonts w:ascii="Times New Roman" w:eastAsia="Times New Roman" w:hAnsi="Times New Roman" w:cs="Times New Roman"/>
          <w:lang w:eastAsia="el-GR"/>
        </w:rPr>
        <w:t xml:space="preserve">, σε επίπεδα αντίστοιχα με εκείνα της πρώιμης </w:t>
      </w:r>
      <w:proofErr w:type="spellStart"/>
      <w:r w:rsidRPr="00910C60">
        <w:rPr>
          <w:rFonts w:ascii="Times New Roman" w:eastAsia="Times New Roman" w:hAnsi="Times New Roman" w:cs="Times New Roman"/>
          <w:lang w:eastAsia="el-GR"/>
        </w:rPr>
        <w:t>ωοθυλακικής</w:t>
      </w:r>
      <w:proofErr w:type="spellEnd"/>
      <w:r w:rsidRPr="00910C60">
        <w:rPr>
          <w:rFonts w:ascii="Times New Roman" w:eastAsia="Times New Roman" w:hAnsi="Times New Roman" w:cs="Times New Roman"/>
          <w:lang w:eastAsia="el-GR"/>
        </w:rPr>
        <w:t xml:space="preserve"> φάσης. Δεν έχουν παρατηρηθεί επιδράσεις κλινικής σημασίας στον μεταβολισμό των υδατανθράκων, τον μεταβολισμό των λιπιδίων και την αιμόσταση.</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Παιδιατρικός πληθυσμός</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Δεν υπάρχουν διαθέσιμα κλινικά δεδομένα αποτελεσματικότητας και ασφάλειας σε εφήβους κάτω των 18 ετών.</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5.2</w:t>
      </w:r>
      <w:r w:rsidRPr="00910C60">
        <w:rPr>
          <w:rFonts w:ascii="Times New Roman" w:eastAsia="Times New Roman" w:hAnsi="Times New Roman" w:cs="Times New Roman"/>
          <w:b/>
          <w:lang w:eastAsia="el-GR"/>
        </w:rPr>
        <w:tab/>
      </w:r>
      <w:proofErr w:type="spellStart"/>
      <w:r w:rsidRPr="00910C60">
        <w:rPr>
          <w:rFonts w:ascii="Times New Roman" w:eastAsia="Times New Roman" w:hAnsi="Times New Roman" w:cs="Times New Roman"/>
          <w:b/>
          <w:lang w:eastAsia="el-GR"/>
        </w:rPr>
        <w:t>Φαρμακοκινητικές</w:t>
      </w:r>
      <w:proofErr w:type="spellEnd"/>
      <w:r w:rsidRPr="00910C60">
        <w:rPr>
          <w:rFonts w:ascii="Times New Roman" w:eastAsia="Times New Roman" w:hAnsi="Times New Roman" w:cs="Times New Roman"/>
          <w:b/>
          <w:lang w:eastAsia="el-GR"/>
        </w:rPr>
        <w:t xml:space="preserve"> ιδιότητες</w:t>
      </w:r>
    </w:p>
    <w:p w:rsidR="00910C60" w:rsidRPr="00910C60" w:rsidRDefault="00910C60" w:rsidP="00910C60">
      <w:pPr>
        <w:keepNext/>
        <w:keepLines/>
        <w:spacing w:after="0" w:line="240" w:lineRule="auto"/>
        <w:rPr>
          <w:rFonts w:ascii="Times New Roman" w:eastAsia="Times New Roman" w:hAnsi="Times New Roman" w:cs="Times New Roman"/>
          <w:u w:val="single"/>
          <w:lang w:eastAsia="el-GR"/>
        </w:rPr>
      </w:pPr>
    </w:p>
    <w:p w:rsidR="00910C60" w:rsidRPr="00910C60" w:rsidRDefault="00910C60" w:rsidP="00910C60">
      <w:pPr>
        <w:keepNext/>
        <w:keepLines/>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Απορρόφηση</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Μετά την από του στόματος λήψη του </w:t>
      </w:r>
      <w:proofErr w:type="spellStart"/>
      <w:r w:rsidRPr="00910C60">
        <w:rPr>
          <w:rFonts w:ascii="Times New Roman" w:eastAsia="Times New Roman" w:hAnsi="Times New Roman" w:cs="Times New Roman"/>
          <w:lang w:eastAsia="el-GR"/>
        </w:rPr>
        <w:t>Cerazette</w:t>
      </w:r>
      <w:proofErr w:type="spellEnd"/>
      <w:r w:rsidRPr="00910C60">
        <w:rPr>
          <w:rFonts w:ascii="Times New Roman" w:eastAsia="Times New Roman" w:hAnsi="Times New Roman" w:cs="Times New Roman"/>
          <w:lang w:eastAsia="el-GR"/>
        </w:rPr>
        <w:t xml:space="preserve">, η </w:t>
      </w:r>
      <w:proofErr w:type="spellStart"/>
      <w:r w:rsidRPr="00910C60">
        <w:rPr>
          <w:rFonts w:ascii="Times New Roman" w:eastAsia="Times New Roman" w:hAnsi="Times New Roman" w:cs="Times New Roman"/>
          <w:lang w:eastAsia="el-GR"/>
        </w:rPr>
        <w:t>δεσογεστρέλη</w:t>
      </w:r>
      <w:proofErr w:type="spellEnd"/>
      <w:r w:rsidRPr="00910C60">
        <w:rPr>
          <w:rFonts w:ascii="Times New Roman" w:eastAsia="Times New Roman" w:hAnsi="Times New Roman" w:cs="Times New Roman"/>
          <w:lang w:eastAsia="el-GR"/>
        </w:rPr>
        <w:t xml:space="preserve"> (DSG) απορροφάται ταχέως και μετατρέπεται σε </w:t>
      </w:r>
      <w:proofErr w:type="spellStart"/>
      <w:r w:rsidRPr="00910C60">
        <w:rPr>
          <w:rFonts w:ascii="Times New Roman" w:eastAsia="Times New Roman" w:hAnsi="Times New Roman" w:cs="Times New Roman"/>
          <w:lang w:eastAsia="el-GR"/>
        </w:rPr>
        <w:t>ετονογεστρέλη</w:t>
      </w:r>
      <w:proofErr w:type="spellEnd"/>
      <w:r w:rsidRPr="00910C60">
        <w:rPr>
          <w:rFonts w:ascii="Times New Roman" w:eastAsia="Times New Roman" w:hAnsi="Times New Roman" w:cs="Times New Roman"/>
          <w:lang w:eastAsia="el-GR"/>
        </w:rPr>
        <w:t xml:space="preserve"> (ENG). Υπό συνθήκες σταθεροποιημένης κατάστασης, τα μέγιστα επίπεδα στον ορό επιτυγχάνονται 1,8 ώρες μετά από τη λήψη του δισκίου και η απόλυτη βιοδιαθεσιμότητα της ENG είναι περίπου 70%.</w:t>
      </w:r>
    </w:p>
    <w:p w:rsidR="00910C60" w:rsidRPr="00910C60" w:rsidRDefault="00910C60" w:rsidP="00910C60">
      <w:pPr>
        <w:spacing w:after="0" w:line="240" w:lineRule="auto"/>
        <w:rPr>
          <w:rFonts w:ascii="Times New Roman" w:eastAsia="Times New Roman" w:hAnsi="Times New Roman" w:cs="Times New Roman"/>
          <w:u w:val="single"/>
          <w:lang w:eastAsia="el-GR"/>
        </w:rPr>
      </w:pPr>
    </w:p>
    <w:p w:rsidR="00910C60" w:rsidRPr="00910C60" w:rsidRDefault="00910C60" w:rsidP="00910C60">
      <w:pPr>
        <w:keepNext/>
        <w:keepLines/>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Κατανομή</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ENG είναι δεσμευμένη κατά 95,5-99% στις πρωτεΐνες του ορού, κυρίως στη </w:t>
      </w:r>
      <w:proofErr w:type="spellStart"/>
      <w:r w:rsidRPr="00910C60">
        <w:rPr>
          <w:rFonts w:ascii="Times New Roman" w:eastAsia="Times New Roman" w:hAnsi="Times New Roman" w:cs="Times New Roman"/>
          <w:lang w:eastAsia="el-GR"/>
        </w:rPr>
        <w:t>λευκωματίνη</w:t>
      </w:r>
      <w:proofErr w:type="spellEnd"/>
      <w:r w:rsidRPr="00910C60">
        <w:rPr>
          <w:rFonts w:ascii="Times New Roman" w:eastAsia="Times New Roman" w:hAnsi="Times New Roman" w:cs="Times New Roman"/>
          <w:lang w:eastAsia="el-GR"/>
        </w:rPr>
        <w:t xml:space="preserve"> και σε μικρότερη έκταση στη σφαιρίνη που δεσμεύει τις γεννητικές ορμόνες (SHBG).</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i/>
          <w:lang w:eastAsia="el-GR"/>
        </w:rPr>
      </w:pPr>
      <w:proofErr w:type="spellStart"/>
      <w:r w:rsidRPr="00910C60">
        <w:rPr>
          <w:rFonts w:ascii="Times New Roman" w:eastAsia="Times New Roman" w:hAnsi="Times New Roman" w:cs="Times New Roman"/>
          <w:i/>
          <w:lang w:eastAsia="el-GR"/>
        </w:rPr>
        <w:t>Βιομετασχηματισμός</w:t>
      </w:r>
      <w:proofErr w:type="spellEnd"/>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DSG μεταβολίζεται μέσω </w:t>
      </w:r>
      <w:proofErr w:type="spellStart"/>
      <w:r w:rsidRPr="00910C60">
        <w:rPr>
          <w:rFonts w:ascii="Times New Roman" w:eastAsia="Times New Roman" w:hAnsi="Times New Roman" w:cs="Times New Roman"/>
          <w:lang w:eastAsia="el-GR"/>
        </w:rPr>
        <w:t>υδροξυλίωσης</w:t>
      </w:r>
      <w:proofErr w:type="spellEnd"/>
      <w:r w:rsidRPr="00910C60">
        <w:rPr>
          <w:rFonts w:ascii="Times New Roman" w:eastAsia="Times New Roman" w:hAnsi="Times New Roman" w:cs="Times New Roman"/>
          <w:lang w:eastAsia="el-GR"/>
        </w:rPr>
        <w:t xml:space="preserve"> και </w:t>
      </w:r>
      <w:proofErr w:type="spellStart"/>
      <w:r w:rsidRPr="00910C60">
        <w:rPr>
          <w:rFonts w:ascii="Times New Roman" w:eastAsia="Times New Roman" w:hAnsi="Times New Roman" w:cs="Times New Roman"/>
          <w:lang w:eastAsia="el-GR"/>
        </w:rPr>
        <w:t>αφυδρογόνωσης</w:t>
      </w:r>
      <w:proofErr w:type="spellEnd"/>
      <w:r w:rsidRPr="00910C60">
        <w:rPr>
          <w:rFonts w:ascii="Times New Roman" w:eastAsia="Times New Roman" w:hAnsi="Times New Roman" w:cs="Times New Roman"/>
          <w:lang w:eastAsia="el-GR"/>
        </w:rPr>
        <w:t xml:space="preserve"> προς τον ενεργό μεταβολίτη ENG. Η ENG μεταβολίζεται μέσω θειικής και </w:t>
      </w:r>
      <w:proofErr w:type="spellStart"/>
      <w:r w:rsidRPr="00910C60">
        <w:rPr>
          <w:rFonts w:ascii="Times New Roman" w:eastAsia="Times New Roman" w:hAnsi="Times New Roman" w:cs="Times New Roman"/>
          <w:lang w:eastAsia="el-GR"/>
        </w:rPr>
        <w:t>γλυκουρονιδικής</w:t>
      </w:r>
      <w:proofErr w:type="spellEnd"/>
      <w:r w:rsidRPr="00910C60">
        <w:rPr>
          <w:rFonts w:ascii="Times New Roman" w:eastAsia="Times New Roman" w:hAnsi="Times New Roman" w:cs="Times New Roman"/>
          <w:lang w:eastAsia="el-GR"/>
        </w:rPr>
        <w:t xml:space="preserve"> σύζευξης.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u w:val="single"/>
          <w:lang w:eastAsia="el-GR"/>
        </w:rPr>
        <w:t>Αποβολή</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ENG αποβάλλεται με μέση περίοδο </w:t>
      </w:r>
      <w:proofErr w:type="spellStart"/>
      <w:r w:rsidRPr="00910C60">
        <w:rPr>
          <w:rFonts w:ascii="Times New Roman" w:eastAsia="Times New Roman" w:hAnsi="Times New Roman" w:cs="Times New Roman"/>
          <w:lang w:eastAsia="el-GR"/>
        </w:rPr>
        <w:t>ημιζωής</w:t>
      </w:r>
      <w:proofErr w:type="spellEnd"/>
      <w:r w:rsidRPr="00910C60">
        <w:rPr>
          <w:rFonts w:ascii="Times New Roman" w:eastAsia="Times New Roman" w:hAnsi="Times New Roman" w:cs="Times New Roman"/>
          <w:lang w:eastAsia="el-GR"/>
        </w:rPr>
        <w:t xml:space="preserve"> περίπου 30 ώρες, χωρίς διαφορά μεταξύ της εφ’ άπαξ και της πολλαπλής χορήγησης. Επίπεδα σταθεροποιημένης κατάστασης στο πλάσμα επιτυγχάνονται μετά από 4</w:t>
      </w:r>
      <w:r w:rsidRPr="00910C60">
        <w:rPr>
          <w:rFonts w:ascii="Times New Roman" w:eastAsia="Times New Roman" w:hAnsi="Times New Roman" w:cs="Times New Roman"/>
          <w:lang w:eastAsia="el-GR"/>
        </w:rPr>
        <w:noBreakHyphen/>
        <w:t>5 ημέρες. Η κάθαρση του ορού μετά από ενδοφλέβια χορήγηση της ENG είναι περίπου 10 </w:t>
      </w:r>
      <w:r w:rsidRPr="00910C60">
        <w:rPr>
          <w:rFonts w:ascii="Times New Roman" w:eastAsia="Times New Roman" w:hAnsi="Times New Roman" w:cs="Times New Roman"/>
          <w:lang w:val="en-US" w:eastAsia="el-GR"/>
        </w:rPr>
        <w:t>l</w:t>
      </w:r>
      <w:r w:rsidRPr="00910C60">
        <w:rPr>
          <w:rFonts w:ascii="Times New Roman" w:eastAsia="Times New Roman" w:hAnsi="Times New Roman" w:cs="Times New Roman"/>
          <w:lang w:eastAsia="el-GR"/>
        </w:rPr>
        <w:t xml:space="preserve"> ανά ώρα. Η απέκκριση της ENG και των μεταβολιτών της, είτε ως ελεύθερα στεροειδή είτε ως προϊόντα σύζευξης , γίνεται με τα ούρα και τα κόπρανα (αναλογία 1,5:1). Σε θηλάζουσες γυναίκες, η ENG απεκκρίνεται στο μητρικό γάλα, με αναλογία γάλακτος/ορού ίση προς 0,37</w:t>
      </w:r>
      <w:r w:rsidRPr="00910C60">
        <w:rPr>
          <w:rFonts w:ascii="Times New Roman" w:eastAsia="Times New Roman" w:hAnsi="Times New Roman" w:cs="Times New Roman"/>
          <w:lang w:eastAsia="el-GR"/>
        </w:rPr>
        <w:noBreakHyphen/>
        <w:t>0,55. Με βάση αυτά τα δεδομένα και εκτιμώμενη πρόσληψη γάλακτος ίση προς 150 ml/</w:t>
      </w:r>
      <w:proofErr w:type="spellStart"/>
      <w:r w:rsidRPr="00910C60">
        <w:rPr>
          <w:rFonts w:ascii="Times New Roman" w:eastAsia="Times New Roman" w:hAnsi="Times New Roman" w:cs="Times New Roman"/>
          <w:lang w:eastAsia="el-GR"/>
        </w:rPr>
        <w:t>kg</w:t>
      </w:r>
      <w:proofErr w:type="spellEnd"/>
      <w:r w:rsidRPr="00910C60">
        <w:rPr>
          <w:rFonts w:ascii="Times New Roman" w:eastAsia="Times New Roman" w:hAnsi="Times New Roman" w:cs="Times New Roman"/>
          <w:lang w:eastAsia="el-GR"/>
        </w:rPr>
        <w:t>/ημέρα, ενδέχεται να προσληφθούν από το βρέφος 0,01</w:t>
      </w:r>
      <w:r w:rsidRPr="00910C60">
        <w:rPr>
          <w:rFonts w:ascii="Times New Roman" w:eastAsia="Times New Roman" w:hAnsi="Times New Roman" w:cs="Times New Roman"/>
          <w:lang w:eastAsia="el-GR"/>
        </w:rPr>
        <w:noBreakHyphen/>
        <w:t xml:space="preserve">0,05 μικρογραμμάρια </w:t>
      </w:r>
      <w:proofErr w:type="spellStart"/>
      <w:r w:rsidRPr="00910C60">
        <w:rPr>
          <w:rFonts w:ascii="Times New Roman" w:eastAsia="Times New Roman" w:hAnsi="Times New Roman" w:cs="Times New Roman"/>
          <w:lang w:eastAsia="el-GR"/>
        </w:rPr>
        <w:t>ετονογεστρέλης</w:t>
      </w:r>
      <w:proofErr w:type="spellEnd"/>
      <w:r w:rsidRPr="00910C60">
        <w:rPr>
          <w:rFonts w:ascii="Times New Roman" w:eastAsia="Times New Roman" w:hAnsi="Times New Roman" w:cs="Times New Roman"/>
          <w:lang w:eastAsia="el-GR"/>
        </w:rPr>
        <w:t>.</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Ειδικοί πληθυσμοί</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Επίδραση στην νεφρική δυσλειτουργία</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Δεν έχουν διεξαχθεί μελέτες με σκοπό την αξιολόγηση της επίδρασης της νεφρικής νόσου στην </w:t>
      </w:r>
      <w:proofErr w:type="spellStart"/>
      <w:r w:rsidRPr="00910C60">
        <w:rPr>
          <w:rFonts w:ascii="Times New Roman" w:eastAsia="Times New Roman" w:hAnsi="Times New Roman" w:cs="Times New Roman"/>
          <w:lang w:eastAsia="el-GR"/>
        </w:rPr>
        <w:t>φαρμακοκινητική</w:t>
      </w:r>
      <w:proofErr w:type="spellEnd"/>
      <w:r w:rsidRPr="00910C60">
        <w:rPr>
          <w:rFonts w:ascii="Times New Roman" w:eastAsia="Times New Roman" w:hAnsi="Times New Roman" w:cs="Times New Roman"/>
          <w:lang w:eastAsia="el-GR"/>
        </w:rPr>
        <w:t xml:space="preserve"> της </w:t>
      </w:r>
      <w:proofErr w:type="spellStart"/>
      <w:r w:rsidRPr="00910C60">
        <w:rPr>
          <w:rFonts w:ascii="Times New Roman" w:eastAsia="Times New Roman" w:hAnsi="Times New Roman" w:cs="Times New Roman"/>
          <w:lang w:eastAsia="el-GR"/>
        </w:rPr>
        <w:t>δεσογεστρέλης</w:t>
      </w:r>
      <w:proofErr w:type="spellEnd"/>
      <w:r w:rsidRPr="00910C60">
        <w:rPr>
          <w:rFonts w:ascii="Times New Roman" w:eastAsia="Times New Roman" w:hAnsi="Times New Roman" w:cs="Times New Roman"/>
          <w:lang w:eastAsia="el-GR"/>
        </w:rPr>
        <w:t>.</w:t>
      </w:r>
    </w:p>
    <w:p w:rsidR="00910C60" w:rsidRPr="00910C60" w:rsidRDefault="00910C60" w:rsidP="00910C60">
      <w:pPr>
        <w:spacing w:after="0" w:line="240" w:lineRule="auto"/>
        <w:rPr>
          <w:rFonts w:ascii="Times New Roman" w:eastAsia="Times New Roman" w:hAnsi="Times New Roman" w:cs="Times New Roman"/>
          <w:i/>
          <w:u w:val="single"/>
          <w:lang w:eastAsia="el-GR"/>
        </w:rPr>
      </w:pPr>
    </w:p>
    <w:p w:rsidR="00910C60" w:rsidRPr="00910C60" w:rsidRDefault="00910C60" w:rsidP="00910C60">
      <w:pPr>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Επίδραση στην ηπατική δυσλειτουργία</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Δεν έχουν διεξαχθεί μελέτες με σκοπό την αξιολόγηση της επίδρασης της ηπατικής νόσου στην </w:t>
      </w:r>
      <w:proofErr w:type="spellStart"/>
      <w:r w:rsidRPr="00910C60">
        <w:rPr>
          <w:rFonts w:ascii="Times New Roman" w:eastAsia="Times New Roman" w:hAnsi="Times New Roman" w:cs="Times New Roman"/>
          <w:lang w:eastAsia="el-GR"/>
        </w:rPr>
        <w:t>φαρμακοκινητική</w:t>
      </w:r>
      <w:proofErr w:type="spellEnd"/>
      <w:r w:rsidRPr="00910C60">
        <w:rPr>
          <w:rFonts w:ascii="Times New Roman" w:eastAsia="Times New Roman" w:hAnsi="Times New Roman" w:cs="Times New Roman"/>
          <w:lang w:eastAsia="el-GR"/>
        </w:rPr>
        <w:t xml:space="preserve"> της </w:t>
      </w:r>
      <w:proofErr w:type="spellStart"/>
      <w:r w:rsidRPr="00910C60">
        <w:rPr>
          <w:rFonts w:ascii="Times New Roman" w:eastAsia="Times New Roman" w:hAnsi="Times New Roman" w:cs="Times New Roman"/>
          <w:lang w:eastAsia="el-GR"/>
        </w:rPr>
        <w:t>δεσογεστρέλης</w:t>
      </w:r>
      <w:proofErr w:type="spellEnd"/>
      <w:r w:rsidRPr="00910C60">
        <w:rPr>
          <w:rFonts w:ascii="Times New Roman" w:eastAsia="Times New Roman" w:hAnsi="Times New Roman" w:cs="Times New Roman"/>
          <w:lang w:eastAsia="el-GR"/>
        </w:rPr>
        <w:t xml:space="preserve">. Παρόλα αυτά, οι </w:t>
      </w:r>
      <w:proofErr w:type="spellStart"/>
      <w:r w:rsidRPr="00910C60">
        <w:rPr>
          <w:rFonts w:ascii="Times New Roman" w:eastAsia="Times New Roman" w:hAnsi="Times New Roman" w:cs="Times New Roman"/>
          <w:lang w:eastAsia="el-GR"/>
        </w:rPr>
        <w:t>στεροειδείς</w:t>
      </w:r>
      <w:proofErr w:type="spellEnd"/>
      <w:r w:rsidRPr="00910C60">
        <w:rPr>
          <w:rFonts w:ascii="Times New Roman" w:eastAsia="Times New Roman" w:hAnsi="Times New Roman" w:cs="Times New Roman"/>
          <w:lang w:eastAsia="el-GR"/>
        </w:rPr>
        <w:t xml:space="preserve"> ορμόνες μπορεί να μεταβολίζονται ελάχιστα στις γυναίκες με διαταραγμένη ηπατική λειτουργία.</w:t>
      </w:r>
    </w:p>
    <w:p w:rsidR="00910C60" w:rsidRPr="00910C60" w:rsidRDefault="00910C60" w:rsidP="00910C60">
      <w:pPr>
        <w:spacing w:after="0" w:line="240" w:lineRule="auto"/>
        <w:rPr>
          <w:rFonts w:ascii="Times New Roman" w:eastAsia="Times New Roman" w:hAnsi="Times New Roman" w:cs="Times New Roman"/>
          <w:i/>
          <w:u w:val="single"/>
          <w:lang w:eastAsia="el-GR"/>
        </w:rPr>
      </w:pPr>
    </w:p>
    <w:p w:rsidR="00910C60" w:rsidRPr="00910C60" w:rsidRDefault="00910C60" w:rsidP="00910C60">
      <w:pPr>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Ομάδες διαφορετικής εθνικότητας</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lastRenderedPageBreak/>
        <w:t xml:space="preserve">Δεν έχουν διεξαχθεί μελέτες για την εκτίμηση της </w:t>
      </w:r>
      <w:proofErr w:type="spellStart"/>
      <w:r w:rsidRPr="00910C60">
        <w:rPr>
          <w:rFonts w:ascii="Times New Roman" w:eastAsia="Times New Roman" w:hAnsi="Times New Roman" w:cs="Times New Roman"/>
          <w:lang w:eastAsia="el-GR"/>
        </w:rPr>
        <w:t>φαρμακοκινητικής</w:t>
      </w:r>
      <w:proofErr w:type="spellEnd"/>
      <w:r w:rsidRPr="00910C60">
        <w:rPr>
          <w:rFonts w:ascii="Times New Roman" w:eastAsia="Times New Roman" w:hAnsi="Times New Roman" w:cs="Times New Roman"/>
          <w:lang w:eastAsia="el-GR"/>
        </w:rPr>
        <w:t xml:space="preserve"> σε ομάδες διαφορετικής εθνικότητας.</w:t>
      </w:r>
    </w:p>
    <w:p w:rsidR="00910C60" w:rsidRPr="00910C60" w:rsidRDefault="00910C60" w:rsidP="00910C60">
      <w:pPr>
        <w:spacing w:after="0" w:line="240" w:lineRule="auto"/>
        <w:rPr>
          <w:rFonts w:ascii="Times New Roman" w:eastAsia="Times New Roman" w:hAnsi="Times New Roman" w:cs="Times New Roman"/>
          <w:u w:val="single"/>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5.3</w:t>
      </w:r>
      <w:r w:rsidRPr="00910C60">
        <w:rPr>
          <w:rFonts w:ascii="Times New Roman" w:eastAsia="Times New Roman" w:hAnsi="Times New Roman" w:cs="Times New Roman"/>
          <w:b/>
          <w:lang w:eastAsia="el-GR"/>
        </w:rPr>
        <w:tab/>
      </w:r>
      <w:proofErr w:type="spellStart"/>
      <w:r w:rsidRPr="00910C60">
        <w:rPr>
          <w:rFonts w:ascii="Times New Roman" w:eastAsia="Times New Roman" w:hAnsi="Times New Roman" w:cs="Times New Roman"/>
          <w:b/>
          <w:lang w:eastAsia="el-GR"/>
        </w:rPr>
        <w:t>Προκλινικά</w:t>
      </w:r>
      <w:proofErr w:type="spellEnd"/>
      <w:r w:rsidRPr="00910C60">
        <w:rPr>
          <w:rFonts w:ascii="Times New Roman" w:eastAsia="Times New Roman" w:hAnsi="Times New Roman" w:cs="Times New Roman"/>
          <w:b/>
          <w:lang w:eastAsia="el-GR"/>
        </w:rPr>
        <w:t xml:space="preserve"> δεδομένα για την ασφάλεια</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Τοξικολογικές μελέτες δεν αποκάλυψαν άλλες ενέργειες, εκτός από εκείνες που μπορούν να εξηγηθούν από τις ορμονικές ιδιότητες της </w:t>
      </w:r>
      <w:proofErr w:type="spellStart"/>
      <w:r w:rsidRPr="00910C60">
        <w:rPr>
          <w:rFonts w:ascii="Times New Roman" w:eastAsia="Times New Roman" w:hAnsi="Times New Roman" w:cs="Times New Roman"/>
          <w:lang w:eastAsia="el-GR"/>
        </w:rPr>
        <w:t>δεσογεστρέλης</w:t>
      </w:r>
      <w:proofErr w:type="spellEnd"/>
      <w:r w:rsidRPr="00910C60">
        <w:rPr>
          <w:rFonts w:ascii="Times New Roman" w:eastAsia="Times New Roman" w:hAnsi="Times New Roman" w:cs="Times New Roman"/>
          <w:lang w:eastAsia="el-GR"/>
        </w:rPr>
        <w:t>.</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u w:val="single"/>
          <w:lang w:eastAsia="el-GR"/>
        </w:rPr>
      </w:pPr>
      <w:r w:rsidRPr="00910C60">
        <w:rPr>
          <w:rFonts w:ascii="Times New Roman" w:eastAsia="Times New Roman" w:hAnsi="Times New Roman" w:cs="Times New Roman"/>
          <w:u w:val="single"/>
          <w:lang w:eastAsia="el-GR"/>
        </w:rPr>
        <w:t xml:space="preserve">Αξιολόγηση Περιβαλλοντικού Κινδύνου </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δραστική ουσία </w:t>
      </w:r>
      <w:proofErr w:type="spellStart"/>
      <w:r w:rsidRPr="00910C60">
        <w:rPr>
          <w:rFonts w:ascii="Times New Roman" w:eastAsia="Times New Roman" w:hAnsi="Times New Roman" w:cs="Times New Roman"/>
          <w:lang w:eastAsia="el-GR"/>
        </w:rPr>
        <w:t>ετονογεστρέλη</w:t>
      </w:r>
      <w:proofErr w:type="spellEnd"/>
      <w:r w:rsidRPr="00910C60">
        <w:rPr>
          <w:rFonts w:ascii="Times New Roman" w:eastAsia="Times New Roman" w:hAnsi="Times New Roman" w:cs="Times New Roman"/>
          <w:lang w:eastAsia="el-GR"/>
        </w:rPr>
        <w:t xml:space="preserve"> εμφανίζει περιβαλλοντικό κίνδυνο για τα ψάρια.</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6.</w:t>
      </w:r>
      <w:r w:rsidRPr="00910C60">
        <w:rPr>
          <w:rFonts w:ascii="Times New Roman" w:eastAsia="Times New Roman" w:hAnsi="Times New Roman" w:cs="Times New Roman"/>
          <w:b/>
          <w:lang w:eastAsia="el-GR"/>
        </w:rPr>
        <w:tab/>
        <w:t>ΦΑΡΜΑΚΕΥΤΙΚΕΣ ΠΛΗΡΟΦΟΡΙΕΣ</w:t>
      </w:r>
    </w:p>
    <w:p w:rsidR="00910C60" w:rsidRPr="00910C60" w:rsidRDefault="00910C60" w:rsidP="00910C60">
      <w:pPr>
        <w:keepNext/>
        <w:keepLines/>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6.1</w:t>
      </w:r>
      <w:r w:rsidRPr="00910C60">
        <w:rPr>
          <w:rFonts w:ascii="Times New Roman" w:eastAsia="Times New Roman" w:hAnsi="Times New Roman" w:cs="Times New Roman"/>
          <w:b/>
          <w:lang w:eastAsia="el-GR"/>
        </w:rPr>
        <w:tab/>
        <w:t>Κατάλογος εκδόχων</w:t>
      </w:r>
    </w:p>
    <w:p w:rsidR="00910C60" w:rsidRPr="00910C60" w:rsidRDefault="00910C60" w:rsidP="00910C60">
      <w:pPr>
        <w:keepNext/>
        <w:keepLines/>
        <w:spacing w:after="0" w:line="240" w:lineRule="auto"/>
        <w:rPr>
          <w:rFonts w:ascii="Times New Roman" w:eastAsia="Times New Roman" w:hAnsi="Times New Roman" w:cs="Times New Roman"/>
          <w:i/>
          <w:lang w:eastAsia="el-GR"/>
        </w:rPr>
      </w:pPr>
    </w:p>
    <w:p w:rsidR="00910C60" w:rsidRPr="00910C60" w:rsidRDefault="00910C60" w:rsidP="00910C60">
      <w:pPr>
        <w:keepNext/>
        <w:keepLines/>
        <w:spacing w:after="0" w:line="240" w:lineRule="auto"/>
        <w:rPr>
          <w:rFonts w:ascii="Times New Roman" w:eastAsia="Times New Roman" w:hAnsi="Times New Roman" w:cs="Times New Roman"/>
          <w:i/>
          <w:lang w:eastAsia="el-GR"/>
        </w:rPr>
      </w:pPr>
      <w:r w:rsidRPr="00910C60">
        <w:rPr>
          <w:rFonts w:ascii="Times New Roman" w:eastAsia="Times New Roman" w:hAnsi="Times New Roman" w:cs="Times New Roman"/>
          <w:i/>
          <w:lang w:eastAsia="el-GR"/>
        </w:rPr>
        <w:t>Πυρήνας δισκίου</w:t>
      </w:r>
    </w:p>
    <w:p w:rsidR="00910C60" w:rsidRPr="00910C60" w:rsidRDefault="00910C60" w:rsidP="00910C60">
      <w:pPr>
        <w:keepNext/>
        <w:keepLines/>
        <w:spacing w:after="0" w:line="240" w:lineRule="auto"/>
        <w:rPr>
          <w:rFonts w:ascii="Times New Roman" w:eastAsia="Times New Roman" w:hAnsi="Times New Roman" w:cs="Times New Roman"/>
          <w:lang w:val="en-US" w:eastAsia="el-GR"/>
        </w:rPr>
      </w:pPr>
      <w:r w:rsidRPr="00910C60">
        <w:rPr>
          <w:rFonts w:ascii="Times New Roman" w:eastAsia="Times New Roman" w:hAnsi="Times New Roman" w:cs="Times New Roman"/>
          <w:lang w:val="en-US" w:eastAsia="el-GR"/>
        </w:rPr>
        <w:t>Silica, colloidal anhydrous</w:t>
      </w:r>
    </w:p>
    <w:p w:rsidR="00910C60" w:rsidRPr="00910C60" w:rsidRDefault="00910C60" w:rsidP="00910C60">
      <w:pPr>
        <w:spacing w:after="0" w:line="240" w:lineRule="auto"/>
        <w:rPr>
          <w:rFonts w:ascii="Times New Roman" w:eastAsia="Times New Roman" w:hAnsi="Times New Roman" w:cs="Times New Roman"/>
          <w:lang w:val="en-US" w:eastAsia="el-GR"/>
        </w:rPr>
      </w:pPr>
      <w:r w:rsidRPr="00910C60">
        <w:rPr>
          <w:rFonts w:ascii="Times New Roman" w:eastAsia="Times New Roman" w:hAnsi="Times New Roman" w:cs="Times New Roman"/>
          <w:lang w:val="en-US" w:eastAsia="el-GR"/>
        </w:rPr>
        <w:t>All-</w:t>
      </w:r>
      <w:proofErr w:type="spellStart"/>
      <w:r w:rsidRPr="00910C60">
        <w:rPr>
          <w:rFonts w:ascii="Times New Roman" w:eastAsia="Times New Roman" w:hAnsi="Times New Roman" w:cs="Times New Roman"/>
          <w:i/>
          <w:lang w:val="en-US" w:eastAsia="el-GR"/>
        </w:rPr>
        <w:t>rac</w:t>
      </w:r>
      <w:proofErr w:type="spellEnd"/>
      <w:r w:rsidRPr="00910C60">
        <w:rPr>
          <w:rFonts w:ascii="Times New Roman" w:eastAsia="Times New Roman" w:hAnsi="Times New Roman" w:cs="Times New Roman"/>
          <w:lang w:val="en-US" w:eastAsia="el-GR"/>
        </w:rPr>
        <w:t>-</w:t>
      </w:r>
      <w:r w:rsidRPr="00910C60">
        <w:rPr>
          <w:rFonts w:ascii="Times New Roman" w:eastAsia="Times New Roman" w:hAnsi="Times New Roman" w:cs="Times New Roman"/>
          <w:lang w:eastAsia="el-GR"/>
        </w:rPr>
        <w:sym w:font="Symbol" w:char="F061"/>
      </w:r>
      <w:r w:rsidRPr="00910C60">
        <w:rPr>
          <w:rFonts w:ascii="Times New Roman" w:eastAsia="Times New Roman" w:hAnsi="Times New Roman" w:cs="Times New Roman"/>
          <w:lang w:val="en-US" w:eastAsia="el-GR"/>
        </w:rPr>
        <w:t>-tocopherol</w:t>
      </w:r>
    </w:p>
    <w:p w:rsidR="00910C60" w:rsidRPr="00910C60" w:rsidRDefault="00910C60" w:rsidP="00910C60">
      <w:pPr>
        <w:spacing w:after="0" w:line="240" w:lineRule="auto"/>
        <w:rPr>
          <w:rFonts w:ascii="Times New Roman" w:eastAsia="Times New Roman" w:hAnsi="Times New Roman" w:cs="Times New Roman"/>
          <w:lang w:val="en-US" w:eastAsia="el-GR"/>
        </w:rPr>
      </w:pPr>
      <w:r w:rsidRPr="00910C60">
        <w:rPr>
          <w:rFonts w:ascii="Times New Roman" w:eastAsia="Times New Roman" w:hAnsi="Times New Roman" w:cs="Times New Roman"/>
          <w:lang w:val="en-US" w:eastAsia="el-GR"/>
        </w:rPr>
        <w:t>Lactose monohydrate</w:t>
      </w:r>
    </w:p>
    <w:p w:rsidR="00910C60" w:rsidRPr="00910C60" w:rsidRDefault="00910C60" w:rsidP="00910C60">
      <w:pPr>
        <w:spacing w:after="0" w:line="240" w:lineRule="auto"/>
        <w:rPr>
          <w:rFonts w:ascii="Times New Roman" w:eastAsia="Times New Roman" w:hAnsi="Times New Roman" w:cs="Times New Roman"/>
          <w:lang w:val="en-US" w:eastAsia="el-GR"/>
        </w:rPr>
      </w:pPr>
      <w:r w:rsidRPr="00910C60">
        <w:rPr>
          <w:rFonts w:ascii="Times New Roman" w:eastAsia="Times New Roman" w:hAnsi="Times New Roman" w:cs="Times New Roman"/>
          <w:lang w:val="en-US" w:eastAsia="el-GR"/>
        </w:rPr>
        <w:t>Maize starch</w:t>
      </w:r>
    </w:p>
    <w:p w:rsidR="00910C60" w:rsidRPr="00910C60" w:rsidRDefault="00910C60" w:rsidP="00910C60">
      <w:pPr>
        <w:spacing w:after="0" w:line="240" w:lineRule="auto"/>
        <w:rPr>
          <w:rFonts w:ascii="Times New Roman" w:eastAsia="Times New Roman" w:hAnsi="Times New Roman" w:cs="Times New Roman"/>
          <w:lang w:val="en-US" w:eastAsia="el-GR"/>
        </w:rPr>
      </w:pPr>
      <w:r w:rsidRPr="00910C60">
        <w:rPr>
          <w:rFonts w:ascii="Times New Roman" w:eastAsia="Times New Roman" w:hAnsi="Times New Roman" w:cs="Times New Roman"/>
          <w:lang w:val="en-US" w:eastAsia="el-GR"/>
        </w:rPr>
        <w:t>Povidone</w:t>
      </w:r>
    </w:p>
    <w:p w:rsidR="00910C60" w:rsidRPr="00910C60" w:rsidRDefault="00910C60" w:rsidP="00910C60">
      <w:pPr>
        <w:spacing w:after="0" w:line="240" w:lineRule="auto"/>
        <w:rPr>
          <w:rFonts w:ascii="Times New Roman" w:eastAsia="Times New Roman" w:hAnsi="Times New Roman" w:cs="Times New Roman"/>
          <w:lang w:val="en-US" w:eastAsia="el-GR"/>
        </w:rPr>
      </w:pPr>
      <w:r w:rsidRPr="00910C60">
        <w:rPr>
          <w:rFonts w:ascii="Times New Roman" w:eastAsia="Times New Roman" w:hAnsi="Times New Roman" w:cs="Times New Roman"/>
          <w:lang w:val="en-US" w:eastAsia="el-GR"/>
        </w:rPr>
        <w:t>Stearic acid</w:t>
      </w:r>
    </w:p>
    <w:p w:rsidR="00910C60" w:rsidRPr="00910C60" w:rsidRDefault="00910C60" w:rsidP="00910C60">
      <w:pPr>
        <w:spacing w:after="0" w:line="240" w:lineRule="auto"/>
        <w:rPr>
          <w:rFonts w:ascii="Times New Roman" w:eastAsia="Times New Roman" w:hAnsi="Times New Roman" w:cs="Times New Roman"/>
          <w:lang w:val="en-US" w:eastAsia="el-GR"/>
        </w:rPr>
      </w:pPr>
    </w:p>
    <w:p w:rsidR="00910C60" w:rsidRPr="00910C60" w:rsidRDefault="00910C60" w:rsidP="00910C60">
      <w:pPr>
        <w:spacing w:after="0" w:line="240" w:lineRule="auto"/>
        <w:rPr>
          <w:rFonts w:ascii="Times New Roman" w:eastAsia="Times New Roman" w:hAnsi="Times New Roman" w:cs="Times New Roman"/>
          <w:i/>
          <w:lang w:val="en-US" w:eastAsia="el-GR"/>
        </w:rPr>
      </w:pPr>
      <w:r w:rsidRPr="00910C60">
        <w:rPr>
          <w:rFonts w:ascii="Times New Roman" w:eastAsia="Times New Roman" w:hAnsi="Times New Roman" w:cs="Times New Roman"/>
          <w:i/>
          <w:lang w:eastAsia="el-GR"/>
        </w:rPr>
        <w:t>Επικάλυψη</w:t>
      </w:r>
      <w:r w:rsidRPr="00910C60">
        <w:rPr>
          <w:rFonts w:ascii="Times New Roman" w:eastAsia="Times New Roman" w:hAnsi="Times New Roman" w:cs="Times New Roman"/>
          <w:i/>
          <w:lang w:val="en-US" w:eastAsia="el-GR"/>
        </w:rPr>
        <w:t xml:space="preserve"> </w:t>
      </w:r>
      <w:r w:rsidRPr="00910C60">
        <w:rPr>
          <w:rFonts w:ascii="Times New Roman" w:eastAsia="Times New Roman" w:hAnsi="Times New Roman" w:cs="Times New Roman"/>
          <w:i/>
          <w:lang w:eastAsia="el-GR"/>
        </w:rPr>
        <w:t>με</w:t>
      </w:r>
      <w:r w:rsidRPr="00910C60">
        <w:rPr>
          <w:rFonts w:ascii="Times New Roman" w:eastAsia="Times New Roman" w:hAnsi="Times New Roman" w:cs="Times New Roman"/>
          <w:i/>
          <w:lang w:val="en-US" w:eastAsia="el-GR"/>
        </w:rPr>
        <w:t xml:space="preserve"> </w:t>
      </w:r>
      <w:r w:rsidRPr="00910C60">
        <w:rPr>
          <w:rFonts w:ascii="Times New Roman" w:eastAsia="Times New Roman" w:hAnsi="Times New Roman" w:cs="Times New Roman"/>
          <w:i/>
          <w:lang w:eastAsia="el-GR"/>
        </w:rPr>
        <w:t>λεπτό</w:t>
      </w:r>
      <w:r w:rsidRPr="00910C60">
        <w:rPr>
          <w:rFonts w:ascii="Times New Roman" w:eastAsia="Times New Roman" w:hAnsi="Times New Roman" w:cs="Times New Roman"/>
          <w:i/>
          <w:lang w:val="en-US" w:eastAsia="el-GR"/>
        </w:rPr>
        <w:t xml:space="preserve"> </w:t>
      </w:r>
      <w:proofErr w:type="spellStart"/>
      <w:r w:rsidRPr="00910C60">
        <w:rPr>
          <w:rFonts w:ascii="Times New Roman" w:eastAsia="Times New Roman" w:hAnsi="Times New Roman" w:cs="Times New Roman"/>
          <w:i/>
          <w:lang w:eastAsia="el-GR"/>
        </w:rPr>
        <w:t>υμένιο</w:t>
      </w:r>
      <w:proofErr w:type="spellEnd"/>
    </w:p>
    <w:p w:rsidR="00910C60" w:rsidRPr="00910C60" w:rsidRDefault="00910C60" w:rsidP="00910C60">
      <w:pPr>
        <w:spacing w:after="0" w:line="240" w:lineRule="auto"/>
        <w:rPr>
          <w:rFonts w:ascii="Times New Roman" w:eastAsia="Times New Roman" w:hAnsi="Times New Roman" w:cs="Times New Roman"/>
          <w:lang w:val="en-US" w:eastAsia="el-GR"/>
        </w:rPr>
      </w:pPr>
      <w:proofErr w:type="spellStart"/>
      <w:r w:rsidRPr="00910C60">
        <w:rPr>
          <w:rFonts w:ascii="Times New Roman" w:eastAsia="Times New Roman" w:hAnsi="Times New Roman" w:cs="Times New Roman"/>
          <w:lang w:val="en-US" w:eastAsia="el-GR"/>
        </w:rPr>
        <w:t>Hypromellose</w:t>
      </w:r>
      <w:proofErr w:type="spellEnd"/>
      <w:r w:rsidRPr="00910C60">
        <w:rPr>
          <w:rFonts w:ascii="Times New Roman" w:eastAsia="Times New Roman" w:hAnsi="Times New Roman" w:cs="Times New Roman"/>
          <w:lang w:val="en-US" w:eastAsia="el-GR"/>
        </w:rPr>
        <w:t xml:space="preserve"> </w:t>
      </w:r>
    </w:p>
    <w:p w:rsidR="00910C60" w:rsidRPr="00910C60" w:rsidRDefault="00910C60" w:rsidP="00910C60">
      <w:pPr>
        <w:spacing w:after="0" w:line="240" w:lineRule="auto"/>
        <w:rPr>
          <w:rFonts w:ascii="Times New Roman" w:eastAsia="Times New Roman" w:hAnsi="Times New Roman" w:cs="Times New Roman"/>
          <w:lang w:val="en-US" w:eastAsia="el-GR"/>
        </w:rPr>
      </w:pPr>
      <w:proofErr w:type="spellStart"/>
      <w:r w:rsidRPr="00910C60">
        <w:rPr>
          <w:rFonts w:ascii="Times New Roman" w:eastAsia="Times New Roman" w:hAnsi="Times New Roman" w:cs="Times New Roman"/>
          <w:lang w:val="en-US" w:eastAsia="el-GR"/>
        </w:rPr>
        <w:t>Macrogol</w:t>
      </w:r>
      <w:proofErr w:type="spellEnd"/>
      <w:r w:rsidRPr="00910C60">
        <w:rPr>
          <w:rFonts w:ascii="Times New Roman" w:eastAsia="Times New Roman" w:hAnsi="Times New Roman" w:cs="Times New Roman"/>
          <w:lang w:val="en-US" w:eastAsia="el-GR"/>
        </w:rPr>
        <w:t> 400</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val="en-US" w:eastAsia="el-GR"/>
        </w:rPr>
        <w:t>Talc</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val="en-US" w:eastAsia="el-GR"/>
        </w:rPr>
        <w:t>Titanium</w:t>
      </w:r>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lang w:val="en-US" w:eastAsia="el-GR"/>
        </w:rPr>
        <w:t>dioxide</w:t>
      </w:r>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lang w:val="en-US" w:eastAsia="el-GR"/>
        </w:rPr>
        <w:t>E</w:t>
      </w:r>
      <w:r w:rsidRPr="00910C60">
        <w:rPr>
          <w:rFonts w:ascii="Times New Roman" w:eastAsia="Times New Roman" w:hAnsi="Times New Roman" w:cs="Times New Roman"/>
          <w:lang w:eastAsia="el-GR"/>
        </w:rPr>
        <w:t> </w:t>
      </w:r>
      <w:r w:rsidRPr="00910C60">
        <w:rPr>
          <w:rFonts w:ascii="Times New Roman" w:eastAsia="Times New Roman" w:hAnsi="Times New Roman" w:cs="Times New Roman"/>
          <w:lang w:eastAsia="el-GR"/>
        </w:rPr>
        <w:t>171)</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6.2</w:t>
      </w:r>
      <w:r w:rsidRPr="00910C60">
        <w:rPr>
          <w:rFonts w:ascii="Times New Roman" w:eastAsia="Times New Roman" w:hAnsi="Times New Roman" w:cs="Times New Roman"/>
          <w:b/>
          <w:lang w:eastAsia="el-GR"/>
        </w:rPr>
        <w:tab/>
        <w:t>Ασυμβατότητες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Δεν εφαρμόζεται.</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6.3</w:t>
      </w:r>
      <w:r w:rsidRPr="00910C60">
        <w:rPr>
          <w:rFonts w:ascii="Times New Roman" w:eastAsia="Times New Roman" w:hAnsi="Times New Roman" w:cs="Times New Roman"/>
          <w:b/>
          <w:lang w:eastAsia="el-GR"/>
        </w:rPr>
        <w:tab/>
        <w:t>Διάρκεια ζωής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3 χρόνια.</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Ημερομηνία λήξης μετά το πρώτο άνοιγμα του </w:t>
      </w:r>
      <w:proofErr w:type="spellStart"/>
      <w:r w:rsidRPr="00910C60">
        <w:rPr>
          <w:rFonts w:ascii="Times New Roman" w:eastAsia="Times New Roman" w:hAnsi="Times New Roman" w:cs="Times New Roman"/>
          <w:lang w:eastAsia="el-GR"/>
        </w:rPr>
        <w:t>φακελλίσκου</w:t>
      </w:r>
      <w:proofErr w:type="spellEnd"/>
      <w:r w:rsidRPr="00910C60">
        <w:rPr>
          <w:rFonts w:ascii="Times New Roman" w:eastAsia="Times New Roman" w:hAnsi="Times New Roman" w:cs="Times New Roman"/>
          <w:lang w:eastAsia="el-GR"/>
        </w:rPr>
        <w:t>: 1 μήνας.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6.4</w:t>
      </w:r>
      <w:r w:rsidRPr="00910C60">
        <w:rPr>
          <w:rFonts w:ascii="Times New Roman" w:eastAsia="Times New Roman" w:hAnsi="Times New Roman" w:cs="Times New Roman"/>
          <w:b/>
          <w:lang w:eastAsia="el-GR"/>
        </w:rPr>
        <w:tab/>
        <w:t>Ιδιαίτερες προφυλάξεις κατά τη φύλαξη του προϊόντος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Το φαρμακευτικό αυτό προϊόν δεν απαιτεί ιδιαίτερες συνθήκες θερμοκρασίας για τη φύλαξή του. Φυλάσσετε στην αρχική συσκευασία για να προστατεύεται από το φως και την υγρασία. Για τις συνθήκες φύλαξης μετά το πρώτο άνοιγμα του </w:t>
      </w:r>
      <w:proofErr w:type="spellStart"/>
      <w:r w:rsidRPr="00910C60">
        <w:rPr>
          <w:rFonts w:ascii="Times New Roman" w:eastAsia="Times New Roman" w:hAnsi="Times New Roman" w:cs="Times New Roman"/>
          <w:lang w:eastAsia="el-GR"/>
        </w:rPr>
        <w:t>φακελλίσκου</w:t>
      </w:r>
      <w:proofErr w:type="spellEnd"/>
      <w:r w:rsidRPr="00910C60">
        <w:rPr>
          <w:rFonts w:ascii="Times New Roman" w:eastAsia="Times New Roman" w:hAnsi="Times New Roman" w:cs="Times New Roman"/>
          <w:lang w:eastAsia="el-GR"/>
        </w:rPr>
        <w:t>, βλ. παράγραφο</w:t>
      </w:r>
      <w:r w:rsidRPr="00910C60">
        <w:rPr>
          <w:rFonts w:ascii="Times New Roman" w:eastAsia="Times New Roman" w:hAnsi="Times New Roman" w:cs="Times New Roman"/>
          <w:w w:val="103"/>
          <w:lang w:eastAsia="el-GR"/>
        </w:rPr>
        <w:t> 6.3.</w:t>
      </w:r>
      <w:r w:rsidRPr="00910C60">
        <w:rPr>
          <w:rFonts w:ascii="Times New Roman" w:eastAsia="Times New Roman" w:hAnsi="Times New Roman" w:cs="Times New Roman"/>
          <w:lang w:eastAsia="el-GR"/>
        </w:rPr>
        <w:t xml:space="preserve"> </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6.5</w:t>
      </w:r>
      <w:r w:rsidRPr="00910C60">
        <w:rPr>
          <w:rFonts w:ascii="Times New Roman" w:eastAsia="Times New Roman" w:hAnsi="Times New Roman" w:cs="Times New Roman"/>
          <w:b/>
          <w:lang w:eastAsia="el-GR"/>
        </w:rPr>
        <w:tab/>
        <w:t xml:space="preserve">Φύση και συστατικά του </w:t>
      </w:r>
      <w:proofErr w:type="spellStart"/>
      <w:r w:rsidRPr="00910C60">
        <w:rPr>
          <w:rFonts w:ascii="Times New Roman" w:eastAsia="Times New Roman" w:hAnsi="Times New Roman" w:cs="Times New Roman"/>
          <w:b/>
          <w:lang w:eastAsia="el-GR"/>
        </w:rPr>
        <w:t>περιέκτη</w:t>
      </w:r>
      <w:proofErr w:type="spellEnd"/>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Κυψέλη </w:t>
      </w:r>
      <w:r w:rsidRPr="00910C60">
        <w:rPr>
          <w:rFonts w:ascii="Times New Roman" w:eastAsia="Times New Roman" w:hAnsi="Times New Roman" w:cs="Times New Roman"/>
          <w:lang w:val="en-US" w:eastAsia="el-GR"/>
        </w:rPr>
        <w:t>PVC</w:t>
      </w:r>
      <w:r w:rsidRPr="00910C60">
        <w:rPr>
          <w:rFonts w:ascii="Times New Roman" w:eastAsia="Times New Roman" w:hAnsi="Times New Roman" w:cs="Times New Roman"/>
          <w:lang w:eastAsia="el-GR"/>
        </w:rPr>
        <w:t>/Αλουμινίου.</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Κάθε κυψέλη περιέχει 28 δισκία. Κάθε κουτί περιέχει 1, 3, 6 ή 13 κυψέλες συσκευασμένες ξεχωριστά σε έναν </w:t>
      </w:r>
      <w:proofErr w:type="spellStart"/>
      <w:r w:rsidRPr="00910C60">
        <w:rPr>
          <w:rFonts w:ascii="Times New Roman" w:eastAsia="Times New Roman" w:hAnsi="Times New Roman" w:cs="Times New Roman"/>
          <w:lang w:eastAsia="el-GR"/>
        </w:rPr>
        <w:t>φακελλίσκο</w:t>
      </w:r>
      <w:proofErr w:type="spellEnd"/>
      <w:r w:rsidRPr="00910C60">
        <w:rPr>
          <w:rFonts w:ascii="Times New Roman" w:eastAsia="Times New Roman" w:hAnsi="Times New Roman" w:cs="Times New Roman"/>
          <w:lang w:eastAsia="el-GR"/>
        </w:rPr>
        <w:t xml:space="preserve"> από φύλλο αλουμινίου.</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Μπορεί να μην κυκλοφορούν όλες οι συσκευασίες.</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lastRenderedPageBreak/>
        <w:t>6.6</w:t>
      </w:r>
      <w:r w:rsidRPr="00910C60">
        <w:rPr>
          <w:rFonts w:ascii="Times New Roman" w:eastAsia="Times New Roman" w:hAnsi="Times New Roman" w:cs="Times New Roman"/>
          <w:b/>
          <w:lang w:eastAsia="el-GR"/>
        </w:rPr>
        <w:tab/>
        <w:t>Ιδιαίτερες προφυλάξεις απόρριψης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Η δραστική ουσία </w:t>
      </w:r>
      <w:proofErr w:type="spellStart"/>
      <w:r w:rsidRPr="00910C60">
        <w:rPr>
          <w:rFonts w:ascii="Times New Roman" w:eastAsia="Times New Roman" w:hAnsi="Times New Roman" w:cs="Times New Roman"/>
          <w:lang w:eastAsia="el-GR"/>
        </w:rPr>
        <w:t>ετονογεστρέλη</w:t>
      </w:r>
      <w:proofErr w:type="spellEnd"/>
      <w:r w:rsidRPr="00910C60">
        <w:rPr>
          <w:rFonts w:ascii="Times New Roman" w:eastAsia="Times New Roman" w:hAnsi="Times New Roman" w:cs="Times New Roman"/>
          <w:lang w:eastAsia="el-GR"/>
        </w:rPr>
        <w:t xml:space="preserve"> εμφανίζει περιβαλλοντικό κίνδυνο για τα ψάρια.</w:t>
      </w:r>
    </w:p>
    <w:p w:rsidR="00910C60" w:rsidRPr="00910C60" w:rsidRDefault="00910C60" w:rsidP="00910C60">
      <w:pPr>
        <w:tabs>
          <w:tab w:val="left" w:pos="567"/>
        </w:tabs>
        <w:spacing w:after="0" w:line="260" w:lineRule="exact"/>
        <w:rPr>
          <w:rFonts w:ascii="Times New Roman" w:eastAsia="Times New Roman" w:hAnsi="Times New Roman" w:cs="Times New Roman"/>
          <w:noProof/>
          <w:snapToGrid w:val="0"/>
        </w:rPr>
      </w:pPr>
      <w:r w:rsidRPr="00910C60">
        <w:rPr>
          <w:rFonts w:ascii="Times New Roman" w:eastAsia="Times New Roman" w:hAnsi="Times New Roman" w:cs="Times New Roman"/>
          <w:noProof/>
          <w:snapToGrid w:val="0"/>
        </w:rPr>
        <w:t>Κάθε αχρησιμοποίητο φαρμακευτικό προϊόν ή υπόλειμμα πρέπει να απορρίπτεται σύμφωνα με τις κατά τόπους ισχύουσες σχετικές διατάξεις.</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7.</w:t>
      </w:r>
      <w:r w:rsidRPr="00910C60">
        <w:rPr>
          <w:rFonts w:ascii="Times New Roman" w:eastAsia="Times New Roman" w:hAnsi="Times New Roman" w:cs="Times New Roman"/>
          <w:b/>
          <w:lang w:eastAsia="el-GR"/>
        </w:rPr>
        <w:tab/>
        <w:t>ΚΑΤΟΧΟΣ ΤΗΣ ΑΔΕΙΑΣ ΚΥΚΛΟΦΟΡΙΑΣ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val="en-US" w:eastAsia="el-GR"/>
        </w:rPr>
        <w:t>N</w:t>
      </w:r>
      <w:r w:rsidRPr="00910C60">
        <w:rPr>
          <w:rFonts w:ascii="Times New Roman" w:eastAsia="Times New Roman" w:hAnsi="Times New Roman" w:cs="Times New Roman"/>
          <w:lang w:eastAsia="el-GR"/>
        </w:rPr>
        <w:t>.</w:t>
      </w:r>
      <w:r w:rsidRPr="00910C60">
        <w:rPr>
          <w:rFonts w:ascii="Times New Roman" w:eastAsia="Times New Roman" w:hAnsi="Times New Roman" w:cs="Times New Roman"/>
          <w:lang w:val="en-US" w:eastAsia="el-GR"/>
        </w:rPr>
        <w:t>V</w:t>
      </w:r>
      <w:r w:rsidRPr="00910C60">
        <w:rPr>
          <w:rFonts w:ascii="Times New Roman" w:eastAsia="Times New Roman" w:hAnsi="Times New Roman" w:cs="Times New Roman"/>
          <w:lang w:eastAsia="el-GR"/>
        </w:rPr>
        <w:t xml:space="preserve">. </w:t>
      </w:r>
      <w:proofErr w:type="spellStart"/>
      <w:r w:rsidRPr="00910C60">
        <w:rPr>
          <w:rFonts w:ascii="Times New Roman" w:eastAsia="Times New Roman" w:hAnsi="Times New Roman" w:cs="Times New Roman"/>
          <w:lang w:val="en-US" w:eastAsia="el-GR"/>
        </w:rPr>
        <w:t>Organon</w:t>
      </w:r>
      <w:proofErr w:type="spellEnd"/>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lang w:val="nl-NL" w:eastAsia="el-GR"/>
        </w:rPr>
        <w:t>Kloosterstraat</w:t>
      </w:r>
      <w:r w:rsidRPr="00910C60">
        <w:rPr>
          <w:rFonts w:ascii="Times New Roman" w:eastAsia="Times New Roman" w:hAnsi="Times New Roman" w:cs="Times New Roman"/>
          <w:lang w:eastAsia="el-GR"/>
        </w:rPr>
        <w:t xml:space="preserve"> 6, </w:t>
      </w:r>
      <w:r w:rsidRPr="00910C60">
        <w:rPr>
          <w:rFonts w:ascii="Times New Roman" w:eastAsia="Times New Roman" w:hAnsi="Times New Roman" w:cs="Times New Roman"/>
          <w:lang w:val="nl-NL" w:eastAsia="el-GR"/>
        </w:rPr>
        <w:t>PO</w:t>
      </w:r>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lang w:val="nl-NL" w:eastAsia="el-GR"/>
        </w:rPr>
        <w:t>Box</w:t>
      </w:r>
      <w:r w:rsidRPr="00910C60">
        <w:rPr>
          <w:rFonts w:ascii="Times New Roman" w:eastAsia="Times New Roman" w:hAnsi="Times New Roman" w:cs="Times New Roman"/>
          <w:lang w:eastAsia="el-GR"/>
        </w:rPr>
        <w:t xml:space="preserve"> 20, 5340 </w:t>
      </w:r>
      <w:r w:rsidRPr="00910C60">
        <w:rPr>
          <w:rFonts w:ascii="Times New Roman" w:eastAsia="Times New Roman" w:hAnsi="Times New Roman" w:cs="Times New Roman"/>
          <w:lang w:val="nl-NL" w:eastAsia="el-GR"/>
        </w:rPr>
        <w:t>BH</w:t>
      </w:r>
      <w:r w:rsidRPr="00910C60">
        <w:rPr>
          <w:rFonts w:ascii="Times New Roman" w:eastAsia="Times New Roman" w:hAnsi="Times New Roman" w:cs="Times New Roman"/>
          <w:lang w:eastAsia="el-GR"/>
        </w:rPr>
        <w:t xml:space="preserve"> </w:t>
      </w:r>
      <w:r w:rsidRPr="00910C60">
        <w:rPr>
          <w:rFonts w:ascii="Times New Roman" w:eastAsia="Times New Roman" w:hAnsi="Times New Roman" w:cs="Times New Roman"/>
          <w:lang w:val="nl-NL" w:eastAsia="el-GR"/>
        </w:rPr>
        <w:t>Oss</w:t>
      </w:r>
      <w:r w:rsidRPr="00910C60">
        <w:rPr>
          <w:rFonts w:ascii="Times New Roman" w:eastAsia="Times New Roman" w:hAnsi="Times New Roman" w:cs="Times New Roman"/>
          <w:lang w:eastAsia="el-GR"/>
        </w:rPr>
        <w:t>, Ολλανδία</w:t>
      </w:r>
    </w:p>
    <w:p w:rsidR="00910C60" w:rsidRPr="00910C60" w:rsidRDefault="00910C60" w:rsidP="00910C60">
      <w:pPr>
        <w:spacing w:after="0" w:line="240" w:lineRule="auto"/>
        <w:rPr>
          <w:rFonts w:ascii="Times New Roman" w:eastAsia="Times New Roman" w:hAnsi="Times New Roman" w:cs="Times New Roman"/>
          <w:b/>
          <w:lang w:eastAsia="el-GR"/>
        </w:rPr>
      </w:pPr>
    </w:p>
    <w:p w:rsidR="00910C60" w:rsidRPr="00910C60" w:rsidRDefault="00910C60" w:rsidP="00910C60">
      <w:pPr>
        <w:numPr>
          <w:ilvl w:val="12"/>
          <w:numId w:val="0"/>
        </w:numPr>
        <w:spacing w:after="0" w:line="240" w:lineRule="auto"/>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Τοπικός Αντιπρόσωπος:</w:t>
      </w:r>
    </w:p>
    <w:p w:rsidR="00910C60" w:rsidRPr="00910C60" w:rsidRDefault="00910C60" w:rsidP="00910C60">
      <w:pPr>
        <w:numPr>
          <w:ilvl w:val="12"/>
          <w:numId w:val="0"/>
        </w:numPr>
        <w:spacing w:after="0" w:line="240" w:lineRule="auto"/>
        <w:rPr>
          <w:rFonts w:ascii="Times New Roman" w:eastAsia="Times New Roman" w:hAnsi="Times New Roman" w:cs="Times New Roman"/>
          <w:lang w:eastAsia="el-GR"/>
        </w:rPr>
      </w:pPr>
    </w:p>
    <w:p w:rsidR="00910C60" w:rsidRPr="00910C60" w:rsidRDefault="00910C60" w:rsidP="00910C60">
      <w:pPr>
        <w:numPr>
          <w:ilvl w:val="12"/>
          <w:numId w:val="0"/>
        </w:numPr>
        <w:spacing w:after="0" w:line="240" w:lineRule="auto"/>
        <w:rPr>
          <w:rFonts w:ascii="Times New Roman" w:eastAsia="Times New Roman" w:hAnsi="Times New Roman" w:cs="Times New Roman"/>
          <w:lang w:eastAsia="el-GR"/>
        </w:rPr>
      </w:pPr>
      <w:proofErr w:type="gramStart"/>
      <w:r w:rsidRPr="00910C60">
        <w:rPr>
          <w:rFonts w:ascii="Times New Roman" w:eastAsia="Times New Roman" w:hAnsi="Times New Roman" w:cs="Times New Roman"/>
          <w:lang w:val="en-US" w:eastAsia="el-GR"/>
        </w:rPr>
        <w:t>MSD</w:t>
      </w:r>
      <w:r w:rsidRPr="00910C60">
        <w:rPr>
          <w:rFonts w:ascii="Times New Roman" w:eastAsia="Times New Roman" w:hAnsi="Times New Roman" w:cs="Times New Roman"/>
          <w:lang w:eastAsia="el-GR"/>
        </w:rPr>
        <w:t xml:space="preserve"> Α.Φ.Β.Ε.Ε.</w:t>
      </w:r>
      <w:proofErr w:type="gramEnd"/>
    </w:p>
    <w:p w:rsidR="00910C60" w:rsidRPr="00910C60" w:rsidRDefault="00910C60" w:rsidP="00910C60">
      <w:pPr>
        <w:numPr>
          <w:ilvl w:val="12"/>
          <w:numId w:val="0"/>
        </w:num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Αγ. Δημητρίου 63</w:t>
      </w:r>
    </w:p>
    <w:p w:rsidR="00910C60" w:rsidRPr="00910C60" w:rsidRDefault="00910C60" w:rsidP="00910C60">
      <w:pPr>
        <w:numPr>
          <w:ilvl w:val="12"/>
          <w:numId w:val="0"/>
        </w:num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 xml:space="preserve">174 56 </w:t>
      </w:r>
      <w:proofErr w:type="spellStart"/>
      <w:r w:rsidRPr="00910C60">
        <w:rPr>
          <w:rFonts w:ascii="Times New Roman" w:eastAsia="Times New Roman" w:hAnsi="Times New Roman" w:cs="Times New Roman"/>
          <w:lang w:eastAsia="el-GR"/>
        </w:rPr>
        <w:t>Άλιμος</w:t>
      </w:r>
      <w:proofErr w:type="spellEnd"/>
      <w:r w:rsidRPr="00910C60">
        <w:rPr>
          <w:rFonts w:ascii="Times New Roman" w:eastAsia="Times New Roman" w:hAnsi="Times New Roman" w:cs="Times New Roman"/>
          <w:lang w:eastAsia="el-GR"/>
        </w:rPr>
        <w:t>, Ελλάδα</w:t>
      </w:r>
    </w:p>
    <w:p w:rsidR="00910C60" w:rsidRPr="00910C60" w:rsidRDefault="00910C60" w:rsidP="00910C60">
      <w:pPr>
        <w:numPr>
          <w:ilvl w:val="12"/>
          <w:numId w:val="0"/>
        </w:numPr>
        <w:spacing w:after="0" w:line="240" w:lineRule="auto"/>
        <w:rPr>
          <w:rFonts w:ascii="Times New Roman" w:eastAsia="Times New Roman" w:hAnsi="Times New Roman" w:cs="Times New Roman"/>
          <w:lang w:eastAsia="el-GR"/>
        </w:rPr>
      </w:pPr>
      <w:proofErr w:type="spellStart"/>
      <w:r w:rsidRPr="00910C60">
        <w:rPr>
          <w:rFonts w:ascii="Times New Roman" w:eastAsia="Times New Roman" w:hAnsi="Times New Roman" w:cs="Times New Roman"/>
          <w:lang w:eastAsia="el-GR"/>
        </w:rPr>
        <w:t>Τηλ</w:t>
      </w:r>
      <w:proofErr w:type="spellEnd"/>
      <w:r w:rsidRPr="00910C60">
        <w:rPr>
          <w:rFonts w:ascii="Times New Roman" w:eastAsia="Times New Roman" w:hAnsi="Times New Roman" w:cs="Times New Roman"/>
          <w:lang w:eastAsia="el-GR"/>
        </w:rPr>
        <w:t>.: +30 210 98 97 300</w:t>
      </w:r>
    </w:p>
    <w:p w:rsidR="00910C60" w:rsidRPr="00910C60" w:rsidRDefault="00910C60" w:rsidP="00910C60">
      <w:pPr>
        <w:numPr>
          <w:ilvl w:val="12"/>
          <w:numId w:val="0"/>
        </w:numPr>
        <w:spacing w:after="0" w:line="240" w:lineRule="auto"/>
        <w:rPr>
          <w:rFonts w:ascii="Times New Roman" w:eastAsia="Times New Roman" w:hAnsi="Times New Roman" w:cs="Times New Roman"/>
          <w:lang w:eastAsia="el-GR"/>
        </w:rPr>
      </w:pPr>
    </w:p>
    <w:p w:rsidR="00910C60" w:rsidRPr="00910C60" w:rsidRDefault="00910C60" w:rsidP="00910C60">
      <w:pPr>
        <w:numPr>
          <w:ilvl w:val="12"/>
          <w:numId w:val="0"/>
        </w:num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8.</w:t>
      </w:r>
      <w:r w:rsidRPr="00910C60">
        <w:rPr>
          <w:rFonts w:ascii="Times New Roman" w:eastAsia="Times New Roman" w:hAnsi="Times New Roman" w:cs="Times New Roman"/>
          <w:b/>
          <w:lang w:eastAsia="el-GR"/>
        </w:rPr>
        <w:tab/>
        <w:t>ΑΡΙΘΜΟΣ(ΟΙ) ΑΔΕΙΑΣ ΚΥΚΛΟΦΟΡΙΑΣ</w:t>
      </w:r>
    </w:p>
    <w:p w:rsidR="00910C60" w:rsidRPr="00910C60" w:rsidRDefault="00910C60" w:rsidP="00910C60">
      <w:pPr>
        <w:keepNext/>
        <w:keepLines/>
        <w:spacing w:after="0" w:line="240" w:lineRule="auto"/>
        <w:rPr>
          <w:rFonts w:ascii="Times New Roman" w:eastAsia="Times New Roman" w:hAnsi="Times New Roman" w:cs="Times New Roman"/>
          <w:bCs/>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80765/07/16-10-2008</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keepNext/>
        <w:keepLines/>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9.</w:t>
      </w:r>
      <w:r w:rsidRPr="00910C60">
        <w:rPr>
          <w:rFonts w:ascii="Times New Roman" w:eastAsia="Times New Roman" w:hAnsi="Times New Roman" w:cs="Times New Roman"/>
          <w:b/>
          <w:lang w:eastAsia="el-GR"/>
        </w:rPr>
        <w:tab/>
        <w:t>ΗΜΕΡΟΜΗΝΙΑ ΠΡΩΤΗΣ ΕΓΚΡΙΣΗΣ / ΑΝΑΝΕΩΣΗΣ ΤΗΣ ΑΔΕΙΑΣ</w:t>
      </w:r>
    </w:p>
    <w:p w:rsidR="00910C60" w:rsidRPr="00910C60" w:rsidRDefault="00910C60" w:rsidP="00910C60">
      <w:pPr>
        <w:keepNext/>
        <w:keepLines/>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Ημερομηνία πρώτης άδειας:11 Αυγούστου 1998</w:t>
      </w:r>
    </w:p>
    <w:p w:rsidR="00910C60" w:rsidRPr="00910C60" w:rsidRDefault="00910C60" w:rsidP="00910C60">
      <w:pPr>
        <w:spacing w:after="0" w:line="240" w:lineRule="auto"/>
        <w:rPr>
          <w:rFonts w:ascii="Times New Roman" w:eastAsia="Times New Roman" w:hAnsi="Times New Roman" w:cs="Times New Roman"/>
          <w:lang w:eastAsia="el-GR"/>
        </w:rPr>
      </w:pPr>
      <w:r w:rsidRPr="00910C60">
        <w:rPr>
          <w:rFonts w:ascii="Times New Roman" w:eastAsia="Times New Roman" w:hAnsi="Times New Roman" w:cs="Times New Roman"/>
          <w:lang w:eastAsia="el-GR"/>
        </w:rPr>
        <w:t>Ημερομηνία τελευταίας ανανέωσης / 16 Οκτωβρίου 2008</w:t>
      </w: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rPr>
          <w:rFonts w:ascii="Times New Roman" w:eastAsia="Times New Roman" w:hAnsi="Times New Roman" w:cs="Times New Roman"/>
          <w:lang w:eastAsia="el-GR"/>
        </w:rPr>
      </w:pPr>
    </w:p>
    <w:p w:rsidR="00910C60" w:rsidRPr="00910C60" w:rsidRDefault="00910C60" w:rsidP="00910C60">
      <w:pPr>
        <w:spacing w:after="0" w:line="240" w:lineRule="auto"/>
        <w:ind w:left="567" w:hanging="567"/>
        <w:rPr>
          <w:rFonts w:ascii="Times New Roman" w:eastAsia="Times New Roman" w:hAnsi="Times New Roman" w:cs="Times New Roman"/>
          <w:b/>
          <w:lang w:eastAsia="el-GR"/>
        </w:rPr>
      </w:pPr>
      <w:r w:rsidRPr="00910C60">
        <w:rPr>
          <w:rFonts w:ascii="Times New Roman" w:eastAsia="Times New Roman" w:hAnsi="Times New Roman" w:cs="Times New Roman"/>
          <w:b/>
          <w:lang w:eastAsia="el-GR"/>
        </w:rPr>
        <w:t>10.</w:t>
      </w:r>
      <w:r w:rsidRPr="00910C60">
        <w:rPr>
          <w:rFonts w:ascii="Times New Roman" w:eastAsia="Times New Roman" w:hAnsi="Times New Roman" w:cs="Times New Roman"/>
          <w:b/>
          <w:lang w:eastAsia="el-GR"/>
        </w:rPr>
        <w:tab/>
        <w:t>ΗΜΕΡΟΜΗΝΙΑ ΑΝΑΘΕΩΡΗΣΗΣ ΤΟΥ ΚΕΙΜΕΝΟΥ</w:t>
      </w:r>
    </w:p>
    <w:p w:rsidR="00B7751B" w:rsidRDefault="00B7751B"/>
    <w:sectPr w:rsidR="00B775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Souv">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lasAlla">
    <w:altName w:val="Courier New"/>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F1279"/>
    <w:multiLevelType w:val="hybridMultilevel"/>
    <w:tmpl w:val="F1E6B6E0"/>
    <w:lvl w:ilvl="0" w:tplc="B1E2A67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1A96518"/>
    <w:multiLevelType w:val="singleLevel"/>
    <w:tmpl w:val="707A94A4"/>
    <w:lvl w:ilvl="0">
      <w:start w:val="1"/>
      <w:numFmt w:val="bullet"/>
      <w:lvlText w:val="-"/>
      <w:lvlJc w:val="left"/>
      <w:pPr>
        <w:tabs>
          <w:tab w:val="num" w:pos="567"/>
        </w:tabs>
        <w:ind w:left="567" w:hanging="567"/>
      </w:pPr>
      <w:rPr>
        <w:rFonts w:ascii="Times New Roman" w:hAnsi="Times New Roman" w:hint="default"/>
      </w:rPr>
    </w:lvl>
  </w:abstractNum>
  <w:abstractNum w:abstractNumId="3">
    <w:nsid w:val="045264BB"/>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4">
    <w:nsid w:val="05792492"/>
    <w:multiLevelType w:val="singleLevel"/>
    <w:tmpl w:val="D9A06102"/>
    <w:lvl w:ilvl="0">
      <w:start w:val="1"/>
      <w:numFmt w:val="bullet"/>
      <w:lvlText w:val="-"/>
      <w:lvlJc w:val="left"/>
      <w:pPr>
        <w:tabs>
          <w:tab w:val="num" w:pos="567"/>
        </w:tabs>
        <w:ind w:left="567" w:hanging="567"/>
      </w:pPr>
      <w:rPr>
        <w:rFonts w:ascii="Times New Roman" w:hAnsi="Times New Roman" w:hint="default"/>
      </w:rPr>
    </w:lvl>
  </w:abstractNum>
  <w:abstractNum w:abstractNumId="5">
    <w:nsid w:val="11B3448C"/>
    <w:multiLevelType w:val="singleLevel"/>
    <w:tmpl w:val="707A94A4"/>
    <w:lvl w:ilvl="0">
      <w:start w:val="1"/>
      <w:numFmt w:val="bullet"/>
      <w:lvlText w:val="-"/>
      <w:lvlJc w:val="left"/>
      <w:pPr>
        <w:tabs>
          <w:tab w:val="num" w:pos="567"/>
        </w:tabs>
        <w:ind w:left="567" w:hanging="567"/>
      </w:pPr>
      <w:rPr>
        <w:rFonts w:ascii="Times New Roman" w:hAnsi="Times New Roman" w:hint="default"/>
      </w:rPr>
    </w:lvl>
  </w:abstractNum>
  <w:abstractNum w:abstractNumId="6">
    <w:nsid w:val="146221CB"/>
    <w:multiLevelType w:val="hybridMultilevel"/>
    <w:tmpl w:val="61C08250"/>
    <w:lvl w:ilvl="0" w:tplc="FFFFFFFF">
      <w:start w:val="1"/>
      <w:numFmt w:val="bullet"/>
      <w:lvlText w:val="–"/>
      <w:lvlJc w:val="left"/>
      <w:pPr>
        <w:tabs>
          <w:tab w:val="num" w:pos="927"/>
        </w:tabs>
        <w:ind w:left="927" w:hanging="567"/>
      </w:pPr>
      <w:rPr>
        <w:rFonts w:ascii="Arial" w:hAnsi="Aria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6323487"/>
    <w:multiLevelType w:val="hybridMultilevel"/>
    <w:tmpl w:val="A7D2BF9A"/>
    <w:lvl w:ilvl="0" w:tplc="0BDE8E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6E63D0"/>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9">
    <w:nsid w:val="265C569A"/>
    <w:multiLevelType w:val="hybridMultilevel"/>
    <w:tmpl w:val="8C981E8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C05328"/>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11">
    <w:nsid w:val="311B261F"/>
    <w:multiLevelType w:val="hybridMultilevel"/>
    <w:tmpl w:val="0DDE6304"/>
    <w:lvl w:ilvl="0" w:tplc="04080001">
      <w:start w:val="1"/>
      <w:numFmt w:val="bullet"/>
      <w:lvlText w:val=""/>
      <w:lvlJc w:val="left"/>
      <w:pPr>
        <w:ind w:left="5464" w:hanging="360"/>
      </w:pPr>
      <w:rPr>
        <w:rFonts w:ascii="Symbol" w:hAnsi="Symbol" w:hint="default"/>
      </w:rPr>
    </w:lvl>
    <w:lvl w:ilvl="1" w:tplc="04080003" w:tentative="1">
      <w:start w:val="1"/>
      <w:numFmt w:val="bullet"/>
      <w:lvlText w:val="o"/>
      <w:lvlJc w:val="left"/>
      <w:pPr>
        <w:ind w:left="6184" w:hanging="360"/>
      </w:pPr>
      <w:rPr>
        <w:rFonts w:ascii="Courier New" w:hAnsi="Courier New" w:cs="Courier New" w:hint="default"/>
      </w:rPr>
    </w:lvl>
    <w:lvl w:ilvl="2" w:tplc="04080005" w:tentative="1">
      <w:start w:val="1"/>
      <w:numFmt w:val="bullet"/>
      <w:lvlText w:val=""/>
      <w:lvlJc w:val="left"/>
      <w:pPr>
        <w:ind w:left="6904" w:hanging="360"/>
      </w:pPr>
      <w:rPr>
        <w:rFonts w:ascii="Wingdings" w:hAnsi="Wingdings" w:hint="default"/>
      </w:rPr>
    </w:lvl>
    <w:lvl w:ilvl="3" w:tplc="04080001" w:tentative="1">
      <w:start w:val="1"/>
      <w:numFmt w:val="bullet"/>
      <w:lvlText w:val=""/>
      <w:lvlJc w:val="left"/>
      <w:pPr>
        <w:ind w:left="7624" w:hanging="360"/>
      </w:pPr>
      <w:rPr>
        <w:rFonts w:ascii="Symbol" w:hAnsi="Symbol" w:hint="default"/>
      </w:rPr>
    </w:lvl>
    <w:lvl w:ilvl="4" w:tplc="04080003" w:tentative="1">
      <w:start w:val="1"/>
      <w:numFmt w:val="bullet"/>
      <w:lvlText w:val="o"/>
      <w:lvlJc w:val="left"/>
      <w:pPr>
        <w:ind w:left="8344" w:hanging="360"/>
      </w:pPr>
      <w:rPr>
        <w:rFonts w:ascii="Courier New" w:hAnsi="Courier New" w:cs="Courier New" w:hint="default"/>
      </w:rPr>
    </w:lvl>
    <w:lvl w:ilvl="5" w:tplc="04080005" w:tentative="1">
      <w:start w:val="1"/>
      <w:numFmt w:val="bullet"/>
      <w:lvlText w:val=""/>
      <w:lvlJc w:val="left"/>
      <w:pPr>
        <w:ind w:left="9064" w:hanging="360"/>
      </w:pPr>
      <w:rPr>
        <w:rFonts w:ascii="Wingdings" w:hAnsi="Wingdings" w:hint="default"/>
      </w:rPr>
    </w:lvl>
    <w:lvl w:ilvl="6" w:tplc="04080001" w:tentative="1">
      <w:start w:val="1"/>
      <w:numFmt w:val="bullet"/>
      <w:lvlText w:val=""/>
      <w:lvlJc w:val="left"/>
      <w:pPr>
        <w:ind w:left="9784" w:hanging="360"/>
      </w:pPr>
      <w:rPr>
        <w:rFonts w:ascii="Symbol" w:hAnsi="Symbol" w:hint="default"/>
      </w:rPr>
    </w:lvl>
    <w:lvl w:ilvl="7" w:tplc="04080003" w:tentative="1">
      <w:start w:val="1"/>
      <w:numFmt w:val="bullet"/>
      <w:lvlText w:val="o"/>
      <w:lvlJc w:val="left"/>
      <w:pPr>
        <w:ind w:left="10504" w:hanging="360"/>
      </w:pPr>
      <w:rPr>
        <w:rFonts w:ascii="Courier New" w:hAnsi="Courier New" w:cs="Courier New" w:hint="default"/>
      </w:rPr>
    </w:lvl>
    <w:lvl w:ilvl="8" w:tplc="04080005" w:tentative="1">
      <w:start w:val="1"/>
      <w:numFmt w:val="bullet"/>
      <w:lvlText w:val=""/>
      <w:lvlJc w:val="left"/>
      <w:pPr>
        <w:ind w:left="11224" w:hanging="360"/>
      </w:pPr>
      <w:rPr>
        <w:rFonts w:ascii="Wingdings" w:hAnsi="Wingdings" w:hint="default"/>
      </w:rPr>
    </w:lvl>
  </w:abstractNum>
  <w:abstractNum w:abstractNumId="12">
    <w:nsid w:val="3A5A5CA7"/>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13">
    <w:nsid w:val="42CC46AB"/>
    <w:multiLevelType w:val="multilevel"/>
    <w:tmpl w:val="770201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CD2586"/>
    <w:multiLevelType w:val="hybridMultilevel"/>
    <w:tmpl w:val="7702017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B6A280D"/>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16">
    <w:nsid w:val="5C630FC7"/>
    <w:multiLevelType w:val="singleLevel"/>
    <w:tmpl w:val="04080001"/>
    <w:lvl w:ilvl="0">
      <w:start w:val="1"/>
      <w:numFmt w:val="bullet"/>
      <w:lvlText w:val=""/>
      <w:lvlJc w:val="left"/>
      <w:pPr>
        <w:ind w:left="720" w:hanging="360"/>
      </w:pPr>
      <w:rPr>
        <w:rFonts w:ascii="Symbol" w:hAnsi="Symbol" w:hint="default"/>
      </w:rPr>
    </w:lvl>
  </w:abstractNum>
  <w:abstractNum w:abstractNumId="17">
    <w:nsid w:val="5DB53C27"/>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18">
    <w:nsid w:val="5E8971CA"/>
    <w:multiLevelType w:val="hybridMultilevel"/>
    <w:tmpl w:val="29C841B0"/>
    <w:lvl w:ilvl="0" w:tplc="FFFFFFFF">
      <w:start w:val="1"/>
      <w:numFmt w:val="bullet"/>
      <w:lvlText w:val="–"/>
      <w:lvlJc w:val="left"/>
      <w:pPr>
        <w:tabs>
          <w:tab w:val="num" w:pos="927"/>
        </w:tabs>
        <w:ind w:left="927" w:hanging="567"/>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0C65646"/>
    <w:multiLevelType w:val="hybridMultilevel"/>
    <w:tmpl w:val="B35432B0"/>
    <w:lvl w:ilvl="0" w:tplc="5484A68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A645354"/>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21">
    <w:nsid w:val="720D39AF"/>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22">
    <w:nsid w:val="72903CF2"/>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23">
    <w:nsid w:val="731842FA"/>
    <w:multiLevelType w:val="singleLevel"/>
    <w:tmpl w:val="D9A06102"/>
    <w:lvl w:ilvl="0">
      <w:start w:val="1"/>
      <w:numFmt w:val="bullet"/>
      <w:lvlText w:val="-"/>
      <w:lvlJc w:val="left"/>
      <w:pPr>
        <w:tabs>
          <w:tab w:val="num" w:pos="567"/>
        </w:tabs>
        <w:ind w:left="567" w:hanging="567"/>
      </w:pPr>
      <w:rPr>
        <w:rFonts w:ascii="Times New Roman" w:hAnsi="Times New Roman" w:hint="default"/>
      </w:rPr>
    </w:lvl>
  </w:abstractNum>
  <w:abstractNum w:abstractNumId="24">
    <w:nsid w:val="79D377E1"/>
    <w:multiLevelType w:val="hybridMultilevel"/>
    <w:tmpl w:val="9FACFE96"/>
    <w:lvl w:ilvl="0" w:tplc="934C3160">
      <w:start w:val="1"/>
      <w:numFmt w:val="bullet"/>
      <w:lvlText w:val="–"/>
      <w:lvlJc w:val="left"/>
      <w:pPr>
        <w:ind w:left="720"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18"/>
  </w:num>
  <w:num w:numId="5">
    <w:abstractNumId w:val="6"/>
  </w:num>
  <w:num w:numId="6">
    <w:abstractNumId w:val="23"/>
  </w:num>
  <w:num w:numId="7">
    <w:abstractNumId w:val="4"/>
  </w:num>
  <w:num w:numId="8">
    <w:abstractNumId w:val="2"/>
  </w:num>
  <w:num w:numId="9">
    <w:abstractNumId w:val="5"/>
  </w:num>
  <w:num w:numId="10">
    <w:abstractNumId w:val="17"/>
  </w:num>
  <w:num w:numId="11">
    <w:abstractNumId w:val="21"/>
  </w:num>
  <w:num w:numId="12">
    <w:abstractNumId w:val="12"/>
  </w:num>
  <w:num w:numId="13">
    <w:abstractNumId w:val="10"/>
  </w:num>
  <w:num w:numId="14">
    <w:abstractNumId w:val="20"/>
  </w:num>
  <w:num w:numId="15">
    <w:abstractNumId w:val="22"/>
  </w:num>
  <w:num w:numId="16">
    <w:abstractNumId w:val="15"/>
  </w:num>
  <w:num w:numId="17">
    <w:abstractNumId w:val="8"/>
  </w:num>
  <w:num w:numId="18">
    <w:abstractNumId w:val="16"/>
  </w:num>
  <w:num w:numId="19">
    <w:abstractNumId w:val="3"/>
  </w:num>
  <w:num w:numId="20">
    <w:abstractNumId w:val="14"/>
  </w:num>
  <w:num w:numId="21">
    <w:abstractNumId w:val="13"/>
  </w:num>
  <w:num w:numId="22">
    <w:abstractNumId w:val="19"/>
  </w:num>
  <w:num w:numId="23">
    <w:abstractNumId w:val="24"/>
  </w:num>
  <w:num w:numId="24">
    <w:abstractNumId w:val="11"/>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2A"/>
    <w:rsid w:val="00910C60"/>
    <w:rsid w:val="00B7751B"/>
    <w:rsid w:val="00D47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0C60"/>
    <w:pPr>
      <w:keepNext/>
      <w:widowControl w:val="0"/>
      <w:spacing w:after="0" w:line="240" w:lineRule="auto"/>
      <w:outlineLvl w:val="0"/>
    </w:pPr>
    <w:rPr>
      <w:rFonts w:ascii="HellasSouv" w:eastAsia="Times New Roman" w:hAnsi="HellasSouv" w:cs="Times New Roman"/>
      <w:i/>
      <w:sz w:val="24"/>
      <w:szCs w:val="20"/>
      <w:u w:val="single"/>
      <w:lang w:eastAsia="el-GR"/>
    </w:rPr>
  </w:style>
  <w:style w:type="paragraph" w:styleId="2">
    <w:name w:val="heading 2"/>
    <w:basedOn w:val="a"/>
    <w:next w:val="a"/>
    <w:link w:val="2Char"/>
    <w:unhideWhenUsed/>
    <w:qFormat/>
    <w:rsid w:val="00910C60"/>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910C60"/>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next w:val="a"/>
    <w:link w:val="4Char"/>
    <w:qFormat/>
    <w:rsid w:val="00910C60"/>
    <w:pPr>
      <w:keepNext/>
      <w:spacing w:after="0" w:line="240" w:lineRule="auto"/>
      <w:jc w:val="both"/>
      <w:outlineLvl w:val="3"/>
    </w:pPr>
    <w:rPr>
      <w:rFonts w:ascii="Arial" w:eastAsia="Times New Roman" w:hAnsi="Arial" w:cs="Times New Roman"/>
      <w:b/>
      <w:i/>
      <w:szCs w:val="20"/>
      <w:lang w:eastAsia="el-GR"/>
    </w:rPr>
  </w:style>
  <w:style w:type="paragraph" w:styleId="5">
    <w:name w:val="heading 5"/>
    <w:basedOn w:val="a"/>
    <w:next w:val="a"/>
    <w:link w:val="5Char"/>
    <w:unhideWhenUsed/>
    <w:qFormat/>
    <w:rsid w:val="00910C60"/>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910C60"/>
    <w:pPr>
      <w:keepNext/>
      <w:spacing w:after="0" w:line="240" w:lineRule="auto"/>
      <w:outlineLvl w:val="5"/>
    </w:pPr>
    <w:rPr>
      <w:rFonts w:ascii="Arial" w:eastAsia="Times New Roman" w:hAnsi="Arial" w:cs="Arial"/>
      <w:i/>
      <w:iCs/>
      <w:sz w:val="20"/>
      <w:szCs w:val="20"/>
      <w:lang w:eastAsia="el-GR"/>
    </w:rPr>
  </w:style>
  <w:style w:type="paragraph" w:styleId="7">
    <w:name w:val="heading 7"/>
    <w:basedOn w:val="a"/>
    <w:next w:val="a"/>
    <w:link w:val="7Char"/>
    <w:unhideWhenUsed/>
    <w:qFormat/>
    <w:rsid w:val="00910C60"/>
    <w:pPr>
      <w:spacing w:before="240" w:after="60" w:line="240" w:lineRule="auto"/>
      <w:outlineLvl w:val="6"/>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0C60"/>
    <w:rPr>
      <w:rFonts w:ascii="HellasSouv" w:eastAsia="Times New Roman" w:hAnsi="HellasSouv" w:cs="Times New Roman"/>
      <w:i/>
      <w:sz w:val="24"/>
      <w:szCs w:val="20"/>
      <w:u w:val="single"/>
      <w:lang w:eastAsia="el-GR"/>
    </w:rPr>
  </w:style>
  <w:style w:type="character" w:customStyle="1" w:styleId="2Char">
    <w:name w:val="Επικεφαλίδα 2 Char"/>
    <w:basedOn w:val="a0"/>
    <w:link w:val="2"/>
    <w:rsid w:val="00910C60"/>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910C60"/>
    <w:rPr>
      <w:rFonts w:ascii="Cambria" w:eastAsia="Times New Roman" w:hAnsi="Cambria" w:cs="Times New Roman"/>
      <w:b/>
      <w:bCs/>
      <w:sz w:val="26"/>
      <w:szCs w:val="26"/>
      <w:lang w:eastAsia="el-GR"/>
    </w:rPr>
  </w:style>
  <w:style w:type="character" w:customStyle="1" w:styleId="4Char">
    <w:name w:val="Επικεφαλίδα 4 Char"/>
    <w:basedOn w:val="a0"/>
    <w:link w:val="4"/>
    <w:rsid w:val="00910C60"/>
    <w:rPr>
      <w:rFonts w:ascii="Arial" w:eastAsia="Times New Roman" w:hAnsi="Arial" w:cs="Times New Roman"/>
      <w:b/>
      <w:i/>
      <w:szCs w:val="20"/>
      <w:lang w:eastAsia="el-GR"/>
    </w:rPr>
  </w:style>
  <w:style w:type="character" w:customStyle="1" w:styleId="5Char">
    <w:name w:val="Επικεφαλίδα 5 Char"/>
    <w:basedOn w:val="a0"/>
    <w:link w:val="5"/>
    <w:rsid w:val="00910C60"/>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910C60"/>
    <w:rPr>
      <w:rFonts w:ascii="Arial" w:eastAsia="Times New Roman" w:hAnsi="Arial" w:cs="Arial"/>
      <w:i/>
      <w:iCs/>
      <w:sz w:val="20"/>
      <w:szCs w:val="20"/>
      <w:lang w:eastAsia="el-GR"/>
    </w:rPr>
  </w:style>
  <w:style w:type="character" w:customStyle="1" w:styleId="7Char">
    <w:name w:val="Επικεφαλίδα 7 Char"/>
    <w:basedOn w:val="a0"/>
    <w:link w:val="7"/>
    <w:rsid w:val="00910C60"/>
    <w:rPr>
      <w:rFonts w:ascii="Calibri" w:eastAsia="Times New Roman" w:hAnsi="Calibri" w:cs="Times New Roman"/>
      <w:sz w:val="24"/>
      <w:szCs w:val="24"/>
      <w:lang w:eastAsia="el-GR"/>
    </w:rPr>
  </w:style>
  <w:style w:type="numbering" w:customStyle="1" w:styleId="10">
    <w:name w:val="Χωρίς λίστα1"/>
    <w:next w:val="a2"/>
    <w:semiHidden/>
    <w:unhideWhenUsed/>
    <w:rsid w:val="00910C60"/>
  </w:style>
  <w:style w:type="paragraph" w:customStyle="1" w:styleId="TITLESECOND">
    <w:name w:val="TITLE SECOND"/>
    <w:basedOn w:val="a"/>
    <w:rsid w:val="00910C60"/>
    <w:pPr>
      <w:spacing w:after="0" w:line="240" w:lineRule="auto"/>
    </w:pPr>
    <w:rPr>
      <w:rFonts w:ascii="HellasSouv" w:eastAsia="Times New Roman" w:hAnsi="HellasSouv" w:cs="Times New Roman"/>
      <w:b/>
      <w:sz w:val="24"/>
      <w:szCs w:val="20"/>
      <w:lang w:val="en-US" w:eastAsia="el-GR"/>
    </w:rPr>
  </w:style>
  <w:style w:type="paragraph" w:styleId="a3">
    <w:name w:val="Body Text"/>
    <w:basedOn w:val="a"/>
    <w:link w:val="Char"/>
    <w:rsid w:val="00910C60"/>
    <w:pPr>
      <w:spacing w:after="0" w:line="240" w:lineRule="auto"/>
    </w:pPr>
    <w:rPr>
      <w:rFonts w:ascii="Arial" w:eastAsia="Times New Roman" w:hAnsi="Arial" w:cs="Arial"/>
      <w:bCs/>
      <w:szCs w:val="24"/>
      <w:lang w:eastAsia="el-GR"/>
    </w:rPr>
  </w:style>
  <w:style w:type="character" w:customStyle="1" w:styleId="Char">
    <w:name w:val="Σώμα κειμένου Char"/>
    <w:basedOn w:val="a0"/>
    <w:link w:val="a3"/>
    <w:rsid w:val="00910C60"/>
    <w:rPr>
      <w:rFonts w:ascii="Arial" w:eastAsia="Times New Roman" w:hAnsi="Arial" w:cs="Arial"/>
      <w:bCs/>
      <w:szCs w:val="24"/>
      <w:lang w:eastAsia="el-GR"/>
    </w:rPr>
  </w:style>
  <w:style w:type="paragraph" w:styleId="20">
    <w:name w:val="Body Text 2"/>
    <w:basedOn w:val="a"/>
    <w:link w:val="2Char0"/>
    <w:rsid w:val="00910C60"/>
    <w:pPr>
      <w:spacing w:after="0" w:line="240" w:lineRule="auto"/>
    </w:pPr>
    <w:rPr>
      <w:rFonts w:ascii="Arial" w:eastAsia="Times New Roman" w:hAnsi="Arial" w:cs="Arial"/>
      <w:i/>
      <w:szCs w:val="24"/>
      <w:u w:val="single"/>
      <w:lang w:eastAsia="el-GR"/>
    </w:rPr>
  </w:style>
  <w:style w:type="character" w:customStyle="1" w:styleId="2Char0">
    <w:name w:val="Σώμα κείμενου 2 Char"/>
    <w:basedOn w:val="a0"/>
    <w:link w:val="20"/>
    <w:rsid w:val="00910C60"/>
    <w:rPr>
      <w:rFonts w:ascii="Arial" w:eastAsia="Times New Roman" w:hAnsi="Arial" w:cs="Arial"/>
      <w:i/>
      <w:szCs w:val="24"/>
      <w:u w:val="single"/>
      <w:lang w:eastAsia="el-GR"/>
    </w:rPr>
  </w:style>
  <w:style w:type="paragraph" w:styleId="a4">
    <w:name w:val="Body Text Indent"/>
    <w:basedOn w:val="a"/>
    <w:link w:val="Char0"/>
    <w:rsid w:val="00910C60"/>
    <w:pPr>
      <w:spacing w:after="0" w:line="240" w:lineRule="auto"/>
      <w:ind w:left="720"/>
      <w:jc w:val="both"/>
    </w:pPr>
    <w:rPr>
      <w:rFonts w:ascii="Arial" w:eastAsia="Times New Roman" w:hAnsi="Arial" w:cs="Times New Roman"/>
      <w:sz w:val="24"/>
      <w:szCs w:val="20"/>
      <w:lang w:eastAsia="el-GR"/>
    </w:rPr>
  </w:style>
  <w:style w:type="character" w:customStyle="1" w:styleId="Char0">
    <w:name w:val="Σώμα κείμενου με εσοχή Char"/>
    <w:basedOn w:val="a0"/>
    <w:link w:val="a4"/>
    <w:rsid w:val="00910C60"/>
    <w:rPr>
      <w:rFonts w:ascii="Arial" w:eastAsia="Times New Roman" w:hAnsi="Arial" w:cs="Times New Roman"/>
      <w:sz w:val="24"/>
      <w:szCs w:val="20"/>
      <w:lang w:eastAsia="el-GR"/>
    </w:rPr>
  </w:style>
  <w:style w:type="paragraph" w:styleId="a5">
    <w:name w:val="Balloon Text"/>
    <w:basedOn w:val="a"/>
    <w:link w:val="Char1"/>
    <w:semiHidden/>
    <w:rsid w:val="00910C60"/>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5"/>
    <w:semiHidden/>
    <w:rsid w:val="00910C60"/>
    <w:rPr>
      <w:rFonts w:ascii="Tahoma" w:eastAsia="Times New Roman" w:hAnsi="Tahoma" w:cs="Tahoma"/>
      <w:sz w:val="16"/>
      <w:szCs w:val="16"/>
      <w:lang w:eastAsia="el-GR"/>
    </w:rPr>
  </w:style>
  <w:style w:type="table" w:styleId="a6">
    <w:name w:val="Table Grid"/>
    <w:basedOn w:val="a1"/>
    <w:rsid w:val="00910C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2"/>
    <w:rsid w:val="00910C60"/>
    <w:pPr>
      <w:tabs>
        <w:tab w:val="center" w:pos="4320"/>
        <w:tab w:val="right" w:pos="8640"/>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910C60"/>
    <w:rPr>
      <w:rFonts w:ascii="Times New Roman" w:eastAsia="Times New Roman" w:hAnsi="Times New Roman" w:cs="Times New Roman"/>
      <w:sz w:val="24"/>
      <w:szCs w:val="24"/>
      <w:lang w:eastAsia="el-GR"/>
    </w:rPr>
  </w:style>
  <w:style w:type="paragraph" w:styleId="a8">
    <w:name w:val="footer"/>
    <w:basedOn w:val="a"/>
    <w:link w:val="Char3"/>
    <w:uiPriority w:val="99"/>
    <w:rsid w:val="00910C60"/>
    <w:pPr>
      <w:tabs>
        <w:tab w:val="center" w:pos="4320"/>
        <w:tab w:val="right" w:pos="8640"/>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uiPriority w:val="99"/>
    <w:rsid w:val="00910C60"/>
    <w:rPr>
      <w:rFonts w:ascii="Times New Roman" w:eastAsia="Times New Roman" w:hAnsi="Times New Roman" w:cs="Times New Roman"/>
      <w:sz w:val="24"/>
      <w:szCs w:val="24"/>
      <w:lang w:eastAsia="el-GR"/>
    </w:rPr>
  </w:style>
  <w:style w:type="character" w:styleId="-">
    <w:name w:val="Hyperlink"/>
    <w:rsid w:val="00910C60"/>
    <w:rPr>
      <w:color w:val="0000FF"/>
      <w:u w:val="single"/>
    </w:rPr>
  </w:style>
  <w:style w:type="character" w:styleId="a9">
    <w:name w:val="page number"/>
    <w:rsid w:val="00910C60"/>
  </w:style>
  <w:style w:type="paragraph" w:styleId="21">
    <w:name w:val="Body Text Indent 2"/>
    <w:basedOn w:val="a"/>
    <w:link w:val="2Char1"/>
    <w:rsid w:val="00910C60"/>
    <w:pPr>
      <w:spacing w:after="0" w:line="240" w:lineRule="auto"/>
      <w:ind w:left="360"/>
      <w:jc w:val="both"/>
    </w:pPr>
    <w:rPr>
      <w:rFonts w:ascii="Arial" w:eastAsia="Times New Roman" w:hAnsi="Arial" w:cs="Times New Roman"/>
      <w:sz w:val="24"/>
      <w:szCs w:val="20"/>
      <w:lang w:eastAsia="el-GR"/>
    </w:rPr>
  </w:style>
  <w:style w:type="character" w:customStyle="1" w:styleId="2Char1">
    <w:name w:val="Σώμα κείμενου με εσοχή 2 Char"/>
    <w:basedOn w:val="a0"/>
    <w:link w:val="21"/>
    <w:rsid w:val="00910C60"/>
    <w:rPr>
      <w:rFonts w:ascii="Arial" w:eastAsia="Times New Roman" w:hAnsi="Arial" w:cs="Times New Roman"/>
      <w:sz w:val="24"/>
      <w:szCs w:val="20"/>
      <w:lang w:eastAsia="el-GR"/>
    </w:rPr>
  </w:style>
  <w:style w:type="paragraph" w:styleId="30">
    <w:name w:val="Body Text 3"/>
    <w:basedOn w:val="a"/>
    <w:link w:val="3Char0"/>
    <w:rsid w:val="00910C60"/>
    <w:pPr>
      <w:spacing w:after="0" w:line="240" w:lineRule="auto"/>
    </w:pPr>
    <w:rPr>
      <w:rFonts w:ascii="Arial" w:eastAsia="Times New Roman" w:hAnsi="Arial" w:cs="Arial"/>
      <w:b/>
      <w:bCs/>
      <w:sz w:val="24"/>
      <w:szCs w:val="20"/>
      <w:lang w:eastAsia="el-GR"/>
    </w:rPr>
  </w:style>
  <w:style w:type="character" w:customStyle="1" w:styleId="3Char0">
    <w:name w:val="Σώμα κείμενου 3 Char"/>
    <w:basedOn w:val="a0"/>
    <w:link w:val="30"/>
    <w:rsid w:val="00910C60"/>
    <w:rPr>
      <w:rFonts w:ascii="Arial" w:eastAsia="Times New Roman" w:hAnsi="Arial" w:cs="Arial"/>
      <w:b/>
      <w:bCs/>
      <w:sz w:val="24"/>
      <w:szCs w:val="20"/>
      <w:lang w:eastAsia="el-GR"/>
    </w:rPr>
  </w:style>
  <w:style w:type="paragraph" w:styleId="31">
    <w:name w:val="Body Text Indent 3"/>
    <w:basedOn w:val="a"/>
    <w:link w:val="3Char1"/>
    <w:rsid w:val="00910C60"/>
    <w:pPr>
      <w:spacing w:after="0" w:line="240" w:lineRule="auto"/>
      <w:ind w:left="426"/>
      <w:jc w:val="both"/>
    </w:pPr>
    <w:rPr>
      <w:rFonts w:ascii="Arial" w:eastAsia="Times New Roman" w:hAnsi="Arial" w:cs="Times New Roman"/>
      <w:sz w:val="24"/>
      <w:szCs w:val="20"/>
      <w:lang w:eastAsia="el-GR"/>
    </w:rPr>
  </w:style>
  <w:style w:type="character" w:customStyle="1" w:styleId="3Char1">
    <w:name w:val="Σώμα κείμενου με εσοχή 3 Char"/>
    <w:basedOn w:val="a0"/>
    <w:link w:val="31"/>
    <w:rsid w:val="00910C60"/>
    <w:rPr>
      <w:rFonts w:ascii="Arial" w:eastAsia="Times New Roman" w:hAnsi="Arial" w:cs="Times New Roman"/>
      <w:sz w:val="24"/>
      <w:szCs w:val="20"/>
      <w:lang w:eastAsia="el-GR"/>
    </w:rPr>
  </w:style>
  <w:style w:type="character" w:customStyle="1" w:styleId="SECTIONS">
    <w:name w:val="SECTIONS"/>
    <w:rsid w:val="00910C60"/>
    <w:rPr>
      <w:rFonts w:ascii="HellasAlla" w:hAnsi="HellasAlla"/>
      <w:b/>
      <w:sz w:val="20"/>
    </w:rPr>
  </w:style>
  <w:style w:type="character" w:styleId="aa">
    <w:name w:val="line number"/>
    <w:rsid w:val="00910C60"/>
  </w:style>
  <w:style w:type="paragraph" w:customStyle="1" w:styleId="Indent1">
    <w:name w:val="Indent1"/>
    <w:basedOn w:val="a"/>
    <w:link w:val="Indent1Char"/>
    <w:rsid w:val="00910C60"/>
    <w:pPr>
      <w:spacing w:after="120" w:line="300" w:lineRule="atLeast"/>
      <w:ind w:left="709"/>
    </w:pPr>
    <w:rPr>
      <w:rFonts w:ascii="Arial" w:eastAsia="Times New Roman" w:hAnsi="Arial" w:cs="Times New Roman"/>
      <w:szCs w:val="20"/>
      <w:lang w:val="en-GB"/>
    </w:rPr>
  </w:style>
  <w:style w:type="character" w:customStyle="1" w:styleId="Indent1Char">
    <w:name w:val="Indent1 Char"/>
    <w:link w:val="Indent1"/>
    <w:rsid w:val="00910C60"/>
    <w:rPr>
      <w:rFonts w:ascii="Arial" w:eastAsia="Times New Roman" w:hAnsi="Arial" w:cs="Times New Roman"/>
      <w:szCs w:val="20"/>
      <w:lang w:val="en-GB"/>
    </w:rPr>
  </w:style>
  <w:style w:type="character" w:styleId="ab">
    <w:name w:val="annotation reference"/>
    <w:rsid w:val="00910C60"/>
    <w:rPr>
      <w:sz w:val="16"/>
      <w:szCs w:val="16"/>
    </w:rPr>
  </w:style>
  <w:style w:type="paragraph" w:styleId="ac">
    <w:name w:val="annotation text"/>
    <w:basedOn w:val="a"/>
    <w:link w:val="Char4"/>
    <w:rsid w:val="00910C60"/>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rsid w:val="00910C60"/>
    <w:rPr>
      <w:rFonts w:ascii="Times New Roman" w:eastAsia="Times New Roman" w:hAnsi="Times New Roman" w:cs="Times New Roman"/>
      <w:sz w:val="20"/>
      <w:szCs w:val="20"/>
      <w:lang w:eastAsia="el-GR"/>
    </w:rPr>
  </w:style>
  <w:style w:type="paragraph" w:styleId="ad">
    <w:name w:val="annotation subject"/>
    <w:basedOn w:val="ac"/>
    <w:next w:val="ac"/>
    <w:link w:val="Char5"/>
    <w:rsid w:val="00910C60"/>
    <w:rPr>
      <w:b/>
      <w:bCs/>
    </w:rPr>
  </w:style>
  <w:style w:type="character" w:customStyle="1" w:styleId="Char5">
    <w:name w:val="Θέμα σχολίου Char"/>
    <w:basedOn w:val="Char4"/>
    <w:link w:val="ad"/>
    <w:rsid w:val="00910C60"/>
    <w:rPr>
      <w:rFonts w:ascii="Times New Roman" w:eastAsia="Times New Roman" w:hAnsi="Times New Roman" w:cs="Times New Roman"/>
      <w:b/>
      <w:bCs/>
      <w:sz w:val="20"/>
      <w:szCs w:val="20"/>
      <w:lang w:eastAsia="el-GR"/>
    </w:rPr>
  </w:style>
  <w:style w:type="paragraph" w:styleId="ae">
    <w:name w:val="endnote text"/>
    <w:basedOn w:val="a"/>
    <w:link w:val="Char6"/>
    <w:rsid w:val="00910C60"/>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σημείωσης τέλους Char"/>
    <w:basedOn w:val="a0"/>
    <w:link w:val="ae"/>
    <w:rsid w:val="00910C60"/>
    <w:rPr>
      <w:rFonts w:ascii="Times New Roman" w:eastAsia="Times New Roman" w:hAnsi="Times New Roman" w:cs="Times New Roman"/>
      <w:sz w:val="20"/>
      <w:szCs w:val="20"/>
      <w:lang w:eastAsia="el-GR"/>
    </w:rPr>
  </w:style>
  <w:style w:type="character" w:styleId="af">
    <w:name w:val="endnote reference"/>
    <w:rsid w:val="00910C60"/>
    <w:rPr>
      <w:vertAlign w:val="superscript"/>
    </w:rPr>
  </w:style>
  <w:style w:type="paragraph" w:customStyle="1" w:styleId="Paragraph">
    <w:name w:val="Paragraph"/>
    <w:basedOn w:val="a"/>
    <w:rsid w:val="00910C60"/>
    <w:pPr>
      <w:spacing w:after="120" w:line="240" w:lineRule="auto"/>
    </w:pPr>
    <w:rPr>
      <w:rFonts w:ascii="Arial" w:eastAsia="Times New Roman" w:hAnsi="Arial"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0C60"/>
    <w:pPr>
      <w:keepNext/>
      <w:widowControl w:val="0"/>
      <w:spacing w:after="0" w:line="240" w:lineRule="auto"/>
      <w:outlineLvl w:val="0"/>
    </w:pPr>
    <w:rPr>
      <w:rFonts w:ascii="HellasSouv" w:eastAsia="Times New Roman" w:hAnsi="HellasSouv" w:cs="Times New Roman"/>
      <w:i/>
      <w:sz w:val="24"/>
      <w:szCs w:val="20"/>
      <w:u w:val="single"/>
      <w:lang w:eastAsia="el-GR"/>
    </w:rPr>
  </w:style>
  <w:style w:type="paragraph" w:styleId="2">
    <w:name w:val="heading 2"/>
    <w:basedOn w:val="a"/>
    <w:next w:val="a"/>
    <w:link w:val="2Char"/>
    <w:unhideWhenUsed/>
    <w:qFormat/>
    <w:rsid w:val="00910C60"/>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910C60"/>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next w:val="a"/>
    <w:link w:val="4Char"/>
    <w:qFormat/>
    <w:rsid w:val="00910C60"/>
    <w:pPr>
      <w:keepNext/>
      <w:spacing w:after="0" w:line="240" w:lineRule="auto"/>
      <w:jc w:val="both"/>
      <w:outlineLvl w:val="3"/>
    </w:pPr>
    <w:rPr>
      <w:rFonts w:ascii="Arial" w:eastAsia="Times New Roman" w:hAnsi="Arial" w:cs="Times New Roman"/>
      <w:b/>
      <w:i/>
      <w:szCs w:val="20"/>
      <w:lang w:eastAsia="el-GR"/>
    </w:rPr>
  </w:style>
  <w:style w:type="paragraph" w:styleId="5">
    <w:name w:val="heading 5"/>
    <w:basedOn w:val="a"/>
    <w:next w:val="a"/>
    <w:link w:val="5Char"/>
    <w:unhideWhenUsed/>
    <w:qFormat/>
    <w:rsid w:val="00910C60"/>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910C60"/>
    <w:pPr>
      <w:keepNext/>
      <w:spacing w:after="0" w:line="240" w:lineRule="auto"/>
      <w:outlineLvl w:val="5"/>
    </w:pPr>
    <w:rPr>
      <w:rFonts w:ascii="Arial" w:eastAsia="Times New Roman" w:hAnsi="Arial" w:cs="Arial"/>
      <w:i/>
      <w:iCs/>
      <w:sz w:val="20"/>
      <w:szCs w:val="20"/>
      <w:lang w:eastAsia="el-GR"/>
    </w:rPr>
  </w:style>
  <w:style w:type="paragraph" w:styleId="7">
    <w:name w:val="heading 7"/>
    <w:basedOn w:val="a"/>
    <w:next w:val="a"/>
    <w:link w:val="7Char"/>
    <w:unhideWhenUsed/>
    <w:qFormat/>
    <w:rsid w:val="00910C60"/>
    <w:pPr>
      <w:spacing w:before="240" w:after="60" w:line="240" w:lineRule="auto"/>
      <w:outlineLvl w:val="6"/>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0C60"/>
    <w:rPr>
      <w:rFonts w:ascii="HellasSouv" w:eastAsia="Times New Roman" w:hAnsi="HellasSouv" w:cs="Times New Roman"/>
      <w:i/>
      <w:sz w:val="24"/>
      <w:szCs w:val="20"/>
      <w:u w:val="single"/>
      <w:lang w:eastAsia="el-GR"/>
    </w:rPr>
  </w:style>
  <w:style w:type="character" w:customStyle="1" w:styleId="2Char">
    <w:name w:val="Επικεφαλίδα 2 Char"/>
    <w:basedOn w:val="a0"/>
    <w:link w:val="2"/>
    <w:rsid w:val="00910C60"/>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910C60"/>
    <w:rPr>
      <w:rFonts w:ascii="Cambria" w:eastAsia="Times New Roman" w:hAnsi="Cambria" w:cs="Times New Roman"/>
      <w:b/>
      <w:bCs/>
      <w:sz w:val="26"/>
      <w:szCs w:val="26"/>
      <w:lang w:eastAsia="el-GR"/>
    </w:rPr>
  </w:style>
  <w:style w:type="character" w:customStyle="1" w:styleId="4Char">
    <w:name w:val="Επικεφαλίδα 4 Char"/>
    <w:basedOn w:val="a0"/>
    <w:link w:val="4"/>
    <w:rsid w:val="00910C60"/>
    <w:rPr>
      <w:rFonts w:ascii="Arial" w:eastAsia="Times New Roman" w:hAnsi="Arial" w:cs="Times New Roman"/>
      <w:b/>
      <w:i/>
      <w:szCs w:val="20"/>
      <w:lang w:eastAsia="el-GR"/>
    </w:rPr>
  </w:style>
  <w:style w:type="character" w:customStyle="1" w:styleId="5Char">
    <w:name w:val="Επικεφαλίδα 5 Char"/>
    <w:basedOn w:val="a0"/>
    <w:link w:val="5"/>
    <w:rsid w:val="00910C60"/>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910C60"/>
    <w:rPr>
      <w:rFonts w:ascii="Arial" w:eastAsia="Times New Roman" w:hAnsi="Arial" w:cs="Arial"/>
      <w:i/>
      <w:iCs/>
      <w:sz w:val="20"/>
      <w:szCs w:val="20"/>
      <w:lang w:eastAsia="el-GR"/>
    </w:rPr>
  </w:style>
  <w:style w:type="character" w:customStyle="1" w:styleId="7Char">
    <w:name w:val="Επικεφαλίδα 7 Char"/>
    <w:basedOn w:val="a0"/>
    <w:link w:val="7"/>
    <w:rsid w:val="00910C60"/>
    <w:rPr>
      <w:rFonts w:ascii="Calibri" w:eastAsia="Times New Roman" w:hAnsi="Calibri" w:cs="Times New Roman"/>
      <w:sz w:val="24"/>
      <w:szCs w:val="24"/>
      <w:lang w:eastAsia="el-GR"/>
    </w:rPr>
  </w:style>
  <w:style w:type="numbering" w:customStyle="1" w:styleId="10">
    <w:name w:val="Χωρίς λίστα1"/>
    <w:next w:val="a2"/>
    <w:semiHidden/>
    <w:unhideWhenUsed/>
    <w:rsid w:val="00910C60"/>
  </w:style>
  <w:style w:type="paragraph" w:customStyle="1" w:styleId="TITLESECOND">
    <w:name w:val="TITLE SECOND"/>
    <w:basedOn w:val="a"/>
    <w:rsid w:val="00910C60"/>
    <w:pPr>
      <w:spacing w:after="0" w:line="240" w:lineRule="auto"/>
    </w:pPr>
    <w:rPr>
      <w:rFonts w:ascii="HellasSouv" w:eastAsia="Times New Roman" w:hAnsi="HellasSouv" w:cs="Times New Roman"/>
      <w:b/>
      <w:sz w:val="24"/>
      <w:szCs w:val="20"/>
      <w:lang w:val="en-US" w:eastAsia="el-GR"/>
    </w:rPr>
  </w:style>
  <w:style w:type="paragraph" w:styleId="a3">
    <w:name w:val="Body Text"/>
    <w:basedOn w:val="a"/>
    <w:link w:val="Char"/>
    <w:rsid w:val="00910C60"/>
    <w:pPr>
      <w:spacing w:after="0" w:line="240" w:lineRule="auto"/>
    </w:pPr>
    <w:rPr>
      <w:rFonts w:ascii="Arial" w:eastAsia="Times New Roman" w:hAnsi="Arial" w:cs="Arial"/>
      <w:bCs/>
      <w:szCs w:val="24"/>
      <w:lang w:eastAsia="el-GR"/>
    </w:rPr>
  </w:style>
  <w:style w:type="character" w:customStyle="1" w:styleId="Char">
    <w:name w:val="Σώμα κειμένου Char"/>
    <w:basedOn w:val="a0"/>
    <w:link w:val="a3"/>
    <w:rsid w:val="00910C60"/>
    <w:rPr>
      <w:rFonts w:ascii="Arial" w:eastAsia="Times New Roman" w:hAnsi="Arial" w:cs="Arial"/>
      <w:bCs/>
      <w:szCs w:val="24"/>
      <w:lang w:eastAsia="el-GR"/>
    </w:rPr>
  </w:style>
  <w:style w:type="paragraph" w:styleId="20">
    <w:name w:val="Body Text 2"/>
    <w:basedOn w:val="a"/>
    <w:link w:val="2Char0"/>
    <w:rsid w:val="00910C60"/>
    <w:pPr>
      <w:spacing w:after="0" w:line="240" w:lineRule="auto"/>
    </w:pPr>
    <w:rPr>
      <w:rFonts w:ascii="Arial" w:eastAsia="Times New Roman" w:hAnsi="Arial" w:cs="Arial"/>
      <w:i/>
      <w:szCs w:val="24"/>
      <w:u w:val="single"/>
      <w:lang w:eastAsia="el-GR"/>
    </w:rPr>
  </w:style>
  <w:style w:type="character" w:customStyle="1" w:styleId="2Char0">
    <w:name w:val="Σώμα κείμενου 2 Char"/>
    <w:basedOn w:val="a0"/>
    <w:link w:val="20"/>
    <w:rsid w:val="00910C60"/>
    <w:rPr>
      <w:rFonts w:ascii="Arial" w:eastAsia="Times New Roman" w:hAnsi="Arial" w:cs="Arial"/>
      <w:i/>
      <w:szCs w:val="24"/>
      <w:u w:val="single"/>
      <w:lang w:eastAsia="el-GR"/>
    </w:rPr>
  </w:style>
  <w:style w:type="paragraph" w:styleId="a4">
    <w:name w:val="Body Text Indent"/>
    <w:basedOn w:val="a"/>
    <w:link w:val="Char0"/>
    <w:rsid w:val="00910C60"/>
    <w:pPr>
      <w:spacing w:after="0" w:line="240" w:lineRule="auto"/>
      <w:ind w:left="720"/>
      <w:jc w:val="both"/>
    </w:pPr>
    <w:rPr>
      <w:rFonts w:ascii="Arial" w:eastAsia="Times New Roman" w:hAnsi="Arial" w:cs="Times New Roman"/>
      <w:sz w:val="24"/>
      <w:szCs w:val="20"/>
      <w:lang w:eastAsia="el-GR"/>
    </w:rPr>
  </w:style>
  <w:style w:type="character" w:customStyle="1" w:styleId="Char0">
    <w:name w:val="Σώμα κείμενου με εσοχή Char"/>
    <w:basedOn w:val="a0"/>
    <w:link w:val="a4"/>
    <w:rsid w:val="00910C60"/>
    <w:rPr>
      <w:rFonts w:ascii="Arial" w:eastAsia="Times New Roman" w:hAnsi="Arial" w:cs="Times New Roman"/>
      <w:sz w:val="24"/>
      <w:szCs w:val="20"/>
      <w:lang w:eastAsia="el-GR"/>
    </w:rPr>
  </w:style>
  <w:style w:type="paragraph" w:styleId="a5">
    <w:name w:val="Balloon Text"/>
    <w:basedOn w:val="a"/>
    <w:link w:val="Char1"/>
    <w:semiHidden/>
    <w:rsid w:val="00910C60"/>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5"/>
    <w:semiHidden/>
    <w:rsid w:val="00910C60"/>
    <w:rPr>
      <w:rFonts w:ascii="Tahoma" w:eastAsia="Times New Roman" w:hAnsi="Tahoma" w:cs="Tahoma"/>
      <w:sz w:val="16"/>
      <w:szCs w:val="16"/>
      <w:lang w:eastAsia="el-GR"/>
    </w:rPr>
  </w:style>
  <w:style w:type="table" w:styleId="a6">
    <w:name w:val="Table Grid"/>
    <w:basedOn w:val="a1"/>
    <w:rsid w:val="00910C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2"/>
    <w:rsid w:val="00910C60"/>
    <w:pPr>
      <w:tabs>
        <w:tab w:val="center" w:pos="4320"/>
        <w:tab w:val="right" w:pos="8640"/>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910C60"/>
    <w:rPr>
      <w:rFonts w:ascii="Times New Roman" w:eastAsia="Times New Roman" w:hAnsi="Times New Roman" w:cs="Times New Roman"/>
      <w:sz w:val="24"/>
      <w:szCs w:val="24"/>
      <w:lang w:eastAsia="el-GR"/>
    </w:rPr>
  </w:style>
  <w:style w:type="paragraph" w:styleId="a8">
    <w:name w:val="footer"/>
    <w:basedOn w:val="a"/>
    <w:link w:val="Char3"/>
    <w:uiPriority w:val="99"/>
    <w:rsid w:val="00910C60"/>
    <w:pPr>
      <w:tabs>
        <w:tab w:val="center" w:pos="4320"/>
        <w:tab w:val="right" w:pos="8640"/>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uiPriority w:val="99"/>
    <w:rsid w:val="00910C60"/>
    <w:rPr>
      <w:rFonts w:ascii="Times New Roman" w:eastAsia="Times New Roman" w:hAnsi="Times New Roman" w:cs="Times New Roman"/>
      <w:sz w:val="24"/>
      <w:szCs w:val="24"/>
      <w:lang w:eastAsia="el-GR"/>
    </w:rPr>
  </w:style>
  <w:style w:type="character" w:styleId="-">
    <w:name w:val="Hyperlink"/>
    <w:rsid w:val="00910C60"/>
    <w:rPr>
      <w:color w:val="0000FF"/>
      <w:u w:val="single"/>
    </w:rPr>
  </w:style>
  <w:style w:type="character" w:styleId="a9">
    <w:name w:val="page number"/>
    <w:rsid w:val="00910C60"/>
  </w:style>
  <w:style w:type="paragraph" w:styleId="21">
    <w:name w:val="Body Text Indent 2"/>
    <w:basedOn w:val="a"/>
    <w:link w:val="2Char1"/>
    <w:rsid w:val="00910C60"/>
    <w:pPr>
      <w:spacing w:after="0" w:line="240" w:lineRule="auto"/>
      <w:ind w:left="360"/>
      <w:jc w:val="both"/>
    </w:pPr>
    <w:rPr>
      <w:rFonts w:ascii="Arial" w:eastAsia="Times New Roman" w:hAnsi="Arial" w:cs="Times New Roman"/>
      <w:sz w:val="24"/>
      <w:szCs w:val="20"/>
      <w:lang w:eastAsia="el-GR"/>
    </w:rPr>
  </w:style>
  <w:style w:type="character" w:customStyle="1" w:styleId="2Char1">
    <w:name w:val="Σώμα κείμενου με εσοχή 2 Char"/>
    <w:basedOn w:val="a0"/>
    <w:link w:val="21"/>
    <w:rsid w:val="00910C60"/>
    <w:rPr>
      <w:rFonts w:ascii="Arial" w:eastAsia="Times New Roman" w:hAnsi="Arial" w:cs="Times New Roman"/>
      <w:sz w:val="24"/>
      <w:szCs w:val="20"/>
      <w:lang w:eastAsia="el-GR"/>
    </w:rPr>
  </w:style>
  <w:style w:type="paragraph" w:styleId="30">
    <w:name w:val="Body Text 3"/>
    <w:basedOn w:val="a"/>
    <w:link w:val="3Char0"/>
    <w:rsid w:val="00910C60"/>
    <w:pPr>
      <w:spacing w:after="0" w:line="240" w:lineRule="auto"/>
    </w:pPr>
    <w:rPr>
      <w:rFonts w:ascii="Arial" w:eastAsia="Times New Roman" w:hAnsi="Arial" w:cs="Arial"/>
      <w:b/>
      <w:bCs/>
      <w:sz w:val="24"/>
      <w:szCs w:val="20"/>
      <w:lang w:eastAsia="el-GR"/>
    </w:rPr>
  </w:style>
  <w:style w:type="character" w:customStyle="1" w:styleId="3Char0">
    <w:name w:val="Σώμα κείμενου 3 Char"/>
    <w:basedOn w:val="a0"/>
    <w:link w:val="30"/>
    <w:rsid w:val="00910C60"/>
    <w:rPr>
      <w:rFonts w:ascii="Arial" w:eastAsia="Times New Roman" w:hAnsi="Arial" w:cs="Arial"/>
      <w:b/>
      <w:bCs/>
      <w:sz w:val="24"/>
      <w:szCs w:val="20"/>
      <w:lang w:eastAsia="el-GR"/>
    </w:rPr>
  </w:style>
  <w:style w:type="paragraph" w:styleId="31">
    <w:name w:val="Body Text Indent 3"/>
    <w:basedOn w:val="a"/>
    <w:link w:val="3Char1"/>
    <w:rsid w:val="00910C60"/>
    <w:pPr>
      <w:spacing w:after="0" w:line="240" w:lineRule="auto"/>
      <w:ind w:left="426"/>
      <w:jc w:val="both"/>
    </w:pPr>
    <w:rPr>
      <w:rFonts w:ascii="Arial" w:eastAsia="Times New Roman" w:hAnsi="Arial" w:cs="Times New Roman"/>
      <w:sz w:val="24"/>
      <w:szCs w:val="20"/>
      <w:lang w:eastAsia="el-GR"/>
    </w:rPr>
  </w:style>
  <w:style w:type="character" w:customStyle="1" w:styleId="3Char1">
    <w:name w:val="Σώμα κείμενου με εσοχή 3 Char"/>
    <w:basedOn w:val="a0"/>
    <w:link w:val="31"/>
    <w:rsid w:val="00910C60"/>
    <w:rPr>
      <w:rFonts w:ascii="Arial" w:eastAsia="Times New Roman" w:hAnsi="Arial" w:cs="Times New Roman"/>
      <w:sz w:val="24"/>
      <w:szCs w:val="20"/>
      <w:lang w:eastAsia="el-GR"/>
    </w:rPr>
  </w:style>
  <w:style w:type="character" w:customStyle="1" w:styleId="SECTIONS">
    <w:name w:val="SECTIONS"/>
    <w:rsid w:val="00910C60"/>
    <w:rPr>
      <w:rFonts w:ascii="HellasAlla" w:hAnsi="HellasAlla"/>
      <w:b/>
      <w:sz w:val="20"/>
    </w:rPr>
  </w:style>
  <w:style w:type="character" w:styleId="aa">
    <w:name w:val="line number"/>
    <w:rsid w:val="00910C60"/>
  </w:style>
  <w:style w:type="paragraph" w:customStyle="1" w:styleId="Indent1">
    <w:name w:val="Indent1"/>
    <w:basedOn w:val="a"/>
    <w:link w:val="Indent1Char"/>
    <w:rsid w:val="00910C60"/>
    <w:pPr>
      <w:spacing w:after="120" w:line="300" w:lineRule="atLeast"/>
      <w:ind w:left="709"/>
    </w:pPr>
    <w:rPr>
      <w:rFonts w:ascii="Arial" w:eastAsia="Times New Roman" w:hAnsi="Arial" w:cs="Times New Roman"/>
      <w:szCs w:val="20"/>
      <w:lang w:val="en-GB"/>
    </w:rPr>
  </w:style>
  <w:style w:type="character" w:customStyle="1" w:styleId="Indent1Char">
    <w:name w:val="Indent1 Char"/>
    <w:link w:val="Indent1"/>
    <w:rsid w:val="00910C60"/>
    <w:rPr>
      <w:rFonts w:ascii="Arial" w:eastAsia="Times New Roman" w:hAnsi="Arial" w:cs="Times New Roman"/>
      <w:szCs w:val="20"/>
      <w:lang w:val="en-GB"/>
    </w:rPr>
  </w:style>
  <w:style w:type="character" w:styleId="ab">
    <w:name w:val="annotation reference"/>
    <w:rsid w:val="00910C60"/>
    <w:rPr>
      <w:sz w:val="16"/>
      <w:szCs w:val="16"/>
    </w:rPr>
  </w:style>
  <w:style w:type="paragraph" w:styleId="ac">
    <w:name w:val="annotation text"/>
    <w:basedOn w:val="a"/>
    <w:link w:val="Char4"/>
    <w:rsid w:val="00910C60"/>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rsid w:val="00910C60"/>
    <w:rPr>
      <w:rFonts w:ascii="Times New Roman" w:eastAsia="Times New Roman" w:hAnsi="Times New Roman" w:cs="Times New Roman"/>
      <w:sz w:val="20"/>
      <w:szCs w:val="20"/>
      <w:lang w:eastAsia="el-GR"/>
    </w:rPr>
  </w:style>
  <w:style w:type="paragraph" w:styleId="ad">
    <w:name w:val="annotation subject"/>
    <w:basedOn w:val="ac"/>
    <w:next w:val="ac"/>
    <w:link w:val="Char5"/>
    <w:rsid w:val="00910C60"/>
    <w:rPr>
      <w:b/>
      <w:bCs/>
    </w:rPr>
  </w:style>
  <w:style w:type="character" w:customStyle="1" w:styleId="Char5">
    <w:name w:val="Θέμα σχολίου Char"/>
    <w:basedOn w:val="Char4"/>
    <w:link w:val="ad"/>
    <w:rsid w:val="00910C60"/>
    <w:rPr>
      <w:rFonts w:ascii="Times New Roman" w:eastAsia="Times New Roman" w:hAnsi="Times New Roman" w:cs="Times New Roman"/>
      <w:b/>
      <w:bCs/>
      <w:sz w:val="20"/>
      <w:szCs w:val="20"/>
      <w:lang w:eastAsia="el-GR"/>
    </w:rPr>
  </w:style>
  <w:style w:type="paragraph" w:styleId="ae">
    <w:name w:val="endnote text"/>
    <w:basedOn w:val="a"/>
    <w:link w:val="Char6"/>
    <w:rsid w:val="00910C60"/>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σημείωσης τέλους Char"/>
    <w:basedOn w:val="a0"/>
    <w:link w:val="ae"/>
    <w:rsid w:val="00910C60"/>
    <w:rPr>
      <w:rFonts w:ascii="Times New Roman" w:eastAsia="Times New Roman" w:hAnsi="Times New Roman" w:cs="Times New Roman"/>
      <w:sz w:val="20"/>
      <w:szCs w:val="20"/>
      <w:lang w:eastAsia="el-GR"/>
    </w:rPr>
  </w:style>
  <w:style w:type="character" w:styleId="af">
    <w:name w:val="endnote reference"/>
    <w:rsid w:val="00910C60"/>
    <w:rPr>
      <w:vertAlign w:val="superscript"/>
    </w:rPr>
  </w:style>
  <w:style w:type="paragraph" w:customStyle="1" w:styleId="Paragraph">
    <w:name w:val="Paragraph"/>
    <w:basedOn w:val="a"/>
    <w:rsid w:val="00910C60"/>
    <w:pPr>
      <w:spacing w:after="120" w:line="240" w:lineRule="auto"/>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4341</Words>
  <Characters>23447</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2016-11-14T05:51:00Z</dcterms:created>
  <dcterms:modified xsi:type="dcterms:W3CDTF">2016-11-14T05:51:00Z</dcterms:modified>
</cp:coreProperties>
</file>