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31559B" w:rsidRDefault="00623D8F" w:rsidP="006D183F">
      <w:pPr>
        <w:pStyle w:val="a3"/>
        <w:rPr>
          <w:sz w:val="22"/>
          <w:szCs w:val="22"/>
        </w:rPr>
      </w:pPr>
    </w:p>
    <w:p w:rsidR="00623D8F" w:rsidRPr="000008C4" w:rsidRDefault="00623D8F" w:rsidP="006D183F">
      <w:pPr>
        <w:pStyle w:val="a3"/>
        <w:rPr>
          <w:sz w:val="22"/>
          <w:szCs w:val="22"/>
        </w:rPr>
      </w:pPr>
      <w:r w:rsidRPr="006D183F">
        <w:rPr>
          <w:sz w:val="22"/>
          <w:szCs w:val="22"/>
        </w:rPr>
        <w:t>ΠΑΡΑΡΤΗΜΑ Ι</w:t>
      </w:r>
    </w:p>
    <w:p w:rsidR="00623D8F" w:rsidRPr="000008C4" w:rsidRDefault="00623D8F" w:rsidP="006D183F">
      <w:pPr>
        <w:pStyle w:val="a3"/>
        <w:rPr>
          <w:sz w:val="22"/>
          <w:szCs w:val="22"/>
        </w:rPr>
      </w:pPr>
    </w:p>
    <w:p w:rsidR="007B24CB" w:rsidRPr="000008C4" w:rsidRDefault="007B24CB" w:rsidP="006D183F">
      <w:pPr>
        <w:pStyle w:val="a3"/>
        <w:rPr>
          <w:sz w:val="22"/>
          <w:szCs w:val="22"/>
        </w:rPr>
      </w:pPr>
      <w:r w:rsidRPr="000008C4">
        <w:rPr>
          <w:sz w:val="22"/>
          <w:szCs w:val="22"/>
        </w:rPr>
        <w:t>ΠΕΡΙΛΗΨΗ ΧΑΡΑΚΤΗΡΙΣΤΙΚΩΝ ΤΟΥ ΠΡΟΪΟΝΤΟΣ</w:t>
      </w: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0008C4" w:rsidRDefault="00623D8F" w:rsidP="006D183F">
      <w:pPr>
        <w:pStyle w:val="a3"/>
        <w:rPr>
          <w:sz w:val="22"/>
          <w:szCs w:val="22"/>
        </w:rPr>
      </w:pPr>
    </w:p>
    <w:p w:rsidR="00623D8F" w:rsidRPr="006D183F" w:rsidRDefault="00623D8F" w:rsidP="006D183F">
      <w:pPr>
        <w:pStyle w:val="a3"/>
        <w:jc w:val="left"/>
        <w:rPr>
          <w:sz w:val="22"/>
          <w:szCs w:val="22"/>
        </w:rPr>
      </w:pPr>
    </w:p>
    <w:p w:rsidR="007B24CB" w:rsidRPr="000008C4" w:rsidRDefault="007B24CB" w:rsidP="00147539">
      <w:pPr>
        <w:rPr>
          <w:sz w:val="22"/>
          <w:szCs w:val="22"/>
          <w:lang w:val="el-GR"/>
        </w:rPr>
      </w:pPr>
    </w:p>
    <w:p w:rsidR="007B24CB" w:rsidRPr="000008C4" w:rsidRDefault="007B24CB" w:rsidP="00147539">
      <w:pPr>
        <w:numPr>
          <w:ilvl w:val="0"/>
          <w:numId w:val="40"/>
        </w:numPr>
        <w:tabs>
          <w:tab w:val="clear" w:pos="420"/>
          <w:tab w:val="num" w:pos="709"/>
        </w:tabs>
        <w:rPr>
          <w:b/>
          <w:sz w:val="22"/>
          <w:szCs w:val="22"/>
          <w:lang w:val="el-GR"/>
        </w:rPr>
      </w:pPr>
      <w:r w:rsidRPr="000008C4">
        <w:rPr>
          <w:b/>
          <w:sz w:val="22"/>
          <w:szCs w:val="22"/>
          <w:lang w:val="el-GR"/>
        </w:rPr>
        <w:t>ΟΝΟΜΑΣΙΑ ΤΟΥ ΦΑΡΜΑΚΕΥΤΙΚΟΥ ΠΡΟΪΟΝΤΟΣ</w:t>
      </w:r>
    </w:p>
    <w:p w:rsidR="007B24CB" w:rsidRPr="000008C4" w:rsidRDefault="007B24CB" w:rsidP="00147539">
      <w:pPr>
        <w:rPr>
          <w:b/>
          <w:sz w:val="22"/>
          <w:szCs w:val="22"/>
          <w:lang w:val="el-GR"/>
        </w:rPr>
      </w:pPr>
    </w:p>
    <w:p w:rsidR="007B24CB" w:rsidRPr="000008C4" w:rsidRDefault="007B24CB" w:rsidP="00147539">
      <w:pPr>
        <w:ind w:left="720"/>
        <w:rPr>
          <w:sz w:val="22"/>
          <w:szCs w:val="22"/>
          <w:lang w:val="el-GR"/>
        </w:rPr>
      </w:pPr>
      <w:r w:rsidRPr="000008C4">
        <w:rPr>
          <w:sz w:val="22"/>
          <w:szCs w:val="22"/>
        </w:rPr>
        <w:t>PARIET</w:t>
      </w:r>
      <w:r w:rsidRPr="000008C4">
        <w:rPr>
          <w:sz w:val="22"/>
          <w:szCs w:val="22"/>
          <w:lang w:val="el-GR"/>
        </w:rPr>
        <w:t xml:space="preserve"> 10 mg γαστροανθεκτικό δισκίο</w:t>
      </w:r>
    </w:p>
    <w:p w:rsidR="007B24CB" w:rsidRPr="000008C4" w:rsidRDefault="007B24CB" w:rsidP="00147539">
      <w:pPr>
        <w:ind w:left="720"/>
        <w:rPr>
          <w:sz w:val="22"/>
          <w:szCs w:val="22"/>
          <w:lang w:val="el-GR"/>
        </w:rPr>
      </w:pPr>
      <w:r w:rsidRPr="000008C4">
        <w:rPr>
          <w:sz w:val="22"/>
          <w:szCs w:val="22"/>
        </w:rPr>
        <w:t>PARIET</w:t>
      </w:r>
      <w:r w:rsidRPr="000008C4">
        <w:rPr>
          <w:sz w:val="22"/>
          <w:szCs w:val="22"/>
          <w:lang w:val="el-GR"/>
        </w:rPr>
        <w:t xml:space="preserve"> 20 mg γαστροανθεκτικό δισκίο</w:t>
      </w:r>
    </w:p>
    <w:p w:rsidR="007B24CB" w:rsidRPr="000008C4" w:rsidRDefault="007B24CB" w:rsidP="00147539">
      <w:pPr>
        <w:ind w:left="360"/>
        <w:rPr>
          <w:sz w:val="22"/>
          <w:szCs w:val="22"/>
        </w:rPr>
      </w:pPr>
    </w:p>
    <w:p w:rsidR="00AD5FEE" w:rsidRPr="006D183F" w:rsidRDefault="00AD5FEE" w:rsidP="00147539">
      <w:pPr>
        <w:ind w:left="360"/>
        <w:rPr>
          <w:sz w:val="22"/>
          <w:szCs w:val="22"/>
        </w:rPr>
      </w:pPr>
    </w:p>
    <w:p w:rsidR="007B24CB" w:rsidRPr="006D183F" w:rsidRDefault="007B24CB" w:rsidP="00147539">
      <w:pPr>
        <w:numPr>
          <w:ilvl w:val="0"/>
          <w:numId w:val="4"/>
        </w:numPr>
        <w:tabs>
          <w:tab w:val="clear" w:pos="360"/>
          <w:tab w:val="num" w:pos="709"/>
        </w:tabs>
        <w:rPr>
          <w:b/>
          <w:sz w:val="22"/>
          <w:szCs w:val="22"/>
          <w:lang w:val="el-GR"/>
        </w:rPr>
      </w:pPr>
      <w:r w:rsidRPr="006D183F">
        <w:rPr>
          <w:b/>
          <w:sz w:val="22"/>
          <w:szCs w:val="22"/>
          <w:lang w:val="el-GR"/>
        </w:rPr>
        <w:t>ΠΟΙΟΤΙΚΗ ΚΑΙ ΠΟΣΟΤΙΚΗ ΣΥΝΘΕΣΗ</w:t>
      </w:r>
    </w:p>
    <w:p w:rsidR="007B24CB" w:rsidRPr="000008C4" w:rsidRDefault="007B24CB" w:rsidP="00147539">
      <w:pPr>
        <w:rPr>
          <w:sz w:val="22"/>
          <w:szCs w:val="22"/>
          <w:lang w:val="el-GR"/>
        </w:rPr>
      </w:pPr>
    </w:p>
    <w:p w:rsidR="007B24CB" w:rsidRPr="000008C4" w:rsidRDefault="007B24CB" w:rsidP="00147539">
      <w:pPr>
        <w:ind w:left="2835" w:hanging="2115"/>
        <w:rPr>
          <w:sz w:val="22"/>
          <w:szCs w:val="22"/>
          <w:lang w:val="el-GR"/>
        </w:rPr>
      </w:pPr>
      <w:r w:rsidRPr="000008C4">
        <w:rPr>
          <w:sz w:val="22"/>
          <w:szCs w:val="22"/>
          <w:lang w:val="el-GR"/>
        </w:rPr>
        <w:t>10</w:t>
      </w:r>
      <w:r w:rsidRPr="000008C4">
        <w:rPr>
          <w:sz w:val="22"/>
          <w:szCs w:val="22"/>
        </w:rPr>
        <w:t> mg</w:t>
      </w:r>
      <w:r w:rsidRPr="000008C4">
        <w:rPr>
          <w:sz w:val="22"/>
          <w:szCs w:val="22"/>
          <w:lang w:val="el-GR"/>
        </w:rPr>
        <w:t xml:space="preserve"> νατριούχου ραμπεπραζόλης που αντιστοιχ</w:t>
      </w:r>
      <w:r w:rsidR="00D54D86">
        <w:rPr>
          <w:sz w:val="22"/>
          <w:szCs w:val="22"/>
          <w:lang w:val="el-GR"/>
        </w:rPr>
        <w:t>ούν</w:t>
      </w:r>
      <w:r w:rsidRPr="000008C4">
        <w:rPr>
          <w:sz w:val="22"/>
          <w:szCs w:val="22"/>
          <w:lang w:val="el-GR"/>
        </w:rPr>
        <w:t xml:space="preserve"> σε 9,42</w:t>
      </w:r>
      <w:r w:rsidRPr="000008C4">
        <w:rPr>
          <w:sz w:val="22"/>
          <w:szCs w:val="22"/>
        </w:rPr>
        <w:t> mg</w:t>
      </w:r>
      <w:r w:rsidRPr="000008C4">
        <w:rPr>
          <w:sz w:val="22"/>
          <w:szCs w:val="22"/>
          <w:lang w:val="el-GR"/>
        </w:rPr>
        <w:t xml:space="preserve"> ραμπεπραζόλης</w:t>
      </w:r>
      <w:r w:rsidR="00524272" w:rsidRPr="000008C4">
        <w:rPr>
          <w:sz w:val="22"/>
          <w:szCs w:val="22"/>
          <w:lang w:val="el-GR"/>
        </w:rPr>
        <w:t>.</w:t>
      </w:r>
    </w:p>
    <w:p w:rsidR="007B24CB" w:rsidRPr="000008C4" w:rsidRDefault="007B24CB" w:rsidP="00147539">
      <w:pPr>
        <w:ind w:left="2835" w:hanging="2126"/>
        <w:rPr>
          <w:sz w:val="22"/>
          <w:szCs w:val="22"/>
          <w:lang w:val="el-GR"/>
        </w:rPr>
      </w:pPr>
      <w:r w:rsidRPr="000008C4">
        <w:rPr>
          <w:sz w:val="22"/>
          <w:szCs w:val="22"/>
          <w:lang w:val="el-GR"/>
        </w:rPr>
        <w:t>20</w:t>
      </w:r>
      <w:r w:rsidRPr="000008C4">
        <w:rPr>
          <w:sz w:val="22"/>
          <w:szCs w:val="22"/>
        </w:rPr>
        <w:t> mg</w:t>
      </w:r>
      <w:r w:rsidRPr="000008C4">
        <w:rPr>
          <w:sz w:val="22"/>
          <w:szCs w:val="22"/>
          <w:lang w:val="el-GR"/>
        </w:rPr>
        <w:t xml:space="preserve"> νατριούχου ραμπεπραζόλης που αντιστοιχ</w:t>
      </w:r>
      <w:r w:rsidR="00D54D86">
        <w:rPr>
          <w:sz w:val="22"/>
          <w:szCs w:val="22"/>
          <w:lang w:val="el-GR"/>
        </w:rPr>
        <w:t>ούν</w:t>
      </w:r>
      <w:r w:rsidRPr="000008C4">
        <w:rPr>
          <w:sz w:val="22"/>
          <w:szCs w:val="22"/>
          <w:lang w:val="el-GR"/>
        </w:rPr>
        <w:t xml:space="preserve"> σε 18,85</w:t>
      </w:r>
      <w:r w:rsidRPr="000008C4">
        <w:rPr>
          <w:sz w:val="22"/>
          <w:szCs w:val="22"/>
        </w:rPr>
        <w:t> mg</w:t>
      </w:r>
      <w:r w:rsidRPr="000008C4">
        <w:rPr>
          <w:sz w:val="22"/>
          <w:szCs w:val="22"/>
          <w:lang w:val="el-GR"/>
        </w:rPr>
        <w:t xml:space="preserve"> ραμπεπραζόλης</w:t>
      </w:r>
      <w:r w:rsidR="00524272" w:rsidRPr="000008C4">
        <w:rPr>
          <w:sz w:val="22"/>
          <w:szCs w:val="22"/>
          <w:lang w:val="el-GR"/>
        </w:rPr>
        <w:t>.</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0008C4">
        <w:rPr>
          <w:sz w:val="22"/>
          <w:szCs w:val="22"/>
          <w:lang w:val="el-GR"/>
        </w:rPr>
        <w:t xml:space="preserve">Για </w:t>
      </w:r>
      <w:bookmarkStart w:id="0" w:name="OLE_LINK1"/>
      <w:r w:rsidRPr="000008C4">
        <w:rPr>
          <w:sz w:val="22"/>
          <w:szCs w:val="22"/>
          <w:lang w:val="el-GR"/>
        </w:rPr>
        <w:t>τον πλήρη κατάλογο των εκδόχων</w:t>
      </w:r>
      <w:bookmarkEnd w:id="0"/>
      <w:r w:rsidRPr="000008C4">
        <w:rPr>
          <w:sz w:val="22"/>
          <w:szCs w:val="22"/>
          <w:lang w:val="el-GR"/>
        </w:rPr>
        <w:t>, βλέπε παράγραφο 6.1</w:t>
      </w:r>
    </w:p>
    <w:p w:rsidR="007B24CB" w:rsidRPr="006D183F" w:rsidRDefault="007B24CB" w:rsidP="00147539">
      <w:pPr>
        <w:rPr>
          <w:sz w:val="22"/>
          <w:szCs w:val="22"/>
          <w:lang w:val="el-GR"/>
        </w:rPr>
      </w:pPr>
    </w:p>
    <w:p w:rsidR="00AD5FEE" w:rsidRPr="006D183F" w:rsidRDefault="00AD5FEE" w:rsidP="00147539">
      <w:pPr>
        <w:rPr>
          <w:sz w:val="22"/>
          <w:szCs w:val="22"/>
          <w:lang w:val="el-GR"/>
        </w:rPr>
      </w:pPr>
    </w:p>
    <w:p w:rsidR="007B24CB" w:rsidRPr="000008C4" w:rsidRDefault="007B24CB" w:rsidP="00147539">
      <w:pPr>
        <w:numPr>
          <w:ilvl w:val="0"/>
          <w:numId w:val="4"/>
        </w:numPr>
        <w:tabs>
          <w:tab w:val="clear" w:pos="360"/>
          <w:tab w:val="num" w:pos="709"/>
        </w:tabs>
        <w:rPr>
          <w:b/>
          <w:sz w:val="22"/>
          <w:szCs w:val="22"/>
          <w:lang w:val="el-GR"/>
        </w:rPr>
      </w:pPr>
      <w:r w:rsidRPr="000008C4">
        <w:rPr>
          <w:b/>
          <w:sz w:val="22"/>
          <w:szCs w:val="22"/>
          <w:lang w:val="el-GR"/>
        </w:rPr>
        <w:t>ΦΑΡΜΑΚΟΤΕΧΝΙΚΗ ΜΟΡΦΗ</w:t>
      </w:r>
    </w:p>
    <w:p w:rsidR="007B24CB" w:rsidRPr="000008C4" w:rsidRDefault="007B24CB" w:rsidP="00147539">
      <w:pPr>
        <w:ind w:firstLine="360"/>
        <w:rPr>
          <w:sz w:val="22"/>
          <w:szCs w:val="22"/>
          <w:lang w:val="el-GR"/>
        </w:rPr>
      </w:pPr>
    </w:p>
    <w:p w:rsidR="007B24CB" w:rsidRPr="000008C4" w:rsidRDefault="007B24CB" w:rsidP="00147539">
      <w:pPr>
        <w:ind w:firstLine="720"/>
        <w:rPr>
          <w:sz w:val="22"/>
          <w:szCs w:val="22"/>
          <w:lang w:val="el-GR"/>
        </w:rPr>
      </w:pPr>
      <w:r w:rsidRPr="000008C4">
        <w:rPr>
          <w:sz w:val="22"/>
          <w:szCs w:val="22"/>
          <w:lang w:val="el-GR"/>
        </w:rPr>
        <w:t>Γαστροανθεκτικό δισκίο</w:t>
      </w:r>
      <w:r w:rsidR="003335A1" w:rsidRPr="000008C4">
        <w:rPr>
          <w:sz w:val="22"/>
          <w:szCs w:val="22"/>
          <w:lang w:val="el-GR"/>
        </w:rPr>
        <w:t>.</w:t>
      </w:r>
    </w:p>
    <w:p w:rsidR="007B24CB" w:rsidRPr="000008C4" w:rsidRDefault="007B24CB" w:rsidP="00147539">
      <w:pPr>
        <w:ind w:firstLine="720"/>
        <w:rPr>
          <w:sz w:val="22"/>
          <w:szCs w:val="22"/>
          <w:lang w:val="el-GR"/>
        </w:rPr>
      </w:pPr>
    </w:p>
    <w:p w:rsidR="007B24CB" w:rsidRPr="006D183F" w:rsidRDefault="007B24CB" w:rsidP="00147539">
      <w:pPr>
        <w:ind w:left="720"/>
        <w:rPr>
          <w:sz w:val="22"/>
          <w:szCs w:val="22"/>
          <w:lang w:val="el-GR"/>
        </w:rPr>
      </w:pPr>
      <w:r w:rsidRPr="000008C4">
        <w:rPr>
          <w:sz w:val="22"/>
          <w:szCs w:val="22"/>
          <w:lang w:val="el-GR"/>
        </w:rPr>
        <w:t xml:space="preserve">Δισκίο 10 mg: Ροζ, επικαλυμμένο με λεπτό υμένιο, αμφίκυρτο δισκίο, που έχει στη μία πλευρά </w:t>
      </w:r>
      <w:r w:rsidR="008B2DF6">
        <w:rPr>
          <w:sz w:val="22"/>
          <w:szCs w:val="22"/>
          <w:lang w:val="el-GR"/>
        </w:rPr>
        <w:t>εκτυπωμένη την ένδειξη</w:t>
      </w:r>
      <w:r w:rsidRPr="000008C4">
        <w:rPr>
          <w:sz w:val="22"/>
          <w:szCs w:val="22"/>
          <w:lang w:val="el-GR"/>
        </w:rPr>
        <w:t xml:space="preserve"> ‘Ε241’.</w:t>
      </w:r>
    </w:p>
    <w:p w:rsidR="00F30950" w:rsidRPr="006D183F" w:rsidRDefault="00F30950" w:rsidP="00147539">
      <w:pPr>
        <w:ind w:left="720"/>
        <w:rPr>
          <w:sz w:val="22"/>
          <w:szCs w:val="22"/>
          <w:lang w:val="el-GR"/>
        </w:rPr>
      </w:pPr>
    </w:p>
    <w:p w:rsidR="007B24CB" w:rsidRPr="000008C4" w:rsidRDefault="007B24CB" w:rsidP="00147539">
      <w:pPr>
        <w:ind w:left="720"/>
        <w:rPr>
          <w:sz w:val="22"/>
          <w:szCs w:val="22"/>
          <w:lang w:val="el-GR"/>
        </w:rPr>
      </w:pPr>
      <w:r w:rsidRPr="000008C4">
        <w:rPr>
          <w:sz w:val="22"/>
          <w:szCs w:val="22"/>
          <w:lang w:val="el-GR"/>
        </w:rPr>
        <w:t xml:space="preserve">Δισκίο 20 mg: Κίτρινο, επικαλυμμένο με </w:t>
      </w:r>
      <w:r w:rsidR="00DC3D99" w:rsidRPr="000008C4">
        <w:rPr>
          <w:sz w:val="22"/>
          <w:szCs w:val="22"/>
          <w:lang w:val="el-GR"/>
        </w:rPr>
        <w:t xml:space="preserve">λεπτό </w:t>
      </w:r>
      <w:r w:rsidRPr="000008C4">
        <w:rPr>
          <w:sz w:val="22"/>
          <w:szCs w:val="22"/>
          <w:lang w:val="el-GR"/>
        </w:rPr>
        <w:t xml:space="preserve">υμένιο, αμφίκυρτο δισκίο, που έχει στη μία πλευρά </w:t>
      </w:r>
      <w:r w:rsidR="008B2DF6">
        <w:rPr>
          <w:sz w:val="22"/>
          <w:szCs w:val="22"/>
          <w:lang w:val="el-GR"/>
        </w:rPr>
        <w:t>εκτυπωμένη την ένδειξη</w:t>
      </w:r>
      <w:r w:rsidRPr="000008C4">
        <w:rPr>
          <w:sz w:val="22"/>
          <w:szCs w:val="22"/>
          <w:lang w:val="el-GR"/>
        </w:rPr>
        <w:t xml:space="preserve"> ‘Ε243’.</w:t>
      </w:r>
    </w:p>
    <w:p w:rsidR="007B24CB" w:rsidRPr="006D183F" w:rsidRDefault="007B24CB" w:rsidP="00147539">
      <w:pPr>
        <w:rPr>
          <w:sz w:val="22"/>
          <w:szCs w:val="22"/>
          <w:lang w:val="el-GR"/>
        </w:rPr>
      </w:pPr>
    </w:p>
    <w:p w:rsidR="00AD5FEE" w:rsidRPr="006D183F" w:rsidRDefault="00AD5FEE" w:rsidP="00147539">
      <w:pPr>
        <w:rPr>
          <w:sz w:val="22"/>
          <w:szCs w:val="22"/>
          <w:lang w:val="el-GR"/>
        </w:rPr>
      </w:pPr>
    </w:p>
    <w:p w:rsidR="007B24CB" w:rsidRPr="000008C4" w:rsidRDefault="007B24CB" w:rsidP="00147539">
      <w:pPr>
        <w:numPr>
          <w:ilvl w:val="0"/>
          <w:numId w:val="4"/>
        </w:numPr>
        <w:tabs>
          <w:tab w:val="clear" w:pos="360"/>
          <w:tab w:val="num" w:pos="720"/>
        </w:tabs>
        <w:ind w:left="720" w:hanging="720"/>
        <w:rPr>
          <w:b/>
          <w:sz w:val="22"/>
          <w:szCs w:val="22"/>
          <w:lang w:val="el-GR"/>
        </w:rPr>
      </w:pPr>
      <w:r w:rsidRPr="000008C4">
        <w:rPr>
          <w:b/>
          <w:sz w:val="22"/>
          <w:szCs w:val="22"/>
          <w:lang w:val="el-GR"/>
        </w:rPr>
        <w:t>ΚΛΙΝΙΚ</w:t>
      </w:r>
      <w:r w:rsidR="000F2112" w:rsidRPr="006D183F">
        <w:rPr>
          <w:b/>
          <w:sz w:val="22"/>
          <w:szCs w:val="22"/>
          <w:lang w:val="el-GR"/>
        </w:rPr>
        <w:t>ΕΣ ΠΛΗΡΟΦΟΡΙΕΣ</w:t>
      </w:r>
    </w:p>
    <w:p w:rsidR="007B24CB" w:rsidRPr="000008C4" w:rsidRDefault="007B24CB" w:rsidP="00147539">
      <w:pPr>
        <w:rPr>
          <w:b/>
          <w:sz w:val="22"/>
          <w:szCs w:val="22"/>
          <w:lang w:val="el-GR"/>
        </w:rPr>
      </w:pPr>
    </w:p>
    <w:p w:rsidR="007B24CB" w:rsidRPr="000008C4" w:rsidRDefault="007B24CB" w:rsidP="00147539">
      <w:pPr>
        <w:rPr>
          <w:b/>
          <w:sz w:val="22"/>
          <w:szCs w:val="22"/>
          <w:lang w:val="el-GR"/>
        </w:rPr>
      </w:pPr>
      <w:r w:rsidRPr="000008C4">
        <w:rPr>
          <w:b/>
          <w:sz w:val="22"/>
          <w:szCs w:val="22"/>
          <w:lang w:val="el-GR"/>
        </w:rPr>
        <w:t>4.1</w:t>
      </w:r>
      <w:r w:rsidRPr="000008C4">
        <w:rPr>
          <w:b/>
          <w:sz w:val="22"/>
          <w:szCs w:val="22"/>
          <w:lang w:val="el-GR"/>
        </w:rPr>
        <w:tab/>
        <w:t>Θεραπευτικές ενδείξεις</w:t>
      </w:r>
    </w:p>
    <w:p w:rsidR="007B24CB" w:rsidRPr="000008C4" w:rsidRDefault="007B24CB" w:rsidP="00147539">
      <w:pPr>
        <w:rPr>
          <w:sz w:val="22"/>
          <w:szCs w:val="22"/>
          <w:lang w:val="el-GR"/>
        </w:rPr>
      </w:pPr>
    </w:p>
    <w:p w:rsidR="007B24CB" w:rsidRPr="000008C4" w:rsidRDefault="007B24CB" w:rsidP="00147539">
      <w:pPr>
        <w:ind w:left="720"/>
        <w:rPr>
          <w:sz w:val="22"/>
          <w:szCs w:val="22"/>
          <w:lang w:val="el-GR"/>
        </w:rPr>
      </w:pPr>
      <w:r w:rsidRPr="000008C4">
        <w:rPr>
          <w:sz w:val="22"/>
          <w:szCs w:val="22"/>
          <w:lang w:val="el-GR"/>
        </w:rPr>
        <w:t xml:space="preserve">Τα δισκία </w:t>
      </w:r>
      <w:r w:rsidRPr="000008C4">
        <w:rPr>
          <w:sz w:val="22"/>
          <w:szCs w:val="22"/>
        </w:rPr>
        <w:t>PARIET</w:t>
      </w:r>
      <w:r w:rsidRPr="000008C4">
        <w:rPr>
          <w:sz w:val="22"/>
          <w:szCs w:val="22"/>
          <w:lang w:val="el-GR"/>
        </w:rPr>
        <w:t xml:space="preserve"> ενδείκνυνται για τη θεραπεία:</w:t>
      </w:r>
    </w:p>
    <w:p w:rsidR="007B24CB" w:rsidRPr="000008C4" w:rsidRDefault="007B24CB" w:rsidP="00147539">
      <w:pPr>
        <w:numPr>
          <w:ilvl w:val="0"/>
          <w:numId w:val="23"/>
        </w:numPr>
        <w:tabs>
          <w:tab w:val="clear" w:pos="360"/>
          <w:tab w:val="num" w:pos="1080"/>
        </w:tabs>
        <w:ind w:left="1080"/>
        <w:rPr>
          <w:sz w:val="22"/>
          <w:szCs w:val="22"/>
          <w:lang w:val="el-GR"/>
        </w:rPr>
      </w:pPr>
      <w:r w:rsidRPr="000008C4">
        <w:rPr>
          <w:sz w:val="22"/>
          <w:szCs w:val="22"/>
          <w:lang w:val="el-GR"/>
        </w:rPr>
        <w:t>του ενεργού έλκους του δωδεκαδακτύλου</w:t>
      </w:r>
    </w:p>
    <w:p w:rsidR="007B24CB" w:rsidRPr="000008C4" w:rsidRDefault="007B24CB" w:rsidP="00147539">
      <w:pPr>
        <w:numPr>
          <w:ilvl w:val="0"/>
          <w:numId w:val="23"/>
        </w:numPr>
        <w:tabs>
          <w:tab w:val="clear" w:pos="360"/>
          <w:tab w:val="num" w:pos="1080"/>
        </w:tabs>
        <w:ind w:left="1080"/>
        <w:rPr>
          <w:sz w:val="22"/>
          <w:szCs w:val="22"/>
          <w:lang w:val="el-GR"/>
        </w:rPr>
      </w:pPr>
      <w:r w:rsidRPr="000008C4">
        <w:rPr>
          <w:sz w:val="22"/>
          <w:szCs w:val="22"/>
          <w:lang w:val="el-GR"/>
        </w:rPr>
        <w:t>του ενεργού καλοήθους γαστρικού έλκους</w:t>
      </w:r>
    </w:p>
    <w:p w:rsidR="007B24CB" w:rsidRPr="000008C4" w:rsidRDefault="007B24CB" w:rsidP="00147539">
      <w:pPr>
        <w:numPr>
          <w:ilvl w:val="0"/>
          <w:numId w:val="23"/>
        </w:numPr>
        <w:tabs>
          <w:tab w:val="clear" w:pos="360"/>
          <w:tab w:val="num" w:pos="1080"/>
        </w:tabs>
        <w:ind w:left="1080"/>
        <w:rPr>
          <w:sz w:val="22"/>
          <w:szCs w:val="22"/>
          <w:lang w:val="el-GR"/>
        </w:rPr>
      </w:pPr>
      <w:r w:rsidRPr="000008C4">
        <w:rPr>
          <w:sz w:val="22"/>
          <w:szCs w:val="22"/>
          <w:lang w:val="el-GR"/>
        </w:rPr>
        <w:t>της συμπτωματικής διαβρωτικής ή ελκωτικής νόσου του οισοφάγου από γαστροοισοφαγική παλινδρόμηση (ΓΟΠ).</w:t>
      </w:r>
    </w:p>
    <w:p w:rsidR="007B24CB" w:rsidRPr="000008C4" w:rsidRDefault="007B24CB" w:rsidP="00147539">
      <w:pPr>
        <w:numPr>
          <w:ilvl w:val="0"/>
          <w:numId w:val="43"/>
        </w:numPr>
        <w:tabs>
          <w:tab w:val="num" w:pos="1080"/>
        </w:tabs>
        <w:ind w:left="1080"/>
        <w:rPr>
          <w:sz w:val="22"/>
          <w:szCs w:val="22"/>
          <w:lang w:val="el-GR"/>
        </w:rPr>
      </w:pPr>
      <w:r w:rsidRPr="000008C4">
        <w:rPr>
          <w:sz w:val="22"/>
          <w:szCs w:val="22"/>
          <w:lang w:val="el-GR"/>
        </w:rPr>
        <w:t>της νόσου του οισοφάγου από γαστροοισοφαγική παλινδρόμηση σε  μακροχρόνια αντιμετώπιση (θεραπεία συντήρησης ΓΟΠ).</w:t>
      </w:r>
    </w:p>
    <w:p w:rsidR="007B24CB" w:rsidRPr="000008C4" w:rsidRDefault="007B24CB" w:rsidP="00147539">
      <w:pPr>
        <w:numPr>
          <w:ilvl w:val="0"/>
          <w:numId w:val="43"/>
        </w:numPr>
        <w:tabs>
          <w:tab w:val="num" w:pos="1080"/>
        </w:tabs>
        <w:ind w:left="1080"/>
        <w:rPr>
          <w:sz w:val="22"/>
          <w:szCs w:val="22"/>
          <w:lang w:val="el-GR"/>
        </w:rPr>
      </w:pPr>
      <w:r w:rsidRPr="000008C4">
        <w:rPr>
          <w:sz w:val="22"/>
          <w:szCs w:val="22"/>
          <w:lang w:val="el-GR"/>
        </w:rPr>
        <w:t>συμπτωματική θεραπεία της μέτριας έως πολύ σοβαρής νόσου του οισοφάγου από γαστροοισοφαγική παλινδρόμηση (συμπτωματική ΓΟΠ).</w:t>
      </w:r>
    </w:p>
    <w:p w:rsidR="007B24CB" w:rsidRPr="000008C4" w:rsidRDefault="007B24CB" w:rsidP="00147539">
      <w:pPr>
        <w:numPr>
          <w:ilvl w:val="0"/>
          <w:numId w:val="43"/>
        </w:numPr>
        <w:tabs>
          <w:tab w:val="num" w:pos="1080"/>
        </w:tabs>
        <w:ind w:left="1080"/>
        <w:rPr>
          <w:sz w:val="22"/>
          <w:szCs w:val="22"/>
          <w:lang w:val="el-GR"/>
        </w:rPr>
      </w:pPr>
      <w:r w:rsidRPr="000008C4">
        <w:rPr>
          <w:sz w:val="22"/>
          <w:szCs w:val="22"/>
          <w:lang w:val="el-GR"/>
        </w:rPr>
        <w:t xml:space="preserve">του συνδρόμου </w:t>
      </w:r>
      <w:r w:rsidRPr="000008C4">
        <w:rPr>
          <w:sz w:val="22"/>
          <w:szCs w:val="22"/>
        </w:rPr>
        <w:t>Zollinger</w:t>
      </w:r>
      <w:r w:rsidRPr="000008C4">
        <w:rPr>
          <w:sz w:val="22"/>
          <w:szCs w:val="22"/>
          <w:lang w:val="el-GR"/>
        </w:rPr>
        <w:t>-</w:t>
      </w:r>
      <w:r w:rsidRPr="000008C4">
        <w:rPr>
          <w:sz w:val="22"/>
          <w:szCs w:val="22"/>
        </w:rPr>
        <w:t>Ellison</w:t>
      </w:r>
      <w:r w:rsidRPr="000008C4">
        <w:rPr>
          <w:sz w:val="22"/>
          <w:szCs w:val="22"/>
          <w:lang w:val="el-GR"/>
        </w:rPr>
        <w:t>.</w:t>
      </w:r>
    </w:p>
    <w:p w:rsidR="007B24CB" w:rsidRPr="000008C4" w:rsidRDefault="00484DBF" w:rsidP="006D183F">
      <w:pPr>
        <w:numPr>
          <w:ilvl w:val="0"/>
          <w:numId w:val="43"/>
        </w:numPr>
        <w:ind w:left="1080"/>
        <w:rPr>
          <w:sz w:val="22"/>
          <w:szCs w:val="22"/>
          <w:lang w:val="el-GR"/>
        </w:rPr>
      </w:pPr>
      <w:r w:rsidRPr="006D183F">
        <w:rPr>
          <w:sz w:val="22"/>
          <w:szCs w:val="22"/>
          <w:lang w:val="el-GR"/>
        </w:rPr>
        <w:t>σ</w:t>
      </w:r>
      <w:r w:rsidR="007B24CB" w:rsidRPr="000008C4">
        <w:rPr>
          <w:sz w:val="22"/>
          <w:szCs w:val="22"/>
          <w:lang w:val="el-GR"/>
        </w:rPr>
        <w:t>ε συνδυασμό με κατάλληλα αντιμικροβιακά θεραπευτικά σχήματα για την εκρίζωση του ελικοβακτηριδίου του πυλωρού (Helicobacter pylori) σε ασθενείς με πεπτικό έλκος. Βλέπε παράγραφο 4.2.</w:t>
      </w:r>
    </w:p>
    <w:p w:rsidR="007B24CB" w:rsidRPr="000008C4" w:rsidRDefault="007B24CB" w:rsidP="00147539">
      <w:pPr>
        <w:rPr>
          <w:sz w:val="22"/>
          <w:szCs w:val="22"/>
          <w:lang w:val="el-GR"/>
        </w:rPr>
      </w:pPr>
    </w:p>
    <w:p w:rsidR="007B24CB" w:rsidRPr="000008C4" w:rsidRDefault="007B24CB" w:rsidP="00147539">
      <w:pPr>
        <w:rPr>
          <w:b/>
          <w:sz w:val="22"/>
          <w:szCs w:val="22"/>
          <w:lang w:val="el-GR"/>
        </w:rPr>
      </w:pPr>
      <w:r w:rsidRPr="000008C4">
        <w:rPr>
          <w:b/>
          <w:sz w:val="22"/>
          <w:szCs w:val="22"/>
          <w:lang w:val="el-GR"/>
        </w:rPr>
        <w:t>4.2</w:t>
      </w:r>
      <w:r w:rsidRPr="000008C4">
        <w:rPr>
          <w:b/>
          <w:sz w:val="22"/>
          <w:szCs w:val="22"/>
          <w:lang w:val="el-GR"/>
        </w:rPr>
        <w:tab/>
        <w:t>Δοσολογία και τρόπος χορήγησης</w:t>
      </w:r>
    </w:p>
    <w:p w:rsidR="007B24CB" w:rsidRPr="000008C4" w:rsidRDefault="007B24CB" w:rsidP="00147539">
      <w:pPr>
        <w:rPr>
          <w:i/>
          <w:sz w:val="22"/>
          <w:szCs w:val="22"/>
          <w:lang w:val="el-GR"/>
        </w:rPr>
      </w:pPr>
    </w:p>
    <w:p w:rsidR="007B24CB" w:rsidRPr="006D183F" w:rsidRDefault="007B24CB" w:rsidP="00147539">
      <w:pPr>
        <w:pStyle w:val="1"/>
        <w:jc w:val="left"/>
        <w:rPr>
          <w:b w:val="0"/>
          <w:i w:val="0"/>
          <w:sz w:val="22"/>
          <w:szCs w:val="22"/>
        </w:rPr>
      </w:pPr>
      <w:r w:rsidRPr="006D183F">
        <w:rPr>
          <w:b w:val="0"/>
          <w:i w:val="0"/>
          <w:sz w:val="22"/>
          <w:szCs w:val="22"/>
        </w:rPr>
        <w:t>Ενήλικες/ηλικιωμένοι</w:t>
      </w:r>
      <w:r w:rsidR="003A3824" w:rsidRPr="000008C4">
        <w:rPr>
          <w:b w:val="0"/>
          <w:i w:val="0"/>
          <w:sz w:val="22"/>
          <w:szCs w:val="22"/>
        </w:rPr>
        <w:t>:</w:t>
      </w:r>
    </w:p>
    <w:p w:rsidR="007B24CB" w:rsidRPr="006D183F" w:rsidRDefault="007B24CB" w:rsidP="00147539">
      <w:pPr>
        <w:ind w:left="720"/>
        <w:rPr>
          <w:sz w:val="22"/>
          <w:szCs w:val="22"/>
          <w:lang w:val="el-GR"/>
        </w:rPr>
      </w:pPr>
      <w:r w:rsidRPr="006D183F">
        <w:rPr>
          <w:sz w:val="22"/>
          <w:szCs w:val="22"/>
          <w:lang w:val="el-GR"/>
        </w:rPr>
        <w:t xml:space="preserve">Ενεργό </w:t>
      </w:r>
      <w:r w:rsidR="00BD31D6" w:rsidRPr="000008C4">
        <w:rPr>
          <w:sz w:val="22"/>
          <w:szCs w:val="22"/>
          <w:lang w:val="el-GR"/>
        </w:rPr>
        <w:t>Έλκος Δωδεκαδακτύλου και Ενεργό Καλόηθες Γαστρικό Έλκος:</w:t>
      </w:r>
      <w:r w:rsidR="00BD31D6" w:rsidRPr="000008C4">
        <w:rPr>
          <w:i/>
          <w:sz w:val="22"/>
          <w:szCs w:val="22"/>
          <w:lang w:val="el-GR"/>
        </w:rPr>
        <w:t xml:space="preserve"> </w:t>
      </w:r>
      <w:r w:rsidRPr="000008C4">
        <w:rPr>
          <w:sz w:val="22"/>
          <w:szCs w:val="22"/>
          <w:lang w:val="el-GR"/>
        </w:rPr>
        <w:t>η συνιστώμενη από στόματος δόση τόσο για το ενεργό έλκος του δωδεκαδακτύλου όσο και για το ενεργό καλόηθες γαστρικό έλκος είναι 20</w:t>
      </w:r>
      <w:r w:rsidRPr="000008C4">
        <w:rPr>
          <w:sz w:val="22"/>
          <w:szCs w:val="22"/>
        </w:rPr>
        <w:t> mg</w:t>
      </w:r>
      <w:r w:rsidRPr="000008C4">
        <w:rPr>
          <w:sz w:val="22"/>
          <w:szCs w:val="22"/>
          <w:lang w:val="el-GR"/>
        </w:rPr>
        <w:t xml:space="preserve"> τα οποία λαμβάνονται μία φορά την ημέρα το πρωί.</w:t>
      </w:r>
    </w:p>
    <w:p w:rsidR="002C2DE1" w:rsidRPr="000008C4" w:rsidRDefault="002C2DE1" w:rsidP="00147539">
      <w:pPr>
        <w:ind w:left="720"/>
        <w:rPr>
          <w:sz w:val="22"/>
          <w:szCs w:val="22"/>
          <w:lang w:val="el-GR"/>
        </w:rPr>
      </w:pPr>
    </w:p>
    <w:p w:rsidR="007B24CB" w:rsidRPr="000008C4" w:rsidRDefault="007B24CB" w:rsidP="00147539">
      <w:pPr>
        <w:ind w:left="720"/>
        <w:rPr>
          <w:sz w:val="22"/>
          <w:szCs w:val="22"/>
          <w:lang w:val="el-GR"/>
        </w:rPr>
      </w:pPr>
      <w:r w:rsidRPr="000008C4">
        <w:rPr>
          <w:sz w:val="22"/>
          <w:szCs w:val="22"/>
          <w:lang w:val="el-GR"/>
        </w:rPr>
        <w:t>Οι περισσότεροι ασθενείς με ενεργό έλκος δωδεκαδακτύλου παρουσιάζουν επούλωση εντός τεσσάρων εβδομάδων. Όμως, λίγοι ασθενείς μπορεί να χρειασθούν επιπλέον τέσσερις εβδομάδες θεραπείας για την επίτευξη επούλωσης. Οι περισσότεροι ασθενείς με ενεργό καλόηθες γαστρικό έλκος εμφανίζουν επούλωση εντός έξι εβδομάδων. Όμως, και πάλι λίγοι ασθενείς μπορεί να χρειασθούν επιπλέον έξι εβδομάδες θεραπείας για την επίτευξη επούλωσης.</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6D183F">
        <w:rPr>
          <w:sz w:val="22"/>
          <w:szCs w:val="22"/>
          <w:lang w:val="el-GR"/>
        </w:rPr>
        <w:t xml:space="preserve">Διαβρωτική ή Ελκωτική Νόσος του </w:t>
      </w:r>
      <w:r w:rsidR="00C67903" w:rsidRPr="000008C4">
        <w:rPr>
          <w:sz w:val="22"/>
          <w:szCs w:val="22"/>
          <w:lang w:val="el-GR"/>
        </w:rPr>
        <w:t xml:space="preserve">Οισοφάγου </w:t>
      </w:r>
      <w:r w:rsidRPr="006D183F">
        <w:rPr>
          <w:sz w:val="22"/>
          <w:szCs w:val="22"/>
          <w:lang w:val="el-GR"/>
        </w:rPr>
        <w:t>από Γαστροοισοφαγική Παλινδρόμηση (ΓΟΠ):</w:t>
      </w:r>
      <w:r w:rsidRPr="000008C4">
        <w:rPr>
          <w:sz w:val="22"/>
          <w:szCs w:val="22"/>
          <w:lang w:val="el-GR"/>
        </w:rPr>
        <w:t xml:space="preserve"> η συνιστώμενη από στόματος δόση για την κατάσταση αυτή είναι 20</w:t>
      </w:r>
      <w:r w:rsidRPr="000008C4">
        <w:rPr>
          <w:sz w:val="22"/>
          <w:szCs w:val="22"/>
        </w:rPr>
        <w:t> mg</w:t>
      </w:r>
      <w:r w:rsidRPr="000008C4">
        <w:rPr>
          <w:sz w:val="22"/>
          <w:szCs w:val="22"/>
          <w:lang w:val="el-GR"/>
        </w:rPr>
        <w:t xml:space="preserve"> λαμβανόμενα μία φορά την ημέρα </w:t>
      </w:r>
      <w:r w:rsidR="00D51E70" w:rsidRPr="000008C4">
        <w:rPr>
          <w:sz w:val="22"/>
          <w:szCs w:val="22"/>
          <w:lang w:val="el-GR"/>
        </w:rPr>
        <w:t xml:space="preserve">για </w:t>
      </w:r>
      <w:r w:rsidRPr="000008C4">
        <w:rPr>
          <w:sz w:val="22"/>
          <w:szCs w:val="22"/>
          <w:lang w:val="el-GR"/>
        </w:rPr>
        <w:t>τέσσερις έως οκτώ εβδομάδες.</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6D183F">
        <w:rPr>
          <w:sz w:val="22"/>
          <w:szCs w:val="22"/>
          <w:lang w:val="el-GR"/>
        </w:rPr>
        <w:t xml:space="preserve">Μακροχρόνια </w:t>
      </w:r>
      <w:r w:rsidR="003925C7" w:rsidRPr="000008C4">
        <w:rPr>
          <w:sz w:val="22"/>
          <w:szCs w:val="22"/>
          <w:lang w:val="el-GR"/>
        </w:rPr>
        <w:t xml:space="preserve">Αντιμετώπιση της Νόσου του Οισοφάγου από Γαστροοισοφαγική Παλινδρόμηση (Θεραπεία Συντήρησης </w:t>
      </w:r>
      <w:r w:rsidRPr="006D183F">
        <w:rPr>
          <w:sz w:val="22"/>
          <w:szCs w:val="22"/>
          <w:lang w:val="el-GR"/>
        </w:rPr>
        <w:t>ΓΟΠ</w:t>
      </w:r>
      <w:r w:rsidR="003925C7" w:rsidRPr="000008C4">
        <w:rPr>
          <w:sz w:val="22"/>
          <w:szCs w:val="22"/>
          <w:lang w:val="el-GR"/>
        </w:rPr>
        <w:t xml:space="preserve">): </w:t>
      </w:r>
      <w:r w:rsidRPr="000008C4">
        <w:rPr>
          <w:sz w:val="22"/>
          <w:szCs w:val="22"/>
          <w:lang w:val="el-GR"/>
        </w:rPr>
        <w:t>για μακροχρόνια θεραπεία, μπορεί</w:t>
      </w:r>
      <w:r w:rsidRPr="000008C4">
        <w:rPr>
          <w:b/>
          <w:sz w:val="22"/>
          <w:szCs w:val="22"/>
          <w:lang w:val="el-GR"/>
        </w:rPr>
        <w:t xml:space="preserve"> </w:t>
      </w:r>
      <w:r w:rsidRPr="000008C4">
        <w:rPr>
          <w:sz w:val="22"/>
          <w:szCs w:val="22"/>
          <w:lang w:val="el-GR"/>
        </w:rPr>
        <w:t>να χορηγηθεί δόση συντήρησης 20</w:t>
      </w:r>
      <w:r w:rsidRPr="000008C4">
        <w:rPr>
          <w:sz w:val="22"/>
          <w:szCs w:val="22"/>
        </w:rPr>
        <w:t> mg</w:t>
      </w:r>
      <w:r w:rsidRPr="000008C4">
        <w:rPr>
          <w:sz w:val="22"/>
          <w:szCs w:val="22"/>
          <w:lang w:val="el-GR"/>
        </w:rPr>
        <w:t xml:space="preserve"> ή 10</w:t>
      </w:r>
      <w:r w:rsidRPr="000008C4">
        <w:rPr>
          <w:sz w:val="22"/>
          <w:szCs w:val="22"/>
        </w:rPr>
        <w:t> mg</w:t>
      </w:r>
      <w:r w:rsidRPr="000008C4">
        <w:rPr>
          <w:sz w:val="22"/>
          <w:szCs w:val="22"/>
          <w:lang w:val="el-GR"/>
        </w:rPr>
        <w:t xml:space="preserve"> </w:t>
      </w:r>
      <w:r w:rsidRPr="000008C4">
        <w:rPr>
          <w:sz w:val="22"/>
          <w:szCs w:val="22"/>
        </w:rPr>
        <w:t>PARIET</w:t>
      </w:r>
      <w:r w:rsidRPr="000008C4">
        <w:rPr>
          <w:sz w:val="22"/>
          <w:szCs w:val="22"/>
          <w:lang w:val="el-GR"/>
        </w:rPr>
        <w:t>, μία φορά την ημέρα, ανάλογα με την ανταπόκριση του ασθενούς.</w:t>
      </w:r>
    </w:p>
    <w:p w:rsidR="007B24CB" w:rsidRPr="000008C4" w:rsidRDefault="007B24CB" w:rsidP="00147539">
      <w:pPr>
        <w:ind w:left="720"/>
        <w:rPr>
          <w:i/>
          <w:sz w:val="22"/>
          <w:szCs w:val="22"/>
          <w:lang w:val="el-GR"/>
        </w:rPr>
      </w:pPr>
    </w:p>
    <w:p w:rsidR="007B24CB" w:rsidRPr="000008C4" w:rsidRDefault="007B24CB" w:rsidP="00147539">
      <w:pPr>
        <w:ind w:left="720"/>
        <w:rPr>
          <w:b/>
          <w:sz w:val="22"/>
          <w:szCs w:val="22"/>
          <w:u w:val="single"/>
          <w:lang w:val="el-GR"/>
        </w:rPr>
      </w:pPr>
      <w:r w:rsidRPr="006D183F">
        <w:rPr>
          <w:sz w:val="22"/>
          <w:szCs w:val="22"/>
          <w:lang w:val="el-GR"/>
        </w:rPr>
        <w:t>Συμπτωματική θεραπεία της μέτριας έως πολύ σοβαρής νόσου του οισοφάγου από γαστροοισοφαγική παλινδρόμηση (συμπτωματική ΓΟΠ)</w:t>
      </w:r>
      <w:r w:rsidRPr="000008C4">
        <w:rPr>
          <w:sz w:val="22"/>
          <w:szCs w:val="22"/>
          <w:lang w:val="el-GR"/>
        </w:rPr>
        <w:t>: 10</w:t>
      </w:r>
      <w:r w:rsidRPr="000008C4">
        <w:rPr>
          <w:sz w:val="22"/>
          <w:szCs w:val="22"/>
        </w:rPr>
        <w:t> mg</w:t>
      </w:r>
      <w:r w:rsidRPr="000008C4">
        <w:rPr>
          <w:sz w:val="22"/>
          <w:szCs w:val="22"/>
          <w:lang w:val="el-GR"/>
        </w:rPr>
        <w:t xml:space="preserve"> μία φορά την ημέρα σε ασθενείς χωρίς οισοφαγίτιδα. Εάν μετά από 4 εβδομάδες δεν επιτευχθεί έλεγχος των συμπτωμάτων, ο ασθενής πρέπει να εξεταστεί περαιτέρω. Μετά την αποδρομή των συμπτωμάτων, μπορεί να επιτευχθεί έλεγχος τυχόν επακόλουθων συμπτωμάτων με τη χρήση ενός κατ’ επίκληση σχήματος λαμβάνοντας 10 mg μία φορά την ημέρα, όταν χρειάζεται.</w:t>
      </w:r>
    </w:p>
    <w:p w:rsidR="007B24CB" w:rsidRPr="000008C4" w:rsidRDefault="007B24CB" w:rsidP="00147539">
      <w:pPr>
        <w:ind w:left="720"/>
        <w:rPr>
          <w:sz w:val="22"/>
          <w:szCs w:val="22"/>
          <w:lang w:val="el-GR"/>
        </w:rPr>
      </w:pPr>
    </w:p>
    <w:p w:rsidR="007B24CB" w:rsidRPr="000008C4" w:rsidRDefault="007B24CB" w:rsidP="00147539">
      <w:pPr>
        <w:ind w:left="720"/>
        <w:rPr>
          <w:bCs/>
          <w:sz w:val="22"/>
          <w:szCs w:val="22"/>
          <w:lang w:val="el-GR"/>
        </w:rPr>
      </w:pPr>
      <w:r w:rsidRPr="006D183F">
        <w:rPr>
          <w:bCs/>
          <w:iCs/>
          <w:sz w:val="22"/>
          <w:szCs w:val="22"/>
          <w:lang w:val="el-GR"/>
        </w:rPr>
        <w:t xml:space="preserve">Σύνδρομο </w:t>
      </w:r>
      <w:r w:rsidRPr="006D183F">
        <w:rPr>
          <w:bCs/>
          <w:iCs/>
          <w:sz w:val="22"/>
          <w:szCs w:val="22"/>
        </w:rPr>
        <w:t>Zollinger</w:t>
      </w:r>
      <w:r w:rsidRPr="006D183F">
        <w:rPr>
          <w:bCs/>
          <w:iCs/>
          <w:sz w:val="22"/>
          <w:szCs w:val="22"/>
          <w:lang w:val="el-GR"/>
        </w:rPr>
        <w:t>-</w:t>
      </w:r>
      <w:r w:rsidRPr="006D183F">
        <w:rPr>
          <w:bCs/>
          <w:iCs/>
          <w:sz w:val="22"/>
          <w:szCs w:val="22"/>
        </w:rPr>
        <w:t>Ellison</w:t>
      </w:r>
      <w:r w:rsidRPr="006D183F">
        <w:rPr>
          <w:bCs/>
          <w:iCs/>
          <w:sz w:val="22"/>
          <w:szCs w:val="22"/>
          <w:lang w:val="el-GR"/>
        </w:rPr>
        <w:t>:</w:t>
      </w:r>
      <w:r w:rsidRPr="000008C4">
        <w:rPr>
          <w:bCs/>
          <w:i/>
          <w:iCs/>
          <w:sz w:val="22"/>
          <w:szCs w:val="22"/>
          <w:lang w:val="el-GR"/>
        </w:rPr>
        <w:t xml:space="preserve"> </w:t>
      </w:r>
      <w:r w:rsidRPr="000008C4">
        <w:rPr>
          <w:bCs/>
          <w:sz w:val="22"/>
          <w:szCs w:val="22"/>
          <w:lang w:val="el-GR"/>
        </w:rPr>
        <w:t>Η συνιστώμενη αρχική δόση για ενήλικες είναι 60 mg μία φορά την ημέρα. Η δόση μπορεί να αυξηθεί έως τα 120</w:t>
      </w:r>
      <w:r w:rsidRPr="000008C4">
        <w:rPr>
          <w:bCs/>
          <w:sz w:val="22"/>
          <w:szCs w:val="22"/>
        </w:rPr>
        <w:t> mg</w:t>
      </w:r>
      <w:r w:rsidRPr="000008C4">
        <w:rPr>
          <w:bCs/>
          <w:sz w:val="22"/>
          <w:szCs w:val="22"/>
          <w:lang w:val="el-GR"/>
        </w:rPr>
        <w:t>/ημέρα ανάλογα με τις ανάγκες του ασθενή. Η εφάπαξ ημερήσια δόση που μπορεί να χορηγηθεί είναι 100</w:t>
      </w:r>
      <w:r w:rsidRPr="000008C4">
        <w:rPr>
          <w:bCs/>
          <w:sz w:val="22"/>
          <w:szCs w:val="22"/>
        </w:rPr>
        <w:t> mg</w:t>
      </w:r>
      <w:r w:rsidRPr="000008C4">
        <w:rPr>
          <w:bCs/>
          <w:sz w:val="22"/>
          <w:szCs w:val="22"/>
          <w:lang w:val="el-GR"/>
        </w:rPr>
        <w:t xml:space="preserve">. </w:t>
      </w:r>
      <w:r w:rsidR="00801B2D" w:rsidRPr="000008C4">
        <w:rPr>
          <w:bCs/>
          <w:sz w:val="22"/>
          <w:szCs w:val="22"/>
          <w:lang w:val="el-GR"/>
        </w:rPr>
        <w:t>Η</w:t>
      </w:r>
      <w:r w:rsidRPr="000008C4">
        <w:rPr>
          <w:bCs/>
          <w:sz w:val="22"/>
          <w:szCs w:val="22"/>
          <w:lang w:val="el-GR"/>
        </w:rPr>
        <w:t xml:space="preserve"> δόση των 120</w:t>
      </w:r>
      <w:r w:rsidRPr="000008C4">
        <w:rPr>
          <w:bCs/>
          <w:sz w:val="22"/>
          <w:szCs w:val="22"/>
        </w:rPr>
        <w:t> mg</w:t>
      </w:r>
      <w:r w:rsidRPr="000008C4">
        <w:rPr>
          <w:bCs/>
          <w:sz w:val="22"/>
          <w:szCs w:val="22"/>
          <w:lang w:val="el-GR"/>
        </w:rPr>
        <w:t>, ίσως χρειαστεί να διαιρεθεί σε δόσεις των 60</w:t>
      </w:r>
      <w:r w:rsidRPr="000008C4">
        <w:rPr>
          <w:bCs/>
          <w:sz w:val="22"/>
          <w:szCs w:val="22"/>
        </w:rPr>
        <w:t> mg</w:t>
      </w:r>
      <w:r w:rsidRPr="000008C4">
        <w:rPr>
          <w:bCs/>
          <w:sz w:val="22"/>
          <w:szCs w:val="22"/>
          <w:lang w:val="el-GR"/>
        </w:rPr>
        <w:t xml:space="preserve"> δύο φορές την ημέρα. Η θεραπεία πρέπει να συνεχιστεί για το χρονικό διάστημα που ενδείκνυται κλινικά.</w:t>
      </w:r>
    </w:p>
    <w:p w:rsidR="007B24CB" w:rsidRPr="000008C4" w:rsidRDefault="007B24CB" w:rsidP="00147539">
      <w:pPr>
        <w:ind w:left="720"/>
        <w:rPr>
          <w:sz w:val="22"/>
          <w:szCs w:val="22"/>
          <w:lang w:val="el-GR"/>
        </w:rPr>
      </w:pPr>
    </w:p>
    <w:p w:rsidR="007B24CB" w:rsidRPr="000008C4" w:rsidRDefault="007B24CB" w:rsidP="00147539">
      <w:pPr>
        <w:tabs>
          <w:tab w:val="num" w:pos="1514"/>
        </w:tabs>
        <w:ind w:left="720"/>
        <w:rPr>
          <w:sz w:val="22"/>
          <w:szCs w:val="22"/>
          <w:lang w:val="el-GR"/>
        </w:rPr>
      </w:pPr>
      <w:r w:rsidRPr="006D183F">
        <w:rPr>
          <w:sz w:val="22"/>
          <w:szCs w:val="22"/>
          <w:lang w:val="el-GR"/>
        </w:rPr>
        <w:t xml:space="preserve">Εκρίζωση του </w:t>
      </w:r>
      <w:r w:rsidRPr="006D183F">
        <w:rPr>
          <w:sz w:val="22"/>
          <w:szCs w:val="22"/>
        </w:rPr>
        <w:t>H</w:t>
      </w:r>
      <w:r w:rsidRPr="006D183F">
        <w:rPr>
          <w:sz w:val="22"/>
          <w:szCs w:val="22"/>
          <w:lang w:val="el-GR"/>
        </w:rPr>
        <w:t>.</w:t>
      </w:r>
      <w:r w:rsidR="00037169" w:rsidRPr="000008C4">
        <w:rPr>
          <w:sz w:val="22"/>
          <w:szCs w:val="22"/>
          <w:lang w:val="el-GR"/>
        </w:rPr>
        <w:t xml:space="preserve"> </w:t>
      </w:r>
      <w:r w:rsidRPr="006D183F">
        <w:rPr>
          <w:sz w:val="22"/>
          <w:szCs w:val="22"/>
        </w:rPr>
        <w:t>pylori</w:t>
      </w:r>
      <w:r w:rsidRPr="000008C4">
        <w:rPr>
          <w:sz w:val="22"/>
          <w:szCs w:val="22"/>
          <w:lang w:val="el-GR"/>
        </w:rPr>
        <w:t xml:space="preserve">: Σε ασθενείς με λοίμωξη από </w:t>
      </w:r>
      <w:r w:rsidRPr="006D183F">
        <w:rPr>
          <w:sz w:val="22"/>
          <w:szCs w:val="22"/>
        </w:rPr>
        <w:t>H</w:t>
      </w:r>
      <w:r w:rsidRPr="006D183F">
        <w:rPr>
          <w:sz w:val="22"/>
          <w:szCs w:val="22"/>
          <w:lang w:val="el-GR"/>
        </w:rPr>
        <w:t>.</w:t>
      </w:r>
      <w:r w:rsidR="00037169" w:rsidRPr="000008C4">
        <w:rPr>
          <w:sz w:val="22"/>
          <w:szCs w:val="22"/>
          <w:lang w:val="el-GR"/>
        </w:rPr>
        <w:t xml:space="preserve"> </w:t>
      </w:r>
      <w:r w:rsidRPr="006D183F">
        <w:rPr>
          <w:sz w:val="22"/>
          <w:szCs w:val="22"/>
        </w:rPr>
        <w:t>pylori</w:t>
      </w:r>
      <w:r w:rsidRPr="000008C4">
        <w:rPr>
          <w:sz w:val="22"/>
          <w:szCs w:val="22"/>
          <w:lang w:val="el-GR"/>
        </w:rPr>
        <w:t xml:space="preserve"> πρέπει να χορηγείται θεραπεία εκρίζωσης. Συνιστάται η χορήγηση του παρακάτω συνδυασμού για 7 ημέρες.</w:t>
      </w:r>
    </w:p>
    <w:p w:rsidR="007B24CB" w:rsidRPr="000008C4" w:rsidRDefault="007B24CB" w:rsidP="00147539">
      <w:pPr>
        <w:numPr>
          <w:ilvl w:val="0"/>
          <w:numId w:val="44"/>
        </w:numPr>
        <w:tabs>
          <w:tab w:val="clear" w:pos="360"/>
          <w:tab w:val="num" w:pos="1080"/>
        </w:tabs>
        <w:ind w:left="1080"/>
        <w:rPr>
          <w:sz w:val="22"/>
          <w:szCs w:val="22"/>
          <w:lang w:val="el-GR"/>
        </w:rPr>
      </w:pPr>
      <w:r w:rsidRPr="000008C4">
        <w:rPr>
          <w:sz w:val="22"/>
          <w:szCs w:val="22"/>
        </w:rPr>
        <w:t>PARIET</w:t>
      </w:r>
      <w:r w:rsidRPr="000008C4">
        <w:rPr>
          <w:sz w:val="22"/>
          <w:szCs w:val="22"/>
          <w:lang w:val="el-GR"/>
        </w:rPr>
        <w:t xml:space="preserve"> 20 mg δύο φορές την ημέρα + κλαριθρομυκίνη 500 mg δύο φορές την ημέρα και </w:t>
      </w:r>
      <w:r w:rsidRPr="00147539">
        <w:rPr>
          <w:sz w:val="22"/>
          <w:szCs w:val="22"/>
          <w:lang w:val="el-GR"/>
        </w:rPr>
        <w:t>αμοξυκιλλίνη</w:t>
      </w:r>
      <w:r w:rsidRPr="000008C4">
        <w:rPr>
          <w:sz w:val="22"/>
          <w:szCs w:val="22"/>
          <w:lang w:val="el-GR"/>
        </w:rPr>
        <w:t xml:space="preserve"> 1</w:t>
      </w:r>
      <w:r w:rsidRPr="000008C4">
        <w:rPr>
          <w:sz w:val="22"/>
          <w:szCs w:val="22"/>
        </w:rPr>
        <w:t>g</w:t>
      </w:r>
      <w:r w:rsidRPr="000008C4">
        <w:rPr>
          <w:sz w:val="22"/>
          <w:szCs w:val="22"/>
          <w:lang w:val="el-GR"/>
        </w:rPr>
        <w:t xml:space="preserve"> δύο φορές την ημέρα.</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0008C4">
        <w:rPr>
          <w:sz w:val="22"/>
          <w:szCs w:val="22"/>
          <w:lang w:val="el-GR"/>
        </w:rPr>
        <w:t xml:space="preserve">Για τις ενδείξεις που απαιτείται θεραπεία μια φορά την ημέρα, τα δισκία </w:t>
      </w:r>
      <w:r w:rsidRPr="000008C4">
        <w:rPr>
          <w:sz w:val="22"/>
          <w:szCs w:val="22"/>
        </w:rPr>
        <w:t>PARIET</w:t>
      </w:r>
      <w:r w:rsidRPr="000008C4">
        <w:rPr>
          <w:sz w:val="22"/>
          <w:szCs w:val="22"/>
          <w:lang w:val="el-GR"/>
        </w:rPr>
        <w:t xml:space="preserve"> πρέπει να λαμβάνονται το πρωί, πριν το πρόγευμα. Αν </w:t>
      </w:r>
      <w:r w:rsidRPr="00147539">
        <w:rPr>
          <w:sz w:val="22"/>
          <w:szCs w:val="22"/>
          <w:lang w:val="el-GR"/>
        </w:rPr>
        <w:t>και</w:t>
      </w:r>
      <w:r w:rsidRPr="000008C4">
        <w:rPr>
          <w:sz w:val="22"/>
          <w:szCs w:val="22"/>
          <w:lang w:val="el-GR"/>
        </w:rPr>
        <w:t xml:space="preserve"> ούτε η ώρα της ημέρας ούτε η πρόσληψη τροφής </w:t>
      </w:r>
      <w:r w:rsidRPr="00147539">
        <w:rPr>
          <w:sz w:val="22"/>
          <w:szCs w:val="22"/>
          <w:lang w:val="el-GR"/>
        </w:rPr>
        <w:t>έχει</w:t>
      </w:r>
      <w:r w:rsidRPr="000008C4">
        <w:rPr>
          <w:sz w:val="22"/>
          <w:szCs w:val="22"/>
          <w:lang w:val="el-GR"/>
        </w:rPr>
        <w:t xml:space="preserve"> αποδειχθεί ότι επηρεάζουν τη δράση της νατριούχου ραμπεπραζόλης, το παρόν θεραπευτικό σχήμα θα βοηθήσει </w:t>
      </w:r>
      <w:r w:rsidR="007835F1" w:rsidRPr="000008C4">
        <w:rPr>
          <w:sz w:val="22"/>
          <w:szCs w:val="22"/>
          <w:lang w:val="el-GR"/>
        </w:rPr>
        <w:t xml:space="preserve">με τη </w:t>
      </w:r>
      <w:r w:rsidRPr="000008C4">
        <w:rPr>
          <w:sz w:val="22"/>
          <w:szCs w:val="22"/>
          <w:lang w:val="el-GR"/>
        </w:rPr>
        <w:t xml:space="preserve">συμμόρφωση </w:t>
      </w:r>
      <w:r w:rsidRPr="00147539">
        <w:rPr>
          <w:sz w:val="22"/>
          <w:szCs w:val="22"/>
          <w:lang w:val="el-GR"/>
        </w:rPr>
        <w:t xml:space="preserve">στη </w:t>
      </w:r>
      <w:r w:rsidRPr="000008C4">
        <w:rPr>
          <w:sz w:val="22"/>
          <w:szCs w:val="22"/>
          <w:lang w:val="el-GR"/>
        </w:rPr>
        <w:t>θεραπεία.</w:t>
      </w:r>
    </w:p>
    <w:p w:rsidR="006467ED" w:rsidRPr="000008C4" w:rsidRDefault="006467ED" w:rsidP="00147539">
      <w:pPr>
        <w:ind w:left="720"/>
        <w:rPr>
          <w:sz w:val="22"/>
          <w:szCs w:val="22"/>
          <w:lang w:val="el-GR"/>
        </w:rPr>
      </w:pPr>
    </w:p>
    <w:p w:rsidR="007B24CB" w:rsidRPr="000008C4" w:rsidRDefault="007B24CB" w:rsidP="00147539">
      <w:pPr>
        <w:ind w:left="720"/>
        <w:rPr>
          <w:sz w:val="22"/>
          <w:szCs w:val="22"/>
          <w:lang w:val="el-GR"/>
        </w:rPr>
      </w:pPr>
      <w:r w:rsidRPr="000008C4">
        <w:rPr>
          <w:sz w:val="22"/>
          <w:szCs w:val="22"/>
          <w:lang w:val="el-GR"/>
        </w:rPr>
        <w:t xml:space="preserve">Οι ασθενείς πρέπει να προειδοποιηθούν ότι τα δισκία </w:t>
      </w:r>
      <w:r w:rsidRPr="000008C4">
        <w:rPr>
          <w:sz w:val="22"/>
          <w:szCs w:val="22"/>
        </w:rPr>
        <w:t>PARIET</w:t>
      </w:r>
      <w:r w:rsidRPr="000008C4">
        <w:rPr>
          <w:sz w:val="22"/>
          <w:szCs w:val="22"/>
          <w:lang w:val="el-GR"/>
        </w:rPr>
        <w:t xml:space="preserve"> δεν πρέπει να μασώνται</w:t>
      </w:r>
      <w:r w:rsidR="00765A79" w:rsidRPr="000008C4">
        <w:rPr>
          <w:sz w:val="22"/>
          <w:szCs w:val="22"/>
          <w:lang w:val="el-GR"/>
        </w:rPr>
        <w:t xml:space="preserve"> ή </w:t>
      </w:r>
      <w:r w:rsidR="004834E9" w:rsidRPr="000008C4">
        <w:rPr>
          <w:sz w:val="22"/>
          <w:szCs w:val="22"/>
          <w:lang w:val="el-GR"/>
        </w:rPr>
        <w:t xml:space="preserve">να </w:t>
      </w:r>
      <w:r w:rsidR="00765A79" w:rsidRPr="000008C4">
        <w:rPr>
          <w:sz w:val="22"/>
          <w:szCs w:val="22"/>
          <w:lang w:val="el-GR"/>
        </w:rPr>
        <w:t>συνθλίβονται</w:t>
      </w:r>
      <w:r w:rsidRPr="000008C4">
        <w:rPr>
          <w:sz w:val="22"/>
          <w:szCs w:val="22"/>
          <w:lang w:val="el-GR"/>
        </w:rPr>
        <w:t>, αλλά πρέπει να καταπίνονται ολόκληρα.</w:t>
      </w:r>
    </w:p>
    <w:p w:rsidR="007B24CB" w:rsidRPr="000008C4" w:rsidRDefault="007B24CB" w:rsidP="00147539">
      <w:pPr>
        <w:ind w:left="720"/>
        <w:rPr>
          <w:sz w:val="22"/>
          <w:szCs w:val="22"/>
          <w:lang w:val="el-GR"/>
        </w:rPr>
      </w:pPr>
    </w:p>
    <w:p w:rsidR="007B24CB" w:rsidRPr="006D183F" w:rsidRDefault="008E44E7" w:rsidP="00147539">
      <w:pPr>
        <w:pStyle w:val="1"/>
        <w:jc w:val="left"/>
        <w:rPr>
          <w:b w:val="0"/>
          <w:i w:val="0"/>
          <w:sz w:val="22"/>
          <w:szCs w:val="22"/>
        </w:rPr>
      </w:pPr>
      <w:r w:rsidRPr="000008C4">
        <w:rPr>
          <w:b w:val="0"/>
          <w:i w:val="0"/>
          <w:sz w:val="22"/>
          <w:szCs w:val="22"/>
        </w:rPr>
        <w:t xml:space="preserve">Νεφρική </w:t>
      </w:r>
      <w:r w:rsidR="007B24CB" w:rsidRPr="006D183F">
        <w:rPr>
          <w:b w:val="0"/>
          <w:i w:val="0"/>
          <w:sz w:val="22"/>
          <w:szCs w:val="22"/>
        </w:rPr>
        <w:t xml:space="preserve">και ηπατική </w:t>
      </w:r>
      <w:r w:rsidRPr="000008C4">
        <w:rPr>
          <w:b w:val="0"/>
          <w:i w:val="0"/>
          <w:sz w:val="22"/>
          <w:szCs w:val="22"/>
        </w:rPr>
        <w:t>δυσ</w:t>
      </w:r>
      <w:r w:rsidR="007B24CB" w:rsidRPr="006D183F">
        <w:rPr>
          <w:b w:val="0"/>
          <w:i w:val="0"/>
          <w:sz w:val="22"/>
          <w:szCs w:val="22"/>
        </w:rPr>
        <w:t>λειτουργία</w:t>
      </w:r>
      <w:r w:rsidR="00BA3194" w:rsidRPr="006D183F">
        <w:rPr>
          <w:b w:val="0"/>
          <w:i w:val="0"/>
          <w:sz w:val="22"/>
          <w:szCs w:val="22"/>
        </w:rPr>
        <w:t>:</w:t>
      </w:r>
    </w:p>
    <w:p w:rsidR="007B24CB" w:rsidRPr="000008C4" w:rsidRDefault="007B24CB" w:rsidP="00147539">
      <w:pPr>
        <w:ind w:left="720"/>
        <w:rPr>
          <w:sz w:val="22"/>
          <w:szCs w:val="22"/>
          <w:lang w:val="el-GR"/>
        </w:rPr>
      </w:pPr>
      <w:r w:rsidRPr="000008C4">
        <w:rPr>
          <w:sz w:val="22"/>
          <w:szCs w:val="22"/>
          <w:lang w:val="el-GR"/>
        </w:rPr>
        <w:t xml:space="preserve">Δε χρειάζεται καμία προσαρμογή της </w:t>
      </w:r>
      <w:r w:rsidR="00F018F9" w:rsidRPr="000008C4">
        <w:rPr>
          <w:sz w:val="22"/>
          <w:szCs w:val="22"/>
          <w:lang w:val="el-GR"/>
        </w:rPr>
        <w:t xml:space="preserve">δοσολογίας </w:t>
      </w:r>
      <w:r w:rsidRPr="000008C4">
        <w:rPr>
          <w:sz w:val="22"/>
          <w:szCs w:val="22"/>
          <w:lang w:val="el-GR"/>
        </w:rPr>
        <w:t>για τους ασθενείς με</w:t>
      </w:r>
      <w:r w:rsidR="002A5145" w:rsidRPr="006D183F">
        <w:rPr>
          <w:sz w:val="22"/>
          <w:szCs w:val="22"/>
          <w:lang w:val="el-GR"/>
        </w:rPr>
        <w:t xml:space="preserve"> </w:t>
      </w:r>
      <w:r w:rsidR="002A5145" w:rsidRPr="000008C4">
        <w:rPr>
          <w:sz w:val="22"/>
          <w:szCs w:val="22"/>
          <w:lang w:val="el-GR"/>
        </w:rPr>
        <w:t xml:space="preserve">νεφρική </w:t>
      </w:r>
      <w:r w:rsidR="007835F1" w:rsidRPr="000008C4">
        <w:rPr>
          <w:sz w:val="22"/>
          <w:szCs w:val="22"/>
          <w:lang w:val="el-GR"/>
        </w:rPr>
        <w:t>ή</w:t>
      </w:r>
      <w:r w:rsidR="002A5145" w:rsidRPr="006D183F">
        <w:rPr>
          <w:sz w:val="22"/>
          <w:szCs w:val="22"/>
          <w:lang w:val="el-GR"/>
        </w:rPr>
        <w:t xml:space="preserve"> ηπατική δυσλειτουργία</w:t>
      </w:r>
      <w:r w:rsidRPr="000008C4">
        <w:rPr>
          <w:sz w:val="22"/>
          <w:szCs w:val="22"/>
          <w:lang w:val="el-GR"/>
        </w:rPr>
        <w:t>.</w:t>
      </w:r>
    </w:p>
    <w:p w:rsidR="00BA3194" w:rsidRPr="000008C4" w:rsidRDefault="00BA3194" w:rsidP="00147539">
      <w:pPr>
        <w:ind w:left="720"/>
        <w:rPr>
          <w:sz w:val="22"/>
          <w:szCs w:val="22"/>
          <w:lang w:val="el-GR"/>
        </w:rPr>
      </w:pPr>
    </w:p>
    <w:p w:rsidR="007B24CB" w:rsidRPr="000008C4" w:rsidRDefault="007B24CB" w:rsidP="00147539">
      <w:pPr>
        <w:ind w:left="720"/>
        <w:rPr>
          <w:sz w:val="22"/>
          <w:szCs w:val="22"/>
          <w:lang w:val="el-GR"/>
        </w:rPr>
      </w:pPr>
      <w:r w:rsidRPr="000008C4">
        <w:rPr>
          <w:sz w:val="22"/>
          <w:szCs w:val="22"/>
          <w:lang w:val="el-GR"/>
        </w:rPr>
        <w:t xml:space="preserve">Βλέπε παράγραφο 4.4 </w:t>
      </w:r>
      <w:r w:rsidR="0031797C" w:rsidRPr="006D183F">
        <w:rPr>
          <w:sz w:val="22"/>
          <w:szCs w:val="22"/>
          <w:lang w:val="el-GR"/>
        </w:rPr>
        <w:t>Ειδικές</w:t>
      </w:r>
      <w:r w:rsidR="0031797C" w:rsidRPr="000008C4">
        <w:rPr>
          <w:b/>
          <w:sz w:val="22"/>
          <w:szCs w:val="22"/>
          <w:lang w:val="el-GR"/>
        </w:rPr>
        <w:t xml:space="preserve"> </w:t>
      </w:r>
      <w:r w:rsidR="005A1E9B" w:rsidRPr="000008C4">
        <w:rPr>
          <w:sz w:val="22"/>
          <w:szCs w:val="22"/>
          <w:lang w:val="el-GR"/>
        </w:rPr>
        <w:t xml:space="preserve">Προειδοποιήσεις </w:t>
      </w:r>
      <w:r w:rsidRPr="000008C4">
        <w:rPr>
          <w:sz w:val="22"/>
          <w:szCs w:val="22"/>
          <w:lang w:val="el-GR"/>
        </w:rPr>
        <w:t xml:space="preserve">και </w:t>
      </w:r>
      <w:r w:rsidR="005A1E9B" w:rsidRPr="000008C4">
        <w:rPr>
          <w:sz w:val="22"/>
          <w:szCs w:val="22"/>
          <w:lang w:val="el-GR"/>
        </w:rPr>
        <w:t xml:space="preserve">Προφυλάξεις </w:t>
      </w:r>
      <w:r w:rsidRPr="000008C4">
        <w:rPr>
          <w:sz w:val="22"/>
          <w:szCs w:val="22"/>
          <w:lang w:val="el-GR"/>
        </w:rPr>
        <w:t xml:space="preserve">για τη </w:t>
      </w:r>
      <w:r w:rsidR="005A1E9B" w:rsidRPr="000008C4">
        <w:rPr>
          <w:sz w:val="22"/>
          <w:szCs w:val="22"/>
          <w:lang w:val="el-GR"/>
        </w:rPr>
        <w:t xml:space="preserve">Χρήση </w:t>
      </w:r>
      <w:r w:rsidRPr="000008C4">
        <w:rPr>
          <w:sz w:val="22"/>
          <w:szCs w:val="22"/>
          <w:lang w:val="el-GR"/>
        </w:rPr>
        <w:t xml:space="preserve">του </w:t>
      </w:r>
      <w:r w:rsidRPr="000008C4">
        <w:rPr>
          <w:sz w:val="22"/>
          <w:szCs w:val="22"/>
        </w:rPr>
        <w:t>PARIET</w:t>
      </w:r>
      <w:r w:rsidRPr="000008C4">
        <w:rPr>
          <w:sz w:val="22"/>
          <w:szCs w:val="22"/>
          <w:lang w:val="el-GR"/>
        </w:rPr>
        <w:t xml:space="preserve"> στη θεραπεία των ασθενών με σοβαρή ηπατική </w:t>
      </w:r>
      <w:r w:rsidR="005A1E9B" w:rsidRPr="000008C4">
        <w:rPr>
          <w:sz w:val="22"/>
          <w:szCs w:val="22"/>
          <w:lang w:val="el-GR"/>
        </w:rPr>
        <w:t>δυσ</w:t>
      </w:r>
      <w:r w:rsidRPr="000008C4">
        <w:rPr>
          <w:sz w:val="22"/>
          <w:szCs w:val="22"/>
          <w:lang w:val="el-GR"/>
        </w:rPr>
        <w:t>λειτουργία.</w:t>
      </w:r>
    </w:p>
    <w:p w:rsidR="007B24CB" w:rsidRPr="000008C4" w:rsidRDefault="007B24CB" w:rsidP="00147539">
      <w:pPr>
        <w:ind w:left="720"/>
        <w:rPr>
          <w:sz w:val="22"/>
          <w:szCs w:val="22"/>
          <w:lang w:val="el-GR"/>
        </w:rPr>
      </w:pPr>
    </w:p>
    <w:p w:rsidR="007B24CB" w:rsidRPr="006D183F" w:rsidRDefault="007B24CB" w:rsidP="00147539">
      <w:pPr>
        <w:pStyle w:val="1"/>
        <w:jc w:val="left"/>
        <w:rPr>
          <w:b w:val="0"/>
          <w:i w:val="0"/>
          <w:sz w:val="22"/>
          <w:szCs w:val="22"/>
        </w:rPr>
      </w:pPr>
      <w:r w:rsidRPr="006D183F">
        <w:rPr>
          <w:b w:val="0"/>
          <w:i w:val="0"/>
          <w:sz w:val="22"/>
          <w:szCs w:val="22"/>
        </w:rPr>
        <w:t>Παιδιά</w:t>
      </w:r>
      <w:r w:rsidR="00BA3194" w:rsidRPr="006D183F">
        <w:rPr>
          <w:b w:val="0"/>
          <w:i w:val="0"/>
          <w:sz w:val="22"/>
          <w:szCs w:val="22"/>
        </w:rPr>
        <w:t>:</w:t>
      </w:r>
    </w:p>
    <w:p w:rsidR="007B24CB" w:rsidRPr="000008C4" w:rsidRDefault="007B24CB" w:rsidP="00147539">
      <w:pPr>
        <w:ind w:left="720"/>
        <w:rPr>
          <w:sz w:val="22"/>
          <w:szCs w:val="22"/>
          <w:lang w:val="el-GR"/>
        </w:rPr>
      </w:pPr>
      <w:r w:rsidRPr="000008C4">
        <w:rPr>
          <w:sz w:val="22"/>
          <w:szCs w:val="22"/>
          <w:lang w:val="el-GR"/>
        </w:rPr>
        <w:t xml:space="preserve">Το </w:t>
      </w:r>
      <w:r w:rsidRPr="000008C4">
        <w:rPr>
          <w:sz w:val="22"/>
          <w:szCs w:val="22"/>
        </w:rPr>
        <w:t>PARIET</w:t>
      </w:r>
      <w:r w:rsidRPr="000008C4">
        <w:rPr>
          <w:sz w:val="22"/>
          <w:szCs w:val="22"/>
          <w:lang w:val="el-GR"/>
        </w:rPr>
        <w:t xml:space="preserve"> δε συνιστάται για χρήση σε παιδιά, καθώς δεν υπάρχει καμία εμπειρία για τη χρήση του σε αυτή</w:t>
      </w:r>
      <w:r w:rsidR="00D076CC" w:rsidRPr="000008C4">
        <w:rPr>
          <w:sz w:val="22"/>
          <w:szCs w:val="22"/>
          <w:lang w:val="el-GR"/>
        </w:rPr>
        <w:t>ν</w:t>
      </w:r>
      <w:r w:rsidRPr="000008C4">
        <w:rPr>
          <w:sz w:val="22"/>
          <w:szCs w:val="22"/>
          <w:lang w:val="el-GR"/>
        </w:rPr>
        <w:t xml:space="preserve"> την ομάδα.</w:t>
      </w:r>
    </w:p>
    <w:p w:rsidR="007B24CB" w:rsidRPr="000008C4" w:rsidRDefault="007B24CB" w:rsidP="00147539">
      <w:pPr>
        <w:ind w:left="720"/>
        <w:rPr>
          <w:sz w:val="22"/>
          <w:szCs w:val="22"/>
          <w:lang w:val="el-GR"/>
        </w:rPr>
      </w:pPr>
    </w:p>
    <w:p w:rsidR="007B24CB" w:rsidRPr="000008C4" w:rsidRDefault="007B24CB" w:rsidP="00147539">
      <w:pPr>
        <w:rPr>
          <w:b/>
          <w:sz w:val="22"/>
          <w:szCs w:val="22"/>
          <w:lang w:val="el-GR"/>
        </w:rPr>
      </w:pPr>
      <w:r w:rsidRPr="000008C4">
        <w:rPr>
          <w:b/>
          <w:sz w:val="22"/>
          <w:szCs w:val="22"/>
          <w:lang w:val="el-GR"/>
        </w:rPr>
        <w:t>4.3</w:t>
      </w:r>
      <w:r w:rsidRPr="000008C4">
        <w:rPr>
          <w:b/>
          <w:sz w:val="22"/>
          <w:szCs w:val="22"/>
          <w:lang w:val="el-GR"/>
        </w:rPr>
        <w:tab/>
        <w:t>Αντενδείξεις</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0008C4">
        <w:rPr>
          <w:sz w:val="22"/>
          <w:szCs w:val="22"/>
          <w:lang w:val="el-GR"/>
        </w:rPr>
        <w:t xml:space="preserve">Το </w:t>
      </w:r>
      <w:r w:rsidRPr="000008C4">
        <w:rPr>
          <w:sz w:val="22"/>
          <w:szCs w:val="22"/>
        </w:rPr>
        <w:t>PARIET</w:t>
      </w:r>
      <w:r w:rsidRPr="000008C4">
        <w:rPr>
          <w:sz w:val="22"/>
          <w:szCs w:val="22"/>
          <w:lang w:val="el-GR"/>
        </w:rPr>
        <w:t xml:space="preserve"> αντενδείκνυται σε ασθενείς με γνωστή υπερευαισθησία στη νατριούχο ραμπεπραζόλη</w:t>
      </w:r>
      <w:r w:rsidR="00911BA2" w:rsidRPr="000008C4">
        <w:rPr>
          <w:sz w:val="22"/>
          <w:szCs w:val="22"/>
          <w:lang w:val="el-GR"/>
        </w:rPr>
        <w:t>,</w:t>
      </w:r>
      <w:r w:rsidRPr="000008C4">
        <w:rPr>
          <w:sz w:val="22"/>
          <w:szCs w:val="22"/>
          <w:lang w:val="el-GR"/>
        </w:rPr>
        <w:t xml:space="preserve"> ή σε οποιοδήποτε έκδοχο το οποίο χρησιμοποιείται στο ιδιοσκεύασμα. Το </w:t>
      </w:r>
      <w:r w:rsidRPr="000008C4">
        <w:rPr>
          <w:sz w:val="22"/>
          <w:szCs w:val="22"/>
        </w:rPr>
        <w:t>PARIET</w:t>
      </w:r>
      <w:r w:rsidRPr="000008C4">
        <w:rPr>
          <w:sz w:val="22"/>
          <w:szCs w:val="22"/>
          <w:lang w:val="el-GR"/>
        </w:rPr>
        <w:t xml:space="preserve"> αντενδείκνυται στην εγκυμοσύνη και κατά τη γαλουχία.</w:t>
      </w:r>
    </w:p>
    <w:p w:rsidR="007B24CB" w:rsidRPr="000008C4" w:rsidRDefault="007B24CB" w:rsidP="00147539">
      <w:pPr>
        <w:rPr>
          <w:sz w:val="22"/>
          <w:szCs w:val="22"/>
          <w:lang w:val="el-GR"/>
        </w:rPr>
      </w:pPr>
    </w:p>
    <w:p w:rsidR="007B24CB" w:rsidRPr="000008C4" w:rsidRDefault="007B24CB" w:rsidP="00147539">
      <w:pPr>
        <w:rPr>
          <w:b/>
          <w:sz w:val="22"/>
          <w:szCs w:val="22"/>
          <w:lang w:val="el-GR"/>
        </w:rPr>
      </w:pPr>
      <w:r w:rsidRPr="000008C4">
        <w:rPr>
          <w:b/>
          <w:sz w:val="22"/>
          <w:szCs w:val="22"/>
          <w:lang w:val="el-GR"/>
        </w:rPr>
        <w:t>4.4</w:t>
      </w:r>
      <w:r w:rsidRPr="000008C4">
        <w:rPr>
          <w:b/>
          <w:sz w:val="22"/>
          <w:szCs w:val="22"/>
          <w:lang w:val="el-GR"/>
        </w:rPr>
        <w:tab/>
      </w:r>
      <w:r w:rsidR="00DA1018" w:rsidRPr="000008C4">
        <w:rPr>
          <w:b/>
          <w:sz w:val="22"/>
          <w:szCs w:val="22"/>
          <w:lang w:val="el-GR"/>
        </w:rPr>
        <w:t xml:space="preserve">Ειδικές </w:t>
      </w:r>
      <w:r w:rsidRPr="000008C4">
        <w:rPr>
          <w:b/>
          <w:sz w:val="22"/>
          <w:szCs w:val="22"/>
          <w:lang w:val="el-GR"/>
        </w:rPr>
        <w:t>προειδοποιήσεις και προφυλάξεις κατά τη χρήση</w:t>
      </w:r>
    </w:p>
    <w:p w:rsidR="007B24CB" w:rsidRPr="000008C4" w:rsidRDefault="007B24CB" w:rsidP="00147539">
      <w:pPr>
        <w:ind w:left="720"/>
        <w:rPr>
          <w:sz w:val="22"/>
          <w:szCs w:val="22"/>
          <w:lang w:val="el-GR"/>
        </w:rPr>
      </w:pPr>
    </w:p>
    <w:p w:rsidR="007B24CB" w:rsidRPr="006D183F" w:rsidRDefault="007B24CB" w:rsidP="00147539">
      <w:pPr>
        <w:ind w:left="720"/>
        <w:rPr>
          <w:sz w:val="22"/>
          <w:szCs w:val="22"/>
          <w:lang w:val="el-GR"/>
        </w:rPr>
      </w:pPr>
      <w:r w:rsidRPr="000008C4">
        <w:rPr>
          <w:sz w:val="22"/>
          <w:szCs w:val="22"/>
          <w:lang w:val="el-GR"/>
        </w:rPr>
        <w:lastRenderedPageBreak/>
        <w:t xml:space="preserve">Η ανταπόκριση των συμπτωμάτων στη θεραπεία με νατριούχο ραμπεπραζόλη δεν αποκλείει την παρουσία γαστρικής ή οισοφαγικής κακοήθειας, συνεπώς, η πιθανότητα κακοήθειας πρέπει να αποκλείεται πριν την έναρξη της θεραπείας με </w:t>
      </w:r>
      <w:r w:rsidRPr="000008C4">
        <w:rPr>
          <w:sz w:val="22"/>
          <w:szCs w:val="22"/>
        </w:rPr>
        <w:t>PARIET</w:t>
      </w:r>
      <w:r w:rsidRPr="000008C4">
        <w:rPr>
          <w:sz w:val="22"/>
          <w:szCs w:val="22"/>
          <w:lang w:val="el-GR"/>
        </w:rPr>
        <w:t>.</w:t>
      </w:r>
    </w:p>
    <w:p w:rsidR="00E00C8B" w:rsidRPr="006D183F" w:rsidRDefault="00E00C8B" w:rsidP="00147539">
      <w:pPr>
        <w:ind w:left="720"/>
        <w:rPr>
          <w:sz w:val="22"/>
          <w:szCs w:val="22"/>
          <w:lang w:val="el-GR"/>
        </w:rPr>
      </w:pPr>
    </w:p>
    <w:p w:rsidR="007B24CB" w:rsidRPr="006D183F" w:rsidRDefault="007B24CB" w:rsidP="00147539">
      <w:pPr>
        <w:pStyle w:val="30"/>
        <w:ind w:left="720"/>
        <w:jc w:val="left"/>
        <w:rPr>
          <w:b w:val="0"/>
          <w:sz w:val="22"/>
          <w:szCs w:val="22"/>
        </w:rPr>
      </w:pPr>
      <w:r w:rsidRPr="000008C4">
        <w:rPr>
          <w:b w:val="0"/>
          <w:sz w:val="22"/>
          <w:szCs w:val="22"/>
        </w:rPr>
        <w:t xml:space="preserve">Οι ασθενείς σε μακροχρόνια θεραπεία (ειδικότερα εκείνοι που </w:t>
      </w:r>
      <w:r w:rsidR="00D748A0" w:rsidRPr="000008C4">
        <w:rPr>
          <w:b w:val="0"/>
          <w:sz w:val="22"/>
          <w:szCs w:val="22"/>
        </w:rPr>
        <w:t xml:space="preserve">υποβάλλονταν σε </w:t>
      </w:r>
      <w:r w:rsidRPr="000008C4">
        <w:rPr>
          <w:b w:val="0"/>
          <w:sz w:val="22"/>
          <w:szCs w:val="22"/>
        </w:rPr>
        <w:t>θεραπεία για περισσότερο από ένα χρόνο) πρέπει να βρίσκονται κάτω από τακτική επιτήρηση.</w:t>
      </w:r>
    </w:p>
    <w:p w:rsidR="00E00C8B" w:rsidRPr="006D183F" w:rsidRDefault="00E00C8B" w:rsidP="00147539">
      <w:pPr>
        <w:pStyle w:val="30"/>
        <w:ind w:left="720"/>
        <w:jc w:val="left"/>
        <w:rPr>
          <w:b w:val="0"/>
          <w:sz w:val="22"/>
          <w:szCs w:val="22"/>
        </w:rPr>
      </w:pPr>
    </w:p>
    <w:p w:rsidR="00D62EAD" w:rsidRPr="000008C4" w:rsidRDefault="00493495" w:rsidP="006D183F">
      <w:pPr>
        <w:ind w:left="720"/>
        <w:rPr>
          <w:sz w:val="22"/>
          <w:szCs w:val="22"/>
          <w:lang w:val="el-GR"/>
        </w:rPr>
      </w:pPr>
      <w:r w:rsidRPr="006D183F">
        <w:rPr>
          <w:sz w:val="22"/>
          <w:szCs w:val="22"/>
          <w:lang w:val="el-GR"/>
        </w:rPr>
        <w:t xml:space="preserve">Δεν μπορεί να </w:t>
      </w:r>
      <w:r w:rsidR="00D62EAD" w:rsidRPr="000008C4">
        <w:rPr>
          <w:sz w:val="22"/>
          <w:szCs w:val="22"/>
          <w:lang w:val="el-GR"/>
        </w:rPr>
        <w:t>αποκλεισ</w:t>
      </w:r>
      <w:r w:rsidRPr="006D183F">
        <w:rPr>
          <w:sz w:val="22"/>
          <w:szCs w:val="22"/>
          <w:lang w:val="el-GR"/>
        </w:rPr>
        <w:t>θεί</w:t>
      </w:r>
      <w:r w:rsidR="004918AB" w:rsidRPr="000008C4">
        <w:rPr>
          <w:sz w:val="22"/>
          <w:szCs w:val="22"/>
          <w:lang w:val="el-GR"/>
        </w:rPr>
        <w:t xml:space="preserve"> ο</w:t>
      </w:r>
      <w:r w:rsidRPr="006D183F">
        <w:rPr>
          <w:sz w:val="22"/>
          <w:szCs w:val="22"/>
          <w:lang w:val="el-GR"/>
        </w:rPr>
        <w:t xml:space="preserve"> </w:t>
      </w:r>
      <w:r w:rsidR="00D62EAD" w:rsidRPr="000008C4">
        <w:rPr>
          <w:sz w:val="22"/>
          <w:szCs w:val="22"/>
          <w:lang w:val="el-GR"/>
        </w:rPr>
        <w:t xml:space="preserve">κίνδυνος </w:t>
      </w:r>
      <w:r w:rsidR="009C372C" w:rsidRPr="000008C4">
        <w:rPr>
          <w:sz w:val="22"/>
          <w:szCs w:val="22"/>
          <w:lang w:val="el-GR"/>
        </w:rPr>
        <w:t>διασταυρούμεν</w:t>
      </w:r>
      <w:r w:rsidR="00E97620" w:rsidRPr="000008C4">
        <w:rPr>
          <w:sz w:val="22"/>
          <w:szCs w:val="22"/>
          <w:lang w:val="el-GR"/>
        </w:rPr>
        <w:t>ων</w:t>
      </w:r>
      <w:r w:rsidR="009C372C" w:rsidRPr="000008C4">
        <w:rPr>
          <w:sz w:val="22"/>
          <w:szCs w:val="22"/>
          <w:lang w:val="el-GR"/>
        </w:rPr>
        <w:t xml:space="preserve"> αντιδρ</w:t>
      </w:r>
      <w:r w:rsidR="00E97620" w:rsidRPr="000008C4">
        <w:rPr>
          <w:sz w:val="22"/>
          <w:szCs w:val="22"/>
          <w:lang w:val="el-GR"/>
        </w:rPr>
        <w:t>άσεων</w:t>
      </w:r>
      <w:r w:rsidR="009C372C" w:rsidRPr="000008C4">
        <w:rPr>
          <w:sz w:val="22"/>
          <w:szCs w:val="22"/>
          <w:lang w:val="el-GR"/>
        </w:rPr>
        <w:t xml:space="preserve"> </w:t>
      </w:r>
      <w:r w:rsidR="00663C21" w:rsidRPr="000008C4">
        <w:rPr>
          <w:sz w:val="22"/>
          <w:szCs w:val="22"/>
          <w:lang w:val="el-GR"/>
        </w:rPr>
        <w:t xml:space="preserve">υπερευαισθησίας με άλλο </w:t>
      </w:r>
      <w:r w:rsidR="000A0FCB" w:rsidRPr="006D183F">
        <w:rPr>
          <w:sz w:val="22"/>
          <w:szCs w:val="22"/>
          <w:lang w:val="el-GR"/>
        </w:rPr>
        <w:t xml:space="preserve">αναστολέα της αντλίας πρωτονίων ή </w:t>
      </w:r>
      <w:r w:rsidR="008E251D" w:rsidRPr="006D183F">
        <w:rPr>
          <w:sz w:val="22"/>
          <w:szCs w:val="22"/>
          <w:lang w:val="el-GR"/>
        </w:rPr>
        <w:t>υποκατεστημένες βενζ</w:t>
      </w:r>
      <w:r w:rsidR="00747762" w:rsidRPr="006D183F">
        <w:rPr>
          <w:sz w:val="22"/>
          <w:szCs w:val="22"/>
          <w:lang w:val="el-GR"/>
        </w:rPr>
        <w:t>ι</w:t>
      </w:r>
      <w:r w:rsidR="008E251D" w:rsidRPr="006D183F">
        <w:rPr>
          <w:sz w:val="22"/>
          <w:szCs w:val="22"/>
          <w:lang w:val="el-GR"/>
        </w:rPr>
        <w:t>μιδαζόλες.</w:t>
      </w:r>
    </w:p>
    <w:p w:rsidR="00E00C8B" w:rsidRPr="006D183F" w:rsidRDefault="00E00C8B" w:rsidP="00147539">
      <w:pPr>
        <w:pStyle w:val="30"/>
        <w:ind w:left="720"/>
        <w:jc w:val="left"/>
        <w:rPr>
          <w:b w:val="0"/>
          <w:sz w:val="22"/>
          <w:szCs w:val="22"/>
        </w:rPr>
      </w:pPr>
    </w:p>
    <w:p w:rsidR="007B24CB" w:rsidRPr="006D183F" w:rsidRDefault="007B24CB" w:rsidP="00147539">
      <w:pPr>
        <w:ind w:left="720"/>
        <w:rPr>
          <w:sz w:val="22"/>
          <w:szCs w:val="22"/>
          <w:lang w:val="el-GR"/>
        </w:rPr>
      </w:pPr>
      <w:r w:rsidRPr="000008C4">
        <w:rPr>
          <w:sz w:val="22"/>
          <w:szCs w:val="22"/>
          <w:lang w:val="el-GR"/>
        </w:rPr>
        <w:t xml:space="preserve">Οι ασθενείς πρέπει να προειδοποιούνται ότι τα δισκία </w:t>
      </w:r>
      <w:r w:rsidRPr="000008C4">
        <w:rPr>
          <w:sz w:val="22"/>
          <w:szCs w:val="22"/>
        </w:rPr>
        <w:t>PARIET</w:t>
      </w:r>
      <w:r w:rsidRPr="000008C4">
        <w:rPr>
          <w:sz w:val="22"/>
          <w:szCs w:val="22"/>
          <w:lang w:val="el-GR"/>
        </w:rPr>
        <w:t xml:space="preserve"> δεν πρέπει να μασώνται</w:t>
      </w:r>
      <w:r w:rsidR="00A17BFF" w:rsidRPr="000008C4">
        <w:rPr>
          <w:sz w:val="22"/>
          <w:szCs w:val="22"/>
          <w:lang w:val="el-GR"/>
        </w:rPr>
        <w:t xml:space="preserve"> ή να συνθλίβονται</w:t>
      </w:r>
      <w:r w:rsidRPr="000008C4">
        <w:rPr>
          <w:sz w:val="22"/>
          <w:szCs w:val="22"/>
          <w:lang w:val="el-GR"/>
        </w:rPr>
        <w:t>, αλλά πρέπει να καταπίνονται ολόκληρα.</w:t>
      </w:r>
    </w:p>
    <w:p w:rsidR="00446472" w:rsidRPr="006D183F" w:rsidRDefault="00446472" w:rsidP="00147539">
      <w:pPr>
        <w:ind w:left="720"/>
        <w:rPr>
          <w:sz w:val="22"/>
          <w:szCs w:val="22"/>
          <w:lang w:val="el-GR"/>
        </w:rPr>
      </w:pPr>
    </w:p>
    <w:p w:rsidR="007B24CB" w:rsidRPr="006D183F" w:rsidRDefault="007B24CB" w:rsidP="00147539">
      <w:pPr>
        <w:ind w:left="720"/>
        <w:rPr>
          <w:sz w:val="22"/>
          <w:szCs w:val="22"/>
          <w:lang w:val="el-GR"/>
        </w:rPr>
      </w:pPr>
      <w:r w:rsidRPr="000008C4">
        <w:rPr>
          <w:sz w:val="22"/>
          <w:szCs w:val="22"/>
          <w:lang w:val="el-GR"/>
        </w:rPr>
        <w:t xml:space="preserve">Το </w:t>
      </w:r>
      <w:r w:rsidRPr="000008C4">
        <w:rPr>
          <w:sz w:val="22"/>
          <w:szCs w:val="22"/>
        </w:rPr>
        <w:t>PARIET</w:t>
      </w:r>
      <w:r w:rsidRPr="000008C4">
        <w:rPr>
          <w:sz w:val="22"/>
          <w:szCs w:val="22"/>
          <w:lang w:val="el-GR"/>
        </w:rPr>
        <w:t xml:space="preserve"> δε συνιστάται για χρήση σε παιδιά αφού δεν υπάρχει εμπειρία της χρήσης του σε αυτή την ομάδα.</w:t>
      </w:r>
    </w:p>
    <w:p w:rsidR="00446472" w:rsidRPr="006D183F" w:rsidRDefault="00446472" w:rsidP="00147539">
      <w:pPr>
        <w:ind w:left="720"/>
        <w:rPr>
          <w:sz w:val="22"/>
          <w:szCs w:val="22"/>
          <w:lang w:val="el-GR"/>
        </w:rPr>
      </w:pPr>
    </w:p>
    <w:p w:rsidR="004439C1" w:rsidRPr="006D183F" w:rsidRDefault="004439C1" w:rsidP="006D183F">
      <w:pPr>
        <w:ind w:left="720"/>
        <w:rPr>
          <w:sz w:val="22"/>
          <w:szCs w:val="22"/>
          <w:lang w:val="el-GR"/>
        </w:rPr>
      </w:pPr>
      <w:r w:rsidRPr="000008C4">
        <w:rPr>
          <w:sz w:val="22"/>
          <w:szCs w:val="22"/>
          <w:lang w:val="el-GR"/>
        </w:rPr>
        <w:t xml:space="preserve">Υπάρχουν αναφορές μετά την κυκλοφορία του προϊόντος για </w:t>
      </w:r>
      <w:r w:rsidRPr="006D183F">
        <w:rPr>
          <w:sz w:val="22"/>
          <w:szCs w:val="22"/>
          <w:lang w:val="el-GR"/>
        </w:rPr>
        <w:t>δυσκρασί</w:t>
      </w:r>
      <w:r w:rsidR="007835F1" w:rsidRPr="000008C4">
        <w:rPr>
          <w:sz w:val="22"/>
          <w:szCs w:val="22"/>
          <w:lang w:val="el-GR"/>
        </w:rPr>
        <w:t>ες</w:t>
      </w:r>
      <w:r w:rsidRPr="006D183F">
        <w:rPr>
          <w:sz w:val="22"/>
          <w:szCs w:val="22"/>
          <w:lang w:val="el-GR"/>
        </w:rPr>
        <w:t xml:space="preserve"> του αίματος</w:t>
      </w:r>
      <w:r w:rsidRPr="000008C4">
        <w:rPr>
          <w:sz w:val="22"/>
          <w:szCs w:val="22"/>
          <w:lang w:val="el-GR"/>
        </w:rPr>
        <w:t xml:space="preserve"> (</w:t>
      </w:r>
      <w:r w:rsidR="00A07857" w:rsidRPr="000008C4">
        <w:rPr>
          <w:sz w:val="22"/>
          <w:szCs w:val="22"/>
          <w:lang w:val="el-GR"/>
        </w:rPr>
        <w:t xml:space="preserve">θρομβοπενία </w:t>
      </w:r>
      <w:r w:rsidR="00D965D8" w:rsidRPr="000008C4">
        <w:rPr>
          <w:sz w:val="22"/>
          <w:szCs w:val="22"/>
          <w:lang w:val="el-GR"/>
        </w:rPr>
        <w:t xml:space="preserve">και </w:t>
      </w:r>
      <w:r w:rsidR="00AC30F5" w:rsidRPr="000008C4">
        <w:rPr>
          <w:sz w:val="22"/>
          <w:szCs w:val="22"/>
          <w:lang w:val="el-GR"/>
        </w:rPr>
        <w:t xml:space="preserve">ουδετεροπενία). </w:t>
      </w:r>
      <w:r w:rsidR="00A07857" w:rsidRPr="000008C4">
        <w:rPr>
          <w:sz w:val="22"/>
          <w:szCs w:val="22"/>
          <w:lang w:val="el-GR"/>
        </w:rPr>
        <w:t>Σ</w:t>
      </w:r>
      <w:r w:rsidR="00594974" w:rsidRPr="000008C4">
        <w:rPr>
          <w:sz w:val="22"/>
          <w:szCs w:val="22"/>
          <w:lang w:val="el-GR"/>
        </w:rPr>
        <w:t xml:space="preserve">την πλειοψηφία των </w:t>
      </w:r>
      <w:r w:rsidR="00A07857" w:rsidRPr="000008C4">
        <w:rPr>
          <w:sz w:val="22"/>
          <w:szCs w:val="22"/>
          <w:lang w:val="el-GR"/>
        </w:rPr>
        <w:t>περιπτ</w:t>
      </w:r>
      <w:r w:rsidR="00594974" w:rsidRPr="000008C4">
        <w:rPr>
          <w:sz w:val="22"/>
          <w:szCs w:val="22"/>
          <w:lang w:val="el-GR"/>
        </w:rPr>
        <w:t>ώσεων</w:t>
      </w:r>
      <w:r w:rsidR="00A07857" w:rsidRPr="000008C4">
        <w:rPr>
          <w:sz w:val="22"/>
          <w:szCs w:val="22"/>
          <w:lang w:val="el-GR"/>
        </w:rPr>
        <w:t xml:space="preserve"> όπου </w:t>
      </w:r>
      <w:r w:rsidR="00137434" w:rsidRPr="000008C4">
        <w:rPr>
          <w:sz w:val="22"/>
          <w:szCs w:val="22"/>
          <w:lang w:val="el-GR"/>
        </w:rPr>
        <w:t>δεν μπορεί να αναγνωριστεί εναλλακτική αιτιολογία</w:t>
      </w:r>
      <w:r w:rsidR="001E4027" w:rsidRPr="000008C4">
        <w:rPr>
          <w:sz w:val="22"/>
          <w:szCs w:val="22"/>
          <w:lang w:val="el-GR"/>
        </w:rPr>
        <w:t>,</w:t>
      </w:r>
      <w:r w:rsidR="00137434" w:rsidRPr="000008C4">
        <w:rPr>
          <w:sz w:val="22"/>
          <w:szCs w:val="22"/>
          <w:lang w:val="el-GR"/>
        </w:rPr>
        <w:t xml:space="preserve"> </w:t>
      </w:r>
      <w:r w:rsidR="001221D9" w:rsidRPr="000008C4">
        <w:rPr>
          <w:sz w:val="22"/>
          <w:szCs w:val="22"/>
          <w:lang w:val="el-GR"/>
        </w:rPr>
        <w:t xml:space="preserve">τα συμβάματα ήταν </w:t>
      </w:r>
      <w:r w:rsidR="001828C7" w:rsidRPr="000008C4">
        <w:rPr>
          <w:sz w:val="22"/>
          <w:szCs w:val="22"/>
          <w:lang w:val="el-GR"/>
        </w:rPr>
        <w:t xml:space="preserve">χωρίς επιπλοκές και </w:t>
      </w:r>
      <w:r w:rsidR="00E43D35" w:rsidRPr="000008C4">
        <w:rPr>
          <w:sz w:val="22"/>
          <w:szCs w:val="22"/>
          <w:lang w:val="el-GR"/>
        </w:rPr>
        <w:t xml:space="preserve">υποχωρούσαν με διακοπή της </w:t>
      </w:r>
      <w:r w:rsidR="00C92F2F" w:rsidRPr="000008C4">
        <w:rPr>
          <w:sz w:val="22"/>
          <w:szCs w:val="22"/>
          <w:lang w:val="el-GR"/>
        </w:rPr>
        <w:t>ραμπεπραζόλης.</w:t>
      </w:r>
    </w:p>
    <w:p w:rsidR="00446472" w:rsidRPr="006D183F" w:rsidRDefault="00446472" w:rsidP="006D183F">
      <w:pPr>
        <w:ind w:left="720"/>
        <w:rPr>
          <w:sz w:val="22"/>
          <w:szCs w:val="22"/>
          <w:lang w:val="el-GR"/>
        </w:rPr>
      </w:pPr>
    </w:p>
    <w:p w:rsidR="00596BA3" w:rsidRPr="000008C4" w:rsidRDefault="007835F1" w:rsidP="006D183F">
      <w:pPr>
        <w:ind w:left="720"/>
        <w:rPr>
          <w:sz w:val="22"/>
          <w:szCs w:val="22"/>
          <w:lang w:val="el-GR" w:eastAsia="ja-JP"/>
        </w:rPr>
      </w:pPr>
      <w:r w:rsidRPr="000008C4">
        <w:rPr>
          <w:sz w:val="22"/>
          <w:szCs w:val="22"/>
          <w:lang w:val="el-GR" w:eastAsia="ja-JP"/>
        </w:rPr>
        <w:t>Διαταραχές των ηπατικών ενζύμων έχουν παρατηρηθεί σ</w:t>
      </w:r>
      <w:r w:rsidR="004774C6" w:rsidRPr="000008C4">
        <w:rPr>
          <w:sz w:val="22"/>
          <w:szCs w:val="22"/>
          <w:lang w:val="el-GR" w:eastAsia="ja-JP"/>
        </w:rPr>
        <w:t xml:space="preserve">ε κλινικές δοκιμές </w:t>
      </w:r>
      <w:r w:rsidR="00596BA3" w:rsidRPr="000008C4">
        <w:rPr>
          <w:sz w:val="22"/>
          <w:szCs w:val="22"/>
          <w:lang w:val="el-GR" w:eastAsia="ja-JP"/>
        </w:rPr>
        <w:t>και</w:t>
      </w:r>
      <w:r w:rsidR="003B2A83" w:rsidRPr="000008C4">
        <w:rPr>
          <w:sz w:val="22"/>
          <w:szCs w:val="22"/>
          <w:lang w:val="el-GR" w:eastAsia="ja-JP"/>
        </w:rPr>
        <w:t xml:space="preserve"> έχουν επίσης</w:t>
      </w:r>
      <w:r w:rsidR="00596BA3" w:rsidRPr="000008C4">
        <w:rPr>
          <w:sz w:val="22"/>
          <w:szCs w:val="22"/>
          <w:lang w:val="el-GR" w:eastAsia="ja-JP"/>
        </w:rPr>
        <w:t xml:space="preserve"> αναφερθεί μετά την </w:t>
      </w:r>
      <w:r w:rsidR="00EE7251" w:rsidRPr="000008C4">
        <w:rPr>
          <w:sz w:val="22"/>
          <w:szCs w:val="22"/>
          <w:lang w:val="el-GR" w:eastAsia="ja-JP"/>
        </w:rPr>
        <w:t>έκδοση της άδειας κυκλοφορίας</w:t>
      </w:r>
      <w:r w:rsidR="00596BA3" w:rsidRPr="000008C4">
        <w:rPr>
          <w:sz w:val="22"/>
          <w:szCs w:val="22"/>
          <w:lang w:val="el-GR" w:eastAsia="ja-JP"/>
        </w:rPr>
        <w:t>.</w:t>
      </w:r>
      <w:r w:rsidR="00EE7251" w:rsidRPr="000008C4">
        <w:rPr>
          <w:sz w:val="22"/>
          <w:szCs w:val="22"/>
          <w:lang w:val="el-GR" w:eastAsia="ja-JP"/>
        </w:rPr>
        <w:t xml:space="preserve"> </w:t>
      </w:r>
      <w:r w:rsidR="00543313" w:rsidRPr="000008C4">
        <w:rPr>
          <w:sz w:val="22"/>
          <w:szCs w:val="22"/>
          <w:lang w:val="el-GR"/>
        </w:rPr>
        <w:t>Στην πλειοψηφία των περιπτώσεων όπου δεν μπορεί να αναγνωριστεί εναλλακτική αιτιολογία, τα συμβάματα ήταν χωρίς επιπλοκές και υποχωρούσαν με διακοπή της ραμπεπραζόλης.</w:t>
      </w:r>
    </w:p>
    <w:p w:rsidR="00446472" w:rsidRPr="006D183F" w:rsidRDefault="00446472" w:rsidP="00147539">
      <w:pPr>
        <w:ind w:left="720"/>
        <w:rPr>
          <w:sz w:val="22"/>
          <w:szCs w:val="22"/>
          <w:lang w:val="el-GR"/>
        </w:rPr>
      </w:pPr>
    </w:p>
    <w:p w:rsidR="007B24CB" w:rsidRPr="000008C4" w:rsidRDefault="007B24CB" w:rsidP="00147539">
      <w:pPr>
        <w:ind w:left="720"/>
        <w:rPr>
          <w:sz w:val="22"/>
          <w:szCs w:val="22"/>
          <w:lang w:val="el-GR"/>
        </w:rPr>
      </w:pPr>
      <w:r w:rsidRPr="000008C4">
        <w:rPr>
          <w:sz w:val="22"/>
          <w:szCs w:val="22"/>
          <w:lang w:val="el-GR"/>
        </w:rPr>
        <w:t xml:space="preserve">Δεν παρατηρήθηκε καμία ένδειξη σημαντικών προβλημάτων που σχετίζονται με την ασφάλεια του φαρμάκου σε μία μελέτη ασθενών με ήπια έως μέτρια ηπατική </w:t>
      </w:r>
      <w:r w:rsidR="000A22BD" w:rsidRPr="000008C4">
        <w:rPr>
          <w:sz w:val="22"/>
          <w:szCs w:val="22"/>
          <w:lang w:val="el-GR"/>
        </w:rPr>
        <w:t>δυσ</w:t>
      </w:r>
      <w:r w:rsidRPr="000008C4">
        <w:rPr>
          <w:sz w:val="22"/>
          <w:szCs w:val="22"/>
          <w:lang w:val="el-GR"/>
        </w:rPr>
        <w:t xml:space="preserve">λειτουργία έναντι φυσιολογικών ατόμων αντίστοιχης ηλικίας και φύλου. Παρόλα αυτά, επειδή δεν υπάρχουν κλινικά δεδομένα στη χρήση του </w:t>
      </w:r>
      <w:r w:rsidRPr="000008C4">
        <w:rPr>
          <w:sz w:val="22"/>
          <w:szCs w:val="22"/>
        </w:rPr>
        <w:t>PARIET</w:t>
      </w:r>
      <w:r w:rsidRPr="000008C4">
        <w:rPr>
          <w:sz w:val="22"/>
          <w:szCs w:val="22"/>
          <w:lang w:val="el-GR"/>
        </w:rPr>
        <w:t xml:space="preserve"> σε θεραπεία ασθενών με σοβαρή ηπατική δυσλειτουργία, ο συνταγογραφών πρέπει να είναι επιφυλακτικός κατά την έναρξη της θεραπείας με </w:t>
      </w:r>
      <w:r w:rsidRPr="000008C4">
        <w:rPr>
          <w:sz w:val="22"/>
          <w:szCs w:val="22"/>
        </w:rPr>
        <w:t>PARIET</w:t>
      </w:r>
      <w:r w:rsidRPr="000008C4">
        <w:rPr>
          <w:sz w:val="22"/>
          <w:szCs w:val="22"/>
          <w:lang w:val="el-GR"/>
        </w:rPr>
        <w:t xml:space="preserve"> σε αυτούς τους ασθενείς.</w:t>
      </w:r>
    </w:p>
    <w:p w:rsidR="007B24CB" w:rsidRPr="006D183F" w:rsidRDefault="007B24CB" w:rsidP="00147539">
      <w:pPr>
        <w:ind w:left="720"/>
        <w:rPr>
          <w:sz w:val="22"/>
          <w:szCs w:val="22"/>
          <w:lang w:val="el-GR"/>
        </w:rPr>
      </w:pPr>
    </w:p>
    <w:p w:rsidR="004D0109" w:rsidRPr="006D183F" w:rsidRDefault="004C3CA7" w:rsidP="006D183F">
      <w:pPr>
        <w:spacing w:line="240" w:lineRule="atLeast"/>
        <w:ind w:left="720"/>
        <w:rPr>
          <w:rFonts w:eastAsia="MS Mincho"/>
          <w:color w:val="000000"/>
          <w:sz w:val="22"/>
          <w:szCs w:val="22"/>
          <w:lang w:val="el-GR" w:eastAsia="ja-JP"/>
        </w:rPr>
      </w:pPr>
      <w:r w:rsidRPr="006D183F">
        <w:rPr>
          <w:rFonts w:eastAsia="MS Mincho"/>
          <w:color w:val="000000"/>
          <w:sz w:val="22"/>
          <w:szCs w:val="22"/>
          <w:lang w:val="el-GR" w:eastAsia="ja-JP"/>
        </w:rPr>
        <w:t xml:space="preserve">Η συγχορήγηση </w:t>
      </w:r>
      <w:r w:rsidR="006A2769" w:rsidRPr="006D183F">
        <w:rPr>
          <w:rFonts w:eastAsia="MS Mincho"/>
          <w:color w:val="000000"/>
          <w:sz w:val="22"/>
          <w:szCs w:val="22"/>
          <w:lang w:val="el-GR" w:eastAsia="ja-JP"/>
        </w:rPr>
        <w:t xml:space="preserve">αταζαναβίρης με </w:t>
      </w:r>
      <w:r w:rsidR="004D0109" w:rsidRPr="006D183F">
        <w:rPr>
          <w:rFonts w:eastAsia="MS Mincho"/>
          <w:color w:val="000000"/>
          <w:sz w:val="22"/>
          <w:szCs w:val="22"/>
          <w:lang w:eastAsia="ja-JP"/>
        </w:rPr>
        <w:t>PARIET</w:t>
      </w:r>
      <w:r w:rsidR="004D0109" w:rsidRPr="006D183F">
        <w:rPr>
          <w:rFonts w:eastAsia="MS Mincho"/>
          <w:color w:val="000000"/>
          <w:sz w:val="22"/>
          <w:szCs w:val="22"/>
          <w:lang w:val="el-GR" w:eastAsia="ja-JP"/>
        </w:rPr>
        <w:t xml:space="preserve"> </w:t>
      </w:r>
      <w:r w:rsidR="006A2769" w:rsidRPr="006D183F">
        <w:rPr>
          <w:rFonts w:eastAsia="MS Mincho"/>
          <w:color w:val="000000"/>
          <w:sz w:val="22"/>
          <w:szCs w:val="22"/>
          <w:lang w:val="el-GR" w:eastAsia="ja-JP"/>
        </w:rPr>
        <w:t xml:space="preserve">δε συνιστάται </w:t>
      </w:r>
      <w:r w:rsidR="004D0109" w:rsidRPr="006D183F">
        <w:rPr>
          <w:rFonts w:eastAsia="MS Mincho"/>
          <w:color w:val="000000"/>
          <w:sz w:val="22"/>
          <w:szCs w:val="22"/>
          <w:lang w:val="el-GR" w:eastAsia="ja-JP"/>
        </w:rPr>
        <w:t>(</w:t>
      </w:r>
      <w:r w:rsidR="006A2769" w:rsidRPr="006D183F">
        <w:rPr>
          <w:rFonts w:eastAsia="MS Mincho"/>
          <w:color w:val="000000"/>
          <w:sz w:val="22"/>
          <w:szCs w:val="22"/>
          <w:lang w:val="el-GR" w:eastAsia="ja-JP"/>
        </w:rPr>
        <w:t xml:space="preserve">βλέπε παράγραφο </w:t>
      </w:r>
      <w:r w:rsidR="004D0109" w:rsidRPr="006D183F">
        <w:rPr>
          <w:rFonts w:eastAsia="MS Mincho"/>
          <w:color w:val="000000"/>
          <w:sz w:val="22"/>
          <w:szCs w:val="22"/>
          <w:lang w:val="el-GR" w:eastAsia="ja-JP"/>
        </w:rPr>
        <w:t>4.5).</w:t>
      </w:r>
    </w:p>
    <w:p w:rsidR="004D0109" w:rsidRPr="006D183F" w:rsidRDefault="004D0109" w:rsidP="006D183F">
      <w:pPr>
        <w:ind w:left="720"/>
        <w:rPr>
          <w:sz w:val="22"/>
          <w:szCs w:val="22"/>
          <w:lang w:val="el-GR"/>
        </w:rPr>
      </w:pPr>
    </w:p>
    <w:p w:rsidR="004D0109" w:rsidRPr="000008C4" w:rsidRDefault="005E39E6" w:rsidP="00147539">
      <w:pPr>
        <w:ind w:left="720"/>
        <w:rPr>
          <w:sz w:val="22"/>
          <w:szCs w:val="22"/>
          <w:lang w:val="el-GR"/>
        </w:rPr>
      </w:pPr>
      <w:r w:rsidRPr="006D183F">
        <w:rPr>
          <w:rFonts w:eastAsia="MS Mincho"/>
          <w:color w:val="000000"/>
          <w:sz w:val="22"/>
          <w:szCs w:val="22"/>
          <w:lang w:val="el-GR" w:eastAsia="ja-JP"/>
        </w:rPr>
        <w:t xml:space="preserve">Η θεραπεία με </w:t>
      </w:r>
      <w:r w:rsidR="00FD21FF" w:rsidRPr="000008C4">
        <w:rPr>
          <w:sz w:val="22"/>
          <w:szCs w:val="22"/>
          <w:lang w:val="el-GR"/>
        </w:rPr>
        <w:t>αναστολείς της αντλίας πρωτονίων</w:t>
      </w:r>
      <w:r w:rsidR="000C6005" w:rsidRPr="000008C4">
        <w:rPr>
          <w:sz w:val="22"/>
          <w:szCs w:val="22"/>
          <w:lang w:val="el-GR"/>
        </w:rPr>
        <w:t xml:space="preserve">, συμπεριλαμβανομένου του </w:t>
      </w:r>
      <w:r w:rsidR="000C6005" w:rsidRPr="006D183F">
        <w:rPr>
          <w:rFonts w:eastAsia="MS Mincho"/>
          <w:color w:val="000000"/>
          <w:sz w:val="22"/>
          <w:szCs w:val="22"/>
          <w:lang w:eastAsia="ja-JP"/>
        </w:rPr>
        <w:t>PARIET</w:t>
      </w:r>
      <w:r w:rsidR="000C6005" w:rsidRPr="006D183F">
        <w:rPr>
          <w:sz w:val="22"/>
          <w:szCs w:val="22"/>
          <w:lang w:val="el-GR"/>
        </w:rPr>
        <w:t xml:space="preserve">, </w:t>
      </w:r>
      <w:r w:rsidR="006C2426" w:rsidRPr="000008C4">
        <w:rPr>
          <w:sz w:val="22"/>
          <w:szCs w:val="22"/>
          <w:lang w:val="el-GR"/>
        </w:rPr>
        <w:t>μπορεί πιθαν</w:t>
      </w:r>
      <w:r w:rsidR="00C45FCF" w:rsidRPr="00147539">
        <w:rPr>
          <w:sz w:val="22"/>
          <w:szCs w:val="22"/>
          <w:lang w:val="el-GR"/>
        </w:rPr>
        <w:t>ώς</w:t>
      </w:r>
      <w:r w:rsidR="006C2426" w:rsidRPr="000008C4">
        <w:rPr>
          <w:sz w:val="22"/>
          <w:szCs w:val="22"/>
          <w:lang w:val="el-GR"/>
        </w:rPr>
        <w:t xml:space="preserve"> </w:t>
      </w:r>
      <w:r w:rsidR="000C6005" w:rsidRPr="000008C4">
        <w:rPr>
          <w:sz w:val="22"/>
          <w:szCs w:val="22"/>
          <w:lang w:val="el-GR"/>
        </w:rPr>
        <w:t xml:space="preserve">να αυξήσει τον κίνδυνο </w:t>
      </w:r>
      <w:r w:rsidR="002A7D61" w:rsidRPr="000008C4">
        <w:rPr>
          <w:sz w:val="22"/>
          <w:szCs w:val="22"/>
          <w:lang w:val="el-GR"/>
        </w:rPr>
        <w:t xml:space="preserve">γαστρεντερικής λοίμωξης όπως </w:t>
      </w:r>
      <w:r w:rsidR="007E20AE" w:rsidRPr="000008C4">
        <w:rPr>
          <w:sz w:val="22"/>
          <w:szCs w:val="22"/>
          <w:lang w:val="el-GR"/>
        </w:rPr>
        <w:t xml:space="preserve">από </w:t>
      </w:r>
      <w:r w:rsidR="004D0109" w:rsidRPr="006D183F">
        <w:rPr>
          <w:i/>
          <w:sz w:val="22"/>
          <w:szCs w:val="22"/>
        </w:rPr>
        <w:t>Salmonella</w:t>
      </w:r>
      <w:r w:rsidR="004D0109" w:rsidRPr="006D183F">
        <w:rPr>
          <w:sz w:val="22"/>
          <w:szCs w:val="22"/>
          <w:lang w:val="el-GR"/>
        </w:rPr>
        <w:t xml:space="preserve">, </w:t>
      </w:r>
      <w:r w:rsidR="004D0109" w:rsidRPr="006D183F">
        <w:rPr>
          <w:i/>
          <w:sz w:val="22"/>
          <w:szCs w:val="22"/>
        </w:rPr>
        <w:t>Campylobacter</w:t>
      </w:r>
      <w:r w:rsidR="004D0109" w:rsidRPr="006D183F">
        <w:rPr>
          <w:sz w:val="22"/>
          <w:szCs w:val="22"/>
          <w:lang w:val="el-GR"/>
        </w:rPr>
        <w:t xml:space="preserve"> </w:t>
      </w:r>
      <w:r w:rsidR="005A1D76" w:rsidRPr="006D183F">
        <w:rPr>
          <w:sz w:val="22"/>
          <w:szCs w:val="22"/>
          <w:lang w:val="el-GR"/>
        </w:rPr>
        <w:t>και</w:t>
      </w:r>
      <w:r w:rsidR="004D0109" w:rsidRPr="006D183F">
        <w:rPr>
          <w:sz w:val="22"/>
          <w:szCs w:val="22"/>
          <w:lang w:val="el-GR"/>
        </w:rPr>
        <w:t xml:space="preserve"> </w:t>
      </w:r>
      <w:r w:rsidR="004D0109" w:rsidRPr="006D183F">
        <w:rPr>
          <w:i/>
          <w:sz w:val="22"/>
          <w:szCs w:val="22"/>
        </w:rPr>
        <w:t>Clostridium</w:t>
      </w:r>
      <w:r w:rsidR="004D0109" w:rsidRPr="006D183F">
        <w:rPr>
          <w:i/>
          <w:sz w:val="22"/>
          <w:szCs w:val="22"/>
          <w:lang w:val="el-GR"/>
        </w:rPr>
        <w:t xml:space="preserve"> </w:t>
      </w:r>
      <w:r w:rsidR="004D0109" w:rsidRPr="006D183F">
        <w:rPr>
          <w:i/>
          <w:sz w:val="22"/>
          <w:szCs w:val="22"/>
        </w:rPr>
        <w:t>difficile</w:t>
      </w:r>
      <w:r w:rsidR="004D0109" w:rsidRPr="006D183F">
        <w:rPr>
          <w:sz w:val="22"/>
          <w:szCs w:val="22"/>
          <w:lang w:val="el-GR"/>
        </w:rPr>
        <w:t xml:space="preserve"> (</w:t>
      </w:r>
      <w:r w:rsidR="004A5D2A" w:rsidRPr="000008C4">
        <w:rPr>
          <w:rFonts w:eastAsia="MS Mincho"/>
          <w:color w:val="000000"/>
          <w:sz w:val="22"/>
          <w:szCs w:val="22"/>
          <w:lang w:val="el-GR" w:eastAsia="ja-JP"/>
        </w:rPr>
        <w:t xml:space="preserve">βλέπε παράγραφο </w:t>
      </w:r>
      <w:r w:rsidR="004D0109" w:rsidRPr="006D183F">
        <w:rPr>
          <w:sz w:val="22"/>
          <w:szCs w:val="22"/>
          <w:lang w:val="el-GR"/>
        </w:rPr>
        <w:t>5.1).</w:t>
      </w:r>
    </w:p>
    <w:p w:rsidR="00C45FCF" w:rsidRPr="000008C4" w:rsidRDefault="00C45FCF" w:rsidP="00147539">
      <w:pPr>
        <w:ind w:left="720"/>
        <w:rPr>
          <w:rFonts w:eastAsia="MS Mincho"/>
          <w:color w:val="000000"/>
          <w:sz w:val="22"/>
          <w:szCs w:val="22"/>
          <w:lang w:val="el-GR" w:eastAsia="ja-JP"/>
        </w:rPr>
      </w:pPr>
    </w:p>
    <w:p w:rsidR="00897508" w:rsidRPr="00147539" w:rsidRDefault="00C45FCF" w:rsidP="006D183F">
      <w:pPr>
        <w:ind w:left="709"/>
        <w:textAlignment w:val="top"/>
        <w:rPr>
          <w:color w:val="333333"/>
          <w:sz w:val="22"/>
          <w:szCs w:val="22"/>
          <w:lang w:val="el-GR" w:eastAsia="el-GR"/>
        </w:rPr>
      </w:pPr>
      <w:r w:rsidRPr="00147539">
        <w:rPr>
          <w:color w:val="333333"/>
          <w:sz w:val="22"/>
          <w:szCs w:val="22"/>
          <w:lang w:val="el-GR" w:eastAsia="el-GR"/>
        </w:rPr>
        <w:t>Οι α</w:t>
      </w:r>
      <w:r w:rsidRPr="006D183F">
        <w:rPr>
          <w:color w:val="333333"/>
          <w:sz w:val="22"/>
          <w:szCs w:val="22"/>
          <w:lang w:val="el-GR" w:eastAsia="el-GR"/>
        </w:rPr>
        <w:t>ναστολείς της αντλίας πρωτονίων</w:t>
      </w:r>
      <w:r w:rsidR="00150CB0" w:rsidRPr="000008C4">
        <w:rPr>
          <w:color w:val="333333"/>
          <w:sz w:val="22"/>
          <w:szCs w:val="22"/>
          <w:lang w:val="el-GR" w:eastAsia="el-GR"/>
        </w:rPr>
        <w:t>,</w:t>
      </w:r>
      <w:r w:rsidRPr="006D183F">
        <w:rPr>
          <w:color w:val="333333"/>
          <w:sz w:val="22"/>
          <w:szCs w:val="22"/>
          <w:lang w:val="el-GR" w:eastAsia="el-GR"/>
        </w:rPr>
        <w:t xml:space="preserve"> </w:t>
      </w:r>
      <w:r w:rsidR="00150CB0" w:rsidRPr="000008C4">
        <w:rPr>
          <w:color w:val="333333"/>
          <w:sz w:val="22"/>
          <w:szCs w:val="22"/>
          <w:lang w:val="el-GR" w:eastAsia="el-GR"/>
        </w:rPr>
        <w:t>ειδικά αν χρησιμοποιηθούν σε υψηλές δόσεις και για μεγάλα χρονικά διαστήματα (&gt; 1 έτος)</w:t>
      </w:r>
      <w:r w:rsidR="002D532D" w:rsidRPr="000008C4">
        <w:rPr>
          <w:color w:val="333333"/>
          <w:sz w:val="22"/>
          <w:szCs w:val="22"/>
          <w:lang w:val="el-GR" w:eastAsia="el-GR"/>
        </w:rPr>
        <w:t xml:space="preserve">, </w:t>
      </w:r>
      <w:r w:rsidRPr="006D183F">
        <w:rPr>
          <w:color w:val="333333"/>
          <w:sz w:val="22"/>
          <w:szCs w:val="22"/>
          <w:lang w:val="el-GR" w:eastAsia="el-GR"/>
        </w:rPr>
        <w:t>μπορεί να αυξήσ</w:t>
      </w:r>
      <w:r w:rsidRPr="00147539">
        <w:rPr>
          <w:color w:val="333333"/>
          <w:sz w:val="22"/>
          <w:szCs w:val="22"/>
          <w:lang w:val="el-GR" w:eastAsia="el-GR"/>
        </w:rPr>
        <w:t>ουν</w:t>
      </w:r>
      <w:r w:rsidRPr="006D183F">
        <w:rPr>
          <w:color w:val="333333"/>
          <w:sz w:val="22"/>
          <w:szCs w:val="22"/>
          <w:lang w:val="el-GR" w:eastAsia="el-GR"/>
        </w:rPr>
        <w:t xml:space="preserve"> ελαφρώς τον κίνδυνο</w:t>
      </w:r>
      <w:r w:rsidRPr="00147539">
        <w:rPr>
          <w:color w:val="333333"/>
          <w:sz w:val="22"/>
          <w:szCs w:val="22"/>
          <w:lang w:val="el-GR" w:eastAsia="el-GR"/>
        </w:rPr>
        <w:t xml:space="preserve"> για</w:t>
      </w:r>
      <w:r w:rsidRPr="006D183F">
        <w:rPr>
          <w:color w:val="333333"/>
          <w:sz w:val="22"/>
          <w:szCs w:val="22"/>
          <w:lang w:val="el-GR" w:eastAsia="el-GR"/>
        </w:rPr>
        <w:t xml:space="preserve"> </w:t>
      </w:r>
      <w:r w:rsidRPr="00147539">
        <w:rPr>
          <w:color w:val="333333"/>
          <w:sz w:val="22"/>
          <w:szCs w:val="22"/>
          <w:lang w:val="el-GR" w:eastAsia="el-GR"/>
        </w:rPr>
        <w:t xml:space="preserve">κάταγμα </w:t>
      </w:r>
      <w:r w:rsidRPr="006D183F">
        <w:rPr>
          <w:color w:val="333333"/>
          <w:sz w:val="22"/>
          <w:szCs w:val="22"/>
          <w:lang w:val="el-GR" w:eastAsia="el-GR"/>
        </w:rPr>
        <w:t>του ισχίου, του καρπού και της σπονδυλικής στήλης</w:t>
      </w:r>
      <w:r w:rsidRPr="00147539">
        <w:rPr>
          <w:color w:val="333333"/>
          <w:sz w:val="22"/>
          <w:szCs w:val="22"/>
          <w:lang w:val="el-GR" w:eastAsia="el-GR"/>
        </w:rPr>
        <w:t xml:space="preserve">, </w:t>
      </w:r>
      <w:r w:rsidRPr="006D183F">
        <w:rPr>
          <w:color w:val="333333"/>
          <w:sz w:val="22"/>
          <w:szCs w:val="22"/>
          <w:lang w:val="el-GR" w:eastAsia="el-GR"/>
        </w:rPr>
        <w:t xml:space="preserve">κυρίως σε ηλικιωμένους ή </w:t>
      </w:r>
      <w:r w:rsidR="00A77C37" w:rsidRPr="000008C4">
        <w:rPr>
          <w:color w:val="333333"/>
          <w:sz w:val="22"/>
          <w:szCs w:val="22"/>
          <w:lang w:val="el-GR" w:eastAsia="el-GR"/>
        </w:rPr>
        <w:t>μ</w:t>
      </w:r>
      <w:r w:rsidRPr="006D183F">
        <w:rPr>
          <w:color w:val="333333"/>
          <w:sz w:val="22"/>
          <w:szCs w:val="22"/>
          <w:lang w:val="el-GR" w:eastAsia="el-GR"/>
        </w:rPr>
        <w:t>ε παρουσία άλλων αναγνωρισμένων παραγόντων κινδύνου. Οι μελέτες παρατήρησης δείχνουν ότι οι αναστολείς της αντλίας πρωτονίων μπορεί να αυξήσ</w:t>
      </w:r>
      <w:r w:rsidRPr="00147539">
        <w:rPr>
          <w:color w:val="333333"/>
          <w:sz w:val="22"/>
          <w:szCs w:val="22"/>
          <w:lang w:val="el-GR" w:eastAsia="el-GR"/>
        </w:rPr>
        <w:t>ουν</w:t>
      </w:r>
      <w:r w:rsidRPr="006D183F">
        <w:rPr>
          <w:color w:val="333333"/>
          <w:sz w:val="22"/>
          <w:szCs w:val="22"/>
          <w:lang w:val="el-GR" w:eastAsia="el-GR"/>
        </w:rPr>
        <w:t xml:space="preserve"> τον συνολικό κίνδυνο του κατάγματος κατά 10-40%. Ένα μέρος αυτής της αύξησης μπορεί να οφείλεται σε άλλους παράγοντες κινδύνου. </w:t>
      </w:r>
      <w:r w:rsidR="00A77C37" w:rsidRPr="000008C4">
        <w:rPr>
          <w:color w:val="333333"/>
          <w:sz w:val="22"/>
          <w:szCs w:val="22"/>
          <w:lang w:val="el-GR" w:eastAsia="el-GR"/>
        </w:rPr>
        <w:t>Οι α</w:t>
      </w:r>
      <w:r w:rsidRPr="006D183F">
        <w:rPr>
          <w:color w:val="333333"/>
          <w:sz w:val="22"/>
          <w:szCs w:val="22"/>
          <w:lang w:val="el-GR" w:eastAsia="el-GR"/>
        </w:rPr>
        <w:t xml:space="preserve">σθενείς </w:t>
      </w:r>
      <w:r w:rsidR="0008554D" w:rsidRPr="00147539">
        <w:rPr>
          <w:color w:val="333333"/>
          <w:sz w:val="22"/>
          <w:szCs w:val="22"/>
          <w:lang w:val="el-GR" w:eastAsia="el-GR"/>
        </w:rPr>
        <w:t>που κινδυνεύουν από</w:t>
      </w:r>
      <w:r w:rsidRPr="006D183F">
        <w:rPr>
          <w:color w:val="333333"/>
          <w:sz w:val="22"/>
          <w:szCs w:val="22"/>
          <w:lang w:val="el-GR" w:eastAsia="el-GR"/>
        </w:rPr>
        <w:t xml:space="preserve"> </w:t>
      </w:r>
      <w:r w:rsidR="0008554D" w:rsidRPr="00147539">
        <w:rPr>
          <w:color w:val="333333"/>
          <w:sz w:val="22"/>
          <w:szCs w:val="22"/>
          <w:lang w:val="el-GR" w:eastAsia="el-GR"/>
        </w:rPr>
        <w:t>οστεοπόρωση</w:t>
      </w:r>
      <w:r w:rsidRPr="006D183F">
        <w:rPr>
          <w:color w:val="333333"/>
          <w:sz w:val="22"/>
          <w:szCs w:val="22"/>
          <w:lang w:val="el-GR" w:eastAsia="el-GR"/>
        </w:rPr>
        <w:t xml:space="preserve"> πρέπει να λαμβάνουν φροντίδα σύμφωνα με τις τρέχουσες κλινικές κατευθυντήριες γραμμές και επαρκή πρόσληψη βιταμίνης D και ασβεστίου.</w:t>
      </w:r>
      <w:r w:rsidRPr="006D183F">
        <w:rPr>
          <w:color w:val="333333"/>
          <w:sz w:val="22"/>
          <w:szCs w:val="22"/>
          <w:lang w:val="el-GR" w:eastAsia="el-GR"/>
        </w:rPr>
        <w:br/>
      </w:r>
    </w:p>
    <w:p w:rsidR="00C74540" w:rsidRPr="00147539" w:rsidRDefault="00C45FCF" w:rsidP="006D183F">
      <w:pPr>
        <w:ind w:left="709"/>
        <w:textAlignment w:val="top"/>
        <w:rPr>
          <w:color w:val="333333"/>
          <w:sz w:val="22"/>
          <w:szCs w:val="22"/>
          <w:lang w:val="el-GR" w:eastAsia="el-GR"/>
        </w:rPr>
      </w:pPr>
      <w:r w:rsidRPr="006D183F">
        <w:rPr>
          <w:color w:val="333333"/>
          <w:sz w:val="22"/>
          <w:szCs w:val="22"/>
          <w:lang w:val="el-GR" w:eastAsia="el-GR"/>
        </w:rPr>
        <w:t xml:space="preserve">Σοβαρή υπομαγνησιαιμία έχει αναφερθεί σε ασθενείς που έλαβαν θεραπεία με αναστολείς της αντλίας πρωτονίων, όπως </w:t>
      </w:r>
      <w:r w:rsidR="00C74540" w:rsidRPr="00147539">
        <w:rPr>
          <w:color w:val="333333"/>
          <w:sz w:val="22"/>
          <w:szCs w:val="22"/>
          <w:lang w:val="el-GR" w:eastAsia="el-GR"/>
        </w:rPr>
        <w:t xml:space="preserve">το </w:t>
      </w:r>
      <w:r w:rsidRPr="006D183F">
        <w:rPr>
          <w:color w:val="333333"/>
          <w:sz w:val="22"/>
          <w:szCs w:val="22"/>
          <w:lang w:val="el-GR" w:eastAsia="el-GR"/>
        </w:rPr>
        <w:t>PARIET για τουλάχιστον τρεις μήνες</w:t>
      </w:r>
      <w:r w:rsidR="00C74540" w:rsidRPr="00147539">
        <w:rPr>
          <w:color w:val="333333"/>
          <w:sz w:val="22"/>
          <w:szCs w:val="22"/>
          <w:lang w:val="el-GR" w:eastAsia="el-GR"/>
        </w:rPr>
        <w:t xml:space="preserve"> </w:t>
      </w:r>
      <w:r w:rsidRPr="006D183F">
        <w:rPr>
          <w:color w:val="333333"/>
          <w:sz w:val="22"/>
          <w:szCs w:val="22"/>
          <w:lang w:val="el-GR" w:eastAsia="el-GR"/>
        </w:rPr>
        <w:t xml:space="preserve"> και στις περισσότερες περιπτώσεις, για ένα χρόνο. Σοβαρές εκδηλώσεις τ</w:t>
      </w:r>
      <w:r w:rsidR="00C74540" w:rsidRPr="00147539">
        <w:rPr>
          <w:color w:val="333333"/>
          <w:sz w:val="22"/>
          <w:szCs w:val="22"/>
          <w:lang w:val="el-GR" w:eastAsia="el-GR"/>
        </w:rPr>
        <w:t>ης</w:t>
      </w:r>
      <w:r w:rsidRPr="006D183F">
        <w:rPr>
          <w:color w:val="333333"/>
          <w:sz w:val="22"/>
          <w:szCs w:val="22"/>
          <w:lang w:val="el-GR" w:eastAsia="el-GR"/>
        </w:rPr>
        <w:t xml:space="preserve"> υπομαγνησιαιμία</w:t>
      </w:r>
      <w:r w:rsidR="00C74540" w:rsidRPr="00147539">
        <w:rPr>
          <w:color w:val="333333"/>
          <w:sz w:val="22"/>
          <w:szCs w:val="22"/>
          <w:lang w:val="el-GR" w:eastAsia="el-GR"/>
        </w:rPr>
        <w:t>ς</w:t>
      </w:r>
      <w:r w:rsidRPr="006D183F">
        <w:rPr>
          <w:color w:val="333333"/>
          <w:sz w:val="22"/>
          <w:szCs w:val="22"/>
          <w:lang w:val="el-GR" w:eastAsia="el-GR"/>
        </w:rPr>
        <w:t>, όπως η κόπωση,</w:t>
      </w:r>
      <w:r w:rsidR="00C74540" w:rsidRPr="00147539">
        <w:rPr>
          <w:color w:val="333333"/>
          <w:sz w:val="22"/>
          <w:szCs w:val="22"/>
          <w:lang w:val="el-GR" w:eastAsia="el-GR"/>
        </w:rPr>
        <w:t xml:space="preserve"> η</w:t>
      </w:r>
      <w:r w:rsidRPr="006D183F">
        <w:rPr>
          <w:color w:val="333333"/>
          <w:sz w:val="22"/>
          <w:szCs w:val="22"/>
          <w:lang w:val="el-GR" w:eastAsia="el-GR"/>
        </w:rPr>
        <w:t xml:space="preserve"> τετανία, </w:t>
      </w:r>
      <w:r w:rsidR="00C74540" w:rsidRPr="00147539">
        <w:rPr>
          <w:color w:val="333333"/>
          <w:sz w:val="22"/>
          <w:szCs w:val="22"/>
          <w:lang w:val="el-GR" w:eastAsia="el-GR"/>
        </w:rPr>
        <w:t xml:space="preserve">το </w:t>
      </w:r>
      <w:r w:rsidRPr="006D183F">
        <w:rPr>
          <w:color w:val="333333"/>
          <w:sz w:val="22"/>
          <w:szCs w:val="22"/>
          <w:lang w:val="el-GR" w:eastAsia="el-GR"/>
        </w:rPr>
        <w:t xml:space="preserve">παραλήρημα, </w:t>
      </w:r>
      <w:r w:rsidR="00C74540" w:rsidRPr="00147539">
        <w:rPr>
          <w:color w:val="333333"/>
          <w:sz w:val="22"/>
          <w:szCs w:val="22"/>
          <w:lang w:val="el-GR" w:eastAsia="el-GR"/>
        </w:rPr>
        <w:t xml:space="preserve">οι </w:t>
      </w:r>
      <w:r w:rsidRPr="006D183F">
        <w:rPr>
          <w:color w:val="333333"/>
          <w:sz w:val="22"/>
          <w:szCs w:val="22"/>
          <w:lang w:val="el-GR" w:eastAsia="el-GR"/>
        </w:rPr>
        <w:t>σπασμο</w:t>
      </w:r>
      <w:r w:rsidR="00C74540" w:rsidRPr="00147539">
        <w:rPr>
          <w:color w:val="333333"/>
          <w:sz w:val="22"/>
          <w:szCs w:val="22"/>
          <w:lang w:val="el-GR" w:eastAsia="el-GR"/>
        </w:rPr>
        <w:t>ί</w:t>
      </w:r>
      <w:r w:rsidRPr="006D183F">
        <w:rPr>
          <w:color w:val="333333"/>
          <w:sz w:val="22"/>
          <w:szCs w:val="22"/>
          <w:lang w:val="el-GR" w:eastAsia="el-GR"/>
        </w:rPr>
        <w:t>,</w:t>
      </w:r>
      <w:r w:rsidR="00C74540" w:rsidRPr="00147539">
        <w:rPr>
          <w:color w:val="333333"/>
          <w:sz w:val="22"/>
          <w:szCs w:val="22"/>
          <w:lang w:val="el-GR" w:eastAsia="el-GR"/>
        </w:rPr>
        <w:t xml:space="preserve"> η</w:t>
      </w:r>
      <w:r w:rsidRPr="006D183F">
        <w:rPr>
          <w:color w:val="333333"/>
          <w:sz w:val="22"/>
          <w:szCs w:val="22"/>
          <w:lang w:val="el-GR" w:eastAsia="el-GR"/>
        </w:rPr>
        <w:t xml:space="preserve"> ζάλη και</w:t>
      </w:r>
      <w:r w:rsidR="00C74540" w:rsidRPr="00147539">
        <w:rPr>
          <w:color w:val="333333"/>
          <w:sz w:val="22"/>
          <w:szCs w:val="22"/>
          <w:lang w:val="el-GR" w:eastAsia="el-GR"/>
        </w:rPr>
        <w:t xml:space="preserve"> η</w:t>
      </w:r>
      <w:r w:rsidRPr="006D183F">
        <w:rPr>
          <w:color w:val="333333"/>
          <w:sz w:val="22"/>
          <w:szCs w:val="22"/>
          <w:lang w:val="el-GR" w:eastAsia="el-GR"/>
        </w:rPr>
        <w:t xml:space="preserve"> κοιλιακή αρρυθμία μπορεί να συμβ</w:t>
      </w:r>
      <w:r w:rsidR="00C74540" w:rsidRPr="00147539">
        <w:rPr>
          <w:color w:val="333333"/>
          <w:sz w:val="22"/>
          <w:szCs w:val="22"/>
          <w:lang w:val="el-GR" w:eastAsia="el-GR"/>
        </w:rPr>
        <w:t>ούν</w:t>
      </w:r>
      <w:r w:rsidRPr="006D183F">
        <w:rPr>
          <w:color w:val="333333"/>
          <w:sz w:val="22"/>
          <w:szCs w:val="22"/>
          <w:lang w:val="el-GR" w:eastAsia="el-GR"/>
        </w:rPr>
        <w:t xml:space="preserve">, αλλά </w:t>
      </w:r>
      <w:r w:rsidR="00C74540" w:rsidRPr="00147539">
        <w:rPr>
          <w:color w:val="333333"/>
          <w:sz w:val="22"/>
          <w:szCs w:val="22"/>
          <w:lang w:val="el-GR" w:eastAsia="el-GR"/>
        </w:rPr>
        <w:t>μπορεί να αρχίσουν</w:t>
      </w:r>
      <w:r w:rsidRPr="006D183F">
        <w:rPr>
          <w:color w:val="333333"/>
          <w:sz w:val="22"/>
          <w:szCs w:val="22"/>
          <w:lang w:val="el-GR" w:eastAsia="el-GR"/>
        </w:rPr>
        <w:t xml:space="preserve"> ύπουλα και </w:t>
      </w:r>
      <w:r w:rsidR="00C74540" w:rsidRPr="00147539">
        <w:rPr>
          <w:color w:val="333333"/>
          <w:sz w:val="22"/>
          <w:szCs w:val="22"/>
          <w:lang w:val="el-GR" w:eastAsia="el-GR"/>
        </w:rPr>
        <w:t>να αγνοηθούν</w:t>
      </w:r>
      <w:r w:rsidRPr="006D183F">
        <w:rPr>
          <w:color w:val="333333"/>
          <w:sz w:val="22"/>
          <w:szCs w:val="22"/>
          <w:lang w:val="el-GR" w:eastAsia="el-GR"/>
        </w:rPr>
        <w:t xml:space="preserve">. </w:t>
      </w:r>
      <w:r w:rsidR="00147539">
        <w:rPr>
          <w:color w:val="333333"/>
          <w:sz w:val="22"/>
          <w:szCs w:val="22"/>
          <w:lang w:val="el-GR" w:eastAsia="el-GR"/>
        </w:rPr>
        <w:t>Στους περισσότερους ασθενείς που επηρεάστηκαν</w:t>
      </w:r>
      <w:r w:rsidRPr="006D183F">
        <w:rPr>
          <w:color w:val="333333"/>
          <w:sz w:val="22"/>
          <w:szCs w:val="22"/>
          <w:lang w:val="el-GR" w:eastAsia="el-GR"/>
        </w:rPr>
        <w:t>,</w:t>
      </w:r>
      <w:r w:rsidR="00C74540" w:rsidRPr="00147539">
        <w:rPr>
          <w:color w:val="333333"/>
          <w:sz w:val="22"/>
          <w:szCs w:val="22"/>
          <w:lang w:val="el-GR" w:eastAsia="el-GR"/>
        </w:rPr>
        <w:t xml:space="preserve"> η</w:t>
      </w:r>
      <w:r w:rsidRPr="006D183F">
        <w:rPr>
          <w:color w:val="333333"/>
          <w:sz w:val="22"/>
          <w:szCs w:val="22"/>
          <w:lang w:val="el-GR" w:eastAsia="el-GR"/>
        </w:rPr>
        <w:t xml:space="preserve"> υπομαγνησιαιμία βελτιώθηκε μετά την αντικατάσταση του μαγνησίου και</w:t>
      </w:r>
      <w:r w:rsidR="00C74540" w:rsidRPr="00147539">
        <w:rPr>
          <w:color w:val="333333"/>
          <w:sz w:val="22"/>
          <w:szCs w:val="22"/>
          <w:lang w:val="el-GR" w:eastAsia="el-GR"/>
        </w:rPr>
        <w:t xml:space="preserve"> τη</w:t>
      </w:r>
      <w:r w:rsidRPr="006D183F">
        <w:rPr>
          <w:color w:val="333333"/>
          <w:sz w:val="22"/>
          <w:szCs w:val="22"/>
          <w:lang w:val="el-GR" w:eastAsia="el-GR"/>
        </w:rPr>
        <w:t xml:space="preserve"> διακοπή του αναστολέα</w:t>
      </w:r>
      <w:r w:rsidR="00C74540" w:rsidRPr="00147539">
        <w:rPr>
          <w:color w:val="333333"/>
          <w:sz w:val="22"/>
          <w:szCs w:val="22"/>
          <w:lang w:val="el-GR" w:eastAsia="el-GR"/>
        </w:rPr>
        <w:t xml:space="preserve"> της</w:t>
      </w:r>
      <w:r w:rsidRPr="006D183F">
        <w:rPr>
          <w:color w:val="333333"/>
          <w:sz w:val="22"/>
          <w:szCs w:val="22"/>
          <w:lang w:val="el-GR" w:eastAsia="el-GR"/>
        </w:rPr>
        <w:t xml:space="preserve"> αντλίας πρωτονίων. </w:t>
      </w:r>
    </w:p>
    <w:p w:rsidR="00C74540" w:rsidRPr="006D183F" w:rsidRDefault="00C45FCF" w:rsidP="006D183F">
      <w:pPr>
        <w:ind w:left="709"/>
        <w:textAlignment w:val="top"/>
        <w:rPr>
          <w:color w:val="888888"/>
          <w:sz w:val="22"/>
          <w:szCs w:val="22"/>
          <w:lang w:val="el-GR" w:eastAsia="el-GR"/>
        </w:rPr>
      </w:pPr>
      <w:r w:rsidRPr="006D183F">
        <w:rPr>
          <w:color w:val="333333"/>
          <w:sz w:val="22"/>
          <w:szCs w:val="22"/>
          <w:lang w:val="el-GR" w:eastAsia="el-GR"/>
        </w:rPr>
        <w:lastRenderedPageBreak/>
        <w:t xml:space="preserve">Για τους ασθενείς που αναμένεται να είναι σε παρατεταμένη θεραπεία ή που λαμβάνουν αναστολείς της αντλίας πρωτονίων με διγοξίνη ή </w:t>
      </w:r>
      <w:r w:rsidR="00A77C37" w:rsidRPr="000008C4">
        <w:rPr>
          <w:color w:val="333333"/>
          <w:sz w:val="22"/>
          <w:szCs w:val="22"/>
          <w:lang w:val="el-GR" w:eastAsia="el-GR"/>
        </w:rPr>
        <w:t xml:space="preserve">με </w:t>
      </w:r>
      <w:r w:rsidRPr="006D183F">
        <w:rPr>
          <w:color w:val="333333"/>
          <w:sz w:val="22"/>
          <w:szCs w:val="22"/>
          <w:lang w:val="el-GR" w:eastAsia="el-GR"/>
        </w:rPr>
        <w:t xml:space="preserve">φάρμακα που μπορεί να προκαλέσουν υπομαγνησιαιμία (π.χ. διουρητικά), </w:t>
      </w:r>
      <w:r w:rsidR="00C74540" w:rsidRPr="006D183F">
        <w:rPr>
          <w:color w:val="333333"/>
          <w:sz w:val="22"/>
          <w:szCs w:val="22"/>
          <w:lang w:val="el-GR" w:eastAsia="el-GR"/>
        </w:rPr>
        <w:t>οι επαγγελματίες υγείας πρέπει να εξετάσ</w:t>
      </w:r>
      <w:r w:rsidR="00A77C37" w:rsidRPr="00147539">
        <w:rPr>
          <w:color w:val="333333"/>
          <w:sz w:val="22"/>
          <w:szCs w:val="22"/>
          <w:lang w:val="el-GR" w:eastAsia="el-GR"/>
        </w:rPr>
        <w:t>ουν</w:t>
      </w:r>
      <w:r w:rsidR="00C74540" w:rsidRPr="006D183F">
        <w:rPr>
          <w:color w:val="333333"/>
          <w:sz w:val="22"/>
          <w:szCs w:val="22"/>
          <w:lang w:val="el-GR" w:eastAsia="el-GR"/>
        </w:rPr>
        <w:t xml:space="preserve"> τη μέτρηση των επιπέδων μαγνησίου πριν την έναρξη της θεραπείας </w:t>
      </w:r>
      <w:r w:rsidR="00A77C37" w:rsidRPr="00147539">
        <w:rPr>
          <w:color w:val="333333"/>
          <w:sz w:val="22"/>
          <w:szCs w:val="22"/>
          <w:lang w:val="el-GR" w:eastAsia="el-GR"/>
        </w:rPr>
        <w:t xml:space="preserve">με </w:t>
      </w:r>
      <w:r w:rsidR="00C74540" w:rsidRPr="006D183F">
        <w:rPr>
          <w:color w:val="333333"/>
          <w:sz w:val="22"/>
          <w:szCs w:val="22"/>
          <w:lang w:val="el-GR" w:eastAsia="el-GR"/>
        </w:rPr>
        <w:t>αναστολέα</w:t>
      </w:r>
      <w:r w:rsidR="00A77C37" w:rsidRPr="00147539">
        <w:rPr>
          <w:color w:val="333333"/>
          <w:sz w:val="22"/>
          <w:szCs w:val="22"/>
          <w:lang w:val="el-GR" w:eastAsia="el-GR"/>
        </w:rPr>
        <w:t xml:space="preserve"> της</w:t>
      </w:r>
      <w:r w:rsidR="00C74540" w:rsidRPr="006D183F">
        <w:rPr>
          <w:color w:val="333333"/>
          <w:sz w:val="22"/>
          <w:szCs w:val="22"/>
          <w:lang w:val="el-GR" w:eastAsia="el-GR"/>
        </w:rPr>
        <w:t xml:space="preserve"> αντλίας</w:t>
      </w:r>
      <w:r w:rsidR="00A77C37" w:rsidRPr="00147539">
        <w:rPr>
          <w:color w:val="333333"/>
          <w:sz w:val="22"/>
          <w:szCs w:val="22"/>
          <w:lang w:val="el-GR" w:eastAsia="el-GR"/>
        </w:rPr>
        <w:t xml:space="preserve"> πρωτονίων</w:t>
      </w:r>
      <w:r w:rsidR="00C74540" w:rsidRPr="006D183F">
        <w:rPr>
          <w:color w:val="333333"/>
          <w:sz w:val="22"/>
          <w:szCs w:val="22"/>
          <w:lang w:val="el-GR" w:eastAsia="el-GR"/>
        </w:rPr>
        <w:t xml:space="preserve"> και περιοδικά κατά τη διάρκεια της θεραπείας</w:t>
      </w:r>
      <w:r w:rsidR="00A77C37" w:rsidRPr="00147539">
        <w:rPr>
          <w:color w:val="333333"/>
          <w:sz w:val="22"/>
          <w:szCs w:val="22"/>
          <w:lang w:val="el-GR" w:eastAsia="el-GR"/>
        </w:rPr>
        <w:t>.</w:t>
      </w:r>
    </w:p>
    <w:p w:rsidR="004D0109" w:rsidRPr="006D183F" w:rsidRDefault="004D0109" w:rsidP="006D183F">
      <w:pPr>
        <w:rPr>
          <w:sz w:val="22"/>
          <w:szCs w:val="22"/>
          <w:lang w:val="el-GR"/>
        </w:rPr>
      </w:pPr>
    </w:p>
    <w:p w:rsidR="007B24CB" w:rsidRPr="000008C4" w:rsidRDefault="007B24CB" w:rsidP="006D183F">
      <w:pPr>
        <w:ind w:left="709" w:hanging="709"/>
        <w:rPr>
          <w:b/>
          <w:sz w:val="22"/>
          <w:szCs w:val="22"/>
          <w:lang w:val="el-GR"/>
        </w:rPr>
      </w:pPr>
      <w:r w:rsidRPr="000008C4">
        <w:rPr>
          <w:b/>
          <w:sz w:val="22"/>
          <w:szCs w:val="22"/>
          <w:lang w:val="el-GR"/>
        </w:rPr>
        <w:t>4.5</w:t>
      </w:r>
      <w:r w:rsidRPr="000008C4">
        <w:rPr>
          <w:b/>
          <w:sz w:val="22"/>
          <w:szCs w:val="22"/>
          <w:lang w:val="el-GR"/>
        </w:rPr>
        <w:tab/>
        <w:t xml:space="preserve">Αλληλεπιδράσεις με άλλα </w:t>
      </w:r>
      <w:r w:rsidR="00DA1018" w:rsidRPr="000008C4">
        <w:rPr>
          <w:b/>
          <w:sz w:val="22"/>
          <w:szCs w:val="22"/>
          <w:lang w:val="el-GR"/>
        </w:rPr>
        <w:t xml:space="preserve">φαρμακευτικά προϊόντα </w:t>
      </w:r>
      <w:r w:rsidRPr="000008C4">
        <w:rPr>
          <w:b/>
          <w:sz w:val="22"/>
          <w:szCs w:val="22"/>
          <w:lang w:val="el-GR"/>
        </w:rPr>
        <w:t>και άλλες μορφές αλληλεπίδρασης</w:t>
      </w:r>
    </w:p>
    <w:p w:rsidR="007B24CB" w:rsidRPr="000008C4" w:rsidRDefault="007B24CB" w:rsidP="00147539">
      <w:pPr>
        <w:ind w:left="720"/>
        <w:rPr>
          <w:sz w:val="22"/>
          <w:szCs w:val="22"/>
          <w:lang w:val="el-GR"/>
        </w:rPr>
      </w:pPr>
    </w:p>
    <w:p w:rsidR="0011036D" w:rsidRPr="006D183F" w:rsidRDefault="007B24CB" w:rsidP="00147539">
      <w:pPr>
        <w:ind w:left="720"/>
        <w:rPr>
          <w:sz w:val="22"/>
          <w:szCs w:val="22"/>
          <w:lang w:val="el-GR"/>
        </w:rPr>
      </w:pPr>
      <w:r w:rsidRPr="000008C4">
        <w:rPr>
          <w:sz w:val="22"/>
          <w:szCs w:val="22"/>
          <w:lang w:val="el-GR"/>
        </w:rPr>
        <w:t xml:space="preserve">Η νατριούχος ραμπεπραζόλη προκαλεί σημαντική και μακροχρόνια αναστολή των γαστρικών εκκρίσεων. Μπορεί να παρατηρηθεί μία αλληλεπίδραση με παράγοντες των οποίων η απορρόφηση εξαρτάται από το </w:t>
      </w:r>
      <w:r w:rsidRPr="000008C4">
        <w:rPr>
          <w:sz w:val="22"/>
          <w:szCs w:val="22"/>
        </w:rPr>
        <w:t>pH</w:t>
      </w:r>
      <w:r w:rsidRPr="000008C4">
        <w:rPr>
          <w:sz w:val="22"/>
          <w:szCs w:val="22"/>
          <w:lang w:val="el-GR"/>
        </w:rPr>
        <w:t>. Η συγχορήγηση νατριούχου ραμπεπραζόλης με κετοκοναζόλη ή ιτρακοναζόλη μπορεί να οδηγήσει σε σημαντική μείωση των επιπέδων των αντιμυκητιασικών παραγόντων</w:t>
      </w:r>
      <w:r w:rsidR="00607FC6" w:rsidRPr="000008C4">
        <w:rPr>
          <w:sz w:val="22"/>
          <w:szCs w:val="22"/>
          <w:lang w:val="el-GR"/>
        </w:rPr>
        <w:t xml:space="preserve"> </w:t>
      </w:r>
      <w:r w:rsidR="00607FC6" w:rsidRPr="00147539">
        <w:rPr>
          <w:sz w:val="22"/>
          <w:szCs w:val="22"/>
          <w:lang w:val="el-GR"/>
        </w:rPr>
        <w:t>στο πλάσμα</w:t>
      </w:r>
      <w:r w:rsidRPr="000008C4">
        <w:rPr>
          <w:sz w:val="22"/>
          <w:szCs w:val="22"/>
          <w:lang w:val="el-GR"/>
        </w:rPr>
        <w:t xml:space="preserve">.  Συνεπώς ορισμένοι ασθενείς μπορεί να χρειασθούν παρακολούθηση ώστε να καθοριστεί εάν είναι απαραίτητη μια προσαρμογή της </w:t>
      </w:r>
      <w:r w:rsidR="00D079F1" w:rsidRPr="000008C4">
        <w:rPr>
          <w:sz w:val="22"/>
          <w:szCs w:val="22"/>
          <w:lang w:val="el-GR"/>
        </w:rPr>
        <w:t xml:space="preserve"> </w:t>
      </w:r>
      <w:r w:rsidR="00D079F1" w:rsidRPr="00147539">
        <w:rPr>
          <w:sz w:val="22"/>
          <w:szCs w:val="22"/>
          <w:lang w:val="el-GR"/>
        </w:rPr>
        <w:t>δόσης</w:t>
      </w:r>
      <w:r w:rsidR="00D079F1" w:rsidRPr="000008C4">
        <w:rPr>
          <w:sz w:val="22"/>
          <w:szCs w:val="22"/>
          <w:lang w:val="el-GR"/>
        </w:rPr>
        <w:t xml:space="preserve"> </w:t>
      </w:r>
      <w:r w:rsidRPr="000008C4">
        <w:rPr>
          <w:sz w:val="22"/>
          <w:szCs w:val="22"/>
          <w:lang w:val="el-GR"/>
        </w:rPr>
        <w:t xml:space="preserve">τους, όταν ταυτόχρονα με το </w:t>
      </w:r>
      <w:r w:rsidRPr="000008C4">
        <w:rPr>
          <w:sz w:val="22"/>
          <w:szCs w:val="22"/>
        </w:rPr>
        <w:t>PARIET</w:t>
      </w:r>
      <w:r w:rsidRPr="000008C4">
        <w:rPr>
          <w:sz w:val="22"/>
          <w:szCs w:val="22"/>
          <w:lang w:val="el-GR"/>
        </w:rPr>
        <w:t xml:space="preserve"> λαμβάνονται κετοκοναζόλη ή ιτρακοναζόλη.</w:t>
      </w:r>
    </w:p>
    <w:p w:rsidR="0011036D" w:rsidRPr="006D183F" w:rsidRDefault="0011036D" w:rsidP="00147539">
      <w:pPr>
        <w:ind w:left="720"/>
        <w:rPr>
          <w:sz w:val="22"/>
          <w:szCs w:val="22"/>
          <w:lang w:val="el-GR"/>
        </w:rPr>
      </w:pPr>
    </w:p>
    <w:p w:rsidR="007B24CB" w:rsidRPr="006D183F" w:rsidRDefault="007B24CB" w:rsidP="00147539">
      <w:pPr>
        <w:ind w:left="720"/>
        <w:rPr>
          <w:sz w:val="22"/>
          <w:szCs w:val="22"/>
          <w:lang w:val="el-GR"/>
        </w:rPr>
      </w:pPr>
      <w:r w:rsidRPr="000008C4">
        <w:rPr>
          <w:sz w:val="22"/>
          <w:szCs w:val="22"/>
          <w:lang w:val="el-GR"/>
        </w:rPr>
        <w:t xml:space="preserve">Σε κλινικές </w:t>
      </w:r>
      <w:r w:rsidR="000A1806" w:rsidRPr="000008C4">
        <w:rPr>
          <w:sz w:val="22"/>
          <w:szCs w:val="22"/>
          <w:lang w:val="el-GR"/>
        </w:rPr>
        <w:t>δοκιμές</w:t>
      </w:r>
      <w:r w:rsidR="006D5FC2" w:rsidRPr="000008C4">
        <w:rPr>
          <w:sz w:val="22"/>
          <w:szCs w:val="22"/>
          <w:lang w:val="el-GR"/>
        </w:rPr>
        <w:t>,</w:t>
      </w:r>
      <w:r w:rsidR="000A1806" w:rsidRPr="000008C4">
        <w:rPr>
          <w:sz w:val="22"/>
          <w:szCs w:val="22"/>
          <w:lang w:val="el-GR"/>
        </w:rPr>
        <w:t xml:space="preserve"> </w:t>
      </w:r>
      <w:r w:rsidRPr="000008C4">
        <w:rPr>
          <w:sz w:val="22"/>
          <w:szCs w:val="22"/>
          <w:lang w:val="el-GR"/>
        </w:rPr>
        <w:t xml:space="preserve">τα αντιόξινα λαμβάνονταν ταυτόχρονα με </w:t>
      </w:r>
      <w:r w:rsidR="00BF14FE" w:rsidRPr="000008C4">
        <w:rPr>
          <w:sz w:val="22"/>
          <w:szCs w:val="22"/>
          <w:lang w:val="el-GR"/>
        </w:rPr>
        <w:t xml:space="preserve">τη χορήγηση </w:t>
      </w:r>
      <w:r w:rsidRPr="000008C4">
        <w:rPr>
          <w:sz w:val="22"/>
          <w:szCs w:val="22"/>
          <w:lang w:val="el-GR"/>
        </w:rPr>
        <w:t>το</w:t>
      </w:r>
      <w:r w:rsidR="00BF14FE" w:rsidRPr="000008C4">
        <w:rPr>
          <w:sz w:val="22"/>
          <w:szCs w:val="22"/>
          <w:lang w:val="el-GR"/>
        </w:rPr>
        <w:t>υ</w:t>
      </w:r>
      <w:r w:rsidRPr="000008C4">
        <w:rPr>
          <w:sz w:val="22"/>
          <w:szCs w:val="22"/>
          <w:lang w:val="el-GR"/>
        </w:rPr>
        <w:t xml:space="preserve"> </w:t>
      </w:r>
      <w:r w:rsidRPr="000008C4">
        <w:rPr>
          <w:sz w:val="22"/>
          <w:szCs w:val="22"/>
        </w:rPr>
        <w:t>PARIET</w:t>
      </w:r>
      <w:r w:rsidRPr="000008C4">
        <w:rPr>
          <w:sz w:val="22"/>
          <w:szCs w:val="22"/>
          <w:lang w:val="el-GR"/>
        </w:rPr>
        <w:t>και σε μία μελέτη η οποία είχε σχεδιαστεί ειδικά για τον καθορισμό αυτής της αλληλεπίδρασης, δεν παρατηρήθηκε καμία αλληλεπίδραση με αντιόξινα σε υγρή μορφή.</w:t>
      </w:r>
    </w:p>
    <w:p w:rsidR="007B24CB" w:rsidRPr="006D183F" w:rsidRDefault="007B24CB" w:rsidP="00147539">
      <w:pPr>
        <w:ind w:left="720"/>
        <w:rPr>
          <w:sz w:val="22"/>
          <w:szCs w:val="22"/>
          <w:lang w:val="el-GR"/>
        </w:rPr>
      </w:pPr>
    </w:p>
    <w:p w:rsidR="00F405FD" w:rsidRPr="006D183F" w:rsidRDefault="00F405FD" w:rsidP="00147539">
      <w:pPr>
        <w:ind w:left="720"/>
        <w:rPr>
          <w:rFonts w:eastAsia="MS Mincho"/>
          <w:color w:val="000000"/>
          <w:sz w:val="22"/>
          <w:szCs w:val="22"/>
          <w:lang w:val="el-GR" w:eastAsia="ja-JP"/>
        </w:rPr>
      </w:pPr>
      <w:r w:rsidRPr="000008C4">
        <w:rPr>
          <w:rFonts w:eastAsia="MS Mincho"/>
          <w:color w:val="000000"/>
          <w:sz w:val="22"/>
          <w:szCs w:val="22"/>
          <w:lang w:val="el-GR" w:eastAsia="ja-JP"/>
        </w:rPr>
        <w:t>Η συγχορήγηση</w:t>
      </w:r>
      <w:r w:rsidR="005E314A" w:rsidRPr="000008C4">
        <w:rPr>
          <w:rFonts w:eastAsia="MS Mincho"/>
          <w:color w:val="000000"/>
          <w:sz w:val="22"/>
          <w:szCs w:val="22"/>
          <w:lang w:val="el-GR" w:eastAsia="ja-JP"/>
        </w:rPr>
        <w:t xml:space="preserve"> </w:t>
      </w:r>
      <w:r w:rsidR="007A31FB" w:rsidRPr="006D183F">
        <w:rPr>
          <w:rFonts w:eastAsia="MS Mincho"/>
          <w:color w:val="000000"/>
          <w:sz w:val="22"/>
          <w:szCs w:val="22"/>
          <w:lang w:val="el-GR" w:eastAsia="ja-JP"/>
        </w:rPr>
        <w:t>300 mg</w:t>
      </w:r>
      <w:r w:rsidRPr="000008C4">
        <w:rPr>
          <w:rFonts w:eastAsia="MS Mincho"/>
          <w:color w:val="000000"/>
          <w:sz w:val="22"/>
          <w:szCs w:val="22"/>
          <w:lang w:val="el-GR" w:eastAsia="ja-JP"/>
        </w:rPr>
        <w:t xml:space="preserve"> αταζαναβίρης</w:t>
      </w:r>
      <w:r w:rsidR="007A31FB" w:rsidRPr="000008C4">
        <w:rPr>
          <w:rFonts w:eastAsia="MS Mincho"/>
          <w:color w:val="000000"/>
          <w:sz w:val="22"/>
          <w:szCs w:val="22"/>
          <w:lang w:val="el-GR" w:eastAsia="ja-JP"/>
        </w:rPr>
        <w:t>/</w:t>
      </w:r>
      <w:r w:rsidR="007A31FB" w:rsidRPr="006D183F">
        <w:rPr>
          <w:rFonts w:eastAsia="MS Mincho"/>
          <w:color w:val="000000"/>
          <w:sz w:val="22"/>
          <w:szCs w:val="22"/>
          <w:lang w:val="el-GR" w:eastAsia="ja-JP"/>
        </w:rPr>
        <w:t>100 mg ριτοναβίρης</w:t>
      </w:r>
      <w:r w:rsidR="00636D16" w:rsidRPr="000008C4">
        <w:rPr>
          <w:rFonts w:eastAsia="MS Mincho"/>
          <w:color w:val="000000"/>
          <w:sz w:val="22"/>
          <w:szCs w:val="22"/>
          <w:lang w:val="el-GR" w:eastAsia="ja-JP"/>
        </w:rPr>
        <w:t xml:space="preserve"> με </w:t>
      </w:r>
      <w:r w:rsidR="005475A5" w:rsidRPr="006D183F">
        <w:rPr>
          <w:color w:val="000000"/>
          <w:sz w:val="22"/>
          <w:szCs w:val="22"/>
          <w:lang w:val="el-GR"/>
        </w:rPr>
        <w:t xml:space="preserve">ομεπραζόλη </w:t>
      </w:r>
      <w:r w:rsidR="00E93522" w:rsidRPr="006D183F">
        <w:rPr>
          <w:rFonts w:eastAsia="MS Mincho"/>
          <w:color w:val="000000"/>
          <w:sz w:val="22"/>
          <w:szCs w:val="22"/>
          <w:lang w:val="el-GR" w:eastAsia="ja-JP"/>
        </w:rPr>
        <w:t>(40 mg μια φορά την ημέρα)</w:t>
      </w:r>
      <w:r w:rsidR="005E314A" w:rsidRPr="000008C4">
        <w:rPr>
          <w:rFonts w:eastAsia="MS Mincho"/>
          <w:color w:val="000000"/>
          <w:sz w:val="22"/>
          <w:szCs w:val="22"/>
          <w:lang w:val="el-GR" w:eastAsia="ja-JP"/>
        </w:rPr>
        <w:t xml:space="preserve"> ή 400</w:t>
      </w:r>
      <w:r w:rsidR="005E314A" w:rsidRPr="006D183F">
        <w:rPr>
          <w:rFonts w:eastAsia="MS Mincho"/>
          <w:color w:val="000000"/>
          <w:sz w:val="22"/>
          <w:szCs w:val="22"/>
          <w:lang w:val="el-GR" w:eastAsia="ja-JP"/>
        </w:rPr>
        <w:t> mg</w:t>
      </w:r>
      <w:r w:rsidR="005E314A" w:rsidRPr="000008C4">
        <w:rPr>
          <w:rFonts w:eastAsia="MS Mincho"/>
          <w:color w:val="000000"/>
          <w:sz w:val="22"/>
          <w:szCs w:val="22"/>
          <w:lang w:val="el-GR" w:eastAsia="ja-JP"/>
        </w:rPr>
        <w:t xml:space="preserve"> αταζαναβίρης με </w:t>
      </w:r>
      <w:r w:rsidR="00B53659" w:rsidRPr="000008C4">
        <w:rPr>
          <w:rFonts w:eastAsia="MS Mincho"/>
          <w:color w:val="000000"/>
          <w:sz w:val="22"/>
          <w:szCs w:val="22"/>
          <w:lang w:val="el-GR" w:eastAsia="ja-JP"/>
        </w:rPr>
        <w:t>λανσοπραζόλη (60</w:t>
      </w:r>
      <w:r w:rsidR="00B53659" w:rsidRPr="006D183F">
        <w:rPr>
          <w:rFonts w:eastAsia="MS Mincho"/>
          <w:color w:val="000000"/>
          <w:sz w:val="22"/>
          <w:szCs w:val="22"/>
          <w:lang w:val="el-GR" w:eastAsia="ja-JP"/>
        </w:rPr>
        <w:t> mg</w:t>
      </w:r>
      <w:r w:rsidR="00B53659" w:rsidRPr="000008C4">
        <w:rPr>
          <w:rFonts w:eastAsia="MS Mincho"/>
          <w:color w:val="000000"/>
          <w:sz w:val="22"/>
          <w:szCs w:val="22"/>
          <w:lang w:val="el-GR" w:eastAsia="ja-JP"/>
        </w:rPr>
        <w:t xml:space="preserve"> μια φορά την ημέρα) σε </w:t>
      </w:r>
      <w:r w:rsidR="000F2786" w:rsidRPr="000008C4">
        <w:rPr>
          <w:rFonts w:eastAsia="MS Mincho"/>
          <w:color w:val="000000"/>
          <w:sz w:val="22"/>
          <w:szCs w:val="22"/>
          <w:lang w:val="el-GR" w:eastAsia="ja-JP"/>
        </w:rPr>
        <w:t xml:space="preserve">υγιείς εθελοντές </w:t>
      </w:r>
      <w:r w:rsidR="00CD3734" w:rsidRPr="000008C4">
        <w:rPr>
          <w:rFonts w:eastAsia="MS Mincho"/>
          <w:color w:val="000000"/>
          <w:sz w:val="22"/>
          <w:szCs w:val="22"/>
          <w:lang w:val="el-GR" w:eastAsia="ja-JP"/>
        </w:rPr>
        <w:t>είχε ως αποτέλεσμα</w:t>
      </w:r>
      <w:r w:rsidR="00BB3866" w:rsidRPr="000008C4">
        <w:rPr>
          <w:rFonts w:eastAsia="MS Mincho"/>
          <w:color w:val="000000"/>
          <w:sz w:val="22"/>
          <w:szCs w:val="22"/>
          <w:lang w:val="el-GR" w:eastAsia="ja-JP"/>
        </w:rPr>
        <w:t xml:space="preserve"> μια</w:t>
      </w:r>
      <w:r w:rsidR="00CD3734" w:rsidRPr="000008C4">
        <w:rPr>
          <w:rFonts w:eastAsia="MS Mincho"/>
          <w:color w:val="000000"/>
          <w:sz w:val="22"/>
          <w:szCs w:val="22"/>
          <w:lang w:val="el-GR" w:eastAsia="ja-JP"/>
        </w:rPr>
        <w:t xml:space="preserve"> σημαντική </w:t>
      </w:r>
      <w:r w:rsidR="00FB4F13" w:rsidRPr="000008C4">
        <w:rPr>
          <w:rFonts w:eastAsia="MS Mincho"/>
          <w:color w:val="000000"/>
          <w:sz w:val="22"/>
          <w:szCs w:val="22"/>
          <w:lang w:val="el-GR" w:eastAsia="ja-JP"/>
        </w:rPr>
        <w:t xml:space="preserve">μείωση </w:t>
      </w:r>
      <w:r w:rsidR="005414F3" w:rsidRPr="000008C4">
        <w:rPr>
          <w:rFonts w:eastAsia="MS Mincho"/>
          <w:color w:val="000000"/>
          <w:sz w:val="22"/>
          <w:szCs w:val="22"/>
          <w:lang w:val="el-GR" w:eastAsia="ja-JP"/>
        </w:rPr>
        <w:t>της</w:t>
      </w:r>
      <w:r w:rsidR="00FB4F13" w:rsidRPr="000008C4">
        <w:rPr>
          <w:rFonts w:eastAsia="MS Mincho"/>
          <w:color w:val="000000"/>
          <w:sz w:val="22"/>
          <w:szCs w:val="22"/>
          <w:lang w:val="el-GR" w:eastAsia="ja-JP"/>
        </w:rPr>
        <w:t xml:space="preserve"> έκθεση</w:t>
      </w:r>
      <w:r w:rsidR="005414F3" w:rsidRPr="000008C4">
        <w:rPr>
          <w:rFonts w:eastAsia="MS Mincho"/>
          <w:color w:val="000000"/>
          <w:sz w:val="22"/>
          <w:szCs w:val="22"/>
          <w:lang w:val="el-GR" w:eastAsia="ja-JP"/>
        </w:rPr>
        <w:t>ς</w:t>
      </w:r>
      <w:r w:rsidR="00FB4F13" w:rsidRPr="000008C4">
        <w:rPr>
          <w:rFonts w:eastAsia="MS Mincho"/>
          <w:color w:val="000000"/>
          <w:sz w:val="22"/>
          <w:szCs w:val="22"/>
          <w:lang w:val="el-GR" w:eastAsia="ja-JP"/>
        </w:rPr>
        <w:t xml:space="preserve"> στην αταζαναβίρη.</w:t>
      </w:r>
      <w:r w:rsidR="00BB3866" w:rsidRPr="000008C4">
        <w:rPr>
          <w:rFonts w:eastAsia="MS Mincho"/>
          <w:color w:val="000000"/>
          <w:sz w:val="22"/>
          <w:szCs w:val="22"/>
          <w:lang w:val="el-GR" w:eastAsia="ja-JP"/>
        </w:rPr>
        <w:t xml:space="preserve"> </w:t>
      </w:r>
      <w:r w:rsidR="006B116D" w:rsidRPr="000008C4">
        <w:rPr>
          <w:rFonts w:eastAsia="MS Mincho"/>
          <w:color w:val="000000"/>
          <w:sz w:val="22"/>
          <w:szCs w:val="22"/>
          <w:lang w:val="el-GR" w:eastAsia="ja-JP"/>
        </w:rPr>
        <w:t xml:space="preserve">Η </w:t>
      </w:r>
      <w:r w:rsidR="00116A98" w:rsidRPr="000008C4">
        <w:rPr>
          <w:rFonts w:eastAsia="MS Mincho"/>
          <w:color w:val="000000"/>
          <w:sz w:val="22"/>
          <w:szCs w:val="22"/>
          <w:lang w:val="el-GR" w:eastAsia="ja-JP"/>
        </w:rPr>
        <w:t xml:space="preserve">απορρόφηση της αταζαναβίρης είναι εξαρτώμενη από το </w:t>
      </w:r>
      <w:r w:rsidR="00116A98" w:rsidRPr="006D183F">
        <w:rPr>
          <w:rFonts w:eastAsia="MS Mincho"/>
          <w:color w:val="000000"/>
          <w:sz w:val="22"/>
          <w:szCs w:val="22"/>
          <w:lang w:eastAsia="ja-JP"/>
        </w:rPr>
        <w:t>pH</w:t>
      </w:r>
      <w:r w:rsidR="00116A98" w:rsidRPr="000008C4">
        <w:rPr>
          <w:rFonts w:eastAsia="MS Mincho"/>
          <w:color w:val="000000"/>
          <w:sz w:val="22"/>
          <w:szCs w:val="22"/>
          <w:lang w:val="el-GR" w:eastAsia="ja-JP"/>
        </w:rPr>
        <w:t>.</w:t>
      </w:r>
      <w:r w:rsidR="00AC704E" w:rsidRPr="000008C4">
        <w:rPr>
          <w:rFonts w:eastAsia="MS Mincho"/>
          <w:color w:val="000000"/>
          <w:sz w:val="22"/>
          <w:szCs w:val="22"/>
          <w:lang w:val="el-GR" w:eastAsia="ja-JP"/>
        </w:rPr>
        <w:t xml:space="preserve"> </w:t>
      </w:r>
      <w:r w:rsidR="000968B3" w:rsidRPr="000008C4">
        <w:rPr>
          <w:rFonts w:eastAsia="MS Mincho"/>
          <w:color w:val="000000"/>
          <w:sz w:val="22"/>
          <w:szCs w:val="22"/>
          <w:lang w:val="el-GR" w:eastAsia="ja-JP"/>
        </w:rPr>
        <w:t>Παρόλο που δεν έχουν μελετηθεί, παρόμοια αποτελέσματα αναμένονται</w:t>
      </w:r>
      <w:r w:rsidR="00025501" w:rsidRPr="000008C4">
        <w:rPr>
          <w:rFonts w:eastAsia="MS Mincho"/>
          <w:color w:val="000000"/>
          <w:sz w:val="22"/>
          <w:szCs w:val="22"/>
          <w:lang w:val="el-GR" w:eastAsia="ja-JP"/>
        </w:rPr>
        <w:t xml:space="preserve"> και</w:t>
      </w:r>
      <w:r w:rsidR="000968B3" w:rsidRPr="000008C4">
        <w:rPr>
          <w:rFonts w:eastAsia="MS Mincho"/>
          <w:color w:val="000000"/>
          <w:sz w:val="22"/>
          <w:szCs w:val="22"/>
          <w:lang w:val="el-GR" w:eastAsia="ja-JP"/>
        </w:rPr>
        <w:t xml:space="preserve"> με άλλους </w:t>
      </w:r>
      <w:r w:rsidR="002F096E" w:rsidRPr="000008C4">
        <w:rPr>
          <w:sz w:val="22"/>
          <w:szCs w:val="22"/>
          <w:lang w:val="el-GR"/>
        </w:rPr>
        <w:t xml:space="preserve">αναστολείς της αντλίας πρωτονίων. Συνεπώς, </w:t>
      </w:r>
      <w:r w:rsidR="00E7190B" w:rsidRPr="000008C4">
        <w:rPr>
          <w:sz w:val="22"/>
          <w:szCs w:val="22"/>
          <w:lang w:val="el-GR"/>
        </w:rPr>
        <w:t>οι αναστολείς της αντλίας πρωτονίων</w:t>
      </w:r>
      <w:r w:rsidR="00E7190B" w:rsidRPr="006D183F">
        <w:rPr>
          <w:rFonts w:eastAsia="MS Mincho"/>
          <w:color w:val="000000"/>
          <w:sz w:val="22"/>
          <w:szCs w:val="22"/>
          <w:lang w:val="el-GR" w:eastAsia="ja-JP"/>
        </w:rPr>
        <w:t xml:space="preserve"> (</w:t>
      </w:r>
      <w:r w:rsidR="00E7190B" w:rsidRPr="006D183F">
        <w:rPr>
          <w:rFonts w:eastAsia="MS Mincho"/>
          <w:color w:val="000000"/>
          <w:sz w:val="22"/>
          <w:szCs w:val="22"/>
          <w:lang w:eastAsia="ja-JP"/>
        </w:rPr>
        <w:t>PPIs</w:t>
      </w:r>
      <w:r w:rsidR="00E7190B" w:rsidRPr="000008C4">
        <w:rPr>
          <w:rFonts w:eastAsia="MS Mincho"/>
          <w:color w:val="000000"/>
          <w:sz w:val="22"/>
          <w:szCs w:val="22"/>
          <w:lang w:val="el-GR" w:eastAsia="ja-JP"/>
        </w:rPr>
        <w:t xml:space="preserve">), </w:t>
      </w:r>
      <w:r w:rsidR="001703BF" w:rsidRPr="000008C4">
        <w:rPr>
          <w:sz w:val="22"/>
          <w:szCs w:val="22"/>
          <w:lang w:val="el-GR"/>
        </w:rPr>
        <w:t xml:space="preserve">συμπεριλαμβανομένης της </w:t>
      </w:r>
      <w:r w:rsidR="00B409B9" w:rsidRPr="000008C4">
        <w:rPr>
          <w:sz w:val="22"/>
          <w:szCs w:val="22"/>
          <w:lang w:val="el-GR"/>
        </w:rPr>
        <w:t xml:space="preserve">ραμπεπραζόλης, δεν πρέπει να συγχορηγούνται με </w:t>
      </w:r>
      <w:r w:rsidR="00B409B9" w:rsidRPr="000008C4">
        <w:rPr>
          <w:rFonts w:eastAsia="MS Mincho"/>
          <w:color w:val="000000"/>
          <w:sz w:val="22"/>
          <w:szCs w:val="22"/>
          <w:lang w:val="el-GR" w:eastAsia="ja-JP"/>
        </w:rPr>
        <w:t>αταζαναβίρη (βλέπε παράγραφο 4.4).</w:t>
      </w:r>
    </w:p>
    <w:p w:rsidR="000F400A" w:rsidRPr="006D183F" w:rsidRDefault="000F400A" w:rsidP="00147539">
      <w:pPr>
        <w:ind w:left="720"/>
        <w:rPr>
          <w:sz w:val="22"/>
          <w:szCs w:val="22"/>
          <w:lang w:val="el-GR"/>
        </w:rPr>
      </w:pPr>
    </w:p>
    <w:p w:rsidR="007B24CB" w:rsidRPr="000008C4" w:rsidRDefault="007B24CB" w:rsidP="00147539">
      <w:pPr>
        <w:rPr>
          <w:b/>
          <w:sz w:val="22"/>
          <w:szCs w:val="22"/>
          <w:lang w:val="el-GR"/>
        </w:rPr>
      </w:pPr>
      <w:r w:rsidRPr="000008C4">
        <w:rPr>
          <w:b/>
          <w:sz w:val="22"/>
          <w:szCs w:val="22"/>
          <w:lang w:val="el-GR"/>
        </w:rPr>
        <w:t>4.6</w:t>
      </w:r>
      <w:r w:rsidRPr="000008C4">
        <w:rPr>
          <w:b/>
          <w:sz w:val="22"/>
          <w:szCs w:val="22"/>
          <w:lang w:val="el-GR"/>
        </w:rPr>
        <w:tab/>
        <w:t>Κύηση και γαλουχία</w:t>
      </w:r>
    </w:p>
    <w:p w:rsidR="007B24CB" w:rsidRPr="000008C4" w:rsidRDefault="007B24CB" w:rsidP="00147539">
      <w:pPr>
        <w:pStyle w:val="2"/>
        <w:ind w:left="720"/>
        <w:jc w:val="left"/>
        <w:rPr>
          <w:i/>
          <w:sz w:val="22"/>
          <w:szCs w:val="22"/>
        </w:rPr>
      </w:pPr>
    </w:p>
    <w:p w:rsidR="007B24CB" w:rsidRPr="006D183F" w:rsidRDefault="000245BF" w:rsidP="00147539">
      <w:pPr>
        <w:pStyle w:val="2"/>
        <w:ind w:left="720"/>
        <w:jc w:val="left"/>
        <w:rPr>
          <w:b w:val="0"/>
          <w:sz w:val="22"/>
          <w:szCs w:val="22"/>
        </w:rPr>
      </w:pPr>
      <w:r>
        <w:rPr>
          <w:b w:val="0"/>
          <w:sz w:val="22"/>
          <w:szCs w:val="22"/>
        </w:rPr>
        <w:t>Εγκυμοσύνη</w:t>
      </w:r>
      <w:r w:rsidR="00BA760C" w:rsidRPr="006D183F">
        <w:rPr>
          <w:b w:val="0"/>
          <w:sz w:val="22"/>
          <w:szCs w:val="22"/>
        </w:rPr>
        <w:t>:</w:t>
      </w:r>
    </w:p>
    <w:p w:rsidR="007B24CB" w:rsidRPr="000008C4" w:rsidRDefault="007B24CB" w:rsidP="00147539">
      <w:pPr>
        <w:ind w:left="720"/>
        <w:rPr>
          <w:sz w:val="22"/>
          <w:szCs w:val="22"/>
          <w:lang w:val="el-GR"/>
        </w:rPr>
      </w:pPr>
      <w:r w:rsidRPr="000008C4">
        <w:rPr>
          <w:sz w:val="22"/>
          <w:szCs w:val="22"/>
          <w:lang w:val="el-GR"/>
        </w:rPr>
        <w:t xml:space="preserve">Δεν υπάρχουν </w:t>
      </w:r>
      <w:r w:rsidR="00353BF9" w:rsidRPr="000008C4">
        <w:rPr>
          <w:sz w:val="22"/>
          <w:szCs w:val="22"/>
          <w:lang w:val="el-GR"/>
        </w:rPr>
        <w:t xml:space="preserve">δεδομένα </w:t>
      </w:r>
      <w:r w:rsidRPr="000008C4">
        <w:rPr>
          <w:sz w:val="22"/>
          <w:szCs w:val="22"/>
          <w:lang w:val="el-GR"/>
        </w:rPr>
        <w:t>για την ασφάλεια της ραμπεπραζόλης κατά την κύηση στον άνθρωπο.</w:t>
      </w:r>
    </w:p>
    <w:p w:rsidR="007B24CB" w:rsidRPr="000008C4" w:rsidRDefault="007B24CB" w:rsidP="00147539">
      <w:pPr>
        <w:ind w:left="720"/>
        <w:rPr>
          <w:sz w:val="22"/>
          <w:szCs w:val="22"/>
          <w:lang w:val="el-GR"/>
        </w:rPr>
      </w:pPr>
      <w:r w:rsidRPr="000008C4">
        <w:rPr>
          <w:sz w:val="22"/>
          <w:szCs w:val="22"/>
          <w:lang w:val="el-GR"/>
        </w:rPr>
        <w:t xml:space="preserve">Μελέτες αναπαραγωγής οι οποίες πραγματοποιήθηκαν σε αρουραίους και κουνέλια δεν έχουν αποκαλύψει καμία ένδειξη διαταραχής της γονιμότητας ή βλάβης στο έμβρυο από τη νατριούχο ραμπεπραζόλη, αν και </w:t>
      </w:r>
      <w:r w:rsidR="00162DAE" w:rsidRPr="000008C4">
        <w:rPr>
          <w:sz w:val="22"/>
          <w:szCs w:val="22"/>
          <w:lang w:val="el-GR"/>
        </w:rPr>
        <w:t xml:space="preserve">στους αρουραίους παρατηρείται </w:t>
      </w:r>
      <w:r w:rsidR="00D42597" w:rsidRPr="000008C4">
        <w:rPr>
          <w:sz w:val="22"/>
          <w:szCs w:val="22"/>
          <w:lang w:val="el-GR"/>
        </w:rPr>
        <w:t xml:space="preserve">μικρή </w:t>
      </w:r>
      <w:r w:rsidRPr="000008C4">
        <w:rPr>
          <w:sz w:val="22"/>
          <w:szCs w:val="22"/>
          <w:lang w:val="el-GR"/>
        </w:rPr>
        <w:t>μεταφορά μεταξύ πλακούντ</w:t>
      </w:r>
      <w:r w:rsidR="00494321">
        <w:rPr>
          <w:sz w:val="22"/>
          <w:szCs w:val="22"/>
          <w:lang w:val="el-GR"/>
        </w:rPr>
        <w:t>α</w:t>
      </w:r>
      <w:r w:rsidRPr="000008C4">
        <w:rPr>
          <w:sz w:val="22"/>
          <w:szCs w:val="22"/>
          <w:lang w:val="el-GR"/>
        </w:rPr>
        <w:t xml:space="preserve"> και εμβρύου. Το </w:t>
      </w:r>
      <w:r w:rsidRPr="000008C4">
        <w:rPr>
          <w:sz w:val="22"/>
          <w:szCs w:val="22"/>
        </w:rPr>
        <w:t>PARIET</w:t>
      </w:r>
      <w:r w:rsidRPr="000008C4">
        <w:rPr>
          <w:sz w:val="22"/>
          <w:szCs w:val="22"/>
          <w:lang w:val="el-GR"/>
        </w:rPr>
        <w:t xml:space="preserve"> αντενδείκνυται κατά τη διάρκεια της κύησης.</w:t>
      </w:r>
    </w:p>
    <w:p w:rsidR="007B24CB" w:rsidRPr="006D183F" w:rsidRDefault="007B24CB" w:rsidP="00147539">
      <w:pPr>
        <w:ind w:left="720"/>
        <w:rPr>
          <w:sz w:val="22"/>
          <w:szCs w:val="22"/>
          <w:lang w:val="el-GR"/>
        </w:rPr>
      </w:pPr>
    </w:p>
    <w:p w:rsidR="007B24CB" w:rsidRPr="006D183F" w:rsidRDefault="000245BF" w:rsidP="00147539">
      <w:pPr>
        <w:ind w:left="720"/>
        <w:rPr>
          <w:sz w:val="22"/>
          <w:szCs w:val="22"/>
          <w:lang w:val="el-GR"/>
        </w:rPr>
      </w:pPr>
      <w:r>
        <w:rPr>
          <w:sz w:val="22"/>
          <w:szCs w:val="22"/>
          <w:lang w:val="el-GR"/>
        </w:rPr>
        <w:t>Θηλασμός</w:t>
      </w:r>
      <w:r w:rsidR="00BA760C" w:rsidRPr="006D183F">
        <w:rPr>
          <w:sz w:val="22"/>
          <w:szCs w:val="22"/>
          <w:lang w:val="el-GR"/>
        </w:rPr>
        <w:t>:</w:t>
      </w:r>
    </w:p>
    <w:p w:rsidR="007B24CB" w:rsidRPr="000008C4" w:rsidRDefault="007B24CB" w:rsidP="00147539">
      <w:pPr>
        <w:ind w:left="720"/>
        <w:rPr>
          <w:sz w:val="22"/>
          <w:szCs w:val="22"/>
          <w:lang w:val="el-GR"/>
        </w:rPr>
      </w:pPr>
      <w:r w:rsidRPr="000008C4">
        <w:rPr>
          <w:sz w:val="22"/>
          <w:szCs w:val="22"/>
          <w:lang w:val="el-GR"/>
        </w:rPr>
        <w:t xml:space="preserve">Δεν είναι γνωστό εάν η νατριούχος ραμπεπραζόλη εκκρίνεται στο </w:t>
      </w:r>
      <w:r w:rsidR="00BF69B9">
        <w:rPr>
          <w:sz w:val="22"/>
          <w:szCs w:val="22"/>
          <w:lang w:val="el-GR"/>
        </w:rPr>
        <w:t xml:space="preserve">ανθρώπινο </w:t>
      </w:r>
      <w:r w:rsidRPr="000008C4">
        <w:rPr>
          <w:sz w:val="22"/>
          <w:szCs w:val="22"/>
          <w:lang w:val="el-GR"/>
        </w:rPr>
        <w:t xml:space="preserve">μητρικό γάλα. Δεν έχουν πραγματοποιηθεί μελέτες σε μητέρες κατά τη διάρκεια της γαλουχίας. Η νατριούχος ραμπεπραζόλη όμως, ανιχνεύεται σε εκκρίσεις των μαζικών αδένων των αρουραίων. Για το λόγο αυτό το </w:t>
      </w:r>
      <w:r w:rsidRPr="000008C4">
        <w:rPr>
          <w:sz w:val="22"/>
          <w:szCs w:val="22"/>
        </w:rPr>
        <w:t>PARIET</w:t>
      </w:r>
      <w:r w:rsidRPr="000008C4">
        <w:rPr>
          <w:sz w:val="22"/>
          <w:szCs w:val="22"/>
          <w:lang w:val="el-GR"/>
        </w:rPr>
        <w:t xml:space="preserve"> δε</w:t>
      </w:r>
      <w:r w:rsidR="00635FD5" w:rsidRPr="000008C4">
        <w:rPr>
          <w:sz w:val="22"/>
          <w:szCs w:val="22"/>
          <w:lang w:val="el-GR"/>
        </w:rPr>
        <w:t>ν</w:t>
      </w:r>
      <w:r w:rsidRPr="000008C4">
        <w:rPr>
          <w:sz w:val="22"/>
          <w:szCs w:val="22"/>
          <w:lang w:val="el-GR"/>
        </w:rPr>
        <w:t xml:space="preserve"> πρέπει να χορηγείται κατά τη διάρκεια </w:t>
      </w:r>
      <w:r w:rsidR="000245BF">
        <w:rPr>
          <w:sz w:val="22"/>
          <w:szCs w:val="22"/>
          <w:lang w:val="el-GR"/>
        </w:rPr>
        <w:t>του θηλασμού</w:t>
      </w:r>
      <w:r w:rsidRPr="000008C4">
        <w:rPr>
          <w:sz w:val="22"/>
          <w:szCs w:val="22"/>
          <w:lang w:val="el-GR"/>
        </w:rPr>
        <w:t>.</w:t>
      </w:r>
    </w:p>
    <w:p w:rsidR="007B24CB" w:rsidRPr="000008C4" w:rsidRDefault="007B24CB" w:rsidP="00147539">
      <w:pPr>
        <w:ind w:left="720"/>
        <w:rPr>
          <w:sz w:val="22"/>
          <w:szCs w:val="22"/>
          <w:lang w:val="el-GR"/>
        </w:rPr>
      </w:pPr>
    </w:p>
    <w:p w:rsidR="007B24CB" w:rsidRPr="000008C4" w:rsidRDefault="007B24CB" w:rsidP="00147539">
      <w:pPr>
        <w:rPr>
          <w:b/>
          <w:sz w:val="22"/>
          <w:szCs w:val="22"/>
          <w:lang w:val="el-GR"/>
        </w:rPr>
      </w:pPr>
      <w:r w:rsidRPr="000008C4">
        <w:rPr>
          <w:b/>
          <w:sz w:val="22"/>
          <w:szCs w:val="22"/>
          <w:lang w:val="el-GR"/>
        </w:rPr>
        <w:t>4.7</w:t>
      </w:r>
      <w:r w:rsidRPr="000008C4">
        <w:rPr>
          <w:b/>
          <w:sz w:val="22"/>
          <w:szCs w:val="22"/>
          <w:lang w:val="el-GR"/>
        </w:rPr>
        <w:tab/>
        <w:t xml:space="preserve">Επίδραση στην ικανότητα οδήγησης και χειρισμού </w:t>
      </w:r>
      <w:r w:rsidR="009B49A4" w:rsidRPr="006D183F">
        <w:rPr>
          <w:b/>
          <w:sz w:val="22"/>
          <w:szCs w:val="22"/>
          <w:lang w:val="el-GR"/>
        </w:rPr>
        <w:t>μηχανών</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0008C4">
        <w:rPr>
          <w:sz w:val="22"/>
          <w:szCs w:val="22"/>
          <w:lang w:val="el-GR"/>
        </w:rPr>
        <w:t xml:space="preserve">Βάσει των φαρμακοδυναμικών ιδιοτήτων και του </w:t>
      </w:r>
      <w:r w:rsidR="00525EF4" w:rsidRPr="000008C4">
        <w:rPr>
          <w:sz w:val="22"/>
          <w:szCs w:val="22"/>
          <w:lang w:val="el-GR"/>
        </w:rPr>
        <w:t xml:space="preserve">προφίλ </w:t>
      </w:r>
      <w:r w:rsidRPr="000008C4">
        <w:rPr>
          <w:sz w:val="22"/>
          <w:szCs w:val="22"/>
          <w:lang w:val="el-GR"/>
        </w:rPr>
        <w:t xml:space="preserve">των ανεπιθύμητων ενεργειών, δεν είναι πιθανό το </w:t>
      </w:r>
      <w:r w:rsidRPr="000008C4">
        <w:rPr>
          <w:sz w:val="22"/>
          <w:szCs w:val="22"/>
        </w:rPr>
        <w:t>PARIET</w:t>
      </w:r>
      <w:r w:rsidRPr="000008C4">
        <w:rPr>
          <w:sz w:val="22"/>
          <w:szCs w:val="22"/>
          <w:lang w:val="el-GR"/>
        </w:rPr>
        <w:t xml:space="preserve"> να επηρεάσει την ικανότητα οδήγησης ή την ικανότητα χειρισμού </w:t>
      </w:r>
      <w:r w:rsidR="009128B2">
        <w:rPr>
          <w:sz w:val="22"/>
          <w:szCs w:val="22"/>
          <w:lang w:val="el-GR"/>
        </w:rPr>
        <w:t>μηχανών</w:t>
      </w:r>
      <w:r w:rsidRPr="000008C4">
        <w:rPr>
          <w:sz w:val="22"/>
          <w:szCs w:val="22"/>
          <w:lang w:val="el-GR"/>
        </w:rPr>
        <w:t xml:space="preserve">. Εάν όμως διαταραχθεί η εγρήγορση λόγω υπνηλίας, συνιστάται η αποφυγή της οδήγησης και του χειρισμού περίπλοκων </w:t>
      </w:r>
      <w:r w:rsidR="009128B2">
        <w:rPr>
          <w:sz w:val="22"/>
          <w:szCs w:val="22"/>
          <w:lang w:val="el-GR"/>
        </w:rPr>
        <w:t>μηχανών</w:t>
      </w:r>
      <w:r w:rsidRPr="000008C4">
        <w:rPr>
          <w:sz w:val="22"/>
          <w:szCs w:val="22"/>
          <w:lang w:val="el-GR"/>
        </w:rPr>
        <w:t>.</w:t>
      </w:r>
    </w:p>
    <w:p w:rsidR="007B24CB" w:rsidRPr="006D183F" w:rsidRDefault="007B24CB" w:rsidP="00147539">
      <w:pPr>
        <w:ind w:left="720"/>
        <w:rPr>
          <w:sz w:val="22"/>
          <w:szCs w:val="22"/>
          <w:lang w:val="el-GR"/>
        </w:rPr>
      </w:pPr>
    </w:p>
    <w:p w:rsidR="007B24CB" w:rsidRPr="000008C4" w:rsidRDefault="007B24CB" w:rsidP="00147539">
      <w:pPr>
        <w:rPr>
          <w:b/>
          <w:sz w:val="22"/>
          <w:szCs w:val="22"/>
          <w:lang w:val="el-GR"/>
        </w:rPr>
      </w:pPr>
      <w:r w:rsidRPr="000008C4">
        <w:rPr>
          <w:b/>
          <w:sz w:val="22"/>
          <w:szCs w:val="22"/>
          <w:lang w:val="el-GR"/>
        </w:rPr>
        <w:t>4.8</w:t>
      </w:r>
      <w:r w:rsidRPr="000008C4">
        <w:rPr>
          <w:b/>
          <w:sz w:val="22"/>
          <w:szCs w:val="22"/>
          <w:lang w:val="el-GR"/>
        </w:rPr>
        <w:tab/>
        <w:t>Ανεπιθύμητες ενέργειες</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0008C4">
        <w:rPr>
          <w:sz w:val="22"/>
          <w:szCs w:val="22"/>
          <w:lang w:val="el-GR"/>
        </w:rPr>
        <w:t xml:space="preserve">Οι συχνότερα αναφερόμενες ανεπιθύμητες ενέργειες του φαρμάκου, κατά τη διάρκεια ελεγχόμενων κλινικών δοκιμών με ραμπεπραζόλη ήταν κεφαλαλγία, διάρροια, κοιλιακό άλγος, εξασθένιση, μετεωρισμός, εξάνθημα και ξηροστομία. Η πλειοψηφία των </w:t>
      </w:r>
      <w:r w:rsidRPr="000008C4">
        <w:rPr>
          <w:sz w:val="22"/>
          <w:szCs w:val="22"/>
          <w:lang w:val="el-GR"/>
        </w:rPr>
        <w:lastRenderedPageBreak/>
        <w:t>ανεπιθύμητων ενεργειών που παρατηρήθηκαν κατά τη διάρκεια των κλινικών μελετών ήταν ήπιες ή μέτριες όσον αφορά τη σοβαρότητα και παροδικής φύσεως.</w:t>
      </w:r>
    </w:p>
    <w:p w:rsidR="001C6E2F" w:rsidRPr="000008C4" w:rsidRDefault="001C6E2F" w:rsidP="00147539">
      <w:pPr>
        <w:ind w:left="720"/>
        <w:rPr>
          <w:sz w:val="22"/>
          <w:szCs w:val="22"/>
          <w:lang w:val="el-GR"/>
        </w:rPr>
      </w:pPr>
    </w:p>
    <w:p w:rsidR="007B24CB" w:rsidRPr="000008C4" w:rsidRDefault="007B24CB" w:rsidP="00147539">
      <w:pPr>
        <w:pStyle w:val="2"/>
        <w:ind w:left="720"/>
        <w:jc w:val="left"/>
        <w:rPr>
          <w:b w:val="0"/>
          <w:bCs/>
          <w:sz w:val="22"/>
          <w:szCs w:val="22"/>
        </w:rPr>
      </w:pPr>
      <w:r w:rsidRPr="000008C4">
        <w:rPr>
          <w:b w:val="0"/>
          <w:bCs/>
          <w:sz w:val="22"/>
          <w:szCs w:val="22"/>
        </w:rPr>
        <w:t xml:space="preserve">Οι παρακάτω ανεπιθύμητες ενέργειες αναφέρθηκαν κατά τη διάρκεια των κλινικών </w:t>
      </w:r>
      <w:r w:rsidR="003D1A6E" w:rsidRPr="000008C4">
        <w:rPr>
          <w:b w:val="0"/>
          <w:bCs/>
          <w:sz w:val="22"/>
          <w:szCs w:val="22"/>
        </w:rPr>
        <w:t>δοκιμ</w:t>
      </w:r>
      <w:r w:rsidRPr="000008C4">
        <w:rPr>
          <w:b w:val="0"/>
          <w:bCs/>
          <w:sz w:val="22"/>
          <w:szCs w:val="22"/>
        </w:rPr>
        <w:t>ών και μετά την κυκλοφορία του προϊόντος.</w:t>
      </w:r>
    </w:p>
    <w:p w:rsidR="001C6E2F" w:rsidRPr="006D183F" w:rsidRDefault="001C6E2F" w:rsidP="006D183F">
      <w:pPr>
        <w:rPr>
          <w:sz w:val="22"/>
          <w:szCs w:val="22"/>
          <w:lang w:val="el-GR"/>
        </w:rPr>
      </w:pPr>
    </w:p>
    <w:p w:rsidR="007B24CB" w:rsidRPr="000008C4" w:rsidRDefault="007B24CB" w:rsidP="00147539">
      <w:pPr>
        <w:pStyle w:val="2"/>
        <w:ind w:left="720"/>
        <w:jc w:val="left"/>
        <w:rPr>
          <w:b w:val="0"/>
          <w:bCs/>
          <w:sz w:val="22"/>
          <w:szCs w:val="22"/>
        </w:rPr>
      </w:pPr>
      <w:r w:rsidRPr="000008C4">
        <w:rPr>
          <w:b w:val="0"/>
          <w:bCs/>
          <w:sz w:val="22"/>
          <w:szCs w:val="22"/>
        </w:rPr>
        <w:t xml:space="preserve">Οι συχνότητες </w:t>
      </w:r>
      <w:r w:rsidR="00320809" w:rsidRPr="000008C4">
        <w:rPr>
          <w:b w:val="0"/>
          <w:bCs/>
          <w:sz w:val="22"/>
          <w:szCs w:val="22"/>
        </w:rPr>
        <w:t xml:space="preserve">εμφάνισης </w:t>
      </w:r>
      <w:r w:rsidRPr="000008C4">
        <w:rPr>
          <w:b w:val="0"/>
          <w:bCs/>
          <w:sz w:val="22"/>
          <w:szCs w:val="22"/>
        </w:rPr>
        <w:t>ορίζονται ως: συχνές (&gt;1/100, &lt;1/10), όχι συχνές (&gt;1/1</w:t>
      </w:r>
      <w:r w:rsidR="00305EFC" w:rsidRPr="000008C4">
        <w:rPr>
          <w:b w:val="0"/>
          <w:bCs/>
          <w:sz w:val="22"/>
          <w:szCs w:val="22"/>
        </w:rPr>
        <w:t>.</w:t>
      </w:r>
      <w:r w:rsidRPr="000008C4">
        <w:rPr>
          <w:b w:val="0"/>
          <w:bCs/>
          <w:sz w:val="22"/>
          <w:szCs w:val="22"/>
        </w:rPr>
        <w:t>000, &lt;1/100), σπάνιες (&gt;1/10</w:t>
      </w:r>
      <w:r w:rsidR="00305EFC" w:rsidRPr="000008C4">
        <w:rPr>
          <w:b w:val="0"/>
          <w:bCs/>
          <w:sz w:val="22"/>
          <w:szCs w:val="22"/>
        </w:rPr>
        <w:t>.</w:t>
      </w:r>
      <w:r w:rsidRPr="000008C4">
        <w:rPr>
          <w:b w:val="0"/>
          <w:bCs/>
          <w:sz w:val="22"/>
          <w:szCs w:val="22"/>
        </w:rPr>
        <w:t>000, &lt;1/1</w:t>
      </w:r>
      <w:r w:rsidR="00305EFC" w:rsidRPr="000008C4">
        <w:rPr>
          <w:b w:val="0"/>
          <w:bCs/>
          <w:sz w:val="22"/>
          <w:szCs w:val="22"/>
        </w:rPr>
        <w:t>.</w:t>
      </w:r>
      <w:r w:rsidRPr="000008C4">
        <w:rPr>
          <w:b w:val="0"/>
          <w:bCs/>
          <w:sz w:val="22"/>
          <w:szCs w:val="22"/>
        </w:rPr>
        <w:t>000), πολύ σπάνιες (&lt;1/10</w:t>
      </w:r>
      <w:r w:rsidR="00305EFC" w:rsidRPr="000008C4">
        <w:rPr>
          <w:b w:val="0"/>
          <w:bCs/>
          <w:sz w:val="22"/>
          <w:szCs w:val="22"/>
        </w:rPr>
        <w:t>.</w:t>
      </w:r>
      <w:r w:rsidRPr="000008C4">
        <w:rPr>
          <w:b w:val="0"/>
          <w:bCs/>
          <w:sz w:val="22"/>
          <w:szCs w:val="22"/>
        </w:rPr>
        <w:t>000).</w:t>
      </w:r>
    </w:p>
    <w:p w:rsidR="007B24CB" w:rsidRPr="000008C4" w:rsidRDefault="007B24CB" w:rsidP="00147539">
      <w:pPr>
        <w:ind w:left="720"/>
        <w:rPr>
          <w:sz w:val="22"/>
          <w:szCs w:val="22"/>
          <w:lang w:val="el-GR"/>
        </w:rPr>
      </w:pPr>
    </w:p>
    <w:tbl>
      <w:tblPr>
        <w:tblW w:w="4834" w:type="pct"/>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5"/>
        <w:gridCol w:w="1216"/>
        <w:gridCol w:w="1331"/>
        <w:gridCol w:w="1811"/>
        <w:gridCol w:w="1266"/>
        <w:gridCol w:w="1372"/>
      </w:tblGrid>
      <w:tr w:rsidR="00F60222" w:rsidRPr="000008C4" w:rsidTr="006D183F">
        <w:trPr>
          <w:trHeight w:val="530"/>
          <w:tblHeader/>
          <w:jc w:val="center"/>
        </w:trPr>
        <w:tc>
          <w:tcPr>
            <w:tcW w:w="1105" w:type="pct"/>
          </w:tcPr>
          <w:p w:rsidR="00AC64CD" w:rsidRPr="006D183F" w:rsidRDefault="00D527DB" w:rsidP="00147539">
            <w:pPr>
              <w:numPr>
                <w:ilvl w:val="12"/>
                <w:numId w:val="0"/>
              </w:numPr>
              <w:rPr>
                <w:b/>
                <w:lang w:val="el-GR"/>
              </w:rPr>
            </w:pPr>
            <w:r w:rsidRPr="006D183F">
              <w:rPr>
                <w:b/>
                <w:lang w:val="el-GR"/>
              </w:rPr>
              <w:t xml:space="preserve"> Κατηγορία οργανικού συστήματος</w:t>
            </w:r>
          </w:p>
        </w:tc>
        <w:tc>
          <w:tcPr>
            <w:tcW w:w="677" w:type="pct"/>
          </w:tcPr>
          <w:p w:rsidR="00AC64CD" w:rsidRPr="006D183F" w:rsidRDefault="00AC64CD" w:rsidP="00147539">
            <w:pPr>
              <w:pStyle w:val="1"/>
              <w:numPr>
                <w:ilvl w:val="12"/>
                <w:numId w:val="0"/>
              </w:numPr>
              <w:jc w:val="left"/>
              <w:rPr>
                <w:i w:val="0"/>
                <w:iCs/>
                <w:sz w:val="20"/>
              </w:rPr>
            </w:pPr>
            <w:r w:rsidRPr="006D183F">
              <w:rPr>
                <w:i w:val="0"/>
                <w:iCs/>
                <w:sz w:val="20"/>
              </w:rPr>
              <w:t>Συχνές</w:t>
            </w:r>
          </w:p>
        </w:tc>
        <w:tc>
          <w:tcPr>
            <w:tcW w:w="741" w:type="pct"/>
          </w:tcPr>
          <w:p w:rsidR="00AC64CD" w:rsidRPr="006D183F" w:rsidRDefault="00F513CA" w:rsidP="00147539">
            <w:pPr>
              <w:numPr>
                <w:ilvl w:val="12"/>
                <w:numId w:val="0"/>
              </w:numPr>
              <w:rPr>
                <w:b/>
                <w:lang w:val="el-GR"/>
              </w:rPr>
            </w:pPr>
            <w:r w:rsidRPr="006D183F">
              <w:rPr>
                <w:b/>
                <w:lang w:val="el-GR"/>
              </w:rPr>
              <w:t>Όχι συχνές</w:t>
            </w:r>
          </w:p>
        </w:tc>
        <w:tc>
          <w:tcPr>
            <w:tcW w:w="1008" w:type="pct"/>
          </w:tcPr>
          <w:p w:rsidR="00AC64CD" w:rsidRPr="006D183F" w:rsidRDefault="00AC64CD" w:rsidP="00147539">
            <w:pPr>
              <w:numPr>
                <w:ilvl w:val="12"/>
                <w:numId w:val="0"/>
              </w:numPr>
              <w:rPr>
                <w:b/>
                <w:lang w:val="el-GR"/>
              </w:rPr>
            </w:pPr>
            <w:r w:rsidRPr="006D183F">
              <w:rPr>
                <w:b/>
                <w:lang w:val="el-GR"/>
              </w:rPr>
              <w:t xml:space="preserve">Σπάνιες </w:t>
            </w:r>
          </w:p>
        </w:tc>
        <w:tc>
          <w:tcPr>
            <w:tcW w:w="705" w:type="pct"/>
          </w:tcPr>
          <w:p w:rsidR="00AC64CD" w:rsidRPr="006D183F" w:rsidRDefault="00AC64CD" w:rsidP="00147539">
            <w:pPr>
              <w:numPr>
                <w:ilvl w:val="12"/>
                <w:numId w:val="0"/>
              </w:numPr>
              <w:rPr>
                <w:b/>
                <w:lang w:val="el-GR"/>
              </w:rPr>
            </w:pPr>
            <w:r w:rsidRPr="006D183F">
              <w:rPr>
                <w:b/>
                <w:lang w:val="el-GR"/>
              </w:rPr>
              <w:t>Πολύ σπάνιες</w:t>
            </w:r>
          </w:p>
        </w:tc>
        <w:tc>
          <w:tcPr>
            <w:tcW w:w="764" w:type="pct"/>
          </w:tcPr>
          <w:p w:rsidR="00AC64CD" w:rsidRPr="006D183F" w:rsidRDefault="00D22F51" w:rsidP="00147539">
            <w:pPr>
              <w:numPr>
                <w:ilvl w:val="12"/>
                <w:numId w:val="0"/>
              </w:numPr>
              <w:rPr>
                <w:b/>
                <w:lang w:val="el-GR"/>
              </w:rPr>
            </w:pPr>
            <w:r w:rsidRPr="006D183F">
              <w:rPr>
                <w:b/>
                <w:lang w:val="el-GR"/>
              </w:rPr>
              <w:t>Μη γνωστές</w:t>
            </w:r>
          </w:p>
        </w:tc>
      </w:tr>
      <w:tr w:rsidR="00F60222" w:rsidRPr="000008C4" w:rsidTr="006D183F">
        <w:trPr>
          <w:trHeight w:val="520"/>
          <w:jc w:val="center"/>
        </w:trPr>
        <w:tc>
          <w:tcPr>
            <w:tcW w:w="1105" w:type="pct"/>
          </w:tcPr>
          <w:p w:rsidR="00AC64CD" w:rsidRPr="006D183F" w:rsidRDefault="00AC64CD" w:rsidP="00147539">
            <w:pPr>
              <w:numPr>
                <w:ilvl w:val="12"/>
                <w:numId w:val="0"/>
              </w:numPr>
              <w:rPr>
                <w:bCs/>
                <w:lang w:val="el-GR"/>
              </w:rPr>
            </w:pPr>
            <w:r w:rsidRPr="006D183F">
              <w:rPr>
                <w:bCs/>
                <w:lang w:val="el-GR"/>
              </w:rPr>
              <w:t>Λοιμώξεις και παρασιτώσεις</w:t>
            </w:r>
          </w:p>
          <w:p w:rsidR="00AC64CD" w:rsidRPr="006D183F" w:rsidRDefault="00AC64CD" w:rsidP="00147539">
            <w:pPr>
              <w:numPr>
                <w:ilvl w:val="12"/>
                <w:numId w:val="0"/>
              </w:numPr>
              <w:rPr>
                <w:bCs/>
                <w:lang w:val="el-GR"/>
              </w:rPr>
            </w:pPr>
          </w:p>
        </w:tc>
        <w:tc>
          <w:tcPr>
            <w:tcW w:w="677" w:type="pct"/>
          </w:tcPr>
          <w:p w:rsidR="00AC64CD" w:rsidRPr="006D183F" w:rsidRDefault="00AC64CD" w:rsidP="00147539">
            <w:pPr>
              <w:numPr>
                <w:ilvl w:val="12"/>
                <w:numId w:val="0"/>
              </w:numPr>
              <w:rPr>
                <w:bCs/>
                <w:lang w:val="el-GR"/>
              </w:rPr>
            </w:pPr>
            <w:r w:rsidRPr="006D183F">
              <w:rPr>
                <w:bCs/>
                <w:lang w:val="el-GR"/>
              </w:rPr>
              <w:t>Λοίμωξη</w:t>
            </w:r>
          </w:p>
          <w:p w:rsidR="00AC64CD" w:rsidRPr="006D183F" w:rsidRDefault="00AC64CD" w:rsidP="00147539">
            <w:pPr>
              <w:numPr>
                <w:ilvl w:val="12"/>
                <w:numId w:val="0"/>
              </w:numPr>
              <w:rPr>
                <w:bCs/>
                <w:lang w:val="el-GR"/>
              </w:rPr>
            </w:pPr>
          </w:p>
        </w:tc>
        <w:tc>
          <w:tcPr>
            <w:tcW w:w="741" w:type="pct"/>
          </w:tcPr>
          <w:p w:rsidR="00AC64CD" w:rsidRPr="006D183F" w:rsidRDefault="00AC64CD" w:rsidP="00147539">
            <w:pPr>
              <w:numPr>
                <w:ilvl w:val="12"/>
                <w:numId w:val="0"/>
              </w:numPr>
              <w:rPr>
                <w:bCs/>
                <w:lang w:val="el-GR"/>
              </w:rPr>
            </w:pPr>
          </w:p>
          <w:p w:rsidR="00AC64CD" w:rsidRPr="006D183F" w:rsidRDefault="00AC64CD" w:rsidP="00147539">
            <w:pPr>
              <w:numPr>
                <w:ilvl w:val="12"/>
                <w:numId w:val="0"/>
              </w:numPr>
              <w:rPr>
                <w:bCs/>
                <w:lang w:val="el-GR"/>
              </w:rPr>
            </w:pPr>
          </w:p>
        </w:tc>
        <w:tc>
          <w:tcPr>
            <w:tcW w:w="1008" w:type="pct"/>
          </w:tcPr>
          <w:p w:rsidR="00AC64CD" w:rsidRPr="006D183F" w:rsidRDefault="00AC64CD" w:rsidP="00147539">
            <w:pPr>
              <w:numPr>
                <w:ilvl w:val="12"/>
                <w:numId w:val="0"/>
              </w:numPr>
              <w:rPr>
                <w:bCs/>
                <w:lang w:val="el-GR"/>
              </w:rPr>
            </w:pPr>
          </w:p>
        </w:tc>
        <w:tc>
          <w:tcPr>
            <w:tcW w:w="705" w:type="pct"/>
          </w:tcPr>
          <w:p w:rsidR="00AC64CD" w:rsidRPr="006D183F" w:rsidRDefault="00AC64CD" w:rsidP="00147539">
            <w:pPr>
              <w:numPr>
                <w:ilvl w:val="12"/>
                <w:numId w:val="0"/>
              </w:numPr>
              <w:rPr>
                <w:bCs/>
                <w:lang w:val="el-GR"/>
              </w:rPr>
            </w:pPr>
          </w:p>
        </w:tc>
        <w:tc>
          <w:tcPr>
            <w:tcW w:w="764" w:type="pct"/>
          </w:tcPr>
          <w:p w:rsidR="00AC64CD" w:rsidRPr="006D183F" w:rsidRDefault="00AC64CD" w:rsidP="00147539">
            <w:pPr>
              <w:numPr>
                <w:ilvl w:val="12"/>
                <w:numId w:val="0"/>
              </w:numPr>
              <w:rPr>
                <w:bCs/>
                <w:lang w:val="el-GR"/>
              </w:rPr>
            </w:pPr>
          </w:p>
        </w:tc>
      </w:tr>
      <w:tr w:rsidR="00F60222" w:rsidRPr="000008C4" w:rsidTr="006D183F">
        <w:trPr>
          <w:trHeight w:val="530"/>
          <w:jc w:val="center"/>
        </w:trPr>
        <w:tc>
          <w:tcPr>
            <w:tcW w:w="1105" w:type="pct"/>
          </w:tcPr>
          <w:p w:rsidR="00AC64CD" w:rsidRPr="006D183F" w:rsidRDefault="00AC64CD" w:rsidP="00147539">
            <w:pPr>
              <w:numPr>
                <w:ilvl w:val="12"/>
                <w:numId w:val="0"/>
              </w:numPr>
              <w:rPr>
                <w:bCs/>
                <w:lang w:val="el-GR"/>
              </w:rPr>
            </w:pPr>
            <w:r w:rsidRPr="006D183F">
              <w:rPr>
                <w:bCs/>
                <w:lang w:val="el-GR"/>
              </w:rPr>
              <w:t>Διαταραχές του αιμοποιητικού και του λεμφικού συστήματος</w:t>
            </w:r>
          </w:p>
          <w:p w:rsidR="00AC64CD" w:rsidRPr="006D183F" w:rsidRDefault="00AC64CD" w:rsidP="00147539">
            <w:pPr>
              <w:numPr>
                <w:ilvl w:val="12"/>
                <w:numId w:val="0"/>
              </w:numPr>
              <w:rPr>
                <w:bCs/>
                <w:lang w:val="el-GR"/>
              </w:rPr>
            </w:pPr>
          </w:p>
        </w:tc>
        <w:tc>
          <w:tcPr>
            <w:tcW w:w="677" w:type="pct"/>
          </w:tcPr>
          <w:p w:rsidR="00AC64CD" w:rsidRPr="006D183F" w:rsidRDefault="00AC64CD" w:rsidP="00147539">
            <w:pPr>
              <w:numPr>
                <w:ilvl w:val="12"/>
                <w:numId w:val="0"/>
              </w:numPr>
              <w:rPr>
                <w:bCs/>
                <w:lang w:val="el-GR"/>
              </w:rPr>
            </w:pPr>
          </w:p>
        </w:tc>
        <w:tc>
          <w:tcPr>
            <w:tcW w:w="741" w:type="pct"/>
          </w:tcPr>
          <w:p w:rsidR="00AC64CD" w:rsidRPr="006D183F" w:rsidRDefault="00AC64CD" w:rsidP="00147539">
            <w:pPr>
              <w:numPr>
                <w:ilvl w:val="12"/>
                <w:numId w:val="0"/>
              </w:numPr>
              <w:rPr>
                <w:bCs/>
                <w:lang w:val="el-GR"/>
              </w:rPr>
            </w:pPr>
          </w:p>
        </w:tc>
        <w:tc>
          <w:tcPr>
            <w:tcW w:w="1008" w:type="pct"/>
          </w:tcPr>
          <w:p w:rsidR="00AC64CD" w:rsidRPr="006D183F" w:rsidRDefault="00AC64CD" w:rsidP="00147539">
            <w:pPr>
              <w:numPr>
                <w:ilvl w:val="12"/>
                <w:numId w:val="0"/>
              </w:numPr>
              <w:rPr>
                <w:bCs/>
                <w:lang w:val="el-GR"/>
              </w:rPr>
            </w:pPr>
            <w:r w:rsidRPr="006D183F">
              <w:rPr>
                <w:bCs/>
                <w:lang w:val="el-GR"/>
              </w:rPr>
              <w:t>Ουδετεροπενία</w:t>
            </w:r>
          </w:p>
          <w:p w:rsidR="00AC64CD" w:rsidRPr="006D183F" w:rsidRDefault="00AC64CD" w:rsidP="00147539">
            <w:pPr>
              <w:numPr>
                <w:ilvl w:val="12"/>
                <w:numId w:val="0"/>
              </w:numPr>
              <w:rPr>
                <w:bCs/>
                <w:lang w:val="el-GR"/>
              </w:rPr>
            </w:pPr>
            <w:r w:rsidRPr="006D183F">
              <w:rPr>
                <w:bCs/>
                <w:lang w:val="el-GR"/>
              </w:rPr>
              <w:t xml:space="preserve">Λευκοπενία </w:t>
            </w:r>
          </w:p>
          <w:p w:rsidR="00AC64CD" w:rsidRPr="006D183F" w:rsidRDefault="00AC64CD" w:rsidP="00147539">
            <w:pPr>
              <w:numPr>
                <w:ilvl w:val="12"/>
                <w:numId w:val="0"/>
              </w:numPr>
              <w:rPr>
                <w:bCs/>
                <w:lang w:val="el-GR"/>
              </w:rPr>
            </w:pPr>
            <w:r w:rsidRPr="006D183F">
              <w:rPr>
                <w:bCs/>
                <w:lang w:val="el-GR"/>
              </w:rPr>
              <w:t>Θρομβοπενία</w:t>
            </w:r>
          </w:p>
          <w:p w:rsidR="00AC64CD" w:rsidRPr="006D183F" w:rsidRDefault="00AC64CD" w:rsidP="00147539">
            <w:pPr>
              <w:numPr>
                <w:ilvl w:val="12"/>
                <w:numId w:val="0"/>
              </w:numPr>
              <w:rPr>
                <w:bCs/>
                <w:lang w:val="el-GR"/>
              </w:rPr>
            </w:pPr>
            <w:r w:rsidRPr="006D183F">
              <w:rPr>
                <w:bCs/>
                <w:lang w:val="el-GR"/>
              </w:rPr>
              <w:t>Λευκοκυττάρωση</w:t>
            </w:r>
          </w:p>
        </w:tc>
        <w:tc>
          <w:tcPr>
            <w:tcW w:w="705" w:type="pct"/>
          </w:tcPr>
          <w:p w:rsidR="00AC64CD" w:rsidRPr="006D183F" w:rsidRDefault="00AC64CD" w:rsidP="00147539">
            <w:pPr>
              <w:numPr>
                <w:ilvl w:val="12"/>
                <w:numId w:val="0"/>
              </w:numPr>
              <w:rPr>
                <w:bCs/>
                <w:lang w:val="el-GR"/>
              </w:rPr>
            </w:pPr>
          </w:p>
        </w:tc>
        <w:tc>
          <w:tcPr>
            <w:tcW w:w="764" w:type="pct"/>
          </w:tcPr>
          <w:p w:rsidR="00AC64CD" w:rsidRPr="006D183F" w:rsidRDefault="00AC64CD" w:rsidP="00147539">
            <w:pPr>
              <w:numPr>
                <w:ilvl w:val="12"/>
                <w:numId w:val="0"/>
              </w:numPr>
              <w:rPr>
                <w:bCs/>
                <w:lang w:val="el-GR"/>
              </w:rPr>
            </w:pPr>
          </w:p>
        </w:tc>
      </w:tr>
      <w:tr w:rsidR="00F60222" w:rsidRPr="000008C4" w:rsidTr="006D183F">
        <w:trPr>
          <w:trHeight w:val="530"/>
          <w:jc w:val="center"/>
        </w:trPr>
        <w:tc>
          <w:tcPr>
            <w:tcW w:w="1105" w:type="pct"/>
          </w:tcPr>
          <w:p w:rsidR="00AC64CD" w:rsidRPr="006D183F" w:rsidRDefault="00AC64CD" w:rsidP="00147539">
            <w:pPr>
              <w:numPr>
                <w:ilvl w:val="12"/>
                <w:numId w:val="0"/>
              </w:numPr>
              <w:rPr>
                <w:bCs/>
                <w:lang w:val="el-GR"/>
              </w:rPr>
            </w:pPr>
            <w:r w:rsidRPr="006D183F">
              <w:rPr>
                <w:bCs/>
                <w:lang w:val="el-GR"/>
              </w:rPr>
              <w:t>Διαταραχές του ανοσοποιητικού συστήματος</w:t>
            </w:r>
          </w:p>
        </w:tc>
        <w:tc>
          <w:tcPr>
            <w:tcW w:w="677" w:type="pct"/>
          </w:tcPr>
          <w:p w:rsidR="00AC64CD" w:rsidRPr="006D183F" w:rsidRDefault="00AC64CD" w:rsidP="00147539">
            <w:pPr>
              <w:numPr>
                <w:ilvl w:val="12"/>
                <w:numId w:val="0"/>
              </w:numPr>
              <w:rPr>
                <w:bCs/>
                <w:lang w:val="el-GR"/>
              </w:rPr>
            </w:pPr>
          </w:p>
        </w:tc>
        <w:tc>
          <w:tcPr>
            <w:tcW w:w="741" w:type="pct"/>
          </w:tcPr>
          <w:p w:rsidR="00AC64CD" w:rsidRPr="006D183F" w:rsidRDefault="00AC64CD" w:rsidP="00147539">
            <w:pPr>
              <w:numPr>
                <w:ilvl w:val="12"/>
                <w:numId w:val="0"/>
              </w:numPr>
              <w:rPr>
                <w:bCs/>
                <w:lang w:val="el-GR"/>
              </w:rPr>
            </w:pPr>
          </w:p>
        </w:tc>
        <w:tc>
          <w:tcPr>
            <w:tcW w:w="1008" w:type="pct"/>
          </w:tcPr>
          <w:p w:rsidR="00AC64CD" w:rsidRPr="006D183F" w:rsidRDefault="00AC64CD" w:rsidP="00147539">
            <w:pPr>
              <w:numPr>
                <w:ilvl w:val="12"/>
                <w:numId w:val="0"/>
              </w:numPr>
              <w:rPr>
                <w:bCs/>
              </w:rPr>
            </w:pPr>
            <w:r w:rsidRPr="006D183F">
              <w:rPr>
                <w:lang w:val="el-GR"/>
              </w:rPr>
              <w:t>Υπερευαισθησία</w:t>
            </w:r>
            <w:r w:rsidRPr="006D183F">
              <w:rPr>
                <w:vertAlign w:val="superscript"/>
              </w:rPr>
              <w:t>1,2</w:t>
            </w:r>
          </w:p>
        </w:tc>
        <w:tc>
          <w:tcPr>
            <w:tcW w:w="705" w:type="pct"/>
          </w:tcPr>
          <w:p w:rsidR="00AC64CD" w:rsidRPr="006D183F" w:rsidRDefault="00AC64CD" w:rsidP="00147539">
            <w:pPr>
              <w:numPr>
                <w:ilvl w:val="12"/>
                <w:numId w:val="0"/>
              </w:numPr>
              <w:rPr>
                <w:lang w:val="el-GR"/>
              </w:rPr>
            </w:pPr>
          </w:p>
        </w:tc>
        <w:tc>
          <w:tcPr>
            <w:tcW w:w="764" w:type="pct"/>
          </w:tcPr>
          <w:p w:rsidR="00AC64CD" w:rsidRPr="006D183F" w:rsidRDefault="00AC64CD" w:rsidP="00147539">
            <w:pPr>
              <w:numPr>
                <w:ilvl w:val="12"/>
                <w:numId w:val="0"/>
              </w:numPr>
              <w:rPr>
                <w:lang w:val="el-GR"/>
              </w:rPr>
            </w:pPr>
          </w:p>
        </w:tc>
      </w:tr>
      <w:tr w:rsidR="00F60222" w:rsidRPr="000008C4" w:rsidTr="006D183F">
        <w:trPr>
          <w:trHeight w:val="530"/>
          <w:jc w:val="center"/>
        </w:trPr>
        <w:tc>
          <w:tcPr>
            <w:tcW w:w="1105" w:type="pct"/>
          </w:tcPr>
          <w:p w:rsidR="00AC64CD" w:rsidRPr="006D183F" w:rsidRDefault="00AC64CD" w:rsidP="00147539">
            <w:pPr>
              <w:numPr>
                <w:ilvl w:val="12"/>
                <w:numId w:val="0"/>
              </w:numPr>
              <w:rPr>
                <w:bCs/>
                <w:lang w:val="el-GR"/>
              </w:rPr>
            </w:pPr>
            <w:r w:rsidRPr="006D183F">
              <w:rPr>
                <w:bCs/>
                <w:lang w:val="el-GR"/>
              </w:rPr>
              <w:t>Διαταραχές του μεταβολισμού και της θρέψης</w:t>
            </w:r>
          </w:p>
        </w:tc>
        <w:tc>
          <w:tcPr>
            <w:tcW w:w="677" w:type="pct"/>
          </w:tcPr>
          <w:p w:rsidR="00AC64CD" w:rsidRPr="006D183F" w:rsidRDefault="00AC64CD" w:rsidP="00147539">
            <w:pPr>
              <w:numPr>
                <w:ilvl w:val="12"/>
                <w:numId w:val="0"/>
              </w:numPr>
              <w:rPr>
                <w:bCs/>
                <w:lang w:val="el-GR"/>
              </w:rPr>
            </w:pPr>
          </w:p>
        </w:tc>
        <w:tc>
          <w:tcPr>
            <w:tcW w:w="741" w:type="pct"/>
          </w:tcPr>
          <w:p w:rsidR="00AC64CD" w:rsidRPr="006D183F" w:rsidRDefault="00AC64CD" w:rsidP="00147539">
            <w:pPr>
              <w:numPr>
                <w:ilvl w:val="12"/>
                <w:numId w:val="0"/>
              </w:numPr>
              <w:rPr>
                <w:bCs/>
                <w:lang w:val="el-GR"/>
              </w:rPr>
            </w:pPr>
          </w:p>
        </w:tc>
        <w:tc>
          <w:tcPr>
            <w:tcW w:w="1008" w:type="pct"/>
          </w:tcPr>
          <w:p w:rsidR="00AC64CD" w:rsidRPr="006D183F" w:rsidRDefault="00AC64CD" w:rsidP="00147539">
            <w:pPr>
              <w:numPr>
                <w:ilvl w:val="12"/>
                <w:numId w:val="0"/>
              </w:numPr>
              <w:rPr>
                <w:bCs/>
                <w:lang w:val="el-GR"/>
              </w:rPr>
            </w:pPr>
            <w:r w:rsidRPr="006D183F">
              <w:rPr>
                <w:bCs/>
                <w:lang w:val="el-GR"/>
              </w:rPr>
              <w:t>Ανορεξία</w:t>
            </w:r>
          </w:p>
        </w:tc>
        <w:tc>
          <w:tcPr>
            <w:tcW w:w="705" w:type="pct"/>
          </w:tcPr>
          <w:p w:rsidR="00AC64CD" w:rsidRPr="006D183F" w:rsidRDefault="00AC64CD" w:rsidP="00147539">
            <w:pPr>
              <w:numPr>
                <w:ilvl w:val="12"/>
                <w:numId w:val="0"/>
              </w:numPr>
              <w:rPr>
                <w:bCs/>
                <w:lang w:val="el-GR"/>
              </w:rPr>
            </w:pPr>
          </w:p>
        </w:tc>
        <w:tc>
          <w:tcPr>
            <w:tcW w:w="764" w:type="pct"/>
          </w:tcPr>
          <w:p w:rsidR="00AC64CD" w:rsidRPr="006D183F" w:rsidRDefault="000421D2" w:rsidP="00147539">
            <w:pPr>
              <w:numPr>
                <w:ilvl w:val="12"/>
                <w:numId w:val="0"/>
              </w:numPr>
              <w:rPr>
                <w:lang w:val="el-GR"/>
              </w:rPr>
            </w:pPr>
            <w:r w:rsidRPr="006D183F">
              <w:t>Υπονατριαιμία</w:t>
            </w:r>
          </w:p>
          <w:p w:rsidR="00D527DB" w:rsidRPr="006D183F" w:rsidRDefault="00D527DB" w:rsidP="006D183F">
            <w:pPr>
              <w:numPr>
                <w:ilvl w:val="12"/>
                <w:numId w:val="0"/>
              </w:numPr>
              <w:rPr>
                <w:bCs/>
                <w:lang w:val="el-GR"/>
              </w:rPr>
            </w:pPr>
            <w:r w:rsidRPr="006D183F">
              <w:rPr>
                <w:lang w:val="el-GR"/>
              </w:rPr>
              <w:t>Υπομαγν</w:t>
            </w:r>
            <w:r w:rsidR="009A49AA" w:rsidRPr="006D183F">
              <w:rPr>
                <w:lang w:val="el-GR"/>
              </w:rPr>
              <w:t>η</w:t>
            </w:r>
            <w:r w:rsidRPr="006D183F">
              <w:rPr>
                <w:lang w:val="el-GR"/>
              </w:rPr>
              <w:t>σιαιμία</w:t>
            </w:r>
            <w:r w:rsidR="009A49AA" w:rsidRPr="006D183F">
              <w:rPr>
                <w:vertAlign w:val="superscript"/>
                <w:lang w:val="el-GR"/>
              </w:rPr>
              <w:t>4</w:t>
            </w:r>
          </w:p>
        </w:tc>
      </w:tr>
      <w:tr w:rsidR="00F60222" w:rsidRPr="000008C4" w:rsidTr="006D183F">
        <w:trPr>
          <w:trHeight w:val="565"/>
          <w:jc w:val="center"/>
        </w:trPr>
        <w:tc>
          <w:tcPr>
            <w:tcW w:w="1105" w:type="pct"/>
          </w:tcPr>
          <w:p w:rsidR="00AC64CD" w:rsidRPr="006D183F" w:rsidRDefault="00AC64CD" w:rsidP="00147539">
            <w:pPr>
              <w:numPr>
                <w:ilvl w:val="12"/>
                <w:numId w:val="0"/>
              </w:numPr>
              <w:rPr>
                <w:bCs/>
                <w:lang w:val="el-GR"/>
              </w:rPr>
            </w:pPr>
            <w:r w:rsidRPr="006D183F">
              <w:rPr>
                <w:bCs/>
                <w:lang w:val="el-GR"/>
              </w:rPr>
              <w:t>Ψυχιατρικές διαταραχές</w:t>
            </w:r>
          </w:p>
        </w:tc>
        <w:tc>
          <w:tcPr>
            <w:tcW w:w="677" w:type="pct"/>
          </w:tcPr>
          <w:p w:rsidR="00AC64CD" w:rsidRPr="006D183F" w:rsidRDefault="00AC64CD" w:rsidP="00147539">
            <w:pPr>
              <w:numPr>
                <w:ilvl w:val="12"/>
                <w:numId w:val="0"/>
              </w:numPr>
              <w:ind w:right="72"/>
              <w:rPr>
                <w:bCs/>
                <w:lang w:val="el-GR"/>
              </w:rPr>
            </w:pPr>
            <w:r w:rsidRPr="006D183F">
              <w:rPr>
                <w:bCs/>
                <w:lang w:val="el-GR"/>
              </w:rPr>
              <w:t>Αϋπνία</w:t>
            </w:r>
          </w:p>
        </w:tc>
        <w:tc>
          <w:tcPr>
            <w:tcW w:w="741" w:type="pct"/>
          </w:tcPr>
          <w:p w:rsidR="00AC64CD" w:rsidRPr="006D183F" w:rsidRDefault="00AC64CD" w:rsidP="00147539">
            <w:pPr>
              <w:numPr>
                <w:ilvl w:val="12"/>
                <w:numId w:val="0"/>
              </w:numPr>
              <w:rPr>
                <w:bCs/>
                <w:lang w:val="el-GR"/>
              </w:rPr>
            </w:pPr>
            <w:r w:rsidRPr="006D183F">
              <w:rPr>
                <w:bCs/>
                <w:lang w:val="el-GR"/>
              </w:rPr>
              <w:t>Νευρικότητα</w:t>
            </w:r>
          </w:p>
          <w:p w:rsidR="00AC64CD" w:rsidRPr="006D183F" w:rsidRDefault="00AC64CD" w:rsidP="00147539">
            <w:pPr>
              <w:numPr>
                <w:ilvl w:val="12"/>
                <w:numId w:val="0"/>
              </w:numPr>
              <w:rPr>
                <w:bCs/>
                <w:lang w:val="el-GR"/>
              </w:rPr>
            </w:pPr>
          </w:p>
        </w:tc>
        <w:tc>
          <w:tcPr>
            <w:tcW w:w="1008" w:type="pct"/>
          </w:tcPr>
          <w:p w:rsidR="00AC64CD" w:rsidRPr="006D183F" w:rsidRDefault="00AC64CD" w:rsidP="00147539">
            <w:pPr>
              <w:numPr>
                <w:ilvl w:val="12"/>
                <w:numId w:val="0"/>
              </w:numPr>
              <w:rPr>
                <w:bCs/>
                <w:lang w:val="el-GR"/>
              </w:rPr>
            </w:pPr>
            <w:r w:rsidRPr="006D183F">
              <w:rPr>
                <w:bCs/>
                <w:lang w:val="el-GR"/>
              </w:rPr>
              <w:t>Κατάθλιψη</w:t>
            </w:r>
          </w:p>
        </w:tc>
        <w:tc>
          <w:tcPr>
            <w:tcW w:w="705" w:type="pct"/>
          </w:tcPr>
          <w:p w:rsidR="00AC64CD" w:rsidRPr="006D183F" w:rsidRDefault="00AC64CD" w:rsidP="00147539">
            <w:pPr>
              <w:numPr>
                <w:ilvl w:val="12"/>
                <w:numId w:val="0"/>
              </w:numPr>
              <w:rPr>
                <w:bCs/>
                <w:lang w:val="el-GR"/>
              </w:rPr>
            </w:pPr>
          </w:p>
        </w:tc>
        <w:tc>
          <w:tcPr>
            <w:tcW w:w="764" w:type="pct"/>
          </w:tcPr>
          <w:p w:rsidR="00AC64CD" w:rsidRPr="006D183F" w:rsidRDefault="0008266C" w:rsidP="00147539">
            <w:pPr>
              <w:numPr>
                <w:ilvl w:val="12"/>
                <w:numId w:val="0"/>
              </w:numPr>
              <w:rPr>
                <w:bCs/>
                <w:lang w:val="el-GR"/>
              </w:rPr>
            </w:pPr>
            <w:r w:rsidRPr="006D183F">
              <w:t>Σύγχυση</w:t>
            </w:r>
          </w:p>
        </w:tc>
      </w:tr>
      <w:tr w:rsidR="00F60222" w:rsidRPr="000008C4" w:rsidTr="006D183F">
        <w:trPr>
          <w:jc w:val="center"/>
        </w:trPr>
        <w:tc>
          <w:tcPr>
            <w:tcW w:w="1105" w:type="pct"/>
          </w:tcPr>
          <w:p w:rsidR="00AC64CD" w:rsidRPr="006D183F" w:rsidRDefault="00AC64CD" w:rsidP="00147539">
            <w:pPr>
              <w:numPr>
                <w:ilvl w:val="12"/>
                <w:numId w:val="0"/>
              </w:numPr>
              <w:rPr>
                <w:bCs/>
                <w:lang w:val="el-GR"/>
              </w:rPr>
            </w:pPr>
            <w:r w:rsidRPr="006D183F">
              <w:rPr>
                <w:bCs/>
                <w:lang w:val="el-GR"/>
              </w:rPr>
              <w:t>Διαταραχές του νευρικού συστήματος</w:t>
            </w:r>
          </w:p>
        </w:tc>
        <w:tc>
          <w:tcPr>
            <w:tcW w:w="677" w:type="pct"/>
          </w:tcPr>
          <w:p w:rsidR="00AC64CD" w:rsidRPr="006D183F" w:rsidRDefault="00AC64CD" w:rsidP="00147539">
            <w:pPr>
              <w:numPr>
                <w:ilvl w:val="12"/>
                <w:numId w:val="0"/>
              </w:numPr>
              <w:rPr>
                <w:bCs/>
                <w:lang w:val="el-GR"/>
              </w:rPr>
            </w:pPr>
            <w:r w:rsidRPr="006D183F">
              <w:rPr>
                <w:bCs/>
                <w:lang w:val="el-GR"/>
              </w:rPr>
              <w:t>Κεφαλαλγία</w:t>
            </w:r>
          </w:p>
          <w:p w:rsidR="00AC64CD" w:rsidRPr="006D183F" w:rsidRDefault="00AC64CD" w:rsidP="00147539">
            <w:pPr>
              <w:numPr>
                <w:ilvl w:val="12"/>
                <w:numId w:val="0"/>
              </w:numPr>
              <w:rPr>
                <w:bCs/>
                <w:lang w:val="el-GR"/>
              </w:rPr>
            </w:pPr>
            <w:r w:rsidRPr="006D183F">
              <w:rPr>
                <w:bCs/>
                <w:lang w:val="el-GR"/>
              </w:rPr>
              <w:t>Ζάλη</w:t>
            </w:r>
          </w:p>
        </w:tc>
        <w:tc>
          <w:tcPr>
            <w:tcW w:w="741" w:type="pct"/>
          </w:tcPr>
          <w:p w:rsidR="00AC64CD" w:rsidRPr="006D183F" w:rsidRDefault="00AC64CD" w:rsidP="00147539">
            <w:pPr>
              <w:numPr>
                <w:ilvl w:val="12"/>
                <w:numId w:val="0"/>
              </w:numPr>
              <w:rPr>
                <w:bCs/>
                <w:lang w:val="el-GR"/>
              </w:rPr>
            </w:pPr>
            <w:r w:rsidRPr="006D183F">
              <w:rPr>
                <w:bCs/>
                <w:lang w:val="el-GR"/>
              </w:rPr>
              <w:t>Υπνηλία</w:t>
            </w:r>
          </w:p>
        </w:tc>
        <w:tc>
          <w:tcPr>
            <w:tcW w:w="1008" w:type="pct"/>
          </w:tcPr>
          <w:p w:rsidR="00AC64CD" w:rsidRPr="006D183F" w:rsidRDefault="00AC64CD" w:rsidP="00147539">
            <w:pPr>
              <w:numPr>
                <w:ilvl w:val="12"/>
                <w:numId w:val="0"/>
              </w:numPr>
              <w:rPr>
                <w:bCs/>
                <w:lang w:val="el-GR"/>
              </w:rPr>
            </w:pPr>
          </w:p>
        </w:tc>
        <w:tc>
          <w:tcPr>
            <w:tcW w:w="705" w:type="pct"/>
          </w:tcPr>
          <w:p w:rsidR="00AC64CD" w:rsidRPr="006D183F" w:rsidRDefault="00AC64CD" w:rsidP="00147539">
            <w:pPr>
              <w:numPr>
                <w:ilvl w:val="12"/>
                <w:numId w:val="0"/>
              </w:numPr>
              <w:rPr>
                <w:bCs/>
                <w:lang w:val="el-GR"/>
              </w:rPr>
            </w:pPr>
          </w:p>
        </w:tc>
        <w:tc>
          <w:tcPr>
            <w:tcW w:w="764" w:type="pct"/>
          </w:tcPr>
          <w:p w:rsidR="00AC64CD" w:rsidRPr="006D183F" w:rsidRDefault="00AC64CD" w:rsidP="00147539">
            <w:pPr>
              <w:numPr>
                <w:ilvl w:val="12"/>
                <w:numId w:val="0"/>
              </w:numPr>
              <w:rPr>
                <w:bCs/>
                <w:lang w:val="el-GR"/>
              </w:rPr>
            </w:pPr>
          </w:p>
        </w:tc>
      </w:tr>
      <w:tr w:rsidR="00F60222" w:rsidRPr="000008C4" w:rsidTr="006D183F">
        <w:trPr>
          <w:jc w:val="center"/>
        </w:trPr>
        <w:tc>
          <w:tcPr>
            <w:tcW w:w="1105" w:type="pct"/>
          </w:tcPr>
          <w:p w:rsidR="00AC64CD" w:rsidRPr="006D183F" w:rsidRDefault="00AC64CD" w:rsidP="00147539">
            <w:pPr>
              <w:numPr>
                <w:ilvl w:val="12"/>
                <w:numId w:val="0"/>
              </w:numPr>
              <w:rPr>
                <w:bCs/>
                <w:lang w:val="el-GR"/>
              </w:rPr>
            </w:pPr>
            <w:r w:rsidRPr="006D183F">
              <w:rPr>
                <w:bCs/>
                <w:lang w:val="el-GR"/>
              </w:rPr>
              <w:t>Οφθαλμικές διαταραχές</w:t>
            </w:r>
          </w:p>
        </w:tc>
        <w:tc>
          <w:tcPr>
            <w:tcW w:w="677" w:type="pct"/>
          </w:tcPr>
          <w:p w:rsidR="00AC64CD" w:rsidRPr="006D183F" w:rsidRDefault="00AC64CD" w:rsidP="00147539">
            <w:pPr>
              <w:numPr>
                <w:ilvl w:val="12"/>
                <w:numId w:val="0"/>
              </w:numPr>
              <w:rPr>
                <w:bCs/>
                <w:lang w:val="el-GR"/>
              </w:rPr>
            </w:pPr>
          </w:p>
        </w:tc>
        <w:tc>
          <w:tcPr>
            <w:tcW w:w="741" w:type="pct"/>
          </w:tcPr>
          <w:p w:rsidR="00AC64CD" w:rsidRPr="006D183F" w:rsidRDefault="00AC64CD" w:rsidP="00147539">
            <w:pPr>
              <w:numPr>
                <w:ilvl w:val="12"/>
                <w:numId w:val="0"/>
              </w:numPr>
              <w:rPr>
                <w:bCs/>
                <w:lang w:val="el-GR"/>
              </w:rPr>
            </w:pPr>
          </w:p>
        </w:tc>
        <w:tc>
          <w:tcPr>
            <w:tcW w:w="1008" w:type="pct"/>
          </w:tcPr>
          <w:p w:rsidR="00AC64CD" w:rsidRPr="006D183F" w:rsidRDefault="00AC64CD" w:rsidP="00147539">
            <w:pPr>
              <w:numPr>
                <w:ilvl w:val="12"/>
                <w:numId w:val="0"/>
              </w:numPr>
              <w:rPr>
                <w:bCs/>
                <w:lang w:val="el-GR"/>
              </w:rPr>
            </w:pPr>
            <w:r w:rsidRPr="006D183F">
              <w:rPr>
                <w:bCs/>
                <w:lang w:val="el-GR"/>
              </w:rPr>
              <w:t>Διαταραχή της όρασης</w:t>
            </w:r>
          </w:p>
        </w:tc>
        <w:tc>
          <w:tcPr>
            <w:tcW w:w="705" w:type="pct"/>
          </w:tcPr>
          <w:p w:rsidR="00AC64CD" w:rsidRPr="006D183F" w:rsidRDefault="00AC64CD" w:rsidP="00147539">
            <w:pPr>
              <w:numPr>
                <w:ilvl w:val="12"/>
                <w:numId w:val="0"/>
              </w:numPr>
              <w:rPr>
                <w:bCs/>
                <w:lang w:val="el-GR"/>
              </w:rPr>
            </w:pPr>
          </w:p>
        </w:tc>
        <w:tc>
          <w:tcPr>
            <w:tcW w:w="764" w:type="pct"/>
          </w:tcPr>
          <w:p w:rsidR="00AC64CD" w:rsidRPr="006D183F" w:rsidRDefault="00AC64CD" w:rsidP="00147539">
            <w:pPr>
              <w:numPr>
                <w:ilvl w:val="12"/>
                <w:numId w:val="0"/>
              </w:numPr>
              <w:rPr>
                <w:bCs/>
                <w:lang w:val="el-GR"/>
              </w:rPr>
            </w:pPr>
          </w:p>
        </w:tc>
      </w:tr>
      <w:tr w:rsidR="00F60222" w:rsidRPr="000008C4" w:rsidTr="006D183F">
        <w:trPr>
          <w:trHeight w:val="512"/>
          <w:jc w:val="center"/>
        </w:trPr>
        <w:tc>
          <w:tcPr>
            <w:tcW w:w="1105" w:type="pct"/>
          </w:tcPr>
          <w:p w:rsidR="00EB078C" w:rsidRPr="006D183F" w:rsidRDefault="00746E71" w:rsidP="00147539">
            <w:pPr>
              <w:numPr>
                <w:ilvl w:val="12"/>
                <w:numId w:val="0"/>
              </w:numPr>
              <w:rPr>
                <w:bCs/>
                <w:lang w:val="el-GR"/>
              </w:rPr>
            </w:pPr>
            <w:r w:rsidRPr="006D183F">
              <w:rPr>
                <w:bCs/>
                <w:lang w:val="el-GR"/>
              </w:rPr>
              <w:t>Αγγειακές διαταραχές</w:t>
            </w:r>
          </w:p>
        </w:tc>
        <w:tc>
          <w:tcPr>
            <w:tcW w:w="677" w:type="pct"/>
          </w:tcPr>
          <w:p w:rsidR="00EB078C" w:rsidRPr="006D183F" w:rsidRDefault="00EB078C" w:rsidP="00147539">
            <w:pPr>
              <w:numPr>
                <w:ilvl w:val="12"/>
                <w:numId w:val="0"/>
              </w:numPr>
              <w:rPr>
                <w:bCs/>
                <w:lang w:val="el-GR"/>
              </w:rPr>
            </w:pPr>
          </w:p>
        </w:tc>
        <w:tc>
          <w:tcPr>
            <w:tcW w:w="741" w:type="pct"/>
          </w:tcPr>
          <w:p w:rsidR="00EB078C" w:rsidRPr="006D183F" w:rsidRDefault="00EB078C" w:rsidP="00147539">
            <w:pPr>
              <w:numPr>
                <w:ilvl w:val="12"/>
                <w:numId w:val="0"/>
              </w:numPr>
              <w:rPr>
                <w:bCs/>
                <w:lang w:val="el-GR"/>
              </w:rPr>
            </w:pPr>
          </w:p>
        </w:tc>
        <w:tc>
          <w:tcPr>
            <w:tcW w:w="1008" w:type="pct"/>
          </w:tcPr>
          <w:p w:rsidR="00EB078C" w:rsidRPr="006D183F" w:rsidRDefault="00EB078C" w:rsidP="00147539">
            <w:pPr>
              <w:numPr>
                <w:ilvl w:val="12"/>
                <w:numId w:val="0"/>
              </w:numPr>
              <w:rPr>
                <w:bCs/>
                <w:lang w:val="el-GR"/>
              </w:rPr>
            </w:pPr>
          </w:p>
        </w:tc>
        <w:tc>
          <w:tcPr>
            <w:tcW w:w="705" w:type="pct"/>
          </w:tcPr>
          <w:p w:rsidR="00EB078C" w:rsidRPr="006D183F" w:rsidRDefault="00EB078C" w:rsidP="00147539">
            <w:pPr>
              <w:numPr>
                <w:ilvl w:val="12"/>
                <w:numId w:val="0"/>
              </w:numPr>
              <w:rPr>
                <w:bCs/>
                <w:lang w:val="el-GR"/>
              </w:rPr>
            </w:pPr>
          </w:p>
        </w:tc>
        <w:tc>
          <w:tcPr>
            <w:tcW w:w="764" w:type="pct"/>
          </w:tcPr>
          <w:p w:rsidR="00EB078C" w:rsidRPr="006D183F" w:rsidRDefault="002F6D8A" w:rsidP="00147539">
            <w:pPr>
              <w:numPr>
                <w:ilvl w:val="12"/>
                <w:numId w:val="0"/>
              </w:numPr>
            </w:pPr>
            <w:r w:rsidRPr="006D183F">
              <w:t>Περιφερικό οίδημα</w:t>
            </w:r>
          </w:p>
        </w:tc>
      </w:tr>
      <w:tr w:rsidR="00F60222" w:rsidRPr="000008C4" w:rsidTr="006D183F">
        <w:trPr>
          <w:trHeight w:val="512"/>
          <w:jc w:val="center"/>
        </w:trPr>
        <w:tc>
          <w:tcPr>
            <w:tcW w:w="1105" w:type="pct"/>
          </w:tcPr>
          <w:p w:rsidR="00AC64CD" w:rsidRPr="006D183F" w:rsidRDefault="00AC64CD" w:rsidP="00147539">
            <w:pPr>
              <w:numPr>
                <w:ilvl w:val="12"/>
                <w:numId w:val="0"/>
              </w:numPr>
              <w:rPr>
                <w:bCs/>
                <w:lang w:val="el-GR"/>
              </w:rPr>
            </w:pPr>
            <w:r w:rsidRPr="006D183F">
              <w:rPr>
                <w:bCs/>
                <w:lang w:val="el-GR"/>
              </w:rPr>
              <w:t>Διαταραχές του αναπνευστικού συστήματος,</w:t>
            </w:r>
            <w:r w:rsidR="00D06664" w:rsidRPr="006D183F">
              <w:rPr>
                <w:bCs/>
                <w:lang w:val="el-GR"/>
              </w:rPr>
              <w:t xml:space="preserve"> </w:t>
            </w:r>
            <w:r w:rsidRPr="006D183F">
              <w:rPr>
                <w:bCs/>
                <w:lang w:val="el-GR"/>
              </w:rPr>
              <w:t>του θώρακα και του μεσοθωράκιου</w:t>
            </w:r>
          </w:p>
        </w:tc>
        <w:tc>
          <w:tcPr>
            <w:tcW w:w="677" w:type="pct"/>
          </w:tcPr>
          <w:p w:rsidR="00AC64CD" w:rsidRPr="006D183F" w:rsidRDefault="00AC64CD" w:rsidP="00147539">
            <w:pPr>
              <w:numPr>
                <w:ilvl w:val="12"/>
                <w:numId w:val="0"/>
              </w:numPr>
              <w:rPr>
                <w:bCs/>
                <w:lang w:val="el-GR"/>
              </w:rPr>
            </w:pPr>
            <w:r w:rsidRPr="006D183F">
              <w:rPr>
                <w:bCs/>
                <w:lang w:val="el-GR"/>
              </w:rPr>
              <w:t>Βήχας</w:t>
            </w:r>
          </w:p>
          <w:p w:rsidR="00AC64CD" w:rsidRPr="006D183F" w:rsidRDefault="00AC64CD" w:rsidP="00147539">
            <w:pPr>
              <w:numPr>
                <w:ilvl w:val="12"/>
                <w:numId w:val="0"/>
              </w:numPr>
              <w:rPr>
                <w:bCs/>
                <w:lang w:val="el-GR"/>
              </w:rPr>
            </w:pPr>
            <w:r w:rsidRPr="006D183F">
              <w:rPr>
                <w:bCs/>
                <w:lang w:val="el-GR"/>
              </w:rPr>
              <w:t>Φαρυγγίτιδα</w:t>
            </w:r>
          </w:p>
          <w:p w:rsidR="00AC64CD" w:rsidRPr="006D183F" w:rsidRDefault="00AC64CD" w:rsidP="00147539">
            <w:pPr>
              <w:numPr>
                <w:ilvl w:val="12"/>
                <w:numId w:val="0"/>
              </w:numPr>
              <w:rPr>
                <w:bCs/>
                <w:lang w:val="el-GR"/>
              </w:rPr>
            </w:pPr>
            <w:r w:rsidRPr="006D183F">
              <w:rPr>
                <w:bCs/>
                <w:lang w:val="el-GR"/>
              </w:rPr>
              <w:t>Ρινίτιδα</w:t>
            </w:r>
          </w:p>
        </w:tc>
        <w:tc>
          <w:tcPr>
            <w:tcW w:w="741" w:type="pct"/>
          </w:tcPr>
          <w:p w:rsidR="00AC64CD" w:rsidRPr="006D183F" w:rsidRDefault="00AC64CD" w:rsidP="00147539">
            <w:pPr>
              <w:numPr>
                <w:ilvl w:val="12"/>
                <w:numId w:val="0"/>
              </w:numPr>
              <w:rPr>
                <w:bCs/>
                <w:lang w:val="el-GR"/>
              </w:rPr>
            </w:pPr>
            <w:r w:rsidRPr="006D183F">
              <w:rPr>
                <w:bCs/>
                <w:lang w:val="el-GR"/>
              </w:rPr>
              <w:t>Βρογχίτιδα</w:t>
            </w:r>
          </w:p>
          <w:p w:rsidR="00AC64CD" w:rsidRPr="006D183F" w:rsidRDefault="00AC64CD" w:rsidP="00147539">
            <w:pPr>
              <w:numPr>
                <w:ilvl w:val="12"/>
                <w:numId w:val="0"/>
              </w:numPr>
              <w:rPr>
                <w:bCs/>
                <w:lang w:val="el-GR"/>
              </w:rPr>
            </w:pPr>
            <w:r w:rsidRPr="006D183F">
              <w:rPr>
                <w:bCs/>
                <w:lang w:val="el-GR"/>
              </w:rPr>
              <w:t>Ιγμορίτιδα</w:t>
            </w:r>
          </w:p>
        </w:tc>
        <w:tc>
          <w:tcPr>
            <w:tcW w:w="1008" w:type="pct"/>
          </w:tcPr>
          <w:p w:rsidR="00AC64CD" w:rsidRPr="006D183F" w:rsidRDefault="00AC64CD" w:rsidP="00147539">
            <w:pPr>
              <w:numPr>
                <w:ilvl w:val="12"/>
                <w:numId w:val="0"/>
              </w:numPr>
              <w:rPr>
                <w:bCs/>
                <w:lang w:val="el-GR"/>
              </w:rPr>
            </w:pPr>
          </w:p>
        </w:tc>
        <w:tc>
          <w:tcPr>
            <w:tcW w:w="705" w:type="pct"/>
          </w:tcPr>
          <w:p w:rsidR="00AC64CD" w:rsidRPr="006D183F" w:rsidRDefault="00AC64CD" w:rsidP="00147539">
            <w:pPr>
              <w:numPr>
                <w:ilvl w:val="12"/>
                <w:numId w:val="0"/>
              </w:numPr>
              <w:rPr>
                <w:bCs/>
                <w:lang w:val="el-GR"/>
              </w:rPr>
            </w:pPr>
          </w:p>
        </w:tc>
        <w:tc>
          <w:tcPr>
            <w:tcW w:w="764" w:type="pct"/>
          </w:tcPr>
          <w:p w:rsidR="00AC64CD" w:rsidRPr="006D183F" w:rsidRDefault="00AC64CD" w:rsidP="00147539">
            <w:pPr>
              <w:numPr>
                <w:ilvl w:val="12"/>
                <w:numId w:val="0"/>
              </w:numPr>
              <w:rPr>
                <w:bCs/>
                <w:lang w:val="el-GR"/>
              </w:rPr>
            </w:pPr>
          </w:p>
        </w:tc>
      </w:tr>
      <w:tr w:rsidR="00F60222" w:rsidRPr="000008C4" w:rsidTr="006D183F">
        <w:trPr>
          <w:trHeight w:val="1232"/>
          <w:jc w:val="center"/>
        </w:trPr>
        <w:tc>
          <w:tcPr>
            <w:tcW w:w="1105" w:type="pct"/>
          </w:tcPr>
          <w:p w:rsidR="00AC64CD" w:rsidRPr="006D183F" w:rsidRDefault="00AC64CD" w:rsidP="00147539">
            <w:pPr>
              <w:numPr>
                <w:ilvl w:val="12"/>
                <w:numId w:val="0"/>
              </w:numPr>
              <w:rPr>
                <w:bCs/>
                <w:lang w:val="el-GR"/>
              </w:rPr>
            </w:pPr>
            <w:r w:rsidRPr="006D183F">
              <w:rPr>
                <w:bCs/>
                <w:lang w:val="el-GR"/>
              </w:rPr>
              <w:t>Διαταραχές του γαστρεντερικού</w:t>
            </w:r>
          </w:p>
        </w:tc>
        <w:tc>
          <w:tcPr>
            <w:tcW w:w="677" w:type="pct"/>
          </w:tcPr>
          <w:p w:rsidR="00AC64CD" w:rsidRPr="006D183F" w:rsidRDefault="00AC64CD" w:rsidP="00147539">
            <w:pPr>
              <w:numPr>
                <w:ilvl w:val="12"/>
                <w:numId w:val="0"/>
              </w:numPr>
              <w:rPr>
                <w:bCs/>
                <w:lang w:val="el-GR"/>
              </w:rPr>
            </w:pPr>
            <w:r w:rsidRPr="006D183F">
              <w:rPr>
                <w:bCs/>
                <w:lang w:val="el-GR"/>
              </w:rPr>
              <w:t>Διάρροια</w:t>
            </w:r>
          </w:p>
          <w:p w:rsidR="00AC64CD" w:rsidRPr="006D183F" w:rsidRDefault="00AC64CD" w:rsidP="00147539">
            <w:pPr>
              <w:numPr>
                <w:ilvl w:val="12"/>
                <w:numId w:val="0"/>
              </w:numPr>
              <w:rPr>
                <w:bCs/>
                <w:lang w:val="el-GR"/>
              </w:rPr>
            </w:pPr>
            <w:r w:rsidRPr="006D183F">
              <w:rPr>
                <w:bCs/>
                <w:lang w:val="el-GR"/>
              </w:rPr>
              <w:t>Έμετος</w:t>
            </w:r>
          </w:p>
          <w:p w:rsidR="00AC64CD" w:rsidRPr="006D183F" w:rsidRDefault="00AC64CD" w:rsidP="00147539">
            <w:pPr>
              <w:numPr>
                <w:ilvl w:val="12"/>
                <w:numId w:val="0"/>
              </w:numPr>
              <w:rPr>
                <w:bCs/>
                <w:lang w:val="el-GR"/>
              </w:rPr>
            </w:pPr>
            <w:r w:rsidRPr="006D183F">
              <w:rPr>
                <w:bCs/>
                <w:lang w:val="el-GR"/>
              </w:rPr>
              <w:t>Ναυτία</w:t>
            </w:r>
          </w:p>
          <w:p w:rsidR="00AC64CD" w:rsidRPr="006D183F" w:rsidRDefault="00AC64CD" w:rsidP="00147539">
            <w:pPr>
              <w:numPr>
                <w:ilvl w:val="12"/>
                <w:numId w:val="0"/>
              </w:numPr>
              <w:rPr>
                <w:bCs/>
                <w:lang w:val="el-GR"/>
              </w:rPr>
            </w:pPr>
            <w:r w:rsidRPr="006D183F">
              <w:rPr>
                <w:bCs/>
                <w:lang w:val="el-GR"/>
              </w:rPr>
              <w:t>Κοιλιακό άλγος</w:t>
            </w:r>
          </w:p>
          <w:p w:rsidR="00AC64CD" w:rsidRPr="006D183F" w:rsidRDefault="00AC64CD" w:rsidP="00147539">
            <w:pPr>
              <w:numPr>
                <w:ilvl w:val="12"/>
                <w:numId w:val="0"/>
              </w:numPr>
              <w:rPr>
                <w:bCs/>
                <w:lang w:val="el-GR"/>
              </w:rPr>
            </w:pPr>
            <w:r w:rsidRPr="006D183F">
              <w:rPr>
                <w:bCs/>
                <w:lang w:val="el-GR"/>
              </w:rPr>
              <w:t>Δυσκοιλιότητα</w:t>
            </w:r>
          </w:p>
          <w:p w:rsidR="00AC64CD" w:rsidRPr="006D183F" w:rsidRDefault="00AC64CD" w:rsidP="00147539">
            <w:pPr>
              <w:numPr>
                <w:ilvl w:val="12"/>
                <w:numId w:val="0"/>
              </w:numPr>
              <w:rPr>
                <w:bCs/>
                <w:lang w:val="el-GR"/>
              </w:rPr>
            </w:pPr>
            <w:r w:rsidRPr="006D183F">
              <w:rPr>
                <w:bCs/>
                <w:lang w:val="el-GR"/>
              </w:rPr>
              <w:t>Μετεωρισμός</w:t>
            </w:r>
          </w:p>
        </w:tc>
        <w:tc>
          <w:tcPr>
            <w:tcW w:w="741" w:type="pct"/>
          </w:tcPr>
          <w:p w:rsidR="00AC64CD" w:rsidRPr="006D183F" w:rsidRDefault="00AC64CD" w:rsidP="00147539">
            <w:pPr>
              <w:numPr>
                <w:ilvl w:val="12"/>
                <w:numId w:val="0"/>
              </w:numPr>
              <w:rPr>
                <w:bCs/>
                <w:lang w:val="el-GR"/>
              </w:rPr>
            </w:pPr>
            <w:r w:rsidRPr="006D183F">
              <w:rPr>
                <w:bCs/>
                <w:lang w:val="el-GR"/>
              </w:rPr>
              <w:t>Δυσπεψία</w:t>
            </w:r>
          </w:p>
          <w:p w:rsidR="00AC64CD" w:rsidRPr="006D183F" w:rsidRDefault="00AC64CD" w:rsidP="00147539">
            <w:pPr>
              <w:numPr>
                <w:ilvl w:val="12"/>
                <w:numId w:val="0"/>
              </w:numPr>
              <w:rPr>
                <w:bCs/>
                <w:lang w:val="el-GR"/>
              </w:rPr>
            </w:pPr>
            <w:r w:rsidRPr="006D183F">
              <w:rPr>
                <w:bCs/>
                <w:lang w:val="el-GR"/>
              </w:rPr>
              <w:t>Ξηροστομία</w:t>
            </w:r>
          </w:p>
          <w:p w:rsidR="00AC64CD" w:rsidRPr="006D183F" w:rsidRDefault="00AC64CD" w:rsidP="00147539">
            <w:pPr>
              <w:numPr>
                <w:ilvl w:val="12"/>
                <w:numId w:val="0"/>
              </w:numPr>
              <w:rPr>
                <w:bCs/>
                <w:lang w:val="el-GR"/>
              </w:rPr>
            </w:pPr>
            <w:r w:rsidRPr="006D183F">
              <w:rPr>
                <w:bCs/>
                <w:lang w:val="el-GR"/>
              </w:rPr>
              <w:t>Ερυγ</w:t>
            </w:r>
            <w:r w:rsidR="004307CB" w:rsidRPr="006D183F">
              <w:rPr>
                <w:bCs/>
                <w:lang w:val="el-GR"/>
              </w:rPr>
              <w:t>ή</w:t>
            </w:r>
          </w:p>
          <w:p w:rsidR="00AC64CD" w:rsidRPr="006D183F" w:rsidRDefault="00AC64CD" w:rsidP="00147539">
            <w:pPr>
              <w:numPr>
                <w:ilvl w:val="12"/>
                <w:numId w:val="0"/>
              </w:numPr>
              <w:rPr>
                <w:bCs/>
                <w:lang w:val="el-GR"/>
              </w:rPr>
            </w:pPr>
          </w:p>
        </w:tc>
        <w:tc>
          <w:tcPr>
            <w:tcW w:w="1008" w:type="pct"/>
          </w:tcPr>
          <w:p w:rsidR="00AC64CD" w:rsidRPr="006D183F" w:rsidRDefault="00AC64CD" w:rsidP="00147539">
            <w:pPr>
              <w:numPr>
                <w:ilvl w:val="12"/>
                <w:numId w:val="0"/>
              </w:numPr>
              <w:rPr>
                <w:bCs/>
                <w:lang w:val="el-GR"/>
              </w:rPr>
            </w:pPr>
            <w:r w:rsidRPr="006D183F">
              <w:rPr>
                <w:bCs/>
                <w:lang w:val="el-GR"/>
              </w:rPr>
              <w:t xml:space="preserve">Γαστρίτιδα </w:t>
            </w:r>
          </w:p>
          <w:p w:rsidR="00AC64CD" w:rsidRPr="006D183F" w:rsidRDefault="00AC64CD" w:rsidP="00147539">
            <w:pPr>
              <w:numPr>
                <w:ilvl w:val="12"/>
                <w:numId w:val="0"/>
              </w:numPr>
              <w:rPr>
                <w:bCs/>
                <w:lang w:val="el-GR"/>
              </w:rPr>
            </w:pPr>
            <w:r w:rsidRPr="006D183F">
              <w:rPr>
                <w:bCs/>
                <w:lang w:val="el-GR"/>
              </w:rPr>
              <w:t>Στοματίτιδα</w:t>
            </w:r>
          </w:p>
          <w:p w:rsidR="00AC64CD" w:rsidRPr="006D183F" w:rsidRDefault="00AC64CD" w:rsidP="00147539">
            <w:pPr>
              <w:numPr>
                <w:ilvl w:val="12"/>
                <w:numId w:val="0"/>
              </w:numPr>
              <w:rPr>
                <w:bCs/>
                <w:lang w:val="el-GR"/>
              </w:rPr>
            </w:pPr>
            <w:r w:rsidRPr="006D183F">
              <w:rPr>
                <w:bCs/>
                <w:lang w:val="el-GR"/>
              </w:rPr>
              <w:t>Διαταραχή της γεύσης</w:t>
            </w:r>
          </w:p>
        </w:tc>
        <w:tc>
          <w:tcPr>
            <w:tcW w:w="705" w:type="pct"/>
          </w:tcPr>
          <w:p w:rsidR="00AC64CD" w:rsidRPr="006D183F" w:rsidRDefault="00AC64CD" w:rsidP="00147539">
            <w:pPr>
              <w:numPr>
                <w:ilvl w:val="12"/>
                <w:numId w:val="0"/>
              </w:numPr>
              <w:rPr>
                <w:bCs/>
                <w:lang w:val="el-GR"/>
              </w:rPr>
            </w:pPr>
          </w:p>
        </w:tc>
        <w:tc>
          <w:tcPr>
            <w:tcW w:w="764" w:type="pct"/>
          </w:tcPr>
          <w:p w:rsidR="00AC64CD" w:rsidRPr="006D183F" w:rsidRDefault="00AC64CD" w:rsidP="00147539">
            <w:pPr>
              <w:numPr>
                <w:ilvl w:val="12"/>
                <w:numId w:val="0"/>
              </w:numPr>
              <w:rPr>
                <w:bCs/>
                <w:lang w:val="el-GR"/>
              </w:rPr>
            </w:pPr>
          </w:p>
        </w:tc>
      </w:tr>
      <w:tr w:rsidR="00F60222" w:rsidRPr="000008C4" w:rsidTr="006D183F">
        <w:trPr>
          <w:jc w:val="center"/>
        </w:trPr>
        <w:tc>
          <w:tcPr>
            <w:tcW w:w="1105" w:type="pct"/>
          </w:tcPr>
          <w:p w:rsidR="00AC64CD" w:rsidRPr="006D183F" w:rsidRDefault="00AC64CD" w:rsidP="00147539">
            <w:pPr>
              <w:numPr>
                <w:ilvl w:val="12"/>
                <w:numId w:val="0"/>
              </w:numPr>
              <w:rPr>
                <w:bCs/>
                <w:lang w:val="el-GR"/>
              </w:rPr>
            </w:pPr>
            <w:r w:rsidRPr="006D183F">
              <w:rPr>
                <w:bCs/>
                <w:lang w:val="el-GR"/>
              </w:rPr>
              <w:t>Διαταραχές του ήπατος και των χοληφόρων</w:t>
            </w:r>
          </w:p>
        </w:tc>
        <w:tc>
          <w:tcPr>
            <w:tcW w:w="677" w:type="pct"/>
          </w:tcPr>
          <w:p w:rsidR="00AC64CD" w:rsidRPr="006D183F" w:rsidRDefault="00AC64CD" w:rsidP="00147539">
            <w:pPr>
              <w:numPr>
                <w:ilvl w:val="12"/>
                <w:numId w:val="0"/>
              </w:numPr>
              <w:rPr>
                <w:bCs/>
                <w:lang w:val="el-GR"/>
              </w:rPr>
            </w:pPr>
          </w:p>
        </w:tc>
        <w:tc>
          <w:tcPr>
            <w:tcW w:w="741" w:type="pct"/>
          </w:tcPr>
          <w:p w:rsidR="00AC64CD" w:rsidRPr="006D183F" w:rsidRDefault="00AC64CD" w:rsidP="00147539">
            <w:pPr>
              <w:numPr>
                <w:ilvl w:val="12"/>
                <w:numId w:val="0"/>
              </w:numPr>
              <w:rPr>
                <w:bCs/>
                <w:lang w:val="el-GR"/>
              </w:rPr>
            </w:pPr>
          </w:p>
        </w:tc>
        <w:tc>
          <w:tcPr>
            <w:tcW w:w="1008" w:type="pct"/>
          </w:tcPr>
          <w:p w:rsidR="00AC64CD" w:rsidRPr="006D183F" w:rsidRDefault="00AC64CD" w:rsidP="00147539">
            <w:pPr>
              <w:rPr>
                <w:lang w:val="el-GR"/>
              </w:rPr>
            </w:pPr>
            <w:r w:rsidRPr="006D183F">
              <w:rPr>
                <w:lang w:val="el-GR"/>
              </w:rPr>
              <w:t xml:space="preserve">Ηπατίτιδα </w:t>
            </w:r>
          </w:p>
          <w:p w:rsidR="00AC64CD" w:rsidRPr="006D183F" w:rsidRDefault="00AC64CD" w:rsidP="00147539">
            <w:pPr>
              <w:rPr>
                <w:lang w:val="el-GR"/>
              </w:rPr>
            </w:pPr>
            <w:r w:rsidRPr="006D183F">
              <w:rPr>
                <w:lang w:val="el-GR"/>
              </w:rPr>
              <w:t>Ίκτερος</w:t>
            </w:r>
          </w:p>
          <w:p w:rsidR="00AC64CD" w:rsidRPr="006D183F" w:rsidRDefault="00AC64CD" w:rsidP="00147539">
            <w:pPr>
              <w:numPr>
                <w:ilvl w:val="12"/>
                <w:numId w:val="0"/>
              </w:numPr>
              <w:rPr>
                <w:bCs/>
                <w:lang w:val="el-GR"/>
              </w:rPr>
            </w:pPr>
            <w:r w:rsidRPr="006D183F">
              <w:rPr>
                <w:lang w:val="el-GR"/>
              </w:rPr>
              <w:t>Ηπατική εγκεφαλοπάθεια</w:t>
            </w:r>
            <w:r w:rsidRPr="006D183F">
              <w:rPr>
                <w:vertAlign w:val="superscript"/>
              </w:rPr>
              <w:t>3</w:t>
            </w:r>
            <w:r w:rsidRPr="006D183F">
              <w:rPr>
                <w:lang w:val="el-GR"/>
              </w:rPr>
              <w:t xml:space="preserve"> </w:t>
            </w:r>
          </w:p>
        </w:tc>
        <w:tc>
          <w:tcPr>
            <w:tcW w:w="705" w:type="pct"/>
          </w:tcPr>
          <w:p w:rsidR="00AC64CD" w:rsidRPr="006D183F" w:rsidRDefault="00AC64CD" w:rsidP="00147539">
            <w:pPr>
              <w:rPr>
                <w:lang w:val="el-GR"/>
              </w:rPr>
            </w:pPr>
          </w:p>
        </w:tc>
        <w:tc>
          <w:tcPr>
            <w:tcW w:w="764" w:type="pct"/>
          </w:tcPr>
          <w:p w:rsidR="00AC64CD" w:rsidRPr="006D183F" w:rsidRDefault="00AC64CD" w:rsidP="00147539">
            <w:pPr>
              <w:rPr>
                <w:lang w:val="el-GR"/>
              </w:rPr>
            </w:pPr>
          </w:p>
        </w:tc>
      </w:tr>
      <w:tr w:rsidR="00F60222" w:rsidRPr="000008C4" w:rsidTr="006D183F">
        <w:trPr>
          <w:jc w:val="center"/>
        </w:trPr>
        <w:tc>
          <w:tcPr>
            <w:tcW w:w="1105" w:type="pct"/>
          </w:tcPr>
          <w:p w:rsidR="00AC64CD" w:rsidRPr="006D183F" w:rsidRDefault="00AC64CD" w:rsidP="00147539">
            <w:pPr>
              <w:numPr>
                <w:ilvl w:val="12"/>
                <w:numId w:val="0"/>
              </w:numPr>
              <w:rPr>
                <w:bCs/>
                <w:lang w:val="el-GR"/>
              </w:rPr>
            </w:pPr>
            <w:r w:rsidRPr="006D183F">
              <w:rPr>
                <w:bCs/>
                <w:lang w:val="el-GR"/>
              </w:rPr>
              <w:t>Διαταραχές του δέρματος και του υποδόριου ιστού</w:t>
            </w:r>
          </w:p>
        </w:tc>
        <w:tc>
          <w:tcPr>
            <w:tcW w:w="677" w:type="pct"/>
          </w:tcPr>
          <w:p w:rsidR="00AC64CD" w:rsidRPr="006D183F" w:rsidRDefault="00AC64CD" w:rsidP="00147539">
            <w:pPr>
              <w:numPr>
                <w:ilvl w:val="12"/>
                <w:numId w:val="0"/>
              </w:numPr>
              <w:rPr>
                <w:bCs/>
                <w:lang w:val="el-GR"/>
              </w:rPr>
            </w:pPr>
          </w:p>
        </w:tc>
        <w:tc>
          <w:tcPr>
            <w:tcW w:w="741" w:type="pct"/>
          </w:tcPr>
          <w:p w:rsidR="00AC64CD" w:rsidRPr="006D183F" w:rsidRDefault="00AC64CD" w:rsidP="00147539">
            <w:pPr>
              <w:numPr>
                <w:ilvl w:val="12"/>
                <w:numId w:val="0"/>
              </w:numPr>
              <w:rPr>
                <w:bCs/>
              </w:rPr>
            </w:pPr>
            <w:r w:rsidRPr="006D183F">
              <w:rPr>
                <w:bCs/>
                <w:lang w:val="el-GR"/>
              </w:rPr>
              <w:t>Εξάνθημα</w:t>
            </w:r>
          </w:p>
          <w:p w:rsidR="00AC64CD" w:rsidRPr="006D183F" w:rsidRDefault="00AC64CD" w:rsidP="00147539">
            <w:pPr>
              <w:numPr>
                <w:ilvl w:val="12"/>
                <w:numId w:val="0"/>
              </w:numPr>
              <w:rPr>
                <w:bCs/>
              </w:rPr>
            </w:pPr>
            <w:r w:rsidRPr="006D183F">
              <w:rPr>
                <w:bCs/>
                <w:lang w:val="el-GR"/>
              </w:rPr>
              <w:t>Ερύθημα</w:t>
            </w:r>
            <w:r w:rsidRPr="006D183F">
              <w:rPr>
                <w:bCs/>
                <w:vertAlign w:val="superscript"/>
              </w:rPr>
              <w:t>2</w:t>
            </w:r>
          </w:p>
        </w:tc>
        <w:tc>
          <w:tcPr>
            <w:tcW w:w="1008" w:type="pct"/>
          </w:tcPr>
          <w:p w:rsidR="00AC64CD" w:rsidRPr="006D183F" w:rsidRDefault="00AC64CD" w:rsidP="00147539">
            <w:pPr>
              <w:numPr>
                <w:ilvl w:val="12"/>
                <w:numId w:val="0"/>
              </w:numPr>
              <w:rPr>
                <w:bCs/>
                <w:lang w:val="el-GR"/>
              </w:rPr>
            </w:pPr>
            <w:r w:rsidRPr="006D183F">
              <w:rPr>
                <w:bCs/>
                <w:lang w:val="el-GR"/>
              </w:rPr>
              <w:t>Κνησμός</w:t>
            </w:r>
          </w:p>
          <w:p w:rsidR="00AC64CD" w:rsidRPr="006D183F" w:rsidRDefault="00AC64CD" w:rsidP="00147539">
            <w:pPr>
              <w:numPr>
                <w:ilvl w:val="12"/>
                <w:numId w:val="0"/>
              </w:numPr>
              <w:rPr>
                <w:bCs/>
                <w:lang w:val="el-GR"/>
              </w:rPr>
            </w:pPr>
            <w:r w:rsidRPr="006D183F">
              <w:rPr>
                <w:bCs/>
                <w:lang w:val="el-GR"/>
              </w:rPr>
              <w:t xml:space="preserve">Εφίδρωση </w:t>
            </w:r>
          </w:p>
          <w:p w:rsidR="00AC64CD" w:rsidRPr="006D183F" w:rsidRDefault="00AC64CD" w:rsidP="006D183F">
            <w:pPr>
              <w:numPr>
                <w:ilvl w:val="12"/>
                <w:numId w:val="0"/>
              </w:numPr>
              <w:rPr>
                <w:bCs/>
                <w:lang w:val="el-GR"/>
              </w:rPr>
            </w:pPr>
            <w:r w:rsidRPr="006D183F">
              <w:rPr>
                <w:bCs/>
                <w:lang w:val="el-GR"/>
              </w:rPr>
              <w:t>Φυσαλιδώδεις αντιδράσεις</w:t>
            </w:r>
            <w:r w:rsidRPr="006D183F">
              <w:rPr>
                <w:bCs/>
                <w:vertAlign w:val="superscript"/>
                <w:lang w:val="el-GR"/>
              </w:rPr>
              <w:t>2</w:t>
            </w:r>
          </w:p>
        </w:tc>
        <w:tc>
          <w:tcPr>
            <w:tcW w:w="705" w:type="pct"/>
          </w:tcPr>
          <w:p w:rsidR="00AC64CD" w:rsidRPr="006D183F" w:rsidRDefault="00AC64CD" w:rsidP="00147539">
            <w:pPr>
              <w:numPr>
                <w:ilvl w:val="12"/>
                <w:numId w:val="0"/>
              </w:numPr>
              <w:rPr>
                <w:bCs/>
                <w:lang w:val="el-GR"/>
              </w:rPr>
            </w:pPr>
            <w:r w:rsidRPr="006D183F">
              <w:rPr>
                <w:lang w:val="el-GR"/>
              </w:rPr>
              <w:t xml:space="preserve">Πολύμορφο ερύθημα </w:t>
            </w:r>
            <w:r w:rsidR="009B2786" w:rsidRPr="006D183F">
              <w:rPr>
                <w:lang w:val="el-GR"/>
              </w:rPr>
              <w:t xml:space="preserve">Τοξική </w:t>
            </w:r>
            <w:r w:rsidRPr="006D183F">
              <w:rPr>
                <w:lang w:val="el-GR"/>
              </w:rPr>
              <w:t>επιδερμική νεκρόλυση (</w:t>
            </w:r>
            <w:r w:rsidRPr="006D183F">
              <w:rPr>
                <w:lang w:val="en-GB"/>
              </w:rPr>
              <w:t>TEN</w:t>
            </w:r>
            <w:r w:rsidRPr="006D183F">
              <w:rPr>
                <w:lang w:val="el-GR"/>
              </w:rPr>
              <w:t xml:space="preserve">) </w:t>
            </w:r>
            <w:r w:rsidR="009B2786" w:rsidRPr="006D183F">
              <w:rPr>
                <w:lang w:val="el-GR"/>
              </w:rPr>
              <w:t xml:space="preserve">Σύνδρομο </w:t>
            </w:r>
            <w:r w:rsidRPr="006D183F">
              <w:rPr>
                <w:lang w:val="en-GB"/>
              </w:rPr>
              <w:lastRenderedPageBreak/>
              <w:t>Stevens</w:t>
            </w:r>
            <w:r w:rsidRPr="006D183F">
              <w:rPr>
                <w:lang w:val="el-GR"/>
              </w:rPr>
              <w:t>-</w:t>
            </w:r>
            <w:r w:rsidRPr="006D183F">
              <w:rPr>
                <w:lang w:val="en-GB"/>
              </w:rPr>
              <w:t>Johnson</w:t>
            </w:r>
            <w:r w:rsidRPr="006D183F">
              <w:rPr>
                <w:lang w:val="el-GR"/>
              </w:rPr>
              <w:t xml:space="preserve"> (</w:t>
            </w:r>
            <w:r w:rsidRPr="006D183F">
              <w:rPr>
                <w:lang w:val="en-GB"/>
              </w:rPr>
              <w:t>SJS</w:t>
            </w:r>
            <w:r w:rsidRPr="006D183F">
              <w:rPr>
                <w:lang w:val="el-GR"/>
              </w:rPr>
              <w:t>)</w:t>
            </w:r>
          </w:p>
        </w:tc>
        <w:tc>
          <w:tcPr>
            <w:tcW w:w="764" w:type="pct"/>
          </w:tcPr>
          <w:p w:rsidR="00AC64CD" w:rsidRPr="006D183F" w:rsidRDefault="00AC64CD" w:rsidP="00147539">
            <w:pPr>
              <w:numPr>
                <w:ilvl w:val="12"/>
                <w:numId w:val="0"/>
              </w:numPr>
              <w:rPr>
                <w:lang w:val="el-GR"/>
              </w:rPr>
            </w:pPr>
          </w:p>
        </w:tc>
      </w:tr>
      <w:tr w:rsidR="00F60222" w:rsidRPr="000008C4" w:rsidTr="006D183F">
        <w:trPr>
          <w:trHeight w:val="880"/>
          <w:jc w:val="center"/>
        </w:trPr>
        <w:tc>
          <w:tcPr>
            <w:tcW w:w="1105" w:type="pct"/>
          </w:tcPr>
          <w:p w:rsidR="00AC64CD" w:rsidRPr="006D183F" w:rsidRDefault="001B7178" w:rsidP="00147539">
            <w:pPr>
              <w:numPr>
                <w:ilvl w:val="12"/>
                <w:numId w:val="0"/>
              </w:numPr>
              <w:rPr>
                <w:bCs/>
                <w:lang w:val="el-GR"/>
              </w:rPr>
            </w:pPr>
            <w:r w:rsidRPr="006D183F">
              <w:rPr>
                <w:bCs/>
                <w:lang w:val="el-GR"/>
              </w:rPr>
              <w:lastRenderedPageBreak/>
              <w:t>Διαταραχές του μυοσκελετικού συστήματος</w:t>
            </w:r>
            <w:r w:rsidR="004D461F" w:rsidRPr="006D183F">
              <w:rPr>
                <w:bCs/>
                <w:lang w:val="el-GR"/>
              </w:rPr>
              <w:t>,</w:t>
            </w:r>
            <w:r w:rsidRPr="006D183F">
              <w:rPr>
                <w:bCs/>
                <w:lang w:val="el-GR"/>
              </w:rPr>
              <w:t xml:space="preserve"> του συνδετικού ιστού</w:t>
            </w:r>
            <w:r w:rsidR="004D461F" w:rsidRPr="006D183F">
              <w:rPr>
                <w:bCs/>
                <w:lang w:val="el-GR"/>
              </w:rPr>
              <w:t xml:space="preserve"> και των οστών</w:t>
            </w:r>
          </w:p>
        </w:tc>
        <w:tc>
          <w:tcPr>
            <w:tcW w:w="677" w:type="pct"/>
          </w:tcPr>
          <w:p w:rsidR="00AC64CD" w:rsidRPr="006D183F" w:rsidRDefault="00AC64CD" w:rsidP="00147539">
            <w:pPr>
              <w:numPr>
                <w:ilvl w:val="12"/>
                <w:numId w:val="0"/>
              </w:numPr>
              <w:rPr>
                <w:bCs/>
                <w:lang w:val="el-GR"/>
              </w:rPr>
            </w:pPr>
            <w:r w:rsidRPr="006D183F">
              <w:rPr>
                <w:bCs/>
                <w:lang w:val="el-GR"/>
              </w:rPr>
              <w:t>Μη ειδικός πόνος Οσφυαλγία</w:t>
            </w:r>
          </w:p>
        </w:tc>
        <w:tc>
          <w:tcPr>
            <w:tcW w:w="741" w:type="pct"/>
          </w:tcPr>
          <w:p w:rsidR="00AC64CD" w:rsidRPr="006D183F" w:rsidRDefault="00AC64CD" w:rsidP="00147539">
            <w:pPr>
              <w:numPr>
                <w:ilvl w:val="12"/>
                <w:numId w:val="0"/>
              </w:numPr>
              <w:rPr>
                <w:bCs/>
                <w:lang w:val="el-GR"/>
              </w:rPr>
            </w:pPr>
            <w:r w:rsidRPr="006D183F">
              <w:rPr>
                <w:bCs/>
                <w:lang w:val="el-GR"/>
              </w:rPr>
              <w:t>Μυαλγία</w:t>
            </w:r>
          </w:p>
          <w:p w:rsidR="00AC64CD" w:rsidRPr="006D183F" w:rsidRDefault="00AC64CD" w:rsidP="00147539">
            <w:pPr>
              <w:numPr>
                <w:ilvl w:val="12"/>
                <w:numId w:val="0"/>
              </w:numPr>
              <w:rPr>
                <w:bCs/>
                <w:lang w:val="el-GR"/>
              </w:rPr>
            </w:pPr>
            <w:r w:rsidRPr="006D183F">
              <w:rPr>
                <w:bCs/>
                <w:lang w:val="el-GR"/>
              </w:rPr>
              <w:t>Κράμπες των κάτω άκρων</w:t>
            </w:r>
          </w:p>
          <w:p w:rsidR="00AC64CD" w:rsidRPr="006D183F" w:rsidRDefault="00AC64CD" w:rsidP="00147539">
            <w:pPr>
              <w:numPr>
                <w:ilvl w:val="12"/>
                <w:numId w:val="0"/>
              </w:numPr>
              <w:rPr>
                <w:bCs/>
                <w:lang w:val="el-GR"/>
              </w:rPr>
            </w:pPr>
            <w:r w:rsidRPr="006D183F">
              <w:rPr>
                <w:bCs/>
                <w:lang w:val="el-GR"/>
              </w:rPr>
              <w:t>Αρθραλγία</w:t>
            </w:r>
          </w:p>
          <w:p w:rsidR="00300331" w:rsidRPr="006D183F" w:rsidRDefault="00300331" w:rsidP="00147539">
            <w:pPr>
              <w:numPr>
                <w:ilvl w:val="12"/>
                <w:numId w:val="0"/>
              </w:numPr>
              <w:rPr>
                <w:bCs/>
                <w:lang w:val="el-GR"/>
              </w:rPr>
            </w:pPr>
            <w:r w:rsidRPr="006D183F">
              <w:rPr>
                <w:bCs/>
                <w:lang w:val="el-GR"/>
              </w:rPr>
              <w:t>Κάταγμα του ισχίου, του καρπού ή της σπονδυλικής στήλης</w:t>
            </w:r>
            <w:r w:rsidR="0045574E" w:rsidRPr="006D183F">
              <w:rPr>
                <w:bCs/>
                <w:vertAlign w:val="superscript"/>
                <w:lang w:val="el-GR"/>
              </w:rPr>
              <w:t>4</w:t>
            </w:r>
          </w:p>
        </w:tc>
        <w:tc>
          <w:tcPr>
            <w:tcW w:w="1008" w:type="pct"/>
          </w:tcPr>
          <w:p w:rsidR="00AC64CD" w:rsidRPr="006D183F" w:rsidRDefault="00AC64CD" w:rsidP="00147539">
            <w:pPr>
              <w:numPr>
                <w:ilvl w:val="12"/>
                <w:numId w:val="0"/>
              </w:numPr>
              <w:rPr>
                <w:bCs/>
                <w:lang w:val="el-GR"/>
              </w:rPr>
            </w:pPr>
          </w:p>
        </w:tc>
        <w:tc>
          <w:tcPr>
            <w:tcW w:w="705" w:type="pct"/>
          </w:tcPr>
          <w:p w:rsidR="00AC64CD" w:rsidRPr="006D183F" w:rsidRDefault="00AC64CD" w:rsidP="00147539">
            <w:pPr>
              <w:numPr>
                <w:ilvl w:val="12"/>
                <w:numId w:val="0"/>
              </w:numPr>
              <w:rPr>
                <w:bCs/>
                <w:lang w:val="el-GR"/>
              </w:rPr>
            </w:pPr>
          </w:p>
        </w:tc>
        <w:tc>
          <w:tcPr>
            <w:tcW w:w="764" w:type="pct"/>
          </w:tcPr>
          <w:p w:rsidR="00AC64CD" w:rsidRPr="006D183F" w:rsidRDefault="00AC64CD" w:rsidP="00147539">
            <w:pPr>
              <w:numPr>
                <w:ilvl w:val="12"/>
                <w:numId w:val="0"/>
              </w:numPr>
              <w:rPr>
                <w:bCs/>
                <w:lang w:val="el-GR"/>
              </w:rPr>
            </w:pPr>
          </w:p>
        </w:tc>
      </w:tr>
      <w:tr w:rsidR="00F60222" w:rsidRPr="000008C4" w:rsidTr="006D183F">
        <w:trPr>
          <w:jc w:val="center"/>
        </w:trPr>
        <w:tc>
          <w:tcPr>
            <w:tcW w:w="1105" w:type="pct"/>
          </w:tcPr>
          <w:p w:rsidR="00AC64CD" w:rsidRPr="006D183F" w:rsidRDefault="00AC64CD" w:rsidP="00147539">
            <w:pPr>
              <w:numPr>
                <w:ilvl w:val="12"/>
                <w:numId w:val="0"/>
              </w:numPr>
              <w:rPr>
                <w:bCs/>
                <w:lang w:val="el-GR"/>
              </w:rPr>
            </w:pPr>
            <w:r w:rsidRPr="006D183F">
              <w:rPr>
                <w:bCs/>
                <w:lang w:val="el-GR"/>
              </w:rPr>
              <w:t xml:space="preserve">Διαταραχές των νεφρών και των ουροφόρων οδών </w:t>
            </w:r>
          </w:p>
        </w:tc>
        <w:tc>
          <w:tcPr>
            <w:tcW w:w="677" w:type="pct"/>
          </w:tcPr>
          <w:p w:rsidR="00AC64CD" w:rsidRPr="006D183F" w:rsidRDefault="00AC64CD" w:rsidP="00147539">
            <w:pPr>
              <w:numPr>
                <w:ilvl w:val="12"/>
                <w:numId w:val="0"/>
              </w:numPr>
              <w:rPr>
                <w:bCs/>
                <w:lang w:val="el-GR"/>
              </w:rPr>
            </w:pPr>
          </w:p>
        </w:tc>
        <w:tc>
          <w:tcPr>
            <w:tcW w:w="741" w:type="pct"/>
          </w:tcPr>
          <w:p w:rsidR="00AC64CD" w:rsidRPr="006D183F" w:rsidRDefault="00AC64CD" w:rsidP="00147539">
            <w:pPr>
              <w:numPr>
                <w:ilvl w:val="12"/>
                <w:numId w:val="0"/>
              </w:numPr>
              <w:rPr>
                <w:bCs/>
                <w:lang w:val="el-GR"/>
              </w:rPr>
            </w:pPr>
            <w:r w:rsidRPr="006D183F">
              <w:rPr>
                <w:bCs/>
                <w:lang w:val="el-GR"/>
              </w:rPr>
              <w:t>Ουρολοίμωξη</w:t>
            </w:r>
          </w:p>
        </w:tc>
        <w:tc>
          <w:tcPr>
            <w:tcW w:w="1008" w:type="pct"/>
          </w:tcPr>
          <w:p w:rsidR="00AC64CD" w:rsidRPr="006D183F" w:rsidRDefault="00AC64CD" w:rsidP="00147539">
            <w:pPr>
              <w:numPr>
                <w:ilvl w:val="12"/>
                <w:numId w:val="0"/>
              </w:numPr>
              <w:rPr>
                <w:bCs/>
                <w:lang w:val="el-GR"/>
              </w:rPr>
            </w:pPr>
            <w:r w:rsidRPr="006D183F">
              <w:rPr>
                <w:bCs/>
                <w:lang w:val="el-GR"/>
              </w:rPr>
              <w:t>Εντερική νεφρίτιδα</w:t>
            </w:r>
          </w:p>
        </w:tc>
        <w:tc>
          <w:tcPr>
            <w:tcW w:w="705" w:type="pct"/>
          </w:tcPr>
          <w:p w:rsidR="00AC64CD" w:rsidRPr="006D183F" w:rsidRDefault="00AC64CD" w:rsidP="00147539">
            <w:pPr>
              <w:numPr>
                <w:ilvl w:val="12"/>
                <w:numId w:val="0"/>
              </w:numPr>
              <w:rPr>
                <w:bCs/>
                <w:lang w:val="el-GR"/>
              </w:rPr>
            </w:pPr>
          </w:p>
        </w:tc>
        <w:tc>
          <w:tcPr>
            <w:tcW w:w="764" w:type="pct"/>
          </w:tcPr>
          <w:p w:rsidR="00AC64CD" w:rsidRPr="006D183F" w:rsidRDefault="00AC64CD" w:rsidP="00147539">
            <w:pPr>
              <w:numPr>
                <w:ilvl w:val="12"/>
                <w:numId w:val="0"/>
              </w:numPr>
              <w:rPr>
                <w:bCs/>
                <w:lang w:val="el-GR"/>
              </w:rPr>
            </w:pPr>
          </w:p>
        </w:tc>
      </w:tr>
      <w:tr w:rsidR="00F60222" w:rsidRPr="000008C4" w:rsidTr="006D183F">
        <w:trPr>
          <w:jc w:val="center"/>
        </w:trPr>
        <w:tc>
          <w:tcPr>
            <w:tcW w:w="1105" w:type="pct"/>
          </w:tcPr>
          <w:p w:rsidR="009B0BDB" w:rsidRPr="006D183F" w:rsidRDefault="009B0BDB" w:rsidP="00147539">
            <w:pPr>
              <w:numPr>
                <w:ilvl w:val="12"/>
                <w:numId w:val="0"/>
              </w:numPr>
              <w:rPr>
                <w:bCs/>
                <w:lang w:val="el-GR"/>
              </w:rPr>
            </w:pPr>
            <w:r w:rsidRPr="006D183F">
              <w:rPr>
                <w:bCs/>
                <w:lang w:val="el-GR"/>
              </w:rPr>
              <w:t>Διαταραχές του αναπαραγωγικού συστήματος και του μαστού</w:t>
            </w:r>
          </w:p>
        </w:tc>
        <w:tc>
          <w:tcPr>
            <w:tcW w:w="677" w:type="pct"/>
          </w:tcPr>
          <w:p w:rsidR="009B0BDB" w:rsidRPr="006D183F" w:rsidRDefault="009B0BDB" w:rsidP="00147539">
            <w:pPr>
              <w:numPr>
                <w:ilvl w:val="12"/>
                <w:numId w:val="0"/>
              </w:numPr>
              <w:rPr>
                <w:bCs/>
                <w:lang w:val="el-GR"/>
              </w:rPr>
            </w:pPr>
          </w:p>
        </w:tc>
        <w:tc>
          <w:tcPr>
            <w:tcW w:w="741" w:type="pct"/>
          </w:tcPr>
          <w:p w:rsidR="009B0BDB" w:rsidRPr="006D183F" w:rsidRDefault="009B0BDB" w:rsidP="00147539">
            <w:pPr>
              <w:numPr>
                <w:ilvl w:val="12"/>
                <w:numId w:val="0"/>
              </w:numPr>
              <w:rPr>
                <w:bCs/>
                <w:lang w:val="el-GR"/>
              </w:rPr>
            </w:pPr>
          </w:p>
        </w:tc>
        <w:tc>
          <w:tcPr>
            <w:tcW w:w="1008" w:type="pct"/>
          </w:tcPr>
          <w:p w:rsidR="009B0BDB" w:rsidRPr="006D183F" w:rsidRDefault="009B0BDB" w:rsidP="00147539">
            <w:pPr>
              <w:numPr>
                <w:ilvl w:val="12"/>
                <w:numId w:val="0"/>
              </w:numPr>
              <w:rPr>
                <w:bCs/>
                <w:lang w:val="el-GR"/>
              </w:rPr>
            </w:pPr>
          </w:p>
        </w:tc>
        <w:tc>
          <w:tcPr>
            <w:tcW w:w="705" w:type="pct"/>
          </w:tcPr>
          <w:p w:rsidR="009B0BDB" w:rsidRPr="006D183F" w:rsidRDefault="009B0BDB" w:rsidP="00147539">
            <w:pPr>
              <w:numPr>
                <w:ilvl w:val="12"/>
                <w:numId w:val="0"/>
              </w:numPr>
              <w:rPr>
                <w:bCs/>
                <w:lang w:val="el-GR"/>
              </w:rPr>
            </w:pPr>
          </w:p>
        </w:tc>
        <w:tc>
          <w:tcPr>
            <w:tcW w:w="764" w:type="pct"/>
          </w:tcPr>
          <w:p w:rsidR="009B0BDB" w:rsidRPr="006D183F" w:rsidRDefault="009B0BDB" w:rsidP="00147539">
            <w:pPr>
              <w:numPr>
                <w:ilvl w:val="12"/>
                <w:numId w:val="0"/>
              </w:numPr>
              <w:rPr>
                <w:bCs/>
                <w:lang w:val="el-GR"/>
              </w:rPr>
            </w:pPr>
            <w:r w:rsidRPr="006D183F">
              <w:t>Γυναικομαστία</w:t>
            </w:r>
          </w:p>
        </w:tc>
      </w:tr>
      <w:tr w:rsidR="00F60222" w:rsidRPr="000008C4" w:rsidTr="006D183F">
        <w:trPr>
          <w:trHeight w:val="860"/>
          <w:jc w:val="center"/>
        </w:trPr>
        <w:tc>
          <w:tcPr>
            <w:tcW w:w="1105" w:type="pct"/>
          </w:tcPr>
          <w:p w:rsidR="009B0BDB" w:rsidRPr="006D183F" w:rsidRDefault="009B0BDB" w:rsidP="00147539">
            <w:pPr>
              <w:numPr>
                <w:ilvl w:val="12"/>
                <w:numId w:val="0"/>
              </w:numPr>
              <w:rPr>
                <w:bCs/>
                <w:lang w:val="el-GR"/>
              </w:rPr>
            </w:pPr>
            <w:r w:rsidRPr="006D183F">
              <w:rPr>
                <w:bCs/>
                <w:lang w:val="el-GR"/>
              </w:rPr>
              <w:t>Γενικές διαταραχές και καταστάσεις της οδού χορήγησης</w:t>
            </w:r>
          </w:p>
        </w:tc>
        <w:tc>
          <w:tcPr>
            <w:tcW w:w="677" w:type="pct"/>
          </w:tcPr>
          <w:p w:rsidR="009B0BDB" w:rsidRPr="006D183F" w:rsidRDefault="009B0BDB" w:rsidP="00147539">
            <w:pPr>
              <w:numPr>
                <w:ilvl w:val="12"/>
                <w:numId w:val="0"/>
              </w:numPr>
              <w:rPr>
                <w:bCs/>
                <w:lang w:val="el-GR"/>
              </w:rPr>
            </w:pPr>
            <w:r w:rsidRPr="006D183F">
              <w:rPr>
                <w:bCs/>
                <w:lang w:val="el-GR"/>
              </w:rPr>
              <w:t>Αδυναμία</w:t>
            </w:r>
          </w:p>
          <w:p w:rsidR="009B0BDB" w:rsidRPr="006D183F" w:rsidRDefault="009B0BDB" w:rsidP="00147539">
            <w:pPr>
              <w:numPr>
                <w:ilvl w:val="12"/>
                <w:numId w:val="0"/>
              </w:numPr>
              <w:rPr>
                <w:bCs/>
                <w:lang w:val="el-GR"/>
              </w:rPr>
            </w:pPr>
            <w:r w:rsidRPr="006D183F">
              <w:rPr>
                <w:bCs/>
                <w:lang w:val="el-GR"/>
              </w:rPr>
              <w:t>Γριπώδης συνδρομή</w:t>
            </w:r>
          </w:p>
        </w:tc>
        <w:tc>
          <w:tcPr>
            <w:tcW w:w="741" w:type="pct"/>
          </w:tcPr>
          <w:p w:rsidR="009B0BDB" w:rsidRPr="006D183F" w:rsidRDefault="009B0BDB" w:rsidP="00147539">
            <w:pPr>
              <w:numPr>
                <w:ilvl w:val="12"/>
                <w:numId w:val="0"/>
              </w:numPr>
              <w:rPr>
                <w:bCs/>
                <w:lang w:val="el-GR"/>
              </w:rPr>
            </w:pPr>
            <w:r w:rsidRPr="006D183F">
              <w:rPr>
                <w:bCs/>
                <w:lang w:val="el-GR"/>
              </w:rPr>
              <w:t>Θωρακικό άλγος</w:t>
            </w:r>
          </w:p>
          <w:p w:rsidR="009B0BDB" w:rsidRPr="006D183F" w:rsidRDefault="009B0BDB" w:rsidP="00147539">
            <w:pPr>
              <w:numPr>
                <w:ilvl w:val="12"/>
                <w:numId w:val="0"/>
              </w:numPr>
              <w:rPr>
                <w:bCs/>
                <w:lang w:val="el-GR"/>
              </w:rPr>
            </w:pPr>
            <w:r w:rsidRPr="006D183F">
              <w:rPr>
                <w:bCs/>
                <w:lang w:val="el-GR"/>
              </w:rPr>
              <w:t>Ρίγη</w:t>
            </w:r>
          </w:p>
          <w:p w:rsidR="009B0BDB" w:rsidRPr="006D183F" w:rsidRDefault="009B0BDB" w:rsidP="00147539">
            <w:pPr>
              <w:numPr>
                <w:ilvl w:val="12"/>
                <w:numId w:val="0"/>
              </w:numPr>
              <w:rPr>
                <w:bCs/>
                <w:lang w:val="el-GR"/>
              </w:rPr>
            </w:pPr>
            <w:r w:rsidRPr="006D183F">
              <w:rPr>
                <w:bCs/>
                <w:lang w:val="el-GR"/>
              </w:rPr>
              <w:t>Πυρεξία</w:t>
            </w:r>
          </w:p>
        </w:tc>
        <w:tc>
          <w:tcPr>
            <w:tcW w:w="1008" w:type="pct"/>
          </w:tcPr>
          <w:p w:rsidR="009B0BDB" w:rsidRPr="006D183F" w:rsidRDefault="009B0BDB" w:rsidP="00147539">
            <w:pPr>
              <w:numPr>
                <w:ilvl w:val="12"/>
                <w:numId w:val="0"/>
              </w:numPr>
              <w:rPr>
                <w:bCs/>
                <w:lang w:val="el-GR"/>
              </w:rPr>
            </w:pPr>
          </w:p>
        </w:tc>
        <w:tc>
          <w:tcPr>
            <w:tcW w:w="705" w:type="pct"/>
          </w:tcPr>
          <w:p w:rsidR="009B0BDB" w:rsidRPr="006D183F" w:rsidRDefault="009B0BDB" w:rsidP="00147539">
            <w:pPr>
              <w:numPr>
                <w:ilvl w:val="12"/>
                <w:numId w:val="0"/>
              </w:numPr>
              <w:rPr>
                <w:bCs/>
                <w:lang w:val="el-GR"/>
              </w:rPr>
            </w:pPr>
          </w:p>
        </w:tc>
        <w:tc>
          <w:tcPr>
            <w:tcW w:w="764" w:type="pct"/>
          </w:tcPr>
          <w:p w:rsidR="009B0BDB" w:rsidRPr="006D183F" w:rsidRDefault="009B0BDB" w:rsidP="00147539">
            <w:pPr>
              <w:numPr>
                <w:ilvl w:val="12"/>
                <w:numId w:val="0"/>
              </w:numPr>
              <w:rPr>
                <w:bCs/>
                <w:lang w:val="el-GR"/>
              </w:rPr>
            </w:pPr>
          </w:p>
        </w:tc>
      </w:tr>
      <w:tr w:rsidR="00F60222" w:rsidRPr="000008C4" w:rsidTr="006D183F">
        <w:trPr>
          <w:trHeight w:val="860"/>
          <w:jc w:val="center"/>
        </w:trPr>
        <w:tc>
          <w:tcPr>
            <w:tcW w:w="1105" w:type="pct"/>
          </w:tcPr>
          <w:p w:rsidR="009B0BDB" w:rsidRPr="006D183F" w:rsidRDefault="009B0BDB" w:rsidP="00147539">
            <w:pPr>
              <w:numPr>
                <w:ilvl w:val="12"/>
                <w:numId w:val="0"/>
              </w:numPr>
              <w:rPr>
                <w:bCs/>
                <w:lang w:val="el-GR"/>
              </w:rPr>
            </w:pPr>
            <w:r w:rsidRPr="006D183F">
              <w:rPr>
                <w:bCs/>
                <w:lang w:val="el-GR"/>
              </w:rPr>
              <w:t>Παρακλινικές εξετάσεις</w:t>
            </w:r>
          </w:p>
        </w:tc>
        <w:tc>
          <w:tcPr>
            <w:tcW w:w="677" w:type="pct"/>
          </w:tcPr>
          <w:p w:rsidR="009B0BDB" w:rsidRPr="006D183F" w:rsidRDefault="009B0BDB" w:rsidP="00147539">
            <w:pPr>
              <w:numPr>
                <w:ilvl w:val="12"/>
                <w:numId w:val="0"/>
              </w:numPr>
              <w:rPr>
                <w:bCs/>
                <w:lang w:val="el-GR"/>
              </w:rPr>
            </w:pPr>
          </w:p>
        </w:tc>
        <w:tc>
          <w:tcPr>
            <w:tcW w:w="741" w:type="pct"/>
          </w:tcPr>
          <w:p w:rsidR="009B0BDB" w:rsidRPr="006D183F" w:rsidRDefault="009B0BDB" w:rsidP="00147539">
            <w:pPr>
              <w:numPr>
                <w:ilvl w:val="12"/>
                <w:numId w:val="0"/>
              </w:numPr>
              <w:rPr>
                <w:bCs/>
                <w:lang w:val="el-GR"/>
              </w:rPr>
            </w:pPr>
            <w:r w:rsidRPr="006D183F">
              <w:rPr>
                <w:bCs/>
                <w:lang w:val="el-GR"/>
              </w:rPr>
              <w:t>Αυξημένα ηπατικά ένζυμα</w:t>
            </w:r>
            <w:r w:rsidRPr="006D183F">
              <w:rPr>
                <w:bCs/>
                <w:vertAlign w:val="superscript"/>
                <w:lang w:val="el-GR"/>
              </w:rPr>
              <w:t>3</w:t>
            </w:r>
          </w:p>
          <w:p w:rsidR="009B0BDB" w:rsidRPr="006D183F" w:rsidRDefault="009B0BDB" w:rsidP="00147539">
            <w:pPr>
              <w:numPr>
                <w:ilvl w:val="12"/>
                <w:numId w:val="0"/>
              </w:numPr>
              <w:rPr>
                <w:bCs/>
                <w:lang w:val="el-GR"/>
              </w:rPr>
            </w:pPr>
          </w:p>
        </w:tc>
        <w:tc>
          <w:tcPr>
            <w:tcW w:w="1008" w:type="pct"/>
          </w:tcPr>
          <w:p w:rsidR="009B0BDB" w:rsidRPr="006D183F" w:rsidRDefault="009B0BDB" w:rsidP="00147539">
            <w:pPr>
              <w:numPr>
                <w:ilvl w:val="12"/>
                <w:numId w:val="0"/>
              </w:numPr>
              <w:rPr>
                <w:bCs/>
                <w:lang w:val="el-GR"/>
              </w:rPr>
            </w:pPr>
            <w:r w:rsidRPr="006D183F">
              <w:rPr>
                <w:bCs/>
                <w:lang w:val="el-GR"/>
              </w:rPr>
              <w:t>Σωματικό βάρος αυξημένο</w:t>
            </w:r>
          </w:p>
        </w:tc>
        <w:tc>
          <w:tcPr>
            <w:tcW w:w="705" w:type="pct"/>
          </w:tcPr>
          <w:p w:rsidR="009B0BDB" w:rsidRPr="006D183F" w:rsidRDefault="009B0BDB" w:rsidP="00147539">
            <w:pPr>
              <w:numPr>
                <w:ilvl w:val="12"/>
                <w:numId w:val="0"/>
              </w:numPr>
              <w:rPr>
                <w:bCs/>
                <w:lang w:val="el-GR"/>
              </w:rPr>
            </w:pPr>
          </w:p>
        </w:tc>
        <w:tc>
          <w:tcPr>
            <w:tcW w:w="764" w:type="pct"/>
          </w:tcPr>
          <w:p w:rsidR="009B0BDB" w:rsidRPr="006D183F" w:rsidRDefault="009B0BDB" w:rsidP="00147539">
            <w:pPr>
              <w:numPr>
                <w:ilvl w:val="12"/>
                <w:numId w:val="0"/>
              </w:numPr>
              <w:rPr>
                <w:bCs/>
                <w:lang w:val="el-GR"/>
              </w:rPr>
            </w:pPr>
          </w:p>
        </w:tc>
      </w:tr>
    </w:tbl>
    <w:p w:rsidR="007B24CB" w:rsidRPr="000008C4" w:rsidRDefault="007B24CB" w:rsidP="006D183F">
      <w:pPr>
        <w:rPr>
          <w:sz w:val="22"/>
          <w:szCs w:val="22"/>
          <w:lang w:val="el-GR"/>
        </w:rPr>
      </w:pPr>
    </w:p>
    <w:p w:rsidR="007B24CB" w:rsidRPr="006D183F" w:rsidRDefault="007B24CB" w:rsidP="00147539">
      <w:pPr>
        <w:ind w:left="720"/>
        <w:rPr>
          <w:lang w:val="el-GR"/>
        </w:rPr>
      </w:pPr>
      <w:r w:rsidRPr="006D183F">
        <w:rPr>
          <w:vertAlign w:val="superscript"/>
          <w:lang w:val="el-GR"/>
        </w:rPr>
        <w:t>1</w:t>
      </w:r>
      <w:r w:rsidRPr="006D183F">
        <w:rPr>
          <w:lang w:val="el-GR"/>
        </w:rPr>
        <w:t xml:space="preserve"> Περιλαμβάνει οίδημα προσώπου, υπόταση</w:t>
      </w:r>
      <w:r w:rsidR="00FC3437" w:rsidRPr="006D183F">
        <w:rPr>
          <w:lang w:val="el-GR"/>
        </w:rPr>
        <w:t xml:space="preserve"> και</w:t>
      </w:r>
      <w:r w:rsidRPr="006D183F">
        <w:rPr>
          <w:lang w:val="el-GR"/>
        </w:rPr>
        <w:t xml:space="preserve"> δύσπνοια</w:t>
      </w:r>
    </w:p>
    <w:p w:rsidR="007B24CB" w:rsidRPr="006D183F" w:rsidRDefault="007B24CB" w:rsidP="00147539">
      <w:pPr>
        <w:ind w:left="720"/>
        <w:rPr>
          <w:lang w:val="el-GR"/>
        </w:rPr>
      </w:pPr>
      <w:r w:rsidRPr="006D183F">
        <w:rPr>
          <w:vertAlign w:val="superscript"/>
          <w:lang w:val="el-GR"/>
        </w:rPr>
        <w:t>2</w:t>
      </w:r>
      <w:r w:rsidRPr="006D183F">
        <w:rPr>
          <w:lang w:val="el-GR"/>
        </w:rPr>
        <w:t xml:space="preserve"> Το ερύθημα, οι φυσαλιδώδεις αντιδράσεις και οι αντιδράσεις υπερευαισθησίας συνήθως υποχωρούν μετά τη διακοπή της θεραπείας.</w:t>
      </w:r>
    </w:p>
    <w:p w:rsidR="007B24CB" w:rsidRPr="006D183F" w:rsidRDefault="007B24CB" w:rsidP="00147539">
      <w:pPr>
        <w:ind w:left="720"/>
        <w:rPr>
          <w:lang w:val="el-GR"/>
        </w:rPr>
      </w:pPr>
      <w:r w:rsidRPr="006D183F">
        <w:rPr>
          <w:vertAlign w:val="superscript"/>
          <w:lang w:val="el-GR"/>
        </w:rPr>
        <w:t>3</w:t>
      </w:r>
      <w:r w:rsidRPr="006D183F">
        <w:rPr>
          <w:lang w:val="el-GR"/>
        </w:rPr>
        <w:t xml:space="preserve"> Σπάνια περιστατικά ηπατικής εγκεφαλοπάθειας έχουν αναφερθεί σε ασθενείς με υποκείμενη κίρρωση. Κατά τη θεραπεία ασθενών με σοβαρή ηπατική δυσλειτουργία ο συνταγογράφων πρέπει να είναι επιφυλακτικός κατά την έναρξη της θεραπείας με </w:t>
      </w:r>
      <w:r w:rsidRPr="006D183F">
        <w:t>PARIET</w:t>
      </w:r>
      <w:r w:rsidRPr="006D183F">
        <w:rPr>
          <w:lang w:val="el-GR"/>
        </w:rPr>
        <w:t xml:space="preserve"> σε αυτούς τους ασθενείς (βλέπε παράγραφο 4.4).</w:t>
      </w:r>
    </w:p>
    <w:p w:rsidR="00216E9E" w:rsidRPr="006D183F" w:rsidRDefault="00216E9E" w:rsidP="00147539">
      <w:pPr>
        <w:ind w:left="720"/>
        <w:rPr>
          <w:lang w:val="el-GR"/>
        </w:rPr>
      </w:pPr>
      <w:r w:rsidRPr="006D183F">
        <w:rPr>
          <w:vertAlign w:val="superscript"/>
          <w:lang w:val="el-GR"/>
        </w:rPr>
        <w:t>4</w:t>
      </w:r>
      <w:r w:rsidRPr="006D183F">
        <w:rPr>
          <w:lang w:val="el-GR"/>
        </w:rPr>
        <w:t xml:space="preserve"> Βλέπε Ειδικές προειδοποιήσεις και προφυλάξεις για τη χρήση (4.4)</w:t>
      </w:r>
    </w:p>
    <w:p w:rsidR="007B24CB" w:rsidRPr="000008C4" w:rsidRDefault="007B24CB" w:rsidP="00147539">
      <w:pPr>
        <w:ind w:left="720"/>
        <w:rPr>
          <w:sz w:val="22"/>
          <w:szCs w:val="22"/>
          <w:lang w:val="el-GR"/>
        </w:rPr>
      </w:pPr>
    </w:p>
    <w:p w:rsidR="007B24CB" w:rsidRPr="000008C4" w:rsidRDefault="007B24CB" w:rsidP="00147539">
      <w:pPr>
        <w:rPr>
          <w:b/>
          <w:sz w:val="22"/>
          <w:szCs w:val="22"/>
          <w:lang w:val="el-GR"/>
        </w:rPr>
      </w:pPr>
      <w:r w:rsidRPr="000008C4">
        <w:rPr>
          <w:b/>
          <w:sz w:val="22"/>
          <w:szCs w:val="22"/>
          <w:lang w:val="el-GR"/>
        </w:rPr>
        <w:t>4.9</w:t>
      </w:r>
      <w:r w:rsidRPr="000008C4">
        <w:rPr>
          <w:b/>
          <w:sz w:val="22"/>
          <w:szCs w:val="22"/>
          <w:lang w:val="el-GR"/>
        </w:rPr>
        <w:tab/>
        <w:t>Υπερδοσολογία</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0008C4">
        <w:rPr>
          <w:sz w:val="22"/>
          <w:szCs w:val="22"/>
          <w:lang w:val="el-GR"/>
        </w:rPr>
        <w:t xml:space="preserve">Η μέχρι σήμερα εμπειρία σχετικά με τη σκόπιμη ή τυχαία υπερδοσολογία είναι περιορισμένη. Η μέγιστη αποδεδειγμένη </w:t>
      </w:r>
      <w:r w:rsidR="00065D8A" w:rsidRPr="000008C4">
        <w:rPr>
          <w:sz w:val="22"/>
          <w:szCs w:val="22"/>
          <w:lang w:val="el-GR"/>
        </w:rPr>
        <w:t xml:space="preserve">έκθεση </w:t>
      </w:r>
      <w:r w:rsidRPr="000008C4">
        <w:rPr>
          <w:sz w:val="22"/>
          <w:szCs w:val="22"/>
          <w:lang w:val="el-GR"/>
        </w:rPr>
        <w:t>δεν υπερβαίνει τα 60 mg δύο φορές την ημέρα ή</w:t>
      </w:r>
      <w:r w:rsidR="000F2B13" w:rsidRPr="000008C4">
        <w:rPr>
          <w:sz w:val="22"/>
          <w:szCs w:val="22"/>
          <w:lang w:val="el-GR"/>
        </w:rPr>
        <w:t xml:space="preserve"> </w:t>
      </w:r>
      <w:r w:rsidR="000F2B13" w:rsidRPr="00147539">
        <w:rPr>
          <w:sz w:val="22"/>
          <w:szCs w:val="22"/>
          <w:lang w:val="el-GR"/>
        </w:rPr>
        <w:t>τα</w:t>
      </w:r>
      <w:r w:rsidRPr="000008C4">
        <w:rPr>
          <w:sz w:val="22"/>
          <w:szCs w:val="22"/>
          <w:lang w:val="el-GR"/>
        </w:rPr>
        <w:t xml:space="preserve"> 160 mg μία φορά την ημέρα. Οι επιδράσεις είναι γενικά περιορισμένες, αντιπροσωπευτικές τ</w:t>
      </w:r>
      <w:r w:rsidR="00E37CF3" w:rsidRPr="00147539">
        <w:rPr>
          <w:sz w:val="22"/>
          <w:szCs w:val="22"/>
          <w:lang w:val="el-GR"/>
        </w:rPr>
        <w:t>ου</w:t>
      </w:r>
      <w:r w:rsidRPr="000008C4">
        <w:rPr>
          <w:sz w:val="22"/>
          <w:szCs w:val="22"/>
          <w:lang w:val="el-GR"/>
        </w:rPr>
        <w:t xml:space="preserve"> γνωστ</w:t>
      </w:r>
      <w:r w:rsidR="00E37CF3" w:rsidRPr="00147539">
        <w:rPr>
          <w:sz w:val="22"/>
          <w:szCs w:val="22"/>
          <w:lang w:val="el-GR"/>
        </w:rPr>
        <w:t>ού προφίλ</w:t>
      </w:r>
      <w:r w:rsidR="00E37CF3" w:rsidRPr="000008C4">
        <w:rPr>
          <w:sz w:val="22"/>
          <w:szCs w:val="22"/>
          <w:lang w:val="el-GR"/>
        </w:rPr>
        <w:t xml:space="preserve"> </w:t>
      </w:r>
      <w:r w:rsidRPr="000008C4">
        <w:rPr>
          <w:sz w:val="22"/>
          <w:szCs w:val="22"/>
          <w:lang w:val="el-GR"/>
        </w:rPr>
        <w:t xml:space="preserve"> ανεπιθύμητων ενεργειών και αναστρέψιμες χωρίς περαιτέρω ιατρική παρέμβαση. Κανένα ειδικό αντίδοτο δεν είναι γνωστό. Η νατριούχος ραμπεπραζόλη επιδεικνύει εκτεταμένη δέσμευση με πρωτεΐνες και συνεπώς δεν είναι εύκολα διαλυτή. Όπως σε οποιαδήποτε περίπτωση υπερδοσολογίας, η θεραπεία πρέπει να είναι συμπτωματική και πρέπει να χρησιμοποιούνται γενικά υποστηρικτικά μέτρα.</w:t>
      </w:r>
    </w:p>
    <w:p w:rsidR="007B24CB" w:rsidRPr="006D183F" w:rsidRDefault="007B24CB" w:rsidP="00147539">
      <w:pPr>
        <w:ind w:left="720"/>
        <w:rPr>
          <w:sz w:val="22"/>
          <w:szCs w:val="22"/>
          <w:lang w:val="el-GR"/>
        </w:rPr>
      </w:pPr>
    </w:p>
    <w:p w:rsidR="007B24CB" w:rsidRPr="006D183F" w:rsidRDefault="007B24CB" w:rsidP="00147539">
      <w:pPr>
        <w:ind w:left="720"/>
        <w:rPr>
          <w:sz w:val="22"/>
          <w:szCs w:val="22"/>
          <w:lang w:val="el-GR"/>
        </w:rPr>
      </w:pPr>
    </w:p>
    <w:p w:rsidR="007B24CB" w:rsidRPr="000008C4" w:rsidRDefault="007B24CB" w:rsidP="00147539">
      <w:pPr>
        <w:numPr>
          <w:ilvl w:val="0"/>
          <w:numId w:val="4"/>
        </w:numPr>
        <w:tabs>
          <w:tab w:val="clear" w:pos="360"/>
          <w:tab w:val="num" w:pos="709"/>
        </w:tabs>
        <w:rPr>
          <w:b/>
          <w:sz w:val="22"/>
          <w:szCs w:val="22"/>
          <w:lang w:val="el-GR"/>
        </w:rPr>
      </w:pPr>
      <w:r w:rsidRPr="000008C4">
        <w:rPr>
          <w:b/>
          <w:sz w:val="22"/>
          <w:szCs w:val="22"/>
          <w:lang w:val="el-GR"/>
        </w:rPr>
        <w:t>ΦΑΡΜΑΚΟΛΟΓΙΚΕΣ ΙΔΙΟΤΗΤΕΣ</w:t>
      </w:r>
    </w:p>
    <w:p w:rsidR="007B24CB" w:rsidRPr="000008C4" w:rsidRDefault="007B24CB" w:rsidP="00147539">
      <w:pPr>
        <w:ind w:left="720"/>
        <w:rPr>
          <w:b/>
          <w:sz w:val="22"/>
          <w:szCs w:val="22"/>
          <w:lang w:val="el-GR"/>
        </w:rPr>
      </w:pPr>
    </w:p>
    <w:p w:rsidR="007B24CB" w:rsidRPr="000008C4" w:rsidRDefault="007B24CB" w:rsidP="00147539">
      <w:pPr>
        <w:rPr>
          <w:b/>
          <w:sz w:val="22"/>
          <w:szCs w:val="22"/>
          <w:lang w:val="el-GR"/>
        </w:rPr>
      </w:pPr>
      <w:r w:rsidRPr="000008C4">
        <w:rPr>
          <w:b/>
          <w:sz w:val="22"/>
          <w:szCs w:val="22"/>
          <w:lang w:val="el-GR"/>
        </w:rPr>
        <w:t>5.1</w:t>
      </w:r>
      <w:r w:rsidRPr="000008C4">
        <w:rPr>
          <w:b/>
          <w:sz w:val="22"/>
          <w:szCs w:val="22"/>
          <w:lang w:val="el-GR"/>
        </w:rPr>
        <w:tab/>
        <w:t>Φαρμακοδυναμικές ιδιότητες</w:t>
      </w:r>
    </w:p>
    <w:p w:rsidR="007A5F4A" w:rsidRPr="000008C4" w:rsidRDefault="007A5F4A" w:rsidP="00147539">
      <w:pPr>
        <w:ind w:left="720"/>
        <w:rPr>
          <w:sz w:val="22"/>
          <w:szCs w:val="22"/>
          <w:lang w:val="el-GR"/>
        </w:rPr>
      </w:pPr>
    </w:p>
    <w:p w:rsidR="00D1430C" w:rsidRPr="000008C4" w:rsidRDefault="007B24CB" w:rsidP="00147539">
      <w:pPr>
        <w:ind w:left="720"/>
        <w:rPr>
          <w:sz w:val="22"/>
          <w:szCs w:val="22"/>
          <w:lang w:val="el-GR"/>
        </w:rPr>
      </w:pPr>
      <w:r w:rsidRPr="000008C4">
        <w:rPr>
          <w:sz w:val="22"/>
          <w:szCs w:val="22"/>
          <w:lang w:val="el-GR"/>
        </w:rPr>
        <w:t>Φαρμακοθεραπευτική κατηγορία: Πεπτική οδός και μεταβολισμός, Φάρμακα για τη θεραπεία του πεπτικού έλκους και της γαστροοισοφαγικής παλινδρόμησης (ΓΟΠ), αναστολείς της αντλίας πρωτονίων,</w:t>
      </w:r>
    </w:p>
    <w:p w:rsidR="007B24CB" w:rsidRPr="000008C4" w:rsidRDefault="007B24CB" w:rsidP="00147539">
      <w:pPr>
        <w:ind w:left="720"/>
        <w:rPr>
          <w:sz w:val="22"/>
          <w:szCs w:val="22"/>
          <w:lang w:val="el-GR"/>
        </w:rPr>
      </w:pPr>
      <w:r w:rsidRPr="000008C4">
        <w:rPr>
          <w:sz w:val="22"/>
          <w:szCs w:val="22"/>
          <w:lang w:val="el-GR"/>
        </w:rPr>
        <w:t xml:space="preserve">Κωδικός </w:t>
      </w:r>
      <w:r w:rsidRPr="000008C4">
        <w:rPr>
          <w:sz w:val="22"/>
          <w:szCs w:val="22"/>
        </w:rPr>
        <w:t>ATC</w:t>
      </w:r>
      <w:r w:rsidRPr="000008C4">
        <w:rPr>
          <w:sz w:val="22"/>
          <w:szCs w:val="22"/>
          <w:lang w:val="el-GR"/>
        </w:rPr>
        <w:t xml:space="preserve">: </w:t>
      </w:r>
      <w:r w:rsidRPr="000008C4">
        <w:rPr>
          <w:sz w:val="22"/>
          <w:szCs w:val="22"/>
        </w:rPr>
        <w:t>A</w:t>
      </w:r>
      <w:r w:rsidRPr="000008C4">
        <w:rPr>
          <w:sz w:val="22"/>
          <w:szCs w:val="22"/>
          <w:lang w:val="el-GR"/>
        </w:rPr>
        <w:t>02</w:t>
      </w:r>
      <w:r w:rsidRPr="000008C4">
        <w:rPr>
          <w:sz w:val="22"/>
          <w:szCs w:val="22"/>
        </w:rPr>
        <w:t>B</w:t>
      </w:r>
      <w:r w:rsidRPr="000008C4">
        <w:rPr>
          <w:sz w:val="22"/>
          <w:szCs w:val="22"/>
          <w:lang w:val="el-GR"/>
        </w:rPr>
        <w:t xml:space="preserve"> </w:t>
      </w:r>
      <w:r w:rsidRPr="000008C4">
        <w:rPr>
          <w:sz w:val="22"/>
          <w:szCs w:val="22"/>
        </w:rPr>
        <w:t>C</w:t>
      </w:r>
      <w:r w:rsidRPr="000008C4">
        <w:rPr>
          <w:sz w:val="22"/>
          <w:szCs w:val="22"/>
          <w:lang w:val="el-GR"/>
        </w:rPr>
        <w:t>04</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6D183F">
        <w:rPr>
          <w:sz w:val="22"/>
          <w:szCs w:val="22"/>
          <w:lang w:val="el-GR"/>
        </w:rPr>
        <w:t>Μηχανισμός δράσης:</w:t>
      </w:r>
      <w:r w:rsidRPr="000008C4">
        <w:rPr>
          <w:sz w:val="22"/>
          <w:szCs w:val="22"/>
          <w:lang w:val="el-GR"/>
        </w:rPr>
        <w:t xml:space="preserve"> η νατριούχος ραμπεπραζόλη ανήκει στην κατηγορία των αντιεκκριτικών παραγόντων, των υποκατεστημένων βενζιμιδαζολών, οι οποίες δεν επιδεικνύουν αντιχολινεργικές ή Η</w:t>
      </w:r>
      <w:r w:rsidRPr="000008C4">
        <w:rPr>
          <w:sz w:val="22"/>
          <w:szCs w:val="22"/>
          <w:vertAlign w:val="subscript"/>
          <w:lang w:val="el-GR"/>
        </w:rPr>
        <w:t>2</w:t>
      </w:r>
      <w:r w:rsidRPr="000008C4">
        <w:rPr>
          <w:sz w:val="22"/>
          <w:szCs w:val="22"/>
          <w:lang w:val="el-GR"/>
        </w:rPr>
        <w:t xml:space="preserve"> ανταγωνιστικές της ισταμίνης ιδιότητες, αλλά οι οποίες καταστέλλουν την έκκριση του γαστρικού οξέος μέσω της ειδικής αναστολής του ενζύμου Η</w:t>
      </w:r>
      <w:r w:rsidRPr="000008C4">
        <w:rPr>
          <w:sz w:val="22"/>
          <w:szCs w:val="22"/>
          <w:vertAlign w:val="superscript"/>
          <w:lang w:val="el-GR"/>
        </w:rPr>
        <w:t>+</w:t>
      </w:r>
      <w:r w:rsidRPr="000008C4">
        <w:rPr>
          <w:sz w:val="22"/>
          <w:szCs w:val="22"/>
          <w:lang w:val="el-GR"/>
        </w:rPr>
        <w:t>/Κ</w:t>
      </w:r>
      <w:r w:rsidRPr="000008C4">
        <w:rPr>
          <w:sz w:val="22"/>
          <w:szCs w:val="22"/>
          <w:vertAlign w:val="superscript"/>
          <w:lang w:val="el-GR"/>
        </w:rPr>
        <w:t>+</w:t>
      </w:r>
      <w:r w:rsidRPr="000008C4">
        <w:rPr>
          <w:sz w:val="22"/>
          <w:szCs w:val="22"/>
          <w:lang w:val="el-GR"/>
        </w:rPr>
        <w:t xml:space="preserve"> -ΑΤΡάσης (το οξύ ή την αντλία πρωτονίου). Η δράση είναι δοσοεξαρτώμενη και οδηγεί στην αναστολή τόσο της βασικής όσο και της διηγερμένης έκκρισης οξέος, ανεξαρτήτως από το διεγέρτη. Από μελέτες σε πειραματόζωα υποδεικνύεται ότι κατόπιν της χορήγησης, η νατριούχος ραμπεπραζόλη απομακρύνεται ταχέως </w:t>
      </w:r>
      <w:r w:rsidR="00630EBB" w:rsidRPr="00147539">
        <w:rPr>
          <w:sz w:val="22"/>
          <w:szCs w:val="22"/>
          <w:lang w:val="el-GR"/>
        </w:rPr>
        <w:t>τόσο</w:t>
      </w:r>
      <w:r w:rsidR="00630EBB" w:rsidRPr="000008C4">
        <w:rPr>
          <w:sz w:val="22"/>
          <w:szCs w:val="22"/>
          <w:lang w:val="el-GR"/>
        </w:rPr>
        <w:t xml:space="preserve"> </w:t>
      </w:r>
      <w:r w:rsidRPr="000008C4">
        <w:rPr>
          <w:sz w:val="22"/>
          <w:szCs w:val="22"/>
          <w:lang w:val="el-GR"/>
        </w:rPr>
        <w:t>από το πλάσμα όσο και από το γαστρικό βλεννογόνο. Ως ασθενής βάση, η ραμπεπραζόλη απορροφάται ταχέως μετά από όλες τις δόσεις και συγκεντρώνεται στο όξινο περιβάλλον των τοιχωματικών κυττάρων.  Η ραμπεπραζόλη μετατρέπεται στην ενεργή μορφή σουλφεναμίδης με πρωτονίωση και ακολούθως αντιδρά με τις διαθέσιμες κυστεΐνες στην αντλία πρωτονίου.</w:t>
      </w:r>
    </w:p>
    <w:p w:rsidR="007B24CB" w:rsidRPr="000008C4" w:rsidRDefault="007B24CB" w:rsidP="00147539">
      <w:pPr>
        <w:ind w:left="720"/>
        <w:rPr>
          <w:i/>
          <w:sz w:val="22"/>
          <w:szCs w:val="22"/>
          <w:lang w:val="el-GR"/>
        </w:rPr>
      </w:pPr>
    </w:p>
    <w:p w:rsidR="007B24CB" w:rsidRPr="000008C4" w:rsidRDefault="007B24CB" w:rsidP="00147539">
      <w:pPr>
        <w:ind w:left="720"/>
        <w:rPr>
          <w:sz w:val="22"/>
          <w:szCs w:val="22"/>
          <w:lang w:val="el-GR"/>
        </w:rPr>
      </w:pPr>
      <w:r w:rsidRPr="006D183F">
        <w:rPr>
          <w:sz w:val="22"/>
          <w:szCs w:val="22"/>
          <w:lang w:val="el-GR"/>
        </w:rPr>
        <w:t>Αντι-εκκριτική δράση</w:t>
      </w:r>
      <w:r w:rsidRPr="000008C4">
        <w:rPr>
          <w:sz w:val="22"/>
          <w:szCs w:val="22"/>
          <w:lang w:val="el-GR"/>
        </w:rPr>
        <w:t>: κατόπιν της από στόματος χορήγησης μίας δόσης 20 mg νατριούχου ραμπεπραζόλης η έναρξη της αντι-εκκριτικής δράσης παρατηρείται εντός μίας ώρας, ενώ η μέγιστη δράση παρατηρείται εντός δύο έως τεσσάρων ωρών. Η αναστολή της βασικής και της διεγειρόμενης από την τροφή έκκρισης οξέος 23 ώρες μετά τη χορήγηση της πρώτης δόσης νατριούχου ραμπεπραζόλης είναι 69% και 82% αντίστοιχα και η διάρκεια της αναστολής είναι έως και 48 ώρες. Η ανασταλτική δράση της νατριούχου ραμπεπραζόλης επί της έκκρισης οξέος αυξάνει ελαφρώς με την επαναλαμβανόμενη χορήγηση μία φορά την ημέρα, επιτυγχάνοντας αναστολή στη σταθεροποιημένη κατάσταση μετά από τρεις ημέρες. Όταν διακόπτεται η χορήγηση του φαρμάκου, η εκκριτική δράση ομαλοποιείται σε 2 έως 3 ημέρες.</w:t>
      </w:r>
    </w:p>
    <w:p w:rsidR="007B24CB" w:rsidRPr="000008C4" w:rsidRDefault="007B24CB" w:rsidP="00147539">
      <w:pPr>
        <w:ind w:left="720"/>
        <w:rPr>
          <w:sz w:val="22"/>
          <w:szCs w:val="22"/>
          <w:lang w:val="el-GR"/>
        </w:rPr>
      </w:pPr>
    </w:p>
    <w:p w:rsidR="00DF1481" w:rsidRPr="006D183F" w:rsidRDefault="00034C54" w:rsidP="006D183F">
      <w:pPr>
        <w:ind w:left="720"/>
        <w:rPr>
          <w:sz w:val="22"/>
          <w:szCs w:val="22"/>
          <w:lang w:val="el-GR"/>
        </w:rPr>
      </w:pPr>
      <w:r w:rsidRPr="000008C4">
        <w:rPr>
          <w:sz w:val="22"/>
          <w:szCs w:val="22"/>
          <w:lang w:val="el-GR"/>
        </w:rPr>
        <w:t>Η</w:t>
      </w:r>
      <w:r w:rsidR="006C2426" w:rsidRPr="006D183F">
        <w:rPr>
          <w:sz w:val="22"/>
          <w:szCs w:val="22"/>
          <w:lang w:val="el-GR"/>
        </w:rPr>
        <w:t xml:space="preserve"> μειωμένη γαστρική οξύτητα </w:t>
      </w:r>
      <w:r w:rsidR="00162CB6">
        <w:rPr>
          <w:sz w:val="22"/>
          <w:szCs w:val="22"/>
          <w:lang w:val="el-GR"/>
        </w:rPr>
        <w:t>εξαιτίας</w:t>
      </w:r>
      <w:r w:rsidR="00350ACF" w:rsidRPr="000008C4">
        <w:rPr>
          <w:sz w:val="22"/>
          <w:szCs w:val="22"/>
          <w:lang w:val="el-GR"/>
        </w:rPr>
        <w:t xml:space="preserve"> οποιασδήποτε</w:t>
      </w:r>
      <w:r w:rsidRPr="000008C4">
        <w:rPr>
          <w:sz w:val="22"/>
          <w:szCs w:val="22"/>
          <w:lang w:val="el-GR"/>
        </w:rPr>
        <w:t xml:space="preserve"> αιτιολογίας</w:t>
      </w:r>
      <w:r w:rsidR="006C2426" w:rsidRPr="006D183F">
        <w:rPr>
          <w:sz w:val="22"/>
          <w:szCs w:val="22"/>
          <w:lang w:val="el-GR"/>
        </w:rPr>
        <w:t xml:space="preserve">, συμπεριλαμβανομένων των αναστολέων της αντλίας πρωτονίων, όπως η </w:t>
      </w:r>
      <w:r w:rsidR="00B32A91" w:rsidRPr="000008C4">
        <w:rPr>
          <w:sz w:val="22"/>
          <w:szCs w:val="22"/>
          <w:lang w:val="el-GR"/>
        </w:rPr>
        <w:t>ραμπεπραζόλη</w:t>
      </w:r>
      <w:r w:rsidR="006C2426" w:rsidRPr="006D183F">
        <w:rPr>
          <w:sz w:val="22"/>
          <w:szCs w:val="22"/>
          <w:lang w:val="el-GR"/>
        </w:rPr>
        <w:t xml:space="preserve">, αυξάνει τον αριθμό των βακτηριδίων που </w:t>
      </w:r>
      <w:r w:rsidR="00162CB6">
        <w:rPr>
          <w:sz w:val="22"/>
          <w:szCs w:val="22"/>
          <w:lang w:val="el-GR"/>
        </w:rPr>
        <w:t>ανευρίσκονται</w:t>
      </w:r>
      <w:r w:rsidR="006C2426" w:rsidRPr="006D183F">
        <w:rPr>
          <w:sz w:val="22"/>
          <w:szCs w:val="22"/>
          <w:lang w:val="el-GR"/>
        </w:rPr>
        <w:t xml:space="preserve"> φυσιολογικά στο γαστρεντερικό σωλήνα. Η θεραπεία με αναστολείς της αντλίας πρωτονίων μπορεί πιθαν</w:t>
      </w:r>
      <w:r w:rsidR="00E71CEE" w:rsidRPr="00147539">
        <w:rPr>
          <w:sz w:val="22"/>
          <w:szCs w:val="22"/>
          <w:lang w:val="el-GR"/>
        </w:rPr>
        <w:t>ώς</w:t>
      </w:r>
      <w:r w:rsidR="006C2426" w:rsidRPr="006D183F">
        <w:rPr>
          <w:sz w:val="22"/>
          <w:szCs w:val="22"/>
          <w:lang w:val="el-GR"/>
        </w:rPr>
        <w:t xml:space="preserve"> να αυξήσει τον κίνδυνο </w:t>
      </w:r>
      <w:r w:rsidR="004B73F4" w:rsidRPr="000008C4">
        <w:rPr>
          <w:sz w:val="22"/>
          <w:szCs w:val="22"/>
          <w:lang w:val="el-GR"/>
        </w:rPr>
        <w:t xml:space="preserve">γαστρεντερικών </w:t>
      </w:r>
      <w:r w:rsidR="006C2426" w:rsidRPr="006D183F">
        <w:rPr>
          <w:sz w:val="22"/>
          <w:szCs w:val="22"/>
          <w:lang w:val="el-GR"/>
        </w:rPr>
        <w:t xml:space="preserve">λοιμώξεων όπως από </w:t>
      </w:r>
      <w:r w:rsidR="00DF1481" w:rsidRPr="006D183F">
        <w:rPr>
          <w:i/>
          <w:iCs/>
          <w:sz w:val="22"/>
          <w:szCs w:val="22"/>
        </w:rPr>
        <w:t>Salmonella</w:t>
      </w:r>
      <w:r w:rsidR="00DF1481" w:rsidRPr="006D183F">
        <w:rPr>
          <w:sz w:val="22"/>
          <w:szCs w:val="22"/>
          <w:lang w:val="el-GR"/>
        </w:rPr>
        <w:t xml:space="preserve">, </w:t>
      </w:r>
      <w:r w:rsidR="00DF1481" w:rsidRPr="006D183F">
        <w:rPr>
          <w:i/>
          <w:iCs/>
          <w:sz w:val="22"/>
          <w:szCs w:val="22"/>
        </w:rPr>
        <w:t>Campylobacter</w:t>
      </w:r>
      <w:r w:rsidR="00DF1481" w:rsidRPr="006D183F">
        <w:rPr>
          <w:sz w:val="22"/>
          <w:szCs w:val="22"/>
          <w:lang w:val="el-GR"/>
        </w:rPr>
        <w:t xml:space="preserve"> </w:t>
      </w:r>
      <w:r w:rsidR="002C0054">
        <w:rPr>
          <w:sz w:val="22"/>
          <w:szCs w:val="22"/>
          <w:lang w:val="el-GR"/>
        </w:rPr>
        <w:t>και</w:t>
      </w:r>
      <w:r w:rsidR="00DF1481" w:rsidRPr="006D183F">
        <w:rPr>
          <w:sz w:val="22"/>
          <w:szCs w:val="22"/>
          <w:lang w:val="el-GR"/>
        </w:rPr>
        <w:t xml:space="preserve"> </w:t>
      </w:r>
      <w:r w:rsidR="00DF1481" w:rsidRPr="006D183F">
        <w:rPr>
          <w:i/>
          <w:sz w:val="22"/>
          <w:szCs w:val="22"/>
        </w:rPr>
        <w:t>Clostridium</w:t>
      </w:r>
      <w:r w:rsidR="00DF1481" w:rsidRPr="006D183F">
        <w:rPr>
          <w:i/>
          <w:sz w:val="22"/>
          <w:szCs w:val="22"/>
          <w:lang w:val="el-GR"/>
        </w:rPr>
        <w:t xml:space="preserve"> </w:t>
      </w:r>
      <w:r w:rsidR="00DF1481" w:rsidRPr="006D183F">
        <w:rPr>
          <w:i/>
          <w:sz w:val="22"/>
          <w:szCs w:val="22"/>
        </w:rPr>
        <w:t>difficile</w:t>
      </w:r>
      <w:r w:rsidR="00DF1481" w:rsidRPr="006D183F">
        <w:rPr>
          <w:sz w:val="22"/>
          <w:szCs w:val="22"/>
          <w:lang w:val="el-GR"/>
        </w:rPr>
        <w:t>.</w:t>
      </w:r>
    </w:p>
    <w:p w:rsidR="00DF1481" w:rsidRPr="006D183F" w:rsidRDefault="00DF1481" w:rsidP="00147539">
      <w:pPr>
        <w:ind w:left="720"/>
        <w:rPr>
          <w:sz w:val="22"/>
          <w:szCs w:val="22"/>
          <w:lang w:val="el-GR"/>
        </w:rPr>
      </w:pPr>
    </w:p>
    <w:p w:rsidR="007B24CB" w:rsidRPr="000008C4" w:rsidRDefault="007B24CB" w:rsidP="00147539">
      <w:pPr>
        <w:ind w:left="720"/>
        <w:rPr>
          <w:sz w:val="22"/>
          <w:szCs w:val="22"/>
          <w:lang w:val="el-GR"/>
        </w:rPr>
      </w:pPr>
      <w:r w:rsidRPr="006D183F">
        <w:rPr>
          <w:sz w:val="22"/>
          <w:szCs w:val="22"/>
          <w:lang w:val="el-GR"/>
        </w:rPr>
        <w:t>Επίδραση στη γαστρίνη ορού</w:t>
      </w:r>
      <w:r w:rsidRPr="000008C4">
        <w:rPr>
          <w:sz w:val="22"/>
          <w:szCs w:val="22"/>
          <w:lang w:val="el-GR"/>
        </w:rPr>
        <w:t xml:space="preserve">: σε κλινικές μελέτες, οι ασθενείς έλαβαν θεραπεία με μία φορά την ημέρα νατριούχο ραμπεπραζόλη 10 mg ή 20 mg, για διαστήματα έως και 43 μηνών. Τα επίπεδα γαστρίνης ορού αυξήθηκαν κατά τις πρώτες 2 έως 8 εβδομάδες αντικατοπτρίζοντας την ανασταλτική δράση επί της έκκρισης οξέος και παρέμειναν σταθερά καθώς η θεραπεία συνεχιζόταν. Μετά τη διακοπή της θεραπείας, τα επίπεδα γαστρίνης επέστρεψαν στα προ </w:t>
      </w:r>
      <w:r w:rsidRPr="00147539">
        <w:rPr>
          <w:sz w:val="22"/>
          <w:szCs w:val="22"/>
          <w:lang w:val="el-GR"/>
        </w:rPr>
        <w:t>της</w:t>
      </w:r>
      <w:r w:rsidRPr="000008C4">
        <w:rPr>
          <w:sz w:val="22"/>
          <w:szCs w:val="22"/>
          <w:lang w:val="el-GR"/>
        </w:rPr>
        <w:t xml:space="preserve"> θεραπείας συνήθως εντός 1 έως 2 εβδομάδων.</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0008C4">
        <w:rPr>
          <w:sz w:val="22"/>
          <w:szCs w:val="22"/>
          <w:lang w:val="el-GR"/>
        </w:rPr>
        <w:t>Σε δείγματα γαστρικών βιοψιών από το άντρο και το θόλο από περισσότερους από 500 ασθενείς που ελάμβαναν ραμπεπραζόλη ή συγκριτικό φάρμακο για έως και 8 εβδομάδες δεν ανιχνεύθηκαν μεταβολές στην ιστολογία των ECL κυττάρων, στοβαθμό της γαστρίτιδας, στην επίπτωση ατροφικής γαστρίτιδας, στην εντερική μεταπλασία ή στην κατανομή της λοίμωξης από H. pylori. Σε περισσότερους από 250 ασθενείς που ακολούθησαν συνεχιζόμενη θεραπεία για 36 μήνες, δεν παρατηρήθηκαν αξιοσημείωτες αλλαγές στα ευρήματα που υπήρχαν στην αρχική φάση.</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6D183F">
        <w:rPr>
          <w:sz w:val="22"/>
          <w:szCs w:val="22"/>
          <w:lang w:val="el-GR"/>
        </w:rPr>
        <w:t>Άλλες επιδράσεις:</w:t>
      </w:r>
      <w:r w:rsidRPr="000008C4">
        <w:rPr>
          <w:sz w:val="22"/>
          <w:szCs w:val="22"/>
          <w:lang w:val="el-GR"/>
        </w:rPr>
        <w:t xml:space="preserve"> μέχρι σήμερα δεν έχουν βρεθεί επιδράσεις της νατριούχου ραμπεπραζόλης επί του ΚΝΣ, του καρδιαγγειακού και του αναπνευστικού συστήματος.  Η νατριούχος ραμπεπραζόλη, χορηγούμενη από στόματος σε δόσεις 20 mg επί 2 εβδομάδες, δεν είχε καμία επίδραση επί της λειτουργίας του θυρεοειδούς, του μεταβολισμού των υδατανθράκων ή επί των επιπέδων στην κυκλοφορία της παραθυρεοειδούς ορμόνης, κορτιζόλης, οιστρογόνων, τεστοστερόνης, προλακτίνης, χολεκυστοκινίνης, σεκρετίνης, γλυκαγόνου, ωοθυλακιοτρόπου ορμόνης (FSH), ωχρινοτρόπου ορμόνης (LH), ρενίνης, αλδοστερόνης ή σωματοτρόπου ορμόνης.</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0008C4">
        <w:rPr>
          <w:sz w:val="22"/>
          <w:szCs w:val="22"/>
          <w:lang w:val="el-GR"/>
        </w:rPr>
        <w:t xml:space="preserve">Μελέτες σε υγιείς εθελοντές έχουν αποδείξει ότι η νατριούχος ραμπεπραζόλη δεν εμφανίζει κλινικώς σημαντικές αλληλεπιδράσεις με την </w:t>
      </w:r>
      <w:r w:rsidRPr="00147539">
        <w:rPr>
          <w:sz w:val="22"/>
          <w:szCs w:val="22"/>
          <w:lang w:val="el-GR"/>
        </w:rPr>
        <w:t>αμοξυκιλλίνη</w:t>
      </w:r>
      <w:r w:rsidRPr="000008C4">
        <w:rPr>
          <w:sz w:val="22"/>
          <w:szCs w:val="22"/>
          <w:lang w:val="el-GR"/>
        </w:rPr>
        <w:t xml:space="preserve">. Η ραμπεπραζόλη δεν επηρεάζει αρνητικά τις  συγκεντρώσεις στο πλάσμα της </w:t>
      </w:r>
      <w:r w:rsidRPr="00147539">
        <w:rPr>
          <w:sz w:val="22"/>
          <w:szCs w:val="22"/>
          <w:lang w:val="el-GR"/>
        </w:rPr>
        <w:t>αμοξυκιλλίνης</w:t>
      </w:r>
      <w:r w:rsidRPr="000008C4">
        <w:rPr>
          <w:sz w:val="22"/>
          <w:szCs w:val="22"/>
          <w:lang w:val="el-GR"/>
        </w:rPr>
        <w:t xml:space="preserve"> ή της κλαριθρομυκίνης όταν </w:t>
      </w:r>
      <w:r w:rsidRPr="000008C4">
        <w:rPr>
          <w:sz w:val="22"/>
          <w:szCs w:val="22"/>
          <w:lang w:val="el-GR"/>
        </w:rPr>
        <w:lastRenderedPageBreak/>
        <w:t xml:space="preserve">συγχορηγούνται </w:t>
      </w:r>
      <w:r w:rsidR="00CD041C" w:rsidRPr="00147539">
        <w:rPr>
          <w:sz w:val="22"/>
          <w:szCs w:val="22"/>
          <w:lang w:val="el-GR"/>
        </w:rPr>
        <w:t>με σκοπό</w:t>
      </w:r>
      <w:r w:rsidR="00CD041C" w:rsidRPr="000008C4">
        <w:rPr>
          <w:sz w:val="22"/>
          <w:szCs w:val="22"/>
          <w:lang w:val="el-GR"/>
        </w:rPr>
        <w:t xml:space="preserve"> </w:t>
      </w:r>
      <w:r w:rsidRPr="000008C4">
        <w:rPr>
          <w:sz w:val="22"/>
          <w:szCs w:val="22"/>
          <w:lang w:val="el-GR"/>
        </w:rPr>
        <w:t>την εκρίζωση της λοίμωξης από</w:t>
      </w:r>
      <w:r w:rsidR="00CD041C" w:rsidRPr="000008C4">
        <w:rPr>
          <w:sz w:val="22"/>
          <w:szCs w:val="22"/>
          <w:lang w:val="el-GR"/>
        </w:rPr>
        <w:t xml:space="preserve"> </w:t>
      </w:r>
      <w:r w:rsidR="00CD041C" w:rsidRPr="00147539">
        <w:rPr>
          <w:sz w:val="22"/>
          <w:szCs w:val="22"/>
          <w:lang w:val="el-GR"/>
        </w:rPr>
        <w:t>το</w:t>
      </w:r>
      <w:r w:rsidRPr="000008C4">
        <w:rPr>
          <w:sz w:val="22"/>
          <w:szCs w:val="22"/>
          <w:lang w:val="el-GR"/>
        </w:rPr>
        <w:t xml:space="preserve"> </w:t>
      </w:r>
      <w:r w:rsidRPr="000008C4">
        <w:rPr>
          <w:i/>
          <w:sz w:val="22"/>
          <w:szCs w:val="22"/>
        </w:rPr>
        <w:t>H</w:t>
      </w:r>
      <w:r w:rsidRPr="000008C4">
        <w:rPr>
          <w:i/>
          <w:sz w:val="22"/>
          <w:szCs w:val="22"/>
          <w:lang w:val="el-GR"/>
        </w:rPr>
        <w:t>.</w:t>
      </w:r>
      <w:r w:rsidRPr="000008C4">
        <w:rPr>
          <w:i/>
          <w:sz w:val="22"/>
          <w:szCs w:val="22"/>
        </w:rPr>
        <w:t>pylori</w:t>
      </w:r>
      <w:r w:rsidRPr="000008C4">
        <w:rPr>
          <w:i/>
          <w:sz w:val="22"/>
          <w:szCs w:val="22"/>
          <w:lang w:val="el-GR"/>
        </w:rPr>
        <w:t xml:space="preserve"> </w:t>
      </w:r>
      <w:r w:rsidRPr="000008C4">
        <w:rPr>
          <w:sz w:val="22"/>
          <w:szCs w:val="22"/>
          <w:lang w:val="el-GR"/>
        </w:rPr>
        <w:t>από το ανώτερο γαστρεντερικό</w:t>
      </w:r>
      <w:r w:rsidR="00E60F11">
        <w:rPr>
          <w:sz w:val="22"/>
          <w:szCs w:val="22"/>
          <w:lang w:val="el-GR"/>
        </w:rPr>
        <w:t xml:space="preserve"> σύστημα</w:t>
      </w:r>
      <w:r w:rsidRPr="000008C4">
        <w:rPr>
          <w:sz w:val="22"/>
          <w:szCs w:val="22"/>
          <w:lang w:val="el-GR"/>
        </w:rPr>
        <w:t>.</w:t>
      </w:r>
    </w:p>
    <w:p w:rsidR="007B24CB" w:rsidRPr="000008C4" w:rsidRDefault="007B24CB" w:rsidP="00147539">
      <w:pPr>
        <w:ind w:left="720"/>
        <w:rPr>
          <w:b/>
          <w:sz w:val="22"/>
          <w:szCs w:val="22"/>
          <w:lang w:val="el-GR"/>
        </w:rPr>
      </w:pPr>
    </w:p>
    <w:p w:rsidR="007B24CB" w:rsidRPr="006D183F" w:rsidRDefault="007B24CB" w:rsidP="00147539">
      <w:pPr>
        <w:rPr>
          <w:b/>
          <w:sz w:val="22"/>
          <w:szCs w:val="22"/>
          <w:lang w:val="el-GR"/>
        </w:rPr>
      </w:pPr>
      <w:r w:rsidRPr="000008C4">
        <w:rPr>
          <w:b/>
          <w:sz w:val="22"/>
          <w:szCs w:val="22"/>
          <w:lang w:val="el-GR"/>
        </w:rPr>
        <w:t>5.2</w:t>
      </w:r>
      <w:r w:rsidRPr="000008C4">
        <w:rPr>
          <w:b/>
          <w:sz w:val="22"/>
          <w:szCs w:val="22"/>
          <w:lang w:val="el-GR"/>
        </w:rPr>
        <w:tab/>
        <w:t>Φαρμακοκινητικές ιδιότητες</w:t>
      </w:r>
    </w:p>
    <w:p w:rsidR="007B24CB" w:rsidRPr="000008C4" w:rsidRDefault="007B24CB" w:rsidP="00147539">
      <w:pPr>
        <w:ind w:left="720"/>
        <w:rPr>
          <w:i/>
          <w:sz w:val="22"/>
          <w:szCs w:val="22"/>
          <w:lang w:val="el-GR"/>
        </w:rPr>
      </w:pPr>
    </w:p>
    <w:p w:rsidR="007B24CB" w:rsidRPr="000008C4" w:rsidRDefault="007B24CB" w:rsidP="00147539">
      <w:pPr>
        <w:ind w:left="720"/>
        <w:rPr>
          <w:sz w:val="22"/>
          <w:szCs w:val="22"/>
          <w:lang w:val="el-GR"/>
        </w:rPr>
      </w:pPr>
      <w:r w:rsidRPr="006D183F">
        <w:rPr>
          <w:sz w:val="22"/>
          <w:szCs w:val="22"/>
          <w:lang w:val="el-GR"/>
        </w:rPr>
        <w:t>Απορρόφηση:</w:t>
      </w:r>
      <w:r w:rsidRPr="000008C4">
        <w:rPr>
          <w:sz w:val="22"/>
          <w:szCs w:val="22"/>
          <w:lang w:val="el-GR"/>
        </w:rPr>
        <w:t xml:space="preserve"> το PARIET είναι ιδιοσκεύασμα εντεροδιαλυτών (γαστρο-ανθεκτικών) δισκίων της νατριούχου ραμπεπραζόλης. Η μορφή αυτή είναι απαραίτητη επειδή η νατριούχος ραμπεπραζόλη είναι ασταθής σε όξινο περιβάλλον. Συνεπώς, η απορρόφηση της νατριούχου ραμπεπραζόλης άρχεται μόνο αφότου το δισκίο απομακρυνθεί από τον στόμαχο. Η απορρόφηση είναι ταχεία, με μέγιστα επίπεδα πλάσματος της νατριούχου ραμπεπραζόλης να παρατηρούνται περίπου 3,5 ώρες μετά τη λήψη μίας δόσης 20 mg. Οι μέγιστες συγκεντρώσεις πλάσματος (C</w:t>
      </w:r>
      <w:r w:rsidRPr="000008C4">
        <w:rPr>
          <w:sz w:val="22"/>
          <w:szCs w:val="22"/>
          <w:vertAlign w:val="subscript"/>
          <w:lang w:val="el-GR"/>
        </w:rPr>
        <w:t>max</w:t>
      </w:r>
      <w:r w:rsidRPr="000008C4">
        <w:rPr>
          <w:sz w:val="22"/>
          <w:szCs w:val="22"/>
          <w:lang w:val="el-GR"/>
        </w:rPr>
        <w:t xml:space="preserve">) της νατριούχου ραμπεπραζόλης και η AUC είναι γραμμικές σε δοσολογικό εύρος 10 mg έως 40 mg. Η απόλυτη βιοδιαθεσιμότητα μίας από στόματος δόσης 20 mg (σε σύγκριση με την ενδοφλέβια χορήγηση) είναι περίπου 52% εν πολλοίς λόγω του προ-συστηματικού  μεταβολισμού. Επιπλέον, η βιοδιαθεσιμότητα δε φαίνεται να αυξάνει με την επαναλαμβανόμενη χορήγηση. Σε υγιείς εθελοντές η ημίσεια ζωή στο πλάσμα είναι περίπου μία ώρα (εύρος 0,7 έως 1,5 ώρες) και η συνολική </w:t>
      </w:r>
      <w:r w:rsidR="00C317BF" w:rsidRPr="00147539">
        <w:rPr>
          <w:sz w:val="22"/>
          <w:szCs w:val="22"/>
          <w:lang w:val="el-GR"/>
        </w:rPr>
        <w:t>κάθαρση</w:t>
      </w:r>
      <w:r w:rsidR="00C317BF" w:rsidRPr="000008C4">
        <w:rPr>
          <w:sz w:val="22"/>
          <w:szCs w:val="22"/>
          <w:lang w:val="el-GR"/>
        </w:rPr>
        <w:t xml:space="preserve"> </w:t>
      </w:r>
      <w:r w:rsidRPr="000008C4">
        <w:rPr>
          <w:sz w:val="22"/>
          <w:szCs w:val="22"/>
          <w:lang w:val="el-GR"/>
        </w:rPr>
        <w:t xml:space="preserve">από τον οργανισμό υπολογίζεται στα 283 ±  98 ml/min. Δεν παρατηρήθηκε καμία κλινικώς </w:t>
      </w:r>
      <w:r w:rsidR="00C317BF" w:rsidRPr="00147539">
        <w:rPr>
          <w:sz w:val="22"/>
          <w:szCs w:val="22"/>
          <w:lang w:val="el-GR"/>
        </w:rPr>
        <w:t>σχετική</w:t>
      </w:r>
      <w:r w:rsidR="00C317BF" w:rsidRPr="000008C4">
        <w:rPr>
          <w:sz w:val="22"/>
          <w:szCs w:val="22"/>
          <w:lang w:val="el-GR"/>
        </w:rPr>
        <w:t xml:space="preserve"> </w:t>
      </w:r>
      <w:r w:rsidRPr="000008C4">
        <w:rPr>
          <w:sz w:val="22"/>
          <w:szCs w:val="22"/>
          <w:lang w:val="el-GR"/>
        </w:rPr>
        <w:t>αλληλεπίδραση με την τροφή. Ούτε η τροφή, ούτε η ώρα της ημέρας κατά τη χορήγηση της θεραπείας επιδρούν στην απορρόφηση της νατριούχου ραμπεπραζόλης.</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6D183F">
        <w:rPr>
          <w:sz w:val="22"/>
          <w:szCs w:val="22"/>
          <w:lang w:val="el-GR"/>
        </w:rPr>
        <w:t>Κατανομή:</w:t>
      </w:r>
      <w:r w:rsidRPr="000008C4">
        <w:rPr>
          <w:sz w:val="22"/>
          <w:szCs w:val="22"/>
          <w:lang w:val="el-GR"/>
        </w:rPr>
        <w:t xml:space="preserve"> η ραμπεπραζόλη δεσμεύεται κατά περίπου 97% στις πρωτεΐνες πλάσματος στον άνθρωπο.</w:t>
      </w:r>
    </w:p>
    <w:p w:rsidR="007B24CB" w:rsidRPr="000008C4" w:rsidRDefault="007B24CB" w:rsidP="00147539">
      <w:pPr>
        <w:ind w:left="720"/>
        <w:rPr>
          <w:sz w:val="22"/>
          <w:szCs w:val="22"/>
          <w:lang w:val="el-GR"/>
        </w:rPr>
      </w:pPr>
    </w:p>
    <w:p w:rsidR="007B24CB" w:rsidRPr="000008C4" w:rsidRDefault="00D72CB8" w:rsidP="00147539">
      <w:pPr>
        <w:ind w:left="720"/>
        <w:rPr>
          <w:sz w:val="22"/>
          <w:szCs w:val="22"/>
          <w:lang w:val="el-GR"/>
        </w:rPr>
      </w:pPr>
      <w:r>
        <w:rPr>
          <w:sz w:val="22"/>
          <w:szCs w:val="22"/>
          <w:lang w:val="el-GR"/>
        </w:rPr>
        <w:t>Βιομετασχηματισμός</w:t>
      </w:r>
      <w:r w:rsidRPr="006D183F">
        <w:rPr>
          <w:sz w:val="22"/>
          <w:szCs w:val="22"/>
          <w:lang w:val="el-GR"/>
        </w:rPr>
        <w:t xml:space="preserve"> </w:t>
      </w:r>
      <w:r w:rsidR="007B24CB" w:rsidRPr="006D183F">
        <w:rPr>
          <w:sz w:val="22"/>
          <w:szCs w:val="22"/>
          <w:lang w:val="el-GR"/>
        </w:rPr>
        <w:t xml:space="preserve">και </w:t>
      </w:r>
      <w:r w:rsidR="00D53B27">
        <w:rPr>
          <w:sz w:val="22"/>
          <w:szCs w:val="22"/>
          <w:lang w:val="el-GR"/>
        </w:rPr>
        <w:t>αποβολή</w:t>
      </w:r>
      <w:r w:rsidR="007B24CB" w:rsidRPr="006D183F">
        <w:rPr>
          <w:sz w:val="22"/>
          <w:szCs w:val="22"/>
          <w:lang w:val="el-GR"/>
        </w:rPr>
        <w:t>:</w:t>
      </w:r>
      <w:r w:rsidR="007B24CB" w:rsidRPr="000008C4">
        <w:rPr>
          <w:sz w:val="22"/>
          <w:szCs w:val="22"/>
          <w:lang w:val="el-GR"/>
        </w:rPr>
        <w:t xml:space="preserve"> Η νατριούχος ραμπεπραζόλη, όπως στην περίπτωση άλλων μελών της κατηγορίας των αναστολέων της αντλίας πρωτονίων (</w:t>
      </w:r>
      <w:r w:rsidR="007B24CB" w:rsidRPr="000008C4">
        <w:rPr>
          <w:sz w:val="22"/>
          <w:szCs w:val="22"/>
        </w:rPr>
        <w:t>PPIs</w:t>
      </w:r>
      <w:r w:rsidR="007B24CB" w:rsidRPr="000008C4">
        <w:rPr>
          <w:sz w:val="22"/>
          <w:szCs w:val="22"/>
          <w:lang w:val="el-GR"/>
        </w:rPr>
        <w:t>), μεταβολίζεται μέσω του ηπατικού μεταβολικού συστήματος των φαρμάκων, του κυτοχρώματος Ρ450 (</w:t>
      </w:r>
      <w:r w:rsidR="007B24CB" w:rsidRPr="000008C4">
        <w:rPr>
          <w:sz w:val="22"/>
          <w:szCs w:val="22"/>
        </w:rPr>
        <w:t>CYP</w:t>
      </w:r>
      <w:r w:rsidR="007B24CB" w:rsidRPr="000008C4">
        <w:rPr>
          <w:sz w:val="22"/>
          <w:szCs w:val="22"/>
          <w:lang w:val="el-GR"/>
        </w:rPr>
        <w:t xml:space="preserve"> 450). Μελέτες </w:t>
      </w:r>
      <w:r w:rsidR="007B24CB" w:rsidRPr="000008C4">
        <w:rPr>
          <w:i/>
          <w:sz w:val="22"/>
          <w:szCs w:val="22"/>
        </w:rPr>
        <w:t>in</w:t>
      </w:r>
      <w:r w:rsidR="007B24CB" w:rsidRPr="000008C4">
        <w:rPr>
          <w:i/>
          <w:sz w:val="22"/>
          <w:szCs w:val="22"/>
          <w:lang w:val="el-GR"/>
        </w:rPr>
        <w:t xml:space="preserve"> </w:t>
      </w:r>
      <w:r w:rsidR="007B24CB" w:rsidRPr="000008C4">
        <w:rPr>
          <w:i/>
          <w:sz w:val="22"/>
          <w:szCs w:val="22"/>
        </w:rPr>
        <w:t>vitro</w:t>
      </w:r>
      <w:r w:rsidR="007B24CB" w:rsidRPr="000008C4">
        <w:rPr>
          <w:sz w:val="22"/>
          <w:szCs w:val="22"/>
          <w:lang w:val="el-GR"/>
        </w:rPr>
        <w:t xml:space="preserve"> με μικροσώματα ανθρώπινου ήπατος υπέδειξαν ότι η νατριούχος ραμπεπραζόλη μεταβολίζεται από τα ισοένζυμα του </w:t>
      </w:r>
      <w:r w:rsidR="007B24CB" w:rsidRPr="000008C4">
        <w:rPr>
          <w:sz w:val="22"/>
          <w:szCs w:val="22"/>
        </w:rPr>
        <w:t>CYP</w:t>
      </w:r>
      <w:r w:rsidR="007B24CB" w:rsidRPr="000008C4">
        <w:rPr>
          <w:sz w:val="22"/>
          <w:szCs w:val="22"/>
          <w:lang w:val="el-GR"/>
        </w:rPr>
        <w:t>450 (</w:t>
      </w:r>
      <w:r w:rsidR="007B24CB" w:rsidRPr="000008C4">
        <w:rPr>
          <w:sz w:val="22"/>
          <w:szCs w:val="22"/>
        </w:rPr>
        <w:t>CYP</w:t>
      </w:r>
      <w:r w:rsidR="007B24CB" w:rsidRPr="000008C4">
        <w:rPr>
          <w:sz w:val="22"/>
          <w:szCs w:val="22"/>
          <w:lang w:val="el-GR"/>
        </w:rPr>
        <w:t>2</w:t>
      </w:r>
      <w:r w:rsidR="007B24CB" w:rsidRPr="000008C4">
        <w:rPr>
          <w:sz w:val="22"/>
          <w:szCs w:val="22"/>
        </w:rPr>
        <w:t>C</w:t>
      </w:r>
      <w:r w:rsidR="007B24CB" w:rsidRPr="000008C4">
        <w:rPr>
          <w:sz w:val="22"/>
          <w:szCs w:val="22"/>
          <w:lang w:val="el-GR"/>
        </w:rPr>
        <w:t xml:space="preserve">19 και </w:t>
      </w:r>
      <w:r w:rsidR="007B24CB" w:rsidRPr="000008C4">
        <w:rPr>
          <w:sz w:val="22"/>
          <w:szCs w:val="22"/>
        </w:rPr>
        <w:t>CYP</w:t>
      </w:r>
      <w:r w:rsidR="007B24CB" w:rsidRPr="000008C4">
        <w:rPr>
          <w:sz w:val="22"/>
          <w:szCs w:val="22"/>
          <w:lang w:val="el-GR"/>
        </w:rPr>
        <w:t>3</w:t>
      </w:r>
      <w:r w:rsidR="007B24CB" w:rsidRPr="000008C4">
        <w:rPr>
          <w:sz w:val="22"/>
          <w:szCs w:val="22"/>
        </w:rPr>
        <w:t>A</w:t>
      </w:r>
      <w:r w:rsidR="007B24CB" w:rsidRPr="000008C4">
        <w:rPr>
          <w:sz w:val="22"/>
          <w:szCs w:val="22"/>
          <w:lang w:val="el-GR"/>
        </w:rPr>
        <w:t xml:space="preserve">4). Σε αυτές τις μελέτες, σε αναμενόμενες συγκεντρώσεις πλάσματος στον άνθρωπο, η ραμπεπραζόλη δεν επάγει ούτε αναστέλλει το </w:t>
      </w:r>
      <w:r w:rsidR="007B24CB" w:rsidRPr="000008C4">
        <w:rPr>
          <w:sz w:val="22"/>
          <w:szCs w:val="22"/>
        </w:rPr>
        <w:t>CYP</w:t>
      </w:r>
      <w:r w:rsidR="007B24CB" w:rsidRPr="000008C4">
        <w:rPr>
          <w:sz w:val="22"/>
          <w:szCs w:val="22"/>
          <w:lang w:val="el-GR"/>
        </w:rPr>
        <w:t>3</w:t>
      </w:r>
      <w:r w:rsidR="007B24CB" w:rsidRPr="000008C4">
        <w:rPr>
          <w:sz w:val="22"/>
          <w:szCs w:val="22"/>
        </w:rPr>
        <w:t>A</w:t>
      </w:r>
      <w:r w:rsidR="007B24CB" w:rsidRPr="000008C4">
        <w:rPr>
          <w:sz w:val="22"/>
          <w:szCs w:val="22"/>
          <w:lang w:val="el-GR"/>
        </w:rPr>
        <w:t xml:space="preserve">4 και παρόλο που οι </w:t>
      </w:r>
      <w:r w:rsidR="007B24CB" w:rsidRPr="000008C4">
        <w:rPr>
          <w:i/>
          <w:sz w:val="22"/>
          <w:szCs w:val="22"/>
        </w:rPr>
        <w:t>in</w:t>
      </w:r>
      <w:r w:rsidR="007B24CB" w:rsidRPr="000008C4">
        <w:rPr>
          <w:i/>
          <w:sz w:val="22"/>
          <w:szCs w:val="22"/>
          <w:lang w:val="el-GR"/>
        </w:rPr>
        <w:t xml:space="preserve"> </w:t>
      </w:r>
      <w:r w:rsidR="007B24CB" w:rsidRPr="000008C4">
        <w:rPr>
          <w:i/>
          <w:sz w:val="22"/>
          <w:szCs w:val="22"/>
        </w:rPr>
        <w:t>vitro</w:t>
      </w:r>
      <w:r w:rsidR="007B24CB" w:rsidRPr="000008C4">
        <w:rPr>
          <w:sz w:val="22"/>
          <w:szCs w:val="22"/>
          <w:lang w:val="el-GR"/>
        </w:rPr>
        <w:t xml:space="preserve"> μελέτες δεν μπορούν πάντα να προβλέψουν την </w:t>
      </w:r>
      <w:r w:rsidR="007B24CB" w:rsidRPr="000008C4">
        <w:rPr>
          <w:i/>
          <w:sz w:val="22"/>
          <w:szCs w:val="22"/>
        </w:rPr>
        <w:t>in</w:t>
      </w:r>
      <w:r w:rsidR="007B24CB" w:rsidRPr="000008C4">
        <w:rPr>
          <w:i/>
          <w:sz w:val="22"/>
          <w:szCs w:val="22"/>
          <w:lang w:val="el-GR"/>
        </w:rPr>
        <w:t xml:space="preserve"> </w:t>
      </w:r>
      <w:r w:rsidR="007B24CB" w:rsidRPr="000008C4">
        <w:rPr>
          <w:i/>
          <w:sz w:val="22"/>
          <w:szCs w:val="22"/>
        </w:rPr>
        <w:t>vivo</w:t>
      </w:r>
      <w:r w:rsidR="007B24CB" w:rsidRPr="000008C4">
        <w:rPr>
          <w:sz w:val="22"/>
          <w:szCs w:val="22"/>
          <w:lang w:val="el-GR"/>
        </w:rPr>
        <w:t xml:space="preserve"> κατάσταση αυτά τα ευρήματα δείχνουν ότι δεν αναμένεται αλληλεπίδραση μεταξύ ραμπεπραζόλης και κυκλοσπορίνης. Στον άνθρωπο ο θειοαιθέρας (Μ1) και το καρβοξυλικό οξύ (Μ6) είναι οι κύριοι μεταβολίτες στο πλάσμα, με την σουλφόνη (Μ2), τον δισμέθυλ-θειοαιθέρα (Μ4) και το συσσωμάτωμα του μερκαπτουρικού οξέος (Μ5) ως ελάσσονες μεταβολίτες που παρατηρούνται σε χαμηλότερα επίπεδα. Μόνο ο </w:t>
      </w:r>
      <w:r w:rsidR="00B012B1" w:rsidRPr="00147539">
        <w:rPr>
          <w:sz w:val="22"/>
          <w:szCs w:val="22"/>
          <w:lang w:val="el-GR"/>
        </w:rPr>
        <w:t>απομεθυλιωμένος</w:t>
      </w:r>
      <w:r w:rsidR="00B012B1" w:rsidRPr="000008C4">
        <w:rPr>
          <w:sz w:val="22"/>
          <w:szCs w:val="22"/>
          <w:lang w:val="el-GR"/>
        </w:rPr>
        <w:t xml:space="preserve"> </w:t>
      </w:r>
      <w:r w:rsidR="007B24CB" w:rsidRPr="000008C4">
        <w:rPr>
          <w:sz w:val="22"/>
          <w:szCs w:val="22"/>
          <w:lang w:val="el-GR"/>
        </w:rPr>
        <w:t>μεταβολίτης (Μ3) έχει μικρή αντι-εκκριτική δράση, αλλά δεν εμφανίζεται στο πλάσμα.</w:t>
      </w:r>
    </w:p>
    <w:p w:rsidR="007B24CB" w:rsidRPr="000008C4" w:rsidRDefault="007B24CB" w:rsidP="00147539">
      <w:pPr>
        <w:ind w:left="720"/>
        <w:rPr>
          <w:sz w:val="22"/>
          <w:szCs w:val="22"/>
          <w:lang w:val="el-GR"/>
        </w:rPr>
      </w:pPr>
      <w:r w:rsidRPr="000008C4">
        <w:rPr>
          <w:sz w:val="22"/>
          <w:szCs w:val="22"/>
          <w:lang w:val="el-GR"/>
        </w:rPr>
        <w:t xml:space="preserve">Κατόπιν χορήγησης εφάπαξ ραδιοεπισημασμένης με </w:t>
      </w:r>
      <w:r w:rsidRPr="000008C4">
        <w:rPr>
          <w:sz w:val="22"/>
          <w:szCs w:val="22"/>
          <w:vertAlign w:val="superscript"/>
          <w:lang w:val="el-GR"/>
        </w:rPr>
        <w:t>14</w:t>
      </w:r>
      <w:r w:rsidRPr="000008C4">
        <w:rPr>
          <w:sz w:val="22"/>
          <w:szCs w:val="22"/>
          <w:lang w:val="el-GR"/>
        </w:rPr>
        <w:t xml:space="preserve">C </w:t>
      </w:r>
      <w:r w:rsidR="00A73CDE" w:rsidRPr="000008C4">
        <w:rPr>
          <w:sz w:val="22"/>
          <w:szCs w:val="22"/>
          <w:lang w:val="el-GR"/>
        </w:rPr>
        <w:t xml:space="preserve">από στόματος </w:t>
      </w:r>
      <w:r w:rsidRPr="000008C4">
        <w:rPr>
          <w:sz w:val="22"/>
          <w:szCs w:val="22"/>
          <w:lang w:val="el-GR"/>
        </w:rPr>
        <w:t>δόσης 20 mg νατριούχου ραμπεπραζόλης, δεν αποβλήθηκε από τα ούρα καθόλου αμετάβλητο φάρμακο. Περίπου 90% της δόσης απομακρύνθηκε από τα ούρα κυρίως υπό τη μορφή των δύο μεταβολιτών: ενός συσσωματώματος μερκαπτουρικού οξέος (Μ5) και ενός καρβοξυλικού οξέος (Μ6) συν δύο αγνώστων μεταβολιτών. Το υπόλοιπο της δόσης ανακτήθηκε στα κόπρανα.</w:t>
      </w:r>
    </w:p>
    <w:p w:rsidR="007B24CB" w:rsidRPr="000008C4" w:rsidRDefault="007B24CB" w:rsidP="00147539">
      <w:pPr>
        <w:ind w:left="720"/>
        <w:rPr>
          <w:sz w:val="22"/>
          <w:szCs w:val="22"/>
          <w:lang w:val="el-GR"/>
        </w:rPr>
      </w:pPr>
    </w:p>
    <w:p w:rsidR="007B24CB" w:rsidRPr="000008C4" w:rsidRDefault="008A7DB1" w:rsidP="00147539">
      <w:pPr>
        <w:ind w:left="720"/>
        <w:rPr>
          <w:sz w:val="22"/>
          <w:szCs w:val="22"/>
          <w:lang w:val="el-GR"/>
        </w:rPr>
      </w:pPr>
      <w:r>
        <w:rPr>
          <w:sz w:val="22"/>
          <w:szCs w:val="22"/>
          <w:lang w:val="el-GR"/>
        </w:rPr>
        <w:t>Φύλο</w:t>
      </w:r>
      <w:r w:rsidR="00B16D49">
        <w:rPr>
          <w:sz w:val="22"/>
          <w:szCs w:val="22"/>
          <w:lang w:val="el-GR"/>
        </w:rPr>
        <w:t>:</w:t>
      </w:r>
      <w:r>
        <w:rPr>
          <w:sz w:val="22"/>
          <w:szCs w:val="22"/>
          <w:lang w:val="el-GR"/>
        </w:rPr>
        <w:t xml:space="preserve"> </w:t>
      </w:r>
      <w:r w:rsidR="007B24CB" w:rsidRPr="000008C4">
        <w:rPr>
          <w:sz w:val="22"/>
          <w:szCs w:val="22"/>
          <w:lang w:val="el-GR"/>
        </w:rPr>
        <w:t xml:space="preserve">δεν υπάρχουν σημαντικές διαφορές </w:t>
      </w:r>
      <w:r>
        <w:rPr>
          <w:sz w:val="22"/>
          <w:szCs w:val="22"/>
          <w:lang w:val="el-GR"/>
        </w:rPr>
        <w:t>μεταξύ των φύλων</w:t>
      </w:r>
      <w:r w:rsidR="007B24CB" w:rsidRPr="000008C4">
        <w:rPr>
          <w:sz w:val="22"/>
          <w:szCs w:val="22"/>
          <w:lang w:val="el-GR"/>
        </w:rPr>
        <w:t xml:space="preserve"> στις φαρμακοκινητικές παραμέτρους μετά από μία απλή δόση 20 mg ραμπεπραζόλης</w:t>
      </w:r>
      <w:r>
        <w:rPr>
          <w:sz w:val="22"/>
          <w:szCs w:val="22"/>
          <w:lang w:val="el-GR"/>
        </w:rPr>
        <w:t>,</w:t>
      </w:r>
      <w:r w:rsidRPr="008A7DB1">
        <w:rPr>
          <w:sz w:val="22"/>
          <w:szCs w:val="22"/>
          <w:lang w:val="el-GR"/>
        </w:rPr>
        <w:t xml:space="preserve"> </w:t>
      </w:r>
      <w:r>
        <w:rPr>
          <w:sz w:val="22"/>
          <w:szCs w:val="22"/>
          <w:lang w:val="el-GR"/>
        </w:rPr>
        <w:t>κατόπιν προσαρμογής</w:t>
      </w:r>
      <w:r w:rsidRPr="00147539">
        <w:rPr>
          <w:sz w:val="22"/>
          <w:szCs w:val="22"/>
          <w:lang w:val="el-GR"/>
        </w:rPr>
        <w:t xml:space="preserve"> για </w:t>
      </w:r>
      <w:r>
        <w:rPr>
          <w:sz w:val="22"/>
          <w:szCs w:val="22"/>
          <w:lang w:val="el-GR"/>
        </w:rPr>
        <w:t xml:space="preserve">τη </w:t>
      </w:r>
      <w:r w:rsidRPr="00147539">
        <w:rPr>
          <w:sz w:val="22"/>
          <w:szCs w:val="22"/>
          <w:lang w:val="el-GR"/>
        </w:rPr>
        <w:t xml:space="preserve">σωματική μάζα και </w:t>
      </w:r>
      <w:r>
        <w:rPr>
          <w:sz w:val="22"/>
          <w:szCs w:val="22"/>
          <w:lang w:val="el-GR"/>
        </w:rPr>
        <w:t xml:space="preserve">το </w:t>
      </w:r>
      <w:r w:rsidRPr="00147539">
        <w:rPr>
          <w:sz w:val="22"/>
          <w:szCs w:val="22"/>
          <w:lang w:val="el-GR"/>
        </w:rPr>
        <w:t>ύψος</w:t>
      </w:r>
      <w:r w:rsidR="007B24CB" w:rsidRPr="000008C4">
        <w:rPr>
          <w:sz w:val="22"/>
          <w:szCs w:val="22"/>
          <w:lang w:val="el-GR"/>
        </w:rPr>
        <w:t>.</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6D183F">
        <w:rPr>
          <w:sz w:val="22"/>
          <w:szCs w:val="22"/>
          <w:lang w:val="el-GR"/>
        </w:rPr>
        <w:t>Νεφρική δυσλειτουργία:</w:t>
      </w:r>
      <w:r w:rsidRPr="000008C4">
        <w:rPr>
          <w:sz w:val="22"/>
          <w:szCs w:val="22"/>
          <w:lang w:val="el-GR"/>
        </w:rPr>
        <w:t xml:space="preserve"> σε ασθενείς με σταθερή, τελικού σταδίου νεφρική ανεπάρκεια, η οποία απαιτεί αιμοκάθαρση συντήρησης (κάθαρση κρεατινίνης </w:t>
      </w:r>
      <w:r w:rsidRPr="000008C4">
        <w:rPr>
          <w:sz w:val="22"/>
          <w:szCs w:val="22"/>
          <w:lang w:val="el-GR"/>
        </w:rPr>
        <w:sym w:font="Symbol" w:char="F0A3"/>
      </w:r>
      <w:r w:rsidR="008929E2" w:rsidRPr="000008C4">
        <w:rPr>
          <w:sz w:val="22"/>
          <w:szCs w:val="22"/>
          <w:lang w:val="el-GR"/>
        </w:rPr>
        <w:t> </w:t>
      </w:r>
      <w:r w:rsidRPr="000008C4">
        <w:rPr>
          <w:sz w:val="22"/>
          <w:szCs w:val="22"/>
          <w:lang w:val="el-GR"/>
        </w:rPr>
        <w:t>5</w:t>
      </w:r>
      <w:r w:rsidR="008929E2" w:rsidRPr="000008C4">
        <w:rPr>
          <w:sz w:val="22"/>
          <w:szCs w:val="22"/>
          <w:lang w:val="el-GR"/>
        </w:rPr>
        <w:t> </w:t>
      </w:r>
      <w:r w:rsidRPr="000008C4">
        <w:rPr>
          <w:sz w:val="22"/>
          <w:szCs w:val="22"/>
          <w:lang w:val="el-GR"/>
        </w:rPr>
        <w:t>ml/min/1,73m</w:t>
      </w:r>
      <w:r w:rsidRPr="000008C4">
        <w:rPr>
          <w:sz w:val="22"/>
          <w:szCs w:val="22"/>
          <w:vertAlign w:val="superscript"/>
          <w:lang w:val="el-GR"/>
        </w:rPr>
        <w:t>2</w:t>
      </w:r>
      <w:r w:rsidRPr="000008C4">
        <w:rPr>
          <w:sz w:val="22"/>
          <w:szCs w:val="22"/>
          <w:lang w:val="el-GR"/>
        </w:rPr>
        <w:t xml:space="preserve">), η </w:t>
      </w:r>
      <w:r w:rsidR="00B132B5" w:rsidRPr="00147539">
        <w:rPr>
          <w:sz w:val="22"/>
          <w:szCs w:val="22"/>
          <w:lang w:val="el-GR"/>
        </w:rPr>
        <w:t>διάθεση</w:t>
      </w:r>
      <w:r w:rsidR="00B132B5" w:rsidRPr="000008C4">
        <w:rPr>
          <w:sz w:val="22"/>
          <w:szCs w:val="22"/>
          <w:lang w:val="el-GR"/>
        </w:rPr>
        <w:t xml:space="preserve"> </w:t>
      </w:r>
      <w:r w:rsidRPr="000008C4">
        <w:rPr>
          <w:sz w:val="22"/>
          <w:szCs w:val="22"/>
          <w:lang w:val="el-GR"/>
        </w:rPr>
        <w:t>της ραμπεπραζόλης ήταν πολύ παρόμοια με αυτή στους υγιείς εθελοντές. Η AUC και η C</w:t>
      </w:r>
      <w:r w:rsidRPr="000008C4">
        <w:rPr>
          <w:sz w:val="22"/>
          <w:szCs w:val="22"/>
          <w:vertAlign w:val="subscript"/>
          <w:lang w:val="el-GR"/>
        </w:rPr>
        <w:t>max</w:t>
      </w:r>
      <w:r w:rsidRPr="000008C4">
        <w:rPr>
          <w:sz w:val="22"/>
          <w:szCs w:val="22"/>
          <w:lang w:val="el-GR"/>
        </w:rPr>
        <w:t xml:space="preserve"> σε αυτούς τους ασθενείς ήταν περίπου 35% χαμηλότερες από τις αντίστοιχες παραμέτρους σε υγιείς εθελοντές. Ο μέσος χρόνος ημιζωής της ραμπεπραζόλης ήταν 0,82 ώρες σε υγιείς εθελοντές, 0,95 ώρες σε ασθενείς υπό αιμοκάθαρση και 3,6 ώρες μετά την αιμοκάθαρση. Η κάθαρση του φαρμάκου σε ασθενείς με νεφρική πάθηση που απαιτείται αιμοκάθαρση συντήρησης ήταν περίπου διπλάσια από αυτή σε υγιείς εθελοντές.</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6D183F">
        <w:rPr>
          <w:sz w:val="22"/>
          <w:szCs w:val="22"/>
          <w:lang w:val="el-GR"/>
        </w:rPr>
        <w:t>Ηπατική δυσλειτουργία:</w:t>
      </w:r>
      <w:r w:rsidRPr="000008C4">
        <w:rPr>
          <w:sz w:val="22"/>
          <w:szCs w:val="22"/>
          <w:lang w:val="el-GR"/>
        </w:rPr>
        <w:t xml:space="preserve"> μετά από μία </w:t>
      </w:r>
      <w:r w:rsidR="00693451" w:rsidRPr="00147539">
        <w:rPr>
          <w:sz w:val="22"/>
          <w:szCs w:val="22"/>
          <w:lang w:val="el-GR"/>
        </w:rPr>
        <w:t>εφάπαξ</w:t>
      </w:r>
      <w:r w:rsidR="00693451" w:rsidRPr="000008C4">
        <w:rPr>
          <w:sz w:val="22"/>
          <w:szCs w:val="22"/>
          <w:lang w:val="el-GR"/>
        </w:rPr>
        <w:t xml:space="preserve"> </w:t>
      </w:r>
      <w:r w:rsidRPr="000008C4">
        <w:rPr>
          <w:sz w:val="22"/>
          <w:szCs w:val="22"/>
          <w:lang w:val="el-GR"/>
        </w:rPr>
        <w:t>δόση 20 mg ραμπεπραζόλης σε ασθενείς με χρόνια ήπια ως μέτρια ηπατική διαταραχή</w:t>
      </w:r>
      <w:r w:rsidR="00693451" w:rsidRPr="000008C4">
        <w:rPr>
          <w:sz w:val="22"/>
          <w:szCs w:val="22"/>
          <w:lang w:val="el-GR"/>
        </w:rPr>
        <w:t>,</w:t>
      </w:r>
      <w:r w:rsidRPr="000008C4">
        <w:rPr>
          <w:sz w:val="22"/>
          <w:szCs w:val="22"/>
          <w:lang w:val="el-GR"/>
        </w:rPr>
        <w:t xml:space="preserve"> η AUC διπλασιάσθηκε και υπήρχε 2-3 φορές αύξηση στο χρόνο ημιζωής της ραμπεπραζόλης σε σύγκριση με υγιείς εθελοντές. Όμως, μετά από χορήγηση δόσεως 20 mg ημερησίως για 7 ημέρες, η AUC αυξήθηκε μόνο κατά 1,5 φορές και η C</w:t>
      </w:r>
      <w:r w:rsidRPr="000008C4">
        <w:rPr>
          <w:sz w:val="22"/>
          <w:szCs w:val="22"/>
          <w:vertAlign w:val="subscript"/>
          <w:lang w:val="el-GR"/>
        </w:rPr>
        <w:t>max</w:t>
      </w:r>
      <w:r w:rsidRPr="000008C4">
        <w:rPr>
          <w:sz w:val="22"/>
          <w:szCs w:val="22"/>
          <w:lang w:val="el-GR"/>
        </w:rPr>
        <w:t xml:space="preserve"> μόνο 1,2 φορές. Ο χρόνος ημιζωής της ραμπεπραζόλης σε ασθενείς με ηπατική </w:t>
      </w:r>
      <w:r w:rsidR="00693451" w:rsidRPr="00147539">
        <w:rPr>
          <w:sz w:val="22"/>
          <w:szCs w:val="22"/>
          <w:lang w:val="el-GR"/>
        </w:rPr>
        <w:t>δυσλειτουργία</w:t>
      </w:r>
      <w:r w:rsidR="00693451" w:rsidRPr="000008C4">
        <w:rPr>
          <w:sz w:val="22"/>
          <w:szCs w:val="22"/>
          <w:lang w:val="el-GR"/>
        </w:rPr>
        <w:t xml:space="preserve"> </w:t>
      </w:r>
      <w:r w:rsidRPr="000008C4">
        <w:rPr>
          <w:sz w:val="22"/>
          <w:szCs w:val="22"/>
          <w:lang w:val="el-GR"/>
        </w:rPr>
        <w:t>ήταν 12,3 ώρες σε σύγκριση με 2,1 ώρες σε υγιείς εθελοντές. Η φαρμακοδυναμική ανταπόκριση (έλεγχος γαστρικής οξύτητας-pH) στις δύο ομάδες ήταν κλινικά συγκρίσιμη.</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6D183F">
        <w:rPr>
          <w:sz w:val="22"/>
          <w:szCs w:val="22"/>
          <w:lang w:val="el-GR"/>
        </w:rPr>
        <w:t>Ηλικιωμένοι:</w:t>
      </w:r>
      <w:r w:rsidRPr="000008C4">
        <w:rPr>
          <w:sz w:val="22"/>
          <w:szCs w:val="22"/>
          <w:lang w:val="el-GR"/>
        </w:rPr>
        <w:t xml:space="preserve"> η αποβολή της νατριούχου ραμπεπραζόλης ήταν ελαφρώς μειωμένη στους ηλικιωμένους. Κατόπιν 7 ημερών καθημερινής χορήγησης δόσεως 20 mg νατριούχου ραμπεπραζόλη</w:t>
      </w:r>
      <w:r w:rsidR="00B7361C" w:rsidRPr="00147539">
        <w:rPr>
          <w:sz w:val="22"/>
          <w:szCs w:val="22"/>
          <w:lang w:val="el-GR"/>
        </w:rPr>
        <w:t>ς</w:t>
      </w:r>
      <w:r w:rsidRPr="000008C4">
        <w:rPr>
          <w:sz w:val="22"/>
          <w:szCs w:val="22"/>
          <w:lang w:val="el-GR"/>
        </w:rPr>
        <w:t>, η AUC περίπου διπλασιάστηκε, η C</w:t>
      </w:r>
      <w:r w:rsidRPr="000008C4">
        <w:rPr>
          <w:sz w:val="22"/>
          <w:szCs w:val="22"/>
          <w:vertAlign w:val="subscript"/>
          <w:lang w:val="el-GR"/>
        </w:rPr>
        <w:t>max</w:t>
      </w:r>
      <w:r w:rsidRPr="000008C4">
        <w:rPr>
          <w:sz w:val="22"/>
          <w:szCs w:val="22"/>
          <w:lang w:val="el-GR"/>
        </w:rPr>
        <w:t xml:space="preserve"> αυξήθηκε κατά 60% και ο χρόνος ημιζωής t½ αυξήθηκε κατά περίπου 30% σε σύγκριση με τους νέους υγιείς εθελοντές. Όμως δεν παρατηρήθηκαν ενδείξεις συσσώρευσης της ραμπεπραζόλης.</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6D183F">
        <w:rPr>
          <w:sz w:val="22"/>
          <w:szCs w:val="22"/>
          <w:lang w:val="el-GR"/>
        </w:rPr>
        <w:t>Πολυμορφισμός CYP2C19:</w:t>
      </w:r>
      <w:r w:rsidRPr="000008C4">
        <w:rPr>
          <w:sz w:val="22"/>
          <w:szCs w:val="22"/>
          <w:lang w:val="el-GR"/>
        </w:rPr>
        <w:t xml:space="preserve"> μετά από χορήγηση δόσεως 20 mg ραμπεπραζόλης ημερησίως για 7 ημέρες, τα άτομα με βραδύ μεταβολισμό μέσω του CYP2C19, είχαν AUC και t½ που ήταν περίπου 1,9 και 1,6 φορές των αντιστοίχων παραμέτρων των ατόμων με εκτενή μεταβολισμό, ενώ η C</w:t>
      </w:r>
      <w:r w:rsidRPr="000008C4">
        <w:rPr>
          <w:sz w:val="22"/>
          <w:szCs w:val="22"/>
          <w:vertAlign w:val="subscript"/>
          <w:lang w:val="el-GR"/>
        </w:rPr>
        <w:t>max</w:t>
      </w:r>
      <w:r w:rsidRPr="000008C4">
        <w:rPr>
          <w:sz w:val="22"/>
          <w:szCs w:val="22"/>
          <w:lang w:val="el-GR"/>
        </w:rPr>
        <w:t xml:space="preserve"> είχε αυξηθεί κατά μόνο 40%.</w:t>
      </w:r>
    </w:p>
    <w:p w:rsidR="007B24CB" w:rsidRPr="000008C4" w:rsidRDefault="007B24CB" w:rsidP="00147539">
      <w:pPr>
        <w:ind w:left="720"/>
        <w:rPr>
          <w:sz w:val="22"/>
          <w:szCs w:val="22"/>
          <w:lang w:val="el-GR"/>
        </w:rPr>
      </w:pPr>
    </w:p>
    <w:p w:rsidR="007B24CB" w:rsidRPr="006D183F" w:rsidRDefault="007B24CB" w:rsidP="00147539">
      <w:pPr>
        <w:rPr>
          <w:b/>
          <w:sz w:val="22"/>
          <w:szCs w:val="22"/>
          <w:lang w:val="el-GR"/>
        </w:rPr>
      </w:pPr>
      <w:r w:rsidRPr="000008C4">
        <w:rPr>
          <w:b/>
          <w:sz w:val="22"/>
          <w:szCs w:val="22"/>
          <w:lang w:val="el-GR"/>
        </w:rPr>
        <w:t>5.3</w:t>
      </w:r>
      <w:r w:rsidRPr="000008C4">
        <w:rPr>
          <w:b/>
          <w:sz w:val="22"/>
          <w:szCs w:val="22"/>
          <w:lang w:val="el-GR"/>
        </w:rPr>
        <w:tab/>
        <w:t xml:space="preserve">Προκλινικά </w:t>
      </w:r>
      <w:r w:rsidR="000D0795" w:rsidRPr="006D183F">
        <w:rPr>
          <w:b/>
          <w:sz w:val="22"/>
          <w:szCs w:val="22"/>
          <w:lang w:val="el-GR"/>
        </w:rPr>
        <w:t xml:space="preserve"> δεδομένα για την ασφάλεια</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0008C4">
        <w:rPr>
          <w:sz w:val="22"/>
          <w:szCs w:val="22"/>
          <w:lang w:val="el-GR"/>
        </w:rPr>
        <w:t>Οι μη κλινικές επιδράσεις παρατηρήθηκαν μόνο σε εκθέσεις στο φάρμακο πολύ μεγαλύτερες από τη μέγιστη έκθεση για τον άνθρωπο έτσι ώστε η θεώρηση για την ανθρώπινη ασφάλεια να είναι αμελητέα σε σχέση με τα στοιχεία από τα πειραματόζωα.</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0008C4">
        <w:rPr>
          <w:sz w:val="22"/>
          <w:szCs w:val="22"/>
          <w:lang w:val="el-GR"/>
        </w:rPr>
        <w:t xml:space="preserve">Μελέτες μεταλλαξιογένεσης έδωσαν αμφίβολα αποτελέσματα. Δοκιμές σε κυτταρικό λέμφωμα ποντικού ήταν θετικές, αλλά </w:t>
      </w:r>
      <w:r w:rsidRPr="000008C4">
        <w:rPr>
          <w:i/>
          <w:sz w:val="22"/>
          <w:szCs w:val="22"/>
          <w:lang w:val="el-GR"/>
        </w:rPr>
        <w:t>in vivo</w:t>
      </w:r>
      <w:r w:rsidRPr="000008C4">
        <w:rPr>
          <w:sz w:val="22"/>
          <w:szCs w:val="22"/>
          <w:lang w:val="el-GR"/>
        </w:rPr>
        <w:t xml:space="preserve"> μικροπυρηνική και </w:t>
      </w:r>
      <w:r w:rsidRPr="000008C4">
        <w:rPr>
          <w:i/>
          <w:sz w:val="22"/>
          <w:szCs w:val="22"/>
          <w:lang w:val="el-GR"/>
        </w:rPr>
        <w:t>in vivo</w:t>
      </w:r>
      <w:r w:rsidRPr="000008C4">
        <w:rPr>
          <w:sz w:val="22"/>
          <w:szCs w:val="22"/>
          <w:lang w:val="el-GR"/>
        </w:rPr>
        <w:t xml:space="preserve"> και </w:t>
      </w:r>
      <w:r w:rsidRPr="000008C4">
        <w:rPr>
          <w:i/>
          <w:sz w:val="22"/>
          <w:szCs w:val="22"/>
          <w:lang w:val="el-GR"/>
        </w:rPr>
        <w:t>in vitro</w:t>
      </w:r>
      <w:r w:rsidRPr="000008C4">
        <w:rPr>
          <w:sz w:val="22"/>
          <w:szCs w:val="22"/>
          <w:lang w:val="el-GR"/>
        </w:rPr>
        <w:t xml:space="preserve"> δοκιμές διόρθωσης DNA ήταν αρνητικές. Οι μελέτες καρκινογένεσης δεν έδειξαν ιδιαίτερο κίνδυνο για τον άνθρωπο.</w:t>
      </w:r>
    </w:p>
    <w:p w:rsidR="007B24CB" w:rsidRDefault="007B24CB" w:rsidP="00147539">
      <w:pPr>
        <w:ind w:left="720"/>
        <w:rPr>
          <w:sz w:val="22"/>
          <w:szCs w:val="22"/>
          <w:lang w:val="el-GR"/>
        </w:rPr>
      </w:pPr>
    </w:p>
    <w:p w:rsidR="00B24C4D" w:rsidRPr="000008C4" w:rsidRDefault="00B24C4D" w:rsidP="00147539">
      <w:pPr>
        <w:ind w:left="720"/>
        <w:rPr>
          <w:sz w:val="22"/>
          <w:szCs w:val="22"/>
          <w:lang w:val="el-GR"/>
        </w:rPr>
      </w:pPr>
    </w:p>
    <w:p w:rsidR="007B24CB" w:rsidRPr="000008C4" w:rsidRDefault="007B24CB" w:rsidP="00147539">
      <w:pPr>
        <w:numPr>
          <w:ilvl w:val="0"/>
          <w:numId w:val="4"/>
        </w:numPr>
        <w:tabs>
          <w:tab w:val="clear" w:pos="360"/>
          <w:tab w:val="num" w:pos="709"/>
        </w:tabs>
        <w:rPr>
          <w:b/>
          <w:sz w:val="22"/>
          <w:szCs w:val="22"/>
          <w:lang w:val="el-GR"/>
        </w:rPr>
      </w:pPr>
      <w:r w:rsidRPr="000008C4">
        <w:rPr>
          <w:b/>
          <w:sz w:val="22"/>
          <w:szCs w:val="22"/>
          <w:lang w:val="el-GR"/>
        </w:rPr>
        <w:t>ΦΑΡΜΑΚΕΥΤΙΚ</w:t>
      </w:r>
      <w:r w:rsidR="001428ED" w:rsidRPr="006D183F">
        <w:rPr>
          <w:b/>
          <w:sz w:val="22"/>
          <w:szCs w:val="22"/>
          <w:lang w:val="el-GR"/>
        </w:rPr>
        <w:t>ΕΣ ΠΛΗΡΟΦΟΡΙΕΣ</w:t>
      </w:r>
    </w:p>
    <w:p w:rsidR="007B24CB" w:rsidRPr="000008C4" w:rsidRDefault="007B24CB" w:rsidP="00147539">
      <w:pPr>
        <w:ind w:left="720"/>
        <w:rPr>
          <w:b/>
          <w:sz w:val="22"/>
          <w:szCs w:val="22"/>
          <w:lang w:val="el-GR"/>
        </w:rPr>
      </w:pPr>
    </w:p>
    <w:p w:rsidR="007B24CB" w:rsidRPr="000008C4" w:rsidRDefault="007B24CB" w:rsidP="00147539">
      <w:pPr>
        <w:rPr>
          <w:b/>
          <w:sz w:val="22"/>
          <w:szCs w:val="22"/>
          <w:lang w:val="el-GR"/>
        </w:rPr>
      </w:pPr>
      <w:r w:rsidRPr="000008C4">
        <w:rPr>
          <w:b/>
          <w:sz w:val="22"/>
          <w:szCs w:val="22"/>
          <w:lang w:val="el-GR"/>
        </w:rPr>
        <w:t>6.1</w:t>
      </w:r>
      <w:r w:rsidRPr="000008C4">
        <w:rPr>
          <w:b/>
          <w:sz w:val="22"/>
          <w:szCs w:val="22"/>
          <w:lang w:val="el-GR"/>
        </w:rPr>
        <w:tab/>
        <w:t>Κατάλογος εκδόχων</w:t>
      </w:r>
    </w:p>
    <w:p w:rsidR="007B24CB" w:rsidRPr="000008C4" w:rsidRDefault="007B24CB" w:rsidP="00147539">
      <w:pPr>
        <w:ind w:left="720"/>
        <w:rPr>
          <w:sz w:val="22"/>
          <w:szCs w:val="22"/>
          <w:lang w:val="el-GR"/>
        </w:rPr>
      </w:pPr>
    </w:p>
    <w:p w:rsidR="006A07BE" w:rsidRDefault="007B24CB" w:rsidP="00147539">
      <w:pPr>
        <w:ind w:left="720"/>
        <w:rPr>
          <w:sz w:val="22"/>
          <w:szCs w:val="22"/>
        </w:rPr>
      </w:pPr>
      <w:r w:rsidRPr="000008C4">
        <w:rPr>
          <w:sz w:val="22"/>
          <w:szCs w:val="22"/>
          <w:lang w:val="el-GR"/>
        </w:rPr>
        <w:t>Πυρήνας</w:t>
      </w:r>
      <w:r w:rsidRPr="006D183F">
        <w:rPr>
          <w:sz w:val="22"/>
          <w:szCs w:val="22"/>
          <w:lang w:val="el-GR"/>
        </w:rPr>
        <w:t xml:space="preserve"> </w:t>
      </w:r>
      <w:r w:rsidRPr="000008C4">
        <w:rPr>
          <w:sz w:val="22"/>
          <w:szCs w:val="22"/>
          <w:lang w:val="el-GR"/>
        </w:rPr>
        <w:t>δισκίου</w:t>
      </w:r>
      <w:r w:rsidRPr="006D183F">
        <w:rPr>
          <w:sz w:val="22"/>
          <w:szCs w:val="22"/>
          <w:lang w:val="el-GR"/>
        </w:rPr>
        <w:t>:</w:t>
      </w:r>
      <w:r w:rsidR="008421C0" w:rsidRPr="006D183F">
        <w:rPr>
          <w:sz w:val="22"/>
          <w:szCs w:val="22"/>
          <w:lang w:val="el-GR"/>
        </w:rPr>
        <w:t xml:space="preserve"> </w:t>
      </w:r>
    </w:p>
    <w:p w:rsidR="007B24CB" w:rsidRPr="006D183F" w:rsidRDefault="008421C0" w:rsidP="00147539">
      <w:pPr>
        <w:ind w:left="720"/>
        <w:rPr>
          <w:sz w:val="22"/>
          <w:szCs w:val="22"/>
          <w:lang w:val="el-GR"/>
        </w:rPr>
      </w:pPr>
      <w:r w:rsidRPr="006D183F">
        <w:rPr>
          <w:sz w:val="22"/>
          <w:szCs w:val="22"/>
          <w:lang w:val="el-GR"/>
        </w:rPr>
        <w:t>Μαννιτόλη</w:t>
      </w:r>
      <w:r w:rsidR="007B24CB" w:rsidRPr="006D183F">
        <w:rPr>
          <w:sz w:val="22"/>
          <w:szCs w:val="22"/>
          <w:lang w:val="el-GR"/>
        </w:rPr>
        <w:t xml:space="preserve">, </w:t>
      </w:r>
      <w:r w:rsidR="00D6750E" w:rsidRPr="000008C4">
        <w:rPr>
          <w:sz w:val="22"/>
          <w:szCs w:val="22"/>
          <w:lang w:val="el-GR"/>
        </w:rPr>
        <w:t>οξείδιο του μαγνησίου</w:t>
      </w:r>
      <w:r w:rsidR="007B24CB" w:rsidRPr="006D183F">
        <w:rPr>
          <w:sz w:val="22"/>
          <w:szCs w:val="22"/>
          <w:lang w:val="el-GR"/>
        </w:rPr>
        <w:t xml:space="preserve">, </w:t>
      </w:r>
      <w:r w:rsidR="00B31C60" w:rsidRPr="000008C4">
        <w:rPr>
          <w:sz w:val="22"/>
          <w:szCs w:val="22"/>
          <w:lang w:val="el-GR"/>
        </w:rPr>
        <w:t xml:space="preserve">υδροξυπροπυλοκυτταρίνη </w:t>
      </w:r>
      <w:r w:rsidR="00B31C60" w:rsidRPr="006D183F">
        <w:rPr>
          <w:sz w:val="22"/>
          <w:szCs w:val="22"/>
          <w:lang w:val="el-GR"/>
        </w:rPr>
        <w:t>χαμηλής υποκατάστασης</w:t>
      </w:r>
      <w:r w:rsidR="007B24CB" w:rsidRPr="006D183F">
        <w:rPr>
          <w:sz w:val="22"/>
          <w:szCs w:val="22"/>
          <w:lang w:val="el-GR"/>
        </w:rPr>
        <w:t xml:space="preserve">, </w:t>
      </w:r>
      <w:r w:rsidR="00737DB2" w:rsidRPr="006D183F">
        <w:rPr>
          <w:sz w:val="22"/>
          <w:szCs w:val="22"/>
          <w:lang w:val="el-GR"/>
        </w:rPr>
        <w:t>υδροξυπροπυλοκυτταρίνη</w:t>
      </w:r>
      <w:r w:rsidR="007B24CB" w:rsidRPr="006D183F">
        <w:rPr>
          <w:sz w:val="22"/>
          <w:szCs w:val="22"/>
          <w:lang w:val="el-GR"/>
        </w:rPr>
        <w:t xml:space="preserve">, </w:t>
      </w:r>
      <w:r w:rsidR="005617EC" w:rsidRPr="000008C4">
        <w:rPr>
          <w:sz w:val="22"/>
          <w:szCs w:val="22"/>
          <w:lang w:val="el-GR"/>
        </w:rPr>
        <w:t>στεατικό μαγνήσιο</w:t>
      </w:r>
      <w:r w:rsidR="009542A5">
        <w:rPr>
          <w:sz w:val="22"/>
          <w:szCs w:val="22"/>
          <w:lang w:val="el-GR"/>
        </w:rPr>
        <w:t>.</w:t>
      </w:r>
    </w:p>
    <w:p w:rsidR="006A07BE" w:rsidRDefault="006A07BE" w:rsidP="00147539">
      <w:pPr>
        <w:ind w:left="720"/>
        <w:rPr>
          <w:sz w:val="22"/>
          <w:szCs w:val="22"/>
          <w:lang w:val="el-GR"/>
        </w:rPr>
      </w:pPr>
    </w:p>
    <w:p w:rsidR="006A07BE" w:rsidRPr="006D183F" w:rsidRDefault="007B24CB" w:rsidP="00147539">
      <w:pPr>
        <w:ind w:left="720"/>
        <w:rPr>
          <w:sz w:val="22"/>
          <w:szCs w:val="22"/>
          <w:lang w:val="el-GR"/>
        </w:rPr>
      </w:pPr>
      <w:r w:rsidRPr="000008C4">
        <w:rPr>
          <w:sz w:val="22"/>
          <w:szCs w:val="22"/>
          <w:lang w:val="el-GR"/>
        </w:rPr>
        <w:t>Εσωτερική</w:t>
      </w:r>
      <w:r w:rsidRPr="006D183F">
        <w:rPr>
          <w:sz w:val="22"/>
          <w:szCs w:val="22"/>
          <w:lang w:val="el-GR"/>
        </w:rPr>
        <w:t xml:space="preserve"> </w:t>
      </w:r>
      <w:r w:rsidRPr="000008C4">
        <w:rPr>
          <w:sz w:val="22"/>
          <w:szCs w:val="22"/>
          <w:lang w:val="el-GR"/>
        </w:rPr>
        <w:t>επικάλυψη</w:t>
      </w:r>
      <w:r w:rsidRPr="006D183F">
        <w:rPr>
          <w:sz w:val="22"/>
          <w:szCs w:val="22"/>
          <w:lang w:val="el-GR"/>
        </w:rPr>
        <w:t>:</w:t>
      </w:r>
      <w:r w:rsidR="0071201B" w:rsidRPr="006D183F">
        <w:rPr>
          <w:sz w:val="22"/>
          <w:szCs w:val="22"/>
          <w:lang w:val="el-GR"/>
        </w:rPr>
        <w:t xml:space="preserve"> </w:t>
      </w:r>
    </w:p>
    <w:p w:rsidR="007B24CB" w:rsidRPr="006D183F" w:rsidRDefault="006A07BE" w:rsidP="00147539">
      <w:pPr>
        <w:ind w:left="720"/>
        <w:rPr>
          <w:sz w:val="22"/>
          <w:szCs w:val="22"/>
          <w:lang w:val="el-GR"/>
        </w:rPr>
      </w:pPr>
      <w:r>
        <w:rPr>
          <w:sz w:val="22"/>
          <w:szCs w:val="22"/>
        </w:rPr>
        <w:t>A</w:t>
      </w:r>
      <w:r w:rsidR="0071201B" w:rsidRPr="006D183F">
        <w:rPr>
          <w:sz w:val="22"/>
          <w:szCs w:val="22"/>
          <w:lang w:val="el-GR"/>
        </w:rPr>
        <w:t>ιθυλοκυτταρίνη</w:t>
      </w:r>
      <w:r w:rsidR="007B24CB" w:rsidRPr="006D183F">
        <w:rPr>
          <w:sz w:val="22"/>
          <w:szCs w:val="22"/>
          <w:lang w:val="el-GR"/>
        </w:rPr>
        <w:t xml:space="preserve">, </w:t>
      </w:r>
      <w:r w:rsidR="0071201B" w:rsidRPr="000008C4">
        <w:rPr>
          <w:sz w:val="22"/>
          <w:szCs w:val="22"/>
          <w:lang w:val="el-GR"/>
        </w:rPr>
        <w:t>οξείδιο του μαγνησίου</w:t>
      </w:r>
      <w:r w:rsidR="009542A5">
        <w:rPr>
          <w:sz w:val="22"/>
          <w:szCs w:val="22"/>
          <w:lang w:val="el-GR"/>
        </w:rPr>
        <w:t>.</w:t>
      </w:r>
    </w:p>
    <w:p w:rsidR="006A07BE" w:rsidRDefault="006A07BE" w:rsidP="00147539">
      <w:pPr>
        <w:ind w:left="720"/>
        <w:rPr>
          <w:sz w:val="22"/>
          <w:szCs w:val="22"/>
          <w:lang w:val="el-GR"/>
        </w:rPr>
      </w:pPr>
    </w:p>
    <w:p w:rsidR="006A07BE" w:rsidRPr="006D183F" w:rsidRDefault="007B24CB" w:rsidP="00147539">
      <w:pPr>
        <w:ind w:left="720"/>
        <w:rPr>
          <w:sz w:val="22"/>
          <w:szCs w:val="22"/>
          <w:lang w:val="el-GR"/>
        </w:rPr>
      </w:pPr>
      <w:r w:rsidRPr="000008C4">
        <w:rPr>
          <w:sz w:val="22"/>
          <w:szCs w:val="22"/>
          <w:lang w:val="el-GR"/>
        </w:rPr>
        <w:t>Εντερική</w:t>
      </w:r>
      <w:r w:rsidRPr="006D183F">
        <w:rPr>
          <w:sz w:val="22"/>
          <w:szCs w:val="22"/>
          <w:lang w:val="el-GR"/>
        </w:rPr>
        <w:t xml:space="preserve"> </w:t>
      </w:r>
      <w:r w:rsidRPr="000008C4">
        <w:rPr>
          <w:sz w:val="22"/>
          <w:szCs w:val="22"/>
          <w:lang w:val="el-GR"/>
        </w:rPr>
        <w:t>επικάλυψη</w:t>
      </w:r>
      <w:r w:rsidRPr="006D183F">
        <w:rPr>
          <w:sz w:val="22"/>
          <w:szCs w:val="22"/>
          <w:lang w:val="el-GR"/>
        </w:rPr>
        <w:t xml:space="preserve">: </w:t>
      </w:r>
    </w:p>
    <w:p w:rsidR="007B24CB" w:rsidRPr="006D183F" w:rsidRDefault="006A07BE" w:rsidP="00147539">
      <w:pPr>
        <w:ind w:left="720"/>
        <w:rPr>
          <w:sz w:val="22"/>
          <w:szCs w:val="22"/>
          <w:lang w:val="el-GR"/>
        </w:rPr>
      </w:pPr>
      <w:r>
        <w:rPr>
          <w:sz w:val="22"/>
          <w:szCs w:val="22"/>
          <w:lang w:val="el-GR"/>
        </w:rPr>
        <w:t>Φ</w:t>
      </w:r>
      <w:r w:rsidR="006645F1" w:rsidRPr="000008C4">
        <w:rPr>
          <w:sz w:val="22"/>
          <w:szCs w:val="22"/>
          <w:lang w:val="el-GR"/>
        </w:rPr>
        <w:t>θαλική υπρομελλόζη</w:t>
      </w:r>
      <w:r w:rsidR="006645F1" w:rsidRPr="006D183F">
        <w:rPr>
          <w:sz w:val="22"/>
          <w:szCs w:val="22"/>
          <w:lang w:val="el-GR"/>
        </w:rPr>
        <w:t>,</w:t>
      </w:r>
      <w:r w:rsidR="006645F1" w:rsidRPr="000008C4">
        <w:rPr>
          <w:sz w:val="22"/>
          <w:szCs w:val="22"/>
          <w:lang w:val="el-GR"/>
        </w:rPr>
        <w:t xml:space="preserve"> </w:t>
      </w:r>
      <w:r w:rsidR="007B67AA" w:rsidRPr="000008C4">
        <w:rPr>
          <w:sz w:val="22"/>
          <w:szCs w:val="22"/>
          <w:lang w:val="el-GR"/>
        </w:rPr>
        <w:t>διακετυλιωμένα</w:t>
      </w:r>
      <w:r w:rsidR="008A0745" w:rsidRPr="000008C4">
        <w:rPr>
          <w:sz w:val="22"/>
          <w:szCs w:val="22"/>
          <w:lang w:val="el-GR"/>
        </w:rPr>
        <w:t xml:space="preserve"> μονογλυκερίδια</w:t>
      </w:r>
      <w:r w:rsidR="007B24CB" w:rsidRPr="006D183F">
        <w:rPr>
          <w:sz w:val="22"/>
          <w:szCs w:val="22"/>
          <w:lang w:val="el-GR"/>
        </w:rPr>
        <w:t xml:space="preserve">, </w:t>
      </w:r>
      <w:r w:rsidR="000F326F" w:rsidRPr="006D183F">
        <w:rPr>
          <w:sz w:val="22"/>
          <w:szCs w:val="22"/>
          <w:lang w:val="el-GR"/>
        </w:rPr>
        <w:t>τάλκης</w:t>
      </w:r>
      <w:r w:rsidR="007B24CB" w:rsidRPr="006D183F">
        <w:rPr>
          <w:sz w:val="22"/>
          <w:szCs w:val="22"/>
          <w:lang w:val="el-GR"/>
        </w:rPr>
        <w:t xml:space="preserve">, </w:t>
      </w:r>
      <w:r w:rsidR="00A66E1B" w:rsidRPr="000008C4">
        <w:rPr>
          <w:sz w:val="22"/>
          <w:szCs w:val="22"/>
          <w:lang w:val="el-GR"/>
        </w:rPr>
        <w:t>διοξείδιο</w:t>
      </w:r>
      <w:r w:rsidR="00A66E1B" w:rsidRPr="006D183F">
        <w:rPr>
          <w:sz w:val="22"/>
          <w:szCs w:val="22"/>
          <w:lang w:val="el-GR"/>
        </w:rPr>
        <w:t xml:space="preserve"> </w:t>
      </w:r>
      <w:r w:rsidR="00A66E1B" w:rsidRPr="000008C4">
        <w:rPr>
          <w:sz w:val="22"/>
          <w:szCs w:val="22"/>
          <w:lang w:val="el-GR"/>
        </w:rPr>
        <w:t xml:space="preserve">του τιτανίου </w:t>
      </w:r>
      <w:r w:rsidR="007B24CB" w:rsidRPr="006D183F">
        <w:rPr>
          <w:sz w:val="22"/>
          <w:szCs w:val="22"/>
          <w:lang w:val="el-GR"/>
        </w:rPr>
        <w:t xml:space="preserve">(E171), </w:t>
      </w:r>
      <w:r w:rsidR="00173703" w:rsidRPr="000008C4">
        <w:rPr>
          <w:sz w:val="22"/>
          <w:szCs w:val="22"/>
          <w:lang w:val="el-GR"/>
        </w:rPr>
        <w:t xml:space="preserve">κίτρινο οξείδιο του </w:t>
      </w:r>
      <w:r w:rsidR="00432055" w:rsidRPr="000008C4">
        <w:rPr>
          <w:sz w:val="22"/>
          <w:szCs w:val="22"/>
          <w:lang w:val="el-GR"/>
        </w:rPr>
        <w:t xml:space="preserve">σιδήρου </w:t>
      </w:r>
      <w:r w:rsidR="007B24CB" w:rsidRPr="006D183F">
        <w:rPr>
          <w:sz w:val="22"/>
          <w:szCs w:val="22"/>
          <w:lang w:val="el-GR"/>
        </w:rPr>
        <w:t xml:space="preserve">(E172) (μόνο στα 20 mg), </w:t>
      </w:r>
      <w:r w:rsidR="00A14823" w:rsidRPr="000008C4">
        <w:rPr>
          <w:sz w:val="22"/>
          <w:szCs w:val="22"/>
          <w:lang w:val="el-GR"/>
        </w:rPr>
        <w:t xml:space="preserve">ερυθρό οξείδιο του </w:t>
      </w:r>
      <w:r w:rsidR="00432055" w:rsidRPr="000008C4">
        <w:rPr>
          <w:sz w:val="22"/>
          <w:szCs w:val="22"/>
          <w:lang w:val="el-GR"/>
        </w:rPr>
        <w:t xml:space="preserve">σιδήρου </w:t>
      </w:r>
      <w:r w:rsidR="007B24CB" w:rsidRPr="006D183F">
        <w:rPr>
          <w:sz w:val="22"/>
          <w:szCs w:val="22"/>
          <w:lang w:val="el-GR"/>
        </w:rPr>
        <w:t xml:space="preserve">(E172) (μόνο στα 10 mg), </w:t>
      </w:r>
      <w:r w:rsidR="00A53D67" w:rsidRPr="000008C4">
        <w:rPr>
          <w:sz w:val="22"/>
          <w:szCs w:val="22"/>
          <w:lang w:val="el-GR"/>
        </w:rPr>
        <w:t>κηρός καρναούβης</w:t>
      </w:r>
      <w:r>
        <w:rPr>
          <w:sz w:val="22"/>
          <w:szCs w:val="22"/>
          <w:lang w:val="el-GR"/>
        </w:rPr>
        <w:t>.</w:t>
      </w:r>
      <w:r w:rsidR="00A53D67" w:rsidRPr="000008C4">
        <w:rPr>
          <w:sz w:val="22"/>
          <w:szCs w:val="22"/>
          <w:lang w:val="el-GR"/>
        </w:rPr>
        <w:t xml:space="preserve"> </w:t>
      </w:r>
    </w:p>
    <w:p w:rsidR="006A07BE" w:rsidRDefault="006A07BE" w:rsidP="00147539">
      <w:pPr>
        <w:ind w:left="720"/>
        <w:rPr>
          <w:sz w:val="22"/>
          <w:szCs w:val="22"/>
          <w:lang w:val="el-GR"/>
        </w:rPr>
      </w:pPr>
    </w:p>
    <w:p w:rsidR="006A07BE" w:rsidRPr="006D183F" w:rsidRDefault="007B24CB" w:rsidP="00147539">
      <w:pPr>
        <w:ind w:left="720"/>
        <w:rPr>
          <w:sz w:val="22"/>
          <w:szCs w:val="22"/>
          <w:lang w:val="el-GR"/>
        </w:rPr>
      </w:pPr>
      <w:r w:rsidRPr="000008C4">
        <w:rPr>
          <w:sz w:val="22"/>
          <w:szCs w:val="22"/>
          <w:lang w:val="el-GR"/>
        </w:rPr>
        <w:t>Μελάνι</w:t>
      </w:r>
      <w:r w:rsidRPr="006D183F">
        <w:rPr>
          <w:sz w:val="22"/>
          <w:szCs w:val="22"/>
          <w:lang w:val="el-GR"/>
        </w:rPr>
        <w:t xml:space="preserve"> </w:t>
      </w:r>
      <w:r w:rsidR="009542A5">
        <w:rPr>
          <w:sz w:val="22"/>
          <w:szCs w:val="22"/>
          <w:lang w:val="el-GR"/>
        </w:rPr>
        <w:t>εκτύπωσης</w:t>
      </w:r>
      <w:r w:rsidRPr="006D183F">
        <w:rPr>
          <w:sz w:val="22"/>
          <w:szCs w:val="22"/>
          <w:lang w:val="el-GR"/>
        </w:rPr>
        <w:t xml:space="preserve">: </w:t>
      </w:r>
    </w:p>
    <w:p w:rsidR="006F2F1F" w:rsidRPr="000008C4" w:rsidRDefault="006F2F1F" w:rsidP="00147539">
      <w:pPr>
        <w:ind w:left="720"/>
        <w:rPr>
          <w:sz w:val="22"/>
          <w:szCs w:val="22"/>
          <w:lang w:val="el-GR"/>
        </w:rPr>
      </w:pPr>
      <w:r w:rsidRPr="000008C4">
        <w:rPr>
          <w:sz w:val="22"/>
          <w:szCs w:val="22"/>
          <w:lang w:val="el-GR"/>
        </w:rPr>
        <w:t>Για τα δισκία των 10</w:t>
      </w:r>
      <w:r w:rsidRPr="000008C4">
        <w:rPr>
          <w:sz w:val="22"/>
          <w:szCs w:val="22"/>
        </w:rPr>
        <w:t> mg</w:t>
      </w:r>
      <w:r w:rsidRPr="000008C4">
        <w:rPr>
          <w:sz w:val="22"/>
          <w:szCs w:val="22"/>
          <w:lang w:val="el-GR"/>
        </w:rPr>
        <w:t>: κόμμεα λάκκας λευκά, μέλαν οξείδιο του σιδήρου (E172), αφυδατωμένη αιθυλική αλκοόλη, 1</w:t>
      </w:r>
      <w:r w:rsidRPr="000008C4">
        <w:rPr>
          <w:sz w:val="22"/>
          <w:szCs w:val="22"/>
          <w:lang w:val="el-GR"/>
        </w:rPr>
        <w:noBreakHyphen/>
        <w:t>βουτανόλη.</w:t>
      </w:r>
    </w:p>
    <w:p w:rsidR="007B24CB" w:rsidRPr="006D183F" w:rsidRDefault="007B24CB" w:rsidP="00147539">
      <w:pPr>
        <w:ind w:left="720"/>
        <w:rPr>
          <w:sz w:val="22"/>
          <w:szCs w:val="22"/>
          <w:lang w:val="el-GR"/>
        </w:rPr>
      </w:pPr>
      <w:r w:rsidRPr="000008C4">
        <w:rPr>
          <w:sz w:val="22"/>
          <w:szCs w:val="22"/>
          <w:lang w:val="el-GR"/>
        </w:rPr>
        <w:t>Για</w:t>
      </w:r>
      <w:r w:rsidRPr="006D183F">
        <w:rPr>
          <w:sz w:val="22"/>
          <w:szCs w:val="22"/>
          <w:lang w:val="el-GR"/>
        </w:rPr>
        <w:t xml:space="preserve"> </w:t>
      </w:r>
      <w:r w:rsidRPr="000008C4">
        <w:rPr>
          <w:sz w:val="22"/>
          <w:szCs w:val="22"/>
          <w:lang w:val="el-GR"/>
        </w:rPr>
        <w:t>τα</w:t>
      </w:r>
      <w:r w:rsidRPr="006D183F">
        <w:rPr>
          <w:sz w:val="22"/>
          <w:szCs w:val="22"/>
          <w:lang w:val="el-GR"/>
        </w:rPr>
        <w:t xml:space="preserve"> </w:t>
      </w:r>
      <w:r w:rsidRPr="000008C4">
        <w:rPr>
          <w:sz w:val="22"/>
          <w:szCs w:val="22"/>
          <w:lang w:val="el-GR"/>
        </w:rPr>
        <w:t>δισκία</w:t>
      </w:r>
      <w:r w:rsidRPr="006D183F">
        <w:rPr>
          <w:sz w:val="22"/>
          <w:szCs w:val="22"/>
          <w:lang w:val="el-GR"/>
        </w:rPr>
        <w:t xml:space="preserve"> </w:t>
      </w:r>
      <w:r w:rsidRPr="000008C4">
        <w:rPr>
          <w:sz w:val="22"/>
          <w:szCs w:val="22"/>
          <w:lang w:val="el-GR"/>
        </w:rPr>
        <w:t>των</w:t>
      </w:r>
      <w:r w:rsidRPr="006D183F">
        <w:rPr>
          <w:sz w:val="22"/>
          <w:szCs w:val="22"/>
          <w:lang w:val="el-GR"/>
        </w:rPr>
        <w:t xml:space="preserve"> 20</w:t>
      </w:r>
      <w:r w:rsidRPr="000008C4">
        <w:rPr>
          <w:sz w:val="22"/>
          <w:szCs w:val="22"/>
        </w:rPr>
        <w:t> mg</w:t>
      </w:r>
      <w:r w:rsidRPr="006D183F">
        <w:rPr>
          <w:sz w:val="22"/>
          <w:szCs w:val="22"/>
          <w:lang w:val="el-GR"/>
        </w:rPr>
        <w:t>:</w:t>
      </w:r>
      <w:r w:rsidR="00A87470" w:rsidRPr="006D183F">
        <w:rPr>
          <w:sz w:val="22"/>
          <w:szCs w:val="22"/>
          <w:lang w:val="el-GR"/>
        </w:rPr>
        <w:t xml:space="preserve"> </w:t>
      </w:r>
      <w:r w:rsidR="00A87470" w:rsidRPr="000008C4">
        <w:rPr>
          <w:sz w:val="22"/>
          <w:szCs w:val="22"/>
          <w:lang w:val="el-GR"/>
        </w:rPr>
        <w:t xml:space="preserve">κόμμεα </w:t>
      </w:r>
      <w:r w:rsidR="00A87470" w:rsidRPr="006D183F">
        <w:rPr>
          <w:sz w:val="22"/>
          <w:szCs w:val="22"/>
          <w:lang w:val="el-GR"/>
        </w:rPr>
        <w:t>λάκκας</w:t>
      </w:r>
      <w:r w:rsidR="00A87470" w:rsidRPr="000008C4">
        <w:rPr>
          <w:sz w:val="22"/>
          <w:szCs w:val="22"/>
          <w:lang w:val="el-GR"/>
        </w:rPr>
        <w:t xml:space="preserve"> λευκά</w:t>
      </w:r>
      <w:r w:rsidRPr="006D183F">
        <w:rPr>
          <w:sz w:val="22"/>
          <w:szCs w:val="22"/>
          <w:lang w:val="el-GR"/>
        </w:rPr>
        <w:t xml:space="preserve">, </w:t>
      </w:r>
      <w:r w:rsidR="00DE7B6C" w:rsidRPr="000008C4">
        <w:rPr>
          <w:sz w:val="22"/>
          <w:szCs w:val="22"/>
          <w:lang w:val="el-GR"/>
        </w:rPr>
        <w:t xml:space="preserve">ερυθρό οξείδιο του σιδήρου </w:t>
      </w:r>
      <w:r w:rsidRPr="006D183F">
        <w:rPr>
          <w:sz w:val="22"/>
          <w:szCs w:val="22"/>
          <w:lang w:val="el-GR"/>
        </w:rPr>
        <w:t xml:space="preserve">(E172), </w:t>
      </w:r>
      <w:r w:rsidR="008357A7" w:rsidRPr="000008C4">
        <w:rPr>
          <w:sz w:val="22"/>
          <w:szCs w:val="22"/>
          <w:lang w:val="el-GR"/>
        </w:rPr>
        <w:t>κηρός καρναούβης</w:t>
      </w:r>
      <w:r w:rsidRPr="006D183F">
        <w:rPr>
          <w:sz w:val="22"/>
          <w:szCs w:val="22"/>
          <w:lang w:val="el-GR"/>
        </w:rPr>
        <w:t xml:space="preserve">, </w:t>
      </w:r>
      <w:r w:rsidR="00AD1421" w:rsidRPr="006D183F">
        <w:rPr>
          <w:sz w:val="22"/>
          <w:szCs w:val="22"/>
          <w:lang w:val="el-GR"/>
        </w:rPr>
        <w:t>εστέρες λιπαρών οξέων</w:t>
      </w:r>
      <w:r w:rsidR="00AD1421" w:rsidRPr="000008C4">
        <w:rPr>
          <w:sz w:val="22"/>
          <w:szCs w:val="22"/>
          <w:lang w:val="el-GR"/>
        </w:rPr>
        <w:t xml:space="preserve"> </w:t>
      </w:r>
      <w:r w:rsidR="00972DEA" w:rsidRPr="000008C4">
        <w:rPr>
          <w:sz w:val="22"/>
          <w:szCs w:val="22"/>
          <w:lang w:val="el-GR"/>
        </w:rPr>
        <w:t xml:space="preserve">της </w:t>
      </w:r>
      <w:r w:rsidR="00F00D08" w:rsidRPr="000008C4">
        <w:rPr>
          <w:sz w:val="22"/>
          <w:szCs w:val="22"/>
          <w:lang w:val="el-GR"/>
        </w:rPr>
        <w:t>γλυκερίνης</w:t>
      </w:r>
      <w:r w:rsidRPr="006D183F">
        <w:rPr>
          <w:sz w:val="22"/>
          <w:szCs w:val="22"/>
          <w:lang w:val="el-GR"/>
        </w:rPr>
        <w:t xml:space="preserve">, </w:t>
      </w:r>
      <w:r w:rsidR="005E292B" w:rsidRPr="006D183F">
        <w:rPr>
          <w:sz w:val="22"/>
          <w:szCs w:val="22"/>
          <w:lang w:val="el-GR"/>
        </w:rPr>
        <w:t>αφυδατωμένη αιθυλική αλκοόλη</w:t>
      </w:r>
      <w:r w:rsidRPr="006D183F">
        <w:rPr>
          <w:sz w:val="22"/>
          <w:szCs w:val="22"/>
          <w:lang w:val="el-GR"/>
        </w:rPr>
        <w:t>, 1</w:t>
      </w:r>
      <w:r w:rsidR="00C65144" w:rsidRPr="000008C4">
        <w:rPr>
          <w:sz w:val="22"/>
          <w:szCs w:val="22"/>
          <w:lang w:val="el-GR"/>
        </w:rPr>
        <w:noBreakHyphen/>
      </w:r>
      <w:r w:rsidR="005E292B" w:rsidRPr="000008C4">
        <w:rPr>
          <w:sz w:val="22"/>
          <w:szCs w:val="22"/>
          <w:lang w:val="el-GR"/>
        </w:rPr>
        <w:t>βουτανόλη</w:t>
      </w:r>
      <w:r w:rsidRPr="006D183F">
        <w:rPr>
          <w:sz w:val="22"/>
          <w:szCs w:val="22"/>
          <w:lang w:val="el-GR"/>
        </w:rPr>
        <w:t>.</w:t>
      </w:r>
    </w:p>
    <w:p w:rsidR="007B24CB" w:rsidRPr="006D183F" w:rsidRDefault="007B24CB" w:rsidP="00147539">
      <w:pPr>
        <w:ind w:left="720"/>
        <w:rPr>
          <w:sz w:val="22"/>
          <w:szCs w:val="22"/>
          <w:lang w:val="el-GR"/>
        </w:rPr>
      </w:pPr>
    </w:p>
    <w:p w:rsidR="007B24CB" w:rsidRPr="000008C4" w:rsidRDefault="007B24CB" w:rsidP="00147539">
      <w:pPr>
        <w:rPr>
          <w:b/>
          <w:sz w:val="22"/>
          <w:szCs w:val="22"/>
          <w:lang w:val="el-GR"/>
        </w:rPr>
      </w:pPr>
      <w:r w:rsidRPr="000008C4">
        <w:rPr>
          <w:b/>
          <w:sz w:val="22"/>
          <w:szCs w:val="22"/>
          <w:lang w:val="el-GR"/>
        </w:rPr>
        <w:t>6.2</w:t>
      </w:r>
      <w:r w:rsidRPr="000008C4">
        <w:rPr>
          <w:b/>
          <w:sz w:val="22"/>
          <w:szCs w:val="22"/>
          <w:lang w:val="el-GR"/>
        </w:rPr>
        <w:tab/>
        <w:t>Ασυμβατότητες</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0008C4">
        <w:rPr>
          <w:sz w:val="22"/>
          <w:szCs w:val="22"/>
          <w:lang w:val="el-GR"/>
        </w:rPr>
        <w:t>Δεν εφαρμόζεται</w:t>
      </w:r>
      <w:r w:rsidR="00CE72EB" w:rsidRPr="000008C4">
        <w:rPr>
          <w:sz w:val="22"/>
          <w:szCs w:val="22"/>
          <w:lang w:val="el-GR"/>
        </w:rPr>
        <w:t>.</w:t>
      </w:r>
    </w:p>
    <w:p w:rsidR="007B24CB" w:rsidRPr="000008C4" w:rsidRDefault="007B24CB" w:rsidP="00147539">
      <w:pPr>
        <w:ind w:left="720"/>
        <w:rPr>
          <w:sz w:val="22"/>
          <w:szCs w:val="22"/>
          <w:lang w:val="el-GR"/>
        </w:rPr>
      </w:pPr>
    </w:p>
    <w:p w:rsidR="007B24CB" w:rsidRPr="000008C4" w:rsidRDefault="007B24CB" w:rsidP="00147539">
      <w:pPr>
        <w:rPr>
          <w:b/>
          <w:sz w:val="22"/>
          <w:szCs w:val="22"/>
          <w:lang w:val="el-GR"/>
        </w:rPr>
      </w:pPr>
      <w:r w:rsidRPr="000008C4">
        <w:rPr>
          <w:b/>
          <w:sz w:val="22"/>
          <w:szCs w:val="22"/>
          <w:lang w:val="el-GR"/>
        </w:rPr>
        <w:t>6.3</w:t>
      </w:r>
      <w:r w:rsidRPr="000008C4">
        <w:rPr>
          <w:b/>
          <w:sz w:val="22"/>
          <w:szCs w:val="22"/>
          <w:lang w:val="el-GR"/>
        </w:rPr>
        <w:tab/>
        <w:t>Διάρκεια ζωής</w:t>
      </w:r>
    </w:p>
    <w:p w:rsidR="007B24CB" w:rsidRPr="000008C4" w:rsidRDefault="007B24CB" w:rsidP="00147539">
      <w:pPr>
        <w:ind w:left="720"/>
        <w:rPr>
          <w:sz w:val="22"/>
          <w:szCs w:val="22"/>
          <w:lang w:val="el-GR"/>
        </w:rPr>
      </w:pPr>
    </w:p>
    <w:p w:rsidR="007B24CB" w:rsidRPr="000008C4" w:rsidRDefault="000E7181" w:rsidP="00147539">
      <w:pPr>
        <w:ind w:left="720"/>
        <w:rPr>
          <w:sz w:val="22"/>
          <w:szCs w:val="22"/>
          <w:lang w:val="el-GR"/>
        </w:rPr>
      </w:pPr>
      <w:r w:rsidRPr="000008C4">
        <w:rPr>
          <w:sz w:val="22"/>
          <w:szCs w:val="22"/>
          <w:lang w:val="el-GR"/>
        </w:rPr>
        <w:t>3 </w:t>
      </w:r>
      <w:r w:rsidR="007B24CB" w:rsidRPr="000008C4">
        <w:rPr>
          <w:sz w:val="22"/>
          <w:szCs w:val="22"/>
          <w:lang w:val="el-GR"/>
        </w:rPr>
        <w:t>χρόνια</w:t>
      </w:r>
    </w:p>
    <w:p w:rsidR="007B24CB" w:rsidRPr="006D183F" w:rsidRDefault="007B24CB" w:rsidP="00147539">
      <w:pPr>
        <w:ind w:left="720"/>
        <w:rPr>
          <w:sz w:val="22"/>
          <w:szCs w:val="22"/>
          <w:lang w:val="el-GR"/>
        </w:rPr>
      </w:pPr>
    </w:p>
    <w:p w:rsidR="007B24CB" w:rsidRPr="000008C4" w:rsidRDefault="007B24CB" w:rsidP="00147539">
      <w:pPr>
        <w:rPr>
          <w:b/>
          <w:sz w:val="22"/>
          <w:szCs w:val="22"/>
          <w:lang w:val="el-GR"/>
        </w:rPr>
      </w:pPr>
      <w:r w:rsidRPr="000008C4">
        <w:rPr>
          <w:b/>
          <w:sz w:val="22"/>
          <w:szCs w:val="22"/>
          <w:lang w:val="el-GR"/>
        </w:rPr>
        <w:t>6.4</w:t>
      </w:r>
      <w:r w:rsidRPr="000008C4">
        <w:rPr>
          <w:b/>
          <w:sz w:val="22"/>
          <w:szCs w:val="22"/>
          <w:lang w:val="el-GR"/>
        </w:rPr>
        <w:tab/>
        <w:t>Ιδιαίτερες προφυλάξεις κατά τη φύλαξη του προϊόντος</w:t>
      </w:r>
    </w:p>
    <w:p w:rsidR="007B24CB" w:rsidRPr="000008C4" w:rsidRDefault="007B24CB" w:rsidP="00147539">
      <w:pPr>
        <w:ind w:left="720"/>
        <w:rPr>
          <w:sz w:val="22"/>
          <w:szCs w:val="22"/>
          <w:lang w:val="el-GR"/>
        </w:rPr>
      </w:pPr>
    </w:p>
    <w:p w:rsidR="007B24CB" w:rsidRPr="000008C4" w:rsidRDefault="003C16D4" w:rsidP="00147539">
      <w:pPr>
        <w:ind w:left="720"/>
        <w:rPr>
          <w:sz w:val="22"/>
          <w:szCs w:val="22"/>
          <w:lang w:val="el-GR"/>
        </w:rPr>
      </w:pPr>
      <w:r w:rsidRPr="000008C4">
        <w:rPr>
          <w:sz w:val="22"/>
          <w:szCs w:val="22"/>
          <w:lang w:val="el-GR"/>
        </w:rPr>
        <w:t>Μ</w:t>
      </w:r>
      <w:r w:rsidR="007B24CB" w:rsidRPr="000008C4">
        <w:rPr>
          <w:sz w:val="22"/>
          <w:szCs w:val="22"/>
          <w:lang w:val="el-GR"/>
        </w:rPr>
        <w:t>η φυλάσσετ</w:t>
      </w:r>
      <w:r w:rsidR="00864B02" w:rsidRPr="000008C4">
        <w:rPr>
          <w:sz w:val="22"/>
          <w:szCs w:val="22"/>
          <w:lang w:val="el-GR"/>
        </w:rPr>
        <w:t>ε</w:t>
      </w:r>
      <w:r w:rsidR="007B24CB" w:rsidRPr="000008C4">
        <w:rPr>
          <w:sz w:val="22"/>
          <w:szCs w:val="22"/>
          <w:lang w:val="el-GR"/>
        </w:rPr>
        <w:t xml:space="preserve"> σε θερμοκρασία </w:t>
      </w:r>
      <w:r w:rsidR="00B32C84" w:rsidRPr="006D183F">
        <w:rPr>
          <w:noProof/>
          <w:sz w:val="22"/>
          <w:szCs w:val="22"/>
          <w:lang w:val="el-GR"/>
        </w:rPr>
        <w:t xml:space="preserve">μεγαλύτερη των </w:t>
      </w:r>
      <w:r w:rsidR="007B24CB" w:rsidRPr="000008C4">
        <w:rPr>
          <w:sz w:val="22"/>
          <w:szCs w:val="22"/>
          <w:lang w:val="el-GR"/>
        </w:rPr>
        <w:t xml:space="preserve">25°C. </w:t>
      </w:r>
      <w:r w:rsidR="00FE039C" w:rsidRPr="006D183F">
        <w:rPr>
          <w:sz w:val="22"/>
          <w:szCs w:val="22"/>
          <w:lang w:val="el-GR"/>
        </w:rPr>
        <w:t>Μη</w:t>
      </w:r>
      <w:r w:rsidR="004067C3">
        <w:rPr>
          <w:sz w:val="22"/>
          <w:szCs w:val="22"/>
          <w:lang w:val="el-GR"/>
        </w:rPr>
        <w:t>ν</w:t>
      </w:r>
      <w:r w:rsidR="00FE039C" w:rsidRPr="006D183F">
        <w:rPr>
          <w:sz w:val="22"/>
          <w:szCs w:val="22"/>
          <w:lang w:val="el-GR"/>
        </w:rPr>
        <w:t xml:space="preserve"> ψύχετε.</w:t>
      </w:r>
    </w:p>
    <w:p w:rsidR="007B24CB" w:rsidRPr="000008C4" w:rsidRDefault="007B24CB" w:rsidP="00147539">
      <w:pPr>
        <w:ind w:left="720"/>
        <w:rPr>
          <w:sz w:val="22"/>
          <w:szCs w:val="22"/>
          <w:lang w:val="el-GR"/>
        </w:rPr>
      </w:pPr>
    </w:p>
    <w:p w:rsidR="007B24CB" w:rsidRPr="000008C4" w:rsidRDefault="007B24CB" w:rsidP="00147539">
      <w:pPr>
        <w:rPr>
          <w:b/>
          <w:sz w:val="22"/>
          <w:szCs w:val="22"/>
          <w:lang w:val="el-GR"/>
        </w:rPr>
      </w:pPr>
      <w:r w:rsidRPr="000008C4">
        <w:rPr>
          <w:b/>
          <w:sz w:val="22"/>
          <w:szCs w:val="22"/>
          <w:lang w:val="el-GR"/>
        </w:rPr>
        <w:t>6.5</w:t>
      </w:r>
      <w:r w:rsidRPr="000008C4">
        <w:rPr>
          <w:b/>
          <w:sz w:val="22"/>
          <w:szCs w:val="22"/>
          <w:lang w:val="el-GR"/>
        </w:rPr>
        <w:tab/>
        <w:t>Φύση και συστατικά του περιέκτη</w:t>
      </w:r>
    </w:p>
    <w:p w:rsidR="007B24CB" w:rsidRPr="000008C4" w:rsidRDefault="007B24CB" w:rsidP="00147539">
      <w:pPr>
        <w:ind w:left="720"/>
        <w:rPr>
          <w:sz w:val="22"/>
          <w:szCs w:val="22"/>
          <w:lang w:val="el-GR"/>
        </w:rPr>
      </w:pPr>
    </w:p>
    <w:p w:rsidR="007B24CB" w:rsidRPr="000008C4" w:rsidRDefault="005F1621" w:rsidP="00147539">
      <w:pPr>
        <w:ind w:left="720"/>
        <w:rPr>
          <w:sz w:val="22"/>
          <w:szCs w:val="22"/>
          <w:lang w:val="el-GR"/>
        </w:rPr>
      </w:pPr>
      <w:r w:rsidRPr="006D183F">
        <w:rPr>
          <w:sz w:val="22"/>
          <w:szCs w:val="22"/>
          <w:lang w:val="el-GR"/>
        </w:rPr>
        <w:t>Ταινί</w:t>
      </w:r>
      <w:r w:rsidR="00553139" w:rsidRPr="000008C4">
        <w:rPr>
          <w:sz w:val="22"/>
          <w:szCs w:val="22"/>
          <w:lang w:val="el-GR"/>
        </w:rPr>
        <w:t>ες</w:t>
      </w:r>
      <w:r w:rsidRPr="006D183F">
        <w:rPr>
          <w:sz w:val="22"/>
          <w:szCs w:val="22"/>
          <w:lang w:val="el-GR"/>
        </w:rPr>
        <w:t xml:space="preserve"> κυψελών</w:t>
      </w:r>
      <w:r w:rsidR="007B24CB" w:rsidRPr="000008C4">
        <w:rPr>
          <w:sz w:val="22"/>
          <w:szCs w:val="22"/>
          <w:lang w:val="el-GR"/>
        </w:rPr>
        <w:t xml:space="preserve"> (</w:t>
      </w:r>
      <w:r w:rsidR="0003558F" w:rsidRPr="000008C4">
        <w:rPr>
          <w:sz w:val="22"/>
          <w:szCs w:val="22"/>
          <w:lang w:val="el-GR"/>
        </w:rPr>
        <w:t>αλουμινίου</w:t>
      </w:r>
      <w:r w:rsidR="007B24CB" w:rsidRPr="000008C4">
        <w:rPr>
          <w:sz w:val="22"/>
          <w:szCs w:val="22"/>
          <w:lang w:val="el-GR"/>
        </w:rPr>
        <w:t>/</w:t>
      </w:r>
      <w:r w:rsidR="0003558F" w:rsidRPr="000008C4">
        <w:rPr>
          <w:sz w:val="22"/>
          <w:szCs w:val="22"/>
          <w:lang w:val="el-GR"/>
        </w:rPr>
        <w:t>αλουμινίου</w:t>
      </w:r>
      <w:r w:rsidR="007B24CB" w:rsidRPr="000008C4">
        <w:rPr>
          <w:sz w:val="22"/>
          <w:szCs w:val="22"/>
          <w:lang w:val="el-GR"/>
        </w:rPr>
        <w:t>)</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0008C4">
        <w:rPr>
          <w:sz w:val="22"/>
          <w:szCs w:val="22"/>
          <w:lang w:val="el-GR"/>
        </w:rPr>
        <w:t>Μεγέθη συσκευασίας: 1, 5, 7, 14, 15, 25, 28, 30, 50, 56, 75, 98</w:t>
      </w:r>
      <w:r w:rsidR="00C62B4E" w:rsidRPr="000008C4">
        <w:rPr>
          <w:sz w:val="22"/>
          <w:szCs w:val="22"/>
          <w:lang w:val="el-GR"/>
        </w:rPr>
        <w:t>, 112</w:t>
      </w:r>
      <w:r w:rsidRPr="000008C4">
        <w:rPr>
          <w:sz w:val="22"/>
          <w:szCs w:val="22"/>
          <w:lang w:val="el-GR"/>
        </w:rPr>
        <w:t xml:space="preserve"> ή 120 δισκία.</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0008C4">
        <w:rPr>
          <w:sz w:val="22"/>
          <w:szCs w:val="22"/>
          <w:lang w:val="el-GR"/>
        </w:rPr>
        <w:t>Μπορεί να μη διατίθενται όλες οι συσκευασίες.</w:t>
      </w:r>
    </w:p>
    <w:p w:rsidR="00EE226A" w:rsidRPr="006D183F" w:rsidRDefault="00EE226A" w:rsidP="00147539">
      <w:pPr>
        <w:ind w:left="720"/>
        <w:rPr>
          <w:sz w:val="22"/>
          <w:szCs w:val="22"/>
          <w:lang w:val="el-GR"/>
        </w:rPr>
      </w:pPr>
    </w:p>
    <w:p w:rsidR="007B24CB" w:rsidRPr="000008C4" w:rsidRDefault="007B24CB" w:rsidP="00147539">
      <w:pPr>
        <w:rPr>
          <w:b/>
          <w:sz w:val="22"/>
          <w:szCs w:val="22"/>
          <w:lang w:val="el-GR"/>
        </w:rPr>
      </w:pPr>
      <w:r w:rsidRPr="000008C4">
        <w:rPr>
          <w:b/>
          <w:sz w:val="22"/>
          <w:szCs w:val="22"/>
          <w:lang w:val="el-GR"/>
        </w:rPr>
        <w:t>6.6</w:t>
      </w:r>
      <w:r w:rsidRPr="000008C4">
        <w:rPr>
          <w:b/>
          <w:sz w:val="22"/>
          <w:szCs w:val="22"/>
          <w:lang w:val="el-GR"/>
        </w:rPr>
        <w:tab/>
        <w:t>Ιδιαίτερες προφυλάξεις απόρριψης</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r w:rsidRPr="000008C4">
        <w:rPr>
          <w:sz w:val="22"/>
          <w:szCs w:val="22"/>
          <w:lang w:val="el-GR"/>
        </w:rPr>
        <w:t>Δεν υπάρχουν ιδιαίτερες απαιτήσεις.</w:t>
      </w:r>
    </w:p>
    <w:p w:rsidR="00EE226A" w:rsidRDefault="00EE226A" w:rsidP="00147539">
      <w:pPr>
        <w:rPr>
          <w:sz w:val="22"/>
          <w:szCs w:val="22"/>
          <w:lang w:val="el-GR"/>
        </w:rPr>
      </w:pPr>
    </w:p>
    <w:p w:rsidR="00B1745D" w:rsidRPr="000008C4" w:rsidRDefault="00B1745D" w:rsidP="00147539">
      <w:pPr>
        <w:rPr>
          <w:sz w:val="22"/>
          <w:szCs w:val="22"/>
          <w:lang w:val="el-GR"/>
        </w:rPr>
      </w:pPr>
    </w:p>
    <w:p w:rsidR="007B24CB" w:rsidRPr="000008C4" w:rsidRDefault="007B24CB" w:rsidP="00147539">
      <w:pPr>
        <w:rPr>
          <w:b/>
          <w:sz w:val="22"/>
          <w:szCs w:val="22"/>
          <w:lang w:val="el-GR"/>
        </w:rPr>
      </w:pPr>
      <w:r w:rsidRPr="000008C4">
        <w:rPr>
          <w:b/>
          <w:sz w:val="22"/>
          <w:szCs w:val="22"/>
          <w:lang w:val="el-GR"/>
        </w:rPr>
        <w:t>7</w:t>
      </w:r>
      <w:r w:rsidR="00B1745D">
        <w:rPr>
          <w:b/>
          <w:sz w:val="22"/>
          <w:szCs w:val="22"/>
          <w:lang w:val="el-GR"/>
        </w:rPr>
        <w:t>.</w:t>
      </w:r>
      <w:r w:rsidRPr="000008C4">
        <w:rPr>
          <w:b/>
          <w:sz w:val="22"/>
          <w:szCs w:val="22"/>
          <w:lang w:val="el-GR"/>
        </w:rPr>
        <w:t xml:space="preserve">  </w:t>
      </w:r>
      <w:r w:rsidRPr="000008C4">
        <w:rPr>
          <w:b/>
          <w:sz w:val="22"/>
          <w:szCs w:val="22"/>
          <w:lang w:val="el-GR"/>
        </w:rPr>
        <w:tab/>
      </w:r>
      <w:r w:rsidR="00B1745D">
        <w:rPr>
          <w:b/>
          <w:sz w:val="22"/>
          <w:szCs w:val="22"/>
          <w:lang w:val="el-GR"/>
        </w:rPr>
        <w:t>ΚΑΤΟΧΟΣ ΤΗΣ ΑΔΕΙΑΣ ΚΥΚΛΟΦΟΡΙΑΣ</w:t>
      </w:r>
    </w:p>
    <w:p w:rsidR="007B24CB" w:rsidRPr="000008C4" w:rsidRDefault="007B24CB" w:rsidP="00147539">
      <w:pPr>
        <w:ind w:left="720"/>
        <w:rPr>
          <w:sz w:val="22"/>
          <w:szCs w:val="22"/>
          <w:lang w:val="el-GR"/>
        </w:rPr>
      </w:pPr>
    </w:p>
    <w:p w:rsidR="00AB62C2" w:rsidRPr="006D183F" w:rsidRDefault="00AB62C2" w:rsidP="00147539">
      <w:pPr>
        <w:ind w:left="720"/>
        <w:rPr>
          <w:sz w:val="22"/>
          <w:szCs w:val="22"/>
          <w:lang w:val="el-GR"/>
        </w:rPr>
      </w:pPr>
      <w:r>
        <w:rPr>
          <w:sz w:val="22"/>
          <w:szCs w:val="22"/>
        </w:rPr>
        <w:t>Janssen</w:t>
      </w:r>
      <w:r w:rsidRPr="006D183F">
        <w:rPr>
          <w:sz w:val="22"/>
          <w:szCs w:val="22"/>
          <w:lang w:val="el-GR"/>
        </w:rPr>
        <w:t>-</w:t>
      </w:r>
      <w:r>
        <w:rPr>
          <w:sz w:val="22"/>
          <w:szCs w:val="22"/>
        </w:rPr>
        <w:t>Cilag</w:t>
      </w:r>
      <w:r w:rsidR="007B24CB" w:rsidRPr="000008C4">
        <w:rPr>
          <w:sz w:val="22"/>
          <w:szCs w:val="22"/>
          <w:lang w:val="el-GR"/>
        </w:rPr>
        <w:t xml:space="preserve"> Φαρμακευτική ΑΕΒΕ</w:t>
      </w:r>
    </w:p>
    <w:p w:rsidR="00AB62C2" w:rsidRPr="006D183F" w:rsidRDefault="007B24CB" w:rsidP="00147539">
      <w:pPr>
        <w:ind w:left="720"/>
        <w:rPr>
          <w:sz w:val="22"/>
          <w:szCs w:val="22"/>
          <w:lang w:val="el-GR"/>
        </w:rPr>
      </w:pPr>
      <w:r w:rsidRPr="000008C4">
        <w:rPr>
          <w:sz w:val="22"/>
          <w:szCs w:val="22"/>
          <w:lang w:val="el-GR"/>
        </w:rPr>
        <w:t>Λ. Ειρήνης 56</w:t>
      </w:r>
    </w:p>
    <w:p w:rsidR="007B24CB" w:rsidRPr="000008C4" w:rsidRDefault="007B24CB" w:rsidP="00147539">
      <w:pPr>
        <w:ind w:left="720"/>
        <w:rPr>
          <w:sz w:val="22"/>
          <w:szCs w:val="22"/>
          <w:lang w:val="el-GR"/>
        </w:rPr>
      </w:pPr>
      <w:r w:rsidRPr="000008C4">
        <w:rPr>
          <w:sz w:val="22"/>
          <w:szCs w:val="22"/>
          <w:lang w:val="el-GR"/>
        </w:rPr>
        <w:t>151 21 Πεύκη, Αθήνα</w:t>
      </w:r>
    </w:p>
    <w:p w:rsidR="007B24CB" w:rsidRPr="000008C4" w:rsidRDefault="007B24CB" w:rsidP="00147539">
      <w:pPr>
        <w:ind w:left="720"/>
        <w:rPr>
          <w:sz w:val="22"/>
          <w:szCs w:val="22"/>
          <w:lang w:val="el-GR"/>
        </w:rPr>
      </w:pPr>
    </w:p>
    <w:p w:rsidR="007B24CB" w:rsidRPr="000008C4" w:rsidRDefault="007B24CB" w:rsidP="00147539">
      <w:pPr>
        <w:ind w:left="720"/>
        <w:rPr>
          <w:sz w:val="22"/>
          <w:szCs w:val="22"/>
          <w:lang w:val="el-GR"/>
        </w:rPr>
      </w:pPr>
    </w:p>
    <w:p w:rsidR="007B24CB" w:rsidRPr="000008C4" w:rsidRDefault="00B1745D" w:rsidP="006D183F">
      <w:pPr>
        <w:rPr>
          <w:b/>
          <w:sz w:val="22"/>
          <w:szCs w:val="22"/>
          <w:lang w:val="el-GR"/>
        </w:rPr>
      </w:pPr>
      <w:r>
        <w:rPr>
          <w:b/>
          <w:sz w:val="22"/>
          <w:szCs w:val="22"/>
          <w:lang w:val="el-GR"/>
        </w:rPr>
        <w:t>8.</w:t>
      </w:r>
      <w:r>
        <w:rPr>
          <w:b/>
          <w:sz w:val="22"/>
          <w:szCs w:val="22"/>
          <w:lang w:val="el-GR"/>
        </w:rPr>
        <w:tab/>
      </w:r>
      <w:r w:rsidR="007B24CB" w:rsidRPr="000008C4">
        <w:rPr>
          <w:b/>
          <w:sz w:val="22"/>
          <w:szCs w:val="22"/>
          <w:lang w:val="el-GR"/>
        </w:rPr>
        <w:t>ΑΡΙΘΜΟΣ</w:t>
      </w:r>
      <w:r w:rsidR="006D4194">
        <w:rPr>
          <w:b/>
          <w:sz w:val="22"/>
          <w:szCs w:val="22"/>
          <w:lang w:val="el-GR"/>
        </w:rPr>
        <w:t>(ΟΙ)</w:t>
      </w:r>
      <w:r w:rsidR="007B24CB" w:rsidRPr="000008C4">
        <w:rPr>
          <w:b/>
          <w:sz w:val="22"/>
          <w:szCs w:val="22"/>
          <w:lang w:val="el-GR"/>
        </w:rPr>
        <w:t xml:space="preserve"> ΑΔΕΙΑΣ ΚΥΚΛΟΦΟΡΙΑΣ</w:t>
      </w:r>
    </w:p>
    <w:p w:rsidR="00444796" w:rsidRPr="006D183F" w:rsidRDefault="00444796" w:rsidP="00147539">
      <w:pPr>
        <w:ind w:left="709"/>
        <w:rPr>
          <w:sz w:val="22"/>
          <w:szCs w:val="22"/>
          <w:lang w:val="el-GR"/>
        </w:rPr>
      </w:pPr>
    </w:p>
    <w:p w:rsidR="007B24CB" w:rsidRPr="000008C4" w:rsidRDefault="007B24CB" w:rsidP="00147539">
      <w:pPr>
        <w:ind w:left="709"/>
        <w:rPr>
          <w:sz w:val="22"/>
          <w:szCs w:val="22"/>
          <w:lang w:val="el-GR"/>
        </w:rPr>
      </w:pPr>
      <w:r w:rsidRPr="000008C4">
        <w:rPr>
          <w:sz w:val="22"/>
          <w:szCs w:val="22"/>
          <w:lang w:val="el-GR"/>
        </w:rPr>
        <w:t>Γαστροανθεκτικά δισκία 10  mg/ TAB: 67598/30.11.2004</w:t>
      </w:r>
    </w:p>
    <w:p w:rsidR="007B24CB" w:rsidRPr="000008C4" w:rsidRDefault="007B24CB" w:rsidP="00147539">
      <w:pPr>
        <w:ind w:left="709"/>
        <w:rPr>
          <w:sz w:val="22"/>
          <w:szCs w:val="22"/>
          <w:lang w:val="el-GR"/>
        </w:rPr>
      </w:pPr>
      <w:r w:rsidRPr="000008C4">
        <w:rPr>
          <w:sz w:val="22"/>
          <w:szCs w:val="22"/>
          <w:lang w:val="el-GR"/>
        </w:rPr>
        <w:t>Γαστροανθεκτικά δισκία 20 mg/ TAB: 67597/30.11.2004</w:t>
      </w:r>
    </w:p>
    <w:p w:rsidR="007B24CB" w:rsidRPr="000008C4" w:rsidRDefault="007B24CB" w:rsidP="00147539">
      <w:pPr>
        <w:rPr>
          <w:b/>
          <w:sz w:val="22"/>
          <w:szCs w:val="22"/>
          <w:lang w:val="el-GR"/>
        </w:rPr>
      </w:pPr>
    </w:p>
    <w:p w:rsidR="007B24CB" w:rsidRPr="000008C4" w:rsidRDefault="007B24CB" w:rsidP="00147539">
      <w:pPr>
        <w:rPr>
          <w:b/>
          <w:sz w:val="22"/>
          <w:szCs w:val="22"/>
          <w:lang w:val="el-GR"/>
        </w:rPr>
      </w:pPr>
    </w:p>
    <w:p w:rsidR="007B24CB" w:rsidRPr="000008C4" w:rsidRDefault="00B1745D" w:rsidP="006D183F">
      <w:pPr>
        <w:ind w:left="709" w:hanging="709"/>
        <w:rPr>
          <w:b/>
          <w:sz w:val="22"/>
          <w:szCs w:val="22"/>
          <w:lang w:val="el-GR"/>
        </w:rPr>
      </w:pPr>
      <w:r>
        <w:rPr>
          <w:b/>
          <w:sz w:val="22"/>
          <w:szCs w:val="22"/>
          <w:lang w:val="el-GR"/>
        </w:rPr>
        <w:t>9.</w:t>
      </w:r>
      <w:r>
        <w:rPr>
          <w:b/>
          <w:sz w:val="22"/>
          <w:szCs w:val="22"/>
          <w:lang w:val="el-GR"/>
        </w:rPr>
        <w:tab/>
      </w:r>
      <w:r w:rsidR="007B24CB" w:rsidRPr="000008C4">
        <w:rPr>
          <w:b/>
          <w:sz w:val="22"/>
          <w:szCs w:val="22"/>
          <w:lang w:val="el-GR"/>
        </w:rPr>
        <w:t xml:space="preserve">ΗΜΕΡΟΜΗΝΙΑ ΠΡΩΤΗΣ </w:t>
      </w:r>
      <w:r w:rsidR="006D4194">
        <w:rPr>
          <w:b/>
          <w:sz w:val="22"/>
          <w:szCs w:val="22"/>
          <w:lang w:val="el-GR"/>
        </w:rPr>
        <w:t>ΕΓΚΡΙΣΗΣ</w:t>
      </w:r>
      <w:r w:rsidR="007B24CB" w:rsidRPr="000008C4">
        <w:rPr>
          <w:b/>
          <w:sz w:val="22"/>
          <w:szCs w:val="22"/>
          <w:lang w:val="el-GR"/>
        </w:rPr>
        <w:t xml:space="preserve">/ΑΝΑΝΕΩΣΗΣ ΤΗΣ ΑΔΕΙΑΣ </w:t>
      </w:r>
    </w:p>
    <w:p w:rsidR="00444796" w:rsidRPr="006D183F" w:rsidRDefault="00444796" w:rsidP="00147539">
      <w:pPr>
        <w:ind w:left="709"/>
        <w:rPr>
          <w:sz w:val="22"/>
          <w:szCs w:val="22"/>
          <w:lang w:val="el-GR"/>
        </w:rPr>
      </w:pPr>
    </w:p>
    <w:p w:rsidR="007B24CB" w:rsidRPr="006D183F" w:rsidRDefault="00F51752" w:rsidP="006D183F">
      <w:pPr>
        <w:ind w:left="709"/>
        <w:rPr>
          <w:b/>
          <w:sz w:val="22"/>
          <w:szCs w:val="22"/>
          <w:lang w:val="el-GR"/>
        </w:rPr>
      </w:pPr>
      <w:r w:rsidRPr="006D183F">
        <w:rPr>
          <w:sz w:val="22"/>
          <w:szCs w:val="22"/>
          <w:lang w:val="el-GR"/>
        </w:rPr>
        <w:t>11.11.1998/30.11.2004</w:t>
      </w:r>
    </w:p>
    <w:p w:rsidR="00444796" w:rsidRDefault="00444796" w:rsidP="00147539">
      <w:pPr>
        <w:rPr>
          <w:b/>
          <w:sz w:val="22"/>
          <w:szCs w:val="22"/>
          <w:lang w:val="el-GR"/>
        </w:rPr>
      </w:pPr>
    </w:p>
    <w:p w:rsidR="001907FF" w:rsidRPr="006D183F" w:rsidRDefault="001907FF" w:rsidP="00147539">
      <w:pPr>
        <w:rPr>
          <w:b/>
          <w:sz w:val="22"/>
          <w:szCs w:val="22"/>
          <w:lang w:val="el-GR"/>
        </w:rPr>
      </w:pPr>
    </w:p>
    <w:p w:rsidR="00DA1018" w:rsidRPr="006D183F" w:rsidRDefault="00DA1018" w:rsidP="006D183F">
      <w:pPr>
        <w:rPr>
          <w:b/>
          <w:sz w:val="22"/>
          <w:szCs w:val="22"/>
          <w:lang w:val="el-GR"/>
        </w:rPr>
      </w:pPr>
      <w:r w:rsidRPr="006D183F">
        <w:rPr>
          <w:b/>
          <w:sz w:val="22"/>
          <w:szCs w:val="22"/>
          <w:lang w:val="el-GR"/>
        </w:rPr>
        <w:t>1</w:t>
      </w:r>
      <w:r w:rsidR="006D4194">
        <w:rPr>
          <w:b/>
          <w:sz w:val="22"/>
          <w:szCs w:val="22"/>
          <w:lang w:val="el-GR"/>
        </w:rPr>
        <w:t>0</w:t>
      </w:r>
      <w:r w:rsidRPr="006D183F">
        <w:rPr>
          <w:b/>
          <w:sz w:val="22"/>
          <w:szCs w:val="22"/>
          <w:lang w:val="el-GR"/>
        </w:rPr>
        <w:t>.</w:t>
      </w:r>
      <w:r w:rsidRPr="006D183F">
        <w:rPr>
          <w:b/>
          <w:sz w:val="22"/>
          <w:szCs w:val="22"/>
          <w:lang w:val="el-GR"/>
        </w:rPr>
        <w:tab/>
        <w:t>ΗΜΕΡΟΜΗΝΙΑ ΑΝΑΘΕΩΡΗΣΗΣ ΤΟΥ ΚΕΙΜΕΝΟΥ</w:t>
      </w:r>
    </w:p>
    <w:p w:rsidR="007B24CB" w:rsidRPr="006D183F" w:rsidRDefault="007B24CB" w:rsidP="00147539">
      <w:pPr>
        <w:rPr>
          <w:sz w:val="22"/>
          <w:szCs w:val="22"/>
          <w:lang w:val="el-GR"/>
        </w:rPr>
      </w:pPr>
    </w:p>
    <w:p w:rsidR="007B24CB" w:rsidRPr="006D183F" w:rsidRDefault="007B24CB" w:rsidP="00147539">
      <w:pPr>
        <w:rPr>
          <w:sz w:val="22"/>
          <w:szCs w:val="22"/>
          <w:lang w:val="el-GR"/>
        </w:rPr>
      </w:pPr>
    </w:p>
    <w:p w:rsidR="007B24CB" w:rsidRPr="006D183F" w:rsidRDefault="007B24CB" w:rsidP="00147539">
      <w:pPr>
        <w:tabs>
          <w:tab w:val="left" w:pos="6804"/>
        </w:tabs>
        <w:rPr>
          <w:sz w:val="22"/>
          <w:szCs w:val="22"/>
          <w:lang w:val="el-GR"/>
        </w:rPr>
      </w:pPr>
    </w:p>
    <w:p w:rsidR="007B24CB" w:rsidRPr="006D183F" w:rsidRDefault="007B24CB" w:rsidP="00147539">
      <w:pPr>
        <w:rPr>
          <w:sz w:val="22"/>
          <w:szCs w:val="22"/>
          <w:lang w:val="el-GR"/>
        </w:rPr>
      </w:pPr>
    </w:p>
    <w:sectPr w:rsidR="007B24CB" w:rsidRPr="006D183F" w:rsidSect="006D183F">
      <w:footerReference w:type="even" r:id="rId7"/>
      <w:footerReference w:type="default" r:id="rId8"/>
      <w:pgSz w:w="11909" w:h="16834" w:code="9"/>
      <w:pgMar w:top="1134"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FF7" w:rsidRDefault="00952FF7">
      <w:r>
        <w:separator/>
      </w:r>
    </w:p>
  </w:endnote>
  <w:endnote w:type="continuationSeparator" w:id="0">
    <w:p w:rsidR="00952FF7" w:rsidRDefault="00952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6E" w:rsidRDefault="008562E5">
    <w:pPr>
      <w:pStyle w:val="a4"/>
      <w:framePr w:wrap="around" w:vAnchor="text" w:hAnchor="margin" w:xAlign="center" w:y="1"/>
      <w:rPr>
        <w:rStyle w:val="a5"/>
      </w:rPr>
    </w:pPr>
    <w:r>
      <w:rPr>
        <w:rStyle w:val="a5"/>
      </w:rPr>
      <w:fldChar w:fldCharType="begin"/>
    </w:r>
    <w:r w:rsidR="003D1A6E">
      <w:rPr>
        <w:rStyle w:val="a5"/>
      </w:rPr>
      <w:instrText xml:space="preserve">PAGE  </w:instrText>
    </w:r>
    <w:r>
      <w:rPr>
        <w:rStyle w:val="a5"/>
      </w:rPr>
      <w:fldChar w:fldCharType="end"/>
    </w:r>
  </w:p>
  <w:p w:rsidR="003D1A6E" w:rsidRDefault="003D1A6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6E" w:rsidRDefault="008562E5">
    <w:pPr>
      <w:pStyle w:val="a4"/>
      <w:framePr w:wrap="around" w:vAnchor="text" w:hAnchor="margin" w:xAlign="center" w:y="1"/>
      <w:rPr>
        <w:rStyle w:val="a5"/>
      </w:rPr>
    </w:pPr>
    <w:r>
      <w:rPr>
        <w:rStyle w:val="a5"/>
      </w:rPr>
      <w:fldChar w:fldCharType="begin"/>
    </w:r>
    <w:r w:rsidR="003D1A6E">
      <w:rPr>
        <w:rStyle w:val="a5"/>
      </w:rPr>
      <w:instrText xml:space="preserve">PAGE  </w:instrText>
    </w:r>
    <w:r>
      <w:rPr>
        <w:rStyle w:val="a5"/>
      </w:rPr>
      <w:fldChar w:fldCharType="separate"/>
    </w:r>
    <w:r w:rsidR="00B13B32">
      <w:rPr>
        <w:rStyle w:val="a5"/>
        <w:noProof/>
      </w:rPr>
      <w:t>11</w:t>
    </w:r>
    <w:r>
      <w:rPr>
        <w:rStyle w:val="a5"/>
      </w:rPr>
      <w:fldChar w:fldCharType="end"/>
    </w:r>
  </w:p>
  <w:p w:rsidR="003D1A6E" w:rsidRDefault="003D1A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FF7" w:rsidRDefault="00952FF7">
      <w:r>
        <w:separator/>
      </w:r>
    </w:p>
  </w:footnote>
  <w:footnote w:type="continuationSeparator" w:id="0">
    <w:p w:rsidR="00952FF7" w:rsidRDefault="00952F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E85"/>
    <w:multiLevelType w:val="multilevel"/>
    <w:tmpl w:val="0EAE9AB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5A0A82"/>
    <w:multiLevelType w:val="multilevel"/>
    <w:tmpl w:val="8DC89E7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FF1DE3"/>
    <w:multiLevelType w:val="singleLevel"/>
    <w:tmpl w:val="C1266AC0"/>
    <w:lvl w:ilvl="0">
      <w:numFmt w:val="bullet"/>
      <w:lvlText w:val="-"/>
      <w:lvlJc w:val="left"/>
      <w:pPr>
        <w:tabs>
          <w:tab w:val="num" w:pos="360"/>
        </w:tabs>
        <w:ind w:left="360" w:hanging="360"/>
      </w:pPr>
      <w:rPr>
        <w:rFonts w:ascii="Times New Roman" w:hAnsi="Times New Roman" w:hint="default"/>
      </w:rPr>
    </w:lvl>
  </w:abstractNum>
  <w:abstractNum w:abstractNumId="3">
    <w:nsid w:val="0A075C69"/>
    <w:multiLevelType w:val="singleLevel"/>
    <w:tmpl w:val="C1266AC0"/>
    <w:lvl w:ilvl="0">
      <w:numFmt w:val="bullet"/>
      <w:lvlText w:val="-"/>
      <w:lvlJc w:val="left"/>
      <w:pPr>
        <w:tabs>
          <w:tab w:val="num" w:pos="360"/>
        </w:tabs>
        <w:ind w:left="360" w:hanging="360"/>
      </w:pPr>
      <w:rPr>
        <w:rFonts w:hint="default"/>
      </w:rPr>
    </w:lvl>
  </w:abstractNum>
  <w:abstractNum w:abstractNumId="4">
    <w:nsid w:val="0A8A6EB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nsid w:val="0AF1698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nsid w:val="0B224BD1"/>
    <w:multiLevelType w:val="singleLevel"/>
    <w:tmpl w:val="EA627768"/>
    <w:lvl w:ilvl="0">
      <w:start w:val="2"/>
      <w:numFmt w:val="decimal"/>
      <w:lvlText w:val="%1."/>
      <w:lvlJc w:val="left"/>
      <w:pPr>
        <w:tabs>
          <w:tab w:val="num" w:pos="360"/>
        </w:tabs>
        <w:ind w:left="360" w:hanging="360"/>
      </w:pPr>
    </w:lvl>
  </w:abstractNum>
  <w:abstractNum w:abstractNumId="7">
    <w:nsid w:val="0B3E710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nsid w:val="0C721F5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nsid w:val="0EFD30B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nsid w:val="140D6050"/>
    <w:multiLevelType w:val="singleLevel"/>
    <w:tmpl w:val="0409000F"/>
    <w:lvl w:ilvl="0">
      <w:start w:val="6"/>
      <w:numFmt w:val="decimal"/>
      <w:lvlText w:val="%1."/>
      <w:lvlJc w:val="left"/>
      <w:pPr>
        <w:tabs>
          <w:tab w:val="num" w:pos="360"/>
        </w:tabs>
        <w:ind w:left="360" w:hanging="360"/>
      </w:pPr>
      <w:rPr>
        <w:rFonts w:hint="default"/>
      </w:rPr>
    </w:lvl>
  </w:abstractNum>
  <w:abstractNum w:abstractNumId="11">
    <w:nsid w:val="1896721A"/>
    <w:multiLevelType w:val="singleLevel"/>
    <w:tmpl w:val="13DAE300"/>
    <w:lvl w:ilvl="0">
      <w:start w:val="1"/>
      <w:numFmt w:val="decimal"/>
      <w:lvlText w:val="%1."/>
      <w:lvlJc w:val="left"/>
      <w:pPr>
        <w:tabs>
          <w:tab w:val="num" w:pos="1211"/>
        </w:tabs>
        <w:ind w:left="1134" w:hanging="283"/>
      </w:pPr>
      <w:rPr>
        <w:sz w:val="20"/>
      </w:rPr>
    </w:lvl>
  </w:abstractNum>
  <w:abstractNum w:abstractNumId="12">
    <w:nsid w:val="1A902F8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nsid w:val="1B8858BB"/>
    <w:multiLevelType w:val="multilevel"/>
    <w:tmpl w:val="D98A2EAE"/>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BC638A0"/>
    <w:multiLevelType w:val="singleLevel"/>
    <w:tmpl w:val="EA627768"/>
    <w:lvl w:ilvl="0">
      <w:start w:val="2"/>
      <w:numFmt w:val="decimal"/>
      <w:lvlText w:val="%1."/>
      <w:lvlJc w:val="left"/>
      <w:pPr>
        <w:tabs>
          <w:tab w:val="num" w:pos="360"/>
        </w:tabs>
        <w:ind w:left="360" w:hanging="360"/>
      </w:pPr>
    </w:lvl>
  </w:abstractNum>
  <w:abstractNum w:abstractNumId="15">
    <w:nsid w:val="1D712EE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nsid w:val="27DB440D"/>
    <w:multiLevelType w:val="multilevel"/>
    <w:tmpl w:val="D900516E"/>
    <w:lvl w:ilvl="0">
      <w:start w:val="1"/>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28AF006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nsid w:val="28EA40C7"/>
    <w:multiLevelType w:val="multilevel"/>
    <w:tmpl w:val="D98A2EA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9085DE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nsid w:val="2AE00519"/>
    <w:multiLevelType w:val="singleLevel"/>
    <w:tmpl w:val="0C090005"/>
    <w:lvl w:ilvl="0">
      <w:start w:val="1"/>
      <w:numFmt w:val="bullet"/>
      <w:lvlText w:val=""/>
      <w:lvlJc w:val="left"/>
      <w:pPr>
        <w:ind w:left="927" w:hanging="360"/>
      </w:pPr>
      <w:rPr>
        <w:rFonts w:ascii="Wingdings" w:hAnsi="Wingdings" w:hint="default"/>
      </w:rPr>
    </w:lvl>
  </w:abstractNum>
  <w:abstractNum w:abstractNumId="21">
    <w:nsid w:val="2B483310"/>
    <w:multiLevelType w:val="singleLevel"/>
    <w:tmpl w:val="EA627768"/>
    <w:lvl w:ilvl="0">
      <w:start w:val="2"/>
      <w:numFmt w:val="decimal"/>
      <w:lvlText w:val="%1."/>
      <w:lvlJc w:val="left"/>
      <w:pPr>
        <w:tabs>
          <w:tab w:val="num" w:pos="360"/>
        </w:tabs>
        <w:ind w:left="360" w:hanging="360"/>
      </w:pPr>
    </w:lvl>
  </w:abstractNum>
  <w:abstractNum w:abstractNumId="22">
    <w:nsid w:val="2D380050"/>
    <w:multiLevelType w:val="multilevel"/>
    <w:tmpl w:val="6B24BE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0172CA9"/>
    <w:multiLevelType w:val="multilevel"/>
    <w:tmpl w:val="2FF418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38C45A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nsid w:val="3613384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6">
    <w:nsid w:val="365C1C3D"/>
    <w:multiLevelType w:val="singleLevel"/>
    <w:tmpl w:val="C1266AC0"/>
    <w:lvl w:ilvl="0">
      <w:numFmt w:val="bullet"/>
      <w:lvlText w:val="-"/>
      <w:lvlJc w:val="left"/>
      <w:pPr>
        <w:tabs>
          <w:tab w:val="num" w:pos="360"/>
        </w:tabs>
        <w:ind w:left="360" w:hanging="360"/>
      </w:pPr>
      <w:rPr>
        <w:rFonts w:ascii="Times New Roman" w:hAnsi="Times New Roman" w:hint="default"/>
      </w:rPr>
    </w:lvl>
  </w:abstractNum>
  <w:abstractNum w:abstractNumId="27">
    <w:nsid w:val="3CC20C9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8">
    <w:nsid w:val="41547B0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nsid w:val="43E2017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nsid w:val="464471BA"/>
    <w:multiLevelType w:val="singleLevel"/>
    <w:tmpl w:val="EA627768"/>
    <w:lvl w:ilvl="0">
      <w:start w:val="2"/>
      <w:numFmt w:val="decimal"/>
      <w:lvlText w:val="%1."/>
      <w:lvlJc w:val="left"/>
      <w:pPr>
        <w:tabs>
          <w:tab w:val="num" w:pos="360"/>
        </w:tabs>
        <w:ind w:left="360" w:hanging="360"/>
      </w:pPr>
    </w:lvl>
  </w:abstractNum>
  <w:abstractNum w:abstractNumId="31">
    <w:nsid w:val="478F7C6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2">
    <w:nsid w:val="4F1347A1"/>
    <w:multiLevelType w:val="hybridMultilevel"/>
    <w:tmpl w:val="55BC98FA"/>
    <w:lvl w:ilvl="0" w:tplc="890E88A2">
      <w:start w:val="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4C302FD"/>
    <w:multiLevelType w:val="singleLevel"/>
    <w:tmpl w:val="313ACC50"/>
    <w:lvl w:ilvl="0">
      <w:start w:val="3"/>
      <w:numFmt w:val="bullet"/>
      <w:lvlText w:val="-"/>
      <w:lvlJc w:val="left"/>
      <w:pPr>
        <w:tabs>
          <w:tab w:val="num" w:pos="1080"/>
        </w:tabs>
        <w:ind w:left="1080" w:hanging="360"/>
      </w:pPr>
      <w:rPr>
        <w:rFonts w:ascii="Times New Roman" w:hAnsi="Times New Roman" w:hint="default"/>
      </w:rPr>
    </w:lvl>
  </w:abstractNum>
  <w:abstractNum w:abstractNumId="34">
    <w:nsid w:val="58B73FFD"/>
    <w:multiLevelType w:val="multilevel"/>
    <w:tmpl w:val="D98A2EA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BB7091"/>
    <w:multiLevelType w:val="multilevel"/>
    <w:tmpl w:val="7D14023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AD6C02"/>
    <w:multiLevelType w:val="singleLevel"/>
    <w:tmpl w:val="313ACC50"/>
    <w:lvl w:ilvl="0">
      <w:start w:val="3"/>
      <w:numFmt w:val="bullet"/>
      <w:lvlText w:val="-"/>
      <w:lvlJc w:val="left"/>
      <w:pPr>
        <w:tabs>
          <w:tab w:val="num" w:pos="1080"/>
        </w:tabs>
        <w:ind w:left="1080" w:hanging="360"/>
      </w:pPr>
      <w:rPr>
        <w:rFonts w:ascii="Times New Roman" w:hAnsi="Times New Roman" w:hint="default"/>
      </w:rPr>
    </w:lvl>
  </w:abstractNum>
  <w:abstractNum w:abstractNumId="37">
    <w:nsid w:val="61C05A5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8">
    <w:nsid w:val="65F82AFA"/>
    <w:multiLevelType w:val="multilevel"/>
    <w:tmpl w:val="D98A2EA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7777C7E"/>
    <w:multiLevelType w:val="multilevel"/>
    <w:tmpl w:val="95A2DFAA"/>
    <w:lvl w:ilvl="0">
      <w:start w:val="1"/>
      <w:numFmt w:val="decimal"/>
      <w:lvlText w:val="%1"/>
      <w:lvlJc w:val="left"/>
      <w:pPr>
        <w:tabs>
          <w:tab w:val="num" w:pos="420"/>
        </w:tabs>
        <w:ind w:left="420" w:hanging="420"/>
      </w:pPr>
      <w:rPr>
        <w:rFonts w:hint="default"/>
        <w:b/>
      </w:rPr>
    </w:lvl>
    <w:lvl w:ilvl="1">
      <w:start w:val="5"/>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69E41D3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1">
    <w:nsid w:val="6D7313AC"/>
    <w:multiLevelType w:val="multilevel"/>
    <w:tmpl w:val="B508A288"/>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3F6F3A"/>
    <w:multiLevelType w:val="singleLevel"/>
    <w:tmpl w:val="313ACC50"/>
    <w:lvl w:ilvl="0">
      <w:start w:val="3"/>
      <w:numFmt w:val="bullet"/>
      <w:lvlText w:val="-"/>
      <w:lvlJc w:val="left"/>
      <w:pPr>
        <w:tabs>
          <w:tab w:val="num" w:pos="1080"/>
        </w:tabs>
        <w:ind w:left="1080" w:hanging="360"/>
      </w:pPr>
      <w:rPr>
        <w:rFonts w:ascii="Times New Roman" w:hAnsi="Times New Roman" w:hint="default"/>
      </w:rPr>
    </w:lvl>
  </w:abstractNum>
  <w:abstractNum w:abstractNumId="43">
    <w:nsid w:val="7BA23A4A"/>
    <w:multiLevelType w:val="singleLevel"/>
    <w:tmpl w:val="E8C8D79C"/>
    <w:lvl w:ilvl="0">
      <w:start w:val="3"/>
      <w:numFmt w:val="decimal"/>
      <w:lvlText w:val="%1."/>
      <w:lvlJc w:val="left"/>
      <w:pPr>
        <w:tabs>
          <w:tab w:val="num" w:pos="720"/>
        </w:tabs>
        <w:ind w:left="720" w:hanging="720"/>
      </w:pPr>
      <w:rPr>
        <w:rFonts w:hint="default"/>
      </w:rPr>
    </w:lvl>
  </w:abstractNum>
  <w:abstractNum w:abstractNumId="44">
    <w:nsid w:val="7D5D25A6"/>
    <w:multiLevelType w:val="singleLevel"/>
    <w:tmpl w:val="5B646B6E"/>
    <w:lvl w:ilvl="0">
      <w:start w:val="1"/>
      <w:numFmt w:val="decimal"/>
      <w:lvlText w:val="%1."/>
      <w:lvlJc w:val="left"/>
      <w:pPr>
        <w:tabs>
          <w:tab w:val="num" w:pos="420"/>
        </w:tabs>
        <w:ind w:left="420" w:hanging="420"/>
      </w:pPr>
      <w:rPr>
        <w:rFonts w:hint="default"/>
      </w:rPr>
    </w:lvl>
  </w:abstractNum>
  <w:abstractNum w:abstractNumId="45">
    <w:nsid w:val="7E002CB7"/>
    <w:multiLevelType w:val="singleLevel"/>
    <w:tmpl w:val="C1266AC0"/>
    <w:lvl w:ilvl="0">
      <w:numFmt w:val="bullet"/>
      <w:lvlText w:val="-"/>
      <w:lvlJc w:val="left"/>
      <w:pPr>
        <w:tabs>
          <w:tab w:val="num" w:pos="360"/>
        </w:tabs>
        <w:ind w:left="360" w:hanging="360"/>
      </w:pPr>
      <w:rPr>
        <w:rFonts w:ascii="Times New Roman" w:hAnsi="Times New Roman" w:hint="default"/>
      </w:rPr>
    </w:lvl>
  </w:abstractNum>
  <w:num w:numId="1">
    <w:abstractNumId w:val="30"/>
  </w:num>
  <w:num w:numId="2">
    <w:abstractNumId w:val="21"/>
  </w:num>
  <w:num w:numId="3">
    <w:abstractNumId w:val="14"/>
  </w:num>
  <w:num w:numId="4">
    <w:abstractNumId w:val="6"/>
  </w:num>
  <w:num w:numId="5">
    <w:abstractNumId w:val="42"/>
  </w:num>
  <w:num w:numId="6">
    <w:abstractNumId w:val="29"/>
  </w:num>
  <w:num w:numId="7">
    <w:abstractNumId w:val="15"/>
  </w:num>
  <w:num w:numId="8">
    <w:abstractNumId w:val="7"/>
  </w:num>
  <w:num w:numId="9">
    <w:abstractNumId w:val="25"/>
  </w:num>
  <w:num w:numId="10">
    <w:abstractNumId w:val="24"/>
  </w:num>
  <w:num w:numId="11">
    <w:abstractNumId w:val="8"/>
  </w:num>
  <w:num w:numId="12">
    <w:abstractNumId w:val="4"/>
  </w:num>
  <w:num w:numId="13">
    <w:abstractNumId w:val="11"/>
  </w:num>
  <w:num w:numId="14">
    <w:abstractNumId w:val="38"/>
  </w:num>
  <w:num w:numId="15">
    <w:abstractNumId w:val="13"/>
  </w:num>
  <w:num w:numId="16">
    <w:abstractNumId w:val="18"/>
  </w:num>
  <w:num w:numId="17">
    <w:abstractNumId w:val="33"/>
  </w:num>
  <w:num w:numId="18">
    <w:abstractNumId w:val="36"/>
  </w:num>
  <w:num w:numId="19">
    <w:abstractNumId w:val="31"/>
  </w:num>
  <w:num w:numId="20">
    <w:abstractNumId w:val="34"/>
  </w:num>
  <w:num w:numId="21">
    <w:abstractNumId w:val="43"/>
  </w:num>
  <w:num w:numId="22">
    <w:abstractNumId w:val="12"/>
  </w:num>
  <w:num w:numId="23">
    <w:abstractNumId w:val="37"/>
  </w:num>
  <w:num w:numId="24">
    <w:abstractNumId w:val="5"/>
  </w:num>
  <w:num w:numId="25">
    <w:abstractNumId w:val="27"/>
  </w:num>
  <w:num w:numId="26">
    <w:abstractNumId w:val="19"/>
  </w:num>
  <w:num w:numId="27">
    <w:abstractNumId w:val="39"/>
  </w:num>
  <w:num w:numId="28">
    <w:abstractNumId w:val="9"/>
  </w:num>
  <w:num w:numId="29">
    <w:abstractNumId w:val="3"/>
  </w:num>
  <w:num w:numId="30">
    <w:abstractNumId w:val="45"/>
  </w:num>
  <w:num w:numId="31">
    <w:abstractNumId w:val="26"/>
  </w:num>
  <w:num w:numId="32">
    <w:abstractNumId w:val="2"/>
  </w:num>
  <w:num w:numId="33">
    <w:abstractNumId w:val="23"/>
  </w:num>
  <w:num w:numId="34">
    <w:abstractNumId w:val="35"/>
  </w:num>
  <w:num w:numId="35">
    <w:abstractNumId w:val="22"/>
  </w:num>
  <w:num w:numId="36">
    <w:abstractNumId w:val="1"/>
  </w:num>
  <w:num w:numId="37">
    <w:abstractNumId w:val="0"/>
  </w:num>
  <w:num w:numId="38">
    <w:abstractNumId w:val="41"/>
  </w:num>
  <w:num w:numId="39">
    <w:abstractNumId w:val="16"/>
  </w:num>
  <w:num w:numId="40">
    <w:abstractNumId w:val="44"/>
  </w:num>
  <w:num w:numId="41">
    <w:abstractNumId w:val="10"/>
  </w:num>
  <w:num w:numId="42">
    <w:abstractNumId w:val="40"/>
  </w:num>
  <w:num w:numId="43">
    <w:abstractNumId w:val="20"/>
  </w:num>
  <w:num w:numId="44">
    <w:abstractNumId w:val="17"/>
  </w:num>
  <w:num w:numId="45">
    <w:abstractNumId w:val="28"/>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1018"/>
    <w:rsid w:val="000008C4"/>
    <w:rsid w:val="00002D88"/>
    <w:rsid w:val="00015491"/>
    <w:rsid w:val="000245BF"/>
    <w:rsid w:val="00025501"/>
    <w:rsid w:val="00034C54"/>
    <w:rsid w:val="0003558F"/>
    <w:rsid w:val="00037169"/>
    <w:rsid w:val="00041594"/>
    <w:rsid w:val="000421D2"/>
    <w:rsid w:val="0004705E"/>
    <w:rsid w:val="00051EBF"/>
    <w:rsid w:val="00062BCE"/>
    <w:rsid w:val="00065D8A"/>
    <w:rsid w:val="00070FF9"/>
    <w:rsid w:val="0008266C"/>
    <w:rsid w:val="0008554D"/>
    <w:rsid w:val="000968B3"/>
    <w:rsid w:val="000A0FCB"/>
    <w:rsid w:val="000A10F8"/>
    <w:rsid w:val="000A1806"/>
    <w:rsid w:val="000A22BD"/>
    <w:rsid w:val="000B23DE"/>
    <w:rsid w:val="000B42EC"/>
    <w:rsid w:val="000B533F"/>
    <w:rsid w:val="000B7A9B"/>
    <w:rsid w:val="000C6005"/>
    <w:rsid w:val="000D0795"/>
    <w:rsid w:val="000D7949"/>
    <w:rsid w:val="000E7181"/>
    <w:rsid w:val="000F0E76"/>
    <w:rsid w:val="000F2112"/>
    <w:rsid w:val="000F2786"/>
    <w:rsid w:val="000F2B13"/>
    <w:rsid w:val="000F326F"/>
    <w:rsid w:val="000F400A"/>
    <w:rsid w:val="000F4A3D"/>
    <w:rsid w:val="001006EE"/>
    <w:rsid w:val="0011036D"/>
    <w:rsid w:val="00111B97"/>
    <w:rsid w:val="001126F6"/>
    <w:rsid w:val="00113F78"/>
    <w:rsid w:val="00116A98"/>
    <w:rsid w:val="001221D9"/>
    <w:rsid w:val="00127173"/>
    <w:rsid w:val="00137434"/>
    <w:rsid w:val="001428ED"/>
    <w:rsid w:val="00147539"/>
    <w:rsid w:val="00150CB0"/>
    <w:rsid w:val="00152E18"/>
    <w:rsid w:val="0015525F"/>
    <w:rsid w:val="001552F0"/>
    <w:rsid w:val="00162CB6"/>
    <w:rsid w:val="00162DAE"/>
    <w:rsid w:val="001703BF"/>
    <w:rsid w:val="00171536"/>
    <w:rsid w:val="00173703"/>
    <w:rsid w:val="00182325"/>
    <w:rsid w:val="001828C7"/>
    <w:rsid w:val="001907FF"/>
    <w:rsid w:val="001B1034"/>
    <w:rsid w:val="001B7178"/>
    <w:rsid w:val="001C6E2F"/>
    <w:rsid w:val="001E1759"/>
    <w:rsid w:val="001E4027"/>
    <w:rsid w:val="001E5271"/>
    <w:rsid w:val="001E7BFF"/>
    <w:rsid w:val="001F5A4A"/>
    <w:rsid w:val="001F7A7E"/>
    <w:rsid w:val="00216E9E"/>
    <w:rsid w:val="00231589"/>
    <w:rsid w:val="00234B06"/>
    <w:rsid w:val="00237409"/>
    <w:rsid w:val="00242811"/>
    <w:rsid w:val="00245A0C"/>
    <w:rsid w:val="00251995"/>
    <w:rsid w:val="00254F4A"/>
    <w:rsid w:val="00291B7F"/>
    <w:rsid w:val="002A5145"/>
    <w:rsid w:val="002A7D61"/>
    <w:rsid w:val="002C0054"/>
    <w:rsid w:val="002C2DE1"/>
    <w:rsid w:val="002C66ED"/>
    <w:rsid w:val="002C7DF5"/>
    <w:rsid w:val="002D1265"/>
    <w:rsid w:val="002D532D"/>
    <w:rsid w:val="002D5F3B"/>
    <w:rsid w:val="002F096E"/>
    <w:rsid w:val="002F6D8A"/>
    <w:rsid w:val="00300331"/>
    <w:rsid w:val="003041F9"/>
    <w:rsid w:val="00305EFC"/>
    <w:rsid w:val="00314C7B"/>
    <w:rsid w:val="0031559B"/>
    <w:rsid w:val="0031797C"/>
    <w:rsid w:val="00320809"/>
    <w:rsid w:val="003238F6"/>
    <w:rsid w:val="00327E39"/>
    <w:rsid w:val="003335A1"/>
    <w:rsid w:val="00342C2E"/>
    <w:rsid w:val="00350ACF"/>
    <w:rsid w:val="00353BF9"/>
    <w:rsid w:val="003825BD"/>
    <w:rsid w:val="00383D5A"/>
    <w:rsid w:val="003925C7"/>
    <w:rsid w:val="003A3824"/>
    <w:rsid w:val="003A46D9"/>
    <w:rsid w:val="003A6798"/>
    <w:rsid w:val="003B1E6D"/>
    <w:rsid w:val="003B2A83"/>
    <w:rsid w:val="003B3AD7"/>
    <w:rsid w:val="003B75BB"/>
    <w:rsid w:val="003B770C"/>
    <w:rsid w:val="003C16D4"/>
    <w:rsid w:val="003C593B"/>
    <w:rsid w:val="003C5C9C"/>
    <w:rsid w:val="003D06F2"/>
    <w:rsid w:val="003D1A6E"/>
    <w:rsid w:val="003D681C"/>
    <w:rsid w:val="003E3FC0"/>
    <w:rsid w:val="003F798E"/>
    <w:rsid w:val="004067C3"/>
    <w:rsid w:val="004121C8"/>
    <w:rsid w:val="004307CB"/>
    <w:rsid w:val="00432055"/>
    <w:rsid w:val="00436339"/>
    <w:rsid w:val="004439C1"/>
    <w:rsid w:val="00444796"/>
    <w:rsid w:val="00446472"/>
    <w:rsid w:val="00453D3C"/>
    <w:rsid w:val="0045574E"/>
    <w:rsid w:val="00461F78"/>
    <w:rsid w:val="00466B04"/>
    <w:rsid w:val="0047479D"/>
    <w:rsid w:val="004774C6"/>
    <w:rsid w:val="004802E6"/>
    <w:rsid w:val="004834E9"/>
    <w:rsid w:val="00484DBF"/>
    <w:rsid w:val="0048520F"/>
    <w:rsid w:val="004918AB"/>
    <w:rsid w:val="00493495"/>
    <w:rsid w:val="00494321"/>
    <w:rsid w:val="004972F1"/>
    <w:rsid w:val="00497981"/>
    <w:rsid w:val="004A5D2A"/>
    <w:rsid w:val="004A63C3"/>
    <w:rsid w:val="004B73F4"/>
    <w:rsid w:val="004C286F"/>
    <w:rsid w:val="004C3CA7"/>
    <w:rsid w:val="004D0109"/>
    <w:rsid w:val="004D461F"/>
    <w:rsid w:val="004E56BF"/>
    <w:rsid w:val="00501C08"/>
    <w:rsid w:val="00503079"/>
    <w:rsid w:val="005030E0"/>
    <w:rsid w:val="00507438"/>
    <w:rsid w:val="00522686"/>
    <w:rsid w:val="00522B5F"/>
    <w:rsid w:val="00524272"/>
    <w:rsid w:val="00525EF4"/>
    <w:rsid w:val="00531D6F"/>
    <w:rsid w:val="00532106"/>
    <w:rsid w:val="005414F3"/>
    <w:rsid w:val="00543313"/>
    <w:rsid w:val="005475A5"/>
    <w:rsid w:val="00552F69"/>
    <w:rsid w:val="00553139"/>
    <w:rsid w:val="005617EC"/>
    <w:rsid w:val="00571355"/>
    <w:rsid w:val="00594974"/>
    <w:rsid w:val="00596BA3"/>
    <w:rsid w:val="005A1D76"/>
    <w:rsid w:val="005A1E9B"/>
    <w:rsid w:val="005A5E74"/>
    <w:rsid w:val="005B3AF2"/>
    <w:rsid w:val="005B59A7"/>
    <w:rsid w:val="005B667F"/>
    <w:rsid w:val="005D4DCC"/>
    <w:rsid w:val="005E258F"/>
    <w:rsid w:val="005E292B"/>
    <w:rsid w:val="005E314A"/>
    <w:rsid w:val="005E39E6"/>
    <w:rsid w:val="005E5C6A"/>
    <w:rsid w:val="005F1621"/>
    <w:rsid w:val="005F70C8"/>
    <w:rsid w:val="005F72DD"/>
    <w:rsid w:val="006056F2"/>
    <w:rsid w:val="00607FC6"/>
    <w:rsid w:val="006152E2"/>
    <w:rsid w:val="00621C13"/>
    <w:rsid w:val="00623D8F"/>
    <w:rsid w:val="00624950"/>
    <w:rsid w:val="0062510B"/>
    <w:rsid w:val="00626977"/>
    <w:rsid w:val="0063090A"/>
    <w:rsid w:val="00630EBB"/>
    <w:rsid w:val="00635B83"/>
    <w:rsid w:val="00635FD5"/>
    <w:rsid w:val="00636D16"/>
    <w:rsid w:val="006467ED"/>
    <w:rsid w:val="00663C21"/>
    <w:rsid w:val="006645F1"/>
    <w:rsid w:val="006758C4"/>
    <w:rsid w:val="0068586D"/>
    <w:rsid w:val="00691E17"/>
    <w:rsid w:val="006929CC"/>
    <w:rsid w:val="00693451"/>
    <w:rsid w:val="00693AF2"/>
    <w:rsid w:val="00694D66"/>
    <w:rsid w:val="006A07BE"/>
    <w:rsid w:val="006A2769"/>
    <w:rsid w:val="006A68E0"/>
    <w:rsid w:val="006B116D"/>
    <w:rsid w:val="006C0940"/>
    <w:rsid w:val="006C1C6A"/>
    <w:rsid w:val="006C2426"/>
    <w:rsid w:val="006C41D2"/>
    <w:rsid w:val="006C539E"/>
    <w:rsid w:val="006D183F"/>
    <w:rsid w:val="006D38D8"/>
    <w:rsid w:val="006D4194"/>
    <w:rsid w:val="006D5FC2"/>
    <w:rsid w:val="006D6924"/>
    <w:rsid w:val="006E4B9E"/>
    <w:rsid w:val="006F0D0A"/>
    <w:rsid w:val="006F2F1F"/>
    <w:rsid w:val="006F3F09"/>
    <w:rsid w:val="00710573"/>
    <w:rsid w:val="0071201B"/>
    <w:rsid w:val="007328A5"/>
    <w:rsid w:val="00737DB2"/>
    <w:rsid w:val="00746E71"/>
    <w:rsid w:val="00747762"/>
    <w:rsid w:val="00751E16"/>
    <w:rsid w:val="00755E7B"/>
    <w:rsid w:val="00757121"/>
    <w:rsid w:val="00765A79"/>
    <w:rsid w:val="007835F1"/>
    <w:rsid w:val="00792A81"/>
    <w:rsid w:val="0079559D"/>
    <w:rsid w:val="007A31FB"/>
    <w:rsid w:val="007A5F4A"/>
    <w:rsid w:val="007A60F5"/>
    <w:rsid w:val="007B24CB"/>
    <w:rsid w:val="007B2ECC"/>
    <w:rsid w:val="007B67AA"/>
    <w:rsid w:val="007C296E"/>
    <w:rsid w:val="007C3587"/>
    <w:rsid w:val="007E20AE"/>
    <w:rsid w:val="007F22A0"/>
    <w:rsid w:val="00801B2D"/>
    <w:rsid w:val="0081170F"/>
    <w:rsid w:val="00824324"/>
    <w:rsid w:val="00835637"/>
    <w:rsid w:val="008357A7"/>
    <w:rsid w:val="008421C0"/>
    <w:rsid w:val="008562E5"/>
    <w:rsid w:val="00860AFF"/>
    <w:rsid w:val="0086222A"/>
    <w:rsid w:val="008646D1"/>
    <w:rsid w:val="00864B02"/>
    <w:rsid w:val="00866AE5"/>
    <w:rsid w:val="008929E2"/>
    <w:rsid w:val="00897508"/>
    <w:rsid w:val="00897F2D"/>
    <w:rsid w:val="008A0745"/>
    <w:rsid w:val="008A7DB1"/>
    <w:rsid w:val="008B2DF6"/>
    <w:rsid w:val="008C4CD1"/>
    <w:rsid w:val="008E251D"/>
    <w:rsid w:val="008E44E7"/>
    <w:rsid w:val="008E4B6D"/>
    <w:rsid w:val="00907474"/>
    <w:rsid w:val="00911581"/>
    <w:rsid w:val="00911BA2"/>
    <w:rsid w:val="00912726"/>
    <w:rsid w:val="009128B2"/>
    <w:rsid w:val="00912C8F"/>
    <w:rsid w:val="00924C3C"/>
    <w:rsid w:val="00931CE2"/>
    <w:rsid w:val="0095075B"/>
    <w:rsid w:val="00952FF7"/>
    <w:rsid w:val="009542A5"/>
    <w:rsid w:val="00972DEA"/>
    <w:rsid w:val="00981461"/>
    <w:rsid w:val="00982845"/>
    <w:rsid w:val="00983308"/>
    <w:rsid w:val="00996E0A"/>
    <w:rsid w:val="009A49AA"/>
    <w:rsid w:val="009B09BD"/>
    <w:rsid w:val="009B0BDB"/>
    <w:rsid w:val="009B2786"/>
    <w:rsid w:val="009B49A4"/>
    <w:rsid w:val="009C372C"/>
    <w:rsid w:val="009C388F"/>
    <w:rsid w:val="009F3A6C"/>
    <w:rsid w:val="009F795A"/>
    <w:rsid w:val="00A024BC"/>
    <w:rsid w:val="00A060FA"/>
    <w:rsid w:val="00A07857"/>
    <w:rsid w:val="00A11ACA"/>
    <w:rsid w:val="00A12AC5"/>
    <w:rsid w:val="00A14823"/>
    <w:rsid w:val="00A173F0"/>
    <w:rsid w:val="00A17BFF"/>
    <w:rsid w:val="00A30FFC"/>
    <w:rsid w:val="00A34489"/>
    <w:rsid w:val="00A50283"/>
    <w:rsid w:val="00A53D67"/>
    <w:rsid w:val="00A66E1B"/>
    <w:rsid w:val="00A73CDE"/>
    <w:rsid w:val="00A74099"/>
    <w:rsid w:val="00A77C37"/>
    <w:rsid w:val="00A81122"/>
    <w:rsid w:val="00A83C0B"/>
    <w:rsid w:val="00A87470"/>
    <w:rsid w:val="00A9023E"/>
    <w:rsid w:val="00A95163"/>
    <w:rsid w:val="00A9555D"/>
    <w:rsid w:val="00AB62C2"/>
    <w:rsid w:val="00AC30F5"/>
    <w:rsid w:val="00AC386C"/>
    <w:rsid w:val="00AC64CD"/>
    <w:rsid w:val="00AC704E"/>
    <w:rsid w:val="00AD09AC"/>
    <w:rsid w:val="00AD0DC9"/>
    <w:rsid w:val="00AD1421"/>
    <w:rsid w:val="00AD5FEE"/>
    <w:rsid w:val="00AF3FE6"/>
    <w:rsid w:val="00B012B1"/>
    <w:rsid w:val="00B03EFD"/>
    <w:rsid w:val="00B07359"/>
    <w:rsid w:val="00B13034"/>
    <w:rsid w:val="00B132B5"/>
    <w:rsid w:val="00B13B32"/>
    <w:rsid w:val="00B16D49"/>
    <w:rsid w:val="00B1745D"/>
    <w:rsid w:val="00B24C4D"/>
    <w:rsid w:val="00B24DB6"/>
    <w:rsid w:val="00B31C60"/>
    <w:rsid w:val="00B32A91"/>
    <w:rsid w:val="00B32C84"/>
    <w:rsid w:val="00B35035"/>
    <w:rsid w:val="00B409B9"/>
    <w:rsid w:val="00B516DC"/>
    <w:rsid w:val="00B53659"/>
    <w:rsid w:val="00B7361C"/>
    <w:rsid w:val="00B80239"/>
    <w:rsid w:val="00B86188"/>
    <w:rsid w:val="00B86C89"/>
    <w:rsid w:val="00BA3194"/>
    <w:rsid w:val="00BA3C3E"/>
    <w:rsid w:val="00BA661D"/>
    <w:rsid w:val="00BA760C"/>
    <w:rsid w:val="00BA7660"/>
    <w:rsid w:val="00BB3866"/>
    <w:rsid w:val="00BB47D0"/>
    <w:rsid w:val="00BC1233"/>
    <w:rsid w:val="00BD2BFB"/>
    <w:rsid w:val="00BD31D6"/>
    <w:rsid w:val="00BF14FE"/>
    <w:rsid w:val="00BF15AA"/>
    <w:rsid w:val="00BF5731"/>
    <w:rsid w:val="00BF69B9"/>
    <w:rsid w:val="00C20572"/>
    <w:rsid w:val="00C317BF"/>
    <w:rsid w:val="00C3266F"/>
    <w:rsid w:val="00C45FCF"/>
    <w:rsid w:val="00C613BA"/>
    <w:rsid w:val="00C62B4E"/>
    <w:rsid w:val="00C65144"/>
    <w:rsid w:val="00C67903"/>
    <w:rsid w:val="00C74540"/>
    <w:rsid w:val="00C92F2F"/>
    <w:rsid w:val="00C944C7"/>
    <w:rsid w:val="00C972CC"/>
    <w:rsid w:val="00CB5D66"/>
    <w:rsid w:val="00CD041C"/>
    <w:rsid w:val="00CD3734"/>
    <w:rsid w:val="00CE3D87"/>
    <w:rsid w:val="00CE72EB"/>
    <w:rsid w:val="00CF066A"/>
    <w:rsid w:val="00CF34B7"/>
    <w:rsid w:val="00CF65EF"/>
    <w:rsid w:val="00D06664"/>
    <w:rsid w:val="00D076CC"/>
    <w:rsid w:val="00D079F1"/>
    <w:rsid w:val="00D1430C"/>
    <w:rsid w:val="00D21045"/>
    <w:rsid w:val="00D22F51"/>
    <w:rsid w:val="00D3480C"/>
    <w:rsid w:val="00D34BEE"/>
    <w:rsid w:val="00D42597"/>
    <w:rsid w:val="00D43D82"/>
    <w:rsid w:val="00D50467"/>
    <w:rsid w:val="00D51E70"/>
    <w:rsid w:val="00D527DB"/>
    <w:rsid w:val="00D53B27"/>
    <w:rsid w:val="00D54D86"/>
    <w:rsid w:val="00D55212"/>
    <w:rsid w:val="00D62C05"/>
    <w:rsid w:val="00D62EAD"/>
    <w:rsid w:val="00D6750E"/>
    <w:rsid w:val="00D72061"/>
    <w:rsid w:val="00D72CB8"/>
    <w:rsid w:val="00D748A0"/>
    <w:rsid w:val="00D751E5"/>
    <w:rsid w:val="00D83F6F"/>
    <w:rsid w:val="00D965D8"/>
    <w:rsid w:val="00DA1018"/>
    <w:rsid w:val="00DA4BA8"/>
    <w:rsid w:val="00DA5EAC"/>
    <w:rsid w:val="00DC3D99"/>
    <w:rsid w:val="00DD5EA6"/>
    <w:rsid w:val="00DD5EFE"/>
    <w:rsid w:val="00DE61A5"/>
    <w:rsid w:val="00DE7B6C"/>
    <w:rsid w:val="00DF1481"/>
    <w:rsid w:val="00E00C8B"/>
    <w:rsid w:val="00E04DEE"/>
    <w:rsid w:val="00E15002"/>
    <w:rsid w:val="00E23BB4"/>
    <w:rsid w:val="00E242A6"/>
    <w:rsid w:val="00E37CF3"/>
    <w:rsid w:val="00E434F5"/>
    <w:rsid w:val="00E43D35"/>
    <w:rsid w:val="00E5527A"/>
    <w:rsid w:val="00E57BB2"/>
    <w:rsid w:val="00E60F11"/>
    <w:rsid w:val="00E704EB"/>
    <w:rsid w:val="00E7190B"/>
    <w:rsid w:val="00E71CEE"/>
    <w:rsid w:val="00E8385B"/>
    <w:rsid w:val="00E93522"/>
    <w:rsid w:val="00E97620"/>
    <w:rsid w:val="00EB06C0"/>
    <w:rsid w:val="00EB078C"/>
    <w:rsid w:val="00EB39D2"/>
    <w:rsid w:val="00EB63BF"/>
    <w:rsid w:val="00EE226A"/>
    <w:rsid w:val="00EE7251"/>
    <w:rsid w:val="00EF17F3"/>
    <w:rsid w:val="00EF3771"/>
    <w:rsid w:val="00EF5E03"/>
    <w:rsid w:val="00F00D08"/>
    <w:rsid w:val="00F018F9"/>
    <w:rsid w:val="00F01DB3"/>
    <w:rsid w:val="00F16999"/>
    <w:rsid w:val="00F2618B"/>
    <w:rsid w:val="00F27D29"/>
    <w:rsid w:val="00F30950"/>
    <w:rsid w:val="00F405FD"/>
    <w:rsid w:val="00F45F78"/>
    <w:rsid w:val="00F50E87"/>
    <w:rsid w:val="00F513CA"/>
    <w:rsid w:val="00F51752"/>
    <w:rsid w:val="00F57C6C"/>
    <w:rsid w:val="00F60222"/>
    <w:rsid w:val="00F77F58"/>
    <w:rsid w:val="00F85B27"/>
    <w:rsid w:val="00F97BA2"/>
    <w:rsid w:val="00FA1875"/>
    <w:rsid w:val="00FA5C6F"/>
    <w:rsid w:val="00FB4F13"/>
    <w:rsid w:val="00FC3437"/>
    <w:rsid w:val="00FC3B86"/>
    <w:rsid w:val="00FC787F"/>
    <w:rsid w:val="00FD21FF"/>
    <w:rsid w:val="00FE03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62E5"/>
    <w:rPr>
      <w:lang w:val="en-US" w:eastAsia="en-US"/>
    </w:rPr>
  </w:style>
  <w:style w:type="paragraph" w:styleId="1">
    <w:name w:val="heading 1"/>
    <w:basedOn w:val="a"/>
    <w:next w:val="a"/>
    <w:qFormat/>
    <w:rsid w:val="008562E5"/>
    <w:pPr>
      <w:keepNext/>
      <w:ind w:left="720"/>
      <w:jc w:val="both"/>
      <w:outlineLvl w:val="0"/>
    </w:pPr>
    <w:rPr>
      <w:b/>
      <w:i/>
      <w:sz w:val="24"/>
      <w:lang w:val="el-GR"/>
    </w:rPr>
  </w:style>
  <w:style w:type="paragraph" w:styleId="2">
    <w:name w:val="heading 2"/>
    <w:basedOn w:val="a"/>
    <w:next w:val="a"/>
    <w:qFormat/>
    <w:rsid w:val="008562E5"/>
    <w:pPr>
      <w:keepNext/>
      <w:jc w:val="both"/>
      <w:outlineLvl w:val="1"/>
    </w:pPr>
    <w:rPr>
      <w:b/>
      <w:sz w:val="24"/>
      <w:lang w:val="el-GR"/>
    </w:rPr>
  </w:style>
  <w:style w:type="paragraph" w:styleId="3">
    <w:name w:val="heading 3"/>
    <w:basedOn w:val="a"/>
    <w:next w:val="a"/>
    <w:qFormat/>
    <w:rsid w:val="008562E5"/>
    <w:pPr>
      <w:keepNext/>
      <w:ind w:left="720"/>
      <w:jc w:val="both"/>
      <w:outlineLvl w:val="2"/>
    </w:pPr>
    <w:rPr>
      <w:i/>
      <w:sz w:val="24"/>
      <w:lang w:val="el-GR"/>
    </w:rPr>
  </w:style>
  <w:style w:type="paragraph" w:styleId="4">
    <w:name w:val="heading 4"/>
    <w:basedOn w:val="a"/>
    <w:next w:val="a"/>
    <w:qFormat/>
    <w:rsid w:val="008562E5"/>
    <w:pPr>
      <w:keepNext/>
      <w:jc w:val="both"/>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562E5"/>
    <w:pPr>
      <w:jc w:val="center"/>
    </w:pPr>
    <w:rPr>
      <w:b/>
      <w:sz w:val="24"/>
      <w:lang w:val="el-GR"/>
    </w:rPr>
  </w:style>
  <w:style w:type="paragraph" w:styleId="30">
    <w:name w:val="Body Text 3"/>
    <w:basedOn w:val="a"/>
    <w:rsid w:val="008562E5"/>
    <w:pPr>
      <w:jc w:val="both"/>
    </w:pPr>
    <w:rPr>
      <w:b/>
      <w:sz w:val="24"/>
      <w:lang w:val="el-GR"/>
    </w:rPr>
  </w:style>
  <w:style w:type="paragraph" w:styleId="a4">
    <w:name w:val="footer"/>
    <w:basedOn w:val="a"/>
    <w:rsid w:val="008562E5"/>
    <w:pPr>
      <w:tabs>
        <w:tab w:val="center" w:pos="4320"/>
        <w:tab w:val="right" w:pos="8640"/>
      </w:tabs>
    </w:pPr>
  </w:style>
  <w:style w:type="character" w:styleId="a5">
    <w:name w:val="page number"/>
    <w:basedOn w:val="a0"/>
    <w:rsid w:val="008562E5"/>
  </w:style>
  <w:style w:type="paragraph" w:styleId="a6">
    <w:name w:val="Body Text"/>
    <w:basedOn w:val="a"/>
    <w:rsid w:val="008562E5"/>
    <w:pPr>
      <w:jc w:val="both"/>
    </w:pPr>
    <w:rPr>
      <w:sz w:val="24"/>
      <w:lang w:val="el-GR"/>
    </w:rPr>
  </w:style>
  <w:style w:type="paragraph" w:styleId="a7">
    <w:name w:val="Body Text Indent"/>
    <w:basedOn w:val="a"/>
    <w:rsid w:val="008562E5"/>
    <w:pPr>
      <w:ind w:left="720"/>
      <w:jc w:val="both"/>
    </w:pPr>
    <w:rPr>
      <w:lang w:val="el-GR"/>
    </w:rPr>
  </w:style>
  <w:style w:type="character" w:customStyle="1" w:styleId="hps">
    <w:name w:val="hps"/>
    <w:basedOn w:val="a0"/>
    <w:rsid w:val="006C2426"/>
  </w:style>
  <w:style w:type="paragraph" w:styleId="a8">
    <w:name w:val="Balloon Text"/>
    <w:basedOn w:val="a"/>
    <w:link w:val="Char"/>
    <w:rsid w:val="00051EBF"/>
    <w:rPr>
      <w:rFonts w:ascii="Tahoma" w:hAnsi="Tahoma" w:cs="Tahoma"/>
      <w:sz w:val="16"/>
      <w:szCs w:val="16"/>
    </w:rPr>
  </w:style>
  <w:style w:type="character" w:customStyle="1" w:styleId="Char">
    <w:name w:val="Κείμενο πλαισίου Char"/>
    <w:link w:val="a8"/>
    <w:rsid w:val="00051EBF"/>
    <w:rPr>
      <w:rFonts w:ascii="Tahoma" w:hAnsi="Tahoma" w:cs="Tahoma"/>
      <w:sz w:val="16"/>
      <w:szCs w:val="16"/>
      <w:lang w:val="en-US" w:eastAsia="en-US"/>
    </w:rPr>
  </w:style>
  <w:style w:type="character" w:styleId="a9">
    <w:name w:val="annotation reference"/>
    <w:rsid w:val="00D3480C"/>
    <w:rPr>
      <w:sz w:val="16"/>
      <w:szCs w:val="16"/>
    </w:rPr>
  </w:style>
  <w:style w:type="paragraph" w:styleId="aa">
    <w:name w:val="annotation text"/>
    <w:basedOn w:val="a"/>
    <w:link w:val="Char0"/>
    <w:rsid w:val="00D3480C"/>
  </w:style>
  <w:style w:type="character" w:customStyle="1" w:styleId="Char0">
    <w:name w:val="Κείμενο σχολίου Char"/>
    <w:link w:val="aa"/>
    <w:rsid w:val="00D3480C"/>
    <w:rPr>
      <w:lang w:val="en-US" w:eastAsia="en-US"/>
    </w:rPr>
  </w:style>
  <w:style w:type="paragraph" w:styleId="ab">
    <w:name w:val="annotation subject"/>
    <w:basedOn w:val="aa"/>
    <w:next w:val="aa"/>
    <w:link w:val="Char1"/>
    <w:rsid w:val="00D3480C"/>
    <w:rPr>
      <w:b/>
      <w:bCs/>
    </w:rPr>
  </w:style>
  <w:style w:type="character" w:customStyle="1" w:styleId="Char1">
    <w:name w:val="Θέμα σχολίου Char"/>
    <w:link w:val="ab"/>
    <w:rsid w:val="00D3480C"/>
    <w:rPr>
      <w:b/>
      <w:bCs/>
      <w:lang w:val="en-US" w:eastAsia="en-US"/>
    </w:rPr>
  </w:style>
</w:styles>
</file>

<file path=word/webSettings.xml><?xml version="1.0" encoding="utf-8"?>
<w:webSettings xmlns:r="http://schemas.openxmlformats.org/officeDocument/2006/relationships" xmlns:w="http://schemas.openxmlformats.org/wordprocessingml/2006/main">
  <w:divs>
    <w:div w:id="953368163">
      <w:bodyDiv w:val="1"/>
      <w:marLeft w:val="0"/>
      <w:marRight w:val="0"/>
      <w:marTop w:val="0"/>
      <w:marBottom w:val="0"/>
      <w:divBdr>
        <w:top w:val="none" w:sz="0" w:space="0" w:color="auto"/>
        <w:left w:val="none" w:sz="0" w:space="0" w:color="auto"/>
        <w:bottom w:val="none" w:sz="0" w:space="0" w:color="auto"/>
        <w:right w:val="none" w:sz="0" w:space="0" w:color="auto"/>
      </w:divBdr>
      <w:divsChild>
        <w:div w:id="1872985819">
          <w:marLeft w:val="0"/>
          <w:marRight w:val="0"/>
          <w:marTop w:val="0"/>
          <w:marBottom w:val="0"/>
          <w:divBdr>
            <w:top w:val="none" w:sz="0" w:space="0" w:color="auto"/>
            <w:left w:val="none" w:sz="0" w:space="0" w:color="auto"/>
            <w:bottom w:val="none" w:sz="0" w:space="0" w:color="auto"/>
            <w:right w:val="none" w:sz="0" w:space="0" w:color="auto"/>
          </w:divBdr>
          <w:divsChild>
            <w:div w:id="922838223">
              <w:marLeft w:val="0"/>
              <w:marRight w:val="0"/>
              <w:marTop w:val="0"/>
              <w:marBottom w:val="0"/>
              <w:divBdr>
                <w:top w:val="none" w:sz="0" w:space="0" w:color="auto"/>
                <w:left w:val="none" w:sz="0" w:space="0" w:color="auto"/>
                <w:bottom w:val="none" w:sz="0" w:space="0" w:color="auto"/>
                <w:right w:val="none" w:sz="0" w:space="0" w:color="auto"/>
              </w:divBdr>
              <w:divsChild>
                <w:div w:id="611791083">
                  <w:marLeft w:val="0"/>
                  <w:marRight w:val="0"/>
                  <w:marTop w:val="0"/>
                  <w:marBottom w:val="0"/>
                  <w:divBdr>
                    <w:top w:val="none" w:sz="0" w:space="0" w:color="auto"/>
                    <w:left w:val="none" w:sz="0" w:space="0" w:color="auto"/>
                    <w:bottom w:val="none" w:sz="0" w:space="0" w:color="auto"/>
                    <w:right w:val="none" w:sz="0" w:space="0" w:color="auto"/>
                  </w:divBdr>
                  <w:divsChild>
                    <w:div w:id="1656764581">
                      <w:marLeft w:val="0"/>
                      <w:marRight w:val="0"/>
                      <w:marTop w:val="0"/>
                      <w:marBottom w:val="0"/>
                      <w:divBdr>
                        <w:top w:val="none" w:sz="0" w:space="0" w:color="auto"/>
                        <w:left w:val="none" w:sz="0" w:space="0" w:color="auto"/>
                        <w:bottom w:val="none" w:sz="0" w:space="0" w:color="auto"/>
                        <w:right w:val="none" w:sz="0" w:space="0" w:color="auto"/>
                      </w:divBdr>
                      <w:divsChild>
                        <w:div w:id="2024084167">
                          <w:marLeft w:val="0"/>
                          <w:marRight w:val="0"/>
                          <w:marTop w:val="0"/>
                          <w:marBottom w:val="0"/>
                          <w:divBdr>
                            <w:top w:val="none" w:sz="0" w:space="0" w:color="auto"/>
                            <w:left w:val="none" w:sz="0" w:space="0" w:color="auto"/>
                            <w:bottom w:val="none" w:sz="0" w:space="0" w:color="auto"/>
                            <w:right w:val="none" w:sz="0" w:space="0" w:color="auto"/>
                          </w:divBdr>
                          <w:divsChild>
                            <w:div w:id="1195463779">
                              <w:marLeft w:val="0"/>
                              <w:marRight w:val="0"/>
                              <w:marTop w:val="0"/>
                              <w:marBottom w:val="0"/>
                              <w:divBdr>
                                <w:top w:val="none" w:sz="0" w:space="0" w:color="auto"/>
                                <w:left w:val="none" w:sz="0" w:space="0" w:color="auto"/>
                                <w:bottom w:val="none" w:sz="0" w:space="0" w:color="auto"/>
                                <w:right w:val="none" w:sz="0" w:space="0" w:color="auto"/>
                              </w:divBdr>
                              <w:divsChild>
                                <w:div w:id="1358503056">
                                  <w:marLeft w:val="0"/>
                                  <w:marRight w:val="0"/>
                                  <w:marTop w:val="0"/>
                                  <w:marBottom w:val="0"/>
                                  <w:divBdr>
                                    <w:top w:val="none" w:sz="0" w:space="0" w:color="auto"/>
                                    <w:left w:val="none" w:sz="0" w:space="0" w:color="auto"/>
                                    <w:bottom w:val="none" w:sz="0" w:space="0" w:color="auto"/>
                                    <w:right w:val="none" w:sz="0" w:space="0" w:color="auto"/>
                                  </w:divBdr>
                                  <w:divsChild>
                                    <w:div w:id="1871915503">
                                      <w:marLeft w:val="0"/>
                                      <w:marRight w:val="0"/>
                                      <w:marTop w:val="0"/>
                                      <w:marBottom w:val="0"/>
                                      <w:divBdr>
                                        <w:top w:val="none" w:sz="0" w:space="0" w:color="auto"/>
                                        <w:left w:val="none" w:sz="0" w:space="0" w:color="auto"/>
                                        <w:bottom w:val="none" w:sz="0" w:space="0" w:color="auto"/>
                                        <w:right w:val="none" w:sz="0" w:space="0" w:color="auto"/>
                                      </w:divBdr>
                                      <w:divsChild>
                                        <w:div w:id="984119344">
                                          <w:marLeft w:val="0"/>
                                          <w:marRight w:val="0"/>
                                          <w:marTop w:val="0"/>
                                          <w:marBottom w:val="0"/>
                                          <w:divBdr>
                                            <w:top w:val="none" w:sz="0" w:space="0" w:color="auto"/>
                                            <w:left w:val="none" w:sz="0" w:space="0" w:color="auto"/>
                                            <w:bottom w:val="none" w:sz="0" w:space="0" w:color="auto"/>
                                            <w:right w:val="none" w:sz="0" w:space="0" w:color="auto"/>
                                          </w:divBdr>
                                          <w:divsChild>
                                            <w:div w:id="2050914501">
                                              <w:marLeft w:val="0"/>
                                              <w:marRight w:val="0"/>
                                              <w:marTop w:val="0"/>
                                              <w:marBottom w:val="0"/>
                                              <w:divBdr>
                                                <w:top w:val="single" w:sz="6" w:space="0" w:color="F5F5F5"/>
                                                <w:left w:val="single" w:sz="6" w:space="0" w:color="F5F5F5"/>
                                                <w:bottom w:val="single" w:sz="6" w:space="0" w:color="F5F5F5"/>
                                                <w:right w:val="single" w:sz="6" w:space="0" w:color="F5F5F5"/>
                                              </w:divBdr>
                                              <w:divsChild>
                                                <w:div w:id="1930385527">
                                                  <w:marLeft w:val="0"/>
                                                  <w:marRight w:val="0"/>
                                                  <w:marTop w:val="0"/>
                                                  <w:marBottom w:val="0"/>
                                                  <w:divBdr>
                                                    <w:top w:val="none" w:sz="0" w:space="0" w:color="auto"/>
                                                    <w:left w:val="none" w:sz="0" w:space="0" w:color="auto"/>
                                                    <w:bottom w:val="none" w:sz="0" w:space="0" w:color="auto"/>
                                                    <w:right w:val="none" w:sz="0" w:space="0" w:color="auto"/>
                                                  </w:divBdr>
                                                  <w:divsChild>
                                                    <w:div w:id="1989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6848523">
      <w:bodyDiv w:val="1"/>
      <w:marLeft w:val="0"/>
      <w:marRight w:val="0"/>
      <w:marTop w:val="0"/>
      <w:marBottom w:val="0"/>
      <w:divBdr>
        <w:top w:val="none" w:sz="0" w:space="0" w:color="auto"/>
        <w:left w:val="none" w:sz="0" w:space="0" w:color="auto"/>
        <w:bottom w:val="none" w:sz="0" w:space="0" w:color="auto"/>
        <w:right w:val="none" w:sz="0" w:space="0" w:color="auto"/>
      </w:divBdr>
      <w:divsChild>
        <w:div w:id="29843782">
          <w:marLeft w:val="0"/>
          <w:marRight w:val="0"/>
          <w:marTop w:val="0"/>
          <w:marBottom w:val="0"/>
          <w:divBdr>
            <w:top w:val="none" w:sz="0" w:space="0" w:color="auto"/>
            <w:left w:val="none" w:sz="0" w:space="0" w:color="auto"/>
            <w:bottom w:val="none" w:sz="0" w:space="0" w:color="auto"/>
            <w:right w:val="none" w:sz="0" w:space="0" w:color="auto"/>
          </w:divBdr>
          <w:divsChild>
            <w:div w:id="1110007408">
              <w:marLeft w:val="0"/>
              <w:marRight w:val="0"/>
              <w:marTop w:val="0"/>
              <w:marBottom w:val="0"/>
              <w:divBdr>
                <w:top w:val="none" w:sz="0" w:space="0" w:color="auto"/>
                <w:left w:val="none" w:sz="0" w:space="0" w:color="auto"/>
                <w:bottom w:val="none" w:sz="0" w:space="0" w:color="auto"/>
                <w:right w:val="none" w:sz="0" w:space="0" w:color="auto"/>
              </w:divBdr>
              <w:divsChild>
                <w:div w:id="1972854926">
                  <w:marLeft w:val="0"/>
                  <w:marRight w:val="0"/>
                  <w:marTop w:val="0"/>
                  <w:marBottom w:val="0"/>
                  <w:divBdr>
                    <w:top w:val="none" w:sz="0" w:space="0" w:color="auto"/>
                    <w:left w:val="none" w:sz="0" w:space="0" w:color="auto"/>
                    <w:bottom w:val="none" w:sz="0" w:space="0" w:color="auto"/>
                    <w:right w:val="none" w:sz="0" w:space="0" w:color="auto"/>
                  </w:divBdr>
                  <w:divsChild>
                    <w:div w:id="555900144">
                      <w:marLeft w:val="0"/>
                      <w:marRight w:val="0"/>
                      <w:marTop w:val="0"/>
                      <w:marBottom w:val="0"/>
                      <w:divBdr>
                        <w:top w:val="none" w:sz="0" w:space="0" w:color="auto"/>
                        <w:left w:val="none" w:sz="0" w:space="0" w:color="auto"/>
                        <w:bottom w:val="none" w:sz="0" w:space="0" w:color="auto"/>
                        <w:right w:val="none" w:sz="0" w:space="0" w:color="auto"/>
                      </w:divBdr>
                      <w:divsChild>
                        <w:div w:id="182598447">
                          <w:marLeft w:val="0"/>
                          <w:marRight w:val="0"/>
                          <w:marTop w:val="0"/>
                          <w:marBottom w:val="0"/>
                          <w:divBdr>
                            <w:top w:val="none" w:sz="0" w:space="0" w:color="auto"/>
                            <w:left w:val="none" w:sz="0" w:space="0" w:color="auto"/>
                            <w:bottom w:val="none" w:sz="0" w:space="0" w:color="auto"/>
                            <w:right w:val="none" w:sz="0" w:space="0" w:color="auto"/>
                          </w:divBdr>
                          <w:divsChild>
                            <w:div w:id="921832933">
                              <w:marLeft w:val="0"/>
                              <w:marRight w:val="0"/>
                              <w:marTop w:val="0"/>
                              <w:marBottom w:val="0"/>
                              <w:divBdr>
                                <w:top w:val="none" w:sz="0" w:space="0" w:color="auto"/>
                                <w:left w:val="none" w:sz="0" w:space="0" w:color="auto"/>
                                <w:bottom w:val="none" w:sz="0" w:space="0" w:color="auto"/>
                                <w:right w:val="none" w:sz="0" w:space="0" w:color="auto"/>
                              </w:divBdr>
                              <w:divsChild>
                                <w:div w:id="639725524">
                                  <w:marLeft w:val="0"/>
                                  <w:marRight w:val="0"/>
                                  <w:marTop w:val="0"/>
                                  <w:marBottom w:val="0"/>
                                  <w:divBdr>
                                    <w:top w:val="none" w:sz="0" w:space="0" w:color="auto"/>
                                    <w:left w:val="none" w:sz="0" w:space="0" w:color="auto"/>
                                    <w:bottom w:val="none" w:sz="0" w:space="0" w:color="auto"/>
                                    <w:right w:val="none" w:sz="0" w:space="0" w:color="auto"/>
                                  </w:divBdr>
                                  <w:divsChild>
                                    <w:div w:id="1696927619">
                                      <w:marLeft w:val="0"/>
                                      <w:marRight w:val="0"/>
                                      <w:marTop w:val="0"/>
                                      <w:marBottom w:val="0"/>
                                      <w:divBdr>
                                        <w:top w:val="none" w:sz="0" w:space="0" w:color="auto"/>
                                        <w:left w:val="none" w:sz="0" w:space="0" w:color="auto"/>
                                        <w:bottom w:val="none" w:sz="0" w:space="0" w:color="auto"/>
                                        <w:right w:val="none" w:sz="0" w:space="0" w:color="auto"/>
                                      </w:divBdr>
                                      <w:divsChild>
                                        <w:div w:id="719283967">
                                          <w:marLeft w:val="0"/>
                                          <w:marRight w:val="0"/>
                                          <w:marTop w:val="0"/>
                                          <w:marBottom w:val="0"/>
                                          <w:divBdr>
                                            <w:top w:val="none" w:sz="0" w:space="0" w:color="auto"/>
                                            <w:left w:val="none" w:sz="0" w:space="0" w:color="auto"/>
                                            <w:bottom w:val="none" w:sz="0" w:space="0" w:color="auto"/>
                                            <w:right w:val="none" w:sz="0" w:space="0" w:color="auto"/>
                                          </w:divBdr>
                                          <w:divsChild>
                                            <w:div w:id="190263951">
                                              <w:marLeft w:val="0"/>
                                              <w:marRight w:val="0"/>
                                              <w:marTop w:val="0"/>
                                              <w:marBottom w:val="0"/>
                                              <w:divBdr>
                                                <w:top w:val="single" w:sz="6" w:space="0" w:color="F5F5F5"/>
                                                <w:left w:val="single" w:sz="6" w:space="0" w:color="F5F5F5"/>
                                                <w:bottom w:val="single" w:sz="6" w:space="0" w:color="F5F5F5"/>
                                                <w:right w:val="single" w:sz="6" w:space="0" w:color="F5F5F5"/>
                                              </w:divBdr>
                                              <w:divsChild>
                                                <w:div w:id="43523498">
                                                  <w:marLeft w:val="0"/>
                                                  <w:marRight w:val="0"/>
                                                  <w:marTop w:val="0"/>
                                                  <w:marBottom w:val="0"/>
                                                  <w:divBdr>
                                                    <w:top w:val="none" w:sz="0" w:space="0" w:color="auto"/>
                                                    <w:left w:val="none" w:sz="0" w:space="0" w:color="auto"/>
                                                    <w:bottom w:val="none" w:sz="0" w:space="0" w:color="auto"/>
                                                    <w:right w:val="none" w:sz="0" w:space="0" w:color="auto"/>
                                                  </w:divBdr>
                                                  <w:divsChild>
                                                    <w:div w:id="7783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4159</Words>
  <Characters>22462</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ΠΕΡΙΛΗΨΗ ΧΑΡΑΚΤΗΡΙΣΤΙΚΩΝ ΤΟΥ ΠΡΟΪΟΝΤΟΣ</vt:lpstr>
    </vt:vector>
  </TitlesOfParts>
  <Company>Janssen-Cilag-Greece</Company>
  <LinksUpToDate>false</LinksUpToDate>
  <CharactersWithSpaces>26568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ΧΑΡΑΚΤΗΡΙΣΤΙΚΩΝ ΤΟΥ ΠΡΟΪΟΝΤΟΣ</dc:title>
  <dc:creator>Janssen-Cilag-Greece</dc:creator>
  <cp:lastModifiedBy>user146</cp:lastModifiedBy>
  <cp:revision>3</cp:revision>
  <cp:lastPrinted>2014-04-11T10:15:00Z</cp:lastPrinted>
  <dcterms:created xsi:type="dcterms:W3CDTF">2014-04-11T10:18:00Z</dcterms:created>
  <dcterms:modified xsi:type="dcterms:W3CDTF">2014-12-03T11:11:00Z</dcterms:modified>
</cp:coreProperties>
</file>