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FD" w:rsidRDefault="00DB27FD" w:rsidP="00AD3869">
      <w:pPr>
        <w:pStyle w:val="1"/>
        <w:keepNext w:val="0"/>
        <w:widowControl/>
        <w:ind w:left="0" w:firstLine="0"/>
        <w:jc w:val="center"/>
        <w:rPr>
          <w:szCs w:val="22"/>
        </w:rPr>
      </w:pPr>
    </w:p>
    <w:p w:rsidR="0084183B" w:rsidRPr="003A467B" w:rsidRDefault="0084183B" w:rsidP="00AD3869">
      <w:pPr>
        <w:pStyle w:val="1"/>
        <w:keepNext w:val="0"/>
        <w:widowControl/>
        <w:ind w:left="0" w:firstLine="0"/>
        <w:jc w:val="center"/>
        <w:rPr>
          <w:szCs w:val="22"/>
        </w:rPr>
      </w:pPr>
      <w:r w:rsidRPr="003A467B">
        <w:rPr>
          <w:szCs w:val="22"/>
        </w:rPr>
        <w:t>ΠΕΡΙΛΗΨΗ ΤΩΝ ΧΑΡΑΚΤΗΡΙΣΤΙΚΩΝ ΤΟΥ ΠΡΟΪΟΝΤΟΣ</w:t>
      </w:r>
    </w:p>
    <w:p w:rsidR="0010324B" w:rsidRPr="003A467B" w:rsidRDefault="0010324B" w:rsidP="0010324B">
      <w:pPr>
        <w:pStyle w:val="Para0s"/>
      </w:pPr>
    </w:p>
    <w:p w:rsidR="0084183B" w:rsidRPr="003A467B" w:rsidRDefault="0084183B" w:rsidP="00B9338D">
      <w:pPr>
        <w:pStyle w:val="1"/>
        <w:keepNext w:val="0"/>
        <w:tabs>
          <w:tab w:val="clear" w:pos="567"/>
        </w:tabs>
        <w:ind w:left="0" w:firstLine="0"/>
        <w:jc w:val="both"/>
        <w:rPr>
          <w:szCs w:val="22"/>
        </w:rPr>
      </w:pPr>
      <w:r w:rsidRPr="003A467B">
        <w:rPr>
          <w:szCs w:val="22"/>
        </w:rPr>
        <w:t>1.</w:t>
      </w:r>
      <w:r w:rsidRPr="003A467B">
        <w:rPr>
          <w:szCs w:val="22"/>
        </w:rPr>
        <w:tab/>
        <w:t>ΟΝΟΜΑΣΙΑ ΤΟΥ ΦΑΡΜΑΚΕΥΤΙΚΟΥ ΠΡΟΪΟΝΤΟΣ</w:t>
      </w:r>
    </w:p>
    <w:p w:rsidR="004746F4" w:rsidRPr="003A467B" w:rsidRDefault="004746F4" w:rsidP="000F49B8">
      <w:pPr>
        <w:pStyle w:val="Para0s"/>
        <w:jc w:val="both"/>
        <w:rPr>
          <w:b/>
          <w:szCs w:val="22"/>
        </w:rPr>
      </w:pPr>
    </w:p>
    <w:p w:rsidR="0084183B" w:rsidRPr="003A467B" w:rsidRDefault="0084183B" w:rsidP="000F49B8">
      <w:pPr>
        <w:pStyle w:val="Para0s"/>
        <w:jc w:val="both"/>
        <w:rPr>
          <w:szCs w:val="22"/>
        </w:rPr>
      </w:pPr>
      <w:r w:rsidRPr="00A1615E">
        <w:rPr>
          <w:bCs/>
          <w:szCs w:val="22"/>
        </w:rPr>
        <w:t>Yasmin</w:t>
      </w:r>
      <w:r w:rsidRPr="00A1615E">
        <w:rPr>
          <w:bCs/>
          <w:szCs w:val="22"/>
          <w:vertAlign w:val="superscript"/>
        </w:rPr>
        <w:t>®</w:t>
      </w:r>
      <w:r w:rsidR="00786A29" w:rsidRPr="00A1615E">
        <w:rPr>
          <w:bCs/>
          <w:szCs w:val="22"/>
          <w:vertAlign w:val="superscript"/>
        </w:rPr>
        <w:t xml:space="preserve"> </w:t>
      </w:r>
      <w:r w:rsidR="00A1615E">
        <w:rPr>
          <w:szCs w:val="22"/>
        </w:rPr>
        <w:t>ε</w:t>
      </w:r>
      <w:r w:rsidRPr="003A467B">
        <w:rPr>
          <w:szCs w:val="22"/>
        </w:rPr>
        <w:t>πικαλυμμένο με λεπτό υμένιο δισκίο</w:t>
      </w:r>
      <w:r w:rsidR="0070407E" w:rsidRPr="003A467B">
        <w:rPr>
          <w:szCs w:val="22"/>
        </w:rPr>
        <w:t xml:space="preserve"> </w:t>
      </w:r>
      <w:r w:rsidR="00641120" w:rsidRPr="003A467B">
        <w:rPr>
          <w:szCs w:val="22"/>
        </w:rPr>
        <w:t>0,0</w:t>
      </w:r>
      <w:r w:rsidR="0070407E" w:rsidRPr="003A467B">
        <w:rPr>
          <w:szCs w:val="22"/>
        </w:rPr>
        <w:t>3 mg</w:t>
      </w:r>
      <w:r w:rsidR="00235AFB" w:rsidRPr="003A467B">
        <w:rPr>
          <w:szCs w:val="22"/>
        </w:rPr>
        <w:t xml:space="preserve"> </w:t>
      </w:r>
      <w:r w:rsidR="0070407E" w:rsidRPr="003A467B">
        <w:rPr>
          <w:szCs w:val="22"/>
        </w:rPr>
        <w:t>/</w:t>
      </w:r>
      <w:r w:rsidR="00235AFB" w:rsidRPr="003A467B">
        <w:rPr>
          <w:szCs w:val="22"/>
        </w:rPr>
        <w:t xml:space="preserve"> </w:t>
      </w:r>
      <w:r w:rsidR="0070407E" w:rsidRPr="003A467B">
        <w:rPr>
          <w:szCs w:val="22"/>
        </w:rPr>
        <w:t xml:space="preserve">3 </w:t>
      </w:r>
      <w:r w:rsidR="0070407E" w:rsidRPr="003A467B">
        <w:rPr>
          <w:szCs w:val="22"/>
          <w:lang w:val="en-US"/>
        </w:rPr>
        <w:t>m</w:t>
      </w:r>
      <w:r w:rsidR="0070407E" w:rsidRPr="003A467B">
        <w:rPr>
          <w:szCs w:val="22"/>
        </w:rPr>
        <w:t>g</w:t>
      </w:r>
    </w:p>
    <w:p w:rsidR="00B9338D" w:rsidRPr="003A467B" w:rsidRDefault="00B9338D" w:rsidP="00AD3869">
      <w:pPr>
        <w:pStyle w:val="Para0s"/>
        <w:tabs>
          <w:tab w:val="left" w:pos="1418"/>
        </w:tabs>
        <w:jc w:val="both"/>
        <w:rPr>
          <w:szCs w:val="22"/>
        </w:rPr>
      </w:pPr>
    </w:p>
    <w:p w:rsidR="00B9338D" w:rsidRPr="003A467B" w:rsidRDefault="00B9338D" w:rsidP="00AD3869">
      <w:pPr>
        <w:pStyle w:val="Para0s"/>
        <w:tabs>
          <w:tab w:val="left" w:pos="1418"/>
        </w:tabs>
        <w:jc w:val="both"/>
        <w:rPr>
          <w:szCs w:val="22"/>
        </w:rPr>
      </w:pPr>
    </w:p>
    <w:p w:rsidR="0084183B" w:rsidRPr="003A467B" w:rsidRDefault="0084183B" w:rsidP="005A3402">
      <w:pPr>
        <w:pStyle w:val="1"/>
        <w:keepNext w:val="0"/>
        <w:widowControl/>
        <w:tabs>
          <w:tab w:val="clear" w:pos="567"/>
        </w:tabs>
        <w:ind w:left="0" w:firstLine="0"/>
        <w:jc w:val="both"/>
        <w:rPr>
          <w:szCs w:val="22"/>
        </w:rPr>
      </w:pPr>
      <w:r w:rsidRPr="003A467B">
        <w:rPr>
          <w:szCs w:val="22"/>
        </w:rPr>
        <w:t>2.</w:t>
      </w:r>
      <w:r w:rsidRPr="003A467B">
        <w:rPr>
          <w:szCs w:val="22"/>
        </w:rPr>
        <w:tab/>
        <w:t>ΠΟΙΟΤΙΚΗ ΚΑΙ ΠΟΣΟΤΙΚΗ ΣΥΝΘΕΣΗ</w:t>
      </w:r>
    </w:p>
    <w:p w:rsidR="00A1615E" w:rsidRDefault="00A1615E" w:rsidP="00AD3869">
      <w:pPr>
        <w:pStyle w:val="Para0s"/>
        <w:jc w:val="both"/>
        <w:rPr>
          <w:szCs w:val="22"/>
        </w:rPr>
      </w:pPr>
    </w:p>
    <w:p w:rsidR="0084183B" w:rsidRPr="003A467B" w:rsidRDefault="00A1615E" w:rsidP="00AD3869">
      <w:pPr>
        <w:pStyle w:val="Para0s"/>
        <w:jc w:val="both"/>
        <w:rPr>
          <w:szCs w:val="22"/>
        </w:rPr>
      </w:pPr>
      <w:r>
        <w:rPr>
          <w:szCs w:val="22"/>
        </w:rPr>
        <w:t>Κ</w:t>
      </w:r>
      <w:r w:rsidR="0084183B" w:rsidRPr="003A467B">
        <w:rPr>
          <w:szCs w:val="22"/>
        </w:rPr>
        <w:t>άθε δισκίο Yasmin</w:t>
      </w:r>
      <w:r w:rsidR="004746F4" w:rsidRPr="003A467B">
        <w:rPr>
          <w:b/>
          <w:szCs w:val="22"/>
          <w:vertAlign w:val="superscript"/>
        </w:rPr>
        <w:t>®</w:t>
      </w:r>
      <w:r w:rsidR="0084183B" w:rsidRPr="003A467B">
        <w:rPr>
          <w:szCs w:val="22"/>
        </w:rPr>
        <w:t xml:space="preserve"> περιέχει </w:t>
      </w:r>
      <w:r w:rsidR="009E32FB" w:rsidRPr="003A467B">
        <w:rPr>
          <w:szCs w:val="22"/>
        </w:rPr>
        <w:t xml:space="preserve">0,030 </w:t>
      </w:r>
      <w:r w:rsidR="009E32FB" w:rsidRPr="003A467B">
        <w:rPr>
          <w:szCs w:val="22"/>
          <w:lang w:val="en-US"/>
        </w:rPr>
        <w:t>m</w:t>
      </w:r>
      <w:r w:rsidR="009E32FB" w:rsidRPr="003A467B">
        <w:rPr>
          <w:szCs w:val="22"/>
        </w:rPr>
        <w:t xml:space="preserve">g αιθινυλοιστραδιόλης και </w:t>
      </w:r>
      <w:r w:rsidR="0084183B" w:rsidRPr="003A467B">
        <w:rPr>
          <w:szCs w:val="22"/>
        </w:rPr>
        <w:t>3 mg δροσπ</w:t>
      </w:r>
      <w:r>
        <w:rPr>
          <w:szCs w:val="22"/>
        </w:rPr>
        <w:t>ιρενόνης</w:t>
      </w:r>
      <w:r w:rsidR="0084183B" w:rsidRPr="003A467B">
        <w:rPr>
          <w:szCs w:val="22"/>
        </w:rPr>
        <w:t>.</w:t>
      </w:r>
    </w:p>
    <w:p w:rsidR="009E32FB" w:rsidRPr="003A467B" w:rsidRDefault="009E32FB" w:rsidP="00AD3869">
      <w:pPr>
        <w:pStyle w:val="Para0s"/>
        <w:jc w:val="both"/>
        <w:rPr>
          <w:szCs w:val="22"/>
        </w:rPr>
      </w:pPr>
      <w:r w:rsidRPr="003A467B">
        <w:rPr>
          <w:szCs w:val="22"/>
        </w:rPr>
        <w:t>Έκδοχο: λακτόζη 46 </w:t>
      </w:r>
      <w:r w:rsidRPr="003A467B">
        <w:rPr>
          <w:szCs w:val="22"/>
          <w:lang w:val="en-US"/>
        </w:rPr>
        <w:t>mg</w:t>
      </w:r>
    </w:p>
    <w:p w:rsidR="00315CE1" w:rsidRPr="003A467B" w:rsidRDefault="00315CE1" w:rsidP="00AD3869">
      <w:pPr>
        <w:pStyle w:val="Para0s"/>
        <w:jc w:val="both"/>
        <w:rPr>
          <w:szCs w:val="22"/>
        </w:rPr>
      </w:pPr>
    </w:p>
    <w:p w:rsidR="00B9338D" w:rsidRPr="00A1615E" w:rsidRDefault="0084183B" w:rsidP="00AD3869">
      <w:pPr>
        <w:pStyle w:val="Para0s"/>
        <w:jc w:val="both"/>
        <w:rPr>
          <w:szCs w:val="22"/>
        </w:rPr>
      </w:pPr>
      <w:r w:rsidRPr="003A467B">
        <w:rPr>
          <w:szCs w:val="22"/>
        </w:rPr>
        <w:t xml:space="preserve">Για </w:t>
      </w:r>
      <w:r w:rsidR="00315CE1" w:rsidRPr="003A467B">
        <w:rPr>
          <w:noProof/>
        </w:rPr>
        <w:t xml:space="preserve">τον πλήρη κατάλογο των εκδόχων, </w:t>
      </w:r>
      <w:r w:rsidRPr="003A467B">
        <w:rPr>
          <w:szCs w:val="22"/>
        </w:rPr>
        <w:t>βλ</w:t>
      </w:r>
      <w:r w:rsidR="00315CE1" w:rsidRPr="003A467B">
        <w:rPr>
          <w:szCs w:val="22"/>
        </w:rPr>
        <w:t>.</w:t>
      </w:r>
      <w:r w:rsidRPr="003A467B">
        <w:rPr>
          <w:szCs w:val="22"/>
        </w:rPr>
        <w:t xml:space="preserve"> παρ</w:t>
      </w:r>
      <w:r w:rsidR="00315CE1" w:rsidRPr="003A467B">
        <w:rPr>
          <w:szCs w:val="22"/>
        </w:rPr>
        <w:t>άγραφο</w:t>
      </w:r>
      <w:r w:rsidRPr="003A467B">
        <w:rPr>
          <w:szCs w:val="22"/>
        </w:rPr>
        <w:t xml:space="preserve"> 6.1</w:t>
      </w:r>
      <w:r w:rsidR="00A1615E">
        <w:rPr>
          <w:szCs w:val="22"/>
        </w:rPr>
        <w:t>.</w:t>
      </w:r>
    </w:p>
    <w:p w:rsidR="00A1615E" w:rsidRPr="00A1615E" w:rsidRDefault="00A1615E" w:rsidP="00AD3869">
      <w:pPr>
        <w:pStyle w:val="Para0s"/>
        <w:jc w:val="both"/>
        <w:rPr>
          <w:szCs w:val="22"/>
        </w:rPr>
      </w:pPr>
    </w:p>
    <w:p w:rsidR="0084183B" w:rsidRPr="003A467B" w:rsidRDefault="0084183B" w:rsidP="0005130A">
      <w:pPr>
        <w:pStyle w:val="1"/>
        <w:keepNext w:val="0"/>
        <w:widowControl/>
        <w:tabs>
          <w:tab w:val="clear" w:pos="567"/>
        </w:tabs>
        <w:ind w:left="0" w:firstLine="0"/>
        <w:jc w:val="both"/>
        <w:rPr>
          <w:szCs w:val="22"/>
        </w:rPr>
      </w:pPr>
      <w:r w:rsidRPr="003A467B">
        <w:rPr>
          <w:szCs w:val="22"/>
        </w:rPr>
        <w:t>3.</w:t>
      </w:r>
      <w:r w:rsidRPr="003A467B">
        <w:rPr>
          <w:szCs w:val="22"/>
        </w:rPr>
        <w:tab/>
        <w:t>ΦΑΡΜΑΚΟΤΕΧΝΙΚΗ ΜΟΡΦΗ</w:t>
      </w:r>
    </w:p>
    <w:p w:rsidR="004746F4" w:rsidRPr="003A467B" w:rsidRDefault="004746F4" w:rsidP="00AD3869">
      <w:pPr>
        <w:pStyle w:val="Para0s"/>
        <w:jc w:val="both"/>
        <w:rPr>
          <w:szCs w:val="22"/>
        </w:rPr>
      </w:pPr>
    </w:p>
    <w:p w:rsidR="0084183B" w:rsidRPr="003A467B" w:rsidRDefault="004746F4" w:rsidP="00AD3869">
      <w:pPr>
        <w:pStyle w:val="Para0s"/>
        <w:jc w:val="both"/>
        <w:rPr>
          <w:szCs w:val="22"/>
        </w:rPr>
      </w:pPr>
      <w:proofErr w:type="gramStart"/>
      <w:r w:rsidRPr="003A467B">
        <w:rPr>
          <w:szCs w:val="22"/>
          <w:lang w:val="en-US"/>
        </w:rPr>
        <w:t>E</w:t>
      </w:r>
      <w:r w:rsidR="0084183B" w:rsidRPr="003A467B">
        <w:rPr>
          <w:szCs w:val="22"/>
        </w:rPr>
        <w:t>πικαλυμμέν</w:t>
      </w:r>
      <w:r w:rsidRPr="003A467B">
        <w:rPr>
          <w:szCs w:val="22"/>
          <w:lang w:val="en-US"/>
        </w:rPr>
        <w:t>o</w:t>
      </w:r>
      <w:r w:rsidR="0084183B" w:rsidRPr="003A467B">
        <w:rPr>
          <w:szCs w:val="22"/>
        </w:rPr>
        <w:t xml:space="preserve"> με </w:t>
      </w:r>
      <w:r w:rsidRPr="003A467B">
        <w:rPr>
          <w:szCs w:val="22"/>
        </w:rPr>
        <w:t xml:space="preserve">λεπτό </w:t>
      </w:r>
      <w:r w:rsidR="0084183B" w:rsidRPr="003A467B">
        <w:rPr>
          <w:szCs w:val="22"/>
        </w:rPr>
        <w:t>υμένιο</w:t>
      </w:r>
      <w:r w:rsidRPr="003A467B">
        <w:rPr>
          <w:szCs w:val="22"/>
        </w:rPr>
        <w:t xml:space="preserve"> δισκίο</w:t>
      </w:r>
      <w:r w:rsidR="0084183B" w:rsidRPr="003A467B">
        <w:rPr>
          <w:szCs w:val="22"/>
        </w:rPr>
        <w:t>.</w:t>
      </w:r>
      <w:proofErr w:type="gramEnd"/>
    </w:p>
    <w:p w:rsidR="00690391" w:rsidRPr="003A467B" w:rsidRDefault="00690391" w:rsidP="00AD3869">
      <w:pPr>
        <w:pStyle w:val="Para0s"/>
        <w:jc w:val="both"/>
        <w:rPr>
          <w:szCs w:val="22"/>
        </w:rPr>
      </w:pPr>
    </w:p>
    <w:p w:rsidR="0084183B" w:rsidRPr="003A467B" w:rsidRDefault="0084183B" w:rsidP="00AD3869">
      <w:pPr>
        <w:pStyle w:val="Para0s"/>
        <w:jc w:val="both"/>
        <w:rPr>
          <w:szCs w:val="22"/>
        </w:rPr>
      </w:pPr>
      <w:r w:rsidRPr="003A467B">
        <w:rPr>
          <w:szCs w:val="22"/>
        </w:rPr>
        <w:t>Ανοιχτό κίτρινο, στρογγυλό δισκίο με κυρτές επιφάνειες, με ανάγλυφη την ένδειξη “</w:t>
      </w:r>
      <w:r w:rsidRPr="003A467B">
        <w:rPr>
          <w:szCs w:val="22"/>
          <w:lang w:val="en-US"/>
        </w:rPr>
        <w:t>DO</w:t>
      </w:r>
      <w:r w:rsidRPr="003A467B">
        <w:rPr>
          <w:szCs w:val="22"/>
        </w:rPr>
        <w:t xml:space="preserve">” μέσα σε </w:t>
      </w:r>
      <w:r w:rsidR="00E64E84">
        <w:rPr>
          <w:szCs w:val="22"/>
        </w:rPr>
        <w:t>τυπικό</w:t>
      </w:r>
      <w:r w:rsidRPr="003A467B">
        <w:rPr>
          <w:szCs w:val="22"/>
        </w:rPr>
        <w:t xml:space="preserve"> εξάγωνο στη μία πλευρά.</w:t>
      </w:r>
    </w:p>
    <w:p w:rsidR="00B9338D" w:rsidRPr="003A467B" w:rsidRDefault="00B9338D" w:rsidP="00AD3869">
      <w:pPr>
        <w:pStyle w:val="Para0s"/>
        <w:jc w:val="both"/>
        <w:rPr>
          <w:szCs w:val="22"/>
        </w:rPr>
      </w:pPr>
    </w:p>
    <w:p w:rsidR="00B9338D" w:rsidRPr="003A467B" w:rsidRDefault="00B9338D" w:rsidP="00AD3869">
      <w:pPr>
        <w:pStyle w:val="Para0s"/>
        <w:jc w:val="both"/>
        <w:rPr>
          <w:szCs w:val="22"/>
        </w:rPr>
      </w:pPr>
    </w:p>
    <w:p w:rsidR="0084183B" w:rsidRPr="003A467B" w:rsidRDefault="0084183B" w:rsidP="00AD3869">
      <w:pPr>
        <w:pStyle w:val="1"/>
        <w:keepNext w:val="0"/>
        <w:widowControl/>
        <w:ind w:left="0" w:firstLine="0"/>
        <w:jc w:val="both"/>
        <w:rPr>
          <w:szCs w:val="22"/>
        </w:rPr>
      </w:pPr>
      <w:r w:rsidRPr="003A467B">
        <w:rPr>
          <w:szCs w:val="22"/>
        </w:rPr>
        <w:t>4.</w:t>
      </w:r>
      <w:r w:rsidRPr="003A467B">
        <w:rPr>
          <w:szCs w:val="22"/>
        </w:rPr>
        <w:tab/>
        <w:t>ΚΛΙΝΙΚΕΣ ΠΛΗΡΟΦΟΡΙΕΣ</w:t>
      </w:r>
    </w:p>
    <w:p w:rsidR="00B9338D" w:rsidRPr="003A467B" w:rsidRDefault="00B9338D" w:rsidP="00B9338D">
      <w:pPr>
        <w:pStyle w:val="Para0s"/>
      </w:pPr>
    </w:p>
    <w:p w:rsidR="0084183B" w:rsidRPr="003A467B" w:rsidRDefault="0084183B" w:rsidP="00AD3869">
      <w:pPr>
        <w:pStyle w:val="2"/>
        <w:keepNext w:val="0"/>
        <w:ind w:left="0" w:firstLine="0"/>
        <w:jc w:val="both"/>
        <w:rPr>
          <w:szCs w:val="22"/>
        </w:rPr>
      </w:pPr>
      <w:r w:rsidRPr="003A467B">
        <w:rPr>
          <w:szCs w:val="22"/>
        </w:rPr>
        <w:t>4.1</w:t>
      </w:r>
      <w:r w:rsidRPr="003A467B">
        <w:rPr>
          <w:szCs w:val="22"/>
        </w:rPr>
        <w:tab/>
        <w:t>Θεραπευτικές ενδείξεις</w:t>
      </w:r>
    </w:p>
    <w:p w:rsidR="00255C70" w:rsidRPr="003A467B" w:rsidRDefault="00255C70" w:rsidP="00AD3869">
      <w:pPr>
        <w:pStyle w:val="Para0s"/>
        <w:jc w:val="both"/>
        <w:rPr>
          <w:szCs w:val="22"/>
        </w:rPr>
      </w:pPr>
    </w:p>
    <w:p w:rsidR="0084183B" w:rsidRPr="003A467B" w:rsidRDefault="0084183B" w:rsidP="00AD3869">
      <w:pPr>
        <w:pStyle w:val="Para0s"/>
        <w:jc w:val="both"/>
        <w:rPr>
          <w:szCs w:val="22"/>
        </w:rPr>
      </w:pPr>
      <w:r w:rsidRPr="003A467B">
        <w:rPr>
          <w:szCs w:val="22"/>
        </w:rPr>
        <w:t>Από του στόματος αντισύλληψη</w:t>
      </w:r>
    </w:p>
    <w:p w:rsidR="00B9338D" w:rsidRPr="003A467B" w:rsidRDefault="00B9338D"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4.2</w:t>
      </w:r>
      <w:r w:rsidRPr="003A467B">
        <w:rPr>
          <w:szCs w:val="22"/>
        </w:rPr>
        <w:tab/>
        <w:t>Δοσολογία και τρόπος χορήγησης</w:t>
      </w:r>
    </w:p>
    <w:p w:rsidR="007F0D1A" w:rsidRPr="003A467B" w:rsidRDefault="007F0D1A" w:rsidP="00AD3869">
      <w:pPr>
        <w:pStyle w:val="3"/>
        <w:keepNext w:val="0"/>
        <w:ind w:left="0" w:firstLine="0"/>
        <w:jc w:val="both"/>
        <w:rPr>
          <w:szCs w:val="22"/>
        </w:rPr>
      </w:pPr>
    </w:p>
    <w:p w:rsidR="00255C70" w:rsidRPr="003A467B" w:rsidRDefault="007F0D1A" w:rsidP="00AD3869">
      <w:pPr>
        <w:pStyle w:val="3"/>
        <w:keepNext w:val="0"/>
        <w:ind w:left="0" w:firstLine="0"/>
        <w:jc w:val="both"/>
        <w:rPr>
          <w:b w:val="0"/>
          <w:szCs w:val="22"/>
        </w:rPr>
      </w:pPr>
      <w:r w:rsidRPr="003A467B">
        <w:rPr>
          <w:b w:val="0"/>
          <w:szCs w:val="22"/>
        </w:rPr>
        <w:t>Οδός χορήγησης: από του στόματος χρήση</w:t>
      </w:r>
    </w:p>
    <w:p w:rsidR="007F0D1A" w:rsidRPr="003A467B" w:rsidRDefault="007F0D1A" w:rsidP="007F0D1A">
      <w:pPr>
        <w:pStyle w:val="Para0s"/>
      </w:pPr>
    </w:p>
    <w:p w:rsidR="0084183B" w:rsidRPr="003A467B" w:rsidRDefault="0084183B" w:rsidP="00AD3869">
      <w:pPr>
        <w:pStyle w:val="3"/>
        <w:keepNext w:val="0"/>
        <w:ind w:left="0" w:firstLine="0"/>
        <w:jc w:val="both"/>
        <w:rPr>
          <w:szCs w:val="22"/>
        </w:rPr>
      </w:pPr>
      <w:r w:rsidRPr="003A467B">
        <w:rPr>
          <w:szCs w:val="22"/>
        </w:rPr>
        <w:t>Πώς λαμβάνεται το Yasmin®</w:t>
      </w:r>
    </w:p>
    <w:p w:rsidR="0084183B" w:rsidRPr="003A467B" w:rsidRDefault="0084183B" w:rsidP="00AD3869">
      <w:pPr>
        <w:pStyle w:val="Para0s"/>
        <w:jc w:val="both"/>
        <w:rPr>
          <w:szCs w:val="22"/>
        </w:rPr>
      </w:pPr>
      <w:r w:rsidRPr="003A467B">
        <w:rPr>
          <w:szCs w:val="22"/>
        </w:rPr>
        <w:t xml:space="preserve">Τα δισκία πρέπει να λαμβάνονται καθημερινά περίπου την ίδια ώρα, αν χρειάζεται με λίγο υγρό και με τη σειρά που υποδεικνύεται στο </w:t>
      </w:r>
      <w:r w:rsidRPr="003A467B">
        <w:rPr>
          <w:szCs w:val="22"/>
          <w:lang w:val="en-US"/>
        </w:rPr>
        <w:t>blister</w:t>
      </w:r>
      <w:r w:rsidRPr="003A467B">
        <w:rPr>
          <w:szCs w:val="22"/>
        </w:rPr>
        <w:t>. Πρέπει να λαμβάνε</w:t>
      </w:r>
      <w:r w:rsidR="00255C70" w:rsidRPr="003A467B">
        <w:rPr>
          <w:szCs w:val="22"/>
        </w:rPr>
        <w:t>ται ένα δισκίο κάθε μέρα για 21 </w:t>
      </w:r>
      <w:r w:rsidR="00C42443" w:rsidRPr="003A467B">
        <w:rPr>
          <w:szCs w:val="22"/>
        </w:rPr>
        <w:t>συνεχόμενες</w:t>
      </w:r>
      <w:r w:rsidRPr="003A467B">
        <w:rPr>
          <w:szCs w:val="22"/>
        </w:rPr>
        <w:t xml:space="preserve"> ημέρες. Κάθε επόμενη συσκευασία ξεκινά μετά από 7ήμερο διάστημα κατά το οποίο δε λαμβάνονται δισκία και κατά τη διάρκεια του οποίου συνήθως εμφανίζεται αιμορραγία </w:t>
      </w:r>
      <w:r w:rsidR="00A1615E">
        <w:rPr>
          <w:szCs w:val="22"/>
        </w:rPr>
        <w:t xml:space="preserve">εκ </w:t>
      </w:r>
      <w:r w:rsidRPr="003A467B">
        <w:rPr>
          <w:szCs w:val="22"/>
        </w:rPr>
        <w:t>διακοπής. Η αιμορραγία συνήθως ξεκινά 2-3 ημέρες μετά το τελευταίο δισκίο και μπορεί να μην έχει σταματήσει πριν την έναρξη της επόμενης συσκευασίας.</w:t>
      </w:r>
    </w:p>
    <w:p w:rsidR="00255C70" w:rsidRPr="003A467B" w:rsidRDefault="00255C70" w:rsidP="00AD3869">
      <w:pPr>
        <w:pStyle w:val="3"/>
        <w:keepNext w:val="0"/>
        <w:widowControl/>
        <w:ind w:left="0" w:firstLine="0"/>
        <w:jc w:val="both"/>
        <w:rPr>
          <w:szCs w:val="22"/>
        </w:rPr>
      </w:pPr>
    </w:p>
    <w:p w:rsidR="0084183B" w:rsidRPr="003A467B" w:rsidRDefault="0084183B" w:rsidP="00AD3869">
      <w:pPr>
        <w:pStyle w:val="3"/>
        <w:keepNext w:val="0"/>
        <w:widowControl/>
        <w:ind w:left="0" w:firstLine="0"/>
        <w:jc w:val="both"/>
        <w:rPr>
          <w:szCs w:val="22"/>
        </w:rPr>
      </w:pPr>
      <w:r w:rsidRPr="003A467B">
        <w:rPr>
          <w:szCs w:val="22"/>
        </w:rPr>
        <w:t>Πώς γίνεται η έναρξη λήψης του Yasmin®</w:t>
      </w:r>
    </w:p>
    <w:p w:rsidR="0084183B" w:rsidRPr="00A1615E" w:rsidRDefault="00255C70" w:rsidP="00AD3869">
      <w:pPr>
        <w:pStyle w:val="Bullet0dKT"/>
        <w:tabs>
          <w:tab w:val="clear" w:pos="567"/>
          <w:tab w:val="num" w:pos="284"/>
        </w:tabs>
        <w:ind w:left="284" w:hanging="284"/>
        <w:jc w:val="both"/>
        <w:rPr>
          <w:szCs w:val="22"/>
        </w:rPr>
      </w:pPr>
      <w:r w:rsidRPr="003A467B">
        <w:rPr>
          <w:szCs w:val="22"/>
        </w:rPr>
        <w:t>Όταν</w:t>
      </w:r>
      <w:r w:rsidR="0084183B" w:rsidRPr="003A467B">
        <w:rPr>
          <w:szCs w:val="22"/>
        </w:rPr>
        <w:t xml:space="preserve"> δεν έχει προηγηθεί χρήση ορμονικής αντισύλληψης (κατά τον προηγούμενο μήνα)</w:t>
      </w:r>
    </w:p>
    <w:p w:rsidR="00A1615E" w:rsidRDefault="00A1615E" w:rsidP="00AD3869">
      <w:pPr>
        <w:pStyle w:val="Para0s"/>
        <w:jc w:val="both"/>
        <w:rPr>
          <w:szCs w:val="22"/>
          <w:lang w:val="en-US"/>
        </w:rPr>
      </w:pPr>
    </w:p>
    <w:p w:rsidR="0084183B" w:rsidRPr="003A467B" w:rsidRDefault="0084183B" w:rsidP="00AD3869">
      <w:pPr>
        <w:pStyle w:val="Para0s"/>
        <w:jc w:val="both"/>
        <w:rPr>
          <w:szCs w:val="22"/>
        </w:rPr>
      </w:pPr>
      <w:r w:rsidRPr="003A467B">
        <w:rPr>
          <w:szCs w:val="22"/>
        </w:rPr>
        <w:t xml:space="preserve">Η λήψη των δισκίων πρέπει να αρχίσει την 1η ημέρα του φυσιολογικού κύκλου της γυναίκας (δηλ. την πρώτη ημέρα της </w:t>
      </w:r>
      <w:r w:rsidR="00432999" w:rsidRPr="003A467B">
        <w:rPr>
          <w:szCs w:val="22"/>
        </w:rPr>
        <w:t xml:space="preserve">έμμηνης ρήσης της </w:t>
      </w:r>
      <w:r w:rsidRPr="003A467B">
        <w:rPr>
          <w:szCs w:val="22"/>
        </w:rPr>
        <w:t xml:space="preserve">). </w:t>
      </w:r>
    </w:p>
    <w:p w:rsidR="00255C70" w:rsidRPr="003A467B" w:rsidRDefault="00255C70" w:rsidP="00AD3869">
      <w:pPr>
        <w:pStyle w:val="Para0s"/>
        <w:jc w:val="both"/>
        <w:rPr>
          <w:szCs w:val="22"/>
        </w:rPr>
      </w:pPr>
    </w:p>
    <w:p w:rsidR="0084183B" w:rsidRPr="00A1615E" w:rsidRDefault="0084183B" w:rsidP="00AD3869">
      <w:pPr>
        <w:pStyle w:val="Bullet0dKT"/>
        <w:numPr>
          <w:ilvl w:val="0"/>
          <w:numId w:val="1"/>
        </w:numPr>
        <w:tabs>
          <w:tab w:val="clear" w:pos="360"/>
          <w:tab w:val="num" w:pos="284"/>
        </w:tabs>
        <w:ind w:left="0" w:firstLine="0"/>
        <w:jc w:val="both"/>
        <w:rPr>
          <w:szCs w:val="22"/>
        </w:rPr>
      </w:pPr>
      <w:r w:rsidRPr="003A467B">
        <w:rPr>
          <w:szCs w:val="22"/>
        </w:rPr>
        <w:t xml:space="preserve">Αλλάζοντας από </w:t>
      </w:r>
      <w:r w:rsidR="00260120">
        <w:rPr>
          <w:szCs w:val="22"/>
        </w:rPr>
        <w:t>ένα</w:t>
      </w:r>
      <w:r w:rsidR="00432999" w:rsidRPr="003A467B">
        <w:rPr>
          <w:szCs w:val="22"/>
        </w:rPr>
        <w:t xml:space="preserve"> </w:t>
      </w:r>
      <w:r w:rsidR="00027E18">
        <w:rPr>
          <w:szCs w:val="22"/>
        </w:rPr>
        <w:t>ορμονικό αντισυλληπτικό</w:t>
      </w:r>
      <w:r w:rsidR="00432999" w:rsidRPr="003A467B">
        <w:rPr>
          <w:szCs w:val="22"/>
        </w:rPr>
        <w:t xml:space="preserve"> συνδυασμού</w:t>
      </w:r>
      <w:r w:rsidRPr="003A467B">
        <w:rPr>
          <w:szCs w:val="22"/>
        </w:rPr>
        <w:t xml:space="preserve"> </w:t>
      </w:r>
      <w:r w:rsidR="00432999" w:rsidRPr="003A467B">
        <w:rPr>
          <w:szCs w:val="22"/>
        </w:rPr>
        <w:t>(</w:t>
      </w:r>
      <w:r w:rsidRPr="003A467B">
        <w:rPr>
          <w:szCs w:val="22"/>
        </w:rPr>
        <w:t>συνδυασμένο από του στόματος αντισυλληπτικό (COC)</w:t>
      </w:r>
      <w:r w:rsidR="003A3CA2" w:rsidRPr="003A467B">
        <w:rPr>
          <w:szCs w:val="22"/>
        </w:rPr>
        <w:t>, κολπικό δακτύλιο ή δι</w:t>
      </w:r>
      <w:r w:rsidR="00432999" w:rsidRPr="003A467B">
        <w:rPr>
          <w:szCs w:val="22"/>
        </w:rPr>
        <w:t>αδερμικό έμπλαστρο)</w:t>
      </w:r>
    </w:p>
    <w:p w:rsidR="00A1615E" w:rsidRPr="003A467B" w:rsidRDefault="00A1615E" w:rsidP="00A1615E">
      <w:pPr>
        <w:pStyle w:val="Bullet0dKT"/>
        <w:numPr>
          <w:ilvl w:val="0"/>
          <w:numId w:val="0"/>
        </w:numPr>
        <w:jc w:val="both"/>
        <w:rPr>
          <w:szCs w:val="22"/>
        </w:rPr>
      </w:pPr>
    </w:p>
    <w:p w:rsidR="00255C70" w:rsidRDefault="0084183B" w:rsidP="00AD3869">
      <w:pPr>
        <w:pStyle w:val="Para0s"/>
        <w:jc w:val="both"/>
        <w:rPr>
          <w:szCs w:val="22"/>
          <w:lang w:val="en-US"/>
        </w:rPr>
      </w:pPr>
      <w:r w:rsidRPr="003A467B">
        <w:rPr>
          <w:szCs w:val="22"/>
        </w:rPr>
        <w:t>Η γυναίκα πρέπει να ξεκινήσει τα δισκία Yasmin</w:t>
      </w:r>
      <w:r w:rsidR="00255C70" w:rsidRPr="003A467B">
        <w:rPr>
          <w:b/>
          <w:szCs w:val="22"/>
          <w:vertAlign w:val="superscript"/>
        </w:rPr>
        <w:t>®</w:t>
      </w:r>
      <w:r w:rsidRPr="003A467B">
        <w:rPr>
          <w:szCs w:val="22"/>
        </w:rPr>
        <w:t xml:space="preserve"> </w:t>
      </w:r>
      <w:r w:rsidR="00432999" w:rsidRPr="003A467B">
        <w:rPr>
          <w:szCs w:val="22"/>
        </w:rPr>
        <w:t xml:space="preserve">κατά προτίμηση </w:t>
      </w:r>
      <w:r w:rsidR="003A467B">
        <w:rPr>
          <w:szCs w:val="22"/>
        </w:rPr>
        <w:t>την ημέρα</w:t>
      </w:r>
      <w:r w:rsidR="00432999" w:rsidRPr="003A467B">
        <w:rPr>
          <w:szCs w:val="22"/>
        </w:rPr>
        <w:t xml:space="preserve"> μετά το τελευταίο δραστι</w:t>
      </w:r>
      <w:r w:rsidR="003A467B">
        <w:rPr>
          <w:szCs w:val="22"/>
        </w:rPr>
        <w:t>κό δισκίο (το τελευταίο</w:t>
      </w:r>
      <w:r w:rsidR="00432999" w:rsidRPr="003A467B">
        <w:rPr>
          <w:szCs w:val="22"/>
        </w:rPr>
        <w:t xml:space="preserve"> δισκίο</w:t>
      </w:r>
      <w:r w:rsidR="00CE3C4B">
        <w:rPr>
          <w:szCs w:val="22"/>
        </w:rPr>
        <w:t xml:space="preserve"> που</w:t>
      </w:r>
      <w:r w:rsidR="00432999" w:rsidRPr="003A467B">
        <w:rPr>
          <w:szCs w:val="22"/>
        </w:rPr>
        <w:t xml:space="preserve"> περιέχει τις δραστικές ουσίες) του προηγούμενου συνδυασμένου από του στόματος αντισυλληπτικού</w:t>
      </w:r>
      <w:r w:rsidR="00E53E1C">
        <w:rPr>
          <w:szCs w:val="22"/>
        </w:rPr>
        <w:t>,</w:t>
      </w:r>
      <w:r w:rsidR="00432999" w:rsidRPr="003A467B">
        <w:rPr>
          <w:szCs w:val="22"/>
        </w:rPr>
        <w:t xml:space="preserve"> αλλά το αργότερο την ημέρα που ακολουθεί το ελεύθερο δισκίων διάστημα ή το διάστημα των αδρανών δισκίων του προηγούμενου από του στόματος αντισυλληπτικού. Στην περίπτωση που κολπικός δακτύλιος ή διαδερμικό έμπλαστρο έχει </w:t>
      </w:r>
      <w:r w:rsidR="00432999" w:rsidRPr="003A467B">
        <w:rPr>
          <w:szCs w:val="22"/>
        </w:rPr>
        <w:lastRenderedPageBreak/>
        <w:t xml:space="preserve">χρησιμοποιηθεί </w:t>
      </w:r>
      <w:r w:rsidR="00260120">
        <w:rPr>
          <w:szCs w:val="22"/>
        </w:rPr>
        <w:t>η</w:t>
      </w:r>
      <w:r w:rsidR="00432999" w:rsidRPr="003A467B">
        <w:rPr>
          <w:szCs w:val="22"/>
        </w:rPr>
        <w:t xml:space="preserve"> γυναίκα θα πρέπει να ξεκινήσει να χρησιμοποιεί το </w:t>
      </w:r>
      <w:r w:rsidR="00432999" w:rsidRPr="003A467B">
        <w:rPr>
          <w:szCs w:val="22"/>
          <w:lang w:val="en-US"/>
        </w:rPr>
        <w:t>Yasmin</w:t>
      </w:r>
      <w:r w:rsidR="00432999" w:rsidRPr="003A467B">
        <w:rPr>
          <w:szCs w:val="22"/>
        </w:rPr>
        <w:t xml:space="preserve"> κατά προτίμηση την ημέρα της αφαίρεσης, αλλά το αργότερο στην επόμενη προγραμματισμένη εφαρμογή του.   </w:t>
      </w:r>
    </w:p>
    <w:p w:rsidR="00A1615E" w:rsidRPr="00A1615E" w:rsidRDefault="00A1615E" w:rsidP="00AD3869">
      <w:pPr>
        <w:pStyle w:val="Para0s"/>
        <w:jc w:val="both"/>
        <w:rPr>
          <w:szCs w:val="22"/>
          <w:lang w:val="en-US"/>
        </w:rPr>
      </w:pPr>
    </w:p>
    <w:p w:rsidR="0084183B" w:rsidRDefault="0084183B" w:rsidP="00AD3869">
      <w:pPr>
        <w:pStyle w:val="Bullet0dKT"/>
        <w:numPr>
          <w:ilvl w:val="0"/>
          <w:numId w:val="2"/>
        </w:numPr>
        <w:tabs>
          <w:tab w:val="clear" w:pos="360"/>
          <w:tab w:val="num" w:pos="284"/>
        </w:tabs>
        <w:ind w:left="284" w:hanging="284"/>
        <w:jc w:val="both"/>
        <w:rPr>
          <w:szCs w:val="22"/>
        </w:rPr>
      </w:pPr>
      <w:r w:rsidRPr="003A467B">
        <w:rPr>
          <w:szCs w:val="22"/>
        </w:rPr>
        <w:t xml:space="preserve">Αλλάζοντας από μια μέθοδο που περιέχει μόνο </w:t>
      </w:r>
      <w:r w:rsidR="00E64E84">
        <w:rPr>
          <w:szCs w:val="22"/>
        </w:rPr>
        <w:t>προγεσταγόνο</w:t>
      </w:r>
      <w:r w:rsidRPr="003A467B">
        <w:rPr>
          <w:szCs w:val="22"/>
        </w:rPr>
        <w:t xml:space="preserve"> (</w:t>
      </w:r>
      <w:bookmarkStart w:id="0" w:name="OLE_LINK1"/>
      <w:bookmarkStart w:id="1" w:name="OLE_LINK2"/>
      <w:r w:rsidR="004315B5" w:rsidRPr="003A467B">
        <w:rPr>
          <w:szCs w:val="22"/>
        </w:rPr>
        <w:t>χάπι που περιέχει μόνο προγεστ</w:t>
      </w:r>
      <w:r w:rsidR="00473CC3" w:rsidRPr="003A467B">
        <w:rPr>
          <w:szCs w:val="22"/>
        </w:rPr>
        <w:t>αγόνο</w:t>
      </w:r>
      <w:bookmarkEnd w:id="0"/>
      <w:bookmarkEnd w:id="1"/>
      <w:r w:rsidRPr="003A467B">
        <w:rPr>
          <w:szCs w:val="22"/>
        </w:rPr>
        <w:t>, ενέσιμο, εμφύτευμα)</w:t>
      </w:r>
      <w:r w:rsidR="003E6952">
        <w:rPr>
          <w:szCs w:val="22"/>
        </w:rPr>
        <w:t xml:space="preserve"> ή από</w:t>
      </w:r>
      <w:r w:rsidR="00073861" w:rsidRPr="003A467B">
        <w:rPr>
          <w:szCs w:val="22"/>
        </w:rPr>
        <w:t xml:space="preserve"> μία</w:t>
      </w:r>
      <w:r w:rsidR="00DD0A2E" w:rsidRPr="003A467B">
        <w:rPr>
          <w:szCs w:val="22"/>
        </w:rPr>
        <w:t xml:space="preserve"> ενδομήτρι</w:t>
      </w:r>
      <w:r w:rsidR="00073861" w:rsidRPr="003A467B">
        <w:rPr>
          <w:szCs w:val="22"/>
        </w:rPr>
        <w:t>α</w:t>
      </w:r>
      <w:r w:rsidR="00DD0A2E" w:rsidRPr="003A467B">
        <w:rPr>
          <w:szCs w:val="22"/>
        </w:rPr>
        <w:t xml:space="preserve"> </w:t>
      </w:r>
      <w:r w:rsidR="00073861" w:rsidRPr="003A467B">
        <w:rPr>
          <w:szCs w:val="22"/>
        </w:rPr>
        <w:t xml:space="preserve">συσκευή </w:t>
      </w:r>
      <w:r w:rsidR="00DD0A2E" w:rsidRPr="003A467B">
        <w:rPr>
          <w:szCs w:val="22"/>
        </w:rPr>
        <w:t>απελευθέρωσης προγεσταγόνου (</w:t>
      </w:r>
      <w:r w:rsidR="00DD0A2E" w:rsidRPr="003A467B">
        <w:rPr>
          <w:szCs w:val="22"/>
          <w:lang w:val="en-US"/>
        </w:rPr>
        <w:t>IUS</w:t>
      </w:r>
      <w:r w:rsidR="00DD0A2E" w:rsidRPr="003A467B">
        <w:rPr>
          <w:szCs w:val="22"/>
        </w:rPr>
        <w:t>)</w:t>
      </w:r>
    </w:p>
    <w:p w:rsidR="003A467B" w:rsidRPr="003A467B" w:rsidRDefault="003A467B" w:rsidP="00A1615E">
      <w:pPr>
        <w:pStyle w:val="Bullet0dKT"/>
        <w:numPr>
          <w:ilvl w:val="0"/>
          <w:numId w:val="0"/>
        </w:numPr>
        <w:jc w:val="both"/>
        <w:rPr>
          <w:szCs w:val="22"/>
        </w:rPr>
      </w:pPr>
    </w:p>
    <w:p w:rsidR="0084183B" w:rsidRPr="003A467B" w:rsidRDefault="0084183B" w:rsidP="00AD3869">
      <w:pPr>
        <w:pStyle w:val="Para0s"/>
        <w:jc w:val="both"/>
        <w:rPr>
          <w:szCs w:val="22"/>
        </w:rPr>
      </w:pPr>
      <w:r w:rsidRPr="003A467B">
        <w:rPr>
          <w:szCs w:val="22"/>
        </w:rPr>
        <w:t xml:space="preserve">Η γυναίκα μπορεί να μεταφερθεί οποιαδήποτε ημέρα από το </w:t>
      </w:r>
      <w:r w:rsidR="007C575F" w:rsidRPr="003A467B">
        <w:rPr>
          <w:szCs w:val="22"/>
        </w:rPr>
        <w:t xml:space="preserve">χάπι που περιέχει μόνο προγεσταγόνο </w:t>
      </w:r>
      <w:r w:rsidRPr="003A467B">
        <w:rPr>
          <w:szCs w:val="22"/>
        </w:rPr>
        <w:t xml:space="preserve">στο </w:t>
      </w:r>
      <w:r w:rsidRPr="003A467B">
        <w:rPr>
          <w:szCs w:val="22"/>
          <w:lang w:val="en-US"/>
        </w:rPr>
        <w:t>Yasmin</w:t>
      </w:r>
      <w:r w:rsidR="00255C70" w:rsidRPr="003A467B">
        <w:rPr>
          <w:b/>
          <w:szCs w:val="22"/>
          <w:vertAlign w:val="superscript"/>
        </w:rPr>
        <w:t>®</w:t>
      </w:r>
      <w:r w:rsidRPr="003A467B">
        <w:rPr>
          <w:szCs w:val="22"/>
        </w:rPr>
        <w:t xml:space="preserve"> (ένα εμφύτευμα </w:t>
      </w:r>
      <w:r w:rsidR="00DD0A2E" w:rsidRPr="003A467B">
        <w:rPr>
          <w:szCs w:val="22"/>
        </w:rPr>
        <w:t xml:space="preserve">ή </w:t>
      </w:r>
      <w:r w:rsidR="00432999" w:rsidRPr="003A467B">
        <w:rPr>
          <w:szCs w:val="22"/>
        </w:rPr>
        <w:t>μία</w:t>
      </w:r>
      <w:r w:rsidR="00DD0A2E" w:rsidRPr="003A467B">
        <w:rPr>
          <w:szCs w:val="22"/>
        </w:rPr>
        <w:t xml:space="preserve"> ενδομήτρι</w:t>
      </w:r>
      <w:r w:rsidR="00432999" w:rsidRPr="003A467B">
        <w:rPr>
          <w:szCs w:val="22"/>
        </w:rPr>
        <w:t xml:space="preserve">α συσκευή </w:t>
      </w:r>
      <w:r w:rsidRPr="003A467B">
        <w:rPr>
          <w:szCs w:val="22"/>
        </w:rPr>
        <w:t>την ημέρα της αφαίρεσής του, το ενέσιμο όταν έχει προγραμματιστεί η επόμενη ένεση)</w:t>
      </w:r>
      <w:r w:rsidR="00DD0A2E" w:rsidRPr="003A467B">
        <w:rPr>
          <w:szCs w:val="22"/>
        </w:rPr>
        <w:t xml:space="preserve">, αλλά σε όλες αυτές τις περιπτώσεις </w:t>
      </w:r>
      <w:r w:rsidR="00E64E84">
        <w:rPr>
          <w:szCs w:val="22"/>
        </w:rPr>
        <w:t xml:space="preserve">θα </w:t>
      </w:r>
      <w:r w:rsidR="00DD0A2E" w:rsidRPr="003A467B">
        <w:rPr>
          <w:szCs w:val="22"/>
        </w:rPr>
        <w:t xml:space="preserve">πρέπει να της </w:t>
      </w:r>
      <w:r w:rsidR="00E64E84">
        <w:rPr>
          <w:szCs w:val="22"/>
        </w:rPr>
        <w:t>συστήνεται</w:t>
      </w:r>
      <w:r w:rsidR="00432999" w:rsidRPr="003A467B">
        <w:rPr>
          <w:szCs w:val="22"/>
        </w:rPr>
        <w:t xml:space="preserve"> </w:t>
      </w:r>
      <w:r w:rsidR="00DD0A2E" w:rsidRPr="003A467B">
        <w:rPr>
          <w:szCs w:val="22"/>
        </w:rPr>
        <w:t>να χρησιμοποιεί επιπλέον μέθοδο φραγμού κατά τις πρώτες 7 ημέρες λήψης των δισκίων</w:t>
      </w:r>
      <w:r w:rsidRPr="003A467B">
        <w:rPr>
          <w:szCs w:val="22"/>
        </w:rPr>
        <w:t>.</w:t>
      </w:r>
    </w:p>
    <w:p w:rsidR="00074408" w:rsidRPr="003A467B" w:rsidRDefault="00074408" w:rsidP="00AD3869">
      <w:pPr>
        <w:pStyle w:val="Para0s"/>
        <w:jc w:val="both"/>
        <w:rPr>
          <w:szCs w:val="22"/>
        </w:rPr>
      </w:pPr>
    </w:p>
    <w:p w:rsidR="0084183B" w:rsidRDefault="0084183B" w:rsidP="00AD3869">
      <w:pPr>
        <w:pStyle w:val="Bullet0dKT"/>
        <w:numPr>
          <w:ilvl w:val="0"/>
          <w:numId w:val="3"/>
        </w:numPr>
        <w:ind w:left="0" w:firstLine="0"/>
        <w:jc w:val="both"/>
        <w:rPr>
          <w:szCs w:val="22"/>
        </w:rPr>
      </w:pPr>
      <w:r w:rsidRPr="003A467B">
        <w:rPr>
          <w:szCs w:val="22"/>
        </w:rPr>
        <w:t>Μετά από έκτρωση πρώτου τριμήνου</w:t>
      </w:r>
    </w:p>
    <w:p w:rsidR="001F1A91" w:rsidRPr="003A467B" w:rsidRDefault="001F1A91" w:rsidP="001F1A91">
      <w:pPr>
        <w:pStyle w:val="Bullet0dKT"/>
        <w:numPr>
          <w:ilvl w:val="0"/>
          <w:numId w:val="0"/>
        </w:numPr>
        <w:jc w:val="both"/>
        <w:rPr>
          <w:szCs w:val="22"/>
        </w:rPr>
      </w:pPr>
    </w:p>
    <w:p w:rsidR="0084183B" w:rsidRPr="003A467B" w:rsidRDefault="0084183B" w:rsidP="00AD3869">
      <w:pPr>
        <w:pStyle w:val="Para0s"/>
        <w:jc w:val="both"/>
        <w:rPr>
          <w:szCs w:val="22"/>
        </w:rPr>
      </w:pPr>
      <w:r w:rsidRPr="003A467B">
        <w:rPr>
          <w:szCs w:val="22"/>
        </w:rPr>
        <w:t>Η γυναίκα μπορεί να ξεκινήσει αμέσως.</w:t>
      </w:r>
      <w:r w:rsidR="005A44E3" w:rsidRPr="003A467B">
        <w:rPr>
          <w:szCs w:val="22"/>
        </w:rPr>
        <w:t xml:space="preserve"> </w:t>
      </w:r>
      <w:r w:rsidRPr="003A467B">
        <w:rPr>
          <w:szCs w:val="22"/>
        </w:rPr>
        <w:t>Δε χρειάζονται επιπλέον αντισυλληπτικά μέτρα.</w:t>
      </w:r>
    </w:p>
    <w:p w:rsidR="00255C70" w:rsidRPr="003A467B" w:rsidRDefault="00255C70" w:rsidP="00AD3869">
      <w:pPr>
        <w:pStyle w:val="Para0s"/>
        <w:jc w:val="both"/>
        <w:rPr>
          <w:szCs w:val="22"/>
        </w:rPr>
      </w:pPr>
    </w:p>
    <w:p w:rsidR="0084183B" w:rsidRDefault="0084183B" w:rsidP="00AD3869">
      <w:pPr>
        <w:pStyle w:val="Bullet0dKT"/>
        <w:numPr>
          <w:ilvl w:val="0"/>
          <w:numId w:val="4"/>
        </w:numPr>
        <w:ind w:left="0" w:firstLine="0"/>
        <w:jc w:val="both"/>
        <w:rPr>
          <w:szCs w:val="22"/>
        </w:rPr>
      </w:pPr>
      <w:r w:rsidRPr="003A467B">
        <w:rPr>
          <w:szCs w:val="22"/>
        </w:rPr>
        <w:t>Μετά από τοκετό ή έκτρωση δεύτερου τριμήνου</w:t>
      </w:r>
    </w:p>
    <w:p w:rsidR="001F1A91" w:rsidRPr="003A467B" w:rsidRDefault="001F1A91" w:rsidP="001F1A91">
      <w:pPr>
        <w:pStyle w:val="Bullet0dKT"/>
        <w:numPr>
          <w:ilvl w:val="0"/>
          <w:numId w:val="0"/>
        </w:numPr>
        <w:jc w:val="both"/>
        <w:rPr>
          <w:szCs w:val="22"/>
        </w:rPr>
      </w:pPr>
    </w:p>
    <w:p w:rsidR="0084183B" w:rsidRPr="003A467B" w:rsidRDefault="0084183B" w:rsidP="00AD3869">
      <w:pPr>
        <w:pStyle w:val="Para0s"/>
        <w:jc w:val="both"/>
        <w:rPr>
          <w:szCs w:val="22"/>
        </w:rPr>
      </w:pPr>
      <w:r w:rsidRPr="003A467B">
        <w:rPr>
          <w:szCs w:val="22"/>
        </w:rPr>
        <w:t>Η γυναίκα πρέπει να συμβουλεύεται να αρχίζει την 21η έως 28η ημέρα μετά τον τοκετό ή την έκτρωση δεύτερου τριμήνου. Εάν ξεκινήσει αργότερα, πρέπει να της δίνεται η συμβουλή να χρησιμοποιεί επιπλέον μέθοδο φραγμού κατά τις πρώτες 7 ημέρες. Ωστόσο, σε περίπτωση που έχει προηγηθεί σεξουαλική επαφή,</w:t>
      </w:r>
      <w:r w:rsidR="005A44E3" w:rsidRPr="003A467B">
        <w:rPr>
          <w:szCs w:val="22"/>
        </w:rPr>
        <w:t xml:space="preserve"> </w:t>
      </w:r>
      <w:r w:rsidRPr="003A467B">
        <w:rPr>
          <w:szCs w:val="22"/>
        </w:rPr>
        <w:t>πρέπει να αποκλειστεί η εγκυμοσύνη πριν την έναρξη χρήσης συνδυασμένου από του στόματος αντισυλληπτικού, διαφορετικά η γυναίκα θα πρέπει να περιμένει την πρώτη της εμμηνορρυσία.</w:t>
      </w:r>
    </w:p>
    <w:p w:rsidR="00255C70" w:rsidRPr="003A467B" w:rsidRDefault="00255C70" w:rsidP="00AD3869">
      <w:pPr>
        <w:pStyle w:val="Para0s"/>
        <w:jc w:val="both"/>
        <w:rPr>
          <w:szCs w:val="22"/>
        </w:rPr>
      </w:pPr>
    </w:p>
    <w:p w:rsidR="0084183B" w:rsidRPr="003A467B" w:rsidRDefault="0084183B" w:rsidP="00AD3869">
      <w:pPr>
        <w:pStyle w:val="Para0s"/>
        <w:jc w:val="both"/>
        <w:rPr>
          <w:szCs w:val="22"/>
        </w:rPr>
      </w:pPr>
      <w:r w:rsidRPr="003A467B">
        <w:rPr>
          <w:szCs w:val="22"/>
        </w:rPr>
        <w:t>Για τ</w:t>
      </w:r>
      <w:r w:rsidR="001F1A91">
        <w:rPr>
          <w:szCs w:val="22"/>
        </w:rPr>
        <w:t>ις γαλουχούσες γυναίκες βλ. παράγραφο</w:t>
      </w:r>
      <w:r w:rsidRPr="003A467B">
        <w:rPr>
          <w:szCs w:val="22"/>
        </w:rPr>
        <w:t xml:space="preserve"> 4.6.</w:t>
      </w:r>
    </w:p>
    <w:p w:rsidR="00255C70" w:rsidRPr="003A467B" w:rsidRDefault="00255C70" w:rsidP="00AD3869">
      <w:pPr>
        <w:pStyle w:val="Para0s"/>
        <w:jc w:val="both"/>
        <w:rPr>
          <w:szCs w:val="22"/>
        </w:rPr>
      </w:pPr>
    </w:p>
    <w:p w:rsidR="0084183B" w:rsidRPr="003A467B" w:rsidRDefault="0084183B" w:rsidP="00AD3869">
      <w:pPr>
        <w:pStyle w:val="3"/>
        <w:keepNext w:val="0"/>
        <w:widowControl/>
        <w:ind w:left="0" w:firstLine="0"/>
        <w:jc w:val="both"/>
        <w:rPr>
          <w:szCs w:val="22"/>
        </w:rPr>
      </w:pPr>
      <w:r w:rsidRPr="003A467B">
        <w:rPr>
          <w:szCs w:val="22"/>
        </w:rPr>
        <w:t>Αντιμετώπιση της παράλειψης δισκίων</w:t>
      </w:r>
    </w:p>
    <w:p w:rsidR="0084183B" w:rsidRPr="003A467B" w:rsidRDefault="0084183B" w:rsidP="00AD3869">
      <w:pPr>
        <w:pStyle w:val="Para0s"/>
        <w:jc w:val="both"/>
        <w:rPr>
          <w:szCs w:val="22"/>
        </w:rPr>
      </w:pPr>
      <w:r w:rsidRPr="003A467B">
        <w:rPr>
          <w:szCs w:val="22"/>
        </w:rPr>
        <w:t xml:space="preserve">Εάν η χρήστρια καθυστερήσει </w:t>
      </w:r>
      <w:r w:rsidRPr="003A467B">
        <w:rPr>
          <w:b/>
          <w:szCs w:val="22"/>
        </w:rPr>
        <w:t>λιγότερο από 12</w:t>
      </w:r>
      <w:r w:rsidR="00255C70" w:rsidRPr="003A467B">
        <w:rPr>
          <w:b/>
          <w:szCs w:val="22"/>
        </w:rPr>
        <w:t> </w:t>
      </w:r>
      <w:r w:rsidRPr="003A467B">
        <w:rPr>
          <w:b/>
          <w:szCs w:val="22"/>
        </w:rPr>
        <w:t xml:space="preserve">ώρες </w:t>
      </w:r>
      <w:r w:rsidRPr="003A467B">
        <w:rPr>
          <w:szCs w:val="22"/>
        </w:rPr>
        <w:t>να πάρει ένα δισκίο, η αντισυλληπτική προστασία δε</w:t>
      </w:r>
      <w:r w:rsidR="00AB47F3">
        <w:rPr>
          <w:szCs w:val="22"/>
        </w:rPr>
        <w:t>ν</w:t>
      </w:r>
      <w:r w:rsidRPr="003A467B">
        <w:rPr>
          <w:szCs w:val="22"/>
        </w:rPr>
        <w:t xml:space="preserve"> μειώνεται. Η γυναίκα πρέπει να πάρει το δισκίο μόλις το θυμηθεί και να πάρει τα επόμενα δισκία τη συνηθισμένη ώρα.</w:t>
      </w:r>
    </w:p>
    <w:p w:rsidR="00255C70" w:rsidRPr="003A467B" w:rsidRDefault="00255C70" w:rsidP="00AD3869">
      <w:pPr>
        <w:pStyle w:val="Para0s"/>
        <w:jc w:val="both"/>
        <w:rPr>
          <w:szCs w:val="22"/>
        </w:rPr>
      </w:pPr>
    </w:p>
    <w:p w:rsidR="0084183B" w:rsidRDefault="0084183B" w:rsidP="00AD3869">
      <w:pPr>
        <w:pStyle w:val="Para0s"/>
        <w:jc w:val="both"/>
        <w:rPr>
          <w:szCs w:val="22"/>
        </w:rPr>
      </w:pPr>
      <w:r w:rsidRPr="003A467B">
        <w:rPr>
          <w:szCs w:val="22"/>
        </w:rPr>
        <w:t xml:space="preserve">Εάν καθυστερήσει </w:t>
      </w:r>
      <w:r w:rsidRPr="003A467B">
        <w:rPr>
          <w:b/>
          <w:szCs w:val="22"/>
        </w:rPr>
        <w:t>περισσότερο από 12</w:t>
      </w:r>
      <w:r w:rsidR="00255C70" w:rsidRPr="003A467B">
        <w:rPr>
          <w:b/>
          <w:szCs w:val="22"/>
        </w:rPr>
        <w:t> </w:t>
      </w:r>
      <w:r w:rsidRPr="003A467B">
        <w:rPr>
          <w:b/>
          <w:szCs w:val="22"/>
        </w:rPr>
        <w:t xml:space="preserve">ώρες </w:t>
      </w:r>
      <w:r w:rsidRPr="003A467B">
        <w:rPr>
          <w:szCs w:val="22"/>
        </w:rPr>
        <w:t xml:space="preserve">να πάρει ένα δισκίο, η αντισυλληπτική προστασία μπορεί να μειωθεί. Η αντιμετώπιση της παράλειψης δισκίων μπορεί να </w:t>
      </w:r>
      <w:r w:rsidR="00E359A7" w:rsidRPr="003A467B">
        <w:rPr>
          <w:szCs w:val="22"/>
        </w:rPr>
        <w:t xml:space="preserve"> έχει ως </w:t>
      </w:r>
      <w:r w:rsidRPr="003A467B">
        <w:rPr>
          <w:szCs w:val="22"/>
        </w:rPr>
        <w:t>βάση τους εξής δύο κανόνες:</w:t>
      </w:r>
    </w:p>
    <w:p w:rsidR="00AB47F3" w:rsidRPr="003A467B" w:rsidRDefault="00AB47F3" w:rsidP="00AD3869">
      <w:pPr>
        <w:pStyle w:val="Para0s"/>
        <w:jc w:val="both"/>
        <w:rPr>
          <w:szCs w:val="22"/>
        </w:rPr>
      </w:pPr>
    </w:p>
    <w:p w:rsidR="0084183B" w:rsidRDefault="0084183B" w:rsidP="00AD3869">
      <w:pPr>
        <w:pStyle w:val="Para0s"/>
        <w:numPr>
          <w:ilvl w:val="0"/>
          <w:numId w:val="26"/>
        </w:numPr>
        <w:jc w:val="both"/>
        <w:rPr>
          <w:szCs w:val="22"/>
        </w:rPr>
      </w:pPr>
      <w:r w:rsidRPr="003A467B">
        <w:rPr>
          <w:szCs w:val="22"/>
        </w:rPr>
        <w:t>Η λήψη των δισκίων δεν πρέπει ποτέ να διακόπτεται για περισσότερο από 7 ημέρες</w:t>
      </w:r>
    </w:p>
    <w:p w:rsidR="00AB47F3" w:rsidRPr="003A467B" w:rsidRDefault="00AB47F3" w:rsidP="00AB47F3">
      <w:pPr>
        <w:pStyle w:val="Para0s"/>
        <w:jc w:val="both"/>
        <w:rPr>
          <w:szCs w:val="22"/>
        </w:rPr>
      </w:pPr>
    </w:p>
    <w:p w:rsidR="0084183B" w:rsidRPr="003A467B" w:rsidRDefault="0084183B" w:rsidP="00AD3869">
      <w:pPr>
        <w:pStyle w:val="Para0s"/>
        <w:numPr>
          <w:ilvl w:val="0"/>
          <w:numId w:val="26"/>
        </w:numPr>
        <w:jc w:val="both"/>
        <w:rPr>
          <w:szCs w:val="22"/>
        </w:rPr>
      </w:pPr>
      <w:r w:rsidRPr="003A467B">
        <w:rPr>
          <w:szCs w:val="22"/>
        </w:rPr>
        <w:t>Απαιτούνται 7 ημέρες συνεχόμενης λήψης των δισκίων για να επιτευχθεί επαρκής καταστολή του άξονα υποθαλάμου-υπόφυσης-ωοθηκών.</w:t>
      </w:r>
    </w:p>
    <w:p w:rsidR="00E92820" w:rsidRPr="003A467B" w:rsidRDefault="00E92820" w:rsidP="00AD3869">
      <w:pPr>
        <w:pStyle w:val="Para0s"/>
        <w:jc w:val="both"/>
        <w:rPr>
          <w:szCs w:val="22"/>
        </w:rPr>
      </w:pPr>
    </w:p>
    <w:p w:rsidR="0084183B" w:rsidRPr="003A467B" w:rsidRDefault="0084183B" w:rsidP="00AD3869">
      <w:pPr>
        <w:pStyle w:val="Para0s"/>
        <w:jc w:val="both"/>
        <w:rPr>
          <w:szCs w:val="22"/>
        </w:rPr>
      </w:pPr>
      <w:r w:rsidRPr="003A467B">
        <w:rPr>
          <w:szCs w:val="22"/>
        </w:rPr>
        <w:t>Επομένως, στην καθημερινή πρακτική μπορούν να δοθούν οι ακόλουθες οδηγίες:</w:t>
      </w:r>
    </w:p>
    <w:p w:rsidR="00255C70" w:rsidRPr="003A467B" w:rsidRDefault="00255C70" w:rsidP="00AD3869">
      <w:pPr>
        <w:pStyle w:val="Para0s"/>
        <w:jc w:val="both"/>
        <w:rPr>
          <w:szCs w:val="22"/>
        </w:rPr>
      </w:pPr>
    </w:p>
    <w:p w:rsidR="0084183B" w:rsidRPr="003A467B" w:rsidRDefault="0084183B" w:rsidP="00AD3869">
      <w:pPr>
        <w:pStyle w:val="Bullet0dKT"/>
        <w:numPr>
          <w:ilvl w:val="0"/>
          <w:numId w:val="5"/>
        </w:numPr>
        <w:ind w:left="0" w:firstLine="0"/>
        <w:jc w:val="both"/>
        <w:rPr>
          <w:szCs w:val="22"/>
        </w:rPr>
      </w:pPr>
      <w:r w:rsidRPr="003A467B">
        <w:rPr>
          <w:szCs w:val="22"/>
        </w:rPr>
        <w:t>1η εβδομάδα</w:t>
      </w:r>
    </w:p>
    <w:p w:rsidR="0084183B" w:rsidRPr="003A467B" w:rsidRDefault="0084183B" w:rsidP="00AD3869">
      <w:pPr>
        <w:pStyle w:val="Para0s"/>
        <w:jc w:val="both"/>
        <w:rPr>
          <w:szCs w:val="22"/>
        </w:rPr>
      </w:pPr>
      <w:r w:rsidRPr="003A467B">
        <w:rPr>
          <w:szCs w:val="22"/>
        </w:rPr>
        <w:t xml:space="preserve">Η χρήστρια πρέπει να πάρει το </w:t>
      </w:r>
      <w:r w:rsidR="00E64E84">
        <w:rPr>
          <w:szCs w:val="22"/>
        </w:rPr>
        <w:t xml:space="preserve">τελευταίο </w:t>
      </w:r>
      <w:r w:rsidRPr="003A467B">
        <w:rPr>
          <w:szCs w:val="22"/>
        </w:rPr>
        <w:t>δισκίο που παρέλειψε</w:t>
      </w:r>
      <w:r w:rsidR="00753291" w:rsidRPr="003A467B">
        <w:rPr>
          <w:szCs w:val="22"/>
        </w:rPr>
        <w:t xml:space="preserve"> </w:t>
      </w:r>
      <w:r w:rsidRPr="003A467B">
        <w:rPr>
          <w:szCs w:val="22"/>
        </w:rPr>
        <w:t xml:space="preserve"> </w:t>
      </w:r>
      <w:r w:rsidR="00E64E84">
        <w:rPr>
          <w:szCs w:val="22"/>
        </w:rPr>
        <w:t xml:space="preserve">αμέσως </w:t>
      </w:r>
      <w:r w:rsidRPr="003A467B">
        <w:rPr>
          <w:szCs w:val="22"/>
        </w:rPr>
        <w:t>μόλις το θυμηθεί, ακόμη και αν αυτό σημαίνει ότι θα πάρει δύο δισκία μαζί. Μετά συνεχίζει να παίρνει τα δισκία τη</w:t>
      </w:r>
      <w:r w:rsidR="00E64E84">
        <w:rPr>
          <w:szCs w:val="22"/>
        </w:rPr>
        <w:t xml:space="preserve"> συνηθισμένη</w:t>
      </w:r>
      <w:r w:rsidR="00AB47F3">
        <w:rPr>
          <w:szCs w:val="22"/>
        </w:rPr>
        <w:t xml:space="preserve"> </w:t>
      </w:r>
      <w:r w:rsidRPr="003A467B">
        <w:rPr>
          <w:szCs w:val="22"/>
        </w:rPr>
        <w:t xml:space="preserve">ώρα. Επιπλέον, κατά τις επόμενες 7 ημέρες πρέπει να χρησιμοποιείται μια μέθοδος φραγμού, όπως προφυλακτικό. Αν έχει προηγηθεί σεξουαλική επαφή κατά τις προηγούμενες 7 ημέρες, πρέπει να εξετάζεται η πιθανότητα εγκυμοσύνης. </w:t>
      </w:r>
      <w:r w:rsidR="00255C70" w:rsidRPr="003A467B">
        <w:rPr>
          <w:szCs w:val="22"/>
        </w:rPr>
        <w:t>Όσο</w:t>
      </w:r>
      <w:r w:rsidRPr="003A467B">
        <w:rPr>
          <w:szCs w:val="22"/>
        </w:rPr>
        <w:t xml:space="preserve"> πιο πολλά δισκία παραληφθούν και όσο πιο κοντά συμβεί αυτό στο προγραμματισμένο διάστημα χωρίς δισκία, τόσο μεγαλύτερος είναι ο κίνδυνος εγκυμοσύνης.</w:t>
      </w:r>
    </w:p>
    <w:p w:rsidR="00255C70" w:rsidRPr="003A467B" w:rsidRDefault="00255C70" w:rsidP="00AD3869">
      <w:pPr>
        <w:pStyle w:val="Para0s"/>
        <w:jc w:val="both"/>
        <w:rPr>
          <w:szCs w:val="22"/>
        </w:rPr>
      </w:pPr>
    </w:p>
    <w:p w:rsidR="0084183B" w:rsidRPr="003A467B" w:rsidRDefault="0084183B" w:rsidP="00AD3869">
      <w:pPr>
        <w:pStyle w:val="Bullet0dKT"/>
        <w:keepNext/>
        <w:numPr>
          <w:ilvl w:val="0"/>
          <w:numId w:val="6"/>
        </w:numPr>
        <w:ind w:left="0" w:firstLine="0"/>
        <w:jc w:val="both"/>
        <w:rPr>
          <w:szCs w:val="22"/>
        </w:rPr>
      </w:pPr>
      <w:r w:rsidRPr="003A467B">
        <w:rPr>
          <w:szCs w:val="22"/>
        </w:rPr>
        <w:t>2η εβδομάδα</w:t>
      </w:r>
    </w:p>
    <w:p w:rsidR="0084183B" w:rsidRPr="003A467B" w:rsidRDefault="0084183B" w:rsidP="00AD3869">
      <w:pPr>
        <w:pStyle w:val="Para0s"/>
        <w:keepNext/>
        <w:jc w:val="both"/>
        <w:rPr>
          <w:szCs w:val="22"/>
        </w:rPr>
      </w:pPr>
      <w:r w:rsidRPr="003A467B">
        <w:rPr>
          <w:szCs w:val="22"/>
        </w:rPr>
        <w:t xml:space="preserve">Η χρήστρια πρέπει να πάρει το τελευταίο δισκίο που παρέλειψε </w:t>
      </w:r>
      <w:r w:rsidR="00E64E84">
        <w:rPr>
          <w:szCs w:val="22"/>
        </w:rPr>
        <w:t xml:space="preserve">αμέσως </w:t>
      </w:r>
      <w:r w:rsidRPr="003A467B">
        <w:rPr>
          <w:szCs w:val="22"/>
        </w:rPr>
        <w:t>μόλις το θυμηθεί, ακόμη και αν αυτό σημαίνει ότι θα πάρει δύο δισκία μαζί. Μετά, συνεχίζει να παίρνει τα δισκία τη</w:t>
      </w:r>
      <w:r w:rsidR="00E64E84">
        <w:rPr>
          <w:szCs w:val="22"/>
        </w:rPr>
        <w:t xml:space="preserve"> συνηθισμένη</w:t>
      </w:r>
      <w:r w:rsidRPr="003A467B">
        <w:rPr>
          <w:szCs w:val="22"/>
        </w:rPr>
        <w:t xml:space="preserve"> ώρα. Με την προϋπόθεση ότι η γυναίκα έχει πάρει τα δισκία σωστά κατά τις 7 προηγούμενες μέρες </w:t>
      </w:r>
      <w:r w:rsidRPr="003A467B">
        <w:rPr>
          <w:szCs w:val="22"/>
        </w:rPr>
        <w:lastRenderedPageBreak/>
        <w:t>πριν από το πρώτο δισκίο π</w:t>
      </w:r>
      <w:r w:rsidR="00C075BE">
        <w:rPr>
          <w:szCs w:val="22"/>
        </w:rPr>
        <w:t>ου παρέλειψε, δεν χρειάζεται να</w:t>
      </w:r>
      <w:r w:rsidR="00753291" w:rsidRPr="003A467B">
        <w:rPr>
          <w:szCs w:val="22"/>
        </w:rPr>
        <w:t xml:space="preserve"> λάβει</w:t>
      </w:r>
      <w:r w:rsidR="0049264B" w:rsidRPr="003A467B">
        <w:rPr>
          <w:szCs w:val="22"/>
        </w:rPr>
        <w:t xml:space="preserve"> επιπλ</w:t>
      </w:r>
      <w:r w:rsidRPr="003A467B">
        <w:rPr>
          <w:szCs w:val="22"/>
        </w:rPr>
        <w:t>έον αντισυλληπτικές προφυλάξεις. Εάν, όμως, έχει παραλείψει περισσότερα από 1</w:t>
      </w:r>
      <w:r w:rsidR="00255C70" w:rsidRPr="003A467B">
        <w:rPr>
          <w:szCs w:val="22"/>
        </w:rPr>
        <w:t> </w:t>
      </w:r>
      <w:r w:rsidRPr="003A467B">
        <w:rPr>
          <w:szCs w:val="22"/>
        </w:rPr>
        <w:t xml:space="preserve">δισκίο, η γυναίκα πρέπει να </w:t>
      </w:r>
      <w:r w:rsidR="00753291" w:rsidRPr="003A467B">
        <w:rPr>
          <w:szCs w:val="22"/>
        </w:rPr>
        <w:t xml:space="preserve">παίρνει </w:t>
      </w:r>
      <w:r w:rsidRPr="003A467B">
        <w:rPr>
          <w:szCs w:val="22"/>
        </w:rPr>
        <w:t>επιπλέον προφυλάξεις για 7 ημέρες.</w:t>
      </w:r>
    </w:p>
    <w:p w:rsidR="00255C70" w:rsidRPr="003A467B" w:rsidRDefault="00255C70" w:rsidP="00AD3869">
      <w:pPr>
        <w:pStyle w:val="Para0s"/>
        <w:keepNext/>
        <w:jc w:val="both"/>
        <w:rPr>
          <w:szCs w:val="22"/>
        </w:rPr>
      </w:pPr>
    </w:p>
    <w:p w:rsidR="0084183B" w:rsidRPr="003A467B" w:rsidRDefault="0084183B" w:rsidP="00AD3869">
      <w:pPr>
        <w:pStyle w:val="Bullet0dKT"/>
        <w:numPr>
          <w:ilvl w:val="0"/>
          <w:numId w:val="7"/>
        </w:numPr>
        <w:ind w:left="0" w:firstLine="0"/>
        <w:jc w:val="both"/>
        <w:rPr>
          <w:szCs w:val="22"/>
        </w:rPr>
      </w:pPr>
      <w:r w:rsidRPr="003A467B">
        <w:rPr>
          <w:szCs w:val="22"/>
        </w:rPr>
        <w:t>3η εβδομάδα</w:t>
      </w:r>
    </w:p>
    <w:p w:rsidR="0084183B" w:rsidRPr="003A467B" w:rsidRDefault="0084183B" w:rsidP="00AD3869">
      <w:pPr>
        <w:pStyle w:val="Para0s"/>
        <w:jc w:val="both"/>
        <w:rPr>
          <w:szCs w:val="22"/>
        </w:rPr>
      </w:pPr>
      <w:r w:rsidRPr="003A467B">
        <w:rPr>
          <w:szCs w:val="22"/>
        </w:rPr>
        <w:t>Ο κίνδυνος μειωμένης αξιοπιστίας είναι επικείμενος λόγω του επερχόμενου 7ήμερου διαστήματος κατά το οποίο δε θα λαμβάνονται δισκία. Ωστόσο, ρυθμίζοντας το πρόγραμμα της λήψης των δισκίων, η μειωμένη αντισυλληπτική προστασία μπορεί ακόμη να προληφθεί. Εφόσον ακολουθείται πιστά η μία από τις παρακάτω δύο επιλογές, δεν υπάρχει ανάγκη για επιπλέον αντισυλληπτικές προφυλάξεις, με την προϋπόθεση ότι η γυναίκα έπαιρνε όλα τα δισκία σωστά κατά τις 7 ημέρες που προηγήθηκαν του πρώτου δισκίου που παραλήφθηκε. Σε αντίθετη περίπτωση, θα πρέπει να ακολουθήσει την πρώτη από τις ακόλουθες δύο επιλογές και να χρησιμοποιεί επιπλέον προφυλάξεις για τις επόμενες 7 ημέρες.</w:t>
      </w:r>
    </w:p>
    <w:p w:rsidR="00255C70" w:rsidRPr="003A467B" w:rsidRDefault="00255C70" w:rsidP="00AD3869">
      <w:pPr>
        <w:pStyle w:val="Para0s"/>
        <w:jc w:val="both"/>
        <w:rPr>
          <w:szCs w:val="22"/>
        </w:rPr>
      </w:pPr>
    </w:p>
    <w:p w:rsidR="0084183B" w:rsidRPr="003A467B" w:rsidRDefault="0084183B" w:rsidP="00AD3869">
      <w:pPr>
        <w:pStyle w:val="Para0s"/>
        <w:numPr>
          <w:ilvl w:val="0"/>
          <w:numId w:val="22"/>
        </w:numPr>
        <w:tabs>
          <w:tab w:val="clear" w:pos="360"/>
          <w:tab w:val="num" w:pos="284"/>
        </w:tabs>
        <w:ind w:left="284" w:hanging="284"/>
        <w:jc w:val="both"/>
        <w:rPr>
          <w:szCs w:val="22"/>
        </w:rPr>
      </w:pPr>
      <w:r w:rsidRPr="003A467B">
        <w:rPr>
          <w:szCs w:val="22"/>
        </w:rPr>
        <w:t xml:space="preserve">Η χρήστρια πρέπει να πάρει το τελευταίο δισκίο που παρέλειψε </w:t>
      </w:r>
      <w:r w:rsidR="00E64E84">
        <w:rPr>
          <w:szCs w:val="22"/>
        </w:rPr>
        <w:t xml:space="preserve">αμέσως </w:t>
      </w:r>
      <w:r w:rsidRPr="003A467B">
        <w:rPr>
          <w:szCs w:val="22"/>
        </w:rPr>
        <w:t>μόλις το θυμηθεί, ακόμη και αν αυτό σημαίνει ότι θα πάρει δύο δισκία μαζί. Στη συνέχεια</w:t>
      </w:r>
      <w:r w:rsidR="00C075BE">
        <w:rPr>
          <w:szCs w:val="22"/>
        </w:rPr>
        <w:t>,</w:t>
      </w:r>
      <w:r w:rsidRPr="003A467B">
        <w:rPr>
          <w:szCs w:val="22"/>
        </w:rPr>
        <w:t xml:space="preserve"> θα πρέπει να συνεχίσει να παίρνει τα δισκία τη συνηθισμένη ώρα. Πρέπει να αρχίσει την επόμενη συσκευασία μόλις τελειώσει την προηγούμενη, δηλ. χωρίς διακοπή μεταξύ των δύο συσκευασιών. Η χρήστρια δε θα έχει αιμορραγία </w:t>
      </w:r>
      <w:r w:rsidR="002F4225">
        <w:rPr>
          <w:szCs w:val="22"/>
        </w:rPr>
        <w:t xml:space="preserve">εκ </w:t>
      </w:r>
      <w:r w:rsidRPr="003A467B">
        <w:rPr>
          <w:szCs w:val="22"/>
        </w:rPr>
        <w:t>διακοπής μέχρι το τέλος της δεύτερης συσκευασίας, αλλά μπορεί να παρουσιάσει σταγονοειδή ή ενδιάμεση αιμορραγία τις ημέρες που παίρνει τα δισκία.</w:t>
      </w:r>
    </w:p>
    <w:p w:rsidR="00255C70" w:rsidRPr="003A467B" w:rsidRDefault="00255C70" w:rsidP="00255C70">
      <w:pPr>
        <w:pStyle w:val="Para0s"/>
        <w:jc w:val="both"/>
        <w:rPr>
          <w:szCs w:val="22"/>
        </w:rPr>
      </w:pPr>
    </w:p>
    <w:p w:rsidR="0084183B" w:rsidRPr="003A467B" w:rsidRDefault="0084183B" w:rsidP="00AD3869">
      <w:pPr>
        <w:pStyle w:val="Para0s"/>
        <w:numPr>
          <w:ilvl w:val="0"/>
          <w:numId w:val="22"/>
        </w:numPr>
        <w:tabs>
          <w:tab w:val="clear" w:pos="360"/>
          <w:tab w:val="num" w:pos="284"/>
        </w:tabs>
        <w:ind w:left="284" w:hanging="284"/>
        <w:jc w:val="both"/>
        <w:rPr>
          <w:szCs w:val="22"/>
        </w:rPr>
      </w:pPr>
      <w:r w:rsidRPr="003A467B">
        <w:rPr>
          <w:szCs w:val="22"/>
        </w:rPr>
        <w:t>Μπορεί επίσης να της δοθεί η συμβουλή να διακόψει τη λήψη των δισκίων από την τρέχουσα συσκευασία</w:t>
      </w:r>
      <w:r w:rsidR="002F4225">
        <w:rPr>
          <w:szCs w:val="22"/>
        </w:rPr>
        <w:t>,</w:t>
      </w:r>
      <w:r w:rsidRPr="003A467B">
        <w:rPr>
          <w:szCs w:val="22"/>
        </w:rPr>
        <w:t xml:space="preserve"> οπότε θα έχει ένα διάστημα διαρκείας έως και 7 ημερών, συμπεριλαμβανομένων των ημερών που παρέλειψε να πάρει δισκίο, </w:t>
      </w:r>
      <w:r w:rsidR="00E64E84" w:rsidRPr="003A467B">
        <w:rPr>
          <w:szCs w:val="22"/>
        </w:rPr>
        <w:t>κατά το οποίο δεν παίρνει δισκία,</w:t>
      </w:r>
      <w:r w:rsidR="00E64E84">
        <w:rPr>
          <w:szCs w:val="22"/>
        </w:rPr>
        <w:t xml:space="preserve"> </w:t>
      </w:r>
      <w:r w:rsidRPr="003A467B">
        <w:rPr>
          <w:szCs w:val="22"/>
        </w:rPr>
        <w:t>και στη συνέχεια να συνεχίζει με την επόμενη συσκευασία.</w:t>
      </w:r>
    </w:p>
    <w:p w:rsidR="00255C70" w:rsidRPr="003A467B" w:rsidRDefault="00255C70" w:rsidP="00255C70">
      <w:pPr>
        <w:pStyle w:val="Para0s"/>
        <w:jc w:val="both"/>
        <w:rPr>
          <w:szCs w:val="22"/>
        </w:rPr>
      </w:pPr>
    </w:p>
    <w:p w:rsidR="0084183B" w:rsidRPr="003A467B" w:rsidRDefault="0084183B" w:rsidP="00AD3869">
      <w:pPr>
        <w:pStyle w:val="Para0s"/>
        <w:jc w:val="both"/>
        <w:rPr>
          <w:szCs w:val="22"/>
        </w:rPr>
      </w:pPr>
      <w:r w:rsidRPr="003A467B">
        <w:rPr>
          <w:szCs w:val="22"/>
        </w:rPr>
        <w:t xml:space="preserve">Εάν η γυναίκα παραλείψει δισκία και στη συνέχεια δεν έχει αιμορραγία </w:t>
      </w:r>
      <w:r w:rsidR="002F4225">
        <w:rPr>
          <w:szCs w:val="22"/>
        </w:rPr>
        <w:t xml:space="preserve">εκ </w:t>
      </w:r>
      <w:r w:rsidRPr="003A467B">
        <w:rPr>
          <w:szCs w:val="22"/>
        </w:rPr>
        <w:t>διακοπής στο πρώτο κανονικό διάλειμμα που δεν παίρνει δισκία, τότε πρέπει να εξετάζεται η πιθανότητα εγκυμοσύνης.</w:t>
      </w:r>
    </w:p>
    <w:p w:rsidR="00255C70" w:rsidRPr="003A467B" w:rsidRDefault="00255C70" w:rsidP="00AD3869">
      <w:pPr>
        <w:pStyle w:val="Para0s"/>
        <w:jc w:val="both"/>
        <w:rPr>
          <w:szCs w:val="22"/>
        </w:rPr>
      </w:pPr>
    </w:p>
    <w:p w:rsidR="0084183B" w:rsidRPr="003A467B" w:rsidRDefault="0084183B" w:rsidP="00AD3869">
      <w:pPr>
        <w:pStyle w:val="3"/>
        <w:keepNext w:val="0"/>
        <w:widowControl/>
        <w:ind w:left="0" w:firstLine="0"/>
        <w:jc w:val="both"/>
        <w:rPr>
          <w:szCs w:val="22"/>
        </w:rPr>
      </w:pPr>
      <w:r w:rsidRPr="003A467B">
        <w:rPr>
          <w:szCs w:val="22"/>
        </w:rPr>
        <w:t xml:space="preserve">Συμβουλές σε περίπτωση </w:t>
      </w:r>
      <w:r w:rsidR="00DD0A2E" w:rsidRPr="003A467B">
        <w:rPr>
          <w:szCs w:val="22"/>
        </w:rPr>
        <w:t>γαστρεντερικών διαταραχών</w:t>
      </w:r>
    </w:p>
    <w:p w:rsidR="0084183B" w:rsidRPr="003A467B" w:rsidRDefault="00BD3111" w:rsidP="00AD3869">
      <w:pPr>
        <w:pStyle w:val="Para0s"/>
        <w:jc w:val="both"/>
        <w:rPr>
          <w:szCs w:val="22"/>
        </w:rPr>
      </w:pPr>
      <w:r w:rsidRPr="003A467B">
        <w:rPr>
          <w:szCs w:val="22"/>
        </w:rPr>
        <w:t>Σε περίπτωση σοβαρών γαστρεντερικών διαταραχών</w:t>
      </w:r>
      <w:r w:rsidR="00074408" w:rsidRPr="003A467B">
        <w:rPr>
          <w:szCs w:val="22"/>
        </w:rPr>
        <w:t xml:space="preserve"> (</w:t>
      </w:r>
      <w:r w:rsidR="003322EC" w:rsidRPr="003A467B">
        <w:rPr>
          <w:szCs w:val="22"/>
        </w:rPr>
        <w:t xml:space="preserve">π.χ. </w:t>
      </w:r>
      <w:r w:rsidR="00074408" w:rsidRPr="003A467B">
        <w:rPr>
          <w:szCs w:val="22"/>
        </w:rPr>
        <w:t xml:space="preserve">εμέτου ή </w:t>
      </w:r>
      <w:r w:rsidR="009745D3" w:rsidRPr="003A467B">
        <w:rPr>
          <w:szCs w:val="22"/>
        </w:rPr>
        <w:t>διάρροιας)</w:t>
      </w:r>
      <w:r w:rsidR="009C4913">
        <w:rPr>
          <w:szCs w:val="22"/>
        </w:rPr>
        <w:t>,</w:t>
      </w:r>
      <w:r w:rsidRPr="003A467B">
        <w:rPr>
          <w:szCs w:val="22"/>
        </w:rPr>
        <w:t xml:space="preserve"> η απορρόφηση μπορεί να μην έχει ολοκληρωθεί και </w:t>
      </w:r>
      <w:r w:rsidR="00B131D7" w:rsidRPr="003A467B">
        <w:rPr>
          <w:szCs w:val="22"/>
        </w:rPr>
        <w:t xml:space="preserve">θα </w:t>
      </w:r>
      <w:r w:rsidRPr="003A467B">
        <w:rPr>
          <w:szCs w:val="22"/>
        </w:rPr>
        <w:t>πρέπει να ληφθούν επιπλέον αντισυλληπτικές προφυλάξεις</w:t>
      </w:r>
      <w:r w:rsidR="00F44FE2">
        <w:rPr>
          <w:szCs w:val="22"/>
        </w:rPr>
        <w:t>.</w:t>
      </w:r>
      <w:r w:rsidRPr="003A467B">
        <w:rPr>
          <w:szCs w:val="22"/>
        </w:rPr>
        <w:t xml:space="preserve"> </w:t>
      </w:r>
      <w:r w:rsidR="0084183B" w:rsidRPr="003A467B">
        <w:rPr>
          <w:szCs w:val="22"/>
        </w:rPr>
        <w:t>Εάν παρουσιαστεί έμετος μέσα σε 3-4</w:t>
      </w:r>
      <w:r w:rsidR="00BF5AD2" w:rsidRPr="003A467B">
        <w:rPr>
          <w:szCs w:val="22"/>
        </w:rPr>
        <w:t> </w:t>
      </w:r>
      <w:r w:rsidR="0084183B" w:rsidRPr="003A467B">
        <w:rPr>
          <w:szCs w:val="22"/>
        </w:rPr>
        <w:t>ώρες μετά τη λήψη δισκίου</w:t>
      </w:r>
      <w:r w:rsidR="009C4913">
        <w:rPr>
          <w:szCs w:val="22"/>
        </w:rPr>
        <w:t>,</w:t>
      </w:r>
      <w:r w:rsidR="0084183B" w:rsidRPr="003A467B">
        <w:rPr>
          <w:szCs w:val="22"/>
        </w:rPr>
        <w:t xml:space="preserve"> πρέπει να λαμβάνεται ένα νέο δισκίο</w:t>
      </w:r>
      <w:r w:rsidR="00295C81" w:rsidRPr="003A467B">
        <w:rPr>
          <w:szCs w:val="22"/>
        </w:rPr>
        <w:t xml:space="preserve"> (αντικατάστασης)</w:t>
      </w:r>
      <w:r w:rsidR="0084183B" w:rsidRPr="003A467B">
        <w:rPr>
          <w:szCs w:val="22"/>
        </w:rPr>
        <w:t xml:space="preserve"> το συντομότερο δυνατόν.</w:t>
      </w:r>
      <w:r w:rsidR="005A44E3" w:rsidRPr="003A467B">
        <w:rPr>
          <w:szCs w:val="22"/>
        </w:rPr>
        <w:t xml:space="preserve"> </w:t>
      </w:r>
      <w:r w:rsidR="00216ECE" w:rsidRPr="003A467B">
        <w:rPr>
          <w:szCs w:val="22"/>
        </w:rPr>
        <w:t>Το νέο δισκί</w:t>
      </w:r>
      <w:r w:rsidR="00706974" w:rsidRPr="003A467B">
        <w:rPr>
          <w:szCs w:val="22"/>
        </w:rPr>
        <w:t>ο</w:t>
      </w:r>
      <w:r w:rsidR="00216ECE" w:rsidRPr="003A467B">
        <w:rPr>
          <w:szCs w:val="22"/>
        </w:rPr>
        <w:t xml:space="preserve"> θα πρέπει να λαμβάνεται, εάν είναι δυνατόν, μέσα σε 12 ώρες </w:t>
      </w:r>
      <w:r w:rsidR="00E83A87" w:rsidRPr="003A467B">
        <w:rPr>
          <w:szCs w:val="22"/>
        </w:rPr>
        <w:t xml:space="preserve">από τη </w:t>
      </w:r>
      <w:r w:rsidR="00216ECE" w:rsidRPr="003A467B">
        <w:rPr>
          <w:szCs w:val="22"/>
        </w:rPr>
        <w:t xml:space="preserve">συνηθισμένη ώρας λήψης του δισκίου. </w:t>
      </w:r>
      <w:r w:rsidR="0084183B" w:rsidRPr="003A467B">
        <w:rPr>
          <w:szCs w:val="22"/>
        </w:rPr>
        <w:t>Εάν μεσολαβήσουν περισσότερες από 12</w:t>
      </w:r>
      <w:r w:rsidR="00B14466" w:rsidRPr="003A467B">
        <w:rPr>
          <w:szCs w:val="22"/>
        </w:rPr>
        <w:t> </w:t>
      </w:r>
      <w:r w:rsidR="0084183B" w:rsidRPr="003A467B">
        <w:rPr>
          <w:szCs w:val="22"/>
        </w:rPr>
        <w:t xml:space="preserve">ώρες, εφαρμόζονται οι </w:t>
      </w:r>
      <w:r w:rsidR="00B131D7" w:rsidRPr="003A467B">
        <w:rPr>
          <w:szCs w:val="22"/>
        </w:rPr>
        <w:t xml:space="preserve">οδηγίες </w:t>
      </w:r>
      <w:r w:rsidR="0084183B" w:rsidRPr="003A467B">
        <w:rPr>
          <w:szCs w:val="22"/>
        </w:rPr>
        <w:t xml:space="preserve"> που αφορούν τα δισκία που έχουν παραληφθεί, όπως αυτές αναφέρονται στην παρ. 4.2 «Αντιμετώπιση της παράλειψης δισκίων».</w:t>
      </w:r>
      <w:r w:rsidR="005A44E3" w:rsidRPr="003A467B">
        <w:rPr>
          <w:szCs w:val="22"/>
        </w:rPr>
        <w:t xml:space="preserve"> </w:t>
      </w:r>
      <w:r w:rsidR="0084183B" w:rsidRPr="003A467B">
        <w:rPr>
          <w:szCs w:val="22"/>
        </w:rPr>
        <w:t>Εάν η γυναίκα δεν θέλει να αλλάξει το κανονικό της πρόγραμμα λήψης δισκίων, θα πρέπει να πάρει το(α) επιπλέον δισκίο(α) από άλλη συσκευασία.</w:t>
      </w:r>
    </w:p>
    <w:p w:rsidR="00255C70" w:rsidRPr="003A467B" w:rsidRDefault="00255C70" w:rsidP="00AD3869">
      <w:pPr>
        <w:pStyle w:val="Para0s"/>
        <w:jc w:val="both"/>
        <w:rPr>
          <w:szCs w:val="22"/>
        </w:rPr>
      </w:pPr>
    </w:p>
    <w:p w:rsidR="0084183B" w:rsidRPr="003A467B" w:rsidRDefault="0084183B" w:rsidP="00AD3869">
      <w:pPr>
        <w:pStyle w:val="3"/>
        <w:keepNext w:val="0"/>
        <w:widowControl/>
        <w:ind w:left="0" w:firstLine="0"/>
        <w:jc w:val="both"/>
        <w:rPr>
          <w:szCs w:val="22"/>
        </w:rPr>
      </w:pPr>
      <w:r w:rsidRPr="003A467B">
        <w:rPr>
          <w:szCs w:val="22"/>
        </w:rPr>
        <w:t>Πώς μετατίθεται η εμμηνορρυσία</w:t>
      </w:r>
    </w:p>
    <w:p w:rsidR="0084183B" w:rsidRPr="003A467B" w:rsidRDefault="0084183B" w:rsidP="00AD3869">
      <w:pPr>
        <w:pStyle w:val="Para0s"/>
        <w:jc w:val="both"/>
        <w:rPr>
          <w:szCs w:val="22"/>
        </w:rPr>
      </w:pPr>
      <w:r w:rsidRPr="003A467B">
        <w:rPr>
          <w:szCs w:val="22"/>
        </w:rPr>
        <w:t>Για να καθυστερήσει η εμμηνορρυσία, η γυναίκα πρέπει να συνεχίσει με την επόμενη συσκευασία Yasmin</w:t>
      </w:r>
      <w:r w:rsidRPr="003A467B">
        <w:rPr>
          <w:szCs w:val="22"/>
          <w:vertAlign w:val="superscript"/>
        </w:rPr>
        <w:t>®</w:t>
      </w:r>
      <w:r w:rsidRPr="003A467B">
        <w:rPr>
          <w:szCs w:val="22"/>
        </w:rPr>
        <w:t xml:space="preserve"> χωρίς να μεσολαβήσει</w:t>
      </w:r>
      <w:r w:rsidR="005A44E3" w:rsidRPr="003A467B">
        <w:rPr>
          <w:szCs w:val="22"/>
        </w:rPr>
        <w:t xml:space="preserve"> </w:t>
      </w:r>
      <w:r w:rsidRPr="003A467B">
        <w:rPr>
          <w:szCs w:val="22"/>
        </w:rPr>
        <w:t>διάστημα κατά το οποίο δεν παίρνει δισκία. Η παράταση μπορεί να συνεχιστεί για όσο διάστημα είναι επιθυμητό, μέχρι το τέλος της δεύτερης συσκευασίας. Κατά τη διάρκεια της παράτασης, η γυναίκα μπορεί να παρουσιάσει ενδιάμεση ή σταγονοειδή αιμορραγία. Στη συνέχεια,</w:t>
      </w:r>
      <w:r w:rsidR="00B131D7" w:rsidRPr="003A467B">
        <w:rPr>
          <w:szCs w:val="22"/>
        </w:rPr>
        <w:t xml:space="preserve"> ξαναρχίζει</w:t>
      </w:r>
      <w:r w:rsidRPr="003A467B">
        <w:rPr>
          <w:szCs w:val="22"/>
        </w:rPr>
        <w:t xml:space="preserve"> η κανονική λήψη των δισκίων Yasmin</w:t>
      </w:r>
      <w:r w:rsidRPr="003A467B">
        <w:rPr>
          <w:szCs w:val="22"/>
          <w:vertAlign w:val="superscript"/>
        </w:rPr>
        <w:t>®</w:t>
      </w:r>
      <w:r w:rsidRPr="003A467B">
        <w:rPr>
          <w:szCs w:val="22"/>
        </w:rPr>
        <w:t xml:space="preserve"> μετά το συνηθισμένο 7ήμερο διάστημα, κατά το οποίο δεν λαμβάνονται δισκία.</w:t>
      </w:r>
    </w:p>
    <w:p w:rsidR="00260120" w:rsidRDefault="0084183B" w:rsidP="00AD3869">
      <w:pPr>
        <w:pStyle w:val="Para0s"/>
        <w:jc w:val="both"/>
        <w:rPr>
          <w:szCs w:val="22"/>
        </w:rPr>
      </w:pPr>
      <w:r w:rsidRPr="003A467B">
        <w:rPr>
          <w:szCs w:val="22"/>
        </w:rPr>
        <w:t xml:space="preserve">Εάν η γυναίκα θέλει να μεταθέσει την εμμηνορρυσία της σε μια άλλη ημέρα της εβδομάδας από εκείνη που προκύπτει με βάση το </w:t>
      </w:r>
      <w:r w:rsidR="00B131D7" w:rsidRPr="003A467B">
        <w:rPr>
          <w:szCs w:val="22"/>
        </w:rPr>
        <w:t>τρέχον</w:t>
      </w:r>
      <w:r w:rsidRPr="003A467B">
        <w:rPr>
          <w:szCs w:val="22"/>
        </w:rPr>
        <w:t xml:space="preserve"> σχήμα, η γυναίκα</w:t>
      </w:r>
      <w:r w:rsidR="00277BFE" w:rsidRPr="003A467B">
        <w:rPr>
          <w:szCs w:val="22"/>
        </w:rPr>
        <w:t xml:space="preserve"> μπορεί να συμβουλευτεί </w:t>
      </w:r>
      <w:r w:rsidRPr="003A467B">
        <w:rPr>
          <w:szCs w:val="22"/>
        </w:rPr>
        <w:t xml:space="preserve"> να συντομεύσει το επόμενο διάστημα, κατά το οποίο δεν παίρνει δισκία</w:t>
      </w:r>
      <w:r w:rsidR="00D70EF5" w:rsidRPr="003A467B">
        <w:rPr>
          <w:szCs w:val="22"/>
        </w:rPr>
        <w:t>, για όσες ημέρες επιθυμεί</w:t>
      </w:r>
      <w:r w:rsidRPr="003A467B">
        <w:rPr>
          <w:szCs w:val="22"/>
        </w:rPr>
        <w:t xml:space="preserve">. </w:t>
      </w:r>
      <w:r w:rsidR="0049264B" w:rsidRPr="003A467B">
        <w:rPr>
          <w:szCs w:val="22"/>
        </w:rPr>
        <w:t>Όσο</w:t>
      </w:r>
      <w:r w:rsidRPr="003A467B">
        <w:rPr>
          <w:szCs w:val="22"/>
        </w:rPr>
        <w:t xml:space="preserve"> μικρότερο είναι το διάστημα </w:t>
      </w:r>
      <w:r w:rsidR="00846A10" w:rsidRPr="003A467B">
        <w:rPr>
          <w:szCs w:val="22"/>
        </w:rPr>
        <w:t>αυτό</w:t>
      </w:r>
      <w:r w:rsidR="00BE5AA6">
        <w:rPr>
          <w:szCs w:val="22"/>
        </w:rPr>
        <w:t>,</w:t>
      </w:r>
      <w:r w:rsidR="00846A10" w:rsidRPr="003A467B">
        <w:rPr>
          <w:szCs w:val="22"/>
        </w:rPr>
        <w:t xml:space="preserve"> </w:t>
      </w:r>
      <w:r w:rsidRPr="003A467B">
        <w:rPr>
          <w:szCs w:val="22"/>
        </w:rPr>
        <w:t xml:space="preserve">τόσο μεγαλύτερος είναι ο κίνδυνος να μην εμφανιστεί αιμορραγία </w:t>
      </w:r>
      <w:r w:rsidR="00957D84" w:rsidRPr="003A467B">
        <w:rPr>
          <w:szCs w:val="22"/>
        </w:rPr>
        <w:t xml:space="preserve">εκ </w:t>
      </w:r>
    </w:p>
    <w:p w:rsidR="0084183B" w:rsidRDefault="0084183B" w:rsidP="00AD3869">
      <w:pPr>
        <w:pStyle w:val="Para0s"/>
        <w:jc w:val="both"/>
        <w:rPr>
          <w:szCs w:val="22"/>
          <w:lang w:val="en-US"/>
        </w:rPr>
      </w:pPr>
      <w:r w:rsidRPr="003A467B">
        <w:rPr>
          <w:szCs w:val="22"/>
        </w:rPr>
        <w:t xml:space="preserve">διακοπής και να εμφανιστεί ενδιάμεση ή σταγονοειδής αιμορραγία κατά τη διάρκεια της επόμενης συσκευασίας (ακριβώς όπως όταν </w:t>
      </w:r>
      <w:r w:rsidR="00DA4DA5" w:rsidRPr="003A467B">
        <w:rPr>
          <w:szCs w:val="22"/>
        </w:rPr>
        <w:t xml:space="preserve">υπάρχει </w:t>
      </w:r>
      <w:r w:rsidRPr="003A467B">
        <w:rPr>
          <w:szCs w:val="22"/>
        </w:rPr>
        <w:t>καθυστ</w:t>
      </w:r>
      <w:r w:rsidR="00DA4DA5" w:rsidRPr="003A467B">
        <w:rPr>
          <w:szCs w:val="22"/>
        </w:rPr>
        <w:t>έρηση</w:t>
      </w:r>
      <w:r w:rsidRPr="003A467B">
        <w:rPr>
          <w:szCs w:val="22"/>
        </w:rPr>
        <w:t xml:space="preserve"> </w:t>
      </w:r>
      <w:r w:rsidR="00DA4DA5" w:rsidRPr="003A467B">
        <w:rPr>
          <w:szCs w:val="22"/>
        </w:rPr>
        <w:t>της περιόδου</w:t>
      </w:r>
      <w:r w:rsidRPr="003A467B">
        <w:rPr>
          <w:szCs w:val="22"/>
        </w:rPr>
        <w:t>).</w:t>
      </w:r>
    </w:p>
    <w:p w:rsidR="000F622F" w:rsidRDefault="000F622F" w:rsidP="00AD3869">
      <w:pPr>
        <w:pStyle w:val="Para0s"/>
        <w:jc w:val="both"/>
        <w:rPr>
          <w:szCs w:val="22"/>
          <w:lang w:val="en-US"/>
        </w:rPr>
      </w:pPr>
    </w:p>
    <w:p w:rsidR="000F622F" w:rsidRPr="000F622F" w:rsidRDefault="000F622F" w:rsidP="00AD3869">
      <w:pPr>
        <w:pStyle w:val="Para0s"/>
        <w:jc w:val="both"/>
        <w:rPr>
          <w:szCs w:val="22"/>
          <w:lang w:val="en-US"/>
        </w:rPr>
      </w:pPr>
    </w:p>
    <w:p w:rsidR="00B9338D" w:rsidRPr="003A467B" w:rsidRDefault="00B9338D" w:rsidP="00AD3869">
      <w:pPr>
        <w:pStyle w:val="Para0s"/>
        <w:jc w:val="both"/>
        <w:rPr>
          <w:szCs w:val="22"/>
        </w:rPr>
      </w:pPr>
    </w:p>
    <w:p w:rsidR="00632826" w:rsidRDefault="0084183B" w:rsidP="00452F27">
      <w:pPr>
        <w:pStyle w:val="2"/>
        <w:keepNext w:val="0"/>
        <w:widowControl/>
        <w:numPr>
          <w:ilvl w:val="1"/>
          <w:numId w:val="28"/>
        </w:numPr>
        <w:jc w:val="both"/>
      </w:pPr>
      <w:r w:rsidRPr="003A467B">
        <w:lastRenderedPageBreak/>
        <w:t>Αντενδείξεις</w:t>
      </w:r>
    </w:p>
    <w:p w:rsidR="00452F27" w:rsidRPr="00452F27" w:rsidRDefault="00452F27" w:rsidP="00452F27">
      <w:pPr>
        <w:pStyle w:val="Para0s"/>
      </w:pPr>
    </w:p>
    <w:p w:rsidR="0084183B" w:rsidRPr="003A467B" w:rsidRDefault="0084183B" w:rsidP="00AD3869">
      <w:pPr>
        <w:pStyle w:val="Para0s"/>
        <w:jc w:val="both"/>
        <w:rPr>
          <w:szCs w:val="22"/>
        </w:rPr>
      </w:pPr>
      <w:r w:rsidRPr="003A467B">
        <w:rPr>
          <w:szCs w:val="22"/>
        </w:rPr>
        <w:t>Τα συνδυασμένα από του στόματος αντισυλληπτικά (</w:t>
      </w:r>
      <w:r w:rsidRPr="003A467B">
        <w:rPr>
          <w:szCs w:val="22"/>
          <w:lang w:val="en-GB"/>
        </w:rPr>
        <w:t>COC</w:t>
      </w:r>
      <w:r w:rsidRPr="003A467B">
        <w:rPr>
          <w:szCs w:val="22"/>
        </w:rPr>
        <w:t xml:space="preserve">) δεν πρέπει να χρησιμοποιούνται σε περίπτωση παρουσίας οποιασδήποτε από τις καταστάσεις που αναφέρονται παρακάτω. Εάν οποιαδήποτε από </w:t>
      </w:r>
      <w:r w:rsidR="00E64E84" w:rsidRPr="003A467B">
        <w:rPr>
          <w:szCs w:val="22"/>
        </w:rPr>
        <w:t xml:space="preserve">αυτές </w:t>
      </w:r>
      <w:r w:rsidRPr="003A467B">
        <w:rPr>
          <w:szCs w:val="22"/>
        </w:rPr>
        <w:t>τις καταστάσεις εμφανιστεί για πρώτη φορά κατά τη διάρκεια της χρήσης συνδυασμένου από του στόματος αντισυλληπτικού, η λήψη του προϊόντος πρέπει να διακόπτεται αμέσως.</w:t>
      </w:r>
    </w:p>
    <w:p w:rsidR="0084183B" w:rsidRPr="003A467B" w:rsidRDefault="0084183B" w:rsidP="00AD3869">
      <w:pPr>
        <w:pStyle w:val="Para0s"/>
        <w:numPr>
          <w:ilvl w:val="0"/>
          <w:numId w:val="8"/>
        </w:numPr>
        <w:tabs>
          <w:tab w:val="clear" w:pos="360"/>
        </w:tabs>
        <w:ind w:left="284" w:hanging="284"/>
        <w:rPr>
          <w:szCs w:val="22"/>
        </w:rPr>
      </w:pPr>
      <w:r w:rsidRPr="003A467B">
        <w:rPr>
          <w:szCs w:val="22"/>
        </w:rPr>
        <w:t>Παρουσία ή ιστορικό φλεβικής θρόμβωσης (εν τω βάθει φλεβι</w:t>
      </w:r>
      <w:r w:rsidR="00236CF7">
        <w:rPr>
          <w:szCs w:val="22"/>
        </w:rPr>
        <w:t>κή θρόμβωση, πνευμονική εμβολή)</w:t>
      </w:r>
    </w:p>
    <w:p w:rsidR="0084183B" w:rsidRPr="003A467B" w:rsidRDefault="0084183B" w:rsidP="00AD3869">
      <w:pPr>
        <w:pStyle w:val="Para0s"/>
        <w:numPr>
          <w:ilvl w:val="0"/>
          <w:numId w:val="8"/>
        </w:numPr>
        <w:tabs>
          <w:tab w:val="clear" w:pos="360"/>
        </w:tabs>
        <w:ind w:left="284" w:hanging="284"/>
        <w:rPr>
          <w:szCs w:val="22"/>
        </w:rPr>
      </w:pPr>
      <w:r w:rsidRPr="003A467B">
        <w:rPr>
          <w:szCs w:val="22"/>
        </w:rPr>
        <w:t>Παρουσία ή ιστορικό αρτηριακής θρόμβωσης (π.χ. έμφραγμα μυοκαρδίου) ή πρόδρομες καταστάσεις (π.χ. στηθάγχη κα</w:t>
      </w:r>
      <w:r w:rsidR="00236CF7">
        <w:rPr>
          <w:szCs w:val="22"/>
        </w:rPr>
        <w:t>ι παροδικό ισχαιμικό επεισόδιο)</w:t>
      </w:r>
    </w:p>
    <w:p w:rsidR="00D70EF5" w:rsidRPr="003A467B" w:rsidRDefault="00D70EF5" w:rsidP="00AD3869">
      <w:pPr>
        <w:pStyle w:val="Para0s"/>
        <w:numPr>
          <w:ilvl w:val="0"/>
          <w:numId w:val="8"/>
        </w:numPr>
        <w:tabs>
          <w:tab w:val="clear" w:pos="360"/>
        </w:tabs>
        <w:ind w:left="284" w:hanging="284"/>
        <w:rPr>
          <w:szCs w:val="22"/>
        </w:rPr>
      </w:pPr>
      <w:r w:rsidRPr="003A467B">
        <w:rPr>
          <w:szCs w:val="22"/>
        </w:rPr>
        <w:t>Παρουσία ή ιστορικό αγγειακού εγκεφαλικού επεισοδίου</w:t>
      </w:r>
    </w:p>
    <w:p w:rsidR="0084183B" w:rsidRPr="003A467B" w:rsidRDefault="0084183B" w:rsidP="00AD3869">
      <w:pPr>
        <w:pStyle w:val="Para0s"/>
        <w:numPr>
          <w:ilvl w:val="0"/>
          <w:numId w:val="8"/>
        </w:numPr>
        <w:tabs>
          <w:tab w:val="clear" w:pos="360"/>
        </w:tabs>
        <w:ind w:left="284" w:hanging="284"/>
        <w:rPr>
          <w:szCs w:val="22"/>
        </w:rPr>
      </w:pPr>
      <w:r w:rsidRPr="003A467B">
        <w:rPr>
          <w:szCs w:val="22"/>
        </w:rPr>
        <w:t>Παρουσία σοβαρού</w:t>
      </w:r>
      <w:r w:rsidR="00E64E84">
        <w:rPr>
          <w:szCs w:val="22"/>
        </w:rPr>
        <w:t>(ων)</w:t>
      </w:r>
      <w:r w:rsidRPr="003A467B">
        <w:rPr>
          <w:szCs w:val="22"/>
        </w:rPr>
        <w:t xml:space="preserve"> ή πολλαπλ</w:t>
      </w:r>
      <w:r w:rsidR="00E64E84">
        <w:rPr>
          <w:szCs w:val="22"/>
        </w:rPr>
        <w:t>ώ</w:t>
      </w:r>
      <w:r w:rsidRPr="003A467B">
        <w:rPr>
          <w:szCs w:val="22"/>
        </w:rPr>
        <w:t xml:space="preserve">ν </w:t>
      </w:r>
      <w:r w:rsidR="00E64E84">
        <w:rPr>
          <w:szCs w:val="22"/>
        </w:rPr>
        <w:t>παραγόντων</w:t>
      </w:r>
      <w:r w:rsidRPr="003A467B">
        <w:rPr>
          <w:szCs w:val="22"/>
        </w:rPr>
        <w:t xml:space="preserve"> κινδύνου για αρτηριακή θρόμβωση:</w:t>
      </w:r>
    </w:p>
    <w:p w:rsidR="0084183B" w:rsidRPr="003A467B" w:rsidRDefault="0084183B" w:rsidP="00AD3869">
      <w:pPr>
        <w:pStyle w:val="Para0s"/>
        <w:numPr>
          <w:ilvl w:val="0"/>
          <w:numId w:val="14"/>
        </w:numPr>
        <w:tabs>
          <w:tab w:val="clear" w:pos="1134"/>
          <w:tab w:val="num" w:pos="567"/>
        </w:tabs>
        <w:ind w:left="284" w:firstLine="0"/>
        <w:rPr>
          <w:szCs w:val="22"/>
        </w:rPr>
      </w:pPr>
      <w:r w:rsidRPr="003A467B">
        <w:rPr>
          <w:szCs w:val="22"/>
        </w:rPr>
        <w:t>σακχαρώδης διαβήτης με αγγειακά συμπτώματα</w:t>
      </w:r>
    </w:p>
    <w:p w:rsidR="0084183B" w:rsidRPr="003A467B" w:rsidRDefault="0084183B" w:rsidP="00AD3869">
      <w:pPr>
        <w:pStyle w:val="Para0s"/>
        <w:numPr>
          <w:ilvl w:val="0"/>
          <w:numId w:val="14"/>
        </w:numPr>
        <w:tabs>
          <w:tab w:val="clear" w:pos="1134"/>
          <w:tab w:val="num" w:pos="567"/>
        </w:tabs>
        <w:ind w:left="284" w:firstLine="0"/>
        <w:rPr>
          <w:szCs w:val="22"/>
        </w:rPr>
      </w:pPr>
      <w:r w:rsidRPr="003A467B">
        <w:rPr>
          <w:szCs w:val="22"/>
        </w:rPr>
        <w:t>σοβαρή υπέρταση</w:t>
      </w:r>
    </w:p>
    <w:p w:rsidR="0084183B" w:rsidRPr="003A467B" w:rsidRDefault="0084183B" w:rsidP="00AD3869">
      <w:pPr>
        <w:pStyle w:val="Para0s"/>
        <w:numPr>
          <w:ilvl w:val="0"/>
          <w:numId w:val="14"/>
        </w:numPr>
        <w:tabs>
          <w:tab w:val="clear" w:pos="1134"/>
          <w:tab w:val="num" w:pos="567"/>
        </w:tabs>
        <w:ind w:left="284" w:firstLine="0"/>
        <w:rPr>
          <w:szCs w:val="22"/>
        </w:rPr>
      </w:pPr>
      <w:r w:rsidRPr="003A467B">
        <w:rPr>
          <w:szCs w:val="22"/>
        </w:rPr>
        <w:t>σοβαρή δυσλιποπρωτεϊναιμία</w:t>
      </w:r>
    </w:p>
    <w:p w:rsidR="0084183B" w:rsidRPr="003A467B" w:rsidRDefault="00236CF7" w:rsidP="00AD3869">
      <w:pPr>
        <w:pStyle w:val="Para0s"/>
        <w:numPr>
          <w:ilvl w:val="0"/>
          <w:numId w:val="15"/>
        </w:numPr>
        <w:tabs>
          <w:tab w:val="clear" w:pos="567"/>
        </w:tabs>
        <w:ind w:left="568" w:hanging="284"/>
        <w:rPr>
          <w:szCs w:val="22"/>
        </w:rPr>
      </w:pPr>
      <w:r>
        <w:rPr>
          <w:szCs w:val="22"/>
        </w:rPr>
        <w:t>κ</w:t>
      </w:r>
      <w:r w:rsidR="0084183B" w:rsidRPr="003A467B">
        <w:rPr>
          <w:szCs w:val="22"/>
        </w:rPr>
        <w:t xml:space="preserve">ληρονομική ή επίκτητη προδιάθεση για φλεβική ή αρτηριακή θρόμβωση, όπως αντίσταση στην APC, έλλειψη αντιθρομβίνης ΙΙΙ, έλλειψη πρωτεΐνης C, έλλειψη πρωτεΐνης S, υπερομοκυστεϊναιμία και  αντισώματα </w:t>
      </w:r>
      <w:r w:rsidR="00E64E84">
        <w:rPr>
          <w:szCs w:val="22"/>
        </w:rPr>
        <w:t xml:space="preserve">αντιφωσφολιπιδίων </w:t>
      </w:r>
      <w:r w:rsidR="0084183B" w:rsidRPr="003A467B">
        <w:rPr>
          <w:szCs w:val="22"/>
        </w:rPr>
        <w:t>( αν</w:t>
      </w:r>
      <w:r>
        <w:rPr>
          <w:szCs w:val="22"/>
        </w:rPr>
        <w:t>τισώματα</w:t>
      </w:r>
      <w:r w:rsidR="00E64E84">
        <w:rPr>
          <w:szCs w:val="22"/>
        </w:rPr>
        <w:t xml:space="preserve"> αντικαρδιολιπίνης</w:t>
      </w:r>
      <w:r>
        <w:rPr>
          <w:szCs w:val="22"/>
        </w:rPr>
        <w:t xml:space="preserve"> και αντιπηκτικό</w:t>
      </w:r>
      <w:r w:rsidR="00E64E84">
        <w:rPr>
          <w:szCs w:val="22"/>
        </w:rPr>
        <w:t xml:space="preserve"> του</w:t>
      </w:r>
      <w:r>
        <w:rPr>
          <w:szCs w:val="22"/>
        </w:rPr>
        <w:t xml:space="preserve"> λύκου)</w:t>
      </w:r>
    </w:p>
    <w:p w:rsidR="0084183B" w:rsidRPr="003A467B" w:rsidRDefault="0084183B" w:rsidP="00AD3869">
      <w:pPr>
        <w:pStyle w:val="Para0s"/>
        <w:numPr>
          <w:ilvl w:val="0"/>
          <w:numId w:val="15"/>
        </w:numPr>
        <w:tabs>
          <w:tab w:val="clear" w:pos="567"/>
        </w:tabs>
        <w:ind w:left="284" w:hanging="284"/>
        <w:rPr>
          <w:szCs w:val="22"/>
        </w:rPr>
      </w:pPr>
      <w:r w:rsidRPr="003A467B">
        <w:rPr>
          <w:color w:val="000000"/>
          <w:szCs w:val="22"/>
        </w:rPr>
        <w:t>Παρουσία ή ιστορικό σοβαρής ηπατικής νόσου, εφόσον οι τιμές της ηπατικής λειτουργίας δεν έχουν επανέλθει στο φυσιολογικό</w:t>
      </w:r>
      <w:r w:rsidRPr="003A467B">
        <w:rPr>
          <w:szCs w:val="22"/>
        </w:rPr>
        <w:t>.</w:t>
      </w:r>
    </w:p>
    <w:p w:rsidR="0084183B" w:rsidRPr="003A467B" w:rsidRDefault="0084183B" w:rsidP="00AD3869">
      <w:pPr>
        <w:pStyle w:val="Para0s"/>
        <w:numPr>
          <w:ilvl w:val="0"/>
          <w:numId w:val="15"/>
        </w:numPr>
        <w:tabs>
          <w:tab w:val="clear" w:pos="567"/>
        </w:tabs>
        <w:ind w:left="284" w:hanging="284"/>
        <w:rPr>
          <w:szCs w:val="22"/>
        </w:rPr>
      </w:pPr>
      <w:r w:rsidRPr="003A467B">
        <w:rPr>
          <w:color w:val="000000"/>
          <w:szCs w:val="22"/>
        </w:rPr>
        <w:t xml:space="preserve">Σοβαρή νεφρική ανεπάρκεια ή οξεία  νεφρική </w:t>
      </w:r>
      <w:r w:rsidR="00E64E84">
        <w:rPr>
          <w:color w:val="000000"/>
          <w:szCs w:val="22"/>
        </w:rPr>
        <w:t>ανεπάρκεια.</w:t>
      </w:r>
    </w:p>
    <w:p w:rsidR="0084183B" w:rsidRPr="003A467B" w:rsidRDefault="0084183B" w:rsidP="00AD3869">
      <w:pPr>
        <w:pStyle w:val="Para0s"/>
        <w:numPr>
          <w:ilvl w:val="0"/>
          <w:numId w:val="15"/>
        </w:numPr>
        <w:tabs>
          <w:tab w:val="clear" w:pos="567"/>
        </w:tabs>
        <w:ind w:left="284" w:hanging="284"/>
        <w:rPr>
          <w:szCs w:val="22"/>
        </w:rPr>
      </w:pPr>
      <w:r w:rsidRPr="003A467B">
        <w:rPr>
          <w:szCs w:val="22"/>
        </w:rPr>
        <w:t>Παρουσία ή ιστορικό ηπατικών όγκων (</w:t>
      </w:r>
      <w:r w:rsidR="001B4AC7">
        <w:rPr>
          <w:szCs w:val="22"/>
        </w:rPr>
        <w:t>καλοηθώ</w:t>
      </w:r>
      <w:r w:rsidR="001B4AC7" w:rsidRPr="003A467B">
        <w:rPr>
          <w:szCs w:val="22"/>
        </w:rPr>
        <w:t>ν</w:t>
      </w:r>
      <w:r w:rsidR="00236CF7">
        <w:rPr>
          <w:szCs w:val="22"/>
        </w:rPr>
        <w:t xml:space="preserve"> ή κακοήθων)</w:t>
      </w:r>
    </w:p>
    <w:p w:rsidR="0084183B" w:rsidRPr="003A467B" w:rsidRDefault="0084183B" w:rsidP="00AD3869">
      <w:pPr>
        <w:pStyle w:val="Para0s"/>
        <w:numPr>
          <w:ilvl w:val="0"/>
          <w:numId w:val="15"/>
        </w:numPr>
        <w:tabs>
          <w:tab w:val="clear" w:pos="567"/>
        </w:tabs>
        <w:ind w:left="284" w:hanging="284"/>
        <w:rPr>
          <w:szCs w:val="22"/>
        </w:rPr>
      </w:pPr>
      <w:r w:rsidRPr="003A467B">
        <w:rPr>
          <w:szCs w:val="22"/>
        </w:rPr>
        <w:t>Γνωστές ή υποψία κακοήθ</w:t>
      </w:r>
      <w:r w:rsidR="00CD30E4" w:rsidRPr="003A467B">
        <w:rPr>
          <w:szCs w:val="22"/>
        </w:rPr>
        <w:t xml:space="preserve">ειας </w:t>
      </w:r>
      <w:r w:rsidRPr="003A467B">
        <w:rPr>
          <w:szCs w:val="22"/>
        </w:rPr>
        <w:t xml:space="preserve"> </w:t>
      </w:r>
      <w:r w:rsidR="00D70EF5" w:rsidRPr="003A467B">
        <w:rPr>
          <w:szCs w:val="22"/>
        </w:rPr>
        <w:t>που επηρεάζ</w:t>
      </w:r>
      <w:r w:rsidR="00CD30E4" w:rsidRPr="003A467B">
        <w:rPr>
          <w:szCs w:val="22"/>
        </w:rPr>
        <w:t>ε</w:t>
      </w:r>
      <w:r w:rsidR="00D70EF5" w:rsidRPr="003A467B">
        <w:rPr>
          <w:szCs w:val="22"/>
        </w:rPr>
        <w:t xml:space="preserve">ται από </w:t>
      </w:r>
      <w:r w:rsidR="00512565" w:rsidRPr="003A467B">
        <w:rPr>
          <w:szCs w:val="22"/>
        </w:rPr>
        <w:t xml:space="preserve">τα </w:t>
      </w:r>
      <w:r w:rsidR="00D70EF5" w:rsidRPr="003A467B">
        <w:rPr>
          <w:szCs w:val="22"/>
        </w:rPr>
        <w:t xml:space="preserve">στεροειδή του φύλου (π.χ. </w:t>
      </w:r>
      <w:r w:rsidRPr="003A467B">
        <w:rPr>
          <w:szCs w:val="22"/>
        </w:rPr>
        <w:t>των γεννητικών οργάνων ή των μαστών</w:t>
      </w:r>
      <w:r w:rsidR="00D70EF5" w:rsidRPr="003A467B">
        <w:rPr>
          <w:szCs w:val="22"/>
        </w:rPr>
        <w:t>)</w:t>
      </w:r>
    </w:p>
    <w:p w:rsidR="0084183B" w:rsidRPr="003A467B" w:rsidRDefault="00236CF7" w:rsidP="00AD3869">
      <w:pPr>
        <w:pStyle w:val="Para0s"/>
        <w:numPr>
          <w:ilvl w:val="0"/>
          <w:numId w:val="15"/>
        </w:numPr>
        <w:tabs>
          <w:tab w:val="clear" w:pos="567"/>
        </w:tabs>
        <w:ind w:left="284" w:hanging="284"/>
        <w:rPr>
          <w:szCs w:val="22"/>
        </w:rPr>
      </w:pPr>
      <w:r>
        <w:rPr>
          <w:szCs w:val="22"/>
        </w:rPr>
        <w:t>Αδιάγνωστη κολπική αιμορραγία</w:t>
      </w:r>
    </w:p>
    <w:p w:rsidR="0084183B" w:rsidRPr="003A467B" w:rsidRDefault="0084183B" w:rsidP="00AD3869">
      <w:pPr>
        <w:pStyle w:val="Para0s"/>
        <w:numPr>
          <w:ilvl w:val="0"/>
          <w:numId w:val="15"/>
        </w:numPr>
        <w:tabs>
          <w:tab w:val="clear" w:pos="567"/>
        </w:tabs>
        <w:ind w:left="284" w:hanging="284"/>
        <w:rPr>
          <w:szCs w:val="22"/>
        </w:rPr>
      </w:pPr>
      <w:r w:rsidRPr="003A467B">
        <w:rPr>
          <w:szCs w:val="22"/>
        </w:rPr>
        <w:t>Ιστορικό ημικρανίας με</w:t>
      </w:r>
      <w:r w:rsidR="00236CF7">
        <w:rPr>
          <w:szCs w:val="22"/>
        </w:rPr>
        <w:t xml:space="preserve"> εστιακά νευρολογικά συμπτώματα</w:t>
      </w:r>
    </w:p>
    <w:p w:rsidR="0084183B" w:rsidRPr="003A467B" w:rsidRDefault="0084183B" w:rsidP="00AD3869">
      <w:pPr>
        <w:pStyle w:val="Para0s"/>
        <w:numPr>
          <w:ilvl w:val="0"/>
          <w:numId w:val="15"/>
        </w:numPr>
        <w:tabs>
          <w:tab w:val="clear" w:pos="567"/>
        </w:tabs>
        <w:ind w:left="284" w:hanging="284"/>
        <w:rPr>
          <w:szCs w:val="22"/>
        </w:rPr>
      </w:pPr>
      <w:r w:rsidRPr="003A467B">
        <w:rPr>
          <w:szCs w:val="22"/>
        </w:rPr>
        <w:t xml:space="preserve">Υπερευαισθησία στα δραστικά συστατικά ή σε κάποιο έκδοχο των </w:t>
      </w:r>
      <w:r w:rsidR="00E64E84">
        <w:rPr>
          <w:szCs w:val="22"/>
        </w:rPr>
        <w:t xml:space="preserve">επικαλυμμένων με λεπτό υμένιο </w:t>
      </w:r>
      <w:r w:rsidRPr="003A467B">
        <w:rPr>
          <w:szCs w:val="22"/>
        </w:rPr>
        <w:t>δισκίων Yasmin</w:t>
      </w:r>
      <w:r w:rsidRPr="003A467B">
        <w:rPr>
          <w:szCs w:val="22"/>
          <w:vertAlign w:val="superscript"/>
        </w:rPr>
        <w:t>®</w:t>
      </w:r>
    </w:p>
    <w:p w:rsidR="00632826" w:rsidRPr="003A467B" w:rsidRDefault="00632826" w:rsidP="00632826">
      <w:pPr>
        <w:pStyle w:val="Para0s"/>
        <w:rPr>
          <w:szCs w:val="22"/>
        </w:rPr>
      </w:pPr>
    </w:p>
    <w:p w:rsidR="0084183B" w:rsidRPr="003A467B" w:rsidRDefault="0084183B" w:rsidP="00AD3869">
      <w:pPr>
        <w:pStyle w:val="2"/>
        <w:keepNext w:val="0"/>
        <w:widowControl/>
        <w:ind w:left="0" w:firstLine="0"/>
        <w:jc w:val="both"/>
        <w:rPr>
          <w:szCs w:val="22"/>
        </w:rPr>
      </w:pPr>
      <w:r w:rsidRPr="003A467B">
        <w:rPr>
          <w:szCs w:val="22"/>
        </w:rPr>
        <w:t>4.4</w:t>
      </w:r>
      <w:r w:rsidRPr="003A467B">
        <w:rPr>
          <w:szCs w:val="22"/>
        </w:rPr>
        <w:tab/>
        <w:t>Ιδιαίτερες προειδοποιήσεις και προφυλάξεις κατά τη χρήση</w:t>
      </w:r>
    </w:p>
    <w:p w:rsidR="00632826" w:rsidRPr="003A467B" w:rsidRDefault="00632826" w:rsidP="00AD3869">
      <w:pPr>
        <w:pStyle w:val="3"/>
        <w:keepNext w:val="0"/>
        <w:widowControl/>
        <w:ind w:left="0" w:firstLine="0"/>
        <w:jc w:val="both"/>
        <w:rPr>
          <w:szCs w:val="22"/>
        </w:rPr>
      </w:pPr>
    </w:p>
    <w:p w:rsidR="0084183B" w:rsidRPr="003A467B" w:rsidRDefault="0084183B" w:rsidP="00AD3869">
      <w:pPr>
        <w:pStyle w:val="3"/>
        <w:keepNext w:val="0"/>
        <w:widowControl/>
        <w:ind w:left="0" w:firstLine="0"/>
        <w:jc w:val="both"/>
        <w:rPr>
          <w:szCs w:val="22"/>
        </w:rPr>
      </w:pPr>
      <w:r w:rsidRPr="003A467B">
        <w:rPr>
          <w:szCs w:val="22"/>
        </w:rPr>
        <w:t>Προειδοποιήσεις</w:t>
      </w:r>
    </w:p>
    <w:p w:rsidR="0084183B" w:rsidRPr="003A467B" w:rsidRDefault="0084183B" w:rsidP="00AD3869">
      <w:pPr>
        <w:pStyle w:val="Para0s"/>
        <w:jc w:val="both"/>
        <w:rPr>
          <w:szCs w:val="22"/>
        </w:rPr>
      </w:pPr>
      <w:r w:rsidRPr="003A467B">
        <w:rPr>
          <w:szCs w:val="22"/>
        </w:rPr>
        <w:t xml:space="preserve">Εάν υπάρχει οποιαδήποτε από τις καταστάσεις ή οποιοσδήποτε από τους παράγοντες κινδύνου που αναφέρονται παρακάτω, τα οφέλη </w:t>
      </w:r>
      <w:r w:rsidR="00E64E84">
        <w:rPr>
          <w:szCs w:val="22"/>
        </w:rPr>
        <w:t>από τη</w:t>
      </w:r>
      <w:r w:rsidRPr="003A467B">
        <w:rPr>
          <w:szCs w:val="22"/>
        </w:rPr>
        <w:t xml:space="preserve"> χρήση ενός συνδυασμένου από του στόματος αντισυλληπτικού πρέπει νασταθμίζονται </w:t>
      </w:r>
      <w:r w:rsidR="00E64E84">
        <w:rPr>
          <w:szCs w:val="22"/>
        </w:rPr>
        <w:t>έναντι</w:t>
      </w:r>
      <w:r w:rsidRPr="003A467B">
        <w:rPr>
          <w:szCs w:val="22"/>
        </w:rPr>
        <w:t xml:space="preserve"> </w:t>
      </w:r>
      <w:r w:rsidR="00E64E84">
        <w:rPr>
          <w:szCs w:val="22"/>
        </w:rPr>
        <w:t xml:space="preserve">των πιθανών </w:t>
      </w:r>
      <w:r w:rsidRPr="003A467B">
        <w:rPr>
          <w:szCs w:val="22"/>
        </w:rPr>
        <w:t>κινδύν</w:t>
      </w:r>
      <w:r w:rsidR="00E64E84">
        <w:rPr>
          <w:szCs w:val="22"/>
        </w:rPr>
        <w:t>ων</w:t>
      </w:r>
      <w:r w:rsidRPr="003A467B">
        <w:rPr>
          <w:szCs w:val="22"/>
        </w:rPr>
        <w:t xml:space="preserve"> για την κάθε γυναίκα χωριστά και να συζητούνται μαζί της πριν </w:t>
      </w:r>
      <w:r w:rsidR="00D940C2" w:rsidRPr="003A467B">
        <w:rPr>
          <w:szCs w:val="22"/>
        </w:rPr>
        <w:t xml:space="preserve">εκείνη </w:t>
      </w:r>
      <w:r w:rsidRPr="003A467B">
        <w:rPr>
          <w:szCs w:val="22"/>
        </w:rPr>
        <w:t>αποφασίσει να ξεκινήσει τη χ</w:t>
      </w:r>
      <w:r w:rsidR="00DA1DCE">
        <w:rPr>
          <w:szCs w:val="22"/>
        </w:rPr>
        <w:t xml:space="preserve">ρήση του. Σε περίπτωση έξαρσης, </w:t>
      </w:r>
      <w:r w:rsidRPr="003A467B">
        <w:rPr>
          <w:szCs w:val="22"/>
        </w:rPr>
        <w:t xml:space="preserve">επιδείνωσης ή πρώτης εμφάνισης οποιασδήποτε από τις παραπάνω καταστάσεις ή οποιουδήποτε από τους παράγοντες κινδύνου, η γυναίκα </w:t>
      </w:r>
      <w:r w:rsidR="00E64E84">
        <w:rPr>
          <w:szCs w:val="22"/>
        </w:rPr>
        <w:t xml:space="preserve">θα </w:t>
      </w:r>
      <w:r w:rsidRPr="003A467B">
        <w:rPr>
          <w:szCs w:val="22"/>
        </w:rPr>
        <w:t>πρέπει να</w:t>
      </w:r>
      <w:r w:rsidR="00E64E84">
        <w:rPr>
          <w:szCs w:val="22"/>
        </w:rPr>
        <w:t xml:space="preserve"> επικοινωνήσει</w:t>
      </w:r>
      <w:r w:rsidRPr="003A467B">
        <w:rPr>
          <w:szCs w:val="22"/>
        </w:rPr>
        <w:t xml:space="preserve"> με το γιατρό της. Ο γιατρός </w:t>
      </w:r>
      <w:r w:rsidR="00A31B71">
        <w:rPr>
          <w:szCs w:val="22"/>
        </w:rPr>
        <w:t xml:space="preserve">θα </w:t>
      </w:r>
      <w:r w:rsidRPr="003A467B">
        <w:rPr>
          <w:szCs w:val="22"/>
        </w:rPr>
        <w:t xml:space="preserve">πρέπει τότε να αποφασίσει εάν </w:t>
      </w:r>
      <w:r w:rsidR="00A31B71">
        <w:rPr>
          <w:szCs w:val="22"/>
        </w:rPr>
        <w:t xml:space="preserve">θα </w:t>
      </w:r>
      <w:r w:rsidRPr="003A467B">
        <w:rPr>
          <w:szCs w:val="22"/>
        </w:rPr>
        <w:t xml:space="preserve">πρέπει να διακοπεί η χρήση του </w:t>
      </w:r>
      <w:r w:rsidR="00AA150F" w:rsidRPr="003A467B">
        <w:rPr>
          <w:szCs w:val="22"/>
        </w:rPr>
        <w:t xml:space="preserve">συνδυασμένου από του στόματος </w:t>
      </w:r>
      <w:r w:rsidRPr="003A467B">
        <w:rPr>
          <w:szCs w:val="22"/>
        </w:rPr>
        <w:t>αντισυλληπτικού.</w:t>
      </w:r>
    </w:p>
    <w:p w:rsidR="00632826" w:rsidRPr="003A467B" w:rsidRDefault="00632826" w:rsidP="00AD3869">
      <w:pPr>
        <w:pStyle w:val="Para0s"/>
        <w:jc w:val="both"/>
        <w:rPr>
          <w:szCs w:val="22"/>
        </w:rPr>
      </w:pPr>
    </w:p>
    <w:p w:rsidR="0084183B" w:rsidRPr="003A467B" w:rsidRDefault="00C75639" w:rsidP="00AD3869">
      <w:pPr>
        <w:pStyle w:val="Bullet0dKT"/>
        <w:numPr>
          <w:ilvl w:val="0"/>
          <w:numId w:val="23"/>
        </w:numPr>
        <w:jc w:val="both"/>
        <w:rPr>
          <w:smallCaps/>
          <w:szCs w:val="22"/>
        </w:rPr>
      </w:pPr>
      <w:r w:rsidRPr="003A467B">
        <w:rPr>
          <w:szCs w:val="22"/>
        </w:rPr>
        <w:t xml:space="preserve">Κυκλοφορικές </w:t>
      </w:r>
      <w:r w:rsidR="0084183B" w:rsidRPr="003A467B">
        <w:rPr>
          <w:szCs w:val="22"/>
        </w:rPr>
        <w:t>διαταραχές</w:t>
      </w:r>
    </w:p>
    <w:p w:rsidR="004271F1" w:rsidRDefault="00BA2D80" w:rsidP="00AD3869">
      <w:pPr>
        <w:widowControl/>
        <w:spacing w:after="0"/>
        <w:jc w:val="both"/>
        <w:rPr>
          <w:rFonts w:ascii="Times New Roman" w:hAnsi="Times New Roman"/>
        </w:rPr>
      </w:pPr>
      <w:r w:rsidRPr="003A467B">
        <w:rPr>
          <w:rFonts w:ascii="Times New Roman" w:hAnsi="Times New Roman"/>
          <w:szCs w:val="22"/>
          <w:lang w:val="el-GR"/>
        </w:rPr>
        <w:t xml:space="preserve">H χρήση οποιουδήποτε συνδυασμένου από του στόματος αντισυλληπτικού </w:t>
      </w:r>
      <w:r w:rsidR="005B6074" w:rsidRPr="004E6D65">
        <w:rPr>
          <w:rFonts w:ascii="Times New Roman" w:hAnsi="Times New Roman"/>
          <w:szCs w:val="22"/>
          <w:lang w:val="el-GR"/>
        </w:rPr>
        <w:t>(</w:t>
      </w:r>
      <w:r w:rsidR="005B6074">
        <w:rPr>
          <w:rFonts w:ascii="Times New Roman" w:hAnsi="Times New Roman"/>
          <w:szCs w:val="22"/>
          <w:lang w:val="el-GR"/>
        </w:rPr>
        <w:t>COC)</w:t>
      </w:r>
      <w:r w:rsidR="005B6074" w:rsidRPr="004E6D65">
        <w:rPr>
          <w:rFonts w:ascii="Times New Roman" w:hAnsi="Times New Roman"/>
          <w:szCs w:val="22"/>
          <w:lang w:val="el-GR"/>
        </w:rPr>
        <w:t xml:space="preserve"> </w:t>
      </w:r>
      <w:r w:rsidRPr="003A467B">
        <w:rPr>
          <w:rFonts w:ascii="Times New Roman" w:hAnsi="Times New Roman"/>
          <w:szCs w:val="22"/>
          <w:lang w:val="el-GR"/>
        </w:rPr>
        <w:t xml:space="preserve">ενέχει  αυξημένο κίνδυνο φλεβικής θρομβοεμβολής </w:t>
      </w:r>
      <w:r w:rsidR="00D00204">
        <w:rPr>
          <w:rFonts w:ascii="Times New Roman" w:hAnsi="Times New Roman"/>
          <w:szCs w:val="22"/>
          <w:lang w:val="el-GR"/>
        </w:rPr>
        <w:t>(ΦΘΕ-</w:t>
      </w:r>
      <w:r w:rsidR="00D00204">
        <w:rPr>
          <w:rFonts w:ascii="Times New Roman" w:hAnsi="Times New Roman"/>
          <w:szCs w:val="22"/>
        </w:rPr>
        <w:t>VTE</w:t>
      </w:r>
      <w:r w:rsidR="00D00204" w:rsidRPr="0093207C">
        <w:rPr>
          <w:rFonts w:ascii="Times New Roman" w:hAnsi="Times New Roman"/>
          <w:szCs w:val="22"/>
          <w:lang w:val="el-GR"/>
        </w:rPr>
        <w:t xml:space="preserve">) </w:t>
      </w:r>
      <w:r w:rsidRPr="003A467B">
        <w:rPr>
          <w:rFonts w:ascii="Times New Roman" w:hAnsi="Times New Roman"/>
          <w:szCs w:val="22"/>
          <w:lang w:val="el-GR"/>
        </w:rPr>
        <w:t>σε σύγκριση με τη μη χρήση</w:t>
      </w:r>
      <w:r w:rsidR="002D4316" w:rsidRPr="003A467B">
        <w:rPr>
          <w:rFonts w:ascii="Times New Roman" w:hAnsi="Times New Roman"/>
          <w:szCs w:val="22"/>
          <w:lang w:val="el-GR"/>
        </w:rPr>
        <w:t xml:space="preserve"> τους</w:t>
      </w:r>
      <w:r w:rsidRPr="003A467B">
        <w:rPr>
          <w:rFonts w:ascii="Times New Roman" w:hAnsi="Times New Roman"/>
          <w:szCs w:val="22"/>
          <w:lang w:val="el-GR"/>
        </w:rPr>
        <w:t xml:space="preserve">. Ο επιπλέον κίνδυνος φλεβικής θρομβοεμβολής είναι </w:t>
      </w:r>
      <w:r w:rsidR="00D00204">
        <w:rPr>
          <w:rFonts w:ascii="Times New Roman" w:hAnsi="Times New Roman"/>
          <w:szCs w:val="22"/>
          <w:lang w:val="el-GR"/>
        </w:rPr>
        <w:t>υψηλότερος</w:t>
      </w:r>
      <w:r w:rsidRPr="003A467B">
        <w:rPr>
          <w:rFonts w:ascii="Times New Roman" w:hAnsi="Times New Roman"/>
          <w:szCs w:val="22"/>
          <w:lang w:val="el-GR"/>
        </w:rPr>
        <w:t xml:space="preserve"> κατά </w:t>
      </w:r>
      <w:r w:rsidR="009C4758">
        <w:rPr>
          <w:rFonts w:ascii="Times New Roman" w:hAnsi="Times New Roman"/>
          <w:lang w:val="el-GR"/>
        </w:rPr>
        <w:t xml:space="preserve">τη διάρκεια του πρώτου χρόνου που μία </w:t>
      </w:r>
      <w:r w:rsidR="005B6074" w:rsidRPr="004E6D65">
        <w:rPr>
          <w:rFonts w:ascii="Times New Roman" w:hAnsi="Times New Roman"/>
          <w:lang w:val="el-GR"/>
        </w:rPr>
        <w:t xml:space="preserve">γυναίκα ξεκινά για πρώτη φορά τη χρήση ενός συνδυασμένου από του στόματος αντισυλληπτικού ή όταν ξεκινά εκ νέου </w:t>
      </w:r>
      <w:r w:rsidR="009C4758">
        <w:rPr>
          <w:rFonts w:ascii="Times New Roman" w:hAnsi="Times New Roman"/>
          <w:lang w:val="el-GR"/>
        </w:rPr>
        <w:t>τη χρήση ενός</w:t>
      </w:r>
      <w:r w:rsidR="005B6074" w:rsidRPr="004E6D65">
        <w:rPr>
          <w:rFonts w:ascii="Times New Roman" w:hAnsi="Times New Roman"/>
          <w:lang w:val="el-GR"/>
        </w:rPr>
        <w:t xml:space="preserve"> συνδυασμένο</w:t>
      </w:r>
      <w:r w:rsidR="009C4758">
        <w:rPr>
          <w:rFonts w:ascii="Times New Roman" w:hAnsi="Times New Roman"/>
          <w:lang w:val="el-GR"/>
        </w:rPr>
        <w:t>υ</w:t>
      </w:r>
      <w:r w:rsidR="005B6074" w:rsidRPr="004E6D65">
        <w:rPr>
          <w:rFonts w:ascii="Times New Roman" w:hAnsi="Times New Roman"/>
          <w:lang w:val="el-GR"/>
        </w:rPr>
        <w:t xml:space="preserve"> από του στόματος αντισυλληπτικ</w:t>
      </w:r>
      <w:r w:rsidR="009C4758">
        <w:rPr>
          <w:rFonts w:ascii="Times New Roman" w:hAnsi="Times New Roman"/>
          <w:lang w:val="el-GR"/>
        </w:rPr>
        <w:t>ού</w:t>
      </w:r>
      <w:r w:rsidR="005B6074" w:rsidRPr="004E6D65">
        <w:rPr>
          <w:rFonts w:ascii="Times New Roman" w:hAnsi="Times New Roman"/>
          <w:lang w:val="el-GR"/>
        </w:rPr>
        <w:t xml:space="preserve"> μετά από ένα διάστημα χωρίς δισκία τουλάχιστον ενός μήνα. </w:t>
      </w:r>
    </w:p>
    <w:p w:rsidR="004E6D65" w:rsidRPr="004E6D65" w:rsidRDefault="004E6D65" w:rsidP="00AD3869">
      <w:pPr>
        <w:widowControl/>
        <w:spacing w:after="0"/>
        <w:jc w:val="both"/>
        <w:rPr>
          <w:rFonts w:ascii="Times New Roman" w:hAnsi="Times New Roman"/>
          <w:szCs w:val="22"/>
        </w:rPr>
      </w:pPr>
    </w:p>
    <w:p w:rsidR="0084183B" w:rsidRPr="003A467B" w:rsidRDefault="0084183B" w:rsidP="00AD3869">
      <w:pPr>
        <w:widowControl/>
        <w:spacing w:after="0"/>
        <w:jc w:val="both"/>
        <w:rPr>
          <w:rFonts w:ascii="Times New Roman" w:hAnsi="Times New Roman"/>
          <w:szCs w:val="22"/>
          <w:lang w:val="el-GR"/>
        </w:rPr>
      </w:pPr>
      <w:r w:rsidRPr="003A467B">
        <w:rPr>
          <w:rFonts w:ascii="Times New Roman" w:hAnsi="Times New Roman"/>
          <w:szCs w:val="22"/>
          <w:lang w:val="el-GR"/>
        </w:rPr>
        <w:t>Επιδημιολογικές μελέτες έχουν δείξει ότι η συχνότητα της φλεβικής θρομβοεμβολής σε γυναίκες</w:t>
      </w:r>
      <w:r w:rsidR="006E63FC" w:rsidRPr="003A467B">
        <w:rPr>
          <w:rFonts w:ascii="Times New Roman" w:hAnsi="Times New Roman"/>
          <w:szCs w:val="22"/>
          <w:lang w:val="el-GR"/>
        </w:rPr>
        <w:t xml:space="preserve"> χωρίς γνωστούς παράγοντες κινδύνου για φλεβική θρομβοεμβολή, οι οποίες χρησιμοποιούν</w:t>
      </w:r>
      <w:r w:rsidRPr="003A467B">
        <w:rPr>
          <w:rFonts w:ascii="Times New Roman" w:hAnsi="Times New Roman"/>
          <w:szCs w:val="22"/>
          <w:lang w:val="el-GR"/>
        </w:rPr>
        <w:t xml:space="preserve"> </w:t>
      </w:r>
      <w:r w:rsidR="0093565A" w:rsidRPr="003A467B">
        <w:rPr>
          <w:rFonts w:ascii="Times New Roman" w:hAnsi="Times New Roman"/>
          <w:szCs w:val="22"/>
          <w:lang w:val="el-GR"/>
        </w:rPr>
        <w:t xml:space="preserve"> </w:t>
      </w:r>
      <w:r w:rsidRPr="003A467B">
        <w:rPr>
          <w:rFonts w:ascii="Times New Roman" w:hAnsi="Times New Roman"/>
          <w:szCs w:val="22"/>
          <w:lang w:val="el-GR"/>
        </w:rPr>
        <w:t xml:space="preserve"> </w:t>
      </w:r>
      <w:r w:rsidR="00FE6392" w:rsidRPr="003A467B">
        <w:rPr>
          <w:rFonts w:ascii="Times New Roman" w:hAnsi="Times New Roman"/>
          <w:szCs w:val="22"/>
          <w:lang w:val="el-GR"/>
        </w:rPr>
        <w:t xml:space="preserve">συνδυασμένα </w:t>
      </w:r>
      <w:r w:rsidR="00355EB0" w:rsidRPr="003A467B">
        <w:rPr>
          <w:rFonts w:ascii="Times New Roman" w:hAnsi="Times New Roman"/>
          <w:szCs w:val="22"/>
          <w:lang w:val="el-GR"/>
        </w:rPr>
        <w:t>από του στόματος αντισυλληπτικά</w:t>
      </w:r>
      <w:r w:rsidR="006F0193" w:rsidRPr="003A467B">
        <w:rPr>
          <w:rFonts w:ascii="Times New Roman" w:hAnsi="Times New Roman"/>
          <w:szCs w:val="22"/>
          <w:lang w:val="el-GR"/>
        </w:rPr>
        <w:t xml:space="preserve"> χαμηλής </w:t>
      </w:r>
      <w:r w:rsidR="0091224A">
        <w:rPr>
          <w:rFonts w:ascii="Times New Roman" w:hAnsi="Times New Roman"/>
          <w:szCs w:val="22"/>
          <w:lang w:val="el-GR"/>
        </w:rPr>
        <w:t xml:space="preserve">δόσης </w:t>
      </w:r>
      <w:r w:rsidR="00D00204">
        <w:rPr>
          <w:rFonts w:ascii="Times New Roman" w:hAnsi="Times New Roman"/>
          <w:szCs w:val="22"/>
          <w:lang w:val="el-GR"/>
        </w:rPr>
        <w:t>οιστρογόνου</w:t>
      </w:r>
      <w:r w:rsidR="0091224A">
        <w:rPr>
          <w:rFonts w:ascii="Times New Roman" w:hAnsi="Times New Roman"/>
          <w:szCs w:val="22"/>
          <w:lang w:val="el-GR"/>
        </w:rPr>
        <w:t>(&lt;50 μg αιθι</w:t>
      </w:r>
      <w:r w:rsidR="006F0193" w:rsidRPr="003A467B">
        <w:rPr>
          <w:rFonts w:ascii="Times New Roman" w:hAnsi="Times New Roman"/>
          <w:szCs w:val="22"/>
          <w:lang w:val="el-GR"/>
        </w:rPr>
        <w:t>νυλοιστραδιόλης)</w:t>
      </w:r>
      <w:r w:rsidR="0091224A">
        <w:rPr>
          <w:rFonts w:ascii="Times New Roman" w:hAnsi="Times New Roman"/>
          <w:szCs w:val="22"/>
          <w:lang w:val="el-GR"/>
        </w:rPr>
        <w:t>,</w:t>
      </w:r>
      <w:r w:rsidR="00355EB0" w:rsidRPr="003A467B">
        <w:rPr>
          <w:rFonts w:ascii="Times New Roman" w:hAnsi="Times New Roman"/>
          <w:szCs w:val="22"/>
          <w:lang w:val="el-GR"/>
        </w:rPr>
        <w:t xml:space="preserve"> </w:t>
      </w:r>
      <w:r w:rsidRPr="003A467B">
        <w:rPr>
          <w:rFonts w:ascii="Times New Roman" w:hAnsi="Times New Roman"/>
          <w:szCs w:val="22"/>
          <w:lang w:val="el-GR"/>
        </w:rPr>
        <w:t xml:space="preserve">κυμαίνεται </w:t>
      </w:r>
      <w:r w:rsidR="00CC00A7" w:rsidRPr="003A467B">
        <w:rPr>
          <w:rFonts w:ascii="Times New Roman" w:hAnsi="Times New Roman"/>
          <w:szCs w:val="22"/>
          <w:lang w:val="el-GR"/>
        </w:rPr>
        <w:t xml:space="preserve">από </w:t>
      </w:r>
      <w:r w:rsidRPr="003A467B">
        <w:rPr>
          <w:rFonts w:ascii="Times New Roman" w:hAnsi="Times New Roman"/>
          <w:szCs w:val="22"/>
          <w:lang w:val="el-GR"/>
        </w:rPr>
        <w:t>20 περιπτώσεις ανά 100.000</w:t>
      </w:r>
      <w:r w:rsidR="00DF38D3" w:rsidRPr="003A467B">
        <w:rPr>
          <w:rFonts w:ascii="Times New Roman" w:hAnsi="Times New Roman"/>
          <w:szCs w:val="22"/>
          <w:lang w:val="el-GR"/>
        </w:rPr>
        <w:t> </w:t>
      </w:r>
      <w:r w:rsidRPr="003A467B">
        <w:rPr>
          <w:rFonts w:ascii="Times New Roman" w:hAnsi="Times New Roman"/>
          <w:szCs w:val="22"/>
          <w:lang w:val="el-GR"/>
        </w:rPr>
        <w:t>γυναίκες χρόνια,</w:t>
      </w:r>
      <w:r w:rsidR="006476F4" w:rsidRPr="003A467B">
        <w:rPr>
          <w:rFonts w:ascii="Times New Roman" w:hAnsi="Times New Roman"/>
          <w:szCs w:val="22"/>
          <w:lang w:val="el-GR"/>
        </w:rPr>
        <w:t xml:space="preserve"> (για συνδυασμένα από του στόματος αντισυλληπτικά που περιέχουν λεβονοργεστρέλη) σε 40 περιπτώσεις </w:t>
      </w:r>
      <w:r w:rsidR="006476F4" w:rsidRPr="003A467B">
        <w:rPr>
          <w:rFonts w:ascii="Times New Roman" w:hAnsi="Times New Roman"/>
          <w:szCs w:val="22"/>
          <w:lang w:val="el-GR"/>
        </w:rPr>
        <w:lastRenderedPageBreak/>
        <w:t xml:space="preserve">ανά 100.000 </w:t>
      </w:r>
      <w:r w:rsidR="0049264B" w:rsidRPr="003A467B">
        <w:rPr>
          <w:rFonts w:ascii="Times New Roman" w:hAnsi="Times New Roman"/>
          <w:szCs w:val="22"/>
          <w:lang w:val="el-GR"/>
        </w:rPr>
        <w:t>γυναίκες</w:t>
      </w:r>
      <w:r w:rsidR="006476F4" w:rsidRPr="003A467B">
        <w:rPr>
          <w:rFonts w:ascii="Times New Roman" w:hAnsi="Times New Roman"/>
          <w:szCs w:val="22"/>
          <w:lang w:val="el-GR"/>
        </w:rPr>
        <w:t xml:space="preserve"> χρόνια (για συνδυασμένα από του στόματος αντισυλληπτικά που περιέχουν δεσογεστρέλη</w:t>
      </w:r>
      <w:r w:rsidR="00260120">
        <w:rPr>
          <w:rFonts w:ascii="Times New Roman" w:hAnsi="Times New Roman"/>
          <w:szCs w:val="22"/>
          <w:lang w:val="el-GR"/>
        </w:rPr>
        <w:t>/</w:t>
      </w:r>
      <w:r w:rsidR="006476F4" w:rsidRPr="003A467B">
        <w:rPr>
          <w:rFonts w:ascii="Times New Roman" w:hAnsi="Times New Roman"/>
          <w:szCs w:val="22"/>
          <w:lang w:val="el-GR"/>
        </w:rPr>
        <w:t>γεστοδένη)</w:t>
      </w:r>
      <w:r w:rsidRPr="003A467B">
        <w:rPr>
          <w:rFonts w:ascii="Times New Roman" w:hAnsi="Times New Roman"/>
          <w:szCs w:val="22"/>
          <w:lang w:val="el-GR"/>
        </w:rPr>
        <w:t>. Ο αριθμός αυτός συγκρίνεται με τις 5</w:t>
      </w:r>
      <w:r w:rsidR="00D00204">
        <w:rPr>
          <w:rFonts w:ascii="Times New Roman" w:hAnsi="Times New Roman"/>
          <w:szCs w:val="22"/>
          <w:lang w:val="el-GR"/>
        </w:rPr>
        <w:t xml:space="preserve"> έως</w:t>
      </w:r>
      <w:r w:rsidRPr="003A467B">
        <w:rPr>
          <w:rFonts w:ascii="Times New Roman" w:hAnsi="Times New Roman"/>
          <w:szCs w:val="22"/>
          <w:lang w:val="el-GR"/>
        </w:rPr>
        <w:t>10</w:t>
      </w:r>
      <w:r w:rsidR="00DF38D3" w:rsidRPr="003A467B">
        <w:rPr>
          <w:rFonts w:ascii="Times New Roman" w:hAnsi="Times New Roman"/>
          <w:szCs w:val="22"/>
          <w:lang w:val="el-GR"/>
        </w:rPr>
        <w:t> </w:t>
      </w:r>
      <w:r w:rsidRPr="003A467B">
        <w:rPr>
          <w:rFonts w:ascii="Times New Roman" w:hAnsi="Times New Roman"/>
          <w:szCs w:val="22"/>
          <w:lang w:val="el-GR"/>
        </w:rPr>
        <w:t>περιπτώσεις ανά 100.000</w:t>
      </w:r>
      <w:r w:rsidR="00DF38D3" w:rsidRPr="003A467B">
        <w:rPr>
          <w:rFonts w:ascii="Times New Roman" w:hAnsi="Times New Roman"/>
          <w:szCs w:val="22"/>
          <w:lang w:val="el-GR"/>
        </w:rPr>
        <w:t> </w:t>
      </w:r>
      <w:r w:rsidRPr="003A467B">
        <w:rPr>
          <w:rFonts w:ascii="Times New Roman" w:hAnsi="Times New Roman"/>
          <w:szCs w:val="22"/>
          <w:lang w:val="el-GR"/>
        </w:rPr>
        <w:t xml:space="preserve">γυναίκες χρόνια </w:t>
      </w:r>
      <w:r w:rsidR="00D00204">
        <w:rPr>
          <w:rFonts w:ascii="Times New Roman" w:hAnsi="Times New Roman"/>
          <w:szCs w:val="22"/>
          <w:lang w:val="el-GR"/>
        </w:rPr>
        <w:t>για</w:t>
      </w:r>
      <w:r w:rsidRPr="003A467B">
        <w:rPr>
          <w:rFonts w:ascii="Times New Roman" w:hAnsi="Times New Roman"/>
          <w:szCs w:val="22"/>
          <w:lang w:val="el-GR"/>
        </w:rPr>
        <w:t xml:space="preserve"> αυτές που δεν λαμβάνουν αντισυλληπτικά</w:t>
      </w:r>
      <w:r w:rsidR="00CF6290" w:rsidRPr="003A467B">
        <w:rPr>
          <w:rFonts w:ascii="Times New Roman" w:hAnsi="Times New Roman"/>
          <w:szCs w:val="22"/>
          <w:lang w:val="el-GR"/>
        </w:rPr>
        <w:t xml:space="preserve"> και</w:t>
      </w:r>
      <w:r w:rsidRPr="003A467B">
        <w:rPr>
          <w:rFonts w:ascii="Times New Roman" w:hAnsi="Times New Roman"/>
          <w:szCs w:val="22"/>
          <w:lang w:val="el-GR"/>
        </w:rPr>
        <w:t xml:space="preserve"> 60 περιπτώσεις στις 100.000</w:t>
      </w:r>
      <w:r w:rsidR="00DF38D3" w:rsidRPr="003A467B">
        <w:rPr>
          <w:rFonts w:ascii="Times New Roman" w:hAnsi="Times New Roman"/>
          <w:szCs w:val="22"/>
          <w:lang w:val="el-GR"/>
        </w:rPr>
        <w:t> </w:t>
      </w:r>
      <w:r w:rsidR="00591DA9" w:rsidRPr="003A467B">
        <w:rPr>
          <w:rFonts w:ascii="Times New Roman" w:hAnsi="Times New Roman"/>
          <w:szCs w:val="22"/>
          <w:lang w:val="el-GR"/>
        </w:rPr>
        <w:t>εγκυμοσύνες</w:t>
      </w:r>
      <w:r w:rsidRPr="003A467B">
        <w:rPr>
          <w:rFonts w:ascii="Times New Roman" w:hAnsi="Times New Roman"/>
          <w:szCs w:val="22"/>
          <w:lang w:val="el-GR"/>
        </w:rPr>
        <w:t xml:space="preserve">. Η φλεβική θρομβοεμβολή </w:t>
      </w:r>
      <w:r w:rsidR="00787583" w:rsidRPr="003A467B">
        <w:rPr>
          <w:rFonts w:ascii="Times New Roman" w:hAnsi="Times New Roman"/>
          <w:szCs w:val="22"/>
          <w:lang w:val="el-GR"/>
        </w:rPr>
        <w:t xml:space="preserve"> είναι θανατηφόρ</w:t>
      </w:r>
      <w:r w:rsidR="00D00204">
        <w:rPr>
          <w:rFonts w:ascii="Times New Roman" w:hAnsi="Times New Roman"/>
          <w:szCs w:val="22"/>
          <w:lang w:val="el-GR"/>
        </w:rPr>
        <w:t>ος</w:t>
      </w:r>
      <w:r w:rsidRPr="003A467B">
        <w:rPr>
          <w:rFonts w:ascii="Times New Roman" w:hAnsi="Times New Roman"/>
          <w:szCs w:val="22"/>
          <w:lang w:val="el-GR"/>
        </w:rPr>
        <w:t xml:space="preserve"> στο 1-2% των περιπτώσεων.</w:t>
      </w:r>
    </w:p>
    <w:p w:rsidR="0076022D" w:rsidRDefault="0076022D" w:rsidP="00AD3869">
      <w:pPr>
        <w:widowControl/>
        <w:spacing w:after="0"/>
        <w:jc w:val="both"/>
        <w:rPr>
          <w:rFonts w:ascii="Times New Roman" w:hAnsi="Times New Roman"/>
          <w:szCs w:val="22"/>
        </w:rPr>
      </w:pPr>
    </w:p>
    <w:p w:rsidR="00D41F9A" w:rsidRPr="00EC4194" w:rsidRDefault="00D41F9A" w:rsidP="00EC4194">
      <w:pPr>
        <w:rPr>
          <w:rFonts w:ascii="Times New Roman" w:hAnsi="Times New Roman"/>
          <w:lang w:val="el-GR"/>
        </w:rPr>
      </w:pPr>
      <w:r w:rsidRPr="00D41F9A">
        <w:rPr>
          <w:rFonts w:ascii="Times New Roman" w:hAnsi="Times New Roman"/>
          <w:lang w:val="el-GR"/>
        </w:rPr>
        <w:t xml:space="preserve">Επιδημιολογικές μελέτες έχουν δείξει ότι ο κίνδυνος για φλεβική θρομβοεμβολή για τα </w:t>
      </w:r>
      <w:r w:rsidR="00926360">
        <w:rPr>
          <w:rFonts w:ascii="Times New Roman" w:hAnsi="Times New Roman"/>
          <w:lang w:val="el-GR"/>
        </w:rPr>
        <w:t xml:space="preserve">συνδυασμένα </w:t>
      </w:r>
      <w:r w:rsidRPr="00D41F9A">
        <w:rPr>
          <w:rFonts w:ascii="Times New Roman" w:hAnsi="Times New Roman"/>
          <w:lang w:val="el-GR"/>
        </w:rPr>
        <w:t xml:space="preserve">από του στόματος αντισυλληπτικά που περιέχουν δροσπιρενόνη είναι υψηλότερος από ότι για τα </w:t>
      </w:r>
      <w:r w:rsidR="00926360">
        <w:rPr>
          <w:rFonts w:ascii="Times New Roman" w:hAnsi="Times New Roman"/>
          <w:lang w:val="el-GR"/>
        </w:rPr>
        <w:t xml:space="preserve">συνδυασμένα </w:t>
      </w:r>
      <w:r w:rsidRPr="00D41F9A">
        <w:rPr>
          <w:rFonts w:ascii="Times New Roman" w:hAnsi="Times New Roman"/>
          <w:lang w:val="el-GR"/>
        </w:rPr>
        <w:t xml:space="preserve">από του στόματος αντισυλληπτικά που περιέχουν λεβονοργεστρέλη (τα επονομαζόμενα σκευάσματα δεύτερης γενιάς) και μπορεί να είναι παρόμοιος με τον κίνδυνο για τα </w:t>
      </w:r>
      <w:r w:rsidR="00926360">
        <w:rPr>
          <w:rFonts w:ascii="Times New Roman" w:hAnsi="Times New Roman"/>
          <w:lang w:val="el-GR"/>
        </w:rPr>
        <w:t xml:space="preserve">συνδυασμένα </w:t>
      </w:r>
      <w:r w:rsidRPr="00D41F9A">
        <w:rPr>
          <w:rFonts w:ascii="Times New Roman" w:hAnsi="Times New Roman"/>
          <w:lang w:val="el-GR"/>
        </w:rPr>
        <w:t xml:space="preserve">από του στόματος αντισυλληπτικά που περιέχουν δεσογεστρέλη/γεστοδένη (τα επονομαζόμενα σκευάσματα τρίτης γενιάς). </w:t>
      </w:r>
    </w:p>
    <w:p w:rsidR="0084183B" w:rsidRPr="003A467B" w:rsidRDefault="0084183B" w:rsidP="00AD3869">
      <w:pPr>
        <w:widowControl/>
        <w:spacing w:after="0"/>
        <w:jc w:val="both"/>
        <w:rPr>
          <w:rFonts w:ascii="Times New Roman" w:hAnsi="Times New Roman"/>
          <w:szCs w:val="22"/>
          <w:lang w:val="el-GR"/>
        </w:rPr>
      </w:pPr>
      <w:r w:rsidRPr="003A467B">
        <w:rPr>
          <w:rFonts w:ascii="Times New Roman" w:hAnsi="Times New Roman"/>
          <w:szCs w:val="22"/>
          <w:lang w:val="el-GR"/>
        </w:rPr>
        <w:t xml:space="preserve">Επιδημιολογικές μελέτες έχουν συσχετίσει τη χρήση συνδυασμένων από του στόματος αντισυλληπτικών με  αυξημένο κίνδυνο </w:t>
      </w:r>
      <w:r w:rsidR="00D00204">
        <w:rPr>
          <w:rFonts w:ascii="Times New Roman" w:hAnsi="Times New Roman"/>
          <w:szCs w:val="22"/>
          <w:lang w:val="el-GR"/>
        </w:rPr>
        <w:t xml:space="preserve">για </w:t>
      </w:r>
      <w:r w:rsidRPr="003A467B">
        <w:rPr>
          <w:rFonts w:ascii="Times New Roman" w:hAnsi="Times New Roman"/>
          <w:szCs w:val="22"/>
          <w:lang w:val="el-GR"/>
        </w:rPr>
        <w:t>αρτηριακή θρομβοεμβολή (έμφραγμα του μυοκαρδίου, παροδικό ισχαιμικό επεισόδιο).</w:t>
      </w:r>
    </w:p>
    <w:p w:rsidR="00632826" w:rsidRPr="003A467B" w:rsidRDefault="00632826" w:rsidP="00AD3869">
      <w:pPr>
        <w:widowControl/>
        <w:spacing w:after="0"/>
        <w:jc w:val="both"/>
        <w:rPr>
          <w:rFonts w:ascii="Times New Roman" w:hAnsi="Times New Roman"/>
          <w:szCs w:val="22"/>
          <w:lang w:val="el-GR"/>
        </w:rPr>
      </w:pPr>
    </w:p>
    <w:p w:rsidR="0084183B" w:rsidRPr="003A467B" w:rsidRDefault="0084183B" w:rsidP="00AD3869">
      <w:pPr>
        <w:widowControl/>
        <w:spacing w:after="0"/>
        <w:jc w:val="both"/>
        <w:rPr>
          <w:rFonts w:ascii="Times New Roman" w:hAnsi="Times New Roman"/>
          <w:szCs w:val="22"/>
          <w:lang w:val="el-GR"/>
        </w:rPr>
      </w:pPr>
      <w:r w:rsidRPr="003A467B">
        <w:rPr>
          <w:rFonts w:ascii="Times New Roman" w:hAnsi="Times New Roman"/>
          <w:szCs w:val="22"/>
          <w:lang w:val="el-GR"/>
        </w:rPr>
        <w:t>Εξαιρετικά σπάνια, σε χρήστριες συνδυασμένων από του στόματος αντισυλληπτικών</w:t>
      </w:r>
      <w:r w:rsidR="009663AE">
        <w:rPr>
          <w:rFonts w:ascii="Times New Roman" w:hAnsi="Times New Roman"/>
          <w:szCs w:val="22"/>
          <w:lang w:val="el-GR"/>
        </w:rPr>
        <w:t>,</w:t>
      </w:r>
      <w:r w:rsidRPr="003A467B">
        <w:rPr>
          <w:rFonts w:ascii="Times New Roman" w:hAnsi="Times New Roman"/>
          <w:szCs w:val="22"/>
          <w:lang w:val="el-GR"/>
        </w:rPr>
        <w:t xml:space="preserve"> έχει αναφερθεί  </w:t>
      </w:r>
      <w:r w:rsidR="00DA1BF7" w:rsidRPr="003A467B">
        <w:rPr>
          <w:rFonts w:ascii="Times New Roman" w:hAnsi="Times New Roman"/>
          <w:szCs w:val="22"/>
          <w:lang w:val="el-GR"/>
        </w:rPr>
        <w:t xml:space="preserve">παρουσία </w:t>
      </w:r>
      <w:r w:rsidRPr="003A467B">
        <w:rPr>
          <w:rFonts w:ascii="Times New Roman" w:hAnsi="Times New Roman"/>
          <w:szCs w:val="22"/>
          <w:lang w:val="el-GR"/>
        </w:rPr>
        <w:t xml:space="preserve">θρόμβωσης σε άλλα αγγεία, </w:t>
      </w:r>
      <w:r w:rsidR="00772786" w:rsidRPr="003A467B">
        <w:rPr>
          <w:rFonts w:ascii="Times New Roman" w:hAnsi="Times New Roman"/>
          <w:szCs w:val="22"/>
          <w:lang w:val="el-GR"/>
        </w:rPr>
        <w:t xml:space="preserve">όπως </w:t>
      </w:r>
      <w:r w:rsidRPr="003A467B">
        <w:rPr>
          <w:rFonts w:ascii="Times New Roman" w:hAnsi="Times New Roman"/>
          <w:szCs w:val="22"/>
          <w:lang w:val="el-GR"/>
        </w:rPr>
        <w:t>π.χ. ηπατικές, μεσεντέριες, νεφρικές</w:t>
      </w:r>
      <w:r w:rsidR="002864FD" w:rsidRPr="003A467B">
        <w:rPr>
          <w:rFonts w:ascii="Times New Roman" w:hAnsi="Times New Roman"/>
          <w:szCs w:val="22"/>
          <w:lang w:val="el-GR"/>
        </w:rPr>
        <w:t>, εγκεφαλικές</w:t>
      </w:r>
      <w:r w:rsidRPr="003A467B">
        <w:rPr>
          <w:rFonts w:ascii="Times New Roman" w:hAnsi="Times New Roman"/>
          <w:szCs w:val="22"/>
          <w:lang w:val="el-GR"/>
        </w:rPr>
        <w:t xml:space="preserve"> ή αμφιβληστροειδικές φλέβες και αρτηρίες.</w:t>
      </w:r>
      <w:r w:rsidR="005A44E3" w:rsidRPr="003A467B">
        <w:rPr>
          <w:rFonts w:ascii="Times New Roman" w:hAnsi="Times New Roman"/>
          <w:szCs w:val="22"/>
          <w:lang w:val="el-GR"/>
        </w:rPr>
        <w:t xml:space="preserve"> </w:t>
      </w:r>
      <w:r w:rsidRPr="003A467B">
        <w:rPr>
          <w:rFonts w:ascii="Times New Roman" w:hAnsi="Times New Roman"/>
          <w:szCs w:val="22"/>
          <w:lang w:val="el-GR"/>
        </w:rPr>
        <w:t>Δεν υπάρχει ομοφωνία εάν η εμφάνιση αυτών των περιστατικών σχετίζεται με τη χρήση των ορμονικών αντισυλληπτικών.</w:t>
      </w:r>
    </w:p>
    <w:p w:rsidR="00632826" w:rsidRPr="003A467B" w:rsidRDefault="00632826" w:rsidP="00AD3869">
      <w:pPr>
        <w:widowControl/>
        <w:spacing w:after="0"/>
        <w:jc w:val="both"/>
        <w:rPr>
          <w:rFonts w:ascii="Times New Roman" w:hAnsi="Times New Roman"/>
          <w:szCs w:val="22"/>
          <w:lang w:val="el-GR"/>
        </w:rPr>
      </w:pPr>
    </w:p>
    <w:p w:rsidR="0084183B" w:rsidRPr="003A467B" w:rsidRDefault="0084183B" w:rsidP="00AD3869">
      <w:pPr>
        <w:pStyle w:val="Para0s"/>
        <w:jc w:val="both"/>
        <w:rPr>
          <w:szCs w:val="22"/>
        </w:rPr>
      </w:pPr>
      <w:r w:rsidRPr="003A467B">
        <w:rPr>
          <w:szCs w:val="22"/>
        </w:rPr>
        <w:t>Τα συμπτώματα φλεβικ</w:t>
      </w:r>
      <w:r w:rsidR="002864FD" w:rsidRPr="003A467B">
        <w:rPr>
          <w:szCs w:val="22"/>
        </w:rPr>
        <w:t>ών</w:t>
      </w:r>
      <w:r w:rsidRPr="003A467B">
        <w:rPr>
          <w:szCs w:val="22"/>
        </w:rPr>
        <w:t xml:space="preserve"> ή αρτηριακ</w:t>
      </w:r>
      <w:r w:rsidR="002864FD" w:rsidRPr="003A467B">
        <w:rPr>
          <w:szCs w:val="22"/>
        </w:rPr>
        <w:t>ών</w:t>
      </w:r>
      <w:r w:rsidRPr="003A467B">
        <w:rPr>
          <w:szCs w:val="22"/>
        </w:rPr>
        <w:t xml:space="preserve"> </w:t>
      </w:r>
      <w:r w:rsidR="002864FD" w:rsidRPr="003A467B">
        <w:rPr>
          <w:szCs w:val="22"/>
        </w:rPr>
        <w:t>θρομβωτικών/θρομβοεμβολικών επεισοδίων ή αγγειακού εγκεφαλικού επεισοδίου</w:t>
      </w:r>
      <w:r w:rsidR="002864FD" w:rsidRPr="003A467B" w:rsidDel="002864FD">
        <w:rPr>
          <w:szCs w:val="22"/>
        </w:rPr>
        <w:t xml:space="preserve"> </w:t>
      </w:r>
      <w:r w:rsidRPr="003A467B">
        <w:rPr>
          <w:szCs w:val="22"/>
        </w:rPr>
        <w:t>μπορεί να περιλαμβάνουν:</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 xml:space="preserve">ασυνήθιστο </w:t>
      </w:r>
      <w:r w:rsidR="00B40D34" w:rsidRPr="003A467B">
        <w:rPr>
          <w:szCs w:val="22"/>
        </w:rPr>
        <w:t xml:space="preserve">μονόπλευρο </w:t>
      </w:r>
      <w:r w:rsidRPr="003A467B">
        <w:rPr>
          <w:szCs w:val="22"/>
        </w:rPr>
        <w:t>άλγος και</w:t>
      </w:r>
      <w:r w:rsidR="002864FD" w:rsidRPr="003A467B">
        <w:rPr>
          <w:szCs w:val="22"/>
        </w:rPr>
        <w:t>/ή</w:t>
      </w:r>
      <w:r w:rsidRPr="003A467B">
        <w:rPr>
          <w:szCs w:val="22"/>
        </w:rPr>
        <w:t xml:space="preserve"> οίδημα</w:t>
      </w:r>
      <w:r w:rsidR="00D00204" w:rsidRPr="00D00204">
        <w:rPr>
          <w:szCs w:val="22"/>
        </w:rPr>
        <w:t xml:space="preserve"> </w:t>
      </w:r>
      <w:r w:rsidR="00D00204">
        <w:rPr>
          <w:szCs w:val="22"/>
        </w:rPr>
        <w:t xml:space="preserve">των </w:t>
      </w:r>
      <w:r w:rsidR="00D00204" w:rsidRPr="003A467B">
        <w:rPr>
          <w:szCs w:val="22"/>
        </w:rPr>
        <w:t>κάτω άκρων</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 xml:space="preserve">αιφνίδιο έντονο </w:t>
      </w:r>
      <w:r w:rsidR="00D00204">
        <w:rPr>
          <w:szCs w:val="22"/>
        </w:rPr>
        <w:t>πόνο</w:t>
      </w:r>
      <w:r w:rsidRPr="003A467B">
        <w:rPr>
          <w:szCs w:val="22"/>
        </w:rPr>
        <w:t xml:space="preserve"> στο </w:t>
      </w:r>
      <w:r w:rsidR="00D00204">
        <w:rPr>
          <w:szCs w:val="22"/>
        </w:rPr>
        <w:t>θώρακα</w:t>
      </w:r>
      <w:r w:rsidRPr="003A467B">
        <w:rPr>
          <w:szCs w:val="22"/>
        </w:rPr>
        <w:t>, ο οποίο</w:t>
      </w:r>
      <w:r w:rsidR="00D00204">
        <w:rPr>
          <w:szCs w:val="22"/>
        </w:rPr>
        <w:t>ς</w:t>
      </w:r>
      <w:r w:rsidRPr="003A467B">
        <w:rPr>
          <w:szCs w:val="22"/>
        </w:rPr>
        <w:t xml:space="preserve"> μπορεί να </w:t>
      </w:r>
      <w:r w:rsidR="00D00204">
        <w:rPr>
          <w:szCs w:val="22"/>
        </w:rPr>
        <w:t>αντανακλάται</w:t>
      </w:r>
      <w:r w:rsidRPr="003A467B">
        <w:rPr>
          <w:szCs w:val="22"/>
        </w:rPr>
        <w:t xml:space="preserve"> ή όχι στον αριστερό βραχίονα</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αιφνίδια δύσπνοια</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 xml:space="preserve">αιφνίδια </w:t>
      </w:r>
      <w:r w:rsidR="00D00204">
        <w:rPr>
          <w:szCs w:val="22"/>
        </w:rPr>
        <w:t>εκδήλωση</w:t>
      </w:r>
      <w:r w:rsidRPr="003A467B">
        <w:rPr>
          <w:szCs w:val="22"/>
        </w:rPr>
        <w:t xml:space="preserve"> βήχα</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ασυνήθιστη, έντονη, παρατεταμένη κεφαλαλγία</w:t>
      </w:r>
    </w:p>
    <w:p w:rsidR="0084183B" w:rsidRPr="003A467B" w:rsidRDefault="00A038A2" w:rsidP="00AD3869">
      <w:pPr>
        <w:pStyle w:val="Para0s"/>
        <w:numPr>
          <w:ilvl w:val="0"/>
          <w:numId w:val="16"/>
        </w:numPr>
        <w:tabs>
          <w:tab w:val="clear" w:pos="567"/>
          <w:tab w:val="num" w:pos="284"/>
        </w:tabs>
        <w:ind w:left="284" w:hanging="284"/>
        <w:rPr>
          <w:szCs w:val="22"/>
        </w:rPr>
      </w:pPr>
      <w:r>
        <w:rPr>
          <w:szCs w:val="22"/>
        </w:rPr>
        <w:t>αιφνίδια μερική ή</w:t>
      </w:r>
      <w:r w:rsidR="00B000E5" w:rsidRPr="003A467B">
        <w:rPr>
          <w:szCs w:val="22"/>
        </w:rPr>
        <w:t xml:space="preserve"> ολική</w:t>
      </w:r>
      <w:r w:rsidR="0084183B" w:rsidRPr="003A467B">
        <w:rPr>
          <w:szCs w:val="22"/>
        </w:rPr>
        <w:t xml:space="preserve"> απώλεια όρασης</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διπλωπία</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ψελλίζουσα ομιλία ή αφασία</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ίλιγγο</w:t>
      </w:r>
    </w:p>
    <w:p w:rsidR="0084183B" w:rsidRPr="003A467B" w:rsidRDefault="00D00204" w:rsidP="00AD3869">
      <w:pPr>
        <w:pStyle w:val="Para0s"/>
        <w:numPr>
          <w:ilvl w:val="0"/>
          <w:numId w:val="16"/>
        </w:numPr>
        <w:tabs>
          <w:tab w:val="clear" w:pos="567"/>
          <w:tab w:val="num" w:pos="284"/>
        </w:tabs>
        <w:ind w:left="284" w:hanging="284"/>
        <w:rPr>
          <w:szCs w:val="22"/>
        </w:rPr>
      </w:pPr>
      <w:r>
        <w:rPr>
          <w:szCs w:val="22"/>
        </w:rPr>
        <w:t>κατέρειψη</w:t>
      </w:r>
      <w:r w:rsidR="0084183B" w:rsidRPr="003A467B">
        <w:rPr>
          <w:szCs w:val="22"/>
        </w:rPr>
        <w:t xml:space="preserve"> με ή χωρίς εστιακή επιληπτική κρίση</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αδυναμία ή πολύ έντον</w:t>
      </w:r>
      <w:r w:rsidR="00D00204">
        <w:rPr>
          <w:szCs w:val="22"/>
        </w:rPr>
        <w:t>η</w:t>
      </w:r>
      <w:r w:rsidRPr="003A467B">
        <w:rPr>
          <w:szCs w:val="22"/>
        </w:rPr>
        <w:t xml:space="preserve"> </w:t>
      </w:r>
      <w:r w:rsidR="00D00204">
        <w:rPr>
          <w:szCs w:val="22"/>
        </w:rPr>
        <w:t>αιμωδία</w:t>
      </w:r>
      <w:r w:rsidRPr="003A467B">
        <w:rPr>
          <w:szCs w:val="22"/>
        </w:rPr>
        <w:t xml:space="preserve"> που προσβάλλει ξαφνικά μία πλευρά ή ένα μέρος του σώματος</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κινητικές διαταραχές</w:t>
      </w:r>
    </w:p>
    <w:p w:rsidR="0084183B" w:rsidRPr="003A467B" w:rsidRDefault="0084183B" w:rsidP="00AD3869">
      <w:pPr>
        <w:pStyle w:val="Para0s"/>
        <w:numPr>
          <w:ilvl w:val="0"/>
          <w:numId w:val="16"/>
        </w:numPr>
        <w:tabs>
          <w:tab w:val="clear" w:pos="567"/>
          <w:tab w:val="num" w:pos="284"/>
        </w:tabs>
        <w:ind w:left="284" w:hanging="284"/>
        <w:rPr>
          <w:szCs w:val="22"/>
        </w:rPr>
      </w:pPr>
      <w:r w:rsidRPr="003A467B">
        <w:rPr>
          <w:szCs w:val="22"/>
        </w:rPr>
        <w:t>«οξεία» κοιλία.</w:t>
      </w:r>
    </w:p>
    <w:p w:rsidR="00B40D34" w:rsidRPr="003A467B" w:rsidRDefault="00B40D34" w:rsidP="00B40D34">
      <w:pPr>
        <w:pStyle w:val="Para0s"/>
        <w:rPr>
          <w:szCs w:val="22"/>
        </w:rPr>
      </w:pPr>
    </w:p>
    <w:p w:rsidR="0084183B" w:rsidRPr="003A467B" w:rsidRDefault="0084183B" w:rsidP="00AD3869">
      <w:pPr>
        <w:pStyle w:val="Para0s"/>
        <w:jc w:val="both"/>
        <w:rPr>
          <w:szCs w:val="22"/>
        </w:rPr>
      </w:pPr>
      <w:r w:rsidRPr="003A467B">
        <w:rPr>
          <w:szCs w:val="22"/>
        </w:rPr>
        <w:t>Ο κίνδυνος για φλεβικές θρομβοεμβολικές επιπλοκές σε χρήστριες συνδυασμένων από του στόματος αντισυλληπτικών αυξάνεται με:</w:t>
      </w:r>
    </w:p>
    <w:p w:rsidR="0084183B" w:rsidRPr="003A467B" w:rsidRDefault="0084183B" w:rsidP="00AD3869">
      <w:pPr>
        <w:pStyle w:val="Para0s"/>
        <w:numPr>
          <w:ilvl w:val="0"/>
          <w:numId w:val="17"/>
        </w:numPr>
        <w:tabs>
          <w:tab w:val="clear" w:pos="567"/>
          <w:tab w:val="num" w:pos="284"/>
        </w:tabs>
        <w:ind w:left="284" w:hanging="284"/>
        <w:rPr>
          <w:szCs w:val="22"/>
        </w:rPr>
      </w:pPr>
      <w:r w:rsidRPr="003A467B">
        <w:rPr>
          <w:szCs w:val="22"/>
        </w:rPr>
        <w:t xml:space="preserve">την </w:t>
      </w:r>
      <w:r w:rsidR="00D00204">
        <w:rPr>
          <w:szCs w:val="22"/>
        </w:rPr>
        <w:t>αυξανόμενη</w:t>
      </w:r>
      <w:r w:rsidR="00B40D34" w:rsidRPr="003A467B">
        <w:rPr>
          <w:szCs w:val="22"/>
        </w:rPr>
        <w:t xml:space="preserve"> </w:t>
      </w:r>
      <w:r w:rsidRPr="003A467B">
        <w:rPr>
          <w:szCs w:val="22"/>
        </w:rPr>
        <w:t>ηλικία</w:t>
      </w:r>
    </w:p>
    <w:p w:rsidR="0084183B" w:rsidRPr="003A467B" w:rsidRDefault="00A038A2" w:rsidP="00AD3869">
      <w:pPr>
        <w:pStyle w:val="Para0s"/>
        <w:numPr>
          <w:ilvl w:val="0"/>
          <w:numId w:val="17"/>
        </w:numPr>
        <w:tabs>
          <w:tab w:val="clear" w:pos="567"/>
          <w:tab w:val="num" w:pos="284"/>
        </w:tabs>
        <w:ind w:left="284" w:hanging="284"/>
        <w:jc w:val="both"/>
        <w:rPr>
          <w:szCs w:val="22"/>
        </w:rPr>
      </w:pPr>
      <w:r>
        <w:rPr>
          <w:szCs w:val="22"/>
        </w:rPr>
        <w:t xml:space="preserve">το </w:t>
      </w:r>
      <w:r w:rsidR="0084183B" w:rsidRPr="003A467B">
        <w:rPr>
          <w:szCs w:val="22"/>
        </w:rPr>
        <w:t>θετικό οικογενειακό ιστορικό (φλεβική θρομβοεμβολή σε κάποιον</w:t>
      </w:r>
      <w:r w:rsidR="00D00204">
        <w:rPr>
          <w:szCs w:val="22"/>
        </w:rPr>
        <w:t>/α</w:t>
      </w:r>
      <w:r w:rsidR="0084183B" w:rsidRPr="003A467B">
        <w:rPr>
          <w:szCs w:val="22"/>
        </w:rPr>
        <w:t xml:space="preserve"> αδελφό</w:t>
      </w:r>
      <w:r w:rsidR="00D00204">
        <w:rPr>
          <w:szCs w:val="22"/>
        </w:rPr>
        <w:t>/ή</w:t>
      </w:r>
      <w:r w:rsidR="0084183B" w:rsidRPr="003A467B">
        <w:rPr>
          <w:szCs w:val="22"/>
        </w:rPr>
        <w:t xml:space="preserve"> ή γονέα σε σχετικά νεαρή ηλικία). Εάν υπάρχει υποψία κληρονομικής προδιάθεσης, η γυναίκα πρέπει να</w:t>
      </w:r>
      <w:r w:rsidR="004641D6">
        <w:rPr>
          <w:szCs w:val="22"/>
        </w:rPr>
        <w:t xml:space="preserve"> </w:t>
      </w:r>
      <w:r w:rsidR="00D00204">
        <w:rPr>
          <w:szCs w:val="22"/>
        </w:rPr>
        <w:t>παραπεμφθεί σε ειδικό</w:t>
      </w:r>
      <w:r w:rsidR="0084183B" w:rsidRPr="003A467B">
        <w:rPr>
          <w:szCs w:val="22"/>
        </w:rPr>
        <w:t>, πριν αποφασίσει για τη χρήση οποιουδήποτε συνδυασμένου από του στόματος αντισυλληπτικού.</w:t>
      </w:r>
    </w:p>
    <w:p w:rsidR="0084183B" w:rsidRPr="003A467B" w:rsidRDefault="00A038A2" w:rsidP="00AD3869">
      <w:pPr>
        <w:pStyle w:val="Para0s"/>
        <w:numPr>
          <w:ilvl w:val="0"/>
          <w:numId w:val="17"/>
        </w:numPr>
        <w:tabs>
          <w:tab w:val="clear" w:pos="567"/>
          <w:tab w:val="num" w:pos="284"/>
        </w:tabs>
        <w:ind w:left="284" w:hanging="284"/>
        <w:jc w:val="both"/>
        <w:rPr>
          <w:szCs w:val="22"/>
        </w:rPr>
      </w:pPr>
      <w:r>
        <w:rPr>
          <w:szCs w:val="22"/>
        </w:rPr>
        <w:t xml:space="preserve">την </w:t>
      </w:r>
      <w:r w:rsidR="0084183B" w:rsidRPr="003A467B">
        <w:rPr>
          <w:szCs w:val="22"/>
        </w:rPr>
        <w:t xml:space="preserve">παρατεταμένη ακινητοποίηση, </w:t>
      </w:r>
      <w:r>
        <w:rPr>
          <w:szCs w:val="22"/>
        </w:rPr>
        <w:t xml:space="preserve">τις </w:t>
      </w:r>
      <w:r w:rsidR="0084183B" w:rsidRPr="003A467B">
        <w:rPr>
          <w:szCs w:val="22"/>
        </w:rPr>
        <w:t xml:space="preserve">μείζονες χειρουργικές επεμβάσεις, οποιαδήποτε </w:t>
      </w:r>
      <w:r w:rsidR="00D00204">
        <w:rPr>
          <w:szCs w:val="22"/>
        </w:rPr>
        <w:t xml:space="preserve">χειρουργική </w:t>
      </w:r>
      <w:r w:rsidR="0084183B" w:rsidRPr="003A467B">
        <w:rPr>
          <w:szCs w:val="22"/>
        </w:rPr>
        <w:t>επέμβαση στα κάτω άκρα, σοβαρό τραύμα. Σε αυτές τις καταστάσεις, συνιστάται η διακοπή της λήψης του αντισυλληπτικού (στην περίπτωση προγραμματισμένης επέμβασης τουλάχιστον τέσσερις εβδομάδες πριν) και η επαναχορήγησή του τουλάχιστον δύο εβδομάδες μετά την πλήρη επανακινητοποίηση.</w:t>
      </w:r>
      <w:r w:rsidR="005A44E3" w:rsidRPr="003A467B">
        <w:rPr>
          <w:szCs w:val="22"/>
        </w:rPr>
        <w:t xml:space="preserve"> </w:t>
      </w:r>
      <w:r w:rsidR="0084183B" w:rsidRPr="003A467B">
        <w:rPr>
          <w:szCs w:val="22"/>
        </w:rPr>
        <w:t xml:space="preserve">Πρέπει να εξετάζεται η χορήγηση αντιθρομβωτικής αγωγής, εάν η χρήση των αντισυλληπτικών δισκίων δεν έχει </w:t>
      </w:r>
      <w:r w:rsidR="00D00204">
        <w:rPr>
          <w:szCs w:val="22"/>
        </w:rPr>
        <w:t>διακοπεί</w:t>
      </w:r>
      <w:r w:rsidR="004641D6">
        <w:rPr>
          <w:szCs w:val="22"/>
        </w:rPr>
        <w:t xml:space="preserve"> </w:t>
      </w:r>
      <w:r w:rsidR="0084183B" w:rsidRPr="003A467B">
        <w:rPr>
          <w:szCs w:val="22"/>
        </w:rPr>
        <w:t xml:space="preserve">εκ των </w:t>
      </w:r>
      <w:r w:rsidR="004641D6" w:rsidRPr="003A467B">
        <w:rPr>
          <w:szCs w:val="22"/>
        </w:rPr>
        <w:t>προτέρων</w:t>
      </w:r>
      <w:r w:rsidR="0084183B" w:rsidRPr="003A467B">
        <w:rPr>
          <w:szCs w:val="22"/>
        </w:rPr>
        <w:t>.</w:t>
      </w:r>
    </w:p>
    <w:p w:rsidR="0084183B" w:rsidRPr="003A467B" w:rsidRDefault="007B5FCA" w:rsidP="00AD3869">
      <w:pPr>
        <w:pStyle w:val="Para0s"/>
        <w:numPr>
          <w:ilvl w:val="0"/>
          <w:numId w:val="17"/>
        </w:numPr>
        <w:tabs>
          <w:tab w:val="clear" w:pos="567"/>
          <w:tab w:val="num" w:pos="284"/>
        </w:tabs>
        <w:ind w:left="284" w:hanging="284"/>
        <w:rPr>
          <w:szCs w:val="22"/>
        </w:rPr>
      </w:pPr>
      <w:r>
        <w:rPr>
          <w:szCs w:val="22"/>
        </w:rPr>
        <w:t>τ</w:t>
      </w:r>
      <w:r w:rsidR="0071499F">
        <w:rPr>
          <w:szCs w:val="22"/>
        </w:rPr>
        <w:t xml:space="preserve">ην </w:t>
      </w:r>
      <w:r w:rsidR="0084183B" w:rsidRPr="003A467B">
        <w:rPr>
          <w:szCs w:val="22"/>
        </w:rPr>
        <w:t>παχυσαρκία (δείκτης μάζας σώματος μεγαλύτερος από 30</w:t>
      </w:r>
      <w:r w:rsidR="00632826" w:rsidRPr="003A467B">
        <w:rPr>
          <w:szCs w:val="22"/>
        </w:rPr>
        <w:t> </w:t>
      </w:r>
      <w:r w:rsidR="0084183B" w:rsidRPr="003A467B">
        <w:rPr>
          <w:szCs w:val="22"/>
        </w:rPr>
        <w:t>kg/m²)</w:t>
      </w:r>
    </w:p>
    <w:p w:rsidR="0084183B" w:rsidRPr="003A467B" w:rsidRDefault="0084183B" w:rsidP="00AD3869">
      <w:pPr>
        <w:pStyle w:val="Para0s"/>
        <w:numPr>
          <w:ilvl w:val="0"/>
          <w:numId w:val="17"/>
        </w:numPr>
        <w:tabs>
          <w:tab w:val="clear" w:pos="567"/>
          <w:tab w:val="num" w:pos="284"/>
        </w:tabs>
        <w:ind w:left="284" w:hanging="284"/>
        <w:rPr>
          <w:szCs w:val="22"/>
        </w:rPr>
      </w:pPr>
      <w:r w:rsidRPr="003A467B">
        <w:rPr>
          <w:szCs w:val="22"/>
        </w:rPr>
        <w:t>δεν υπάρχει ομοφωνία σχετικά με τον πιθανό ρόλο των φλεβικών κιρσών και της επιπολής θρομβοφλεβίτιδας στην έναρξη ή επιδείνωση της φλεβικής θρόμβωσης.</w:t>
      </w:r>
    </w:p>
    <w:p w:rsidR="00632826" w:rsidRPr="003A467B" w:rsidRDefault="00632826" w:rsidP="00632826">
      <w:pPr>
        <w:pStyle w:val="Para0s"/>
        <w:rPr>
          <w:szCs w:val="22"/>
        </w:rPr>
      </w:pPr>
    </w:p>
    <w:p w:rsidR="0084183B" w:rsidRPr="003A467B" w:rsidRDefault="0084183B" w:rsidP="00AD3869">
      <w:pPr>
        <w:pStyle w:val="Para0s"/>
        <w:jc w:val="both"/>
        <w:rPr>
          <w:szCs w:val="22"/>
        </w:rPr>
      </w:pPr>
      <w:r w:rsidRPr="003A467B">
        <w:rPr>
          <w:szCs w:val="22"/>
        </w:rPr>
        <w:lastRenderedPageBreak/>
        <w:t xml:space="preserve">Ο κίνδυνος για αρτηριακές θρομβοεμβολικές επιπλοκές </w:t>
      </w:r>
      <w:r w:rsidR="00F23CD5" w:rsidRPr="003A467B">
        <w:rPr>
          <w:szCs w:val="22"/>
        </w:rPr>
        <w:t xml:space="preserve">ή αγγειακού εγκεφαλικού επεισοδίου </w:t>
      </w:r>
      <w:r w:rsidRPr="003A467B">
        <w:rPr>
          <w:szCs w:val="22"/>
        </w:rPr>
        <w:t>σε χρήστριες συνδυασμένων από του στόματος αντισυλληπτικών αυξάνεται με:</w:t>
      </w:r>
    </w:p>
    <w:p w:rsidR="0084183B" w:rsidRPr="003A467B" w:rsidRDefault="0084183B" w:rsidP="00AD3869">
      <w:pPr>
        <w:pStyle w:val="Para0s"/>
        <w:numPr>
          <w:ilvl w:val="0"/>
          <w:numId w:val="18"/>
        </w:numPr>
        <w:tabs>
          <w:tab w:val="clear" w:pos="567"/>
          <w:tab w:val="num" w:pos="284"/>
        </w:tabs>
        <w:ind w:left="284" w:hanging="284"/>
        <w:jc w:val="both"/>
        <w:rPr>
          <w:szCs w:val="22"/>
        </w:rPr>
      </w:pPr>
      <w:r w:rsidRPr="003A467B">
        <w:rPr>
          <w:szCs w:val="22"/>
        </w:rPr>
        <w:t xml:space="preserve">την </w:t>
      </w:r>
      <w:r w:rsidR="00A02042">
        <w:rPr>
          <w:szCs w:val="22"/>
        </w:rPr>
        <w:t>αυξανόμενη</w:t>
      </w:r>
      <w:r w:rsidR="00B40D34" w:rsidRPr="003A467B">
        <w:rPr>
          <w:szCs w:val="22"/>
        </w:rPr>
        <w:t xml:space="preserve"> </w:t>
      </w:r>
      <w:r w:rsidRPr="003A467B">
        <w:rPr>
          <w:szCs w:val="22"/>
        </w:rPr>
        <w:t>ηλικία</w:t>
      </w:r>
    </w:p>
    <w:p w:rsidR="0084183B"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το </w:t>
      </w:r>
      <w:r w:rsidR="0084183B" w:rsidRPr="003A467B">
        <w:rPr>
          <w:szCs w:val="22"/>
        </w:rPr>
        <w:t>κάπνισμα (γυναίκες μεγαλύτερες των 35 ετών πρέπει να συμβουλεύονται έντονα να μην καπνίζουν, εάν θέλουν να χρησιμοποιούν συνδυασμένα από του στόματος αντισυλληπτικά)</w:t>
      </w:r>
    </w:p>
    <w:p w:rsidR="0084183B"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τη </w:t>
      </w:r>
      <w:r w:rsidR="0084183B" w:rsidRPr="003A467B">
        <w:rPr>
          <w:szCs w:val="22"/>
        </w:rPr>
        <w:t>δυσλιποπρωτεϊναιμία</w:t>
      </w:r>
    </w:p>
    <w:p w:rsidR="0084183B"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την </w:t>
      </w:r>
      <w:r w:rsidR="0084183B" w:rsidRPr="003A467B">
        <w:rPr>
          <w:szCs w:val="22"/>
        </w:rPr>
        <w:t>υπέρταση</w:t>
      </w:r>
    </w:p>
    <w:p w:rsidR="002864FD"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την </w:t>
      </w:r>
      <w:r w:rsidR="002864FD" w:rsidRPr="003A467B">
        <w:rPr>
          <w:szCs w:val="22"/>
        </w:rPr>
        <w:t>ημικρανία</w:t>
      </w:r>
    </w:p>
    <w:p w:rsidR="00316B8F" w:rsidRPr="003A467B" w:rsidRDefault="0071499F" w:rsidP="006F0FD0">
      <w:pPr>
        <w:pStyle w:val="Para0s"/>
        <w:numPr>
          <w:ilvl w:val="0"/>
          <w:numId w:val="18"/>
        </w:numPr>
        <w:tabs>
          <w:tab w:val="clear" w:pos="567"/>
        </w:tabs>
        <w:ind w:left="284" w:hanging="284"/>
        <w:rPr>
          <w:szCs w:val="22"/>
        </w:rPr>
      </w:pPr>
      <w:r>
        <w:rPr>
          <w:szCs w:val="22"/>
        </w:rPr>
        <w:t xml:space="preserve">την </w:t>
      </w:r>
      <w:r w:rsidR="00316B8F" w:rsidRPr="003A467B">
        <w:rPr>
          <w:szCs w:val="22"/>
        </w:rPr>
        <w:t>παχυσαρκία (δείκτης μάζας σώματος μεγαλύτερος από 30 kg/m²)</w:t>
      </w:r>
    </w:p>
    <w:p w:rsidR="00316B8F"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το </w:t>
      </w:r>
      <w:r w:rsidR="003566D7" w:rsidRPr="003A467B">
        <w:rPr>
          <w:szCs w:val="22"/>
        </w:rPr>
        <w:t>θετικό οικογενειακό ιστορικό (αρτηριακή θρομβοεμβολή σε κάποιον</w:t>
      </w:r>
      <w:r w:rsidR="00A02042">
        <w:rPr>
          <w:szCs w:val="22"/>
        </w:rPr>
        <w:t>/α</w:t>
      </w:r>
      <w:r w:rsidR="003566D7" w:rsidRPr="003A467B">
        <w:rPr>
          <w:szCs w:val="22"/>
        </w:rPr>
        <w:t xml:space="preserve"> αδελφό</w:t>
      </w:r>
      <w:r w:rsidR="00A02042">
        <w:rPr>
          <w:szCs w:val="22"/>
        </w:rPr>
        <w:t>/ή</w:t>
      </w:r>
      <w:r w:rsidR="003566D7" w:rsidRPr="003A467B">
        <w:rPr>
          <w:szCs w:val="22"/>
        </w:rPr>
        <w:t xml:space="preserve"> ή γονέα σε σχετικά νεαρή ηλικία). Εάν υπάρχει υποψία κληρονομικής προδιάθεσης, η γυναίκα πρέπει να</w:t>
      </w:r>
      <w:r w:rsidR="004641D6">
        <w:rPr>
          <w:szCs w:val="22"/>
        </w:rPr>
        <w:t xml:space="preserve"> </w:t>
      </w:r>
      <w:r w:rsidR="00A02042">
        <w:rPr>
          <w:szCs w:val="22"/>
        </w:rPr>
        <w:t>παραπεμφθεί σε ειδικό</w:t>
      </w:r>
      <w:r w:rsidR="003566D7" w:rsidRPr="003A467B">
        <w:rPr>
          <w:szCs w:val="22"/>
        </w:rPr>
        <w:t>, πριν αποφασίσει για τη χρήση οποιουδήποτε συνδυασμένου από του στόματος αντισυλληπτικού</w:t>
      </w:r>
    </w:p>
    <w:p w:rsidR="0084183B"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τη </w:t>
      </w:r>
      <w:r w:rsidR="00A02042">
        <w:rPr>
          <w:szCs w:val="22"/>
        </w:rPr>
        <w:t xml:space="preserve">βαλβιδική καρδιοπάθεια </w:t>
      </w:r>
    </w:p>
    <w:p w:rsidR="0084183B" w:rsidRPr="003A467B" w:rsidRDefault="0071499F" w:rsidP="00AD3869">
      <w:pPr>
        <w:pStyle w:val="Para0s"/>
        <w:numPr>
          <w:ilvl w:val="0"/>
          <w:numId w:val="18"/>
        </w:numPr>
        <w:tabs>
          <w:tab w:val="clear" w:pos="567"/>
          <w:tab w:val="num" w:pos="284"/>
        </w:tabs>
        <w:ind w:left="284" w:hanging="284"/>
        <w:jc w:val="both"/>
        <w:rPr>
          <w:szCs w:val="22"/>
        </w:rPr>
      </w:pPr>
      <w:r>
        <w:rPr>
          <w:szCs w:val="22"/>
        </w:rPr>
        <w:t xml:space="preserve">την </w:t>
      </w:r>
      <w:r w:rsidR="0084183B" w:rsidRPr="003A467B">
        <w:rPr>
          <w:szCs w:val="22"/>
        </w:rPr>
        <w:t>κολπική μαρμαρυγή</w:t>
      </w:r>
    </w:p>
    <w:p w:rsidR="00632826" w:rsidRPr="003A467B" w:rsidRDefault="00632826" w:rsidP="00AD3869">
      <w:pPr>
        <w:pStyle w:val="Para0s"/>
        <w:jc w:val="both"/>
        <w:rPr>
          <w:szCs w:val="22"/>
        </w:rPr>
      </w:pPr>
    </w:p>
    <w:p w:rsidR="0084183B" w:rsidRPr="003A467B" w:rsidRDefault="0084183B" w:rsidP="00AD3869">
      <w:pPr>
        <w:pStyle w:val="Para0s"/>
        <w:jc w:val="both"/>
        <w:rPr>
          <w:szCs w:val="22"/>
        </w:rPr>
      </w:pPr>
      <w:r w:rsidRPr="003A467B">
        <w:rPr>
          <w:szCs w:val="22"/>
        </w:rPr>
        <w:t>Η παρουσία ενός σοβαρού παράγοντα ή πολλαπλών παραγόντων κινδύνου για φλεβική ή αρτηριακή νόσο, αντίστοιχα, μπορεί επίσης να αποτελεί</w:t>
      </w:r>
      <w:r w:rsidR="005A44E3" w:rsidRPr="003A467B">
        <w:rPr>
          <w:szCs w:val="22"/>
        </w:rPr>
        <w:t xml:space="preserve"> </w:t>
      </w:r>
      <w:r w:rsidRPr="003A467B">
        <w:rPr>
          <w:szCs w:val="22"/>
        </w:rPr>
        <w:t>αντένδειξη. Πρέπει επίσης να λαμβάνεται υπόψη η πιθανότητα αντιπηκτικής θεραπείας. Πρέπει να γίνεται ιδιαίτερη επισήμανση στις γυναίκες που λαμβάνουν συνδυασμένα από του στόματος αντισυλληπτικά να έρχονται σε επαφή με το γιατρό τους σε περίπτωση πιθανών συμπτωμάτων θρόμβωσης. Σε περίπτωση που υπάρχει υποψία θρόμβωσης ή επιβεβαιωμένη θρόμβωση, η χρήση του συνδυασμένου από του στόματος αντισυλληπτικού πρέπει να διακόπτεται. Λόγω της τερατογεννητικής δράσης της αντιπηκτικής θεραπείας (κουμαρίνες)</w:t>
      </w:r>
      <w:r w:rsidR="0071499F">
        <w:rPr>
          <w:szCs w:val="22"/>
        </w:rPr>
        <w:t>,</w:t>
      </w:r>
      <w:r w:rsidRPr="003A467B">
        <w:rPr>
          <w:szCs w:val="22"/>
        </w:rPr>
        <w:t xml:space="preserve"> πρέπει να ξεκινά επαρκής, εναλλακτική αντισύλληψη.</w:t>
      </w:r>
    </w:p>
    <w:p w:rsidR="00632826" w:rsidRPr="003A467B" w:rsidRDefault="00632826"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Πρέπει να ληφθεί υπόψη ο αυξημένος κίνδυνος θρομβοεμβολής στη λοχεία (για πληροφορίες σχετικά με την "Κύηση και γαλουχία" βλ. </w:t>
      </w:r>
      <w:r w:rsidR="00EE1B2E" w:rsidRPr="003A467B">
        <w:rPr>
          <w:szCs w:val="22"/>
        </w:rPr>
        <w:t xml:space="preserve">παράγραφο </w:t>
      </w:r>
      <w:r w:rsidRPr="003A467B">
        <w:rPr>
          <w:szCs w:val="22"/>
        </w:rPr>
        <w:t>4.6).</w:t>
      </w:r>
    </w:p>
    <w:p w:rsidR="00632826" w:rsidRPr="003A467B" w:rsidRDefault="00632826" w:rsidP="00AD3869">
      <w:pPr>
        <w:pStyle w:val="Para0s"/>
        <w:jc w:val="both"/>
        <w:rPr>
          <w:szCs w:val="22"/>
        </w:rPr>
      </w:pPr>
    </w:p>
    <w:p w:rsidR="0084183B" w:rsidRPr="003A467B" w:rsidRDefault="0084183B" w:rsidP="00AD3869">
      <w:pPr>
        <w:pStyle w:val="Para0s"/>
        <w:jc w:val="both"/>
        <w:rPr>
          <w:szCs w:val="22"/>
        </w:rPr>
      </w:pPr>
      <w:r w:rsidRPr="003A467B">
        <w:rPr>
          <w:szCs w:val="22"/>
        </w:rPr>
        <w:t>Άλλες ιατρικές καταστάσεις, οι οποίες σχετίστηκαν με ανεπιθύμητες ενέργειες στο αγγειακό σύστημα</w:t>
      </w:r>
      <w:r w:rsidR="007B5FCA">
        <w:rPr>
          <w:szCs w:val="22"/>
        </w:rPr>
        <w:t>,</w:t>
      </w:r>
      <w:r w:rsidRPr="003A467B">
        <w:rPr>
          <w:szCs w:val="22"/>
        </w:rPr>
        <w:t xml:space="preserve"> περιλαμβάνουν το σακχαρώδη διαβήτη, το συστηματικό ερυθηματώδη λύκο, το αιμολυτικό ουραιμικό σύνδρομο και τις χρόνιες φλεγμονώδεις νόσους του εντέρου (νόσος Crohn ή ελκώδης κολίτιδα)</w:t>
      </w:r>
      <w:r w:rsidR="002864FD" w:rsidRPr="003A467B">
        <w:rPr>
          <w:szCs w:val="22"/>
        </w:rPr>
        <w:t xml:space="preserve">, καθώς και </w:t>
      </w:r>
      <w:r w:rsidR="00604C73">
        <w:rPr>
          <w:szCs w:val="22"/>
        </w:rPr>
        <w:t xml:space="preserve">τη </w:t>
      </w:r>
      <w:r w:rsidR="002864FD" w:rsidRPr="003A467B">
        <w:rPr>
          <w:szCs w:val="22"/>
        </w:rPr>
        <w:t>δρεπανοκυτταρική αναιμία</w:t>
      </w:r>
      <w:r w:rsidRPr="003A467B">
        <w:rPr>
          <w:szCs w:val="22"/>
        </w:rPr>
        <w:t>.</w:t>
      </w:r>
    </w:p>
    <w:p w:rsidR="00632826" w:rsidRPr="003A467B" w:rsidRDefault="00632826" w:rsidP="00AD3869">
      <w:pPr>
        <w:pStyle w:val="Para0s"/>
        <w:jc w:val="both"/>
        <w:rPr>
          <w:szCs w:val="22"/>
        </w:rPr>
      </w:pPr>
    </w:p>
    <w:p w:rsidR="0084183B" w:rsidRPr="003A467B" w:rsidRDefault="0084183B" w:rsidP="00AD3869">
      <w:pPr>
        <w:pStyle w:val="Para0s"/>
        <w:jc w:val="both"/>
        <w:rPr>
          <w:szCs w:val="22"/>
        </w:rPr>
      </w:pPr>
      <w:r w:rsidRPr="003A467B">
        <w:rPr>
          <w:szCs w:val="22"/>
        </w:rPr>
        <w:t>Η αύξηση στη συχνότητα ή την ένταση της ημικρανίας κατά τη διάρκεια της χρήσης του συνδυασμένου από του στόματος αντισυλληπτικού (η οποία μπορεί να είναι πρόδρομο σύμπτωμα ενός αγγειακού εγκεφαλικού επεισοδίου) μπορεί να αποτελέσει αιτία άμεσης διακοπής του αντισυλληπτικού.</w:t>
      </w:r>
    </w:p>
    <w:p w:rsidR="00632826" w:rsidRPr="003A467B" w:rsidRDefault="00632826" w:rsidP="00AD3869">
      <w:pPr>
        <w:pStyle w:val="Para0s"/>
        <w:jc w:val="both"/>
        <w:rPr>
          <w:szCs w:val="22"/>
        </w:rPr>
      </w:pPr>
    </w:p>
    <w:p w:rsidR="0084183B" w:rsidRPr="003A467B" w:rsidRDefault="0084183B" w:rsidP="00AD3869">
      <w:pPr>
        <w:pStyle w:val="Bullet0dKT"/>
        <w:numPr>
          <w:ilvl w:val="0"/>
          <w:numId w:val="24"/>
        </w:numPr>
        <w:jc w:val="both"/>
        <w:rPr>
          <w:szCs w:val="22"/>
        </w:rPr>
      </w:pPr>
      <w:r w:rsidRPr="003A467B">
        <w:rPr>
          <w:szCs w:val="22"/>
        </w:rPr>
        <w:t>Όγκοι</w:t>
      </w:r>
    </w:p>
    <w:p w:rsidR="0084183B" w:rsidRPr="003A467B" w:rsidRDefault="002F76D1" w:rsidP="00AD3869">
      <w:pPr>
        <w:pStyle w:val="Para0s"/>
        <w:jc w:val="both"/>
        <w:rPr>
          <w:szCs w:val="22"/>
        </w:rPr>
      </w:pPr>
      <w:r w:rsidRPr="003A467B">
        <w:rPr>
          <w:szCs w:val="22"/>
        </w:rPr>
        <w:t>Σε μερικές επιδημιολογικές μελέτες έχει αναφερθεί αυξημένος κίνδυνος καρκίνου του τραχήλου σε χρήστριες συνδυασμένων α</w:t>
      </w:r>
      <w:r w:rsidR="00E655EB">
        <w:rPr>
          <w:szCs w:val="22"/>
        </w:rPr>
        <w:t>πό του στόματος αντισυλληπτικών</w:t>
      </w:r>
      <w:r w:rsidRPr="003A467B">
        <w:rPr>
          <w:szCs w:val="22"/>
        </w:rPr>
        <w:t xml:space="preserve"> για μεγάλο χρονικό διάστημα (&gt; 5 χρόνια)</w:t>
      </w:r>
      <w:r w:rsidR="00DB61C5" w:rsidRPr="003A467B">
        <w:rPr>
          <w:szCs w:val="22"/>
        </w:rPr>
        <w:t>,</w:t>
      </w:r>
      <w:r w:rsidR="0084183B" w:rsidRPr="003A467B">
        <w:rPr>
          <w:szCs w:val="22"/>
        </w:rPr>
        <w:t xml:space="preserve"> αλλά εξακολουθεί να υπάρχει διένεξη σχετικά με το κατά πόσο αυτό το εύρημα μπορεί να αποδοθεί σε συνυπάρχοντες παράγοντες σεξουαλική</w:t>
      </w:r>
      <w:r w:rsidR="00DB61C5" w:rsidRPr="003A467B">
        <w:rPr>
          <w:szCs w:val="22"/>
        </w:rPr>
        <w:t>ς</w:t>
      </w:r>
      <w:r w:rsidR="0084183B" w:rsidRPr="003A467B">
        <w:rPr>
          <w:szCs w:val="22"/>
        </w:rPr>
        <w:t xml:space="preserve"> συμπεριφορά</w:t>
      </w:r>
      <w:r w:rsidR="00DB61C5" w:rsidRPr="003A467B">
        <w:rPr>
          <w:szCs w:val="22"/>
        </w:rPr>
        <w:t>ς και άλλων παραγόντων</w:t>
      </w:r>
      <w:r w:rsidR="00E655EB">
        <w:rPr>
          <w:szCs w:val="22"/>
        </w:rPr>
        <w:t>,</w:t>
      </w:r>
      <w:r w:rsidR="00DB61C5" w:rsidRPr="003A467B">
        <w:rPr>
          <w:szCs w:val="22"/>
        </w:rPr>
        <w:t xml:space="preserve"> </w:t>
      </w:r>
      <w:r w:rsidR="0049264B" w:rsidRPr="003A467B">
        <w:rPr>
          <w:szCs w:val="22"/>
        </w:rPr>
        <w:t xml:space="preserve">όπως </w:t>
      </w:r>
      <w:r w:rsidR="0084183B" w:rsidRPr="003A467B">
        <w:rPr>
          <w:szCs w:val="22"/>
        </w:rPr>
        <w:t>τ</w:t>
      </w:r>
      <w:r w:rsidR="00DB61C5" w:rsidRPr="003A467B">
        <w:rPr>
          <w:szCs w:val="22"/>
        </w:rPr>
        <w:t>ον</w:t>
      </w:r>
      <w:r w:rsidR="0084183B" w:rsidRPr="003A467B">
        <w:rPr>
          <w:szCs w:val="22"/>
        </w:rPr>
        <w:t xml:space="preserve"> </w:t>
      </w:r>
      <w:r w:rsidR="00DB61C5" w:rsidRPr="003A467B">
        <w:rPr>
          <w:szCs w:val="22"/>
        </w:rPr>
        <w:t xml:space="preserve">ιό των </w:t>
      </w:r>
      <w:r w:rsidR="0084183B" w:rsidRPr="003A467B">
        <w:rPr>
          <w:szCs w:val="22"/>
        </w:rPr>
        <w:t>κονδυλ</w:t>
      </w:r>
      <w:r w:rsidR="00DB61C5" w:rsidRPr="003A467B">
        <w:rPr>
          <w:szCs w:val="22"/>
        </w:rPr>
        <w:t>ωμάτων</w:t>
      </w:r>
      <w:r w:rsidR="0084183B" w:rsidRPr="003A467B">
        <w:rPr>
          <w:szCs w:val="22"/>
        </w:rPr>
        <w:t xml:space="preserve"> στον άνθρωπο (</w:t>
      </w:r>
      <w:r w:rsidR="0084183B" w:rsidRPr="003A467B">
        <w:rPr>
          <w:szCs w:val="22"/>
          <w:lang w:val="en-US"/>
        </w:rPr>
        <w:t>HPV</w:t>
      </w:r>
      <w:r w:rsidR="0084183B" w:rsidRPr="003A467B">
        <w:rPr>
          <w:szCs w:val="22"/>
        </w:rPr>
        <w:t>).</w:t>
      </w:r>
    </w:p>
    <w:p w:rsidR="00632826" w:rsidRPr="003A467B" w:rsidRDefault="00632826" w:rsidP="00AD3869">
      <w:pPr>
        <w:pStyle w:val="Para0s"/>
        <w:jc w:val="both"/>
        <w:rPr>
          <w:szCs w:val="22"/>
        </w:rPr>
      </w:pPr>
    </w:p>
    <w:p w:rsidR="0084183B" w:rsidRPr="003A467B" w:rsidRDefault="0084183B" w:rsidP="00AD3869">
      <w:pPr>
        <w:pStyle w:val="Para0s"/>
        <w:jc w:val="both"/>
        <w:rPr>
          <w:szCs w:val="22"/>
        </w:rPr>
      </w:pPr>
      <w:r w:rsidRPr="003A467B">
        <w:rPr>
          <w:szCs w:val="22"/>
        </w:rPr>
        <w:t>Μία μετα-ανάλυση από 54 επιδημιολογικές μελέτες ανέφερε ότι υπάρχει ελαφρά αυξημένος σχετικός κίνδυνος (RR=1,24) διάγνωσης καρκίνου του μαστού σε γυναίκες, οι οποίες χρησιμοποιούν συνδυασμένα από του στόματος αντισυλληπτικά. Η αύξηση του κινδύνου αυτού εξαφανίζεται σταδιακά κατά τη διάρκεια των 10 χρόνων μετά τη διακοπή της χρήσης των αντισυλληπτικών. Επειδή</w:t>
      </w:r>
      <w:r w:rsidR="00452F27">
        <w:rPr>
          <w:szCs w:val="22"/>
        </w:rPr>
        <w:t xml:space="preserve"> </w:t>
      </w:r>
      <w:r w:rsidRPr="003A467B">
        <w:rPr>
          <w:szCs w:val="22"/>
        </w:rPr>
        <w:t>ο καρκίνος του μαστού είναι σπάνιος σε γυναίκες κάτω των 40 ετών, ο επιπλέον αριθμός διαγνώσεων καρκίνου του μαστού σε γυναίκες που χρησιμοποιούν ή χρησιμοποιούσαν πρόσφατα συνδυασμένα από του στόματος</w:t>
      </w:r>
      <w:r w:rsidR="005A44E3" w:rsidRPr="003A467B">
        <w:rPr>
          <w:szCs w:val="22"/>
        </w:rPr>
        <w:t xml:space="preserve"> </w:t>
      </w:r>
      <w:r w:rsidRPr="003A467B">
        <w:rPr>
          <w:szCs w:val="22"/>
        </w:rPr>
        <w:t xml:space="preserve">αντισυλληπτικά είναι μικρός σε σχέση με το γενικό κίνδυνο καρκίνου του μαστού. Αυτές οι μελέτες δεν παρέχουν στοιχεία αιτιολογικής σχέσης. Η παρατηρούμενη αύξηση του κινδύνου μπορεί να οφείλεται στην έγκαιρη διάγνωση του καρκίνου του μαστού σε γυναίκες που λαμβάνουν συνδυασμένα από του στόματος αντισυλληπτικά, στις βιολογικές επιδράσεις των συνδυασμένων από του στόματος αντισυλληπτικών ή σε συνδυασμό και των δύο. Ο καρκίνος του </w:t>
      </w:r>
      <w:r w:rsidRPr="003A467B">
        <w:rPr>
          <w:szCs w:val="22"/>
        </w:rPr>
        <w:lastRenderedPageBreak/>
        <w:t>μαστού που διαγνώστηκε σε γυναίκες που έκαναν περιστασιακή χρήση συνδυασμένων από του στόματος αντισυλληπτικών τείνει να είναι κλινικά λιγότερο προχωρημένος από τον καρκίνο που διαγνώστηκε σε γυναίκες που δε χρησιμοποίησαν ποτέ συνδυασμένα από του στόματος αντισυλληπτικά.</w:t>
      </w:r>
    </w:p>
    <w:p w:rsidR="00632826" w:rsidRPr="003A467B" w:rsidRDefault="00632826" w:rsidP="00AD3869">
      <w:pPr>
        <w:pStyle w:val="Para0s"/>
        <w:jc w:val="both"/>
        <w:rPr>
          <w:szCs w:val="22"/>
        </w:rPr>
      </w:pPr>
    </w:p>
    <w:p w:rsidR="0084183B" w:rsidRDefault="0084183B" w:rsidP="00AD3869">
      <w:pPr>
        <w:pStyle w:val="Para0s"/>
        <w:jc w:val="both"/>
        <w:rPr>
          <w:szCs w:val="22"/>
        </w:rPr>
      </w:pPr>
      <w:r w:rsidRPr="003A467B">
        <w:rPr>
          <w:szCs w:val="22"/>
        </w:rPr>
        <w:t>Σε σπάνιες περιπτώσεις έχουν αναφε</w:t>
      </w:r>
      <w:r w:rsidR="007B5FCA">
        <w:rPr>
          <w:szCs w:val="22"/>
        </w:rPr>
        <w:t>ρθεί καλοήθεις όγκοι του ήπατος</w:t>
      </w:r>
      <w:r w:rsidRPr="003A467B">
        <w:rPr>
          <w:szCs w:val="22"/>
        </w:rPr>
        <w:t xml:space="preserve"> και</w:t>
      </w:r>
      <w:r w:rsidR="007B5FCA">
        <w:rPr>
          <w:szCs w:val="22"/>
        </w:rPr>
        <w:t>,</w:t>
      </w:r>
      <w:r w:rsidRPr="003A467B">
        <w:rPr>
          <w:szCs w:val="22"/>
        </w:rPr>
        <w:t xml:space="preserve"> ακόμη πιο σπάνια, κακοήθεις όγκοι του ήπατος σε χρήστριες των συνδυασμένων από του στόματος αντισυλληπτικών. Σε μεμονωμένες περιπτώσεις, αυτοί οι όγκοι οδήγησαν σε απειλητικές για τη ζωή ενδοκοιλιακές αιμορραγίες. Η πιθανότητα ηπατικού όγκου θα πρέπει να λαμβάνεται υπόψη στη διαφορική διάγνωση σε περιπτώσεις έντονου πόνου στην άνω κοιλία, διόγκωσης του ήπατος ή σημείων ενδοκοιλιακής αιμορραγίας σε γυναίκες που παίρνουν συνδυασμένα από του στόματος αντισυλληπτικά.</w:t>
      </w:r>
    </w:p>
    <w:p w:rsidR="003A467B" w:rsidRDefault="003A467B" w:rsidP="00AD3869">
      <w:pPr>
        <w:pStyle w:val="Para0s"/>
        <w:jc w:val="both"/>
        <w:rPr>
          <w:szCs w:val="22"/>
        </w:rPr>
      </w:pPr>
    </w:p>
    <w:p w:rsidR="003A467B" w:rsidRPr="003A467B" w:rsidRDefault="003A467B" w:rsidP="00AD3869">
      <w:pPr>
        <w:pStyle w:val="Para0s"/>
        <w:jc w:val="both"/>
        <w:rPr>
          <w:szCs w:val="22"/>
        </w:rPr>
      </w:pPr>
      <w:r>
        <w:rPr>
          <w:szCs w:val="22"/>
        </w:rPr>
        <w:t>Με τη χρήση υψηλότερων δόσεων συνδυασμένων από του στόματος αντισυλληπτικών (50 μ</w:t>
      </w:r>
      <w:r>
        <w:rPr>
          <w:szCs w:val="22"/>
          <w:lang w:val="en-US"/>
        </w:rPr>
        <w:t>g</w:t>
      </w:r>
      <w:r>
        <w:rPr>
          <w:szCs w:val="22"/>
        </w:rPr>
        <w:t xml:space="preserve"> αιθινυλοιστραδιόλη) ο κίνδυνος εμφάνισης καρκίνου το</w:t>
      </w:r>
      <w:r w:rsidR="00452F27">
        <w:rPr>
          <w:szCs w:val="22"/>
        </w:rPr>
        <w:t>υ</w:t>
      </w:r>
      <w:r>
        <w:rPr>
          <w:szCs w:val="22"/>
        </w:rPr>
        <w:t xml:space="preserve"> ενδομητρίου και των ωοθηκών με</w:t>
      </w:r>
      <w:r w:rsidR="00452F27">
        <w:rPr>
          <w:szCs w:val="22"/>
        </w:rPr>
        <w:t>ιώνεται. Παραμένει να επιβεβαιωθεί</w:t>
      </w:r>
      <w:r>
        <w:rPr>
          <w:szCs w:val="22"/>
        </w:rPr>
        <w:t xml:space="preserve"> αν αυτ</w:t>
      </w:r>
      <w:r w:rsidR="00650B61">
        <w:rPr>
          <w:szCs w:val="22"/>
        </w:rPr>
        <w:t>ό</w:t>
      </w:r>
      <w:r>
        <w:rPr>
          <w:szCs w:val="22"/>
        </w:rPr>
        <w:t xml:space="preserve"> </w:t>
      </w:r>
      <w:r w:rsidR="00452F27">
        <w:rPr>
          <w:szCs w:val="22"/>
        </w:rPr>
        <w:t xml:space="preserve">ισχύει και για </w:t>
      </w:r>
      <w:r>
        <w:rPr>
          <w:szCs w:val="22"/>
        </w:rPr>
        <w:t xml:space="preserve">τα συνδυασμένα από του στόματος αντισυλληπτικά χαμηλότερων δόσεων. </w:t>
      </w:r>
    </w:p>
    <w:p w:rsidR="00632826" w:rsidRPr="003A467B" w:rsidRDefault="00632826" w:rsidP="00AD3869">
      <w:pPr>
        <w:pStyle w:val="Para0s"/>
        <w:jc w:val="both"/>
        <w:rPr>
          <w:szCs w:val="22"/>
        </w:rPr>
      </w:pPr>
    </w:p>
    <w:p w:rsidR="0084183B" w:rsidRPr="003A467B" w:rsidRDefault="0084183B" w:rsidP="00AD3869">
      <w:pPr>
        <w:pStyle w:val="Bullet0dKT"/>
        <w:keepNext/>
        <w:numPr>
          <w:ilvl w:val="0"/>
          <w:numId w:val="25"/>
        </w:numPr>
        <w:jc w:val="both"/>
        <w:rPr>
          <w:szCs w:val="22"/>
        </w:rPr>
      </w:pPr>
      <w:r w:rsidRPr="003A467B">
        <w:rPr>
          <w:szCs w:val="22"/>
        </w:rPr>
        <w:t>Άλλες καταστάσεις</w:t>
      </w:r>
    </w:p>
    <w:p w:rsidR="0084183B" w:rsidRPr="003A467B" w:rsidRDefault="005A44E3" w:rsidP="00AD3869">
      <w:pPr>
        <w:pStyle w:val="Para0s"/>
        <w:keepNext/>
        <w:jc w:val="both"/>
        <w:rPr>
          <w:szCs w:val="22"/>
        </w:rPr>
      </w:pPr>
      <w:r w:rsidRPr="003A467B">
        <w:rPr>
          <w:szCs w:val="22"/>
        </w:rPr>
        <w:t xml:space="preserve"> </w:t>
      </w:r>
    </w:p>
    <w:p w:rsidR="0084183B" w:rsidRPr="003A467B" w:rsidRDefault="00067F96" w:rsidP="00AD3869">
      <w:pPr>
        <w:pStyle w:val="Para0s"/>
        <w:jc w:val="both"/>
        <w:rPr>
          <w:szCs w:val="22"/>
        </w:rPr>
      </w:pPr>
      <w:r w:rsidRPr="003A467B">
        <w:rPr>
          <w:szCs w:val="22"/>
        </w:rPr>
        <w:t xml:space="preserve">Το προγεσταγόνο που περιέχεται στο </w:t>
      </w:r>
      <w:r w:rsidR="00CE323C" w:rsidRPr="003A467B">
        <w:rPr>
          <w:szCs w:val="22"/>
          <w:lang w:val="en-US"/>
        </w:rPr>
        <w:t>Yasmin</w:t>
      </w:r>
      <w:r w:rsidRPr="003A467B">
        <w:rPr>
          <w:szCs w:val="22"/>
          <w:vertAlign w:val="superscript"/>
        </w:rPr>
        <w:t>®</w:t>
      </w:r>
      <w:r w:rsidRPr="003A467B">
        <w:rPr>
          <w:szCs w:val="22"/>
        </w:rPr>
        <w:t xml:space="preserve"> είναι ένας ανταγωνιστής της αλδοστερόνης με καλιοσυντηρητικές ιδιότητες.</w:t>
      </w:r>
      <w:r w:rsidR="005A44E3" w:rsidRPr="003A467B">
        <w:rPr>
          <w:szCs w:val="22"/>
        </w:rPr>
        <w:t xml:space="preserve"> </w:t>
      </w:r>
      <w:r w:rsidRPr="003A467B">
        <w:rPr>
          <w:szCs w:val="22"/>
        </w:rPr>
        <w:t>Στις περισσότερες περιπτώσεις δεν αναμένεται αύξηση των επιπέδων του καλίου.</w:t>
      </w:r>
      <w:r w:rsidR="005A44E3" w:rsidRPr="003A467B">
        <w:rPr>
          <w:szCs w:val="22"/>
        </w:rPr>
        <w:t xml:space="preserve"> </w:t>
      </w:r>
      <w:r w:rsidRPr="003A467B">
        <w:rPr>
          <w:szCs w:val="22"/>
        </w:rPr>
        <w:t>Ωστόσο, σε μία κλινική μελέτη κ</w:t>
      </w:r>
      <w:r w:rsidR="00F23CD5" w:rsidRPr="003A467B">
        <w:rPr>
          <w:szCs w:val="22"/>
        </w:rPr>
        <w:t>αι σε ορισμένε</w:t>
      </w:r>
      <w:r w:rsidRPr="003A467B">
        <w:rPr>
          <w:szCs w:val="22"/>
        </w:rPr>
        <w:t>ς ασθενείς με ήπια ή μέτριας βαρύτητας νεφρική ανεπάρκεια και συγχορήγηση καλιοσυντηρητικών φαρμάκων, τα επίπεδα του καλίου στον ορό αυξήθηκαν κατά τη λήψη της δροσπιρενόνης ελαφρά, αλλά όχι σημαντικά.</w:t>
      </w:r>
      <w:r w:rsidR="005A44E3" w:rsidRPr="003A467B">
        <w:rPr>
          <w:szCs w:val="22"/>
        </w:rPr>
        <w:t xml:space="preserve"> </w:t>
      </w:r>
      <w:r w:rsidR="009A5087" w:rsidRPr="003A467B">
        <w:rPr>
          <w:szCs w:val="22"/>
        </w:rPr>
        <w:t>Για το λόγο αυτό, συνιστάται να ελέγχ</w:t>
      </w:r>
      <w:r w:rsidR="00111B59" w:rsidRPr="003A467B">
        <w:rPr>
          <w:szCs w:val="22"/>
        </w:rPr>
        <w:t>ον</w:t>
      </w:r>
      <w:r w:rsidR="009A5087" w:rsidRPr="003A467B">
        <w:rPr>
          <w:szCs w:val="22"/>
        </w:rPr>
        <w:t>ται τ</w:t>
      </w:r>
      <w:r w:rsidR="00111B59" w:rsidRPr="003A467B">
        <w:rPr>
          <w:szCs w:val="22"/>
        </w:rPr>
        <w:t>α</w:t>
      </w:r>
      <w:r w:rsidR="009A5087" w:rsidRPr="003A467B">
        <w:rPr>
          <w:szCs w:val="22"/>
        </w:rPr>
        <w:t xml:space="preserve"> </w:t>
      </w:r>
      <w:r w:rsidR="00111B59" w:rsidRPr="003A467B">
        <w:rPr>
          <w:szCs w:val="22"/>
        </w:rPr>
        <w:t xml:space="preserve">επίπεδα </w:t>
      </w:r>
      <w:r w:rsidR="009A5087" w:rsidRPr="003A467B">
        <w:rPr>
          <w:szCs w:val="22"/>
        </w:rPr>
        <w:t>κ</w:t>
      </w:r>
      <w:r w:rsidR="00111B59" w:rsidRPr="003A467B">
        <w:rPr>
          <w:szCs w:val="22"/>
        </w:rPr>
        <w:t>αλίου σ</w:t>
      </w:r>
      <w:r w:rsidR="009A5087" w:rsidRPr="003A467B">
        <w:rPr>
          <w:szCs w:val="22"/>
        </w:rPr>
        <w:t>το</w:t>
      </w:r>
      <w:r w:rsidR="00111B59" w:rsidRPr="003A467B">
        <w:rPr>
          <w:szCs w:val="22"/>
        </w:rPr>
        <w:t>ν ορό</w:t>
      </w:r>
      <w:r w:rsidR="009A5087" w:rsidRPr="003A467B">
        <w:rPr>
          <w:szCs w:val="22"/>
        </w:rPr>
        <w:t xml:space="preserve"> κατά </w:t>
      </w:r>
      <w:r w:rsidR="006F74A3" w:rsidRPr="003A467B">
        <w:rPr>
          <w:szCs w:val="22"/>
        </w:rPr>
        <w:t>τη διάρκεια του</w:t>
      </w:r>
      <w:r w:rsidR="009A5087" w:rsidRPr="003A467B">
        <w:rPr>
          <w:szCs w:val="22"/>
        </w:rPr>
        <w:t xml:space="preserve"> πρώτο</w:t>
      </w:r>
      <w:r w:rsidR="006F74A3" w:rsidRPr="003A467B">
        <w:rPr>
          <w:szCs w:val="22"/>
        </w:rPr>
        <w:t>υ</w:t>
      </w:r>
      <w:r w:rsidR="009A5087" w:rsidRPr="003A467B">
        <w:rPr>
          <w:szCs w:val="22"/>
        </w:rPr>
        <w:t xml:space="preserve"> θεραπ</w:t>
      </w:r>
      <w:r w:rsidR="006F74A3" w:rsidRPr="003A467B">
        <w:rPr>
          <w:szCs w:val="22"/>
        </w:rPr>
        <w:t>ευτικού κύκλου</w:t>
      </w:r>
      <w:r w:rsidR="009A5087" w:rsidRPr="003A467B">
        <w:rPr>
          <w:szCs w:val="22"/>
        </w:rPr>
        <w:t xml:space="preserve"> σ</w:t>
      </w:r>
      <w:r w:rsidR="009A7490" w:rsidRPr="003A467B">
        <w:rPr>
          <w:szCs w:val="22"/>
        </w:rPr>
        <w:t>τους</w:t>
      </w:r>
      <w:r w:rsidR="009A5087" w:rsidRPr="003A467B">
        <w:rPr>
          <w:szCs w:val="22"/>
        </w:rPr>
        <w:t xml:space="preserve"> ασθενείς που παρουσιάζουν νεφρική ανεπάρκεια </w:t>
      </w:r>
      <w:r w:rsidRPr="003A467B">
        <w:rPr>
          <w:szCs w:val="22"/>
        </w:rPr>
        <w:t>και επίπεδα καλίου στον ορό στα ανώτερα όρια αναφοράς, πριν τη θεραπεία, ιδιαίτερα όταν λαμβάνονται ταυτόχρονα καλιοσυντηρητικά φάρμακα.</w:t>
      </w:r>
      <w:r w:rsidR="005A44E3" w:rsidRPr="003A467B">
        <w:rPr>
          <w:szCs w:val="22"/>
        </w:rPr>
        <w:t xml:space="preserve"> </w:t>
      </w:r>
      <w:r w:rsidR="00081592">
        <w:rPr>
          <w:szCs w:val="22"/>
        </w:rPr>
        <w:t>Βλέπε επίσης παράγραφο</w:t>
      </w:r>
      <w:r w:rsidRPr="003A467B">
        <w:rPr>
          <w:szCs w:val="22"/>
        </w:rPr>
        <w:t xml:space="preserve"> 4.5.</w:t>
      </w:r>
      <w:r w:rsidR="005A44E3" w:rsidRPr="003A467B">
        <w:rPr>
          <w:szCs w:val="22"/>
        </w:rPr>
        <w:t xml:space="preserve"> </w:t>
      </w:r>
    </w:p>
    <w:p w:rsidR="005E717E" w:rsidRPr="003A467B" w:rsidRDefault="005E717E" w:rsidP="00AD3869">
      <w:pPr>
        <w:pStyle w:val="Para0s"/>
        <w:jc w:val="both"/>
        <w:rPr>
          <w:szCs w:val="22"/>
        </w:rPr>
      </w:pPr>
    </w:p>
    <w:p w:rsidR="0084183B" w:rsidRPr="003A467B" w:rsidRDefault="0084183B" w:rsidP="00AD3869">
      <w:pPr>
        <w:pStyle w:val="Para0s"/>
        <w:jc w:val="both"/>
        <w:rPr>
          <w:szCs w:val="22"/>
        </w:rPr>
      </w:pPr>
      <w:r w:rsidRPr="003A467B">
        <w:rPr>
          <w:szCs w:val="22"/>
        </w:rPr>
        <w:t>Οι γυναίκες με υπερτριγλυκεριδαιμία ή μ</w:t>
      </w:r>
      <w:r w:rsidR="00081592">
        <w:rPr>
          <w:szCs w:val="22"/>
        </w:rPr>
        <w:t>ε σχετικό οικογενειακό ιστορικό</w:t>
      </w:r>
      <w:r w:rsidRPr="003A467B">
        <w:rPr>
          <w:szCs w:val="22"/>
        </w:rPr>
        <w:t xml:space="preserve"> μπορεί να διατρέχουν αυξημένο κίνδυνο παγκρεατίτιδας, όταν χρησιμοποιούν συνδυασμένα από του στόματος αντισυλληπτικά.</w:t>
      </w:r>
    </w:p>
    <w:p w:rsidR="0084183B" w:rsidRPr="003A467B" w:rsidRDefault="0084183B" w:rsidP="00AD3869">
      <w:pPr>
        <w:pStyle w:val="Para0s"/>
        <w:jc w:val="both"/>
        <w:rPr>
          <w:szCs w:val="22"/>
        </w:rPr>
      </w:pPr>
      <w:r w:rsidRPr="003A467B">
        <w:rPr>
          <w:szCs w:val="22"/>
        </w:rPr>
        <w:t>Παρόλο που έχουν αναφερθεί μικρές αυξήσεις στην αρτηριακή πίεση σε πολλές γυναίκες που παίρνουν συνδυασμένα από του στόματος αντισυλληπτικά, σπάνια βρέθηκε κλινικά σημαντική αύξηση.</w:t>
      </w:r>
      <w:r w:rsidR="005A44E3" w:rsidRPr="003A467B">
        <w:rPr>
          <w:szCs w:val="22"/>
        </w:rPr>
        <w:t xml:space="preserve"> </w:t>
      </w:r>
      <w:r w:rsidRPr="003A467B">
        <w:rPr>
          <w:szCs w:val="22"/>
        </w:rPr>
        <w:t>Η άμεση διακοπή των συνδυασμένων από του στόματος αντισυλληπτικών είναι δικαιολογημένη μόνο σε αυτές τις σπάνιες περιπτώσεις.</w:t>
      </w:r>
      <w:r w:rsidR="005A44E3" w:rsidRPr="003A467B">
        <w:rPr>
          <w:szCs w:val="22"/>
        </w:rPr>
        <w:t xml:space="preserve"> </w:t>
      </w:r>
      <w:r w:rsidRPr="003A467B">
        <w:rPr>
          <w:szCs w:val="22"/>
        </w:rPr>
        <w:t>Εάν, κατά τη διάρκεια χρήσης ενός συνδυασμένου από του στόματος αντισυλληπτικού σε προϋπάρχουσα κλινική υπέρταση οι επίμονα αυξημένες τιμές αρτηριακής πίεσης ή η σημαντική αύξηση στην αρτηριακή πίεση δεν ανταποκριθούν ικανοποιητικά σε αντιϋπερτασική θεραπεία, πρέπει να διακοπεί η λήψη του αντισυλληπτικού. Όπου κρίνεται κατάλληλο, η χρήση του αντισυλληπτικού μπορεί να ξαναρχίσει, εάν μπορούν να επιτευχθούν φυσιολογικές τιμές της αρτηριακής πίεσης με τη βοήθεια αντιϋπερτασικής αγωγής.</w:t>
      </w:r>
    </w:p>
    <w:p w:rsidR="005E717E" w:rsidRPr="003A467B" w:rsidRDefault="005E717E"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Αναφέρεται ότι οι ακόλουθες καταστάσεις παρουσιάζονται ή επιδεινώνονται και με την εγκυμοσύνη και με τη χρήση συνδυασμένων από του στόματος αντισυλληπτικών, αλλά δεν υπάρχει τεκμηριωμένη απόδειξη αυτού του συσχετισμού για τα από του στόματος αντισυλληπτικά: ίκτερος </w:t>
      </w:r>
      <w:r w:rsidR="00CE323C" w:rsidRPr="003A467B">
        <w:rPr>
          <w:szCs w:val="22"/>
        </w:rPr>
        <w:t>και/ή</w:t>
      </w:r>
      <w:r w:rsidRPr="003A467B">
        <w:rPr>
          <w:szCs w:val="22"/>
        </w:rPr>
        <w:t xml:space="preserve"> κνησμός οφειλόμενος σε χολόσταση, χολολιθίαση, πορφυρία, συστηματικός ερυθηματώδης λύκος, αιμολυτικό ουραιμικό σύνδρομο, χορεία του Sydenham, έρπης κυήσεως, απώλεια ακοής οφειλόμενη σε ωτοσκλήρυνση.</w:t>
      </w:r>
    </w:p>
    <w:p w:rsidR="005E717E" w:rsidRPr="003A467B" w:rsidRDefault="005E717E" w:rsidP="00AD3869">
      <w:pPr>
        <w:pStyle w:val="Para0s"/>
        <w:jc w:val="both"/>
        <w:rPr>
          <w:szCs w:val="22"/>
        </w:rPr>
      </w:pPr>
    </w:p>
    <w:p w:rsidR="0084341C" w:rsidRPr="003A467B" w:rsidRDefault="0084341C" w:rsidP="00AD3869">
      <w:pPr>
        <w:pStyle w:val="Para0s"/>
        <w:jc w:val="both"/>
        <w:rPr>
          <w:szCs w:val="22"/>
        </w:rPr>
      </w:pPr>
      <w:r w:rsidRPr="003A467B">
        <w:rPr>
          <w:szCs w:val="22"/>
        </w:rPr>
        <w:t>Σε γυναίκες με κληρονομικό αγγειοοίδημα, τα εξωγενή οιστρογόνα μπορεί να προκαλέσουν ή να επιδεινώσουν τα συμπτώματα του αγγειοοιδήματος.</w:t>
      </w:r>
    </w:p>
    <w:p w:rsidR="0084341C" w:rsidRPr="003A467B" w:rsidRDefault="0084341C"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Οξείες ή χρόνιες διαταραχές της ηπατικής λειτουργίας μπορεί να απαιτήσουν τη διακοπή της χρήσης συνδυασμένων από του στόματος αντισυλληπτικών μέχρι οι δείκτες της ηπατικής λειτουργίας να επανέλθουν στο φυσιολογικό. </w:t>
      </w:r>
      <w:r w:rsidR="00BA49F1">
        <w:rPr>
          <w:szCs w:val="22"/>
        </w:rPr>
        <w:t xml:space="preserve">Υποτροπή χολοστατικού ίκτερου </w:t>
      </w:r>
      <w:r w:rsidRPr="003A467B">
        <w:rPr>
          <w:szCs w:val="22"/>
        </w:rPr>
        <w:t>και</w:t>
      </w:r>
      <w:r w:rsidR="00BA49F1">
        <w:rPr>
          <w:szCs w:val="22"/>
        </w:rPr>
        <w:t>/ή</w:t>
      </w:r>
      <w:r w:rsidRPr="003A467B">
        <w:rPr>
          <w:szCs w:val="22"/>
        </w:rPr>
        <w:t xml:space="preserve"> κνησμού οφειλόμενου σε χολόσταση, ο οποίος έχει εμφανιστεί κατά τη διάρκεια προηγούμενης εγκυμοσύνης ή κατά τη </w:t>
      </w:r>
      <w:r w:rsidRPr="003A467B">
        <w:rPr>
          <w:szCs w:val="22"/>
        </w:rPr>
        <w:lastRenderedPageBreak/>
        <w:t>διάρκεια προηγούμενης χρήσης στεροειδών του φύλου, απαιτούν τη διακοπή των συνδυασμένων από του στόματος αντισυλληπτικών.</w:t>
      </w:r>
    </w:p>
    <w:p w:rsidR="005E717E" w:rsidRPr="003A467B" w:rsidRDefault="005E717E"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Παρόλο που τα συνδυασμένα από του στόματος αντισυλληπτικά μπορεί να έχουν επίδραση στην περιφερική αντίσταση στην ινσουλίνη και στην ανοχή της γλυκόζης, δεν υπάρχει καμία ένδειξη ότι απαιτείται μετατροπή στη φαρμακευτική αγωγή των διαβητικών που χρησιμοποιούν </w:t>
      </w:r>
      <w:r w:rsidR="00A02042">
        <w:rPr>
          <w:szCs w:val="22"/>
        </w:rPr>
        <w:t>χαμηλής δόσης</w:t>
      </w:r>
      <w:r w:rsidR="00CE323C" w:rsidRPr="003A467B">
        <w:rPr>
          <w:szCs w:val="22"/>
        </w:rPr>
        <w:t>(&lt; 0,05</w:t>
      </w:r>
      <w:r w:rsidR="00B9338D" w:rsidRPr="003A467B">
        <w:rPr>
          <w:szCs w:val="22"/>
          <w:lang w:val="en-US"/>
        </w:rPr>
        <w:t> </w:t>
      </w:r>
      <w:r w:rsidR="00CE323C" w:rsidRPr="003A467B">
        <w:rPr>
          <w:szCs w:val="22"/>
          <w:lang w:val="en-US"/>
        </w:rPr>
        <w:t>mg</w:t>
      </w:r>
      <w:r w:rsidR="00BA49F1">
        <w:rPr>
          <w:szCs w:val="22"/>
        </w:rPr>
        <w:t xml:space="preserve"> αιθι</w:t>
      </w:r>
      <w:r w:rsidR="00CE323C" w:rsidRPr="003A467B">
        <w:rPr>
          <w:szCs w:val="22"/>
        </w:rPr>
        <w:t xml:space="preserve">νυλοιστραδιόλη) </w:t>
      </w:r>
      <w:r w:rsidRPr="003A467B">
        <w:rPr>
          <w:szCs w:val="22"/>
        </w:rPr>
        <w:t>συνδυασμένα από του στόματος αντισυλληπτικά. Ωστόσο, οι διαβητικές γυναίκες πρέπει να παρακολουθούνται προσεκτικά, ιδιαίτερα κατά το αρχικό στάδιο χρήσης συνδυασμένων από του στόματος αντισυλληπτικών.</w:t>
      </w:r>
    </w:p>
    <w:p w:rsidR="005E717E" w:rsidRPr="003A467B" w:rsidRDefault="005E717E"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Κατά τη χρήση των από του στόματος συνδυασμένων αντισυλληπτικών </w:t>
      </w:r>
      <w:r w:rsidR="00A02042">
        <w:rPr>
          <w:szCs w:val="22"/>
        </w:rPr>
        <w:t>έχει</w:t>
      </w:r>
      <w:r w:rsidRPr="003A467B">
        <w:rPr>
          <w:szCs w:val="22"/>
        </w:rPr>
        <w:t xml:space="preserve"> αναφερθεί επιδείνωση της ενδογενούς κατάθλιψης, της επιληψίας, της νόσου του Crohn και της ελκώδους κολίτιδας.</w:t>
      </w:r>
    </w:p>
    <w:p w:rsidR="00621646" w:rsidRPr="003A467B" w:rsidRDefault="00621646" w:rsidP="00AD3869">
      <w:pPr>
        <w:pStyle w:val="Para0s"/>
        <w:jc w:val="both"/>
        <w:rPr>
          <w:szCs w:val="22"/>
        </w:rPr>
      </w:pPr>
    </w:p>
    <w:p w:rsidR="0084183B" w:rsidRPr="003A467B" w:rsidRDefault="00855ED8" w:rsidP="00AD3869">
      <w:pPr>
        <w:pStyle w:val="Para0s"/>
        <w:jc w:val="both"/>
        <w:rPr>
          <w:szCs w:val="22"/>
        </w:rPr>
      </w:pPr>
      <w:r>
        <w:rPr>
          <w:szCs w:val="22"/>
        </w:rPr>
        <w:t>Περιστασιακά</w:t>
      </w:r>
      <w:r w:rsidR="0084183B" w:rsidRPr="003A467B">
        <w:rPr>
          <w:szCs w:val="22"/>
        </w:rPr>
        <w:t xml:space="preserve"> μπορεί να εμφανιστεί χλόασμα, ιδιαίτερα σε γυναίκες με ιστορικό χλοάσματος εγκυμοσύνης. Γυναίκες με προδιάθεση για χλόασμα πρέπει να αποφεύγουν την έκθεση στον ήλιο ή σε υπεριώδη ακτινοβολία ενώ παίρνουν από του στόματος συνδυασμένα αντισυλληπτικά.</w:t>
      </w:r>
    </w:p>
    <w:p w:rsidR="005E717E" w:rsidRPr="003A467B" w:rsidRDefault="005E717E" w:rsidP="00AD3869">
      <w:pPr>
        <w:pStyle w:val="Para0s"/>
        <w:jc w:val="both"/>
        <w:rPr>
          <w:szCs w:val="22"/>
        </w:rPr>
      </w:pPr>
    </w:p>
    <w:p w:rsidR="00621646" w:rsidRPr="003A467B" w:rsidRDefault="00621646" w:rsidP="00621646">
      <w:pPr>
        <w:pStyle w:val="Para0s"/>
        <w:jc w:val="both"/>
      </w:pPr>
      <w:r w:rsidRPr="003A467B">
        <w:rPr>
          <w:szCs w:val="22"/>
        </w:rPr>
        <w:t>Αυτό το φαρμακευτικό προϊόν περιέχει</w:t>
      </w:r>
      <w:r w:rsidRPr="003A467B">
        <w:t xml:space="preserve"> 46 </w:t>
      </w:r>
      <w:r w:rsidRPr="003A467B">
        <w:rPr>
          <w:lang w:val="en-US"/>
        </w:rPr>
        <w:t>mg</w:t>
      </w:r>
      <w:r w:rsidRPr="003A467B">
        <w:t xml:space="preserve"> λακτόζης ανά δισκίο. Ασθενείς με σπάνια κληρονομικά προβλήματα δυσανεξίας στη γαλακτόζη, έλλειψης της </w:t>
      </w:r>
      <w:r w:rsidRPr="003A467B">
        <w:rPr>
          <w:lang w:val="en-US"/>
        </w:rPr>
        <w:t>Lapp</w:t>
      </w:r>
      <w:r w:rsidRPr="003A467B">
        <w:t xml:space="preserve"> λακτάσης ή δυσαπορρόφησης της γλυκόζης-γαλακτόζης, που</w:t>
      </w:r>
      <w:r w:rsidR="00A02042">
        <w:t xml:space="preserve"> ακολουθούν</w:t>
      </w:r>
      <w:r w:rsidRPr="003A467B">
        <w:t xml:space="preserve"> δίαιτα με απουσία λακτόζης, θα πρέπει να λάβουν υπόψη αυτή την ποσότητα.</w:t>
      </w:r>
    </w:p>
    <w:p w:rsidR="00621646" w:rsidRPr="003A467B" w:rsidRDefault="00621646" w:rsidP="00AD3869">
      <w:pPr>
        <w:pStyle w:val="Para0s"/>
        <w:jc w:val="both"/>
        <w:rPr>
          <w:szCs w:val="22"/>
        </w:rPr>
      </w:pPr>
    </w:p>
    <w:p w:rsidR="0084183B" w:rsidRPr="003A467B" w:rsidRDefault="0084183B" w:rsidP="00AD3869">
      <w:pPr>
        <w:pStyle w:val="3"/>
        <w:keepNext w:val="0"/>
        <w:widowControl/>
        <w:ind w:left="0" w:firstLine="0"/>
        <w:jc w:val="both"/>
        <w:rPr>
          <w:szCs w:val="22"/>
        </w:rPr>
      </w:pPr>
      <w:r w:rsidRPr="003A467B">
        <w:rPr>
          <w:szCs w:val="22"/>
        </w:rPr>
        <w:t>Ιατρική εξέταση/παρακολούθηση</w:t>
      </w:r>
    </w:p>
    <w:p w:rsidR="0084183B" w:rsidRPr="003A467B" w:rsidRDefault="0084183B" w:rsidP="00AD3869">
      <w:pPr>
        <w:pStyle w:val="Para0s"/>
        <w:jc w:val="both"/>
        <w:rPr>
          <w:szCs w:val="22"/>
        </w:rPr>
      </w:pPr>
      <w:r w:rsidRPr="003A467B">
        <w:rPr>
          <w:szCs w:val="22"/>
        </w:rPr>
        <w:t>Πριν από την έναρξη ή την επανέναρξη των δισκίων Yasmin</w:t>
      </w:r>
      <w:r w:rsidRPr="003A467B">
        <w:rPr>
          <w:szCs w:val="22"/>
          <w:vertAlign w:val="superscript"/>
        </w:rPr>
        <w:t>®</w:t>
      </w:r>
      <w:r w:rsidRPr="003A467B">
        <w:rPr>
          <w:szCs w:val="22"/>
        </w:rPr>
        <w:t xml:space="preserve"> πρέπει να λαμβάνεται ένα πλήρες ιατρικό ιστορικό (συμπεριλαμβανομένου και οικογενειακού ιστορικού)</w:t>
      </w:r>
      <w:r w:rsidR="00CE323C" w:rsidRPr="003A467B">
        <w:rPr>
          <w:szCs w:val="22"/>
        </w:rPr>
        <w:t xml:space="preserve"> και να αποκλείεται το ενδεχόμενο κύησης</w:t>
      </w:r>
      <w:r w:rsidRPr="003A467B">
        <w:rPr>
          <w:szCs w:val="22"/>
        </w:rPr>
        <w:t>. Πρέπει να μετράται η αρτηριακή πίεση και να διεξάγεται κλινική εξέταση, με γνώμονα τις αντενδείξεις (</w:t>
      </w:r>
      <w:r w:rsidR="0025120B" w:rsidRPr="003A467B">
        <w:rPr>
          <w:szCs w:val="22"/>
        </w:rPr>
        <w:t xml:space="preserve">βλ. </w:t>
      </w:r>
      <w:r w:rsidRPr="003A467B">
        <w:rPr>
          <w:szCs w:val="22"/>
        </w:rPr>
        <w:t>παρ</w:t>
      </w:r>
      <w:r w:rsidR="00CB5D55" w:rsidRPr="003A467B">
        <w:rPr>
          <w:szCs w:val="22"/>
        </w:rPr>
        <w:t>άγραφο</w:t>
      </w:r>
      <w:r w:rsidRPr="003A467B">
        <w:rPr>
          <w:szCs w:val="22"/>
        </w:rPr>
        <w:t xml:space="preserve"> 4.3) και τις προειδοποιήσεις (</w:t>
      </w:r>
      <w:r w:rsidR="0025120B" w:rsidRPr="003A467B">
        <w:rPr>
          <w:szCs w:val="22"/>
        </w:rPr>
        <w:t xml:space="preserve">βλ. </w:t>
      </w:r>
      <w:r w:rsidR="00310BD5" w:rsidRPr="003A467B">
        <w:rPr>
          <w:szCs w:val="22"/>
        </w:rPr>
        <w:t>παράγραφο</w:t>
      </w:r>
      <w:r w:rsidR="0025120B" w:rsidRPr="003A467B">
        <w:rPr>
          <w:szCs w:val="22"/>
        </w:rPr>
        <w:t xml:space="preserve"> </w:t>
      </w:r>
      <w:r w:rsidRPr="003A467B">
        <w:rPr>
          <w:szCs w:val="22"/>
        </w:rPr>
        <w:t xml:space="preserve">4.4). Η γυναίκα πρέπει επίσης να συμβουλεύεται να διαβάσει προσεκτικά το φύλλο οδηγιών χρήσης και να ακολουθεί τις παρεχόμενες συμβουλές. Η συχνότητα και η φύση των περαιτέρω περιοδικών γενικών εξετάσεων θα πρέπει να προσαρμόζεται σε κάθε γυναίκα ξεχωριστά και να βασίζεται σε καθιερωμένες </w:t>
      </w:r>
      <w:r w:rsidR="00A02042">
        <w:rPr>
          <w:szCs w:val="22"/>
        </w:rPr>
        <w:t xml:space="preserve">κατευθυντήριες γραμμές </w:t>
      </w:r>
      <w:r w:rsidRPr="003A467B">
        <w:rPr>
          <w:szCs w:val="22"/>
        </w:rPr>
        <w:t>κλινικ</w:t>
      </w:r>
      <w:r w:rsidR="00A02042">
        <w:rPr>
          <w:szCs w:val="22"/>
        </w:rPr>
        <w:t>ής</w:t>
      </w:r>
      <w:r w:rsidRPr="003A467B">
        <w:rPr>
          <w:szCs w:val="22"/>
        </w:rPr>
        <w:t xml:space="preserve"> πρακτικ</w:t>
      </w:r>
      <w:r w:rsidR="00A02042">
        <w:rPr>
          <w:szCs w:val="22"/>
        </w:rPr>
        <w:t>ής</w:t>
      </w:r>
      <w:r w:rsidRPr="003A467B">
        <w:rPr>
          <w:szCs w:val="22"/>
        </w:rPr>
        <w:t>.</w:t>
      </w:r>
    </w:p>
    <w:p w:rsidR="0084183B" w:rsidRPr="003A467B" w:rsidRDefault="0084183B" w:rsidP="00AD3869">
      <w:pPr>
        <w:pStyle w:val="Para0s"/>
        <w:jc w:val="both"/>
        <w:rPr>
          <w:szCs w:val="22"/>
        </w:rPr>
      </w:pPr>
      <w:r w:rsidRPr="003A467B">
        <w:rPr>
          <w:szCs w:val="22"/>
        </w:rPr>
        <w:t>Οι γυναίκες πρέπει να συμβουλεύονται ότι τα αντισυλληπτικά από το στόμα δεν προστατεύουν από τις λοιμώξεις που οφείλονται στον ιό HIV (AIDS) και από άλλες σεξουαλικά μεταδιδόμενες ασθένειες.</w:t>
      </w:r>
    </w:p>
    <w:p w:rsidR="005E717E" w:rsidRPr="003A467B" w:rsidRDefault="005E717E" w:rsidP="00AD3869">
      <w:pPr>
        <w:pStyle w:val="Para0s"/>
        <w:jc w:val="both"/>
        <w:rPr>
          <w:szCs w:val="22"/>
        </w:rPr>
      </w:pPr>
    </w:p>
    <w:p w:rsidR="0084183B" w:rsidRPr="003A467B" w:rsidRDefault="0084183B" w:rsidP="00AD3869">
      <w:pPr>
        <w:pStyle w:val="3"/>
        <w:keepNext w:val="0"/>
        <w:widowControl/>
        <w:ind w:left="0" w:firstLine="0"/>
        <w:jc w:val="both"/>
        <w:rPr>
          <w:szCs w:val="22"/>
        </w:rPr>
      </w:pPr>
      <w:r w:rsidRPr="003A467B">
        <w:rPr>
          <w:szCs w:val="22"/>
        </w:rPr>
        <w:t>Μειωμένη αποτελεσματικότητα</w:t>
      </w:r>
    </w:p>
    <w:p w:rsidR="0084183B" w:rsidRPr="003A467B" w:rsidRDefault="0084183B" w:rsidP="00AD3869">
      <w:pPr>
        <w:pStyle w:val="Para0s"/>
        <w:jc w:val="both"/>
        <w:rPr>
          <w:szCs w:val="22"/>
        </w:rPr>
      </w:pPr>
      <w:r w:rsidRPr="003A467B">
        <w:rPr>
          <w:szCs w:val="22"/>
        </w:rPr>
        <w:t xml:space="preserve">Η αποτελεσματικότητα των συνδυασμένων από του στόματος αντισυλληπτικών μπορεί να μειωθεί σε περίπτωση </w:t>
      </w:r>
      <w:r w:rsidR="00CE26FC">
        <w:rPr>
          <w:szCs w:val="22"/>
        </w:rPr>
        <w:t>π.χ.</w:t>
      </w:r>
      <w:r w:rsidR="00CE323C" w:rsidRPr="003A467B">
        <w:rPr>
          <w:szCs w:val="22"/>
        </w:rPr>
        <w:t xml:space="preserve"> </w:t>
      </w:r>
      <w:r w:rsidRPr="003A467B">
        <w:rPr>
          <w:szCs w:val="22"/>
        </w:rPr>
        <w:t>παράλειψης δισκίων (</w:t>
      </w:r>
      <w:r w:rsidR="00753678" w:rsidRPr="003A467B">
        <w:rPr>
          <w:szCs w:val="22"/>
        </w:rPr>
        <w:t xml:space="preserve">βλ. παράγραφο </w:t>
      </w:r>
      <w:r w:rsidRPr="003A467B">
        <w:rPr>
          <w:szCs w:val="22"/>
        </w:rPr>
        <w:t xml:space="preserve">4.2), </w:t>
      </w:r>
      <w:r w:rsidR="00CE323C" w:rsidRPr="003A467B">
        <w:rPr>
          <w:szCs w:val="22"/>
        </w:rPr>
        <w:t>γαστρεντερικών διαταραχών</w:t>
      </w:r>
      <w:r w:rsidR="00CE323C" w:rsidRPr="003A467B">
        <w:rPr>
          <w:b/>
          <w:i/>
          <w:szCs w:val="22"/>
        </w:rPr>
        <w:t xml:space="preserve"> </w:t>
      </w:r>
      <w:r w:rsidRPr="003A467B">
        <w:rPr>
          <w:szCs w:val="22"/>
        </w:rPr>
        <w:t>(</w:t>
      </w:r>
      <w:r w:rsidR="00584D2D" w:rsidRPr="003A467B">
        <w:rPr>
          <w:szCs w:val="22"/>
        </w:rPr>
        <w:t xml:space="preserve">βλ. παράγραφο </w:t>
      </w:r>
      <w:r w:rsidRPr="003A467B">
        <w:rPr>
          <w:szCs w:val="22"/>
        </w:rPr>
        <w:t>4.2) ή ταυτόχρονης φαρμακευτικής αγωγής (</w:t>
      </w:r>
      <w:r w:rsidR="00A550FD" w:rsidRPr="003A467B">
        <w:rPr>
          <w:szCs w:val="22"/>
        </w:rPr>
        <w:t xml:space="preserve">βλ. παράγραφο </w:t>
      </w:r>
      <w:r w:rsidRPr="003A467B">
        <w:rPr>
          <w:szCs w:val="22"/>
        </w:rPr>
        <w:t>4.5).</w:t>
      </w:r>
    </w:p>
    <w:p w:rsidR="005E717E" w:rsidRPr="003A467B" w:rsidRDefault="005E717E" w:rsidP="00AD3869">
      <w:pPr>
        <w:pStyle w:val="Para0s"/>
        <w:jc w:val="both"/>
        <w:rPr>
          <w:szCs w:val="22"/>
        </w:rPr>
      </w:pPr>
    </w:p>
    <w:p w:rsidR="0084183B" w:rsidRPr="003A467B" w:rsidRDefault="0084183B" w:rsidP="00AD3869">
      <w:pPr>
        <w:pStyle w:val="3"/>
        <w:keepNext w:val="0"/>
        <w:widowControl/>
        <w:ind w:left="0" w:firstLine="0"/>
        <w:jc w:val="both"/>
        <w:rPr>
          <w:szCs w:val="22"/>
        </w:rPr>
      </w:pPr>
      <w:r w:rsidRPr="003A467B">
        <w:rPr>
          <w:szCs w:val="22"/>
        </w:rPr>
        <w:t>Μειωμένος έλεγχος κύκλου</w:t>
      </w:r>
    </w:p>
    <w:p w:rsidR="0084183B" w:rsidRPr="003A467B" w:rsidRDefault="0084183B" w:rsidP="00AD3869">
      <w:pPr>
        <w:pStyle w:val="Para0s"/>
        <w:jc w:val="both"/>
        <w:rPr>
          <w:szCs w:val="22"/>
        </w:rPr>
      </w:pPr>
      <w:r w:rsidRPr="003A467B">
        <w:rPr>
          <w:szCs w:val="22"/>
        </w:rPr>
        <w:t>Με όλα τα συνδυασμένα από του στόματος αντισυλληπτικά, μπορεί να εμφανιστεί ακανόνιστη αιμορραγία (σταγονοειδής ή ενδιάμεση αιμορραγία), ιδίως κατά τη διάρκεια των πρώτων μηνών της χρήσης. Επομένως, η αξιολόγηση οποιασδήποτε ακανόνιστης αιμορραγίας έχει σημασία μόνο μετά από ένα διάστημα προσαρμογής περίπου τριών κύκλων.</w:t>
      </w:r>
    </w:p>
    <w:p w:rsidR="005E717E" w:rsidRPr="003A467B" w:rsidRDefault="005E717E"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Εάν οι ανωμαλίες του κύκλου </w:t>
      </w:r>
      <w:r w:rsidR="00A02042">
        <w:rPr>
          <w:szCs w:val="22"/>
        </w:rPr>
        <w:t>επιμένουν</w:t>
      </w:r>
      <w:r w:rsidRPr="003A467B">
        <w:rPr>
          <w:szCs w:val="22"/>
        </w:rPr>
        <w:t xml:space="preserve"> ή πρωτοεμφανίζονται ενώ έχουν προηγηθεί κανονικοί κύκλοι, τότε πρέπει να </w:t>
      </w:r>
      <w:r w:rsidR="00F33846">
        <w:rPr>
          <w:szCs w:val="22"/>
        </w:rPr>
        <w:t xml:space="preserve">εξετασθούν </w:t>
      </w:r>
      <w:r w:rsidRPr="003A467B">
        <w:rPr>
          <w:szCs w:val="22"/>
        </w:rPr>
        <w:t xml:space="preserve"> πιθανές μη ορμονικές αιτίες και να ληφθούν επαρκή διαγνωστικά μέτρα για να αποκλειστεί η πιθανότητα κακοήθειας ή</w:t>
      </w:r>
      <w:r w:rsidR="005A44E3" w:rsidRPr="003A467B">
        <w:rPr>
          <w:szCs w:val="22"/>
        </w:rPr>
        <w:t xml:space="preserve"> </w:t>
      </w:r>
      <w:r w:rsidRPr="003A467B">
        <w:rPr>
          <w:szCs w:val="22"/>
        </w:rPr>
        <w:t>εγκυμοσύνης. Τα μέτρα αυτά μπορεί να περιλαμβάνουν απόξεση.</w:t>
      </w:r>
    </w:p>
    <w:p w:rsidR="005E717E" w:rsidRPr="003A467B" w:rsidRDefault="005E717E" w:rsidP="00AD3869">
      <w:pPr>
        <w:pStyle w:val="Para0s"/>
        <w:jc w:val="both"/>
        <w:rPr>
          <w:szCs w:val="22"/>
        </w:rPr>
      </w:pPr>
    </w:p>
    <w:p w:rsidR="000C5391" w:rsidRPr="003A467B" w:rsidRDefault="0084183B" w:rsidP="000C5391">
      <w:pPr>
        <w:pStyle w:val="Para0s"/>
        <w:jc w:val="both"/>
      </w:pPr>
      <w:r w:rsidRPr="003A467B">
        <w:t xml:space="preserve">Σε μερικές γυναίκες η αιμορραγία εκ διακοπής μπορεί να μην εμφανιστεί κατά τη διάρκεια του διαστήματος κατά το οποίο δε λαμβάνονται δισκία. Εάν το συνδυασμένο από του στόματος αντισυλληπτικό έχει ληφθεί σύμφωνα με τις οδηγίες που περιγράφονται στην παράγραφο 4.2, είναι μάλλον απίθανο η γυναίκα να είναι έγκυος. Ωστόσο, εάν το αντισυλληπτικό δεν έχει ληφθεί σύμφωνα με τις οδηγίες πριν από την πρώτη απουσία αιμορραγίας εκ διακοπής ή εάν δεν εμφανιστεί δύο </w:t>
      </w:r>
      <w:r w:rsidRPr="003A467B">
        <w:lastRenderedPageBreak/>
        <w:t>συνεχόμενες φορές αιμορραγία εκ διακοπής, πρέπει να αποκλειστεί η εγκυμοσύνη πριν συνεχιστεί η χρήση του αντισυλληπτικού.</w:t>
      </w:r>
    </w:p>
    <w:p w:rsidR="000C5391" w:rsidRPr="003A467B" w:rsidRDefault="000C5391" w:rsidP="000C5391">
      <w:pPr>
        <w:pStyle w:val="Para0s"/>
        <w:jc w:val="both"/>
      </w:pPr>
    </w:p>
    <w:p w:rsidR="0084183B" w:rsidRPr="003A467B" w:rsidRDefault="0084183B" w:rsidP="000C5391">
      <w:pPr>
        <w:pStyle w:val="Para0s"/>
        <w:jc w:val="both"/>
        <w:rPr>
          <w:b/>
        </w:rPr>
      </w:pPr>
      <w:r w:rsidRPr="003A467B">
        <w:rPr>
          <w:b/>
        </w:rPr>
        <w:t>4.5</w:t>
      </w:r>
      <w:r w:rsidRPr="003A467B">
        <w:rPr>
          <w:b/>
        </w:rPr>
        <w:tab/>
        <w:t>Αλληλεπιδράσεις με άλλα φαρμακευτικά προϊόντα και άλλες μορφές αλληλεπίδρασης</w:t>
      </w:r>
    </w:p>
    <w:p w:rsidR="00735E19" w:rsidRPr="003A467B" w:rsidRDefault="00735E19" w:rsidP="000C5391">
      <w:pPr>
        <w:pStyle w:val="Para0s"/>
        <w:jc w:val="both"/>
        <w:rPr>
          <w:szCs w:val="22"/>
        </w:rPr>
      </w:pPr>
    </w:p>
    <w:p w:rsidR="00776C5F" w:rsidRPr="003A467B" w:rsidRDefault="00735E19" w:rsidP="000C5391">
      <w:pPr>
        <w:pStyle w:val="Para0s"/>
        <w:jc w:val="both"/>
        <w:rPr>
          <w:szCs w:val="22"/>
        </w:rPr>
      </w:pPr>
      <w:r w:rsidRPr="003A467B">
        <w:rPr>
          <w:szCs w:val="22"/>
        </w:rPr>
        <w:t>Σημείωση</w:t>
      </w:r>
      <w:r w:rsidR="00687A5B" w:rsidRPr="003A467B">
        <w:rPr>
          <w:szCs w:val="22"/>
        </w:rPr>
        <w:t xml:space="preserve">: </w:t>
      </w:r>
      <w:r w:rsidR="006915D6" w:rsidRPr="003A467B">
        <w:rPr>
          <w:szCs w:val="22"/>
        </w:rPr>
        <w:t>Ανατρέξτε στις συνταγογραφικές πληροφορίες των συγχορηγούμενων φαρμάκων</w:t>
      </w:r>
      <w:r w:rsidR="0081620E" w:rsidRPr="003A467B">
        <w:rPr>
          <w:szCs w:val="22"/>
        </w:rPr>
        <w:t xml:space="preserve"> </w:t>
      </w:r>
      <w:r w:rsidR="0017011E" w:rsidRPr="003A467B">
        <w:rPr>
          <w:szCs w:val="22"/>
        </w:rPr>
        <w:t xml:space="preserve">για να προσδιορίζονται </w:t>
      </w:r>
      <w:r w:rsidR="006915D6" w:rsidRPr="003A467B">
        <w:rPr>
          <w:szCs w:val="22"/>
        </w:rPr>
        <w:t xml:space="preserve">πιθανές </w:t>
      </w:r>
      <w:r w:rsidR="0017011E" w:rsidRPr="003A467B">
        <w:rPr>
          <w:szCs w:val="22"/>
        </w:rPr>
        <w:t>αλληλεπιδράσεις.</w:t>
      </w:r>
    </w:p>
    <w:p w:rsidR="0073348F" w:rsidRPr="003A467B" w:rsidRDefault="0073348F" w:rsidP="000C5391">
      <w:pPr>
        <w:pStyle w:val="Para0s"/>
        <w:jc w:val="both"/>
        <w:rPr>
          <w:szCs w:val="22"/>
        </w:rPr>
      </w:pPr>
    </w:p>
    <w:p w:rsidR="0084183B" w:rsidRPr="0014754C" w:rsidRDefault="0084183B" w:rsidP="0073348F">
      <w:pPr>
        <w:pStyle w:val="Para0s"/>
        <w:numPr>
          <w:ilvl w:val="0"/>
          <w:numId w:val="27"/>
        </w:numPr>
        <w:jc w:val="both"/>
        <w:rPr>
          <w:szCs w:val="22"/>
        </w:rPr>
      </w:pPr>
      <w:r w:rsidRPr="003A467B">
        <w:rPr>
          <w:szCs w:val="22"/>
        </w:rPr>
        <w:t>Επίδραση άλλων φαρμ</w:t>
      </w:r>
      <w:r w:rsidR="001C74D1" w:rsidRPr="003A467B">
        <w:rPr>
          <w:szCs w:val="22"/>
        </w:rPr>
        <w:t>ακευτικών προϊόντων</w:t>
      </w:r>
      <w:r w:rsidRPr="003A467B">
        <w:rPr>
          <w:szCs w:val="22"/>
        </w:rPr>
        <w:t xml:space="preserve"> στα δισκία Yasmin</w:t>
      </w:r>
      <w:r w:rsidRPr="003A467B">
        <w:rPr>
          <w:szCs w:val="22"/>
          <w:vertAlign w:val="superscript"/>
        </w:rPr>
        <w:t>®</w:t>
      </w:r>
    </w:p>
    <w:p w:rsidR="0014754C" w:rsidRPr="003A467B" w:rsidRDefault="0014754C" w:rsidP="0014754C">
      <w:pPr>
        <w:pStyle w:val="Para0s"/>
        <w:jc w:val="both"/>
        <w:rPr>
          <w:szCs w:val="22"/>
        </w:rPr>
      </w:pPr>
    </w:p>
    <w:p w:rsidR="00851CD9" w:rsidRPr="003A467B" w:rsidRDefault="00851CD9" w:rsidP="0073348F">
      <w:pPr>
        <w:pStyle w:val="Para0s"/>
        <w:jc w:val="both"/>
        <w:rPr>
          <w:szCs w:val="22"/>
        </w:rPr>
      </w:pPr>
      <w:r w:rsidRPr="003A467B">
        <w:rPr>
          <w:szCs w:val="22"/>
        </w:rPr>
        <w:t>Οι αλληλεπιδράσεις μεταξύ των από του στόματος αντισυλληπτικών και άλλων φαρμακευτικών προϊόντων μπορεί να οδηγήσουν σε ενδιάμεση αιμορραγία και</w:t>
      </w:r>
      <w:r w:rsidR="00452F27">
        <w:rPr>
          <w:szCs w:val="22"/>
        </w:rPr>
        <w:t>/ή</w:t>
      </w:r>
      <w:r w:rsidRPr="003A467B">
        <w:rPr>
          <w:szCs w:val="22"/>
        </w:rPr>
        <w:t xml:space="preserve"> σε αποτυχία</w:t>
      </w:r>
      <w:r w:rsidR="004641D6">
        <w:rPr>
          <w:szCs w:val="22"/>
        </w:rPr>
        <w:t xml:space="preserve"> </w:t>
      </w:r>
      <w:r w:rsidR="00F33846">
        <w:rPr>
          <w:szCs w:val="22"/>
        </w:rPr>
        <w:t>της αντισύλληψης</w:t>
      </w:r>
      <w:r w:rsidR="00CD27EA" w:rsidRPr="003A467B">
        <w:rPr>
          <w:szCs w:val="22"/>
        </w:rPr>
        <w:t>. Οι ακόλουθες αλλη</w:t>
      </w:r>
      <w:r w:rsidRPr="003A467B">
        <w:rPr>
          <w:szCs w:val="22"/>
        </w:rPr>
        <w:t>λεπιδράσεις έ</w:t>
      </w:r>
      <w:r w:rsidR="00F23CD5" w:rsidRPr="003A467B">
        <w:rPr>
          <w:szCs w:val="22"/>
        </w:rPr>
        <w:t>χουν αναφερθεί στη βιβλιογραφία.</w:t>
      </w:r>
    </w:p>
    <w:p w:rsidR="004B3EF2" w:rsidRPr="003A467B" w:rsidRDefault="004B3EF2" w:rsidP="0073348F">
      <w:pPr>
        <w:pStyle w:val="Para0s"/>
        <w:jc w:val="both"/>
        <w:rPr>
          <w:szCs w:val="22"/>
        </w:rPr>
      </w:pPr>
    </w:p>
    <w:p w:rsidR="003A467B" w:rsidRDefault="004B3EF2" w:rsidP="005C1392">
      <w:pPr>
        <w:pStyle w:val="Para0s"/>
        <w:jc w:val="both"/>
        <w:rPr>
          <w:szCs w:val="22"/>
        </w:rPr>
      </w:pPr>
      <w:r w:rsidRPr="003A467B">
        <w:rPr>
          <w:szCs w:val="22"/>
        </w:rPr>
        <w:t>Ηπατικός μεταβολισμός</w:t>
      </w:r>
    </w:p>
    <w:p w:rsidR="003A467B" w:rsidRDefault="003A467B" w:rsidP="005C1392">
      <w:pPr>
        <w:pStyle w:val="Para0s"/>
        <w:jc w:val="both"/>
        <w:rPr>
          <w:szCs w:val="22"/>
        </w:rPr>
      </w:pPr>
    </w:p>
    <w:p w:rsidR="004D5370" w:rsidRDefault="004B3EF2" w:rsidP="005C1392">
      <w:pPr>
        <w:pStyle w:val="Para0s"/>
        <w:jc w:val="both"/>
        <w:rPr>
          <w:szCs w:val="22"/>
        </w:rPr>
      </w:pPr>
      <w:r w:rsidRPr="003A467B">
        <w:rPr>
          <w:szCs w:val="22"/>
        </w:rPr>
        <w:t>Αλληλεπιδράσεις μπορού</w:t>
      </w:r>
      <w:r w:rsidR="008B1A26" w:rsidRPr="003A467B">
        <w:rPr>
          <w:szCs w:val="22"/>
        </w:rPr>
        <w:t xml:space="preserve">ν να συμβούν με φάρμακα που επάγουν </w:t>
      </w:r>
      <w:r w:rsidR="00452F27">
        <w:rPr>
          <w:szCs w:val="22"/>
        </w:rPr>
        <w:t>ηπα</w:t>
      </w:r>
      <w:r w:rsidR="008B1A26" w:rsidRPr="003A467B">
        <w:rPr>
          <w:szCs w:val="22"/>
        </w:rPr>
        <w:t>τικά ένζ</w:t>
      </w:r>
      <w:r w:rsidRPr="003A467B">
        <w:rPr>
          <w:szCs w:val="22"/>
        </w:rPr>
        <w:t>υμα</w:t>
      </w:r>
      <w:r w:rsidR="00CB6870">
        <w:rPr>
          <w:szCs w:val="22"/>
        </w:rPr>
        <w:t>,</w:t>
      </w:r>
      <w:r w:rsidRPr="003A467B">
        <w:rPr>
          <w:szCs w:val="22"/>
        </w:rPr>
        <w:t xml:space="preserve"> </w:t>
      </w:r>
      <w:r w:rsidR="00452F27">
        <w:rPr>
          <w:szCs w:val="22"/>
        </w:rPr>
        <w:t>που έχει</w:t>
      </w:r>
      <w:r w:rsidRPr="003A467B">
        <w:rPr>
          <w:szCs w:val="22"/>
        </w:rPr>
        <w:t xml:space="preserve"> σαν αποτέλεσμα να αυξάνεται η κάθαρση των ορμονών του φύλου (π.χ. </w:t>
      </w:r>
      <w:r w:rsidRPr="003A467B">
        <w:t>φαινυτοΐνη</w:t>
      </w:r>
      <w:r w:rsidR="00452F27">
        <w:rPr>
          <w:szCs w:val="22"/>
        </w:rPr>
        <w:t>, βαρβιτουρικά, πριμιδό</w:t>
      </w:r>
      <w:r w:rsidR="00255C97" w:rsidRPr="003A467B">
        <w:rPr>
          <w:szCs w:val="22"/>
        </w:rPr>
        <w:t>νη, καρβαμαζεπίνη</w:t>
      </w:r>
      <w:r w:rsidR="003A467B">
        <w:rPr>
          <w:szCs w:val="22"/>
        </w:rPr>
        <w:t>,</w:t>
      </w:r>
      <w:r w:rsidR="00496C04" w:rsidRPr="003A467B">
        <w:rPr>
          <w:szCs w:val="22"/>
        </w:rPr>
        <w:t xml:space="preserve"> ριφαμπικίνη</w:t>
      </w:r>
      <w:r w:rsidR="00023213">
        <w:rPr>
          <w:szCs w:val="22"/>
        </w:rPr>
        <w:t>,</w:t>
      </w:r>
      <w:r w:rsidR="003A467B">
        <w:rPr>
          <w:szCs w:val="22"/>
        </w:rPr>
        <w:t xml:space="preserve"> </w:t>
      </w:r>
      <w:r w:rsidR="00F33846">
        <w:rPr>
          <w:szCs w:val="22"/>
        </w:rPr>
        <w:t>β</w:t>
      </w:r>
      <w:r w:rsidR="003A467B">
        <w:rPr>
          <w:szCs w:val="22"/>
        </w:rPr>
        <w:t>οσεντάνη και φάρμακ</w:t>
      </w:r>
      <w:r w:rsidR="00F33846">
        <w:rPr>
          <w:szCs w:val="22"/>
        </w:rPr>
        <w:t>α</w:t>
      </w:r>
      <w:r w:rsidR="003A467B">
        <w:rPr>
          <w:szCs w:val="22"/>
        </w:rPr>
        <w:t xml:space="preserve"> για </w:t>
      </w:r>
      <w:r w:rsidR="00452F27">
        <w:rPr>
          <w:szCs w:val="22"/>
        </w:rPr>
        <w:t>το</w:t>
      </w:r>
      <w:r w:rsidR="003A467B">
        <w:rPr>
          <w:szCs w:val="22"/>
        </w:rPr>
        <w:t xml:space="preserve"> </w:t>
      </w:r>
      <w:r w:rsidR="003A467B">
        <w:rPr>
          <w:szCs w:val="22"/>
          <w:lang w:val="en-US"/>
        </w:rPr>
        <w:t>HIV</w:t>
      </w:r>
      <w:r w:rsidR="003A467B" w:rsidRPr="003A467B">
        <w:rPr>
          <w:szCs w:val="22"/>
        </w:rPr>
        <w:t xml:space="preserve"> (</w:t>
      </w:r>
      <w:r w:rsidR="003A467B">
        <w:rPr>
          <w:szCs w:val="22"/>
        </w:rPr>
        <w:t>π.χ. ριτοναβίρη, νεβιραπίνη) και πιθανόν επίσ</w:t>
      </w:r>
      <w:r w:rsidR="00452F27">
        <w:rPr>
          <w:szCs w:val="22"/>
        </w:rPr>
        <w:t>η</w:t>
      </w:r>
      <w:r w:rsidR="003A467B">
        <w:rPr>
          <w:szCs w:val="22"/>
        </w:rPr>
        <w:t>ς οξκαρβαζεπίνη, τοπιραμάτη, φελβαμάτη,</w:t>
      </w:r>
      <w:r w:rsidR="00496C04" w:rsidRPr="003A467B">
        <w:rPr>
          <w:szCs w:val="22"/>
        </w:rPr>
        <w:t xml:space="preserve"> </w:t>
      </w:r>
      <w:r w:rsidR="00A46F2D" w:rsidRPr="003A467B">
        <w:rPr>
          <w:szCs w:val="22"/>
        </w:rPr>
        <w:t>γκριζεοφουλβίνη</w:t>
      </w:r>
      <w:r w:rsidR="007B11E9" w:rsidRPr="003A467B">
        <w:rPr>
          <w:szCs w:val="22"/>
        </w:rPr>
        <w:t xml:space="preserve"> και </w:t>
      </w:r>
      <w:r w:rsidRPr="003A467B">
        <w:rPr>
          <w:szCs w:val="22"/>
        </w:rPr>
        <w:t xml:space="preserve"> προϊόντα που περιέχουν το</w:t>
      </w:r>
      <w:r w:rsidR="007B11E9" w:rsidRPr="003A467B">
        <w:rPr>
          <w:szCs w:val="22"/>
        </w:rPr>
        <w:t xml:space="preserve"> </w:t>
      </w:r>
      <w:r w:rsidR="00836901" w:rsidRPr="003A467B">
        <w:rPr>
          <w:szCs w:val="22"/>
        </w:rPr>
        <w:t>φυτικ</w:t>
      </w:r>
      <w:r w:rsidR="00EC2C85" w:rsidRPr="003A467B">
        <w:rPr>
          <w:szCs w:val="22"/>
        </w:rPr>
        <w:t>ής προέλευσης</w:t>
      </w:r>
      <w:r w:rsidR="00836901" w:rsidRPr="003A467B">
        <w:rPr>
          <w:szCs w:val="22"/>
        </w:rPr>
        <w:t xml:space="preserve"> </w:t>
      </w:r>
      <w:r w:rsidR="00544C43" w:rsidRPr="003A467B">
        <w:rPr>
          <w:szCs w:val="22"/>
        </w:rPr>
        <w:t>φάρμακο St. John´s Wort (hypericum perforatum</w:t>
      </w:r>
      <w:r w:rsidR="000D332B" w:rsidRPr="003A467B">
        <w:rPr>
          <w:szCs w:val="22"/>
        </w:rPr>
        <w:t xml:space="preserve"> </w:t>
      </w:r>
      <w:r w:rsidR="00544C43" w:rsidRPr="003A467B">
        <w:rPr>
          <w:szCs w:val="22"/>
        </w:rPr>
        <w:t>/ Υπερικό</w:t>
      </w:r>
      <w:r w:rsidR="000D332B" w:rsidRPr="003A467B">
        <w:rPr>
          <w:szCs w:val="22"/>
        </w:rPr>
        <w:t xml:space="preserve"> </w:t>
      </w:r>
      <w:r w:rsidR="00544C43" w:rsidRPr="003A467B">
        <w:rPr>
          <w:szCs w:val="22"/>
        </w:rPr>
        <w:t>/ Βαλσαμόχορτο).</w:t>
      </w:r>
    </w:p>
    <w:p w:rsidR="00CE3C4B" w:rsidRPr="003A467B" w:rsidRDefault="00CE3C4B" w:rsidP="005C1392">
      <w:pPr>
        <w:pStyle w:val="Para0s"/>
        <w:jc w:val="both"/>
        <w:rPr>
          <w:szCs w:val="22"/>
        </w:rPr>
      </w:pPr>
    </w:p>
    <w:p w:rsidR="0042364F" w:rsidRDefault="004E4767" w:rsidP="005C1392">
      <w:pPr>
        <w:pStyle w:val="Para0s"/>
        <w:jc w:val="both"/>
        <w:rPr>
          <w:szCs w:val="22"/>
        </w:rPr>
      </w:pPr>
      <w:r w:rsidRPr="003A467B">
        <w:rPr>
          <w:szCs w:val="22"/>
        </w:rPr>
        <w:t>Η μέγιστη</w:t>
      </w:r>
      <w:r w:rsidR="00E16E92" w:rsidRPr="003A467B">
        <w:rPr>
          <w:szCs w:val="22"/>
        </w:rPr>
        <w:t xml:space="preserve"> επαγωγ</w:t>
      </w:r>
      <w:r w:rsidRPr="003A467B">
        <w:rPr>
          <w:szCs w:val="22"/>
        </w:rPr>
        <w:t>ή των</w:t>
      </w:r>
      <w:r w:rsidR="00250F5D" w:rsidRPr="003A467B">
        <w:rPr>
          <w:szCs w:val="22"/>
        </w:rPr>
        <w:t xml:space="preserve"> ενζύμων </w:t>
      </w:r>
      <w:r w:rsidR="00F33846">
        <w:rPr>
          <w:szCs w:val="22"/>
        </w:rPr>
        <w:t xml:space="preserve">παρατηρείται </w:t>
      </w:r>
      <w:r w:rsidR="00D0323B">
        <w:rPr>
          <w:szCs w:val="22"/>
        </w:rPr>
        <w:t xml:space="preserve">γενικά </w:t>
      </w:r>
      <w:r w:rsidR="00F33846">
        <w:rPr>
          <w:szCs w:val="22"/>
        </w:rPr>
        <w:t xml:space="preserve">εντός </w:t>
      </w:r>
      <w:r w:rsidR="00CE3C4B">
        <w:rPr>
          <w:szCs w:val="22"/>
        </w:rPr>
        <w:t xml:space="preserve"> 10 ημ</w:t>
      </w:r>
      <w:r w:rsidR="00F33846">
        <w:rPr>
          <w:szCs w:val="22"/>
        </w:rPr>
        <w:t>ερών</w:t>
      </w:r>
      <w:r w:rsidR="00F33846" w:rsidRPr="00F33846">
        <w:rPr>
          <w:szCs w:val="22"/>
        </w:rPr>
        <w:t xml:space="preserve"> </w:t>
      </w:r>
      <w:r w:rsidR="00F33846">
        <w:rPr>
          <w:szCs w:val="22"/>
        </w:rPr>
        <w:t>περίπου</w:t>
      </w:r>
      <w:r w:rsidR="00D0323B">
        <w:rPr>
          <w:szCs w:val="22"/>
        </w:rPr>
        <w:t>,</w:t>
      </w:r>
      <w:r w:rsidR="00250F5D" w:rsidRPr="003A467B">
        <w:rPr>
          <w:szCs w:val="22"/>
        </w:rPr>
        <w:t xml:space="preserve"> αλλά </w:t>
      </w:r>
      <w:r w:rsidR="00032F2E" w:rsidRPr="003A467B">
        <w:rPr>
          <w:szCs w:val="22"/>
        </w:rPr>
        <w:t xml:space="preserve">στη συνέχεια </w:t>
      </w:r>
      <w:r w:rsidR="00250F5D" w:rsidRPr="003A467B">
        <w:rPr>
          <w:szCs w:val="22"/>
        </w:rPr>
        <w:t>μπορεί να διατηρηθ</w:t>
      </w:r>
      <w:r w:rsidR="00032F2E" w:rsidRPr="003A467B">
        <w:rPr>
          <w:szCs w:val="22"/>
        </w:rPr>
        <w:t>εί</w:t>
      </w:r>
      <w:r w:rsidR="00250F5D" w:rsidRPr="003A467B">
        <w:rPr>
          <w:szCs w:val="22"/>
        </w:rPr>
        <w:t xml:space="preserve"> για τουλάχιστον 4 εβδομάδες μετά τη διακοπή της φαρμακευτικής θεραπείας.</w:t>
      </w:r>
    </w:p>
    <w:p w:rsidR="003C0525" w:rsidRPr="003A467B" w:rsidRDefault="003C0525" w:rsidP="005C1392">
      <w:pPr>
        <w:pStyle w:val="Para0s"/>
        <w:jc w:val="both"/>
        <w:rPr>
          <w:szCs w:val="22"/>
        </w:rPr>
      </w:pPr>
    </w:p>
    <w:p w:rsidR="00CE3C4B" w:rsidRDefault="00452F27" w:rsidP="003C0525">
      <w:pPr>
        <w:pStyle w:val="Para0s"/>
        <w:numPr>
          <w:ilvl w:val="12"/>
          <w:numId w:val="0"/>
        </w:numPr>
      </w:pPr>
      <w:r w:rsidRPr="00CB6870">
        <w:t>Παρέμβαση</w:t>
      </w:r>
      <w:r w:rsidR="003C0525" w:rsidRPr="00CB6870">
        <w:t xml:space="preserve"> στην Εντεροηπατική Κυκλοφορία</w:t>
      </w:r>
    </w:p>
    <w:p w:rsidR="00CB6870" w:rsidRPr="00CB6870" w:rsidRDefault="00CB6870" w:rsidP="003C0525">
      <w:pPr>
        <w:pStyle w:val="Para0s"/>
        <w:numPr>
          <w:ilvl w:val="12"/>
          <w:numId w:val="0"/>
        </w:numPr>
      </w:pPr>
    </w:p>
    <w:p w:rsidR="008B7A4F" w:rsidRDefault="008B7A4F" w:rsidP="005C1392">
      <w:pPr>
        <w:pStyle w:val="Para0s"/>
        <w:jc w:val="both"/>
        <w:rPr>
          <w:szCs w:val="22"/>
        </w:rPr>
      </w:pPr>
      <w:r w:rsidRPr="003A467B">
        <w:rPr>
          <w:szCs w:val="22"/>
        </w:rPr>
        <w:t>Έχουν επίσης αναφερθεί αποτυχίες στην αντισ</w:t>
      </w:r>
      <w:r w:rsidR="005468F6" w:rsidRPr="003A467B">
        <w:rPr>
          <w:szCs w:val="22"/>
        </w:rPr>
        <w:t>υλληπτική αγωγή</w:t>
      </w:r>
      <w:r w:rsidRPr="003A467B">
        <w:rPr>
          <w:szCs w:val="22"/>
        </w:rPr>
        <w:t xml:space="preserve"> με αντιβιοτικά όπως οι </w:t>
      </w:r>
      <w:r w:rsidR="001B4AC7">
        <w:rPr>
          <w:szCs w:val="22"/>
        </w:rPr>
        <w:t>πενικιλίνες</w:t>
      </w:r>
      <w:r w:rsidR="00CE3C4B">
        <w:rPr>
          <w:szCs w:val="22"/>
        </w:rPr>
        <w:t xml:space="preserve"> </w:t>
      </w:r>
      <w:r w:rsidRPr="003A467B">
        <w:rPr>
          <w:szCs w:val="22"/>
        </w:rPr>
        <w:t>και οι τετρακυκλίνες.</w:t>
      </w:r>
      <w:r w:rsidR="0083489F" w:rsidRPr="003A467B">
        <w:rPr>
          <w:szCs w:val="22"/>
        </w:rPr>
        <w:t xml:space="preserve"> Ο μηχανισμός αυτής της δράσης δεν έχει </w:t>
      </w:r>
      <w:r w:rsidR="008376F9" w:rsidRPr="003A467B">
        <w:rPr>
          <w:szCs w:val="22"/>
        </w:rPr>
        <w:t>διευκρινιστεί</w:t>
      </w:r>
      <w:r w:rsidR="0083489F" w:rsidRPr="003A467B">
        <w:rPr>
          <w:szCs w:val="22"/>
        </w:rPr>
        <w:t>.</w:t>
      </w:r>
    </w:p>
    <w:p w:rsidR="00CE3C4B" w:rsidRDefault="00CE3C4B" w:rsidP="005C1392">
      <w:pPr>
        <w:pStyle w:val="Para0s"/>
        <w:jc w:val="both"/>
        <w:rPr>
          <w:szCs w:val="22"/>
        </w:rPr>
      </w:pPr>
    </w:p>
    <w:p w:rsidR="00CE3C4B" w:rsidRPr="003A467B" w:rsidRDefault="00452F27" w:rsidP="005C1392">
      <w:pPr>
        <w:pStyle w:val="Para0s"/>
        <w:jc w:val="both"/>
        <w:rPr>
          <w:szCs w:val="22"/>
        </w:rPr>
      </w:pPr>
      <w:r>
        <w:rPr>
          <w:szCs w:val="22"/>
        </w:rPr>
        <w:t>Διαχείριση</w:t>
      </w:r>
    </w:p>
    <w:p w:rsidR="00A0496F" w:rsidRPr="003A467B" w:rsidRDefault="00A0496F" w:rsidP="005C1392">
      <w:pPr>
        <w:pStyle w:val="Para0s"/>
        <w:jc w:val="both"/>
        <w:rPr>
          <w:szCs w:val="22"/>
        </w:rPr>
      </w:pPr>
    </w:p>
    <w:p w:rsidR="00A95819" w:rsidRPr="003A467B" w:rsidRDefault="00C933B7" w:rsidP="005C1392">
      <w:pPr>
        <w:pStyle w:val="Para0s"/>
        <w:jc w:val="both"/>
        <w:rPr>
          <w:szCs w:val="22"/>
        </w:rPr>
      </w:pPr>
      <w:r w:rsidRPr="003A467B">
        <w:rPr>
          <w:szCs w:val="22"/>
        </w:rPr>
        <w:t>Γ</w:t>
      </w:r>
      <w:r w:rsidR="008C5CD2" w:rsidRPr="003A467B">
        <w:rPr>
          <w:szCs w:val="22"/>
        </w:rPr>
        <w:t xml:space="preserve">υναίκες που βρίσκονται σε </w:t>
      </w:r>
      <w:r w:rsidR="004F3D25" w:rsidRPr="003A467B">
        <w:rPr>
          <w:szCs w:val="22"/>
        </w:rPr>
        <w:t xml:space="preserve">βραχυχρόνια </w:t>
      </w:r>
      <w:r w:rsidR="008C5CD2" w:rsidRPr="003A467B">
        <w:rPr>
          <w:szCs w:val="22"/>
        </w:rPr>
        <w:t>θεραπεία</w:t>
      </w:r>
      <w:r w:rsidR="008376F9" w:rsidRPr="003A467B">
        <w:rPr>
          <w:szCs w:val="22"/>
        </w:rPr>
        <w:t xml:space="preserve"> </w:t>
      </w:r>
      <w:r w:rsidR="008C5CD2" w:rsidRPr="003A467B">
        <w:rPr>
          <w:szCs w:val="22"/>
        </w:rPr>
        <w:t>με κάποι</w:t>
      </w:r>
      <w:r w:rsidR="008376F9" w:rsidRPr="003A467B">
        <w:rPr>
          <w:szCs w:val="22"/>
        </w:rPr>
        <w:t>α</w:t>
      </w:r>
      <w:r w:rsidR="008C5CD2" w:rsidRPr="003A467B">
        <w:rPr>
          <w:szCs w:val="22"/>
        </w:rPr>
        <w:t xml:space="preserve"> από τ</w:t>
      </w:r>
      <w:r w:rsidR="008376F9" w:rsidRPr="003A467B">
        <w:rPr>
          <w:szCs w:val="22"/>
        </w:rPr>
        <w:t>ις</w:t>
      </w:r>
      <w:r w:rsidR="008C5CD2" w:rsidRPr="003A467B">
        <w:rPr>
          <w:szCs w:val="22"/>
        </w:rPr>
        <w:t xml:space="preserve"> παραπάνω </w:t>
      </w:r>
      <w:r w:rsidR="008376F9" w:rsidRPr="003A467B">
        <w:rPr>
          <w:szCs w:val="22"/>
        </w:rPr>
        <w:t xml:space="preserve">αναφερόμενες </w:t>
      </w:r>
      <w:r w:rsidR="00A0496F" w:rsidRPr="003A467B">
        <w:rPr>
          <w:szCs w:val="22"/>
        </w:rPr>
        <w:t xml:space="preserve">κατηγορίες </w:t>
      </w:r>
      <w:r w:rsidR="008C5CD2" w:rsidRPr="003A467B">
        <w:rPr>
          <w:szCs w:val="22"/>
        </w:rPr>
        <w:t>φ</w:t>
      </w:r>
      <w:r w:rsidR="008376F9" w:rsidRPr="003A467B">
        <w:rPr>
          <w:szCs w:val="22"/>
        </w:rPr>
        <w:t>αρμ</w:t>
      </w:r>
      <w:r w:rsidR="00A0496F" w:rsidRPr="003A467B">
        <w:rPr>
          <w:szCs w:val="22"/>
        </w:rPr>
        <w:t>ακευτικών</w:t>
      </w:r>
      <w:r w:rsidR="008C5CD2" w:rsidRPr="003A467B">
        <w:rPr>
          <w:szCs w:val="22"/>
        </w:rPr>
        <w:t xml:space="preserve"> </w:t>
      </w:r>
      <w:r w:rsidR="00A0496F" w:rsidRPr="003A467B">
        <w:rPr>
          <w:szCs w:val="22"/>
        </w:rPr>
        <w:t>προϊόντων</w:t>
      </w:r>
      <w:r w:rsidR="00CE3C4B">
        <w:rPr>
          <w:szCs w:val="22"/>
        </w:rPr>
        <w:t xml:space="preserve"> ή μεμονωμένες δραστικές ουσίες (φάρμακο που επάγει τα ηπατικά ένζυμα) εκτός από </w:t>
      </w:r>
      <w:r w:rsidR="00452F27">
        <w:rPr>
          <w:szCs w:val="22"/>
        </w:rPr>
        <w:t xml:space="preserve">τη </w:t>
      </w:r>
      <w:r w:rsidR="00CE3C4B">
        <w:rPr>
          <w:szCs w:val="22"/>
        </w:rPr>
        <w:t>ριφαμπικίνη</w:t>
      </w:r>
      <w:r w:rsidR="00A4066D" w:rsidRPr="003A467B">
        <w:rPr>
          <w:szCs w:val="22"/>
        </w:rPr>
        <w:t>,</w:t>
      </w:r>
      <w:r w:rsidR="00A0496F" w:rsidRPr="003A467B">
        <w:rPr>
          <w:szCs w:val="22"/>
        </w:rPr>
        <w:t xml:space="preserve"> </w:t>
      </w:r>
      <w:r w:rsidR="008C5CD2" w:rsidRPr="003A467B">
        <w:rPr>
          <w:szCs w:val="22"/>
        </w:rPr>
        <w:t xml:space="preserve">πρέπει να χρησιμοποιούν προσωρινά </w:t>
      </w:r>
      <w:r w:rsidR="00F33846">
        <w:rPr>
          <w:szCs w:val="22"/>
        </w:rPr>
        <w:t xml:space="preserve">μια </w:t>
      </w:r>
      <w:r w:rsidR="008C5CD2" w:rsidRPr="003A467B">
        <w:rPr>
          <w:szCs w:val="22"/>
        </w:rPr>
        <w:t xml:space="preserve">μέθοδο φραγμού </w:t>
      </w:r>
      <w:r w:rsidR="00F33846">
        <w:rPr>
          <w:szCs w:val="22"/>
        </w:rPr>
        <w:t>επιπρόσθετα</w:t>
      </w:r>
      <w:r w:rsidR="008C5CD2" w:rsidRPr="003A467B">
        <w:rPr>
          <w:szCs w:val="22"/>
        </w:rPr>
        <w:t xml:space="preserve"> </w:t>
      </w:r>
      <w:r w:rsidR="00F33846">
        <w:rPr>
          <w:szCs w:val="22"/>
        </w:rPr>
        <w:t>στο</w:t>
      </w:r>
      <w:r w:rsidR="008C5CD2" w:rsidRPr="003A467B">
        <w:rPr>
          <w:szCs w:val="22"/>
        </w:rPr>
        <w:t xml:space="preserve"> συνδυασμένο από του στόματος αντισυλληπτικ</w:t>
      </w:r>
      <w:r w:rsidR="00F33846">
        <w:rPr>
          <w:szCs w:val="22"/>
        </w:rPr>
        <w:t>ό</w:t>
      </w:r>
      <w:r w:rsidR="00A4066D" w:rsidRPr="003A467B">
        <w:rPr>
          <w:szCs w:val="22"/>
        </w:rPr>
        <w:t>,</w:t>
      </w:r>
      <w:r w:rsidR="00CF7BF7" w:rsidRPr="003A467B">
        <w:rPr>
          <w:szCs w:val="22"/>
        </w:rPr>
        <w:t xml:space="preserve"> </w:t>
      </w:r>
      <w:r w:rsidR="00B1031B" w:rsidRPr="003A467B">
        <w:rPr>
          <w:szCs w:val="22"/>
        </w:rPr>
        <w:t>δηλαδή</w:t>
      </w:r>
      <w:r w:rsidR="00296E32" w:rsidRPr="003A467B">
        <w:rPr>
          <w:szCs w:val="22"/>
        </w:rPr>
        <w:t>,</w:t>
      </w:r>
      <w:r w:rsidR="00B1031B" w:rsidRPr="003A467B">
        <w:rPr>
          <w:szCs w:val="22"/>
        </w:rPr>
        <w:t xml:space="preserve"> </w:t>
      </w:r>
      <w:r w:rsidR="00CF7BF7" w:rsidRPr="003A467B">
        <w:rPr>
          <w:szCs w:val="22"/>
        </w:rPr>
        <w:t xml:space="preserve">κατά τη διάρκεια </w:t>
      </w:r>
      <w:r w:rsidR="004F3D25" w:rsidRPr="003A467B">
        <w:rPr>
          <w:szCs w:val="22"/>
        </w:rPr>
        <w:t xml:space="preserve">του χρόνου </w:t>
      </w:r>
      <w:r w:rsidR="00CF7BF7" w:rsidRPr="003A467B">
        <w:rPr>
          <w:szCs w:val="22"/>
        </w:rPr>
        <w:t xml:space="preserve">της </w:t>
      </w:r>
      <w:r w:rsidR="00452F27">
        <w:rPr>
          <w:szCs w:val="22"/>
        </w:rPr>
        <w:t>ταυτόχρονης</w:t>
      </w:r>
      <w:r w:rsidR="00CF7BF7" w:rsidRPr="003A467B">
        <w:rPr>
          <w:szCs w:val="22"/>
        </w:rPr>
        <w:t xml:space="preserve"> χορήγησης και για </w:t>
      </w:r>
      <w:r w:rsidR="002F6C55" w:rsidRPr="003A467B">
        <w:rPr>
          <w:szCs w:val="22"/>
        </w:rPr>
        <w:t>7 </w:t>
      </w:r>
      <w:r w:rsidR="00CF7BF7" w:rsidRPr="003A467B">
        <w:rPr>
          <w:szCs w:val="22"/>
        </w:rPr>
        <w:t>ημέρες μετά τη διακοπή της.</w:t>
      </w:r>
      <w:r w:rsidR="005A44E3" w:rsidRPr="003A467B">
        <w:rPr>
          <w:szCs w:val="22"/>
        </w:rPr>
        <w:t xml:space="preserve"> </w:t>
      </w:r>
    </w:p>
    <w:p w:rsidR="005964E2" w:rsidRPr="003A467B" w:rsidRDefault="005964E2" w:rsidP="005C1392">
      <w:pPr>
        <w:pStyle w:val="Para0s"/>
        <w:jc w:val="both"/>
        <w:rPr>
          <w:szCs w:val="22"/>
        </w:rPr>
      </w:pPr>
    </w:p>
    <w:p w:rsidR="00CE0E73" w:rsidRPr="003A467B" w:rsidRDefault="00AB7E3A" w:rsidP="005C1392">
      <w:pPr>
        <w:pStyle w:val="Para0s"/>
        <w:jc w:val="both"/>
        <w:rPr>
          <w:szCs w:val="22"/>
        </w:rPr>
      </w:pPr>
      <w:r w:rsidRPr="003A467B">
        <w:rPr>
          <w:szCs w:val="22"/>
        </w:rPr>
        <w:t>Σ</w:t>
      </w:r>
      <w:r w:rsidR="00A95819" w:rsidRPr="003A467B">
        <w:rPr>
          <w:szCs w:val="22"/>
        </w:rPr>
        <w:t>τις</w:t>
      </w:r>
      <w:r w:rsidR="00CF7BF7" w:rsidRPr="003A467B">
        <w:rPr>
          <w:szCs w:val="22"/>
        </w:rPr>
        <w:t xml:space="preserve"> γυναίκες που </w:t>
      </w:r>
      <w:r w:rsidR="00076C04" w:rsidRPr="003A467B">
        <w:rPr>
          <w:szCs w:val="22"/>
        </w:rPr>
        <w:t xml:space="preserve">βρίσκονται σε αγωγή </w:t>
      </w:r>
      <w:r w:rsidR="00CF7BF7" w:rsidRPr="003A467B">
        <w:rPr>
          <w:szCs w:val="22"/>
        </w:rPr>
        <w:t xml:space="preserve">με </w:t>
      </w:r>
      <w:r w:rsidR="00A95819" w:rsidRPr="003A467B">
        <w:rPr>
          <w:szCs w:val="22"/>
        </w:rPr>
        <w:t xml:space="preserve">ριφαμπικίνη </w:t>
      </w:r>
      <w:r w:rsidR="00CF7BF7" w:rsidRPr="003A467B">
        <w:rPr>
          <w:szCs w:val="22"/>
        </w:rPr>
        <w:t xml:space="preserve">πρέπει να </w:t>
      </w:r>
      <w:r w:rsidR="00AC7253" w:rsidRPr="003A467B">
        <w:rPr>
          <w:szCs w:val="22"/>
        </w:rPr>
        <w:t>χρησιμοποι</w:t>
      </w:r>
      <w:r w:rsidR="00A95819" w:rsidRPr="003A467B">
        <w:rPr>
          <w:szCs w:val="22"/>
        </w:rPr>
        <w:t>είται</w:t>
      </w:r>
      <w:r w:rsidR="00AC7253" w:rsidRPr="003A467B">
        <w:rPr>
          <w:szCs w:val="22"/>
        </w:rPr>
        <w:t xml:space="preserve"> μέθοδο</w:t>
      </w:r>
      <w:r w:rsidR="00A95819" w:rsidRPr="003A467B">
        <w:rPr>
          <w:szCs w:val="22"/>
        </w:rPr>
        <w:t>ς</w:t>
      </w:r>
      <w:r w:rsidR="00AC7253" w:rsidRPr="003A467B">
        <w:rPr>
          <w:szCs w:val="22"/>
        </w:rPr>
        <w:t xml:space="preserve"> φραγμού </w:t>
      </w:r>
      <w:r w:rsidR="00F33846">
        <w:rPr>
          <w:szCs w:val="22"/>
        </w:rPr>
        <w:t xml:space="preserve">επιπρόσθετα στο </w:t>
      </w:r>
      <w:r w:rsidR="00A95819" w:rsidRPr="003A467B">
        <w:rPr>
          <w:szCs w:val="22"/>
        </w:rPr>
        <w:t>συνδυασμένο από του στόματος αντισυλληπτικ</w:t>
      </w:r>
      <w:r w:rsidR="00F33846">
        <w:rPr>
          <w:szCs w:val="22"/>
        </w:rPr>
        <w:t>ό</w:t>
      </w:r>
      <w:r w:rsidR="00A95819" w:rsidRPr="003A467B">
        <w:rPr>
          <w:szCs w:val="22"/>
        </w:rPr>
        <w:t xml:space="preserve"> κατά τη διάρκεια της χορήγησης </w:t>
      </w:r>
      <w:r w:rsidR="00066AC8" w:rsidRPr="003A467B">
        <w:rPr>
          <w:szCs w:val="22"/>
        </w:rPr>
        <w:t xml:space="preserve">της </w:t>
      </w:r>
      <w:r w:rsidR="00A95819" w:rsidRPr="003A467B">
        <w:rPr>
          <w:szCs w:val="22"/>
        </w:rPr>
        <w:t xml:space="preserve">ριφαμπικίνης </w:t>
      </w:r>
      <w:r w:rsidR="00AC7253" w:rsidRPr="003A467B">
        <w:rPr>
          <w:szCs w:val="22"/>
        </w:rPr>
        <w:t xml:space="preserve">και για </w:t>
      </w:r>
      <w:r w:rsidR="00A95819" w:rsidRPr="003A467B">
        <w:rPr>
          <w:szCs w:val="22"/>
        </w:rPr>
        <w:t>28 </w:t>
      </w:r>
      <w:r w:rsidR="00AC7253" w:rsidRPr="003A467B">
        <w:rPr>
          <w:szCs w:val="22"/>
        </w:rPr>
        <w:t>ημέρες μετά τη διακοπή τ</w:t>
      </w:r>
      <w:r w:rsidR="00A95819" w:rsidRPr="003A467B">
        <w:rPr>
          <w:szCs w:val="22"/>
        </w:rPr>
        <w:t>η</w:t>
      </w:r>
      <w:r w:rsidR="00AC7253" w:rsidRPr="003A467B">
        <w:rPr>
          <w:szCs w:val="22"/>
        </w:rPr>
        <w:t>ς.</w:t>
      </w:r>
      <w:r w:rsidR="00CE3C4B" w:rsidRPr="003A467B" w:rsidDel="00CE3C4B">
        <w:rPr>
          <w:szCs w:val="22"/>
        </w:rPr>
        <w:t xml:space="preserve"> </w:t>
      </w:r>
    </w:p>
    <w:p w:rsidR="00C44250" w:rsidRPr="003A467B" w:rsidRDefault="0062479B" w:rsidP="005C1392">
      <w:pPr>
        <w:pStyle w:val="Para0s"/>
        <w:jc w:val="both"/>
        <w:rPr>
          <w:szCs w:val="22"/>
        </w:rPr>
      </w:pPr>
      <w:r w:rsidRPr="003A467B">
        <w:rPr>
          <w:szCs w:val="22"/>
        </w:rPr>
        <w:t xml:space="preserve">Σε γυναίκες που βρίσκονται σε </w:t>
      </w:r>
      <w:r w:rsidR="00CE3C4B">
        <w:rPr>
          <w:szCs w:val="22"/>
        </w:rPr>
        <w:t xml:space="preserve">μακροχρόνια </w:t>
      </w:r>
      <w:r w:rsidRPr="003A467B">
        <w:rPr>
          <w:szCs w:val="22"/>
        </w:rPr>
        <w:t xml:space="preserve">θεραπεία με </w:t>
      </w:r>
      <w:r w:rsidR="002B6EB9" w:rsidRPr="003A467B">
        <w:rPr>
          <w:szCs w:val="22"/>
        </w:rPr>
        <w:t xml:space="preserve">επαγωγικές των ηπατικών ενζύμων </w:t>
      </w:r>
      <w:r w:rsidRPr="003A467B">
        <w:rPr>
          <w:szCs w:val="22"/>
        </w:rPr>
        <w:t>δραστικές ουσίες</w:t>
      </w:r>
      <w:r w:rsidR="0003327E" w:rsidRPr="003A467B">
        <w:rPr>
          <w:szCs w:val="22"/>
        </w:rPr>
        <w:t xml:space="preserve">, συνιστάται μία άλλη αξιόπιστη, μη ορμονική </w:t>
      </w:r>
      <w:r w:rsidR="0094167B" w:rsidRPr="003A467B">
        <w:rPr>
          <w:szCs w:val="22"/>
        </w:rPr>
        <w:t>αντισυλληπτική μέθοδος.</w:t>
      </w:r>
    </w:p>
    <w:p w:rsidR="005964E2" w:rsidRDefault="005964E2" w:rsidP="005C1392">
      <w:pPr>
        <w:pStyle w:val="Para0s"/>
        <w:jc w:val="both"/>
        <w:rPr>
          <w:szCs w:val="22"/>
        </w:rPr>
      </w:pPr>
    </w:p>
    <w:p w:rsidR="00CE3C4B" w:rsidRDefault="00CE3C4B" w:rsidP="005C1392">
      <w:pPr>
        <w:pStyle w:val="Para0s"/>
        <w:jc w:val="both"/>
        <w:rPr>
          <w:szCs w:val="22"/>
        </w:rPr>
      </w:pPr>
      <w:r>
        <w:rPr>
          <w:szCs w:val="22"/>
        </w:rPr>
        <w:t xml:space="preserve">Οι γυναίκες που βρίσκονται σε θεραπεία με αντιβιοτικά (εκτός από </w:t>
      </w:r>
      <w:r w:rsidR="00452F27">
        <w:rPr>
          <w:szCs w:val="22"/>
        </w:rPr>
        <w:t>τη</w:t>
      </w:r>
      <w:r w:rsidR="001A6C1D" w:rsidRPr="001A6C1D">
        <w:rPr>
          <w:szCs w:val="22"/>
        </w:rPr>
        <w:t xml:space="preserve"> </w:t>
      </w:r>
      <w:r>
        <w:rPr>
          <w:szCs w:val="22"/>
        </w:rPr>
        <w:t>ριφαμπικίνη, δείτε παραπάνω</w:t>
      </w:r>
      <w:r w:rsidR="00452F27">
        <w:rPr>
          <w:szCs w:val="22"/>
        </w:rPr>
        <w:t xml:space="preserve">) θα πρέπει να χρησιμοποιούν </w:t>
      </w:r>
      <w:r>
        <w:rPr>
          <w:szCs w:val="22"/>
        </w:rPr>
        <w:t xml:space="preserve"> μέθοδο φραγμού μέχρι 7 μέρες μετά τη διακοπή.</w:t>
      </w:r>
    </w:p>
    <w:p w:rsidR="00CE3C4B" w:rsidRDefault="00CE3C4B" w:rsidP="005C1392">
      <w:pPr>
        <w:pStyle w:val="Para0s"/>
        <w:jc w:val="both"/>
        <w:rPr>
          <w:szCs w:val="22"/>
        </w:rPr>
      </w:pPr>
    </w:p>
    <w:p w:rsidR="00CE3C4B" w:rsidRPr="003A467B" w:rsidRDefault="00CE3C4B" w:rsidP="00CE3C4B">
      <w:pPr>
        <w:pStyle w:val="Para0s"/>
        <w:jc w:val="both"/>
        <w:rPr>
          <w:szCs w:val="22"/>
        </w:rPr>
      </w:pPr>
      <w:r w:rsidRPr="003A467B">
        <w:rPr>
          <w:szCs w:val="22"/>
        </w:rPr>
        <w:t>Εάν το χρονικό διάστημα</w:t>
      </w:r>
      <w:r w:rsidR="00452F27">
        <w:rPr>
          <w:szCs w:val="22"/>
        </w:rPr>
        <w:t xml:space="preserve"> ταυτόχρονης</w:t>
      </w:r>
      <w:r w:rsidRPr="003A467B">
        <w:rPr>
          <w:szCs w:val="22"/>
        </w:rPr>
        <w:t xml:space="preserve"> χορήγησης του φαρμακευτικού προϊόντος ξεπερνά το τέλος μίας συσκευασίας blister αντισυλληπτικών δισκίων, η επόμενη συσκευασία πρέπει να ξεκινά χωρίς το συνηθισμένο διάστημα κατά το οποίο δεν λαμβάνονται δισκία.</w:t>
      </w:r>
    </w:p>
    <w:p w:rsidR="00CE3C4B" w:rsidRDefault="00CE3C4B" w:rsidP="005C1392">
      <w:pPr>
        <w:pStyle w:val="Para0s"/>
        <w:jc w:val="both"/>
        <w:rPr>
          <w:szCs w:val="22"/>
        </w:rPr>
      </w:pPr>
    </w:p>
    <w:p w:rsidR="00AC7253" w:rsidRPr="003A467B" w:rsidRDefault="00AC7253" w:rsidP="005C1392">
      <w:pPr>
        <w:pStyle w:val="Para0s"/>
        <w:jc w:val="both"/>
        <w:rPr>
          <w:szCs w:val="22"/>
        </w:rPr>
      </w:pPr>
      <w:r w:rsidRPr="003A467B">
        <w:rPr>
          <w:szCs w:val="22"/>
        </w:rPr>
        <w:t>Οι κύριοι μεταβολίτες της δροσπιρενόνης στο ανθρώπινο πλάσμα παράγονται χωρίς τη συμμετοχή του συστήματος του κυτοχρώματος Ρ450. Οι αναστολείς αυτού του συστήματος ενζύμων είναι επομένως απίθανο να επηρεάσουν το μεταβολισμό της δροσπιρενόνης.</w:t>
      </w:r>
    </w:p>
    <w:p w:rsidR="006915D6" w:rsidRPr="003A467B" w:rsidRDefault="006915D6" w:rsidP="005C1392">
      <w:pPr>
        <w:pStyle w:val="Para0s"/>
        <w:jc w:val="both"/>
        <w:rPr>
          <w:szCs w:val="22"/>
        </w:rPr>
      </w:pPr>
    </w:p>
    <w:p w:rsidR="00C92A16" w:rsidRPr="00C9138C" w:rsidRDefault="00C92A16" w:rsidP="00C9138C">
      <w:pPr>
        <w:pStyle w:val="Bullet0dKT"/>
        <w:numPr>
          <w:ilvl w:val="0"/>
          <w:numId w:val="19"/>
        </w:numPr>
        <w:ind w:left="0" w:firstLine="0"/>
        <w:jc w:val="both"/>
        <w:rPr>
          <w:szCs w:val="22"/>
        </w:rPr>
      </w:pPr>
      <w:r w:rsidRPr="003A467B">
        <w:lastRenderedPageBreak/>
        <w:t>Επίδραση των δισκίων Yasmin</w:t>
      </w:r>
      <w:r w:rsidRPr="003A467B">
        <w:rPr>
          <w:vertAlign w:val="superscript"/>
        </w:rPr>
        <w:t>®</w:t>
      </w:r>
      <w:r w:rsidRPr="003A467B">
        <w:t xml:space="preserve"> σε άλλα φαρμακευτικά προϊόντα</w:t>
      </w:r>
    </w:p>
    <w:p w:rsidR="00851CD9" w:rsidRPr="003A467B" w:rsidRDefault="00AC7253" w:rsidP="005C1392">
      <w:pPr>
        <w:pStyle w:val="Para0s"/>
        <w:jc w:val="both"/>
        <w:rPr>
          <w:szCs w:val="22"/>
        </w:rPr>
      </w:pPr>
      <w:r w:rsidRPr="003A467B">
        <w:rPr>
          <w:szCs w:val="22"/>
        </w:rPr>
        <w:t xml:space="preserve">Τα από του στόματος αντισυλληπτικά μπορεί να </w:t>
      </w:r>
      <w:r w:rsidR="00E36526" w:rsidRPr="003A467B">
        <w:rPr>
          <w:szCs w:val="22"/>
        </w:rPr>
        <w:t>επηρεάσουν</w:t>
      </w:r>
      <w:r w:rsidRPr="003A467B">
        <w:rPr>
          <w:szCs w:val="22"/>
        </w:rPr>
        <w:t xml:space="preserve"> το</w:t>
      </w:r>
      <w:r w:rsidR="00E36526" w:rsidRPr="003A467B">
        <w:rPr>
          <w:szCs w:val="22"/>
        </w:rPr>
        <w:t>ν</w:t>
      </w:r>
      <w:r w:rsidRPr="003A467B">
        <w:rPr>
          <w:szCs w:val="22"/>
        </w:rPr>
        <w:t xml:space="preserve"> μεταβολισμό άλλων </w:t>
      </w:r>
      <w:r w:rsidR="00B93123" w:rsidRPr="003A467B">
        <w:rPr>
          <w:szCs w:val="22"/>
        </w:rPr>
        <w:t>δραστικών ουσιών</w:t>
      </w:r>
      <w:r w:rsidRPr="003A467B">
        <w:rPr>
          <w:szCs w:val="22"/>
        </w:rPr>
        <w:t>.</w:t>
      </w:r>
      <w:r w:rsidR="005A44E3" w:rsidRPr="003A467B">
        <w:rPr>
          <w:szCs w:val="22"/>
        </w:rPr>
        <w:t xml:space="preserve"> </w:t>
      </w:r>
      <w:r w:rsidRPr="003A467B">
        <w:rPr>
          <w:szCs w:val="22"/>
        </w:rPr>
        <w:t xml:space="preserve">Συνεπώς, οι συγκεντρώσεις στο πλάσμα και τους ιστούς </w:t>
      </w:r>
      <w:r w:rsidR="006613A5" w:rsidRPr="003A467B">
        <w:rPr>
          <w:szCs w:val="22"/>
        </w:rPr>
        <w:t xml:space="preserve">μπορεί ή να αυξηθούν </w:t>
      </w:r>
      <w:r w:rsidRPr="003A467B">
        <w:rPr>
          <w:szCs w:val="22"/>
        </w:rPr>
        <w:t>(π.χ. κυκλοσπορίνη)</w:t>
      </w:r>
      <w:r w:rsidR="006613A5" w:rsidRPr="003A467B">
        <w:rPr>
          <w:szCs w:val="22"/>
        </w:rPr>
        <w:t xml:space="preserve"> ή να ελαττωθούν (π.χ. λαμοτριγίνη)</w:t>
      </w:r>
      <w:r w:rsidRPr="003A467B">
        <w:rPr>
          <w:szCs w:val="22"/>
        </w:rPr>
        <w:t>.</w:t>
      </w:r>
    </w:p>
    <w:p w:rsidR="00776C5F" w:rsidRPr="003A467B" w:rsidRDefault="00776C5F" w:rsidP="005C1392">
      <w:pPr>
        <w:pStyle w:val="Para0s"/>
        <w:jc w:val="both"/>
        <w:rPr>
          <w:szCs w:val="22"/>
        </w:rPr>
      </w:pPr>
    </w:p>
    <w:p w:rsidR="0084183B" w:rsidRPr="003A467B" w:rsidRDefault="005A44E3" w:rsidP="00AD3869">
      <w:pPr>
        <w:pStyle w:val="Para0s"/>
        <w:jc w:val="both"/>
        <w:rPr>
          <w:szCs w:val="22"/>
        </w:rPr>
      </w:pPr>
      <w:r w:rsidRPr="003A467B">
        <w:rPr>
          <w:szCs w:val="22"/>
        </w:rPr>
        <w:t xml:space="preserve"> </w:t>
      </w:r>
      <w:r w:rsidR="001B4AC7">
        <w:rPr>
          <w:szCs w:val="22"/>
        </w:rPr>
        <w:t>Μ</w:t>
      </w:r>
      <w:r w:rsidR="0084183B" w:rsidRPr="003A467B">
        <w:rPr>
          <w:szCs w:val="22"/>
        </w:rPr>
        <w:t xml:space="preserve">ε βάση </w:t>
      </w:r>
      <w:r w:rsidR="0084183B" w:rsidRPr="003A467B">
        <w:rPr>
          <w:i/>
          <w:szCs w:val="22"/>
        </w:rPr>
        <w:t>in vitro</w:t>
      </w:r>
      <w:r w:rsidR="0084183B" w:rsidRPr="003A467B">
        <w:rPr>
          <w:szCs w:val="22"/>
        </w:rPr>
        <w:t xml:space="preserve"> μελέτες αναστολής και </w:t>
      </w:r>
      <w:r w:rsidR="0084183B" w:rsidRPr="003A467B">
        <w:rPr>
          <w:i/>
          <w:szCs w:val="22"/>
        </w:rPr>
        <w:t xml:space="preserve">in vivo </w:t>
      </w:r>
      <w:r w:rsidR="0084183B" w:rsidRPr="003A467B">
        <w:rPr>
          <w:szCs w:val="22"/>
        </w:rPr>
        <w:t>μελέτ</w:t>
      </w:r>
      <w:r w:rsidR="002E6629" w:rsidRPr="003A467B">
        <w:rPr>
          <w:szCs w:val="22"/>
        </w:rPr>
        <w:t>ες</w:t>
      </w:r>
      <w:r w:rsidR="0084183B" w:rsidRPr="003A467B">
        <w:rPr>
          <w:szCs w:val="22"/>
        </w:rPr>
        <w:t xml:space="preserve"> αλληλεπίδρασης σε εθελόντριες χρησιμοποιώντας ομεπραζόλη</w:t>
      </w:r>
      <w:r w:rsidR="00E91760">
        <w:rPr>
          <w:szCs w:val="22"/>
        </w:rPr>
        <w:t>,</w:t>
      </w:r>
      <w:r w:rsidR="0084183B" w:rsidRPr="003A467B">
        <w:rPr>
          <w:szCs w:val="22"/>
        </w:rPr>
        <w:t xml:space="preserve"> </w:t>
      </w:r>
      <w:r w:rsidR="00AC7253" w:rsidRPr="003A467B">
        <w:rPr>
          <w:szCs w:val="22"/>
        </w:rPr>
        <w:t xml:space="preserve">σιμβαστατίνη και μιδαζολάμη </w:t>
      </w:r>
      <w:r w:rsidR="0084183B" w:rsidRPr="003A467B">
        <w:rPr>
          <w:szCs w:val="22"/>
        </w:rPr>
        <w:t xml:space="preserve">ως δείκτη υποστρώματος, </w:t>
      </w:r>
      <w:r w:rsidR="00E91760">
        <w:rPr>
          <w:szCs w:val="22"/>
        </w:rPr>
        <w:t>μια</w:t>
      </w:r>
      <w:r w:rsidR="00AC7253" w:rsidRPr="003A467B">
        <w:rPr>
          <w:szCs w:val="22"/>
        </w:rPr>
        <w:t xml:space="preserve"> αλληλεπίδραση της </w:t>
      </w:r>
      <w:r w:rsidR="0084183B" w:rsidRPr="003A467B">
        <w:rPr>
          <w:szCs w:val="22"/>
        </w:rPr>
        <w:t>δροσπιρενόνη</w:t>
      </w:r>
      <w:r w:rsidR="00AC7253" w:rsidRPr="003A467B">
        <w:rPr>
          <w:szCs w:val="22"/>
        </w:rPr>
        <w:t>ς σε δόσεις των 3</w:t>
      </w:r>
      <w:r w:rsidR="00174E24" w:rsidRPr="003A467B">
        <w:rPr>
          <w:szCs w:val="22"/>
        </w:rPr>
        <w:t> </w:t>
      </w:r>
      <w:r w:rsidR="00AC7253" w:rsidRPr="003A467B">
        <w:rPr>
          <w:szCs w:val="22"/>
          <w:lang w:val="en-US"/>
        </w:rPr>
        <w:t>mg</w:t>
      </w:r>
      <w:r w:rsidR="00AC7253" w:rsidRPr="003A467B">
        <w:rPr>
          <w:szCs w:val="22"/>
        </w:rPr>
        <w:t>,</w:t>
      </w:r>
      <w:r w:rsidR="0084183B" w:rsidRPr="003A467B">
        <w:rPr>
          <w:szCs w:val="22"/>
        </w:rPr>
        <w:t xml:space="preserve"> με το μεταβολισμό άλλων </w:t>
      </w:r>
      <w:r w:rsidR="008318A1" w:rsidRPr="003A467B">
        <w:rPr>
          <w:szCs w:val="22"/>
        </w:rPr>
        <w:t>δραστικών ουσιών</w:t>
      </w:r>
      <w:r w:rsidR="00E91760" w:rsidRPr="00E91760">
        <w:rPr>
          <w:szCs w:val="22"/>
        </w:rPr>
        <w:t xml:space="preserve"> </w:t>
      </w:r>
      <w:r w:rsidR="00E91760" w:rsidRPr="003A467B">
        <w:rPr>
          <w:szCs w:val="22"/>
        </w:rPr>
        <w:t>φαίνεται απίθανη</w:t>
      </w:r>
      <w:r w:rsidR="0084183B" w:rsidRPr="003A467B">
        <w:rPr>
          <w:szCs w:val="22"/>
        </w:rPr>
        <w:t>.</w:t>
      </w:r>
    </w:p>
    <w:p w:rsidR="00776C5F" w:rsidRPr="003A467B" w:rsidRDefault="00776C5F" w:rsidP="00AD3869">
      <w:pPr>
        <w:pStyle w:val="Para0s"/>
        <w:jc w:val="both"/>
        <w:rPr>
          <w:szCs w:val="22"/>
        </w:rPr>
      </w:pPr>
    </w:p>
    <w:p w:rsidR="0084183B" w:rsidRPr="003A467B" w:rsidRDefault="00C97CA1" w:rsidP="00AD3869">
      <w:pPr>
        <w:pStyle w:val="Bullet0dKT"/>
        <w:ind w:left="0" w:firstLine="0"/>
        <w:jc w:val="both"/>
        <w:rPr>
          <w:szCs w:val="22"/>
        </w:rPr>
      </w:pPr>
      <w:r w:rsidRPr="003A467B">
        <w:rPr>
          <w:szCs w:val="22"/>
        </w:rPr>
        <w:t>Ά</w:t>
      </w:r>
      <w:r w:rsidR="0084183B" w:rsidRPr="003A467B">
        <w:rPr>
          <w:szCs w:val="22"/>
        </w:rPr>
        <w:t>λλες αλληλεπιδράσεις</w:t>
      </w:r>
    </w:p>
    <w:p w:rsidR="005246E8" w:rsidRPr="003A467B" w:rsidRDefault="005246E8" w:rsidP="00AD3869">
      <w:pPr>
        <w:pStyle w:val="Para0s"/>
        <w:jc w:val="both"/>
        <w:rPr>
          <w:szCs w:val="22"/>
        </w:rPr>
      </w:pPr>
      <w:r w:rsidRPr="003A467B">
        <w:rPr>
          <w:szCs w:val="22"/>
        </w:rPr>
        <w:t>Σε ασθενείς χωρίς νεφρική ανεπάρκεια, η συγχορήγηση της δροσπιρενόνης με αναστολείς μετατρεπτικού ενζύμου της αγγειοτενσίνης ή με μη στεροειδή αντιφλεγμονώδη φάρμακα δεν έδειξε σημαντική επίδραση στο κάλιο του ορού.</w:t>
      </w:r>
      <w:r w:rsidR="005A44E3" w:rsidRPr="003A467B">
        <w:rPr>
          <w:szCs w:val="22"/>
        </w:rPr>
        <w:t xml:space="preserve"> </w:t>
      </w:r>
      <w:r w:rsidRPr="003A467B">
        <w:rPr>
          <w:szCs w:val="22"/>
        </w:rPr>
        <w:t xml:space="preserve">Ωστόσο, δεν έχει μελετηθεί η συγχορήγηση του </w:t>
      </w:r>
      <w:r w:rsidR="00F23CD5" w:rsidRPr="003A467B">
        <w:rPr>
          <w:szCs w:val="22"/>
          <w:lang w:val="en-US"/>
        </w:rPr>
        <w:t>Yasmin</w:t>
      </w:r>
      <w:r w:rsidRPr="003A467B">
        <w:rPr>
          <w:szCs w:val="22"/>
          <w:vertAlign w:val="superscript"/>
        </w:rPr>
        <w:t>®</w:t>
      </w:r>
      <w:r w:rsidRPr="003A467B">
        <w:rPr>
          <w:szCs w:val="22"/>
        </w:rPr>
        <w:t xml:space="preserve"> με ανταγωνιστές της αλδοστερόνης ή με καλιοσυνηρητικά διουρητικά.</w:t>
      </w:r>
      <w:r w:rsidR="005A44E3" w:rsidRPr="003A467B">
        <w:rPr>
          <w:szCs w:val="22"/>
        </w:rPr>
        <w:t xml:space="preserve"> </w:t>
      </w:r>
      <w:r w:rsidRPr="003A467B">
        <w:rPr>
          <w:szCs w:val="22"/>
        </w:rPr>
        <w:t>Σε αυτή την περίπτωση πρέπει να εξετάζεται το κάλιο του ορού κατά τη διάρκεια του πρώτου θεραπευτικού κύκλου. Βλέπε επίσης παρ</w:t>
      </w:r>
      <w:r w:rsidR="003015A5" w:rsidRPr="003A467B">
        <w:rPr>
          <w:szCs w:val="22"/>
        </w:rPr>
        <w:t>άγραφο</w:t>
      </w:r>
      <w:r w:rsidRPr="003A467B">
        <w:rPr>
          <w:szCs w:val="22"/>
        </w:rPr>
        <w:t xml:space="preserve"> 4.4.</w:t>
      </w:r>
    </w:p>
    <w:p w:rsidR="00174E24" w:rsidRPr="003A467B" w:rsidRDefault="00174E24" w:rsidP="00AD3869">
      <w:pPr>
        <w:pStyle w:val="Para0s"/>
        <w:jc w:val="both"/>
        <w:rPr>
          <w:szCs w:val="22"/>
        </w:rPr>
      </w:pPr>
    </w:p>
    <w:p w:rsidR="0084183B" w:rsidRPr="003A467B" w:rsidRDefault="0084183B" w:rsidP="00AD3869">
      <w:pPr>
        <w:pStyle w:val="Bullet0dKT"/>
        <w:ind w:left="0" w:firstLine="0"/>
        <w:jc w:val="both"/>
        <w:rPr>
          <w:szCs w:val="22"/>
        </w:rPr>
      </w:pPr>
      <w:r w:rsidRPr="003A467B">
        <w:rPr>
          <w:szCs w:val="22"/>
        </w:rPr>
        <w:t>Εργαστηριακές εξετάσεις</w:t>
      </w:r>
    </w:p>
    <w:p w:rsidR="0084183B" w:rsidRPr="003A467B" w:rsidRDefault="0084183B" w:rsidP="00AD3869">
      <w:pPr>
        <w:pStyle w:val="Para0s"/>
        <w:keepNext/>
        <w:jc w:val="both"/>
        <w:rPr>
          <w:szCs w:val="22"/>
        </w:rPr>
      </w:pPr>
      <w:r w:rsidRPr="003A467B">
        <w:rPr>
          <w:szCs w:val="22"/>
        </w:rPr>
        <w:t xml:space="preserve">Η χρήση των </w:t>
      </w:r>
      <w:r w:rsidR="005246E8" w:rsidRPr="003A467B">
        <w:rPr>
          <w:szCs w:val="22"/>
        </w:rPr>
        <w:t xml:space="preserve">στεροειδών </w:t>
      </w:r>
      <w:r w:rsidRPr="003A467B">
        <w:rPr>
          <w:szCs w:val="22"/>
        </w:rPr>
        <w:t>αντισυλληπτικών μπορεί να επηρεάσει τα αποτελέσματα συγκεκριμένων εργαστηριακών εξετάσεων, συμπεριλαμβανομένων των βιοχημικών παραμέτρων της λειτουργίας του ήπατος, του θυρεοειδούς, των επινεφριδίων και των νεφρών, των επιπέδων στο πλάσμα των (φορέων) πρωτεϊνών, π.χ. της σφαιρίνης που δεσμεύει τα κορτικοστεροειδή και των κλασμάτων λιπιδίων-λιποπρωτεϊνών, των παραμέτρων του μεταβολισμού των υδατανθράκων και των παραμέτρων της πήξης και της ινωδόλυσης. Οι μεταβολές γενικά παραμένουν</w:t>
      </w:r>
      <w:r w:rsidR="00E91760">
        <w:rPr>
          <w:szCs w:val="22"/>
        </w:rPr>
        <w:t xml:space="preserve"> εντός των</w:t>
      </w:r>
      <w:r w:rsidRPr="003A467B">
        <w:rPr>
          <w:szCs w:val="22"/>
        </w:rPr>
        <w:t xml:space="preserve"> φυσιολογικ</w:t>
      </w:r>
      <w:r w:rsidR="00E91760">
        <w:rPr>
          <w:szCs w:val="22"/>
        </w:rPr>
        <w:t>ών</w:t>
      </w:r>
      <w:r w:rsidRPr="003A467B">
        <w:rPr>
          <w:szCs w:val="22"/>
        </w:rPr>
        <w:t xml:space="preserve"> εργαστηριακ</w:t>
      </w:r>
      <w:r w:rsidR="00E91760">
        <w:rPr>
          <w:szCs w:val="22"/>
        </w:rPr>
        <w:t>ών ορίων.</w:t>
      </w:r>
      <w:r w:rsidRPr="003A467B">
        <w:rPr>
          <w:szCs w:val="22"/>
        </w:rPr>
        <w:t xml:space="preserve"> Η δροσπιρενόνη προκαλεί αύξηση στη δράση της ρενίνης του πλάσματος και στην αλδοστερόνη του πλάσματος, η οποία προάγεται από την ήπια αντιαλατοκορτικοειδή της δράση.</w:t>
      </w:r>
    </w:p>
    <w:p w:rsidR="00174E24" w:rsidRPr="003A467B" w:rsidRDefault="00174E24" w:rsidP="00AD3869">
      <w:pPr>
        <w:pStyle w:val="Para0s"/>
        <w:keepNext/>
        <w:jc w:val="both"/>
        <w:rPr>
          <w:szCs w:val="22"/>
        </w:rPr>
      </w:pPr>
    </w:p>
    <w:p w:rsidR="0084183B" w:rsidRPr="003A467B" w:rsidRDefault="0084183B" w:rsidP="00AD3869">
      <w:pPr>
        <w:pStyle w:val="2"/>
        <w:keepNext w:val="0"/>
        <w:widowControl/>
        <w:ind w:left="0" w:firstLine="0"/>
        <w:jc w:val="both"/>
        <w:rPr>
          <w:szCs w:val="22"/>
        </w:rPr>
      </w:pPr>
      <w:r w:rsidRPr="003A467B">
        <w:rPr>
          <w:szCs w:val="22"/>
        </w:rPr>
        <w:t>4.6</w:t>
      </w:r>
      <w:r w:rsidRPr="003A467B">
        <w:rPr>
          <w:szCs w:val="22"/>
        </w:rPr>
        <w:tab/>
        <w:t>Κύηση και γαλουχία</w:t>
      </w:r>
    </w:p>
    <w:p w:rsidR="00174E24" w:rsidRPr="003A467B" w:rsidRDefault="00174E24"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Η χρήση του </w:t>
      </w:r>
      <w:r w:rsidRPr="003A467B">
        <w:rPr>
          <w:szCs w:val="22"/>
          <w:lang w:val="en-US"/>
        </w:rPr>
        <w:t>Yasmin</w:t>
      </w:r>
      <w:r w:rsidR="00174E24" w:rsidRPr="003A467B">
        <w:rPr>
          <w:b/>
          <w:szCs w:val="22"/>
          <w:vertAlign w:val="superscript"/>
        </w:rPr>
        <w:t>®</w:t>
      </w:r>
      <w:r w:rsidRPr="003A467B">
        <w:rPr>
          <w:szCs w:val="22"/>
        </w:rPr>
        <w:t xml:space="preserve"> αντενδείκνυται κατά τη διάρκεια της κύησης.</w:t>
      </w:r>
      <w:r w:rsidR="004122DF">
        <w:rPr>
          <w:szCs w:val="22"/>
        </w:rPr>
        <w:t xml:space="preserve"> </w:t>
      </w:r>
      <w:r w:rsidRPr="003A467B">
        <w:rPr>
          <w:szCs w:val="22"/>
        </w:rPr>
        <w:t xml:space="preserve">Εάν </w:t>
      </w:r>
      <w:r w:rsidR="0033679A" w:rsidRPr="003A467B">
        <w:rPr>
          <w:szCs w:val="22"/>
        </w:rPr>
        <w:t>προκύψει</w:t>
      </w:r>
      <w:r w:rsidRPr="003A467B">
        <w:rPr>
          <w:szCs w:val="22"/>
        </w:rPr>
        <w:t xml:space="preserve"> </w:t>
      </w:r>
      <w:r w:rsidR="0033679A" w:rsidRPr="003A467B">
        <w:rPr>
          <w:szCs w:val="22"/>
        </w:rPr>
        <w:t xml:space="preserve">εγκυμοσύνη </w:t>
      </w:r>
      <w:r w:rsidRPr="003A467B">
        <w:rPr>
          <w:szCs w:val="22"/>
        </w:rPr>
        <w:t xml:space="preserve">κατά τη διάρκεια </w:t>
      </w:r>
      <w:r w:rsidR="0049264B" w:rsidRPr="003A467B">
        <w:rPr>
          <w:szCs w:val="22"/>
        </w:rPr>
        <w:t>της χρ</w:t>
      </w:r>
      <w:r w:rsidR="0033679A" w:rsidRPr="003A467B">
        <w:rPr>
          <w:szCs w:val="22"/>
        </w:rPr>
        <w:t xml:space="preserve">ήσης </w:t>
      </w:r>
      <w:r w:rsidRPr="003A467B">
        <w:rPr>
          <w:szCs w:val="22"/>
        </w:rPr>
        <w:t xml:space="preserve">του </w:t>
      </w:r>
      <w:r w:rsidRPr="003A467B">
        <w:rPr>
          <w:szCs w:val="22"/>
          <w:lang w:val="en-US"/>
        </w:rPr>
        <w:t>Yasmin</w:t>
      </w:r>
      <w:r w:rsidR="00023AFD" w:rsidRPr="003A467B">
        <w:rPr>
          <w:b/>
          <w:szCs w:val="22"/>
          <w:vertAlign w:val="superscript"/>
        </w:rPr>
        <w:t>®</w:t>
      </w:r>
      <w:r w:rsidRPr="003A467B">
        <w:rPr>
          <w:szCs w:val="22"/>
        </w:rPr>
        <w:t xml:space="preserve">, τότε </w:t>
      </w:r>
      <w:r w:rsidR="00946284" w:rsidRPr="003A467B">
        <w:rPr>
          <w:szCs w:val="22"/>
        </w:rPr>
        <w:t xml:space="preserve">το σκεύασμα πρέπει να </w:t>
      </w:r>
      <w:r w:rsidRPr="003A467B">
        <w:rPr>
          <w:szCs w:val="22"/>
        </w:rPr>
        <w:t>διακοπ</w:t>
      </w:r>
      <w:r w:rsidR="00946284" w:rsidRPr="003A467B">
        <w:rPr>
          <w:szCs w:val="22"/>
        </w:rPr>
        <w:t>εί</w:t>
      </w:r>
      <w:r w:rsidRPr="003A467B">
        <w:rPr>
          <w:szCs w:val="22"/>
        </w:rPr>
        <w:t xml:space="preserve"> </w:t>
      </w:r>
      <w:r w:rsidR="00946284" w:rsidRPr="003A467B">
        <w:rPr>
          <w:szCs w:val="22"/>
        </w:rPr>
        <w:t>αμέσως</w:t>
      </w:r>
      <w:r w:rsidRPr="003A467B">
        <w:rPr>
          <w:szCs w:val="22"/>
        </w:rPr>
        <w:t>.</w:t>
      </w:r>
      <w:r w:rsidR="0049264B" w:rsidRPr="003A467B">
        <w:rPr>
          <w:szCs w:val="22"/>
        </w:rPr>
        <w:t xml:space="preserve"> </w:t>
      </w:r>
      <w:r w:rsidR="00BC568F" w:rsidRPr="003A467B">
        <w:rPr>
          <w:szCs w:val="22"/>
        </w:rPr>
        <w:t>Ε</w:t>
      </w:r>
      <w:r w:rsidRPr="003A467B">
        <w:rPr>
          <w:szCs w:val="22"/>
        </w:rPr>
        <w:t xml:space="preserve">κτεταμένες επιδημιολογικές μελέτες δεν έχουν αναδείξει αυξημένο κίνδυνο γενετικών ανωμαλιών σε παιδιά γυναικών που έκαναν χρήση συνδυασμένων από του στόματος αντισυλληπτικών πριν την εγκυμοσύνη, αλλά ούτε και τερατογεννητική δράση των συνδυασμένων από του στόματος αντισυλληπτικών </w:t>
      </w:r>
      <w:r w:rsidR="007C5C27" w:rsidRPr="003A467B">
        <w:rPr>
          <w:szCs w:val="22"/>
        </w:rPr>
        <w:t xml:space="preserve">που λαμβάνονταν ακούσια </w:t>
      </w:r>
      <w:r w:rsidRPr="003A467B">
        <w:rPr>
          <w:szCs w:val="22"/>
        </w:rPr>
        <w:t>κατά τη διάρκεια της κύησης.</w:t>
      </w:r>
      <w:r w:rsidR="005A44E3" w:rsidRPr="003A467B">
        <w:rPr>
          <w:szCs w:val="22"/>
        </w:rPr>
        <w:t xml:space="preserve"> </w:t>
      </w:r>
    </w:p>
    <w:p w:rsidR="00023AFD" w:rsidRPr="003A467B" w:rsidRDefault="00023AFD" w:rsidP="00AD3869">
      <w:pPr>
        <w:pStyle w:val="Para0s"/>
        <w:jc w:val="both"/>
        <w:rPr>
          <w:szCs w:val="22"/>
        </w:rPr>
      </w:pPr>
    </w:p>
    <w:p w:rsidR="0084183B" w:rsidRPr="003A467B" w:rsidRDefault="0084183B" w:rsidP="00AD3869">
      <w:pPr>
        <w:pStyle w:val="Para0s"/>
        <w:jc w:val="both"/>
        <w:rPr>
          <w:szCs w:val="22"/>
        </w:rPr>
      </w:pPr>
      <w:r w:rsidRPr="003A467B">
        <w:rPr>
          <w:szCs w:val="22"/>
        </w:rPr>
        <w:t>Πειράματα σε ζώα έχουν δείξει ανεπιθύμητες ενέργειες κατά τη διάρκεια της κύησης και της γαλουχίας (βλέπε παρ</w:t>
      </w:r>
      <w:r w:rsidR="004B34B4" w:rsidRPr="003A467B">
        <w:rPr>
          <w:szCs w:val="22"/>
        </w:rPr>
        <w:t>άγραφο</w:t>
      </w:r>
      <w:r w:rsidRPr="003A467B">
        <w:rPr>
          <w:szCs w:val="22"/>
        </w:rPr>
        <w:t xml:space="preserve"> 5.3).</w:t>
      </w:r>
      <w:r w:rsidR="005A44E3" w:rsidRPr="003A467B">
        <w:rPr>
          <w:szCs w:val="22"/>
        </w:rPr>
        <w:t xml:space="preserve"> </w:t>
      </w:r>
      <w:r w:rsidRPr="003A467B">
        <w:rPr>
          <w:szCs w:val="22"/>
        </w:rPr>
        <w:t>Με βάση αυτά τα προκλινικά στοιχεία δεν μπορούν να αποκλειστούν οι ανεπιθύμητες ενέργειες που οφείλονται στην ορμονική δράση των δραστικών συστατικών.</w:t>
      </w:r>
      <w:r w:rsidR="005A44E3" w:rsidRPr="003A467B">
        <w:rPr>
          <w:szCs w:val="22"/>
        </w:rPr>
        <w:t xml:space="preserve"> </w:t>
      </w:r>
      <w:r w:rsidRPr="003A467B">
        <w:rPr>
          <w:szCs w:val="22"/>
        </w:rPr>
        <w:t>Ωστόσο, η γενικότερη εμπειρία με τη χρήση των συνδυασμένων από του στόματος αντισυλληπτικών κατά τη διάρκεια της κύησης δεν δίνει στοιχεία για την εμφάνιση μίας πραγματικής ανεπιθύμητης ενέργειας στους ανθρώπους.</w:t>
      </w:r>
    </w:p>
    <w:p w:rsidR="00023AFD" w:rsidRPr="003A467B" w:rsidRDefault="00023AFD"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Τα διαθέσιμα στοιχεία σχετικά με τη χρήση των δισκίων </w:t>
      </w:r>
      <w:r w:rsidRPr="003A467B">
        <w:rPr>
          <w:szCs w:val="22"/>
          <w:lang w:val="en-GB"/>
        </w:rPr>
        <w:t>Yasmin</w:t>
      </w:r>
      <w:r w:rsidR="00023AFD" w:rsidRPr="003A467B">
        <w:rPr>
          <w:b/>
          <w:szCs w:val="22"/>
          <w:vertAlign w:val="superscript"/>
        </w:rPr>
        <w:t>®</w:t>
      </w:r>
      <w:r w:rsidRPr="003A467B">
        <w:rPr>
          <w:szCs w:val="22"/>
        </w:rPr>
        <w:t xml:space="preserve"> κατά τη διάρκεια της εγκυμοσύνης είναι πολύ περιορισμένα ώστε να επιτρέψουν συμπεράσματα αναφορικά με τις αρνητικές επιδράσεις του Yasmin</w:t>
      </w:r>
      <w:r w:rsidR="00023AFD" w:rsidRPr="003A467B">
        <w:rPr>
          <w:b/>
          <w:szCs w:val="22"/>
          <w:vertAlign w:val="superscript"/>
        </w:rPr>
        <w:t>®</w:t>
      </w:r>
      <w:r w:rsidRPr="003A467B">
        <w:rPr>
          <w:szCs w:val="22"/>
        </w:rPr>
        <w:t xml:space="preserve"> στην εγκυμοσύνη, στην υγεία του εμβρύου ή του νεογνού. Μέχρι σήμερα δεν υπάρχουν διαθέσιμα σχετικά επιδημιολογικά στοιχεία.</w:t>
      </w:r>
    </w:p>
    <w:p w:rsidR="00023AFD" w:rsidRPr="003A467B" w:rsidRDefault="00023AFD" w:rsidP="00AD3869">
      <w:pPr>
        <w:pStyle w:val="Para0s"/>
        <w:jc w:val="both"/>
        <w:rPr>
          <w:szCs w:val="22"/>
        </w:rPr>
      </w:pPr>
    </w:p>
    <w:p w:rsidR="0084183B" w:rsidRPr="003A467B" w:rsidRDefault="0084183B" w:rsidP="00AD3869">
      <w:pPr>
        <w:pStyle w:val="Para0s"/>
        <w:jc w:val="both"/>
        <w:rPr>
          <w:szCs w:val="22"/>
        </w:rPr>
      </w:pPr>
      <w:r w:rsidRPr="003A467B">
        <w:rPr>
          <w:szCs w:val="22"/>
        </w:rPr>
        <w:t>Η γαλουχία μπορεί να επηρεαστεί από τα συνδυασμένα από του στόματος αντισυλληπτικά, καθώς μπορεί να μειώσουν την ποσότητα και να μεταβάλουν τη σύνθεση του μητρικού γάλακτος. Επομένως η χρήση των συνδυασμένων από του στόματος αντισυλληπτικών δεν πρέπει γενικά να συνιστάται μέχρι η γαλουχούσα μητέρα απογαλακτίσει πλήρως το παιδί της. Μικρές ποσότητες των αντισυλλη</w:t>
      </w:r>
      <w:r w:rsidR="006C27A8">
        <w:rPr>
          <w:szCs w:val="22"/>
        </w:rPr>
        <w:t xml:space="preserve">πτικών στεροειδών </w:t>
      </w:r>
      <w:r w:rsidRPr="003A467B">
        <w:rPr>
          <w:szCs w:val="22"/>
        </w:rPr>
        <w:t>και</w:t>
      </w:r>
      <w:r w:rsidR="006C27A8">
        <w:rPr>
          <w:szCs w:val="22"/>
        </w:rPr>
        <w:t>/ή</w:t>
      </w:r>
      <w:r w:rsidRPr="003A467B">
        <w:rPr>
          <w:szCs w:val="22"/>
        </w:rPr>
        <w:t xml:space="preserve"> των μεταβολιτών τους μπορεί να απεκκρίνονται με το γάλα κατά τη χρήση συνδυασμένων από του στόματος αντισυλληπτικών.</w:t>
      </w:r>
      <w:r w:rsidR="005A44E3" w:rsidRPr="003A467B">
        <w:rPr>
          <w:szCs w:val="22"/>
        </w:rPr>
        <w:t xml:space="preserve"> </w:t>
      </w:r>
      <w:r w:rsidRPr="003A467B">
        <w:rPr>
          <w:szCs w:val="22"/>
        </w:rPr>
        <w:t>Οι ποσότητες αυτές μπορούν να έχουν επίδραση στο παιδί.</w:t>
      </w:r>
    </w:p>
    <w:p w:rsidR="00023AFD" w:rsidRPr="003A467B" w:rsidRDefault="00023AFD"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4.7</w:t>
      </w:r>
      <w:r w:rsidRPr="003A467B">
        <w:rPr>
          <w:szCs w:val="22"/>
        </w:rPr>
        <w:tab/>
        <w:t>Επιδράσεις στην ικανότητα οδήγησης και χειρισμού μηχανών</w:t>
      </w:r>
    </w:p>
    <w:p w:rsidR="00023AFD" w:rsidRPr="003A467B" w:rsidRDefault="00023AFD" w:rsidP="00AD3869">
      <w:pPr>
        <w:pStyle w:val="Para0s"/>
        <w:jc w:val="both"/>
        <w:rPr>
          <w:szCs w:val="22"/>
        </w:rPr>
      </w:pPr>
    </w:p>
    <w:p w:rsidR="0084183B" w:rsidRPr="003A467B" w:rsidRDefault="002A70CB" w:rsidP="00AD3869">
      <w:pPr>
        <w:pStyle w:val="Para0s"/>
        <w:jc w:val="both"/>
        <w:rPr>
          <w:szCs w:val="22"/>
        </w:rPr>
      </w:pPr>
      <w:r w:rsidRPr="003A467B">
        <w:rPr>
          <w:noProof/>
        </w:rPr>
        <w:t>Δεν πραγματοποιήθηκαν μελέτες σχετικά με τις επιδράσεις στην ικανότητα οδήγησης και χειρισμού μηχανών</w:t>
      </w:r>
      <w:r w:rsidRPr="003A467B">
        <w:rPr>
          <w:szCs w:val="22"/>
        </w:rPr>
        <w:t xml:space="preserve">. </w:t>
      </w:r>
      <w:r w:rsidR="0084183B" w:rsidRPr="003A467B">
        <w:rPr>
          <w:szCs w:val="22"/>
        </w:rPr>
        <w:t>Δεν παρατηρήθηκαν επιδράσεις στην ικανότητα οδήγησης και χειρισμού μηχανών</w:t>
      </w:r>
      <w:r w:rsidR="006F12FB" w:rsidRPr="003A467B">
        <w:rPr>
          <w:szCs w:val="22"/>
        </w:rPr>
        <w:t xml:space="preserve"> σε χρήστριες συνδυασμένων από του στόματος αντισυλληπτικών</w:t>
      </w:r>
      <w:r w:rsidR="0084183B" w:rsidRPr="003A467B">
        <w:rPr>
          <w:szCs w:val="22"/>
        </w:rPr>
        <w:t>.</w:t>
      </w:r>
    </w:p>
    <w:p w:rsidR="00023AFD" w:rsidRPr="003A467B" w:rsidRDefault="00023AFD"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4.8</w:t>
      </w:r>
      <w:r w:rsidRPr="003A467B">
        <w:rPr>
          <w:szCs w:val="22"/>
        </w:rPr>
        <w:tab/>
        <w:t>Ανεπιθύμητες ενέργειες</w:t>
      </w:r>
    </w:p>
    <w:p w:rsidR="00023AFD" w:rsidRPr="003A467B" w:rsidRDefault="00023AFD" w:rsidP="00AD3869">
      <w:pPr>
        <w:pStyle w:val="Para0s"/>
        <w:jc w:val="both"/>
        <w:rPr>
          <w:szCs w:val="22"/>
        </w:rPr>
      </w:pPr>
    </w:p>
    <w:p w:rsidR="0084183B" w:rsidRPr="003A467B" w:rsidRDefault="0084183B" w:rsidP="00AD3869">
      <w:pPr>
        <w:pStyle w:val="Para0s"/>
        <w:jc w:val="both"/>
        <w:rPr>
          <w:szCs w:val="22"/>
        </w:rPr>
      </w:pPr>
      <w:r w:rsidRPr="003A467B">
        <w:rPr>
          <w:szCs w:val="22"/>
        </w:rPr>
        <w:t>Για τις σοβαρές ανεπιθύμητες ενέργειες</w:t>
      </w:r>
      <w:r w:rsidR="00342D46" w:rsidRPr="003A467B">
        <w:rPr>
          <w:szCs w:val="22"/>
        </w:rPr>
        <w:t xml:space="preserve"> των</w:t>
      </w:r>
      <w:r w:rsidRPr="003A467B">
        <w:rPr>
          <w:szCs w:val="22"/>
        </w:rPr>
        <w:t xml:space="preserve"> </w:t>
      </w:r>
      <w:r w:rsidR="00342D46" w:rsidRPr="003A467B">
        <w:rPr>
          <w:szCs w:val="22"/>
        </w:rPr>
        <w:t xml:space="preserve">συνδυασμένων από του στόματος αντισυλληπτικών </w:t>
      </w:r>
      <w:r w:rsidRPr="003A467B">
        <w:rPr>
          <w:szCs w:val="22"/>
        </w:rPr>
        <w:t>βλέπε παρ</w:t>
      </w:r>
      <w:r w:rsidR="00346264" w:rsidRPr="003A467B">
        <w:rPr>
          <w:szCs w:val="22"/>
        </w:rPr>
        <w:t>άγραφο</w:t>
      </w:r>
      <w:r w:rsidRPr="003A467B">
        <w:rPr>
          <w:szCs w:val="22"/>
        </w:rPr>
        <w:t xml:space="preserve"> 4.4.</w:t>
      </w:r>
    </w:p>
    <w:p w:rsidR="0084183B" w:rsidRPr="003A467B" w:rsidRDefault="0084183B" w:rsidP="00AD3869">
      <w:pPr>
        <w:pStyle w:val="Para0s"/>
        <w:jc w:val="both"/>
        <w:rPr>
          <w:szCs w:val="22"/>
        </w:rPr>
      </w:pPr>
      <w:r w:rsidRPr="003A467B">
        <w:rPr>
          <w:szCs w:val="22"/>
        </w:rPr>
        <w:t xml:space="preserve">Οι ακόλουθες ανεπιθύμητες ενέργειες έχουν αναφερθεί κατά τη χρήση του </w:t>
      </w:r>
      <w:r w:rsidRPr="003A467B">
        <w:rPr>
          <w:szCs w:val="22"/>
          <w:lang w:val="en-US"/>
        </w:rPr>
        <w:t>Yasmin</w:t>
      </w:r>
      <w:r w:rsidR="005357D6" w:rsidRPr="003A467B">
        <w:rPr>
          <w:b/>
          <w:szCs w:val="22"/>
          <w:vertAlign w:val="superscript"/>
        </w:rPr>
        <w:t>®</w:t>
      </w:r>
      <w:r w:rsidRPr="003A467B">
        <w:rPr>
          <w:szCs w:val="22"/>
        </w:rPr>
        <w:t>:</w:t>
      </w:r>
    </w:p>
    <w:p w:rsidR="0084183B" w:rsidRPr="003A467B" w:rsidRDefault="0084183B" w:rsidP="00AD3869">
      <w:pPr>
        <w:pStyle w:val="Para0s"/>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2321"/>
        <w:gridCol w:w="2321"/>
        <w:gridCol w:w="2321"/>
      </w:tblGrid>
      <w:tr w:rsidR="0084183B" w:rsidRPr="00344599">
        <w:tblPrEx>
          <w:tblCellMar>
            <w:top w:w="0" w:type="dxa"/>
            <w:bottom w:w="0" w:type="dxa"/>
          </w:tblCellMar>
        </w:tblPrEx>
        <w:trPr>
          <w:cantSplit/>
        </w:trPr>
        <w:tc>
          <w:tcPr>
            <w:tcW w:w="2321" w:type="dxa"/>
            <w:tcBorders>
              <w:bottom w:val="nil"/>
            </w:tcBorders>
          </w:tcPr>
          <w:p w:rsidR="0084183B" w:rsidRPr="00344599" w:rsidRDefault="0084183B" w:rsidP="00AD3869">
            <w:pPr>
              <w:pStyle w:val="Para0s"/>
              <w:rPr>
                <w:b/>
                <w:bCs/>
                <w:szCs w:val="22"/>
                <w:lang w:val="en-US"/>
              </w:rPr>
            </w:pPr>
            <w:r w:rsidRPr="00344599">
              <w:rPr>
                <w:b/>
                <w:bCs/>
                <w:szCs w:val="22"/>
                <w:lang w:val="en-GB"/>
              </w:rPr>
              <w:t>Σύστημα του οργανισμού</w:t>
            </w:r>
          </w:p>
        </w:tc>
        <w:tc>
          <w:tcPr>
            <w:tcW w:w="6963" w:type="dxa"/>
            <w:gridSpan w:val="3"/>
            <w:tcBorders>
              <w:bottom w:val="nil"/>
            </w:tcBorders>
          </w:tcPr>
          <w:p w:rsidR="0084183B" w:rsidRPr="00344599" w:rsidRDefault="0084183B" w:rsidP="00AD3869">
            <w:pPr>
              <w:pStyle w:val="Para0s"/>
              <w:jc w:val="center"/>
              <w:rPr>
                <w:b/>
                <w:bCs/>
                <w:szCs w:val="22"/>
              </w:rPr>
            </w:pPr>
            <w:r w:rsidRPr="00344599">
              <w:rPr>
                <w:b/>
                <w:bCs/>
                <w:szCs w:val="22"/>
              </w:rPr>
              <w:t>Συχνότητα των ανεπιθύμητων ενεργειών</w:t>
            </w:r>
          </w:p>
        </w:tc>
      </w:tr>
      <w:tr w:rsidR="0084183B" w:rsidRPr="00344599">
        <w:tblPrEx>
          <w:tblCellMar>
            <w:top w:w="0" w:type="dxa"/>
            <w:bottom w:w="0" w:type="dxa"/>
          </w:tblCellMar>
        </w:tblPrEx>
        <w:tc>
          <w:tcPr>
            <w:tcW w:w="2321" w:type="dxa"/>
            <w:tcBorders>
              <w:top w:val="nil"/>
            </w:tcBorders>
          </w:tcPr>
          <w:p w:rsidR="0084183B" w:rsidRPr="00344599" w:rsidRDefault="0084183B" w:rsidP="00AD3869">
            <w:pPr>
              <w:pStyle w:val="Para0s"/>
              <w:rPr>
                <w:b/>
                <w:bCs/>
                <w:szCs w:val="22"/>
                <w:lang w:val="en-GB"/>
              </w:rPr>
            </w:pPr>
          </w:p>
        </w:tc>
        <w:tc>
          <w:tcPr>
            <w:tcW w:w="2321" w:type="dxa"/>
            <w:tcBorders>
              <w:top w:val="nil"/>
            </w:tcBorders>
          </w:tcPr>
          <w:p w:rsidR="0084183B" w:rsidRPr="00344599" w:rsidRDefault="0084183B" w:rsidP="00E64E84">
            <w:pPr>
              <w:pStyle w:val="Para0s"/>
              <w:jc w:val="center"/>
              <w:rPr>
                <w:b/>
                <w:bCs/>
                <w:szCs w:val="22"/>
                <w:lang w:val="en-US"/>
              </w:rPr>
            </w:pPr>
            <w:r w:rsidRPr="00344599">
              <w:rPr>
                <w:b/>
                <w:bCs/>
                <w:szCs w:val="22"/>
                <w:lang w:val="en-GB"/>
              </w:rPr>
              <w:t>Συ</w:t>
            </w:r>
            <w:r w:rsidR="00B44842" w:rsidRPr="00344599">
              <w:rPr>
                <w:b/>
                <w:bCs/>
                <w:szCs w:val="22"/>
              </w:rPr>
              <w:t>χ</w:t>
            </w:r>
            <w:r w:rsidRPr="00344599">
              <w:rPr>
                <w:b/>
                <w:bCs/>
                <w:szCs w:val="22"/>
                <w:lang w:val="en-GB"/>
              </w:rPr>
              <w:t>ν</w:t>
            </w:r>
            <w:r w:rsidR="00B44842" w:rsidRPr="00344599">
              <w:rPr>
                <w:b/>
                <w:bCs/>
                <w:szCs w:val="22"/>
              </w:rPr>
              <w:t>ές</w:t>
            </w:r>
            <w:r w:rsidRPr="00344599">
              <w:rPr>
                <w:b/>
                <w:bCs/>
                <w:szCs w:val="22"/>
                <w:lang w:val="en-GB"/>
              </w:rPr>
              <w:br/>
            </w:r>
            <w:r w:rsidR="00344599" w:rsidRPr="0093207C">
              <w:rPr>
                <w:szCs w:val="22"/>
              </w:rPr>
              <w:t>≥</w:t>
            </w:r>
            <w:r w:rsidR="00344599" w:rsidRPr="0093207C">
              <w:rPr>
                <w:b/>
                <w:szCs w:val="22"/>
              </w:rPr>
              <w:t>1/100 έως &lt;1/10</w:t>
            </w:r>
          </w:p>
        </w:tc>
        <w:tc>
          <w:tcPr>
            <w:tcW w:w="2321" w:type="dxa"/>
            <w:tcBorders>
              <w:top w:val="nil"/>
            </w:tcBorders>
          </w:tcPr>
          <w:p w:rsidR="0084183B" w:rsidRPr="00344599" w:rsidRDefault="00B44842" w:rsidP="00D00204">
            <w:pPr>
              <w:pStyle w:val="Para0s"/>
              <w:jc w:val="center"/>
              <w:rPr>
                <w:b/>
                <w:bCs/>
                <w:szCs w:val="22"/>
                <w:lang w:val="en-US"/>
              </w:rPr>
            </w:pPr>
            <w:r w:rsidRPr="00344599">
              <w:rPr>
                <w:b/>
                <w:bCs/>
                <w:szCs w:val="22"/>
              </w:rPr>
              <w:t>Όχι συχνές</w:t>
            </w:r>
            <w:r w:rsidR="0084183B" w:rsidRPr="00344599">
              <w:rPr>
                <w:b/>
                <w:bCs/>
                <w:szCs w:val="22"/>
                <w:lang w:val="en-US"/>
              </w:rPr>
              <w:br/>
            </w:r>
            <w:r w:rsidR="00344599" w:rsidRPr="0093207C">
              <w:rPr>
                <w:b/>
                <w:szCs w:val="22"/>
              </w:rPr>
              <w:t>≥1/1.000 έως &lt;1/100</w:t>
            </w:r>
          </w:p>
        </w:tc>
        <w:tc>
          <w:tcPr>
            <w:tcW w:w="2321" w:type="dxa"/>
            <w:tcBorders>
              <w:top w:val="nil"/>
            </w:tcBorders>
          </w:tcPr>
          <w:p w:rsidR="0084183B" w:rsidRPr="00344599" w:rsidRDefault="0084183B" w:rsidP="00A02042">
            <w:pPr>
              <w:pStyle w:val="Para0s"/>
              <w:jc w:val="center"/>
              <w:rPr>
                <w:b/>
                <w:bCs/>
                <w:szCs w:val="22"/>
                <w:lang w:val="en-US"/>
              </w:rPr>
            </w:pPr>
            <w:r w:rsidRPr="00344599">
              <w:rPr>
                <w:b/>
                <w:bCs/>
                <w:szCs w:val="22"/>
              </w:rPr>
              <w:t>Σπάνιες</w:t>
            </w:r>
            <w:r w:rsidRPr="00344599">
              <w:rPr>
                <w:b/>
                <w:bCs/>
                <w:szCs w:val="22"/>
                <w:lang w:val="en-US"/>
              </w:rPr>
              <w:br/>
            </w:r>
            <w:r w:rsidR="00344599" w:rsidRPr="0093207C">
              <w:rPr>
                <w:b/>
                <w:szCs w:val="22"/>
              </w:rPr>
              <w:t>≥1/10.000 έως &lt;1/1.000</w:t>
            </w:r>
          </w:p>
        </w:tc>
      </w:tr>
      <w:tr w:rsidR="0084183B" w:rsidRPr="00344599">
        <w:tblPrEx>
          <w:tblCellMar>
            <w:top w:w="0" w:type="dxa"/>
            <w:bottom w:w="0" w:type="dxa"/>
          </w:tblCellMar>
        </w:tblPrEx>
        <w:tc>
          <w:tcPr>
            <w:tcW w:w="2321" w:type="dxa"/>
          </w:tcPr>
          <w:p w:rsidR="0084183B" w:rsidRPr="00344599" w:rsidRDefault="0084183B" w:rsidP="00AD3869">
            <w:pPr>
              <w:pStyle w:val="Para0s"/>
              <w:rPr>
                <w:szCs w:val="22"/>
              </w:rPr>
            </w:pPr>
            <w:r w:rsidRPr="00344599">
              <w:rPr>
                <w:szCs w:val="22"/>
                <w:lang w:val="en-GB"/>
              </w:rPr>
              <w:t>A</w:t>
            </w:r>
            <w:r w:rsidRPr="00344599">
              <w:rPr>
                <w:szCs w:val="22"/>
              </w:rPr>
              <w:t>νοσοποιητικό</w:t>
            </w:r>
            <w:r w:rsidR="00E91760">
              <w:rPr>
                <w:szCs w:val="22"/>
              </w:rPr>
              <w:t xml:space="preserve"> σύστημα</w:t>
            </w:r>
          </w:p>
        </w:tc>
        <w:tc>
          <w:tcPr>
            <w:tcW w:w="2321" w:type="dxa"/>
          </w:tcPr>
          <w:p w:rsidR="0084183B" w:rsidRPr="00344599" w:rsidRDefault="0084183B" w:rsidP="00AD3869">
            <w:pPr>
              <w:pStyle w:val="Para0s"/>
              <w:rPr>
                <w:szCs w:val="22"/>
                <w:lang w:val="en-GB"/>
              </w:rPr>
            </w:pPr>
          </w:p>
        </w:tc>
        <w:tc>
          <w:tcPr>
            <w:tcW w:w="2321" w:type="dxa"/>
          </w:tcPr>
          <w:p w:rsidR="0084183B" w:rsidRPr="00344599" w:rsidRDefault="0084183B" w:rsidP="00AD3869">
            <w:pPr>
              <w:pStyle w:val="Para0s"/>
              <w:rPr>
                <w:szCs w:val="22"/>
                <w:lang w:val="en-GB"/>
              </w:rPr>
            </w:pPr>
          </w:p>
        </w:tc>
        <w:tc>
          <w:tcPr>
            <w:tcW w:w="2321" w:type="dxa"/>
          </w:tcPr>
          <w:p w:rsidR="00763ADD" w:rsidRPr="00344599" w:rsidRDefault="009F236E" w:rsidP="00AD3869">
            <w:pPr>
              <w:pStyle w:val="Para0s"/>
              <w:rPr>
                <w:szCs w:val="22"/>
              </w:rPr>
            </w:pPr>
            <w:r w:rsidRPr="00344599">
              <w:rPr>
                <w:szCs w:val="22"/>
              </w:rPr>
              <w:t>υπερευαισθησία,</w:t>
            </w:r>
          </w:p>
          <w:p w:rsidR="0084183B" w:rsidRPr="00344599" w:rsidRDefault="0084183B" w:rsidP="00AD3869">
            <w:pPr>
              <w:pStyle w:val="Para0s"/>
              <w:rPr>
                <w:szCs w:val="22"/>
                <w:lang w:val="en-GB"/>
              </w:rPr>
            </w:pPr>
            <w:r w:rsidRPr="00344599">
              <w:rPr>
                <w:szCs w:val="22"/>
                <w:lang w:val="en-GB"/>
              </w:rPr>
              <w:t>άσθμα</w:t>
            </w:r>
          </w:p>
        </w:tc>
      </w:tr>
      <w:tr w:rsidR="00344599" w:rsidRPr="00344599">
        <w:tblPrEx>
          <w:tblCellMar>
            <w:top w:w="0" w:type="dxa"/>
            <w:bottom w:w="0" w:type="dxa"/>
          </w:tblCellMar>
        </w:tblPrEx>
        <w:tc>
          <w:tcPr>
            <w:tcW w:w="2321" w:type="dxa"/>
          </w:tcPr>
          <w:p w:rsidR="00344599" w:rsidRPr="00344599" w:rsidRDefault="00344599" w:rsidP="00AD3869">
            <w:pPr>
              <w:pStyle w:val="Para0s"/>
              <w:rPr>
                <w:szCs w:val="22"/>
                <w:lang w:val="en-GB"/>
              </w:rPr>
            </w:pPr>
            <w:r w:rsidRPr="00344599">
              <w:rPr>
                <w:b/>
                <w:szCs w:val="22"/>
              </w:rPr>
              <w:t>Ψυχιατρικές διαταραχές</w:t>
            </w:r>
          </w:p>
        </w:tc>
        <w:tc>
          <w:tcPr>
            <w:tcW w:w="2321" w:type="dxa"/>
          </w:tcPr>
          <w:p w:rsidR="00344599" w:rsidRPr="0093207C" w:rsidRDefault="00344599" w:rsidP="00AD3869">
            <w:pPr>
              <w:pStyle w:val="Para0s"/>
              <w:rPr>
                <w:szCs w:val="22"/>
              </w:rPr>
            </w:pPr>
            <w:r>
              <w:rPr>
                <w:szCs w:val="22"/>
              </w:rPr>
              <w:t>καταθλιπτική διάθεση</w:t>
            </w:r>
          </w:p>
        </w:tc>
        <w:tc>
          <w:tcPr>
            <w:tcW w:w="2321" w:type="dxa"/>
          </w:tcPr>
          <w:p w:rsidR="00344599" w:rsidRPr="00344599" w:rsidRDefault="00344599" w:rsidP="00AD3869">
            <w:pPr>
              <w:pStyle w:val="Para0s"/>
              <w:rPr>
                <w:szCs w:val="22"/>
              </w:rPr>
            </w:pPr>
          </w:p>
        </w:tc>
        <w:tc>
          <w:tcPr>
            <w:tcW w:w="2321" w:type="dxa"/>
          </w:tcPr>
          <w:p w:rsidR="00344599" w:rsidRPr="00344599" w:rsidRDefault="00344599" w:rsidP="00AD3869">
            <w:pPr>
              <w:pStyle w:val="Para0s"/>
              <w:rPr>
                <w:szCs w:val="22"/>
                <w:lang w:val="en-GB"/>
              </w:rPr>
            </w:pPr>
          </w:p>
        </w:tc>
      </w:tr>
      <w:tr w:rsidR="0084183B" w:rsidRPr="00344599">
        <w:tblPrEx>
          <w:tblCellMar>
            <w:top w:w="0" w:type="dxa"/>
            <w:bottom w:w="0" w:type="dxa"/>
          </w:tblCellMar>
        </w:tblPrEx>
        <w:tc>
          <w:tcPr>
            <w:tcW w:w="2321" w:type="dxa"/>
          </w:tcPr>
          <w:p w:rsidR="0084183B" w:rsidRPr="0093207C" w:rsidRDefault="0084183B" w:rsidP="00AD3869">
            <w:pPr>
              <w:pStyle w:val="Para0s"/>
              <w:rPr>
                <w:szCs w:val="22"/>
              </w:rPr>
            </w:pPr>
            <w:r w:rsidRPr="00344599">
              <w:rPr>
                <w:szCs w:val="22"/>
                <w:lang w:val="en-GB"/>
              </w:rPr>
              <w:t>Νευρικό</w:t>
            </w:r>
            <w:r w:rsidR="00E91760">
              <w:rPr>
                <w:szCs w:val="22"/>
              </w:rPr>
              <w:t xml:space="preserve"> σύστημα</w:t>
            </w:r>
          </w:p>
        </w:tc>
        <w:tc>
          <w:tcPr>
            <w:tcW w:w="2321" w:type="dxa"/>
          </w:tcPr>
          <w:p w:rsidR="0084183B" w:rsidRPr="00344599" w:rsidRDefault="0084183B" w:rsidP="00E64E84">
            <w:pPr>
              <w:pStyle w:val="Para0s"/>
              <w:rPr>
                <w:szCs w:val="22"/>
                <w:lang w:val="en-GB"/>
              </w:rPr>
            </w:pPr>
            <w:r w:rsidRPr="00344599">
              <w:rPr>
                <w:szCs w:val="22"/>
                <w:lang w:val="en-GB"/>
              </w:rPr>
              <w:t xml:space="preserve">κεφαλαλγία, </w:t>
            </w:r>
          </w:p>
        </w:tc>
        <w:tc>
          <w:tcPr>
            <w:tcW w:w="2321" w:type="dxa"/>
          </w:tcPr>
          <w:p w:rsidR="0084183B" w:rsidRPr="00344599" w:rsidRDefault="0084183B" w:rsidP="00AD3869">
            <w:pPr>
              <w:pStyle w:val="Para0s"/>
              <w:rPr>
                <w:szCs w:val="22"/>
                <w:lang w:val="en-US"/>
              </w:rPr>
            </w:pPr>
          </w:p>
        </w:tc>
        <w:tc>
          <w:tcPr>
            <w:tcW w:w="2321" w:type="dxa"/>
          </w:tcPr>
          <w:p w:rsidR="0084183B" w:rsidRPr="00344599" w:rsidRDefault="0084183B" w:rsidP="00AD3869">
            <w:pPr>
              <w:pStyle w:val="Para0s"/>
              <w:rPr>
                <w:szCs w:val="22"/>
                <w:lang w:val="en-GB"/>
              </w:rPr>
            </w:pPr>
          </w:p>
        </w:tc>
      </w:tr>
      <w:tr w:rsidR="0084183B" w:rsidRPr="00344599">
        <w:tblPrEx>
          <w:tblCellMar>
            <w:top w:w="0" w:type="dxa"/>
            <w:bottom w:w="0" w:type="dxa"/>
          </w:tblCellMar>
        </w:tblPrEx>
        <w:tc>
          <w:tcPr>
            <w:tcW w:w="2321" w:type="dxa"/>
          </w:tcPr>
          <w:p w:rsidR="0084183B" w:rsidRPr="00344599" w:rsidRDefault="0049264B" w:rsidP="00AD3869">
            <w:pPr>
              <w:pStyle w:val="Para0s"/>
              <w:rPr>
                <w:szCs w:val="22"/>
                <w:lang w:val="en-GB"/>
              </w:rPr>
            </w:pPr>
            <w:r w:rsidRPr="00344599">
              <w:rPr>
                <w:szCs w:val="22"/>
              </w:rPr>
              <w:t>Ώ</w:t>
            </w:r>
            <w:r w:rsidR="0084183B" w:rsidRPr="00344599">
              <w:rPr>
                <w:szCs w:val="22"/>
                <w:lang w:val="en-GB"/>
              </w:rPr>
              <w:t>τα και λαβύρινθος</w:t>
            </w:r>
          </w:p>
        </w:tc>
        <w:tc>
          <w:tcPr>
            <w:tcW w:w="2321" w:type="dxa"/>
          </w:tcPr>
          <w:p w:rsidR="0084183B" w:rsidRPr="00344599" w:rsidRDefault="0084183B" w:rsidP="00AD3869">
            <w:pPr>
              <w:pStyle w:val="Para0s"/>
              <w:rPr>
                <w:szCs w:val="22"/>
                <w:lang w:val="en-GB"/>
              </w:rPr>
            </w:pPr>
          </w:p>
        </w:tc>
        <w:tc>
          <w:tcPr>
            <w:tcW w:w="2321" w:type="dxa"/>
          </w:tcPr>
          <w:p w:rsidR="0084183B" w:rsidRPr="00344599" w:rsidRDefault="0084183B" w:rsidP="00AD3869">
            <w:pPr>
              <w:pStyle w:val="Para0s"/>
              <w:rPr>
                <w:szCs w:val="22"/>
                <w:lang w:val="en-GB"/>
              </w:rPr>
            </w:pPr>
          </w:p>
        </w:tc>
        <w:tc>
          <w:tcPr>
            <w:tcW w:w="2321" w:type="dxa"/>
          </w:tcPr>
          <w:p w:rsidR="0084183B" w:rsidRPr="00344599" w:rsidRDefault="0084183B" w:rsidP="00AD3869">
            <w:pPr>
              <w:pStyle w:val="Para0s"/>
              <w:rPr>
                <w:szCs w:val="22"/>
              </w:rPr>
            </w:pPr>
            <w:r w:rsidRPr="00344599">
              <w:rPr>
                <w:szCs w:val="22"/>
              </w:rPr>
              <w:t>βαρηκοϊα</w:t>
            </w:r>
          </w:p>
        </w:tc>
      </w:tr>
      <w:tr w:rsidR="0084183B" w:rsidRPr="00344599">
        <w:tblPrEx>
          <w:tblCellMar>
            <w:top w:w="0" w:type="dxa"/>
            <w:bottom w:w="0" w:type="dxa"/>
          </w:tblCellMar>
        </w:tblPrEx>
        <w:tc>
          <w:tcPr>
            <w:tcW w:w="2321" w:type="dxa"/>
          </w:tcPr>
          <w:p w:rsidR="0084183B" w:rsidRPr="0093207C" w:rsidRDefault="0084183B" w:rsidP="00AD3869">
            <w:pPr>
              <w:pStyle w:val="Para0s"/>
              <w:rPr>
                <w:szCs w:val="22"/>
              </w:rPr>
            </w:pPr>
            <w:r w:rsidRPr="00344599">
              <w:rPr>
                <w:szCs w:val="22"/>
                <w:lang w:val="en-GB"/>
              </w:rPr>
              <w:t>Αγγειακό</w:t>
            </w:r>
            <w:r w:rsidR="00E91760">
              <w:rPr>
                <w:szCs w:val="22"/>
              </w:rPr>
              <w:t xml:space="preserve"> σύστημα</w:t>
            </w:r>
          </w:p>
        </w:tc>
        <w:tc>
          <w:tcPr>
            <w:tcW w:w="2321" w:type="dxa"/>
          </w:tcPr>
          <w:p w:rsidR="0084183B" w:rsidRPr="00344599" w:rsidRDefault="0084183B" w:rsidP="00AD3869">
            <w:pPr>
              <w:pStyle w:val="Para0s"/>
              <w:rPr>
                <w:szCs w:val="22"/>
                <w:lang w:val="en-GB"/>
              </w:rPr>
            </w:pPr>
            <w:r w:rsidRPr="00344599">
              <w:rPr>
                <w:szCs w:val="22"/>
                <w:lang w:val="en-GB"/>
              </w:rPr>
              <w:t>ημικρανία</w:t>
            </w:r>
          </w:p>
        </w:tc>
        <w:tc>
          <w:tcPr>
            <w:tcW w:w="2321" w:type="dxa"/>
          </w:tcPr>
          <w:p w:rsidR="0084183B" w:rsidRPr="00344599" w:rsidRDefault="0084183B" w:rsidP="00AD3869">
            <w:pPr>
              <w:pStyle w:val="Para0s"/>
              <w:rPr>
                <w:szCs w:val="22"/>
                <w:lang w:val="en-GB"/>
              </w:rPr>
            </w:pPr>
            <w:r w:rsidRPr="00344599">
              <w:rPr>
                <w:szCs w:val="22"/>
                <w:lang w:val="en-GB"/>
              </w:rPr>
              <w:t>υπέρταση, υπόταση</w:t>
            </w:r>
          </w:p>
        </w:tc>
        <w:tc>
          <w:tcPr>
            <w:tcW w:w="2321" w:type="dxa"/>
          </w:tcPr>
          <w:p w:rsidR="0084183B" w:rsidRPr="00344599" w:rsidRDefault="0084183B" w:rsidP="00AD3869">
            <w:pPr>
              <w:pStyle w:val="Para0s"/>
              <w:rPr>
                <w:szCs w:val="22"/>
                <w:lang w:val="en-GB"/>
              </w:rPr>
            </w:pPr>
            <w:r w:rsidRPr="00344599">
              <w:rPr>
                <w:szCs w:val="22"/>
                <w:lang w:val="en-GB"/>
              </w:rPr>
              <w:t>θρομβοεμβολή</w:t>
            </w:r>
          </w:p>
        </w:tc>
      </w:tr>
      <w:tr w:rsidR="0084183B" w:rsidRPr="00344599">
        <w:tblPrEx>
          <w:tblCellMar>
            <w:top w:w="0" w:type="dxa"/>
            <w:bottom w:w="0" w:type="dxa"/>
          </w:tblCellMar>
        </w:tblPrEx>
        <w:tc>
          <w:tcPr>
            <w:tcW w:w="2321" w:type="dxa"/>
          </w:tcPr>
          <w:p w:rsidR="0084183B" w:rsidRPr="0093207C" w:rsidRDefault="0084183B" w:rsidP="00AD3869">
            <w:pPr>
              <w:pStyle w:val="Para0s"/>
              <w:rPr>
                <w:szCs w:val="22"/>
              </w:rPr>
            </w:pPr>
            <w:r w:rsidRPr="00344599">
              <w:rPr>
                <w:szCs w:val="22"/>
                <w:lang w:val="en-GB"/>
              </w:rPr>
              <w:t>Γαστρεντερικό</w:t>
            </w:r>
            <w:r w:rsidR="00E91760">
              <w:rPr>
                <w:szCs w:val="22"/>
              </w:rPr>
              <w:t xml:space="preserve"> σύστημα</w:t>
            </w:r>
          </w:p>
        </w:tc>
        <w:tc>
          <w:tcPr>
            <w:tcW w:w="2321" w:type="dxa"/>
          </w:tcPr>
          <w:p w:rsidR="0084183B" w:rsidRPr="00344599" w:rsidRDefault="0084183B" w:rsidP="00AD3869">
            <w:pPr>
              <w:pStyle w:val="Para0s"/>
              <w:rPr>
                <w:szCs w:val="22"/>
                <w:lang w:val="en-GB"/>
              </w:rPr>
            </w:pPr>
            <w:r w:rsidRPr="00344599">
              <w:rPr>
                <w:szCs w:val="22"/>
                <w:lang w:val="en-GB"/>
              </w:rPr>
              <w:t>ναυτία</w:t>
            </w:r>
          </w:p>
        </w:tc>
        <w:tc>
          <w:tcPr>
            <w:tcW w:w="2321" w:type="dxa"/>
          </w:tcPr>
          <w:p w:rsidR="0084183B" w:rsidRPr="0093207C" w:rsidRDefault="00344599" w:rsidP="00AD3869">
            <w:pPr>
              <w:pStyle w:val="Para0s"/>
              <w:rPr>
                <w:szCs w:val="22"/>
              </w:rPr>
            </w:pPr>
            <w:r>
              <w:rPr>
                <w:szCs w:val="22"/>
              </w:rPr>
              <w:t>έ</w:t>
            </w:r>
            <w:r w:rsidR="0084183B" w:rsidRPr="00344599">
              <w:rPr>
                <w:szCs w:val="22"/>
                <w:lang w:val="en-GB"/>
              </w:rPr>
              <w:t>μετος</w:t>
            </w:r>
            <w:r>
              <w:rPr>
                <w:szCs w:val="22"/>
              </w:rPr>
              <w:t>, διάρροια</w:t>
            </w:r>
          </w:p>
        </w:tc>
        <w:tc>
          <w:tcPr>
            <w:tcW w:w="2321" w:type="dxa"/>
          </w:tcPr>
          <w:p w:rsidR="0084183B" w:rsidRPr="00344599" w:rsidRDefault="0084183B" w:rsidP="00AD3869">
            <w:pPr>
              <w:pStyle w:val="Para0s"/>
              <w:rPr>
                <w:szCs w:val="22"/>
                <w:lang w:val="en-GB"/>
              </w:rPr>
            </w:pPr>
          </w:p>
        </w:tc>
      </w:tr>
      <w:tr w:rsidR="0084183B" w:rsidRPr="00344599">
        <w:tblPrEx>
          <w:tblCellMar>
            <w:top w:w="0" w:type="dxa"/>
            <w:bottom w:w="0" w:type="dxa"/>
          </w:tblCellMar>
        </w:tblPrEx>
        <w:tc>
          <w:tcPr>
            <w:tcW w:w="2321" w:type="dxa"/>
          </w:tcPr>
          <w:p w:rsidR="0084183B" w:rsidRPr="00344599" w:rsidRDefault="0084183B" w:rsidP="00AD3869">
            <w:pPr>
              <w:pStyle w:val="Para0s"/>
              <w:rPr>
                <w:szCs w:val="22"/>
                <w:lang w:val="en-GB"/>
              </w:rPr>
            </w:pPr>
            <w:r w:rsidRPr="00344599">
              <w:rPr>
                <w:szCs w:val="22"/>
                <w:lang w:val="en-GB"/>
              </w:rPr>
              <w:t xml:space="preserve">Δέρμα και υποδόριο σύστημα </w:t>
            </w:r>
          </w:p>
        </w:tc>
        <w:tc>
          <w:tcPr>
            <w:tcW w:w="2321" w:type="dxa"/>
          </w:tcPr>
          <w:p w:rsidR="0084183B" w:rsidRPr="00344599" w:rsidRDefault="0084183B" w:rsidP="00AD3869">
            <w:pPr>
              <w:pStyle w:val="Para0s"/>
              <w:rPr>
                <w:szCs w:val="22"/>
                <w:lang w:val="en-GB"/>
              </w:rPr>
            </w:pPr>
          </w:p>
        </w:tc>
        <w:tc>
          <w:tcPr>
            <w:tcW w:w="2321" w:type="dxa"/>
          </w:tcPr>
          <w:p w:rsidR="0084183B" w:rsidRPr="0093207C" w:rsidRDefault="0084183B" w:rsidP="00AD3869">
            <w:pPr>
              <w:pStyle w:val="Para0s"/>
              <w:rPr>
                <w:szCs w:val="22"/>
              </w:rPr>
            </w:pPr>
            <w:r w:rsidRPr="00344599">
              <w:rPr>
                <w:szCs w:val="22"/>
                <w:lang w:val="en-GB"/>
              </w:rPr>
              <w:t>ακμή, έκζεμα, κνησμός</w:t>
            </w:r>
            <w:r w:rsidR="00344599">
              <w:rPr>
                <w:szCs w:val="22"/>
              </w:rPr>
              <w:t>, αλωπεκία</w:t>
            </w:r>
          </w:p>
        </w:tc>
        <w:tc>
          <w:tcPr>
            <w:tcW w:w="2321" w:type="dxa"/>
          </w:tcPr>
          <w:p w:rsidR="0084183B" w:rsidRPr="00344599" w:rsidRDefault="00D062CF" w:rsidP="00AD3869">
            <w:pPr>
              <w:pStyle w:val="Para0s"/>
              <w:rPr>
                <w:szCs w:val="22"/>
              </w:rPr>
            </w:pPr>
            <w:r w:rsidRPr="00344599">
              <w:rPr>
                <w:szCs w:val="22"/>
              </w:rPr>
              <w:t>ο</w:t>
            </w:r>
            <w:r w:rsidR="00763ADD" w:rsidRPr="00344599">
              <w:rPr>
                <w:szCs w:val="22"/>
              </w:rPr>
              <w:t>ζώδες ερύθημα</w:t>
            </w:r>
            <w:r w:rsidR="009F236E" w:rsidRPr="00344599">
              <w:rPr>
                <w:szCs w:val="22"/>
              </w:rPr>
              <w:t>,</w:t>
            </w:r>
          </w:p>
          <w:p w:rsidR="00D062CF" w:rsidRPr="00344599" w:rsidRDefault="00D062CF" w:rsidP="00AD3869">
            <w:pPr>
              <w:pStyle w:val="Para0s"/>
              <w:rPr>
                <w:szCs w:val="22"/>
              </w:rPr>
            </w:pPr>
            <w:r w:rsidRPr="00344599">
              <w:rPr>
                <w:szCs w:val="22"/>
              </w:rPr>
              <w:t>πολύμορφο ερύθημα</w:t>
            </w:r>
          </w:p>
        </w:tc>
      </w:tr>
      <w:tr w:rsidR="0084183B" w:rsidRPr="00344599">
        <w:tblPrEx>
          <w:tblCellMar>
            <w:top w:w="0" w:type="dxa"/>
            <w:bottom w:w="0" w:type="dxa"/>
          </w:tblCellMar>
        </w:tblPrEx>
        <w:tc>
          <w:tcPr>
            <w:tcW w:w="2321" w:type="dxa"/>
          </w:tcPr>
          <w:p w:rsidR="0084183B" w:rsidRPr="00344599" w:rsidRDefault="0084183B" w:rsidP="00AD3869">
            <w:pPr>
              <w:pStyle w:val="Para0s"/>
              <w:rPr>
                <w:szCs w:val="22"/>
                <w:lang w:val="en-GB"/>
              </w:rPr>
            </w:pPr>
            <w:r w:rsidRPr="00344599">
              <w:rPr>
                <w:szCs w:val="22"/>
                <w:lang w:val="en-GB"/>
              </w:rPr>
              <w:t>Αναπαραγωγικό σύστημα και μαστοί</w:t>
            </w:r>
          </w:p>
        </w:tc>
        <w:tc>
          <w:tcPr>
            <w:tcW w:w="2321" w:type="dxa"/>
          </w:tcPr>
          <w:p w:rsidR="0084183B" w:rsidRPr="0093207C" w:rsidRDefault="008F0D26" w:rsidP="00E64E84">
            <w:pPr>
              <w:pStyle w:val="Para0s"/>
              <w:rPr>
                <w:szCs w:val="22"/>
              </w:rPr>
            </w:pPr>
            <w:r>
              <w:rPr>
                <w:szCs w:val="22"/>
              </w:rPr>
              <w:t>διαταραχές κύκλου</w:t>
            </w:r>
            <w:r w:rsidR="00572E8B">
              <w:rPr>
                <w:szCs w:val="22"/>
              </w:rPr>
              <w:t xml:space="preserve">, </w:t>
            </w:r>
            <w:r>
              <w:rPr>
                <w:szCs w:val="22"/>
              </w:rPr>
              <w:t>διάμεσες αιμορραγίες,</w:t>
            </w:r>
            <w:r w:rsidR="00572E8B">
              <w:rPr>
                <w:szCs w:val="22"/>
              </w:rPr>
              <w:t xml:space="preserve"> </w:t>
            </w:r>
            <w:r>
              <w:rPr>
                <w:szCs w:val="22"/>
              </w:rPr>
              <w:t>πόνος μαστού</w:t>
            </w:r>
            <w:r w:rsidR="00572E8B">
              <w:rPr>
                <w:szCs w:val="22"/>
              </w:rPr>
              <w:t xml:space="preserve">, ευαισθησία μαστού, </w:t>
            </w:r>
            <w:r w:rsidR="0084183B" w:rsidRPr="0093207C">
              <w:rPr>
                <w:szCs w:val="22"/>
              </w:rPr>
              <w:t>λευκόρροια, κολπική μονιλίαση</w:t>
            </w:r>
          </w:p>
        </w:tc>
        <w:tc>
          <w:tcPr>
            <w:tcW w:w="2321" w:type="dxa"/>
          </w:tcPr>
          <w:p w:rsidR="008F0D26" w:rsidRPr="0093207C" w:rsidRDefault="008F0D26" w:rsidP="00AD3869">
            <w:pPr>
              <w:pStyle w:val="Para0s"/>
              <w:rPr>
                <w:szCs w:val="22"/>
                <w:lang w:val="en-US"/>
              </w:rPr>
            </w:pPr>
            <w:r>
              <w:rPr>
                <w:szCs w:val="22"/>
              </w:rPr>
              <w:t xml:space="preserve">διόγκωση μαστού, μεταβολές της </w:t>
            </w:r>
            <w:r>
              <w:rPr>
                <w:szCs w:val="22"/>
                <w:lang w:val="en-US"/>
              </w:rPr>
              <w:t>libido</w:t>
            </w:r>
          </w:p>
          <w:p w:rsidR="0084183B" w:rsidRPr="00344599" w:rsidRDefault="0084183B" w:rsidP="00AD3869">
            <w:pPr>
              <w:pStyle w:val="Para0s"/>
              <w:rPr>
                <w:szCs w:val="22"/>
                <w:lang w:val="en-GB"/>
              </w:rPr>
            </w:pPr>
            <w:r w:rsidRPr="00344599">
              <w:rPr>
                <w:szCs w:val="22"/>
                <w:lang w:val="en-GB"/>
              </w:rPr>
              <w:t>κολπίτιδα</w:t>
            </w:r>
          </w:p>
        </w:tc>
        <w:tc>
          <w:tcPr>
            <w:tcW w:w="2321" w:type="dxa"/>
          </w:tcPr>
          <w:p w:rsidR="0084183B" w:rsidRPr="0093207C" w:rsidRDefault="008F0D26" w:rsidP="00AD3869">
            <w:pPr>
              <w:pStyle w:val="Para0s"/>
              <w:rPr>
                <w:szCs w:val="22"/>
              </w:rPr>
            </w:pPr>
            <w:r>
              <w:rPr>
                <w:szCs w:val="22"/>
              </w:rPr>
              <w:t>έκκριση από τους μαστούς</w:t>
            </w:r>
          </w:p>
        </w:tc>
      </w:tr>
      <w:tr w:rsidR="0084183B" w:rsidRPr="00344599">
        <w:tblPrEx>
          <w:tblCellMar>
            <w:top w:w="0" w:type="dxa"/>
            <w:bottom w:w="0" w:type="dxa"/>
          </w:tblCellMar>
        </w:tblPrEx>
        <w:tc>
          <w:tcPr>
            <w:tcW w:w="2321" w:type="dxa"/>
          </w:tcPr>
          <w:p w:rsidR="0084183B" w:rsidRPr="00344599" w:rsidRDefault="0084183B" w:rsidP="00AD3869">
            <w:pPr>
              <w:pStyle w:val="Para0s"/>
              <w:rPr>
                <w:szCs w:val="22"/>
                <w:lang w:val="en-GB"/>
              </w:rPr>
            </w:pPr>
            <w:r w:rsidRPr="00344599">
              <w:rPr>
                <w:szCs w:val="22"/>
                <w:lang w:val="en-GB"/>
              </w:rPr>
              <w:t>Γενικά</w:t>
            </w:r>
          </w:p>
        </w:tc>
        <w:tc>
          <w:tcPr>
            <w:tcW w:w="2321" w:type="dxa"/>
          </w:tcPr>
          <w:p w:rsidR="0084183B" w:rsidRPr="00344599" w:rsidRDefault="0084183B" w:rsidP="00AD3869">
            <w:pPr>
              <w:pStyle w:val="Para0s"/>
              <w:rPr>
                <w:szCs w:val="22"/>
                <w:lang w:val="en-GB"/>
              </w:rPr>
            </w:pPr>
          </w:p>
        </w:tc>
        <w:tc>
          <w:tcPr>
            <w:tcW w:w="2321" w:type="dxa"/>
          </w:tcPr>
          <w:p w:rsidR="0084183B" w:rsidRPr="00344599" w:rsidRDefault="0084183B" w:rsidP="00AD3869">
            <w:pPr>
              <w:pStyle w:val="Para0s"/>
              <w:rPr>
                <w:szCs w:val="22"/>
              </w:rPr>
            </w:pPr>
            <w:r w:rsidRPr="00344599">
              <w:rPr>
                <w:szCs w:val="22"/>
              </w:rPr>
              <w:t>κατακράτηση υγρών, μεταβολές σωματικού βάρους</w:t>
            </w:r>
          </w:p>
        </w:tc>
        <w:tc>
          <w:tcPr>
            <w:tcW w:w="2321" w:type="dxa"/>
          </w:tcPr>
          <w:p w:rsidR="0084183B" w:rsidRPr="00344599" w:rsidRDefault="0084183B" w:rsidP="00AD3869">
            <w:pPr>
              <w:pStyle w:val="Para0s"/>
              <w:rPr>
                <w:szCs w:val="22"/>
              </w:rPr>
            </w:pPr>
          </w:p>
        </w:tc>
      </w:tr>
    </w:tbl>
    <w:p w:rsidR="005357D6" w:rsidRPr="003A467B" w:rsidRDefault="005357D6" w:rsidP="00AD3869">
      <w:pPr>
        <w:pStyle w:val="Para0s"/>
        <w:jc w:val="both"/>
        <w:rPr>
          <w:szCs w:val="22"/>
        </w:rPr>
      </w:pPr>
    </w:p>
    <w:p w:rsidR="0084183B" w:rsidRPr="003A467B" w:rsidRDefault="0084183B" w:rsidP="00AD3869">
      <w:pPr>
        <w:pStyle w:val="Para0s"/>
        <w:jc w:val="both"/>
        <w:rPr>
          <w:szCs w:val="22"/>
        </w:rPr>
      </w:pPr>
      <w:r w:rsidRPr="003A467B">
        <w:rPr>
          <w:szCs w:val="22"/>
        </w:rPr>
        <w:t>Οι ακόλουθες σοβαρές ανεπιθύμητες ενέργειες, οι οποίες π</w:t>
      </w:r>
      <w:r w:rsidR="006C27A8">
        <w:rPr>
          <w:szCs w:val="22"/>
        </w:rPr>
        <w:t>εριγράφονται αναλυτικά στην παράγραφο</w:t>
      </w:r>
      <w:r w:rsidRPr="003A467B">
        <w:rPr>
          <w:szCs w:val="22"/>
        </w:rPr>
        <w:t xml:space="preserve"> 4.4. </w:t>
      </w:r>
      <w:r w:rsidR="000317F8" w:rsidRPr="003A467B">
        <w:rPr>
          <w:szCs w:val="22"/>
        </w:rPr>
        <w:t>«</w:t>
      </w:r>
      <w:r w:rsidRPr="003A467B">
        <w:rPr>
          <w:szCs w:val="22"/>
        </w:rPr>
        <w:t>Ιδιαίτερες προειδοποιήσεις και ιδιαίτερες προφυλάξεις κατά τη χρήση», έχουν αναφερθεί σε χρήστριες συνδυασμένων από του στόματος αντισυλληπτικών</w:t>
      </w:r>
      <w:r w:rsidR="00F23CD5" w:rsidRPr="003A467B">
        <w:rPr>
          <w:szCs w:val="22"/>
        </w:rPr>
        <w:t>:</w:t>
      </w:r>
    </w:p>
    <w:p w:rsidR="0084183B" w:rsidRPr="003A467B" w:rsidRDefault="0085319E" w:rsidP="00AD3869">
      <w:pPr>
        <w:pStyle w:val="Para0s"/>
        <w:numPr>
          <w:ilvl w:val="0"/>
          <w:numId w:val="21"/>
        </w:numPr>
        <w:jc w:val="both"/>
        <w:rPr>
          <w:szCs w:val="22"/>
          <w:lang w:val="en-GB"/>
        </w:rPr>
      </w:pPr>
      <w:r>
        <w:rPr>
          <w:szCs w:val="22"/>
        </w:rPr>
        <w:t>Φ</w:t>
      </w:r>
      <w:r w:rsidR="0084183B" w:rsidRPr="003A467B">
        <w:rPr>
          <w:szCs w:val="22"/>
          <w:lang w:val="en-GB"/>
        </w:rPr>
        <w:t>λεβικές θρομβοεμβολικές διαταραχές</w:t>
      </w:r>
    </w:p>
    <w:p w:rsidR="0084183B" w:rsidRPr="003A467B" w:rsidRDefault="0085319E" w:rsidP="00AD3869">
      <w:pPr>
        <w:pStyle w:val="Para0s"/>
        <w:numPr>
          <w:ilvl w:val="0"/>
          <w:numId w:val="21"/>
        </w:numPr>
        <w:jc w:val="both"/>
        <w:rPr>
          <w:szCs w:val="22"/>
          <w:lang w:val="en-GB"/>
        </w:rPr>
      </w:pPr>
      <w:r>
        <w:rPr>
          <w:szCs w:val="22"/>
        </w:rPr>
        <w:t>Α</w:t>
      </w:r>
      <w:r w:rsidR="0084183B" w:rsidRPr="003A467B">
        <w:rPr>
          <w:szCs w:val="22"/>
          <w:lang w:val="en-GB"/>
        </w:rPr>
        <w:t>ρτηριακές θρομβοεμβολικές διαταραχές</w:t>
      </w:r>
    </w:p>
    <w:p w:rsidR="0084183B" w:rsidRPr="003A467B" w:rsidRDefault="0085319E" w:rsidP="00AD3869">
      <w:pPr>
        <w:pStyle w:val="Para0s"/>
        <w:numPr>
          <w:ilvl w:val="0"/>
          <w:numId w:val="21"/>
        </w:numPr>
        <w:jc w:val="both"/>
        <w:rPr>
          <w:szCs w:val="22"/>
          <w:lang w:val="en-GB"/>
        </w:rPr>
      </w:pPr>
      <w:r>
        <w:rPr>
          <w:szCs w:val="22"/>
        </w:rPr>
        <w:t>Υ</w:t>
      </w:r>
      <w:r w:rsidR="0084183B" w:rsidRPr="003A467B">
        <w:rPr>
          <w:szCs w:val="22"/>
          <w:lang w:val="en-GB"/>
        </w:rPr>
        <w:t>πέρταση</w:t>
      </w:r>
    </w:p>
    <w:p w:rsidR="0084183B" w:rsidRPr="003A467B" w:rsidRDefault="0085319E" w:rsidP="00AD3869">
      <w:pPr>
        <w:pStyle w:val="Para0s"/>
        <w:numPr>
          <w:ilvl w:val="0"/>
          <w:numId w:val="21"/>
        </w:numPr>
        <w:jc w:val="both"/>
        <w:rPr>
          <w:szCs w:val="22"/>
          <w:lang w:val="en-GB"/>
        </w:rPr>
      </w:pPr>
      <w:r>
        <w:rPr>
          <w:szCs w:val="22"/>
        </w:rPr>
        <w:t>Η</w:t>
      </w:r>
      <w:r w:rsidR="0084183B" w:rsidRPr="003A467B">
        <w:rPr>
          <w:szCs w:val="22"/>
          <w:lang w:val="en-GB"/>
        </w:rPr>
        <w:t>πατικοί όγκοι</w:t>
      </w:r>
    </w:p>
    <w:p w:rsidR="0084183B" w:rsidRPr="003A467B" w:rsidRDefault="0085319E" w:rsidP="00AD3869">
      <w:pPr>
        <w:pStyle w:val="Para0s"/>
        <w:numPr>
          <w:ilvl w:val="0"/>
          <w:numId w:val="21"/>
        </w:numPr>
        <w:jc w:val="both"/>
        <w:rPr>
          <w:szCs w:val="22"/>
        </w:rPr>
      </w:pPr>
      <w:r>
        <w:rPr>
          <w:szCs w:val="22"/>
        </w:rPr>
        <w:t>Ε</w:t>
      </w:r>
      <w:r w:rsidR="0084183B" w:rsidRPr="003A467B">
        <w:rPr>
          <w:szCs w:val="22"/>
        </w:rPr>
        <w:t xml:space="preserve">μφάνιση ή επιδείνωση καταστάσεων, για τις οποίες δεν έχει επιβεβαιωθεί η συσχέτισή τους με τη χρήση από του στόματος αντισυλληπτικών συνδυασμού: νόσος του </w:t>
      </w:r>
      <w:r w:rsidR="0084183B" w:rsidRPr="003A467B">
        <w:rPr>
          <w:szCs w:val="22"/>
          <w:lang w:val="en-US"/>
        </w:rPr>
        <w:t>Crohn</w:t>
      </w:r>
      <w:r w:rsidR="0084183B" w:rsidRPr="003A467B">
        <w:rPr>
          <w:szCs w:val="22"/>
        </w:rPr>
        <w:t xml:space="preserve">, ελκώδης κολίτιδα, </w:t>
      </w:r>
      <w:r>
        <w:rPr>
          <w:szCs w:val="22"/>
        </w:rPr>
        <w:t xml:space="preserve">επιληψία, </w:t>
      </w:r>
      <w:r w:rsidR="0084183B" w:rsidRPr="003A467B">
        <w:rPr>
          <w:szCs w:val="22"/>
        </w:rPr>
        <w:t xml:space="preserve">μύωμα της μήτρας, πορφυρία, συστηματικός ερυθηματώδης λύκος, έρπης κυήσεως, χορεία του </w:t>
      </w:r>
      <w:r w:rsidR="0084183B" w:rsidRPr="003A467B">
        <w:rPr>
          <w:szCs w:val="22"/>
          <w:lang w:val="en-US"/>
        </w:rPr>
        <w:t>Sydenham</w:t>
      </w:r>
      <w:r w:rsidR="0084183B" w:rsidRPr="003A467B">
        <w:rPr>
          <w:szCs w:val="22"/>
        </w:rPr>
        <w:t>, αιμολυτικό ουραιμικό σύνδρομο, χολοστατικός ίκτερος</w:t>
      </w:r>
    </w:p>
    <w:p w:rsidR="0084183B" w:rsidRPr="003A467B" w:rsidRDefault="0085319E" w:rsidP="00AD3869">
      <w:pPr>
        <w:pStyle w:val="Para0s"/>
        <w:numPr>
          <w:ilvl w:val="0"/>
          <w:numId w:val="21"/>
        </w:numPr>
        <w:jc w:val="both"/>
        <w:rPr>
          <w:szCs w:val="22"/>
          <w:lang w:val="en-GB"/>
        </w:rPr>
      </w:pPr>
      <w:r>
        <w:rPr>
          <w:szCs w:val="22"/>
        </w:rPr>
        <w:t>Χ</w:t>
      </w:r>
      <w:r w:rsidR="0084183B" w:rsidRPr="003A467B">
        <w:rPr>
          <w:szCs w:val="22"/>
        </w:rPr>
        <w:t>λόασμα</w:t>
      </w:r>
    </w:p>
    <w:p w:rsidR="000317F8" w:rsidRPr="003A467B" w:rsidRDefault="0085319E" w:rsidP="00AD3869">
      <w:pPr>
        <w:pStyle w:val="Para0s"/>
        <w:numPr>
          <w:ilvl w:val="0"/>
          <w:numId w:val="21"/>
        </w:numPr>
        <w:jc w:val="both"/>
        <w:rPr>
          <w:szCs w:val="22"/>
        </w:rPr>
      </w:pPr>
      <w:r>
        <w:rPr>
          <w:szCs w:val="22"/>
        </w:rPr>
        <w:t>Ο</w:t>
      </w:r>
      <w:r w:rsidR="000317F8" w:rsidRPr="003A467B">
        <w:rPr>
          <w:szCs w:val="22"/>
        </w:rPr>
        <w:t>ξείες ή χρόνιες διαταραχές της ηπατικής λειτουργίας μπορεί να καταστήσουν αναγκαία τη διακοπή των από του στόματος αντισυλληπτικών συνδυασμού έως ότου οι δείκτες της ηπατικής λειτουργίας επανέλθουν στο φυσιολογικό.</w:t>
      </w:r>
    </w:p>
    <w:p w:rsidR="008F694D" w:rsidRPr="003A467B" w:rsidRDefault="0085319E" w:rsidP="00AD3869">
      <w:pPr>
        <w:pStyle w:val="Para0s"/>
        <w:numPr>
          <w:ilvl w:val="0"/>
          <w:numId w:val="21"/>
        </w:numPr>
        <w:jc w:val="both"/>
        <w:rPr>
          <w:szCs w:val="22"/>
        </w:rPr>
      </w:pPr>
      <w:r>
        <w:rPr>
          <w:szCs w:val="22"/>
        </w:rPr>
        <w:lastRenderedPageBreak/>
        <w:t>Σ</w:t>
      </w:r>
      <w:r w:rsidR="008F694D" w:rsidRPr="003A467B">
        <w:rPr>
          <w:szCs w:val="22"/>
        </w:rPr>
        <w:t>ε γυναίκες με κληρονομικό αγγειοοίδημα, τα εξωγενή οιστρογόνα μπορεί να προκαλέσουν ή να επιδεινώσουν τα συμπτώματα του αγγειοοιδήματος</w:t>
      </w:r>
      <w:r w:rsidR="00352D41" w:rsidRPr="003A467B">
        <w:rPr>
          <w:szCs w:val="22"/>
        </w:rPr>
        <w:t>.</w:t>
      </w:r>
    </w:p>
    <w:p w:rsidR="005357D6" w:rsidRPr="003A467B" w:rsidRDefault="005357D6" w:rsidP="005357D6">
      <w:pPr>
        <w:pStyle w:val="Para0s"/>
        <w:jc w:val="both"/>
        <w:rPr>
          <w:szCs w:val="22"/>
        </w:rPr>
      </w:pPr>
    </w:p>
    <w:p w:rsidR="0084183B" w:rsidRPr="003A467B" w:rsidRDefault="0084183B" w:rsidP="00AD3869">
      <w:pPr>
        <w:pStyle w:val="Para0s"/>
        <w:jc w:val="both"/>
        <w:rPr>
          <w:szCs w:val="22"/>
        </w:rPr>
      </w:pPr>
      <w:r w:rsidRPr="003A467B">
        <w:rPr>
          <w:szCs w:val="22"/>
        </w:rPr>
        <w:t>Η συχνότητα διάγνωσης καρκίνου του μαστού είναι πολύ ελαφρά αυξημένη στις χρήστριες από του στόματος αντισυλληπτικών.</w:t>
      </w:r>
      <w:r w:rsidR="005A44E3" w:rsidRPr="003A467B">
        <w:rPr>
          <w:szCs w:val="22"/>
        </w:rPr>
        <w:t xml:space="preserve"> </w:t>
      </w:r>
      <w:r w:rsidRPr="003A467B">
        <w:rPr>
          <w:szCs w:val="22"/>
        </w:rPr>
        <w:t>Επειδή ο καρκίνος του μαστού είναι σπάνιος σε γυναίκες κάτω των 40 ετών, ο επιπλέον αριθμός διαγνώσεων καρκίνου του μαστού είναι μικρός σε σχέση με το γενικό κίνδυνο καρκίνου του μαστού.</w:t>
      </w:r>
      <w:r w:rsidR="005A44E3" w:rsidRPr="003A467B">
        <w:rPr>
          <w:szCs w:val="22"/>
        </w:rPr>
        <w:t xml:space="preserve"> </w:t>
      </w:r>
      <w:r w:rsidRPr="003A467B">
        <w:rPr>
          <w:szCs w:val="22"/>
        </w:rPr>
        <w:t>Δεν είναι γνωστή η αιτιολογική συσχέτιση</w:t>
      </w:r>
      <w:r w:rsidR="00E020BC" w:rsidRPr="003A467B">
        <w:rPr>
          <w:szCs w:val="22"/>
        </w:rPr>
        <w:t xml:space="preserve"> με τα </w:t>
      </w:r>
      <w:r w:rsidR="0039595C">
        <w:rPr>
          <w:szCs w:val="22"/>
        </w:rPr>
        <w:t xml:space="preserve">συνδυασμένα </w:t>
      </w:r>
      <w:r w:rsidR="00E020BC" w:rsidRPr="003A467B">
        <w:rPr>
          <w:szCs w:val="22"/>
        </w:rPr>
        <w:t xml:space="preserve">από </w:t>
      </w:r>
      <w:r w:rsidR="0039595C">
        <w:rPr>
          <w:szCs w:val="22"/>
        </w:rPr>
        <w:t>του στόματος αντισυλληπτικά</w:t>
      </w:r>
      <w:r w:rsidRPr="003A467B">
        <w:rPr>
          <w:szCs w:val="22"/>
        </w:rPr>
        <w:t>.</w:t>
      </w:r>
      <w:r w:rsidR="005A44E3" w:rsidRPr="003A467B">
        <w:rPr>
          <w:szCs w:val="22"/>
        </w:rPr>
        <w:t xml:space="preserve"> </w:t>
      </w:r>
      <w:r w:rsidRPr="003A467B">
        <w:rPr>
          <w:szCs w:val="22"/>
        </w:rPr>
        <w:t>Για περισσότερες πληροφορίες βλέπε παρ</w:t>
      </w:r>
      <w:r w:rsidR="00EA3DD4" w:rsidRPr="003A467B">
        <w:rPr>
          <w:szCs w:val="22"/>
        </w:rPr>
        <w:t>άγραφο</w:t>
      </w:r>
      <w:r w:rsidRPr="003A467B">
        <w:rPr>
          <w:szCs w:val="22"/>
        </w:rPr>
        <w:t xml:space="preserve"> 4.3 .</w:t>
      </w:r>
    </w:p>
    <w:p w:rsidR="005357D6" w:rsidRPr="003A467B" w:rsidRDefault="005357D6"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4.9</w:t>
      </w:r>
      <w:r w:rsidRPr="003A467B">
        <w:rPr>
          <w:szCs w:val="22"/>
        </w:rPr>
        <w:tab/>
        <w:t>Υπερδοσολογία</w:t>
      </w:r>
    </w:p>
    <w:p w:rsidR="005357D6" w:rsidRPr="003A467B" w:rsidRDefault="005357D6" w:rsidP="00AD3869">
      <w:pPr>
        <w:pStyle w:val="Para0s"/>
        <w:jc w:val="both"/>
        <w:rPr>
          <w:szCs w:val="22"/>
        </w:rPr>
      </w:pPr>
    </w:p>
    <w:p w:rsidR="0084183B" w:rsidRPr="003A467B" w:rsidRDefault="0084183B" w:rsidP="00AD3869">
      <w:pPr>
        <w:pStyle w:val="Para0s"/>
        <w:jc w:val="both"/>
        <w:rPr>
          <w:szCs w:val="22"/>
        </w:rPr>
      </w:pPr>
      <w:r w:rsidRPr="003A467B">
        <w:rPr>
          <w:szCs w:val="22"/>
        </w:rPr>
        <w:t>Δεν υπάρχει</w:t>
      </w:r>
      <w:r w:rsidR="00BA5D22">
        <w:rPr>
          <w:szCs w:val="22"/>
        </w:rPr>
        <w:t>,</w:t>
      </w:r>
      <w:r w:rsidRPr="003A467B">
        <w:rPr>
          <w:szCs w:val="22"/>
        </w:rPr>
        <w:t xml:space="preserve"> προς το παρόν</w:t>
      </w:r>
      <w:r w:rsidR="00BA5D22">
        <w:rPr>
          <w:szCs w:val="22"/>
        </w:rPr>
        <w:t>,</w:t>
      </w:r>
      <w:r w:rsidRPr="003A467B">
        <w:rPr>
          <w:szCs w:val="22"/>
        </w:rPr>
        <w:t xml:space="preserve"> καμία εμπειρία υπερδοσολογία</w:t>
      </w:r>
      <w:r w:rsidR="00F23CD5" w:rsidRPr="003A467B">
        <w:rPr>
          <w:szCs w:val="22"/>
        </w:rPr>
        <w:t>ς</w:t>
      </w:r>
      <w:r w:rsidRPr="003A467B">
        <w:rPr>
          <w:szCs w:val="22"/>
        </w:rPr>
        <w:t xml:space="preserve"> με Yasmin</w:t>
      </w:r>
      <w:r w:rsidR="005357D6" w:rsidRPr="003A467B">
        <w:rPr>
          <w:b/>
          <w:szCs w:val="22"/>
          <w:vertAlign w:val="superscript"/>
        </w:rPr>
        <w:t>®</w:t>
      </w:r>
      <w:r w:rsidRPr="003A467B">
        <w:rPr>
          <w:szCs w:val="22"/>
        </w:rPr>
        <w:t>. Με βάση τη γενική εμπειρία με τα συνδυασμένα από του στόματος αντισυλληπτικά, τα συμπτώματα που μπορεί να εμφανιστούν σε αυτή την περίπτωση είναι: ναυτία, έμετος και, σε νεαρά κορίτσια, ελαφρά κολπική αιμορραγία. Δεν υπάρχουν αντίδοτα και η περαιτέρω θεραπεία πρέπει να είναι συμπτωματική.</w:t>
      </w:r>
    </w:p>
    <w:p w:rsidR="00A7398E" w:rsidRPr="003A467B" w:rsidRDefault="00A7398E" w:rsidP="00AD3869">
      <w:pPr>
        <w:pStyle w:val="Para0s"/>
        <w:jc w:val="both"/>
        <w:rPr>
          <w:szCs w:val="22"/>
        </w:rPr>
      </w:pPr>
    </w:p>
    <w:p w:rsidR="00A7398E" w:rsidRPr="003A467B" w:rsidRDefault="00A7398E" w:rsidP="00AD3869">
      <w:pPr>
        <w:pStyle w:val="Para0s"/>
        <w:jc w:val="both"/>
        <w:rPr>
          <w:szCs w:val="22"/>
        </w:rPr>
      </w:pPr>
    </w:p>
    <w:p w:rsidR="0084183B" w:rsidRPr="003A467B" w:rsidRDefault="0084183B" w:rsidP="00AD3869">
      <w:pPr>
        <w:pStyle w:val="1"/>
        <w:keepNext w:val="0"/>
        <w:widowControl/>
        <w:ind w:left="0" w:firstLine="0"/>
        <w:jc w:val="both"/>
        <w:rPr>
          <w:szCs w:val="22"/>
        </w:rPr>
      </w:pPr>
      <w:r w:rsidRPr="003A467B">
        <w:rPr>
          <w:szCs w:val="22"/>
        </w:rPr>
        <w:t>5.</w:t>
      </w:r>
      <w:r w:rsidRPr="003A467B">
        <w:rPr>
          <w:szCs w:val="22"/>
        </w:rPr>
        <w:tab/>
        <w:t>ΦΑΡΜΑΚΟΛΟΓΙΚΕΣ ΙΔΙΟΤΗΤΕΣ</w:t>
      </w:r>
    </w:p>
    <w:p w:rsidR="00A7398E" w:rsidRPr="003A467B" w:rsidRDefault="00A7398E" w:rsidP="00A7398E">
      <w:pPr>
        <w:pStyle w:val="Para0s"/>
      </w:pPr>
    </w:p>
    <w:p w:rsidR="0084183B" w:rsidRPr="003A467B" w:rsidRDefault="0084183B" w:rsidP="00AD3869">
      <w:pPr>
        <w:pStyle w:val="2"/>
        <w:keepNext w:val="0"/>
        <w:widowControl/>
        <w:ind w:left="0" w:firstLine="0"/>
        <w:jc w:val="both"/>
        <w:rPr>
          <w:szCs w:val="22"/>
        </w:rPr>
      </w:pPr>
      <w:r w:rsidRPr="003A467B">
        <w:rPr>
          <w:szCs w:val="22"/>
        </w:rPr>
        <w:t>5.1</w:t>
      </w:r>
      <w:r w:rsidRPr="003A467B">
        <w:rPr>
          <w:szCs w:val="22"/>
        </w:rPr>
        <w:tab/>
        <w:t>Φαρμακοδυναμικές ιδιότητες</w:t>
      </w:r>
    </w:p>
    <w:p w:rsidR="005357D6" w:rsidRPr="003A467B" w:rsidRDefault="005357D6"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Φαρμακοθεραπευτική κατηγορία (ATC): </w:t>
      </w:r>
      <w:r w:rsidR="00962BDC" w:rsidRPr="003A467B">
        <w:rPr>
          <w:szCs w:val="22"/>
        </w:rPr>
        <w:t>Προγεσταγόνα και οιστρογόνα, σταθεροί συνδυασμοί. κ</w:t>
      </w:r>
      <w:r w:rsidR="00962BDC" w:rsidRPr="003A467B">
        <w:rPr>
          <w:noProof/>
        </w:rPr>
        <w:t xml:space="preserve">ωδικός ATC: </w:t>
      </w:r>
      <w:r w:rsidRPr="003A467B">
        <w:rPr>
          <w:szCs w:val="22"/>
        </w:rPr>
        <w:t>G03AA</w:t>
      </w:r>
      <w:r w:rsidR="000317F8" w:rsidRPr="003A467B">
        <w:rPr>
          <w:szCs w:val="22"/>
        </w:rPr>
        <w:t xml:space="preserve"> 12</w:t>
      </w:r>
    </w:p>
    <w:p w:rsidR="00D422E8" w:rsidRPr="003A467B" w:rsidRDefault="00D422E8" w:rsidP="00AD3869">
      <w:pPr>
        <w:pStyle w:val="Para0s"/>
        <w:jc w:val="both"/>
        <w:rPr>
          <w:szCs w:val="22"/>
        </w:rPr>
      </w:pPr>
    </w:p>
    <w:p w:rsidR="00D422E8" w:rsidRPr="003A467B" w:rsidRDefault="00D422E8" w:rsidP="00D422E8">
      <w:pPr>
        <w:pStyle w:val="Para0s"/>
      </w:pPr>
      <w:r w:rsidRPr="003A467B">
        <w:t xml:space="preserve">Δείκτης Pearl για αποτυχία της μεθόδου: 0,09 </w:t>
      </w:r>
      <w:r w:rsidR="00CE3C4B">
        <w:t>(άνω άμφω όριο εμπιστοσύνης 95%: 0,32)</w:t>
      </w:r>
      <w:r w:rsidR="00BA5D22">
        <w:t>.</w:t>
      </w:r>
      <w:r w:rsidRPr="003A467B">
        <w:t xml:space="preserve"> </w:t>
      </w:r>
      <w:r w:rsidRPr="003A467B">
        <w:br/>
        <w:t>Γενικός δείκτης Pearl (αποτυχία μεθόδου + αποτυχία ασθενούς): 0,57 (άνω άμφω όριο εμπιστοσύνης 95%: 0,90)</w:t>
      </w:r>
      <w:r w:rsidR="00BA5D22">
        <w:t>.</w:t>
      </w:r>
    </w:p>
    <w:p w:rsidR="00D422E8" w:rsidRPr="003A467B" w:rsidRDefault="00D422E8" w:rsidP="00AD3869">
      <w:pPr>
        <w:pStyle w:val="Para0s"/>
        <w:jc w:val="both"/>
        <w:rPr>
          <w:szCs w:val="22"/>
        </w:rPr>
      </w:pPr>
      <w:r w:rsidRPr="003A467B">
        <w:rPr>
          <w:szCs w:val="22"/>
        </w:rPr>
        <w:t xml:space="preserve"> </w:t>
      </w:r>
    </w:p>
    <w:p w:rsidR="0084183B" w:rsidRPr="003A467B" w:rsidRDefault="0084183B" w:rsidP="00AD3869">
      <w:pPr>
        <w:pStyle w:val="Para0s"/>
        <w:jc w:val="both"/>
        <w:rPr>
          <w:szCs w:val="22"/>
        </w:rPr>
      </w:pPr>
      <w:r w:rsidRPr="003A467B">
        <w:rPr>
          <w:szCs w:val="22"/>
        </w:rPr>
        <w:t>Η αντισυλληπτική δράση του Yasmin</w:t>
      </w:r>
      <w:r w:rsidR="005357D6" w:rsidRPr="003A467B">
        <w:rPr>
          <w:b/>
          <w:szCs w:val="22"/>
          <w:vertAlign w:val="superscript"/>
        </w:rPr>
        <w:t>®</w:t>
      </w:r>
      <w:r w:rsidRPr="003A467B">
        <w:rPr>
          <w:szCs w:val="22"/>
        </w:rPr>
        <w:t xml:space="preserve"> βασίζεται στην αλληλεπίδραση διάφορων παραγόντων, οι πιο σημαντικοί από τους οποίους φαίνεται να είναι η αναστολή της ωορρηξίας και οι μεταβολές στο ενδομήτριο.</w:t>
      </w:r>
    </w:p>
    <w:p w:rsidR="004945C0" w:rsidRPr="003A467B" w:rsidRDefault="004945C0" w:rsidP="00AD3869">
      <w:pPr>
        <w:pStyle w:val="Para0s"/>
        <w:jc w:val="both"/>
        <w:rPr>
          <w:szCs w:val="22"/>
        </w:rPr>
      </w:pPr>
    </w:p>
    <w:p w:rsidR="0084183B" w:rsidRPr="003A467B" w:rsidRDefault="0084183B" w:rsidP="00AD3869">
      <w:pPr>
        <w:pStyle w:val="Para0s"/>
        <w:jc w:val="both"/>
        <w:rPr>
          <w:szCs w:val="22"/>
        </w:rPr>
      </w:pPr>
      <w:r w:rsidRPr="003A467B">
        <w:rPr>
          <w:szCs w:val="22"/>
        </w:rPr>
        <w:t>Το Yasmin</w:t>
      </w:r>
      <w:r w:rsidR="005357D6" w:rsidRPr="003A467B">
        <w:rPr>
          <w:b/>
          <w:szCs w:val="22"/>
          <w:vertAlign w:val="superscript"/>
        </w:rPr>
        <w:t>®</w:t>
      </w:r>
      <w:r w:rsidRPr="003A467B">
        <w:rPr>
          <w:szCs w:val="22"/>
        </w:rPr>
        <w:t xml:space="preserve"> είναι ένα συνδυασμένο από του στόματος αντισυλληπτικό που περιέχει αιθινυλοιστραδιόλη και το προγεστερινοειδές δροσπιρενόνη. Σε θεραπευτική δόση, η δροσπιρενόνη έχει επίσης αντιανδρογενετικές και ελαφρές αντιαλατοκορτικοειδείς ιδιότητες. Δεν έχει οιστρογονική, γλυκοκορτικοειδή και αντιγλυκοκορτικοειδή δράση. Αυτό δίνει στη δροσπιρενόνη ένα φαρμακολογικό προφίλ, που μοιάζει πολύ με της φυσικής ορμόνης προγεστερόνη.</w:t>
      </w:r>
    </w:p>
    <w:p w:rsidR="00350EE4" w:rsidRPr="003A467B" w:rsidRDefault="00350EE4" w:rsidP="00AD3869">
      <w:pPr>
        <w:pStyle w:val="Para0s"/>
        <w:jc w:val="both"/>
        <w:rPr>
          <w:szCs w:val="22"/>
        </w:rPr>
      </w:pPr>
    </w:p>
    <w:p w:rsidR="0084183B" w:rsidRPr="003A467B" w:rsidRDefault="0084183B" w:rsidP="00AD3869">
      <w:pPr>
        <w:pStyle w:val="Para0s"/>
        <w:jc w:val="both"/>
        <w:rPr>
          <w:szCs w:val="22"/>
        </w:rPr>
      </w:pPr>
      <w:r w:rsidRPr="003A467B">
        <w:rPr>
          <w:szCs w:val="22"/>
        </w:rPr>
        <w:t>Υπάρχουν ενδείξεις από κλινικές μελέτες ότι οι ελαφρές αντιαλατοκορτικοειδείς ιδιότητες του Yasmin</w:t>
      </w:r>
      <w:r w:rsidR="004945C0" w:rsidRPr="003A467B">
        <w:rPr>
          <w:b/>
          <w:szCs w:val="22"/>
          <w:vertAlign w:val="superscript"/>
        </w:rPr>
        <w:t>®</w:t>
      </w:r>
      <w:r w:rsidRPr="003A467B">
        <w:rPr>
          <w:szCs w:val="22"/>
        </w:rPr>
        <w:t xml:space="preserve"> έχουν ως αποτέλεσμα μια ήπια αντιαλατοκορτικοειδή επίδραση.</w:t>
      </w:r>
    </w:p>
    <w:p w:rsidR="004945C0" w:rsidRPr="003A467B" w:rsidRDefault="004945C0" w:rsidP="00AD3869">
      <w:pPr>
        <w:pStyle w:val="Para0s"/>
        <w:jc w:val="both"/>
        <w:rPr>
          <w:szCs w:val="22"/>
        </w:rPr>
      </w:pPr>
    </w:p>
    <w:p w:rsidR="00A7398E" w:rsidRPr="003A467B" w:rsidRDefault="00A7398E" w:rsidP="00AD3869">
      <w:pPr>
        <w:pStyle w:val="Para0s"/>
        <w:jc w:val="both"/>
        <w:rPr>
          <w:szCs w:val="22"/>
        </w:rPr>
      </w:pPr>
    </w:p>
    <w:p w:rsidR="0084183B" w:rsidRPr="003A467B" w:rsidRDefault="0084183B" w:rsidP="00AD3869">
      <w:pPr>
        <w:pStyle w:val="2"/>
        <w:widowControl/>
        <w:ind w:left="0" w:firstLine="0"/>
        <w:jc w:val="both"/>
        <w:rPr>
          <w:szCs w:val="22"/>
          <w:lang w:val="en-GB"/>
        </w:rPr>
      </w:pPr>
      <w:r w:rsidRPr="003A467B">
        <w:rPr>
          <w:szCs w:val="22"/>
        </w:rPr>
        <w:t>5.2</w:t>
      </w:r>
      <w:r w:rsidRPr="003A467B">
        <w:rPr>
          <w:szCs w:val="22"/>
        </w:rPr>
        <w:tab/>
        <w:t>Φαρμακοκινητικές ιδιότητες</w:t>
      </w:r>
    </w:p>
    <w:p w:rsidR="004945C0" w:rsidRPr="003A467B" w:rsidRDefault="004945C0" w:rsidP="004945C0">
      <w:pPr>
        <w:pStyle w:val="Bullet0dKT"/>
        <w:keepNext/>
        <w:numPr>
          <w:ilvl w:val="0"/>
          <w:numId w:val="0"/>
        </w:numPr>
        <w:jc w:val="both"/>
        <w:rPr>
          <w:szCs w:val="22"/>
        </w:rPr>
      </w:pPr>
    </w:p>
    <w:p w:rsidR="0084183B" w:rsidRDefault="0084183B" w:rsidP="00AD3869">
      <w:pPr>
        <w:pStyle w:val="Bullet0dKT"/>
        <w:keepNext/>
        <w:numPr>
          <w:ilvl w:val="0"/>
          <w:numId w:val="9"/>
        </w:numPr>
        <w:ind w:left="0" w:firstLine="0"/>
        <w:jc w:val="both"/>
        <w:rPr>
          <w:szCs w:val="22"/>
        </w:rPr>
      </w:pPr>
      <w:r w:rsidRPr="003A467B">
        <w:rPr>
          <w:szCs w:val="22"/>
        </w:rPr>
        <w:t>Δροσπιρενόνη</w:t>
      </w:r>
    </w:p>
    <w:p w:rsidR="00CB555E" w:rsidRPr="003A467B" w:rsidRDefault="00CB555E" w:rsidP="00CB555E">
      <w:pPr>
        <w:pStyle w:val="Bullet0dKT"/>
        <w:keepNext/>
        <w:numPr>
          <w:ilvl w:val="0"/>
          <w:numId w:val="0"/>
        </w:numPr>
        <w:jc w:val="both"/>
        <w:rPr>
          <w:szCs w:val="22"/>
        </w:rPr>
      </w:pPr>
    </w:p>
    <w:p w:rsidR="0084183B" w:rsidRPr="003A467B" w:rsidRDefault="0084183B" w:rsidP="00AD3869">
      <w:pPr>
        <w:pStyle w:val="berschrift10"/>
        <w:keepNext/>
        <w:jc w:val="both"/>
        <w:rPr>
          <w:szCs w:val="22"/>
        </w:rPr>
      </w:pPr>
      <w:r w:rsidRPr="003A467B">
        <w:rPr>
          <w:szCs w:val="22"/>
        </w:rPr>
        <w:t>Απορρόφηση</w:t>
      </w:r>
    </w:p>
    <w:p w:rsidR="0084183B" w:rsidRPr="003A467B" w:rsidRDefault="002A1657" w:rsidP="00AD3869">
      <w:pPr>
        <w:pStyle w:val="Para0s"/>
        <w:keepNext/>
        <w:jc w:val="both"/>
        <w:rPr>
          <w:szCs w:val="22"/>
        </w:rPr>
      </w:pPr>
      <w:r w:rsidRPr="003A467B">
        <w:rPr>
          <w:szCs w:val="22"/>
        </w:rPr>
        <w:t xml:space="preserve">Η από του στόματος χορηγούμενη δροσπιρενόνη απορροφάται ταχέως και σχεδόν πλήρως. </w:t>
      </w:r>
      <w:r w:rsidR="000B60AA" w:rsidRPr="003A467B">
        <w:rPr>
          <w:szCs w:val="22"/>
        </w:rPr>
        <w:t xml:space="preserve">Μετά από εφάπαξ λήψη, </w:t>
      </w:r>
      <w:r w:rsidR="00441B8B" w:rsidRPr="003A467B">
        <w:rPr>
          <w:szCs w:val="22"/>
        </w:rPr>
        <w:t xml:space="preserve">επιτυγχάνονται </w:t>
      </w:r>
      <w:r w:rsidRPr="003A467B">
        <w:rPr>
          <w:szCs w:val="22"/>
        </w:rPr>
        <w:t xml:space="preserve">μέγιστες συγκεντρώσεις της δραστικής ουσίας στον ορό </w:t>
      </w:r>
      <w:r w:rsidR="00441B8B" w:rsidRPr="003A467B">
        <w:rPr>
          <w:szCs w:val="22"/>
        </w:rPr>
        <w:t>περίπου 38 ng/ml σε 1-2 ώρες. Η βιοδιαθεσιμότητα είναι μεταξύ 76 και 85%.</w:t>
      </w:r>
    </w:p>
    <w:p w:rsidR="00441B8B" w:rsidRPr="003A467B" w:rsidRDefault="00441B8B" w:rsidP="00AD3869">
      <w:pPr>
        <w:pStyle w:val="Para0s"/>
        <w:keepNext/>
        <w:jc w:val="both"/>
        <w:rPr>
          <w:szCs w:val="22"/>
        </w:rPr>
      </w:pPr>
    </w:p>
    <w:p w:rsidR="0084183B" w:rsidRPr="003A467B" w:rsidRDefault="0084183B" w:rsidP="00AD3869">
      <w:pPr>
        <w:pStyle w:val="Para0s"/>
        <w:jc w:val="both"/>
        <w:rPr>
          <w:szCs w:val="22"/>
        </w:rPr>
      </w:pPr>
      <w:r w:rsidRPr="003A467B">
        <w:rPr>
          <w:szCs w:val="22"/>
        </w:rPr>
        <w:t>Η ταυτόχρονη λήψη τροφής δεν έχει καμία επίδραση στη βιοδιαθεσιμότητα</w:t>
      </w:r>
      <w:r w:rsidR="00326667" w:rsidRPr="003A467B">
        <w:rPr>
          <w:szCs w:val="22"/>
        </w:rPr>
        <w:t xml:space="preserve"> της δροσπιρενόνης</w:t>
      </w:r>
      <w:r w:rsidRPr="003A467B">
        <w:rPr>
          <w:szCs w:val="22"/>
        </w:rPr>
        <w:t>.</w:t>
      </w:r>
    </w:p>
    <w:p w:rsidR="00263207" w:rsidRPr="003A467B" w:rsidRDefault="00263207" w:rsidP="00AD3869">
      <w:pPr>
        <w:pStyle w:val="Para0s"/>
        <w:jc w:val="both"/>
        <w:rPr>
          <w:szCs w:val="22"/>
        </w:rPr>
      </w:pPr>
    </w:p>
    <w:p w:rsidR="0084183B" w:rsidRPr="003A467B" w:rsidRDefault="0084183B" w:rsidP="00AD3869">
      <w:pPr>
        <w:pStyle w:val="berschrift10"/>
        <w:jc w:val="both"/>
        <w:rPr>
          <w:szCs w:val="22"/>
        </w:rPr>
      </w:pPr>
      <w:r w:rsidRPr="003A467B">
        <w:rPr>
          <w:szCs w:val="22"/>
        </w:rPr>
        <w:t>Κατανομή</w:t>
      </w:r>
    </w:p>
    <w:p w:rsidR="0084183B" w:rsidRPr="003A467B" w:rsidRDefault="0084183B" w:rsidP="00AD3869">
      <w:pPr>
        <w:pStyle w:val="Para0s"/>
        <w:jc w:val="both"/>
        <w:rPr>
          <w:szCs w:val="22"/>
        </w:rPr>
      </w:pPr>
      <w:r w:rsidRPr="003A467B">
        <w:rPr>
          <w:szCs w:val="22"/>
        </w:rPr>
        <w:t xml:space="preserve">Μετά από χορήγηση από το στόμα, τα επίπεδα της δροσπιρενόνης στον ορό μειώνονται </w:t>
      </w:r>
      <w:r w:rsidR="009D6EB6" w:rsidRPr="003A467B">
        <w:rPr>
          <w:szCs w:val="22"/>
        </w:rPr>
        <w:t>με τελικό χρόνο ημιζωής 31 ώρες</w:t>
      </w:r>
      <w:r w:rsidRPr="003A467B">
        <w:rPr>
          <w:szCs w:val="22"/>
        </w:rPr>
        <w:t xml:space="preserve">. Η δροσπιρενόνη δεσμεύεται με τη λευκωματίνη του ορού και δε δεσμεύεται </w:t>
      </w:r>
      <w:r w:rsidRPr="003A467B">
        <w:rPr>
          <w:szCs w:val="22"/>
        </w:rPr>
        <w:lastRenderedPageBreak/>
        <w:t>με τη σφαιρίνη που δεσμεύει τις ορμόνες του φύλου (SHBG) ή τη σφαιρίνη που δεσμεύει τα κορτικοειδή (CBG). Μόνο το 3-5% της ολικής συγκέντρωσης τ</w:t>
      </w:r>
      <w:r w:rsidR="00220B45" w:rsidRPr="003A467B">
        <w:rPr>
          <w:szCs w:val="22"/>
        </w:rPr>
        <w:t>ης δραστικής ουσίας</w:t>
      </w:r>
      <w:r w:rsidRPr="003A467B">
        <w:rPr>
          <w:szCs w:val="22"/>
        </w:rPr>
        <w:t xml:space="preserve"> στον ορό είναι παρόν ως ελεύθερο στεροειδές. Η αύξηση της SHBG που προκαλείται από την αιθινυλοιστραδιόλη δεν επηρεάζει τη δέσμευση της δροσπιρενόνης με τις </w:t>
      </w:r>
      <w:r w:rsidR="0049264B" w:rsidRPr="003A467B">
        <w:rPr>
          <w:szCs w:val="22"/>
        </w:rPr>
        <w:t>πρωτεΐνες</w:t>
      </w:r>
      <w:r w:rsidRPr="003A467B">
        <w:rPr>
          <w:szCs w:val="22"/>
        </w:rPr>
        <w:t xml:space="preserve"> του ορού. Ο μέσος φαινόμενος όγκος κατανομής της δροσπιρενόνης είναι 3,7 ± 1,2 l/kg.</w:t>
      </w:r>
    </w:p>
    <w:p w:rsidR="00263207" w:rsidRPr="003A467B" w:rsidRDefault="00263207" w:rsidP="00AD3869">
      <w:pPr>
        <w:pStyle w:val="Para0s"/>
        <w:jc w:val="both"/>
        <w:rPr>
          <w:szCs w:val="22"/>
        </w:rPr>
      </w:pPr>
    </w:p>
    <w:p w:rsidR="0084183B" w:rsidRPr="003A467B" w:rsidRDefault="0084183B" w:rsidP="00AD3869">
      <w:pPr>
        <w:pStyle w:val="berschrift10"/>
        <w:jc w:val="both"/>
        <w:rPr>
          <w:szCs w:val="22"/>
        </w:rPr>
      </w:pPr>
      <w:r w:rsidRPr="003A467B">
        <w:rPr>
          <w:szCs w:val="22"/>
        </w:rPr>
        <w:t>Μεταβολισμός</w:t>
      </w:r>
    </w:p>
    <w:p w:rsidR="0084183B" w:rsidRPr="003A467B" w:rsidRDefault="0084183B" w:rsidP="00AD3869">
      <w:pPr>
        <w:pStyle w:val="Para0s"/>
        <w:jc w:val="both"/>
        <w:rPr>
          <w:szCs w:val="22"/>
        </w:rPr>
      </w:pPr>
      <w:r w:rsidRPr="003A467B">
        <w:rPr>
          <w:szCs w:val="22"/>
        </w:rPr>
        <w:t xml:space="preserve">Μετά από χορήγηση από το στόμα, η δροσπιρενόνη μεταβολίζεται σε μεγάλο ποσοστό. Οι κύριοι μεταβολίτες στο πλάσμα είναι η μορφή οξέος, που παράγεται από το άνοιγμα του δακτυλίου της λακτόνης, και η 3-θειική 4,5-διυδρο-δροσπιρενόνη. Και οι δύο μεταβολίτες σχηματίζονται χωρίς τη συμμετοχή του συστήματος Ρ450. </w:t>
      </w:r>
      <w:r w:rsidR="00CF7D5F" w:rsidRPr="003A467B">
        <w:rPr>
          <w:szCs w:val="22"/>
        </w:rPr>
        <w:t>Η</w:t>
      </w:r>
      <w:r w:rsidRPr="003A467B">
        <w:rPr>
          <w:szCs w:val="22"/>
        </w:rPr>
        <w:t xml:space="preserve"> δροσπιρενόνη μεταβολίζεται σε μικρότερο ποσοστό από το κυτόχρωμα P450 3A4</w:t>
      </w:r>
      <w:r w:rsidR="00CF7D5F" w:rsidRPr="003A467B">
        <w:rPr>
          <w:szCs w:val="22"/>
        </w:rPr>
        <w:t xml:space="preserve"> και έχει επιδείξει ικανότητα να αναστέλλει αυτό το ένζυμο και το κυτόχρωμα P450 </w:t>
      </w:r>
      <w:r w:rsidR="00803E13" w:rsidRPr="003A467B">
        <w:rPr>
          <w:szCs w:val="22"/>
        </w:rPr>
        <w:t>1</w:t>
      </w:r>
      <w:r w:rsidR="00CF7D5F" w:rsidRPr="003A467B">
        <w:rPr>
          <w:szCs w:val="22"/>
        </w:rPr>
        <w:t>A</w:t>
      </w:r>
      <w:r w:rsidR="00803E13" w:rsidRPr="003A467B">
        <w:rPr>
          <w:szCs w:val="22"/>
        </w:rPr>
        <w:t>1, το κυτόχρωμα P450 2</w:t>
      </w:r>
      <w:r w:rsidR="00803E13" w:rsidRPr="003A467B">
        <w:rPr>
          <w:szCs w:val="22"/>
          <w:lang w:val="en-US"/>
        </w:rPr>
        <w:t>C</w:t>
      </w:r>
      <w:r w:rsidR="00803E13" w:rsidRPr="003A467B">
        <w:rPr>
          <w:szCs w:val="22"/>
        </w:rPr>
        <w:t xml:space="preserve">9 και το κυτόχρωμα P450 </w:t>
      </w:r>
      <w:r w:rsidR="00902763" w:rsidRPr="003A467B">
        <w:rPr>
          <w:szCs w:val="22"/>
        </w:rPr>
        <w:t>2</w:t>
      </w:r>
      <w:r w:rsidR="00902763" w:rsidRPr="003A467B">
        <w:rPr>
          <w:szCs w:val="22"/>
          <w:lang w:val="en-US"/>
        </w:rPr>
        <w:t>C</w:t>
      </w:r>
      <w:r w:rsidR="00902763" w:rsidRPr="003A467B">
        <w:rPr>
          <w:szCs w:val="22"/>
        </w:rPr>
        <w:t xml:space="preserve">19 </w:t>
      </w:r>
      <w:r w:rsidR="00932B8A" w:rsidRPr="003A467B">
        <w:rPr>
          <w:szCs w:val="22"/>
          <w:lang w:val="en-US"/>
        </w:rPr>
        <w:t>i</w:t>
      </w:r>
      <w:r w:rsidR="00902763" w:rsidRPr="003A467B">
        <w:rPr>
          <w:szCs w:val="22"/>
          <w:lang w:val="en-US"/>
        </w:rPr>
        <w:t>n</w:t>
      </w:r>
      <w:r w:rsidR="00902763" w:rsidRPr="003A467B">
        <w:rPr>
          <w:szCs w:val="22"/>
        </w:rPr>
        <w:t xml:space="preserve"> </w:t>
      </w:r>
      <w:r w:rsidR="00902763" w:rsidRPr="003A467B">
        <w:rPr>
          <w:szCs w:val="22"/>
          <w:lang w:val="en-US"/>
        </w:rPr>
        <w:t>vitro</w:t>
      </w:r>
      <w:r w:rsidRPr="003A467B">
        <w:rPr>
          <w:szCs w:val="22"/>
        </w:rPr>
        <w:t>.</w:t>
      </w:r>
    </w:p>
    <w:p w:rsidR="00263207" w:rsidRPr="003A467B" w:rsidRDefault="00263207" w:rsidP="00AD3869">
      <w:pPr>
        <w:pStyle w:val="Para0s"/>
        <w:jc w:val="both"/>
        <w:rPr>
          <w:szCs w:val="22"/>
        </w:rPr>
      </w:pPr>
    </w:p>
    <w:p w:rsidR="0084183B" w:rsidRPr="003A467B" w:rsidRDefault="0084183B" w:rsidP="00AD3869">
      <w:pPr>
        <w:pStyle w:val="berschrift10"/>
        <w:jc w:val="both"/>
        <w:rPr>
          <w:szCs w:val="22"/>
        </w:rPr>
      </w:pPr>
      <w:r w:rsidRPr="003A467B">
        <w:rPr>
          <w:szCs w:val="22"/>
        </w:rPr>
        <w:t>Απέκκριση</w:t>
      </w:r>
    </w:p>
    <w:p w:rsidR="0084183B" w:rsidRPr="003A467B" w:rsidRDefault="0084183B" w:rsidP="00AD3869">
      <w:pPr>
        <w:pStyle w:val="Para0s"/>
        <w:jc w:val="both"/>
        <w:rPr>
          <w:szCs w:val="22"/>
        </w:rPr>
      </w:pPr>
      <w:r w:rsidRPr="003A467B">
        <w:rPr>
          <w:szCs w:val="22"/>
        </w:rPr>
        <w:t>Ο ρυθμός μεταβολικής κάθαρσης της δροσπιρενόνης στον ορό είναι 1,5 ± 0,2</w:t>
      </w:r>
      <w:r w:rsidR="00263207" w:rsidRPr="003A467B">
        <w:rPr>
          <w:szCs w:val="22"/>
        </w:rPr>
        <w:t> </w:t>
      </w:r>
      <w:r w:rsidRPr="003A467B">
        <w:rPr>
          <w:szCs w:val="22"/>
        </w:rPr>
        <w:t>ml/</w:t>
      </w:r>
      <w:r w:rsidRPr="003A467B">
        <w:rPr>
          <w:szCs w:val="22"/>
          <w:lang w:val="en-US"/>
        </w:rPr>
        <w:t>min</w:t>
      </w:r>
      <w:r w:rsidRPr="003A467B">
        <w:rPr>
          <w:szCs w:val="22"/>
        </w:rPr>
        <w:t>/kg. Η δροσπιρενόνη απεκκρίνεται μόνο σε ελάχιστες ποσότητες σε αμετάβλητη μορφή. Οι μεταβολίτες της δροσπιρενόνης απεκκρίνονται με τα κόπρανα και τα ούρα, με λόγο απέκκρισης περίπου 1,2</w:t>
      </w:r>
      <w:r w:rsidR="001356F0">
        <w:rPr>
          <w:szCs w:val="22"/>
        </w:rPr>
        <w:t xml:space="preserve"> έως</w:t>
      </w:r>
      <w:r w:rsidRPr="003A467B">
        <w:rPr>
          <w:szCs w:val="22"/>
        </w:rPr>
        <w:t>1,4. Ο χρόνος ημιζωής της απέκκρισης των μεταβολιτών με τα ούρα και τα κόπρανα είναι περίπου 40 ώρες.</w:t>
      </w:r>
    </w:p>
    <w:p w:rsidR="00D70CC1" w:rsidRPr="003A467B" w:rsidRDefault="00D70CC1" w:rsidP="00AD3869">
      <w:pPr>
        <w:pStyle w:val="Para0s"/>
        <w:jc w:val="both"/>
        <w:rPr>
          <w:szCs w:val="22"/>
        </w:rPr>
      </w:pPr>
    </w:p>
    <w:p w:rsidR="0084183B" w:rsidRPr="003A467B" w:rsidRDefault="0084183B" w:rsidP="00AD3869">
      <w:pPr>
        <w:pStyle w:val="berschrift10"/>
        <w:jc w:val="both"/>
        <w:rPr>
          <w:szCs w:val="22"/>
        </w:rPr>
      </w:pPr>
      <w:r w:rsidRPr="003A467B">
        <w:rPr>
          <w:szCs w:val="22"/>
        </w:rPr>
        <w:t>Συνθήκες σταθεροποιημένης κατάστασης</w:t>
      </w:r>
    </w:p>
    <w:p w:rsidR="0084183B" w:rsidRPr="003A467B" w:rsidRDefault="0084183B" w:rsidP="00AD3869">
      <w:pPr>
        <w:pStyle w:val="Para0s"/>
        <w:jc w:val="both"/>
        <w:rPr>
          <w:szCs w:val="22"/>
        </w:rPr>
      </w:pPr>
      <w:r w:rsidRPr="003A467B">
        <w:rPr>
          <w:szCs w:val="22"/>
        </w:rPr>
        <w:t>Κατά τη διάρκεια ενός κύκλου αγωγής, οι μέγιστες συγκεντρώσεις σταθεροποιημένης κατάστασης της δροσπιρενόνη</w:t>
      </w:r>
      <w:r w:rsidR="00D70CC1" w:rsidRPr="003A467B">
        <w:rPr>
          <w:szCs w:val="22"/>
        </w:rPr>
        <w:t>ς στον ορό</w:t>
      </w:r>
      <w:r w:rsidR="00CB555E">
        <w:rPr>
          <w:szCs w:val="22"/>
        </w:rPr>
        <w:t>,</w:t>
      </w:r>
      <w:r w:rsidR="00D70CC1" w:rsidRPr="003A467B">
        <w:rPr>
          <w:szCs w:val="22"/>
        </w:rPr>
        <w:t xml:space="preserve"> που είναι περίπου </w:t>
      </w:r>
      <w:r w:rsidR="00913BAF" w:rsidRPr="003A467B">
        <w:rPr>
          <w:szCs w:val="22"/>
        </w:rPr>
        <w:t>7</w:t>
      </w:r>
      <w:r w:rsidR="00D70CC1" w:rsidRPr="003A467B">
        <w:rPr>
          <w:szCs w:val="22"/>
        </w:rPr>
        <w:t>0 </w:t>
      </w:r>
      <w:r w:rsidRPr="003A467B">
        <w:rPr>
          <w:szCs w:val="22"/>
        </w:rPr>
        <w:t>ng/ml</w:t>
      </w:r>
      <w:r w:rsidR="00CB555E">
        <w:rPr>
          <w:szCs w:val="22"/>
        </w:rPr>
        <w:t>,</w:t>
      </w:r>
      <w:r w:rsidRPr="003A467B">
        <w:rPr>
          <w:szCs w:val="22"/>
        </w:rPr>
        <w:t xml:space="preserve"> επιτυγχάνονται </w:t>
      </w:r>
      <w:r w:rsidR="00913BAF" w:rsidRPr="003A467B">
        <w:rPr>
          <w:szCs w:val="22"/>
        </w:rPr>
        <w:t xml:space="preserve">μετά από 8 περίπου ημέρες </w:t>
      </w:r>
      <w:r w:rsidRPr="003A467B">
        <w:rPr>
          <w:szCs w:val="22"/>
        </w:rPr>
        <w:t xml:space="preserve">της αγωγής. Τα επίπεδα της δροσπιρενόνης στον ορό συσσωρεύτηκαν με συντελεστή περίπου 3 ως συνέπεια του λόγου του τελικού χρόνου ημιζωής και του μεσοδιαστήματος των δόσεων. </w:t>
      </w:r>
    </w:p>
    <w:p w:rsidR="00D70CC1" w:rsidRPr="003A467B" w:rsidRDefault="00D70CC1" w:rsidP="00AD3869">
      <w:pPr>
        <w:pStyle w:val="Para0s"/>
        <w:jc w:val="both"/>
        <w:rPr>
          <w:szCs w:val="22"/>
        </w:rPr>
      </w:pPr>
    </w:p>
    <w:p w:rsidR="0057655F" w:rsidRPr="003A467B" w:rsidRDefault="0057655F" w:rsidP="0057655F">
      <w:pPr>
        <w:pStyle w:val="Para0s"/>
        <w:jc w:val="both"/>
        <w:rPr>
          <w:szCs w:val="22"/>
          <w:u w:val="single"/>
        </w:rPr>
      </w:pPr>
      <w:r w:rsidRPr="003A467B">
        <w:rPr>
          <w:szCs w:val="22"/>
          <w:u w:val="single"/>
        </w:rPr>
        <w:t>Ειδικοί πληθυσμοί</w:t>
      </w:r>
    </w:p>
    <w:p w:rsidR="008E40F1" w:rsidRPr="003A467B" w:rsidRDefault="008E40F1" w:rsidP="0057655F">
      <w:pPr>
        <w:pStyle w:val="Para0s"/>
        <w:jc w:val="both"/>
        <w:rPr>
          <w:i/>
          <w:szCs w:val="22"/>
        </w:rPr>
      </w:pPr>
    </w:p>
    <w:p w:rsidR="0057655F" w:rsidRPr="003A467B" w:rsidRDefault="0057655F" w:rsidP="0057655F">
      <w:pPr>
        <w:pStyle w:val="Para0s"/>
        <w:jc w:val="both"/>
        <w:rPr>
          <w:i/>
          <w:color w:val="000000"/>
          <w:szCs w:val="22"/>
        </w:rPr>
      </w:pPr>
      <w:r w:rsidRPr="003A467B">
        <w:rPr>
          <w:i/>
          <w:szCs w:val="22"/>
        </w:rPr>
        <w:t xml:space="preserve">Επίδραση της νεφρικής </w:t>
      </w:r>
      <w:r w:rsidRPr="003A467B">
        <w:rPr>
          <w:i/>
          <w:color w:val="000000"/>
          <w:szCs w:val="22"/>
        </w:rPr>
        <w:t xml:space="preserve">δυσλειτουργίας </w:t>
      </w:r>
    </w:p>
    <w:p w:rsidR="0057655F" w:rsidRPr="003A467B" w:rsidRDefault="0057655F" w:rsidP="0057655F">
      <w:pPr>
        <w:pStyle w:val="Para0s"/>
        <w:jc w:val="both"/>
        <w:rPr>
          <w:szCs w:val="22"/>
        </w:rPr>
      </w:pPr>
      <w:r w:rsidRPr="003A467B">
        <w:rPr>
          <w:color w:val="000000"/>
          <w:szCs w:val="22"/>
        </w:rPr>
        <w:t xml:space="preserve">Σε σταθεροποιημένη κατάσταση, τα επίπεδα ορού της </w:t>
      </w:r>
      <w:r w:rsidRPr="003A467B">
        <w:rPr>
          <w:szCs w:val="22"/>
        </w:rPr>
        <w:t xml:space="preserve">δροσπιρενόνης </w:t>
      </w:r>
      <w:r w:rsidRPr="003A467B">
        <w:rPr>
          <w:color w:val="000000"/>
          <w:szCs w:val="22"/>
        </w:rPr>
        <w:t>σε γυναίκες με ήπια</w:t>
      </w:r>
      <w:r w:rsidRPr="003A467B">
        <w:rPr>
          <w:szCs w:val="22"/>
        </w:rPr>
        <w:t xml:space="preserve"> νεφρική </w:t>
      </w:r>
      <w:r w:rsidRPr="003A467B">
        <w:rPr>
          <w:color w:val="000000"/>
          <w:szCs w:val="22"/>
        </w:rPr>
        <w:t>δυσλειτουργία (κάθαρση κρεατινίνης CL</w:t>
      </w:r>
      <w:r w:rsidRPr="003A467B">
        <w:rPr>
          <w:color w:val="000000"/>
          <w:szCs w:val="22"/>
          <w:vertAlign w:val="subscript"/>
        </w:rPr>
        <w:t>cr</w:t>
      </w:r>
      <w:r w:rsidRPr="003A467B">
        <w:rPr>
          <w:color w:val="000000"/>
          <w:szCs w:val="22"/>
        </w:rPr>
        <w:t xml:space="preserve">, 50-80 ml/min) ήταν συγκρίσιμα με εκείνα της ομάδας με φυσιολογική νεφρική λειτουργία. Τα επίπεδα ορού της </w:t>
      </w:r>
      <w:r w:rsidRPr="003A467B">
        <w:rPr>
          <w:szCs w:val="22"/>
        </w:rPr>
        <w:t xml:space="preserve">δροσπιρενόνης </w:t>
      </w:r>
      <w:r w:rsidRPr="003A467B">
        <w:rPr>
          <w:color w:val="000000"/>
          <w:szCs w:val="22"/>
        </w:rPr>
        <w:t xml:space="preserve">ήταν κατά μέσο όρο 37% υψηλότερα στην ομάδα με μέτρια </w:t>
      </w:r>
      <w:r w:rsidRPr="003A467B">
        <w:rPr>
          <w:szCs w:val="22"/>
        </w:rPr>
        <w:t xml:space="preserve">νεφρική </w:t>
      </w:r>
      <w:r w:rsidRPr="003A467B">
        <w:rPr>
          <w:color w:val="000000"/>
          <w:szCs w:val="22"/>
        </w:rPr>
        <w:t>δυσλειτουργία (CL</w:t>
      </w:r>
      <w:r w:rsidRPr="003A467B">
        <w:rPr>
          <w:color w:val="000000"/>
          <w:szCs w:val="22"/>
          <w:vertAlign w:val="subscript"/>
        </w:rPr>
        <w:t>cr</w:t>
      </w:r>
      <w:r w:rsidRPr="003A467B">
        <w:rPr>
          <w:color w:val="000000"/>
          <w:szCs w:val="22"/>
        </w:rPr>
        <w:t>, 30-50 ml/min)</w:t>
      </w:r>
      <w:r w:rsidR="005956EA">
        <w:rPr>
          <w:color w:val="000000"/>
          <w:szCs w:val="22"/>
        </w:rPr>
        <w:t>,</w:t>
      </w:r>
      <w:r w:rsidRPr="003A467B">
        <w:rPr>
          <w:color w:val="000000"/>
          <w:szCs w:val="22"/>
        </w:rPr>
        <w:t xml:space="preserve"> σε σύγκριση με τις γυναίκες που είχαν φυσιολογική νεφρική λειτουργία. </w:t>
      </w:r>
      <w:proofErr w:type="gramStart"/>
      <w:r w:rsidRPr="003A467B">
        <w:rPr>
          <w:color w:val="000000"/>
          <w:szCs w:val="22"/>
          <w:lang w:val="en-US"/>
        </w:rPr>
        <w:t>H</w:t>
      </w:r>
      <w:r w:rsidRPr="003A467B">
        <w:rPr>
          <w:color w:val="000000"/>
          <w:szCs w:val="22"/>
        </w:rPr>
        <w:t xml:space="preserve"> θεραπεία με δροσπιρενόνη έγινε</w:t>
      </w:r>
      <w:r w:rsidR="00C775EF" w:rsidRPr="003A467B">
        <w:rPr>
          <w:color w:val="000000"/>
          <w:szCs w:val="22"/>
        </w:rPr>
        <w:t xml:space="preserve"> επίσης</w:t>
      </w:r>
      <w:r w:rsidRPr="003A467B">
        <w:rPr>
          <w:color w:val="000000"/>
          <w:szCs w:val="22"/>
        </w:rPr>
        <w:t xml:space="preserve"> καλά ανεκτή από </w:t>
      </w:r>
      <w:r w:rsidR="00C775EF" w:rsidRPr="003A467B">
        <w:rPr>
          <w:color w:val="000000"/>
          <w:szCs w:val="22"/>
        </w:rPr>
        <w:t>γυναίκες με ήπια</w:t>
      </w:r>
      <w:r w:rsidR="00C775EF" w:rsidRPr="003A467B">
        <w:rPr>
          <w:szCs w:val="22"/>
        </w:rPr>
        <w:t xml:space="preserve"> </w:t>
      </w:r>
      <w:r w:rsidR="009266B7" w:rsidRPr="003A467B">
        <w:rPr>
          <w:szCs w:val="22"/>
        </w:rPr>
        <w:t xml:space="preserve">και </w:t>
      </w:r>
      <w:r w:rsidR="00C775EF" w:rsidRPr="003A467B">
        <w:rPr>
          <w:szCs w:val="22"/>
        </w:rPr>
        <w:t xml:space="preserve">μέτρια νεφρική </w:t>
      </w:r>
      <w:r w:rsidR="00C775EF" w:rsidRPr="003A467B">
        <w:rPr>
          <w:color w:val="000000"/>
          <w:szCs w:val="22"/>
        </w:rPr>
        <w:t>δυσλειτουργία</w:t>
      </w:r>
      <w:r w:rsidRPr="003A467B">
        <w:rPr>
          <w:color w:val="000000"/>
          <w:szCs w:val="22"/>
        </w:rPr>
        <w:t>.</w:t>
      </w:r>
      <w:proofErr w:type="gramEnd"/>
      <w:r w:rsidRPr="003A467B">
        <w:rPr>
          <w:color w:val="000000"/>
          <w:szCs w:val="22"/>
        </w:rPr>
        <w:t xml:space="preserve"> Η θεραπεία με δροσπιρενόνη δεν έδειξε καμία κλινικά σημαντική επίδραση στη συγκέντρωση του καλίου στον ορό.</w:t>
      </w:r>
    </w:p>
    <w:p w:rsidR="0057655F" w:rsidRPr="003A467B" w:rsidRDefault="0057655F" w:rsidP="0057655F">
      <w:pPr>
        <w:pStyle w:val="Para0s"/>
        <w:jc w:val="both"/>
        <w:rPr>
          <w:i/>
          <w:szCs w:val="22"/>
        </w:rPr>
      </w:pPr>
    </w:p>
    <w:p w:rsidR="0057655F" w:rsidRPr="003A467B" w:rsidRDefault="0057655F" w:rsidP="0057655F">
      <w:pPr>
        <w:pStyle w:val="Para0s"/>
        <w:jc w:val="both"/>
        <w:rPr>
          <w:i/>
          <w:color w:val="000000"/>
          <w:szCs w:val="22"/>
        </w:rPr>
      </w:pPr>
      <w:r w:rsidRPr="003A467B">
        <w:rPr>
          <w:i/>
          <w:szCs w:val="22"/>
        </w:rPr>
        <w:t xml:space="preserve">Επίδραση της ηπατικής </w:t>
      </w:r>
      <w:r w:rsidRPr="003A467B">
        <w:rPr>
          <w:i/>
          <w:color w:val="000000"/>
          <w:szCs w:val="22"/>
        </w:rPr>
        <w:t>δυσλειτουργίας</w:t>
      </w:r>
    </w:p>
    <w:p w:rsidR="0057655F" w:rsidRPr="003A467B" w:rsidRDefault="002D5FA6" w:rsidP="0057655F">
      <w:pPr>
        <w:pStyle w:val="Para0s"/>
        <w:jc w:val="both"/>
        <w:rPr>
          <w:szCs w:val="22"/>
        </w:rPr>
      </w:pPr>
      <w:r w:rsidRPr="003A467B">
        <w:rPr>
          <w:color w:val="000000"/>
          <w:szCs w:val="22"/>
        </w:rPr>
        <w:t>Σε μία μελέτη εφάπαξ δόσης, η από του στόματος κάθαρση (CL/f) μειώθηκε περίπου 50%</w:t>
      </w:r>
      <w:r w:rsidR="002030A0" w:rsidRPr="003A467B">
        <w:rPr>
          <w:color w:val="000000"/>
          <w:szCs w:val="22"/>
        </w:rPr>
        <w:t xml:space="preserve"> σε</w:t>
      </w:r>
      <w:r w:rsidRPr="003A467B">
        <w:rPr>
          <w:color w:val="000000"/>
          <w:szCs w:val="22"/>
        </w:rPr>
        <w:t xml:space="preserve"> </w:t>
      </w:r>
      <w:r w:rsidR="002030A0" w:rsidRPr="003A467B">
        <w:rPr>
          <w:color w:val="000000"/>
          <w:szCs w:val="22"/>
        </w:rPr>
        <w:t>εθελόντριες με μέτρια ηπατική δυσλειτουργία</w:t>
      </w:r>
      <w:r w:rsidR="004E6371">
        <w:rPr>
          <w:color w:val="000000"/>
          <w:szCs w:val="22"/>
        </w:rPr>
        <w:t>,</w:t>
      </w:r>
      <w:r w:rsidR="002030A0" w:rsidRPr="003A467B">
        <w:rPr>
          <w:color w:val="000000"/>
          <w:szCs w:val="22"/>
        </w:rPr>
        <w:t xml:space="preserve"> σε σύγκριση με εκείνες που είχαν φυσιολογική ηπατική λειτουργία</w:t>
      </w:r>
      <w:r w:rsidR="00761F60" w:rsidRPr="003A467B">
        <w:rPr>
          <w:color w:val="000000"/>
          <w:szCs w:val="22"/>
        </w:rPr>
        <w:t>.</w:t>
      </w:r>
      <w:r w:rsidRPr="003A467B">
        <w:rPr>
          <w:color w:val="000000"/>
          <w:szCs w:val="22"/>
        </w:rPr>
        <w:t xml:space="preserve"> </w:t>
      </w:r>
      <w:r w:rsidR="0057655F" w:rsidRPr="003A467B">
        <w:rPr>
          <w:color w:val="000000"/>
          <w:szCs w:val="22"/>
        </w:rPr>
        <w:t xml:space="preserve">Η μείωση που παρατηρήθηκε στην κάθαρση της </w:t>
      </w:r>
      <w:r w:rsidR="0057655F" w:rsidRPr="003A467B">
        <w:rPr>
          <w:szCs w:val="22"/>
        </w:rPr>
        <w:t>δροσπιρενόνης</w:t>
      </w:r>
      <w:r w:rsidR="0057655F" w:rsidRPr="003A467B">
        <w:rPr>
          <w:color w:val="000000"/>
          <w:szCs w:val="22"/>
        </w:rPr>
        <w:t>, σε εθελόντριες με μέτρια ηπατική δυσλειτουργία, σε σύγκριση με εκείνες που είχαν φυσιολογική ηπατική λειτουργία, δε</w:t>
      </w:r>
      <w:r w:rsidR="001356F0">
        <w:rPr>
          <w:color w:val="000000"/>
          <w:szCs w:val="22"/>
        </w:rPr>
        <w:t xml:space="preserve"> μεταφράστηκε σε κάποια εμφανή </w:t>
      </w:r>
      <w:r w:rsidR="0057655F" w:rsidRPr="003A467B">
        <w:rPr>
          <w:color w:val="000000"/>
          <w:szCs w:val="22"/>
        </w:rPr>
        <w:t xml:space="preserve">διαφορά </w:t>
      </w:r>
      <w:r w:rsidR="00673AFF">
        <w:rPr>
          <w:color w:val="000000"/>
          <w:szCs w:val="22"/>
        </w:rPr>
        <w:t xml:space="preserve">ως προς </w:t>
      </w:r>
      <w:r w:rsidR="0057655F" w:rsidRPr="003A467B">
        <w:rPr>
          <w:color w:val="000000"/>
          <w:szCs w:val="22"/>
        </w:rPr>
        <w:t>τη συγκέντρωση του καλίου</w:t>
      </w:r>
      <w:r w:rsidR="00761F60" w:rsidRPr="003A467B">
        <w:rPr>
          <w:color w:val="000000"/>
          <w:szCs w:val="22"/>
        </w:rPr>
        <w:t xml:space="preserve">. </w:t>
      </w:r>
      <w:r w:rsidR="0057655F" w:rsidRPr="003A467B">
        <w:rPr>
          <w:color w:val="000000"/>
          <w:szCs w:val="22"/>
        </w:rPr>
        <w:t>Ακόμη και σε παρουσία διαβήτη και συγχορηγούμενης θεραπείας με σπειρονολακτόνη (δύο παράγοντες που μπορούν να προδιαθέσουν την ασθενή για υπερκαλιαιμία), δεν παρατηρήθηκε αύξηση της συγκέντρωσης του καλίου στον ορό πέραν του ανώτερου ορίου του φυσιολογικού εύρους. Συμπεραίνεται ότι η δροσπιρενόνη είναι καλά ανεκτή σε ασθενείς με ήπια ή μέτρια ηπατική δυσλειτουργία (Child Pugh B).</w:t>
      </w:r>
    </w:p>
    <w:p w:rsidR="0057655F" w:rsidRPr="003A467B" w:rsidRDefault="0057655F" w:rsidP="0057655F">
      <w:pPr>
        <w:pStyle w:val="Para0s"/>
        <w:jc w:val="both"/>
        <w:rPr>
          <w:i/>
          <w:szCs w:val="22"/>
        </w:rPr>
      </w:pPr>
    </w:p>
    <w:p w:rsidR="0057655F" w:rsidRPr="003A467B" w:rsidRDefault="0057655F" w:rsidP="0057655F">
      <w:pPr>
        <w:pStyle w:val="Para0s"/>
        <w:jc w:val="both"/>
        <w:rPr>
          <w:i/>
          <w:szCs w:val="22"/>
        </w:rPr>
      </w:pPr>
      <w:r w:rsidRPr="003A467B">
        <w:rPr>
          <w:i/>
          <w:szCs w:val="22"/>
        </w:rPr>
        <w:t>Ομάδες διαφορετικής εθνικότητας</w:t>
      </w:r>
    </w:p>
    <w:p w:rsidR="0057655F" w:rsidRPr="003A467B" w:rsidRDefault="008E40F1" w:rsidP="00AD3869">
      <w:pPr>
        <w:pStyle w:val="Para0s"/>
        <w:jc w:val="both"/>
        <w:rPr>
          <w:szCs w:val="22"/>
        </w:rPr>
      </w:pPr>
      <w:r w:rsidRPr="003A467B">
        <w:rPr>
          <w:szCs w:val="22"/>
        </w:rPr>
        <w:t>Δεν έχουν παρατηρηθεί κλινικά σημαντικές διαφορές στη φαρμακοκινητι</w:t>
      </w:r>
      <w:r w:rsidR="00EF38A2">
        <w:rPr>
          <w:szCs w:val="22"/>
        </w:rPr>
        <w:t>κή της δροσπιρενόνης ή της  αιθι</w:t>
      </w:r>
      <w:r w:rsidRPr="003A467B">
        <w:rPr>
          <w:szCs w:val="22"/>
        </w:rPr>
        <w:t>νυλοιστραδιόλης μεταξύ των Καυκα</w:t>
      </w:r>
      <w:r w:rsidR="00615902">
        <w:rPr>
          <w:szCs w:val="22"/>
        </w:rPr>
        <w:t>σιανών και των Γι</w:t>
      </w:r>
      <w:r w:rsidRPr="003A467B">
        <w:rPr>
          <w:szCs w:val="22"/>
        </w:rPr>
        <w:t>απωνέζων.</w:t>
      </w:r>
    </w:p>
    <w:p w:rsidR="00C030E3" w:rsidRPr="003A467B" w:rsidRDefault="00C030E3" w:rsidP="00AD3869">
      <w:pPr>
        <w:pStyle w:val="Para0s"/>
        <w:jc w:val="both"/>
        <w:rPr>
          <w:szCs w:val="22"/>
        </w:rPr>
      </w:pPr>
    </w:p>
    <w:p w:rsidR="0084183B" w:rsidRDefault="0084183B" w:rsidP="00AD3869">
      <w:pPr>
        <w:pStyle w:val="Bullet0dKT"/>
        <w:keepNext/>
        <w:numPr>
          <w:ilvl w:val="0"/>
          <w:numId w:val="11"/>
        </w:numPr>
        <w:ind w:left="0" w:firstLine="0"/>
        <w:jc w:val="both"/>
        <w:rPr>
          <w:szCs w:val="22"/>
        </w:rPr>
      </w:pPr>
      <w:r w:rsidRPr="003A467B">
        <w:rPr>
          <w:szCs w:val="22"/>
        </w:rPr>
        <w:lastRenderedPageBreak/>
        <w:t xml:space="preserve">Αιθινυλοιστραδιόλη </w:t>
      </w:r>
    </w:p>
    <w:p w:rsidR="00615902" w:rsidRPr="003A467B" w:rsidRDefault="00615902" w:rsidP="00615902">
      <w:pPr>
        <w:pStyle w:val="Bullet0dKT"/>
        <w:keepNext/>
        <w:numPr>
          <w:ilvl w:val="0"/>
          <w:numId w:val="0"/>
        </w:numPr>
        <w:jc w:val="both"/>
        <w:rPr>
          <w:szCs w:val="22"/>
        </w:rPr>
      </w:pPr>
    </w:p>
    <w:p w:rsidR="0084183B" w:rsidRPr="003A467B" w:rsidRDefault="0084183B" w:rsidP="00AD3869">
      <w:pPr>
        <w:pStyle w:val="berschrift10"/>
        <w:keepNext/>
        <w:jc w:val="both"/>
        <w:rPr>
          <w:szCs w:val="22"/>
        </w:rPr>
      </w:pPr>
      <w:r w:rsidRPr="003A467B">
        <w:rPr>
          <w:szCs w:val="22"/>
        </w:rPr>
        <w:t>Απορρόφηση</w:t>
      </w:r>
    </w:p>
    <w:p w:rsidR="0084183B" w:rsidRPr="003A467B" w:rsidRDefault="0084183B" w:rsidP="00AD3869">
      <w:pPr>
        <w:pStyle w:val="Para0s"/>
        <w:keepNext/>
        <w:jc w:val="both"/>
        <w:rPr>
          <w:szCs w:val="22"/>
        </w:rPr>
      </w:pPr>
      <w:r w:rsidRPr="003A467B">
        <w:rPr>
          <w:szCs w:val="22"/>
        </w:rPr>
        <w:t>Η αιθινυλοιστραδιόλη απορροφάται ταχέως και πλήρως μετά τη</w:t>
      </w:r>
      <w:r w:rsidR="00D70CC1" w:rsidRPr="003A467B">
        <w:rPr>
          <w:szCs w:val="22"/>
        </w:rPr>
        <w:t>ν πρόσληψη. Μετά τη χορήγηση 30 </w:t>
      </w:r>
      <w:r w:rsidRPr="003A467B">
        <w:rPr>
          <w:szCs w:val="22"/>
        </w:rPr>
        <w:t>μg, επιτυγχάνονται μέγιστες συγκεντρώσεις στο πλάσμα 100 pg/ml 1-2 ώρες μετά τη λήψη. Η αιθινυλοιστραδιόλη υποβάλλεται σε μεγάλο ποσοστό σε μεταβολισμό πρώτης διόδου.</w:t>
      </w:r>
      <w:r w:rsidR="005A44E3" w:rsidRPr="003A467B">
        <w:rPr>
          <w:szCs w:val="22"/>
        </w:rPr>
        <w:t xml:space="preserve"> </w:t>
      </w:r>
      <w:r w:rsidRPr="003A467B">
        <w:rPr>
          <w:szCs w:val="22"/>
        </w:rPr>
        <w:t>Το ποσοστό αυτό</w:t>
      </w:r>
      <w:r w:rsidR="005A44E3" w:rsidRPr="003A467B">
        <w:rPr>
          <w:szCs w:val="22"/>
        </w:rPr>
        <w:t xml:space="preserve"> </w:t>
      </w:r>
      <w:r w:rsidRPr="003A467B">
        <w:rPr>
          <w:szCs w:val="22"/>
        </w:rPr>
        <w:t>παρουσιάζει μεγάλη ποικιλία από άτομο σε άτομο. Η απόλυτη βιοδιαθεσιμότητα είναι περίπου 45%.</w:t>
      </w:r>
    </w:p>
    <w:p w:rsidR="00D70CC1" w:rsidRPr="003A467B" w:rsidRDefault="00D70CC1" w:rsidP="00AD3869">
      <w:pPr>
        <w:pStyle w:val="Para0s"/>
        <w:keepNext/>
        <w:jc w:val="both"/>
        <w:rPr>
          <w:szCs w:val="22"/>
        </w:rPr>
      </w:pPr>
    </w:p>
    <w:p w:rsidR="0084183B" w:rsidRPr="003A467B" w:rsidRDefault="0084183B" w:rsidP="00AD3869">
      <w:pPr>
        <w:pStyle w:val="berschrift10"/>
        <w:keepNext/>
        <w:jc w:val="both"/>
        <w:rPr>
          <w:szCs w:val="22"/>
        </w:rPr>
      </w:pPr>
      <w:r w:rsidRPr="003A467B">
        <w:rPr>
          <w:szCs w:val="22"/>
        </w:rPr>
        <w:t>Κατανομή</w:t>
      </w:r>
    </w:p>
    <w:p w:rsidR="0084183B" w:rsidRPr="003A467B" w:rsidRDefault="0084183B" w:rsidP="00AD3869">
      <w:pPr>
        <w:pStyle w:val="Para0s"/>
        <w:keepNext/>
        <w:jc w:val="both"/>
        <w:rPr>
          <w:szCs w:val="22"/>
        </w:rPr>
      </w:pPr>
      <w:r w:rsidRPr="003A467B">
        <w:rPr>
          <w:szCs w:val="22"/>
        </w:rPr>
        <w:t>Η αιθινυλοιστραδιόλη έχει φαινόμενο όγκο κατανομής 5</w:t>
      </w:r>
      <w:r w:rsidR="00D70CC1" w:rsidRPr="003A467B">
        <w:rPr>
          <w:szCs w:val="22"/>
        </w:rPr>
        <w:t> </w:t>
      </w:r>
      <w:r w:rsidRPr="003A467B">
        <w:rPr>
          <w:szCs w:val="22"/>
        </w:rPr>
        <w:t>l/kg και η δέσμευση με πρωτεΐνες του πλάσματος είναι περίπου 98%. Η αιθινυλοιστραδιόλη επάγει την ηπατική σύνθεση της σφαιρίνης που δεσμεύει τις ορμόνες του φύλου (</w:t>
      </w:r>
      <w:r w:rsidRPr="003A467B">
        <w:rPr>
          <w:szCs w:val="22"/>
          <w:lang w:val="en-US"/>
        </w:rPr>
        <w:t>SHBG</w:t>
      </w:r>
      <w:r w:rsidRPr="003A467B">
        <w:rPr>
          <w:szCs w:val="22"/>
        </w:rPr>
        <w:t>) και της σφαιρίνης που δεσμεύει τα κορτικοειδή (CBG). Κατ</w:t>
      </w:r>
      <w:r w:rsidR="00AA2B3F" w:rsidRPr="003A467B">
        <w:rPr>
          <w:szCs w:val="22"/>
        </w:rPr>
        <w:t>ά τη διάρκεια της αγωγής με 30 </w:t>
      </w:r>
      <w:r w:rsidRPr="003A467B">
        <w:rPr>
          <w:szCs w:val="22"/>
        </w:rPr>
        <w:t>μg αιθινυλοιστραδιόλης η συγκέντρωση της σφαιρίνης δέσμευσης των κορτικοειδών στο πλάσμα αυξάνεται από 70 σε περίπου 350</w:t>
      </w:r>
      <w:r w:rsidR="00D70CC1" w:rsidRPr="003A467B">
        <w:rPr>
          <w:szCs w:val="22"/>
        </w:rPr>
        <w:t> </w:t>
      </w:r>
      <w:r w:rsidRPr="003A467B">
        <w:rPr>
          <w:szCs w:val="22"/>
        </w:rPr>
        <w:t>nmol/l.</w:t>
      </w:r>
    </w:p>
    <w:p w:rsidR="0084183B" w:rsidRPr="003A467B" w:rsidRDefault="0084183B" w:rsidP="00AD3869">
      <w:pPr>
        <w:pStyle w:val="Para0s"/>
        <w:jc w:val="both"/>
        <w:rPr>
          <w:szCs w:val="22"/>
        </w:rPr>
      </w:pPr>
      <w:r w:rsidRPr="003A467B">
        <w:rPr>
          <w:szCs w:val="22"/>
        </w:rPr>
        <w:t>Η αιθινυλοιστραδιόλη περνάει σε μικρές ποσότητες στο μητρικό γάλα (0,02% της δόσης).</w:t>
      </w:r>
    </w:p>
    <w:p w:rsidR="00D70CC1" w:rsidRPr="003A467B" w:rsidRDefault="00D70CC1" w:rsidP="00AD3869">
      <w:pPr>
        <w:pStyle w:val="Para0s"/>
        <w:jc w:val="both"/>
        <w:rPr>
          <w:szCs w:val="22"/>
        </w:rPr>
      </w:pPr>
    </w:p>
    <w:p w:rsidR="0084183B" w:rsidRPr="003A467B" w:rsidRDefault="0084183B" w:rsidP="00AD3869">
      <w:pPr>
        <w:pStyle w:val="berschrift10"/>
        <w:jc w:val="both"/>
        <w:rPr>
          <w:szCs w:val="22"/>
        </w:rPr>
      </w:pPr>
      <w:r w:rsidRPr="003A467B">
        <w:rPr>
          <w:szCs w:val="22"/>
        </w:rPr>
        <w:t>Μεταβολισμός</w:t>
      </w:r>
    </w:p>
    <w:p w:rsidR="0084183B" w:rsidRPr="003A467B" w:rsidRDefault="0084183B" w:rsidP="00AD3869">
      <w:pPr>
        <w:pStyle w:val="Para0s"/>
        <w:jc w:val="both"/>
        <w:rPr>
          <w:szCs w:val="22"/>
        </w:rPr>
      </w:pPr>
      <w:r w:rsidRPr="003A467B">
        <w:rPr>
          <w:szCs w:val="22"/>
        </w:rPr>
        <w:t>Η αιθινυλοιστραδιόλη μεταβολίζεται πλήρως (μεταβολική κάθαρση πλάσματος 5 m</w:t>
      </w:r>
      <w:r w:rsidRPr="003A467B">
        <w:rPr>
          <w:szCs w:val="22"/>
          <w:lang w:val="en-US"/>
        </w:rPr>
        <w:t>l</w:t>
      </w:r>
      <w:r w:rsidRPr="003A467B">
        <w:rPr>
          <w:szCs w:val="22"/>
        </w:rPr>
        <w:t>/</w:t>
      </w:r>
      <w:r w:rsidRPr="003A467B">
        <w:rPr>
          <w:szCs w:val="22"/>
          <w:lang w:val="en-US"/>
        </w:rPr>
        <w:t>min</w:t>
      </w:r>
      <w:r w:rsidRPr="003A467B">
        <w:rPr>
          <w:szCs w:val="22"/>
        </w:rPr>
        <w:t>/kg).</w:t>
      </w:r>
    </w:p>
    <w:p w:rsidR="00D70CC1" w:rsidRPr="003A467B" w:rsidRDefault="00D70CC1" w:rsidP="00AD3869">
      <w:pPr>
        <w:pStyle w:val="berschrift10"/>
        <w:jc w:val="both"/>
        <w:rPr>
          <w:szCs w:val="22"/>
        </w:rPr>
      </w:pPr>
    </w:p>
    <w:p w:rsidR="0084183B" w:rsidRPr="003A467B" w:rsidRDefault="0084183B" w:rsidP="00AD3869">
      <w:pPr>
        <w:pStyle w:val="berschrift10"/>
        <w:jc w:val="both"/>
        <w:rPr>
          <w:szCs w:val="22"/>
        </w:rPr>
      </w:pPr>
      <w:r w:rsidRPr="003A467B">
        <w:rPr>
          <w:szCs w:val="22"/>
        </w:rPr>
        <w:t>Απέκκριση</w:t>
      </w:r>
    </w:p>
    <w:p w:rsidR="0084183B" w:rsidRPr="003A467B" w:rsidRDefault="0084183B" w:rsidP="00AD3869">
      <w:pPr>
        <w:pStyle w:val="Para0s"/>
        <w:jc w:val="both"/>
        <w:rPr>
          <w:szCs w:val="22"/>
        </w:rPr>
      </w:pPr>
      <w:r w:rsidRPr="003A467B">
        <w:rPr>
          <w:szCs w:val="22"/>
        </w:rPr>
        <w:t>Η αιθινυλοιστραδιόλη δεν απεκκρίνεται σε αμετάβλητη μορφή σε σημαντική ποσότητα. Οι μεταβολίτες της αιθινυλοιστραδιόλης απεκκρίνονται με τα ούρα και τη χολή σε λόγο 4:6. Ο χρόνος ημιζωής της απέκκρισης των μεταβολιτών είναι περίπου 1 ημέρα. Ο χρόνος ημιζωής απέκκρισης είναι περίπου 20</w:t>
      </w:r>
      <w:r w:rsidR="00D70CC1" w:rsidRPr="003A467B">
        <w:rPr>
          <w:szCs w:val="22"/>
        </w:rPr>
        <w:t> </w:t>
      </w:r>
      <w:r w:rsidRPr="003A467B">
        <w:rPr>
          <w:szCs w:val="22"/>
        </w:rPr>
        <w:t>ώρες.</w:t>
      </w:r>
    </w:p>
    <w:p w:rsidR="00D70CC1" w:rsidRPr="003A467B" w:rsidRDefault="00D70CC1" w:rsidP="00AD3869">
      <w:pPr>
        <w:pStyle w:val="berschrift10"/>
        <w:jc w:val="both"/>
        <w:rPr>
          <w:szCs w:val="22"/>
        </w:rPr>
      </w:pPr>
    </w:p>
    <w:p w:rsidR="0084183B" w:rsidRPr="003A467B" w:rsidRDefault="0084183B" w:rsidP="00AD3869">
      <w:pPr>
        <w:pStyle w:val="berschrift10"/>
        <w:jc w:val="both"/>
        <w:rPr>
          <w:szCs w:val="22"/>
        </w:rPr>
      </w:pPr>
      <w:r w:rsidRPr="003A467B">
        <w:rPr>
          <w:szCs w:val="22"/>
        </w:rPr>
        <w:t>Συνθήκες σταθεροποιημένης κατάστασης</w:t>
      </w:r>
    </w:p>
    <w:p w:rsidR="0084183B" w:rsidRPr="003A467B" w:rsidRDefault="0084183B" w:rsidP="00AD3869">
      <w:pPr>
        <w:pStyle w:val="Para0s"/>
        <w:jc w:val="both"/>
        <w:rPr>
          <w:szCs w:val="22"/>
        </w:rPr>
      </w:pPr>
      <w:r w:rsidRPr="003A467B">
        <w:rPr>
          <w:szCs w:val="22"/>
        </w:rPr>
        <w:t>Οι συνθήκες σταθεροποιημένης κατάστασης επιτυγχάνονται κατά τη διάρκεια του δεύτερου μισού του κύκλου αγωγής και τα επίπεδα της αιθινυλοιστραδιόλης στον ορό συσσωρεύονται με συντελεστή περίπου 1,4 έως 2,1.</w:t>
      </w:r>
    </w:p>
    <w:p w:rsidR="000966FF" w:rsidRPr="003A467B" w:rsidRDefault="000966FF" w:rsidP="00AD3869">
      <w:pPr>
        <w:pStyle w:val="2"/>
        <w:keepNext w:val="0"/>
        <w:widowControl/>
        <w:ind w:left="0" w:firstLine="0"/>
        <w:jc w:val="both"/>
        <w:rPr>
          <w:szCs w:val="22"/>
        </w:rPr>
      </w:pPr>
    </w:p>
    <w:p w:rsidR="0084183B" w:rsidRPr="003A467B" w:rsidRDefault="0084183B" w:rsidP="00AD3869">
      <w:pPr>
        <w:pStyle w:val="2"/>
        <w:keepNext w:val="0"/>
        <w:widowControl/>
        <w:ind w:left="0" w:firstLine="0"/>
        <w:jc w:val="both"/>
        <w:rPr>
          <w:szCs w:val="22"/>
        </w:rPr>
      </w:pPr>
      <w:r w:rsidRPr="003A467B">
        <w:rPr>
          <w:szCs w:val="22"/>
        </w:rPr>
        <w:t>5.3</w:t>
      </w:r>
      <w:r w:rsidRPr="003A467B">
        <w:rPr>
          <w:szCs w:val="22"/>
        </w:rPr>
        <w:tab/>
        <w:t>Προκλινικά δεδομένα για την ασφάλεια</w:t>
      </w:r>
    </w:p>
    <w:p w:rsidR="00D33F08" w:rsidRPr="003A467B" w:rsidRDefault="00D33F08" w:rsidP="00AD3869">
      <w:pPr>
        <w:pStyle w:val="Para0s"/>
        <w:jc w:val="both"/>
        <w:rPr>
          <w:szCs w:val="22"/>
        </w:rPr>
      </w:pPr>
    </w:p>
    <w:p w:rsidR="0084183B" w:rsidRPr="003A467B" w:rsidRDefault="00FB78BD" w:rsidP="00AD3869">
      <w:pPr>
        <w:pStyle w:val="Para0s"/>
        <w:jc w:val="both"/>
        <w:rPr>
          <w:szCs w:val="22"/>
        </w:rPr>
      </w:pPr>
      <w:r w:rsidRPr="003A467B">
        <w:rPr>
          <w:szCs w:val="22"/>
        </w:rPr>
        <w:t>Σε ζώα στο εργαστήριο, ο</w:t>
      </w:r>
      <w:r w:rsidR="0084183B" w:rsidRPr="003A467B">
        <w:rPr>
          <w:szCs w:val="22"/>
        </w:rPr>
        <w:t>ι επιδράσει</w:t>
      </w:r>
      <w:r w:rsidR="00130E53">
        <w:rPr>
          <w:szCs w:val="22"/>
        </w:rPr>
        <w:t>ς της δροσπιρενόνης και της αιθι</w:t>
      </w:r>
      <w:r w:rsidR="0084183B" w:rsidRPr="003A467B">
        <w:rPr>
          <w:szCs w:val="22"/>
        </w:rPr>
        <w:t>νυλοιστραδιόλης περιορίστηκαν σε εκείνες που είχαν σχέση με την αναγνωρισμένη φαρμακολογική δράση.</w:t>
      </w:r>
      <w:r w:rsidR="005A44E3" w:rsidRPr="003A467B">
        <w:rPr>
          <w:szCs w:val="22"/>
        </w:rPr>
        <w:t xml:space="preserve"> </w:t>
      </w:r>
      <w:r w:rsidR="0084183B" w:rsidRPr="003A467B">
        <w:rPr>
          <w:szCs w:val="22"/>
        </w:rPr>
        <w:t>Συγκεκριμένα, μελέτες τοξικότητας στην αναπαραγωγή ανέδειξαν εμβρυοτοξική δράση σε ζώα, η οποία θεωρείται ειδική για τα συγκεκριμένα είδη.</w:t>
      </w:r>
      <w:r w:rsidR="005A44E3" w:rsidRPr="003A467B">
        <w:rPr>
          <w:szCs w:val="22"/>
        </w:rPr>
        <w:t xml:space="preserve"> </w:t>
      </w:r>
      <w:r w:rsidR="00D33F08" w:rsidRPr="003A467B">
        <w:rPr>
          <w:szCs w:val="22"/>
        </w:rPr>
        <w:t>Όταν</w:t>
      </w:r>
      <w:r w:rsidR="0084183B" w:rsidRPr="003A467B">
        <w:rPr>
          <w:szCs w:val="22"/>
        </w:rPr>
        <w:t xml:space="preserve"> χορηγήθηκαν δόσεις οι οποίες υπερβαίνουν εκείνες που λαμβάνουν οι χρήστριες του </w:t>
      </w:r>
      <w:r w:rsidR="0084183B" w:rsidRPr="003A467B">
        <w:rPr>
          <w:szCs w:val="22"/>
          <w:lang w:val="en-US"/>
        </w:rPr>
        <w:t>Yasmin</w:t>
      </w:r>
      <w:r w:rsidR="00D33F08" w:rsidRPr="003A467B">
        <w:rPr>
          <w:b/>
          <w:szCs w:val="22"/>
          <w:vertAlign w:val="superscript"/>
        </w:rPr>
        <w:t>®</w:t>
      </w:r>
      <w:r w:rsidR="00130E53">
        <w:rPr>
          <w:b/>
          <w:szCs w:val="22"/>
        </w:rPr>
        <w:t>,</w:t>
      </w:r>
      <w:r w:rsidR="0084183B" w:rsidRPr="003A467B">
        <w:rPr>
          <w:szCs w:val="22"/>
        </w:rPr>
        <w:t xml:space="preserve"> παρατηρήθηκαν επιδράσεις στη διαφοροποίηση του φύλου, σε έμβρυα αρουραίων, αλλά όχι σε πιθήκους.</w:t>
      </w:r>
    </w:p>
    <w:p w:rsidR="00A7398E" w:rsidRPr="003A467B" w:rsidRDefault="00A7398E" w:rsidP="00AD3869">
      <w:pPr>
        <w:pStyle w:val="Para0s"/>
        <w:jc w:val="both"/>
        <w:rPr>
          <w:szCs w:val="22"/>
        </w:rPr>
      </w:pPr>
    </w:p>
    <w:p w:rsidR="00A7398E" w:rsidRPr="003A467B" w:rsidRDefault="00A7398E" w:rsidP="00AD3869">
      <w:pPr>
        <w:pStyle w:val="Para0s"/>
        <w:jc w:val="both"/>
        <w:rPr>
          <w:szCs w:val="22"/>
        </w:rPr>
      </w:pPr>
    </w:p>
    <w:p w:rsidR="0084183B" w:rsidRPr="003A467B" w:rsidRDefault="0084183B" w:rsidP="00AD3869">
      <w:pPr>
        <w:pStyle w:val="1"/>
        <w:keepNext w:val="0"/>
        <w:widowControl/>
        <w:ind w:left="0" w:firstLine="0"/>
        <w:jc w:val="both"/>
        <w:rPr>
          <w:szCs w:val="22"/>
        </w:rPr>
      </w:pPr>
      <w:r w:rsidRPr="003A467B">
        <w:rPr>
          <w:szCs w:val="22"/>
        </w:rPr>
        <w:t>6.</w:t>
      </w:r>
      <w:r w:rsidRPr="003A467B">
        <w:rPr>
          <w:szCs w:val="22"/>
        </w:rPr>
        <w:tab/>
        <w:t>ΦΑΡΜΑΚΕΥΤΙΚΕΣ ΠΛΗΡΟΦΟΡΙΕΣ</w:t>
      </w:r>
    </w:p>
    <w:p w:rsidR="00A7398E" w:rsidRPr="003A467B" w:rsidRDefault="00A7398E" w:rsidP="00A7398E">
      <w:pPr>
        <w:pStyle w:val="Para0s"/>
      </w:pPr>
    </w:p>
    <w:p w:rsidR="0084183B" w:rsidRPr="003A467B" w:rsidRDefault="0084183B" w:rsidP="00AD3869">
      <w:pPr>
        <w:pStyle w:val="2"/>
        <w:keepNext w:val="0"/>
        <w:widowControl/>
        <w:ind w:left="0" w:firstLine="0"/>
        <w:jc w:val="both"/>
        <w:rPr>
          <w:szCs w:val="22"/>
        </w:rPr>
      </w:pPr>
      <w:r w:rsidRPr="003A467B">
        <w:rPr>
          <w:szCs w:val="22"/>
        </w:rPr>
        <w:t>6.1</w:t>
      </w:r>
      <w:r w:rsidRPr="003A467B">
        <w:rPr>
          <w:szCs w:val="22"/>
        </w:rPr>
        <w:tab/>
        <w:t>Κατάλογος εκδόχων</w:t>
      </w:r>
    </w:p>
    <w:p w:rsidR="00C84700" w:rsidRPr="003A467B" w:rsidRDefault="00C84700" w:rsidP="00AD3869">
      <w:pPr>
        <w:pStyle w:val="Para0s"/>
        <w:jc w:val="both"/>
        <w:rPr>
          <w:szCs w:val="22"/>
        </w:rPr>
      </w:pPr>
    </w:p>
    <w:p w:rsidR="00412C2E" w:rsidRPr="003A467B" w:rsidRDefault="00412C2E" w:rsidP="00AD3869">
      <w:pPr>
        <w:pStyle w:val="Para0s"/>
        <w:jc w:val="both"/>
        <w:rPr>
          <w:szCs w:val="22"/>
        </w:rPr>
      </w:pPr>
      <w:r w:rsidRPr="003A467B">
        <w:rPr>
          <w:szCs w:val="22"/>
        </w:rPr>
        <w:t>Πυρήνας δισκίου:</w:t>
      </w:r>
    </w:p>
    <w:p w:rsidR="0084183B" w:rsidRPr="003A467B" w:rsidRDefault="0084183B" w:rsidP="00AD3869">
      <w:pPr>
        <w:pStyle w:val="Para0s"/>
        <w:jc w:val="both"/>
        <w:rPr>
          <w:szCs w:val="22"/>
          <w:lang w:val="en-US"/>
        </w:rPr>
      </w:pPr>
      <w:r w:rsidRPr="003A467B">
        <w:rPr>
          <w:szCs w:val="22"/>
          <w:lang w:val="en-US"/>
        </w:rPr>
        <w:t>Lactose monohydrate</w:t>
      </w:r>
    </w:p>
    <w:p w:rsidR="0084183B" w:rsidRPr="003A467B" w:rsidRDefault="0084183B" w:rsidP="00AD3869">
      <w:pPr>
        <w:pStyle w:val="Para0s"/>
        <w:jc w:val="both"/>
        <w:rPr>
          <w:szCs w:val="22"/>
          <w:lang w:val="en-GB"/>
        </w:rPr>
      </w:pPr>
      <w:r w:rsidRPr="003A467B">
        <w:rPr>
          <w:szCs w:val="22"/>
          <w:lang w:val="en-GB"/>
        </w:rPr>
        <w:t>Maize starch</w:t>
      </w:r>
    </w:p>
    <w:p w:rsidR="0084183B" w:rsidRPr="003A467B" w:rsidRDefault="0084183B" w:rsidP="00AD3869">
      <w:pPr>
        <w:pStyle w:val="Para0s"/>
        <w:jc w:val="both"/>
        <w:rPr>
          <w:szCs w:val="22"/>
          <w:lang w:val="en-GB"/>
        </w:rPr>
      </w:pPr>
      <w:r w:rsidRPr="003A467B">
        <w:rPr>
          <w:szCs w:val="22"/>
          <w:lang w:val="en-US"/>
        </w:rPr>
        <w:t>Pregelatinised</w:t>
      </w:r>
      <w:r w:rsidRPr="003A467B">
        <w:rPr>
          <w:szCs w:val="22"/>
          <w:lang w:val="en-GB"/>
        </w:rPr>
        <w:t xml:space="preserve"> maize starch</w:t>
      </w:r>
    </w:p>
    <w:p w:rsidR="0084183B" w:rsidRPr="003A467B" w:rsidRDefault="0084183B" w:rsidP="00AD3869">
      <w:pPr>
        <w:pStyle w:val="Para0s"/>
        <w:jc w:val="both"/>
        <w:rPr>
          <w:szCs w:val="22"/>
          <w:lang w:val="en-US"/>
        </w:rPr>
      </w:pPr>
      <w:r w:rsidRPr="003A467B">
        <w:rPr>
          <w:szCs w:val="22"/>
          <w:lang w:val="en-GB"/>
        </w:rPr>
        <w:t xml:space="preserve">Povidone </w:t>
      </w:r>
      <w:r w:rsidRPr="003A467B">
        <w:rPr>
          <w:szCs w:val="22"/>
          <w:lang w:val="en-US"/>
        </w:rPr>
        <w:t>K25</w:t>
      </w:r>
    </w:p>
    <w:p w:rsidR="0084183B" w:rsidRPr="003A467B" w:rsidRDefault="0084183B" w:rsidP="00AD3869">
      <w:pPr>
        <w:pStyle w:val="Para0s"/>
        <w:jc w:val="both"/>
        <w:rPr>
          <w:szCs w:val="22"/>
          <w:lang w:val="en-US"/>
        </w:rPr>
      </w:pPr>
      <w:r w:rsidRPr="003A467B">
        <w:rPr>
          <w:szCs w:val="22"/>
          <w:lang w:val="en-GB"/>
        </w:rPr>
        <w:t>Magnesium stearate</w:t>
      </w:r>
    </w:p>
    <w:p w:rsidR="00B50E7D" w:rsidRPr="003A467B" w:rsidRDefault="00B50E7D" w:rsidP="00AD3869">
      <w:pPr>
        <w:pStyle w:val="Para0s"/>
        <w:jc w:val="both"/>
        <w:rPr>
          <w:szCs w:val="22"/>
          <w:lang w:val="en-US"/>
        </w:rPr>
      </w:pPr>
    </w:p>
    <w:p w:rsidR="00B50E7D" w:rsidRPr="003A467B" w:rsidRDefault="00B50E7D" w:rsidP="00AD3869">
      <w:pPr>
        <w:pStyle w:val="Para0s"/>
        <w:jc w:val="both"/>
        <w:rPr>
          <w:szCs w:val="22"/>
          <w:lang w:val="en-US"/>
        </w:rPr>
      </w:pPr>
      <w:r w:rsidRPr="003A467B">
        <w:rPr>
          <w:szCs w:val="22"/>
        </w:rPr>
        <w:t>Επικάλυψη</w:t>
      </w:r>
      <w:r w:rsidRPr="003A467B">
        <w:rPr>
          <w:szCs w:val="22"/>
          <w:lang w:val="en-US"/>
        </w:rPr>
        <w:t xml:space="preserve"> </w:t>
      </w:r>
      <w:r w:rsidRPr="003A467B">
        <w:rPr>
          <w:szCs w:val="22"/>
        </w:rPr>
        <w:t>δισκίου</w:t>
      </w:r>
      <w:r w:rsidRPr="003A467B">
        <w:rPr>
          <w:szCs w:val="22"/>
          <w:lang w:val="en-US"/>
        </w:rPr>
        <w:t>:</w:t>
      </w:r>
    </w:p>
    <w:p w:rsidR="0084183B" w:rsidRPr="003A467B" w:rsidRDefault="0084183B" w:rsidP="00AD3869">
      <w:pPr>
        <w:pStyle w:val="Para0s"/>
        <w:jc w:val="both"/>
        <w:rPr>
          <w:szCs w:val="22"/>
          <w:lang w:val="en-US"/>
        </w:rPr>
      </w:pPr>
      <w:r w:rsidRPr="003A467B">
        <w:rPr>
          <w:szCs w:val="22"/>
          <w:lang w:val="en-US"/>
        </w:rPr>
        <w:t>Hypromellose</w:t>
      </w:r>
    </w:p>
    <w:p w:rsidR="0084183B" w:rsidRPr="003A467B" w:rsidRDefault="0084183B" w:rsidP="00AD3869">
      <w:pPr>
        <w:pStyle w:val="Para0s"/>
        <w:jc w:val="both"/>
        <w:rPr>
          <w:szCs w:val="22"/>
          <w:lang w:val="en-GB"/>
        </w:rPr>
      </w:pPr>
      <w:r w:rsidRPr="003A467B">
        <w:rPr>
          <w:szCs w:val="22"/>
          <w:lang w:val="en-GB"/>
        </w:rPr>
        <w:t>Macrogol 6000</w:t>
      </w:r>
    </w:p>
    <w:p w:rsidR="0084183B" w:rsidRPr="003A467B" w:rsidRDefault="0084183B" w:rsidP="00AD3869">
      <w:pPr>
        <w:pStyle w:val="Para0s"/>
        <w:jc w:val="both"/>
        <w:rPr>
          <w:szCs w:val="22"/>
          <w:lang w:val="en-GB"/>
        </w:rPr>
      </w:pPr>
      <w:r w:rsidRPr="003A467B">
        <w:rPr>
          <w:szCs w:val="22"/>
          <w:lang w:val="en-GB"/>
        </w:rPr>
        <w:t>Talc</w:t>
      </w:r>
    </w:p>
    <w:p w:rsidR="0084183B" w:rsidRPr="003A467B" w:rsidRDefault="0084183B" w:rsidP="00AD3869">
      <w:pPr>
        <w:pStyle w:val="Para0s"/>
        <w:jc w:val="both"/>
        <w:rPr>
          <w:szCs w:val="22"/>
          <w:lang w:val="en-GB"/>
        </w:rPr>
      </w:pPr>
      <w:r w:rsidRPr="003A467B">
        <w:rPr>
          <w:szCs w:val="22"/>
          <w:lang w:val="en-GB"/>
        </w:rPr>
        <w:lastRenderedPageBreak/>
        <w:t>Titanium dioxide (E 171)</w:t>
      </w:r>
    </w:p>
    <w:p w:rsidR="0084183B" w:rsidRPr="003A467B" w:rsidRDefault="0084183B" w:rsidP="00AD3869">
      <w:pPr>
        <w:pStyle w:val="Para0s"/>
        <w:jc w:val="both"/>
        <w:rPr>
          <w:szCs w:val="22"/>
          <w:lang w:val="en-GB"/>
        </w:rPr>
      </w:pPr>
      <w:r w:rsidRPr="003A467B">
        <w:rPr>
          <w:szCs w:val="22"/>
          <w:lang w:val="en-US"/>
        </w:rPr>
        <w:t>Iron</w:t>
      </w:r>
      <w:r w:rsidRPr="003A467B">
        <w:rPr>
          <w:szCs w:val="22"/>
          <w:lang w:val="en-GB"/>
        </w:rPr>
        <w:t xml:space="preserve"> oxide pigment, yellow (E 172)</w:t>
      </w:r>
    </w:p>
    <w:p w:rsidR="00A7398E" w:rsidRPr="003A467B" w:rsidRDefault="00A7398E" w:rsidP="00AD3869">
      <w:pPr>
        <w:pStyle w:val="Para0s"/>
        <w:jc w:val="both"/>
        <w:rPr>
          <w:szCs w:val="22"/>
          <w:lang w:val="en-GB"/>
        </w:rPr>
      </w:pPr>
    </w:p>
    <w:p w:rsidR="0084183B" w:rsidRPr="003A467B" w:rsidRDefault="0084183B" w:rsidP="00AD3869">
      <w:pPr>
        <w:pStyle w:val="2"/>
        <w:keepNext w:val="0"/>
        <w:widowControl/>
        <w:ind w:left="0" w:firstLine="0"/>
        <w:jc w:val="both"/>
        <w:rPr>
          <w:szCs w:val="22"/>
          <w:lang w:val="en-GB"/>
        </w:rPr>
      </w:pPr>
      <w:r w:rsidRPr="003A467B">
        <w:rPr>
          <w:szCs w:val="22"/>
          <w:lang w:val="en-GB"/>
        </w:rPr>
        <w:t>6.2</w:t>
      </w:r>
      <w:r w:rsidRPr="003A467B">
        <w:rPr>
          <w:szCs w:val="22"/>
          <w:lang w:val="en-GB"/>
        </w:rPr>
        <w:tab/>
      </w:r>
      <w:r w:rsidRPr="003A467B">
        <w:rPr>
          <w:szCs w:val="22"/>
        </w:rPr>
        <w:t>Ασυμβατότητες</w:t>
      </w:r>
    </w:p>
    <w:p w:rsidR="00C84700" w:rsidRPr="003A467B" w:rsidRDefault="00C84700" w:rsidP="00AD3869">
      <w:pPr>
        <w:pStyle w:val="Para0s"/>
        <w:jc w:val="both"/>
        <w:rPr>
          <w:szCs w:val="22"/>
          <w:lang w:val="en-GB"/>
        </w:rPr>
      </w:pPr>
    </w:p>
    <w:p w:rsidR="0084183B" w:rsidRPr="003A467B" w:rsidRDefault="0084183B" w:rsidP="00AD3869">
      <w:pPr>
        <w:pStyle w:val="Para0s"/>
        <w:jc w:val="both"/>
        <w:rPr>
          <w:szCs w:val="22"/>
        </w:rPr>
      </w:pPr>
      <w:r w:rsidRPr="003A467B">
        <w:rPr>
          <w:szCs w:val="22"/>
        </w:rPr>
        <w:t>Δεν εφαρμόζεται.</w:t>
      </w:r>
    </w:p>
    <w:p w:rsidR="00A7398E" w:rsidRPr="003A467B" w:rsidRDefault="00A7398E"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6.3</w:t>
      </w:r>
      <w:r w:rsidRPr="003A467B">
        <w:rPr>
          <w:szCs w:val="22"/>
        </w:rPr>
        <w:tab/>
        <w:t>Διάρκεια ζωής</w:t>
      </w:r>
    </w:p>
    <w:p w:rsidR="00C84700" w:rsidRPr="003A467B" w:rsidRDefault="00C84700" w:rsidP="00AD3869">
      <w:pPr>
        <w:pStyle w:val="Para0s"/>
        <w:jc w:val="both"/>
        <w:rPr>
          <w:szCs w:val="22"/>
        </w:rPr>
      </w:pPr>
    </w:p>
    <w:p w:rsidR="0084183B" w:rsidRPr="003A467B" w:rsidRDefault="00DE428F" w:rsidP="00AD3869">
      <w:pPr>
        <w:pStyle w:val="Para0s"/>
        <w:jc w:val="both"/>
        <w:rPr>
          <w:szCs w:val="22"/>
        </w:rPr>
      </w:pPr>
      <w:r w:rsidRPr="003A467B">
        <w:rPr>
          <w:szCs w:val="22"/>
        </w:rPr>
        <w:t>3</w:t>
      </w:r>
      <w:r w:rsidR="0084183B" w:rsidRPr="003A467B">
        <w:rPr>
          <w:szCs w:val="22"/>
        </w:rPr>
        <w:t xml:space="preserve"> χρόνια</w:t>
      </w:r>
    </w:p>
    <w:p w:rsidR="00A7398E" w:rsidRPr="003A467B" w:rsidRDefault="00A7398E" w:rsidP="00AD3869">
      <w:pPr>
        <w:pStyle w:val="Para0s"/>
        <w:jc w:val="both"/>
        <w:rPr>
          <w:strike/>
          <w:szCs w:val="22"/>
        </w:rPr>
      </w:pPr>
    </w:p>
    <w:p w:rsidR="0084183B" w:rsidRPr="003A467B" w:rsidRDefault="0084183B" w:rsidP="00AD3869">
      <w:pPr>
        <w:pStyle w:val="2"/>
        <w:keepNext w:val="0"/>
        <w:widowControl/>
        <w:ind w:left="0" w:firstLine="0"/>
        <w:jc w:val="both"/>
        <w:rPr>
          <w:szCs w:val="22"/>
        </w:rPr>
      </w:pPr>
      <w:r w:rsidRPr="003A467B">
        <w:rPr>
          <w:szCs w:val="22"/>
        </w:rPr>
        <w:t>6.4</w:t>
      </w:r>
      <w:r w:rsidRPr="003A467B">
        <w:rPr>
          <w:szCs w:val="22"/>
        </w:rPr>
        <w:tab/>
        <w:t>Ιδιαίτερες προφυλάξεις κατά τη φύλαξη του προϊόντος</w:t>
      </w:r>
    </w:p>
    <w:p w:rsidR="00C84700" w:rsidRPr="003A467B" w:rsidRDefault="00C84700" w:rsidP="00AD3869">
      <w:pPr>
        <w:pStyle w:val="Para0s"/>
        <w:jc w:val="both"/>
        <w:rPr>
          <w:szCs w:val="22"/>
        </w:rPr>
      </w:pPr>
    </w:p>
    <w:p w:rsidR="0084183B" w:rsidRPr="003A467B" w:rsidRDefault="0084183B" w:rsidP="00AD3869">
      <w:pPr>
        <w:pStyle w:val="Para0s"/>
        <w:jc w:val="both"/>
        <w:rPr>
          <w:szCs w:val="22"/>
        </w:rPr>
      </w:pPr>
      <w:r w:rsidRPr="003A467B">
        <w:rPr>
          <w:szCs w:val="22"/>
        </w:rPr>
        <w:t>Να μην φυλάσσεται σε θερμοκρασία άνω των 25 °C.</w:t>
      </w:r>
    </w:p>
    <w:p w:rsidR="0084183B" w:rsidRPr="003A467B" w:rsidRDefault="0084183B" w:rsidP="00AD3869">
      <w:pPr>
        <w:pStyle w:val="Para0s"/>
        <w:jc w:val="both"/>
        <w:rPr>
          <w:szCs w:val="22"/>
        </w:rPr>
      </w:pPr>
      <w:r w:rsidRPr="003A467B">
        <w:rPr>
          <w:szCs w:val="22"/>
        </w:rPr>
        <w:t>Να φυλάσσεται στην αρχική συσκευασία.</w:t>
      </w:r>
    </w:p>
    <w:p w:rsidR="00A7398E" w:rsidRPr="003A467B" w:rsidRDefault="00A7398E"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6.5</w:t>
      </w:r>
      <w:r w:rsidRPr="003A467B">
        <w:rPr>
          <w:szCs w:val="22"/>
        </w:rPr>
        <w:tab/>
        <w:t>Φύση και συστατικά του περιέκτη</w:t>
      </w:r>
    </w:p>
    <w:p w:rsidR="00C84700" w:rsidRPr="003A467B" w:rsidRDefault="00C84700" w:rsidP="00AD3869">
      <w:pPr>
        <w:pStyle w:val="Para0s"/>
        <w:jc w:val="both"/>
        <w:rPr>
          <w:szCs w:val="22"/>
        </w:rPr>
      </w:pPr>
    </w:p>
    <w:p w:rsidR="0084183B" w:rsidRPr="003A467B" w:rsidRDefault="0084183B" w:rsidP="00AD3869">
      <w:pPr>
        <w:pStyle w:val="Para0s"/>
        <w:jc w:val="both"/>
        <w:rPr>
          <w:szCs w:val="22"/>
        </w:rPr>
      </w:pPr>
      <w:r w:rsidRPr="003A467B">
        <w:rPr>
          <w:szCs w:val="22"/>
        </w:rPr>
        <w:t xml:space="preserve">Συσκευασία </w:t>
      </w:r>
      <w:r w:rsidRPr="003A467B">
        <w:rPr>
          <w:szCs w:val="22"/>
          <w:lang w:val="en-US"/>
        </w:rPr>
        <w:t>blister</w:t>
      </w:r>
      <w:r w:rsidRPr="003A467B">
        <w:rPr>
          <w:szCs w:val="22"/>
        </w:rPr>
        <w:t xml:space="preserve"> </w:t>
      </w:r>
      <w:r w:rsidRPr="003A467B">
        <w:rPr>
          <w:szCs w:val="22"/>
          <w:lang w:val="en-US"/>
        </w:rPr>
        <w:t>PVC</w:t>
      </w:r>
      <w:r w:rsidRPr="003A467B">
        <w:rPr>
          <w:szCs w:val="22"/>
        </w:rPr>
        <w:t>/αργίλιο</w:t>
      </w:r>
    </w:p>
    <w:p w:rsidR="0084183B" w:rsidRPr="003A467B" w:rsidRDefault="0084183B" w:rsidP="00AD3869">
      <w:pPr>
        <w:pStyle w:val="Bullet0dKT"/>
        <w:numPr>
          <w:ilvl w:val="0"/>
          <w:numId w:val="0"/>
        </w:numPr>
        <w:jc w:val="both"/>
        <w:rPr>
          <w:szCs w:val="22"/>
        </w:rPr>
      </w:pPr>
      <w:r w:rsidRPr="003A467B">
        <w:rPr>
          <w:szCs w:val="22"/>
        </w:rPr>
        <w:t>Μεγέθη συσκευασίας</w:t>
      </w:r>
    </w:p>
    <w:p w:rsidR="0084183B" w:rsidRPr="003A467B" w:rsidRDefault="0084183B" w:rsidP="00AD3869">
      <w:pPr>
        <w:pStyle w:val="Para0s"/>
        <w:jc w:val="both"/>
        <w:rPr>
          <w:szCs w:val="22"/>
        </w:rPr>
      </w:pPr>
      <w:r w:rsidRPr="003A467B">
        <w:rPr>
          <w:szCs w:val="22"/>
        </w:rPr>
        <w:t>21 δισκία</w:t>
      </w:r>
    </w:p>
    <w:p w:rsidR="0084183B" w:rsidRPr="003A467B" w:rsidRDefault="0084183B" w:rsidP="00AD3869">
      <w:pPr>
        <w:pStyle w:val="Para0s"/>
        <w:jc w:val="both"/>
        <w:rPr>
          <w:szCs w:val="22"/>
        </w:rPr>
      </w:pPr>
      <w:r w:rsidRPr="003A467B">
        <w:rPr>
          <w:szCs w:val="22"/>
        </w:rPr>
        <w:t>3 x 21 δισκία</w:t>
      </w:r>
    </w:p>
    <w:p w:rsidR="0084183B" w:rsidRPr="003A467B" w:rsidRDefault="0084183B" w:rsidP="00AD3869">
      <w:pPr>
        <w:pStyle w:val="Para0s"/>
        <w:jc w:val="both"/>
        <w:rPr>
          <w:szCs w:val="22"/>
        </w:rPr>
      </w:pPr>
      <w:r w:rsidRPr="003A467B">
        <w:rPr>
          <w:szCs w:val="22"/>
        </w:rPr>
        <w:t>6 x 21 δισκία</w:t>
      </w:r>
    </w:p>
    <w:p w:rsidR="0084183B" w:rsidRPr="003A467B" w:rsidRDefault="0084183B" w:rsidP="00AD3869">
      <w:pPr>
        <w:pStyle w:val="Para0s"/>
        <w:jc w:val="both"/>
        <w:rPr>
          <w:szCs w:val="22"/>
        </w:rPr>
      </w:pPr>
      <w:r w:rsidRPr="003A467B">
        <w:rPr>
          <w:szCs w:val="22"/>
        </w:rPr>
        <w:t>13 x 21 δισκία</w:t>
      </w:r>
    </w:p>
    <w:p w:rsidR="004B4A31" w:rsidRPr="003A467B" w:rsidRDefault="004B4A31" w:rsidP="00AD3869">
      <w:pPr>
        <w:pStyle w:val="Para0s"/>
        <w:jc w:val="both"/>
        <w:rPr>
          <w:szCs w:val="22"/>
        </w:rPr>
      </w:pPr>
    </w:p>
    <w:p w:rsidR="0084183B" w:rsidRPr="003A467B" w:rsidRDefault="004B4A31" w:rsidP="00AD3869">
      <w:pPr>
        <w:pStyle w:val="Para0s"/>
        <w:jc w:val="both"/>
        <w:rPr>
          <w:szCs w:val="22"/>
        </w:rPr>
      </w:pPr>
      <w:r w:rsidRPr="003A467B">
        <w:rPr>
          <w:szCs w:val="22"/>
        </w:rPr>
        <w:t xml:space="preserve">Μπορεί </w:t>
      </w:r>
      <w:r w:rsidR="0084183B" w:rsidRPr="003A467B">
        <w:rPr>
          <w:szCs w:val="22"/>
        </w:rPr>
        <w:t>να μην κυκλοφορούν όλες οι συσκευασίες.</w:t>
      </w:r>
    </w:p>
    <w:p w:rsidR="00A7398E" w:rsidRPr="003A467B" w:rsidRDefault="00A7398E" w:rsidP="00AD3869">
      <w:pPr>
        <w:pStyle w:val="Para0s"/>
        <w:jc w:val="both"/>
        <w:rPr>
          <w:szCs w:val="22"/>
        </w:rPr>
      </w:pPr>
    </w:p>
    <w:p w:rsidR="0084183B" w:rsidRPr="003A467B" w:rsidRDefault="0084183B" w:rsidP="00AD3869">
      <w:pPr>
        <w:pStyle w:val="2"/>
        <w:keepNext w:val="0"/>
        <w:widowControl/>
        <w:ind w:left="0" w:firstLine="0"/>
        <w:jc w:val="both"/>
        <w:rPr>
          <w:szCs w:val="22"/>
        </w:rPr>
      </w:pPr>
      <w:r w:rsidRPr="003A467B">
        <w:rPr>
          <w:szCs w:val="22"/>
        </w:rPr>
        <w:t>6.6</w:t>
      </w:r>
      <w:r w:rsidRPr="003A467B">
        <w:rPr>
          <w:szCs w:val="22"/>
        </w:rPr>
        <w:tab/>
        <w:t>Οδηγίες χρήσης και χειρισμού, και απόρριψη (εάν εφαρμόζεται)</w:t>
      </w:r>
    </w:p>
    <w:p w:rsidR="00C84700" w:rsidRPr="003A467B" w:rsidRDefault="00C84700" w:rsidP="00AD3869">
      <w:pPr>
        <w:pStyle w:val="Para0s"/>
        <w:jc w:val="both"/>
        <w:rPr>
          <w:szCs w:val="22"/>
        </w:rPr>
      </w:pPr>
    </w:p>
    <w:p w:rsidR="0084183B" w:rsidRPr="003A467B" w:rsidRDefault="00C84700" w:rsidP="00AD3869">
      <w:pPr>
        <w:pStyle w:val="Para0s"/>
        <w:jc w:val="both"/>
        <w:rPr>
          <w:szCs w:val="22"/>
        </w:rPr>
      </w:pPr>
      <w:r w:rsidRPr="003A467B">
        <w:rPr>
          <w:noProof/>
        </w:rPr>
        <w:t>Καμία ειδική υποχρέωση</w:t>
      </w:r>
      <w:r w:rsidR="0084183B" w:rsidRPr="003A467B">
        <w:rPr>
          <w:szCs w:val="22"/>
        </w:rPr>
        <w:t>.</w:t>
      </w:r>
    </w:p>
    <w:p w:rsidR="00A7398E" w:rsidRPr="003A467B" w:rsidRDefault="00A7398E" w:rsidP="00AD3869">
      <w:pPr>
        <w:pStyle w:val="Para0s"/>
        <w:jc w:val="both"/>
        <w:rPr>
          <w:szCs w:val="22"/>
        </w:rPr>
      </w:pPr>
    </w:p>
    <w:p w:rsidR="00A7398E" w:rsidRPr="003A467B" w:rsidRDefault="00A7398E" w:rsidP="00AD3869">
      <w:pPr>
        <w:pStyle w:val="Para0s"/>
        <w:jc w:val="both"/>
        <w:rPr>
          <w:szCs w:val="22"/>
        </w:rPr>
      </w:pPr>
    </w:p>
    <w:p w:rsidR="0084183B" w:rsidRDefault="0084183B" w:rsidP="001B4AC7">
      <w:pPr>
        <w:pStyle w:val="1"/>
        <w:keepNext w:val="0"/>
        <w:widowControl/>
        <w:ind w:left="0" w:firstLine="0"/>
        <w:jc w:val="both"/>
        <w:rPr>
          <w:szCs w:val="22"/>
        </w:rPr>
      </w:pPr>
      <w:r w:rsidRPr="003A467B">
        <w:rPr>
          <w:szCs w:val="22"/>
        </w:rPr>
        <w:t>7.</w:t>
      </w:r>
      <w:r w:rsidRPr="003A467B">
        <w:rPr>
          <w:szCs w:val="22"/>
        </w:rPr>
        <w:tab/>
        <w:t>ΚΑΤΟΧΟΣ ΑΔΕΙΑΣ ΚΥΚΛΟΦΟΡΙΑΣ</w:t>
      </w:r>
      <w:r w:rsidR="00130E53">
        <w:rPr>
          <w:szCs w:val="22"/>
        </w:rPr>
        <w:t xml:space="preserve"> ΣΤΗΝ ΕΛΛΑΔΑ</w:t>
      </w:r>
    </w:p>
    <w:p w:rsidR="00130E53" w:rsidRDefault="00130E53" w:rsidP="00130E53">
      <w:pPr>
        <w:pStyle w:val="Para0s"/>
      </w:pPr>
      <w:r>
        <w:t xml:space="preserve"> </w:t>
      </w:r>
    </w:p>
    <w:p w:rsidR="00130E53" w:rsidRPr="00130E53" w:rsidRDefault="00130E53" w:rsidP="001B4AC7">
      <w:pPr>
        <w:pStyle w:val="Para0s"/>
        <w:rPr>
          <w:b/>
          <w:bCs/>
        </w:rPr>
      </w:pPr>
      <w:r>
        <w:t xml:space="preserve">          </w:t>
      </w:r>
      <w:r w:rsidRPr="00130E53">
        <w:rPr>
          <w:b/>
          <w:bCs/>
        </w:rPr>
        <w:t>ΚΑΤΟΧΟΣ ΕΙΔΙΚΗΣ ΑΔΕΙΑΣ ΚΥΚΛΟΦΟΡΙΑΣ ΣΤΗΝ ΚΥΠΡΟ</w:t>
      </w:r>
    </w:p>
    <w:p w:rsidR="00EC0417" w:rsidRPr="003A467B" w:rsidRDefault="00EC0417" w:rsidP="00AD3869">
      <w:pPr>
        <w:pStyle w:val="Para0s"/>
        <w:rPr>
          <w:szCs w:val="22"/>
        </w:rPr>
      </w:pPr>
    </w:p>
    <w:p w:rsidR="0084183B" w:rsidRDefault="007D0500" w:rsidP="00130E53">
      <w:pPr>
        <w:pStyle w:val="Para0s"/>
        <w:rPr>
          <w:szCs w:val="22"/>
        </w:rPr>
      </w:pPr>
      <w:r w:rsidRPr="003A467B">
        <w:rPr>
          <w:szCs w:val="22"/>
        </w:rPr>
        <w:t>ΒΑΥΕ</w:t>
      </w:r>
      <w:r w:rsidRPr="003A467B">
        <w:rPr>
          <w:szCs w:val="22"/>
          <w:lang w:val="en-US"/>
        </w:rPr>
        <w:t>R</w:t>
      </w:r>
      <w:r w:rsidR="0084183B" w:rsidRPr="003A467B">
        <w:rPr>
          <w:szCs w:val="22"/>
        </w:rPr>
        <w:t xml:space="preserve"> ΕΛΛΑΣ Α.</w:t>
      </w:r>
      <w:r w:rsidRPr="003A467B">
        <w:rPr>
          <w:szCs w:val="22"/>
          <w:lang w:val="en-US"/>
        </w:rPr>
        <w:t>B</w:t>
      </w:r>
      <w:r w:rsidRPr="003A467B">
        <w:rPr>
          <w:szCs w:val="22"/>
        </w:rPr>
        <w:t>.</w:t>
      </w:r>
      <w:r w:rsidRPr="003A467B">
        <w:rPr>
          <w:szCs w:val="22"/>
          <w:lang w:val="en-US"/>
        </w:rPr>
        <w:t>E</w:t>
      </w:r>
      <w:r w:rsidRPr="003A467B">
        <w:rPr>
          <w:szCs w:val="22"/>
        </w:rPr>
        <w:t>.</w:t>
      </w:r>
      <w:r w:rsidR="0084183B" w:rsidRPr="003A467B">
        <w:rPr>
          <w:szCs w:val="22"/>
        </w:rPr>
        <w:t>Ε.</w:t>
      </w:r>
      <w:r w:rsidR="0084183B" w:rsidRPr="003A467B">
        <w:rPr>
          <w:szCs w:val="22"/>
        </w:rPr>
        <w:br/>
      </w:r>
      <w:r w:rsidRPr="003A467B">
        <w:rPr>
          <w:szCs w:val="22"/>
        </w:rPr>
        <w:t>Σωρού 18-20</w:t>
      </w:r>
      <w:r w:rsidR="0084183B" w:rsidRPr="003A467B">
        <w:rPr>
          <w:szCs w:val="22"/>
        </w:rPr>
        <w:br/>
      </w:r>
      <w:r w:rsidR="002C1BD9" w:rsidRPr="003A467B">
        <w:rPr>
          <w:szCs w:val="22"/>
        </w:rPr>
        <w:t>151 25</w:t>
      </w:r>
      <w:r w:rsidR="002C1BD9" w:rsidRPr="003A467B" w:rsidDel="002C1BD9">
        <w:rPr>
          <w:szCs w:val="22"/>
        </w:rPr>
        <w:t xml:space="preserve"> </w:t>
      </w:r>
      <w:r w:rsidR="00130E53">
        <w:rPr>
          <w:szCs w:val="22"/>
        </w:rPr>
        <w:t>Μαρούσι, Αθήνα, Ελλάδα</w:t>
      </w:r>
      <w:r w:rsidR="00130E53">
        <w:rPr>
          <w:szCs w:val="22"/>
        </w:rPr>
        <w:br/>
        <w:t xml:space="preserve">Τηλ. +30 210 </w:t>
      </w:r>
      <w:r w:rsidR="00353F66" w:rsidRPr="003A467B">
        <w:rPr>
          <w:szCs w:val="22"/>
        </w:rPr>
        <w:t>6187500</w:t>
      </w:r>
    </w:p>
    <w:p w:rsidR="007A1D1F" w:rsidRDefault="007A1D1F" w:rsidP="00AD3869">
      <w:pPr>
        <w:pStyle w:val="Para0s"/>
        <w:rPr>
          <w:szCs w:val="22"/>
          <w:lang w:val="en-US"/>
        </w:rPr>
      </w:pPr>
    </w:p>
    <w:p w:rsidR="007A1D1F" w:rsidRPr="003F17B4" w:rsidRDefault="008743AB" w:rsidP="007A1D1F">
      <w:pPr>
        <w:spacing w:after="0"/>
        <w:rPr>
          <w:rFonts w:ascii="Times New Roman" w:hAnsi="Times New Roman"/>
          <w:b/>
          <w:szCs w:val="22"/>
          <w:lang w:val="el-GR"/>
        </w:rPr>
      </w:pPr>
      <w:r>
        <w:rPr>
          <w:rFonts w:ascii="Times New Roman" w:hAnsi="Times New Roman"/>
          <w:b/>
          <w:szCs w:val="22"/>
          <w:lang w:val="el-GR"/>
        </w:rPr>
        <w:t>Τοπικός αντιπρόσωπος στην Κύπρο</w:t>
      </w:r>
    </w:p>
    <w:p w:rsidR="007A1D1F" w:rsidRPr="007A1D1F" w:rsidRDefault="007A1D1F" w:rsidP="007A1D1F">
      <w:pPr>
        <w:spacing w:after="0"/>
        <w:rPr>
          <w:rFonts w:ascii="Times New Roman" w:hAnsi="Times New Roman"/>
          <w:szCs w:val="22"/>
          <w:lang w:val="el-GR"/>
        </w:rPr>
      </w:pPr>
      <w:r w:rsidRPr="007A1D1F">
        <w:rPr>
          <w:rFonts w:ascii="Times New Roman" w:hAnsi="Times New Roman"/>
          <w:szCs w:val="22"/>
        </w:rPr>
        <w:t>Novagem</w:t>
      </w:r>
      <w:r w:rsidRPr="007A1D1F">
        <w:rPr>
          <w:rFonts w:ascii="Times New Roman" w:hAnsi="Times New Roman"/>
          <w:szCs w:val="22"/>
          <w:lang w:val="el-GR"/>
        </w:rPr>
        <w:t xml:space="preserve"> </w:t>
      </w:r>
      <w:r w:rsidRPr="007A1D1F">
        <w:rPr>
          <w:rFonts w:ascii="Times New Roman" w:hAnsi="Times New Roman"/>
          <w:szCs w:val="22"/>
        </w:rPr>
        <w:t>Ltd</w:t>
      </w:r>
    </w:p>
    <w:p w:rsidR="007A1D1F" w:rsidRPr="003F17B4" w:rsidRDefault="007A1D1F" w:rsidP="007A1D1F">
      <w:pPr>
        <w:spacing w:after="0"/>
        <w:rPr>
          <w:rFonts w:ascii="Times New Roman" w:hAnsi="Times New Roman"/>
          <w:szCs w:val="22"/>
          <w:lang w:val="el-GR"/>
        </w:rPr>
      </w:pPr>
      <w:r>
        <w:rPr>
          <w:rFonts w:ascii="Times New Roman" w:hAnsi="Times New Roman"/>
          <w:szCs w:val="22"/>
          <w:lang w:val="el-GR"/>
        </w:rPr>
        <w:t xml:space="preserve">Τηλ. </w:t>
      </w:r>
      <w:r w:rsidRPr="003F17B4">
        <w:rPr>
          <w:rFonts w:ascii="Times New Roman" w:hAnsi="Times New Roman"/>
          <w:szCs w:val="22"/>
          <w:lang w:val="el-GR"/>
        </w:rPr>
        <w:t>+</w:t>
      </w:r>
      <w:r w:rsidR="003F17B4">
        <w:rPr>
          <w:rFonts w:ascii="Times New Roman" w:hAnsi="Times New Roman"/>
          <w:szCs w:val="22"/>
          <w:lang w:val="el-GR"/>
        </w:rPr>
        <w:t>357 22</w:t>
      </w:r>
      <w:r w:rsidR="003F17B4" w:rsidRPr="003F17B4">
        <w:rPr>
          <w:rFonts w:ascii="Times New Roman" w:hAnsi="Times New Roman"/>
          <w:szCs w:val="22"/>
          <w:lang w:val="el-GR"/>
        </w:rPr>
        <w:t>483858</w:t>
      </w:r>
    </w:p>
    <w:p w:rsidR="007A1D1F" w:rsidRPr="003F17B4" w:rsidRDefault="007A1D1F" w:rsidP="00AD3869">
      <w:pPr>
        <w:pStyle w:val="Para0s"/>
        <w:rPr>
          <w:szCs w:val="22"/>
        </w:rPr>
      </w:pPr>
    </w:p>
    <w:p w:rsidR="00A7398E" w:rsidRPr="003A467B" w:rsidRDefault="00A7398E" w:rsidP="00AD3869">
      <w:pPr>
        <w:pStyle w:val="Para0s"/>
        <w:rPr>
          <w:szCs w:val="22"/>
        </w:rPr>
      </w:pPr>
    </w:p>
    <w:p w:rsidR="0084183B" w:rsidRDefault="0084183B" w:rsidP="00AD3869">
      <w:pPr>
        <w:pStyle w:val="1"/>
        <w:keepNext w:val="0"/>
        <w:widowControl/>
        <w:ind w:left="0" w:firstLine="0"/>
        <w:jc w:val="both"/>
        <w:rPr>
          <w:szCs w:val="22"/>
        </w:rPr>
      </w:pPr>
      <w:r w:rsidRPr="003A467B">
        <w:rPr>
          <w:szCs w:val="22"/>
        </w:rPr>
        <w:t>8.</w:t>
      </w:r>
      <w:r w:rsidRPr="003A467B">
        <w:rPr>
          <w:szCs w:val="22"/>
        </w:rPr>
        <w:tab/>
        <w:t>ΑΡΙΘΜΟΣ ΑΔΕΙΑΣ ΚΥΚΛΟΦΟΡΙΑΣ</w:t>
      </w:r>
      <w:r w:rsidR="00130E53">
        <w:rPr>
          <w:szCs w:val="22"/>
        </w:rPr>
        <w:t xml:space="preserve"> ΣΤΗΝ ΕΛΛΑΔΑ</w:t>
      </w:r>
    </w:p>
    <w:p w:rsidR="00130E53" w:rsidRPr="00130E53" w:rsidRDefault="00130E53" w:rsidP="00130E53">
      <w:pPr>
        <w:pStyle w:val="Para0s"/>
      </w:pPr>
    </w:p>
    <w:p w:rsidR="00130E53" w:rsidRDefault="00130E53" w:rsidP="00A7398E">
      <w:pPr>
        <w:pStyle w:val="Para0s"/>
      </w:pPr>
    </w:p>
    <w:p w:rsidR="00130E53" w:rsidRDefault="00130E53" w:rsidP="00A7398E">
      <w:pPr>
        <w:pStyle w:val="Para0s"/>
        <w:rPr>
          <w:b/>
          <w:bCs/>
        </w:rPr>
      </w:pPr>
      <w:r>
        <w:t xml:space="preserve">         </w:t>
      </w:r>
      <w:r w:rsidRPr="00130E53">
        <w:rPr>
          <w:b/>
          <w:bCs/>
        </w:rPr>
        <w:t>ΑΡΙΘΜΟΣ ΕΙΔΙΚΗΣ ΑΔΕΙΑΣ ΚΥΚΛΟΦΟΡΙΑΣ ΣΤΗΝ ΚΥΠΡΟ</w:t>
      </w:r>
    </w:p>
    <w:p w:rsidR="00EF38A2" w:rsidRDefault="00EF38A2" w:rsidP="00A7398E">
      <w:pPr>
        <w:pStyle w:val="Para0s"/>
        <w:rPr>
          <w:b/>
          <w:bCs/>
        </w:rPr>
      </w:pPr>
    </w:p>
    <w:p w:rsidR="00EF38A2" w:rsidRPr="00EF38A2" w:rsidRDefault="00EF38A2" w:rsidP="00A7398E">
      <w:pPr>
        <w:pStyle w:val="Para0s"/>
        <w:rPr>
          <w:bCs/>
        </w:rPr>
      </w:pPr>
      <w:r>
        <w:rPr>
          <w:b/>
          <w:bCs/>
        </w:rPr>
        <w:t xml:space="preserve">     </w:t>
      </w:r>
      <w:r w:rsidRPr="00EF38A2">
        <w:rPr>
          <w:bCs/>
        </w:rPr>
        <w:t xml:space="preserve">   </w:t>
      </w:r>
    </w:p>
    <w:p w:rsidR="00A7398E" w:rsidRPr="003A467B" w:rsidRDefault="00A7398E" w:rsidP="00A7398E">
      <w:pPr>
        <w:pStyle w:val="Para0s"/>
      </w:pPr>
    </w:p>
    <w:p w:rsidR="0084183B" w:rsidRPr="003A467B" w:rsidRDefault="0084183B" w:rsidP="00AD3869">
      <w:pPr>
        <w:pStyle w:val="1"/>
        <w:keepNext w:val="0"/>
        <w:widowControl/>
        <w:ind w:left="0" w:firstLine="0"/>
        <w:jc w:val="both"/>
        <w:rPr>
          <w:b w:val="0"/>
          <w:szCs w:val="22"/>
        </w:rPr>
      </w:pPr>
      <w:r w:rsidRPr="003A467B">
        <w:rPr>
          <w:szCs w:val="22"/>
        </w:rPr>
        <w:t>9.</w:t>
      </w:r>
      <w:r w:rsidRPr="003A467B">
        <w:rPr>
          <w:szCs w:val="22"/>
        </w:rPr>
        <w:tab/>
        <w:t>ΗΜΕΡΟΜΗΝΙΑ ΠΡΩΤΗΣ ΕΓΚΡΙΣΗΣ/ΑΝΑΝΕΩΣΗΣ ΤΗΣ ΑΔΕΙΑΣ</w:t>
      </w:r>
    </w:p>
    <w:p w:rsidR="00A7398E" w:rsidRDefault="00A7398E" w:rsidP="00A7398E">
      <w:pPr>
        <w:pStyle w:val="Para0s"/>
      </w:pPr>
    </w:p>
    <w:p w:rsidR="00EF38A2" w:rsidRPr="00F364EC" w:rsidRDefault="00130E53" w:rsidP="00EF38A2">
      <w:pPr>
        <w:pStyle w:val="1"/>
        <w:keepNext w:val="0"/>
        <w:widowControl/>
        <w:ind w:left="0" w:firstLine="0"/>
        <w:jc w:val="both"/>
        <w:rPr>
          <w:b w:val="0"/>
          <w:szCs w:val="22"/>
          <w:u w:val="single"/>
        </w:rPr>
      </w:pPr>
      <w:r>
        <w:t xml:space="preserve">          </w:t>
      </w:r>
      <w:r w:rsidR="00EF38A2" w:rsidRPr="00FB04F6">
        <w:rPr>
          <w:szCs w:val="22"/>
          <w:u w:val="single"/>
        </w:rPr>
        <w:t>ΕΛΛΑΔΑ</w:t>
      </w:r>
    </w:p>
    <w:p w:rsidR="00EF38A2" w:rsidRDefault="00EF38A2" w:rsidP="00EF38A2">
      <w:pPr>
        <w:pStyle w:val="1"/>
        <w:keepNext w:val="0"/>
        <w:widowControl/>
        <w:ind w:left="0" w:firstLine="0"/>
        <w:jc w:val="both"/>
        <w:rPr>
          <w:b w:val="0"/>
          <w:szCs w:val="22"/>
        </w:rPr>
      </w:pPr>
    </w:p>
    <w:p w:rsidR="00EF38A2" w:rsidRDefault="00EF38A2" w:rsidP="00EF38A2">
      <w:pPr>
        <w:pStyle w:val="1"/>
        <w:keepNext w:val="0"/>
        <w:widowControl/>
        <w:ind w:left="0" w:firstLine="0"/>
        <w:jc w:val="both"/>
        <w:rPr>
          <w:b w:val="0"/>
          <w:szCs w:val="22"/>
        </w:rPr>
      </w:pPr>
      <w:r>
        <w:rPr>
          <w:szCs w:val="22"/>
        </w:rPr>
        <w:tab/>
      </w:r>
      <w:r w:rsidRPr="00FB04F6">
        <w:rPr>
          <w:szCs w:val="22"/>
        </w:rPr>
        <w:t>ΠΡΩΤΗ ΑΔΕΙΑ</w:t>
      </w:r>
      <w:r>
        <w:rPr>
          <w:b w:val="0"/>
          <w:szCs w:val="22"/>
        </w:rPr>
        <w:t xml:space="preserve">: </w:t>
      </w:r>
    </w:p>
    <w:p w:rsidR="00EF38A2" w:rsidRDefault="00EF38A2" w:rsidP="00EF38A2">
      <w:pPr>
        <w:pStyle w:val="Para0s"/>
      </w:pPr>
    </w:p>
    <w:p w:rsidR="00EF38A2" w:rsidRPr="00FB04F6" w:rsidRDefault="00EF38A2" w:rsidP="00EF38A2">
      <w:pPr>
        <w:pStyle w:val="Para0s"/>
        <w:ind w:firstLine="567"/>
      </w:pPr>
      <w:r w:rsidRPr="00FB04F6">
        <w:rPr>
          <w:b/>
        </w:rPr>
        <w:t>ΑΝΑΝΕΩΣΗ:</w:t>
      </w:r>
      <w:r>
        <w:t xml:space="preserve"> </w:t>
      </w:r>
    </w:p>
    <w:p w:rsidR="00EF38A2" w:rsidRDefault="00EF38A2" w:rsidP="00EF38A2">
      <w:pPr>
        <w:pStyle w:val="1"/>
        <w:keepNext w:val="0"/>
        <w:widowControl/>
        <w:ind w:left="0" w:firstLine="0"/>
        <w:jc w:val="both"/>
        <w:rPr>
          <w:szCs w:val="22"/>
        </w:rPr>
      </w:pPr>
    </w:p>
    <w:p w:rsidR="00EF38A2" w:rsidRDefault="00EF38A2" w:rsidP="00EF38A2">
      <w:pPr>
        <w:pStyle w:val="1"/>
        <w:keepNext w:val="0"/>
        <w:widowControl/>
        <w:ind w:left="0" w:firstLine="0"/>
        <w:jc w:val="both"/>
        <w:rPr>
          <w:szCs w:val="22"/>
        </w:rPr>
      </w:pPr>
    </w:p>
    <w:p w:rsidR="00EF38A2" w:rsidRPr="00FB04F6" w:rsidRDefault="00EF38A2" w:rsidP="00EF38A2">
      <w:pPr>
        <w:pStyle w:val="1"/>
        <w:keepNext w:val="0"/>
        <w:widowControl/>
        <w:ind w:left="0" w:firstLine="0"/>
        <w:jc w:val="both"/>
        <w:rPr>
          <w:b w:val="0"/>
          <w:szCs w:val="22"/>
          <w:u w:val="single"/>
        </w:rPr>
      </w:pPr>
      <w:r w:rsidRPr="00EF38A2">
        <w:rPr>
          <w:szCs w:val="22"/>
        </w:rPr>
        <w:tab/>
      </w:r>
      <w:r w:rsidRPr="00FB04F6">
        <w:rPr>
          <w:szCs w:val="22"/>
          <w:u w:val="single"/>
        </w:rPr>
        <w:t>ΚΥΠΡΟΣ</w:t>
      </w:r>
    </w:p>
    <w:p w:rsidR="00EF38A2" w:rsidRDefault="00EF38A2" w:rsidP="00EF38A2">
      <w:pPr>
        <w:pStyle w:val="1"/>
        <w:keepNext w:val="0"/>
        <w:widowControl/>
        <w:ind w:left="0" w:firstLine="0"/>
        <w:jc w:val="both"/>
        <w:rPr>
          <w:b w:val="0"/>
          <w:szCs w:val="22"/>
        </w:rPr>
      </w:pPr>
    </w:p>
    <w:p w:rsidR="00EF38A2" w:rsidRDefault="00EF38A2" w:rsidP="00EF38A2">
      <w:pPr>
        <w:pStyle w:val="1"/>
        <w:keepNext w:val="0"/>
        <w:widowControl/>
        <w:ind w:left="0" w:firstLine="0"/>
        <w:jc w:val="both"/>
        <w:rPr>
          <w:b w:val="0"/>
          <w:szCs w:val="22"/>
        </w:rPr>
      </w:pPr>
      <w:r>
        <w:rPr>
          <w:szCs w:val="22"/>
        </w:rPr>
        <w:tab/>
      </w:r>
      <w:r w:rsidRPr="00FB04F6">
        <w:rPr>
          <w:szCs w:val="22"/>
        </w:rPr>
        <w:t>ΠΡΩΤΗ ΑΔΕΙΑ:</w:t>
      </w:r>
      <w:r>
        <w:rPr>
          <w:b w:val="0"/>
          <w:szCs w:val="22"/>
        </w:rPr>
        <w:t xml:space="preserve"> </w:t>
      </w:r>
    </w:p>
    <w:p w:rsidR="00EF38A2" w:rsidRDefault="00EF38A2" w:rsidP="00EF38A2">
      <w:pPr>
        <w:pStyle w:val="Para0s"/>
      </w:pPr>
    </w:p>
    <w:p w:rsidR="00EF38A2" w:rsidRPr="00FB04F6" w:rsidRDefault="00EF38A2" w:rsidP="00EF38A2">
      <w:pPr>
        <w:pStyle w:val="Para0s"/>
        <w:ind w:firstLine="567"/>
      </w:pPr>
      <w:r w:rsidRPr="00FB04F6">
        <w:rPr>
          <w:b/>
        </w:rPr>
        <w:t>ΑΝΑΝΕΩΣΗ:</w:t>
      </w:r>
      <w:r>
        <w:t xml:space="preserve"> </w:t>
      </w:r>
    </w:p>
    <w:p w:rsidR="00130E53" w:rsidRPr="003A467B" w:rsidRDefault="00130E53" w:rsidP="00A7398E">
      <w:pPr>
        <w:pStyle w:val="Para0s"/>
      </w:pPr>
    </w:p>
    <w:p w:rsidR="00A7398E" w:rsidRPr="003A467B" w:rsidRDefault="00A7398E" w:rsidP="00A7398E">
      <w:pPr>
        <w:pStyle w:val="Para0s"/>
      </w:pPr>
    </w:p>
    <w:p w:rsidR="00130E53" w:rsidRDefault="0084183B" w:rsidP="005724E2">
      <w:pPr>
        <w:pStyle w:val="1"/>
        <w:keepNext w:val="0"/>
        <w:widowControl/>
        <w:numPr>
          <w:ilvl w:val="0"/>
          <w:numId w:val="29"/>
        </w:numPr>
        <w:ind w:hanging="930"/>
        <w:jc w:val="both"/>
      </w:pPr>
      <w:r w:rsidRPr="003A467B">
        <w:t>ΗΜΕΡ</w:t>
      </w:r>
      <w:r w:rsidR="00130E53">
        <w:t>ΟΜΗΝΙΑ ΑΝΑΘΕΩΡΗΣΗΣ ΤΟΥ ΚΕΙΜΕΝΟΥ</w:t>
      </w:r>
    </w:p>
    <w:p w:rsidR="001B4AC7" w:rsidRDefault="001B4AC7" w:rsidP="001B4AC7">
      <w:pPr>
        <w:pStyle w:val="Para0s"/>
        <w:rPr>
          <w:lang w:val="en-US"/>
        </w:rPr>
      </w:pPr>
    </w:p>
    <w:p w:rsidR="00817B6C" w:rsidRPr="00817B6C" w:rsidRDefault="003F4072" w:rsidP="001B4AC7">
      <w:pPr>
        <w:pStyle w:val="Para0s"/>
      </w:pPr>
      <w:r>
        <w:t xml:space="preserve">          </w:t>
      </w:r>
    </w:p>
    <w:sectPr w:rsidR="00817B6C" w:rsidRPr="00817B6C" w:rsidSect="00260120">
      <w:headerReference w:type="default" r:id="rId7"/>
      <w:footerReference w:type="even" r:id="rId8"/>
      <w:footerReference w:type="default" r:id="rId9"/>
      <w:type w:val="continuous"/>
      <w:pgSz w:w="11907" w:h="16840" w:code="9"/>
      <w:pgMar w:top="993" w:right="1418" w:bottom="1134" w:left="1418" w:header="737" w:footer="73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F2" w:rsidRDefault="00596FF2">
      <w:r>
        <w:separator/>
      </w:r>
    </w:p>
  </w:endnote>
  <w:endnote w:type="continuationSeparator" w:id="0">
    <w:p w:rsidR="00596FF2" w:rsidRDefault="00596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8B" w:rsidRDefault="00572E8B">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72E8B" w:rsidRDefault="00572E8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8B" w:rsidRDefault="00572E8B">
    <w:pPr>
      <w:pStyle w:val="a4"/>
      <w:framePr w:wrap="around" w:vAnchor="text" w:hAnchor="margin" w:xAlign="right" w:y="1"/>
      <w:rPr>
        <w:rStyle w:val="aa"/>
        <w:sz w:val="20"/>
      </w:rPr>
    </w:pPr>
    <w:r>
      <w:rPr>
        <w:rStyle w:val="aa"/>
        <w:sz w:val="20"/>
      </w:rPr>
      <w:fldChar w:fldCharType="begin"/>
    </w:r>
    <w:r>
      <w:rPr>
        <w:rStyle w:val="aa"/>
        <w:sz w:val="20"/>
      </w:rPr>
      <w:instrText xml:space="preserve">PAGE  </w:instrText>
    </w:r>
    <w:r>
      <w:rPr>
        <w:rStyle w:val="aa"/>
        <w:sz w:val="20"/>
      </w:rPr>
      <w:fldChar w:fldCharType="separate"/>
    </w:r>
    <w:r w:rsidR="00AA3802">
      <w:rPr>
        <w:rStyle w:val="aa"/>
        <w:noProof/>
        <w:sz w:val="20"/>
      </w:rPr>
      <w:t>16</w:t>
    </w:r>
    <w:r>
      <w:rPr>
        <w:rStyle w:val="aa"/>
        <w:sz w:val="20"/>
      </w:rPr>
      <w:fldChar w:fldCharType="end"/>
    </w:r>
  </w:p>
  <w:p w:rsidR="00572E8B" w:rsidRDefault="00572E8B">
    <w:pPr>
      <w:pStyle w:val="a4"/>
      <w:widowControl/>
      <w:ind w:right="360"/>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F2" w:rsidRDefault="00596FF2">
      <w:r>
        <w:separator/>
      </w:r>
    </w:p>
  </w:footnote>
  <w:footnote w:type="continuationSeparator" w:id="0">
    <w:p w:rsidR="00596FF2" w:rsidRDefault="00596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8B" w:rsidRPr="0076022D" w:rsidRDefault="00572E8B" w:rsidP="0076022D">
    <w:pPr>
      <w:pStyle w:val="a5"/>
      <w:spacing w:after="0"/>
      <w:rPr>
        <w:rFonts w:ascii="Times New Roman" w:hAnsi="Times New Roman"/>
        <w:sz w:val="16"/>
        <w:szCs w:val="16"/>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57"/>
    <w:multiLevelType w:val="hybridMultilevel"/>
    <w:tmpl w:val="0DFCDB2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DB2D08"/>
    <w:multiLevelType w:val="singleLevel"/>
    <w:tmpl w:val="F6D86396"/>
    <w:lvl w:ilvl="0">
      <w:start w:val="1"/>
      <w:numFmt w:val="bullet"/>
      <w:lvlText w:val=""/>
      <w:lvlJc w:val="left"/>
      <w:pPr>
        <w:tabs>
          <w:tab w:val="num" w:pos="567"/>
        </w:tabs>
        <w:ind w:left="567" w:hanging="567"/>
      </w:pPr>
      <w:rPr>
        <w:rFonts w:ascii="Symbol" w:hAnsi="Symbol" w:hint="default"/>
      </w:rPr>
    </w:lvl>
  </w:abstractNum>
  <w:abstractNum w:abstractNumId="2">
    <w:nsid w:val="08DE5677"/>
    <w:multiLevelType w:val="hybridMultilevel"/>
    <w:tmpl w:val="971EFCBE"/>
    <w:lvl w:ilvl="0" w:tplc="5060C61C">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D3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1FA6291"/>
    <w:multiLevelType w:val="singleLevel"/>
    <w:tmpl w:val="266E9C84"/>
    <w:lvl w:ilvl="0">
      <w:start w:val="1"/>
      <w:numFmt w:val="bullet"/>
      <w:pStyle w:val="Bullet0dKT"/>
      <w:lvlText w:val=""/>
      <w:lvlJc w:val="left"/>
      <w:pPr>
        <w:tabs>
          <w:tab w:val="num" w:pos="567"/>
        </w:tabs>
        <w:ind w:left="567" w:hanging="567"/>
      </w:pPr>
      <w:rPr>
        <w:rFonts w:ascii="Symbol" w:hAnsi="Symbol" w:hint="default"/>
      </w:rPr>
    </w:lvl>
  </w:abstractNum>
  <w:abstractNum w:abstractNumId="5">
    <w:nsid w:val="155A5C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8826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E36418"/>
    <w:multiLevelType w:val="singleLevel"/>
    <w:tmpl w:val="02283B6C"/>
    <w:lvl w:ilvl="0">
      <w:start w:val="1"/>
      <w:numFmt w:val="bullet"/>
      <w:lvlText w:val=""/>
      <w:lvlJc w:val="left"/>
      <w:pPr>
        <w:tabs>
          <w:tab w:val="num" w:pos="567"/>
        </w:tabs>
        <w:ind w:left="567" w:hanging="567"/>
      </w:pPr>
      <w:rPr>
        <w:rFonts w:ascii="Symbol" w:hAnsi="Symbol" w:hint="default"/>
      </w:rPr>
    </w:lvl>
  </w:abstractNum>
  <w:abstractNum w:abstractNumId="8">
    <w:nsid w:val="19CC4E9E"/>
    <w:multiLevelType w:val="singleLevel"/>
    <w:tmpl w:val="EE36396C"/>
    <w:lvl w:ilvl="0">
      <w:start w:val="1"/>
      <w:numFmt w:val="bullet"/>
      <w:lvlText w:val=""/>
      <w:lvlJc w:val="left"/>
      <w:pPr>
        <w:tabs>
          <w:tab w:val="num" w:pos="567"/>
        </w:tabs>
        <w:ind w:left="567" w:hanging="567"/>
      </w:pPr>
      <w:rPr>
        <w:rFonts w:ascii="Symbol" w:hAnsi="Symbol" w:hint="default"/>
      </w:rPr>
    </w:lvl>
  </w:abstractNum>
  <w:abstractNum w:abstractNumId="9">
    <w:nsid w:val="19D54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B291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ED87399"/>
    <w:multiLevelType w:val="hybridMultilevel"/>
    <w:tmpl w:val="0B366528"/>
    <w:lvl w:ilvl="0" w:tplc="ADCE279C">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5C0124"/>
    <w:multiLevelType w:val="singleLevel"/>
    <w:tmpl w:val="82AA5A94"/>
    <w:lvl w:ilvl="0">
      <w:start w:val="1"/>
      <w:numFmt w:val="bullet"/>
      <w:lvlText w:val=""/>
      <w:lvlJc w:val="left"/>
      <w:pPr>
        <w:tabs>
          <w:tab w:val="num" w:pos="567"/>
        </w:tabs>
        <w:ind w:left="567" w:hanging="567"/>
      </w:pPr>
      <w:rPr>
        <w:rFonts w:ascii="Symbol" w:hAnsi="Symbol" w:hint="default"/>
      </w:rPr>
    </w:lvl>
  </w:abstractNum>
  <w:abstractNum w:abstractNumId="13">
    <w:nsid w:val="28406B73"/>
    <w:multiLevelType w:val="singleLevel"/>
    <w:tmpl w:val="08090001"/>
    <w:lvl w:ilvl="0">
      <w:start w:val="1"/>
      <w:numFmt w:val="bullet"/>
      <w:lvlText w:val=""/>
      <w:lvlJc w:val="left"/>
      <w:pPr>
        <w:tabs>
          <w:tab w:val="num" w:pos="480"/>
        </w:tabs>
        <w:ind w:left="480" w:hanging="360"/>
      </w:pPr>
      <w:rPr>
        <w:rFonts w:ascii="Symbol" w:hAnsi="Symbol" w:hint="default"/>
      </w:rPr>
    </w:lvl>
  </w:abstractNum>
  <w:abstractNum w:abstractNumId="14">
    <w:nsid w:val="28613E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581645B"/>
    <w:multiLevelType w:val="singleLevel"/>
    <w:tmpl w:val="6DD4EAF2"/>
    <w:lvl w:ilvl="0">
      <w:start w:val="1"/>
      <w:numFmt w:val="bullet"/>
      <w:lvlText w:val=""/>
      <w:lvlJc w:val="left"/>
      <w:pPr>
        <w:tabs>
          <w:tab w:val="num" w:pos="360"/>
        </w:tabs>
        <w:ind w:left="340" w:hanging="340"/>
      </w:pPr>
      <w:rPr>
        <w:rFonts w:ascii="Symbol" w:hAnsi="Symbol" w:hint="default"/>
        <w:sz w:val="24"/>
      </w:rPr>
    </w:lvl>
  </w:abstractNum>
  <w:abstractNum w:abstractNumId="16">
    <w:nsid w:val="40C511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11930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23F33BE"/>
    <w:multiLevelType w:val="singleLevel"/>
    <w:tmpl w:val="27043F7A"/>
    <w:lvl w:ilvl="0">
      <w:start w:val="1"/>
      <w:numFmt w:val="bullet"/>
      <w:lvlText w:val=""/>
      <w:lvlJc w:val="left"/>
      <w:pPr>
        <w:tabs>
          <w:tab w:val="num" w:pos="360"/>
        </w:tabs>
        <w:ind w:left="360" w:hanging="360"/>
      </w:pPr>
      <w:rPr>
        <w:rFonts w:ascii="Wingdings" w:hAnsi="Wingdings" w:hint="default"/>
      </w:rPr>
    </w:lvl>
  </w:abstractNum>
  <w:abstractNum w:abstractNumId="19">
    <w:nsid w:val="424A44D2"/>
    <w:multiLevelType w:val="multilevel"/>
    <w:tmpl w:val="CD247EEE"/>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BF4CDA"/>
    <w:multiLevelType w:val="singleLevel"/>
    <w:tmpl w:val="E5BE3306"/>
    <w:lvl w:ilvl="0">
      <w:start w:val="1"/>
      <w:numFmt w:val="bullet"/>
      <w:lvlText w:val=""/>
      <w:lvlJc w:val="left"/>
      <w:pPr>
        <w:tabs>
          <w:tab w:val="num" w:pos="360"/>
        </w:tabs>
        <w:ind w:left="360" w:hanging="360"/>
      </w:pPr>
      <w:rPr>
        <w:rFonts w:ascii="Symbol" w:hAnsi="Symbol" w:hint="default"/>
      </w:rPr>
    </w:lvl>
  </w:abstractNum>
  <w:abstractNum w:abstractNumId="21">
    <w:nsid w:val="5154599F"/>
    <w:multiLevelType w:val="singleLevel"/>
    <w:tmpl w:val="27043F7A"/>
    <w:lvl w:ilvl="0">
      <w:start w:val="1"/>
      <w:numFmt w:val="bullet"/>
      <w:lvlText w:val=""/>
      <w:lvlJc w:val="left"/>
      <w:pPr>
        <w:tabs>
          <w:tab w:val="num" w:pos="360"/>
        </w:tabs>
        <w:ind w:left="360" w:hanging="360"/>
      </w:pPr>
      <w:rPr>
        <w:rFonts w:ascii="Wingdings" w:hAnsi="Wingdings" w:hint="default"/>
      </w:rPr>
    </w:lvl>
  </w:abstractNum>
  <w:abstractNum w:abstractNumId="22">
    <w:nsid w:val="53813825"/>
    <w:multiLevelType w:val="singleLevel"/>
    <w:tmpl w:val="17C8A244"/>
    <w:lvl w:ilvl="0">
      <w:start w:val="1"/>
      <w:numFmt w:val="decimal"/>
      <w:lvlText w:val="%1."/>
      <w:lvlJc w:val="left"/>
      <w:pPr>
        <w:tabs>
          <w:tab w:val="num" w:pos="567"/>
        </w:tabs>
        <w:ind w:left="567" w:hanging="567"/>
      </w:pPr>
      <w:rPr>
        <w:rFonts w:ascii="Times New Roman" w:hAnsi="Times New Roman" w:hint="default"/>
        <w:sz w:val="22"/>
      </w:rPr>
    </w:lvl>
  </w:abstractNum>
  <w:abstractNum w:abstractNumId="23">
    <w:nsid w:val="5BDC5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CF30309"/>
    <w:multiLevelType w:val="singleLevel"/>
    <w:tmpl w:val="0C09000F"/>
    <w:lvl w:ilvl="0">
      <w:start w:val="1"/>
      <w:numFmt w:val="decimal"/>
      <w:lvlText w:val="%1."/>
      <w:lvlJc w:val="left"/>
      <w:pPr>
        <w:tabs>
          <w:tab w:val="num" w:pos="360"/>
        </w:tabs>
        <w:ind w:left="360" w:hanging="360"/>
      </w:pPr>
    </w:lvl>
  </w:abstractNum>
  <w:abstractNum w:abstractNumId="25">
    <w:nsid w:val="6FBB1712"/>
    <w:multiLevelType w:val="singleLevel"/>
    <w:tmpl w:val="27043F7A"/>
    <w:lvl w:ilvl="0">
      <w:start w:val="1"/>
      <w:numFmt w:val="bullet"/>
      <w:lvlText w:val=""/>
      <w:lvlJc w:val="left"/>
      <w:pPr>
        <w:tabs>
          <w:tab w:val="num" w:pos="360"/>
        </w:tabs>
        <w:ind w:left="360" w:hanging="360"/>
      </w:pPr>
      <w:rPr>
        <w:rFonts w:ascii="Wingdings" w:hAnsi="Wingdings" w:hint="default"/>
      </w:rPr>
    </w:lvl>
  </w:abstractNum>
  <w:abstractNum w:abstractNumId="26">
    <w:nsid w:val="727F3098"/>
    <w:multiLevelType w:val="singleLevel"/>
    <w:tmpl w:val="BF1621C4"/>
    <w:lvl w:ilvl="0">
      <w:start w:val="1"/>
      <w:numFmt w:val="bullet"/>
      <w:lvlText w:val=""/>
      <w:lvlJc w:val="left"/>
      <w:pPr>
        <w:tabs>
          <w:tab w:val="num" w:pos="1134"/>
        </w:tabs>
        <w:ind w:left="1134" w:hanging="567"/>
      </w:pPr>
      <w:rPr>
        <w:rFonts w:ascii="Symbol" w:hAnsi="Symbol" w:hint="default"/>
      </w:rPr>
    </w:lvl>
  </w:abstractNum>
  <w:abstractNum w:abstractNumId="27">
    <w:nsid w:val="733160C4"/>
    <w:multiLevelType w:val="singleLevel"/>
    <w:tmpl w:val="9B44EC60"/>
    <w:lvl w:ilvl="0">
      <w:start w:val="1"/>
      <w:numFmt w:val="bullet"/>
      <w:lvlText w:val=""/>
      <w:lvlJc w:val="left"/>
      <w:pPr>
        <w:tabs>
          <w:tab w:val="num" w:pos="567"/>
        </w:tabs>
        <w:ind w:left="567" w:hanging="567"/>
      </w:pPr>
      <w:rPr>
        <w:rFonts w:ascii="Symbol" w:hAnsi="Symbol" w:hint="default"/>
      </w:rPr>
    </w:lvl>
  </w:abstractNum>
  <w:abstractNum w:abstractNumId="28">
    <w:nsid w:val="74815A1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3"/>
  </w:num>
  <w:num w:numId="3">
    <w:abstractNumId w:val="6"/>
  </w:num>
  <w:num w:numId="4">
    <w:abstractNumId w:val="14"/>
  </w:num>
  <w:num w:numId="5">
    <w:abstractNumId w:val="3"/>
  </w:num>
  <w:num w:numId="6">
    <w:abstractNumId w:val="10"/>
  </w:num>
  <w:num w:numId="7">
    <w:abstractNumId w:val="28"/>
  </w:num>
  <w:num w:numId="8">
    <w:abstractNumId w:val="16"/>
  </w:num>
  <w:num w:numId="9">
    <w:abstractNumId w:val="5"/>
  </w:num>
  <w:num w:numId="10">
    <w:abstractNumId w:val="13"/>
  </w:num>
  <w:num w:numId="11">
    <w:abstractNumId w:val="9"/>
  </w:num>
  <w:num w:numId="12">
    <w:abstractNumId w:val="4"/>
  </w:num>
  <w:num w:numId="13">
    <w:abstractNumId w:val="22"/>
  </w:num>
  <w:num w:numId="14">
    <w:abstractNumId w:val="26"/>
  </w:num>
  <w:num w:numId="15">
    <w:abstractNumId w:val="8"/>
  </w:num>
  <w:num w:numId="16">
    <w:abstractNumId w:val="12"/>
  </w:num>
  <w:num w:numId="17">
    <w:abstractNumId w:val="1"/>
  </w:num>
  <w:num w:numId="18">
    <w:abstractNumId w:val="27"/>
  </w:num>
  <w:num w:numId="19">
    <w:abstractNumId w:val="7"/>
  </w:num>
  <w:num w:numId="20">
    <w:abstractNumId w:val="20"/>
  </w:num>
  <w:num w:numId="21">
    <w:abstractNumId w:val="15"/>
  </w:num>
  <w:num w:numId="22">
    <w:abstractNumId w:val="24"/>
  </w:num>
  <w:num w:numId="23">
    <w:abstractNumId w:val="21"/>
  </w:num>
  <w:num w:numId="24">
    <w:abstractNumId w:val="25"/>
  </w:num>
  <w:num w:numId="25">
    <w:abstractNumId w:val="18"/>
  </w:num>
  <w:num w:numId="26">
    <w:abstractNumId w:val="0"/>
  </w:num>
  <w:num w:numId="27">
    <w:abstractNumId w:val="11"/>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B91BC1"/>
    <w:rsid w:val="00023213"/>
    <w:rsid w:val="00023AFD"/>
    <w:rsid w:val="00027E18"/>
    <w:rsid w:val="000317F8"/>
    <w:rsid w:val="00032F2E"/>
    <w:rsid w:val="0003327E"/>
    <w:rsid w:val="00033F9D"/>
    <w:rsid w:val="0005130A"/>
    <w:rsid w:val="00066AC8"/>
    <w:rsid w:val="00067F96"/>
    <w:rsid w:val="00073861"/>
    <w:rsid w:val="00074408"/>
    <w:rsid w:val="00076C04"/>
    <w:rsid w:val="00081592"/>
    <w:rsid w:val="00092392"/>
    <w:rsid w:val="0009560E"/>
    <w:rsid w:val="000966FF"/>
    <w:rsid w:val="000A6039"/>
    <w:rsid w:val="000B60AA"/>
    <w:rsid w:val="000C5391"/>
    <w:rsid w:val="000D332B"/>
    <w:rsid w:val="000D5B08"/>
    <w:rsid w:val="000F16F8"/>
    <w:rsid w:val="000F49B8"/>
    <w:rsid w:val="000F622F"/>
    <w:rsid w:val="001008C9"/>
    <w:rsid w:val="0010324B"/>
    <w:rsid w:val="00111B59"/>
    <w:rsid w:val="00127383"/>
    <w:rsid w:val="00127AB3"/>
    <w:rsid w:val="00130E53"/>
    <w:rsid w:val="001356F0"/>
    <w:rsid w:val="00143BCD"/>
    <w:rsid w:val="0014754C"/>
    <w:rsid w:val="001618D2"/>
    <w:rsid w:val="0017011E"/>
    <w:rsid w:val="00174E24"/>
    <w:rsid w:val="00183C19"/>
    <w:rsid w:val="001854B5"/>
    <w:rsid w:val="00191F67"/>
    <w:rsid w:val="0019488C"/>
    <w:rsid w:val="0019523A"/>
    <w:rsid w:val="001A2696"/>
    <w:rsid w:val="001A2D80"/>
    <w:rsid w:val="001A6C1D"/>
    <w:rsid w:val="001B106D"/>
    <w:rsid w:val="001B4AC7"/>
    <w:rsid w:val="001C74D1"/>
    <w:rsid w:val="001D39DA"/>
    <w:rsid w:val="001E3175"/>
    <w:rsid w:val="001E73E9"/>
    <w:rsid w:val="001F1A91"/>
    <w:rsid w:val="00202DE8"/>
    <w:rsid w:val="002030A0"/>
    <w:rsid w:val="00214894"/>
    <w:rsid w:val="00216ECE"/>
    <w:rsid w:val="00220B45"/>
    <w:rsid w:val="002225DE"/>
    <w:rsid w:val="00222D41"/>
    <w:rsid w:val="00227A08"/>
    <w:rsid w:val="002323D4"/>
    <w:rsid w:val="00235AFB"/>
    <w:rsid w:val="00236CF7"/>
    <w:rsid w:val="00246824"/>
    <w:rsid w:val="00250F5D"/>
    <w:rsid w:val="0025120B"/>
    <w:rsid w:val="00255C70"/>
    <w:rsid w:val="00255C97"/>
    <w:rsid w:val="00260120"/>
    <w:rsid w:val="00263207"/>
    <w:rsid w:val="00263BFC"/>
    <w:rsid w:val="002668D8"/>
    <w:rsid w:val="00277BFE"/>
    <w:rsid w:val="002864FD"/>
    <w:rsid w:val="00295C81"/>
    <w:rsid w:val="00296E32"/>
    <w:rsid w:val="002A1657"/>
    <w:rsid w:val="002A3A2B"/>
    <w:rsid w:val="002A566D"/>
    <w:rsid w:val="002A70CB"/>
    <w:rsid w:val="002B3627"/>
    <w:rsid w:val="002B502E"/>
    <w:rsid w:val="002B6EB9"/>
    <w:rsid w:val="002C1BD9"/>
    <w:rsid w:val="002D4316"/>
    <w:rsid w:val="002D5FA6"/>
    <w:rsid w:val="002E2569"/>
    <w:rsid w:val="002E2A8F"/>
    <w:rsid w:val="002E6629"/>
    <w:rsid w:val="002F4225"/>
    <w:rsid w:val="002F6C55"/>
    <w:rsid w:val="002F76D1"/>
    <w:rsid w:val="003015A5"/>
    <w:rsid w:val="00304DF6"/>
    <w:rsid w:val="00310BD5"/>
    <w:rsid w:val="00314D6D"/>
    <w:rsid w:val="00315CE1"/>
    <w:rsid w:val="00315F5C"/>
    <w:rsid w:val="00316B8F"/>
    <w:rsid w:val="00322E2D"/>
    <w:rsid w:val="00326667"/>
    <w:rsid w:val="003322EC"/>
    <w:rsid w:val="00335A0B"/>
    <w:rsid w:val="0033679A"/>
    <w:rsid w:val="00342D46"/>
    <w:rsid w:val="00344599"/>
    <w:rsid w:val="00346264"/>
    <w:rsid w:val="00350EE4"/>
    <w:rsid w:val="00352D41"/>
    <w:rsid w:val="00353F66"/>
    <w:rsid w:val="00355EB0"/>
    <w:rsid w:val="003566D7"/>
    <w:rsid w:val="00374B8E"/>
    <w:rsid w:val="00391CE0"/>
    <w:rsid w:val="0039595C"/>
    <w:rsid w:val="003A3CA2"/>
    <w:rsid w:val="003A467B"/>
    <w:rsid w:val="003B4FFE"/>
    <w:rsid w:val="003B5D0F"/>
    <w:rsid w:val="003C0525"/>
    <w:rsid w:val="003D33CC"/>
    <w:rsid w:val="003E5007"/>
    <w:rsid w:val="003E6952"/>
    <w:rsid w:val="003F17B4"/>
    <w:rsid w:val="003F383D"/>
    <w:rsid w:val="003F4072"/>
    <w:rsid w:val="004001F2"/>
    <w:rsid w:val="00404A9E"/>
    <w:rsid w:val="00404EB0"/>
    <w:rsid w:val="00410BF8"/>
    <w:rsid w:val="004122DF"/>
    <w:rsid w:val="00412C2E"/>
    <w:rsid w:val="0042155A"/>
    <w:rsid w:val="0042364F"/>
    <w:rsid w:val="004271F1"/>
    <w:rsid w:val="004315B5"/>
    <w:rsid w:val="00432999"/>
    <w:rsid w:val="00441B8B"/>
    <w:rsid w:val="00446DAC"/>
    <w:rsid w:val="00452F27"/>
    <w:rsid w:val="0045549E"/>
    <w:rsid w:val="004641D6"/>
    <w:rsid w:val="0047042F"/>
    <w:rsid w:val="00473CC3"/>
    <w:rsid w:val="004746F4"/>
    <w:rsid w:val="00475E77"/>
    <w:rsid w:val="0049036D"/>
    <w:rsid w:val="0049264B"/>
    <w:rsid w:val="004945C0"/>
    <w:rsid w:val="00496C04"/>
    <w:rsid w:val="004A4FBA"/>
    <w:rsid w:val="004B34B4"/>
    <w:rsid w:val="004B3EF2"/>
    <w:rsid w:val="004B4A31"/>
    <w:rsid w:val="004B78E6"/>
    <w:rsid w:val="004D2A49"/>
    <w:rsid w:val="004D5370"/>
    <w:rsid w:val="004E16BD"/>
    <w:rsid w:val="004E4767"/>
    <w:rsid w:val="004E6371"/>
    <w:rsid w:val="004E6D65"/>
    <w:rsid w:val="004F3D25"/>
    <w:rsid w:val="004F5AE9"/>
    <w:rsid w:val="00512565"/>
    <w:rsid w:val="005246E8"/>
    <w:rsid w:val="005357D6"/>
    <w:rsid w:val="00544C43"/>
    <w:rsid w:val="005468F6"/>
    <w:rsid w:val="00553807"/>
    <w:rsid w:val="0055552B"/>
    <w:rsid w:val="005601CF"/>
    <w:rsid w:val="005724E2"/>
    <w:rsid w:val="00572E8B"/>
    <w:rsid w:val="0057655F"/>
    <w:rsid w:val="00584D2D"/>
    <w:rsid w:val="00591DA9"/>
    <w:rsid w:val="005956EA"/>
    <w:rsid w:val="005964E2"/>
    <w:rsid w:val="00596FF2"/>
    <w:rsid w:val="005A3368"/>
    <w:rsid w:val="005A3402"/>
    <w:rsid w:val="005A44E3"/>
    <w:rsid w:val="005A47F4"/>
    <w:rsid w:val="005A5084"/>
    <w:rsid w:val="005A600F"/>
    <w:rsid w:val="005B3B60"/>
    <w:rsid w:val="005B6074"/>
    <w:rsid w:val="005B7ACD"/>
    <w:rsid w:val="005C1392"/>
    <w:rsid w:val="005D68E6"/>
    <w:rsid w:val="005D6C0C"/>
    <w:rsid w:val="005E717E"/>
    <w:rsid w:val="005F1ABD"/>
    <w:rsid w:val="00604C73"/>
    <w:rsid w:val="00615902"/>
    <w:rsid w:val="00621646"/>
    <w:rsid w:val="0062479B"/>
    <w:rsid w:val="00632826"/>
    <w:rsid w:val="00641120"/>
    <w:rsid w:val="00642122"/>
    <w:rsid w:val="006476F4"/>
    <w:rsid w:val="00650B61"/>
    <w:rsid w:val="006613A5"/>
    <w:rsid w:val="00673AFF"/>
    <w:rsid w:val="00675205"/>
    <w:rsid w:val="00687A5B"/>
    <w:rsid w:val="00690391"/>
    <w:rsid w:val="006915D6"/>
    <w:rsid w:val="006B1DE3"/>
    <w:rsid w:val="006C27A8"/>
    <w:rsid w:val="006E63FC"/>
    <w:rsid w:val="006F0193"/>
    <w:rsid w:val="006F0FD0"/>
    <w:rsid w:val="006F12FB"/>
    <w:rsid w:val="006F74A3"/>
    <w:rsid w:val="0070407E"/>
    <w:rsid w:val="00706974"/>
    <w:rsid w:val="0071315C"/>
    <w:rsid w:val="0071499F"/>
    <w:rsid w:val="00724561"/>
    <w:rsid w:val="007246C0"/>
    <w:rsid w:val="0073348F"/>
    <w:rsid w:val="00735E19"/>
    <w:rsid w:val="0074478B"/>
    <w:rsid w:val="00753291"/>
    <w:rsid w:val="00753678"/>
    <w:rsid w:val="0076022D"/>
    <w:rsid w:val="00761F60"/>
    <w:rsid w:val="00763ADD"/>
    <w:rsid w:val="00772786"/>
    <w:rsid w:val="00776C5F"/>
    <w:rsid w:val="00781AD0"/>
    <w:rsid w:val="00784390"/>
    <w:rsid w:val="00784650"/>
    <w:rsid w:val="007868B9"/>
    <w:rsid w:val="00786A29"/>
    <w:rsid w:val="00787583"/>
    <w:rsid w:val="00787826"/>
    <w:rsid w:val="007A1D1F"/>
    <w:rsid w:val="007B11E9"/>
    <w:rsid w:val="007B5FCA"/>
    <w:rsid w:val="007C575F"/>
    <w:rsid w:val="007C5C27"/>
    <w:rsid w:val="007C751F"/>
    <w:rsid w:val="007D0500"/>
    <w:rsid w:val="007D4DD1"/>
    <w:rsid w:val="007D760A"/>
    <w:rsid w:val="007F0D1A"/>
    <w:rsid w:val="00803E13"/>
    <w:rsid w:val="0081620E"/>
    <w:rsid w:val="00817B6C"/>
    <w:rsid w:val="008318A1"/>
    <w:rsid w:val="0083489F"/>
    <w:rsid w:val="00836901"/>
    <w:rsid w:val="008376F9"/>
    <w:rsid w:val="0084183B"/>
    <w:rsid w:val="00842E2D"/>
    <w:rsid w:val="0084341C"/>
    <w:rsid w:val="00846A10"/>
    <w:rsid w:val="00851CD9"/>
    <w:rsid w:val="00853182"/>
    <w:rsid w:val="0085319E"/>
    <w:rsid w:val="00855ED8"/>
    <w:rsid w:val="008743AB"/>
    <w:rsid w:val="008B1A26"/>
    <w:rsid w:val="008B7A4F"/>
    <w:rsid w:val="008C5CD2"/>
    <w:rsid w:val="008E1FBB"/>
    <w:rsid w:val="008E40F1"/>
    <w:rsid w:val="008E69AE"/>
    <w:rsid w:val="008F0D26"/>
    <w:rsid w:val="008F694D"/>
    <w:rsid w:val="00902763"/>
    <w:rsid w:val="0091224A"/>
    <w:rsid w:val="00913BAF"/>
    <w:rsid w:val="00920FDC"/>
    <w:rsid w:val="00926360"/>
    <w:rsid w:val="009266B7"/>
    <w:rsid w:val="0093207C"/>
    <w:rsid w:val="00932B8A"/>
    <w:rsid w:val="0093565A"/>
    <w:rsid w:val="0094167B"/>
    <w:rsid w:val="00942169"/>
    <w:rsid w:val="00946284"/>
    <w:rsid w:val="00950693"/>
    <w:rsid w:val="009536FA"/>
    <w:rsid w:val="00956F85"/>
    <w:rsid w:val="00957D84"/>
    <w:rsid w:val="009608E3"/>
    <w:rsid w:val="00962BDC"/>
    <w:rsid w:val="009663AE"/>
    <w:rsid w:val="00973706"/>
    <w:rsid w:val="009745D3"/>
    <w:rsid w:val="00981F28"/>
    <w:rsid w:val="009A5087"/>
    <w:rsid w:val="009A7490"/>
    <w:rsid w:val="009B0D92"/>
    <w:rsid w:val="009C4758"/>
    <w:rsid w:val="009C4913"/>
    <w:rsid w:val="009D6EB6"/>
    <w:rsid w:val="009E32FB"/>
    <w:rsid w:val="009F236E"/>
    <w:rsid w:val="00A02042"/>
    <w:rsid w:val="00A038A2"/>
    <w:rsid w:val="00A0496F"/>
    <w:rsid w:val="00A04E7D"/>
    <w:rsid w:val="00A1615E"/>
    <w:rsid w:val="00A26373"/>
    <w:rsid w:val="00A31B71"/>
    <w:rsid w:val="00A32BE6"/>
    <w:rsid w:val="00A33CAD"/>
    <w:rsid w:val="00A4066D"/>
    <w:rsid w:val="00A46F2D"/>
    <w:rsid w:val="00A550FD"/>
    <w:rsid w:val="00A555B1"/>
    <w:rsid w:val="00A7398E"/>
    <w:rsid w:val="00A75529"/>
    <w:rsid w:val="00A919F0"/>
    <w:rsid w:val="00A93CB2"/>
    <w:rsid w:val="00A95819"/>
    <w:rsid w:val="00A96542"/>
    <w:rsid w:val="00AA150F"/>
    <w:rsid w:val="00AA2B3F"/>
    <w:rsid w:val="00AA3802"/>
    <w:rsid w:val="00AB47F3"/>
    <w:rsid w:val="00AB7E3A"/>
    <w:rsid w:val="00AC12EE"/>
    <w:rsid w:val="00AC7253"/>
    <w:rsid w:val="00AD3869"/>
    <w:rsid w:val="00AD5AC1"/>
    <w:rsid w:val="00AF29CA"/>
    <w:rsid w:val="00B000E5"/>
    <w:rsid w:val="00B1031B"/>
    <w:rsid w:val="00B131D7"/>
    <w:rsid w:val="00B14466"/>
    <w:rsid w:val="00B32542"/>
    <w:rsid w:val="00B34F14"/>
    <w:rsid w:val="00B37474"/>
    <w:rsid w:val="00B40D34"/>
    <w:rsid w:val="00B44842"/>
    <w:rsid w:val="00B50E7D"/>
    <w:rsid w:val="00B91BC1"/>
    <w:rsid w:val="00B93123"/>
    <w:rsid w:val="00B9338D"/>
    <w:rsid w:val="00BA05E6"/>
    <w:rsid w:val="00BA2324"/>
    <w:rsid w:val="00BA26E3"/>
    <w:rsid w:val="00BA2D80"/>
    <w:rsid w:val="00BA49F1"/>
    <w:rsid w:val="00BA5D22"/>
    <w:rsid w:val="00BB4E2C"/>
    <w:rsid w:val="00BC568F"/>
    <w:rsid w:val="00BD3111"/>
    <w:rsid w:val="00BD36F5"/>
    <w:rsid w:val="00BE5AA6"/>
    <w:rsid w:val="00BF5AD2"/>
    <w:rsid w:val="00BF7E8F"/>
    <w:rsid w:val="00C030E3"/>
    <w:rsid w:val="00C075BE"/>
    <w:rsid w:val="00C12471"/>
    <w:rsid w:val="00C24915"/>
    <w:rsid w:val="00C40B68"/>
    <w:rsid w:val="00C42443"/>
    <w:rsid w:val="00C44250"/>
    <w:rsid w:val="00C75639"/>
    <w:rsid w:val="00C775EF"/>
    <w:rsid w:val="00C84700"/>
    <w:rsid w:val="00C9138C"/>
    <w:rsid w:val="00C92A16"/>
    <w:rsid w:val="00C933B7"/>
    <w:rsid w:val="00C93EA6"/>
    <w:rsid w:val="00C97CA1"/>
    <w:rsid w:val="00CA469C"/>
    <w:rsid w:val="00CA516E"/>
    <w:rsid w:val="00CB555E"/>
    <w:rsid w:val="00CB5D55"/>
    <w:rsid w:val="00CB6870"/>
    <w:rsid w:val="00CC00A7"/>
    <w:rsid w:val="00CC7532"/>
    <w:rsid w:val="00CD27EA"/>
    <w:rsid w:val="00CD30E4"/>
    <w:rsid w:val="00CE0E73"/>
    <w:rsid w:val="00CE26FC"/>
    <w:rsid w:val="00CE323C"/>
    <w:rsid w:val="00CE3C4B"/>
    <w:rsid w:val="00CF3F9C"/>
    <w:rsid w:val="00CF6290"/>
    <w:rsid w:val="00CF7BF7"/>
    <w:rsid w:val="00CF7D5F"/>
    <w:rsid w:val="00D00204"/>
    <w:rsid w:val="00D0323B"/>
    <w:rsid w:val="00D062CF"/>
    <w:rsid w:val="00D33F08"/>
    <w:rsid w:val="00D41F9A"/>
    <w:rsid w:val="00D422E8"/>
    <w:rsid w:val="00D52DE4"/>
    <w:rsid w:val="00D53665"/>
    <w:rsid w:val="00D62F4E"/>
    <w:rsid w:val="00D70CC1"/>
    <w:rsid w:val="00D70EF5"/>
    <w:rsid w:val="00D75BB5"/>
    <w:rsid w:val="00D808D0"/>
    <w:rsid w:val="00D940C2"/>
    <w:rsid w:val="00D95EE9"/>
    <w:rsid w:val="00DA1BF7"/>
    <w:rsid w:val="00DA1DCE"/>
    <w:rsid w:val="00DA2C55"/>
    <w:rsid w:val="00DA3757"/>
    <w:rsid w:val="00DA4DA5"/>
    <w:rsid w:val="00DB27FD"/>
    <w:rsid w:val="00DB61C5"/>
    <w:rsid w:val="00DC1B36"/>
    <w:rsid w:val="00DD0A2E"/>
    <w:rsid w:val="00DE0133"/>
    <w:rsid w:val="00DE428F"/>
    <w:rsid w:val="00DE5374"/>
    <w:rsid w:val="00DF38D3"/>
    <w:rsid w:val="00E020BC"/>
    <w:rsid w:val="00E02357"/>
    <w:rsid w:val="00E02F2A"/>
    <w:rsid w:val="00E16E92"/>
    <w:rsid w:val="00E324F0"/>
    <w:rsid w:val="00E359A7"/>
    <w:rsid w:val="00E36526"/>
    <w:rsid w:val="00E42AD8"/>
    <w:rsid w:val="00E53E1C"/>
    <w:rsid w:val="00E55009"/>
    <w:rsid w:val="00E57CCE"/>
    <w:rsid w:val="00E64E84"/>
    <w:rsid w:val="00E655EB"/>
    <w:rsid w:val="00E70821"/>
    <w:rsid w:val="00E711D0"/>
    <w:rsid w:val="00E71A6F"/>
    <w:rsid w:val="00E7748E"/>
    <w:rsid w:val="00E81211"/>
    <w:rsid w:val="00E83A87"/>
    <w:rsid w:val="00E91760"/>
    <w:rsid w:val="00E924D0"/>
    <w:rsid w:val="00E92820"/>
    <w:rsid w:val="00EA3DD4"/>
    <w:rsid w:val="00EB79BE"/>
    <w:rsid w:val="00EC0417"/>
    <w:rsid w:val="00EC2C85"/>
    <w:rsid w:val="00EC4194"/>
    <w:rsid w:val="00EC45B0"/>
    <w:rsid w:val="00ED6532"/>
    <w:rsid w:val="00EE1B2E"/>
    <w:rsid w:val="00EE7B8C"/>
    <w:rsid w:val="00EF38A2"/>
    <w:rsid w:val="00F1679A"/>
    <w:rsid w:val="00F210B1"/>
    <w:rsid w:val="00F22A6F"/>
    <w:rsid w:val="00F23CD5"/>
    <w:rsid w:val="00F3075B"/>
    <w:rsid w:val="00F33846"/>
    <w:rsid w:val="00F40433"/>
    <w:rsid w:val="00F44FE2"/>
    <w:rsid w:val="00F6700F"/>
    <w:rsid w:val="00F73E6A"/>
    <w:rsid w:val="00F870C1"/>
    <w:rsid w:val="00FA3510"/>
    <w:rsid w:val="00FB0BFA"/>
    <w:rsid w:val="00FB3B8C"/>
    <w:rsid w:val="00FB78BD"/>
    <w:rsid w:val="00FD4012"/>
    <w:rsid w:val="00FD5109"/>
    <w:rsid w:val="00FE63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20"/>
    </w:pPr>
    <w:rPr>
      <w:rFonts w:ascii="Helvetica" w:hAnsi="Helvetica"/>
      <w:sz w:val="22"/>
      <w:lang w:val="en-US" w:eastAsia="en-US"/>
    </w:rPr>
  </w:style>
  <w:style w:type="paragraph" w:styleId="1">
    <w:name w:val="heading 1"/>
    <w:basedOn w:val="1Style"/>
    <w:next w:val="Para0s"/>
    <w:qFormat/>
    <w:pPr>
      <w:keepNext/>
      <w:tabs>
        <w:tab w:val="left" w:pos="567"/>
      </w:tabs>
      <w:spacing w:after="0"/>
      <w:ind w:left="567" w:hanging="567"/>
      <w:outlineLvl w:val="0"/>
    </w:pPr>
    <w:rPr>
      <w:rFonts w:ascii="Times New Roman" w:hAnsi="Times New Roman"/>
      <w:b/>
      <w:lang w:val="el-GR"/>
    </w:rPr>
  </w:style>
  <w:style w:type="paragraph" w:styleId="2">
    <w:name w:val="heading 2"/>
    <w:basedOn w:val="1"/>
    <w:next w:val="Para0s"/>
    <w:qFormat/>
    <w:pPr>
      <w:outlineLvl w:val="1"/>
    </w:pPr>
  </w:style>
  <w:style w:type="paragraph" w:styleId="3">
    <w:name w:val="heading 3"/>
    <w:basedOn w:val="1"/>
    <w:next w:val="Para0s"/>
    <w:qFormat/>
    <w:pPr>
      <w:outlineLvl w:val="2"/>
    </w:pPr>
  </w:style>
  <w:style w:type="paragraph" w:styleId="4">
    <w:name w:val="heading 4"/>
    <w:basedOn w:val="1"/>
    <w:next w:val="Para0s"/>
    <w:qFormat/>
    <w:pPr>
      <w:ind w:left="1152" w:hanging="1152"/>
      <w:outlineLvl w:val="3"/>
    </w:pPr>
  </w:style>
  <w:style w:type="paragraph" w:styleId="5">
    <w:name w:val="heading 5"/>
    <w:basedOn w:val="1"/>
    <w:next w:val="Para0s"/>
    <w:qFormat/>
    <w:pPr>
      <w:ind w:left="1296" w:hanging="1296"/>
      <w:outlineLvl w:val="4"/>
    </w:pPr>
  </w:style>
  <w:style w:type="paragraph" w:styleId="6">
    <w:name w:val="heading 6"/>
    <w:basedOn w:val="1"/>
    <w:next w:val="Para0s"/>
    <w:qFormat/>
    <w:pPr>
      <w:ind w:left="1440" w:hanging="1440"/>
      <w:outlineLvl w:val="5"/>
    </w:pPr>
  </w:style>
  <w:style w:type="paragraph" w:styleId="7">
    <w:name w:val="heading 7"/>
    <w:basedOn w:val="1"/>
    <w:next w:val="Para0s"/>
    <w:qFormat/>
    <w:pPr>
      <w:ind w:left="1531" w:hanging="1531"/>
      <w:outlineLvl w:val="6"/>
    </w:pPr>
  </w:style>
  <w:style w:type="paragraph" w:styleId="8">
    <w:name w:val="heading 8"/>
    <w:basedOn w:val="1"/>
    <w:next w:val="Para0s"/>
    <w:qFormat/>
    <w:pPr>
      <w:ind w:left="1712" w:hanging="1712"/>
      <w:outlineLvl w:val="7"/>
    </w:pPr>
  </w:style>
  <w:style w:type="paragraph" w:styleId="9">
    <w:name w:val="heading 9"/>
    <w:basedOn w:val="1"/>
    <w:next w:val="Para0s"/>
    <w:qFormat/>
    <w:pPr>
      <w:tabs>
        <w:tab w:val="left" w:pos="360"/>
      </w:tabs>
      <w:ind w:left="1899" w:hanging="1899"/>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Pr>
      <w:sz w:val="20"/>
    </w:rPr>
  </w:style>
  <w:style w:type="paragraph" w:styleId="a4">
    <w:name w:val="footer"/>
    <w:basedOn w:val="a"/>
    <w:pPr>
      <w:tabs>
        <w:tab w:val="center" w:pos="4536"/>
        <w:tab w:val="right" w:pos="9072"/>
      </w:tabs>
      <w:spacing w:after="0"/>
    </w:pPr>
    <w:rPr>
      <w:sz w:val="14"/>
    </w:rPr>
  </w:style>
  <w:style w:type="paragraph" w:styleId="a5">
    <w:name w:val="header"/>
    <w:basedOn w:val="1Style"/>
    <w:link w:val="Char"/>
    <w:uiPriority w:val="99"/>
    <w:pPr>
      <w:tabs>
        <w:tab w:val="center" w:pos="4536"/>
        <w:tab w:val="right" w:pos="9072"/>
      </w:tabs>
    </w:pPr>
    <w:rPr>
      <w:lang/>
    </w:rPr>
  </w:style>
  <w:style w:type="paragraph" w:styleId="a6">
    <w:name w:val="footnote text"/>
    <w:basedOn w:val="1Style"/>
    <w:semiHidden/>
    <w:pPr>
      <w:keepLines/>
      <w:ind w:left="176" w:hanging="176"/>
    </w:pPr>
    <w:rPr>
      <w:sz w:val="18"/>
    </w:rPr>
  </w:style>
  <w:style w:type="paragraph" w:styleId="a7">
    <w:name w:val="Normal Indent"/>
    <w:basedOn w:val="a"/>
    <w:pPr>
      <w:ind w:left="720"/>
    </w:pPr>
  </w:style>
  <w:style w:type="paragraph" w:customStyle="1" w:styleId="1Style">
    <w:name w:val="#1 Style"/>
    <w:pPr>
      <w:widowControl w:val="0"/>
      <w:spacing w:after="220"/>
    </w:pPr>
    <w:rPr>
      <w:rFonts w:ascii="Helvetica" w:hAnsi="Helvetica"/>
      <w:sz w:val="22"/>
      <w:lang w:val="en-US" w:eastAsia="en-US"/>
    </w:rPr>
  </w:style>
  <w:style w:type="paragraph" w:customStyle="1" w:styleId="Para0s">
    <w:name w:val="Para:0:s"/>
    <w:basedOn w:val="1Style"/>
    <w:pPr>
      <w:widowControl/>
      <w:spacing w:after="0"/>
    </w:pPr>
    <w:rPr>
      <w:rFonts w:ascii="Times New Roman" w:hAnsi="Times New Roman"/>
      <w:lang w:val="el-GR"/>
    </w:rPr>
  </w:style>
  <w:style w:type="paragraph" w:customStyle="1" w:styleId="Bullet0d">
    <w:name w:val="Bullet:0:d"/>
    <w:basedOn w:val="Bullet0s"/>
    <w:pPr>
      <w:keepNext/>
      <w:spacing w:after="220"/>
      <w:ind w:left="357" w:hanging="357"/>
    </w:pPr>
  </w:style>
  <w:style w:type="paragraph" w:customStyle="1" w:styleId="Bullet0s">
    <w:name w:val="Bullet:0:s"/>
    <w:basedOn w:val="1Style"/>
    <w:pPr>
      <w:tabs>
        <w:tab w:val="left" w:pos="360"/>
      </w:tabs>
      <w:spacing w:before="40" w:after="40"/>
      <w:ind w:left="360" w:hanging="360"/>
    </w:pPr>
  </w:style>
  <w:style w:type="paragraph" w:customStyle="1" w:styleId="Bullet1d">
    <w:name w:val="Bullet:1:d"/>
    <w:basedOn w:val="Bullet0d"/>
    <w:pPr>
      <w:ind w:left="1080"/>
    </w:pPr>
  </w:style>
  <w:style w:type="paragraph" w:customStyle="1" w:styleId="Bullet1s">
    <w:name w:val="Bullet:1:s"/>
    <w:basedOn w:val="Bullet0s"/>
    <w:pPr>
      <w:ind w:left="1083" w:hanging="357"/>
    </w:pPr>
  </w:style>
  <w:style w:type="paragraph" w:customStyle="1" w:styleId="Bullet2d">
    <w:name w:val="Bullet:2:d"/>
    <w:basedOn w:val="Bullet0d"/>
    <w:pPr>
      <w:ind w:left="1800"/>
    </w:pPr>
  </w:style>
  <w:style w:type="paragraph" w:customStyle="1" w:styleId="Bullet2s">
    <w:name w:val="Bullet:2:s"/>
    <w:basedOn w:val="Bullet0s"/>
    <w:pPr>
      <w:ind w:left="1797" w:hanging="357"/>
    </w:pPr>
  </w:style>
  <w:style w:type="paragraph" w:customStyle="1" w:styleId="Para0sb">
    <w:name w:val="Para:0:sb"/>
    <w:basedOn w:val="Para0s"/>
    <w:pPr>
      <w:keepNext/>
    </w:pPr>
    <w:rPr>
      <w:b/>
    </w:rPr>
  </w:style>
  <w:style w:type="paragraph" w:customStyle="1" w:styleId="Para1s">
    <w:name w:val="Para:1:s"/>
    <w:basedOn w:val="Para0s"/>
    <w:pPr>
      <w:ind w:left="720"/>
    </w:pPr>
  </w:style>
  <w:style w:type="paragraph" w:customStyle="1" w:styleId="Para2s">
    <w:name w:val="Para:2:s"/>
    <w:basedOn w:val="Para0s"/>
    <w:pPr>
      <w:ind w:left="1440"/>
    </w:pPr>
  </w:style>
  <w:style w:type="paragraph" w:customStyle="1" w:styleId="SOP-Head">
    <w:name w:val="SOP-Head"/>
    <w:pPr>
      <w:widowControl w:val="0"/>
      <w:tabs>
        <w:tab w:val="left" w:pos="3969"/>
        <w:tab w:val="right" w:pos="8080"/>
        <w:tab w:val="right" w:pos="8505"/>
        <w:tab w:val="right" w:pos="8930"/>
        <w:tab w:val="right" w:pos="9356"/>
      </w:tabs>
    </w:pPr>
    <w:rPr>
      <w:rFonts w:ascii="Helvetica" w:hAnsi="Helvetica"/>
      <w:noProof/>
      <w:sz w:val="22"/>
      <w:lang w:val="en-GB" w:eastAsia="en-US"/>
    </w:rPr>
  </w:style>
  <w:style w:type="paragraph" w:customStyle="1" w:styleId="Para0d">
    <w:name w:val="Para:0:d"/>
    <w:basedOn w:val="Para0s"/>
    <w:pPr>
      <w:spacing w:line="480" w:lineRule="atLeast"/>
    </w:pPr>
  </w:style>
  <w:style w:type="paragraph" w:customStyle="1" w:styleId="Para1d">
    <w:name w:val="Para:1:d"/>
    <w:basedOn w:val="Para1s"/>
    <w:pPr>
      <w:spacing w:line="480" w:lineRule="atLeast"/>
    </w:pPr>
  </w:style>
  <w:style w:type="paragraph" w:customStyle="1" w:styleId="Para2d">
    <w:name w:val="Para:2:d"/>
    <w:basedOn w:val="Para2s"/>
    <w:pPr>
      <w:spacing w:line="480" w:lineRule="atLeast"/>
    </w:pPr>
  </w:style>
  <w:style w:type="paragraph" w:customStyle="1" w:styleId="ParaKT0s">
    <w:name w:val="ParaKT:0:s"/>
    <w:basedOn w:val="Para0s"/>
    <w:next w:val="Para0s"/>
    <w:pPr>
      <w:keepNext/>
      <w:keepLines/>
    </w:pPr>
  </w:style>
  <w:style w:type="paragraph" w:customStyle="1" w:styleId="ParaKT0sb">
    <w:name w:val="ParaKT:0:sb"/>
    <w:basedOn w:val="Para0sb"/>
    <w:next w:val="Para0s"/>
    <w:pPr>
      <w:keepLines/>
    </w:pPr>
  </w:style>
  <w:style w:type="paragraph" w:customStyle="1" w:styleId="Smalltext90">
    <w:name w:val="Smalltext9:0"/>
    <w:basedOn w:val="Para0s"/>
    <w:rPr>
      <w:sz w:val="18"/>
    </w:rPr>
  </w:style>
  <w:style w:type="paragraph" w:customStyle="1" w:styleId="nlist0s">
    <w:name w:val="nlist:0:s"/>
    <w:basedOn w:val="1Style"/>
    <w:pPr>
      <w:spacing w:before="40" w:after="40"/>
      <w:ind w:left="360" w:hanging="360"/>
    </w:pPr>
  </w:style>
  <w:style w:type="paragraph" w:customStyle="1" w:styleId="berschrift10">
    <w:name w:val="Überschrift 10"/>
    <w:basedOn w:val="9"/>
    <w:pPr>
      <w:keepNext w:val="0"/>
      <w:widowControl/>
      <w:tabs>
        <w:tab w:val="clear" w:pos="360"/>
      </w:tabs>
      <w:ind w:left="0" w:firstLine="0"/>
      <w:outlineLvl w:val="0"/>
    </w:pPr>
    <w:rPr>
      <w:b w:val="0"/>
      <w:u w:val="single"/>
    </w:rPr>
  </w:style>
  <w:style w:type="paragraph" w:customStyle="1" w:styleId="Bullet0dKT">
    <w:name w:val="Bullet:0:d:KT"/>
    <w:basedOn w:val="Bullet0d"/>
    <w:pPr>
      <w:keepNext w:val="0"/>
      <w:widowControl/>
      <w:numPr>
        <w:numId w:val="12"/>
      </w:numPr>
      <w:tabs>
        <w:tab w:val="clear" w:pos="360"/>
      </w:tabs>
      <w:spacing w:before="0" w:after="0"/>
    </w:pPr>
    <w:rPr>
      <w:rFonts w:ascii="Times New Roman" w:hAnsi="Times New Roman"/>
      <w:lang w:val="el-GR"/>
    </w:rPr>
  </w:style>
  <w:style w:type="paragraph" w:customStyle="1" w:styleId="a8">
    <w:name w:val="Óþìá êåéìÝíïõ"/>
    <w:basedOn w:val="a"/>
    <w:pPr>
      <w:spacing w:after="0"/>
    </w:pPr>
    <w:rPr>
      <w:rFonts w:ascii="Arial" w:hAnsi="Arial"/>
      <w:i/>
    </w:rPr>
  </w:style>
  <w:style w:type="paragraph" w:styleId="20">
    <w:name w:val="Body Text 2"/>
    <w:basedOn w:val="a"/>
    <w:pPr>
      <w:spacing w:after="120"/>
      <w:jc w:val="both"/>
    </w:pPr>
    <w:rPr>
      <w:b/>
      <w:i/>
    </w:rPr>
  </w:style>
  <w:style w:type="paragraph" w:styleId="a9">
    <w:name w:val="Document Map"/>
    <w:basedOn w:val="a"/>
    <w:semiHidden/>
    <w:rPr>
      <w:rFonts w:ascii="Tahoma" w:hAnsi="Tahoma"/>
    </w:rPr>
  </w:style>
  <w:style w:type="paragraph" w:styleId="30">
    <w:name w:val="Body Text 3"/>
    <w:basedOn w:val="a"/>
    <w:rPr>
      <w:color w:val="0000FF"/>
    </w:rPr>
  </w:style>
  <w:style w:type="character" w:customStyle="1" w:styleId="Company-Name">
    <w:name w:val="Company-Name"/>
    <w:rPr>
      <w:rFonts w:ascii="Helvetica" w:hAnsi="Helvetica"/>
      <w:b/>
      <w:caps/>
      <w:spacing w:val="0"/>
      <w:position w:val="-6"/>
      <w:sz w:val="36"/>
    </w:rPr>
  </w:style>
  <w:style w:type="character" w:customStyle="1" w:styleId="Document-page-count">
    <w:name w:val="Document-page-count"/>
    <w:rPr>
      <w:rFonts w:ascii="Helvetica" w:hAnsi="Helvetica"/>
      <w:sz w:val="18"/>
    </w:rPr>
  </w:style>
  <w:style w:type="character" w:customStyle="1" w:styleId="Document-Identity">
    <w:name w:val="Document-Identity"/>
    <w:rPr>
      <w:rFonts w:ascii="Helvetica" w:hAnsi="Helvetica"/>
      <w:sz w:val="22"/>
    </w:rPr>
  </w:style>
  <w:style w:type="character" w:styleId="aa">
    <w:name w:val="page number"/>
    <w:basedOn w:val="a0"/>
  </w:style>
  <w:style w:type="paragraph" w:styleId="ab">
    <w:name w:val="Balloon Text"/>
    <w:basedOn w:val="a"/>
    <w:semiHidden/>
    <w:rsid w:val="006476F4"/>
    <w:rPr>
      <w:rFonts w:ascii="Tahoma" w:hAnsi="Tahoma" w:cs="Tahoma"/>
      <w:sz w:val="16"/>
      <w:szCs w:val="16"/>
    </w:rPr>
  </w:style>
  <w:style w:type="character" w:customStyle="1" w:styleId="Char">
    <w:name w:val="Κεφαλίδα Char"/>
    <w:link w:val="a5"/>
    <w:uiPriority w:val="99"/>
    <w:rsid w:val="005B6074"/>
    <w:rPr>
      <w:rFonts w:ascii="Helvetica" w:hAnsi="Helvetic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7062</Words>
  <Characters>38140</Characters>
  <Application>Microsoft Office Word</Application>
  <DocSecurity>0</DocSecurity>
  <Lines>317</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Yasmin</vt:lpstr>
      <vt:lpstr>Yasmin</vt:lpstr>
    </vt:vector>
  </TitlesOfParts>
  <Company>BSP</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Yasmin</dc:title>
  <dc:subject>EU-SmPC/NL</dc:subject>
  <dc:creator>Popi Karidis</dc:creator>
  <cp:keywords>Yasmin, DRSP; NL</cp:keywords>
  <dc:description>Variation No. 2406:  Precautions/ Warnings</dc:description>
  <cp:lastModifiedBy>user146</cp:lastModifiedBy>
  <cp:revision>2</cp:revision>
  <cp:lastPrinted>2015-04-28T06:59:00Z</cp:lastPrinted>
  <dcterms:created xsi:type="dcterms:W3CDTF">2015-04-28T07:00:00Z</dcterms:created>
  <dcterms:modified xsi:type="dcterms:W3CDTF">2015-04-28T07:00:00Z</dcterms:modified>
</cp:coreProperties>
</file>