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16" w:rsidRPr="00D9164F" w:rsidRDefault="00BC4D32">
      <w:pPr>
        <w:tabs>
          <w:tab w:val="clear" w:pos="567"/>
        </w:tabs>
        <w:rPr>
          <w:szCs w:val="22"/>
        </w:rPr>
      </w:pPr>
      <w:r w:rsidRPr="00BC4D32">
        <w:rPr>
          <w:b/>
        </w:rPr>
        <w:t>1.</w:t>
      </w:r>
      <w:r w:rsidRPr="00BC4D32">
        <w:rPr>
          <w:b/>
        </w:rPr>
        <w:tab/>
        <w:t>ΟΝΟΜΑΣΙΑ ΤΟΥ ΦΑΡΜΑΚΕΥΤΙΚΟΥ ΠΡΟΪΟΝΤΟΣ</w:t>
      </w:r>
    </w:p>
    <w:p w:rsidR="007621BE" w:rsidRPr="00794F08" w:rsidRDefault="007621BE">
      <w:pPr>
        <w:jc w:val="both"/>
        <w:rPr>
          <w:szCs w:val="22"/>
        </w:rPr>
      </w:pPr>
      <w:r w:rsidRPr="00794F08">
        <w:rPr>
          <w:szCs w:val="22"/>
        </w:rPr>
        <w:t xml:space="preserve">Boostrix – </w:t>
      </w:r>
      <w:r w:rsidR="00F17143" w:rsidRPr="00794F08">
        <w:rPr>
          <w:szCs w:val="22"/>
        </w:rPr>
        <w:t>ε</w:t>
      </w:r>
      <w:r w:rsidRPr="00794F08">
        <w:rPr>
          <w:szCs w:val="22"/>
        </w:rPr>
        <w:t>νέσιμο εναιώρημα</w:t>
      </w:r>
      <w:r w:rsidR="00F17143" w:rsidRPr="00794F08">
        <w:rPr>
          <w:szCs w:val="22"/>
        </w:rPr>
        <w:t xml:space="preserve"> σε προγεμισμένη σύριγγα</w:t>
      </w:r>
    </w:p>
    <w:p w:rsidR="007621BE" w:rsidRPr="00D9164F" w:rsidRDefault="007621BE">
      <w:pPr>
        <w:jc w:val="both"/>
        <w:rPr>
          <w:szCs w:val="22"/>
        </w:rPr>
      </w:pPr>
      <w:r w:rsidRPr="00794F08">
        <w:rPr>
          <w:szCs w:val="22"/>
        </w:rPr>
        <w:t>Εμβόλιο (προσρ</w:t>
      </w:r>
      <w:r w:rsidR="002050BA" w:rsidRPr="00794F08">
        <w:rPr>
          <w:szCs w:val="22"/>
        </w:rPr>
        <w:t>οφημένο</w:t>
      </w:r>
      <w:r w:rsidR="00F17143" w:rsidRPr="00794F08">
        <w:rPr>
          <w:szCs w:val="22"/>
        </w:rPr>
        <w:t>, μειωμέν</w:t>
      </w:r>
      <w:r w:rsidR="00851836" w:rsidRPr="00A8793B">
        <w:rPr>
          <w:szCs w:val="22"/>
        </w:rPr>
        <w:t>ης περιεκτικότητας</w:t>
      </w:r>
      <w:r w:rsidR="00586AD8" w:rsidRPr="00794F08">
        <w:rPr>
          <w:szCs w:val="22"/>
        </w:rPr>
        <w:t xml:space="preserve"> σε αντιγόνο) διφθερίτιδας, τετάνου και κοκκύτη (ακυτταρικό).</w:t>
      </w:r>
    </w:p>
    <w:p w:rsidR="007621BE" w:rsidRPr="00794F08" w:rsidRDefault="007621BE">
      <w:pPr>
        <w:jc w:val="both"/>
        <w:rPr>
          <w:szCs w:val="22"/>
        </w:rPr>
      </w:pPr>
    </w:p>
    <w:p w:rsidR="00AC7016" w:rsidRPr="00D9164F" w:rsidRDefault="00586AD8">
      <w:pPr>
        <w:jc w:val="both"/>
        <w:rPr>
          <w:szCs w:val="22"/>
        </w:rPr>
      </w:pPr>
      <w:r w:rsidRPr="00794F08">
        <w:rPr>
          <w:b/>
          <w:szCs w:val="22"/>
        </w:rPr>
        <w:t>2.</w:t>
      </w:r>
      <w:r w:rsidRPr="00794F08">
        <w:rPr>
          <w:b/>
          <w:szCs w:val="22"/>
        </w:rPr>
        <w:tab/>
        <w:t>ΠΟΙΟΤΙΚΗ ΚΑΙ ΠΟΣΟΤΙΚΗ ΣΥΝΘΕΣΗ</w:t>
      </w:r>
    </w:p>
    <w:p w:rsidR="007621BE" w:rsidRPr="00794F08" w:rsidRDefault="00586AD8">
      <w:pPr>
        <w:tabs>
          <w:tab w:val="left" w:pos="3402"/>
          <w:tab w:val="right" w:pos="7122"/>
        </w:tabs>
        <w:jc w:val="both"/>
        <w:rPr>
          <w:szCs w:val="22"/>
        </w:rPr>
      </w:pPr>
      <w:r w:rsidRPr="00794F08">
        <w:rPr>
          <w:szCs w:val="22"/>
        </w:rPr>
        <w:t xml:space="preserve">Μια  δόση (0,5 </w:t>
      </w:r>
      <w:r w:rsidRPr="00794F08">
        <w:rPr>
          <w:szCs w:val="22"/>
          <w:lang w:val="fr-FR"/>
        </w:rPr>
        <w:t>ml</w:t>
      </w:r>
      <w:r w:rsidRPr="00794F08">
        <w:rPr>
          <w:szCs w:val="22"/>
        </w:rPr>
        <w:t>) περιέχει:</w:t>
      </w:r>
    </w:p>
    <w:p w:rsidR="007621BE" w:rsidRPr="00794F08" w:rsidRDefault="007621BE">
      <w:pPr>
        <w:tabs>
          <w:tab w:val="right" w:pos="7122"/>
        </w:tabs>
        <w:jc w:val="both"/>
        <w:rPr>
          <w:szCs w:val="22"/>
        </w:rPr>
      </w:pPr>
    </w:p>
    <w:tbl>
      <w:tblPr>
        <w:tblW w:w="8755" w:type="dxa"/>
        <w:tblLayout w:type="fixed"/>
        <w:tblLook w:val="0000"/>
      </w:tblPr>
      <w:tblGrid>
        <w:gridCol w:w="5211"/>
        <w:gridCol w:w="3544"/>
      </w:tblGrid>
      <w:tr w:rsidR="007621BE" w:rsidRPr="00794F08">
        <w:tc>
          <w:tcPr>
            <w:tcW w:w="5211" w:type="dxa"/>
          </w:tcPr>
          <w:p w:rsidR="007621BE" w:rsidRPr="00794F08" w:rsidRDefault="00586AD8">
            <w:pPr>
              <w:rPr>
                <w:szCs w:val="22"/>
                <w:u w:val="single"/>
              </w:rPr>
            </w:pPr>
            <w:r w:rsidRPr="00794F08">
              <w:rPr>
                <w:szCs w:val="22"/>
              </w:rPr>
              <w:t>Τοξοειδές της διφθερίτιδας</w:t>
            </w:r>
            <w:r w:rsidRPr="00794F08">
              <w:rPr>
                <w:szCs w:val="22"/>
                <w:vertAlign w:val="superscript"/>
              </w:rPr>
              <w:t>1</w:t>
            </w:r>
          </w:p>
        </w:tc>
        <w:tc>
          <w:tcPr>
            <w:tcW w:w="3544" w:type="dxa"/>
          </w:tcPr>
          <w:p w:rsidR="004504D8" w:rsidRDefault="00586AD8" w:rsidP="00A8793B">
            <w:pPr>
              <w:jc w:val="right"/>
              <w:rPr>
                <w:szCs w:val="22"/>
                <w:u w:val="single"/>
              </w:rPr>
            </w:pPr>
            <w:r w:rsidRPr="00794F08">
              <w:rPr>
                <w:szCs w:val="22"/>
              </w:rPr>
              <w:t>όχι λιγότερο από 2 Διεθνείς μονάδες (IU)</w:t>
            </w:r>
            <w:r w:rsidR="00851836" w:rsidRPr="00A8793B">
              <w:rPr>
                <w:szCs w:val="22"/>
              </w:rPr>
              <w:t xml:space="preserve"> </w:t>
            </w:r>
            <w:r w:rsidRPr="00794F08">
              <w:t>(2.5 Lf)</w:t>
            </w:r>
          </w:p>
        </w:tc>
      </w:tr>
      <w:tr w:rsidR="007621BE" w:rsidRPr="00794F08">
        <w:tc>
          <w:tcPr>
            <w:tcW w:w="5211" w:type="dxa"/>
          </w:tcPr>
          <w:p w:rsidR="007621BE" w:rsidRPr="00794F08" w:rsidRDefault="00586AD8">
            <w:pPr>
              <w:rPr>
                <w:szCs w:val="22"/>
                <w:u w:val="single"/>
                <w:vertAlign w:val="superscript"/>
              </w:rPr>
            </w:pPr>
            <w:r w:rsidRPr="00794F08">
              <w:rPr>
                <w:szCs w:val="22"/>
              </w:rPr>
              <w:t>Τοξοειδές του τετάνου</w:t>
            </w:r>
            <w:r w:rsidRPr="00794F08">
              <w:rPr>
                <w:szCs w:val="22"/>
                <w:vertAlign w:val="superscript"/>
              </w:rPr>
              <w:t>1</w:t>
            </w:r>
          </w:p>
        </w:tc>
        <w:tc>
          <w:tcPr>
            <w:tcW w:w="3544" w:type="dxa"/>
          </w:tcPr>
          <w:p w:rsidR="004504D8" w:rsidRDefault="00586AD8" w:rsidP="00A8793B">
            <w:pPr>
              <w:jc w:val="right"/>
              <w:rPr>
                <w:szCs w:val="22"/>
                <w:u w:val="single"/>
              </w:rPr>
            </w:pPr>
            <w:r w:rsidRPr="00794F08">
              <w:rPr>
                <w:szCs w:val="22"/>
              </w:rPr>
              <w:t>όχι λιγότερο από 20 Διεθνείς μονάδες (IU)</w:t>
            </w:r>
            <w:r w:rsidRPr="00794F08">
              <w:t xml:space="preserve"> (5 Lf)</w:t>
            </w:r>
          </w:p>
        </w:tc>
      </w:tr>
      <w:tr w:rsidR="007621BE" w:rsidRPr="00794F08">
        <w:tc>
          <w:tcPr>
            <w:tcW w:w="5211" w:type="dxa"/>
          </w:tcPr>
          <w:p w:rsidR="007621BE" w:rsidRPr="00794F08" w:rsidRDefault="00586AD8">
            <w:pPr>
              <w:rPr>
                <w:szCs w:val="22"/>
                <w:u w:val="single"/>
              </w:rPr>
            </w:pPr>
            <w:r w:rsidRPr="00794F08">
              <w:rPr>
                <w:i/>
                <w:szCs w:val="22"/>
              </w:rPr>
              <w:t xml:space="preserve">Αντιγόνα </w:t>
            </w:r>
            <w:r w:rsidRPr="00794F08">
              <w:rPr>
                <w:i/>
                <w:szCs w:val="22"/>
                <w:lang w:val="fr-FR"/>
              </w:rPr>
              <w:t>Bordetella pertussis</w:t>
            </w:r>
          </w:p>
        </w:tc>
        <w:tc>
          <w:tcPr>
            <w:tcW w:w="3544" w:type="dxa"/>
          </w:tcPr>
          <w:p w:rsidR="007621BE" w:rsidRPr="00794F08" w:rsidRDefault="007621BE">
            <w:pPr>
              <w:rPr>
                <w:szCs w:val="22"/>
                <w:u w:val="single"/>
              </w:rPr>
            </w:pPr>
          </w:p>
        </w:tc>
      </w:tr>
      <w:tr w:rsidR="007621BE" w:rsidRPr="00794F08">
        <w:tc>
          <w:tcPr>
            <w:tcW w:w="5211" w:type="dxa"/>
          </w:tcPr>
          <w:p w:rsidR="007621BE" w:rsidRPr="00794F08" w:rsidRDefault="00586AD8">
            <w:pPr>
              <w:rPr>
                <w:szCs w:val="22"/>
                <w:u w:val="single"/>
              </w:rPr>
            </w:pPr>
            <w:r w:rsidRPr="00794F08">
              <w:rPr>
                <w:szCs w:val="22"/>
              </w:rPr>
              <w:t xml:space="preserve">           Τοξοειδές</w:t>
            </w:r>
            <w:r w:rsidRPr="00794F08">
              <w:rPr>
                <w:szCs w:val="22"/>
                <w:lang w:val="fr-FR"/>
              </w:rPr>
              <w:t xml:space="preserve"> του κοκκύτ</w:t>
            </w:r>
            <w:r w:rsidRPr="00794F08">
              <w:rPr>
                <w:szCs w:val="22"/>
              </w:rPr>
              <w:t>η</w:t>
            </w:r>
            <w:r w:rsidRPr="00794F08">
              <w:rPr>
                <w:szCs w:val="22"/>
                <w:vertAlign w:val="superscript"/>
              </w:rPr>
              <w:t>1</w:t>
            </w:r>
          </w:p>
        </w:tc>
        <w:tc>
          <w:tcPr>
            <w:tcW w:w="3544" w:type="dxa"/>
          </w:tcPr>
          <w:p w:rsidR="00851836" w:rsidRDefault="00586AD8" w:rsidP="00A8793B">
            <w:pPr>
              <w:jc w:val="right"/>
              <w:rPr>
                <w:szCs w:val="22"/>
                <w:u w:val="single"/>
              </w:rPr>
            </w:pPr>
            <w:r w:rsidRPr="00794F08">
              <w:rPr>
                <w:szCs w:val="22"/>
                <w:lang w:val="fr-FR"/>
              </w:rPr>
              <w:t xml:space="preserve">8 </w:t>
            </w:r>
            <w:r w:rsidRPr="00794F08">
              <w:rPr>
                <w:szCs w:val="22"/>
              </w:rPr>
              <w:t>μικρογραμμάρια</w:t>
            </w:r>
          </w:p>
        </w:tc>
      </w:tr>
      <w:tr w:rsidR="007621BE" w:rsidRPr="00794F08">
        <w:tc>
          <w:tcPr>
            <w:tcW w:w="5211" w:type="dxa"/>
          </w:tcPr>
          <w:p w:rsidR="007621BE" w:rsidRPr="00794F08" w:rsidRDefault="00586AD8">
            <w:pPr>
              <w:rPr>
                <w:szCs w:val="22"/>
                <w:u w:val="single"/>
              </w:rPr>
            </w:pPr>
            <w:r w:rsidRPr="00794F08">
              <w:rPr>
                <w:szCs w:val="22"/>
              </w:rPr>
              <w:t xml:space="preserve">           Νηματοειδής αιμοσυγκολλητίνη</w:t>
            </w:r>
            <w:r w:rsidRPr="00794F08">
              <w:rPr>
                <w:szCs w:val="22"/>
                <w:vertAlign w:val="superscript"/>
              </w:rPr>
              <w:t>1</w:t>
            </w:r>
          </w:p>
        </w:tc>
        <w:tc>
          <w:tcPr>
            <w:tcW w:w="3544" w:type="dxa"/>
          </w:tcPr>
          <w:p w:rsidR="00851836" w:rsidRDefault="00586AD8" w:rsidP="00A8793B">
            <w:pPr>
              <w:jc w:val="right"/>
              <w:rPr>
                <w:szCs w:val="22"/>
                <w:u w:val="single"/>
              </w:rPr>
            </w:pPr>
            <w:r w:rsidRPr="00794F08">
              <w:rPr>
                <w:szCs w:val="22"/>
                <w:lang w:val="fr-FR"/>
              </w:rPr>
              <w:t xml:space="preserve">8 </w:t>
            </w:r>
            <w:r w:rsidRPr="00794F08">
              <w:rPr>
                <w:szCs w:val="22"/>
              </w:rPr>
              <w:t>μικρογραμμάρια</w:t>
            </w:r>
          </w:p>
        </w:tc>
      </w:tr>
      <w:tr w:rsidR="007621BE" w:rsidRPr="00794F08">
        <w:tc>
          <w:tcPr>
            <w:tcW w:w="5211" w:type="dxa"/>
          </w:tcPr>
          <w:p w:rsidR="007621BE" w:rsidRPr="00794F08" w:rsidRDefault="00586AD8">
            <w:pPr>
              <w:rPr>
                <w:szCs w:val="22"/>
                <w:u w:val="single"/>
              </w:rPr>
            </w:pPr>
            <w:r w:rsidRPr="00794F08">
              <w:rPr>
                <w:szCs w:val="22"/>
                <w:lang w:val="fr-FR"/>
              </w:rPr>
              <w:t xml:space="preserve">           </w:t>
            </w:r>
            <w:r w:rsidRPr="00794F08">
              <w:rPr>
                <w:szCs w:val="22"/>
              </w:rPr>
              <w:t>Περτακτίνη</w:t>
            </w:r>
            <w:r w:rsidRPr="00794F08">
              <w:rPr>
                <w:szCs w:val="22"/>
                <w:vertAlign w:val="superscript"/>
              </w:rPr>
              <w:t>1</w:t>
            </w:r>
          </w:p>
        </w:tc>
        <w:tc>
          <w:tcPr>
            <w:tcW w:w="3544" w:type="dxa"/>
          </w:tcPr>
          <w:p w:rsidR="00851836" w:rsidRDefault="00586AD8" w:rsidP="00A8793B">
            <w:pPr>
              <w:jc w:val="right"/>
              <w:rPr>
                <w:szCs w:val="22"/>
              </w:rPr>
            </w:pPr>
            <w:r w:rsidRPr="00794F08">
              <w:rPr>
                <w:szCs w:val="22"/>
                <w:lang w:val="fr-FR"/>
              </w:rPr>
              <w:t>2</w:t>
            </w:r>
            <w:r w:rsidRPr="00794F08">
              <w:rPr>
                <w:szCs w:val="22"/>
              </w:rPr>
              <w:t>,</w:t>
            </w:r>
            <w:r w:rsidRPr="00794F08">
              <w:rPr>
                <w:szCs w:val="22"/>
                <w:lang w:val="fr-FR"/>
              </w:rPr>
              <w:t xml:space="preserve">5 </w:t>
            </w:r>
            <w:r w:rsidRPr="00794F08">
              <w:rPr>
                <w:szCs w:val="22"/>
              </w:rPr>
              <w:t>μικρογραμμάρια</w:t>
            </w:r>
          </w:p>
          <w:p w:rsidR="00851836" w:rsidRDefault="00851836" w:rsidP="00A8793B">
            <w:pPr>
              <w:jc w:val="right"/>
              <w:rPr>
                <w:szCs w:val="22"/>
                <w:u w:val="single"/>
              </w:rPr>
            </w:pPr>
          </w:p>
        </w:tc>
      </w:tr>
      <w:tr w:rsidR="007621BE" w:rsidRPr="00794F08">
        <w:tc>
          <w:tcPr>
            <w:tcW w:w="5211" w:type="dxa"/>
          </w:tcPr>
          <w:p w:rsidR="007621BE" w:rsidRPr="00794F08" w:rsidRDefault="00586AD8">
            <w:pPr>
              <w:rPr>
                <w:szCs w:val="22"/>
              </w:rPr>
            </w:pPr>
            <w:r w:rsidRPr="00794F08">
              <w:rPr>
                <w:szCs w:val="22"/>
                <w:vertAlign w:val="superscript"/>
              </w:rPr>
              <w:t>1</w:t>
            </w:r>
            <w:r w:rsidRPr="00794F08">
              <w:rPr>
                <w:szCs w:val="22"/>
              </w:rPr>
              <w:t>Προσροφημένο σε ένυδρο υδροξείδιο του αργιλίου (Al(OH)</w:t>
            </w:r>
            <w:r w:rsidRPr="00794F08">
              <w:rPr>
                <w:szCs w:val="22"/>
                <w:vertAlign w:val="subscript"/>
              </w:rPr>
              <w:t>3</w:t>
            </w:r>
            <w:r w:rsidRPr="00794F08">
              <w:rPr>
                <w:szCs w:val="22"/>
              </w:rPr>
              <w:t>)</w:t>
            </w:r>
            <w:r w:rsidRPr="00794F08">
              <w:rPr>
                <w:i/>
                <w:szCs w:val="22"/>
              </w:rPr>
              <w:t xml:space="preserve">   </w:t>
            </w:r>
          </w:p>
          <w:p w:rsidR="007621BE" w:rsidRPr="00794F08" w:rsidRDefault="00586AD8">
            <w:pPr>
              <w:rPr>
                <w:szCs w:val="22"/>
                <w:u w:val="single"/>
              </w:rPr>
            </w:pPr>
            <w:r w:rsidRPr="00794F08">
              <w:rPr>
                <w:szCs w:val="22"/>
              </w:rPr>
              <w:t>και φωσφορικό αργίλιο (AlPO</w:t>
            </w:r>
            <w:r w:rsidRPr="00794F08">
              <w:rPr>
                <w:szCs w:val="22"/>
                <w:vertAlign w:val="subscript"/>
              </w:rPr>
              <w:t>4</w:t>
            </w:r>
            <w:r w:rsidRPr="00794F08">
              <w:rPr>
                <w:szCs w:val="22"/>
              </w:rPr>
              <w:t>)</w:t>
            </w:r>
          </w:p>
        </w:tc>
        <w:tc>
          <w:tcPr>
            <w:tcW w:w="3544" w:type="dxa"/>
          </w:tcPr>
          <w:p w:rsidR="00851836" w:rsidRDefault="00586AD8" w:rsidP="00A8793B">
            <w:pPr>
              <w:jc w:val="right"/>
              <w:rPr>
                <w:szCs w:val="22"/>
                <w:vertAlign w:val="superscript"/>
              </w:rPr>
            </w:pPr>
            <w:r w:rsidRPr="00794F08">
              <w:rPr>
                <w:szCs w:val="22"/>
              </w:rPr>
              <w:t>0,3 milligrams Al</w:t>
            </w:r>
            <w:r w:rsidRPr="00794F08">
              <w:rPr>
                <w:szCs w:val="22"/>
                <w:vertAlign w:val="superscript"/>
              </w:rPr>
              <w:t>3+</w:t>
            </w:r>
          </w:p>
          <w:p w:rsidR="00851836" w:rsidRDefault="00586AD8" w:rsidP="00A8793B">
            <w:pPr>
              <w:jc w:val="right"/>
              <w:rPr>
                <w:szCs w:val="22"/>
                <w:u w:val="single"/>
              </w:rPr>
            </w:pPr>
            <w:r w:rsidRPr="00794F08">
              <w:rPr>
                <w:szCs w:val="22"/>
              </w:rPr>
              <w:t>0,2 milligrams Al</w:t>
            </w:r>
            <w:r w:rsidRPr="00794F08">
              <w:rPr>
                <w:szCs w:val="22"/>
                <w:vertAlign w:val="superscript"/>
              </w:rPr>
              <w:t>3+</w:t>
            </w:r>
          </w:p>
        </w:tc>
      </w:tr>
    </w:tbl>
    <w:p w:rsidR="007621BE" w:rsidRPr="00794F08" w:rsidRDefault="007621BE">
      <w:pPr>
        <w:tabs>
          <w:tab w:val="left" w:pos="254"/>
          <w:tab w:val="right" w:pos="7122"/>
        </w:tabs>
        <w:jc w:val="both"/>
        <w:rPr>
          <w:szCs w:val="22"/>
        </w:rPr>
      </w:pPr>
    </w:p>
    <w:p w:rsidR="007621BE" w:rsidRPr="00794F08" w:rsidRDefault="00586AD8">
      <w:pPr>
        <w:tabs>
          <w:tab w:val="left" w:pos="254"/>
          <w:tab w:val="right" w:pos="7122"/>
        </w:tabs>
        <w:jc w:val="both"/>
        <w:rPr>
          <w:szCs w:val="22"/>
        </w:rPr>
      </w:pPr>
      <w:r w:rsidRPr="00794F08">
        <w:rPr>
          <w:szCs w:val="22"/>
        </w:rPr>
        <w:t>Για πλήρη κατάλογο εκδόχων βλέπε 6.1</w:t>
      </w:r>
    </w:p>
    <w:p w:rsidR="00AC7016" w:rsidRPr="00D9164F" w:rsidRDefault="00AC7016">
      <w:pPr>
        <w:tabs>
          <w:tab w:val="clear" w:pos="567"/>
          <w:tab w:val="right" w:pos="7122"/>
          <w:tab w:val="right" w:pos="7371"/>
        </w:tabs>
        <w:jc w:val="both"/>
        <w:rPr>
          <w:szCs w:val="22"/>
        </w:rPr>
      </w:pPr>
    </w:p>
    <w:p w:rsidR="007621BE" w:rsidRPr="00D9164F" w:rsidRDefault="00586AD8">
      <w:pPr>
        <w:jc w:val="both"/>
        <w:rPr>
          <w:szCs w:val="22"/>
        </w:rPr>
      </w:pPr>
      <w:r w:rsidRPr="00794F08">
        <w:rPr>
          <w:b/>
          <w:szCs w:val="22"/>
        </w:rPr>
        <w:t>3.</w:t>
      </w:r>
      <w:r w:rsidRPr="00794F08">
        <w:rPr>
          <w:b/>
          <w:szCs w:val="22"/>
        </w:rPr>
        <w:tab/>
        <w:t>ΦΑΡΜΑΚΟΤΕΧΝΙΚΗ ΜΟΡΦΗ</w:t>
      </w:r>
    </w:p>
    <w:p w:rsidR="007621BE" w:rsidRPr="00794F08" w:rsidRDefault="00586AD8">
      <w:pPr>
        <w:tabs>
          <w:tab w:val="clear" w:pos="567"/>
        </w:tabs>
        <w:jc w:val="both"/>
        <w:rPr>
          <w:szCs w:val="22"/>
        </w:rPr>
      </w:pPr>
      <w:r w:rsidRPr="00794F08">
        <w:rPr>
          <w:szCs w:val="22"/>
        </w:rPr>
        <w:t>Ενέσιμο εναιώρημα σε προγεμισμένη σύριγγα.</w:t>
      </w:r>
    </w:p>
    <w:p w:rsidR="00AC7016" w:rsidRPr="00D9164F" w:rsidRDefault="00586AD8">
      <w:pPr>
        <w:tabs>
          <w:tab w:val="clear" w:pos="567"/>
        </w:tabs>
        <w:jc w:val="both"/>
        <w:rPr>
          <w:szCs w:val="22"/>
        </w:rPr>
      </w:pPr>
      <w:r w:rsidRPr="00794F08">
        <w:rPr>
          <w:szCs w:val="22"/>
        </w:rPr>
        <w:t>Το Boostrix είναι ένα θολό λευκό εναιώρημα.</w:t>
      </w:r>
    </w:p>
    <w:p w:rsidR="007621BE" w:rsidRPr="00794F08" w:rsidRDefault="007621BE">
      <w:pPr>
        <w:jc w:val="both"/>
        <w:rPr>
          <w:szCs w:val="22"/>
        </w:rPr>
      </w:pPr>
    </w:p>
    <w:p w:rsidR="007621BE" w:rsidRPr="00D9164F" w:rsidRDefault="00586AD8">
      <w:pPr>
        <w:jc w:val="both"/>
        <w:rPr>
          <w:szCs w:val="22"/>
        </w:rPr>
      </w:pPr>
      <w:r w:rsidRPr="00794F08">
        <w:rPr>
          <w:b/>
          <w:szCs w:val="22"/>
        </w:rPr>
        <w:t>4.</w:t>
      </w:r>
      <w:r w:rsidRPr="00794F08">
        <w:rPr>
          <w:b/>
          <w:szCs w:val="22"/>
        </w:rPr>
        <w:tab/>
        <w:t>ΚΛΙΝΙΚΕΣ ΠΛΗΡΟΦΟΡΙΕΣ</w:t>
      </w:r>
    </w:p>
    <w:p w:rsidR="007621BE" w:rsidRPr="00D9164F" w:rsidRDefault="00586AD8">
      <w:pPr>
        <w:jc w:val="both"/>
        <w:rPr>
          <w:szCs w:val="22"/>
        </w:rPr>
      </w:pPr>
      <w:r w:rsidRPr="00794F08">
        <w:rPr>
          <w:b/>
          <w:szCs w:val="22"/>
        </w:rPr>
        <w:t>4.1</w:t>
      </w:r>
      <w:r w:rsidRPr="00794F08">
        <w:rPr>
          <w:b/>
          <w:szCs w:val="22"/>
        </w:rPr>
        <w:tab/>
        <w:t>Θεραπευτικές ενδείξεις</w:t>
      </w:r>
    </w:p>
    <w:p w:rsidR="007621BE" w:rsidRPr="00D9164F" w:rsidRDefault="00586AD8">
      <w:pPr>
        <w:jc w:val="both"/>
        <w:rPr>
          <w:szCs w:val="22"/>
        </w:rPr>
      </w:pPr>
      <w:r w:rsidRPr="00794F08">
        <w:rPr>
          <w:szCs w:val="22"/>
        </w:rPr>
        <w:t>Το Boostrix ενδείκνυται για αναμνηστικό εμβολιασμό έναντι της διφθερίτιδας, του τετάνου και του κοκκύτη ατόμων ηλικίας τεσσάρων ετών και άνω (βλέπε παράγραφο 4.2).</w:t>
      </w:r>
    </w:p>
    <w:p w:rsidR="007621BE" w:rsidRPr="00794F08" w:rsidRDefault="00586AD8">
      <w:pPr>
        <w:jc w:val="both"/>
        <w:rPr>
          <w:szCs w:val="22"/>
        </w:rPr>
      </w:pPr>
      <w:r w:rsidRPr="00794F08">
        <w:rPr>
          <w:szCs w:val="22"/>
        </w:rPr>
        <w:t>Το Boostrix δεν προορίζεται για την αρχική ανοσοποίηση.</w:t>
      </w:r>
    </w:p>
    <w:p w:rsidR="007621BE" w:rsidRPr="00794F08" w:rsidRDefault="007621BE">
      <w:pPr>
        <w:jc w:val="both"/>
        <w:rPr>
          <w:b/>
          <w:szCs w:val="22"/>
        </w:rPr>
      </w:pPr>
    </w:p>
    <w:p w:rsidR="007621BE" w:rsidRPr="00D9164F" w:rsidRDefault="00586AD8">
      <w:pPr>
        <w:jc w:val="both"/>
        <w:rPr>
          <w:szCs w:val="22"/>
        </w:rPr>
      </w:pPr>
      <w:r w:rsidRPr="00794F08">
        <w:rPr>
          <w:b/>
          <w:szCs w:val="22"/>
        </w:rPr>
        <w:t>4.2</w:t>
      </w:r>
      <w:r w:rsidRPr="00794F08">
        <w:rPr>
          <w:b/>
          <w:szCs w:val="22"/>
        </w:rPr>
        <w:tab/>
        <w:t>Δοσολογία και τρόπος χορήγησης</w:t>
      </w:r>
    </w:p>
    <w:p w:rsidR="00AC7016" w:rsidRPr="00D9164F" w:rsidRDefault="00586AD8">
      <w:pPr>
        <w:pStyle w:val="4"/>
      </w:pPr>
      <w:r w:rsidRPr="00794F08">
        <w:rPr>
          <w:szCs w:val="22"/>
        </w:rPr>
        <w:t>Δοσολογία</w:t>
      </w:r>
    </w:p>
    <w:p w:rsidR="007621BE" w:rsidRPr="00D9164F" w:rsidRDefault="00586AD8">
      <w:pPr>
        <w:jc w:val="both"/>
        <w:rPr>
          <w:szCs w:val="22"/>
        </w:rPr>
      </w:pPr>
      <w:r w:rsidRPr="00794F08">
        <w:rPr>
          <w:szCs w:val="22"/>
        </w:rPr>
        <w:t>Συνιστάται μια  δόση 0.5 ml του εμβολίου.</w:t>
      </w:r>
    </w:p>
    <w:p w:rsidR="00CF6B7A" w:rsidRPr="00D9164F" w:rsidRDefault="00586AD8">
      <w:pPr>
        <w:jc w:val="both"/>
        <w:rPr>
          <w:szCs w:val="22"/>
        </w:rPr>
      </w:pPr>
      <w:r w:rsidRPr="00794F08">
        <w:rPr>
          <w:szCs w:val="22"/>
        </w:rPr>
        <w:t xml:space="preserve">Το Boostrix μπορεί να χορηγηθεί από την ηλικία των τεσσάρων ετών και άνω. </w:t>
      </w:r>
    </w:p>
    <w:p w:rsidR="007621BE" w:rsidRPr="00D9164F" w:rsidRDefault="00586AD8">
      <w:pPr>
        <w:jc w:val="both"/>
        <w:rPr>
          <w:szCs w:val="22"/>
        </w:rPr>
      </w:pPr>
      <w:r w:rsidRPr="00794F08">
        <w:rPr>
          <w:szCs w:val="22"/>
        </w:rPr>
        <w:t xml:space="preserve">Το Boostrix θα πρέπει να χορηγείται σύμφωνα με τις επίσημες συστάσεις ή/και την  καθιερωμένη πρακτική που εφαρμόζεται </w:t>
      </w:r>
      <w:r w:rsidR="00851836" w:rsidRPr="00A8793B">
        <w:rPr>
          <w:szCs w:val="22"/>
        </w:rPr>
        <w:t>σε κάθε χώρα</w:t>
      </w:r>
      <w:r w:rsidRPr="00794F08">
        <w:rPr>
          <w:szCs w:val="22"/>
        </w:rPr>
        <w:t>σχετικά με τη χρήση εμβολίων που π</w:t>
      </w:r>
      <w:r w:rsidR="00851836" w:rsidRPr="00A8793B">
        <w:rPr>
          <w:szCs w:val="22"/>
        </w:rPr>
        <w:t>αρέχουν</w:t>
      </w:r>
      <w:r w:rsidRPr="00794F08">
        <w:rPr>
          <w:szCs w:val="22"/>
        </w:rPr>
        <w:t xml:space="preserve"> μειωμένη δόση (ενηλίκων) διφθερίτιδας, τετάνου  και αντιγόνων κοκκύτη.</w:t>
      </w:r>
    </w:p>
    <w:p w:rsidR="007621BE" w:rsidRPr="00D9164F" w:rsidRDefault="00586AD8">
      <w:pPr>
        <w:jc w:val="both"/>
        <w:rPr>
          <w:szCs w:val="22"/>
        </w:rPr>
      </w:pPr>
      <w:r w:rsidRPr="00794F08">
        <w:rPr>
          <w:szCs w:val="22"/>
        </w:rPr>
        <w:t xml:space="preserve">Σε άτομα ηλικίας </w:t>
      </w:r>
      <w:r w:rsidR="00851836" w:rsidRPr="00A8793B">
        <w:rPr>
          <w:iCs/>
        </w:rPr>
        <w:sym w:font="Symbol" w:char="F0B3"/>
      </w:r>
      <w:r w:rsidR="00851836" w:rsidRPr="00A8793B">
        <w:rPr>
          <w:iCs/>
        </w:rPr>
        <w:t xml:space="preserve"> 40 ετών </w:t>
      </w:r>
      <w:r w:rsidRPr="00794F08">
        <w:rPr>
          <w:szCs w:val="22"/>
        </w:rPr>
        <w:t xml:space="preserve">που δεν έχουν λάβει οποιοδήποτε εμβόλιο που να περιέχει στελέχη έναντι της διφθερίτιδας ή του τετάνου τα τελευταία 20 χρόνια, μια δόση Boostrix επάγει αντισωματική αντίδραση έναντι του κοκκύτη και προστατεύει έναντι τετάνου και διφθερίτιδας στην πλειοψηφία των περιπτώσεων. Δυο επιπλέον δόσεις εμβολίου που να περιέχει στελέχη έναντι της διφθερίτιδας </w:t>
      </w:r>
      <w:r w:rsidR="00474E56">
        <w:rPr>
          <w:szCs w:val="22"/>
        </w:rPr>
        <w:t>και</w:t>
      </w:r>
      <w:r w:rsidRPr="00794F08">
        <w:rPr>
          <w:szCs w:val="22"/>
        </w:rPr>
        <w:t xml:space="preserve"> του τετάνου θα μεγιστοποιήσει την απάντηση του εμβολίου στη διφθερίτιδα και τον τέτανο όταν χορηγηθεί ένα και έξι μήνες μετά την πρώτη δόση (βλέπε παράγραφο 5.1).  </w:t>
      </w:r>
    </w:p>
    <w:p w:rsidR="007621BE" w:rsidRPr="00D9164F" w:rsidRDefault="00586AD8">
      <w:pPr>
        <w:jc w:val="both"/>
        <w:rPr>
          <w:szCs w:val="22"/>
        </w:rPr>
      </w:pPr>
      <w:r w:rsidRPr="00794F08">
        <w:rPr>
          <w:szCs w:val="22"/>
        </w:rPr>
        <w:t>Το Boostrix μπορεί να χρησιμοποιηθεί στην αντιμετώπιση των τραυματισμών με κίνδυνο τετάνου σε άτομα που έχουν προηγούμενα λάβει σειρά αρχικού εμβολιασμού με τοξοειδές τετάνου και για τα οποία ενδείκνυται αναμνηστική χορήγηση έναντι της διφθερίτιδας και του κοκκύτη. Η ανοσοσφαιρίνη του τετάνου θα πρέπει να χορηγείται ταυτόχρονα σύμφωνα με τις επίσημες συστάσεις.</w:t>
      </w:r>
    </w:p>
    <w:p w:rsidR="007621BE" w:rsidRPr="00794F08" w:rsidRDefault="00586AD8">
      <w:pPr>
        <w:jc w:val="both"/>
        <w:rPr>
          <w:szCs w:val="22"/>
        </w:rPr>
      </w:pPr>
      <w:r w:rsidRPr="00794F08">
        <w:rPr>
          <w:szCs w:val="22"/>
        </w:rPr>
        <w:t>Η επανάληψη των εμβολίων έναντι της διφθερίτιδας και του τετάνου θα πρέπει να γίνεται σε διαστήματα που καθορίζονται από τις επίσημες συστάσεις (γενικά</w:t>
      </w:r>
      <w:r w:rsidR="00851836" w:rsidRPr="00A8793B">
        <w:rPr>
          <w:szCs w:val="22"/>
        </w:rPr>
        <w:t xml:space="preserve"> κάθε</w:t>
      </w:r>
      <w:r w:rsidRPr="00794F08">
        <w:rPr>
          <w:szCs w:val="22"/>
        </w:rPr>
        <w:t xml:space="preserve"> 10 χρόνια).</w:t>
      </w:r>
    </w:p>
    <w:p w:rsidR="007621BE" w:rsidRPr="00D9164F" w:rsidRDefault="007621BE">
      <w:pPr>
        <w:jc w:val="both"/>
        <w:rPr>
          <w:szCs w:val="22"/>
        </w:rPr>
      </w:pPr>
    </w:p>
    <w:p w:rsidR="004269CB" w:rsidRPr="00D9164F" w:rsidRDefault="004269CB">
      <w:pPr>
        <w:jc w:val="both"/>
        <w:rPr>
          <w:szCs w:val="22"/>
        </w:rPr>
      </w:pPr>
    </w:p>
    <w:p w:rsidR="007B6DE8" w:rsidRPr="00D9164F" w:rsidRDefault="00586AD8" w:rsidP="007B6DE8">
      <w:r w:rsidRPr="00794F08">
        <w:rPr>
          <w:i/>
        </w:rPr>
        <w:lastRenderedPageBreak/>
        <w:t>Παιδιά</w:t>
      </w:r>
    </w:p>
    <w:p w:rsidR="007B6DE8" w:rsidRPr="00794F08" w:rsidRDefault="00586AD8" w:rsidP="007B6DE8">
      <w:pPr>
        <w:autoSpaceDE w:val="0"/>
        <w:autoSpaceDN w:val="0"/>
        <w:jc w:val="both"/>
      </w:pPr>
      <w:r w:rsidRPr="00794F08">
        <w:t>Η ασφάλεια και αποτελεσματικότητα του Boostrix σε παιδιά ηλικίας κάτω των 4 ετών δεν έχει τεκμηριωθεί.</w:t>
      </w:r>
    </w:p>
    <w:p w:rsidR="007B6DE8" w:rsidRPr="00794F08" w:rsidRDefault="007B6DE8">
      <w:pPr>
        <w:jc w:val="both"/>
        <w:rPr>
          <w:szCs w:val="22"/>
        </w:rPr>
      </w:pPr>
    </w:p>
    <w:p w:rsidR="00AC7016" w:rsidRPr="00D9164F" w:rsidRDefault="00586AD8">
      <w:pPr>
        <w:pStyle w:val="4"/>
      </w:pPr>
      <w:r w:rsidRPr="00794F08">
        <w:rPr>
          <w:szCs w:val="22"/>
        </w:rPr>
        <w:t>Μέθοδος χορήγησης</w:t>
      </w:r>
    </w:p>
    <w:p w:rsidR="007621BE" w:rsidRPr="00794F08" w:rsidRDefault="00586AD8">
      <w:pPr>
        <w:jc w:val="both"/>
        <w:rPr>
          <w:szCs w:val="22"/>
        </w:rPr>
      </w:pPr>
      <w:r w:rsidRPr="00794F08">
        <w:rPr>
          <w:szCs w:val="22"/>
        </w:rPr>
        <w:t>Το Boostrix προορίζεται για εν τω βάθει ενδομυϊκή ένεση κατά προτίμηση στην περιοχή του δελτοειδούς (βλέπε παράγραφο 4.4).</w:t>
      </w:r>
    </w:p>
    <w:p w:rsidR="007621BE" w:rsidRPr="00794F08" w:rsidRDefault="007621BE">
      <w:pPr>
        <w:jc w:val="both"/>
        <w:rPr>
          <w:szCs w:val="22"/>
        </w:rPr>
      </w:pPr>
    </w:p>
    <w:p w:rsidR="00AC7016" w:rsidRPr="00D9164F" w:rsidRDefault="00586AD8">
      <w:pPr>
        <w:jc w:val="both"/>
        <w:rPr>
          <w:szCs w:val="22"/>
        </w:rPr>
      </w:pPr>
      <w:r w:rsidRPr="00794F08">
        <w:rPr>
          <w:b/>
          <w:szCs w:val="22"/>
        </w:rPr>
        <w:t>4.3</w:t>
      </w:r>
      <w:r w:rsidRPr="00794F08">
        <w:rPr>
          <w:b/>
          <w:szCs w:val="22"/>
        </w:rPr>
        <w:tab/>
        <w:t>Αντενδείξεις</w:t>
      </w:r>
    </w:p>
    <w:p w:rsidR="002F1AC4" w:rsidRPr="00D9164F" w:rsidRDefault="00586AD8">
      <w:pPr>
        <w:jc w:val="both"/>
        <w:rPr>
          <w:szCs w:val="22"/>
        </w:rPr>
      </w:pPr>
      <w:r w:rsidRPr="00794F08">
        <w:rPr>
          <w:szCs w:val="22"/>
        </w:rPr>
        <w:t xml:space="preserve"> Υπερευαισθησία σε οποιοδήποτε από τα δραστικά συστατικά ή οποιοδήποτε από τα έκδοχα του εμβολίου.</w:t>
      </w:r>
    </w:p>
    <w:p w:rsidR="007621BE" w:rsidRPr="00D9164F" w:rsidRDefault="00586AD8">
      <w:pPr>
        <w:jc w:val="both"/>
        <w:rPr>
          <w:szCs w:val="22"/>
        </w:rPr>
      </w:pPr>
      <w:r w:rsidRPr="00794F08">
        <w:rPr>
          <w:szCs w:val="22"/>
        </w:rPr>
        <w:t>Υπερευαισθησία μετά από προηγούμενη χορήγηση εμβολίων έναντι της διφθερίτιδας, του τετάνου ή του κοκκύτη.</w:t>
      </w:r>
    </w:p>
    <w:p w:rsidR="007621BE" w:rsidRPr="00794F08" w:rsidRDefault="00586AD8" w:rsidP="008919BC">
      <w:pPr>
        <w:jc w:val="both"/>
        <w:rPr>
          <w:szCs w:val="22"/>
        </w:rPr>
      </w:pPr>
      <w:r w:rsidRPr="00794F08">
        <w:rPr>
          <w:szCs w:val="22"/>
        </w:rPr>
        <w:t xml:space="preserve">Το Boostrix αντενδείκνυται αν το άτομο έχει ιστορικό εγκεφαλοπάθειας αγνώστου αιτιολογίας, η οποία εμφανίστηκε σε διάστημα 7 ημερών μετά από προηγούμενο εμβολιασμό έναντι του κοκκύτη. Σε αυτές τις περιπτώσεις, ο εμβολιασμός έναντι του κοκκύτη θα πρέπει να διακόπτεται και το εμβολιαστικό σχήμα θα πρέπει να συνεχίζεται με εμβόλια έναντι διφθερίτιδας και τετάνου. </w:t>
      </w:r>
    </w:p>
    <w:p w:rsidR="007621BE" w:rsidRPr="00D9164F" w:rsidRDefault="00586AD8">
      <w:pPr>
        <w:jc w:val="both"/>
        <w:rPr>
          <w:b/>
          <w:szCs w:val="22"/>
        </w:rPr>
      </w:pPr>
      <w:r w:rsidRPr="00794F08">
        <w:rPr>
          <w:szCs w:val="22"/>
        </w:rPr>
        <w:t>Το Boostrix δε θα πρέπει να χορηγείται σε άτομα που έχουν παρουσιάσει παροδική θρομβοπενία ή νευρολογικές επιπλοκές (για σπασμούς ή επεισόδια υποτονίας</w:t>
      </w:r>
      <w:r w:rsidR="00851836" w:rsidRPr="00A8793B">
        <w:rPr>
          <w:szCs w:val="22"/>
        </w:rPr>
        <w:t>-υποαντιδραστικότητας</w:t>
      </w:r>
      <w:r w:rsidRPr="00794F08">
        <w:rPr>
          <w:szCs w:val="22"/>
        </w:rPr>
        <w:t>, βλέπε παράγραφο 4.4) μετά από προηγούμενη ανοσοποίηση έναντι της διφθερίτιδας και/ή του τετάνου.</w:t>
      </w:r>
    </w:p>
    <w:p w:rsidR="009F3DA7" w:rsidRPr="00794F08" w:rsidRDefault="00586AD8" w:rsidP="009F3DA7">
      <w:pPr>
        <w:jc w:val="both"/>
        <w:rPr>
          <w:szCs w:val="22"/>
        </w:rPr>
      </w:pPr>
      <w:r w:rsidRPr="00794F08">
        <w:rPr>
          <w:szCs w:val="22"/>
        </w:rPr>
        <w:t xml:space="preserve">Όπως και με τα άλλα εμβόλια, η χορήγηση του Boostrix θα πρέπει να αναβάλλεται σε άτομα που πάσχουν οξύ σοβαρό εμπύρετο νόσημα. Η παρουσία ήπιας λοίμωξης δεν αποτελεί αντένδειξη.   </w:t>
      </w:r>
    </w:p>
    <w:p w:rsidR="009F3DA7" w:rsidRPr="00794F08" w:rsidRDefault="009F3DA7">
      <w:pPr>
        <w:jc w:val="both"/>
        <w:rPr>
          <w:b/>
          <w:szCs w:val="22"/>
        </w:rPr>
      </w:pPr>
    </w:p>
    <w:p w:rsidR="007621BE" w:rsidRPr="00D9164F" w:rsidRDefault="00586AD8">
      <w:pPr>
        <w:jc w:val="both"/>
        <w:rPr>
          <w:szCs w:val="22"/>
        </w:rPr>
      </w:pPr>
      <w:r w:rsidRPr="00794F08">
        <w:rPr>
          <w:b/>
          <w:szCs w:val="22"/>
        </w:rPr>
        <w:t>4.4</w:t>
      </w:r>
      <w:r w:rsidRPr="00794F08">
        <w:rPr>
          <w:b/>
          <w:szCs w:val="22"/>
        </w:rPr>
        <w:tab/>
        <w:t>Ειδικές προειδοποιήσεις και προφυλάξεις κατά τη χρήση</w:t>
      </w:r>
    </w:p>
    <w:p w:rsidR="007621BE" w:rsidRPr="00D9164F" w:rsidRDefault="00586AD8">
      <w:pPr>
        <w:jc w:val="both"/>
        <w:rPr>
          <w:szCs w:val="22"/>
        </w:rPr>
      </w:pPr>
      <w:r w:rsidRPr="00794F08">
        <w:rPr>
          <w:szCs w:val="22"/>
        </w:rPr>
        <w:t>Πριν τον εμβολιασμό θα πρέπει να προηγείται ανασκόπηση του ιατρικού ιστορικού (ιδιαίτερα όσον αφορά προηγούμενους εμβολιασμούς και πιθανή εμφάνιση ανεπιθύμητων ενεργειών).</w:t>
      </w:r>
    </w:p>
    <w:p w:rsidR="007621BE" w:rsidRPr="00794F08" w:rsidRDefault="00586AD8">
      <w:pPr>
        <w:jc w:val="both"/>
        <w:rPr>
          <w:strike/>
          <w:szCs w:val="22"/>
        </w:rPr>
      </w:pPr>
      <w:r w:rsidRPr="00794F08">
        <w:rPr>
          <w:szCs w:val="22"/>
        </w:rPr>
        <w:t xml:space="preserve">Αν οποιοδήποτε από τα παρακάτω συμβάντα  </w:t>
      </w:r>
      <w:r w:rsidR="00FE349E">
        <w:rPr>
          <w:szCs w:val="22"/>
        </w:rPr>
        <w:t>έχει</w:t>
      </w:r>
      <w:r w:rsidR="00FE349E" w:rsidRPr="009E21E5">
        <w:rPr>
          <w:szCs w:val="22"/>
        </w:rPr>
        <w:t xml:space="preserve"> χρονική</w:t>
      </w:r>
      <w:r w:rsidR="00851836" w:rsidRPr="00A8793B">
        <w:rPr>
          <w:szCs w:val="22"/>
        </w:rPr>
        <w:t xml:space="preserve"> </w:t>
      </w:r>
      <w:r w:rsidRPr="00794F08">
        <w:rPr>
          <w:szCs w:val="22"/>
        </w:rPr>
        <w:t xml:space="preserve">συσχέτιση με τη λήψη εμβολίου κατά του κοκκύτη, η απόφαση για τη χορήγηση δόσεων εμβολίων για τον κοκκύτη θα πρέπει να εκτιμάται προσεκτικά: </w:t>
      </w:r>
    </w:p>
    <w:p w:rsidR="00851836" w:rsidRDefault="00586AD8" w:rsidP="00A8793B">
      <w:pPr>
        <w:numPr>
          <w:ilvl w:val="0"/>
          <w:numId w:val="69"/>
        </w:numPr>
        <w:jc w:val="both"/>
        <w:rPr>
          <w:szCs w:val="22"/>
        </w:rPr>
      </w:pPr>
      <w:r w:rsidRPr="00794F08">
        <w:rPr>
          <w:szCs w:val="22"/>
        </w:rPr>
        <w:t xml:space="preserve">Θερμοκρασία </w:t>
      </w:r>
      <w:r w:rsidRPr="00794F08">
        <w:rPr>
          <w:szCs w:val="22"/>
        </w:rPr>
        <w:sym w:font="Symbol" w:char="F0B3"/>
      </w:r>
      <w:r w:rsidRPr="00794F08">
        <w:rPr>
          <w:szCs w:val="22"/>
        </w:rPr>
        <w:t xml:space="preserve"> 40,0°C μέσα σε 48 ώρες από τον εμβολιασμό, η οποία δεν οφείλεται σε άλλη αναγνωρίσιμη αιτία.</w:t>
      </w:r>
    </w:p>
    <w:p w:rsidR="00851836" w:rsidRDefault="00586AD8" w:rsidP="00A8793B">
      <w:pPr>
        <w:numPr>
          <w:ilvl w:val="0"/>
          <w:numId w:val="69"/>
        </w:numPr>
        <w:jc w:val="both"/>
        <w:rPr>
          <w:szCs w:val="22"/>
        </w:rPr>
      </w:pPr>
      <w:r w:rsidRPr="00794F08">
        <w:rPr>
          <w:szCs w:val="22"/>
        </w:rPr>
        <w:t>Κατέρρειψη ή κατάσταση που ομοιάζει με καταπληξία (υποτονικό-υποαντιδραστικό επεισόδιο) μέσα σε 48 ώρες από τον εμβολιασμό.</w:t>
      </w:r>
    </w:p>
    <w:p w:rsidR="00851836" w:rsidRDefault="00586AD8" w:rsidP="00A8793B">
      <w:pPr>
        <w:numPr>
          <w:ilvl w:val="0"/>
          <w:numId w:val="69"/>
        </w:numPr>
        <w:jc w:val="both"/>
        <w:rPr>
          <w:szCs w:val="22"/>
        </w:rPr>
      </w:pPr>
      <w:r w:rsidRPr="00794F08">
        <w:rPr>
          <w:szCs w:val="22"/>
        </w:rPr>
        <w:t xml:space="preserve">Επίμονο, απαρηγόρητο κλάμα διάρκειας </w:t>
      </w:r>
      <w:r w:rsidRPr="00794F08">
        <w:rPr>
          <w:szCs w:val="22"/>
        </w:rPr>
        <w:sym w:font="Symbol" w:char="F0B3"/>
      </w:r>
      <w:r w:rsidRPr="00794F08">
        <w:rPr>
          <w:szCs w:val="22"/>
        </w:rPr>
        <w:t xml:space="preserve"> 3 </w:t>
      </w:r>
      <w:r w:rsidR="00851836" w:rsidRPr="00A8793B">
        <w:rPr>
          <w:szCs w:val="22"/>
        </w:rPr>
        <w:t>ωρών</w:t>
      </w:r>
      <w:r w:rsidRPr="00794F08">
        <w:rPr>
          <w:szCs w:val="22"/>
        </w:rPr>
        <w:t>, που εμφανίζεται μέσα σε 48 ώρες από τον εμβολιασμό.</w:t>
      </w:r>
    </w:p>
    <w:p w:rsidR="00851836" w:rsidRDefault="00586AD8" w:rsidP="00A8793B">
      <w:pPr>
        <w:numPr>
          <w:ilvl w:val="0"/>
          <w:numId w:val="69"/>
        </w:numPr>
        <w:jc w:val="both"/>
        <w:rPr>
          <w:szCs w:val="22"/>
        </w:rPr>
      </w:pPr>
      <w:r w:rsidRPr="00794F08">
        <w:rPr>
          <w:szCs w:val="22"/>
        </w:rPr>
        <w:t xml:space="preserve">Σπασμοί με ή χωρίς πυρετό, που εμφανίζονται μέσα σε 3 ημέρες από τον εμβολιασμό. </w:t>
      </w:r>
    </w:p>
    <w:p w:rsidR="00794F08" w:rsidRPr="00794F08" w:rsidRDefault="00794F08">
      <w:pPr>
        <w:jc w:val="both"/>
        <w:rPr>
          <w:szCs w:val="22"/>
        </w:rPr>
      </w:pPr>
    </w:p>
    <w:p w:rsidR="007621BE" w:rsidRPr="00D9164F" w:rsidRDefault="00586AD8" w:rsidP="001F57B9">
      <w:pPr>
        <w:jc w:val="both"/>
        <w:rPr>
          <w:b/>
          <w:szCs w:val="22"/>
        </w:rPr>
      </w:pPr>
      <w:r w:rsidRPr="00794F08">
        <w:rPr>
          <w:szCs w:val="22"/>
        </w:rPr>
        <w:t>Μπορεί να υπάρχουν περιπτώσεις, όπως η αυξημένη συχνότητα κοκκύτη, όπου τα δυνητικά οφέλη υπερτερούν των πιθανών κινδύνων.</w:t>
      </w:r>
    </w:p>
    <w:p w:rsidR="00AC7016" w:rsidRPr="00D9164F" w:rsidRDefault="00586AD8">
      <w:pPr>
        <w:tabs>
          <w:tab w:val="clear" w:pos="567"/>
        </w:tabs>
        <w:jc w:val="both"/>
        <w:rPr>
          <w:b/>
          <w:szCs w:val="22"/>
        </w:rPr>
      </w:pPr>
      <w:r w:rsidRPr="00794F08">
        <w:rPr>
          <w:szCs w:val="22"/>
        </w:rPr>
        <w:t xml:space="preserve">Όπως σε οποιοδήποτε εμβολιασμό, ο κίνδυνος έναντι του οφέλους της ανοσοποίησης με Boostrix ή η αναβολή αυτού του εμβολιασμού θα πρέπει να ζυγιστεί προσεκτικά σε ένα  παιδί που </w:t>
      </w:r>
      <w:r w:rsidR="00851836" w:rsidRPr="00A8793B">
        <w:rPr>
          <w:szCs w:val="22"/>
        </w:rPr>
        <w:t>εμφανίζει</w:t>
      </w:r>
      <w:r w:rsidRPr="00794F08">
        <w:rPr>
          <w:szCs w:val="22"/>
        </w:rPr>
        <w:t xml:space="preserve"> μια νέα εκδήλωση ή επιδείνωση  μιας σοβαρής νευρολογικής διαταραχής.</w:t>
      </w:r>
    </w:p>
    <w:p w:rsidR="007621BE" w:rsidRPr="00D9164F" w:rsidRDefault="00586AD8">
      <w:pPr>
        <w:tabs>
          <w:tab w:val="clear" w:pos="567"/>
        </w:tabs>
        <w:jc w:val="both"/>
        <w:rPr>
          <w:szCs w:val="22"/>
        </w:rPr>
      </w:pPr>
      <w:r w:rsidRPr="00794F08">
        <w:rPr>
          <w:szCs w:val="22"/>
        </w:rPr>
        <w:t xml:space="preserve">Όπως με όλα τα ενέσιμα εμβόλια, θα πρέπει να υπάρχει πάντα άμεσα διαθέσιμη κατάλληλη ιατρική αντιμετώπιση και επίβλεψη στη σπάνια περίπτωση αναφυλακτικής αντίδρασης μετά τη χορήγηση του εμβολίου. </w:t>
      </w:r>
    </w:p>
    <w:p w:rsidR="007621BE" w:rsidRPr="00D9164F" w:rsidRDefault="00586AD8">
      <w:pPr>
        <w:jc w:val="both"/>
        <w:rPr>
          <w:szCs w:val="22"/>
        </w:rPr>
      </w:pPr>
      <w:r w:rsidRPr="00794F08">
        <w:rPr>
          <w:szCs w:val="22"/>
        </w:rPr>
        <w:t>Το Boostrix θα πρέπει να χορηγείται με προσοχή σε άτομα με θρομβοπενία (βλέπε παράγραφο 4.3) ή διαταραχή της πήξης καθώς αιμορραγία μπορεί να συμβεί μετά από ενδομυϊκή ένεση στα άτομα αυτά. Θα πρέπει να εφαρμόζεται ισχυρή πίεση στο σημείο της ένεσης (χωρίς τρίψιμο) για τουλάχιστον δύο λεπτά.</w:t>
      </w:r>
    </w:p>
    <w:p w:rsidR="00AC7016" w:rsidRPr="00D9164F" w:rsidRDefault="00586AD8">
      <w:pPr>
        <w:tabs>
          <w:tab w:val="clear" w:pos="567"/>
        </w:tabs>
        <w:jc w:val="both"/>
        <w:rPr>
          <w:szCs w:val="22"/>
        </w:rPr>
      </w:pPr>
      <w:r w:rsidRPr="00794F08">
        <w:rPr>
          <w:szCs w:val="22"/>
        </w:rPr>
        <w:t>Το Boostrix δεν θα πρέπει σε καμία περίπτωση να χορηγείται ενδαγγειακά.</w:t>
      </w:r>
    </w:p>
    <w:p w:rsidR="007621BE" w:rsidRPr="00794F08" w:rsidRDefault="00586AD8">
      <w:pPr>
        <w:jc w:val="both"/>
        <w:rPr>
          <w:szCs w:val="22"/>
        </w:rPr>
      </w:pPr>
      <w:r w:rsidRPr="00794F08">
        <w:rPr>
          <w:szCs w:val="22"/>
        </w:rPr>
        <w:t>Το ιστορικό ή το οικογενειακό ιστορικό σπασμών και το οικογενειακό ιστορικό εμφάνισης ανεπιθύμητων ενεργειών μετά τον εμβολιασμό DTP δεν συνιστούν αντενδείξεις.</w:t>
      </w:r>
    </w:p>
    <w:p w:rsidR="007621BE" w:rsidRPr="00794F08" w:rsidRDefault="007621BE">
      <w:pPr>
        <w:tabs>
          <w:tab w:val="clear" w:pos="567"/>
        </w:tabs>
        <w:jc w:val="both"/>
        <w:rPr>
          <w:szCs w:val="22"/>
        </w:rPr>
      </w:pPr>
    </w:p>
    <w:p w:rsidR="004E4001" w:rsidRPr="00D9164F" w:rsidRDefault="00586AD8" w:rsidP="008919BC">
      <w:pPr>
        <w:jc w:val="both"/>
        <w:rPr>
          <w:szCs w:val="22"/>
        </w:rPr>
      </w:pPr>
      <w:r w:rsidRPr="00794F08">
        <w:rPr>
          <w:szCs w:val="22"/>
        </w:rPr>
        <w:lastRenderedPageBreak/>
        <w:t xml:space="preserve">Η λοίμωξη από ιό Επίκτητης Ανοσολογικής Ανεπάρκειας (HIV) δε θεωρείται αντένδειξη. Η αναμενόμενη ανοσιακή απάντηση μπορεί να μην επιτευχθεί μετά τον εμβολιασμό ανοσοκατεσταλμένων ασθενών. </w:t>
      </w:r>
    </w:p>
    <w:p w:rsidR="00AC7016" w:rsidRPr="00D9164F" w:rsidRDefault="00851836">
      <w:pPr>
        <w:rPr>
          <w:szCs w:val="22"/>
        </w:rPr>
      </w:pPr>
      <w:r w:rsidRPr="00A8793B">
        <w:t>Συγκοπικό επεισόδιο (λιποθυμία) μπορεί να συμβεί μετά ή ακόμη και πριν από κάθε εμβολιασμό, ειδικά σε εφήβους, ως ψυχογενής αντίδραση στην ένεση με βελόνα. Αυτό μπορεί να συνοδεύεται από νευρολογική σημειολογία όπως παροδική διαταραχή στην όραση, παραισθησία και τονικοκλωνικούς σπασμούς του άκρου κατά την ανάνηψη. Είναι πολύ σημαντικό να λαμβάνουν χώρα διαδικασίες προς αποφυγή τραυματισμού από λιποθυμίες.</w:t>
      </w:r>
    </w:p>
    <w:p w:rsidR="004E4001" w:rsidRPr="00794F08" w:rsidRDefault="00586AD8" w:rsidP="008919BC">
      <w:pPr>
        <w:jc w:val="both"/>
        <w:rPr>
          <w:szCs w:val="22"/>
        </w:rPr>
      </w:pPr>
      <w:r w:rsidRPr="00794F08">
        <w:rPr>
          <w:szCs w:val="22"/>
        </w:rPr>
        <w:t>Όπως με κάθε εμβόλιο, η προστατευτική ανοσιακή απάντηση μπορεί να μην επιτευχθεί σε όλους τους εμβολιασθέντες.</w:t>
      </w:r>
    </w:p>
    <w:p w:rsidR="007621BE" w:rsidRPr="00794F08" w:rsidRDefault="007621BE" w:rsidP="008919BC">
      <w:pPr>
        <w:tabs>
          <w:tab w:val="clear" w:pos="567"/>
        </w:tabs>
        <w:jc w:val="both"/>
        <w:rPr>
          <w:szCs w:val="22"/>
        </w:rPr>
      </w:pPr>
    </w:p>
    <w:p w:rsidR="00AC7016" w:rsidRPr="00D9164F" w:rsidRDefault="00586AD8">
      <w:pPr>
        <w:ind w:left="567" w:hanging="567"/>
        <w:jc w:val="both"/>
        <w:rPr>
          <w:b/>
          <w:szCs w:val="22"/>
        </w:rPr>
      </w:pPr>
      <w:r w:rsidRPr="00794F08">
        <w:rPr>
          <w:b/>
          <w:szCs w:val="22"/>
        </w:rPr>
        <w:t>4.5</w:t>
      </w:r>
      <w:r w:rsidRPr="00794F08">
        <w:rPr>
          <w:b/>
          <w:szCs w:val="22"/>
        </w:rPr>
        <w:tab/>
        <w:t>Αλληλεπιδράσεις με άλλα φαρμακευτικά προϊόντα και άλλες μορφές αλληλεπίδρασης</w:t>
      </w:r>
    </w:p>
    <w:p w:rsidR="00DE4414" w:rsidRPr="00D9164F" w:rsidRDefault="00851836" w:rsidP="00DE4414">
      <w:pPr>
        <w:jc w:val="both"/>
        <w:rPr>
          <w:szCs w:val="22"/>
        </w:rPr>
      </w:pPr>
      <w:r w:rsidRPr="00A8793B">
        <w:rPr>
          <w:b/>
          <w:szCs w:val="22"/>
        </w:rPr>
        <w:t>Χορήγηση με άλλα εμβόλια ή ανοσοσφαιρίνες</w:t>
      </w:r>
    </w:p>
    <w:p w:rsidR="007E1F66" w:rsidRPr="00794F08" w:rsidRDefault="00586AD8">
      <w:pPr>
        <w:jc w:val="both"/>
        <w:rPr>
          <w:szCs w:val="22"/>
        </w:rPr>
      </w:pPr>
      <w:r w:rsidRPr="00794F08">
        <w:rPr>
          <w:szCs w:val="22"/>
        </w:rPr>
        <w:t xml:space="preserve">Το Boostrix μπορεί να χορηγηθεί ταυτόχρονα με εμβόλιο έναντι του ιού των ανθρώπινων θηλωμάτων χωρίς κλινικά σημαντική παρεμβολή στην αντισωματική απάντηση σε οποιοδήποτε από τα συστατικά οποιουδήποτε από τα δυο εμβόλια. Η ταυτόχρονη χορήγηση Boostrix με άλλα εμβόλια ή με ανοσοσφαιρίνες δεν έχει μελετηθεί. </w:t>
      </w:r>
    </w:p>
    <w:p w:rsidR="007E1F66" w:rsidRPr="00D9164F" w:rsidRDefault="00586AD8">
      <w:pPr>
        <w:jc w:val="both"/>
        <w:rPr>
          <w:szCs w:val="22"/>
        </w:rPr>
      </w:pPr>
      <w:r w:rsidRPr="00794F08">
        <w:rPr>
          <w:szCs w:val="22"/>
        </w:rPr>
        <w:t xml:space="preserve">Θεωρείται απίθανο η συγχορήγηση να έχει ως αποτέλεσμα παρεμβολή στις ανοσιακές απαντήσεις. </w:t>
      </w:r>
    </w:p>
    <w:p w:rsidR="00E54F2F" w:rsidRPr="00794F08" w:rsidRDefault="00586AD8" w:rsidP="007E1F66">
      <w:r w:rsidRPr="00794F08">
        <w:t xml:space="preserve">Σύμφωνα με τις γενικά αποδεκτές </w:t>
      </w:r>
      <w:r w:rsidR="00851836" w:rsidRPr="00A8793B">
        <w:t>πρακτικές και</w:t>
      </w:r>
      <w:r w:rsidRPr="00794F08">
        <w:t xml:space="preserve"> συστάσεις </w:t>
      </w:r>
      <w:r w:rsidR="00851836" w:rsidRPr="00A8793B">
        <w:t xml:space="preserve"> εμβολιασμού</w:t>
      </w:r>
      <w:r w:rsidRPr="00794F08">
        <w:t xml:space="preserve">, εάν η συγχορήγηση του </w:t>
      </w:r>
      <w:r w:rsidRPr="00794F08">
        <w:rPr>
          <w:lang w:val="en-US"/>
        </w:rPr>
        <w:t>Boostix</w:t>
      </w:r>
      <w:r w:rsidR="00851836" w:rsidRPr="00A8793B">
        <w:t xml:space="preserve"> </w:t>
      </w:r>
      <w:r w:rsidRPr="00794F08">
        <w:t xml:space="preserve">με άλλα εμβόλια ή ανοσοσφαιρίνες θεωρείται απαραίτητη, τα προϊόντα θα πρέπει να χορηγούνται σε διαφορετικές θέσεις. </w:t>
      </w:r>
    </w:p>
    <w:p w:rsidR="000C760E" w:rsidRPr="00794F08" w:rsidRDefault="000C760E">
      <w:pPr>
        <w:jc w:val="both"/>
        <w:rPr>
          <w:szCs w:val="22"/>
        </w:rPr>
      </w:pPr>
    </w:p>
    <w:p w:rsidR="00851836" w:rsidRPr="00A8793B" w:rsidRDefault="00851836" w:rsidP="00A8793B">
      <w:pPr>
        <w:tabs>
          <w:tab w:val="right" w:pos="8313"/>
        </w:tabs>
        <w:rPr>
          <w:b/>
          <w:lang w:eastAsia="en-US"/>
        </w:rPr>
      </w:pPr>
      <w:r w:rsidRPr="00A8793B">
        <w:rPr>
          <w:b/>
          <w:lang w:eastAsia="en-US"/>
        </w:rPr>
        <w:t>Χορήγηση με ανοσοκατασταλτική θεραπεία</w:t>
      </w:r>
      <w:r w:rsidR="00586AD8" w:rsidRPr="00794F08">
        <w:rPr>
          <w:b/>
          <w:lang w:eastAsia="en-US"/>
        </w:rPr>
        <w:tab/>
      </w:r>
    </w:p>
    <w:p w:rsidR="007621BE" w:rsidRPr="00794F08" w:rsidRDefault="00586AD8">
      <w:pPr>
        <w:jc w:val="both"/>
        <w:rPr>
          <w:b/>
          <w:strike/>
          <w:szCs w:val="22"/>
        </w:rPr>
      </w:pPr>
      <w:r w:rsidRPr="00794F08">
        <w:rPr>
          <w:szCs w:val="22"/>
        </w:rPr>
        <w:t xml:space="preserve">Όπως και με άλλα εμβόλια, </w:t>
      </w:r>
      <w:r w:rsidR="00851836" w:rsidRPr="00A8793B">
        <w:rPr>
          <w:szCs w:val="22"/>
        </w:rPr>
        <w:t>σε</w:t>
      </w:r>
      <w:r w:rsidRPr="00794F08">
        <w:rPr>
          <w:szCs w:val="22"/>
        </w:rPr>
        <w:t xml:space="preserve"> ασθενείς που λαμβάνουν ανοσοκατασταλτική θεραπεία μπορεί να μην επιτ</w:t>
      </w:r>
      <w:r w:rsidR="00851836" w:rsidRPr="00A8793B">
        <w:rPr>
          <w:szCs w:val="22"/>
        </w:rPr>
        <w:t>ευχθεί</w:t>
      </w:r>
      <w:r w:rsidRPr="00794F08">
        <w:rPr>
          <w:szCs w:val="22"/>
        </w:rPr>
        <w:t xml:space="preserve"> επαρκή</w:t>
      </w:r>
      <w:r w:rsidR="00851836" w:rsidRPr="00A8793B">
        <w:rPr>
          <w:szCs w:val="22"/>
        </w:rPr>
        <w:t>ς</w:t>
      </w:r>
      <w:r w:rsidRPr="00794F08">
        <w:rPr>
          <w:szCs w:val="22"/>
        </w:rPr>
        <w:t xml:space="preserve"> ανοσιακή απάντηση. </w:t>
      </w:r>
    </w:p>
    <w:p w:rsidR="007621BE" w:rsidRPr="00794F08" w:rsidRDefault="007621BE">
      <w:pPr>
        <w:tabs>
          <w:tab w:val="clear" w:pos="567"/>
        </w:tabs>
        <w:jc w:val="both"/>
        <w:rPr>
          <w:szCs w:val="22"/>
        </w:rPr>
      </w:pPr>
    </w:p>
    <w:p w:rsidR="007621BE" w:rsidRPr="00D9164F" w:rsidRDefault="00586AD8">
      <w:pPr>
        <w:jc w:val="both"/>
        <w:rPr>
          <w:szCs w:val="22"/>
        </w:rPr>
      </w:pPr>
      <w:r w:rsidRPr="00794F08">
        <w:rPr>
          <w:b/>
          <w:szCs w:val="22"/>
        </w:rPr>
        <w:t>4.6</w:t>
      </w:r>
      <w:r w:rsidRPr="00794F08">
        <w:rPr>
          <w:b/>
          <w:szCs w:val="22"/>
        </w:rPr>
        <w:tab/>
        <w:t>Γονιμότητα, κύηση και γαλουχία</w:t>
      </w:r>
    </w:p>
    <w:p w:rsidR="00DE4414" w:rsidRPr="00D9164F" w:rsidRDefault="00851836">
      <w:pPr>
        <w:jc w:val="both"/>
        <w:rPr>
          <w:szCs w:val="22"/>
        </w:rPr>
      </w:pPr>
      <w:r w:rsidRPr="00A8793B">
        <w:rPr>
          <w:b/>
          <w:szCs w:val="22"/>
        </w:rPr>
        <w:t>Γονιμότητα</w:t>
      </w:r>
    </w:p>
    <w:p w:rsidR="00DE4414" w:rsidRPr="00794F08" w:rsidRDefault="00586AD8" w:rsidP="00DE4414">
      <w:pPr>
        <w:jc w:val="both"/>
        <w:rPr>
          <w:szCs w:val="22"/>
        </w:rPr>
      </w:pPr>
      <w:r w:rsidRPr="00794F08">
        <w:rPr>
          <w:szCs w:val="22"/>
        </w:rPr>
        <w:t>Δεν υπάρχουν διαθέσιμα δεδομένα για τη γονιμότητα.</w:t>
      </w:r>
    </w:p>
    <w:p w:rsidR="00851836" w:rsidRDefault="00851836" w:rsidP="00A8793B">
      <w:pPr>
        <w:rPr>
          <w:szCs w:val="22"/>
        </w:rPr>
      </w:pPr>
    </w:p>
    <w:p w:rsidR="00AC7016" w:rsidRPr="00D9164F" w:rsidRDefault="00851836">
      <w:pPr>
        <w:jc w:val="both"/>
        <w:rPr>
          <w:szCs w:val="22"/>
        </w:rPr>
      </w:pPr>
      <w:r w:rsidRPr="00A8793B">
        <w:rPr>
          <w:b/>
          <w:szCs w:val="22"/>
        </w:rPr>
        <w:t>Κύηση</w:t>
      </w:r>
    </w:p>
    <w:p w:rsidR="004B0F12" w:rsidRPr="00A8793B" w:rsidRDefault="00851836">
      <w:pPr>
        <w:jc w:val="both"/>
        <w:rPr>
          <w:szCs w:val="22"/>
        </w:rPr>
      </w:pPr>
      <w:r w:rsidRPr="00A8793B">
        <w:rPr>
          <w:szCs w:val="22"/>
        </w:rPr>
        <w:t>Δεν υπάρχουν διαθέσιμα επαρκή στοιχεία από ανθρώπους από τη χρήση του Boostrix κατά τη διάρκεια της κύησης και δεν έχουν διεξαχθεί μελέτες  ως προς την τοξικότητα στην αναπαραγωγική ικανότητα</w:t>
      </w:r>
      <w:r w:rsidR="00586AD8" w:rsidRPr="00794F08">
        <w:rPr>
          <w:noProof/>
          <w:szCs w:val="22"/>
        </w:rPr>
        <w:t xml:space="preserve"> </w:t>
      </w:r>
      <w:r w:rsidRPr="00A8793B">
        <w:rPr>
          <w:szCs w:val="22"/>
        </w:rPr>
        <w:t xml:space="preserve">σε ζώα. Όπως και με άλλα αδρανοποιημένα εμβόλια, ο εμβολιασμός με Boostrix δεν αναμένεται να έχει βλαπτική επίδραση στο έμβρυο. Ωστόσο, το εμβόλιο θα πρέπει να χρησιμοποιείται κατά τη διάρκεια της εγκυμοσύνης μόνο όταν είναι απολύτως απαραίτητο και τα πιθανά πλεονεκτήματα είναι μεγαλύτερα από τους πιθανούς κινδύνους για το έμβρυο.  </w:t>
      </w:r>
    </w:p>
    <w:p w:rsidR="007621BE" w:rsidRPr="00A8793B" w:rsidRDefault="007621BE">
      <w:pPr>
        <w:jc w:val="both"/>
        <w:rPr>
          <w:szCs w:val="22"/>
        </w:rPr>
      </w:pPr>
    </w:p>
    <w:p w:rsidR="00DE4414" w:rsidRPr="00D9164F" w:rsidRDefault="00851836">
      <w:pPr>
        <w:jc w:val="both"/>
        <w:rPr>
          <w:szCs w:val="22"/>
        </w:rPr>
      </w:pPr>
      <w:r w:rsidRPr="00A8793B">
        <w:rPr>
          <w:b/>
          <w:szCs w:val="22"/>
        </w:rPr>
        <w:t>Γαλουχία</w:t>
      </w:r>
    </w:p>
    <w:p w:rsidR="007621BE" w:rsidRPr="00A8793B" w:rsidRDefault="00851836">
      <w:pPr>
        <w:jc w:val="both"/>
        <w:rPr>
          <w:szCs w:val="22"/>
        </w:rPr>
      </w:pPr>
      <w:r w:rsidRPr="00A8793B">
        <w:rPr>
          <w:szCs w:val="22"/>
        </w:rPr>
        <w:t xml:space="preserve">Δεν υπάρχουν διαθέσιμα επαρκή στοιχεία από τη χορήγηση του Boostrix σε γυναίκες που θηλάζουν τα μωρά τους. Ωστόσο, καθώς το Boostrix περιέχει τοξοειδή ή αδρανοποιημένα αντιγόνα, δεν αναμένεται κίνδυνος για το βρέφος που θηλάζει. Τα οφέλη έναντι των κινδύνων της χορήγησης του Boostrix σε γυναίκες που θηλάζουν θα πρέπει να αξιολογούνται από τους παρέχοντες υπηρεσίες υγείας. </w:t>
      </w:r>
    </w:p>
    <w:p w:rsidR="007621BE" w:rsidRPr="00794F08" w:rsidRDefault="007621BE">
      <w:pPr>
        <w:jc w:val="both"/>
        <w:rPr>
          <w:szCs w:val="22"/>
        </w:rPr>
      </w:pPr>
    </w:p>
    <w:p w:rsidR="00AC7016" w:rsidRPr="00D9164F" w:rsidRDefault="00586AD8">
      <w:pPr>
        <w:jc w:val="both"/>
        <w:rPr>
          <w:szCs w:val="22"/>
        </w:rPr>
      </w:pPr>
      <w:r w:rsidRPr="00794F08">
        <w:rPr>
          <w:b/>
          <w:szCs w:val="22"/>
        </w:rPr>
        <w:t>4.7</w:t>
      </w:r>
      <w:r w:rsidRPr="00794F08">
        <w:rPr>
          <w:b/>
          <w:szCs w:val="22"/>
        </w:rPr>
        <w:tab/>
        <w:t>Επιδράσεις στην ικανότητα οδήγησης και χειρισμού μηχανών</w:t>
      </w:r>
    </w:p>
    <w:p w:rsidR="007621BE" w:rsidRPr="00794F08" w:rsidRDefault="00586AD8">
      <w:pPr>
        <w:tabs>
          <w:tab w:val="clear" w:pos="567"/>
        </w:tabs>
        <w:jc w:val="both"/>
        <w:rPr>
          <w:szCs w:val="22"/>
        </w:rPr>
      </w:pPr>
      <w:r w:rsidRPr="00794F08">
        <w:rPr>
          <w:szCs w:val="22"/>
        </w:rPr>
        <w:t>Είναι απίθανο το εμβόλιο να επηρεάσει την ικανότητα οδήγησης και χειρισμού μηχανών.</w:t>
      </w:r>
    </w:p>
    <w:p w:rsidR="007621BE" w:rsidRPr="00794F08" w:rsidRDefault="007621BE">
      <w:pPr>
        <w:tabs>
          <w:tab w:val="clear" w:pos="567"/>
        </w:tabs>
        <w:jc w:val="both"/>
        <w:rPr>
          <w:szCs w:val="22"/>
        </w:rPr>
      </w:pPr>
    </w:p>
    <w:p w:rsidR="007621BE" w:rsidRPr="00D9164F" w:rsidRDefault="00586AD8">
      <w:pPr>
        <w:jc w:val="both"/>
        <w:rPr>
          <w:b/>
          <w:szCs w:val="22"/>
        </w:rPr>
      </w:pPr>
      <w:r w:rsidRPr="00794F08">
        <w:rPr>
          <w:b/>
          <w:szCs w:val="22"/>
        </w:rPr>
        <w:t>4.8</w:t>
      </w:r>
      <w:r w:rsidRPr="00794F08">
        <w:rPr>
          <w:b/>
          <w:szCs w:val="22"/>
        </w:rPr>
        <w:tab/>
        <w:t>Ανεπιθύμητες ενέργειες</w:t>
      </w:r>
    </w:p>
    <w:p w:rsidR="00DE4414" w:rsidRPr="00D9164F" w:rsidRDefault="00586AD8" w:rsidP="00DE4414">
      <w:pPr>
        <w:tabs>
          <w:tab w:val="clear" w:pos="567"/>
          <w:tab w:val="left" w:pos="0"/>
        </w:tabs>
        <w:rPr>
          <w:bCs/>
          <w:iCs/>
        </w:rPr>
      </w:pPr>
      <w:r w:rsidRPr="00794F08">
        <w:rPr>
          <w:bCs/>
          <w:iCs/>
        </w:rPr>
        <w:t>Το προφίλ ασφαλείας που παρατίθεται κατωτέρω βασίζεται σε δεδομένα από κλινικές δοκιμές όπου το Boostrix χορηγήθηκε σε 839 παιδιά (ηλικίας από 4 έως 8 ετών) και 1931 ενήλικες, εφήβους και παιδιά (ηλικίας από 10 έως 76 ετών).</w:t>
      </w:r>
    </w:p>
    <w:p w:rsidR="007621BE" w:rsidRPr="00794F08" w:rsidRDefault="00586AD8">
      <w:pPr>
        <w:jc w:val="both"/>
        <w:rPr>
          <w:szCs w:val="22"/>
        </w:rPr>
      </w:pPr>
      <w:r w:rsidRPr="00794F08">
        <w:rPr>
          <w:szCs w:val="22"/>
        </w:rPr>
        <w:t xml:space="preserve">Οι πιο συχνές ανεπιθύμητες ενέργειες που εμφανίστηκαν μετά τη χορήγηση του </w:t>
      </w:r>
      <w:r w:rsidRPr="00794F08">
        <w:rPr>
          <w:szCs w:val="22"/>
          <w:lang w:val="en-US"/>
        </w:rPr>
        <w:t>Boostrix</w:t>
      </w:r>
      <w:r w:rsidRPr="00794F08">
        <w:rPr>
          <w:szCs w:val="22"/>
        </w:rPr>
        <w:t xml:space="preserve"> και στις δυο ομάδες ήταν οι τοπικές αντιδράσεις της θέσης της ένεσης (άλγος, ερυθρότητα και οίδημα) που αναφέρθηκε στο 23,7 – 80,6% των ατόμων σε κάθε μελέτη. Συνήθως τα συμπτώματα αυτά άρχιζαν </w:t>
      </w:r>
      <w:r w:rsidRPr="00794F08">
        <w:rPr>
          <w:szCs w:val="22"/>
        </w:rPr>
        <w:lastRenderedPageBreak/>
        <w:t>εντός των πρώτων 48 ωρών από τον εμβολιασμό. Όλα τα συμπτώματα υποχώρησαν χωρίς επακόλουθα.</w:t>
      </w:r>
    </w:p>
    <w:p w:rsidR="007621BE" w:rsidRPr="00D9164F" w:rsidRDefault="007621BE">
      <w:pPr>
        <w:jc w:val="both"/>
        <w:rPr>
          <w:szCs w:val="22"/>
        </w:rPr>
      </w:pPr>
    </w:p>
    <w:p w:rsidR="007621BE" w:rsidRPr="00794F08" w:rsidRDefault="00586AD8">
      <w:pPr>
        <w:jc w:val="both"/>
        <w:rPr>
          <w:szCs w:val="22"/>
        </w:rPr>
      </w:pPr>
      <w:r w:rsidRPr="00794F08">
        <w:rPr>
          <w:szCs w:val="22"/>
        </w:rPr>
        <w:t>Οι ανεπιθύμητες ενέργειες που παρατίθενται κατωτέρω αναφέρονται σύμφωνα με την ακόλουθη συχνότητα εμφάνισης:</w:t>
      </w:r>
    </w:p>
    <w:p w:rsidR="007621BE" w:rsidRPr="00794F08" w:rsidRDefault="007621BE">
      <w:pPr>
        <w:tabs>
          <w:tab w:val="left" w:pos="1735"/>
        </w:tabs>
        <w:jc w:val="both"/>
        <w:rPr>
          <w:szCs w:val="22"/>
        </w:rPr>
      </w:pPr>
    </w:p>
    <w:p w:rsidR="00F57D7E" w:rsidRPr="00794F08" w:rsidRDefault="00586AD8" w:rsidP="00F57D7E">
      <w:pPr>
        <w:tabs>
          <w:tab w:val="left" w:pos="1560"/>
        </w:tabs>
        <w:rPr>
          <w:szCs w:val="22"/>
        </w:rPr>
      </w:pPr>
      <w:r w:rsidRPr="00794F08">
        <w:rPr>
          <w:szCs w:val="22"/>
        </w:rPr>
        <w:t>Πολύ συχνές: (</w:t>
      </w:r>
      <w:r w:rsidRPr="00794F08">
        <w:rPr>
          <w:szCs w:val="22"/>
        </w:rPr>
        <w:sym w:font="Symbol" w:char="00B3"/>
      </w:r>
      <w:r w:rsidRPr="00794F08">
        <w:rPr>
          <w:szCs w:val="22"/>
        </w:rPr>
        <w:t>1/10)</w:t>
      </w:r>
    </w:p>
    <w:p w:rsidR="00F57D7E" w:rsidRPr="00794F08" w:rsidRDefault="00586AD8" w:rsidP="00F57D7E">
      <w:pPr>
        <w:tabs>
          <w:tab w:val="left" w:pos="1560"/>
        </w:tabs>
        <w:rPr>
          <w:szCs w:val="22"/>
        </w:rPr>
      </w:pPr>
      <w:r w:rsidRPr="00794F08">
        <w:rPr>
          <w:szCs w:val="22"/>
        </w:rPr>
        <w:t>Συχνές: (</w:t>
      </w:r>
      <w:r w:rsidRPr="00794F08">
        <w:rPr>
          <w:szCs w:val="22"/>
        </w:rPr>
        <w:sym w:font="Symbol" w:char="00B3"/>
      </w:r>
      <w:r w:rsidRPr="00794F08">
        <w:rPr>
          <w:szCs w:val="22"/>
        </w:rPr>
        <w:t xml:space="preserve"> 1/100 έως  &lt; 1/10)</w:t>
      </w:r>
    </w:p>
    <w:p w:rsidR="00F57D7E" w:rsidRPr="00794F08" w:rsidRDefault="00586AD8" w:rsidP="00F57D7E">
      <w:pPr>
        <w:tabs>
          <w:tab w:val="left" w:pos="1560"/>
        </w:tabs>
        <w:rPr>
          <w:szCs w:val="22"/>
        </w:rPr>
      </w:pPr>
      <w:r w:rsidRPr="00794F08">
        <w:rPr>
          <w:szCs w:val="22"/>
        </w:rPr>
        <w:t>Όχι συχνές: (</w:t>
      </w:r>
      <w:r w:rsidRPr="00794F08">
        <w:rPr>
          <w:szCs w:val="22"/>
        </w:rPr>
        <w:sym w:font="Symbol" w:char="00B3"/>
      </w:r>
      <w:r w:rsidRPr="00794F08">
        <w:rPr>
          <w:szCs w:val="22"/>
        </w:rPr>
        <w:t xml:space="preserve"> 1/1,000 έως &lt; 1/100)</w:t>
      </w:r>
    </w:p>
    <w:p w:rsidR="00F57D7E" w:rsidRPr="00794F08" w:rsidRDefault="00586AD8" w:rsidP="00F57D7E">
      <w:pPr>
        <w:tabs>
          <w:tab w:val="left" w:pos="1560"/>
        </w:tabs>
        <w:rPr>
          <w:szCs w:val="22"/>
        </w:rPr>
      </w:pPr>
      <w:r w:rsidRPr="00794F08">
        <w:rPr>
          <w:szCs w:val="22"/>
        </w:rPr>
        <w:t>Σπάνιες: (</w:t>
      </w:r>
      <w:r w:rsidRPr="00794F08">
        <w:rPr>
          <w:szCs w:val="22"/>
        </w:rPr>
        <w:sym w:font="Symbol" w:char="00B3"/>
      </w:r>
      <w:r w:rsidRPr="00794F08">
        <w:rPr>
          <w:szCs w:val="22"/>
        </w:rPr>
        <w:t xml:space="preserve"> 1/10,000 έως &lt; 1/1,000)</w:t>
      </w:r>
    </w:p>
    <w:p w:rsidR="00AA0296" w:rsidRPr="00794F08" w:rsidRDefault="00586AD8">
      <w:pPr>
        <w:jc w:val="both"/>
        <w:rPr>
          <w:szCs w:val="22"/>
        </w:rPr>
      </w:pPr>
      <w:r w:rsidRPr="00794F08">
        <w:rPr>
          <w:szCs w:val="22"/>
        </w:rPr>
        <w:t>Πολύ σπάνιες: (&lt; 1/10,000)</w:t>
      </w:r>
    </w:p>
    <w:p w:rsidR="00AA0296" w:rsidRPr="00794F08" w:rsidRDefault="00AA0296">
      <w:pPr>
        <w:jc w:val="both"/>
        <w:rPr>
          <w:szCs w:val="22"/>
        </w:rPr>
      </w:pPr>
    </w:p>
    <w:p w:rsidR="007621BE" w:rsidRPr="00794F08" w:rsidRDefault="00586AD8">
      <w:pPr>
        <w:jc w:val="both"/>
        <w:rPr>
          <w:szCs w:val="22"/>
        </w:rPr>
      </w:pPr>
      <w:r w:rsidRPr="00794F08">
        <w:rPr>
          <w:bCs/>
        </w:rPr>
        <w:t>Εντός κάθε κατηγορίας συχνότητας εμφάνισης, οι ανεπιθύμητες ενέργειες παρατίθενται κατά φθίνουσα σειρά σοβαρότητας.</w:t>
      </w:r>
    </w:p>
    <w:p w:rsidR="00F57D7E" w:rsidRPr="00794F08" w:rsidRDefault="00F57D7E">
      <w:pPr>
        <w:jc w:val="both"/>
        <w:rPr>
          <w:szCs w:val="22"/>
        </w:rPr>
      </w:pPr>
    </w:p>
    <w:p w:rsidR="00AC7016" w:rsidRPr="00D9164F" w:rsidRDefault="00851836">
      <w:pPr>
        <w:rPr>
          <w:szCs w:val="22"/>
        </w:rPr>
      </w:pPr>
      <w:r w:rsidRPr="00A8793B">
        <w:rPr>
          <w:b/>
          <w:lang w:eastAsia="en-US"/>
        </w:rPr>
        <w:t>Κλινικές δοκιμές</w:t>
      </w:r>
    </w:p>
    <w:p w:rsidR="001D2129" w:rsidRPr="00794F08" w:rsidRDefault="00794F08">
      <w:pPr>
        <w:jc w:val="both"/>
        <w:rPr>
          <w:szCs w:val="22"/>
        </w:rPr>
      </w:pPr>
      <w:r>
        <w:rPr>
          <w:b/>
          <w:i/>
        </w:rPr>
        <w:t>-</w:t>
      </w:r>
      <w:r w:rsidR="00586AD8" w:rsidRPr="00794F08">
        <w:rPr>
          <w:b/>
          <w:i/>
        </w:rPr>
        <w:t>Άτομα ηλικίας 4 – 8 ετών</w:t>
      </w:r>
      <w:r w:rsidR="00586AD8" w:rsidRPr="00794F08">
        <w:t xml:space="preserve"> (N=839)</w:t>
      </w:r>
    </w:p>
    <w:p w:rsidR="00794F08" w:rsidRDefault="00794F08" w:rsidP="00664DE5">
      <w:pPr>
        <w:tabs>
          <w:tab w:val="left" w:pos="426"/>
          <w:tab w:val="left" w:pos="1701"/>
        </w:tabs>
        <w:jc w:val="both"/>
        <w:rPr>
          <w:noProof/>
          <w:szCs w:val="22"/>
          <w:u w:val="single"/>
        </w:rPr>
      </w:pPr>
    </w:p>
    <w:p w:rsidR="00664DE5" w:rsidRPr="00794F08" w:rsidRDefault="00586AD8" w:rsidP="00664DE5">
      <w:pPr>
        <w:tabs>
          <w:tab w:val="left" w:pos="426"/>
          <w:tab w:val="left" w:pos="1701"/>
        </w:tabs>
        <w:jc w:val="both"/>
        <w:rPr>
          <w:noProof/>
          <w:szCs w:val="22"/>
          <w:u w:val="single"/>
        </w:rPr>
      </w:pPr>
      <w:r w:rsidRPr="00794F08">
        <w:rPr>
          <w:noProof/>
          <w:szCs w:val="22"/>
          <w:u w:val="single"/>
        </w:rPr>
        <w:t>Λοιμώξεις και παρασιτώσεις</w:t>
      </w:r>
    </w:p>
    <w:p w:rsidR="00664DE5" w:rsidRPr="00794F08" w:rsidRDefault="00586AD8" w:rsidP="00664DE5">
      <w:pPr>
        <w:tabs>
          <w:tab w:val="left" w:pos="426"/>
          <w:tab w:val="left" w:pos="1701"/>
        </w:tabs>
        <w:jc w:val="both"/>
        <w:rPr>
          <w:szCs w:val="22"/>
          <w:u w:val="single"/>
        </w:rPr>
      </w:pPr>
      <w:r w:rsidRPr="00794F08">
        <w:rPr>
          <w:i/>
          <w:noProof/>
          <w:szCs w:val="22"/>
        </w:rPr>
        <w:t>Όχι συχνές</w:t>
      </w:r>
      <w:r w:rsidRPr="00794F08">
        <w:rPr>
          <w:noProof/>
          <w:szCs w:val="22"/>
        </w:rPr>
        <w:t>: λοίμωξη του ανώτερου αναπνευστικού συστήματος</w:t>
      </w:r>
    </w:p>
    <w:p w:rsidR="00664DE5" w:rsidRPr="00794F08" w:rsidRDefault="00664DE5">
      <w:pPr>
        <w:jc w:val="both"/>
        <w:rPr>
          <w:szCs w:val="22"/>
        </w:rPr>
      </w:pPr>
    </w:p>
    <w:p w:rsidR="00664DE5" w:rsidRPr="00794F08" w:rsidRDefault="00586AD8" w:rsidP="00664DE5">
      <w:pPr>
        <w:tabs>
          <w:tab w:val="left" w:pos="426"/>
          <w:tab w:val="left" w:pos="1701"/>
        </w:tabs>
        <w:jc w:val="both"/>
        <w:rPr>
          <w:szCs w:val="22"/>
          <w:u w:val="single"/>
        </w:rPr>
      </w:pPr>
      <w:r w:rsidRPr="00794F08">
        <w:rPr>
          <w:szCs w:val="22"/>
          <w:u w:val="single"/>
        </w:rPr>
        <w:t>Διαταραχές του μεταβολισμού και της θρέψης</w:t>
      </w:r>
    </w:p>
    <w:p w:rsidR="00664DE5" w:rsidRPr="00794F08" w:rsidRDefault="00586AD8" w:rsidP="00664DE5">
      <w:pPr>
        <w:tabs>
          <w:tab w:val="left" w:pos="426"/>
          <w:tab w:val="left" w:pos="1701"/>
        </w:tabs>
        <w:jc w:val="both"/>
        <w:rPr>
          <w:szCs w:val="22"/>
        </w:rPr>
      </w:pPr>
      <w:r w:rsidRPr="00794F08">
        <w:rPr>
          <w:i/>
          <w:szCs w:val="22"/>
        </w:rPr>
        <w:t>Συχνές</w:t>
      </w:r>
      <w:r w:rsidRPr="00794F08">
        <w:rPr>
          <w:szCs w:val="22"/>
        </w:rPr>
        <w:t>: ανορεξία</w:t>
      </w:r>
    </w:p>
    <w:p w:rsidR="00664DE5" w:rsidRPr="00794F08" w:rsidRDefault="00664DE5">
      <w:pPr>
        <w:jc w:val="both"/>
        <w:rPr>
          <w:szCs w:val="22"/>
        </w:rPr>
      </w:pPr>
    </w:p>
    <w:p w:rsidR="00664DE5" w:rsidRPr="00794F08" w:rsidRDefault="00586AD8" w:rsidP="00664DE5">
      <w:pPr>
        <w:tabs>
          <w:tab w:val="left" w:pos="426"/>
          <w:tab w:val="left" w:pos="1701"/>
        </w:tabs>
        <w:jc w:val="both"/>
        <w:rPr>
          <w:szCs w:val="22"/>
          <w:u w:val="single"/>
        </w:rPr>
      </w:pPr>
      <w:r w:rsidRPr="00794F08">
        <w:rPr>
          <w:szCs w:val="22"/>
          <w:u w:val="single"/>
        </w:rPr>
        <w:t>Ψυχιατρικές διαταραχές</w:t>
      </w:r>
    </w:p>
    <w:p w:rsidR="00664DE5" w:rsidRPr="00A8793B" w:rsidRDefault="00586AD8" w:rsidP="00664DE5">
      <w:pPr>
        <w:tabs>
          <w:tab w:val="left" w:pos="426"/>
          <w:tab w:val="left" w:pos="1701"/>
        </w:tabs>
        <w:jc w:val="both"/>
        <w:rPr>
          <w:szCs w:val="22"/>
        </w:rPr>
      </w:pPr>
      <w:r w:rsidRPr="00794F08">
        <w:rPr>
          <w:i/>
          <w:szCs w:val="22"/>
        </w:rPr>
        <w:t>Πολύ συχνές</w:t>
      </w:r>
      <w:r w:rsidRPr="00794F08">
        <w:rPr>
          <w:szCs w:val="22"/>
        </w:rPr>
        <w:t>: ευερεθιστότητα</w:t>
      </w:r>
    </w:p>
    <w:p w:rsidR="00664DE5" w:rsidRPr="00794F08" w:rsidRDefault="00664DE5">
      <w:pPr>
        <w:jc w:val="both"/>
        <w:rPr>
          <w:szCs w:val="22"/>
        </w:rPr>
      </w:pPr>
    </w:p>
    <w:p w:rsidR="00CF6B7A" w:rsidRPr="00794F08" w:rsidRDefault="00586AD8">
      <w:pPr>
        <w:jc w:val="both"/>
        <w:rPr>
          <w:noProof/>
          <w:u w:val="single"/>
        </w:rPr>
      </w:pPr>
      <w:r w:rsidRPr="00794F08">
        <w:rPr>
          <w:noProof/>
          <w:u w:val="single"/>
        </w:rPr>
        <w:t>Διαταραχές του νευρικού συστήματος</w:t>
      </w:r>
    </w:p>
    <w:p w:rsidR="00CF6B7A" w:rsidRPr="00794F08" w:rsidRDefault="00586AD8">
      <w:pPr>
        <w:jc w:val="both"/>
        <w:rPr>
          <w:b/>
          <w:noProof/>
        </w:rPr>
      </w:pPr>
      <w:r w:rsidRPr="00794F08">
        <w:rPr>
          <w:i/>
          <w:noProof/>
        </w:rPr>
        <w:t>Πολύ συχνές:</w:t>
      </w:r>
      <w:r w:rsidRPr="00794F08">
        <w:rPr>
          <w:b/>
          <w:noProof/>
        </w:rPr>
        <w:t xml:space="preserve"> </w:t>
      </w:r>
      <w:r w:rsidRPr="00794F08">
        <w:rPr>
          <w:noProof/>
        </w:rPr>
        <w:t>υπνηλία</w:t>
      </w:r>
    </w:p>
    <w:p w:rsidR="00CF6B7A" w:rsidRPr="00794F08" w:rsidRDefault="00851836">
      <w:pPr>
        <w:jc w:val="both"/>
        <w:rPr>
          <w:szCs w:val="22"/>
        </w:rPr>
      </w:pPr>
      <w:r w:rsidRPr="00A8793B">
        <w:rPr>
          <w:i/>
          <w:szCs w:val="22"/>
        </w:rPr>
        <w:t>Συχνές</w:t>
      </w:r>
      <w:r w:rsidRPr="00A8793B">
        <w:rPr>
          <w:szCs w:val="22"/>
        </w:rPr>
        <w:t xml:space="preserve">: </w:t>
      </w:r>
      <w:r w:rsidR="00586AD8" w:rsidRPr="00794F08">
        <w:rPr>
          <w:szCs w:val="22"/>
        </w:rPr>
        <w:t>κεφαλαλγία</w:t>
      </w:r>
    </w:p>
    <w:p w:rsidR="00664DE5" w:rsidRPr="00794F08" w:rsidRDefault="00851836">
      <w:pPr>
        <w:jc w:val="both"/>
        <w:rPr>
          <w:szCs w:val="22"/>
        </w:rPr>
      </w:pPr>
      <w:r w:rsidRPr="00A8793B">
        <w:rPr>
          <w:i/>
          <w:szCs w:val="22"/>
        </w:rPr>
        <w:t>Όχι συχνές</w:t>
      </w:r>
      <w:r w:rsidRPr="00A8793B">
        <w:rPr>
          <w:szCs w:val="22"/>
        </w:rPr>
        <w:t xml:space="preserve">: </w:t>
      </w:r>
      <w:r w:rsidR="00586AD8" w:rsidRPr="00794F08">
        <w:rPr>
          <w:szCs w:val="22"/>
        </w:rPr>
        <w:t xml:space="preserve">διαταραχή της </w:t>
      </w:r>
      <w:r w:rsidRPr="00A8793B">
        <w:rPr>
          <w:szCs w:val="22"/>
        </w:rPr>
        <w:t>συγκέντρωσης</w:t>
      </w:r>
    </w:p>
    <w:p w:rsidR="00664DE5" w:rsidRPr="00794F08" w:rsidRDefault="00664DE5">
      <w:pPr>
        <w:jc w:val="both"/>
        <w:rPr>
          <w:szCs w:val="22"/>
        </w:rPr>
      </w:pPr>
    </w:p>
    <w:p w:rsidR="00664DE5" w:rsidRPr="00A8793B" w:rsidRDefault="00851836">
      <w:pPr>
        <w:jc w:val="both"/>
        <w:rPr>
          <w:szCs w:val="22"/>
          <w:u w:val="single"/>
        </w:rPr>
      </w:pPr>
      <w:r w:rsidRPr="00A8793B">
        <w:rPr>
          <w:szCs w:val="22"/>
          <w:u w:val="single"/>
        </w:rPr>
        <w:t>Οφθαλμικές διαταραχές</w:t>
      </w:r>
    </w:p>
    <w:p w:rsidR="00664DE5" w:rsidRPr="00794F08" w:rsidRDefault="00851836">
      <w:pPr>
        <w:jc w:val="both"/>
        <w:rPr>
          <w:szCs w:val="22"/>
        </w:rPr>
      </w:pPr>
      <w:r w:rsidRPr="00A8793B">
        <w:rPr>
          <w:i/>
          <w:szCs w:val="22"/>
        </w:rPr>
        <w:t>Όχι συχνές</w:t>
      </w:r>
      <w:r w:rsidRPr="00A8793B">
        <w:rPr>
          <w:szCs w:val="22"/>
        </w:rPr>
        <w:t xml:space="preserve">: </w:t>
      </w:r>
      <w:r w:rsidR="00586AD8" w:rsidRPr="00794F08">
        <w:rPr>
          <w:szCs w:val="22"/>
        </w:rPr>
        <w:t>επιπεφυκίτιδα</w:t>
      </w:r>
    </w:p>
    <w:p w:rsidR="00664DE5" w:rsidRPr="00794F08" w:rsidRDefault="00664DE5">
      <w:pPr>
        <w:jc w:val="both"/>
        <w:rPr>
          <w:szCs w:val="22"/>
        </w:rPr>
      </w:pPr>
    </w:p>
    <w:p w:rsidR="004D6C99" w:rsidRPr="00794F08" w:rsidRDefault="00586AD8" w:rsidP="004D6C99">
      <w:pPr>
        <w:tabs>
          <w:tab w:val="left" w:pos="426"/>
          <w:tab w:val="left" w:pos="1701"/>
        </w:tabs>
        <w:jc w:val="both"/>
        <w:rPr>
          <w:szCs w:val="22"/>
          <w:u w:val="single"/>
        </w:rPr>
      </w:pPr>
      <w:r w:rsidRPr="00794F08">
        <w:rPr>
          <w:szCs w:val="22"/>
          <w:u w:val="single"/>
        </w:rPr>
        <w:t>Διαταραχές του γαστρεντερικού συστήματος</w:t>
      </w:r>
    </w:p>
    <w:p w:rsidR="00664DE5" w:rsidRPr="00794F08" w:rsidRDefault="00586AD8" w:rsidP="004D6C99">
      <w:pPr>
        <w:tabs>
          <w:tab w:val="left" w:pos="426"/>
          <w:tab w:val="left" w:pos="1701"/>
        </w:tabs>
        <w:jc w:val="both"/>
        <w:rPr>
          <w:szCs w:val="22"/>
        </w:rPr>
      </w:pPr>
      <w:r w:rsidRPr="00794F08">
        <w:rPr>
          <w:i/>
          <w:szCs w:val="22"/>
        </w:rPr>
        <w:t>Συχνές</w:t>
      </w:r>
      <w:r w:rsidRPr="00794F08">
        <w:rPr>
          <w:szCs w:val="22"/>
        </w:rPr>
        <w:t>: διάρροια, έμετος, γαστρεντερικές διαταραχές</w:t>
      </w:r>
    </w:p>
    <w:p w:rsidR="00664DE5" w:rsidRPr="00794F08" w:rsidRDefault="00664DE5" w:rsidP="004D6C99">
      <w:pPr>
        <w:tabs>
          <w:tab w:val="left" w:pos="426"/>
          <w:tab w:val="left" w:pos="1701"/>
        </w:tabs>
        <w:jc w:val="both"/>
        <w:rPr>
          <w:szCs w:val="22"/>
        </w:rPr>
      </w:pPr>
    </w:p>
    <w:p w:rsidR="00664DE5" w:rsidRPr="00794F08" w:rsidRDefault="00586AD8" w:rsidP="00664DE5">
      <w:pPr>
        <w:tabs>
          <w:tab w:val="left" w:pos="426"/>
          <w:tab w:val="left" w:pos="1701"/>
        </w:tabs>
        <w:jc w:val="both"/>
        <w:rPr>
          <w:szCs w:val="22"/>
          <w:u w:val="single"/>
        </w:rPr>
      </w:pPr>
      <w:r w:rsidRPr="00794F08">
        <w:rPr>
          <w:szCs w:val="22"/>
          <w:u w:val="single"/>
        </w:rPr>
        <w:t>Διαταραχές του δέρματος και του υποδόριου ιστού</w:t>
      </w:r>
    </w:p>
    <w:p w:rsidR="00794F08" w:rsidRPr="00794F08" w:rsidRDefault="00586AD8" w:rsidP="004D6C99">
      <w:pPr>
        <w:tabs>
          <w:tab w:val="left" w:pos="426"/>
          <w:tab w:val="left" w:pos="1701"/>
        </w:tabs>
        <w:jc w:val="both"/>
        <w:rPr>
          <w:szCs w:val="22"/>
        </w:rPr>
      </w:pPr>
      <w:r w:rsidRPr="00794F08">
        <w:rPr>
          <w:i/>
          <w:szCs w:val="22"/>
        </w:rPr>
        <w:t>Όχι συχνές</w:t>
      </w:r>
      <w:r w:rsidRPr="00794F08">
        <w:rPr>
          <w:szCs w:val="22"/>
        </w:rPr>
        <w:t>: εξάνθημα</w:t>
      </w:r>
    </w:p>
    <w:p w:rsidR="00294B93" w:rsidRPr="00794F08" w:rsidRDefault="00294B93" w:rsidP="00CF6B7A">
      <w:pPr>
        <w:jc w:val="both"/>
        <w:rPr>
          <w:szCs w:val="22"/>
        </w:rPr>
      </w:pPr>
    </w:p>
    <w:p w:rsidR="007621BE" w:rsidRPr="00794F08" w:rsidRDefault="00586AD8">
      <w:pPr>
        <w:tabs>
          <w:tab w:val="left" w:pos="426"/>
          <w:tab w:val="left" w:pos="1701"/>
        </w:tabs>
        <w:jc w:val="both"/>
        <w:rPr>
          <w:szCs w:val="22"/>
          <w:u w:val="single"/>
        </w:rPr>
      </w:pPr>
      <w:r w:rsidRPr="00794F08">
        <w:rPr>
          <w:szCs w:val="22"/>
          <w:u w:val="single"/>
        </w:rPr>
        <w:t>Γενικές διαταραχές και καταστάσεις της οδού χορήγησης</w:t>
      </w:r>
    </w:p>
    <w:p w:rsidR="007621BE" w:rsidRPr="00A8793B" w:rsidRDefault="00586AD8">
      <w:pPr>
        <w:tabs>
          <w:tab w:val="left" w:pos="426"/>
          <w:tab w:val="left" w:pos="1701"/>
        </w:tabs>
        <w:jc w:val="both"/>
        <w:rPr>
          <w:szCs w:val="22"/>
        </w:rPr>
      </w:pPr>
      <w:r w:rsidRPr="00794F08">
        <w:rPr>
          <w:i/>
          <w:szCs w:val="22"/>
        </w:rPr>
        <w:t>Πολύ συχνές</w:t>
      </w:r>
      <w:r w:rsidRPr="00794F08">
        <w:rPr>
          <w:szCs w:val="22"/>
        </w:rPr>
        <w:t xml:space="preserve">: αντιδράσεις της θέσης ένεσης (όπως ερυθρότητα και/ή οίδημα), άλγος της θέσης ένεσης, κόπωση </w:t>
      </w:r>
    </w:p>
    <w:p w:rsidR="004D6C99" w:rsidRPr="00794F08" w:rsidRDefault="00586AD8">
      <w:pPr>
        <w:tabs>
          <w:tab w:val="left" w:pos="426"/>
          <w:tab w:val="left" w:pos="1701"/>
        </w:tabs>
        <w:jc w:val="both"/>
        <w:rPr>
          <w:szCs w:val="22"/>
        </w:rPr>
      </w:pPr>
      <w:r w:rsidRPr="00794F08">
        <w:rPr>
          <w:i/>
          <w:szCs w:val="22"/>
        </w:rPr>
        <w:t>Συχνές</w:t>
      </w:r>
      <w:r w:rsidRPr="00794F08">
        <w:rPr>
          <w:szCs w:val="22"/>
        </w:rPr>
        <w:t xml:space="preserve">: πυρετός (θερμοκρασία </w:t>
      </w:r>
      <w:r w:rsidRPr="00794F08">
        <w:t>≥ 37.5°C  περιλαμβανομένου πυρετού  &gt; 39.0°C</w:t>
      </w:r>
      <w:r w:rsidRPr="00794F08">
        <w:rPr>
          <w:szCs w:val="22"/>
        </w:rPr>
        <w:t xml:space="preserve"> ), εκτεταμένο οίδημα του άκρου στο οποίο χορηγήθηκε το εμβόλιο (μερικές φορές περιλαμβάνει την παρακείμενη άρθρωση)</w:t>
      </w:r>
    </w:p>
    <w:p w:rsidR="005145F8" w:rsidRPr="00794F08" w:rsidRDefault="00851836">
      <w:pPr>
        <w:tabs>
          <w:tab w:val="left" w:pos="426"/>
          <w:tab w:val="left" w:pos="1701"/>
        </w:tabs>
        <w:jc w:val="both"/>
        <w:rPr>
          <w:szCs w:val="22"/>
        </w:rPr>
      </w:pPr>
      <w:r w:rsidRPr="00A8793B">
        <w:rPr>
          <w:i/>
          <w:szCs w:val="22"/>
        </w:rPr>
        <w:t>Όχι συχνές</w:t>
      </w:r>
      <w:r w:rsidRPr="00A8793B">
        <w:rPr>
          <w:szCs w:val="22"/>
        </w:rPr>
        <w:t xml:space="preserve">: </w:t>
      </w:r>
      <w:r w:rsidR="00586AD8" w:rsidRPr="00794F08">
        <w:rPr>
          <w:szCs w:val="22"/>
        </w:rPr>
        <w:t>άλλες αντιδράσεις της θέσης ένεσης (όπως σκληρία), άλγος</w:t>
      </w:r>
    </w:p>
    <w:p w:rsidR="0025226B" w:rsidRPr="00794F08" w:rsidRDefault="0025226B">
      <w:pPr>
        <w:tabs>
          <w:tab w:val="left" w:pos="426"/>
          <w:tab w:val="left" w:pos="1701"/>
        </w:tabs>
        <w:jc w:val="both"/>
        <w:rPr>
          <w:szCs w:val="22"/>
        </w:rPr>
      </w:pPr>
    </w:p>
    <w:p w:rsidR="00014E11" w:rsidRPr="00D9164F" w:rsidRDefault="00586AD8">
      <w:pPr>
        <w:tabs>
          <w:tab w:val="left" w:pos="426"/>
          <w:tab w:val="left" w:pos="1701"/>
        </w:tabs>
        <w:jc w:val="both"/>
        <w:rPr>
          <w:szCs w:val="22"/>
        </w:rPr>
      </w:pPr>
      <w:r w:rsidRPr="00794F08">
        <w:rPr>
          <w:szCs w:val="22"/>
        </w:rPr>
        <w:t xml:space="preserve">- </w:t>
      </w:r>
      <w:r w:rsidR="00851836" w:rsidRPr="00A8793B">
        <w:rPr>
          <w:b/>
          <w:i/>
          <w:lang w:eastAsia="en-US"/>
        </w:rPr>
        <w:t>Άτομα ηλικίας 10-76 ετών</w:t>
      </w:r>
      <w:r w:rsidRPr="00794F08">
        <w:rPr>
          <w:szCs w:val="22"/>
        </w:rPr>
        <w:t xml:space="preserve"> (N = 1931)</w:t>
      </w:r>
    </w:p>
    <w:p w:rsidR="005145F8" w:rsidRPr="00794F08" w:rsidRDefault="00586AD8" w:rsidP="005145F8">
      <w:pPr>
        <w:tabs>
          <w:tab w:val="left" w:pos="426"/>
          <w:tab w:val="left" w:pos="1701"/>
        </w:tabs>
        <w:jc w:val="both"/>
        <w:rPr>
          <w:noProof/>
          <w:szCs w:val="22"/>
          <w:u w:val="single"/>
        </w:rPr>
      </w:pPr>
      <w:r w:rsidRPr="00794F08">
        <w:rPr>
          <w:noProof/>
          <w:szCs w:val="22"/>
          <w:u w:val="single"/>
        </w:rPr>
        <w:t>Λοιμώξεις και παρασιτώσεις</w:t>
      </w:r>
    </w:p>
    <w:p w:rsidR="005145F8" w:rsidRPr="00794F08" w:rsidRDefault="00586AD8" w:rsidP="005145F8">
      <w:pPr>
        <w:tabs>
          <w:tab w:val="left" w:pos="426"/>
          <w:tab w:val="left" w:pos="1701"/>
        </w:tabs>
        <w:jc w:val="both"/>
        <w:rPr>
          <w:szCs w:val="22"/>
          <w:u w:val="single"/>
        </w:rPr>
      </w:pPr>
      <w:r w:rsidRPr="00794F08">
        <w:rPr>
          <w:i/>
          <w:noProof/>
          <w:szCs w:val="22"/>
        </w:rPr>
        <w:t>Όχι συχνές</w:t>
      </w:r>
      <w:r w:rsidRPr="00794F08">
        <w:rPr>
          <w:noProof/>
          <w:szCs w:val="22"/>
        </w:rPr>
        <w:t>: λοίμωξη του ανώτερου αναπνευστικού συστήματος, φαρυγγίτιδα</w:t>
      </w:r>
    </w:p>
    <w:p w:rsidR="005145F8" w:rsidRPr="00794F08" w:rsidRDefault="005145F8">
      <w:pPr>
        <w:tabs>
          <w:tab w:val="left" w:pos="426"/>
          <w:tab w:val="left" w:pos="1701"/>
        </w:tabs>
        <w:jc w:val="both"/>
        <w:rPr>
          <w:szCs w:val="22"/>
        </w:rPr>
      </w:pPr>
    </w:p>
    <w:p w:rsidR="00014E11" w:rsidRPr="00794F08" w:rsidRDefault="00586AD8" w:rsidP="00014E11">
      <w:pPr>
        <w:pStyle w:val="a6"/>
        <w:jc w:val="both"/>
        <w:rPr>
          <w:b w:val="0"/>
          <w:noProof/>
          <w:szCs w:val="22"/>
          <w:u w:val="single"/>
        </w:rPr>
      </w:pPr>
      <w:r w:rsidRPr="00794F08">
        <w:rPr>
          <w:b w:val="0"/>
          <w:noProof/>
          <w:szCs w:val="22"/>
          <w:u w:val="single"/>
        </w:rPr>
        <w:t>Διαταραχές του αιμοποιητικού και του λεμφικού συστήματος</w:t>
      </w:r>
    </w:p>
    <w:p w:rsidR="00014E11" w:rsidRPr="00794F08" w:rsidRDefault="00586AD8" w:rsidP="00014E11">
      <w:pPr>
        <w:tabs>
          <w:tab w:val="left" w:pos="426"/>
          <w:tab w:val="left" w:pos="1701"/>
        </w:tabs>
        <w:jc w:val="both"/>
        <w:rPr>
          <w:noProof/>
          <w:szCs w:val="22"/>
        </w:rPr>
      </w:pPr>
      <w:r w:rsidRPr="00794F08">
        <w:rPr>
          <w:i/>
          <w:noProof/>
          <w:szCs w:val="22"/>
        </w:rPr>
        <w:lastRenderedPageBreak/>
        <w:t>Όχι συχνές</w:t>
      </w:r>
      <w:r w:rsidRPr="00794F08">
        <w:rPr>
          <w:noProof/>
          <w:szCs w:val="22"/>
        </w:rPr>
        <w:t>: λεμφαδενοπάθεια</w:t>
      </w:r>
    </w:p>
    <w:p w:rsidR="00014E11" w:rsidRPr="00794F08" w:rsidRDefault="00014E11">
      <w:pPr>
        <w:tabs>
          <w:tab w:val="left" w:pos="426"/>
          <w:tab w:val="left" w:pos="1701"/>
        </w:tabs>
        <w:jc w:val="both"/>
        <w:rPr>
          <w:szCs w:val="22"/>
        </w:rPr>
      </w:pPr>
    </w:p>
    <w:p w:rsidR="00014E11" w:rsidRPr="00794F08" w:rsidRDefault="00586AD8" w:rsidP="00014E11">
      <w:pPr>
        <w:tabs>
          <w:tab w:val="left" w:pos="426"/>
          <w:tab w:val="left" w:pos="1701"/>
        </w:tabs>
        <w:jc w:val="both"/>
        <w:rPr>
          <w:szCs w:val="22"/>
          <w:u w:val="single"/>
        </w:rPr>
      </w:pPr>
      <w:r w:rsidRPr="00794F08">
        <w:rPr>
          <w:szCs w:val="22"/>
          <w:u w:val="single"/>
        </w:rPr>
        <w:t>Διαταραχές του νευρικού συστήματος</w:t>
      </w:r>
    </w:p>
    <w:p w:rsidR="00014E11" w:rsidRPr="00794F08" w:rsidRDefault="00586AD8" w:rsidP="00014E11">
      <w:pPr>
        <w:tabs>
          <w:tab w:val="left" w:pos="426"/>
          <w:tab w:val="left" w:pos="1701"/>
        </w:tabs>
        <w:jc w:val="both"/>
        <w:rPr>
          <w:szCs w:val="22"/>
        </w:rPr>
      </w:pPr>
      <w:r w:rsidRPr="00794F08">
        <w:rPr>
          <w:i/>
          <w:szCs w:val="22"/>
        </w:rPr>
        <w:t>Πολύ συχνές</w:t>
      </w:r>
      <w:r w:rsidRPr="00794F08">
        <w:rPr>
          <w:szCs w:val="22"/>
        </w:rPr>
        <w:t>: κεφαλαλγία</w:t>
      </w:r>
    </w:p>
    <w:p w:rsidR="00014E11" w:rsidRPr="00794F08" w:rsidRDefault="00586AD8" w:rsidP="00014E11">
      <w:pPr>
        <w:tabs>
          <w:tab w:val="left" w:pos="426"/>
          <w:tab w:val="left" w:pos="1701"/>
        </w:tabs>
        <w:jc w:val="both"/>
        <w:rPr>
          <w:szCs w:val="22"/>
        </w:rPr>
      </w:pPr>
      <w:r w:rsidRPr="00794F08">
        <w:rPr>
          <w:i/>
          <w:szCs w:val="22"/>
        </w:rPr>
        <w:t>Συχνές</w:t>
      </w:r>
      <w:r w:rsidRPr="00794F08">
        <w:rPr>
          <w:szCs w:val="22"/>
        </w:rPr>
        <w:t>: ζάλη</w:t>
      </w:r>
    </w:p>
    <w:p w:rsidR="00014E11" w:rsidRPr="00794F08" w:rsidRDefault="00586AD8" w:rsidP="00014E11">
      <w:pPr>
        <w:tabs>
          <w:tab w:val="left" w:pos="426"/>
          <w:tab w:val="left" w:pos="1701"/>
        </w:tabs>
        <w:jc w:val="both"/>
        <w:rPr>
          <w:szCs w:val="22"/>
        </w:rPr>
      </w:pPr>
      <w:r w:rsidRPr="00794F08">
        <w:rPr>
          <w:i/>
          <w:szCs w:val="22"/>
        </w:rPr>
        <w:t>Όχι συχνές</w:t>
      </w:r>
      <w:r w:rsidRPr="00794F08">
        <w:rPr>
          <w:szCs w:val="22"/>
        </w:rPr>
        <w:t>: συγκοπτικό επεισόδιο</w:t>
      </w:r>
    </w:p>
    <w:p w:rsidR="00014E11" w:rsidRPr="00794F08" w:rsidRDefault="00014E11">
      <w:pPr>
        <w:tabs>
          <w:tab w:val="left" w:pos="426"/>
          <w:tab w:val="left" w:pos="1701"/>
        </w:tabs>
        <w:jc w:val="both"/>
        <w:rPr>
          <w:szCs w:val="22"/>
        </w:rPr>
      </w:pPr>
    </w:p>
    <w:p w:rsidR="005145F8" w:rsidRPr="00794F08" w:rsidRDefault="00586AD8" w:rsidP="005145F8">
      <w:pPr>
        <w:rPr>
          <w:u w:val="single"/>
        </w:rPr>
      </w:pPr>
      <w:r w:rsidRPr="00794F08">
        <w:rPr>
          <w:u w:val="single"/>
        </w:rPr>
        <w:t xml:space="preserve">Διαταραχές του αναπνευστικού συστήματος,του θώρακα και του μεσοθωράκιου </w:t>
      </w:r>
    </w:p>
    <w:p w:rsidR="005145F8" w:rsidRPr="00794F08" w:rsidRDefault="00586AD8" w:rsidP="005145F8">
      <w:r w:rsidRPr="00794F08">
        <w:rPr>
          <w:i/>
          <w:szCs w:val="22"/>
        </w:rPr>
        <w:t>Όχι συχνές</w:t>
      </w:r>
      <w:r w:rsidRPr="00794F08">
        <w:t>: βήχας</w:t>
      </w:r>
    </w:p>
    <w:p w:rsidR="005145F8" w:rsidRPr="00794F08" w:rsidRDefault="005145F8">
      <w:pPr>
        <w:tabs>
          <w:tab w:val="left" w:pos="426"/>
          <w:tab w:val="left" w:pos="1701"/>
        </w:tabs>
        <w:jc w:val="both"/>
        <w:rPr>
          <w:szCs w:val="22"/>
        </w:rPr>
      </w:pPr>
    </w:p>
    <w:p w:rsidR="00014E11" w:rsidRPr="00794F08" w:rsidRDefault="00586AD8" w:rsidP="00014E11">
      <w:pPr>
        <w:tabs>
          <w:tab w:val="left" w:pos="426"/>
          <w:tab w:val="left" w:pos="1701"/>
        </w:tabs>
        <w:jc w:val="both"/>
        <w:rPr>
          <w:szCs w:val="22"/>
          <w:u w:val="single"/>
        </w:rPr>
      </w:pPr>
      <w:r w:rsidRPr="00794F08">
        <w:rPr>
          <w:szCs w:val="22"/>
          <w:u w:val="single"/>
        </w:rPr>
        <w:t>Διαταραχές του γαστρεντερικού συστήματος</w:t>
      </w:r>
    </w:p>
    <w:p w:rsidR="005145F8" w:rsidRPr="00A8793B" w:rsidRDefault="00586AD8" w:rsidP="00014E11">
      <w:pPr>
        <w:tabs>
          <w:tab w:val="left" w:pos="426"/>
          <w:tab w:val="left" w:pos="1701"/>
        </w:tabs>
        <w:jc w:val="both"/>
        <w:rPr>
          <w:szCs w:val="22"/>
        </w:rPr>
      </w:pPr>
      <w:r w:rsidRPr="00794F08">
        <w:rPr>
          <w:i/>
          <w:szCs w:val="22"/>
        </w:rPr>
        <w:t>Συχνές</w:t>
      </w:r>
      <w:r w:rsidR="00851836" w:rsidRPr="00A8793B">
        <w:rPr>
          <w:szCs w:val="22"/>
        </w:rPr>
        <w:t xml:space="preserve">: </w:t>
      </w:r>
      <w:r w:rsidRPr="00794F08">
        <w:rPr>
          <w:szCs w:val="22"/>
        </w:rPr>
        <w:t>ναυτία, γαστρεντερικές διαταραχές</w:t>
      </w:r>
    </w:p>
    <w:p w:rsidR="00014E11" w:rsidRPr="00794F08" w:rsidRDefault="00586AD8" w:rsidP="00014E11">
      <w:pPr>
        <w:tabs>
          <w:tab w:val="left" w:pos="426"/>
          <w:tab w:val="left" w:pos="1701"/>
        </w:tabs>
        <w:jc w:val="both"/>
        <w:rPr>
          <w:szCs w:val="22"/>
        </w:rPr>
      </w:pPr>
      <w:r w:rsidRPr="00794F08">
        <w:rPr>
          <w:i/>
          <w:szCs w:val="22"/>
        </w:rPr>
        <w:t>Όχι συχνές</w:t>
      </w:r>
      <w:r w:rsidRPr="00794F08">
        <w:rPr>
          <w:szCs w:val="22"/>
        </w:rPr>
        <w:t>: διάρροια, έμετος</w:t>
      </w:r>
    </w:p>
    <w:p w:rsidR="00014E11" w:rsidRPr="00794F08" w:rsidRDefault="00014E11">
      <w:pPr>
        <w:tabs>
          <w:tab w:val="left" w:pos="426"/>
          <w:tab w:val="left" w:pos="1701"/>
        </w:tabs>
        <w:jc w:val="both"/>
        <w:rPr>
          <w:szCs w:val="22"/>
        </w:rPr>
      </w:pPr>
    </w:p>
    <w:p w:rsidR="00014E11" w:rsidRPr="00794F08" w:rsidRDefault="00586AD8" w:rsidP="00014E11">
      <w:pPr>
        <w:tabs>
          <w:tab w:val="left" w:pos="426"/>
          <w:tab w:val="left" w:pos="1701"/>
        </w:tabs>
        <w:jc w:val="both"/>
        <w:rPr>
          <w:szCs w:val="22"/>
          <w:u w:val="single"/>
        </w:rPr>
      </w:pPr>
      <w:r w:rsidRPr="00794F08">
        <w:rPr>
          <w:szCs w:val="22"/>
          <w:u w:val="single"/>
        </w:rPr>
        <w:t>Διαταραχές του δέρματος και του υποδόριου ιστού</w:t>
      </w:r>
    </w:p>
    <w:p w:rsidR="00014E11" w:rsidRPr="00A8793B" w:rsidRDefault="00586AD8" w:rsidP="00014E11">
      <w:pPr>
        <w:tabs>
          <w:tab w:val="left" w:pos="426"/>
          <w:tab w:val="left" w:pos="1701"/>
        </w:tabs>
        <w:jc w:val="both"/>
        <w:rPr>
          <w:szCs w:val="22"/>
        </w:rPr>
      </w:pPr>
      <w:r w:rsidRPr="00794F08">
        <w:rPr>
          <w:i/>
          <w:szCs w:val="22"/>
        </w:rPr>
        <w:t>Όχι συχνές</w:t>
      </w:r>
      <w:r w:rsidRPr="00794F08">
        <w:rPr>
          <w:szCs w:val="22"/>
        </w:rPr>
        <w:t>: υπεριδρωσία, κνησμός, εξάνθημα</w:t>
      </w:r>
    </w:p>
    <w:p w:rsidR="00014E11" w:rsidRPr="00794F08" w:rsidRDefault="00014E11">
      <w:pPr>
        <w:tabs>
          <w:tab w:val="left" w:pos="426"/>
          <w:tab w:val="left" w:pos="1701"/>
        </w:tabs>
        <w:jc w:val="both"/>
        <w:rPr>
          <w:szCs w:val="22"/>
        </w:rPr>
      </w:pPr>
    </w:p>
    <w:p w:rsidR="00014E11" w:rsidRPr="00794F08" w:rsidRDefault="00586AD8" w:rsidP="00014E11">
      <w:pPr>
        <w:tabs>
          <w:tab w:val="left" w:pos="426"/>
          <w:tab w:val="left" w:pos="1701"/>
        </w:tabs>
        <w:jc w:val="both"/>
        <w:rPr>
          <w:szCs w:val="22"/>
          <w:u w:val="single"/>
        </w:rPr>
      </w:pPr>
      <w:r w:rsidRPr="00794F08">
        <w:rPr>
          <w:szCs w:val="22"/>
          <w:u w:val="single"/>
        </w:rPr>
        <w:t>Διαταραχές του μυοσκελετικού συστήματος και του συνδετικού ιστού</w:t>
      </w:r>
    </w:p>
    <w:p w:rsidR="00014E11" w:rsidRPr="00A8793B" w:rsidRDefault="00586AD8" w:rsidP="00014E11">
      <w:pPr>
        <w:tabs>
          <w:tab w:val="left" w:pos="426"/>
          <w:tab w:val="left" w:pos="1701"/>
        </w:tabs>
        <w:jc w:val="both"/>
        <w:rPr>
          <w:szCs w:val="22"/>
        </w:rPr>
      </w:pPr>
      <w:r w:rsidRPr="00794F08">
        <w:rPr>
          <w:i/>
          <w:szCs w:val="22"/>
        </w:rPr>
        <w:t>Όχι συχνές</w:t>
      </w:r>
      <w:r w:rsidRPr="00794F08">
        <w:rPr>
          <w:szCs w:val="22"/>
        </w:rPr>
        <w:t xml:space="preserve">: αρθραλγία, μυαλγία, δυσκαμψία των αρθρώσεων, μυοσκελετική δυσκαμψία </w:t>
      </w:r>
    </w:p>
    <w:p w:rsidR="00014E11" w:rsidRPr="00794F08" w:rsidRDefault="00014E11">
      <w:pPr>
        <w:tabs>
          <w:tab w:val="left" w:pos="426"/>
          <w:tab w:val="left" w:pos="1701"/>
        </w:tabs>
        <w:jc w:val="both"/>
        <w:rPr>
          <w:szCs w:val="22"/>
        </w:rPr>
      </w:pPr>
    </w:p>
    <w:p w:rsidR="007621BE" w:rsidRPr="00794F08" w:rsidRDefault="00586AD8">
      <w:pPr>
        <w:tabs>
          <w:tab w:val="left" w:pos="426"/>
          <w:tab w:val="left" w:pos="1701"/>
        </w:tabs>
        <w:jc w:val="both"/>
        <w:rPr>
          <w:szCs w:val="22"/>
          <w:u w:val="single"/>
        </w:rPr>
      </w:pPr>
      <w:r w:rsidRPr="00794F08">
        <w:rPr>
          <w:szCs w:val="22"/>
          <w:u w:val="single"/>
        </w:rPr>
        <w:t>Γενικές διαταραχές και καταστάσεις της οδού χορήγησης</w:t>
      </w:r>
    </w:p>
    <w:p w:rsidR="007621BE" w:rsidRPr="00A8793B" w:rsidRDefault="00586AD8">
      <w:pPr>
        <w:tabs>
          <w:tab w:val="left" w:pos="426"/>
          <w:tab w:val="left" w:pos="1701"/>
        </w:tabs>
        <w:jc w:val="both"/>
        <w:rPr>
          <w:szCs w:val="22"/>
        </w:rPr>
      </w:pPr>
      <w:r w:rsidRPr="00794F08">
        <w:rPr>
          <w:i/>
          <w:szCs w:val="22"/>
        </w:rPr>
        <w:t>Πολύ συχνές</w:t>
      </w:r>
      <w:r w:rsidRPr="00794F08">
        <w:rPr>
          <w:szCs w:val="22"/>
        </w:rPr>
        <w:t xml:space="preserve">: αντιδράσεις στη θέση της ένεσης (όπως ερυθρότητα και/ή οίδημα), αίσθημα κακουχίας, κόπωση, άλγος στη θέση της ένεσης </w:t>
      </w:r>
    </w:p>
    <w:p w:rsidR="007621BE" w:rsidRPr="00794F08" w:rsidRDefault="00586AD8">
      <w:pPr>
        <w:tabs>
          <w:tab w:val="left" w:pos="426"/>
          <w:tab w:val="left" w:pos="1701"/>
        </w:tabs>
        <w:jc w:val="both"/>
        <w:rPr>
          <w:szCs w:val="22"/>
        </w:rPr>
      </w:pPr>
      <w:r w:rsidRPr="00794F08">
        <w:rPr>
          <w:i/>
          <w:szCs w:val="22"/>
        </w:rPr>
        <w:t>Συχνές</w:t>
      </w:r>
      <w:r w:rsidRPr="00794F08">
        <w:rPr>
          <w:szCs w:val="22"/>
        </w:rPr>
        <w:t xml:space="preserve">: πυρετός (θερμοκρασία </w:t>
      </w:r>
      <w:r w:rsidRPr="00794F08">
        <w:rPr>
          <w:szCs w:val="22"/>
        </w:rPr>
        <w:sym w:font="Symbol" w:char="F0B3"/>
      </w:r>
      <w:r w:rsidRPr="00794F08">
        <w:rPr>
          <w:szCs w:val="22"/>
        </w:rPr>
        <w:t xml:space="preserve"> 37,5°C), αντιδράσεις της θέσης ένεσης (όπως μάζα στη θέση της ένεσης και άσηπτο απόστημα στη θέση της ένεσης)</w:t>
      </w:r>
    </w:p>
    <w:p w:rsidR="007621BE" w:rsidRPr="00A8793B" w:rsidRDefault="00586AD8">
      <w:pPr>
        <w:tabs>
          <w:tab w:val="left" w:pos="426"/>
          <w:tab w:val="left" w:pos="1701"/>
        </w:tabs>
        <w:jc w:val="both"/>
        <w:rPr>
          <w:szCs w:val="22"/>
        </w:rPr>
      </w:pPr>
      <w:r w:rsidRPr="00794F08">
        <w:rPr>
          <w:i/>
          <w:szCs w:val="22"/>
        </w:rPr>
        <w:t>Όχι συχνές</w:t>
      </w:r>
      <w:r w:rsidRPr="00794F08">
        <w:rPr>
          <w:szCs w:val="22"/>
        </w:rPr>
        <w:t>: πυρετός (θερμοκρασία &gt; 39,0°C), ασθένεια όμοια με γρίπη, άλγος</w:t>
      </w:r>
    </w:p>
    <w:p w:rsidR="007621BE" w:rsidRPr="00794F08" w:rsidRDefault="007621BE">
      <w:pPr>
        <w:tabs>
          <w:tab w:val="left" w:pos="426"/>
          <w:tab w:val="left" w:pos="1701"/>
        </w:tabs>
        <w:jc w:val="both"/>
        <w:rPr>
          <w:szCs w:val="22"/>
        </w:rPr>
      </w:pPr>
    </w:p>
    <w:p w:rsidR="00014E11" w:rsidRPr="00D9164F" w:rsidRDefault="00851836" w:rsidP="00014E11">
      <w:pPr>
        <w:rPr>
          <w:u w:val="single"/>
        </w:rPr>
      </w:pPr>
      <w:r w:rsidRPr="00A8793B">
        <w:rPr>
          <w:b/>
        </w:rPr>
        <w:t>Εμπειρία μετά την  κυκλοφορία</w:t>
      </w:r>
    </w:p>
    <w:p w:rsidR="00BB5083" w:rsidRPr="00794F08" w:rsidRDefault="00586AD8" w:rsidP="00BB5083">
      <w:r w:rsidRPr="00794F08">
        <w:t xml:space="preserve">Επειδή αυτά τα συμβάματα αναφέρθηκαν αυθόρμητα, δεν είναι πιθανόν να εκτιμήσουμε με ασφάλεια τη συχνότητα τους. </w:t>
      </w:r>
    </w:p>
    <w:p w:rsidR="005F6703" w:rsidRPr="00A8793B" w:rsidRDefault="005F6703" w:rsidP="00BB5083">
      <w:pPr>
        <w:rPr>
          <w:u w:val="single"/>
        </w:rPr>
      </w:pPr>
    </w:p>
    <w:p w:rsidR="005F6703" w:rsidRPr="00794F08" w:rsidRDefault="00586AD8" w:rsidP="005F6703">
      <w:pPr>
        <w:pStyle w:val="a6"/>
        <w:jc w:val="both"/>
        <w:rPr>
          <w:b w:val="0"/>
          <w:noProof/>
          <w:szCs w:val="22"/>
          <w:u w:val="single"/>
        </w:rPr>
      </w:pPr>
      <w:r w:rsidRPr="00794F08">
        <w:rPr>
          <w:b w:val="0"/>
          <w:noProof/>
          <w:szCs w:val="22"/>
          <w:u w:val="single"/>
        </w:rPr>
        <w:t>Διαταραχές του αιμοποιητικού και του λεμφικού συστήματος</w:t>
      </w:r>
    </w:p>
    <w:p w:rsidR="00BB5083" w:rsidRPr="00A8793B" w:rsidRDefault="00851836" w:rsidP="00BB5083">
      <w:r w:rsidRPr="00A8793B">
        <w:t>Αγγειοοίδημα</w:t>
      </w:r>
    </w:p>
    <w:p w:rsidR="00BB5083" w:rsidRPr="00A8793B" w:rsidRDefault="00BB5083" w:rsidP="00BB5083">
      <w:pPr>
        <w:rPr>
          <w:u w:val="single"/>
        </w:rPr>
      </w:pPr>
    </w:p>
    <w:p w:rsidR="005F6703" w:rsidRPr="00794F08" w:rsidRDefault="00586AD8" w:rsidP="005F6703">
      <w:pPr>
        <w:tabs>
          <w:tab w:val="left" w:pos="426"/>
          <w:tab w:val="left" w:pos="1701"/>
        </w:tabs>
        <w:jc w:val="both"/>
        <w:rPr>
          <w:szCs w:val="22"/>
          <w:u w:val="single"/>
        </w:rPr>
      </w:pPr>
      <w:r w:rsidRPr="00794F08">
        <w:rPr>
          <w:szCs w:val="22"/>
          <w:u w:val="single"/>
        </w:rPr>
        <w:t>Διαταραχές του ανοσοποιητικού συστήματος</w:t>
      </w:r>
    </w:p>
    <w:p w:rsidR="00BB5083" w:rsidRPr="00A8793B" w:rsidRDefault="00586AD8" w:rsidP="00BB5083">
      <w:pPr>
        <w:rPr>
          <w:u w:val="single"/>
        </w:rPr>
      </w:pPr>
      <w:r w:rsidRPr="00794F08">
        <w:t>Αλλεργικές αντιδράσεις, συμπεριλαμβανομένων αναφυλακτικών και αναφυλακτοειδών αντιδράσεων</w:t>
      </w:r>
    </w:p>
    <w:p w:rsidR="00BB5083" w:rsidRPr="00A8793B" w:rsidRDefault="00BB5083" w:rsidP="00BB5083">
      <w:pPr>
        <w:rPr>
          <w:u w:val="single"/>
        </w:rPr>
      </w:pPr>
    </w:p>
    <w:p w:rsidR="005F6703" w:rsidRPr="00794F08" w:rsidRDefault="00586AD8" w:rsidP="005F6703">
      <w:pPr>
        <w:tabs>
          <w:tab w:val="left" w:pos="426"/>
          <w:tab w:val="left" w:pos="1701"/>
        </w:tabs>
        <w:jc w:val="both"/>
        <w:rPr>
          <w:szCs w:val="22"/>
          <w:u w:val="single"/>
        </w:rPr>
      </w:pPr>
      <w:r w:rsidRPr="00794F08">
        <w:rPr>
          <w:szCs w:val="22"/>
          <w:u w:val="single"/>
        </w:rPr>
        <w:t>Διαταραχές του νευρικού συστήματος</w:t>
      </w:r>
    </w:p>
    <w:p w:rsidR="00BB5083" w:rsidRPr="00A8793B" w:rsidRDefault="00851836" w:rsidP="00BB5083">
      <w:pPr>
        <w:rPr>
          <w:szCs w:val="22"/>
        </w:rPr>
      </w:pPr>
      <w:r w:rsidRPr="00A8793B">
        <w:rPr>
          <w:szCs w:val="22"/>
        </w:rPr>
        <w:t>Υποτονικά-υποαντιδραστικά επεισόδια, σπασμοί (με ή χωρίς πυρετό)</w:t>
      </w:r>
    </w:p>
    <w:p w:rsidR="00BB5083" w:rsidRPr="00A8793B" w:rsidRDefault="00BB5083" w:rsidP="00BB5083">
      <w:pPr>
        <w:rPr>
          <w:szCs w:val="22"/>
        </w:rPr>
      </w:pPr>
    </w:p>
    <w:p w:rsidR="005F6703" w:rsidRPr="00794F08" w:rsidRDefault="00586AD8" w:rsidP="005F6703">
      <w:pPr>
        <w:tabs>
          <w:tab w:val="left" w:pos="426"/>
          <w:tab w:val="left" w:pos="1701"/>
        </w:tabs>
        <w:jc w:val="both"/>
        <w:rPr>
          <w:szCs w:val="22"/>
          <w:u w:val="single"/>
        </w:rPr>
      </w:pPr>
      <w:r w:rsidRPr="00794F08">
        <w:rPr>
          <w:szCs w:val="22"/>
          <w:u w:val="single"/>
        </w:rPr>
        <w:t>Διαταραχές του δέρματος και του υποδόριου ιστού</w:t>
      </w:r>
    </w:p>
    <w:p w:rsidR="00BB5083" w:rsidRPr="00A8793B" w:rsidRDefault="00851836" w:rsidP="00BB5083">
      <w:r w:rsidRPr="00A8793B">
        <w:t>Κνίδωση</w:t>
      </w:r>
    </w:p>
    <w:p w:rsidR="00BB5083" w:rsidRPr="00794F08" w:rsidRDefault="00BB5083" w:rsidP="00014E11">
      <w:pPr>
        <w:rPr>
          <w:u w:val="single"/>
        </w:rPr>
      </w:pPr>
    </w:p>
    <w:p w:rsidR="00014E11" w:rsidRPr="00794F08" w:rsidRDefault="00586AD8" w:rsidP="00014E11">
      <w:pPr>
        <w:tabs>
          <w:tab w:val="left" w:pos="426"/>
          <w:tab w:val="left" w:pos="1701"/>
        </w:tabs>
        <w:jc w:val="both"/>
        <w:rPr>
          <w:szCs w:val="22"/>
          <w:u w:val="single"/>
        </w:rPr>
      </w:pPr>
      <w:r w:rsidRPr="00794F08">
        <w:rPr>
          <w:szCs w:val="22"/>
          <w:u w:val="single"/>
        </w:rPr>
        <w:t>Γενικές διαταραχές και καταστάσεις της οδού χορήγησης</w:t>
      </w:r>
    </w:p>
    <w:p w:rsidR="0025226B" w:rsidRPr="00794F08" w:rsidRDefault="00586AD8">
      <w:pPr>
        <w:tabs>
          <w:tab w:val="left" w:pos="426"/>
          <w:tab w:val="left" w:pos="1701"/>
        </w:tabs>
        <w:jc w:val="both"/>
        <w:rPr>
          <w:szCs w:val="22"/>
          <w:u w:val="single"/>
        </w:rPr>
      </w:pPr>
      <w:r w:rsidRPr="00794F08">
        <w:rPr>
          <w:szCs w:val="22"/>
        </w:rPr>
        <w:t>Εξασθένηση</w:t>
      </w:r>
    </w:p>
    <w:p w:rsidR="007621BE" w:rsidRPr="00794F08" w:rsidRDefault="007621BE">
      <w:pPr>
        <w:jc w:val="both"/>
        <w:rPr>
          <w:szCs w:val="22"/>
        </w:rPr>
      </w:pPr>
    </w:p>
    <w:p w:rsidR="00AA0296" w:rsidRPr="00794F08" w:rsidRDefault="00586AD8" w:rsidP="00AA0296">
      <w:pPr>
        <w:rPr>
          <w:szCs w:val="22"/>
        </w:rPr>
      </w:pPr>
      <w:r w:rsidRPr="00794F08">
        <w:rPr>
          <w:szCs w:val="22"/>
        </w:rPr>
        <w:t>Δεδομένα σε 146 άτομα υποδηλώνουν ότι μπορεί να υπάρχει μικρή αύξηση στην τοπική αντιδραστικότητα (πόνος, ερυθρότητα, οίδημα) μετά από επαναλαμβανόμενο εμβολιασμό σύμφωνα με το 0, 1, 6 μηνιαίο εμβολιαστικό σχήμα των ενηλίκων (ηλικίας &gt; 40 ετών).</w:t>
      </w:r>
    </w:p>
    <w:p w:rsidR="00AA0296" w:rsidRPr="00794F08" w:rsidRDefault="00AA0296" w:rsidP="00AA0296">
      <w:pPr>
        <w:rPr>
          <w:szCs w:val="22"/>
        </w:rPr>
      </w:pPr>
    </w:p>
    <w:p w:rsidR="00AA0296" w:rsidRPr="00A8793B" w:rsidRDefault="00586AD8" w:rsidP="00AA0296">
      <w:pPr>
        <w:rPr>
          <w:snapToGrid w:val="0"/>
        </w:rPr>
      </w:pPr>
      <w:r w:rsidRPr="00794F08">
        <w:t>Τα δεδομένα υποδηλώνουν ότι σε άτομα τα οποία εμβολιάστηκαν έναντι DTP στην παιδική ηλικία μια αναμνηστική δόση μπορεί να οδηγήσει σε αύξηση της τοπικής αντιδραστικότητας.</w:t>
      </w:r>
    </w:p>
    <w:p w:rsidR="007621BE" w:rsidRPr="00794F08" w:rsidRDefault="00851836">
      <w:pPr>
        <w:jc w:val="both"/>
        <w:rPr>
          <w:szCs w:val="22"/>
        </w:rPr>
      </w:pPr>
      <w:r w:rsidRPr="00A8793B">
        <w:rPr>
          <w:snapToGrid w:val="0"/>
          <w:szCs w:val="22"/>
          <w:lang w:eastAsia="en-US"/>
        </w:rPr>
        <w:t xml:space="preserve">Μετά τη χορήγηση εμβολίων που περιέχουν τοξοειδές τετάνου, έχουν υπάρξει πολύ σπάνιες αναφορές ανεπιθύμητων αντιδράσεων από το κεντρικό και το περιφερικό νευρικό σύστημα,  </w:t>
      </w:r>
      <w:r w:rsidRPr="00A8793B">
        <w:rPr>
          <w:snapToGrid w:val="0"/>
          <w:szCs w:val="22"/>
          <w:lang w:eastAsia="en-US"/>
        </w:rPr>
        <w:lastRenderedPageBreak/>
        <w:t xml:space="preserve">συμπεριλαμβανομένης και της προϊούσας παράλυσης ή ακόμη και της παράλυσης των αναπνευστικών μυών (π.χ. σύνδρομο </w:t>
      </w:r>
      <w:r w:rsidRPr="00A8793B">
        <w:rPr>
          <w:snapToGrid w:val="0"/>
          <w:szCs w:val="22"/>
          <w:lang w:val="en-US" w:eastAsia="en-US"/>
        </w:rPr>
        <w:t>Guillain</w:t>
      </w:r>
      <w:r w:rsidRPr="00A8793B">
        <w:rPr>
          <w:snapToGrid w:val="0"/>
          <w:szCs w:val="22"/>
          <w:lang w:eastAsia="en-US"/>
        </w:rPr>
        <w:t>-</w:t>
      </w:r>
      <w:r w:rsidRPr="00A8793B">
        <w:rPr>
          <w:snapToGrid w:val="0"/>
          <w:szCs w:val="22"/>
          <w:lang w:val="en-US" w:eastAsia="en-US"/>
        </w:rPr>
        <w:t>Barr</w:t>
      </w:r>
      <w:r w:rsidRPr="00A8793B">
        <w:rPr>
          <w:snapToGrid w:val="0"/>
          <w:szCs w:val="22"/>
          <w:lang w:eastAsia="en-US"/>
        </w:rPr>
        <w:t>é).</w:t>
      </w:r>
    </w:p>
    <w:p w:rsidR="007621BE" w:rsidRPr="00794F08" w:rsidRDefault="007621BE">
      <w:pPr>
        <w:jc w:val="both"/>
        <w:rPr>
          <w:szCs w:val="22"/>
        </w:rPr>
      </w:pPr>
    </w:p>
    <w:p w:rsidR="007621BE" w:rsidRPr="00D9164F" w:rsidRDefault="00586AD8">
      <w:pPr>
        <w:jc w:val="both"/>
        <w:rPr>
          <w:szCs w:val="22"/>
        </w:rPr>
      </w:pPr>
      <w:r w:rsidRPr="00794F08">
        <w:rPr>
          <w:b/>
          <w:szCs w:val="22"/>
        </w:rPr>
        <w:t>4.9</w:t>
      </w:r>
      <w:r w:rsidRPr="00794F08">
        <w:rPr>
          <w:b/>
          <w:szCs w:val="22"/>
        </w:rPr>
        <w:tab/>
        <w:t>Υπερδοσολογία</w:t>
      </w:r>
    </w:p>
    <w:p w:rsidR="0005555B" w:rsidRPr="00794F08" w:rsidRDefault="00586AD8">
      <w:pPr>
        <w:jc w:val="both"/>
        <w:rPr>
          <w:szCs w:val="22"/>
        </w:rPr>
      </w:pPr>
      <w:r w:rsidRPr="00794F08">
        <w:rPr>
          <w:szCs w:val="22"/>
        </w:rPr>
        <w:t xml:space="preserve">Έχουν αναφερθεί περιπτώσεις υπερδοσολογίας κατά την εμπειρία μετά την κυκλοφορία. </w:t>
      </w:r>
    </w:p>
    <w:p w:rsidR="007E1F66" w:rsidRPr="00794F08" w:rsidRDefault="00586AD8">
      <w:pPr>
        <w:jc w:val="both"/>
        <w:rPr>
          <w:szCs w:val="22"/>
        </w:rPr>
      </w:pPr>
      <w:r w:rsidRPr="00794F08">
        <w:rPr>
          <w:szCs w:val="22"/>
        </w:rPr>
        <w:t>Ανεπιθύμητες ενέργειες μετά από υπερδοσολογία, όταν αναφέρθηκαν, ήταν παρόμοιες με αυτές που αναφέρθηκαν με τη σύνηθη χορήγηση του εμβολίου.</w:t>
      </w:r>
    </w:p>
    <w:p w:rsidR="007621BE" w:rsidRPr="00794F08" w:rsidRDefault="007621BE">
      <w:pPr>
        <w:jc w:val="both"/>
        <w:rPr>
          <w:szCs w:val="22"/>
        </w:rPr>
      </w:pPr>
    </w:p>
    <w:p w:rsidR="007621BE" w:rsidRPr="00D9164F" w:rsidRDefault="00586AD8">
      <w:pPr>
        <w:jc w:val="both"/>
        <w:rPr>
          <w:szCs w:val="22"/>
        </w:rPr>
      </w:pPr>
      <w:r w:rsidRPr="00794F08">
        <w:rPr>
          <w:b/>
          <w:szCs w:val="22"/>
        </w:rPr>
        <w:t>5.</w:t>
      </w:r>
      <w:r w:rsidRPr="00794F08">
        <w:rPr>
          <w:b/>
          <w:szCs w:val="22"/>
        </w:rPr>
        <w:tab/>
        <w:t>ΦΑΡΜΑΚΟΛΟΓΙΚΕΣ ΙΔΙΟΤΗΤΕΣ</w:t>
      </w:r>
    </w:p>
    <w:p w:rsidR="007621BE" w:rsidRPr="00D9164F" w:rsidRDefault="00586AD8">
      <w:pPr>
        <w:jc w:val="both"/>
        <w:rPr>
          <w:szCs w:val="22"/>
        </w:rPr>
      </w:pPr>
      <w:r w:rsidRPr="00794F08">
        <w:rPr>
          <w:b/>
          <w:szCs w:val="22"/>
        </w:rPr>
        <w:t>5.1</w:t>
      </w:r>
      <w:r w:rsidRPr="00794F08">
        <w:rPr>
          <w:b/>
          <w:szCs w:val="22"/>
        </w:rPr>
        <w:tab/>
        <w:t>Φαρμακοδυναμικές ιδιότητες</w:t>
      </w:r>
    </w:p>
    <w:p w:rsidR="007621BE" w:rsidRPr="00794F08" w:rsidRDefault="00586AD8">
      <w:pPr>
        <w:jc w:val="both"/>
        <w:rPr>
          <w:szCs w:val="22"/>
        </w:rPr>
      </w:pPr>
      <w:r w:rsidRPr="00794F08">
        <w:rPr>
          <w:szCs w:val="22"/>
        </w:rPr>
        <w:t>Φαρμακοθεραπευτική κατηγορία: Εμβόλια για βακτήρια, εμβόλια για κοκκύτη, κωδικός ATC: J07A J52</w:t>
      </w:r>
    </w:p>
    <w:p w:rsidR="007621BE" w:rsidRPr="00794F08" w:rsidRDefault="007621BE">
      <w:pPr>
        <w:jc w:val="both"/>
        <w:rPr>
          <w:szCs w:val="22"/>
        </w:rPr>
      </w:pPr>
    </w:p>
    <w:p w:rsidR="00BB5083" w:rsidRPr="00794F08" w:rsidRDefault="00586AD8" w:rsidP="00BB5083">
      <w:pPr>
        <w:keepNext/>
        <w:spacing w:after="120"/>
      </w:pPr>
      <w:r w:rsidRPr="00794F08">
        <w:t>Περίπου ένα μήνα μετά τον αναμνηστικό εμβολιασμό με Boostrix, παρατηρήθηκαν τα ακόλουθα ποσοστά οροπροστασίας/οροθετικότητας: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1800"/>
        <w:gridCol w:w="1920"/>
        <w:gridCol w:w="1800"/>
      </w:tblGrid>
      <w:tr w:rsidR="00BB5083" w:rsidRPr="00794F08" w:rsidTr="00BB5083">
        <w:tc>
          <w:tcPr>
            <w:tcW w:w="3120" w:type="dxa"/>
            <w:vAlign w:val="center"/>
          </w:tcPr>
          <w:p w:rsidR="00BB5083" w:rsidRPr="00794F08" w:rsidRDefault="00586AD8" w:rsidP="00BB5083">
            <w:pPr>
              <w:keepNext/>
              <w:spacing w:after="120"/>
              <w:jc w:val="center"/>
            </w:pPr>
            <w:r w:rsidRPr="00794F08">
              <w:t>Αντιγόνο</w:t>
            </w:r>
          </w:p>
        </w:tc>
        <w:tc>
          <w:tcPr>
            <w:tcW w:w="1800" w:type="dxa"/>
            <w:vAlign w:val="center"/>
          </w:tcPr>
          <w:p w:rsidR="00BB5083" w:rsidRPr="00794F08" w:rsidRDefault="00586AD8" w:rsidP="00BB5083">
            <w:pPr>
              <w:keepNext/>
              <w:spacing w:after="120"/>
              <w:jc w:val="center"/>
            </w:pPr>
            <w:r w:rsidRPr="00794F08">
              <w:t>Απάντηση</w:t>
            </w:r>
            <w:r w:rsidRPr="00794F08">
              <w:rPr>
                <w:vertAlign w:val="superscript"/>
              </w:rPr>
              <w:t>(1)</w:t>
            </w:r>
          </w:p>
        </w:tc>
        <w:tc>
          <w:tcPr>
            <w:tcW w:w="1920" w:type="dxa"/>
            <w:vAlign w:val="center"/>
          </w:tcPr>
          <w:p w:rsidR="00851836" w:rsidRPr="00A8793B" w:rsidRDefault="00851836" w:rsidP="00A8793B">
            <w:pPr>
              <w:keepNext/>
              <w:jc w:val="center"/>
            </w:pPr>
            <w:r w:rsidRPr="00A8793B">
              <w:t>Ενήλικες και έφηβοι ηλικίας 10 ετών και άνω</w:t>
            </w:r>
          </w:p>
          <w:p w:rsidR="00BB5083" w:rsidRPr="00794F08" w:rsidRDefault="00586AD8" w:rsidP="007845EB">
            <w:pPr>
              <w:keepNext/>
              <w:jc w:val="center"/>
            </w:pPr>
            <w:r w:rsidRPr="00794F08">
              <w:t>ATP</w:t>
            </w:r>
            <w:r w:rsidRPr="00794F08">
              <w:rPr>
                <w:vertAlign w:val="superscript"/>
              </w:rPr>
              <w:t>(2)</w:t>
            </w:r>
          </w:p>
          <w:p w:rsidR="00BB5083" w:rsidRPr="00794F08" w:rsidRDefault="00586AD8" w:rsidP="007845EB">
            <w:pPr>
              <w:keepNext/>
              <w:jc w:val="center"/>
            </w:pPr>
            <w:r w:rsidRPr="00794F08">
              <w:t>N=1694</w:t>
            </w:r>
          </w:p>
          <w:p w:rsidR="00BB5083" w:rsidRPr="00794F08" w:rsidRDefault="00586AD8" w:rsidP="007845EB">
            <w:pPr>
              <w:keepNext/>
              <w:spacing w:after="120"/>
              <w:jc w:val="center"/>
            </w:pPr>
            <w:r w:rsidRPr="00794F08">
              <w:t>(% εμβολιασθέντων)</w:t>
            </w:r>
          </w:p>
        </w:tc>
        <w:tc>
          <w:tcPr>
            <w:tcW w:w="1800" w:type="dxa"/>
            <w:vAlign w:val="center"/>
          </w:tcPr>
          <w:p w:rsidR="00851836" w:rsidRPr="00A8793B" w:rsidRDefault="00851836" w:rsidP="00A8793B">
            <w:pPr>
              <w:keepNext/>
              <w:jc w:val="center"/>
            </w:pPr>
            <w:r w:rsidRPr="00A8793B">
              <w:t>Παιδιά ηλικίας 4 ετών και άνω</w:t>
            </w:r>
          </w:p>
          <w:p w:rsidR="00BB5083" w:rsidRPr="00794F08" w:rsidRDefault="00586AD8" w:rsidP="00BB5083">
            <w:pPr>
              <w:keepNext/>
              <w:jc w:val="center"/>
            </w:pPr>
            <w:r w:rsidRPr="00794F08">
              <w:t>ATP</w:t>
            </w:r>
            <w:r w:rsidRPr="00794F08">
              <w:rPr>
                <w:vertAlign w:val="superscript"/>
              </w:rPr>
              <w:t>(2)</w:t>
            </w:r>
          </w:p>
          <w:p w:rsidR="00BB5083" w:rsidRPr="00794F08" w:rsidRDefault="00586AD8" w:rsidP="00BB5083">
            <w:pPr>
              <w:keepNext/>
              <w:jc w:val="center"/>
            </w:pPr>
            <w:r w:rsidRPr="00794F08">
              <w:t>N=415</w:t>
            </w:r>
          </w:p>
          <w:p w:rsidR="00BB5083" w:rsidRPr="00794F08" w:rsidRDefault="00586AD8" w:rsidP="00BB5083">
            <w:pPr>
              <w:keepNext/>
              <w:spacing w:after="120"/>
              <w:jc w:val="center"/>
            </w:pPr>
            <w:r w:rsidRPr="00794F08">
              <w:t>(% εμβολιασθέντων)</w:t>
            </w:r>
          </w:p>
        </w:tc>
      </w:tr>
      <w:tr w:rsidR="00BB5083" w:rsidRPr="00794F08" w:rsidTr="00BB5083">
        <w:tc>
          <w:tcPr>
            <w:tcW w:w="3120" w:type="dxa"/>
          </w:tcPr>
          <w:p w:rsidR="00BB5083" w:rsidRPr="00794F08" w:rsidRDefault="00586AD8" w:rsidP="00BB5083">
            <w:pPr>
              <w:keepNext/>
              <w:spacing w:after="120"/>
            </w:pPr>
            <w:r w:rsidRPr="00794F08">
              <w:t>Διφθερίτιδα</w:t>
            </w:r>
          </w:p>
        </w:tc>
        <w:tc>
          <w:tcPr>
            <w:tcW w:w="1800" w:type="dxa"/>
          </w:tcPr>
          <w:p w:rsidR="00BB5083" w:rsidRPr="00794F08" w:rsidRDefault="00586AD8" w:rsidP="00BB5083">
            <w:pPr>
              <w:keepNext/>
              <w:spacing w:after="120"/>
            </w:pPr>
            <w:r w:rsidRPr="00794F08">
              <w:sym w:font="Symbol" w:char="F0B3"/>
            </w:r>
            <w:r w:rsidRPr="00794F08">
              <w:t xml:space="preserve"> 0.1 IU/ml</w:t>
            </w:r>
          </w:p>
        </w:tc>
        <w:tc>
          <w:tcPr>
            <w:tcW w:w="1920" w:type="dxa"/>
          </w:tcPr>
          <w:p w:rsidR="00BB5083" w:rsidRPr="00794F08" w:rsidRDefault="00586AD8" w:rsidP="00BB5083">
            <w:pPr>
              <w:keepNext/>
              <w:spacing w:after="120"/>
              <w:jc w:val="center"/>
            </w:pPr>
            <w:r w:rsidRPr="00794F08">
              <w:t>97.2%</w:t>
            </w:r>
          </w:p>
        </w:tc>
        <w:tc>
          <w:tcPr>
            <w:tcW w:w="1800" w:type="dxa"/>
          </w:tcPr>
          <w:p w:rsidR="00BB5083" w:rsidRPr="00794F08" w:rsidRDefault="00586AD8" w:rsidP="00BB5083">
            <w:pPr>
              <w:keepNext/>
              <w:spacing w:after="120"/>
              <w:jc w:val="center"/>
            </w:pPr>
            <w:r w:rsidRPr="00794F08">
              <w:t>99.8%</w:t>
            </w:r>
          </w:p>
        </w:tc>
      </w:tr>
      <w:tr w:rsidR="00BB5083" w:rsidRPr="00794F08" w:rsidTr="00BB5083">
        <w:tc>
          <w:tcPr>
            <w:tcW w:w="3120" w:type="dxa"/>
          </w:tcPr>
          <w:p w:rsidR="00BB5083" w:rsidRPr="00794F08" w:rsidRDefault="00586AD8" w:rsidP="00BB5083">
            <w:pPr>
              <w:keepNext/>
              <w:spacing w:after="120"/>
            </w:pPr>
            <w:r w:rsidRPr="00794F08">
              <w:t>Τετάνου</w:t>
            </w:r>
          </w:p>
        </w:tc>
        <w:tc>
          <w:tcPr>
            <w:tcW w:w="1800" w:type="dxa"/>
          </w:tcPr>
          <w:p w:rsidR="00BB5083" w:rsidRPr="00794F08" w:rsidRDefault="00586AD8" w:rsidP="00BB5083">
            <w:pPr>
              <w:keepNext/>
              <w:spacing w:after="120"/>
            </w:pPr>
            <w:r w:rsidRPr="00794F08">
              <w:sym w:font="Symbol" w:char="F0B3"/>
            </w:r>
            <w:r w:rsidRPr="00794F08">
              <w:t xml:space="preserve"> 0.1 IU/ml</w:t>
            </w:r>
          </w:p>
        </w:tc>
        <w:tc>
          <w:tcPr>
            <w:tcW w:w="1920" w:type="dxa"/>
          </w:tcPr>
          <w:p w:rsidR="00BB5083" w:rsidRPr="00794F08" w:rsidRDefault="00586AD8" w:rsidP="00BB5083">
            <w:pPr>
              <w:keepNext/>
              <w:spacing w:after="120"/>
              <w:jc w:val="center"/>
            </w:pPr>
            <w:r w:rsidRPr="00794F08">
              <w:t>99.0%</w:t>
            </w:r>
          </w:p>
        </w:tc>
        <w:tc>
          <w:tcPr>
            <w:tcW w:w="1800" w:type="dxa"/>
          </w:tcPr>
          <w:p w:rsidR="00BB5083" w:rsidRPr="00794F08" w:rsidRDefault="00586AD8" w:rsidP="00BB5083">
            <w:pPr>
              <w:keepNext/>
              <w:spacing w:after="120"/>
              <w:jc w:val="center"/>
            </w:pPr>
            <w:r w:rsidRPr="00794F08">
              <w:t>100.0%</w:t>
            </w:r>
          </w:p>
        </w:tc>
      </w:tr>
      <w:tr w:rsidR="00BB5083" w:rsidRPr="00794F08" w:rsidTr="00BB5083">
        <w:tc>
          <w:tcPr>
            <w:tcW w:w="3120" w:type="dxa"/>
          </w:tcPr>
          <w:p w:rsidR="007845EB" w:rsidRPr="00794F08" w:rsidRDefault="00586AD8" w:rsidP="007845EB">
            <w:pPr>
              <w:jc w:val="both"/>
              <w:rPr>
                <w:szCs w:val="22"/>
              </w:rPr>
            </w:pPr>
            <w:r w:rsidRPr="00794F08">
              <w:rPr>
                <w:szCs w:val="22"/>
              </w:rPr>
              <w:t>Κοκκύτη</w:t>
            </w:r>
          </w:p>
          <w:p w:rsidR="00851836" w:rsidRDefault="00586AD8" w:rsidP="00A8793B">
            <w:pPr>
              <w:pStyle w:val="3"/>
              <w:keepNext w:val="0"/>
              <w:ind w:right="175"/>
              <w:jc w:val="both"/>
              <w:rPr>
                <w:b w:val="0"/>
                <w:szCs w:val="22"/>
                <w:lang w:val="el-GR"/>
              </w:rPr>
            </w:pPr>
            <w:r w:rsidRPr="00794F08">
              <w:rPr>
                <w:szCs w:val="22"/>
                <w:lang w:val="el-GR"/>
              </w:rPr>
              <w:t>-</w:t>
            </w:r>
            <w:r w:rsidRPr="00794F08">
              <w:rPr>
                <w:b w:val="0"/>
                <w:szCs w:val="22"/>
                <w:lang w:val="el-GR"/>
              </w:rPr>
              <w:t>Τοξοειδές κοκκύτη</w:t>
            </w:r>
          </w:p>
          <w:p w:rsidR="00851836" w:rsidRPr="00A8793B" w:rsidRDefault="00851836" w:rsidP="00A8793B">
            <w:pPr>
              <w:pStyle w:val="3"/>
              <w:keepNext w:val="0"/>
              <w:ind w:right="175"/>
              <w:jc w:val="both"/>
              <w:rPr>
                <w:szCs w:val="22"/>
                <w:lang w:val="el-GR"/>
              </w:rPr>
            </w:pPr>
            <w:r w:rsidRPr="00A8793B">
              <w:rPr>
                <w:b w:val="0"/>
                <w:szCs w:val="22"/>
                <w:lang w:val="el-GR"/>
              </w:rPr>
              <w:t>-Νηματοειδής αιμοσυγκολλητίνη</w:t>
            </w:r>
          </w:p>
          <w:p w:rsidR="00851836" w:rsidRDefault="00851836" w:rsidP="00A8793B">
            <w:pPr>
              <w:pStyle w:val="3"/>
              <w:keepNext w:val="0"/>
              <w:ind w:right="175"/>
              <w:jc w:val="both"/>
              <w:rPr>
                <w:lang w:val="fr-FR"/>
              </w:rPr>
            </w:pPr>
            <w:r w:rsidRPr="00A8793B">
              <w:rPr>
                <w:b w:val="0"/>
                <w:szCs w:val="22"/>
                <w:lang w:val="el-GR"/>
              </w:rPr>
              <w:t xml:space="preserve">-Περτακτίνη </w:t>
            </w:r>
          </w:p>
        </w:tc>
        <w:tc>
          <w:tcPr>
            <w:tcW w:w="1800" w:type="dxa"/>
          </w:tcPr>
          <w:p w:rsidR="00BB5083" w:rsidRPr="00794F08" w:rsidRDefault="00BB5083" w:rsidP="00BB5083">
            <w:pPr>
              <w:keepNext/>
              <w:spacing w:after="120"/>
              <w:rPr>
                <w:lang w:val="fr-FR"/>
              </w:rPr>
            </w:pPr>
          </w:p>
          <w:p w:rsidR="00BB5083" w:rsidRPr="00794F08" w:rsidRDefault="00BB5083" w:rsidP="00BB5083">
            <w:pPr>
              <w:keepNext/>
              <w:spacing w:after="120"/>
              <w:rPr>
                <w:lang w:val="fr-FR"/>
              </w:rPr>
            </w:pPr>
          </w:p>
          <w:p w:rsidR="00BB5083" w:rsidRPr="00794F08" w:rsidRDefault="00586AD8" w:rsidP="00BB5083">
            <w:pPr>
              <w:keepNext/>
              <w:spacing w:after="120"/>
              <w:rPr>
                <w:lang w:val="fr-FR"/>
              </w:rPr>
            </w:pPr>
            <w:r w:rsidRPr="00794F08">
              <w:sym w:font="Symbol" w:char="F0B3"/>
            </w:r>
            <w:r w:rsidRPr="00794F08">
              <w:rPr>
                <w:lang w:val="fr-FR"/>
              </w:rPr>
              <w:t xml:space="preserve"> 5 EL.U/ml</w:t>
            </w:r>
          </w:p>
          <w:p w:rsidR="00BB5083" w:rsidRPr="00794F08" w:rsidRDefault="00BB5083" w:rsidP="00BB5083">
            <w:pPr>
              <w:keepNext/>
              <w:spacing w:after="120"/>
              <w:rPr>
                <w:lang w:val="fr-FR"/>
              </w:rPr>
            </w:pPr>
          </w:p>
        </w:tc>
        <w:tc>
          <w:tcPr>
            <w:tcW w:w="1920" w:type="dxa"/>
          </w:tcPr>
          <w:p w:rsidR="00BB5083" w:rsidRPr="00794F08" w:rsidRDefault="00BB5083" w:rsidP="00BB5083">
            <w:pPr>
              <w:keepNext/>
              <w:spacing w:after="120"/>
              <w:jc w:val="center"/>
              <w:rPr>
                <w:lang w:val="fr-FR"/>
              </w:rPr>
            </w:pPr>
          </w:p>
          <w:p w:rsidR="00BB5083" w:rsidRPr="00794F08" w:rsidRDefault="00586AD8" w:rsidP="00BB5083">
            <w:pPr>
              <w:keepNext/>
              <w:spacing w:after="120"/>
              <w:jc w:val="center"/>
            </w:pPr>
            <w:r w:rsidRPr="00794F08">
              <w:t>97.8%</w:t>
            </w:r>
          </w:p>
          <w:p w:rsidR="00BB5083" w:rsidRPr="00794F08" w:rsidRDefault="00586AD8" w:rsidP="00BB5083">
            <w:pPr>
              <w:keepNext/>
              <w:spacing w:after="120"/>
              <w:jc w:val="center"/>
            </w:pPr>
            <w:r w:rsidRPr="00794F08">
              <w:t>99.9%</w:t>
            </w:r>
          </w:p>
          <w:p w:rsidR="00BB5083" w:rsidRPr="00794F08" w:rsidRDefault="00586AD8" w:rsidP="00BB5083">
            <w:pPr>
              <w:keepNext/>
              <w:spacing w:after="120"/>
              <w:jc w:val="center"/>
            </w:pPr>
            <w:r w:rsidRPr="00794F08">
              <w:t>99.4%</w:t>
            </w:r>
          </w:p>
        </w:tc>
        <w:tc>
          <w:tcPr>
            <w:tcW w:w="1800" w:type="dxa"/>
          </w:tcPr>
          <w:p w:rsidR="00BB5083" w:rsidRPr="00794F08" w:rsidRDefault="00BB5083" w:rsidP="00BB5083">
            <w:pPr>
              <w:keepNext/>
              <w:spacing w:after="120"/>
              <w:jc w:val="center"/>
            </w:pPr>
          </w:p>
          <w:p w:rsidR="00BB5083" w:rsidRPr="00794F08" w:rsidRDefault="00586AD8" w:rsidP="00BB5083">
            <w:pPr>
              <w:keepNext/>
              <w:spacing w:after="120"/>
              <w:jc w:val="center"/>
            </w:pPr>
            <w:r w:rsidRPr="00794F08">
              <w:t>99.0%</w:t>
            </w:r>
          </w:p>
          <w:p w:rsidR="00BB5083" w:rsidRPr="00794F08" w:rsidRDefault="00586AD8" w:rsidP="00BB5083">
            <w:pPr>
              <w:keepNext/>
              <w:spacing w:after="120"/>
              <w:jc w:val="center"/>
            </w:pPr>
            <w:r w:rsidRPr="00794F08">
              <w:t>100.0%</w:t>
            </w:r>
          </w:p>
          <w:p w:rsidR="00BB5083" w:rsidRPr="00794F08" w:rsidRDefault="00586AD8" w:rsidP="00BB5083">
            <w:pPr>
              <w:keepNext/>
              <w:spacing w:after="120"/>
              <w:jc w:val="center"/>
            </w:pPr>
            <w:r w:rsidRPr="00794F08">
              <w:t>99.8%</w:t>
            </w:r>
          </w:p>
        </w:tc>
      </w:tr>
    </w:tbl>
    <w:p w:rsidR="00BB5083" w:rsidRPr="00794F08" w:rsidRDefault="00586AD8" w:rsidP="00BB5083">
      <w:pPr>
        <w:keepNext/>
        <w:rPr>
          <w:sz w:val="20"/>
        </w:rPr>
      </w:pPr>
      <w:r w:rsidRPr="00794F08">
        <w:rPr>
          <w:sz w:val="20"/>
          <w:vertAlign w:val="superscript"/>
        </w:rPr>
        <w:t>(1)</w:t>
      </w:r>
      <w:r w:rsidRPr="00794F08">
        <w:rPr>
          <w:sz w:val="20"/>
        </w:rPr>
        <w:t xml:space="preserve">Απάντηση: όπου, σε καθορισμένο χρονικό σημείο, συγκέντρωση των αντισωμάτων έναντι διφθερίτιδας και τετάνου </w:t>
      </w:r>
      <w:r w:rsidRPr="00794F08">
        <w:rPr>
          <w:sz w:val="20"/>
        </w:rPr>
        <w:sym w:font="Symbol" w:char="F0B3"/>
      </w:r>
      <w:r w:rsidRPr="00794F08">
        <w:rPr>
          <w:sz w:val="20"/>
        </w:rPr>
        <w:t xml:space="preserve"> 0.1 IU/ml θεωρήθηκε ως οροπροστασία και συγκέντρωση αντισωμάτων έναντι κοκκύτη </w:t>
      </w:r>
      <w:r w:rsidRPr="00794F08">
        <w:rPr>
          <w:sz w:val="20"/>
        </w:rPr>
        <w:sym w:font="Symbol" w:char="F0B3"/>
      </w:r>
      <w:r w:rsidRPr="00794F08">
        <w:rPr>
          <w:sz w:val="20"/>
        </w:rPr>
        <w:t xml:space="preserve"> 5 EL.U/ml θεωρήθηκε ως οροθετικότητα.</w:t>
      </w:r>
    </w:p>
    <w:p w:rsidR="00BB5083" w:rsidRPr="00794F08" w:rsidRDefault="00586AD8" w:rsidP="00BB5083">
      <w:pPr>
        <w:keepNext/>
        <w:rPr>
          <w:sz w:val="20"/>
        </w:rPr>
      </w:pPr>
      <w:r w:rsidRPr="00794F08">
        <w:rPr>
          <w:sz w:val="20"/>
          <w:vertAlign w:val="superscript"/>
        </w:rPr>
        <w:t>(2)</w:t>
      </w:r>
      <w:r w:rsidRPr="00794F08">
        <w:rPr>
          <w:sz w:val="20"/>
        </w:rPr>
        <w:t xml:space="preserve">ATP: Σύμφωνα με το πρωτόκολλο – περιλαμβάνει όλα τα κατάλληλα προς ένταξη άτομα, τα οποία είχαν λάβει μια </w:t>
      </w:r>
      <w:r w:rsidR="00851836" w:rsidRPr="00A8793B">
        <w:rPr>
          <w:sz w:val="20"/>
        </w:rPr>
        <w:t>αν</w:t>
      </w:r>
      <w:r w:rsidRPr="00794F08">
        <w:rPr>
          <w:sz w:val="20"/>
        </w:rPr>
        <w:t>αμνηστική δόση Boostrix, για τα οποία υπήρχαν διαθέσιμα ανοσογονικά δεδομένα για τουλάχιστον ένα αντιγόνο στο ορισμένο χρονικό σημείο.</w:t>
      </w:r>
    </w:p>
    <w:p w:rsidR="00106E2F" w:rsidRPr="00794F08" w:rsidRDefault="00586AD8" w:rsidP="00C94B0F">
      <w:pPr>
        <w:jc w:val="both"/>
        <w:rPr>
          <w:szCs w:val="22"/>
        </w:rPr>
      </w:pPr>
      <w:r w:rsidRPr="00794F08">
        <w:rPr>
          <w:sz w:val="20"/>
        </w:rPr>
        <w:t>N:</w:t>
      </w:r>
      <w:r w:rsidR="00851836" w:rsidRPr="00A8793B">
        <w:rPr>
          <w:sz w:val="20"/>
        </w:rPr>
        <w:t xml:space="preserve"> ο ελάχιστος αριθμός ατόμων με διαθέσιμα δεδομένα για κάθε αντιγόνο</w:t>
      </w:r>
    </w:p>
    <w:p w:rsidR="007E1F66" w:rsidRPr="00794F08" w:rsidRDefault="007E1F66" w:rsidP="00C94B0F">
      <w:pPr>
        <w:jc w:val="both"/>
        <w:rPr>
          <w:szCs w:val="22"/>
        </w:rPr>
      </w:pPr>
    </w:p>
    <w:p w:rsidR="00C94B0F" w:rsidRPr="00794F08" w:rsidRDefault="00586AD8" w:rsidP="00C94B0F">
      <w:pPr>
        <w:jc w:val="both"/>
        <w:rPr>
          <w:szCs w:val="22"/>
        </w:rPr>
      </w:pPr>
      <w:r w:rsidRPr="00794F08">
        <w:rPr>
          <w:szCs w:val="22"/>
        </w:rPr>
        <w:t>Συγκριτικές μελέτες σε εφήβους και ενήλικες έδειξαν, ότι ένα μήνα μετά τον εμβολιασμό, οι τίτλοι αντισωμάτων για τη διφθερίτιδα ήταν παρόμοιοι με αυτούς εμβολίων Td τύπου ενηλίκων, με το ίδιο αντιγονικό περιεχόμενο όπως το Boostrix. Μικρότεροι τίτλοι αντισωμάτων για τον τέτανο παρατηρήθηκαν συγκριτικά με εμβόλια Td τύπου ενηλίκων.</w:t>
      </w:r>
    </w:p>
    <w:p w:rsidR="007621BE" w:rsidRPr="00794F08" w:rsidRDefault="007621BE">
      <w:pPr>
        <w:jc w:val="both"/>
        <w:rPr>
          <w:szCs w:val="22"/>
        </w:rPr>
      </w:pPr>
    </w:p>
    <w:p w:rsidR="007621BE" w:rsidRPr="00794F08" w:rsidRDefault="00586AD8">
      <w:pPr>
        <w:jc w:val="both"/>
        <w:rPr>
          <w:szCs w:val="22"/>
        </w:rPr>
      </w:pPr>
      <w:r w:rsidRPr="00794F08">
        <w:rPr>
          <w:szCs w:val="22"/>
        </w:rPr>
        <w:t>Όπως και με άλλα εμβόλια Td για ενήλικες, το Boostrix προκαλεί υψηλότερους τίτλους τόσο αντι-D όσο και αντι-T αντισωμάτων σε παιδιά και εφήβους συγκριτικά με τους ενήλικες.</w:t>
      </w:r>
    </w:p>
    <w:p w:rsidR="007621BE" w:rsidRPr="00794F08" w:rsidRDefault="007621BE">
      <w:pPr>
        <w:jc w:val="both"/>
        <w:rPr>
          <w:szCs w:val="22"/>
        </w:rPr>
      </w:pPr>
    </w:p>
    <w:p w:rsidR="00E923F4" w:rsidRPr="00794F08" w:rsidRDefault="00586AD8" w:rsidP="00E923F4">
      <w:pPr>
        <w:jc w:val="both"/>
        <w:rPr>
          <w:szCs w:val="22"/>
        </w:rPr>
      </w:pPr>
      <w:r w:rsidRPr="00794F08">
        <w:rPr>
          <w:szCs w:val="22"/>
        </w:rPr>
        <w:t>3 με 3,5 χρόνια, 5 με 6 χρόνια  και 10 χρόνια μετά τον αρχικό εμβολιασμό με Boostrix, παρατηρήθηκαν τα ακόλουθα ποσοστά οροπροστασίας/οροθετικότητας σε άτομα τα οποία είχαν εμβολιαστεί σύμφωνα με το πρωτόκολλο (</w:t>
      </w:r>
      <w:r w:rsidRPr="00794F08">
        <w:rPr>
          <w:szCs w:val="22"/>
          <w:lang w:val="en-US"/>
        </w:rPr>
        <w:t>ATP</w:t>
      </w:r>
      <w:r w:rsidR="00851836" w:rsidRPr="00A8793B">
        <w:rPr>
          <w:szCs w:val="22"/>
          <w:vertAlign w:val="superscript"/>
        </w:rPr>
        <w:t>1</w:t>
      </w:r>
      <w:r w:rsidR="00851836" w:rsidRPr="00A8793B">
        <w:rPr>
          <w:szCs w:val="22"/>
        </w:rPr>
        <w:t>)</w:t>
      </w:r>
      <w:r w:rsidRPr="00794F08">
        <w:rPr>
          <w:szCs w:val="22"/>
        </w:rPr>
        <w:t>:</w:t>
      </w:r>
    </w:p>
    <w:p w:rsidR="00E923F4" w:rsidRPr="00A8793B" w:rsidRDefault="00E923F4" w:rsidP="00E923F4">
      <w:pPr>
        <w:rPr>
          <w:szCs w:val="22"/>
        </w:rPr>
      </w:pPr>
    </w:p>
    <w:tbl>
      <w:tblPr>
        <w:tblW w:w="11021"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7"/>
        <w:gridCol w:w="1416"/>
        <w:gridCol w:w="1210"/>
        <w:gridCol w:w="1067"/>
        <w:gridCol w:w="908"/>
        <w:gridCol w:w="908"/>
        <w:gridCol w:w="908"/>
        <w:gridCol w:w="809"/>
        <w:gridCol w:w="1107"/>
        <w:gridCol w:w="1111"/>
      </w:tblGrid>
      <w:tr w:rsidR="00BB5083" w:rsidRPr="00794F08" w:rsidTr="00A8793B">
        <w:trPr>
          <w:trHeight w:val="711"/>
        </w:trPr>
        <w:tc>
          <w:tcPr>
            <w:tcW w:w="715" w:type="pct"/>
            <w:vMerge w:val="restart"/>
          </w:tcPr>
          <w:p w:rsidR="00BB5083" w:rsidRPr="00A8793B" w:rsidRDefault="00851836" w:rsidP="00BB5083">
            <w:pPr>
              <w:keepNext/>
              <w:spacing w:before="120"/>
              <w:jc w:val="center"/>
              <w:rPr>
                <w:b/>
                <w:iCs/>
                <w:sz w:val="20"/>
              </w:rPr>
            </w:pPr>
            <w:r w:rsidRPr="00A8793B">
              <w:rPr>
                <w:b/>
                <w:iCs/>
                <w:sz w:val="20"/>
              </w:rPr>
              <w:lastRenderedPageBreak/>
              <w:t>Αντιγόνο</w:t>
            </w:r>
          </w:p>
        </w:tc>
        <w:tc>
          <w:tcPr>
            <w:tcW w:w="642" w:type="pct"/>
            <w:vMerge w:val="restart"/>
          </w:tcPr>
          <w:p w:rsidR="00BB5083" w:rsidRPr="00A8793B" w:rsidRDefault="00851836" w:rsidP="00106E2F">
            <w:pPr>
              <w:keepNext/>
              <w:spacing w:before="120"/>
              <w:jc w:val="center"/>
              <w:rPr>
                <w:b/>
                <w:iCs/>
                <w:sz w:val="20"/>
              </w:rPr>
            </w:pPr>
            <w:r w:rsidRPr="00A8793B">
              <w:rPr>
                <w:b/>
                <w:iCs/>
                <w:sz w:val="20"/>
              </w:rPr>
              <w:t xml:space="preserve"> Απάντηση</w:t>
            </w:r>
            <w:r w:rsidRPr="00A8793B">
              <w:rPr>
                <w:b/>
                <w:iCs/>
                <w:sz w:val="20"/>
                <w:vertAlign w:val="superscript"/>
              </w:rPr>
              <w:t>(</w:t>
            </w:r>
            <w:r w:rsidRPr="00A8793B">
              <w:rPr>
                <w:rFonts w:ascii="Times New Roman Bold" w:hAnsi="Times New Roman Bold"/>
                <w:b/>
                <w:iCs/>
                <w:sz w:val="20"/>
                <w:vertAlign w:val="superscript"/>
              </w:rPr>
              <w:t>2</w:t>
            </w:r>
            <w:r w:rsidRPr="00A8793B">
              <w:rPr>
                <w:b/>
                <w:iCs/>
                <w:sz w:val="20"/>
                <w:vertAlign w:val="superscript"/>
              </w:rPr>
              <w:t>)</w:t>
            </w:r>
          </w:p>
        </w:tc>
        <w:tc>
          <w:tcPr>
            <w:tcW w:w="2636" w:type="pct"/>
            <w:gridSpan w:val="6"/>
            <w:vAlign w:val="center"/>
          </w:tcPr>
          <w:p w:rsidR="00106E2F" w:rsidRPr="00A8793B" w:rsidRDefault="00851836" w:rsidP="00106E2F">
            <w:pPr>
              <w:keepNext/>
              <w:jc w:val="center"/>
              <w:rPr>
                <w:b/>
                <w:iCs/>
                <w:sz w:val="20"/>
              </w:rPr>
            </w:pPr>
            <w:r w:rsidRPr="00A8793B">
              <w:rPr>
                <w:b/>
                <w:iCs/>
                <w:sz w:val="20"/>
              </w:rPr>
              <w:t>Ενήλικες και έφηβοι ηλικίας 10 ετών και άνω</w:t>
            </w:r>
          </w:p>
          <w:p w:rsidR="00BB5083" w:rsidRPr="00A8793B" w:rsidRDefault="00851836" w:rsidP="00106E2F">
            <w:pPr>
              <w:keepNext/>
              <w:jc w:val="center"/>
              <w:rPr>
                <w:b/>
                <w:iCs/>
                <w:sz w:val="20"/>
              </w:rPr>
            </w:pPr>
            <w:r w:rsidRPr="00A8793B">
              <w:rPr>
                <w:b/>
                <w:iCs/>
                <w:sz w:val="20"/>
              </w:rPr>
              <w:t xml:space="preserve"> (% </w:t>
            </w:r>
            <w:r w:rsidRPr="00A8793B">
              <w:rPr>
                <w:b/>
                <w:iCs/>
                <w:sz w:val="20"/>
                <w:lang w:val="en-GB"/>
              </w:rPr>
              <w:t>εμβολιασθέντων</w:t>
            </w:r>
            <w:r w:rsidRPr="00A8793B">
              <w:rPr>
                <w:b/>
                <w:iCs/>
                <w:sz w:val="20"/>
              </w:rPr>
              <w:t>)</w:t>
            </w:r>
          </w:p>
        </w:tc>
        <w:tc>
          <w:tcPr>
            <w:tcW w:w="1006" w:type="pct"/>
            <w:gridSpan w:val="2"/>
            <w:shd w:val="clear" w:color="auto" w:fill="auto"/>
            <w:vAlign w:val="center"/>
          </w:tcPr>
          <w:p w:rsidR="00106E2F" w:rsidRPr="00A8793B" w:rsidRDefault="00851836" w:rsidP="00106E2F">
            <w:pPr>
              <w:keepNext/>
              <w:jc w:val="center"/>
              <w:rPr>
                <w:b/>
                <w:iCs/>
                <w:sz w:val="20"/>
              </w:rPr>
            </w:pPr>
            <w:r w:rsidRPr="00A8793B">
              <w:rPr>
                <w:b/>
                <w:iCs/>
                <w:sz w:val="20"/>
              </w:rPr>
              <w:t>Παιδιά ηλικίας 4 ετών και άνω</w:t>
            </w:r>
          </w:p>
          <w:p w:rsidR="00BB5083" w:rsidRPr="00A8793B" w:rsidRDefault="00851836" w:rsidP="00106E2F">
            <w:pPr>
              <w:keepNext/>
              <w:jc w:val="center"/>
              <w:rPr>
                <w:b/>
                <w:iCs/>
                <w:sz w:val="20"/>
              </w:rPr>
            </w:pPr>
            <w:r w:rsidRPr="00A8793B">
              <w:rPr>
                <w:b/>
                <w:iCs/>
                <w:sz w:val="20"/>
              </w:rPr>
              <w:t xml:space="preserve"> (% εμβολιασθέντων)</w:t>
            </w:r>
          </w:p>
        </w:tc>
      </w:tr>
      <w:tr w:rsidR="00BB5083" w:rsidRPr="00794F08" w:rsidTr="00A8793B">
        <w:trPr>
          <w:trHeight w:val="152"/>
        </w:trPr>
        <w:tc>
          <w:tcPr>
            <w:tcW w:w="715" w:type="pct"/>
            <w:vMerge/>
            <w:tcBorders>
              <w:bottom w:val="nil"/>
            </w:tcBorders>
          </w:tcPr>
          <w:p w:rsidR="00BB5083" w:rsidRPr="00A8793B" w:rsidRDefault="00BB5083" w:rsidP="00BB5083">
            <w:pPr>
              <w:keepNext/>
              <w:jc w:val="both"/>
              <w:rPr>
                <w:b/>
                <w:iCs/>
                <w:sz w:val="20"/>
              </w:rPr>
            </w:pPr>
          </w:p>
        </w:tc>
        <w:tc>
          <w:tcPr>
            <w:tcW w:w="642" w:type="pct"/>
            <w:vMerge/>
            <w:tcBorders>
              <w:bottom w:val="nil"/>
            </w:tcBorders>
          </w:tcPr>
          <w:p w:rsidR="00BB5083" w:rsidRPr="00A8793B" w:rsidRDefault="00BB5083" w:rsidP="00BB5083">
            <w:pPr>
              <w:keepNext/>
              <w:jc w:val="both"/>
              <w:rPr>
                <w:b/>
                <w:iCs/>
                <w:sz w:val="20"/>
              </w:rPr>
            </w:pPr>
          </w:p>
        </w:tc>
        <w:tc>
          <w:tcPr>
            <w:tcW w:w="1033" w:type="pct"/>
            <w:gridSpan w:val="2"/>
            <w:tcBorders>
              <w:bottom w:val="nil"/>
            </w:tcBorders>
            <w:vAlign w:val="center"/>
          </w:tcPr>
          <w:p w:rsidR="00BB5083" w:rsidRPr="00A8793B" w:rsidRDefault="00851836" w:rsidP="00106E2F">
            <w:pPr>
              <w:keepNext/>
              <w:jc w:val="center"/>
              <w:rPr>
                <w:bCs/>
                <w:iCs/>
                <w:sz w:val="20"/>
              </w:rPr>
            </w:pPr>
            <w:r w:rsidRPr="00A8793B">
              <w:rPr>
                <w:bCs/>
                <w:iCs/>
                <w:sz w:val="20"/>
              </w:rPr>
              <w:t>διατήρηση 3-3.5 έτη</w:t>
            </w:r>
          </w:p>
        </w:tc>
        <w:tc>
          <w:tcPr>
            <w:tcW w:w="824" w:type="pct"/>
            <w:gridSpan w:val="2"/>
            <w:tcBorders>
              <w:bottom w:val="nil"/>
            </w:tcBorders>
            <w:vAlign w:val="center"/>
          </w:tcPr>
          <w:p w:rsidR="00BB5083" w:rsidRPr="00A8793B" w:rsidRDefault="00851836" w:rsidP="00106E2F">
            <w:pPr>
              <w:keepNext/>
              <w:jc w:val="center"/>
              <w:rPr>
                <w:bCs/>
                <w:iCs/>
                <w:sz w:val="20"/>
              </w:rPr>
            </w:pPr>
            <w:r w:rsidRPr="00A8793B">
              <w:rPr>
                <w:bCs/>
                <w:iCs/>
                <w:sz w:val="20"/>
              </w:rPr>
              <w:t>διατήρηση 5 έτη</w:t>
            </w:r>
          </w:p>
        </w:tc>
        <w:tc>
          <w:tcPr>
            <w:tcW w:w="779" w:type="pct"/>
            <w:gridSpan w:val="2"/>
            <w:tcBorders>
              <w:bottom w:val="nil"/>
            </w:tcBorders>
            <w:vAlign w:val="center"/>
          </w:tcPr>
          <w:p w:rsidR="00BB5083" w:rsidRPr="00A8793B" w:rsidRDefault="00851836" w:rsidP="00106E2F">
            <w:pPr>
              <w:keepNext/>
              <w:jc w:val="center"/>
              <w:rPr>
                <w:bCs/>
                <w:iCs/>
                <w:sz w:val="20"/>
              </w:rPr>
            </w:pPr>
            <w:r w:rsidRPr="00A8793B">
              <w:rPr>
                <w:bCs/>
                <w:iCs/>
                <w:sz w:val="20"/>
              </w:rPr>
              <w:t>διατήρηση 10 έτη</w:t>
            </w:r>
          </w:p>
        </w:tc>
        <w:tc>
          <w:tcPr>
            <w:tcW w:w="502" w:type="pct"/>
            <w:tcBorders>
              <w:bottom w:val="nil"/>
            </w:tcBorders>
            <w:vAlign w:val="center"/>
          </w:tcPr>
          <w:p w:rsidR="00BB5083" w:rsidRPr="00A8793B" w:rsidRDefault="00851836" w:rsidP="00BB5083">
            <w:pPr>
              <w:keepNext/>
              <w:jc w:val="center"/>
              <w:rPr>
                <w:bCs/>
                <w:iCs/>
                <w:sz w:val="20"/>
              </w:rPr>
            </w:pPr>
            <w:r w:rsidRPr="00A8793B">
              <w:rPr>
                <w:bCs/>
                <w:iCs/>
                <w:sz w:val="20"/>
              </w:rPr>
              <w:t>διατήρηση 3-3.5 έτη</w:t>
            </w:r>
          </w:p>
        </w:tc>
        <w:tc>
          <w:tcPr>
            <w:tcW w:w="504" w:type="pct"/>
            <w:tcBorders>
              <w:bottom w:val="nil"/>
            </w:tcBorders>
            <w:vAlign w:val="center"/>
          </w:tcPr>
          <w:p w:rsidR="00BB5083" w:rsidRPr="00A8793B" w:rsidRDefault="00851836" w:rsidP="00BB5083">
            <w:pPr>
              <w:keepNext/>
              <w:jc w:val="center"/>
              <w:rPr>
                <w:bCs/>
                <w:iCs/>
                <w:sz w:val="20"/>
              </w:rPr>
            </w:pPr>
            <w:r w:rsidRPr="00A8793B">
              <w:rPr>
                <w:bCs/>
                <w:iCs/>
                <w:sz w:val="20"/>
              </w:rPr>
              <w:t>διατήρηση 5 έως 6 έτη</w:t>
            </w:r>
          </w:p>
        </w:tc>
      </w:tr>
      <w:tr w:rsidR="00BB5083" w:rsidRPr="00794F08" w:rsidTr="00A8793B">
        <w:trPr>
          <w:trHeight w:val="290"/>
        </w:trPr>
        <w:tc>
          <w:tcPr>
            <w:tcW w:w="715" w:type="pct"/>
            <w:tcBorders>
              <w:bottom w:val="nil"/>
            </w:tcBorders>
          </w:tcPr>
          <w:p w:rsidR="00BB5083" w:rsidRPr="00A8793B" w:rsidRDefault="00BB5083" w:rsidP="00BB5083">
            <w:pPr>
              <w:keepNext/>
              <w:jc w:val="both"/>
              <w:rPr>
                <w:b/>
                <w:iCs/>
                <w:sz w:val="20"/>
              </w:rPr>
            </w:pPr>
          </w:p>
        </w:tc>
        <w:tc>
          <w:tcPr>
            <w:tcW w:w="642" w:type="pct"/>
            <w:tcBorders>
              <w:bottom w:val="nil"/>
            </w:tcBorders>
          </w:tcPr>
          <w:p w:rsidR="00BB5083" w:rsidRPr="00A8793B" w:rsidRDefault="00BB5083" w:rsidP="00BB5083">
            <w:pPr>
              <w:keepNext/>
              <w:jc w:val="both"/>
              <w:rPr>
                <w:b/>
                <w:iCs/>
                <w:sz w:val="20"/>
              </w:rPr>
            </w:pPr>
          </w:p>
        </w:tc>
        <w:tc>
          <w:tcPr>
            <w:tcW w:w="549" w:type="pct"/>
            <w:tcBorders>
              <w:bottom w:val="nil"/>
              <w:right w:val="dashed" w:sz="4" w:space="0" w:color="auto"/>
            </w:tcBorders>
            <w:vAlign w:val="center"/>
          </w:tcPr>
          <w:p w:rsidR="00BB5083" w:rsidRPr="00A8793B" w:rsidRDefault="00851836" w:rsidP="00BB5083">
            <w:pPr>
              <w:keepNext/>
              <w:spacing w:after="120"/>
              <w:jc w:val="center"/>
              <w:rPr>
                <w:iCs/>
                <w:sz w:val="20"/>
              </w:rPr>
            </w:pPr>
            <w:r w:rsidRPr="00A8793B">
              <w:rPr>
                <w:iCs/>
                <w:sz w:val="20"/>
              </w:rPr>
              <w:t>Ενήλικας</w:t>
            </w:r>
            <w:r w:rsidRPr="00A8793B">
              <w:rPr>
                <w:iCs/>
                <w:sz w:val="20"/>
                <w:vertAlign w:val="superscript"/>
              </w:rPr>
              <w:t>(3)</w:t>
            </w:r>
          </w:p>
          <w:p w:rsidR="00BB5083" w:rsidRPr="00A8793B" w:rsidRDefault="00851836" w:rsidP="00BB5083">
            <w:pPr>
              <w:keepNext/>
              <w:jc w:val="center"/>
              <w:rPr>
                <w:iCs/>
                <w:sz w:val="20"/>
              </w:rPr>
            </w:pPr>
            <w:r w:rsidRPr="00A8793B">
              <w:rPr>
                <w:iCs/>
                <w:sz w:val="20"/>
              </w:rPr>
              <w:t>(N=309)</w:t>
            </w:r>
          </w:p>
        </w:tc>
        <w:tc>
          <w:tcPr>
            <w:tcW w:w="484" w:type="pct"/>
            <w:tcBorders>
              <w:left w:val="dashed" w:sz="4" w:space="0" w:color="auto"/>
              <w:bottom w:val="nil"/>
            </w:tcBorders>
            <w:vAlign w:val="center"/>
          </w:tcPr>
          <w:p w:rsidR="00BB5083" w:rsidRPr="00A8793B" w:rsidRDefault="00851836" w:rsidP="00BB5083">
            <w:pPr>
              <w:keepNext/>
              <w:jc w:val="center"/>
              <w:rPr>
                <w:iCs/>
                <w:sz w:val="20"/>
                <w:vertAlign w:val="superscript"/>
              </w:rPr>
            </w:pPr>
            <w:r w:rsidRPr="00A8793B">
              <w:rPr>
                <w:iCs/>
                <w:sz w:val="20"/>
              </w:rPr>
              <w:t>Έφηβος</w:t>
            </w:r>
            <w:r w:rsidRPr="00A8793B">
              <w:rPr>
                <w:iCs/>
                <w:sz w:val="20"/>
                <w:vertAlign w:val="superscript"/>
              </w:rPr>
              <w:t>(3)</w:t>
            </w:r>
          </w:p>
          <w:p w:rsidR="00BB5083" w:rsidRPr="00A8793B" w:rsidRDefault="00851836" w:rsidP="00BB5083">
            <w:pPr>
              <w:keepNext/>
              <w:jc w:val="center"/>
              <w:rPr>
                <w:iCs/>
                <w:sz w:val="20"/>
              </w:rPr>
            </w:pPr>
            <w:r w:rsidRPr="00A8793B">
              <w:rPr>
                <w:iCs/>
                <w:sz w:val="20"/>
              </w:rPr>
              <w:t>(N=261)</w:t>
            </w:r>
          </w:p>
        </w:tc>
        <w:tc>
          <w:tcPr>
            <w:tcW w:w="412" w:type="pct"/>
            <w:tcBorders>
              <w:bottom w:val="nil"/>
              <w:right w:val="dashed" w:sz="4" w:space="0" w:color="auto"/>
            </w:tcBorders>
            <w:vAlign w:val="center"/>
          </w:tcPr>
          <w:p w:rsidR="00BB5083" w:rsidRPr="00A8793B" w:rsidRDefault="00851836" w:rsidP="00BB5083">
            <w:pPr>
              <w:keepNext/>
              <w:spacing w:after="120"/>
              <w:jc w:val="center"/>
              <w:rPr>
                <w:iCs/>
                <w:sz w:val="20"/>
              </w:rPr>
            </w:pPr>
            <w:r w:rsidRPr="00A8793B">
              <w:rPr>
                <w:iCs/>
                <w:sz w:val="20"/>
              </w:rPr>
              <w:t>Ενήλικας</w:t>
            </w:r>
            <w:r w:rsidRPr="00A8793B">
              <w:rPr>
                <w:iCs/>
                <w:sz w:val="20"/>
                <w:vertAlign w:val="superscript"/>
              </w:rPr>
              <w:t xml:space="preserve"> (3)</w:t>
            </w:r>
            <w:r w:rsidRPr="00A8793B">
              <w:rPr>
                <w:iCs/>
                <w:sz w:val="20"/>
              </w:rPr>
              <w:t xml:space="preserve"> </w:t>
            </w:r>
          </w:p>
          <w:p w:rsidR="00BB5083" w:rsidRPr="00A8793B" w:rsidRDefault="00851836" w:rsidP="00BB5083">
            <w:pPr>
              <w:keepNext/>
              <w:jc w:val="center"/>
              <w:rPr>
                <w:iCs/>
                <w:sz w:val="20"/>
              </w:rPr>
            </w:pPr>
            <w:r w:rsidRPr="00A8793B">
              <w:rPr>
                <w:iCs/>
                <w:sz w:val="20"/>
              </w:rPr>
              <w:t>(N=232)</w:t>
            </w:r>
          </w:p>
        </w:tc>
        <w:tc>
          <w:tcPr>
            <w:tcW w:w="412" w:type="pct"/>
            <w:tcBorders>
              <w:left w:val="dashed" w:sz="4" w:space="0" w:color="auto"/>
              <w:bottom w:val="nil"/>
            </w:tcBorders>
            <w:vAlign w:val="center"/>
          </w:tcPr>
          <w:p w:rsidR="00BB5083" w:rsidRPr="00A8793B" w:rsidRDefault="00851836" w:rsidP="00BB5083">
            <w:pPr>
              <w:keepNext/>
              <w:jc w:val="center"/>
              <w:rPr>
                <w:iCs/>
                <w:sz w:val="20"/>
              </w:rPr>
            </w:pPr>
            <w:r w:rsidRPr="00A8793B">
              <w:rPr>
                <w:iCs/>
                <w:sz w:val="20"/>
              </w:rPr>
              <w:t>Έφηβος</w:t>
            </w:r>
            <w:r w:rsidRPr="00A8793B">
              <w:rPr>
                <w:iCs/>
                <w:sz w:val="20"/>
                <w:vertAlign w:val="superscript"/>
              </w:rPr>
              <w:t xml:space="preserve"> (3)</w:t>
            </w:r>
            <w:r w:rsidRPr="00A8793B">
              <w:rPr>
                <w:iCs/>
                <w:sz w:val="20"/>
              </w:rPr>
              <w:t xml:space="preserve"> (N=250)</w:t>
            </w:r>
          </w:p>
        </w:tc>
        <w:tc>
          <w:tcPr>
            <w:tcW w:w="412" w:type="pct"/>
            <w:tcBorders>
              <w:bottom w:val="nil"/>
              <w:right w:val="dashed" w:sz="4" w:space="0" w:color="auto"/>
            </w:tcBorders>
            <w:vAlign w:val="center"/>
          </w:tcPr>
          <w:p w:rsidR="00BB5083" w:rsidRPr="00A8793B" w:rsidRDefault="00851836" w:rsidP="00BB5083">
            <w:pPr>
              <w:keepNext/>
              <w:jc w:val="center"/>
              <w:rPr>
                <w:iCs/>
                <w:sz w:val="20"/>
              </w:rPr>
            </w:pPr>
            <w:r w:rsidRPr="00A8793B">
              <w:rPr>
                <w:iCs/>
                <w:sz w:val="20"/>
              </w:rPr>
              <w:t>Ενήλικας</w:t>
            </w:r>
            <w:r w:rsidRPr="00A8793B">
              <w:rPr>
                <w:iCs/>
                <w:sz w:val="20"/>
                <w:vertAlign w:val="superscript"/>
              </w:rPr>
              <w:t xml:space="preserve"> (3)</w:t>
            </w:r>
            <w:r w:rsidRPr="00A8793B">
              <w:rPr>
                <w:iCs/>
                <w:sz w:val="20"/>
              </w:rPr>
              <w:t xml:space="preserve"> </w:t>
            </w:r>
          </w:p>
          <w:p w:rsidR="00BB5083" w:rsidRPr="00A8793B" w:rsidRDefault="00851836" w:rsidP="00BB5083">
            <w:pPr>
              <w:keepNext/>
              <w:spacing w:before="120"/>
              <w:jc w:val="center"/>
              <w:rPr>
                <w:iCs/>
                <w:sz w:val="20"/>
                <w:vertAlign w:val="superscript"/>
              </w:rPr>
            </w:pPr>
            <w:r w:rsidRPr="00A8793B">
              <w:rPr>
                <w:iCs/>
                <w:sz w:val="20"/>
              </w:rPr>
              <w:t>(N=158)</w:t>
            </w:r>
          </w:p>
        </w:tc>
        <w:tc>
          <w:tcPr>
            <w:tcW w:w="367" w:type="pct"/>
            <w:tcBorders>
              <w:left w:val="dashed" w:sz="4" w:space="0" w:color="auto"/>
              <w:bottom w:val="nil"/>
            </w:tcBorders>
            <w:vAlign w:val="center"/>
          </w:tcPr>
          <w:p w:rsidR="00BB5083" w:rsidRPr="00A8793B" w:rsidRDefault="00851836" w:rsidP="00BB5083">
            <w:pPr>
              <w:keepNext/>
              <w:jc w:val="center"/>
              <w:rPr>
                <w:iCs/>
                <w:sz w:val="20"/>
              </w:rPr>
            </w:pPr>
            <w:r w:rsidRPr="00A8793B">
              <w:rPr>
                <w:iCs/>
                <w:sz w:val="20"/>
              </w:rPr>
              <w:t>Έφηβος</w:t>
            </w:r>
            <w:r w:rsidRPr="00A8793B">
              <w:rPr>
                <w:iCs/>
                <w:sz w:val="20"/>
                <w:vertAlign w:val="superscript"/>
              </w:rPr>
              <w:t xml:space="preserve"> (3)</w:t>
            </w:r>
            <w:r w:rsidRPr="00A8793B">
              <w:rPr>
                <w:iCs/>
                <w:sz w:val="20"/>
              </w:rPr>
              <w:t xml:space="preserve"> (N=74)</w:t>
            </w:r>
          </w:p>
        </w:tc>
        <w:tc>
          <w:tcPr>
            <w:tcW w:w="502" w:type="pct"/>
            <w:tcBorders>
              <w:bottom w:val="nil"/>
            </w:tcBorders>
            <w:vAlign w:val="center"/>
          </w:tcPr>
          <w:p w:rsidR="00BB5083" w:rsidRPr="00A8793B" w:rsidRDefault="00851836" w:rsidP="00BB5083">
            <w:pPr>
              <w:keepNext/>
              <w:jc w:val="center"/>
              <w:rPr>
                <w:b/>
                <w:iCs/>
                <w:sz w:val="20"/>
              </w:rPr>
            </w:pPr>
            <w:r w:rsidRPr="00A8793B">
              <w:rPr>
                <w:iCs/>
                <w:sz w:val="20"/>
              </w:rPr>
              <w:t>(N=118)</w:t>
            </w:r>
          </w:p>
        </w:tc>
        <w:tc>
          <w:tcPr>
            <w:tcW w:w="504" w:type="pct"/>
            <w:tcBorders>
              <w:bottom w:val="nil"/>
            </w:tcBorders>
            <w:vAlign w:val="center"/>
          </w:tcPr>
          <w:p w:rsidR="00BB5083" w:rsidRPr="00A8793B" w:rsidRDefault="00851836" w:rsidP="00BB5083">
            <w:pPr>
              <w:keepNext/>
              <w:jc w:val="center"/>
              <w:rPr>
                <w:b/>
                <w:iCs/>
                <w:sz w:val="20"/>
              </w:rPr>
            </w:pPr>
            <w:r w:rsidRPr="00A8793B">
              <w:rPr>
                <w:iCs/>
                <w:sz w:val="20"/>
              </w:rPr>
              <w:t>(N=68)</w:t>
            </w:r>
          </w:p>
        </w:tc>
      </w:tr>
      <w:tr w:rsidR="00BB5083" w:rsidRPr="00794F08" w:rsidTr="00A8793B">
        <w:trPr>
          <w:trHeight w:val="290"/>
        </w:trPr>
        <w:tc>
          <w:tcPr>
            <w:tcW w:w="715" w:type="pct"/>
            <w:tcBorders>
              <w:bottom w:val="nil"/>
            </w:tcBorders>
          </w:tcPr>
          <w:p w:rsidR="00BB5083" w:rsidRPr="00A8793B" w:rsidRDefault="00851836" w:rsidP="00BB5083">
            <w:pPr>
              <w:keepNext/>
              <w:jc w:val="both"/>
              <w:rPr>
                <w:iCs/>
                <w:sz w:val="20"/>
              </w:rPr>
            </w:pPr>
            <w:r w:rsidRPr="00A8793B">
              <w:rPr>
                <w:iCs/>
                <w:sz w:val="20"/>
              </w:rPr>
              <w:t>Διφθερίτιδας</w:t>
            </w:r>
          </w:p>
        </w:tc>
        <w:tc>
          <w:tcPr>
            <w:tcW w:w="642" w:type="pct"/>
            <w:tcBorders>
              <w:bottom w:val="nil"/>
            </w:tcBorders>
          </w:tcPr>
          <w:p w:rsidR="00BB5083" w:rsidRPr="00A8793B" w:rsidRDefault="00851836" w:rsidP="00BB5083">
            <w:pPr>
              <w:keepNext/>
              <w:jc w:val="both"/>
              <w:rPr>
                <w:iCs/>
                <w:sz w:val="20"/>
              </w:rPr>
            </w:pPr>
            <w:r w:rsidRPr="00A8793B">
              <w:rPr>
                <w:iCs/>
                <w:sz w:val="20"/>
              </w:rPr>
              <w:sym w:font="Symbol" w:char="F0B3"/>
            </w:r>
            <w:r w:rsidRPr="00A8793B">
              <w:rPr>
                <w:iCs/>
                <w:sz w:val="20"/>
              </w:rPr>
              <w:t xml:space="preserve"> 0.1 IU/ml</w:t>
            </w:r>
          </w:p>
        </w:tc>
        <w:tc>
          <w:tcPr>
            <w:tcW w:w="549" w:type="pct"/>
            <w:tcBorders>
              <w:bottom w:val="nil"/>
              <w:right w:val="dashed" w:sz="4" w:space="0" w:color="auto"/>
            </w:tcBorders>
            <w:vAlign w:val="center"/>
          </w:tcPr>
          <w:p w:rsidR="00BB5083" w:rsidRPr="00A8793B" w:rsidRDefault="00851836" w:rsidP="00BB5083">
            <w:pPr>
              <w:keepNext/>
              <w:jc w:val="center"/>
              <w:rPr>
                <w:iCs/>
                <w:sz w:val="20"/>
              </w:rPr>
            </w:pPr>
            <w:r w:rsidRPr="00A8793B">
              <w:rPr>
                <w:iCs/>
                <w:sz w:val="20"/>
              </w:rPr>
              <w:t>71.2%</w:t>
            </w:r>
          </w:p>
        </w:tc>
        <w:tc>
          <w:tcPr>
            <w:tcW w:w="484" w:type="pct"/>
            <w:tcBorders>
              <w:left w:val="dashed" w:sz="4" w:space="0" w:color="auto"/>
              <w:bottom w:val="nil"/>
            </w:tcBorders>
            <w:vAlign w:val="center"/>
          </w:tcPr>
          <w:p w:rsidR="00BB5083" w:rsidRPr="00A8793B" w:rsidRDefault="00851836" w:rsidP="00BB5083">
            <w:pPr>
              <w:keepNext/>
              <w:jc w:val="center"/>
              <w:rPr>
                <w:iCs/>
                <w:sz w:val="20"/>
              </w:rPr>
            </w:pPr>
            <w:r w:rsidRPr="00A8793B">
              <w:rPr>
                <w:iCs/>
                <w:sz w:val="20"/>
              </w:rPr>
              <w:t>91.6%</w:t>
            </w:r>
          </w:p>
        </w:tc>
        <w:tc>
          <w:tcPr>
            <w:tcW w:w="412" w:type="pct"/>
            <w:tcBorders>
              <w:bottom w:val="nil"/>
              <w:right w:val="dashed" w:sz="4" w:space="0" w:color="auto"/>
            </w:tcBorders>
            <w:vAlign w:val="center"/>
          </w:tcPr>
          <w:p w:rsidR="00BB5083" w:rsidRPr="00A8793B" w:rsidRDefault="00851836" w:rsidP="00BB5083">
            <w:pPr>
              <w:keepNext/>
              <w:jc w:val="center"/>
              <w:rPr>
                <w:iCs/>
                <w:sz w:val="20"/>
              </w:rPr>
            </w:pPr>
            <w:r w:rsidRPr="00A8793B">
              <w:rPr>
                <w:iCs/>
                <w:sz w:val="20"/>
              </w:rPr>
              <w:t>84.1%</w:t>
            </w:r>
          </w:p>
        </w:tc>
        <w:tc>
          <w:tcPr>
            <w:tcW w:w="412" w:type="pct"/>
            <w:tcBorders>
              <w:left w:val="dashed" w:sz="4" w:space="0" w:color="auto"/>
              <w:bottom w:val="nil"/>
            </w:tcBorders>
            <w:vAlign w:val="center"/>
          </w:tcPr>
          <w:p w:rsidR="00BB5083" w:rsidRPr="00A8793B" w:rsidRDefault="00851836" w:rsidP="00BB5083">
            <w:pPr>
              <w:keepNext/>
              <w:jc w:val="center"/>
              <w:rPr>
                <w:iCs/>
                <w:sz w:val="20"/>
              </w:rPr>
            </w:pPr>
            <w:r w:rsidRPr="00A8793B">
              <w:rPr>
                <w:iCs/>
                <w:sz w:val="20"/>
              </w:rPr>
              <w:t>86.8%</w:t>
            </w:r>
          </w:p>
        </w:tc>
        <w:tc>
          <w:tcPr>
            <w:tcW w:w="412" w:type="pct"/>
            <w:tcBorders>
              <w:bottom w:val="nil"/>
              <w:right w:val="dashed" w:sz="4" w:space="0" w:color="auto"/>
            </w:tcBorders>
            <w:vAlign w:val="center"/>
          </w:tcPr>
          <w:p w:rsidR="00BB5083" w:rsidRPr="00A8793B" w:rsidRDefault="00851836" w:rsidP="00BB5083">
            <w:pPr>
              <w:keepNext/>
              <w:jc w:val="center"/>
              <w:rPr>
                <w:iCs/>
                <w:sz w:val="20"/>
              </w:rPr>
            </w:pPr>
            <w:r w:rsidRPr="00A8793B">
              <w:rPr>
                <w:iCs/>
                <w:sz w:val="20"/>
              </w:rPr>
              <w:t>64.6%</w:t>
            </w:r>
          </w:p>
        </w:tc>
        <w:tc>
          <w:tcPr>
            <w:tcW w:w="367" w:type="pct"/>
            <w:tcBorders>
              <w:left w:val="dashed" w:sz="4" w:space="0" w:color="auto"/>
              <w:bottom w:val="nil"/>
            </w:tcBorders>
            <w:vAlign w:val="center"/>
          </w:tcPr>
          <w:p w:rsidR="00BB5083" w:rsidRPr="00A8793B" w:rsidRDefault="00851836" w:rsidP="00BB5083">
            <w:pPr>
              <w:keepNext/>
              <w:jc w:val="center"/>
              <w:rPr>
                <w:iCs/>
                <w:sz w:val="20"/>
              </w:rPr>
            </w:pPr>
            <w:r w:rsidRPr="00A8793B">
              <w:rPr>
                <w:iCs/>
                <w:sz w:val="20"/>
              </w:rPr>
              <w:t>82.4%</w:t>
            </w:r>
          </w:p>
        </w:tc>
        <w:tc>
          <w:tcPr>
            <w:tcW w:w="502" w:type="pct"/>
            <w:tcBorders>
              <w:bottom w:val="nil"/>
            </w:tcBorders>
            <w:vAlign w:val="center"/>
          </w:tcPr>
          <w:p w:rsidR="00BB5083" w:rsidRPr="00A8793B" w:rsidRDefault="00851836" w:rsidP="00BB5083">
            <w:pPr>
              <w:keepNext/>
              <w:jc w:val="center"/>
              <w:rPr>
                <w:iCs/>
                <w:sz w:val="20"/>
              </w:rPr>
            </w:pPr>
            <w:r w:rsidRPr="00A8793B">
              <w:rPr>
                <w:iCs/>
                <w:sz w:val="20"/>
              </w:rPr>
              <w:t>97.5 %</w:t>
            </w:r>
          </w:p>
        </w:tc>
        <w:tc>
          <w:tcPr>
            <w:tcW w:w="504" w:type="pct"/>
            <w:tcBorders>
              <w:bottom w:val="nil"/>
            </w:tcBorders>
            <w:vAlign w:val="center"/>
          </w:tcPr>
          <w:p w:rsidR="00BB5083" w:rsidRPr="00A8793B" w:rsidRDefault="00851836" w:rsidP="00BB5083">
            <w:pPr>
              <w:keepNext/>
              <w:jc w:val="center"/>
              <w:rPr>
                <w:iCs/>
                <w:sz w:val="20"/>
              </w:rPr>
            </w:pPr>
            <w:r w:rsidRPr="00A8793B">
              <w:rPr>
                <w:iCs/>
                <w:sz w:val="20"/>
              </w:rPr>
              <w:t>94.2 %</w:t>
            </w:r>
          </w:p>
        </w:tc>
      </w:tr>
      <w:tr w:rsidR="00BB5083" w:rsidRPr="00794F08" w:rsidTr="00A8793B">
        <w:trPr>
          <w:trHeight w:val="475"/>
        </w:trPr>
        <w:tc>
          <w:tcPr>
            <w:tcW w:w="715" w:type="pct"/>
            <w:tcBorders>
              <w:top w:val="nil"/>
            </w:tcBorders>
          </w:tcPr>
          <w:p w:rsidR="00BB5083" w:rsidRPr="00A8793B" w:rsidRDefault="00BB5083" w:rsidP="00BB5083">
            <w:pPr>
              <w:keepNext/>
              <w:jc w:val="both"/>
              <w:rPr>
                <w:b/>
                <w:iCs/>
                <w:sz w:val="20"/>
              </w:rPr>
            </w:pPr>
          </w:p>
        </w:tc>
        <w:tc>
          <w:tcPr>
            <w:tcW w:w="642" w:type="pct"/>
            <w:tcBorders>
              <w:top w:val="dashed" w:sz="4" w:space="0" w:color="auto"/>
            </w:tcBorders>
            <w:vAlign w:val="center"/>
          </w:tcPr>
          <w:p w:rsidR="00BB5083" w:rsidRPr="00A8793B" w:rsidRDefault="00851836" w:rsidP="00BB5083">
            <w:pPr>
              <w:keepNext/>
              <w:tabs>
                <w:tab w:val="clear" w:pos="567"/>
                <w:tab w:val="left" w:pos="-107"/>
              </w:tabs>
              <w:ind w:right="-64"/>
              <w:rPr>
                <w:iCs/>
                <w:sz w:val="20"/>
              </w:rPr>
            </w:pPr>
            <w:r w:rsidRPr="00A8793B">
              <w:rPr>
                <w:iCs/>
                <w:sz w:val="20"/>
              </w:rPr>
              <w:sym w:font="Symbol" w:char="F0B3"/>
            </w:r>
            <w:r w:rsidRPr="00A8793B">
              <w:rPr>
                <w:iCs/>
                <w:sz w:val="20"/>
              </w:rPr>
              <w:t xml:space="preserve"> 0.016 IU/ml</w:t>
            </w:r>
            <w:r w:rsidRPr="00A8793B">
              <w:rPr>
                <w:iCs/>
                <w:sz w:val="20"/>
                <w:vertAlign w:val="superscript"/>
              </w:rPr>
              <w:t>(4)</w:t>
            </w:r>
          </w:p>
        </w:tc>
        <w:tc>
          <w:tcPr>
            <w:tcW w:w="549" w:type="pct"/>
            <w:tcBorders>
              <w:top w:val="dashed" w:sz="4" w:space="0" w:color="auto"/>
              <w:right w:val="dashed" w:sz="4" w:space="0" w:color="auto"/>
            </w:tcBorders>
            <w:vAlign w:val="center"/>
          </w:tcPr>
          <w:p w:rsidR="00BB5083" w:rsidRPr="00A8793B" w:rsidRDefault="00851836" w:rsidP="00BB5083">
            <w:pPr>
              <w:keepNext/>
              <w:jc w:val="center"/>
              <w:rPr>
                <w:iCs/>
                <w:sz w:val="20"/>
              </w:rPr>
            </w:pPr>
            <w:r w:rsidRPr="00A8793B">
              <w:rPr>
                <w:iCs/>
                <w:sz w:val="20"/>
              </w:rPr>
              <w:t>97.4%</w:t>
            </w:r>
          </w:p>
        </w:tc>
        <w:tc>
          <w:tcPr>
            <w:tcW w:w="484" w:type="pct"/>
            <w:tcBorders>
              <w:top w:val="dashed" w:sz="4" w:space="0" w:color="auto"/>
              <w:left w:val="dashed" w:sz="4" w:space="0" w:color="auto"/>
            </w:tcBorders>
            <w:vAlign w:val="center"/>
          </w:tcPr>
          <w:p w:rsidR="00BB5083" w:rsidRPr="00A8793B" w:rsidRDefault="00851836" w:rsidP="00BB5083">
            <w:pPr>
              <w:keepNext/>
              <w:jc w:val="center"/>
              <w:rPr>
                <w:iCs/>
                <w:sz w:val="20"/>
              </w:rPr>
            </w:pPr>
            <w:r w:rsidRPr="00A8793B">
              <w:rPr>
                <w:iCs/>
                <w:sz w:val="20"/>
              </w:rPr>
              <w:t>100%</w:t>
            </w:r>
          </w:p>
        </w:tc>
        <w:tc>
          <w:tcPr>
            <w:tcW w:w="412" w:type="pct"/>
            <w:tcBorders>
              <w:top w:val="dashed" w:sz="4" w:space="0" w:color="auto"/>
              <w:right w:val="dashed" w:sz="4" w:space="0" w:color="auto"/>
            </w:tcBorders>
            <w:vAlign w:val="center"/>
          </w:tcPr>
          <w:p w:rsidR="00BB5083" w:rsidRPr="00A8793B" w:rsidRDefault="00851836" w:rsidP="00BB5083">
            <w:pPr>
              <w:keepNext/>
              <w:jc w:val="center"/>
              <w:rPr>
                <w:iCs/>
                <w:sz w:val="20"/>
              </w:rPr>
            </w:pPr>
            <w:r w:rsidRPr="00A8793B">
              <w:rPr>
                <w:iCs/>
                <w:sz w:val="20"/>
              </w:rPr>
              <w:t>94.4%</w:t>
            </w:r>
          </w:p>
        </w:tc>
        <w:tc>
          <w:tcPr>
            <w:tcW w:w="412" w:type="pct"/>
            <w:tcBorders>
              <w:top w:val="dashed" w:sz="4" w:space="0" w:color="auto"/>
              <w:left w:val="dashed" w:sz="4" w:space="0" w:color="auto"/>
            </w:tcBorders>
            <w:vAlign w:val="center"/>
          </w:tcPr>
          <w:p w:rsidR="00BB5083" w:rsidRPr="00A8793B" w:rsidRDefault="00851836" w:rsidP="00BB5083">
            <w:pPr>
              <w:keepNext/>
              <w:jc w:val="center"/>
              <w:rPr>
                <w:iCs/>
                <w:sz w:val="20"/>
              </w:rPr>
            </w:pPr>
            <w:r w:rsidRPr="00A8793B">
              <w:rPr>
                <w:iCs/>
                <w:sz w:val="20"/>
              </w:rPr>
              <w:t>99.2%</w:t>
            </w:r>
          </w:p>
        </w:tc>
        <w:tc>
          <w:tcPr>
            <w:tcW w:w="412" w:type="pct"/>
            <w:tcBorders>
              <w:top w:val="dashed" w:sz="4" w:space="0" w:color="auto"/>
              <w:right w:val="dashed" w:sz="4" w:space="0" w:color="auto"/>
            </w:tcBorders>
            <w:vAlign w:val="center"/>
          </w:tcPr>
          <w:p w:rsidR="00BB5083" w:rsidRPr="00A8793B" w:rsidRDefault="00851836" w:rsidP="00BB5083">
            <w:pPr>
              <w:keepNext/>
              <w:jc w:val="center"/>
              <w:rPr>
                <w:iCs/>
                <w:sz w:val="20"/>
              </w:rPr>
            </w:pPr>
            <w:r w:rsidRPr="00A8793B">
              <w:rPr>
                <w:iCs/>
                <w:sz w:val="20"/>
              </w:rPr>
              <w:t>89.9%</w:t>
            </w:r>
          </w:p>
        </w:tc>
        <w:tc>
          <w:tcPr>
            <w:tcW w:w="367" w:type="pct"/>
            <w:tcBorders>
              <w:top w:val="dashed" w:sz="4" w:space="0" w:color="auto"/>
              <w:left w:val="dashed" w:sz="4" w:space="0" w:color="auto"/>
            </w:tcBorders>
            <w:vAlign w:val="center"/>
          </w:tcPr>
          <w:p w:rsidR="00BB5083" w:rsidRPr="00A8793B" w:rsidRDefault="00851836" w:rsidP="00BB5083">
            <w:pPr>
              <w:keepNext/>
              <w:jc w:val="center"/>
              <w:rPr>
                <w:iCs/>
                <w:sz w:val="20"/>
              </w:rPr>
            </w:pPr>
            <w:r w:rsidRPr="00A8793B">
              <w:rPr>
                <w:iCs/>
                <w:sz w:val="20"/>
              </w:rPr>
              <w:t>98.6%</w:t>
            </w:r>
          </w:p>
        </w:tc>
        <w:tc>
          <w:tcPr>
            <w:tcW w:w="502" w:type="pct"/>
            <w:tcBorders>
              <w:top w:val="dashed" w:sz="4" w:space="0" w:color="auto"/>
            </w:tcBorders>
            <w:vAlign w:val="center"/>
          </w:tcPr>
          <w:p w:rsidR="00BB5083" w:rsidRPr="00A8793B" w:rsidRDefault="00851836" w:rsidP="00BB5083">
            <w:pPr>
              <w:keepNext/>
              <w:jc w:val="center"/>
              <w:rPr>
                <w:iCs/>
                <w:sz w:val="20"/>
              </w:rPr>
            </w:pPr>
            <w:r w:rsidRPr="00A8793B">
              <w:rPr>
                <w:iCs/>
                <w:sz w:val="20"/>
              </w:rPr>
              <w:t>100 %</w:t>
            </w:r>
          </w:p>
        </w:tc>
        <w:tc>
          <w:tcPr>
            <w:tcW w:w="504" w:type="pct"/>
            <w:tcBorders>
              <w:top w:val="dashed" w:sz="4" w:space="0" w:color="auto"/>
            </w:tcBorders>
            <w:vAlign w:val="center"/>
          </w:tcPr>
          <w:p w:rsidR="00BB5083" w:rsidRPr="00A8793B" w:rsidRDefault="00851836" w:rsidP="00BB5083">
            <w:pPr>
              <w:keepNext/>
              <w:jc w:val="center"/>
              <w:rPr>
                <w:iCs/>
                <w:sz w:val="20"/>
              </w:rPr>
            </w:pPr>
            <w:r w:rsidRPr="00A8793B">
              <w:rPr>
                <w:iCs/>
                <w:sz w:val="20"/>
              </w:rPr>
              <w:t>Δεν έχει καθοριστεί</w:t>
            </w:r>
          </w:p>
        </w:tc>
      </w:tr>
      <w:tr w:rsidR="00BB5083" w:rsidRPr="00794F08" w:rsidTr="00A8793B">
        <w:trPr>
          <w:trHeight w:val="626"/>
        </w:trPr>
        <w:tc>
          <w:tcPr>
            <w:tcW w:w="715" w:type="pct"/>
            <w:vAlign w:val="center"/>
          </w:tcPr>
          <w:p w:rsidR="00BB5083" w:rsidRPr="00A8793B" w:rsidRDefault="00851836" w:rsidP="00BB5083">
            <w:pPr>
              <w:keepNext/>
              <w:rPr>
                <w:iCs/>
                <w:sz w:val="20"/>
              </w:rPr>
            </w:pPr>
            <w:r w:rsidRPr="00A8793B">
              <w:rPr>
                <w:iCs/>
                <w:sz w:val="20"/>
              </w:rPr>
              <w:t xml:space="preserve">Τετάνου </w:t>
            </w:r>
          </w:p>
        </w:tc>
        <w:tc>
          <w:tcPr>
            <w:tcW w:w="642" w:type="pct"/>
            <w:vAlign w:val="center"/>
          </w:tcPr>
          <w:p w:rsidR="00BB5083" w:rsidRPr="00A8793B" w:rsidRDefault="00851836" w:rsidP="00BB5083">
            <w:pPr>
              <w:keepNext/>
              <w:rPr>
                <w:iCs/>
                <w:sz w:val="20"/>
              </w:rPr>
            </w:pPr>
            <w:r w:rsidRPr="00A8793B">
              <w:rPr>
                <w:iCs/>
                <w:sz w:val="20"/>
              </w:rPr>
              <w:sym w:font="Symbol" w:char="F0B3"/>
            </w:r>
            <w:r w:rsidRPr="00A8793B">
              <w:rPr>
                <w:iCs/>
                <w:sz w:val="20"/>
              </w:rPr>
              <w:t xml:space="preserve"> 0.1 IU/ml</w:t>
            </w:r>
          </w:p>
        </w:tc>
        <w:tc>
          <w:tcPr>
            <w:tcW w:w="549" w:type="pct"/>
            <w:tcBorders>
              <w:right w:val="dashed" w:sz="4" w:space="0" w:color="auto"/>
            </w:tcBorders>
            <w:vAlign w:val="center"/>
          </w:tcPr>
          <w:p w:rsidR="00BB5083" w:rsidRPr="00A8793B" w:rsidRDefault="00851836" w:rsidP="00BB5083">
            <w:pPr>
              <w:keepNext/>
              <w:jc w:val="center"/>
              <w:rPr>
                <w:iCs/>
                <w:sz w:val="20"/>
              </w:rPr>
            </w:pPr>
            <w:r w:rsidRPr="00A8793B">
              <w:rPr>
                <w:iCs/>
                <w:sz w:val="20"/>
              </w:rPr>
              <w:t>94.8%</w:t>
            </w:r>
          </w:p>
        </w:tc>
        <w:tc>
          <w:tcPr>
            <w:tcW w:w="484" w:type="pct"/>
            <w:tcBorders>
              <w:left w:val="dashed" w:sz="4" w:space="0" w:color="auto"/>
            </w:tcBorders>
            <w:vAlign w:val="center"/>
          </w:tcPr>
          <w:p w:rsidR="00BB5083" w:rsidRPr="00A8793B" w:rsidRDefault="00851836" w:rsidP="00BB5083">
            <w:pPr>
              <w:keepNext/>
              <w:jc w:val="center"/>
              <w:rPr>
                <w:iCs/>
                <w:sz w:val="20"/>
              </w:rPr>
            </w:pPr>
            <w:r w:rsidRPr="00A8793B">
              <w:rPr>
                <w:iCs/>
                <w:sz w:val="20"/>
              </w:rPr>
              <w:t>100%</w:t>
            </w:r>
          </w:p>
        </w:tc>
        <w:tc>
          <w:tcPr>
            <w:tcW w:w="412" w:type="pct"/>
            <w:tcBorders>
              <w:right w:val="dashed" w:sz="4" w:space="0" w:color="auto"/>
            </w:tcBorders>
            <w:vAlign w:val="center"/>
          </w:tcPr>
          <w:p w:rsidR="00BB5083" w:rsidRPr="00A8793B" w:rsidRDefault="00851836" w:rsidP="00BB5083">
            <w:pPr>
              <w:keepNext/>
              <w:jc w:val="center"/>
              <w:rPr>
                <w:iCs/>
                <w:sz w:val="20"/>
              </w:rPr>
            </w:pPr>
            <w:r w:rsidRPr="00A8793B">
              <w:rPr>
                <w:iCs/>
                <w:sz w:val="20"/>
              </w:rPr>
              <w:t>96.2%</w:t>
            </w:r>
          </w:p>
        </w:tc>
        <w:tc>
          <w:tcPr>
            <w:tcW w:w="412" w:type="pct"/>
            <w:tcBorders>
              <w:left w:val="dashed" w:sz="4" w:space="0" w:color="auto"/>
            </w:tcBorders>
            <w:vAlign w:val="center"/>
          </w:tcPr>
          <w:p w:rsidR="00BB5083" w:rsidRPr="00A8793B" w:rsidRDefault="00851836" w:rsidP="00BB5083">
            <w:pPr>
              <w:keepNext/>
              <w:jc w:val="center"/>
              <w:rPr>
                <w:iCs/>
                <w:sz w:val="20"/>
              </w:rPr>
            </w:pPr>
            <w:r w:rsidRPr="00A8793B">
              <w:rPr>
                <w:iCs/>
                <w:sz w:val="20"/>
              </w:rPr>
              <w:t>100%</w:t>
            </w:r>
          </w:p>
        </w:tc>
        <w:tc>
          <w:tcPr>
            <w:tcW w:w="412" w:type="pct"/>
            <w:tcBorders>
              <w:right w:val="dashed" w:sz="4" w:space="0" w:color="auto"/>
            </w:tcBorders>
            <w:vAlign w:val="center"/>
          </w:tcPr>
          <w:p w:rsidR="00BB5083" w:rsidRPr="00A8793B" w:rsidRDefault="00851836" w:rsidP="00BB5083">
            <w:pPr>
              <w:keepNext/>
              <w:jc w:val="center"/>
              <w:rPr>
                <w:iCs/>
                <w:sz w:val="20"/>
              </w:rPr>
            </w:pPr>
            <w:r w:rsidRPr="00A8793B">
              <w:rPr>
                <w:iCs/>
                <w:sz w:val="20"/>
              </w:rPr>
              <w:t>95.0%</w:t>
            </w:r>
          </w:p>
        </w:tc>
        <w:tc>
          <w:tcPr>
            <w:tcW w:w="367" w:type="pct"/>
            <w:tcBorders>
              <w:left w:val="dashed" w:sz="4" w:space="0" w:color="auto"/>
            </w:tcBorders>
            <w:vAlign w:val="center"/>
          </w:tcPr>
          <w:p w:rsidR="00BB5083" w:rsidRPr="00A8793B" w:rsidRDefault="00851836" w:rsidP="00BB5083">
            <w:pPr>
              <w:keepNext/>
              <w:jc w:val="center"/>
              <w:rPr>
                <w:iCs/>
                <w:sz w:val="20"/>
              </w:rPr>
            </w:pPr>
            <w:r w:rsidRPr="00A8793B">
              <w:rPr>
                <w:iCs/>
                <w:sz w:val="20"/>
              </w:rPr>
              <w:t>97.3%</w:t>
            </w:r>
          </w:p>
        </w:tc>
        <w:tc>
          <w:tcPr>
            <w:tcW w:w="502" w:type="pct"/>
            <w:vAlign w:val="center"/>
          </w:tcPr>
          <w:p w:rsidR="00BB5083" w:rsidRPr="00A8793B" w:rsidRDefault="00851836" w:rsidP="00BB5083">
            <w:pPr>
              <w:keepNext/>
              <w:jc w:val="center"/>
              <w:rPr>
                <w:iCs/>
                <w:sz w:val="20"/>
              </w:rPr>
            </w:pPr>
            <w:r w:rsidRPr="00A8793B">
              <w:rPr>
                <w:iCs/>
                <w:sz w:val="20"/>
              </w:rPr>
              <w:t>98.4 %</w:t>
            </w:r>
          </w:p>
        </w:tc>
        <w:tc>
          <w:tcPr>
            <w:tcW w:w="504" w:type="pct"/>
            <w:vAlign w:val="center"/>
          </w:tcPr>
          <w:p w:rsidR="00BB5083" w:rsidRPr="00A8793B" w:rsidRDefault="00851836" w:rsidP="00BB5083">
            <w:pPr>
              <w:keepNext/>
              <w:jc w:val="center"/>
              <w:rPr>
                <w:iCs/>
                <w:sz w:val="20"/>
              </w:rPr>
            </w:pPr>
            <w:r w:rsidRPr="00A8793B">
              <w:rPr>
                <w:iCs/>
                <w:sz w:val="20"/>
              </w:rPr>
              <w:t>98.5 %</w:t>
            </w:r>
          </w:p>
        </w:tc>
      </w:tr>
      <w:tr w:rsidR="00BB5083" w:rsidRPr="00794F08" w:rsidTr="00A8793B">
        <w:trPr>
          <w:trHeight w:val="1217"/>
        </w:trPr>
        <w:tc>
          <w:tcPr>
            <w:tcW w:w="715" w:type="pct"/>
          </w:tcPr>
          <w:p w:rsidR="00BB5083" w:rsidRPr="00A8793B" w:rsidRDefault="00851836" w:rsidP="00106E2F">
            <w:pPr>
              <w:keepNext/>
              <w:rPr>
                <w:iCs/>
                <w:sz w:val="20"/>
              </w:rPr>
            </w:pPr>
            <w:r w:rsidRPr="00A8793B">
              <w:rPr>
                <w:iCs/>
                <w:sz w:val="20"/>
              </w:rPr>
              <w:t>Κοκκύτη</w:t>
            </w:r>
          </w:p>
          <w:p w:rsidR="00106E2F" w:rsidRPr="00A8793B" w:rsidRDefault="00851836" w:rsidP="00106E2F">
            <w:pPr>
              <w:pStyle w:val="3"/>
              <w:keepNext w:val="0"/>
              <w:ind w:right="175"/>
              <w:jc w:val="both"/>
              <w:rPr>
                <w:b w:val="0"/>
                <w:iCs/>
                <w:kern w:val="0"/>
                <w:sz w:val="20"/>
                <w:lang w:val="el-GR"/>
              </w:rPr>
            </w:pPr>
            <w:r w:rsidRPr="00A8793B">
              <w:rPr>
                <w:b w:val="0"/>
                <w:iCs/>
                <w:kern w:val="0"/>
                <w:sz w:val="20"/>
                <w:lang w:val="el-GR"/>
              </w:rPr>
              <w:t xml:space="preserve">      Τοξοειδές     </w:t>
            </w:r>
          </w:p>
          <w:p w:rsidR="00106E2F" w:rsidRPr="00A8793B" w:rsidRDefault="00851836" w:rsidP="00106E2F">
            <w:pPr>
              <w:pStyle w:val="3"/>
              <w:keepNext w:val="0"/>
              <w:ind w:right="175"/>
              <w:jc w:val="both"/>
              <w:rPr>
                <w:b w:val="0"/>
                <w:iCs/>
                <w:kern w:val="0"/>
                <w:sz w:val="20"/>
                <w:lang w:val="el-GR"/>
              </w:rPr>
            </w:pPr>
            <w:r w:rsidRPr="00A8793B">
              <w:rPr>
                <w:b w:val="0"/>
                <w:iCs/>
                <w:kern w:val="0"/>
                <w:sz w:val="20"/>
                <w:lang w:val="el-GR"/>
              </w:rPr>
              <w:t xml:space="preserve">      κοκκύτη</w:t>
            </w:r>
          </w:p>
          <w:p w:rsidR="00106E2F" w:rsidRPr="00A8793B" w:rsidRDefault="00851836" w:rsidP="00106E2F">
            <w:pPr>
              <w:pStyle w:val="3"/>
              <w:keepNext w:val="0"/>
              <w:ind w:right="175"/>
              <w:jc w:val="both"/>
              <w:rPr>
                <w:b w:val="0"/>
                <w:iCs/>
                <w:kern w:val="0"/>
                <w:sz w:val="20"/>
                <w:lang w:val="el-GR"/>
              </w:rPr>
            </w:pPr>
            <w:r w:rsidRPr="00A8793B">
              <w:rPr>
                <w:b w:val="0"/>
                <w:iCs/>
                <w:kern w:val="0"/>
                <w:sz w:val="20"/>
                <w:lang w:val="el-GR"/>
              </w:rPr>
              <w:t xml:space="preserve">     Νηματοειδής    αιμοσυγκολλητίνη</w:t>
            </w:r>
          </w:p>
          <w:p w:rsidR="00BB5083" w:rsidRPr="00A8793B" w:rsidRDefault="00851836" w:rsidP="00106E2F">
            <w:pPr>
              <w:keepNext/>
              <w:ind w:left="284" w:hanging="92"/>
              <w:rPr>
                <w:iCs/>
                <w:sz w:val="20"/>
              </w:rPr>
            </w:pPr>
            <w:r w:rsidRPr="00A8793B">
              <w:rPr>
                <w:iCs/>
                <w:sz w:val="20"/>
              </w:rPr>
              <w:t>Περτακτίνη</w:t>
            </w:r>
          </w:p>
        </w:tc>
        <w:tc>
          <w:tcPr>
            <w:tcW w:w="642" w:type="pct"/>
            <w:vAlign w:val="center"/>
          </w:tcPr>
          <w:p w:rsidR="00BB5083" w:rsidRPr="00A8793B" w:rsidRDefault="00851836" w:rsidP="00BB5083">
            <w:pPr>
              <w:keepNext/>
              <w:rPr>
                <w:iCs/>
                <w:sz w:val="20"/>
              </w:rPr>
            </w:pPr>
            <w:r w:rsidRPr="00A8793B">
              <w:rPr>
                <w:iCs/>
                <w:sz w:val="20"/>
              </w:rPr>
              <w:sym w:font="Symbol" w:char="F0B3"/>
            </w:r>
            <w:r w:rsidRPr="00A8793B">
              <w:rPr>
                <w:iCs/>
                <w:sz w:val="20"/>
              </w:rPr>
              <w:t xml:space="preserve"> 5 EL.U/ml</w:t>
            </w:r>
          </w:p>
        </w:tc>
        <w:tc>
          <w:tcPr>
            <w:tcW w:w="549" w:type="pct"/>
            <w:tcBorders>
              <w:right w:val="dashed" w:sz="4" w:space="0" w:color="auto"/>
            </w:tcBorders>
          </w:tcPr>
          <w:p w:rsidR="00BB5083" w:rsidRPr="00A8793B" w:rsidRDefault="00BB5083" w:rsidP="00BB5083">
            <w:pPr>
              <w:keepNext/>
              <w:jc w:val="center"/>
              <w:rPr>
                <w:iCs/>
                <w:sz w:val="20"/>
              </w:rPr>
            </w:pPr>
          </w:p>
          <w:p w:rsidR="00ED6DB7" w:rsidRPr="00A8793B" w:rsidRDefault="00ED6DB7" w:rsidP="00BB5083">
            <w:pPr>
              <w:keepNext/>
              <w:jc w:val="center"/>
              <w:rPr>
                <w:iCs/>
                <w:sz w:val="20"/>
              </w:rPr>
            </w:pPr>
          </w:p>
          <w:p w:rsidR="00BB5083" w:rsidRPr="00A8793B" w:rsidRDefault="00851836" w:rsidP="00BB5083">
            <w:pPr>
              <w:keepNext/>
              <w:jc w:val="center"/>
              <w:rPr>
                <w:iCs/>
                <w:sz w:val="20"/>
              </w:rPr>
            </w:pPr>
            <w:r w:rsidRPr="00A8793B">
              <w:rPr>
                <w:iCs/>
                <w:sz w:val="20"/>
              </w:rPr>
              <w:t>90.6%</w:t>
            </w:r>
          </w:p>
          <w:p w:rsidR="00BB5083" w:rsidRPr="00A8793B" w:rsidRDefault="00BB5083" w:rsidP="00BB5083">
            <w:pPr>
              <w:keepNext/>
              <w:jc w:val="center"/>
              <w:rPr>
                <w:iCs/>
                <w:sz w:val="20"/>
              </w:rPr>
            </w:pPr>
          </w:p>
          <w:p w:rsidR="00BB5083" w:rsidRPr="00A8793B" w:rsidRDefault="00851836" w:rsidP="00BB5083">
            <w:pPr>
              <w:keepNext/>
              <w:jc w:val="center"/>
              <w:rPr>
                <w:iCs/>
                <w:sz w:val="20"/>
              </w:rPr>
            </w:pPr>
            <w:r w:rsidRPr="00A8793B">
              <w:rPr>
                <w:iCs/>
                <w:sz w:val="20"/>
              </w:rPr>
              <w:t>100%</w:t>
            </w:r>
          </w:p>
          <w:p w:rsidR="00ED6DB7" w:rsidRPr="00A8793B" w:rsidRDefault="00ED6DB7" w:rsidP="00BB5083">
            <w:pPr>
              <w:keepNext/>
              <w:jc w:val="center"/>
              <w:rPr>
                <w:iCs/>
                <w:sz w:val="20"/>
              </w:rPr>
            </w:pPr>
          </w:p>
          <w:p w:rsidR="00BB5083" w:rsidRPr="00A8793B" w:rsidRDefault="00851836" w:rsidP="00BB5083">
            <w:pPr>
              <w:keepNext/>
              <w:jc w:val="center"/>
              <w:rPr>
                <w:iCs/>
                <w:sz w:val="20"/>
              </w:rPr>
            </w:pPr>
            <w:r w:rsidRPr="00A8793B">
              <w:rPr>
                <w:iCs/>
                <w:sz w:val="20"/>
              </w:rPr>
              <w:t>94.8%</w:t>
            </w:r>
          </w:p>
        </w:tc>
        <w:tc>
          <w:tcPr>
            <w:tcW w:w="484" w:type="pct"/>
            <w:tcBorders>
              <w:left w:val="dashed" w:sz="4" w:space="0" w:color="auto"/>
            </w:tcBorders>
          </w:tcPr>
          <w:p w:rsidR="00BB5083" w:rsidRPr="00A8793B" w:rsidRDefault="00BB5083" w:rsidP="00BB5083">
            <w:pPr>
              <w:keepNext/>
              <w:jc w:val="center"/>
              <w:rPr>
                <w:iCs/>
                <w:sz w:val="20"/>
              </w:rPr>
            </w:pPr>
          </w:p>
          <w:p w:rsidR="00ED6DB7" w:rsidRPr="00A8793B" w:rsidRDefault="00ED6DB7" w:rsidP="00BB5083">
            <w:pPr>
              <w:keepNext/>
              <w:jc w:val="center"/>
              <w:rPr>
                <w:iCs/>
                <w:sz w:val="20"/>
              </w:rPr>
            </w:pPr>
          </w:p>
          <w:p w:rsidR="00BB5083" w:rsidRPr="00A8793B" w:rsidRDefault="00851836" w:rsidP="00BB5083">
            <w:pPr>
              <w:keepNext/>
              <w:jc w:val="center"/>
              <w:rPr>
                <w:iCs/>
                <w:sz w:val="20"/>
              </w:rPr>
            </w:pPr>
            <w:r w:rsidRPr="00A8793B">
              <w:rPr>
                <w:iCs/>
                <w:sz w:val="20"/>
              </w:rPr>
              <w:t>81.6%</w:t>
            </w:r>
          </w:p>
          <w:p w:rsidR="00BB5083" w:rsidRPr="00A8793B" w:rsidRDefault="00BB5083" w:rsidP="00BB5083">
            <w:pPr>
              <w:keepNext/>
              <w:jc w:val="center"/>
              <w:rPr>
                <w:iCs/>
                <w:sz w:val="20"/>
              </w:rPr>
            </w:pPr>
          </w:p>
          <w:p w:rsidR="00BB5083" w:rsidRPr="00A8793B" w:rsidRDefault="00851836" w:rsidP="00BB5083">
            <w:pPr>
              <w:keepNext/>
              <w:jc w:val="center"/>
              <w:rPr>
                <w:iCs/>
                <w:sz w:val="20"/>
              </w:rPr>
            </w:pPr>
            <w:r w:rsidRPr="00A8793B">
              <w:rPr>
                <w:iCs/>
                <w:sz w:val="20"/>
              </w:rPr>
              <w:t>100%</w:t>
            </w:r>
          </w:p>
          <w:p w:rsidR="00ED6DB7" w:rsidRPr="00A8793B" w:rsidRDefault="00ED6DB7" w:rsidP="00BB5083">
            <w:pPr>
              <w:keepNext/>
              <w:jc w:val="center"/>
              <w:rPr>
                <w:iCs/>
                <w:sz w:val="20"/>
              </w:rPr>
            </w:pPr>
          </w:p>
          <w:p w:rsidR="00BB5083" w:rsidRPr="00A8793B" w:rsidRDefault="00851836" w:rsidP="00BB5083">
            <w:pPr>
              <w:keepNext/>
              <w:jc w:val="center"/>
              <w:rPr>
                <w:iCs/>
                <w:sz w:val="20"/>
              </w:rPr>
            </w:pPr>
            <w:r w:rsidRPr="00A8793B">
              <w:rPr>
                <w:iCs/>
                <w:sz w:val="20"/>
              </w:rPr>
              <w:t>99.2%</w:t>
            </w:r>
          </w:p>
        </w:tc>
        <w:tc>
          <w:tcPr>
            <w:tcW w:w="412" w:type="pct"/>
            <w:tcBorders>
              <w:right w:val="dashed" w:sz="4" w:space="0" w:color="auto"/>
            </w:tcBorders>
          </w:tcPr>
          <w:p w:rsidR="00BB5083" w:rsidRPr="00A8793B" w:rsidRDefault="00BB5083" w:rsidP="00BB5083">
            <w:pPr>
              <w:keepNext/>
              <w:jc w:val="center"/>
              <w:rPr>
                <w:iCs/>
                <w:sz w:val="20"/>
              </w:rPr>
            </w:pPr>
          </w:p>
          <w:p w:rsidR="00ED6DB7" w:rsidRPr="00A8793B" w:rsidRDefault="00ED6DB7" w:rsidP="00BB5083">
            <w:pPr>
              <w:keepNext/>
              <w:jc w:val="center"/>
              <w:rPr>
                <w:iCs/>
                <w:sz w:val="20"/>
              </w:rPr>
            </w:pPr>
          </w:p>
          <w:p w:rsidR="00BB5083" w:rsidRPr="00A8793B" w:rsidRDefault="00851836" w:rsidP="00BB5083">
            <w:pPr>
              <w:keepNext/>
              <w:jc w:val="center"/>
              <w:rPr>
                <w:iCs/>
                <w:sz w:val="20"/>
              </w:rPr>
            </w:pPr>
            <w:r w:rsidRPr="00A8793B">
              <w:rPr>
                <w:iCs/>
                <w:sz w:val="20"/>
              </w:rPr>
              <w:t>89.5%</w:t>
            </w:r>
          </w:p>
          <w:p w:rsidR="00BB5083" w:rsidRPr="00A8793B" w:rsidRDefault="00BB5083" w:rsidP="00BB5083">
            <w:pPr>
              <w:keepNext/>
              <w:jc w:val="center"/>
              <w:rPr>
                <w:iCs/>
                <w:sz w:val="20"/>
              </w:rPr>
            </w:pPr>
          </w:p>
          <w:p w:rsidR="00BB5083" w:rsidRPr="00A8793B" w:rsidRDefault="00851836" w:rsidP="00BB5083">
            <w:pPr>
              <w:keepNext/>
              <w:jc w:val="center"/>
              <w:rPr>
                <w:iCs/>
                <w:sz w:val="20"/>
              </w:rPr>
            </w:pPr>
            <w:r w:rsidRPr="00A8793B">
              <w:rPr>
                <w:iCs/>
                <w:sz w:val="20"/>
              </w:rPr>
              <w:t>100%</w:t>
            </w:r>
          </w:p>
          <w:p w:rsidR="00ED6DB7" w:rsidRPr="00A8793B" w:rsidRDefault="00ED6DB7" w:rsidP="00BB5083">
            <w:pPr>
              <w:keepNext/>
              <w:jc w:val="center"/>
              <w:rPr>
                <w:iCs/>
                <w:sz w:val="20"/>
              </w:rPr>
            </w:pPr>
          </w:p>
          <w:p w:rsidR="00BB5083" w:rsidRPr="00A8793B" w:rsidRDefault="00851836" w:rsidP="00BB5083">
            <w:pPr>
              <w:keepNext/>
              <w:jc w:val="center"/>
              <w:rPr>
                <w:iCs/>
                <w:sz w:val="20"/>
              </w:rPr>
            </w:pPr>
            <w:r w:rsidRPr="00A8793B">
              <w:rPr>
                <w:iCs/>
                <w:sz w:val="20"/>
              </w:rPr>
              <w:t>95.0%</w:t>
            </w:r>
          </w:p>
        </w:tc>
        <w:tc>
          <w:tcPr>
            <w:tcW w:w="412" w:type="pct"/>
            <w:tcBorders>
              <w:left w:val="dashed" w:sz="4" w:space="0" w:color="auto"/>
            </w:tcBorders>
          </w:tcPr>
          <w:p w:rsidR="00BB5083" w:rsidRPr="00A8793B" w:rsidRDefault="00BB5083" w:rsidP="00BB5083">
            <w:pPr>
              <w:keepNext/>
              <w:jc w:val="center"/>
              <w:rPr>
                <w:iCs/>
                <w:sz w:val="20"/>
              </w:rPr>
            </w:pPr>
          </w:p>
          <w:p w:rsidR="00ED6DB7" w:rsidRPr="00A8793B" w:rsidRDefault="00ED6DB7" w:rsidP="00BB5083">
            <w:pPr>
              <w:keepNext/>
              <w:jc w:val="center"/>
              <w:rPr>
                <w:iCs/>
                <w:sz w:val="20"/>
              </w:rPr>
            </w:pPr>
          </w:p>
          <w:p w:rsidR="00BB5083" w:rsidRPr="00A8793B" w:rsidRDefault="00851836" w:rsidP="00BB5083">
            <w:pPr>
              <w:keepNext/>
              <w:jc w:val="center"/>
              <w:rPr>
                <w:iCs/>
                <w:sz w:val="20"/>
              </w:rPr>
            </w:pPr>
            <w:r w:rsidRPr="00A8793B">
              <w:rPr>
                <w:iCs/>
                <w:sz w:val="20"/>
              </w:rPr>
              <w:t>76.8%</w:t>
            </w:r>
          </w:p>
          <w:p w:rsidR="00BB5083" w:rsidRPr="00A8793B" w:rsidRDefault="00BB5083" w:rsidP="00BB5083">
            <w:pPr>
              <w:keepNext/>
              <w:jc w:val="center"/>
              <w:rPr>
                <w:iCs/>
                <w:sz w:val="20"/>
              </w:rPr>
            </w:pPr>
          </w:p>
          <w:p w:rsidR="00BB5083" w:rsidRPr="00A8793B" w:rsidRDefault="00851836" w:rsidP="00BB5083">
            <w:pPr>
              <w:keepNext/>
              <w:jc w:val="center"/>
              <w:rPr>
                <w:iCs/>
                <w:sz w:val="20"/>
              </w:rPr>
            </w:pPr>
            <w:r w:rsidRPr="00A8793B">
              <w:rPr>
                <w:iCs/>
                <w:sz w:val="20"/>
              </w:rPr>
              <w:t>100%</w:t>
            </w:r>
          </w:p>
          <w:p w:rsidR="00ED6DB7" w:rsidRPr="00A8793B" w:rsidRDefault="00ED6DB7" w:rsidP="00BB5083">
            <w:pPr>
              <w:keepNext/>
              <w:jc w:val="center"/>
              <w:rPr>
                <w:iCs/>
                <w:sz w:val="20"/>
              </w:rPr>
            </w:pPr>
          </w:p>
          <w:p w:rsidR="00BB5083" w:rsidRPr="00A8793B" w:rsidRDefault="00851836" w:rsidP="00BB5083">
            <w:pPr>
              <w:keepNext/>
              <w:jc w:val="center"/>
              <w:rPr>
                <w:iCs/>
                <w:sz w:val="20"/>
              </w:rPr>
            </w:pPr>
            <w:r w:rsidRPr="00A8793B">
              <w:rPr>
                <w:iCs/>
                <w:sz w:val="20"/>
              </w:rPr>
              <w:t>98.1%</w:t>
            </w:r>
          </w:p>
        </w:tc>
        <w:tc>
          <w:tcPr>
            <w:tcW w:w="412" w:type="pct"/>
            <w:tcBorders>
              <w:right w:val="dashed" w:sz="4" w:space="0" w:color="auto"/>
            </w:tcBorders>
          </w:tcPr>
          <w:p w:rsidR="00BB5083" w:rsidRPr="00A8793B" w:rsidRDefault="00BB5083" w:rsidP="00BB5083">
            <w:pPr>
              <w:keepNext/>
              <w:jc w:val="center"/>
              <w:rPr>
                <w:iCs/>
                <w:sz w:val="20"/>
              </w:rPr>
            </w:pPr>
          </w:p>
          <w:p w:rsidR="00ED6DB7" w:rsidRPr="00A8793B" w:rsidRDefault="00ED6DB7" w:rsidP="00BB5083">
            <w:pPr>
              <w:keepNext/>
              <w:jc w:val="center"/>
              <w:rPr>
                <w:iCs/>
                <w:sz w:val="20"/>
              </w:rPr>
            </w:pPr>
          </w:p>
          <w:p w:rsidR="00BB5083" w:rsidRPr="00A8793B" w:rsidRDefault="00851836" w:rsidP="00BB5083">
            <w:pPr>
              <w:keepNext/>
              <w:jc w:val="center"/>
              <w:rPr>
                <w:iCs/>
                <w:sz w:val="20"/>
              </w:rPr>
            </w:pPr>
            <w:r w:rsidRPr="00A8793B">
              <w:rPr>
                <w:iCs/>
                <w:sz w:val="20"/>
              </w:rPr>
              <w:t>85.6%</w:t>
            </w:r>
          </w:p>
          <w:p w:rsidR="00BB5083" w:rsidRPr="00A8793B" w:rsidRDefault="00BB5083" w:rsidP="00BB5083">
            <w:pPr>
              <w:keepNext/>
              <w:jc w:val="center"/>
              <w:rPr>
                <w:iCs/>
                <w:sz w:val="20"/>
              </w:rPr>
            </w:pPr>
          </w:p>
          <w:p w:rsidR="00BB5083" w:rsidRPr="00A8793B" w:rsidRDefault="00851836" w:rsidP="00BB5083">
            <w:pPr>
              <w:keepNext/>
              <w:jc w:val="center"/>
              <w:rPr>
                <w:iCs/>
                <w:sz w:val="20"/>
              </w:rPr>
            </w:pPr>
            <w:r w:rsidRPr="00A8793B">
              <w:rPr>
                <w:iCs/>
                <w:sz w:val="20"/>
              </w:rPr>
              <w:t>99.4%</w:t>
            </w:r>
          </w:p>
          <w:p w:rsidR="00ED6DB7" w:rsidRPr="00A8793B" w:rsidRDefault="00ED6DB7" w:rsidP="00BB5083">
            <w:pPr>
              <w:keepNext/>
              <w:jc w:val="center"/>
              <w:rPr>
                <w:iCs/>
                <w:sz w:val="20"/>
              </w:rPr>
            </w:pPr>
          </w:p>
          <w:p w:rsidR="00BB5083" w:rsidRPr="00A8793B" w:rsidRDefault="00851836" w:rsidP="00BB5083">
            <w:pPr>
              <w:keepNext/>
              <w:jc w:val="center"/>
              <w:rPr>
                <w:iCs/>
                <w:sz w:val="20"/>
              </w:rPr>
            </w:pPr>
            <w:r w:rsidRPr="00A8793B">
              <w:rPr>
                <w:iCs/>
                <w:sz w:val="20"/>
              </w:rPr>
              <w:t>95.0%</w:t>
            </w:r>
          </w:p>
        </w:tc>
        <w:tc>
          <w:tcPr>
            <w:tcW w:w="367" w:type="pct"/>
            <w:tcBorders>
              <w:left w:val="dashed" w:sz="4" w:space="0" w:color="auto"/>
            </w:tcBorders>
          </w:tcPr>
          <w:p w:rsidR="00BB5083" w:rsidRPr="00A8793B" w:rsidRDefault="00BB5083" w:rsidP="00BB5083">
            <w:pPr>
              <w:keepNext/>
              <w:jc w:val="center"/>
              <w:rPr>
                <w:iCs/>
                <w:sz w:val="20"/>
              </w:rPr>
            </w:pPr>
          </w:p>
          <w:p w:rsidR="00ED6DB7" w:rsidRPr="00A8793B" w:rsidRDefault="00ED6DB7" w:rsidP="00BB5083">
            <w:pPr>
              <w:keepNext/>
              <w:jc w:val="center"/>
              <w:rPr>
                <w:iCs/>
                <w:sz w:val="20"/>
              </w:rPr>
            </w:pPr>
          </w:p>
          <w:p w:rsidR="00BB5083" w:rsidRPr="00A8793B" w:rsidRDefault="00851836" w:rsidP="00BB5083">
            <w:pPr>
              <w:keepNext/>
              <w:jc w:val="center"/>
              <w:rPr>
                <w:iCs/>
                <w:sz w:val="20"/>
              </w:rPr>
            </w:pPr>
            <w:r w:rsidRPr="00A8793B">
              <w:rPr>
                <w:iCs/>
                <w:sz w:val="20"/>
              </w:rPr>
              <w:t>61.3%</w:t>
            </w:r>
          </w:p>
          <w:p w:rsidR="00BB5083" w:rsidRPr="00A8793B" w:rsidRDefault="00BB5083" w:rsidP="00BB5083">
            <w:pPr>
              <w:keepNext/>
              <w:jc w:val="center"/>
              <w:rPr>
                <w:iCs/>
                <w:sz w:val="20"/>
              </w:rPr>
            </w:pPr>
          </w:p>
          <w:p w:rsidR="00BB5083" w:rsidRPr="00A8793B" w:rsidRDefault="00851836" w:rsidP="00BB5083">
            <w:pPr>
              <w:keepNext/>
              <w:jc w:val="center"/>
              <w:rPr>
                <w:iCs/>
                <w:sz w:val="20"/>
              </w:rPr>
            </w:pPr>
            <w:r w:rsidRPr="00A8793B">
              <w:rPr>
                <w:iCs/>
                <w:sz w:val="20"/>
              </w:rPr>
              <w:t>100%</w:t>
            </w:r>
          </w:p>
          <w:p w:rsidR="00ED6DB7" w:rsidRPr="00A8793B" w:rsidRDefault="00ED6DB7" w:rsidP="00BB5083">
            <w:pPr>
              <w:keepNext/>
              <w:jc w:val="center"/>
              <w:rPr>
                <w:iCs/>
                <w:sz w:val="20"/>
              </w:rPr>
            </w:pPr>
          </w:p>
          <w:p w:rsidR="00BB5083" w:rsidRPr="00A8793B" w:rsidRDefault="00851836" w:rsidP="00BB5083">
            <w:pPr>
              <w:keepNext/>
              <w:jc w:val="center"/>
              <w:rPr>
                <w:iCs/>
                <w:sz w:val="20"/>
              </w:rPr>
            </w:pPr>
            <w:r w:rsidRPr="00A8793B">
              <w:rPr>
                <w:iCs/>
                <w:sz w:val="20"/>
              </w:rPr>
              <w:t>96.0%</w:t>
            </w:r>
          </w:p>
        </w:tc>
        <w:tc>
          <w:tcPr>
            <w:tcW w:w="502" w:type="pct"/>
          </w:tcPr>
          <w:p w:rsidR="00BB5083" w:rsidRPr="00A8793B" w:rsidRDefault="00BB5083" w:rsidP="00BB5083">
            <w:pPr>
              <w:keepNext/>
              <w:jc w:val="center"/>
              <w:rPr>
                <w:iCs/>
                <w:sz w:val="20"/>
              </w:rPr>
            </w:pPr>
          </w:p>
          <w:p w:rsidR="00ED6DB7" w:rsidRPr="00A8793B" w:rsidRDefault="00ED6DB7" w:rsidP="00BB5083">
            <w:pPr>
              <w:keepNext/>
              <w:jc w:val="center"/>
              <w:rPr>
                <w:iCs/>
                <w:sz w:val="20"/>
              </w:rPr>
            </w:pPr>
          </w:p>
          <w:p w:rsidR="00BB5083" w:rsidRPr="00A8793B" w:rsidRDefault="00851836" w:rsidP="00BB5083">
            <w:pPr>
              <w:keepNext/>
              <w:jc w:val="center"/>
              <w:rPr>
                <w:iCs/>
                <w:sz w:val="20"/>
              </w:rPr>
            </w:pPr>
            <w:r w:rsidRPr="00A8793B">
              <w:rPr>
                <w:iCs/>
                <w:sz w:val="20"/>
              </w:rPr>
              <w:t>58.7 %</w:t>
            </w:r>
          </w:p>
          <w:p w:rsidR="00BB5083" w:rsidRPr="00A8793B" w:rsidRDefault="00BB5083" w:rsidP="00BB5083">
            <w:pPr>
              <w:keepNext/>
              <w:jc w:val="center"/>
              <w:rPr>
                <w:iCs/>
                <w:sz w:val="20"/>
              </w:rPr>
            </w:pPr>
          </w:p>
          <w:p w:rsidR="00BB5083" w:rsidRPr="00A8793B" w:rsidRDefault="00851836" w:rsidP="00BB5083">
            <w:pPr>
              <w:keepNext/>
              <w:jc w:val="center"/>
              <w:rPr>
                <w:iCs/>
                <w:sz w:val="20"/>
              </w:rPr>
            </w:pPr>
            <w:r w:rsidRPr="00A8793B">
              <w:rPr>
                <w:iCs/>
                <w:sz w:val="20"/>
              </w:rPr>
              <w:t>100 %</w:t>
            </w:r>
          </w:p>
          <w:p w:rsidR="00ED6DB7" w:rsidRPr="00A8793B" w:rsidRDefault="00ED6DB7" w:rsidP="00BB5083">
            <w:pPr>
              <w:keepNext/>
              <w:jc w:val="center"/>
              <w:rPr>
                <w:iCs/>
                <w:sz w:val="20"/>
              </w:rPr>
            </w:pPr>
          </w:p>
          <w:p w:rsidR="00BB5083" w:rsidRPr="00A8793B" w:rsidRDefault="00851836" w:rsidP="00BB5083">
            <w:pPr>
              <w:keepNext/>
              <w:jc w:val="center"/>
              <w:rPr>
                <w:iCs/>
                <w:sz w:val="20"/>
              </w:rPr>
            </w:pPr>
            <w:r w:rsidRPr="00A8793B">
              <w:rPr>
                <w:iCs/>
                <w:sz w:val="20"/>
              </w:rPr>
              <w:t>99.2 %</w:t>
            </w:r>
          </w:p>
        </w:tc>
        <w:tc>
          <w:tcPr>
            <w:tcW w:w="504" w:type="pct"/>
          </w:tcPr>
          <w:p w:rsidR="00BB5083" w:rsidRPr="00A8793B" w:rsidRDefault="00BB5083" w:rsidP="00BB5083">
            <w:pPr>
              <w:keepNext/>
              <w:jc w:val="center"/>
              <w:rPr>
                <w:iCs/>
                <w:sz w:val="20"/>
              </w:rPr>
            </w:pPr>
          </w:p>
          <w:p w:rsidR="00ED6DB7" w:rsidRPr="00A8793B" w:rsidRDefault="00ED6DB7" w:rsidP="00BB5083">
            <w:pPr>
              <w:keepNext/>
              <w:jc w:val="center"/>
              <w:rPr>
                <w:iCs/>
                <w:sz w:val="20"/>
              </w:rPr>
            </w:pPr>
          </w:p>
          <w:p w:rsidR="00BB5083" w:rsidRPr="00A8793B" w:rsidRDefault="00851836" w:rsidP="00BB5083">
            <w:pPr>
              <w:keepNext/>
              <w:jc w:val="center"/>
              <w:rPr>
                <w:iCs/>
                <w:sz w:val="20"/>
              </w:rPr>
            </w:pPr>
            <w:r w:rsidRPr="00A8793B">
              <w:rPr>
                <w:iCs/>
                <w:sz w:val="20"/>
              </w:rPr>
              <w:t>51.5 %</w:t>
            </w:r>
          </w:p>
          <w:p w:rsidR="00BB5083" w:rsidRPr="00A8793B" w:rsidRDefault="00BB5083" w:rsidP="00BB5083">
            <w:pPr>
              <w:keepNext/>
              <w:jc w:val="center"/>
              <w:rPr>
                <w:iCs/>
                <w:sz w:val="20"/>
              </w:rPr>
            </w:pPr>
          </w:p>
          <w:p w:rsidR="00BB5083" w:rsidRPr="00A8793B" w:rsidRDefault="00851836" w:rsidP="00BB5083">
            <w:pPr>
              <w:keepNext/>
              <w:jc w:val="center"/>
              <w:rPr>
                <w:iCs/>
                <w:sz w:val="20"/>
              </w:rPr>
            </w:pPr>
            <w:r w:rsidRPr="00A8793B">
              <w:rPr>
                <w:iCs/>
                <w:sz w:val="20"/>
              </w:rPr>
              <w:t>100 %</w:t>
            </w:r>
          </w:p>
          <w:p w:rsidR="00ED6DB7" w:rsidRPr="00A8793B" w:rsidRDefault="00ED6DB7" w:rsidP="00BB5083">
            <w:pPr>
              <w:keepNext/>
              <w:jc w:val="center"/>
              <w:rPr>
                <w:iCs/>
                <w:sz w:val="20"/>
              </w:rPr>
            </w:pPr>
          </w:p>
          <w:p w:rsidR="00BB5083" w:rsidRPr="00A8793B" w:rsidRDefault="00851836" w:rsidP="00BB5083">
            <w:pPr>
              <w:keepNext/>
              <w:jc w:val="center"/>
              <w:rPr>
                <w:iCs/>
                <w:sz w:val="20"/>
              </w:rPr>
            </w:pPr>
            <w:r w:rsidRPr="00A8793B">
              <w:rPr>
                <w:iCs/>
                <w:sz w:val="20"/>
              </w:rPr>
              <w:t>100 %</w:t>
            </w:r>
          </w:p>
        </w:tc>
      </w:tr>
    </w:tbl>
    <w:p w:rsidR="00106E2F" w:rsidRPr="00794F08" w:rsidRDefault="00586AD8" w:rsidP="00106E2F">
      <w:pPr>
        <w:keepNext/>
        <w:rPr>
          <w:sz w:val="20"/>
        </w:rPr>
      </w:pPr>
      <w:r w:rsidRPr="00794F08">
        <w:rPr>
          <w:vertAlign w:val="superscript"/>
        </w:rPr>
        <w:t>1)</w:t>
      </w:r>
      <w:r w:rsidRPr="00794F08">
        <w:t xml:space="preserve">ATP: </w:t>
      </w:r>
      <w:r w:rsidRPr="00794F08">
        <w:rPr>
          <w:sz w:val="20"/>
        </w:rPr>
        <w:t xml:space="preserve">Σύμφωνα με το πρωτόκολλο – περιλαμβάνει όλα τα κατάλληλα προς ένταξη άτομα, τα οποία είχαν λάβει μια μονή αναμνηστική δόση Boostrix, για τα οποία υπήρχαν διαθέσιμα </w:t>
      </w:r>
      <w:r w:rsidR="00851836" w:rsidRPr="00A8793B">
        <w:rPr>
          <w:sz w:val="20"/>
        </w:rPr>
        <w:t>ανοσογονικά</w:t>
      </w:r>
      <w:r w:rsidRPr="00794F08">
        <w:rPr>
          <w:sz w:val="20"/>
        </w:rPr>
        <w:t xml:space="preserve"> δεδομένα για τουλάχιστον ένα αντιγόνο στο ορισμένο χρονικό σημείο.</w:t>
      </w:r>
    </w:p>
    <w:p w:rsidR="00106E2F" w:rsidRPr="00794F08" w:rsidRDefault="00586AD8" w:rsidP="00106E2F">
      <w:pPr>
        <w:keepNext/>
        <w:rPr>
          <w:sz w:val="20"/>
        </w:rPr>
      </w:pPr>
      <w:r w:rsidRPr="00794F08">
        <w:rPr>
          <w:vertAlign w:val="superscript"/>
        </w:rPr>
        <w:t xml:space="preserve"> (2)</w:t>
      </w:r>
      <w:r w:rsidRPr="00794F08">
        <w:rPr>
          <w:sz w:val="20"/>
        </w:rPr>
        <w:t xml:space="preserve"> Απάντηση: όπου, σε καθορισμένο χρονικό σημείο, συγκέντρωση των αντισωμάτων έναντι διφθερίτιδας και τετάνου </w:t>
      </w:r>
      <w:r w:rsidRPr="00794F08">
        <w:rPr>
          <w:sz w:val="20"/>
        </w:rPr>
        <w:sym w:font="Symbol" w:char="F0B3"/>
      </w:r>
      <w:r w:rsidRPr="00794F08">
        <w:rPr>
          <w:sz w:val="20"/>
        </w:rPr>
        <w:t xml:space="preserve"> 0.1 IU/ml θεωρήθηκε ως οροπροστασία και συγκέντρωση αντισωμάτων έναντι κοκκύτη </w:t>
      </w:r>
      <w:r w:rsidRPr="00794F08">
        <w:rPr>
          <w:sz w:val="20"/>
        </w:rPr>
        <w:sym w:font="Symbol" w:char="F0B3"/>
      </w:r>
      <w:r w:rsidRPr="00794F08">
        <w:rPr>
          <w:sz w:val="20"/>
        </w:rPr>
        <w:t xml:space="preserve"> 5 EL.U/ml θεωρήθηκε ως οροθετικότητα.</w:t>
      </w:r>
    </w:p>
    <w:p w:rsidR="00BB5083" w:rsidRPr="00794F08" w:rsidRDefault="00586AD8" w:rsidP="00BB5083">
      <w:pPr>
        <w:pStyle w:val="tableref"/>
        <w:keepNext/>
        <w:tabs>
          <w:tab w:val="center" w:pos="4320"/>
        </w:tabs>
        <w:ind w:left="0" w:right="-999" w:firstLine="0"/>
        <w:rPr>
          <w:rFonts w:ascii="Times New Roman" w:hAnsi="Times New Roman" w:cs="Times New Roman"/>
        </w:rPr>
      </w:pPr>
      <w:r w:rsidRPr="00794F08">
        <w:rPr>
          <w:rFonts w:ascii="Times New Roman" w:hAnsi="Times New Roman" w:cs="Times New Roman"/>
          <w:vertAlign w:val="superscript"/>
        </w:rPr>
        <w:t xml:space="preserve"> (3)</w:t>
      </w:r>
      <w:r w:rsidRPr="00794F08">
        <w:rPr>
          <w:rFonts w:ascii="Times New Roman" w:hAnsi="Times New Roman" w:cs="Times New Roman"/>
        </w:rPr>
        <w:t>Οι όροι «ενήλικας» και «έφηβος» αντικατοπτρίζουν τις ηλικίες στις οποίες τα άτομα έλαβαν τον πρώτο τους εμβολιασμό με Boostrix.</w:t>
      </w:r>
    </w:p>
    <w:p w:rsidR="00ED62F6" w:rsidRPr="00A8793B" w:rsidRDefault="00851836" w:rsidP="00ED62F6">
      <w:pPr>
        <w:jc w:val="both"/>
        <w:rPr>
          <w:sz w:val="20"/>
        </w:rPr>
      </w:pPr>
      <w:r w:rsidRPr="00A8793B">
        <w:rPr>
          <w:iCs/>
          <w:vertAlign w:val="superscript"/>
        </w:rPr>
        <w:t>(4)</w:t>
      </w:r>
      <w:r w:rsidR="00586AD8" w:rsidRPr="00794F08">
        <w:rPr>
          <w:szCs w:val="22"/>
        </w:rPr>
        <w:t xml:space="preserve"> </w:t>
      </w:r>
      <w:r w:rsidRPr="00A8793B">
        <w:rPr>
          <w:sz w:val="20"/>
        </w:rPr>
        <w:t>Ποσοστό των ατόμων με επίπεδα αντισωμάτων που θεωρούνται προστατευτικά έναντι της νόσου (</w:t>
      </w:r>
      <w:r w:rsidRPr="00A8793B">
        <w:rPr>
          <w:sz w:val="20"/>
        </w:rPr>
        <w:sym w:font="Symbol" w:char="F0B3"/>
      </w:r>
      <w:r w:rsidRPr="00A8793B">
        <w:rPr>
          <w:sz w:val="20"/>
        </w:rPr>
        <w:t xml:space="preserve"> 0,1 IU/ml προσδιοριζόμενα με ELISA ή </w:t>
      </w:r>
      <w:r w:rsidRPr="00A8793B">
        <w:rPr>
          <w:sz w:val="20"/>
        </w:rPr>
        <w:sym w:font="Symbol" w:char="F0B3"/>
      </w:r>
      <w:r w:rsidRPr="00A8793B">
        <w:rPr>
          <w:sz w:val="20"/>
        </w:rPr>
        <w:t xml:space="preserve"> 0,016 IU/ml προσδιοριζόμενα με in vitro δοκιμασία εξουδετέρωσης Vero-cell).</w:t>
      </w:r>
    </w:p>
    <w:p w:rsidR="00BB5083" w:rsidRPr="00A8793B" w:rsidRDefault="00586AD8" w:rsidP="00BB5083">
      <w:pPr>
        <w:rPr>
          <w:szCs w:val="22"/>
        </w:rPr>
      </w:pPr>
      <w:r w:rsidRPr="00794F08">
        <w:rPr>
          <w:sz w:val="20"/>
        </w:rPr>
        <w:t>N:</w:t>
      </w:r>
      <w:r w:rsidR="00851836" w:rsidRPr="00A8793B">
        <w:rPr>
          <w:sz w:val="20"/>
        </w:rPr>
        <w:t xml:space="preserve"> ο ελάχιστος αριθμός ατόμων με διαθέσιμα δεδομένα για κάθε αντιγόνο</w:t>
      </w:r>
      <w:r w:rsidRPr="00794F08">
        <w:rPr>
          <w:sz w:val="20"/>
        </w:rPr>
        <w:tab/>
      </w:r>
    </w:p>
    <w:p w:rsidR="00BB5083" w:rsidRPr="00794F08" w:rsidRDefault="00BB5083" w:rsidP="00E923F4">
      <w:pPr>
        <w:rPr>
          <w:szCs w:val="22"/>
        </w:rPr>
      </w:pPr>
    </w:p>
    <w:p w:rsidR="00AC7016" w:rsidRPr="00D9164F" w:rsidRDefault="00586AD8">
      <w:pPr>
        <w:jc w:val="both"/>
        <w:rPr>
          <w:b/>
          <w:szCs w:val="22"/>
        </w:rPr>
      </w:pPr>
      <w:r w:rsidRPr="00794F08">
        <w:rPr>
          <w:szCs w:val="22"/>
        </w:rPr>
        <w:t>Τα αντιγόνα του κοκκύτη που περιέχονται στο Boostrix αποτελούν ακέραιο τμήμα του συνδυασμένου παιδιατρικού ακυτταρικού εμβολίου για τον κοκκύτη (Infanrix), για το οποίο η δραστικότητα μετά από αρχικό εμβολιασμό έχει αποδειχθεί σε μια</w:t>
      </w:r>
      <w:r w:rsidR="00851836" w:rsidRPr="00A8793B">
        <w:rPr>
          <w:szCs w:val="22"/>
        </w:rPr>
        <w:t xml:space="preserve"> </w:t>
      </w:r>
      <w:r w:rsidRPr="00794F08">
        <w:rPr>
          <w:szCs w:val="22"/>
        </w:rPr>
        <w:t>μελέτη αποτελεσματικότητας σε περιβάλλον επαφής με την οικογένεια. Οι τίτλοι αντισωμάτων και στα τρία συστατικά του κοκκύτη μετά από εμβολιασμό με Boostrix είναι υψηλότεροι από αυτούς που παρατηρήθηκαν στη μελέτη αποτελεσματικότητας σε περιβάλλον επαφής με την οικογένεια. Με βάση αυτές τις συγκρίσεις, το Boostrix θα πρέπει να παρέχει προστασία έναντι του κοκκύτη, ωστόσο ο βαθμός και η διάρκεια της προστασίας που παρέχονται από το εμβόλιο δεν έχουν προσδιοριστεί.</w:t>
      </w:r>
    </w:p>
    <w:p w:rsidR="00AC7016" w:rsidRPr="00D9164F" w:rsidRDefault="00851836">
      <w:pPr>
        <w:rPr>
          <w:szCs w:val="22"/>
        </w:rPr>
      </w:pPr>
      <w:r w:rsidRPr="00A8793B">
        <w:t>Αξιολογήθηκε η ανοσογονικότητα του Boostrix, όταν χορηγήθηκε 10 χρόνια μετά από προηγούμενη αναμνηστική δόση εμβολίου(ων) με μειωμένο περιεχόμενο σε αντιγόνο έναντι διφθερίτιδας, τετάνου και ακυτταρικού κοκκύτη . Ένα μήνα πριν από τον εμβολιασμό,</w:t>
      </w:r>
      <w:r w:rsidRPr="00A8793B">
        <w:rPr>
          <w:u w:val="single"/>
        </w:rPr>
        <w:t xml:space="preserve"> &gt;</w:t>
      </w:r>
      <w:r w:rsidRPr="00A8793B">
        <w:t xml:space="preserve"> 99 % </w:t>
      </w:r>
      <w:r w:rsidR="00586AD8" w:rsidRPr="00794F08">
        <w:t xml:space="preserve">των ατόμων ήταν προστατευμένα στον ορό έναντι διφθερίτιδας και τετάνου και οροθετικά έναντι του κοκκύτη. </w:t>
      </w:r>
      <w:r w:rsidRPr="00A8793B">
        <w:t xml:space="preserve"> </w:t>
      </w:r>
    </w:p>
    <w:p w:rsidR="00851836" w:rsidRDefault="00586AD8" w:rsidP="00A8793B">
      <w:pPr>
        <w:tabs>
          <w:tab w:val="clear" w:pos="567"/>
          <w:tab w:val="left" w:pos="0"/>
        </w:tabs>
        <w:ind w:right="82"/>
      </w:pPr>
      <w:r w:rsidRPr="00794F08">
        <w:rPr>
          <w:iCs/>
        </w:rPr>
        <w:t xml:space="preserve">Μετά τη χορήγηση μιας δόσης Boostrix σε 139 ενήλικες ηλικίας </w:t>
      </w:r>
      <w:r w:rsidRPr="00794F08">
        <w:rPr>
          <w:iCs/>
        </w:rPr>
        <w:sym w:font="Symbol" w:char="F0B3"/>
      </w:r>
      <w:r w:rsidRPr="00794F08">
        <w:rPr>
          <w:iCs/>
        </w:rPr>
        <w:t xml:space="preserve"> 40 ετών </w:t>
      </w:r>
      <w:r w:rsidR="00851836" w:rsidRPr="00A8793B">
        <w:rPr>
          <w:iCs/>
        </w:rPr>
        <w:t xml:space="preserve">οι </w:t>
      </w:r>
      <w:r w:rsidRPr="00794F08">
        <w:rPr>
          <w:iCs/>
        </w:rPr>
        <w:t>οποίοι δεν είχαν λάβει κανένα εμβόλιο που</w:t>
      </w:r>
      <w:r w:rsidR="00851836" w:rsidRPr="00A8793B">
        <w:rPr>
          <w:iCs/>
        </w:rPr>
        <w:t xml:space="preserve"> να</w:t>
      </w:r>
      <w:r w:rsidRPr="00794F08">
        <w:rPr>
          <w:iCs/>
        </w:rPr>
        <w:t xml:space="preserve"> περιέχει στελέχη έναντι διφθερίτιδας και τετάνου τα τελευταία 20 χρόνια, περισσότερα από 98.5% των ενηλίκων ήταν οροθετικά </w:t>
      </w:r>
      <w:r w:rsidR="00851836" w:rsidRPr="00A8793B">
        <w:rPr>
          <w:iCs/>
        </w:rPr>
        <w:t xml:space="preserve">και </w:t>
      </w:r>
      <w:r w:rsidRPr="00794F08">
        <w:rPr>
          <w:iCs/>
        </w:rPr>
        <w:t xml:space="preserve">για τα τρία αντιγόνα κοκκύτη και 81.5% και 93.4% ήταν οροπροστατευμένα έναντι διφθερίτιδας και τετάνου αντίστοιχα. Μετά τη χορήγηση δυο επιπλέον δόσεων ένα και έξι μήνες πριν από την πρώτη δόση, το ποσοστό οροθετικότητας ήταν 100% </w:t>
      </w:r>
      <w:r w:rsidR="00851836" w:rsidRPr="00A8793B">
        <w:rPr>
          <w:iCs/>
        </w:rPr>
        <w:t xml:space="preserve"> και</w:t>
      </w:r>
      <w:r w:rsidRPr="00794F08">
        <w:rPr>
          <w:iCs/>
        </w:rPr>
        <w:t xml:space="preserve">για τα τρια αντιγόνα του κοκκύτη και τα ποσοστά οροθετικότητας για τη διφθερίτιδα και τον τέτανο έφτασαν το 99.3% και 100% αντίστοιχα. </w:t>
      </w:r>
    </w:p>
    <w:p w:rsidR="007621BE" w:rsidRPr="00794F08" w:rsidRDefault="007621BE">
      <w:pPr>
        <w:tabs>
          <w:tab w:val="left" w:pos="426"/>
        </w:tabs>
        <w:jc w:val="both"/>
        <w:rPr>
          <w:b/>
          <w:szCs w:val="22"/>
        </w:rPr>
      </w:pPr>
    </w:p>
    <w:p w:rsidR="007621BE" w:rsidRPr="00D9164F" w:rsidRDefault="00586AD8">
      <w:pPr>
        <w:jc w:val="both"/>
        <w:rPr>
          <w:szCs w:val="22"/>
        </w:rPr>
      </w:pPr>
      <w:r w:rsidRPr="00794F08">
        <w:rPr>
          <w:b/>
          <w:szCs w:val="22"/>
        </w:rPr>
        <w:t>5.2</w:t>
      </w:r>
      <w:r w:rsidRPr="00794F08">
        <w:rPr>
          <w:b/>
          <w:szCs w:val="22"/>
        </w:rPr>
        <w:tab/>
        <w:t>Φαρμακοκινητικές ιδιότητες</w:t>
      </w:r>
    </w:p>
    <w:p w:rsidR="007621BE" w:rsidRPr="00794F08" w:rsidRDefault="00586AD8">
      <w:pPr>
        <w:jc w:val="both"/>
        <w:rPr>
          <w:szCs w:val="22"/>
        </w:rPr>
      </w:pPr>
      <w:r w:rsidRPr="00794F08">
        <w:rPr>
          <w:szCs w:val="22"/>
        </w:rPr>
        <w:t>Για τα εμβόλια δεν απαιτείται αξιολόγηση των φαρμακοκινητικών ιδιοτήτων.</w:t>
      </w:r>
    </w:p>
    <w:p w:rsidR="007621BE" w:rsidRPr="00794F08" w:rsidRDefault="007621BE">
      <w:pPr>
        <w:jc w:val="both"/>
        <w:rPr>
          <w:szCs w:val="22"/>
        </w:rPr>
      </w:pPr>
    </w:p>
    <w:p w:rsidR="007621BE" w:rsidRPr="00D9164F" w:rsidRDefault="00586AD8">
      <w:pPr>
        <w:jc w:val="both"/>
        <w:rPr>
          <w:szCs w:val="22"/>
        </w:rPr>
      </w:pPr>
      <w:r w:rsidRPr="00794F08">
        <w:rPr>
          <w:b/>
          <w:szCs w:val="22"/>
        </w:rPr>
        <w:t>5.3</w:t>
      </w:r>
      <w:r w:rsidRPr="00794F08">
        <w:rPr>
          <w:b/>
          <w:szCs w:val="22"/>
        </w:rPr>
        <w:tab/>
        <w:t>Προκλινικά δεδομένα για την ασφάλεια</w:t>
      </w:r>
    </w:p>
    <w:p w:rsidR="007621BE" w:rsidRPr="00794F08" w:rsidRDefault="00586AD8">
      <w:pPr>
        <w:jc w:val="both"/>
        <w:rPr>
          <w:szCs w:val="22"/>
        </w:rPr>
      </w:pPr>
      <w:r w:rsidRPr="00794F08">
        <w:rPr>
          <w:szCs w:val="22"/>
        </w:rPr>
        <w:t>Τα προκλινικά δεδομένα δεν αποκαλύπτουν ιδιαίτερο κίνδυνο για τον άνθρωπο με βάση τις συμβατικές μελέτες ασφάλειας, ειδικής τοξικότητας και συμβατότητας των συστατικών.</w:t>
      </w:r>
    </w:p>
    <w:p w:rsidR="007621BE" w:rsidRPr="00D9164F" w:rsidRDefault="007621BE">
      <w:pPr>
        <w:jc w:val="both"/>
        <w:rPr>
          <w:szCs w:val="22"/>
        </w:rPr>
      </w:pPr>
    </w:p>
    <w:p w:rsidR="007621BE" w:rsidRPr="00D9164F" w:rsidRDefault="00586AD8">
      <w:pPr>
        <w:jc w:val="both"/>
        <w:rPr>
          <w:szCs w:val="22"/>
        </w:rPr>
      </w:pPr>
      <w:r w:rsidRPr="00794F08">
        <w:rPr>
          <w:b/>
          <w:szCs w:val="22"/>
        </w:rPr>
        <w:t>6.</w:t>
      </w:r>
      <w:r w:rsidRPr="00794F08">
        <w:rPr>
          <w:b/>
          <w:szCs w:val="22"/>
        </w:rPr>
        <w:tab/>
        <w:t>ΦΑΡΜΑΚΕΥΤΙΚΕΣ ΠΛΗΡΟΦΟΡΙΕΣ</w:t>
      </w:r>
    </w:p>
    <w:p w:rsidR="007621BE" w:rsidRPr="00D9164F" w:rsidRDefault="00586AD8">
      <w:pPr>
        <w:jc w:val="both"/>
        <w:rPr>
          <w:szCs w:val="22"/>
        </w:rPr>
      </w:pPr>
      <w:r w:rsidRPr="00794F08">
        <w:rPr>
          <w:b/>
          <w:szCs w:val="22"/>
        </w:rPr>
        <w:t>6.1</w:t>
      </w:r>
      <w:r w:rsidRPr="00794F08">
        <w:rPr>
          <w:b/>
          <w:szCs w:val="22"/>
        </w:rPr>
        <w:tab/>
        <w:t>Κατάλογος εκδόχων</w:t>
      </w:r>
    </w:p>
    <w:p w:rsidR="007621BE" w:rsidRPr="00794F08" w:rsidRDefault="00586AD8">
      <w:pPr>
        <w:jc w:val="both"/>
        <w:rPr>
          <w:szCs w:val="22"/>
        </w:rPr>
      </w:pPr>
      <w:r w:rsidRPr="00794F08">
        <w:rPr>
          <w:szCs w:val="22"/>
        </w:rPr>
        <w:t>Χλωριούχο νάτριο</w:t>
      </w:r>
    </w:p>
    <w:p w:rsidR="00014E11" w:rsidRPr="00D9164F" w:rsidRDefault="00586AD8" w:rsidP="00201890">
      <w:pPr>
        <w:tabs>
          <w:tab w:val="clear" w:pos="567"/>
        </w:tabs>
        <w:jc w:val="both"/>
        <w:rPr>
          <w:szCs w:val="22"/>
        </w:rPr>
      </w:pPr>
      <w:r w:rsidRPr="00794F08">
        <w:rPr>
          <w:szCs w:val="22"/>
        </w:rPr>
        <w:t>Ύδωρ για ενέσιμα</w:t>
      </w:r>
    </w:p>
    <w:p w:rsidR="00201890" w:rsidRPr="00794F08" w:rsidRDefault="00586AD8" w:rsidP="00201890">
      <w:pPr>
        <w:tabs>
          <w:tab w:val="clear" w:pos="567"/>
        </w:tabs>
        <w:jc w:val="both"/>
        <w:rPr>
          <w:szCs w:val="22"/>
        </w:rPr>
      </w:pPr>
      <w:r w:rsidRPr="00794F08">
        <w:rPr>
          <w:szCs w:val="22"/>
        </w:rPr>
        <w:t>Για ανοσοενισχυτικά, βλέπε παράγραφο 2.</w:t>
      </w:r>
    </w:p>
    <w:p w:rsidR="007621BE" w:rsidRPr="00A8793B" w:rsidRDefault="007621BE">
      <w:pPr>
        <w:tabs>
          <w:tab w:val="clear" w:pos="567"/>
        </w:tabs>
        <w:jc w:val="both"/>
        <w:rPr>
          <w:szCs w:val="22"/>
        </w:rPr>
      </w:pPr>
    </w:p>
    <w:p w:rsidR="00AC7016" w:rsidRPr="00D9164F" w:rsidRDefault="00586AD8">
      <w:pPr>
        <w:jc w:val="both"/>
        <w:rPr>
          <w:szCs w:val="22"/>
        </w:rPr>
      </w:pPr>
      <w:r w:rsidRPr="00794F08">
        <w:rPr>
          <w:b/>
          <w:szCs w:val="22"/>
        </w:rPr>
        <w:t>6.2</w:t>
      </w:r>
      <w:r w:rsidRPr="00794F08">
        <w:rPr>
          <w:b/>
          <w:szCs w:val="22"/>
        </w:rPr>
        <w:tab/>
        <w:t>Ασυμβατότητες</w:t>
      </w:r>
    </w:p>
    <w:p w:rsidR="007621BE" w:rsidRPr="00794F08" w:rsidRDefault="00851836">
      <w:pPr>
        <w:jc w:val="both"/>
        <w:rPr>
          <w:szCs w:val="22"/>
        </w:rPr>
      </w:pPr>
      <w:r w:rsidRPr="00A8793B">
        <w:rPr>
          <w:szCs w:val="22"/>
        </w:rPr>
        <w:t>Το Boostrix δεν πρέπει να αναμειγνύεται με άλλα εμβόλια στην ίδια σύριγγα</w:t>
      </w:r>
      <w:r w:rsidR="00586AD8" w:rsidRPr="00794F08">
        <w:rPr>
          <w:szCs w:val="22"/>
        </w:rPr>
        <w:t>.</w:t>
      </w:r>
    </w:p>
    <w:p w:rsidR="007621BE" w:rsidRPr="00794F08" w:rsidRDefault="007621BE">
      <w:pPr>
        <w:tabs>
          <w:tab w:val="clear" w:pos="567"/>
        </w:tabs>
        <w:jc w:val="both"/>
        <w:rPr>
          <w:szCs w:val="22"/>
        </w:rPr>
      </w:pPr>
    </w:p>
    <w:p w:rsidR="00AC7016" w:rsidRPr="00D9164F" w:rsidRDefault="00586AD8">
      <w:pPr>
        <w:jc w:val="both"/>
        <w:rPr>
          <w:szCs w:val="22"/>
        </w:rPr>
      </w:pPr>
      <w:r w:rsidRPr="00794F08">
        <w:rPr>
          <w:b/>
          <w:szCs w:val="22"/>
        </w:rPr>
        <w:t>6.3</w:t>
      </w:r>
      <w:r w:rsidRPr="00794F08">
        <w:rPr>
          <w:b/>
          <w:szCs w:val="22"/>
        </w:rPr>
        <w:tab/>
        <w:t>Διάρκεια ζωής</w:t>
      </w:r>
    </w:p>
    <w:p w:rsidR="007621BE" w:rsidRPr="00794F08" w:rsidRDefault="00586AD8">
      <w:pPr>
        <w:tabs>
          <w:tab w:val="left" w:pos="426"/>
        </w:tabs>
        <w:jc w:val="both"/>
        <w:rPr>
          <w:szCs w:val="22"/>
        </w:rPr>
      </w:pPr>
      <w:r w:rsidRPr="00794F08">
        <w:rPr>
          <w:szCs w:val="22"/>
        </w:rPr>
        <w:t>3 χρόνια</w:t>
      </w:r>
    </w:p>
    <w:p w:rsidR="007621BE" w:rsidRPr="00794F08" w:rsidRDefault="007621BE">
      <w:pPr>
        <w:tabs>
          <w:tab w:val="clear" w:pos="567"/>
          <w:tab w:val="left" w:pos="426"/>
        </w:tabs>
        <w:jc w:val="both"/>
        <w:rPr>
          <w:szCs w:val="22"/>
        </w:rPr>
      </w:pPr>
    </w:p>
    <w:p w:rsidR="00AC7016" w:rsidRPr="00D9164F" w:rsidRDefault="00586AD8">
      <w:pPr>
        <w:jc w:val="both"/>
        <w:rPr>
          <w:szCs w:val="22"/>
        </w:rPr>
      </w:pPr>
      <w:r w:rsidRPr="00794F08">
        <w:rPr>
          <w:b/>
          <w:szCs w:val="22"/>
        </w:rPr>
        <w:t>6.4</w:t>
      </w:r>
      <w:r w:rsidRPr="00794F08">
        <w:rPr>
          <w:b/>
          <w:szCs w:val="22"/>
        </w:rPr>
        <w:tab/>
        <w:t>Ιδιαίτερες προφυλάξεις κατά την φύλαξη του προϊόντος</w:t>
      </w:r>
    </w:p>
    <w:p w:rsidR="00AC7016" w:rsidRPr="00D9164F" w:rsidRDefault="00586AD8">
      <w:pPr>
        <w:jc w:val="both"/>
        <w:rPr>
          <w:szCs w:val="22"/>
        </w:rPr>
      </w:pPr>
      <w:r w:rsidRPr="00794F08">
        <w:rPr>
          <w:szCs w:val="22"/>
        </w:rPr>
        <w:t>Φυλάσσεται σε ψυγείο (2°C - 8°C).</w:t>
      </w:r>
    </w:p>
    <w:p w:rsidR="002050BA" w:rsidRPr="00794F08" w:rsidRDefault="00586AD8" w:rsidP="002050BA">
      <w:pPr>
        <w:jc w:val="both"/>
        <w:rPr>
          <w:szCs w:val="22"/>
        </w:rPr>
      </w:pPr>
      <w:r w:rsidRPr="00794F08">
        <w:rPr>
          <w:szCs w:val="22"/>
        </w:rPr>
        <w:t xml:space="preserve">Εκτός ψυγείου, το εμβόλιο είναι σταθερό για 8 ώρες σε </w:t>
      </w:r>
      <w:r w:rsidR="00851836" w:rsidRPr="00A8793B">
        <w:rPr>
          <w:szCs w:val="22"/>
        </w:rPr>
        <w:t>+</w:t>
      </w:r>
      <w:r w:rsidRPr="00794F08">
        <w:rPr>
          <w:szCs w:val="22"/>
        </w:rPr>
        <w:t>21°C.</w:t>
      </w:r>
    </w:p>
    <w:p w:rsidR="002050BA" w:rsidRPr="00794F08" w:rsidRDefault="002050BA">
      <w:pPr>
        <w:jc w:val="both"/>
        <w:rPr>
          <w:b/>
          <w:szCs w:val="22"/>
        </w:rPr>
      </w:pPr>
    </w:p>
    <w:p w:rsidR="00014E11" w:rsidRPr="00D9164F" w:rsidRDefault="00586AD8">
      <w:pPr>
        <w:jc w:val="both"/>
        <w:rPr>
          <w:szCs w:val="22"/>
        </w:rPr>
      </w:pPr>
      <w:r w:rsidRPr="00794F08">
        <w:rPr>
          <w:b/>
          <w:szCs w:val="22"/>
        </w:rPr>
        <w:t>Να μην το καταψύχετε.</w:t>
      </w:r>
      <w:r w:rsidRPr="00794F08">
        <w:rPr>
          <w:szCs w:val="22"/>
        </w:rPr>
        <w:t xml:space="preserve">  </w:t>
      </w:r>
    </w:p>
    <w:p w:rsidR="007621BE" w:rsidRPr="00794F08" w:rsidRDefault="00586AD8">
      <w:pPr>
        <w:jc w:val="both"/>
        <w:rPr>
          <w:szCs w:val="22"/>
        </w:rPr>
      </w:pPr>
      <w:r w:rsidRPr="00794F08">
        <w:rPr>
          <w:szCs w:val="22"/>
        </w:rPr>
        <w:t>Φυλάσσεται στην αρχική συσκευασία για να προστατεύεται από το φως.</w:t>
      </w:r>
    </w:p>
    <w:p w:rsidR="007621BE" w:rsidRPr="00794F08" w:rsidRDefault="007621BE">
      <w:pPr>
        <w:tabs>
          <w:tab w:val="clear" w:pos="567"/>
        </w:tabs>
        <w:jc w:val="both"/>
        <w:rPr>
          <w:szCs w:val="22"/>
        </w:rPr>
      </w:pPr>
    </w:p>
    <w:p w:rsidR="007621BE" w:rsidRPr="00D9164F" w:rsidRDefault="00586AD8">
      <w:pPr>
        <w:jc w:val="both"/>
        <w:rPr>
          <w:szCs w:val="22"/>
        </w:rPr>
      </w:pPr>
      <w:r w:rsidRPr="00794F08">
        <w:rPr>
          <w:b/>
          <w:szCs w:val="22"/>
        </w:rPr>
        <w:t>6.5</w:t>
      </w:r>
      <w:r w:rsidRPr="00794F08">
        <w:rPr>
          <w:b/>
          <w:szCs w:val="22"/>
        </w:rPr>
        <w:tab/>
        <w:t>Φύση και συστατικά του περιέκτη</w:t>
      </w:r>
    </w:p>
    <w:p w:rsidR="007621BE" w:rsidRPr="00D9164F" w:rsidRDefault="00586AD8">
      <w:pPr>
        <w:jc w:val="both"/>
        <w:rPr>
          <w:szCs w:val="22"/>
        </w:rPr>
      </w:pPr>
      <w:r w:rsidRPr="00794F08">
        <w:rPr>
          <w:szCs w:val="22"/>
        </w:rPr>
        <w:t xml:space="preserve">0,5 </w:t>
      </w:r>
      <w:r w:rsidRPr="00794F08">
        <w:rPr>
          <w:szCs w:val="22"/>
          <w:lang w:val="en-US"/>
        </w:rPr>
        <w:t>ml</w:t>
      </w:r>
      <w:r w:rsidRPr="00794F08">
        <w:rPr>
          <w:szCs w:val="22"/>
        </w:rPr>
        <w:t xml:space="preserve"> εναιωρήματος σε προγεμισμένες σύριγγες (γυαλί τύπου Ι) με πώμα (καουτσούκ από βουτύλιο) με ή χωρίς βελόνες σε συσκευασίες του 1, 10, 20, 25 ή 50.</w:t>
      </w:r>
    </w:p>
    <w:p w:rsidR="007621BE" w:rsidRPr="00794F08" w:rsidRDefault="00586AD8">
      <w:pPr>
        <w:jc w:val="both"/>
        <w:rPr>
          <w:szCs w:val="22"/>
        </w:rPr>
      </w:pPr>
      <w:r w:rsidRPr="00794F08">
        <w:rPr>
          <w:szCs w:val="22"/>
        </w:rPr>
        <w:t>Μπορεί να μη κυκλοφορούν όλες οι συσκευασίες.</w:t>
      </w:r>
    </w:p>
    <w:p w:rsidR="007621BE" w:rsidRPr="00794F08" w:rsidRDefault="007621BE">
      <w:pPr>
        <w:jc w:val="both"/>
        <w:rPr>
          <w:b/>
          <w:szCs w:val="22"/>
        </w:rPr>
      </w:pPr>
    </w:p>
    <w:p w:rsidR="00AC7016" w:rsidRPr="00D9164F" w:rsidRDefault="00586AD8">
      <w:pPr>
        <w:numPr>
          <w:ilvl w:val="1"/>
          <w:numId w:val="63"/>
        </w:numPr>
        <w:jc w:val="both"/>
        <w:rPr>
          <w:szCs w:val="22"/>
        </w:rPr>
      </w:pPr>
      <w:r w:rsidRPr="00794F08">
        <w:rPr>
          <w:b/>
          <w:szCs w:val="22"/>
        </w:rPr>
        <w:t xml:space="preserve"> Ιδιαίτερες προφυλάξεις απόρριψης και άλλος χειρισμός</w:t>
      </w:r>
    </w:p>
    <w:p w:rsidR="007621BE" w:rsidRPr="00D9164F" w:rsidRDefault="00586AD8">
      <w:pPr>
        <w:jc w:val="both"/>
        <w:rPr>
          <w:szCs w:val="22"/>
        </w:rPr>
      </w:pPr>
      <w:r w:rsidRPr="00794F08">
        <w:rPr>
          <w:szCs w:val="22"/>
        </w:rPr>
        <w:t>Πριν από τη χρήση, το εμβόλιο θα πρέπει να βρίσκεται σε θερμοκρασία δωματίου και να ανακινείται καλά, ώστε να επιτυγχάνεται ένα ομογενοποιημένο θολό λευκό εναιώρημα. Πριν τη χορήγηση, το εμβόλιο θα πρέπει να επιθεωρείται οπτικά για την ύπαρξη ξένων σωματιδίων και/ή διαφοροποίησης της φυσικής του εμφάνισης. Στην περίπτωση που παρατηρηθεί οτιδήποτε από τα παραπάνω, απορρίψτε το εμβόλιο.</w:t>
      </w:r>
    </w:p>
    <w:p w:rsidR="00E718C9" w:rsidRPr="00794F08" w:rsidRDefault="00586AD8" w:rsidP="00E718C9">
      <w:pPr>
        <w:tabs>
          <w:tab w:val="clear" w:pos="567"/>
          <w:tab w:val="left" w:pos="0"/>
        </w:tabs>
      </w:pPr>
      <w:r w:rsidRPr="00794F08">
        <w:t xml:space="preserve">Κάθε </w:t>
      </w:r>
      <w:r w:rsidRPr="00794F08">
        <w:rPr>
          <w:noProof/>
        </w:rPr>
        <w:t xml:space="preserve">αχρησιμοποίητο φαρμακευτικό </w:t>
      </w:r>
      <w:r w:rsidRPr="00794F08">
        <w:t xml:space="preserve">προϊόν ή υπόλειμμα πρέπει να </w:t>
      </w:r>
      <w:r w:rsidRPr="00794F08">
        <w:rPr>
          <w:noProof/>
        </w:rPr>
        <w:t xml:space="preserve">απορρίπτεται </w:t>
      </w:r>
      <w:r w:rsidRPr="00794F08">
        <w:t>σύμφωνα με τις κατά τόπους ισχύουσες σχετικές διατάξεις.</w:t>
      </w:r>
    </w:p>
    <w:p w:rsidR="007621BE" w:rsidRPr="00794F08" w:rsidRDefault="007621BE">
      <w:pPr>
        <w:jc w:val="both"/>
        <w:rPr>
          <w:szCs w:val="22"/>
        </w:rPr>
      </w:pPr>
    </w:p>
    <w:p w:rsidR="007621BE" w:rsidRPr="00D9164F" w:rsidRDefault="00586AD8">
      <w:pPr>
        <w:jc w:val="both"/>
        <w:rPr>
          <w:szCs w:val="22"/>
        </w:rPr>
      </w:pPr>
      <w:r w:rsidRPr="00794F08">
        <w:rPr>
          <w:b/>
          <w:szCs w:val="22"/>
        </w:rPr>
        <w:t>7.</w:t>
      </w:r>
      <w:r w:rsidRPr="00794F08">
        <w:rPr>
          <w:b/>
          <w:szCs w:val="22"/>
        </w:rPr>
        <w:tab/>
        <w:t>ΚΑΤΟΧΟΣ ΤΗΣ ΑΔΕΙΑΣ ΚΥΚΛΟΦΟΡΙΑΣ</w:t>
      </w:r>
    </w:p>
    <w:p w:rsidR="002D5F5F" w:rsidRPr="00794F08" w:rsidRDefault="00586AD8">
      <w:pPr>
        <w:jc w:val="both"/>
        <w:rPr>
          <w:i/>
          <w:szCs w:val="22"/>
        </w:rPr>
      </w:pPr>
      <w:r w:rsidRPr="00794F08">
        <w:rPr>
          <w:i/>
          <w:szCs w:val="22"/>
        </w:rPr>
        <w:t xml:space="preserve">Δικαιούχος σήματος: </w:t>
      </w:r>
    </w:p>
    <w:p w:rsidR="007621BE" w:rsidRPr="00794F08" w:rsidRDefault="00586AD8">
      <w:pPr>
        <w:jc w:val="both"/>
        <w:rPr>
          <w:szCs w:val="22"/>
        </w:rPr>
      </w:pPr>
      <w:r w:rsidRPr="00794F08">
        <w:rPr>
          <w:szCs w:val="22"/>
          <w:lang w:val="en-US"/>
        </w:rPr>
        <w:t>Glaxo</w:t>
      </w:r>
      <w:r w:rsidRPr="00794F08">
        <w:rPr>
          <w:szCs w:val="22"/>
        </w:rPr>
        <w:t>SmithKline Biologicals S.A., Βέλγιο</w:t>
      </w:r>
    </w:p>
    <w:p w:rsidR="007621BE" w:rsidRPr="00794F08" w:rsidRDefault="007621BE">
      <w:pPr>
        <w:jc w:val="both"/>
        <w:rPr>
          <w:szCs w:val="22"/>
        </w:rPr>
      </w:pPr>
    </w:p>
    <w:p w:rsidR="007621BE" w:rsidRPr="00794F08" w:rsidRDefault="00851836">
      <w:pPr>
        <w:jc w:val="both"/>
        <w:rPr>
          <w:i/>
          <w:szCs w:val="22"/>
        </w:rPr>
      </w:pPr>
      <w:r w:rsidRPr="00A8793B">
        <w:rPr>
          <w:i/>
          <w:szCs w:val="22"/>
        </w:rPr>
        <w:t xml:space="preserve">Κάτοχος άδειας </w:t>
      </w:r>
      <w:r w:rsidR="00586AD8" w:rsidRPr="00794F08">
        <w:rPr>
          <w:i/>
          <w:szCs w:val="22"/>
        </w:rPr>
        <w:t>κυκλοφορίας στην Ελλάδα:</w:t>
      </w:r>
    </w:p>
    <w:p w:rsidR="002D5F5F" w:rsidRPr="00794F08" w:rsidRDefault="00586AD8">
      <w:pPr>
        <w:jc w:val="both"/>
        <w:rPr>
          <w:szCs w:val="22"/>
        </w:rPr>
      </w:pPr>
      <w:r w:rsidRPr="00794F08">
        <w:rPr>
          <w:szCs w:val="22"/>
          <w:lang w:val="en-US"/>
        </w:rPr>
        <w:t>GlaxoSmithKline</w:t>
      </w:r>
      <w:r w:rsidRPr="00794F08">
        <w:rPr>
          <w:szCs w:val="22"/>
        </w:rPr>
        <w:t xml:space="preserve"> α.ε.β.ε</w:t>
      </w:r>
    </w:p>
    <w:p w:rsidR="003D76FD" w:rsidRPr="00794F08" w:rsidRDefault="00586AD8">
      <w:pPr>
        <w:jc w:val="both"/>
        <w:rPr>
          <w:szCs w:val="22"/>
        </w:rPr>
      </w:pPr>
      <w:r w:rsidRPr="00794F08">
        <w:rPr>
          <w:szCs w:val="22"/>
        </w:rPr>
        <w:t>Λ. Κηφισίας 266</w:t>
      </w:r>
    </w:p>
    <w:p w:rsidR="007621BE" w:rsidRPr="00794F08" w:rsidRDefault="00586AD8">
      <w:pPr>
        <w:jc w:val="both"/>
        <w:rPr>
          <w:szCs w:val="22"/>
        </w:rPr>
      </w:pPr>
      <w:r w:rsidRPr="00794F08">
        <w:rPr>
          <w:szCs w:val="22"/>
        </w:rPr>
        <w:t>152 32, Χαλάνδρι</w:t>
      </w:r>
    </w:p>
    <w:p w:rsidR="007621BE" w:rsidRPr="00794F08" w:rsidRDefault="00586AD8">
      <w:pPr>
        <w:jc w:val="both"/>
        <w:rPr>
          <w:szCs w:val="22"/>
        </w:rPr>
      </w:pPr>
      <w:r w:rsidRPr="00794F08">
        <w:rPr>
          <w:szCs w:val="22"/>
        </w:rPr>
        <w:t>Τηλ. 210 6882100</w:t>
      </w:r>
    </w:p>
    <w:p w:rsidR="002D5F5F" w:rsidRPr="00794F08" w:rsidRDefault="002D5F5F">
      <w:pPr>
        <w:jc w:val="both"/>
        <w:rPr>
          <w:b/>
          <w:szCs w:val="22"/>
        </w:rPr>
      </w:pPr>
    </w:p>
    <w:p w:rsidR="002A7DDF" w:rsidRPr="00794F08" w:rsidRDefault="00586AD8" w:rsidP="002A7DDF">
      <w:pPr>
        <w:jc w:val="both"/>
        <w:rPr>
          <w:i/>
          <w:szCs w:val="22"/>
        </w:rPr>
      </w:pPr>
      <w:r w:rsidRPr="00794F08">
        <w:rPr>
          <w:i/>
          <w:szCs w:val="22"/>
        </w:rPr>
        <w:t>Κάτοχος άδειας κυκλοφορίας στην Κύπρο:</w:t>
      </w:r>
    </w:p>
    <w:p w:rsidR="002A7DDF" w:rsidRPr="00A8793B" w:rsidRDefault="00851836" w:rsidP="002A7DDF">
      <w:pPr>
        <w:tabs>
          <w:tab w:val="clear" w:pos="567"/>
        </w:tabs>
        <w:autoSpaceDE w:val="0"/>
        <w:autoSpaceDN w:val="0"/>
        <w:adjustRightInd w:val="0"/>
        <w:rPr>
          <w:bCs/>
          <w:szCs w:val="22"/>
        </w:rPr>
      </w:pPr>
      <w:r w:rsidRPr="00A8793B">
        <w:rPr>
          <w:bCs/>
          <w:szCs w:val="22"/>
        </w:rPr>
        <w:t>GlaxoSmithKline (Cyprus) Ltd</w:t>
      </w:r>
      <w:r w:rsidRPr="00A8793B">
        <w:rPr>
          <w:szCs w:val="22"/>
        </w:rPr>
        <w:t xml:space="preserve"> </w:t>
      </w:r>
    </w:p>
    <w:p w:rsidR="002A7DDF" w:rsidRPr="00A8793B" w:rsidRDefault="00851836" w:rsidP="002A7DDF">
      <w:pPr>
        <w:tabs>
          <w:tab w:val="clear" w:pos="567"/>
        </w:tabs>
        <w:autoSpaceDE w:val="0"/>
        <w:autoSpaceDN w:val="0"/>
        <w:adjustRightInd w:val="0"/>
        <w:rPr>
          <w:bCs/>
          <w:szCs w:val="22"/>
        </w:rPr>
      </w:pPr>
      <w:r w:rsidRPr="00A8793B">
        <w:rPr>
          <w:bCs/>
          <w:szCs w:val="22"/>
        </w:rPr>
        <w:t>Λεωφ Κέννεντυ 12-14</w:t>
      </w:r>
      <w:r w:rsidRPr="00A8793B">
        <w:rPr>
          <w:szCs w:val="22"/>
        </w:rPr>
        <w:t xml:space="preserve"> </w:t>
      </w:r>
    </w:p>
    <w:p w:rsidR="002A7DDF" w:rsidRPr="00A8793B" w:rsidRDefault="00851836" w:rsidP="002A7DDF">
      <w:pPr>
        <w:tabs>
          <w:tab w:val="clear" w:pos="567"/>
        </w:tabs>
        <w:autoSpaceDE w:val="0"/>
        <w:autoSpaceDN w:val="0"/>
        <w:adjustRightInd w:val="0"/>
        <w:rPr>
          <w:bCs/>
          <w:szCs w:val="22"/>
        </w:rPr>
      </w:pPr>
      <w:r w:rsidRPr="00A8793B">
        <w:rPr>
          <w:bCs/>
          <w:szCs w:val="22"/>
        </w:rPr>
        <w:t>4</w:t>
      </w:r>
      <w:r w:rsidRPr="00A8793B">
        <w:rPr>
          <w:bCs/>
          <w:szCs w:val="22"/>
          <w:vertAlign w:val="superscript"/>
        </w:rPr>
        <w:t>ος</w:t>
      </w:r>
      <w:r w:rsidRPr="00A8793B">
        <w:rPr>
          <w:bCs/>
          <w:szCs w:val="22"/>
        </w:rPr>
        <w:t xml:space="preserve"> Όροφος</w:t>
      </w:r>
      <w:r w:rsidRPr="00A8793B">
        <w:rPr>
          <w:szCs w:val="22"/>
        </w:rPr>
        <w:t xml:space="preserve"> </w:t>
      </w:r>
    </w:p>
    <w:p w:rsidR="002A7DDF" w:rsidRPr="00A8793B" w:rsidRDefault="00851836" w:rsidP="002A7DDF">
      <w:pPr>
        <w:tabs>
          <w:tab w:val="clear" w:pos="567"/>
        </w:tabs>
        <w:autoSpaceDE w:val="0"/>
        <w:autoSpaceDN w:val="0"/>
        <w:adjustRightInd w:val="0"/>
        <w:rPr>
          <w:szCs w:val="22"/>
        </w:rPr>
      </w:pPr>
      <w:r w:rsidRPr="00A8793B">
        <w:rPr>
          <w:bCs/>
          <w:szCs w:val="22"/>
        </w:rPr>
        <w:lastRenderedPageBreak/>
        <w:t>1087, Λευκωσία</w:t>
      </w:r>
      <w:r w:rsidRPr="00A8793B">
        <w:rPr>
          <w:szCs w:val="22"/>
        </w:rPr>
        <w:t xml:space="preserve"> </w:t>
      </w:r>
    </w:p>
    <w:p w:rsidR="002A7DDF" w:rsidRPr="00794F08" w:rsidRDefault="002A7DDF">
      <w:pPr>
        <w:jc w:val="both"/>
        <w:rPr>
          <w:b/>
          <w:szCs w:val="22"/>
        </w:rPr>
      </w:pPr>
    </w:p>
    <w:p w:rsidR="002A7DDF" w:rsidRPr="00794F08" w:rsidRDefault="002A7DDF">
      <w:pPr>
        <w:jc w:val="both"/>
        <w:rPr>
          <w:b/>
          <w:szCs w:val="22"/>
        </w:rPr>
      </w:pPr>
    </w:p>
    <w:p w:rsidR="007621BE" w:rsidRPr="00794F08" w:rsidRDefault="00586AD8">
      <w:pPr>
        <w:jc w:val="both"/>
        <w:rPr>
          <w:szCs w:val="22"/>
        </w:rPr>
      </w:pPr>
      <w:r w:rsidRPr="00794F08">
        <w:rPr>
          <w:b/>
          <w:szCs w:val="22"/>
        </w:rPr>
        <w:t>8.</w:t>
      </w:r>
      <w:r w:rsidRPr="00794F08">
        <w:rPr>
          <w:b/>
          <w:szCs w:val="22"/>
        </w:rPr>
        <w:tab/>
        <w:t>ΑΡΙΘΜΟΣ(ΟΙ) ΑΔΕΙΑΣ ΚΥΚΛΟΦΟΡΙΑΣ</w:t>
      </w:r>
    </w:p>
    <w:p w:rsidR="007621BE" w:rsidRPr="00794F08" w:rsidRDefault="007621BE">
      <w:pPr>
        <w:jc w:val="both"/>
        <w:rPr>
          <w:szCs w:val="22"/>
        </w:rPr>
      </w:pPr>
    </w:p>
    <w:p w:rsidR="007621BE" w:rsidRPr="00794F08" w:rsidRDefault="007621BE">
      <w:pPr>
        <w:jc w:val="both"/>
        <w:rPr>
          <w:szCs w:val="22"/>
        </w:rPr>
      </w:pPr>
    </w:p>
    <w:p w:rsidR="007621BE" w:rsidRPr="00794F08" w:rsidRDefault="00586AD8">
      <w:pPr>
        <w:jc w:val="both"/>
        <w:rPr>
          <w:szCs w:val="22"/>
        </w:rPr>
      </w:pPr>
      <w:r w:rsidRPr="00794F08">
        <w:rPr>
          <w:b/>
          <w:szCs w:val="22"/>
        </w:rPr>
        <w:t>9.</w:t>
      </w:r>
      <w:r w:rsidRPr="00794F08">
        <w:rPr>
          <w:b/>
          <w:szCs w:val="22"/>
        </w:rPr>
        <w:tab/>
        <w:t>ΗΜΕΡΟΜΗΝΙΑ ΠΡΩΤΗΣ ΕΓΚΡΙΣΗΣ / ΑΝΑΝΕΩΣΗΣ ΤΗΣ ΑΔΕΙΑΣ</w:t>
      </w:r>
    </w:p>
    <w:p w:rsidR="007621BE" w:rsidRPr="00794F08" w:rsidRDefault="007621BE">
      <w:pPr>
        <w:jc w:val="both"/>
        <w:rPr>
          <w:szCs w:val="22"/>
        </w:rPr>
      </w:pPr>
    </w:p>
    <w:p w:rsidR="007621BE" w:rsidRPr="00794F08" w:rsidRDefault="007621BE">
      <w:pPr>
        <w:jc w:val="both"/>
        <w:rPr>
          <w:szCs w:val="22"/>
        </w:rPr>
      </w:pPr>
    </w:p>
    <w:p w:rsidR="007621BE" w:rsidRPr="00794F08" w:rsidRDefault="00586AD8">
      <w:pPr>
        <w:jc w:val="both"/>
        <w:rPr>
          <w:b/>
          <w:szCs w:val="22"/>
        </w:rPr>
      </w:pPr>
      <w:r w:rsidRPr="00794F08">
        <w:rPr>
          <w:b/>
          <w:szCs w:val="22"/>
        </w:rPr>
        <w:t>10.</w:t>
      </w:r>
      <w:r w:rsidRPr="00794F08">
        <w:rPr>
          <w:b/>
          <w:szCs w:val="22"/>
        </w:rPr>
        <w:tab/>
        <w:t>ΗΜΕΡΟΜΗΝΙΑ ΑΝΑΘΕΩΡΗΣΗΣ ΤΟΥ ΚΕΙΜΕΝΟΥ</w:t>
      </w:r>
    </w:p>
    <w:p w:rsidR="00C40A15" w:rsidRPr="00794F08" w:rsidRDefault="00C40A15">
      <w:pPr>
        <w:jc w:val="both"/>
        <w:rPr>
          <w:szCs w:val="22"/>
        </w:rPr>
      </w:pPr>
    </w:p>
    <w:p w:rsidR="007E1F66" w:rsidRPr="00794F08" w:rsidRDefault="00586AD8">
      <w:pPr>
        <w:jc w:val="both"/>
        <w:rPr>
          <w:szCs w:val="22"/>
        </w:rPr>
      </w:pPr>
      <w:r w:rsidRPr="00794F08">
        <w:rPr>
          <w:szCs w:val="22"/>
        </w:rPr>
        <w:br w:type="page"/>
      </w:r>
    </w:p>
    <w:p w:rsidR="00C40A15" w:rsidRPr="00D9164F" w:rsidRDefault="00586AD8" w:rsidP="00C40A15">
      <w:pPr>
        <w:jc w:val="both"/>
        <w:rPr>
          <w:szCs w:val="22"/>
        </w:rPr>
      </w:pPr>
      <w:r w:rsidRPr="00794F08">
        <w:rPr>
          <w:b/>
          <w:szCs w:val="22"/>
        </w:rPr>
        <w:lastRenderedPageBreak/>
        <w:t>1.</w:t>
      </w:r>
      <w:r w:rsidRPr="00794F08">
        <w:rPr>
          <w:b/>
          <w:szCs w:val="22"/>
        </w:rPr>
        <w:tab/>
        <w:t>ΟΝΟΜΑΣΙΑ ΤΟΥ ΦΑΡΜΑΚΕΥΤΙΚΟΥ ΠΡΟΪΟΝΤΟΣ</w:t>
      </w:r>
    </w:p>
    <w:p w:rsidR="00C40A15" w:rsidRPr="00794F08" w:rsidRDefault="00586AD8" w:rsidP="00C40A15">
      <w:pPr>
        <w:jc w:val="both"/>
        <w:rPr>
          <w:szCs w:val="22"/>
        </w:rPr>
      </w:pPr>
      <w:r w:rsidRPr="00794F08">
        <w:rPr>
          <w:szCs w:val="22"/>
        </w:rPr>
        <w:t>Boostrix – ενέσιμο εναιώρημα</w:t>
      </w:r>
    </w:p>
    <w:p w:rsidR="00C40A15" w:rsidRPr="00D9164F" w:rsidRDefault="00586AD8" w:rsidP="00C40A15">
      <w:pPr>
        <w:jc w:val="both"/>
        <w:rPr>
          <w:szCs w:val="22"/>
        </w:rPr>
      </w:pPr>
      <w:r w:rsidRPr="00794F08">
        <w:rPr>
          <w:szCs w:val="22"/>
        </w:rPr>
        <w:t>Εμβόλιο (προσροφημένο, μειωμέν</w:t>
      </w:r>
      <w:r w:rsidR="00FE349E" w:rsidRPr="009E21E5">
        <w:rPr>
          <w:szCs w:val="22"/>
        </w:rPr>
        <w:t>ης περιεκτικότητας</w:t>
      </w:r>
      <w:r w:rsidR="00FE349E" w:rsidRPr="00A8793B">
        <w:rPr>
          <w:szCs w:val="22"/>
        </w:rPr>
        <w:t xml:space="preserve"> </w:t>
      </w:r>
      <w:r w:rsidRPr="00794F08">
        <w:rPr>
          <w:szCs w:val="22"/>
        </w:rPr>
        <w:t>σε αντιγόνο) διφθερίτιδας, τετάνου και κοκκύτη (ακυτταρικό).</w:t>
      </w:r>
    </w:p>
    <w:p w:rsidR="00C40A15" w:rsidRPr="00794F08" w:rsidRDefault="00C40A15" w:rsidP="00C40A15">
      <w:pPr>
        <w:jc w:val="both"/>
        <w:rPr>
          <w:szCs w:val="22"/>
        </w:rPr>
      </w:pPr>
    </w:p>
    <w:p w:rsidR="00AC7016" w:rsidRPr="00D9164F" w:rsidRDefault="00586AD8">
      <w:pPr>
        <w:jc w:val="both"/>
        <w:rPr>
          <w:szCs w:val="22"/>
        </w:rPr>
      </w:pPr>
      <w:r w:rsidRPr="00794F08">
        <w:rPr>
          <w:b/>
          <w:szCs w:val="22"/>
        </w:rPr>
        <w:t>2.</w:t>
      </w:r>
      <w:r w:rsidRPr="00794F08">
        <w:rPr>
          <w:b/>
          <w:szCs w:val="22"/>
        </w:rPr>
        <w:tab/>
        <w:t>ΠΟΙΟΤΙΚΗ ΚΑΙ ΠΟΣΟΤΙΚΗ ΣΥΝΘΕΣΗ</w:t>
      </w:r>
    </w:p>
    <w:p w:rsidR="00C40A15" w:rsidRPr="00794F08" w:rsidRDefault="00586AD8" w:rsidP="00C40A15">
      <w:pPr>
        <w:tabs>
          <w:tab w:val="left" w:pos="3402"/>
          <w:tab w:val="right" w:pos="7122"/>
        </w:tabs>
        <w:jc w:val="both"/>
        <w:rPr>
          <w:szCs w:val="22"/>
        </w:rPr>
      </w:pPr>
      <w:r w:rsidRPr="00794F08">
        <w:rPr>
          <w:szCs w:val="22"/>
        </w:rPr>
        <w:t xml:space="preserve">Μια  δόση (0,5 </w:t>
      </w:r>
      <w:r w:rsidRPr="00794F08">
        <w:rPr>
          <w:szCs w:val="22"/>
          <w:lang w:val="fr-FR"/>
        </w:rPr>
        <w:t>ml</w:t>
      </w:r>
      <w:r w:rsidRPr="00794F08">
        <w:rPr>
          <w:szCs w:val="22"/>
        </w:rPr>
        <w:t>) περιέχει:</w:t>
      </w:r>
    </w:p>
    <w:p w:rsidR="00C40A15" w:rsidRPr="00794F08" w:rsidRDefault="00C40A15" w:rsidP="00C40A15">
      <w:pPr>
        <w:tabs>
          <w:tab w:val="right" w:pos="7122"/>
        </w:tabs>
        <w:jc w:val="both"/>
        <w:rPr>
          <w:szCs w:val="22"/>
        </w:rPr>
      </w:pPr>
    </w:p>
    <w:tbl>
      <w:tblPr>
        <w:tblW w:w="8755" w:type="dxa"/>
        <w:tblLayout w:type="fixed"/>
        <w:tblLook w:val="0000"/>
      </w:tblPr>
      <w:tblGrid>
        <w:gridCol w:w="5211"/>
        <w:gridCol w:w="3544"/>
      </w:tblGrid>
      <w:tr w:rsidR="00C40A15" w:rsidRPr="00794F08">
        <w:tc>
          <w:tcPr>
            <w:tcW w:w="5211" w:type="dxa"/>
          </w:tcPr>
          <w:p w:rsidR="00C40A15" w:rsidRPr="00794F08" w:rsidRDefault="00586AD8" w:rsidP="00C40A15">
            <w:pPr>
              <w:rPr>
                <w:szCs w:val="22"/>
                <w:u w:val="single"/>
              </w:rPr>
            </w:pPr>
            <w:r w:rsidRPr="00794F08">
              <w:rPr>
                <w:szCs w:val="22"/>
              </w:rPr>
              <w:t>Τοξοειδές της διφθερίτιδας</w:t>
            </w:r>
            <w:r w:rsidRPr="00794F08">
              <w:rPr>
                <w:szCs w:val="22"/>
                <w:vertAlign w:val="superscript"/>
              </w:rPr>
              <w:t>1</w:t>
            </w:r>
          </w:p>
        </w:tc>
        <w:tc>
          <w:tcPr>
            <w:tcW w:w="3544" w:type="dxa"/>
          </w:tcPr>
          <w:p w:rsidR="004504D8" w:rsidRDefault="00586AD8" w:rsidP="00A8793B">
            <w:pPr>
              <w:jc w:val="right"/>
              <w:rPr>
                <w:szCs w:val="22"/>
                <w:u w:val="single"/>
              </w:rPr>
            </w:pPr>
            <w:r w:rsidRPr="00794F08">
              <w:rPr>
                <w:szCs w:val="22"/>
              </w:rPr>
              <w:t>όχι λιγότερο από 2 Διεθνείς μονάδες (IU)</w:t>
            </w:r>
            <w:r w:rsidRPr="00794F08">
              <w:t xml:space="preserve"> (2.5 Lf)</w:t>
            </w:r>
          </w:p>
        </w:tc>
      </w:tr>
      <w:tr w:rsidR="00C40A15" w:rsidRPr="00794F08">
        <w:tc>
          <w:tcPr>
            <w:tcW w:w="5211" w:type="dxa"/>
          </w:tcPr>
          <w:p w:rsidR="00C40A15" w:rsidRPr="00794F08" w:rsidRDefault="00586AD8" w:rsidP="00C40A15">
            <w:pPr>
              <w:rPr>
                <w:szCs w:val="22"/>
                <w:u w:val="single"/>
              </w:rPr>
            </w:pPr>
            <w:r w:rsidRPr="00794F08">
              <w:rPr>
                <w:szCs w:val="22"/>
              </w:rPr>
              <w:t>Τοξοειδές του τετάνου</w:t>
            </w:r>
            <w:r w:rsidRPr="00794F08">
              <w:rPr>
                <w:szCs w:val="22"/>
                <w:vertAlign w:val="superscript"/>
              </w:rPr>
              <w:t>1</w:t>
            </w:r>
          </w:p>
        </w:tc>
        <w:tc>
          <w:tcPr>
            <w:tcW w:w="3544" w:type="dxa"/>
          </w:tcPr>
          <w:p w:rsidR="004504D8" w:rsidRDefault="00586AD8" w:rsidP="00A8793B">
            <w:pPr>
              <w:jc w:val="right"/>
              <w:rPr>
                <w:szCs w:val="22"/>
                <w:u w:val="single"/>
              </w:rPr>
            </w:pPr>
            <w:r w:rsidRPr="00794F08">
              <w:rPr>
                <w:szCs w:val="22"/>
              </w:rPr>
              <w:t>óχι λιγότερο από 20 Διεθνείς μονάδες (IU)</w:t>
            </w:r>
            <w:r w:rsidRPr="00794F08">
              <w:t xml:space="preserve"> (5 Lf)</w:t>
            </w:r>
          </w:p>
        </w:tc>
      </w:tr>
      <w:tr w:rsidR="00C40A15" w:rsidRPr="00794F08">
        <w:tc>
          <w:tcPr>
            <w:tcW w:w="5211" w:type="dxa"/>
          </w:tcPr>
          <w:p w:rsidR="00C40A15" w:rsidRPr="00794F08" w:rsidRDefault="00586AD8" w:rsidP="00C40A15">
            <w:pPr>
              <w:rPr>
                <w:szCs w:val="22"/>
                <w:u w:val="single"/>
              </w:rPr>
            </w:pPr>
            <w:r w:rsidRPr="00794F08">
              <w:rPr>
                <w:i/>
                <w:szCs w:val="22"/>
              </w:rPr>
              <w:t xml:space="preserve">Αντιγόνα </w:t>
            </w:r>
            <w:r w:rsidRPr="00794F08">
              <w:rPr>
                <w:i/>
                <w:szCs w:val="22"/>
                <w:lang w:val="fr-FR"/>
              </w:rPr>
              <w:t>Bordetella pertussis</w:t>
            </w:r>
          </w:p>
        </w:tc>
        <w:tc>
          <w:tcPr>
            <w:tcW w:w="3544" w:type="dxa"/>
          </w:tcPr>
          <w:p w:rsidR="00C40A15" w:rsidRPr="00794F08" w:rsidRDefault="00C40A15" w:rsidP="00C40A15">
            <w:pPr>
              <w:rPr>
                <w:szCs w:val="22"/>
                <w:u w:val="single"/>
              </w:rPr>
            </w:pPr>
          </w:p>
        </w:tc>
      </w:tr>
      <w:tr w:rsidR="00C40A15" w:rsidRPr="00794F08">
        <w:tc>
          <w:tcPr>
            <w:tcW w:w="5211" w:type="dxa"/>
          </w:tcPr>
          <w:p w:rsidR="00C40A15" w:rsidRPr="00794F08" w:rsidRDefault="00586AD8" w:rsidP="00C40A15">
            <w:pPr>
              <w:rPr>
                <w:szCs w:val="22"/>
                <w:u w:val="single"/>
              </w:rPr>
            </w:pPr>
            <w:r w:rsidRPr="00794F08">
              <w:rPr>
                <w:szCs w:val="22"/>
              </w:rPr>
              <w:t xml:space="preserve">           Τοξοειδές</w:t>
            </w:r>
            <w:r w:rsidRPr="00794F08">
              <w:rPr>
                <w:szCs w:val="22"/>
                <w:lang w:val="fr-FR"/>
              </w:rPr>
              <w:t xml:space="preserve"> του κοκκύτ</w:t>
            </w:r>
            <w:r w:rsidRPr="00794F08">
              <w:rPr>
                <w:szCs w:val="22"/>
              </w:rPr>
              <w:t>η</w:t>
            </w:r>
            <w:r w:rsidRPr="00794F08">
              <w:rPr>
                <w:szCs w:val="22"/>
                <w:vertAlign w:val="superscript"/>
              </w:rPr>
              <w:t>1</w:t>
            </w:r>
          </w:p>
        </w:tc>
        <w:tc>
          <w:tcPr>
            <w:tcW w:w="3544" w:type="dxa"/>
          </w:tcPr>
          <w:p w:rsidR="004504D8" w:rsidRDefault="00586AD8" w:rsidP="00A8793B">
            <w:pPr>
              <w:jc w:val="right"/>
              <w:rPr>
                <w:szCs w:val="22"/>
                <w:u w:val="single"/>
              </w:rPr>
            </w:pPr>
            <w:r w:rsidRPr="00794F08">
              <w:rPr>
                <w:szCs w:val="22"/>
                <w:lang w:val="fr-FR"/>
              </w:rPr>
              <w:t xml:space="preserve">8 </w:t>
            </w:r>
            <w:r w:rsidRPr="00794F08">
              <w:rPr>
                <w:szCs w:val="22"/>
              </w:rPr>
              <w:t>μικρογραμμάρια</w:t>
            </w:r>
          </w:p>
        </w:tc>
      </w:tr>
      <w:tr w:rsidR="00C40A15" w:rsidRPr="00794F08">
        <w:tc>
          <w:tcPr>
            <w:tcW w:w="5211" w:type="dxa"/>
          </w:tcPr>
          <w:p w:rsidR="00C40A15" w:rsidRPr="00794F08" w:rsidRDefault="00586AD8" w:rsidP="00C40A15">
            <w:pPr>
              <w:rPr>
                <w:szCs w:val="22"/>
                <w:u w:val="single"/>
              </w:rPr>
            </w:pPr>
            <w:r w:rsidRPr="00794F08">
              <w:rPr>
                <w:szCs w:val="22"/>
              </w:rPr>
              <w:t xml:space="preserve">           Νηματοειδής αιμοσυγκολλητίνη</w:t>
            </w:r>
            <w:r w:rsidRPr="00794F08">
              <w:rPr>
                <w:szCs w:val="22"/>
                <w:vertAlign w:val="superscript"/>
              </w:rPr>
              <w:t>1</w:t>
            </w:r>
          </w:p>
        </w:tc>
        <w:tc>
          <w:tcPr>
            <w:tcW w:w="3544" w:type="dxa"/>
          </w:tcPr>
          <w:p w:rsidR="004504D8" w:rsidRDefault="00586AD8" w:rsidP="00A8793B">
            <w:pPr>
              <w:jc w:val="right"/>
              <w:rPr>
                <w:szCs w:val="22"/>
                <w:u w:val="single"/>
              </w:rPr>
            </w:pPr>
            <w:r w:rsidRPr="00794F08">
              <w:rPr>
                <w:szCs w:val="22"/>
                <w:lang w:val="fr-FR"/>
              </w:rPr>
              <w:t xml:space="preserve">8 </w:t>
            </w:r>
            <w:r w:rsidRPr="00794F08">
              <w:rPr>
                <w:szCs w:val="22"/>
              </w:rPr>
              <w:t>μικρογραμμάρια</w:t>
            </w:r>
          </w:p>
        </w:tc>
      </w:tr>
      <w:tr w:rsidR="00C40A15" w:rsidRPr="00794F08">
        <w:tc>
          <w:tcPr>
            <w:tcW w:w="5211" w:type="dxa"/>
          </w:tcPr>
          <w:p w:rsidR="00C40A15" w:rsidRPr="00794F08" w:rsidRDefault="00586AD8" w:rsidP="00C40A15">
            <w:pPr>
              <w:rPr>
                <w:szCs w:val="22"/>
                <w:u w:val="single"/>
              </w:rPr>
            </w:pPr>
            <w:r w:rsidRPr="00794F08">
              <w:rPr>
                <w:szCs w:val="22"/>
                <w:lang w:val="fr-FR"/>
              </w:rPr>
              <w:t xml:space="preserve">           </w:t>
            </w:r>
            <w:r w:rsidRPr="00794F08">
              <w:rPr>
                <w:szCs w:val="22"/>
              </w:rPr>
              <w:t>Περτακτίνη</w:t>
            </w:r>
            <w:r w:rsidRPr="00794F08">
              <w:rPr>
                <w:szCs w:val="22"/>
                <w:vertAlign w:val="superscript"/>
              </w:rPr>
              <w:t>1</w:t>
            </w:r>
          </w:p>
        </w:tc>
        <w:tc>
          <w:tcPr>
            <w:tcW w:w="3544" w:type="dxa"/>
          </w:tcPr>
          <w:p w:rsidR="004504D8" w:rsidRDefault="00586AD8" w:rsidP="00A8793B">
            <w:pPr>
              <w:jc w:val="right"/>
              <w:rPr>
                <w:szCs w:val="22"/>
              </w:rPr>
            </w:pPr>
            <w:r w:rsidRPr="00794F08">
              <w:rPr>
                <w:szCs w:val="22"/>
                <w:lang w:val="fr-FR"/>
              </w:rPr>
              <w:t>2</w:t>
            </w:r>
            <w:r w:rsidRPr="00794F08">
              <w:rPr>
                <w:szCs w:val="22"/>
              </w:rPr>
              <w:t>,</w:t>
            </w:r>
            <w:r w:rsidRPr="00794F08">
              <w:rPr>
                <w:szCs w:val="22"/>
                <w:lang w:val="fr-FR"/>
              </w:rPr>
              <w:t xml:space="preserve">5 </w:t>
            </w:r>
            <w:r w:rsidRPr="00794F08">
              <w:rPr>
                <w:szCs w:val="22"/>
              </w:rPr>
              <w:t>μικρογραμμάρια</w:t>
            </w:r>
          </w:p>
          <w:p w:rsidR="004504D8" w:rsidRDefault="004504D8" w:rsidP="00A8793B">
            <w:pPr>
              <w:jc w:val="right"/>
              <w:rPr>
                <w:szCs w:val="22"/>
                <w:u w:val="single"/>
              </w:rPr>
            </w:pPr>
          </w:p>
        </w:tc>
      </w:tr>
      <w:tr w:rsidR="00C40A15" w:rsidRPr="00794F08">
        <w:tc>
          <w:tcPr>
            <w:tcW w:w="5211" w:type="dxa"/>
          </w:tcPr>
          <w:p w:rsidR="00C40A15" w:rsidRPr="00794F08" w:rsidRDefault="00586AD8" w:rsidP="00C40A15">
            <w:pPr>
              <w:rPr>
                <w:szCs w:val="22"/>
              </w:rPr>
            </w:pPr>
            <w:r w:rsidRPr="00794F08">
              <w:rPr>
                <w:szCs w:val="22"/>
                <w:vertAlign w:val="superscript"/>
              </w:rPr>
              <w:t>1</w:t>
            </w:r>
            <w:r w:rsidRPr="00794F08">
              <w:rPr>
                <w:szCs w:val="22"/>
              </w:rPr>
              <w:t>Προσροφημένο σε ένυδρο υδροξείδιο του αργιλίου (Al(OH)</w:t>
            </w:r>
            <w:r w:rsidRPr="00794F08">
              <w:rPr>
                <w:szCs w:val="22"/>
                <w:vertAlign w:val="subscript"/>
              </w:rPr>
              <w:t>3</w:t>
            </w:r>
            <w:r w:rsidRPr="00794F08">
              <w:rPr>
                <w:szCs w:val="22"/>
              </w:rPr>
              <w:t>)</w:t>
            </w:r>
            <w:r w:rsidRPr="00794F08">
              <w:rPr>
                <w:i/>
                <w:szCs w:val="22"/>
              </w:rPr>
              <w:t xml:space="preserve">   </w:t>
            </w:r>
          </w:p>
          <w:p w:rsidR="00C40A15" w:rsidRPr="00794F08" w:rsidRDefault="00586AD8" w:rsidP="00C40A15">
            <w:pPr>
              <w:rPr>
                <w:szCs w:val="22"/>
                <w:u w:val="single"/>
              </w:rPr>
            </w:pPr>
            <w:r w:rsidRPr="00794F08">
              <w:rPr>
                <w:szCs w:val="22"/>
              </w:rPr>
              <w:t>και φωσφορικό αργίλιο (AlPO</w:t>
            </w:r>
            <w:r w:rsidRPr="00794F08">
              <w:rPr>
                <w:szCs w:val="22"/>
                <w:vertAlign w:val="subscript"/>
              </w:rPr>
              <w:t>4</w:t>
            </w:r>
            <w:r w:rsidRPr="00794F08">
              <w:rPr>
                <w:szCs w:val="22"/>
              </w:rPr>
              <w:t>)</w:t>
            </w:r>
            <w:r w:rsidRPr="00794F08">
              <w:rPr>
                <w:i/>
                <w:szCs w:val="22"/>
                <w:lang w:val="en-US"/>
              </w:rPr>
              <w:t xml:space="preserve">                                 </w:t>
            </w:r>
          </w:p>
        </w:tc>
        <w:tc>
          <w:tcPr>
            <w:tcW w:w="3544" w:type="dxa"/>
          </w:tcPr>
          <w:p w:rsidR="004504D8" w:rsidRDefault="00586AD8" w:rsidP="00A8793B">
            <w:pPr>
              <w:jc w:val="right"/>
              <w:rPr>
                <w:szCs w:val="22"/>
                <w:vertAlign w:val="superscript"/>
              </w:rPr>
            </w:pPr>
            <w:r w:rsidRPr="00794F08">
              <w:rPr>
                <w:szCs w:val="22"/>
              </w:rPr>
              <w:t xml:space="preserve"> 0,3 milligrams Al</w:t>
            </w:r>
            <w:r w:rsidRPr="00794F08">
              <w:rPr>
                <w:szCs w:val="22"/>
                <w:vertAlign w:val="superscript"/>
              </w:rPr>
              <w:t>3+</w:t>
            </w:r>
          </w:p>
          <w:p w:rsidR="004504D8" w:rsidRDefault="00586AD8" w:rsidP="00A8793B">
            <w:pPr>
              <w:jc w:val="right"/>
              <w:rPr>
                <w:szCs w:val="22"/>
                <w:u w:val="single"/>
              </w:rPr>
            </w:pPr>
            <w:r w:rsidRPr="00794F08">
              <w:rPr>
                <w:szCs w:val="22"/>
              </w:rPr>
              <w:t xml:space="preserve"> 0,2 milligrams Al</w:t>
            </w:r>
            <w:r w:rsidRPr="00794F08">
              <w:rPr>
                <w:szCs w:val="22"/>
                <w:vertAlign w:val="superscript"/>
              </w:rPr>
              <w:t>3+</w:t>
            </w:r>
          </w:p>
        </w:tc>
      </w:tr>
    </w:tbl>
    <w:p w:rsidR="00C40A15" w:rsidRPr="00794F08" w:rsidRDefault="00C40A15" w:rsidP="00C40A15">
      <w:pPr>
        <w:tabs>
          <w:tab w:val="left" w:pos="254"/>
          <w:tab w:val="right" w:pos="7122"/>
        </w:tabs>
        <w:jc w:val="both"/>
        <w:rPr>
          <w:szCs w:val="22"/>
        </w:rPr>
      </w:pPr>
    </w:p>
    <w:p w:rsidR="00C40A15" w:rsidRPr="00794F08" w:rsidRDefault="00586AD8" w:rsidP="00C40A15">
      <w:pPr>
        <w:tabs>
          <w:tab w:val="left" w:pos="254"/>
          <w:tab w:val="right" w:pos="7122"/>
        </w:tabs>
        <w:jc w:val="both"/>
        <w:rPr>
          <w:szCs w:val="22"/>
        </w:rPr>
      </w:pPr>
      <w:r w:rsidRPr="00794F08">
        <w:rPr>
          <w:szCs w:val="22"/>
        </w:rPr>
        <w:t>Για πλήρη κατάλογο εκδόχων βλέπε 6.1</w:t>
      </w:r>
    </w:p>
    <w:p w:rsidR="00AC7016" w:rsidRPr="00D9164F" w:rsidRDefault="00AC7016">
      <w:pPr>
        <w:tabs>
          <w:tab w:val="clear" w:pos="567"/>
          <w:tab w:val="right" w:pos="7122"/>
          <w:tab w:val="right" w:pos="7371"/>
        </w:tabs>
        <w:jc w:val="both"/>
        <w:rPr>
          <w:szCs w:val="22"/>
        </w:rPr>
      </w:pPr>
    </w:p>
    <w:p w:rsidR="00C40A15" w:rsidRPr="00D9164F" w:rsidRDefault="00586AD8" w:rsidP="00C40A15">
      <w:pPr>
        <w:jc w:val="both"/>
        <w:rPr>
          <w:szCs w:val="22"/>
        </w:rPr>
      </w:pPr>
      <w:r w:rsidRPr="00794F08">
        <w:rPr>
          <w:b/>
          <w:szCs w:val="22"/>
        </w:rPr>
        <w:t>3.</w:t>
      </w:r>
      <w:r w:rsidRPr="00794F08">
        <w:rPr>
          <w:b/>
          <w:szCs w:val="22"/>
        </w:rPr>
        <w:tab/>
        <w:t>ΦΑΡΜΑΚΟΤΕΧΝΙΚΗ ΜΟΡΦΗ</w:t>
      </w:r>
    </w:p>
    <w:p w:rsidR="00C40A15" w:rsidRPr="00794F08" w:rsidRDefault="00586AD8" w:rsidP="00C40A15">
      <w:pPr>
        <w:tabs>
          <w:tab w:val="clear" w:pos="567"/>
        </w:tabs>
        <w:jc w:val="both"/>
        <w:rPr>
          <w:szCs w:val="22"/>
        </w:rPr>
      </w:pPr>
      <w:r w:rsidRPr="00794F08">
        <w:rPr>
          <w:szCs w:val="22"/>
        </w:rPr>
        <w:t>Ενέσιμο εναιώρημα.</w:t>
      </w:r>
    </w:p>
    <w:p w:rsidR="00C40A15" w:rsidRPr="00794F08" w:rsidRDefault="00586AD8" w:rsidP="00201890">
      <w:pPr>
        <w:tabs>
          <w:tab w:val="clear" w:pos="567"/>
        </w:tabs>
        <w:jc w:val="both"/>
        <w:rPr>
          <w:szCs w:val="22"/>
        </w:rPr>
      </w:pPr>
      <w:r w:rsidRPr="00794F08">
        <w:rPr>
          <w:szCs w:val="22"/>
        </w:rPr>
        <w:t>Το Boostrix είναι ένα θολό λευκό εναιώρημα.</w:t>
      </w:r>
    </w:p>
    <w:p w:rsidR="00C40A15" w:rsidRPr="00794F08" w:rsidRDefault="00C40A15" w:rsidP="00C40A15">
      <w:pPr>
        <w:jc w:val="both"/>
        <w:rPr>
          <w:szCs w:val="22"/>
        </w:rPr>
      </w:pPr>
    </w:p>
    <w:p w:rsidR="00C40A15" w:rsidRPr="00D9164F" w:rsidRDefault="00586AD8" w:rsidP="00C40A15">
      <w:pPr>
        <w:jc w:val="both"/>
        <w:rPr>
          <w:szCs w:val="22"/>
        </w:rPr>
      </w:pPr>
      <w:r w:rsidRPr="00794F08">
        <w:rPr>
          <w:b/>
          <w:szCs w:val="22"/>
        </w:rPr>
        <w:t>4.</w:t>
      </w:r>
      <w:r w:rsidRPr="00794F08">
        <w:rPr>
          <w:b/>
          <w:szCs w:val="22"/>
        </w:rPr>
        <w:tab/>
        <w:t>ΚΛΙΝΙΚΕΣ ΠΛΗΡΟΦΟΡΙΕΣ</w:t>
      </w:r>
    </w:p>
    <w:p w:rsidR="00C40A15" w:rsidRPr="00D9164F" w:rsidRDefault="00586AD8" w:rsidP="00C40A15">
      <w:pPr>
        <w:jc w:val="both"/>
        <w:rPr>
          <w:szCs w:val="22"/>
        </w:rPr>
      </w:pPr>
      <w:r w:rsidRPr="00794F08">
        <w:rPr>
          <w:b/>
          <w:szCs w:val="22"/>
        </w:rPr>
        <w:t>4.1</w:t>
      </w:r>
      <w:r w:rsidRPr="00794F08">
        <w:rPr>
          <w:b/>
          <w:szCs w:val="22"/>
        </w:rPr>
        <w:tab/>
        <w:t>Θεραπευτικές ενδείξεις</w:t>
      </w:r>
    </w:p>
    <w:p w:rsidR="00C40A15" w:rsidRPr="00D9164F" w:rsidRDefault="00586AD8" w:rsidP="00C40A15">
      <w:pPr>
        <w:jc w:val="both"/>
        <w:rPr>
          <w:szCs w:val="22"/>
        </w:rPr>
      </w:pPr>
      <w:r w:rsidRPr="00794F08">
        <w:rPr>
          <w:szCs w:val="22"/>
        </w:rPr>
        <w:t>Το Boostrix ενδείκνυται για αναμνηστικό εμβολιασμό έναντι της διφθερίτιδας, του τετάνου και του κοκκύτη ατόμων ηλικίας τεσσάρων ετών και άνω (βλέπε παράγραφο 4.2).</w:t>
      </w:r>
    </w:p>
    <w:p w:rsidR="00C40A15" w:rsidRPr="00794F08" w:rsidRDefault="00586AD8" w:rsidP="00C40A15">
      <w:pPr>
        <w:jc w:val="both"/>
        <w:rPr>
          <w:szCs w:val="22"/>
        </w:rPr>
      </w:pPr>
      <w:r w:rsidRPr="00794F08">
        <w:rPr>
          <w:szCs w:val="22"/>
        </w:rPr>
        <w:t>Το Boostrix δεν προορίζεται για την αρχική ανοσοποίηση.</w:t>
      </w:r>
    </w:p>
    <w:p w:rsidR="00C40A15" w:rsidRPr="00794F08" w:rsidRDefault="00C40A15" w:rsidP="00C40A15">
      <w:pPr>
        <w:jc w:val="both"/>
        <w:rPr>
          <w:b/>
          <w:szCs w:val="22"/>
        </w:rPr>
      </w:pPr>
    </w:p>
    <w:p w:rsidR="00C40A15" w:rsidRPr="00D9164F" w:rsidRDefault="00586AD8" w:rsidP="00C40A15">
      <w:pPr>
        <w:jc w:val="both"/>
        <w:rPr>
          <w:szCs w:val="22"/>
        </w:rPr>
      </w:pPr>
      <w:r w:rsidRPr="00794F08">
        <w:rPr>
          <w:b/>
          <w:szCs w:val="22"/>
        </w:rPr>
        <w:t>4.2</w:t>
      </w:r>
      <w:r w:rsidRPr="00794F08">
        <w:rPr>
          <w:b/>
          <w:szCs w:val="22"/>
        </w:rPr>
        <w:tab/>
        <w:t>Δοσολογία και τρόπος χορήγησης</w:t>
      </w:r>
    </w:p>
    <w:p w:rsidR="00AC7016" w:rsidRPr="00D9164F" w:rsidRDefault="00586AD8">
      <w:pPr>
        <w:pStyle w:val="4"/>
      </w:pPr>
      <w:r w:rsidRPr="00794F08">
        <w:rPr>
          <w:szCs w:val="22"/>
        </w:rPr>
        <w:t>Δοσολογία</w:t>
      </w:r>
    </w:p>
    <w:p w:rsidR="00C40A15" w:rsidRPr="00D9164F" w:rsidRDefault="00586AD8" w:rsidP="00C40A15">
      <w:pPr>
        <w:jc w:val="both"/>
        <w:rPr>
          <w:szCs w:val="22"/>
        </w:rPr>
      </w:pPr>
      <w:r w:rsidRPr="00794F08">
        <w:rPr>
          <w:szCs w:val="22"/>
        </w:rPr>
        <w:t>Συν</w:t>
      </w:r>
      <w:r w:rsidR="00FE349E">
        <w:rPr>
          <w:szCs w:val="22"/>
        </w:rPr>
        <w:t>ι</w:t>
      </w:r>
      <w:r w:rsidRPr="00794F08">
        <w:rPr>
          <w:szCs w:val="22"/>
        </w:rPr>
        <w:t>στ</w:t>
      </w:r>
      <w:r w:rsidR="00FE349E">
        <w:rPr>
          <w:szCs w:val="22"/>
        </w:rPr>
        <w:t>ά</w:t>
      </w:r>
      <w:r w:rsidRPr="00794F08">
        <w:rPr>
          <w:szCs w:val="22"/>
        </w:rPr>
        <w:t>ται μια  δόση 0.5 ml του εμβολίου.</w:t>
      </w:r>
    </w:p>
    <w:p w:rsidR="00F03A2B" w:rsidRPr="00D9164F" w:rsidRDefault="00586AD8" w:rsidP="00C40A15">
      <w:pPr>
        <w:jc w:val="both"/>
        <w:rPr>
          <w:szCs w:val="22"/>
        </w:rPr>
      </w:pPr>
      <w:r w:rsidRPr="00794F08">
        <w:rPr>
          <w:szCs w:val="22"/>
        </w:rPr>
        <w:t xml:space="preserve">Το Boostrix μπορεί να χορηγηθεί από την ηλικία των τεσσάρων ετών και άνω. </w:t>
      </w:r>
    </w:p>
    <w:p w:rsidR="00C40A15" w:rsidRPr="00794F08" w:rsidRDefault="00586AD8" w:rsidP="00C40A15">
      <w:pPr>
        <w:jc w:val="both"/>
        <w:rPr>
          <w:szCs w:val="22"/>
        </w:rPr>
      </w:pPr>
      <w:r w:rsidRPr="00794F08">
        <w:rPr>
          <w:szCs w:val="22"/>
        </w:rPr>
        <w:t xml:space="preserve">Το Boostrix θα πρέπει να χορηγείται σύμφωνα με τις επίσημες συστάσεις ή/και την καθιερωμένη πρακτική που εφαρμόζεται </w:t>
      </w:r>
      <w:r w:rsidR="00FE349E">
        <w:rPr>
          <w:szCs w:val="22"/>
        </w:rPr>
        <w:t>σε κάθε χώρα</w:t>
      </w:r>
      <w:r w:rsidR="00FE349E" w:rsidRPr="00794F08">
        <w:rPr>
          <w:szCs w:val="22"/>
        </w:rPr>
        <w:t xml:space="preserve"> </w:t>
      </w:r>
      <w:r w:rsidRPr="00794F08">
        <w:rPr>
          <w:szCs w:val="22"/>
        </w:rPr>
        <w:t>σχετικά με τη χρήση εμβολίων που π</w:t>
      </w:r>
      <w:r w:rsidR="00FE349E">
        <w:rPr>
          <w:szCs w:val="22"/>
        </w:rPr>
        <w:t>α</w:t>
      </w:r>
      <w:r w:rsidRPr="00794F08">
        <w:rPr>
          <w:szCs w:val="22"/>
        </w:rPr>
        <w:t>ρέχουν μειωμένη δόση (ενηλίκων) διφθερίτιδας και τετάνου  και αντιγόνων κοκκύτη.</w:t>
      </w:r>
    </w:p>
    <w:p w:rsidR="00C40A15" w:rsidRPr="00794F08" w:rsidRDefault="00C40A15" w:rsidP="00C40A15">
      <w:pPr>
        <w:jc w:val="both"/>
        <w:rPr>
          <w:szCs w:val="22"/>
        </w:rPr>
      </w:pPr>
    </w:p>
    <w:p w:rsidR="007E1F66" w:rsidRPr="00D9164F" w:rsidRDefault="00586AD8" w:rsidP="00C40A15">
      <w:pPr>
        <w:jc w:val="both"/>
        <w:rPr>
          <w:szCs w:val="22"/>
        </w:rPr>
      </w:pPr>
      <w:r w:rsidRPr="00794F08">
        <w:rPr>
          <w:szCs w:val="22"/>
        </w:rPr>
        <w:t xml:space="preserve"> Σε άτομα ηλικίας </w:t>
      </w:r>
      <w:r w:rsidR="00851836" w:rsidRPr="00A8793B">
        <w:rPr>
          <w:iCs/>
        </w:rPr>
        <w:sym w:font="Symbol" w:char="F0B3"/>
      </w:r>
      <w:r w:rsidR="00851836" w:rsidRPr="00A8793B">
        <w:rPr>
          <w:iCs/>
        </w:rPr>
        <w:t xml:space="preserve"> 40 ετών </w:t>
      </w:r>
      <w:r w:rsidRPr="00794F08">
        <w:rPr>
          <w:szCs w:val="22"/>
        </w:rPr>
        <w:t xml:space="preserve">που δεν έχουν λάβει οποιοδήποτε εμβόλιο που να περιέχει στελέχη έναντι της διφθερίτιδας ή του τετάνου τα τελευταία 20 χρόνια, μια δόση Boostrix επάγει αντισωματική αντίδραση έναντι του κοκκύτη και προστατεύει έναντι τετάνου και διφθερίτιδας στην πλειοψηφία των περιπτώσεων. Δυο επιπλέον δόσεις εμβολίου που να περιέχει στελέχη έναντι της διφθερίτιδας </w:t>
      </w:r>
      <w:r w:rsidR="003F34AD">
        <w:rPr>
          <w:szCs w:val="22"/>
        </w:rPr>
        <w:t>και</w:t>
      </w:r>
      <w:r w:rsidRPr="00794F08">
        <w:rPr>
          <w:szCs w:val="22"/>
        </w:rPr>
        <w:t xml:space="preserve"> του τετάνου θα μεγιστοποιήσει την απάντηση του εμβολίου στη διφθερίτιδα και τον τέτανο όταν χορηγηθεί ένα και έξι μήνες μετά την πρώτη δόση (βλέπε παράγραφο 5.1).  </w:t>
      </w:r>
    </w:p>
    <w:p w:rsidR="00C40A15" w:rsidRPr="00794F08" w:rsidRDefault="00586AD8" w:rsidP="00C40A15">
      <w:pPr>
        <w:jc w:val="both"/>
        <w:rPr>
          <w:szCs w:val="22"/>
        </w:rPr>
      </w:pPr>
      <w:r w:rsidRPr="00794F08">
        <w:rPr>
          <w:szCs w:val="22"/>
        </w:rPr>
        <w:t>Το Boostrix μπορεί να χρησιμοποιηθεί στην αντιμετώπιση  των τραυματισμών με κίνδυνο τετάνου σε άτομα που έχουν προηγούμενα λάβει σειρά αρχικού εμβολιασμού με τοξοειδές τετάνου και για τα οποία ενδείκνυται αναμνηστική χορήγηση έναντι της διφθερίτιδας και του κοκκύτη. Η ανοσοσφαιρίνη του τετάνου θα πρέπει να χορηγείται ταυτόχρονα σύμφωνα με τις επίσημες συστάσεις.</w:t>
      </w:r>
    </w:p>
    <w:p w:rsidR="00C40A15" w:rsidRPr="00794F08" w:rsidRDefault="00C40A15" w:rsidP="00C40A15">
      <w:pPr>
        <w:jc w:val="both"/>
        <w:rPr>
          <w:szCs w:val="22"/>
        </w:rPr>
      </w:pPr>
    </w:p>
    <w:p w:rsidR="00C40A15" w:rsidRPr="00794F08" w:rsidRDefault="00586AD8" w:rsidP="00C40A15">
      <w:pPr>
        <w:jc w:val="both"/>
        <w:rPr>
          <w:szCs w:val="22"/>
        </w:rPr>
      </w:pPr>
      <w:r w:rsidRPr="00794F08">
        <w:rPr>
          <w:szCs w:val="22"/>
        </w:rPr>
        <w:t>Η επανάληψη των εμβολίων έναντι της διφθερίτιδας και του τετάνου θα πρέπει να γίνεται σε διαστήματα που καθορίζονται από τις επίσημες συστάσεις (γενικά σε 10 χρόνια).</w:t>
      </w:r>
    </w:p>
    <w:p w:rsidR="00C40A15" w:rsidRPr="00A8793B" w:rsidRDefault="00C40A15" w:rsidP="00C40A15">
      <w:pPr>
        <w:jc w:val="both"/>
        <w:rPr>
          <w:szCs w:val="22"/>
        </w:rPr>
      </w:pPr>
    </w:p>
    <w:p w:rsidR="00824E11" w:rsidRPr="00D9164F" w:rsidRDefault="00586AD8" w:rsidP="00824E11">
      <w:r w:rsidRPr="00794F08">
        <w:rPr>
          <w:i/>
        </w:rPr>
        <w:t>Παιδιά</w:t>
      </w:r>
    </w:p>
    <w:p w:rsidR="00824E11" w:rsidRPr="00794F08" w:rsidRDefault="00586AD8" w:rsidP="00824E11">
      <w:pPr>
        <w:autoSpaceDE w:val="0"/>
        <w:autoSpaceDN w:val="0"/>
        <w:jc w:val="both"/>
      </w:pPr>
      <w:r w:rsidRPr="00794F08">
        <w:t>Η ασφάλεια και αποτελεσματικότητα του Boostrix σε παιδιά ηλικίας κάτω των 4 ετών δεν έχει τεκμηριωθεί.</w:t>
      </w:r>
    </w:p>
    <w:p w:rsidR="00C70648" w:rsidRPr="00794F08" w:rsidRDefault="00C70648" w:rsidP="00C40A15">
      <w:pPr>
        <w:jc w:val="both"/>
        <w:rPr>
          <w:szCs w:val="22"/>
        </w:rPr>
      </w:pPr>
    </w:p>
    <w:p w:rsidR="00AC7016" w:rsidRPr="00D9164F" w:rsidRDefault="00586AD8">
      <w:pPr>
        <w:pStyle w:val="4"/>
      </w:pPr>
      <w:r w:rsidRPr="00794F08">
        <w:rPr>
          <w:szCs w:val="22"/>
        </w:rPr>
        <w:t>Μέθοδος χορήγησης</w:t>
      </w:r>
    </w:p>
    <w:p w:rsidR="00C40A15" w:rsidRPr="00794F08" w:rsidRDefault="00586AD8" w:rsidP="00C40A15">
      <w:pPr>
        <w:jc w:val="both"/>
        <w:rPr>
          <w:szCs w:val="22"/>
        </w:rPr>
      </w:pPr>
      <w:r w:rsidRPr="00794F08">
        <w:rPr>
          <w:szCs w:val="22"/>
        </w:rPr>
        <w:t>Το Boostrix προορίζεται για εν τω βάθει ενδομυϊκή ένεση κατά προτίμηση στην περιοχή του δελτοειδούς (βλέπε παράγραφο 4.4).</w:t>
      </w:r>
    </w:p>
    <w:p w:rsidR="00C40A15" w:rsidRPr="00794F08" w:rsidRDefault="00C40A15" w:rsidP="00C40A15">
      <w:pPr>
        <w:jc w:val="both"/>
        <w:rPr>
          <w:szCs w:val="22"/>
        </w:rPr>
      </w:pPr>
    </w:p>
    <w:p w:rsidR="00AC7016" w:rsidRPr="00D9164F" w:rsidRDefault="00586AD8">
      <w:pPr>
        <w:jc w:val="both"/>
        <w:rPr>
          <w:szCs w:val="22"/>
        </w:rPr>
      </w:pPr>
      <w:r w:rsidRPr="00794F08">
        <w:rPr>
          <w:b/>
          <w:szCs w:val="22"/>
        </w:rPr>
        <w:t>4.3</w:t>
      </w:r>
      <w:r w:rsidRPr="00794F08">
        <w:rPr>
          <w:b/>
          <w:szCs w:val="22"/>
        </w:rPr>
        <w:tab/>
        <w:t>Αντενδείξεις</w:t>
      </w:r>
    </w:p>
    <w:p w:rsidR="007E1F66" w:rsidRPr="00D9164F" w:rsidRDefault="00586AD8" w:rsidP="00C40A15">
      <w:pPr>
        <w:jc w:val="both"/>
        <w:rPr>
          <w:szCs w:val="22"/>
        </w:rPr>
      </w:pPr>
      <w:r w:rsidRPr="00794F08">
        <w:rPr>
          <w:szCs w:val="22"/>
        </w:rPr>
        <w:t>Υπερευαισθησία σε οποιοδήποτε από τα δραστικά συστατικά ή οποιοδήποτε από τα έκδοχα του εμβολίου.</w:t>
      </w:r>
    </w:p>
    <w:p w:rsidR="00F03A2B" w:rsidRPr="00D9164F" w:rsidRDefault="00586AD8" w:rsidP="00C40A15">
      <w:pPr>
        <w:jc w:val="both"/>
        <w:rPr>
          <w:szCs w:val="22"/>
        </w:rPr>
      </w:pPr>
      <w:r w:rsidRPr="00794F08">
        <w:rPr>
          <w:szCs w:val="22"/>
        </w:rPr>
        <w:t>Υπερευαισθησία μετά από προηγούμενη χορήγηση εμβολίων έναντι της διφθερίτιδας, του τετάνου ή του κοκκύτη.</w:t>
      </w:r>
    </w:p>
    <w:p w:rsidR="00C40A15" w:rsidRPr="00D9164F" w:rsidRDefault="00586AD8" w:rsidP="00C40A15">
      <w:pPr>
        <w:jc w:val="both"/>
        <w:rPr>
          <w:szCs w:val="22"/>
        </w:rPr>
      </w:pPr>
      <w:r w:rsidRPr="00794F08">
        <w:rPr>
          <w:szCs w:val="22"/>
        </w:rPr>
        <w:t>Το Boostrix αντενδείκνυται αν το άτομο έχει ιστορικό εγκεφαλοπάθειας αγνώστου αιτιολογίας, η οποία εμφανίστηκε σε διάστημα 7 ημερών μετά από προηγούμενο εμβολιασμό έναντι του κοκκύτη. Σε αυτές τις περιπτώσεις</w:t>
      </w:r>
      <w:r w:rsidRPr="00794F08">
        <w:t xml:space="preserve">, </w:t>
      </w:r>
      <w:r w:rsidRPr="00794F08">
        <w:rPr>
          <w:szCs w:val="22"/>
        </w:rPr>
        <w:t>ο εμβολιασμός έναντι του κοκκύτη θα πρέπει να διακόπτεται και το εμβολιαστικό σχήμα θα πρέπει να συνεχίζεται με εμβόλια έναντι διφθερίτιδας και τετάνου. .</w:t>
      </w:r>
    </w:p>
    <w:p w:rsidR="00C40A15" w:rsidRPr="00D9164F" w:rsidRDefault="00586AD8" w:rsidP="00C40A15">
      <w:pPr>
        <w:jc w:val="both"/>
        <w:rPr>
          <w:b/>
          <w:szCs w:val="22"/>
        </w:rPr>
      </w:pPr>
      <w:r w:rsidRPr="00794F08">
        <w:rPr>
          <w:szCs w:val="22"/>
        </w:rPr>
        <w:t>Το Boostrix δε θα πρέπει να χορηγείται σε άτομα που έχουν παρουσιάσει παροδική θρομβοκυτοπενία ή νευρολογικές επιπλοκές (για σπασμούς ή επεισόδια υποτονίας</w:t>
      </w:r>
      <w:r w:rsidR="00FE349E" w:rsidRPr="009E21E5">
        <w:rPr>
          <w:szCs w:val="22"/>
        </w:rPr>
        <w:t>-υποαντιδραστικότητας</w:t>
      </w:r>
      <w:r w:rsidRPr="00794F08">
        <w:rPr>
          <w:szCs w:val="22"/>
        </w:rPr>
        <w:t>, βλέπε παράγραφο 4.4) μετά από προηγούμενη ανοσοποίηση έναντι της διφθερίτιδας και/ή του τετάνου.</w:t>
      </w:r>
    </w:p>
    <w:p w:rsidR="00500B91" w:rsidRPr="00794F08" w:rsidRDefault="00586AD8" w:rsidP="00500B91">
      <w:pPr>
        <w:jc w:val="both"/>
        <w:rPr>
          <w:szCs w:val="22"/>
        </w:rPr>
      </w:pPr>
      <w:r w:rsidRPr="00794F08">
        <w:rPr>
          <w:szCs w:val="22"/>
        </w:rPr>
        <w:t xml:space="preserve">Όπως και με τα άλλα εμβόλια, η χορήγηση του Boostrix θα πρέπει να αναβάλλεται σε άτομα που πάσχουν οξύ σοβαρό εμπύρετο νόσημα. Η παρουσία ήπιας λοίμωξης δεν αποτελεί αντένδειξη.   </w:t>
      </w:r>
    </w:p>
    <w:p w:rsidR="00500B91" w:rsidRPr="00794F08" w:rsidRDefault="00500B91" w:rsidP="00C40A15">
      <w:pPr>
        <w:jc w:val="both"/>
        <w:rPr>
          <w:b/>
          <w:szCs w:val="22"/>
        </w:rPr>
      </w:pPr>
    </w:p>
    <w:p w:rsidR="00C40A15" w:rsidRPr="00D9164F" w:rsidRDefault="00586AD8" w:rsidP="00C40A15">
      <w:pPr>
        <w:jc w:val="both"/>
        <w:rPr>
          <w:szCs w:val="22"/>
        </w:rPr>
      </w:pPr>
      <w:r w:rsidRPr="00794F08">
        <w:rPr>
          <w:b/>
          <w:szCs w:val="22"/>
        </w:rPr>
        <w:t>4.4</w:t>
      </w:r>
      <w:r w:rsidRPr="00794F08">
        <w:rPr>
          <w:b/>
          <w:szCs w:val="22"/>
        </w:rPr>
        <w:tab/>
        <w:t>Ειδικές προειδοποιήσεις και προφυλάξεις κατά τη χρήση</w:t>
      </w:r>
    </w:p>
    <w:p w:rsidR="00C40A15" w:rsidRPr="00794F08" w:rsidRDefault="00586AD8" w:rsidP="00C40A15">
      <w:pPr>
        <w:jc w:val="both"/>
        <w:rPr>
          <w:szCs w:val="22"/>
        </w:rPr>
      </w:pPr>
      <w:r w:rsidRPr="00794F08">
        <w:rPr>
          <w:szCs w:val="22"/>
        </w:rPr>
        <w:t>Πριν τον εμβολιασμό θα πρέπει να προηγείται ανασκόπηση του ιατρικού ιστορικού (ιδιαίτερα όσον αφορά προηγούμενους εμβολιασμούς και πιθανή εμφάνιση ανεπιθύμητων ενεργειών).</w:t>
      </w:r>
    </w:p>
    <w:p w:rsidR="00C40A15" w:rsidRPr="00794F08" w:rsidRDefault="00C40A15" w:rsidP="00C40A15">
      <w:pPr>
        <w:jc w:val="both"/>
        <w:rPr>
          <w:szCs w:val="22"/>
        </w:rPr>
      </w:pPr>
    </w:p>
    <w:p w:rsidR="00C40A15" w:rsidRPr="00794F08" w:rsidRDefault="00586AD8" w:rsidP="00C40A15">
      <w:pPr>
        <w:jc w:val="both"/>
        <w:rPr>
          <w:strike/>
          <w:szCs w:val="22"/>
        </w:rPr>
      </w:pPr>
      <w:r w:rsidRPr="00794F08">
        <w:rPr>
          <w:szCs w:val="22"/>
        </w:rPr>
        <w:t xml:space="preserve">Αν οποιοδήποτε από τα παρακάτω συμβάντα </w:t>
      </w:r>
      <w:r w:rsidR="00FE349E" w:rsidRPr="003F34AD">
        <w:rPr>
          <w:szCs w:val="22"/>
        </w:rPr>
        <w:t>έχει χρονική</w:t>
      </w:r>
      <w:r w:rsidR="00FE349E" w:rsidRPr="009E21E5">
        <w:rPr>
          <w:szCs w:val="22"/>
        </w:rPr>
        <w:t xml:space="preserve"> </w:t>
      </w:r>
      <w:r w:rsidRPr="00794F08">
        <w:rPr>
          <w:szCs w:val="22"/>
        </w:rPr>
        <w:t xml:space="preserve">συσχέτιση με τη λήψη εμβολίου κατά του κοκκύτη, η απόφαση για τη χορήγηση δόσεων εμβολίων για τον κοκκύτη θα πρέπει να εκτιμάται προσεκτικά: </w:t>
      </w:r>
    </w:p>
    <w:p w:rsidR="00851836" w:rsidRDefault="00586AD8" w:rsidP="00A8793B">
      <w:pPr>
        <w:numPr>
          <w:ilvl w:val="0"/>
          <w:numId w:val="70"/>
        </w:numPr>
        <w:jc w:val="both"/>
        <w:rPr>
          <w:szCs w:val="22"/>
        </w:rPr>
      </w:pPr>
      <w:r w:rsidRPr="00794F08">
        <w:rPr>
          <w:szCs w:val="22"/>
        </w:rPr>
        <w:t xml:space="preserve">Θερμοκρασία </w:t>
      </w:r>
      <w:r w:rsidRPr="00794F08">
        <w:rPr>
          <w:szCs w:val="22"/>
        </w:rPr>
        <w:sym w:font="Symbol" w:char="F0B3"/>
      </w:r>
      <w:r w:rsidRPr="00794F08">
        <w:rPr>
          <w:szCs w:val="22"/>
        </w:rPr>
        <w:t xml:space="preserve"> 40,0°C μέσα σε 48 ώρες από τον εμβολιασμό, η οποία δεν οφείλεται σε άλλη αναγνωρίσιμη αιτία.</w:t>
      </w:r>
    </w:p>
    <w:p w:rsidR="00851836" w:rsidRDefault="00586AD8" w:rsidP="00A8793B">
      <w:pPr>
        <w:numPr>
          <w:ilvl w:val="0"/>
          <w:numId w:val="70"/>
        </w:numPr>
        <w:jc w:val="both"/>
        <w:rPr>
          <w:szCs w:val="22"/>
        </w:rPr>
      </w:pPr>
      <w:r w:rsidRPr="00794F08">
        <w:rPr>
          <w:szCs w:val="22"/>
        </w:rPr>
        <w:t>Κατέρρειψη ή κατάσταση που ομοιάζει με καταπληξία (υποτονικό-υποαντιδραστικό επεισόδιο) μέσα σε 48 ώρες από τον εμβολιασμό.</w:t>
      </w:r>
    </w:p>
    <w:p w:rsidR="00851836" w:rsidRDefault="00586AD8" w:rsidP="00A8793B">
      <w:pPr>
        <w:numPr>
          <w:ilvl w:val="0"/>
          <w:numId w:val="70"/>
        </w:numPr>
        <w:jc w:val="both"/>
        <w:rPr>
          <w:szCs w:val="22"/>
        </w:rPr>
      </w:pPr>
      <w:r w:rsidRPr="00794F08">
        <w:rPr>
          <w:szCs w:val="22"/>
        </w:rPr>
        <w:t xml:space="preserve">Επίμονο, απαρηγόρητο κλάμα διάρκειας </w:t>
      </w:r>
      <w:r w:rsidRPr="00794F08">
        <w:rPr>
          <w:szCs w:val="22"/>
        </w:rPr>
        <w:sym w:font="Symbol" w:char="F0B3"/>
      </w:r>
      <w:r w:rsidRPr="00794F08">
        <w:rPr>
          <w:szCs w:val="22"/>
        </w:rPr>
        <w:t xml:space="preserve"> 3 </w:t>
      </w:r>
      <w:r w:rsidR="004504D8">
        <w:rPr>
          <w:szCs w:val="22"/>
        </w:rPr>
        <w:t>ωρών</w:t>
      </w:r>
      <w:r w:rsidRPr="00794F08">
        <w:rPr>
          <w:szCs w:val="22"/>
        </w:rPr>
        <w:t>, που εμφανίζεται μέσα σε 48 ώρες από τον εμβολιασμό.</w:t>
      </w:r>
    </w:p>
    <w:p w:rsidR="00851836" w:rsidRDefault="00586AD8" w:rsidP="00A8793B">
      <w:pPr>
        <w:numPr>
          <w:ilvl w:val="0"/>
          <w:numId w:val="70"/>
        </w:numPr>
        <w:jc w:val="both"/>
        <w:rPr>
          <w:szCs w:val="22"/>
        </w:rPr>
      </w:pPr>
      <w:r w:rsidRPr="00794F08">
        <w:rPr>
          <w:szCs w:val="22"/>
        </w:rPr>
        <w:t xml:space="preserve">Σπασμοί με ή χωρίς πυρετό, που εμφανίζονται μέσα σε 3 ημέρες από τον εμβολιασμό. </w:t>
      </w:r>
    </w:p>
    <w:p w:rsidR="00C40A15" w:rsidRPr="00D9164F" w:rsidRDefault="00586AD8" w:rsidP="00B46F7A">
      <w:pPr>
        <w:jc w:val="both"/>
        <w:rPr>
          <w:b/>
          <w:szCs w:val="22"/>
        </w:rPr>
      </w:pPr>
      <w:r w:rsidRPr="00794F08">
        <w:rPr>
          <w:szCs w:val="22"/>
        </w:rPr>
        <w:t>Μπορεί να υπάρχουν περιπτώσεις, όπως η αυξημένη συχνότητα κοκκύτη, όπου τα δυνητικά οφέλη υπερτερούν των πιθανών κινδύνων.</w:t>
      </w:r>
    </w:p>
    <w:p w:rsidR="00B46F7A" w:rsidRPr="00794F08" w:rsidRDefault="00586AD8" w:rsidP="00B46F7A">
      <w:pPr>
        <w:jc w:val="both"/>
        <w:rPr>
          <w:szCs w:val="22"/>
        </w:rPr>
      </w:pPr>
      <w:r w:rsidRPr="00794F08">
        <w:rPr>
          <w:szCs w:val="22"/>
        </w:rPr>
        <w:t xml:space="preserve">Όπως σε οποιοδήποτε εμβολιασμό, ο κίνδυνος έναντι του οφέλους της ανοσοποίησης με Boostrix ή η αναβολή αυτού του εμβολιασμού θα πρέπει να ζυγιστεί προσεκτικά σε ένα παιδί που </w:t>
      </w:r>
      <w:r w:rsidR="004504D8" w:rsidRPr="009E21E5">
        <w:rPr>
          <w:szCs w:val="22"/>
        </w:rPr>
        <w:t>εμφανίζει</w:t>
      </w:r>
      <w:r w:rsidRPr="00794F08">
        <w:rPr>
          <w:szCs w:val="22"/>
        </w:rPr>
        <w:t xml:space="preserve"> μια νέα εκδήλωση ή επιδείνωση  μιας σοβαρής νευρολογικής διαταραχής.</w:t>
      </w:r>
    </w:p>
    <w:p w:rsidR="00C40A15" w:rsidRPr="00D9164F" w:rsidRDefault="00586AD8" w:rsidP="00C40A15">
      <w:pPr>
        <w:tabs>
          <w:tab w:val="clear" w:pos="567"/>
        </w:tabs>
        <w:jc w:val="both"/>
        <w:rPr>
          <w:szCs w:val="22"/>
        </w:rPr>
      </w:pPr>
      <w:r w:rsidRPr="00794F08">
        <w:rPr>
          <w:szCs w:val="22"/>
        </w:rPr>
        <w:t xml:space="preserve">όλα τα ενέσιμα εμβόλια, θα πρέπει να υπάρχει πάντα άμεσα διαθέσιμη κατάλληλη ιατρική αντιμετώπιση και επίβλεψη στη σπάνια περίπτωση αναφυλακτικής αντίδρασης μετά τη χορήγηση του εμβολίου. </w:t>
      </w:r>
    </w:p>
    <w:p w:rsidR="00C40A15" w:rsidRPr="00794F08" w:rsidRDefault="00586AD8" w:rsidP="00C40A15">
      <w:pPr>
        <w:jc w:val="both"/>
        <w:rPr>
          <w:szCs w:val="22"/>
        </w:rPr>
      </w:pPr>
      <w:r w:rsidRPr="00794F08">
        <w:rPr>
          <w:szCs w:val="22"/>
        </w:rPr>
        <w:t>Το Boostrix θα πρέπει να χορηγείται με προσοχή σε άτομα με θρομβοπενία (βλέπε παράγραφο 4.3) ή διαταραχή της πήξης καθώς αιμορραγία μπορεί να συμβεί μετά από ενδομυϊκή ένεση στα άτομα αυτά. Θα πρέπει να εφαρμόζεται ισχυρή πίεση στο σημείο της ένεσης (χωρίς τρίψιμο) για τουλάχιστον δύο λεπτά.</w:t>
      </w:r>
    </w:p>
    <w:p w:rsidR="00C40A15" w:rsidRPr="00794F08" w:rsidRDefault="00C40A15" w:rsidP="00C40A15">
      <w:pPr>
        <w:jc w:val="both"/>
        <w:rPr>
          <w:szCs w:val="22"/>
        </w:rPr>
      </w:pPr>
    </w:p>
    <w:p w:rsidR="00AC7016" w:rsidRPr="00D9164F" w:rsidRDefault="00586AD8">
      <w:pPr>
        <w:tabs>
          <w:tab w:val="clear" w:pos="567"/>
        </w:tabs>
        <w:jc w:val="both"/>
        <w:rPr>
          <w:szCs w:val="22"/>
        </w:rPr>
      </w:pPr>
      <w:r w:rsidRPr="00794F08">
        <w:rPr>
          <w:szCs w:val="22"/>
        </w:rPr>
        <w:t>Το Boostrix δεν θα πρέπει σε καμία περίπτωση να χορηγείται ενδαγγειακά.</w:t>
      </w:r>
    </w:p>
    <w:p w:rsidR="00AC7016" w:rsidRPr="00D9164F" w:rsidRDefault="00586AD8">
      <w:pPr>
        <w:jc w:val="both"/>
        <w:rPr>
          <w:szCs w:val="22"/>
        </w:rPr>
      </w:pPr>
      <w:r w:rsidRPr="00794F08">
        <w:rPr>
          <w:szCs w:val="22"/>
        </w:rPr>
        <w:lastRenderedPageBreak/>
        <w:t>Το ιστορικό ή το οικογενειακό ιστορικό σπασμών και το οικογενειακό ιστορικό εμφάνισης ανεπιθύμητων ενεργειών μετά τον εμβολιασμό DTP δεν συνιστούν αντενδείξεις.</w:t>
      </w:r>
    </w:p>
    <w:p w:rsidR="00C40A15" w:rsidRPr="00D9164F" w:rsidRDefault="00586AD8" w:rsidP="00C40A15">
      <w:pPr>
        <w:jc w:val="both"/>
        <w:rPr>
          <w:szCs w:val="22"/>
        </w:rPr>
      </w:pPr>
      <w:r w:rsidRPr="00794F08">
        <w:rPr>
          <w:szCs w:val="22"/>
        </w:rPr>
        <w:t xml:space="preserve">Η λοίμωξη από ιό Επίκτητης Ανοσολογικής Ανεπάρκειας (HIV) δε θεωρείται αντένδειξη. Η αναμενόμενη ανοσιακή απάντηση μπορεί να μην επιτευχθεί μετά τον εμβολιασμό ανοσοκατεσταλμένων ασθενών. </w:t>
      </w:r>
    </w:p>
    <w:p w:rsidR="00851836" w:rsidRPr="00D9164F" w:rsidRDefault="00851836" w:rsidP="00A8793B">
      <w:r w:rsidRPr="00A8793B">
        <w:t>Συγκοπικό επεισόδιο (λιποθυμία) μπορεί να συμβεί μετά ή ακόμη και πριν από κάθε εμβολιασμό, ειδικά σε εφήβους, ως ψυχογενής αντίδραση στην ένεση με βελόνα. Αυτό μπορεί να συνοδεύεται από νευρολογική σημειολογία όπως παροδική διαταραχή στην όραση, παραισθησία και τονικοκλωνικούς σπασμούς του άκρου κατά την ανάνηψη. Είναι πολύ σημαντικό να λαμβάνουν χώρα διαδικασίες προς αποφυγή τραυματισμού από λιποθυμίες.</w:t>
      </w:r>
    </w:p>
    <w:p w:rsidR="00C40A15" w:rsidRPr="00794F08" w:rsidRDefault="00586AD8" w:rsidP="00C40A15">
      <w:pPr>
        <w:jc w:val="both"/>
        <w:rPr>
          <w:szCs w:val="22"/>
        </w:rPr>
      </w:pPr>
      <w:r w:rsidRPr="00794F08">
        <w:rPr>
          <w:szCs w:val="22"/>
        </w:rPr>
        <w:t>Όπως με κάθε εμβόλιο, η προστατευτική ανοσιακή απάντηση μπορεί να μην επιτευχθεί σε όλους τους εμβολιασθέντες.</w:t>
      </w:r>
    </w:p>
    <w:p w:rsidR="00C40A15" w:rsidRPr="00794F08" w:rsidRDefault="00C40A15" w:rsidP="00C40A15">
      <w:pPr>
        <w:tabs>
          <w:tab w:val="clear" w:pos="567"/>
        </w:tabs>
        <w:jc w:val="both"/>
        <w:rPr>
          <w:szCs w:val="22"/>
        </w:rPr>
      </w:pPr>
    </w:p>
    <w:p w:rsidR="00AC7016" w:rsidRPr="00D9164F" w:rsidRDefault="00586AD8">
      <w:pPr>
        <w:ind w:left="567" w:hanging="567"/>
        <w:jc w:val="both"/>
        <w:rPr>
          <w:szCs w:val="22"/>
        </w:rPr>
      </w:pPr>
      <w:r w:rsidRPr="00794F08">
        <w:rPr>
          <w:b/>
          <w:szCs w:val="22"/>
        </w:rPr>
        <w:t>4.5</w:t>
      </w:r>
      <w:r w:rsidRPr="00794F08">
        <w:rPr>
          <w:b/>
          <w:szCs w:val="22"/>
        </w:rPr>
        <w:tab/>
        <w:t>Αλληλεπιδράσεις με άλλα φαρμακευτικά προϊόντα και άλλες μορφές αλληλεπίδρασης</w:t>
      </w:r>
    </w:p>
    <w:p w:rsidR="004504D8" w:rsidRPr="00D9164F" w:rsidRDefault="00586AD8" w:rsidP="00C40A15">
      <w:pPr>
        <w:jc w:val="both"/>
        <w:rPr>
          <w:szCs w:val="22"/>
        </w:rPr>
      </w:pPr>
      <w:r w:rsidRPr="00794F08">
        <w:rPr>
          <w:b/>
          <w:szCs w:val="22"/>
        </w:rPr>
        <w:t>Χορήγηση με άλλα εμβόλια ή ανοσοσφαιρίνες</w:t>
      </w:r>
    </w:p>
    <w:p w:rsidR="004504D8" w:rsidRDefault="00586AD8" w:rsidP="00C40A15">
      <w:pPr>
        <w:jc w:val="both"/>
        <w:rPr>
          <w:szCs w:val="22"/>
        </w:rPr>
      </w:pPr>
      <w:r w:rsidRPr="00794F08">
        <w:rPr>
          <w:szCs w:val="22"/>
        </w:rPr>
        <w:t xml:space="preserve">Το Boostrix μπορεί να χορηγηθεί ταυτόχρονα με εμβόλιο έναντι του ιού των ανθρώπινων θηλωμάτων χωρίς κλινικά σημαντική παρεμβολή στην αντισωματική απάντηση σε οποιοδήποτε από τα συστατικά οποιουδήποτε από τα δυο εμβόλια. </w:t>
      </w:r>
    </w:p>
    <w:p w:rsidR="007E1F66" w:rsidRPr="00D9164F" w:rsidRDefault="00586AD8" w:rsidP="00C40A15">
      <w:pPr>
        <w:jc w:val="both"/>
        <w:rPr>
          <w:szCs w:val="22"/>
        </w:rPr>
      </w:pPr>
      <w:r w:rsidRPr="00794F08">
        <w:rPr>
          <w:szCs w:val="22"/>
        </w:rPr>
        <w:t xml:space="preserve">Η ταυτόχρονη χορήγηση Boostrix με άλλα εμβόλια ή με ανοσοσφαιρίνες δεν έχει μελετηθεί. </w:t>
      </w:r>
    </w:p>
    <w:p w:rsidR="007E1F66" w:rsidRPr="00D9164F" w:rsidRDefault="00586AD8" w:rsidP="00C40A15">
      <w:pPr>
        <w:jc w:val="both"/>
        <w:rPr>
          <w:szCs w:val="22"/>
        </w:rPr>
      </w:pPr>
      <w:r w:rsidRPr="00794F08">
        <w:rPr>
          <w:szCs w:val="22"/>
        </w:rPr>
        <w:t xml:space="preserve">Θεωρείται απίθανο η συγχορήγηση να έχει ως αποτέλεσμα παρεμβολή στις ανοσιακές απαντήσεις. </w:t>
      </w:r>
    </w:p>
    <w:p w:rsidR="00682AFB" w:rsidRPr="00794F08" w:rsidRDefault="00586AD8" w:rsidP="00682AFB">
      <w:r w:rsidRPr="00794F08">
        <w:t xml:space="preserve">Σύμφωνα με τις γενικά αποδεκτές </w:t>
      </w:r>
      <w:r w:rsidR="004504D8">
        <w:t xml:space="preserve">πρακτικές και συστάσεις </w:t>
      </w:r>
      <w:r w:rsidRPr="00794F08">
        <w:t xml:space="preserve">εμβολιασμού, εάν η συγχορήγηση του </w:t>
      </w:r>
      <w:r w:rsidRPr="00794F08">
        <w:rPr>
          <w:lang w:val="en-US"/>
        </w:rPr>
        <w:t>Boostix</w:t>
      </w:r>
      <w:r w:rsidRPr="00794F08">
        <w:t xml:space="preserve"> με άλλα εμβόλια ή ανοσοσφαιρίνες θεωρείται απαραίτητη, τα προϊόντα θα πρέπει να χορηγούνται σε διαφορετικές θέσεις. </w:t>
      </w:r>
    </w:p>
    <w:p w:rsidR="00C40A15" w:rsidRPr="00794F08" w:rsidRDefault="00C40A15" w:rsidP="00C40A15">
      <w:pPr>
        <w:tabs>
          <w:tab w:val="clear" w:pos="567"/>
        </w:tabs>
        <w:jc w:val="both"/>
        <w:rPr>
          <w:szCs w:val="22"/>
        </w:rPr>
      </w:pPr>
    </w:p>
    <w:p w:rsidR="00AC7016" w:rsidRPr="00D9164F" w:rsidRDefault="00586AD8">
      <w:pPr>
        <w:rPr>
          <w:szCs w:val="22"/>
        </w:rPr>
      </w:pPr>
      <w:r w:rsidRPr="00794F08">
        <w:rPr>
          <w:b/>
          <w:lang w:eastAsia="en-US"/>
        </w:rPr>
        <w:t>Χορήγηση με ανοσοκατασταλτική θεραπεία</w:t>
      </w:r>
    </w:p>
    <w:p w:rsidR="00C40A15" w:rsidRPr="00794F08" w:rsidRDefault="00586AD8" w:rsidP="00C40A15">
      <w:pPr>
        <w:jc w:val="both"/>
        <w:rPr>
          <w:b/>
          <w:strike/>
          <w:szCs w:val="22"/>
        </w:rPr>
      </w:pPr>
      <w:r w:rsidRPr="00794F08">
        <w:rPr>
          <w:szCs w:val="22"/>
        </w:rPr>
        <w:t xml:space="preserve">Όπως και με άλλα εμβόλια, σε ασθενείς που λαμβάνουν ανοσοκατασταλτική θεραπεία μπορεί να μην επιτευχθεί επαρκής ανοσιακή απάντηση. </w:t>
      </w:r>
    </w:p>
    <w:p w:rsidR="00C40A15" w:rsidRPr="00794F08" w:rsidRDefault="00C40A15" w:rsidP="00C40A15">
      <w:pPr>
        <w:tabs>
          <w:tab w:val="clear" w:pos="567"/>
        </w:tabs>
        <w:jc w:val="both"/>
        <w:rPr>
          <w:szCs w:val="22"/>
        </w:rPr>
      </w:pPr>
    </w:p>
    <w:p w:rsidR="00C40A15" w:rsidRPr="00D9164F" w:rsidRDefault="00586AD8" w:rsidP="00C40A15">
      <w:pPr>
        <w:jc w:val="both"/>
        <w:rPr>
          <w:szCs w:val="22"/>
        </w:rPr>
      </w:pPr>
      <w:r w:rsidRPr="00794F08">
        <w:rPr>
          <w:b/>
          <w:szCs w:val="22"/>
        </w:rPr>
        <w:t>4.6</w:t>
      </w:r>
      <w:r w:rsidRPr="00794F08">
        <w:rPr>
          <w:b/>
          <w:szCs w:val="22"/>
        </w:rPr>
        <w:tab/>
        <w:t>Γονιμότητα, κύηση και γαλουχία</w:t>
      </w:r>
    </w:p>
    <w:p w:rsidR="00C70648" w:rsidRPr="00D9164F" w:rsidRDefault="00586AD8" w:rsidP="00C70648">
      <w:r w:rsidRPr="00794F08">
        <w:rPr>
          <w:b/>
          <w:szCs w:val="22"/>
        </w:rPr>
        <w:t>Γονιμότητα</w:t>
      </w:r>
    </w:p>
    <w:p w:rsidR="00824E11" w:rsidRPr="00794F08" w:rsidRDefault="00586AD8" w:rsidP="00824E11">
      <w:pPr>
        <w:jc w:val="both"/>
        <w:rPr>
          <w:szCs w:val="22"/>
        </w:rPr>
      </w:pPr>
      <w:r w:rsidRPr="00794F08">
        <w:rPr>
          <w:szCs w:val="22"/>
        </w:rPr>
        <w:t>Δεν υπάρχουν διαθέσιμα δεδομένα για τη γονιμότητα.</w:t>
      </w:r>
    </w:p>
    <w:p w:rsidR="00C70648" w:rsidRPr="00794F08" w:rsidRDefault="00C70648" w:rsidP="00C70648"/>
    <w:p w:rsidR="00C70648" w:rsidRPr="00D9164F" w:rsidRDefault="00586AD8" w:rsidP="00C40A15">
      <w:pPr>
        <w:jc w:val="both"/>
        <w:rPr>
          <w:szCs w:val="22"/>
        </w:rPr>
      </w:pPr>
      <w:r w:rsidRPr="00794F08">
        <w:rPr>
          <w:b/>
          <w:szCs w:val="22"/>
        </w:rPr>
        <w:t>Κύηση</w:t>
      </w:r>
    </w:p>
    <w:p w:rsidR="00C40A15" w:rsidRPr="00A8793B" w:rsidRDefault="00851836" w:rsidP="00C40A15">
      <w:pPr>
        <w:jc w:val="both"/>
        <w:rPr>
          <w:szCs w:val="22"/>
        </w:rPr>
      </w:pPr>
      <w:r w:rsidRPr="00A8793B">
        <w:rPr>
          <w:szCs w:val="22"/>
        </w:rPr>
        <w:t>Δεν υπάρχουν διαθέσιμα επαρκή στοιχεία από ανθρώπους από τη χρήση του Boostrix κατά τη διάρκεια της κύησης και δεν έχουν διεξαχθεί μελέτες  ως προς την τοξικότητα στην αναπαραγωγική ικανότητα</w:t>
      </w:r>
      <w:r w:rsidR="00586AD8" w:rsidRPr="00794F08">
        <w:rPr>
          <w:noProof/>
          <w:szCs w:val="22"/>
        </w:rPr>
        <w:t xml:space="preserve"> </w:t>
      </w:r>
      <w:r w:rsidRPr="00A8793B">
        <w:rPr>
          <w:szCs w:val="22"/>
        </w:rPr>
        <w:t xml:space="preserve">σε ζώα. Όπως και με άλλα αδρανοποιημένα εμβόλια, ο εμβολιασμός με Boostrix δεν αναμένεται να έχει βλαπτική επίδραση στο έμβρυο. Ωστόσο το εμβόλιο θα πρέπει να χρησιμοποιείται κατά τη διάρκεια της εγκυμοσύνης μόνο όταν είναι απολύτως απαραίτητο και τα πιθανά πλεονεκτήματα είναι μεγαλύτερα από τους πιθανούς κινδύνους για το έμβρυο.  </w:t>
      </w:r>
    </w:p>
    <w:p w:rsidR="00C40A15" w:rsidRPr="00A8793B" w:rsidRDefault="00C40A15" w:rsidP="00C40A15">
      <w:pPr>
        <w:jc w:val="both"/>
        <w:rPr>
          <w:szCs w:val="22"/>
        </w:rPr>
      </w:pPr>
    </w:p>
    <w:p w:rsidR="00C70648" w:rsidRPr="00D9164F" w:rsidRDefault="00586AD8" w:rsidP="00C40A15">
      <w:pPr>
        <w:jc w:val="both"/>
        <w:rPr>
          <w:szCs w:val="22"/>
        </w:rPr>
      </w:pPr>
      <w:r w:rsidRPr="00794F08">
        <w:rPr>
          <w:b/>
          <w:szCs w:val="22"/>
        </w:rPr>
        <w:t>Γαλουχία</w:t>
      </w:r>
    </w:p>
    <w:p w:rsidR="00476139" w:rsidRPr="00A8793B" w:rsidRDefault="00851836" w:rsidP="00C40A15">
      <w:pPr>
        <w:jc w:val="both"/>
        <w:rPr>
          <w:szCs w:val="22"/>
        </w:rPr>
      </w:pPr>
      <w:r w:rsidRPr="00A8793B">
        <w:rPr>
          <w:szCs w:val="22"/>
        </w:rPr>
        <w:t xml:space="preserve">Δεν υπάρχουν διαθέσιμα επαρκή στοιχεία από τη χορήγηση του Boostrix σε γυναίκες που θηλάζουν τα μωρά τους. Ωστόσο, καθώς το Boostrix περιέχει τοξοειδή ή αδρανοποιημένα αντιγόνα, δεν αναμένεται κίνδυνος για το βρέφος που θηλάζει. Τα οφέλη έναντι των κινδύνων της χορήγησης του Boostrix σε γυναίκες που θηλάζουν θα πρέπει να αξιολογούνται από τους παρέχοντες υπηρεσίες υγείας. </w:t>
      </w:r>
    </w:p>
    <w:p w:rsidR="00C40A15" w:rsidRPr="00794F08" w:rsidRDefault="00C40A15" w:rsidP="00C40A15">
      <w:pPr>
        <w:jc w:val="both"/>
        <w:rPr>
          <w:szCs w:val="22"/>
        </w:rPr>
      </w:pPr>
    </w:p>
    <w:p w:rsidR="00AC7016" w:rsidRPr="00D9164F" w:rsidRDefault="00586AD8">
      <w:pPr>
        <w:jc w:val="both"/>
        <w:rPr>
          <w:szCs w:val="22"/>
        </w:rPr>
      </w:pPr>
      <w:r w:rsidRPr="00794F08">
        <w:rPr>
          <w:b/>
          <w:szCs w:val="22"/>
        </w:rPr>
        <w:t>4.7</w:t>
      </w:r>
      <w:r w:rsidRPr="00794F08">
        <w:rPr>
          <w:b/>
          <w:szCs w:val="22"/>
        </w:rPr>
        <w:tab/>
        <w:t>Επιδράσεις στην ικανότητα οδήγησης και χειρισμού μηχανών</w:t>
      </w:r>
    </w:p>
    <w:p w:rsidR="00C40A15" w:rsidRPr="00794F08" w:rsidRDefault="00586AD8" w:rsidP="00C40A15">
      <w:pPr>
        <w:tabs>
          <w:tab w:val="clear" w:pos="567"/>
        </w:tabs>
        <w:jc w:val="both"/>
        <w:rPr>
          <w:szCs w:val="22"/>
        </w:rPr>
      </w:pPr>
      <w:r w:rsidRPr="00794F08">
        <w:rPr>
          <w:szCs w:val="22"/>
        </w:rPr>
        <w:t>Είναι απίθανο το εμβόλιο να επηρεάσει την ικανότητα οδήγησης και χειρισμού μηχανών.</w:t>
      </w:r>
    </w:p>
    <w:p w:rsidR="00C40A15" w:rsidRPr="00794F08" w:rsidRDefault="00C40A15" w:rsidP="00C40A15">
      <w:pPr>
        <w:tabs>
          <w:tab w:val="clear" w:pos="567"/>
        </w:tabs>
        <w:jc w:val="both"/>
        <w:rPr>
          <w:szCs w:val="22"/>
        </w:rPr>
      </w:pPr>
    </w:p>
    <w:p w:rsidR="00C40A15" w:rsidRPr="00794F08" w:rsidRDefault="00586AD8" w:rsidP="00C40A15">
      <w:pPr>
        <w:jc w:val="both"/>
        <w:rPr>
          <w:szCs w:val="22"/>
        </w:rPr>
      </w:pPr>
      <w:r w:rsidRPr="00794F08">
        <w:rPr>
          <w:b/>
          <w:szCs w:val="22"/>
        </w:rPr>
        <w:t>4.8</w:t>
      </w:r>
      <w:r w:rsidRPr="00794F08">
        <w:rPr>
          <w:b/>
          <w:szCs w:val="22"/>
        </w:rPr>
        <w:tab/>
        <w:t>Ανεπιθύμητες ενέργειες</w:t>
      </w:r>
    </w:p>
    <w:p w:rsidR="00851836" w:rsidRDefault="00586AD8" w:rsidP="00A8793B">
      <w:pPr>
        <w:tabs>
          <w:tab w:val="clear" w:pos="567"/>
          <w:tab w:val="left" w:pos="0"/>
        </w:tabs>
        <w:rPr>
          <w:szCs w:val="22"/>
        </w:rPr>
      </w:pPr>
      <w:r w:rsidRPr="00794F08">
        <w:rPr>
          <w:bCs/>
          <w:iCs/>
        </w:rPr>
        <w:t>Το προφίλ ασφαλείας που παρατίθεται κατωτέρω βασίζεται σε δεδομένα από κλινικές δοκιμές όπου το Boostrix χορηγήθηκε σε 839 παιδιά (ηλικίας από 4 έως 8 ετών) και 1931 ενήλικες, εφήβους και παιδιά (ηλικίας από 10 έως 76 ετών).</w:t>
      </w:r>
    </w:p>
    <w:p w:rsidR="00851836" w:rsidRDefault="00851836" w:rsidP="00A8793B">
      <w:pPr>
        <w:tabs>
          <w:tab w:val="clear" w:pos="567"/>
          <w:tab w:val="left" w:pos="0"/>
        </w:tabs>
        <w:rPr>
          <w:bCs/>
          <w:iCs/>
        </w:rPr>
      </w:pPr>
    </w:p>
    <w:p w:rsidR="00C40A15" w:rsidRPr="00794F08" w:rsidRDefault="00586AD8" w:rsidP="00C40A15">
      <w:pPr>
        <w:jc w:val="both"/>
        <w:rPr>
          <w:szCs w:val="22"/>
        </w:rPr>
      </w:pPr>
      <w:r w:rsidRPr="00794F08">
        <w:rPr>
          <w:szCs w:val="22"/>
        </w:rPr>
        <w:lastRenderedPageBreak/>
        <w:t xml:space="preserve">Οι πιο συχνές ανεπιθύμητες ενέργειες που εμφανίστηκαν μετά τη χορήγηση του </w:t>
      </w:r>
      <w:r w:rsidRPr="00794F08">
        <w:t xml:space="preserve">Boostrix </w:t>
      </w:r>
      <w:r w:rsidR="00851836" w:rsidRPr="00A8793B">
        <w:rPr>
          <w:szCs w:val="22"/>
        </w:rPr>
        <w:t xml:space="preserve"> </w:t>
      </w:r>
      <w:r w:rsidRPr="00794F08">
        <w:rPr>
          <w:szCs w:val="22"/>
        </w:rPr>
        <w:t xml:space="preserve">και στις δυο ομάδες ήταν οι τοπικές αντιδράσεις της θέσης της ένεσης (άλγος, ερυθρότητα και οίδημα) που αναφέρθηκε στο </w:t>
      </w:r>
      <w:r w:rsidRPr="00794F08">
        <w:t>23.7 – 80.6</w:t>
      </w:r>
      <w:r w:rsidRPr="00794F08">
        <w:rPr>
          <w:szCs w:val="22"/>
        </w:rPr>
        <w:t xml:space="preserve">% των ατόμων σε κάθε μελέτη. Συνήθως τα συμπτώματα αυτά άρχιζαν εντός των πρώτων 48 ωρών από τον εμβολιασμό. Όλα τα συμπτώματα υποχώρησαν  χωρίς επακόλουθα. </w:t>
      </w:r>
    </w:p>
    <w:p w:rsidR="007E1F66" w:rsidRPr="00794F08" w:rsidRDefault="007E1F66" w:rsidP="00824E11">
      <w:pPr>
        <w:jc w:val="both"/>
        <w:rPr>
          <w:szCs w:val="22"/>
        </w:rPr>
      </w:pPr>
    </w:p>
    <w:p w:rsidR="007E1F66" w:rsidRPr="00794F08" w:rsidRDefault="00586AD8" w:rsidP="00824E11">
      <w:pPr>
        <w:jc w:val="both"/>
        <w:rPr>
          <w:szCs w:val="22"/>
        </w:rPr>
      </w:pPr>
      <w:r w:rsidRPr="00794F08">
        <w:rPr>
          <w:szCs w:val="22"/>
        </w:rPr>
        <w:t>Οι ανεπιθύμητες ενέργειες που παρατίθενται κατωτέρω αναφέρονται σύμφωνα με την ακόλουθη συχνότητα εμφάνισης</w:t>
      </w:r>
      <w:r w:rsidR="00851836" w:rsidRPr="00A8793B">
        <w:rPr>
          <w:szCs w:val="22"/>
        </w:rPr>
        <w:t>:</w:t>
      </w:r>
      <w:r w:rsidRPr="00794F08">
        <w:rPr>
          <w:szCs w:val="22"/>
        </w:rPr>
        <w:t xml:space="preserve"> </w:t>
      </w:r>
    </w:p>
    <w:p w:rsidR="00C40A15" w:rsidRPr="00794F08" w:rsidRDefault="00C40A15" w:rsidP="00824E11">
      <w:pPr>
        <w:jc w:val="both"/>
        <w:rPr>
          <w:szCs w:val="22"/>
        </w:rPr>
      </w:pPr>
    </w:p>
    <w:p w:rsidR="00201890" w:rsidRPr="00794F08" w:rsidRDefault="00586AD8" w:rsidP="00201890">
      <w:pPr>
        <w:tabs>
          <w:tab w:val="left" w:pos="1560"/>
        </w:tabs>
        <w:rPr>
          <w:szCs w:val="22"/>
        </w:rPr>
      </w:pPr>
      <w:r w:rsidRPr="00794F08">
        <w:rPr>
          <w:szCs w:val="22"/>
        </w:rPr>
        <w:t xml:space="preserve">Πολύ συχνές: </w:t>
      </w:r>
      <w:r w:rsidRPr="00794F08">
        <w:rPr>
          <w:szCs w:val="22"/>
        </w:rPr>
        <w:tab/>
        <w:t>(</w:t>
      </w:r>
      <w:r w:rsidRPr="00794F08">
        <w:rPr>
          <w:szCs w:val="22"/>
        </w:rPr>
        <w:sym w:font="Symbol" w:char="00B3"/>
      </w:r>
      <w:r w:rsidRPr="00794F08">
        <w:rPr>
          <w:szCs w:val="22"/>
        </w:rPr>
        <w:t>1/10)</w:t>
      </w:r>
    </w:p>
    <w:p w:rsidR="00201890" w:rsidRPr="00794F08" w:rsidRDefault="00586AD8" w:rsidP="00201890">
      <w:pPr>
        <w:tabs>
          <w:tab w:val="left" w:pos="1560"/>
        </w:tabs>
        <w:rPr>
          <w:szCs w:val="22"/>
        </w:rPr>
      </w:pPr>
      <w:r w:rsidRPr="00794F08">
        <w:rPr>
          <w:szCs w:val="22"/>
        </w:rPr>
        <w:t xml:space="preserve">Συχνές: </w:t>
      </w:r>
      <w:r w:rsidRPr="00794F08">
        <w:rPr>
          <w:szCs w:val="22"/>
        </w:rPr>
        <w:tab/>
        <w:t>(</w:t>
      </w:r>
      <w:r w:rsidRPr="00794F08">
        <w:rPr>
          <w:szCs w:val="22"/>
        </w:rPr>
        <w:sym w:font="Symbol" w:char="00B3"/>
      </w:r>
      <w:r w:rsidRPr="00794F08">
        <w:rPr>
          <w:szCs w:val="22"/>
        </w:rPr>
        <w:t xml:space="preserve"> 1/100 έως  &lt; 1/10)</w:t>
      </w:r>
    </w:p>
    <w:p w:rsidR="00201890" w:rsidRPr="00794F08" w:rsidRDefault="00586AD8" w:rsidP="00201890">
      <w:pPr>
        <w:tabs>
          <w:tab w:val="left" w:pos="1560"/>
        </w:tabs>
        <w:rPr>
          <w:szCs w:val="22"/>
        </w:rPr>
      </w:pPr>
      <w:r w:rsidRPr="00794F08">
        <w:rPr>
          <w:szCs w:val="22"/>
        </w:rPr>
        <w:t xml:space="preserve">Όχι συχνές: </w:t>
      </w:r>
      <w:r w:rsidRPr="00794F08">
        <w:rPr>
          <w:szCs w:val="22"/>
        </w:rPr>
        <w:tab/>
        <w:t>(</w:t>
      </w:r>
      <w:r w:rsidRPr="00794F08">
        <w:rPr>
          <w:szCs w:val="22"/>
        </w:rPr>
        <w:sym w:font="Symbol" w:char="00B3"/>
      </w:r>
      <w:r w:rsidRPr="00794F08">
        <w:rPr>
          <w:szCs w:val="22"/>
        </w:rPr>
        <w:t xml:space="preserve"> 1/1,000 έως &lt; 1/100)</w:t>
      </w:r>
    </w:p>
    <w:p w:rsidR="00201890" w:rsidRPr="00794F08" w:rsidRDefault="00586AD8" w:rsidP="00201890">
      <w:pPr>
        <w:tabs>
          <w:tab w:val="left" w:pos="1560"/>
        </w:tabs>
        <w:rPr>
          <w:szCs w:val="22"/>
        </w:rPr>
      </w:pPr>
      <w:r w:rsidRPr="00794F08">
        <w:rPr>
          <w:szCs w:val="22"/>
        </w:rPr>
        <w:t xml:space="preserve">Σπάνιες: </w:t>
      </w:r>
      <w:r w:rsidRPr="00794F08">
        <w:rPr>
          <w:szCs w:val="22"/>
        </w:rPr>
        <w:tab/>
        <w:t>(</w:t>
      </w:r>
      <w:r w:rsidRPr="00794F08">
        <w:rPr>
          <w:szCs w:val="22"/>
        </w:rPr>
        <w:sym w:font="Symbol" w:char="00B3"/>
      </w:r>
      <w:r w:rsidRPr="00794F08">
        <w:rPr>
          <w:szCs w:val="22"/>
        </w:rPr>
        <w:t xml:space="preserve"> 1/10,000 έως &lt; 1/1,000)</w:t>
      </w:r>
    </w:p>
    <w:p w:rsidR="00201890" w:rsidRPr="00794F08" w:rsidRDefault="00586AD8" w:rsidP="00201890">
      <w:pPr>
        <w:tabs>
          <w:tab w:val="left" w:pos="1560"/>
        </w:tabs>
        <w:rPr>
          <w:szCs w:val="22"/>
        </w:rPr>
      </w:pPr>
      <w:r w:rsidRPr="00794F08">
        <w:rPr>
          <w:szCs w:val="22"/>
        </w:rPr>
        <w:t xml:space="preserve">Πολύ σπάνιες: </w:t>
      </w:r>
      <w:r w:rsidRPr="00794F08">
        <w:rPr>
          <w:szCs w:val="22"/>
        </w:rPr>
        <w:tab/>
        <w:t>(&lt; 1/10,000)</w:t>
      </w:r>
    </w:p>
    <w:p w:rsidR="00201890" w:rsidRPr="00794F08" w:rsidRDefault="00201890" w:rsidP="00201890">
      <w:pPr>
        <w:jc w:val="both"/>
        <w:rPr>
          <w:szCs w:val="22"/>
        </w:rPr>
      </w:pPr>
    </w:p>
    <w:p w:rsidR="00C40A15" w:rsidRPr="00794F08" w:rsidRDefault="00586AD8" w:rsidP="00C40A15">
      <w:pPr>
        <w:jc w:val="both"/>
        <w:rPr>
          <w:szCs w:val="22"/>
        </w:rPr>
      </w:pPr>
      <w:r w:rsidRPr="00794F08">
        <w:rPr>
          <w:bCs/>
        </w:rPr>
        <w:t>Εντός κάθε κατηγορίας συχνότητας εμφάνισης, οι ανεπιθύμητες ενέργειες παρατίθενται κατά φθίνουσα σειρά σοβαρότητας.</w:t>
      </w:r>
    </w:p>
    <w:p w:rsidR="00C40A15" w:rsidRPr="00A8793B" w:rsidRDefault="00C40A15" w:rsidP="00C40A15">
      <w:pPr>
        <w:jc w:val="both"/>
        <w:rPr>
          <w:szCs w:val="22"/>
        </w:rPr>
      </w:pPr>
    </w:p>
    <w:p w:rsidR="00AC7016" w:rsidRPr="00D9164F" w:rsidRDefault="00586AD8">
      <w:pPr>
        <w:rPr>
          <w:szCs w:val="22"/>
        </w:rPr>
      </w:pPr>
      <w:r w:rsidRPr="00794F08">
        <w:rPr>
          <w:b/>
          <w:lang w:eastAsia="en-US"/>
        </w:rPr>
        <w:t>Κλινικές δοκιμές</w:t>
      </w:r>
    </w:p>
    <w:p w:rsidR="00C40A15" w:rsidRPr="00794F08" w:rsidRDefault="00586AD8" w:rsidP="00C40A15">
      <w:pPr>
        <w:jc w:val="both"/>
        <w:rPr>
          <w:szCs w:val="22"/>
        </w:rPr>
      </w:pPr>
      <w:r w:rsidRPr="00794F08">
        <w:rPr>
          <w:b/>
          <w:i/>
        </w:rPr>
        <w:t>Άτομα ηλικίας 4 – 8 ετών</w:t>
      </w:r>
      <w:r w:rsidRPr="00794F08">
        <w:t xml:space="preserve"> (N=839)</w:t>
      </w:r>
    </w:p>
    <w:p w:rsidR="00824E11" w:rsidRPr="00794F08" w:rsidRDefault="00586AD8" w:rsidP="00824E11">
      <w:pPr>
        <w:tabs>
          <w:tab w:val="left" w:pos="426"/>
          <w:tab w:val="left" w:pos="1701"/>
        </w:tabs>
        <w:jc w:val="both"/>
        <w:rPr>
          <w:noProof/>
          <w:szCs w:val="22"/>
          <w:u w:val="single"/>
        </w:rPr>
      </w:pPr>
      <w:r w:rsidRPr="00794F08">
        <w:rPr>
          <w:noProof/>
          <w:szCs w:val="22"/>
          <w:u w:val="single"/>
        </w:rPr>
        <w:t>Λοιμώξεις και παρασιτώσεις</w:t>
      </w:r>
    </w:p>
    <w:p w:rsidR="00824E11" w:rsidRPr="00794F08" w:rsidRDefault="00586AD8" w:rsidP="00824E11">
      <w:pPr>
        <w:tabs>
          <w:tab w:val="left" w:pos="426"/>
          <w:tab w:val="left" w:pos="1701"/>
        </w:tabs>
        <w:jc w:val="both"/>
        <w:rPr>
          <w:szCs w:val="22"/>
          <w:u w:val="single"/>
        </w:rPr>
      </w:pPr>
      <w:r w:rsidRPr="00794F08">
        <w:rPr>
          <w:i/>
          <w:noProof/>
          <w:szCs w:val="22"/>
        </w:rPr>
        <w:t>Όχι συχνές</w:t>
      </w:r>
      <w:r w:rsidRPr="00794F08">
        <w:rPr>
          <w:noProof/>
          <w:szCs w:val="22"/>
        </w:rPr>
        <w:t>: λοίμωξη του ανώτερου αναπνευστικού συστήματος</w:t>
      </w:r>
    </w:p>
    <w:p w:rsidR="00824E11" w:rsidRPr="00794F08" w:rsidRDefault="00824E11" w:rsidP="00824E11">
      <w:pPr>
        <w:jc w:val="both"/>
        <w:rPr>
          <w:szCs w:val="22"/>
        </w:rPr>
      </w:pPr>
    </w:p>
    <w:p w:rsidR="00824E11" w:rsidRPr="00794F08" w:rsidRDefault="00586AD8" w:rsidP="00824E11">
      <w:pPr>
        <w:tabs>
          <w:tab w:val="left" w:pos="426"/>
          <w:tab w:val="left" w:pos="1701"/>
        </w:tabs>
        <w:jc w:val="both"/>
        <w:rPr>
          <w:szCs w:val="22"/>
          <w:u w:val="single"/>
        </w:rPr>
      </w:pPr>
      <w:r w:rsidRPr="00794F08">
        <w:rPr>
          <w:szCs w:val="22"/>
          <w:u w:val="single"/>
        </w:rPr>
        <w:t>Διαταραχές του μεταβολισμού και της θρέψης</w:t>
      </w:r>
    </w:p>
    <w:p w:rsidR="00824E11" w:rsidRPr="00794F08" w:rsidRDefault="00586AD8" w:rsidP="00824E11">
      <w:pPr>
        <w:tabs>
          <w:tab w:val="left" w:pos="426"/>
          <w:tab w:val="left" w:pos="1701"/>
        </w:tabs>
        <w:jc w:val="both"/>
        <w:rPr>
          <w:szCs w:val="22"/>
        </w:rPr>
      </w:pPr>
      <w:r w:rsidRPr="00794F08">
        <w:rPr>
          <w:i/>
          <w:szCs w:val="22"/>
        </w:rPr>
        <w:t>Συχνές</w:t>
      </w:r>
      <w:r w:rsidRPr="00794F08">
        <w:rPr>
          <w:szCs w:val="22"/>
        </w:rPr>
        <w:t>: ανορεξία</w:t>
      </w:r>
    </w:p>
    <w:p w:rsidR="00824E11" w:rsidRPr="00794F08" w:rsidRDefault="00824E11" w:rsidP="00824E11">
      <w:pPr>
        <w:jc w:val="both"/>
        <w:rPr>
          <w:szCs w:val="22"/>
        </w:rPr>
      </w:pPr>
    </w:p>
    <w:p w:rsidR="00824E11" w:rsidRPr="00794F08" w:rsidRDefault="00586AD8" w:rsidP="00824E11">
      <w:pPr>
        <w:tabs>
          <w:tab w:val="left" w:pos="426"/>
          <w:tab w:val="left" w:pos="1701"/>
        </w:tabs>
        <w:jc w:val="both"/>
        <w:rPr>
          <w:szCs w:val="22"/>
          <w:u w:val="single"/>
        </w:rPr>
      </w:pPr>
      <w:r w:rsidRPr="00794F08">
        <w:rPr>
          <w:szCs w:val="22"/>
          <w:u w:val="single"/>
        </w:rPr>
        <w:t>Ψυχιατρικές διαταραχές</w:t>
      </w:r>
    </w:p>
    <w:p w:rsidR="00824E11" w:rsidRPr="00A8793B" w:rsidRDefault="00586AD8" w:rsidP="00824E11">
      <w:pPr>
        <w:tabs>
          <w:tab w:val="left" w:pos="426"/>
          <w:tab w:val="left" w:pos="1701"/>
        </w:tabs>
        <w:jc w:val="both"/>
        <w:rPr>
          <w:szCs w:val="22"/>
        </w:rPr>
      </w:pPr>
      <w:r w:rsidRPr="00794F08">
        <w:rPr>
          <w:i/>
          <w:szCs w:val="22"/>
        </w:rPr>
        <w:t>Πολύ συχνές</w:t>
      </w:r>
      <w:r w:rsidRPr="00794F08">
        <w:rPr>
          <w:szCs w:val="22"/>
        </w:rPr>
        <w:t>: ευερεθιστότητα</w:t>
      </w:r>
    </w:p>
    <w:p w:rsidR="00824E11" w:rsidRPr="00794F08" w:rsidRDefault="00824E11" w:rsidP="00824E11">
      <w:pPr>
        <w:jc w:val="both"/>
        <w:rPr>
          <w:szCs w:val="22"/>
        </w:rPr>
      </w:pPr>
    </w:p>
    <w:p w:rsidR="00824E11" w:rsidRPr="00794F08" w:rsidRDefault="00586AD8" w:rsidP="00824E11">
      <w:pPr>
        <w:jc w:val="both"/>
        <w:rPr>
          <w:noProof/>
          <w:u w:val="single"/>
        </w:rPr>
      </w:pPr>
      <w:r w:rsidRPr="00794F08">
        <w:rPr>
          <w:noProof/>
          <w:u w:val="single"/>
        </w:rPr>
        <w:t>Διαταραχές του νευρικού συστήματος</w:t>
      </w:r>
    </w:p>
    <w:p w:rsidR="00824E11" w:rsidRPr="00794F08" w:rsidRDefault="00586AD8" w:rsidP="00824E11">
      <w:pPr>
        <w:jc w:val="both"/>
        <w:rPr>
          <w:b/>
          <w:noProof/>
        </w:rPr>
      </w:pPr>
      <w:r w:rsidRPr="00794F08">
        <w:rPr>
          <w:i/>
          <w:noProof/>
        </w:rPr>
        <w:t>Πολύ συχνές:</w:t>
      </w:r>
      <w:r w:rsidRPr="00794F08">
        <w:rPr>
          <w:b/>
          <w:noProof/>
        </w:rPr>
        <w:t xml:space="preserve"> </w:t>
      </w:r>
      <w:r w:rsidRPr="00794F08">
        <w:rPr>
          <w:noProof/>
        </w:rPr>
        <w:t>υπνηλία</w:t>
      </w:r>
    </w:p>
    <w:p w:rsidR="00824E11" w:rsidRPr="00794F08" w:rsidRDefault="00586AD8" w:rsidP="00824E11">
      <w:pPr>
        <w:jc w:val="both"/>
        <w:rPr>
          <w:szCs w:val="22"/>
        </w:rPr>
      </w:pPr>
      <w:r w:rsidRPr="00794F08">
        <w:rPr>
          <w:i/>
          <w:szCs w:val="22"/>
        </w:rPr>
        <w:t>Συχνές</w:t>
      </w:r>
      <w:r w:rsidRPr="00794F08">
        <w:rPr>
          <w:szCs w:val="22"/>
        </w:rPr>
        <w:t>: κεφαλαλγία</w:t>
      </w:r>
    </w:p>
    <w:p w:rsidR="00824E11" w:rsidRPr="00794F08" w:rsidRDefault="00586AD8" w:rsidP="00824E11">
      <w:pPr>
        <w:jc w:val="both"/>
        <w:rPr>
          <w:szCs w:val="22"/>
        </w:rPr>
      </w:pPr>
      <w:r w:rsidRPr="00794F08">
        <w:rPr>
          <w:i/>
          <w:szCs w:val="22"/>
        </w:rPr>
        <w:t>Όχι συχνές</w:t>
      </w:r>
      <w:r w:rsidRPr="00794F08">
        <w:rPr>
          <w:szCs w:val="22"/>
        </w:rPr>
        <w:t>: διαταραχή της συγκέντρωσης</w:t>
      </w:r>
    </w:p>
    <w:p w:rsidR="00824E11" w:rsidRPr="00794F08" w:rsidRDefault="00824E11" w:rsidP="00824E11">
      <w:pPr>
        <w:jc w:val="both"/>
        <w:rPr>
          <w:szCs w:val="22"/>
        </w:rPr>
      </w:pPr>
    </w:p>
    <w:p w:rsidR="00824E11" w:rsidRPr="00A8793B" w:rsidRDefault="00851836" w:rsidP="00824E11">
      <w:pPr>
        <w:jc w:val="both"/>
        <w:rPr>
          <w:szCs w:val="22"/>
          <w:u w:val="single"/>
        </w:rPr>
      </w:pPr>
      <w:r w:rsidRPr="00A8793B">
        <w:rPr>
          <w:szCs w:val="22"/>
          <w:u w:val="single"/>
        </w:rPr>
        <w:t>Οφθαλμικές διαταραχές</w:t>
      </w:r>
    </w:p>
    <w:p w:rsidR="00824E11" w:rsidRPr="00794F08" w:rsidRDefault="00586AD8" w:rsidP="00824E11">
      <w:pPr>
        <w:jc w:val="both"/>
        <w:rPr>
          <w:szCs w:val="22"/>
        </w:rPr>
      </w:pPr>
      <w:r w:rsidRPr="00794F08">
        <w:rPr>
          <w:i/>
          <w:szCs w:val="22"/>
        </w:rPr>
        <w:t>Όχι συχνές</w:t>
      </w:r>
      <w:r w:rsidR="00851836" w:rsidRPr="00A8793B">
        <w:rPr>
          <w:szCs w:val="22"/>
        </w:rPr>
        <w:t xml:space="preserve">: </w:t>
      </w:r>
      <w:r w:rsidRPr="00794F08">
        <w:rPr>
          <w:szCs w:val="22"/>
        </w:rPr>
        <w:t>επιπεφυκίτιδα</w:t>
      </w:r>
    </w:p>
    <w:p w:rsidR="00824E11" w:rsidRPr="00794F08" w:rsidRDefault="00824E11" w:rsidP="00824E11">
      <w:pPr>
        <w:jc w:val="both"/>
        <w:rPr>
          <w:szCs w:val="22"/>
        </w:rPr>
      </w:pPr>
    </w:p>
    <w:p w:rsidR="00824E11" w:rsidRPr="00794F08" w:rsidRDefault="00586AD8" w:rsidP="00824E11">
      <w:pPr>
        <w:tabs>
          <w:tab w:val="left" w:pos="426"/>
          <w:tab w:val="left" w:pos="1701"/>
        </w:tabs>
        <w:jc w:val="both"/>
        <w:rPr>
          <w:szCs w:val="22"/>
          <w:u w:val="single"/>
        </w:rPr>
      </w:pPr>
      <w:r w:rsidRPr="00794F08">
        <w:rPr>
          <w:szCs w:val="22"/>
          <w:u w:val="single"/>
        </w:rPr>
        <w:t>Διαταραχές του γαστρεντερικού συστήματος</w:t>
      </w:r>
    </w:p>
    <w:p w:rsidR="00824E11" w:rsidRPr="00794F08" w:rsidRDefault="00586AD8" w:rsidP="00824E11">
      <w:pPr>
        <w:tabs>
          <w:tab w:val="left" w:pos="426"/>
          <w:tab w:val="left" w:pos="1701"/>
        </w:tabs>
        <w:jc w:val="both"/>
        <w:rPr>
          <w:szCs w:val="22"/>
        </w:rPr>
      </w:pPr>
      <w:r w:rsidRPr="00794F08">
        <w:rPr>
          <w:i/>
          <w:szCs w:val="22"/>
        </w:rPr>
        <w:t>Συχνές</w:t>
      </w:r>
      <w:r w:rsidRPr="00794F08">
        <w:rPr>
          <w:szCs w:val="22"/>
        </w:rPr>
        <w:t>: διάρροια, έμετος, γαστρεντερικές διαταραχές</w:t>
      </w:r>
    </w:p>
    <w:p w:rsidR="00824E11" w:rsidRPr="00794F08" w:rsidRDefault="00824E11" w:rsidP="00824E11">
      <w:pPr>
        <w:tabs>
          <w:tab w:val="left" w:pos="426"/>
          <w:tab w:val="left" w:pos="1701"/>
        </w:tabs>
        <w:jc w:val="both"/>
        <w:rPr>
          <w:szCs w:val="22"/>
        </w:rPr>
      </w:pPr>
    </w:p>
    <w:p w:rsidR="00824E11" w:rsidRPr="00794F08" w:rsidRDefault="00586AD8" w:rsidP="00824E11">
      <w:pPr>
        <w:tabs>
          <w:tab w:val="left" w:pos="426"/>
          <w:tab w:val="left" w:pos="1701"/>
        </w:tabs>
        <w:jc w:val="both"/>
        <w:rPr>
          <w:szCs w:val="22"/>
          <w:u w:val="single"/>
        </w:rPr>
      </w:pPr>
      <w:r w:rsidRPr="00794F08">
        <w:rPr>
          <w:szCs w:val="22"/>
          <w:u w:val="single"/>
        </w:rPr>
        <w:t>Διαταραχές του δέρματος και του υποδόριου ιστού</w:t>
      </w:r>
    </w:p>
    <w:p w:rsidR="00824E11" w:rsidRPr="00794F08" w:rsidRDefault="00586AD8" w:rsidP="00824E11">
      <w:pPr>
        <w:jc w:val="both"/>
        <w:rPr>
          <w:szCs w:val="22"/>
        </w:rPr>
      </w:pPr>
      <w:r w:rsidRPr="00794F08">
        <w:rPr>
          <w:i/>
          <w:szCs w:val="22"/>
        </w:rPr>
        <w:t>Όχι συχνές</w:t>
      </w:r>
      <w:r w:rsidRPr="00794F08">
        <w:rPr>
          <w:szCs w:val="22"/>
        </w:rPr>
        <w:t>: εξάνθημα</w:t>
      </w:r>
    </w:p>
    <w:p w:rsidR="00C82DA7" w:rsidRPr="00794F08" w:rsidRDefault="00C82DA7" w:rsidP="00C40A15">
      <w:pPr>
        <w:jc w:val="both"/>
        <w:rPr>
          <w:szCs w:val="22"/>
        </w:rPr>
      </w:pPr>
    </w:p>
    <w:p w:rsidR="00C40A15" w:rsidRPr="00794F08" w:rsidRDefault="00586AD8" w:rsidP="00C40A15">
      <w:pPr>
        <w:tabs>
          <w:tab w:val="left" w:pos="426"/>
          <w:tab w:val="left" w:pos="1701"/>
        </w:tabs>
        <w:jc w:val="both"/>
        <w:rPr>
          <w:szCs w:val="22"/>
          <w:u w:val="single"/>
        </w:rPr>
      </w:pPr>
      <w:r w:rsidRPr="00794F08">
        <w:rPr>
          <w:szCs w:val="22"/>
          <w:u w:val="single"/>
        </w:rPr>
        <w:t>Γενικές διαταραχές και καταστάσεις της οδού χορήγησης</w:t>
      </w:r>
    </w:p>
    <w:p w:rsidR="00C40A15" w:rsidRPr="00A8793B" w:rsidRDefault="00586AD8" w:rsidP="00C40A15">
      <w:pPr>
        <w:tabs>
          <w:tab w:val="left" w:pos="426"/>
          <w:tab w:val="left" w:pos="1701"/>
        </w:tabs>
        <w:jc w:val="both"/>
        <w:rPr>
          <w:szCs w:val="22"/>
        </w:rPr>
      </w:pPr>
      <w:r w:rsidRPr="00794F08">
        <w:rPr>
          <w:i/>
          <w:szCs w:val="22"/>
        </w:rPr>
        <w:t>Πολύ συχνές</w:t>
      </w:r>
      <w:r w:rsidRPr="00794F08">
        <w:rPr>
          <w:szCs w:val="22"/>
        </w:rPr>
        <w:t>: αντιδράσεις της θέσης ένεσης (όπως ερυθρότητα και/ή οίδημα), άλγος της θέσης ένεσης</w:t>
      </w:r>
      <w:r w:rsidR="00851836" w:rsidRPr="00A8793B">
        <w:rPr>
          <w:szCs w:val="22"/>
        </w:rPr>
        <w:t xml:space="preserve">, </w:t>
      </w:r>
      <w:r w:rsidRPr="00794F08">
        <w:rPr>
          <w:szCs w:val="22"/>
        </w:rPr>
        <w:t>κόπωση</w:t>
      </w:r>
    </w:p>
    <w:p w:rsidR="00824E11" w:rsidRPr="00794F08" w:rsidRDefault="00586AD8" w:rsidP="00824E11">
      <w:pPr>
        <w:tabs>
          <w:tab w:val="left" w:pos="426"/>
          <w:tab w:val="left" w:pos="1701"/>
        </w:tabs>
        <w:jc w:val="both"/>
        <w:rPr>
          <w:szCs w:val="22"/>
        </w:rPr>
      </w:pPr>
      <w:r w:rsidRPr="00794F08">
        <w:rPr>
          <w:i/>
          <w:szCs w:val="22"/>
        </w:rPr>
        <w:t>Συχνές</w:t>
      </w:r>
      <w:r w:rsidRPr="00794F08">
        <w:rPr>
          <w:szCs w:val="22"/>
        </w:rPr>
        <w:t xml:space="preserve">: πυρετός (θερμοκρασία </w:t>
      </w:r>
      <w:r w:rsidRPr="00794F08">
        <w:t>≥ 37.5°C  περιλαμβανομένου πυρετού &gt; 39.0°C</w:t>
      </w:r>
      <w:r w:rsidRPr="00794F08">
        <w:rPr>
          <w:szCs w:val="22"/>
        </w:rPr>
        <w:t xml:space="preserve"> ), εκτεταμένο οίδημα του άκρου στο οποίο χορηγήθηκε το εμβόλιο (μερικές φορές περιλαμβάνει την παρακείμενη άρθρωση)</w:t>
      </w:r>
    </w:p>
    <w:p w:rsidR="00824E11" w:rsidRPr="00794F08" w:rsidRDefault="00586AD8" w:rsidP="00824E11">
      <w:pPr>
        <w:tabs>
          <w:tab w:val="left" w:pos="426"/>
          <w:tab w:val="left" w:pos="1701"/>
        </w:tabs>
        <w:jc w:val="both"/>
        <w:rPr>
          <w:szCs w:val="22"/>
        </w:rPr>
      </w:pPr>
      <w:r w:rsidRPr="00794F08">
        <w:rPr>
          <w:i/>
          <w:szCs w:val="22"/>
        </w:rPr>
        <w:t>Όχι συχνές</w:t>
      </w:r>
      <w:r w:rsidRPr="00794F08">
        <w:rPr>
          <w:szCs w:val="22"/>
        </w:rPr>
        <w:t>: άλλες αντιδράσεις της θέσης ένεσης (όπως σκληρία), άλγος</w:t>
      </w:r>
    </w:p>
    <w:p w:rsidR="00C40A15" w:rsidRPr="00794F08" w:rsidRDefault="00C40A15" w:rsidP="00C40A15">
      <w:pPr>
        <w:tabs>
          <w:tab w:val="left" w:pos="426"/>
          <w:tab w:val="left" w:pos="1701"/>
        </w:tabs>
        <w:jc w:val="both"/>
        <w:rPr>
          <w:szCs w:val="22"/>
        </w:rPr>
      </w:pPr>
    </w:p>
    <w:p w:rsidR="0078681E" w:rsidRPr="00794F08" w:rsidRDefault="00586AD8" w:rsidP="009D0F55">
      <w:pPr>
        <w:tabs>
          <w:tab w:val="left" w:pos="426"/>
          <w:tab w:val="left" w:pos="1701"/>
        </w:tabs>
        <w:jc w:val="both"/>
        <w:rPr>
          <w:szCs w:val="22"/>
        </w:rPr>
      </w:pPr>
      <w:r w:rsidRPr="00794F08">
        <w:rPr>
          <w:szCs w:val="22"/>
        </w:rPr>
        <w:t xml:space="preserve">- </w:t>
      </w:r>
      <w:r w:rsidRPr="00794F08">
        <w:rPr>
          <w:b/>
          <w:i/>
          <w:lang w:eastAsia="en-US"/>
        </w:rPr>
        <w:t>Άτομα ηλικίας 10-76 ετών</w:t>
      </w:r>
      <w:r w:rsidRPr="00794F08">
        <w:rPr>
          <w:szCs w:val="22"/>
        </w:rPr>
        <w:t xml:space="preserve"> (N =</w:t>
      </w:r>
      <w:r w:rsidR="00851836" w:rsidRPr="00A8793B">
        <w:rPr>
          <w:szCs w:val="22"/>
        </w:rPr>
        <w:t xml:space="preserve"> 1931</w:t>
      </w:r>
      <w:r w:rsidRPr="00794F08">
        <w:rPr>
          <w:szCs w:val="22"/>
        </w:rPr>
        <w:t>)</w:t>
      </w:r>
    </w:p>
    <w:p w:rsidR="009D0F55" w:rsidRPr="00A8793B" w:rsidRDefault="009D0F55" w:rsidP="00C40A15">
      <w:pPr>
        <w:tabs>
          <w:tab w:val="left" w:pos="426"/>
          <w:tab w:val="left" w:pos="1701"/>
        </w:tabs>
        <w:jc w:val="both"/>
        <w:rPr>
          <w:szCs w:val="22"/>
          <w:u w:val="single"/>
        </w:rPr>
      </w:pPr>
    </w:p>
    <w:p w:rsidR="00824E11" w:rsidRPr="00794F08" w:rsidRDefault="00586AD8" w:rsidP="00824E11">
      <w:pPr>
        <w:tabs>
          <w:tab w:val="left" w:pos="426"/>
          <w:tab w:val="left" w:pos="1701"/>
        </w:tabs>
        <w:jc w:val="both"/>
        <w:rPr>
          <w:noProof/>
          <w:szCs w:val="22"/>
          <w:u w:val="single"/>
        </w:rPr>
      </w:pPr>
      <w:r w:rsidRPr="00794F08">
        <w:rPr>
          <w:noProof/>
          <w:szCs w:val="22"/>
          <w:u w:val="single"/>
        </w:rPr>
        <w:t>Λοιμώξεις και παρασιτώσεις</w:t>
      </w:r>
    </w:p>
    <w:p w:rsidR="00824E11" w:rsidRPr="00794F08" w:rsidRDefault="00586AD8" w:rsidP="00824E11">
      <w:pPr>
        <w:tabs>
          <w:tab w:val="left" w:pos="426"/>
          <w:tab w:val="left" w:pos="1701"/>
        </w:tabs>
        <w:jc w:val="both"/>
        <w:rPr>
          <w:szCs w:val="22"/>
          <w:u w:val="single"/>
        </w:rPr>
      </w:pPr>
      <w:r w:rsidRPr="00794F08">
        <w:rPr>
          <w:i/>
          <w:noProof/>
          <w:szCs w:val="22"/>
        </w:rPr>
        <w:lastRenderedPageBreak/>
        <w:t>Όχι συχνές</w:t>
      </w:r>
      <w:r w:rsidRPr="00794F08">
        <w:rPr>
          <w:noProof/>
          <w:szCs w:val="22"/>
        </w:rPr>
        <w:t>: λοίμωξη του ανώτερου αναπνευστικού συστήματος, φαρυγγίτιδα</w:t>
      </w:r>
    </w:p>
    <w:p w:rsidR="009D0F55" w:rsidRPr="00794F08" w:rsidRDefault="009D0F55" w:rsidP="00C40A15">
      <w:pPr>
        <w:tabs>
          <w:tab w:val="left" w:pos="426"/>
          <w:tab w:val="left" w:pos="1701"/>
        </w:tabs>
        <w:jc w:val="both"/>
        <w:rPr>
          <w:szCs w:val="22"/>
          <w:u w:val="single"/>
        </w:rPr>
      </w:pPr>
    </w:p>
    <w:p w:rsidR="00C82DA7" w:rsidRPr="00794F08" w:rsidRDefault="00586AD8" w:rsidP="00C82DA7">
      <w:pPr>
        <w:pStyle w:val="a6"/>
        <w:jc w:val="both"/>
        <w:rPr>
          <w:b w:val="0"/>
          <w:noProof/>
          <w:szCs w:val="22"/>
          <w:u w:val="single"/>
        </w:rPr>
      </w:pPr>
      <w:r w:rsidRPr="00794F08">
        <w:rPr>
          <w:b w:val="0"/>
          <w:noProof/>
          <w:szCs w:val="22"/>
          <w:u w:val="single"/>
        </w:rPr>
        <w:t>Διαταραχές του αιμοποιητικού και του λεμφικού συστήματος</w:t>
      </w:r>
    </w:p>
    <w:p w:rsidR="00C82DA7" w:rsidRPr="00794F08" w:rsidRDefault="00586AD8" w:rsidP="00C82DA7">
      <w:pPr>
        <w:tabs>
          <w:tab w:val="left" w:pos="426"/>
          <w:tab w:val="left" w:pos="1701"/>
        </w:tabs>
        <w:jc w:val="both"/>
        <w:rPr>
          <w:noProof/>
          <w:szCs w:val="22"/>
        </w:rPr>
      </w:pPr>
      <w:r w:rsidRPr="00794F08">
        <w:rPr>
          <w:i/>
          <w:noProof/>
          <w:szCs w:val="22"/>
        </w:rPr>
        <w:t>Όχι συχνές</w:t>
      </w:r>
      <w:r w:rsidRPr="00794F08">
        <w:rPr>
          <w:noProof/>
          <w:szCs w:val="22"/>
        </w:rPr>
        <w:t>: λεμφαδενοπάθεια</w:t>
      </w:r>
    </w:p>
    <w:p w:rsidR="00C82DA7" w:rsidRPr="00794F08" w:rsidRDefault="00C82DA7" w:rsidP="00C82DA7">
      <w:pPr>
        <w:tabs>
          <w:tab w:val="left" w:pos="426"/>
          <w:tab w:val="left" w:pos="1701"/>
        </w:tabs>
        <w:jc w:val="both"/>
        <w:rPr>
          <w:szCs w:val="22"/>
        </w:rPr>
      </w:pPr>
    </w:p>
    <w:p w:rsidR="00C82DA7" w:rsidRPr="00794F08" w:rsidRDefault="00586AD8" w:rsidP="00C82DA7">
      <w:pPr>
        <w:tabs>
          <w:tab w:val="left" w:pos="426"/>
          <w:tab w:val="left" w:pos="1701"/>
        </w:tabs>
        <w:jc w:val="both"/>
        <w:rPr>
          <w:szCs w:val="22"/>
          <w:u w:val="single"/>
        </w:rPr>
      </w:pPr>
      <w:r w:rsidRPr="00794F08">
        <w:rPr>
          <w:szCs w:val="22"/>
          <w:u w:val="single"/>
        </w:rPr>
        <w:t>Διαταραχές του νευρικού συστήματος</w:t>
      </w:r>
    </w:p>
    <w:p w:rsidR="00C82DA7" w:rsidRPr="00794F08" w:rsidRDefault="00586AD8" w:rsidP="00C82DA7">
      <w:pPr>
        <w:tabs>
          <w:tab w:val="left" w:pos="426"/>
          <w:tab w:val="left" w:pos="1701"/>
        </w:tabs>
        <w:jc w:val="both"/>
        <w:rPr>
          <w:szCs w:val="22"/>
        </w:rPr>
      </w:pPr>
      <w:r w:rsidRPr="00794F08">
        <w:rPr>
          <w:i/>
          <w:szCs w:val="22"/>
        </w:rPr>
        <w:t>Πολύ συχνές</w:t>
      </w:r>
      <w:r w:rsidRPr="00794F08">
        <w:rPr>
          <w:szCs w:val="22"/>
        </w:rPr>
        <w:t>: κεφαλαλγία</w:t>
      </w:r>
    </w:p>
    <w:p w:rsidR="00C82DA7" w:rsidRPr="00794F08" w:rsidRDefault="00586AD8" w:rsidP="00C82DA7">
      <w:pPr>
        <w:tabs>
          <w:tab w:val="left" w:pos="426"/>
          <w:tab w:val="left" w:pos="1701"/>
        </w:tabs>
        <w:jc w:val="both"/>
        <w:rPr>
          <w:szCs w:val="22"/>
        </w:rPr>
      </w:pPr>
      <w:r w:rsidRPr="00794F08">
        <w:rPr>
          <w:i/>
          <w:szCs w:val="22"/>
        </w:rPr>
        <w:t>Συχνές</w:t>
      </w:r>
      <w:r w:rsidRPr="00794F08">
        <w:rPr>
          <w:szCs w:val="22"/>
        </w:rPr>
        <w:t>: ζάλη</w:t>
      </w:r>
    </w:p>
    <w:p w:rsidR="00C82DA7" w:rsidRPr="00794F08" w:rsidRDefault="00586AD8" w:rsidP="00C82DA7">
      <w:pPr>
        <w:tabs>
          <w:tab w:val="left" w:pos="426"/>
          <w:tab w:val="left" w:pos="1701"/>
        </w:tabs>
        <w:jc w:val="both"/>
        <w:rPr>
          <w:szCs w:val="22"/>
        </w:rPr>
      </w:pPr>
      <w:r w:rsidRPr="00794F08">
        <w:rPr>
          <w:i/>
          <w:szCs w:val="22"/>
        </w:rPr>
        <w:t>Όχι συχνές</w:t>
      </w:r>
      <w:r w:rsidRPr="00794F08">
        <w:rPr>
          <w:szCs w:val="22"/>
        </w:rPr>
        <w:t xml:space="preserve">: συγκοπτικό επεισόδιο </w:t>
      </w:r>
    </w:p>
    <w:p w:rsidR="00C82DA7" w:rsidRPr="00A8793B" w:rsidRDefault="00C82DA7" w:rsidP="00C82DA7">
      <w:pPr>
        <w:tabs>
          <w:tab w:val="left" w:pos="426"/>
          <w:tab w:val="left" w:pos="1701"/>
        </w:tabs>
        <w:jc w:val="both"/>
        <w:rPr>
          <w:szCs w:val="22"/>
        </w:rPr>
      </w:pPr>
    </w:p>
    <w:p w:rsidR="00824E11" w:rsidRPr="00794F08" w:rsidRDefault="00586AD8" w:rsidP="00824E11">
      <w:pPr>
        <w:rPr>
          <w:u w:val="single"/>
        </w:rPr>
      </w:pPr>
      <w:r w:rsidRPr="00794F08">
        <w:rPr>
          <w:u w:val="single"/>
        </w:rPr>
        <w:t xml:space="preserve">Διαταραχές του αναπνευστικού συστήματος,του θώρακα και του μεσοθωράκιου </w:t>
      </w:r>
    </w:p>
    <w:p w:rsidR="00824E11" w:rsidRPr="00794F08" w:rsidRDefault="00586AD8" w:rsidP="00824E11">
      <w:r w:rsidRPr="00794F08">
        <w:rPr>
          <w:i/>
          <w:szCs w:val="22"/>
        </w:rPr>
        <w:t>Όχι συχνές</w:t>
      </w:r>
      <w:r w:rsidRPr="00794F08">
        <w:t>: βήχας</w:t>
      </w:r>
    </w:p>
    <w:p w:rsidR="009D0F55" w:rsidRPr="00794F08" w:rsidRDefault="009D0F55" w:rsidP="00C82DA7">
      <w:pPr>
        <w:tabs>
          <w:tab w:val="left" w:pos="426"/>
          <w:tab w:val="left" w:pos="1701"/>
        </w:tabs>
        <w:jc w:val="both"/>
        <w:rPr>
          <w:szCs w:val="22"/>
        </w:rPr>
      </w:pPr>
    </w:p>
    <w:p w:rsidR="00C82DA7" w:rsidRPr="00794F08" w:rsidRDefault="00586AD8" w:rsidP="00C82DA7">
      <w:pPr>
        <w:tabs>
          <w:tab w:val="left" w:pos="426"/>
          <w:tab w:val="left" w:pos="1701"/>
        </w:tabs>
        <w:jc w:val="both"/>
        <w:rPr>
          <w:szCs w:val="22"/>
          <w:u w:val="single"/>
        </w:rPr>
      </w:pPr>
      <w:r w:rsidRPr="00794F08">
        <w:rPr>
          <w:szCs w:val="22"/>
          <w:u w:val="single"/>
        </w:rPr>
        <w:t>Διαταραχές του γαστρεντερικού συστήματος</w:t>
      </w:r>
    </w:p>
    <w:p w:rsidR="00824E11" w:rsidRPr="00794F08" w:rsidRDefault="00586AD8" w:rsidP="00824E11">
      <w:pPr>
        <w:tabs>
          <w:tab w:val="left" w:pos="426"/>
          <w:tab w:val="left" w:pos="1701"/>
        </w:tabs>
        <w:jc w:val="both"/>
        <w:rPr>
          <w:szCs w:val="22"/>
        </w:rPr>
      </w:pPr>
      <w:r w:rsidRPr="00794F08">
        <w:rPr>
          <w:i/>
          <w:szCs w:val="22"/>
        </w:rPr>
        <w:t>Συχνές</w:t>
      </w:r>
      <w:r w:rsidRPr="00794F08">
        <w:rPr>
          <w:szCs w:val="22"/>
        </w:rPr>
        <w:t>: ναυτία, γαστρεντερικές διαταραχές</w:t>
      </w:r>
    </w:p>
    <w:p w:rsidR="00C82DA7" w:rsidRPr="00794F08" w:rsidRDefault="00586AD8" w:rsidP="00C82DA7">
      <w:pPr>
        <w:tabs>
          <w:tab w:val="left" w:pos="426"/>
          <w:tab w:val="left" w:pos="1701"/>
        </w:tabs>
        <w:jc w:val="both"/>
        <w:rPr>
          <w:szCs w:val="22"/>
        </w:rPr>
      </w:pPr>
      <w:r w:rsidRPr="00794F08">
        <w:rPr>
          <w:i/>
          <w:szCs w:val="22"/>
        </w:rPr>
        <w:t>Όχι συχνές</w:t>
      </w:r>
      <w:r w:rsidRPr="00794F08">
        <w:rPr>
          <w:szCs w:val="22"/>
        </w:rPr>
        <w:t>: διάρροια, έμετος</w:t>
      </w:r>
    </w:p>
    <w:p w:rsidR="00C82DA7" w:rsidRPr="00794F08" w:rsidRDefault="00C82DA7" w:rsidP="00C82DA7">
      <w:pPr>
        <w:tabs>
          <w:tab w:val="left" w:pos="426"/>
          <w:tab w:val="left" w:pos="1701"/>
        </w:tabs>
        <w:jc w:val="both"/>
        <w:rPr>
          <w:szCs w:val="22"/>
        </w:rPr>
      </w:pPr>
    </w:p>
    <w:p w:rsidR="00C82DA7" w:rsidRPr="00794F08" w:rsidRDefault="00586AD8" w:rsidP="00C82DA7">
      <w:pPr>
        <w:tabs>
          <w:tab w:val="left" w:pos="426"/>
          <w:tab w:val="left" w:pos="1701"/>
        </w:tabs>
        <w:jc w:val="both"/>
        <w:rPr>
          <w:szCs w:val="22"/>
          <w:u w:val="single"/>
        </w:rPr>
      </w:pPr>
      <w:r w:rsidRPr="00794F08">
        <w:rPr>
          <w:szCs w:val="22"/>
          <w:u w:val="single"/>
        </w:rPr>
        <w:t>Διαταραχές του δέρματος και του υποδόριου ιστού</w:t>
      </w:r>
    </w:p>
    <w:p w:rsidR="00C82DA7" w:rsidRPr="00A8793B" w:rsidRDefault="00586AD8" w:rsidP="00C82DA7">
      <w:pPr>
        <w:tabs>
          <w:tab w:val="left" w:pos="426"/>
          <w:tab w:val="left" w:pos="1701"/>
        </w:tabs>
        <w:jc w:val="both"/>
        <w:rPr>
          <w:szCs w:val="22"/>
        </w:rPr>
      </w:pPr>
      <w:r w:rsidRPr="00794F08">
        <w:rPr>
          <w:i/>
          <w:szCs w:val="22"/>
        </w:rPr>
        <w:t>Όχι συχνές</w:t>
      </w:r>
      <w:r w:rsidRPr="00794F08">
        <w:rPr>
          <w:szCs w:val="22"/>
        </w:rPr>
        <w:t>: υπεριδρωσία, κνησμός</w:t>
      </w:r>
      <w:r w:rsidR="00851836" w:rsidRPr="00A8793B">
        <w:rPr>
          <w:szCs w:val="22"/>
        </w:rPr>
        <w:t xml:space="preserve">, </w:t>
      </w:r>
      <w:r w:rsidRPr="00794F08">
        <w:rPr>
          <w:szCs w:val="22"/>
        </w:rPr>
        <w:t>εξάνθημα</w:t>
      </w:r>
    </w:p>
    <w:p w:rsidR="00C82DA7" w:rsidRPr="00794F08" w:rsidRDefault="00C82DA7" w:rsidP="00C82DA7">
      <w:pPr>
        <w:tabs>
          <w:tab w:val="left" w:pos="426"/>
          <w:tab w:val="left" w:pos="1701"/>
        </w:tabs>
        <w:jc w:val="both"/>
        <w:rPr>
          <w:szCs w:val="22"/>
        </w:rPr>
      </w:pPr>
    </w:p>
    <w:p w:rsidR="00C82DA7" w:rsidRPr="00794F08" w:rsidRDefault="00586AD8" w:rsidP="00C82DA7">
      <w:pPr>
        <w:tabs>
          <w:tab w:val="left" w:pos="426"/>
          <w:tab w:val="left" w:pos="1701"/>
        </w:tabs>
        <w:jc w:val="both"/>
        <w:rPr>
          <w:szCs w:val="22"/>
          <w:u w:val="single"/>
        </w:rPr>
      </w:pPr>
      <w:r w:rsidRPr="00794F08">
        <w:rPr>
          <w:szCs w:val="22"/>
          <w:u w:val="single"/>
        </w:rPr>
        <w:t>Διαταραχές του μυοσκελετικού συστήματος και του συνδετικού ιστού</w:t>
      </w:r>
    </w:p>
    <w:p w:rsidR="00C82DA7" w:rsidRPr="00A8793B" w:rsidRDefault="00586AD8" w:rsidP="00C82DA7">
      <w:pPr>
        <w:tabs>
          <w:tab w:val="left" w:pos="426"/>
          <w:tab w:val="left" w:pos="1701"/>
        </w:tabs>
        <w:jc w:val="both"/>
        <w:rPr>
          <w:szCs w:val="22"/>
        </w:rPr>
      </w:pPr>
      <w:r w:rsidRPr="00794F08">
        <w:rPr>
          <w:i/>
          <w:szCs w:val="22"/>
        </w:rPr>
        <w:t>Όχι συχνές</w:t>
      </w:r>
      <w:r w:rsidRPr="00794F08">
        <w:rPr>
          <w:szCs w:val="22"/>
        </w:rPr>
        <w:t>: αρθραλγία, μυαλγία, δυσκαμψία των αρθρώσεων</w:t>
      </w:r>
      <w:r w:rsidR="00851836" w:rsidRPr="00A8793B">
        <w:rPr>
          <w:szCs w:val="22"/>
        </w:rPr>
        <w:t xml:space="preserve">, </w:t>
      </w:r>
      <w:r w:rsidRPr="00794F08">
        <w:rPr>
          <w:szCs w:val="22"/>
        </w:rPr>
        <w:t>μυοσκελετική δυσκαμψία</w:t>
      </w:r>
    </w:p>
    <w:p w:rsidR="00C82DA7" w:rsidRPr="00794F08" w:rsidRDefault="00C82DA7" w:rsidP="00C82DA7">
      <w:pPr>
        <w:tabs>
          <w:tab w:val="left" w:pos="426"/>
          <w:tab w:val="left" w:pos="1701"/>
        </w:tabs>
        <w:jc w:val="both"/>
        <w:rPr>
          <w:szCs w:val="22"/>
        </w:rPr>
      </w:pPr>
    </w:p>
    <w:p w:rsidR="00C40A15" w:rsidRPr="00794F08" w:rsidRDefault="00586AD8" w:rsidP="00C40A15">
      <w:pPr>
        <w:tabs>
          <w:tab w:val="left" w:pos="426"/>
          <w:tab w:val="left" w:pos="1701"/>
        </w:tabs>
        <w:jc w:val="both"/>
        <w:rPr>
          <w:szCs w:val="22"/>
          <w:u w:val="single"/>
        </w:rPr>
      </w:pPr>
      <w:r w:rsidRPr="00794F08">
        <w:rPr>
          <w:szCs w:val="22"/>
          <w:u w:val="single"/>
        </w:rPr>
        <w:t>Γενικές διαταραχές και καταστάσεις της οδού χορήγησης</w:t>
      </w:r>
    </w:p>
    <w:p w:rsidR="00C40A15" w:rsidRPr="00A8793B" w:rsidRDefault="00586AD8" w:rsidP="00C40A15">
      <w:pPr>
        <w:tabs>
          <w:tab w:val="left" w:pos="426"/>
          <w:tab w:val="left" w:pos="1701"/>
        </w:tabs>
        <w:jc w:val="both"/>
        <w:rPr>
          <w:szCs w:val="22"/>
        </w:rPr>
      </w:pPr>
      <w:r w:rsidRPr="00794F08">
        <w:rPr>
          <w:i/>
          <w:szCs w:val="22"/>
        </w:rPr>
        <w:t>Πολύ συχνές</w:t>
      </w:r>
      <w:r w:rsidRPr="00794F08">
        <w:rPr>
          <w:szCs w:val="22"/>
        </w:rPr>
        <w:t>: αντιδράσεις στη θέση της ένεσης (όπως ερυθρότητα και/ή οίδημα),</w:t>
      </w:r>
      <w:r w:rsidR="00851836" w:rsidRPr="00A8793B">
        <w:rPr>
          <w:szCs w:val="22"/>
        </w:rPr>
        <w:t xml:space="preserve"> </w:t>
      </w:r>
      <w:r w:rsidRPr="00794F08">
        <w:rPr>
          <w:szCs w:val="22"/>
        </w:rPr>
        <w:t>αίσθημα κακουχίας, κόπωση, άλγος στη θέση της ένεσης</w:t>
      </w:r>
    </w:p>
    <w:p w:rsidR="00C40A15" w:rsidRPr="00794F08" w:rsidRDefault="00586AD8" w:rsidP="00C40A15">
      <w:pPr>
        <w:tabs>
          <w:tab w:val="left" w:pos="426"/>
          <w:tab w:val="left" w:pos="1701"/>
        </w:tabs>
        <w:jc w:val="both"/>
        <w:rPr>
          <w:szCs w:val="22"/>
        </w:rPr>
      </w:pPr>
      <w:r w:rsidRPr="00794F08">
        <w:rPr>
          <w:i/>
          <w:szCs w:val="22"/>
        </w:rPr>
        <w:t>Συχνές</w:t>
      </w:r>
      <w:r w:rsidRPr="00794F08">
        <w:rPr>
          <w:szCs w:val="22"/>
        </w:rPr>
        <w:t xml:space="preserve">: πυρετός (θερμοκρασία </w:t>
      </w:r>
      <w:r w:rsidRPr="00794F08">
        <w:rPr>
          <w:szCs w:val="22"/>
        </w:rPr>
        <w:sym w:font="Symbol" w:char="F0B3"/>
      </w:r>
      <w:r w:rsidRPr="00794F08">
        <w:rPr>
          <w:szCs w:val="22"/>
        </w:rPr>
        <w:t xml:space="preserve"> 37,5°C), αντιδράσεις της θέσης ένεσης (όπως μάζα στη θέση της ένεσης και άσηπτο απόστημα στη θέση της ένεσης) </w:t>
      </w:r>
    </w:p>
    <w:p w:rsidR="00C40A15" w:rsidRPr="00A8793B" w:rsidRDefault="00586AD8" w:rsidP="00C40A15">
      <w:pPr>
        <w:tabs>
          <w:tab w:val="left" w:pos="426"/>
          <w:tab w:val="left" w:pos="1701"/>
        </w:tabs>
        <w:jc w:val="both"/>
        <w:rPr>
          <w:szCs w:val="22"/>
        </w:rPr>
      </w:pPr>
      <w:r w:rsidRPr="00794F08">
        <w:rPr>
          <w:i/>
          <w:szCs w:val="22"/>
        </w:rPr>
        <w:t>Όχι συχνές</w:t>
      </w:r>
      <w:r w:rsidRPr="00794F08">
        <w:rPr>
          <w:szCs w:val="22"/>
        </w:rPr>
        <w:t>: πυρετός (θερμοκρασία &gt; 39,0°C), ασθένεια όμοια με γρίπη , άλγος</w:t>
      </w:r>
    </w:p>
    <w:p w:rsidR="00C40A15" w:rsidRPr="00794F08" w:rsidRDefault="00C40A15" w:rsidP="00C40A15">
      <w:pPr>
        <w:tabs>
          <w:tab w:val="left" w:pos="426"/>
          <w:tab w:val="left" w:pos="1701"/>
        </w:tabs>
        <w:jc w:val="both"/>
        <w:rPr>
          <w:szCs w:val="22"/>
          <w:u w:val="single"/>
        </w:rPr>
      </w:pPr>
    </w:p>
    <w:p w:rsidR="00AC7016" w:rsidRPr="00D9164F" w:rsidRDefault="00851836">
      <w:pPr>
        <w:rPr>
          <w:szCs w:val="22"/>
          <w:u w:val="single"/>
        </w:rPr>
      </w:pPr>
      <w:r w:rsidRPr="00A8793B">
        <w:rPr>
          <w:b/>
        </w:rPr>
        <w:t>Εμπειρία μετά την  κυκλοφορία</w:t>
      </w:r>
    </w:p>
    <w:p w:rsidR="00824E11" w:rsidRPr="00794F08" w:rsidRDefault="00586AD8" w:rsidP="00824E11">
      <w:r w:rsidRPr="00794F08">
        <w:t xml:space="preserve">Επειδή αυτά τα συμβάματα αναφέρθηκαν αυθόρμητα, δεν είναι πιθανόν να εκτιμήσουμε με ασφάλεια τη συχνότητα τους. </w:t>
      </w:r>
    </w:p>
    <w:p w:rsidR="00824E11" w:rsidRPr="00794F08" w:rsidRDefault="00824E11" w:rsidP="00824E11">
      <w:pPr>
        <w:rPr>
          <w:u w:val="single"/>
        </w:rPr>
      </w:pPr>
    </w:p>
    <w:p w:rsidR="00824E11" w:rsidRPr="00794F08" w:rsidRDefault="00586AD8" w:rsidP="00824E11">
      <w:pPr>
        <w:pStyle w:val="a6"/>
        <w:jc w:val="both"/>
        <w:rPr>
          <w:b w:val="0"/>
          <w:noProof/>
          <w:szCs w:val="22"/>
          <w:u w:val="single"/>
        </w:rPr>
      </w:pPr>
      <w:r w:rsidRPr="00794F08">
        <w:rPr>
          <w:b w:val="0"/>
          <w:noProof/>
          <w:szCs w:val="22"/>
          <w:u w:val="single"/>
        </w:rPr>
        <w:t>Διαταραχές του αιμοποιητικού και του λεμφικού συστήματος</w:t>
      </w:r>
    </w:p>
    <w:p w:rsidR="00824E11" w:rsidRPr="00794F08" w:rsidRDefault="00586AD8" w:rsidP="00824E11">
      <w:r w:rsidRPr="00794F08">
        <w:t>Αγγειοοίδημα</w:t>
      </w:r>
    </w:p>
    <w:p w:rsidR="00824E11" w:rsidRPr="00A8793B" w:rsidRDefault="00824E11" w:rsidP="00824E11">
      <w:pPr>
        <w:rPr>
          <w:u w:val="single"/>
        </w:rPr>
      </w:pPr>
    </w:p>
    <w:p w:rsidR="00824E11" w:rsidRPr="00794F08" w:rsidRDefault="00586AD8" w:rsidP="00824E11">
      <w:pPr>
        <w:tabs>
          <w:tab w:val="left" w:pos="426"/>
          <w:tab w:val="left" w:pos="1701"/>
        </w:tabs>
        <w:jc w:val="both"/>
        <w:rPr>
          <w:szCs w:val="22"/>
          <w:u w:val="single"/>
        </w:rPr>
      </w:pPr>
      <w:r w:rsidRPr="00794F08">
        <w:rPr>
          <w:szCs w:val="22"/>
          <w:u w:val="single"/>
        </w:rPr>
        <w:t>Διαταραχές του ανοσοποιητικού συστήματος</w:t>
      </w:r>
    </w:p>
    <w:p w:rsidR="00824E11" w:rsidRPr="00A8793B" w:rsidRDefault="00586AD8" w:rsidP="00824E11">
      <w:pPr>
        <w:rPr>
          <w:u w:val="single"/>
        </w:rPr>
      </w:pPr>
      <w:r w:rsidRPr="00794F08">
        <w:t>Αλλεργικές αντιδράσεις, συμπεριλαμβανομένων αναφυλακτικών και αναφυλακτοειδών αντιδράσεων</w:t>
      </w:r>
    </w:p>
    <w:p w:rsidR="00824E11" w:rsidRPr="00A8793B" w:rsidRDefault="00824E11" w:rsidP="00824E11">
      <w:pPr>
        <w:rPr>
          <w:u w:val="single"/>
        </w:rPr>
      </w:pPr>
    </w:p>
    <w:p w:rsidR="00824E11" w:rsidRPr="00A8793B" w:rsidRDefault="00586AD8" w:rsidP="00824E11">
      <w:pPr>
        <w:tabs>
          <w:tab w:val="left" w:pos="426"/>
          <w:tab w:val="left" w:pos="1701"/>
        </w:tabs>
        <w:jc w:val="both"/>
        <w:rPr>
          <w:szCs w:val="22"/>
          <w:u w:val="single"/>
        </w:rPr>
      </w:pPr>
      <w:r w:rsidRPr="00794F08">
        <w:rPr>
          <w:szCs w:val="22"/>
          <w:u w:val="single"/>
        </w:rPr>
        <w:t>Διαταραχές</w:t>
      </w:r>
      <w:r w:rsidR="00851836" w:rsidRPr="00A8793B">
        <w:rPr>
          <w:szCs w:val="22"/>
          <w:u w:val="single"/>
        </w:rPr>
        <w:t xml:space="preserve"> </w:t>
      </w:r>
      <w:r w:rsidRPr="00794F08">
        <w:rPr>
          <w:szCs w:val="22"/>
          <w:u w:val="single"/>
        </w:rPr>
        <w:t>του</w:t>
      </w:r>
      <w:r w:rsidR="00851836" w:rsidRPr="00A8793B">
        <w:rPr>
          <w:szCs w:val="22"/>
          <w:u w:val="single"/>
        </w:rPr>
        <w:t xml:space="preserve"> </w:t>
      </w:r>
      <w:r w:rsidRPr="00794F08">
        <w:rPr>
          <w:szCs w:val="22"/>
          <w:u w:val="single"/>
        </w:rPr>
        <w:t>νευρικού</w:t>
      </w:r>
      <w:r w:rsidR="00851836" w:rsidRPr="00A8793B">
        <w:rPr>
          <w:szCs w:val="22"/>
          <w:u w:val="single"/>
        </w:rPr>
        <w:t xml:space="preserve"> </w:t>
      </w:r>
      <w:r w:rsidRPr="00794F08">
        <w:rPr>
          <w:szCs w:val="22"/>
          <w:u w:val="single"/>
        </w:rPr>
        <w:t>συστήματος</w:t>
      </w:r>
    </w:p>
    <w:p w:rsidR="00824E11" w:rsidRPr="00A8793B" w:rsidRDefault="00851836" w:rsidP="00824E11">
      <w:pPr>
        <w:rPr>
          <w:szCs w:val="22"/>
        </w:rPr>
      </w:pPr>
      <w:r w:rsidRPr="00A8793B">
        <w:rPr>
          <w:szCs w:val="22"/>
        </w:rPr>
        <w:t>Υποτονικά-υποαντιδραστικά επεισόδια, σπασμοί (με ή χωρίς πυρετό)</w:t>
      </w:r>
    </w:p>
    <w:p w:rsidR="00824E11" w:rsidRPr="00A8793B" w:rsidRDefault="00824E11" w:rsidP="00824E11">
      <w:pPr>
        <w:rPr>
          <w:szCs w:val="22"/>
        </w:rPr>
      </w:pPr>
    </w:p>
    <w:p w:rsidR="00824E11" w:rsidRPr="00794F08" w:rsidRDefault="00586AD8" w:rsidP="00824E11">
      <w:pPr>
        <w:tabs>
          <w:tab w:val="left" w:pos="426"/>
          <w:tab w:val="left" w:pos="1701"/>
        </w:tabs>
        <w:jc w:val="both"/>
        <w:rPr>
          <w:szCs w:val="22"/>
          <w:u w:val="single"/>
        </w:rPr>
      </w:pPr>
      <w:r w:rsidRPr="00794F08">
        <w:rPr>
          <w:szCs w:val="22"/>
          <w:u w:val="single"/>
        </w:rPr>
        <w:t>Διαταραχές του δέρματος και του υποδόριου ιστού</w:t>
      </w:r>
    </w:p>
    <w:p w:rsidR="00824E11" w:rsidRPr="00A8793B" w:rsidRDefault="00851836" w:rsidP="00824E11">
      <w:r w:rsidRPr="00A8793B">
        <w:t>Κνίδωση</w:t>
      </w:r>
    </w:p>
    <w:p w:rsidR="00824E11" w:rsidRPr="00794F08" w:rsidRDefault="00824E11" w:rsidP="00824E11">
      <w:pPr>
        <w:rPr>
          <w:u w:val="single"/>
        </w:rPr>
      </w:pPr>
    </w:p>
    <w:p w:rsidR="00824E11" w:rsidRPr="00794F08" w:rsidRDefault="00586AD8" w:rsidP="00824E11">
      <w:pPr>
        <w:tabs>
          <w:tab w:val="left" w:pos="426"/>
          <w:tab w:val="left" w:pos="1701"/>
        </w:tabs>
        <w:jc w:val="both"/>
        <w:rPr>
          <w:szCs w:val="22"/>
          <w:u w:val="single"/>
        </w:rPr>
      </w:pPr>
      <w:r w:rsidRPr="00794F08">
        <w:rPr>
          <w:szCs w:val="22"/>
          <w:u w:val="single"/>
        </w:rPr>
        <w:t>Γενικές διαταραχές και καταστάσεις της οδού χορήγησης</w:t>
      </w:r>
    </w:p>
    <w:p w:rsidR="00824E11" w:rsidRPr="00794F08" w:rsidRDefault="00586AD8" w:rsidP="00824E11">
      <w:pPr>
        <w:tabs>
          <w:tab w:val="left" w:pos="426"/>
          <w:tab w:val="left" w:pos="1701"/>
        </w:tabs>
        <w:jc w:val="both"/>
        <w:rPr>
          <w:szCs w:val="22"/>
          <w:u w:val="single"/>
        </w:rPr>
      </w:pPr>
      <w:r w:rsidRPr="00794F08">
        <w:rPr>
          <w:szCs w:val="22"/>
        </w:rPr>
        <w:t>Εξασθένηση</w:t>
      </w:r>
    </w:p>
    <w:p w:rsidR="00C40A15" w:rsidRPr="00A8793B" w:rsidRDefault="00C40A15" w:rsidP="00C40A15">
      <w:pPr>
        <w:jc w:val="both"/>
        <w:rPr>
          <w:szCs w:val="22"/>
        </w:rPr>
      </w:pPr>
    </w:p>
    <w:p w:rsidR="00682AFB" w:rsidRPr="00794F08" w:rsidRDefault="00586AD8" w:rsidP="00682AFB">
      <w:pPr>
        <w:rPr>
          <w:szCs w:val="22"/>
        </w:rPr>
      </w:pPr>
      <w:r w:rsidRPr="00794F08">
        <w:rPr>
          <w:szCs w:val="22"/>
        </w:rPr>
        <w:t>Δεδομένα σε 146 άτομα υποδηλώνουν ότι μπορεί να υπάρχει μικρή αύξηση στην τοπική αντιδραστικότητα (πόνος, ερυθρότητα, οίδημα) μετά από επαναλαμβανόμενο εμβολιασμό σύμφωνα με το 0, 1, 6 μηνιαίο εμβολιαστικό σχήμα των ενηλίκων (ηλικίας &gt; 40 ετών).</w:t>
      </w:r>
    </w:p>
    <w:p w:rsidR="009D0F55" w:rsidRPr="00794F08" w:rsidRDefault="009D0F55" w:rsidP="00C40A15">
      <w:pPr>
        <w:jc w:val="both"/>
        <w:rPr>
          <w:szCs w:val="22"/>
        </w:rPr>
      </w:pPr>
    </w:p>
    <w:p w:rsidR="00AC7016" w:rsidRPr="00D9164F" w:rsidRDefault="00586AD8">
      <w:pPr>
        <w:rPr>
          <w:szCs w:val="22"/>
        </w:rPr>
      </w:pPr>
      <w:r w:rsidRPr="00794F08">
        <w:lastRenderedPageBreak/>
        <w:t>Τα δεδομένα υποδηλώνουν ότι σε άτομα τα οποία εμβολιάστηκαν έναντι DTP στην παιδική ηλικία μια αναμνηστική δόση μπορεί να οδηγήσει σε αύξηση της τοπικής αντιδραστικότητας.</w:t>
      </w:r>
    </w:p>
    <w:p w:rsidR="00C40A15" w:rsidRPr="00794F08" w:rsidRDefault="00851836" w:rsidP="00C40A15">
      <w:pPr>
        <w:jc w:val="both"/>
        <w:rPr>
          <w:szCs w:val="22"/>
        </w:rPr>
      </w:pPr>
      <w:r w:rsidRPr="00A8793B">
        <w:rPr>
          <w:snapToGrid w:val="0"/>
          <w:szCs w:val="22"/>
          <w:lang w:eastAsia="en-US"/>
        </w:rPr>
        <w:t xml:space="preserve">Μετά τη χορήγηση εμβολίων που περιέχουν τοξοειδές τετάνου, έχουν υπάρξει πολύ σπάνιες αναφορές ανεπιθύμητων αντιδράσεων από το κεντρικό και το περιφερικό νευρικό σύστημα,  συμπεριλαμβανομένης και της προϊούσας παράλυσης ή ακόμη και της παράλυσης των αναπνευστικών μυών (π.χ. σύνδρομο </w:t>
      </w:r>
      <w:r w:rsidRPr="00A8793B">
        <w:rPr>
          <w:snapToGrid w:val="0"/>
          <w:szCs w:val="22"/>
          <w:lang w:val="en-US" w:eastAsia="en-US"/>
        </w:rPr>
        <w:t>Guillain</w:t>
      </w:r>
      <w:r w:rsidRPr="00A8793B">
        <w:rPr>
          <w:snapToGrid w:val="0"/>
          <w:szCs w:val="22"/>
          <w:lang w:eastAsia="en-US"/>
        </w:rPr>
        <w:t>-</w:t>
      </w:r>
      <w:r w:rsidRPr="00A8793B">
        <w:rPr>
          <w:snapToGrid w:val="0"/>
          <w:szCs w:val="22"/>
          <w:lang w:val="en-US" w:eastAsia="en-US"/>
        </w:rPr>
        <w:t>Barr</w:t>
      </w:r>
      <w:r w:rsidRPr="00A8793B">
        <w:rPr>
          <w:snapToGrid w:val="0"/>
          <w:szCs w:val="22"/>
          <w:lang w:eastAsia="en-US"/>
        </w:rPr>
        <w:t>é).</w:t>
      </w:r>
    </w:p>
    <w:p w:rsidR="00C40A15" w:rsidRPr="00794F08" w:rsidRDefault="00C40A15" w:rsidP="00C40A15">
      <w:pPr>
        <w:jc w:val="both"/>
        <w:rPr>
          <w:szCs w:val="22"/>
        </w:rPr>
      </w:pPr>
    </w:p>
    <w:p w:rsidR="00C40A15" w:rsidRPr="00D9164F" w:rsidRDefault="00586AD8" w:rsidP="00C40A15">
      <w:pPr>
        <w:jc w:val="both"/>
        <w:rPr>
          <w:szCs w:val="22"/>
        </w:rPr>
      </w:pPr>
      <w:r w:rsidRPr="00794F08">
        <w:rPr>
          <w:b/>
          <w:szCs w:val="22"/>
        </w:rPr>
        <w:t>4.9</w:t>
      </w:r>
      <w:r w:rsidRPr="00794F08">
        <w:rPr>
          <w:b/>
          <w:szCs w:val="22"/>
        </w:rPr>
        <w:tab/>
        <w:t>Υπερδοσολογία</w:t>
      </w:r>
    </w:p>
    <w:p w:rsidR="00682AFB" w:rsidRPr="00794F08" w:rsidRDefault="00586AD8" w:rsidP="00682AFB">
      <w:pPr>
        <w:jc w:val="both"/>
        <w:rPr>
          <w:szCs w:val="22"/>
        </w:rPr>
      </w:pPr>
      <w:r w:rsidRPr="00794F08">
        <w:rPr>
          <w:szCs w:val="22"/>
        </w:rPr>
        <w:t xml:space="preserve">Έχουν αναφερθεί περιπτώσεις υπερδοσολογίας κατά την εμπειρία μετά την κυκλοφορία. </w:t>
      </w:r>
    </w:p>
    <w:p w:rsidR="00C40A15" w:rsidRPr="00794F08" w:rsidRDefault="00586AD8" w:rsidP="00C40A15">
      <w:pPr>
        <w:jc w:val="both"/>
        <w:rPr>
          <w:szCs w:val="22"/>
        </w:rPr>
      </w:pPr>
      <w:r w:rsidRPr="00794F08">
        <w:rPr>
          <w:szCs w:val="22"/>
        </w:rPr>
        <w:t>Οι ανεπιθύμητες ενέργειες μετά από υπερδοσολογία, όταν αναφέρθηκαν, ήταν παρόμοιες με αυτές που αναφέρθηκαν με τη σύνηθη χορήγηση του εμβολίου.</w:t>
      </w:r>
    </w:p>
    <w:p w:rsidR="00C40A15" w:rsidRPr="00794F08" w:rsidRDefault="00C40A15" w:rsidP="00C40A15">
      <w:pPr>
        <w:jc w:val="both"/>
        <w:rPr>
          <w:szCs w:val="22"/>
        </w:rPr>
      </w:pPr>
    </w:p>
    <w:p w:rsidR="00C40A15" w:rsidRPr="00D9164F" w:rsidRDefault="00586AD8" w:rsidP="00C40A15">
      <w:pPr>
        <w:jc w:val="both"/>
        <w:rPr>
          <w:szCs w:val="22"/>
        </w:rPr>
      </w:pPr>
      <w:r w:rsidRPr="00794F08">
        <w:rPr>
          <w:b/>
          <w:szCs w:val="22"/>
        </w:rPr>
        <w:t>5.</w:t>
      </w:r>
      <w:r w:rsidRPr="00794F08">
        <w:rPr>
          <w:b/>
          <w:szCs w:val="22"/>
        </w:rPr>
        <w:tab/>
        <w:t>ΦΑΡΜΑΚΟΛΟΓΙΚΕΣ ΙΔΙΟΤΗΤΕΣ</w:t>
      </w:r>
    </w:p>
    <w:p w:rsidR="00C40A15" w:rsidRPr="00D9164F" w:rsidRDefault="00586AD8" w:rsidP="00C40A15">
      <w:pPr>
        <w:jc w:val="both"/>
        <w:rPr>
          <w:szCs w:val="22"/>
        </w:rPr>
      </w:pPr>
      <w:r w:rsidRPr="00794F08">
        <w:rPr>
          <w:b/>
          <w:szCs w:val="22"/>
        </w:rPr>
        <w:t>5.1</w:t>
      </w:r>
      <w:r w:rsidRPr="00794F08">
        <w:rPr>
          <w:b/>
          <w:szCs w:val="22"/>
        </w:rPr>
        <w:tab/>
        <w:t>Φαρμακοδυναμικές ιδιότητες</w:t>
      </w:r>
    </w:p>
    <w:p w:rsidR="00C40A15" w:rsidRPr="00794F08" w:rsidRDefault="00586AD8" w:rsidP="00C40A15">
      <w:pPr>
        <w:jc w:val="both"/>
        <w:rPr>
          <w:szCs w:val="22"/>
        </w:rPr>
      </w:pPr>
      <w:r w:rsidRPr="00794F08">
        <w:rPr>
          <w:szCs w:val="22"/>
        </w:rPr>
        <w:t>Φαρμακοθεραπευτική κατηγορία: Εμβόλια για βακτήρια, εμβόλια για κοκκύτη</w:t>
      </w:r>
      <w:r w:rsidR="00851836" w:rsidRPr="00A8793B">
        <w:rPr>
          <w:szCs w:val="22"/>
        </w:rPr>
        <w:t>,</w:t>
      </w:r>
      <w:r w:rsidRPr="00794F08">
        <w:rPr>
          <w:szCs w:val="22"/>
        </w:rPr>
        <w:t xml:space="preserve"> κωδικός ATC: J07A J52</w:t>
      </w:r>
    </w:p>
    <w:p w:rsidR="00C40A15" w:rsidRPr="00794F08" w:rsidRDefault="00C40A15" w:rsidP="00C40A15">
      <w:pPr>
        <w:jc w:val="both"/>
        <w:rPr>
          <w:szCs w:val="22"/>
        </w:rPr>
      </w:pPr>
    </w:p>
    <w:p w:rsidR="00FA2A54" w:rsidRPr="00794F08" w:rsidRDefault="00586AD8" w:rsidP="00FA2A54">
      <w:pPr>
        <w:keepNext/>
        <w:spacing w:after="120"/>
      </w:pPr>
      <w:r w:rsidRPr="00794F08">
        <w:t>Περίπου ένα μήνα μετά τον αναμνηστικό εμβολιασμό με Boostrix, παρατηρήθηκαν τα ακόλουθα ποσοστά οροπροστασίας/οροθετικότητας:</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1800"/>
        <w:gridCol w:w="1920"/>
        <w:gridCol w:w="1800"/>
      </w:tblGrid>
      <w:tr w:rsidR="00682AFB" w:rsidRPr="00794F08" w:rsidTr="00682AFB">
        <w:tc>
          <w:tcPr>
            <w:tcW w:w="3120" w:type="dxa"/>
            <w:vAlign w:val="center"/>
          </w:tcPr>
          <w:p w:rsidR="00682AFB" w:rsidRPr="00794F08" w:rsidRDefault="00586AD8" w:rsidP="0053696F">
            <w:pPr>
              <w:keepNext/>
              <w:spacing w:after="120"/>
              <w:jc w:val="center"/>
            </w:pPr>
            <w:r w:rsidRPr="00794F08">
              <w:t>Αντιγόνο</w:t>
            </w:r>
          </w:p>
        </w:tc>
        <w:tc>
          <w:tcPr>
            <w:tcW w:w="1800" w:type="dxa"/>
            <w:vAlign w:val="center"/>
          </w:tcPr>
          <w:p w:rsidR="00682AFB" w:rsidRPr="00794F08" w:rsidRDefault="00586AD8" w:rsidP="0053696F">
            <w:pPr>
              <w:keepNext/>
              <w:spacing w:after="120"/>
              <w:jc w:val="center"/>
            </w:pPr>
            <w:r w:rsidRPr="00794F08">
              <w:t>Απάντηση</w:t>
            </w:r>
            <w:r w:rsidRPr="00794F08">
              <w:rPr>
                <w:vertAlign w:val="superscript"/>
              </w:rPr>
              <w:t>(1)</w:t>
            </w:r>
          </w:p>
        </w:tc>
        <w:tc>
          <w:tcPr>
            <w:tcW w:w="1920" w:type="dxa"/>
            <w:vAlign w:val="center"/>
          </w:tcPr>
          <w:p w:rsidR="00682AFB" w:rsidRPr="00794F08" w:rsidRDefault="00586AD8" w:rsidP="0053696F">
            <w:pPr>
              <w:keepNext/>
              <w:jc w:val="center"/>
            </w:pPr>
            <w:r w:rsidRPr="00794F08">
              <w:t>Ενήλικες και έφηβοι ηλικίας 10 ετών και άνω</w:t>
            </w:r>
          </w:p>
          <w:p w:rsidR="00682AFB" w:rsidRPr="00794F08" w:rsidRDefault="00586AD8" w:rsidP="0053696F">
            <w:pPr>
              <w:keepNext/>
              <w:jc w:val="center"/>
            </w:pPr>
            <w:r w:rsidRPr="00794F08">
              <w:t>ATP</w:t>
            </w:r>
            <w:r w:rsidR="00851836" w:rsidRPr="00A8793B">
              <w:rPr>
                <w:vertAlign w:val="superscript"/>
              </w:rPr>
              <w:t>(2)</w:t>
            </w:r>
          </w:p>
          <w:p w:rsidR="00682AFB" w:rsidRPr="00794F08" w:rsidRDefault="00586AD8" w:rsidP="0053696F">
            <w:pPr>
              <w:keepNext/>
              <w:jc w:val="center"/>
            </w:pPr>
            <w:r w:rsidRPr="00794F08">
              <w:t>N=1694</w:t>
            </w:r>
          </w:p>
          <w:p w:rsidR="00682AFB" w:rsidRPr="00794F08" w:rsidRDefault="00586AD8" w:rsidP="0053696F">
            <w:pPr>
              <w:keepNext/>
              <w:spacing w:after="120"/>
              <w:jc w:val="center"/>
            </w:pPr>
            <w:r w:rsidRPr="00794F08">
              <w:t>(% εμβολιασθέντων)</w:t>
            </w:r>
          </w:p>
        </w:tc>
        <w:tc>
          <w:tcPr>
            <w:tcW w:w="1800" w:type="dxa"/>
            <w:vAlign w:val="center"/>
          </w:tcPr>
          <w:p w:rsidR="00682AFB" w:rsidRPr="00794F08" w:rsidRDefault="00586AD8" w:rsidP="0053696F">
            <w:pPr>
              <w:keepNext/>
              <w:jc w:val="center"/>
            </w:pPr>
            <w:r w:rsidRPr="00794F08">
              <w:t>Παιδιά ηλικίας 4 ετών και άνω</w:t>
            </w:r>
          </w:p>
          <w:p w:rsidR="00682AFB" w:rsidRPr="00794F08" w:rsidRDefault="00586AD8" w:rsidP="0053696F">
            <w:pPr>
              <w:keepNext/>
              <w:jc w:val="center"/>
            </w:pPr>
            <w:r w:rsidRPr="00794F08">
              <w:t>ATP</w:t>
            </w:r>
            <w:r w:rsidRPr="00794F08">
              <w:rPr>
                <w:vertAlign w:val="superscript"/>
              </w:rPr>
              <w:t>(2)</w:t>
            </w:r>
          </w:p>
          <w:p w:rsidR="00682AFB" w:rsidRPr="00794F08" w:rsidRDefault="00586AD8" w:rsidP="0053696F">
            <w:pPr>
              <w:keepNext/>
              <w:jc w:val="center"/>
            </w:pPr>
            <w:r w:rsidRPr="00794F08">
              <w:t>N=415</w:t>
            </w:r>
          </w:p>
          <w:p w:rsidR="00682AFB" w:rsidRPr="00794F08" w:rsidRDefault="00586AD8" w:rsidP="0053696F">
            <w:pPr>
              <w:keepNext/>
              <w:spacing w:after="120"/>
              <w:jc w:val="center"/>
            </w:pPr>
            <w:r w:rsidRPr="00794F08">
              <w:t>(% εμβολιασθέντων)</w:t>
            </w:r>
          </w:p>
        </w:tc>
      </w:tr>
      <w:tr w:rsidR="00682AFB" w:rsidRPr="00794F08" w:rsidTr="00682AFB">
        <w:tc>
          <w:tcPr>
            <w:tcW w:w="3120" w:type="dxa"/>
          </w:tcPr>
          <w:p w:rsidR="00682AFB" w:rsidRPr="00794F08" w:rsidRDefault="00586AD8" w:rsidP="0053696F">
            <w:pPr>
              <w:keepNext/>
              <w:spacing w:after="120"/>
            </w:pPr>
            <w:r w:rsidRPr="00794F08">
              <w:t>Διφθερίτιδα</w:t>
            </w:r>
          </w:p>
        </w:tc>
        <w:tc>
          <w:tcPr>
            <w:tcW w:w="1800" w:type="dxa"/>
          </w:tcPr>
          <w:p w:rsidR="00682AFB" w:rsidRPr="00794F08" w:rsidRDefault="00586AD8" w:rsidP="0053696F">
            <w:pPr>
              <w:keepNext/>
              <w:spacing w:after="120"/>
            </w:pPr>
            <w:r w:rsidRPr="00794F08">
              <w:sym w:font="Symbol" w:char="F0B3"/>
            </w:r>
            <w:r w:rsidRPr="00794F08">
              <w:t xml:space="preserve"> 0.1 IU/ml</w:t>
            </w:r>
          </w:p>
        </w:tc>
        <w:tc>
          <w:tcPr>
            <w:tcW w:w="1920" w:type="dxa"/>
          </w:tcPr>
          <w:p w:rsidR="00682AFB" w:rsidRPr="00794F08" w:rsidRDefault="00586AD8" w:rsidP="0053696F">
            <w:pPr>
              <w:keepNext/>
              <w:spacing w:after="120"/>
              <w:jc w:val="center"/>
            </w:pPr>
            <w:r w:rsidRPr="00794F08">
              <w:t>97.2%</w:t>
            </w:r>
          </w:p>
        </w:tc>
        <w:tc>
          <w:tcPr>
            <w:tcW w:w="1800" w:type="dxa"/>
          </w:tcPr>
          <w:p w:rsidR="00682AFB" w:rsidRPr="00794F08" w:rsidRDefault="00586AD8" w:rsidP="0053696F">
            <w:pPr>
              <w:keepNext/>
              <w:spacing w:after="120"/>
              <w:jc w:val="center"/>
            </w:pPr>
            <w:r w:rsidRPr="00794F08">
              <w:t>99.8%</w:t>
            </w:r>
          </w:p>
        </w:tc>
      </w:tr>
      <w:tr w:rsidR="00682AFB" w:rsidRPr="00794F08" w:rsidTr="00682AFB">
        <w:tc>
          <w:tcPr>
            <w:tcW w:w="3120" w:type="dxa"/>
          </w:tcPr>
          <w:p w:rsidR="00682AFB" w:rsidRPr="00794F08" w:rsidRDefault="00586AD8" w:rsidP="0053696F">
            <w:pPr>
              <w:keepNext/>
              <w:spacing w:after="120"/>
            </w:pPr>
            <w:r w:rsidRPr="00794F08">
              <w:t>Τετάνου</w:t>
            </w:r>
          </w:p>
        </w:tc>
        <w:tc>
          <w:tcPr>
            <w:tcW w:w="1800" w:type="dxa"/>
          </w:tcPr>
          <w:p w:rsidR="00682AFB" w:rsidRPr="00794F08" w:rsidRDefault="00586AD8" w:rsidP="0053696F">
            <w:pPr>
              <w:keepNext/>
              <w:spacing w:after="120"/>
            </w:pPr>
            <w:r w:rsidRPr="00794F08">
              <w:sym w:font="Symbol" w:char="F0B3"/>
            </w:r>
            <w:r w:rsidRPr="00794F08">
              <w:t xml:space="preserve"> 0.1 IU/ml</w:t>
            </w:r>
          </w:p>
        </w:tc>
        <w:tc>
          <w:tcPr>
            <w:tcW w:w="1920" w:type="dxa"/>
          </w:tcPr>
          <w:p w:rsidR="00682AFB" w:rsidRPr="00794F08" w:rsidRDefault="00586AD8" w:rsidP="0053696F">
            <w:pPr>
              <w:keepNext/>
              <w:spacing w:after="120"/>
              <w:jc w:val="center"/>
            </w:pPr>
            <w:r w:rsidRPr="00794F08">
              <w:t>99.0%</w:t>
            </w:r>
          </w:p>
        </w:tc>
        <w:tc>
          <w:tcPr>
            <w:tcW w:w="1800" w:type="dxa"/>
          </w:tcPr>
          <w:p w:rsidR="00682AFB" w:rsidRPr="00794F08" w:rsidRDefault="00586AD8" w:rsidP="0053696F">
            <w:pPr>
              <w:keepNext/>
              <w:spacing w:after="120"/>
              <w:jc w:val="center"/>
            </w:pPr>
            <w:r w:rsidRPr="00794F08">
              <w:t>100.0%</w:t>
            </w:r>
          </w:p>
        </w:tc>
      </w:tr>
      <w:tr w:rsidR="00682AFB" w:rsidRPr="00794F08" w:rsidTr="00682AFB">
        <w:tc>
          <w:tcPr>
            <w:tcW w:w="3120" w:type="dxa"/>
          </w:tcPr>
          <w:p w:rsidR="00682AFB" w:rsidRPr="00794F08" w:rsidRDefault="00586AD8" w:rsidP="0053696F">
            <w:pPr>
              <w:jc w:val="both"/>
              <w:rPr>
                <w:szCs w:val="22"/>
              </w:rPr>
            </w:pPr>
            <w:r w:rsidRPr="00794F08">
              <w:rPr>
                <w:szCs w:val="22"/>
              </w:rPr>
              <w:t>Κοκκύτη</w:t>
            </w:r>
          </w:p>
          <w:p w:rsidR="00682AFB" w:rsidRPr="00794F08" w:rsidRDefault="00851836" w:rsidP="0053696F">
            <w:pPr>
              <w:pStyle w:val="3"/>
              <w:keepNext w:val="0"/>
              <w:ind w:right="175"/>
              <w:jc w:val="both"/>
              <w:rPr>
                <w:b w:val="0"/>
                <w:szCs w:val="22"/>
                <w:lang w:val="el-GR"/>
              </w:rPr>
            </w:pPr>
            <w:r w:rsidRPr="00A8793B">
              <w:rPr>
                <w:szCs w:val="22"/>
                <w:lang w:val="el-GR"/>
              </w:rPr>
              <w:t>-</w:t>
            </w:r>
            <w:r w:rsidR="00586AD8" w:rsidRPr="00794F08">
              <w:rPr>
                <w:b w:val="0"/>
                <w:szCs w:val="22"/>
                <w:lang w:val="el-GR"/>
              </w:rPr>
              <w:t>Τοξοειδές κοκκύτη</w:t>
            </w:r>
          </w:p>
          <w:p w:rsidR="00682AFB" w:rsidRPr="00794F08" w:rsidRDefault="00586AD8" w:rsidP="0053696F">
            <w:pPr>
              <w:pStyle w:val="3"/>
              <w:keepNext w:val="0"/>
              <w:ind w:right="175"/>
              <w:jc w:val="both"/>
              <w:rPr>
                <w:b w:val="0"/>
                <w:szCs w:val="22"/>
                <w:lang w:val="el-GR"/>
              </w:rPr>
            </w:pPr>
            <w:r w:rsidRPr="00794F08">
              <w:rPr>
                <w:b w:val="0"/>
                <w:szCs w:val="22"/>
                <w:lang w:val="el-GR"/>
              </w:rPr>
              <w:t>-Νηματοειδής αιμοσυγκολλητίνη</w:t>
            </w:r>
          </w:p>
          <w:p w:rsidR="00682AFB" w:rsidRPr="00794F08" w:rsidRDefault="00586AD8" w:rsidP="0053696F">
            <w:pPr>
              <w:pStyle w:val="3"/>
              <w:keepNext w:val="0"/>
              <w:ind w:right="175"/>
              <w:jc w:val="both"/>
              <w:rPr>
                <w:lang w:val="fr-FR"/>
              </w:rPr>
            </w:pPr>
            <w:r w:rsidRPr="00794F08">
              <w:rPr>
                <w:b w:val="0"/>
                <w:szCs w:val="22"/>
                <w:lang w:val="el-GR"/>
              </w:rPr>
              <w:t xml:space="preserve">-Περτακτίνη </w:t>
            </w:r>
          </w:p>
        </w:tc>
        <w:tc>
          <w:tcPr>
            <w:tcW w:w="1800" w:type="dxa"/>
          </w:tcPr>
          <w:p w:rsidR="00682AFB" w:rsidRPr="00794F08" w:rsidRDefault="00682AFB" w:rsidP="0053696F">
            <w:pPr>
              <w:keepNext/>
              <w:spacing w:after="120"/>
              <w:rPr>
                <w:lang w:val="fr-FR"/>
              </w:rPr>
            </w:pPr>
          </w:p>
          <w:p w:rsidR="00682AFB" w:rsidRPr="00794F08" w:rsidRDefault="00682AFB" w:rsidP="0053696F">
            <w:pPr>
              <w:keepNext/>
              <w:spacing w:after="120"/>
              <w:rPr>
                <w:lang w:val="fr-FR"/>
              </w:rPr>
            </w:pPr>
          </w:p>
          <w:p w:rsidR="00682AFB" w:rsidRPr="00794F08" w:rsidRDefault="00586AD8" w:rsidP="0053696F">
            <w:pPr>
              <w:keepNext/>
              <w:spacing w:after="120"/>
              <w:rPr>
                <w:lang w:val="fr-FR"/>
              </w:rPr>
            </w:pPr>
            <w:r w:rsidRPr="00794F08">
              <w:sym w:font="Symbol" w:char="F0B3"/>
            </w:r>
            <w:r w:rsidRPr="00794F08">
              <w:rPr>
                <w:lang w:val="fr-FR"/>
              </w:rPr>
              <w:t xml:space="preserve"> 5 EL.U/ml</w:t>
            </w:r>
          </w:p>
          <w:p w:rsidR="00682AFB" w:rsidRPr="00794F08" w:rsidRDefault="00682AFB" w:rsidP="0053696F">
            <w:pPr>
              <w:keepNext/>
              <w:spacing w:after="120"/>
              <w:rPr>
                <w:lang w:val="fr-FR"/>
              </w:rPr>
            </w:pPr>
          </w:p>
        </w:tc>
        <w:tc>
          <w:tcPr>
            <w:tcW w:w="1920" w:type="dxa"/>
          </w:tcPr>
          <w:p w:rsidR="00682AFB" w:rsidRPr="00794F08" w:rsidRDefault="00682AFB" w:rsidP="0053696F">
            <w:pPr>
              <w:keepNext/>
              <w:spacing w:after="120"/>
              <w:jc w:val="center"/>
              <w:rPr>
                <w:lang w:val="fr-FR"/>
              </w:rPr>
            </w:pPr>
          </w:p>
          <w:p w:rsidR="00682AFB" w:rsidRPr="00794F08" w:rsidRDefault="00586AD8" w:rsidP="0053696F">
            <w:pPr>
              <w:keepNext/>
              <w:spacing w:after="120"/>
              <w:jc w:val="center"/>
            </w:pPr>
            <w:r w:rsidRPr="00794F08">
              <w:t>97.8%</w:t>
            </w:r>
          </w:p>
          <w:p w:rsidR="00682AFB" w:rsidRPr="00794F08" w:rsidRDefault="00586AD8" w:rsidP="0053696F">
            <w:pPr>
              <w:keepNext/>
              <w:spacing w:after="120"/>
              <w:jc w:val="center"/>
            </w:pPr>
            <w:r w:rsidRPr="00794F08">
              <w:t>99.9%</w:t>
            </w:r>
          </w:p>
          <w:p w:rsidR="00682AFB" w:rsidRPr="00794F08" w:rsidRDefault="00586AD8" w:rsidP="0053696F">
            <w:pPr>
              <w:keepNext/>
              <w:spacing w:after="120"/>
              <w:jc w:val="center"/>
            </w:pPr>
            <w:r w:rsidRPr="00794F08">
              <w:t>99.4%</w:t>
            </w:r>
          </w:p>
        </w:tc>
        <w:tc>
          <w:tcPr>
            <w:tcW w:w="1800" w:type="dxa"/>
          </w:tcPr>
          <w:p w:rsidR="00682AFB" w:rsidRPr="00794F08" w:rsidRDefault="00682AFB" w:rsidP="0053696F">
            <w:pPr>
              <w:keepNext/>
              <w:spacing w:after="120"/>
              <w:jc w:val="center"/>
            </w:pPr>
          </w:p>
          <w:p w:rsidR="00682AFB" w:rsidRPr="00794F08" w:rsidRDefault="00586AD8" w:rsidP="0053696F">
            <w:pPr>
              <w:keepNext/>
              <w:spacing w:after="120"/>
              <w:jc w:val="center"/>
            </w:pPr>
            <w:r w:rsidRPr="00794F08">
              <w:t>99.0%</w:t>
            </w:r>
          </w:p>
          <w:p w:rsidR="00682AFB" w:rsidRPr="00794F08" w:rsidRDefault="00586AD8" w:rsidP="0053696F">
            <w:pPr>
              <w:keepNext/>
              <w:spacing w:after="120"/>
              <w:jc w:val="center"/>
            </w:pPr>
            <w:r w:rsidRPr="00794F08">
              <w:t>100.0%</w:t>
            </w:r>
          </w:p>
          <w:p w:rsidR="00682AFB" w:rsidRPr="00794F08" w:rsidRDefault="00586AD8" w:rsidP="0053696F">
            <w:pPr>
              <w:keepNext/>
              <w:spacing w:after="120"/>
              <w:jc w:val="center"/>
            </w:pPr>
            <w:r w:rsidRPr="00794F08">
              <w:t>99.8%</w:t>
            </w:r>
          </w:p>
        </w:tc>
      </w:tr>
    </w:tbl>
    <w:p w:rsidR="00682AFB" w:rsidRPr="00794F08" w:rsidRDefault="00586AD8" w:rsidP="00682AFB">
      <w:pPr>
        <w:keepNext/>
        <w:rPr>
          <w:sz w:val="20"/>
        </w:rPr>
      </w:pPr>
      <w:r w:rsidRPr="00794F08">
        <w:rPr>
          <w:sz w:val="20"/>
          <w:vertAlign w:val="superscript"/>
        </w:rPr>
        <w:t>(1)</w:t>
      </w:r>
      <w:r w:rsidRPr="00794F08">
        <w:rPr>
          <w:sz w:val="20"/>
        </w:rPr>
        <w:t xml:space="preserve">Απάντηση: όπου, σε καθορισμένο χρονικό σημείο, συγκέντρωση των αντισωμάτων έναντι διφθερίτιδας και τετάνου </w:t>
      </w:r>
      <w:r w:rsidRPr="00794F08">
        <w:rPr>
          <w:sz w:val="20"/>
        </w:rPr>
        <w:sym w:font="Symbol" w:char="F0B3"/>
      </w:r>
      <w:r w:rsidRPr="00794F08">
        <w:rPr>
          <w:sz w:val="20"/>
        </w:rPr>
        <w:t xml:space="preserve"> 0.1 IU/ml θεωρήθηκε ως οροπροστασία και συγκέντρωση αντισωμάτων έναντι κοκκύτη </w:t>
      </w:r>
      <w:r w:rsidRPr="00794F08">
        <w:rPr>
          <w:sz w:val="20"/>
        </w:rPr>
        <w:sym w:font="Symbol" w:char="F0B3"/>
      </w:r>
      <w:r w:rsidRPr="00794F08">
        <w:rPr>
          <w:sz w:val="20"/>
        </w:rPr>
        <w:t xml:space="preserve"> 5 EL.U/ml θεωρήθηκε ως οροθετικότητα.</w:t>
      </w:r>
    </w:p>
    <w:p w:rsidR="00682AFB" w:rsidRPr="00794F08" w:rsidRDefault="00586AD8" w:rsidP="00682AFB">
      <w:pPr>
        <w:keepNext/>
        <w:rPr>
          <w:sz w:val="20"/>
        </w:rPr>
      </w:pPr>
      <w:r w:rsidRPr="00794F08">
        <w:rPr>
          <w:sz w:val="20"/>
          <w:vertAlign w:val="superscript"/>
        </w:rPr>
        <w:t>(2)</w:t>
      </w:r>
      <w:r w:rsidRPr="00794F08">
        <w:rPr>
          <w:sz w:val="20"/>
        </w:rPr>
        <w:t xml:space="preserve">ATP: Σύμφωνα με το πρωτόκολλο – περιλαμβάνει όλα τα κατάλληλα προς ένταξη άτομα, τα οποία είχαν λάβει μια μονή αναμνηστική δόση Boostrix, για τα οποία υπήρχαν διαθέσιμα </w:t>
      </w:r>
      <w:r w:rsidR="00851836" w:rsidRPr="00A8793B">
        <w:rPr>
          <w:sz w:val="20"/>
        </w:rPr>
        <w:t>ανοσογονικά</w:t>
      </w:r>
      <w:r w:rsidRPr="00794F08">
        <w:rPr>
          <w:sz w:val="20"/>
        </w:rPr>
        <w:t xml:space="preserve"> δεδομένα για τουλάχιστον ένα αντιγόνο στο ορισμένο χρονικό σημείο.</w:t>
      </w:r>
    </w:p>
    <w:p w:rsidR="00FA2A54" w:rsidRPr="00A8793B" w:rsidRDefault="00586AD8" w:rsidP="00682AFB">
      <w:pPr>
        <w:jc w:val="both"/>
        <w:rPr>
          <w:sz w:val="20"/>
        </w:rPr>
      </w:pPr>
      <w:r w:rsidRPr="00794F08">
        <w:rPr>
          <w:sz w:val="20"/>
        </w:rPr>
        <w:t>N:</w:t>
      </w:r>
      <w:r w:rsidR="00851836" w:rsidRPr="00A8793B">
        <w:rPr>
          <w:sz w:val="20"/>
        </w:rPr>
        <w:t xml:space="preserve"> ο ελάχιστος αριθμός ατόμων με διαθέσιμα δεδομένα για κάθε αντιγόνο</w:t>
      </w:r>
    </w:p>
    <w:p w:rsidR="00682AFB" w:rsidRPr="00794F08" w:rsidRDefault="00682AFB" w:rsidP="00682AFB">
      <w:pPr>
        <w:jc w:val="both"/>
        <w:rPr>
          <w:szCs w:val="22"/>
        </w:rPr>
      </w:pPr>
    </w:p>
    <w:p w:rsidR="00C40A15" w:rsidRPr="00794F08" w:rsidRDefault="00586AD8" w:rsidP="00C40A15">
      <w:pPr>
        <w:jc w:val="both"/>
        <w:rPr>
          <w:szCs w:val="22"/>
        </w:rPr>
      </w:pPr>
      <w:r w:rsidRPr="00794F08">
        <w:rPr>
          <w:szCs w:val="22"/>
        </w:rPr>
        <w:t>Συγκριτικές μελέτες σε εφήβους και ενήλικες έδειξαν, ότι ένα μήνα μετά τον εμβολιασμό, οι τίτλοι αντισωμάτων για τη διφθερίτιδα ήταν παρόμοιοι με αυτούς εμβολίων Td τύπου ενηλίκων, με το ίδιο αντιγονικό περιεχόμενο όπως το Boostrix. Μικρότεροι τίτλοι αντισωμάτων για τον τέτανο παρατηρήθηκαν συγκριτικά με εμβόλια Td τύπου ενηλίκων.</w:t>
      </w:r>
    </w:p>
    <w:p w:rsidR="00C40A15" w:rsidRPr="00794F08" w:rsidRDefault="00C40A15" w:rsidP="00C40A15">
      <w:pPr>
        <w:jc w:val="both"/>
        <w:rPr>
          <w:szCs w:val="22"/>
        </w:rPr>
      </w:pPr>
    </w:p>
    <w:p w:rsidR="00C40A15" w:rsidRPr="00794F08" w:rsidRDefault="00586AD8" w:rsidP="00C40A15">
      <w:pPr>
        <w:jc w:val="both"/>
        <w:rPr>
          <w:szCs w:val="22"/>
        </w:rPr>
      </w:pPr>
      <w:r w:rsidRPr="00794F08">
        <w:rPr>
          <w:szCs w:val="22"/>
        </w:rPr>
        <w:t>Όπως και με άλλα εμβόλια Td για ενήλικες, το Boostrix προκαλεί υψηλότερους τίτλους τόσο αντι-D όσο και αντι-T αντισωμάτων σε παιδιά και εφήβους συγκριτικά με τους ενήλικες.</w:t>
      </w:r>
    </w:p>
    <w:p w:rsidR="00C40A15" w:rsidRPr="00794F08" w:rsidRDefault="00C40A15" w:rsidP="00C40A15">
      <w:pPr>
        <w:jc w:val="both"/>
        <w:rPr>
          <w:szCs w:val="22"/>
        </w:rPr>
      </w:pPr>
    </w:p>
    <w:p w:rsidR="00C40A15" w:rsidRPr="00794F08" w:rsidRDefault="00586AD8" w:rsidP="00C40A15">
      <w:pPr>
        <w:jc w:val="both"/>
        <w:rPr>
          <w:szCs w:val="22"/>
        </w:rPr>
      </w:pPr>
      <w:r w:rsidRPr="00794F08">
        <w:rPr>
          <w:szCs w:val="22"/>
        </w:rPr>
        <w:t>3 με 3,5 χρόνια, 5 με 6 χρόνια  και 10 χρόνια μετά τον αρχικό εμβολιασμό με Boostrix, παρατηρήθηκαν τα ακόλουθα ποσοστά οροπροστασίας/οροθετικότητας</w:t>
      </w:r>
      <w:r w:rsidR="00851836" w:rsidRPr="00A8793B">
        <w:rPr>
          <w:szCs w:val="22"/>
        </w:rPr>
        <w:t xml:space="preserve"> </w:t>
      </w:r>
      <w:r w:rsidRPr="00794F08">
        <w:rPr>
          <w:szCs w:val="22"/>
        </w:rPr>
        <w:t>σε άτομα τα οποία είχαν εμβολιαστεί σύμφωνα με το πρωτόκολλο (</w:t>
      </w:r>
      <w:r w:rsidRPr="00794F08">
        <w:rPr>
          <w:szCs w:val="22"/>
          <w:lang w:val="en-US"/>
        </w:rPr>
        <w:t>ATP</w:t>
      </w:r>
      <w:r w:rsidRPr="00794F08">
        <w:rPr>
          <w:szCs w:val="22"/>
          <w:vertAlign w:val="superscript"/>
        </w:rPr>
        <w:t>1</w:t>
      </w:r>
      <w:r w:rsidRPr="00794F08">
        <w:rPr>
          <w:szCs w:val="22"/>
        </w:rPr>
        <w:t>)</w:t>
      </w:r>
      <w:r w:rsidR="00851836" w:rsidRPr="00A8793B">
        <w:rPr>
          <w:szCs w:val="22"/>
        </w:rPr>
        <w:t xml:space="preserve">: </w:t>
      </w:r>
    </w:p>
    <w:p w:rsidR="00C40A15" w:rsidRPr="00A8793B" w:rsidRDefault="00C40A15" w:rsidP="00C40A15">
      <w:pPr>
        <w:rPr>
          <w:szCs w:val="22"/>
        </w:rPr>
      </w:pPr>
    </w:p>
    <w:p w:rsidR="00C40A15" w:rsidRPr="00A8793B" w:rsidRDefault="00C40A15" w:rsidP="00C40A15">
      <w:pPr>
        <w:jc w:val="both"/>
        <w:rPr>
          <w:szCs w:val="22"/>
        </w:rPr>
      </w:pPr>
    </w:p>
    <w:tbl>
      <w:tblPr>
        <w:tblW w:w="10745"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1463"/>
        <w:gridCol w:w="907"/>
        <w:gridCol w:w="907"/>
        <w:gridCol w:w="907"/>
        <w:gridCol w:w="907"/>
        <w:gridCol w:w="907"/>
        <w:gridCol w:w="808"/>
        <w:gridCol w:w="1105"/>
        <w:gridCol w:w="1117"/>
      </w:tblGrid>
      <w:tr w:rsidR="00682AFB" w:rsidRPr="00794F08" w:rsidTr="0053696F">
        <w:trPr>
          <w:trHeight w:val="711"/>
        </w:trPr>
        <w:tc>
          <w:tcPr>
            <w:tcW w:w="799" w:type="pct"/>
            <w:vMerge w:val="restart"/>
          </w:tcPr>
          <w:p w:rsidR="00682AFB" w:rsidRPr="00A8793B" w:rsidRDefault="00851836" w:rsidP="0053696F">
            <w:pPr>
              <w:keepNext/>
              <w:spacing w:before="120"/>
              <w:jc w:val="center"/>
              <w:rPr>
                <w:b/>
                <w:iCs/>
                <w:sz w:val="20"/>
              </w:rPr>
            </w:pPr>
            <w:r w:rsidRPr="00A8793B">
              <w:rPr>
                <w:b/>
                <w:iCs/>
                <w:sz w:val="20"/>
              </w:rPr>
              <w:t>Αντιγόνο</w:t>
            </w:r>
          </w:p>
        </w:tc>
        <w:tc>
          <w:tcPr>
            <w:tcW w:w="681" w:type="pct"/>
            <w:vMerge w:val="restart"/>
          </w:tcPr>
          <w:p w:rsidR="00682AFB" w:rsidRPr="00A8793B" w:rsidRDefault="00851836" w:rsidP="0053696F">
            <w:pPr>
              <w:keepNext/>
              <w:spacing w:before="120"/>
              <w:jc w:val="center"/>
              <w:rPr>
                <w:b/>
                <w:iCs/>
                <w:sz w:val="20"/>
              </w:rPr>
            </w:pPr>
            <w:r w:rsidRPr="00A8793B">
              <w:rPr>
                <w:b/>
                <w:iCs/>
                <w:sz w:val="20"/>
              </w:rPr>
              <w:t xml:space="preserve"> Απάντηση</w:t>
            </w:r>
            <w:r w:rsidRPr="00A8793B">
              <w:rPr>
                <w:b/>
                <w:iCs/>
                <w:sz w:val="20"/>
                <w:vertAlign w:val="superscript"/>
              </w:rPr>
              <w:t>(</w:t>
            </w:r>
            <w:r w:rsidRPr="00A8793B">
              <w:rPr>
                <w:rFonts w:ascii="Times New Roman Bold" w:hAnsi="Times New Roman Bold"/>
                <w:b/>
                <w:iCs/>
                <w:sz w:val="20"/>
                <w:vertAlign w:val="superscript"/>
              </w:rPr>
              <w:t>2</w:t>
            </w:r>
            <w:r w:rsidRPr="00A8793B">
              <w:rPr>
                <w:b/>
                <w:iCs/>
                <w:sz w:val="20"/>
                <w:vertAlign w:val="superscript"/>
              </w:rPr>
              <w:t>)</w:t>
            </w:r>
          </w:p>
        </w:tc>
        <w:tc>
          <w:tcPr>
            <w:tcW w:w="2486" w:type="pct"/>
            <w:gridSpan w:val="6"/>
            <w:vAlign w:val="center"/>
          </w:tcPr>
          <w:p w:rsidR="00682AFB" w:rsidRPr="00A8793B" w:rsidRDefault="00851836" w:rsidP="0053696F">
            <w:pPr>
              <w:keepNext/>
              <w:jc w:val="center"/>
              <w:rPr>
                <w:b/>
                <w:iCs/>
                <w:sz w:val="20"/>
              </w:rPr>
            </w:pPr>
            <w:r w:rsidRPr="00A8793B">
              <w:rPr>
                <w:b/>
                <w:iCs/>
                <w:sz w:val="20"/>
              </w:rPr>
              <w:t>Ενήλικες και έφηβοι ηλικίας 10 ετών και άνω</w:t>
            </w:r>
          </w:p>
          <w:p w:rsidR="00682AFB" w:rsidRPr="00A8793B" w:rsidRDefault="00851836" w:rsidP="0053696F">
            <w:pPr>
              <w:keepNext/>
              <w:jc w:val="center"/>
              <w:rPr>
                <w:b/>
                <w:iCs/>
                <w:sz w:val="20"/>
              </w:rPr>
            </w:pPr>
            <w:r w:rsidRPr="00A8793B">
              <w:rPr>
                <w:b/>
                <w:iCs/>
                <w:sz w:val="20"/>
              </w:rPr>
              <w:t xml:space="preserve"> (% εμβολιασθέντων)</w:t>
            </w:r>
          </w:p>
        </w:tc>
        <w:tc>
          <w:tcPr>
            <w:tcW w:w="1034" w:type="pct"/>
            <w:gridSpan w:val="2"/>
            <w:shd w:val="clear" w:color="auto" w:fill="auto"/>
            <w:vAlign w:val="center"/>
          </w:tcPr>
          <w:p w:rsidR="00682AFB" w:rsidRPr="00A8793B" w:rsidRDefault="00851836" w:rsidP="0053696F">
            <w:pPr>
              <w:keepNext/>
              <w:jc w:val="center"/>
              <w:rPr>
                <w:b/>
                <w:iCs/>
                <w:sz w:val="20"/>
              </w:rPr>
            </w:pPr>
            <w:r w:rsidRPr="00A8793B">
              <w:rPr>
                <w:b/>
                <w:iCs/>
                <w:sz w:val="20"/>
              </w:rPr>
              <w:t>Παιδιά ηλικίας 4 ετών και άνω</w:t>
            </w:r>
          </w:p>
          <w:p w:rsidR="00682AFB" w:rsidRPr="00A8793B" w:rsidRDefault="00851836" w:rsidP="0053696F">
            <w:pPr>
              <w:keepNext/>
              <w:jc w:val="center"/>
              <w:rPr>
                <w:b/>
                <w:iCs/>
                <w:sz w:val="20"/>
              </w:rPr>
            </w:pPr>
            <w:r w:rsidRPr="00A8793B">
              <w:rPr>
                <w:b/>
                <w:iCs/>
                <w:sz w:val="20"/>
              </w:rPr>
              <w:t xml:space="preserve"> (% εμβολιασθέντων)</w:t>
            </w:r>
          </w:p>
        </w:tc>
      </w:tr>
      <w:tr w:rsidR="00682AFB" w:rsidRPr="00794F08" w:rsidTr="0053696F">
        <w:trPr>
          <w:trHeight w:val="152"/>
        </w:trPr>
        <w:tc>
          <w:tcPr>
            <w:tcW w:w="799" w:type="pct"/>
            <w:vMerge/>
            <w:tcBorders>
              <w:bottom w:val="nil"/>
            </w:tcBorders>
          </w:tcPr>
          <w:p w:rsidR="00682AFB" w:rsidRPr="00A8793B" w:rsidRDefault="00682AFB" w:rsidP="0053696F">
            <w:pPr>
              <w:keepNext/>
              <w:jc w:val="both"/>
              <w:rPr>
                <w:b/>
                <w:iCs/>
                <w:sz w:val="20"/>
              </w:rPr>
            </w:pPr>
          </w:p>
        </w:tc>
        <w:tc>
          <w:tcPr>
            <w:tcW w:w="681" w:type="pct"/>
            <w:vMerge/>
            <w:tcBorders>
              <w:bottom w:val="nil"/>
            </w:tcBorders>
          </w:tcPr>
          <w:p w:rsidR="00682AFB" w:rsidRPr="00A8793B" w:rsidRDefault="00682AFB" w:rsidP="0053696F">
            <w:pPr>
              <w:keepNext/>
              <w:jc w:val="both"/>
              <w:rPr>
                <w:b/>
                <w:iCs/>
                <w:sz w:val="20"/>
              </w:rPr>
            </w:pPr>
          </w:p>
        </w:tc>
        <w:tc>
          <w:tcPr>
            <w:tcW w:w="844" w:type="pct"/>
            <w:gridSpan w:val="2"/>
            <w:tcBorders>
              <w:bottom w:val="nil"/>
            </w:tcBorders>
            <w:vAlign w:val="center"/>
          </w:tcPr>
          <w:p w:rsidR="00682AFB" w:rsidRPr="00A8793B" w:rsidRDefault="00851836" w:rsidP="0053696F">
            <w:pPr>
              <w:keepNext/>
              <w:jc w:val="center"/>
              <w:rPr>
                <w:bCs/>
                <w:iCs/>
                <w:sz w:val="20"/>
              </w:rPr>
            </w:pPr>
            <w:r w:rsidRPr="00A8793B">
              <w:rPr>
                <w:bCs/>
                <w:iCs/>
                <w:sz w:val="20"/>
              </w:rPr>
              <w:t>διατήρηση 3-3.5 έτη</w:t>
            </w:r>
          </w:p>
        </w:tc>
        <w:tc>
          <w:tcPr>
            <w:tcW w:w="844" w:type="pct"/>
            <w:gridSpan w:val="2"/>
            <w:tcBorders>
              <w:bottom w:val="nil"/>
            </w:tcBorders>
            <w:vAlign w:val="center"/>
          </w:tcPr>
          <w:p w:rsidR="00682AFB" w:rsidRPr="00A8793B" w:rsidRDefault="00851836" w:rsidP="0053696F">
            <w:pPr>
              <w:keepNext/>
              <w:jc w:val="center"/>
              <w:rPr>
                <w:bCs/>
                <w:iCs/>
                <w:sz w:val="20"/>
              </w:rPr>
            </w:pPr>
            <w:r w:rsidRPr="00A8793B">
              <w:rPr>
                <w:bCs/>
                <w:iCs/>
                <w:sz w:val="20"/>
              </w:rPr>
              <w:t>διατήρηση 5 έτη</w:t>
            </w:r>
          </w:p>
        </w:tc>
        <w:tc>
          <w:tcPr>
            <w:tcW w:w="798" w:type="pct"/>
            <w:gridSpan w:val="2"/>
            <w:tcBorders>
              <w:bottom w:val="nil"/>
            </w:tcBorders>
            <w:vAlign w:val="center"/>
          </w:tcPr>
          <w:p w:rsidR="00682AFB" w:rsidRPr="00A8793B" w:rsidRDefault="00851836" w:rsidP="0053696F">
            <w:pPr>
              <w:keepNext/>
              <w:jc w:val="center"/>
              <w:rPr>
                <w:bCs/>
                <w:iCs/>
                <w:sz w:val="20"/>
              </w:rPr>
            </w:pPr>
            <w:r w:rsidRPr="00A8793B">
              <w:rPr>
                <w:bCs/>
                <w:iCs/>
                <w:sz w:val="20"/>
              </w:rPr>
              <w:t>διατήρηση 10 έτη</w:t>
            </w:r>
          </w:p>
        </w:tc>
        <w:tc>
          <w:tcPr>
            <w:tcW w:w="514" w:type="pct"/>
            <w:tcBorders>
              <w:bottom w:val="nil"/>
            </w:tcBorders>
            <w:vAlign w:val="center"/>
          </w:tcPr>
          <w:p w:rsidR="00682AFB" w:rsidRPr="00A8793B" w:rsidRDefault="00851836" w:rsidP="0053696F">
            <w:pPr>
              <w:keepNext/>
              <w:jc w:val="center"/>
              <w:rPr>
                <w:bCs/>
                <w:iCs/>
                <w:sz w:val="20"/>
              </w:rPr>
            </w:pPr>
            <w:r w:rsidRPr="00A8793B">
              <w:rPr>
                <w:bCs/>
                <w:iCs/>
                <w:sz w:val="20"/>
              </w:rPr>
              <w:t>διατήρηση 3-3.5 έτη</w:t>
            </w:r>
          </w:p>
        </w:tc>
        <w:tc>
          <w:tcPr>
            <w:tcW w:w="520" w:type="pct"/>
            <w:tcBorders>
              <w:bottom w:val="nil"/>
            </w:tcBorders>
            <w:vAlign w:val="center"/>
          </w:tcPr>
          <w:p w:rsidR="00682AFB" w:rsidRPr="00A8793B" w:rsidRDefault="00851836" w:rsidP="0053696F">
            <w:pPr>
              <w:keepNext/>
              <w:jc w:val="center"/>
              <w:rPr>
                <w:bCs/>
                <w:iCs/>
                <w:sz w:val="20"/>
              </w:rPr>
            </w:pPr>
            <w:r w:rsidRPr="00A8793B">
              <w:rPr>
                <w:bCs/>
                <w:iCs/>
                <w:sz w:val="20"/>
              </w:rPr>
              <w:t>διατήρηση 5 έως 6 έτη</w:t>
            </w:r>
          </w:p>
        </w:tc>
      </w:tr>
      <w:tr w:rsidR="00682AFB" w:rsidRPr="00794F08" w:rsidTr="0053696F">
        <w:trPr>
          <w:trHeight w:val="290"/>
        </w:trPr>
        <w:tc>
          <w:tcPr>
            <w:tcW w:w="799" w:type="pct"/>
            <w:tcBorders>
              <w:bottom w:val="nil"/>
            </w:tcBorders>
          </w:tcPr>
          <w:p w:rsidR="00682AFB" w:rsidRPr="00A8793B" w:rsidRDefault="00682AFB" w:rsidP="0053696F">
            <w:pPr>
              <w:keepNext/>
              <w:jc w:val="both"/>
              <w:rPr>
                <w:b/>
                <w:iCs/>
                <w:sz w:val="20"/>
              </w:rPr>
            </w:pPr>
          </w:p>
        </w:tc>
        <w:tc>
          <w:tcPr>
            <w:tcW w:w="681" w:type="pct"/>
            <w:tcBorders>
              <w:bottom w:val="nil"/>
            </w:tcBorders>
          </w:tcPr>
          <w:p w:rsidR="00682AFB" w:rsidRPr="00A8793B" w:rsidRDefault="00682AFB" w:rsidP="0053696F">
            <w:pPr>
              <w:keepNext/>
              <w:jc w:val="both"/>
              <w:rPr>
                <w:b/>
                <w:iCs/>
                <w:sz w:val="20"/>
              </w:rPr>
            </w:pPr>
          </w:p>
        </w:tc>
        <w:tc>
          <w:tcPr>
            <w:tcW w:w="422" w:type="pct"/>
            <w:tcBorders>
              <w:bottom w:val="nil"/>
              <w:right w:val="dashed" w:sz="4" w:space="0" w:color="auto"/>
            </w:tcBorders>
            <w:vAlign w:val="center"/>
          </w:tcPr>
          <w:p w:rsidR="00682AFB" w:rsidRPr="00A8793B" w:rsidRDefault="00851836" w:rsidP="0053696F">
            <w:pPr>
              <w:keepNext/>
              <w:spacing w:after="120"/>
              <w:jc w:val="center"/>
              <w:rPr>
                <w:iCs/>
                <w:sz w:val="20"/>
              </w:rPr>
            </w:pPr>
            <w:r w:rsidRPr="00A8793B">
              <w:rPr>
                <w:iCs/>
                <w:sz w:val="20"/>
              </w:rPr>
              <w:t>Ενήλικας</w:t>
            </w:r>
            <w:r w:rsidRPr="00A8793B">
              <w:rPr>
                <w:iCs/>
                <w:sz w:val="20"/>
                <w:vertAlign w:val="superscript"/>
              </w:rPr>
              <w:t>(3)</w:t>
            </w:r>
          </w:p>
          <w:p w:rsidR="00682AFB" w:rsidRPr="00A8793B" w:rsidRDefault="00851836" w:rsidP="0053696F">
            <w:pPr>
              <w:keepNext/>
              <w:jc w:val="center"/>
              <w:rPr>
                <w:iCs/>
                <w:sz w:val="20"/>
              </w:rPr>
            </w:pPr>
            <w:r w:rsidRPr="00A8793B">
              <w:rPr>
                <w:iCs/>
                <w:sz w:val="20"/>
              </w:rPr>
              <w:t>(N=309)</w:t>
            </w:r>
          </w:p>
        </w:tc>
        <w:tc>
          <w:tcPr>
            <w:tcW w:w="422" w:type="pct"/>
            <w:tcBorders>
              <w:left w:val="dashed" w:sz="4" w:space="0" w:color="auto"/>
              <w:bottom w:val="nil"/>
            </w:tcBorders>
            <w:vAlign w:val="center"/>
          </w:tcPr>
          <w:p w:rsidR="00682AFB" w:rsidRPr="00A8793B" w:rsidRDefault="00851836" w:rsidP="0053696F">
            <w:pPr>
              <w:keepNext/>
              <w:jc w:val="center"/>
              <w:rPr>
                <w:iCs/>
                <w:sz w:val="20"/>
                <w:vertAlign w:val="superscript"/>
              </w:rPr>
            </w:pPr>
            <w:r w:rsidRPr="00A8793B">
              <w:rPr>
                <w:iCs/>
                <w:sz w:val="20"/>
              </w:rPr>
              <w:t>Έφηβος</w:t>
            </w:r>
            <w:r w:rsidRPr="00A8793B">
              <w:rPr>
                <w:iCs/>
                <w:sz w:val="20"/>
                <w:vertAlign w:val="superscript"/>
              </w:rPr>
              <w:t>(3)</w:t>
            </w:r>
          </w:p>
          <w:p w:rsidR="00682AFB" w:rsidRPr="00A8793B" w:rsidRDefault="00851836" w:rsidP="0053696F">
            <w:pPr>
              <w:keepNext/>
              <w:jc w:val="center"/>
              <w:rPr>
                <w:iCs/>
                <w:sz w:val="20"/>
              </w:rPr>
            </w:pPr>
            <w:r w:rsidRPr="00A8793B">
              <w:rPr>
                <w:iCs/>
                <w:sz w:val="20"/>
              </w:rPr>
              <w:t>(N=261)</w:t>
            </w:r>
          </w:p>
        </w:tc>
        <w:tc>
          <w:tcPr>
            <w:tcW w:w="422" w:type="pct"/>
            <w:tcBorders>
              <w:bottom w:val="nil"/>
              <w:right w:val="dashed" w:sz="4" w:space="0" w:color="auto"/>
            </w:tcBorders>
            <w:vAlign w:val="center"/>
          </w:tcPr>
          <w:p w:rsidR="00682AFB" w:rsidRPr="00A8793B" w:rsidRDefault="00851836" w:rsidP="0053696F">
            <w:pPr>
              <w:keepNext/>
              <w:spacing w:after="120"/>
              <w:jc w:val="center"/>
              <w:rPr>
                <w:iCs/>
                <w:sz w:val="20"/>
              </w:rPr>
            </w:pPr>
            <w:r w:rsidRPr="00A8793B">
              <w:rPr>
                <w:iCs/>
                <w:sz w:val="20"/>
              </w:rPr>
              <w:t>Ενήλικας</w:t>
            </w:r>
            <w:r w:rsidRPr="00A8793B">
              <w:rPr>
                <w:iCs/>
                <w:sz w:val="20"/>
                <w:vertAlign w:val="superscript"/>
              </w:rPr>
              <w:t xml:space="preserve"> (3)</w:t>
            </w:r>
            <w:r w:rsidRPr="00A8793B">
              <w:rPr>
                <w:iCs/>
                <w:sz w:val="20"/>
              </w:rPr>
              <w:t xml:space="preserve"> </w:t>
            </w:r>
          </w:p>
          <w:p w:rsidR="00682AFB" w:rsidRPr="00A8793B" w:rsidRDefault="00851836" w:rsidP="0053696F">
            <w:pPr>
              <w:keepNext/>
              <w:jc w:val="center"/>
              <w:rPr>
                <w:iCs/>
                <w:sz w:val="20"/>
              </w:rPr>
            </w:pPr>
            <w:r w:rsidRPr="00A8793B">
              <w:rPr>
                <w:iCs/>
                <w:sz w:val="20"/>
              </w:rPr>
              <w:t>(N=232)</w:t>
            </w:r>
          </w:p>
        </w:tc>
        <w:tc>
          <w:tcPr>
            <w:tcW w:w="422" w:type="pct"/>
            <w:tcBorders>
              <w:left w:val="dashed" w:sz="4" w:space="0" w:color="auto"/>
              <w:bottom w:val="nil"/>
            </w:tcBorders>
            <w:vAlign w:val="center"/>
          </w:tcPr>
          <w:p w:rsidR="00682AFB" w:rsidRPr="00A8793B" w:rsidRDefault="00851836" w:rsidP="0053696F">
            <w:pPr>
              <w:keepNext/>
              <w:jc w:val="center"/>
              <w:rPr>
                <w:iCs/>
                <w:sz w:val="20"/>
              </w:rPr>
            </w:pPr>
            <w:r w:rsidRPr="00A8793B">
              <w:rPr>
                <w:iCs/>
                <w:sz w:val="20"/>
              </w:rPr>
              <w:t>Έφηβος</w:t>
            </w:r>
            <w:r w:rsidRPr="00A8793B">
              <w:rPr>
                <w:iCs/>
                <w:sz w:val="20"/>
                <w:vertAlign w:val="superscript"/>
              </w:rPr>
              <w:t xml:space="preserve"> (3)</w:t>
            </w:r>
            <w:r w:rsidRPr="00A8793B">
              <w:rPr>
                <w:iCs/>
                <w:sz w:val="20"/>
              </w:rPr>
              <w:t xml:space="preserve"> (N=250)</w:t>
            </w:r>
          </w:p>
        </w:tc>
        <w:tc>
          <w:tcPr>
            <w:tcW w:w="422" w:type="pct"/>
            <w:tcBorders>
              <w:bottom w:val="nil"/>
              <w:right w:val="dashed" w:sz="4" w:space="0" w:color="auto"/>
            </w:tcBorders>
            <w:vAlign w:val="center"/>
          </w:tcPr>
          <w:p w:rsidR="00682AFB" w:rsidRPr="00A8793B" w:rsidRDefault="00851836" w:rsidP="0053696F">
            <w:pPr>
              <w:keepNext/>
              <w:jc w:val="center"/>
              <w:rPr>
                <w:iCs/>
                <w:sz w:val="20"/>
              </w:rPr>
            </w:pPr>
            <w:r w:rsidRPr="00A8793B">
              <w:rPr>
                <w:iCs/>
                <w:sz w:val="20"/>
              </w:rPr>
              <w:t>Ενήλικας</w:t>
            </w:r>
            <w:r w:rsidRPr="00A8793B">
              <w:rPr>
                <w:iCs/>
                <w:sz w:val="20"/>
                <w:vertAlign w:val="superscript"/>
              </w:rPr>
              <w:t xml:space="preserve"> (3)</w:t>
            </w:r>
            <w:r w:rsidRPr="00A8793B">
              <w:rPr>
                <w:iCs/>
                <w:sz w:val="20"/>
              </w:rPr>
              <w:t xml:space="preserve"> </w:t>
            </w:r>
          </w:p>
          <w:p w:rsidR="00682AFB" w:rsidRPr="00A8793B" w:rsidRDefault="00851836" w:rsidP="0053696F">
            <w:pPr>
              <w:keepNext/>
              <w:spacing w:before="120"/>
              <w:jc w:val="center"/>
              <w:rPr>
                <w:iCs/>
                <w:sz w:val="20"/>
                <w:vertAlign w:val="superscript"/>
              </w:rPr>
            </w:pPr>
            <w:r w:rsidRPr="00A8793B">
              <w:rPr>
                <w:iCs/>
                <w:sz w:val="20"/>
              </w:rPr>
              <w:t>(N=158)</w:t>
            </w:r>
          </w:p>
        </w:tc>
        <w:tc>
          <w:tcPr>
            <w:tcW w:w="376" w:type="pct"/>
            <w:tcBorders>
              <w:left w:val="dashed" w:sz="4" w:space="0" w:color="auto"/>
              <w:bottom w:val="nil"/>
            </w:tcBorders>
            <w:vAlign w:val="center"/>
          </w:tcPr>
          <w:p w:rsidR="00682AFB" w:rsidRPr="00A8793B" w:rsidRDefault="00851836" w:rsidP="0053696F">
            <w:pPr>
              <w:keepNext/>
              <w:jc w:val="center"/>
              <w:rPr>
                <w:iCs/>
                <w:sz w:val="20"/>
              </w:rPr>
            </w:pPr>
            <w:r w:rsidRPr="00A8793B">
              <w:rPr>
                <w:iCs/>
                <w:sz w:val="20"/>
              </w:rPr>
              <w:t>Έφηβος</w:t>
            </w:r>
            <w:r w:rsidRPr="00A8793B">
              <w:rPr>
                <w:iCs/>
                <w:sz w:val="20"/>
                <w:vertAlign w:val="superscript"/>
              </w:rPr>
              <w:t xml:space="preserve"> (3)</w:t>
            </w:r>
            <w:r w:rsidRPr="00A8793B">
              <w:rPr>
                <w:iCs/>
                <w:sz w:val="20"/>
              </w:rPr>
              <w:t xml:space="preserve"> (N=74)</w:t>
            </w:r>
          </w:p>
        </w:tc>
        <w:tc>
          <w:tcPr>
            <w:tcW w:w="514" w:type="pct"/>
            <w:tcBorders>
              <w:bottom w:val="nil"/>
            </w:tcBorders>
            <w:vAlign w:val="center"/>
          </w:tcPr>
          <w:p w:rsidR="00682AFB" w:rsidRPr="00A8793B" w:rsidRDefault="00851836" w:rsidP="0053696F">
            <w:pPr>
              <w:keepNext/>
              <w:jc w:val="center"/>
              <w:rPr>
                <w:b/>
                <w:iCs/>
                <w:sz w:val="20"/>
              </w:rPr>
            </w:pPr>
            <w:r w:rsidRPr="00A8793B">
              <w:rPr>
                <w:iCs/>
                <w:sz w:val="20"/>
              </w:rPr>
              <w:t>(N=118)</w:t>
            </w:r>
          </w:p>
        </w:tc>
        <w:tc>
          <w:tcPr>
            <w:tcW w:w="520" w:type="pct"/>
            <w:tcBorders>
              <w:bottom w:val="nil"/>
            </w:tcBorders>
            <w:vAlign w:val="center"/>
          </w:tcPr>
          <w:p w:rsidR="00682AFB" w:rsidRPr="00A8793B" w:rsidRDefault="00851836" w:rsidP="0053696F">
            <w:pPr>
              <w:keepNext/>
              <w:jc w:val="center"/>
              <w:rPr>
                <w:b/>
                <w:iCs/>
                <w:sz w:val="20"/>
              </w:rPr>
            </w:pPr>
            <w:r w:rsidRPr="00A8793B">
              <w:rPr>
                <w:iCs/>
                <w:sz w:val="20"/>
              </w:rPr>
              <w:t>(N=68)</w:t>
            </w:r>
          </w:p>
        </w:tc>
      </w:tr>
      <w:tr w:rsidR="00682AFB" w:rsidRPr="00794F08" w:rsidTr="0053696F">
        <w:trPr>
          <w:trHeight w:val="290"/>
        </w:trPr>
        <w:tc>
          <w:tcPr>
            <w:tcW w:w="799" w:type="pct"/>
            <w:tcBorders>
              <w:bottom w:val="nil"/>
            </w:tcBorders>
          </w:tcPr>
          <w:p w:rsidR="00682AFB" w:rsidRPr="00A8793B" w:rsidRDefault="00851836" w:rsidP="0053696F">
            <w:pPr>
              <w:keepNext/>
              <w:jc w:val="both"/>
              <w:rPr>
                <w:iCs/>
                <w:sz w:val="20"/>
              </w:rPr>
            </w:pPr>
            <w:r w:rsidRPr="00A8793B">
              <w:rPr>
                <w:iCs/>
                <w:sz w:val="20"/>
              </w:rPr>
              <w:t>Διφθερίτιδας</w:t>
            </w:r>
          </w:p>
        </w:tc>
        <w:tc>
          <w:tcPr>
            <w:tcW w:w="681" w:type="pct"/>
            <w:tcBorders>
              <w:bottom w:val="nil"/>
            </w:tcBorders>
          </w:tcPr>
          <w:p w:rsidR="00682AFB" w:rsidRPr="00A8793B" w:rsidRDefault="00851836" w:rsidP="0053696F">
            <w:pPr>
              <w:keepNext/>
              <w:jc w:val="both"/>
              <w:rPr>
                <w:iCs/>
                <w:sz w:val="20"/>
              </w:rPr>
            </w:pPr>
            <w:r w:rsidRPr="00A8793B">
              <w:rPr>
                <w:iCs/>
                <w:sz w:val="20"/>
              </w:rPr>
              <w:sym w:font="Symbol" w:char="F0B3"/>
            </w:r>
            <w:r w:rsidRPr="00A8793B">
              <w:rPr>
                <w:iCs/>
                <w:sz w:val="20"/>
              </w:rPr>
              <w:t xml:space="preserve"> 0.1 IU/ml</w:t>
            </w:r>
          </w:p>
        </w:tc>
        <w:tc>
          <w:tcPr>
            <w:tcW w:w="422" w:type="pct"/>
            <w:tcBorders>
              <w:bottom w:val="nil"/>
              <w:right w:val="dashed" w:sz="4" w:space="0" w:color="auto"/>
            </w:tcBorders>
            <w:vAlign w:val="center"/>
          </w:tcPr>
          <w:p w:rsidR="00682AFB" w:rsidRPr="00A8793B" w:rsidRDefault="00851836" w:rsidP="0053696F">
            <w:pPr>
              <w:keepNext/>
              <w:jc w:val="center"/>
              <w:rPr>
                <w:iCs/>
                <w:sz w:val="20"/>
              </w:rPr>
            </w:pPr>
            <w:r w:rsidRPr="00A8793B">
              <w:rPr>
                <w:iCs/>
                <w:sz w:val="20"/>
              </w:rPr>
              <w:t>71.2%</w:t>
            </w:r>
          </w:p>
        </w:tc>
        <w:tc>
          <w:tcPr>
            <w:tcW w:w="422" w:type="pct"/>
            <w:tcBorders>
              <w:left w:val="dashed" w:sz="4" w:space="0" w:color="auto"/>
              <w:bottom w:val="nil"/>
            </w:tcBorders>
            <w:vAlign w:val="center"/>
          </w:tcPr>
          <w:p w:rsidR="00682AFB" w:rsidRPr="00A8793B" w:rsidRDefault="00851836" w:rsidP="0053696F">
            <w:pPr>
              <w:keepNext/>
              <w:jc w:val="center"/>
              <w:rPr>
                <w:iCs/>
                <w:sz w:val="20"/>
              </w:rPr>
            </w:pPr>
            <w:r w:rsidRPr="00A8793B">
              <w:rPr>
                <w:iCs/>
                <w:sz w:val="20"/>
              </w:rPr>
              <w:t>91.6%</w:t>
            </w:r>
          </w:p>
        </w:tc>
        <w:tc>
          <w:tcPr>
            <w:tcW w:w="422" w:type="pct"/>
            <w:tcBorders>
              <w:bottom w:val="nil"/>
              <w:right w:val="dashed" w:sz="4" w:space="0" w:color="auto"/>
            </w:tcBorders>
            <w:vAlign w:val="center"/>
          </w:tcPr>
          <w:p w:rsidR="00682AFB" w:rsidRPr="00A8793B" w:rsidRDefault="00851836" w:rsidP="0053696F">
            <w:pPr>
              <w:keepNext/>
              <w:jc w:val="center"/>
              <w:rPr>
                <w:iCs/>
                <w:sz w:val="20"/>
              </w:rPr>
            </w:pPr>
            <w:r w:rsidRPr="00A8793B">
              <w:rPr>
                <w:iCs/>
                <w:sz w:val="20"/>
              </w:rPr>
              <w:t>84.1%</w:t>
            </w:r>
          </w:p>
        </w:tc>
        <w:tc>
          <w:tcPr>
            <w:tcW w:w="422" w:type="pct"/>
            <w:tcBorders>
              <w:left w:val="dashed" w:sz="4" w:space="0" w:color="auto"/>
              <w:bottom w:val="nil"/>
            </w:tcBorders>
            <w:vAlign w:val="center"/>
          </w:tcPr>
          <w:p w:rsidR="00682AFB" w:rsidRPr="00A8793B" w:rsidRDefault="00851836" w:rsidP="0053696F">
            <w:pPr>
              <w:keepNext/>
              <w:jc w:val="center"/>
              <w:rPr>
                <w:iCs/>
                <w:sz w:val="20"/>
              </w:rPr>
            </w:pPr>
            <w:r w:rsidRPr="00A8793B">
              <w:rPr>
                <w:iCs/>
                <w:sz w:val="20"/>
              </w:rPr>
              <w:t>86.8%</w:t>
            </w:r>
          </w:p>
        </w:tc>
        <w:tc>
          <w:tcPr>
            <w:tcW w:w="422" w:type="pct"/>
            <w:tcBorders>
              <w:bottom w:val="nil"/>
              <w:right w:val="dashed" w:sz="4" w:space="0" w:color="auto"/>
            </w:tcBorders>
            <w:vAlign w:val="center"/>
          </w:tcPr>
          <w:p w:rsidR="00682AFB" w:rsidRPr="00A8793B" w:rsidRDefault="00851836" w:rsidP="0053696F">
            <w:pPr>
              <w:keepNext/>
              <w:jc w:val="center"/>
              <w:rPr>
                <w:iCs/>
                <w:sz w:val="20"/>
              </w:rPr>
            </w:pPr>
            <w:r w:rsidRPr="00A8793B">
              <w:rPr>
                <w:iCs/>
                <w:sz w:val="20"/>
              </w:rPr>
              <w:t>64.6%</w:t>
            </w:r>
          </w:p>
        </w:tc>
        <w:tc>
          <w:tcPr>
            <w:tcW w:w="376" w:type="pct"/>
            <w:tcBorders>
              <w:left w:val="dashed" w:sz="4" w:space="0" w:color="auto"/>
              <w:bottom w:val="nil"/>
            </w:tcBorders>
            <w:vAlign w:val="center"/>
          </w:tcPr>
          <w:p w:rsidR="00682AFB" w:rsidRPr="00A8793B" w:rsidRDefault="00851836" w:rsidP="0053696F">
            <w:pPr>
              <w:keepNext/>
              <w:jc w:val="center"/>
              <w:rPr>
                <w:iCs/>
                <w:sz w:val="20"/>
              </w:rPr>
            </w:pPr>
            <w:r w:rsidRPr="00A8793B">
              <w:rPr>
                <w:iCs/>
                <w:sz w:val="20"/>
              </w:rPr>
              <w:t>82.4%</w:t>
            </w:r>
          </w:p>
        </w:tc>
        <w:tc>
          <w:tcPr>
            <w:tcW w:w="514" w:type="pct"/>
            <w:tcBorders>
              <w:bottom w:val="nil"/>
            </w:tcBorders>
            <w:vAlign w:val="center"/>
          </w:tcPr>
          <w:p w:rsidR="00682AFB" w:rsidRPr="00A8793B" w:rsidRDefault="00851836" w:rsidP="0053696F">
            <w:pPr>
              <w:keepNext/>
              <w:jc w:val="center"/>
              <w:rPr>
                <w:iCs/>
                <w:sz w:val="20"/>
              </w:rPr>
            </w:pPr>
            <w:r w:rsidRPr="00A8793B">
              <w:rPr>
                <w:iCs/>
                <w:sz w:val="20"/>
              </w:rPr>
              <w:t>97.5 %</w:t>
            </w:r>
          </w:p>
        </w:tc>
        <w:tc>
          <w:tcPr>
            <w:tcW w:w="520" w:type="pct"/>
            <w:tcBorders>
              <w:bottom w:val="nil"/>
            </w:tcBorders>
            <w:vAlign w:val="center"/>
          </w:tcPr>
          <w:p w:rsidR="00682AFB" w:rsidRPr="00A8793B" w:rsidRDefault="00851836" w:rsidP="0053696F">
            <w:pPr>
              <w:keepNext/>
              <w:jc w:val="center"/>
              <w:rPr>
                <w:iCs/>
                <w:sz w:val="20"/>
              </w:rPr>
            </w:pPr>
            <w:r w:rsidRPr="00A8793B">
              <w:rPr>
                <w:iCs/>
                <w:sz w:val="20"/>
              </w:rPr>
              <w:t>94.2 %</w:t>
            </w:r>
          </w:p>
        </w:tc>
      </w:tr>
      <w:tr w:rsidR="00682AFB" w:rsidRPr="00794F08" w:rsidTr="0053696F">
        <w:trPr>
          <w:trHeight w:val="475"/>
        </w:trPr>
        <w:tc>
          <w:tcPr>
            <w:tcW w:w="799" w:type="pct"/>
            <w:tcBorders>
              <w:top w:val="nil"/>
            </w:tcBorders>
          </w:tcPr>
          <w:p w:rsidR="00682AFB" w:rsidRPr="00A8793B" w:rsidRDefault="00682AFB" w:rsidP="0053696F">
            <w:pPr>
              <w:keepNext/>
              <w:jc w:val="both"/>
              <w:rPr>
                <w:b/>
                <w:iCs/>
                <w:sz w:val="20"/>
              </w:rPr>
            </w:pPr>
          </w:p>
        </w:tc>
        <w:tc>
          <w:tcPr>
            <w:tcW w:w="681" w:type="pct"/>
            <w:tcBorders>
              <w:top w:val="dashed" w:sz="4" w:space="0" w:color="auto"/>
            </w:tcBorders>
            <w:vAlign w:val="center"/>
          </w:tcPr>
          <w:p w:rsidR="00682AFB" w:rsidRPr="00A8793B" w:rsidRDefault="00851836" w:rsidP="0053696F">
            <w:pPr>
              <w:keepNext/>
              <w:tabs>
                <w:tab w:val="clear" w:pos="567"/>
                <w:tab w:val="left" w:pos="-107"/>
              </w:tabs>
              <w:ind w:right="-64"/>
              <w:rPr>
                <w:iCs/>
                <w:sz w:val="20"/>
              </w:rPr>
            </w:pPr>
            <w:r w:rsidRPr="00A8793B">
              <w:rPr>
                <w:iCs/>
                <w:sz w:val="20"/>
              </w:rPr>
              <w:sym w:font="Symbol" w:char="F0B3"/>
            </w:r>
            <w:r w:rsidRPr="00A8793B">
              <w:rPr>
                <w:iCs/>
                <w:sz w:val="20"/>
              </w:rPr>
              <w:t xml:space="preserve"> 0.016 IU/ml</w:t>
            </w:r>
            <w:r w:rsidRPr="00A8793B">
              <w:rPr>
                <w:iCs/>
                <w:sz w:val="20"/>
                <w:vertAlign w:val="superscript"/>
              </w:rPr>
              <w:t>(4)</w:t>
            </w:r>
          </w:p>
        </w:tc>
        <w:tc>
          <w:tcPr>
            <w:tcW w:w="422" w:type="pct"/>
            <w:tcBorders>
              <w:top w:val="dashed" w:sz="4" w:space="0" w:color="auto"/>
              <w:right w:val="dashed" w:sz="4" w:space="0" w:color="auto"/>
            </w:tcBorders>
            <w:vAlign w:val="center"/>
          </w:tcPr>
          <w:p w:rsidR="00682AFB" w:rsidRPr="00A8793B" w:rsidRDefault="00851836" w:rsidP="0053696F">
            <w:pPr>
              <w:keepNext/>
              <w:jc w:val="center"/>
              <w:rPr>
                <w:iCs/>
                <w:sz w:val="20"/>
              </w:rPr>
            </w:pPr>
            <w:r w:rsidRPr="00A8793B">
              <w:rPr>
                <w:iCs/>
                <w:sz w:val="20"/>
              </w:rPr>
              <w:t>97.4%</w:t>
            </w:r>
          </w:p>
        </w:tc>
        <w:tc>
          <w:tcPr>
            <w:tcW w:w="422" w:type="pct"/>
            <w:tcBorders>
              <w:top w:val="dashed" w:sz="4" w:space="0" w:color="auto"/>
              <w:left w:val="dashed" w:sz="4" w:space="0" w:color="auto"/>
            </w:tcBorders>
            <w:vAlign w:val="center"/>
          </w:tcPr>
          <w:p w:rsidR="00682AFB" w:rsidRPr="00A8793B" w:rsidRDefault="00851836" w:rsidP="0053696F">
            <w:pPr>
              <w:keepNext/>
              <w:jc w:val="center"/>
              <w:rPr>
                <w:iCs/>
                <w:sz w:val="20"/>
              </w:rPr>
            </w:pPr>
            <w:r w:rsidRPr="00A8793B">
              <w:rPr>
                <w:iCs/>
                <w:sz w:val="20"/>
              </w:rPr>
              <w:t>100%</w:t>
            </w:r>
          </w:p>
        </w:tc>
        <w:tc>
          <w:tcPr>
            <w:tcW w:w="422" w:type="pct"/>
            <w:tcBorders>
              <w:top w:val="dashed" w:sz="4" w:space="0" w:color="auto"/>
              <w:right w:val="dashed" w:sz="4" w:space="0" w:color="auto"/>
            </w:tcBorders>
            <w:vAlign w:val="center"/>
          </w:tcPr>
          <w:p w:rsidR="00682AFB" w:rsidRPr="00A8793B" w:rsidRDefault="00851836" w:rsidP="0053696F">
            <w:pPr>
              <w:keepNext/>
              <w:jc w:val="center"/>
              <w:rPr>
                <w:iCs/>
                <w:sz w:val="20"/>
              </w:rPr>
            </w:pPr>
            <w:r w:rsidRPr="00A8793B">
              <w:rPr>
                <w:iCs/>
                <w:sz w:val="20"/>
              </w:rPr>
              <w:t>94.4%</w:t>
            </w:r>
          </w:p>
        </w:tc>
        <w:tc>
          <w:tcPr>
            <w:tcW w:w="422" w:type="pct"/>
            <w:tcBorders>
              <w:top w:val="dashed" w:sz="4" w:space="0" w:color="auto"/>
              <w:left w:val="dashed" w:sz="4" w:space="0" w:color="auto"/>
            </w:tcBorders>
            <w:vAlign w:val="center"/>
          </w:tcPr>
          <w:p w:rsidR="00682AFB" w:rsidRPr="00A8793B" w:rsidRDefault="00851836" w:rsidP="0053696F">
            <w:pPr>
              <w:keepNext/>
              <w:jc w:val="center"/>
              <w:rPr>
                <w:iCs/>
                <w:sz w:val="20"/>
              </w:rPr>
            </w:pPr>
            <w:r w:rsidRPr="00A8793B">
              <w:rPr>
                <w:iCs/>
                <w:sz w:val="20"/>
              </w:rPr>
              <w:t>99.2%</w:t>
            </w:r>
          </w:p>
        </w:tc>
        <w:tc>
          <w:tcPr>
            <w:tcW w:w="422" w:type="pct"/>
            <w:tcBorders>
              <w:top w:val="dashed" w:sz="4" w:space="0" w:color="auto"/>
              <w:right w:val="dashed" w:sz="4" w:space="0" w:color="auto"/>
            </w:tcBorders>
            <w:vAlign w:val="center"/>
          </w:tcPr>
          <w:p w:rsidR="00682AFB" w:rsidRPr="00A8793B" w:rsidRDefault="00851836" w:rsidP="0053696F">
            <w:pPr>
              <w:keepNext/>
              <w:jc w:val="center"/>
              <w:rPr>
                <w:iCs/>
                <w:sz w:val="20"/>
              </w:rPr>
            </w:pPr>
            <w:r w:rsidRPr="00A8793B">
              <w:rPr>
                <w:iCs/>
                <w:sz w:val="20"/>
              </w:rPr>
              <w:t>89.9%</w:t>
            </w:r>
          </w:p>
        </w:tc>
        <w:tc>
          <w:tcPr>
            <w:tcW w:w="376" w:type="pct"/>
            <w:tcBorders>
              <w:top w:val="dashed" w:sz="4" w:space="0" w:color="auto"/>
              <w:left w:val="dashed" w:sz="4" w:space="0" w:color="auto"/>
            </w:tcBorders>
            <w:vAlign w:val="center"/>
          </w:tcPr>
          <w:p w:rsidR="00682AFB" w:rsidRPr="00A8793B" w:rsidRDefault="00851836" w:rsidP="0053696F">
            <w:pPr>
              <w:keepNext/>
              <w:jc w:val="center"/>
              <w:rPr>
                <w:iCs/>
                <w:sz w:val="20"/>
              </w:rPr>
            </w:pPr>
            <w:r w:rsidRPr="00A8793B">
              <w:rPr>
                <w:iCs/>
                <w:sz w:val="20"/>
              </w:rPr>
              <w:t>98.6%</w:t>
            </w:r>
          </w:p>
        </w:tc>
        <w:tc>
          <w:tcPr>
            <w:tcW w:w="514" w:type="pct"/>
            <w:tcBorders>
              <w:top w:val="dashed" w:sz="4" w:space="0" w:color="auto"/>
            </w:tcBorders>
            <w:vAlign w:val="center"/>
          </w:tcPr>
          <w:p w:rsidR="00682AFB" w:rsidRPr="00A8793B" w:rsidRDefault="00851836" w:rsidP="0053696F">
            <w:pPr>
              <w:keepNext/>
              <w:jc w:val="center"/>
              <w:rPr>
                <w:iCs/>
                <w:sz w:val="20"/>
              </w:rPr>
            </w:pPr>
            <w:r w:rsidRPr="00A8793B">
              <w:rPr>
                <w:iCs/>
                <w:sz w:val="20"/>
              </w:rPr>
              <w:t>100 %</w:t>
            </w:r>
          </w:p>
        </w:tc>
        <w:tc>
          <w:tcPr>
            <w:tcW w:w="520" w:type="pct"/>
            <w:tcBorders>
              <w:top w:val="dashed" w:sz="4" w:space="0" w:color="auto"/>
            </w:tcBorders>
            <w:vAlign w:val="center"/>
          </w:tcPr>
          <w:p w:rsidR="00682AFB" w:rsidRPr="00A8793B" w:rsidRDefault="00851836" w:rsidP="0053696F">
            <w:pPr>
              <w:keepNext/>
              <w:jc w:val="center"/>
              <w:rPr>
                <w:iCs/>
                <w:sz w:val="20"/>
              </w:rPr>
            </w:pPr>
            <w:r w:rsidRPr="00A8793B">
              <w:rPr>
                <w:iCs/>
                <w:sz w:val="20"/>
              </w:rPr>
              <w:t>Δεν έχει καθοριστεί</w:t>
            </w:r>
          </w:p>
        </w:tc>
      </w:tr>
      <w:tr w:rsidR="00682AFB" w:rsidRPr="00794F08" w:rsidTr="0053696F">
        <w:trPr>
          <w:trHeight w:val="626"/>
        </w:trPr>
        <w:tc>
          <w:tcPr>
            <w:tcW w:w="799" w:type="pct"/>
            <w:vAlign w:val="center"/>
          </w:tcPr>
          <w:p w:rsidR="00682AFB" w:rsidRPr="00A8793B" w:rsidRDefault="00851836" w:rsidP="0053696F">
            <w:pPr>
              <w:keepNext/>
              <w:rPr>
                <w:iCs/>
                <w:sz w:val="20"/>
              </w:rPr>
            </w:pPr>
            <w:r w:rsidRPr="00A8793B">
              <w:rPr>
                <w:iCs/>
                <w:sz w:val="20"/>
              </w:rPr>
              <w:t xml:space="preserve">Τετάνου </w:t>
            </w:r>
          </w:p>
        </w:tc>
        <w:tc>
          <w:tcPr>
            <w:tcW w:w="681" w:type="pct"/>
            <w:vAlign w:val="center"/>
          </w:tcPr>
          <w:p w:rsidR="00682AFB" w:rsidRPr="00A8793B" w:rsidRDefault="00851836" w:rsidP="0053696F">
            <w:pPr>
              <w:keepNext/>
              <w:rPr>
                <w:iCs/>
                <w:sz w:val="20"/>
              </w:rPr>
            </w:pPr>
            <w:r w:rsidRPr="00A8793B">
              <w:rPr>
                <w:iCs/>
                <w:sz w:val="20"/>
              </w:rPr>
              <w:sym w:font="Symbol" w:char="F0B3"/>
            </w:r>
            <w:r w:rsidRPr="00A8793B">
              <w:rPr>
                <w:iCs/>
                <w:sz w:val="20"/>
              </w:rPr>
              <w:t xml:space="preserve"> 0.1 IU/ml</w:t>
            </w:r>
          </w:p>
        </w:tc>
        <w:tc>
          <w:tcPr>
            <w:tcW w:w="422" w:type="pct"/>
            <w:tcBorders>
              <w:right w:val="dashed" w:sz="4" w:space="0" w:color="auto"/>
            </w:tcBorders>
            <w:vAlign w:val="center"/>
          </w:tcPr>
          <w:p w:rsidR="00682AFB" w:rsidRPr="00A8793B" w:rsidRDefault="00851836" w:rsidP="0053696F">
            <w:pPr>
              <w:keepNext/>
              <w:jc w:val="center"/>
              <w:rPr>
                <w:iCs/>
                <w:sz w:val="20"/>
              </w:rPr>
            </w:pPr>
            <w:r w:rsidRPr="00A8793B">
              <w:rPr>
                <w:iCs/>
                <w:sz w:val="20"/>
              </w:rPr>
              <w:t>94.8%</w:t>
            </w:r>
          </w:p>
        </w:tc>
        <w:tc>
          <w:tcPr>
            <w:tcW w:w="422" w:type="pct"/>
            <w:tcBorders>
              <w:left w:val="dashed" w:sz="4" w:space="0" w:color="auto"/>
            </w:tcBorders>
            <w:vAlign w:val="center"/>
          </w:tcPr>
          <w:p w:rsidR="00682AFB" w:rsidRPr="00A8793B" w:rsidRDefault="00851836" w:rsidP="0053696F">
            <w:pPr>
              <w:keepNext/>
              <w:jc w:val="center"/>
              <w:rPr>
                <w:iCs/>
                <w:sz w:val="20"/>
              </w:rPr>
            </w:pPr>
            <w:r w:rsidRPr="00A8793B">
              <w:rPr>
                <w:iCs/>
                <w:sz w:val="20"/>
              </w:rPr>
              <w:t>100%</w:t>
            </w:r>
          </w:p>
        </w:tc>
        <w:tc>
          <w:tcPr>
            <w:tcW w:w="422" w:type="pct"/>
            <w:tcBorders>
              <w:right w:val="dashed" w:sz="4" w:space="0" w:color="auto"/>
            </w:tcBorders>
            <w:vAlign w:val="center"/>
          </w:tcPr>
          <w:p w:rsidR="00682AFB" w:rsidRPr="00A8793B" w:rsidRDefault="00851836" w:rsidP="0053696F">
            <w:pPr>
              <w:keepNext/>
              <w:jc w:val="center"/>
              <w:rPr>
                <w:iCs/>
                <w:sz w:val="20"/>
              </w:rPr>
            </w:pPr>
            <w:r w:rsidRPr="00A8793B">
              <w:rPr>
                <w:iCs/>
                <w:sz w:val="20"/>
              </w:rPr>
              <w:t>96.2%</w:t>
            </w:r>
          </w:p>
        </w:tc>
        <w:tc>
          <w:tcPr>
            <w:tcW w:w="422" w:type="pct"/>
            <w:tcBorders>
              <w:left w:val="dashed" w:sz="4" w:space="0" w:color="auto"/>
            </w:tcBorders>
            <w:vAlign w:val="center"/>
          </w:tcPr>
          <w:p w:rsidR="00682AFB" w:rsidRPr="00A8793B" w:rsidRDefault="00851836" w:rsidP="0053696F">
            <w:pPr>
              <w:keepNext/>
              <w:jc w:val="center"/>
              <w:rPr>
                <w:iCs/>
                <w:sz w:val="20"/>
              </w:rPr>
            </w:pPr>
            <w:r w:rsidRPr="00A8793B">
              <w:rPr>
                <w:iCs/>
                <w:sz w:val="20"/>
              </w:rPr>
              <w:t>100%</w:t>
            </w:r>
          </w:p>
        </w:tc>
        <w:tc>
          <w:tcPr>
            <w:tcW w:w="422" w:type="pct"/>
            <w:tcBorders>
              <w:right w:val="dashed" w:sz="4" w:space="0" w:color="auto"/>
            </w:tcBorders>
            <w:vAlign w:val="center"/>
          </w:tcPr>
          <w:p w:rsidR="00682AFB" w:rsidRPr="00A8793B" w:rsidRDefault="00851836" w:rsidP="0053696F">
            <w:pPr>
              <w:keepNext/>
              <w:jc w:val="center"/>
              <w:rPr>
                <w:iCs/>
                <w:sz w:val="20"/>
              </w:rPr>
            </w:pPr>
            <w:r w:rsidRPr="00A8793B">
              <w:rPr>
                <w:iCs/>
                <w:sz w:val="20"/>
              </w:rPr>
              <w:t>95.0%</w:t>
            </w:r>
          </w:p>
        </w:tc>
        <w:tc>
          <w:tcPr>
            <w:tcW w:w="376" w:type="pct"/>
            <w:tcBorders>
              <w:left w:val="dashed" w:sz="4" w:space="0" w:color="auto"/>
            </w:tcBorders>
            <w:vAlign w:val="center"/>
          </w:tcPr>
          <w:p w:rsidR="00682AFB" w:rsidRPr="00A8793B" w:rsidRDefault="00851836" w:rsidP="0053696F">
            <w:pPr>
              <w:keepNext/>
              <w:jc w:val="center"/>
              <w:rPr>
                <w:iCs/>
                <w:sz w:val="20"/>
              </w:rPr>
            </w:pPr>
            <w:r w:rsidRPr="00A8793B">
              <w:rPr>
                <w:iCs/>
                <w:sz w:val="20"/>
              </w:rPr>
              <w:t>97.3%</w:t>
            </w:r>
          </w:p>
        </w:tc>
        <w:tc>
          <w:tcPr>
            <w:tcW w:w="514" w:type="pct"/>
            <w:vAlign w:val="center"/>
          </w:tcPr>
          <w:p w:rsidR="00682AFB" w:rsidRPr="00A8793B" w:rsidRDefault="00851836" w:rsidP="0053696F">
            <w:pPr>
              <w:keepNext/>
              <w:jc w:val="center"/>
              <w:rPr>
                <w:iCs/>
                <w:sz w:val="20"/>
              </w:rPr>
            </w:pPr>
            <w:r w:rsidRPr="00A8793B">
              <w:rPr>
                <w:iCs/>
                <w:sz w:val="20"/>
              </w:rPr>
              <w:t>98.4 %</w:t>
            </w:r>
          </w:p>
        </w:tc>
        <w:tc>
          <w:tcPr>
            <w:tcW w:w="520" w:type="pct"/>
            <w:vAlign w:val="center"/>
          </w:tcPr>
          <w:p w:rsidR="00682AFB" w:rsidRPr="00A8793B" w:rsidRDefault="00851836" w:rsidP="0053696F">
            <w:pPr>
              <w:keepNext/>
              <w:jc w:val="center"/>
              <w:rPr>
                <w:iCs/>
                <w:sz w:val="20"/>
              </w:rPr>
            </w:pPr>
            <w:r w:rsidRPr="00A8793B">
              <w:rPr>
                <w:iCs/>
                <w:sz w:val="20"/>
              </w:rPr>
              <w:t>98.5 %</w:t>
            </w:r>
          </w:p>
        </w:tc>
      </w:tr>
      <w:tr w:rsidR="00682AFB" w:rsidRPr="00794F08" w:rsidTr="0053696F">
        <w:trPr>
          <w:trHeight w:val="1217"/>
        </w:trPr>
        <w:tc>
          <w:tcPr>
            <w:tcW w:w="799" w:type="pct"/>
          </w:tcPr>
          <w:p w:rsidR="00682AFB" w:rsidRPr="00A8793B" w:rsidRDefault="00851836" w:rsidP="0053696F">
            <w:pPr>
              <w:keepNext/>
              <w:rPr>
                <w:iCs/>
                <w:sz w:val="20"/>
              </w:rPr>
            </w:pPr>
            <w:r w:rsidRPr="00A8793B">
              <w:rPr>
                <w:iCs/>
                <w:sz w:val="20"/>
              </w:rPr>
              <w:t>Κοκκύτη</w:t>
            </w:r>
          </w:p>
          <w:p w:rsidR="00682AFB" w:rsidRPr="00A8793B" w:rsidRDefault="00851836" w:rsidP="0053696F">
            <w:pPr>
              <w:pStyle w:val="3"/>
              <w:keepNext w:val="0"/>
              <w:ind w:right="175"/>
              <w:jc w:val="both"/>
              <w:rPr>
                <w:b w:val="0"/>
                <w:iCs/>
                <w:kern w:val="0"/>
                <w:sz w:val="20"/>
                <w:lang w:val="el-GR"/>
              </w:rPr>
            </w:pPr>
            <w:r w:rsidRPr="00A8793B">
              <w:rPr>
                <w:b w:val="0"/>
                <w:iCs/>
                <w:kern w:val="0"/>
                <w:sz w:val="20"/>
                <w:lang w:val="el-GR"/>
              </w:rPr>
              <w:t xml:space="preserve">      Τοξοειδές     </w:t>
            </w:r>
          </w:p>
          <w:p w:rsidR="00682AFB" w:rsidRPr="00A8793B" w:rsidRDefault="00851836" w:rsidP="0053696F">
            <w:pPr>
              <w:pStyle w:val="3"/>
              <w:keepNext w:val="0"/>
              <w:ind w:right="175"/>
              <w:jc w:val="both"/>
              <w:rPr>
                <w:b w:val="0"/>
                <w:iCs/>
                <w:kern w:val="0"/>
                <w:sz w:val="20"/>
                <w:lang w:val="el-GR"/>
              </w:rPr>
            </w:pPr>
            <w:r w:rsidRPr="00A8793B">
              <w:rPr>
                <w:b w:val="0"/>
                <w:iCs/>
                <w:kern w:val="0"/>
                <w:sz w:val="20"/>
                <w:lang w:val="el-GR"/>
              </w:rPr>
              <w:t xml:space="preserve">      κοκκύτη</w:t>
            </w:r>
          </w:p>
          <w:p w:rsidR="00682AFB" w:rsidRPr="00A8793B" w:rsidRDefault="00851836" w:rsidP="0053696F">
            <w:pPr>
              <w:pStyle w:val="3"/>
              <w:keepNext w:val="0"/>
              <w:ind w:right="175"/>
              <w:jc w:val="both"/>
              <w:rPr>
                <w:b w:val="0"/>
                <w:iCs/>
                <w:kern w:val="0"/>
                <w:sz w:val="20"/>
                <w:lang w:val="el-GR"/>
              </w:rPr>
            </w:pPr>
            <w:r w:rsidRPr="00A8793B">
              <w:rPr>
                <w:b w:val="0"/>
                <w:iCs/>
                <w:kern w:val="0"/>
                <w:sz w:val="20"/>
                <w:lang w:val="el-GR"/>
              </w:rPr>
              <w:t xml:space="preserve">     Νηματοειδής    αιμοσυγκολλητίνη</w:t>
            </w:r>
          </w:p>
          <w:p w:rsidR="00682AFB" w:rsidRPr="00A8793B" w:rsidRDefault="00851836" w:rsidP="0053696F">
            <w:pPr>
              <w:keepNext/>
              <w:ind w:left="284" w:hanging="92"/>
              <w:rPr>
                <w:iCs/>
                <w:sz w:val="20"/>
              </w:rPr>
            </w:pPr>
            <w:r w:rsidRPr="00A8793B">
              <w:rPr>
                <w:iCs/>
                <w:sz w:val="20"/>
              </w:rPr>
              <w:t>Περτακτίνη</w:t>
            </w:r>
          </w:p>
        </w:tc>
        <w:tc>
          <w:tcPr>
            <w:tcW w:w="681" w:type="pct"/>
            <w:vAlign w:val="center"/>
          </w:tcPr>
          <w:p w:rsidR="00682AFB" w:rsidRPr="00A8793B" w:rsidRDefault="00851836" w:rsidP="0053696F">
            <w:pPr>
              <w:keepNext/>
              <w:rPr>
                <w:iCs/>
                <w:sz w:val="20"/>
              </w:rPr>
            </w:pPr>
            <w:r w:rsidRPr="00A8793B">
              <w:rPr>
                <w:iCs/>
                <w:sz w:val="20"/>
              </w:rPr>
              <w:sym w:font="Symbol" w:char="F0B3"/>
            </w:r>
            <w:r w:rsidRPr="00A8793B">
              <w:rPr>
                <w:iCs/>
                <w:sz w:val="20"/>
              </w:rPr>
              <w:t xml:space="preserve"> 5 EL.U/ml</w:t>
            </w:r>
          </w:p>
        </w:tc>
        <w:tc>
          <w:tcPr>
            <w:tcW w:w="422" w:type="pct"/>
            <w:tcBorders>
              <w:right w:val="dashed" w:sz="4" w:space="0" w:color="auto"/>
            </w:tcBorders>
          </w:tcPr>
          <w:p w:rsidR="00682AFB" w:rsidRPr="00A8793B" w:rsidRDefault="00682AFB" w:rsidP="0053696F">
            <w:pPr>
              <w:keepNext/>
              <w:jc w:val="center"/>
              <w:rPr>
                <w:iCs/>
                <w:sz w:val="20"/>
              </w:rPr>
            </w:pPr>
          </w:p>
          <w:p w:rsidR="00A32976" w:rsidRPr="00A8793B" w:rsidRDefault="00A32976" w:rsidP="0053696F">
            <w:pPr>
              <w:keepNext/>
              <w:jc w:val="center"/>
              <w:rPr>
                <w:iCs/>
                <w:sz w:val="20"/>
              </w:rPr>
            </w:pPr>
          </w:p>
          <w:p w:rsidR="00682AFB" w:rsidRPr="00A8793B" w:rsidRDefault="00851836" w:rsidP="0053696F">
            <w:pPr>
              <w:keepNext/>
              <w:jc w:val="center"/>
              <w:rPr>
                <w:iCs/>
                <w:sz w:val="20"/>
              </w:rPr>
            </w:pPr>
            <w:r w:rsidRPr="00A8793B">
              <w:rPr>
                <w:iCs/>
                <w:sz w:val="20"/>
              </w:rPr>
              <w:t>90.6%</w:t>
            </w:r>
          </w:p>
          <w:p w:rsidR="00682AFB" w:rsidRPr="00A8793B" w:rsidRDefault="00682AFB" w:rsidP="0053696F">
            <w:pPr>
              <w:keepNext/>
              <w:jc w:val="center"/>
              <w:rPr>
                <w:iCs/>
                <w:sz w:val="20"/>
              </w:rPr>
            </w:pPr>
          </w:p>
          <w:p w:rsidR="00682AFB" w:rsidRPr="00A8793B" w:rsidRDefault="00851836" w:rsidP="0053696F">
            <w:pPr>
              <w:keepNext/>
              <w:jc w:val="center"/>
              <w:rPr>
                <w:iCs/>
                <w:sz w:val="20"/>
              </w:rPr>
            </w:pPr>
            <w:r w:rsidRPr="00A8793B">
              <w:rPr>
                <w:iCs/>
                <w:sz w:val="20"/>
              </w:rPr>
              <w:t>100%</w:t>
            </w:r>
          </w:p>
          <w:p w:rsidR="00A32976" w:rsidRPr="00A8793B" w:rsidRDefault="00A32976" w:rsidP="0053696F">
            <w:pPr>
              <w:keepNext/>
              <w:jc w:val="center"/>
              <w:rPr>
                <w:iCs/>
                <w:sz w:val="20"/>
              </w:rPr>
            </w:pPr>
          </w:p>
          <w:p w:rsidR="00682AFB" w:rsidRPr="00A8793B" w:rsidRDefault="00851836" w:rsidP="0053696F">
            <w:pPr>
              <w:keepNext/>
              <w:jc w:val="center"/>
              <w:rPr>
                <w:iCs/>
                <w:sz w:val="20"/>
              </w:rPr>
            </w:pPr>
            <w:r w:rsidRPr="00A8793B">
              <w:rPr>
                <w:iCs/>
                <w:sz w:val="20"/>
              </w:rPr>
              <w:t>94.8%</w:t>
            </w:r>
          </w:p>
        </w:tc>
        <w:tc>
          <w:tcPr>
            <w:tcW w:w="422" w:type="pct"/>
            <w:tcBorders>
              <w:left w:val="dashed" w:sz="4" w:space="0" w:color="auto"/>
            </w:tcBorders>
          </w:tcPr>
          <w:p w:rsidR="00682AFB" w:rsidRPr="00A8793B" w:rsidRDefault="00682AFB" w:rsidP="0053696F">
            <w:pPr>
              <w:keepNext/>
              <w:jc w:val="center"/>
              <w:rPr>
                <w:iCs/>
                <w:sz w:val="20"/>
              </w:rPr>
            </w:pPr>
          </w:p>
          <w:p w:rsidR="00A32976" w:rsidRPr="00A8793B" w:rsidRDefault="00A32976" w:rsidP="0053696F">
            <w:pPr>
              <w:keepNext/>
              <w:jc w:val="center"/>
              <w:rPr>
                <w:iCs/>
                <w:sz w:val="20"/>
              </w:rPr>
            </w:pPr>
          </w:p>
          <w:p w:rsidR="00F45B67" w:rsidRPr="00A8793B" w:rsidRDefault="00851836">
            <w:pPr>
              <w:keepNext/>
              <w:jc w:val="center"/>
              <w:rPr>
                <w:iCs/>
                <w:sz w:val="20"/>
              </w:rPr>
            </w:pPr>
            <w:r w:rsidRPr="00A8793B">
              <w:rPr>
                <w:iCs/>
                <w:sz w:val="20"/>
              </w:rPr>
              <w:t>81.6%</w:t>
            </w:r>
          </w:p>
          <w:p w:rsidR="00682AFB" w:rsidRPr="00A8793B" w:rsidRDefault="00682AFB" w:rsidP="0053696F">
            <w:pPr>
              <w:keepNext/>
              <w:jc w:val="center"/>
              <w:rPr>
                <w:iCs/>
                <w:sz w:val="20"/>
              </w:rPr>
            </w:pPr>
          </w:p>
          <w:p w:rsidR="00682AFB" w:rsidRPr="00A8793B" w:rsidRDefault="00851836" w:rsidP="0053696F">
            <w:pPr>
              <w:keepNext/>
              <w:jc w:val="center"/>
              <w:rPr>
                <w:iCs/>
                <w:sz w:val="20"/>
              </w:rPr>
            </w:pPr>
            <w:r w:rsidRPr="00A8793B">
              <w:rPr>
                <w:iCs/>
                <w:sz w:val="20"/>
              </w:rPr>
              <w:t>100%</w:t>
            </w:r>
          </w:p>
          <w:p w:rsidR="00A32976" w:rsidRPr="00A8793B" w:rsidRDefault="00A32976" w:rsidP="0053696F">
            <w:pPr>
              <w:keepNext/>
              <w:jc w:val="center"/>
              <w:rPr>
                <w:iCs/>
                <w:sz w:val="20"/>
              </w:rPr>
            </w:pPr>
          </w:p>
          <w:p w:rsidR="00682AFB" w:rsidRPr="00A8793B" w:rsidRDefault="00851836" w:rsidP="0053696F">
            <w:pPr>
              <w:keepNext/>
              <w:jc w:val="center"/>
              <w:rPr>
                <w:iCs/>
                <w:sz w:val="20"/>
              </w:rPr>
            </w:pPr>
            <w:r w:rsidRPr="00A8793B">
              <w:rPr>
                <w:iCs/>
                <w:sz w:val="20"/>
              </w:rPr>
              <w:t>99.2%</w:t>
            </w:r>
          </w:p>
        </w:tc>
        <w:tc>
          <w:tcPr>
            <w:tcW w:w="422" w:type="pct"/>
            <w:tcBorders>
              <w:right w:val="dashed" w:sz="4" w:space="0" w:color="auto"/>
            </w:tcBorders>
          </w:tcPr>
          <w:p w:rsidR="00682AFB" w:rsidRPr="00A8793B" w:rsidRDefault="00682AFB" w:rsidP="0053696F">
            <w:pPr>
              <w:keepNext/>
              <w:jc w:val="center"/>
              <w:rPr>
                <w:iCs/>
                <w:sz w:val="20"/>
              </w:rPr>
            </w:pPr>
          </w:p>
          <w:p w:rsidR="00A32976" w:rsidRPr="00A8793B" w:rsidRDefault="00A32976" w:rsidP="0053696F">
            <w:pPr>
              <w:keepNext/>
              <w:jc w:val="center"/>
              <w:rPr>
                <w:iCs/>
                <w:sz w:val="20"/>
              </w:rPr>
            </w:pPr>
          </w:p>
          <w:p w:rsidR="00682AFB" w:rsidRPr="00A8793B" w:rsidRDefault="00851836" w:rsidP="0053696F">
            <w:pPr>
              <w:keepNext/>
              <w:jc w:val="center"/>
              <w:rPr>
                <w:iCs/>
                <w:sz w:val="20"/>
              </w:rPr>
            </w:pPr>
            <w:r w:rsidRPr="00A8793B">
              <w:rPr>
                <w:iCs/>
                <w:sz w:val="20"/>
              </w:rPr>
              <w:t>89.5%</w:t>
            </w:r>
          </w:p>
          <w:p w:rsidR="00682AFB" w:rsidRPr="00A8793B" w:rsidRDefault="00682AFB" w:rsidP="0053696F">
            <w:pPr>
              <w:keepNext/>
              <w:jc w:val="center"/>
              <w:rPr>
                <w:iCs/>
                <w:sz w:val="20"/>
              </w:rPr>
            </w:pPr>
          </w:p>
          <w:p w:rsidR="00682AFB" w:rsidRPr="00A8793B" w:rsidRDefault="00851836" w:rsidP="0053696F">
            <w:pPr>
              <w:keepNext/>
              <w:jc w:val="center"/>
              <w:rPr>
                <w:iCs/>
                <w:sz w:val="20"/>
              </w:rPr>
            </w:pPr>
            <w:r w:rsidRPr="00A8793B">
              <w:rPr>
                <w:iCs/>
                <w:sz w:val="20"/>
              </w:rPr>
              <w:t>100%</w:t>
            </w:r>
          </w:p>
          <w:p w:rsidR="00A32976" w:rsidRPr="00A8793B" w:rsidRDefault="00A32976" w:rsidP="0053696F">
            <w:pPr>
              <w:keepNext/>
              <w:jc w:val="center"/>
              <w:rPr>
                <w:iCs/>
                <w:sz w:val="20"/>
              </w:rPr>
            </w:pPr>
          </w:p>
          <w:p w:rsidR="00682AFB" w:rsidRPr="00A8793B" w:rsidRDefault="00851836" w:rsidP="0053696F">
            <w:pPr>
              <w:keepNext/>
              <w:jc w:val="center"/>
              <w:rPr>
                <w:iCs/>
                <w:sz w:val="20"/>
              </w:rPr>
            </w:pPr>
            <w:r w:rsidRPr="00A8793B">
              <w:rPr>
                <w:iCs/>
                <w:sz w:val="20"/>
              </w:rPr>
              <w:t>95.0%</w:t>
            </w:r>
          </w:p>
        </w:tc>
        <w:tc>
          <w:tcPr>
            <w:tcW w:w="422" w:type="pct"/>
            <w:tcBorders>
              <w:left w:val="dashed" w:sz="4" w:space="0" w:color="auto"/>
            </w:tcBorders>
          </w:tcPr>
          <w:p w:rsidR="00682AFB" w:rsidRPr="00A8793B" w:rsidRDefault="00682AFB" w:rsidP="0053696F">
            <w:pPr>
              <w:keepNext/>
              <w:jc w:val="center"/>
              <w:rPr>
                <w:iCs/>
                <w:sz w:val="20"/>
              </w:rPr>
            </w:pPr>
          </w:p>
          <w:p w:rsidR="00A32976" w:rsidRPr="00A8793B" w:rsidRDefault="00A32976" w:rsidP="0053696F">
            <w:pPr>
              <w:keepNext/>
              <w:jc w:val="center"/>
              <w:rPr>
                <w:iCs/>
                <w:sz w:val="20"/>
              </w:rPr>
            </w:pPr>
          </w:p>
          <w:p w:rsidR="00682AFB" w:rsidRPr="00A8793B" w:rsidRDefault="00851836" w:rsidP="0053696F">
            <w:pPr>
              <w:keepNext/>
              <w:jc w:val="center"/>
              <w:rPr>
                <w:iCs/>
                <w:sz w:val="20"/>
              </w:rPr>
            </w:pPr>
            <w:r w:rsidRPr="00A8793B">
              <w:rPr>
                <w:iCs/>
                <w:sz w:val="20"/>
              </w:rPr>
              <w:t>76.8%</w:t>
            </w:r>
          </w:p>
          <w:p w:rsidR="00682AFB" w:rsidRPr="00A8793B" w:rsidRDefault="00682AFB" w:rsidP="0053696F">
            <w:pPr>
              <w:keepNext/>
              <w:jc w:val="center"/>
              <w:rPr>
                <w:iCs/>
                <w:sz w:val="20"/>
              </w:rPr>
            </w:pPr>
          </w:p>
          <w:p w:rsidR="00682AFB" w:rsidRPr="00A8793B" w:rsidRDefault="00851836" w:rsidP="0053696F">
            <w:pPr>
              <w:keepNext/>
              <w:jc w:val="center"/>
              <w:rPr>
                <w:iCs/>
                <w:sz w:val="20"/>
              </w:rPr>
            </w:pPr>
            <w:r w:rsidRPr="00A8793B">
              <w:rPr>
                <w:iCs/>
                <w:sz w:val="20"/>
              </w:rPr>
              <w:t>100%</w:t>
            </w:r>
          </w:p>
          <w:p w:rsidR="00A32976" w:rsidRPr="00A8793B" w:rsidRDefault="00A32976" w:rsidP="0053696F">
            <w:pPr>
              <w:keepNext/>
              <w:jc w:val="center"/>
              <w:rPr>
                <w:iCs/>
                <w:sz w:val="20"/>
              </w:rPr>
            </w:pPr>
          </w:p>
          <w:p w:rsidR="00682AFB" w:rsidRPr="00A8793B" w:rsidRDefault="00851836" w:rsidP="0053696F">
            <w:pPr>
              <w:keepNext/>
              <w:jc w:val="center"/>
              <w:rPr>
                <w:iCs/>
                <w:sz w:val="20"/>
              </w:rPr>
            </w:pPr>
            <w:r w:rsidRPr="00A8793B">
              <w:rPr>
                <w:iCs/>
                <w:sz w:val="20"/>
              </w:rPr>
              <w:t>98.1%</w:t>
            </w:r>
          </w:p>
        </w:tc>
        <w:tc>
          <w:tcPr>
            <w:tcW w:w="422" w:type="pct"/>
            <w:tcBorders>
              <w:right w:val="dashed" w:sz="4" w:space="0" w:color="auto"/>
            </w:tcBorders>
          </w:tcPr>
          <w:p w:rsidR="00682AFB" w:rsidRPr="00A8793B" w:rsidRDefault="00682AFB" w:rsidP="0053696F">
            <w:pPr>
              <w:keepNext/>
              <w:jc w:val="center"/>
              <w:rPr>
                <w:iCs/>
                <w:sz w:val="20"/>
              </w:rPr>
            </w:pPr>
          </w:p>
          <w:p w:rsidR="00A32976" w:rsidRPr="00A8793B" w:rsidRDefault="00A32976" w:rsidP="0053696F">
            <w:pPr>
              <w:keepNext/>
              <w:jc w:val="center"/>
              <w:rPr>
                <w:iCs/>
                <w:sz w:val="20"/>
              </w:rPr>
            </w:pPr>
          </w:p>
          <w:p w:rsidR="00682AFB" w:rsidRPr="00A8793B" w:rsidRDefault="00851836" w:rsidP="0053696F">
            <w:pPr>
              <w:keepNext/>
              <w:jc w:val="center"/>
              <w:rPr>
                <w:iCs/>
                <w:sz w:val="20"/>
              </w:rPr>
            </w:pPr>
            <w:r w:rsidRPr="00A8793B">
              <w:rPr>
                <w:iCs/>
                <w:sz w:val="20"/>
              </w:rPr>
              <w:t>85.6%</w:t>
            </w:r>
          </w:p>
          <w:p w:rsidR="00682AFB" w:rsidRPr="00A8793B" w:rsidRDefault="00682AFB" w:rsidP="0053696F">
            <w:pPr>
              <w:keepNext/>
              <w:jc w:val="center"/>
              <w:rPr>
                <w:iCs/>
                <w:sz w:val="20"/>
              </w:rPr>
            </w:pPr>
          </w:p>
          <w:p w:rsidR="00682AFB" w:rsidRPr="00A8793B" w:rsidRDefault="00851836" w:rsidP="0053696F">
            <w:pPr>
              <w:keepNext/>
              <w:jc w:val="center"/>
              <w:rPr>
                <w:iCs/>
                <w:sz w:val="20"/>
              </w:rPr>
            </w:pPr>
            <w:r w:rsidRPr="00A8793B">
              <w:rPr>
                <w:iCs/>
                <w:sz w:val="20"/>
              </w:rPr>
              <w:t>99.4%</w:t>
            </w:r>
          </w:p>
          <w:p w:rsidR="00A32976" w:rsidRPr="00A8793B" w:rsidRDefault="00A32976" w:rsidP="0053696F">
            <w:pPr>
              <w:keepNext/>
              <w:jc w:val="center"/>
              <w:rPr>
                <w:iCs/>
                <w:sz w:val="20"/>
              </w:rPr>
            </w:pPr>
          </w:p>
          <w:p w:rsidR="00682AFB" w:rsidRPr="00A8793B" w:rsidRDefault="00851836" w:rsidP="0053696F">
            <w:pPr>
              <w:keepNext/>
              <w:jc w:val="center"/>
              <w:rPr>
                <w:iCs/>
                <w:sz w:val="20"/>
              </w:rPr>
            </w:pPr>
            <w:r w:rsidRPr="00A8793B">
              <w:rPr>
                <w:iCs/>
                <w:sz w:val="20"/>
              </w:rPr>
              <w:t>95.0%</w:t>
            </w:r>
          </w:p>
        </w:tc>
        <w:tc>
          <w:tcPr>
            <w:tcW w:w="376" w:type="pct"/>
            <w:tcBorders>
              <w:left w:val="dashed" w:sz="4" w:space="0" w:color="auto"/>
            </w:tcBorders>
          </w:tcPr>
          <w:p w:rsidR="00682AFB" w:rsidRPr="00A8793B" w:rsidRDefault="00682AFB" w:rsidP="0053696F">
            <w:pPr>
              <w:keepNext/>
              <w:jc w:val="center"/>
              <w:rPr>
                <w:iCs/>
                <w:sz w:val="20"/>
              </w:rPr>
            </w:pPr>
          </w:p>
          <w:p w:rsidR="00A32976" w:rsidRPr="00A8793B" w:rsidRDefault="00A32976" w:rsidP="0053696F">
            <w:pPr>
              <w:keepNext/>
              <w:jc w:val="center"/>
              <w:rPr>
                <w:iCs/>
                <w:sz w:val="20"/>
              </w:rPr>
            </w:pPr>
          </w:p>
          <w:p w:rsidR="00682AFB" w:rsidRPr="00A8793B" w:rsidRDefault="00851836" w:rsidP="0053696F">
            <w:pPr>
              <w:keepNext/>
              <w:jc w:val="center"/>
              <w:rPr>
                <w:iCs/>
                <w:sz w:val="20"/>
              </w:rPr>
            </w:pPr>
            <w:r w:rsidRPr="00A8793B">
              <w:rPr>
                <w:iCs/>
                <w:sz w:val="20"/>
              </w:rPr>
              <w:t>61.3%</w:t>
            </w:r>
          </w:p>
          <w:p w:rsidR="00682AFB" w:rsidRPr="00A8793B" w:rsidRDefault="00682AFB" w:rsidP="0053696F">
            <w:pPr>
              <w:keepNext/>
              <w:jc w:val="center"/>
              <w:rPr>
                <w:iCs/>
                <w:sz w:val="20"/>
              </w:rPr>
            </w:pPr>
          </w:p>
          <w:p w:rsidR="00682AFB" w:rsidRPr="00A8793B" w:rsidRDefault="00851836" w:rsidP="0053696F">
            <w:pPr>
              <w:keepNext/>
              <w:jc w:val="center"/>
              <w:rPr>
                <w:iCs/>
                <w:sz w:val="20"/>
              </w:rPr>
            </w:pPr>
            <w:r w:rsidRPr="00A8793B">
              <w:rPr>
                <w:iCs/>
                <w:sz w:val="20"/>
              </w:rPr>
              <w:t>100%</w:t>
            </w:r>
          </w:p>
          <w:p w:rsidR="00A32976" w:rsidRPr="00A8793B" w:rsidRDefault="00A32976" w:rsidP="0053696F">
            <w:pPr>
              <w:keepNext/>
              <w:jc w:val="center"/>
              <w:rPr>
                <w:iCs/>
                <w:sz w:val="20"/>
              </w:rPr>
            </w:pPr>
          </w:p>
          <w:p w:rsidR="00682AFB" w:rsidRPr="00A8793B" w:rsidRDefault="00851836" w:rsidP="0053696F">
            <w:pPr>
              <w:keepNext/>
              <w:jc w:val="center"/>
              <w:rPr>
                <w:iCs/>
                <w:sz w:val="20"/>
              </w:rPr>
            </w:pPr>
            <w:r w:rsidRPr="00A8793B">
              <w:rPr>
                <w:iCs/>
                <w:sz w:val="20"/>
              </w:rPr>
              <w:t>96.0%</w:t>
            </w:r>
          </w:p>
        </w:tc>
        <w:tc>
          <w:tcPr>
            <w:tcW w:w="514" w:type="pct"/>
          </w:tcPr>
          <w:p w:rsidR="00682AFB" w:rsidRPr="00A8793B" w:rsidRDefault="00682AFB" w:rsidP="0053696F">
            <w:pPr>
              <w:keepNext/>
              <w:jc w:val="center"/>
              <w:rPr>
                <w:iCs/>
                <w:sz w:val="20"/>
              </w:rPr>
            </w:pPr>
          </w:p>
          <w:p w:rsidR="00A32976" w:rsidRPr="00A8793B" w:rsidRDefault="00A32976" w:rsidP="0053696F">
            <w:pPr>
              <w:keepNext/>
              <w:jc w:val="center"/>
              <w:rPr>
                <w:iCs/>
                <w:sz w:val="20"/>
              </w:rPr>
            </w:pPr>
          </w:p>
          <w:p w:rsidR="00682AFB" w:rsidRPr="00A8793B" w:rsidRDefault="00851836" w:rsidP="0053696F">
            <w:pPr>
              <w:keepNext/>
              <w:jc w:val="center"/>
              <w:rPr>
                <w:iCs/>
                <w:sz w:val="20"/>
              </w:rPr>
            </w:pPr>
            <w:r w:rsidRPr="00A8793B">
              <w:rPr>
                <w:iCs/>
                <w:sz w:val="20"/>
              </w:rPr>
              <w:t>58.7 %</w:t>
            </w:r>
          </w:p>
          <w:p w:rsidR="00682AFB" w:rsidRPr="00A8793B" w:rsidRDefault="00682AFB" w:rsidP="0053696F">
            <w:pPr>
              <w:keepNext/>
              <w:jc w:val="center"/>
              <w:rPr>
                <w:iCs/>
                <w:sz w:val="20"/>
              </w:rPr>
            </w:pPr>
          </w:p>
          <w:p w:rsidR="00682AFB" w:rsidRPr="00A8793B" w:rsidRDefault="00851836" w:rsidP="0053696F">
            <w:pPr>
              <w:keepNext/>
              <w:jc w:val="center"/>
              <w:rPr>
                <w:iCs/>
                <w:sz w:val="20"/>
              </w:rPr>
            </w:pPr>
            <w:r w:rsidRPr="00A8793B">
              <w:rPr>
                <w:iCs/>
                <w:sz w:val="20"/>
              </w:rPr>
              <w:t>100 %</w:t>
            </w:r>
          </w:p>
          <w:p w:rsidR="00A32976" w:rsidRPr="00A8793B" w:rsidRDefault="00A32976" w:rsidP="0053696F">
            <w:pPr>
              <w:keepNext/>
              <w:jc w:val="center"/>
              <w:rPr>
                <w:iCs/>
                <w:sz w:val="20"/>
              </w:rPr>
            </w:pPr>
          </w:p>
          <w:p w:rsidR="00682AFB" w:rsidRPr="00A8793B" w:rsidRDefault="00851836" w:rsidP="0053696F">
            <w:pPr>
              <w:keepNext/>
              <w:jc w:val="center"/>
              <w:rPr>
                <w:iCs/>
                <w:sz w:val="20"/>
              </w:rPr>
            </w:pPr>
            <w:r w:rsidRPr="00A8793B">
              <w:rPr>
                <w:iCs/>
                <w:sz w:val="20"/>
              </w:rPr>
              <w:t>99.2 %</w:t>
            </w:r>
          </w:p>
        </w:tc>
        <w:tc>
          <w:tcPr>
            <w:tcW w:w="520" w:type="pct"/>
          </w:tcPr>
          <w:p w:rsidR="00682AFB" w:rsidRPr="00A8793B" w:rsidRDefault="00682AFB" w:rsidP="0053696F">
            <w:pPr>
              <w:keepNext/>
              <w:jc w:val="center"/>
              <w:rPr>
                <w:iCs/>
                <w:sz w:val="20"/>
              </w:rPr>
            </w:pPr>
          </w:p>
          <w:p w:rsidR="00A32976" w:rsidRPr="00A8793B" w:rsidRDefault="00A32976" w:rsidP="0053696F">
            <w:pPr>
              <w:keepNext/>
              <w:jc w:val="center"/>
              <w:rPr>
                <w:iCs/>
                <w:sz w:val="20"/>
              </w:rPr>
            </w:pPr>
          </w:p>
          <w:p w:rsidR="00682AFB" w:rsidRPr="00A8793B" w:rsidRDefault="00851836" w:rsidP="0053696F">
            <w:pPr>
              <w:keepNext/>
              <w:jc w:val="center"/>
              <w:rPr>
                <w:iCs/>
                <w:sz w:val="20"/>
              </w:rPr>
            </w:pPr>
            <w:r w:rsidRPr="00A8793B">
              <w:rPr>
                <w:iCs/>
                <w:sz w:val="20"/>
              </w:rPr>
              <w:t>51.5 %</w:t>
            </w:r>
          </w:p>
          <w:p w:rsidR="00682AFB" w:rsidRPr="00A8793B" w:rsidRDefault="00682AFB" w:rsidP="0053696F">
            <w:pPr>
              <w:keepNext/>
              <w:jc w:val="center"/>
              <w:rPr>
                <w:iCs/>
                <w:sz w:val="20"/>
              </w:rPr>
            </w:pPr>
          </w:p>
          <w:p w:rsidR="00682AFB" w:rsidRPr="00A8793B" w:rsidRDefault="00851836" w:rsidP="0053696F">
            <w:pPr>
              <w:keepNext/>
              <w:jc w:val="center"/>
              <w:rPr>
                <w:iCs/>
                <w:sz w:val="20"/>
              </w:rPr>
            </w:pPr>
            <w:r w:rsidRPr="00A8793B">
              <w:rPr>
                <w:iCs/>
                <w:sz w:val="20"/>
              </w:rPr>
              <w:t>100 %</w:t>
            </w:r>
          </w:p>
          <w:p w:rsidR="00A32976" w:rsidRPr="00A8793B" w:rsidRDefault="00A32976" w:rsidP="0053696F">
            <w:pPr>
              <w:keepNext/>
              <w:jc w:val="center"/>
              <w:rPr>
                <w:iCs/>
                <w:sz w:val="20"/>
              </w:rPr>
            </w:pPr>
          </w:p>
          <w:p w:rsidR="00682AFB" w:rsidRPr="00A8793B" w:rsidRDefault="00851836" w:rsidP="0053696F">
            <w:pPr>
              <w:keepNext/>
              <w:jc w:val="center"/>
              <w:rPr>
                <w:iCs/>
                <w:sz w:val="20"/>
              </w:rPr>
            </w:pPr>
            <w:r w:rsidRPr="00A8793B">
              <w:rPr>
                <w:iCs/>
                <w:sz w:val="20"/>
              </w:rPr>
              <w:t>100 %</w:t>
            </w:r>
          </w:p>
        </w:tc>
      </w:tr>
    </w:tbl>
    <w:p w:rsidR="00682AFB" w:rsidRPr="00794F08" w:rsidRDefault="00586AD8" w:rsidP="00682AFB">
      <w:pPr>
        <w:keepNext/>
        <w:rPr>
          <w:sz w:val="20"/>
        </w:rPr>
      </w:pPr>
      <w:r w:rsidRPr="00794F08">
        <w:rPr>
          <w:vertAlign w:val="superscript"/>
        </w:rPr>
        <w:t xml:space="preserve"> (1)</w:t>
      </w:r>
      <w:r w:rsidRPr="00794F08">
        <w:t xml:space="preserve">ATP: </w:t>
      </w:r>
      <w:r w:rsidRPr="00794F08">
        <w:rPr>
          <w:sz w:val="20"/>
        </w:rPr>
        <w:t xml:space="preserve">Σύμφωνα με το πρωτόκολλο – περιλαμβάνει όλα τα κατάλληλα προς ένταξη άτομα, τα οποία είχαν λάβει μια μονή αναμνηστική δόση Boostrix, για τα οποία υπήρχαν διαθέσιμα </w:t>
      </w:r>
      <w:r w:rsidR="00851836" w:rsidRPr="00A8793B">
        <w:rPr>
          <w:sz w:val="20"/>
        </w:rPr>
        <w:t>ανοσογονικά</w:t>
      </w:r>
      <w:r w:rsidRPr="00794F08">
        <w:rPr>
          <w:sz w:val="20"/>
        </w:rPr>
        <w:t xml:space="preserve"> δεδομένα για τουλάχιστον ένα αντιγόνο στο ορισμένο χρονικό σημείο.</w:t>
      </w:r>
    </w:p>
    <w:p w:rsidR="00682AFB" w:rsidRPr="00794F08" w:rsidRDefault="00586AD8" w:rsidP="00682AFB">
      <w:pPr>
        <w:keepNext/>
        <w:rPr>
          <w:sz w:val="20"/>
        </w:rPr>
      </w:pPr>
      <w:r w:rsidRPr="00794F08">
        <w:rPr>
          <w:vertAlign w:val="superscript"/>
        </w:rPr>
        <w:t xml:space="preserve"> (2)</w:t>
      </w:r>
      <w:r w:rsidRPr="00794F08">
        <w:rPr>
          <w:sz w:val="20"/>
        </w:rPr>
        <w:t xml:space="preserve"> Απάντηση: όπου, σε καθορισμένο χρονικό σημείο, συγκέντρωση των αντισωμάτων έναντι διφθερίτιδας και τετάνου </w:t>
      </w:r>
      <w:r w:rsidRPr="00794F08">
        <w:rPr>
          <w:sz w:val="20"/>
        </w:rPr>
        <w:sym w:font="Symbol" w:char="F0B3"/>
      </w:r>
      <w:r w:rsidRPr="00794F08">
        <w:rPr>
          <w:sz w:val="20"/>
        </w:rPr>
        <w:t xml:space="preserve"> 0.1 IU/ml θεωρήθηκε ως οροπροστασία και συγκέντρωση αντισωμάτων έναντι κοκκύτη </w:t>
      </w:r>
      <w:r w:rsidRPr="00794F08">
        <w:rPr>
          <w:sz w:val="20"/>
        </w:rPr>
        <w:sym w:font="Symbol" w:char="F0B3"/>
      </w:r>
      <w:r w:rsidRPr="00794F08">
        <w:rPr>
          <w:sz w:val="20"/>
        </w:rPr>
        <w:t xml:space="preserve"> 5 EL.U/ml θεωρήθηκε ως οροθετικότητα.</w:t>
      </w:r>
    </w:p>
    <w:p w:rsidR="00682AFB" w:rsidRPr="00794F08" w:rsidRDefault="00586AD8" w:rsidP="00682AFB">
      <w:pPr>
        <w:pStyle w:val="tableref"/>
        <w:keepNext/>
        <w:tabs>
          <w:tab w:val="center" w:pos="4320"/>
        </w:tabs>
        <w:ind w:left="0" w:right="-999" w:firstLine="0"/>
        <w:rPr>
          <w:rFonts w:ascii="Times New Roman" w:hAnsi="Times New Roman" w:cs="Times New Roman"/>
        </w:rPr>
      </w:pPr>
      <w:r w:rsidRPr="00794F08">
        <w:rPr>
          <w:rFonts w:ascii="Times New Roman" w:hAnsi="Times New Roman" w:cs="Times New Roman"/>
          <w:vertAlign w:val="superscript"/>
        </w:rPr>
        <w:t xml:space="preserve"> (3)</w:t>
      </w:r>
      <w:r w:rsidRPr="00794F08">
        <w:rPr>
          <w:rFonts w:ascii="Times New Roman" w:hAnsi="Times New Roman" w:cs="Times New Roman"/>
        </w:rPr>
        <w:t>Οι όροι «ενήλικας» και «έφηβος» αντικατοπτρίζουν τις ηλικίες στις οποίες τα άτομα έλαβαν τον πρώτο τους εμβολιασμό με Boostrix.</w:t>
      </w:r>
    </w:p>
    <w:p w:rsidR="00682AFB" w:rsidRPr="00A8793B" w:rsidRDefault="00851836" w:rsidP="00682AFB">
      <w:pPr>
        <w:jc w:val="both"/>
        <w:rPr>
          <w:sz w:val="20"/>
        </w:rPr>
      </w:pPr>
      <w:r w:rsidRPr="00A8793B">
        <w:rPr>
          <w:iCs/>
          <w:vertAlign w:val="superscript"/>
        </w:rPr>
        <w:t>(4)</w:t>
      </w:r>
      <w:r w:rsidR="00586AD8" w:rsidRPr="00794F08">
        <w:rPr>
          <w:szCs w:val="22"/>
        </w:rPr>
        <w:t xml:space="preserve"> </w:t>
      </w:r>
      <w:r w:rsidRPr="00A8793B">
        <w:rPr>
          <w:sz w:val="20"/>
        </w:rPr>
        <w:t>Ποσοστό των ατόμων με επίπεδα αντισωμάτων που θεωρούνται προστατευτικά έναντι της νόσου (</w:t>
      </w:r>
      <w:r w:rsidRPr="00A8793B">
        <w:rPr>
          <w:sz w:val="20"/>
        </w:rPr>
        <w:sym w:font="Symbol" w:char="F0B3"/>
      </w:r>
      <w:r w:rsidRPr="00A8793B">
        <w:rPr>
          <w:sz w:val="20"/>
        </w:rPr>
        <w:t xml:space="preserve"> 0,1 IU/ml προσδιοριζόμενα με ELISA ή </w:t>
      </w:r>
      <w:r w:rsidRPr="00A8793B">
        <w:rPr>
          <w:sz w:val="20"/>
        </w:rPr>
        <w:sym w:font="Symbol" w:char="F0B3"/>
      </w:r>
      <w:r w:rsidRPr="00A8793B">
        <w:rPr>
          <w:sz w:val="20"/>
        </w:rPr>
        <w:t xml:space="preserve"> 0,016 IU/ml προσδιοριζόμενα με in vitro δοκιμασία εξουδετέρωσης Vero-cell).</w:t>
      </w:r>
    </w:p>
    <w:p w:rsidR="00851836" w:rsidRPr="00A8793B" w:rsidRDefault="00851836" w:rsidP="00A8793B">
      <w:pPr>
        <w:keepNext/>
      </w:pPr>
      <w:r w:rsidRPr="00A8793B">
        <w:rPr>
          <w:sz w:val="20"/>
        </w:rPr>
        <w:t>N: ο ελάχιστος αριθμός ατόμων με διαθέσιμα δεδομένα για κάθε αντιγόνο</w:t>
      </w:r>
    </w:p>
    <w:p w:rsidR="00851836" w:rsidRDefault="00851836" w:rsidP="00A8793B">
      <w:pPr>
        <w:keepNext/>
      </w:pPr>
    </w:p>
    <w:p w:rsidR="00AC7016" w:rsidRPr="00D9164F" w:rsidRDefault="00586AD8">
      <w:pPr>
        <w:jc w:val="both"/>
        <w:rPr>
          <w:b/>
          <w:szCs w:val="22"/>
        </w:rPr>
      </w:pPr>
      <w:r w:rsidRPr="00794F08">
        <w:rPr>
          <w:szCs w:val="22"/>
        </w:rPr>
        <w:t>Τα αντιγόνα του κοκκύτη που περιέχονται στο Boostrix αποτελούν ακέραιο τμήμα του συνδυασμένου παιδιατρικού ακυτταρικού εμβολίου για τον κοκκύτη (Infanrix), για το οποίο η δραστικότητα μετά από αρχικό εμβολιασμό έχει αποδειχθεί σε μια  μελέτη αποτελεσματικότητας σε περιβάλλον επαφής με την οικογένεια. Οι τίτλοι αντισωμάτων και στα τρία συστατικά του κοκκύτη μετά από εμβολιασμό με Boostrix είναι υψηλότεροι από αυτούς που παρατηρήθηκαν στη μελέτη αποτελεσματικότητας σε περιβάλλον επαφής με την οικογένεια. Με βάση αυτές τις συγκρίσεις το Boostrix θα πρέπει να παρέχει προστασία έναντι του κοκκύτη, ωστόσο ο βαθμός και η διάρκεια της προστασίας που παρέχονται από το εμβόλιο δεν έχουν προσδιοριστεί.</w:t>
      </w:r>
    </w:p>
    <w:p w:rsidR="00AC7016" w:rsidRPr="00D9164F" w:rsidRDefault="00851836">
      <w:pPr>
        <w:rPr>
          <w:szCs w:val="22"/>
        </w:rPr>
      </w:pPr>
      <w:r w:rsidRPr="00A8793B">
        <w:t>Αξιολογήθηκε η ανοσογονικότητα του Boostrix, όταν χορηγήθηκε 10 χρόνια μετά από προηγούμενη αναμνηστική δόση εμβολίου(ων) με μειωμένο περιεχόμενο σε αντιγόνο έναντι διφθερίτιδας, τετάνου και ακυτταρικού κοκκύτη. Ένα μήνα πριν από τον εμβολιασμό,</w:t>
      </w:r>
      <w:r w:rsidRPr="00A8793B">
        <w:rPr>
          <w:u w:val="single"/>
        </w:rPr>
        <w:t xml:space="preserve"> &gt;</w:t>
      </w:r>
      <w:r w:rsidRPr="00A8793B">
        <w:t xml:space="preserve"> 99 % </w:t>
      </w:r>
      <w:r w:rsidR="00586AD8" w:rsidRPr="00794F08">
        <w:t xml:space="preserve">των ατόμων ήταν προστατευμένα στον ορό έναντι διφθερίτιδας και τετάνου και οροθετικά έναντι του κοκκύτη. </w:t>
      </w:r>
      <w:r w:rsidRPr="00A8793B">
        <w:t xml:space="preserve"> </w:t>
      </w:r>
    </w:p>
    <w:p w:rsidR="00A32976" w:rsidRPr="00794F08" w:rsidRDefault="00586AD8" w:rsidP="00A32976">
      <w:pPr>
        <w:tabs>
          <w:tab w:val="clear" w:pos="567"/>
          <w:tab w:val="left" w:pos="0"/>
        </w:tabs>
        <w:ind w:right="82"/>
      </w:pPr>
      <w:r w:rsidRPr="00794F08">
        <w:rPr>
          <w:iCs/>
        </w:rPr>
        <w:t xml:space="preserve">Μετά τη χορήγηση μιας δόσης Boostrix σε 139 ενήλικες ηλικίας </w:t>
      </w:r>
      <w:r w:rsidRPr="00794F08">
        <w:rPr>
          <w:iCs/>
        </w:rPr>
        <w:sym w:font="Symbol" w:char="F0B3"/>
      </w:r>
      <w:r w:rsidRPr="00794F08">
        <w:rPr>
          <w:iCs/>
        </w:rPr>
        <w:t xml:space="preserve"> 40 ετών </w:t>
      </w:r>
      <w:r w:rsidR="00851836" w:rsidRPr="00A8793B">
        <w:rPr>
          <w:iCs/>
        </w:rPr>
        <w:t>οι οποί</w:t>
      </w:r>
      <w:r w:rsidRPr="00794F08">
        <w:rPr>
          <w:iCs/>
        </w:rPr>
        <w:t xml:space="preserve">οι δεν είχαν λάβει κανένα εμβόλιο που να περιέχει στελέχη έναντι διφθερίτιδας και τετάνου τα τελευταία 20 χρόνια, περισσότερα από 98.5% των ενηλίκων ήταν οροθετικά και για τα τρία αντιγόνα κοκκύτη και 81.5% και 93.4% ήταν οροπροστατευμένα έναντι διφθερίτιδας και τετάνου αντίστοιχα. Μετά τη χορήγηση δυο επιπλέον δόσεων ένα και έξι μήνες πριν από την πρώτη δόση, το ποσοστό </w:t>
      </w:r>
      <w:r w:rsidRPr="00794F08">
        <w:rPr>
          <w:iCs/>
        </w:rPr>
        <w:lastRenderedPageBreak/>
        <w:t>οροθετικότητας ήταν 100%  και</w:t>
      </w:r>
      <w:r w:rsidR="0049050C">
        <w:rPr>
          <w:iCs/>
        </w:rPr>
        <w:t xml:space="preserve"> </w:t>
      </w:r>
      <w:r w:rsidRPr="00794F08">
        <w:rPr>
          <w:iCs/>
        </w:rPr>
        <w:t xml:space="preserve">για τα τρια αντιγόνα του κοκκύτη και τα ποσοστά οροθετικότητας για τη διφθερίτιδα και τον τέτανο έφτασαν το 99.3% και 100% αντίστοιχα. </w:t>
      </w:r>
    </w:p>
    <w:p w:rsidR="00C40A15" w:rsidRPr="00794F08" w:rsidRDefault="00C40A15" w:rsidP="00C40A15">
      <w:pPr>
        <w:tabs>
          <w:tab w:val="left" w:pos="426"/>
        </w:tabs>
        <w:jc w:val="both"/>
        <w:rPr>
          <w:b/>
          <w:szCs w:val="22"/>
        </w:rPr>
      </w:pPr>
    </w:p>
    <w:p w:rsidR="00C40A15" w:rsidRPr="00D9164F" w:rsidRDefault="00586AD8" w:rsidP="00C40A15">
      <w:pPr>
        <w:jc w:val="both"/>
        <w:rPr>
          <w:szCs w:val="22"/>
        </w:rPr>
      </w:pPr>
      <w:r w:rsidRPr="00794F08">
        <w:rPr>
          <w:b/>
          <w:szCs w:val="22"/>
        </w:rPr>
        <w:t>5.2</w:t>
      </w:r>
      <w:r w:rsidRPr="00794F08">
        <w:rPr>
          <w:b/>
          <w:szCs w:val="22"/>
        </w:rPr>
        <w:tab/>
        <w:t>Φαρμακοκινητικές ιδιότητες</w:t>
      </w:r>
    </w:p>
    <w:p w:rsidR="00C40A15" w:rsidRPr="00794F08" w:rsidRDefault="00586AD8" w:rsidP="00C40A15">
      <w:pPr>
        <w:jc w:val="both"/>
        <w:rPr>
          <w:szCs w:val="22"/>
        </w:rPr>
      </w:pPr>
      <w:r w:rsidRPr="00794F08">
        <w:rPr>
          <w:szCs w:val="22"/>
        </w:rPr>
        <w:t>Για τα εμβόλια δεν απαιτείται αξιολόγηση των φαρμακοκινητικών ιδιοτήτων.</w:t>
      </w:r>
    </w:p>
    <w:p w:rsidR="00C40A15" w:rsidRPr="00794F08" w:rsidRDefault="00C40A15" w:rsidP="00C40A15">
      <w:pPr>
        <w:jc w:val="both"/>
        <w:rPr>
          <w:szCs w:val="22"/>
        </w:rPr>
      </w:pPr>
    </w:p>
    <w:p w:rsidR="00C40A15" w:rsidRPr="00D9164F" w:rsidRDefault="00586AD8" w:rsidP="00C40A15">
      <w:pPr>
        <w:jc w:val="both"/>
        <w:rPr>
          <w:szCs w:val="22"/>
        </w:rPr>
      </w:pPr>
      <w:r w:rsidRPr="00794F08">
        <w:rPr>
          <w:b/>
          <w:szCs w:val="22"/>
        </w:rPr>
        <w:t>5.3</w:t>
      </w:r>
      <w:r w:rsidRPr="00794F08">
        <w:rPr>
          <w:b/>
          <w:szCs w:val="22"/>
        </w:rPr>
        <w:tab/>
        <w:t>Προκλινικά δεδομένα για την ασφάλεια</w:t>
      </w:r>
    </w:p>
    <w:p w:rsidR="00C40A15" w:rsidRPr="00D9164F" w:rsidRDefault="00586AD8" w:rsidP="00C40A15">
      <w:pPr>
        <w:jc w:val="both"/>
        <w:rPr>
          <w:szCs w:val="22"/>
        </w:rPr>
      </w:pPr>
      <w:r w:rsidRPr="00794F08">
        <w:rPr>
          <w:szCs w:val="22"/>
        </w:rPr>
        <w:t>Τα προκλινικά δεδομένα δεν αποκαλύπτουν ιδιαίτερο κίνδυνο για τον άνθρωπο με βάση τις συμβατικές μελέτες ασφάλειας, ειδικής τοξικότητας και συμβατότητας των συστατικών.</w:t>
      </w:r>
    </w:p>
    <w:p w:rsidR="00C40A15" w:rsidRPr="00794F08" w:rsidRDefault="00C40A15" w:rsidP="00C40A15">
      <w:pPr>
        <w:jc w:val="both"/>
        <w:rPr>
          <w:szCs w:val="22"/>
        </w:rPr>
      </w:pPr>
    </w:p>
    <w:p w:rsidR="00C40A15" w:rsidRPr="00D9164F" w:rsidRDefault="00586AD8" w:rsidP="00C40A15">
      <w:pPr>
        <w:jc w:val="both"/>
        <w:rPr>
          <w:szCs w:val="22"/>
        </w:rPr>
      </w:pPr>
      <w:r w:rsidRPr="00794F08">
        <w:rPr>
          <w:b/>
          <w:szCs w:val="22"/>
        </w:rPr>
        <w:t>6.</w:t>
      </w:r>
      <w:r w:rsidRPr="00794F08">
        <w:rPr>
          <w:b/>
          <w:szCs w:val="22"/>
        </w:rPr>
        <w:tab/>
        <w:t>ΦΑΡΜΑΚΕΥΤΙΚΕΣ ΠΛΗΡΟΦΟΡΙΕΣ</w:t>
      </w:r>
    </w:p>
    <w:p w:rsidR="00C40A15" w:rsidRPr="00D9164F" w:rsidRDefault="00586AD8" w:rsidP="00C40A15">
      <w:pPr>
        <w:jc w:val="both"/>
        <w:rPr>
          <w:szCs w:val="22"/>
        </w:rPr>
      </w:pPr>
      <w:r w:rsidRPr="00794F08">
        <w:rPr>
          <w:b/>
          <w:szCs w:val="22"/>
        </w:rPr>
        <w:t>6.1</w:t>
      </w:r>
      <w:r w:rsidRPr="00794F08">
        <w:rPr>
          <w:b/>
          <w:szCs w:val="22"/>
        </w:rPr>
        <w:tab/>
        <w:t>Κατάλογος εκδόχων</w:t>
      </w:r>
    </w:p>
    <w:p w:rsidR="00C40A15" w:rsidRPr="00794F08" w:rsidRDefault="00586AD8" w:rsidP="00C40A15">
      <w:pPr>
        <w:jc w:val="both"/>
        <w:rPr>
          <w:szCs w:val="22"/>
        </w:rPr>
      </w:pPr>
      <w:r w:rsidRPr="00794F08">
        <w:rPr>
          <w:szCs w:val="22"/>
        </w:rPr>
        <w:t>Χλωριούχο νάτριο</w:t>
      </w:r>
    </w:p>
    <w:p w:rsidR="00C82DA7" w:rsidRPr="00D9164F" w:rsidRDefault="00586AD8" w:rsidP="00201890">
      <w:pPr>
        <w:tabs>
          <w:tab w:val="clear" w:pos="567"/>
        </w:tabs>
        <w:jc w:val="both"/>
        <w:rPr>
          <w:szCs w:val="22"/>
        </w:rPr>
      </w:pPr>
      <w:r w:rsidRPr="00794F08">
        <w:rPr>
          <w:szCs w:val="22"/>
        </w:rPr>
        <w:t>Ύδωρ για ενέσιμα</w:t>
      </w:r>
    </w:p>
    <w:p w:rsidR="00201890" w:rsidRPr="00794F08" w:rsidRDefault="00586AD8" w:rsidP="00201890">
      <w:pPr>
        <w:tabs>
          <w:tab w:val="clear" w:pos="567"/>
        </w:tabs>
        <w:jc w:val="both"/>
        <w:rPr>
          <w:szCs w:val="22"/>
        </w:rPr>
      </w:pPr>
      <w:r w:rsidRPr="00794F08">
        <w:rPr>
          <w:szCs w:val="22"/>
        </w:rPr>
        <w:t>Για ανοσοενισχυτικά, βλέπε παράγραφο 2.</w:t>
      </w:r>
    </w:p>
    <w:p w:rsidR="00C40A15" w:rsidRPr="00A8793B" w:rsidRDefault="00C40A15" w:rsidP="00C40A15">
      <w:pPr>
        <w:tabs>
          <w:tab w:val="clear" w:pos="567"/>
        </w:tabs>
        <w:jc w:val="both"/>
        <w:rPr>
          <w:szCs w:val="22"/>
        </w:rPr>
      </w:pPr>
    </w:p>
    <w:p w:rsidR="00AC7016" w:rsidRPr="00D9164F" w:rsidRDefault="00586AD8">
      <w:pPr>
        <w:jc w:val="both"/>
        <w:rPr>
          <w:szCs w:val="22"/>
        </w:rPr>
      </w:pPr>
      <w:r w:rsidRPr="00794F08">
        <w:rPr>
          <w:b/>
          <w:szCs w:val="22"/>
        </w:rPr>
        <w:t>6.2</w:t>
      </w:r>
      <w:r w:rsidRPr="00794F08">
        <w:rPr>
          <w:b/>
          <w:szCs w:val="22"/>
        </w:rPr>
        <w:tab/>
        <w:t>Ασυμβατότητες</w:t>
      </w:r>
    </w:p>
    <w:p w:rsidR="00C40A15" w:rsidRPr="00794F08" w:rsidRDefault="00851836" w:rsidP="00C40A15">
      <w:pPr>
        <w:jc w:val="both"/>
        <w:rPr>
          <w:szCs w:val="22"/>
        </w:rPr>
      </w:pPr>
      <w:r w:rsidRPr="00A8793B">
        <w:rPr>
          <w:szCs w:val="22"/>
        </w:rPr>
        <w:t>Το Boostrix δεν πρέπει να αναμειγνύεται με άλλα εμβόλια στην ίδια σύριγγα</w:t>
      </w:r>
      <w:r w:rsidR="00586AD8" w:rsidRPr="00794F08">
        <w:rPr>
          <w:szCs w:val="22"/>
        </w:rPr>
        <w:t>.</w:t>
      </w:r>
    </w:p>
    <w:p w:rsidR="00C40A15" w:rsidRPr="00794F08" w:rsidRDefault="00C40A15" w:rsidP="00C40A15">
      <w:pPr>
        <w:tabs>
          <w:tab w:val="clear" w:pos="567"/>
        </w:tabs>
        <w:jc w:val="both"/>
        <w:rPr>
          <w:szCs w:val="22"/>
        </w:rPr>
      </w:pPr>
    </w:p>
    <w:p w:rsidR="00AC7016" w:rsidRPr="00D9164F" w:rsidRDefault="00586AD8">
      <w:pPr>
        <w:jc w:val="both"/>
        <w:rPr>
          <w:szCs w:val="22"/>
        </w:rPr>
      </w:pPr>
      <w:r w:rsidRPr="00794F08">
        <w:rPr>
          <w:b/>
          <w:szCs w:val="22"/>
        </w:rPr>
        <w:t>6.3</w:t>
      </w:r>
      <w:r w:rsidRPr="00794F08">
        <w:rPr>
          <w:b/>
          <w:szCs w:val="22"/>
        </w:rPr>
        <w:tab/>
        <w:t>Διάρκεια ζωής</w:t>
      </w:r>
    </w:p>
    <w:p w:rsidR="00C40A15" w:rsidRPr="00794F08" w:rsidRDefault="00586AD8" w:rsidP="00C40A15">
      <w:pPr>
        <w:tabs>
          <w:tab w:val="left" w:pos="426"/>
        </w:tabs>
        <w:jc w:val="both"/>
        <w:rPr>
          <w:szCs w:val="22"/>
        </w:rPr>
      </w:pPr>
      <w:r w:rsidRPr="00794F08">
        <w:rPr>
          <w:szCs w:val="22"/>
        </w:rPr>
        <w:t>3 χρόνια</w:t>
      </w:r>
    </w:p>
    <w:p w:rsidR="00C40A15" w:rsidRPr="00794F08" w:rsidRDefault="00C40A15" w:rsidP="00C40A15">
      <w:pPr>
        <w:tabs>
          <w:tab w:val="clear" w:pos="567"/>
          <w:tab w:val="left" w:pos="426"/>
        </w:tabs>
        <w:jc w:val="both"/>
        <w:rPr>
          <w:szCs w:val="22"/>
        </w:rPr>
      </w:pPr>
    </w:p>
    <w:p w:rsidR="00AC7016" w:rsidRPr="00D9164F" w:rsidRDefault="00586AD8">
      <w:pPr>
        <w:jc w:val="both"/>
        <w:rPr>
          <w:szCs w:val="22"/>
        </w:rPr>
      </w:pPr>
      <w:r w:rsidRPr="00794F08">
        <w:rPr>
          <w:b/>
          <w:szCs w:val="22"/>
        </w:rPr>
        <w:t>6.4</w:t>
      </w:r>
      <w:r w:rsidRPr="00794F08">
        <w:rPr>
          <w:b/>
          <w:szCs w:val="22"/>
        </w:rPr>
        <w:tab/>
        <w:t>Ιδιαίτερες προφυλάξεις κατά την φύλαξη του προϊόντος</w:t>
      </w:r>
    </w:p>
    <w:p w:rsidR="00AC7016" w:rsidRPr="00D9164F" w:rsidRDefault="00586AD8">
      <w:pPr>
        <w:jc w:val="both"/>
        <w:rPr>
          <w:szCs w:val="22"/>
        </w:rPr>
      </w:pPr>
      <w:r w:rsidRPr="00794F08">
        <w:rPr>
          <w:szCs w:val="22"/>
        </w:rPr>
        <w:t>Φυλάσσεται σε ψυγείο (</w:t>
      </w:r>
      <w:r w:rsidR="00602728">
        <w:rPr>
          <w:szCs w:val="22"/>
        </w:rPr>
        <w:t>+</w:t>
      </w:r>
      <w:r w:rsidRPr="00794F08">
        <w:rPr>
          <w:szCs w:val="22"/>
        </w:rPr>
        <w:t xml:space="preserve">2°C </w:t>
      </w:r>
      <w:r w:rsidR="00602728">
        <w:rPr>
          <w:szCs w:val="22"/>
        </w:rPr>
        <w:t>έως</w:t>
      </w:r>
      <w:r w:rsidRPr="00794F08">
        <w:rPr>
          <w:szCs w:val="22"/>
        </w:rPr>
        <w:t xml:space="preserve"> </w:t>
      </w:r>
      <w:r w:rsidR="00602728">
        <w:rPr>
          <w:szCs w:val="22"/>
        </w:rPr>
        <w:t>+</w:t>
      </w:r>
      <w:r w:rsidRPr="00794F08">
        <w:rPr>
          <w:szCs w:val="22"/>
        </w:rPr>
        <w:t>8°C).</w:t>
      </w:r>
    </w:p>
    <w:p w:rsidR="00C40A15" w:rsidRPr="00794F08" w:rsidRDefault="00586AD8" w:rsidP="00C40A15">
      <w:pPr>
        <w:jc w:val="both"/>
        <w:rPr>
          <w:szCs w:val="22"/>
        </w:rPr>
      </w:pPr>
      <w:r w:rsidRPr="00794F08">
        <w:rPr>
          <w:szCs w:val="22"/>
        </w:rPr>
        <w:t>Εκτός ψυγείου, το εμβόλιο είναι σταθερό για 8 ώρες σε +21°C.</w:t>
      </w:r>
    </w:p>
    <w:p w:rsidR="00C40A15" w:rsidRPr="00794F08" w:rsidRDefault="00C40A15" w:rsidP="00C40A15">
      <w:pPr>
        <w:jc w:val="both"/>
        <w:rPr>
          <w:b/>
          <w:szCs w:val="22"/>
        </w:rPr>
      </w:pPr>
    </w:p>
    <w:p w:rsidR="00C82DA7" w:rsidRPr="00D9164F" w:rsidRDefault="00586AD8" w:rsidP="00201890">
      <w:pPr>
        <w:jc w:val="both"/>
        <w:rPr>
          <w:szCs w:val="22"/>
        </w:rPr>
      </w:pPr>
      <w:r w:rsidRPr="00794F08">
        <w:rPr>
          <w:b/>
          <w:szCs w:val="22"/>
        </w:rPr>
        <w:t>Μην καταψύχετε.</w:t>
      </w:r>
      <w:r w:rsidRPr="00794F08">
        <w:rPr>
          <w:szCs w:val="22"/>
        </w:rPr>
        <w:t xml:space="preserve">  </w:t>
      </w:r>
    </w:p>
    <w:p w:rsidR="00201890" w:rsidRPr="00794F08" w:rsidRDefault="00586AD8" w:rsidP="00201890">
      <w:pPr>
        <w:jc w:val="both"/>
        <w:rPr>
          <w:szCs w:val="22"/>
        </w:rPr>
      </w:pPr>
      <w:r w:rsidRPr="00794F08">
        <w:rPr>
          <w:szCs w:val="22"/>
        </w:rPr>
        <w:t>Φυλάσσεται στην αρχική συσκευασία για να προστατεύεται από το φως.</w:t>
      </w:r>
    </w:p>
    <w:p w:rsidR="00476139" w:rsidRPr="00794F08" w:rsidRDefault="00476139" w:rsidP="00201890">
      <w:pPr>
        <w:jc w:val="both"/>
        <w:rPr>
          <w:szCs w:val="22"/>
        </w:rPr>
      </w:pPr>
    </w:p>
    <w:p w:rsidR="00C40A15" w:rsidRPr="00D9164F" w:rsidRDefault="00586AD8" w:rsidP="00C40A15">
      <w:pPr>
        <w:jc w:val="both"/>
        <w:rPr>
          <w:szCs w:val="22"/>
        </w:rPr>
      </w:pPr>
      <w:r w:rsidRPr="00794F08">
        <w:rPr>
          <w:b/>
          <w:szCs w:val="22"/>
        </w:rPr>
        <w:t>6.5</w:t>
      </w:r>
      <w:r w:rsidRPr="00794F08">
        <w:rPr>
          <w:b/>
          <w:szCs w:val="22"/>
        </w:rPr>
        <w:tab/>
        <w:t>Φύση και συστατικά του περιέκτη</w:t>
      </w:r>
    </w:p>
    <w:p w:rsidR="00C40A15" w:rsidRPr="00D9164F" w:rsidRDefault="00586AD8" w:rsidP="00C40A15">
      <w:pPr>
        <w:jc w:val="both"/>
        <w:rPr>
          <w:szCs w:val="22"/>
        </w:rPr>
      </w:pPr>
      <w:r w:rsidRPr="00794F08">
        <w:rPr>
          <w:szCs w:val="22"/>
        </w:rPr>
        <w:t xml:space="preserve">0,5 </w:t>
      </w:r>
      <w:r w:rsidRPr="00794F08">
        <w:rPr>
          <w:szCs w:val="22"/>
          <w:lang w:val="en-US"/>
        </w:rPr>
        <w:t>ml</w:t>
      </w:r>
      <w:r w:rsidRPr="00794F08">
        <w:rPr>
          <w:szCs w:val="22"/>
        </w:rPr>
        <w:t xml:space="preserve"> εναιωρήματος σε φιαλίδια (γυαλί τύπου Ι) με πώμα (καουτσούκ από βουτύλιο) σε συσκευασίες του 1, 10, 20, 25 ή 50.</w:t>
      </w:r>
    </w:p>
    <w:p w:rsidR="00C40A15" w:rsidRPr="00794F08" w:rsidRDefault="00586AD8" w:rsidP="00C40A15">
      <w:pPr>
        <w:jc w:val="both"/>
        <w:rPr>
          <w:szCs w:val="22"/>
        </w:rPr>
      </w:pPr>
      <w:r w:rsidRPr="00794F08">
        <w:rPr>
          <w:szCs w:val="22"/>
        </w:rPr>
        <w:t>Μπορεί να μη κυκλοφορούν όλες οι συσκευασίες.</w:t>
      </w:r>
    </w:p>
    <w:p w:rsidR="00C40A15" w:rsidRPr="00794F08" w:rsidRDefault="00C40A15" w:rsidP="00C40A15">
      <w:pPr>
        <w:jc w:val="both"/>
        <w:rPr>
          <w:b/>
          <w:szCs w:val="22"/>
        </w:rPr>
      </w:pPr>
    </w:p>
    <w:p w:rsidR="00FC1608" w:rsidRPr="00D9164F" w:rsidRDefault="00586AD8" w:rsidP="00C40A15">
      <w:pPr>
        <w:jc w:val="both"/>
        <w:rPr>
          <w:b/>
          <w:szCs w:val="22"/>
        </w:rPr>
      </w:pPr>
      <w:r w:rsidRPr="00794F08">
        <w:rPr>
          <w:b/>
          <w:szCs w:val="22"/>
        </w:rPr>
        <w:t>6.6</w:t>
      </w:r>
      <w:r w:rsidRPr="00794F08">
        <w:rPr>
          <w:b/>
          <w:szCs w:val="22"/>
        </w:rPr>
        <w:tab/>
        <w:t xml:space="preserve"> Ιδιαίτερες προφυλάξεις απόρριψης και άλλος χειρισμός</w:t>
      </w:r>
    </w:p>
    <w:p w:rsidR="00AC7016" w:rsidRPr="00D9164F" w:rsidRDefault="00851836">
      <w:pPr>
        <w:jc w:val="both"/>
      </w:pPr>
      <w:r w:rsidRPr="00A8793B">
        <w:rPr>
          <w:szCs w:val="22"/>
        </w:rPr>
        <w:t>Πριν από τη χρήση, το εμβόλιο θα πρέπει να βρίσκεται σε θερμοκρασία δωματίου και να ανακινείται καλά, ώστε να επιτυγχάνεται ένα ομογενοποιημένο θολό λευκό εναιώρημα. Πριν τη χορήγηση, το εμβόλιο θα πρέπει να επιθεωρείται οπτικά για την ύπαρξη ξένων σωματιδίων και/ή διαφοροποίησης της φυσικής του εμφάνισης. Στην περίπτωση που παρατηρηθεί οτιδήποτε από τα παραπάνω, απορρίψτε το εμβόλιο.</w:t>
      </w:r>
    </w:p>
    <w:p w:rsidR="00682AFB" w:rsidRPr="00794F08" w:rsidRDefault="00586AD8" w:rsidP="00682AFB">
      <w:pPr>
        <w:tabs>
          <w:tab w:val="clear" w:pos="567"/>
          <w:tab w:val="left" w:pos="0"/>
        </w:tabs>
      </w:pPr>
      <w:r w:rsidRPr="00794F08">
        <w:t xml:space="preserve">Κάθε </w:t>
      </w:r>
      <w:r w:rsidRPr="00794F08">
        <w:rPr>
          <w:noProof/>
        </w:rPr>
        <w:t xml:space="preserve">αχρησιμοποίητο φαρμακευτικό </w:t>
      </w:r>
      <w:r w:rsidRPr="00794F08">
        <w:t xml:space="preserve">προϊόν ή υπόλειμμα πρέπει να </w:t>
      </w:r>
      <w:r w:rsidRPr="00794F08">
        <w:rPr>
          <w:noProof/>
        </w:rPr>
        <w:t xml:space="preserve">απορρίπτεται </w:t>
      </w:r>
      <w:r w:rsidRPr="00794F08">
        <w:t>σύμφωνα με τις κατά τόπους ισχύουσες σχετικές διατάξεις.</w:t>
      </w:r>
    </w:p>
    <w:p w:rsidR="00C40A15" w:rsidRPr="00D9164F" w:rsidRDefault="00C40A15" w:rsidP="00C40A15">
      <w:pPr>
        <w:jc w:val="both"/>
        <w:rPr>
          <w:szCs w:val="22"/>
        </w:rPr>
      </w:pPr>
    </w:p>
    <w:p w:rsidR="00C40A15" w:rsidRPr="00D9164F" w:rsidRDefault="00586AD8" w:rsidP="00C40A15">
      <w:pPr>
        <w:jc w:val="both"/>
        <w:rPr>
          <w:szCs w:val="22"/>
        </w:rPr>
      </w:pPr>
      <w:r w:rsidRPr="00794F08">
        <w:rPr>
          <w:b/>
          <w:szCs w:val="22"/>
        </w:rPr>
        <w:t>7.</w:t>
      </w:r>
      <w:r w:rsidRPr="00794F08">
        <w:rPr>
          <w:b/>
          <w:szCs w:val="22"/>
        </w:rPr>
        <w:tab/>
        <w:t>ΚΑΤΟΧΟΣ ΤΗΣ ΑΔΕΙΑΣ ΚΥΚΛΟΦΟΡΙΑΣ</w:t>
      </w:r>
    </w:p>
    <w:p w:rsidR="007D20AC" w:rsidRPr="00794F08" w:rsidRDefault="00586AD8" w:rsidP="00C40A15">
      <w:pPr>
        <w:jc w:val="both"/>
        <w:rPr>
          <w:i/>
          <w:szCs w:val="22"/>
        </w:rPr>
      </w:pPr>
      <w:r w:rsidRPr="00794F08">
        <w:rPr>
          <w:i/>
          <w:szCs w:val="22"/>
        </w:rPr>
        <w:t xml:space="preserve">Δικαιούχος σήματος: </w:t>
      </w:r>
    </w:p>
    <w:p w:rsidR="00C40A15" w:rsidRPr="00794F08" w:rsidRDefault="00586AD8" w:rsidP="00C40A15">
      <w:pPr>
        <w:jc w:val="both"/>
        <w:rPr>
          <w:szCs w:val="22"/>
        </w:rPr>
      </w:pPr>
      <w:r w:rsidRPr="00794F08">
        <w:rPr>
          <w:szCs w:val="22"/>
          <w:lang w:val="en-US"/>
        </w:rPr>
        <w:t>Glaxo</w:t>
      </w:r>
      <w:r w:rsidRPr="00794F08">
        <w:rPr>
          <w:szCs w:val="22"/>
        </w:rPr>
        <w:t>SmithKline Biologicals S.A., Βέλγιο</w:t>
      </w:r>
    </w:p>
    <w:p w:rsidR="00C40A15" w:rsidRPr="00794F08" w:rsidRDefault="00C40A15" w:rsidP="00C40A15">
      <w:pPr>
        <w:jc w:val="both"/>
        <w:rPr>
          <w:szCs w:val="22"/>
        </w:rPr>
      </w:pPr>
    </w:p>
    <w:p w:rsidR="002A7DDF" w:rsidRPr="00794F08" w:rsidRDefault="00586AD8" w:rsidP="002A7DDF">
      <w:pPr>
        <w:jc w:val="both"/>
        <w:rPr>
          <w:i/>
          <w:szCs w:val="22"/>
        </w:rPr>
      </w:pPr>
      <w:r w:rsidRPr="00794F08">
        <w:rPr>
          <w:i/>
          <w:szCs w:val="22"/>
        </w:rPr>
        <w:t>Κάτοχος άδειας κυκλοφορίας στην Ελλάδα:</w:t>
      </w:r>
    </w:p>
    <w:p w:rsidR="002A7DDF" w:rsidRPr="00794F08" w:rsidRDefault="00586AD8" w:rsidP="002A7DDF">
      <w:pPr>
        <w:jc w:val="both"/>
        <w:rPr>
          <w:szCs w:val="22"/>
        </w:rPr>
      </w:pPr>
      <w:r w:rsidRPr="00794F08">
        <w:rPr>
          <w:szCs w:val="22"/>
          <w:lang w:val="en-US"/>
        </w:rPr>
        <w:t>GlaxoSmithKline</w:t>
      </w:r>
      <w:r w:rsidRPr="00794F08">
        <w:rPr>
          <w:szCs w:val="22"/>
        </w:rPr>
        <w:t xml:space="preserve"> α.ε.β.ε</w:t>
      </w:r>
    </w:p>
    <w:p w:rsidR="00A32976" w:rsidRPr="00794F08" w:rsidRDefault="00586AD8" w:rsidP="002A7DDF">
      <w:pPr>
        <w:jc w:val="both"/>
        <w:rPr>
          <w:szCs w:val="22"/>
        </w:rPr>
      </w:pPr>
      <w:r w:rsidRPr="00794F08">
        <w:rPr>
          <w:szCs w:val="22"/>
        </w:rPr>
        <w:t>Λ. Κηφισίας 266</w:t>
      </w:r>
    </w:p>
    <w:p w:rsidR="002A7DDF" w:rsidRPr="00794F08" w:rsidRDefault="00586AD8" w:rsidP="002A7DDF">
      <w:pPr>
        <w:jc w:val="both"/>
        <w:rPr>
          <w:szCs w:val="22"/>
        </w:rPr>
      </w:pPr>
      <w:r w:rsidRPr="00794F08">
        <w:rPr>
          <w:szCs w:val="22"/>
        </w:rPr>
        <w:t>152 32, Χαλάνδρι</w:t>
      </w:r>
    </w:p>
    <w:p w:rsidR="002A7DDF" w:rsidRPr="00794F08" w:rsidRDefault="00586AD8" w:rsidP="002A7DDF">
      <w:pPr>
        <w:jc w:val="both"/>
        <w:rPr>
          <w:szCs w:val="22"/>
        </w:rPr>
      </w:pPr>
      <w:r w:rsidRPr="00794F08">
        <w:rPr>
          <w:szCs w:val="22"/>
        </w:rPr>
        <w:t>Τηλ. 210 6882100</w:t>
      </w:r>
    </w:p>
    <w:p w:rsidR="002A7DDF" w:rsidRPr="00794F08" w:rsidRDefault="002A7DDF" w:rsidP="002A7DDF">
      <w:pPr>
        <w:jc w:val="both"/>
        <w:rPr>
          <w:szCs w:val="22"/>
        </w:rPr>
      </w:pPr>
    </w:p>
    <w:p w:rsidR="002A7DDF" w:rsidRPr="00794F08" w:rsidRDefault="00586AD8" w:rsidP="002A7DDF">
      <w:pPr>
        <w:jc w:val="both"/>
        <w:rPr>
          <w:i/>
          <w:szCs w:val="22"/>
        </w:rPr>
      </w:pPr>
      <w:r w:rsidRPr="00794F08">
        <w:rPr>
          <w:i/>
          <w:szCs w:val="22"/>
        </w:rPr>
        <w:t>Κάτοχος αδείας κυκλοφορίας στην Κύπρο:</w:t>
      </w:r>
    </w:p>
    <w:p w:rsidR="002A7DDF" w:rsidRPr="00A8793B" w:rsidRDefault="00851836" w:rsidP="002A7DDF">
      <w:pPr>
        <w:tabs>
          <w:tab w:val="clear" w:pos="567"/>
        </w:tabs>
        <w:autoSpaceDE w:val="0"/>
        <w:autoSpaceDN w:val="0"/>
        <w:adjustRightInd w:val="0"/>
        <w:rPr>
          <w:bCs/>
          <w:szCs w:val="22"/>
        </w:rPr>
      </w:pPr>
      <w:r w:rsidRPr="00A8793B">
        <w:rPr>
          <w:bCs/>
          <w:szCs w:val="22"/>
        </w:rPr>
        <w:t>GlaxoSmithKline (Cyprus) Ltd</w:t>
      </w:r>
      <w:r w:rsidRPr="00A8793B">
        <w:rPr>
          <w:szCs w:val="22"/>
        </w:rPr>
        <w:t xml:space="preserve"> </w:t>
      </w:r>
    </w:p>
    <w:p w:rsidR="002A7DDF" w:rsidRPr="00A8793B" w:rsidRDefault="00851836" w:rsidP="002A7DDF">
      <w:pPr>
        <w:tabs>
          <w:tab w:val="clear" w:pos="567"/>
        </w:tabs>
        <w:autoSpaceDE w:val="0"/>
        <w:autoSpaceDN w:val="0"/>
        <w:adjustRightInd w:val="0"/>
        <w:rPr>
          <w:bCs/>
          <w:szCs w:val="22"/>
        </w:rPr>
      </w:pPr>
      <w:r w:rsidRPr="00A8793B">
        <w:rPr>
          <w:bCs/>
          <w:szCs w:val="22"/>
        </w:rPr>
        <w:lastRenderedPageBreak/>
        <w:t>Λεωφ Κέννεντυ 12-14</w:t>
      </w:r>
      <w:r w:rsidRPr="00A8793B">
        <w:rPr>
          <w:szCs w:val="22"/>
        </w:rPr>
        <w:t xml:space="preserve"> </w:t>
      </w:r>
    </w:p>
    <w:p w:rsidR="002A7DDF" w:rsidRPr="00A8793B" w:rsidRDefault="00851836" w:rsidP="002A7DDF">
      <w:pPr>
        <w:tabs>
          <w:tab w:val="clear" w:pos="567"/>
        </w:tabs>
        <w:autoSpaceDE w:val="0"/>
        <w:autoSpaceDN w:val="0"/>
        <w:adjustRightInd w:val="0"/>
        <w:rPr>
          <w:bCs/>
          <w:szCs w:val="22"/>
        </w:rPr>
      </w:pPr>
      <w:r w:rsidRPr="00A8793B">
        <w:rPr>
          <w:bCs/>
          <w:szCs w:val="22"/>
        </w:rPr>
        <w:t>4</w:t>
      </w:r>
      <w:r w:rsidRPr="00A8793B">
        <w:rPr>
          <w:bCs/>
          <w:szCs w:val="22"/>
          <w:vertAlign w:val="superscript"/>
        </w:rPr>
        <w:t>ος</w:t>
      </w:r>
      <w:r w:rsidRPr="00A8793B">
        <w:rPr>
          <w:bCs/>
          <w:szCs w:val="22"/>
        </w:rPr>
        <w:t xml:space="preserve"> Όροφος</w:t>
      </w:r>
      <w:r w:rsidRPr="00A8793B">
        <w:rPr>
          <w:szCs w:val="22"/>
        </w:rPr>
        <w:t xml:space="preserve"> </w:t>
      </w:r>
    </w:p>
    <w:p w:rsidR="002A7DDF" w:rsidRPr="00A8793B" w:rsidRDefault="00851836" w:rsidP="002A7DDF">
      <w:pPr>
        <w:tabs>
          <w:tab w:val="clear" w:pos="567"/>
        </w:tabs>
        <w:autoSpaceDE w:val="0"/>
        <w:autoSpaceDN w:val="0"/>
        <w:adjustRightInd w:val="0"/>
        <w:rPr>
          <w:szCs w:val="22"/>
        </w:rPr>
      </w:pPr>
      <w:r w:rsidRPr="00A8793B">
        <w:rPr>
          <w:bCs/>
          <w:szCs w:val="22"/>
        </w:rPr>
        <w:t>1087, Λευκωσία</w:t>
      </w:r>
      <w:r w:rsidRPr="00A8793B">
        <w:rPr>
          <w:szCs w:val="22"/>
        </w:rPr>
        <w:t xml:space="preserve"> </w:t>
      </w:r>
    </w:p>
    <w:p w:rsidR="002A7DDF" w:rsidRPr="00794F08" w:rsidRDefault="002A7DDF" w:rsidP="00C40A15">
      <w:pPr>
        <w:jc w:val="both"/>
        <w:rPr>
          <w:b/>
          <w:szCs w:val="22"/>
        </w:rPr>
      </w:pPr>
    </w:p>
    <w:p w:rsidR="002A7DDF" w:rsidRPr="00794F08" w:rsidRDefault="002A7DDF" w:rsidP="00C40A15">
      <w:pPr>
        <w:jc w:val="both"/>
        <w:rPr>
          <w:b/>
          <w:szCs w:val="22"/>
        </w:rPr>
      </w:pPr>
    </w:p>
    <w:p w:rsidR="00C40A15" w:rsidRPr="00794F08" w:rsidRDefault="00586AD8" w:rsidP="00C40A15">
      <w:pPr>
        <w:jc w:val="both"/>
        <w:rPr>
          <w:szCs w:val="22"/>
        </w:rPr>
      </w:pPr>
      <w:r w:rsidRPr="00794F08">
        <w:rPr>
          <w:b/>
          <w:szCs w:val="22"/>
        </w:rPr>
        <w:t>8.</w:t>
      </w:r>
      <w:r w:rsidRPr="00794F08">
        <w:rPr>
          <w:b/>
          <w:szCs w:val="22"/>
        </w:rPr>
        <w:tab/>
        <w:t>ΑΡΙΘΜΟΣ(ΟΙ) ΑΔΕΙΑΣ ΚΥΚΛΟΦΟΡΙΑΣ</w:t>
      </w:r>
    </w:p>
    <w:p w:rsidR="00C40A15" w:rsidRPr="00794F08" w:rsidRDefault="00C40A15" w:rsidP="00C40A15">
      <w:pPr>
        <w:jc w:val="both"/>
        <w:rPr>
          <w:szCs w:val="22"/>
        </w:rPr>
      </w:pPr>
    </w:p>
    <w:p w:rsidR="00C40A15" w:rsidRPr="00794F08" w:rsidRDefault="00C40A15" w:rsidP="00C40A15">
      <w:pPr>
        <w:jc w:val="both"/>
        <w:rPr>
          <w:szCs w:val="22"/>
        </w:rPr>
      </w:pPr>
    </w:p>
    <w:p w:rsidR="00C40A15" w:rsidRPr="00794F08" w:rsidRDefault="00586AD8" w:rsidP="00C40A15">
      <w:pPr>
        <w:jc w:val="both"/>
        <w:rPr>
          <w:szCs w:val="22"/>
        </w:rPr>
      </w:pPr>
      <w:r w:rsidRPr="00794F08">
        <w:rPr>
          <w:b/>
          <w:szCs w:val="22"/>
        </w:rPr>
        <w:t>9.</w:t>
      </w:r>
      <w:r w:rsidRPr="00794F08">
        <w:rPr>
          <w:b/>
          <w:szCs w:val="22"/>
        </w:rPr>
        <w:tab/>
        <w:t>ΗΜΕΡΟΜΗΝΙΑ ΠΡΩΤΗΣ ΕΓΚΡΙΣΗΣ / ΑΝΑΝΕΩΣΗΣ ΤΗΣ ΑΔΕΙΑΣ</w:t>
      </w:r>
    </w:p>
    <w:p w:rsidR="00C40A15" w:rsidRPr="00794F08" w:rsidRDefault="00C40A15" w:rsidP="00C40A15">
      <w:pPr>
        <w:jc w:val="both"/>
        <w:rPr>
          <w:szCs w:val="22"/>
        </w:rPr>
      </w:pPr>
    </w:p>
    <w:p w:rsidR="00C40A15" w:rsidRPr="00794F08" w:rsidRDefault="00C40A15" w:rsidP="00C40A15">
      <w:pPr>
        <w:jc w:val="both"/>
        <w:rPr>
          <w:szCs w:val="22"/>
        </w:rPr>
      </w:pPr>
    </w:p>
    <w:p w:rsidR="00C40A15" w:rsidRPr="00794F08" w:rsidRDefault="00586AD8" w:rsidP="00C40A15">
      <w:pPr>
        <w:jc w:val="both"/>
        <w:rPr>
          <w:szCs w:val="22"/>
        </w:rPr>
      </w:pPr>
      <w:r w:rsidRPr="00794F08">
        <w:rPr>
          <w:b/>
          <w:szCs w:val="22"/>
        </w:rPr>
        <w:t>10.</w:t>
      </w:r>
      <w:r w:rsidRPr="00794F08">
        <w:rPr>
          <w:b/>
          <w:szCs w:val="22"/>
        </w:rPr>
        <w:tab/>
        <w:t>ΗΜΕΡΟΜΗΝΙΑ ΑΝΑΘΕΩΡΗΣΗΣ ΤΟΥ ΚΕΙΜΕΝΟΥ</w:t>
      </w: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647488" w:rsidRDefault="004269CB">
      <w:pPr>
        <w:jc w:val="both"/>
        <w:rPr>
          <w:szCs w:val="22"/>
        </w:rPr>
      </w:pPr>
    </w:p>
    <w:p w:rsidR="004269CB" w:rsidRPr="007A3C99" w:rsidRDefault="004269CB">
      <w:pPr>
        <w:jc w:val="both"/>
        <w:rPr>
          <w:szCs w:val="22"/>
          <w:lang w:val="en-US"/>
        </w:rPr>
      </w:pPr>
    </w:p>
    <w:p w:rsidR="004269CB" w:rsidRPr="00647488" w:rsidRDefault="004269CB">
      <w:pPr>
        <w:jc w:val="both"/>
        <w:rPr>
          <w:szCs w:val="22"/>
        </w:rPr>
      </w:pPr>
    </w:p>
    <w:p w:rsidR="004269CB" w:rsidRPr="00794F08" w:rsidRDefault="004269CB">
      <w:pPr>
        <w:jc w:val="both"/>
        <w:rPr>
          <w:szCs w:val="22"/>
        </w:rPr>
      </w:pPr>
    </w:p>
    <w:p w:rsidR="00AC7016" w:rsidRPr="00647488" w:rsidRDefault="00AC7016">
      <w:pPr>
        <w:rPr>
          <w:szCs w:val="22"/>
        </w:rPr>
      </w:pPr>
    </w:p>
    <w:p w:rsidR="00546285" w:rsidRPr="00794F08" w:rsidRDefault="00546285" w:rsidP="00476139">
      <w:pPr>
        <w:jc w:val="center"/>
        <w:rPr>
          <w:szCs w:val="22"/>
        </w:rPr>
      </w:pPr>
    </w:p>
    <w:p w:rsidR="00546285" w:rsidRPr="00794F08" w:rsidRDefault="00546285" w:rsidP="00476139">
      <w:pPr>
        <w:jc w:val="center"/>
        <w:rPr>
          <w:szCs w:val="22"/>
        </w:rPr>
      </w:pPr>
    </w:p>
    <w:p w:rsidR="00895D54" w:rsidRDefault="00895D54">
      <w:pPr>
        <w:pBdr>
          <w:top w:val="single" w:sz="4" w:space="1" w:color="auto"/>
          <w:left w:val="single" w:sz="4" w:space="3" w:color="auto"/>
          <w:bottom w:val="single" w:sz="4" w:space="1" w:color="auto"/>
          <w:right w:val="single" w:sz="4" w:space="4" w:color="auto"/>
        </w:pBdr>
        <w:shd w:val="clear" w:color="auto" w:fill="FFFFFF"/>
        <w:suppressAutoHyphens/>
        <w:jc w:val="both"/>
        <w:rPr>
          <w:b/>
          <w:szCs w:val="22"/>
          <w:lang w:val="en-US"/>
        </w:rPr>
      </w:pPr>
    </w:p>
    <w:sectPr w:rsidR="00895D54" w:rsidSect="00F06AE6">
      <w:footerReference w:type="even" r:id="rId8"/>
      <w:footerReference w:type="default" r:id="rId9"/>
      <w:pgSz w:w="11907" w:h="16840" w:code="9"/>
      <w:pgMar w:top="1440" w:right="1275" w:bottom="1440" w:left="1797" w:header="737" w:footer="737" w:gutter="0"/>
      <w:paperSrc w:first="4" w:other="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D7B" w:rsidRDefault="004E5D7B">
      <w:r>
        <w:separator/>
      </w:r>
    </w:p>
  </w:endnote>
  <w:endnote w:type="continuationSeparator" w:id="0">
    <w:p w:rsidR="004E5D7B" w:rsidRDefault="004E5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EF" w:rsidRDefault="006316C1">
    <w:pPr>
      <w:pStyle w:val="a4"/>
      <w:framePr w:wrap="around" w:vAnchor="text" w:hAnchor="margin" w:xAlign="right" w:y="1"/>
      <w:rPr>
        <w:rStyle w:val="a5"/>
      </w:rPr>
    </w:pPr>
    <w:r>
      <w:rPr>
        <w:rStyle w:val="a5"/>
      </w:rPr>
      <w:fldChar w:fldCharType="begin"/>
    </w:r>
    <w:r w:rsidR="00BA2DEF">
      <w:rPr>
        <w:rStyle w:val="a5"/>
      </w:rPr>
      <w:instrText xml:space="preserve">PAGE  </w:instrText>
    </w:r>
    <w:r>
      <w:rPr>
        <w:rStyle w:val="a5"/>
      </w:rPr>
      <w:fldChar w:fldCharType="end"/>
    </w:r>
  </w:p>
  <w:p w:rsidR="00BA2DEF" w:rsidRDefault="00BA2D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EF" w:rsidRDefault="006316C1">
    <w:pPr>
      <w:pStyle w:val="a4"/>
      <w:framePr w:wrap="around" w:vAnchor="text" w:hAnchor="margin" w:xAlign="right" w:y="1"/>
      <w:rPr>
        <w:rStyle w:val="a5"/>
      </w:rPr>
    </w:pPr>
    <w:r>
      <w:rPr>
        <w:rStyle w:val="a5"/>
      </w:rPr>
      <w:fldChar w:fldCharType="begin"/>
    </w:r>
    <w:r w:rsidR="00BA2DEF">
      <w:rPr>
        <w:rStyle w:val="a5"/>
      </w:rPr>
      <w:instrText xml:space="preserve">PAGE  </w:instrText>
    </w:r>
    <w:r>
      <w:rPr>
        <w:rStyle w:val="a5"/>
      </w:rPr>
      <w:fldChar w:fldCharType="separate"/>
    </w:r>
    <w:r w:rsidR="006E009F">
      <w:rPr>
        <w:rStyle w:val="a5"/>
        <w:noProof/>
      </w:rPr>
      <w:t>18</w:t>
    </w:r>
    <w:r>
      <w:rPr>
        <w:rStyle w:val="a5"/>
      </w:rPr>
      <w:fldChar w:fldCharType="end"/>
    </w:r>
  </w:p>
  <w:p w:rsidR="00BA2DEF" w:rsidRDefault="00BA2DEF" w:rsidP="00C40A15">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D7B" w:rsidRDefault="004E5D7B">
      <w:r>
        <w:separator/>
      </w:r>
    </w:p>
  </w:footnote>
  <w:footnote w:type="continuationSeparator" w:id="0">
    <w:p w:rsidR="004E5D7B" w:rsidRDefault="004E5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6400B9"/>
    <w:multiLevelType w:val="singleLevel"/>
    <w:tmpl w:val="0FF46A7E"/>
    <w:lvl w:ilvl="0">
      <w:numFmt w:val="bullet"/>
      <w:lvlText w:val="○"/>
      <w:lvlJc w:val="left"/>
      <w:pPr>
        <w:tabs>
          <w:tab w:val="num" w:pos="0"/>
        </w:tabs>
        <w:ind w:left="720" w:hanging="360"/>
      </w:pPr>
      <w:rPr>
        <w:rFonts w:ascii="Times New Roman" w:hAnsi="Times New Roman" w:hint="default"/>
      </w:rPr>
    </w:lvl>
  </w:abstractNum>
  <w:abstractNum w:abstractNumId="2">
    <w:nsid w:val="0392343B"/>
    <w:multiLevelType w:val="multilevel"/>
    <w:tmpl w:val="DDD4CDC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3BB5237"/>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4">
    <w:nsid w:val="045B3F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59B49F1"/>
    <w:multiLevelType w:val="hybridMultilevel"/>
    <w:tmpl w:val="C45C9D10"/>
    <w:lvl w:ilvl="0" w:tplc="0AC0E89A">
      <w:start w:val="1"/>
      <w:numFmt w:val="bullet"/>
      <w:lvlText w:val=""/>
      <w:lvlJc w:val="left"/>
      <w:pPr>
        <w:tabs>
          <w:tab w:val="num" w:pos="927"/>
        </w:tabs>
        <w:ind w:left="851" w:hanging="284"/>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088E64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9C875DC"/>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8">
    <w:nsid w:val="0A8124A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0EEA5C4F"/>
    <w:multiLevelType w:val="hybridMultilevel"/>
    <w:tmpl w:val="03F8BDB2"/>
    <w:lvl w:ilvl="0" w:tplc="2098DF1E">
      <w:start w:val="1"/>
      <w:numFmt w:val="bullet"/>
      <w:lvlText w:val=""/>
      <w:lvlJc w:val="left"/>
      <w:pPr>
        <w:ind w:left="1283" w:hanging="360"/>
      </w:pPr>
      <w:rPr>
        <w:rFonts w:ascii="Symbol" w:hAnsi="Symbol" w:hint="default"/>
        <w:vertAlign w:val="baseline"/>
      </w:rPr>
    </w:lvl>
    <w:lvl w:ilvl="1" w:tplc="04080003" w:tentative="1">
      <w:start w:val="1"/>
      <w:numFmt w:val="bullet"/>
      <w:lvlText w:val="o"/>
      <w:lvlJc w:val="left"/>
      <w:pPr>
        <w:ind w:left="2003" w:hanging="360"/>
      </w:pPr>
      <w:rPr>
        <w:rFonts w:ascii="Courier New" w:hAnsi="Courier New" w:cs="Courier New" w:hint="default"/>
      </w:rPr>
    </w:lvl>
    <w:lvl w:ilvl="2" w:tplc="04080005" w:tentative="1">
      <w:start w:val="1"/>
      <w:numFmt w:val="bullet"/>
      <w:lvlText w:val=""/>
      <w:lvlJc w:val="left"/>
      <w:pPr>
        <w:ind w:left="2723" w:hanging="360"/>
      </w:pPr>
      <w:rPr>
        <w:rFonts w:ascii="Wingdings" w:hAnsi="Wingdings" w:hint="default"/>
      </w:rPr>
    </w:lvl>
    <w:lvl w:ilvl="3" w:tplc="04080001" w:tentative="1">
      <w:start w:val="1"/>
      <w:numFmt w:val="bullet"/>
      <w:lvlText w:val=""/>
      <w:lvlJc w:val="left"/>
      <w:pPr>
        <w:ind w:left="3443" w:hanging="360"/>
      </w:pPr>
      <w:rPr>
        <w:rFonts w:ascii="Symbol" w:hAnsi="Symbol" w:hint="default"/>
      </w:rPr>
    </w:lvl>
    <w:lvl w:ilvl="4" w:tplc="04080003" w:tentative="1">
      <w:start w:val="1"/>
      <w:numFmt w:val="bullet"/>
      <w:lvlText w:val="o"/>
      <w:lvlJc w:val="left"/>
      <w:pPr>
        <w:ind w:left="4163" w:hanging="360"/>
      </w:pPr>
      <w:rPr>
        <w:rFonts w:ascii="Courier New" w:hAnsi="Courier New" w:cs="Courier New" w:hint="default"/>
      </w:rPr>
    </w:lvl>
    <w:lvl w:ilvl="5" w:tplc="04080005" w:tentative="1">
      <w:start w:val="1"/>
      <w:numFmt w:val="bullet"/>
      <w:lvlText w:val=""/>
      <w:lvlJc w:val="left"/>
      <w:pPr>
        <w:ind w:left="4883" w:hanging="360"/>
      </w:pPr>
      <w:rPr>
        <w:rFonts w:ascii="Wingdings" w:hAnsi="Wingdings" w:hint="default"/>
      </w:rPr>
    </w:lvl>
    <w:lvl w:ilvl="6" w:tplc="04080001" w:tentative="1">
      <w:start w:val="1"/>
      <w:numFmt w:val="bullet"/>
      <w:lvlText w:val=""/>
      <w:lvlJc w:val="left"/>
      <w:pPr>
        <w:ind w:left="5603" w:hanging="360"/>
      </w:pPr>
      <w:rPr>
        <w:rFonts w:ascii="Symbol" w:hAnsi="Symbol" w:hint="default"/>
      </w:rPr>
    </w:lvl>
    <w:lvl w:ilvl="7" w:tplc="04080003" w:tentative="1">
      <w:start w:val="1"/>
      <w:numFmt w:val="bullet"/>
      <w:lvlText w:val="o"/>
      <w:lvlJc w:val="left"/>
      <w:pPr>
        <w:ind w:left="6323" w:hanging="360"/>
      </w:pPr>
      <w:rPr>
        <w:rFonts w:ascii="Courier New" w:hAnsi="Courier New" w:cs="Courier New" w:hint="default"/>
      </w:rPr>
    </w:lvl>
    <w:lvl w:ilvl="8" w:tplc="04080005" w:tentative="1">
      <w:start w:val="1"/>
      <w:numFmt w:val="bullet"/>
      <w:lvlText w:val=""/>
      <w:lvlJc w:val="left"/>
      <w:pPr>
        <w:ind w:left="7043" w:hanging="360"/>
      </w:pPr>
      <w:rPr>
        <w:rFonts w:ascii="Wingdings" w:hAnsi="Wingdings" w:hint="default"/>
      </w:rPr>
    </w:lvl>
  </w:abstractNum>
  <w:abstractNum w:abstractNumId="10">
    <w:nsid w:val="10483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0B811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15650B2"/>
    <w:multiLevelType w:val="hybridMultilevel"/>
    <w:tmpl w:val="011CEB42"/>
    <w:lvl w:ilvl="0" w:tplc="0AC0E89A">
      <w:start w:val="1"/>
      <w:numFmt w:val="bullet"/>
      <w:lvlText w:val=""/>
      <w:lvlJc w:val="left"/>
      <w:pPr>
        <w:tabs>
          <w:tab w:val="num" w:pos="927"/>
        </w:tabs>
        <w:ind w:left="851" w:hanging="284"/>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116D3B5B"/>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14">
    <w:nsid w:val="18EE14EF"/>
    <w:multiLevelType w:val="singleLevel"/>
    <w:tmpl w:val="8F6CB890"/>
    <w:lvl w:ilvl="0">
      <w:start w:val="1"/>
      <w:numFmt w:val="bullet"/>
      <w:lvlText w:val=""/>
      <w:lvlJc w:val="left"/>
      <w:pPr>
        <w:tabs>
          <w:tab w:val="num" w:pos="360"/>
        </w:tabs>
        <w:ind w:left="360" w:hanging="360"/>
      </w:pPr>
      <w:rPr>
        <w:rFonts w:ascii="Symbol" w:hAnsi="Symbol" w:hint="default"/>
        <w:lang w:val="el-GR"/>
      </w:rPr>
    </w:lvl>
  </w:abstractNum>
  <w:abstractNum w:abstractNumId="15">
    <w:nsid w:val="196D337F"/>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16">
    <w:nsid w:val="199403F3"/>
    <w:multiLevelType w:val="hybridMultilevel"/>
    <w:tmpl w:val="6978BE24"/>
    <w:lvl w:ilvl="0" w:tplc="FFFFFFFF">
      <w:numFmt w:val="bullet"/>
      <w:lvlText w:val="-"/>
      <w:lvlJc w:val="left"/>
      <w:pPr>
        <w:ind w:left="1287" w:hanging="360"/>
      </w:p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7">
    <w:nsid w:val="1F4311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2274711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nsid w:val="2343010A"/>
    <w:multiLevelType w:val="hybridMultilevel"/>
    <w:tmpl w:val="35D0E506"/>
    <w:lvl w:ilvl="0" w:tplc="EE0A762A">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433619F"/>
    <w:multiLevelType w:val="hybridMultilevel"/>
    <w:tmpl w:val="A32C4EBE"/>
    <w:lvl w:ilvl="0" w:tplc="0409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nsid w:val="24DA6C6B"/>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22">
    <w:nsid w:val="26EB3919"/>
    <w:multiLevelType w:val="singleLevel"/>
    <w:tmpl w:val="857E93B2"/>
    <w:lvl w:ilvl="0">
      <w:start w:val="1"/>
      <w:numFmt w:val="bullet"/>
      <w:lvlText w:val=""/>
      <w:lvlJc w:val="left"/>
      <w:pPr>
        <w:tabs>
          <w:tab w:val="num" w:pos="360"/>
        </w:tabs>
        <w:ind w:left="360" w:hanging="360"/>
      </w:pPr>
      <w:rPr>
        <w:rFonts w:ascii="Symbol" w:hAnsi="Symbol" w:hint="default"/>
      </w:rPr>
    </w:lvl>
  </w:abstractNum>
  <w:abstractNum w:abstractNumId="23">
    <w:nsid w:val="27A75C20"/>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24">
    <w:nsid w:val="29695F17"/>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25">
    <w:nsid w:val="2A374BB4"/>
    <w:multiLevelType w:val="hybridMultilevel"/>
    <w:tmpl w:val="1C8215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E5C4735"/>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27">
    <w:nsid w:val="30B41995"/>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28">
    <w:nsid w:val="315F450C"/>
    <w:multiLevelType w:val="singleLevel"/>
    <w:tmpl w:val="857E93B2"/>
    <w:lvl w:ilvl="0">
      <w:start w:val="1"/>
      <w:numFmt w:val="bullet"/>
      <w:lvlText w:val=""/>
      <w:lvlJc w:val="left"/>
      <w:pPr>
        <w:tabs>
          <w:tab w:val="num" w:pos="360"/>
        </w:tabs>
        <w:ind w:left="360" w:hanging="360"/>
      </w:pPr>
      <w:rPr>
        <w:rFonts w:ascii="Symbol" w:hAnsi="Symbol" w:hint="default"/>
      </w:rPr>
    </w:lvl>
  </w:abstractNum>
  <w:abstractNum w:abstractNumId="29">
    <w:nsid w:val="31931FB5"/>
    <w:multiLevelType w:val="hybridMultilevel"/>
    <w:tmpl w:val="385CAFD2"/>
    <w:lvl w:ilvl="0" w:tplc="48BA68BE">
      <w:start w:val="1"/>
      <w:numFmt w:val="bullet"/>
      <w:lvlText w:val="-"/>
      <w:lvlJc w:val="left"/>
      <w:pPr>
        <w:tabs>
          <w:tab w:val="num" w:pos="360"/>
        </w:tabs>
        <w:ind w:left="360" w:hanging="360"/>
      </w:pPr>
      <w:rPr>
        <w:rFonts w:ascii="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31E85C89"/>
    <w:multiLevelType w:val="hybridMultilevel"/>
    <w:tmpl w:val="A71EDA32"/>
    <w:lvl w:ilvl="0" w:tplc="48BA68BE">
      <w:start w:val="1"/>
      <w:numFmt w:val="bullet"/>
      <w:lvlText w:val="-"/>
      <w:lvlJc w:val="left"/>
      <w:pPr>
        <w:tabs>
          <w:tab w:val="num" w:pos="360"/>
        </w:tabs>
        <w:ind w:left="360"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32B46A91"/>
    <w:multiLevelType w:val="hybridMultilevel"/>
    <w:tmpl w:val="F4389800"/>
    <w:lvl w:ilvl="0" w:tplc="17BE4F34">
      <w:start w:val="9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32C4C5C"/>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33">
    <w:nsid w:val="36116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37FF61A4"/>
    <w:multiLevelType w:val="hybridMultilevel"/>
    <w:tmpl w:val="4E5A3484"/>
    <w:lvl w:ilvl="0" w:tplc="B226E8E0">
      <w:numFmt w:val="bullet"/>
      <w:lvlText w:val="-"/>
      <w:lvlJc w:val="left"/>
      <w:pPr>
        <w:tabs>
          <w:tab w:val="num" w:pos="1287"/>
        </w:tabs>
        <w:ind w:left="1287" w:hanging="360"/>
      </w:pPr>
      <w:rPr>
        <w:rFonts w:ascii="Arial" w:eastAsia="Times New Roman" w:hAnsi="Arial" w:cs="Aria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38D177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3B1A14D4"/>
    <w:multiLevelType w:val="singleLevel"/>
    <w:tmpl w:val="857E93B2"/>
    <w:lvl w:ilvl="0">
      <w:start w:val="1"/>
      <w:numFmt w:val="bullet"/>
      <w:lvlText w:val=""/>
      <w:lvlJc w:val="left"/>
      <w:pPr>
        <w:tabs>
          <w:tab w:val="num" w:pos="360"/>
        </w:tabs>
        <w:ind w:left="360" w:hanging="360"/>
      </w:pPr>
      <w:rPr>
        <w:rFonts w:ascii="Symbol" w:hAnsi="Symbol" w:hint="default"/>
      </w:rPr>
    </w:lvl>
  </w:abstractNum>
  <w:abstractNum w:abstractNumId="37">
    <w:nsid w:val="3E3247C4"/>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38">
    <w:nsid w:val="40A8246A"/>
    <w:multiLevelType w:val="multilevel"/>
    <w:tmpl w:val="393873A0"/>
    <w:lvl w:ilvl="0">
      <w:start w:val="6"/>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0C450F1"/>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40">
    <w:nsid w:val="41C55345"/>
    <w:multiLevelType w:val="hybridMultilevel"/>
    <w:tmpl w:val="92DC7156"/>
    <w:lvl w:ilvl="0" w:tplc="8FE27256">
      <w:start w:val="1"/>
      <w:numFmt w:val="bullet"/>
      <w:lvlText w:val=""/>
      <w:lvlJc w:val="left"/>
      <w:pPr>
        <w:tabs>
          <w:tab w:val="num" w:pos="397"/>
        </w:tabs>
        <w:ind w:left="397" w:hanging="397"/>
      </w:pPr>
      <w:rPr>
        <w:rFonts w:ascii="Symbol" w:hAnsi="Symbol" w:hint="default"/>
        <w:color w:val="auto"/>
      </w:rPr>
    </w:lvl>
    <w:lvl w:ilvl="1" w:tplc="0AC0E89A">
      <w:start w:val="1"/>
      <w:numFmt w:val="bullet"/>
      <w:lvlText w:val=""/>
      <w:lvlJc w:val="left"/>
      <w:pPr>
        <w:tabs>
          <w:tab w:val="num" w:pos="1440"/>
        </w:tabs>
        <w:ind w:left="1364" w:hanging="28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61A147D"/>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42">
    <w:nsid w:val="4657375A"/>
    <w:multiLevelType w:val="hybridMultilevel"/>
    <w:tmpl w:val="C592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8CA24D6"/>
    <w:multiLevelType w:val="hybridMultilevel"/>
    <w:tmpl w:val="C76E597A"/>
    <w:lvl w:ilvl="0" w:tplc="EE0A762A">
      <w:start w:val="1"/>
      <w:numFmt w:val="bullet"/>
      <w:lvlText w:val=""/>
      <w:lvlJc w:val="left"/>
      <w:pPr>
        <w:tabs>
          <w:tab w:val="num" w:pos="964"/>
        </w:tabs>
        <w:ind w:left="964" w:hanging="39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4">
    <w:nsid w:val="49AB766B"/>
    <w:multiLevelType w:val="singleLevel"/>
    <w:tmpl w:val="E6A6F754"/>
    <w:lvl w:ilvl="0">
      <w:start w:val="1"/>
      <w:numFmt w:val="decimal"/>
      <w:lvlText w:val="%1)"/>
      <w:lvlJc w:val="left"/>
      <w:pPr>
        <w:tabs>
          <w:tab w:val="num" w:pos="360"/>
        </w:tabs>
        <w:ind w:left="360" w:hanging="360"/>
      </w:pPr>
      <w:rPr>
        <w:rFonts w:hint="default"/>
      </w:rPr>
    </w:lvl>
  </w:abstractNum>
  <w:abstractNum w:abstractNumId="45">
    <w:nsid w:val="4B6F26BD"/>
    <w:multiLevelType w:val="singleLevel"/>
    <w:tmpl w:val="15AE1BFA"/>
    <w:lvl w:ilvl="0">
      <w:start w:val="4"/>
      <w:numFmt w:val="bullet"/>
      <w:lvlText w:val="-"/>
      <w:lvlJc w:val="left"/>
      <w:pPr>
        <w:tabs>
          <w:tab w:val="num" w:pos="360"/>
        </w:tabs>
        <w:ind w:left="284" w:hanging="284"/>
      </w:pPr>
    </w:lvl>
  </w:abstractNum>
  <w:abstractNum w:abstractNumId="46">
    <w:nsid w:val="4B8A33C9"/>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47">
    <w:nsid w:val="4C466AF6"/>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48">
    <w:nsid w:val="4C9E0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4FB523F7"/>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50">
    <w:nsid w:val="50C54D5D"/>
    <w:multiLevelType w:val="hybridMultilevel"/>
    <w:tmpl w:val="71BE1C30"/>
    <w:lvl w:ilvl="0" w:tplc="FFFFFFFF">
      <w:numFmt w:val="bullet"/>
      <w:lvlText w:val="-"/>
      <w:lvlJc w:val="left"/>
      <w:pPr>
        <w:ind w:left="1287" w:hanging="360"/>
      </w:p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1">
    <w:nsid w:val="54E82024"/>
    <w:multiLevelType w:val="hybridMultilevel"/>
    <w:tmpl w:val="7D28DA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55A26EAA"/>
    <w:multiLevelType w:val="multilevel"/>
    <w:tmpl w:val="446C6C34"/>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1440"/>
        </w:tabs>
        <w:ind w:left="136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56F23E45"/>
    <w:multiLevelType w:val="hybridMultilevel"/>
    <w:tmpl w:val="0E204D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4">
    <w:nsid w:val="58BC743A"/>
    <w:multiLevelType w:val="singleLevel"/>
    <w:tmpl w:val="2098DF1E"/>
    <w:lvl w:ilvl="0">
      <w:start w:val="1"/>
      <w:numFmt w:val="bullet"/>
      <w:lvlText w:val=""/>
      <w:lvlJc w:val="left"/>
      <w:pPr>
        <w:ind w:left="720" w:hanging="360"/>
      </w:pPr>
      <w:rPr>
        <w:rFonts w:ascii="Symbol" w:hAnsi="Symbol" w:hint="default"/>
        <w:vertAlign w:val="baseline"/>
      </w:rPr>
    </w:lvl>
  </w:abstractNum>
  <w:abstractNum w:abstractNumId="55">
    <w:nsid w:val="59CE747D"/>
    <w:multiLevelType w:val="singleLevel"/>
    <w:tmpl w:val="62A83D72"/>
    <w:lvl w:ilvl="0">
      <w:start w:val="8"/>
      <w:numFmt w:val="decimal"/>
      <w:lvlText w:val="%1."/>
      <w:lvlJc w:val="left"/>
      <w:pPr>
        <w:tabs>
          <w:tab w:val="num" w:pos="420"/>
        </w:tabs>
        <w:ind w:left="420" w:hanging="420"/>
      </w:pPr>
      <w:rPr>
        <w:rFonts w:hint="default"/>
      </w:rPr>
    </w:lvl>
  </w:abstractNum>
  <w:abstractNum w:abstractNumId="56">
    <w:nsid w:val="5A523F95"/>
    <w:multiLevelType w:val="hybridMultilevel"/>
    <w:tmpl w:val="11AE81A0"/>
    <w:lvl w:ilvl="0" w:tplc="48BA68BE">
      <w:start w:val="1"/>
      <w:numFmt w:val="bullet"/>
      <w:lvlText w:val="-"/>
      <w:lvlJc w:val="left"/>
      <w:pPr>
        <w:tabs>
          <w:tab w:val="num" w:pos="360"/>
        </w:tabs>
        <w:ind w:left="360"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nsid w:val="5A745428"/>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58">
    <w:nsid w:val="5AD437E8"/>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59">
    <w:nsid w:val="5B9D4E0C"/>
    <w:multiLevelType w:val="singleLevel"/>
    <w:tmpl w:val="FFFFFFFF"/>
    <w:lvl w:ilvl="0">
      <w:start w:val="1"/>
      <w:numFmt w:val="bullet"/>
      <w:lvlText w:val=""/>
      <w:legacy w:legacy="1" w:legacySpace="0" w:legacyIndent="227"/>
      <w:lvlJc w:val="left"/>
      <w:pPr>
        <w:ind w:left="228" w:hanging="227"/>
      </w:pPr>
      <w:rPr>
        <w:rFonts w:ascii="Symbol" w:hAnsi="Symbol" w:hint="default"/>
      </w:rPr>
    </w:lvl>
  </w:abstractNum>
  <w:abstractNum w:abstractNumId="60">
    <w:nsid w:val="5BC01390"/>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61">
    <w:nsid w:val="5DA675C5"/>
    <w:multiLevelType w:val="hybridMultilevel"/>
    <w:tmpl w:val="9ADC70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2">
    <w:nsid w:val="5DB123C2"/>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63">
    <w:nsid w:val="5E757DEE"/>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64">
    <w:nsid w:val="607C3589"/>
    <w:multiLevelType w:val="hybridMultilevel"/>
    <w:tmpl w:val="13340C5A"/>
    <w:lvl w:ilvl="0" w:tplc="9454EE18">
      <w:start w:val="1"/>
      <w:numFmt w:val="bullet"/>
      <w:lvlText w:val=""/>
      <w:lvlJc w:val="left"/>
      <w:pPr>
        <w:tabs>
          <w:tab w:val="num" w:pos="2149"/>
        </w:tabs>
        <w:ind w:left="2073" w:hanging="284"/>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5">
    <w:nsid w:val="62942509"/>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66">
    <w:nsid w:val="678412ED"/>
    <w:multiLevelType w:val="hybridMultilevel"/>
    <w:tmpl w:val="77F4490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7">
    <w:nsid w:val="6CBB0665"/>
    <w:multiLevelType w:val="singleLevel"/>
    <w:tmpl w:val="FFFFFFFF"/>
    <w:lvl w:ilvl="0">
      <w:start w:val="1"/>
      <w:numFmt w:val="bullet"/>
      <w:lvlText w:val=""/>
      <w:legacy w:legacy="1" w:legacySpace="0" w:legacyIndent="227"/>
      <w:lvlJc w:val="left"/>
      <w:pPr>
        <w:ind w:left="228" w:hanging="227"/>
      </w:pPr>
      <w:rPr>
        <w:rFonts w:ascii="Symbol" w:hAnsi="Symbol" w:hint="default"/>
      </w:rPr>
    </w:lvl>
  </w:abstractNum>
  <w:abstractNum w:abstractNumId="68">
    <w:nsid w:val="6EA915B5"/>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69">
    <w:nsid w:val="71603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71C602A5"/>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71">
    <w:nsid w:val="72C13329"/>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72">
    <w:nsid w:val="72D223E7"/>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73">
    <w:nsid w:val="74F9396A"/>
    <w:multiLevelType w:val="singleLevel"/>
    <w:tmpl w:val="9454EE18"/>
    <w:lvl w:ilvl="0">
      <w:start w:val="1"/>
      <w:numFmt w:val="bullet"/>
      <w:lvlText w:val=""/>
      <w:lvlJc w:val="left"/>
      <w:pPr>
        <w:tabs>
          <w:tab w:val="num" w:pos="360"/>
        </w:tabs>
        <w:ind w:left="284" w:hanging="284"/>
      </w:pPr>
      <w:rPr>
        <w:rFonts w:ascii="Symbol" w:hAnsi="Symbol" w:hint="default"/>
      </w:rPr>
    </w:lvl>
  </w:abstractNum>
  <w:abstractNum w:abstractNumId="74">
    <w:nsid w:val="76F57186"/>
    <w:multiLevelType w:val="singleLevel"/>
    <w:tmpl w:val="FFFFFFFF"/>
    <w:lvl w:ilvl="0">
      <w:start w:val="1"/>
      <w:numFmt w:val="bullet"/>
      <w:lvlText w:val=""/>
      <w:legacy w:legacy="1" w:legacySpace="0" w:legacyIndent="227"/>
      <w:lvlJc w:val="left"/>
      <w:pPr>
        <w:ind w:left="228" w:hanging="227"/>
      </w:pPr>
      <w:rPr>
        <w:rFonts w:ascii="Symbol" w:hAnsi="Symbol" w:hint="default"/>
      </w:rPr>
    </w:lvl>
  </w:abstractNum>
  <w:abstractNum w:abstractNumId="75">
    <w:nsid w:val="79DC472C"/>
    <w:multiLevelType w:val="hybridMultilevel"/>
    <w:tmpl w:val="DAD0E6B8"/>
    <w:lvl w:ilvl="0" w:tplc="EE0A762A">
      <w:start w:val="1"/>
      <w:numFmt w:val="bullet"/>
      <w:lvlText w:val=""/>
      <w:lvlJc w:val="left"/>
      <w:pPr>
        <w:tabs>
          <w:tab w:val="num" w:pos="397"/>
        </w:tabs>
        <w:ind w:left="397" w:hanging="397"/>
      </w:pPr>
      <w:rPr>
        <w:rFonts w:ascii="Symbol" w:hAnsi="Symbol" w:hint="default"/>
      </w:rPr>
    </w:lvl>
    <w:lvl w:ilvl="1" w:tplc="0AC0E89A">
      <w:start w:val="1"/>
      <w:numFmt w:val="bullet"/>
      <w:lvlText w:val=""/>
      <w:lvlJc w:val="left"/>
      <w:pPr>
        <w:tabs>
          <w:tab w:val="num" w:pos="1440"/>
        </w:tabs>
        <w:ind w:left="1364" w:hanging="28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FAE0E3A"/>
    <w:multiLevelType w:val="hybridMultilevel"/>
    <w:tmpl w:val="08D8B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57"/>
  </w:num>
  <w:num w:numId="3">
    <w:abstractNumId w:val="4"/>
  </w:num>
  <w:num w:numId="4">
    <w:abstractNumId w:val="33"/>
  </w:num>
  <w:num w:numId="5">
    <w:abstractNumId w:val="35"/>
  </w:num>
  <w:num w:numId="6">
    <w:abstractNumId w:val="10"/>
  </w:num>
  <w:num w:numId="7">
    <w:abstractNumId w:val="6"/>
  </w:num>
  <w:num w:numId="8">
    <w:abstractNumId w:val="69"/>
  </w:num>
  <w:num w:numId="9">
    <w:abstractNumId w:val="26"/>
  </w:num>
  <w:num w:numId="10">
    <w:abstractNumId w:val="41"/>
  </w:num>
  <w:num w:numId="11">
    <w:abstractNumId w:val="11"/>
  </w:num>
  <w:num w:numId="12">
    <w:abstractNumId w:val="24"/>
  </w:num>
  <w:num w:numId="13">
    <w:abstractNumId w:val="13"/>
  </w:num>
  <w:num w:numId="14">
    <w:abstractNumId w:val="58"/>
  </w:num>
  <w:num w:numId="15">
    <w:abstractNumId w:val="70"/>
  </w:num>
  <w:num w:numId="16">
    <w:abstractNumId w:val="63"/>
  </w:num>
  <w:num w:numId="17">
    <w:abstractNumId w:val="60"/>
  </w:num>
  <w:num w:numId="18">
    <w:abstractNumId w:val="21"/>
  </w:num>
  <w:num w:numId="19">
    <w:abstractNumId w:val="1"/>
  </w:num>
  <w:num w:numId="20">
    <w:abstractNumId w:val="7"/>
  </w:num>
  <w:num w:numId="21">
    <w:abstractNumId w:val="37"/>
  </w:num>
  <w:num w:numId="22">
    <w:abstractNumId w:val="72"/>
  </w:num>
  <w:num w:numId="23">
    <w:abstractNumId w:val="71"/>
  </w:num>
  <w:num w:numId="24">
    <w:abstractNumId w:val="3"/>
  </w:num>
  <w:num w:numId="25">
    <w:abstractNumId w:val="39"/>
  </w:num>
  <w:num w:numId="26">
    <w:abstractNumId w:val="48"/>
  </w:num>
  <w:num w:numId="27">
    <w:abstractNumId w:val="59"/>
  </w:num>
  <w:num w:numId="28">
    <w:abstractNumId w:val="67"/>
  </w:num>
  <w:num w:numId="29">
    <w:abstractNumId w:val="74"/>
  </w:num>
  <w:num w:numId="30">
    <w:abstractNumId w:val="55"/>
  </w:num>
  <w:num w:numId="31">
    <w:abstractNumId w:val="44"/>
  </w:num>
  <w:num w:numId="32">
    <w:abstractNumId w:val="62"/>
  </w:num>
  <w:num w:numId="33">
    <w:abstractNumId w:val="2"/>
  </w:num>
  <w:num w:numId="34">
    <w:abstractNumId w:val="49"/>
  </w:num>
  <w:num w:numId="35">
    <w:abstractNumId w:val="0"/>
    <w:lvlOverride w:ilvl="0">
      <w:lvl w:ilvl="0">
        <w:numFmt w:val="bullet"/>
        <w:lvlText w:val="-"/>
        <w:legacy w:legacy="1" w:legacySpace="0" w:legacyIndent="360"/>
        <w:lvlJc w:val="left"/>
        <w:pPr>
          <w:ind w:left="360" w:hanging="360"/>
        </w:pPr>
      </w:lvl>
    </w:lvlOverride>
  </w:num>
  <w:num w:numId="36">
    <w:abstractNumId w:val="32"/>
  </w:num>
  <w:num w:numId="37">
    <w:abstractNumId w:val="17"/>
  </w:num>
  <w:num w:numId="38">
    <w:abstractNumId w:val="14"/>
  </w:num>
  <w:num w:numId="39">
    <w:abstractNumId w:val="27"/>
  </w:num>
  <w:num w:numId="40">
    <w:abstractNumId w:val="45"/>
  </w:num>
  <w:num w:numId="41">
    <w:abstractNumId w:val="54"/>
  </w:num>
  <w:num w:numId="42">
    <w:abstractNumId w:val="18"/>
  </w:num>
  <w:num w:numId="43">
    <w:abstractNumId w:val="8"/>
  </w:num>
  <w:num w:numId="44">
    <w:abstractNumId w:val="28"/>
  </w:num>
  <w:num w:numId="45">
    <w:abstractNumId w:val="22"/>
  </w:num>
  <w:num w:numId="46">
    <w:abstractNumId w:val="34"/>
  </w:num>
  <w:num w:numId="47">
    <w:abstractNumId w:val="73"/>
  </w:num>
  <w:num w:numId="48">
    <w:abstractNumId w:val="46"/>
  </w:num>
  <w:num w:numId="49">
    <w:abstractNumId w:val="75"/>
  </w:num>
  <w:num w:numId="50">
    <w:abstractNumId w:val="64"/>
  </w:num>
  <w:num w:numId="51">
    <w:abstractNumId w:val="19"/>
  </w:num>
  <w:num w:numId="52">
    <w:abstractNumId w:val="12"/>
  </w:num>
  <w:num w:numId="53">
    <w:abstractNumId w:val="5"/>
  </w:num>
  <w:num w:numId="54">
    <w:abstractNumId w:val="43"/>
  </w:num>
  <w:num w:numId="55">
    <w:abstractNumId w:val="15"/>
  </w:num>
  <w:num w:numId="56">
    <w:abstractNumId w:val="36"/>
  </w:num>
  <w:num w:numId="57">
    <w:abstractNumId w:val="65"/>
  </w:num>
  <w:num w:numId="58">
    <w:abstractNumId w:val="47"/>
  </w:num>
  <w:num w:numId="59">
    <w:abstractNumId w:val="68"/>
  </w:num>
  <w:num w:numId="60">
    <w:abstractNumId w:val="66"/>
  </w:num>
  <w:num w:numId="61">
    <w:abstractNumId w:val="52"/>
  </w:num>
  <w:num w:numId="62">
    <w:abstractNumId w:val="40"/>
  </w:num>
  <w:num w:numId="63">
    <w:abstractNumId w:val="38"/>
  </w:num>
  <w:num w:numId="64">
    <w:abstractNumId w:val="61"/>
  </w:num>
  <w:num w:numId="65">
    <w:abstractNumId w:val="53"/>
  </w:num>
  <w:num w:numId="66">
    <w:abstractNumId w:val="29"/>
  </w:num>
  <w:num w:numId="67">
    <w:abstractNumId w:val="30"/>
  </w:num>
  <w:num w:numId="68">
    <w:abstractNumId w:val="56"/>
  </w:num>
  <w:num w:numId="69">
    <w:abstractNumId w:val="50"/>
  </w:num>
  <w:num w:numId="70">
    <w:abstractNumId w:val="16"/>
  </w:num>
  <w:num w:numId="71">
    <w:abstractNumId w:val="42"/>
  </w:num>
  <w:num w:numId="72">
    <w:abstractNumId w:val="25"/>
  </w:num>
  <w:num w:numId="73">
    <w:abstractNumId w:val="31"/>
  </w:num>
  <w:num w:numId="74">
    <w:abstractNumId w:val="76"/>
  </w:num>
  <w:num w:numId="75">
    <w:abstractNumId w:val="20"/>
  </w:num>
  <w:num w:numId="76">
    <w:abstractNumId w:val="9"/>
  </w:num>
  <w:num w:numId="77">
    <w:abstractNumId w:val="5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076DA"/>
    <w:rsid w:val="00013AD2"/>
    <w:rsid w:val="00014E11"/>
    <w:rsid w:val="00017D95"/>
    <w:rsid w:val="00041C23"/>
    <w:rsid w:val="00042FA7"/>
    <w:rsid w:val="0005555B"/>
    <w:rsid w:val="00055F86"/>
    <w:rsid w:val="0005756B"/>
    <w:rsid w:val="000633F9"/>
    <w:rsid w:val="00072DF0"/>
    <w:rsid w:val="0007445B"/>
    <w:rsid w:val="00074749"/>
    <w:rsid w:val="000842D3"/>
    <w:rsid w:val="00094C12"/>
    <w:rsid w:val="0009676E"/>
    <w:rsid w:val="000A1086"/>
    <w:rsid w:val="000A23F5"/>
    <w:rsid w:val="000A3346"/>
    <w:rsid w:val="000B334D"/>
    <w:rsid w:val="000B554B"/>
    <w:rsid w:val="000C145C"/>
    <w:rsid w:val="000C4A3A"/>
    <w:rsid w:val="000C760E"/>
    <w:rsid w:val="000D3BE4"/>
    <w:rsid w:val="000D72E2"/>
    <w:rsid w:val="000E26EF"/>
    <w:rsid w:val="000E2F4A"/>
    <w:rsid w:val="000E3A2B"/>
    <w:rsid w:val="000E4091"/>
    <w:rsid w:val="000F393B"/>
    <w:rsid w:val="000F5135"/>
    <w:rsid w:val="000F7722"/>
    <w:rsid w:val="00100CBF"/>
    <w:rsid w:val="00106E2F"/>
    <w:rsid w:val="00115449"/>
    <w:rsid w:val="00116670"/>
    <w:rsid w:val="00117DC7"/>
    <w:rsid w:val="001334AB"/>
    <w:rsid w:val="00143560"/>
    <w:rsid w:val="00146B6A"/>
    <w:rsid w:val="00152D77"/>
    <w:rsid w:val="0016010A"/>
    <w:rsid w:val="00160FC2"/>
    <w:rsid w:val="00163C6F"/>
    <w:rsid w:val="0016479B"/>
    <w:rsid w:val="00186B06"/>
    <w:rsid w:val="001A0381"/>
    <w:rsid w:val="001A4D76"/>
    <w:rsid w:val="001B3068"/>
    <w:rsid w:val="001B54B2"/>
    <w:rsid w:val="001B5F11"/>
    <w:rsid w:val="001D0C19"/>
    <w:rsid w:val="001D2129"/>
    <w:rsid w:val="001E699C"/>
    <w:rsid w:val="001F16FB"/>
    <w:rsid w:val="001F40FF"/>
    <w:rsid w:val="001F57B9"/>
    <w:rsid w:val="00201890"/>
    <w:rsid w:val="002050BA"/>
    <w:rsid w:val="00212658"/>
    <w:rsid w:val="00234177"/>
    <w:rsid w:val="00237195"/>
    <w:rsid w:val="00237472"/>
    <w:rsid w:val="002379B4"/>
    <w:rsid w:val="00242459"/>
    <w:rsid w:val="00245813"/>
    <w:rsid w:val="0025226B"/>
    <w:rsid w:val="002673E0"/>
    <w:rsid w:val="00270779"/>
    <w:rsid w:val="0027146E"/>
    <w:rsid w:val="002720C8"/>
    <w:rsid w:val="002754B3"/>
    <w:rsid w:val="00276249"/>
    <w:rsid w:val="00280278"/>
    <w:rsid w:val="00283062"/>
    <w:rsid w:val="00292481"/>
    <w:rsid w:val="0029466D"/>
    <w:rsid w:val="00294B93"/>
    <w:rsid w:val="0029683B"/>
    <w:rsid w:val="00297216"/>
    <w:rsid w:val="002A4C82"/>
    <w:rsid w:val="002A647F"/>
    <w:rsid w:val="002A6C3B"/>
    <w:rsid w:val="002A7DDF"/>
    <w:rsid w:val="002B450F"/>
    <w:rsid w:val="002C23B5"/>
    <w:rsid w:val="002C4713"/>
    <w:rsid w:val="002C5A4F"/>
    <w:rsid w:val="002C6BB2"/>
    <w:rsid w:val="002D5F5F"/>
    <w:rsid w:val="002F1AC4"/>
    <w:rsid w:val="00302069"/>
    <w:rsid w:val="0030352B"/>
    <w:rsid w:val="00310C91"/>
    <w:rsid w:val="003133D1"/>
    <w:rsid w:val="0032018D"/>
    <w:rsid w:val="00320840"/>
    <w:rsid w:val="00325723"/>
    <w:rsid w:val="00332914"/>
    <w:rsid w:val="003421D5"/>
    <w:rsid w:val="00363C01"/>
    <w:rsid w:val="003736F5"/>
    <w:rsid w:val="0038176F"/>
    <w:rsid w:val="003818E3"/>
    <w:rsid w:val="003A1EA1"/>
    <w:rsid w:val="003B10CF"/>
    <w:rsid w:val="003C21C9"/>
    <w:rsid w:val="003C235B"/>
    <w:rsid w:val="003D4F98"/>
    <w:rsid w:val="003D76FD"/>
    <w:rsid w:val="003F34AD"/>
    <w:rsid w:val="00401041"/>
    <w:rsid w:val="00421779"/>
    <w:rsid w:val="004269CB"/>
    <w:rsid w:val="004326B4"/>
    <w:rsid w:val="00447B54"/>
    <w:rsid w:val="004504D8"/>
    <w:rsid w:val="00452E7D"/>
    <w:rsid w:val="00456DCE"/>
    <w:rsid w:val="0046002A"/>
    <w:rsid w:val="004612C7"/>
    <w:rsid w:val="00465950"/>
    <w:rsid w:val="004667C0"/>
    <w:rsid w:val="00473875"/>
    <w:rsid w:val="00474120"/>
    <w:rsid w:val="00474E56"/>
    <w:rsid w:val="004756FC"/>
    <w:rsid w:val="00476139"/>
    <w:rsid w:val="004809B0"/>
    <w:rsid w:val="00480EF2"/>
    <w:rsid w:val="0049050C"/>
    <w:rsid w:val="0049147E"/>
    <w:rsid w:val="004A63A8"/>
    <w:rsid w:val="004B0F12"/>
    <w:rsid w:val="004B3E0D"/>
    <w:rsid w:val="004B5DA8"/>
    <w:rsid w:val="004C0887"/>
    <w:rsid w:val="004D0CE7"/>
    <w:rsid w:val="004D0EC9"/>
    <w:rsid w:val="004D174B"/>
    <w:rsid w:val="004D6C99"/>
    <w:rsid w:val="004E1062"/>
    <w:rsid w:val="004E4001"/>
    <w:rsid w:val="004E5D7B"/>
    <w:rsid w:val="004F0D21"/>
    <w:rsid w:val="00500B91"/>
    <w:rsid w:val="0050716B"/>
    <w:rsid w:val="005145F8"/>
    <w:rsid w:val="00533310"/>
    <w:rsid w:val="00535F56"/>
    <w:rsid w:val="0053696F"/>
    <w:rsid w:val="00542FCB"/>
    <w:rsid w:val="00546285"/>
    <w:rsid w:val="005503C5"/>
    <w:rsid w:val="00554563"/>
    <w:rsid w:val="005706CD"/>
    <w:rsid w:val="0057664D"/>
    <w:rsid w:val="0058414F"/>
    <w:rsid w:val="00586AD8"/>
    <w:rsid w:val="005A0D23"/>
    <w:rsid w:val="005A14B1"/>
    <w:rsid w:val="005A1C6F"/>
    <w:rsid w:val="005A2751"/>
    <w:rsid w:val="005A428A"/>
    <w:rsid w:val="005B1579"/>
    <w:rsid w:val="005B5147"/>
    <w:rsid w:val="005B73C0"/>
    <w:rsid w:val="005C535E"/>
    <w:rsid w:val="005C73E0"/>
    <w:rsid w:val="005D4953"/>
    <w:rsid w:val="005E4411"/>
    <w:rsid w:val="005F02E0"/>
    <w:rsid w:val="005F4018"/>
    <w:rsid w:val="005F6703"/>
    <w:rsid w:val="006005B6"/>
    <w:rsid w:val="00602728"/>
    <w:rsid w:val="006067C1"/>
    <w:rsid w:val="006076DA"/>
    <w:rsid w:val="006125C9"/>
    <w:rsid w:val="00614AF5"/>
    <w:rsid w:val="006243CD"/>
    <w:rsid w:val="006316C1"/>
    <w:rsid w:val="006323B6"/>
    <w:rsid w:val="00636A9D"/>
    <w:rsid w:val="00644A58"/>
    <w:rsid w:val="00645CF7"/>
    <w:rsid w:val="00647488"/>
    <w:rsid w:val="006529AE"/>
    <w:rsid w:val="00664DE5"/>
    <w:rsid w:val="006744AF"/>
    <w:rsid w:val="006763B8"/>
    <w:rsid w:val="00681AF0"/>
    <w:rsid w:val="00682AFB"/>
    <w:rsid w:val="0069158F"/>
    <w:rsid w:val="006916AD"/>
    <w:rsid w:val="006968EF"/>
    <w:rsid w:val="006B5299"/>
    <w:rsid w:val="006C1358"/>
    <w:rsid w:val="006C2F5C"/>
    <w:rsid w:val="006C48B2"/>
    <w:rsid w:val="006E009F"/>
    <w:rsid w:val="006F0601"/>
    <w:rsid w:val="006F3078"/>
    <w:rsid w:val="006F63F8"/>
    <w:rsid w:val="00710DBF"/>
    <w:rsid w:val="0071296E"/>
    <w:rsid w:val="00715C3B"/>
    <w:rsid w:val="00721EA9"/>
    <w:rsid w:val="00721FC6"/>
    <w:rsid w:val="007323F9"/>
    <w:rsid w:val="00734D51"/>
    <w:rsid w:val="007527CD"/>
    <w:rsid w:val="007621BE"/>
    <w:rsid w:val="00765301"/>
    <w:rsid w:val="00771C01"/>
    <w:rsid w:val="00775665"/>
    <w:rsid w:val="00775D1C"/>
    <w:rsid w:val="007817E3"/>
    <w:rsid w:val="007842E3"/>
    <w:rsid w:val="007845EB"/>
    <w:rsid w:val="0078681E"/>
    <w:rsid w:val="00794F08"/>
    <w:rsid w:val="007957CA"/>
    <w:rsid w:val="007A3C99"/>
    <w:rsid w:val="007B1112"/>
    <w:rsid w:val="007B6DE8"/>
    <w:rsid w:val="007B7F2A"/>
    <w:rsid w:val="007C1195"/>
    <w:rsid w:val="007C1B5C"/>
    <w:rsid w:val="007C2492"/>
    <w:rsid w:val="007C4151"/>
    <w:rsid w:val="007D09FD"/>
    <w:rsid w:val="007D20AC"/>
    <w:rsid w:val="007E1F66"/>
    <w:rsid w:val="007E4F9A"/>
    <w:rsid w:val="007E5BA9"/>
    <w:rsid w:val="007E68AD"/>
    <w:rsid w:val="00802928"/>
    <w:rsid w:val="00805A1A"/>
    <w:rsid w:val="00806CFC"/>
    <w:rsid w:val="00806F9B"/>
    <w:rsid w:val="008104B7"/>
    <w:rsid w:val="008209FD"/>
    <w:rsid w:val="00824E11"/>
    <w:rsid w:val="008343A0"/>
    <w:rsid w:val="008418E3"/>
    <w:rsid w:val="00841E34"/>
    <w:rsid w:val="008454C2"/>
    <w:rsid w:val="00850DEC"/>
    <w:rsid w:val="00851836"/>
    <w:rsid w:val="008532AE"/>
    <w:rsid w:val="00855DF7"/>
    <w:rsid w:val="00856EE7"/>
    <w:rsid w:val="00857F9F"/>
    <w:rsid w:val="008621AF"/>
    <w:rsid w:val="008630FD"/>
    <w:rsid w:val="00884E7C"/>
    <w:rsid w:val="00885400"/>
    <w:rsid w:val="008903E0"/>
    <w:rsid w:val="008919BC"/>
    <w:rsid w:val="008929E6"/>
    <w:rsid w:val="00895D54"/>
    <w:rsid w:val="008D060D"/>
    <w:rsid w:val="008D4480"/>
    <w:rsid w:val="008E511F"/>
    <w:rsid w:val="008E541C"/>
    <w:rsid w:val="008E6657"/>
    <w:rsid w:val="008E7426"/>
    <w:rsid w:val="009032A8"/>
    <w:rsid w:val="0090398A"/>
    <w:rsid w:val="009100CD"/>
    <w:rsid w:val="00910B1C"/>
    <w:rsid w:val="00910BA8"/>
    <w:rsid w:val="00911495"/>
    <w:rsid w:val="009200CF"/>
    <w:rsid w:val="0093242E"/>
    <w:rsid w:val="0093525C"/>
    <w:rsid w:val="00956852"/>
    <w:rsid w:val="00980377"/>
    <w:rsid w:val="00992D6B"/>
    <w:rsid w:val="009A55B2"/>
    <w:rsid w:val="009B11E3"/>
    <w:rsid w:val="009B161C"/>
    <w:rsid w:val="009B22D4"/>
    <w:rsid w:val="009B4B00"/>
    <w:rsid w:val="009D0F55"/>
    <w:rsid w:val="009F0C1C"/>
    <w:rsid w:val="009F3DA7"/>
    <w:rsid w:val="009F6463"/>
    <w:rsid w:val="00A01B8A"/>
    <w:rsid w:val="00A023D8"/>
    <w:rsid w:val="00A11B4A"/>
    <w:rsid w:val="00A23EEE"/>
    <w:rsid w:val="00A26B8F"/>
    <w:rsid w:val="00A276D5"/>
    <w:rsid w:val="00A302A9"/>
    <w:rsid w:val="00A32976"/>
    <w:rsid w:val="00A33299"/>
    <w:rsid w:val="00A349E6"/>
    <w:rsid w:val="00A35105"/>
    <w:rsid w:val="00A37B17"/>
    <w:rsid w:val="00A40E14"/>
    <w:rsid w:val="00A47BE2"/>
    <w:rsid w:val="00A65A30"/>
    <w:rsid w:val="00A678D2"/>
    <w:rsid w:val="00A7265D"/>
    <w:rsid w:val="00A73C29"/>
    <w:rsid w:val="00A73F5C"/>
    <w:rsid w:val="00A8793B"/>
    <w:rsid w:val="00A961C5"/>
    <w:rsid w:val="00AA0296"/>
    <w:rsid w:val="00AB2872"/>
    <w:rsid w:val="00AB39B0"/>
    <w:rsid w:val="00AC686E"/>
    <w:rsid w:val="00AC7016"/>
    <w:rsid w:val="00AD56B5"/>
    <w:rsid w:val="00AD5C13"/>
    <w:rsid w:val="00AE622A"/>
    <w:rsid w:val="00AE7BDB"/>
    <w:rsid w:val="00AF5CF5"/>
    <w:rsid w:val="00B010D5"/>
    <w:rsid w:val="00B0798C"/>
    <w:rsid w:val="00B15E8C"/>
    <w:rsid w:val="00B1779A"/>
    <w:rsid w:val="00B424C6"/>
    <w:rsid w:val="00B46F7A"/>
    <w:rsid w:val="00B60416"/>
    <w:rsid w:val="00B674AD"/>
    <w:rsid w:val="00B7109D"/>
    <w:rsid w:val="00B72BA4"/>
    <w:rsid w:val="00B877BA"/>
    <w:rsid w:val="00BA0971"/>
    <w:rsid w:val="00BA2DEF"/>
    <w:rsid w:val="00BA6484"/>
    <w:rsid w:val="00BA783C"/>
    <w:rsid w:val="00BB22B1"/>
    <w:rsid w:val="00BB5083"/>
    <w:rsid w:val="00BC2451"/>
    <w:rsid w:val="00BC3B56"/>
    <w:rsid w:val="00BC43FE"/>
    <w:rsid w:val="00BC4D32"/>
    <w:rsid w:val="00BE0A9C"/>
    <w:rsid w:val="00BE475D"/>
    <w:rsid w:val="00C008DB"/>
    <w:rsid w:val="00C039FF"/>
    <w:rsid w:val="00C0654B"/>
    <w:rsid w:val="00C15483"/>
    <w:rsid w:val="00C248B7"/>
    <w:rsid w:val="00C3656C"/>
    <w:rsid w:val="00C36FD0"/>
    <w:rsid w:val="00C40A15"/>
    <w:rsid w:val="00C44C03"/>
    <w:rsid w:val="00C470B6"/>
    <w:rsid w:val="00C55A9D"/>
    <w:rsid w:val="00C60D63"/>
    <w:rsid w:val="00C61B69"/>
    <w:rsid w:val="00C647AC"/>
    <w:rsid w:val="00C65C45"/>
    <w:rsid w:val="00C667FF"/>
    <w:rsid w:val="00C70648"/>
    <w:rsid w:val="00C711B7"/>
    <w:rsid w:val="00C77C4A"/>
    <w:rsid w:val="00C77C4E"/>
    <w:rsid w:val="00C8060E"/>
    <w:rsid w:val="00C82B5B"/>
    <w:rsid w:val="00C82DA7"/>
    <w:rsid w:val="00C86D4B"/>
    <w:rsid w:val="00C94B0F"/>
    <w:rsid w:val="00CA2D8F"/>
    <w:rsid w:val="00CA7170"/>
    <w:rsid w:val="00CB051A"/>
    <w:rsid w:val="00CB4642"/>
    <w:rsid w:val="00CC226E"/>
    <w:rsid w:val="00CE7E29"/>
    <w:rsid w:val="00CF6B7A"/>
    <w:rsid w:val="00D0074C"/>
    <w:rsid w:val="00D1595B"/>
    <w:rsid w:val="00D2741C"/>
    <w:rsid w:val="00D33B43"/>
    <w:rsid w:val="00D35AD5"/>
    <w:rsid w:val="00D3778A"/>
    <w:rsid w:val="00D43D1A"/>
    <w:rsid w:val="00D4455D"/>
    <w:rsid w:val="00D4474E"/>
    <w:rsid w:val="00D47621"/>
    <w:rsid w:val="00D5260A"/>
    <w:rsid w:val="00D5330B"/>
    <w:rsid w:val="00D6147E"/>
    <w:rsid w:val="00D65581"/>
    <w:rsid w:val="00D70978"/>
    <w:rsid w:val="00D73125"/>
    <w:rsid w:val="00D733F2"/>
    <w:rsid w:val="00D8537E"/>
    <w:rsid w:val="00D8640E"/>
    <w:rsid w:val="00D86F69"/>
    <w:rsid w:val="00D9164F"/>
    <w:rsid w:val="00DA43CF"/>
    <w:rsid w:val="00DB4BD0"/>
    <w:rsid w:val="00DD113B"/>
    <w:rsid w:val="00DD1A31"/>
    <w:rsid w:val="00DD3A3B"/>
    <w:rsid w:val="00DE4414"/>
    <w:rsid w:val="00DF301F"/>
    <w:rsid w:val="00DF7729"/>
    <w:rsid w:val="00E014F7"/>
    <w:rsid w:val="00E05B06"/>
    <w:rsid w:val="00E2597B"/>
    <w:rsid w:val="00E32BC0"/>
    <w:rsid w:val="00E33583"/>
    <w:rsid w:val="00E44A79"/>
    <w:rsid w:val="00E45A27"/>
    <w:rsid w:val="00E539F9"/>
    <w:rsid w:val="00E54F2F"/>
    <w:rsid w:val="00E718C9"/>
    <w:rsid w:val="00E90AD4"/>
    <w:rsid w:val="00E911C8"/>
    <w:rsid w:val="00E9170B"/>
    <w:rsid w:val="00E91EBA"/>
    <w:rsid w:val="00E923F4"/>
    <w:rsid w:val="00EA17DB"/>
    <w:rsid w:val="00EA4D95"/>
    <w:rsid w:val="00EA5094"/>
    <w:rsid w:val="00EA58F1"/>
    <w:rsid w:val="00EB085E"/>
    <w:rsid w:val="00EB4932"/>
    <w:rsid w:val="00EC1487"/>
    <w:rsid w:val="00EC6DA1"/>
    <w:rsid w:val="00ED0DF3"/>
    <w:rsid w:val="00ED62F6"/>
    <w:rsid w:val="00ED6DB7"/>
    <w:rsid w:val="00EE352D"/>
    <w:rsid w:val="00EE70AC"/>
    <w:rsid w:val="00EF1176"/>
    <w:rsid w:val="00F0091F"/>
    <w:rsid w:val="00F03A2B"/>
    <w:rsid w:val="00F0582B"/>
    <w:rsid w:val="00F06AE6"/>
    <w:rsid w:val="00F122EA"/>
    <w:rsid w:val="00F1351D"/>
    <w:rsid w:val="00F17143"/>
    <w:rsid w:val="00F35DA2"/>
    <w:rsid w:val="00F3720B"/>
    <w:rsid w:val="00F45B67"/>
    <w:rsid w:val="00F57D7E"/>
    <w:rsid w:val="00F629CC"/>
    <w:rsid w:val="00F65A2F"/>
    <w:rsid w:val="00F95CBD"/>
    <w:rsid w:val="00FA2A54"/>
    <w:rsid w:val="00FA37CD"/>
    <w:rsid w:val="00FA4B89"/>
    <w:rsid w:val="00FA5E2D"/>
    <w:rsid w:val="00FB2434"/>
    <w:rsid w:val="00FC1608"/>
    <w:rsid w:val="00FC42E6"/>
    <w:rsid w:val="00FE1298"/>
    <w:rsid w:val="00FE18D3"/>
    <w:rsid w:val="00FE349E"/>
    <w:rsid w:val="00FE353B"/>
    <w:rsid w:val="00FE43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11"/>
    <w:pPr>
      <w:tabs>
        <w:tab w:val="left" w:pos="567"/>
      </w:tabs>
    </w:pPr>
    <w:rPr>
      <w:sz w:val="22"/>
    </w:rPr>
  </w:style>
  <w:style w:type="paragraph" w:styleId="1">
    <w:name w:val="heading 1"/>
    <w:basedOn w:val="a"/>
    <w:next w:val="a"/>
    <w:qFormat/>
    <w:rsid w:val="00A01B8A"/>
    <w:pPr>
      <w:ind w:left="357" w:hanging="357"/>
      <w:jc w:val="center"/>
      <w:outlineLvl w:val="0"/>
    </w:pPr>
    <w:rPr>
      <w:b/>
      <w:caps/>
      <w:lang w:val="en-US"/>
    </w:rPr>
  </w:style>
  <w:style w:type="paragraph" w:styleId="2">
    <w:name w:val="heading 2"/>
    <w:basedOn w:val="a"/>
    <w:next w:val="a"/>
    <w:qFormat/>
    <w:rsid w:val="00A01B8A"/>
    <w:pPr>
      <w:keepNext/>
      <w:ind w:right="567"/>
      <w:outlineLvl w:val="1"/>
    </w:pPr>
    <w:rPr>
      <w:b/>
      <w:caps/>
    </w:rPr>
  </w:style>
  <w:style w:type="paragraph" w:styleId="3">
    <w:name w:val="heading 3"/>
    <w:basedOn w:val="a"/>
    <w:next w:val="a"/>
    <w:qFormat/>
    <w:rsid w:val="00A01B8A"/>
    <w:pPr>
      <w:keepNext/>
      <w:keepLines/>
      <w:ind w:right="567"/>
      <w:outlineLvl w:val="2"/>
    </w:pPr>
    <w:rPr>
      <w:b/>
      <w:kern w:val="28"/>
      <w:lang w:val="en-US"/>
    </w:rPr>
  </w:style>
  <w:style w:type="paragraph" w:styleId="4">
    <w:name w:val="heading 4"/>
    <w:basedOn w:val="a"/>
    <w:next w:val="a"/>
    <w:qFormat/>
    <w:rsid w:val="00A01B8A"/>
    <w:pPr>
      <w:keepNext/>
      <w:jc w:val="both"/>
      <w:outlineLvl w:val="3"/>
    </w:pPr>
    <w:rPr>
      <w:b/>
      <w:noProof/>
    </w:rPr>
  </w:style>
  <w:style w:type="paragraph" w:styleId="5">
    <w:name w:val="heading 5"/>
    <w:basedOn w:val="a"/>
    <w:next w:val="a"/>
    <w:qFormat/>
    <w:rsid w:val="00A01B8A"/>
    <w:pPr>
      <w:keepNext/>
      <w:jc w:val="both"/>
      <w:outlineLvl w:val="4"/>
    </w:pPr>
    <w:rPr>
      <w:noProof/>
    </w:rPr>
  </w:style>
  <w:style w:type="paragraph" w:styleId="6">
    <w:name w:val="heading 6"/>
    <w:basedOn w:val="a"/>
    <w:next w:val="a"/>
    <w:qFormat/>
    <w:rsid w:val="00A01B8A"/>
    <w:pPr>
      <w:keepNext/>
      <w:tabs>
        <w:tab w:val="left" w:pos="-720"/>
        <w:tab w:val="left" w:pos="4536"/>
      </w:tabs>
      <w:suppressAutoHyphens/>
      <w:outlineLvl w:val="5"/>
    </w:pPr>
    <w:rPr>
      <w:i/>
    </w:rPr>
  </w:style>
  <w:style w:type="paragraph" w:styleId="7">
    <w:name w:val="heading 7"/>
    <w:basedOn w:val="a"/>
    <w:next w:val="a"/>
    <w:qFormat/>
    <w:rsid w:val="00A01B8A"/>
    <w:pPr>
      <w:keepNext/>
      <w:tabs>
        <w:tab w:val="left" w:pos="-720"/>
        <w:tab w:val="left" w:pos="4536"/>
      </w:tabs>
      <w:suppressAutoHyphens/>
      <w:jc w:val="both"/>
      <w:outlineLvl w:val="6"/>
    </w:pPr>
    <w:rPr>
      <w:i/>
    </w:rPr>
  </w:style>
  <w:style w:type="paragraph" w:styleId="8">
    <w:name w:val="heading 8"/>
    <w:basedOn w:val="a"/>
    <w:next w:val="a"/>
    <w:qFormat/>
    <w:rsid w:val="00A01B8A"/>
    <w:pPr>
      <w:keepNext/>
      <w:ind w:left="567" w:hanging="567"/>
      <w:jc w:val="both"/>
      <w:outlineLvl w:val="7"/>
    </w:pPr>
    <w:rPr>
      <w:b/>
      <w:i/>
    </w:rPr>
  </w:style>
  <w:style w:type="paragraph" w:styleId="9">
    <w:name w:val="heading 9"/>
    <w:basedOn w:val="a"/>
    <w:next w:val="a"/>
    <w:qFormat/>
    <w:rsid w:val="00A01B8A"/>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1B8A"/>
    <w:pPr>
      <w:tabs>
        <w:tab w:val="center" w:pos="4153"/>
        <w:tab w:val="right" w:pos="8306"/>
      </w:tabs>
    </w:pPr>
    <w:rPr>
      <w:rFonts w:ascii="Helvetica" w:hAnsi="Helvetica"/>
    </w:rPr>
  </w:style>
  <w:style w:type="paragraph" w:styleId="a4">
    <w:name w:val="footer"/>
    <w:basedOn w:val="a"/>
    <w:rsid w:val="00A01B8A"/>
    <w:pPr>
      <w:tabs>
        <w:tab w:val="clear" w:pos="567"/>
        <w:tab w:val="center" w:pos="4153"/>
        <w:tab w:val="right" w:pos="8306"/>
      </w:tabs>
    </w:pPr>
  </w:style>
  <w:style w:type="character" w:styleId="a5">
    <w:name w:val="page number"/>
    <w:basedOn w:val="a0"/>
    <w:rsid w:val="00A01B8A"/>
  </w:style>
  <w:style w:type="paragraph" w:styleId="a6">
    <w:name w:val="Title"/>
    <w:basedOn w:val="a"/>
    <w:qFormat/>
    <w:rsid w:val="00C647AC"/>
    <w:pPr>
      <w:tabs>
        <w:tab w:val="clear" w:pos="567"/>
      </w:tabs>
      <w:jc w:val="center"/>
    </w:pPr>
    <w:rPr>
      <w:b/>
      <w:lang w:eastAsia="en-US"/>
    </w:rPr>
  </w:style>
  <w:style w:type="paragraph" w:customStyle="1" w:styleId="NormalBox2">
    <w:name w:val="Normal Box 2"/>
    <w:basedOn w:val="a"/>
    <w:rsid w:val="00D35AD5"/>
    <w:pPr>
      <w:pBdr>
        <w:top w:val="single" w:sz="4" w:space="1" w:color="auto"/>
        <w:left w:val="single" w:sz="4" w:space="4" w:color="auto"/>
        <w:bottom w:val="single" w:sz="4" w:space="1" w:color="auto"/>
        <w:right w:val="single" w:sz="4" w:space="4" w:color="auto"/>
      </w:pBdr>
      <w:shd w:val="clear" w:color="auto" w:fill="FFFFFF"/>
      <w:suppressAutoHyphens/>
    </w:pPr>
    <w:rPr>
      <w:b/>
      <w:caps/>
      <w:lang w:val="en-US" w:eastAsia="en-US"/>
    </w:rPr>
  </w:style>
  <w:style w:type="paragraph" w:customStyle="1" w:styleId="NormalBox">
    <w:name w:val="Normal Box"/>
    <w:basedOn w:val="a"/>
    <w:next w:val="a"/>
    <w:rsid w:val="00D35AD5"/>
    <w:pPr>
      <w:pBdr>
        <w:top w:val="single" w:sz="4" w:space="1" w:color="auto"/>
        <w:left w:val="single" w:sz="4" w:space="4" w:color="auto"/>
        <w:bottom w:val="single" w:sz="4" w:space="1" w:color="auto"/>
        <w:right w:val="single" w:sz="4" w:space="4" w:color="auto"/>
      </w:pBdr>
      <w:ind w:left="567" w:hanging="567"/>
    </w:pPr>
    <w:rPr>
      <w:b/>
      <w:caps/>
      <w:lang w:val="en-US" w:eastAsia="en-US"/>
    </w:rPr>
  </w:style>
  <w:style w:type="paragraph" w:customStyle="1" w:styleId="NormalCountry">
    <w:name w:val="Normal Country"/>
    <w:basedOn w:val="a"/>
    <w:rsid w:val="00D35AD5"/>
    <w:rPr>
      <w:b/>
      <w:lang w:eastAsia="en-US"/>
    </w:rPr>
  </w:style>
  <w:style w:type="table" w:styleId="a7">
    <w:name w:val="Table Grid"/>
    <w:basedOn w:val="a1"/>
    <w:rsid w:val="00E2597B"/>
    <w:pPr>
      <w:tabs>
        <w:tab w:val="left" w:pos="56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456DCE"/>
    <w:rPr>
      <w:rFonts w:ascii="Tahoma" w:hAnsi="Tahoma" w:cs="Tahoma"/>
      <w:sz w:val="16"/>
      <w:szCs w:val="16"/>
    </w:rPr>
  </w:style>
  <w:style w:type="character" w:styleId="a9">
    <w:name w:val="annotation reference"/>
    <w:semiHidden/>
    <w:rsid w:val="000F393B"/>
    <w:rPr>
      <w:sz w:val="16"/>
      <w:szCs w:val="16"/>
    </w:rPr>
  </w:style>
  <w:style w:type="paragraph" w:styleId="aa">
    <w:name w:val="annotation text"/>
    <w:basedOn w:val="a"/>
    <w:semiHidden/>
    <w:rsid w:val="000F393B"/>
    <w:rPr>
      <w:sz w:val="20"/>
    </w:rPr>
  </w:style>
  <w:style w:type="paragraph" w:styleId="ab">
    <w:name w:val="annotation subject"/>
    <w:basedOn w:val="aa"/>
    <w:next w:val="aa"/>
    <w:semiHidden/>
    <w:rsid w:val="000F393B"/>
    <w:rPr>
      <w:b/>
      <w:bCs/>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a"/>
    <w:rsid w:val="001F57B9"/>
    <w:pPr>
      <w:widowControl w:val="0"/>
      <w:tabs>
        <w:tab w:val="clear" w:pos="567"/>
      </w:tabs>
      <w:adjustRightInd w:val="0"/>
      <w:spacing w:after="160" w:line="240" w:lineRule="exact"/>
      <w:textAlignment w:val="baseline"/>
    </w:pPr>
    <w:rPr>
      <w:rFonts w:ascii="Verdana" w:hAnsi="Verdana"/>
      <w:sz w:val="20"/>
      <w:lang w:val="en-US" w:eastAsia="en-US"/>
    </w:rPr>
  </w:style>
  <w:style w:type="paragraph" w:customStyle="1" w:styleId="tableref">
    <w:name w:val="table:ref"/>
    <w:basedOn w:val="a"/>
    <w:link w:val="tablerefChar"/>
    <w:rsid w:val="00BB5083"/>
    <w:pPr>
      <w:tabs>
        <w:tab w:val="clear" w:pos="567"/>
        <w:tab w:val="left" w:pos="360"/>
      </w:tabs>
      <w:ind w:left="360" w:hanging="360"/>
    </w:pPr>
    <w:rPr>
      <w:rFonts w:ascii="Arial Narrow" w:hAnsi="Arial Narrow" w:cs="Arial Narrow"/>
      <w:sz w:val="20"/>
      <w:lang w:eastAsia="en-US"/>
    </w:rPr>
  </w:style>
  <w:style w:type="character" w:customStyle="1" w:styleId="tablerefChar">
    <w:name w:val="table:ref Char"/>
    <w:link w:val="tableref"/>
    <w:rsid w:val="00BB5083"/>
    <w:rPr>
      <w:rFonts w:ascii="Arial Narrow" w:hAnsi="Arial Narrow" w:cs="Arial Narrow"/>
      <w:lang w:val="en-GB" w:eastAsia="en-US"/>
    </w:rPr>
  </w:style>
  <w:style w:type="paragraph" w:styleId="ac">
    <w:name w:val="List Paragraph"/>
    <w:basedOn w:val="a"/>
    <w:uiPriority w:val="34"/>
    <w:qFormat/>
    <w:rsid w:val="004612C7"/>
    <w:pPr>
      <w:ind w:left="720"/>
    </w:pPr>
  </w:style>
  <w:style w:type="paragraph" w:styleId="ad">
    <w:name w:val="Revision"/>
    <w:hidden/>
    <w:uiPriority w:val="99"/>
    <w:semiHidden/>
    <w:rsid w:val="00546285"/>
    <w:rPr>
      <w:sz w:val="22"/>
    </w:rPr>
  </w:style>
  <w:style w:type="character" w:customStyle="1" w:styleId="BodytextAgencyChar">
    <w:name w:val="Body text (Agency) Char"/>
    <w:link w:val="BodytextAgency"/>
    <w:locked/>
    <w:rsid w:val="00E45A27"/>
    <w:rPr>
      <w:rFonts w:ascii="Verdana" w:hAnsi="Verdana"/>
    </w:rPr>
  </w:style>
  <w:style w:type="paragraph" w:customStyle="1" w:styleId="BodytextAgency">
    <w:name w:val="Body text (Agency)"/>
    <w:basedOn w:val="a"/>
    <w:link w:val="BodytextAgencyChar"/>
    <w:rsid w:val="00E45A27"/>
    <w:pPr>
      <w:tabs>
        <w:tab w:val="clear" w:pos="567"/>
      </w:tabs>
      <w:spacing w:after="140" w:line="280" w:lineRule="atLeast"/>
    </w:pPr>
    <w:rPr>
      <w:rFonts w:ascii="Verdana" w:hAnsi="Verdana"/>
      <w:sz w:val="20"/>
    </w:rPr>
  </w:style>
</w:styles>
</file>

<file path=word/webSettings.xml><?xml version="1.0" encoding="utf-8"?>
<w:webSettings xmlns:r="http://schemas.openxmlformats.org/officeDocument/2006/relationships" xmlns:w="http://schemas.openxmlformats.org/wordprocessingml/2006/main">
  <w:divs>
    <w:div w:id="114061331">
      <w:bodyDiv w:val="1"/>
      <w:marLeft w:val="0"/>
      <w:marRight w:val="0"/>
      <w:marTop w:val="0"/>
      <w:marBottom w:val="0"/>
      <w:divBdr>
        <w:top w:val="none" w:sz="0" w:space="0" w:color="auto"/>
        <w:left w:val="none" w:sz="0" w:space="0" w:color="auto"/>
        <w:bottom w:val="none" w:sz="0" w:space="0" w:color="auto"/>
        <w:right w:val="none" w:sz="0" w:space="0" w:color="auto"/>
      </w:divBdr>
    </w:div>
    <w:div w:id="1247348661">
      <w:bodyDiv w:val="1"/>
      <w:marLeft w:val="0"/>
      <w:marRight w:val="0"/>
      <w:marTop w:val="0"/>
      <w:marBottom w:val="0"/>
      <w:divBdr>
        <w:top w:val="none" w:sz="0" w:space="0" w:color="auto"/>
        <w:left w:val="none" w:sz="0" w:space="0" w:color="auto"/>
        <w:bottom w:val="none" w:sz="0" w:space="0" w:color="auto"/>
        <w:right w:val="none" w:sz="0" w:space="0" w:color="auto"/>
      </w:divBdr>
    </w:div>
    <w:div w:id="1847286225">
      <w:bodyDiv w:val="1"/>
      <w:marLeft w:val="0"/>
      <w:marRight w:val="0"/>
      <w:marTop w:val="0"/>
      <w:marBottom w:val="0"/>
      <w:divBdr>
        <w:top w:val="none" w:sz="0" w:space="0" w:color="auto"/>
        <w:left w:val="none" w:sz="0" w:space="0" w:color="auto"/>
        <w:bottom w:val="none" w:sz="0" w:space="0" w:color="auto"/>
        <w:right w:val="none" w:sz="0" w:space="0" w:color="auto"/>
      </w:divBdr>
    </w:div>
    <w:div w:id="18999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FC02-2EA8-438D-A5D3-F2875D1B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6511</Words>
  <Characters>35160</Characters>
  <Application>Microsoft Office Word</Application>
  <DocSecurity>0</DocSecurity>
  <Lines>293</Lines>
  <Paragraphs>83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Adequate human data …</vt:lpstr>
      <vt:lpstr>Adequate human data …</vt:lpstr>
    </vt:vector>
  </TitlesOfParts>
  <Company>Hewlett-Packard Company</Company>
  <LinksUpToDate>false</LinksUpToDate>
  <CharactersWithSpaces>41588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Adequate human data …</dc:title>
  <dc:creator>OTSD00</dc:creator>
  <cp:lastModifiedBy>user146</cp:lastModifiedBy>
  <cp:revision>8</cp:revision>
  <cp:lastPrinted>2013-07-24T11:00:00Z</cp:lastPrinted>
  <dcterms:created xsi:type="dcterms:W3CDTF">2013-07-24T11:44:00Z</dcterms:created>
  <dcterms:modified xsi:type="dcterms:W3CDTF">2013-09-11T05:12:00Z</dcterms:modified>
</cp:coreProperties>
</file>