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8C19F" w14:textId="77777777" w:rsidR="00B23C3A" w:rsidRPr="000239DC" w:rsidRDefault="00B23C3A" w:rsidP="002E51DA">
      <w:pPr>
        <w:spacing w:after="0"/>
        <w:jc w:val="center"/>
        <w:rPr>
          <w:b/>
        </w:rPr>
      </w:pPr>
      <w:bookmarkStart w:id="0" w:name="_GoBack"/>
      <w:bookmarkEnd w:id="0"/>
      <w:r w:rsidRPr="00754275">
        <w:rPr>
          <w:b/>
        </w:rPr>
        <w:t>ΠΕΡΙΛΗΨΗ ΧΑΡΑΚΤΗΡΙΣΤΙΚΩΝ ΤΟΥ ΠΡΟΪΟΝΤΟΣ</w:t>
      </w:r>
    </w:p>
    <w:p w14:paraId="0B78A67D" w14:textId="77777777" w:rsidR="00754275" w:rsidRPr="000239DC" w:rsidRDefault="00754275" w:rsidP="002E51DA">
      <w:pPr>
        <w:spacing w:after="0"/>
        <w:jc w:val="center"/>
        <w:rPr>
          <w:b/>
        </w:rPr>
      </w:pPr>
    </w:p>
    <w:p w14:paraId="2E97C5F4" w14:textId="77777777" w:rsidR="00754275" w:rsidRPr="00754275" w:rsidRDefault="000239DC" w:rsidP="002E51DA">
      <w:pPr>
        <w:spacing w:after="0"/>
        <w:jc w:val="center"/>
        <w:rPr>
          <w:b/>
        </w:rPr>
      </w:pPr>
      <w:r>
        <w:rPr>
          <w:b/>
          <w:lang w:val="en-US"/>
        </w:rPr>
        <w:t>IDEALITE</w:t>
      </w:r>
    </w:p>
    <w:p w14:paraId="0F91F27E" w14:textId="77777777" w:rsidR="00754275" w:rsidRPr="00754275" w:rsidRDefault="00754275" w:rsidP="002E51DA">
      <w:pPr>
        <w:spacing w:after="0"/>
        <w:jc w:val="center"/>
        <w:rPr>
          <w:b/>
        </w:rPr>
      </w:pPr>
    </w:p>
    <w:p w14:paraId="6D107EDF" w14:textId="77777777" w:rsidR="00754275" w:rsidRPr="00754275" w:rsidRDefault="007018FB" w:rsidP="002E51DA">
      <w:pPr>
        <w:spacing w:after="0"/>
        <w:jc w:val="center"/>
        <w:rPr>
          <w:b/>
        </w:rPr>
      </w:pPr>
      <w:r>
        <w:rPr>
          <w:b/>
        </w:rPr>
        <w:t>(</w:t>
      </w:r>
      <w:r w:rsidR="009722C1">
        <w:rPr>
          <w:b/>
        </w:rPr>
        <w:t>Διασερε</w:t>
      </w:r>
      <w:r w:rsidR="00E00DFE">
        <w:rPr>
          <w:b/>
        </w:rPr>
        <w:t>ΐ</w:t>
      </w:r>
      <w:r w:rsidR="009722C1">
        <w:rPr>
          <w:b/>
        </w:rPr>
        <w:t>νη</w:t>
      </w:r>
      <w:r w:rsidR="00B23C3A" w:rsidRPr="00754275">
        <w:rPr>
          <w:b/>
        </w:rPr>
        <w:t>)</w:t>
      </w:r>
    </w:p>
    <w:p w14:paraId="2CE02C92" w14:textId="77777777" w:rsidR="00754275" w:rsidRPr="00754275" w:rsidRDefault="00754275" w:rsidP="002E51DA">
      <w:pPr>
        <w:spacing w:after="0"/>
        <w:jc w:val="both"/>
      </w:pPr>
    </w:p>
    <w:p w14:paraId="2F1AA4BF" w14:textId="77777777" w:rsidR="00754275" w:rsidRPr="000239DC" w:rsidRDefault="00B23C3A" w:rsidP="002E51DA">
      <w:pPr>
        <w:spacing w:after="0"/>
        <w:jc w:val="both"/>
        <w:rPr>
          <w:b/>
        </w:rPr>
      </w:pPr>
      <w:r w:rsidRPr="00754275">
        <w:rPr>
          <w:b/>
        </w:rPr>
        <w:t>1.</w:t>
      </w:r>
      <w:r w:rsidRPr="00754275">
        <w:rPr>
          <w:b/>
        </w:rPr>
        <w:tab/>
        <w:t xml:space="preserve">ΟΝΟΜΑΣΙΑ ΤΟΥ ΦΑΡΜΑΚΕΥΤΙΚΟΥ ΠΡΟΙΟΝΤΟΣ </w:t>
      </w:r>
    </w:p>
    <w:p w14:paraId="2C2F06B5" w14:textId="77777777" w:rsidR="00754275" w:rsidRPr="000239DC" w:rsidRDefault="00754275" w:rsidP="002E51DA">
      <w:pPr>
        <w:spacing w:after="0"/>
        <w:jc w:val="both"/>
      </w:pPr>
    </w:p>
    <w:p w14:paraId="232126FF" w14:textId="77777777" w:rsidR="00B23C3A" w:rsidRPr="00754275" w:rsidRDefault="000239DC" w:rsidP="002E51DA">
      <w:pPr>
        <w:spacing w:after="0"/>
        <w:jc w:val="both"/>
      </w:pPr>
      <w:r>
        <w:rPr>
          <w:b/>
          <w:lang w:val="en-US"/>
        </w:rPr>
        <w:t>IDEALITE</w:t>
      </w:r>
      <w:r w:rsidR="00754275">
        <w:t xml:space="preserve"> 50</w:t>
      </w:r>
      <w:r w:rsidR="00B23C3A">
        <w:t>mg σκληρά καψάκια</w:t>
      </w:r>
    </w:p>
    <w:p w14:paraId="49E1C4ED" w14:textId="77777777" w:rsidR="00754275" w:rsidRPr="00754275" w:rsidRDefault="00754275" w:rsidP="002E51DA">
      <w:pPr>
        <w:spacing w:after="0"/>
        <w:jc w:val="both"/>
      </w:pPr>
    </w:p>
    <w:p w14:paraId="754C8C17" w14:textId="77777777" w:rsidR="00B23C3A" w:rsidRPr="000239DC" w:rsidRDefault="00B23C3A" w:rsidP="002E51DA">
      <w:pPr>
        <w:spacing w:after="0"/>
        <w:jc w:val="both"/>
        <w:rPr>
          <w:b/>
        </w:rPr>
      </w:pPr>
      <w:r w:rsidRPr="00754275">
        <w:rPr>
          <w:b/>
        </w:rPr>
        <w:t>2.</w:t>
      </w:r>
      <w:r w:rsidRPr="00754275">
        <w:rPr>
          <w:b/>
        </w:rPr>
        <w:tab/>
        <w:t>ΠΟΙΟΤΙΚΗ ΚΑΙ ΠΟΣΟΤΙΚΗ ΣΥΝΘΕΣΗ</w:t>
      </w:r>
    </w:p>
    <w:p w14:paraId="14A73FF3" w14:textId="77777777" w:rsidR="00754275" w:rsidRPr="00754275" w:rsidRDefault="00754275" w:rsidP="002E51DA">
      <w:pPr>
        <w:spacing w:after="0"/>
        <w:jc w:val="both"/>
      </w:pPr>
    </w:p>
    <w:p w14:paraId="6F4D0ED6" w14:textId="77777777" w:rsidR="00B23C3A" w:rsidRDefault="007018FB" w:rsidP="002E51DA">
      <w:pPr>
        <w:spacing w:after="0"/>
        <w:jc w:val="both"/>
      </w:pPr>
      <w:r>
        <w:t>Κάθε καψάκιο περιέχει 50</w:t>
      </w:r>
      <w:r w:rsidR="004E3C59">
        <w:t xml:space="preserve">mg </w:t>
      </w:r>
      <w:r w:rsidR="004E3C59">
        <w:rPr>
          <w:lang w:val="en-US"/>
        </w:rPr>
        <w:t>Diacerein</w:t>
      </w:r>
      <w:r w:rsidR="00B23C3A">
        <w:t>.</w:t>
      </w:r>
    </w:p>
    <w:p w14:paraId="7A3F2578" w14:textId="77777777" w:rsidR="007018FB" w:rsidRDefault="007018FB" w:rsidP="002E51DA">
      <w:pPr>
        <w:spacing w:after="0"/>
        <w:jc w:val="both"/>
      </w:pPr>
    </w:p>
    <w:p w14:paraId="638D6500" w14:textId="77777777" w:rsidR="00B23C3A" w:rsidRDefault="00B23C3A" w:rsidP="002E51DA">
      <w:pPr>
        <w:spacing w:after="0"/>
        <w:jc w:val="both"/>
      </w:pPr>
      <w:r>
        <w:t xml:space="preserve">Για τον πλήρη κατάλογο των εκδόχων, </w:t>
      </w:r>
      <w:r w:rsidR="008C42DD">
        <w:t>βλ</w:t>
      </w:r>
      <w:r w:rsidR="008C42DD" w:rsidRPr="008C42DD">
        <w:t>.</w:t>
      </w:r>
      <w:r w:rsidR="008C42DD">
        <w:t xml:space="preserve"> </w:t>
      </w:r>
      <w:r>
        <w:t>παράγραφο 6.1</w:t>
      </w:r>
    </w:p>
    <w:p w14:paraId="4268AD4E" w14:textId="77777777" w:rsidR="007018FB" w:rsidRDefault="007018FB" w:rsidP="002E51DA">
      <w:pPr>
        <w:spacing w:after="0"/>
        <w:jc w:val="both"/>
      </w:pPr>
    </w:p>
    <w:p w14:paraId="44CD704A" w14:textId="77777777" w:rsidR="00B23C3A" w:rsidRDefault="00B23C3A" w:rsidP="002E51DA">
      <w:pPr>
        <w:spacing w:after="0"/>
        <w:jc w:val="both"/>
        <w:rPr>
          <w:b/>
        </w:rPr>
      </w:pPr>
      <w:r w:rsidRPr="007018FB">
        <w:rPr>
          <w:b/>
        </w:rPr>
        <w:t>3.</w:t>
      </w:r>
      <w:r w:rsidRPr="007018FB">
        <w:rPr>
          <w:b/>
        </w:rPr>
        <w:tab/>
        <w:t>ΦΑΡΜΑΚΟΤΕΧΝΙΚΗ ΜΟΡΦΗ</w:t>
      </w:r>
    </w:p>
    <w:p w14:paraId="18599064" w14:textId="77777777" w:rsidR="007018FB" w:rsidRPr="007018FB" w:rsidRDefault="007018FB" w:rsidP="002E51DA">
      <w:pPr>
        <w:spacing w:after="0"/>
        <w:jc w:val="both"/>
        <w:rPr>
          <w:b/>
        </w:rPr>
      </w:pPr>
    </w:p>
    <w:p w14:paraId="3F050713" w14:textId="77777777" w:rsidR="00B23C3A" w:rsidRDefault="00B23C3A" w:rsidP="002E51DA">
      <w:pPr>
        <w:spacing w:after="0"/>
        <w:jc w:val="both"/>
      </w:pPr>
      <w:r>
        <w:t>Σκληρά καψάκια.</w:t>
      </w:r>
    </w:p>
    <w:p w14:paraId="3EED26F7" w14:textId="77777777" w:rsidR="007018FB" w:rsidRDefault="007018FB" w:rsidP="002E51DA">
      <w:pPr>
        <w:spacing w:after="0"/>
        <w:jc w:val="both"/>
      </w:pPr>
    </w:p>
    <w:p w14:paraId="2AFC9B03" w14:textId="77777777" w:rsidR="00B23C3A" w:rsidRDefault="00B23C3A" w:rsidP="002E51DA">
      <w:pPr>
        <w:spacing w:after="0"/>
        <w:jc w:val="both"/>
        <w:rPr>
          <w:b/>
        </w:rPr>
      </w:pPr>
      <w:r w:rsidRPr="007018FB">
        <w:rPr>
          <w:b/>
        </w:rPr>
        <w:t>4.</w:t>
      </w:r>
      <w:r w:rsidRPr="007018FB">
        <w:rPr>
          <w:b/>
        </w:rPr>
        <w:tab/>
        <w:t>ΚΛΙΝΙΚΕΣ ΠΛΗΡΟΦΟΡΙΕΣ</w:t>
      </w:r>
    </w:p>
    <w:p w14:paraId="37D38E4B" w14:textId="77777777" w:rsidR="007018FB" w:rsidRPr="007018FB" w:rsidRDefault="007018FB" w:rsidP="002E51DA">
      <w:pPr>
        <w:spacing w:after="0"/>
        <w:jc w:val="both"/>
        <w:rPr>
          <w:b/>
        </w:rPr>
      </w:pPr>
    </w:p>
    <w:p w14:paraId="4A06A2AB" w14:textId="77777777" w:rsidR="00B23C3A" w:rsidRPr="007018FB" w:rsidRDefault="00B23C3A" w:rsidP="002E51DA">
      <w:pPr>
        <w:spacing w:after="0"/>
        <w:jc w:val="both"/>
        <w:rPr>
          <w:b/>
        </w:rPr>
      </w:pPr>
      <w:r w:rsidRPr="007018FB">
        <w:rPr>
          <w:b/>
        </w:rPr>
        <w:t>4.1</w:t>
      </w:r>
      <w:r w:rsidRPr="007018FB">
        <w:rPr>
          <w:b/>
        </w:rPr>
        <w:tab/>
        <w:t>Θεραπευτικές ενδείξεις</w:t>
      </w:r>
    </w:p>
    <w:p w14:paraId="7B9B68A3" w14:textId="77777777" w:rsidR="007018FB" w:rsidRDefault="007018FB" w:rsidP="002E51DA">
      <w:pPr>
        <w:spacing w:after="0"/>
        <w:jc w:val="both"/>
      </w:pPr>
    </w:p>
    <w:p w14:paraId="140A3259" w14:textId="77777777" w:rsidR="008C42DD" w:rsidRDefault="008C42DD" w:rsidP="002E51DA">
      <w:pPr>
        <w:spacing w:after="0"/>
        <w:jc w:val="both"/>
      </w:pPr>
      <w:r>
        <w:t>Θεραπεία των συμπτωμάτων σε ασθενείς με οστεοαρθρίτιδα του ισχίου ή του γόνατος, με καθυστερημένη επίδραση.</w:t>
      </w:r>
    </w:p>
    <w:p w14:paraId="663A40FE" w14:textId="77777777" w:rsidR="008C42DD" w:rsidRDefault="008C42DD" w:rsidP="002E51DA">
      <w:pPr>
        <w:spacing w:after="0"/>
        <w:jc w:val="both"/>
      </w:pPr>
      <w:r>
        <w:t>Η θεραπεία με διασερεΐνη δεν συνιστάται σε ασθενείς με ταχέως επιδεινούμενη οστεοαρθρίτιδα του ισχίου, καθώς σε αυτούς τους ασθενείς η ανταπόκριση στη διασερεΐνη μπορεί να είναι ασθενέστερη.</w:t>
      </w:r>
    </w:p>
    <w:p w14:paraId="14A0DA29" w14:textId="77777777" w:rsidR="007018FB" w:rsidRPr="000239DC" w:rsidRDefault="007018FB" w:rsidP="002E51DA">
      <w:pPr>
        <w:spacing w:after="0"/>
        <w:jc w:val="both"/>
      </w:pPr>
    </w:p>
    <w:p w14:paraId="79DE1A54" w14:textId="77777777" w:rsidR="00B23C3A" w:rsidRPr="007018FB" w:rsidRDefault="00B23C3A" w:rsidP="002E51DA">
      <w:pPr>
        <w:spacing w:after="0"/>
        <w:jc w:val="both"/>
        <w:rPr>
          <w:b/>
        </w:rPr>
      </w:pPr>
      <w:r w:rsidRPr="007018FB">
        <w:rPr>
          <w:b/>
        </w:rPr>
        <w:t>4.2</w:t>
      </w:r>
      <w:r w:rsidRPr="007018FB">
        <w:rPr>
          <w:b/>
        </w:rPr>
        <w:tab/>
        <w:t>Δοσολογία και τρόπος χορήγησης</w:t>
      </w:r>
    </w:p>
    <w:p w14:paraId="58A4F4A3" w14:textId="77777777" w:rsidR="008C42DD" w:rsidRDefault="008C42DD" w:rsidP="002E51DA">
      <w:pPr>
        <w:spacing w:after="0"/>
        <w:jc w:val="both"/>
      </w:pPr>
    </w:p>
    <w:p w14:paraId="4B49EF40" w14:textId="77777777" w:rsidR="008C42DD" w:rsidRDefault="008C42DD" w:rsidP="002E51DA">
      <w:pPr>
        <w:spacing w:after="0"/>
        <w:jc w:val="both"/>
      </w:pPr>
      <w:r>
        <w:t>Η έναρξη της θεραπείας θα πρέπει να γίνεται από ειδικούς με εμπειρία στη θεραπεία της οστεοαρθρίτιδας.</w:t>
      </w:r>
    </w:p>
    <w:p w14:paraId="6E6C4283" w14:textId="77777777" w:rsidR="008C42DD" w:rsidRDefault="008C42DD" w:rsidP="002E51DA">
      <w:pPr>
        <w:spacing w:after="0"/>
        <w:jc w:val="both"/>
      </w:pPr>
    </w:p>
    <w:p w14:paraId="4A409ABE" w14:textId="77777777" w:rsidR="008C42DD" w:rsidRPr="008C42DD" w:rsidRDefault="008C42DD" w:rsidP="002E51DA">
      <w:pPr>
        <w:spacing w:after="0"/>
        <w:jc w:val="both"/>
        <w:rPr>
          <w:u w:val="single"/>
        </w:rPr>
      </w:pPr>
      <w:r w:rsidRPr="008C42DD">
        <w:rPr>
          <w:u w:val="single"/>
        </w:rPr>
        <w:t>Δοσολογία</w:t>
      </w:r>
    </w:p>
    <w:p w14:paraId="2B7D4E4E" w14:textId="77777777" w:rsidR="008C42DD" w:rsidRDefault="008C42DD" w:rsidP="002E51DA">
      <w:pPr>
        <w:spacing w:after="0"/>
        <w:jc w:val="both"/>
      </w:pPr>
    </w:p>
    <w:p w14:paraId="6F91E59D" w14:textId="77777777" w:rsidR="008F5B0C" w:rsidRDefault="008F5B0C" w:rsidP="002E51DA">
      <w:pPr>
        <w:spacing w:after="0"/>
        <w:jc w:val="both"/>
      </w:pPr>
      <w:r>
        <w:t>Καθώς σε μερικούς ασθενείς μπορεί να παρουσιαστούν χαλαρά κόπρανα ή διάρροια, η συνιστώμενη δόση έναρξης είναι 50</w:t>
      </w:r>
      <w:r w:rsidRPr="00D3634C">
        <w:t xml:space="preserve"> </w:t>
      </w:r>
      <w:r>
        <w:rPr>
          <w:lang w:val="en-US"/>
        </w:rPr>
        <w:t>mg</w:t>
      </w:r>
      <w:r>
        <w:t xml:space="preserve"> μια φορά ημερησίως με το βραδινό γεύμα για τις πρώτες 2 έως 4 εβδομάδες της θεραπείας. Μετά από αυτή την περίοδο η συνιστώμενη ημερήσια δόση είναι 50 </w:t>
      </w:r>
      <w:r>
        <w:rPr>
          <w:lang w:val="en-US"/>
        </w:rPr>
        <w:t>mg</w:t>
      </w:r>
      <w:r>
        <w:t xml:space="preserve"> δύο φορές ημ</w:t>
      </w:r>
      <w:r w:rsidR="00E00DFE">
        <w:t>ε</w:t>
      </w:r>
      <w:r>
        <w:t>ρ</w:t>
      </w:r>
      <w:r w:rsidR="00E00DFE">
        <w:t>ησίως</w:t>
      </w:r>
      <w:r>
        <w:t>.</w:t>
      </w:r>
    </w:p>
    <w:p w14:paraId="0D987E29" w14:textId="4F7F409A" w:rsidR="007018FB" w:rsidRPr="000239DC" w:rsidRDefault="008F5B0C" w:rsidP="002E51DA">
      <w:pPr>
        <w:spacing w:after="0"/>
        <w:jc w:val="both"/>
      </w:pPr>
      <w:r>
        <w:t>Το φάρμακο θα πρέπει να λαμβάνεται με τροφή, μία κάψουλα με το πρόγευμα και μία με το βραδινό γεύμα. Οι κάψουλες θα πρέπει να καταπίνονται ακέραιες και χωρίς να ανοίγονται, με ένα ποτήρι νερό.</w:t>
      </w:r>
      <w:r w:rsidDel="008F5B0C">
        <w:t xml:space="preserve"> </w:t>
      </w:r>
    </w:p>
    <w:p w14:paraId="2E2C9BE6" w14:textId="77777777" w:rsidR="008F5B0C" w:rsidRDefault="008F5B0C" w:rsidP="002E51DA">
      <w:pPr>
        <w:spacing w:after="0"/>
        <w:jc w:val="both"/>
      </w:pPr>
      <w:r>
        <w:t>Η διασερε</w:t>
      </w:r>
      <w:r w:rsidR="00E00DFE">
        <w:t>ΐ</w:t>
      </w:r>
      <w:r>
        <w:t>νη δεν συνιστάται σε ασθενείς ηλικίας άνω των 65 ετών.</w:t>
      </w:r>
    </w:p>
    <w:p w14:paraId="54966212" w14:textId="77777777" w:rsidR="007018FB" w:rsidRPr="000239DC" w:rsidRDefault="007018FB" w:rsidP="002E51DA">
      <w:pPr>
        <w:spacing w:after="0"/>
        <w:jc w:val="both"/>
      </w:pPr>
    </w:p>
    <w:p w14:paraId="283D34C4" w14:textId="77777777" w:rsidR="00B23C3A" w:rsidRPr="000239DC" w:rsidRDefault="00B23C3A" w:rsidP="002E51DA">
      <w:pPr>
        <w:spacing w:after="0"/>
        <w:jc w:val="both"/>
      </w:pPr>
      <w:r>
        <w:t xml:space="preserve">Σε ασθενείς με </w:t>
      </w:r>
      <w:r w:rsidRPr="009074BA">
        <w:t>νεφρική ανεπάρκεια</w:t>
      </w:r>
      <w:r>
        <w:t xml:space="preserve"> (κάθαρση κρεατινίνης κατώτερη των 30 ml/min), η ημερήσια δοσολογία πρέπει να μειώνεται στο μισό.</w:t>
      </w:r>
    </w:p>
    <w:p w14:paraId="51839E36" w14:textId="77777777" w:rsidR="00B23C3A" w:rsidRPr="007018FB" w:rsidRDefault="00B23C3A" w:rsidP="002E51DA">
      <w:pPr>
        <w:spacing w:after="0"/>
        <w:jc w:val="both"/>
      </w:pPr>
      <w:r>
        <w:t>Η διάρκεια της θεραπευτικής αγωγής περιορίζεται στους 6 μήνες.</w:t>
      </w:r>
    </w:p>
    <w:p w14:paraId="4159556F" w14:textId="77777777" w:rsidR="007018FB" w:rsidRPr="007018FB" w:rsidRDefault="007018FB" w:rsidP="002E51DA">
      <w:pPr>
        <w:spacing w:after="0"/>
        <w:jc w:val="both"/>
      </w:pPr>
    </w:p>
    <w:p w14:paraId="02696DB1" w14:textId="77777777" w:rsidR="00C25EC1" w:rsidRDefault="00C25EC1" w:rsidP="00C25EC1">
      <w:pPr>
        <w:spacing w:after="0"/>
        <w:jc w:val="both"/>
      </w:pPr>
      <w:r>
        <w:t xml:space="preserve">Επειδή το θεραπευτικό αποτέλεσμα εκδηλώνεται με μία χρονική υστέρηση 30 περίπου ημερών από την έναρξη της αγωγής, η χορήγηση του </w:t>
      </w:r>
      <w:r w:rsidRPr="00C25EC1">
        <w:t>IDEALITE</w:t>
      </w:r>
      <w:r>
        <w:t xml:space="preserve"> μπορεί να συνδυαστεί για το χρονικό αυτό διάστημα, με αναλγητικά / αντιφλεγμονώδη αμέσου δράσεως.</w:t>
      </w:r>
    </w:p>
    <w:p w14:paraId="21A1E36A" w14:textId="77777777" w:rsidR="00C25EC1" w:rsidRDefault="00C25EC1" w:rsidP="00C25EC1">
      <w:pPr>
        <w:spacing w:after="0"/>
        <w:jc w:val="both"/>
      </w:pPr>
    </w:p>
    <w:p w14:paraId="5A9E1141" w14:textId="77777777" w:rsidR="007018FB" w:rsidRPr="0026580B" w:rsidRDefault="00C25EC1" w:rsidP="00C25EC1">
      <w:pPr>
        <w:spacing w:after="0"/>
        <w:jc w:val="both"/>
      </w:pPr>
      <w:r>
        <w:t>Οι ανεπιθύμητες ενέργειες μπορεί να ελαχιστοποιηθούν, εφόσον χρησιμοποιούνται για την πλέον μικρή διάρκεια θεραπείας που απαιτείται για τον έλεγχο των συμπτωμάτων (βλέπε παράγραφο 4.4).</w:t>
      </w:r>
    </w:p>
    <w:p w14:paraId="7D08E0D9" w14:textId="77777777" w:rsidR="000D4F44" w:rsidRPr="000D4F44" w:rsidRDefault="000D4F44" w:rsidP="00C25EC1">
      <w:pPr>
        <w:spacing w:after="0"/>
        <w:jc w:val="both"/>
      </w:pPr>
    </w:p>
    <w:p w14:paraId="58A6D6CC" w14:textId="77777777" w:rsidR="00B23C3A" w:rsidRPr="007018FB" w:rsidRDefault="00B23C3A" w:rsidP="002E51DA">
      <w:pPr>
        <w:spacing w:after="0"/>
        <w:jc w:val="both"/>
        <w:rPr>
          <w:b/>
        </w:rPr>
      </w:pPr>
      <w:r w:rsidRPr="007018FB">
        <w:rPr>
          <w:b/>
        </w:rPr>
        <w:t>4.3</w:t>
      </w:r>
      <w:r w:rsidRPr="007018FB">
        <w:rPr>
          <w:b/>
        </w:rPr>
        <w:tab/>
        <w:t>Αντενδείξεις</w:t>
      </w:r>
    </w:p>
    <w:p w14:paraId="138B3497" w14:textId="77777777" w:rsidR="008F5B0C" w:rsidRDefault="008F5B0C" w:rsidP="002E51DA">
      <w:pPr>
        <w:spacing w:after="0"/>
        <w:jc w:val="both"/>
      </w:pPr>
    </w:p>
    <w:p w14:paraId="5E6D4E95" w14:textId="77777777" w:rsidR="00B23C3A" w:rsidRPr="000239DC" w:rsidRDefault="00B23C3A" w:rsidP="002E51DA">
      <w:pPr>
        <w:spacing w:after="0"/>
        <w:jc w:val="both"/>
      </w:pPr>
      <w:r>
        <w:t>Επιβεβαιωμένη δυσανεξία στη δραστική ουσία ή τα άλλα συστατικά του φαρμάκου.</w:t>
      </w:r>
    </w:p>
    <w:p w14:paraId="226CA025" w14:textId="77777777" w:rsidR="007018FB" w:rsidRDefault="007018FB" w:rsidP="002E51DA">
      <w:pPr>
        <w:spacing w:after="0"/>
        <w:jc w:val="both"/>
      </w:pPr>
    </w:p>
    <w:p w14:paraId="3C486224" w14:textId="77777777" w:rsidR="008F5B0C" w:rsidRDefault="008F5B0C" w:rsidP="002E51DA">
      <w:pPr>
        <w:spacing w:after="0"/>
        <w:jc w:val="both"/>
      </w:pPr>
      <w:r>
        <w:t>Τρέχουσα ηπατική νόσος και/ή ιστορικό της νόσου αυτής.</w:t>
      </w:r>
    </w:p>
    <w:p w14:paraId="3FE9C97B" w14:textId="77777777" w:rsidR="008F5B0C" w:rsidRPr="00B23557" w:rsidRDefault="00FB2DD9" w:rsidP="002E51DA">
      <w:pPr>
        <w:spacing w:after="0"/>
        <w:jc w:val="both"/>
      </w:pPr>
      <w:r w:rsidRPr="00FB2DD9">
        <w:t>Βαριά καρδιακή ανεπάρκεια.</w:t>
      </w:r>
    </w:p>
    <w:p w14:paraId="06E35BB0" w14:textId="77777777" w:rsidR="00FB2DD9" w:rsidRPr="00B23557" w:rsidRDefault="00FB2DD9" w:rsidP="002E51DA">
      <w:pPr>
        <w:spacing w:after="0"/>
        <w:jc w:val="both"/>
      </w:pPr>
    </w:p>
    <w:p w14:paraId="6D7E866B" w14:textId="408396E2" w:rsidR="00F657A7" w:rsidRPr="00DE2A51" w:rsidRDefault="00F657A7" w:rsidP="002E51DA">
      <w:pPr>
        <w:spacing w:after="0"/>
        <w:jc w:val="both"/>
      </w:pPr>
    </w:p>
    <w:p w14:paraId="29F7A58B" w14:textId="77777777" w:rsidR="00B23C3A" w:rsidRPr="000239DC" w:rsidRDefault="00B23C3A" w:rsidP="002E51DA">
      <w:pPr>
        <w:spacing w:after="0"/>
        <w:jc w:val="both"/>
        <w:rPr>
          <w:b/>
        </w:rPr>
      </w:pPr>
      <w:r w:rsidRPr="007018FB">
        <w:rPr>
          <w:b/>
        </w:rPr>
        <w:t>4.4</w:t>
      </w:r>
      <w:r w:rsidRPr="007018FB">
        <w:rPr>
          <w:b/>
        </w:rPr>
        <w:tab/>
        <w:t>Ειδικές προειδοποιήσεις και προφυλάξεις κατά τη χρήση</w:t>
      </w:r>
    </w:p>
    <w:p w14:paraId="1C9683EA" w14:textId="77777777" w:rsidR="007018FB" w:rsidRPr="000239DC" w:rsidRDefault="007018FB" w:rsidP="002E51DA">
      <w:pPr>
        <w:spacing w:after="0"/>
        <w:jc w:val="both"/>
        <w:rPr>
          <w:b/>
        </w:rPr>
      </w:pPr>
    </w:p>
    <w:p w14:paraId="554F673F" w14:textId="77777777" w:rsidR="00B23C3A" w:rsidRPr="00B23557" w:rsidRDefault="00C25532" w:rsidP="002E51DA">
      <w:pPr>
        <w:spacing w:after="0"/>
        <w:jc w:val="both"/>
      </w:pPr>
      <w:r>
        <w:t>Τ</w:t>
      </w:r>
      <w:r w:rsidR="00CA4186">
        <w:t>ο</w:t>
      </w:r>
      <w:r w:rsidR="00B23C3A">
        <w:t xml:space="preserve"> </w:t>
      </w:r>
      <w:r w:rsidR="000239DC">
        <w:t>IDEALITE</w:t>
      </w:r>
      <w:r w:rsidR="00B23C3A">
        <w:t xml:space="preserve"> δεν πρέπει να χορηγείται σε παιδιά ηλικίας κάτω των 15 ετών.</w:t>
      </w:r>
    </w:p>
    <w:p w14:paraId="6238C16A" w14:textId="77777777" w:rsidR="00A80B00" w:rsidRPr="00DE2A51" w:rsidRDefault="00A80B00" w:rsidP="002E51DA">
      <w:pPr>
        <w:spacing w:after="0"/>
        <w:jc w:val="both"/>
      </w:pPr>
    </w:p>
    <w:p w14:paraId="1210F7DE" w14:textId="77777777" w:rsidR="00B23C3A" w:rsidRPr="00B23557" w:rsidRDefault="00B23C3A" w:rsidP="002E51DA">
      <w:pPr>
        <w:spacing w:after="0"/>
        <w:jc w:val="both"/>
        <w:rPr>
          <w:u w:val="single"/>
        </w:rPr>
      </w:pPr>
      <w:r w:rsidRPr="00B23557">
        <w:rPr>
          <w:u w:val="single"/>
        </w:rPr>
        <w:t>Καρδιαγγειακές και αγγειοεγκεφαλικές επιδράσεις</w:t>
      </w:r>
    </w:p>
    <w:p w14:paraId="3001BF1D" w14:textId="77777777" w:rsidR="007018FB" w:rsidRPr="000239DC" w:rsidRDefault="007018FB" w:rsidP="002E51DA">
      <w:pPr>
        <w:spacing w:after="0"/>
        <w:jc w:val="both"/>
        <w:rPr>
          <w:b/>
        </w:rPr>
      </w:pPr>
    </w:p>
    <w:p w14:paraId="4E0D8F9B" w14:textId="77777777" w:rsidR="00B23C3A" w:rsidRPr="000239DC" w:rsidRDefault="00B23C3A" w:rsidP="002E51DA">
      <w:pPr>
        <w:spacing w:after="0"/>
        <w:jc w:val="both"/>
      </w:pPr>
      <w:r>
        <w:t>Απαιτείται η σωστή παρακολούθηση και η παροχή συμβουλών σε ασθενείς με ιστορικό υπέρτασης και /ή με ελαφρά έως μέτρια συμφορητική καρδιακή ανεπάρκεια καθώς έχει αναφερθεί κατακράτηση υγρών και οίδημα σε συνδυασμό με θεραπεία με ΜΣΑΦ .</w:t>
      </w:r>
    </w:p>
    <w:p w14:paraId="4D38DBAB" w14:textId="7B1902B5" w:rsidR="00B23C3A" w:rsidRPr="000239DC" w:rsidRDefault="00B23C3A" w:rsidP="002E51DA">
      <w:pPr>
        <w:spacing w:after="0"/>
        <w:jc w:val="both"/>
      </w:pPr>
      <w:r>
        <w:t>Δεδομένα από κλινικές δοκιμές και επιδημιολογικές μελέτες υποδεικνύουν ότι η χρήση μερικών ΜΣ</w:t>
      </w:r>
      <w:r w:rsidR="009B006D">
        <w:t>Α</w:t>
      </w:r>
      <w:r>
        <w:t>Φ (</w:t>
      </w:r>
      <w:r w:rsidR="00DE2519" w:rsidRPr="00DE2519">
        <w:t>ιδιαίτερα</w:t>
      </w:r>
      <w:r>
        <w:t xml:space="preserve"> σε υψηλές δόσεις και σε μακροχρόνιες θεραπείες) </w:t>
      </w:r>
      <w:r w:rsidR="00EA4F59" w:rsidRPr="00EA4F59">
        <w:t>μπορεί να συσχετίζεται</w:t>
      </w:r>
      <w:r w:rsidR="00EA4F59" w:rsidRPr="00EA4F59" w:rsidDel="00EA4F59">
        <w:t xml:space="preserve"> </w:t>
      </w:r>
      <w:r>
        <w:t xml:space="preserve">με μια μικρή αύξηση του κινδύνου για εμφάνιση θρομβωτικών αρτηριακών συμβάντων (για παράδειγμα έμφραγμα του μυοκαρδίου ή εγκεφαλικό επεισόδιο). Υπάρχουν ανεπαρκείς πληροφορίες για να αποκλεισθεί ένας τέτοιος κίνδυνος </w:t>
      </w:r>
      <w:r w:rsidR="00E814A9" w:rsidRPr="00E814A9">
        <w:t>για την διασερεϊνη.</w:t>
      </w:r>
    </w:p>
    <w:p w14:paraId="2E241AA9" w14:textId="2C78A86F" w:rsidR="00B23C3A" w:rsidRPr="002E51DA" w:rsidRDefault="00B23C3A" w:rsidP="002E51DA">
      <w:pPr>
        <w:spacing w:after="0"/>
        <w:jc w:val="both"/>
      </w:pPr>
      <w:r>
        <w:t>Ασθ</w:t>
      </w:r>
      <w:r w:rsidR="002E51DA">
        <w:t>ενείς με μη ρυθμισμένη υπέρταση,</w:t>
      </w:r>
      <w:r w:rsidR="002E51DA" w:rsidRPr="002E51DA">
        <w:t xml:space="preserve"> </w:t>
      </w:r>
      <w:r w:rsidR="007B4EBE">
        <w:t>συμφορητική καρδιακή ανεπάρκεια</w:t>
      </w:r>
      <w:r>
        <w:t>, εγκατεστημένη ισχαιμι</w:t>
      </w:r>
      <w:r w:rsidR="002E51DA">
        <w:t>κή καρδιοπάθεια</w:t>
      </w:r>
      <w:r w:rsidR="007B4EBE">
        <w:t>, περιφερική αρτηριακή νόσο</w:t>
      </w:r>
      <w:r>
        <w:t xml:space="preserve">, και/ή </w:t>
      </w:r>
      <w:r w:rsidR="00C41101" w:rsidRPr="00C41101">
        <w:t xml:space="preserve">αγγειακή εγκεφαλική </w:t>
      </w:r>
      <w:r>
        <w:t xml:space="preserve">νόσο θα πρέπει να υποβληθούν σε θεραπεία με </w:t>
      </w:r>
      <w:r w:rsidR="005C75B3" w:rsidRPr="005C75B3">
        <w:t>διασερεϊνη</w:t>
      </w:r>
      <w:r>
        <w:t xml:space="preserve"> μετά από</w:t>
      </w:r>
      <w:r w:rsidR="007B4EBE">
        <w:t xml:space="preserve"> προσεκτική θεώρηση του θέματος</w:t>
      </w:r>
      <w:r>
        <w:t>.</w:t>
      </w:r>
      <w:r w:rsidR="007B4EBE">
        <w:t xml:space="preserve"> </w:t>
      </w:r>
      <w:r>
        <w:t xml:space="preserve">Παρόμοια </w:t>
      </w:r>
      <w:r w:rsidR="005C75B3" w:rsidRPr="005C75B3">
        <w:t>θεώρηση</w:t>
      </w:r>
      <w:r>
        <w:t xml:space="preserve"> θα πρέπει να γίνεται πριν την έναρξη </w:t>
      </w:r>
      <w:r w:rsidR="006406EC" w:rsidRPr="006406EC">
        <w:t xml:space="preserve">μεγαλύτερης διάρκειας </w:t>
      </w:r>
      <w:r>
        <w:t>θεραπείας σε ασθενείς με παράγοντες κινδύνου για εμφάνισ</w:t>
      </w:r>
      <w:r w:rsidR="007B4EBE">
        <w:t xml:space="preserve">η καρδιοαγγειακής </w:t>
      </w:r>
      <w:r w:rsidR="006406EC" w:rsidRPr="006406EC">
        <w:t>νόσου</w:t>
      </w:r>
      <w:r w:rsidR="007B4EBE">
        <w:t xml:space="preserve"> (π.</w:t>
      </w:r>
      <w:r>
        <w:t>χ</w:t>
      </w:r>
      <w:r w:rsidR="007B4EBE">
        <w:t>. υπέρταση, υπερλιπιδαιμία, σακχαρώδης διαβήτης</w:t>
      </w:r>
      <w:r>
        <w:t xml:space="preserve">, </w:t>
      </w:r>
      <w:r w:rsidR="006406EC" w:rsidRPr="006406EC">
        <w:t>κάπνισμα</w:t>
      </w:r>
      <w:r>
        <w:t>).</w:t>
      </w:r>
    </w:p>
    <w:p w14:paraId="3A1F9F16" w14:textId="77777777" w:rsidR="007018FB" w:rsidRDefault="007018FB" w:rsidP="002E51DA">
      <w:pPr>
        <w:spacing w:after="0"/>
        <w:jc w:val="both"/>
      </w:pPr>
    </w:p>
    <w:p w14:paraId="6A26D2BA" w14:textId="77777777" w:rsidR="00710F42" w:rsidRPr="00710F42" w:rsidRDefault="00710F42" w:rsidP="002E51DA">
      <w:pPr>
        <w:spacing w:after="0"/>
        <w:jc w:val="both"/>
        <w:rPr>
          <w:u w:val="single"/>
        </w:rPr>
      </w:pPr>
      <w:r w:rsidRPr="00710F42">
        <w:rPr>
          <w:u w:val="single"/>
        </w:rPr>
        <w:t>Διάρροια</w:t>
      </w:r>
    </w:p>
    <w:p w14:paraId="350D975E" w14:textId="77777777" w:rsidR="00710F42" w:rsidRDefault="00710F42" w:rsidP="002E51DA">
      <w:pPr>
        <w:spacing w:after="0"/>
        <w:jc w:val="both"/>
      </w:pPr>
      <w:r>
        <w:lastRenderedPageBreak/>
        <w:t>Η πρόσληψη της διασερεΐνης συχνά οδηγεί σε διάρροια (βλ. παράγραφο 4.8) που με τη σειρά της μπορεί να οδηγήσει σε αφυδάτωση και υποκαλιαιμία.</w:t>
      </w:r>
    </w:p>
    <w:p w14:paraId="4B93A97B" w14:textId="77777777" w:rsidR="00710F42" w:rsidRDefault="00710F42" w:rsidP="002E51DA">
      <w:pPr>
        <w:spacing w:after="0"/>
        <w:jc w:val="both"/>
      </w:pPr>
      <w:r>
        <w:t>Οι ασθενείς πρέπει να συμβουλεύονται να διακόπτουν τη θεραπεία με διασερεΐνη σε περίπτωση διάρροιας, και να έρχονται σε επαφή με τον γιατρό τους για να συζητήσουν εναλλακτικές θεραπείες.</w:t>
      </w:r>
    </w:p>
    <w:p w14:paraId="0B2507E4" w14:textId="77777777" w:rsidR="00710F42" w:rsidRDefault="00710F42" w:rsidP="002E51DA">
      <w:pPr>
        <w:spacing w:after="0"/>
        <w:jc w:val="both"/>
      </w:pPr>
      <w:r>
        <w:t>Απαιτείται προσοχή σε ασθενείς που παίρνουν διουρητικά επειδή μπορεί να σημειωθεί αφυδάτωση και υποκαλιαιμία. Απαιτείται επίσης ιδιαίτερη προσοχή σε περίπτωση υποκαλιαιμίας σε ασθενείς οι οποίοι υποβάλλονται σε θεραπεία με καρδιοτονοτικές γλυκωσίδες (διγιτοξίνη, διγοξίνη) (βλ. παράγραφο 4.5).</w:t>
      </w:r>
    </w:p>
    <w:p w14:paraId="3FC3A1D6" w14:textId="77777777" w:rsidR="00710F42" w:rsidRDefault="00710F42" w:rsidP="002E51DA">
      <w:pPr>
        <w:spacing w:after="0"/>
        <w:jc w:val="both"/>
      </w:pPr>
      <w:r>
        <w:t>Πρέπει να αποφεύγεται η ταυτόχρονη πρόσληψη καθαρκτικών.</w:t>
      </w:r>
    </w:p>
    <w:p w14:paraId="4F245CBE" w14:textId="77777777" w:rsidR="00EE26D8" w:rsidRDefault="00EE26D8" w:rsidP="002E51DA">
      <w:pPr>
        <w:spacing w:after="0"/>
        <w:jc w:val="both"/>
      </w:pPr>
    </w:p>
    <w:p w14:paraId="4106C23C" w14:textId="77777777" w:rsidR="00EE26D8" w:rsidRPr="00EE26D8" w:rsidRDefault="00EE26D8" w:rsidP="002E51DA">
      <w:pPr>
        <w:spacing w:after="0"/>
        <w:jc w:val="both"/>
        <w:rPr>
          <w:u w:val="single"/>
        </w:rPr>
      </w:pPr>
      <w:r w:rsidRPr="00EE26D8">
        <w:rPr>
          <w:u w:val="single"/>
        </w:rPr>
        <w:t>Ηπατοτοξικότητα</w:t>
      </w:r>
    </w:p>
    <w:p w14:paraId="794D2E78" w14:textId="77777777" w:rsidR="00EE26D8" w:rsidRDefault="00EE26D8" w:rsidP="002E51DA">
      <w:pPr>
        <w:spacing w:after="0"/>
        <w:jc w:val="both"/>
      </w:pPr>
      <w:r>
        <w:t xml:space="preserve">Κατά τη φάση παρακολούθησης μετά την κυκλοφορία στην αγορά έχουν αναφερθεί </w:t>
      </w:r>
      <w:r w:rsidR="0032209A">
        <w:t>αυξημένα επίπεδα ηπατικών ενζύμων στον ορό και συμπτωματική οξεία ηπατική βλάβη με τη διασερεΐνη (βλ. παράγραφο 4.8).</w:t>
      </w:r>
    </w:p>
    <w:p w14:paraId="1A06E7CE" w14:textId="77777777" w:rsidR="0032209A" w:rsidRDefault="0032209A" w:rsidP="002E51DA">
      <w:pPr>
        <w:spacing w:after="0"/>
        <w:jc w:val="both"/>
      </w:pPr>
      <w:r>
        <w:t xml:space="preserve">Πριν την έναρξη της θεραπείας με διασερεΐνη, οι ασθενείς πρέπει να ερωτώνται για τυχόν </w:t>
      </w:r>
      <w:r w:rsidR="00E00DFE">
        <w:t>συν</w:t>
      </w:r>
      <w:r>
        <w:t>νοσηρότητα με άλλες παθήσεις και για ηπατική νόσο είτε στο παρελθόν είτε ταυτόχρονη. Θα πρέπει επίσης να υποβάλλονται σε εξετάσεις για μείζονες αιτίες ενεργούς ηπατικής νόσου. Η διάγνωση ηπατικής νόσου αποτελεί αντένδειξη στη χρήση της διασερεΐνης (βλ. παράγραφο 4.3).</w:t>
      </w:r>
    </w:p>
    <w:p w14:paraId="564C6CAB" w14:textId="77777777" w:rsidR="0032209A" w:rsidRDefault="0032209A" w:rsidP="002E51DA">
      <w:pPr>
        <w:spacing w:after="0"/>
        <w:jc w:val="both"/>
      </w:pPr>
      <w:r>
        <w:t xml:space="preserve">Σημεία ηπατικής βλάβης πρέπει να παρακολουθούνται και απαιτείται προσοχή όταν η διασερεΐνη χρησιμοποιείται ταυτόχρονα με άλλα φαρμακευτικά προϊόντα που </w:t>
      </w:r>
      <w:r w:rsidR="000C333A">
        <w:t>συ</w:t>
      </w:r>
      <w:r>
        <w:t>σχετίζονται με ηπατική βλάβη. Οι ασθενείς θα πρέπει να συμβουλεύονται να περιορίζουν την πρόσληψη αλκοόλ κατά τη διάρκεια της θεραπείας με τη διασερεΐνη.</w:t>
      </w:r>
    </w:p>
    <w:p w14:paraId="711D81AE" w14:textId="77777777" w:rsidR="0032209A" w:rsidRDefault="0032209A" w:rsidP="002E51DA">
      <w:pPr>
        <w:spacing w:after="0"/>
        <w:jc w:val="both"/>
      </w:pPr>
      <w:r>
        <w:t>Η θεραπεία με τη διασερεΐνη θα πρέπει να διακόπτεται εάν ανιχνευτούν αυξημένα ηπατικά ένζυμα ή υπάρχουν ύποπτες ενδείξεις ή συμπτώματα ηπατικής βλάβης. Οι ασθενείς θα πρέπει να συμβουλεύονται όσον αφορά τις ενδείξεις και τα συμπτώματα ηπατοτοξικότητας και όπως επικοινωνήσουν αμέσως με τον γιατρό τους σε περίπτωση εμφάνισης συμπτωμάτων που υποδηλούν ηπατική βλάβη.</w:t>
      </w:r>
    </w:p>
    <w:p w14:paraId="1404F2E4" w14:textId="77777777" w:rsidR="00710F42" w:rsidRPr="00B23557" w:rsidRDefault="00710F42" w:rsidP="002E51DA">
      <w:pPr>
        <w:spacing w:after="0"/>
        <w:jc w:val="both"/>
      </w:pPr>
    </w:p>
    <w:p w14:paraId="5B5D387E" w14:textId="77777777" w:rsidR="00792F34" w:rsidRPr="00B23557" w:rsidRDefault="00DE2A51" w:rsidP="00792F34">
      <w:pPr>
        <w:spacing w:after="0"/>
        <w:jc w:val="both"/>
      </w:pPr>
      <w:r w:rsidRPr="00DE2A51">
        <w:rPr>
          <w:rFonts w:ascii="Times New Roman" w:hAnsi="Times New Roman" w:cs="Times New Roman"/>
          <w:lang w:bidi="ar-DZ"/>
        </w:rPr>
        <w:t>Έχει αναφερθεί υπέρχρωση των ούρων (πιθανώς λόγω αποβολής παραγώγων ανθρακινόνης στα ούρα) χωρίς επίπτωση στην υγεία του ασθενούς</w:t>
      </w:r>
    </w:p>
    <w:p w14:paraId="224D145D" w14:textId="77777777" w:rsidR="00792F34" w:rsidRPr="00B23557" w:rsidRDefault="00792F34" w:rsidP="00792F34">
      <w:pPr>
        <w:spacing w:after="0"/>
        <w:jc w:val="both"/>
      </w:pPr>
      <w:r w:rsidRPr="00B23557">
        <w:t>Οι ανεπιθύμητες ενέργειες μπορούν να ελαχιστοποιηθούν χρησιμοποιώντας την κατώτατη αποτελεσματική δόση για την πλέον μικρή διάρκεια θεραπείας που απαιτείται για τον έλεγχο των συμπτωμάτων</w:t>
      </w:r>
    </w:p>
    <w:p w14:paraId="0212FE6B" w14:textId="77777777" w:rsidR="00792F34" w:rsidRPr="00792F34" w:rsidRDefault="00792F34" w:rsidP="002E51DA">
      <w:pPr>
        <w:spacing w:after="0"/>
        <w:jc w:val="both"/>
      </w:pPr>
    </w:p>
    <w:p w14:paraId="2DB6FF0D" w14:textId="77777777" w:rsidR="00B23C3A" w:rsidRPr="000239DC" w:rsidRDefault="00B23C3A" w:rsidP="002E51DA">
      <w:pPr>
        <w:spacing w:after="0"/>
        <w:jc w:val="both"/>
        <w:rPr>
          <w:b/>
        </w:rPr>
      </w:pPr>
      <w:r w:rsidRPr="007018FB">
        <w:rPr>
          <w:b/>
        </w:rPr>
        <w:t>4.5</w:t>
      </w:r>
      <w:r w:rsidRPr="007018FB">
        <w:rPr>
          <w:b/>
        </w:rPr>
        <w:tab/>
        <w:t>Αλληλεπιδράσεις με άλλα φαρμακευτικά προϊόντα και άλλες μορφές αλληλεπίδρασης</w:t>
      </w:r>
    </w:p>
    <w:p w14:paraId="606367B2" w14:textId="77777777" w:rsidR="007018FB" w:rsidRPr="000239DC" w:rsidRDefault="007018FB" w:rsidP="002E51DA">
      <w:pPr>
        <w:spacing w:after="0"/>
        <w:jc w:val="both"/>
        <w:rPr>
          <w:b/>
        </w:rPr>
      </w:pPr>
    </w:p>
    <w:p w14:paraId="608DFD91" w14:textId="77777777" w:rsidR="00B23C3A" w:rsidRDefault="00B23C3A" w:rsidP="002E51DA">
      <w:pPr>
        <w:spacing w:after="0"/>
        <w:jc w:val="both"/>
      </w:pPr>
      <w:r>
        <w:t>Η δέσμευση της ρε</w:t>
      </w:r>
      <w:r w:rsidR="00BD6BFF">
        <w:t>ΐ</w:t>
      </w:r>
      <w:r>
        <w:t xml:space="preserve">νης (δραστικός μεταβολίτης της </w:t>
      </w:r>
      <w:r w:rsidR="009722C1">
        <w:t>διασερε</w:t>
      </w:r>
      <w:r w:rsidR="00BD6BFF">
        <w:t>ΐ</w:t>
      </w:r>
      <w:r w:rsidR="009722C1">
        <w:t>νη</w:t>
      </w:r>
      <w:r>
        <w:t>ς) με τις πρωτεΐνες του πλάσματος δεν τροποποιείται με την παρουσία βαρφαρίνης,</w:t>
      </w:r>
      <w:r w:rsidR="00C15B37">
        <w:t xml:space="preserve"> </w:t>
      </w:r>
      <w:r>
        <w:t>σαλικυλικού οξέος ινδομεθακίνης, βαλπροϊκο</w:t>
      </w:r>
      <w:r w:rsidR="00C15B37">
        <w:t>ύ</w:t>
      </w:r>
      <w:r>
        <w:t xml:space="preserve"> νατρίου, φαινυτο</w:t>
      </w:r>
      <w:r w:rsidR="00C15B37">
        <w:t>ΐ</w:t>
      </w:r>
      <w:r>
        <w:t>νης, τολβουταμίδης και χλωρπροπαμίδης.</w:t>
      </w:r>
    </w:p>
    <w:p w14:paraId="42457EB7" w14:textId="77777777" w:rsidR="00B23C3A" w:rsidRPr="000239DC" w:rsidRDefault="00B23C3A" w:rsidP="002E51DA">
      <w:pPr>
        <w:spacing w:after="0"/>
        <w:jc w:val="both"/>
      </w:pPr>
      <w:r>
        <w:t>Εξ άλλου, οι κλινικές μελέτες δεν αποκάλυψαν αρνητική αλληλεπίδραση με τα μη στεροειδή αντιφλεγμονώδη, στα πλαίσια της α</w:t>
      </w:r>
      <w:r w:rsidR="009344DF">
        <w:t>νοχής και της αποτελεσματικότητα</w:t>
      </w:r>
      <w:r>
        <w:t>ς.</w:t>
      </w:r>
    </w:p>
    <w:p w14:paraId="49F12BC4" w14:textId="77777777" w:rsidR="00255112" w:rsidRDefault="00255112" w:rsidP="002E51DA">
      <w:pPr>
        <w:spacing w:after="0"/>
        <w:jc w:val="both"/>
      </w:pPr>
      <w:r>
        <w:lastRenderedPageBreak/>
        <w:t xml:space="preserve">Η πρόσληψη διασερεΐνης μπορεί να οδηγήσει σε διάρροια και υποκαλιαιμία. Απαιτείται προσοχή κατά την ταυτόχρονη χορήγηση διουρητικών (διουρητικά της αγκύλης </w:t>
      </w:r>
      <w:r>
        <w:rPr>
          <w:lang w:val="en-US"/>
        </w:rPr>
        <w:t>high</w:t>
      </w:r>
      <w:r w:rsidRPr="00255112">
        <w:t>-</w:t>
      </w:r>
      <w:r>
        <w:rPr>
          <w:lang w:val="en-US"/>
        </w:rPr>
        <w:t>ceiling</w:t>
      </w:r>
      <w:r>
        <w:t xml:space="preserve"> και θειαζίδες) και/ή καρδιοτονοτικών γλυκωσίδων (διγιτοξίνη, διγοξίνη), καθώς αυξάνεται ο κίνδυνος αρρυθμιών (βλ. παράγραφο 4.4).</w:t>
      </w:r>
    </w:p>
    <w:p w14:paraId="4428D27F" w14:textId="77777777" w:rsidR="00895931" w:rsidRPr="00255112" w:rsidRDefault="00895931" w:rsidP="002E51DA">
      <w:pPr>
        <w:spacing w:after="0"/>
        <w:jc w:val="both"/>
      </w:pPr>
    </w:p>
    <w:p w14:paraId="6D20393C" w14:textId="77777777" w:rsidR="00B23C3A" w:rsidRPr="000239DC" w:rsidRDefault="00B23C3A" w:rsidP="002E51DA">
      <w:pPr>
        <w:spacing w:after="0"/>
        <w:jc w:val="both"/>
        <w:rPr>
          <w:b/>
        </w:rPr>
      </w:pPr>
      <w:r w:rsidRPr="007018FB">
        <w:rPr>
          <w:b/>
        </w:rPr>
        <w:t>4.6</w:t>
      </w:r>
      <w:r w:rsidRPr="007018FB">
        <w:rPr>
          <w:b/>
        </w:rPr>
        <w:tab/>
        <w:t>Κύηση και γαλουχία</w:t>
      </w:r>
    </w:p>
    <w:p w14:paraId="0840B09B" w14:textId="77777777" w:rsidR="007018FB" w:rsidRPr="000239DC" w:rsidRDefault="007018FB" w:rsidP="002E51DA">
      <w:pPr>
        <w:spacing w:after="0"/>
        <w:jc w:val="both"/>
        <w:rPr>
          <w:b/>
        </w:rPr>
      </w:pPr>
    </w:p>
    <w:p w14:paraId="34C3DCE3" w14:textId="4A4F4BB8" w:rsidR="00B23C3A" w:rsidRDefault="00B23C3A" w:rsidP="002E51DA">
      <w:pPr>
        <w:spacing w:after="0"/>
        <w:jc w:val="both"/>
      </w:pPr>
      <w:r w:rsidRPr="00B23557">
        <w:rPr>
          <w:u w:val="single"/>
        </w:rPr>
        <w:t>Κύηση</w:t>
      </w:r>
      <w:r>
        <w:t>: Μελέτες σε πειραματόζωα δε</w:t>
      </w:r>
      <w:r w:rsidR="006044F8">
        <w:t>ν</w:t>
      </w:r>
      <w:r>
        <w:t xml:space="preserve"> αποκάλυψαν ούτε </w:t>
      </w:r>
      <w:r w:rsidR="00B23557">
        <w:t>επίδραση στη γονιμότητα</w:t>
      </w:r>
      <w:r>
        <w:t xml:space="preserve"> ούτε δυσπλασία του εμβρύου.</w:t>
      </w:r>
    </w:p>
    <w:p w14:paraId="58FDBB3E" w14:textId="77777777" w:rsidR="00B23C3A" w:rsidRPr="000239DC" w:rsidRDefault="00B23C3A" w:rsidP="002E51DA">
      <w:pPr>
        <w:spacing w:after="0"/>
        <w:jc w:val="both"/>
      </w:pPr>
      <w:r>
        <w:t>Εν τούτοις συνιστάται να μη χορηγείται το φάρμακο κατά την κύηση επειδή δεν υπάρχει εμπειρία από τη χρήση του σε ανθρώπους.</w:t>
      </w:r>
    </w:p>
    <w:p w14:paraId="19051E01" w14:textId="77777777" w:rsidR="007018FB" w:rsidRPr="000239DC" w:rsidRDefault="007018FB" w:rsidP="002E51DA">
      <w:pPr>
        <w:spacing w:after="0"/>
        <w:jc w:val="both"/>
      </w:pPr>
    </w:p>
    <w:p w14:paraId="745CD617" w14:textId="77777777" w:rsidR="00B23C3A" w:rsidRPr="000239DC" w:rsidRDefault="00B23C3A" w:rsidP="002E51DA">
      <w:pPr>
        <w:spacing w:after="0"/>
        <w:jc w:val="both"/>
      </w:pPr>
      <w:r w:rsidRPr="00B23557">
        <w:rPr>
          <w:u w:val="single"/>
        </w:rPr>
        <w:t>Θηλασμός</w:t>
      </w:r>
      <w:r>
        <w:t>: Το φάρμακο δεν πρέπει να χορηγείται στις θηλάζουσες, αφού στη βιβλιογραφία αναφέρεται ότι διαπιστώθηκε η παρουσία μέσα στο μητρικό γάλα, σε μικρές αναλογίες, ανθρακινονικών παραγώγων.</w:t>
      </w:r>
    </w:p>
    <w:p w14:paraId="288E265F" w14:textId="77777777" w:rsidR="007018FB" w:rsidRPr="000239DC" w:rsidRDefault="007018FB" w:rsidP="002E51DA">
      <w:pPr>
        <w:spacing w:after="0"/>
        <w:jc w:val="both"/>
      </w:pPr>
    </w:p>
    <w:p w14:paraId="7062C148" w14:textId="77777777" w:rsidR="00B23C3A" w:rsidRPr="000239DC" w:rsidRDefault="00B23C3A" w:rsidP="002E51DA">
      <w:pPr>
        <w:spacing w:after="0"/>
        <w:jc w:val="both"/>
        <w:rPr>
          <w:b/>
        </w:rPr>
      </w:pPr>
      <w:r w:rsidRPr="007018FB">
        <w:rPr>
          <w:b/>
        </w:rPr>
        <w:t>4.7</w:t>
      </w:r>
      <w:r w:rsidRPr="007018FB">
        <w:rPr>
          <w:b/>
        </w:rPr>
        <w:tab/>
        <w:t xml:space="preserve">Επιδράσεις στην ικανότητα οδήγησης και χειρισμού </w:t>
      </w:r>
      <w:r w:rsidR="00895931" w:rsidRPr="007018FB">
        <w:rPr>
          <w:b/>
        </w:rPr>
        <w:t>μηχαν</w:t>
      </w:r>
      <w:r w:rsidR="00895931">
        <w:rPr>
          <w:b/>
        </w:rPr>
        <w:t>ημάτων</w:t>
      </w:r>
    </w:p>
    <w:p w14:paraId="179DDEE5" w14:textId="77777777" w:rsidR="007018FB" w:rsidRPr="000239DC" w:rsidRDefault="007018FB" w:rsidP="002E51DA">
      <w:pPr>
        <w:spacing w:after="0"/>
        <w:jc w:val="both"/>
        <w:rPr>
          <w:b/>
        </w:rPr>
      </w:pPr>
    </w:p>
    <w:p w14:paraId="1E7CB4DC" w14:textId="77777777" w:rsidR="007018FB" w:rsidRDefault="00895931" w:rsidP="002E51DA">
      <w:pPr>
        <w:spacing w:after="0"/>
        <w:jc w:val="both"/>
      </w:pPr>
      <w:r>
        <w:t xml:space="preserve">Το </w:t>
      </w:r>
      <w:r>
        <w:rPr>
          <w:lang w:val="en-US"/>
        </w:rPr>
        <w:t>IDEALITE</w:t>
      </w:r>
      <w:r>
        <w:t xml:space="preserve"> δεν έχει καμία επίδραση σ</w:t>
      </w:r>
      <w:r w:rsidR="00B23C3A">
        <w:t>την ικανότητα οδήγησης και χειρισμού μηχανημάτων</w:t>
      </w:r>
      <w:r>
        <w:t>.</w:t>
      </w:r>
      <w:r w:rsidR="00B23C3A">
        <w:t xml:space="preserve"> </w:t>
      </w:r>
    </w:p>
    <w:p w14:paraId="31332235" w14:textId="77777777" w:rsidR="00F26E58" w:rsidRPr="000239DC" w:rsidRDefault="00F26E58" w:rsidP="002E51DA">
      <w:pPr>
        <w:spacing w:after="0"/>
        <w:jc w:val="both"/>
      </w:pPr>
    </w:p>
    <w:p w14:paraId="11B40D45" w14:textId="77777777" w:rsidR="007018FB" w:rsidRPr="000239DC" w:rsidRDefault="00B23C3A" w:rsidP="002E51DA">
      <w:pPr>
        <w:spacing w:after="0"/>
        <w:jc w:val="both"/>
        <w:rPr>
          <w:b/>
        </w:rPr>
      </w:pPr>
      <w:r w:rsidRPr="007018FB">
        <w:rPr>
          <w:b/>
        </w:rPr>
        <w:t>4.8</w:t>
      </w:r>
      <w:r w:rsidRPr="007018FB">
        <w:rPr>
          <w:b/>
        </w:rPr>
        <w:tab/>
      </w:r>
      <w:r w:rsidRPr="000C333A">
        <w:rPr>
          <w:b/>
        </w:rPr>
        <w:t xml:space="preserve">Ανεπιθύμητες ενέργειες </w:t>
      </w:r>
    </w:p>
    <w:p w14:paraId="6518DB7C" w14:textId="6B35B26A" w:rsidR="00B23C3A" w:rsidRPr="000239DC" w:rsidRDefault="00B23C3A" w:rsidP="005F43BB">
      <w:pPr>
        <w:spacing w:after="0"/>
        <w:jc w:val="both"/>
      </w:pPr>
    </w:p>
    <w:p w14:paraId="0BB0D2E8" w14:textId="77777777" w:rsidR="00F40614" w:rsidRDefault="00F40614" w:rsidP="00F40614">
      <w:pPr>
        <w:spacing w:after="0"/>
        <w:jc w:val="both"/>
      </w:pPr>
      <w:r>
        <w:t xml:space="preserve">ΔΙΑΤΑΡΑΧΕΣ ΤΟΥ ΓΑΣΤΡΕΝΤΕΡΙΚΟΥ </w:t>
      </w:r>
    </w:p>
    <w:p w14:paraId="1997C4AF" w14:textId="77777777" w:rsidR="00F40614" w:rsidRDefault="00F40614" w:rsidP="00F40614">
      <w:pPr>
        <w:spacing w:after="0"/>
        <w:jc w:val="both"/>
      </w:pPr>
      <w:r>
        <w:t xml:space="preserve">Πολύ συχνές (&gt; 1/10): διάρροια, κοιλιακό άλγος. </w:t>
      </w:r>
    </w:p>
    <w:p w14:paraId="6E611C1A" w14:textId="77777777" w:rsidR="00F40614" w:rsidRDefault="00F40614" w:rsidP="00F40614">
      <w:pPr>
        <w:spacing w:after="0"/>
        <w:jc w:val="both"/>
      </w:pPr>
      <w:r>
        <w:t>Συχνές (&gt; 1/100 και &lt; 1/10): συχνές κενώσεις, μετεωρισμός</w:t>
      </w:r>
    </w:p>
    <w:p w14:paraId="1E8009EF" w14:textId="77777777" w:rsidR="00F40614" w:rsidRDefault="00F40614" w:rsidP="00F40614">
      <w:pPr>
        <w:spacing w:after="0"/>
        <w:jc w:val="both"/>
      </w:pPr>
      <w:r>
        <w:tab/>
        <w:t xml:space="preserve">Κατά κανόνα, αυτές οι ενέργειες ελαττώνονται με τη συνεχιζόμενη θεραπεία. Σε μερικές περιπτώσεις η διάρροια ήταν σοβαρής μορφής με επιπλοκές όπως αφυδάτωση και διαταραχές στο ισοζύγιο υγρού και ηλεκτρολύτη. </w:t>
      </w:r>
    </w:p>
    <w:p w14:paraId="3109CC4C" w14:textId="77777777" w:rsidR="00F40614" w:rsidRDefault="00F40614" w:rsidP="00F40614">
      <w:pPr>
        <w:spacing w:after="0"/>
        <w:jc w:val="both"/>
      </w:pPr>
    </w:p>
    <w:p w14:paraId="5FEF5B78" w14:textId="77777777" w:rsidR="00F40614" w:rsidRDefault="00F40614" w:rsidP="00F40614">
      <w:pPr>
        <w:spacing w:after="0"/>
        <w:jc w:val="both"/>
      </w:pPr>
      <w:r>
        <w:t xml:space="preserve">ΔΙΑΤΑΡΑΧΕΣ ΤΟΥ ΗΠΑΤΟΣ ΚΑΙ ΤΩΝ ΧΟΛΗΦΟΡΩΝ </w:t>
      </w:r>
    </w:p>
    <w:p w14:paraId="7C94FEF4" w14:textId="77777777" w:rsidR="00F40614" w:rsidRDefault="00F40614" w:rsidP="00F40614">
      <w:pPr>
        <w:spacing w:after="0"/>
        <w:jc w:val="both"/>
      </w:pPr>
      <w:r>
        <w:t xml:space="preserve">Όχι συχνές (≥ 1/1000 και &lt; 1/100): Περιπτώσεις αυξημένων ηπατικών ενζύμων στον ορό. </w:t>
      </w:r>
    </w:p>
    <w:p w14:paraId="7B05DA36" w14:textId="77777777" w:rsidR="00F40614" w:rsidRDefault="00F40614" w:rsidP="00F40614">
      <w:pPr>
        <w:spacing w:after="0"/>
        <w:jc w:val="both"/>
      </w:pPr>
    </w:p>
    <w:p w14:paraId="2A914853" w14:textId="77777777" w:rsidR="00F40614" w:rsidRDefault="00F40614" w:rsidP="00F40614">
      <w:pPr>
        <w:spacing w:after="0"/>
        <w:jc w:val="both"/>
      </w:pPr>
      <w:r>
        <w:t xml:space="preserve">ΔΙΑΤΑΡΑΧΕΣ ΤΟΥ ΔΕΡΜΑΤΟΣ ΚΑΙ ΤΟΥ ΥΠΟΔΟΡΙΟΥ ΙΣΤΟΥ </w:t>
      </w:r>
    </w:p>
    <w:p w14:paraId="229051A0" w14:textId="77777777" w:rsidR="00F40614" w:rsidRDefault="00F40614" w:rsidP="00F40614">
      <w:pPr>
        <w:spacing w:after="0"/>
        <w:jc w:val="both"/>
      </w:pPr>
      <w:r>
        <w:t>Συχνές (&gt; 1/100 και &lt; 1/10): κνησμός, εξάνθημα, έκζεμα.</w:t>
      </w:r>
    </w:p>
    <w:p w14:paraId="159826D1" w14:textId="77777777" w:rsidR="00F40614" w:rsidRDefault="00F40614" w:rsidP="00F40614">
      <w:pPr>
        <w:spacing w:after="0"/>
        <w:jc w:val="both"/>
      </w:pPr>
    </w:p>
    <w:p w14:paraId="0915E28A" w14:textId="77777777" w:rsidR="00F40614" w:rsidRDefault="00F40614" w:rsidP="00F40614">
      <w:pPr>
        <w:spacing w:after="0"/>
        <w:jc w:val="both"/>
      </w:pPr>
      <w:r>
        <w:t xml:space="preserve">ΚΑΡΔΙΑΚΕΣ ΚΑΙ ΑΓΓΕΙΑΚΕΣ ΔΙΑΤΑΡΑΧΕΣ </w:t>
      </w:r>
    </w:p>
    <w:p w14:paraId="27A08DF8" w14:textId="77777777" w:rsidR="00F40614" w:rsidRDefault="00F40614" w:rsidP="00F40614">
      <w:pPr>
        <w:spacing w:after="0"/>
        <w:jc w:val="both"/>
      </w:pPr>
      <w:r>
        <w:t>Οίδημα, υπέρταση, και καρδιακή ανεπάρκεια, έχουν αναφερθεί σε σχέση με την θεραπεία με ΜΣΑΦ.</w:t>
      </w:r>
    </w:p>
    <w:p w14:paraId="557321A8" w14:textId="77777777" w:rsidR="00F40614" w:rsidRDefault="00F40614" w:rsidP="00F40614">
      <w:pPr>
        <w:spacing w:after="0"/>
        <w:jc w:val="both"/>
      </w:pPr>
    </w:p>
    <w:p w14:paraId="567E4753" w14:textId="77777777" w:rsidR="00F40614" w:rsidRDefault="00F40614" w:rsidP="00F40614">
      <w:pPr>
        <w:spacing w:after="0"/>
        <w:jc w:val="both"/>
      </w:pPr>
      <w:r>
        <w:t>Δεδομένα από κλινικές δοκιμές και επιδημιολογικές μελέτες, υποδεικνύουν ότι η χρήση κάποιων ΜΣΑΦ (ιδιαίτερα σε υψηλές δόσεις και σε μακροχρόνιες θεραπείες) μπορεί να συσχετίζεται με αυξημένο κίνδυνο για εμφάνιση θρομβωτικών αρτηριακών συμβάντων (π.χ έμφραγμα του μυοκαρδίου ή εγκεφαλικό επεισόδιο - βλέπε παράγραφο 4.4).</w:t>
      </w:r>
    </w:p>
    <w:p w14:paraId="45831A76" w14:textId="77777777" w:rsidR="00F40614" w:rsidRDefault="00F40614" w:rsidP="00F40614">
      <w:pPr>
        <w:spacing w:after="0"/>
        <w:jc w:val="both"/>
      </w:pPr>
    </w:p>
    <w:p w14:paraId="519AFC81" w14:textId="77777777" w:rsidR="00F40614" w:rsidRDefault="00F40614" w:rsidP="00F40614">
      <w:pPr>
        <w:spacing w:after="0"/>
        <w:jc w:val="both"/>
      </w:pPr>
    </w:p>
    <w:p w14:paraId="41D5C052" w14:textId="77777777" w:rsidR="00F40614" w:rsidRDefault="00F40614" w:rsidP="00F40614">
      <w:pPr>
        <w:spacing w:after="0"/>
        <w:jc w:val="both"/>
      </w:pPr>
      <w:r>
        <w:t xml:space="preserve">Από την παρακολούθηση μετά την κυκλοφορία στην αγορά </w:t>
      </w:r>
    </w:p>
    <w:p w14:paraId="403FF35D" w14:textId="77777777" w:rsidR="00F40614" w:rsidRDefault="00F40614" w:rsidP="00F40614">
      <w:pPr>
        <w:spacing w:after="0"/>
        <w:jc w:val="both"/>
      </w:pPr>
    </w:p>
    <w:p w14:paraId="70680E00" w14:textId="77777777" w:rsidR="00F40614" w:rsidRDefault="00F40614" w:rsidP="00F40614">
      <w:pPr>
        <w:spacing w:after="0"/>
        <w:jc w:val="both"/>
      </w:pPr>
      <w:r>
        <w:t xml:space="preserve">ΔΙΑΤΑΡΑΧΕΣ ΤΟΥ ΗΠΑΤΟΣ ΚΑΙ ΤΩΝ ΧΟΛΗΦΟΡΩΝ </w:t>
      </w:r>
    </w:p>
    <w:p w14:paraId="62EE0052" w14:textId="77777777" w:rsidR="00F40614" w:rsidRDefault="00F40614" w:rsidP="00F40614">
      <w:pPr>
        <w:spacing w:after="0"/>
        <w:jc w:val="both"/>
      </w:pPr>
      <w:r>
        <w:t>Κατά τη φάση μετά την κυκλοφορία μετά την κυκλοφορία στην αγορά της διασερεΐνης έχουν αναφερθεί περιπτώσεις οξείας ηπατικής βλάβης, μεταξύ τους και αυξημένα ηπατικά ένζυμα στον ορό καθώς και περιπτώσεις ηπατίτιδας. Οι περισσότερες παρουσιάστηκαν κατά τους πρώτους μήνες της θεραπείας. Οι ασθενείς θα πρέπει να παρακολουθούνται για τυχόν σημεία και συμπτώματα ηπατικής βλάβης (βλ. παράγραφο 4.4).</w:t>
      </w:r>
    </w:p>
    <w:p w14:paraId="5F8F4066" w14:textId="77777777" w:rsidR="00F40614" w:rsidRDefault="00F40614" w:rsidP="00F40614">
      <w:pPr>
        <w:spacing w:after="0"/>
        <w:jc w:val="both"/>
      </w:pPr>
    </w:p>
    <w:p w14:paraId="15A67780" w14:textId="77777777" w:rsidR="00F40614" w:rsidRDefault="00F40614" w:rsidP="00F40614">
      <w:pPr>
        <w:spacing w:after="0"/>
        <w:jc w:val="both"/>
      </w:pPr>
    </w:p>
    <w:p w14:paraId="421452C3" w14:textId="530DE310" w:rsidR="002445C8" w:rsidRPr="00B22353" w:rsidRDefault="00F40614" w:rsidP="002E51DA">
      <w:pPr>
        <w:spacing w:after="0"/>
        <w:jc w:val="both"/>
      </w:pPr>
      <w:r>
        <w:t xml:space="preserve"> H διεγερτική δράση του στη σύνθεση των προσταγλανδινών μοιάζει να μην επηρεάζει την ακεραιότητα του γαστροδωδεκαδακτυλικού βλεννογόνου.</w:t>
      </w:r>
    </w:p>
    <w:p w14:paraId="20B7C813" w14:textId="77777777" w:rsidR="00B22353" w:rsidRPr="00B22353" w:rsidRDefault="00B22353" w:rsidP="00B22353">
      <w:pPr>
        <w:spacing w:after="0" w:line="240" w:lineRule="auto"/>
        <w:jc w:val="both"/>
        <w:rPr>
          <w:rFonts w:eastAsia="Times New Roman" w:cs="Times New Roman"/>
          <w:u w:val="single"/>
          <w:lang w:eastAsia="el-GR"/>
        </w:rPr>
      </w:pPr>
      <w:r w:rsidRPr="00B22353">
        <w:rPr>
          <w:rFonts w:eastAsia="Times New Roman" w:cs="Times New Roman"/>
          <w:u w:val="single"/>
          <w:lang w:eastAsia="el-GR"/>
        </w:rPr>
        <w:t>Αναφορά πιθανολογούμενων ανεπιθύμητων ενεργειών</w:t>
      </w:r>
    </w:p>
    <w:p w14:paraId="45835473"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eastAsia="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υγείας να αναφέρουν οποιεσδήποτε πιθανολογούμενες ανεπιθύμητες ενέργειες μέσω του εθνικού συστήματος αναφοράς που αναγράφεται  παρακάτω.</w:t>
      </w:r>
    </w:p>
    <w:p w14:paraId="5A4B878F" w14:textId="77777777" w:rsidR="00B22353" w:rsidRPr="00B22353" w:rsidRDefault="00B22353" w:rsidP="00B22353">
      <w:pPr>
        <w:spacing w:after="0" w:line="240" w:lineRule="auto"/>
        <w:jc w:val="both"/>
        <w:rPr>
          <w:rFonts w:eastAsia="Times New Roman" w:cs="Times New Roman"/>
          <w:lang w:eastAsia="el-GR"/>
        </w:rPr>
      </w:pPr>
    </w:p>
    <w:p w14:paraId="1E9C533D"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eastAsia="el-GR"/>
        </w:rPr>
        <w:t>Εθνικός Οργανισμός Φαρμάκων</w:t>
      </w:r>
    </w:p>
    <w:p w14:paraId="6E322047"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eastAsia="el-GR"/>
        </w:rPr>
        <w:t>Μεσογείων 284</w:t>
      </w:r>
    </w:p>
    <w:p w14:paraId="140D2AD3"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val="en-US" w:eastAsia="el-GR"/>
        </w:rPr>
        <w:t>GR</w:t>
      </w:r>
      <w:r w:rsidRPr="00B22353">
        <w:rPr>
          <w:rFonts w:eastAsia="Times New Roman" w:cs="Times New Roman"/>
          <w:lang w:eastAsia="el-GR"/>
        </w:rPr>
        <w:t>-15562 Χολαργός, Αθήνα</w:t>
      </w:r>
    </w:p>
    <w:p w14:paraId="58308AD6"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eastAsia="el-GR"/>
        </w:rPr>
        <w:t>Τηλ: + 30 21 32040380/337</w:t>
      </w:r>
    </w:p>
    <w:p w14:paraId="594B17B2"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eastAsia="el-GR"/>
        </w:rPr>
        <w:t xml:space="preserve">Φαξ: + 30 21 06549585 </w:t>
      </w:r>
    </w:p>
    <w:p w14:paraId="30D8ED58" w14:textId="77777777" w:rsidR="00B22353" w:rsidRPr="00B22353" w:rsidRDefault="00B22353" w:rsidP="00B22353">
      <w:pPr>
        <w:spacing w:after="0" w:line="240" w:lineRule="auto"/>
        <w:jc w:val="both"/>
        <w:rPr>
          <w:rFonts w:eastAsia="Times New Roman" w:cs="Times New Roman"/>
          <w:lang w:eastAsia="el-GR"/>
        </w:rPr>
      </w:pPr>
      <w:r w:rsidRPr="00B22353">
        <w:rPr>
          <w:rFonts w:eastAsia="Times New Roman" w:cs="Times New Roman"/>
          <w:lang w:eastAsia="el-GR"/>
        </w:rPr>
        <w:t xml:space="preserve">Ιστότοπος: </w:t>
      </w:r>
      <w:hyperlink r:id="rId7" w:history="1">
        <w:r w:rsidR="00AA3CDB" w:rsidRPr="00202DAC">
          <w:rPr>
            <w:rStyle w:val="-"/>
            <w:rFonts w:eastAsia="Times New Roman" w:cs="Times New Roman"/>
            <w:lang w:val="en-US" w:eastAsia="el-GR"/>
          </w:rPr>
          <w:t>http</w:t>
        </w:r>
        <w:r w:rsidR="00AA3CDB" w:rsidRPr="00202DAC">
          <w:rPr>
            <w:rStyle w:val="-"/>
            <w:rFonts w:eastAsia="Times New Roman" w:cs="Times New Roman"/>
            <w:lang w:eastAsia="el-GR"/>
          </w:rPr>
          <w:t>://</w:t>
        </w:r>
        <w:r w:rsidR="00AA3CDB" w:rsidRPr="00202DAC">
          <w:rPr>
            <w:rStyle w:val="-"/>
            <w:rFonts w:eastAsia="Times New Roman" w:cs="Times New Roman"/>
            <w:lang w:val="en-US" w:eastAsia="el-GR"/>
          </w:rPr>
          <w:t>www</w:t>
        </w:r>
        <w:r w:rsidR="00AA3CDB" w:rsidRPr="00202DAC">
          <w:rPr>
            <w:rStyle w:val="-"/>
            <w:rFonts w:eastAsia="Times New Roman" w:cs="Times New Roman"/>
            <w:lang w:eastAsia="el-GR"/>
          </w:rPr>
          <w:t>.</w:t>
        </w:r>
        <w:r w:rsidR="00AA3CDB" w:rsidRPr="00202DAC">
          <w:rPr>
            <w:rStyle w:val="-"/>
            <w:rFonts w:eastAsia="Times New Roman" w:cs="Times New Roman"/>
            <w:lang w:val="en-US" w:eastAsia="el-GR"/>
          </w:rPr>
          <w:t>eof</w:t>
        </w:r>
        <w:r w:rsidR="00AA3CDB" w:rsidRPr="00202DAC">
          <w:rPr>
            <w:rStyle w:val="-"/>
            <w:rFonts w:eastAsia="Times New Roman" w:cs="Times New Roman"/>
            <w:lang w:eastAsia="el-GR"/>
          </w:rPr>
          <w:t>.</w:t>
        </w:r>
        <w:r w:rsidR="00AA3CDB" w:rsidRPr="00202DAC">
          <w:rPr>
            <w:rStyle w:val="-"/>
            <w:rFonts w:eastAsia="Times New Roman" w:cs="Times New Roman"/>
            <w:lang w:val="en-US" w:eastAsia="el-GR"/>
          </w:rPr>
          <w:t>gr</w:t>
        </w:r>
      </w:hyperlink>
      <w:r w:rsidR="00AA3CDB">
        <w:rPr>
          <w:rFonts w:eastAsia="Times New Roman" w:cs="Times New Roman"/>
          <w:lang w:eastAsia="el-GR"/>
        </w:rPr>
        <w:t xml:space="preserve"> </w:t>
      </w:r>
      <w:r w:rsidRPr="00B22353">
        <w:rPr>
          <w:rFonts w:eastAsia="Times New Roman" w:cs="Times New Roman"/>
          <w:lang w:eastAsia="el-GR"/>
        </w:rPr>
        <w:tab/>
      </w:r>
    </w:p>
    <w:p w14:paraId="224E32E3" w14:textId="77777777" w:rsidR="00B22353" w:rsidRDefault="00B22353" w:rsidP="002E51DA">
      <w:pPr>
        <w:spacing w:after="0"/>
        <w:jc w:val="both"/>
      </w:pPr>
    </w:p>
    <w:p w14:paraId="2D02EB29" w14:textId="77777777" w:rsidR="00B22353" w:rsidRPr="000239DC" w:rsidRDefault="00B22353" w:rsidP="002E51DA">
      <w:pPr>
        <w:spacing w:after="0"/>
        <w:jc w:val="both"/>
      </w:pPr>
    </w:p>
    <w:p w14:paraId="64043C50" w14:textId="56CCC8EF" w:rsidR="00B23C3A" w:rsidRPr="00363648" w:rsidRDefault="00B23C3A" w:rsidP="002E51DA">
      <w:pPr>
        <w:spacing w:after="0"/>
        <w:jc w:val="both"/>
        <w:rPr>
          <w:b/>
        </w:rPr>
      </w:pPr>
      <w:r w:rsidRPr="00363648">
        <w:rPr>
          <w:b/>
        </w:rPr>
        <w:t>4.9</w:t>
      </w:r>
      <w:r w:rsidRPr="00363648">
        <w:rPr>
          <w:b/>
        </w:rPr>
        <w:tab/>
      </w:r>
      <w:r w:rsidR="00E47AF3" w:rsidRPr="00E47AF3">
        <w:rPr>
          <w:b/>
        </w:rPr>
        <w:t>Υπερδοσολογία</w:t>
      </w:r>
    </w:p>
    <w:p w14:paraId="118AC0A7" w14:textId="77777777" w:rsidR="007018FB" w:rsidRPr="000239DC" w:rsidRDefault="007018FB" w:rsidP="002E51DA">
      <w:pPr>
        <w:spacing w:after="0"/>
        <w:jc w:val="both"/>
      </w:pPr>
    </w:p>
    <w:p w14:paraId="130D7640" w14:textId="77777777" w:rsidR="00B23C3A" w:rsidRPr="000239DC" w:rsidRDefault="00B23C3A" w:rsidP="002E51DA">
      <w:pPr>
        <w:spacing w:after="0"/>
        <w:jc w:val="both"/>
      </w:pPr>
      <w:r>
        <w:t xml:space="preserve">Σε περίπτωση υπερδοσολογίας, μπορεί να επισυμβεί έντονη διάρροια. Η επείγουσα παρέμβαση συνίσταται </w:t>
      </w:r>
      <w:r w:rsidR="00024589">
        <w:t>στη διόρθωση των υδρο-ηλεκτρολυ</w:t>
      </w:r>
      <w:r>
        <w:t>τικών διαταραχών, εάν είναι αναγκαίο.</w:t>
      </w:r>
    </w:p>
    <w:p w14:paraId="067E35D8" w14:textId="77777777" w:rsidR="0012124B" w:rsidRPr="000239DC" w:rsidRDefault="0012124B" w:rsidP="002E51DA">
      <w:pPr>
        <w:spacing w:after="0"/>
        <w:jc w:val="both"/>
      </w:pPr>
    </w:p>
    <w:p w14:paraId="32E4429C" w14:textId="77777777" w:rsidR="0012124B" w:rsidRPr="000239DC" w:rsidRDefault="00B23C3A" w:rsidP="002E51DA">
      <w:pPr>
        <w:spacing w:after="0"/>
        <w:jc w:val="both"/>
        <w:rPr>
          <w:b/>
        </w:rPr>
      </w:pPr>
      <w:r w:rsidRPr="0012124B">
        <w:rPr>
          <w:b/>
        </w:rPr>
        <w:t>5.</w:t>
      </w:r>
      <w:r w:rsidRPr="0012124B">
        <w:rPr>
          <w:b/>
        </w:rPr>
        <w:tab/>
        <w:t>ΦΑΡΜΑΚΟΛΟΓΙΚΕΣ ΙΔΙΟΤΗΤΕΣ</w:t>
      </w:r>
    </w:p>
    <w:p w14:paraId="79DC3BC7" w14:textId="77777777" w:rsidR="0012124B" w:rsidRPr="000239DC" w:rsidRDefault="0012124B" w:rsidP="002E51DA">
      <w:pPr>
        <w:spacing w:after="0"/>
        <w:jc w:val="both"/>
      </w:pPr>
    </w:p>
    <w:p w14:paraId="10EE2AB8" w14:textId="77777777" w:rsidR="00B23C3A" w:rsidRPr="0012124B" w:rsidRDefault="00B23C3A" w:rsidP="002E51DA">
      <w:pPr>
        <w:spacing w:after="0"/>
        <w:jc w:val="both"/>
        <w:rPr>
          <w:b/>
        </w:rPr>
      </w:pPr>
      <w:r w:rsidRPr="0012124B">
        <w:rPr>
          <w:b/>
        </w:rPr>
        <w:t xml:space="preserve"> 5.1. Φαρμακοδυναμικές Ιδιότητες</w:t>
      </w:r>
    </w:p>
    <w:p w14:paraId="1BE99E33" w14:textId="77777777" w:rsidR="00B23C3A" w:rsidRDefault="00B23C3A" w:rsidP="002E51DA">
      <w:pPr>
        <w:spacing w:after="0"/>
        <w:jc w:val="both"/>
      </w:pPr>
      <w:r>
        <w:t>-</w:t>
      </w:r>
      <w:r>
        <w:tab/>
        <w:t>Η διασερε</w:t>
      </w:r>
      <w:r w:rsidR="00E70C09">
        <w:t>ΐ</w:t>
      </w:r>
      <w:r>
        <w:t>νη παρουσιάζει μία μέτριου βαθμού αντιφλεγμονώδη δράση</w:t>
      </w:r>
    </w:p>
    <w:p w14:paraId="6C66DDB2" w14:textId="77777777" w:rsidR="00B23C3A" w:rsidRDefault="00B23C3A" w:rsidP="002E51DA">
      <w:pPr>
        <w:spacing w:after="0"/>
        <w:jc w:val="both"/>
      </w:pPr>
      <w:r>
        <w:t>-</w:t>
      </w:r>
      <w:r>
        <w:tab/>
        <w:t xml:space="preserve">Σε ισχυρές δόσεις είναι αντιφλεγμονώδες, χωρίς ιδιαίτερη ερεθιστική δράση στο </w:t>
      </w:r>
      <w:r w:rsidR="0012124B">
        <w:t>στομάχι</w:t>
      </w:r>
      <w:r>
        <w:t xml:space="preserve"> .</w:t>
      </w:r>
    </w:p>
    <w:p w14:paraId="4153E755" w14:textId="774E5C84" w:rsidR="00B23C3A" w:rsidRDefault="00B23C3A" w:rsidP="002E51DA">
      <w:pPr>
        <w:spacing w:after="0"/>
        <w:jc w:val="both"/>
      </w:pPr>
      <w:r>
        <w:t>-</w:t>
      </w:r>
      <w:r>
        <w:tab/>
        <w:t xml:space="preserve">Διαφοροποιείται </w:t>
      </w:r>
      <w:r w:rsidR="0012124B">
        <w:t>από</w:t>
      </w:r>
      <w:r>
        <w:t xml:space="preserve"> τη γνωστή κατηγο</w:t>
      </w:r>
      <w:r w:rsidR="0012124B">
        <w:t>ρία των ΜΣΑΦ (μη στεροειδή αντι</w:t>
      </w:r>
      <w:r>
        <w:t xml:space="preserve">φλεγμονώδη) από το μηχανισμό </w:t>
      </w:r>
      <w:r w:rsidR="000925D9">
        <w:t xml:space="preserve">δράσεώς </w:t>
      </w:r>
      <w:r>
        <w:t>της που δεν έχει ακόμα επαρκώς ερμηνευθεί.</w:t>
      </w:r>
    </w:p>
    <w:p w14:paraId="4ADE707C" w14:textId="77777777" w:rsidR="00B23C3A" w:rsidRPr="000239DC" w:rsidRDefault="00B23C3A" w:rsidP="002E51DA">
      <w:pPr>
        <w:spacing w:after="0"/>
        <w:jc w:val="both"/>
      </w:pPr>
      <w:r>
        <w:t>-</w:t>
      </w:r>
      <w:r>
        <w:tab/>
        <w:t>Η δράση της είναι βραδεία και εκδηλώνεται γύρω στην 30η ημέρα της αγωγής και είναι σημαντική γύρω στην 45η ημέρα. Το αποτέλεσμα είναι αρθροιστικό σε συνδυασμό με ΜΣΑΦ.</w:t>
      </w:r>
    </w:p>
    <w:p w14:paraId="31521B7E" w14:textId="77777777" w:rsidR="00B23C3A" w:rsidRDefault="00B23C3A" w:rsidP="002E51DA">
      <w:pPr>
        <w:spacing w:after="0"/>
        <w:jc w:val="both"/>
      </w:pPr>
      <w:r>
        <w:lastRenderedPageBreak/>
        <w:t xml:space="preserve">In vitro η </w:t>
      </w:r>
      <w:r w:rsidR="009722C1">
        <w:t>διασερε</w:t>
      </w:r>
      <w:r w:rsidR="00E70C09">
        <w:t>ΐ</w:t>
      </w:r>
      <w:r w:rsidR="009722C1">
        <w:t>νη</w:t>
      </w:r>
      <w:r>
        <w:t xml:space="preserve"> έδειξε τις ακόλουθες ιδιότητες:</w:t>
      </w:r>
    </w:p>
    <w:p w14:paraId="35F5758F" w14:textId="77777777" w:rsidR="00B23C3A" w:rsidRDefault="00B23C3A" w:rsidP="002E51DA">
      <w:pPr>
        <w:spacing w:after="0"/>
        <w:jc w:val="both"/>
      </w:pPr>
      <w:r>
        <w:t>-</w:t>
      </w:r>
      <w:r>
        <w:tab/>
        <w:t>αναστολή της φαγοκυττώσεως και μεταναστεύσεως των μακροφάγων,</w:t>
      </w:r>
    </w:p>
    <w:p w14:paraId="24ABBF0D" w14:textId="77777777" w:rsidR="00B23C3A" w:rsidRDefault="00B23C3A" w:rsidP="002E51DA">
      <w:pPr>
        <w:spacing w:after="0"/>
        <w:jc w:val="both"/>
      </w:pPr>
      <w:r>
        <w:t>-</w:t>
      </w:r>
      <w:r>
        <w:tab/>
        <w:t>αναστολή της παραγωγής της ιντερλευκίνης 1,</w:t>
      </w:r>
    </w:p>
    <w:p w14:paraId="6BCD0FDD" w14:textId="77777777" w:rsidR="00B23C3A" w:rsidRPr="000239DC" w:rsidRDefault="00B23C3A" w:rsidP="002E51DA">
      <w:pPr>
        <w:spacing w:after="0"/>
        <w:jc w:val="both"/>
      </w:pPr>
      <w:r>
        <w:t>-</w:t>
      </w:r>
      <w:r>
        <w:tab/>
        <w:t>μείωση της κολλαγενολυτικής δραστικότητας.</w:t>
      </w:r>
    </w:p>
    <w:p w14:paraId="0C233D44" w14:textId="77777777" w:rsidR="00B23C3A" w:rsidRDefault="00B23C3A" w:rsidP="002E51DA">
      <w:pPr>
        <w:spacing w:after="0"/>
        <w:jc w:val="both"/>
      </w:pPr>
      <w:r>
        <w:t xml:space="preserve">Σε μερικά </w:t>
      </w:r>
      <w:r w:rsidR="00E17DE5">
        <w:t>πρότυπα, η</w:t>
      </w:r>
      <w:r>
        <w:t xml:space="preserve"> </w:t>
      </w:r>
      <w:r w:rsidR="009722C1">
        <w:t>διασερε</w:t>
      </w:r>
      <w:r w:rsidR="00E70C09">
        <w:t>ΐ</w:t>
      </w:r>
      <w:r w:rsidR="009722C1">
        <w:t>νη</w:t>
      </w:r>
      <w:r>
        <w:t xml:space="preserve"> διεγείρει τη σύνθεση των πρωτεο-γλυκανών, των γλυκοζαμινογλυκανών και του υαλουρονικού οξέος.</w:t>
      </w:r>
    </w:p>
    <w:p w14:paraId="3EF20383" w14:textId="77777777" w:rsidR="00B23C3A" w:rsidRPr="000239DC" w:rsidRDefault="00B23C3A" w:rsidP="002E51DA">
      <w:pPr>
        <w:spacing w:after="0"/>
        <w:jc w:val="both"/>
      </w:pPr>
      <w:r>
        <w:t>Ευνοϊκή δράση πάνω στους χόνδρους αναφέρθηκε σε πολλά πρότυπα πειραματόζωων.</w:t>
      </w:r>
    </w:p>
    <w:p w14:paraId="657DA010" w14:textId="77777777" w:rsidR="0012124B" w:rsidRPr="000239DC" w:rsidRDefault="0012124B" w:rsidP="002E51DA">
      <w:pPr>
        <w:spacing w:after="0"/>
        <w:jc w:val="both"/>
      </w:pPr>
    </w:p>
    <w:p w14:paraId="1F728019" w14:textId="77777777" w:rsidR="00B23C3A" w:rsidRPr="000239DC" w:rsidRDefault="00B23C3A" w:rsidP="002E51DA">
      <w:pPr>
        <w:spacing w:after="0"/>
        <w:jc w:val="both"/>
        <w:rPr>
          <w:b/>
        </w:rPr>
      </w:pPr>
      <w:r w:rsidRPr="0012124B">
        <w:rPr>
          <w:b/>
        </w:rPr>
        <w:t>5.2</w:t>
      </w:r>
      <w:r w:rsidRPr="0012124B">
        <w:rPr>
          <w:b/>
        </w:rPr>
        <w:tab/>
        <w:t>Φαρμακοκινητικές ιδιότητες</w:t>
      </w:r>
    </w:p>
    <w:p w14:paraId="06A90358" w14:textId="77777777" w:rsidR="0012124B" w:rsidRPr="000239DC" w:rsidRDefault="0012124B" w:rsidP="002E51DA">
      <w:pPr>
        <w:spacing w:after="0"/>
        <w:jc w:val="both"/>
        <w:rPr>
          <w:b/>
        </w:rPr>
      </w:pPr>
    </w:p>
    <w:p w14:paraId="1CF20CA8" w14:textId="1CFD76DC" w:rsidR="00711BC5" w:rsidRDefault="00B23C3A" w:rsidP="002E51DA">
      <w:pPr>
        <w:spacing w:after="0"/>
        <w:jc w:val="both"/>
      </w:pPr>
      <w:r>
        <w:t xml:space="preserve">Η </w:t>
      </w:r>
      <w:r w:rsidR="009722C1">
        <w:t>διασερε</w:t>
      </w:r>
      <w:r w:rsidR="00D3634C">
        <w:t>ΐ</w:t>
      </w:r>
      <w:r w:rsidR="009722C1">
        <w:t>νη</w:t>
      </w:r>
      <w:r>
        <w:t xml:space="preserve"> μετά από του στόματος χορήγηση, υφίσταται μεταβολισμό πρώτης διόδου και αποκετυλιούται ολικά. Η ρεΐνη περαιτέρω συζεύγνυται με </w:t>
      </w:r>
      <w:r w:rsidR="00EE52B8">
        <w:t xml:space="preserve">θειϊκές </w:t>
      </w:r>
      <w:r>
        <w:t xml:space="preserve">ρίζες και σχηματίζεται ο </w:t>
      </w:r>
      <w:r w:rsidR="00711BC5">
        <w:t xml:space="preserve">θειϊκός </w:t>
      </w:r>
      <w:r>
        <w:t>της εστέρας (σου</w:t>
      </w:r>
      <w:r w:rsidR="0012124B">
        <w:t xml:space="preserve">λφοσυζευγμένη). </w:t>
      </w:r>
    </w:p>
    <w:p w14:paraId="0CDC39AA" w14:textId="7B40B655" w:rsidR="00B23C3A" w:rsidRDefault="0012124B" w:rsidP="002E51DA">
      <w:pPr>
        <w:spacing w:after="0"/>
        <w:jc w:val="both"/>
      </w:pPr>
      <w:r>
        <w:t>Μετά την εφάπαξ χορήγηση 50</w:t>
      </w:r>
      <w:r w:rsidR="00711BC5">
        <w:t>mg</w:t>
      </w:r>
      <w:r>
        <w:t xml:space="preserve"> </w:t>
      </w:r>
      <w:r w:rsidR="009722C1">
        <w:t>διασερε</w:t>
      </w:r>
      <w:r w:rsidR="00D3634C">
        <w:t>ΐ</w:t>
      </w:r>
      <w:r w:rsidR="009722C1">
        <w:t>νη</w:t>
      </w:r>
      <w:r>
        <w:t>ς η μ</w:t>
      </w:r>
      <w:r w:rsidR="00B23C3A">
        <w:t xml:space="preserve">έγιστη συγκέντρωση στο πλάσμα παρατηρείται </w:t>
      </w:r>
      <w:r>
        <w:t>σε 2,5h και η Cmax είναι της τάξ</w:t>
      </w:r>
      <w:r w:rsidR="00B23C3A">
        <w:t>εως των 3</w:t>
      </w:r>
      <w:r w:rsidR="00900F66">
        <w:rPr>
          <w:lang w:val="en-GB"/>
        </w:rPr>
        <w:t>mg</w:t>
      </w:r>
      <w:r w:rsidR="00B23C3A">
        <w:t>/L.</w:t>
      </w:r>
    </w:p>
    <w:p w14:paraId="57F65119" w14:textId="22134C38" w:rsidR="001F22E7" w:rsidRPr="00B23557" w:rsidRDefault="00B23C3A" w:rsidP="002E51DA">
      <w:pPr>
        <w:spacing w:after="0"/>
        <w:jc w:val="both"/>
      </w:pPr>
      <w:r>
        <w:t xml:space="preserve">Η λήψη </w:t>
      </w:r>
      <w:r w:rsidR="009722C1">
        <w:t>διασερε</w:t>
      </w:r>
      <w:r w:rsidR="00D3634C">
        <w:t>ΐ</w:t>
      </w:r>
      <w:r w:rsidR="009722C1">
        <w:t>νη</w:t>
      </w:r>
      <w:r>
        <w:t>ς στη διάρκεια των γευμάτων, αυξάνει τη βιοδιαθεσιμότητα (το εμβαδόν κάτω από την καμπύλη συγκέντρωσης στο πλάσμα/χρόνος αυξάνει περίπου 25%) και η απορρόφηση επιβραδύνεται. Όλες οι φαρμακοκινητικές π</w:t>
      </w:r>
      <w:r w:rsidR="009722C1">
        <w:t>α</w:t>
      </w:r>
      <w:r>
        <w:t xml:space="preserve">ράμετροι που </w:t>
      </w:r>
      <w:r w:rsidR="00900F66">
        <w:t xml:space="preserve">προσδιορίστηκαν μετά </w:t>
      </w:r>
      <w:r>
        <w:t xml:space="preserve">από απλή χορήγηση είναι ανεξάρτητες της δόσεως για εύρος δόσεων 50 - 200 </w:t>
      </w:r>
      <w:r w:rsidR="00686B96">
        <w:t>mg</w:t>
      </w:r>
      <w:r>
        <w:t xml:space="preserve"> </w:t>
      </w:r>
      <w:r w:rsidR="009722C1">
        <w:t>διασερεϊνη</w:t>
      </w:r>
      <w:r>
        <w:t xml:space="preserve">ς. Η σύνδεση με τις πρωτεΐνες είναι πολύ υψηλή (99%).Ουσιαστικά πρόκειται για μία σύνδεση ισχυρής συγγένειας </w:t>
      </w:r>
      <w:r w:rsidR="00D3634C">
        <w:t xml:space="preserve">με την αλβουμίνη. </w:t>
      </w:r>
    </w:p>
    <w:p w14:paraId="1F921283" w14:textId="77777777" w:rsidR="00056E7B" w:rsidRPr="00B23557" w:rsidRDefault="00D3634C" w:rsidP="002E51DA">
      <w:pPr>
        <w:spacing w:after="0"/>
        <w:jc w:val="both"/>
      </w:pPr>
      <w:r>
        <w:t>Η ημιπερίοδος</w:t>
      </w:r>
      <w:r w:rsidR="00187FBC">
        <w:t xml:space="preserve"> </w:t>
      </w:r>
      <w:r w:rsidR="00B23C3A">
        <w:t>ζωής απομάκρυνσης της ρεΐνης είναι κατά προσέγγιση</w:t>
      </w:r>
      <w:r w:rsidR="00056E7B" w:rsidRPr="00B23557">
        <w:t xml:space="preserve"> </w:t>
      </w:r>
      <w:r w:rsidR="00056E7B" w:rsidRPr="00056E7B">
        <w:t>4,5h</w:t>
      </w:r>
      <w:r w:rsidR="00B23C3A">
        <w:t xml:space="preserve">. Η συνολικά απεκκρινόμενη δια των ούρων ποσότητα είναι 30%. </w:t>
      </w:r>
    </w:p>
    <w:p w14:paraId="41DCEAAE" w14:textId="77777777" w:rsidR="00B23C3A" w:rsidRDefault="00B23C3A" w:rsidP="002E51DA">
      <w:pPr>
        <w:spacing w:after="0"/>
        <w:jc w:val="both"/>
      </w:pPr>
      <w:r>
        <w:t>Η ρεΐνη απεκκρίνεται με τα ούρα κατά 80% υπό μορφήν σουλφο-και γλυκουροσυζευγμένης και κατά 20% σε αμεταβόλιστη μορφή.</w:t>
      </w:r>
    </w:p>
    <w:p w14:paraId="24405B47" w14:textId="77777777" w:rsidR="00B23C3A" w:rsidRDefault="0012124B" w:rsidP="002E51DA">
      <w:pPr>
        <w:spacing w:after="0"/>
        <w:jc w:val="both"/>
      </w:pPr>
      <w:r>
        <w:t>Σε επαναλαμβανόμενες δόσεις (50</w:t>
      </w:r>
      <w:r w:rsidR="00B23C3A">
        <w:t xml:space="preserve">mg Χ 2 την ημέρα), η </w:t>
      </w:r>
      <w:r w:rsidR="009722C1">
        <w:t>διασερε</w:t>
      </w:r>
      <w:r w:rsidR="00D3634C">
        <w:t>ΐ</w:t>
      </w:r>
      <w:r w:rsidR="009722C1">
        <w:t>νη</w:t>
      </w:r>
      <w:r w:rsidR="00B23C3A">
        <w:t xml:space="preserve"> παρουσιάζει μια ασθενή συσσώρευση.</w:t>
      </w:r>
    </w:p>
    <w:p w14:paraId="53FA6E5C" w14:textId="4C86888E" w:rsidR="0042285F" w:rsidRPr="00B23557" w:rsidRDefault="00B23C3A" w:rsidP="002E51DA">
      <w:pPr>
        <w:spacing w:after="0"/>
        <w:jc w:val="both"/>
      </w:pPr>
      <w:r>
        <w:t>Στους ασθενείς με σοβαρή νεφρική ανεπάρκεια (κάθαρση</w:t>
      </w:r>
      <w:r w:rsidR="0012124B">
        <w:t xml:space="preserve"> κρεατινίνης κατώτερη των </w:t>
      </w:r>
      <w:r w:rsidR="00BB0388">
        <w:t>30</w:t>
      </w:r>
      <w:r w:rsidR="00BB0388">
        <w:rPr>
          <w:lang w:val="en-GB"/>
        </w:rPr>
        <w:t>mL</w:t>
      </w:r>
      <w:r w:rsidR="0012124B">
        <w:t>/</w:t>
      </w:r>
      <w:r w:rsidR="00BB0388">
        <w:rPr>
          <w:lang w:val="en-GB"/>
        </w:rPr>
        <w:t>min</w:t>
      </w:r>
      <w:r w:rsidR="0012124B" w:rsidRPr="0012124B">
        <w:t>)</w:t>
      </w:r>
      <w:r>
        <w:t>, τ</w:t>
      </w:r>
      <w:r w:rsidR="00BB0388">
        <w:t>ο</w:t>
      </w:r>
      <w:r>
        <w:t xml:space="preserve"> </w:t>
      </w:r>
      <w:r w:rsidR="00BB0388">
        <w:t xml:space="preserve">εμβαδόν </w:t>
      </w:r>
      <w:r>
        <w:t xml:space="preserve">κάτω από την καμπύλη </w:t>
      </w:r>
      <w:r w:rsidR="00BB0388">
        <w:t xml:space="preserve">συγκέντρωσης-χρόνου </w:t>
      </w:r>
      <w:r>
        <w:t>(</w:t>
      </w:r>
      <w:r w:rsidR="00BB0388">
        <w:t>έκταση απορρόφησης</w:t>
      </w:r>
      <w:r>
        <w:t xml:space="preserve">) και η ημιπερίοδος ζωής </w:t>
      </w:r>
      <w:r w:rsidR="00BB0388">
        <w:t>απομάκρυνσης</w:t>
      </w:r>
      <w:r>
        <w:t xml:space="preserve">, διπλασιάζονται και η ουρική απέκκριση μειώνεται στο ήμισυ (βλέπε ΠΡΟΦΥΛΑΞΕΙΣ ΚΑΤΑ ΤΗ ΧΡΗΣΗ). </w:t>
      </w:r>
    </w:p>
    <w:p w14:paraId="4968A8C5" w14:textId="77777777" w:rsidR="00B23C3A" w:rsidRPr="000239DC" w:rsidRDefault="00B23C3A" w:rsidP="002E51DA">
      <w:pPr>
        <w:spacing w:after="0"/>
        <w:jc w:val="both"/>
      </w:pPr>
      <w:r>
        <w:t>Στα ηλικιωμένα άτομα, λαμβανομένης υπ'</w:t>
      </w:r>
      <w:r w:rsidR="0012124B" w:rsidRPr="0012124B">
        <w:t xml:space="preserve"> </w:t>
      </w:r>
      <w:r>
        <w:t>όψιν της καλής ανοχής του προϊόντος, δεν είναι απαραίτητη η τροποποίηση της δόσεως, παρά τη βραδύτερη απέκκριση.</w:t>
      </w:r>
    </w:p>
    <w:p w14:paraId="4F1F763E" w14:textId="77777777" w:rsidR="0012124B" w:rsidRPr="000239DC" w:rsidRDefault="0012124B" w:rsidP="002E51DA">
      <w:pPr>
        <w:spacing w:after="0"/>
        <w:jc w:val="both"/>
      </w:pPr>
    </w:p>
    <w:p w14:paraId="0507F8DA" w14:textId="77777777" w:rsidR="00B23C3A" w:rsidRPr="000239DC" w:rsidRDefault="00B23C3A" w:rsidP="002E51DA">
      <w:pPr>
        <w:spacing w:after="0"/>
        <w:jc w:val="both"/>
        <w:rPr>
          <w:b/>
        </w:rPr>
      </w:pPr>
      <w:r w:rsidRPr="0012124B">
        <w:rPr>
          <w:b/>
        </w:rPr>
        <w:t>5.3</w:t>
      </w:r>
      <w:r w:rsidRPr="0012124B">
        <w:rPr>
          <w:b/>
        </w:rPr>
        <w:tab/>
        <w:t>Προκλινικά δεδομένα για την ασφάλεια</w:t>
      </w:r>
    </w:p>
    <w:p w14:paraId="125188C8" w14:textId="77777777" w:rsidR="00B23C3A" w:rsidRPr="000239DC" w:rsidRDefault="00B23C3A" w:rsidP="002E51DA">
      <w:pPr>
        <w:spacing w:after="0"/>
        <w:jc w:val="both"/>
      </w:pPr>
      <w:r>
        <w:t>Πολυάριθμες μελέτες σε πειραματόζωα απέδειξαν την ασφάλεια της χρήσης του ιδιοσκευάσματος</w:t>
      </w:r>
    </w:p>
    <w:p w14:paraId="5CF925AA" w14:textId="77777777" w:rsidR="0012124B" w:rsidRPr="000239DC" w:rsidRDefault="0012124B" w:rsidP="002E51DA">
      <w:pPr>
        <w:spacing w:after="0"/>
        <w:jc w:val="both"/>
      </w:pPr>
    </w:p>
    <w:p w14:paraId="5D26CFC2" w14:textId="77777777" w:rsidR="00B23C3A" w:rsidRPr="000239DC" w:rsidRDefault="00B23C3A" w:rsidP="002E51DA">
      <w:pPr>
        <w:spacing w:after="0"/>
        <w:jc w:val="both"/>
        <w:rPr>
          <w:b/>
        </w:rPr>
      </w:pPr>
      <w:r w:rsidRPr="0012124B">
        <w:rPr>
          <w:b/>
        </w:rPr>
        <w:t>6.</w:t>
      </w:r>
      <w:r w:rsidRPr="0012124B">
        <w:rPr>
          <w:b/>
        </w:rPr>
        <w:tab/>
        <w:t>ΦΑΡΜΑΚΕΥΤΙΚΕΣ ΠΛΗΡΟΦΟΡΙΕΣ</w:t>
      </w:r>
    </w:p>
    <w:p w14:paraId="34FD3FFC" w14:textId="77777777" w:rsidR="0012124B" w:rsidRPr="000239DC" w:rsidRDefault="0012124B" w:rsidP="002E51DA">
      <w:pPr>
        <w:spacing w:after="0"/>
        <w:jc w:val="both"/>
        <w:rPr>
          <w:b/>
        </w:rPr>
      </w:pPr>
    </w:p>
    <w:p w14:paraId="728C7FB5" w14:textId="77777777" w:rsidR="00B23C3A" w:rsidRPr="0012124B" w:rsidRDefault="00B23C3A" w:rsidP="002E51DA">
      <w:pPr>
        <w:spacing w:after="0"/>
        <w:jc w:val="both"/>
        <w:rPr>
          <w:b/>
        </w:rPr>
      </w:pPr>
      <w:r w:rsidRPr="0012124B">
        <w:rPr>
          <w:b/>
        </w:rPr>
        <w:t>6.1</w:t>
      </w:r>
      <w:r w:rsidRPr="0012124B">
        <w:rPr>
          <w:b/>
        </w:rPr>
        <w:tab/>
        <w:t>Κατάλογος εκδόχων</w:t>
      </w:r>
    </w:p>
    <w:p w14:paraId="130C48CE" w14:textId="77777777" w:rsidR="00CA6827" w:rsidRDefault="00CA6827" w:rsidP="002E51DA">
      <w:pPr>
        <w:spacing w:after="0"/>
        <w:jc w:val="both"/>
      </w:pPr>
    </w:p>
    <w:p w14:paraId="5951B8A9" w14:textId="77777777" w:rsidR="00B23C3A" w:rsidRDefault="00B23C3A" w:rsidP="002E51DA">
      <w:pPr>
        <w:spacing w:after="0"/>
        <w:jc w:val="both"/>
      </w:pPr>
      <w:r>
        <w:t>Έκδοχα</w:t>
      </w:r>
    </w:p>
    <w:p w14:paraId="2F262395" w14:textId="77777777" w:rsidR="00B23C3A" w:rsidRPr="00395E21" w:rsidRDefault="00187FBC" w:rsidP="002E51DA">
      <w:pPr>
        <w:spacing w:after="0"/>
        <w:jc w:val="both"/>
      </w:pPr>
      <w:r w:rsidRPr="00F95A26">
        <w:rPr>
          <w:lang w:val="en-US"/>
        </w:rPr>
        <w:t>Lactose</w:t>
      </w:r>
      <w:r w:rsidRPr="00395E21">
        <w:t xml:space="preserve"> </w:t>
      </w:r>
      <w:r w:rsidRPr="00F95A26">
        <w:rPr>
          <w:lang w:val="en-US"/>
        </w:rPr>
        <w:t>monohydrate</w:t>
      </w:r>
      <w:r w:rsidRPr="00395E21">
        <w:t xml:space="preserve">, </w:t>
      </w:r>
      <w:r w:rsidRPr="00F95A26">
        <w:rPr>
          <w:lang w:val="en-US"/>
        </w:rPr>
        <w:t>Croscarmellose</w:t>
      </w:r>
      <w:r w:rsidRPr="00395E21">
        <w:t xml:space="preserve"> </w:t>
      </w:r>
      <w:r w:rsidRPr="00F95A26">
        <w:rPr>
          <w:lang w:val="en-US"/>
        </w:rPr>
        <w:t>sodium</w:t>
      </w:r>
      <w:r w:rsidRPr="00395E21">
        <w:t xml:space="preserve">, </w:t>
      </w:r>
      <w:r w:rsidRPr="00F95A26">
        <w:rPr>
          <w:lang w:val="en-US"/>
        </w:rPr>
        <w:t>Colloidal</w:t>
      </w:r>
      <w:r w:rsidRPr="00395E21">
        <w:t xml:space="preserve"> </w:t>
      </w:r>
      <w:r w:rsidRPr="00F95A26">
        <w:rPr>
          <w:lang w:val="en-US"/>
        </w:rPr>
        <w:t>silicon</w:t>
      </w:r>
      <w:r w:rsidRPr="00395E21">
        <w:t xml:space="preserve"> </w:t>
      </w:r>
      <w:r w:rsidRPr="00F95A26">
        <w:rPr>
          <w:lang w:val="en-US"/>
        </w:rPr>
        <w:t>dioxide</w:t>
      </w:r>
      <w:r w:rsidRPr="00395E21">
        <w:t xml:space="preserve">, </w:t>
      </w:r>
      <w:r w:rsidRPr="00F95A26">
        <w:rPr>
          <w:lang w:val="en-US"/>
        </w:rPr>
        <w:t>Polyvidone</w:t>
      </w:r>
      <w:r w:rsidRPr="00395E21">
        <w:t xml:space="preserve">, </w:t>
      </w:r>
      <w:r w:rsidR="00B23C3A" w:rsidRPr="00F95A26">
        <w:rPr>
          <w:lang w:val="en-US"/>
        </w:rPr>
        <w:t>Magnesium</w:t>
      </w:r>
      <w:r w:rsidR="00B23C3A" w:rsidRPr="00395E21">
        <w:t xml:space="preserve"> </w:t>
      </w:r>
      <w:r w:rsidR="00B23C3A" w:rsidRPr="00F95A26">
        <w:rPr>
          <w:lang w:val="en-US"/>
        </w:rPr>
        <w:t>stearate</w:t>
      </w:r>
    </w:p>
    <w:p w14:paraId="652FCC17" w14:textId="77777777" w:rsidR="0012124B" w:rsidRPr="00395E21" w:rsidRDefault="0012124B" w:rsidP="002E51DA">
      <w:pPr>
        <w:spacing w:after="0"/>
        <w:jc w:val="both"/>
      </w:pPr>
    </w:p>
    <w:p w14:paraId="75B57AB3" w14:textId="77777777" w:rsidR="00B23C3A" w:rsidRPr="002839D6" w:rsidRDefault="00B23C3A" w:rsidP="002E51DA">
      <w:pPr>
        <w:spacing w:after="0"/>
        <w:jc w:val="both"/>
        <w:rPr>
          <w:lang w:val="es-ES"/>
        </w:rPr>
      </w:pPr>
      <w:r w:rsidRPr="00F95A26">
        <w:t>Σύνθεση</w:t>
      </w:r>
      <w:r w:rsidRPr="002839D6">
        <w:rPr>
          <w:lang w:val="es-ES"/>
        </w:rPr>
        <w:t xml:space="preserve"> </w:t>
      </w:r>
      <w:r w:rsidRPr="00F95A26">
        <w:t>κενού</w:t>
      </w:r>
      <w:r w:rsidRPr="002839D6">
        <w:rPr>
          <w:lang w:val="es-ES"/>
        </w:rPr>
        <w:t xml:space="preserve"> </w:t>
      </w:r>
      <w:r w:rsidRPr="00F95A26">
        <w:t>καψακίου</w:t>
      </w:r>
      <w:r w:rsidRPr="002839D6">
        <w:rPr>
          <w:lang w:val="es-ES"/>
        </w:rPr>
        <w:t>:</w:t>
      </w:r>
    </w:p>
    <w:p w14:paraId="4E3117E4" w14:textId="77777777" w:rsidR="00B23C3A" w:rsidRPr="002839D6" w:rsidRDefault="0012124B" w:rsidP="002E51DA">
      <w:pPr>
        <w:spacing w:after="0"/>
        <w:jc w:val="both"/>
        <w:rPr>
          <w:lang w:val="es-ES"/>
        </w:rPr>
      </w:pPr>
      <w:r w:rsidRPr="002839D6">
        <w:rPr>
          <w:lang w:val="es-ES"/>
        </w:rPr>
        <w:t>T</w:t>
      </w:r>
      <w:r w:rsidR="00B23C3A" w:rsidRPr="002839D6">
        <w:rPr>
          <w:lang w:val="es-ES"/>
        </w:rPr>
        <w:t>itanium Dioxide (E-171)</w:t>
      </w:r>
      <w:r w:rsidR="00E70C09" w:rsidRPr="002839D6">
        <w:rPr>
          <w:lang w:val="es-ES"/>
        </w:rPr>
        <w:t>, Gelatine,</w:t>
      </w:r>
      <w:r w:rsidR="00AC6509" w:rsidRPr="002839D6">
        <w:rPr>
          <w:lang w:val="es-ES"/>
        </w:rPr>
        <w:t xml:space="preserve"> </w:t>
      </w:r>
      <w:r w:rsidR="00B23C3A" w:rsidRPr="002839D6">
        <w:rPr>
          <w:lang w:val="es-ES"/>
        </w:rPr>
        <w:t>Quinoline Yellow (E-104)</w:t>
      </w:r>
      <w:r w:rsidR="00AC6509" w:rsidRPr="002839D6">
        <w:rPr>
          <w:lang w:val="es-ES"/>
        </w:rPr>
        <w:t>, Indigo carmine E132</w:t>
      </w:r>
    </w:p>
    <w:p w14:paraId="4C6E7133" w14:textId="77777777" w:rsidR="00AC6509" w:rsidRPr="002839D6" w:rsidRDefault="00AC6509" w:rsidP="002E51DA">
      <w:pPr>
        <w:spacing w:after="0"/>
        <w:jc w:val="both"/>
        <w:rPr>
          <w:b/>
          <w:lang w:val="es-ES"/>
        </w:rPr>
      </w:pPr>
    </w:p>
    <w:p w14:paraId="43F99688" w14:textId="77777777" w:rsidR="00B23C3A" w:rsidRPr="000239DC" w:rsidRDefault="00B23C3A" w:rsidP="002E51DA">
      <w:pPr>
        <w:spacing w:after="0"/>
        <w:jc w:val="both"/>
        <w:rPr>
          <w:b/>
        </w:rPr>
      </w:pPr>
      <w:r w:rsidRPr="00F95A26">
        <w:rPr>
          <w:b/>
        </w:rPr>
        <w:t>6.2</w:t>
      </w:r>
      <w:r w:rsidRPr="00F95A26">
        <w:rPr>
          <w:b/>
        </w:rPr>
        <w:tab/>
        <w:t>Ασυμβατότητες</w:t>
      </w:r>
    </w:p>
    <w:p w14:paraId="5910B38D" w14:textId="77777777" w:rsidR="0012124B" w:rsidRPr="000239DC" w:rsidRDefault="0012124B" w:rsidP="002E51DA">
      <w:pPr>
        <w:spacing w:after="0"/>
        <w:jc w:val="both"/>
        <w:rPr>
          <w:b/>
        </w:rPr>
      </w:pPr>
    </w:p>
    <w:p w14:paraId="50D312A6" w14:textId="5CE5CF4B" w:rsidR="0012124B" w:rsidRPr="000239DC" w:rsidRDefault="00A77013" w:rsidP="002E51DA">
      <w:pPr>
        <w:spacing w:after="0"/>
        <w:jc w:val="both"/>
      </w:pPr>
      <w:r w:rsidRPr="00A77013">
        <w:t>Δεν αναφέρονται.</w:t>
      </w:r>
    </w:p>
    <w:p w14:paraId="4C7F427F" w14:textId="77777777" w:rsidR="00B23C3A" w:rsidRPr="000239DC" w:rsidRDefault="00B23C3A" w:rsidP="002E51DA">
      <w:pPr>
        <w:spacing w:after="0"/>
        <w:jc w:val="both"/>
        <w:rPr>
          <w:b/>
        </w:rPr>
      </w:pPr>
      <w:r w:rsidRPr="0012124B">
        <w:rPr>
          <w:b/>
        </w:rPr>
        <w:t>6.3</w:t>
      </w:r>
      <w:r w:rsidRPr="0012124B">
        <w:rPr>
          <w:b/>
        </w:rPr>
        <w:tab/>
        <w:t>Διάρκεια ζωής</w:t>
      </w:r>
    </w:p>
    <w:p w14:paraId="4926D3F5" w14:textId="77777777" w:rsidR="0012124B" w:rsidRPr="000239DC" w:rsidRDefault="0012124B" w:rsidP="002E51DA">
      <w:pPr>
        <w:spacing w:after="0"/>
        <w:jc w:val="both"/>
        <w:rPr>
          <w:b/>
        </w:rPr>
      </w:pPr>
    </w:p>
    <w:p w14:paraId="719E4554" w14:textId="77777777" w:rsidR="0012124B" w:rsidRPr="000239DC" w:rsidRDefault="00B23C3A" w:rsidP="002E51DA">
      <w:pPr>
        <w:spacing w:after="0"/>
        <w:jc w:val="both"/>
      </w:pPr>
      <w:r w:rsidRPr="00F95A26">
        <w:t>36 μήνες</w:t>
      </w:r>
    </w:p>
    <w:p w14:paraId="5FD693DC" w14:textId="77777777" w:rsidR="0012124B" w:rsidRPr="000239DC" w:rsidRDefault="0012124B" w:rsidP="002E51DA">
      <w:pPr>
        <w:spacing w:after="0"/>
        <w:jc w:val="both"/>
      </w:pPr>
    </w:p>
    <w:p w14:paraId="45F351F0" w14:textId="77777777" w:rsidR="00B23C3A" w:rsidRPr="000239DC" w:rsidRDefault="00B23C3A" w:rsidP="002E51DA">
      <w:pPr>
        <w:spacing w:after="0"/>
        <w:jc w:val="both"/>
        <w:rPr>
          <w:b/>
        </w:rPr>
      </w:pPr>
      <w:r w:rsidRPr="0012124B">
        <w:rPr>
          <w:b/>
        </w:rPr>
        <w:t>6.4</w:t>
      </w:r>
      <w:r w:rsidRPr="0012124B">
        <w:rPr>
          <w:b/>
        </w:rPr>
        <w:tab/>
        <w:t>Ιδιαίτερες προφυλάξεις κατά τη φύλαξη του προϊόντος</w:t>
      </w:r>
    </w:p>
    <w:p w14:paraId="229B370F" w14:textId="77777777" w:rsidR="0012124B" w:rsidRPr="000239DC" w:rsidRDefault="0012124B" w:rsidP="002E51DA">
      <w:pPr>
        <w:spacing w:after="0"/>
        <w:jc w:val="both"/>
        <w:rPr>
          <w:b/>
        </w:rPr>
      </w:pPr>
    </w:p>
    <w:p w14:paraId="379C103E" w14:textId="77777777" w:rsidR="00B23C3A" w:rsidRPr="0012124B" w:rsidRDefault="00B23C3A" w:rsidP="002E51DA">
      <w:pPr>
        <w:spacing w:after="0"/>
        <w:jc w:val="both"/>
      </w:pPr>
      <w:r>
        <w:t>Να μη φυλάσσετε σ</w:t>
      </w:r>
      <w:r w:rsidR="0012124B">
        <w:t>ε θερμοκρασία μεγαλύτερη των 25</w:t>
      </w:r>
      <w:r w:rsidR="0012124B">
        <w:rPr>
          <w:rFonts w:cstheme="minorHAnsi"/>
        </w:rPr>
        <w:t>°</w:t>
      </w:r>
      <w:r>
        <w:t xml:space="preserve"> C.</w:t>
      </w:r>
    </w:p>
    <w:p w14:paraId="7927F389" w14:textId="77777777" w:rsidR="0012124B" w:rsidRPr="0012124B" w:rsidRDefault="0012124B" w:rsidP="002E51DA">
      <w:pPr>
        <w:spacing w:after="0"/>
        <w:jc w:val="both"/>
      </w:pPr>
    </w:p>
    <w:p w14:paraId="0CB6C6E2" w14:textId="77777777" w:rsidR="00B23C3A" w:rsidRPr="00DB1E08" w:rsidRDefault="00B23C3A" w:rsidP="002E51DA">
      <w:pPr>
        <w:spacing w:after="0"/>
        <w:jc w:val="both"/>
        <w:rPr>
          <w:b/>
        </w:rPr>
      </w:pPr>
      <w:r w:rsidRPr="00DB1E08">
        <w:rPr>
          <w:b/>
        </w:rPr>
        <w:t>6.5</w:t>
      </w:r>
      <w:r w:rsidRPr="00DB1E08">
        <w:rPr>
          <w:b/>
        </w:rPr>
        <w:tab/>
        <w:t>Φύση και συστατικά του περιέκτη</w:t>
      </w:r>
    </w:p>
    <w:p w14:paraId="5AF8862B" w14:textId="77777777" w:rsidR="0012124B" w:rsidRPr="00DB1E08" w:rsidRDefault="0012124B" w:rsidP="002E51DA">
      <w:pPr>
        <w:spacing w:after="0"/>
        <w:jc w:val="both"/>
        <w:rPr>
          <w:b/>
        </w:rPr>
      </w:pPr>
    </w:p>
    <w:p w14:paraId="0B40170F" w14:textId="77777777" w:rsidR="00B23C3A" w:rsidRPr="000239DC" w:rsidRDefault="00B23C3A" w:rsidP="002E51DA">
      <w:pPr>
        <w:spacing w:after="0"/>
        <w:jc w:val="both"/>
      </w:pPr>
      <w:r w:rsidRPr="00DB1E08">
        <w:t>Χάρτ</w:t>
      </w:r>
      <w:r w:rsidR="00044CC2" w:rsidRPr="00DB1E08">
        <w:t>ινο κουτί που περιέχει 30 κάψουλες χρώματος άσπρο-πράσινο</w:t>
      </w:r>
      <w:r w:rsidR="00395E21" w:rsidRPr="00395E21">
        <w:t>,</w:t>
      </w:r>
      <w:r w:rsidR="00044CC2" w:rsidRPr="00DB1E08">
        <w:t xml:space="preserve"> </w:t>
      </w:r>
      <w:r w:rsidRPr="00DB1E08">
        <w:t>σε blisters</w:t>
      </w:r>
      <w:r w:rsidR="00044CC2" w:rsidRPr="00DB1E08">
        <w:t xml:space="preserve"> των 10 καψουλών</w:t>
      </w:r>
      <w:r w:rsidRPr="00DB1E08">
        <w:t>.</w:t>
      </w:r>
    </w:p>
    <w:p w14:paraId="34C16275" w14:textId="77777777" w:rsidR="0012124B" w:rsidRPr="000239DC" w:rsidRDefault="0012124B" w:rsidP="002E51DA">
      <w:pPr>
        <w:spacing w:after="0"/>
        <w:jc w:val="both"/>
      </w:pPr>
    </w:p>
    <w:p w14:paraId="79EAEB55" w14:textId="77777777" w:rsidR="00B23C3A" w:rsidRPr="000239DC" w:rsidRDefault="00B23C3A" w:rsidP="002E51DA">
      <w:pPr>
        <w:spacing w:after="0"/>
        <w:jc w:val="both"/>
        <w:rPr>
          <w:b/>
        </w:rPr>
      </w:pPr>
      <w:r w:rsidRPr="0012124B">
        <w:rPr>
          <w:b/>
        </w:rPr>
        <w:t>6.6</w:t>
      </w:r>
      <w:r w:rsidRPr="0012124B">
        <w:rPr>
          <w:b/>
        </w:rPr>
        <w:tab/>
      </w:r>
      <w:r w:rsidR="00C56C98">
        <w:rPr>
          <w:b/>
        </w:rPr>
        <w:t>Ιδιαίτερες προφυλάξεις απόρριψης</w:t>
      </w:r>
    </w:p>
    <w:p w14:paraId="44530AFF" w14:textId="77777777" w:rsidR="0012124B" w:rsidRPr="000239DC" w:rsidRDefault="0012124B" w:rsidP="002E51DA">
      <w:pPr>
        <w:spacing w:after="0"/>
        <w:jc w:val="both"/>
        <w:rPr>
          <w:b/>
        </w:rPr>
      </w:pPr>
    </w:p>
    <w:p w14:paraId="40D9C0DD" w14:textId="77777777" w:rsidR="00B23C3A" w:rsidRDefault="00C56C98" w:rsidP="002E51DA">
      <w:pPr>
        <w:spacing w:after="0"/>
        <w:jc w:val="both"/>
      </w:pPr>
      <w:r>
        <w:t>Κάθε αχρησιμοποίητο φαρμακευτικό προϊόν ή υπόλειμμα πρέπει να απορρίπτεται σύμφωνα με τις κατά τόπους ισχύουσες σχετικές διατάξεις.</w:t>
      </w:r>
    </w:p>
    <w:p w14:paraId="7CC8AB28" w14:textId="77777777" w:rsidR="00B23C3A" w:rsidRDefault="00B23C3A" w:rsidP="002E51DA">
      <w:pPr>
        <w:spacing w:after="0"/>
        <w:jc w:val="both"/>
      </w:pPr>
    </w:p>
    <w:p w14:paraId="395B2BAC" w14:textId="77777777" w:rsidR="00B23C3A" w:rsidRDefault="0012124B" w:rsidP="002E51DA">
      <w:pPr>
        <w:spacing w:after="0"/>
        <w:jc w:val="both"/>
        <w:rPr>
          <w:b/>
        </w:rPr>
      </w:pPr>
      <w:r w:rsidRPr="00DB1E08">
        <w:rPr>
          <w:b/>
        </w:rPr>
        <w:t>7.</w:t>
      </w:r>
      <w:r w:rsidRPr="00DB1E08">
        <w:rPr>
          <w:b/>
        </w:rPr>
        <w:tab/>
      </w:r>
      <w:r w:rsidR="00B23C3A" w:rsidRPr="00DB1E08">
        <w:rPr>
          <w:b/>
        </w:rPr>
        <w:t>ΚΑΤΟΧΟΣ ΤΗΣ ΑΔΕΙΑΣ ΚΥΚΛΟΦΟΡΙΑΣ</w:t>
      </w:r>
    </w:p>
    <w:p w14:paraId="79A72EFC" w14:textId="77777777" w:rsidR="005A341E" w:rsidRDefault="005A341E" w:rsidP="00700DA7">
      <w:pPr>
        <w:tabs>
          <w:tab w:val="left" w:pos="-720"/>
          <w:tab w:val="left" w:pos="709"/>
        </w:tabs>
        <w:suppressAutoHyphens/>
        <w:jc w:val="both"/>
        <w:rPr>
          <w:rFonts w:cstheme="minorHAnsi"/>
          <w:spacing w:val="-3"/>
        </w:rPr>
      </w:pPr>
    </w:p>
    <w:p w14:paraId="1DC28105" w14:textId="77777777" w:rsidR="0012124B" w:rsidRPr="00700DA7" w:rsidRDefault="00700DA7" w:rsidP="00700DA7">
      <w:pPr>
        <w:tabs>
          <w:tab w:val="left" w:pos="-720"/>
          <w:tab w:val="left" w:pos="709"/>
        </w:tabs>
        <w:suppressAutoHyphens/>
        <w:jc w:val="both"/>
        <w:rPr>
          <w:rFonts w:cstheme="minorHAnsi"/>
          <w:b/>
          <w:spacing w:val="-3"/>
        </w:rPr>
      </w:pPr>
      <w:r w:rsidRPr="00700DA7">
        <w:rPr>
          <w:rFonts w:cstheme="minorHAnsi"/>
          <w:spacing w:val="-3"/>
          <w:lang w:val="en-US"/>
        </w:rPr>
        <w:t>RAFARM</w:t>
      </w:r>
      <w:r w:rsidRPr="00700DA7">
        <w:rPr>
          <w:rFonts w:cstheme="minorHAnsi"/>
          <w:spacing w:val="-3"/>
        </w:rPr>
        <w:t xml:space="preserve"> </w:t>
      </w:r>
      <w:r w:rsidRPr="00700DA7">
        <w:rPr>
          <w:rFonts w:cstheme="minorHAnsi"/>
          <w:spacing w:val="-3"/>
          <w:lang w:val="en-US"/>
        </w:rPr>
        <w:t>AEBE</w:t>
      </w:r>
      <w:r w:rsidRPr="00700DA7">
        <w:rPr>
          <w:rFonts w:cstheme="minorHAnsi"/>
          <w:spacing w:val="-3"/>
        </w:rPr>
        <w:t>, Κορίνθου 12, 154 51, Ν.Ψυχικό, Αθήνα</w:t>
      </w:r>
      <w:r w:rsidR="00A331EF">
        <w:rPr>
          <w:rFonts w:cstheme="minorHAnsi"/>
          <w:spacing w:val="-3"/>
        </w:rPr>
        <w:t>, τηλ 2106776550</w:t>
      </w:r>
    </w:p>
    <w:p w14:paraId="49DC5FE1" w14:textId="77777777" w:rsidR="00B23C3A" w:rsidRPr="00DB1E08" w:rsidRDefault="00B23C3A" w:rsidP="002E51DA">
      <w:pPr>
        <w:spacing w:after="0"/>
        <w:jc w:val="both"/>
        <w:rPr>
          <w:b/>
        </w:rPr>
      </w:pPr>
      <w:r w:rsidRPr="00DB1E08">
        <w:rPr>
          <w:b/>
        </w:rPr>
        <w:t>8.</w:t>
      </w:r>
      <w:r w:rsidRPr="00DB1E08">
        <w:rPr>
          <w:b/>
        </w:rPr>
        <w:tab/>
        <w:t>ΑΡΙΘΜΟΣ(ΟΙ) ΑΔΕΙΑΣ ΚΥΚΛΟΦΟΡΙΑΣ</w:t>
      </w:r>
    </w:p>
    <w:p w14:paraId="26570405" w14:textId="77777777" w:rsidR="00C00F29" w:rsidRPr="00DB1E08" w:rsidRDefault="00C00F29" w:rsidP="002E51DA">
      <w:pPr>
        <w:spacing w:after="0"/>
        <w:jc w:val="both"/>
      </w:pPr>
      <w:r w:rsidRPr="00DB1E08">
        <w:t>50438/15-12-2008</w:t>
      </w:r>
    </w:p>
    <w:p w14:paraId="73420004" w14:textId="77777777" w:rsidR="0012124B" w:rsidRPr="00DB1E08" w:rsidRDefault="0012124B" w:rsidP="002E51DA">
      <w:pPr>
        <w:spacing w:after="0"/>
        <w:jc w:val="both"/>
      </w:pPr>
    </w:p>
    <w:p w14:paraId="46078F3E" w14:textId="77777777" w:rsidR="00B23C3A" w:rsidRPr="00DB1E08" w:rsidRDefault="00B23C3A" w:rsidP="002E51DA">
      <w:pPr>
        <w:spacing w:after="0"/>
        <w:jc w:val="both"/>
        <w:rPr>
          <w:b/>
        </w:rPr>
      </w:pPr>
      <w:r w:rsidRPr="00DB1E08">
        <w:rPr>
          <w:b/>
        </w:rPr>
        <w:t>9.</w:t>
      </w:r>
      <w:r w:rsidRPr="00DB1E08">
        <w:rPr>
          <w:b/>
        </w:rPr>
        <w:tab/>
        <w:t>ΗΜΕΡΟΜΗΝΙΑ ΠΡΩΤΗΣ ΕΓΚΡΙΣΗΣ / ΑΝΑΝΕΩΣΗΣ ΤΗΣ ΑΔΕΙΑΣ</w:t>
      </w:r>
    </w:p>
    <w:p w14:paraId="2B0F05AE" w14:textId="77777777" w:rsidR="00503D07" w:rsidRPr="00DB1E08" w:rsidRDefault="00B23C3A" w:rsidP="002E51DA">
      <w:pPr>
        <w:spacing w:after="0"/>
        <w:jc w:val="both"/>
      </w:pPr>
      <w:r w:rsidRPr="00DB1E08">
        <w:t xml:space="preserve">Ημερομηνία πρώτης έγκρισης: </w:t>
      </w:r>
      <w:r w:rsidR="00DB1E08" w:rsidRPr="00DB1E08">
        <w:t>05/09/2002</w:t>
      </w:r>
    </w:p>
    <w:p w14:paraId="7A59BAFA" w14:textId="77777777" w:rsidR="00B23C3A" w:rsidRPr="00DB1E08" w:rsidRDefault="00B23C3A" w:rsidP="002E51DA">
      <w:pPr>
        <w:spacing w:after="0"/>
        <w:jc w:val="both"/>
      </w:pPr>
      <w:r w:rsidRPr="00DB1E08">
        <w:t xml:space="preserve">Ημερομηνία ανανέωσης της άδειας: </w:t>
      </w:r>
      <w:r w:rsidR="00DB1E08" w:rsidRPr="00DB1E08">
        <w:t>06/10/2008</w:t>
      </w:r>
    </w:p>
    <w:p w14:paraId="5F66EFB2" w14:textId="77777777" w:rsidR="00503D07" w:rsidRPr="00DB1E08" w:rsidRDefault="00503D07" w:rsidP="002E51DA">
      <w:pPr>
        <w:spacing w:after="0"/>
        <w:jc w:val="both"/>
      </w:pPr>
    </w:p>
    <w:p w14:paraId="0B0668A4" w14:textId="77777777" w:rsidR="00B23C3A" w:rsidRPr="00DB1E08" w:rsidRDefault="00B23C3A" w:rsidP="002E51DA">
      <w:pPr>
        <w:spacing w:after="0"/>
        <w:jc w:val="both"/>
        <w:rPr>
          <w:b/>
        </w:rPr>
      </w:pPr>
      <w:r w:rsidRPr="00DB1E08">
        <w:rPr>
          <w:b/>
        </w:rPr>
        <w:t>10.</w:t>
      </w:r>
      <w:r w:rsidRPr="00DB1E08">
        <w:rPr>
          <w:b/>
        </w:rPr>
        <w:tab/>
        <w:t>ΗΜΕΡΟΜΗΝΙΑ ΑΝΑΘΕΩΡΗΣΗΣ ΤΟΥ ΚΕΙΜΕΝΟΥ</w:t>
      </w:r>
      <w:r w:rsidR="00634791">
        <w:rPr>
          <w:b/>
        </w:rPr>
        <w:t xml:space="preserve"> </w:t>
      </w:r>
      <w:r w:rsidR="00634791" w:rsidRPr="00B23557">
        <w:t>9/5/2016</w:t>
      </w:r>
    </w:p>
    <w:p w14:paraId="0FE9216A" w14:textId="77777777" w:rsidR="00DB1E08" w:rsidRPr="00DB1E08" w:rsidRDefault="00DB1E08" w:rsidP="002E51DA">
      <w:pPr>
        <w:spacing w:after="0"/>
        <w:jc w:val="both"/>
      </w:pPr>
    </w:p>
    <w:sectPr w:rsidR="00DB1E08" w:rsidRPr="00DB1E08">
      <w:foot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40C13" w15:done="0"/>
  <w15:commentEx w15:paraId="721038B3" w15:paraIdParent="6EC40C13" w15:done="0"/>
  <w15:commentEx w15:paraId="735C1858" w15:done="0"/>
  <w15:commentEx w15:paraId="7A85D785" w15:done="0"/>
  <w15:commentEx w15:paraId="1E8C9EE0" w15:done="0"/>
  <w15:commentEx w15:paraId="7BA8E1F9" w15:done="0"/>
  <w15:commentEx w15:paraId="17A769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40C13" w16cid:durableId="1EF0B30D"/>
  <w16cid:commentId w16cid:paraId="721038B3" w16cid:durableId="1EF0B32C"/>
  <w16cid:commentId w16cid:paraId="735C1858" w16cid:durableId="1EF0B30E"/>
  <w16cid:commentId w16cid:paraId="7A85D785" w16cid:durableId="1EF0E3DC"/>
  <w16cid:commentId w16cid:paraId="1E8C9EE0" w16cid:durableId="1EF0E483"/>
  <w16cid:commentId w16cid:paraId="7BA8E1F9" w16cid:durableId="1EF0E52F"/>
  <w16cid:commentId w16cid:paraId="17A76980" w16cid:durableId="1EF0E5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F9C2F" w14:textId="77777777" w:rsidR="00C43C6F" w:rsidRDefault="00C43C6F" w:rsidP="002E51DA">
      <w:pPr>
        <w:spacing w:after="0" w:line="240" w:lineRule="auto"/>
      </w:pPr>
      <w:r>
        <w:separator/>
      </w:r>
    </w:p>
  </w:endnote>
  <w:endnote w:type="continuationSeparator" w:id="0">
    <w:p w14:paraId="72596448" w14:textId="77777777" w:rsidR="00C43C6F" w:rsidRDefault="00C43C6F" w:rsidP="002E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82406"/>
      <w:docPartObj>
        <w:docPartGallery w:val="Page Numbers (Bottom of Page)"/>
        <w:docPartUnique/>
      </w:docPartObj>
    </w:sdtPr>
    <w:sdtEndPr>
      <w:rPr>
        <w:noProof/>
      </w:rPr>
    </w:sdtEndPr>
    <w:sdtContent>
      <w:p w14:paraId="19C1D5DB" w14:textId="77777777" w:rsidR="002E51DA" w:rsidRDefault="002E51DA">
        <w:pPr>
          <w:pStyle w:val="a5"/>
          <w:jc w:val="center"/>
        </w:pPr>
        <w:r>
          <w:fldChar w:fldCharType="begin"/>
        </w:r>
        <w:r>
          <w:instrText xml:space="preserve"> PAGE   \* MERGEFORMAT </w:instrText>
        </w:r>
        <w:r>
          <w:fldChar w:fldCharType="separate"/>
        </w:r>
        <w:r w:rsidR="002839D6">
          <w:rPr>
            <w:noProof/>
          </w:rPr>
          <w:t>2</w:t>
        </w:r>
        <w:r>
          <w:rPr>
            <w:noProof/>
          </w:rPr>
          <w:fldChar w:fldCharType="end"/>
        </w:r>
      </w:p>
    </w:sdtContent>
  </w:sdt>
  <w:p w14:paraId="3C3604FB" w14:textId="77777777" w:rsidR="002E51DA" w:rsidRDefault="002E51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02D02" w14:textId="77777777" w:rsidR="00C43C6F" w:rsidRDefault="00C43C6F" w:rsidP="002E51DA">
      <w:pPr>
        <w:spacing w:after="0" w:line="240" w:lineRule="auto"/>
      </w:pPr>
      <w:r>
        <w:separator/>
      </w:r>
    </w:p>
  </w:footnote>
  <w:footnote w:type="continuationSeparator" w:id="0">
    <w:p w14:paraId="77B2087E" w14:textId="77777777" w:rsidR="00C43C6F" w:rsidRDefault="00C43C6F" w:rsidP="002E51D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ia Valsami">
    <w15:presenceInfo w15:providerId="Windows Live" w15:userId="f04f03f15226e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54"/>
    <w:rsid w:val="000239DC"/>
    <w:rsid w:val="00024589"/>
    <w:rsid w:val="000356B3"/>
    <w:rsid w:val="00044CC2"/>
    <w:rsid w:val="00056E7B"/>
    <w:rsid w:val="00076B95"/>
    <w:rsid w:val="00083AFF"/>
    <w:rsid w:val="0009181E"/>
    <w:rsid w:val="000925D9"/>
    <w:rsid w:val="000C333A"/>
    <w:rsid w:val="000D4F44"/>
    <w:rsid w:val="000D6FE7"/>
    <w:rsid w:val="0012124B"/>
    <w:rsid w:val="00166D68"/>
    <w:rsid w:val="00166ECD"/>
    <w:rsid w:val="00187FBC"/>
    <w:rsid w:val="001F22E7"/>
    <w:rsid w:val="00216742"/>
    <w:rsid w:val="002244E1"/>
    <w:rsid w:val="002445C8"/>
    <w:rsid w:val="00255112"/>
    <w:rsid w:val="0026580B"/>
    <w:rsid w:val="002839D6"/>
    <w:rsid w:val="002A615D"/>
    <w:rsid w:val="002E51DA"/>
    <w:rsid w:val="00301157"/>
    <w:rsid w:val="0032209A"/>
    <w:rsid w:val="00363648"/>
    <w:rsid w:val="00395E21"/>
    <w:rsid w:val="003B4951"/>
    <w:rsid w:val="003C2C2C"/>
    <w:rsid w:val="0042285F"/>
    <w:rsid w:val="004366F3"/>
    <w:rsid w:val="00463C9E"/>
    <w:rsid w:val="00485136"/>
    <w:rsid w:val="004C3371"/>
    <w:rsid w:val="004E3C59"/>
    <w:rsid w:val="004F5FE0"/>
    <w:rsid w:val="00500C7B"/>
    <w:rsid w:val="00503D07"/>
    <w:rsid w:val="00526FF3"/>
    <w:rsid w:val="00593DF8"/>
    <w:rsid w:val="005A341E"/>
    <w:rsid w:val="005A7AF1"/>
    <w:rsid w:val="005B7354"/>
    <w:rsid w:val="005C75B3"/>
    <w:rsid w:val="005F43BB"/>
    <w:rsid w:val="005F5D1A"/>
    <w:rsid w:val="006044F8"/>
    <w:rsid w:val="00634791"/>
    <w:rsid w:val="006406EC"/>
    <w:rsid w:val="00686B96"/>
    <w:rsid w:val="006F00D4"/>
    <w:rsid w:val="00700DA7"/>
    <w:rsid w:val="007018FB"/>
    <w:rsid w:val="00710F42"/>
    <w:rsid w:val="00711BC5"/>
    <w:rsid w:val="00754275"/>
    <w:rsid w:val="00792F34"/>
    <w:rsid w:val="007B4EBE"/>
    <w:rsid w:val="008125AF"/>
    <w:rsid w:val="00827073"/>
    <w:rsid w:val="00895931"/>
    <w:rsid w:val="008B3B2E"/>
    <w:rsid w:val="008C42DD"/>
    <w:rsid w:val="008E10D1"/>
    <w:rsid w:val="008F5B0C"/>
    <w:rsid w:val="00900F66"/>
    <w:rsid w:val="00904D31"/>
    <w:rsid w:val="009074BA"/>
    <w:rsid w:val="009344DF"/>
    <w:rsid w:val="00965B7F"/>
    <w:rsid w:val="009722C1"/>
    <w:rsid w:val="009B006D"/>
    <w:rsid w:val="00A054DA"/>
    <w:rsid w:val="00A331EF"/>
    <w:rsid w:val="00A77013"/>
    <w:rsid w:val="00A80B00"/>
    <w:rsid w:val="00AA0299"/>
    <w:rsid w:val="00AA3CDB"/>
    <w:rsid w:val="00AA44A7"/>
    <w:rsid w:val="00AC136C"/>
    <w:rsid w:val="00AC6509"/>
    <w:rsid w:val="00AD6C32"/>
    <w:rsid w:val="00B22353"/>
    <w:rsid w:val="00B23557"/>
    <w:rsid w:val="00B23C3A"/>
    <w:rsid w:val="00B3065F"/>
    <w:rsid w:val="00B359DF"/>
    <w:rsid w:val="00B40292"/>
    <w:rsid w:val="00BB0388"/>
    <w:rsid w:val="00BD6BFF"/>
    <w:rsid w:val="00C00F29"/>
    <w:rsid w:val="00C14CDB"/>
    <w:rsid w:val="00C15B37"/>
    <w:rsid w:val="00C25532"/>
    <w:rsid w:val="00C25EC1"/>
    <w:rsid w:val="00C41101"/>
    <w:rsid w:val="00C43C6F"/>
    <w:rsid w:val="00C56C98"/>
    <w:rsid w:val="00C66AC7"/>
    <w:rsid w:val="00CA4186"/>
    <w:rsid w:val="00CA6827"/>
    <w:rsid w:val="00CF5BBE"/>
    <w:rsid w:val="00D01DCD"/>
    <w:rsid w:val="00D3634C"/>
    <w:rsid w:val="00DB1E08"/>
    <w:rsid w:val="00DB339B"/>
    <w:rsid w:val="00DE2519"/>
    <w:rsid w:val="00DE2A51"/>
    <w:rsid w:val="00DE52E5"/>
    <w:rsid w:val="00DF2A89"/>
    <w:rsid w:val="00E00DFE"/>
    <w:rsid w:val="00E148A6"/>
    <w:rsid w:val="00E17DE5"/>
    <w:rsid w:val="00E47AF3"/>
    <w:rsid w:val="00E70C09"/>
    <w:rsid w:val="00E814A9"/>
    <w:rsid w:val="00E9183D"/>
    <w:rsid w:val="00EA4F59"/>
    <w:rsid w:val="00EB11DC"/>
    <w:rsid w:val="00EE26D8"/>
    <w:rsid w:val="00EE52B8"/>
    <w:rsid w:val="00F26E58"/>
    <w:rsid w:val="00F275F3"/>
    <w:rsid w:val="00F40614"/>
    <w:rsid w:val="00F657A7"/>
    <w:rsid w:val="00F95A26"/>
    <w:rsid w:val="00FB2DD9"/>
    <w:rsid w:val="00FE2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275"/>
    <w:pPr>
      <w:ind w:left="720"/>
      <w:contextualSpacing/>
    </w:pPr>
  </w:style>
  <w:style w:type="paragraph" w:styleId="a4">
    <w:name w:val="header"/>
    <w:basedOn w:val="a"/>
    <w:link w:val="Char"/>
    <w:uiPriority w:val="99"/>
    <w:unhideWhenUsed/>
    <w:rsid w:val="002E51DA"/>
    <w:pPr>
      <w:tabs>
        <w:tab w:val="center" w:pos="4153"/>
        <w:tab w:val="right" w:pos="8306"/>
      </w:tabs>
      <w:spacing w:after="0" w:line="240" w:lineRule="auto"/>
    </w:pPr>
  </w:style>
  <w:style w:type="character" w:customStyle="1" w:styleId="Char">
    <w:name w:val="Κεφαλίδα Char"/>
    <w:basedOn w:val="a0"/>
    <w:link w:val="a4"/>
    <w:uiPriority w:val="99"/>
    <w:rsid w:val="002E51DA"/>
  </w:style>
  <w:style w:type="paragraph" w:styleId="a5">
    <w:name w:val="footer"/>
    <w:basedOn w:val="a"/>
    <w:link w:val="Char0"/>
    <w:uiPriority w:val="99"/>
    <w:unhideWhenUsed/>
    <w:rsid w:val="002E51DA"/>
    <w:pPr>
      <w:tabs>
        <w:tab w:val="center" w:pos="4153"/>
        <w:tab w:val="right" w:pos="8306"/>
      </w:tabs>
      <w:spacing w:after="0" w:line="240" w:lineRule="auto"/>
    </w:pPr>
  </w:style>
  <w:style w:type="character" w:customStyle="1" w:styleId="Char0">
    <w:name w:val="Υποσέλιδο Char"/>
    <w:basedOn w:val="a0"/>
    <w:link w:val="a5"/>
    <w:uiPriority w:val="99"/>
    <w:rsid w:val="002E51DA"/>
  </w:style>
  <w:style w:type="paragraph" w:styleId="a6">
    <w:name w:val="Balloon Text"/>
    <w:basedOn w:val="a"/>
    <w:link w:val="Char1"/>
    <w:uiPriority w:val="99"/>
    <w:semiHidden/>
    <w:unhideWhenUsed/>
    <w:rsid w:val="008C42D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C42DD"/>
    <w:rPr>
      <w:rFonts w:ascii="Tahoma" w:hAnsi="Tahoma" w:cs="Tahoma"/>
      <w:sz w:val="16"/>
      <w:szCs w:val="16"/>
    </w:rPr>
  </w:style>
  <w:style w:type="character" w:styleId="-">
    <w:name w:val="Hyperlink"/>
    <w:basedOn w:val="a0"/>
    <w:uiPriority w:val="99"/>
    <w:unhideWhenUsed/>
    <w:rsid w:val="00AA3CDB"/>
    <w:rPr>
      <w:color w:val="0000FF" w:themeColor="hyperlink"/>
      <w:u w:val="single"/>
    </w:rPr>
  </w:style>
  <w:style w:type="character" w:styleId="a7">
    <w:name w:val="annotation reference"/>
    <w:basedOn w:val="a0"/>
    <w:uiPriority w:val="99"/>
    <w:semiHidden/>
    <w:unhideWhenUsed/>
    <w:rsid w:val="00DE2A51"/>
    <w:rPr>
      <w:sz w:val="16"/>
      <w:szCs w:val="16"/>
    </w:rPr>
  </w:style>
  <w:style w:type="paragraph" w:styleId="a8">
    <w:name w:val="annotation text"/>
    <w:basedOn w:val="a"/>
    <w:link w:val="Char2"/>
    <w:uiPriority w:val="99"/>
    <w:semiHidden/>
    <w:unhideWhenUsed/>
    <w:rsid w:val="00DE2A51"/>
    <w:pPr>
      <w:spacing w:line="240" w:lineRule="auto"/>
    </w:pPr>
    <w:rPr>
      <w:sz w:val="20"/>
      <w:szCs w:val="20"/>
    </w:rPr>
  </w:style>
  <w:style w:type="character" w:customStyle="1" w:styleId="Char2">
    <w:name w:val="Κείμενο σχολίου Char"/>
    <w:basedOn w:val="a0"/>
    <w:link w:val="a8"/>
    <w:uiPriority w:val="99"/>
    <w:semiHidden/>
    <w:rsid w:val="00DE2A51"/>
    <w:rPr>
      <w:sz w:val="20"/>
      <w:szCs w:val="20"/>
    </w:rPr>
  </w:style>
  <w:style w:type="paragraph" w:styleId="a9">
    <w:name w:val="annotation subject"/>
    <w:basedOn w:val="a8"/>
    <w:next w:val="a8"/>
    <w:link w:val="Char3"/>
    <w:uiPriority w:val="99"/>
    <w:semiHidden/>
    <w:unhideWhenUsed/>
    <w:rsid w:val="00DE2A51"/>
    <w:rPr>
      <w:b/>
      <w:bCs/>
    </w:rPr>
  </w:style>
  <w:style w:type="character" w:customStyle="1" w:styleId="Char3">
    <w:name w:val="Θέμα σχολίου Char"/>
    <w:basedOn w:val="Char2"/>
    <w:link w:val="a9"/>
    <w:uiPriority w:val="99"/>
    <w:semiHidden/>
    <w:rsid w:val="00DE2A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275"/>
    <w:pPr>
      <w:ind w:left="720"/>
      <w:contextualSpacing/>
    </w:pPr>
  </w:style>
  <w:style w:type="paragraph" w:styleId="a4">
    <w:name w:val="header"/>
    <w:basedOn w:val="a"/>
    <w:link w:val="Char"/>
    <w:uiPriority w:val="99"/>
    <w:unhideWhenUsed/>
    <w:rsid w:val="002E51DA"/>
    <w:pPr>
      <w:tabs>
        <w:tab w:val="center" w:pos="4153"/>
        <w:tab w:val="right" w:pos="8306"/>
      </w:tabs>
      <w:spacing w:after="0" w:line="240" w:lineRule="auto"/>
    </w:pPr>
  </w:style>
  <w:style w:type="character" w:customStyle="1" w:styleId="Char">
    <w:name w:val="Κεφαλίδα Char"/>
    <w:basedOn w:val="a0"/>
    <w:link w:val="a4"/>
    <w:uiPriority w:val="99"/>
    <w:rsid w:val="002E51DA"/>
  </w:style>
  <w:style w:type="paragraph" w:styleId="a5">
    <w:name w:val="footer"/>
    <w:basedOn w:val="a"/>
    <w:link w:val="Char0"/>
    <w:uiPriority w:val="99"/>
    <w:unhideWhenUsed/>
    <w:rsid w:val="002E51DA"/>
    <w:pPr>
      <w:tabs>
        <w:tab w:val="center" w:pos="4153"/>
        <w:tab w:val="right" w:pos="8306"/>
      </w:tabs>
      <w:spacing w:after="0" w:line="240" w:lineRule="auto"/>
    </w:pPr>
  </w:style>
  <w:style w:type="character" w:customStyle="1" w:styleId="Char0">
    <w:name w:val="Υποσέλιδο Char"/>
    <w:basedOn w:val="a0"/>
    <w:link w:val="a5"/>
    <w:uiPriority w:val="99"/>
    <w:rsid w:val="002E51DA"/>
  </w:style>
  <w:style w:type="paragraph" w:styleId="a6">
    <w:name w:val="Balloon Text"/>
    <w:basedOn w:val="a"/>
    <w:link w:val="Char1"/>
    <w:uiPriority w:val="99"/>
    <w:semiHidden/>
    <w:unhideWhenUsed/>
    <w:rsid w:val="008C42D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C42DD"/>
    <w:rPr>
      <w:rFonts w:ascii="Tahoma" w:hAnsi="Tahoma" w:cs="Tahoma"/>
      <w:sz w:val="16"/>
      <w:szCs w:val="16"/>
    </w:rPr>
  </w:style>
  <w:style w:type="character" w:styleId="-">
    <w:name w:val="Hyperlink"/>
    <w:basedOn w:val="a0"/>
    <w:uiPriority w:val="99"/>
    <w:unhideWhenUsed/>
    <w:rsid w:val="00AA3CDB"/>
    <w:rPr>
      <w:color w:val="0000FF" w:themeColor="hyperlink"/>
      <w:u w:val="single"/>
    </w:rPr>
  </w:style>
  <w:style w:type="character" w:styleId="a7">
    <w:name w:val="annotation reference"/>
    <w:basedOn w:val="a0"/>
    <w:uiPriority w:val="99"/>
    <w:semiHidden/>
    <w:unhideWhenUsed/>
    <w:rsid w:val="00DE2A51"/>
    <w:rPr>
      <w:sz w:val="16"/>
      <w:szCs w:val="16"/>
    </w:rPr>
  </w:style>
  <w:style w:type="paragraph" w:styleId="a8">
    <w:name w:val="annotation text"/>
    <w:basedOn w:val="a"/>
    <w:link w:val="Char2"/>
    <w:uiPriority w:val="99"/>
    <w:semiHidden/>
    <w:unhideWhenUsed/>
    <w:rsid w:val="00DE2A51"/>
    <w:pPr>
      <w:spacing w:line="240" w:lineRule="auto"/>
    </w:pPr>
    <w:rPr>
      <w:sz w:val="20"/>
      <w:szCs w:val="20"/>
    </w:rPr>
  </w:style>
  <w:style w:type="character" w:customStyle="1" w:styleId="Char2">
    <w:name w:val="Κείμενο σχολίου Char"/>
    <w:basedOn w:val="a0"/>
    <w:link w:val="a8"/>
    <w:uiPriority w:val="99"/>
    <w:semiHidden/>
    <w:rsid w:val="00DE2A51"/>
    <w:rPr>
      <w:sz w:val="20"/>
      <w:szCs w:val="20"/>
    </w:rPr>
  </w:style>
  <w:style w:type="paragraph" w:styleId="a9">
    <w:name w:val="annotation subject"/>
    <w:basedOn w:val="a8"/>
    <w:next w:val="a8"/>
    <w:link w:val="Char3"/>
    <w:uiPriority w:val="99"/>
    <w:semiHidden/>
    <w:unhideWhenUsed/>
    <w:rsid w:val="00DE2A51"/>
    <w:rPr>
      <w:b/>
      <w:bCs/>
    </w:rPr>
  </w:style>
  <w:style w:type="character" w:customStyle="1" w:styleId="Char3">
    <w:name w:val="Θέμα σχολίου Char"/>
    <w:basedOn w:val="Char2"/>
    <w:link w:val="a9"/>
    <w:uiPriority w:val="99"/>
    <w:semiHidden/>
    <w:rsid w:val="00DE2A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of.gr" TargetMode="Externa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2096</Words>
  <Characters>11324</Characters>
  <Application>Microsoft Office Word</Application>
  <DocSecurity>0</DocSecurity>
  <Lines>94</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Rafarm S.A.</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ΠΑΝΤΕΛΗ ΓΕΩΡΓΙΑ</cp:lastModifiedBy>
  <cp:revision>2</cp:revision>
  <dcterms:created xsi:type="dcterms:W3CDTF">2018-12-03T07:04:00Z</dcterms:created>
  <dcterms:modified xsi:type="dcterms:W3CDTF">2018-12-03T07:04:00Z</dcterms:modified>
</cp:coreProperties>
</file>