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83A" w:rsidRPr="00B747DD" w:rsidRDefault="00C4383A">
      <w:pPr>
        <w:jc w:val="center"/>
        <w:rPr>
          <w:b/>
          <w:sz w:val="22"/>
          <w:szCs w:val="22"/>
        </w:rPr>
      </w:pPr>
    </w:p>
    <w:p w:rsidR="00C4383A" w:rsidRPr="00B747DD" w:rsidRDefault="00C4383A">
      <w:pPr>
        <w:jc w:val="center"/>
        <w:rPr>
          <w:b/>
          <w:sz w:val="22"/>
          <w:szCs w:val="22"/>
        </w:rPr>
      </w:pPr>
    </w:p>
    <w:p w:rsidR="00C4383A" w:rsidRPr="00B747DD" w:rsidRDefault="00C4383A">
      <w:pPr>
        <w:jc w:val="center"/>
        <w:rPr>
          <w:b/>
          <w:sz w:val="22"/>
          <w:szCs w:val="22"/>
          <w:lang w:val="el-GR"/>
        </w:rPr>
      </w:pPr>
      <w:r w:rsidRPr="00B747DD">
        <w:rPr>
          <w:b/>
          <w:sz w:val="22"/>
          <w:szCs w:val="22"/>
          <w:lang w:val="el-GR"/>
        </w:rPr>
        <w:t>ΠΕΡΙΛΗΨΗ ΧΑΡΑΚΤΗΡΙΣΤΙΚΩΝ ΤΟΥ ΠΡΟΪΟΝΤΟΣ</w:t>
      </w:r>
    </w:p>
    <w:p w:rsidR="00C4383A" w:rsidRPr="00B747DD" w:rsidRDefault="00C4383A">
      <w:pPr>
        <w:rPr>
          <w:b/>
          <w:sz w:val="22"/>
          <w:szCs w:val="22"/>
          <w:lang w:val="el-GR"/>
        </w:rPr>
      </w:pPr>
    </w:p>
    <w:p w:rsidR="00C4383A" w:rsidRPr="00B747DD" w:rsidRDefault="00C4383A">
      <w:pPr>
        <w:jc w:val="center"/>
        <w:rPr>
          <w:b/>
          <w:sz w:val="22"/>
          <w:szCs w:val="22"/>
          <w:lang w:val="it-IT"/>
        </w:rPr>
      </w:pPr>
      <w:r w:rsidRPr="00B747DD">
        <w:rPr>
          <w:b/>
          <w:sz w:val="22"/>
          <w:szCs w:val="22"/>
          <w:lang w:val="it-IT"/>
        </w:rPr>
        <w:t xml:space="preserve">Voltaren Acti-Go® </w:t>
      </w:r>
    </w:p>
    <w:p w:rsidR="00C4383A" w:rsidRPr="00B747DD" w:rsidRDefault="00C4383A">
      <w:pPr>
        <w:jc w:val="center"/>
        <w:rPr>
          <w:b/>
          <w:sz w:val="22"/>
          <w:szCs w:val="22"/>
          <w:lang w:val="it-IT"/>
        </w:rPr>
      </w:pPr>
      <w:r w:rsidRPr="00B747DD">
        <w:rPr>
          <w:b/>
          <w:sz w:val="22"/>
          <w:szCs w:val="22"/>
          <w:lang w:val="it-IT"/>
        </w:rPr>
        <w:t>Diclofenac potassium 12,5 mg</w:t>
      </w:r>
    </w:p>
    <w:p w:rsidR="00C4383A" w:rsidRPr="00B747DD" w:rsidRDefault="00C4383A">
      <w:pPr>
        <w:jc w:val="center"/>
        <w:rPr>
          <w:b/>
          <w:sz w:val="22"/>
          <w:szCs w:val="22"/>
          <w:lang w:val="it-IT"/>
        </w:rPr>
      </w:pPr>
      <w:r w:rsidRPr="00B747DD">
        <w:rPr>
          <w:b/>
          <w:sz w:val="22"/>
          <w:szCs w:val="22"/>
          <w:lang w:val="it-IT"/>
        </w:rPr>
        <w:t xml:space="preserve"> </w:t>
      </w:r>
      <w:r w:rsidRPr="00B11713">
        <w:rPr>
          <w:b/>
          <w:sz w:val="22"/>
          <w:szCs w:val="22"/>
          <w:lang w:val="el-GR"/>
        </w:rPr>
        <w:t>Επικαλυμμένα</w:t>
      </w:r>
      <w:r w:rsidRPr="00B747DD">
        <w:rPr>
          <w:b/>
          <w:sz w:val="22"/>
          <w:szCs w:val="22"/>
          <w:lang w:val="it-IT"/>
        </w:rPr>
        <w:t xml:space="preserve"> </w:t>
      </w:r>
      <w:r w:rsidRPr="00B747DD">
        <w:rPr>
          <w:b/>
          <w:sz w:val="22"/>
          <w:szCs w:val="22"/>
          <w:lang w:val="el-GR"/>
        </w:rPr>
        <w:t>με</w:t>
      </w:r>
      <w:r w:rsidRPr="00B747DD">
        <w:rPr>
          <w:b/>
          <w:sz w:val="22"/>
          <w:szCs w:val="22"/>
          <w:lang w:val="it-IT"/>
        </w:rPr>
        <w:t xml:space="preserve"> </w:t>
      </w:r>
      <w:r w:rsidRPr="00B747DD">
        <w:rPr>
          <w:b/>
          <w:sz w:val="22"/>
          <w:szCs w:val="22"/>
          <w:lang w:val="el-GR"/>
        </w:rPr>
        <w:t>λεπτό</w:t>
      </w:r>
      <w:r w:rsidRPr="00B747DD">
        <w:rPr>
          <w:b/>
          <w:sz w:val="22"/>
          <w:szCs w:val="22"/>
          <w:lang w:val="it-IT"/>
        </w:rPr>
        <w:t xml:space="preserve"> </w:t>
      </w:r>
      <w:r w:rsidRPr="00B747DD">
        <w:rPr>
          <w:b/>
          <w:sz w:val="22"/>
          <w:szCs w:val="22"/>
          <w:lang w:val="el-GR"/>
        </w:rPr>
        <w:t>υμένιο</w:t>
      </w:r>
      <w:r w:rsidRPr="00B747DD">
        <w:rPr>
          <w:b/>
          <w:sz w:val="22"/>
          <w:szCs w:val="22"/>
          <w:lang w:val="it-IT"/>
        </w:rPr>
        <w:t xml:space="preserve"> </w:t>
      </w:r>
      <w:r w:rsidRPr="00B747DD">
        <w:rPr>
          <w:b/>
          <w:sz w:val="22"/>
          <w:szCs w:val="22"/>
          <w:lang w:val="el-GR"/>
        </w:rPr>
        <w:t>δισκία</w:t>
      </w:r>
    </w:p>
    <w:p w:rsidR="00C4383A" w:rsidRPr="00B747DD" w:rsidRDefault="00C4383A">
      <w:pPr>
        <w:jc w:val="center"/>
        <w:rPr>
          <w:lang w:val="it-IT"/>
        </w:rPr>
      </w:pPr>
    </w:p>
    <w:p w:rsidR="00C4383A" w:rsidRPr="00B747DD" w:rsidRDefault="00C4383A">
      <w:pPr>
        <w:jc w:val="center"/>
        <w:rPr>
          <w:b/>
          <w:lang w:val="it-IT"/>
        </w:rPr>
      </w:pPr>
    </w:p>
    <w:p w:rsidR="00C4383A" w:rsidRPr="00B747DD" w:rsidRDefault="00C4383A">
      <w:pPr>
        <w:jc w:val="center"/>
        <w:rPr>
          <w:b/>
          <w:lang w:val="it-IT"/>
        </w:rPr>
      </w:pPr>
    </w:p>
    <w:p w:rsidR="00C4383A" w:rsidRPr="00B747DD" w:rsidRDefault="00C4383A">
      <w:pPr>
        <w:jc w:val="center"/>
        <w:rPr>
          <w:b/>
          <w:lang w:val="it-IT"/>
        </w:rPr>
      </w:pPr>
    </w:p>
    <w:p w:rsidR="00C4383A" w:rsidRPr="00B747DD" w:rsidRDefault="00C4383A">
      <w:pPr>
        <w:jc w:val="center"/>
        <w:rPr>
          <w:b/>
          <w:lang w:val="it-IT"/>
        </w:rPr>
      </w:pPr>
    </w:p>
    <w:p w:rsidR="00C4383A" w:rsidRPr="00B747DD" w:rsidRDefault="00C4383A">
      <w:pPr>
        <w:jc w:val="center"/>
        <w:rPr>
          <w:b/>
          <w:lang w:val="it-IT"/>
        </w:rPr>
      </w:pPr>
    </w:p>
    <w:p w:rsidR="00C4383A" w:rsidRPr="00B747DD" w:rsidRDefault="00C4383A">
      <w:pPr>
        <w:jc w:val="center"/>
        <w:rPr>
          <w:b/>
          <w:lang w:val="it-IT"/>
        </w:rPr>
      </w:pPr>
    </w:p>
    <w:p w:rsidR="00C4383A" w:rsidRPr="00B747DD" w:rsidRDefault="00C4383A">
      <w:pPr>
        <w:jc w:val="center"/>
        <w:rPr>
          <w:b/>
          <w:lang w:val="it-IT"/>
        </w:rPr>
      </w:pPr>
    </w:p>
    <w:p w:rsidR="00C4383A" w:rsidRPr="00B747DD" w:rsidRDefault="00C4383A">
      <w:pPr>
        <w:jc w:val="center"/>
        <w:rPr>
          <w:b/>
          <w:sz w:val="22"/>
          <w:szCs w:val="22"/>
          <w:lang w:val="it-IT"/>
        </w:rPr>
      </w:pPr>
    </w:p>
    <w:p w:rsidR="00C4383A" w:rsidRPr="00B747DD" w:rsidRDefault="00C4383A">
      <w:pPr>
        <w:jc w:val="center"/>
        <w:rPr>
          <w:b/>
          <w:sz w:val="22"/>
          <w:szCs w:val="22"/>
          <w:lang w:val="it-IT"/>
        </w:rPr>
      </w:pPr>
    </w:p>
    <w:p w:rsidR="00C4383A" w:rsidRPr="00B747DD" w:rsidRDefault="00C4383A">
      <w:pPr>
        <w:jc w:val="center"/>
        <w:rPr>
          <w:b/>
          <w:sz w:val="22"/>
          <w:szCs w:val="22"/>
          <w:lang w:val="it-IT"/>
        </w:rPr>
      </w:pPr>
    </w:p>
    <w:p w:rsidR="00C4383A" w:rsidRPr="00B747DD" w:rsidRDefault="00C4383A">
      <w:pPr>
        <w:jc w:val="center"/>
        <w:rPr>
          <w:b/>
          <w:sz w:val="22"/>
          <w:szCs w:val="22"/>
          <w:lang w:val="it-IT"/>
        </w:rPr>
      </w:pPr>
    </w:p>
    <w:p w:rsidR="00C4383A" w:rsidRPr="00B747DD" w:rsidRDefault="00C4383A">
      <w:pPr>
        <w:jc w:val="center"/>
        <w:rPr>
          <w:b/>
          <w:sz w:val="22"/>
          <w:szCs w:val="22"/>
          <w:lang w:val="it-IT"/>
        </w:rPr>
      </w:pPr>
    </w:p>
    <w:p w:rsidR="00C4383A" w:rsidRPr="00B747DD" w:rsidRDefault="00C4383A">
      <w:pPr>
        <w:jc w:val="center"/>
        <w:rPr>
          <w:b/>
          <w:sz w:val="22"/>
          <w:szCs w:val="22"/>
          <w:lang w:val="it-IT"/>
        </w:rPr>
      </w:pPr>
    </w:p>
    <w:p w:rsidR="00C4383A" w:rsidRPr="00B747DD" w:rsidRDefault="00C4383A">
      <w:pPr>
        <w:jc w:val="center"/>
        <w:rPr>
          <w:b/>
          <w:sz w:val="22"/>
          <w:szCs w:val="22"/>
          <w:lang w:val="it-IT"/>
        </w:rPr>
      </w:pPr>
    </w:p>
    <w:p w:rsidR="00C4383A" w:rsidRPr="00B747DD" w:rsidRDefault="00C4383A">
      <w:pPr>
        <w:jc w:val="center"/>
        <w:rPr>
          <w:b/>
          <w:sz w:val="22"/>
          <w:szCs w:val="22"/>
          <w:lang w:val="it-IT"/>
        </w:rPr>
      </w:pPr>
    </w:p>
    <w:p w:rsidR="00C4383A" w:rsidRPr="00B747DD" w:rsidRDefault="00C4383A">
      <w:pPr>
        <w:jc w:val="center"/>
        <w:rPr>
          <w:b/>
          <w:sz w:val="22"/>
          <w:szCs w:val="22"/>
          <w:lang w:val="it-IT"/>
        </w:rPr>
      </w:pPr>
    </w:p>
    <w:p w:rsidR="00C4383A" w:rsidRPr="00B747DD" w:rsidRDefault="00C4383A">
      <w:pPr>
        <w:jc w:val="center"/>
        <w:rPr>
          <w:b/>
          <w:sz w:val="22"/>
          <w:szCs w:val="22"/>
          <w:lang w:val="it-IT"/>
        </w:rPr>
      </w:pPr>
    </w:p>
    <w:p w:rsidR="00C4383A" w:rsidRPr="00B747DD" w:rsidRDefault="00C4383A">
      <w:pPr>
        <w:jc w:val="center"/>
        <w:rPr>
          <w:b/>
          <w:sz w:val="22"/>
          <w:szCs w:val="22"/>
          <w:lang w:val="it-IT"/>
        </w:rPr>
      </w:pPr>
    </w:p>
    <w:p w:rsidR="00C4383A" w:rsidRPr="00B747DD" w:rsidRDefault="00C4383A">
      <w:pPr>
        <w:jc w:val="center"/>
        <w:rPr>
          <w:b/>
          <w:sz w:val="22"/>
          <w:szCs w:val="22"/>
          <w:lang w:val="it-IT"/>
        </w:rPr>
      </w:pPr>
    </w:p>
    <w:p w:rsidR="00C4383A" w:rsidRPr="00B747DD" w:rsidRDefault="00C4383A">
      <w:pPr>
        <w:jc w:val="center"/>
        <w:rPr>
          <w:b/>
          <w:sz w:val="22"/>
          <w:szCs w:val="22"/>
          <w:lang w:val="it-IT"/>
        </w:rPr>
      </w:pPr>
    </w:p>
    <w:p w:rsidR="00C4383A" w:rsidRPr="00B747DD" w:rsidRDefault="00C4383A">
      <w:pPr>
        <w:jc w:val="center"/>
        <w:rPr>
          <w:b/>
          <w:sz w:val="22"/>
          <w:szCs w:val="22"/>
          <w:lang w:val="it-IT"/>
        </w:rPr>
      </w:pPr>
    </w:p>
    <w:p w:rsidR="00C4383A" w:rsidRPr="00B747DD" w:rsidRDefault="00C4383A">
      <w:pPr>
        <w:jc w:val="center"/>
        <w:rPr>
          <w:b/>
          <w:sz w:val="22"/>
          <w:szCs w:val="22"/>
          <w:lang w:val="it-IT"/>
        </w:rPr>
      </w:pPr>
    </w:p>
    <w:p w:rsidR="00C4383A" w:rsidRPr="00B747DD" w:rsidRDefault="00C4383A">
      <w:pPr>
        <w:jc w:val="center"/>
        <w:rPr>
          <w:b/>
          <w:sz w:val="22"/>
          <w:szCs w:val="22"/>
          <w:lang w:val="it-IT"/>
        </w:rPr>
      </w:pPr>
    </w:p>
    <w:p w:rsidR="00C4383A" w:rsidRPr="00B747DD" w:rsidRDefault="00C4383A">
      <w:pPr>
        <w:jc w:val="center"/>
        <w:rPr>
          <w:b/>
          <w:sz w:val="22"/>
          <w:szCs w:val="22"/>
          <w:lang w:val="el-GR"/>
        </w:rPr>
      </w:pPr>
    </w:p>
    <w:p w:rsidR="00315BEC" w:rsidRPr="00B747DD" w:rsidRDefault="00315BEC">
      <w:pPr>
        <w:jc w:val="center"/>
        <w:rPr>
          <w:b/>
          <w:sz w:val="22"/>
          <w:szCs w:val="22"/>
          <w:lang w:val="el-GR"/>
        </w:rPr>
      </w:pPr>
    </w:p>
    <w:p w:rsidR="00315BEC" w:rsidRPr="00B747DD" w:rsidRDefault="00315BEC">
      <w:pPr>
        <w:jc w:val="center"/>
        <w:rPr>
          <w:b/>
          <w:sz w:val="22"/>
          <w:szCs w:val="22"/>
          <w:lang w:val="el-GR"/>
        </w:rPr>
      </w:pPr>
    </w:p>
    <w:p w:rsidR="00315BEC" w:rsidRPr="00B747DD" w:rsidRDefault="00315BEC">
      <w:pPr>
        <w:jc w:val="center"/>
        <w:rPr>
          <w:b/>
          <w:sz w:val="22"/>
          <w:szCs w:val="22"/>
          <w:lang w:val="el-GR"/>
        </w:rPr>
      </w:pPr>
    </w:p>
    <w:p w:rsidR="00315BEC" w:rsidRPr="00B747DD" w:rsidRDefault="00315BEC">
      <w:pPr>
        <w:jc w:val="center"/>
        <w:rPr>
          <w:b/>
          <w:sz w:val="22"/>
          <w:szCs w:val="22"/>
          <w:lang w:val="el-GR"/>
        </w:rPr>
      </w:pPr>
    </w:p>
    <w:p w:rsidR="00315BEC" w:rsidRPr="00B747DD" w:rsidRDefault="00315BEC">
      <w:pPr>
        <w:jc w:val="center"/>
        <w:rPr>
          <w:b/>
          <w:sz w:val="22"/>
          <w:szCs w:val="22"/>
          <w:lang w:val="el-GR"/>
        </w:rPr>
      </w:pPr>
    </w:p>
    <w:p w:rsidR="00315BEC" w:rsidRPr="00B747DD" w:rsidRDefault="00315BEC">
      <w:pPr>
        <w:jc w:val="center"/>
        <w:rPr>
          <w:b/>
          <w:sz w:val="22"/>
          <w:szCs w:val="22"/>
          <w:lang w:val="el-GR"/>
        </w:rPr>
      </w:pPr>
    </w:p>
    <w:p w:rsidR="00315BEC" w:rsidRPr="00B747DD" w:rsidRDefault="00315BEC">
      <w:pPr>
        <w:jc w:val="center"/>
        <w:rPr>
          <w:b/>
          <w:sz w:val="22"/>
          <w:szCs w:val="22"/>
          <w:lang w:val="el-GR"/>
        </w:rPr>
      </w:pPr>
    </w:p>
    <w:p w:rsidR="00315BEC" w:rsidRPr="00B747DD" w:rsidRDefault="00315BEC">
      <w:pPr>
        <w:jc w:val="center"/>
        <w:rPr>
          <w:b/>
          <w:sz w:val="22"/>
          <w:szCs w:val="22"/>
          <w:lang w:val="el-GR"/>
        </w:rPr>
      </w:pPr>
    </w:p>
    <w:p w:rsidR="00315BEC" w:rsidRPr="00B747DD" w:rsidRDefault="00315BEC">
      <w:pPr>
        <w:jc w:val="center"/>
        <w:rPr>
          <w:b/>
          <w:sz w:val="22"/>
          <w:szCs w:val="22"/>
          <w:lang w:val="el-GR"/>
        </w:rPr>
      </w:pPr>
    </w:p>
    <w:p w:rsidR="00315BEC" w:rsidRPr="00B747DD" w:rsidRDefault="00315BEC">
      <w:pPr>
        <w:jc w:val="center"/>
        <w:rPr>
          <w:b/>
          <w:sz w:val="22"/>
          <w:szCs w:val="22"/>
          <w:lang w:val="el-GR"/>
        </w:rPr>
      </w:pPr>
    </w:p>
    <w:p w:rsidR="00315BEC" w:rsidRPr="00B747DD" w:rsidRDefault="00315BEC">
      <w:pPr>
        <w:jc w:val="center"/>
        <w:rPr>
          <w:b/>
          <w:sz w:val="22"/>
          <w:szCs w:val="22"/>
          <w:lang w:val="el-GR"/>
        </w:rPr>
      </w:pPr>
    </w:p>
    <w:p w:rsidR="00315BEC" w:rsidRPr="00B747DD" w:rsidRDefault="00315BEC">
      <w:pPr>
        <w:jc w:val="center"/>
        <w:rPr>
          <w:b/>
          <w:sz w:val="22"/>
          <w:szCs w:val="22"/>
          <w:lang w:val="el-GR"/>
        </w:rPr>
      </w:pPr>
    </w:p>
    <w:p w:rsidR="00315BEC" w:rsidRPr="00B747DD" w:rsidRDefault="00315BEC">
      <w:pPr>
        <w:jc w:val="center"/>
        <w:rPr>
          <w:b/>
          <w:sz w:val="22"/>
          <w:szCs w:val="22"/>
          <w:lang w:val="el-GR"/>
        </w:rPr>
      </w:pPr>
    </w:p>
    <w:p w:rsidR="00315BEC" w:rsidRPr="00B747DD" w:rsidRDefault="00315BEC">
      <w:pPr>
        <w:jc w:val="center"/>
        <w:rPr>
          <w:b/>
          <w:sz w:val="22"/>
          <w:szCs w:val="22"/>
          <w:lang w:val="el-GR"/>
        </w:rPr>
      </w:pPr>
    </w:p>
    <w:p w:rsidR="00315BEC" w:rsidRPr="00B747DD" w:rsidRDefault="00315BEC">
      <w:pPr>
        <w:jc w:val="center"/>
        <w:rPr>
          <w:b/>
          <w:sz w:val="22"/>
          <w:szCs w:val="22"/>
          <w:lang w:val="el-GR"/>
        </w:rPr>
      </w:pPr>
    </w:p>
    <w:p w:rsidR="00315BEC" w:rsidRPr="00B747DD" w:rsidRDefault="00315BEC">
      <w:pPr>
        <w:jc w:val="center"/>
        <w:rPr>
          <w:b/>
          <w:sz w:val="22"/>
          <w:szCs w:val="22"/>
          <w:lang w:val="el-GR"/>
        </w:rPr>
      </w:pPr>
    </w:p>
    <w:p w:rsidR="00C4383A" w:rsidRPr="00B747DD" w:rsidRDefault="00C4383A">
      <w:pPr>
        <w:jc w:val="center"/>
        <w:rPr>
          <w:b/>
          <w:sz w:val="22"/>
          <w:szCs w:val="22"/>
          <w:lang w:val="it-IT"/>
        </w:rPr>
      </w:pPr>
    </w:p>
    <w:p w:rsidR="00C4383A" w:rsidRPr="00B747DD" w:rsidRDefault="00C4383A">
      <w:pPr>
        <w:jc w:val="center"/>
        <w:rPr>
          <w:b/>
          <w:sz w:val="22"/>
          <w:szCs w:val="22"/>
          <w:lang w:val="it-IT"/>
        </w:rPr>
      </w:pPr>
    </w:p>
    <w:p w:rsidR="00C4383A" w:rsidRPr="00B747DD" w:rsidRDefault="00C4383A">
      <w:pPr>
        <w:jc w:val="center"/>
        <w:rPr>
          <w:b/>
          <w:sz w:val="22"/>
          <w:szCs w:val="22"/>
          <w:lang w:val="it-IT"/>
        </w:rPr>
      </w:pPr>
    </w:p>
    <w:p w:rsidR="00C4383A" w:rsidRPr="00B747DD" w:rsidRDefault="00C4383A">
      <w:pPr>
        <w:jc w:val="center"/>
        <w:rPr>
          <w:b/>
          <w:sz w:val="22"/>
          <w:szCs w:val="22"/>
          <w:lang w:val="it-IT"/>
        </w:rPr>
      </w:pPr>
    </w:p>
    <w:p w:rsidR="00C4383A" w:rsidRPr="00B747DD" w:rsidRDefault="00C4383A">
      <w:pPr>
        <w:jc w:val="center"/>
        <w:rPr>
          <w:b/>
          <w:sz w:val="22"/>
          <w:szCs w:val="22"/>
          <w:lang w:val="it-IT"/>
        </w:rPr>
      </w:pPr>
    </w:p>
    <w:p w:rsidR="00C4383A" w:rsidRPr="00B747DD" w:rsidRDefault="00C4383A">
      <w:pPr>
        <w:jc w:val="center"/>
        <w:rPr>
          <w:b/>
          <w:sz w:val="22"/>
          <w:szCs w:val="22"/>
          <w:lang w:val="it-IT"/>
        </w:rPr>
      </w:pPr>
    </w:p>
    <w:p w:rsidR="00C4383A" w:rsidRPr="00B747DD" w:rsidRDefault="00C4383A">
      <w:pPr>
        <w:rPr>
          <w:b/>
          <w:sz w:val="22"/>
          <w:szCs w:val="22"/>
          <w:lang w:val="it-IT"/>
        </w:rPr>
      </w:pPr>
    </w:p>
    <w:p w:rsidR="00C4383A" w:rsidRPr="008A50A5" w:rsidRDefault="00C4383A">
      <w:pPr>
        <w:jc w:val="center"/>
        <w:rPr>
          <w:rFonts w:cs="Times New Roman"/>
          <w:b/>
          <w:sz w:val="22"/>
          <w:szCs w:val="22"/>
          <w:lang w:val="el-GR"/>
        </w:rPr>
      </w:pPr>
      <w:r w:rsidRPr="008A50A5">
        <w:rPr>
          <w:rFonts w:cs="Times New Roman"/>
          <w:b/>
          <w:sz w:val="22"/>
          <w:szCs w:val="22"/>
          <w:lang w:val="el-GR"/>
        </w:rPr>
        <w:lastRenderedPageBreak/>
        <w:t>ΠΕΡΙΛΗΨΗ ΧΑΡΑΚΤΗΡΙΣΤΙΚΩΝ ΤΟΥ ΠΡΟΪΟΝΤΟΣ</w:t>
      </w:r>
    </w:p>
    <w:p w:rsidR="00C4383A" w:rsidRPr="008A50A5" w:rsidRDefault="00C4383A">
      <w:pPr>
        <w:jc w:val="center"/>
        <w:rPr>
          <w:rFonts w:cs="Times New Roman"/>
          <w:b/>
          <w:sz w:val="22"/>
          <w:szCs w:val="22"/>
          <w:lang w:val="el-GR"/>
        </w:rPr>
      </w:pPr>
    </w:p>
    <w:p w:rsidR="00C4383A" w:rsidRPr="008A50A5" w:rsidRDefault="00C4383A">
      <w:pPr>
        <w:jc w:val="center"/>
        <w:rPr>
          <w:rFonts w:cs="Times New Roman"/>
          <w:b/>
          <w:sz w:val="22"/>
          <w:szCs w:val="22"/>
          <w:lang w:val="it-IT"/>
        </w:rPr>
      </w:pPr>
      <w:r w:rsidRPr="008A50A5">
        <w:rPr>
          <w:rFonts w:cs="Times New Roman"/>
          <w:b/>
          <w:sz w:val="22"/>
          <w:szCs w:val="22"/>
          <w:lang w:val="it-IT"/>
        </w:rPr>
        <w:t xml:space="preserve">Voltaren Acti-Go® </w:t>
      </w:r>
    </w:p>
    <w:p w:rsidR="00C4383A" w:rsidRPr="008A50A5" w:rsidRDefault="00C4383A">
      <w:pPr>
        <w:jc w:val="center"/>
        <w:rPr>
          <w:rFonts w:cs="Times New Roman"/>
          <w:b/>
          <w:sz w:val="22"/>
          <w:szCs w:val="22"/>
          <w:lang w:val="it-IT"/>
        </w:rPr>
      </w:pPr>
      <w:r w:rsidRPr="008A50A5">
        <w:rPr>
          <w:rFonts w:cs="Times New Roman"/>
          <w:b/>
          <w:sz w:val="22"/>
          <w:szCs w:val="22"/>
          <w:lang w:val="it-IT"/>
        </w:rPr>
        <w:t>Diclofenac potassium 12,5 mg</w:t>
      </w:r>
    </w:p>
    <w:p w:rsidR="00C4383A" w:rsidRPr="008A50A5" w:rsidRDefault="00C4383A">
      <w:pPr>
        <w:jc w:val="center"/>
        <w:rPr>
          <w:rFonts w:cs="Times New Roman"/>
          <w:b/>
          <w:sz w:val="22"/>
          <w:szCs w:val="22"/>
          <w:lang w:val="it-IT"/>
        </w:rPr>
      </w:pPr>
      <w:r w:rsidRPr="008A50A5">
        <w:rPr>
          <w:rFonts w:cs="Times New Roman"/>
          <w:b/>
          <w:sz w:val="22"/>
          <w:szCs w:val="22"/>
          <w:lang w:val="it-IT"/>
        </w:rPr>
        <w:t xml:space="preserve"> </w:t>
      </w:r>
      <w:r w:rsidRPr="008A50A5">
        <w:rPr>
          <w:rFonts w:cs="Times New Roman"/>
          <w:b/>
          <w:sz w:val="22"/>
          <w:szCs w:val="22"/>
          <w:lang w:val="el-GR"/>
        </w:rPr>
        <w:t>Επικαλυμμένα</w:t>
      </w:r>
      <w:r w:rsidRPr="008A50A5">
        <w:rPr>
          <w:rFonts w:cs="Times New Roman"/>
          <w:b/>
          <w:sz w:val="22"/>
          <w:szCs w:val="22"/>
          <w:lang w:val="it-IT"/>
        </w:rPr>
        <w:t xml:space="preserve"> </w:t>
      </w:r>
      <w:r w:rsidRPr="008A50A5">
        <w:rPr>
          <w:rFonts w:cs="Times New Roman"/>
          <w:b/>
          <w:sz w:val="22"/>
          <w:szCs w:val="22"/>
          <w:lang w:val="el-GR"/>
        </w:rPr>
        <w:t>με</w:t>
      </w:r>
      <w:r w:rsidRPr="008A50A5">
        <w:rPr>
          <w:rFonts w:cs="Times New Roman"/>
          <w:b/>
          <w:sz w:val="22"/>
          <w:szCs w:val="22"/>
          <w:lang w:val="it-IT"/>
        </w:rPr>
        <w:t xml:space="preserve"> </w:t>
      </w:r>
      <w:r w:rsidRPr="008A50A5">
        <w:rPr>
          <w:rFonts w:cs="Times New Roman"/>
          <w:b/>
          <w:sz w:val="22"/>
          <w:szCs w:val="22"/>
          <w:lang w:val="el-GR"/>
        </w:rPr>
        <w:t>λεπτό</w:t>
      </w:r>
      <w:r w:rsidRPr="008A50A5">
        <w:rPr>
          <w:rFonts w:cs="Times New Roman"/>
          <w:b/>
          <w:sz w:val="22"/>
          <w:szCs w:val="22"/>
          <w:lang w:val="it-IT"/>
        </w:rPr>
        <w:t xml:space="preserve"> </w:t>
      </w:r>
      <w:r w:rsidRPr="008A50A5">
        <w:rPr>
          <w:rFonts w:cs="Times New Roman"/>
          <w:b/>
          <w:sz w:val="22"/>
          <w:szCs w:val="22"/>
          <w:lang w:val="el-GR"/>
        </w:rPr>
        <w:t>υμένιο</w:t>
      </w:r>
      <w:r w:rsidRPr="008A50A5">
        <w:rPr>
          <w:rFonts w:cs="Times New Roman"/>
          <w:b/>
          <w:sz w:val="22"/>
          <w:szCs w:val="22"/>
          <w:lang w:val="it-IT"/>
        </w:rPr>
        <w:t xml:space="preserve"> </w:t>
      </w:r>
      <w:r w:rsidRPr="008A50A5">
        <w:rPr>
          <w:rFonts w:cs="Times New Roman"/>
          <w:b/>
          <w:sz w:val="22"/>
          <w:szCs w:val="22"/>
          <w:lang w:val="el-GR"/>
        </w:rPr>
        <w:t>δισκία</w:t>
      </w:r>
    </w:p>
    <w:p w:rsidR="00C4383A" w:rsidRPr="008A50A5" w:rsidRDefault="00C4383A">
      <w:pPr>
        <w:jc w:val="center"/>
        <w:rPr>
          <w:rFonts w:cs="Times New Roman"/>
          <w:b/>
          <w:sz w:val="22"/>
          <w:szCs w:val="22"/>
          <w:lang w:val="it-IT"/>
        </w:rPr>
      </w:pPr>
    </w:p>
    <w:p w:rsidR="00C4383A" w:rsidRPr="008A50A5" w:rsidRDefault="00C4383A">
      <w:pPr>
        <w:jc w:val="center"/>
        <w:rPr>
          <w:rFonts w:cs="Times New Roman"/>
          <w:b/>
          <w:sz w:val="22"/>
          <w:szCs w:val="22"/>
          <w:lang w:val="it-IT"/>
        </w:rPr>
      </w:pPr>
    </w:p>
    <w:p w:rsidR="00C4383A" w:rsidRPr="008A50A5" w:rsidRDefault="00C4383A" w:rsidP="00C174CF">
      <w:pPr>
        <w:spacing w:after="120"/>
        <w:ind w:right="84"/>
        <w:jc w:val="both"/>
        <w:rPr>
          <w:rFonts w:cs="Times New Roman"/>
          <w:b/>
          <w:sz w:val="22"/>
          <w:szCs w:val="22"/>
          <w:lang w:val="el-GR"/>
        </w:rPr>
      </w:pPr>
      <w:r w:rsidRPr="008A50A5">
        <w:rPr>
          <w:rFonts w:cs="Times New Roman"/>
          <w:b/>
          <w:i/>
          <w:sz w:val="22"/>
          <w:szCs w:val="22"/>
          <w:lang w:val="el-GR"/>
        </w:rPr>
        <w:t>1.</w:t>
      </w:r>
      <w:r w:rsidRPr="008A50A5">
        <w:rPr>
          <w:rFonts w:cs="Times New Roman"/>
          <w:b/>
          <w:i/>
          <w:sz w:val="22"/>
          <w:szCs w:val="22"/>
          <w:lang w:val="el-GR"/>
        </w:rPr>
        <w:tab/>
      </w:r>
      <w:r w:rsidRPr="008A50A5">
        <w:rPr>
          <w:rFonts w:cs="Times New Roman"/>
          <w:b/>
          <w:sz w:val="22"/>
          <w:szCs w:val="22"/>
          <w:lang w:val="el-GR"/>
        </w:rPr>
        <w:t>ΟΝΟΜΑΣΙΑ ΤΟΥ ΦΑΡΜΑΚΕΥΤΙΚΟΥ ΠΡΟΪΟΝΤΟΣ</w:t>
      </w:r>
    </w:p>
    <w:p w:rsidR="00C4383A" w:rsidRPr="008A50A5" w:rsidRDefault="00C4383A" w:rsidP="00C174CF">
      <w:pPr>
        <w:jc w:val="both"/>
        <w:rPr>
          <w:rFonts w:cs="Times New Roman"/>
          <w:sz w:val="22"/>
          <w:szCs w:val="22"/>
          <w:lang w:val="el-GR"/>
        </w:rPr>
      </w:pPr>
      <w:r w:rsidRPr="008A50A5">
        <w:rPr>
          <w:rFonts w:cs="Times New Roman"/>
          <w:sz w:val="22"/>
          <w:szCs w:val="22"/>
          <w:lang w:val="it-IT"/>
        </w:rPr>
        <w:t>Voltaren</w:t>
      </w:r>
      <w:r w:rsidRPr="008A50A5">
        <w:rPr>
          <w:rFonts w:cs="Times New Roman"/>
          <w:sz w:val="22"/>
          <w:szCs w:val="22"/>
          <w:lang w:val="el-GR"/>
        </w:rPr>
        <w:t xml:space="preserve"> </w:t>
      </w:r>
      <w:r w:rsidRPr="008A50A5">
        <w:rPr>
          <w:rFonts w:cs="Times New Roman"/>
          <w:sz w:val="22"/>
          <w:szCs w:val="22"/>
          <w:lang w:val="it-IT"/>
        </w:rPr>
        <w:t>Acti</w:t>
      </w:r>
      <w:r w:rsidRPr="008A50A5">
        <w:rPr>
          <w:rFonts w:cs="Times New Roman"/>
          <w:sz w:val="22"/>
          <w:szCs w:val="22"/>
          <w:lang w:val="el-GR"/>
        </w:rPr>
        <w:t>-</w:t>
      </w:r>
      <w:r w:rsidRPr="008A50A5">
        <w:rPr>
          <w:rFonts w:cs="Times New Roman"/>
          <w:sz w:val="22"/>
          <w:szCs w:val="22"/>
          <w:lang w:val="it-IT"/>
        </w:rPr>
        <w:t>Go</w:t>
      </w:r>
      <w:r w:rsidRPr="008A50A5">
        <w:rPr>
          <w:rFonts w:cs="Times New Roman"/>
          <w:sz w:val="22"/>
          <w:szCs w:val="22"/>
          <w:lang w:val="el-GR"/>
        </w:rPr>
        <w:t xml:space="preserve">® </w:t>
      </w:r>
    </w:p>
    <w:p w:rsidR="00C4383A" w:rsidRPr="008A50A5" w:rsidRDefault="00C4383A" w:rsidP="00C174CF">
      <w:pPr>
        <w:jc w:val="both"/>
        <w:rPr>
          <w:rFonts w:cs="Times New Roman"/>
          <w:sz w:val="22"/>
          <w:szCs w:val="22"/>
          <w:lang w:val="it-IT"/>
        </w:rPr>
      </w:pPr>
      <w:r w:rsidRPr="008A50A5">
        <w:rPr>
          <w:rFonts w:cs="Times New Roman"/>
          <w:sz w:val="22"/>
          <w:szCs w:val="22"/>
          <w:lang w:val="it-IT"/>
        </w:rPr>
        <w:t xml:space="preserve">Diclofenac potassium 12,5 mg  </w:t>
      </w:r>
    </w:p>
    <w:p w:rsidR="00C4383A" w:rsidRPr="008A50A5" w:rsidRDefault="00C4383A" w:rsidP="00C174CF">
      <w:pPr>
        <w:jc w:val="both"/>
        <w:rPr>
          <w:rFonts w:cs="Times New Roman"/>
          <w:sz w:val="22"/>
          <w:szCs w:val="22"/>
          <w:lang w:val="it-IT"/>
        </w:rPr>
      </w:pPr>
      <w:r w:rsidRPr="008A50A5">
        <w:rPr>
          <w:rFonts w:cs="Times New Roman"/>
          <w:sz w:val="22"/>
          <w:szCs w:val="22"/>
          <w:lang w:val="it-IT"/>
        </w:rPr>
        <w:t xml:space="preserve">Επικαλυμμένα με λεπτό υμένιο δισκία </w:t>
      </w:r>
    </w:p>
    <w:p w:rsidR="00C4383A" w:rsidRPr="008A50A5" w:rsidRDefault="00C4383A" w:rsidP="00C174CF">
      <w:pPr>
        <w:jc w:val="both"/>
        <w:rPr>
          <w:rFonts w:cs="Times New Roman"/>
          <w:sz w:val="22"/>
          <w:szCs w:val="22"/>
          <w:lang w:val="el-GR"/>
        </w:rPr>
      </w:pPr>
    </w:p>
    <w:p w:rsidR="00C4383A" w:rsidRPr="008A50A5" w:rsidRDefault="00B11713" w:rsidP="00B11713">
      <w:pPr>
        <w:rPr>
          <w:rFonts w:cs="Times New Roman"/>
          <w:sz w:val="22"/>
          <w:szCs w:val="22"/>
          <w:lang w:val="el-GR"/>
        </w:rPr>
      </w:pPr>
      <w:r>
        <w:rPr>
          <w:rFonts w:cs="Times New Roman"/>
          <w:b/>
          <w:sz w:val="22"/>
          <w:szCs w:val="22"/>
          <w:lang w:val="el-GR"/>
        </w:rPr>
        <w:t xml:space="preserve">2.         </w:t>
      </w:r>
      <w:r w:rsidR="00C4383A" w:rsidRPr="008A50A5">
        <w:rPr>
          <w:rFonts w:cs="Times New Roman"/>
          <w:b/>
          <w:sz w:val="22"/>
          <w:szCs w:val="22"/>
          <w:lang w:val="el-GR"/>
        </w:rPr>
        <w:t>ΠΟΙΟΤΙΚΗ ΚΑΙ ΠΟΣΟΤΙΚΗ ΣΥΝΘΕΣΗ</w:t>
      </w:r>
      <w:r w:rsidR="00C4383A" w:rsidRPr="008A50A5">
        <w:rPr>
          <w:rFonts w:cs="Times New Roman"/>
          <w:b/>
          <w:i/>
          <w:sz w:val="22"/>
          <w:szCs w:val="22"/>
          <w:lang w:val="el-GR"/>
        </w:rPr>
        <w:br/>
      </w:r>
      <w:r w:rsidR="00C4383A" w:rsidRPr="008A50A5">
        <w:rPr>
          <w:rFonts w:cs="Times New Roman"/>
          <w:sz w:val="22"/>
          <w:szCs w:val="22"/>
          <w:lang w:val="el-GR"/>
        </w:rPr>
        <w:t xml:space="preserve">Ένα δισκίο </w:t>
      </w:r>
      <w:r w:rsidR="00C4383A" w:rsidRPr="008A50A5">
        <w:rPr>
          <w:rFonts w:cs="Times New Roman"/>
          <w:sz w:val="22"/>
          <w:szCs w:val="22"/>
        </w:rPr>
        <w:t>Voltaren</w:t>
      </w:r>
      <w:r w:rsidR="00C4383A" w:rsidRPr="008A50A5">
        <w:rPr>
          <w:rFonts w:cs="Times New Roman"/>
          <w:sz w:val="22"/>
          <w:szCs w:val="22"/>
          <w:lang w:val="el-GR"/>
        </w:rPr>
        <w:t>-</w:t>
      </w:r>
      <w:r w:rsidR="00C4383A" w:rsidRPr="008A50A5">
        <w:rPr>
          <w:rFonts w:cs="Times New Roman"/>
          <w:sz w:val="22"/>
          <w:szCs w:val="22"/>
        </w:rPr>
        <w:t>ActiGo</w:t>
      </w:r>
      <w:r w:rsidR="00C4383A" w:rsidRPr="008A50A5">
        <w:rPr>
          <w:rFonts w:cs="Times New Roman"/>
          <w:sz w:val="22"/>
          <w:szCs w:val="22"/>
          <w:lang w:val="el-GR"/>
        </w:rPr>
        <w:t xml:space="preserve">® περιέχει 12,5 </w:t>
      </w:r>
      <w:r w:rsidR="00C4383A" w:rsidRPr="008A50A5">
        <w:rPr>
          <w:rFonts w:cs="Times New Roman"/>
          <w:sz w:val="22"/>
          <w:szCs w:val="22"/>
        </w:rPr>
        <w:t>mg</w:t>
      </w:r>
      <w:r w:rsidR="00C4383A" w:rsidRPr="008A50A5">
        <w:rPr>
          <w:rFonts w:cs="Times New Roman"/>
          <w:sz w:val="22"/>
          <w:szCs w:val="22"/>
          <w:lang w:val="el-GR"/>
        </w:rPr>
        <w:t xml:space="preserve"> καλιούχο δικλοφ</w:t>
      </w:r>
      <w:r w:rsidR="00315BEC" w:rsidRPr="008A50A5">
        <w:rPr>
          <w:rFonts w:cs="Times New Roman"/>
          <w:sz w:val="22"/>
          <w:szCs w:val="22"/>
          <w:lang w:val="el-GR"/>
        </w:rPr>
        <w:t>αι</w:t>
      </w:r>
      <w:r w:rsidR="00C4383A" w:rsidRPr="008A50A5">
        <w:rPr>
          <w:rFonts w:cs="Times New Roman"/>
          <w:sz w:val="22"/>
          <w:szCs w:val="22"/>
          <w:lang w:val="el-GR"/>
        </w:rPr>
        <w:t>νάκη.</w:t>
      </w:r>
    </w:p>
    <w:p w:rsidR="00C4383A" w:rsidRPr="008A50A5" w:rsidRDefault="00C4383A" w:rsidP="00B11713">
      <w:pPr>
        <w:rPr>
          <w:rFonts w:cs="Times New Roman"/>
          <w:sz w:val="22"/>
          <w:szCs w:val="22"/>
          <w:lang w:val="el-GR"/>
        </w:rPr>
      </w:pPr>
      <w:r w:rsidRPr="008A50A5">
        <w:rPr>
          <w:rFonts w:cs="Times New Roman"/>
          <w:sz w:val="22"/>
          <w:szCs w:val="22"/>
          <w:lang w:val="el-GR"/>
        </w:rPr>
        <w:t>Έκδοχο: Λακτόζη</w:t>
      </w:r>
      <w:r w:rsidRPr="008A50A5">
        <w:rPr>
          <w:rFonts w:cs="Times New Roman"/>
          <w:sz w:val="22"/>
          <w:szCs w:val="22"/>
          <w:lang w:val="el-GR"/>
        </w:rPr>
        <w:br/>
        <w:t>Για τον πλήρη κατάλογο των εκδόχων, βλ. παράγραφο 6.1</w:t>
      </w:r>
    </w:p>
    <w:p w:rsidR="00C4383A" w:rsidRPr="008A50A5" w:rsidRDefault="00C4383A" w:rsidP="00C174CF">
      <w:pPr>
        <w:jc w:val="both"/>
        <w:rPr>
          <w:rFonts w:cs="Times New Roman"/>
          <w:sz w:val="22"/>
          <w:szCs w:val="22"/>
          <w:lang w:val="el-GR"/>
        </w:rPr>
      </w:pPr>
    </w:p>
    <w:p w:rsidR="00C4383A" w:rsidRPr="008A50A5" w:rsidRDefault="00C4383A" w:rsidP="00B11713">
      <w:pPr>
        <w:rPr>
          <w:rFonts w:cs="Times New Roman"/>
          <w:sz w:val="22"/>
          <w:szCs w:val="22"/>
          <w:lang w:val="el-GR"/>
        </w:rPr>
      </w:pPr>
      <w:r w:rsidRPr="008A50A5">
        <w:rPr>
          <w:rFonts w:cs="Times New Roman"/>
          <w:b/>
          <w:sz w:val="22"/>
          <w:szCs w:val="22"/>
          <w:lang w:val="el-GR"/>
        </w:rPr>
        <w:t xml:space="preserve">3. </w:t>
      </w:r>
      <w:r w:rsidR="00B11713">
        <w:rPr>
          <w:rFonts w:cs="Times New Roman"/>
          <w:b/>
          <w:sz w:val="22"/>
          <w:szCs w:val="22"/>
          <w:lang w:val="el-GR"/>
        </w:rPr>
        <w:t xml:space="preserve">        </w:t>
      </w:r>
      <w:r w:rsidRPr="008A50A5">
        <w:rPr>
          <w:rFonts w:cs="Times New Roman"/>
          <w:b/>
          <w:sz w:val="22"/>
          <w:szCs w:val="22"/>
          <w:lang w:val="el-GR"/>
        </w:rPr>
        <w:t>ΦΑΡΜΑΚΟΤΕΧΝΙΚΗ ΜΟΡΦΗ</w:t>
      </w:r>
      <w:r w:rsidRPr="008A50A5">
        <w:rPr>
          <w:rFonts w:cs="Times New Roman"/>
          <w:b/>
          <w:i/>
          <w:sz w:val="22"/>
          <w:szCs w:val="22"/>
          <w:lang w:val="el-GR"/>
        </w:rPr>
        <w:br/>
      </w:r>
      <w:r w:rsidRPr="008A50A5">
        <w:rPr>
          <w:rFonts w:cs="Times New Roman"/>
          <w:b/>
          <w:sz w:val="22"/>
          <w:szCs w:val="22"/>
          <w:lang w:val="el-GR"/>
        </w:rPr>
        <w:t>Επικαλυμμένα με λεπτό υμένιο δισκία</w:t>
      </w:r>
      <w:r w:rsidRPr="008A50A5">
        <w:rPr>
          <w:rFonts w:cs="Times New Roman"/>
          <w:sz w:val="22"/>
          <w:szCs w:val="22"/>
          <w:lang w:val="el-GR"/>
        </w:rPr>
        <w:t xml:space="preserve"> λευκού χρώματος και σχήματος καψακίου</w:t>
      </w:r>
    </w:p>
    <w:p w:rsidR="00C4383A" w:rsidRPr="008A50A5" w:rsidRDefault="00C4383A" w:rsidP="00C174CF">
      <w:pPr>
        <w:tabs>
          <w:tab w:val="left" w:pos="709"/>
        </w:tabs>
        <w:jc w:val="both"/>
        <w:rPr>
          <w:rFonts w:cs="Times New Roman"/>
          <w:sz w:val="22"/>
          <w:szCs w:val="22"/>
          <w:lang w:val="el-GR"/>
        </w:rPr>
      </w:pPr>
    </w:p>
    <w:p w:rsidR="00C4383A" w:rsidRPr="008A50A5" w:rsidRDefault="00C4383A" w:rsidP="00C174CF">
      <w:pPr>
        <w:tabs>
          <w:tab w:val="left" w:pos="709"/>
        </w:tabs>
        <w:jc w:val="both"/>
        <w:rPr>
          <w:rFonts w:cs="Times New Roman"/>
          <w:b/>
          <w:sz w:val="22"/>
          <w:szCs w:val="22"/>
          <w:lang w:val="el-GR"/>
        </w:rPr>
      </w:pPr>
      <w:r w:rsidRPr="008A50A5">
        <w:rPr>
          <w:rFonts w:cs="Times New Roman"/>
          <w:b/>
          <w:i/>
          <w:sz w:val="22"/>
          <w:szCs w:val="22"/>
          <w:lang w:val="el-GR"/>
        </w:rPr>
        <w:t>4.</w:t>
      </w:r>
      <w:r w:rsidRPr="008A50A5">
        <w:rPr>
          <w:rFonts w:cs="Times New Roman"/>
          <w:b/>
          <w:i/>
          <w:sz w:val="22"/>
          <w:szCs w:val="22"/>
          <w:lang w:val="el-GR"/>
        </w:rPr>
        <w:tab/>
      </w:r>
      <w:r w:rsidRPr="008A50A5">
        <w:rPr>
          <w:rFonts w:cs="Times New Roman"/>
          <w:b/>
          <w:sz w:val="22"/>
          <w:szCs w:val="22"/>
          <w:lang w:val="el-GR"/>
        </w:rPr>
        <w:t>ΚΛΙΝΙΚΕΣ ΠΛΗΡΟΦΟΡΙΕΣ</w:t>
      </w:r>
    </w:p>
    <w:p w:rsidR="00C4383A" w:rsidRPr="008A50A5" w:rsidRDefault="00C4383A" w:rsidP="00C174CF">
      <w:pPr>
        <w:tabs>
          <w:tab w:val="left" w:pos="709"/>
        </w:tabs>
        <w:jc w:val="both"/>
        <w:rPr>
          <w:rFonts w:cs="Times New Roman"/>
          <w:b/>
          <w:i/>
          <w:sz w:val="22"/>
          <w:szCs w:val="22"/>
          <w:lang w:val="el-GR"/>
        </w:rPr>
      </w:pPr>
    </w:p>
    <w:p w:rsidR="00C4383A" w:rsidRPr="008A50A5" w:rsidRDefault="00C4383A" w:rsidP="00C174CF">
      <w:pPr>
        <w:jc w:val="both"/>
        <w:rPr>
          <w:rFonts w:cs="Times New Roman"/>
          <w:b/>
          <w:i/>
          <w:sz w:val="22"/>
          <w:szCs w:val="22"/>
          <w:lang w:val="el-GR"/>
        </w:rPr>
      </w:pPr>
      <w:r w:rsidRPr="008A50A5">
        <w:rPr>
          <w:rFonts w:cs="Times New Roman"/>
          <w:b/>
          <w:i/>
          <w:sz w:val="22"/>
          <w:szCs w:val="22"/>
          <w:lang w:val="el-GR"/>
        </w:rPr>
        <w:t>4.1</w:t>
      </w:r>
      <w:r w:rsidRPr="008A50A5">
        <w:rPr>
          <w:rFonts w:cs="Times New Roman"/>
          <w:b/>
          <w:i/>
          <w:sz w:val="22"/>
          <w:szCs w:val="22"/>
          <w:lang w:val="el-GR"/>
        </w:rPr>
        <w:tab/>
        <w:t>Θεραπευτικές ενδείξεις</w:t>
      </w:r>
    </w:p>
    <w:p w:rsidR="00C4383A" w:rsidRPr="008A50A5" w:rsidRDefault="00C4383A" w:rsidP="00C174CF">
      <w:pPr>
        <w:tabs>
          <w:tab w:val="left" w:pos="-6"/>
        </w:tabs>
        <w:ind w:left="-2"/>
        <w:jc w:val="both"/>
        <w:rPr>
          <w:rFonts w:cs="Times New Roman"/>
          <w:sz w:val="22"/>
          <w:szCs w:val="22"/>
          <w:lang w:val="el-GR"/>
        </w:rPr>
      </w:pPr>
      <w:r w:rsidRPr="008A50A5">
        <w:rPr>
          <w:rFonts w:cs="Times New Roman"/>
          <w:sz w:val="22"/>
          <w:szCs w:val="22"/>
          <w:lang w:val="el-GR"/>
        </w:rPr>
        <w:tab/>
        <w:t>Αντιμετώπιση επώδυνων καταστάσεων όπως : κεφαλαλγίες, οδονταλγίες, δυσμηνόρροια, ρευματικ</w:t>
      </w:r>
      <w:r w:rsidRPr="008A50A5">
        <w:rPr>
          <w:rFonts w:cs="Times New Roman"/>
          <w:sz w:val="22"/>
          <w:szCs w:val="22"/>
        </w:rPr>
        <w:t>o</w:t>
      </w:r>
      <w:r w:rsidRPr="008A50A5">
        <w:rPr>
          <w:rFonts w:cs="Times New Roman"/>
          <w:sz w:val="22"/>
          <w:szCs w:val="22"/>
          <w:lang w:val="el-GR"/>
        </w:rPr>
        <w:t xml:space="preserve">í πόνοι,  μυαλγίες, αρθραλγίες, χαμηλή οσφυαλγία.  </w:t>
      </w:r>
    </w:p>
    <w:p w:rsidR="00C4383A" w:rsidRPr="008A50A5" w:rsidRDefault="00C4383A" w:rsidP="00C174CF">
      <w:pPr>
        <w:tabs>
          <w:tab w:val="left" w:pos="2149"/>
        </w:tabs>
        <w:ind w:left="720" w:hanging="720"/>
        <w:jc w:val="both"/>
        <w:rPr>
          <w:rFonts w:cs="Times New Roman"/>
          <w:sz w:val="22"/>
          <w:szCs w:val="22"/>
          <w:lang w:val="el-GR"/>
        </w:rPr>
      </w:pPr>
    </w:p>
    <w:p w:rsidR="00C4383A" w:rsidRPr="008A50A5" w:rsidRDefault="00C4383A" w:rsidP="00C174CF">
      <w:pPr>
        <w:jc w:val="both"/>
        <w:rPr>
          <w:rFonts w:cs="Times New Roman"/>
          <w:b/>
          <w:i/>
          <w:sz w:val="22"/>
          <w:szCs w:val="22"/>
          <w:lang w:val="el-GR"/>
        </w:rPr>
      </w:pPr>
      <w:r w:rsidRPr="008A50A5">
        <w:rPr>
          <w:rFonts w:cs="Times New Roman"/>
          <w:b/>
          <w:i/>
          <w:sz w:val="22"/>
          <w:szCs w:val="22"/>
          <w:lang w:val="el-GR"/>
        </w:rPr>
        <w:t>4.2</w:t>
      </w:r>
      <w:r w:rsidRPr="008A50A5">
        <w:rPr>
          <w:rFonts w:cs="Times New Roman"/>
          <w:b/>
          <w:i/>
          <w:sz w:val="22"/>
          <w:szCs w:val="22"/>
          <w:lang w:val="el-GR"/>
        </w:rPr>
        <w:tab/>
        <w:t>Δοσολογία και τρόπος χορήγησης</w:t>
      </w:r>
    </w:p>
    <w:p w:rsidR="00C4383A" w:rsidRPr="008A50A5" w:rsidRDefault="00C4383A" w:rsidP="00C174CF">
      <w:pPr>
        <w:pStyle w:val="Text"/>
        <w:tabs>
          <w:tab w:val="left" w:pos="7010"/>
        </w:tabs>
        <w:spacing w:before="0"/>
        <w:rPr>
          <w:rFonts w:cs="Times New Roman"/>
          <w:strike/>
          <w:sz w:val="22"/>
          <w:szCs w:val="22"/>
          <w:shd w:val="clear" w:color="auto" w:fill="00FFFF"/>
          <w:lang w:val="el-GR"/>
        </w:rPr>
      </w:pPr>
      <w:r w:rsidRPr="008A50A5">
        <w:rPr>
          <w:rFonts w:cs="Times New Roman"/>
          <w:sz w:val="22"/>
          <w:szCs w:val="22"/>
          <w:lang w:val="el-GR"/>
        </w:rPr>
        <w:t>Ως γενική σύσταση, η δόση πρέπει να εξατομικεύεται και να χορηγείται η χαμηλότερη αποτελεσματική δοσολογία για τ</w:t>
      </w:r>
      <w:r w:rsidRPr="008A50A5">
        <w:rPr>
          <w:rFonts w:cs="Times New Roman"/>
          <w:sz w:val="22"/>
          <w:szCs w:val="22"/>
        </w:rPr>
        <w:t>o</w:t>
      </w:r>
      <w:r w:rsidRPr="008A50A5">
        <w:rPr>
          <w:rFonts w:cs="Times New Roman"/>
          <w:sz w:val="22"/>
          <w:szCs w:val="22"/>
          <w:lang w:val="el-GR"/>
        </w:rPr>
        <w:t xml:space="preserve"> μικρότερο χρονικό διάστημα. </w:t>
      </w:r>
    </w:p>
    <w:p w:rsidR="00C4383A" w:rsidRPr="008A50A5" w:rsidRDefault="00C4383A" w:rsidP="00C174CF">
      <w:pPr>
        <w:ind w:firstLine="720"/>
        <w:jc w:val="both"/>
        <w:rPr>
          <w:rFonts w:cs="Times New Roman"/>
          <w:sz w:val="22"/>
          <w:szCs w:val="22"/>
          <w:u w:val="single"/>
          <w:lang w:val="el-GR"/>
        </w:rPr>
      </w:pPr>
    </w:p>
    <w:p w:rsidR="00C4383A" w:rsidRPr="008A50A5" w:rsidRDefault="00C4383A" w:rsidP="00C174CF">
      <w:pPr>
        <w:ind w:left="-2"/>
        <w:jc w:val="both"/>
        <w:rPr>
          <w:rFonts w:cs="Times New Roman"/>
          <w:sz w:val="22"/>
          <w:szCs w:val="22"/>
          <w:u w:val="single"/>
          <w:lang w:val="el-GR"/>
        </w:rPr>
      </w:pPr>
      <w:r w:rsidRPr="008A50A5">
        <w:rPr>
          <w:rFonts w:cs="Times New Roman"/>
          <w:sz w:val="22"/>
          <w:szCs w:val="22"/>
          <w:u w:val="single"/>
          <w:lang w:val="el-GR"/>
        </w:rPr>
        <w:t xml:space="preserve">Ενήλικες και </w:t>
      </w:r>
      <w:r w:rsidRPr="008A50A5">
        <w:rPr>
          <w:rFonts w:cs="Times New Roman"/>
          <w:b/>
          <w:sz w:val="22"/>
          <w:szCs w:val="22"/>
          <w:u w:val="single"/>
          <w:lang w:val="el-GR"/>
        </w:rPr>
        <w:t xml:space="preserve">έφηβοι </w:t>
      </w:r>
      <w:r w:rsidRPr="008A50A5">
        <w:rPr>
          <w:rFonts w:cs="Times New Roman"/>
          <w:sz w:val="22"/>
          <w:szCs w:val="22"/>
          <w:u w:val="single"/>
          <w:lang w:val="el-GR"/>
        </w:rPr>
        <w:t>ηλικίας 14 ετών και πάνω:</w:t>
      </w:r>
    </w:p>
    <w:p w:rsidR="00C4383A" w:rsidRPr="008A50A5" w:rsidRDefault="00C4383A" w:rsidP="00C174CF">
      <w:pPr>
        <w:ind w:left="-2"/>
        <w:jc w:val="both"/>
        <w:rPr>
          <w:rFonts w:cs="Times New Roman"/>
          <w:sz w:val="22"/>
          <w:szCs w:val="22"/>
          <w:lang w:val="el-GR"/>
        </w:rPr>
      </w:pPr>
      <w:r w:rsidRPr="008A50A5">
        <w:rPr>
          <w:rFonts w:cs="Times New Roman"/>
          <w:sz w:val="22"/>
          <w:szCs w:val="22"/>
          <w:lang w:val="el-GR"/>
        </w:rPr>
        <w:t xml:space="preserve">Αρχικά 2 δισκία, κατόπιν, εάν είναι απαραίτητο, ένα ή δύο δισκία κάθε 4 έως 6 ώρες.  Δεν πρέπει να λαμβάνονται περισσότερο από 6 δισκία (75 </w:t>
      </w:r>
      <w:r w:rsidRPr="008A50A5">
        <w:rPr>
          <w:rFonts w:cs="Times New Roman"/>
          <w:sz w:val="22"/>
          <w:szCs w:val="22"/>
        </w:rPr>
        <w:t>mg</w:t>
      </w:r>
      <w:r w:rsidRPr="008A50A5">
        <w:rPr>
          <w:rFonts w:cs="Times New Roman"/>
          <w:sz w:val="22"/>
          <w:szCs w:val="22"/>
          <w:lang w:val="el-GR"/>
        </w:rPr>
        <w:t>) το 24ωρο.</w:t>
      </w:r>
    </w:p>
    <w:p w:rsidR="00C4383A" w:rsidRPr="008A50A5" w:rsidRDefault="00C4383A" w:rsidP="00C174CF">
      <w:pPr>
        <w:ind w:left="-2"/>
        <w:jc w:val="both"/>
        <w:rPr>
          <w:rFonts w:cs="Times New Roman"/>
          <w:sz w:val="22"/>
          <w:szCs w:val="22"/>
          <w:lang w:val="el-GR"/>
        </w:rPr>
      </w:pPr>
      <w:r w:rsidRPr="008A50A5">
        <w:rPr>
          <w:rFonts w:cs="Times New Roman"/>
          <w:sz w:val="22"/>
          <w:szCs w:val="22"/>
          <w:lang w:val="el-GR"/>
        </w:rPr>
        <w:t xml:space="preserve">Το </w:t>
      </w:r>
      <w:r w:rsidRPr="008A50A5">
        <w:rPr>
          <w:rFonts w:cs="Times New Roman"/>
          <w:sz w:val="22"/>
          <w:szCs w:val="22"/>
        </w:rPr>
        <w:t>Voltaren</w:t>
      </w:r>
      <w:r w:rsidRPr="008A50A5">
        <w:rPr>
          <w:rFonts w:cs="Times New Roman"/>
          <w:sz w:val="22"/>
          <w:szCs w:val="22"/>
          <w:lang w:val="el-GR"/>
        </w:rPr>
        <w:t>-</w:t>
      </w:r>
      <w:r w:rsidRPr="008A50A5">
        <w:rPr>
          <w:rFonts w:cs="Times New Roman"/>
          <w:sz w:val="22"/>
          <w:szCs w:val="22"/>
        </w:rPr>
        <w:t>ActiGo</w:t>
      </w:r>
      <w:r w:rsidRPr="008A50A5">
        <w:rPr>
          <w:rFonts w:cs="Times New Roman"/>
          <w:sz w:val="22"/>
          <w:szCs w:val="22"/>
          <w:lang w:val="el-GR"/>
        </w:rPr>
        <w:t>® μπορεί να χρησιμοποιηθεί για χρονικό διάστημα μέχρι 5 ημερών.</w:t>
      </w:r>
    </w:p>
    <w:p w:rsidR="00C4383A" w:rsidRPr="008A50A5" w:rsidRDefault="00C4383A" w:rsidP="00C174CF">
      <w:pPr>
        <w:ind w:left="-2"/>
        <w:jc w:val="both"/>
        <w:rPr>
          <w:rFonts w:cs="Times New Roman"/>
          <w:sz w:val="22"/>
          <w:szCs w:val="22"/>
        </w:rPr>
      </w:pPr>
      <w:r w:rsidRPr="00983E87">
        <w:rPr>
          <w:rFonts w:cs="Times New Roman"/>
          <w:sz w:val="22"/>
          <w:szCs w:val="22"/>
          <w:lang w:val="el-GR"/>
        </w:rPr>
        <w:t xml:space="preserve">Τα δισκία πρέπει να καταπίνονται ολόκληρα με λίγο υγρό, κατά προτίμηση πριν από τα γεύματα. </w:t>
      </w:r>
      <w:proofErr w:type="gramStart"/>
      <w:r w:rsidRPr="008A50A5">
        <w:rPr>
          <w:rFonts w:cs="Times New Roman"/>
          <w:sz w:val="22"/>
          <w:szCs w:val="22"/>
        </w:rPr>
        <w:t>Να μην τεμαχίζονται ή μασώνται.</w:t>
      </w:r>
      <w:proofErr w:type="gramEnd"/>
      <w:r w:rsidRPr="008A50A5">
        <w:rPr>
          <w:rFonts w:cs="Times New Roman"/>
          <w:sz w:val="22"/>
          <w:szCs w:val="22"/>
        </w:rPr>
        <w:t xml:space="preserve"> </w:t>
      </w:r>
    </w:p>
    <w:p w:rsidR="00C4383A" w:rsidRPr="008A50A5" w:rsidRDefault="00C4383A" w:rsidP="00C174CF">
      <w:pPr>
        <w:tabs>
          <w:tab w:val="left" w:pos="-4"/>
        </w:tabs>
        <w:spacing w:after="120"/>
        <w:ind w:left="-2" w:right="84"/>
        <w:jc w:val="both"/>
        <w:rPr>
          <w:rFonts w:cs="Times New Roman"/>
          <w:b/>
          <w:sz w:val="22"/>
          <w:szCs w:val="22"/>
          <w:lang w:val="el-GR"/>
        </w:rPr>
      </w:pPr>
      <w:r w:rsidRPr="008A50A5">
        <w:rPr>
          <w:rFonts w:cs="Times New Roman"/>
          <w:b/>
          <w:sz w:val="22"/>
          <w:szCs w:val="22"/>
          <w:lang w:val="el-GR"/>
        </w:rPr>
        <w:t xml:space="preserve">Για μέγιστη αποτελεσματικότητα τα δισκία </w:t>
      </w:r>
      <w:r w:rsidRPr="008A50A5">
        <w:rPr>
          <w:rFonts w:cs="Times New Roman"/>
          <w:b/>
          <w:sz w:val="22"/>
          <w:szCs w:val="22"/>
        </w:rPr>
        <w:t>Voltaren</w:t>
      </w:r>
      <w:r w:rsidRPr="008A50A5">
        <w:rPr>
          <w:rFonts w:cs="Times New Roman"/>
          <w:b/>
          <w:sz w:val="22"/>
          <w:szCs w:val="22"/>
          <w:lang w:val="el-GR"/>
        </w:rPr>
        <w:t xml:space="preserve"> </w:t>
      </w:r>
      <w:r w:rsidRPr="008A50A5">
        <w:rPr>
          <w:rFonts w:cs="Times New Roman"/>
          <w:b/>
          <w:sz w:val="22"/>
          <w:szCs w:val="22"/>
        </w:rPr>
        <w:t>Acti</w:t>
      </w:r>
      <w:r w:rsidRPr="008A50A5">
        <w:rPr>
          <w:rFonts w:cs="Times New Roman"/>
          <w:b/>
          <w:sz w:val="22"/>
          <w:szCs w:val="22"/>
          <w:lang w:val="el-GR"/>
        </w:rPr>
        <w:t>-</w:t>
      </w:r>
      <w:r w:rsidRPr="008A50A5">
        <w:rPr>
          <w:rFonts w:cs="Times New Roman"/>
          <w:b/>
          <w:sz w:val="22"/>
          <w:szCs w:val="22"/>
        </w:rPr>
        <w:t>Go</w:t>
      </w:r>
      <w:r w:rsidRPr="008A50A5">
        <w:rPr>
          <w:rFonts w:cs="Times New Roman"/>
          <w:b/>
          <w:sz w:val="22"/>
          <w:szCs w:val="22"/>
          <w:lang w:val="el-GR"/>
        </w:rPr>
        <w:t xml:space="preserve"> πρέπει να λαμβάνονται πριν το φαγητό.</w:t>
      </w:r>
    </w:p>
    <w:p w:rsidR="00983E87" w:rsidRDefault="00983E87" w:rsidP="00C174CF">
      <w:pPr>
        <w:ind w:left="-2"/>
        <w:jc w:val="both"/>
        <w:rPr>
          <w:rFonts w:cs="Times New Roman"/>
          <w:sz w:val="22"/>
          <w:szCs w:val="22"/>
          <w:u w:val="single"/>
          <w:lang w:val="el-GR"/>
        </w:rPr>
      </w:pPr>
    </w:p>
    <w:p w:rsidR="00C4383A" w:rsidRPr="008A50A5" w:rsidRDefault="00C4383A" w:rsidP="00C174CF">
      <w:pPr>
        <w:ind w:left="-2"/>
        <w:jc w:val="both"/>
        <w:rPr>
          <w:rFonts w:cs="Times New Roman"/>
          <w:b/>
          <w:sz w:val="22"/>
          <w:szCs w:val="22"/>
          <w:lang w:val="el-GR"/>
        </w:rPr>
      </w:pPr>
      <w:r w:rsidRPr="008A50A5">
        <w:rPr>
          <w:rFonts w:cs="Times New Roman"/>
          <w:sz w:val="22"/>
          <w:szCs w:val="22"/>
          <w:u w:val="single"/>
          <w:lang w:val="el-GR"/>
        </w:rPr>
        <w:t>Παιδιά</w:t>
      </w:r>
      <w:r w:rsidRPr="008A50A5">
        <w:rPr>
          <w:rFonts w:cs="Times New Roman"/>
          <w:b/>
          <w:sz w:val="22"/>
          <w:szCs w:val="22"/>
          <w:lang w:val="el-GR"/>
        </w:rPr>
        <w:t xml:space="preserve"> και έφηβοι κάτω των 14 ετών</w:t>
      </w:r>
    </w:p>
    <w:p w:rsidR="00C4383A" w:rsidRPr="008A50A5" w:rsidRDefault="00C4383A" w:rsidP="00C174CF">
      <w:pPr>
        <w:ind w:left="-2"/>
        <w:jc w:val="both"/>
        <w:rPr>
          <w:rFonts w:cs="Times New Roman"/>
          <w:sz w:val="22"/>
          <w:szCs w:val="22"/>
          <w:lang w:val="el-GR"/>
        </w:rPr>
      </w:pPr>
      <w:r w:rsidRPr="008A50A5">
        <w:rPr>
          <w:rFonts w:cs="Times New Roman"/>
          <w:sz w:val="22"/>
          <w:szCs w:val="22"/>
          <w:lang w:val="el-GR"/>
        </w:rPr>
        <w:t xml:space="preserve">Τα δισκία </w:t>
      </w:r>
      <w:r w:rsidRPr="008A50A5">
        <w:rPr>
          <w:rFonts w:cs="Times New Roman"/>
          <w:sz w:val="22"/>
          <w:szCs w:val="22"/>
        </w:rPr>
        <w:t>Voltaren</w:t>
      </w:r>
      <w:r w:rsidRPr="008A50A5">
        <w:rPr>
          <w:rFonts w:cs="Times New Roman"/>
          <w:sz w:val="22"/>
          <w:szCs w:val="22"/>
          <w:lang w:val="el-GR"/>
        </w:rPr>
        <w:t>-</w:t>
      </w:r>
      <w:r w:rsidRPr="008A50A5">
        <w:rPr>
          <w:rFonts w:cs="Times New Roman"/>
          <w:sz w:val="22"/>
          <w:szCs w:val="22"/>
        </w:rPr>
        <w:t>ActiGo</w:t>
      </w:r>
      <w:r w:rsidRPr="008A50A5">
        <w:rPr>
          <w:rFonts w:cs="Times New Roman"/>
          <w:sz w:val="22"/>
          <w:szCs w:val="22"/>
          <w:lang w:val="el-GR"/>
        </w:rPr>
        <w:t xml:space="preserve">® δεν συνιστώνται για χρήση σε παιδιά ηλικίας κάτω των 14 ετών. </w:t>
      </w:r>
    </w:p>
    <w:p w:rsidR="00C4383A" w:rsidRPr="008A50A5" w:rsidRDefault="00C4383A" w:rsidP="00C174CF">
      <w:pPr>
        <w:pStyle w:val="Text"/>
        <w:spacing w:before="0"/>
        <w:ind w:left="720"/>
        <w:rPr>
          <w:rFonts w:cs="Times New Roman"/>
          <w:b/>
          <w:sz w:val="22"/>
          <w:szCs w:val="22"/>
          <w:lang w:val="el-GR"/>
        </w:rPr>
      </w:pPr>
    </w:p>
    <w:p w:rsidR="00C4383A" w:rsidRPr="008A50A5" w:rsidRDefault="00C4383A" w:rsidP="00C174CF">
      <w:pPr>
        <w:pStyle w:val="Text"/>
        <w:spacing w:before="0"/>
        <w:rPr>
          <w:rFonts w:cs="Times New Roman"/>
          <w:b/>
          <w:i/>
          <w:sz w:val="22"/>
          <w:szCs w:val="22"/>
          <w:lang w:val="el-GR"/>
        </w:rPr>
      </w:pPr>
      <w:r w:rsidRPr="008A50A5">
        <w:rPr>
          <w:rFonts w:cs="Times New Roman"/>
          <w:b/>
          <w:i/>
          <w:sz w:val="22"/>
          <w:szCs w:val="22"/>
          <w:lang w:val="el-GR"/>
        </w:rPr>
        <w:t>4.3</w:t>
      </w:r>
      <w:r w:rsidRPr="008A50A5">
        <w:rPr>
          <w:rFonts w:cs="Times New Roman"/>
          <w:b/>
          <w:i/>
          <w:sz w:val="22"/>
          <w:szCs w:val="22"/>
          <w:lang w:val="el-GR"/>
        </w:rPr>
        <w:tab/>
        <w:t>Αντενδείξεις</w:t>
      </w:r>
    </w:p>
    <w:p w:rsidR="00C4383A" w:rsidRPr="008A50A5" w:rsidRDefault="00C4383A" w:rsidP="00C174CF">
      <w:pPr>
        <w:pStyle w:val="Text"/>
        <w:numPr>
          <w:ilvl w:val="0"/>
          <w:numId w:val="2"/>
        </w:numPr>
        <w:tabs>
          <w:tab w:val="clear" w:pos="1070"/>
          <w:tab w:val="num" w:pos="709"/>
          <w:tab w:val="left" w:pos="1418"/>
        </w:tabs>
        <w:spacing w:before="0"/>
        <w:ind w:left="284" w:firstLine="0"/>
        <w:rPr>
          <w:rFonts w:cs="Times New Roman"/>
          <w:sz w:val="22"/>
          <w:szCs w:val="22"/>
          <w:lang w:val="el-GR"/>
        </w:rPr>
      </w:pPr>
      <w:r w:rsidRPr="008A50A5">
        <w:rPr>
          <w:rFonts w:cs="Times New Roman"/>
          <w:sz w:val="22"/>
          <w:szCs w:val="22"/>
          <w:lang w:val="el-GR"/>
        </w:rPr>
        <w:t>Γνωστή υπερευαισθησία στη δικλοφαινάκη ή σε οποιοδήποτε από τα έκδοχα .</w:t>
      </w:r>
    </w:p>
    <w:p w:rsidR="00C4383A" w:rsidRPr="008A50A5" w:rsidRDefault="00C4383A" w:rsidP="00C174CF">
      <w:pPr>
        <w:pStyle w:val="Text"/>
        <w:numPr>
          <w:ilvl w:val="0"/>
          <w:numId w:val="2"/>
        </w:numPr>
        <w:tabs>
          <w:tab w:val="clear" w:pos="1070"/>
          <w:tab w:val="num" w:pos="709"/>
          <w:tab w:val="left" w:pos="1418"/>
        </w:tabs>
        <w:spacing w:before="0"/>
        <w:ind w:left="284" w:firstLine="0"/>
        <w:rPr>
          <w:rFonts w:cs="Times New Roman"/>
          <w:sz w:val="22"/>
          <w:szCs w:val="22"/>
          <w:lang w:val="el-GR"/>
        </w:rPr>
      </w:pPr>
      <w:r w:rsidRPr="008A50A5">
        <w:rPr>
          <w:rFonts w:cs="Times New Roman"/>
          <w:sz w:val="22"/>
          <w:szCs w:val="22"/>
          <w:lang w:val="el-GR"/>
        </w:rPr>
        <w:t xml:space="preserve">Ενεργό έλκος του γαστρεντερικού,  αιμορραγίες  ή διάτρηση </w:t>
      </w:r>
    </w:p>
    <w:p w:rsidR="00C4383A" w:rsidRPr="008A50A5" w:rsidRDefault="00C4383A" w:rsidP="00C174CF">
      <w:pPr>
        <w:pStyle w:val="Text"/>
        <w:numPr>
          <w:ilvl w:val="0"/>
          <w:numId w:val="2"/>
        </w:numPr>
        <w:tabs>
          <w:tab w:val="clear" w:pos="1070"/>
          <w:tab w:val="num" w:pos="709"/>
          <w:tab w:val="left" w:pos="852"/>
        </w:tabs>
        <w:spacing w:before="0"/>
        <w:ind w:left="284" w:firstLine="0"/>
        <w:rPr>
          <w:rFonts w:cs="Times New Roman"/>
          <w:sz w:val="22"/>
          <w:szCs w:val="22"/>
          <w:lang w:val="el-GR"/>
        </w:rPr>
      </w:pPr>
      <w:r w:rsidRPr="008A50A5">
        <w:rPr>
          <w:rFonts w:cs="Times New Roman"/>
          <w:sz w:val="22"/>
          <w:szCs w:val="22"/>
          <w:lang w:val="el-GR"/>
        </w:rPr>
        <w:t>Ιστορικό γαστρεντερικής αιμορραγίας ή διάτρησης, που σχετίζεται με προηγούμενη θεραπεία με ΜΣΑΦ. Ενεργό γαστρικό έλκος ή ιστορικό υποτροπιάζοντος πεπτικού</w:t>
      </w:r>
      <w:r w:rsidR="00315BEC" w:rsidRPr="008A50A5">
        <w:rPr>
          <w:rFonts w:cs="Times New Roman"/>
          <w:sz w:val="22"/>
          <w:szCs w:val="22"/>
          <w:lang w:val="el-GR"/>
        </w:rPr>
        <w:t xml:space="preserve"> </w:t>
      </w:r>
      <w:r w:rsidRPr="008A50A5">
        <w:rPr>
          <w:rFonts w:cs="Times New Roman"/>
          <w:sz w:val="22"/>
          <w:szCs w:val="22"/>
          <w:lang w:val="el-GR"/>
        </w:rPr>
        <w:t>έλκους/αιμορραγίας (δύο ή περισσότερα διακριτά επεισόδια αποδεδειγμένου έλκους ή αιμορραγίας)</w:t>
      </w:r>
    </w:p>
    <w:p w:rsidR="00C4383A" w:rsidRPr="008A50A5" w:rsidRDefault="00C4383A" w:rsidP="00C174CF">
      <w:pPr>
        <w:pStyle w:val="Text"/>
        <w:numPr>
          <w:ilvl w:val="0"/>
          <w:numId w:val="2"/>
        </w:numPr>
        <w:tabs>
          <w:tab w:val="clear" w:pos="1070"/>
          <w:tab w:val="num" w:pos="709"/>
          <w:tab w:val="left" w:pos="1418"/>
        </w:tabs>
        <w:spacing w:before="0"/>
        <w:ind w:left="284" w:firstLine="0"/>
        <w:rPr>
          <w:rFonts w:cs="Times New Roman"/>
          <w:sz w:val="22"/>
          <w:szCs w:val="22"/>
          <w:lang w:val="el-GR"/>
        </w:rPr>
      </w:pPr>
      <w:r w:rsidRPr="008A50A5">
        <w:rPr>
          <w:rFonts w:cs="Times New Roman"/>
          <w:sz w:val="22"/>
          <w:szCs w:val="22"/>
          <w:lang w:val="el-GR"/>
        </w:rPr>
        <w:t xml:space="preserve">Τελευταίο τρίμηνο κύησης (βλέπε </w:t>
      </w:r>
      <w:r w:rsidRPr="008A50A5">
        <w:rPr>
          <w:rFonts w:cs="Times New Roman"/>
          <w:b/>
          <w:sz w:val="22"/>
          <w:szCs w:val="22"/>
          <w:lang w:val="el-GR"/>
        </w:rPr>
        <w:t>Λήμμα 4.6</w:t>
      </w:r>
      <w:r w:rsidRPr="008A50A5">
        <w:rPr>
          <w:rFonts w:cs="Times New Roman"/>
          <w:sz w:val="22"/>
          <w:szCs w:val="22"/>
          <w:lang w:val="el-GR"/>
        </w:rPr>
        <w:t>)</w:t>
      </w:r>
    </w:p>
    <w:p w:rsidR="00C4383A" w:rsidRPr="008A50A5" w:rsidRDefault="00C4383A" w:rsidP="00C174CF">
      <w:pPr>
        <w:pStyle w:val="Text"/>
        <w:numPr>
          <w:ilvl w:val="0"/>
          <w:numId w:val="2"/>
        </w:numPr>
        <w:tabs>
          <w:tab w:val="clear" w:pos="1070"/>
          <w:tab w:val="num" w:pos="709"/>
          <w:tab w:val="left" w:pos="1418"/>
        </w:tabs>
        <w:spacing w:before="0"/>
        <w:ind w:left="284" w:firstLine="0"/>
        <w:rPr>
          <w:rFonts w:cs="Times New Roman"/>
          <w:sz w:val="22"/>
          <w:szCs w:val="22"/>
          <w:lang w:val="el-GR"/>
        </w:rPr>
      </w:pPr>
      <w:r w:rsidRPr="008A50A5">
        <w:rPr>
          <w:rFonts w:cs="Times New Roman"/>
          <w:sz w:val="22"/>
          <w:szCs w:val="22"/>
          <w:lang w:val="el-GR"/>
        </w:rPr>
        <w:t xml:space="preserve">Σοβαρή ηπατική, νεφρική ή βαριά καρδιακή ανεπάρκεια (βλέπε </w:t>
      </w:r>
      <w:r w:rsidRPr="008A50A5">
        <w:rPr>
          <w:rFonts w:cs="Times New Roman"/>
          <w:b/>
          <w:sz w:val="22"/>
          <w:szCs w:val="22"/>
          <w:lang w:val="el-GR"/>
        </w:rPr>
        <w:t>Λήμμα 4.4 Ειδικές προειδοποιήσεις και προφυλάξεις κατά τη χρήση</w:t>
      </w:r>
      <w:r w:rsidRPr="008A50A5">
        <w:rPr>
          <w:rFonts w:cs="Times New Roman"/>
          <w:sz w:val="22"/>
          <w:szCs w:val="22"/>
          <w:lang w:val="el-GR"/>
        </w:rPr>
        <w:t>)</w:t>
      </w:r>
    </w:p>
    <w:p w:rsidR="00C4383A" w:rsidRPr="008A50A5" w:rsidRDefault="00C4383A" w:rsidP="00C174CF">
      <w:pPr>
        <w:pStyle w:val="Text"/>
        <w:numPr>
          <w:ilvl w:val="0"/>
          <w:numId w:val="2"/>
        </w:numPr>
        <w:tabs>
          <w:tab w:val="clear" w:pos="1070"/>
          <w:tab w:val="num" w:pos="709"/>
          <w:tab w:val="left" w:pos="1418"/>
        </w:tabs>
        <w:spacing w:before="0"/>
        <w:ind w:left="284" w:firstLine="0"/>
        <w:rPr>
          <w:rFonts w:cs="Times New Roman"/>
          <w:sz w:val="22"/>
          <w:szCs w:val="22"/>
          <w:lang w:val="el-GR"/>
        </w:rPr>
      </w:pPr>
      <w:r w:rsidRPr="008A50A5">
        <w:rPr>
          <w:rFonts w:cs="Times New Roman"/>
          <w:sz w:val="22"/>
          <w:szCs w:val="22"/>
          <w:lang w:val="el-GR"/>
        </w:rPr>
        <w:t>Όπως και άλλα ΜΣΑΦ, το Voltaren Acti-Go  αντενδείκνυται σε ασθενείς στους οποίους οι κρίσεις άσθματος, αγγειοοιδήματος, κνίδωση ή οξεία ρινίτιδα επάγονται από ιβουπροφαίνη,  ακετυλοσαλικυλικό οξύ ή άλλα ΜΣΑΦ.</w:t>
      </w:r>
    </w:p>
    <w:p w:rsidR="00C4383A" w:rsidRPr="008A50A5" w:rsidRDefault="00C4383A" w:rsidP="00C174CF">
      <w:pPr>
        <w:tabs>
          <w:tab w:val="num" w:pos="709"/>
        </w:tabs>
        <w:ind w:left="680"/>
        <w:jc w:val="both"/>
        <w:rPr>
          <w:rFonts w:cs="Times New Roman"/>
          <w:sz w:val="22"/>
          <w:szCs w:val="22"/>
          <w:lang w:val="el-GR"/>
        </w:rPr>
      </w:pPr>
    </w:p>
    <w:p w:rsidR="00610111" w:rsidRDefault="00610111" w:rsidP="00C174CF">
      <w:pPr>
        <w:jc w:val="both"/>
        <w:rPr>
          <w:rFonts w:cs="Times New Roman"/>
          <w:b/>
          <w:i/>
          <w:sz w:val="22"/>
          <w:szCs w:val="22"/>
          <w:lang w:val="el-GR"/>
        </w:rPr>
      </w:pPr>
    </w:p>
    <w:p w:rsidR="00C4383A" w:rsidRPr="008A50A5" w:rsidRDefault="00C4383A" w:rsidP="00C174CF">
      <w:pPr>
        <w:jc w:val="both"/>
        <w:rPr>
          <w:rFonts w:cs="Times New Roman"/>
          <w:b/>
          <w:i/>
          <w:sz w:val="22"/>
          <w:szCs w:val="22"/>
          <w:lang w:val="el-GR"/>
        </w:rPr>
      </w:pPr>
      <w:r w:rsidRPr="008A50A5">
        <w:rPr>
          <w:rFonts w:cs="Times New Roman"/>
          <w:b/>
          <w:i/>
          <w:sz w:val="22"/>
          <w:szCs w:val="22"/>
          <w:lang w:val="el-GR"/>
        </w:rPr>
        <w:t>4.4</w:t>
      </w:r>
      <w:r w:rsidRPr="008A50A5">
        <w:rPr>
          <w:rFonts w:cs="Times New Roman"/>
          <w:b/>
          <w:i/>
          <w:sz w:val="22"/>
          <w:szCs w:val="22"/>
          <w:lang w:val="el-GR"/>
        </w:rPr>
        <w:tab/>
        <w:t>Ειδικές προειδοποιήσεις και προφυλάξεις κατά τη χρήση</w:t>
      </w:r>
    </w:p>
    <w:p w:rsidR="00C4383A" w:rsidRPr="008A50A5" w:rsidRDefault="00C4383A" w:rsidP="00C174CF">
      <w:pPr>
        <w:jc w:val="both"/>
        <w:rPr>
          <w:rFonts w:cs="Times New Roman"/>
          <w:sz w:val="22"/>
          <w:szCs w:val="22"/>
          <w:lang w:val="el-GR"/>
        </w:rPr>
      </w:pPr>
    </w:p>
    <w:p w:rsidR="00C4383A" w:rsidRPr="008A50A5" w:rsidRDefault="00C4383A" w:rsidP="00C174CF">
      <w:pPr>
        <w:pStyle w:val="Text"/>
        <w:spacing w:before="0" w:after="120"/>
        <w:ind w:right="418"/>
        <w:rPr>
          <w:rFonts w:cs="Times New Roman"/>
          <w:b/>
          <w:sz w:val="22"/>
          <w:szCs w:val="22"/>
          <w:lang w:val="el-GR"/>
        </w:rPr>
      </w:pPr>
      <w:r w:rsidRPr="008A50A5">
        <w:rPr>
          <w:rFonts w:cs="Times New Roman"/>
          <w:b/>
          <w:sz w:val="22"/>
          <w:szCs w:val="22"/>
          <w:lang w:val="el-GR"/>
        </w:rPr>
        <w:t>Γενικά</w:t>
      </w:r>
    </w:p>
    <w:p w:rsidR="00C4383A" w:rsidRPr="008A50A5" w:rsidRDefault="00C4383A" w:rsidP="00C174CF">
      <w:pPr>
        <w:spacing w:after="120"/>
        <w:ind w:right="-1"/>
        <w:jc w:val="both"/>
        <w:rPr>
          <w:rFonts w:eastAsia="MS Mincho" w:cs="Times New Roman"/>
          <w:sz w:val="22"/>
          <w:szCs w:val="22"/>
          <w:lang w:val="el-GR"/>
        </w:rPr>
      </w:pPr>
      <w:r w:rsidRPr="008A50A5">
        <w:rPr>
          <w:rFonts w:eastAsia="MS Mincho" w:cs="Times New Roman"/>
          <w:sz w:val="22"/>
          <w:szCs w:val="22"/>
          <w:lang w:val="el-GR"/>
        </w:rPr>
        <w:t>Οι ανεπιθύμητες ενέργειες μπορούν να ελαχιστοποιηθούν χρησιμοποιώντας την κατώτατη αποτελεσματική δόση για την πλέον μικρή  διάρκεια θεραπείας  την αναγκαία για τον έλεγχο των συμπτωμάτων (βλέπε Λήμμα 4.2, και κινδύνους από το γαστρεντερικό  καρδιαγγειακό σύστημα, πιο</w:t>
      </w:r>
      <w:r w:rsidRPr="008A50A5">
        <w:rPr>
          <w:rFonts w:cs="Times New Roman"/>
          <w:sz w:val="22"/>
          <w:szCs w:val="22"/>
          <w:shd w:val="clear" w:color="auto" w:fill="00FFFF"/>
          <w:lang w:val="el-GR"/>
        </w:rPr>
        <w:t xml:space="preserve"> </w:t>
      </w:r>
      <w:r w:rsidRPr="008A50A5">
        <w:rPr>
          <w:rFonts w:eastAsia="MS Mincho" w:cs="Times New Roman"/>
          <w:sz w:val="22"/>
          <w:szCs w:val="22"/>
          <w:lang w:val="el-GR"/>
        </w:rPr>
        <w:t>κάτω).</w:t>
      </w:r>
    </w:p>
    <w:p w:rsidR="00C4383A" w:rsidRPr="008A50A5" w:rsidRDefault="00C4383A" w:rsidP="00C174CF">
      <w:pPr>
        <w:pStyle w:val="Text"/>
        <w:spacing w:before="0" w:after="120"/>
        <w:ind w:right="-1"/>
        <w:rPr>
          <w:rFonts w:cs="Times New Roman"/>
          <w:sz w:val="22"/>
          <w:szCs w:val="22"/>
          <w:lang w:val="el-GR"/>
        </w:rPr>
      </w:pPr>
      <w:r w:rsidRPr="008A50A5">
        <w:rPr>
          <w:rFonts w:cs="Times New Roman"/>
          <w:sz w:val="22"/>
          <w:szCs w:val="22"/>
          <w:lang w:val="el-GR"/>
        </w:rPr>
        <w:t>Η ταυτόχρονη χρήση της δικλοφαινάκης με συστηματικά ΜΣΑΦ, συμπεριλαμβανομένων των εκλεκτικών αναστολέων της κυκλοοξυγενάσης-2, πρέπει να αποφεύγεται λόγω του ενδεχόμενου επιπρόσθετων ανεπιθύμητων ενεργειών.</w:t>
      </w:r>
    </w:p>
    <w:p w:rsidR="00C4383A" w:rsidRPr="008A50A5" w:rsidRDefault="00C4383A" w:rsidP="00C174CF">
      <w:pPr>
        <w:pStyle w:val="Text"/>
        <w:tabs>
          <w:tab w:val="left" w:pos="6732"/>
        </w:tabs>
        <w:spacing w:before="0" w:after="120"/>
        <w:ind w:right="-1"/>
        <w:rPr>
          <w:rFonts w:cs="Times New Roman"/>
          <w:sz w:val="22"/>
          <w:szCs w:val="22"/>
          <w:lang w:val="el-GR"/>
        </w:rPr>
      </w:pPr>
      <w:r w:rsidRPr="008A50A5">
        <w:rPr>
          <w:rFonts w:cs="Times New Roman"/>
          <w:sz w:val="22"/>
          <w:szCs w:val="22"/>
          <w:lang w:val="el-GR"/>
        </w:rPr>
        <w:t>Ιδιαίτερη προσοχή απαιτείται για τους ηλικιωμένους ασθενείς. Ιδιαίτερα συνιστάται η χρήση της κατώτατης αποτελεσματικής δόσης σε ηλικιωμένους που είναι εξασθενημένοι ή χαμηλού σωματικού βάρους</w:t>
      </w:r>
    </w:p>
    <w:p w:rsidR="00C4383A" w:rsidRPr="008A50A5" w:rsidRDefault="00C4383A" w:rsidP="00C174CF">
      <w:pPr>
        <w:pStyle w:val="Text"/>
        <w:tabs>
          <w:tab w:val="left" w:pos="6732"/>
        </w:tabs>
        <w:spacing w:before="0" w:after="120"/>
        <w:ind w:right="-1"/>
        <w:rPr>
          <w:rFonts w:cs="Times New Roman"/>
          <w:sz w:val="22"/>
          <w:szCs w:val="22"/>
          <w:lang w:val="el-GR"/>
        </w:rPr>
      </w:pPr>
      <w:r w:rsidRPr="008A50A5">
        <w:rPr>
          <w:rFonts w:cs="Times New Roman"/>
          <w:sz w:val="22"/>
          <w:szCs w:val="22"/>
          <w:lang w:val="el-GR"/>
        </w:rPr>
        <w:t>Όπως και με τη χρήση άλλων ΜΣΑΦ, σε σπάνιες περιπτώσεις μπορεί να εμφανιστούν αντιδράσεις υπερευαισθησίας με τη δικλοφαινάκη, χωρίς προηγούμενη έκθεση, συμπεριλαμβανομένων αναφυλακτικών/ αναφυλακτοειδών αντιδράσεων .</w:t>
      </w:r>
    </w:p>
    <w:p w:rsidR="00C4383A" w:rsidRPr="008A50A5" w:rsidRDefault="00C4383A" w:rsidP="00C174CF">
      <w:pPr>
        <w:pStyle w:val="Text"/>
        <w:tabs>
          <w:tab w:val="left" w:pos="6732"/>
        </w:tabs>
        <w:spacing w:before="0" w:after="120"/>
        <w:ind w:right="-1"/>
        <w:rPr>
          <w:rFonts w:cs="Times New Roman"/>
          <w:sz w:val="22"/>
          <w:szCs w:val="22"/>
          <w:lang w:val="el-GR"/>
        </w:rPr>
      </w:pPr>
      <w:r w:rsidRPr="008A50A5">
        <w:rPr>
          <w:rFonts w:cs="Times New Roman"/>
          <w:sz w:val="22"/>
          <w:szCs w:val="22"/>
          <w:lang w:val="el-GR"/>
        </w:rPr>
        <w:t xml:space="preserve">Όπως άλλα ΜΣΑΦ, η δικλοφαινάκη μπορεί να εμποδίσει την εμφάνιση  των  συμπτωμάτων μιας λοίμωξης, λόγω των φαρμακοδυναμικών ιδιοτήτων του. </w:t>
      </w:r>
    </w:p>
    <w:p w:rsidR="00C4383A" w:rsidRPr="008A50A5" w:rsidRDefault="00C4383A" w:rsidP="00C174CF">
      <w:pPr>
        <w:pStyle w:val="Text"/>
        <w:spacing w:before="0" w:after="120"/>
        <w:ind w:right="-1"/>
        <w:rPr>
          <w:rFonts w:cs="Times New Roman"/>
          <w:sz w:val="22"/>
          <w:szCs w:val="22"/>
          <w:lang w:val="el-GR"/>
        </w:rPr>
      </w:pPr>
      <w:r w:rsidRPr="008A50A5">
        <w:rPr>
          <w:rFonts w:cs="Times New Roman"/>
          <w:sz w:val="22"/>
          <w:szCs w:val="22"/>
          <w:lang w:val="el-GR"/>
        </w:rPr>
        <w:t xml:space="preserve">Τα επικαλυμμένα δισκία </w:t>
      </w:r>
      <w:r w:rsidRPr="008A50A5">
        <w:rPr>
          <w:rFonts w:cs="Times New Roman"/>
          <w:sz w:val="22"/>
          <w:szCs w:val="22"/>
        </w:rPr>
        <w:t>Voltaren</w:t>
      </w:r>
      <w:r w:rsidRPr="008A50A5">
        <w:rPr>
          <w:rFonts w:cs="Times New Roman"/>
          <w:sz w:val="22"/>
          <w:szCs w:val="22"/>
          <w:lang w:val="el-GR"/>
        </w:rPr>
        <w:t xml:space="preserve"> </w:t>
      </w:r>
      <w:r w:rsidRPr="008A50A5">
        <w:rPr>
          <w:rFonts w:cs="Times New Roman"/>
          <w:sz w:val="22"/>
          <w:szCs w:val="22"/>
        </w:rPr>
        <w:t>Acti</w:t>
      </w:r>
      <w:r w:rsidRPr="008A50A5">
        <w:rPr>
          <w:rFonts w:cs="Times New Roman"/>
          <w:sz w:val="22"/>
          <w:szCs w:val="22"/>
          <w:lang w:val="el-GR"/>
        </w:rPr>
        <w:t>-</w:t>
      </w:r>
      <w:r w:rsidRPr="008A50A5">
        <w:rPr>
          <w:rFonts w:cs="Times New Roman"/>
          <w:sz w:val="22"/>
          <w:szCs w:val="22"/>
        </w:rPr>
        <w:t>Go</w:t>
      </w:r>
      <w:r w:rsidRPr="008A50A5">
        <w:rPr>
          <w:rFonts w:cs="Times New Roman"/>
          <w:sz w:val="22"/>
          <w:szCs w:val="22"/>
          <w:lang w:val="el-GR"/>
        </w:rPr>
        <w:t xml:space="preserve"> 12,5</w:t>
      </w:r>
      <w:r w:rsidRPr="008A50A5">
        <w:rPr>
          <w:rFonts w:cs="Times New Roman"/>
          <w:sz w:val="22"/>
          <w:szCs w:val="22"/>
          <w:lang w:val="en-US"/>
        </w:rPr>
        <w:t>mg</w:t>
      </w:r>
      <w:r w:rsidRPr="008A50A5">
        <w:rPr>
          <w:rFonts w:cs="Times New Roman"/>
          <w:sz w:val="22"/>
          <w:szCs w:val="22"/>
          <w:lang w:val="el-GR"/>
        </w:rPr>
        <w:t xml:space="preserve"> περιέχουν </w:t>
      </w:r>
      <w:r w:rsidRPr="008A50A5">
        <w:rPr>
          <w:rFonts w:cs="Times New Roman"/>
          <w:b/>
          <w:sz w:val="22"/>
          <w:szCs w:val="22"/>
          <w:lang w:val="el-GR"/>
        </w:rPr>
        <w:t>λακτόζη</w:t>
      </w:r>
      <w:r w:rsidRPr="008A50A5">
        <w:rPr>
          <w:rFonts w:cs="Times New Roman"/>
          <w:sz w:val="22"/>
          <w:szCs w:val="22"/>
          <w:lang w:val="el-GR"/>
        </w:rPr>
        <w:t xml:space="preserve"> και γι’ αυτόν το λόγο</w:t>
      </w:r>
      <w:r w:rsidR="00C174CF">
        <w:rPr>
          <w:rFonts w:cs="Times New Roman"/>
          <w:sz w:val="22"/>
          <w:szCs w:val="22"/>
          <w:lang w:val="el-GR"/>
        </w:rPr>
        <w:t xml:space="preserve"> </w:t>
      </w:r>
      <w:r w:rsidRPr="008A50A5">
        <w:rPr>
          <w:rFonts w:cs="Times New Roman"/>
          <w:sz w:val="22"/>
          <w:szCs w:val="22"/>
          <w:lang w:val="el-GR"/>
        </w:rPr>
        <w:t xml:space="preserve">ασθενείς με σπάνια κληρονομικά προβλήματα δυσανεξίας στη </w:t>
      </w:r>
      <w:r w:rsidRPr="008A50A5">
        <w:rPr>
          <w:rFonts w:cs="Times New Roman"/>
          <w:b/>
          <w:sz w:val="22"/>
          <w:szCs w:val="22"/>
          <w:lang w:val="el-GR"/>
        </w:rPr>
        <w:t>λακτόζη</w:t>
      </w:r>
      <w:r w:rsidRPr="008A50A5">
        <w:rPr>
          <w:rFonts w:cs="Times New Roman"/>
          <w:sz w:val="22"/>
          <w:szCs w:val="22"/>
          <w:lang w:val="el-GR"/>
        </w:rPr>
        <w:t xml:space="preserve">, </w:t>
      </w:r>
      <w:r w:rsidRPr="008A50A5">
        <w:rPr>
          <w:rFonts w:cs="Times New Roman"/>
          <w:b/>
          <w:sz w:val="22"/>
          <w:szCs w:val="22"/>
          <w:lang w:val="el-GR"/>
        </w:rPr>
        <w:t xml:space="preserve">σοβαρής ανεπάρκειας </w:t>
      </w:r>
      <w:r w:rsidRPr="008A50A5">
        <w:rPr>
          <w:rFonts w:cs="Times New Roman"/>
          <w:b/>
          <w:sz w:val="22"/>
          <w:szCs w:val="22"/>
          <w:lang w:val="en-US"/>
        </w:rPr>
        <w:t>Lapp</w:t>
      </w:r>
      <w:r w:rsidRPr="008A50A5">
        <w:rPr>
          <w:rFonts w:cs="Times New Roman"/>
          <w:b/>
          <w:sz w:val="22"/>
          <w:szCs w:val="22"/>
          <w:lang w:val="el-GR"/>
        </w:rPr>
        <w:t xml:space="preserve"> λακτάσης</w:t>
      </w:r>
      <w:r w:rsidRPr="008A50A5">
        <w:rPr>
          <w:rFonts w:cs="Times New Roman"/>
          <w:sz w:val="22"/>
          <w:szCs w:val="22"/>
          <w:lang w:val="el-GR"/>
        </w:rPr>
        <w:t xml:space="preserve"> ή δυσαπορρόφησης της γλυκόζης/ γαλακτόζης δεν πρέπει να λαμβάνουν αυτό το φάρμακο.</w:t>
      </w:r>
    </w:p>
    <w:p w:rsidR="00C4383A" w:rsidRPr="008A50A5" w:rsidRDefault="00C4383A" w:rsidP="00C174CF">
      <w:pPr>
        <w:pStyle w:val="Text"/>
        <w:spacing w:before="0" w:after="120"/>
        <w:ind w:right="418"/>
        <w:rPr>
          <w:rFonts w:cs="Times New Roman"/>
          <w:i/>
          <w:sz w:val="22"/>
          <w:szCs w:val="22"/>
          <w:u w:val="single"/>
          <w:lang w:val="el-GR"/>
        </w:rPr>
      </w:pPr>
    </w:p>
    <w:p w:rsidR="00C4383A" w:rsidRPr="008A50A5" w:rsidRDefault="00C4383A" w:rsidP="00C174CF">
      <w:pPr>
        <w:spacing w:after="120"/>
        <w:ind w:right="86"/>
        <w:jc w:val="both"/>
        <w:rPr>
          <w:rFonts w:eastAsia="MS Mincho" w:cs="Times New Roman"/>
          <w:i/>
          <w:sz w:val="22"/>
          <w:szCs w:val="22"/>
          <w:u w:val="single"/>
          <w:lang w:val="el-GR"/>
        </w:rPr>
      </w:pPr>
      <w:r w:rsidRPr="008A50A5">
        <w:rPr>
          <w:rFonts w:eastAsia="MS Mincho" w:cs="Times New Roman"/>
          <w:i/>
          <w:sz w:val="22"/>
          <w:szCs w:val="22"/>
          <w:u w:val="single"/>
          <w:lang w:val="el-GR"/>
        </w:rPr>
        <w:t>Για την ένδειξη της κεφαλαλγίας σε βραχυχρόνια θεραπεία με τις από του στόματος μορφές χαμηλής περιεκτικότητας.</w:t>
      </w:r>
    </w:p>
    <w:p w:rsidR="00C4383A" w:rsidRPr="008A50A5" w:rsidRDefault="00C4383A" w:rsidP="00C174CF">
      <w:pPr>
        <w:spacing w:after="120"/>
        <w:ind w:right="86"/>
        <w:jc w:val="both"/>
        <w:rPr>
          <w:rFonts w:eastAsia="MS Mincho" w:cs="Times New Roman"/>
          <w:sz w:val="22"/>
          <w:szCs w:val="22"/>
          <w:lang w:val="el-GR"/>
        </w:rPr>
      </w:pPr>
      <w:r w:rsidRPr="008A50A5">
        <w:rPr>
          <w:rFonts w:eastAsia="MS Mincho" w:cs="Times New Roman"/>
          <w:sz w:val="22"/>
          <w:szCs w:val="22"/>
          <w:lang w:val="el-GR"/>
        </w:rPr>
        <w:t>Η παρατεταμένη χρήση οποιουδήποτε τύπου αναλγητικού για κεφαλαλγίες μπορεί να τις χειροτερεύσει. Εάν υπάρχει υποψία ή παρουσιαστεί ανάλογη κατάσταση, πρέπει να ζητηθεί ιατρική συμβουλή και να διακοπεί η θεραπεία. Η διάγνωση της κεφαλαλγίας από κατάχρηση αναλγητικών πρέπει να θεωρηθεί πιθανή σε ασθενείς που παρουσιάζουν συχνούς ή καθημερινούς πονοκεφάλους, παρά την συχνή χρήση αναλγητικών (ή εξαιτίας αυτού).</w:t>
      </w:r>
    </w:p>
    <w:p w:rsidR="00C4383A" w:rsidRPr="008A50A5" w:rsidRDefault="00C4383A" w:rsidP="00C174CF">
      <w:pPr>
        <w:pStyle w:val="Text"/>
        <w:spacing w:before="0" w:after="120"/>
        <w:ind w:right="418"/>
        <w:rPr>
          <w:rFonts w:cs="Times New Roman"/>
          <w:sz w:val="22"/>
          <w:szCs w:val="22"/>
          <w:lang w:val="el-GR"/>
        </w:rPr>
      </w:pPr>
    </w:p>
    <w:p w:rsidR="00C4383A" w:rsidRPr="008A50A5" w:rsidRDefault="00C4383A" w:rsidP="00C174CF">
      <w:pPr>
        <w:pStyle w:val="Text"/>
        <w:spacing w:before="0" w:after="120"/>
        <w:ind w:right="418"/>
        <w:rPr>
          <w:rFonts w:cs="Times New Roman"/>
          <w:b/>
          <w:sz w:val="22"/>
          <w:szCs w:val="22"/>
          <w:lang w:val="el-GR"/>
        </w:rPr>
      </w:pPr>
      <w:r w:rsidRPr="008A50A5">
        <w:rPr>
          <w:rFonts w:cs="Times New Roman"/>
          <w:b/>
          <w:sz w:val="22"/>
          <w:szCs w:val="22"/>
          <w:lang w:val="el-GR"/>
        </w:rPr>
        <w:t>Γαστρεντερικές επιδράσεις</w:t>
      </w:r>
    </w:p>
    <w:p w:rsidR="00C4383A" w:rsidRPr="008A50A5" w:rsidRDefault="00C4383A" w:rsidP="00C174CF">
      <w:pPr>
        <w:tabs>
          <w:tab w:val="left" w:pos="6732"/>
        </w:tabs>
        <w:jc w:val="both"/>
        <w:rPr>
          <w:rFonts w:cs="Times New Roman"/>
          <w:sz w:val="22"/>
          <w:szCs w:val="22"/>
          <w:lang w:val="el-GR"/>
        </w:rPr>
      </w:pPr>
      <w:r w:rsidRPr="008A50A5">
        <w:rPr>
          <w:rFonts w:cs="Times New Roman"/>
          <w:sz w:val="22"/>
          <w:szCs w:val="22"/>
          <w:lang w:val="el-GR"/>
        </w:rPr>
        <w:t>Γαστρεντερική αιμορραγία, έλκος ή διάτρηση, οι οποίες μπορεί να αποβούν μοιραίες έχουν αναφερθεί με όλα τα ΜΣΑΦ, συμπεριλαμβανομένης της δικλοφαινάκης και μπορεί να εμφανιστούν οποιαδήποτε στιγμή κατά τη θεραπεία, με ή χωρίς προειδοποιητικά συμπτώματα ή προηγούμενο ιστορικό σοβαρών γαστρεντερικών συμβάντων. Αυτά έχουν, γενικά, μεγαλύτερες επιπτώσεις στους ηλικιωμένους. Εάν εμφανιστεί γαστρεντερική αιμορραγία ή έλκος σε ασθενείς που λαμβάνουν δικλοφαινάκη, πρέπει να διακοπεί η λήψη του φαρμάκου.</w:t>
      </w:r>
    </w:p>
    <w:p w:rsidR="00C4383A" w:rsidRPr="008A50A5" w:rsidRDefault="00C4383A" w:rsidP="00C174CF">
      <w:pPr>
        <w:pStyle w:val="Text"/>
        <w:spacing w:before="0" w:after="120"/>
        <w:rPr>
          <w:rFonts w:cs="Times New Roman"/>
          <w:sz w:val="22"/>
          <w:szCs w:val="22"/>
          <w:lang w:val="el-GR"/>
        </w:rPr>
      </w:pPr>
      <w:r w:rsidRPr="008A50A5">
        <w:rPr>
          <w:rFonts w:cs="Times New Roman"/>
          <w:sz w:val="22"/>
          <w:szCs w:val="22"/>
          <w:lang w:val="el-GR"/>
        </w:rPr>
        <w:t>Όπως με όλα τα ΜΣΑΦ, συμπεριλαμβανομένης της δικλοφαινάκης, στενή ιατρική παρακολούθηση  και ιδιαίτερη προσοχή απαιτούνται όταν συνταγογραφείται η δικλοφαινάκη σε ασθενείς με συμπτώματα γαστρεντερικών διαταραχών ή με ιστορικό που υποδηλώνει γαστρικό ή εντερικό έλκος, αιμορραγία ή διάτρηση (βλ. 4.8). Ο κίνδυνος γαστρεντερικής αιμορραγίας είναι υψηλότερος με αυξημένες δόσεις ΜΣΑΦ, καθώς και σε ασθενείς με ιστορικό έλκους (ειδικά εάν εμφανίζεται και αιμορραγία ή διάτρηση). Οι ηλικιωμένοι έχουν αυξημένη συχνότητα ανεπιθύμητων ενεργειών από τα ΜΣΑΦ, ιδιαίτερα γαστρεντερική αιμορραγία και διάτρηση, που μπορεί να είναι θανατηφόρες.</w:t>
      </w:r>
    </w:p>
    <w:p w:rsidR="00C4383A" w:rsidRPr="008A50A5" w:rsidRDefault="00C4383A" w:rsidP="00C174CF">
      <w:pPr>
        <w:pStyle w:val="Text"/>
        <w:tabs>
          <w:tab w:val="left" w:pos="6732"/>
        </w:tabs>
        <w:spacing w:before="0" w:after="120"/>
        <w:rPr>
          <w:rFonts w:cs="Times New Roman"/>
          <w:sz w:val="22"/>
          <w:szCs w:val="22"/>
          <w:lang w:val="el-GR"/>
        </w:rPr>
      </w:pPr>
      <w:r w:rsidRPr="008A50A5">
        <w:rPr>
          <w:rFonts w:cs="Times New Roman"/>
          <w:sz w:val="22"/>
          <w:szCs w:val="22"/>
          <w:lang w:val="el-GR"/>
        </w:rPr>
        <w:t>Για να μειωθεί ο κίνδυνος της τοξικότητας από το γαστρεντερικό</w:t>
      </w:r>
      <w:r w:rsidR="0001195B" w:rsidRPr="008A50A5">
        <w:rPr>
          <w:rFonts w:cs="Times New Roman"/>
          <w:sz w:val="22"/>
          <w:szCs w:val="22"/>
          <w:lang w:val="el-GR"/>
        </w:rPr>
        <w:t>,</w:t>
      </w:r>
      <w:r w:rsidRPr="008A50A5">
        <w:rPr>
          <w:rFonts w:cs="Times New Roman"/>
          <w:sz w:val="22"/>
          <w:szCs w:val="22"/>
          <w:lang w:val="el-GR"/>
        </w:rPr>
        <w:t xml:space="preserve"> σε ασθενείς  με ιστορικό έλκους, ειδικά εάν εμπλέκεται αιμορραγία ή διάτρηση και σε ηλικιωμένους, η θεραπεία πρέπει να ξεκινά και να διατηρείται στη χαμηλότερη αποτελεσματική δόση. </w:t>
      </w:r>
    </w:p>
    <w:p w:rsidR="00C4383A" w:rsidRPr="008A50A5" w:rsidRDefault="00C4383A" w:rsidP="00C174CF">
      <w:pPr>
        <w:pStyle w:val="Text"/>
        <w:spacing w:before="0" w:after="120"/>
        <w:ind w:right="66"/>
        <w:rPr>
          <w:rFonts w:cs="Times New Roman"/>
          <w:sz w:val="22"/>
          <w:szCs w:val="22"/>
          <w:lang w:val="el-GR"/>
        </w:rPr>
      </w:pPr>
      <w:r w:rsidRPr="008A50A5">
        <w:rPr>
          <w:rFonts w:cs="Times New Roman"/>
          <w:sz w:val="22"/>
          <w:szCs w:val="22"/>
          <w:lang w:val="el-GR"/>
        </w:rPr>
        <w:lastRenderedPageBreak/>
        <w:t>Θεραπεία συνδυασμού με προστατευτικούς παράγοντες (π.χ. αναστολείς της αντλίας πρωτονίων ή μισοπροστόλη) θα πρέπει να αξιολογείται για τους ασθενείς αυτούς, όπως και για τους ασθενείς στους οποίους απαιτείται ταυτόχρονη χρήση φαρμακευτικών προϊόντων που περιέχουν χαμηλή δόση ακετυλοσαλικυλικού οξέος/ασπιρίνης ή άλλων προϊόντων που πιθανόν να αυξήσουν τους κινδύνους από το γαστρεντερικό.</w:t>
      </w:r>
    </w:p>
    <w:p w:rsidR="00C4383A" w:rsidRPr="008A50A5" w:rsidRDefault="00C4383A" w:rsidP="00C174CF">
      <w:pPr>
        <w:pStyle w:val="Text"/>
        <w:spacing w:before="0" w:after="120"/>
        <w:ind w:right="66"/>
        <w:rPr>
          <w:rFonts w:cs="Times New Roman"/>
          <w:sz w:val="22"/>
          <w:szCs w:val="22"/>
          <w:lang w:val="el-GR"/>
        </w:rPr>
      </w:pPr>
      <w:r w:rsidRPr="008A50A5">
        <w:rPr>
          <w:rFonts w:cs="Times New Roman"/>
          <w:sz w:val="22"/>
          <w:szCs w:val="22"/>
          <w:lang w:val="el-GR"/>
        </w:rPr>
        <w:t>Οι ασθενείς με ιστορικό τοξικότητας από το γαστρεντερικό και ιδιαίτερα οι ηλικιωμένοι πρέπει να αναφέρουν οποιαδήποτε ασυνήθιστα συμπτώματα στο υπογάστριο (ειδικά αιμορραγία από το γαστρεντερικό). Προσοχή απαιτείται σε ασθενείς που λαμβάνουν ταυτόχρονα φάρμακα που μπορεί να αυξήσουν τον κίνδυνο εξέλκωσης ή αιμορραγίας όπως τα συστηματικά κορτικοστεροειδή, τα αντιθρομβωτικά, οι αντιαιμοπεταλιακοί παράγοντες ή οι εκλεκτικοί αναστολείς επαναπρόσληψης σεροτονίνης (βλ. Λήμμα 4.5).</w:t>
      </w:r>
    </w:p>
    <w:p w:rsidR="00C4383A" w:rsidRPr="008A50A5" w:rsidRDefault="00C4383A" w:rsidP="00C174CF">
      <w:pPr>
        <w:pStyle w:val="Text"/>
        <w:spacing w:before="0" w:after="120"/>
        <w:ind w:right="66"/>
        <w:rPr>
          <w:rFonts w:cs="Times New Roman"/>
          <w:sz w:val="22"/>
          <w:szCs w:val="22"/>
          <w:lang w:val="el-GR"/>
        </w:rPr>
      </w:pPr>
      <w:r w:rsidRPr="008A50A5">
        <w:rPr>
          <w:rFonts w:cs="Times New Roman"/>
          <w:sz w:val="22"/>
          <w:szCs w:val="22"/>
          <w:lang w:val="el-GR"/>
        </w:rPr>
        <w:t>Στενή ιατρική παρακολούθηση και προσοχή απαιτείται, επίσης,  σε ασθενείς με ελκώδη κολίτιδα ή νόσο του Crohn, λόγω της πιθανότητας παρόξυνσης της κατάστασής τους (βλ. Λήμμα 4.8).</w:t>
      </w:r>
    </w:p>
    <w:p w:rsidR="00C4383A" w:rsidRPr="008A50A5" w:rsidRDefault="00C4383A" w:rsidP="00C174CF">
      <w:pPr>
        <w:pStyle w:val="Text"/>
        <w:spacing w:before="0" w:after="120"/>
        <w:ind w:right="66"/>
        <w:rPr>
          <w:rFonts w:cs="Times New Roman"/>
          <w:b/>
          <w:sz w:val="22"/>
          <w:szCs w:val="22"/>
          <w:lang w:val="el-GR"/>
        </w:rPr>
      </w:pPr>
      <w:r w:rsidRPr="008A50A5">
        <w:rPr>
          <w:rFonts w:cs="Times New Roman"/>
          <w:sz w:val="22"/>
          <w:szCs w:val="22"/>
          <w:lang w:val="el-GR"/>
        </w:rPr>
        <w:br/>
      </w:r>
      <w:r w:rsidRPr="008A50A5">
        <w:rPr>
          <w:rFonts w:cs="Times New Roman"/>
          <w:b/>
          <w:sz w:val="22"/>
          <w:szCs w:val="22"/>
          <w:lang w:val="el-GR"/>
        </w:rPr>
        <w:t>Ηπατικές επιδράσεις</w:t>
      </w:r>
    </w:p>
    <w:p w:rsidR="00C4383A" w:rsidRPr="008A50A5" w:rsidRDefault="00C4383A" w:rsidP="00C174CF">
      <w:pPr>
        <w:pStyle w:val="Text"/>
        <w:spacing w:before="0" w:after="120"/>
        <w:ind w:right="66"/>
        <w:rPr>
          <w:rFonts w:cs="Times New Roman"/>
          <w:sz w:val="22"/>
          <w:szCs w:val="22"/>
          <w:lang w:val="el-GR"/>
        </w:rPr>
      </w:pPr>
      <w:r w:rsidRPr="008A50A5">
        <w:rPr>
          <w:rFonts w:cs="Times New Roman"/>
          <w:sz w:val="22"/>
          <w:szCs w:val="22"/>
          <w:lang w:val="el-GR"/>
        </w:rPr>
        <w:t>Στενή ιατρική παρακολούθηση απαιτείται όταν συνταγογραφείται η δικλοφαινάκη σε ασθενείς με επιβαρημένη ηπατική λειτουργία, λόγω της πιθανότητας όξυνσης της κατάστασης τους.</w:t>
      </w:r>
    </w:p>
    <w:p w:rsidR="00C4383A" w:rsidRPr="008A50A5" w:rsidRDefault="00C4383A" w:rsidP="00C174CF">
      <w:pPr>
        <w:pStyle w:val="Text"/>
        <w:spacing w:before="0" w:after="120"/>
        <w:ind w:right="66"/>
        <w:rPr>
          <w:rFonts w:cs="Times New Roman"/>
          <w:sz w:val="22"/>
          <w:szCs w:val="22"/>
          <w:lang w:val="el-GR"/>
        </w:rPr>
      </w:pPr>
      <w:r w:rsidRPr="008A50A5">
        <w:rPr>
          <w:rFonts w:cs="Times New Roman"/>
          <w:sz w:val="22"/>
          <w:szCs w:val="22"/>
          <w:lang w:val="el-GR"/>
        </w:rPr>
        <w:t>Όπως και με άλλα ΜΣΑΦ, περιλαμβανομένης της δικλοφαινάκης, οι τιμές ενός ή περισσοτέρων ηπατικών ενζύμων μπορεί να αυξηθούν. Κατά τη διάρκεια της παρατεταμένης θεραπείας με δικλοφαινάκη ενδείκνυται ως μέτρο προφύλαξης η τακτική παρακολούθηση της ηπατικής λειτουργίας</w:t>
      </w:r>
      <w:r w:rsidR="0001195B" w:rsidRPr="008A50A5">
        <w:rPr>
          <w:rFonts w:cs="Times New Roman"/>
          <w:sz w:val="22"/>
          <w:szCs w:val="22"/>
          <w:lang w:val="el-GR"/>
        </w:rPr>
        <w:t>.</w:t>
      </w:r>
      <w:r w:rsidRPr="008A50A5">
        <w:rPr>
          <w:rFonts w:cs="Times New Roman"/>
          <w:sz w:val="22"/>
          <w:szCs w:val="22"/>
          <w:lang w:val="el-GR"/>
        </w:rPr>
        <w:t xml:space="preserve"> Η δικλοφαινάκη πρέπει να διακοπεί εάν οι δοκιμασίες της μη φυσιολογικής ηπατικής λειτουργίας εμμένουν ή επιδεινωθούν, αναπτυχθούν σημεία ή συμπτώματα σχετικά με ηπατική νόσο ή εμφανισθούν άλλες εκδηλώσεις (π.χ. ηωσηνοφιλία, εξάνθημα). Ηπατίτιδα μπορεί να εμφανισθεί με τη χρήση δικλοφαινάκης, χωρίς πρόδρομα συμπτώματα.</w:t>
      </w:r>
    </w:p>
    <w:p w:rsidR="00C4383A" w:rsidRPr="008A50A5" w:rsidRDefault="00C4383A" w:rsidP="00C174CF">
      <w:pPr>
        <w:pStyle w:val="Text"/>
        <w:spacing w:before="0" w:after="120"/>
        <w:ind w:right="66"/>
        <w:rPr>
          <w:rFonts w:cs="Times New Roman"/>
          <w:sz w:val="22"/>
          <w:szCs w:val="22"/>
          <w:lang w:val="el-GR"/>
        </w:rPr>
      </w:pPr>
      <w:r w:rsidRPr="008A50A5">
        <w:rPr>
          <w:rFonts w:cs="Times New Roman"/>
          <w:sz w:val="22"/>
          <w:szCs w:val="22"/>
          <w:lang w:val="el-GR"/>
        </w:rPr>
        <w:t>Σε ασθενείς με ηπατική πορφυρία συνιστάται ιδιαίτερη προσοχή στη χορήγηση δικλοφαινάκης, καθώς μπορεί να προκληθεί παρόξυνση της νόσου.</w:t>
      </w:r>
    </w:p>
    <w:p w:rsidR="00C4383A" w:rsidRPr="008A50A5" w:rsidRDefault="00C4383A" w:rsidP="00C174CF">
      <w:pPr>
        <w:pStyle w:val="Text"/>
        <w:spacing w:before="0" w:after="120"/>
        <w:ind w:right="66"/>
        <w:rPr>
          <w:rFonts w:cs="Times New Roman"/>
          <w:sz w:val="22"/>
          <w:szCs w:val="22"/>
          <w:lang w:val="el-GR"/>
        </w:rPr>
      </w:pPr>
    </w:p>
    <w:p w:rsidR="00C4383A" w:rsidRPr="008A50A5" w:rsidRDefault="00C4383A" w:rsidP="00C174CF">
      <w:pPr>
        <w:pStyle w:val="Text"/>
        <w:spacing w:before="0" w:after="120"/>
        <w:ind w:right="66"/>
        <w:rPr>
          <w:rFonts w:cs="Times New Roman"/>
          <w:b/>
          <w:sz w:val="22"/>
          <w:szCs w:val="22"/>
          <w:lang w:val="el-GR"/>
        </w:rPr>
      </w:pPr>
      <w:r w:rsidRPr="008A50A5">
        <w:rPr>
          <w:rFonts w:cs="Times New Roman"/>
          <w:b/>
          <w:sz w:val="22"/>
          <w:szCs w:val="22"/>
          <w:lang w:val="el-GR"/>
        </w:rPr>
        <w:t>Επιδράσεις στους νεφρούς</w:t>
      </w:r>
    </w:p>
    <w:p w:rsidR="00C4383A" w:rsidRPr="008A50A5" w:rsidRDefault="00C4383A" w:rsidP="00C174CF">
      <w:pPr>
        <w:pStyle w:val="Text"/>
        <w:spacing w:before="0" w:after="120"/>
        <w:ind w:right="66"/>
        <w:rPr>
          <w:rFonts w:cs="Times New Roman"/>
          <w:sz w:val="22"/>
          <w:szCs w:val="22"/>
          <w:lang w:val="el-GR"/>
        </w:rPr>
      </w:pPr>
      <w:r w:rsidRPr="008A50A5">
        <w:rPr>
          <w:rFonts w:cs="Times New Roman"/>
          <w:sz w:val="22"/>
          <w:szCs w:val="22"/>
          <w:lang w:val="el-GR"/>
        </w:rPr>
        <w:t>Λόγω των αναφορών για κατακράτηση υγρών και οίδημα σε θεραπείες με ΜΣΑΦ, συμπεριλαμβανομένης και της δικλοφαινάκης, απαιτείται ιδιαίτερη προσοχή σε ασθενείς με επιβάρυνση της καρδιακής ή νεφρικής λειτουργίας, ιστορικό υπέρτασης, στους ηλικιωμένους, σε ασθενείς που λαμβάνουν ταυτόχρονα θεραπεία με διουρητικά ή με φαρμακευτικά προϊόντα που επηρεάζουν σημαντικά την νεφρική λειτουργία, καθώς και σε εκείνους τους ασθενείς που εμφανίζουν σημαντική απώλεια υγρών από οποιαδήποτε αιτία π.χ. πριν ή μετά από ένα μείζον χειρουργείο (βλ. 4.3). Ως μέτρο προφύλαξης συνιστάται ο έλεγχος της νεφρικής λειτουργίας όταν χρησιμοποιείται  η δικλοφαινάκη σε αυτές τις περιπτώσεις. Η διακοπή της θεραπείας συνήθως ακολουθείται από την επαναφορά στην κατάσταση πριν τη θεραπευτική αγωγή.</w:t>
      </w:r>
    </w:p>
    <w:p w:rsidR="00C4383A" w:rsidRPr="008A50A5" w:rsidRDefault="00C4383A" w:rsidP="00C174CF">
      <w:pPr>
        <w:pStyle w:val="Text"/>
        <w:spacing w:before="0" w:after="120"/>
        <w:ind w:right="66"/>
        <w:rPr>
          <w:rFonts w:cs="Times New Roman"/>
          <w:sz w:val="22"/>
          <w:szCs w:val="22"/>
          <w:lang w:val="el-GR"/>
        </w:rPr>
      </w:pPr>
    </w:p>
    <w:p w:rsidR="00C4383A" w:rsidRPr="008A50A5" w:rsidRDefault="00C4383A" w:rsidP="00C174CF">
      <w:pPr>
        <w:tabs>
          <w:tab w:val="left" w:pos="6732"/>
        </w:tabs>
        <w:spacing w:after="120"/>
        <w:jc w:val="both"/>
        <w:rPr>
          <w:rFonts w:cs="Times New Roman"/>
          <w:b/>
          <w:bCs/>
          <w:sz w:val="22"/>
          <w:szCs w:val="22"/>
          <w:lang w:val="el-GR"/>
        </w:rPr>
      </w:pPr>
      <w:r w:rsidRPr="008A50A5">
        <w:rPr>
          <w:rFonts w:cs="Times New Roman"/>
          <w:b/>
          <w:bCs/>
          <w:sz w:val="22"/>
          <w:szCs w:val="22"/>
          <w:lang w:val="el-GR"/>
        </w:rPr>
        <w:t>Δερματικές επιδράσεις</w:t>
      </w:r>
    </w:p>
    <w:p w:rsidR="00C4383A" w:rsidRPr="008A50A5" w:rsidRDefault="00C4383A" w:rsidP="00C174CF">
      <w:pPr>
        <w:pStyle w:val="Text"/>
        <w:tabs>
          <w:tab w:val="left" w:pos="6732"/>
        </w:tabs>
        <w:spacing w:after="120"/>
        <w:rPr>
          <w:rFonts w:cs="Times New Roman"/>
          <w:sz w:val="22"/>
          <w:szCs w:val="22"/>
          <w:lang w:val="el-GR"/>
        </w:rPr>
      </w:pPr>
      <w:r w:rsidRPr="008A50A5">
        <w:rPr>
          <w:rFonts w:cs="Times New Roman"/>
          <w:sz w:val="22"/>
          <w:szCs w:val="22"/>
          <w:lang w:val="el-GR"/>
        </w:rPr>
        <w:t xml:space="preserve">Σοβαρές δερματικές αντιδράσεις, (κάποιες από τις οποίες μπορεί να είναι θανατηφόρες), όπως η απολεπιστική δερματίτιδα, το σύνδρομο </w:t>
      </w:r>
      <w:r w:rsidRPr="008A50A5">
        <w:rPr>
          <w:rFonts w:cs="Times New Roman"/>
          <w:sz w:val="22"/>
          <w:szCs w:val="22"/>
        </w:rPr>
        <w:t>Stevens</w:t>
      </w:r>
      <w:r w:rsidRPr="008A50A5">
        <w:rPr>
          <w:rFonts w:cs="Times New Roman"/>
          <w:sz w:val="22"/>
          <w:szCs w:val="22"/>
          <w:lang w:val="el-GR"/>
        </w:rPr>
        <w:t>-</w:t>
      </w:r>
      <w:r w:rsidRPr="008A50A5">
        <w:rPr>
          <w:rFonts w:cs="Times New Roman"/>
          <w:sz w:val="22"/>
          <w:szCs w:val="22"/>
        </w:rPr>
        <w:t>Johnson</w:t>
      </w:r>
      <w:r w:rsidRPr="008A50A5">
        <w:rPr>
          <w:rFonts w:cs="Times New Roman"/>
          <w:sz w:val="22"/>
          <w:szCs w:val="22"/>
          <w:lang w:val="el-GR"/>
        </w:rPr>
        <w:t xml:space="preserve"> και η τοξική επιδερμική νεκρόλυση έχουν πολύ σπάνια αναφερθεί με τη χρήση ΜΣΑΦ, συμπεριλαμβανομένης δικλοφαινάκης (βλ. Λήμμα 4.8). Οι ασθενείς φαίνεται να είναι σε μεγαλύτερο κίνδυνο στην αρχή της αγωγής και η έναρξη της αντίδρασης εμφανίζεται, στην πλειονότητα των περιπτώσεων, στον πρώτο μήνα της αγωγής. Η δικλοφαινάκη πρέπει να διακόπτεται με την πρώτη εμφάνιση δερματικού εξανθήματος, αλλοιώσεων του βλεννογόνου ή άλλων σημείων υπερευαισθησίας. </w:t>
      </w:r>
    </w:p>
    <w:p w:rsidR="00C4383A" w:rsidRPr="008A50A5" w:rsidRDefault="00C4383A" w:rsidP="00C174CF">
      <w:pPr>
        <w:pStyle w:val="Text"/>
        <w:spacing w:before="0" w:after="120"/>
        <w:ind w:right="66"/>
        <w:rPr>
          <w:rFonts w:cs="Times New Roman"/>
          <w:sz w:val="22"/>
          <w:szCs w:val="22"/>
          <w:lang w:val="el-GR"/>
        </w:rPr>
      </w:pPr>
    </w:p>
    <w:p w:rsidR="00C4383A" w:rsidRPr="008A50A5" w:rsidRDefault="00C4383A" w:rsidP="00C174CF">
      <w:pPr>
        <w:jc w:val="both"/>
        <w:rPr>
          <w:rFonts w:cs="Times New Roman"/>
          <w:b/>
          <w:bCs/>
          <w:sz w:val="22"/>
          <w:szCs w:val="22"/>
          <w:lang w:val="el-GR"/>
        </w:rPr>
      </w:pPr>
      <w:r w:rsidRPr="008A50A5">
        <w:rPr>
          <w:rFonts w:cs="Times New Roman"/>
          <w:b/>
          <w:bCs/>
          <w:sz w:val="22"/>
          <w:szCs w:val="22"/>
          <w:lang w:val="el-GR"/>
        </w:rPr>
        <w:t>Καρδιαγγειακές και αγγειοεγκεφαλικές επιδράσεις</w:t>
      </w:r>
    </w:p>
    <w:p w:rsidR="00C4383A" w:rsidRPr="008A50A5" w:rsidRDefault="00C4383A" w:rsidP="00C174CF">
      <w:pPr>
        <w:jc w:val="both"/>
        <w:rPr>
          <w:rFonts w:cs="Times New Roman"/>
          <w:sz w:val="22"/>
          <w:szCs w:val="22"/>
          <w:lang w:val="el-GR"/>
        </w:rPr>
      </w:pPr>
      <w:r w:rsidRPr="008A50A5">
        <w:rPr>
          <w:rFonts w:cs="Times New Roman"/>
          <w:sz w:val="22"/>
          <w:szCs w:val="22"/>
          <w:lang w:val="el-GR"/>
        </w:rPr>
        <w:lastRenderedPageBreak/>
        <w:t>Απαιτείται η σωστή  παρακολούθηση και η παροχή συμβουλών  σε ασθενείς με ιστορικό υπέρτασης και /ή με ελαφρά έως μέτρια συμφορητική καρδιακή ανεπάρκεια, καθώς έχει αναφερθεί κατακράτηση υγρών</w:t>
      </w:r>
      <w:r w:rsidRPr="008A50A5">
        <w:rPr>
          <w:rFonts w:cs="Times New Roman"/>
          <w:sz w:val="22"/>
          <w:szCs w:val="22"/>
        </w:rPr>
        <w:t> </w:t>
      </w:r>
      <w:r w:rsidRPr="008A50A5">
        <w:rPr>
          <w:rFonts w:cs="Times New Roman"/>
          <w:sz w:val="22"/>
          <w:szCs w:val="22"/>
          <w:lang w:val="el-GR"/>
        </w:rPr>
        <w:t xml:space="preserve"> και οίδημα σε σχέση με τη θεραπεία με ΜΣΑΦ.</w:t>
      </w:r>
    </w:p>
    <w:p w:rsidR="00C4383A" w:rsidRPr="008A50A5" w:rsidRDefault="00C4383A" w:rsidP="00C174CF">
      <w:pPr>
        <w:jc w:val="both"/>
        <w:rPr>
          <w:rFonts w:cs="Times New Roman"/>
          <w:sz w:val="22"/>
          <w:szCs w:val="22"/>
          <w:lang w:val="el-GR"/>
        </w:rPr>
      </w:pPr>
      <w:r w:rsidRPr="008A50A5">
        <w:rPr>
          <w:rFonts w:cs="Times New Roman"/>
          <w:sz w:val="22"/>
          <w:szCs w:val="22"/>
          <w:lang w:val="el-GR"/>
        </w:rPr>
        <w:t xml:space="preserve">Δεδομένα από κλινικές δοκιμές και επιδημιολογικές μελέτες δείχνουν ότι η χρήση, δικλοφαινάκης ιδιαίτερα σε υψηλές δόσεις (150 </w:t>
      </w:r>
      <w:r w:rsidRPr="008A50A5">
        <w:rPr>
          <w:rFonts w:cs="Times New Roman"/>
          <w:sz w:val="22"/>
          <w:szCs w:val="22"/>
        </w:rPr>
        <w:t>mg</w:t>
      </w:r>
      <w:r w:rsidRPr="008A50A5">
        <w:rPr>
          <w:rFonts w:cs="Times New Roman"/>
          <w:sz w:val="22"/>
          <w:szCs w:val="22"/>
          <w:lang w:val="el-GR"/>
        </w:rPr>
        <w:t>) και για μακροχρόνια θεραπεία,  μπορεί  να σχετίζεται  με μια μικρή αύξηση του  κινδύνου για  εμφάνιση</w:t>
      </w:r>
      <w:r w:rsidRPr="008A50A5">
        <w:rPr>
          <w:rFonts w:cs="Times New Roman"/>
          <w:sz w:val="22"/>
          <w:szCs w:val="22"/>
        </w:rPr>
        <w:t> </w:t>
      </w:r>
      <w:r w:rsidRPr="008A50A5">
        <w:rPr>
          <w:rFonts w:cs="Times New Roman"/>
          <w:sz w:val="22"/>
          <w:szCs w:val="22"/>
          <w:lang w:val="el-GR"/>
        </w:rPr>
        <w:t xml:space="preserve"> θρομβωτικών αρτηριακών συμβάντων  (για παράδειγμα έμφραγμα του μυοκαρδίου ή εγκεφαλικό επεισόδιο).</w:t>
      </w:r>
    </w:p>
    <w:p w:rsidR="00C4383A" w:rsidRPr="008A50A5" w:rsidRDefault="00C4383A" w:rsidP="00C174CF">
      <w:pPr>
        <w:jc w:val="both"/>
        <w:rPr>
          <w:rFonts w:cs="Times New Roman"/>
          <w:sz w:val="22"/>
          <w:szCs w:val="22"/>
          <w:lang w:val="el-GR"/>
        </w:rPr>
      </w:pPr>
      <w:r w:rsidRPr="008A50A5">
        <w:rPr>
          <w:rFonts w:cs="Times New Roman"/>
          <w:sz w:val="22"/>
          <w:szCs w:val="22"/>
          <w:lang w:val="el-GR"/>
        </w:rPr>
        <w:t>Ασθενείς με μη ρυθμισμένη υπέρταση, συμφορητική καρδιακή ανεπάρκεια, εγκατεστημένη ισχαιμική καρδιακή νόσο, περιφερική αρτηριακή νόσο, και/ή αγγειοεγκεφαλική νόσο πρέπει να υποβάλλονται σε θεραπεία με δικλοφαινάκη μετά από προσεκτική θεώρηση του θέματος. Παρόμοια θεώρηση πρέπει να γίνεται και πριν την έναρξη πιο μακρόχρονης  θεραπείας σε ασθενείς με παράγοντες κινδύνου (π.χ υπέρταση, υπερλιπιδαιμία , σακχαρώδης διαβήτης, κάπνισμα) για εμφάνιση καρδιοαγγειακής νόσου.</w:t>
      </w:r>
      <w:r w:rsidRPr="008A50A5">
        <w:rPr>
          <w:rFonts w:cs="Times New Roman"/>
          <w:strike/>
          <w:sz w:val="22"/>
          <w:szCs w:val="22"/>
          <w:lang w:val="el-GR"/>
        </w:rPr>
        <w:t xml:space="preserve"> </w:t>
      </w:r>
    </w:p>
    <w:p w:rsidR="00C4383A" w:rsidRPr="008A50A5" w:rsidRDefault="00C4383A" w:rsidP="00C174CF">
      <w:pPr>
        <w:pStyle w:val="Text"/>
        <w:spacing w:before="0" w:after="120"/>
        <w:ind w:right="66"/>
        <w:rPr>
          <w:rFonts w:cs="Times New Roman"/>
          <w:sz w:val="22"/>
          <w:szCs w:val="22"/>
          <w:lang w:val="el-GR"/>
        </w:rPr>
      </w:pPr>
    </w:p>
    <w:p w:rsidR="00C4383A" w:rsidRPr="008A50A5" w:rsidRDefault="00C4383A" w:rsidP="00F55210">
      <w:pPr>
        <w:pStyle w:val="Text"/>
        <w:spacing w:before="0" w:after="120"/>
        <w:ind w:right="-1"/>
        <w:rPr>
          <w:rFonts w:cs="Times New Roman"/>
          <w:b/>
          <w:sz w:val="22"/>
          <w:szCs w:val="22"/>
          <w:lang w:val="el-GR"/>
        </w:rPr>
      </w:pPr>
      <w:r w:rsidRPr="008A50A5">
        <w:rPr>
          <w:rFonts w:cs="Times New Roman"/>
          <w:b/>
          <w:sz w:val="22"/>
          <w:szCs w:val="22"/>
          <w:lang w:val="el-GR"/>
        </w:rPr>
        <w:t>Αιματολογικές επιδράσεις</w:t>
      </w:r>
    </w:p>
    <w:p w:rsidR="00C4383A" w:rsidRPr="008A50A5" w:rsidRDefault="00C4383A" w:rsidP="00F55210">
      <w:pPr>
        <w:pStyle w:val="Text"/>
        <w:tabs>
          <w:tab w:val="left" w:pos="6732"/>
        </w:tabs>
        <w:spacing w:before="0" w:after="120"/>
        <w:ind w:right="-1"/>
        <w:rPr>
          <w:rFonts w:cs="Times New Roman"/>
          <w:sz w:val="22"/>
          <w:szCs w:val="22"/>
          <w:lang w:val="el-GR"/>
        </w:rPr>
      </w:pPr>
      <w:r w:rsidRPr="008A50A5">
        <w:rPr>
          <w:rFonts w:cs="Times New Roman"/>
          <w:sz w:val="22"/>
          <w:szCs w:val="22"/>
          <w:lang w:val="el-GR"/>
        </w:rPr>
        <w:t>Σε παρατεταμένη αγωγή με δικλοφαινάκη</w:t>
      </w:r>
      <w:r w:rsidR="00E21EA3" w:rsidRPr="008A50A5">
        <w:rPr>
          <w:rFonts w:cs="Times New Roman"/>
          <w:sz w:val="22"/>
          <w:szCs w:val="22"/>
          <w:lang w:val="el-GR"/>
        </w:rPr>
        <w:t>,</w:t>
      </w:r>
      <w:r w:rsidRPr="008A50A5">
        <w:rPr>
          <w:rFonts w:cs="Times New Roman"/>
          <w:sz w:val="22"/>
          <w:szCs w:val="22"/>
          <w:lang w:val="el-GR"/>
        </w:rPr>
        <w:t xml:space="preserve"> συνιστάται αιματολογικός έλεγχος, όπως και με άλλα ΜΣΑΦ.</w:t>
      </w:r>
    </w:p>
    <w:p w:rsidR="00C4383A" w:rsidRPr="008A50A5" w:rsidRDefault="00C4383A" w:rsidP="00F55210">
      <w:pPr>
        <w:pStyle w:val="Text"/>
        <w:spacing w:before="0" w:after="120"/>
        <w:ind w:right="-1"/>
        <w:rPr>
          <w:rFonts w:cs="Times New Roman"/>
          <w:sz w:val="22"/>
          <w:szCs w:val="22"/>
          <w:lang w:val="el-GR"/>
        </w:rPr>
      </w:pPr>
      <w:r w:rsidRPr="008A50A5">
        <w:rPr>
          <w:rFonts w:cs="Times New Roman"/>
          <w:sz w:val="22"/>
          <w:szCs w:val="22"/>
          <w:lang w:val="el-GR"/>
        </w:rPr>
        <w:t>Επίσης, όπως και άλλα ΜΣΑΦ, η δικλοφαινάκη μπορεί προσωρινά να αναστείλει τη συγκόλληση των αιμοπεταλίων. Ασθενείς με προβλήματα στην αιμόσταση πρέπει να παρακολουθούνται στενά.</w:t>
      </w:r>
    </w:p>
    <w:p w:rsidR="00C4383A" w:rsidRPr="008A50A5" w:rsidRDefault="00C4383A" w:rsidP="00F55210">
      <w:pPr>
        <w:pStyle w:val="Text"/>
        <w:spacing w:before="0" w:after="120"/>
        <w:ind w:right="-1"/>
        <w:rPr>
          <w:rFonts w:cs="Times New Roman"/>
          <w:sz w:val="22"/>
          <w:szCs w:val="22"/>
          <w:lang w:val="el-GR"/>
        </w:rPr>
      </w:pPr>
    </w:p>
    <w:p w:rsidR="00C4383A" w:rsidRPr="008A50A5" w:rsidRDefault="00C4383A" w:rsidP="00F55210">
      <w:pPr>
        <w:spacing w:after="120"/>
        <w:ind w:right="-1"/>
        <w:jc w:val="both"/>
        <w:rPr>
          <w:rFonts w:cs="Times New Roman"/>
          <w:b/>
          <w:sz w:val="22"/>
          <w:szCs w:val="22"/>
          <w:lang w:val="el-GR"/>
        </w:rPr>
      </w:pPr>
      <w:r w:rsidRPr="008A50A5">
        <w:rPr>
          <w:rFonts w:cs="Times New Roman"/>
          <w:b/>
          <w:sz w:val="22"/>
          <w:szCs w:val="22"/>
          <w:lang w:val="el-GR"/>
        </w:rPr>
        <w:t>Προ-υπάρχον άσθμα</w:t>
      </w:r>
    </w:p>
    <w:p w:rsidR="00C4383A" w:rsidRPr="008A50A5" w:rsidRDefault="00C4383A" w:rsidP="00F55210">
      <w:pPr>
        <w:spacing w:after="120"/>
        <w:ind w:right="-1"/>
        <w:jc w:val="both"/>
        <w:rPr>
          <w:rFonts w:cs="Times New Roman"/>
          <w:sz w:val="22"/>
          <w:szCs w:val="22"/>
          <w:lang w:val="el-GR"/>
        </w:rPr>
      </w:pPr>
      <w:r w:rsidRPr="008A50A5">
        <w:rPr>
          <w:rFonts w:cs="Times New Roman"/>
          <w:sz w:val="22"/>
          <w:szCs w:val="22"/>
          <w:lang w:val="el-GR"/>
        </w:rPr>
        <w:t>Σε ασθενείς με άσθμα, εποχιακή αλλεργική ρινίτιδα, οίδημα του ρινικού βλεννογόνου (π.χ. ρινικοί πολύποδες), χρόνιες αναστρέψιμες πνευμονοπάθειες ή χρόνιες λοιμώξεις του αναπνευστικού οδού (ειδικά εάν σχετίζονται με συμπτώματα αλλεργικής ρινίτιδας), οι αντιδράσεις σε ΜΣΑΦ όπως παροξύνσεις του άσθματος (δυσανεξία στα αναλγητικά/ άσθμα προκαλούμενο στα αναλγητικά), οίδημα Quincke ή κνίδωση είναι πιο συχνές απ’ότι σε άλλους ασθενείς. Για αυτόν τον λόγο απαιτείται ειδική προφύλαξη  σ΄αυτούς τους ασθενείς. Αυτό πρέπει να εφαρμόζεται επίσης και σε ασθενείς που είναι αλλεργικοί σε άλλες ουσίες π.χ. δερματικές αντιδράσεις, κνησμός και κνίδωση.</w:t>
      </w:r>
    </w:p>
    <w:p w:rsidR="00C4383A" w:rsidRPr="008A50A5" w:rsidRDefault="00C4383A" w:rsidP="00F55210">
      <w:pPr>
        <w:spacing w:after="120"/>
        <w:ind w:right="-1"/>
        <w:jc w:val="both"/>
        <w:rPr>
          <w:rFonts w:cs="Times New Roman"/>
          <w:sz w:val="22"/>
          <w:szCs w:val="22"/>
          <w:lang w:val="el-GR"/>
        </w:rPr>
      </w:pPr>
      <w:r w:rsidRPr="008A50A5">
        <w:rPr>
          <w:rFonts w:cs="Times New Roman"/>
          <w:sz w:val="22"/>
          <w:szCs w:val="22"/>
          <w:lang w:val="el-GR"/>
        </w:rPr>
        <w:t>Όπως συμβαίνει και με άλλα φάρμακα τα οποία αναστέλλουν την ενεργότητα της συνθετάσης της προσταγλανδίνης η νατριούχος δικλοφαινάκη  και άλλα ΜΣΑΦ μπορεί να προκαλέσουν βρογχόσπασμο όταν χορηγηθούν σε ασθενείς με βρογχικό άσθμα ή ιστορικό βρογχικού άσθματος.</w:t>
      </w:r>
    </w:p>
    <w:p w:rsidR="00C4383A" w:rsidRPr="008A50A5" w:rsidRDefault="00C4383A" w:rsidP="00C174CF">
      <w:pPr>
        <w:pStyle w:val="Text"/>
        <w:spacing w:before="0"/>
        <w:ind w:right="418"/>
        <w:rPr>
          <w:rFonts w:cs="Times New Roman"/>
          <w:sz w:val="22"/>
          <w:szCs w:val="22"/>
          <w:lang w:val="el-GR"/>
        </w:rPr>
      </w:pPr>
    </w:p>
    <w:p w:rsidR="00C4383A" w:rsidRPr="008A50A5" w:rsidRDefault="00C4383A" w:rsidP="00F55210">
      <w:pPr>
        <w:spacing w:after="120"/>
        <w:ind w:right="-1"/>
        <w:jc w:val="both"/>
        <w:rPr>
          <w:rFonts w:cs="Times New Roman"/>
          <w:b/>
          <w:sz w:val="22"/>
          <w:szCs w:val="22"/>
          <w:lang w:val="el-GR"/>
        </w:rPr>
      </w:pPr>
      <w:r w:rsidRPr="008A50A5">
        <w:rPr>
          <w:rFonts w:cs="Times New Roman"/>
          <w:b/>
          <w:sz w:val="22"/>
          <w:szCs w:val="22"/>
          <w:lang w:val="el-GR"/>
        </w:rPr>
        <w:t>Συστηματικός ερυθηματώδης λύκος (SLE),  και νόσος του συνδετικού ιστού</w:t>
      </w:r>
    </w:p>
    <w:p w:rsidR="00C4383A" w:rsidRPr="008A50A5" w:rsidRDefault="00C4383A" w:rsidP="00F55210">
      <w:pPr>
        <w:spacing w:after="120"/>
        <w:ind w:right="-1"/>
        <w:jc w:val="both"/>
        <w:rPr>
          <w:rFonts w:cs="Times New Roman"/>
          <w:sz w:val="22"/>
          <w:szCs w:val="22"/>
          <w:lang w:val="el-GR"/>
        </w:rPr>
      </w:pPr>
      <w:r w:rsidRPr="008A50A5">
        <w:rPr>
          <w:rFonts w:cs="Times New Roman"/>
          <w:sz w:val="22"/>
          <w:szCs w:val="22"/>
          <w:lang w:val="el-GR"/>
        </w:rPr>
        <w:t>Σε ασθενείς με συστηματικό ερυθηματώδη λύκο (SLE) και μικτή νόσος του συνδετικού ιστού είναι δυνατό να αυξηθεί ο κίνδυνος άσηπτης μηνιγγίτιδας (βλέπε 4.8 Ανεπιθύμητες ενέργειες).</w:t>
      </w:r>
    </w:p>
    <w:p w:rsidR="00C4383A" w:rsidRPr="008A50A5" w:rsidRDefault="00C4383A" w:rsidP="00F55210">
      <w:pPr>
        <w:pStyle w:val="Text"/>
        <w:spacing w:before="0" w:after="120"/>
        <w:ind w:right="-1"/>
        <w:rPr>
          <w:rFonts w:cs="Times New Roman"/>
          <w:sz w:val="22"/>
          <w:szCs w:val="22"/>
          <w:lang w:val="el-GR"/>
        </w:rPr>
      </w:pPr>
    </w:p>
    <w:p w:rsidR="00C4383A" w:rsidRPr="008A50A5" w:rsidRDefault="00C4383A" w:rsidP="00F55210">
      <w:pPr>
        <w:pStyle w:val="Text"/>
        <w:spacing w:before="0" w:after="120"/>
        <w:ind w:right="-1"/>
        <w:rPr>
          <w:rFonts w:cs="Times New Roman"/>
          <w:b/>
          <w:sz w:val="22"/>
          <w:szCs w:val="22"/>
          <w:u w:val="single"/>
          <w:lang w:val="el-GR"/>
        </w:rPr>
      </w:pPr>
      <w:r w:rsidRPr="008A50A5">
        <w:rPr>
          <w:rFonts w:cs="Times New Roman"/>
          <w:b/>
          <w:sz w:val="22"/>
          <w:szCs w:val="22"/>
          <w:u w:val="single"/>
          <w:lang w:val="el-GR"/>
        </w:rPr>
        <w:t>Επιδράσεις στην γονιμότητα</w:t>
      </w:r>
    </w:p>
    <w:p w:rsidR="00C4383A" w:rsidRPr="008A50A5" w:rsidRDefault="00C4383A" w:rsidP="00F55210">
      <w:pPr>
        <w:pStyle w:val="Text"/>
        <w:spacing w:before="0" w:after="120"/>
        <w:ind w:right="-1"/>
        <w:rPr>
          <w:rFonts w:cs="Times New Roman"/>
          <w:sz w:val="22"/>
          <w:szCs w:val="22"/>
          <w:lang w:val="el-GR"/>
        </w:rPr>
      </w:pPr>
      <w:r w:rsidRPr="008A50A5">
        <w:rPr>
          <w:rFonts w:cs="Times New Roman"/>
          <w:sz w:val="22"/>
          <w:szCs w:val="22"/>
          <w:lang w:val="el-GR"/>
        </w:rPr>
        <w:t xml:space="preserve">Η χρήση του VOLTAREN μπορεί να επηρεάσει την γονιμότητα στις γυναίκες και δεν συνιστάται η χρήση του σε γυναίκες που προσπαθούν να συλλάβουν. Θα πρέπει να εξετάζεται η διακοπή του VOLTAREN σε γυναίκες που δυσκολεύονται να συλλάβουν ή βρίσκονται υπό διερεύνηση στειρότητας. </w:t>
      </w:r>
    </w:p>
    <w:p w:rsidR="00C4383A" w:rsidRPr="008A50A5" w:rsidRDefault="00C4383A" w:rsidP="00F55210">
      <w:pPr>
        <w:tabs>
          <w:tab w:val="left" w:pos="2149"/>
        </w:tabs>
        <w:ind w:left="720" w:right="-1"/>
        <w:jc w:val="both"/>
        <w:rPr>
          <w:rFonts w:cs="Times New Roman"/>
          <w:sz w:val="22"/>
          <w:szCs w:val="22"/>
          <w:lang w:val="el-GR"/>
        </w:rPr>
      </w:pPr>
    </w:p>
    <w:p w:rsidR="00C4383A" w:rsidRPr="008A50A5" w:rsidRDefault="00C4383A" w:rsidP="00C174CF">
      <w:pPr>
        <w:jc w:val="both"/>
        <w:rPr>
          <w:rFonts w:cs="Times New Roman"/>
          <w:b/>
          <w:i/>
          <w:sz w:val="22"/>
          <w:szCs w:val="22"/>
          <w:lang w:val="el-GR"/>
        </w:rPr>
      </w:pPr>
      <w:r w:rsidRPr="008A50A5">
        <w:rPr>
          <w:rFonts w:cs="Times New Roman"/>
          <w:b/>
          <w:i/>
          <w:sz w:val="22"/>
          <w:szCs w:val="22"/>
          <w:lang w:val="el-GR"/>
        </w:rPr>
        <w:t>4.5</w:t>
      </w:r>
      <w:r w:rsidRPr="008A50A5">
        <w:rPr>
          <w:rFonts w:cs="Times New Roman"/>
          <w:b/>
          <w:i/>
          <w:sz w:val="22"/>
          <w:szCs w:val="22"/>
          <w:lang w:val="el-GR"/>
        </w:rPr>
        <w:tab/>
        <w:t>Αλληλεπιδράσεις με άλλα φάρμακα και άλλες μορφές αλληλεπίδρασης</w:t>
      </w:r>
    </w:p>
    <w:p w:rsidR="00C4383A" w:rsidRPr="008A50A5" w:rsidRDefault="00C4383A" w:rsidP="00C174CF">
      <w:pPr>
        <w:jc w:val="both"/>
        <w:rPr>
          <w:rFonts w:cs="Times New Roman"/>
          <w:sz w:val="22"/>
          <w:szCs w:val="22"/>
          <w:lang w:val="el-GR"/>
        </w:rPr>
      </w:pPr>
      <w:r w:rsidRPr="008A50A5">
        <w:rPr>
          <w:rFonts w:cs="Times New Roman"/>
          <w:sz w:val="22"/>
          <w:szCs w:val="22"/>
          <w:lang w:val="el-GR"/>
        </w:rPr>
        <w:t>Οι παρακάτω αλληλεπιδράσεις περιλαμβάνουν αυτές που παρατηρήθηκαν με τα γαστροανθεκτικά δισκία και/ ή με άλλες φαρμακοτεχνικές μορφές της δικλοφαινάκης:</w:t>
      </w:r>
    </w:p>
    <w:p w:rsidR="00C4383A" w:rsidRPr="008A50A5" w:rsidRDefault="00C4383A" w:rsidP="00C174CF">
      <w:pPr>
        <w:spacing w:after="120"/>
        <w:ind w:left="720" w:right="86"/>
        <w:jc w:val="both"/>
        <w:rPr>
          <w:rFonts w:cs="Times New Roman"/>
          <w:sz w:val="22"/>
          <w:szCs w:val="22"/>
          <w:lang w:val="el-GR"/>
        </w:rPr>
      </w:pPr>
    </w:p>
    <w:p w:rsidR="00C4383A" w:rsidRPr="008A50A5" w:rsidRDefault="00C4383A" w:rsidP="00C174CF">
      <w:pPr>
        <w:pStyle w:val="Text"/>
        <w:spacing w:before="0" w:after="120"/>
        <w:rPr>
          <w:rFonts w:cs="Times New Roman"/>
          <w:sz w:val="22"/>
          <w:szCs w:val="22"/>
          <w:lang w:val="el-GR"/>
        </w:rPr>
      </w:pPr>
      <w:r w:rsidRPr="008A50A5">
        <w:rPr>
          <w:rFonts w:cs="Times New Roman"/>
          <w:b/>
          <w:i/>
          <w:sz w:val="22"/>
          <w:szCs w:val="22"/>
          <w:lang w:val="el-GR"/>
        </w:rPr>
        <w:t xml:space="preserve">Λίθιο </w:t>
      </w:r>
      <w:r w:rsidRPr="008A50A5">
        <w:rPr>
          <w:rFonts w:cs="Times New Roman"/>
          <w:sz w:val="22"/>
          <w:szCs w:val="22"/>
          <w:lang w:val="el-GR"/>
        </w:rPr>
        <w:t>Εάν χρησιμοποιείται ταυτόχρονα, η δικλοφαινάκη μπορεί να αυξήσει τις συγκεντρώσεις του λιθίου στο πλάσμα του αίματος. Συνιστάται παρακολούθηση των επιπέδων λιθίου στο πλάσμα του αίματος.</w:t>
      </w:r>
    </w:p>
    <w:p w:rsidR="00C4383A" w:rsidRPr="008A50A5" w:rsidRDefault="00C4383A" w:rsidP="00C174CF">
      <w:pPr>
        <w:pStyle w:val="Text"/>
        <w:spacing w:before="0" w:after="120"/>
        <w:rPr>
          <w:rFonts w:cs="Times New Roman"/>
          <w:sz w:val="22"/>
          <w:szCs w:val="22"/>
          <w:lang w:val="el-GR"/>
        </w:rPr>
      </w:pPr>
      <w:r w:rsidRPr="008A50A5">
        <w:rPr>
          <w:rFonts w:cs="Times New Roman"/>
          <w:b/>
          <w:i/>
          <w:sz w:val="22"/>
          <w:szCs w:val="22"/>
          <w:lang w:val="el-GR"/>
        </w:rPr>
        <w:lastRenderedPageBreak/>
        <w:t xml:space="preserve">Διγοξίνη </w:t>
      </w:r>
      <w:r w:rsidRPr="008A50A5">
        <w:rPr>
          <w:rFonts w:cs="Times New Roman"/>
          <w:sz w:val="22"/>
          <w:szCs w:val="22"/>
          <w:lang w:val="el-GR"/>
        </w:rPr>
        <w:t>Εάν χρησιμοποιείται ταυτόχρονα, η δικλοφαινάκη μπορεί να αυξήσει τις συγκεντρώσεις της διγοξίνης στο πλάσμα του αίματος. Συνιστάται παρακολούθηση των επιπέδων διγοξίνης στο πλάσμα του αίματος.</w:t>
      </w:r>
    </w:p>
    <w:p w:rsidR="00C4383A" w:rsidRPr="008A50A5" w:rsidRDefault="00C4383A" w:rsidP="00C174CF">
      <w:pPr>
        <w:pStyle w:val="Text"/>
        <w:spacing w:before="0" w:after="120"/>
        <w:rPr>
          <w:rFonts w:cs="Times New Roman"/>
          <w:sz w:val="22"/>
          <w:szCs w:val="22"/>
          <w:lang w:val="el-GR"/>
        </w:rPr>
      </w:pPr>
      <w:r w:rsidRPr="008A50A5">
        <w:rPr>
          <w:rFonts w:cs="Times New Roman"/>
          <w:b/>
          <w:i/>
          <w:sz w:val="22"/>
          <w:szCs w:val="22"/>
          <w:lang w:val="el-GR"/>
        </w:rPr>
        <w:t xml:space="preserve">Διουρητικά και αντιυπερτασικοί παράγοντες </w:t>
      </w:r>
      <w:r w:rsidRPr="008A50A5">
        <w:rPr>
          <w:rFonts w:cs="Times New Roman"/>
          <w:sz w:val="22"/>
          <w:szCs w:val="22"/>
          <w:lang w:val="el-GR"/>
        </w:rPr>
        <w:t>Όπως και άλλα ΜΣΑΦ, η ταυτόχρονη χρήση της δικλοφαινάκης με διουρητικά ή αντιυπερτασικούς παράγοντες (π.χ. β-αναστολείς, αναστολείς του μετατρεπτικού ενζύμου της αγγειοτενσίνης- α-ΜΕΑ) μπορεί να προκαλέσει μια μείωση στην αντιυπερτασική τους δράση. Γι’ αυτόν το λόγο ο συνδυασμός τους πρέπει να χορηγείται με προσοχή και οι ασθενείς, ιδιαίτερα οι ηλικιωμένοι, πρέπει να ελέγχουν τακτικά την αρτηριακή τους πίεση. Επίσης, οι ασθενείς πρέπει να είναι επαρκώς ενυδατωμένοι και να δίδεται προσοχή στην παρακολούθηση της νεφρικής λειτουργίας μετά την έναρξη της αγωγής συγχορήγησης και κατόπιν περιοδικά, ειδικά για τα διουρητικά και τους  α-ΜΕΑ, λόγω του αυξημένου κινδύνου για νεφροτοξικότητα. Η ταυτόχρονη χρήση με καλιοσυντηρητικά φάρμακα μπορεί να συσχετισθεί με αυξημένα επίπεδα καλίου στο πλάσμα, που γι’ αυτόν τον λόγο  θα πρέπει να ελέγχονται τακτικά (βλ. Λήμμα 4.4).</w:t>
      </w:r>
    </w:p>
    <w:p w:rsidR="00C4383A" w:rsidRPr="008A50A5" w:rsidRDefault="00C4383A" w:rsidP="00C174CF">
      <w:pPr>
        <w:pStyle w:val="Text"/>
        <w:spacing w:before="0" w:after="120"/>
        <w:rPr>
          <w:rFonts w:cs="Times New Roman"/>
          <w:sz w:val="22"/>
          <w:szCs w:val="22"/>
          <w:lang w:val="el-GR"/>
        </w:rPr>
      </w:pPr>
      <w:r w:rsidRPr="008A50A5">
        <w:rPr>
          <w:rFonts w:cs="Times New Roman"/>
          <w:b/>
          <w:i/>
          <w:sz w:val="22"/>
          <w:szCs w:val="22"/>
          <w:lang w:val="el-GR"/>
        </w:rPr>
        <w:t xml:space="preserve">Άλλα ΜΣΑΦ και κορτικοστεροειδή  </w:t>
      </w:r>
      <w:r w:rsidRPr="008A50A5">
        <w:rPr>
          <w:rFonts w:cs="Times New Roman"/>
          <w:sz w:val="22"/>
          <w:szCs w:val="22"/>
          <w:lang w:val="el-GR"/>
        </w:rPr>
        <w:t>Ταυτόχρονη χορήγηση της δικλοφαινάκης με άλλα συστηματικά ΜΣΑΦ ή κορτικοστεροειδή μπορεί να αυξήσει τη συχνότητα ανεπιθύμητων γαστρεντερικών ενεργειών (βλ. Λήμμα 4.4).</w:t>
      </w:r>
    </w:p>
    <w:p w:rsidR="00C4383A" w:rsidRPr="008A50A5" w:rsidRDefault="00C4383A" w:rsidP="00C174CF">
      <w:pPr>
        <w:pStyle w:val="Text"/>
        <w:spacing w:before="0" w:after="120"/>
        <w:rPr>
          <w:rFonts w:cs="Times New Roman"/>
          <w:sz w:val="22"/>
          <w:szCs w:val="22"/>
          <w:lang w:val="el-GR"/>
        </w:rPr>
      </w:pPr>
      <w:r w:rsidRPr="008A50A5">
        <w:rPr>
          <w:rFonts w:cs="Times New Roman"/>
          <w:b/>
          <w:i/>
          <w:sz w:val="22"/>
          <w:szCs w:val="22"/>
          <w:lang w:val="el-GR"/>
        </w:rPr>
        <w:t xml:space="preserve">Αντιθρομβωτικά και αντιαιμοπεταλιακοί παράγοντες </w:t>
      </w:r>
      <w:r w:rsidRPr="008A50A5">
        <w:rPr>
          <w:rFonts w:cs="Times New Roman"/>
          <w:sz w:val="22"/>
          <w:szCs w:val="22"/>
          <w:lang w:val="el-GR"/>
        </w:rPr>
        <w:t xml:space="preserve">Συνιστάται προσοχή, καθώς η ταυτόχρονη χορήγηση μπορεί να αυξήσει τον κίνδυνο αιμορραγίας (βλ. Λήμμα 4.4). Αν και οι κλινικές έρευνες δεν τεκμηριώνουν ότι η δικλοφαινάκη επηρεάζει τη δράση των αντιθρομβωτικών, ωστόσο υπάρχουν μεμονωμένες αναφορές αυξημένου κινδύνου αιμορραγίας σε ασθενείς που λαμβάνουν ταυτόχρονα δικλοφαινάκη και αντιθρομβωτικά. Στην περίπτωση αυτή, συνιστάται η στενή παρακολούθηση των ασθενών. Όπως και με άλλα ΜΣΑΦ η δικλοφαινάκη σε υψηλή δόση μπορεί να αναστείλει με αντιστρεπτό τρόπο την συσσώρευση των αιμοπεταλίων. </w:t>
      </w:r>
    </w:p>
    <w:p w:rsidR="00C4383A" w:rsidRPr="008A50A5" w:rsidRDefault="00C4383A" w:rsidP="00C174CF">
      <w:pPr>
        <w:pStyle w:val="Text"/>
        <w:spacing w:before="0" w:after="120"/>
        <w:rPr>
          <w:rFonts w:cs="Times New Roman"/>
          <w:sz w:val="22"/>
          <w:szCs w:val="22"/>
          <w:lang w:val="el-GR"/>
        </w:rPr>
      </w:pPr>
      <w:r w:rsidRPr="008A50A5">
        <w:rPr>
          <w:rFonts w:cs="Times New Roman"/>
          <w:b/>
          <w:i/>
          <w:sz w:val="22"/>
          <w:szCs w:val="22"/>
          <w:lang w:val="el-GR"/>
        </w:rPr>
        <w:t xml:space="preserve">Εκλεκτικοί αναστολείς επαναπρόσληψης σεροτονίνης </w:t>
      </w:r>
      <w:r w:rsidRPr="008A50A5">
        <w:rPr>
          <w:rFonts w:cs="Times New Roman"/>
          <w:sz w:val="22"/>
          <w:szCs w:val="22"/>
          <w:lang w:val="el-GR"/>
        </w:rPr>
        <w:t>Ταυτόχρονη χορήγηση συστηματικών ΜΣΑΦ και εκλεκτικών αναστολέων επαναπρόσληψης σεροτονίνης μπορεί να αυξήσει τον κίνδυνο αιμορραγίας από το γαστρεντερικό (βλ. Λήμμα 4.4).</w:t>
      </w:r>
    </w:p>
    <w:p w:rsidR="00C4383A" w:rsidRPr="008A50A5" w:rsidRDefault="00C4383A" w:rsidP="00C174CF">
      <w:pPr>
        <w:pStyle w:val="Text"/>
        <w:spacing w:before="0" w:after="120"/>
        <w:rPr>
          <w:rFonts w:cs="Times New Roman"/>
          <w:sz w:val="22"/>
          <w:szCs w:val="22"/>
          <w:lang w:val="el-GR"/>
        </w:rPr>
      </w:pPr>
      <w:r w:rsidRPr="008A50A5">
        <w:rPr>
          <w:rFonts w:cs="Times New Roman"/>
          <w:b/>
          <w:i/>
          <w:sz w:val="22"/>
          <w:szCs w:val="22"/>
          <w:lang w:val="el-GR"/>
        </w:rPr>
        <w:t xml:space="preserve">Αντιδιαβητικά </w:t>
      </w:r>
      <w:r w:rsidRPr="008A50A5">
        <w:rPr>
          <w:rFonts w:cs="Times New Roman"/>
          <w:sz w:val="22"/>
          <w:szCs w:val="22"/>
          <w:lang w:val="el-GR"/>
        </w:rPr>
        <w:t>Κλινικές μελέτες έδειξαν ότι η δικλοφαινάκη μπορεί να χορηγηθεί μαζί με από του στόματος αντιδιαβητικούς παράγοντες, χωρίς να επηρεάζει τα κλινικά τους αποτελέσματα. Εντούτοις, υπάρχουν μεμονωμένες αναφορές τόσο υπογλυκαιμικών όσο και υπεργλυκαιμικών δράσεων που κατέστησαν αναγκαίες τις αλλαγές στη δοσολογία των αντιδιαβητικών παραγόντων, κατά τη διάρκεια της αγωγής με δικλοφαινάκη. Για το λόγο αυτό, συνιστάται έλεγχος των επιπέδων της γλυκόζης στο αίμα κατά τη διάρκεια της συγχορηγούμενης αγωγής, ως μέτρο προφύλαξης.</w:t>
      </w:r>
    </w:p>
    <w:p w:rsidR="00C4383A" w:rsidRPr="008A50A5" w:rsidRDefault="00C4383A" w:rsidP="00C174CF">
      <w:pPr>
        <w:pStyle w:val="Text"/>
        <w:spacing w:before="0" w:after="120"/>
        <w:rPr>
          <w:rFonts w:cs="Times New Roman"/>
          <w:sz w:val="22"/>
          <w:szCs w:val="22"/>
          <w:lang w:val="el-GR"/>
        </w:rPr>
      </w:pPr>
      <w:r w:rsidRPr="008A50A5">
        <w:rPr>
          <w:rFonts w:cs="Times New Roman"/>
          <w:b/>
          <w:i/>
          <w:sz w:val="22"/>
          <w:szCs w:val="22"/>
          <w:lang w:val="el-GR"/>
        </w:rPr>
        <w:t xml:space="preserve">Μεθοτρεξάτη </w:t>
      </w:r>
      <w:r w:rsidRPr="008A50A5">
        <w:rPr>
          <w:rFonts w:cs="Times New Roman"/>
          <w:b/>
          <w:i/>
          <w:sz w:val="22"/>
          <w:szCs w:val="22"/>
          <w:lang w:val="el-GR"/>
        </w:rPr>
        <w:tab/>
      </w:r>
      <w:r w:rsidRPr="008A50A5">
        <w:rPr>
          <w:rFonts w:cs="Times New Roman"/>
          <w:sz w:val="22"/>
          <w:szCs w:val="22"/>
          <w:lang w:val="el-GR"/>
        </w:rPr>
        <w:t>Η δικλοφαινάκη μπορεί να παρεμποδίσει τη σωληναριακή κάθαρση της μεθοτρεξάτης αυξάνοντας με αυτό τον τρόπο τα επίπεδά της</w:t>
      </w:r>
      <w:r w:rsidRPr="008A50A5">
        <w:rPr>
          <w:rFonts w:cs="Times New Roman"/>
          <w:b/>
          <w:i/>
          <w:sz w:val="22"/>
          <w:szCs w:val="22"/>
          <w:lang w:val="el-GR"/>
        </w:rPr>
        <w:t xml:space="preserve">. </w:t>
      </w:r>
      <w:r w:rsidRPr="008A50A5">
        <w:rPr>
          <w:rFonts w:cs="Times New Roman"/>
          <w:sz w:val="22"/>
          <w:szCs w:val="22"/>
          <w:lang w:val="el-GR"/>
        </w:rPr>
        <w:t>Συνιστάται προσοχή όταν τα ΜΣΑΦ, συμπεριλαμβανομένης της δικλοφαινάκης, χορηγούνται σε χρονικό διάστημα μικρότερο των 24 ωρών, πριν ή μετά την αγωγή με μεθοτρεξάτη, καθώς οι συγκεντρώσεις της μεθοτρεξάτης στο αίμα μπορεί να αυξηθούν, αυξάνοντας και την τοξικότητα της ουσίας.</w:t>
      </w:r>
    </w:p>
    <w:p w:rsidR="00C4383A" w:rsidRPr="008A50A5" w:rsidRDefault="00C4383A" w:rsidP="00C174CF">
      <w:pPr>
        <w:pStyle w:val="Text"/>
        <w:spacing w:before="0" w:after="120"/>
        <w:rPr>
          <w:rFonts w:cs="Times New Roman"/>
          <w:sz w:val="22"/>
          <w:szCs w:val="22"/>
          <w:lang w:val="el-GR"/>
        </w:rPr>
      </w:pPr>
      <w:r w:rsidRPr="008A50A5">
        <w:rPr>
          <w:rFonts w:cs="Times New Roman"/>
          <w:b/>
          <w:i/>
          <w:sz w:val="22"/>
          <w:szCs w:val="22"/>
          <w:lang w:val="el-GR"/>
        </w:rPr>
        <w:t xml:space="preserve">Κυκλοσπορίνη </w:t>
      </w:r>
      <w:r w:rsidRPr="008A50A5">
        <w:rPr>
          <w:rFonts w:cs="Times New Roman"/>
          <w:sz w:val="22"/>
          <w:szCs w:val="22"/>
          <w:lang w:val="el-GR"/>
        </w:rPr>
        <w:t>Η δικλοφαινάκη, όπως και άλλα ΜΣΑΦ, μπορεί να αυξήσουν τη νεφροτοξικότητα της κυκλοσπορίνης, λόγω της δράσης τους στις προσταγλαδίνες των νεφρών. Στην περίπτωση αυτή, θα πρέπει να χορηγείται σε δόσεις χαμηλότερες από αυτές που θα χρησιμοποιούνταν σε ασθενείς που δεν λαμβάνουν κυκλοσπορίνη.</w:t>
      </w:r>
    </w:p>
    <w:p w:rsidR="00C4383A" w:rsidRPr="008A50A5" w:rsidRDefault="00C4383A" w:rsidP="00C174CF">
      <w:pPr>
        <w:pStyle w:val="Text"/>
        <w:spacing w:before="0" w:after="120"/>
        <w:rPr>
          <w:rFonts w:cs="Times New Roman"/>
          <w:b/>
          <w:i/>
          <w:sz w:val="22"/>
          <w:szCs w:val="22"/>
          <w:lang w:val="el-GR"/>
        </w:rPr>
      </w:pPr>
      <w:r w:rsidRPr="008A50A5">
        <w:rPr>
          <w:rFonts w:cs="Times New Roman"/>
          <w:b/>
          <w:i/>
          <w:sz w:val="22"/>
          <w:szCs w:val="22"/>
          <w:lang w:val="el-GR"/>
        </w:rPr>
        <w:t>Tacrolimus</w:t>
      </w:r>
    </w:p>
    <w:p w:rsidR="00C4383A" w:rsidRPr="008A50A5" w:rsidRDefault="00C4383A" w:rsidP="00C174CF">
      <w:pPr>
        <w:pStyle w:val="Text"/>
        <w:spacing w:before="0" w:after="120"/>
        <w:rPr>
          <w:rFonts w:cs="Times New Roman"/>
          <w:sz w:val="22"/>
          <w:szCs w:val="22"/>
          <w:lang w:val="el-GR"/>
        </w:rPr>
      </w:pPr>
      <w:r w:rsidRPr="008A50A5">
        <w:rPr>
          <w:rFonts w:cs="Times New Roman"/>
          <w:sz w:val="22"/>
          <w:szCs w:val="22"/>
          <w:lang w:val="el-GR"/>
        </w:rPr>
        <w:t xml:space="preserve">Η δικλοφαινάκη όπως και άλλα ΜΣΑΦ μπορεί να αυξήσουν τη νεφροτοξικότητα του  Tacrolimus λόγω των δράσεων των ΜΣΑΦ και του αναστολέα καλσινευρίνης στις προσταγλαδίνες των νεφρών. </w:t>
      </w:r>
    </w:p>
    <w:p w:rsidR="00C4383A" w:rsidRPr="008A50A5" w:rsidRDefault="00C4383A" w:rsidP="00C174CF">
      <w:pPr>
        <w:pStyle w:val="Text"/>
        <w:spacing w:before="0" w:after="120"/>
        <w:rPr>
          <w:rFonts w:cs="Times New Roman"/>
          <w:sz w:val="22"/>
          <w:szCs w:val="22"/>
          <w:lang w:val="el-GR"/>
        </w:rPr>
      </w:pPr>
      <w:r w:rsidRPr="008A50A5">
        <w:rPr>
          <w:rFonts w:cs="Times New Roman"/>
          <w:b/>
          <w:i/>
          <w:sz w:val="22"/>
          <w:szCs w:val="22"/>
          <w:lang w:val="el-GR"/>
        </w:rPr>
        <w:t xml:space="preserve">Αντιβακτηριδιακοί παράγοντες- ανάλογα κινολόνης </w:t>
      </w:r>
      <w:r w:rsidRPr="008A50A5">
        <w:rPr>
          <w:rFonts w:cs="Times New Roman"/>
          <w:sz w:val="22"/>
          <w:szCs w:val="22"/>
          <w:lang w:val="el-GR"/>
        </w:rPr>
        <w:t xml:space="preserve">Υπάρχουν μεμονωμένες αναφορές σπασμών που μπορεί να </w:t>
      </w:r>
      <w:r w:rsidR="00786D53" w:rsidRPr="008A50A5">
        <w:rPr>
          <w:rFonts w:cs="Times New Roman"/>
          <w:sz w:val="22"/>
          <w:szCs w:val="22"/>
          <w:lang w:val="el-GR"/>
        </w:rPr>
        <w:t>αποδοθούν</w:t>
      </w:r>
      <w:r w:rsidRPr="008A50A5">
        <w:rPr>
          <w:rFonts w:cs="Times New Roman"/>
          <w:sz w:val="22"/>
          <w:szCs w:val="22"/>
          <w:lang w:val="el-GR"/>
        </w:rPr>
        <w:t xml:space="preserve"> στη ταυτόχρονη χορήγηση κινολονών και ΜΣΑΦ.</w:t>
      </w:r>
    </w:p>
    <w:p w:rsidR="00C4383A" w:rsidRPr="008A50A5" w:rsidRDefault="00C4383A" w:rsidP="00C174CF">
      <w:pPr>
        <w:spacing w:after="120"/>
        <w:ind w:right="86"/>
        <w:jc w:val="both"/>
        <w:rPr>
          <w:rFonts w:cs="Times New Roman"/>
          <w:sz w:val="22"/>
          <w:szCs w:val="22"/>
          <w:lang w:val="el-GR"/>
        </w:rPr>
      </w:pPr>
      <w:r w:rsidRPr="008A50A5">
        <w:rPr>
          <w:rFonts w:cs="Times New Roman"/>
          <w:b/>
          <w:i/>
          <w:sz w:val="22"/>
          <w:szCs w:val="22"/>
          <w:u w:val="single"/>
          <w:lang w:val="el-GR"/>
        </w:rPr>
        <w:t xml:space="preserve">Φαινυτοϊνη </w:t>
      </w:r>
      <w:r w:rsidRPr="008A50A5">
        <w:rPr>
          <w:rFonts w:cs="Times New Roman"/>
          <w:sz w:val="22"/>
          <w:szCs w:val="22"/>
          <w:lang w:val="el-GR"/>
        </w:rPr>
        <w:t>Συνιστάται η παρακολούθηση των συγκεντρώσεων της φαινυτοϊνης στο πλάσμα, όταν η φαινυτοϊνη χρησιμοποιείται ταυτόχρονα με τη δικλοφαινάκη λόγω μιας αναμενόμενης αύξησης της έκθεσης στη φαινυτοϊνη</w:t>
      </w:r>
    </w:p>
    <w:p w:rsidR="00C4383A" w:rsidRPr="008A50A5" w:rsidRDefault="00C4383A" w:rsidP="00C174CF">
      <w:pPr>
        <w:pStyle w:val="Text"/>
        <w:spacing w:after="120"/>
        <w:rPr>
          <w:rFonts w:cs="Times New Roman"/>
          <w:sz w:val="22"/>
          <w:szCs w:val="22"/>
          <w:lang w:val="el-GR"/>
        </w:rPr>
      </w:pPr>
      <w:r w:rsidRPr="008A50A5">
        <w:rPr>
          <w:rFonts w:cs="Times New Roman"/>
          <w:b/>
          <w:i/>
          <w:sz w:val="22"/>
          <w:szCs w:val="22"/>
          <w:lang w:val="el-GR"/>
        </w:rPr>
        <w:lastRenderedPageBreak/>
        <w:t xml:space="preserve">Χολεστιπόλη και χολεστυραμίνη </w:t>
      </w:r>
      <w:r w:rsidRPr="008A50A5">
        <w:rPr>
          <w:rFonts w:cs="Times New Roman"/>
          <w:sz w:val="22"/>
          <w:szCs w:val="22"/>
          <w:lang w:val="el-GR"/>
        </w:rPr>
        <w:t>Οι παράγοντες αυτοί μπορεί να προκαλέσουν καθυστέρηση ή μείωση στην απορρόφηση της δικλοφαινάκης. Για το λόγο αυτό συνιστάται η χορήγηση δικλοφαινάκης το λιγότερο μια ώρα πριν ή 4 ως 6 ώρες μετά τη χορήγηση χολεστυπόλης ή χολεστυραμίνης</w:t>
      </w:r>
      <w:r w:rsidR="00DF56E2">
        <w:rPr>
          <w:rFonts w:cs="Times New Roman"/>
          <w:sz w:val="22"/>
          <w:szCs w:val="22"/>
          <w:lang w:val="el-GR"/>
        </w:rPr>
        <w:t>.</w:t>
      </w:r>
    </w:p>
    <w:p w:rsidR="00C4383A" w:rsidRPr="008A50A5" w:rsidRDefault="00C4383A" w:rsidP="00C174CF">
      <w:pPr>
        <w:spacing w:after="120"/>
        <w:ind w:right="86"/>
        <w:jc w:val="both"/>
        <w:rPr>
          <w:rFonts w:cs="Times New Roman"/>
          <w:sz w:val="22"/>
          <w:szCs w:val="22"/>
          <w:lang w:val="el-GR"/>
        </w:rPr>
      </w:pPr>
      <w:r w:rsidRPr="008A50A5">
        <w:rPr>
          <w:rFonts w:cs="Times New Roman"/>
          <w:b/>
          <w:i/>
          <w:sz w:val="22"/>
          <w:szCs w:val="22"/>
          <w:lang w:val="el-GR"/>
        </w:rPr>
        <w:t xml:space="preserve">Ισχυροί αναστολείς του κυτοχρώματος </w:t>
      </w:r>
      <w:r w:rsidRPr="008A50A5">
        <w:rPr>
          <w:rFonts w:cs="Times New Roman"/>
          <w:b/>
          <w:i/>
          <w:sz w:val="22"/>
          <w:szCs w:val="22"/>
        </w:rPr>
        <w:t>CYP</w:t>
      </w:r>
      <w:r w:rsidRPr="008A50A5">
        <w:rPr>
          <w:rFonts w:cs="Times New Roman"/>
          <w:b/>
          <w:i/>
          <w:sz w:val="22"/>
          <w:szCs w:val="22"/>
          <w:lang w:val="el-GR"/>
        </w:rPr>
        <w:t>2</w:t>
      </w:r>
      <w:r w:rsidRPr="008A50A5">
        <w:rPr>
          <w:rFonts w:cs="Times New Roman"/>
          <w:b/>
          <w:i/>
          <w:sz w:val="22"/>
          <w:szCs w:val="22"/>
        </w:rPr>
        <w:t>C</w:t>
      </w:r>
      <w:r w:rsidRPr="008A50A5">
        <w:rPr>
          <w:rFonts w:cs="Times New Roman"/>
          <w:b/>
          <w:i/>
          <w:sz w:val="22"/>
          <w:szCs w:val="22"/>
          <w:lang w:val="el-GR"/>
        </w:rPr>
        <w:t xml:space="preserve">9 </w:t>
      </w:r>
      <w:r w:rsidRPr="008A50A5">
        <w:rPr>
          <w:rFonts w:cs="Times New Roman"/>
          <w:sz w:val="22"/>
          <w:szCs w:val="22"/>
          <w:lang w:val="el-GR"/>
        </w:rPr>
        <w:t>Πρέπει να δίνεται ιδιαίτερη προσοχή όταν η δικλοφαινάκη συνταγογραφείται ταυτόχρονα με ισχυρούς αναστολείς του κυτοχρώματος CYP2C9 (όπως η σουλφινπυραζόνη και η βορικοναζόλη) που θα μπορούσε να έχει ως αποτέλεσμα μια σημαντική αύξηση ως προς τις μέγιστες συγκεντρώσεις στο πλάσμα και την έκθεση στη δικλοφαινάκη, εξ’ αιτίας παρεμπόδισης του μεταβολισμού της δικλοφαινάκης.</w:t>
      </w:r>
    </w:p>
    <w:p w:rsidR="00C4383A" w:rsidRPr="008A50A5" w:rsidRDefault="00C4383A" w:rsidP="00C174CF">
      <w:pPr>
        <w:pStyle w:val="Text"/>
        <w:spacing w:before="0" w:after="120"/>
        <w:rPr>
          <w:rFonts w:eastAsia="Times New Roman" w:cs="Times New Roman"/>
          <w:b/>
          <w:i/>
          <w:sz w:val="22"/>
          <w:szCs w:val="22"/>
          <w:lang w:val="el-GR"/>
        </w:rPr>
      </w:pPr>
      <w:r w:rsidRPr="008A50A5">
        <w:rPr>
          <w:rFonts w:eastAsia="Times New Roman" w:cs="Times New Roman"/>
          <w:b/>
          <w:i/>
          <w:sz w:val="22"/>
          <w:szCs w:val="22"/>
          <w:lang w:val="el-GR"/>
        </w:rPr>
        <w:t xml:space="preserve">Καρδιακές Γλυκοσίδες </w:t>
      </w:r>
    </w:p>
    <w:p w:rsidR="00C4383A" w:rsidRPr="008A50A5" w:rsidRDefault="00C4383A" w:rsidP="00C174CF">
      <w:pPr>
        <w:pStyle w:val="Text"/>
        <w:spacing w:before="0" w:after="120"/>
        <w:rPr>
          <w:rFonts w:eastAsia="Times New Roman" w:cs="Times New Roman"/>
          <w:sz w:val="22"/>
          <w:szCs w:val="22"/>
          <w:lang w:val="el-GR"/>
        </w:rPr>
      </w:pPr>
      <w:r w:rsidRPr="008A50A5">
        <w:rPr>
          <w:rFonts w:eastAsia="Times New Roman" w:cs="Times New Roman"/>
          <w:sz w:val="22"/>
          <w:szCs w:val="22"/>
          <w:lang w:val="el-GR"/>
        </w:rPr>
        <w:t xml:space="preserve">Συγχορήγηση καρδιακών γλυκοσιδών και ΜΣΑΦ είναι δυνατόν να επιδεινώσει προϋπάρχουσα  καρδιακή ανεπάρκεια, να μειώσει τον ρυθμό σπειραματικής διήθησης και να αυξήσει τα επίπεδα γλυκοσιδών στο πλάσμα. </w:t>
      </w:r>
    </w:p>
    <w:p w:rsidR="00C4383A" w:rsidRPr="008A50A5" w:rsidRDefault="00C4383A" w:rsidP="00C174CF">
      <w:pPr>
        <w:pStyle w:val="Text"/>
        <w:spacing w:before="0" w:after="120"/>
        <w:ind w:left="851" w:hanging="851"/>
        <w:rPr>
          <w:rFonts w:eastAsia="Times New Roman" w:cs="Times New Roman"/>
          <w:b/>
          <w:i/>
          <w:sz w:val="22"/>
          <w:szCs w:val="22"/>
          <w:lang w:val="el-GR"/>
        </w:rPr>
      </w:pPr>
      <w:r w:rsidRPr="008A50A5">
        <w:rPr>
          <w:rFonts w:eastAsia="Times New Roman" w:cs="Times New Roman"/>
          <w:b/>
          <w:i/>
          <w:sz w:val="22"/>
          <w:szCs w:val="22"/>
          <w:lang w:val="el-GR"/>
        </w:rPr>
        <w:t>Μιφεπριστόνη</w:t>
      </w:r>
    </w:p>
    <w:p w:rsidR="00C4383A" w:rsidRPr="008A50A5" w:rsidRDefault="00C4383A" w:rsidP="00C174CF">
      <w:pPr>
        <w:pStyle w:val="Text"/>
        <w:spacing w:before="0" w:after="120"/>
        <w:rPr>
          <w:rFonts w:eastAsia="Times New Roman" w:cs="Times New Roman"/>
          <w:sz w:val="22"/>
          <w:szCs w:val="22"/>
          <w:lang w:val="el-GR"/>
        </w:rPr>
      </w:pPr>
      <w:r w:rsidRPr="008A50A5">
        <w:rPr>
          <w:rFonts w:eastAsia="Times New Roman" w:cs="Times New Roman"/>
          <w:sz w:val="22"/>
          <w:szCs w:val="22"/>
          <w:lang w:val="el-GR"/>
        </w:rPr>
        <w:t>Τα ΜΣΑΦ δεν θα πρέπει να χρησιμοποιούνται για χρονικό διάστημα 8-12 ημερών μετά την χορήγηση μιφεπριστόνης καθώς είναι δυνατό να μειώσουν την δράση της.</w:t>
      </w:r>
    </w:p>
    <w:p w:rsidR="00C4383A" w:rsidRPr="008A50A5" w:rsidRDefault="00C4383A" w:rsidP="00C174CF">
      <w:pPr>
        <w:jc w:val="both"/>
        <w:rPr>
          <w:rFonts w:cs="Times New Roman"/>
          <w:b/>
          <w:i/>
          <w:sz w:val="22"/>
          <w:szCs w:val="22"/>
          <w:lang w:val="el-GR"/>
        </w:rPr>
      </w:pPr>
    </w:p>
    <w:p w:rsidR="00C4383A" w:rsidRPr="008A50A5" w:rsidRDefault="00C4383A" w:rsidP="00C174CF">
      <w:pPr>
        <w:jc w:val="both"/>
        <w:rPr>
          <w:rFonts w:cs="Times New Roman"/>
          <w:b/>
          <w:sz w:val="22"/>
          <w:szCs w:val="22"/>
          <w:lang w:val="el-GR"/>
        </w:rPr>
      </w:pPr>
      <w:r w:rsidRPr="008A50A5">
        <w:rPr>
          <w:rFonts w:cs="Times New Roman"/>
          <w:b/>
          <w:sz w:val="22"/>
          <w:szCs w:val="22"/>
          <w:lang w:val="el-GR"/>
        </w:rPr>
        <w:t>4.6. Γονιμότητα, κύηση και γαλουχία</w:t>
      </w:r>
    </w:p>
    <w:p w:rsidR="00C4383A" w:rsidRPr="008A50A5" w:rsidRDefault="00C4383A" w:rsidP="00C174CF">
      <w:pPr>
        <w:tabs>
          <w:tab w:val="left" w:pos="2149"/>
        </w:tabs>
        <w:ind w:left="720"/>
        <w:jc w:val="both"/>
        <w:rPr>
          <w:rFonts w:cs="Times New Roman"/>
          <w:b/>
          <w:sz w:val="22"/>
          <w:szCs w:val="22"/>
          <w:lang w:val="el-GR"/>
        </w:rPr>
      </w:pPr>
    </w:p>
    <w:p w:rsidR="00C4383A" w:rsidRPr="008A50A5" w:rsidRDefault="00C4383A" w:rsidP="00C174CF">
      <w:pPr>
        <w:spacing w:after="120"/>
        <w:ind w:right="84"/>
        <w:jc w:val="both"/>
        <w:rPr>
          <w:rFonts w:cs="Times New Roman"/>
          <w:b/>
          <w:i/>
          <w:sz w:val="22"/>
          <w:szCs w:val="22"/>
          <w:lang w:val="el-GR"/>
        </w:rPr>
      </w:pPr>
      <w:r w:rsidRPr="008A50A5">
        <w:rPr>
          <w:rFonts w:cs="Times New Roman"/>
          <w:b/>
          <w:i/>
          <w:sz w:val="22"/>
          <w:szCs w:val="22"/>
          <w:lang w:val="el-GR"/>
        </w:rPr>
        <w:t>Κύηση</w:t>
      </w:r>
    </w:p>
    <w:p w:rsidR="00C4383A" w:rsidRPr="008A50A5" w:rsidRDefault="00C4383A" w:rsidP="00C174CF">
      <w:pPr>
        <w:pStyle w:val="Text"/>
        <w:tabs>
          <w:tab w:val="left" w:pos="0"/>
          <w:tab w:val="left" w:pos="6663"/>
        </w:tabs>
        <w:spacing w:before="0"/>
        <w:ind w:right="69"/>
        <w:rPr>
          <w:rFonts w:cs="Times New Roman"/>
          <w:sz w:val="22"/>
          <w:szCs w:val="22"/>
          <w:lang w:val="el-GR"/>
        </w:rPr>
      </w:pPr>
      <w:r w:rsidRPr="008A50A5">
        <w:rPr>
          <w:rFonts w:cs="Times New Roman"/>
          <w:sz w:val="22"/>
          <w:szCs w:val="22"/>
          <w:lang w:val="el-GR"/>
        </w:rPr>
        <w:t>Η αναστολή της σύνθεσης προσταγλαδινών μπορεί να επηρεάσει αρνητικά την εγκυμοσύνη  και/η την εμβρυϊκή ανάπτυξη. Δεδομένα από επιδημιολογικές μελέτες δεικνύουν  αυξημένο κίνδυνο αποβολής, καρδιακών δυσπλασιών και γαστροσχιστίας μετά τη χρήση αναστολέα της σύνθεσης των προσταγλαδινών στην αρχή της εγκυμοσύνης. Ο απόλυτος κίνδυνος καρδιακών δυσπλασιών αυξήθηκε από λιγότερο από 1% , σε περίπου 1,5% .</w:t>
      </w:r>
    </w:p>
    <w:p w:rsidR="00C4383A" w:rsidRPr="008A50A5" w:rsidRDefault="00C4383A" w:rsidP="00C174CF">
      <w:pPr>
        <w:pStyle w:val="Text"/>
        <w:tabs>
          <w:tab w:val="left" w:pos="0"/>
          <w:tab w:val="left" w:pos="6663"/>
        </w:tabs>
        <w:spacing w:before="0"/>
        <w:ind w:right="69"/>
        <w:rPr>
          <w:rFonts w:cs="Times New Roman"/>
          <w:sz w:val="22"/>
          <w:szCs w:val="22"/>
          <w:lang w:val="el-GR"/>
        </w:rPr>
      </w:pPr>
      <w:r w:rsidRPr="008A50A5">
        <w:rPr>
          <w:rFonts w:cs="Times New Roman"/>
          <w:sz w:val="22"/>
          <w:szCs w:val="22"/>
          <w:lang w:val="el-GR"/>
        </w:rPr>
        <w:t>Ο κίνδυνος πιστεύεται ότι αυξάνει με τη δόση και τη διάρκεια της θεραπείας. Σε ζώα, η χορήγηση αναστολέα της σύνθεσης προσταγλαδινών έχει ως αποτέλεσμα την προ- και μετα-εμφυτευτική απώλεια και τον εμβρυϊκό θάνατο.</w:t>
      </w:r>
    </w:p>
    <w:p w:rsidR="00C4383A" w:rsidRPr="008A50A5" w:rsidRDefault="00C4383A" w:rsidP="00C174CF">
      <w:pPr>
        <w:pStyle w:val="Text"/>
        <w:tabs>
          <w:tab w:val="left" w:pos="0"/>
          <w:tab w:val="left" w:pos="6663"/>
        </w:tabs>
        <w:spacing w:before="0"/>
        <w:ind w:right="69"/>
        <w:rPr>
          <w:rFonts w:cs="Times New Roman"/>
          <w:sz w:val="22"/>
          <w:szCs w:val="22"/>
          <w:lang w:val="el-GR"/>
        </w:rPr>
      </w:pPr>
      <w:r w:rsidRPr="008A50A5">
        <w:rPr>
          <w:rFonts w:cs="Times New Roman"/>
          <w:sz w:val="22"/>
          <w:szCs w:val="22"/>
          <w:lang w:val="el-GR"/>
        </w:rPr>
        <w:t>Επιπρόσθετα αυξημένη εμφάνιση διαφόρων δυσπλασιών, περιλαμβανομένων των καρδιαγγειακών έχει αναφερθεί σε ζώα στα οποία χορηγήθηκε αναστολέας της σύνθεσης προσταγλαδινών κατά την οργανογενετική περίοδο. Κατά το πρώτο και δεύτερο τρίμηνο της εγκυμοσύνης, η δικλοφαινάκη δεν πρέπει να χορηγείται εκτός εάν είναι απολύτως απαραίτητο. Αν η δικλοφαινάκη χρησιμοποιείται από γυναίκα που προσπαθεί να συλλάβει, ή κατά το πρώτο και δεύτερο τρίμηνο της εγκυμοσύνης, η δόση πρέπει να διατηρείται όσο χαμηλή και η διάρκεια της θεραπείας όσο σύντομη είναι δυνατόν.</w:t>
      </w:r>
    </w:p>
    <w:p w:rsidR="00C4383A" w:rsidRPr="008A50A5" w:rsidRDefault="00C4383A" w:rsidP="00C174CF">
      <w:pPr>
        <w:pStyle w:val="Text"/>
        <w:tabs>
          <w:tab w:val="left" w:pos="0"/>
          <w:tab w:val="left" w:pos="6663"/>
        </w:tabs>
        <w:spacing w:before="0"/>
        <w:ind w:right="69"/>
        <w:rPr>
          <w:rFonts w:cs="Times New Roman"/>
          <w:sz w:val="22"/>
          <w:szCs w:val="22"/>
          <w:lang w:val="el-GR"/>
        </w:rPr>
      </w:pPr>
    </w:p>
    <w:p w:rsidR="00C4383A" w:rsidRPr="008A50A5" w:rsidRDefault="00C4383A" w:rsidP="00C174CF">
      <w:pPr>
        <w:pStyle w:val="Text"/>
        <w:tabs>
          <w:tab w:val="left" w:pos="0"/>
          <w:tab w:val="left" w:pos="6663"/>
        </w:tabs>
        <w:spacing w:before="0"/>
        <w:ind w:right="69"/>
        <w:rPr>
          <w:rFonts w:cs="Times New Roman"/>
          <w:sz w:val="22"/>
          <w:szCs w:val="22"/>
          <w:lang w:val="el-GR"/>
        </w:rPr>
      </w:pPr>
      <w:r w:rsidRPr="008A50A5">
        <w:rPr>
          <w:rFonts w:cs="Times New Roman"/>
          <w:sz w:val="22"/>
          <w:szCs w:val="22"/>
          <w:lang w:val="el-GR"/>
        </w:rPr>
        <w:t xml:space="preserve">Κατά το τρίτο τρίμηνο της εγκυμοσύνης, όλοι οι αναστολείς της σύνθεσης προσταγλαδινών  μπορεί να προκαλέσουν </w:t>
      </w:r>
    </w:p>
    <w:p w:rsidR="00C4383A" w:rsidRPr="008A50A5" w:rsidRDefault="00C4383A" w:rsidP="00C174CF">
      <w:pPr>
        <w:pStyle w:val="Text"/>
        <w:tabs>
          <w:tab w:val="left" w:pos="0"/>
          <w:tab w:val="left" w:pos="6663"/>
        </w:tabs>
        <w:spacing w:before="0"/>
        <w:ind w:right="69"/>
        <w:rPr>
          <w:rFonts w:cs="Times New Roman"/>
          <w:b/>
          <w:sz w:val="22"/>
          <w:szCs w:val="22"/>
          <w:lang w:val="el-GR"/>
        </w:rPr>
      </w:pPr>
      <w:r w:rsidRPr="008A50A5">
        <w:rPr>
          <w:rFonts w:cs="Times New Roman"/>
          <w:b/>
          <w:sz w:val="22"/>
          <w:szCs w:val="22"/>
          <w:lang w:val="el-GR"/>
        </w:rPr>
        <w:t>στο έμβρυο:</w:t>
      </w:r>
    </w:p>
    <w:p w:rsidR="00C4383A" w:rsidRPr="008A50A5" w:rsidRDefault="00C4383A" w:rsidP="00C174CF">
      <w:pPr>
        <w:pStyle w:val="Text"/>
        <w:numPr>
          <w:ilvl w:val="0"/>
          <w:numId w:val="3"/>
        </w:numPr>
        <w:tabs>
          <w:tab w:val="left" w:pos="1440"/>
          <w:tab w:val="left" w:pos="8103"/>
        </w:tabs>
        <w:spacing w:before="0"/>
        <w:ind w:right="69"/>
        <w:rPr>
          <w:rFonts w:cs="Times New Roman"/>
          <w:sz w:val="22"/>
          <w:szCs w:val="22"/>
          <w:lang w:val="el-GR"/>
        </w:rPr>
      </w:pPr>
      <w:r w:rsidRPr="008A50A5">
        <w:rPr>
          <w:rFonts w:cs="Times New Roman"/>
          <w:sz w:val="22"/>
          <w:szCs w:val="22"/>
          <w:lang w:val="el-GR"/>
        </w:rPr>
        <w:t>καρδιοπνευμονική τοξικότητα ( με πρόωρη σύγκλιση του αρτηριακού πόρου και πνευμονική υπέρταση)</w:t>
      </w:r>
    </w:p>
    <w:p w:rsidR="00C4383A" w:rsidRPr="008A50A5" w:rsidRDefault="00C4383A" w:rsidP="00C174CF">
      <w:pPr>
        <w:pStyle w:val="Text"/>
        <w:numPr>
          <w:ilvl w:val="0"/>
          <w:numId w:val="3"/>
        </w:numPr>
        <w:tabs>
          <w:tab w:val="left" w:pos="1440"/>
          <w:tab w:val="left" w:pos="8103"/>
        </w:tabs>
        <w:spacing w:before="0"/>
        <w:ind w:right="69"/>
        <w:rPr>
          <w:rFonts w:cs="Times New Roman"/>
          <w:sz w:val="22"/>
          <w:szCs w:val="22"/>
          <w:lang w:val="el-GR"/>
        </w:rPr>
      </w:pPr>
      <w:r w:rsidRPr="008A50A5">
        <w:rPr>
          <w:rFonts w:cs="Times New Roman"/>
          <w:sz w:val="22"/>
          <w:szCs w:val="22"/>
          <w:lang w:val="el-GR"/>
        </w:rPr>
        <w:t>νεφρική δυσλειτουργία, η οποία μπορεί να εξελιχθεί σε νεφρική ανεπάρκεια με ολιγοϋδράμνιο</w:t>
      </w:r>
    </w:p>
    <w:p w:rsidR="00C4383A" w:rsidRPr="008A50A5" w:rsidRDefault="00C4383A" w:rsidP="00C174CF">
      <w:pPr>
        <w:pStyle w:val="Text"/>
        <w:tabs>
          <w:tab w:val="left" w:pos="1440"/>
          <w:tab w:val="left" w:pos="8103"/>
        </w:tabs>
        <w:spacing w:before="0"/>
        <w:ind w:left="720" w:right="69"/>
        <w:rPr>
          <w:rFonts w:cs="Times New Roman"/>
          <w:sz w:val="22"/>
          <w:szCs w:val="22"/>
          <w:lang w:val="el-GR"/>
        </w:rPr>
      </w:pPr>
    </w:p>
    <w:p w:rsidR="00C4383A" w:rsidRPr="008A50A5" w:rsidRDefault="00C4383A" w:rsidP="00C174CF">
      <w:pPr>
        <w:pStyle w:val="Text"/>
        <w:tabs>
          <w:tab w:val="left" w:pos="0"/>
          <w:tab w:val="left" w:pos="6663"/>
        </w:tabs>
        <w:spacing w:before="0"/>
        <w:ind w:right="69"/>
        <w:rPr>
          <w:rFonts w:cs="Times New Roman"/>
          <w:b/>
          <w:sz w:val="22"/>
          <w:szCs w:val="22"/>
          <w:lang w:val="el-GR"/>
        </w:rPr>
      </w:pPr>
      <w:r w:rsidRPr="008A50A5">
        <w:rPr>
          <w:rFonts w:cs="Times New Roman"/>
          <w:b/>
          <w:sz w:val="22"/>
          <w:szCs w:val="22"/>
          <w:lang w:val="el-GR"/>
        </w:rPr>
        <w:t>στη μητέρα και το νεογνό, κατά το τέλος της εγκυμοσύνης:</w:t>
      </w:r>
    </w:p>
    <w:p w:rsidR="00C4383A" w:rsidRPr="008A50A5" w:rsidRDefault="00C4383A" w:rsidP="00C174CF">
      <w:pPr>
        <w:pStyle w:val="Text"/>
        <w:numPr>
          <w:ilvl w:val="0"/>
          <w:numId w:val="4"/>
        </w:numPr>
        <w:tabs>
          <w:tab w:val="left" w:pos="1440"/>
          <w:tab w:val="left" w:pos="8103"/>
        </w:tabs>
        <w:spacing w:before="0"/>
        <w:ind w:right="69"/>
        <w:rPr>
          <w:rFonts w:cs="Times New Roman"/>
          <w:sz w:val="22"/>
          <w:szCs w:val="22"/>
          <w:lang w:val="el-GR"/>
        </w:rPr>
      </w:pPr>
      <w:r w:rsidRPr="008A50A5">
        <w:rPr>
          <w:rFonts w:cs="Times New Roman"/>
          <w:sz w:val="22"/>
          <w:szCs w:val="22"/>
          <w:lang w:val="el-GR"/>
        </w:rPr>
        <w:t>πιθανή επιμήκυνση του χρόνου ροής, μια αντιπηκτική δράση που μπορεί να παρατηρηθεί ακόμα και σε πολύ μικρές δόσεις</w:t>
      </w:r>
    </w:p>
    <w:p w:rsidR="00C4383A" w:rsidRPr="008A50A5" w:rsidRDefault="00C4383A" w:rsidP="00C174CF">
      <w:pPr>
        <w:pStyle w:val="Text"/>
        <w:numPr>
          <w:ilvl w:val="0"/>
          <w:numId w:val="4"/>
        </w:numPr>
        <w:tabs>
          <w:tab w:val="left" w:pos="1440"/>
          <w:tab w:val="left" w:pos="8103"/>
        </w:tabs>
        <w:spacing w:before="0"/>
        <w:ind w:right="69"/>
        <w:rPr>
          <w:rFonts w:cs="Times New Roman"/>
          <w:sz w:val="22"/>
          <w:szCs w:val="22"/>
          <w:lang w:val="el-GR"/>
        </w:rPr>
      </w:pPr>
      <w:r w:rsidRPr="008A50A5">
        <w:rPr>
          <w:rFonts w:cs="Times New Roman"/>
          <w:sz w:val="22"/>
          <w:szCs w:val="22"/>
          <w:lang w:val="el-GR"/>
        </w:rPr>
        <w:t>παρεμπόδιση των συσπάσεων της μήτρας με αποτέλεσμα τον καθυστερημένο ή παρατεταμένο τοκετό.</w:t>
      </w:r>
    </w:p>
    <w:p w:rsidR="00C4383A" w:rsidRPr="008A50A5" w:rsidRDefault="00C4383A" w:rsidP="00C174CF">
      <w:pPr>
        <w:pStyle w:val="Text"/>
        <w:tabs>
          <w:tab w:val="left" w:pos="0"/>
          <w:tab w:val="left" w:pos="6663"/>
        </w:tabs>
        <w:spacing w:before="0"/>
        <w:ind w:right="69"/>
        <w:rPr>
          <w:rFonts w:cs="Times New Roman"/>
          <w:sz w:val="22"/>
          <w:szCs w:val="22"/>
          <w:lang w:val="el-GR"/>
        </w:rPr>
      </w:pPr>
    </w:p>
    <w:p w:rsidR="00C4383A" w:rsidRPr="008A50A5" w:rsidRDefault="00C4383A" w:rsidP="00F55210">
      <w:pPr>
        <w:pStyle w:val="Text"/>
        <w:tabs>
          <w:tab w:val="left" w:pos="0"/>
          <w:tab w:val="left" w:pos="6663"/>
        </w:tabs>
        <w:spacing w:before="0"/>
        <w:ind w:right="-1"/>
        <w:rPr>
          <w:rFonts w:cs="Times New Roman"/>
          <w:sz w:val="22"/>
          <w:szCs w:val="22"/>
          <w:lang w:val="el-GR"/>
        </w:rPr>
      </w:pPr>
      <w:r w:rsidRPr="008A50A5">
        <w:rPr>
          <w:rFonts w:cs="Times New Roman"/>
          <w:sz w:val="22"/>
          <w:szCs w:val="22"/>
          <w:lang w:val="el-GR"/>
        </w:rPr>
        <w:t>Συνεπώς η δικλοφ</w:t>
      </w:r>
      <w:r w:rsidR="00315BEC" w:rsidRPr="008A50A5">
        <w:rPr>
          <w:rFonts w:cs="Times New Roman"/>
          <w:sz w:val="22"/>
          <w:szCs w:val="22"/>
          <w:lang w:val="el-GR"/>
        </w:rPr>
        <w:t>αι</w:t>
      </w:r>
      <w:r w:rsidRPr="008A50A5">
        <w:rPr>
          <w:rFonts w:cs="Times New Roman"/>
          <w:sz w:val="22"/>
          <w:szCs w:val="22"/>
          <w:lang w:val="el-GR"/>
        </w:rPr>
        <w:t>νάκη αντενδείκνυται κατά το τρίτο τρίμηνο της εγκυμοσύνης</w:t>
      </w:r>
    </w:p>
    <w:p w:rsidR="00C4383A" w:rsidRPr="008A50A5" w:rsidRDefault="00C4383A" w:rsidP="00F55210">
      <w:pPr>
        <w:spacing w:after="120"/>
        <w:ind w:right="-1"/>
        <w:jc w:val="both"/>
        <w:rPr>
          <w:rFonts w:cs="Times New Roman"/>
          <w:b/>
          <w:i/>
          <w:sz w:val="22"/>
          <w:szCs w:val="22"/>
          <w:lang w:val="el-GR"/>
        </w:rPr>
      </w:pPr>
    </w:p>
    <w:p w:rsidR="00C4383A" w:rsidRPr="008A50A5" w:rsidRDefault="00C4383A" w:rsidP="00F55210">
      <w:pPr>
        <w:spacing w:after="120"/>
        <w:ind w:right="-1"/>
        <w:jc w:val="both"/>
        <w:rPr>
          <w:rFonts w:cs="Times New Roman"/>
          <w:b/>
          <w:i/>
          <w:sz w:val="22"/>
          <w:szCs w:val="22"/>
          <w:lang w:val="el-GR"/>
        </w:rPr>
      </w:pPr>
      <w:r w:rsidRPr="008A50A5">
        <w:rPr>
          <w:rFonts w:cs="Times New Roman"/>
          <w:b/>
          <w:i/>
          <w:sz w:val="22"/>
          <w:szCs w:val="22"/>
          <w:lang w:val="el-GR"/>
        </w:rPr>
        <w:t>Γαλουχία</w:t>
      </w:r>
    </w:p>
    <w:p w:rsidR="00C4383A" w:rsidRPr="008A50A5" w:rsidRDefault="00C4383A" w:rsidP="00F55210">
      <w:pPr>
        <w:pStyle w:val="Text"/>
        <w:spacing w:before="0"/>
        <w:ind w:right="-1"/>
        <w:rPr>
          <w:rFonts w:cs="Times New Roman"/>
          <w:sz w:val="22"/>
          <w:szCs w:val="22"/>
          <w:lang w:val="el-GR"/>
        </w:rPr>
      </w:pPr>
      <w:r w:rsidRPr="008A50A5">
        <w:rPr>
          <w:rFonts w:cs="Times New Roman"/>
          <w:sz w:val="22"/>
          <w:szCs w:val="22"/>
          <w:lang w:val="el-GR"/>
        </w:rPr>
        <w:lastRenderedPageBreak/>
        <w:t>Όπως και άλλα ΜΣΑΦ,  η δικλοφαινάκη περνά στο μητρικό γάλα σε μικρές ποσότητες. Για αυτόν το λόγο η δικλοφαινάκη δεν πρέπει να λαμβάνεται κατά τη διάρκεια της γαλουχίας, ώστε να αποφευχθούν ανεπιθύμητες δράσεις στο νεογνό.</w:t>
      </w:r>
    </w:p>
    <w:p w:rsidR="00C4383A" w:rsidRPr="008A50A5" w:rsidRDefault="00C4383A" w:rsidP="00F55210">
      <w:pPr>
        <w:pStyle w:val="Text"/>
        <w:spacing w:before="0"/>
        <w:ind w:left="709" w:right="-1"/>
        <w:rPr>
          <w:rFonts w:cs="Times New Roman"/>
          <w:sz w:val="22"/>
          <w:szCs w:val="22"/>
          <w:lang w:val="el-GR"/>
        </w:rPr>
      </w:pPr>
    </w:p>
    <w:p w:rsidR="00C4383A" w:rsidRPr="008A50A5" w:rsidRDefault="00C4383A" w:rsidP="00F55210">
      <w:pPr>
        <w:pStyle w:val="Text"/>
        <w:spacing w:before="0"/>
        <w:ind w:right="-1"/>
        <w:rPr>
          <w:rFonts w:cs="Times New Roman"/>
          <w:b/>
          <w:i/>
          <w:sz w:val="22"/>
          <w:szCs w:val="22"/>
          <w:lang w:val="el-GR"/>
        </w:rPr>
      </w:pPr>
      <w:r w:rsidRPr="008A50A5">
        <w:rPr>
          <w:rFonts w:cs="Times New Roman"/>
          <w:b/>
          <w:i/>
          <w:sz w:val="22"/>
          <w:szCs w:val="22"/>
          <w:lang w:val="el-GR"/>
        </w:rPr>
        <w:t>Γονιμότητα</w:t>
      </w:r>
    </w:p>
    <w:p w:rsidR="00C4383A" w:rsidRPr="008A50A5" w:rsidRDefault="00C4383A" w:rsidP="00F55210">
      <w:pPr>
        <w:pStyle w:val="Text"/>
        <w:spacing w:before="0"/>
        <w:ind w:right="-1"/>
        <w:rPr>
          <w:rFonts w:cs="Times New Roman"/>
          <w:sz w:val="22"/>
          <w:szCs w:val="22"/>
          <w:lang w:val="el-GR"/>
        </w:rPr>
      </w:pPr>
      <w:r w:rsidRPr="008A50A5">
        <w:rPr>
          <w:rFonts w:cs="Times New Roman"/>
          <w:sz w:val="22"/>
          <w:szCs w:val="22"/>
          <w:lang w:val="el-GR"/>
        </w:rPr>
        <w:t>Όπως και με άλλα ΜΣΑΦ, η χρήση της δικλοφαινάκης μπορεί να μειώσει τη γονιμότητα στη γυναίκα και δεν συνιστάται σε γυναίκες που προσπαθούν να συλλάβουν. Σε γυναίκες που αντιμετωπίζουν δυσκολίες σύλληψης ή που ελέγχονται για υπογονιμότητα, θα πρέπει να αξιολογείται το ενδεχόμενο διακοπής της χορήγησης της δικλοφαινάκης.</w:t>
      </w:r>
    </w:p>
    <w:p w:rsidR="00C4383A" w:rsidRPr="008A50A5" w:rsidRDefault="00C4383A" w:rsidP="00F55210">
      <w:pPr>
        <w:ind w:right="-1" w:firstLine="720"/>
        <w:jc w:val="both"/>
        <w:rPr>
          <w:rFonts w:cs="Times New Roman"/>
          <w:sz w:val="22"/>
          <w:szCs w:val="22"/>
          <w:lang w:val="el-GR"/>
        </w:rPr>
      </w:pPr>
    </w:p>
    <w:p w:rsidR="00C4383A" w:rsidRPr="008A50A5" w:rsidRDefault="00C4383A" w:rsidP="00F55210">
      <w:pPr>
        <w:ind w:right="-1"/>
        <w:jc w:val="both"/>
        <w:rPr>
          <w:rFonts w:cs="Times New Roman"/>
          <w:b/>
          <w:sz w:val="22"/>
          <w:szCs w:val="22"/>
          <w:lang w:val="el-GR"/>
        </w:rPr>
      </w:pPr>
      <w:r w:rsidRPr="008A50A5">
        <w:rPr>
          <w:rFonts w:cs="Times New Roman"/>
          <w:b/>
          <w:sz w:val="22"/>
          <w:szCs w:val="22"/>
          <w:lang w:val="el-GR"/>
        </w:rPr>
        <w:t xml:space="preserve"> </w:t>
      </w:r>
      <w:r w:rsidRPr="008A50A5">
        <w:rPr>
          <w:rFonts w:cs="Times New Roman"/>
          <w:b/>
          <w:i/>
          <w:sz w:val="22"/>
          <w:szCs w:val="22"/>
          <w:lang w:val="el-GR"/>
        </w:rPr>
        <w:t>4.7</w:t>
      </w:r>
      <w:r w:rsidRPr="008A50A5">
        <w:rPr>
          <w:rFonts w:cs="Times New Roman"/>
          <w:b/>
          <w:i/>
          <w:sz w:val="22"/>
          <w:szCs w:val="22"/>
          <w:lang w:val="el-GR"/>
        </w:rPr>
        <w:tab/>
        <w:t>Επίδραση στην ικανότητα οδήγησης και χειρισμού μηχανημάτων</w:t>
      </w:r>
      <w:r w:rsidRPr="008A50A5">
        <w:rPr>
          <w:rFonts w:cs="Times New Roman"/>
          <w:b/>
          <w:sz w:val="22"/>
          <w:szCs w:val="22"/>
          <w:lang w:val="el-GR"/>
        </w:rPr>
        <w:t>.</w:t>
      </w:r>
    </w:p>
    <w:p w:rsidR="00C4383A" w:rsidRPr="008A50A5" w:rsidRDefault="00C4383A" w:rsidP="00C174CF">
      <w:pPr>
        <w:pStyle w:val="Text"/>
        <w:spacing w:before="0"/>
        <w:ind w:left="1440" w:right="418"/>
        <w:rPr>
          <w:rFonts w:cs="Times New Roman"/>
          <w:sz w:val="22"/>
          <w:szCs w:val="22"/>
          <w:lang w:val="el-GR"/>
        </w:rPr>
      </w:pPr>
      <w:r w:rsidRPr="008A50A5">
        <w:rPr>
          <w:rFonts w:cs="Times New Roman"/>
          <w:sz w:val="22"/>
          <w:szCs w:val="22"/>
          <w:lang w:val="el-GR"/>
        </w:rPr>
        <w:t xml:space="preserve"> </w:t>
      </w:r>
    </w:p>
    <w:p w:rsidR="00C4383A" w:rsidRPr="008A50A5" w:rsidRDefault="00C4383A" w:rsidP="00C174CF">
      <w:pPr>
        <w:pStyle w:val="Text"/>
        <w:spacing w:before="0"/>
        <w:ind w:right="418"/>
        <w:rPr>
          <w:rFonts w:cs="Times New Roman"/>
          <w:sz w:val="22"/>
          <w:szCs w:val="22"/>
          <w:lang w:val="el-GR"/>
        </w:rPr>
      </w:pPr>
      <w:proofErr w:type="gramStart"/>
      <w:r w:rsidRPr="008A50A5">
        <w:rPr>
          <w:rFonts w:cs="Times New Roman"/>
          <w:sz w:val="22"/>
          <w:szCs w:val="22"/>
          <w:lang w:val="en-US"/>
        </w:rPr>
        <w:t>A</w:t>
      </w:r>
      <w:r w:rsidRPr="008A50A5">
        <w:rPr>
          <w:rFonts w:cs="Times New Roman"/>
          <w:sz w:val="22"/>
          <w:szCs w:val="22"/>
          <w:lang w:val="el-GR"/>
        </w:rPr>
        <w:t>σθενείς που εμφανίζουν διαταραχές της οράσεως, ίλιγγο, ζάλη</w:t>
      </w:r>
      <w:r w:rsidR="003D0D7D" w:rsidRPr="008A50A5">
        <w:rPr>
          <w:rFonts w:cs="Times New Roman"/>
          <w:sz w:val="22"/>
          <w:szCs w:val="22"/>
          <w:lang w:val="el-GR"/>
        </w:rPr>
        <w:t>,</w:t>
      </w:r>
      <w:r w:rsidRPr="008A50A5">
        <w:rPr>
          <w:rFonts w:cs="Times New Roman"/>
          <w:sz w:val="22"/>
          <w:szCs w:val="22"/>
          <w:lang w:val="el-GR"/>
        </w:rPr>
        <w:t xml:space="preserve"> υπνηλία και άλλες διαταραχές από το ΚΝΣ, ενώ λαμβάνουν δικλοφαινάκη, δεν πρέπει να οδηγούν ή να χειρίζονται μηχανήματα.</w:t>
      </w:r>
      <w:proofErr w:type="gramEnd"/>
    </w:p>
    <w:p w:rsidR="00C4383A" w:rsidRPr="008A50A5" w:rsidRDefault="00C4383A" w:rsidP="00C174CF">
      <w:pPr>
        <w:ind w:left="720"/>
        <w:jc w:val="both"/>
        <w:rPr>
          <w:rFonts w:eastAsia="MS Mincho" w:cs="Times New Roman"/>
          <w:sz w:val="22"/>
          <w:szCs w:val="22"/>
          <w:lang w:val="el-GR"/>
        </w:rPr>
      </w:pPr>
    </w:p>
    <w:p w:rsidR="00C4383A" w:rsidRPr="008A50A5" w:rsidRDefault="00C4383A" w:rsidP="00C174CF">
      <w:pPr>
        <w:jc w:val="both"/>
        <w:rPr>
          <w:rFonts w:cs="Times New Roman"/>
          <w:b/>
          <w:i/>
          <w:sz w:val="22"/>
          <w:szCs w:val="22"/>
          <w:lang w:val="el-GR"/>
        </w:rPr>
      </w:pPr>
      <w:r w:rsidRPr="008A50A5">
        <w:rPr>
          <w:rFonts w:cs="Times New Roman"/>
          <w:b/>
          <w:i/>
          <w:sz w:val="22"/>
          <w:szCs w:val="22"/>
          <w:lang w:val="el-GR"/>
        </w:rPr>
        <w:t>4.8</w:t>
      </w:r>
      <w:r w:rsidRPr="008A50A5">
        <w:rPr>
          <w:rFonts w:cs="Times New Roman"/>
          <w:b/>
          <w:i/>
          <w:sz w:val="22"/>
          <w:szCs w:val="22"/>
          <w:lang w:val="el-GR"/>
        </w:rPr>
        <w:tab/>
        <w:t>Ανεπιθύμητες ενέργειες</w:t>
      </w:r>
    </w:p>
    <w:p w:rsidR="00C4383A" w:rsidRPr="008A50A5" w:rsidRDefault="00C4383A" w:rsidP="00C174CF">
      <w:pPr>
        <w:pStyle w:val="Text"/>
        <w:rPr>
          <w:rFonts w:cs="Times New Roman"/>
          <w:sz w:val="22"/>
          <w:szCs w:val="22"/>
          <w:lang w:val="el-GR"/>
        </w:rPr>
      </w:pPr>
      <w:r w:rsidRPr="008A50A5">
        <w:rPr>
          <w:rFonts w:cs="Times New Roman"/>
          <w:sz w:val="22"/>
          <w:szCs w:val="22"/>
          <w:lang w:val="el-GR"/>
        </w:rPr>
        <w:t>Οι ανεπιθύμητες ενέργειες (Πίνακας 1) κατατάσσονται οι πιο συχνές πρώτα ακολουθώντας την παρακάτω συνθήκη: συχνές (≥ 1/100, &lt; 1/10), όχι συχνές (≥ 1/1,000, &lt; 1/100), σπάνιες (≥ 1/10,000, &lt; 1/1,000), πολύ σπάνιες (&lt; 1/10,000), μη γνωστές: δεν μπορούν να εκτιμηθούν με βάση τα διαθέσιμα δεδομένα.</w:t>
      </w:r>
    </w:p>
    <w:p w:rsidR="00C4383A" w:rsidRPr="008A50A5" w:rsidRDefault="00C4383A" w:rsidP="00C174CF">
      <w:pPr>
        <w:pStyle w:val="Text"/>
        <w:rPr>
          <w:rFonts w:cs="Times New Roman"/>
          <w:sz w:val="22"/>
          <w:szCs w:val="22"/>
          <w:lang w:val="el-GR"/>
        </w:rPr>
      </w:pPr>
      <w:r w:rsidRPr="008A50A5">
        <w:rPr>
          <w:rFonts w:cs="Times New Roman"/>
          <w:sz w:val="22"/>
          <w:szCs w:val="22"/>
          <w:lang w:val="el-GR"/>
        </w:rPr>
        <w:t>Ο παρακάτω Πίνακας περιλαμβάνει αναφορές ανεπιθύμητων ενεργειών σε βραχυχρόνια ή μακροχρόνια χορήγηση.</w:t>
      </w:r>
    </w:p>
    <w:p w:rsidR="00C4383A" w:rsidRPr="008A50A5" w:rsidRDefault="00C4383A" w:rsidP="00C174CF">
      <w:pPr>
        <w:pStyle w:val="Nottoc-headings"/>
        <w:jc w:val="both"/>
        <w:rPr>
          <w:rFonts w:ascii="Times New Roman" w:hAnsi="Times New Roman" w:cs="Times New Roman"/>
          <w:sz w:val="22"/>
          <w:szCs w:val="22"/>
          <w:lang w:val="el-GR"/>
        </w:rPr>
      </w:pPr>
      <w:r w:rsidRPr="008A50A5">
        <w:rPr>
          <w:rFonts w:ascii="Times New Roman" w:hAnsi="Times New Roman" w:cs="Times New Roman"/>
          <w:sz w:val="22"/>
          <w:szCs w:val="22"/>
          <w:lang w:val="el-GR"/>
        </w:rPr>
        <w:t>Πίνακας 1</w:t>
      </w:r>
    </w:p>
    <w:tbl>
      <w:tblPr>
        <w:tblW w:w="9205" w:type="dxa"/>
        <w:tblInd w:w="108" w:type="dxa"/>
        <w:tblLayout w:type="fixed"/>
        <w:tblLook w:val="0000"/>
      </w:tblPr>
      <w:tblGrid>
        <w:gridCol w:w="239"/>
        <w:gridCol w:w="328"/>
        <w:gridCol w:w="1872"/>
        <w:gridCol w:w="113"/>
        <w:gridCol w:w="349"/>
        <w:gridCol w:w="6171"/>
        <w:gridCol w:w="20"/>
        <w:gridCol w:w="93"/>
        <w:gridCol w:w="20"/>
      </w:tblGrid>
      <w:tr w:rsidR="00B747DD" w:rsidRPr="008A50A5" w:rsidTr="00AC0DC5">
        <w:trPr>
          <w:gridAfter w:val="3"/>
          <w:wAfter w:w="133" w:type="dxa"/>
          <w:cantSplit/>
        </w:trPr>
        <w:tc>
          <w:tcPr>
            <w:tcW w:w="9072" w:type="dxa"/>
            <w:gridSpan w:val="6"/>
            <w:tcBorders>
              <w:bottom w:val="single" w:sz="4" w:space="0" w:color="000000"/>
            </w:tcBorders>
          </w:tcPr>
          <w:p w:rsidR="00C4383A" w:rsidRPr="008A50A5" w:rsidRDefault="00C4383A" w:rsidP="00C174CF">
            <w:pPr>
              <w:pStyle w:val="Table"/>
              <w:snapToGrid w:val="0"/>
              <w:jc w:val="both"/>
              <w:rPr>
                <w:rFonts w:ascii="Times New Roman" w:hAnsi="Times New Roman" w:cs="Times New Roman"/>
                <w:b w:val="0"/>
                <w:sz w:val="22"/>
                <w:szCs w:val="22"/>
                <w:lang w:val="el-GR"/>
              </w:rPr>
            </w:pPr>
          </w:p>
        </w:tc>
      </w:tr>
      <w:tr w:rsidR="00B747DD" w:rsidRPr="008A50A5" w:rsidTr="00AC0DC5">
        <w:trPr>
          <w:cantSplit/>
        </w:trPr>
        <w:tc>
          <w:tcPr>
            <w:tcW w:w="9205" w:type="dxa"/>
            <w:gridSpan w:val="9"/>
            <w:tcBorders>
              <w:top w:val="single" w:sz="4" w:space="0" w:color="000000"/>
              <w:left w:val="single" w:sz="4" w:space="0" w:color="000000"/>
              <w:right w:val="single" w:sz="4" w:space="0" w:color="000000"/>
            </w:tcBorders>
          </w:tcPr>
          <w:p w:rsidR="00C4383A" w:rsidRPr="008A50A5" w:rsidRDefault="00C4383A" w:rsidP="00AC0DC5">
            <w:pPr>
              <w:pStyle w:val="Table"/>
              <w:snapToGrid w:val="0"/>
              <w:ind w:left="351" w:hanging="33"/>
              <w:jc w:val="both"/>
              <w:rPr>
                <w:rFonts w:ascii="Times New Roman" w:hAnsi="Times New Roman" w:cs="Times New Roman"/>
                <w:b w:val="0"/>
                <w:sz w:val="22"/>
                <w:szCs w:val="22"/>
                <w:lang w:val="el-GR"/>
              </w:rPr>
            </w:pPr>
            <w:r w:rsidRPr="008A50A5">
              <w:rPr>
                <w:rFonts w:ascii="Times New Roman" w:hAnsi="Times New Roman" w:cs="Times New Roman"/>
                <w:b w:val="0"/>
                <w:sz w:val="22"/>
                <w:szCs w:val="22"/>
                <w:lang w:val="el-GR"/>
              </w:rPr>
              <w:t>Διαταραχές του αιμοποιητικού και του λεμφικού συστήματος</w:t>
            </w:r>
          </w:p>
        </w:tc>
      </w:tr>
      <w:tr w:rsidR="00B747DD" w:rsidRPr="008A50A5" w:rsidTr="00AC0DC5">
        <w:tc>
          <w:tcPr>
            <w:tcW w:w="239" w:type="dxa"/>
            <w:tcBorders>
              <w:left w:val="single" w:sz="4" w:space="0" w:color="000000"/>
            </w:tcBorders>
          </w:tcPr>
          <w:p w:rsidR="00C4383A" w:rsidRPr="008A50A5" w:rsidRDefault="00C4383A" w:rsidP="00C174CF">
            <w:pPr>
              <w:pStyle w:val="Table"/>
              <w:snapToGrid w:val="0"/>
              <w:ind w:left="1418"/>
              <w:jc w:val="both"/>
              <w:rPr>
                <w:rFonts w:ascii="Times New Roman" w:hAnsi="Times New Roman" w:cs="Times New Roman"/>
                <w:b w:val="0"/>
                <w:sz w:val="22"/>
                <w:szCs w:val="22"/>
                <w:lang w:val="el-GR"/>
              </w:rPr>
            </w:pPr>
          </w:p>
        </w:tc>
        <w:tc>
          <w:tcPr>
            <w:tcW w:w="2662" w:type="dxa"/>
            <w:gridSpan w:val="4"/>
          </w:tcPr>
          <w:p w:rsidR="00C4383A" w:rsidRPr="008A50A5" w:rsidRDefault="00C4383A" w:rsidP="00AC0DC5">
            <w:pPr>
              <w:pStyle w:val="Table"/>
              <w:snapToGrid w:val="0"/>
              <w:ind w:left="572" w:hanging="33"/>
              <w:jc w:val="both"/>
              <w:rPr>
                <w:rFonts w:ascii="Times New Roman" w:hAnsi="Times New Roman" w:cs="Times New Roman"/>
                <w:b w:val="0"/>
                <w:sz w:val="22"/>
                <w:szCs w:val="22"/>
                <w:lang w:val="en-GB"/>
              </w:rPr>
            </w:pPr>
            <w:r w:rsidRPr="008A50A5">
              <w:rPr>
                <w:rFonts w:ascii="Times New Roman" w:hAnsi="Times New Roman" w:cs="Times New Roman"/>
                <w:b w:val="0"/>
                <w:sz w:val="22"/>
                <w:szCs w:val="22"/>
                <w:lang w:val="el-GR"/>
              </w:rPr>
              <w:t>Πολύ σπάνιες</w:t>
            </w:r>
            <w:r w:rsidRPr="008A50A5">
              <w:rPr>
                <w:rFonts w:ascii="Times New Roman" w:hAnsi="Times New Roman" w:cs="Times New Roman"/>
                <w:b w:val="0"/>
                <w:sz w:val="22"/>
                <w:szCs w:val="22"/>
                <w:lang w:val="en-GB"/>
              </w:rPr>
              <w:t>:</w:t>
            </w:r>
          </w:p>
        </w:tc>
        <w:tc>
          <w:tcPr>
            <w:tcW w:w="6304" w:type="dxa"/>
            <w:gridSpan w:val="4"/>
            <w:tcBorders>
              <w:right w:val="single" w:sz="4" w:space="0" w:color="000000"/>
            </w:tcBorders>
          </w:tcPr>
          <w:p w:rsidR="00C4383A" w:rsidRPr="008A50A5" w:rsidRDefault="00C4383A" w:rsidP="00AC0DC5">
            <w:pPr>
              <w:pStyle w:val="Table"/>
              <w:snapToGrid w:val="0"/>
              <w:ind w:left="252" w:hanging="33"/>
              <w:jc w:val="both"/>
              <w:rPr>
                <w:rFonts w:ascii="Times New Roman" w:hAnsi="Times New Roman" w:cs="Times New Roman"/>
                <w:b w:val="0"/>
                <w:sz w:val="22"/>
                <w:szCs w:val="22"/>
                <w:lang w:val="el-GR"/>
              </w:rPr>
            </w:pPr>
            <w:r w:rsidRPr="008A50A5">
              <w:rPr>
                <w:rFonts w:ascii="Times New Roman" w:hAnsi="Times New Roman" w:cs="Times New Roman"/>
                <w:b w:val="0"/>
                <w:sz w:val="22"/>
                <w:szCs w:val="22"/>
                <w:lang w:val="el-GR"/>
              </w:rPr>
              <w:t xml:space="preserve">Θρομβοκυττοπενία, λευκοπενία, αναιμία (συμπεριλαμβανομένης αιμολυτικής και απλαστικής αναιμίας), ακοκκιοκυτταραιμία </w:t>
            </w:r>
          </w:p>
        </w:tc>
      </w:tr>
      <w:tr w:rsidR="00B747DD" w:rsidRPr="008A50A5" w:rsidTr="00AC0DC5">
        <w:trPr>
          <w:cantSplit/>
        </w:trPr>
        <w:tc>
          <w:tcPr>
            <w:tcW w:w="9205" w:type="dxa"/>
            <w:gridSpan w:val="9"/>
            <w:tcBorders>
              <w:left w:val="single" w:sz="4" w:space="0" w:color="000000"/>
              <w:right w:val="single" w:sz="4" w:space="0" w:color="000000"/>
            </w:tcBorders>
          </w:tcPr>
          <w:p w:rsidR="00C4383A" w:rsidRPr="008A50A5" w:rsidRDefault="00C4383A" w:rsidP="00AC0DC5">
            <w:pPr>
              <w:pStyle w:val="Table"/>
              <w:snapToGrid w:val="0"/>
              <w:ind w:left="252" w:hanging="33"/>
              <w:jc w:val="both"/>
              <w:rPr>
                <w:rFonts w:ascii="Times New Roman" w:hAnsi="Times New Roman" w:cs="Times New Roman"/>
                <w:b w:val="0"/>
                <w:bCs/>
                <w:sz w:val="22"/>
                <w:szCs w:val="22"/>
                <w:lang w:val="el-GR"/>
              </w:rPr>
            </w:pPr>
            <w:r w:rsidRPr="008A50A5">
              <w:rPr>
                <w:rFonts w:ascii="Times New Roman" w:hAnsi="Times New Roman" w:cs="Times New Roman"/>
                <w:b w:val="0"/>
                <w:bCs/>
                <w:sz w:val="22"/>
                <w:szCs w:val="22"/>
                <w:lang w:val="el-GR"/>
              </w:rPr>
              <w:t>Διαταραχές του ανοσοποιητικού συστήματος</w:t>
            </w:r>
          </w:p>
        </w:tc>
      </w:tr>
      <w:tr w:rsidR="00B747DD" w:rsidRPr="008A50A5" w:rsidTr="00AC0DC5">
        <w:tc>
          <w:tcPr>
            <w:tcW w:w="239" w:type="dxa"/>
            <w:tcBorders>
              <w:left w:val="single" w:sz="4" w:space="0" w:color="000000"/>
            </w:tcBorders>
          </w:tcPr>
          <w:p w:rsidR="00C4383A" w:rsidRPr="008A50A5" w:rsidRDefault="00C4383A" w:rsidP="00C174CF">
            <w:pPr>
              <w:pStyle w:val="Table"/>
              <w:snapToGrid w:val="0"/>
              <w:ind w:left="1418"/>
              <w:jc w:val="both"/>
              <w:rPr>
                <w:rFonts w:ascii="Times New Roman" w:hAnsi="Times New Roman" w:cs="Times New Roman"/>
                <w:b w:val="0"/>
                <w:sz w:val="22"/>
                <w:szCs w:val="22"/>
                <w:lang w:val="en-GB"/>
              </w:rPr>
            </w:pPr>
          </w:p>
        </w:tc>
        <w:tc>
          <w:tcPr>
            <w:tcW w:w="2662" w:type="dxa"/>
            <w:gridSpan w:val="4"/>
          </w:tcPr>
          <w:p w:rsidR="00C4383A" w:rsidRPr="008A50A5" w:rsidRDefault="00C4383A" w:rsidP="00AC0DC5">
            <w:pPr>
              <w:pStyle w:val="Table"/>
              <w:snapToGrid w:val="0"/>
              <w:ind w:left="572" w:hanging="33"/>
              <w:jc w:val="both"/>
              <w:rPr>
                <w:rFonts w:ascii="Times New Roman" w:hAnsi="Times New Roman" w:cs="Times New Roman"/>
                <w:b w:val="0"/>
                <w:sz w:val="22"/>
                <w:szCs w:val="22"/>
                <w:lang w:val="en-GB"/>
              </w:rPr>
            </w:pPr>
            <w:r w:rsidRPr="008A50A5">
              <w:rPr>
                <w:rFonts w:ascii="Times New Roman" w:hAnsi="Times New Roman" w:cs="Times New Roman"/>
                <w:b w:val="0"/>
                <w:sz w:val="22"/>
                <w:szCs w:val="22"/>
                <w:lang w:val="el-GR"/>
              </w:rPr>
              <w:t>Σπάνιες</w:t>
            </w:r>
            <w:r w:rsidRPr="008A50A5">
              <w:rPr>
                <w:rFonts w:ascii="Times New Roman" w:hAnsi="Times New Roman" w:cs="Times New Roman"/>
                <w:b w:val="0"/>
                <w:sz w:val="22"/>
                <w:szCs w:val="22"/>
                <w:lang w:val="en-GB"/>
              </w:rPr>
              <w:t>:</w:t>
            </w:r>
          </w:p>
        </w:tc>
        <w:tc>
          <w:tcPr>
            <w:tcW w:w="6304" w:type="dxa"/>
            <w:gridSpan w:val="4"/>
            <w:tcBorders>
              <w:right w:val="single" w:sz="4" w:space="0" w:color="000000"/>
            </w:tcBorders>
          </w:tcPr>
          <w:p w:rsidR="00C4383A" w:rsidRPr="008A50A5" w:rsidRDefault="00C4383A" w:rsidP="00AC0DC5">
            <w:pPr>
              <w:pStyle w:val="Table"/>
              <w:snapToGrid w:val="0"/>
              <w:ind w:left="252" w:hanging="33"/>
              <w:jc w:val="both"/>
              <w:rPr>
                <w:rStyle w:val="TableChar"/>
                <w:rFonts w:ascii="Times New Roman" w:hAnsi="Times New Roman"/>
                <w:b w:val="0"/>
                <w:sz w:val="22"/>
                <w:szCs w:val="22"/>
                <w:lang w:val="el-GR"/>
              </w:rPr>
            </w:pPr>
            <w:r w:rsidRPr="008A50A5">
              <w:rPr>
                <w:rStyle w:val="TableChar"/>
                <w:rFonts w:ascii="Times New Roman" w:hAnsi="Times New Roman"/>
                <w:b w:val="0"/>
                <w:sz w:val="22"/>
                <w:szCs w:val="22"/>
                <w:lang w:val="el-GR"/>
              </w:rPr>
              <w:t>Υπερευαισθησία, συστηματικές αναφυλακτικές και αναφυλακτοειδείς αντιδράσεις (συμπεριλαμβανομένης υπότασης και καταπληξίας)</w:t>
            </w:r>
          </w:p>
        </w:tc>
      </w:tr>
      <w:tr w:rsidR="00B747DD" w:rsidRPr="008A50A5" w:rsidTr="00AC0DC5">
        <w:tc>
          <w:tcPr>
            <w:tcW w:w="239" w:type="dxa"/>
            <w:tcBorders>
              <w:left w:val="single" w:sz="4" w:space="0" w:color="000000"/>
            </w:tcBorders>
          </w:tcPr>
          <w:p w:rsidR="00C4383A" w:rsidRPr="008A50A5" w:rsidRDefault="00C4383A" w:rsidP="00C174CF">
            <w:pPr>
              <w:pStyle w:val="Table"/>
              <w:snapToGrid w:val="0"/>
              <w:ind w:left="1418"/>
              <w:jc w:val="both"/>
              <w:rPr>
                <w:rFonts w:ascii="Times New Roman" w:hAnsi="Times New Roman" w:cs="Times New Roman"/>
                <w:b w:val="0"/>
                <w:sz w:val="22"/>
                <w:szCs w:val="22"/>
                <w:lang w:val="el-GR"/>
              </w:rPr>
            </w:pPr>
          </w:p>
        </w:tc>
        <w:tc>
          <w:tcPr>
            <w:tcW w:w="2662" w:type="dxa"/>
            <w:gridSpan w:val="4"/>
          </w:tcPr>
          <w:p w:rsidR="00C4383A" w:rsidRPr="008A50A5" w:rsidRDefault="00C4383A" w:rsidP="00AC0DC5">
            <w:pPr>
              <w:pStyle w:val="Table"/>
              <w:snapToGrid w:val="0"/>
              <w:ind w:left="572" w:hanging="33"/>
              <w:jc w:val="both"/>
              <w:rPr>
                <w:rFonts w:ascii="Times New Roman" w:hAnsi="Times New Roman" w:cs="Times New Roman"/>
                <w:b w:val="0"/>
                <w:sz w:val="22"/>
                <w:szCs w:val="22"/>
                <w:lang w:val="en-GB"/>
              </w:rPr>
            </w:pPr>
            <w:r w:rsidRPr="008A50A5">
              <w:rPr>
                <w:rFonts w:ascii="Times New Roman" w:hAnsi="Times New Roman" w:cs="Times New Roman"/>
                <w:b w:val="0"/>
                <w:sz w:val="22"/>
                <w:szCs w:val="22"/>
                <w:lang w:val="el-GR"/>
              </w:rPr>
              <w:t>Πολύ σπάνιες</w:t>
            </w:r>
            <w:r w:rsidRPr="008A50A5">
              <w:rPr>
                <w:rFonts w:ascii="Times New Roman" w:hAnsi="Times New Roman" w:cs="Times New Roman"/>
                <w:b w:val="0"/>
                <w:sz w:val="22"/>
                <w:szCs w:val="22"/>
                <w:lang w:val="en-GB"/>
              </w:rPr>
              <w:t>:</w:t>
            </w:r>
          </w:p>
        </w:tc>
        <w:tc>
          <w:tcPr>
            <w:tcW w:w="6304" w:type="dxa"/>
            <w:gridSpan w:val="4"/>
            <w:tcBorders>
              <w:right w:val="single" w:sz="4" w:space="0" w:color="000000"/>
            </w:tcBorders>
          </w:tcPr>
          <w:p w:rsidR="00C4383A" w:rsidRPr="008A50A5" w:rsidRDefault="00C4383A" w:rsidP="00AC0DC5">
            <w:pPr>
              <w:pStyle w:val="Table"/>
              <w:snapToGrid w:val="0"/>
              <w:ind w:left="252" w:hanging="33"/>
              <w:jc w:val="both"/>
              <w:rPr>
                <w:rFonts w:ascii="Times New Roman" w:hAnsi="Times New Roman" w:cs="Times New Roman"/>
                <w:b w:val="0"/>
                <w:sz w:val="22"/>
                <w:szCs w:val="22"/>
                <w:lang w:val="el-GR"/>
              </w:rPr>
            </w:pPr>
            <w:r w:rsidRPr="008A50A5">
              <w:rPr>
                <w:rFonts w:ascii="Times New Roman" w:hAnsi="Times New Roman" w:cs="Times New Roman"/>
                <w:b w:val="0"/>
                <w:sz w:val="22"/>
                <w:szCs w:val="22"/>
                <w:lang w:val="el-GR"/>
              </w:rPr>
              <w:t>Αγγειονευρωτικό οίδημα (συμπεριλαμβανομένου οιδήματος του προσώπου)</w:t>
            </w:r>
          </w:p>
        </w:tc>
      </w:tr>
      <w:tr w:rsidR="00B747DD" w:rsidRPr="008A50A5" w:rsidTr="00AC0DC5">
        <w:trPr>
          <w:cantSplit/>
        </w:trPr>
        <w:tc>
          <w:tcPr>
            <w:tcW w:w="9205" w:type="dxa"/>
            <w:gridSpan w:val="9"/>
            <w:tcBorders>
              <w:left w:val="single" w:sz="4" w:space="0" w:color="000000"/>
              <w:right w:val="single" w:sz="4" w:space="0" w:color="000000"/>
            </w:tcBorders>
          </w:tcPr>
          <w:p w:rsidR="00C4383A" w:rsidRPr="008A50A5" w:rsidRDefault="00C4383A" w:rsidP="00AC0DC5">
            <w:pPr>
              <w:pStyle w:val="Table"/>
              <w:snapToGrid w:val="0"/>
              <w:ind w:left="252" w:hanging="33"/>
              <w:jc w:val="both"/>
              <w:rPr>
                <w:rFonts w:ascii="Times New Roman" w:hAnsi="Times New Roman" w:cs="Times New Roman"/>
                <w:b w:val="0"/>
                <w:sz w:val="22"/>
                <w:szCs w:val="22"/>
                <w:lang w:val="el-GR"/>
              </w:rPr>
            </w:pPr>
            <w:r w:rsidRPr="008A50A5">
              <w:rPr>
                <w:rFonts w:ascii="Times New Roman" w:hAnsi="Times New Roman" w:cs="Times New Roman"/>
                <w:b w:val="0"/>
                <w:sz w:val="22"/>
                <w:szCs w:val="22"/>
                <w:lang w:val="el-GR"/>
              </w:rPr>
              <w:t>Ψυχιατρικές διαταραχές</w:t>
            </w:r>
          </w:p>
        </w:tc>
      </w:tr>
      <w:tr w:rsidR="00B747DD" w:rsidRPr="008A50A5" w:rsidTr="00AC0DC5">
        <w:tc>
          <w:tcPr>
            <w:tcW w:w="239" w:type="dxa"/>
            <w:tcBorders>
              <w:left w:val="single" w:sz="4" w:space="0" w:color="000000"/>
            </w:tcBorders>
          </w:tcPr>
          <w:p w:rsidR="00C4383A" w:rsidRPr="008A50A5" w:rsidRDefault="00C4383A" w:rsidP="00C174CF">
            <w:pPr>
              <w:pStyle w:val="Table"/>
              <w:snapToGrid w:val="0"/>
              <w:ind w:left="1418"/>
              <w:jc w:val="both"/>
              <w:rPr>
                <w:rFonts w:ascii="Times New Roman" w:hAnsi="Times New Roman" w:cs="Times New Roman"/>
                <w:b w:val="0"/>
                <w:sz w:val="22"/>
                <w:szCs w:val="22"/>
                <w:lang w:val="en-GB"/>
              </w:rPr>
            </w:pPr>
          </w:p>
        </w:tc>
        <w:tc>
          <w:tcPr>
            <w:tcW w:w="2662" w:type="dxa"/>
            <w:gridSpan w:val="4"/>
          </w:tcPr>
          <w:p w:rsidR="00C4383A" w:rsidRPr="008A50A5" w:rsidRDefault="00C4383A" w:rsidP="00AC0DC5">
            <w:pPr>
              <w:pStyle w:val="Table"/>
              <w:snapToGrid w:val="0"/>
              <w:ind w:left="572" w:hanging="33"/>
              <w:jc w:val="both"/>
              <w:rPr>
                <w:rFonts w:ascii="Times New Roman" w:hAnsi="Times New Roman" w:cs="Times New Roman"/>
                <w:b w:val="0"/>
                <w:sz w:val="22"/>
                <w:szCs w:val="22"/>
                <w:lang w:val="en-GB"/>
              </w:rPr>
            </w:pPr>
            <w:r w:rsidRPr="008A50A5">
              <w:rPr>
                <w:rFonts w:ascii="Times New Roman" w:hAnsi="Times New Roman" w:cs="Times New Roman"/>
                <w:b w:val="0"/>
                <w:sz w:val="22"/>
                <w:szCs w:val="22"/>
                <w:lang w:val="el-GR"/>
              </w:rPr>
              <w:t>Πολύ σπάνιες</w:t>
            </w:r>
            <w:r w:rsidRPr="008A50A5">
              <w:rPr>
                <w:rFonts w:ascii="Times New Roman" w:hAnsi="Times New Roman" w:cs="Times New Roman"/>
                <w:b w:val="0"/>
                <w:sz w:val="22"/>
                <w:szCs w:val="22"/>
                <w:lang w:val="en-GB"/>
              </w:rPr>
              <w:t>:</w:t>
            </w:r>
          </w:p>
        </w:tc>
        <w:tc>
          <w:tcPr>
            <w:tcW w:w="6304" w:type="dxa"/>
            <w:gridSpan w:val="4"/>
            <w:tcBorders>
              <w:right w:val="single" w:sz="4" w:space="0" w:color="000000"/>
            </w:tcBorders>
          </w:tcPr>
          <w:p w:rsidR="00C4383A" w:rsidRPr="008A50A5" w:rsidRDefault="00C4383A" w:rsidP="00AC0DC5">
            <w:pPr>
              <w:pStyle w:val="Table"/>
              <w:snapToGrid w:val="0"/>
              <w:ind w:left="252" w:hanging="33"/>
              <w:jc w:val="both"/>
              <w:rPr>
                <w:rFonts w:ascii="Times New Roman" w:hAnsi="Times New Roman" w:cs="Times New Roman"/>
                <w:b w:val="0"/>
                <w:sz w:val="22"/>
                <w:szCs w:val="22"/>
                <w:lang w:val="el-GR"/>
              </w:rPr>
            </w:pPr>
            <w:r w:rsidRPr="008A50A5">
              <w:rPr>
                <w:rFonts w:ascii="Times New Roman" w:hAnsi="Times New Roman" w:cs="Times New Roman"/>
                <w:b w:val="0"/>
                <w:sz w:val="22"/>
                <w:szCs w:val="22"/>
                <w:lang w:val="el-GR"/>
              </w:rPr>
              <w:t>Αποπροσανατολισμός, κατάθλιψη, αϋπνία,  νυχτερινοί εφιάλτες, ευερεθιστότητα, ψυχωσική διαταραχή</w:t>
            </w:r>
          </w:p>
        </w:tc>
      </w:tr>
      <w:tr w:rsidR="00B747DD" w:rsidRPr="008A50A5" w:rsidTr="00AC0DC5">
        <w:trPr>
          <w:cantSplit/>
        </w:trPr>
        <w:tc>
          <w:tcPr>
            <w:tcW w:w="9205" w:type="dxa"/>
            <w:gridSpan w:val="9"/>
            <w:tcBorders>
              <w:left w:val="single" w:sz="4" w:space="0" w:color="000000"/>
              <w:right w:val="single" w:sz="4" w:space="0" w:color="000000"/>
            </w:tcBorders>
          </w:tcPr>
          <w:p w:rsidR="00C4383A" w:rsidRPr="008A50A5" w:rsidRDefault="00C4383A" w:rsidP="00AC0DC5">
            <w:pPr>
              <w:pStyle w:val="Table"/>
              <w:snapToGrid w:val="0"/>
              <w:ind w:left="252" w:hanging="33"/>
              <w:jc w:val="both"/>
              <w:rPr>
                <w:rFonts w:ascii="Times New Roman" w:hAnsi="Times New Roman" w:cs="Times New Roman"/>
                <w:b w:val="0"/>
                <w:sz w:val="22"/>
                <w:szCs w:val="22"/>
                <w:lang w:val="el-GR"/>
              </w:rPr>
            </w:pPr>
            <w:r w:rsidRPr="008A50A5">
              <w:rPr>
                <w:rFonts w:ascii="Times New Roman" w:hAnsi="Times New Roman" w:cs="Times New Roman"/>
                <w:b w:val="0"/>
                <w:sz w:val="22"/>
                <w:szCs w:val="22"/>
                <w:lang w:val="el-GR"/>
              </w:rPr>
              <w:t>Διαταραχές του Νευρικού συστήματος</w:t>
            </w:r>
          </w:p>
        </w:tc>
      </w:tr>
      <w:tr w:rsidR="00B747DD" w:rsidRPr="008A50A5" w:rsidTr="00AC0DC5">
        <w:tc>
          <w:tcPr>
            <w:tcW w:w="239" w:type="dxa"/>
            <w:tcBorders>
              <w:left w:val="single" w:sz="4" w:space="0" w:color="000000"/>
            </w:tcBorders>
          </w:tcPr>
          <w:p w:rsidR="00C4383A" w:rsidRPr="008A50A5" w:rsidRDefault="00C4383A" w:rsidP="00C174CF">
            <w:pPr>
              <w:pStyle w:val="Table"/>
              <w:snapToGrid w:val="0"/>
              <w:ind w:left="1418"/>
              <w:jc w:val="both"/>
              <w:rPr>
                <w:rFonts w:ascii="Times New Roman" w:hAnsi="Times New Roman" w:cs="Times New Roman"/>
                <w:b w:val="0"/>
                <w:sz w:val="22"/>
                <w:szCs w:val="22"/>
                <w:lang w:val="en-GB"/>
              </w:rPr>
            </w:pPr>
          </w:p>
        </w:tc>
        <w:tc>
          <w:tcPr>
            <w:tcW w:w="2662" w:type="dxa"/>
            <w:gridSpan w:val="4"/>
          </w:tcPr>
          <w:p w:rsidR="00C4383A" w:rsidRPr="008A50A5" w:rsidRDefault="00C4383A" w:rsidP="00AC0DC5">
            <w:pPr>
              <w:pStyle w:val="Table"/>
              <w:snapToGrid w:val="0"/>
              <w:ind w:left="572" w:hanging="33"/>
              <w:jc w:val="both"/>
              <w:rPr>
                <w:rFonts w:ascii="Times New Roman" w:hAnsi="Times New Roman" w:cs="Times New Roman"/>
                <w:b w:val="0"/>
                <w:sz w:val="22"/>
                <w:szCs w:val="22"/>
                <w:lang w:val="en-GB"/>
              </w:rPr>
            </w:pPr>
            <w:r w:rsidRPr="008A50A5">
              <w:rPr>
                <w:rFonts w:ascii="Times New Roman" w:hAnsi="Times New Roman" w:cs="Times New Roman"/>
                <w:b w:val="0"/>
                <w:sz w:val="22"/>
                <w:szCs w:val="22"/>
                <w:lang w:val="el-GR"/>
              </w:rPr>
              <w:t>Συχνές</w:t>
            </w:r>
            <w:r w:rsidRPr="008A50A5">
              <w:rPr>
                <w:rFonts w:ascii="Times New Roman" w:hAnsi="Times New Roman" w:cs="Times New Roman"/>
                <w:b w:val="0"/>
                <w:sz w:val="22"/>
                <w:szCs w:val="22"/>
                <w:lang w:val="en-GB"/>
              </w:rPr>
              <w:t>:</w:t>
            </w:r>
          </w:p>
        </w:tc>
        <w:tc>
          <w:tcPr>
            <w:tcW w:w="6304" w:type="dxa"/>
            <w:gridSpan w:val="4"/>
            <w:tcBorders>
              <w:right w:val="single" w:sz="4" w:space="0" w:color="000000"/>
            </w:tcBorders>
          </w:tcPr>
          <w:p w:rsidR="00C4383A" w:rsidRPr="008A50A5" w:rsidRDefault="00C4383A" w:rsidP="00AC0DC5">
            <w:pPr>
              <w:pStyle w:val="Table"/>
              <w:tabs>
                <w:tab w:val="left" w:pos="768"/>
              </w:tabs>
              <w:snapToGrid w:val="0"/>
              <w:ind w:left="252" w:hanging="33"/>
              <w:jc w:val="both"/>
              <w:rPr>
                <w:rFonts w:ascii="Times New Roman" w:hAnsi="Times New Roman" w:cs="Times New Roman"/>
                <w:b w:val="0"/>
                <w:sz w:val="22"/>
                <w:szCs w:val="22"/>
                <w:lang w:val="el-GR"/>
              </w:rPr>
            </w:pPr>
            <w:r w:rsidRPr="008A50A5">
              <w:rPr>
                <w:rFonts w:ascii="Times New Roman" w:hAnsi="Times New Roman" w:cs="Times New Roman"/>
                <w:b w:val="0"/>
                <w:sz w:val="22"/>
                <w:szCs w:val="22"/>
                <w:lang w:val="el-GR"/>
              </w:rPr>
              <w:t>Κεφαλαλγία, ζάλη</w:t>
            </w:r>
          </w:p>
        </w:tc>
      </w:tr>
      <w:tr w:rsidR="00B747DD" w:rsidRPr="008A50A5" w:rsidTr="00AC0DC5">
        <w:tc>
          <w:tcPr>
            <w:tcW w:w="239" w:type="dxa"/>
            <w:tcBorders>
              <w:left w:val="single" w:sz="4" w:space="0" w:color="000000"/>
            </w:tcBorders>
          </w:tcPr>
          <w:p w:rsidR="00C4383A" w:rsidRPr="008A50A5" w:rsidRDefault="00C4383A" w:rsidP="00C174CF">
            <w:pPr>
              <w:pStyle w:val="Table"/>
              <w:snapToGrid w:val="0"/>
              <w:ind w:left="257"/>
              <w:jc w:val="both"/>
              <w:rPr>
                <w:rFonts w:ascii="Times New Roman" w:hAnsi="Times New Roman" w:cs="Times New Roman"/>
                <w:b w:val="0"/>
                <w:sz w:val="22"/>
                <w:szCs w:val="22"/>
                <w:lang w:val="el-GR"/>
              </w:rPr>
            </w:pPr>
          </w:p>
        </w:tc>
        <w:tc>
          <w:tcPr>
            <w:tcW w:w="2662" w:type="dxa"/>
            <w:gridSpan w:val="4"/>
          </w:tcPr>
          <w:p w:rsidR="00C4383A" w:rsidRPr="008A50A5" w:rsidRDefault="00C4383A" w:rsidP="00AC0DC5">
            <w:pPr>
              <w:pStyle w:val="Table"/>
              <w:snapToGrid w:val="0"/>
              <w:ind w:left="572" w:hanging="33"/>
              <w:jc w:val="both"/>
              <w:rPr>
                <w:rFonts w:ascii="Times New Roman" w:hAnsi="Times New Roman" w:cs="Times New Roman"/>
                <w:b w:val="0"/>
                <w:sz w:val="22"/>
                <w:szCs w:val="22"/>
                <w:lang w:val="en-GB"/>
              </w:rPr>
            </w:pPr>
            <w:r w:rsidRPr="008A50A5">
              <w:rPr>
                <w:rFonts w:ascii="Times New Roman" w:hAnsi="Times New Roman" w:cs="Times New Roman"/>
                <w:b w:val="0"/>
                <w:sz w:val="22"/>
                <w:szCs w:val="22"/>
                <w:lang w:val="el-GR"/>
              </w:rPr>
              <w:t>Σπάνιες</w:t>
            </w:r>
            <w:r w:rsidRPr="008A50A5">
              <w:rPr>
                <w:rFonts w:ascii="Times New Roman" w:hAnsi="Times New Roman" w:cs="Times New Roman"/>
                <w:b w:val="0"/>
                <w:sz w:val="22"/>
                <w:szCs w:val="22"/>
                <w:lang w:val="en-GB"/>
              </w:rPr>
              <w:t>:</w:t>
            </w:r>
          </w:p>
        </w:tc>
        <w:tc>
          <w:tcPr>
            <w:tcW w:w="6304" w:type="dxa"/>
            <w:gridSpan w:val="4"/>
            <w:tcBorders>
              <w:right w:val="single" w:sz="4" w:space="0" w:color="000000"/>
            </w:tcBorders>
          </w:tcPr>
          <w:p w:rsidR="00C4383A" w:rsidRPr="008A50A5" w:rsidRDefault="00C4383A" w:rsidP="00AC0DC5">
            <w:pPr>
              <w:pStyle w:val="Table"/>
              <w:tabs>
                <w:tab w:val="left" w:pos="768"/>
              </w:tabs>
              <w:snapToGrid w:val="0"/>
              <w:ind w:left="252" w:hanging="33"/>
              <w:jc w:val="both"/>
              <w:rPr>
                <w:rFonts w:ascii="Times New Roman" w:hAnsi="Times New Roman" w:cs="Times New Roman"/>
                <w:b w:val="0"/>
                <w:sz w:val="22"/>
                <w:szCs w:val="22"/>
                <w:lang w:val="el-GR"/>
              </w:rPr>
            </w:pPr>
            <w:r w:rsidRPr="008A50A5">
              <w:rPr>
                <w:rFonts w:ascii="Times New Roman" w:hAnsi="Times New Roman" w:cs="Times New Roman"/>
                <w:b w:val="0"/>
                <w:sz w:val="22"/>
                <w:szCs w:val="22"/>
                <w:lang w:val="el-GR"/>
              </w:rPr>
              <w:t>Υπνηλία, κόπωση</w:t>
            </w:r>
          </w:p>
        </w:tc>
      </w:tr>
      <w:tr w:rsidR="00B747DD" w:rsidRPr="008A50A5" w:rsidTr="00AC0DC5">
        <w:tc>
          <w:tcPr>
            <w:tcW w:w="239" w:type="dxa"/>
            <w:tcBorders>
              <w:left w:val="single" w:sz="4" w:space="0" w:color="000000"/>
            </w:tcBorders>
          </w:tcPr>
          <w:p w:rsidR="00C4383A" w:rsidRPr="008A50A5" w:rsidRDefault="00C4383A" w:rsidP="00C174CF">
            <w:pPr>
              <w:pStyle w:val="Table"/>
              <w:snapToGrid w:val="0"/>
              <w:spacing w:before="0" w:after="0"/>
              <w:ind w:left="1418"/>
              <w:jc w:val="both"/>
              <w:rPr>
                <w:rFonts w:ascii="Times New Roman" w:hAnsi="Times New Roman" w:cs="Times New Roman"/>
                <w:b w:val="0"/>
                <w:sz w:val="22"/>
                <w:szCs w:val="22"/>
                <w:lang w:val="en-GB"/>
              </w:rPr>
            </w:pPr>
          </w:p>
        </w:tc>
        <w:tc>
          <w:tcPr>
            <w:tcW w:w="2662" w:type="dxa"/>
            <w:gridSpan w:val="4"/>
          </w:tcPr>
          <w:p w:rsidR="00C4383A" w:rsidRPr="008A50A5" w:rsidRDefault="00C4383A" w:rsidP="00AC0DC5">
            <w:pPr>
              <w:pStyle w:val="Table"/>
              <w:snapToGrid w:val="0"/>
              <w:spacing w:before="0" w:after="0"/>
              <w:ind w:left="572" w:hanging="33"/>
              <w:jc w:val="both"/>
              <w:rPr>
                <w:rFonts w:ascii="Times New Roman" w:hAnsi="Times New Roman" w:cs="Times New Roman"/>
                <w:b w:val="0"/>
                <w:sz w:val="22"/>
                <w:szCs w:val="22"/>
                <w:lang w:val="el-GR"/>
              </w:rPr>
            </w:pPr>
            <w:r w:rsidRPr="008A50A5">
              <w:rPr>
                <w:rFonts w:ascii="Times New Roman" w:hAnsi="Times New Roman" w:cs="Times New Roman"/>
                <w:b w:val="0"/>
                <w:sz w:val="22"/>
                <w:szCs w:val="22"/>
                <w:lang w:val="el-GR"/>
              </w:rPr>
              <w:t>Πολύ σπάνιες</w:t>
            </w:r>
            <w:r w:rsidRPr="008A50A5">
              <w:rPr>
                <w:rFonts w:ascii="Times New Roman" w:hAnsi="Times New Roman" w:cs="Times New Roman"/>
                <w:b w:val="0"/>
                <w:sz w:val="22"/>
                <w:szCs w:val="22"/>
                <w:lang w:val="en-GB"/>
              </w:rPr>
              <w:t>:</w:t>
            </w:r>
          </w:p>
        </w:tc>
        <w:tc>
          <w:tcPr>
            <w:tcW w:w="6304" w:type="dxa"/>
            <w:gridSpan w:val="4"/>
            <w:tcBorders>
              <w:right w:val="single" w:sz="4" w:space="0" w:color="000000"/>
            </w:tcBorders>
          </w:tcPr>
          <w:p w:rsidR="00C4383A" w:rsidRPr="008A50A5" w:rsidRDefault="00C4383A" w:rsidP="00AC0DC5">
            <w:pPr>
              <w:pStyle w:val="Table"/>
              <w:tabs>
                <w:tab w:val="left" w:pos="768"/>
              </w:tabs>
              <w:snapToGrid w:val="0"/>
              <w:spacing w:before="0" w:after="0"/>
              <w:ind w:left="252" w:hanging="33"/>
              <w:jc w:val="both"/>
              <w:rPr>
                <w:rFonts w:ascii="Times New Roman" w:hAnsi="Times New Roman" w:cs="Times New Roman"/>
                <w:b w:val="0"/>
                <w:sz w:val="22"/>
                <w:szCs w:val="22"/>
                <w:lang w:val="el-GR"/>
              </w:rPr>
            </w:pPr>
            <w:r w:rsidRPr="008A50A5">
              <w:rPr>
                <w:rFonts w:ascii="Times New Roman" w:hAnsi="Times New Roman" w:cs="Times New Roman"/>
                <w:b w:val="0"/>
                <w:sz w:val="22"/>
                <w:szCs w:val="22"/>
                <w:lang w:val="el-GR"/>
              </w:rPr>
              <w:t xml:space="preserve">Παραισθησία, επιβάρυνση μνήμης, σπασμοί, ανησυχία, τρόμος, άσηπτη μηνιγγίτιδα, διαταραχές της γεύσης, αγγειακό εγκεφαλικό επεισόδιο </w:t>
            </w:r>
          </w:p>
        </w:tc>
      </w:tr>
      <w:tr w:rsidR="00B747DD" w:rsidRPr="008A50A5" w:rsidTr="00AC0DC5">
        <w:trPr>
          <w:gridAfter w:val="1"/>
          <w:wAfter w:w="20" w:type="dxa"/>
        </w:trPr>
        <w:tc>
          <w:tcPr>
            <w:tcW w:w="239" w:type="dxa"/>
            <w:tcBorders>
              <w:left w:val="single" w:sz="4" w:space="0" w:color="000000"/>
            </w:tcBorders>
          </w:tcPr>
          <w:p w:rsidR="00C4383A" w:rsidRPr="008A50A5" w:rsidRDefault="00C4383A" w:rsidP="00C174CF">
            <w:pPr>
              <w:pStyle w:val="Table"/>
              <w:snapToGrid w:val="0"/>
              <w:spacing w:before="0" w:after="0"/>
              <w:ind w:left="1418"/>
              <w:jc w:val="both"/>
              <w:rPr>
                <w:rFonts w:ascii="Times New Roman" w:hAnsi="Times New Roman" w:cs="Times New Roman"/>
                <w:b w:val="0"/>
                <w:sz w:val="22"/>
                <w:szCs w:val="22"/>
                <w:lang w:val="el-GR"/>
              </w:rPr>
            </w:pPr>
          </w:p>
        </w:tc>
        <w:tc>
          <w:tcPr>
            <w:tcW w:w="8946" w:type="dxa"/>
            <w:gridSpan w:val="7"/>
            <w:tcBorders>
              <w:right w:val="single" w:sz="4" w:space="0" w:color="000000"/>
            </w:tcBorders>
          </w:tcPr>
          <w:p w:rsidR="00C4383A" w:rsidRPr="008A50A5" w:rsidRDefault="00C4383A" w:rsidP="00AC0DC5">
            <w:pPr>
              <w:pStyle w:val="Table"/>
              <w:tabs>
                <w:tab w:val="left" w:pos="768"/>
              </w:tabs>
              <w:snapToGrid w:val="0"/>
              <w:spacing w:before="0" w:after="0"/>
              <w:ind w:left="572" w:hanging="33"/>
              <w:jc w:val="both"/>
              <w:rPr>
                <w:rFonts w:ascii="Times New Roman" w:hAnsi="Times New Roman" w:cs="Times New Roman"/>
                <w:b w:val="0"/>
                <w:sz w:val="22"/>
                <w:szCs w:val="22"/>
                <w:lang w:val="el-GR"/>
              </w:rPr>
            </w:pPr>
            <w:r w:rsidRPr="008A50A5">
              <w:rPr>
                <w:rFonts w:ascii="Times New Roman" w:hAnsi="Times New Roman" w:cs="Times New Roman"/>
                <w:b w:val="0"/>
                <w:sz w:val="22"/>
                <w:szCs w:val="22"/>
                <w:lang w:val="el-GR"/>
              </w:rPr>
              <w:t xml:space="preserve">Μη γνωστές: Σύγχυση, ψευδαισθήσεις, διαταραχές αίσθησης, κακουχία </w:t>
            </w:r>
          </w:p>
        </w:tc>
      </w:tr>
      <w:tr w:rsidR="00B747DD" w:rsidRPr="008A50A5" w:rsidTr="00AC0DC5">
        <w:trPr>
          <w:cantSplit/>
        </w:trPr>
        <w:tc>
          <w:tcPr>
            <w:tcW w:w="9205" w:type="dxa"/>
            <w:gridSpan w:val="9"/>
            <w:tcBorders>
              <w:left w:val="single" w:sz="4" w:space="0" w:color="000000"/>
              <w:right w:val="single" w:sz="4" w:space="0" w:color="000000"/>
            </w:tcBorders>
          </w:tcPr>
          <w:p w:rsidR="00C4383A" w:rsidRPr="008A50A5" w:rsidRDefault="00AC0DC5" w:rsidP="00AC0DC5">
            <w:pPr>
              <w:pStyle w:val="Table"/>
              <w:tabs>
                <w:tab w:val="left" w:pos="768"/>
              </w:tabs>
              <w:snapToGrid w:val="0"/>
              <w:jc w:val="both"/>
              <w:rPr>
                <w:rFonts w:ascii="Times New Roman" w:hAnsi="Times New Roman" w:cs="Times New Roman"/>
                <w:b w:val="0"/>
                <w:sz w:val="22"/>
                <w:szCs w:val="22"/>
                <w:lang w:val="el-GR"/>
              </w:rPr>
            </w:pPr>
            <w:r>
              <w:rPr>
                <w:rFonts w:ascii="Times New Roman" w:hAnsi="Times New Roman" w:cs="Times New Roman"/>
                <w:b w:val="0"/>
                <w:sz w:val="22"/>
                <w:szCs w:val="22"/>
                <w:lang w:val="el-GR"/>
              </w:rPr>
              <w:t xml:space="preserve">    </w:t>
            </w:r>
            <w:r w:rsidR="00C4383A" w:rsidRPr="008A50A5">
              <w:rPr>
                <w:rFonts w:ascii="Times New Roman" w:hAnsi="Times New Roman" w:cs="Times New Roman"/>
                <w:b w:val="0"/>
                <w:sz w:val="22"/>
                <w:szCs w:val="22"/>
                <w:lang w:val="el-GR"/>
              </w:rPr>
              <w:t>Οφθαλμικές διαταραχές</w:t>
            </w:r>
          </w:p>
        </w:tc>
      </w:tr>
      <w:tr w:rsidR="00B747DD" w:rsidRPr="008A50A5" w:rsidTr="00AC0DC5">
        <w:tc>
          <w:tcPr>
            <w:tcW w:w="567" w:type="dxa"/>
            <w:gridSpan w:val="2"/>
            <w:tcBorders>
              <w:left w:val="single" w:sz="4" w:space="0" w:color="000000"/>
            </w:tcBorders>
          </w:tcPr>
          <w:p w:rsidR="00C4383A" w:rsidRPr="008A50A5" w:rsidRDefault="00C4383A" w:rsidP="00AC0DC5">
            <w:pPr>
              <w:pStyle w:val="Table"/>
              <w:snapToGrid w:val="0"/>
              <w:ind w:left="346" w:hanging="33"/>
              <w:jc w:val="both"/>
              <w:rPr>
                <w:rFonts w:ascii="Times New Roman" w:hAnsi="Times New Roman" w:cs="Times New Roman"/>
                <w:b w:val="0"/>
                <w:sz w:val="22"/>
                <w:szCs w:val="22"/>
                <w:lang w:val="en-GB"/>
              </w:rPr>
            </w:pPr>
          </w:p>
        </w:tc>
        <w:tc>
          <w:tcPr>
            <w:tcW w:w="1985" w:type="dxa"/>
            <w:gridSpan w:val="2"/>
          </w:tcPr>
          <w:p w:rsidR="00C4383A" w:rsidRPr="008A50A5" w:rsidRDefault="00C4383A" w:rsidP="00AC0DC5">
            <w:pPr>
              <w:pStyle w:val="Table"/>
              <w:snapToGrid w:val="0"/>
              <w:ind w:left="714" w:hanging="33"/>
              <w:jc w:val="both"/>
              <w:rPr>
                <w:rFonts w:ascii="Times New Roman" w:hAnsi="Times New Roman" w:cs="Times New Roman"/>
                <w:b w:val="0"/>
                <w:bCs/>
                <w:sz w:val="22"/>
                <w:szCs w:val="22"/>
                <w:lang w:val="el-GR"/>
              </w:rPr>
            </w:pPr>
            <w:r w:rsidRPr="008A50A5">
              <w:rPr>
                <w:rFonts w:ascii="Times New Roman" w:hAnsi="Times New Roman" w:cs="Times New Roman"/>
                <w:b w:val="0"/>
                <w:sz w:val="22"/>
                <w:szCs w:val="22"/>
                <w:lang w:val="el-GR"/>
              </w:rPr>
              <w:t>Πολύ σπάνιες</w:t>
            </w:r>
            <w:r w:rsidRPr="008A50A5">
              <w:rPr>
                <w:rFonts w:ascii="Times New Roman" w:hAnsi="Times New Roman" w:cs="Times New Roman"/>
                <w:b w:val="0"/>
                <w:sz w:val="22"/>
                <w:szCs w:val="22"/>
                <w:lang w:val="en-GB"/>
              </w:rPr>
              <w:t>:</w:t>
            </w:r>
          </w:p>
        </w:tc>
        <w:tc>
          <w:tcPr>
            <w:tcW w:w="6653" w:type="dxa"/>
            <w:gridSpan w:val="5"/>
            <w:tcBorders>
              <w:right w:val="single" w:sz="4" w:space="0" w:color="000000"/>
            </w:tcBorders>
          </w:tcPr>
          <w:p w:rsidR="00C4383A" w:rsidRPr="008A50A5" w:rsidRDefault="00C4383A" w:rsidP="00AC0DC5">
            <w:pPr>
              <w:pStyle w:val="Table"/>
              <w:tabs>
                <w:tab w:val="left" w:pos="768"/>
              </w:tabs>
              <w:snapToGrid w:val="0"/>
              <w:ind w:left="714" w:hanging="33"/>
              <w:jc w:val="both"/>
              <w:rPr>
                <w:rFonts w:ascii="Times New Roman" w:hAnsi="Times New Roman" w:cs="Times New Roman"/>
                <w:b w:val="0"/>
                <w:sz w:val="22"/>
                <w:szCs w:val="22"/>
                <w:lang w:val="el-GR"/>
              </w:rPr>
            </w:pPr>
            <w:r w:rsidRPr="008A50A5">
              <w:rPr>
                <w:rFonts w:ascii="Times New Roman" w:hAnsi="Times New Roman" w:cs="Times New Roman"/>
                <w:b w:val="0"/>
                <w:bCs/>
                <w:sz w:val="22"/>
                <w:szCs w:val="22"/>
                <w:lang w:val="el-GR"/>
              </w:rPr>
              <w:t>Οπτικές διαταραχές , θάμβος οράσεως, διπλωπία</w:t>
            </w:r>
          </w:p>
        </w:tc>
      </w:tr>
      <w:tr w:rsidR="00B747DD" w:rsidRPr="008A50A5" w:rsidTr="00AC0DC5">
        <w:trPr>
          <w:gridAfter w:val="3"/>
          <w:wAfter w:w="133" w:type="dxa"/>
        </w:trPr>
        <w:tc>
          <w:tcPr>
            <w:tcW w:w="567" w:type="dxa"/>
            <w:gridSpan w:val="2"/>
            <w:tcBorders>
              <w:left w:val="single" w:sz="4" w:space="0" w:color="000000"/>
            </w:tcBorders>
          </w:tcPr>
          <w:p w:rsidR="00C4383A" w:rsidRPr="008A50A5" w:rsidRDefault="00C4383A" w:rsidP="00AC0DC5">
            <w:pPr>
              <w:pStyle w:val="Table"/>
              <w:snapToGrid w:val="0"/>
              <w:ind w:left="346" w:hanging="33"/>
              <w:jc w:val="both"/>
              <w:rPr>
                <w:rFonts w:ascii="Times New Roman" w:hAnsi="Times New Roman" w:cs="Times New Roman"/>
                <w:b w:val="0"/>
                <w:sz w:val="22"/>
                <w:szCs w:val="22"/>
                <w:lang w:val="el-GR"/>
              </w:rPr>
            </w:pPr>
          </w:p>
        </w:tc>
        <w:tc>
          <w:tcPr>
            <w:tcW w:w="8505" w:type="dxa"/>
            <w:gridSpan w:val="4"/>
            <w:tcBorders>
              <w:right w:val="single" w:sz="4" w:space="0" w:color="000000"/>
            </w:tcBorders>
          </w:tcPr>
          <w:p w:rsidR="00C4383A" w:rsidRPr="008A50A5" w:rsidRDefault="00C4383A" w:rsidP="00AC0DC5">
            <w:pPr>
              <w:pStyle w:val="Table"/>
              <w:tabs>
                <w:tab w:val="left" w:pos="768"/>
              </w:tabs>
              <w:snapToGrid w:val="0"/>
              <w:ind w:left="714" w:hanging="33"/>
              <w:jc w:val="both"/>
              <w:rPr>
                <w:rFonts w:ascii="Times New Roman" w:hAnsi="Times New Roman" w:cs="Times New Roman"/>
                <w:b w:val="0"/>
                <w:sz w:val="22"/>
                <w:szCs w:val="22"/>
                <w:lang w:val="el-GR"/>
              </w:rPr>
            </w:pPr>
            <w:r w:rsidRPr="008A50A5">
              <w:rPr>
                <w:rFonts w:ascii="Times New Roman" w:hAnsi="Times New Roman" w:cs="Times New Roman"/>
                <w:b w:val="0"/>
                <w:sz w:val="22"/>
                <w:szCs w:val="22"/>
                <w:lang w:val="el-GR"/>
              </w:rPr>
              <w:t>Μη γνωστές:</w:t>
            </w:r>
          </w:p>
          <w:p w:rsidR="00C4383A" w:rsidRPr="008A50A5" w:rsidRDefault="00C4383A" w:rsidP="00AC0DC5">
            <w:pPr>
              <w:pStyle w:val="Table"/>
              <w:tabs>
                <w:tab w:val="left" w:pos="768"/>
              </w:tabs>
              <w:ind w:left="714" w:hanging="33"/>
              <w:jc w:val="both"/>
              <w:rPr>
                <w:rFonts w:ascii="Times New Roman" w:hAnsi="Times New Roman" w:cs="Times New Roman"/>
                <w:b w:val="0"/>
                <w:sz w:val="22"/>
                <w:szCs w:val="22"/>
                <w:lang w:val="el-GR"/>
              </w:rPr>
            </w:pPr>
            <w:r w:rsidRPr="008A50A5">
              <w:rPr>
                <w:rFonts w:ascii="Times New Roman" w:hAnsi="Times New Roman" w:cs="Times New Roman"/>
                <w:b w:val="0"/>
                <w:sz w:val="22"/>
                <w:szCs w:val="22"/>
                <w:lang w:val="el-GR"/>
              </w:rPr>
              <w:t>Οπτική νευρίτιδα</w:t>
            </w:r>
          </w:p>
        </w:tc>
      </w:tr>
      <w:tr w:rsidR="00B747DD" w:rsidRPr="008A50A5" w:rsidTr="00AC0DC5">
        <w:trPr>
          <w:gridAfter w:val="2"/>
          <w:wAfter w:w="113" w:type="dxa"/>
          <w:cantSplit/>
        </w:trPr>
        <w:tc>
          <w:tcPr>
            <w:tcW w:w="9092" w:type="dxa"/>
            <w:gridSpan w:val="7"/>
            <w:tcBorders>
              <w:left w:val="single" w:sz="4" w:space="0" w:color="000000"/>
              <w:right w:val="single" w:sz="4" w:space="0" w:color="000000"/>
            </w:tcBorders>
          </w:tcPr>
          <w:p w:rsidR="00C4383A" w:rsidRPr="008A50A5" w:rsidRDefault="00C4383A" w:rsidP="00AC0DC5">
            <w:pPr>
              <w:pStyle w:val="Table"/>
              <w:tabs>
                <w:tab w:val="left" w:pos="768"/>
              </w:tabs>
              <w:snapToGrid w:val="0"/>
              <w:jc w:val="both"/>
              <w:rPr>
                <w:rFonts w:ascii="Times New Roman" w:hAnsi="Times New Roman" w:cs="Times New Roman"/>
                <w:b w:val="0"/>
                <w:sz w:val="22"/>
                <w:szCs w:val="22"/>
                <w:lang w:val="el-GR"/>
              </w:rPr>
            </w:pPr>
            <w:r w:rsidRPr="008A50A5">
              <w:rPr>
                <w:rFonts w:ascii="Times New Roman" w:hAnsi="Times New Roman" w:cs="Times New Roman"/>
                <w:b w:val="0"/>
                <w:sz w:val="22"/>
                <w:szCs w:val="22"/>
                <w:lang w:val="el-GR"/>
              </w:rPr>
              <w:t>Διαταραχές του ωτός και του λαβυρίνθου</w:t>
            </w:r>
          </w:p>
        </w:tc>
      </w:tr>
      <w:tr w:rsidR="00B747DD" w:rsidRPr="008A50A5" w:rsidTr="00AC0DC5">
        <w:trPr>
          <w:gridAfter w:val="2"/>
          <w:wAfter w:w="113" w:type="dxa"/>
        </w:trPr>
        <w:tc>
          <w:tcPr>
            <w:tcW w:w="567" w:type="dxa"/>
            <w:gridSpan w:val="2"/>
            <w:tcBorders>
              <w:left w:val="single" w:sz="4" w:space="0" w:color="000000"/>
            </w:tcBorders>
          </w:tcPr>
          <w:p w:rsidR="00C4383A" w:rsidRPr="008A50A5" w:rsidRDefault="00C4383A" w:rsidP="00C174CF">
            <w:pPr>
              <w:pStyle w:val="Table"/>
              <w:snapToGrid w:val="0"/>
              <w:ind w:left="346"/>
              <w:jc w:val="both"/>
              <w:rPr>
                <w:rFonts w:ascii="Times New Roman" w:hAnsi="Times New Roman" w:cs="Times New Roman"/>
                <w:b w:val="0"/>
                <w:sz w:val="22"/>
                <w:szCs w:val="22"/>
                <w:lang w:val="el-GR"/>
              </w:rPr>
            </w:pPr>
          </w:p>
        </w:tc>
        <w:tc>
          <w:tcPr>
            <w:tcW w:w="1872" w:type="dxa"/>
          </w:tcPr>
          <w:p w:rsidR="00C4383A" w:rsidRPr="008A50A5" w:rsidRDefault="00C4383A" w:rsidP="00C174CF">
            <w:pPr>
              <w:pStyle w:val="Table"/>
              <w:snapToGrid w:val="0"/>
              <w:ind w:left="346"/>
              <w:jc w:val="both"/>
              <w:rPr>
                <w:rFonts w:ascii="Times New Roman" w:hAnsi="Times New Roman" w:cs="Times New Roman"/>
                <w:b w:val="0"/>
                <w:sz w:val="22"/>
                <w:szCs w:val="22"/>
                <w:lang w:val="en-GB"/>
              </w:rPr>
            </w:pPr>
            <w:r w:rsidRPr="008A50A5">
              <w:rPr>
                <w:rFonts w:ascii="Times New Roman" w:hAnsi="Times New Roman" w:cs="Times New Roman"/>
                <w:b w:val="0"/>
                <w:sz w:val="22"/>
                <w:szCs w:val="22"/>
                <w:lang w:val="el-GR"/>
              </w:rPr>
              <w:t>Συχνές</w:t>
            </w:r>
            <w:r w:rsidRPr="008A50A5">
              <w:rPr>
                <w:rFonts w:ascii="Times New Roman" w:hAnsi="Times New Roman" w:cs="Times New Roman"/>
                <w:b w:val="0"/>
                <w:sz w:val="22"/>
                <w:szCs w:val="22"/>
                <w:lang w:val="en-GB"/>
              </w:rPr>
              <w:t>:</w:t>
            </w:r>
          </w:p>
        </w:tc>
        <w:tc>
          <w:tcPr>
            <w:tcW w:w="6653" w:type="dxa"/>
            <w:gridSpan w:val="4"/>
            <w:tcBorders>
              <w:right w:val="single" w:sz="4" w:space="0" w:color="000000"/>
            </w:tcBorders>
          </w:tcPr>
          <w:p w:rsidR="00C4383A" w:rsidRPr="008A50A5" w:rsidRDefault="00C4383A" w:rsidP="00AC0DC5">
            <w:pPr>
              <w:pStyle w:val="Table"/>
              <w:tabs>
                <w:tab w:val="left" w:pos="768"/>
              </w:tabs>
              <w:snapToGrid w:val="0"/>
              <w:ind w:left="572"/>
              <w:jc w:val="both"/>
              <w:rPr>
                <w:rFonts w:ascii="Times New Roman" w:hAnsi="Times New Roman" w:cs="Times New Roman"/>
                <w:b w:val="0"/>
                <w:sz w:val="22"/>
                <w:szCs w:val="22"/>
                <w:lang w:val="en-GB"/>
              </w:rPr>
            </w:pPr>
            <w:r w:rsidRPr="008A50A5">
              <w:rPr>
                <w:rFonts w:ascii="Times New Roman" w:hAnsi="Times New Roman" w:cs="Times New Roman"/>
                <w:b w:val="0"/>
                <w:sz w:val="22"/>
                <w:szCs w:val="22"/>
                <w:lang w:val="el-GR"/>
              </w:rPr>
              <w:t>Ίλιγγος</w:t>
            </w:r>
            <w:r w:rsidRPr="008A50A5">
              <w:rPr>
                <w:rFonts w:ascii="Times New Roman" w:hAnsi="Times New Roman" w:cs="Times New Roman"/>
                <w:b w:val="0"/>
                <w:sz w:val="22"/>
                <w:szCs w:val="22"/>
                <w:lang w:val="en-GB"/>
              </w:rPr>
              <w:t>.</w:t>
            </w:r>
          </w:p>
        </w:tc>
      </w:tr>
      <w:tr w:rsidR="00B747DD" w:rsidRPr="008A50A5" w:rsidTr="00AC0DC5">
        <w:trPr>
          <w:gridAfter w:val="2"/>
          <w:wAfter w:w="113" w:type="dxa"/>
        </w:trPr>
        <w:tc>
          <w:tcPr>
            <w:tcW w:w="567" w:type="dxa"/>
            <w:gridSpan w:val="2"/>
            <w:tcBorders>
              <w:left w:val="single" w:sz="4" w:space="0" w:color="000000"/>
            </w:tcBorders>
          </w:tcPr>
          <w:p w:rsidR="00C4383A" w:rsidRPr="008A50A5" w:rsidRDefault="00C4383A" w:rsidP="00C174CF">
            <w:pPr>
              <w:pStyle w:val="Table"/>
              <w:snapToGrid w:val="0"/>
              <w:ind w:left="346"/>
              <w:jc w:val="both"/>
              <w:rPr>
                <w:rFonts w:ascii="Times New Roman" w:hAnsi="Times New Roman" w:cs="Times New Roman"/>
                <w:b w:val="0"/>
                <w:sz w:val="22"/>
                <w:szCs w:val="22"/>
                <w:lang w:val="en-GB"/>
              </w:rPr>
            </w:pPr>
          </w:p>
        </w:tc>
        <w:tc>
          <w:tcPr>
            <w:tcW w:w="1872" w:type="dxa"/>
          </w:tcPr>
          <w:p w:rsidR="00C4383A" w:rsidRPr="008A50A5" w:rsidRDefault="00C4383A" w:rsidP="00C174CF">
            <w:pPr>
              <w:pStyle w:val="Table"/>
              <w:snapToGrid w:val="0"/>
              <w:ind w:left="346"/>
              <w:jc w:val="both"/>
              <w:rPr>
                <w:rFonts w:ascii="Times New Roman" w:hAnsi="Times New Roman" w:cs="Times New Roman"/>
                <w:b w:val="0"/>
                <w:sz w:val="22"/>
                <w:szCs w:val="22"/>
                <w:lang w:val="en-GB"/>
              </w:rPr>
            </w:pPr>
            <w:r w:rsidRPr="008A50A5">
              <w:rPr>
                <w:rFonts w:ascii="Times New Roman" w:hAnsi="Times New Roman" w:cs="Times New Roman"/>
                <w:b w:val="0"/>
                <w:sz w:val="22"/>
                <w:szCs w:val="22"/>
                <w:lang w:val="el-GR"/>
              </w:rPr>
              <w:t>Πολύ σπάνιες</w:t>
            </w:r>
            <w:r w:rsidRPr="008A50A5">
              <w:rPr>
                <w:rFonts w:ascii="Times New Roman" w:hAnsi="Times New Roman" w:cs="Times New Roman"/>
                <w:b w:val="0"/>
                <w:sz w:val="22"/>
                <w:szCs w:val="22"/>
                <w:lang w:val="en-GB"/>
              </w:rPr>
              <w:t>:</w:t>
            </w:r>
          </w:p>
        </w:tc>
        <w:tc>
          <w:tcPr>
            <w:tcW w:w="6653" w:type="dxa"/>
            <w:gridSpan w:val="4"/>
            <w:tcBorders>
              <w:right w:val="single" w:sz="4" w:space="0" w:color="000000"/>
            </w:tcBorders>
          </w:tcPr>
          <w:p w:rsidR="00C4383A" w:rsidRPr="008A50A5" w:rsidRDefault="00C4383A" w:rsidP="00AC0DC5">
            <w:pPr>
              <w:pStyle w:val="Table"/>
              <w:snapToGrid w:val="0"/>
              <w:ind w:left="572"/>
              <w:jc w:val="both"/>
              <w:rPr>
                <w:rFonts w:ascii="Times New Roman" w:hAnsi="Times New Roman" w:cs="Times New Roman"/>
                <w:b w:val="0"/>
                <w:sz w:val="22"/>
                <w:szCs w:val="22"/>
                <w:lang w:val="el-GR"/>
              </w:rPr>
            </w:pPr>
            <w:r w:rsidRPr="008A50A5">
              <w:rPr>
                <w:rFonts w:ascii="Times New Roman" w:hAnsi="Times New Roman" w:cs="Times New Roman"/>
                <w:b w:val="0"/>
                <w:sz w:val="22"/>
                <w:szCs w:val="22"/>
                <w:lang w:val="el-GR"/>
              </w:rPr>
              <w:t>Εμβοές, βλάβη της ακοής</w:t>
            </w:r>
          </w:p>
        </w:tc>
      </w:tr>
      <w:tr w:rsidR="00B747DD" w:rsidRPr="008A50A5" w:rsidTr="00AC0DC5">
        <w:trPr>
          <w:gridAfter w:val="2"/>
          <w:wAfter w:w="113" w:type="dxa"/>
          <w:cantSplit/>
        </w:trPr>
        <w:tc>
          <w:tcPr>
            <w:tcW w:w="9092" w:type="dxa"/>
            <w:gridSpan w:val="7"/>
            <w:tcBorders>
              <w:left w:val="single" w:sz="4" w:space="0" w:color="000000"/>
              <w:right w:val="single" w:sz="4" w:space="0" w:color="000000"/>
            </w:tcBorders>
          </w:tcPr>
          <w:p w:rsidR="00C4383A" w:rsidRPr="008A50A5" w:rsidRDefault="00C4383A" w:rsidP="00AC0DC5">
            <w:pPr>
              <w:pStyle w:val="Table"/>
              <w:snapToGrid w:val="0"/>
              <w:ind w:left="572"/>
              <w:jc w:val="both"/>
              <w:rPr>
                <w:rFonts w:ascii="Times New Roman" w:hAnsi="Times New Roman" w:cs="Times New Roman"/>
                <w:b w:val="0"/>
                <w:sz w:val="22"/>
                <w:szCs w:val="22"/>
                <w:lang w:val="el-GR"/>
              </w:rPr>
            </w:pPr>
            <w:r w:rsidRPr="008A50A5">
              <w:rPr>
                <w:rFonts w:ascii="Times New Roman" w:hAnsi="Times New Roman" w:cs="Times New Roman"/>
                <w:b w:val="0"/>
                <w:sz w:val="22"/>
                <w:szCs w:val="22"/>
                <w:lang w:val="el-GR"/>
              </w:rPr>
              <w:t>Καρδιακές διαταραχές</w:t>
            </w:r>
          </w:p>
        </w:tc>
      </w:tr>
      <w:tr w:rsidR="00B747DD" w:rsidRPr="008A50A5" w:rsidTr="00AC0DC5">
        <w:trPr>
          <w:gridAfter w:val="2"/>
          <w:wAfter w:w="113" w:type="dxa"/>
        </w:trPr>
        <w:tc>
          <w:tcPr>
            <w:tcW w:w="567" w:type="dxa"/>
            <w:gridSpan w:val="2"/>
            <w:tcBorders>
              <w:left w:val="single" w:sz="4" w:space="0" w:color="000000"/>
            </w:tcBorders>
          </w:tcPr>
          <w:p w:rsidR="00C4383A" w:rsidRPr="008A50A5" w:rsidRDefault="00C4383A" w:rsidP="00C174CF">
            <w:pPr>
              <w:pStyle w:val="Table"/>
              <w:snapToGrid w:val="0"/>
              <w:ind w:left="346"/>
              <w:jc w:val="both"/>
              <w:rPr>
                <w:rFonts w:ascii="Times New Roman" w:hAnsi="Times New Roman" w:cs="Times New Roman"/>
                <w:b w:val="0"/>
                <w:sz w:val="22"/>
                <w:szCs w:val="22"/>
                <w:lang w:val="en-GB"/>
              </w:rPr>
            </w:pPr>
          </w:p>
        </w:tc>
        <w:tc>
          <w:tcPr>
            <w:tcW w:w="1872" w:type="dxa"/>
          </w:tcPr>
          <w:p w:rsidR="00C4383A" w:rsidRPr="008A50A5" w:rsidRDefault="00C4383A" w:rsidP="00C174CF">
            <w:pPr>
              <w:pStyle w:val="Table"/>
              <w:snapToGrid w:val="0"/>
              <w:ind w:left="346"/>
              <w:jc w:val="both"/>
              <w:rPr>
                <w:rFonts w:ascii="Times New Roman" w:hAnsi="Times New Roman" w:cs="Times New Roman"/>
                <w:b w:val="0"/>
                <w:sz w:val="22"/>
                <w:szCs w:val="22"/>
                <w:lang w:val="en-GB"/>
              </w:rPr>
            </w:pPr>
            <w:r w:rsidRPr="008A50A5">
              <w:rPr>
                <w:rFonts w:ascii="Times New Roman" w:hAnsi="Times New Roman" w:cs="Times New Roman"/>
                <w:b w:val="0"/>
                <w:sz w:val="22"/>
                <w:szCs w:val="22"/>
                <w:lang w:val="el-GR"/>
              </w:rPr>
              <w:t>Πολύ σπάνιες</w:t>
            </w:r>
            <w:r w:rsidRPr="008A50A5">
              <w:rPr>
                <w:rFonts w:ascii="Times New Roman" w:hAnsi="Times New Roman" w:cs="Times New Roman"/>
                <w:b w:val="0"/>
                <w:sz w:val="22"/>
                <w:szCs w:val="22"/>
                <w:lang w:val="en-GB"/>
              </w:rPr>
              <w:t>:</w:t>
            </w:r>
          </w:p>
        </w:tc>
        <w:tc>
          <w:tcPr>
            <w:tcW w:w="6653" w:type="dxa"/>
            <w:gridSpan w:val="4"/>
            <w:tcBorders>
              <w:right w:val="single" w:sz="4" w:space="0" w:color="000000"/>
            </w:tcBorders>
          </w:tcPr>
          <w:p w:rsidR="00C4383A" w:rsidRPr="008A50A5" w:rsidRDefault="00C4383A" w:rsidP="00AC0DC5">
            <w:pPr>
              <w:pStyle w:val="Table"/>
              <w:snapToGrid w:val="0"/>
              <w:ind w:left="572"/>
              <w:jc w:val="both"/>
              <w:rPr>
                <w:rFonts w:ascii="Times New Roman" w:hAnsi="Times New Roman" w:cs="Times New Roman"/>
                <w:b w:val="0"/>
                <w:sz w:val="22"/>
                <w:szCs w:val="22"/>
                <w:lang w:val="el-GR"/>
              </w:rPr>
            </w:pPr>
            <w:r w:rsidRPr="008A50A5">
              <w:rPr>
                <w:rFonts w:ascii="Times New Roman" w:hAnsi="Times New Roman" w:cs="Times New Roman"/>
                <w:b w:val="0"/>
                <w:sz w:val="22"/>
                <w:szCs w:val="22"/>
                <w:lang w:val="el-GR"/>
              </w:rPr>
              <w:t>Αίσθημα παλμών, πόνος στο στήθος, έκπτωση της καρδιακής λειτουργίας, έμφραγμα του μυοκαρδίου</w:t>
            </w:r>
          </w:p>
        </w:tc>
      </w:tr>
      <w:tr w:rsidR="00B747DD" w:rsidRPr="008A50A5" w:rsidTr="00AC0DC5">
        <w:trPr>
          <w:gridAfter w:val="2"/>
          <w:wAfter w:w="113" w:type="dxa"/>
          <w:cantSplit/>
        </w:trPr>
        <w:tc>
          <w:tcPr>
            <w:tcW w:w="9092" w:type="dxa"/>
            <w:gridSpan w:val="7"/>
            <w:tcBorders>
              <w:left w:val="single" w:sz="4" w:space="0" w:color="000000"/>
              <w:right w:val="single" w:sz="4" w:space="0" w:color="000000"/>
            </w:tcBorders>
          </w:tcPr>
          <w:p w:rsidR="00C4383A" w:rsidRPr="008A50A5" w:rsidRDefault="00C4383A" w:rsidP="00AC0DC5">
            <w:pPr>
              <w:pStyle w:val="Table"/>
              <w:snapToGrid w:val="0"/>
              <w:ind w:left="572"/>
              <w:jc w:val="both"/>
              <w:rPr>
                <w:rFonts w:ascii="Times New Roman" w:hAnsi="Times New Roman" w:cs="Times New Roman"/>
                <w:b w:val="0"/>
                <w:sz w:val="22"/>
                <w:szCs w:val="22"/>
                <w:lang w:val="el-GR"/>
              </w:rPr>
            </w:pPr>
            <w:r w:rsidRPr="008A50A5">
              <w:rPr>
                <w:rFonts w:ascii="Times New Roman" w:hAnsi="Times New Roman" w:cs="Times New Roman"/>
                <w:b w:val="0"/>
                <w:sz w:val="22"/>
                <w:szCs w:val="22"/>
                <w:lang w:val="el-GR"/>
              </w:rPr>
              <w:t>Αγγειακές διαταραχές</w:t>
            </w:r>
          </w:p>
        </w:tc>
      </w:tr>
      <w:tr w:rsidR="00B747DD" w:rsidRPr="008A50A5" w:rsidTr="00AC0DC5">
        <w:trPr>
          <w:gridAfter w:val="2"/>
          <w:wAfter w:w="113" w:type="dxa"/>
        </w:trPr>
        <w:tc>
          <w:tcPr>
            <w:tcW w:w="567" w:type="dxa"/>
            <w:gridSpan w:val="2"/>
            <w:tcBorders>
              <w:left w:val="single" w:sz="4" w:space="0" w:color="000000"/>
            </w:tcBorders>
          </w:tcPr>
          <w:p w:rsidR="00C4383A" w:rsidRPr="008A50A5" w:rsidRDefault="00C4383A" w:rsidP="00C174CF">
            <w:pPr>
              <w:pStyle w:val="Table"/>
              <w:snapToGrid w:val="0"/>
              <w:ind w:left="346"/>
              <w:jc w:val="both"/>
              <w:rPr>
                <w:rFonts w:ascii="Times New Roman" w:hAnsi="Times New Roman" w:cs="Times New Roman"/>
                <w:b w:val="0"/>
                <w:sz w:val="22"/>
                <w:szCs w:val="22"/>
                <w:lang w:val="en-GB"/>
              </w:rPr>
            </w:pPr>
          </w:p>
        </w:tc>
        <w:tc>
          <w:tcPr>
            <w:tcW w:w="1872" w:type="dxa"/>
          </w:tcPr>
          <w:p w:rsidR="00C4383A" w:rsidRPr="008A50A5" w:rsidRDefault="00C4383A" w:rsidP="00C174CF">
            <w:pPr>
              <w:pStyle w:val="Table"/>
              <w:snapToGrid w:val="0"/>
              <w:ind w:left="346"/>
              <w:jc w:val="both"/>
              <w:rPr>
                <w:rFonts w:ascii="Times New Roman" w:hAnsi="Times New Roman" w:cs="Times New Roman"/>
                <w:b w:val="0"/>
                <w:sz w:val="22"/>
                <w:szCs w:val="22"/>
                <w:lang w:val="en-GB"/>
              </w:rPr>
            </w:pPr>
            <w:r w:rsidRPr="008A50A5">
              <w:rPr>
                <w:rFonts w:ascii="Times New Roman" w:hAnsi="Times New Roman" w:cs="Times New Roman"/>
                <w:b w:val="0"/>
                <w:sz w:val="22"/>
                <w:szCs w:val="22"/>
                <w:lang w:val="el-GR"/>
              </w:rPr>
              <w:t>Πολύ σπάνιες</w:t>
            </w:r>
            <w:r w:rsidRPr="008A50A5">
              <w:rPr>
                <w:rFonts w:ascii="Times New Roman" w:hAnsi="Times New Roman" w:cs="Times New Roman"/>
                <w:b w:val="0"/>
                <w:sz w:val="22"/>
                <w:szCs w:val="22"/>
                <w:lang w:val="en-GB"/>
              </w:rPr>
              <w:t>:</w:t>
            </w:r>
          </w:p>
        </w:tc>
        <w:tc>
          <w:tcPr>
            <w:tcW w:w="6653" w:type="dxa"/>
            <w:gridSpan w:val="4"/>
            <w:tcBorders>
              <w:right w:val="single" w:sz="4" w:space="0" w:color="000000"/>
            </w:tcBorders>
          </w:tcPr>
          <w:p w:rsidR="00C4383A" w:rsidRPr="008A50A5" w:rsidRDefault="00C4383A" w:rsidP="00AC0DC5">
            <w:pPr>
              <w:pStyle w:val="Table"/>
              <w:snapToGrid w:val="0"/>
              <w:ind w:left="572"/>
              <w:jc w:val="both"/>
              <w:rPr>
                <w:rFonts w:ascii="Times New Roman" w:hAnsi="Times New Roman" w:cs="Times New Roman"/>
                <w:b w:val="0"/>
                <w:sz w:val="22"/>
                <w:szCs w:val="22"/>
                <w:lang w:val="el-GR"/>
              </w:rPr>
            </w:pPr>
            <w:r w:rsidRPr="008A50A5">
              <w:rPr>
                <w:rFonts w:ascii="Times New Roman" w:hAnsi="Times New Roman" w:cs="Times New Roman"/>
                <w:b w:val="0"/>
                <w:sz w:val="22"/>
                <w:szCs w:val="22"/>
                <w:lang w:val="el-GR"/>
              </w:rPr>
              <w:t>Υπέρταση, υπόταση, αγγειίτιδα</w:t>
            </w:r>
          </w:p>
        </w:tc>
      </w:tr>
      <w:tr w:rsidR="00B747DD" w:rsidRPr="008A50A5" w:rsidTr="00AC0DC5">
        <w:trPr>
          <w:gridAfter w:val="2"/>
          <w:wAfter w:w="113" w:type="dxa"/>
          <w:cantSplit/>
        </w:trPr>
        <w:tc>
          <w:tcPr>
            <w:tcW w:w="9092" w:type="dxa"/>
            <w:gridSpan w:val="7"/>
            <w:tcBorders>
              <w:left w:val="single" w:sz="4" w:space="0" w:color="000000"/>
              <w:right w:val="single" w:sz="4" w:space="0" w:color="000000"/>
            </w:tcBorders>
          </w:tcPr>
          <w:p w:rsidR="00C4383A" w:rsidRPr="008A50A5" w:rsidRDefault="00C4383A" w:rsidP="00AC0DC5">
            <w:pPr>
              <w:pStyle w:val="Table"/>
              <w:snapToGrid w:val="0"/>
              <w:ind w:left="572"/>
              <w:jc w:val="both"/>
              <w:rPr>
                <w:rFonts w:ascii="Times New Roman" w:hAnsi="Times New Roman" w:cs="Times New Roman"/>
                <w:b w:val="0"/>
                <w:sz w:val="22"/>
                <w:szCs w:val="22"/>
                <w:lang w:val="el-GR"/>
              </w:rPr>
            </w:pPr>
            <w:r w:rsidRPr="008A50A5">
              <w:rPr>
                <w:rFonts w:ascii="Times New Roman" w:hAnsi="Times New Roman" w:cs="Times New Roman"/>
                <w:b w:val="0"/>
                <w:sz w:val="22"/>
                <w:szCs w:val="22"/>
                <w:lang w:val="el-GR"/>
              </w:rPr>
              <w:t>Διαταραχές του αναπνευστικού συστήματος, του θώρακα και του μεσοθωρακίου</w:t>
            </w:r>
          </w:p>
        </w:tc>
      </w:tr>
      <w:tr w:rsidR="00B747DD" w:rsidRPr="008A50A5" w:rsidTr="00AC0DC5">
        <w:trPr>
          <w:gridAfter w:val="2"/>
          <w:wAfter w:w="113" w:type="dxa"/>
        </w:trPr>
        <w:tc>
          <w:tcPr>
            <w:tcW w:w="567" w:type="dxa"/>
            <w:gridSpan w:val="2"/>
            <w:tcBorders>
              <w:left w:val="single" w:sz="4" w:space="0" w:color="000000"/>
            </w:tcBorders>
          </w:tcPr>
          <w:p w:rsidR="00C4383A" w:rsidRPr="008A50A5" w:rsidRDefault="00C4383A" w:rsidP="00C174CF">
            <w:pPr>
              <w:pStyle w:val="Table"/>
              <w:snapToGrid w:val="0"/>
              <w:ind w:left="346"/>
              <w:jc w:val="both"/>
              <w:rPr>
                <w:rFonts w:ascii="Times New Roman" w:hAnsi="Times New Roman" w:cs="Times New Roman"/>
                <w:b w:val="0"/>
                <w:sz w:val="22"/>
                <w:szCs w:val="22"/>
                <w:lang w:val="el-GR"/>
              </w:rPr>
            </w:pPr>
          </w:p>
        </w:tc>
        <w:tc>
          <w:tcPr>
            <w:tcW w:w="1872" w:type="dxa"/>
          </w:tcPr>
          <w:p w:rsidR="00C4383A" w:rsidRPr="008A50A5" w:rsidRDefault="00C4383A" w:rsidP="00C174CF">
            <w:pPr>
              <w:pStyle w:val="Table"/>
              <w:snapToGrid w:val="0"/>
              <w:ind w:left="346"/>
              <w:jc w:val="both"/>
              <w:rPr>
                <w:rFonts w:ascii="Times New Roman" w:hAnsi="Times New Roman" w:cs="Times New Roman"/>
                <w:b w:val="0"/>
                <w:sz w:val="22"/>
                <w:szCs w:val="22"/>
                <w:lang w:val="en-GB"/>
              </w:rPr>
            </w:pPr>
            <w:r w:rsidRPr="008A50A5">
              <w:rPr>
                <w:rFonts w:ascii="Times New Roman" w:hAnsi="Times New Roman" w:cs="Times New Roman"/>
                <w:b w:val="0"/>
                <w:sz w:val="22"/>
                <w:szCs w:val="22"/>
                <w:lang w:val="el-GR"/>
              </w:rPr>
              <w:t>Σπάνιες</w:t>
            </w:r>
            <w:r w:rsidRPr="008A50A5">
              <w:rPr>
                <w:rFonts w:ascii="Times New Roman" w:hAnsi="Times New Roman" w:cs="Times New Roman"/>
                <w:b w:val="0"/>
                <w:sz w:val="22"/>
                <w:szCs w:val="22"/>
                <w:lang w:val="en-GB"/>
              </w:rPr>
              <w:t>:</w:t>
            </w:r>
          </w:p>
        </w:tc>
        <w:tc>
          <w:tcPr>
            <w:tcW w:w="6653" w:type="dxa"/>
            <w:gridSpan w:val="4"/>
            <w:tcBorders>
              <w:right w:val="single" w:sz="4" w:space="0" w:color="000000"/>
            </w:tcBorders>
          </w:tcPr>
          <w:p w:rsidR="00C4383A" w:rsidRPr="008A50A5" w:rsidRDefault="00C4383A" w:rsidP="00AC0DC5">
            <w:pPr>
              <w:pStyle w:val="Table"/>
              <w:snapToGrid w:val="0"/>
              <w:ind w:left="572"/>
              <w:jc w:val="both"/>
              <w:rPr>
                <w:rFonts w:ascii="Times New Roman" w:hAnsi="Times New Roman" w:cs="Times New Roman"/>
                <w:b w:val="0"/>
                <w:sz w:val="22"/>
                <w:szCs w:val="22"/>
                <w:lang w:val="el-GR"/>
              </w:rPr>
            </w:pPr>
            <w:r w:rsidRPr="008A50A5">
              <w:rPr>
                <w:rFonts w:ascii="Times New Roman" w:hAnsi="Times New Roman" w:cs="Times New Roman"/>
                <w:b w:val="0"/>
                <w:sz w:val="22"/>
                <w:szCs w:val="22"/>
                <w:lang w:val="el-GR"/>
              </w:rPr>
              <w:t>Άσθμα (συμπεριλαμβανομένης δύσπνοιας)</w:t>
            </w:r>
          </w:p>
        </w:tc>
      </w:tr>
      <w:tr w:rsidR="00B747DD" w:rsidRPr="008A50A5" w:rsidTr="00AC0DC5">
        <w:trPr>
          <w:gridAfter w:val="2"/>
          <w:wAfter w:w="113" w:type="dxa"/>
        </w:trPr>
        <w:tc>
          <w:tcPr>
            <w:tcW w:w="567" w:type="dxa"/>
            <w:gridSpan w:val="2"/>
            <w:tcBorders>
              <w:left w:val="single" w:sz="4" w:space="0" w:color="000000"/>
            </w:tcBorders>
          </w:tcPr>
          <w:p w:rsidR="00C4383A" w:rsidRPr="008A50A5" w:rsidRDefault="00C4383A" w:rsidP="00C174CF">
            <w:pPr>
              <w:pStyle w:val="Table"/>
              <w:snapToGrid w:val="0"/>
              <w:ind w:left="346"/>
              <w:jc w:val="both"/>
              <w:rPr>
                <w:rFonts w:ascii="Times New Roman" w:hAnsi="Times New Roman" w:cs="Times New Roman"/>
                <w:b w:val="0"/>
                <w:sz w:val="22"/>
                <w:szCs w:val="22"/>
                <w:lang w:val="en-GB"/>
              </w:rPr>
            </w:pPr>
          </w:p>
        </w:tc>
        <w:tc>
          <w:tcPr>
            <w:tcW w:w="1872" w:type="dxa"/>
          </w:tcPr>
          <w:p w:rsidR="00C4383A" w:rsidRPr="008A50A5" w:rsidRDefault="00C4383A" w:rsidP="00C174CF">
            <w:pPr>
              <w:pStyle w:val="Table"/>
              <w:snapToGrid w:val="0"/>
              <w:ind w:left="346"/>
              <w:jc w:val="both"/>
              <w:rPr>
                <w:rFonts w:ascii="Times New Roman" w:hAnsi="Times New Roman" w:cs="Times New Roman"/>
                <w:b w:val="0"/>
                <w:sz w:val="22"/>
                <w:szCs w:val="22"/>
                <w:lang w:val="en-GB"/>
              </w:rPr>
            </w:pPr>
            <w:r w:rsidRPr="008A50A5">
              <w:rPr>
                <w:rFonts w:ascii="Times New Roman" w:hAnsi="Times New Roman" w:cs="Times New Roman"/>
                <w:b w:val="0"/>
                <w:sz w:val="22"/>
                <w:szCs w:val="22"/>
                <w:lang w:val="el-GR"/>
              </w:rPr>
              <w:t>Πολύ σπάνιες</w:t>
            </w:r>
            <w:r w:rsidRPr="008A50A5">
              <w:rPr>
                <w:rFonts w:ascii="Times New Roman" w:hAnsi="Times New Roman" w:cs="Times New Roman"/>
                <w:b w:val="0"/>
                <w:sz w:val="22"/>
                <w:szCs w:val="22"/>
                <w:lang w:val="en-GB"/>
              </w:rPr>
              <w:t>:</w:t>
            </w:r>
          </w:p>
        </w:tc>
        <w:tc>
          <w:tcPr>
            <w:tcW w:w="6653" w:type="dxa"/>
            <w:gridSpan w:val="4"/>
            <w:tcBorders>
              <w:right w:val="single" w:sz="4" w:space="0" w:color="000000"/>
            </w:tcBorders>
          </w:tcPr>
          <w:p w:rsidR="00C4383A" w:rsidRPr="008A50A5" w:rsidRDefault="00C4383A" w:rsidP="00AC0DC5">
            <w:pPr>
              <w:pStyle w:val="Table"/>
              <w:snapToGrid w:val="0"/>
              <w:ind w:left="572"/>
              <w:jc w:val="both"/>
              <w:rPr>
                <w:rFonts w:ascii="Times New Roman" w:hAnsi="Times New Roman" w:cs="Times New Roman"/>
                <w:b w:val="0"/>
                <w:sz w:val="22"/>
                <w:szCs w:val="22"/>
                <w:lang w:val="el-GR"/>
              </w:rPr>
            </w:pPr>
            <w:r w:rsidRPr="008A50A5">
              <w:rPr>
                <w:rFonts w:ascii="Times New Roman" w:hAnsi="Times New Roman" w:cs="Times New Roman"/>
                <w:b w:val="0"/>
                <w:sz w:val="22"/>
                <w:szCs w:val="22"/>
                <w:lang w:val="el-GR"/>
              </w:rPr>
              <w:t>Πνευμονίτις</w:t>
            </w:r>
          </w:p>
        </w:tc>
      </w:tr>
      <w:tr w:rsidR="00B747DD" w:rsidRPr="008A50A5" w:rsidTr="00AC0DC5">
        <w:trPr>
          <w:gridAfter w:val="2"/>
          <w:wAfter w:w="113" w:type="dxa"/>
          <w:cantSplit/>
        </w:trPr>
        <w:tc>
          <w:tcPr>
            <w:tcW w:w="9092" w:type="dxa"/>
            <w:gridSpan w:val="7"/>
            <w:tcBorders>
              <w:left w:val="single" w:sz="4" w:space="0" w:color="000000"/>
              <w:right w:val="single" w:sz="4" w:space="0" w:color="000000"/>
            </w:tcBorders>
          </w:tcPr>
          <w:p w:rsidR="00C4383A" w:rsidRPr="008A50A5" w:rsidRDefault="00C4383A" w:rsidP="00AC0DC5">
            <w:pPr>
              <w:pStyle w:val="Table"/>
              <w:snapToGrid w:val="0"/>
              <w:ind w:left="572"/>
              <w:jc w:val="both"/>
              <w:rPr>
                <w:rFonts w:ascii="Times New Roman" w:hAnsi="Times New Roman" w:cs="Times New Roman"/>
                <w:b w:val="0"/>
                <w:sz w:val="22"/>
                <w:szCs w:val="22"/>
                <w:lang w:val="el-GR"/>
              </w:rPr>
            </w:pPr>
            <w:r w:rsidRPr="008A50A5">
              <w:rPr>
                <w:rFonts w:ascii="Times New Roman" w:hAnsi="Times New Roman" w:cs="Times New Roman"/>
                <w:b w:val="0"/>
                <w:sz w:val="22"/>
                <w:szCs w:val="22"/>
                <w:lang w:val="el-GR"/>
              </w:rPr>
              <w:t>Διαταραχές του γαστρεντερικού συστήματος</w:t>
            </w:r>
          </w:p>
        </w:tc>
      </w:tr>
      <w:tr w:rsidR="00B747DD" w:rsidRPr="008A50A5" w:rsidTr="00AC0DC5">
        <w:trPr>
          <w:gridAfter w:val="2"/>
          <w:wAfter w:w="113" w:type="dxa"/>
        </w:trPr>
        <w:tc>
          <w:tcPr>
            <w:tcW w:w="567" w:type="dxa"/>
            <w:gridSpan w:val="2"/>
            <w:tcBorders>
              <w:left w:val="single" w:sz="4" w:space="0" w:color="000000"/>
            </w:tcBorders>
          </w:tcPr>
          <w:p w:rsidR="00C4383A" w:rsidRPr="008A50A5" w:rsidRDefault="00C4383A" w:rsidP="00C174CF">
            <w:pPr>
              <w:pStyle w:val="Table"/>
              <w:snapToGrid w:val="0"/>
              <w:ind w:left="346"/>
              <w:jc w:val="both"/>
              <w:rPr>
                <w:rFonts w:ascii="Times New Roman" w:hAnsi="Times New Roman" w:cs="Times New Roman"/>
                <w:b w:val="0"/>
                <w:sz w:val="22"/>
                <w:szCs w:val="22"/>
                <w:lang w:val="en-GB"/>
              </w:rPr>
            </w:pPr>
          </w:p>
        </w:tc>
        <w:tc>
          <w:tcPr>
            <w:tcW w:w="1872" w:type="dxa"/>
          </w:tcPr>
          <w:p w:rsidR="00C4383A" w:rsidRPr="008A50A5" w:rsidRDefault="00C4383A" w:rsidP="00C174CF">
            <w:pPr>
              <w:pStyle w:val="Table"/>
              <w:snapToGrid w:val="0"/>
              <w:ind w:left="346"/>
              <w:jc w:val="both"/>
              <w:rPr>
                <w:rFonts w:ascii="Times New Roman" w:hAnsi="Times New Roman" w:cs="Times New Roman"/>
                <w:b w:val="0"/>
                <w:sz w:val="22"/>
                <w:szCs w:val="22"/>
                <w:lang w:val="en-GB"/>
              </w:rPr>
            </w:pPr>
            <w:r w:rsidRPr="008A50A5">
              <w:rPr>
                <w:rFonts w:ascii="Times New Roman" w:hAnsi="Times New Roman" w:cs="Times New Roman"/>
                <w:b w:val="0"/>
                <w:sz w:val="22"/>
                <w:szCs w:val="22"/>
                <w:lang w:val="el-GR"/>
              </w:rPr>
              <w:t>Συχνές</w:t>
            </w:r>
            <w:r w:rsidRPr="008A50A5">
              <w:rPr>
                <w:rFonts w:ascii="Times New Roman" w:hAnsi="Times New Roman" w:cs="Times New Roman"/>
                <w:b w:val="0"/>
                <w:sz w:val="22"/>
                <w:szCs w:val="22"/>
                <w:lang w:val="en-GB"/>
              </w:rPr>
              <w:t>:</w:t>
            </w:r>
          </w:p>
        </w:tc>
        <w:tc>
          <w:tcPr>
            <w:tcW w:w="6653" w:type="dxa"/>
            <w:gridSpan w:val="4"/>
            <w:tcBorders>
              <w:right w:val="single" w:sz="4" w:space="0" w:color="000000"/>
            </w:tcBorders>
          </w:tcPr>
          <w:p w:rsidR="00C4383A" w:rsidRPr="008A50A5" w:rsidRDefault="00C4383A" w:rsidP="00AC0DC5">
            <w:pPr>
              <w:pStyle w:val="Table"/>
              <w:snapToGrid w:val="0"/>
              <w:spacing w:before="0" w:after="0"/>
              <w:ind w:left="572"/>
              <w:jc w:val="both"/>
              <w:rPr>
                <w:rFonts w:ascii="Times New Roman" w:hAnsi="Times New Roman" w:cs="Times New Roman"/>
                <w:b w:val="0"/>
                <w:sz w:val="22"/>
                <w:szCs w:val="22"/>
                <w:lang w:val="el-GR"/>
              </w:rPr>
            </w:pPr>
            <w:r w:rsidRPr="008A50A5">
              <w:rPr>
                <w:rFonts w:ascii="Times New Roman" w:hAnsi="Times New Roman" w:cs="Times New Roman"/>
                <w:b w:val="0"/>
                <w:sz w:val="22"/>
                <w:szCs w:val="22"/>
                <w:lang w:val="el-GR"/>
              </w:rPr>
              <w:t>Ναυτία, έμετος, διάρροια, δυσπεψία, υπογάστριο άλγος, μετεωρισμός, ανορεξία</w:t>
            </w:r>
          </w:p>
        </w:tc>
      </w:tr>
      <w:tr w:rsidR="00B747DD" w:rsidRPr="008A50A5" w:rsidTr="00AC0DC5">
        <w:trPr>
          <w:gridAfter w:val="2"/>
          <w:wAfter w:w="113" w:type="dxa"/>
        </w:trPr>
        <w:tc>
          <w:tcPr>
            <w:tcW w:w="567" w:type="dxa"/>
            <w:gridSpan w:val="2"/>
            <w:tcBorders>
              <w:left w:val="single" w:sz="4" w:space="0" w:color="000000"/>
            </w:tcBorders>
          </w:tcPr>
          <w:p w:rsidR="00C4383A" w:rsidRPr="008A50A5" w:rsidRDefault="00C4383A" w:rsidP="00C174CF">
            <w:pPr>
              <w:pStyle w:val="Table"/>
              <w:snapToGrid w:val="0"/>
              <w:ind w:left="346"/>
              <w:jc w:val="both"/>
              <w:rPr>
                <w:rFonts w:ascii="Times New Roman" w:hAnsi="Times New Roman" w:cs="Times New Roman"/>
                <w:b w:val="0"/>
                <w:sz w:val="22"/>
                <w:szCs w:val="22"/>
                <w:lang w:val="el-GR"/>
              </w:rPr>
            </w:pPr>
          </w:p>
        </w:tc>
        <w:tc>
          <w:tcPr>
            <w:tcW w:w="1872" w:type="dxa"/>
          </w:tcPr>
          <w:p w:rsidR="00C4383A" w:rsidRPr="008A50A5" w:rsidRDefault="00C4383A" w:rsidP="00C174CF">
            <w:pPr>
              <w:pStyle w:val="Table"/>
              <w:snapToGrid w:val="0"/>
              <w:ind w:left="346"/>
              <w:jc w:val="both"/>
              <w:rPr>
                <w:rFonts w:ascii="Times New Roman" w:hAnsi="Times New Roman" w:cs="Times New Roman"/>
                <w:b w:val="0"/>
                <w:sz w:val="22"/>
                <w:szCs w:val="22"/>
                <w:lang w:val="el-GR"/>
              </w:rPr>
            </w:pPr>
            <w:r w:rsidRPr="008A50A5">
              <w:rPr>
                <w:rFonts w:ascii="Times New Roman" w:hAnsi="Times New Roman" w:cs="Times New Roman"/>
                <w:b w:val="0"/>
                <w:sz w:val="22"/>
                <w:szCs w:val="22"/>
                <w:lang w:val="el-GR"/>
              </w:rPr>
              <w:t>Σπάνιες:</w:t>
            </w:r>
          </w:p>
        </w:tc>
        <w:tc>
          <w:tcPr>
            <w:tcW w:w="6653" w:type="dxa"/>
            <w:gridSpan w:val="4"/>
            <w:tcBorders>
              <w:right w:val="single" w:sz="4" w:space="0" w:color="000000"/>
            </w:tcBorders>
          </w:tcPr>
          <w:p w:rsidR="00C4383A" w:rsidRPr="008A50A5" w:rsidRDefault="00C4383A" w:rsidP="00AC0DC5">
            <w:pPr>
              <w:pStyle w:val="Table"/>
              <w:snapToGrid w:val="0"/>
              <w:ind w:left="572"/>
              <w:jc w:val="both"/>
              <w:rPr>
                <w:rFonts w:ascii="Times New Roman" w:hAnsi="Times New Roman" w:cs="Times New Roman"/>
                <w:b w:val="0"/>
                <w:sz w:val="22"/>
                <w:szCs w:val="22"/>
                <w:lang w:val="el-GR"/>
              </w:rPr>
            </w:pPr>
            <w:r w:rsidRPr="008A50A5">
              <w:rPr>
                <w:rFonts w:ascii="Times New Roman" w:hAnsi="Times New Roman" w:cs="Times New Roman"/>
                <w:b w:val="0"/>
                <w:sz w:val="22"/>
                <w:szCs w:val="22"/>
                <w:lang w:val="el-GR"/>
              </w:rPr>
              <w:t>Γαστρίτις, αιμορραγία από το γαστρεντερικό, αιματέμεση, αιμορραγική διάρροια, μέλαινα, γαστρεντερικό έλκος με ή χωρίς αιμορραγία ή διάτρηση  (μερικές φορές θανατηφόρα ια τους ηλικιωμένους)</w:t>
            </w:r>
          </w:p>
        </w:tc>
      </w:tr>
      <w:tr w:rsidR="00B747DD" w:rsidRPr="008A50A5" w:rsidTr="00AC0DC5">
        <w:trPr>
          <w:gridAfter w:val="2"/>
          <w:wAfter w:w="113" w:type="dxa"/>
        </w:trPr>
        <w:tc>
          <w:tcPr>
            <w:tcW w:w="567" w:type="dxa"/>
            <w:gridSpan w:val="2"/>
            <w:tcBorders>
              <w:left w:val="single" w:sz="4" w:space="0" w:color="000000"/>
            </w:tcBorders>
          </w:tcPr>
          <w:p w:rsidR="00C4383A" w:rsidRPr="008A50A5" w:rsidRDefault="00C4383A" w:rsidP="00C174CF">
            <w:pPr>
              <w:pStyle w:val="Table"/>
              <w:snapToGrid w:val="0"/>
              <w:ind w:left="346"/>
              <w:jc w:val="both"/>
              <w:rPr>
                <w:rFonts w:ascii="Times New Roman" w:hAnsi="Times New Roman" w:cs="Times New Roman"/>
                <w:b w:val="0"/>
                <w:sz w:val="22"/>
                <w:szCs w:val="22"/>
                <w:lang w:val="el-GR"/>
              </w:rPr>
            </w:pPr>
          </w:p>
        </w:tc>
        <w:tc>
          <w:tcPr>
            <w:tcW w:w="1872" w:type="dxa"/>
          </w:tcPr>
          <w:p w:rsidR="00C4383A" w:rsidRPr="008A50A5" w:rsidRDefault="00C4383A" w:rsidP="00C174CF">
            <w:pPr>
              <w:pStyle w:val="Table"/>
              <w:snapToGrid w:val="0"/>
              <w:ind w:left="346"/>
              <w:jc w:val="both"/>
              <w:rPr>
                <w:rFonts w:ascii="Times New Roman" w:hAnsi="Times New Roman" w:cs="Times New Roman"/>
                <w:b w:val="0"/>
                <w:sz w:val="22"/>
                <w:szCs w:val="22"/>
                <w:lang w:val="en-GB"/>
              </w:rPr>
            </w:pPr>
            <w:r w:rsidRPr="008A50A5">
              <w:rPr>
                <w:rFonts w:ascii="Times New Roman" w:hAnsi="Times New Roman" w:cs="Times New Roman"/>
                <w:b w:val="0"/>
                <w:sz w:val="22"/>
                <w:szCs w:val="22"/>
                <w:lang w:val="el-GR"/>
              </w:rPr>
              <w:t>Πολύ σπάνιες</w:t>
            </w:r>
            <w:r w:rsidRPr="008A50A5">
              <w:rPr>
                <w:rFonts w:ascii="Times New Roman" w:hAnsi="Times New Roman" w:cs="Times New Roman"/>
                <w:b w:val="0"/>
                <w:sz w:val="22"/>
                <w:szCs w:val="22"/>
                <w:lang w:val="en-GB"/>
              </w:rPr>
              <w:t>:</w:t>
            </w:r>
          </w:p>
        </w:tc>
        <w:tc>
          <w:tcPr>
            <w:tcW w:w="6653" w:type="dxa"/>
            <w:gridSpan w:val="4"/>
            <w:tcBorders>
              <w:right w:val="single" w:sz="4" w:space="0" w:color="000000"/>
            </w:tcBorders>
          </w:tcPr>
          <w:p w:rsidR="00C4383A" w:rsidRPr="008A50A5" w:rsidRDefault="00C4383A" w:rsidP="00AC0DC5">
            <w:pPr>
              <w:pStyle w:val="Table"/>
              <w:snapToGrid w:val="0"/>
              <w:ind w:left="572"/>
              <w:jc w:val="both"/>
              <w:rPr>
                <w:rFonts w:ascii="Times New Roman" w:hAnsi="Times New Roman" w:cs="Times New Roman"/>
                <w:b w:val="0"/>
                <w:sz w:val="22"/>
                <w:szCs w:val="22"/>
                <w:lang w:val="el-GR"/>
              </w:rPr>
            </w:pPr>
            <w:r w:rsidRPr="008A50A5">
              <w:rPr>
                <w:rFonts w:ascii="Times New Roman" w:hAnsi="Times New Roman" w:cs="Times New Roman"/>
                <w:b w:val="0"/>
                <w:sz w:val="22"/>
                <w:szCs w:val="22"/>
                <w:lang w:val="el-GR"/>
              </w:rPr>
              <w:t>Κολίτις, (συμπεριλαμβανομένης αιμορραγική</w:t>
            </w:r>
          </w:p>
          <w:p w:rsidR="00C4383A" w:rsidRPr="008A50A5" w:rsidRDefault="00C4383A" w:rsidP="00AC0DC5">
            <w:pPr>
              <w:pStyle w:val="Table"/>
              <w:ind w:left="572"/>
              <w:jc w:val="both"/>
              <w:rPr>
                <w:rFonts w:ascii="Times New Roman" w:hAnsi="Times New Roman" w:cs="Times New Roman"/>
                <w:b w:val="0"/>
                <w:sz w:val="22"/>
                <w:szCs w:val="22"/>
                <w:lang w:val="el-GR"/>
              </w:rPr>
            </w:pPr>
            <w:r w:rsidRPr="008A50A5">
              <w:rPr>
                <w:rFonts w:ascii="Times New Roman" w:hAnsi="Times New Roman" w:cs="Times New Roman"/>
                <w:b w:val="0"/>
                <w:sz w:val="22"/>
                <w:szCs w:val="22"/>
                <w:lang w:val="el-GR"/>
              </w:rPr>
              <w:t xml:space="preserve"> κολίτιδας, παροξυσμού της ελκώδους κολίτιδας ή της νόσου του Crohn), δυσκοιλιότητα, στοματίτις (συμπεριλαμβανομένης ελκώδους στοματίτιδας), γλωσσίτις, οισοφαγική διαταραχή, διαφραγματικές εντερικές στενώσεις, παγκρεατίτις</w:t>
            </w:r>
          </w:p>
        </w:tc>
      </w:tr>
      <w:tr w:rsidR="00B747DD" w:rsidRPr="008A50A5" w:rsidTr="00AC0DC5">
        <w:trPr>
          <w:gridAfter w:val="2"/>
          <w:wAfter w:w="113" w:type="dxa"/>
          <w:cantSplit/>
        </w:trPr>
        <w:tc>
          <w:tcPr>
            <w:tcW w:w="9092" w:type="dxa"/>
            <w:gridSpan w:val="7"/>
            <w:tcBorders>
              <w:left w:val="single" w:sz="4" w:space="0" w:color="000000"/>
              <w:right w:val="single" w:sz="4" w:space="0" w:color="000000"/>
            </w:tcBorders>
          </w:tcPr>
          <w:p w:rsidR="00C4383A" w:rsidRPr="008A50A5" w:rsidRDefault="00C4383A" w:rsidP="00AC0DC5">
            <w:pPr>
              <w:pStyle w:val="Table"/>
              <w:snapToGrid w:val="0"/>
              <w:ind w:left="572"/>
              <w:jc w:val="both"/>
              <w:rPr>
                <w:rFonts w:ascii="Times New Roman" w:hAnsi="Times New Roman" w:cs="Times New Roman"/>
                <w:b w:val="0"/>
                <w:bCs/>
                <w:sz w:val="22"/>
                <w:szCs w:val="22"/>
                <w:lang w:val="el-GR"/>
              </w:rPr>
            </w:pPr>
            <w:r w:rsidRPr="008A50A5">
              <w:rPr>
                <w:rFonts w:ascii="Times New Roman" w:hAnsi="Times New Roman" w:cs="Times New Roman"/>
                <w:b w:val="0"/>
                <w:bCs/>
                <w:sz w:val="22"/>
                <w:szCs w:val="22"/>
                <w:lang w:val="el-GR"/>
              </w:rPr>
              <w:t>Διαταραχές του ήπατος και των χοληφόρων</w:t>
            </w:r>
          </w:p>
        </w:tc>
      </w:tr>
      <w:tr w:rsidR="00B747DD" w:rsidRPr="008A50A5" w:rsidTr="00AC0DC5">
        <w:trPr>
          <w:gridAfter w:val="2"/>
          <w:wAfter w:w="113" w:type="dxa"/>
        </w:trPr>
        <w:tc>
          <w:tcPr>
            <w:tcW w:w="567" w:type="dxa"/>
            <w:gridSpan w:val="2"/>
            <w:tcBorders>
              <w:left w:val="single" w:sz="4" w:space="0" w:color="000000"/>
            </w:tcBorders>
          </w:tcPr>
          <w:p w:rsidR="00C4383A" w:rsidRPr="008A50A5" w:rsidRDefault="00C4383A" w:rsidP="00C174CF">
            <w:pPr>
              <w:pStyle w:val="Table"/>
              <w:snapToGrid w:val="0"/>
              <w:ind w:left="346"/>
              <w:jc w:val="both"/>
              <w:rPr>
                <w:rFonts w:ascii="Times New Roman" w:hAnsi="Times New Roman" w:cs="Times New Roman"/>
                <w:b w:val="0"/>
                <w:bCs/>
                <w:sz w:val="22"/>
                <w:szCs w:val="22"/>
                <w:lang w:val="el-GR"/>
              </w:rPr>
            </w:pPr>
          </w:p>
        </w:tc>
        <w:tc>
          <w:tcPr>
            <w:tcW w:w="1872" w:type="dxa"/>
          </w:tcPr>
          <w:p w:rsidR="00C4383A" w:rsidRPr="008A50A5" w:rsidRDefault="00C4383A" w:rsidP="00C174CF">
            <w:pPr>
              <w:pStyle w:val="Table"/>
              <w:snapToGrid w:val="0"/>
              <w:ind w:left="346"/>
              <w:jc w:val="both"/>
              <w:rPr>
                <w:rFonts w:ascii="Times New Roman" w:hAnsi="Times New Roman" w:cs="Times New Roman"/>
                <w:b w:val="0"/>
                <w:bCs/>
                <w:sz w:val="22"/>
                <w:szCs w:val="22"/>
                <w:lang w:val="en-GB"/>
              </w:rPr>
            </w:pPr>
            <w:r w:rsidRPr="008A50A5">
              <w:rPr>
                <w:rFonts w:ascii="Times New Roman" w:hAnsi="Times New Roman" w:cs="Times New Roman"/>
                <w:b w:val="0"/>
                <w:bCs/>
                <w:sz w:val="22"/>
                <w:szCs w:val="22"/>
                <w:lang w:val="el-GR"/>
              </w:rPr>
              <w:t>Συχνές</w:t>
            </w:r>
            <w:r w:rsidRPr="008A50A5">
              <w:rPr>
                <w:rFonts w:ascii="Times New Roman" w:hAnsi="Times New Roman" w:cs="Times New Roman"/>
                <w:b w:val="0"/>
                <w:bCs/>
                <w:sz w:val="22"/>
                <w:szCs w:val="22"/>
                <w:lang w:val="en-GB"/>
              </w:rPr>
              <w:t>:</w:t>
            </w:r>
          </w:p>
        </w:tc>
        <w:tc>
          <w:tcPr>
            <w:tcW w:w="6653" w:type="dxa"/>
            <w:gridSpan w:val="4"/>
            <w:tcBorders>
              <w:right w:val="single" w:sz="4" w:space="0" w:color="000000"/>
            </w:tcBorders>
          </w:tcPr>
          <w:p w:rsidR="00C4383A" w:rsidRPr="008A50A5" w:rsidRDefault="00C4383A" w:rsidP="00AC0DC5">
            <w:pPr>
              <w:pStyle w:val="Table"/>
              <w:snapToGrid w:val="0"/>
              <w:ind w:left="572"/>
              <w:jc w:val="both"/>
              <w:rPr>
                <w:rFonts w:ascii="Times New Roman" w:hAnsi="Times New Roman" w:cs="Times New Roman"/>
                <w:b w:val="0"/>
                <w:bCs/>
                <w:sz w:val="22"/>
                <w:szCs w:val="22"/>
                <w:lang w:val="el-GR"/>
              </w:rPr>
            </w:pPr>
            <w:r w:rsidRPr="008A50A5">
              <w:rPr>
                <w:rFonts w:ascii="Times New Roman" w:hAnsi="Times New Roman" w:cs="Times New Roman"/>
                <w:b w:val="0"/>
                <w:bCs/>
                <w:sz w:val="22"/>
                <w:szCs w:val="22"/>
                <w:lang w:val="el-GR"/>
              </w:rPr>
              <w:t>Αύξηση τρανσαμινασών</w:t>
            </w:r>
          </w:p>
        </w:tc>
      </w:tr>
      <w:tr w:rsidR="00B747DD" w:rsidRPr="008A50A5" w:rsidTr="00AC0DC5">
        <w:trPr>
          <w:gridAfter w:val="2"/>
          <w:wAfter w:w="113" w:type="dxa"/>
        </w:trPr>
        <w:tc>
          <w:tcPr>
            <w:tcW w:w="567" w:type="dxa"/>
            <w:gridSpan w:val="2"/>
            <w:tcBorders>
              <w:left w:val="single" w:sz="4" w:space="0" w:color="000000"/>
            </w:tcBorders>
          </w:tcPr>
          <w:p w:rsidR="00C4383A" w:rsidRPr="008A50A5" w:rsidRDefault="00C4383A" w:rsidP="00C174CF">
            <w:pPr>
              <w:pStyle w:val="Table"/>
              <w:snapToGrid w:val="0"/>
              <w:ind w:left="346"/>
              <w:jc w:val="both"/>
              <w:rPr>
                <w:rFonts w:ascii="Times New Roman" w:hAnsi="Times New Roman" w:cs="Times New Roman"/>
                <w:b w:val="0"/>
                <w:bCs/>
                <w:sz w:val="22"/>
                <w:szCs w:val="22"/>
                <w:lang w:val="en-GB"/>
              </w:rPr>
            </w:pPr>
          </w:p>
        </w:tc>
        <w:tc>
          <w:tcPr>
            <w:tcW w:w="1872" w:type="dxa"/>
          </w:tcPr>
          <w:p w:rsidR="00C4383A" w:rsidRPr="008A50A5" w:rsidRDefault="00C4383A" w:rsidP="00C174CF">
            <w:pPr>
              <w:pStyle w:val="Table"/>
              <w:snapToGrid w:val="0"/>
              <w:ind w:left="346"/>
              <w:jc w:val="both"/>
              <w:rPr>
                <w:rFonts w:ascii="Times New Roman" w:hAnsi="Times New Roman" w:cs="Times New Roman"/>
                <w:b w:val="0"/>
                <w:sz w:val="22"/>
                <w:szCs w:val="22"/>
                <w:lang w:val="en-GB"/>
              </w:rPr>
            </w:pPr>
            <w:r w:rsidRPr="008A50A5">
              <w:rPr>
                <w:rFonts w:ascii="Times New Roman" w:hAnsi="Times New Roman" w:cs="Times New Roman"/>
                <w:b w:val="0"/>
                <w:sz w:val="22"/>
                <w:szCs w:val="22"/>
                <w:lang w:val="el-GR"/>
              </w:rPr>
              <w:t>Σπάνιες</w:t>
            </w:r>
            <w:r w:rsidRPr="008A50A5">
              <w:rPr>
                <w:rFonts w:ascii="Times New Roman" w:hAnsi="Times New Roman" w:cs="Times New Roman"/>
                <w:b w:val="0"/>
                <w:sz w:val="22"/>
                <w:szCs w:val="22"/>
                <w:lang w:val="en-GB"/>
              </w:rPr>
              <w:t>:</w:t>
            </w:r>
          </w:p>
        </w:tc>
        <w:tc>
          <w:tcPr>
            <w:tcW w:w="6653" w:type="dxa"/>
            <w:gridSpan w:val="4"/>
            <w:tcBorders>
              <w:right w:val="single" w:sz="4" w:space="0" w:color="000000"/>
            </w:tcBorders>
          </w:tcPr>
          <w:p w:rsidR="00C4383A" w:rsidRPr="008A50A5" w:rsidRDefault="00C4383A" w:rsidP="00AC0DC5">
            <w:pPr>
              <w:pStyle w:val="Table"/>
              <w:snapToGrid w:val="0"/>
              <w:ind w:left="572"/>
              <w:jc w:val="both"/>
              <w:rPr>
                <w:rFonts w:ascii="Times New Roman" w:hAnsi="Times New Roman" w:cs="Times New Roman"/>
                <w:b w:val="0"/>
                <w:sz w:val="22"/>
                <w:szCs w:val="22"/>
                <w:lang w:val="el-GR"/>
              </w:rPr>
            </w:pPr>
            <w:r w:rsidRPr="008A50A5">
              <w:rPr>
                <w:rFonts w:ascii="Times New Roman" w:hAnsi="Times New Roman" w:cs="Times New Roman"/>
                <w:b w:val="0"/>
                <w:sz w:val="22"/>
                <w:szCs w:val="22"/>
                <w:lang w:val="el-GR"/>
              </w:rPr>
              <w:t>Ηπατίτιδα, ίκτερος, ηπατική διαταραχή</w:t>
            </w:r>
          </w:p>
        </w:tc>
      </w:tr>
      <w:tr w:rsidR="00B747DD" w:rsidRPr="008A50A5" w:rsidTr="00AC0DC5">
        <w:trPr>
          <w:gridAfter w:val="2"/>
          <w:wAfter w:w="113" w:type="dxa"/>
        </w:trPr>
        <w:tc>
          <w:tcPr>
            <w:tcW w:w="567" w:type="dxa"/>
            <w:gridSpan w:val="2"/>
            <w:tcBorders>
              <w:left w:val="single" w:sz="4" w:space="0" w:color="000000"/>
            </w:tcBorders>
          </w:tcPr>
          <w:p w:rsidR="00C4383A" w:rsidRPr="008A50A5" w:rsidRDefault="00C4383A" w:rsidP="00C174CF">
            <w:pPr>
              <w:pStyle w:val="Table"/>
              <w:snapToGrid w:val="0"/>
              <w:ind w:left="346"/>
              <w:jc w:val="both"/>
              <w:rPr>
                <w:rFonts w:ascii="Times New Roman" w:hAnsi="Times New Roman" w:cs="Times New Roman"/>
                <w:b w:val="0"/>
                <w:sz w:val="22"/>
                <w:szCs w:val="22"/>
                <w:lang w:val="en-GB"/>
              </w:rPr>
            </w:pPr>
          </w:p>
        </w:tc>
        <w:tc>
          <w:tcPr>
            <w:tcW w:w="1872" w:type="dxa"/>
          </w:tcPr>
          <w:p w:rsidR="00C4383A" w:rsidRPr="008A50A5" w:rsidRDefault="00C4383A" w:rsidP="00C174CF">
            <w:pPr>
              <w:pStyle w:val="Table"/>
              <w:snapToGrid w:val="0"/>
              <w:ind w:left="346"/>
              <w:jc w:val="both"/>
              <w:rPr>
                <w:rFonts w:ascii="Times New Roman" w:hAnsi="Times New Roman" w:cs="Times New Roman"/>
                <w:b w:val="0"/>
                <w:sz w:val="22"/>
                <w:szCs w:val="22"/>
                <w:lang w:val="en-GB"/>
              </w:rPr>
            </w:pPr>
            <w:r w:rsidRPr="008A50A5">
              <w:rPr>
                <w:rFonts w:ascii="Times New Roman" w:hAnsi="Times New Roman" w:cs="Times New Roman"/>
                <w:b w:val="0"/>
                <w:sz w:val="22"/>
                <w:szCs w:val="22"/>
                <w:lang w:val="el-GR"/>
              </w:rPr>
              <w:t>Πολύ σπάνιες</w:t>
            </w:r>
            <w:r w:rsidRPr="008A50A5">
              <w:rPr>
                <w:rFonts w:ascii="Times New Roman" w:hAnsi="Times New Roman" w:cs="Times New Roman"/>
                <w:b w:val="0"/>
                <w:sz w:val="22"/>
                <w:szCs w:val="22"/>
                <w:lang w:val="en-GB"/>
              </w:rPr>
              <w:t>:</w:t>
            </w:r>
          </w:p>
        </w:tc>
        <w:tc>
          <w:tcPr>
            <w:tcW w:w="6653" w:type="dxa"/>
            <w:gridSpan w:val="4"/>
            <w:tcBorders>
              <w:right w:val="single" w:sz="4" w:space="0" w:color="000000"/>
            </w:tcBorders>
          </w:tcPr>
          <w:p w:rsidR="00C4383A" w:rsidRPr="008A50A5" w:rsidRDefault="00C4383A" w:rsidP="00AC0DC5">
            <w:pPr>
              <w:pStyle w:val="Table"/>
              <w:snapToGrid w:val="0"/>
              <w:ind w:left="572"/>
              <w:jc w:val="both"/>
              <w:rPr>
                <w:rFonts w:ascii="Times New Roman" w:hAnsi="Times New Roman" w:cs="Times New Roman"/>
                <w:b w:val="0"/>
                <w:sz w:val="22"/>
                <w:szCs w:val="22"/>
                <w:lang w:val="el-GR"/>
              </w:rPr>
            </w:pPr>
            <w:r w:rsidRPr="008A50A5">
              <w:rPr>
                <w:rFonts w:ascii="Times New Roman" w:hAnsi="Times New Roman" w:cs="Times New Roman"/>
                <w:b w:val="0"/>
                <w:sz w:val="22"/>
                <w:szCs w:val="22"/>
                <w:lang w:val="el-GR"/>
              </w:rPr>
              <w:t>Αιφνίδια ηπατίτιδα, ηπατική νέκρωση ή έκπτωση της ηπατικής λειτουργίας</w:t>
            </w:r>
          </w:p>
        </w:tc>
      </w:tr>
      <w:tr w:rsidR="00B747DD" w:rsidRPr="008A50A5" w:rsidTr="00AC0DC5">
        <w:trPr>
          <w:gridAfter w:val="2"/>
          <w:wAfter w:w="113" w:type="dxa"/>
          <w:cantSplit/>
        </w:trPr>
        <w:tc>
          <w:tcPr>
            <w:tcW w:w="9092" w:type="dxa"/>
            <w:gridSpan w:val="7"/>
            <w:tcBorders>
              <w:left w:val="single" w:sz="4" w:space="0" w:color="000000"/>
              <w:right w:val="single" w:sz="4" w:space="0" w:color="000000"/>
            </w:tcBorders>
          </w:tcPr>
          <w:p w:rsidR="00C4383A" w:rsidRPr="008A50A5" w:rsidRDefault="00C4383A" w:rsidP="00AC0DC5">
            <w:pPr>
              <w:pStyle w:val="Table"/>
              <w:snapToGrid w:val="0"/>
              <w:ind w:left="572"/>
              <w:jc w:val="both"/>
              <w:rPr>
                <w:rFonts w:ascii="Times New Roman" w:hAnsi="Times New Roman" w:cs="Times New Roman"/>
                <w:b w:val="0"/>
                <w:sz w:val="22"/>
                <w:szCs w:val="22"/>
                <w:lang w:val="el-GR"/>
              </w:rPr>
            </w:pPr>
            <w:r w:rsidRPr="008A50A5">
              <w:rPr>
                <w:rFonts w:ascii="Times New Roman" w:hAnsi="Times New Roman" w:cs="Times New Roman"/>
                <w:b w:val="0"/>
                <w:sz w:val="22"/>
                <w:szCs w:val="22"/>
                <w:lang w:val="el-GR"/>
              </w:rPr>
              <w:t>Διαταραχές του δέρματος και του υποδόριου ιστού</w:t>
            </w:r>
          </w:p>
        </w:tc>
      </w:tr>
      <w:tr w:rsidR="00B747DD" w:rsidRPr="008A50A5" w:rsidTr="00AC0DC5">
        <w:trPr>
          <w:gridAfter w:val="2"/>
          <w:wAfter w:w="113" w:type="dxa"/>
        </w:trPr>
        <w:tc>
          <w:tcPr>
            <w:tcW w:w="567" w:type="dxa"/>
            <w:gridSpan w:val="2"/>
            <w:tcBorders>
              <w:left w:val="single" w:sz="4" w:space="0" w:color="000000"/>
            </w:tcBorders>
          </w:tcPr>
          <w:p w:rsidR="00C4383A" w:rsidRPr="008A50A5" w:rsidRDefault="00C4383A" w:rsidP="00C174CF">
            <w:pPr>
              <w:pStyle w:val="Table"/>
              <w:snapToGrid w:val="0"/>
              <w:ind w:left="346"/>
              <w:jc w:val="both"/>
              <w:rPr>
                <w:rFonts w:ascii="Times New Roman" w:hAnsi="Times New Roman" w:cs="Times New Roman"/>
                <w:b w:val="0"/>
                <w:sz w:val="22"/>
                <w:szCs w:val="22"/>
                <w:lang w:val="el-GR"/>
              </w:rPr>
            </w:pPr>
          </w:p>
        </w:tc>
        <w:tc>
          <w:tcPr>
            <w:tcW w:w="1872" w:type="dxa"/>
          </w:tcPr>
          <w:p w:rsidR="00C4383A" w:rsidRPr="008A50A5" w:rsidRDefault="00C4383A" w:rsidP="00C174CF">
            <w:pPr>
              <w:pStyle w:val="Table"/>
              <w:snapToGrid w:val="0"/>
              <w:ind w:left="346"/>
              <w:jc w:val="both"/>
              <w:rPr>
                <w:rFonts w:ascii="Times New Roman" w:hAnsi="Times New Roman" w:cs="Times New Roman"/>
                <w:b w:val="0"/>
                <w:sz w:val="22"/>
                <w:szCs w:val="22"/>
                <w:lang w:val="en-GB"/>
              </w:rPr>
            </w:pPr>
            <w:r w:rsidRPr="008A50A5">
              <w:rPr>
                <w:rFonts w:ascii="Times New Roman" w:hAnsi="Times New Roman" w:cs="Times New Roman"/>
                <w:b w:val="0"/>
                <w:sz w:val="22"/>
                <w:szCs w:val="22"/>
                <w:lang w:val="el-GR"/>
              </w:rPr>
              <w:t>Συχνές</w:t>
            </w:r>
            <w:r w:rsidRPr="008A50A5">
              <w:rPr>
                <w:rFonts w:ascii="Times New Roman" w:hAnsi="Times New Roman" w:cs="Times New Roman"/>
                <w:b w:val="0"/>
                <w:sz w:val="22"/>
                <w:szCs w:val="22"/>
                <w:lang w:val="en-GB"/>
              </w:rPr>
              <w:t>:</w:t>
            </w:r>
          </w:p>
        </w:tc>
        <w:tc>
          <w:tcPr>
            <w:tcW w:w="6653" w:type="dxa"/>
            <w:gridSpan w:val="4"/>
            <w:tcBorders>
              <w:right w:val="single" w:sz="4" w:space="0" w:color="000000"/>
            </w:tcBorders>
          </w:tcPr>
          <w:p w:rsidR="00C4383A" w:rsidRPr="008A50A5" w:rsidRDefault="00C4383A" w:rsidP="00AC0DC5">
            <w:pPr>
              <w:pStyle w:val="Table"/>
              <w:snapToGrid w:val="0"/>
              <w:ind w:left="572"/>
              <w:jc w:val="both"/>
              <w:rPr>
                <w:rFonts w:ascii="Times New Roman" w:hAnsi="Times New Roman" w:cs="Times New Roman"/>
                <w:b w:val="0"/>
                <w:sz w:val="22"/>
                <w:szCs w:val="22"/>
                <w:lang w:val="el-GR"/>
              </w:rPr>
            </w:pPr>
            <w:r w:rsidRPr="008A50A5">
              <w:rPr>
                <w:rFonts w:ascii="Times New Roman" w:hAnsi="Times New Roman" w:cs="Times New Roman"/>
                <w:b w:val="0"/>
                <w:sz w:val="22"/>
                <w:szCs w:val="22"/>
                <w:lang w:val="el-GR"/>
              </w:rPr>
              <w:t>Εξάνθημα</w:t>
            </w:r>
          </w:p>
        </w:tc>
      </w:tr>
      <w:tr w:rsidR="00B747DD" w:rsidRPr="008A50A5" w:rsidTr="00AC0DC5">
        <w:trPr>
          <w:gridAfter w:val="2"/>
          <w:wAfter w:w="113" w:type="dxa"/>
        </w:trPr>
        <w:tc>
          <w:tcPr>
            <w:tcW w:w="567" w:type="dxa"/>
            <w:gridSpan w:val="2"/>
            <w:tcBorders>
              <w:left w:val="single" w:sz="4" w:space="0" w:color="000000"/>
            </w:tcBorders>
          </w:tcPr>
          <w:p w:rsidR="00C4383A" w:rsidRPr="008A50A5" w:rsidRDefault="00C4383A" w:rsidP="00C174CF">
            <w:pPr>
              <w:pStyle w:val="Table"/>
              <w:snapToGrid w:val="0"/>
              <w:ind w:left="346"/>
              <w:jc w:val="both"/>
              <w:rPr>
                <w:rFonts w:ascii="Times New Roman" w:hAnsi="Times New Roman" w:cs="Times New Roman"/>
                <w:b w:val="0"/>
                <w:sz w:val="22"/>
                <w:szCs w:val="22"/>
                <w:lang w:val="en-GB"/>
              </w:rPr>
            </w:pPr>
          </w:p>
        </w:tc>
        <w:tc>
          <w:tcPr>
            <w:tcW w:w="1872" w:type="dxa"/>
          </w:tcPr>
          <w:p w:rsidR="00C4383A" w:rsidRPr="008A50A5" w:rsidRDefault="00C4383A" w:rsidP="00C174CF">
            <w:pPr>
              <w:pStyle w:val="Table"/>
              <w:snapToGrid w:val="0"/>
              <w:ind w:left="346"/>
              <w:jc w:val="both"/>
              <w:rPr>
                <w:rFonts w:ascii="Times New Roman" w:hAnsi="Times New Roman" w:cs="Times New Roman"/>
                <w:b w:val="0"/>
                <w:sz w:val="22"/>
                <w:szCs w:val="22"/>
                <w:lang w:val="en-GB"/>
              </w:rPr>
            </w:pPr>
            <w:r w:rsidRPr="008A50A5">
              <w:rPr>
                <w:rFonts w:ascii="Times New Roman" w:hAnsi="Times New Roman" w:cs="Times New Roman"/>
                <w:b w:val="0"/>
                <w:sz w:val="22"/>
                <w:szCs w:val="22"/>
                <w:lang w:val="el-GR"/>
              </w:rPr>
              <w:t>Σπάνιες</w:t>
            </w:r>
            <w:r w:rsidRPr="008A50A5">
              <w:rPr>
                <w:rFonts w:ascii="Times New Roman" w:hAnsi="Times New Roman" w:cs="Times New Roman"/>
                <w:b w:val="0"/>
                <w:sz w:val="22"/>
                <w:szCs w:val="22"/>
                <w:lang w:val="en-GB"/>
              </w:rPr>
              <w:t>:</w:t>
            </w:r>
          </w:p>
        </w:tc>
        <w:tc>
          <w:tcPr>
            <w:tcW w:w="6653" w:type="dxa"/>
            <w:gridSpan w:val="4"/>
            <w:tcBorders>
              <w:right w:val="single" w:sz="4" w:space="0" w:color="000000"/>
            </w:tcBorders>
          </w:tcPr>
          <w:p w:rsidR="00C4383A" w:rsidRPr="008A50A5" w:rsidRDefault="00C4383A" w:rsidP="00AC0DC5">
            <w:pPr>
              <w:pStyle w:val="Table"/>
              <w:snapToGrid w:val="0"/>
              <w:ind w:left="572"/>
              <w:jc w:val="both"/>
              <w:rPr>
                <w:rFonts w:ascii="Times New Roman" w:hAnsi="Times New Roman" w:cs="Times New Roman"/>
                <w:b w:val="0"/>
                <w:sz w:val="22"/>
                <w:szCs w:val="22"/>
                <w:lang w:val="el-GR"/>
              </w:rPr>
            </w:pPr>
            <w:r w:rsidRPr="008A50A5">
              <w:rPr>
                <w:rFonts w:ascii="Times New Roman" w:hAnsi="Times New Roman" w:cs="Times New Roman"/>
                <w:b w:val="0"/>
                <w:sz w:val="22"/>
                <w:szCs w:val="22"/>
                <w:lang w:val="el-GR"/>
              </w:rPr>
              <w:t>Κνίδωση</w:t>
            </w:r>
          </w:p>
        </w:tc>
      </w:tr>
      <w:tr w:rsidR="00B747DD" w:rsidRPr="008A50A5" w:rsidTr="00AC0DC5">
        <w:trPr>
          <w:gridAfter w:val="2"/>
          <w:wAfter w:w="113" w:type="dxa"/>
        </w:trPr>
        <w:tc>
          <w:tcPr>
            <w:tcW w:w="567" w:type="dxa"/>
            <w:gridSpan w:val="2"/>
            <w:tcBorders>
              <w:left w:val="single" w:sz="4" w:space="0" w:color="000000"/>
            </w:tcBorders>
          </w:tcPr>
          <w:p w:rsidR="00C4383A" w:rsidRPr="008A50A5" w:rsidRDefault="00C4383A" w:rsidP="00C174CF">
            <w:pPr>
              <w:pStyle w:val="Table"/>
              <w:snapToGrid w:val="0"/>
              <w:ind w:left="346"/>
              <w:jc w:val="both"/>
              <w:rPr>
                <w:rFonts w:ascii="Times New Roman" w:hAnsi="Times New Roman" w:cs="Times New Roman"/>
                <w:b w:val="0"/>
                <w:sz w:val="22"/>
                <w:szCs w:val="22"/>
                <w:lang w:val="en-GB"/>
              </w:rPr>
            </w:pPr>
          </w:p>
        </w:tc>
        <w:tc>
          <w:tcPr>
            <w:tcW w:w="1872" w:type="dxa"/>
          </w:tcPr>
          <w:p w:rsidR="00C4383A" w:rsidRPr="008A50A5" w:rsidRDefault="00C4383A" w:rsidP="00C174CF">
            <w:pPr>
              <w:pStyle w:val="Table"/>
              <w:snapToGrid w:val="0"/>
              <w:ind w:left="346"/>
              <w:jc w:val="both"/>
              <w:rPr>
                <w:rFonts w:ascii="Times New Roman" w:hAnsi="Times New Roman" w:cs="Times New Roman"/>
                <w:b w:val="0"/>
                <w:sz w:val="22"/>
                <w:szCs w:val="22"/>
                <w:lang w:val="en-GB"/>
              </w:rPr>
            </w:pPr>
            <w:r w:rsidRPr="008A50A5">
              <w:rPr>
                <w:rFonts w:ascii="Times New Roman" w:hAnsi="Times New Roman" w:cs="Times New Roman"/>
                <w:b w:val="0"/>
                <w:sz w:val="22"/>
                <w:szCs w:val="22"/>
                <w:lang w:val="el-GR"/>
              </w:rPr>
              <w:t>Πολύ σπάνιες</w:t>
            </w:r>
            <w:r w:rsidRPr="008A50A5">
              <w:rPr>
                <w:rFonts w:ascii="Times New Roman" w:hAnsi="Times New Roman" w:cs="Times New Roman"/>
                <w:b w:val="0"/>
                <w:sz w:val="22"/>
                <w:szCs w:val="22"/>
                <w:lang w:val="en-GB"/>
              </w:rPr>
              <w:t>:</w:t>
            </w:r>
          </w:p>
        </w:tc>
        <w:tc>
          <w:tcPr>
            <w:tcW w:w="6653" w:type="dxa"/>
            <w:gridSpan w:val="4"/>
            <w:tcBorders>
              <w:right w:val="single" w:sz="4" w:space="0" w:color="000000"/>
            </w:tcBorders>
          </w:tcPr>
          <w:p w:rsidR="00C4383A" w:rsidRPr="008A50A5" w:rsidRDefault="00C4383A" w:rsidP="00AC0DC5">
            <w:pPr>
              <w:pStyle w:val="Table"/>
              <w:snapToGrid w:val="0"/>
              <w:ind w:left="572"/>
              <w:jc w:val="both"/>
              <w:rPr>
                <w:rFonts w:ascii="Times New Roman" w:hAnsi="Times New Roman" w:cs="Times New Roman"/>
                <w:b w:val="0"/>
                <w:sz w:val="22"/>
                <w:szCs w:val="22"/>
                <w:lang w:val="en-GB"/>
              </w:rPr>
            </w:pPr>
            <w:r w:rsidRPr="008A50A5">
              <w:rPr>
                <w:rFonts w:ascii="Times New Roman" w:hAnsi="Times New Roman" w:cs="Times New Roman"/>
                <w:b w:val="0"/>
                <w:sz w:val="22"/>
                <w:szCs w:val="22"/>
                <w:lang w:val="el-GR"/>
              </w:rPr>
              <w:t>Πομφολυγώδες</w:t>
            </w:r>
            <w:r w:rsidRPr="008A50A5">
              <w:rPr>
                <w:rFonts w:ascii="Times New Roman" w:hAnsi="Times New Roman" w:cs="Times New Roman"/>
                <w:b w:val="0"/>
                <w:sz w:val="22"/>
                <w:szCs w:val="22"/>
                <w:lang w:val="en-GB"/>
              </w:rPr>
              <w:t xml:space="preserve"> </w:t>
            </w:r>
            <w:r w:rsidRPr="008A50A5">
              <w:rPr>
                <w:rFonts w:ascii="Times New Roman" w:hAnsi="Times New Roman" w:cs="Times New Roman"/>
                <w:b w:val="0"/>
                <w:sz w:val="22"/>
                <w:szCs w:val="22"/>
                <w:lang w:val="el-GR"/>
              </w:rPr>
              <w:t>εξάνθημα</w:t>
            </w:r>
            <w:r w:rsidRPr="008A50A5">
              <w:rPr>
                <w:rFonts w:ascii="Times New Roman" w:hAnsi="Times New Roman" w:cs="Times New Roman"/>
                <w:b w:val="0"/>
                <w:sz w:val="22"/>
                <w:szCs w:val="22"/>
                <w:lang w:val="en-GB"/>
              </w:rPr>
              <w:t xml:space="preserve">, </w:t>
            </w:r>
            <w:r w:rsidRPr="008A50A5">
              <w:rPr>
                <w:rFonts w:ascii="Times New Roman" w:hAnsi="Times New Roman" w:cs="Times New Roman"/>
                <w:b w:val="0"/>
                <w:sz w:val="22"/>
                <w:szCs w:val="22"/>
                <w:lang w:val="el-GR"/>
              </w:rPr>
              <w:t>έκζεμα</w:t>
            </w:r>
            <w:r w:rsidRPr="008A50A5">
              <w:rPr>
                <w:rFonts w:ascii="Times New Roman" w:hAnsi="Times New Roman" w:cs="Times New Roman"/>
                <w:b w:val="0"/>
                <w:sz w:val="22"/>
                <w:szCs w:val="22"/>
                <w:lang w:val="en-GB"/>
              </w:rPr>
              <w:t xml:space="preserve">, </w:t>
            </w:r>
            <w:r w:rsidRPr="008A50A5">
              <w:rPr>
                <w:rFonts w:ascii="Times New Roman" w:hAnsi="Times New Roman" w:cs="Times New Roman"/>
                <w:b w:val="0"/>
                <w:sz w:val="22"/>
                <w:szCs w:val="22"/>
                <w:lang w:val="el-GR"/>
              </w:rPr>
              <w:t>ερύθημα</w:t>
            </w:r>
            <w:r w:rsidRPr="008A50A5">
              <w:rPr>
                <w:rFonts w:ascii="Times New Roman" w:hAnsi="Times New Roman" w:cs="Times New Roman"/>
                <w:b w:val="0"/>
                <w:sz w:val="22"/>
                <w:szCs w:val="22"/>
                <w:lang w:val="en-GB"/>
              </w:rPr>
              <w:t xml:space="preserve">, </w:t>
            </w:r>
            <w:r w:rsidRPr="008A50A5">
              <w:rPr>
                <w:rFonts w:ascii="Times New Roman" w:hAnsi="Times New Roman" w:cs="Times New Roman"/>
                <w:b w:val="0"/>
                <w:sz w:val="22"/>
                <w:szCs w:val="22"/>
                <w:lang w:val="el-GR"/>
              </w:rPr>
              <w:t>πολυμορφικό</w:t>
            </w:r>
            <w:r w:rsidRPr="008A50A5">
              <w:rPr>
                <w:rFonts w:ascii="Times New Roman" w:hAnsi="Times New Roman" w:cs="Times New Roman"/>
                <w:b w:val="0"/>
                <w:sz w:val="22"/>
                <w:szCs w:val="22"/>
                <w:lang w:val="en-GB"/>
              </w:rPr>
              <w:t xml:space="preserve"> </w:t>
            </w:r>
            <w:r w:rsidRPr="008A50A5">
              <w:rPr>
                <w:rFonts w:ascii="Times New Roman" w:hAnsi="Times New Roman" w:cs="Times New Roman"/>
                <w:b w:val="0"/>
                <w:sz w:val="22"/>
                <w:szCs w:val="22"/>
                <w:lang w:val="el-GR"/>
              </w:rPr>
              <w:t>ερύθημα</w:t>
            </w:r>
            <w:r w:rsidRPr="008A50A5">
              <w:rPr>
                <w:rFonts w:ascii="Times New Roman" w:hAnsi="Times New Roman" w:cs="Times New Roman"/>
                <w:b w:val="0"/>
                <w:sz w:val="22"/>
                <w:szCs w:val="22"/>
                <w:lang w:val="en-GB"/>
              </w:rPr>
              <w:t xml:space="preserve">, </w:t>
            </w:r>
            <w:r w:rsidRPr="008A50A5">
              <w:rPr>
                <w:rFonts w:ascii="Times New Roman" w:hAnsi="Times New Roman" w:cs="Times New Roman"/>
                <w:b w:val="0"/>
                <w:sz w:val="22"/>
                <w:szCs w:val="22"/>
                <w:lang w:val="el-GR"/>
              </w:rPr>
              <w:t>σύνδρομο</w:t>
            </w:r>
            <w:r w:rsidRPr="008A50A5">
              <w:rPr>
                <w:rFonts w:ascii="Times New Roman" w:hAnsi="Times New Roman" w:cs="Times New Roman"/>
                <w:b w:val="0"/>
                <w:sz w:val="22"/>
                <w:szCs w:val="22"/>
                <w:lang w:val="en-GB"/>
              </w:rPr>
              <w:t xml:space="preserve"> Stevens Johnson, </w:t>
            </w:r>
            <w:r w:rsidRPr="008A50A5">
              <w:rPr>
                <w:rFonts w:ascii="Times New Roman" w:hAnsi="Times New Roman" w:cs="Times New Roman"/>
                <w:b w:val="0"/>
                <w:sz w:val="22"/>
                <w:szCs w:val="22"/>
                <w:lang w:val="el-GR"/>
              </w:rPr>
              <w:t>τοξική</w:t>
            </w:r>
            <w:r w:rsidRPr="008A50A5">
              <w:rPr>
                <w:rFonts w:ascii="Times New Roman" w:hAnsi="Times New Roman" w:cs="Times New Roman"/>
                <w:b w:val="0"/>
                <w:sz w:val="22"/>
                <w:szCs w:val="22"/>
                <w:lang w:val="en-GB"/>
              </w:rPr>
              <w:t xml:space="preserve"> </w:t>
            </w:r>
            <w:r w:rsidRPr="008A50A5">
              <w:rPr>
                <w:rFonts w:ascii="Times New Roman" w:hAnsi="Times New Roman" w:cs="Times New Roman"/>
                <w:b w:val="0"/>
                <w:sz w:val="22"/>
                <w:szCs w:val="22"/>
                <w:lang w:val="el-GR"/>
              </w:rPr>
              <w:t>επιδερμική</w:t>
            </w:r>
            <w:r w:rsidRPr="008A50A5">
              <w:rPr>
                <w:rFonts w:ascii="Times New Roman" w:hAnsi="Times New Roman" w:cs="Times New Roman"/>
                <w:b w:val="0"/>
                <w:sz w:val="22"/>
                <w:szCs w:val="22"/>
                <w:lang w:val="en-GB"/>
              </w:rPr>
              <w:t xml:space="preserve"> </w:t>
            </w:r>
            <w:r w:rsidRPr="008A50A5">
              <w:rPr>
                <w:rFonts w:ascii="Times New Roman" w:hAnsi="Times New Roman" w:cs="Times New Roman"/>
                <w:b w:val="0"/>
                <w:sz w:val="22"/>
                <w:szCs w:val="22"/>
                <w:lang w:val="el-GR"/>
              </w:rPr>
              <w:t>νεκρόλυση</w:t>
            </w:r>
            <w:r w:rsidRPr="008A50A5">
              <w:rPr>
                <w:rFonts w:ascii="Times New Roman" w:hAnsi="Times New Roman" w:cs="Times New Roman"/>
                <w:b w:val="0"/>
                <w:sz w:val="22"/>
                <w:szCs w:val="22"/>
                <w:lang w:val="en-GB"/>
              </w:rPr>
              <w:t xml:space="preserve"> (</w:t>
            </w:r>
            <w:r w:rsidRPr="008A50A5">
              <w:rPr>
                <w:rFonts w:ascii="Times New Roman" w:hAnsi="Times New Roman" w:cs="Times New Roman"/>
                <w:b w:val="0"/>
                <w:sz w:val="22"/>
                <w:szCs w:val="22"/>
                <w:lang w:val="el-GR"/>
              </w:rPr>
              <w:t>σύνδρομο</w:t>
            </w:r>
            <w:r w:rsidRPr="008A50A5">
              <w:rPr>
                <w:rFonts w:ascii="Times New Roman" w:hAnsi="Times New Roman" w:cs="Times New Roman"/>
                <w:b w:val="0"/>
                <w:sz w:val="22"/>
                <w:szCs w:val="22"/>
                <w:lang w:val="en-GB"/>
              </w:rPr>
              <w:t xml:space="preserve"> Lyell’s), </w:t>
            </w:r>
            <w:r w:rsidRPr="008A50A5">
              <w:rPr>
                <w:rFonts w:ascii="Times New Roman" w:hAnsi="Times New Roman" w:cs="Times New Roman"/>
                <w:b w:val="0"/>
                <w:sz w:val="22"/>
                <w:szCs w:val="22"/>
                <w:lang w:val="el-GR"/>
              </w:rPr>
              <w:t>απολεπιστική</w:t>
            </w:r>
            <w:r w:rsidRPr="008A50A5">
              <w:rPr>
                <w:rFonts w:ascii="Times New Roman" w:hAnsi="Times New Roman" w:cs="Times New Roman"/>
                <w:b w:val="0"/>
                <w:sz w:val="22"/>
                <w:szCs w:val="22"/>
                <w:lang w:val="en-GB"/>
              </w:rPr>
              <w:t xml:space="preserve"> </w:t>
            </w:r>
            <w:r w:rsidRPr="008A50A5">
              <w:rPr>
                <w:rFonts w:ascii="Times New Roman" w:hAnsi="Times New Roman" w:cs="Times New Roman"/>
                <w:b w:val="0"/>
                <w:sz w:val="22"/>
                <w:szCs w:val="22"/>
                <w:lang w:val="el-GR"/>
              </w:rPr>
              <w:t>δερματίτιδα</w:t>
            </w:r>
            <w:r w:rsidRPr="008A50A5">
              <w:rPr>
                <w:rFonts w:ascii="Times New Roman" w:hAnsi="Times New Roman" w:cs="Times New Roman"/>
                <w:b w:val="0"/>
                <w:sz w:val="22"/>
                <w:szCs w:val="22"/>
                <w:lang w:val="en-GB"/>
              </w:rPr>
              <w:t xml:space="preserve">, </w:t>
            </w:r>
            <w:r w:rsidRPr="008A50A5">
              <w:rPr>
                <w:rFonts w:ascii="Times New Roman" w:hAnsi="Times New Roman" w:cs="Times New Roman"/>
                <w:b w:val="0"/>
                <w:sz w:val="22"/>
                <w:szCs w:val="22"/>
                <w:lang w:val="el-GR"/>
              </w:rPr>
              <w:t>απώλεια</w:t>
            </w:r>
            <w:r w:rsidRPr="008A50A5">
              <w:rPr>
                <w:rFonts w:ascii="Times New Roman" w:hAnsi="Times New Roman" w:cs="Times New Roman"/>
                <w:b w:val="0"/>
                <w:sz w:val="22"/>
                <w:szCs w:val="22"/>
                <w:lang w:val="en-GB"/>
              </w:rPr>
              <w:t xml:space="preserve"> </w:t>
            </w:r>
            <w:r w:rsidRPr="008A50A5">
              <w:rPr>
                <w:rFonts w:ascii="Times New Roman" w:hAnsi="Times New Roman" w:cs="Times New Roman"/>
                <w:b w:val="0"/>
                <w:sz w:val="22"/>
                <w:szCs w:val="22"/>
                <w:lang w:val="el-GR"/>
              </w:rPr>
              <w:t>τριχών</w:t>
            </w:r>
            <w:r w:rsidRPr="008A50A5">
              <w:rPr>
                <w:rFonts w:ascii="Times New Roman" w:hAnsi="Times New Roman" w:cs="Times New Roman"/>
                <w:b w:val="0"/>
                <w:sz w:val="22"/>
                <w:szCs w:val="22"/>
                <w:lang w:val="en-GB"/>
              </w:rPr>
              <w:t xml:space="preserve">, </w:t>
            </w:r>
            <w:r w:rsidRPr="008A50A5">
              <w:rPr>
                <w:rFonts w:ascii="Times New Roman" w:hAnsi="Times New Roman" w:cs="Times New Roman"/>
                <w:b w:val="0"/>
                <w:sz w:val="22"/>
                <w:szCs w:val="22"/>
                <w:lang w:val="el-GR"/>
              </w:rPr>
              <w:t>αντιδράσεις</w:t>
            </w:r>
            <w:r w:rsidRPr="008A50A5">
              <w:rPr>
                <w:rFonts w:ascii="Times New Roman" w:hAnsi="Times New Roman" w:cs="Times New Roman"/>
                <w:b w:val="0"/>
                <w:sz w:val="22"/>
                <w:szCs w:val="22"/>
                <w:lang w:val="en-GB"/>
              </w:rPr>
              <w:t xml:space="preserve"> </w:t>
            </w:r>
            <w:r w:rsidRPr="008A50A5">
              <w:rPr>
                <w:rFonts w:ascii="Times New Roman" w:hAnsi="Times New Roman" w:cs="Times New Roman"/>
                <w:b w:val="0"/>
                <w:sz w:val="22"/>
                <w:szCs w:val="22"/>
                <w:lang w:val="el-GR"/>
              </w:rPr>
              <w:t>φωτοευαισθησίας</w:t>
            </w:r>
            <w:r w:rsidRPr="008A50A5">
              <w:rPr>
                <w:rFonts w:ascii="Times New Roman" w:hAnsi="Times New Roman" w:cs="Times New Roman"/>
                <w:b w:val="0"/>
                <w:sz w:val="22"/>
                <w:szCs w:val="22"/>
                <w:lang w:val="en-GB"/>
              </w:rPr>
              <w:t xml:space="preserve">, </w:t>
            </w:r>
            <w:r w:rsidRPr="008A50A5">
              <w:rPr>
                <w:rFonts w:ascii="Times New Roman" w:hAnsi="Times New Roman" w:cs="Times New Roman"/>
                <w:b w:val="0"/>
                <w:sz w:val="22"/>
                <w:szCs w:val="22"/>
                <w:lang w:val="el-GR"/>
              </w:rPr>
              <w:t>πορφύρα</w:t>
            </w:r>
            <w:r w:rsidRPr="008A50A5">
              <w:rPr>
                <w:rFonts w:ascii="Times New Roman" w:hAnsi="Times New Roman" w:cs="Times New Roman"/>
                <w:b w:val="0"/>
                <w:sz w:val="22"/>
                <w:szCs w:val="22"/>
                <w:lang w:val="en-GB"/>
              </w:rPr>
              <w:t xml:space="preserve">, </w:t>
            </w:r>
            <w:r w:rsidRPr="008A50A5">
              <w:rPr>
                <w:rFonts w:ascii="Times New Roman" w:hAnsi="Times New Roman" w:cs="Times New Roman"/>
                <w:b w:val="0"/>
                <w:sz w:val="22"/>
                <w:szCs w:val="22"/>
                <w:lang w:val="el-GR"/>
              </w:rPr>
              <w:t>αλλεργική</w:t>
            </w:r>
            <w:r w:rsidRPr="008A50A5">
              <w:rPr>
                <w:rFonts w:ascii="Times New Roman" w:hAnsi="Times New Roman" w:cs="Times New Roman"/>
                <w:b w:val="0"/>
                <w:sz w:val="22"/>
                <w:szCs w:val="22"/>
                <w:lang w:val="en-GB"/>
              </w:rPr>
              <w:t xml:space="preserve"> </w:t>
            </w:r>
            <w:r w:rsidRPr="008A50A5">
              <w:rPr>
                <w:rFonts w:ascii="Times New Roman" w:hAnsi="Times New Roman" w:cs="Times New Roman"/>
                <w:b w:val="0"/>
                <w:sz w:val="22"/>
                <w:szCs w:val="22"/>
                <w:lang w:val="el-GR"/>
              </w:rPr>
              <w:t>πορφύρα</w:t>
            </w:r>
            <w:r w:rsidRPr="008A50A5">
              <w:rPr>
                <w:rFonts w:ascii="Times New Roman" w:hAnsi="Times New Roman" w:cs="Times New Roman"/>
                <w:b w:val="0"/>
                <w:sz w:val="22"/>
                <w:szCs w:val="22"/>
                <w:lang w:val="en-GB"/>
              </w:rPr>
              <w:t xml:space="preserve">, </w:t>
            </w:r>
            <w:r w:rsidRPr="008A50A5">
              <w:rPr>
                <w:rFonts w:ascii="Times New Roman" w:hAnsi="Times New Roman" w:cs="Times New Roman"/>
                <w:b w:val="0"/>
                <w:sz w:val="22"/>
                <w:szCs w:val="22"/>
                <w:lang w:val="el-GR"/>
              </w:rPr>
              <w:t>κνησμός</w:t>
            </w:r>
          </w:p>
        </w:tc>
      </w:tr>
      <w:tr w:rsidR="00B747DD" w:rsidRPr="008A50A5" w:rsidTr="00AC0DC5">
        <w:trPr>
          <w:gridAfter w:val="2"/>
          <w:wAfter w:w="113" w:type="dxa"/>
          <w:cantSplit/>
        </w:trPr>
        <w:tc>
          <w:tcPr>
            <w:tcW w:w="9092" w:type="dxa"/>
            <w:gridSpan w:val="7"/>
            <w:tcBorders>
              <w:left w:val="single" w:sz="4" w:space="0" w:color="000000"/>
              <w:right w:val="single" w:sz="4" w:space="0" w:color="000000"/>
            </w:tcBorders>
          </w:tcPr>
          <w:p w:rsidR="00C4383A" w:rsidRPr="008A50A5" w:rsidRDefault="00C4383A" w:rsidP="00AC0DC5">
            <w:pPr>
              <w:pStyle w:val="Table"/>
              <w:snapToGrid w:val="0"/>
              <w:ind w:left="572"/>
              <w:jc w:val="both"/>
              <w:rPr>
                <w:rFonts w:ascii="Times New Roman" w:hAnsi="Times New Roman" w:cs="Times New Roman"/>
                <w:b w:val="0"/>
                <w:bCs/>
                <w:sz w:val="22"/>
                <w:szCs w:val="22"/>
                <w:lang w:val="el-GR"/>
              </w:rPr>
            </w:pPr>
            <w:r w:rsidRPr="008A50A5">
              <w:rPr>
                <w:rFonts w:ascii="Times New Roman" w:hAnsi="Times New Roman" w:cs="Times New Roman"/>
                <w:b w:val="0"/>
                <w:bCs/>
                <w:sz w:val="22"/>
                <w:szCs w:val="22"/>
                <w:lang w:val="el-GR"/>
              </w:rPr>
              <w:t>Διαταραχές των νεφρών και των ουροφόρων οδών</w:t>
            </w:r>
          </w:p>
        </w:tc>
      </w:tr>
      <w:tr w:rsidR="00B747DD" w:rsidRPr="008A50A5" w:rsidTr="00AC0DC5">
        <w:trPr>
          <w:gridAfter w:val="2"/>
          <w:wAfter w:w="113" w:type="dxa"/>
        </w:trPr>
        <w:tc>
          <w:tcPr>
            <w:tcW w:w="567" w:type="dxa"/>
            <w:gridSpan w:val="2"/>
            <w:tcBorders>
              <w:left w:val="single" w:sz="4" w:space="0" w:color="000000"/>
            </w:tcBorders>
          </w:tcPr>
          <w:p w:rsidR="00C4383A" w:rsidRPr="008A50A5" w:rsidRDefault="00C4383A" w:rsidP="00C174CF">
            <w:pPr>
              <w:pStyle w:val="Table"/>
              <w:snapToGrid w:val="0"/>
              <w:ind w:left="346"/>
              <w:jc w:val="both"/>
              <w:rPr>
                <w:rFonts w:ascii="Times New Roman" w:hAnsi="Times New Roman" w:cs="Times New Roman"/>
                <w:b w:val="0"/>
                <w:sz w:val="22"/>
                <w:szCs w:val="22"/>
                <w:lang w:val="el-GR"/>
              </w:rPr>
            </w:pPr>
          </w:p>
        </w:tc>
        <w:tc>
          <w:tcPr>
            <w:tcW w:w="1872" w:type="dxa"/>
          </w:tcPr>
          <w:p w:rsidR="00C4383A" w:rsidRPr="008A50A5" w:rsidRDefault="00C4383A" w:rsidP="00C174CF">
            <w:pPr>
              <w:pStyle w:val="Table"/>
              <w:snapToGrid w:val="0"/>
              <w:ind w:left="346"/>
              <w:jc w:val="both"/>
              <w:rPr>
                <w:rFonts w:ascii="Times New Roman" w:hAnsi="Times New Roman" w:cs="Times New Roman"/>
                <w:b w:val="0"/>
                <w:sz w:val="22"/>
                <w:szCs w:val="22"/>
                <w:lang w:val="en-GB"/>
              </w:rPr>
            </w:pPr>
            <w:r w:rsidRPr="008A50A5">
              <w:rPr>
                <w:rFonts w:ascii="Times New Roman" w:hAnsi="Times New Roman" w:cs="Times New Roman"/>
                <w:b w:val="0"/>
                <w:sz w:val="22"/>
                <w:szCs w:val="22"/>
                <w:lang w:val="el-GR"/>
              </w:rPr>
              <w:t>Πολύ σπάνιες</w:t>
            </w:r>
            <w:r w:rsidRPr="008A50A5">
              <w:rPr>
                <w:rFonts w:ascii="Times New Roman" w:hAnsi="Times New Roman" w:cs="Times New Roman"/>
                <w:b w:val="0"/>
                <w:sz w:val="22"/>
                <w:szCs w:val="22"/>
                <w:lang w:val="en-GB"/>
              </w:rPr>
              <w:t>:</w:t>
            </w:r>
          </w:p>
        </w:tc>
        <w:tc>
          <w:tcPr>
            <w:tcW w:w="6653" w:type="dxa"/>
            <w:gridSpan w:val="4"/>
            <w:tcBorders>
              <w:right w:val="single" w:sz="4" w:space="0" w:color="000000"/>
            </w:tcBorders>
          </w:tcPr>
          <w:p w:rsidR="00C4383A" w:rsidRPr="008A50A5" w:rsidRDefault="00C4383A" w:rsidP="00AC0DC5">
            <w:pPr>
              <w:pStyle w:val="Table"/>
              <w:snapToGrid w:val="0"/>
              <w:ind w:left="572"/>
              <w:jc w:val="both"/>
              <w:rPr>
                <w:rFonts w:ascii="Times New Roman" w:hAnsi="Times New Roman" w:cs="Times New Roman"/>
                <w:b w:val="0"/>
                <w:sz w:val="22"/>
                <w:szCs w:val="22"/>
                <w:lang w:val="el-GR"/>
              </w:rPr>
            </w:pPr>
            <w:r w:rsidRPr="008A50A5">
              <w:rPr>
                <w:rFonts w:ascii="Times New Roman" w:hAnsi="Times New Roman" w:cs="Times New Roman"/>
                <w:b w:val="0"/>
                <w:sz w:val="22"/>
                <w:szCs w:val="22"/>
                <w:lang w:val="el-GR"/>
              </w:rPr>
              <w:t>Οξεία έκπτωση της νεφρικής λειτουργίας, αιματουρία, πρωτεϊνουρία, νεφρωσικό σύνδρομο, διάμεση νεφρίτις, νεφρική θυλοειδής νέκρωση</w:t>
            </w:r>
          </w:p>
        </w:tc>
      </w:tr>
      <w:tr w:rsidR="00B747DD" w:rsidRPr="008A50A5" w:rsidTr="00AC0DC5">
        <w:trPr>
          <w:gridAfter w:val="2"/>
          <w:wAfter w:w="113" w:type="dxa"/>
          <w:cantSplit/>
        </w:trPr>
        <w:tc>
          <w:tcPr>
            <w:tcW w:w="9092" w:type="dxa"/>
            <w:gridSpan w:val="7"/>
            <w:tcBorders>
              <w:left w:val="single" w:sz="4" w:space="0" w:color="000000"/>
              <w:right w:val="single" w:sz="4" w:space="0" w:color="000000"/>
            </w:tcBorders>
          </w:tcPr>
          <w:p w:rsidR="00C4383A" w:rsidRPr="008A50A5" w:rsidRDefault="00C4383A" w:rsidP="00AC0DC5">
            <w:pPr>
              <w:pStyle w:val="Table"/>
              <w:snapToGrid w:val="0"/>
              <w:ind w:left="572"/>
              <w:jc w:val="both"/>
              <w:rPr>
                <w:rFonts w:ascii="Times New Roman" w:hAnsi="Times New Roman" w:cs="Times New Roman"/>
                <w:b w:val="0"/>
                <w:sz w:val="22"/>
                <w:szCs w:val="22"/>
                <w:lang w:val="el-GR"/>
              </w:rPr>
            </w:pPr>
            <w:r w:rsidRPr="008A50A5">
              <w:rPr>
                <w:rFonts w:ascii="Times New Roman" w:hAnsi="Times New Roman" w:cs="Times New Roman"/>
                <w:b w:val="0"/>
                <w:sz w:val="22"/>
                <w:szCs w:val="22"/>
                <w:lang w:val="el-GR"/>
              </w:rPr>
              <w:t>Γενικές διαταραχές και καταστάσεις της οδού χορήγησης</w:t>
            </w:r>
          </w:p>
        </w:tc>
      </w:tr>
      <w:tr w:rsidR="00B747DD" w:rsidRPr="008A50A5" w:rsidTr="00AC0DC5">
        <w:trPr>
          <w:gridAfter w:val="2"/>
          <w:wAfter w:w="113" w:type="dxa"/>
          <w:cantSplit/>
        </w:trPr>
        <w:tc>
          <w:tcPr>
            <w:tcW w:w="9092" w:type="dxa"/>
            <w:gridSpan w:val="7"/>
            <w:tcBorders>
              <w:left w:val="single" w:sz="4" w:space="0" w:color="000000"/>
              <w:right w:val="single" w:sz="4" w:space="0" w:color="000000"/>
            </w:tcBorders>
          </w:tcPr>
          <w:p w:rsidR="00C4383A" w:rsidRPr="008A50A5" w:rsidRDefault="00C4383A" w:rsidP="00AC0DC5">
            <w:pPr>
              <w:pStyle w:val="Table"/>
              <w:snapToGrid w:val="0"/>
              <w:ind w:left="572"/>
              <w:jc w:val="both"/>
              <w:rPr>
                <w:rFonts w:ascii="Times New Roman" w:hAnsi="Times New Roman" w:cs="Times New Roman"/>
                <w:b w:val="0"/>
                <w:sz w:val="22"/>
                <w:szCs w:val="22"/>
                <w:lang w:val="el-GR"/>
              </w:rPr>
            </w:pPr>
            <w:r w:rsidRPr="008A50A5">
              <w:rPr>
                <w:rFonts w:ascii="Times New Roman" w:hAnsi="Times New Roman" w:cs="Times New Roman"/>
                <w:b w:val="0"/>
                <w:sz w:val="22"/>
                <w:szCs w:val="22"/>
                <w:lang w:val="el-GR"/>
              </w:rPr>
              <w:t>Διαταραχές του συστήματος αναπαραγωγής και μαστού</w:t>
            </w:r>
          </w:p>
        </w:tc>
      </w:tr>
      <w:tr w:rsidR="00B747DD" w:rsidRPr="008A50A5" w:rsidTr="00AC0DC5">
        <w:trPr>
          <w:gridAfter w:val="2"/>
          <w:wAfter w:w="113" w:type="dxa"/>
        </w:trPr>
        <w:tc>
          <w:tcPr>
            <w:tcW w:w="567" w:type="dxa"/>
            <w:gridSpan w:val="2"/>
            <w:tcBorders>
              <w:left w:val="single" w:sz="4" w:space="0" w:color="000000"/>
              <w:bottom w:val="single" w:sz="4" w:space="0" w:color="000000"/>
            </w:tcBorders>
          </w:tcPr>
          <w:p w:rsidR="00C4383A" w:rsidRPr="008A50A5" w:rsidRDefault="00C4383A" w:rsidP="00C174CF">
            <w:pPr>
              <w:pStyle w:val="Table"/>
              <w:snapToGrid w:val="0"/>
              <w:ind w:left="346"/>
              <w:jc w:val="both"/>
              <w:rPr>
                <w:rFonts w:ascii="Times New Roman" w:hAnsi="Times New Roman" w:cs="Times New Roman"/>
                <w:b w:val="0"/>
                <w:sz w:val="22"/>
                <w:szCs w:val="22"/>
                <w:lang w:val="el-GR"/>
              </w:rPr>
            </w:pPr>
          </w:p>
        </w:tc>
        <w:tc>
          <w:tcPr>
            <w:tcW w:w="1872" w:type="dxa"/>
            <w:tcBorders>
              <w:bottom w:val="single" w:sz="4" w:space="0" w:color="000000"/>
            </w:tcBorders>
          </w:tcPr>
          <w:p w:rsidR="00C4383A" w:rsidRPr="008A50A5" w:rsidRDefault="00C4383A" w:rsidP="00C174CF">
            <w:pPr>
              <w:pStyle w:val="Table"/>
              <w:snapToGrid w:val="0"/>
              <w:ind w:left="346"/>
              <w:jc w:val="both"/>
              <w:rPr>
                <w:rFonts w:ascii="Times New Roman" w:hAnsi="Times New Roman" w:cs="Times New Roman"/>
                <w:b w:val="0"/>
                <w:sz w:val="22"/>
                <w:szCs w:val="22"/>
                <w:lang w:val="el-GR"/>
              </w:rPr>
            </w:pPr>
            <w:r w:rsidRPr="008A50A5">
              <w:rPr>
                <w:rFonts w:ascii="Times New Roman" w:hAnsi="Times New Roman" w:cs="Times New Roman"/>
                <w:b w:val="0"/>
                <w:sz w:val="22"/>
                <w:szCs w:val="22"/>
                <w:lang w:val="el-GR"/>
              </w:rPr>
              <w:t>Πολύ Σπάνιες:</w:t>
            </w:r>
          </w:p>
        </w:tc>
        <w:tc>
          <w:tcPr>
            <w:tcW w:w="6653" w:type="dxa"/>
            <w:gridSpan w:val="4"/>
            <w:tcBorders>
              <w:bottom w:val="single" w:sz="4" w:space="0" w:color="000000"/>
              <w:right w:val="single" w:sz="4" w:space="0" w:color="000000"/>
            </w:tcBorders>
          </w:tcPr>
          <w:p w:rsidR="00C4383A" w:rsidRPr="008A50A5" w:rsidRDefault="00C4383A" w:rsidP="00AC0DC5">
            <w:pPr>
              <w:pStyle w:val="Table"/>
              <w:snapToGrid w:val="0"/>
              <w:ind w:left="572"/>
              <w:jc w:val="both"/>
              <w:rPr>
                <w:rFonts w:ascii="Times New Roman" w:hAnsi="Times New Roman" w:cs="Times New Roman"/>
                <w:b w:val="0"/>
                <w:sz w:val="22"/>
                <w:szCs w:val="22"/>
                <w:lang w:val="el-GR"/>
              </w:rPr>
            </w:pPr>
            <w:r w:rsidRPr="008A50A5">
              <w:rPr>
                <w:rFonts w:ascii="Times New Roman" w:hAnsi="Times New Roman" w:cs="Times New Roman"/>
                <w:b w:val="0"/>
                <w:sz w:val="22"/>
                <w:szCs w:val="22"/>
                <w:lang w:val="el-GR"/>
              </w:rPr>
              <w:t xml:space="preserve">Στυτική δυσλειτουργία </w:t>
            </w:r>
          </w:p>
          <w:p w:rsidR="00C4383A" w:rsidRPr="008A50A5" w:rsidRDefault="00C4383A" w:rsidP="00AC0DC5">
            <w:pPr>
              <w:pStyle w:val="Table"/>
              <w:ind w:left="572"/>
              <w:jc w:val="both"/>
              <w:rPr>
                <w:rFonts w:ascii="Times New Roman" w:hAnsi="Times New Roman" w:cs="Times New Roman"/>
                <w:b w:val="0"/>
                <w:sz w:val="22"/>
                <w:szCs w:val="22"/>
                <w:lang w:val="el-GR"/>
              </w:rPr>
            </w:pPr>
          </w:p>
        </w:tc>
      </w:tr>
    </w:tbl>
    <w:p w:rsidR="00C4383A" w:rsidRPr="008A50A5" w:rsidRDefault="00C4383A" w:rsidP="00C174CF">
      <w:pPr>
        <w:tabs>
          <w:tab w:val="left" w:pos="2069"/>
        </w:tabs>
        <w:ind w:left="680"/>
        <w:jc w:val="both"/>
        <w:rPr>
          <w:rFonts w:cs="Times New Roman"/>
          <w:sz w:val="22"/>
          <w:szCs w:val="22"/>
        </w:rPr>
      </w:pPr>
    </w:p>
    <w:p w:rsidR="00C4383A" w:rsidRPr="008A50A5" w:rsidRDefault="00C4383A" w:rsidP="00C174CF">
      <w:pPr>
        <w:pStyle w:val="Text"/>
        <w:rPr>
          <w:rFonts w:cs="Times New Roman"/>
          <w:sz w:val="22"/>
          <w:szCs w:val="22"/>
        </w:rPr>
      </w:pPr>
      <w:r w:rsidRPr="008A50A5">
        <w:rPr>
          <w:rFonts w:cs="Times New Roman"/>
          <w:sz w:val="22"/>
          <w:szCs w:val="22"/>
          <w:lang w:val="el-GR"/>
        </w:rPr>
        <w:t>Δεδομένα από κλινικές δοκιμές και επιδημιολογικές μελέτες δεικνύουν ότι η χρήση της δικλοφ</w:t>
      </w:r>
      <w:r w:rsidR="00315BEC" w:rsidRPr="008A50A5">
        <w:rPr>
          <w:rFonts w:cs="Times New Roman"/>
          <w:sz w:val="22"/>
          <w:szCs w:val="22"/>
          <w:lang w:val="el-GR"/>
        </w:rPr>
        <w:t>αι</w:t>
      </w:r>
      <w:r w:rsidRPr="008A50A5">
        <w:rPr>
          <w:rFonts w:cs="Times New Roman"/>
          <w:sz w:val="22"/>
          <w:szCs w:val="22"/>
          <w:lang w:val="el-GR"/>
        </w:rPr>
        <w:t xml:space="preserve">νάκης, (ιδιαίτερα σε υψηλές δόσεις 150 </w:t>
      </w:r>
      <w:r w:rsidRPr="008A50A5">
        <w:rPr>
          <w:rFonts w:cs="Times New Roman"/>
          <w:sz w:val="22"/>
          <w:szCs w:val="22"/>
        </w:rPr>
        <w:t>mg</w:t>
      </w:r>
      <w:r w:rsidRPr="008A50A5">
        <w:rPr>
          <w:rFonts w:cs="Times New Roman"/>
          <w:sz w:val="22"/>
          <w:szCs w:val="22"/>
          <w:lang w:val="el-GR"/>
        </w:rPr>
        <w:t xml:space="preserve"> ημερησίως και σε μακροχρόνια θεραπεία) μπορεί να συσχετίζεται</w:t>
      </w:r>
      <w:r w:rsidRPr="008A50A5">
        <w:rPr>
          <w:rFonts w:cs="Times New Roman"/>
          <w:sz w:val="22"/>
          <w:szCs w:val="22"/>
        </w:rPr>
        <w:t> </w:t>
      </w:r>
      <w:r w:rsidRPr="008A50A5">
        <w:rPr>
          <w:rFonts w:cs="Times New Roman"/>
          <w:sz w:val="22"/>
          <w:szCs w:val="22"/>
          <w:lang w:val="el-GR"/>
        </w:rPr>
        <w:t xml:space="preserve"> με μικρή αύξηση  του </w:t>
      </w:r>
      <w:r w:rsidR="00DC2D5C" w:rsidRPr="008A50A5">
        <w:rPr>
          <w:rFonts w:cs="Times New Roman"/>
          <w:sz w:val="22"/>
          <w:szCs w:val="22"/>
          <w:lang w:val="el-GR"/>
        </w:rPr>
        <w:t>κινδύνου</w:t>
      </w:r>
      <w:r w:rsidRPr="008A50A5">
        <w:rPr>
          <w:rFonts w:cs="Times New Roman"/>
          <w:sz w:val="22"/>
          <w:szCs w:val="22"/>
          <w:lang w:val="el-GR"/>
        </w:rPr>
        <w:t xml:space="preserve"> για  εμφάνιση</w:t>
      </w:r>
      <w:r w:rsidRPr="008A50A5">
        <w:rPr>
          <w:rFonts w:cs="Times New Roman"/>
          <w:sz w:val="22"/>
          <w:szCs w:val="22"/>
        </w:rPr>
        <w:t> </w:t>
      </w:r>
      <w:r w:rsidRPr="008A50A5">
        <w:rPr>
          <w:rFonts w:cs="Times New Roman"/>
          <w:sz w:val="22"/>
          <w:szCs w:val="22"/>
          <w:lang w:val="el-GR"/>
        </w:rPr>
        <w:t xml:space="preserve"> θρομβωτικών αρτηριακών επεισοδίων  (για παράδειγμα έμφραγμα του μυοκαρδίου ή εγκεφαλικό επεισόδιο) (βλέπε Λήμμα 4.4)</w:t>
      </w:r>
      <w:r w:rsidR="0021099B">
        <w:rPr>
          <w:rFonts w:cs="Times New Roman"/>
          <w:sz w:val="22"/>
          <w:szCs w:val="22"/>
          <w:lang w:val="el-GR"/>
        </w:rPr>
        <w:t>.</w:t>
      </w:r>
      <w:r w:rsidRPr="008A50A5">
        <w:rPr>
          <w:rFonts w:cs="Times New Roman"/>
          <w:sz w:val="22"/>
          <w:szCs w:val="22"/>
          <w:lang w:val="el-GR"/>
        </w:rPr>
        <w:t xml:space="preserve"> </w:t>
      </w:r>
      <w:r w:rsidRPr="008A50A5">
        <w:rPr>
          <w:rFonts w:cs="Times New Roman"/>
          <w:sz w:val="22"/>
          <w:szCs w:val="22"/>
        </w:rPr>
        <w:t> </w:t>
      </w:r>
    </w:p>
    <w:p w:rsidR="00C4383A" w:rsidRPr="008A50A5" w:rsidRDefault="00C4383A" w:rsidP="00C174CF">
      <w:pPr>
        <w:tabs>
          <w:tab w:val="left" w:pos="2069"/>
        </w:tabs>
        <w:ind w:left="680"/>
        <w:jc w:val="both"/>
        <w:rPr>
          <w:rFonts w:cs="Times New Roman"/>
          <w:b/>
          <w:i/>
          <w:sz w:val="22"/>
          <w:szCs w:val="22"/>
          <w:lang w:val="el-GR"/>
        </w:rPr>
      </w:pPr>
    </w:p>
    <w:p w:rsidR="00C4383A" w:rsidRPr="008A50A5" w:rsidRDefault="00C4383A" w:rsidP="00C174CF">
      <w:pPr>
        <w:tabs>
          <w:tab w:val="left" w:pos="709"/>
        </w:tabs>
        <w:jc w:val="both"/>
        <w:rPr>
          <w:rFonts w:cs="Times New Roman"/>
          <w:b/>
          <w:i/>
          <w:sz w:val="22"/>
          <w:szCs w:val="22"/>
          <w:lang w:val="el-GR"/>
        </w:rPr>
      </w:pPr>
    </w:p>
    <w:p w:rsidR="00C4383A" w:rsidRPr="008A50A5" w:rsidRDefault="00C4383A" w:rsidP="00F74DA8">
      <w:pPr>
        <w:jc w:val="both"/>
        <w:rPr>
          <w:rFonts w:cs="Times New Roman"/>
          <w:b/>
          <w:i/>
          <w:sz w:val="22"/>
          <w:szCs w:val="22"/>
          <w:lang w:val="el-GR"/>
        </w:rPr>
      </w:pPr>
      <w:r w:rsidRPr="008A50A5">
        <w:rPr>
          <w:rFonts w:cs="Times New Roman"/>
          <w:b/>
          <w:i/>
          <w:sz w:val="22"/>
          <w:szCs w:val="22"/>
          <w:lang w:val="el-GR"/>
        </w:rPr>
        <w:t>4.9</w:t>
      </w:r>
      <w:r w:rsidRPr="008A50A5">
        <w:rPr>
          <w:rFonts w:cs="Times New Roman"/>
          <w:b/>
          <w:i/>
          <w:sz w:val="22"/>
          <w:szCs w:val="22"/>
          <w:lang w:val="el-GR"/>
        </w:rPr>
        <w:tab/>
        <w:t xml:space="preserve">Υπερδοσολογία </w:t>
      </w:r>
    </w:p>
    <w:p w:rsidR="00C4383A" w:rsidRPr="008A50A5" w:rsidRDefault="00C4383A" w:rsidP="00F74DA8">
      <w:pPr>
        <w:pStyle w:val="Text"/>
        <w:rPr>
          <w:rFonts w:cs="Times New Roman"/>
          <w:b/>
          <w:sz w:val="22"/>
          <w:szCs w:val="22"/>
          <w:lang w:val="el-GR"/>
        </w:rPr>
      </w:pPr>
      <w:r w:rsidRPr="008A50A5">
        <w:rPr>
          <w:rFonts w:cs="Times New Roman"/>
          <w:b/>
          <w:sz w:val="22"/>
          <w:szCs w:val="22"/>
          <w:lang w:val="el-GR"/>
        </w:rPr>
        <w:t>Συμπτώματα</w:t>
      </w:r>
    </w:p>
    <w:p w:rsidR="00C4383A" w:rsidRPr="008A50A5" w:rsidRDefault="00C4383A" w:rsidP="00F74DA8">
      <w:pPr>
        <w:jc w:val="both"/>
        <w:rPr>
          <w:rFonts w:cs="Times New Roman"/>
          <w:sz w:val="22"/>
          <w:szCs w:val="22"/>
          <w:lang w:val="el-GR"/>
        </w:rPr>
      </w:pPr>
      <w:r w:rsidRPr="008A50A5">
        <w:rPr>
          <w:rFonts w:cs="Times New Roman"/>
          <w:sz w:val="22"/>
          <w:szCs w:val="22"/>
          <w:lang w:val="el-GR"/>
        </w:rPr>
        <w:t xml:space="preserve">Δεν υπάρχει ειδική κλινική εικόνα οφειλόμενη σε υπερβολική λήψη δικλοφαινάκης. </w:t>
      </w:r>
    </w:p>
    <w:p w:rsidR="00C4383A" w:rsidRPr="008A50A5" w:rsidRDefault="00C4383A" w:rsidP="00F74DA8">
      <w:pPr>
        <w:pStyle w:val="Text"/>
        <w:spacing w:before="0" w:after="120"/>
        <w:rPr>
          <w:rFonts w:cs="Times New Roman"/>
          <w:sz w:val="22"/>
          <w:szCs w:val="22"/>
          <w:lang w:val="el-GR"/>
        </w:rPr>
      </w:pPr>
      <w:r w:rsidRPr="008A50A5">
        <w:rPr>
          <w:rFonts w:cs="Times New Roman"/>
          <w:sz w:val="22"/>
          <w:szCs w:val="22"/>
          <w:lang w:val="el-GR"/>
        </w:rPr>
        <w:t>Η υπερδοσολογία μπορεί να προκαλέσει συμπτώματα όπως κεφαλαλγία, εμετό, αιμορραγία από το γαστρεντερικό, αποπροσανατολισμός, διέγερση, κώμα, υπνηλία διάρροια, ζάλη, εμβοές λιποθυμία ή σπασμούς. Σε περίπτωση σημαντικής δηλητηρίασης από το φάρμακο, οξεία έκπτωση της νεφρικής λειτουργίας και ηπατική βλάβη είναι πιθανές.</w:t>
      </w:r>
    </w:p>
    <w:p w:rsidR="00C4383A" w:rsidRPr="008A50A5" w:rsidRDefault="00C4383A" w:rsidP="00F74DA8">
      <w:pPr>
        <w:ind w:left="720"/>
        <w:jc w:val="both"/>
        <w:rPr>
          <w:rFonts w:cs="Times New Roman"/>
          <w:sz w:val="22"/>
          <w:szCs w:val="22"/>
          <w:lang w:val="el-GR"/>
        </w:rPr>
      </w:pPr>
    </w:p>
    <w:p w:rsidR="00C4383A" w:rsidRPr="008A50A5" w:rsidRDefault="00C4383A" w:rsidP="00F74DA8">
      <w:pPr>
        <w:pStyle w:val="Text"/>
        <w:spacing w:before="0" w:after="120"/>
        <w:ind w:left="709" w:hanging="709"/>
        <w:rPr>
          <w:rFonts w:cs="Times New Roman"/>
          <w:sz w:val="22"/>
          <w:szCs w:val="22"/>
          <w:lang w:val="el-GR"/>
        </w:rPr>
      </w:pPr>
      <w:r w:rsidRPr="008A50A5">
        <w:rPr>
          <w:rFonts w:cs="Times New Roman"/>
          <w:b/>
          <w:sz w:val="22"/>
          <w:szCs w:val="22"/>
          <w:lang w:val="el-GR"/>
        </w:rPr>
        <w:t>Θεραπευτικά μέτρα</w:t>
      </w:r>
      <w:r w:rsidRPr="008A50A5">
        <w:rPr>
          <w:rFonts w:cs="Times New Roman"/>
          <w:sz w:val="22"/>
          <w:szCs w:val="22"/>
          <w:lang w:val="el-GR"/>
        </w:rPr>
        <w:t xml:space="preserve"> </w:t>
      </w:r>
    </w:p>
    <w:p w:rsidR="00C4383A" w:rsidRPr="008A50A5" w:rsidRDefault="00C4383A" w:rsidP="00F74DA8">
      <w:pPr>
        <w:pStyle w:val="Text"/>
        <w:spacing w:before="0" w:after="120"/>
        <w:rPr>
          <w:rFonts w:cs="Times New Roman"/>
          <w:sz w:val="22"/>
          <w:szCs w:val="22"/>
          <w:lang w:val="el-GR"/>
        </w:rPr>
      </w:pPr>
      <w:r w:rsidRPr="008A50A5">
        <w:rPr>
          <w:rFonts w:cs="Times New Roman"/>
          <w:sz w:val="22"/>
          <w:szCs w:val="22"/>
          <w:lang w:val="el-GR"/>
        </w:rPr>
        <w:t>Η διαχείριση της οξείας δηλητηρίασης με τα ΜΣΑΦ, συμπεριλαμβανομένης της δικλοφαινάκης, χαρακτηρίζεται κυρίως από υποστηρικτικά μέτρα και συμπτωματική αγωγή που πρέπει να δίδονται σε επιπλοκές όπως η υπόταση, ή έκπτωση της νεφρικής λειτουργίας, οι σπασμοί, οι γαστρεντερικές διαταραχές και η καταστολή του αναπνευστικού</w:t>
      </w:r>
      <w:r w:rsidR="00DC2D5C" w:rsidRPr="008A50A5">
        <w:rPr>
          <w:rFonts w:cs="Times New Roman"/>
          <w:sz w:val="22"/>
          <w:szCs w:val="22"/>
          <w:lang w:val="el-GR"/>
        </w:rPr>
        <w:t>.</w:t>
      </w:r>
    </w:p>
    <w:p w:rsidR="00C4383A" w:rsidRPr="008A50A5" w:rsidRDefault="00C4383A" w:rsidP="00F74DA8">
      <w:pPr>
        <w:tabs>
          <w:tab w:val="left" w:pos="-6"/>
        </w:tabs>
        <w:ind w:left="-2"/>
        <w:jc w:val="both"/>
        <w:rPr>
          <w:rFonts w:cs="Times New Roman"/>
          <w:sz w:val="22"/>
          <w:szCs w:val="22"/>
          <w:lang w:val="el-GR"/>
        </w:rPr>
      </w:pPr>
      <w:r w:rsidRPr="008A50A5">
        <w:rPr>
          <w:rFonts w:cs="Times New Roman"/>
          <w:sz w:val="22"/>
          <w:szCs w:val="22"/>
          <w:lang w:val="el-GR"/>
        </w:rPr>
        <w:t>Ειδικά μέτρα όπως η πρόκληση διούρησης,  η περιτοναϊκή διάλυση ή η αιμοδιήθηση δεν έχουν, πιθανόν, αποτέλεσμα στην απομάκρυνση των ΜΣΑΦ, συμπεριλαμβανομένης της δικλοφαινάκης, λόγω της υψηλής πρωτεϊνικής σύνδεσης και του εκτεταμένου μεταβολισμού. Η χορήγηση ενεργού άνθρακα μπορεί να χρειαστεί σε περίπτωση κατάποσης μιας πιθανά τοξικής δόσης, και η γαστρική κένωση μετά την κατάποση πιθανώς απειλητικής  για τη ζωή δόσης.</w:t>
      </w:r>
    </w:p>
    <w:p w:rsidR="00C4383A" w:rsidRPr="008A50A5" w:rsidRDefault="00C4383A" w:rsidP="00F74DA8">
      <w:pPr>
        <w:tabs>
          <w:tab w:val="left" w:pos="-6"/>
        </w:tabs>
        <w:ind w:left="-2"/>
        <w:jc w:val="both"/>
        <w:rPr>
          <w:rFonts w:cs="Times New Roman"/>
          <w:b/>
          <w:i/>
          <w:sz w:val="22"/>
          <w:szCs w:val="22"/>
          <w:lang w:val="el-GR"/>
        </w:rPr>
      </w:pPr>
    </w:p>
    <w:p w:rsidR="00C4383A" w:rsidRPr="008A50A5" w:rsidRDefault="00C4383A" w:rsidP="00F74DA8">
      <w:pPr>
        <w:tabs>
          <w:tab w:val="left" w:pos="709"/>
        </w:tabs>
        <w:jc w:val="both"/>
        <w:rPr>
          <w:rFonts w:cs="Times New Roman"/>
          <w:b/>
          <w:i/>
          <w:sz w:val="22"/>
          <w:szCs w:val="22"/>
          <w:lang w:val="el-GR"/>
        </w:rPr>
      </w:pPr>
      <w:r w:rsidRPr="008A50A5">
        <w:rPr>
          <w:rFonts w:cs="Times New Roman"/>
          <w:b/>
          <w:i/>
          <w:sz w:val="22"/>
          <w:szCs w:val="22"/>
          <w:lang w:val="el-GR"/>
        </w:rPr>
        <w:t>5.</w:t>
      </w:r>
      <w:r w:rsidRPr="008A50A5">
        <w:rPr>
          <w:rFonts w:cs="Times New Roman"/>
          <w:b/>
          <w:i/>
          <w:sz w:val="22"/>
          <w:szCs w:val="22"/>
          <w:lang w:val="el-GR"/>
        </w:rPr>
        <w:tab/>
        <w:t>Φαρμακολογικές ιδιότητες</w:t>
      </w:r>
    </w:p>
    <w:p w:rsidR="00C4383A" w:rsidRPr="008A50A5" w:rsidRDefault="00C4383A" w:rsidP="00F74DA8">
      <w:pPr>
        <w:jc w:val="both"/>
        <w:rPr>
          <w:rFonts w:cs="Times New Roman"/>
          <w:b/>
          <w:i/>
          <w:sz w:val="22"/>
          <w:szCs w:val="22"/>
          <w:lang w:val="el-GR"/>
        </w:rPr>
      </w:pPr>
      <w:r w:rsidRPr="008A50A5">
        <w:rPr>
          <w:rFonts w:cs="Times New Roman"/>
          <w:b/>
          <w:i/>
          <w:sz w:val="22"/>
          <w:szCs w:val="22"/>
          <w:lang w:val="el-GR"/>
        </w:rPr>
        <w:t>5.1</w:t>
      </w:r>
      <w:r w:rsidRPr="008A50A5">
        <w:rPr>
          <w:rFonts w:cs="Times New Roman"/>
          <w:b/>
          <w:i/>
          <w:sz w:val="22"/>
          <w:szCs w:val="22"/>
          <w:lang w:val="el-GR"/>
        </w:rPr>
        <w:tab/>
        <w:t xml:space="preserve">Φαρμακοδυναμικές ιδιότητες </w:t>
      </w:r>
    </w:p>
    <w:p w:rsidR="00C4383A" w:rsidRPr="008A50A5" w:rsidRDefault="00C4383A" w:rsidP="00F74DA8">
      <w:pPr>
        <w:pStyle w:val="Text"/>
        <w:rPr>
          <w:rFonts w:cs="Times New Roman"/>
          <w:sz w:val="22"/>
          <w:szCs w:val="22"/>
          <w:lang w:val="el-GR"/>
        </w:rPr>
      </w:pPr>
      <w:r w:rsidRPr="008A50A5">
        <w:rPr>
          <w:rFonts w:cs="Times New Roman"/>
          <w:sz w:val="22"/>
          <w:szCs w:val="22"/>
          <w:lang w:val="el-GR"/>
        </w:rPr>
        <w:t>Φαρμακοθεραπευτική ομάδα: Αντιφλεγμονώδη και αντιρευματικά προϊόντα, μη στεροειδή, παράγωγα του οξικού οξέως και σχετικών ουσιών (κωδικός ATC: M01AB05)</w:t>
      </w:r>
    </w:p>
    <w:p w:rsidR="00C4383A" w:rsidRPr="008A50A5" w:rsidRDefault="00C4383A" w:rsidP="00C174CF">
      <w:pPr>
        <w:pStyle w:val="Text"/>
        <w:rPr>
          <w:rFonts w:cs="Times New Roman"/>
          <w:sz w:val="22"/>
          <w:szCs w:val="22"/>
          <w:lang w:val="el-GR"/>
        </w:rPr>
      </w:pPr>
      <w:r w:rsidRPr="008A50A5">
        <w:rPr>
          <w:rFonts w:cs="Times New Roman"/>
          <w:sz w:val="22"/>
          <w:szCs w:val="22"/>
          <w:lang w:val="el-GR"/>
        </w:rPr>
        <w:t>Τα επικαλυμμένα με λεπτό υμένιο δισκία Voltaren  Acti-Go 12,5mg  περιέχουν άλας καλιούχου δικλοφ</w:t>
      </w:r>
      <w:r w:rsidR="003F7440">
        <w:rPr>
          <w:rFonts w:cs="Times New Roman"/>
          <w:sz w:val="22"/>
          <w:szCs w:val="22"/>
          <w:lang w:val="el-GR"/>
        </w:rPr>
        <w:t>αι</w:t>
      </w:r>
      <w:r w:rsidRPr="008A50A5">
        <w:rPr>
          <w:rFonts w:cs="Times New Roman"/>
          <w:sz w:val="22"/>
          <w:szCs w:val="22"/>
          <w:lang w:val="el-GR"/>
        </w:rPr>
        <w:t>νάκης, ένα μη στεροειδές αντιφλεγμονώδες φάρμακο ( ΜΣΑΦ) με ισχυρές αντιφλεγμονώδεις, αντιπυρετικές και αναλγητικές ιδιότητες. Η αναστολή της βιοσύνθεσης των προσταγλανδινών θεωρείται κεντρική στο μηχανισμό δράσης του. Οι προσταγλανδίνες έχουν βασικό ρόλο στην πρόκληση φλεγμονής, πόνου και πυρετού.</w:t>
      </w:r>
    </w:p>
    <w:p w:rsidR="00C4383A" w:rsidRPr="008A50A5" w:rsidRDefault="00C4383A" w:rsidP="00C174CF">
      <w:pPr>
        <w:pStyle w:val="Text"/>
        <w:rPr>
          <w:rFonts w:cs="Times New Roman"/>
          <w:sz w:val="22"/>
          <w:szCs w:val="22"/>
          <w:lang w:val="el-GR"/>
        </w:rPr>
      </w:pPr>
      <w:r w:rsidRPr="008A50A5">
        <w:rPr>
          <w:rFonts w:cs="Times New Roman"/>
          <w:sz w:val="22"/>
          <w:szCs w:val="22"/>
          <w:lang w:val="el-GR"/>
        </w:rPr>
        <w:t>Τα επικαλυμμένα με λεπτό υμένιο δισκία Voltaren  Acti-Go 12,5mg  έχουν άμεση έναρξη δράσης καθιστώντας τα κατάλληλα για την θεραπεία οξείων επώδυνων και φλεγμονωδών καταστάσεων.</w:t>
      </w:r>
    </w:p>
    <w:p w:rsidR="00C4383A" w:rsidRPr="008A50A5" w:rsidRDefault="00C4383A" w:rsidP="00C174CF">
      <w:pPr>
        <w:pStyle w:val="Text"/>
        <w:rPr>
          <w:rFonts w:cs="Times New Roman"/>
          <w:sz w:val="22"/>
          <w:szCs w:val="22"/>
          <w:lang w:val="el-GR"/>
        </w:rPr>
      </w:pPr>
      <w:r w:rsidRPr="008A50A5">
        <w:rPr>
          <w:rFonts w:cs="Times New Roman"/>
          <w:sz w:val="22"/>
          <w:szCs w:val="22"/>
          <w:lang w:val="el-GR"/>
        </w:rPr>
        <w:t>Η καλιούχος δικλοφαινάκη δεν αναστέλλει in vitro την βιοσύνθεση των πρωτεογλυκανών  στον χόνδρο σε συγκεντρώσεις ισοδύναμες με αυτές που επιτυγχάνονται στον άνθρωπο.</w:t>
      </w:r>
    </w:p>
    <w:p w:rsidR="00C4383A" w:rsidRPr="008A50A5" w:rsidRDefault="00C4383A" w:rsidP="00C174CF">
      <w:pPr>
        <w:jc w:val="both"/>
        <w:rPr>
          <w:rFonts w:cs="Times New Roman"/>
          <w:sz w:val="22"/>
          <w:szCs w:val="22"/>
          <w:shd w:val="clear" w:color="auto" w:fill="00FFFF"/>
          <w:lang w:val="el-GR"/>
        </w:rPr>
      </w:pPr>
    </w:p>
    <w:p w:rsidR="00C4383A" w:rsidRPr="008A50A5" w:rsidRDefault="00C4383A" w:rsidP="00C174CF">
      <w:pPr>
        <w:pStyle w:val="Text"/>
        <w:rPr>
          <w:rFonts w:cs="Times New Roman"/>
          <w:b/>
          <w:i/>
          <w:sz w:val="22"/>
          <w:szCs w:val="22"/>
          <w:lang w:val="el-GR"/>
        </w:rPr>
      </w:pPr>
      <w:r w:rsidRPr="008A50A5">
        <w:rPr>
          <w:rFonts w:cs="Times New Roman"/>
          <w:b/>
          <w:i/>
          <w:sz w:val="22"/>
          <w:szCs w:val="22"/>
          <w:lang w:val="el-GR"/>
        </w:rPr>
        <w:t>5.2.</w:t>
      </w:r>
      <w:r w:rsidRPr="008A50A5">
        <w:rPr>
          <w:rFonts w:cs="Times New Roman"/>
          <w:b/>
          <w:i/>
          <w:sz w:val="22"/>
          <w:szCs w:val="22"/>
          <w:lang w:val="el-GR"/>
        </w:rPr>
        <w:tab/>
        <w:t xml:space="preserve"> Φαρμακοκινητικές ιδιότητες</w:t>
      </w:r>
    </w:p>
    <w:p w:rsidR="00C4383A" w:rsidRPr="008A50A5" w:rsidRDefault="00C4383A" w:rsidP="00C174CF">
      <w:pPr>
        <w:pStyle w:val="Text"/>
        <w:rPr>
          <w:rFonts w:cs="Times New Roman"/>
          <w:b/>
          <w:sz w:val="22"/>
          <w:szCs w:val="22"/>
          <w:lang w:val="el-GR"/>
        </w:rPr>
      </w:pPr>
      <w:r w:rsidRPr="008A50A5">
        <w:rPr>
          <w:rFonts w:cs="Times New Roman"/>
          <w:b/>
          <w:sz w:val="22"/>
          <w:szCs w:val="22"/>
          <w:lang w:val="el-GR"/>
        </w:rPr>
        <w:t>Απορρόφηση</w:t>
      </w:r>
    </w:p>
    <w:p w:rsidR="00C4383A" w:rsidRPr="008A50A5" w:rsidRDefault="00C4383A" w:rsidP="00C174CF">
      <w:pPr>
        <w:pStyle w:val="Text"/>
        <w:rPr>
          <w:rFonts w:cs="Times New Roman"/>
          <w:sz w:val="22"/>
          <w:szCs w:val="22"/>
          <w:lang w:val="el-GR"/>
        </w:rPr>
      </w:pPr>
      <w:r w:rsidRPr="008A50A5">
        <w:rPr>
          <w:rFonts w:cs="Times New Roman"/>
          <w:sz w:val="22"/>
          <w:szCs w:val="22"/>
          <w:lang w:val="el-GR"/>
        </w:rPr>
        <w:t>Η δικλοφαινάκη απορροφάται άμεσα και πλήρως από τα δισκία καλιούχου δικλοφαινάκης. Η έκταση απορρόφησης είναι (AUC) είναι γραμμική συνάρτηση του μεγέθους της δόσης.</w:t>
      </w:r>
    </w:p>
    <w:p w:rsidR="00C4383A" w:rsidRPr="008A50A5" w:rsidRDefault="00C4383A" w:rsidP="00C174CF">
      <w:pPr>
        <w:pStyle w:val="Text"/>
        <w:rPr>
          <w:rFonts w:cs="Times New Roman"/>
          <w:sz w:val="22"/>
          <w:szCs w:val="22"/>
          <w:lang w:val="el-GR"/>
        </w:rPr>
      </w:pPr>
      <w:r w:rsidRPr="008A50A5">
        <w:rPr>
          <w:rFonts w:cs="Times New Roman"/>
          <w:sz w:val="22"/>
          <w:szCs w:val="22"/>
          <w:lang w:val="el-GR"/>
        </w:rPr>
        <w:t xml:space="preserve">Η λήψη Voltaren ActiGo με τροφή δεν έχει επίδραση στη συνολική ποσότητα της δικλοφαινάκης που απορροφάται, παρόλο που η έναρξη απορρόφησης μπορεί να καθυστερήσει και ο ρυθμός απορρόφησης μπορεί να μειωθεί. </w:t>
      </w:r>
    </w:p>
    <w:p w:rsidR="00C4383A" w:rsidRPr="008A50A5" w:rsidRDefault="00C4383A" w:rsidP="00C174CF">
      <w:pPr>
        <w:pStyle w:val="Text"/>
        <w:rPr>
          <w:rFonts w:cs="Times New Roman"/>
          <w:sz w:val="22"/>
          <w:szCs w:val="22"/>
          <w:lang w:val="el-GR"/>
        </w:rPr>
      </w:pPr>
      <w:r w:rsidRPr="008A50A5">
        <w:rPr>
          <w:rFonts w:cs="Times New Roman"/>
          <w:sz w:val="22"/>
          <w:szCs w:val="22"/>
          <w:lang w:val="el-GR"/>
        </w:rPr>
        <w:t xml:space="preserve">Καθώς, η μισή σχεδόν δόση της δικλοφαινάκης μεταβολίζεται κατά την πρώτη δίοδο από το ήπαρ (φαινόμενο «πρώτης διόδου»),  η περιοχή </w:t>
      </w:r>
      <w:r w:rsidR="00DC2D5C" w:rsidRPr="008A50A5">
        <w:rPr>
          <w:rFonts w:cs="Times New Roman"/>
          <w:sz w:val="22"/>
          <w:szCs w:val="22"/>
          <w:lang w:val="el-GR"/>
        </w:rPr>
        <w:t>κάτω</w:t>
      </w:r>
      <w:r w:rsidRPr="008A50A5">
        <w:rPr>
          <w:rFonts w:cs="Times New Roman"/>
          <w:sz w:val="22"/>
          <w:szCs w:val="22"/>
          <w:lang w:val="el-GR"/>
        </w:rPr>
        <w:t xml:space="preserve"> από την καμπύλη συγκέντρωσης  (AUC) είναι περίπου ημίσεια σε μεγέθος  μετά τη χορήγηση από το στόμα,  συγκριτικά με το ίδιο μέγεθος δόσης χορηγούμενο παρεντερικά.  </w:t>
      </w:r>
    </w:p>
    <w:p w:rsidR="00C4383A" w:rsidRPr="008A50A5" w:rsidRDefault="00C4383A" w:rsidP="00C174CF">
      <w:pPr>
        <w:pStyle w:val="Text"/>
        <w:rPr>
          <w:rFonts w:cs="Times New Roman"/>
          <w:sz w:val="22"/>
          <w:szCs w:val="22"/>
          <w:lang w:val="el-GR"/>
        </w:rPr>
      </w:pPr>
      <w:r w:rsidRPr="008A50A5">
        <w:rPr>
          <w:rFonts w:cs="Times New Roman"/>
          <w:sz w:val="22"/>
          <w:szCs w:val="22"/>
          <w:lang w:val="el-GR"/>
        </w:rPr>
        <w:t>Η φαρμακοκινητική συμπεριφορά δεν αλλάζει μετά από επαναλαμβανόμενη χορήγηση. Δεν εμφανίζεται συσσώρευση, με την προϋπόθεση ότι τηρούνται τα συνιστώμενα δοσολογικά διαστήματα.</w:t>
      </w:r>
    </w:p>
    <w:p w:rsidR="00C4383A" w:rsidRPr="008A50A5" w:rsidRDefault="00C4383A" w:rsidP="00C174CF">
      <w:pPr>
        <w:pStyle w:val="Text"/>
        <w:rPr>
          <w:rFonts w:cs="Times New Roman"/>
          <w:sz w:val="22"/>
          <w:szCs w:val="22"/>
          <w:lang w:val="el-GR"/>
        </w:rPr>
      </w:pPr>
    </w:p>
    <w:p w:rsidR="00C4383A" w:rsidRPr="008A50A5" w:rsidRDefault="00C4383A" w:rsidP="00C174CF">
      <w:pPr>
        <w:pStyle w:val="Text"/>
        <w:rPr>
          <w:rFonts w:cs="Times New Roman"/>
          <w:b/>
          <w:sz w:val="22"/>
          <w:szCs w:val="22"/>
          <w:lang w:val="el-GR"/>
        </w:rPr>
      </w:pPr>
      <w:r w:rsidRPr="008A50A5">
        <w:rPr>
          <w:rFonts w:cs="Times New Roman"/>
          <w:b/>
          <w:sz w:val="22"/>
          <w:szCs w:val="22"/>
          <w:lang w:val="el-GR"/>
        </w:rPr>
        <w:lastRenderedPageBreak/>
        <w:t>Κατανομή</w:t>
      </w:r>
    </w:p>
    <w:p w:rsidR="00C4383A" w:rsidRPr="008A50A5" w:rsidRDefault="00C4383A" w:rsidP="00C174CF">
      <w:pPr>
        <w:pStyle w:val="Text"/>
        <w:rPr>
          <w:rFonts w:cs="Times New Roman"/>
          <w:sz w:val="22"/>
          <w:szCs w:val="22"/>
          <w:lang w:val="el-GR"/>
        </w:rPr>
      </w:pPr>
      <w:r w:rsidRPr="008A50A5">
        <w:rPr>
          <w:rFonts w:cs="Times New Roman"/>
          <w:sz w:val="22"/>
          <w:szCs w:val="22"/>
          <w:lang w:val="el-GR"/>
        </w:rPr>
        <w:t>Το 99,7% της δικλοφαινάκης συνδέεται με τις πρωτεΐνες ορού, κυρίως την αλβουμίνη (99,4%). Ο φαινόμενος  όγκος κατανομής είναι 0,12 εως 0,17 L/kg.</w:t>
      </w:r>
    </w:p>
    <w:p w:rsidR="00C4383A" w:rsidRPr="008A50A5" w:rsidRDefault="00C4383A" w:rsidP="00C174CF">
      <w:pPr>
        <w:pStyle w:val="Text"/>
        <w:rPr>
          <w:rFonts w:cs="Times New Roman"/>
          <w:sz w:val="22"/>
          <w:szCs w:val="22"/>
          <w:lang w:val="el-GR"/>
        </w:rPr>
      </w:pPr>
      <w:r w:rsidRPr="008A50A5">
        <w:rPr>
          <w:rFonts w:cs="Times New Roman"/>
          <w:sz w:val="22"/>
          <w:szCs w:val="22"/>
          <w:lang w:val="el-GR"/>
        </w:rPr>
        <w:t>H δικλοφαινάκη περνά στο αρθρικό υγρό, όπου η μέγιστη συγκέντρωση μετράται  2 εως 4 ώρες μετά την επίτευξη των μέγιστων τιμών συγκέντρωσης στο πλάσμα.  Ο φαινόμενος μέσος χρόνος απομάκρυνσης από το αρθρικό υγρό είναι 3 εως 6 ώρες. Δυο ώρες μετά την επίτευξη των μέγιστων συγκεντρώσεων στο πλάσμα, οι συγκεντρώσεις της δραστικής ουσίας στο αρθρικό υγρό είναι ηδη υψηλότερες από αυτές στο πλάσμα και παραμένουν υψηλότερες για περίπου 12 ώρες.</w:t>
      </w:r>
    </w:p>
    <w:p w:rsidR="00C4383A" w:rsidRPr="008A50A5" w:rsidRDefault="00C4383A" w:rsidP="00C174CF">
      <w:pPr>
        <w:pStyle w:val="Text"/>
        <w:rPr>
          <w:rFonts w:cs="Times New Roman"/>
          <w:sz w:val="22"/>
          <w:szCs w:val="22"/>
          <w:lang w:val="el-GR"/>
        </w:rPr>
      </w:pPr>
    </w:p>
    <w:p w:rsidR="00C4383A" w:rsidRPr="008A50A5" w:rsidRDefault="00C4383A" w:rsidP="00C174CF">
      <w:pPr>
        <w:pStyle w:val="Text"/>
        <w:rPr>
          <w:rFonts w:cs="Times New Roman"/>
          <w:b/>
          <w:sz w:val="22"/>
          <w:szCs w:val="22"/>
          <w:lang w:val="el-GR"/>
        </w:rPr>
      </w:pPr>
      <w:r w:rsidRPr="008A50A5">
        <w:rPr>
          <w:rFonts w:cs="Times New Roman"/>
          <w:b/>
          <w:sz w:val="22"/>
          <w:szCs w:val="22"/>
          <w:lang w:val="el-GR"/>
        </w:rPr>
        <w:t>Βιομετατροπή</w:t>
      </w:r>
    </w:p>
    <w:p w:rsidR="00C4383A" w:rsidRPr="008A50A5" w:rsidRDefault="00C4383A" w:rsidP="00C174CF">
      <w:pPr>
        <w:pStyle w:val="Text"/>
        <w:rPr>
          <w:rFonts w:cs="Times New Roman"/>
          <w:sz w:val="22"/>
          <w:szCs w:val="22"/>
          <w:lang w:val="el-GR"/>
        </w:rPr>
      </w:pPr>
      <w:r w:rsidRPr="008A50A5">
        <w:rPr>
          <w:rFonts w:cs="Times New Roman"/>
          <w:sz w:val="22"/>
          <w:szCs w:val="22"/>
          <w:lang w:val="el-GR"/>
        </w:rPr>
        <w:t>Η βιομετατροπή της δικλοφαινάκης  γίνεται μερικώς με γλυκουρονιδίαση του αρχικού μορίου,  αλλά κυρίως με μονή  και πολλαπλή υδροξυλίωση και μεθοξυλίωση που έχει σαν αποτέλεσμα πολλούς φαινολικούς μεταβολίτες (3’-υδροξυ-, 4’-υδροξυ-, 5’-υδροξυ-, 4’,5-διϋδροξυ- και 3’-υδροξυ-4’-μεθοξυ-δικλοφαινάκη), οι περισσότεροι εκ των οποίων μετατρέπονται σε γλυκουρονιδιακά σύμπλοκα. Δύο από αυτούς τους φαινολικούς μεταβολίτες είναι βιολογικά ενεργοί αλλά σε πολύ μικρότερη έκταση απ’ ότι η δικλοφαινάκη.</w:t>
      </w:r>
    </w:p>
    <w:p w:rsidR="00C4383A" w:rsidRPr="008A50A5" w:rsidRDefault="00C4383A" w:rsidP="00C174CF">
      <w:pPr>
        <w:pStyle w:val="Text"/>
        <w:rPr>
          <w:rFonts w:cs="Times New Roman"/>
          <w:sz w:val="22"/>
          <w:szCs w:val="22"/>
          <w:lang w:val="el-GR"/>
        </w:rPr>
      </w:pPr>
    </w:p>
    <w:p w:rsidR="00C4383A" w:rsidRPr="008A50A5" w:rsidRDefault="00C4383A" w:rsidP="00C174CF">
      <w:pPr>
        <w:pStyle w:val="Text"/>
        <w:rPr>
          <w:rFonts w:cs="Times New Roman"/>
          <w:b/>
          <w:sz w:val="22"/>
          <w:szCs w:val="22"/>
          <w:lang w:val="el-GR"/>
        </w:rPr>
      </w:pPr>
      <w:r w:rsidRPr="008A50A5">
        <w:rPr>
          <w:rFonts w:cs="Times New Roman"/>
          <w:b/>
          <w:sz w:val="22"/>
          <w:szCs w:val="22"/>
          <w:lang w:val="el-GR"/>
        </w:rPr>
        <w:t>Απομάκρυνση</w:t>
      </w:r>
    </w:p>
    <w:p w:rsidR="00C4383A" w:rsidRPr="008A50A5" w:rsidRDefault="00C4383A" w:rsidP="00C174CF">
      <w:pPr>
        <w:pStyle w:val="Text"/>
        <w:rPr>
          <w:rFonts w:cs="Times New Roman"/>
          <w:sz w:val="22"/>
          <w:szCs w:val="22"/>
          <w:lang w:val="el-GR"/>
        </w:rPr>
      </w:pPr>
      <w:r w:rsidRPr="008A50A5">
        <w:rPr>
          <w:rFonts w:cs="Times New Roman"/>
          <w:sz w:val="22"/>
          <w:szCs w:val="22"/>
          <w:lang w:val="el-GR"/>
        </w:rPr>
        <w:t xml:space="preserve">Η ολική συστημική κάθαρση της δικλοφαινάκης από το πλάσμα είναι 263±56 mL/min. Ο τελικός χρόνος ημιζωής στο πλάσμα είναι 1 </w:t>
      </w:r>
      <w:r w:rsidR="009A2659" w:rsidRPr="008A50A5">
        <w:rPr>
          <w:rFonts w:cs="Times New Roman"/>
          <w:sz w:val="22"/>
          <w:szCs w:val="22"/>
          <w:lang w:val="el-GR"/>
        </w:rPr>
        <w:t>έως</w:t>
      </w:r>
      <w:r w:rsidRPr="008A50A5">
        <w:rPr>
          <w:rFonts w:cs="Times New Roman"/>
          <w:sz w:val="22"/>
          <w:szCs w:val="22"/>
          <w:lang w:val="el-GR"/>
        </w:rPr>
        <w:t xml:space="preserve"> 2 ώρες. Τέσσερεις από τους μεταβολίτες , συμπεριλαμβανομένων και των δυο ενεργών, έχουν επίσης μικρό χρόνο ημιζωής στο πλάσμα (1 εως 3 ώρες). Ο πέμπτος μεταβολίτης (3’- υδροξυ-4-μεθοξυ-δικλοφαινάκη) έχει πολύ μεγαλύτερο χρόνο ημιζωής στο πλάσμα,  είναι, όμως, ουσιαστικά ανενεργός.</w:t>
      </w:r>
    </w:p>
    <w:p w:rsidR="00C4383A" w:rsidRPr="008A50A5" w:rsidRDefault="00C4383A" w:rsidP="00C174CF">
      <w:pPr>
        <w:pStyle w:val="Text"/>
        <w:rPr>
          <w:rFonts w:cs="Times New Roman"/>
          <w:sz w:val="22"/>
          <w:szCs w:val="22"/>
          <w:lang w:val="el-GR"/>
        </w:rPr>
      </w:pPr>
      <w:r w:rsidRPr="008A50A5">
        <w:rPr>
          <w:rFonts w:cs="Times New Roman"/>
          <w:sz w:val="22"/>
          <w:szCs w:val="22"/>
          <w:lang w:val="el-GR"/>
        </w:rPr>
        <w:t>Περίπου το 60% της χορηγούμενης δόσης αποβάλλεται με τα ούρα ως γλυκουρονιδιωμένα σύμπλοκα του αρχικού μορίου και ως μεταβολίτες, οι περισσότεροι από τους οποίους επίσης μετατρέπονται σε γλυκουρονιδιωμένα σύμπλοκα. Λιγότερο από 1% αποβάλλεται ως αναλλοίωτη ουσία. Το υπόλοιπο της δόσης απομακρύνεται ως μεταβολίτες μέσω της χολής, με τα κόπρανα.</w:t>
      </w:r>
    </w:p>
    <w:p w:rsidR="00C4383A" w:rsidRPr="008A50A5" w:rsidRDefault="00C4383A" w:rsidP="00C174CF">
      <w:pPr>
        <w:jc w:val="both"/>
        <w:rPr>
          <w:rFonts w:cs="Times New Roman"/>
          <w:sz w:val="22"/>
          <w:szCs w:val="22"/>
          <w:shd w:val="clear" w:color="auto" w:fill="00FFFF"/>
          <w:lang w:val="el-GR"/>
        </w:rPr>
      </w:pPr>
    </w:p>
    <w:p w:rsidR="00C4383A" w:rsidRPr="008A50A5" w:rsidRDefault="00C4383A" w:rsidP="00C174CF">
      <w:pPr>
        <w:pStyle w:val="Text"/>
        <w:rPr>
          <w:rFonts w:cs="Times New Roman"/>
          <w:b/>
          <w:sz w:val="22"/>
          <w:szCs w:val="22"/>
          <w:lang w:val="el-GR"/>
        </w:rPr>
      </w:pPr>
      <w:r w:rsidRPr="008A50A5">
        <w:rPr>
          <w:rFonts w:cs="Times New Roman"/>
          <w:b/>
          <w:sz w:val="22"/>
          <w:szCs w:val="22"/>
          <w:lang w:val="el-GR"/>
        </w:rPr>
        <w:t>Χαρακτηριστικά σε ασθενείς</w:t>
      </w:r>
    </w:p>
    <w:p w:rsidR="00C4383A" w:rsidRPr="008A50A5" w:rsidRDefault="00C4383A" w:rsidP="00C174CF">
      <w:pPr>
        <w:pStyle w:val="Text"/>
        <w:rPr>
          <w:rFonts w:cs="Times New Roman"/>
          <w:sz w:val="22"/>
          <w:szCs w:val="22"/>
          <w:lang w:val="el-GR"/>
        </w:rPr>
      </w:pPr>
      <w:r w:rsidRPr="008A50A5">
        <w:rPr>
          <w:rFonts w:cs="Times New Roman"/>
          <w:sz w:val="22"/>
          <w:szCs w:val="22"/>
          <w:lang w:val="el-GR"/>
        </w:rPr>
        <w:t xml:space="preserve">Δεν </w:t>
      </w:r>
      <w:r w:rsidR="000A4690" w:rsidRPr="008A50A5">
        <w:rPr>
          <w:rFonts w:cs="Times New Roman"/>
          <w:sz w:val="22"/>
          <w:szCs w:val="22"/>
          <w:lang w:val="el-GR"/>
        </w:rPr>
        <w:t>έχουν</w:t>
      </w:r>
      <w:r w:rsidRPr="008A50A5">
        <w:rPr>
          <w:rFonts w:cs="Times New Roman"/>
          <w:sz w:val="22"/>
          <w:szCs w:val="22"/>
          <w:lang w:val="el-GR"/>
        </w:rPr>
        <w:t xml:space="preserve"> παρατηρηθεί διαφορές εξαρτώμενες από την ηλικία στην απορρόφηση, στον μεταβολισμό ή στην απομάκρυνση του φαρμάκου.</w:t>
      </w:r>
    </w:p>
    <w:p w:rsidR="00C4383A" w:rsidRPr="008A50A5" w:rsidRDefault="00C4383A" w:rsidP="00C174CF">
      <w:pPr>
        <w:pStyle w:val="Text"/>
        <w:rPr>
          <w:rFonts w:cs="Times New Roman"/>
          <w:sz w:val="22"/>
          <w:szCs w:val="22"/>
          <w:lang w:val="el-GR"/>
        </w:rPr>
      </w:pPr>
      <w:r w:rsidRPr="008A50A5">
        <w:rPr>
          <w:rFonts w:cs="Times New Roman"/>
          <w:sz w:val="22"/>
          <w:szCs w:val="22"/>
          <w:lang w:val="el-GR"/>
        </w:rPr>
        <w:t>Σε ασθενείς που υποφέρουν από νεφρική ανεπάρκεια , δεν συνάγεται συσσώρευση της αμετάβλητης δραστικής ουσίας από την κινητική μονής δόσης, όταν αυτή χορηγείται στο σύνηθες δοσομετρικό σχήμα. Σε κάθαρση κρεατινίνης μικρότερης από 10 mL/min τα θεωρητικά επίπεδα των μεταβολιτών  στο πλάσμα, στην  σταθεροποιημένη κατάσταση, είναι περίπου 4 φορές υψηλότερα από αυτά σε υγιή άτομα. Παρόλα αυτά, οι μεταβολίτες τελικώς απομακρύνονται μέσω της χολής.</w:t>
      </w:r>
    </w:p>
    <w:p w:rsidR="00C4383A" w:rsidRPr="008A50A5" w:rsidRDefault="00C4383A" w:rsidP="00C174CF">
      <w:pPr>
        <w:pStyle w:val="Text"/>
        <w:rPr>
          <w:rFonts w:cs="Times New Roman"/>
          <w:sz w:val="22"/>
          <w:szCs w:val="22"/>
          <w:lang w:val="el-GR"/>
        </w:rPr>
      </w:pPr>
      <w:r w:rsidRPr="008A50A5">
        <w:rPr>
          <w:rFonts w:cs="Times New Roman"/>
          <w:sz w:val="22"/>
          <w:szCs w:val="22"/>
          <w:lang w:val="el-GR"/>
        </w:rPr>
        <w:t xml:space="preserve">Σε ασθενείς με χρόνια ηπατίτιδα ή μη αντιρροπούμενη </w:t>
      </w:r>
      <w:r w:rsidRPr="008A50A5">
        <w:rPr>
          <w:rFonts w:cs="Times New Roman"/>
          <w:bCs/>
          <w:sz w:val="22"/>
          <w:szCs w:val="22"/>
        </w:rPr>
        <w:t>κίρρωση</w:t>
      </w:r>
      <w:r w:rsidRPr="008A50A5">
        <w:rPr>
          <w:rFonts w:cs="Times New Roman"/>
          <w:sz w:val="22"/>
          <w:szCs w:val="22"/>
          <w:lang w:val="el-GR"/>
        </w:rPr>
        <w:t xml:space="preserve">, η κινητική και ο μεταβολισμός της δικλοφαινάκης είναι ίδιος όπως σε ασθενείς χωρίς παθήσεις του ήπατος. </w:t>
      </w:r>
    </w:p>
    <w:p w:rsidR="00C4383A" w:rsidRPr="008A50A5" w:rsidRDefault="00C4383A" w:rsidP="00C174CF">
      <w:pPr>
        <w:ind w:left="720"/>
        <w:jc w:val="both"/>
        <w:rPr>
          <w:rFonts w:cs="Times New Roman"/>
          <w:sz w:val="22"/>
          <w:szCs w:val="22"/>
          <w:lang w:val="el-GR"/>
        </w:rPr>
      </w:pPr>
    </w:p>
    <w:p w:rsidR="00C4383A" w:rsidRPr="008A50A5" w:rsidRDefault="00C4383A" w:rsidP="00C174CF">
      <w:pPr>
        <w:jc w:val="both"/>
        <w:rPr>
          <w:rFonts w:cs="Times New Roman"/>
          <w:b/>
          <w:i/>
          <w:sz w:val="22"/>
          <w:szCs w:val="22"/>
          <w:lang w:val="el-GR"/>
        </w:rPr>
      </w:pPr>
      <w:r w:rsidRPr="008A50A5">
        <w:rPr>
          <w:rFonts w:cs="Times New Roman"/>
          <w:b/>
          <w:i/>
          <w:sz w:val="22"/>
          <w:szCs w:val="22"/>
          <w:lang w:val="el-GR"/>
        </w:rPr>
        <w:t xml:space="preserve">5.3 Προκλινικά δεδομένα για την ασφάλεια </w:t>
      </w:r>
    </w:p>
    <w:p w:rsidR="00C4383A" w:rsidRPr="008A50A5" w:rsidRDefault="00C4383A" w:rsidP="00C174CF">
      <w:pPr>
        <w:jc w:val="both"/>
        <w:rPr>
          <w:rFonts w:cs="Times New Roman"/>
          <w:sz w:val="22"/>
          <w:szCs w:val="22"/>
          <w:lang w:val="el-GR"/>
        </w:rPr>
      </w:pPr>
      <w:r w:rsidRPr="008A50A5">
        <w:rPr>
          <w:rFonts w:cs="Times New Roman"/>
          <w:sz w:val="22"/>
          <w:szCs w:val="22"/>
          <w:lang w:val="el-GR"/>
        </w:rPr>
        <w:t>Τα προκλινικά δεδομένα  μελετών τοξικότητας από  άπαξ και επαναλαμβανόμενη δόση,  καθώς και μελέτες γονοτοξικότητας, μεταλλαξιογόνου δράσης και  ενδεχόμενης καρκινογόνου δράσης με δικλοφαινάκη δεν  αποδεικνύουν ιδιαίτερο κίνδυνο για τον άνθρωπο στις συνιστώμενες θεραπευτικές δόσεις. Δεν υπάρχει απόδειξη ότι η δικλοφαινάκη έχει τερατογόνο ιδιότητα  σε ποντίκια, επίμυες ή κουνέλια.</w:t>
      </w:r>
    </w:p>
    <w:p w:rsidR="00C4383A" w:rsidRPr="008A50A5" w:rsidRDefault="00C4383A" w:rsidP="00C174CF">
      <w:pPr>
        <w:jc w:val="both"/>
        <w:rPr>
          <w:rFonts w:cs="Times New Roman"/>
          <w:sz w:val="22"/>
          <w:szCs w:val="22"/>
          <w:lang w:val="el-GR"/>
        </w:rPr>
      </w:pPr>
      <w:r w:rsidRPr="008A50A5">
        <w:rPr>
          <w:rFonts w:cs="Times New Roman"/>
          <w:sz w:val="22"/>
          <w:szCs w:val="22"/>
          <w:lang w:val="el-GR"/>
        </w:rPr>
        <w:t>Η δικλοφαινάκη δεν επηρέασε τη γονιμότητα των αναπαραγωγικών ζώων σε επίμυες Η προγενετική, περιγενετική και μεταγενετική ανάπτυξη του εμβρύου δεν επηρεάστηκε.</w:t>
      </w:r>
      <w:r w:rsidRPr="008A50A5">
        <w:rPr>
          <w:rFonts w:cs="Times New Roman"/>
          <w:sz w:val="22"/>
          <w:szCs w:val="22"/>
          <w:lang w:val="el-GR"/>
        </w:rPr>
        <w:br/>
      </w:r>
    </w:p>
    <w:p w:rsidR="00C4383A" w:rsidRPr="008A50A5" w:rsidRDefault="00C4383A" w:rsidP="00C174CF">
      <w:pPr>
        <w:tabs>
          <w:tab w:val="left" w:pos="709"/>
        </w:tabs>
        <w:jc w:val="both"/>
        <w:rPr>
          <w:rFonts w:cs="Times New Roman"/>
          <w:b/>
          <w:i/>
          <w:sz w:val="22"/>
          <w:szCs w:val="22"/>
          <w:lang w:val="el-GR"/>
        </w:rPr>
      </w:pPr>
      <w:r w:rsidRPr="008A50A5">
        <w:rPr>
          <w:rFonts w:cs="Times New Roman"/>
          <w:b/>
          <w:i/>
          <w:sz w:val="22"/>
          <w:szCs w:val="22"/>
          <w:lang w:val="el-GR"/>
        </w:rPr>
        <w:t>6.</w:t>
      </w:r>
      <w:r w:rsidRPr="008A50A5">
        <w:rPr>
          <w:rFonts w:cs="Times New Roman"/>
          <w:b/>
          <w:i/>
          <w:sz w:val="22"/>
          <w:szCs w:val="22"/>
          <w:lang w:val="el-GR"/>
        </w:rPr>
        <w:tab/>
        <w:t>Φαρμακευτικά στοιχεία</w:t>
      </w:r>
    </w:p>
    <w:p w:rsidR="00C4383A" w:rsidRPr="008A50A5" w:rsidRDefault="00C4383A" w:rsidP="00C174CF">
      <w:pPr>
        <w:tabs>
          <w:tab w:val="left" w:pos="2149"/>
        </w:tabs>
        <w:ind w:left="720"/>
        <w:jc w:val="both"/>
        <w:rPr>
          <w:rFonts w:cs="Times New Roman"/>
          <w:b/>
          <w:sz w:val="22"/>
          <w:szCs w:val="22"/>
          <w:lang w:val="el-GR"/>
        </w:rPr>
      </w:pPr>
    </w:p>
    <w:p w:rsidR="00C4383A" w:rsidRPr="008A50A5" w:rsidRDefault="00C4383A" w:rsidP="00C174CF">
      <w:pPr>
        <w:jc w:val="both"/>
        <w:rPr>
          <w:rFonts w:cs="Times New Roman"/>
          <w:b/>
          <w:i/>
          <w:sz w:val="22"/>
          <w:szCs w:val="22"/>
          <w:lang w:val="el-GR"/>
        </w:rPr>
      </w:pPr>
      <w:r w:rsidRPr="008A50A5">
        <w:rPr>
          <w:rFonts w:cs="Times New Roman"/>
          <w:b/>
          <w:i/>
          <w:sz w:val="22"/>
          <w:szCs w:val="22"/>
          <w:lang w:val="el-GR"/>
        </w:rPr>
        <w:lastRenderedPageBreak/>
        <w:t>6.1</w:t>
      </w:r>
      <w:r w:rsidRPr="008A50A5">
        <w:rPr>
          <w:rFonts w:cs="Times New Roman"/>
          <w:b/>
          <w:i/>
          <w:sz w:val="22"/>
          <w:szCs w:val="22"/>
          <w:lang w:val="el-GR"/>
        </w:rPr>
        <w:tab/>
        <w:t>Κατάλογος με τα έκδοχα</w:t>
      </w:r>
    </w:p>
    <w:p w:rsidR="00C4383A" w:rsidRPr="008A50A5" w:rsidRDefault="00C4383A" w:rsidP="00C174CF">
      <w:pPr>
        <w:pStyle w:val="Text"/>
        <w:ind w:left="-2" w:right="418"/>
        <w:rPr>
          <w:rFonts w:cs="Times New Roman"/>
          <w:sz w:val="22"/>
          <w:szCs w:val="22"/>
          <w:lang w:val="it-IT"/>
        </w:rPr>
      </w:pPr>
      <w:r w:rsidRPr="008A50A5">
        <w:rPr>
          <w:rFonts w:cs="Times New Roman"/>
          <w:sz w:val="22"/>
          <w:szCs w:val="22"/>
          <w:lang w:val="en-US"/>
        </w:rPr>
        <w:t xml:space="preserve">- </w:t>
      </w:r>
      <w:r w:rsidRPr="008A50A5">
        <w:rPr>
          <w:rFonts w:cs="Times New Roman"/>
          <w:sz w:val="22"/>
          <w:szCs w:val="22"/>
          <w:lang w:val="el-GR"/>
        </w:rPr>
        <w:t>Έκδοχα</w:t>
      </w:r>
      <w:r w:rsidRPr="008A50A5">
        <w:rPr>
          <w:rFonts w:cs="Times New Roman"/>
          <w:sz w:val="22"/>
          <w:szCs w:val="22"/>
          <w:lang w:val="en-US"/>
        </w:rPr>
        <w:t xml:space="preserve">: </w:t>
      </w:r>
      <w:r w:rsidRPr="008A50A5">
        <w:rPr>
          <w:rFonts w:cs="Times New Roman"/>
          <w:sz w:val="22"/>
          <w:szCs w:val="22"/>
        </w:rPr>
        <w:t>silicon</w:t>
      </w:r>
      <w:r w:rsidRPr="008A50A5">
        <w:rPr>
          <w:rFonts w:cs="Times New Roman"/>
          <w:sz w:val="22"/>
          <w:szCs w:val="22"/>
          <w:lang w:val="en-US"/>
        </w:rPr>
        <w:t xml:space="preserve"> </w:t>
      </w:r>
      <w:r w:rsidRPr="008A50A5">
        <w:rPr>
          <w:rFonts w:cs="Times New Roman"/>
          <w:sz w:val="22"/>
          <w:szCs w:val="22"/>
        </w:rPr>
        <w:t>dioxide</w:t>
      </w:r>
      <w:r w:rsidRPr="008A50A5">
        <w:rPr>
          <w:rFonts w:cs="Times New Roman"/>
          <w:sz w:val="22"/>
          <w:szCs w:val="22"/>
          <w:lang w:val="en-US"/>
        </w:rPr>
        <w:t xml:space="preserve"> </w:t>
      </w:r>
      <w:r w:rsidRPr="008A50A5">
        <w:rPr>
          <w:rFonts w:cs="Times New Roman"/>
          <w:sz w:val="22"/>
          <w:szCs w:val="22"/>
        </w:rPr>
        <w:t>colloidal</w:t>
      </w:r>
      <w:r w:rsidRPr="008A50A5">
        <w:rPr>
          <w:rFonts w:cs="Times New Roman"/>
          <w:sz w:val="22"/>
          <w:szCs w:val="22"/>
          <w:lang w:val="en-US"/>
        </w:rPr>
        <w:t xml:space="preserve">, </w:t>
      </w:r>
      <w:r w:rsidRPr="008A50A5">
        <w:rPr>
          <w:rFonts w:cs="Times New Roman"/>
          <w:sz w:val="22"/>
          <w:szCs w:val="22"/>
        </w:rPr>
        <w:t>lactose</w:t>
      </w:r>
      <w:r w:rsidRPr="008A50A5">
        <w:rPr>
          <w:rFonts w:cs="Times New Roman"/>
          <w:sz w:val="22"/>
          <w:szCs w:val="22"/>
          <w:lang w:val="en-US"/>
        </w:rPr>
        <w:t xml:space="preserve"> </w:t>
      </w:r>
      <w:r w:rsidRPr="008A50A5">
        <w:rPr>
          <w:rFonts w:cs="Times New Roman"/>
          <w:sz w:val="22"/>
          <w:szCs w:val="22"/>
        </w:rPr>
        <w:t>monohydrate</w:t>
      </w:r>
      <w:r w:rsidRPr="008A50A5">
        <w:rPr>
          <w:rFonts w:cs="Times New Roman"/>
          <w:sz w:val="22"/>
          <w:szCs w:val="22"/>
          <w:lang w:val="en-US"/>
        </w:rPr>
        <w:t xml:space="preserve">, </w:t>
      </w:r>
      <w:r w:rsidRPr="008A50A5">
        <w:rPr>
          <w:rFonts w:cs="Times New Roman"/>
          <w:sz w:val="22"/>
          <w:szCs w:val="22"/>
        </w:rPr>
        <w:t>magnesium</w:t>
      </w:r>
      <w:r w:rsidRPr="008A50A5">
        <w:rPr>
          <w:rFonts w:cs="Times New Roman"/>
          <w:sz w:val="22"/>
          <w:szCs w:val="22"/>
          <w:lang w:val="en-US"/>
        </w:rPr>
        <w:t xml:space="preserve"> </w:t>
      </w:r>
      <w:r w:rsidRPr="008A50A5">
        <w:rPr>
          <w:rFonts w:cs="Times New Roman"/>
          <w:sz w:val="22"/>
          <w:szCs w:val="22"/>
        </w:rPr>
        <w:t>stearate</w:t>
      </w:r>
      <w:r w:rsidRPr="008A50A5">
        <w:rPr>
          <w:rFonts w:cs="Times New Roman"/>
          <w:sz w:val="22"/>
          <w:szCs w:val="22"/>
          <w:lang w:val="en-US"/>
        </w:rPr>
        <w:t xml:space="preserve">, </w:t>
      </w:r>
      <w:r w:rsidRPr="008A50A5">
        <w:rPr>
          <w:rFonts w:cs="Times New Roman"/>
          <w:sz w:val="22"/>
          <w:szCs w:val="22"/>
        </w:rPr>
        <w:t>starch</w:t>
      </w:r>
      <w:r w:rsidRPr="008A50A5">
        <w:rPr>
          <w:rFonts w:cs="Times New Roman"/>
          <w:sz w:val="22"/>
          <w:szCs w:val="22"/>
          <w:lang w:val="en-US"/>
        </w:rPr>
        <w:t xml:space="preserve"> </w:t>
      </w:r>
      <w:r w:rsidRPr="008A50A5">
        <w:rPr>
          <w:rFonts w:cs="Times New Roman"/>
          <w:sz w:val="22"/>
          <w:szCs w:val="22"/>
        </w:rPr>
        <w:t>maize</w:t>
      </w:r>
      <w:r w:rsidRPr="008A50A5">
        <w:rPr>
          <w:rFonts w:cs="Times New Roman"/>
          <w:sz w:val="22"/>
          <w:szCs w:val="22"/>
          <w:lang w:val="en-US"/>
        </w:rPr>
        <w:t xml:space="preserve">, </w:t>
      </w:r>
      <w:r w:rsidRPr="008A50A5">
        <w:rPr>
          <w:rFonts w:cs="Times New Roman"/>
          <w:sz w:val="22"/>
          <w:szCs w:val="22"/>
        </w:rPr>
        <w:t>polyvidone</w:t>
      </w:r>
      <w:r w:rsidRPr="008A50A5">
        <w:rPr>
          <w:rFonts w:cs="Times New Roman"/>
          <w:sz w:val="22"/>
          <w:szCs w:val="22"/>
          <w:lang w:val="en-US"/>
        </w:rPr>
        <w:t xml:space="preserve"> </w:t>
      </w:r>
      <w:r w:rsidRPr="008A50A5">
        <w:rPr>
          <w:rFonts w:cs="Times New Roman"/>
          <w:sz w:val="22"/>
          <w:szCs w:val="22"/>
        </w:rPr>
        <w:t>K</w:t>
      </w:r>
      <w:r w:rsidRPr="008A50A5">
        <w:rPr>
          <w:rFonts w:cs="Times New Roman"/>
          <w:sz w:val="22"/>
          <w:szCs w:val="22"/>
          <w:lang w:val="en-US"/>
        </w:rPr>
        <w:t xml:space="preserve">30, </w:t>
      </w:r>
      <w:r w:rsidRPr="008A50A5">
        <w:rPr>
          <w:rFonts w:cs="Times New Roman"/>
          <w:sz w:val="22"/>
          <w:szCs w:val="22"/>
        </w:rPr>
        <w:t>sodium</w:t>
      </w:r>
      <w:r w:rsidRPr="008A50A5">
        <w:rPr>
          <w:rFonts w:cs="Times New Roman"/>
          <w:sz w:val="22"/>
          <w:szCs w:val="22"/>
          <w:lang w:val="en-US"/>
        </w:rPr>
        <w:t xml:space="preserve"> </w:t>
      </w:r>
      <w:r w:rsidRPr="008A50A5">
        <w:rPr>
          <w:rFonts w:cs="Times New Roman"/>
          <w:sz w:val="22"/>
          <w:szCs w:val="22"/>
        </w:rPr>
        <w:t>starch</w:t>
      </w:r>
      <w:r w:rsidRPr="008A50A5">
        <w:rPr>
          <w:rFonts w:cs="Times New Roman"/>
          <w:sz w:val="22"/>
          <w:szCs w:val="22"/>
          <w:lang w:val="en-US"/>
        </w:rPr>
        <w:t xml:space="preserve"> </w:t>
      </w:r>
      <w:r w:rsidRPr="008A50A5">
        <w:rPr>
          <w:rFonts w:cs="Times New Roman"/>
          <w:sz w:val="22"/>
          <w:szCs w:val="22"/>
        </w:rPr>
        <w:t>glycollate</w:t>
      </w:r>
      <w:r w:rsidRPr="008A50A5">
        <w:rPr>
          <w:rFonts w:cs="Times New Roman"/>
          <w:sz w:val="22"/>
          <w:szCs w:val="22"/>
          <w:lang w:val="en-US"/>
        </w:rPr>
        <w:t xml:space="preserve">, </w:t>
      </w:r>
      <w:r w:rsidRPr="008A50A5">
        <w:rPr>
          <w:rFonts w:cs="Times New Roman"/>
          <w:sz w:val="22"/>
          <w:szCs w:val="22"/>
          <w:lang w:val="it-IT"/>
        </w:rPr>
        <w:t>cellulose</w:t>
      </w:r>
      <w:r w:rsidRPr="008A50A5">
        <w:rPr>
          <w:rFonts w:cs="Times New Roman"/>
          <w:sz w:val="22"/>
          <w:szCs w:val="22"/>
          <w:lang w:val="en-US"/>
        </w:rPr>
        <w:t xml:space="preserve"> </w:t>
      </w:r>
      <w:r w:rsidRPr="008A50A5">
        <w:rPr>
          <w:rFonts w:cs="Times New Roman"/>
          <w:sz w:val="22"/>
          <w:szCs w:val="22"/>
          <w:lang w:val="it-IT"/>
        </w:rPr>
        <w:t>microcristalline</w:t>
      </w:r>
    </w:p>
    <w:p w:rsidR="00C4383A" w:rsidRPr="008A50A5" w:rsidRDefault="00C4383A" w:rsidP="00C174CF">
      <w:pPr>
        <w:pStyle w:val="Text"/>
        <w:spacing w:before="0"/>
        <w:ind w:left="-2" w:right="418"/>
        <w:rPr>
          <w:rFonts w:cs="Times New Roman"/>
          <w:sz w:val="22"/>
          <w:szCs w:val="22"/>
        </w:rPr>
      </w:pPr>
      <w:r w:rsidRPr="008A50A5">
        <w:rPr>
          <w:rFonts w:cs="Times New Roman"/>
          <w:sz w:val="22"/>
          <w:szCs w:val="22"/>
        </w:rPr>
        <w:t xml:space="preserve">- </w:t>
      </w:r>
      <w:r w:rsidRPr="008A50A5">
        <w:rPr>
          <w:rFonts w:cs="Times New Roman"/>
          <w:b/>
          <w:sz w:val="22"/>
          <w:szCs w:val="22"/>
        </w:rPr>
        <w:t>Επικάλυψη:</w:t>
      </w:r>
      <w:r w:rsidRPr="008A50A5">
        <w:rPr>
          <w:rFonts w:cs="Times New Roman"/>
          <w:sz w:val="22"/>
          <w:szCs w:val="22"/>
        </w:rPr>
        <w:t xml:space="preserve"> hypromellose, titanium dioxide CI 77891 (E171),  cellulose microcristalline, stearic acid</w:t>
      </w:r>
    </w:p>
    <w:p w:rsidR="00C4383A" w:rsidRPr="008A50A5" w:rsidRDefault="00C4383A" w:rsidP="00C174CF">
      <w:pPr>
        <w:ind w:left="720"/>
        <w:jc w:val="both"/>
        <w:rPr>
          <w:rFonts w:cs="Times New Roman"/>
          <w:b/>
          <w:sz w:val="22"/>
          <w:szCs w:val="22"/>
          <w:lang w:val="it-IT"/>
        </w:rPr>
      </w:pPr>
    </w:p>
    <w:p w:rsidR="00C4383A" w:rsidRPr="008A50A5" w:rsidRDefault="00C4383A" w:rsidP="00C174CF">
      <w:pPr>
        <w:jc w:val="both"/>
        <w:rPr>
          <w:rFonts w:cs="Times New Roman"/>
          <w:b/>
          <w:i/>
          <w:sz w:val="22"/>
          <w:szCs w:val="22"/>
          <w:lang w:val="el-GR"/>
        </w:rPr>
      </w:pPr>
      <w:r w:rsidRPr="008A50A5">
        <w:rPr>
          <w:rFonts w:cs="Times New Roman"/>
          <w:b/>
          <w:i/>
          <w:sz w:val="22"/>
          <w:szCs w:val="22"/>
          <w:lang w:val="el-GR"/>
        </w:rPr>
        <w:t>6.2</w:t>
      </w:r>
      <w:r w:rsidRPr="008A50A5">
        <w:rPr>
          <w:rFonts w:cs="Times New Roman"/>
          <w:b/>
          <w:i/>
          <w:sz w:val="22"/>
          <w:szCs w:val="22"/>
          <w:lang w:val="el-GR"/>
        </w:rPr>
        <w:tab/>
        <w:t>Ασυμβατότητες</w:t>
      </w:r>
    </w:p>
    <w:p w:rsidR="00C4383A" w:rsidRPr="008A50A5" w:rsidRDefault="00C4383A" w:rsidP="00C174CF">
      <w:pPr>
        <w:ind w:left="720"/>
        <w:jc w:val="both"/>
        <w:rPr>
          <w:rFonts w:cs="Times New Roman"/>
          <w:sz w:val="22"/>
          <w:szCs w:val="22"/>
          <w:lang w:val="el-GR"/>
        </w:rPr>
      </w:pPr>
      <w:r w:rsidRPr="008A50A5">
        <w:rPr>
          <w:rFonts w:cs="Times New Roman"/>
          <w:sz w:val="22"/>
          <w:szCs w:val="22"/>
          <w:lang w:val="el-GR"/>
        </w:rPr>
        <w:t>Καμία γνωστή.</w:t>
      </w:r>
    </w:p>
    <w:p w:rsidR="00C4383A" w:rsidRPr="008A50A5" w:rsidRDefault="00C4383A" w:rsidP="00C174CF">
      <w:pPr>
        <w:ind w:left="720"/>
        <w:jc w:val="both"/>
        <w:rPr>
          <w:rFonts w:cs="Times New Roman"/>
          <w:b/>
          <w:sz w:val="22"/>
          <w:szCs w:val="22"/>
          <w:lang w:val="el-GR"/>
        </w:rPr>
      </w:pPr>
    </w:p>
    <w:p w:rsidR="00C4383A" w:rsidRPr="008A50A5" w:rsidRDefault="00C4383A" w:rsidP="00C174CF">
      <w:pPr>
        <w:jc w:val="both"/>
        <w:rPr>
          <w:rFonts w:cs="Times New Roman"/>
          <w:b/>
          <w:i/>
          <w:sz w:val="22"/>
          <w:szCs w:val="22"/>
          <w:lang w:val="el-GR"/>
        </w:rPr>
      </w:pPr>
      <w:r w:rsidRPr="008A50A5">
        <w:rPr>
          <w:rFonts w:cs="Times New Roman"/>
          <w:b/>
          <w:i/>
          <w:sz w:val="22"/>
          <w:szCs w:val="22"/>
          <w:lang w:val="el-GR"/>
        </w:rPr>
        <w:t>6.3</w:t>
      </w:r>
      <w:r w:rsidRPr="008A50A5">
        <w:rPr>
          <w:rFonts w:cs="Times New Roman"/>
          <w:b/>
          <w:i/>
          <w:sz w:val="22"/>
          <w:szCs w:val="22"/>
          <w:lang w:val="el-GR"/>
        </w:rPr>
        <w:tab/>
        <w:t>Χρόνος ζωής</w:t>
      </w:r>
    </w:p>
    <w:p w:rsidR="00C4383A" w:rsidRPr="008A50A5" w:rsidRDefault="00C4383A" w:rsidP="00C174CF">
      <w:pPr>
        <w:ind w:left="720"/>
        <w:jc w:val="both"/>
        <w:rPr>
          <w:rFonts w:cs="Times New Roman"/>
          <w:sz w:val="22"/>
          <w:szCs w:val="22"/>
          <w:lang w:val="el-GR"/>
        </w:rPr>
      </w:pPr>
      <w:r w:rsidRPr="008A50A5">
        <w:rPr>
          <w:rFonts w:cs="Times New Roman"/>
          <w:sz w:val="22"/>
          <w:szCs w:val="22"/>
          <w:lang w:val="el-GR"/>
        </w:rPr>
        <w:t xml:space="preserve">36 μήνες </w:t>
      </w:r>
    </w:p>
    <w:p w:rsidR="00C4383A" w:rsidRPr="008A50A5" w:rsidRDefault="00C4383A" w:rsidP="00C174CF">
      <w:pPr>
        <w:ind w:left="720"/>
        <w:jc w:val="both"/>
        <w:rPr>
          <w:rFonts w:cs="Times New Roman"/>
          <w:sz w:val="22"/>
          <w:szCs w:val="22"/>
          <w:lang w:val="el-GR"/>
        </w:rPr>
      </w:pPr>
    </w:p>
    <w:p w:rsidR="00C4383A" w:rsidRPr="008A50A5" w:rsidRDefault="00C4383A" w:rsidP="00C174CF">
      <w:pPr>
        <w:jc w:val="both"/>
        <w:rPr>
          <w:rFonts w:cs="Times New Roman"/>
          <w:b/>
          <w:i/>
          <w:sz w:val="22"/>
          <w:szCs w:val="22"/>
          <w:lang w:val="el-GR"/>
        </w:rPr>
      </w:pPr>
      <w:r w:rsidRPr="008A50A5">
        <w:rPr>
          <w:rFonts w:cs="Times New Roman"/>
          <w:b/>
          <w:i/>
          <w:sz w:val="22"/>
          <w:szCs w:val="22"/>
          <w:lang w:val="el-GR"/>
        </w:rPr>
        <w:t>6.4</w:t>
      </w:r>
      <w:r w:rsidRPr="008A50A5">
        <w:rPr>
          <w:rFonts w:cs="Times New Roman"/>
          <w:b/>
          <w:i/>
          <w:sz w:val="22"/>
          <w:szCs w:val="22"/>
          <w:lang w:val="el-GR"/>
        </w:rPr>
        <w:tab/>
        <w:t>Ιδιαίτερες προφυλάξεις κατά τη φύλαξη του προϊόντος</w:t>
      </w:r>
    </w:p>
    <w:p w:rsidR="00C4383A" w:rsidRPr="008A50A5" w:rsidRDefault="00C4383A" w:rsidP="00C174CF">
      <w:pPr>
        <w:jc w:val="both"/>
        <w:rPr>
          <w:rFonts w:cs="Times New Roman"/>
          <w:sz w:val="22"/>
          <w:szCs w:val="22"/>
          <w:lang w:val="el-GR"/>
        </w:rPr>
      </w:pPr>
      <w:r w:rsidRPr="008A50A5">
        <w:rPr>
          <w:rFonts w:cs="Times New Roman"/>
          <w:sz w:val="22"/>
          <w:szCs w:val="22"/>
          <w:lang w:val="el-GR"/>
        </w:rPr>
        <w:t xml:space="preserve">             Να φυλάσσεται σε θερμοκρασία μικρότερη από 25</w:t>
      </w:r>
      <w:r w:rsidRPr="008A50A5">
        <w:rPr>
          <w:rFonts w:cs="Times New Roman"/>
          <w:sz w:val="22"/>
          <w:szCs w:val="22"/>
          <w:vertAlign w:val="superscript"/>
          <w:lang w:val="el-GR"/>
        </w:rPr>
        <w:t xml:space="preserve">0 </w:t>
      </w:r>
      <w:r w:rsidRPr="008A50A5">
        <w:rPr>
          <w:rFonts w:cs="Times New Roman"/>
          <w:sz w:val="22"/>
          <w:szCs w:val="22"/>
        </w:rPr>
        <w:t>C</w:t>
      </w:r>
    </w:p>
    <w:p w:rsidR="00C4383A" w:rsidRPr="008A50A5" w:rsidRDefault="00C4383A" w:rsidP="00C174CF">
      <w:pPr>
        <w:jc w:val="both"/>
        <w:rPr>
          <w:rFonts w:cs="Times New Roman"/>
          <w:sz w:val="22"/>
          <w:szCs w:val="22"/>
          <w:lang w:val="el-GR"/>
        </w:rPr>
      </w:pPr>
    </w:p>
    <w:p w:rsidR="00C4383A" w:rsidRPr="008A50A5" w:rsidRDefault="00C4383A" w:rsidP="00C174CF">
      <w:pPr>
        <w:jc w:val="both"/>
        <w:rPr>
          <w:rFonts w:cs="Times New Roman"/>
          <w:b/>
          <w:i/>
          <w:sz w:val="22"/>
          <w:szCs w:val="22"/>
          <w:lang w:val="el-GR"/>
        </w:rPr>
      </w:pPr>
      <w:r w:rsidRPr="008A50A5">
        <w:rPr>
          <w:rFonts w:cs="Times New Roman"/>
          <w:b/>
          <w:i/>
          <w:sz w:val="22"/>
          <w:szCs w:val="22"/>
          <w:lang w:val="el-GR"/>
        </w:rPr>
        <w:t>6.5</w:t>
      </w:r>
      <w:r w:rsidRPr="008A50A5">
        <w:rPr>
          <w:rFonts w:cs="Times New Roman"/>
          <w:b/>
          <w:i/>
          <w:sz w:val="22"/>
          <w:szCs w:val="22"/>
          <w:lang w:val="el-GR"/>
        </w:rPr>
        <w:tab/>
        <w:t>Φύση και συστατικά του περιέκτη :</w:t>
      </w:r>
    </w:p>
    <w:p w:rsidR="00C4383A" w:rsidRPr="008A50A5" w:rsidRDefault="00C4383A" w:rsidP="00C174CF">
      <w:pPr>
        <w:jc w:val="both"/>
        <w:rPr>
          <w:rFonts w:cs="Times New Roman"/>
          <w:sz w:val="22"/>
          <w:szCs w:val="22"/>
          <w:lang w:val="el-GR"/>
        </w:rPr>
      </w:pPr>
      <w:r w:rsidRPr="008A50A5">
        <w:rPr>
          <w:rFonts w:cs="Times New Roman"/>
          <w:b/>
          <w:sz w:val="22"/>
          <w:szCs w:val="22"/>
          <w:lang w:val="el-GR"/>
        </w:rPr>
        <w:t xml:space="preserve">              </w:t>
      </w:r>
      <w:r w:rsidRPr="008A50A5">
        <w:rPr>
          <w:rFonts w:cs="Times New Roman"/>
          <w:sz w:val="22"/>
          <w:szCs w:val="22"/>
        </w:rPr>
        <w:t>Blister</w:t>
      </w:r>
      <w:r w:rsidRPr="008A50A5">
        <w:rPr>
          <w:rFonts w:cs="Times New Roman"/>
          <w:sz w:val="22"/>
          <w:szCs w:val="22"/>
          <w:lang w:val="el-GR"/>
        </w:rPr>
        <w:t xml:space="preserve"> </w:t>
      </w:r>
      <w:r w:rsidRPr="008A50A5">
        <w:rPr>
          <w:rFonts w:cs="Times New Roman"/>
          <w:sz w:val="22"/>
          <w:szCs w:val="22"/>
        </w:rPr>
        <w:t>PVC</w:t>
      </w:r>
      <w:r w:rsidRPr="008A50A5">
        <w:rPr>
          <w:rFonts w:cs="Times New Roman"/>
          <w:sz w:val="22"/>
          <w:szCs w:val="22"/>
          <w:lang w:val="el-GR"/>
        </w:rPr>
        <w:t>/</w:t>
      </w:r>
      <w:r w:rsidRPr="008A50A5">
        <w:rPr>
          <w:rFonts w:cs="Times New Roman"/>
          <w:sz w:val="22"/>
          <w:szCs w:val="22"/>
        </w:rPr>
        <w:t>PE</w:t>
      </w:r>
      <w:r w:rsidRPr="008A50A5">
        <w:rPr>
          <w:rFonts w:cs="Times New Roman"/>
          <w:sz w:val="22"/>
          <w:szCs w:val="22"/>
          <w:lang w:val="el-GR"/>
        </w:rPr>
        <w:t>/</w:t>
      </w:r>
      <w:r w:rsidRPr="008A50A5">
        <w:rPr>
          <w:rFonts w:cs="Times New Roman"/>
          <w:sz w:val="22"/>
          <w:szCs w:val="22"/>
        </w:rPr>
        <w:t>PVDC</w:t>
      </w:r>
      <w:r w:rsidRPr="008A50A5">
        <w:rPr>
          <w:rFonts w:cs="Times New Roman"/>
          <w:sz w:val="22"/>
          <w:szCs w:val="22"/>
          <w:lang w:val="el-GR"/>
        </w:rPr>
        <w:t>/Αλουμίνιο</w:t>
      </w:r>
    </w:p>
    <w:p w:rsidR="00C4383A" w:rsidRPr="008A50A5" w:rsidRDefault="00C4383A" w:rsidP="00C174CF">
      <w:pPr>
        <w:jc w:val="both"/>
        <w:rPr>
          <w:rFonts w:cs="Times New Roman"/>
          <w:sz w:val="22"/>
          <w:szCs w:val="22"/>
          <w:lang w:val="el-GR"/>
        </w:rPr>
      </w:pPr>
      <w:r w:rsidRPr="008A50A5">
        <w:rPr>
          <w:rFonts w:cs="Times New Roman"/>
          <w:sz w:val="22"/>
          <w:szCs w:val="22"/>
          <w:lang w:val="el-GR"/>
        </w:rPr>
        <w:t xml:space="preserve">               Κουτί με 10 δισκία ( 1 </w:t>
      </w:r>
      <w:r w:rsidRPr="008A50A5">
        <w:rPr>
          <w:rFonts w:cs="Times New Roman"/>
          <w:sz w:val="22"/>
          <w:szCs w:val="22"/>
        </w:rPr>
        <w:t>blister</w:t>
      </w:r>
      <w:r w:rsidRPr="008A50A5">
        <w:rPr>
          <w:rFonts w:cs="Times New Roman"/>
          <w:sz w:val="22"/>
          <w:szCs w:val="22"/>
          <w:lang w:val="el-GR"/>
        </w:rPr>
        <w:t>)</w:t>
      </w:r>
    </w:p>
    <w:p w:rsidR="00C4383A" w:rsidRPr="008A50A5" w:rsidRDefault="00C4383A" w:rsidP="00C174CF">
      <w:pPr>
        <w:jc w:val="both"/>
        <w:rPr>
          <w:rFonts w:cs="Times New Roman"/>
          <w:sz w:val="22"/>
          <w:szCs w:val="22"/>
          <w:lang w:val="el-GR"/>
        </w:rPr>
      </w:pPr>
      <w:r w:rsidRPr="008A50A5">
        <w:rPr>
          <w:rFonts w:cs="Times New Roman"/>
          <w:sz w:val="22"/>
          <w:szCs w:val="22"/>
          <w:lang w:val="el-GR"/>
        </w:rPr>
        <w:t xml:space="preserve">               </w:t>
      </w:r>
      <w:r w:rsidRPr="008A50A5">
        <w:rPr>
          <w:rFonts w:cs="Times New Roman"/>
          <w:sz w:val="22"/>
          <w:szCs w:val="22"/>
        </w:rPr>
        <w:t>Ko</w:t>
      </w:r>
      <w:r w:rsidRPr="008A50A5">
        <w:rPr>
          <w:rFonts w:cs="Times New Roman"/>
          <w:sz w:val="22"/>
          <w:szCs w:val="22"/>
          <w:lang w:val="el-GR"/>
        </w:rPr>
        <w:t xml:space="preserve">υτί με 20 δισκία (2 </w:t>
      </w:r>
      <w:proofErr w:type="gramStart"/>
      <w:r w:rsidRPr="008A50A5">
        <w:rPr>
          <w:rFonts w:cs="Times New Roman"/>
          <w:sz w:val="22"/>
          <w:szCs w:val="22"/>
        </w:rPr>
        <w:t>blister</w:t>
      </w:r>
      <w:r w:rsidRPr="008A50A5">
        <w:rPr>
          <w:rFonts w:cs="Times New Roman"/>
          <w:sz w:val="22"/>
          <w:szCs w:val="22"/>
          <w:lang w:val="el-GR"/>
        </w:rPr>
        <w:t xml:space="preserve"> )</w:t>
      </w:r>
      <w:proofErr w:type="gramEnd"/>
    </w:p>
    <w:p w:rsidR="00C4383A" w:rsidRPr="008A50A5" w:rsidRDefault="00C4383A" w:rsidP="00C174CF">
      <w:pPr>
        <w:jc w:val="both"/>
        <w:rPr>
          <w:rFonts w:cs="Times New Roman"/>
          <w:sz w:val="22"/>
          <w:szCs w:val="22"/>
          <w:lang w:val="el-GR"/>
        </w:rPr>
      </w:pPr>
    </w:p>
    <w:p w:rsidR="00C4383A" w:rsidRPr="008A50A5" w:rsidRDefault="00C4383A" w:rsidP="00C174CF">
      <w:pPr>
        <w:jc w:val="both"/>
        <w:rPr>
          <w:rFonts w:cs="Times New Roman"/>
          <w:b/>
          <w:i/>
          <w:sz w:val="22"/>
          <w:szCs w:val="22"/>
          <w:lang w:val="el-GR"/>
        </w:rPr>
      </w:pPr>
      <w:r w:rsidRPr="008A50A5">
        <w:rPr>
          <w:rFonts w:cs="Times New Roman"/>
          <w:b/>
          <w:i/>
          <w:sz w:val="22"/>
          <w:szCs w:val="22"/>
          <w:lang w:val="el-GR"/>
        </w:rPr>
        <w:t>6.6</w:t>
      </w:r>
      <w:r w:rsidRPr="008A50A5">
        <w:rPr>
          <w:rFonts w:cs="Times New Roman"/>
          <w:b/>
          <w:i/>
          <w:sz w:val="22"/>
          <w:szCs w:val="22"/>
          <w:lang w:val="el-GR"/>
        </w:rPr>
        <w:tab/>
        <w:t>Οδηγίες χρήσης/χειρισμού :</w:t>
      </w:r>
    </w:p>
    <w:p w:rsidR="000A4690" w:rsidRPr="008A50A5" w:rsidRDefault="000A4690" w:rsidP="00C174CF">
      <w:pPr>
        <w:tabs>
          <w:tab w:val="left" w:pos="709"/>
        </w:tabs>
        <w:jc w:val="both"/>
        <w:rPr>
          <w:rFonts w:cs="Times New Roman"/>
          <w:b/>
          <w:i/>
          <w:sz w:val="22"/>
          <w:szCs w:val="22"/>
          <w:lang w:val="el-GR"/>
        </w:rPr>
      </w:pPr>
    </w:p>
    <w:p w:rsidR="00C4383A" w:rsidRPr="008A50A5" w:rsidRDefault="00C4383A" w:rsidP="00C174CF">
      <w:pPr>
        <w:tabs>
          <w:tab w:val="left" w:pos="709"/>
        </w:tabs>
        <w:jc w:val="both"/>
        <w:rPr>
          <w:rFonts w:cs="Times New Roman"/>
          <w:b/>
          <w:i/>
          <w:sz w:val="22"/>
          <w:szCs w:val="22"/>
          <w:lang w:val="el-GR"/>
        </w:rPr>
      </w:pPr>
      <w:r w:rsidRPr="008A50A5">
        <w:rPr>
          <w:rFonts w:cs="Times New Roman"/>
          <w:b/>
          <w:i/>
          <w:sz w:val="22"/>
          <w:szCs w:val="22"/>
          <w:lang w:val="el-GR"/>
        </w:rPr>
        <w:t>7.</w:t>
      </w:r>
      <w:r w:rsidRPr="008A50A5">
        <w:rPr>
          <w:rFonts w:cs="Times New Roman"/>
          <w:b/>
          <w:i/>
          <w:sz w:val="22"/>
          <w:szCs w:val="22"/>
          <w:lang w:val="el-GR"/>
        </w:rPr>
        <w:tab/>
        <w:t>Κάτοχος άδειας κυκλοφορίας</w:t>
      </w:r>
    </w:p>
    <w:p w:rsidR="00C4383A" w:rsidRPr="008A50A5" w:rsidRDefault="00C4383A" w:rsidP="00C174CF">
      <w:pPr>
        <w:jc w:val="both"/>
        <w:rPr>
          <w:rFonts w:cs="Times New Roman"/>
          <w:sz w:val="22"/>
          <w:szCs w:val="22"/>
          <w:lang w:val="el-GR"/>
        </w:rPr>
      </w:pPr>
      <w:r w:rsidRPr="008A50A5">
        <w:rPr>
          <w:rFonts w:cs="Times New Roman"/>
          <w:sz w:val="22"/>
          <w:szCs w:val="22"/>
          <w:lang w:val="el-GR"/>
        </w:rPr>
        <w:t xml:space="preserve">                </w:t>
      </w:r>
      <w:r w:rsidRPr="008A50A5">
        <w:rPr>
          <w:rFonts w:cs="Times New Roman"/>
          <w:sz w:val="22"/>
          <w:szCs w:val="22"/>
        </w:rPr>
        <w:t>Novartis</w:t>
      </w:r>
      <w:r w:rsidRPr="008A50A5">
        <w:rPr>
          <w:rFonts w:cs="Times New Roman"/>
          <w:sz w:val="22"/>
          <w:szCs w:val="22"/>
          <w:lang w:val="el-GR"/>
        </w:rPr>
        <w:t xml:space="preserve"> </w:t>
      </w:r>
      <w:r w:rsidRPr="008A50A5">
        <w:rPr>
          <w:rFonts w:cs="Times New Roman"/>
          <w:sz w:val="22"/>
          <w:szCs w:val="22"/>
        </w:rPr>
        <w:t>Hellas</w:t>
      </w:r>
      <w:r w:rsidRPr="008A50A5">
        <w:rPr>
          <w:rFonts w:cs="Times New Roman"/>
          <w:sz w:val="22"/>
          <w:szCs w:val="22"/>
          <w:lang w:val="el-GR"/>
        </w:rPr>
        <w:t xml:space="preserve"> </w:t>
      </w:r>
      <w:r w:rsidRPr="008A50A5">
        <w:rPr>
          <w:rFonts w:cs="Times New Roman"/>
          <w:sz w:val="22"/>
          <w:szCs w:val="22"/>
        </w:rPr>
        <w:t>AEBE</w:t>
      </w:r>
    </w:p>
    <w:p w:rsidR="00C4383A" w:rsidRPr="008A50A5" w:rsidRDefault="00C4383A" w:rsidP="00C174CF">
      <w:pPr>
        <w:jc w:val="both"/>
        <w:rPr>
          <w:rFonts w:cs="Times New Roman"/>
          <w:sz w:val="22"/>
          <w:szCs w:val="22"/>
          <w:lang w:val="el-GR"/>
        </w:rPr>
      </w:pPr>
      <w:r w:rsidRPr="008A50A5">
        <w:rPr>
          <w:rFonts w:cs="Times New Roman"/>
          <w:sz w:val="22"/>
          <w:szCs w:val="22"/>
          <w:lang w:val="el-GR"/>
        </w:rPr>
        <w:t xml:space="preserve">               12</w:t>
      </w:r>
      <w:r w:rsidRPr="008A50A5">
        <w:rPr>
          <w:rFonts w:cs="Times New Roman"/>
          <w:sz w:val="22"/>
          <w:szCs w:val="22"/>
        </w:rPr>
        <w:t>o</w:t>
      </w:r>
      <w:r w:rsidRPr="008A50A5">
        <w:rPr>
          <w:rFonts w:cs="Times New Roman"/>
          <w:sz w:val="22"/>
          <w:szCs w:val="22"/>
          <w:lang w:val="el-GR"/>
        </w:rPr>
        <w:t xml:space="preserve"> χλμ Εθνικής Οδού Νο 1</w:t>
      </w:r>
    </w:p>
    <w:p w:rsidR="00C4383A" w:rsidRPr="008A50A5" w:rsidRDefault="00C4383A" w:rsidP="00C174CF">
      <w:pPr>
        <w:jc w:val="both"/>
        <w:rPr>
          <w:rFonts w:cs="Times New Roman"/>
          <w:sz w:val="22"/>
          <w:szCs w:val="22"/>
          <w:lang w:val="el-GR"/>
        </w:rPr>
      </w:pPr>
      <w:r w:rsidRPr="008A50A5">
        <w:rPr>
          <w:rFonts w:cs="Times New Roman"/>
          <w:sz w:val="22"/>
          <w:szCs w:val="22"/>
          <w:lang w:val="el-GR"/>
        </w:rPr>
        <w:t xml:space="preserve">                14451 Μεταμόρφωση</w:t>
      </w:r>
    </w:p>
    <w:p w:rsidR="00C4383A" w:rsidRPr="008A50A5" w:rsidRDefault="00C4383A" w:rsidP="00C174CF">
      <w:pPr>
        <w:jc w:val="both"/>
        <w:rPr>
          <w:rFonts w:cs="Times New Roman"/>
          <w:sz w:val="22"/>
          <w:szCs w:val="22"/>
          <w:lang w:val="el-GR"/>
        </w:rPr>
      </w:pPr>
    </w:p>
    <w:p w:rsidR="00C4383A" w:rsidRPr="008A50A5" w:rsidRDefault="00C4383A" w:rsidP="00C174CF">
      <w:pPr>
        <w:tabs>
          <w:tab w:val="left" w:pos="709"/>
        </w:tabs>
        <w:jc w:val="both"/>
        <w:rPr>
          <w:rFonts w:cs="Times New Roman"/>
          <w:b/>
          <w:i/>
          <w:sz w:val="22"/>
          <w:szCs w:val="22"/>
          <w:lang w:val="el-GR"/>
        </w:rPr>
      </w:pPr>
      <w:r w:rsidRPr="008A50A5">
        <w:rPr>
          <w:rFonts w:cs="Times New Roman"/>
          <w:b/>
          <w:i/>
          <w:sz w:val="22"/>
          <w:szCs w:val="22"/>
          <w:lang w:val="el-GR"/>
        </w:rPr>
        <w:t>8.</w:t>
      </w:r>
      <w:r w:rsidRPr="008A50A5">
        <w:rPr>
          <w:rFonts w:cs="Times New Roman"/>
          <w:b/>
          <w:i/>
          <w:sz w:val="22"/>
          <w:szCs w:val="22"/>
          <w:lang w:val="el-GR"/>
        </w:rPr>
        <w:tab/>
        <w:t>Αριθμός άδειας κυκλοφορίας</w:t>
      </w:r>
    </w:p>
    <w:p w:rsidR="00C4383A" w:rsidRPr="008A50A5" w:rsidRDefault="00C4383A" w:rsidP="00C174CF">
      <w:pPr>
        <w:tabs>
          <w:tab w:val="left" w:pos="709"/>
        </w:tabs>
        <w:jc w:val="both"/>
        <w:rPr>
          <w:rFonts w:cs="Times New Roman"/>
          <w:b/>
          <w:i/>
          <w:sz w:val="22"/>
          <w:szCs w:val="22"/>
          <w:lang w:val="el-GR"/>
        </w:rPr>
      </w:pPr>
      <w:r w:rsidRPr="008A50A5">
        <w:rPr>
          <w:rFonts w:cs="Times New Roman"/>
          <w:b/>
          <w:i/>
          <w:sz w:val="22"/>
          <w:szCs w:val="22"/>
          <w:lang w:val="el-GR"/>
        </w:rPr>
        <w:t>42229/ 24-9-2008</w:t>
      </w:r>
    </w:p>
    <w:p w:rsidR="00C4383A" w:rsidRPr="008A50A5" w:rsidRDefault="00C4383A" w:rsidP="00C174CF">
      <w:pPr>
        <w:jc w:val="both"/>
        <w:rPr>
          <w:rFonts w:cs="Times New Roman"/>
          <w:sz w:val="22"/>
          <w:szCs w:val="22"/>
          <w:u w:val="single"/>
          <w:lang w:val="el-GR"/>
        </w:rPr>
      </w:pPr>
    </w:p>
    <w:p w:rsidR="00C4383A" w:rsidRPr="008A50A5" w:rsidRDefault="00C4383A" w:rsidP="00C174CF">
      <w:pPr>
        <w:tabs>
          <w:tab w:val="left" w:pos="709"/>
        </w:tabs>
        <w:jc w:val="both"/>
        <w:rPr>
          <w:rFonts w:cs="Times New Roman"/>
          <w:b/>
          <w:i/>
          <w:sz w:val="22"/>
          <w:szCs w:val="22"/>
          <w:lang w:val="el-GR"/>
        </w:rPr>
      </w:pPr>
      <w:r w:rsidRPr="008A50A5">
        <w:rPr>
          <w:rFonts w:cs="Times New Roman"/>
          <w:b/>
          <w:i/>
          <w:sz w:val="22"/>
          <w:szCs w:val="22"/>
          <w:lang w:val="el-GR"/>
        </w:rPr>
        <w:t>9.</w:t>
      </w:r>
      <w:r w:rsidRPr="008A50A5">
        <w:rPr>
          <w:rFonts w:cs="Times New Roman"/>
          <w:b/>
          <w:i/>
          <w:sz w:val="22"/>
          <w:szCs w:val="22"/>
          <w:lang w:val="el-GR"/>
        </w:rPr>
        <w:tab/>
        <w:t>Ημερομηνία της πρώτης άδειας/ανανέωσης της άδειας κυκλοφορίας</w:t>
      </w:r>
    </w:p>
    <w:p w:rsidR="00C4383A" w:rsidRPr="008A50A5" w:rsidRDefault="00C4383A" w:rsidP="00C174CF">
      <w:pPr>
        <w:tabs>
          <w:tab w:val="left" w:pos="709"/>
        </w:tabs>
        <w:jc w:val="both"/>
        <w:rPr>
          <w:rFonts w:cs="Times New Roman"/>
          <w:b/>
          <w:i/>
          <w:sz w:val="22"/>
          <w:szCs w:val="22"/>
          <w:lang w:val="el-GR"/>
        </w:rPr>
      </w:pPr>
      <w:r w:rsidRPr="008A50A5">
        <w:rPr>
          <w:rFonts w:cs="Times New Roman"/>
          <w:b/>
          <w:i/>
          <w:sz w:val="22"/>
          <w:szCs w:val="22"/>
          <w:lang w:val="el-GR"/>
        </w:rPr>
        <w:t>24-9-2008</w:t>
      </w:r>
    </w:p>
    <w:p w:rsidR="00C4383A" w:rsidRPr="008A50A5" w:rsidRDefault="00C4383A" w:rsidP="00C174CF">
      <w:pPr>
        <w:jc w:val="both"/>
        <w:rPr>
          <w:rFonts w:cs="Times New Roman"/>
          <w:b/>
          <w:i/>
          <w:sz w:val="22"/>
          <w:szCs w:val="22"/>
          <w:lang w:val="el-GR"/>
        </w:rPr>
      </w:pPr>
    </w:p>
    <w:p w:rsidR="00C4383A" w:rsidRPr="008A50A5" w:rsidRDefault="00C4383A" w:rsidP="00C174CF">
      <w:pPr>
        <w:tabs>
          <w:tab w:val="left" w:pos="709"/>
        </w:tabs>
        <w:jc w:val="both"/>
        <w:rPr>
          <w:rFonts w:cs="Times New Roman"/>
          <w:b/>
          <w:i/>
          <w:sz w:val="22"/>
          <w:szCs w:val="22"/>
          <w:lang w:val="el-GR"/>
        </w:rPr>
      </w:pPr>
      <w:r w:rsidRPr="008A50A5">
        <w:rPr>
          <w:rFonts w:cs="Times New Roman"/>
          <w:b/>
          <w:i/>
          <w:sz w:val="22"/>
          <w:szCs w:val="22"/>
          <w:lang w:val="el-GR"/>
        </w:rPr>
        <w:t>10.</w:t>
      </w:r>
      <w:r w:rsidRPr="008A50A5">
        <w:rPr>
          <w:rFonts w:cs="Times New Roman"/>
          <w:b/>
          <w:i/>
          <w:sz w:val="22"/>
          <w:szCs w:val="22"/>
          <w:lang w:val="el-GR"/>
        </w:rPr>
        <w:tab/>
        <w:t>Ημερομηνία της (μερικής) αναθεώρησης του κειμένου.</w:t>
      </w:r>
    </w:p>
    <w:p w:rsidR="00C4383A" w:rsidRPr="008A50A5" w:rsidRDefault="00C4383A" w:rsidP="00C174CF">
      <w:pPr>
        <w:jc w:val="both"/>
        <w:rPr>
          <w:rFonts w:cs="Times New Roman"/>
          <w:sz w:val="22"/>
          <w:szCs w:val="22"/>
          <w:lang w:val="el-GR"/>
        </w:rPr>
      </w:pPr>
    </w:p>
    <w:p w:rsidR="00C4383A" w:rsidRPr="008A50A5" w:rsidRDefault="00C4383A" w:rsidP="00C174CF">
      <w:pPr>
        <w:pStyle w:val="Text"/>
        <w:rPr>
          <w:rFonts w:cs="Times New Roman"/>
          <w:sz w:val="22"/>
          <w:szCs w:val="22"/>
        </w:rPr>
      </w:pPr>
    </w:p>
    <w:p w:rsidR="00C4383A" w:rsidRPr="008A50A5" w:rsidRDefault="00C4383A" w:rsidP="00C174CF">
      <w:pPr>
        <w:jc w:val="both"/>
        <w:rPr>
          <w:rFonts w:cs="Times New Roman"/>
          <w:sz w:val="22"/>
          <w:szCs w:val="22"/>
          <w:lang/>
        </w:rPr>
      </w:pPr>
    </w:p>
    <w:sectPr w:rsidR="00C4383A" w:rsidRPr="008A50A5">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A1"/>
    <w:family w:val="modern"/>
    <w:pitch w:val="fixed"/>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1128"/>
        </w:tabs>
        <w:ind w:left="1128" w:hanging="1008"/>
      </w:pPr>
      <w:rPr>
        <w:rFonts w:ascii="Wingdings" w:hAnsi="Wingdings"/>
      </w:rPr>
    </w:lvl>
    <w:lvl w:ilvl="1">
      <w:start w:val="1"/>
      <w:numFmt w:val="decimal"/>
      <w:pStyle w:val="2"/>
      <w:lvlText w:val="%1.%2"/>
      <w:lvlJc w:val="left"/>
      <w:pPr>
        <w:tabs>
          <w:tab w:val="num" w:pos="1128"/>
        </w:tabs>
        <w:ind w:left="1128" w:hanging="1008"/>
      </w:pPr>
      <w:rPr>
        <w:rFonts w:ascii="Wingdings" w:hAnsi="Wingdings"/>
      </w:rPr>
    </w:lvl>
    <w:lvl w:ilvl="2">
      <w:start w:val="1"/>
      <w:numFmt w:val="decimal"/>
      <w:lvlText w:val="%1.%2.%3"/>
      <w:lvlJc w:val="left"/>
      <w:pPr>
        <w:tabs>
          <w:tab w:val="num" w:pos="1128"/>
        </w:tabs>
        <w:ind w:left="1128" w:hanging="1008"/>
      </w:pPr>
      <w:rPr>
        <w:rFonts w:ascii="Wingdings" w:hAnsi="Wingdings"/>
      </w:rPr>
    </w:lvl>
    <w:lvl w:ilvl="3">
      <w:start w:val="1"/>
      <w:numFmt w:val="decimal"/>
      <w:lvlText w:val="%1.%2.%3.%4"/>
      <w:lvlJc w:val="left"/>
      <w:pPr>
        <w:tabs>
          <w:tab w:val="num" w:pos="1128"/>
        </w:tabs>
        <w:ind w:left="1128" w:hanging="1008"/>
      </w:pPr>
      <w:rPr>
        <w:rFonts w:ascii="Wingdings" w:hAnsi="Wingdings"/>
      </w:rPr>
    </w:lvl>
    <w:lvl w:ilvl="4">
      <w:start w:val="1"/>
      <w:numFmt w:val="decimal"/>
      <w:lvlText w:val="%1.%2.%3.%4.%5"/>
      <w:lvlJc w:val="left"/>
      <w:pPr>
        <w:tabs>
          <w:tab w:val="num" w:pos="1128"/>
        </w:tabs>
        <w:ind w:left="1128" w:hanging="1008"/>
      </w:pPr>
      <w:rPr>
        <w:rFonts w:ascii="Wingdings" w:hAnsi="Wingdings"/>
      </w:rPr>
    </w:lvl>
    <w:lvl w:ilvl="5">
      <w:start w:val="1"/>
      <w:numFmt w:val="decimal"/>
      <w:lvlText w:val="%1.%2.%3.%4.%5.%6."/>
      <w:lvlJc w:val="left"/>
      <w:pPr>
        <w:tabs>
          <w:tab w:val="num" w:pos="3000"/>
        </w:tabs>
        <w:ind w:left="2856" w:hanging="936"/>
      </w:pPr>
      <w:rPr>
        <w:rFonts w:ascii="Wingdings" w:hAnsi="Wingdings"/>
      </w:rPr>
    </w:lvl>
    <w:lvl w:ilvl="6">
      <w:start w:val="1"/>
      <w:numFmt w:val="decimal"/>
      <w:lvlText w:val="%1.%2.%3.%4.%5.%6.%7."/>
      <w:lvlJc w:val="left"/>
      <w:pPr>
        <w:tabs>
          <w:tab w:val="num" w:pos="3720"/>
        </w:tabs>
        <w:ind w:left="3360" w:hanging="1080"/>
      </w:pPr>
      <w:rPr>
        <w:rFonts w:ascii="Wingdings" w:hAnsi="Wingdings"/>
      </w:rPr>
    </w:lvl>
    <w:lvl w:ilvl="7">
      <w:start w:val="1"/>
      <w:numFmt w:val="decimal"/>
      <w:lvlText w:val="%1.%2.%3.%4.%5.%6.%7.%8."/>
      <w:lvlJc w:val="left"/>
      <w:pPr>
        <w:tabs>
          <w:tab w:val="num" w:pos="4080"/>
        </w:tabs>
        <w:ind w:left="3864" w:hanging="1224"/>
      </w:pPr>
      <w:rPr>
        <w:rFonts w:ascii="Wingdings" w:hAnsi="Wingdings"/>
      </w:rPr>
    </w:lvl>
    <w:lvl w:ilvl="8">
      <w:start w:val="1"/>
      <w:numFmt w:val="decimal"/>
      <w:lvlText w:val="%1.%2.%3.%4.%5.%6.%7.%8.%9."/>
      <w:lvlJc w:val="left"/>
      <w:pPr>
        <w:tabs>
          <w:tab w:val="num" w:pos="4800"/>
        </w:tabs>
        <w:ind w:left="4440" w:hanging="144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1070"/>
        </w:tabs>
        <w:ind w:left="107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720"/>
        </w:tabs>
        <w:ind w:left="720" w:hanging="576"/>
      </w:pPr>
      <w:rPr>
        <w:rFonts w:ascii="Symbol" w:hAnsi="Symbol" w:cs="Times New Roman"/>
      </w:rPr>
    </w:lvl>
  </w:abstractNum>
  <w:abstractNum w:abstractNumId="3">
    <w:nsid w:val="00000004"/>
    <w:multiLevelType w:val="singleLevel"/>
    <w:tmpl w:val="00000004"/>
    <w:name w:val="WW8Num4"/>
    <w:lvl w:ilvl="0">
      <w:start w:val="1"/>
      <w:numFmt w:val="bullet"/>
      <w:lvlText w:val=""/>
      <w:lvlJc w:val="left"/>
      <w:pPr>
        <w:tabs>
          <w:tab w:val="num" w:pos="720"/>
        </w:tabs>
        <w:ind w:left="720" w:hanging="576"/>
      </w:pPr>
      <w:rPr>
        <w:rFonts w:ascii="Symbol" w:hAnsi="Symbol"/>
      </w:rPr>
    </w:lvl>
  </w:abstractNum>
  <w:num w:numId="1">
    <w:abstractNumId w:val="0"/>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315BEC"/>
    <w:rsid w:val="0001195B"/>
    <w:rsid w:val="0006297A"/>
    <w:rsid w:val="000A4690"/>
    <w:rsid w:val="001A04DD"/>
    <w:rsid w:val="0021099B"/>
    <w:rsid w:val="00225375"/>
    <w:rsid w:val="00277B47"/>
    <w:rsid w:val="002D501C"/>
    <w:rsid w:val="00315BEC"/>
    <w:rsid w:val="003D0D7D"/>
    <w:rsid w:val="003F7440"/>
    <w:rsid w:val="00432C67"/>
    <w:rsid w:val="004627AF"/>
    <w:rsid w:val="00522C2C"/>
    <w:rsid w:val="00610111"/>
    <w:rsid w:val="00786D53"/>
    <w:rsid w:val="007C080F"/>
    <w:rsid w:val="008A50A5"/>
    <w:rsid w:val="008F4EA6"/>
    <w:rsid w:val="00974D56"/>
    <w:rsid w:val="00983E87"/>
    <w:rsid w:val="009A2659"/>
    <w:rsid w:val="009F7459"/>
    <w:rsid w:val="00A0132D"/>
    <w:rsid w:val="00AC0DC5"/>
    <w:rsid w:val="00B11713"/>
    <w:rsid w:val="00B747DD"/>
    <w:rsid w:val="00C174CF"/>
    <w:rsid w:val="00C4383A"/>
    <w:rsid w:val="00DB294E"/>
    <w:rsid w:val="00DC2D5C"/>
    <w:rsid w:val="00DF56E2"/>
    <w:rsid w:val="00E21EA3"/>
    <w:rsid w:val="00F31D41"/>
    <w:rsid w:val="00F55210"/>
    <w:rsid w:val="00F74D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Calibri"/>
      <w:sz w:val="24"/>
      <w:szCs w:val="24"/>
      <w:lang w:val="en-US" w:eastAsia="ar-SA"/>
    </w:rPr>
  </w:style>
  <w:style w:type="paragraph" w:styleId="1">
    <w:name w:val="heading 1"/>
    <w:basedOn w:val="a"/>
    <w:next w:val="Text"/>
    <w:qFormat/>
    <w:pPr>
      <w:keepNext/>
      <w:keepLines/>
      <w:numPr>
        <w:numId w:val="1"/>
      </w:numPr>
      <w:spacing w:before="360"/>
      <w:outlineLvl w:val="0"/>
    </w:pPr>
    <w:rPr>
      <w:rFonts w:ascii="Arial" w:eastAsia="MS Gothic" w:hAnsi="Arial"/>
      <w:b/>
      <w:sz w:val="28"/>
      <w:szCs w:val="20"/>
      <w:lang/>
    </w:rPr>
  </w:style>
  <w:style w:type="paragraph" w:styleId="2">
    <w:name w:val="heading 2"/>
    <w:basedOn w:val="a"/>
    <w:next w:val="Text"/>
    <w:qFormat/>
    <w:pPr>
      <w:keepNext/>
      <w:keepLines/>
      <w:numPr>
        <w:ilvl w:val="1"/>
        <w:numId w:val="1"/>
      </w:numPr>
      <w:spacing w:before="240"/>
      <w:outlineLvl w:val="1"/>
    </w:pPr>
    <w:rPr>
      <w:rFonts w:ascii="Arial" w:eastAsia="MS Gothic" w:hAnsi="Arial"/>
      <w:b/>
      <w:sz w:val="26"/>
      <w:szCs w:val="20"/>
      <w:lang/>
    </w:rPr>
  </w:style>
  <w:style w:type="paragraph" w:styleId="3">
    <w:name w:val="heading 3"/>
    <w:basedOn w:val="a"/>
    <w:next w:val="Text"/>
    <w:qFormat/>
    <w:pPr>
      <w:keepNext/>
      <w:keepLines/>
      <w:numPr>
        <w:ilvl w:val="2"/>
        <w:numId w:val="1"/>
      </w:numPr>
      <w:spacing w:before="240"/>
      <w:outlineLvl w:val="2"/>
    </w:pPr>
    <w:rPr>
      <w:rFonts w:ascii="Arial" w:eastAsia="MS Gothic" w:hAnsi="Arial"/>
      <w:b/>
      <w:szCs w:val="20"/>
      <w:lang/>
    </w:rPr>
  </w:style>
  <w:style w:type="paragraph" w:styleId="4">
    <w:name w:val="heading 4"/>
    <w:basedOn w:val="a"/>
    <w:next w:val="Text"/>
    <w:qFormat/>
    <w:pPr>
      <w:keepNext/>
      <w:keepLines/>
      <w:numPr>
        <w:ilvl w:val="3"/>
        <w:numId w:val="1"/>
      </w:numPr>
      <w:spacing w:before="240"/>
      <w:outlineLvl w:val="3"/>
    </w:pPr>
    <w:rPr>
      <w:rFonts w:ascii="Arial" w:eastAsia="MS Gothic" w:hAnsi="Arial"/>
      <w:b/>
      <w:szCs w:val="20"/>
      <w:lang/>
    </w:rPr>
  </w:style>
  <w:style w:type="paragraph" w:styleId="5">
    <w:name w:val="heading 5"/>
    <w:basedOn w:val="4"/>
    <w:next w:val="Text"/>
    <w:qFormat/>
    <w:pPr>
      <w:numPr>
        <w:ilvl w:val="4"/>
      </w:numPr>
      <w:outlineLvl w:val="4"/>
    </w:pPr>
    <w:rPr>
      <w:b w:val="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rPr>
  </w:style>
  <w:style w:type="character" w:customStyle="1" w:styleId="WW8Num2z0">
    <w:name w:val="WW8Num2z0"/>
    <w:rPr>
      <w:rFonts w:ascii="Symbol" w:hAnsi="Symbol"/>
    </w:rPr>
  </w:style>
  <w:style w:type="character" w:customStyle="1" w:styleId="WW8Num3z0">
    <w:name w:val="WW8Num3z0"/>
    <w:rPr>
      <w:rFonts w:cs="Times New Roman"/>
    </w:rPr>
  </w:style>
  <w:style w:type="character" w:customStyle="1" w:styleId="WW8Num4z0">
    <w:name w:val="WW8Num4z0"/>
    <w:rPr>
      <w:rFonts w:ascii="Symbol" w:hAnsi="Symbol"/>
    </w:rPr>
  </w:style>
  <w:style w:type="character" w:customStyle="1" w:styleId="Absatz-Standardschriftart">
    <w:name w:val="Absatz-Standardschriftart"/>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10">
    <w:name w:val="Προεπιλεγμένη γραμματοσειρά1"/>
  </w:style>
  <w:style w:type="character" w:customStyle="1" w:styleId="1Char">
    <w:name w:val="Επικεφαλίδα 1 Char"/>
    <w:rPr>
      <w:rFonts w:ascii="Arial" w:eastAsia="MS Gothic" w:hAnsi="Arial" w:cs="Times New Roman"/>
      <w:b/>
      <w:sz w:val="28"/>
      <w:szCs w:val="20"/>
    </w:rPr>
  </w:style>
  <w:style w:type="character" w:customStyle="1" w:styleId="2Char">
    <w:name w:val="Επικεφαλίδα 2 Char"/>
    <w:rPr>
      <w:rFonts w:ascii="Arial" w:eastAsia="MS Gothic" w:hAnsi="Arial" w:cs="Times New Roman"/>
      <w:b/>
      <w:sz w:val="26"/>
      <w:szCs w:val="20"/>
    </w:rPr>
  </w:style>
  <w:style w:type="character" w:customStyle="1" w:styleId="3Char">
    <w:name w:val="Επικεφαλίδα 3 Char"/>
    <w:rPr>
      <w:rFonts w:ascii="Arial" w:eastAsia="MS Gothic" w:hAnsi="Arial" w:cs="Times New Roman"/>
      <w:b/>
      <w:sz w:val="24"/>
      <w:szCs w:val="20"/>
    </w:rPr>
  </w:style>
  <w:style w:type="character" w:customStyle="1" w:styleId="4Char">
    <w:name w:val="Επικεφαλίδα 4 Char"/>
    <w:rPr>
      <w:rFonts w:ascii="Arial" w:eastAsia="MS Gothic" w:hAnsi="Arial" w:cs="Times New Roman"/>
      <w:b/>
      <w:sz w:val="24"/>
      <w:szCs w:val="20"/>
    </w:rPr>
  </w:style>
  <w:style w:type="character" w:customStyle="1" w:styleId="5Char">
    <w:name w:val="Επικεφαλίδα 5 Char"/>
    <w:rPr>
      <w:rFonts w:ascii="Arial" w:eastAsia="MS Gothic" w:hAnsi="Arial" w:cs="Times New Roman"/>
      <w:sz w:val="24"/>
      <w:szCs w:val="20"/>
    </w:rPr>
  </w:style>
  <w:style w:type="character" w:customStyle="1" w:styleId="TextChar">
    <w:name w:val="Text Char"/>
    <w:rPr>
      <w:rFonts w:ascii="Times New Roman" w:eastAsia="MS Mincho" w:hAnsi="Times New Roman" w:cs="Times New Roman"/>
      <w:sz w:val="24"/>
      <w:szCs w:val="24"/>
      <w:lang/>
    </w:rPr>
  </w:style>
  <w:style w:type="character" w:customStyle="1" w:styleId="Nottoc-headingsChar">
    <w:name w:val="Not toc-headings Char"/>
    <w:rPr>
      <w:rFonts w:ascii="Arial" w:eastAsia="MS Gothic" w:hAnsi="Arial" w:cs="Times New Roman"/>
      <w:b/>
      <w:sz w:val="24"/>
      <w:szCs w:val="24"/>
      <w:lang/>
    </w:rPr>
  </w:style>
  <w:style w:type="character" w:customStyle="1" w:styleId="TableChar">
    <w:name w:val="Table Char"/>
    <w:rPr>
      <w:rFonts w:ascii="Arial" w:eastAsia="MS Mincho" w:hAnsi="Arial" w:cs="Times New Roman"/>
      <w:b/>
      <w:sz w:val="24"/>
      <w:szCs w:val="24"/>
      <w:lang/>
    </w:rPr>
  </w:style>
  <w:style w:type="character" w:styleId="a3">
    <w:name w:val="Emphasis"/>
    <w:qFormat/>
    <w:rPr>
      <w:b/>
      <w:bCs/>
      <w:i w:val="0"/>
      <w:iCs w:val="0"/>
    </w:rPr>
  </w:style>
  <w:style w:type="character" w:customStyle="1" w:styleId="Char">
    <w:name w:val="Σώμα κείμενου με εσοχή Char"/>
    <w:rPr>
      <w:rFonts w:ascii="Times New Roman" w:eastAsia="Times New Roman" w:hAnsi="Times New Roman" w:cs="Times New Roman"/>
      <w:sz w:val="24"/>
      <w:szCs w:val="24"/>
    </w:rPr>
  </w:style>
  <w:style w:type="character" w:customStyle="1" w:styleId="Char0">
    <w:name w:val="Υποσέλιδο Char"/>
    <w:rPr>
      <w:rFonts w:ascii="Times New Roman" w:eastAsia="Times New Roman" w:hAnsi="Times New Roman" w:cs="Times New Roman"/>
      <w:sz w:val="24"/>
      <w:szCs w:val="20"/>
      <w:lang w:val="de-DE"/>
    </w:rPr>
  </w:style>
  <w:style w:type="character" w:customStyle="1" w:styleId="Char1">
    <w:name w:val="Κείμενο πλαισίου Char"/>
    <w:rPr>
      <w:rFonts w:ascii="Tahoma" w:eastAsia="Times New Roman" w:hAnsi="Tahoma" w:cs="Tahoma"/>
      <w:sz w:val="16"/>
      <w:szCs w:val="16"/>
      <w:lang w:val="en-US"/>
    </w:rPr>
  </w:style>
  <w:style w:type="paragraph" w:customStyle="1" w:styleId="a4">
    <w:name w:val="Επικεφαλίδα"/>
    <w:basedOn w:val="a"/>
    <w:next w:val="a5"/>
    <w:pPr>
      <w:keepNext/>
      <w:spacing w:before="240" w:after="120"/>
    </w:pPr>
    <w:rPr>
      <w:rFonts w:ascii="Arial" w:eastAsia="Lucida Sans Unicode" w:hAnsi="Arial" w:cs="Tahoma"/>
      <w:sz w:val="28"/>
      <w:szCs w:val="28"/>
    </w:rPr>
  </w:style>
  <w:style w:type="paragraph" w:styleId="a5">
    <w:name w:val="Body Text"/>
    <w:basedOn w:val="a"/>
    <w:semiHidden/>
    <w:pPr>
      <w:spacing w:after="120"/>
    </w:pPr>
  </w:style>
  <w:style w:type="paragraph" w:styleId="a6">
    <w:name w:val="List"/>
    <w:basedOn w:val="a5"/>
    <w:semiHidden/>
    <w:rPr>
      <w:rFonts w:cs="Tahoma"/>
    </w:rPr>
  </w:style>
  <w:style w:type="paragraph" w:customStyle="1" w:styleId="11">
    <w:name w:val="Λεζάντα1"/>
    <w:basedOn w:val="a"/>
    <w:pPr>
      <w:suppressLineNumbers/>
      <w:spacing w:before="120" w:after="120"/>
    </w:pPr>
    <w:rPr>
      <w:rFonts w:cs="Tahoma"/>
      <w:i/>
      <w:iCs/>
    </w:rPr>
  </w:style>
  <w:style w:type="paragraph" w:customStyle="1" w:styleId="a7">
    <w:name w:val="Ευρετήριο"/>
    <w:basedOn w:val="a"/>
    <w:pPr>
      <w:suppressLineNumbers/>
    </w:pPr>
    <w:rPr>
      <w:rFonts w:cs="Tahoma"/>
    </w:rPr>
  </w:style>
  <w:style w:type="paragraph" w:customStyle="1" w:styleId="Text">
    <w:name w:val="Text"/>
    <w:basedOn w:val="a"/>
    <w:pPr>
      <w:spacing w:before="120"/>
      <w:jc w:val="both"/>
    </w:pPr>
    <w:rPr>
      <w:rFonts w:eastAsia="MS Mincho"/>
      <w:lang/>
    </w:rPr>
  </w:style>
  <w:style w:type="paragraph" w:customStyle="1" w:styleId="Nottoc-headings">
    <w:name w:val="Not toc-headings"/>
    <w:basedOn w:val="a"/>
    <w:next w:val="Text"/>
    <w:pPr>
      <w:keepNext/>
      <w:keepLines/>
      <w:spacing w:before="240" w:after="60"/>
    </w:pPr>
    <w:rPr>
      <w:rFonts w:ascii="Arial" w:eastAsia="MS Gothic" w:hAnsi="Arial"/>
      <w:b/>
      <w:lang/>
    </w:rPr>
  </w:style>
  <w:style w:type="paragraph" w:customStyle="1" w:styleId="Table">
    <w:name w:val="Table"/>
    <w:basedOn w:val="Nottoc-headings"/>
    <w:pPr>
      <w:keepNext w:val="0"/>
      <w:tabs>
        <w:tab w:val="left" w:pos="284"/>
      </w:tabs>
      <w:spacing w:before="40" w:after="20"/>
    </w:pPr>
    <w:rPr>
      <w:rFonts w:eastAsia="MS Mincho"/>
    </w:rPr>
  </w:style>
  <w:style w:type="paragraph" w:styleId="a8">
    <w:name w:val="Body Text Indent"/>
    <w:basedOn w:val="a"/>
    <w:semiHidden/>
    <w:pPr>
      <w:spacing w:after="120"/>
      <w:ind w:left="283"/>
    </w:pPr>
    <w:rPr>
      <w:lang/>
    </w:rPr>
  </w:style>
  <w:style w:type="paragraph" w:customStyle="1" w:styleId="Comment">
    <w:name w:val="Comment"/>
    <w:basedOn w:val="a"/>
    <w:pPr>
      <w:keepLines/>
      <w:spacing w:before="120"/>
      <w:jc w:val="both"/>
    </w:pPr>
    <w:rPr>
      <w:i/>
      <w:color w:val="0000FF"/>
      <w:szCs w:val="20"/>
    </w:rPr>
  </w:style>
  <w:style w:type="paragraph" w:styleId="a9">
    <w:name w:val="footer"/>
    <w:basedOn w:val="a"/>
    <w:semiHidden/>
    <w:pPr>
      <w:tabs>
        <w:tab w:val="center" w:pos="4819"/>
        <w:tab w:val="right" w:pos="9071"/>
      </w:tabs>
    </w:pPr>
    <w:rPr>
      <w:szCs w:val="20"/>
      <w:lang w:val="de-DE"/>
    </w:rPr>
  </w:style>
  <w:style w:type="paragraph" w:styleId="aa">
    <w:name w:val="Balloon Text"/>
    <w:basedOn w:val="a"/>
    <w:rPr>
      <w:rFonts w:ascii="Tahoma" w:hAnsi="Tahoma"/>
      <w:sz w:val="16"/>
      <w:szCs w:val="16"/>
    </w:rPr>
  </w:style>
  <w:style w:type="paragraph" w:customStyle="1" w:styleId="ab">
    <w:name w:val="Περιεχόμενα πίνακα"/>
    <w:basedOn w:val="a"/>
    <w:pPr>
      <w:suppressLineNumbers/>
    </w:pPr>
  </w:style>
  <w:style w:type="paragraph" w:customStyle="1" w:styleId="ac">
    <w:name w:val="Επικεφαλίδα πίνακα"/>
    <w:basedOn w:val="ab"/>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4875</Words>
  <Characters>26331</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papadma3</dc:creator>
  <cp:lastModifiedBy>user146</cp:lastModifiedBy>
  <cp:revision>2</cp:revision>
  <cp:lastPrinted>2013-02-15T05:08:00Z</cp:lastPrinted>
  <dcterms:created xsi:type="dcterms:W3CDTF">2013-04-03T06:23:00Z</dcterms:created>
  <dcterms:modified xsi:type="dcterms:W3CDTF">2013-04-03T06:23:00Z</dcterms:modified>
</cp:coreProperties>
</file>