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28" w:rsidRPr="00A116C4" w:rsidRDefault="00866C28" w:rsidP="00866C28">
      <w:pPr>
        <w:rPr>
          <w:b/>
          <w:noProof/>
        </w:rPr>
      </w:pPr>
    </w:p>
    <w:p w:rsidR="003402D0" w:rsidRPr="00105CDB" w:rsidRDefault="003402D0" w:rsidP="00A205B9">
      <w:pPr>
        <w:jc w:val="center"/>
        <w:rPr>
          <w:b/>
          <w:noProof/>
          <w:lang w:val="el-GR"/>
        </w:rPr>
      </w:pPr>
    </w:p>
    <w:p w:rsidR="00A205B9" w:rsidRPr="00105CDB" w:rsidRDefault="00A205B9" w:rsidP="00A205B9">
      <w:pPr>
        <w:jc w:val="center"/>
        <w:rPr>
          <w:b/>
          <w:noProof/>
          <w:lang w:val="el-GR"/>
        </w:rPr>
      </w:pPr>
      <w:r w:rsidRPr="00105CDB">
        <w:rPr>
          <w:b/>
          <w:noProof/>
          <w:lang w:val="el-GR"/>
        </w:rPr>
        <w:t>ΠΕΡΙΛΗΨΗ ΤΩΝ ΧΑΡΑΚΤΗΡΙΣΤΙΚΩΝ ΤΟΥ ΠΡΟΪΟΝΤΟΣ</w:t>
      </w:r>
    </w:p>
    <w:p w:rsidR="002C7B80" w:rsidRPr="00105CDB" w:rsidRDefault="002C7B80" w:rsidP="0049166C">
      <w:pPr>
        <w:ind w:left="567" w:hanging="567"/>
        <w:rPr>
          <w:b/>
          <w:lang w:val="el-GR"/>
        </w:rPr>
      </w:pPr>
    </w:p>
    <w:p w:rsidR="00884D55" w:rsidRPr="00105CDB" w:rsidRDefault="00884D55" w:rsidP="0049166C">
      <w:pPr>
        <w:ind w:left="567" w:hanging="567"/>
        <w:rPr>
          <w:b/>
          <w:lang w:val="el-GR"/>
        </w:rPr>
      </w:pPr>
    </w:p>
    <w:p w:rsidR="0091534A" w:rsidRPr="00105CDB" w:rsidRDefault="0091534A" w:rsidP="0049166C">
      <w:pPr>
        <w:ind w:left="567" w:hanging="567"/>
        <w:rPr>
          <w:lang w:val="el-GR"/>
        </w:rPr>
      </w:pPr>
      <w:r w:rsidRPr="00105CDB">
        <w:rPr>
          <w:b/>
          <w:lang w:val="el-GR"/>
        </w:rPr>
        <w:t>1.</w:t>
      </w:r>
      <w:r w:rsidRPr="00105CDB">
        <w:rPr>
          <w:b/>
          <w:lang w:val="el-GR"/>
        </w:rPr>
        <w:tab/>
        <w:t>ΟΝΟΜΑΣΙΑ ΤΟΥ ΦΑΡΜΑΚΕΥΤΙΚΟΥ ΠΡΟΪΟΝΤΟΣ</w:t>
      </w:r>
    </w:p>
    <w:p w:rsidR="0091534A" w:rsidRPr="00105CDB" w:rsidRDefault="0091534A" w:rsidP="0091534A">
      <w:pPr>
        <w:rPr>
          <w:lang w:val="el-GR"/>
        </w:rPr>
      </w:pPr>
    </w:p>
    <w:p w:rsidR="005E46F8" w:rsidRPr="00105CDB" w:rsidRDefault="005E46F8" w:rsidP="005E46F8">
      <w:pPr>
        <w:widowControl w:val="0"/>
        <w:spacing w:line="240" w:lineRule="atLeast"/>
        <w:rPr>
          <w:lang w:val="el-GR"/>
        </w:rPr>
      </w:pPr>
      <w:proofErr w:type="spellStart"/>
      <w:r w:rsidRPr="00105CDB">
        <w:t>Valcyt</w:t>
      </w:r>
      <w:proofErr w:type="spellEnd"/>
      <w:r w:rsidRPr="00105CDB">
        <w:rPr>
          <w:lang w:val="el-GR"/>
        </w:rPr>
        <w:t>e</w:t>
      </w:r>
      <w:r w:rsidRPr="00105CDB">
        <w:rPr>
          <w:vertAlign w:val="superscript"/>
          <w:lang w:val="el-GR"/>
        </w:rPr>
        <w:t xml:space="preserve"> ®</w:t>
      </w:r>
      <w:r w:rsidRPr="00105CDB">
        <w:rPr>
          <w:lang w:val="el-GR"/>
        </w:rPr>
        <w:t xml:space="preserve"> 450 </w:t>
      </w:r>
      <w:r w:rsidRPr="00105CDB">
        <w:t>mg</w:t>
      </w:r>
      <w:r w:rsidRPr="00105CDB">
        <w:rPr>
          <w:lang w:val="el-GR"/>
        </w:rPr>
        <w:t xml:space="preserve"> επικαλυμμένα με λεπτό υμένιο δισκία</w:t>
      </w:r>
    </w:p>
    <w:p w:rsidR="002E0991" w:rsidRPr="00105CDB" w:rsidRDefault="002E0991" w:rsidP="0049166C">
      <w:pPr>
        <w:ind w:left="567" w:hanging="567"/>
        <w:rPr>
          <w:b/>
          <w:lang w:val="el-GR"/>
        </w:rPr>
      </w:pPr>
    </w:p>
    <w:p w:rsidR="002E0991" w:rsidRPr="00105CDB" w:rsidRDefault="002E0991" w:rsidP="0049166C">
      <w:pPr>
        <w:ind w:left="567" w:hanging="567"/>
        <w:rPr>
          <w:b/>
          <w:lang w:val="el-GR"/>
        </w:rPr>
      </w:pPr>
    </w:p>
    <w:p w:rsidR="0091534A" w:rsidRPr="00105CDB" w:rsidRDefault="0091534A" w:rsidP="0049166C">
      <w:pPr>
        <w:ind w:left="567" w:hanging="567"/>
        <w:rPr>
          <w:lang w:val="el-GR"/>
        </w:rPr>
      </w:pPr>
      <w:r w:rsidRPr="00105CDB">
        <w:rPr>
          <w:b/>
          <w:lang w:val="el-GR"/>
        </w:rPr>
        <w:t>2.</w:t>
      </w:r>
      <w:r w:rsidRPr="00105CDB">
        <w:rPr>
          <w:b/>
          <w:lang w:val="el-GR"/>
        </w:rPr>
        <w:tab/>
        <w:t>ΠΟΙΟΤΙΚΗ ΚΑΙ ΠΟΣΟΤΙΚΗ ΣΥΝΘΕΣΗ</w:t>
      </w:r>
    </w:p>
    <w:p w:rsidR="0091534A" w:rsidRPr="00105CDB" w:rsidRDefault="0091534A" w:rsidP="0091534A">
      <w:pPr>
        <w:rPr>
          <w:lang w:val="el-GR"/>
        </w:rPr>
      </w:pPr>
    </w:p>
    <w:p w:rsidR="005E46F8" w:rsidRPr="00105CDB" w:rsidRDefault="005E46F8" w:rsidP="005E46F8">
      <w:pPr>
        <w:widowControl w:val="0"/>
        <w:spacing w:line="240" w:lineRule="atLeast"/>
        <w:rPr>
          <w:lang w:val="el-GR"/>
        </w:rPr>
      </w:pPr>
      <w:r w:rsidRPr="00105CDB">
        <w:rPr>
          <w:lang w:val="el-GR"/>
        </w:rPr>
        <w:t xml:space="preserve">Κάθε </w:t>
      </w:r>
      <w:r w:rsidR="00923B84" w:rsidRPr="00105CDB">
        <w:rPr>
          <w:lang w:val="el-GR"/>
        </w:rPr>
        <w:t xml:space="preserve">επικαλυμμένα με λεπτό υμένιο </w:t>
      </w:r>
      <w:r w:rsidRPr="00105CDB">
        <w:rPr>
          <w:lang w:val="el-GR"/>
        </w:rPr>
        <w:t xml:space="preserve">δισκίο περιέχει 496,3 </w:t>
      </w:r>
      <w:r w:rsidRPr="00105CDB">
        <w:t>mg</w:t>
      </w:r>
      <w:r w:rsidRPr="00105CDB">
        <w:rPr>
          <w:lang w:val="el-GR"/>
        </w:rPr>
        <w:t xml:space="preserve"> υδροχλωρικής βαλγκανσικλοβίρης που ισοδυναμούν με 450 </w:t>
      </w:r>
      <w:r w:rsidRPr="00105CDB">
        <w:t>mg</w:t>
      </w:r>
      <w:r w:rsidRPr="00105CDB">
        <w:rPr>
          <w:lang w:val="el-GR"/>
        </w:rPr>
        <w:t xml:space="preserve"> βαλγκανσικλοβίρης (ως ελεύθερη βάση).</w:t>
      </w:r>
    </w:p>
    <w:p w:rsidR="002E0991" w:rsidRPr="00105CDB" w:rsidRDefault="002E0991" w:rsidP="00053AFB">
      <w:pPr>
        <w:rPr>
          <w:noProof/>
          <w:lang w:val="el-GR"/>
        </w:rPr>
      </w:pPr>
    </w:p>
    <w:p w:rsidR="00053AFB" w:rsidRPr="00105CDB" w:rsidRDefault="00053AFB" w:rsidP="00053AFB">
      <w:pPr>
        <w:rPr>
          <w:noProof/>
          <w:lang w:val="el-GR"/>
        </w:rPr>
      </w:pPr>
      <w:r w:rsidRPr="00105CDB">
        <w:rPr>
          <w:noProof/>
          <w:lang w:val="el-GR"/>
        </w:rPr>
        <w:t xml:space="preserve">Για τον πλήρη κατάλογο των εκδόχων, </w:t>
      </w:r>
      <w:r w:rsidR="001613D1" w:rsidRPr="00105CDB">
        <w:rPr>
          <w:noProof/>
          <w:lang w:val="el-GR"/>
        </w:rPr>
        <w:t>βλέπε</w:t>
      </w:r>
      <w:r w:rsidR="00345E26" w:rsidRPr="00105CDB">
        <w:rPr>
          <w:noProof/>
          <w:lang w:val="el-GR"/>
        </w:rPr>
        <w:t xml:space="preserve"> </w:t>
      </w:r>
      <w:r w:rsidRPr="00105CDB">
        <w:rPr>
          <w:noProof/>
          <w:lang w:val="el-GR"/>
        </w:rPr>
        <w:t>παράγραφο 6.1.</w:t>
      </w:r>
    </w:p>
    <w:p w:rsidR="002E0991" w:rsidRPr="00105CDB" w:rsidRDefault="002E0991" w:rsidP="0049166C">
      <w:pPr>
        <w:ind w:left="567" w:hanging="567"/>
        <w:rPr>
          <w:b/>
          <w:lang w:val="el-GR"/>
        </w:rPr>
      </w:pPr>
    </w:p>
    <w:p w:rsidR="002E0991" w:rsidRPr="00105CDB" w:rsidRDefault="002E0991" w:rsidP="0049166C">
      <w:pPr>
        <w:ind w:left="567" w:hanging="567"/>
        <w:rPr>
          <w:b/>
          <w:lang w:val="el-GR"/>
        </w:rPr>
      </w:pPr>
    </w:p>
    <w:p w:rsidR="0091534A" w:rsidRPr="00105CDB" w:rsidRDefault="0091534A" w:rsidP="0049166C">
      <w:pPr>
        <w:ind w:left="567" w:hanging="567"/>
        <w:rPr>
          <w:lang w:val="el-GR"/>
        </w:rPr>
      </w:pPr>
      <w:r w:rsidRPr="00105CDB">
        <w:rPr>
          <w:b/>
          <w:lang w:val="el-GR"/>
        </w:rPr>
        <w:t>3.</w:t>
      </w:r>
      <w:r w:rsidRPr="00105CDB">
        <w:rPr>
          <w:b/>
          <w:lang w:val="el-GR"/>
        </w:rPr>
        <w:tab/>
        <w:t>ΦΑΡΜΑΚΟΤΕΧΝΙΚΗ ΜΟΡΦΗ</w:t>
      </w:r>
    </w:p>
    <w:p w:rsidR="0091534A" w:rsidRPr="00105CDB" w:rsidRDefault="0091534A" w:rsidP="0091534A">
      <w:pPr>
        <w:rPr>
          <w:lang w:val="el-GR"/>
        </w:rPr>
      </w:pPr>
    </w:p>
    <w:p w:rsidR="005E46F8" w:rsidRPr="00105CDB" w:rsidRDefault="005E46F8" w:rsidP="005E46F8">
      <w:pPr>
        <w:pStyle w:val="a3"/>
        <w:widowControl w:val="0"/>
        <w:spacing w:line="240" w:lineRule="atLeast"/>
      </w:pPr>
      <w:r w:rsidRPr="00105CDB">
        <w:rPr>
          <w:i w:val="0"/>
        </w:rPr>
        <w:t>Επικαλυμμέν</w:t>
      </w:r>
      <w:r w:rsidR="00534400" w:rsidRPr="00105CDB">
        <w:rPr>
          <w:i w:val="0"/>
        </w:rPr>
        <w:t>α</w:t>
      </w:r>
      <w:r w:rsidRPr="00105CDB">
        <w:rPr>
          <w:i w:val="0"/>
        </w:rPr>
        <w:t xml:space="preserve"> με λεπτό υμένιο δισκί</w:t>
      </w:r>
      <w:r w:rsidR="00534400" w:rsidRPr="00105CDB">
        <w:rPr>
          <w:i w:val="0"/>
        </w:rPr>
        <w:t>α</w:t>
      </w:r>
      <w:r w:rsidRPr="00105CDB">
        <w:t>.</w:t>
      </w:r>
    </w:p>
    <w:p w:rsidR="005E46F8" w:rsidRPr="00105CDB" w:rsidRDefault="005E46F8" w:rsidP="005E46F8">
      <w:pPr>
        <w:pStyle w:val="a8"/>
        <w:widowControl w:val="0"/>
        <w:tabs>
          <w:tab w:val="clear" w:pos="567"/>
        </w:tabs>
        <w:spacing w:line="240" w:lineRule="atLeast"/>
        <w:rPr>
          <w:lang w:val="el-GR"/>
        </w:rPr>
      </w:pPr>
    </w:p>
    <w:p w:rsidR="005E46F8" w:rsidRPr="00105CDB" w:rsidRDefault="005E46F8" w:rsidP="005E46F8">
      <w:pPr>
        <w:widowControl w:val="0"/>
        <w:spacing w:line="240" w:lineRule="atLeast"/>
        <w:rPr>
          <w:lang w:val="el-GR"/>
        </w:rPr>
      </w:pPr>
      <w:r w:rsidRPr="00105CDB">
        <w:rPr>
          <w:lang w:val="el-GR"/>
        </w:rPr>
        <w:t>Ροζ, κυρτ</w:t>
      </w:r>
      <w:r w:rsidR="005A364E" w:rsidRPr="00105CDB">
        <w:rPr>
          <w:lang w:val="el-GR"/>
        </w:rPr>
        <w:t>ά</w:t>
      </w:r>
      <w:r w:rsidRPr="00105CDB">
        <w:rPr>
          <w:lang w:val="el-GR"/>
        </w:rPr>
        <w:t xml:space="preserve"> ωοειδ</w:t>
      </w:r>
      <w:r w:rsidR="005A364E" w:rsidRPr="00105CDB">
        <w:rPr>
          <w:lang w:val="el-GR"/>
        </w:rPr>
        <w:t>ή</w:t>
      </w:r>
      <w:r w:rsidRPr="00105CDB">
        <w:rPr>
          <w:lang w:val="el-GR"/>
        </w:rPr>
        <w:t xml:space="preserve"> επικαλυμμέν</w:t>
      </w:r>
      <w:r w:rsidR="005A364E" w:rsidRPr="00105CDB">
        <w:rPr>
          <w:lang w:val="el-GR"/>
        </w:rPr>
        <w:t>α</w:t>
      </w:r>
      <w:r w:rsidRPr="00105CDB">
        <w:rPr>
          <w:lang w:val="el-GR"/>
        </w:rPr>
        <w:t xml:space="preserve"> με λεπτό υμένιο δισκί</w:t>
      </w:r>
      <w:r w:rsidR="005A364E" w:rsidRPr="00105CDB">
        <w:rPr>
          <w:lang w:val="el-GR"/>
        </w:rPr>
        <w:t>α</w:t>
      </w:r>
      <w:r w:rsidRPr="00105CDB">
        <w:rPr>
          <w:lang w:val="el-GR"/>
        </w:rPr>
        <w:t>, με χαραγμένο “</w:t>
      </w:r>
      <w:r w:rsidRPr="00105CDB">
        <w:t>VGC</w:t>
      </w:r>
      <w:r w:rsidRPr="00105CDB">
        <w:rPr>
          <w:lang w:val="el-GR"/>
        </w:rPr>
        <w:t>” στη μία πλευρά και “450” στην άλλη.</w:t>
      </w:r>
    </w:p>
    <w:p w:rsidR="0091534A" w:rsidRPr="00105CDB" w:rsidRDefault="0091534A" w:rsidP="0091534A">
      <w:pPr>
        <w:rPr>
          <w:lang w:val="el-GR"/>
        </w:rPr>
      </w:pPr>
    </w:p>
    <w:p w:rsidR="0091534A" w:rsidRPr="00105CDB" w:rsidRDefault="0091534A" w:rsidP="0091534A">
      <w:pPr>
        <w:rPr>
          <w:lang w:val="el-GR"/>
        </w:rPr>
      </w:pPr>
    </w:p>
    <w:p w:rsidR="0091534A" w:rsidRPr="00105CDB" w:rsidRDefault="0091534A" w:rsidP="0049166C">
      <w:pPr>
        <w:ind w:left="567" w:hanging="567"/>
        <w:rPr>
          <w:lang w:val="el-GR"/>
        </w:rPr>
      </w:pPr>
      <w:r w:rsidRPr="00105CDB">
        <w:rPr>
          <w:b/>
          <w:lang w:val="el-GR"/>
        </w:rPr>
        <w:t>4.</w:t>
      </w:r>
      <w:r w:rsidRPr="00105CDB">
        <w:rPr>
          <w:b/>
          <w:lang w:val="el-GR"/>
        </w:rPr>
        <w:tab/>
        <w:t>ΚΛΙΝΙΚΕΣ ΠΛΗΡΟΦΟΡΙΕΣ</w:t>
      </w:r>
    </w:p>
    <w:p w:rsidR="0091534A" w:rsidRPr="00105CDB" w:rsidRDefault="0091534A" w:rsidP="0091534A">
      <w:pPr>
        <w:rPr>
          <w:lang w:val="el-GR"/>
        </w:rPr>
      </w:pPr>
    </w:p>
    <w:p w:rsidR="0091534A" w:rsidRPr="00105CDB" w:rsidRDefault="0091534A" w:rsidP="0049166C">
      <w:pPr>
        <w:ind w:left="567" w:hanging="567"/>
        <w:rPr>
          <w:lang w:val="el-GR"/>
        </w:rPr>
      </w:pPr>
      <w:r w:rsidRPr="00105CDB">
        <w:rPr>
          <w:b/>
          <w:lang w:val="el-GR"/>
        </w:rPr>
        <w:t>4.1</w:t>
      </w:r>
      <w:r w:rsidRPr="00105CDB">
        <w:rPr>
          <w:b/>
          <w:lang w:val="el-GR"/>
        </w:rPr>
        <w:tab/>
        <w:t>Θεραπευτικές ενδείξεις</w:t>
      </w:r>
    </w:p>
    <w:p w:rsidR="0091534A" w:rsidRPr="00105CDB" w:rsidRDefault="0091534A" w:rsidP="0091534A">
      <w:pPr>
        <w:rPr>
          <w:lang w:val="el-GR"/>
        </w:rPr>
      </w:pPr>
    </w:p>
    <w:p w:rsidR="005E46F8" w:rsidRPr="00105CDB" w:rsidRDefault="005E46F8" w:rsidP="005E46F8">
      <w:pPr>
        <w:widowControl w:val="0"/>
        <w:spacing w:line="240" w:lineRule="atLeast"/>
        <w:rPr>
          <w:lang w:val="el-GR"/>
        </w:rPr>
      </w:pPr>
      <w:r w:rsidRPr="00105CDB">
        <w:rPr>
          <w:lang w:val="el-GR"/>
        </w:rPr>
        <w:t xml:space="preserve">Το </w:t>
      </w:r>
      <w:proofErr w:type="spellStart"/>
      <w:r w:rsidRPr="00105CDB">
        <w:t>Valcyte</w:t>
      </w:r>
      <w:proofErr w:type="spellEnd"/>
      <w:r w:rsidRPr="00105CDB">
        <w:rPr>
          <w:lang w:val="el-GR"/>
        </w:rPr>
        <w:t xml:space="preserve"> ενδείκνυται για την αγωγή εφόδου και συντήρησης της αμφιβληστροειδίτιδας από μεγαλοκυτταροϊό (CMV) σε </w:t>
      </w:r>
      <w:r w:rsidR="00923B84" w:rsidRPr="00105CDB">
        <w:rPr>
          <w:lang w:val="el-GR"/>
        </w:rPr>
        <w:t xml:space="preserve">ενήλικες </w:t>
      </w:r>
      <w:r w:rsidRPr="00105CDB">
        <w:rPr>
          <w:lang w:val="el-GR"/>
        </w:rPr>
        <w:t>ασθενείς με σύνδρομο επίκτητης ανοσοανεπάρκειας (AIDS).</w:t>
      </w:r>
    </w:p>
    <w:p w:rsidR="005E46F8" w:rsidRPr="00105CDB" w:rsidRDefault="005E46F8" w:rsidP="005E46F8">
      <w:pPr>
        <w:widowControl w:val="0"/>
        <w:spacing w:line="240" w:lineRule="atLeast"/>
        <w:rPr>
          <w:lang w:val="el-GR"/>
        </w:rPr>
      </w:pPr>
    </w:p>
    <w:p w:rsidR="005E46F8" w:rsidRPr="00105CDB" w:rsidRDefault="005E46F8" w:rsidP="005E46F8">
      <w:pPr>
        <w:widowControl w:val="0"/>
        <w:spacing w:line="240" w:lineRule="atLeast"/>
        <w:rPr>
          <w:lang w:val="el-GR"/>
        </w:rPr>
      </w:pPr>
      <w:r w:rsidRPr="00105CDB">
        <w:rPr>
          <w:lang w:val="el-GR"/>
        </w:rPr>
        <w:t xml:space="preserve">Το </w:t>
      </w:r>
      <w:proofErr w:type="spellStart"/>
      <w:r w:rsidRPr="00105CDB">
        <w:t>Valcyte</w:t>
      </w:r>
      <w:proofErr w:type="spellEnd"/>
      <w:r w:rsidRPr="00105CDB">
        <w:rPr>
          <w:lang w:val="el-GR"/>
        </w:rPr>
        <w:t xml:space="preserve"> ενδείκνυται για την πρόληψη της νόσου από </w:t>
      </w:r>
      <w:r w:rsidRPr="00105CDB">
        <w:t>CMV</w:t>
      </w:r>
      <w:r w:rsidRPr="00105CDB">
        <w:rPr>
          <w:lang w:val="el-GR"/>
        </w:rPr>
        <w:t xml:space="preserve"> σε </w:t>
      </w:r>
      <w:r w:rsidRPr="00105CDB">
        <w:t>CMV</w:t>
      </w:r>
      <w:r w:rsidRPr="00105CDB">
        <w:rPr>
          <w:lang w:val="el-GR"/>
        </w:rPr>
        <w:t xml:space="preserve">-αρνητικούς </w:t>
      </w:r>
      <w:r w:rsidR="00923B84" w:rsidRPr="00105CDB">
        <w:rPr>
          <w:lang w:val="el-GR"/>
        </w:rPr>
        <w:t xml:space="preserve"> ενήλικες και παιδιά (ηλικίας από γεννήσεως έως 18 ετών)</w:t>
      </w:r>
      <w:r w:rsidRPr="00105CDB">
        <w:rPr>
          <w:lang w:val="el-GR"/>
        </w:rPr>
        <w:t xml:space="preserve">, οι οποίοι έχουν λάβει μόσχευμα συμπαγούς οργάνου από </w:t>
      </w:r>
      <w:r w:rsidRPr="00105CDB">
        <w:t>CMV</w:t>
      </w:r>
      <w:r w:rsidRPr="00105CDB">
        <w:rPr>
          <w:lang w:val="el-GR"/>
        </w:rPr>
        <w:t>-θετικό δότη.</w:t>
      </w:r>
    </w:p>
    <w:p w:rsidR="0091534A" w:rsidRPr="00105CDB" w:rsidRDefault="0091534A" w:rsidP="0091534A">
      <w:pPr>
        <w:rPr>
          <w:lang w:val="el-GR"/>
        </w:rPr>
      </w:pPr>
    </w:p>
    <w:p w:rsidR="0091534A" w:rsidRPr="00105CDB" w:rsidRDefault="0049166C" w:rsidP="0049166C">
      <w:pPr>
        <w:widowControl w:val="0"/>
        <w:ind w:left="567" w:hanging="567"/>
        <w:rPr>
          <w:b/>
          <w:lang w:val="el-GR"/>
        </w:rPr>
      </w:pPr>
      <w:r w:rsidRPr="00105CDB">
        <w:rPr>
          <w:b/>
          <w:lang w:val="el-GR"/>
        </w:rPr>
        <w:t>4.2</w:t>
      </w:r>
      <w:r w:rsidRPr="00105CDB">
        <w:rPr>
          <w:b/>
          <w:lang w:val="el-GR"/>
        </w:rPr>
        <w:tab/>
      </w:r>
      <w:r w:rsidR="0091534A" w:rsidRPr="00105CDB">
        <w:rPr>
          <w:b/>
          <w:lang w:val="el-GR"/>
        </w:rPr>
        <w:t>Δοσολογία και τρόπος χορήγησης</w:t>
      </w:r>
    </w:p>
    <w:p w:rsidR="0091534A" w:rsidRPr="00105CDB" w:rsidRDefault="0091534A" w:rsidP="0091534A">
      <w:pPr>
        <w:rPr>
          <w:lang w:val="el-GR"/>
        </w:rPr>
      </w:pPr>
    </w:p>
    <w:p w:rsidR="00F3625E" w:rsidRPr="00105CDB" w:rsidRDefault="00F3625E" w:rsidP="00F3625E">
      <w:pPr>
        <w:widowControl w:val="0"/>
        <w:rPr>
          <w:noProof/>
          <w:u w:val="single"/>
          <w:lang w:val="el-GR" w:eastAsia="en-US"/>
        </w:rPr>
      </w:pPr>
      <w:r w:rsidRPr="00105CDB">
        <w:rPr>
          <w:noProof/>
          <w:u w:val="single"/>
          <w:lang w:val="el-GR" w:eastAsia="en-US"/>
        </w:rPr>
        <w:t>Δοσολογία</w:t>
      </w:r>
    </w:p>
    <w:p w:rsidR="00F3625E" w:rsidRPr="00105CDB" w:rsidRDefault="00F3625E" w:rsidP="0091534A">
      <w:pPr>
        <w:rPr>
          <w:lang w:val="el-GR"/>
        </w:rPr>
      </w:pPr>
    </w:p>
    <w:p w:rsidR="005E46F8" w:rsidRPr="00105CDB" w:rsidRDefault="003B249C" w:rsidP="005E46F8">
      <w:pPr>
        <w:pStyle w:val="21"/>
        <w:spacing w:line="240" w:lineRule="atLeast"/>
        <w:ind w:left="0"/>
        <w:rPr>
          <w:b/>
        </w:rPr>
      </w:pPr>
      <w:r w:rsidRPr="00105CDB">
        <w:rPr>
          <w:b/>
        </w:rPr>
        <w:t xml:space="preserve">          </w:t>
      </w:r>
      <w:r w:rsidR="005E46F8" w:rsidRPr="00105CDB">
        <w:rPr>
          <w:b/>
        </w:rPr>
        <w:t>Προσοχή – Η αυστηρή τήρηση των δοσολογικών συστάσεων είναι ουσιαστική για την αποφυγή υπερδοσολογίας,</w:t>
      </w:r>
      <w:r w:rsidR="00CB6920" w:rsidRPr="00105CDB">
        <w:rPr>
          <w:b/>
        </w:rPr>
        <w:t xml:space="preserve"> (</w:t>
      </w:r>
      <w:r w:rsidR="001613D1" w:rsidRPr="00105CDB">
        <w:rPr>
          <w:b/>
        </w:rPr>
        <w:t xml:space="preserve">βλέπε </w:t>
      </w:r>
      <w:r w:rsidR="00264054" w:rsidRPr="00105CDB">
        <w:rPr>
          <w:b/>
        </w:rPr>
        <w:t>παραγράφους</w:t>
      </w:r>
      <w:r w:rsidR="00382617" w:rsidRPr="00105CDB">
        <w:t xml:space="preserve"> </w:t>
      </w:r>
      <w:r w:rsidR="005E46F8" w:rsidRPr="00105CDB">
        <w:rPr>
          <w:b/>
        </w:rPr>
        <w:t xml:space="preserve">4.4 </w:t>
      </w:r>
      <w:r w:rsidRPr="00105CDB">
        <w:rPr>
          <w:b/>
        </w:rPr>
        <w:t xml:space="preserve">και </w:t>
      </w:r>
      <w:r w:rsidR="005E46F8" w:rsidRPr="00105CDB">
        <w:rPr>
          <w:b/>
        </w:rPr>
        <w:t xml:space="preserve"> 4.9</w:t>
      </w:r>
      <w:r w:rsidR="00CB6920" w:rsidRPr="00105CDB">
        <w:rPr>
          <w:b/>
        </w:rPr>
        <w:t>)</w:t>
      </w:r>
      <w:r w:rsidRPr="00105CDB">
        <w:rPr>
          <w:b/>
        </w:rPr>
        <w:t>.</w:t>
      </w:r>
    </w:p>
    <w:p w:rsidR="005E46F8" w:rsidRPr="00105CDB" w:rsidRDefault="005E46F8" w:rsidP="005E46F8">
      <w:pPr>
        <w:widowControl w:val="0"/>
        <w:spacing w:line="240" w:lineRule="atLeast"/>
        <w:rPr>
          <w:u w:val="single"/>
          <w:lang w:val="el-GR"/>
        </w:rPr>
      </w:pPr>
    </w:p>
    <w:p w:rsidR="005E46F8" w:rsidRPr="00105CDB" w:rsidRDefault="005E46F8" w:rsidP="005E46F8">
      <w:pPr>
        <w:widowControl w:val="0"/>
        <w:spacing w:line="240" w:lineRule="atLeast"/>
        <w:rPr>
          <w:lang w:val="el-GR"/>
        </w:rPr>
      </w:pPr>
      <w:r w:rsidRPr="00105CDB">
        <w:rPr>
          <w:lang w:val="el-GR"/>
        </w:rPr>
        <w:t xml:space="preserve">Μετά την από του στόματος χορήγηση, η βαλγκανσικλοβίρη μεταβολίζεται ταχέως και εκτεταμένως σε γκανσικλοβίρη. Τα από του στόματος 900 </w:t>
      </w:r>
      <w:r w:rsidRPr="00105CDB">
        <w:t>mg</w:t>
      </w:r>
      <w:r w:rsidRPr="00105CDB">
        <w:rPr>
          <w:lang w:val="el-GR"/>
        </w:rPr>
        <w:t xml:space="preserve"> βαλγκανσικλοβίρης χορηγούμενα δύο φορές την ημέρα ισοδυναμούν θεραπευτικώς με ενδοφλέβια χορήγηση γκανσικλοβίρης 5mg/kg δύο φορές την ημέρα.</w:t>
      </w:r>
    </w:p>
    <w:p w:rsidR="005E46F8" w:rsidRPr="00105CDB" w:rsidRDefault="00923B84" w:rsidP="005E46F8">
      <w:pPr>
        <w:pStyle w:val="5"/>
        <w:spacing w:line="240" w:lineRule="atLeast"/>
        <w:rPr>
          <w:b w:val="0"/>
          <w:i w:val="0"/>
          <w:sz w:val="22"/>
          <w:u w:val="single"/>
          <w:lang w:val="el-GR"/>
        </w:rPr>
      </w:pPr>
      <w:r w:rsidRPr="00105CDB">
        <w:rPr>
          <w:i w:val="0"/>
          <w:sz w:val="22"/>
          <w:lang w:val="el-GR"/>
        </w:rPr>
        <w:t>Θεραπεία της αμφιβληστροειδίτιδα</w:t>
      </w:r>
      <w:r w:rsidR="007E6D13" w:rsidRPr="00105CDB">
        <w:rPr>
          <w:i w:val="0"/>
          <w:sz w:val="22"/>
          <w:lang w:val="el-GR"/>
        </w:rPr>
        <w:t>ς</w:t>
      </w:r>
      <w:r w:rsidRPr="00105CDB">
        <w:rPr>
          <w:i w:val="0"/>
          <w:sz w:val="22"/>
          <w:lang w:val="el-GR"/>
        </w:rPr>
        <w:t xml:space="preserve"> από CMV</w:t>
      </w:r>
    </w:p>
    <w:p w:rsidR="00923B84" w:rsidRPr="00105CDB" w:rsidRDefault="00923B84" w:rsidP="00403333">
      <w:pPr>
        <w:rPr>
          <w:lang w:val="el-GR"/>
        </w:rPr>
      </w:pPr>
    </w:p>
    <w:p w:rsidR="00923B84" w:rsidRPr="00105CDB" w:rsidRDefault="00923B84" w:rsidP="00403333">
      <w:pPr>
        <w:rPr>
          <w:i/>
          <w:lang w:val="el-GR"/>
        </w:rPr>
      </w:pPr>
      <w:r w:rsidRPr="00105CDB">
        <w:rPr>
          <w:i/>
          <w:lang w:val="el-GR"/>
        </w:rPr>
        <w:t>Ενήλικες ασθενείς</w:t>
      </w:r>
    </w:p>
    <w:p w:rsidR="005E46F8" w:rsidRPr="00105CDB" w:rsidRDefault="005E46F8" w:rsidP="005E46F8">
      <w:pPr>
        <w:widowControl w:val="0"/>
        <w:spacing w:line="240" w:lineRule="atLeast"/>
        <w:rPr>
          <w:lang w:val="el-GR"/>
        </w:rPr>
      </w:pPr>
    </w:p>
    <w:p w:rsidR="005E46F8" w:rsidRPr="00105CDB" w:rsidRDefault="005E46F8" w:rsidP="005E46F8">
      <w:pPr>
        <w:widowControl w:val="0"/>
        <w:spacing w:line="240" w:lineRule="atLeast"/>
        <w:rPr>
          <w:i/>
          <w:lang w:val="el-GR"/>
        </w:rPr>
      </w:pPr>
      <w:r w:rsidRPr="00105CDB">
        <w:rPr>
          <w:i/>
          <w:lang w:val="el-GR"/>
        </w:rPr>
        <w:t>Αγωγή εφόδου στην αμφιβληστροειδίτιδα από CMV</w:t>
      </w:r>
    </w:p>
    <w:p w:rsidR="00923B84" w:rsidRPr="00105CDB" w:rsidRDefault="00923B84" w:rsidP="005E46F8">
      <w:pPr>
        <w:widowControl w:val="0"/>
        <w:spacing w:line="240" w:lineRule="atLeast"/>
        <w:rPr>
          <w:i/>
          <w:lang w:val="el-GR"/>
        </w:rPr>
      </w:pPr>
    </w:p>
    <w:p w:rsidR="005E46F8" w:rsidRPr="00105CDB" w:rsidRDefault="005E46F8" w:rsidP="005E46F8">
      <w:pPr>
        <w:widowControl w:val="0"/>
        <w:spacing w:line="240" w:lineRule="atLeast"/>
        <w:rPr>
          <w:lang w:val="el-GR"/>
        </w:rPr>
      </w:pPr>
      <w:r w:rsidRPr="00105CDB">
        <w:rPr>
          <w:lang w:val="el-GR"/>
        </w:rPr>
        <w:t xml:space="preserve">Σε ασθενείς με ενεργό αμφιβληστροειδίτιδα από CMV, η συνιστώμενη δόση ανέρχεται σε 900 mg βαλγκανσικλοβίρης (δύο δισκία </w:t>
      </w:r>
      <w:proofErr w:type="spellStart"/>
      <w:r w:rsidRPr="00105CDB">
        <w:t>Valcyte</w:t>
      </w:r>
      <w:proofErr w:type="spellEnd"/>
      <w:r w:rsidRPr="00105CDB">
        <w:rPr>
          <w:lang w:val="el-GR"/>
        </w:rPr>
        <w:t xml:space="preserve"> των 450 mg) δύο φορές την ημέρα για 21 ημέρες, </w:t>
      </w:r>
      <w:r w:rsidRPr="00105CDB">
        <w:rPr>
          <w:lang w:val="el-GR"/>
        </w:rPr>
        <w:lastRenderedPageBreak/>
        <w:t>λαμβανόμενη, όποτε είναι δυνατόν, μαζί με φαγητό.  Παρατεταμένη αγωγή εφόδου μπορεί να αυξήσει τον κίνδυνο μυελοτοξικότητας (</w:t>
      </w:r>
      <w:r w:rsidR="001613D1" w:rsidRPr="00105CDB">
        <w:rPr>
          <w:lang w:val="el-GR"/>
        </w:rPr>
        <w:t xml:space="preserve">βλέπε </w:t>
      </w:r>
      <w:r w:rsidR="00B515CB" w:rsidRPr="00105CDB">
        <w:rPr>
          <w:lang w:val="el-GR"/>
        </w:rPr>
        <w:t>παράγραφο</w:t>
      </w:r>
      <w:r w:rsidRPr="00105CDB">
        <w:rPr>
          <w:lang w:val="el-GR"/>
        </w:rPr>
        <w:t xml:space="preserve"> 4.</w:t>
      </w:r>
      <w:r w:rsidR="003B249C" w:rsidRPr="00105CDB">
        <w:rPr>
          <w:lang w:val="el-GR"/>
        </w:rPr>
        <w:t>4</w:t>
      </w:r>
      <w:r w:rsidRPr="00105CDB">
        <w:rPr>
          <w:lang w:val="el-GR"/>
        </w:rPr>
        <w:t>).</w:t>
      </w:r>
    </w:p>
    <w:p w:rsidR="005E46F8" w:rsidRPr="00105CDB" w:rsidRDefault="005E46F8" w:rsidP="005E46F8">
      <w:pPr>
        <w:widowControl w:val="0"/>
        <w:spacing w:line="240" w:lineRule="atLeast"/>
        <w:rPr>
          <w:u w:val="single"/>
          <w:lang w:val="el-GR"/>
        </w:rPr>
      </w:pPr>
    </w:p>
    <w:p w:rsidR="005E46F8" w:rsidRPr="00105CDB" w:rsidRDefault="005E46F8" w:rsidP="005E46F8">
      <w:pPr>
        <w:widowControl w:val="0"/>
        <w:spacing w:line="240" w:lineRule="atLeast"/>
        <w:rPr>
          <w:i/>
          <w:lang w:val="el-GR"/>
        </w:rPr>
      </w:pPr>
      <w:r w:rsidRPr="00105CDB">
        <w:rPr>
          <w:i/>
          <w:lang w:val="el-GR"/>
        </w:rPr>
        <w:t xml:space="preserve">Αγωγή συντήρησης στην αμφιβληστροειδίτιδα από </w:t>
      </w:r>
      <w:r w:rsidRPr="00105CDB">
        <w:rPr>
          <w:i/>
        </w:rPr>
        <w:t>CMV</w:t>
      </w:r>
      <w:r w:rsidRPr="00105CDB">
        <w:rPr>
          <w:i/>
          <w:lang w:val="el-GR"/>
        </w:rPr>
        <w:t>:</w:t>
      </w:r>
    </w:p>
    <w:p w:rsidR="005E46F8" w:rsidRPr="00105CDB" w:rsidRDefault="005E46F8" w:rsidP="005E46F8">
      <w:pPr>
        <w:widowControl w:val="0"/>
        <w:spacing w:line="240" w:lineRule="atLeast"/>
        <w:rPr>
          <w:lang w:val="el-GR"/>
        </w:rPr>
      </w:pPr>
      <w:r w:rsidRPr="00105CDB">
        <w:rPr>
          <w:lang w:val="el-GR"/>
        </w:rPr>
        <w:t xml:space="preserve">Μετά την αγωγή εφόδου ή σε ασθενείς με ανενεργό αμφιβληστροειδίτιδα από CMV, η συνιστώμενη δόση ανέρχεται σε 900 mg βαλγκανσικλοβίρης (δύο δισκία </w:t>
      </w:r>
      <w:proofErr w:type="spellStart"/>
      <w:r w:rsidRPr="00105CDB">
        <w:t>Valcyte</w:t>
      </w:r>
      <w:proofErr w:type="spellEnd"/>
      <w:r w:rsidRPr="00105CDB">
        <w:rPr>
          <w:lang w:val="el-GR"/>
        </w:rPr>
        <w:t xml:space="preserve"> των 450 mg) μία φορά την ημέρα, λαμβανόμενη, όποτε είναι δυνατόν, μαζί με φαγητό. Οι ασθενείς με επιδεινούμενη αμφιβληστροειδίτιδα μπορούν να επαναλάβουν την αγωγή εφόδου, αν και θα πρέπει να εξετάζεται η πιθανότητα αντοχής του ιού στο φάρμακο.</w:t>
      </w:r>
    </w:p>
    <w:p w:rsidR="005E46F8" w:rsidRPr="00105CDB" w:rsidRDefault="005E46F8" w:rsidP="005E46F8">
      <w:pPr>
        <w:widowControl w:val="0"/>
        <w:spacing w:line="240" w:lineRule="atLeast"/>
        <w:rPr>
          <w:lang w:val="el-GR"/>
        </w:rPr>
      </w:pPr>
    </w:p>
    <w:p w:rsidR="00923B84" w:rsidRPr="00105CDB" w:rsidRDefault="00923B84" w:rsidP="00403333">
      <w:pPr>
        <w:keepNext/>
        <w:keepLines/>
        <w:rPr>
          <w:i/>
          <w:lang w:val="el-GR"/>
        </w:rPr>
      </w:pPr>
      <w:r w:rsidRPr="00105CDB">
        <w:rPr>
          <w:i/>
          <w:lang w:val="el-GR"/>
        </w:rPr>
        <w:t>Παιδιατρικός πληθυσμός</w:t>
      </w:r>
    </w:p>
    <w:p w:rsidR="00923B84" w:rsidRPr="00105CDB" w:rsidRDefault="00923B84" w:rsidP="00403333">
      <w:pPr>
        <w:keepNext/>
        <w:keepLines/>
        <w:rPr>
          <w:i/>
          <w:lang w:val="el-GR"/>
        </w:rPr>
      </w:pPr>
    </w:p>
    <w:p w:rsidR="00923B84" w:rsidRPr="00105CDB" w:rsidRDefault="00923B84" w:rsidP="00403333">
      <w:pPr>
        <w:rPr>
          <w:szCs w:val="22"/>
          <w:lang w:val="el-GR"/>
        </w:rPr>
      </w:pPr>
      <w:r w:rsidRPr="00105CDB">
        <w:rPr>
          <w:szCs w:val="22"/>
          <w:lang w:val="el-GR"/>
        </w:rPr>
        <w:t xml:space="preserve">Η ασφάλεια και η αποτελεσματικότητα του </w:t>
      </w:r>
      <w:proofErr w:type="spellStart"/>
      <w:r w:rsidRPr="00105CDB">
        <w:rPr>
          <w:szCs w:val="22"/>
          <w:lang w:val="en-GB"/>
        </w:rPr>
        <w:t>Valcyte</w:t>
      </w:r>
      <w:proofErr w:type="spellEnd"/>
      <w:r w:rsidRPr="00105CDB">
        <w:rPr>
          <w:szCs w:val="22"/>
          <w:lang w:val="el-GR"/>
        </w:rPr>
        <w:t xml:space="preserve"> στη θεραπεία της αμφιβληστροειδίτιδας από </w:t>
      </w:r>
      <w:r w:rsidRPr="00105CDB">
        <w:rPr>
          <w:szCs w:val="22"/>
          <w:lang w:val="en-GB"/>
        </w:rPr>
        <w:t>CMV</w:t>
      </w:r>
      <w:r w:rsidRPr="00105CDB">
        <w:rPr>
          <w:szCs w:val="22"/>
          <w:lang w:val="el-GR"/>
        </w:rPr>
        <w:t xml:space="preserve"> δεν έχει θεμελιωθεί σε επαρκείς και καλά ελεγχόμενες κλινικές μελέτες σε παιδιατρικούς ασθενείς.</w:t>
      </w:r>
    </w:p>
    <w:p w:rsidR="00923B84" w:rsidRPr="00105CDB" w:rsidRDefault="00923B84" w:rsidP="005E46F8">
      <w:pPr>
        <w:widowControl w:val="0"/>
        <w:spacing w:line="240" w:lineRule="atLeast"/>
        <w:rPr>
          <w:lang w:val="el-GR"/>
        </w:rPr>
      </w:pPr>
    </w:p>
    <w:p w:rsidR="005E46F8" w:rsidRPr="00105CDB" w:rsidRDefault="005E46F8" w:rsidP="005E46F8">
      <w:pPr>
        <w:widowControl w:val="0"/>
        <w:spacing w:line="240" w:lineRule="atLeast"/>
        <w:rPr>
          <w:b/>
          <w:lang w:val="el-GR"/>
        </w:rPr>
      </w:pPr>
      <w:r w:rsidRPr="00105CDB">
        <w:rPr>
          <w:b/>
          <w:lang w:val="el-GR"/>
        </w:rPr>
        <w:t xml:space="preserve">Πρόληψη της νόσου από CMV στη μεταμόσχευση συμπαγών οργάνων: </w:t>
      </w:r>
    </w:p>
    <w:p w:rsidR="006668E6" w:rsidRPr="00105CDB" w:rsidRDefault="006668E6" w:rsidP="005E46F8">
      <w:pPr>
        <w:widowControl w:val="0"/>
        <w:spacing w:line="240" w:lineRule="atLeast"/>
        <w:rPr>
          <w:i/>
          <w:lang w:val="el-GR"/>
        </w:rPr>
      </w:pPr>
    </w:p>
    <w:p w:rsidR="00923B84" w:rsidRPr="00105CDB" w:rsidRDefault="00923B84" w:rsidP="005E46F8">
      <w:pPr>
        <w:widowControl w:val="0"/>
        <w:spacing w:line="240" w:lineRule="atLeast"/>
        <w:rPr>
          <w:i/>
          <w:lang w:val="el-GR"/>
        </w:rPr>
      </w:pPr>
      <w:r w:rsidRPr="00105CDB">
        <w:rPr>
          <w:i/>
          <w:lang w:val="el-GR"/>
        </w:rPr>
        <w:t>Ενήλικες ασθενείς</w:t>
      </w:r>
    </w:p>
    <w:p w:rsidR="00923B84" w:rsidRPr="00105CDB" w:rsidRDefault="00923B84" w:rsidP="005E46F8">
      <w:pPr>
        <w:widowControl w:val="0"/>
        <w:spacing w:line="240" w:lineRule="atLeast"/>
        <w:rPr>
          <w:i/>
          <w:lang w:val="el-GR"/>
        </w:rPr>
      </w:pPr>
    </w:p>
    <w:p w:rsidR="006668E6" w:rsidRPr="00105CDB" w:rsidRDefault="00B07345" w:rsidP="005E46F8">
      <w:pPr>
        <w:widowControl w:val="0"/>
        <w:spacing w:line="240" w:lineRule="atLeast"/>
        <w:rPr>
          <w:lang w:val="el-GR"/>
        </w:rPr>
      </w:pPr>
      <w:r w:rsidRPr="00105CDB">
        <w:rPr>
          <w:lang w:val="el-GR"/>
        </w:rPr>
        <w:t>Σε λήπτες νεφρικού</w:t>
      </w:r>
      <w:r w:rsidR="006668E6" w:rsidRPr="00105CDB">
        <w:rPr>
          <w:lang w:val="el-GR"/>
        </w:rPr>
        <w:t xml:space="preserve"> μοσχεύματος, η συνιστώμενη δόση είναι 900 </w:t>
      </w:r>
      <w:r w:rsidR="006668E6" w:rsidRPr="00105CDB">
        <w:t>mg</w:t>
      </w:r>
      <w:r w:rsidR="006668E6" w:rsidRPr="00105CDB">
        <w:rPr>
          <w:lang w:val="el-GR"/>
        </w:rPr>
        <w:t xml:space="preserve"> (</w:t>
      </w:r>
      <w:r w:rsidR="00006EC3" w:rsidRPr="00105CDB">
        <w:rPr>
          <w:lang w:val="el-GR"/>
        </w:rPr>
        <w:t xml:space="preserve">δύο δισκία </w:t>
      </w:r>
      <w:proofErr w:type="spellStart"/>
      <w:r w:rsidR="00006EC3" w:rsidRPr="00105CDB">
        <w:t>Valcyte</w:t>
      </w:r>
      <w:proofErr w:type="spellEnd"/>
      <w:r w:rsidR="00006EC3" w:rsidRPr="00105CDB">
        <w:rPr>
          <w:lang w:val="el-GR"/>
        </w:rPr>
        <w:t xml:space="preserve"> 450</w:t>
      </w:r>
      <w:r w:rsidR="00006EC3" w:rsidRPr="00105CDB">
        <w:t>mg</w:t>
      </w:r>
      <w:r w:rsidR="00006EC3" w:rsidRPr="00105CDB">
        <w:rPr>
          <w:lang w:val="el-GR"/>
        </w:rPr>
        <w:t xml:space="preserve">) </w:t>
      </w:r>
      <w:r w:rsidR="00E819D6" w:rsidRPr="00105CDB">
        <w:rPr>
          <w:lang w:val="el-GR"/>
        </w:rPr>
        <w:t xml:space="preserve">μία φορά την ημέρα, </w:t>
      </w:r>
      <w:r w:rsidR="00777F18" w:rsidRPr="00105CDB">
        <w:rPr>
          <w:lang w:val="el-GR"/>
        </w:rPr>
        <w:t xml:space="preserve">αρχίζοντας εντός 10 ημερών </w:t>
      </w:r>
      <w:r w:rsidR="00923B84" w:rsidRPr="00105CDB">
        <w:rPr>
          <w:lang w:val="el-GR"/>
        </w:rPr>
        <w:t>μετά από</w:t>
      </w:r>
      <w:r w:rsidR="00777F18" w:rsidRPr="00105CDB">
        <w:rPr>
          <w:lang w:val="el-GR"/>
        </w:rPr>
        <w:t xml:space="preserve"> τη μεταμόσχευση και συνεχίζοντας μέχρι </w:t>
      </w:r>
      <w:r w:rsidR="00283A81" w:rsidRPr="00105CDB">
        <w:rPr>
          <w:lang w:val="el-GR"/>
        </w:rPr>
        <w:t>1</w:t>
      </w:r>
      <w:r w:rsidR="00777F18" w:rsidRPr="00105CDB">
        <w:rPr>
          <w:lang w:val="el-GR"/>
        </w:rPr>
        <w:t xml:space="preserve">00 ημέρες μετά την μεταμόσχευση.  </w:t>
      </w:r>
      <w:r w:rsidR="00546B39" w:rsidRPr="00105CDB">
        <w:rPr>
          <w:lang w:val="el-GR"/>
        </w:rPr>
        <w:t>Η προφύλαξη μπορεί να συνεχιστεί μέχρι 200 ημέρες μετά τη μεταμόσχευση</w:t>
      </w:r>
      <w:r w:rsidR="00891E94" w:rsidRPr="00105CDB">
        <w:rPr>
          <w:lang w:val="el-GR"/>
        </w:rPr>
        <w:t xml:space="preserve"> (</w:t>
      </w:r>
      <w:r w:rsidR="001613D1" w:rsidRPr="00105CDB">
        <w:rPr>
          <w:lang w:val="el-GR"/>
        </w:rPr>
        <w:t>βλέπε</w:t>
      </w:r>
      <w:r w:rsidR="00345E26" w:rsidRPr="00105CDB">
        <w:rPr>
          <w:lang w:val="el-GR"/>
        </w:rPr>
        <w:t xml:space="preserve"> </w:t>
      </w:r>
      <w:r w:rsidR="00891E94" w:rsidRPr="00105CDB">
        <w:rPr>
          <w:lang w:val="el-GR"/>
        </w:rPr>
        <w:t>παραγράφους 4.4, 4.8 και 5.1).</w:t>
      </w:r>
    </w:p>
    <w:p w:rsidR="004E60DA" w:rsidRPr="00105CDB" w:rsidRDefault="005E46F8" w:rsidP="005E46F8">
      <w:pPr>
        <w:widowControl w:val="0"/>
        <w:spacing w:line="240" w:lineRule="atLeast"/>
        <w:rPr>
          <w:lang w:val="el-GR"/>
        </w:rPr>
      </w:pPr>
      <w:r w:rsidRPr="00105CDB">
        <w:rPr>
          <w:lang w:val="el-GR"/>
        </w:rPr>
        <w:t>Σε ασθενείς που έχουν λάβει μόσχευμα</w:t>
      </w:r>
      <w:r w:rsidR="00003E8D" w:rsidRPr="00105CDB">
        <w:rPr>
          <w:lang w:val="el-GR"/>
        </w:rPr>
        <w:t xml:space="preserve"> συμπαγούς οργάνου</w:t>
      </w:r>
      <w:r w:rsidR="00BB248F" w:rsidRPr="00105CDB">
        <w:rPr>
          <w:lang w:val="el-GR"/>
        </w:rPr>
        <w:t xml:space="preserve"> εκτός του </w:t>
      </w:r>
      <w:r w:rsidR="00B07345" w:rsidRPr="00105CDB">
        <w:rPr>
          <w:lang w:val="el-GR"/>
        </w:rPr>
        <w:t>νεφρού</w:t>
      </w:r>
      <w:r w:rsidRPr="00105CDB">
        <w:rPr>
          <w:lang w:val="el-GR"/>
        </w:rPr>
        <w:t xml:space="preserve">, η συνιστώμενη δόση ανέρχεται σε 900 mg (δύο δισκία </w:t>
      </w:r>
      <w:proofErr w:type="spellStart"/>
      <w:r w:rsidRPr="00105CDB">
        <w:t>Valcyte</w:t>
      </w:r>
      <w:proofErr w:type="spellEnd"/>
      <w:r w:rsidRPr="00105CDB">
        <w:rPr>
          <w:lang w:val="el-GR"/>
        </w:rPr>
        <w:t xml:space="preserve"> των 450 mg) μία φορά την ημέρα, αρχίζοντας εντός 10 ημερών </w:t>
      </w:r>
      <w:r w:rsidR="00923B84" w:rsidRPr="00105CDB">
        <w:rPr>
          <w:lang w:val="el-GR"/>
        </w:rPr>
        <w:t>μετά από</w:t>
      </w:r>
      <w:r w:rsidRPr="00105CDB">
        <w:rPr>
          <w:lang w:val="el-GR"/>
        </w:rPr>
        <w:t xml:space="preserve"> τη μεταμόσχευση και συνεχίζοντας μέχρι 100 ημέρες μετά τη μεταμόσχευση. </w:t>
      </w:r>
    </w:p>
    <w:p w:rsidR="004E60DA" w:rsidRPr="00105CDB" w:rsidRDefault="004E60DA" w:rsidP="005E46F8">
      <w:pPr>
        <w:widowControl w:val="0"/>
        <w:spacing w:line="240" w:lineRule="atLeast"/>
        <w:rPr>
          <w:lang w:val="el-GR"/>
        </w:rPr>
      </w:pPr>
    </w:p>
    <w:p w:rsidR="005E46F8" w:rsidRPr="00105CDB" w:rsidRDefault="005E46F8" w:rsidP="005E46F8">
      <w:pPr>
        <w:widowControl w:val="0"/>
        <w:spacing w:line="240" w:lineRule="atLeast"/>
        <w:rPr>
          <w:lang w:val="el-GR"/>
        </w:rPr>
      </w:pPr>
      <w:r w:rsidRPr="00105CDB">
        <w:rPr>
          <w:lang w:val="el-GR"/>
        </w:rPr>
        <w:t xml:space="preserve"> Όποτε είναι δυνατόν, τα δισκία θα πρέπει να λαμβάνονται μαζί με φαγητό. </w:t>
      </w:r>
    </w:p>
    <w:p w:rsidR="00A91AE1" w:rsidRPr="00105CDB" w:rsidRDefault="00A91AE1" w:rsidP="00A91AE1">
      <w:pPr>
        <w:widowControl w:val="0"/>
        <w:spacing w:line="240" w:lineRule="atLeast"/>
        <w:rPr>
          <w:lang w:val="el-GR"/>
        </w:rPr>
      </w:pPr>
    </w:p>
    <w:p w:rsidR="00A91AE1" w:rsidRPr="00105CDB" w:rsidRDefault="00A91AE1" w:rsidP="00A91AE1">
      <w:pPr>
        <w:pStyle w:val="TextTi12"/>
        <w:rPr>
          <w:i/>
          <w:sz w:val="22"/>
          <w:szCs w:val="22"/>
          <w:lang w:val="el-GR"/>
        </w:rPr>
      </w:pPr>
      <w:r w:rsidRPr="00105CDB">
        <w:rPr>
          <w:i/>
          <w:sz w:val="22"/>
          <w:szCs w:val="22"/>
          <w:lang w:val="el-GR"/>
        </w:rPr>
        <w:t>Παιδιατρικός πληθυσμός</w:t>
      </w:r>
    </w:p>
    <w:p w:rsidR="00A91AE1" w:rsidRPr="00105CDB" w:rsidRDefault="00A91AE1" w:rsidP="00A91AE1">
      <w:pPr>
        <w:spacing w:after="160" w:line="260" w:lineRule="auto"/>
        <w:jc w:val="both"/>
        <w:rPr>
          <w:szCs w:val="24"/>
          <w:lang w:val="el-GR"/>
        </w:rPr>
      </w:pPr>
      <w:r w:rsidRPr="00105CDB">
        <w:rPr>
          <w:szCs w:val="24"/>
          <w:lang w:val="el-GR"/>
        </w:rPr>
        <w:t xml:space="preserve">Σε παιδιατρικούς ασθενείς-λήπτες μοσχεύματος συμπαγών οργάνων, από την ηλικία της γέννησης, οι οποίοι διατρέχουν κίνδυνο εμφάνισης νόσου από </w:t>
      </w:r>
      <w:r w:rsidRPr="00105CDB">
        <w:rPr>
          <w:szCs w:val="24"/>
          <w:lang w:val="en-GB"/>
        </w:rPr>
        <w:t>CMV</w:t>
      </w:r>
      <w:r w:rsidRPr="00105CDB">
        <w:rPr>
          <w:szCs w:val="24"/>
          <w:lang w:val="el-GR"/>
        </w:rPr>
        <w:t xml:space="preserve">, η συνιστώμενη άπαξ ημερησίως δόση του </w:t>
      </w:r>
      <w:proofErr w:type="spellStart"/>
      <w:r w:rsidRPr="00105CDB">
        <w:rPr>
          <w:szCs w:val="24"/>
          <w:lang w:val="en-GB"/>
        </w:rPr>
        <w:t>Valcyte</w:t>
      </w:r>
      <w:proofErr w:type="spellEnd"/>
      <w:r w:rsidRPr="00105CDB">
        <w:rPr>
          <w:szCs w:val="24"/>
          <w:lang w:val="el-GR"/>
        </w:rPr>
        <w:t xml:space="preserve"> βασίζεται στην επιφάνεια του σώματος (</w:t>
      </w:r>
      <w:r w:rsidRPr="00105CDB">
        <w:rPr>
          <w:szCs w:val="24"/>
          <w:lang w:val="en-GB"/>
        </w:rPr>
        <w:t>BSA</w:t>
      </w:r>
      <w:r w:rsidRPr="00105CDB">
        <w:rPr>
          <w:szCs w:val="24"/>
          <w:lang w:val="el-GR"/>
        </w:rPr>
        <w:t>) και την κάθαρση κρεατινίνης (</w:t>
      </w:r>
      <w:proofErr w:type="spellStart"/>
      <w:r w:rsidRPr="00105CDB">
        <w:rPr>
          <w:szCs w:val="24"/>
          <w:lang w:val="en-GB"/>
        </w:rPr>
        <w:t>CrCl</w:t>
      </w:r>
      <w:proofErr w:type="spellEnd"/>
      <w:r w:rsidRPr="00105CDB">
        <w:rPr>
          <w:szCs w:val="24"/>
          <w:lang w:val="el-GR"/>
        </w:rPr>
        <w:t xml:space="preserve">), η οποία προκύπτει από τον τύπο </w:t>
      </w:r>
      <w:r w:rsidRPr="00105CDB">
        <w:rPr>
          <w:szCs w:val="24"/>
          <w:lang w:val="en-GB"/>
        </w:rPr>
        <w:t>Schwartz</w:t>
      </w:r>
      <w:r w:rsidRPr="00105CDB">
        <w:rPr>
          <w:szCs w:val="24"/>
          <w:lang w:val="el-GR"/>
        </w:rPr>
        <w:t xml:space="preserve"> (</w:t>
      </w:r>
      <w:proofErr w:type="spellStart"/>
      <w:r w:rsidRPr="00105CDB">
        <w:rPr>
          <w:szCs w:val="24"/>
          <w:lang w:val="en-GB"/>
        </w:rPr>
        <w:t>CrCLS</w:t>
      </w:r>
      <w:proofErr w:type="spellEnd"/>
      <w:r w:rsidRPr="00105CDB">
        <w:rPr>
          <w:szCs w:val="24"/>
          <w:lang w:val="el-GR"/>
        </w:rPr>
        <w:t>), και υπολογίζεται χρησιμοποιώντας την ακόλουθη εξίσωση:</w:t>
      </w:r>
    </w:p>
    <w:p w:rsidR="00A91AE1" w:rsidRPr="00105CDB" w:rsidRDefault="00A91AE1" w:rsidP="00A91AE1">
      <w:pPr>
        <w:spacing w:after="160" w:line="260" w:lineRule="auto"/>
        <w:jc w:val="both"/>
        <w:rPr>
          <w:szCs w:val="24"/>
          <w:lang w:val="el-GR"/>
        </w:rPr>
      </w:pPr>
      <w:r w:rsidRPr="00105CDB">
        <w:rPr>
          <w:szCs w:val="24"/>
          <w:lang w:val="el-GR"/>
        </w:rPr>
        <w:t>Παιδιατρική δόση (</w:t>
      </w:r>
      <w:r w:rsidRPr="00105CDB">
        <w:rPr>
          <w:szCs w:val="24"/>
          <w:lang w:val="en-GB"/>
        </w:rPr>
        <w:t>mg</w:t>
      </w:r>
      <w:r w:rsidRPr="00105CDB">
        <w:rPr>
          <w:szCs w:val="24"/>
          <w:lang w:val="el-GR"/>
        </w:rPr>
        <w:t xml:space="preserve">) = 7 </w:t>
      </w:r>
      <w:r w:rsidRPr="00105CDB">
        <w:rPr>
          <w:szCs w:val="24"/>
          <w:lang w:val="en-GB"/>
        </w:rPr>
        <w:t>x</w:t>
      </w:r>
      <w:r w:rsidRPr="00105CDB">
        <w:rPr>
          <w:szCs w:val="24"/>
          <w:lang w:val="el-GR"/>
        </w:rPr>
        <w:t xml:space="preserve"> </w:t>
      </w:r>
      <w:r w:rsidRPr="00105CDB">
        <w:rPr>
          <w:szCs w:val="24"/>
          <w:lang w:val="en-GB"/>
        </w:rPr>
        <w:t>BSA</w:t>
      </w:r>
      <w:r w:rsidRPr="00105CDB">
        <w:rPr>
          <w:szCs w:val="24"/>
          <w:lang w:val="el-GR"/>
        </w:rPr>
        <w:t xml:space="preserve"> </w:t>
      </w:r>
      <w:r w:rsidRPr="00105CDB">
        <w:rPr>
          <w:szCs w:val="24"/>
          <w:lang w:val="en-GB"/>
        </w:rPr>
        <w:t>x</w:t>
      </w:r>
      <w:r w:rsidRPr="00105CDB">
        <w:rPr>
          <w:szCs w:val="24"/>
          <w:lang w:val="el-GR"/>
        </w:rPr>
        <w:t xml:space="preserve"> </w:t>
      </w:r>
      <w:proofErr w:type="spellStart"/>
      <w:r w:rsidRPr="00105CDB">
        <w:rPr>
          <w:szCs w:val="24"/>
          <w:lang w:val="en-GB"/>
        </w:rPr>
        <w:t>CrCLS</w:t>
      </w:r>
      <w:proofErr w:type="spellEnd"/>
      <w:r w:rsidRPr="00105CDB">
        <w:rPr>
          <w:szCs w:val="24"/>
          <w:lang w:val="el-GR"/>
        </w:rPr>
        <w:t xml:space="preserve"> (βλέπε τύπο </w:t>
      </w:r>
      <w:r w:rsidRPr="00105CDB">
        <w:rPr>
          <w:szCs w:val="24"/>
          <w:lang w:val="en-GB"/>
        </w:rPr>
        <w:t>BSA</w:t>
      </w:r>
      <w:r w:rsidRPr="00105CDB">
        <w:rPr>
          <w:szCs w:val="24"/>
          <w:lang w:val="el-GR"/>
        </w:rPr>
        <w:t xml:space="preserve"> </w:t>
      </w:r>
      <w:proofErr w:type="spellStart"/>
      <w:r w:rsidRPr="00105CDB">
        <w:rPr>
          <w:szCs w:val="24"/>
          <w:lang w:val="en-GB"/>
        </w:rPr>
        <w:t>Mosteller</w:t>
      </w:r>
      <w:proofErr w:type="spellEnd"/>
      <w:r w:rsidRPr="00105CDB">
        <w:rPr>
          <w:szCs w:val="24"/>
          <w:lang w:val="el-GR"/>
        </w:rPr>
        <w:t xml:space="preserve"> και τύπο κάθαρσης κρεατινίνης </w:t>
      </w:r>
      <w:r w:rsidRPr="00105CDB">
        <w:rPr>
          <w:szCs w:val="24"/>
          <w:lang w:val="en-GB"/>
        </w:rPr>
        <w:t>Schwartz</w:t>
      </w:r>
      <w:r w:rsidRPr="00105CDB">
        <w:rPr>
          <w:szCs w:val="24"/>
          <w:lang w:val="el-GR"/>
        </w:rPr>
        <w:t xml:space="preserve"> στη συνέχεια).  </w:t>
      </w:r>
    </w:p>
    <w:p w:rsidR="00A91AE1" w:rsidRPr="00105CDB" w:rsidRDefault="00A91AE1" w:rsidP="00A91AE1">
      <w:pPr>
        <w:spacing w:after="160" w:line="260" w:lineRule="auto"/>
        <w:jc w:val="both"/>
        <w:rPr>
          <w:noProof/>
          <w:position w:val="-30"/>
          <w:szCs w:val="24"/>
          <w:lang w:val="el-GR"/>
        </w:rPr>
      </w:pPr>
      <w:r w:rsidRPr="00105CDB">
        <w:rPr>
          <w:szCs w:val="24"/>
          <w:lang w:val="el-GR"/>
        </w:rPr>
        <w:t xml:space="preserve">Εάν η υπολογισθείσα κάθαρση κρεατινίνης </w:t>
      </w:r>
      <w:r w:rsidRPr="00105CDB">
        <w:rPr>
          <w:szCs w:val="24"/>
          <w:lang w:val="en-GB"/>
        </w:rPr>
        <w:t>Schwartz</w:t>
      </w:r>
      <w:r w:rsidRPr="00105CDB">
        <w:rPr>
          <w:szCs w:val="24"/>
          <w:lang w:val="el-GR"/>
        </w:rPr>
        <w:t xml:space="preserve"> υπερβαίνει τα 150 </w:t>
      </w:r>
      <w:proofErr w:type="spellStart"/>
      <w:r w:rsidRPr="00105CDB">
        <w:rPr>
          <w:szCs w:val="24"/>
          <w:lang w:val="en-GB"/>
        </w:rPr>
        <w:t>mL</w:t>
      </w:r>
      <w:proofErr w:type="spellEnd"/>
      <w:r w:rsidRPr="00105CDB">
        <w:rPr>
          <w:szCs w:val="24"/>
          <w:lang w:val="el-GR"/>
        </w:rPr>
        <w:t>/</w:t>
      </w:r>
      <w:r w:rsidRPr="00105CDB">
        <w:rPr>
          <w:szCs w:val="24"/>
          <w:lang w:val="en-GB"/>
        </w:rPr>
        <w:t>min</w:t>
      </w:r>
      <w:r w:rsidRPr="00105CDB">
        <w:rPr>
          <w:szCs w:val="24"/>
          <w:lang w:val="el-GR"/>
        </w:rPr>
        <w:t>/1,73</w:t>
      </w:r>
      <w:r w:rsidRPr="00105CDB">
        <w:rPr>
          <w:szCs w:val="24"/>
          <w:lang w:val="en-GB"/>
        </w:rPr>
        <w:t>m</w:t>
      </w:r>
      <w:r w:rsidRPr="00105CDB">
        <w:rPr>
          <w:szCs w:val="24"/>
          <w:vertAlign w:val="superscript"/>
          <w:lang w:val="el-GR"/>
        </w:rPr>
        <w:t>2</w:t>
      </w:r>
      <w:r w:rsidRPr="00105CDB">
        <w:rPr>
          <w:szCs w:val="24"/>
          <w:lang w:val="el-GR"/>
        </w:rPr>
        <w:t xml:space="preserve">, τότε θα πρέπει να χρησιμοποιηθεί στην εξίσωση η μέγιστη τιμή των 150 </w:t>
      </w:r>
      <w:proofErr w:type="spellStart"/>
      <w:r w:rsidRPr="00105CDB">
        <w:rPr>
          <w:szCs w:val="24"/>
          <w:lang w:val="en-GB"/>
        </w:rPr>
        <w:t>mL</w:t>
      </w:r>
      <w:proofErr w:type="spellEnd"/>
      <w:r w:rsidRPr="00105CDB">
        <w:rPr>
          <w:szCs w:val="24"/>
          <w:lang w:val="el-GR"/>
        </w:rPr>
        <w:t>/</w:t>
      </w:r>
      <w:r w:rsidRPr="00105CDB">
        <w:rPr>
          <w:szCs w:val="24"/>
          <w:lang w:val="en-GB"/>
        </w:rPr>
        <w:t>min</w:t>
      </w:r>
      <w:r w:rsidRPr="00105CDB">
        <w:rPr>
          <w:szCs w:val="24"/>
          <w:lang w:val="el-GR"/>
        </w:rPr>
        <w:t>/1,73</w:t>
      </w:r>
      <w:r w:rsidRPr="00105CDB">
        <w:rPr>
          <w:szCs w:val="24"/>
          <w:lang w:val="en-GB"/>
        </w:rPr>
        <w:t>m</w:t>
      </w:r>
      <w:r w:rsidRPr="00105CDB">
        <w:rPr>
          <w:szCs w:val="24"/>
          <w:vertAlign w:val="superscript"/>
          <w:lang w:val="el-GR"/>
        </w:rPr>
        <w:t>2</w:t>
      </w:r>
      <w:r w:rsidRPr="00105CDB">
        <w:rPr>
          <w:szCs w:val="24"/>
          <w:lang w:val="el-GR"/>
        </w:rPr>
        <w:t>.</w:t>
      </w:r>
    </w:p>
    <w:p w:rsidR="00A91AE1" w:rsidRPr="00105CDB" w:rsidRDefault="009E38D7" w:rsidP="00A91AE1">
      <w:pPr>
        <w:spacing w:after="170"/>
        <w:jc w:val="center"/>
        <w:rPr>
          <w:szCs w:val="22"/>
          <w:lang w:val="en-GB"/>
        </w:rPr>
      </w:pPr>
      <w:r>
        <w:rPr>
          <w:noProof/>
          <w:position w:val="-26"/>
          <w:lang w:val="el-GR" w:eastAsia="el-GR"/>
        </w:rPr>
        <w:drawing>
          <wp:inline distT="0" distB="0" distL="0" distR="0">
            <wp:extent cx="3162300" cy="44958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cstate="print"/>
                    <a:srcRect/>
                    <a:stretch>
                      <a:fillRect/>
                    </a:stretch>
                  </pic:blipFill>
                  <pic:spPr bwMode="auto">
                    <a:xfrm>
                      <a:off x="0" y="0"/>
                      <a:ext cx="3162300" cy="449580"/>
                    </a:xfrm>
                    <a:prstGeom prst="rect">
                      <a:avLst/>
                    </a:prstGeom>
                    <a:solidFill>
                      <a:srgbClr val="FFFFFF"/>
                    </a:solidFill>
                    <a:ln w="9525">
                      <a:noFill/>
                      <a:miter lim="800000"/>
                      <a:headEnd/>
                      <a:tailEnd/>
                    </a:ln>
                  </pic:spPr>
                </pic:pic>
              </a:graphicData>
            </a:graphic>
          </wp:inline>
        </w:drawing>
      </w:r>
    </w:p>
    <w:p w:rsidR="00A91AE1" w:rsidRPr="00105CDB" w:rsidRDefault="00A91AE1" w:rsidP="00A91AE1">
      <w:pPr>
        <w:spacing w:after="170"/>
        <w:jc w:val="center"/>
        <w:rPr>
          <w:szCs w:val="22"/>
          <w:lang w:val="en-GB"/>
        </w:rPr>
      </w:pPr>
    </w:p>
    <w:p w:rsidR="00A91AE1" w:rsidRPr="00105CDB" w:rsidRDefault="009E38D7" w:rsidP="00A91AE1">
      <w:pPr>
        <w:spacing w:after="170"/>
        <w:jc w:val="center"/>
        <w:rPr>
          <w:szCs w:val="22"/>
          <w:lang w:val="en-GB"/>
        </w:rPr>
      </w:pPr>
      <w:r>
        <w:rPr>
          <w:noProof/>
          <w:position w:val="-30"/>
          <w:lang w:val="el-GR" w:eastAsia="el-GR"/>
        </w:rPr>
        <w:drawing>
          <wp:inline distT="0" distB="0" distL="0" distR="0">
            <wp:extent cx="5196840" cy="44196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cstate="print"/>
                    <a:srcRect/>
                    <a:stretch>
                      <a:fillRect/>
                    </a:stretch>
                  </pic:blipFill>
                  <pic:spPr bwMode="auto">
                    <a:xfrm>
                      <a:off x="0" y="0"/>
                      <a:ext cx="5196840" cy="441960"/>
                    </a:xfrm>
                    <a:prstGeom prst="rect">
                      <a:avLst/>
                    </a:prstGeom>
                    <a:noFill/>
                    <a:ln w="9525">
                      <a:noFill/>
                      <a:miter lim="800000"/>
                      <a:headEnd/>
                      <a:tailEnd/>
                    </a:ln>
                  </pic:spPr>
                </pic:pic>
              </a:graphicData>
            </a:graphic>
          </wp:inline>
        </w:drawing>
      </w:r>
    </w:p>
    <w:p w:rsidR="00A91AE1" w:rsidRPr="00105CDB" w:rsidRDefault="00A91AE1" w:rsidP="00A91AE1">
      <w:pPr>
        <w:spacing w:after="160" w:line="260" w:lineRule="auto"/>
        <w:jc w:val="both"/>
        <w:rPr>
          <w:szCs w:val="24"/>
          <w:lang w:val="el-GR"/>
        </w:rPr>
      </w:pPr>
      <w:r w:rsidRPr="00105CDB">
        <w:rPr>
          <w:szCs w:val="24"/>
          <w:lang w:val="el-GR"/>
        </w:rPr>
        <w:t xml:space="preserve">όπου </w:t>
      </w:r>
      <w:r w:rsidRPr="00105CDB">
        <w:rPr>
          <w:szCs w:val="24"/>
          <w:lang w:val="en-GB"/>
        </w:rPr>
        <w:t>k</w:t>
      </w:r>
      <w:r w:rsidRPr="00105CDB">
        <w:rPr>
          <w:szCs w:val="24"/>
          <w:lang w:val="el-GR"/>
        </w:rPr>
        <w:t xml:space="preserve"> = 0,45* για τους ασθενείς ηλικίας &lt; 2 ετών, 0,55 για τα αγόρια ηλικίας 2 έως &lt; 13 ετών και τα κορίτσια ηλικίας 2 έως 16 ετών, και 0,7 για τα αγόρια ηλικίας 13 έως 16 ετών. Ανατρέξτε στη δοσολογία των ενηλίκων για τους ασθενείς ηλικίας άνω των 16 ετών.</w:t>
      </w:r>
    </w:p>
    <w:p w:rsidR="00A91AE1" w:rsidRPr="00105CDB" w:rsidRDefault="00A91AE1" w:rsidP="00A91AE1">
      <w:pPr>
        <w:spacing w:after="160" w:line="260" w:lineRule="auto"/>
        <w:rPr>
          <w:szCs w:val="24"/>
          <w:lang w:val="el-GR"/>
        </w:rPr>
      </w:pPr>
      <w:r w:rsidRPr="00105CDB">
        <w:rPr>
          <w:szCs w:val="24"/>
          <w:lang w:val="el-GR"/>
        </w:rPr>
        <w:lastRenderedPageBreak/>
        <w:t xml:space="preserve">Οι παρεχόμενες τιμές </w:t>
      </w:r>
      <w:r w:rsidRPr="00105CDB">
        <w:rPr>
          <w:szCs w:val="24"/>
          <w:lang w:val="en-GB"/>
        </w:rPr>
        <w:t>k</w:t>
      </w:r>
      <w:r w:rsidRPr="00105CDB">
        <w:rPr>
          <w:szCs w:val="24"/>
          <w:lang w:val="el-GR"/>
        </w:rPr>
        <w:t xml:space="preserve"> βασίζονται στη μέθοδο </w:t>
      </w:r>
      <w:r w:rsidRPr="00105CDB">
        <w:rPr>
          <w:szCs w:val="24"/>
          <w:lang w:val="en-GB"/>
        </w:rPr>
        <w:t>Jaffe</w:t>
      </w:r>
      <w:r w:rsidRPr="00105CDB">
        <w:rPr>
          <w:szCs w:val="24"/>
          <w:lang w:val="el-GR"/>
        </w:rPr>
        <w:t xml:space="preserve"> για τη μέτρηση της κρεατινίνης ορού και ενδέχεται να απαιτείται διόρθωση όταν χρησιμοποιούνται ενζυματικές μέθοδοι.</w:t>
      </w:r>
    </w:p>
    <w:p w:rsidR="00A91AE1" w:rsidRPr="00105CDB" w:rsidRDefault="00A91AE1" w:rsidP="00A91AE1">
      <w:pPr>
        <w:rPr>
          <w:lang w:val="el-GR"/>
        </w:rPr>
      </w:pPr>
    </w:p>
    <w:p w:rsidR="00A91AE1" w:rsidRPr="00105CDB" w:rsidRDefault="00A91AE1" w:rsidP="00A91AE1">
      <w:pPr>
        <w:spacing w:after="160" w:line="260" w:lineRule="auto"/>
        <w:rPr>
          <w:szCs w:val="24"/>
          <w:lang w:val="el-GR"/>
        </w:rPr>
      </w:pPr>
      <w:r w:rsidRPr="00105CDB">
        <w:rPr>
          <w:szCs w:val="24"/>
          <w:lang w:val="el-GR"/>
        </w:rPr>
        <w:t>*Για τους κατάλληλους υποπληθυσμούς, ενδέχεται να είναι επίσης απαραίτητη μείωση της τιμής</w:t>
      </w:r>
      <w:r w:rsidRPr="00105CDB">
        <w:rPr>
          <w:szCs w:val="24"/>
          <w:lang w:val="en-GB"/>
        </w:rPr>
        <w:t> k</w:t>
      </w:r>
      <w:r w:rsidRPr="00105CDB">
        <w:rPr>
          <w:szCs w:val="24"/>
          <w:lang w:val="el-GR"/>
        </w:rPr>
        <w:t xml:space="preserve"> (π.χ. σε παιδιατρικούς ασθενείς με χαμηλό βάρος γέννησης). </w:t>
      </w:r>
    </w:p>
    <w:p w:rsidR="00A91AE1" w:rsidRPr="00105CDB" w:rsidRDefault="00A91AE1" w:rsidP="00A91AE1">
      <w:pPr>
        <w:rPr>
          <w:lang w:val="el-GR"/>
        </w:rPr>
      </w:pPr>
    </w:p>
    <w:p w:rsidR="00A91AE1" w:rsidRPr="00105CDB" w:rsidRDefault="00A91AE1" w:rsidP="00A91AE1">
      <w:pPr>
        <w:spacing w:after="160" w:line="260" w:lineRule="auto"/>
        <w:rPr>
          <w:szCs w:val="24"/>
          <w:lang w:val="el-GR"/>
        </w:rPr>
      </w:pPr>
      <w:r w:rsidRPr="00105CDB">
        <w:rPr>
          <w:szCs w:val="24"/>
          <w:lang w:val="el-GR"/>
        </w:rPr>
        <w:t xml:space="preserve">Για τους παιδιατρικούς ασθενείς-λήπτες νεφρικού μοσχεύματος, η συνιστώμενη άπαξ ημερησίως δόση σε </w:t>
      </w:r>
      <w:r w:rsidRPr="00105CDB">
        <w:rPr>
          <w:szCs w:val="24"/>
          <w:lang w:val="en-GB"/>
        </w:rPr>
        <w:t>mg</w:t>
      </w:r>
      <w:r w:rsidRPr="00105CDB">
        <w:rPr>
          <w:szCs w:val="24"/>
          <w:lang w:val="el-GR"/>
        </w:rPr>
        <w:t xml:space="preserve"> (7</w:t>
      </w:r>
      <w:r w:rsidRPr="00105CDB">
        <w:rPr>
          <w:szCs w:val="24"/>
          <w:lang w:val="en-GB"/>
        </w:rPr>
        <w:t> x BSA x </w:t>
      </w:r>
      <w:proofErr w:type="spellStart"/>
      <w:r w:rsidRPr="00105CDB">
        <w:rPr>
          <w:szCs w:val="24"/>
          <w:lang w:val="en-GB"/>
        </w:rPr>
        <w:t>CrCLS</w:t>
      </w:r>
      <w:proofErr w:type="spellEnd"/>
      <w:r w:rsidRPr="00105CDB">
        <w:rPr>
          <w:szCs w:val="24"/>
          <w:lang w:val="el-GR"/>
        </w:rPr>
        <w:t>) θα πρέπει να αρχίσει να χορηγείται εντός 10 ημερών μετά από τη μεταμόσχευση και να συνεχιστεί μέχρι 200 ημέρες μετά από τη μεταμόσχευση.</w:t>
      </w:r>
    </w:p>
    <w:p w:rsidR="00A91AE1" w:rsidRPr="00105CDB" w:rsidRDefault="00A91AE1" w:rsidP="00A91AE1">
      <w:pPr>
        <w:spacing w:after="160" w:line="260" w:lineRule="auto"/>
        <w:jc w:val="both"/>
        <w:rPr>
          <w:szCs w:val="24"/>
          <w:lang w:val="el-GR"/>
        </w:rPr>
      </w:pPr>
      <w:r w:rsidRPr="00105CDB">
        <w:rPr>
          <w:szCs w:val="24"/>
          <w:lang w:val="el-GR"/>
        </w:rPr>
        <w:t xml:space="preserve">Για τους παιδιατρικούς ασθενείς που έχουν λάβει μόσχευμα συμπαγούς οργάνου εκτός του νεφρού, η συνιστώμενη άπαξ ημερησίως δόση σε </w:t>
      </w:r>
      <w:r w:rsidRPr="00105CDB">
        <w:rPr>
          <w:szCs w:val="24"/>
          <w:lang w:val="en-GB"/>
        </w:rPr>
        <w:t>mg</w:t>
      </w:r>
      <w:r w:rsidRPr="00105CDB">
        <w:rPr>
          <w:szCs w:val="24"/>
          <w:lang w:val="el-GR"/>
        </w:rPr>
        <w:t xml:space="preserve"> (7</w:t>
      </w:r>
      <w:r w:rsidRPr="00105CDB">
        <w:rPr>
          <w:szCs w:val="24"/>
          <w:lang w:val="en-GB"/>
        </w:rPr>
        <w:t> x BSA x </w:t>
      </w:r>
      <w:proofErr w:type="spellStart"/>
      <w:r w:rsidRPr="00105CDB">
        <w:rPr>
          <w:szCs w:val="24"/>
          <w:lang w:val="en-GB"/>
        </w:rPr>
        <w:t>CrCLS</w:t>
      </w:r>
      <w:proofErr w:type="spellEnd"/>
      <w:r w:rsidRPr="00105CDB">
        <w:rPr>
          <w:szCs w:val="24"/>
          <w:lang w:val="el-GR"/>
        </w:rPr>
        <w:t>) θα πρέπει να αρχίσει να χορηγείται εντός 10 ημερών μετά από τη μεταμόσχευση και να συνεχιστεί μέχρι 100 ημέρες μετά από τη μεταμόσχευση.</w:t>
      </w:r>
    </w:p>
    <w:p w:rsidR="00A91AE1" w:rsidRPr="00105CDB" w:rsidRDefault="00A91AE1" w:rsidP="00A91AE1">
      <w:pPr>
        <w:spacing w:after="160" w:line="260" w:lineRule="auto"/>
        <w:jc w:val="both"/>
        <w:rPr>
          <w:szCs w:val="24"/>
          <w:lang w:val="el-GR"/>
        </w:rPr>
      </w:pPr>
      <w:r w:rsidRPr="00105CDB">
        <w:rPr>
          <w:szCs w:val="24"/>
          <w:lang w:val="el-GR"/>
        </w:rPr>
        <w:t>Όλες οι υπολογισθείσες δόσεις θα πρέπει να στρογγυλοποιούνται στην εγγύτερη κατά 25</w:t>
      </w:r>
      <w:r w:rsidRPr="00105CDB">
        <w:rPr>
          <w:szCs w:val="24"/>
          <w:lang w:val="en-GB"/>
        </w:rPr>
        <w:t> mg</w:t>
      </w:r>
      <w:r w:rsidRPr="00105CDB">
        <w:rPr>
          <w:szCs w:val="24"/>
          <w:lang w:val="el-GR"/>
        </w:rPr>
        <w:t xml:space="preserve"> αύξηση για την πραγματική παρασχεθείσα δόση. Εάν η υπολογισθείσα δόση υπερβαίνει τα 900</w:t>
      </w:r>
      <w:r w:rsidRPr="00105CDB">
        <w:rPr>
          <w:szCs w:val="24"/>
          <w:lang w:val="en-GB"/>
        </w:rPr>
        <w:t> mg</w:t>
      </w:r>
      <w:r w:rsidRPr="00105CDB">
        <w:rPr>
          <w:szCs w:val="24"/>
          <w:lang w:val="el-GR"/>
        </w:rPr>
        <w:t>, θα πρέπει να χορηγηθεί η μέγιστη δόση των 900</w:t>
      </w:r>
      <w:r w:rsidRPr="00105CDB">
        <w:rPr>
          <w:szCs w:val="24"/>
          <w:lang w:val="en-GB"/>
        </w:rPr>
        <w:t> mg</w:t>
      </w:r>
      <w:r w:rsidRPr="00105CDB">
        <w:rPr>
          <w:szCs w:val="24"/>
          <w:lang w:val="el-GR"/>
        </w:rPr>
        <w:t xml:space="preserve">.  Το πόσιμο διάλυμα είναι το προτιμώμενο σκεύασμα καθώς παρέχει τη δυνατότητα χορήγησης δόσης, η οποία έχει υπολογιστεί σύμφωνα με τον παραπάνω τύπο. Ωστόσο, τα επικαλυμμένα με λεπτό υμένιο δισκία του </w:t>
      </w:r>
      <w:proofErr w:type="spellStart"/>
      <w:r w:rsidRPr="00105CDB">
        <w:rPr>
          <w:szCs w:val="24"/>
        </w:rPr>
        <w:t>Valcyte</w:t>
      </w:r>
      <w:proofErr w:type="spellEnd"/>
      <w:r w:rsidRPr="00105CDB">
        <w:rPr>
          <w:szCs w:val="24"/>
          <w:lang w:val="el-GR"/>
        </w:rPr>
        <w:t xml:space="preserve"> ενδέχεται να χρησιμοποιηθούν εάν οι υπολογισθείσες δόσεις κυμαίνονται στο εύρος του 10% των διαθέσιμων δόσεων σε μορφή δισκίου, και ο ασθενής είναι σε θέση να καταπιεί δισκία.  Για παράδειγμα, εάν η υπολογισθείσα δόση κυμαίνεται μεταξύ 405</w:t>
      </w:r>
      <w:r w:rsidRPr="00105CDB">
        <w:rPr>
          <w:szCs w:val="24"/>
        </w:rPr>
        <w:t> mg</w:t>
      </w:r>
      <w:r w:rsidRPr="00105CDB">
        <w:rPr>
          <w:szCs w:val="24"/>
          <w:lang w:val="el-GR"/>
        </w:rPr>
        <w:t xml:space="preserve"> και 495</w:t>
      </w:r>
      <w:r w:rsidRPr="00105CDB">
        <w:rPr>
          <w:szCs w:val="24"/>
        </w:rPr>
        <w:t> mg</w:t>
      </w:r>
      <w:r w:rsidRPr="00105CDB">
        <w:rPr>
          <w:szCs w:val="24"/>
          <w:lang w:val="el-GR"/>
        </w:rPr>
        <w:t>, ενδέχεται να ληφθεί ένα δισκίο των 450</w:t>
      </w:r>
      <w:r w:rsidRPr="00105CDB">
        <w:rPr>
          <w:szCs w:val="24"/>
        </w:rPr>
        <w:t> mg</w:t>
      </w:r>
      <w:r w:rsidRPr="00105CDB">
        <w:rPr>
          <w:szCs w:val="24"/>
          <w:lang w:val="el-GR"/>
        </w:rPr>
        <w:t xml:space="preserve">. </w:t>
      </w:r>
    </w:p>
    <w:p w:rsidR="00A91AE1" w:rsidRPr="00105CDB" w:rsidRDefault="00A91AE1" w:rsidP="00A91AE1">
      <w:pPr>
        <w:jc w:val="both"/>
        <w:rPr>
          <w:lang w:val="el-GR"/>
        </w:rPr>
      </w:pPr>
      <w:r w:rsidRPr="00105CDB">
        <w:rPr>
          <w:szCs w:val="24"/>
          <w:lang w:val="el-GR"/>
        </w:rPr>
        <w:t xml:space="preserve">Συνιστάται η τακτική παρακολούθηση των επιπέδων της κρεατινίνης ορού και η εξέταση των μεταβολών στο ύψος και το σωματικό βάρος, καθώς και η </w:t>
      </w:r>
      <w:r w:rsidR="005D4EEC" w:rsidRPr="00105CDB">
        <w:rPr>
          <w:szCs w:val="24"/>
          <w:lang w:val="el-GR"/>
        </w:rPr>
        <w:t xml:space="preserve">κατάλληλη </w:t>
      </w:r>
      <w:r w:rsidRPr="00105CDB">
        <w:rPr>
          <w:szCs w:val="24"/>
          <w:lang w:val="el-GR"/>
        </w:rPr>
        <w:t>προσαρμογή της δόσης κατά τη διάρκεια της περιόδου προφύλαξης.</w:t>
      </w:r>
    </w:p>
    <w:p w:rsidR="005E46F8" w:rsidRPr="00105CDB" w:rsidRDefault="005E46F8" w:rsidP="005E46F8">
      <w:pPr>
        <w:pStyle w:val="5"/>
        <w:spacing w:line="240" w:lineRule="atLeast"/>
        <w:rPr>
          <w:b w:val="0"/>
          <w:i w:val="0"/>
          <w:sz w:val="22"/>
          <w:u w:val="single"/>
          <w:lang w:val="el-GR"/>
        </w:rPr>
      </w:pPr>
      <w:r w:rsidRPr="00105CDB">
        <w:rPr>
          <w:b w:val="0"/>
          <w:i w:val="0"/>
          <w:sz w:val="22"/>
          <w:u w:val="single"/>
          <w:lang w:val="el-GR"/>
        </w:rPr>
        <w:t>Ειδικές δοσολογικές οδηγίες</w:t>
      </w:r>
    </w:p>
    <w:p w:rsidR="00E016A8" w:rsidRPr="00105CDB" w:rsidRDefault="00E016A8" w:rsidP="005E46F8">
      <w:pPr>
        <w:widowControl w:val="0"/>
        <w:spacing w:line="240" w:lineRule="atLeast"/>
        <w:rPr>
          <w:u w:val="single"/>
          <w:lang w:val="el-GR"/>
        </w:rPr>
      </w:pPr>
    </w:p>
    <w:p w:rsidR="005E46F8" w:rsidRPr="00105CDB" w:rsidRDefault="005E46F8" w:rsidP="005E46F8">
      <w:pPr>
        <w:widowControl w:val="0"/>
        <w:spacing w:line="240" w:lineRule="atLeast"/>
        <w:rPr>
          <w:i/>
          <w:lang w:val="el-GR"/>
        </w:rPr>
      </w:pPr>
      <w:r w:rsidRPr="00105CDB">
        <w:rPr>
          <w:i/>
          <w:lang w:val="el-GR"/>
        </w:rPr>
        <w:t>Ασθενείς με νεφρική ανεπάρκεια:</w:t>
      </w:r>
    </w:p>
    <w:p w:rsidR="005E46F8" w:rsidRPr="00105CDB" w:rsidRDefault="005E46F8" w:rsidP="005E46F8">
      <w:pPr>
        <w:widowControl w:val="0"/>
        <w:spacing w:line="240" w:lineRule="atLeast"/>
        <w:rPr>
          <w:lang w:val="el-GR"/>
        </w:rPr>
      </w:pPr>
      <w:r w:rsidRPr="00105CDB">
        <w:rPr>
          <w:lang w:val="el-GR"/>
        </w:rPr>
        <w:t>Τα επίπεδα της κρεατινίνης ορού ή η κάθαρση κρεατινίνης πρέπει να παρακολουθούνται προσεκτικά. Απαιτείται προσαρμογή της δοσολογίας σύμφωνα με την κάθαρση κρεατινίνης, όπως φαίνεται στον ακόλουθο πίνακα (</w:t>
      </w:r>
      <w:r w:rsidR="001613D1" w:rsidRPr="00105CDB">
        <w:rPr>
          <w:lang w:val="el-GR"/>
        </w:rPr>
        <w:t xml:space="preserve">βλέπε </w:t>
      </w:r>
      <w:r w:rsidR="00382617" w:rsidRPr="00105CDB">
        <w:rPr>
          <w:lang w:val="el-GR"/>
        </w:rPr>
        <w:t xml:space="preserve">παραγράφους  </w:t>
      </w:r>
      <w:r w:rsidRPr="00105CDB">
        <w:rPr>
          <w:lang w:val="el-GR"/>
        </w:rPr>
        <w:t xml:space="preserve">4.4 </w:t>
      </w:r>
      <w:r w:rsidR="00E016A8" w:rsidRPr="00105CDB">
        <w:rPr>
          <w:lang w:val="el-GR"/>
        </w:rPr>
        <w:t xml:space="preserve">και </w:t>
      </w:r>
      <w:r w:rsidRPr="00105CDB">
        <w:rPr>
          <w:lang w:val="el-GR"/>
        </w:rPr>
        <w:t xml:space="preserve"> 5.2).</w:t>
      </w:r>
    </w:p>
    <w:p w:rsidR="005E46F8" w:rsidRPr="00105CDB" w:rsidRDefault="005E46F8" w:rsidP="005E46F8">
      <w:pPr>
        <w:widowControl w:val="0"/>
        <w:spacing w:line="240" w:lineRule="atLeast"/>
        <w:ind w:left="1440"/>
        <w:rPr>
          <w:lang w:val="el-GR"/>
        </w:rPr>
      </w:pPr>
    </w:p>
    <w:p w:rsidR="005E46F8" w:rsidRPr="00105CDB" w:rsidRDefault="005E46F8" w:rsidP="005E46F8">
      <w:pPr>
        <w:pStyle w:val="a3"/>
        <w:widowControl w:val="0"/>
        <w:spacing w:line="240" w:lineRule="atLeast"/>
        <w:rPr>
          <w:i w:val="0"/>
        </w:rPr>
      </w:pPr>
      <w:r w:rsidRPr="00105CDB">
        <w:rPr>
          <w:i w:val="0"/>
        </w:rPr>
        <w:t>Η κάθαρση κρεατινίνης (m</w:t>
      </w:r>
      <w:r w:rsidR="007D5DC7" w:rsidRPr="00105CDB">
        <w:rPr>
          <w:i w:val="0"/>
          <w:lang w:val="en-US"/>
        </w:rPr>
        <w:t>l</w:t>
      </w:r>
      <w:r w:rsidRPr="00105CDB">
        <w:rPr>
          <w:i w:val="0"/>
        </w:rPr>
        <w:t>/min) μπορεί να υπολογιστεί σε συνάρτηση με την κρεατινίνη ορού με βάση τους ακόλουθους τύπους:</w:t>
      </w:r>
    </w:p>
    <w:p w:rsidR="005E46F8" w:rsidRPr="00105CDB" w:rsidRDefault="005E46F8" w:rsidP="005E46F8">
      <w:pPr>
        <w:widowControl w:val="0"/>
        <w:spacing w:line="240" w:lineRule="atLeast"/>
        <w:ind w:left="1440"/>
        <w:rPr>
          <w:lang w:val="el-GR"/>
        </w:rPr>
      </w:pPr>
    </w:p>
    <w:p w:rsidR="005E46F8" w:rsidRPr="00105CDB" w:rsidRDefault="005E46F8" w:rsidP="005E46F8">
      <w:pPr>
        <w:pStyle w:val="a3"/>
        <w:widowControl w:val="0"/>
        <w:spacing w:line="240" w:lineRule="atLeast"/>
      </w:pPr>
      <w:r w:rsidRPr="00105CDB">
        <w:t>Για τους άνδρες =</w:t>
      </w:r>
      <w:r w:rsidRPr="00105CDB">
        <w:tab/>
      </w:r>
      <w:r w:rsidRPr="00105CDB">
        <w:tab/>
      </w:r>
      <w:r w:rsidRPr="00105CDB">
        <w:rPr>
          <w:u w:val="single"/>
        </w:rPr>
        <w:t>(140 – ηλικία [έτη]) x (σωματικό βάρος [kg])</w:t>
      </w:r>
    </w:p>
    <w:p w:rsidR="005E46F8" w:rsidRPr="00105CDB" w:rsidRDefault="005E46F8" w:rsidP="005E46F8">
      <w:pPr>
        <w:pStyle w:val="a3"/>
        <w:widowControl w:val="0"/>
        <w:spacing w:line="240" w:lineRule="atLeast"/>
      </w:pPr>
      <w:r w:rsidRPr="00105CDB">
        <w:tab/>
      </w:r>
      <w:r w:rsidRPr="00105CDB">
        <w:tab/>
      </w:r>
      <w:r w:rsidRPr="00105CDB">
        <w:tab/>
      </w:r>
      <w:r w:rsidRPr="00105CDB">
        <w:tab/>
        <w:t>(72) x (0,011 x κρεατινίνη ορού [micromol/</w:t>
      </w:r>
      <w:r w:rsidR="007D5DC7" w:rsidRPr="00105CDB">
        <w:rPr>
          <w:lang w:val="en-US"/>
        </w:rPr>
        <w:t>l</w:t>
      </w:r>
      <w:r w:rsidRPr="00105CDB">
        <w:t>])</w:t>
      </w:r>
    </w:p>
    <w:p w:rsidR="005E46F8" w:rsidRPr="00105CDB" w:rsidRDefault="005E46F8" w:rsidP="005E46F8">
      <w:pPr>
        <w:widowControl w:val="0"/>
        <w:spacing w:line="240" w:lineRule="atLeast"/>
        <w:ind w:left="1440"/>
        <w:rPr>
          <w:lang w:val="el-GR"/>
        </w:rPr>
      </w:pPr>
    </w:p>
    <w:p w:rsidR="005E46F8" w:rsidRPr="00105CDB" w:rsidRDefault="005E46F8" w:rsidP="005E46F8">
      <w:pPr>
        <w:widowControl w:val="0"/>
        <w:spacing w:line="240" w:lineRule="atLeast"/>
        <w:rPr>
          <w:lang w:val="el-GR"/>
        </w:rPr>
      </w:pPr>
      <w:r w:rsidRPr="00105CDB">
        <w:rPr>
          <w:lang w:val="el-GR"/>
        </w:rPr>
        <w:t xml:space="preserve">Για τις γυναίκες = 0,85 x τιμή για άνδρες </w:t>
      </w:r>
    </w:p>
    <w:p w:rsidR="005E46F8" w:rsidRPr="00105CDB" w:rsidRDefault="005E46F8" w:rsidP="005E46F8">
      <w:pPr>
        <w:widowControl w:val="0"/>
        <w:spacing w:line="240" w:lineRule="atLeast"/>
        <w:ind w:left="1440"/>
        <w:rPr>
          <w:lang w:val="el-GR"/>
        </w:rPr>
      </w:pPr>
      <w:r w:rsidRPr="00105CDB">
        <w:rPr>
          <w:lang w:val="el-GR"/>
        </w:rPr>
        <w:tab/>
      </w:r>
      <w:r w:rsidRPr="00105CDB">
        <w:rPr>
          <w:lang w:val="el-GR"/>
        </w:rPr>
        <w:tab/>
      </w:r>
      <w:r w:rsidRPr="00105CDB">
        <w:rPr>
          <w:lang w:val="el-GR"/>
        </w:rPr>
        <w:tab/>
      </w:r>
    </w:p>
    <w:tbl>
      <w:tblPr>
        <w:tblW w:w="0" w:type="auto"/>
        <w:tblBorders>
          <w:top w:val="single" w:sz="4" w:space="0" w:color="auto"/>
        </w:tblBorders>
        <w:tblLayout w:type="fixed"/>
        <w:tblLook w:val="0000"/>
      </w:tblPr>
      <w:tblGrid>
        <w:gridCol w:w="1668"/>
        <w:gridCol w:w="3827"/>
        <w:gridCol w:w="4252"/>
      </w:tblGrid>
      <w:tr w:rsidR="005E46F8" w:rsidRPr="00105CDB" w:rsidTr="006B417B">
        <w:tc>
          <w:tcPr>
            <w:tcW w:w="1668" w:type="dxa"/>
            <w:tcBorders>
              <w:top w:val="single" w:sz="4" w:space="0" w:color="auto"/>
              <w:bottom w:val="single" w:sz="4" w:space="0" w:color="auto"/>
              <w:right w:val="single" w:sz="4" w:space="0" w:color="auto"/>
            </w:tcBorders>
          </w:tcPr>
          <w:p w:rsidR="005E46F8" w:rsidRPr="00105CDB" w:rsidRDefault="005E46F8" w:rsidP="000B6497">
            <w:pPr>
              <w:widowControl w:val="0"/>
              <w:spacing w:line="240" w:lineRule="atLeast"/>
              <w:rPr>
                <w:lang w:val="el-GR"/>
              </w:rPr>
            </w:pPr>
            <w:r w:rsidRPr="00105CDB">
              <w:rPr>
                <w:lang w:val="el-GR"/>
              </w:rPr>
              <w:t>CrCl (</w:t>
            </w:r>
            <w:r w:rsidR="007D5DC7" w:rsidRPr="00105CDB">
              <w:rPr>
                <w:lang w:val="el-GR"/>
              </w:rPr>
              <w:t>m</w:t>
            </w:r>
            <w:r w:rsidR="007D5DC7" w:rsidRPr="00105CDB">
              <w:t>l</w:t>
            </w:r>
            <w:r w:rsidRPr="00105CDB">
              <w:rPr>
                <w:lang w:val="el-GR"/>
              </w:rPr>
              <w:t>/min)</w:t>
            </w:r>
          </w:p>
        </w:tc>
        <w:tc>
          <w:tcPr>
            <w:tcW w:w="3827" w:type="dxa"/>
            <w:tcBorders>
              <w:top w:val="single" w:sz="4" w:space="0" w:color="auto"/>
              <w:left w:val="nil"/>
              <w:bottom w:val="single" w:sz="4" w:space="0" w:color="auto"/>
              <w:right w:val="single" w:sz="4" w:space="0" w:color="auto"/>
            </w:tcBorders>
          </w:tcPr>
          <w:p w:rsidR="005E46F8" w:rsidRPr="00105CDB" w:rsidRDefault="005E46F8" w:rsidP="006B417B">
            <w:pPr>
              <w:pStyle w:val="6"/>
              <w:keepNext w:val="0"/>
              <w:spacing w:line="240" w:lineRule="atLeast"/>
              <w:rPr>
                <w:i w:val="0"/>
              </w:rPr>
            </w:pPr>
            <w:proofErr w:type="spellStart"/>
            <w:r w:rsidRPr="00105CDB">
              <w:rPr>
                <w:i w:val="0"/>
              </w:rPr>
              <w:t>Δόση</w:t>
            </w:r>
            <w:proofErr w:type="spellEnd"/>
            <w:r w:rsidRPr="00105CDB">
              <w:rPr>
                <w:i w:val="0"/>
              </w:rPr>
              <w:t xml:space="preserve"> </w:t>
            </w:r>
            <w:proofErr w:type="spellStart"/>
            <w:r w:rsidRPr="00105CDB">
              <w:rPr>
                <w:i w:val="0"/>
              </w:rPr>
              <w:t>εφόδου</w:t>
            </w:r>
            <w:proofErr w:type="spellEnd"/>
            <w:r w:rsidRPr="00105CDB">
              <w:rPr>
                <w:i w:val="0"/>
              </w:rPr>
              <w:t xml:space="preserve"> </w:t>
            </w:r>
            <w:proofErr w:type="spellStart"/>
            <w:r w:rsidRPr="00105CDB">
              <w:rPr>
                <w:i w:val="0"/>
              </w:rPr>
              <w:t>βαλγκανσικλοβίρης</w:t>
            </w:r>
            <w:proofErr w:type="spellEnd"/>
          </w:p>
        </w:tc>
        <w:tc>
          <w:tcPr>
            <w:tcW w:w="4252" w:type="dxa"/>
            <w:tcBorders>
              <w:top w:val="single" w:sz="4" w:space="0" w:color="auto"/>
              <w:left w:val="nil"/>
              <w:bottom w:val="single" w:sz="4" w:space="0" w:color="auto"/>
            </w:tcBorders>
          </w:tcPr>
          <w:p w:rsidR="005E46F8" w:rsidRPr="00105CDB" w:rsidRDefault="005E46F8" w:rsidP="006B417B">
            <w:pPr>
              <w:pStyle w:val="6"/>
              <w:keepNext w:val="0"/>
              <w:spacing w:line="240" w:lineRule="atLeast"/>
              <w:rPr>
                <w:i w:val="0"/>
              </w:rPr>
            </w:pPr>
            <w:proofErr w:type="spellStart"/>
            <w:r w:rsidRPr="00105CDB">
              <w:rPr>
                <w:i w:val="0"/>
              </w:rPr>
              <w:t>Δόση</w:t>
            </w:r>
            <w:proofErr w:type="spellEnd"/>
            <w:r w:rsidRPr="00105CDB">
              <w:rPr>
                <w:i w:val="0"/>
              </w:rPr>
              <w:t xml:space="preserve"> </w:t>
            </w:r>
            <w:proofErr w:type="spellStart"/>
            <w:r w:rsidRPr="00105CDB">
              <w:rPr>
                <w:i w:val="0"/>
              </w:rPr>
              <w:t>συντήρησης</w:t>
            </w:r>
            <w:proofErr w:type="spellEnd"/>
            <w:r w:rsidRPr="00105CDB">
              <w:rPr>
                <w:i w:val="0"/>
              </w:rPr>
              <w:t xml:space="preserve"> / </w:t>
            </w:r>
            <w:proofErr w:type="spellStart"/>
            <w:r w:rsidRPr="00105CDB">
              <w:rPr>
                <w:i w:val="0"/>
              </w:rPr>
              <w:t>πρόληψης</w:t>
            </w:r>
            <w:proofErr w:type="spellEnd"/>
            <w:r w:rsidRPr="00105CDB">
              <w:rPr>
                <w:i w:val="0"/>
              </w:rPr>
              <w:t xml:space="preserve"> </w:t>
            </w:r>
            <w:proofErr w:type="spellStart"/>
            <w:r w:rsidRPr="00105CDB">
              <w:rPr>
                <w:i w:val="0"/>
              </w:rPr>
              <w:t>βαλγκανσικλοβίρης</w:t>
            </w:r>
            <w:proofErr w:type="spellEnd"/>
          </w:p>
        </w:tc>
      </w:tr>
      <w:tr w:rsidR="005E46F8" w:rsidRPr="00A116C4" w:rsidTr="006B417B">
        <w:tc>
          <w:tcPr>
            <w:tcW w:w="1668" w:type="dxa"/>
            <w:tcBorders>
              <w:top w:val="single" w:sz="4" w:space="0" w:color="auto"/>
              <w:right w:val="single" w:sz="4" w:space="0" w:color="auto"/>
            </w:tcBorders>
          </w:tcPr>
          <w:p w:rsidR="005E46F8" w:rsidRPr="00105CDB" w:rsidRDefault="005E46F8" w:rsidP="006B417B">
            <w:pPr>
              <w:widowControl w:val="0"/>
              <w:spacing w:line="240" w:lineRule="atLeast"/>
              <w:rPr>
                <w:lang w:val="el-GR"/>
              </w:rPr>
            </w:pPr>
            <w:r w:rsidRPr="00105CDB">
              <w:rPr>
                <w:lang w:val="el-GR"/>
              </w:rPr>
              <w:sym w:font="Symbol" w:char="F0B3"/>
            </w:r>
            <w:r w:rsidRPr="00105CDB">
              <w:rPr>
                <w:lang w:val="el-GR"/>
              </w:rPr>
              <w:t xml:space="preserve"> 60</w:t>
            </w:r>
          </w:p>
        </w:tc>
        <w:tc>
          <w:tcPr>
            <w:tcW w:w="3827" w:type="dxa"/>
            <w:tcBorders>
              <w:top w:val="single" w:sz="4" w:space="0" w:color="auto"/>
              <w:left w:val="nil"/>
              <w:right w:val="single" w:sz="4" w:space="0" w:color="auto"/>
            </w:tcBorders>
          </w:tcPr>
          <w:p w:rsidR="005E46F8" w:rsidRPr="00105CDB" w:rsidRDefault="005E46F8" w:rsidP="006B417B">
            <w:pPr>
              <w:widowControl w:val="0"/>
              <w:spacing w:line="240" w:lineRule="atLeast"/>
              <w:rPr>
                <w:lang w:val="el-GR"/>
              </w:rPr>
            </w:pPr>
            <w:r w:rsidRPr="00105CDB">
              <w:rPr>
                <w:lang w:val="el-GR"/>
              </w:rPr>
              <w:t>900 mg (2 δισκία) δύο φορές την ημέρα</w:t>
            </w:r>
          </w:p>
        </w:tc>
        <w:tc>
          <w:tcPr>
            <w:tcW w:w="4252" w:type="dxa"/>
            <w:tcBorders>
              <w:top w:val="single" w:sz="4" w:space="0" w:color="auto"/>
              <w:left w:val="nil"/>
            </w:tcBorders>
          </w:tcPr>
          <w:p w:rsidR="005E46F8" w:rsidRPr="00105CDB" w:rsidRDefault="005E46F8" w:rsidP="006B417B">
            <w:pPr>
              <w:widowControl w:val="0"/>
              <w:spacing w:line="240" w:lineRule="atLeast"/>
              <w:rPr>
                <w:lang w:val="el-GR"/>
              </w:rPr>
            </w:pPr>
            <w:r w:rsidRPr="00105CDB">
              <w:rPr>
                <w:lang w:val="el-GR"/>
              </w:rPr>
              <w:t>900 mg (2 δισκία) μία φορά την ημέρα</w:t>
            </w:r>
          </w:p>
        </w:tc>
      </w:tr>
      <w:tr w:rsidR="005E46F8" w:rsidRPr="00A116C4" w:rsidTr="006B417B">
        <w:tc>
          <w:tcPr>
            <w:tcW w:w="1668" w:type="dxa"/>
            <w:tcBorders>
              <w:right w:val="single" w:sz="4" w:space="0" w:color="auto"/>
            </w:tcBorders>
          </w:tcPr>
          <w:p w:rsidR="005E46F8" w:rsidRPr="00105CDB" w:rsidRDefault="005E46F8" w:rsidP="006B417B">
            <w:pPr>
              <w:widowControl w:val="0"/>
              <w:spacing w:line="240" w:lineRule="atLeast"/>
              <w:rPr>
                <w:lang w:val="el-GR"/>
              </w:rPr>
            </w:pPr>
            <w:r w:rsidRPr="00105CDB">
              <w:rPr>
                <w:lang w:val="el-GR"/>
              </w:rPr>
              <w:t>40 – 59</w:t>
            </w:r>
          </w:p>
        </w:tc>
        <w:tc>
          <w:tcPr>
            <w:tcW w:w="3827" w:type="dxa"/>
            <w:tcBorders>
              <w:left w:val="nil"/>
              <w:right w:val="single" w:sz="4" w:space="0" w:color="auto"/>
            </w:tcBorders>
          </w:tcPr>
          <w:p w:rsidR="005E46F8" w:rsidRPr="00105CDB" w:rsidRDefault="005E46F8" w:rsidP="006B417B">
            <w:pPr>
              <w:widowControl w:val="0"/>
              <w:spacing w:line="240" w:lineRule="atLeast"/>
              <w:rPr>
                <w:lang w:val="el-GR"/>
              </w:rPr>
            </w:pPr>
            <w:r w:rsidRPr="00105CDB">
              <w:rPr>
                <w:lang w:val="el-GR"/>
              </w:rPr>
              <w:t>450 mg (1 δισκίο) δύο φορές την ημέρα</w:t>
            </w:r>
          </w:p>
        </w:tc>
        <w:tc>
          <w:tcPr>
            <w:tcW w:w="4252" w:type="dxa"/>
            <w:tcBorders>
              <w:left w:val="nil"/>
            </w:tcBorders>
          </w:tcPr>
          <w:p w:rsidR="005E46F8" w:rsidRPr="00105CDB" w:rsidRDefault="005E46F8" w:rsidP="006B417B">
            <w:pPr>
              <w:widowControl w:val="0"/>
              <w:spacing w:line="240" w:lineRule="atLeast"/>
              <w:rPr>
                <w:lang w:val="el-GR"/>
              </w:rPr>
            </w:pPr>
            <w:r w:rsidRPr="00105CDB">
              <w:rPr>
                <w:lang w:val="el-GR"/>
              </w:rPr>
              <w:t>450 mg (1 δισκίο) μία φορά την ημέρα</w:t>
            </w:r>
          </w:p>
        </w:tc>
      </w:tr>
      <w:tr w:rsidR="005E46F8" w:rsidRPr="00105CDB" w:rsidTr="006B417B">
        <w:tc>
          <w:tcPr>
            <w:tcW w:w="1668" w:type="dxa"/>
            <w:tcBorders>
              <w:bottom w:val="nil"/>
              <w:right w:val="single" w:sz="4" w:space="0" w:color="auto"/>
            </w:tcBorders>
          </w:tcPr>
          <w:p w:rsidR="005E46F8" w:rsidRPr="00105CDB" w:rsidRDefault="005E46F8" w:rsidP="006B417B">
            <w:pPr>
              <w:widowControl w:val="0"/>
              <w:spacing w:line="240" w:lineRule="atLeast"/>
              <w:rPr>
                <w:lang w:val="el-GR"/>
              </w:rPr>
            </w:pPr>
            <w:r w:rsidRPr="00105CDB">
              <w:rPr>
                <w:lang w:val="el-GR"/>
              </w:rPr>
              <w:t>25 – 39</w:t>
            </w:r>
          </w:p>
        </w:tc>
        <w:tc>
          <w:tcPr>
            <w:tcW w:w="3827" w:type="dxa"/>
            <w:tcBorders>
              <w:left w:val="nil"/>
              <w:bottom w:val="nil"/>
              <w:right w:val="single" w:sz="4" w:space="0" w:color="auto"/>
            </w:tcBorders>
          </w:tcPr>
          <w:p w:rsidR="005E46F8" w:rsidRPr="00105CDB" w:rsidRDefault="005E46F8" w:rsidP="006B417B">
            <w:pPr>
              <w:pStyle w:val="a8"/>
              <w:widowControl w:val="0"/>
              <w:tabs>
                <w:tab w:val="clear" w:pos="567"/>
              </w:tabs>
              <w:spacing w:line="240" w:lineRule="atLeast"/>
              <w:rPr>
                <w:lang w:val="el-GR"/>
              </w:rPr>
            </w:pPr>
            <w:r w:rsidRPr="00105CDB">
              <w:rPr>
                <w:lang w:val="el-GR"/>
              </w:rPr>
              <w:t>450 mg (1 δισκίο) μία φορά την ημέρα</w:t>
            </w:r>
          </w:p>
        </w:tc>
        <w:tc>
          <w:tcPr>
            <w:tcW w:w="4252" w:type="dxa"/>
            <w:tcBorders>
              <w:left w:val="nil"/>
              <w:bottom w:val="nil"/>
            </w:tcBorders>
          </w:tcPr>
          <w:p w:rsidR="005E46F8" w:rsidRPr="00105CDB" w:rsidRDefault="005E46F8" w:rsidP="006B417B">
            <w:pPr>
              <w:widowControl w:val="0"/>
              <w:spacing w:line="240" w:lineRule="atLeast"/>
              <w:rPr>
                <w:lang w:val="el-GR"/>
              </w:rPr>
            </w:pPr>
            <w:r w:rsidRPr="00105CDB">
              <w:rPr>
                <w:lang w:val="el-GR"/>
              </w:rPr>
              <w:t>450 mg (1 δισκίο) κάθε 2 ημέρες</w:t>
            </w:r>
          </w:p>
        </w:tc>
      </w:tr>
      <w:tr w:rsidR="005E46F8" w:rsidRPr="00A116C4" w:rsidTr="00B550C4">
        <w:tc>
          <w:tcPr>
            <w:tcW w:w="1668" w:type="dxa"/>
            <w:tcBorders>
              <w:top w:val="nil"/>
              <w:bottom w:val="nil"/>
              <w:right w:val="single" w:sz="4" w:space="0" w:color="auto"/>
            </w:tcBorders>
          </w:tcPr>
          <w:p w:rsidR="005E46F8" w:rsidRPr="00105CDB" w:rsidRDefault="005E46F8" w:rsidP="006B417B">
            <w:pPr>
              <w:widowControl w:val="0"/>
              <w:spacing w:line="240" w:lineRule="atLeast"/>
              <w:rPr>
                <w:lang w:val="el-GR"/>
              </w:rPr>
            </w:pPr>
            <w:r w:rsidRPr="00105CDB">
              <w:rPr>
                <w:lang w:val="el-GR"/>
              </w:rPr>
              <w:t>10 – 24</w:t>
            </w:r>
          </w:p>
        </w:tc>
        <w:tc>
          <w:tcPr>
            <w:tcW w:w="3827" w:type="dxa"/>
            <w:tcBorders>
              <w:top w:val="nil"/>
              <w:left w:val="nil"/>
              <w:bottom w:val="nil"/>
              <w:right w:val="single" w:sz="4" w:space="0" w:color="auto"/>
            </w:tcBorders>
          </w:tcPr>
          <w:p w:rsidR="005E46F8" w:rsidRPr="00105CDB" w:rsidRDefault="005E46F8" w:rsidP="006B417B">
            <w:pPr>
              <w:widowControl w:val="0"/>
              <w:spacing w:line="240" w:lineRule="atLeast"/>
              <w:rPr>
                <w:lang w:val="el-GR"/>
              </w:rPr>
            </w:pPr>
            <w:r w:rsidRPr="00105CDB">
              <w:rPr>
                <w:lang w:val="el-GR"/>
              </w:rPr>
              <w:t>450 mg (1 δισκίο) κάθε 2 ημέρες</w:t>
            </w:r>
          </w:p>
        </w:tc>
        <w:tc>
          <w:tcPr>
            <w:tcW w:w="4252" w:type="dxa"/>
            <w:tcBorders>
              <w:top w:val="nil"/>
              <w:left w:val="nil"/>
              <w:bottom w:val="nil"/>
            </w:tcBorders>
          </w:tcPr>
          <w:p w:rsidR="005E46F8" w:rsidRPr="00105CDB" w:rsidRDefault="005E46F8" w:rsidP="006B417B">
            <w:pPr>
              <w:widowControl w:val="0"/>
              <w:spacing w:line="240" w:lineRule="atLeast"/>
              <w:rPr>
                <w:lang w:val="el-GR"/>
              </w:rPr>
            </w:pPr>
            <w:r w:rsidRPr="00105CDB">
              <w:rPr>
                <w:lang w:val="el-GR"/>
              </w:rPr>
              <w:t>450 mg (1 δισκίο) δύο φορές την εβδομάδα</w:t>
            </w:r>
          </w:p>
        </w:tc>
      </w:tr>
      <w:tr w:rsidR="00B550C4" w:rsidRPr="00105CDB" w:rsidTr="006B417B">
        <w:tc>
          <w:tcPr>
            <w:tcW w:w="1668" w:type="dxa"/>
            <w:tcBorders>
              <w:top w:val="nil"/>
              <w:bottom w:val="single" w:sz="4" w:space="0" w:color="auto"/>
              <w:right w:val="single" w:sz="4" w:space="0" w:color="auto"/>
            </w:tcBorders>
          </w:tcPr>
          <w:p w:rsidR="00B550C4" w:rsidRPr="00105CDB" w:rsidRDefault="00B550C4" w:rsidP="006B417B">
            <w:pPr>
              <w:widowControl w:val="0"/>
              <w:spacing w:line="240" w:lineRule="atLeast"/>
              <w:rPr>
                <w:lang w:val="el-GR"/>
              </w:rPr>
            </w:pPr>
            <w:r w:rsidRPr="00105CDB">
              <w:rPr>
                <w:lang w:val="el-GR"/>
              </w:rPr>
              <w:t>&lt;10</w:t>
            </w:r>
          </w:p>
        </w:tc>
        <w:tc>
          <w:tcPr>
            <w:tcW w:w="3827" w:type="dxa"/>
            <w:tcBorders>
              <w:top w:val="nil"/>
              <w:left w:val="nil"/>
              <w:bottom w:val="single" w:sz="4" w:space="0" w:color="auto"/>
              <w:right w:val="single" w:sz="4" w:space="0" w:color="auto"/>
            </w:tcBorders>
          </w:tcPr>
          <w:p w:rsidR="00B550C4" w:rsidRPr="00105CDB" w:rsidRDefault="00550AA8" w:rsidP="006B417B">
            <w:pPr>
              <w:widowControl w:val="0"/>
              <w:spacing w:line="240" w:lineRule="atLeast"/>
              <w:rPr>
                <w:lang w:val="el-GR"/>
              </w:rPr>
            </w:pPr>
            <w:r w:rsidRPr="00105CDB">
              <w:rPr>
                <w:lang w:val="el-GR"/>
              </w:rPr>
              <w:t>Δ</w:t>
            </w:r>
            <w:proofErr w:type="spellStart"/>
            <w:r w:rsidR="00B550C4" w:rsidRPr="00105CDB">
              <w:t>εν</w:t>
            </w:r>
            <w:proofErr w:type="spellEnd"/>
            <w:r w:rsidR="00B550C4" w:rsidRPr="00105CDB">
              <w:t xml:space="preserve"> </w:t>
            </w:r>
            <w:proofErr w:type="spellStart"/>
            <w:r w:rsidR="00B550C4" w:rsidRPr="00105CDB">
              <w:t>συνιστάται</w:t>
            </w:r>
            <w:proofErr w:type="spellEnd"/>
          </w:p>
        </w:tc>
        <w:tc>
          <w:tcPr>
            <w:tcW w:w="4252" w:type="dxa"/>
            <w:tcBorders>
              <w:top w:val="nil"/>
              <w:left w:val="nil"/>
              <w:bottom w:val="single" w:sz="4" w:space="0" w:color="auto"/>
            </w:tcBorders>
          </w:tcPr>
          <w:p w:rsidR="00B550C4" w:rsidRPr="00105CDB" w:rsidRDefault="00550AA8" w:rsidP="006B417B">
            <w:pPr>
              <w:widowControl w:val="0"/>
              <w:spacing w:line="240" w:lineRule="atLeast"/>
              <w:rPr>
                <w:lang w:val="el-GR"/>
              </w:rPr>
            </w:pPr>
            <w:r w:rsidRPr="00105CDB">
              <w:rPr>
                <w:lang w:val="el-GR"/>
              </w:rPr>
              <w:t>Δ</w:t>
            </w:r>
            <w:proofErr w:type="spellStart"/>
            <w:r w:rsidR="00B550C4" w:rsidRPr="00105CDB">
              <w:t>εν</w:t>
            </w:r>
            <w:proofErr w:type="spellEnd"/>
            <w:r w:rsidR="00B550C4" w:rsidRPr="00105CDB">
              <w:t xml:space="preserve"> </w:t>
            </w:r>
            <w:proofErr w:type="spellStart"/>
            <w:r w:rsidR="00B550C4" w:rsidRPr="00105CDB">
              <w:t>συνιστάται</w:t>
            </w:r>
            <w:proofErr w:type="spellEnd"/>
          </w:p>
        </w:tc>
      </w:tr>
    </w:tbl>
    <w:p w:rsidR="005E46F8" w:rsidRPr="00105CDB" w:rsidRDefault="005E46F8" w:rsidP="005E46F8">
      <w:pPr>
        <w:widowControl w:val="0"/>
        <w:spacing w:line="240" w:lineRule="atLeast"/>
        <w:ind w:left="1440"/>
        <w:rPr>
          <w:lang w:val="el-GR"/>
        </w:rPr>
      </w:pPr>
    </w:p>
    <w:p w:rsidR="005E46F8" w:rsidRPr="00105CDB" w:rsidRDefault="005E46F8" w:rsidP="005E46F8">
      <w:pPr>
        <w:widowControl w:val="0"/>
        <w:spacing w:line="240" w:lineRule="atLeast"/>
        <w:rPr>
          <w:i/>
          <w:lang w:val="el-GR"/>
        </w:rPr>
      </w:pPr>
      <w:r w:rsidRPr="00105CDB">
        <w:rPr>
          <w:i/>
          <w:lang w:val="el-GR"/>
        </w:rPr>
        <w:t>Ασθενείς που υποβάλλονται σε αιμοκάθαρση:</w:t>
      </w:r>
    </w:p>
    <w:p w:rsidR="005E46F8" w:rsidRPr="00105CDB" w:rsidRDefault="005E46F8" w:rsidP="005E46F8">
      <w:pPr>
        <w:widowControl w:val="0"/>
        <w:spacing w:line="240" w:lineRule="atLeast"/>
        <w:rPr>
          <w:lang w:val="el-GR"/>
        </w:rPr>
      </w:pPr>
      <w:r w:rsidRPr="00105CDB">
        <w:rPr>
          <w:lang w:val="el-GR"/>
        </w:rPr>
        <w:t>Δεν μπορεί να δοθεί δοσολογική σύσταση για ασθενείς που υποβάλλονται σε αιμοκάθαρση (CrCl &lt; 10 m</w:t>
      </w:r>
      <w:r w:rsidR="001A0CAE" w:rsidRPr="00105CDB">
        <w:t>l</w:t>
      </w:r>
      <w:r w:rsidRPr="00105CDB">
        <w:rPr>
          <w:lang w:val="el-GR"/>
        </w:rPr>
        <w:t>/min). Έτσι, τ</w:t>
      </w:r>
      <w:r w:rsidR="0008704B" w:rsidRPr="00105CDB">
        <w:rPr>
          <w:lang w:val="el-GR"/>
        </w:rPr>
        <w:t>α</w:t>
      </w:r>
      <w:r w:rsidRPr="00105CDB">
        <w:rPr>
          <w:lang w:val="el-GR"/>
        </w:rPr>
        <w:t xml:space="preserve"> </w:t>
      </w:r>
      <w:r w:rsidR="0008704B" w:rsidRPr="00105CDB">
        <w:rPr>
          <w:lang w:val="el-GR"/>
        </w:rPr>
        <w:t xml:space="preserve">επικαλυμμένα με λεπτό υμένιο δισκία  </w:t>
      </w:r>
      <w:proofErr w:type="spellStart"/>
      <w:r w:rsidRPr="00105CDB">
        <w:t>Valcyte</w:t>
      </w:r>
      <w:proofErr w:type="spellEnd"/>
      <w:r w:rsidRPr="00105CDB">
        <w:rPr>
          <w:lang w:val="el-GR"/>
        </w:rPr>
        <w:t xml:space="preserve"> δεν πρέπει να χορηγ</w:t>
      </w:r>
      <w:r w:rsidR="00BB7AC0" w:rsidRPr="00105CDB">
        <w:rPr>
          <w:lang w:val="el-GR"/>
        </w:rPr>
        <w:t>ούν</w:t>
      </w:r>
      <w:r w:rsidRPr="00105CDB">
        <w:rPr>
          <w:lang w:val="el-GR"/>
        </w:rPr>
        <w:t>ται στους ασθενείς αυτούς (</w:t>
      </w:r>
      <w:r w:rsidR="001613D1" w:rsidRPr="00105CDB">
        <w:rPr>
          <w:lang w:val="el-GR"/>
        </w:rPr>
        <w:t xml:space="preserve">βλέπε </w:t>
      </w:r>
      <w:r w:rsidR="00A21BEA" w:rsidRPr="00105CDB">
        <w:rPr>
          <w:lang w:val="el-GR"/>
        </w:rPr>
        <w:t xml:space="preserve">παραγράφους </w:t>
      </w:r>
      <w:r w:rsidRPr="00105CDB">
        <w:rPr>
          <w:lang w:val="el-GR"/>
        </w:rPr>
        <w:t xml:space="preserve">4.4 </w:t>
      </w:r>
      <w:r w:rsidR="00CE5730" w:rsidRPr="00105CDB">
        <w:rPr>
          <w:lang w:val="el-GR"/>
        </w:rPr>
        <w:t xml:space="preserve">και </w:t>
      </w:r>
      <w:r w:rsidRPr="00105CDB">
        <w:rPr>
          <w:lang w:val="el-GR"/>
        </w:rPr>
        <w:t>5.2).</w:t>
      </w:r>
    </w:p>
    <w:p w:rsidR="005E46F8" w:rsidRPr="00105CDB" w:rsidRDefault="005E46F8" w:rsidP="005E46F8">
      <w:pPr>
        <w:widowControl w:val="0"/>
        <w:spacing w:line="240" w:lineRule="atLeast"/>
        <w:ind w:left="1440"/>
        <w:rPr>
          <w:lang w:val="el-GR"/>
        </w:rPr>
      </w:pPr>
    </w:p>
    <w:p w:rsidR="005E46F8" w:rsidRPr="00105CDB" w:rsidRDefault="005E46F8" w:rsidP="005E46F8">
      <w:pPr>
        <w:widowControl w:val="0"/>
        <w:spacing w:line="240" w:lineRule="atLeast"/>
        <w:rPr>
          <w:i/>
          <w:lang w:val="el-GR"/>
        </w:rPr>
      </w:pPr>
      <w:r w:rsidRPr="00105CDB">
        <w:rPr>
          <w:i/>
          <w:lang w:val="el-GR"/>
        </w:rPr>
        <w:t xml:space="preserve">Ασθενείς με ηπατική </w:t>
      </w:r>
      <w:r w:rsidR="00D250D7" w:rsidRPr="00105CDB">
        <w:rPr>
          <w:i/>
          <w:lang w:val="el-GR"/>
        </w:rPr>
        <w:t>ανεπάρκεια</w:t>
      </w:r>
      <w:r w:rsidRPr="00105CDB">
        <w:rPr>
          <w:i/>
          <w:lang w:val="el-GR"/>
        </w:rPr>
        <w:t>:</w:t>
      </w:r>
    </w:p>
    <w:p w:rsidR="005E46F8" w:rsidRPr="00105CDB" w:rsidRDefault="005E46F8" w:rsidP="005E46F8">
      <w:pPr>
        <w:widowControl w:val="0"/>
        <w:spacing w:line="240" w:lineRule="atLeast"/>
        <w:rPr>
          <w:lang w:val="el-GR"/>
        </w:rPr>
      </w:pPr>
      <w:r w:rsidRPr="00105CDB">
        <w:rPr>
          <w:lang w:val="el-GR"/>
        </w:rPr>
        <w:t xml:space="preserve">Η ασφάλεια και η αποτελεσματικότητα των δισκίων </w:t>
      </w:r>
      <w:proofErr w:type="spellStart"/>
      <w:r w:rsidRPr="00105CDB">
        <w:t>Valcyte</w:t>
      </w:r>
      <w:proofErr w:type="spellEnd"/>
      <w:r w:rsidRPr="00105CDB">
        <w:rPr>
          <w:lang w:val="el-GR"/>
        </w:rPr>
        <w:t xml:space="preserve"> σε ασθενείς με ηπατική </w:t>
      </w:r>
      <w:r w:rsidR="004D63BC" w:rsidRPr="00105CDB">
        <w:rPr>
          <w:lang w:val="el-GR"/>
        </w:rPr>
        <w:t>ανεπάρκεια</w:t>
      </w:r>
      <w:r w:rsidRPr="00105CDB">
        <w:rPr>
          <w:lang w:val="el-GR"/>
        </w:rPr>
        <w:t xml:space="preserve"> δεν έχουν μελετηθεί (</w:t>
      </w:r>
      <w:r w:rsidR="001613D1" w:rsidRPr="00105CDB">
        <w:rPr>
          <w:lang w:val="el-GR"/>
        </w:rPr>
        <w:t>βλέπε</w:t>
      </w:r>
      <w:r w:rsidR="00E847C5" w:rsidRPr="00105CDB">
        <w:rPr>
          <w:lang w:val="el-GR"/>
        </w:rPr>
        <w:t xml:space="preserve"> </w:t>
      </w:r>
      <w:r w:rsidR="009B1F92" w:rsidRPr="00105CDB">
        <w:rPr>
          <w:lang w:val="el-GR"/>
        </w:rPr>
        <w:t xml:space="preserve">παράγραφο </w:t>
      </w:r>
      <w:r w:rsidRPr="00105CDB">
        <w:rPr>
          <w:lang w:val="el-GR"/>
        </w:rPr>
        <w:t>5.2).</w:t>
      </w:r>
    </w:p>
    <w:p w:rsidR="005E46F8" w:rsidRPr="00105CDB" w:rsidRDefault="005E46F8" w:rsidP="005E46F8">
      <w:pPr>
        <w:widowControl w:val="0"/>
        <w:spacing w:line="240" w:lineRule="atLeast"/>
        <w:rPr>
          <w:u w:val="single"/>
          <w:lang w:val="el-GR"/>
        </w:rPr>
      </w:pPr>
    </w:p>
    <w:p w:rsidR="005E46F8" w:rsidRPr="00105CDB" w:rsidRDefault="00E466A9" w:rsidP="00403333">
      <w:pPr>
        <w:widowControl w:val="0"/>
        <w:rPr>
          <w:i/>
          <w:noProof/>
          <w:lang w:val="el-GR" w:eastAsia="en-US"/>
        </w:rPr>
      </w:pPr>
      <w:r w:rsidRPr="00105CDB">
        <w:rPr>
          <w:i/>
          <w:noProof/>
          <w:lang w:val="el-GR" w:eastAsia="en-US"/>
        </w:rPr>
        <w:t>Παιδιατρικός πληθυσμός</w:t>
      </w:r>
      <w:r w:rsidR="005E46F8" w:rsidRPr="00105CDB">
        <w:rPr>
          <w:i/>
          <w:lang w:val="el-GR"/>
        </w:rPr>
        <w:t>:</w:t>
      </w:r>
    </w:p>
    <w:p w:rsidR="005E46F8" w:rsidRPr="00A116C4" w:rsidRDefault="00A91AE1" w:rsidP="00105CDB">
      <w:pPr>
        <w:textAlignment w:val="top"/>
        <w:rPr>
          <w:lang w:val="el-GR"/>
        </w:rPr>
      </w:pPr>
      <w:r w:rsidRPr="00105CDB">
        <w:rPr>
          <w:lang w:val="el-GR"/>
        </w:rPr>
        <w:t>Η δοσολογία των παιδιατρικών ασθενών-ληπτών μοσχεύματος συμπαγούς οργάνου (SOT) εξατομικεύεται βάσει της νεφρικής λειτουργίας του ασθενούς, σε συνδυασμό με το σωματικό ύψος και βάρος.</w:t>
      </w:r>
    </w:p>
    <w:p w:rsidR="005E46F8" w:rsidRPr="00105CDB" w:rsidRDefault="005E46F8" w:rsidP="005E46F8">
      <w:pPr>
        <w:widowControl w:val="0"/>
        <w:spacing w:line="240" w:lineRule="atLeast"/>
        <w:ind w:left="1440"/>
        <w:rPr>
          <w:lang w:val="el-GR"/>
        </w:rPr>
      </w:pPr>
    </w:p>
    <w:p w:rsidR="005E46F8" w:rsidRPr="00105CDB" w:rsidRDefault="005E46F8" w:rsidP="005E46F8">
      <w:pPr>
        <w:widowControl w:val="0"/>
        <w:spacing w:line="240" w:lineRule="atLeast"/>
        <w:rPr>
          <w:i/>
          <w:lang w:val="el-GR"/>
        </w:rPr>
      </w:pPr>
      <w:r w:rsidRPr="00105CDB">
        <w:rPr>
          <w:i/>
          <w:lang w:val="el-GR"/>
        </w:rPr>
        <w:t>Ηλικιωμένοι ασθενείς:</w:t>
      </w:r>
    </w:p>
    <w:p w:rsidR="005E46F8" w:rsidRPr="00105CDB" w:rsidRDefault="005E46F8" w:rsidP="005E46F8">
      <w:pPr>
        <w:widowControl w:val="0"/>
        <w:spacing w:line="240" w:lineRule="atLeast"/>
        <w:rPr>
          <w:lang w:val="el-GR"/>
        </w:rPr>
      </w:pPr>
      <w:r w:rsidRPr="00105CDB">
        <w:rPr>
          <w:lang w:val="el-GR"/>
        </w:rPr>
        <w:t>Η ασφάλεια και η αποτελεσματικότητα δεν έχουν τεκμηριωθεί σε αυτόν τον πληθυσμό ασθενών.</w:t>
      </w:r>
    </w:p>
    <w:p w:rsidR="005E46F8" w:rsidRPr="00105CDB" w:rsidRDefault="005E46F8" w:rsidP="005E46F8">
      <w:pPr>
        <w:widowControl w:val="0"/>
        <w:spacing w:line="240" w:lineRule="atLeast"/>
        <w:rPr>
          <w:u w:val="single"/>
          <w:lang w:val="el-GR"/>
        </w:rPr>
      </w:pPr>
    </w:p>
    <w:p w:rsidR="00140C16" w:rsidRPr="00105CDB" w:rsidRDefault="005E46F8" w:rsidP="005E46F8">
      <w:pPr>
        <w:widowControl w:val="0"/>
        <w:spacing w:line="240" w:lineRule="atLeast"/>
        <w:rPr>
          <w:i/>
          <w:lang w:val="el-GR"/>
        </w:rPr>
      </w:pPr>
      <w:r w:rsidRPr="00105CDB">
        <w:rPr>
          <w:i/>
          <w:lang w:val="el-GR"/>
        </w:rPr>
        <w:t xml:space="preserve">Ασθενείς με σοβαρή λευκοπενία, ουδετεροπενία, αναιμία, θρομβοπενία και πανκυτταροπενία: </w:t>
      </w:r>
    </w:p>
    <w:p w:rsidR="005E46F8" w:rsidRPr="00105CDB" w:rsidRDefault="001613D1" w:rsidP="005E46F8">
      <w:pPr>
        <w:widowControl w:val="0"/>
        <w:spacing w:line="240" w:lineRule="atLeast"/>
        <w:rPr>
          <w:lang w:val="el-GR"/>
        </w:rPr>
      </w:pPr>
      <w:r w:rsidRPr="00105CDB">
        <w:rPr>
          <w:lang w:val="el-GR"/>
        </w:rPr>
        <w:t>βλέπε</w:t>
      </w:r>
      <w:r w:rsidR="00E847C5" w:rsidRPr="00105CDB">
        <w:rPr>
          <w:lang w:val="el-GR"/>
        </w:rPr>
        <w:t xml:space="preserve"> </w:t>
      </w:r>
      <w:r w:rsidR="009B1F92" w:rsidRPr="00105CDB">
        <w:rPr>
          <w:lang w:val="el-GR"/>
        </w:rPr>
        <w:t xml:space="preserve">παράγραφο </w:t>
      </w:r>
      <w:r w:rsidR="005E46F8" w:rsidRPr="00105CDB">
        <w:rPr>
          <w:lang w:val="el-GR"/>
        </w:rPr>
        <w:t>4.4</w:t>
      </w:r>
      <w:r w:rsidR="005E46F8" w:rsidRPr="00105CDB">
        <w:rPr>
          <w:i/>
          <w:lang w:val="el-GR"/>
        </w:rPr>
        <w:t xml:space="preserve"> </w:t>
      </w:r>
      <w:r w:rsidR="00385589" w:rsidRPr="00105CDB">
        <w:rPr>
          <w:i/>
          <w:lang w:val="el-GR"/>
        </w:rPr>
        <w:t xml:space="preserve"> </w:t>
      </w:r>
      <w:r w:rsidR="005E46F8" w:rsidRPr="00105CDB">
        <w:rPr>
          <w:lang w:val="el-GR"/>
        </w:rPr>
        <w:t>πριν την έναρξη της αγωγής.</w:t>
      </w:r>
    </w:p>
    <w:p w:rsidR="001732C1" w:rsidRPr="00105CDB" w:rsidRDefault="001732C1" w:rsidP="001732C1">
      <w:pPr>
        <w:widowControl w:val="0"/>
        <w:spacing w:line="240" w:lineRule="atLeast"/>
        <w:rPr>
          <w:lang w:val="el-GR"/>
        </w:rPr>
      </w:pPr>
    </w:p>
    <w:p w:rsidR="005E46F8" w:rsidRPr="00105CDB" w:rsidRDefault="001732C1" w:rsidP="001732C1">
      <w:pPr>
        <w:widowControl w:val="0"/>
        <w:spacing w:line="240" w:lineRule="atLeast"/>
        <w:rPr>
          <w:lang w:val="el-GR"/>
        </w:rPr>
      </w:pPr>
      <w:r w:rsidRPr="00105CDB">
        <w:rPr>
          <w:lang w:val="el-GR"/>
        </w:rPr>
        <w:t xml:space="preserve">Σε περίπτωση σημαντικής επιδείνωσης των τιμών των αιματολογικών εξετάσεων κατά τη διάρκεια της αγωγής με </w:t>
      </w:r>
      <w:proofErr w:type="spellStart"/>
      <w:r w:rsidRPr="00105CDB">
        <w:t>Valcyte</w:t>
      </w:r>
      <w:proofErr w:type="spellEnd"/>
      <w:r w:rsidR="00EA5A3F" w:rsidRPr="00105CDB">
        <w:rPr>
          <w:lang w:val="el-GR"/>
        </w:rPr>
        <w:t>,</w:t>
      </w:r>
      <w:r w:rsidRPr="00105CDB">
        <w:rPr>
          <w:lang w:val="el-GR"/>
        </w:rPr>
        <w:t xml:space="preserve"> θα πρέπει να εξετασθεί το ενδεχόμενο αντιμετώπισης με αιμοποιητικούς αυξητικούς παράγοντες και/ή διακοπής της χορήγησης (</w:t>
      </w:r>
      <w:r w:rsidR="001613D1" w:rsidRPr="00105CDB">
        <w:rPr>
          <w:lang w:val="el-GR"/>
        </w:rPr>
        <w:t>βλέπε</w:t>
      </w:r>
      <w:r w:rsidR="00E847C5" w:rsidRPr="00105CDB">
        <w:rPr>
          <w:lang w:val="el-GR"/>
        </w:rPr>
        <w:t xml:space="preserve"> </w:t>
      </w:r>
      <w:r w:rsidR="00B85B01" w:rsidRPr="00105CDB">
        <w:rPr>
          <w:lang w:val="el-GR"/>
        </w:rPr>
        <w:t>παρ</w:t>
      </w:r>
      <w:r w:rsidR="003471B1" w:rsidRPr="00105CDB">
        <w:rPr>
          <w:lang w:val="el-GR"/>
        </w:rPr>
        <w:t>άγραφο</w:t>
      </w:r>
      <w:r w:rsidR="00B85B01" w:rsidRPr="00105CDB">
        <w:rPr>
          <w:lang w:val="el-GR"/>
        </w:rPr>
        <w:t xml:space="preserve"> </w:t>
      </w:r>
      <w:r w:rsidRPr="00105CDB">
        <w:rPr>
          <w:lang w:val="el-GR"/>
        </w:rPr>
        <w:t>4.4).</w:t>
      </w:r>
    </w:p>
    <w:p w:rsidR="005E46F8" w:rsidRPr="00105CDB" w:rsidRDefault="005E46F8" w:rsidP="005E46F8">
      <w:pPr>
        <w:widowControl w:val="0"/>
        <w:spacing w:line="240" w:lineRule="atLeast"/>
        <w:rPr>
          <w:b/>
          <w:lang w:val="el-GR"/>
        </w:rPr>
      </w:pPr>
    </w:p>
    <w:p w:rsidR="005E46F8" w:rsidRPr="00105CDB" w:rsidRDefault="005E46F8" w:rsidP="005E46F8">
      <w:pPr>
        <w:widowControl w:val="0"/>
        <w:spacing w:line="240" w:lineRule="atLeast"/>
        <w:rPr>
          <w:u w:val="single"/>
          <w:lang w:val="el-GR"/>
        </w:rPr>
      </w:pPr>
      <w:r w:rsidRPr="00105CDB">
        <w:rPr>
          <w:u w:val="single"/>
          <w:lang w:val="el-GR"/>
        </w:rPr>
        <w:t>Τρόπος χορήγησης</w:t>
      </w:r>
    </w:p>
    <w:p w:rsidR="001732C1" w:rsidRPr="00105CDB" w:rsidRDefault="001732C1" w:rsidP="005E46F8">
      <w:pPr>
        <w:widowControl w:val="0"/>
        <w:spacing w:line="240" w:lineRule="atLeast"/>
        <w:rPr>
          <w:lang w:val="el-GR"/>
        </w:rPr>
      </w:pPr>
      <w:r w:rsidRPr="00105CDB">
        <w:rPr>
          <w:lang w:val="el-GR"/>
        </w:rPr>
        <w:t xml:space="preserve">Το </w:t>
      </w:r>
      <w:proofErr w:type="spellStart"/>
      <w:r w:rsidRPr="00105CDB">
        <w:t>Valcyte</w:t>
      </w:r>
      <w:proofErr w:type="spellEnd"/>
      <w:r w:rsidRPr="00105CDB">
        <w:rPr>
          <w:lang w:val="el-GR"/>
        </w:rPr>
        <w:t xml:space="preserve"> χορηγείται από του στόματος και θα πρέπει, όποτε είναι δυνατόν, να λαμβάνεται μαζί με τροφή (</w:t>
      </w:r>
      <w:r w:rsidR="001613D1" w:rsidRPr="00105CDB">
        <w:rPr>
          <w:lang w:val="el-GR"/>
        </w:rPr>
        <w:t>βλέπε</w:t>
      </w:r>
      <w:r w:rsidR="00E847C5" w:rsidRPr="00105CDB">
        <w:rPr>
          <w:lang w:val="el-GR"/>
        </w:rPr>
        <w:t xml:space="preserve"> </w:t>
      </w:r>
      <w:r w:rsidR="009B1F92" w:rsidRPr="00105CDB">
        <w:rPr>
          <w:lang w:val="el-GR"/>
        </w:rPr>
        <w:t xml:space="preserve">παράγραφο </w:t>
      </w:r>
      <w:r w:rsidRPr="00105CDB">
        <w:rPr>
          <w:lang w:val="el-GR"/>
        </w:rPr>
        <w:t>5.2).</w:t>
      </w:r>
    </w:p>
    <w:p w:rsidR="00140C16" w:rsidRPr="00105CDB" w:rsidRDefault="00140C16" w:rsidP="005E46F8">
      <w:pPr>
        <w:widowControl w:val="0"/>
        <w:spacing w:line="240" w:lineRule="atLeast"/>
        <w:rPr>
          <w:lang w:val="el-GR"/>
        </w:rPr>
      </w:pPr>
    </w:p>
    <w:p w:rsidR="00140C16" w:rsidRPr="00105CDB" w:rsidRDefault="00140C16" w:rsidP="005E46F8">
      <w:pPr>
        <w:widowControl w:val="0"/>
        <w:spacing w:line="240" w:lineRule="atLeast"/>
        <w:rPr>
          <w:u w:val="single"/>
          <w:lang w:val="el-GR"/>
        </w:rPr>
      </w:pPr>
      <w:r w:rsidRPr="00105CDB">
        <w:rPr>
          <w:u w:val="single"/>
          <w:lang w:val="el-GR"/>
        </w:rPr>
        <w:t xml:space="preserve">Στους παιδιατρικούς ασθενείς, οι οποίοι δεν είναι σε θέση να καταπιούν τα επικαλυμμένα με λεπτό υμένιο δισκία του Valcyte, μπορεί να χορηγηθεί η κόνις για </w:t>
      </w:r>
      <w:r w:rsidR="007257AC" w:rsidRPr="00105CDB">
        <w:rPr>
          <w:u w:val="single"/>
          <w:lang w:val="el-GR"/>
        </w:rPr>
        <w:t>πόσιμο</w:t>
      </w:r>
      <w:r w:rsidRPr="00105CDB">
        <w:rPr>
          <w:u w:val="single"/>
          <w:lang w:val="el-GR"/>
        </w:rPr>
        <w:t xml:space="preserve"> διάλυμα Valcyte.</w:t>
      </w:r>
    </w:p>
    <w:p w:rsidR="005E46F8" w:rsidRPr="00105CDB" w:rsidRDefault="005E46F8" w:rsidP="005E46F8">
      <w:pPr>
        <w:widowControl w:val="0"/>
        <w:spacing w:line="240" w:lineRule="atLeast"/>
        <w:rPr>
          <w:lang w:val="el-GR"/>
        </w:rPr>
      </w:pPr>
    </w:p>
    <w:p w:rsidR="00385589" w:rsidRPr="00105CDB" w:rsidRDefault="00385589" w:rsidP="00403333">
      <w:pPr>
        <w:widowControl w:val="0"/>
        <w:rPr>
          <w:i/>
          <w:noProof/>
          <w:lang w:val="el-GR" w:eastAsia="en-US"/>
        </w:rPr>
      </w:pPr>
      <w:r w:rsidRPr="00105CDB">
        <w:rPr>
          <w:i/>
          <w:noProof/>
          <w:lang w:val="el-GR" w:eastAsia="en-US"/>
        </w:rPr>
        <w:t>Προφυλάξεις που πρέπει να ληφθούν πριν από το χειρισμό ή τη χορήγηση του φαρμακευτικού προϊόντος</w:t>
      </w:r>
    </w:p>
    <w:p w:rsidR="005E46F8" w:rsidRPr="00105CDB" w:rsidRDefault="005E46F8" w:rsidP="005E46F8">
      <w:pPr>
        <w:widowControl w:val="0"/>
        <w:spacing w:line="240" w:lineRule="atLeast"/>
        <w:rPr>
          <w:lang w:val="el-GR"/>
        </w:rPr>
      </w:pPr>
      <w:r w:rsidRPr="00105CDB">
        <w:rPr>
          <w:lang w:val="el-GR"/>
        </w:rPr>
        <w:t xml:space="preserve">Τα δισκία δεν πρέπει να τεμαχίζονται ή να συνθλίβονται. Επειδή το </w:t>
      </w:r>
      <w:proofErr w:type="spellStart"/>
      <w:r w:rsidRPr="00105CDB">
        <w:t>Valcyte</w:t>
      </w:r>
      <w:proofErr w:type="spellEnd"/>
      <w:r w:rsidRPr="00105CDB">
        <w:rPr>
          <w:lang w:val="el-GR"/>
        </w:rPr>
        <w:t xml:space="preserve"> θεωρείται δυνητικά τερατογόνο και καρκινογόνο για τους ανθρώπους, θα πρέπει να δίδεται προσοχή κατά το χειρισμό τεμαχισμένων δισκίων (</w:t>
      </w:r>
      <w:r w:rsidR="001613D1" w:rsidRPr="00105CDB">
        <w:rPr>
          <w:lang w:val="el-GR"/>
        </w:rPr>
        <w:t>βλέπε</w:t>
      </w:r>
      <w:r w:rsidR="00E847C5" w:rsidRPr="00105CDB">
        <w:rPr>
          <w:lang w:val="el-GR"/>
        </w:rPr>
        <w:t xml:space="preserve"> </w:t>
      </w:r>
      <w:r w:rsidR="009B1F92" w:rsidRPr="00105CDB">
        <w:rPr>
          <w:lang w:val="el-GR"/>
        </w:rPr>
        <w:t xml:space="preserve">παράγραφο </w:t>
      </w:r>
      <w:r w:rsidRPr="00105CDB">
        <w:rPr>
          <w:i/>
          <w:lang w:val="el-GR"/>
        </w:rPr>
        <w:t>4.4</w:t>
      </w:r>
      <w:r w:rsidRPr="00105CDB">
        <w:rPr>
          <w:lang w:val="el-GR"/>
        </w:rPr>
        <w:t>). Να αποφεύγεται η άμεση επαφή των τεμαχισμένων ή συνθλιμένων δισκίων με το δέρμα ή τους βλεννογόνους. Σε περίπτωση επαφής, χρειάζεται πολύ καλό πλύσιμο με σαπούνι και νερό, να ξεπλένονται τα μάτια πολύ καλά με αποστειρωμένο νερό ή με νερό βρύσης εάν δεν είναι διαθέσιμο αποστειρωμένο νερό.</w:t>
      </w:r>
    </w:p>
    <w:p w:rsidR="0091534A" w:rsidRPr="00105CDB" w:rsidRDefault="0091534A" w:rsidP="0091534A">
      <w:pPr>
        <w:rPr>
          <w:lang w:val="el-GR"/>
        </w:rPr>
      </w:pPr>
    </w:p>
    <w:p w:rsidR="0091534A" w:rsidRPr="00105CDB" w:rsidRDefault="0091534A" w:rsidP="0049166C">
      <w:pPr>
        <w:ind w:left="567" w:hanging="567"/>
        <w:rPr>
          <w:lang w:val="el-GR"/>
        </w:rPr>
      </w:pPr>
      <w:r w:rsidRPr="00105CDB">
        <w:rPr>
          <w:b/>
          <w:lang w:val="el-GR"/>
        </w:rPr>
        <w:t>4.3</w:t>
      </w:r>
      <w:r w:rsidRPr="00105CDB">
        <w:rPr>
          <w:b/>
          <w:lang w:val="el-GR"/>
        </w:rPr>
        <w:tab/>
        <w:t>Αντενδείξεις</w:t>
      </w:r>
    </w:p>
    <w:p w:rsidR="0091534A" w:rsidRPr="00105CDB" w:rsidRDefault="0091534A" w:rsidP="0091534A">
      <w:pPr>
        <w:rPr>
          <w:lang w:val="el-GR"/>
        </w:rPr>
      </w:pPr>
    </w:p>
    <w:p w:rsidR="00796273" w:rsidRPr="00105CDB" w:rsidRDefault="00796273" w:rsidP="00796273">
      <w:pPr>
        <w:widowControl w:val="0"/>
        <w:spacing w:line="240" w:lineRule="atLeast"/>
        <w:rPr>
          <w:lang w:val="el-GR"/>
        </w:rPr>
      </w:pPr>
      <w:r w:rsidRPr="00105CDB">
        <w:rPr>
          <w:lang w:val="el-GR"/>
        </w:rPr>
        <w:t>Το Valcyt</w:t>
      </w:r>
      <w:r w:rsidRPr="00105CDB">
        <w:t>e</w:t>
      </w:r>
      <w:r w:rsidRPr="00105CDB">
        <w:rPr>
          <w:lang w:val="el-GR"/>
        </w:rPr>
        <w:t xml:space="preserve"> αντενδείκνυται σε ασθενείς με υπερευαισθησία στη βαλγκανσικλοβίρη, την γκανσικλοβίρη ή σε κάποιο από τα έκδοχα</w:t>
      </w:r>
      <w:r w:rsidR="00FE577A" w:rsidRPr="00105CDB">
        <w:rPr>
          <w:noProof/>
          <w:lang w:val="el-GR"/>
        </w:rPr>
        <w:t xml:space="preserve"> που αναφέρονται στην παράγραφο 6.1</w:t>
      </w:r>
      <w:r w:rsidRPr="00105CDB">
        <w:rPr>
          <w:lang w:val="el-GR"/>
        </w:rPr>
        <w:t>.</w:t>
      </w:r>
    </w:p>
    <w:p w:rsidR="00796273" w:rsidRPr="00105CDB" w:rsidRDefault="00796273" w:rsidP="00796273">
      <w:pPr>
        <w:widowControl w:val="0"/>
        <w:spacing w:line="240" w:lineRule="atLeast"/>
        <w:rPr>
          <w:lang w:val="el-GR"/>
        </w:rPr>
      </w:pPr>
    </w:p>
    <w:p w:rsidR="00796273" w:rsidRPr="00105CDB" w:rsidRDefault="00796273" w:rsidP="00796273">
      <w:pPr>
        <w:widowControl w:val="0"/>
        <w:spacing w:line="240" w:lineRule="atLeast"/>
        <w:rPr>
          <w:lang w:val="el-GR"/>
        </w:rPr>
      </w:pPr>
      <w:r w:rsidRPr="00105CDB">
        <w:rPr>
          <w:lang w:val="el-GR"/>
        </w:rPr>
        <w:t xml:space="preserve">Λόγω της ομοιότητας της χημικής δομής </w:t>
      </w:r>
      <w:r w:rsidR="00140C16" w:rsidRPr="00105CDB">
        <w:rPr>
          <w:lang w:val="el-GR"/>
        </w:rPr>
        <w:t xml:space="preserve">της βαλγκανσικλοβίρης (δραστικής ουσίας </w:t>
      </w:r>
      <w:r w:rsidRPr="00105CDB">
        <w:rPr>
          <w:lang w:val="el-GR"/>
        </w:rPr>
        <w:t>του Valcyte</w:t>
      </w:r>
      <w:r w:rsidR="00140C16" w:rsidRPr="00105CDB">
        <w:rPr>
          <w:lang w:val="el-GR"/>
        </w:rPr>
        <w:t>)</w:t>
      </w:r>
      <w:r w:rsidRPr="00105CDB">
        <w:rPr>
          <w:lang w:val="el-GR"/>
        </w:rPr>
        <w:t xml:space="preserve"> με εκείνη της ασυκλοβίρης και της βαλασυκλοβίρης, είναι πιθανή διασταυρούμενη αντίδραση υπερευαισθησίας μεταξύ των φαρμάκων αυτών. Συνεπώς το Valcyte αντενδείκνυται σε ασθενείς με υπερευαισθησία στην α</w:t>
      </w:r>
      <w:r w:rsidR="003A7128" w:rsidRPr="00105CDB">
        <w:rPr>
          <w:lang w:val="el-GR"/>
        </w:rPr>
        <w:t>σ</w:t>
      </w:r>
      <w:r w:rsidRPr="00105CDB">
        <w:rPr>
          <w:lang w:val="el-GR"/>
        </w:rPr>
        <w:t>υκλοβίρη και τη βαλα</w:t>
      </w:r>
      <w:r w:rsidR="003A7128" w:rsidRPr="00105CDB">
        <w:rPr>
          <w:lang w:val="el-GR"/>
        </w:rPr>
        <w:t>σ</w:t>
      </w:r>
      <w:r w:rsidRPr="00105CDB">
        <w:rPr>
          <w:lang w:val="el-GR"/>
        </w:rPr>
        <w:t>υκλοβίρη.</w:t>
      </w:r>
    </w:p>
    <w:p w:rsidR="002E5870" w:rsidRPr="00105CDB" w:rsidRDefault="002E5870" w:rsidP="0091534A">
      <w:pPr>
        <w:rPr>
          <w:lang w:val="el-GR"/>
        </w:rPr>
      </w:pPr>
    </w:p>
    <w:p w:rsidR="0091534A" w:rsidRPr="00105CDB" w:rsidRDefault="002E5870" w:rsidP="0091534A">
      <w:pPr>
        <w:rPr>
          <w:lang w:val="el-GR"/>
        </w:rPr>
      </w:pPr>
      <w:r w:rsidRPr="00105CDB">
        <w:rPr>
          <w:lang w:val="el-GR"/>
        </w:rPr>
        <w:t>Το Valcyte αντενδείκνυται κατά τη γαλουχία</w:t>
      </w:r>
      <w:r w:rsidR="00FE577A" w:rsidRPr="00105CDB">
        <w:rPr>
          <w:lang w:val="el-GR"/>
        </w:rPr>
        <w:t xml:space="preserve">  (</w:t>
      </w:r>
      <w:r w:rsidR="001613D1" w:rsidRPr="00105CDB">
        <w:rPr>
          <w:lang w:val="el-GR"/>
        </w:rPr>
        <w:t>βλέπε</w:t>
      </w:r>
      <w:r w:rsidR="00E847C5" w:rsidRPr="00105CDB">
        <w:rPr>
          <w:lang w:val="el-GR"/>
        </w:rPr>
        <w:t xml:space="preserve"> </w:t>
      </w:r>
      <w:r w:rsidR="009B1F92" w:rsidRPr="00105CDB">
        <w:rPr>
          <w:lang w:val="el-GR"/>
        </w:rPr>
        <w:t xml:space="preserve">παράγραφο </w:t>
      </w:r>
      <w:r w:rsidRPr="00105CDB">
        <w:rPr>
          <w:lang w:val="el-GR"/>
        </w:rPr>
        <w:t>4.6</w:t>
      </w:r>
      <w:r w:rsidR="00FE577A" w:rsidRPr="00105CDB">
        <w:rPr>
          <w:lang w:val="el-GR"/>
        </w:rPr>
        <w:t>)</w:t>
      </w:r>
      <w:r w:rsidRPr="00105CDB">
        <w:rPr>
          <w:lang w:val="el-GR"/>
        </w:rPr>
        <w:t xml:space="preserve">. </w:t>
      </w:r>
    </w:p>
    <w:p w:rsidR="002E5870" w:rsidRPr="00105CDB" w:rsidRDefault="002E5870" w:rsidP="0091534A">
      <w:pPr>
        <w:rPr>
          <w:lang w:val="el-GR"/>
        </w:rPr>
      </w:pPr>
    </w:p>
    <w:p w:rsidR="0091534A" w:rsidRPr="00105CDB" w:rsidRDefault="0091534A" w:rsidP="0049166C">
      <w:pPr>
        <w:ind w:left="567" w:hanging="567"/>
        <w:rPr>
          <w:lang w:val="el-GR"/>
        </w:rPr>
      </w:pPr>
      <w:r w:rsidRPr="00105CDB">
        <w:rPr>
          <w:b/>
          <w:lang w:val="el-GR"/>
        </w:rPr>
        <w:t>4.4</w:t>
      </w:r>
      <w:r w:rsidRPr="00105CDB">
        <w:rPr>
          <w:b/>
          <w:lang w:val="el-GR"/>
        </w:rPr>
        <w:tab/>
        <w:t>Ειδικές προειδοποιήσεις και προφυλάξεις κατά τη χρήση</w:t>
      </w:r>
    </w:p>
    <w:p w:rsidR="002E5870" w:rsidRPr="00105CDB" w:rsidRDefault="002E5870" w:rsidP="002E5870">
      <w:pPr>
        <w:widowControl w:val="0"/>
        <w:spacing w:line="240" w:lineRule="atLeast"/>
        <w:rPr>
          <w:lang w:val="el-GR"/>
        </w:rPr>
      </w:pPr>
    </w:p>
    <w:p w:rsidR="002E5870" w:rsidRPr="00105CDB" w:rsidRDefault="002E5870" w:rsidP="002E5870">
      <w:pPr>
        <w:widowControl w:val="0"/>
        <w:spacing w:line="240" w:lineRule="atLeast"/>
        <w:rPr>
          <w:lang w:val="el-GR"/>
        </w:rPr>
      </w:pPr>
      <w:r w:rsidRPr="00105CDB">
        <w:rPr>
          <w:lang w:val="el-GR"/>
        </w:rPr>
        <w:t>Πριν την έναρξη της αγωγής με βαλγκανσικλοβίρη, οι ασθενείς θα πρέπει να ενημερώνονται για τους πιθανούς κινδύνους για το έμβρυο.</w:t>
      </w:r>
      <w:r w:rsidRPr="00105CDB">
        <w:rPr>
          <w:b/>
          <w:lang w:val="el-GR"/>
        </w:rPr>
        <w:t xml:space="preserve"> </w:t>
      </w:r>
      <w:r w:rsidRPr="00105CDB">
        <w:rPr>
          <w:lang w:val="el-GR"/>
        </w:rPr>
        <w:t xml:space="preserve">Σε μελέτες σε πειραματόζωα </w:t>
      </w:r>
      <w:r w:rsidR="00AB6F2C" w:rsidRPr="00105CDB">
        <w:rPr>
          <w:lang w:val="el-GR"/>
        </w:rPr>
        <w:t>βρέθηκε</w:t>
      </w:r>
      <w:r w:rsidRPr="00105CDB">
        <w:rPr>
          <w:lang w:val="el-GR"/>
        </w:rPr>
        <w:t xml:space="preserve"> πως η γκανσικλοβίρη είναι μεταλλαξιογόνος, τερατογόνος, ασπερματογόνος και καρκινογόνος και καταστέλλει τη γονιμότητα των θηλέων. Ως εκ τούτου, το Valcyt</w:t>
      </w:r>
      <w:r w:rsidRPr="00105CDB">
        <w:t>e</w:t>
      </w:r>
      <w:r w:rsidRPr="00105CDB">
        <w:rPr>
          <w:lang w:val="el-GR"/>
        </w:rPr>
        <w:t xml:space="preserve"> πρέπει να θεωρείται δυνητικά τερατογόνο και καρκινογόνο για τους ανθρώπους, με δυνατότητα πρόκλησης </w:t>
      </w:r>
      <w:r w:rsidR="00EA5A3F" w:rsidRPr="00105CDB">
        <w:rPr>
          <w:lang w:val="el-GR"/>
        </w:rPr>
        <w:t xml:space="preserve">γενετικών ανωμαλιών </w:t>
      </w:r>
      <w:r w:rsidRPr="00105CDB">
        <w:rPr>
          <w:lang w:val="el-GR"/>
        </w:rPr>
        <w:t xml:space="preserve"> και καρκίνων (</w:t>
      </w:r>
      <w:r w:rsidR="001613D1" w:rsidRPr="00105CDB">
        <w:rPr>
          <w:lang w:val="el-GR"/>
        </w:rPr>
        <w:t>βλέπε</w:t>
      </w:r>
      <w:r w:rsidR="00E847C5" w:rsidRPr="00105CDB">
        <w:rPr>
          <w:lang w:val="el-GR"/>
        </w:rPr>
        <w:t xml:space="preserve"> </w:t>
      </w:r>
      <w:r w:rsidR="00A543ED" w:rsidRPr="00105CDB">
        <w:rPr>
          <w:lang w:val="el-GR"/>
        </w:rPr>
        <w:t>παράγραφο</w:t>
      </w:r>
      <w:r w:rsidR="001A0CAE" w:rsidRPr="00105CDB">
        <w:rPr>
          <w:lang w:val="el-GR"/>
        </w:rPr>
        <w:t xml:space="preserve"> </w:t>
      </w:r>
      <w:r w:rsidRPr="00105CDB">
        <w:rPr>
          <w:i/>
          <w:lang w:val="el-GR"/>
        </w:rPr>
        <w:t>5.3</w:t>
      </w:r>
      <w:r w:rsidRPr="00105CDB">
        <w:rPr>
          <w:lang w:val="el-GR"/>
        </w:rPr>
        <w:t xml:space="preserve">). Η πρόκληση προσωρινής ή μόνιμης αναστολής της σπερματογένεσης θεωρείται επίσης πιθανή για το </w:t>
      </w:r>
      <w:proofErr w:type="spellStart"/>
      <w:r w:rsidRPr="00105CDB">
        <w:t>Valcyte</w:t>
      </w:r>
      <w:proofErr w:type="spellEnd"/>
      <w:r w:rsidRPr="00105CDB">
        <w:rPr>
          <w:lang w:val="el-GR"/>
        </w:rPr>
        <w:t xml:space="preserve">. Οι γυναίκες με αναπαραγωγική δυνατότητα πρέπει να καθοδηγούνται όπως χρησιμοποιούν αποτελεσματικά μέτρα αντισύλληψης κατά τη διάρκεια της αγωγής. Οι άνδρες πρέπει </w:t>
      </w:r>
      <w:r w:rsidRPr="00105CDB">
        <w:rPr>
          <w:lang w:val="el-GR"/>
        </w:rPr>
        <w:lastRenderedPageBreak/>
        <w:t xml:space="preserve">να καθοδηγούνται όπως χρησιμοποιούν προφυλακτικό κατά τη διάρκεια και για τουλάχιστον 90 ημέρες μετά την αγωγή με </w:t>
      </w:r>
      <w:proofErr w:type="spellStart"/>
      <w:r w:rsidRPr="00105CDB">
        <w:t>Valcyte</w:t>
      </w:r>
      <w:proofErr w:type="spellEnd"/>
      <w:r w:rsidRPr="00105CDB">
        <w:rPr>
          <w:lang w:val="el-GR"/>
        </w:rPr>
        <w:t>, με σκοπό την αντισύλληψη, εκτός εάν είναι βέβαιο ότι η σύντροφός τους δε διατρέχει κίνδυνο εγκυμοσύνης (</w:t>
      </w:r>
      <w:r w:rsidR="001613D1" w:rsidRPr="00105CDB">
        <w:rPr>
          <w:lang w:val="el-GR"/>
        </w:rPr>
        <w:t>βλέπε</w:t>
      </w:r>
      <w:r w:rsidR="00E847C5" w:rsidRPr="00105CDB">
        <w:rPr>
          <w:lang w:val="el-GR"/>
        </w:rPr>
        <w:t xml:space="preserve"> </w:t>
      </w:r>
      <w:r w:rsidR="00B85B01" w:rsidRPr="00105CDB">
        <w:rPr>
          <w:lang w:val="el-GR"/>
        </w:rPr>
        <w:t xml:space="preserve">παραγράφους </w:t>
      </w:r>
      <w:r w:rsidRPr="00105CDB">
        <w:rPr>
          <w:lang w:val="el-GR"/>
        </w:rPr>
        <w:t>4.6</w:t>
      </w:r>
      <w:r w:rsidR="005C4C4D" w:rsidRPr="00105CDB">
        <w:rPr>
          <w:i/>
          <w:lang w:val="el-GR"/>
        </w:rPr>
        <w:t>,</w:t>
      </w:r>
      <w:r w:rsidR="008D060F" w:rsidRPr="00105CDB">
        <w:rPr>
          <w:lang w:val="el-GR"/>
        </w:rPr>
        <w:t xml:space="preserve"> </w:t>
      </w:r>
      <w:r w:rsidRPr="00105CDB">
        <w:rPr>
          <w:lang w:val="el-GR"/>
        </w:rPr>
        <w:t>4.8</w:t>
      </w:r>
      <w:r w:rsidR="005C4C4D" w:rsidRPr="00105CDB">
        <w:rPr>
          <w:lang w:val="el-GR"/>
        </w:rPr>
        <w:t xml:space="preserve"> και 5.3 </w:t>
      </w:r>
      <w:r w:rsidRPr="00105CDB">
        <w:rPr>
          <w:lang w:val="el-GR"/>
        </w:rPr>
        <w:t>).</w:t>
      </w:r>
    </w:p>
    <w:p w:rsidR="00B81498" w:rsidRPr="00105CDB" w:rsidRDefault="00B81498" w:rsidP="002E5870">
      <w:pPr>
        <w:pStyle w:val="a8"/>
        <w:widowControl w:val="0"/>
        <w:tabs>
          <w:tab w:val="clear" w:pos="567"/>
        </w:tabs>
        <w:spacing w:line="240" w:lineRule="atLeast"/>
        <w:rPr>
          <w:lang w:val="el-GR"/>
        </w:rPr>
      </w:pPr>
    </w:p>
    <w:p w:rsidR="002E5870" w:rsidRPr="00105CDB" w:rsidRDefault="0048647E" w:rsidP="002E5870">
      <w:pPr>
        <w:pStyle w:val="a8"/>
        <w:widowControl w:val="0"/>
        <w:tabs>
          <w:tab w:val="clear" w:pos="567"/>
        </w:tabs>
        <w:spacing w:line="240" w:lineRule="atLeast"/>
        <w:rPr>
          <w:lang w:val="el-GR"/>
        </w:rPr>
      </w:pPr>
      <w:r w:rsidRPr="00105CDB">
        <w:rPr>
          <w:lang w:val="el-GR"/>
        </w:rPr>
        <w:t>Η</w:t>
      </w:r>
      <w:r w:rsidR="009D24A6" w:rsidRPr="00105CDB">
        <w:rPr>
          <w:lang w:val="el-GR"/>
        </w:rPr>
        <w:t xml:space="preserve"> </w:t>
      </w:r>
      <w:r w:rsidR="00B81498" w:rsidRPr="00105CDB">
        <w:rPr>
          <w:lang w:val="el-GR"/>
        </w:rPr>
        <w:t>βαλγκανσικλοβίρη έχει, μακροπρόθεσμα, δυνατότητα πρόκλησης καρκινογένεσης και αναπαραγωγικής τοξικότητας.</w:t>
      </w:r>
    </w:p>
    <w:p w:rsidR="002E5870" w:rsidRPr="00105CDB" w:rsidRDefault="002E5870" w:rsidP="002E5870">
      <w:pPr>
        <w:widowControl w:val="0"/>
        <w:spacing w:line="240" w:lineRule="atLeast"/>
        <w:rPr>
          <w:lang w:val="el-GR"/>
        </w:rPr>
      </w:pPr>
    </w:p>
    <w:p w:rsidR="002E5870" w:rsidRPr="00105CDB" w:rsidRDefault="002E5870" w:rsidP="002E5870">
      <w:pPr>
        <w:widowControl w:val="0"/>
        <w:spacing w:line="240" w:lineRule="atLeast"/>
        <w:rPr>
          <w:lang w:val="el-GR"/>
        </w:rPr>
      </w:pPr>
      <w:r w:rsidRPr="00105CDB">
        <w:rPr>
          <w:lang w:val="el-GR"/>
        </w:rPr>
        <w:t>Σε ασθενείς που έλαβαν Valcyte (και γκανσικλοβίρη) έχουν παρατηρηθεί σοβαρή λευκοπενία, ουδετεροπενία, αναιμία, θρομβοπενία, πανκυτταροπενία, μυελοκαταστολή και απλαστική αναιμία. Η αγωγή δεν θα πρέπει να ξεκινά εάν ο απόλυτος αριθμός ουδετερόφιλων είναι μικρότερος από 500 κύτταρα/</w:t>
      </w:r>
      <w:r w:rsidRPr="00105CDB">
        <w:rPr>
          <w:lang w:val="el-GR"/>
        </w:rPr>
        <w:sym w:font="Symbol" w:char="F06D"/>
      </w:r>
      <w:r w:rsidR="001A0CAE" w:rsidRPr="00105CDB">
        <w:t>l</w:t>
      </w:r>
      <w:r w:rsidRPr="00105CDB">
        <w:rPr>
          <w:lang w:val="el-GR"/>
        </w:rPr>
        <w:t xml:space="preserve"> ή εάν ο αριθμός των αιμοπεταλίων είναι μικρότερος από 25000/</w:t>
      </w:r>
      <w:r w:rsidRPr="00105CDB">
        <w:rPr>
          <w:lang w:val="el-GR"/>
        </w:rPr>
        <w:sym w:font="Symbol" w:char="F06D"/>
      </w:r>
      <w:r w:rsidR="001A0CAE" w:rsidRPr="00105CDB">
        <w:t>l</w:t>
      </w:r>
      <w:r w:rsidRPr="00105CDB">
        <w:rPr>
          <w:lang w:val="el-GR"/>
        </w:rPr>
        <w:t xml:space="preserve"> ή εάν η τιμή της αιμοσφαιρίνης είναι μικρότερη από 8 g/d</w:t>
      </w:r>
      <w:r w:rsidR="001A0CAE" w:rsidRPr="00105CDB">
        <w:t>l</w:t>
      </w:r>
      <w:r w:rsidRPr="00105CDB">
        <w:rPr>
          <w:lang w:val="el-GR"/>
        </w:rPr>
        <w:t xml:space="preserve"> (</w:t>
      </w:r>
      <w:r w:rsidR="001613D1" w:rsidRPr="00105CDB">
        <w:rPr>
          <w:lang w:val="el-GR"/>
        </w:rPr>
        <w:t>βλέπε</w:t>
      </w:r>
      <w:r w:rsidR="00E847C5" w:rsidRPr="00105CDB">
        <w:rPr>
          <w:lang w:val="el-GR"/>
        </w:rPr>
        <w:t xml:space="preserve"> </w:t>
      </w:r>
      <w:r w:rsidR="00B85B01" w:rsidRPr="00105CDB">
        <w:rPr>
          <w:lang w:val="el-GR"/>
        </w:rPr>
        <w:t xml:space="preserve">παραγράφους </w:t>
      </w:r>
      <w:r w:rsidRPr="00105CDB">
        <w:rPr>
          <w:lang w:val="el-GR"/>
        </w:rPr>
        <w:t>4.2</w:t>
      </w:r>
      <w:r w:rsidRPr="00105CDB">
        <w:rPr>
          <w:i/>
          <w:lang w:val="el-GR"/>
        </w:rPr>
        <w:t xml:space="preserve"> </w:t>
      </w:r>
      <w:r w:rsidRPr="00105CDB">
        <w:rPr>
          <w:lang w:val="el-GR"/>
        </w:rPr>
        <w:t>και  4.8).</w:t>
      </w:r>
    </w:p>
    <w:p w:rsidR="002E5870" w:rsidRPr="00105CDB" w:rsidRDefault="002E5870" w:rsidP="002E5870">
      <w:pPr>
        <w:widowControl w:val="0"/>
        <w:spacing w:line="240" w:lineRule="atLeast"/>
        <w:rPr>
          <w:lang w:val="el-GR"/>
        </w:rPr>
      </w:pPr>
    </w:p>
    <w:p w:rsidR="0094273F" w:rsidRPr="00105CDB" w:rsidRDefault="0094273F" w:rsidP="002E5870">
      <w:pPr>
        <w:widowControl w:val="0"/>
        <w:spacing w:line="240" w:lineRule="atLeast"/>
        <w:rPr>
          <w:lang w:val="el-GR"/>
        </w:rPr>
      </w:pPr>
      <w:r w:rsidRPr="00105CDB">
        <w:rPr>
          <w:lang w:val="el-GR"/>
        </w:rPr>
        <w:t>Κατά την επέκταση της προφύλαξης πέρα των 100 ημερών ο πιθανός κίνδυνος ανάπτυξης λευκοπενίας και ουδετεροπενίας πρέπει να ληφθεί υπόψη (</w:t>
      </w:r>
      <w:r w:rsidR="001613D1" w:rsidRPr="00105CDB">
        <w:rPr>
          <w:lang w:val="el-GR"/>
        </w:rPr>
        <w:t>βλέπε</w:t>
      </w:r>
      <w:r w:rsidR="00E847C5" w:rsidRPr="00105CDB">
        <w:rPr>
          <w:lang w:val="el-GR"/>
        </w:rPr>
        <w:t xml:space="preserve"> </w:t>
      </w:r>
      <w:r w:rsidRPr="00105CDB">
        <w:rPr>
          <w:lang w:val="el-GR"/>
        </w:rPr>
        <w:t>παραγράφους 4.2, 4.8 και 5.1)</w:t>
      </w:r>
    </w:p>
    <w:p w:rsidR="002E5870" w:rsidRPr="00105CDB" w:rsidRDefault="002E5870" w:rsidP="002E5870">
      <w:pPr>
        <w:widowControl w:val="0"/>
        <w:spacing w:line="240" w:lineRule="atLeast"/>
        <w:rPr>
          <w:lang w:val="el-GR"/>
        </w:rPr>
      </w:pPr>
      <w:r w:rsidRPr="00105CDB">
        <w:rPr>
          <w:lang w:val="el-GR"/>
        </w:rPr>
        <w:t xml:space="preserve">Το </w:t>
      </w:r>
      <w:proofErr w:type="spellStart"/>
      <w:r w:rsidRPr="00105CDB">
        <w:t>Valcyte</w:t>
      </w:r>
      <w:proofErr w:type="spellEnd"/>
      <w:r w:rsidRPr="00105CDB">
        <w:rPr>
          <w:lang w:val="el-GR"/>
        </w:rPr>
        <w:t xml:space="preserve"> πρέπει να χρησιμοποιείται με προσοχή σε ασθενείς με προϋπάρχουσα αιματολογική κυτταροπενία ή ιστορικό αιματολογικής κυτταροπενίας σχετιζόμενης με φάρμακα, καθώς και σε ασθενείς που υποβάλλονται σε ακτινοθεραπεία. </w:t>
      </w:r>
    </w:p>
    <w:p w:rsidR="00B81498" w:rsidRPr="00105CDB" w:rsidRDefault="00B81498" w:rsidP="002E5870">
      <w:pPr>
        <w:widowControl w:val="0"/>
        <w:spacing w:line="240" w:lineRule="atLeast"/>
        <w:rPr>
          <w:lang w:val="el-GR"/>
        </w:rPr>
      </w:pPr>
    </w:p>
    <w:p w:rsidR="002E5870" w:rsidRPr="00105CDB" w:rsidRDefault="00B81498" w:rsidP="002E5870">
      <w:pPr>
        <w:widowControl w:val="0"/>
        <w:spacing w:line="240" w:lineRule="atLeast"/>
        <w:rPr>
          <w:lang w:val="el-GR"/>
        </w:rPr>
      </w:pPr>
      <w:r w:rsidRPr="00105CDB">
        <w:rPr>
          <w:lang w:val="el-GR"/>
        </w:rPr>
        <w:t>Συνιστάται όπως, κατά τη διάρκεια της αγωγής, διενεργούνται πλήρεις γενικές εξετάσεις αίματος και ελέγχονται οι τιμές των αιμοπεταλίων</w:t>
      </w:r>
      <w:r w:rsidR="00140C16" w:rsidRPr="00105CDB">
        <w:rPr>
          <w:lang w:val="el-GR"/>
        </w:rPr>
        <w:t xml:space="preserve"> τακτικά</w:t>
      </w:r>
      <w:r w:rsidRPr="00105CDB">
        <w:rPr>
          <w:lang w:val="el-GR"/>
        </w:rPr>
        <w:t>.  Σε ασθενείς με νεφρική βλάβη</w:t>
      </w:r>
      <w:r w:rsidR="00140C16" w:rsidRPr="00105CDB">
        <w:rPr>
          <w:lang w:val="el-GR"/>
        </w:rPr>
        <w:t xml:space="preserve"> και σε παιδιατρικούς ασθενείς</w:t>
      </w:r>
      <w:r w:rsidRPr="00105CDB">
        <w:rPr>
          <w:lang w:val="el-GR"/>
        </w:rPr>
        <w:t xml:space="preserve">, πιθανόν να επιβάλλεται </w:t>
      </w:r>
      <w:r w:rsidR="00FD5E56" w:rsidRPr="00105CDB">
        <w:rPr>
          <w:lang w:val="el-GR"/>
        </w:rPr>
        <w:t>αυξημένος</w:t>
      </w:r>
      <w:r w:rsidRPr="00105CDB">
        <w:rPr>
          <w:lang w:val="el-GR"/>
        </w:rPr>
        <w:t xml:space="preserve"> αιματολογικός έλεγχος</w:t>
      </w:r>
      <w:r w:rsidR="00140C16" w:rsidRPr="00105CDB">
        <w:rPr>
          <w:lang w:val="el-GR"/>
        </w:rPr>
        <w:t>, τουλάχιστον κάθε φορά που επισκέπτεται ο ασθενής την κλινική μεταμοσχεύσεων</w:t>
      </w:r>
      <w:r w:rsidRPr="00105CDB">
        <w:rPr>
          <w:lang w:val="el-GR"/>
        </w:rPr>
        <w:t>.</w:t>
      </w:r>
      <w:r w:rsidRPr="00105CDB">
        <w:rPr>
          <w:b/>
          <w:lang w:val="el-GR"/>
        </w:rPr>
        <w:t xml:space="preserve"> </w:t>
      </w:r>
      <w:r w:rsidRPr="00105CDB">
        <w:rPr>
          <w:lang w:val="el-GR"/>
        </w:rPr>
        <w:t>Σε ασθενείς που αναπτύσσουν σοβαρή λευκοπενία, ουδετεροπενία, αναιμία και/ή θρομβοπενία συνιστάται όπως εξετασθεί το ενδεχόμενο αντιμετώπισης με αιμοποιητικούς αυξητικούς παράγοντες και/ή διακοπής της χορήγησης (</w:t>
      </w:r>
      <w:r w:rsidR="001613D1" w:rsidRPr="00105CDB">
        <w:rPr>
          <w:lang w:val="el-GR"/>
        </w:rPr>
        <w:t>βλέπε</w:t>
      </w:r>
      <w:r w:rsidR="00E847C5" w:rsidRPr="00105CDB">
        <w:rPr>
          <w:lang w:val="el-GR"/>
        </w:rPr>
        <w:t xml:space="preserve"> </w:t>
      </w:r>
      <w:r w:rsidR="009A51DB" w:rsidRPr="00105CDB">
        <w:rPr>
          <w:lang w:val="el-GR"/>
        </w:rPr>
        <w:t>παρ</w:t>
      </w:r>
      <w:r w:rsidR="00FE577A" w:rsidRPr="00105CDB">
        <w:rPr>
          <w:lang w:val="el-GR"/>
        </w:rPr>
        <w:t>άγραφο</w:t>
      </w:r>
      <w:r w:rsidR="009A51DB" w:rsidRPr="00105CDB">
        <w:rPr>
          <w:lang w:val="el-GR"/>
        </w:rPr>
        <w:t xml:space="preserve"> </w:t>
      </w:r>
      <w:r w:rsidRPr="00105CDB">
        <w:rPr>
          <w:lang w:val="el-GR"/>
        </w:rPr>
        <w:t>4.2).</w:t>
      </w:r>
    </w:p>
    <w:p w:rsidR="002E5870" w:rsidRPr="00105CDB" w:rsidRDefault="002E5870" w:rsidP="002E5870">
      <w:pPr>
        <w:widowControl w:val="0"/>
        <w:spacing w:line="240" w:lineRule="atLeast"/>
        <w:rPr>
          <w:lang w:val="el-GR"/>
        </w:rPr>
      </w:pPr>
    </w:p>
    <w:p w:rsidR="002E5870" w:rsidRPr="00105CDB" w:rsidRDefault="002E5870" w:rsidP="002E5870">
      <w:pPr>
        <w:widowControl w:val="0"/>
        <w:spacing w:line="240" w:lineRule="atLeast"/>
        <w:rPr>
          <w:lang w:val="el-GR"/>
        </w:rPr>
      </w:pPr>
      <w:r w:rsidRPr="00105CDB">
        <w:rPr>
          <w:lang w:val="el-GR"/>
        </w:rPr>
        <w:t xml:space="preserve">Η βιοδιαθεσιμότητα της γκανσικλοβίρης μετά από εφάπαξ δόση 900 </w:t>
      </w:r>
      <w:r w:rsidRPr="00105CDB">
        <w:t>mg</w:t>
      </w:r>
      <w:r w:rsidRPr="00105CDB">
        <w:rPr>
          <w:lang w:val="el-GR"/>
        </w:rPr>
        <w:t xml:space="preserve"> βαλγκανσικλοβίρης είναι περίπου 60%, συγκριτικώς με περίπου 6% μετά από χορήγηση 1000 </w:t>
      </w:r>
      <w:r w:rsidRPr="00105CDB">
        <w:t>mg</w:t>
      </w:r>
      <w:r w:rsidRPr="00105CDB">
        <w:rPr>
          <w:lang w:val="el-GR"/>
        </w:rPr>
        <w:t xml:space="preserve"> από του στόματος γκανσικλοβίρης (υπό μορφή καψακίων).  Η υπερβολική έκθεση στην γκανσικλοβίρη πιθανόν να σχετίζεται με απειλητικές για τη ζωή ανεπιθύμητες </w:t>
      </w:r>
      <w:r w:rsidR="00932410" w:rsidRPr="00105CDB">
        <w:rPr>
          <w:lang w:val="el-GR"/>
        </w:rPr>
        <w:t>αντιδράσεις</w:t>
      </w:r>
      <w:r w:rsidRPr="00105CDB">
        <w:rPr>
          <w:lang w:val="el-GR"/>
        </w:rPr>
        <w:t>.  Ως εκ τούτου, συνιστάται προσεκτική τήρηση των δοσολογικών συστάσεων κατά την έναρξη της αγωγής, κατά τη μετάταξη από την αγωγή εφόδου στην αγωγή συντήρησης, καθώς και σε ασθενείς που ενδεχομένως μετατάσσονται από γκανσικλοβίρη από του στόματος σε βαλγκανσικλοβίρη, καθώς το Valcyte δεν μπορεί να χρησιμοποιηθεί σε αντικατάσταση των καψακίων γκανσικλοβίρης σε αναλογία 1:1. Οι ασθενείς που μετατάσσονται από τα καψάκια γκανσικλοβίρης θα πρέπει να ενημερώνονται για τον κίνδυνο υπερδοσολογίας σε περίπτωση λήψης μεγαλύτερου από τον συνιστώμενο αριθμού δισκίων Valcyte (</w:t>
      </w:r>
      <w:r w:rsidR="001613D1" w:rsidRPr="00105CDB">
        <w:rPr>
          <w:lang w:val="el-GR"/>
        </w:rPr>
        <w:t>βλέπε</w:t>
      </w:r>
      <w:r w:rsidR="00E847C5" w:rsidRPr="00105CDB">
        <w:rPr>
          <w:lang w:val="el-GR"/>
        </w:rPr>
        <w:t xml:space="preserve"> </w:t>
      </w:r>
      <w:r w:rsidR="009A51DB" w:rsidRPr="00105CDB">
        <w:rPr>
          <w:lang w:val="el-GR"/>
        </w:rPr>
        <w:t xml:space="preserve">παραγράφους </w:t>
      </w:r>
      <w:r w:rsidRPr="00105CDB">
        <w:rPr>
          <w:lang w:val="el-GR"/>
        </w:rPr>
        <w:t xml:space="preserve">4.2 </w:t>
      </w:r>
      <w:r w:rsidR="004F4974" w:rsidRPr="00105CDB">
        <w:rPr>
          <w:lang w:val="el-GR"/>
        </w:rPr>
        <w:t>και</w:t>
      </w:r>
      <w:r w:rsidRPr="00105CDB">
        <w:rPr>
          <w:lang w:val="el-GR"/>
        </w:rPr>
        <w:t xml:space="preserve"> 4.9). </w:t>
      </w:r>
    </w:p>
    <w:p w:rsidR="005D038C" w:rsidRPr="00105CDB" w:rsidRDefault="005D038C" w:rsidP="002E5870">
      <w:pPr>
        <w:widowControl w:val="0"/>
        <w:spacing w:line="240" w:lineRule="atLeast"/>
        <w:rPr>
          <w:lang w:val="el-GR"/>
        </w:rPr>
      </w:pPr>
    </w:p>
    <w:p w:rsidR="002E5870" w:rsidRPr="00105CDB" w:rsidRDefault="005D038C" w:rsidP="005D038C">
      <w:pPr>
        <w:widowControl w:val="0"/>
        <w:spacing w:line="240" w:lineRule="atLeast"/>
        <w:rPr>
          <w:lang w:val="el-GR"/>
        </w:rPr>
      </w:pPr>
      <w:r w:rsidRPr="00105CDB">
        <w:rPr>
          <w:lang w:val="el-GR"/>
        </w:rPr>
        <w:t>Σε ασθενείς με μειωμένη νεφρική λειτουργία, απαιτείται προσαρμογή της δόσης βάσει της κάθαρσης κρεατινίνης (</w:t>
      </w:r>
      <w:r w:rsidR="001613D1" w:rsidRPr="00105CDB">
        <w:rPr>
          <w:lang w:val="el-GR"/>
        </w:rPr>
        <w:t>βλέπε</w:t>
      </w:r>
      <w:r w:rsidR="00E847C5" w:rsidRPr="00105CDB">
        <w:rPr>
          <w:lang w:val="el-GR"/>
        </w:rPr>
        <w:t xml:space="preserve"> </w:t>
      </w:r>
      <w:r w:rsidR="009A51DB" w:rsidRPr="00105CDB">
        <w:rPr>
          <w:lang w:val="el-GR"/>
        </w:rPr>
        <w:t xml:space="preserve">παραγράφους </w:t>
      </w:r>
      <w:r w:rsidRPr="00105CDB">
        <w:rPr>
          <w:lang w:val="el-GR"/>
        </w:rPr>
        <w:t>4.2 και  5.2).</w:t>
      </w:r>
    </w:p>
    <w:p w:rsidR="005D038C" w:rsidRPr="00105CDB" w:rsidRDefault="005D038C" w:rsidP="005D038C">
      <w:pPr>
        <w:widowControl w:val="0"/>
        <w:spacing w:line="240" w:lineRule="atLeast"/>
        <w:rPr>
          <w:i/>
          <w:lang w:val="el-GR"/>
        </w:rPr>
      </w:pPr>
    </w:p>
    <w:p w:rsidR="005D038C" w:rsidRPr="00105CDB" w:rsidRDefault="005D038C" w:rsidP="005D038C">
      <w:pPr>
        <w:widowControl w:val="0"/>
        <w:spacing w:line="240" w:lineRule="atLeast"/>
        <w:rPr>
          <w:lang w:val="el-GR"/>
        </w:rPr>
      </w:pPr>
      <w:r w:rsidRPr="00105CDB">
        <w:rPr>
          <w:lang w:val="el-GR"/>
        </w:rPr>
        <w:t>Τ</w:t>
      </w:r>
      <w:r w:rsidR="004724B7" w:rsidRPr="00105CDB">
        <w:rPr>
          <w:lang w:val="el-GR"/>
        </w:rPr>
        <w:t>α</w:t>
      </w:r>
      <w:r w:rsidRPr="00105CDB">
        <w:rPr>
          <w:lang w:val="el-GR"/>
        </w:rPr>
        <w:t xml:space="preserve"> </w:t>
      </w:r>
      <w:r w:rsidR="004724B7" w:rsidRPr="00105CDB">
        <w:rPr>
          <w:lang w:val="el-GR"/>
        </w:rPr>
        <w:t xml:space="preserve">επικαλυμμένα με λεπτό υμένιο δισκία </w:t>
      </w:r>
      <w:proofErr w:type="spellStart"/>
      <w:r w:rsidRPr="00105CDB">
        <w:t>Valcyte</w:t>
      </w:r>
      <w:proofErr w:type="spellEnd"/>
      <w:r w:rsidRPr="00105CDB">
        <w:rPr>
          <w:lang w:val="el-GR"/>
        </w:rPr>
        <w:t xml:space="preserve"> δεν πρέπει να χρησιμοποι</w:t>
      </w:r>
      <w:r w:rsidR="004724B7" w:rsidRPr="00105CDB">
        <w:rPr>
          <w:lang w:val="el-GR"/>
        </w:rPr>
        <w:t>ούν</w:t>
      </w:r>
      <w:r w:rsidRPr="00105CDB">
        <w:rPr>
          <w:lang w:val="el-GR"/>
        </w:rPr>
        <w:t>ται σε ασθενείς υπό αιμοκάθαρση (</w:t>
      </w:r>
      <w:r w:rsidR="001613D1" w:rsidRPr="00105CDB">
        <w:rPr>
          <w:lang w:val="el-GR"/>
        </w:rPr>
        <w:t>βλέπε</w:t>
      </w:r>
      <w:r w:rsidR="00E847C5" w:rsidRPr="00105CDB">
        <w:rPr>
          <w:lang w:val="el-GR"/>
        </w:rPr>
        <w:t xml:space="preserve"> </w:t>
      </w:r>
      <w:r w:rsidR="00E96C2F" w:rsidRPr="00105CDB">
        <w:rPr>
          <w:lang w:val="el-GR"/>
        </w:rPr>
        <w:t xml:space="preserve">παραγράφους  </w:t>
      </w:r>
      <w:r w:rsidRPr="00105CDB">
        <w:rPr>
          <w:lang w:val="el-GR"/>
        </w:rPr>
        <w:t>4.2 και 5.2).</w:t>
      </w:r>
    </w:p>
    <w:p w:rsidR="002E5870" w:rsidRPr="00105CDB" w:rsidRDefault="002E5870" w:rsidP="002E5870">
      <w:pPr>
        <w:widowControl w:val="0"/>
        <w:spacing w:line="240" w:lineRule="atLeast"/>
        <w:rPr>
          <w:lang w:val="el-GR"/>
        </w:rPr>
      </w:pPr>
    </w:p>
    <w:p w:rsidR="002E5870" w:rsidRPr="00105CDB" w:rsidRDefault="002E5870" w:rsidP="002E5870">
      <w:pPr>
        <w:widowControl w:val="0"/>
        <w:spacing w:line="240" w:lineRule="atLeast"/>
        <w:rPr>
          <w:lang w:val="el-GR"/>
        </w:rPr>
      </w:pPr>
      <w:r w:rsidRPr="00105CDB">
        <w:rPr>
          <w:lang w:val="el-GR"/>
        </w:rPr>
        <w:t>Έχουν αναφερθεί σπασμοί σε ασθενείς υπό ιμιπενέμη – σιλαστατίνη και γκανσικλοβίρη. Το Valcyt</w:t>
      </w:r>
      <w:r w:rsidRPr="00105CDB">
        <w:t>e</w:t>
      </w:r>
      <w:r w:rsidRPr="00105CDB">
        <w:rPr>
          <w:lang w:val="el-GR"/>
        </w:rPr>
        <w:t xml:space="preserve"> δεν πρέπει να χρησιμοποιείται ταυτόχρονα με ιμιπενέμη – σιλαστατίνη εκτός εάν τα πιθανά οφέλη υπερβαίνουν τους πιθανούς κινδύνους (</w:t>
      </w:r>
      <w:r w:rsidR="001613D1" w:rsidRPr="00105CDB">
        <w:rPr>
          <w:lang w:val="el-GR"/>
        </w:rPr>
        <w:t>βλέπε</w:t>
      </w:r>
      <w:r w:rsidR="00E847C5" w:rsidRPr="00105CDB">
        <w:rPr>
          <w:lang w:val="el-GR"/>
        </w:rPr>
        <w:t xml:space="preserve"> </w:t>
      </w:r>
      <w:r w:rsidR="003E46DB" w:rsidRPr="00105CDB">
        <w:rPr>
          <w:lang w:val="el-GR"/>
        </w:rPr>
        <w:t xml:space="preserve">παράγραφο </w:t>
      </w:r>
      <w:r w:rsidRPr="00105CDB">
        <w:rPr>
          <w:lang w:val="el-GR"/>
        </w:rPr>
        <w:t>4.5).</w:t>
      </w:r>
    </w:p>
    <w:p w:rsidR="002E5870" w:rsidRPr="00105CDB" w:rsidRDefault="002E5870" w:rsidP="002E5870">
      <w:pPr>
        <w:pStyle w:val="a8"/>
        <w:widowControl w:val="0"/>
        <w:tabs>
          <w:tab w:val="clear" w:pos="567"/>
        </w:tabs>
        <w:spacing w:line="240" w:lineRule="atLeast"/>
        <w:rPr>
          <w:lang w:val="el-GR"/>
        </w:rPr>
      </w:pPr>
    </w:p>
    <w:p w:rsidR="002E5870" w:rsidRPr="00105CDB" w:rsidRDefault="002E5870" w:rsidP="002E5870">
      <w:pPr>
        <w:widowControl w:val="0"/>
        <w:spacing w:line="240" w:lineRule="atLeast"/>
        <w:rPr>
          <w:lang w:val="el-GR"/>
        </w:rPr>
      </w:pPr>
      <w:r w:rsidRPr="00105CDB">
        <w:rPr>
          <w:lang w:val="el-GR"/>
        </w:rPr>
        <w:t xml:space="preserve">Οι ασθενείς </w:t>
      </w:r>
      <w:r w:rsidR="00CB7566" w:rsidRPr="00105CDB">
        <w:rPr>
          <w:lang w:val="el-GR"/>
        </w:rPr>
        <w:t xml:space="preserve">που λαμβάνουν αγωγή με </w:t>
      </w:r>
      <w:r w:rsidRPr="00105CDB">
        <w:rPr>
          <w:lang w:val="el-GR"/>
        </w:rPr>
        <w:t xml:space="preserve"> Valcyt</w:t>
      </w:r>
      <w:r w:rsidRPr="00105CDB">
        <w:t>e</w:t>
      </w:r>
      <w:r w:rsidRPr="00105CDB">
        <w:rPr>
          <w:lang w:val="el-GR"/>
        </w:rPr>
        <w:t xml:space="preserve"> και (α) διδανοσίνη, (β) φάρμακα για τα οποία είναι γνωστό πως είναι μυελοκατασταλτικά (π.χ. ζιδοβουδίνη) ή (γ) ουσίες που επηρεάζουν τη νεφρική λειτουργία, πρέπει να παρακολουθούνται στενά για σημεία αθροιστικής τοξικότητας (</w:t>
      </w:r>
      <w:r w:rsidR="001613D1" w:rsidRPr="00105CDB">
        <w:rPr>
          <w:lang w:val="el-GR"/>
        </w:rPr>
        <w:t>βλέπε</w:t>
      </w:r>
      <w:r w:rsidR="00D72913" w:rsidRPr="00105CDB">
        <w:rPr>
          <w:lang w:val="el-GR"/>
        </w:rPr>
        <w:t xml:space="preserve"> </w:t>
      </w:r>
      <w:r w:rsidR="003E46DB" w:rsidRPr="00105CDB">
        <w:rPr>
          <w:lang w:val="el-GR"/>
        </w:rPr>
        <w:t xml:space="preserve">παράγραφο </w:t>
      </w:r>
      <w:r w:rsidRPr="00105CDB">
        <w:rPr>
          <w:lang w:val="el-GR"/>
        </w:rPr>
        <w:t>4.5).</w:t>
      </w:r>
    </w:p>
    <w:p w:rsidR="002E5870" w:rsidRPr="00105CDB" w:rsidRDefault="002E5870" w:rsidP="002E5870">
      <w:pPr>
        <w:widowControl w:val="0"/>
        <w:spacing w:line="240" w:lineRule="atLeast"/>
        <w:rPr>
          <w:lang w:val="el-GR"/>
        </w:rPr>
      </w:pPr>
    </w:p>
    <w:p w:rsidR="002E5870" w:rsidRPr="00105CDB" w:rsidRDefault="002E5870" w:rsidP="002E5870">
      <w:pPr>
        <w:widowControl w:val="0"/>
        <w:spacing w:line="240" w:lineRule="atLeast"/>
        <w:rPr>
          <w:lang w:val="el-GR"/>
        </w:rPr>
      </w:pPr>
      <w:r w:rsidRPr="00105CDB">
        <w:rPr>
          <w:lang w:val="el-GR"/>
        </w:rPr>
        <w:t>Στην ελεγχόμενη κλινική μελέτη, όπου χρησιμοποιήθηκε βαλγκανσικλοβίρη για τη θεραπεία πρόληψης από τη νόσο CMV στη μεταμόσχευση, όπως περιγράφεται λεπτομερώς στ</w:t>
      </w:r>
      <w:r w:rsidR="003E46DB" w:rsidRPr="00105CDB">
        <w:rPr>
          <w:lang w:val="el-GR"/>
        </w:rPr>
        <w:t>ην</w:t>
      </w:r>
      <w:r w:rsidRPr="00105CDB">
        <w:rPr>
          <w:lang w:val="el-GR"/>
        </w:rPr>
        <w:t xml:space="preserve"> </w:t>
      </w:r>
      <w:r w:rsidR="003E46DB" w:rsidRPr="00105CDB">
        <w:rPr>
          <w:lang w:val="el-GR"/>
        </w:rPr>
        <w:t xml:space="preserve"> παράγραφο</w:t>
      </w:r>
      <w:r w:rsidRPr="00105CDB">
        <w:rPr>
          <w:lang w:val="el-GR"/>
        </w:rPr>
        <w:t xml:space="preserve"> 5.1, δεν συμπεριλαμβάνονταν λήπτες πνευμονικού και εντερικού μοσχεύματος. Ως εκ τούτου, η </w:t>
      </w:r>
      <w:r w:rsidRPr="00105CDB">
        <w:rPr>
          <w:lang w:val="el-GR"/>
        </w:rPr>
        <w:lastRenderedPageBreak/>
        <w:t>εμπειρία σε αυτούς τους μεταμοσχευθέντες ασθενείς είναι περιορισμένη.</w:t>
      </w:r>
    </w:p>
    <w:p w:rsidR="0091534A" w:rsidRPr="00105CDB" w:rsidRDefault="0091534A" w:rsidP="0091534A">
      <w:pPr>
        <w:rPr>
          <w:lang w:val="el-GR"/>
        </w:rPr>
      </w:pPr>
    </w:p>
    <w:p w:rsidR="0091534A" w:rsidRPr="00105CDB" w:rsidRDefault="0091534A" w:rsidP="0049166C">
      <w:pPr>
        <w:ind w:left="567" w:hanging="567"/>
        <w:rPr>
          <w:lang w:val="el-GR"/>
        </w:rPr>
      </w:pPr>
      <w:r w:rsidRPr="00105CDB">
        <w:rPr>
          <w:b/>
          <w:lang w:val="el-GR"/>
        </w:rPr>
        <w:t>4.5</w:t>
      </w:r>
      <w:r w:rsidRPr="00105CDB">
        <w:rPr>
          <w:b/>
          <w:lang w:val="el-GR"/>
        </w:rPr>
        <w:tab/>
        <w:t>Αλληλεπιδράσεις με άλλα φαρμακευτικά προϊόντα και άλλες μορφές αλληλεπίδρασης</w:t>
      </w:r>
    </w:p>
    <w:p w:rsidR="0091534A" w:rsidRPr="00105CDB" w:rsidRDefault="0091534A" w:rsidP="0091534A">
      <w:pPr>
        <w:rPr>
          <w:lang w:val="el-GR"/>
        </w:rPr>
      </w:pPr>
    </w:p>
    <w:p w:rsidR="007B418A" w:rsidRPr="00105CDB" w:rsidRDefault="007B418A" w:rsidP="007B418A">
      <w:pPr>
        <w:widowControl w:val="0"/>
        <w:spacing w:line="240" w:lineRule="atLeast"/>
        <w:rPr>
          <w:u w:val="single"/>
          <w:lang w:val="el-GR"/>
        </w:rPr>
      </w:pPr>
      <w:r w:rsidRPr="00105CDB">
        <w:rPr>
          <w:u w:val="single"/>
          <w:lang w:val="el-GR"/>
        </w:rPr>
        <w:t xml:space="preserve">Φαρμακευτικές αλληλεπιδράσεις της βαλγκανσικλοβίρης </w:t>
      </w:r>
    </w:p>
    <w:p w:rsidR="007B418A" w:rsidRPr="00105CDB" w:rsidRDefault="007B418A" w:rsidP="007B418A">
      <w:pPr>
        <w:widowControl w:val="0"/>
        <w:spacing w:line="240" w:lineRule="atLeast"/>
        <w:rPr>
          <w:lang w:val="el-GR"/>
        </w:rPr>
      </w:pPr>
      <w:r w:rsidRPr="00105CDB">
        <w:rPr>
          <w:lang w:val="el-GR"/>
        </w:rPr>
        <w:t xml:space="preserve">Δεν έχουν διενεργηθεί </w:t>
      </w:r>
      <w:r w:rsidRPr="00105CDB">
        <w:rPr>
          <w:i/>
        </w:rPr>
        <w:t>in</w:t>
      </w:r>
      <w:r w:rsidRPr="00105CDB">
        <w:rPr>
          <w:i/>
          <w:lang w:val="el-GR"/>
        </w:rPr>
        <w:t>-</w:t>
      </w:r>
      <w:r w:rsidRPr="00105CDB">
        <w:rPr>
          <w:i/>
        </w:rPr>
        <w:t>vivo</w:t>
      </w:r>
      <w:r w:rsidRPr="00105CDB">
        <w:rPr>
          <w:lang w:val="el-GR"/>
        </w:rPr>
        <w:t xml:space="preserve"> μελέτες φαρμακευτικών αλληλεπιδράσεων με το Valcyte. Επειδή η βαλγκανσικλοβίρη μεταβολίζεται ταχέως και εκτεταμένως προς γκανσικλοβίρη, οι φαρμακευτικές αλληλεπιδράσεις που συνδέονται με την γκανσικλοβίρη αναμένονται και για τη βαλγκανσικλοβίρη.</w:t>
      </w:r>
    </w:p>
    <w:p w:rsidR="007B418A" w:rsidRPr="00105CDB" w:rsidRDefault="007B418A" w:rsidP="007B418A">
      <w:pPr>
        <w:widowControl w:val="0"/>
        <w:spacing w:line="240" w:lineRule="atLeast"/>
        <w:ind w:left="1440"/>
        <w:rPr>
          <w:lang w:val="el-GR"/>
        </w:rPr>
      </w:pPr>
    </w:p>
    <w:p w:rsidR="004724B7" w:rsidRPr="00105CDB" w:rsidRDefault="00140C16" w:rsidP="00F67ACB">
      <w:pPr>
        <w:pStyle w:val="7"/>
        <w:keepNext w:val="0"/>
        <w:spacing w:line="240" w:lineRule="atLeast"/>
        <w:rPr>
          <w:i w:val="0"/>
          <w:u w:val="single"/>
          <w:lang w:val="el-GR"/>
        </w:rPr>
      </w:pPr>
      <w:r w:rsidRPr="00105CDB">
        <w:rPr>
          <w:i w:val="0"/>
          <w:u w:val="single"/>
          <w:lang w:val="el-GR"/>
        </w:rPr>
        <w:t>Φαρμακευτικές αλληλεπιδράσεις</w:t>
      </w:r>
      <w:r w:rsidR="007B418A" w:rsidRPr="00105CDB">
        <w:rPr>
          <w:i w:val="0"/>
          <w:u w:val="single"/>
          <w:lang w:val="el-GR"/>
        </w:rPr>
        <w:t xml:space="preserve"> της γκανσικλοβίρης</w:t>
      </w:r>
    </w:p>
    <w:p w:rsidR="007B418A" w:rsidRPr="00105CDB" w:rsidRDefault="007B418A" w:rsidP="00F67ACB">
      <w:pPr>
        <w:pStyle w:val="7"/>
        <w:keepNext w:val="0"/>
        <w:spacing w:line="240" w:lineRule="atLeast"/>
        <w:rPr>
          <w:lang w:val="el-GR"/>
        </w:rPr>
      </w:pPr>
      <w:r w:rsidRPr="00105CDB">
        <w:rPr>
          <w:lang w:val="el-GR"/>
        </w:rPr>
        <w:t>Ιμιπενέμη – σιλαστατίνη</w:t>
      </w:r>
    </w:p>
    <w:p w:rsidR="007B418A" w:rsidRPr="00105CDB" w:rsidRDefault="007B418A" w:rsidP="007B418A">
      <w:pPr>
        <w:rPr>
          <w:lang w:val="el-GR"/>
        </w:rPr>
      </w:pPr>
      <w:r w:rsidRPr="00105CDB">
        <w:rPr>
          <w:lang w:val="el-GR"/>
        </w:rPr>
        <w:t>Έχουν αναφερθεί σπασμοί σε ασθενείς που λαμβάνουν ταυτόχρονα γκανσικλοβίρη και ιμιπενέμη - σιλαστατίνη.  Τα φάρμακα αυτά δεν πρέπει να λαμβάνονται ταυτόχρονα, εκτός εάν τα πιθανά οφέλη υπερβαίνουν τους πιθανούς κινδύνους (</w:t>
      </w:r>
      <w:r w:rsidR="001613D1" w:rsidRPr="00105CDB">
        <w:rPr>
          <w:lang w:val="el-GR"/>
        </w:rPr>
        <w:t>βλέπε</w:t>
      </w:r>
      <w:r w:rsidR="00D72913" w:rsidRPr="00105CDB">
        <w:rPr>
          <w:lang w:val="el-GR"/>
        </w:rPr>
        <w:t xml:space="preserve"> </w:t>
      </w:r>
      <w:r w:rsidR="00AC6182" w:rsidRPr="00105CDB">
        <w:rPr>
          <w:lang w:val="el-GR"/>
        </w:rPr>
        <w:t>παράγραφο</w:t>
      </w:r>
      <w:r w:rsidR="00011551" w:rsidRPr="00105CDB">
        <w:rPr>
          <w:lang w:val="el-GR"/>
        </w:rPr>
        <w:t xml:space="preserve"> </w:t>
      </w:r>
      <w:r w:rsidRPr="00105CDB">
        <w:rPr>
          <w:lang w:val="el-GR"/>
        </w:rPr>
        <w:t>4.4).</w:t>
      </w:r>
    </w:p>
    <w:p w:rsidR="007B418A" w:rsidRPr="00105CDB" w:rsidRDefault="007B418A" w:rsidP="007B418A">
      <w:pPr>
        <w:widowControl w:val="0"/>
        <w:spacing w:line="240" w:lineRule="atLeast"/>
        <w:ind w:left="1440"/>
        <w:rPr>
          <w:i/>
          <w:lang w:val="el-GR"/>
        </w:rPr>
      </w:pPr>
    </w:p>
    <w:p w:rsidR="007B418A" w:rsidRPr="00105CDB" w:rsidRDefault="007B418A" w:rsidP="007B418A">
      <w:pPr>
        <w:pStyle w:val="2"/>
        <w:widowControl w:val="0"/>
        <w:spacing w:line="240" w:lineRule="atLeast"/>
        <w:ind w:left="0"/>
        <w:rPr>
          <w:b w:val="0"/>
          <w:i/>
          <w:lang w:val="el-GR"/>
        </w:rPr>
      </w:pPr>
      <w:r w:rsidRPr="00105CDB">
        <w:rPr>
          <w:b w:val="0"/>
          <w:lang w:val="el-GR"/>
        </w:rPr>
        <w:t xml:space="preserve">          </w:t>
      </w:r>
      <w:r w:rsidRPr="00105CDB">
        <w:rPr>
          <w:b w:val="0"/>
          <w:i/>
          <w:lang w:val="el-GR"/>
        </w:rPr>
        <w:t>Προβενεσίδη</w:t>
      </w:r>
    </w:p>
    <w:p w:rsidR="007B4B9B" w:rsidRPr="00105CDB" w:rsidRDefault="007B418A" w:rsidP="007B4B9B">
      <w:pPr>
        <w:pStyle w:val="8"/>
        <w:spacing w:line="240" w:lineRule="atLeast"/>
        <w:rPr>
          <w:sz w:val="22"/>
          <w:lang w:val="el-GR"/>
        </w:rPr>
      </w:pPr>
      <w:r w:rsidRPr="00105CDB">
        <w:rPr>
          <w:lang w:val="el-GR"/>
        </w:rPr>
        <w:t xml:space="preserve">Η χορήγηση προβενεσίδης με από του στόματος γκανσικλοβίρη είχε σαν αποτέλεσμα στατιστικώς σημαντική μείωση της νεφρικής κάθαρσης της γκανσικλοβίρης (20%), που προκαλούσε στατιστικώς σημαντική αύξηση της έκθεσης (40%).  Οι μεταβολές αυτές ευρίσκονται σε συμφωνία με ένα μηχανισμό αλληλεπίδρασης που περιλαμβάνει ανταγωνισμό για νεφρική σωληναριακή απέκκριση.  Ως εκ τούτου, οι ασθενείς που λαμβάνουν προβενεσίδη και </w:t>
      </w:r>
      <w:proofErr w:type="spellStart"/>
      <w:r w:rsidRPr="00105CDB">
        <w:t>Valcyte</w:t>
      </w:r>
      <w:proofErr w:type="spellEnd"/>
      <w:r w:rsidRPr="00105CDB">
        <w:rPr>
          <w:lang w:val="el-GR"/>
        </w:rPr>
        <w:t xml:space="preserve"> θα πρέπει να παρακολουθούνται στενά για τοξικότητα που οφείλεται στην γκανσικλοβίρη.</w:t>
      </w:r>
      <w:r w:rsidR="007B4B9B" w:rsidRPr="00105CDB">
        <w:rPr>
          <w:sz w:val="22"/>
          <w:lang w:val="el-GR"/>
        </w:rPr>
        <w:t>Τριμεθοπρίμη</w:t>
      </w:r>
    </w:p>
    <w:p w:rsidR="007B4B9B" w:rsidRPr="00105CDB" w:rsidRDefault="007B4B9B" w:rsidP="007B4B9B">
      <w:pPr>
        <w:widowControl w:val="0"/>
        <w:spacing w:line="240" w:lineRule="atLeast"/>
        <w:rPr>
          <w:lang w:val="el-GR"/>
        </w:rPr>
      </w:pPr>
      <w:r w:rsidRPr="00105CDB">
        <w:rPr>
          <w:lang w:val="el-GR"/>
        </w:rPr>
        <w:t>Δεν έχει παρατηρηθεί κλινικά σημαντική φαρμακοκινητική αλληλεπίδραση επί ταυτόχρονης χορήγησης τριμεθοπρίμης και από του στόματος γκανσικλοβίρης.  Ωστόσο, υπάρχει δυνατότητα ενίσχυσης της τοξικότητας, καθώς είναι γνωστό ότι και τα δύο φάρμακα είναι μυελοκατασταλτικά, και κατά συνέπεια και τα δύο φάρμακα θα πρέπει να χρησιμοποιούνται ταυτόχρονα μόνον εάν τα πιθανά οφέλη υπερβαίνουν τους κινδύνους.</w:t>
      </w:r>
    </w:p>
    <w:p w:rsidR="006009F5" w:rsidRPr="00105CDB" w:rsidRDefault="006009F5" w:rsidP="006009F5">
      <w:pPr>
        <w:pStyle w:val="7"/>
        <w:keepNext w:val="0"/>
        <w:spacing w:line="240" w:lineRule="atLeast"/>
        <w:rPr>
          <w:i w:val="0"/>
          <w:u w:val="single"/>
          <w:lang w:val="el-GR"/>
        </w:rPr>
      </w:pPr>
    </w:p>
    <w:p w:rsidR="00884D55" w:rsidRPr="00105CDB" w:rsidRDefault="007B418A" w:rsidP="00884D55">
      <w:pPr>
        <w:widowControl w:val="0"/>
        <w:spacing w:line="240" w:lineRule="atLeast"/>
        <w:ind w:left="1440"/>
        <w:rPr>
          <w:lang w:val="el-GR"/>
        </w:rPr>
      </w:pPr>
      <w:r w:rsidRPr="00105CDB">
        <w:rPr>
          <w:lang w:val="el-GR"/>
        </w:rPr>
        <w:t xml:space="preserve"> </w:t>
      </w:r>
    </w:p>
    <w:p w:rsidR="007B418A" w:rsidRPr="00105CDB" w:rsidRDefault="007B418A" w:rsidP="00884D55">
      <w:pPr>
        <w:widowControl w:val="0"/>
        <w:spacing w:line="240" w:lineRule="atLeast"/>
        <w:rPr>
          <w:i/>
          <w:lang w:val="el-GR"/>
        </w:rPr>
      </w:pPr>
      <w:proofErr w:type="spellStart"/>
      <w:r w:rsidRPr="00105CDB">
        <w:rPr>
          <w:i/>
        </w:rPr>
        <w:t>Mycophenolate</w:t>
      </w:r>
      <w:proofErr w:type="spellEnd"/>
      <w:r w:rsidRPr="00105CDB">
        <w:rPr>
          <w:i/>
          <w:lang w:val="el-GR"/>
        </w:rPr>
        <w:t xml:space="preserve"> </w:t>
      </w:r>
      <w:proofErr w:type="spellStart"/>
      <w:r w:rsidRPr="00105CDB">
        <w:rPr>
          <w:i/>
        </w:rPr>
        <w:t>Mofetil</w:t>
      </w:r>
      <w:proofErr w:type="spellEnd"/>
    </w:p>
    <w:p w:rsidR="007B418A" w:rsidRPr="00105CDB" w:rsidRDefault="007B418A" w:rsidP="00150219">
      <w:pPr>
        <w:widowControl w:val="0"/>
        <w:spacing w:line="240" w:lineRule="atLeast"/>
        <w:rPr>
          <w:lang w:val="el-GR"/>
        </w:rPr>
      </w:pPr>
      <w:r w:rsidRPr="00105CDB">
        <w:rPr>
          <w:lang w:val="el-GR"/>
        </w:rPr>
        <w:t xml:space="preserve">Δεδομένου ότι τόσο το </w:t>
      </w:r>
      <w:proofErr w:type="spellStart"/>
      <w:r w:rsidR="00140C16" w:rsidRPr="00105CDB">
        <w:t>mycophenolate</w:t>
      </w:r>
      <w:proofErr w:type="spellEnd"/>
      <w:r w:rsidR="00140C16" w:rsidRPr="00105CDB">
        <w:rPr>
          <w:lang w:val="el-GR"/>
        </w:rPr>
        <w:t xml:space="preserve"> </w:t>
      </w:r>
      <w:proofErr w:type="spellStart"/>
      <w:r w:rsidR="00140C16" w:rsidRPr="00105CDB">
        <w:t>mofetil</w:t>
      </w:r>
      <w:proofErr w:type="spellEnd"/>
      <w:r w:rsidR="00140C16" w:rsidRPr="00105CDB">
        <w:rPr>
          <w:lang w:val="el-GR"/>
        </w:rPr>
        <w:t xml:space="preserve"> (</w:t>
      </w:r>
      <w:r w:rsidRPr="00105CDB">
        <w:t>MMF</w:t>
      </w:r>
      <w:r w:rsidR="00140C16" w:rsidRPr="00105CDB">
        <w:rPr>
          <w:lang w:val="el-GR"/>
        </w:rPr>
        <w:t>)</w:t>
      </w:r>
      <w:r w:rsidRPr="00105CDB">
        <w:rPr>
          <w:lang w:val="el-GR"/>
        </w:rPr>
        <w:t xml:space="preserve"> όσο και η γκανσικλοβίρη </w:t>
      </w:r>
      <w:r w:rsidR="009D13A0" w:rsidRPr="00105CDB">
        <w:rPr>
          <w:lang w:val="el-GR"/>
        </w:rPr>
        <w:t>μπορούν να προκαλέσουν</w:t>
      </w:r>
      <w:r w:rsidRPr="00105CDB">
        <w:rPr>
          <w:lang w:val="el-GR"/>
        </w:rPr>
        <w:t xml:space="preserve"> ουδετ</w:t>
      </w:r>
      <w:r w:rsidR="003B5D89" w:rsidRPr="00105CDB">
        <w:rPr>
          <w:lang w:val="el-GR"/>
        </w:rPr>
        <w:t>ε</w:t>
      </w:r>
      <w:r w:rsidRPr="00105CDB">
        <w:rPr>
          <w:lang w:val="el-GR"/>
        </w:rPr>
        <w:t>ροπενία και λευκοπενία, οι ασθενείς θα πρέπει να παρακολουθούνται για αθροιστική τοξικότητα.</w:t>
      </w:r>
    </w:p>
    <w:p w:rsidR="007B418A" w:rsidRPr="00105CDB" w:rsidRDefault="007B418A" w:rsidP="007B418A">
      <w:pPr>
        <w:pStyle w:val="8"/>
        <w:spacing w:line="240" w:lineRule="atLeast"/>
        <w:rPr>
          <w:sz w:val="22"/>
          <w:lang w:val="el-GR"/>
        </w:rPr>
      </w:pPr>
      <w:r w:rsidRPr="00105CDB">
        <w:rPr>
          <w:sz w:val="22"/>
          <w:lang w:val="el-GR"/>
        </w:rPr>
        <w:t>Σταβουδίνη</w:t>
      </w:r>
    </w:p>
    <w:p w:rsidR="007B418A" w:rsidRPr="00105CDB" w:rsidRDefault="007B418A" w:rsidP="00150219">
      <w:pPr>
        <w:widowControl w:val="0"/>
        <w:spacing w:line="240" w:lineRule="atLeast"/>
        <w:rPr>
          <w:lang w:val="el-GR"/>
        </w:rPr>
      </w:pPr>
      <w:r w:rsidRPr="00105CDB">
        <w:rPr>
          <w:lang w:val="el-GR"/>
        </w:rPr>
        <w:t>Κατά τη συνδυασμένη χορήγηση σταβουδίνης και από του στόματος γκανσικλοβίρης, δεν παρατηρήθηκαν κλινικώς σημαντικές αλληλεπιδράσεις.</w:t>
      </w:r>
    </w:p>
    <w:p w:rsidR="00140C16" w:rsidRPr="00105CDB" w:rsidRDefault="00140C16" w:rsidP="00403333">
      <w:pPr>
        <w:pStyle w:val="8"/>
        <w:spacing w:line="240" w:lineRule="atLeast"/>
        <w:rPr>
          <w:b/>
          <w:i w:val="0"/>
          <w:lang w:val="el-GR"/>
        </w:rPr>
      </w:pPr>
      <w:r w:rsidRPr="00105CDB">
        <w:rPr>
          <w:sz w:val="22"/>
          <w:lang w:val="el-GR"/>
        </w:rPr>
        <w:t>Ζιδοβουδίνη</w:t>
      </w:r>
    </w:p>
    <w:p w:rsidR="00140C16" w:rsidRPr="00105CDB" w:rsidRDefault="00140C16" w:rsidP="00403333">
      <w:pPr>
        <w:rPr>
          <w:lang w:val="el-GR"/>
        </w:rPr>
      </w:pPr>
      <w:r w:rsidRPr="00105CDB">
        <w:rPr>
          <w:lang w:val="el-GR"/>
        </w:rPr>
        <w:t xml:space="preserve">Επί χορήγησης ζιδοβουδίνης μαζί με από του στόματος χορηγούμενη γκανσικλοβίρη, παρατηρήθηκε μικρή (17%), αλλά στατιστικά σημαντική αύξηση της </w:t>
      </w:r>
      <w:r w:rsidRPr="00105CDB">
        <w:t>AUC</w:t>
      </w:r>
      <w:r w:rsidRPr="00105CDB">
        <w:rPr>
          <w:lang w:val="el-GR"/>
        </w:rPr>
        <w:t xml:space="preserve"> της ζιδοβουδίνης.  Παρατηρήθηκε επίσης τάση προς χαμηλότερες συγκεντρώσεις γκανσικλοβίρης όταν αυτή χορηγήθηκε με ζιδοβουδίνη, αν και </w:t>
      </w:r>
      <w:r w:rsidR="007B4B9B" w:rsidRPr="00105CDB">
        <w:rPr>
          <w:lang w:val="el-GR"/>
        </w:rPr>
        <w:t>αυτή δεν ήταν στατιστικά</w:t>
      </w:r>
      <w:r w:rsidRPr="00105CDB">
        <w:rPr>
          <w:lang w:val="el-GR"/>
        </w:rPr>
        <w:t xml:space="preserve"> σημαντική. </w:t>
      </w:r>
      <w:r w:rsidR="007B4B9B" w:rsidRPr="00105CDB">
        <w:rPr>
          <w:lang w:val="el-GR"/>
        </w:rPr>
        <w:t>Ωστόσο</w:t>
      </w:r>
      <w:r w:rsidRPr="00105CDB">
        <w:rPr>
          <w:lang w:val="el-GR"/>
        </w:rPr>
        <w:t xml:space="preserve">, δεδομένου ότι τόσο η </w:t>
      </w:r>
      <w:r w:rsidR="007B4B9B" w:rsidRPr="00105CDB">
        <w:rPr>
          <w:lang w:val="el-GR"/>
        </w:rPr>
        <w:t>ζιδοβουδίνη όσο και η γκανσικλοβίρη</w:t>
      </w:r>
      <w:r w:rsidRPr="00105CDB">
        <w:rPr>
          <w:lang w:val="el-GR"/>
        </w:rPr>
        <w:t xml:space="preserve"> </w:t>
      </w:r>
      <w:r w:rsidR="007B4B9B" w:rsidRPr="00105CDB">
        <w:rPr>
          <w:lang w:val="el-GR"/>
        </w:rPr>
        <w:t>δύνανται να προκαλέσουν</w:t>
      </w:r>
      <w:r w:rsidRPr="00105CDB">
        <w:rPr>
          <w:lang w:val="el-GR"/>
        </w:rPr>
        <w:t xml:space="preserve"> ουδετεροπενία και αναιμία, ορισμένοι ασθενείς </w:t>
      </w:r>
      <w:r w:rsidR="007B4B9B" w:rsidRPr="00105CDB">
        <w:rPr>
          <w:lang w:val="el-GR"/>
        </w:rPr>
        <w:t>ενδέχεται</w:t>
      </w:r>
      <w:r w:rsidRPr="00105CDB">
        <w:rPr>
          <w:lang w:val="el-GR"/>
        </w:rPr>
        <w:t xml:space="preserve"> να μην ανέχονται την ταυτόχρονη αγωγή </w:t>
      </w:r>
      <w:r w:rsidR="007B4B9B" w:rsidRPr="00105CDB">
        <w:rPr>
          <w:lang w:val="el-GR"/>
        </w:rPr>
        <w:t>στην</w:t>
      </w:r>
      <w:r w:rsidRPr="00105CDB">
        <w:rPr>
          <w:lang w:val="el-GR"/>
        </w:rPr>
        <w:t xml:space="preserve"> πλήρη δόση (βλέπε παράγραφο 4.4).</w:t>
      </w:r>
    </w:p>
    <w:p w:rsidR="00140C16" w:rsidRPr="00105CDB" w:rsidRDefault="00140C16" w:rsidP="00403333">
      <w:pPr>
        <w:pStyle w:val="8"/>
        <w:spacing w:line="240" w:lineRule="atLeast"/>
        <w:rPr>
          <w:b/>
          <w:i w:val="0"/>
          <w:lang w:val="el-GR"/>
        </w:rPr>
      </w:pPr>
      <w:r w:rsidRPr="00105CDB">
        <w:rPr>
          <w:sz w:val="22"/>
          <w:lang w:val="el-GR"/>
        </w:rPr>
        <w:t>Διδανοσίνη</w:t>
      </w:r>
    </w:p>
    <w:p w:rsidR="00140C16" w:rsidRPr="00105CDB" w:rsidRDefault="00140C16" w:rsidP="00140C16">
      <w:pPr>
        <w:pStyle w:val="2"/>
        <w:widowControl w:val="0"/>
        <w:spacing w:line="240" w:lineRule="atLeast"/>
        <w:ind w:left="0" w:firstLine="0"/>
        <w:rPr>
          <w:b w:val="0"/>
          <w:lang w:val="el-GR"/>
        </w:rPr>
      </w:pPr>
      <w:r w:rsidRPr="00105CDB">
        <w:rPr>
          <w:b w:val="0"/>
          <w:lang w:val="el-GR"/>
        </w:rPr>
        <w:t xml:space="preserve">Έχει βρεθεί </w:t>
      </w:r>
      <w:r w:rsidR="007B4B9B" w:rsidRPr="00105CDB">
        <w:rPr>
          <w:b w:val="0"/>
          <w:lang w:val="el-GR"/>
        </w:rPr>
        <w:t>ότι</w:t>
      </w:r>
      <w:r w:rsidRPr="00105CDB">
        <w:rPr>
          <w:b w:val="0"/>
          <w:lang w:val="el-GR"/>
        </w:rPr>
        <w:t xml:space="preserve"> οι συγκεντρώσεις της διδανοσίνης στο πλάσμα αυξάνονται σταθερά όταν χορηγείται </w:t>
      </w:r>
      <w:r w:rsidR="007B4B9B" w:rsidRPr="00105CDB">
        <w:rPr>
          <w:b w:val="0"/>
          <w:lang w:val="el-GR"/>
        </w:rPr>
        <w:t xml:space="preserve">μαζί </w:t>
      </w:r>
      <w:r w:rsidRPr="00105CDB">
        <w:rPr>
          <w:b w:val="0"/>
          <w:lang w:val="el-GR"/>
        </w:rPr>
        <w:t>με γκανσικλοβίρη (τόσο ενδοφλεβίως, όσο και από του στόματος). Με από του στόματος δόσεις γκανσικλοβίρης 3 και 6</w:t>
      </w:r>
      <w:r w:rsidR="007B4B9B" w:rsidRPr="00105CDB">
        <w:rPr>
          <w:b w:val="0"/>
          <w:lang w:val="el-GR"/>
        </w:rPr>
        <w:t> </w:t>
      </w:r>
      <w:r w:rsidRPr="00105CDB">
        <w:rPr>
          <w:b w:val="0"/>
        </w:rPr>
        <w:t>g</w:t>
      </w:r>
      <w:r w:rsidRPr="00105CDB">
        <w:rPr>
          <w:b w:val="0"/>
          <w:lang w:val="el-GR"/>
        </w:rPr>
        <w:t xml:space="preserve">/ημέρα, έχει παρατηρηθεί αύξηση της </w:t>
      </w:r>
      <w:r w:rsidRPr="00105CDB">
        <w:rPr>
          <w:b w:val="0"/>
        </w:rPr>
        <w:t>AUC</w:t>
      </w:r>
      <w:r w:rsidRPr="00105CDB">
        <w:rPr>
          <w:b w:val="0"/>
          <w:lang w:val="el-GR"/>
        </w:rPr>
        <w:t xml:space="preserve"> της διδανοσίνης, </w:t>
      </w:r>
      <w:r w:rsidR="007B4B9B" w:rsidRPr="00105CDB">
        <w:rPr>
          <w:b w:val="0"/>
          <w:lang w:val="el-GR"/>
        </w:rPr>
        <w:t>η οποία</w:t>
      </w:r>
      <w:r w:rsidRPr="00105CDB">
        <w:rPr>
          <w:b w:val="0"/>
          <w:lang w:val="el-GR"/>
        </w:rPr>
        <w:t xml:space="preserve"> κυμαίνεται από 84 έως 124%.  Ομοίως,</w:t>
      </w:r>
      <w:r w:rsidR="007B4B9B" w:rsidRPr="00105CDB">
        <w:rPr>
          <w:b w:val="0"/>
          <w:lang w:val="el-GR"/>
        </w:rPr>
        <w:t xml:space="preserve"> με ενδοφλέβιες δόσεις 5 και 10 </w:t>
      </w:r>
      <w:r w:rsidRPr="00105CDB">
        <w:rPr>
          <w:b w:val="0"/>
        </w:rPr>
        <w:t>mg</w:t>
      </w:r>
      <w:r w:rsidRPr="00105CDB">
        <w:rPr>
          <w:b w:val="0"/>
          <w:lang w:val="el-GR"/>
        </w:rPr>
        <w:t>/</w:t>
      </w:r>
      <w:r w:rsidRPr="00105CDB">
        <w:rPr>
          <w:b w:val="0"/>
        </w:rPr>
        <w:t>kg</w:t>
      </w:r>
      <w:r w:rsidRPr="00105CDB">
        <w:rPr>
          <w:b w:val="0"/>
          <w:lang w:val="el-GR"/>
        </w:rPr>
        <w:t xml:space="preserve">/ημέρα, έχει παρατηρηθεί αύξηση της </w:t>
      </w:r>
      <w:r w:rsidRPr="00105CDB">
        <w:rPr>
          <w:b w:val="0"/>
        </w:rPr>
        <w:t>AUC</w:t>
      </w:r>
      <w:r w:rsidRPr="00105CDB">
        <w:rPr>
          <w:b w:val="0"/>
          <w:lang w:val="el-GR"/>
        </w:rPr>
        <w:t xml:space="preserve"> της διδανοσίνης, </w:t>
      </w:r>
      <w:r w:rsidR="007B4B9B" w:rsidRPr="00105CDB">
        <w:rPr>
          <w:b w:val="0"/>
          <w:lang w:val="el-GR"/>
        </w:rPr>
        <w:t>η οποία</w:t>
      </w:r>
      <w:r w:rsidRPr="00105CDB">
        <w:rPr>
          <w:b w:val="0"/>
          <w:lang w:val="el-GR"/>
        </w:rPr>
        <w:t xml:space="preserve"> κυμαίνεται από 38 έω</w:t>
      </w:r>
      <w:r w:rsidR="007B4B9B" w:rsidRPr="00105CDB">
        <w:rPr>
          <w:b w:val="0"/>
          <w:lang w:val="el-GR"/>
        </w:rPr>
        <w:t>ς 67%. Δεν παρατηρήθηκε κλινικά</w:t>
      </w:r>
      <w:r w:rsidRPr="00105CDB">
        <w:rPr>
          <w:b w:val="0"/>
          <w:lang w:val="el-GR"/>
        </w:rPr>
        <w:t xml:space="preserve"> σημαντική επίδραση στις συγκεντρώσεις </w:t>
      </w:r>
      <w:r w:rsidR="007B4B9B" w:rsidRPr="00105CDB">
        <w:rPr>
          <w:b w:val="0"/>
          <w:lang w:val="el-GR"/>
        </w:rPr>
        <w:t xml:space="preserve">της </w:t>
      </w:r>
      <w:r w:rsidRPr="00105CDB">
        <w:rPr>
          <w:b w:val="0"/>
          <w:lang w:val="el-GR"/>
        </w:rPr>
        <w:t xml:space="preserve">γκανσικλοβίρης.  Οι ασθενείς </w:t>
      </w:r>
      <w:r w:rsidR="007B4B9B" w:rsidRPr="00105CDB">
        <w:rPr>
          <w:b w:val="0"/>
          <w:lang w:val="el-GR"/>
        </w:rPr>
        <w:t xml:space="preserve">θα </w:t>
      </w:r>
      <w:r w:rsidRPr="00105CDB">
        <w:rPr>
          <w:b w:val="0"/>
          <w:lang w:val="el-GR"/>
        </w:rPr>
        <w:t>πρέπει να παρακολουθούνται στενά για</w:t>
      </w:r>
      <w:r w:rsidR="00852878" w:rsidRPr="00105CDB">
        <w:rPr>
          <w:b w:val="0"/>
          <w:lang w:val="el-GR"/>
        </w:rPr>
        <w:t xml:space="preserve"> τοξικότητα</w:t>
      </w:r>
      <w:r w:rsidRPr="00105CDB">
        <w:rPr>
          <w:b w:val="0"/>
          <w:lang w:val="el-GR"/>
        </w:rPr>
        <w:t xml:space="preserve"> </w:t>
      </w:r>
      <w:r w:rsidR="007B4B9B" w:rsidRPr="00105CDB">
        <w:rPr>
          <w:b w:val="0"/>
          <w:lang w:val="el-GR"/>
        </w:rPr>
        <w:t xml:space="preserve">οφειλόμενη στη διδανοσίνη </w:t>
      </w:r>
      <w:r w:rsidRPr="00105CDB">
        <w:rPr>
          <w:b w:val="0"/>
          <w:lang w:val="el-GR"/>
        </w:rPr>
        <w:t xml:space="preserve">(βλέπε παράγραφο </w:t>
      </w:r>
      <w:r w:rsidRPr="00105CDB">
        <w:rPr>
          <w:b w:val="0"/>
          <w:lang w:val="el-GR"/>
        </w:rPr>
        <w:lastRenderedPageBreak/>
        <w:t>4.4).</w:t>
      </w:r>
    </w:p>
    <w:p w:rsidR="007B418A" w:rsidRPr="00105CDB" w:rsidRDefault="007B418A" w:rsidP="007B418A">
      <w:pPr>
        <w:widowControl w:val="0"/>
        <w:spacing w:line="240" w:lineRule="atLeast"/>
        <w:rPr>
          <w:lang w:val="el-GR"/>
        </w:rPr>
      </w:pPr>
    </w:p>
    <w:p w:rsidR="007B418A" w:rsidRPr="00105CDB" w:rsidRDefault="007B418A" w:rsidP="007B418A">
      <w:pPr>
        <w:widowControl w:val="0"/>
        <w:spacing w:line="240" w:lineRule="atLeast"/>
        <w:rPr>
          <w:i/>
          <w:lang w:val="el-GR"/>
        </w:rPr>
      </w:pPr>
      <w:r w:rsidRPr="00105CDB">
        <w:rPr>
          <w:i/>
          <w:lang w:val="el-GR"/>
        </w:rPr>
        <w:t>Άλλα αντιρετροϊκά</w:t>
      </w:r>
      <w:r w:rsidR="007B4B9B" w:rsidRPr="00105CDB">
        <w:rPr>
          <w:i/>
          <w:lang w:val="el-GR"/>
        </w:rPr>
        <w:t xml:space="preserve"> (συμπεριλαμβανομένης της θεραπείας για τον </w:t>
      </w:r>
      <w:r w:rsidR="007B4B9B" w:rsidRPr="00105CDB">
        <w:rPr>
          <w:i/>
        </w:rPr>
        <w:t>HIV</w:t>
      </w:r>
      <w:r w:rsidR="007B4B9B" w:rsidRPr="00105CDB">
        <w:rPr>
          <w:i/>
          <w:lang w:val="el-GR"/>
        </w:rPr>
        <w:t xml:space="preserve">, </w:t>
      </w:r>
      <w:r w:rsidR="007B4B9B" w:rsidRPr="00105CDB">
        <w:rPr>
          <w:i/>
        </w:rPr>
        <w:t>HBV</w:t>
      </w:r>
      <w:r w:rsidR="007B4B9B" w:rsidRPr="00105CDB">
        <w:rPr>
          <w:i/>
          <w:lang w:val="el-GR"/>
        </w:rPr>
        <w:t>/</w:t>
      </w:r>
      <w:r w:rsidR="007B4B9B" w:rsidRPr="00105CDB">
        <w:rPr>
          <w:i/>
        </w:rPr>
        <w:t>HCV</w:t>
      </w:r>
      <w:r w:rsidR="007B4B9B" w:rsidRPr="00105CDB">
        <w:rPr>
          <w:i/>
          <w:lang w:val="el-GR"/>
        </w:rPr>
        <w:t>)</w:t>
      </w:r>
    </w:p>
    <w:p w:rsidR="007B4B9B" w:rsidRPr="00105CDB" w:rsidRDefault="007B418A" w:rsidP="00150219">
      <w:pPr>
        <w:widowControl w:val="0"/>
        <w:spacing w:line="240" w:lineRule="atLeast"/>
        <w:rPr>
          <w:lang w:val="el-GR"/>
        </w:rPr>
      </w:pPr>
      <w:r w:rsidRPr="00105CDB">
        <w:rPr>
          <w:lang w:val="el-GR"/>
        </w:rPr>
        <w:t xml:space="preserve">Σε κλινικώς </w:t>
      </w:r>
      <w:r w:rsidR="007B4B9B" w:rsidRPr="00105CDB">
        <w:rPr>
          <w:lang w:val="el-GR"/>
        </w:rPr>
        <w:t xml:space="preserve">σχετικές </w:t>
      </w:r>
      <w:r w:rsidRPr="00105CDB">
        <w:rPr>
          <w:lang w:val="el-GR"/>
        </w:rPr>
        <w:t>συγκεντρώσεις</w:t>
      </w:r>
      <w:r w:rsidR="007B4B9B" w:rsidRPr="00105CDB">
        <w:rPr>
          <w:lang w:val="el-GR"/>
        </w:rPr>
        <w:t xml:space="preserve"> της γκανσικλοβίρης και άλλων αντιϊικών στο πλάσμα</w:t>
      </w:r>
      <w:r w:rsidRPr="00105CDB">
        <w:rPr>
          <w:lang w:val="el-GR"/>
        </w:rPr>
        <w:t xml:space="preserve">, η αναστολή, του </w:t>
      </w:r>
      <w:r w:rsidR="007B4B9B" w:rsidRPr="00105CDB">
        <w:rPr>
          <w:lang w:val="el-GR"/>
        </w:rPr>
        <w:t>ανθρώπινου ιού ανοσοανεπάρκειας (</w:t>
      </w:r>
      <w:r w:rsidRPr="00105CDB">
        <w:t>HIV</w:t>
      </w:r>
      <w:r w:rsidR="007B4B9B" w:rsidRPr="00105CDB">
        <w:rPr>
          <w:lang w:val="el-GR"/>
        </w:rPr>
        <w:t xml:space="preserve">) ή του </w:t>
      </w:r>
      <w:r w:rsidR="007B4B9B" w:rsidRPr="00105CDB">
        <w:rPr>
          <w:lang w:val="en-GB"/>
        </w:rPr>
        <w:t>HBV</w:t>
      </w:r>
      <w:r w:rsidR="007B4B9B" w:rsidRPr="00105CDB">
        <w:rPr>
          <w:lang w:val="el-GR"/>
        </w:rPr>
        <w:t>/</w:t>
      </w:r>
      <w:r w:rsidR="007B4B9B" w:rsidRPr="00105CDB">
        <w:rPr>
          <w:lang w:val="en-GB"/>
        </w:rPr>
        <w:t>HCV</w:t>
      </w:r>
      <w:r w:rsidR="007B4B9B" w:rsidRPr="00105CDB">
        <w:rPr>
          <w:lang w:val="el-GR"/>
        </w:rPr>
        <w:t>, είναι απίθανο να ασκεί συνεργική ή</w:t>
      </w:r>
      <w:r w:rsidRPr="00105CDB">
        <w:rPr>
          <w:lang w:val="el-GR"/>
        </w:rPr>
        <w:t xml:space="preserve"> </w:t>
      </w:r>
      <w:r w:rsidR="007B4B9B" w:rsidRPr="00105CDB">
        <w:rPr>
          <w:lang w:val="el-GR"/>
        </w:rPr>
        <w:t xml:space="preserve">ανταγωνιστική επίδραση στη δραστηριότητα είτε της </w:t>
      </w:r>
      <w:r w:rsidRPr="00105CDB">
        <w:rPr>
          <w:lang w:val="el-GR"/>
        </w:rPr>
        <w:t xml:space="preserve">γκανσικλοβίρης είτε </w:t>
      </w:r>
      <w:r w:rsidR="007B4B9B" w:rsidRPr="00105CDB">
        <w:rPr>
          <w:lang w:val="el-GR"/>
        </w:rPr>
        <w:t>άλλων αντιϊικών</w:t>
      </w:r>
      <w:r w:rsidRPr="00105CDB">
        <w:rPr>
          <w:lang w:val="el-GR"/>
        </w:rPr>
        <w:t xml:space="preserve">. </w:t>
      </w:r>
    </w:p>
    <w:p w:rsidR="007B4B9B" w:rsidRPr="00105CDB" w:rsidRDefault="007B4B9B" w:rsidP="00150219">
      <w:pPr>
        <w:widowControl w:val="0"/>
        <w:spacing w:line="240" w:lineRule="atLeast"/>
        <w:rPr>
          <w:lang w:val="el-GR"/>
        </w:rPr>
      </w:pPr>
    </w:p>
    <w:p w:rsidR="00AF4D81" w:rsidRPr="00105CDB" w:rsidRDefault="007B4B9B" w:rsidP="00AF4D81">
      <w:pPr>
        <w:spacing w:after="160" w:line="260" w:lineRule="auto"/>
        <w:rPr>
          <w:szCs w:val="24"/>
          <w:lang w:val="el-GR"/>
        </w:rPr>
      </w:pPr>
      <w:r w:rsidRPr="00105CDB">
        <w:rPr>
          <w:lang w:val="el-GR"/>
        </w:rPr>
        <w:t xml:space="preserve">Η δυνατότητα </w:t>
      </w:r>
      <w:r w:rsidR="007B418A" w:rsidRPr="00105CDB">
        <w:rPr>
          <w:lang w:val="el-GR"/>
        </w:rPr>
        <w:t>μεταβολικ</w:t>
      </w:r>
      <w:r w:rsidRPr="00105CDB">
        <w:rPr>
          <w:lang w:val="el-GR"/>
        </w:rPr>
        <w:t>ών</w:t>
      </w:r>
      <w:r w:rsidR="007B418A" w:rsidRPr="00105CDB">
        <w:rPr>
          <w:lang w:val="el-GR"/>
        </w:rPr>
        <w:t xml:space="preserve"> αλληλεπιδράσε</w:t>
      </w:r>
      <w:r w:rsidRPr="00105CDB">
        <w:rPr>
          <w:lang w:val="el-GR"/>
        </w:rPr>
        <w:t>ων της βαλγκανσικλοβίρης ή της γκανσικλοβίρης είναι χαμηλή</w:t>
      </w:r>
      <w:r w:rsidR="007B418A" w:rsidRPr="00105CDB">
        <w:rPr>
          <w:lang w:val="el-GR"/>
        </w:rPr>
        <w:t xml:space="preserve">, λόγω μη συμμετοχής του </w:t>
      </w:r>
      <w:r w:rsidRPr="00105CDB">
        <w:rPr>
          <w:lang w:val="el-GR"/>
        </w:rPr>
        <w:t xml:space="preserve">κυτοχρώματος </w:t>
      </w:r>
      <w:r w:rsidR="007B418A" w:rsidRPr="00105CDB">
        <w:t>P</w:t>
      </w:r>
      <w:r w:rsidR="007B418A" w:rsidRPr="00105CDB">
        <w:rPr>
          <w:lang w:val="el-GR"/>
        </w:rPr>
        <w:t>450 στο μεταβολισμό είτε της βαλγκανσικλοβίρης είτε της γκανσικλοβίρης.</w:t>
      </w:r>
      <w:r w:rsidR="00AF4D81" w:rsidRPr="00105CDB">
        <w:rPr>
          <w:lang w:val="el-GR"/>
        </w:rPr>
        <w:t xml:space="preserve"> </w:t>
      </w:r>
      <w:r w:rsidR="00AF4D81" w:rsidRPr="00105CDB">
        <w:rPr>
          <w:szCs w:val="24"/>
          <w:lang w:val="el-GR"/>
        </w:rPr>
        <w:t xml:space="preserve"> </w:t>
      </w:r>
      <w:r w:rsidR="007257AC" w:rsidRPr="00105CDB">
        <w:rPr>
          <w:szCs w:val="24"/>
          <w:lang w:val="el-GR"/>
        </w:rPr>
        <w:t>Επιπλέον</w:t>
      </w:r>
      <w:r w:rsidR="00AF4D81" w:rsidRPr="00105CDB">
        <w:rPr>
          <w:szCs w:val="24"/>
          <w:lang w:val="el-GR"/>
        </w:rPr>
        <w:t xml:space="preserve">, η γκανσικλοβίρη δεν αποτελεί υπόστρωμα </w:t>
      </w:r>
      <w:r w:rsidR="007257AC" w:rsidRPr="00105CDB">
        <w:rPr>
          <w:szCs w:val="24"/>
          <w:lang w:val="el-GR"/>
        </w:rPr>
        <w:t>για την</w:t>
      </w:r>
      <w:r w:rsidR="00AF4D81" w:rsidRPr="00105CDB">
        <w:rPr>
          <w:szCs w:val="24"/>
          <w:lang w:val="el-GR"/>
        </w:rPr>
        <w:t xml:space="preserve"> </w:t>
      </w:r>
      <w:r w:rsidR="00AF4D81" w:rsidRPr="00105CDB">
        <w:rPr>
          <w:szCs w:val="24"/>
        </w:rPr>
        <w:t>P</w:t>
      </w:r>
      <w:r w:rsidR="00AF4D81" w:rsidRPr="00105CDB">
        <w:rPr>
          <w:szCs w:val="24"/>
          <w:lang w:val="el-GR"/>
        </w:rPr>
        <w:t xml:space="preserve">-γλυκοπρωτεΐνη, ούτε επηρεάζει τη </w:t>
      </w:r>
      <w:r w:rsidR="00AF4D81" w:rsidRPr="00105CDB">
        <w:rPr>
          <w:szCs w:val="24"/>
        </w:rPr>
        <w:t>UDP</w:t>
      </w:r>
      <w:r w:rsidR="00AF4D81" w:rsidRPr="00105CDB">
        <w:rPr>
          <w:szCs w:val="24"/>
          <w:lang w:val="el-GR"/>
        </w:rPr>
        <w:t xml:space="preserve">-γλυκουρονοζυλοτρανσφεράση (ένζυμο </w:t>
      </w:r>
      <w:r w:rsidR="00AF4D81" w:rsidRPr="00105CDB">
        <w:rPr>
          <w:szCs w:val="24"/>
        </w:rPr>
        <w:t>UGT</w:t>
      </w:r>
      <w:r w:rsidR="00AF4D81" w:rsidRPr="00105CDB">
        <w:rPr>
          <w:szCs w:val="24"/>
          <w:lang w:val="el-GR"/>
        </w:rPr>
        <w:t xml:space="preserve">). Επομένως, οι μεταβολικές αλληλεπιδράσεις και οι αλληλεπιδράσεις μεταφοράς φαρμάκου της βαλγκανσικλοβίρης ή της γκανσικλοβίρης με τις ακόλουθες </w:t>
      </w:r>
      <w:r w:rsidR="007257AC" w:rsidRPr="00105CDB">
        <w:rPr>
          <w:szCs w:val="24"/>
          <w:lang w:val="el-GR"/>
        </w:rPr>
        <w:t>τάξεις</w:t>
      </w:r>
      <w:r w:rsidR="00AF4D81" w:rsidRPr="00105CDB">
        <w:rPr>
          <w:szCs w:val="24"/>
          <w:lang w:val="el-GR"/>
        </w:rPr>
        <w:t xml:space="preserve"> αντιϊικών θεωρούνται απίθανες:</w:t>
      </w:r>
    </w:p>
    <w:p w:rsidR="007257AC" w:rsidRPr="00105CDB" w:rsidRDefault="007257AC" w:rsidP="007257AC">
      <w:pPr>
        <w:numPr>
          <w:ilvl w:val="0"/>
          <w:numId w:val="38"/>
        </w:numPr>
        <w:spacing w:after="160" w:line="260" w:lineRule="auto"/>
        <w:rPr>
          <w:noProof/>
          <w:szCs w:val="24"/>
          <w:lang w:val="el-GR"/>
        </w:rPr>
      </w:pPr>
      <w:r w:rsidRPr="00105CDB">
        <w:rPr>
          <w:noProof/>
          <w:szCs w:val="24"/>
          <w:lang w:val="el-GR"/>
        </w:rPr>
        <w:t>Μη νουκλεοσιδικοί αναστολείς της ανάστροφης μεταγραφάσης (</w:t>
      </w:r>
      <w:r w:rsidRPr="00105CDB">
        <w:rPr>
          <w:noProof/>
          <w:szCs w:val="24"/>
          <w:lang w:val="en-GB"/>
        </w:rPr>
        <w:t>NNRTIs</w:t>
      </w:r>
      <w:r w:rsidRPr="00105CDB">
        <w:rPr>
          <w:noProof/>
          <w:szCs w:val="24"/>
          <w:lang w:val="el-GR"/>
        </w:rPr>
        <w:t xml:space="preserve">), π.χ. </w:t>
      </w:r>
      <w:r w:rsidRPr="00105CDB">
        <w:rPr>
          <w:noProof/>
          <w:szCs w:val="24"/>
        </w:rPr>
        <w:t>rilpivirine</w:t>
      </w:r>
      <w:r w:rsidRPr="00105CDB">
        <w:rPr>
          <w:noProof/>
          <w:szCs w:val="24"/>
          <w:lang w:val="el-GR"/>
        </w:rPr>
        <w:t xml:space="preserve">, </w:t>
      </w:r>
      <w:r w:rsidRPr="00105CDB">
        <w:rPr>
          <w:noProof/>
          <w:szCs w:val="24"/>
        </w:rPr>
        <w:t>etravirine</w:t>
      </w:r>
      <w:r w:rsidRPr="00105CDB">
        <w:rPr>
          <w:noProof/>
          <w:szCs w:val="24"/>
          <w:lang w:val="el-GR"/>
        </w:rPr>
        <w:t xml:space="preserve">, </w:t>
      </w:r>
      <w:r w:rsidRPr="00105CDB">
        <w:rPr>
          <w:noProof/>
          <w:szCs w:val="24"/>
        </w:rPr>
        <w:t>efavirenz</w:t>
      </w:r>
      <w:r w:rsidRPr="00105CDB">
        <w:rPr>
          <w:noProof/>
          <w:szCs w:val="24"/>
          <w:lang w:val="el-GR"/>
        </w:rPr>
        <w:t xml:space="preserve"> </w:t>
      </w:r>
    </w:p>
    <w:p w:rsidR="007257AC" w:rsidRPr="00105CDB" w:rsidRDefault="007257AC" w:rsidP="007257AC">
      <w:pPr>
        <w:numPr>
          <w:ilvl w:val="0"/>
          <w:numId w:val="38"/>
        </w:numPr>
        <w:spacing w:after="160" w:line="260" w:lineRule="auto"/>
        <w:rPr>
          <w:noProof/>
          <w:szCs w:val="24"/>
          <w:lang w:val="el-GR"/>
        </w:rPr>
      </w:pPr>
      <w:r w:rsidRPr="00105CDB">
        <w:rPr>
          <w:noProof/>
          <w:szCs w:val="24"/>
          <w:lang w:val="el-GR"/>
        </w:rPr>
        <w:t>Αναστολείς πρωτεάσης (</w:t>
      </w:r>
      <w:r w:rsidRPr="00105CDB">
        <w:rPr>
          <w:noProof/>
          <w:szCs w:val="24"/>
        </w:rPr>
        <w:t>PIs</w:t>
      </w:r>
      <w:r w:rsidRPr="00105CDB">
        <w:rPr>
          <w:noProof/>
          <w:szCs w:val="24"/>
          <w:lang w:val="el-GR"/>
        </w:rPr>
        <w:t xml:space="preserve">), π.χ. </w:t>
      </w:r>
      <w:r w:rsidRPr="00105CDB">
        <w:rPr>
          <w:noProof/>
          <w:szCs w:val="24"/>
        </w:rPr>
        <w:t>darunavir</w:t>
      </w:r>
      <w:r w:rsidRPr="00105CDB">
        <w:rPr>
          <w:noProof/>
          <w:szCs w:val="24"/>
          <w:lang w:val="el-GR"/>
        </w:rPr>
        <w:t xml:space="preserve">, </w:t>
      </w:r>
      <w:r w:rsidRPr="00105CDB">
        <w:rPr>
          <w:noProof/>
          <w:szCs w:val="24"/>
        </w:rPr>
        <w:t>boceprevir</w:t>
      </w:r>
      <w:r w:rsidRPr="00105CDB">
        <w:rPr>
          <w:noProof/>
          <w:szCs w:val="24"/>
          <w:lang w:val="el-GR"/>
        </w:rPr>
        <w:t xml:space="preserve"> και </w:t>
      </w:r>
      <w:r w:rsidRPr="00105CDB">
        <w:rPr>
          <w:noProof/>
          <w:szCs w:val="24"/>
        </w:rPr>
        <w:t>telaprevir</w:t>
      </w:r>
    </w:p>
    <w:p w:rsidR="007257AC" w:rsidRPr="00105CDB" w:rsidRDefault="007257AC" w:rsidP="007257AC">
      <w:pPr>
        <w:numPr>
          <w:ilvl w:val="0"/>
          <w:numId w:val="38"/>
        </w:numPr>
        <w:spacing w:after="160" w:line="260" w:lineRule="auto"/>
        <w:rPr>
          <w:noProof/>
          <w:szCs w:val="24"/>
          <w:lang w:val="el-GR"/>
        </w:rPr>
      </w:pPr>
      <w:r w:rsidRPr="00105CDB">
        <w:rPr>
          <w:noProof/>
          <w:szCs w:val="24"/>
          <w:lang w:val="el-GR"/>
        </w:rPr>
        <w:t xml:space="preserve">Αναστολείς εισόδου (σύντηξη αναστολέα και </w:t>
      </w:r>
      <w:r w:rsidRPr="00105CDB">
        <w:rPr>
          <w:noProof/>
          <w:szCs w:val="24"/>
          <w:lang w:val="en-GB"/>
        </w:rPr>
        <w:t>CCR</w:t>
      </w:r>
      <w:r w:rsidRPr="00105CDB">
        <w:rPr>
          <w:noProof/>
          <w:szCs w:val="24"/>
          <w:lang w:val="el-GR"/>
        </w:rPr>
        <w:t xml:space="preserve">5 συν-υποδοχέα), π.χ. </w:t>
      </w:r>
      <w:r w:rsidRPr="00105CDB">
        <w:rPr>
          <w:noProof/>
          <w:szCs w:val="24"/>
        </w:rPr>
        <w:t>enfuvirtide</w:t>
      </w:r>
      <w:r w:rsidRPr="00105CDB">
        <w:rPr>
          <w:noProof/>
          <w:szCs w:val="24"/>
          <w:lang w:val="el-GR"/>
        </w:rPr>
        <w:t xml:space="preserve">  και </w:t>
      </w:r>
      <w:r w:rsidRPr="00105CDB">
        <w:rPr>
          <w:noProof/>
          <w:szCs w:val="24"/>
        </w:rPr>
        <w:t>maraviroc</w:t>
      </w:r>
    </w:p>
    <w:p w:rsidR="007257AC" w:rsidRPr="00105CDB" w:rsidRDefault="007257AC" w:rsidP="00403333">
      <w:pPr>
        <w:numPr>
          <w:ilvl w:val="0"/>
          <w:numId w:val="38"/>
        </w:numPr>
        <w:spacing w:after="160" w:line="260" w:lineRule="auto"/>
        <w:rPr>
          <w:noProof/>
          <w:szCs w:val="24"/>
          <w:lang w:val="el-GR"/>
        </w:rPr>
      </w:pPr>
      <w:r w:rsidRPr="00105CDB">
        <w:rPr>
          <w:noProof/>
          <w:szCs w:val="24"/>
          <w:lang w:val="el-GR"/>
        </w:rPr>
        <w:t xml:space="preserve">Αναστολείς Μεταφοράς Αλυσίδας Ιντεγκράσης του HIV (INSTI), π.χ. </w:t>
      </w:r>
      <w:r w:rsidRPr="00105CDB">
        <w:rPr>
          <w:noProof/>
          <w:szCs w:val="24"/>
        </w:rPr>
        <w:t>raltegravir</w:t>
      </w:r>
    </w:p>
    <w:p w:rsidR="007B418A" w:rsidRPr="00A116C4" w:rsidRDefault="007257AC" w:rsidP="00105CDB">
      <w:pPr>
        <w:spacing w:after="160" w:line="260" w:lineRule="auto"/>
        <w:rPr>
          <w:lang w:val="el-GR"/>
        </w:rPr>
      </w:pPr>
      <w:r w:rsidRPr="00105CDB">
        <w:rPr>
          <w:szCs w:val="24"/>
          <w:lang w:val="el-GR"/>
        </w:rPr>
        <w:t>Επειδή</w:t>
      </w:r>
      <w:r w:rsidR="00AF4D81" w:rsidRPr="00105CDB">
        <w:rPr>
          <w:szCs w:val="24"/>
          <w:lang w:val="el-GR"/>
        </w:rPr>
        <w:t xml:space="preserve"> η γκανσικλοβίρη </w:t>
      </w:r>
      <w:r w:rsidR="008D532E" w:rsidRPr="00105CDB">
        <w:rPr>
          <w:szCs w:val="24"/>
          <w:lang w:val="el-GR"/>
        </w:rPr>
        <w:t>απ</w:t>
      </w:r>
      <w:r w:rsidR="00AF4D81" w:rsidRPr="00105CDB">
        <w:rPr>
          <w:szCs w:val="24"/>
          <w:lang w:val="el-GR"/>
        </w:rPr>
        <w:t>εκκρίνεται μέσω τ</w:t>
      </w:r>
      <w:r w:rsidRPr="00105CDB">
        <w:rPr>
          <w:szCs w:val="24"/>
          <w:lang w:val="el-GR"/>
        </w:rPr>
        <w:t>ων νεφρών</w:t>
      </w:r>
      <w:r w:rsidR="00AF4D81" w:rsidRPr="00105CDB">
        <w:rPr>
          <w:szCs w:val="24"/>
          <w:lang w:val="el-GR"/>
        </w:rPr>
        <w:t xml:space="preserve"> </w:t>
      </w:r>
      <w:r w:rsidRPr="00105CDB">
        <w:rPr>
          <w:szCs w:val="24"/>
          <w:lang w:val="el-GR"/>
        </w:rPr>
        <w:t>μέσω</w:t>
      </w:r>
      <w:r w:rsidR="00AF4D81" w:rsidRPr="00105CDB">
        <w:rPr>
          <w:szCs w:val="24"/>
          <w:lang w:val="el-GR"/>
        </w:rPr>
        <w:t xml:space="preserve"> σπειραματικής διήθησης και ενεργού</w:t>
      </w:r>
      <w:r w:rsidR="00852878" w:rsidRPr="00105CDB">
        <w:rPr>
          <w:szCs w:val="24"/>
          <w:lang w:val="el-GR"/>
        </w:rPr>
        <w:t>ς</w:t>
      </w:r>
      <w:r w:rsidR="00AF4D81" w:rsidRPr="00105CDB">
        <w:rPr>
          <w:szCs w:val="24"/>
          <w:lang w:val="el-GR"/>
        </w:rPr>
        <w:t xml:space="preserve"> σωληναριακής </w:t>
      </w:r>
      <w:r w:rsidR="008D532E" w:rsidRPr="00105CDB">
        <w:rPr>
          <w:szCs w:val="24"/>
          <w:lang w:val="el-GR"/>
        </w:rPr>
        <w:t>απέ</w:t>
      </w:r>
      <w:r w:rsidR="00AF4D81" w:rsidRPr="00105CDB">
        <w:rPr>
          <w:szCs w:val="24"/>
          <w:lang w:val="el-GR"/>
        </w:rPr>
        <w:t xml:space="preserve">κκρισης (παράγραφος 5.2), η συγχορήγηση βαλγκανσικλοβίρης με αντιϊικά φάρμακα, τα οποία μοιράζονται το μονοπάτι της σωληναριακής έκκρισης ενδέχεται να </w:t>
      </w:r>
      <w:r w:rsidRPr="00105CDB">
        <w:rPr>
          <w:szCs w:val="24"/>
          <w:lang w:val="el-GR"/>
        </w:rPr>
        <w:t>αλλάξει</w:t>
      </w:r>
      <w:r w:rsidR="00AF4D81" w:rsidRPr="00105CDB">
        <w:rPr>
          <w:szCs w:val="24"/>
          <w:lang w:val="el-GR"/>
        </w:rPr>
        <w:t xml:space="preserve"> στις συγκεντρώσεις της βαλγκανσικλοβίρης και/ή του συγχορηγούμενου φαρμάκου στο πλάσμα. </w:t>
      </w:r>
      <w:r w:rsidRPr="00105CDB">
        <w:rPr>
          <w:szCs w:val="24"/>
          <w:lang w:val="el-GR"/>
        </w:rPr>
        <w:t>Μερικά</w:t>
      </w:r>
      <w:r w:rsidR="00AF4D81" w:rsidRPr="00105CDB">
        <w:rPr>
          <w:szCs w:val="24"/>
          <w:lang w:val="el-GR"/>
        </w:rPr>
        <w:t xml:space="preserve"> παραδείγματα περιλαμβάνουν </w:t>
      </w:r>
      <w:r w:rsidRPr="00105CDB">
        <w:rPr>
          <w:szCs w:val="24"/>
          <w:lang w:val="el-GR"/>
        </w:rPr>
        <w:t>αναστολείς νουκλεοτιδικών αναλόγων ανάστροφης μεταγραφάσης</w:t>
      </w:r>
      <w:r w:rsidR="00AF4D81" w:rsidRPr="00105CDB">
        <w:rPr>
          <w:szCs w:val="24"/>
          <w:lang w:val="el-GR"/>
        </w:rPr>
        <w:t xml:space="preserve"> (</w:t>
      </w:r>
      <w:r w:rsidR="00AF4D81" w:rsidRPr="00105CDB">
        <w:rPr>
          <w:szCs w:val="24"/>
        </w:rPr>
        <w:t>NRTI</w:t>
      </w:r>
      <w:r w:rsidR="00AF4D81" w:rsidRPr="00105CDB">
        <w:rPr>
          <w:szCs w:val="24"/>
          <w:lang w:val="el-GR"/>
        </w:rPr>
        <w:t xml:space="preserve">) (συμπεριλαμβανομένων αυτών που χρησιμοποιούνται για τη θεραπεία του </w:t>
      </w:r>
      <w:r w:rsidR="00AF4D81" w:rsidRPr="00105CDB">
        <w:rPr>
          <w:szCs w:val="24"/>
        </w:rPr>
        <w:t>HBV</w:t>
      </w:r>
      <w:r w:rsidR="00AF4D81" w:rsidRPr="00105CDB">
        <w:rPr>
          <w:szCs w:val="24"/>
          <w:lang w:val="el-GR"/>
        </w:rPr>
        <w:t xml:space="preserve">), π.χ. </w:t>
      </w:r>
      <w:r w:rsidR="00E77305" w:rsidRPr="00105CDB">
        <w:rPr>
          <w:szCs w:val="24"/>
          <w:lang w:val="el-GR"/>
        </w:rPr>
        <w:t>lamivudine, emtricitabine, tenofovir, adefovir και entecavir</w:t>
      </w:r>
      <w:r w:rsidR="00AF4D81" w:rsidRPr="00105CDB">
        <w:rPr>
          <w:szCs w:val="24"/>
          <w:lang w:val="el-GR"/>
        </w:rPr>
        <w:t xml:space="preserve">. Η νεφρική κάθαρση της γκανσικλοβίρης </w:t>
      </w:r>
      <w:r w:rsidR="00E77305" w:rsidRPr="00105CDB">
        <w:rPr>
          <w:szCs w:val="24"/>
          <w:lang w:val="el-GR"/>
        </w:rPr>
        <w:t>μπορεί, επίσης, να ανασταλεί</w:t>
      </w:r>
      <w:r w:rsidR="00AF4D81" w:rsidRPr="00105CDB">
        <w:rPr>
          <w:szCs w:val="24"/>
          <w:lang w:val="el-GR"/>
        </w:rPr>
        <w:t xml:space="preserve"> λόγω της νεφροτοξικότητας</w:t>
      </w:r>
      <w:r w:rsidR="00E77305" w:rsidRPr="00105CDB">
        <w:rPr>
          <w:szCs w:val="24"/>
          <w:lang w:val="el-GR"/>
        </w:rPr>
        <w:t xml:space="preserve"> που</w:t>
      </w:r>
      <w:r w:rsidR="00AF4D81" w:rsidRPr="00105CDB">
        <w:rPr>
          <w:szCs w:val="24"/>
          <w:lang w:val="el-GR"/>
        </w:rPr>
        <w:t xml:space="preserve"> προκαλείται από φάρμακα, όπως είναι </w:t>
      </w:r>
      <w:r w:rsidR="00E77305" w:rsidRPr="00105CDB">
        <w:rPr>
          <w:szCs w:val="24"/>
          <w:lang w:val="el-GR"/>
        </w:rPr>
        <w:t xml:space="preserve">cidofovir, </w:t>
      </w:r>
      <w:proofErr w:type="spellStart"/>
      <w:r w:rsidR="00E77305" w:rsidRPr="00105CDB">
        <w:rPr>
          <w:szCs w:val="24"/>
        </w:rPr>
        <w:t>foscarnet</w:t>
      </w:r>
      <w:proofErr w:type="spellEnd"/>
      <w:r w:rsidR="00E77305" w:rsidRPr="00105CDB">
        <w:rPr>
          <w:szCs w:val="24"/>
          <w:lang w:val="el-GR"/>
        </w:rPr>
        <w:t>, NRTI</w:t>
      </w:r>
      <w:r w:rsidR="00AF4D81" w:rsidRPr="00105CDB">
        <w:rPr>
          <w:szCs w:val="24"/>
          <w:lang w:val="el-GR"/>
        </w:rPr>
        <w:t xml:space="preserve"> (π.χ. </w:t>
      </w:r>
      <w:r w:rsidR="00E77305" w:rsidRPr="00105CDB">
        <w:rPr>
          <w:szCs w:val="24"/>
          <w:lang w:val="el-GR"/>
        </w:rPr>
        <w:t>tenofovir, adefovir</w:t>
      </w:r>
      <w:r w:rsidR="00AF4D81" w:rsidRPr="00105CDB">
        <w:rPr>
          <w:szCs w:val="24"/>
          <w:lang w:val="el-GR"/>
        </w:rPr>
        <w:t>).  Η ταυτόχρονη χρήση της βαλγκανσικλοβίρσης με οποιοδήποτε από αυτά τα φάρμακα θα πρέπει να λαμβάνεται υπόψη μόνο εάν τα πιθανά οφέλη υπερβαίνουν τους πιθανούς κινδύνους (βλέπε παράγραφο 4.4).</w:t>
      </w:r>
    </w:p>
    <w:p w:rsidR="007B418A" w:rsidRPr="00105CDB" w:rsidRDefault="007B418A" w:rsidP="007B418A">
      <w:pPr>
        <w:pStyle w:val="8"/>
        <w:spacing w:line="240" w:lineRule="atLeast"/>
        <w:rPr>
          <w:i w:val="0"/>
          <w:sz w:val="22"/>
          <w:u w:val="single"/>
          <w:lang w:val="el-GR"/>
        </w:rPr>
      </w:pPr>
      <w:r w:rsidRPr="00105CDB">
        <w:rPr>
          <w:i w:val="0"/>
          <w:sz w:val="22"/>
          <w:u w:val="single"/>
          <w:lang w:val="el-GR"/>
        </w:rPr>
        <w:t xml:space="preserve">Άλλες δυνητικές φαρμακευτικές αλληλεπιδράσεις </w:t>
      </w:r>
    </w:p>
    <w:p w:rsidR="007B418A" w:rsidRPr="00105CDB" w:rsidRDefault="007B418A" w:rsidP="007B418A">
      <w:pPr>
        <w:widowControl w:val="0"/>
        <w:spacing w:line="240" w:lineRule="atLeast"/>
        <w:rPr>
          <w:lang w:val="el-GR"/>
        </w:rPr>
      </w:pPr>
      <w:r w:rsidRPr="00105CDB">
        <w:rPr>
          <w:lang w:val="el-GR"/>
        </w:rPr>
        <w:t xml:space="preserve">Η τοξικότητα μπορεί να ενισχυθεί όταν η βαλγκανσικλοβίρη συγχορηγείται ή χορηγείται αμέσως πριν ή μετά </w:t>
      </w:r>
      <w:r w:rsidR="008B5B14" w:rsidRPr="00105CDB">
        <w:rPr>
          <w:lang w:val="el-GR"/>
        </w:rPr>
        <w:t>από</w:t>
      </w:r>
      <w:r w:rsidR="00A85B6C" w:rsidRPr="00105CDB">
        <w:rPr>
          <w:lang w:val="el-GR"/>
        </w:rPr>
        <w:t xml:space="preserve"> </w:t>
      </w:r>
      <w:r w:rsidRPr="00105CDB">
        <w:rPr>
          <w:lang w:val="el-GR"/>
        </w:rPr>
        <w:t>άλλα φάρμακα που αναστέλλουν την αναπαραγωγή ταχέως διαιρούμενων κυτταρικών πληθυσμών όπως αυτών που απαντώνται στο μυελό τον οστών, τους όρχεις και τα βλαστικά στρώματα του δέρματος και του γαστρεντερικού βλεννογόνου. Παραδείγματα των κατηγοριών αυτών των φαρμάκων είναι η δα</w:t>
      </w:r>
      <w:r w:rsidR="008B5B14" w:rsidRPr="00105CDB">
        <w:rPr>
          <w:lang w:val="el-GR"/>
        </w:rPr>
        <w:t>πσ</w:t>
      </w:r>
      <w:r w:rsidRPr="00105CDB">
        <w:rPr>
          <w:lang w:val="el-GR"/>
        </w:rPr>
        <w:t>όνη, η πενταμιδίνη, η φθοριοκυτοσίνη, η βινκριστίνη, η βινβλαστίνη, η αδριαμυκίνη, η αμφοτερικίνη Β, οι συνδυασμοί τριμεθοπρίμης/σουλφομεθοξαζόλης, τα νουκλεοσιδικά ανάλογα</w:t>
      </w:r>
      <w:r w:rsidR="008D532E" w:rsidRPr="00105CDB">
        <w:rPr>
          <w:lang w:val="el-GR"/>
        </w:rPr>
        <w:t>,</w:t>
      </w:r>
      <w:r w:rsidRPr="00105CDB">
        <w:rPr>
          <w:lang w:val="el-GR"/>
        </w:rPr>
        <w:t xml:space="preserve"> η υδροξυουρία</w:t>
      </w:r>
      <w:r w:rsidR="008D532E" w:rsidRPr="00105CDB">
        <w:rPr>
          <w:lang w:val="el-GR"/>
        </w:rPr>
        <w:t xml:space="preserve"> και οι πεγκυλιωμένες ιντερφερόνες/ριμπαβιρίνη (με ή χωρίς τη μποσεπρεβίρη/τελαπρεβίρη)</w:t>
      </w:r>
      <w:r w:rsidRPr="00105CDB">
        <w:rPr>
          <w:lang w:val="el-GR"/>
        </w:rPr>
        <w:t>.</w:t>
      </w:r>
    </w:p>
    <w:p w:rsidR="007B418A" w:rsidRPr="00105CDB" w:rsidRDefault="007B418A" w:rsidP="007B418A">
      <w:pPr>
        <w:widowControl w:val="0"/>
        <w:spacing w:line="240" w:lineRule="atLeast"/>
        <w:rPr>
          <w:lang w:val="el-GR"/>
        </w:rPr>
      </w:pPr>
    </w:p>
    <w:p w:rsidR="007B418A" w:rsidRPr="00105CDB" w:rsidRDefault="008D532E" w:rsidP="007B418A">
      <w:pPr>
        <w:widowControl w:val="0"/>
        <w:spacing w:line="240" w:lineRule="atLeast"/>
        <w:rPr>
          <w:lang w:val="el-GR"/>
        </w:rPr>
      </w:pPr>
      <w:r w:rsidRPr="00105CDB">
        <w:rPr>
          <w:lang w:val="el-GR"/>
        </w:rPr>
        <w:t xml:space="preserve">Η ταυτόχρονη χρήση </w:t>
      </w:r>
      <w:r w:rsidR="007B418A" w:rsidRPr="00105CDB">
        <w:rPr>
          <w:lang w:val="el-GR"/>
        </w:rPr>
        <w:t xml:space="preserve"> </w:t>
      </w:r>
      <w:r w:rsidRPr="00105CDB">
        <w:rPr>
          <w:lang w:val="el-GR"/>
        </w:rPr>
        <w:t>της</w:t>
      </w:r>
      <w:r w:rsidR="007B418A" w:rsidRPr="00105CDB">
        <w:rPr>
          <w:lang w:val="el-GR"/>
        </w:rPr>
        <w:t xml:space="preserve"> βαλγκανσικλοβίρη</w:t>
      </w:r>
      <w:r w:rsidRPr="00105CDB">
        <w:rPr>
          <w:lang w:val="el-GR"/>
        </w:rPr>
        <w:t>ς με όλα αυτά τα φάρμακα</w:t>
      </w:r>
      <w:r w:rsidR="007B418A" w:rsidRPr="00105CDB">
        <w:rPr>
          <w:lang w:val="el-GR"/>
        </w:rPr>
        <w:t xml:space="preserve"> θα πρέπει να εξετάζεται μόνο εάν τα πιθανά οφέλη υπερβαίνουν τους πιθανούς κινδύνους (</w:t>
      </w:r>
      <w:r w:rsidR="001613D1" w:rsidRPr="00105CDB">
        <w:rPr>
          <w:lang w:val="el-GR"/>
        </w:rPr>
        <w:t>βλέπε</w:t>
      </w:r>
      <w:r w:rsidR="00D72913" w:rsidRPr="00105CDB">
        <w:rPr>
          <w:lang w:val="el-GR"/>
        </w:rPr>
        <w:t xml:space="preserve"> </w:t>
      </w:r>
      <w:r w:rsidR="006E0946" w:rsidRPr="00105CDB">
        <w:rPr>
          <w:lang w:val="el-GR"/>
        </w:rPr>
        <w:t>παράγραφο</w:t>
      </w:r>
      <w:r w:rsidR="005B75E1" w:rsidRPr="00105CDB">
        <w:rPr>
          <w:lang w:val="el-GR"/>
        </w:rPr>
        <w:t xml:space="preserve"> </w:t>
      </w:r>
      <w:r w:rsidR="007B418A" w:rsidRPr="00105CDB">
        <w:rPr>
          <w:lang w:val="el-GR"/>
        </w:rPr>
        <w:t>4.4).</w:t>
      </w:r>
    </w:p>
    <w:p w:rsidR="0091534A" w:rsidRPr="00105CDB" w:rsidRDefault="0091534A" w:rsidP="0091534A">
      <w:pPr>
        <w:rPr>
          <w:lang w:val="el-GR"/>
        </w:rPr>
      </w:pPr>
    </w:p>
    <w:p w:rsidR="0091534A" w:rsidRPr="00105CDB" w:rsidRDefault="0091534A" w:rsidP="0049166C">
      <w:pPr>
        <w:ind w:left="567" w:hanging="567"/>
        <w:rPr>
          <w:lang w:val="el-GR"/>
        </w:rPr>
      </w:pPr>
      <w:r w:rsidRPr="00105CDB">
        <w:rPr>
          <w:b/>
          <w:lang w:val="el-GR"/>
        </w:rPr>
        <w:t>4.6</w:t>
      </w:r>
      <w:r w:rsidRPr="00105CDB">
        <w:rPr>
          <w:b/>
          <w:lang w:val="el-GR"/>
        </w:rPr>
        <w:tab/>
      </w:r>
      <w:r w:rsidR="00ED19E3" w:rsidRPr="00105CDB">
        <w:rPr>
          <w:b/>
          <w:noProof/>
          <w:lang w:val="el-GR"/>
        </w:rPr>
        <w:t>Γονιμότητα, κ</w:t>
      </w:r>
      <w:r w:rsidRPr="00105CDB">
        <w:rPr>
          <w:b/>
          <w:lang w:val="el-GR"/>
        </w:rPr>
        <w:t>ύηση και γαλουχία</w:t>
      </w:r>
    </w:p>
    <w:p w:rsidR="00322FA2" w:rsidRPr="00105CDB" w:rsidRDefault="00322FA2" w:rsidP="00322FA2">
      <w:pPr>
        <w:widowControl w:val="0"/>
        <w:spacing w:line="240" w:lineRule="atLeast"/>
        <w:rPr>
          <w:lang w:val="el-GR"/>
        </w:rPr>
      </w:pPr>
    </w:p>
    <w:p w:rsidR="0026525D" w:rsidRPr="00105CDB" w:rsidRDefault="0026525D" w:rsidP="00322FA2">
      <w:pPr>
        <w:widowControl w:val="0"/>
        <w:spacing w:line="240" w:lineRule="atLeast"/>
        <w:rPr>
          <w:u w:val="single"/>
          <w:lang w:val="el-GR"/>
        </w:rPr>
      </w:pPr>
      <w:r w:rsidRPr="00105CDB">
        <w:rPr>
          <w:noProof/>
          <w:u w:val="single"/>
          <w:lang w:val="el-GR"/>
        </w:rPr>
        <w:t>Εγκυμοσύνη</w:t>
      </w:r>
    </w:p>
    <w:p w:rsidR="00322FA2" w:rsidRPr="00105CDB" w:rsidRDefault="00322FA2" w:rsidP="00322FA2">
      <w:pPr>
        <w:widowControl w:val="0"/>
        <w:spacing w:line="240" w:lineRule="atLeast"/>
        <w:rPr>
          <w:lang w:val="el-GR"/>
        </w:rPr>
      </w:pPr>
      <w:r w:rsidRPr="00105CDB">
        <w:rPr>
          <w:lang w:val="el-GR"/>
        </w:rPr>
        <w:t>Δεν υπάρχουν στοιχεία από τη χρήση του Valcyte σε έγκυες γυναίκες. Ο ενεργός μεταβολίτης του, η γκανσικλοβίρη, διέρχεται εύκολα τον ανθρώπινο πλακούντα.  Βάσει του φαρμακολογικού μηχανισμού δράσης και της αναπαραγωγικής τοξικότητας που παρατηρήθηκε σε μελέτες σε πειραματόζωα με γκανσικλοβίρη (</w:t>
      </w:r>
      <w:r w:rsidR="001613D1" w:rsidRPr="00105CDB">
        <w:rPr>
          <w:lang w:val="el-GR"/>
        </w:rPr>
        <w:t>βλέπε</w:t>
      </w:r>
      <w:r w:rsidR="00D72913" w:rsidRPr="00105CDB">
        <w:rPr>
          <w:lang w:val="el-GR"/>
        </w:rPr>
        <w:t xml:space="preserve"> </w:t>
      </w:r>
      <w:r w:rsidR="001F169E" w:rsidRPr="00105CDB">
        <w:rPr>
          <w:lang w:val="el-GR"/>
        </w:rPr>
        <w:t>παράγραφο</w:t>
      </w:r>
      <w:r w:rsidR="007D6935" w:rsidRPr="00105CDB">
        <w:rPr>
          <w:lang w:val="el-GR"/>
        </w:rPr>
        <w:t xml:space="preserve"> </w:t>
      </w:r>
      <w:r w:rsidRPr="00105CDB">
        <w:rPr>
          <w:lang w:val="el-GR"/>
        </w:rPr>
        <w:t xml:space="preserve">5.3), υπάρχει ο θεωρητικός κίνδυνος </w:t>
      </w:r>
      <w:r w:rsidRPr="00105CDB">
        <w:rPr>
          <w:lang w:val="el-GR"/>
        </w:rPr>
        <w:lastRenderedPageBreak/>
        <w:t>τερατογόνου δράσης για τους ανθρώπους.</w:t>
      </w:r>
    </w:p>
    <w:p w:rsidR="00322FA2" w:rsidRPr="00105CDB" w:rsidRDefault="00322FA2" w:rsidP="00322FA2">
      <w:pPr>
        <w:widowControl w:val="0"/>
        <w:spacing w:line="240" w:lineRule="atLeast"/>
        <w:rPr>
          <w:lang w:val="el-GR"/>
        </w:rPr>
      </w:pPr>
    </w:p>
    <w:p w:rsidR="00322FA2" w:rsidRPr="00105CDB" w:rsidRDefault="00322FA2" w:rsidP="00322FA2">
      <w:pPr>
        <w:widowControl w:val="0"/>
        <w:spacing w:line="240" w:lineRule="atLeast"/>
        <w:rPr>
          <w:lang w:val="el-GR"/>
        </w:rPr>
      </w:pPr>
      <w:r w:rsidRPr="00105CDB">
        <w:rPr>
          <w:lang w:val="el-GR"/>
        </w:rPr>
        <w:t xml:space="preserve">Το </w:t>
      </w:r>
      <w:proofErr w:type="spellStart"/>
      <w:r w:rsidRPr="00105CDB">
        <w:t>Valcyte</w:t>
      </w:r>
      <w:proofErr w:type="spellEnd"/>
      <w:r w:rsidRPr="00105CDB">
        <w:rPr>
          <w:lang w:val="el-GR"/>
        </w:rPr>
        <w:t xml:space="preserve"> δεν πρέπει να χρησιμοποιείται κατά την κύηση, εκτός εάν το θεραπευτικό όφελος για τη μητέρα υπερβαίνει το δυνητικό κίνδυνο τερατογόνου βλάβης στο παιδί. </w:t>
      </w:r>
    </w:p>
    <w:p w:rsidR="00322FA2" w:rsidRPr="00105CDB" w:rsidRDefault="00322FA2" w:rsidP="00322FA2">
      <w:pPr>
        <w:pStyle w:val="2"/>
        <w:widowControl w:val="0"/>
        <w:spacing w:line="240" w:lineRule="atLeast"/>
        <w:ind w:left="0"/>
        <w:rPr>
          <w:lang w:val="el-GR"/>
        </w:rPr>
      </w:pPr>
    </w:p>
    <w:p w:rsidR="00322FA2" w:rsidRPr="00105CDB" w:rsidRDefault="00322FA2" w:rsidP="00322FA2">
      <w:pPr>
        <w:pStyle w:val="2"/>
        <w:widowControl w:val="0"/>
        <w:spacing w:line="240" w:lineRule="atLeast"/>
        <w:ind w:left="0"/>
        <w:rPr>
          <w:b w:val="0"/>
          <w:u w:val="single"/>
          <w:lang w:val="el-GR"/>
        </w:rPr>
      </w:pPr>
      <w:r w:rsidRPr="00105CDB">
        <w:rPr>
          <w:b w:val="0"/>
          <w:lang w:val="el-GR"/>
        </w:rPr>
        <w:t xml:space="preserve">          </w:t>
      </w:r>
      <w:r w:rsidRPr="00105CDB">
        <w:rPr>
          <w:lang w:val="el-GR"/>
        </w:rPr>
        <w:t xml:space="preserve"> </w:t>
      </w:r>
      <w:r w:rsidR="0026525D" w:rsidRPr="00105CDB">
        <w:rPr>
          <w:b w:val="0"/>
          <w:noProof/>
          <w:u w:val="single"/>
          <w:lang w:val="el-GR"/>
        </w:rPr>
        <w:t>Θηλασμός</w:t>
      </w:r>
      <w:r w:rsidRPr="00105CDB">
        <w:rPr>
          <w:b w:val="0"/>
          <w:u w:val="single"/>
          <w:lang w:val="el-GR"/>
        </w:rPr>
        <w:t xml:space="preserve">         </w:t>
      </w:r>
    </w:p>
    <w:p w:rsidR="00322FA2" w:rsidRPr="00105CDB" w:rsidRDefault="00322FA2" w:rsidP="00322FA2">
      <w:pPr>
        <w:pStyle w:val="2"/>
        <w:widowControl w:val="0"/>
        <w:spacing w:line="240" w:lineRule="atLeast"/>
        <w:ind w:left="0"/>
        <w:rPr>
          <w:b w:val="0"/>
          <w:lang w:val="el-GR"/>
        </w:rPr>
      </w:pPr>
      <w:r w:rsidRPr="00105CDB">
        <w:rPr>
          <w:b w:val="0"/>
          <w:lang w:val="el-GR"/>
        </w:rPr>
        <w:t xml:space="preserve">          Δεν είναι γνωστό εάν η γκανσικλοβίρη απεκκρίνεται στο μητρικό γάλα. Ωστόσο, δεν μπορεί να αποκλεισθεί η πιθανότητα έκκρισης της γκανσικλοβίρης στο μητρικό γάλα και πρόκλησης σοβαρών ανεπιθύμητων </w:t>
      </w:r>
      <w:r w:rsidR="009A008E" w:rsidRPr="00105CDB">
        <w:rPr>
          <w:b w:val="0"/>
          <w:lang w:val="el-GR"/>
        </w:rPr>
        <w:t>αντιδράσεων</w:t>
      </w:r>
      <w:r w:rsidRPr="00105CDB">
        <w:rPr>
          <w:b w:val="0"/>
          <w:lang w:val="el-GR"/>
        </w:rPr>
        <w:t xml:space="preserve"> στο θηλάζον βρέφος. Ως εκ τούτου, ο θηλασμός </w:t>
      </w:r>
      <w:r w:rsidR="009A008E" w:rsidRPr="00105CDB">
        <w:rPr>
          <w:b w:val="0"/>
          <w:lang w:val="el-GR"/>
        </w:rPr>
        <w:t xml:space="preserve">θα </w:t>
      </w:r>
      <w:r w:rsidRPr="00105CDB">
        <w:rPr>
          <w:b w:val="0"/>
          <w:lang w:val="el-GR"/>
        </w:rPr>
        <w:t>πρέπει να διακόπτεται</w:t>
      </w:r>
      <w:r w:rsidR="00793293" w:rsidRPr="00105CDB">
        <w:rPr>
          <w:b w:val="0"/>
          <w:lang w:val="el-GR"/>
        </w:rPr>
        <w:t xml:space="preserve"> (βλέπε παράγραφο 4.3)</w:t>
      </w:r>
      <w:r w:rsidRPr="00105CDB">
        <w:rPr>
          <w:b w:val="0"/>
          <w:lang w:val="el-GR"/>
        </w:rPr>
        <w:t>.</w:t>
      </w:r>
    </w:p>
    <w:p w:rsidR="0026525D" w:rsidRPr="00105CDB" w:rsidRDefault="0026525D" w:rsidP="00403333">
      <w:pPr>
        <w:rPr>
          <w:lang w:val="el-GR"/>
        </w:rPr>
      </w:pPr>
    </w:p>
    <w:p w:rsidR="0026525D" w:rsidRPr="00105CDB" w:rsidRDefault="0026525D" w:rsidP="00403333">
      <w:pPr>
        <w:rPr>
          <w:u w:val="single"/>
          <w:lang w:val="el-GR"/>
        </w:rPr>
      </w:pPr>
      <w:r w:rsidRPr="00105CDB">
        <w:rPr>
          <w:noProof/>
          <w:u w:val="single"/>
          <w:lang w:val="el-GR"/>
        </w:rPr>
        <w:t>Γονιμότητα</w:t>
      </w:r>
    </w:p>
    <w:p w:rsidR="0026525D" w:rsidRPr="00105CDB" w:rsidRDefault="0026525D" w:rsidP="0026525D">
      <w:pPr>
        <w:pStyle w:val="2"/>
        <w:widowControl w:val="0"/>
        <w:spacing w:line="240" w:lineRule="atLeast"/>
        <w:ind w:left="0"/>
        <w:rPr>
          <w:b w:val="0"/>
          <w:lang w:val="el-GR"/>
        </w:rPr>
      </w:pPr>
      <w:r w:rsidRPr="00105CDB">
        <w:rPr>
          <w:b w:val="0"/>
          <w:lang w:val="el-GR"/>
        </w:rPr>
        <w:t xml:space="preserve">          Οι γυναίκες με αναπαραγωγική δυνατότητα πρέπει να καθοδηγούνται όπως χρησιμοποιούν αποτελεσματικά μέτρα αντισύλληψης κατά τη διάρκεια της αγωγής. Οι άνδρες ασθενείς πρέπει να καθοδηγούνται όπως χρησιμοποιούν προφυλακτικό κατά τη διάρκεια και για τουλάχιστον 90 ημέρες μετά την αγωγή με </w:t>
      </w:r>
      <w:proofErr w:type="spellStart"/>
      <w:r w:rsidRPr="00105CDB">
        <w:rPr>
          <w:b w:val="0"/>
        </w:rPr>
        <w:t>Valcyte</w:t>
      </w:r>
      <w:proofErr w:type="spellEnd"/>
      <w:r w:rsidRPr="00105CDB">
        <w:rPr>
          <w:b w:val="0"/>
          <w:lang w:val="el-GR"/>
        </w:rPr>
        <w:t>, με σκοπό την αντισύλληψη, εκτός εάν είναι βέβαιο ότι η σύντροφός τους δε διατρέχει κίνδυνο εγκυμοσύνης (βλέπε παράγραφο</w:t>
      </w:r>
      <w:r w:rsidR="00793293" w:rsidRPr="00105CDB">
        <w:rPr>
          <w:b w:val="0"/>
          <w:lang w:val="el-GR"/>
        </w:rPr>
        <w:t xml:space="preserve"> </w:t>
      </w:r>
      <w:r w:rsidRPr="00105CDB">
        <w:rPr>
          <w:b w:val="0"/>
          <w:lang w:val="el-GR"/>
        </w:rPr>
        <w:t>5.3).</w:t>
      </w:r>
    </w:p>
    <w:p w:rsidR="0091534A" w:rsidRPr="00105CDB" w:rsidRDefault="0091534A" w:rsidP="0091534A">
      <w:pPr>
        <w:rPr>
          <w:lang w:val="el-GR"/>
        </w:rPr>
      </w:pPr>
    </w:p>
    <w:p w:rsidR="0091534A" w:rsidRPr="00105CDB" w:rsidRDefault="0091534A" w:rsidP="0049166C">
      <w:pPr>
        <w:ind w:left="567" w:hanging="567"/>
        <w:rPr>
          <w:lang w:val="el-GR"/>
        </w:rPr>
      </w:pPr>
      <w:r w:rsidRPr="00105CDB">
        <w:rPr>
          <w:b/>
          <w:lang w:val="el-GR"/>
        </w:rPr>
        <w:t>4.7</w:t>
      </w:r>
      <w:r w:rsidRPr="00105CDB">
        <w:rPr>
          <w:b/>
          <w:lang w:val="el-GR"/>
        </w:rPr>
        <w:tab/>
        <w:t>Επιδράσεις στην ικανότητα οδήγησης και χειρισμού μηχανών</w:t>
      </w:r>
    </w:p>
    <w:p w:rsidR="00F15AEE" w:rsidRPr="00105CDB" w:rsidRDefault="00F15AEE" w:rsidP="00F15AEE">
      <w:pPr>
        <w:pStyle w:val="2"/>
        <w:widowControl w:val="0"/>
        <w:spacing w:line="240" w:lineRule="atLeast"/>
        <w:ind w:left="0" w:firstLine="0"/>
        <w:rPr>
          <w:b w:val="0"/>
          <w:lang w:val="el-GR"/>
        </w:rPr>
      </w:pPr>
    </w:p>
    <w:p w:rsidR="00F15AEE" w:rsidRPr="00105CDB" w:rsidRDefault="00F15AEE" w:rsidP="00F15AEE">
      <w:pPr>
        <w:pStyle w:val="2"/>
        <w:widowControl w:val="0"/>
        <w:spacing w:line="240" w:lineRule="atLeast"/>
        <w:ind w:left="0" w:firstLine="0"/>
        <w:rPr>
          <w:b w:val="0"/>
          <w:lang w:val="el-GR"/>
        </w:rPr>
      </w:pPr>
      <w:r w:rsidRPr="00105CDB">
        <w:rPr>
          <w:b w:val="0"/>
          <w:lang w:val="el-GR"/>
        </w:rPr>
        <w:t xml:space="preserve">Δεν έχουν διενεργηθεί μελέτες επί της επίδρασης στην ικανότητα οδήγησης και χειρισμού </w:t>
      </w:r>
      <w:r w:rsidR="00564384" w:rsidRPr="00105CDB">
        <w:rPr>
          <w:b w:val="0"/>
          <w:lang w:val="el-GR"/>
        </w:rPr>
        <w:t>μηχανών</w:t>
      </w:r>
      <w:r w:rsidRPr="00105CDB">
        <w:rPr>
          <w:b w:val="0"/>
          <w:lang w:val="el-GR"/>
        </w:rPr>
        <w:t>.</w:t>
      </w:r>
    </w:p>
    <w:p w:rsidR="00F15AEE" w:rsidRPr="00105CDB" w:rsidRDefault="00F15AEE" w:rsidP="00F15AEE">
      <w:pPr>
        <w:widowControl w:val="0"/>
        <w:spacing w:line="240" w:lineRule="atLeast"/>
        <w:rPr>
          <w:lang w:val="el-GR"/>
        </w:rPr>
      </w:pPr>
    </w:p>
    <w:p w:rsidR="00F15AEE" w:rsidRPr="00105CDB" w:rsidRDefault="00F15AEE" w:rsidP="00F15AEE">
      <w:pPr>
        <w:pStyle w:val="2"/>
        <w:widowControl w:val="0"/>
        <w:spacing w:line="240" w:lineRule="atLeast"/>
        <w:ind w:left="0" w:firstLine="0"/>
        <w:rPr>
          <w:b w:val="0"/>
          <w:lang w:val="el-GR"/>
        </w:rPr>
      </w:pPr>
      <w:r w:rsidRPr="00105CDB">
        <w:rPr>
          <w:b w:val="0"/>
          <w:lang w:val="el-GR"/>
        </w:rPr>
        <w:t xml:space="preserve">Έχουν αναφερθεί σπασμοί, καταστολή, ζάλη, αταξία και/ή σύγχυση με τη χρήση </w:t>
      </w:r>
      <w:proofErr w:type="spellStart"/>
      <w:r w:rsidRPr="00105CDB">
        <w:rPr>
          <w:b w:val="0"/>
        </w:rPr>
        <w:t>Valcyte</w:t>
      </w:r>
      <w:proofErr w:type="spellEnd"/>
      <w:r w:rsidRPr="00105CDB">
        <w:rPr>
          <w:b w:val="0"/>
          <w:lang w:val="el-GR"/>
        </w:rPr>
        <w:t xml:space="preserve"> και/ή γκανσικλοβίρης. Εάν εμφανιστούν, τα φαινόμενα αυτά μπορεί να επηρεάσουν τις ασχολίες που απαιτούν εγρήγορση, συμπεριλαμβανομένης της ικανότητας του ασθενούς για οδήγηση και χειρισμό μηχανημάτων.</w:t>
      </w:r>
    </w:p>
    <w:p w:rsidR="0091534A" w:rsidRPr="00105CDB" w:rsidRDefault="0091534A" w:rsidP="0091534A">
      <w:pPr>
        <w:rPr>
          <w:lang w:val="el-GR"/>
        </w:rPr>
      </w:pPr>
    </w:p>
    <w:p w:rsidR="0091534A" w:rsidRPr="00105CDB" w:rsidRDefault="0091534A" w:rsidP="0049166C">
      <w:pPr>
        <w:ind w:left="567" w:hanging="567"/>
        <w:rPr>
          <w:lang w:val="el-GR"/>
        </w:rPr>
      </w:pPr>
      <w:r w:rsidRPr="00105CDB">
        <w:rPr>
          <w:b/>
          <w:lang w:val="el-GR"/>
        </w:rPr>
        <w:t>4.8</w:t>
      </w:r>
      <w:r w:rsidRPr="00105CDB">
        <w:rPr>
          <w:b/>
          <w:lang w:val="el-GR"/>
        </w:rPr>
        <w:tab/>
        <w:t>Ανεπιθύμητες ενέργειες</w:t>
      </w:r>
    </w:p>
    <w:p w:rsidR="00604D6E" w:rsidRPr="00105CDB" w:rsidRDefault="00604D6E" w:rsidP="00604D6E">
      <w:pPr>
        <w:pStyle w:val="2"/>
        <w:widowControl w:val="0"/>
        <w:spacing w:line="240" w:lineRule="atLeast"/>
        <w:ind w:left="0" w:firstLine="0"/>
        <w:rPr>
          <w:b w:val="0"/>
          <w:lang w:val="el-GR"/>
        </w:rPr>
      </w:pPr>
    </w:p>
    <w:p w:rsidR="008D532E" w:rsidRPr="00105CDB" w:rsidRDefault="008D532E" w:rsidP="00403333">
      <w:pPr>
        <w:ind w:left="357" w:hanging="357"/>
        <w:rPr>
          <w:b/>
          <w:bCs/>
          <w:i/>
          <w:iCs/>
          <w:szCs w:val="22"/>
          <w:lang w:val="el-GR" w:eastAsia="en-US"/>
        </w:rPr>
      </w:pPr>
      <w:proofErr w:type="gramStart"/>
      <w:r w:rsidRPr="00105CDB">
        <w:rPr>
          <w:b/>
          <w:bCs/>
          <w:i/>
          <w:iCs/>
          <w:szCs w:val="22"/>
          <w:lang w:eastAsia="en-US"/>
        </w:rPr>
        <w:t>a</w:t>
      </w:r>
      <w:proofErr w:type="gramEnd"/>
      <w:r w:rsidRPr="00105CDB">
        <w:rPr>
          <w:b/>
          <w:bCs/>
          <w:i/>
          <w:iCs/>
          <w:szCs w:val="22"/>
          <w:lang w:val="el-GR" w:eastAsia="en-US"/>
        </w:rPr>
        <w:tab/>
        <w:t>Σύνοψη του προφίλ ασφάλειας</w:t>
      </w:r>
    </w:p>
    <w:p w:rsidR="008D532E" w:rsidRPr="00105CDB" w:rsidRDefault="008D532E" w:rsidP="00604D6E">
      <w:pPr>
        <w:pStyle w:val="2"/>
        <w:widowControl w:val="0"/>
        <w:spacing w:line="240" w:lineRule="atLeast"/>
        <w:ind w:left="0" w:firstLine="0"/>
        <w:rPr>
          <w:b w:val="0"/>
          <w:lang w:val="el-GR"/>
        </w:rPr>
      </w:pPr>
    </w:p>
    <w:p w:rsidR="008D532E" w:rsidRPr="00105CDB" w:rsidRDefault="00604D6E" w:rsidP="00604D6E">
      <w:pPr>
        <w:pStyle w:val="2"/>
        <w:widowControl w:val="0"/>
        <w:spacing w:line="240" w:lineRule="atLeast"/>
        <w:ind w:left="0" w:firstLine="0"/>
        <w:rPr>
          <w:b w:val="0"/>
          <w:lang w:val="el-GR"/>
        </w:rPr>
      </w:pPr>
      <w:r w:rsidRPr="00105CDB">
        <w:rPr>
          <w:b w:val="0"/>
          <w:lang w:val="el-GR"/>
        </w:rPr>
        <w:t xml:space="preserve">Η βαλγκανσικλοβίρη αποτελεί προφάρμακο της γκανσικλοβίρης </w:t>
      </w:r>
      <w:r w:rsidR="00114160" w:rsidRPr="00105CDB">
        <w:rPr>
          <w:b w:val="0"/>
          <w:lang w:val="el-GR"/>
        </w:rPr>
        <w:t>η οποία</w:t>
      </w:r>
      <w:r w:rsidRPr="00105CDB">
        <w:rPr>
          <w:b w:val="0"/>
          <w:lang w:val="el-GR"/>
        </w:rPr>
        <w:t xml:space="preserve"> μετά την από του στόματος χορήγηση μεταβολίζεται ταχέως και εκτεταμένως σε γκανσικλοβίρη. Οι ανεπιθύμητες ενέργειες για τις οποίες είναι γνωστό ότι σχετίζονται με τη χρήση γκανσικλοβίρης μπορούν να αναμένονται και με τη βαλγκανσικλοβίρη. Όλες οι ανεπιθύμητες ενέργειες που παρατηρήθηκαν στις κλινικές μελέτες </w:t>
      </w:r>
      <w:r w:rsidR="007F2AAC" w:rsidRPr="00105CDB">
        <w:rPr>
          <w:b w:val="0"/>
          <w:lang w:val="el-GR"/>
        </w:rPr>
        <w:t xml:space="preserve">με </w:t>
      </w:r>
      <w:r w:rsidRPr="00105CDB">
        <w:rPr>
          <w:b w:val="0"/>
          <w:lang w:val="el-GR"/>
        </w:rPr>
        <w:t xml:space="preserve"> βαλγκανσικλοβίρης είχαν προηγουμένως παρατηρηθεί με την γκανσικλοβίρη. </w:t>
      </w:r>
    </w:p>
    <w:p w:rsidR="008D532E" w:rsidRPr="00105CDB" w:rsidRDefault="008D532E" w:rsidP="00604D6E">
      <w:pPr>
        <w:pStyle w:val="2"/>
        <w:widowControl w:val="0"/>
        <w:spacing w:line="240" w:lineRule="atLeast"/>
        <w:ind w:left="0" w:firstLine="0"/>
        <w:rPr>
          <w:b w:val="0"/>
          <w:lang w:val="el-GR"/>
        </w:rPr>
      </w:pPr>
    </w:p>
    <w:p w:rsidR="00604D6E" w:rsidRPr="00105CDB" w:rsidRDefault="00604D6E" w:rsidP="00604D6E">
      <w:pPr>
        <w:pStyle w:val="2"/>
        <w:widowControl w:val="0"/>
        <w:spacing w:line="240" w:lineRule="atLeast"/>
        <w:ind w:left="0" w:firstLine="0"/>
        <w:rPr>
          <w:b w:val="0"/>
          <w:lang w:val="el-GR"/>
        </w:rPr>
      </w:pPr>
      <w:r w:rsidRPr="00105CDB">
        <w:rPr>
          <w:b w:val="0"/>
          <w:lang w:val="el-GR"/>
        </w:rPr>
        <w:t>Οι συχνότερα αναφερθείσες ανεπιθύμητες αντιδράσεις μετά από χορήγηση βαλγκανσικλοβίρης</w:t>
      </w:r>
      <w:r w:rsidR="0027571B" w:rsidRPr="00105CDB">
        <w:rPr>
          <w:b w:val="0"/>
          <w:lang w:val="el-GR"/>
        </w:rPr>
        <w:t xml:space="preserve"> σε ενήλικες</w:t>
      </w:r>
      <w:r w:rsidRPr="00105CDB">
        <w:rPr>
          <w:b w:val="0"/>
          <w:lang w:val="el-GR"/>
        </w:rPr>
        <w:t xml:space="preserve"> είναι η ουδετεροπενία, η αναιμία και η διάρροια.</w:t>
      </w:r>
    </w:p>
    <w:p w:rsidR="00604D6E" w:rsidRPr="00105CDB" w:rsidRDefault="00604D6E" w:rsidP="00604D6E">
      <w:pPr>
        <w:pStyle w:val="a8"/>
        <w:widowControl w:val="0"/>
        <w:tabs>
          <w:tab w:val="clear" w:pos="567"/>
        </w:tabs>
        <w:spacing w:line="240" w:lineRule="atLeast"/>
        <w:rPr>
          <w:lang w:val="el-GR"/>
        </w:rPr>
      </w:pPr>
    </w:p>
    <w:p w:rsidR="00604D6E" w:rsidRPr="00105CDB" w:rsidRDefault="00F57B0A" w:rsidP="00604D6E">
      <w:pPr>
        <w:widowControl w:val="0"/>
        <w:spacing w:line="240" w:lineRule="atLeast"/>
        <w:rPr>
          <w:lang w:val="el-GR"/>
        </w:rPr>
      </w:pPr>
      <w:r w:rsidRPr="00105CDB">
        <w:rPr>
          <w:lang w:val="el-GR"/>
        </w:rPr>
        <w:t xml:space="preserve">Η </w:t>
      </w:r>
      <w:r w:rsidR="00604D6E" w:rsidRPr="00105CDB">
        <w:rPr>
          <w:lang w:val="el-GR"/>
        </w:rPr>
        <w:t xml:space="preserve"> βαλγκανσικλοβίρη σχετίζ</w:t>
      </w:r>
      <w:r w:rsidRPr="00105CDB">
        <w:rPr>
          <w:lang w:val="el-GR"/>
        </w:rPr>
        <w:t>ε</w:t>
      </w:r>
      <w:r w:rsidR="00604D6E" w:rsidRPr="00105CDB">
        <w:rPr>
          <w:lang w:val="el-GR"/>
        </w:rPr>
        <w:t>ται με μεγαλύτερο κίνδυνο διάρροιας συγκριτικώς προς την ενδοφλέβια γκανσικλοβίρη. Επιπρόσθετα, η βαλγκανσικλοβίρη σχετίζεται με μεγαλύτερο κίνδυνο ουδετεροπενίας και λευκοπενίας συγκριτικώς προς την από του στόματος γκανσικλοβίρη.</w:t>
      </w:r>
    </w:p>
    <w:p w:rsidR="00604D6E" w:rsidRPr="00105CDB" w:rsidRDefault="00604D6E" w:rsidP="00604D6E">
      <w:pPr>
        <w:widowControl w:val="0"/>
        <w:spacing w:line="240" w:lineRule="atLeast"/>
        <w:rPr>
          <w:lang w:val="el-GR"/>
        </w:rPr>
      </w:pPr>
    </w:p>
    <w:p w:rsidR="00604D6E" w:rsidRPr="00105CDB" w:rsidRDefault="00604D6E" w:rsidP="00604D6E">
      <w:pPr>
        <w:pStyle w:val="2"/>
        <w:widowControl w:val="0"/>
        <w:spacing w:line="240" w:lineRule="atLeast"/>
        <w:ind w:left="0" w:firstLine="0"/>
        <w:rPr>
          <w:b w:val="0"/>
          <w:lang w:val="el-GR"/>
        </w:rPr>
      </w:pPr>
      <w:r w:rsidRPr="00105CDB">
        <w:rPr>
          <w:b w:val="0"/>
          <w:lang w:val="el-GR"/>
        </w:rPr>
        <w:t>Η σοβαρή ουδετεροπενία (</w:t>
      </w:r>
      <w:r w:rsidR="008D532E" w:rsidRPr="00105CDB">
        <w:rPr>
          <w:b w:val="0"/>
          <w:snapToGrid w:val="0"/>
          <w:szCs w:val="22"/>
          <w:lang w:val="en-GB" w:eastAsia="en-US"/>
        </w:rPr>
        <w:t>ANC</w:t>
      </w:r>
      <w:r w:rsidR="008D532E" w:rsidRPr="00105CDB">
        <w:rPr>
          <w:b w:val="0"/>
          <w:lang w:val="el-GR"/>
        </w:rPr>
        <w:t xml:space="preserve"> </w:t>
      </w:r>
      <w:r w:rsidRPr="00105CDB">
        <w:rPr>
          <w:b w:val="0"/>
          <w:lang w:val="el-GR"/>
        </w:rPr>
        <w:t>&lt;</w:t>
      </w:r>
      <w:r w:rsidRPr="00105CDB">
        <w:rPr>
          <w:b w:val="0"/>
        </w:rPr>
        <w:t> </w:t>
      </w:r>
      <w:r w:rsidRPr="00105CDB">
        <w:rPr>
          <w:b w:val="0"/>
          <w:lang w:val="el-GR"/>
        </w:rPr>
        <w:t>500</w:t>
      </w:r>
      <w:r w:rsidRPr="00105CDB">
        <w:rPr>
          <w:b w:val="0"/>
        </w:rPr>
        <w:t> </w:t>
      </w:r>
      <w:r w:rsidR="008D532E" w:rsidRPr="00105CDB">
        <w:rPr>
          <w:b w:val="0"/>
          <w:lang w:val="el-GR"/>
        </w:rPr>
        <w:t>κύτταρα</w:t>
      </w:r>
      <w:r w:rsidRPr="00105CDB">
        <w:rPr>
          <w:b w:val="0"/>
          <w:lang w:val="el-GR"/>
        </w:rPr>
        <w:t>/</w:t>
      </w:r>
      <w:r w:rsidRPr="00105CDB">
        <w:rPr>
          <w:b w:val="0"/>
        </w:rPr>
        <w:sym w:font="Symbol" w:char="F06D"/>
      </w:r>
      <w:r w:rsidR="00F57B0A" w:rsidRPr="00105CDB">
        <w:rPr>
          <w:b w:val="0"/>
        </w:rPr>
        <w:t>l</w:t>
      </w:r>
      <w:r w:rsidRPr="00105CDB">
        <w:rPr>
          <w:b w:val="0"/>
          <w:lang w:val="el-GR"/>
        </w:rPr>
        <w:t xml:space="preserve">) παρατηρείται συχνότερα σε ασθενείς με </w:t>
      </w:r>
      <w:r w:rsidR="008D532E" w:rsidRPr="00105CDB">
        <w:rPr>
          <w:b w:val="0"/>
          <w:snapToGrid w:val="0"/>
          <w:szCs w:val="22"/>
          <w:lang w:val="en-GB" w:eastAsia="en-US"/>
        </w:rPr>
        <w:t>AIDS</w:t>
      </w:r>
      <w:r w:rsidR="008D532E" w:rsidRPr="00105CDB">
        <w:rPr>
          <w:b w:val="0"/>
          <w:snapToGrid w:val="0"/>
          <w:szCs w:val="22"/>
          <w:lang w:val="el-GR" w:eastAsia="en-US"/>
        </w:rPr>
        <w:t xml:space="preserve"> και </w:t>
      </w:r>
      <w:r w:rsidRPr="00105CDB">
        <w:rPr>
          <w:b w:val="0"/>
          <w:lang w:val="el-GR"/>
        </w:rPr>
        <w:t xml:space="preserve">αμφιβληστροειδίτιδα από </w:t>
      </w:r>
      <w:r w:rsidRPr="00105CDB">
        <w:rPr>
          <w:b w:val="0"/>
        </w:rPr>
        <w:t>CMV</w:t>
      </w:r>
      <w:r w:rsidRPr="00105CDB">
        <w:rPr>
          <w:b w:val="0"/>
          <w:lang w:val="el-GR"/>
        </w:rPr>
        <w:t xml:space="preserve"> που υποβάλλονται σε αγωγή με βαλγκανσικλοβίρη απ’ότι σε ασθενείς που έχουν υποβληθεί σε μεταμόσχευση συμπαγούς οργάνου που λαμβάνουν βαλγκανσικλοβίρη </w:t>
      </w:r>
      <w:r w:rsidR="008D532E" w:rsidRPr="00105CDB">
        <w:rPr>
          <w:b w:val="0"/>
          <w:lang w:val="el-GR"/>
        </w:rPr>
        <w:t>(βλέπε παράγραφο 4.4)</w:t>
      </w:r>
      <w:r w:rsidRPr="00105CDB">
        <w:rPr>
          <w:b w:val="0"/>
          <w:lang w:val="el-GR"/>
        </w:rPr>
        <w:t xml:space="preserve">. </w:t>
      </w:r>
    </w:p>
    <w:p w:rsidR="00604D6E" w:rsidRPr="00105CDB" w:rsidRDefault="00604D6E" w:rsidP="00604D6E">
      <w:pPr>
        <w:pStyle w:val="2"/>
        <w:widowControl w:val="0"/>
        <w:spacing w:line="240" w:lineRule="atLeast"/>
        <w:ind w:left="0" w:firstLine="0"/>
        <w:rPr>
          <w:b w:val="0"/>
          <w:lang w:val="el-GR"/>
        </w:rPr>
      </w:pPr>
    </w:p>
    <w:p w:rsidR="00604D6E" w:rsidRPr="00105CDB" w:rsidRDefault="00604D6E" w:rsidP="000F6368">
      <w:pPr>
        <w:ind w:right="-23"/>
        <w:rPr>
          <w:lang w:val="el-GR"/>
        </w:rPr>
      </w:pPr>
      <w:r w:rsidRPr="00105CDB">
        <w:rPr>
          <w:lang w:val="el-GR"/>
        </w:rPr>
        <w:t xml:space="preserve">Η συχνότητα των ανεπιθύμητων αντιδράσεων που αναφέρθηκαν σε κλινικές δοκιμές είτε με βαλγκανσικλοβίρη, είτε με από του στόματος γκανσικλοβίρη ή με ενδοφλέβια γκανσικλοβίρη, παρουσιάζονται στον ακόλουθο πίνακα. Οι ανεπιθύμητες αντιδράσεις που παρατίθενται, αναφέρθηκαν σε κλινικές δοκιμές σε ασθενείς με </w:t>
      </w:r>
      <w:r w:rsidRPr="00105CDB">
        <w:t>AIDS</w:t>
      </w:r>
      <w:r w:rsidRPr="00105CDB">
        <w:rPr>
          <w:lang w:val="el-GR"/>
        </w:rPr>
        <w:t xml:space="preserve">, σε αγωγή εφόδου ή αγωγή συντήρησης της αμφιβληστροειδίτιδας από </w:t>
      </w:r>
      <w:r w:rsidRPr="00105CDB">
        <w:t>CMV</w:t>
      </w:r>
      <w:r w:rsidRPr="00105CDB">
        <w:rPr>
          <w:lang w:val="el-GR"/>
        </w:rPr>
        <w:t xml:space="preserve"> ή σε ασθενείς μεταμοσχευθέντες με ήπαρ, νεφρό ή καρδιά στην πρόληψη της νόσου από </w:t>
      </w:r>
      <w:r w:rsidRPr="00105CDB">
        <w:t>CMV</w:t>
      </w:r>
      <w:r w:rsidRPr="00105CDB">
        <w:rPr>
          <w:lang w:val="el-GR"/>
        </w:rPr>
        <w:t>. Στον πίνακα, ο όρος (σοβαρή), σε παρένθεση, υποδηλώνει ότι η ανεπιθύμητη αντίδραση έχει αναφερθεί σε ασθενείς τόσο με ήπια/μέτρια ένταση όσο και με σοβαρή/απειλητική για τη ζωή ένταση, σε αυτή τη συγκεκριμένη συχνότητα.</w:t>
      </w:r>
    </w:p>
    <w:p w:rsidR="008D532E" w:rsidRPr="00105CDB" w:rsidRDefault="008D532E" w:rsidP="000F6368">
      <w:pPr>
        <w:ind w:right="-23"/>
        <w:rPr>
          <w:lang w:val="el-GR"/>
        </w:rPr>
      </w:pPr>
    </w:p>
    <w:p w:rsidR="008D532E" w:rsidRPr="00105CDB" w:rsidRDefault="008D532E" w:rsidP="000F6368">
      <w:pPr>
        <w:ind w:right="-23"/>
        <w:rPr>
          <w:lang w:val="el-GR"/>
        </w:rPr>
      </w:pPr>
      <w:r w:rsidRPr="00105CDB">
        <w:rPr>
          <w:lang w:val="el-GR"/>
        </w:rPr>
        <w:t>Το συνολικό προφίλ ασφάλειας του Valcyte δεν μεταβάλλεται με την επέκταση της προφύλαξης σε έως και 200 ημέρες στους ενήλικες ασθενείς-λήπτες νεφρικού μοσχεύματος που διατρέχουν υψηλό κίνδυνο νόσου από CMV (D+/R-).  Αναφέρθηκε λευκοπενία με ελαφρώς υψηλότερη επίπτωση στο σκέλος των 200 ημερών ενώ η επίπτωση της ουδετεροπενίας, της αναιμίας και της θρομβοκυτταροπενίας ήταν παρόμοια σε αμφότερα τα σκέλη.</w:t>
      </w:r>
    </w:p>
    <w:p w:rsidR="008D532E" w:rsidRPr="00105CDB" w:rsidRDefault="008D532E" w:rsidP="008D532E">
      <w:pPr>
        <w:rPr>
          <w:snapToGrid w:val="0"/>
          <w:szCs w:val="22"/>
          <w:lang w:val="el-GR"/>
        </w:rPr>
      </w:pPr>
    </w:p>
    <w:p w:rsidR="008D532E" w:rsidRPr="00105CDB" w:rsidRDefault="00852878" w:rsidP="00403333">
      <w:pPr>
        <w:ind w:left="357" w:hanging="357"/>
        <w:rPr>
          <w:b/>
          <w:bCs/>
          <w:i/>
          <w:iCs/>
          <w:szCs w:val="22"/>
          <w:lang w:val="el-GR" w:eastAsia="en-US"/>
        </w:rPr>
      </w:pPr>
      <w:r w:rsidRPr="00105CDB">
        <w:rPr>
          <w:b/>
          <w:bCs/>
          <w:i/>
          <w:iCs/>
          <w:szCs w:val="22"/>
          <w:lang w:val="el-GR" w:eastAsia="en-US"/>
        </w:rPr>
        <w:t>β</w:t>
      </w:r>
      <w:r w:rsidR="008D532E" w:rsidRPr="00105CDB">
        <w:rPr>
          <w:b/>
          <w:bCs/>
          <w:i/>
          <w:iCs/>
          <w:szCs w:val="22"/>
          <w:lang w:val="el-GR" w:eastAsia="en-US"/>
        </w:rPr>
        <w:tab/>
        <w:t>Κατάλογος ανεπιθύμητων ενεργειών σε μορφή πίνακα</w:t>
      </w:r>
    </w:p>
    <w:p w:rsidR="00604D6E" w:rsidRPr="00105CDB" w:rsidRDefault="00604D6E" w:rsidP="00604D6E">
      <w:pPr>
        <w:widowControl w:val="0"/>
        <w:spacing w:line="240" w:lineRule="atLeast"/>
        <w:rPr>
          <w:lang w:val="el-GR"/>
        </w:rPr>
      </w:pPr>
    </w:p>
    <w:p w:rsidR="00DA36B8" w:rsidRPr="00105CDB" w:rsidRDefault="00DA36B8" w:rsidP="00DA36B8">
      <w:pPr>
        <w:autoSpaceDE w:val="0"/>
        <w:autoSpaceDN w:val="0"/>
        <w:adjustRightInd w:val="0"/>
        <w:rPr>
          <w:lang w:val="el-GR"/>
        </w:rPr>
      </w:pPr>
      <w:r w:rsidRPr="00105CDB">
        <w:rPr>
          <w:rFonts w:hint="eastAsia"/>
          <w:lang w:val="el-GR"/>
        </w:rPr>
        <w:t>Εντός</w:t>
      </w:r>
      <w:r w:rsidRPr="00105CDB">
        <w:rPr>
          <w:lang w:val="el-GR"/>
        </w:rPr>
        <w:t xml:space="preserve"> </w:t>
      </w:r>
      <w:r w:rsidRPr="00105CDB">
        <w:rPr>
          <w:rFonts w:hint="eastAsia"/>
          <w:lang w:val="el-GR"/>
        </w:rPr>
        <w:t>κάθε</w:t>
      </w:r>
      <w:r w:rsidRPr="00105CDB">
        <w:rPr>
          <w:lang w:val="el-GR"/>
        </w:rPr>
        <w:t xml:space="preserve"> </w:t>
      </w:r>
      <w:r w:rsidRPr="00105CDB">
        <w:rPr>
          <w:rFonts w:hint="eastAsia"/>
          <w:lang w:val="el-GR"/>
        </w:rPr>
        <w:t>κατηγορίας</w:t>
      </w:r>
      <w:r w:rsidRPr="00105CDB">
        <w:rPr>
          <w:lang w:val="el-GR"/>
        </w:rPr>
        <w:t xml:space="preserve"> </w:t>
      </w:r>
      <w:r w:rsidRPr="00105CDB">
        <w:rPr>
          <w:rFonts w:hint="eastAsia"/>
          <w:lang w:val="el-GR"/>
        </w:rPr>
        <w:t>συχνότητας</w:t>
      </w:r>
      <w:r w:rsidRPr="00105CDB">
        <w:rPr>
          <w:lang w:val="el-GR"/>
        </w:rPr>
        <w:t xml:space="preserve"> </w:t>
      </w:r>
      <w:r w:rsidRPr="00105CDB">
        <w:rPr>
          <w:rFonts w:hint="eastAsia"/>
          <w:lang w:val="el-GR"/>
        </w:rPr>
        <w:t>εμφάνισης</w:t>
      </w:r>
      <w:r w:rsidRPr="00105CDB">
        <w:rPr>
          <w:lang w:val="el-GR"/>
        </w:rPr>
        <w:t xml:space="preserve">, </w:t>
      </w:r>
      <w:r w:rsidRPr="00105CDB">
        <w:rPr>
          <w:rFonts w:hint="eastAsia"/>
          <w:lang w:val="el-GR"/>
        </w:rPr>
        <w:t>οι</w:t>
      </w:r>
      <w:r w:rsidRPr="00105CDB">
        <w:rPr>
          <w:lang w:val="el-GR"/>
        </w:rPr>
        <w:t xml:space="preserve"> </w:t>
      </w:r>
      <w:r w:rsidRPr="00105CDB">
        <w:rPr>
          <w:rFonts w:hint="eastAsia"/>
          <w:lang w:val="el-GR"/>
        </w:rPr>
        <w:t>ανεπιθύμητες</w:t>
      </w:r>
      <w:r w:rsidRPr="00105CDB">
        <w:rPr>
          <w:lang w:val="el-GR"/>
        </w:rPr>
        <w:t xml:space="preserve"> </w:t>
      </w:r>
      <w:r w:rsidRPr="00105CDB">
        <w:rPr>
          <w:rFonts w:hint="eastAsia"/>
          <w:lang w:val="el-GR"/>
        </w:rPr>
        <w:t>ενέργειες</w:t>
      </w:r>
      <w:r w:rsidRPr="00105CDB">
        <w:rPr>
          <w:lang w:val="el-GR"/>
        </w:rPr>
        <w:t xml:space="preserve"> </w:t>
      </w:r>
      <w:r w:rsidRPr="00105CDB">
        <w:rPr>
          <w:rFonts w:hint="eastAsia"/>
          <w:lang w:val="el-GR"/>
        </w:rPr>
        <w:t>παρατίθενται</w:t>
      </w:r>
      <w:r w:rsidRPr="00105CDB">
        <w:rPr>
          <w:lang w:val="el-GR"/>
        </w:rPr>
        <w:t xml:space="preserve"> </w:t>
      </w:r>
      <w:r w:rsidRPr="00105CDB">
        <w:rPr>
          <w:rFonts w:hint="eastAsia"/>
          <w:lang w:val="el-GR"/>
        </w:rPr>
        <w:t>κατά</w:t>
      </w:r>
    </w:p>
    <w:p w:rsidR="000926AB" w:rsidRPr="00105CDB" w:rsidRDefault="00DA36B8" w:rsidP="00DA36B8">
      <w:pPr>
        <w:rPr>
          <w:lang w:val="el-GR"/>
        </w:rPr>
      </w:pPr>
      <w:r w:rsidRPr="00105CDB">
        <w:rPr>
          <w:rFonts w:hint="eastAsia"/>
          <w:lang w:val="el-GR"/>
        </w:rPr>
        <w:t>φθίνουσα</w:t>
      </w:r>
      <w:r w:rsidRPr="00105CDB">
        <w:rPr>
          <w:lang w:val="el-GR"/>
        </w:rPr>
        <w:t xml:space="preserve"> </w:t>
      </w:r>
      <w:r w:rsidRPr="00105CDB">
        <w:rPr>
          <w:rFonts w:hint="eastAsia"/>
          <w:lang w:val="el-GR"/>
        </w:rPr>
        <w:t>σειρά</w:t>
      </w:r>
      <w:r w:rsidRPr="00105CDB">
        <w:rPr>
          <w:lang w:val="el-GR"/>
        </w:rPr>
        <w:t xml:space="preserve"> </w:t>
      </w:r>
      <w:r w:rsidRPr="00105CDB">
        <w:rPr>
          <w:rFonts w:hint="eastAsia"/>
          <w:lang w:val="el-GR"/>
        </w:rPr>
        <w:t>σοβαρότητας</w:t>
      </w:r>
      <w:r w:rsidRPr="00105CDB">
        <w:rPr>
          <w:lang w:val="el-GR"/>
        </w:rPr>
        <w:t>.</w:t>
      </w:r>
    </w:p>
    <w:p w:rsidR="00DA36B8" w:rsidRPr="00105CDB" w:rsidRDefault="00DA36B8" w:rsidP="00DA36B8">
      <w:pPr>
        <w:rPr>
          <w:noProof/>
          <w:lang w:val="el-GR"/>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0"/>
        <w:gridCol w:w="1926"/>
        <w:gridCol w:w="2693"/>
        <w:gridCol w:w="1559"/>
        <w:gridCol w:w="1559"/>
      </w:tblGrid>
      <w:tr w:rsidR="00DA36B8" w:rsidRPr="00105CDB" w:rsidTr="00BC4F11">
        <w:trPr>
          <w:tblHeader/>
        </w:trPr>
        <w:tc>
          <w:tcPr>
            <w:tcW w:w="1760" w:type="dxa"/>
            <w:shd w:val="clear" w:color="auto" w:fill="auto"/>
          </w:tcPr>
          <w:p w:rsidR="00DA36B8" w:rsidRPr="00105CDB" w:rsidRDefault="00DA36B8" w:rsidP="00BC4F11">
            <w:pPr>
              <w:tabs>
                <w:tab w:val="left" w:pos="567"/>
              </w:tabs>
              <w:spacing w:line="260" w:lineRule="exact"/>
              <w:rPr>
                <w:b/>
                <w:lang w:val="el-GR"/>
              </w:rPr>
            </w:pPr>
            <w:r w:rsidRPr="00105CDB">
              <w:rPr>
                <w:b/>
                <w:lang w:val="el-GR"/>
              </w:rPr>
              <w:t>Οργανικό Σύστημα</w:t>
            </w:r>
          </w:p>
        </w:tc>
        <w:tc>
          <w:tcPr>
            <w:tcW w:w="1926" w:type="dxa"/>
            <w:shd w:val="clear" w:color="auto" w:fill="auto"/>
          </w:tcPr>
          <w:p w:rsidR="00DA36B8" w:rsidRPr="00105CDB" w:rsidRDefault="00DA36B8" w:rsidP="00BC4F11">
            <w:pPr>
              <w:tabs>
                <w:tab w:val="left" w:pos="567"/>
              </w:tabs>
              <w:spacing w:line="260" w:lineRule="exact"/>
              <w:rPr>
                <w:b/>
                <w:lang w:val="el-GR"/>
              </w:rPr>
            </w:pPr>
            <w:r w:rsidRPr="00105CDB">
              <w:rPr>
                <w:b/>
                <w:lang w:val="el-GR"/>
              </w:rPr>
              <w:t xml:space="preserve">Πολύ συχνές </w:t>
            </w:r>
            <w:r w:rsidRPr="00105CDB">
              <w:rPr>
                <w:b/>
              </w:rPr>
              <w:t>(≥ 1/10)</w:t>
            </w:r>
          </w:p>
          <w:p w:rsidR="00DA36B8" w:rsidRPr="00105CDB" w:rsidRDefault="00DA36B8" w:rsidP="00BC4F11">
            <w:pPr>
              <w:tabs>
                <w:tab w:val="left" w:pos="567"/>
              </w:tabs>
              <w:spacing w:line="260" w:lineRule="exact"/>
            </w:pPr>
          </w:p>
        </w:tc>
        <w:tc>
          <w:tcPr>
            <w:tcW w:w="2693" w:type="dxa"/>
            <w:shd w:val="clear" w:color="auto" w:fill="auto"/>
          </w:tcPr>
          <w:p w:rsidR="00DA36B8" w:rsidRPr="00105CDB" w:rsidRDefault="00DA36B8" w:rsidP="00BC4F11">
            <w:pPr>
              <w:tabs>
                <w:tab w:val="left" w:pos="567"/>
              </w:tabs>
              <w:spacing w:line="260" w:lineRule="exact"/>
              <w:rPr>
                <w:b/>
                <w:noProof/>
                <w:lang w:val="el-GR"/>
              </w:rPr>
            </w:pPr>
            <w:r w:rsidRPr="00105CDB">
              <w:rPr>
                <w:b/>
                <w:noProof/>
              </w:rPr>
              <w:t>Συχνές</w:t>
            </w:r>
            <w:r w:rsidRPr="00105CDB">
              <w:rPr>
                <w:b/>
                <w:noProof/>
                <w:lang w:val="el-GR"/>
              </w:rPr>
              <w:t xml:space="preserve"> </w:t>
            </w:r>
            <w:r w:rsidRPr="00105CDB">
              <w:rPr>
                <w:b/>
              </w:rPr>
              <w:t>(≥ 1/100</w:t>
            </w:r>
            <w:r w:rsidR="00007516" w:rsidRPr="00105CDB">
              <w:rPr>
                <w:b/>
                <w:lang w:val="el-GR"/>
              </w:rPr>
              <w:t xml:space="preserve"> έως</w:t>
            </w:r>
            <w:r w:rsidRPr="00105CDB">
              <w:rPr>
                <w:b/>
              </w:rPr>
              <w:t xml:space="preserve"> &lt; 1/10)</w:t>
            </w:r>
          </w:p>
        </w:tc>
        <w:tc>
          <w:tcPr>
            <w:tcW w:w="1559" w:type="dxa"/>
            <w:shd w:val="clear" w:color="auto" w:fill="auto"/>
          </w:tcPr>
          <w:p w:rsidR="00DA36B8" w:rsidRPr="00105CDB" w:rsidRDefault="00DA36B8" w:rsidP="00BC4F11">
            <w:pPr>
              <w:tabs>
                <w:tab w:val="left" w:pos="567"/>
              </w:tabs>
              <w:spacing w:line="260" w:lineRule="exact"/>
              <w:ind w:right="-23"/>
              <w:rPr>
                <w:b/>
                <w:lang w:val="el-GR"/>
              </w:rPr>
            </w:pPr>
            <w:r w:rsidRPr="00105CDB">
              <w:rPr>
                <w:b/>
                <w:lang w:val="el-GR"/>
              </w:rPr>
              <w:t xml:space="preserve">Όχι συχνές </w:t>
            </w:r>
            <w:r w:rsidRPr="00105CDB">
              <w:rPr>
                <w:b/>
              </w:rPr>
              <w:t>(</w:t>
            </w:r>
            <w:r w:rsidRPr="00105CDB">
              <w:rPr>
                <w:b/>
                <w:snapToGrid w:val="0"/>
                <w:lang w:eastAsia="en-US"/>
              </w:rPr>
              <w:sym w:font="Symbol" w:char="F0B3"/>
            </w:r>
            <w:r w:rsidRPr="00105CDB">
              <w:rPr>
                <w:b/>
              </w:rPr>
              <w:t>1/1</w:t>
            </w:r>
            <w:r w:rsidR="00007516" w:rsidRPr="00105CDB">
              <w:rPr>
                <w:b/>
                <w:lang w:val="el-GR"/>
              </w:rPr>
              <w:t>.</w:t>
            </w:r>
            <w:r w:rsidRPr="00105CDB">
              <w:rPr>
                <w:b/>
              </w:rPr>
              <w:t>000</w:t>
            </w:r>
            <w:r w:rsidR="00007516" w:rsidRPr="00105CDB">
              <w:rPr>
                <w:b/>
                <w:lang w:val="el-GR"/>
              </w:rPr>
              <w:t xml:space="preserve"> έως</w:t>
            </w:r>
            <w:r w:rsidRPr="00105CDB">
              <w:rPr>
                <w:b/>
              </w:rPr>
              <w:t xml:space="preserve"> &lt;1/100)</w:t>
            </w:r>
          </w:p>
          <w:p w:rsidR="00DA36B8" w:rsidRPr="00105CDB" w:rsidRDefault="00DA36B8" w:rsidP="00BC4F11">
            <w:pPr>
              <w:tabs>
                <w:tab w:val="left" w:pos="567"/>
              </w:tabs>
              <w:spacing w:line="260" w:lineRule="exact"/>
            </w:pPr>
          </w:p>
        </w:tc>
        <w:tc>
          <w:tcPr>
            <w:tcW w:w="1559" w:type="dxa"/>
            <w:shd w:val="clear" w:color="auto" w:fill="auto"/>
          </w:tcPr>
          <w:p w:rsidR="00DA36B8" w:rsidRPr="00105CDB" w:rsidRDefault="00DA36B8" w:rsidP="00BC4F11">
            <w:pPr>
              <w:tabs>
                <w:tab w:val="left" w:pos="567"/>
              </w:tabs>
              <w:spacing w:line="260" w:lineRule="exact"/>
              <w:ind w:right="-23"/>
              <w:rPr>
                <w:b/>
                <w:lang w:val="el-GR"/>
              </w:rPr>
            </w:pPr>
            <w:r w:rsidRPr="00105CDB">
              <w:rPr>
                <w:b/>
                <w:lang w:val="el-GR"/>
              </w:rPr>
              <w:t xml:space="preserve">Σπάνιες </w:t>
            </w:r>
            <w:r w:rsidRPr="00105CDB">
              <w:rPr>
                <w:b/>
              </w:rPr>
              <w:t>(</w:t>
            </w:r>
            <w:r w:rsidRPr="00105CDB">
              <w:rPr>
                <w:b/>
                <w:snapToGrid w:val="0"/>
                <w:lang w:eastAsia="en-US"/>
              </w:rPr>
              <w:sym w:font="Symbol" w:char="F0B3"/>
            </w:r>
            <w:r w:rsidRPr="00105CDB">
              <w:rPr>
                <w:b/>
              </w:rPr>
              <w:t>1/10</w:t>
            </w:r>
            <w:r w:rsidRPr="00105CDB">
              <w:rPr>
                <w:b/>
                <w:lang w:val="el-GR"/>
              </w:rPr>
              <w:t>.</w:t>
            </w:r>
            <w:r w:rsidRPr="00105CDB">
              <w:rPr>
                <w:b/>
              </w:rPr>
              <w:t>00</w:t>
            </w:r>
            <w:r w:rsidRPr="00105CDB">
              <w:rPr>
                <w:b/>
                <w:lang w:val="el-GR"/>
              </w:rPr>
              <w:t>0</w:t>
            </w:r>
            <w:r w:rsidR="00007516" w:rsidRPr="00105CDB">
              <w:rPr>
                <w:b/>
                <w:lang w:val="el-GR"/>
              </w:rPr>
              <w:t xml:space="preserve"> έως</w:t>
            </w:r>
            <w:r w:rsidRPr="00105CDB">
              <w:rPr>
                <w:b/>
              </w:rPr>
              <w:t xml:space="preserve"> &lt;1/1</w:t>
            </w:r>
            <w:r w:rsidR="00007516" w:rsidRPr="00105CDB">
              <w:rPr>
                <w:b/>
                <w:lang w:val="el-GR"/>
              </w:rPr>
              <w:t>.</w:t>
            </w:r>
            <w:r w:rsidRPr="00105CDB">
              <w:rPr>
                <w:b/>
              </w:rPr>
              <w:t>00</w:t>
            </w:r>
            <w:r w:rsidRPr="00105CDB">
              <w:rPr>
                <w:b/>
                <w:lang w:val="el-GR"/>
              </w:rPr>
              <w:t>0</w:t>
            </w:r>
            <w:r w:rsidRPr="00105CDB">
              <w:rPr>
                <w:b/>
              </w:rPr>
              <w:t>)</w:t>
            </w:r>
          </w:p>
          <w:p w:rsidR="00DA36B8" w:rsidRPr="00105CDB" w:rsidRDefault="00DA36B8" w:rsidP="00BC4F11">
            <w:pPr>
              <w:tabs>
                <w:tab w:val="left" w:pos="567"/>
              </w:tabs>
              <w:spacing w:line="260" w:lineRule="exact"/>
              <w:ind w:right="-23"/>
              <w:rPr>
                <w:b/>
                <w:lang w:val="el-GR"/>
              </w:rPr>
            </w:pPr>
          </w:p>
        </w:tc>
      </w:tr>
      <w:tr w:rsidR="00DA36B8" w:rsidRPr="00A116C4" w:rsidTr="00BC4F11">
        <w:tc>
          <w:tcPr>
            <w:tcW w:w="1760" w:type="dxa"/>
            <w:shd w:val="clear" w:color="auto" w:fill="auto"/>
          </w:tcPr>
          <w:p w:rsidR="00DA36B8" w:rsidRPr="00105CDB" w:rsidRDefault="00DA36B8" w:rsidP="00BC4F11">
            <w:pPr>
              <w:tabs>
                <w:tab w:val="left" w:pos="567"/>
              </w:tabs>
              <w:spacing w:line="260" w:lineRule="exact"/>
              <w:rPr>
                <w:bCs/>
                <w:iCs/>
              </w:rPr>
            </w:pPr>
            <w:r w:rsidRPr="00105CDB">
              <w:rPr>
                <w:noProof/>
                <w:lang w:val="el-GR"/>
              </w:rPr>
              <w:t>Λοιμώξεις και παρασιτώσεις</w:t>
            </w:r>
          </w:p>
        </w:tc>
        <w:tc>
          <w:tcPr>
            <w:tcW w:w="1926" w:type="dxa"/>
            <w:shd w:val="clear" w:color="auto" w:fill="auto"/>
          </w:tcPr>
          <w:p w:rsidR="00DA36B8" w:rsidRPr="00105CDB" w:rsidRDefault="00DA36B8" w:rsidP="00BC4F11">
            <w:pPr>
              <w:tabs>
                <w:tab w:val="left" w:pos="567"/>
              </w:tabs>
              <w:spacing w:line="260" w:lineRule="exact"/>
              <w:rPr>
                <w:bCs/>
                <w:iCs/>
              </w:rPr>
            </w:pPr>
          </w:p>
        </w:tc>
        <w:tc>
          <w:tcPr>
            <w:tcW w:w="2693" w:type="dxa"/>
            <w:shd w:val="clear" w:color="auto" w:fill="auto"/>
          </w:tcPr>
          <w:p w:rsidR="00DA36B8" w:rsidRPr="00105CDB" w:rsidRDefault="00DA36B8" w:rsidP="00BC4F11">
            <w:pPr>
              <w:tabs>
                <w:tab w:val="left" w:pos="567"/>
              </w:tabs>
              <w:spacing w:line="260" w:lineRule="exact"/>
              <w:rPr>
                <w:bCs/>
                <w:iCs/>
                <w:lang w:val="el-GR"/>
              </w:rPr>
            </w:pPr>
            <w:r w:rsidRPr="00105CDB">
              <w:rPr>
                <w:lang w:val="el-GR"/>
              </w:rPr>
              <w:t xml:space="preserve">Καντιντίαση του στόματος, σηψαιμία (βακτηριαιμία, ιαιμία), κυτταρίτιδα, ουρολοίμωξη </w:t>
            </w:r>
          </w:p>
        </w:tc>
        <w:tc>
          <w:tcPr>
            <w:tcW w:w="1559" w:type="dxa"/>
            <w:shd w:val="clear" w:color="auto" w:fill="auto"/>
          </w:tcPr>
          <w:p w:rsidR="00DA36B8" w:rsidRPr="00105CDB" w:rsidRDefault="00DA36B8" w:rsidP="00BC4F11">
            <w:pPr>
              <w:tabs>
                <w:tab w:val="left" w:pos="567"/>
              </w:tabs>
              <w:spacing w:line="260" w:lineRule="exact"/>
              <w:rPr>
                <w:bCs/>
                <w:iCs/>
                <w:lang w:val="el-GR"/>
              </w:rPr>
            </w:pPr>
          </w:p>
        </w:tc>
        <w:tc>
          <w:tcPr>
            <w:tcW w:w="1559" w:type="dxa"/>
            <w:shd w:val="clear" w:color="auto" w:fill="auto"/>
          </w:tcPr>
          <w:p w:rsidR="00DA36B8" w:rsidRPr="00105CDB" w:rsidRDefault="00DA36B8" w:rsidP="00BC4F11">
            <w:pPr>
              <w:tabs>
                <w:tab w:val="left" w:pos="567"/>
              </w:tabs>
              <w:spacing w:line="260" w:lineRule="exact"/>
              <w:rPr>
                <w:bCs/>
                <w:iCs/>
                <w:lang w:val="el-GR"/>
              </w:rPr>
            </w:pPr>
          </w:p>
        </w:tc>
      </w:tr>
      <w:tr w:rsidR="00DA36B8" w:rsidRPr="00105CDB" w:rsidTr="00BC4F11">
        <w:tc>
          <w:tcPr>
            <w:tcW w:w="1760" w:type="dxa"/>
            <w:shd w:val="clear" w:color="auto" w:fill="auto"/>
          </w:tcPr>
          <w:p w:rsidR="00DA36B8" w:rsidRPr="00105CDB" w:rsidRDefault="00DA36B8" w:rsidP="00BC4F11">
            <w:pPr>
              <w:tabs>
                <w:tab w:val="left" w:pos="567"/>
              </w:tabs>
              <w:spacing w:line="260" w:lineRule="exact"/>
              <w:rPr>
                <w:bCs/>
                <w:iCs/>
                <w:lang w:val="el-GR"/>
              </w:rPr>
            </w:pPr>
            <w:r w:rsidRPr="00105CDB">
              <w:rPr>
                <w:noProof/>
                <w:lang w:val="el-GR"/>
              </w:rPr>
              <w:t xml:space="preserve">Διαταραχές του </w:t>
            </w:r>
            <w:r w:rsidRPr="00105CDB">
              <w:rPr>
                <w:snapToGrid w:val="0"/>
                <w:lang w:val="el-GR" w:eastAsia="en-US"/>
              </w:rPr>
              <w:t xml:space="preserve"> αιμοποιητικού </w:t>
            </w:r>
            <w:r w:rsidRPr="00105CDB">
              <w:rPr>
                <w:noProof/>
                <w:lang w:val="el-GR"/>
              </w:rPr>
              <w:t>και του λεμφικού συστήματος</w:t>
            </w:r>
          </w:p>
        </w:tc>
        <w:tc>
          <w:tcPr>
            <w:tcW w:w="1926" w:type="dxa"/>
            <w:shd w:val="clear" w:color="auto" w:fill="auto"/>
          </w:tcPr>
          <w:p w:rsidR="00DA36B8" w:rsidRPr="00105CDB" w:rsidRDefault="00DA36B8" w:rsidP="00BC4F11">
            <w:pPr>
              <w:tabs>
                <w:tab w:val="left" w:pos="567"/>
              </w:tabs>
              <w:spacing w:line="260" w:lineRule="exact"/>
              <w:rPr>
                <w:bCs/>
                <w:iCs/>
              </w:rPr>
            </w:pPr>
            <w:r w:rsidRPr="00105CDB">
              <w:rPr>
                <w:lang w:val="el-GR"/>
              </w:rPr>
              <w:t>(</w:t>
            </w:r>
            <w:r w:rsidR="00901675" w:rsidRPr="00105CDB">
              <w:rPr>
                <w:lang w:val="el-GR"/>
              </w:rPr>
              <w:t>Σ</w:t>
            </w:r>
            <w:r w:rsidRPr="00105CDB">
              <w:rPr>
                <w:lang w:val="el-GR"/>
              </w:rPr>
              <w:t>οβαρή) ουδετεροπενία, αναιμία</w:t>
            </w:r>
          </w:p>
        </w:tc>
        <w:tc>
          <w:tcPr>
            <w:tcW w:w="2693" w:type="dxa"/>
            <w:shd w:val="clear" w:color="auto" w:fill="auto"/>
          </w:tcPr>
          <w:p w:rsidR="00DA36B8" w:rsidRPr="00105CDB" w:rsidRDefault="00DA36B8" w:rsidP="00BC4F11">
            <w:pPr>
              <w:tabs>
                <w:tab w:val="left" w:pos="567"/>
              </w:tabs>
              <w:spacing w:line="260" w:lineRule="exact"/>
              <w:rPr>
                <w:bCs/>
                <w:iCs/>
                <w:lang w:val="el-GR"/>
              </w:rPr>
            </w:pPr>
            <w:r w:rsidRPr="00105CDB">
              <w:rPr>
                <w:lang w:val="el-GR"/>
              </w:rPr>
              <w:t>Σοβαρή αναιμία, (σοβαρή) θρομβοπενία, (σοβαρή) λευκοπενία, (σοβαρή) πανκυτταροπενία</w:t>
            </w:r>
          </w:p>
        </w:tc>
        <w:tc>
          <w:tcPr>
            <w:tcW w:w="1559" w:type="dxa"/>
            <w:shd w:val="clear" w:color="auto" w:fill="auto"/>
          </w:tcPr>
          <w:p w:rsidR="00DA36B8" w:rsidRPr="00105CDB" w:rsidRDefault="00901675" w:rsidP="00BC4F11">
            <w:pPr>
              <w:widowControl w:val="0"/>
              <w:tabs>
                <w:tab w:val="left" w:pos="567"/>
              </w:tabs>
              <w:spacing w:line="240" w:lineRule="atLeast"/>
              <w:rPr>
                <w:lang w:val="el-GR"/>
              </w:rPr>
            </w:pPr>
            <w:r w:rsidRPr="00105CDB">
              <w:rPr>
                <w:lang w:val="el-GR"/>
              </w:rPr>
              <w:t>Ανεπάρκεια</w:t>
            </w:r>
            <w:r w:rsidR="00DA36B8" w:rsidRPr="00105CDB">
              <w:rPr>
                <w:lang w:val="el-GR"/>
              </w:rPr>
              <w:t xml:space="preserve"> του μυελού των οστών</w:t>
            </w:r>
          </w:p>
          <w:p w:rsidR="00DA36B8" w:rsidRPr="00105CDB" w:rsidRDefault="00DA36B8" w:rsidP="00BC4F11">
            <w:pPr>
              <w:tabs>
                <w:tab w:val="left" w:pos="567"/>
              </w:tabs>
              <w:spacing w:line="260" w:lineRule="exact"/>
              <w:rPr>
                <w:bCs/>
                <w:iCs/>
                <w:lang w:val="el-GR"/>
              </w:rPr>
            </w:pPr>
          </w:p>
        </w:tc>
        <w:tc>
          <w:tcPr>
            <w:tcW w:w="1559" w:type="dxa"/>
            <w:shd w:val="clear" w:color="auto" w:fill="auto"/>
          </w:tcPr>
          <w:p w:rsidR="00DA36B8" w:rsidRPr="00105CDB" w:rsidRDefault="00641B23" w:rsidP="00BC4F11">
            <w:pPr>
              <w:widowControl w:val="0"/>
              <w:tabs>
                <w:tab w:val="left" w:pos="567"/>
              </w:tabs>
              <w:spacing w:line="240" w:lineRule="atLeast"/>
              <w:rPr>
                <w:lang w:val="el-GR"/>
              </w:rPr>
            </w:pPr>
            <w:r w:rsidRPr="00105CDB">
              <w:rPr>
                <w:lang w:val="el-GR"/>
              </w:rPr>
              <w:t>Απλαστική αναιμία</w:t>
            </w:r>
          </w:p>
        </w:tc>
      </w:tr>
      <w:tr w:rsidR="00DA36B8" w:rsidRPr="00105CDB" w:rsidTr="00BC4F11">
        <w:tc>
          <w:tcPr>
            <w:tcW w:w="1760" w:type="dxa"/>
            <w:shd w:val="clear" w:color="auto" w:fill="auto"/>
          </w:tcPr>
          <w:p w:rsidR="00DA36B8" w:rsidRPr="00105CDB" w:rsidRDefault="00DA36B8" w:rsidP="00BC4F11">
            <w:pPr>
              <w:tabs>
                <w:tab w:val="left" w:pos="567"/>
              </w:tabs>
              <w:spacing w:line="260" w:lineRule="exact"/>
              <w:rPr>
                <w:bCs/>
              </w:rPr>
            </w:pPr>
            <w:r w:rsidRPr="00105CDB">
              <w:rPr>
                <w:noProof/>
              </w:rPr>
              <w:t>Διαταραχές του ανοσοποιητικού συστήματος</w:t>
            </w:r>
          </w:p>
        </w:tc>
        <w:tc>
          <w:tcPr>
            <w:tcW w:w="1926" w:type="dxa"/>
            <w:shd w:val="clear" w:color="auto" w:fill="auto"/>
          </w:tcPr>
          <w:p w:rsidR="00DA36B8" w:rsidRPr="00105CDB" w:rsidRDefault="00DA36B8" w:rsidP="00BC4F11">
            <w:pPr>
              <w:tabs>
                <w:tab w:val="left" w:pos="567"/>
              </w:tabs>
              <w:spacing w:line="260" w:lineRule="exact"/>
              <w:rPr>
                <w:bCs/>
              </w:rPr>
            </w:pPr>
          </w:p>
        </w:tc>
        <w:tc>
          <w:tcPr>
            <w:tcW w:w="2693" w:type="dxa"/>
            <w:shd w:val="clear" w:color="auto" w:fill="auto"/>
          </w:tcPr>
          <w:p w:rsidR="00DA36B8" w:rsidRPr="00105CDB" w:rsidRDefault="00DA36B8" w:rsidP="00BC4F11">
            <w:pPr>
              <w:tabs>
                <w:tab w:val="left" w:pos="567"/>
              </w:tabs>
              <w:spacing w:line="260" w:lineRule="exact"/>
              <w:rPr>
                <w:bCs/>
              </w:rPr>
            </w:pPr>
          </w:p>
        </w:tc>
        <w:tc>
          <w:tcPr>
            <w:tcW w:w="1559" w:type="dxa"/>
            <w:shd w:val="clear" w:color="auto" w:fill="auto"/>
          </w:tcPr>
          <w:p w:rsidR="00DA36B8" w:rsidRPr="00105CDB" w:rsidRDefault="00DA36B8" w:rsidP="00BC4F11">
            <w:pPr>
              <w:tabs>
                <w:tab w:val="left" w:pos="567"/>
              </w:tabs>
              <w:spacing w:line="260" w:lineRule="exact"/>
              <w:rPr>
                <w:bCs/>
              </w:rPr>
            </w:pPr>
            <w:r w:rsidRPr="00105CDB">
              <w:rPr>
                <w:lang w:val="el-GR"/>
              </w:rPr>
              <w:t>Αναφυλακτική αντίδραση</w:t>
            </w:r>
          </w:p>
        </w:tc>
        <w:tc>
          <w:tcPr>
            <w:tcW w:w="1559" w:type="dxa"/>
            <w:shd w:val="clear" w:color="auto" w:fill="auto"/>
          </w:tcPr>
          <w:p w:rsidR="00DA36B8" w:rsidRPr="00105CDB" w:rsidRDefault="00DA36B8" w:rsidP="00BC4F11">
            <w:pPr>
              <w:tabs>
                <w:tab w:val="left" w:pos="567"/>
              </w:tabs>
              <w:spacing w:line="260" w:lineRule="exact"/>
              <w:rPr>
                <w:lang w:val="el-GR"/>
              </w:rPr>
            </w:pPr>
          </w:p>
        </w:tc>
      </w:tr>
      <w:tr w:rsidR="00DA36B8" w:rsidRPr="00105CDB" w:rsidTr="00BC4F11">
        <w:tc>
          <w:tcPr>
            <w:tcW w:w="1760" w:type="dxa"/>
            <w:shd w:val="clear" w:color="auto" w:fill="auto"/>
          </w:tcPr>
          <w:p w:rsidR="00DA36B8" w:rsidRPr="00105CDB" w:rsidRDefault="00DA36B8" w:rsidP="00BC4F11">
            <w:pPr>
              <w:tabs>
                <w:tab w:val="left" w:pos="567"/>
              </w:tabs>
              <w:spacing w:line="260" w:lineRule="exact"/>
              <w:rPr>
                <w:bCs/>
                <w:lang w:val="el-GR"/>
              </w:rPr>
            </w:pPr>
            <w:r w:rsidRPr="00105CDB">
              <w:rPr>
                <w:noProof/>
                <w:lang w:val="el-GR"/>
              </w:rPr>
              <w:t>Διαταραχές του μεταβολισμού και της θρέψης</w:t>
            </w:r>
          </w:p>
        </w:tc>
        <w:tc>
          <w:tcPr>
            <w:tcW w:w="1926" w:type="dxa"/>
            <w:shd w:val="clear" w:color="auto" w:fill="auto"/>
          </w:tcPr>
          <w:p w:rsidR="00DA36B8" w:rsidRPr="00105CDB" w:rsidRDefault="00DA36B8" w:rsidP="00BC4F11">
            <w:pPr>
              <w:tabs>
                <w:tab w:val="left" w:pos="567"/>
              </w:tabs>
              <w:spacing w:line="260" w:lineRule="exact"/>
              <w:rPr>
                <w:bCs/>
                <w:lang w:val="el-GR"/>
              </w:rPr>
            </w:pPr>
          </w:p>
        </w:tc>
        <w:tc>
          <w:tcPr>
            <w:tcW w:w="2693" w:type="dxa"/>
            <w:shd w:val="clear" w:color="auto" w:fill="auto"/>
          </w:tcPr>
          <w:p w:rsidR="00DA36B8" w:rsidRPr="00105CDB" w:rsidRDefault="00DA36B8" w:rsidP="00BC4F11">
            <w:pPr>
              <w:tabs>
                <w:tab w:val="left" w:pos="567"/>
              </w:tabs>
              <w:spacing w:line="260" w:lineRule="exact"/>
              <w:rPr>
                <w:bCs/>
              </w:rPr>
            </w:pPr>
            <w:r w:rsidRPr="00105CDB">
              <w:rPr>
                <w:lang w:val="el-GR"/>
              </w:rPr>
              <w:t>Μειωμένη όρεξη, ανορεξία</w:t>
            </w:r>
          </w:p>
        </w:tc>
        <w:tc>
          <w:tcPr>
            <w:tcW w:w="1559" w:type="dxa"/>
            <w:shd w:val="clear" w:color="auto" w:fill="auto"/>
          </w:tcPr>
          <w:p w:rsidR="00DA36B8" w:rsidRPr="00105CDB" w:rsidRDefault="00DA36B8" w:rsidP="00BC4F11">
            <w:pPr>
              <w:tabs>
                <w:tab w:val="left" w:pos="567"/>
              </w:tabs>
              <w:spacing w:line="260" w:lineRule="exact"/>
              <w:rPr>
                <w:bCs/>
              </w:rPr>
            </w:pPr>
          </w:p>
        </w:tc>
        <w:tc>
          <w:tcPr>
            <w:tcW w:w="1559" w:type="dxa"/>
            <w:shd w:val="clear" w:color="auto" w:fill="auto"/>
          </w:tcPr>
          <w:p w:rsidR="00DA36B8" w:rsidRPr="00105CDB" w:rsidRDefault="00DA36B8" w:rsidP="00BC4F11">
            <w:pPr>
              <w:tabs>
                <w:tab w:val="left" w:pos="567"/>
              </w:tabs>
              <w:spacing w:line="260" w:lineRule="exact"/>
              <w:rPr>
                <w:bCs/>
              </w:rPr>
            </w:pPr>
          </w:p>
        </w:tc>
      </w:tr>
      <w:tr w:rsidR="00DA36B8" w:rsidRPr="00105CDB" w:rsidTr="00BC4F11">
        <w:tc>
          <w:tcPr>
            <w:tcW w:w="1760" w:type="dxa"/>
            <w:shd w:val="clear" w:color="auto" w:fill="auto"/>
          </w:tcPr>
          <w:p w:rsidR="00DA36B8" w:rsidRPr="00105CDB" w:rsidRDefault="00DA36B8" w:rsidP="00BC4F11">
            <w:pPr>
              <w:tabs>
                <w:tab w:val="left" w:pos="567"/>
              </w:tabs>
              <w:spacing w:line="260" w:lineRule="exact"/>
              <w:rPr>
                <w:bCs/>
              </w:rPr>
            </w:pPr>
            <w:r w:rsidRPr="00105CDB">
              <w:rPr>
                <w:noProof/>
              </w:rPr>
              <w:t>Ψυχιατρικές διαταραχές</w:t>
            </w:r>
          </w:p>
        </w:tc>
        <w:tc>
          <w:tcPr>
            <w:tcW w:w="1926" w:type="dxa"/>
            <w:shd w:val="clear" w:color="auto" w:fill="auto"/>
          </w:tcPr>
          <w:p w:rsidR="00DA36B8" w:rsidRPr="00105CDB" w:rsidRDefault="00DA36B8" w:rsidP="00BC4F11">
            <w:pPr>
              <w:tabs>
                <w:tab w:val="left" w:pos="567"/>
              </w:tabs>
              <w:spacing w:line="260" w:lineRule="exact"/>
              <w:rPr>
                <w:bCs/>
              </w:rPr>
            </w:pPr>
          </w:p>
        </w:tc>
        <w:tc>
          <w:tcPr>
            <w:tcW w:w="2693" w:type="dxa"/>
            <w:shd w:val="clear" w:color="auto" w:fill="auto"/>
          </w:tcPr>
          <w:p w:rsidR="00DA36B8" w:rsidRPr="00105CDB" w:rsidRDefault="00DA36B8" w:rsidP="00BC4F11">
            <w:pPr>
              <w:tabs>
                <w:tab w:val="left" w:pos="567"/>
              </w:tabs>
              <w:spacing w:line="260" w:lineRule="exact"/>
              <w:rPr>
                <w:bCs/>
                <w:lang w:val="el-GR"/>
              </w:rPr>
            </w:pPr>
            <w:r w:rsidRPr="00105CDB">
              <w:rPr>
                <w:lang w:val="el-GR"/>
              </w:rPr>
              <w:t>Κατάθλιψη, άγχος, σύγχυση, σκέψη μη φυσιολογική</w:t>
            </w:r>
          </w:p>
        </w:tc>
        <w:tc>
          <w:tcPr>
            <w:tcW w:w="1559" w:type="dxa"/>
            <w:shd w:val="clear" w:color="auto" w:fill="auto"/>
          </w:tcPr>
          <w:p w:rsidR="00DA36B8" w:rsidRPr="00105CDB" w:rsidRDefault="00DA36B8" w:rsidP="00BC4F11">
            <w:pPr>
              <w:tabs>
                <w:tab w:val="left" w:pos="567"/>
              </w:tabs>
              <w:spacing w:line="260" w:lineRule="exact"/>
              <w:rPr>
                <w:lang w:val="el-GR"/>
              </w:rPr>
            </w:pPr>
            <w:r w:rsidRPr="00105CDB">
              <w:rPr>
                <w:snapToGrid w:val="0"/>
                <w:lang w:val="el-GR" w:eastAsia="en-US"/>
              </w:rPr>
              <w:t>Διέγερση</w:t>
            </w:r>
            <w:r w:rsidRPr="00105CDB">
              <w:t xml:space="preserve">, </w:t>
            </w:r>
            <w:r w:rsidRPr="00105CDB">
              <w:rPr>
                <w:lang w:val="el-GR"/>
              </w:rPr>
              <w:t>ψυχωσική διαταραχή</w:t>
            </w:r>
            <w:r w:rsidR="00641B23" w:rsidRPr="00105CDB">
              <w:rPr>
                <w:lang w:val="el-GR"/>
              </w:rPr>
              <w:t>, ψευδαίσθηση</w:t>
            </w:r>
          </w:p>
          <w:p w:rsidR="00DA36B8" w:rsidRPr="00105CDB" w:rsidRDefault="00DA36B8" w:rsidP="00BC4F11">
            <w:pPr>
              <w:tabs>
                <w:tab w:val="left" w:pos="567"/>
              </w:tabs>
              <w:spacing w:line="260" w:lineRule="exact"/>
              <w:rPr>
                <w:bCs/>
                <w:lang w:val="el-GR"/>
              </w:rPr>
            </w:pPr>
          </w:p>
        </w:tc>
        <w:tc>
          <w:tcPr>
            <w:tcW w:w="1559" w:type="dxa"/>
            <w:shd w:val="clear" w:color="auto" w:fill="auto"/>
          </w:tcPr>
          <w:p w:rsidR="00DA36B8" w:rsidRPr="00105CDB" w:rsidRDefault="00DA36B8" w:rsidP="00BC4F11">
            <w:pPr>
              <w:tabs>
                <w:tab w:val="left" w:pos="567"/>
              </w:tabs>
              <w:spacing w:line="260" w:lineRule="exact"/>
              <w:rPr>
                <w:snapToGrid w:val="0"/>
                <w:lang w:val="el-GR" w:eastAsia="en-US"/>
              </w:rPr>
            </w:pPr>
          </w:p>
        </w:tc>
      </w:tr>
      <w:tr w:rsidR="00DA36B8" w:rsidRPr="00105CDB" w:rsidTr="00BC4F11">
        <w:tc>
          <w:tcPr>
            <w:tcW w:w="1760" w:type="dxa"/>
            <w:shd w:val="clear" w:color="auto" w:fill="auto"/>
          </w:tcPr>
          <w:p w:rsidR="00DA36B8" w:rsidRPr="00105CDB" w:rsidRDefault="00DA36B8" w:rsidP="00BC4F11">
            <w:pPr>
              <w:tabs>
                <w:tab w:val="left" w:pos="567"/>
              </w:tabs>
              <w:spacing w:line="260" w:lineRule="exact"/>
              <w:rPr>
                <w:bCs/>
                <w:lang w:val="el-GR"/>
              </w:rPr>
            </w:pPr>
            <w:r w:rsidRPr="00105CDB">
              <w:rPr>
                <w:noProof/>
              </w:rPr>
              <w:t>Διαταραχές του νευρικού συστήματος</w:t>
            </w:r>
          </w:p>
        </w:tc>
        <w:tc>
          <w:tcPr>
            <w:tcW w:w="1926" w:type="dxa"/>
            <w:shd w:val="clear" w:color="auto" w:fill="auto"/>
          </w:tcPr>
          <w:p w:rsidR="00DA36B8" w:rsidRPr="00105CDB" w:rsidRDefault="00DA36B8" w:rsidP="00BC4F11">
            <w:pPr>
              <w:tabs>
                <w:tab w:val="left" w:pos="567"/>
              </w:tabs>
              <w:spacing w:line="260" w:lineRule="exact"/>
              <w:rPr>
                <w:bCs/>
              </w:rPr>
            </w:pPr>
          </w:p>
        </w:tc>
        <w:tc>
          <w:tcPr>
            <w:tcW w:w="2693" w:type="dxa"/>
            <w:shd w:val="clear" w:color="auto" w:fill="auto"/>
          </w:tcPr>
          <w:p w:rsidR="00DA36B8" w:rsidRPr="00105CDB" w:rsidRDefault="00DA36B8" w:rsidP="00BC4F11">
            <w:pPr>
              <w:tabs>
                <w:tab w:val="left" w:pos="567"/>
              </w:tabs>
              <w:spacing w:line="260" w:lineRule="exact"/>
              <w:rPr>
                <w:bCs/>
                <w:lang w:val="el-GR"/>
              </w:rPr>
            </w:pPr>
            <w:r w:rsidRPr="00105CDB">
              <w:rPr>
                <w:lang w:val="el-GR"/>
              </w:rPr>
              <w:t>Κεφαλαλγία, αϋπνία,  δυσγευσία (διαταραχές της γεύσης), υπαισθησία, παραισθησία , περιφερική νευροπάθεια, ζάλη, σπασμοί</w:t>
            </w:r>
          </w:p>
        </w:tc>
        <w:tc>
          <w:tcPr>
            <w:tcW w:w="1559" w:type="dxa"/>
            <w:shd w:val="clear" w:color="auto" w:fill="auto"/>
          </w:tcPr>
          <w:p w:rsidR="00DA36B8" w:rsidRPr="00105CDB" w:rsidRDefault="00FA0A11" w:rsidP="00BC4F11">
            <w:pPr>
              <w:tabs>
                <w:tab w:val="left" w:pos="567"/>
              </w:tabs>
              <w:spacing w:line="260" w:lineRule="exact"/>
            </w:pPr>
            <w:r w:rsidRPr="00105CDB">
              <w:rPr>
                <w:lang w:val="el-GR"/>
              </w:rPr>
              <w:t>Τ</w:t>
            </w:r>
            <w:r w:rsidR="00DA36B8" w:rsidRPr="00105CDB">
              <w:rPr>
                <w:lang w:val="el-GR"/>
              </w:rPr>
              <w:t>ρόμος</w:t>
            </w:r>
          </w:p>
          <w:p w:rsidR="00DA36B8" w:rsidRPr="00105CDB" w:rsidRDefault="00DA36B8" w:rsidP="00BC4F11">
            <w:pPr>
              <w:tabs>
                <w:tab w:val="left" w:pos="567"/>
              </w:tabs>
              <w:spacing w:line="260" w:lineRule="exact"/>
            </w:pPr>
          </w:p>
          <w:p w:rsidR="00DA36B8" w:rsidRPr="00105CDB" w:rsidRDefault="00DA36B8" w:rsidP="00BC4F11">
            <w:pPr>
              <w:tabs>
                <w:tab w:val="left" w:pos="567"/>
              </w:tabs>
              <w:spacing w:line="260" w:lineRule="exact"/>
            </w:pPr>
          </w:p>
        </w:tc>
        <w:tc>
          <w:tcPr>
            <w:tcW w:w="1559" w:type="dxa"/>
            <w:shd w:val="clear" w:color="auto" w:fill="auto"/>
          </w:tcPr>
          <w:p w:rsidR="00DA36B8" w:rsidRPr="00105CDB" w:rsidRDefault="00DA36B8" w:rsidP="00BC4F11">
            <w:pPr>
              <w:tabs>
                <w:tab w:val="left" w:pos="567"/>
              </w:tabs>
              <w:spacing w:line="260" w:lineRule="exact"/>
              <w:rPr>
                <w:lang w:val="el-GR"/>
              </w:rPr>
            </w:pPr>
          </w:p>
        </w:tc>
      </w:tr>
      <w:tr w:rsidR="00DA36B8" w:rsidRPr="00105CDB" w:rsidTr="00BC4F11">
        <w:tc>
          <w:tcPr>
            <w:tcW w:w="1760" w:type="dxa"/>
            <w:shd w:val="clear" w:color="auto" w:fill="auto"/>
          </w:tcPr>
          <w:p w:rsidR="00DA36B8" w:rsidRPr="00105CDB" w:rsidRDefault="00DA36B8" w:rsidP="00BC4F11">
            <w:pPr>
              <w:tabs>
                <w:tab w:val="left" w:pos="567"/>
              </w:tabs>
              <w:spacing w:line="260" w:lineRule="exact"/>
              <w:rPr>
                <w:noProof/>
                <w:lang w:val="el-GR"/>
              </w:rPr>
            </w:pPr>
          </w:p>
          <w:p w:rsidR="00DA36B8" w:rsidRPr="00105CDB" w:rsidRDefault="00DA36B8" w:rsidP="00BC4F11">
            <w:pPr>
              <w:tabs>
                <w:tab w:val="left" w:pos="567"/>
              </w:tabs>
              <w:spacing w:line="260" w:lineRule="exact"/>
              <w:rPr>
                <w:bCs/>
                <w:lang w:val="el-GR"/>
              </w:rPr>
            </w:pPr>
            <w:r w:rsidRPr="00105CDB">
              <w:rPr>
                <w:noProof/>
                <w:lang w:val="el-GR"/>
              </w:rPr>
              <w:t>Οφθαλμικές διαταραχές</w:t>
            </w:r>
          </w:p>
        </w:tc>
        <w:tc>
          <w:tcPr>
            <w:tcW w:w="1926" w:type="dxa"/>
            <w:shd w:val="clear" w:color="auto" w:fill="auto"/>
          </w:tcPr>
          <w:p w:rsidR="00DA36B8" w:rsidRPr="00105CDB" w:rsidRDefault="00DA36B8" w:rsidP="00BC4F11">
            <w:pPr>
              <w:tabs>
                <w:tab w:val="left" w:pos="567"/>
              </w:tabs>
              <w:spacing w:line="260" w:lineRule="exact"/>
              <w:rPr>
                <w:bCs/>
              </w:rPr>
            </w:pPr>
          </w:p>
        </w:tc>
        <w:tc>
          <w:tcPr>
            <w:tcW w:w="2693" w:type="dxa"/>
            <w:shd w:val="clear" w:color="auto" w:fill="auto"/>
          </w:tcPr>
          <w:p w:rsidR="00DA36B8" w:rsidRPr="00105CDB" w:rsidRDefault="00DA36B8" w:rsidP="00BC4F11">
            <w:pPr>
              <w:tabs>
                <w:tab w:val="left" w:pos="567"/>
              </w:tabs>
              <w:spacing w:line="260" w:lineRule="exact"/>
              <w:rPr>
                <w:bCs/>
                <w:lang w:val="el-GR"/>
              </w:rPr>
            </w:pPr>
            <w:r w:rsidRPr="00105CDB">
              <w:rPr>
                <w:lang w:val="el-GR"/>
              </w:rPr>
              <w:t>Οίδημα της ωχράς κηλίδας, αποκόλληση του αμφιβληστροειδούς, εξιδρώματα του υαλοειδούς σώματος, πόνος του οφθαλμού</w:t>
            </w:r>
          </w:p>
        </w:tc>
        <w:tc>
          <w:tcPr>
            <w:tcW w:w="1559" w:type="dxa"/>
            <w:shd w:val="clear" w:color="auto" w:fill="auto"/>
          </w:tcPr>
          <w:p w:rsidR="00DA36B8" w:rsidRPr="00105CDB" w:rsidRDefault="002314A0" w:rsidP="00BC4F11">
            <w:pPr>
              <w:tabs>
                <w:tab w:val="left" w:pos="567"/>
              </w:tabs>
              <w:spacing w:line="260" w:lineRule="exact"/>
              <w:rPr>
                <w:bCs/>
                <w:lang w:val="el-GR"/>
              </w:rPr>
            </w:pPr>
            <w:r w:rsidRPr="00105CDB">
              <w:rPr>
                <w:lang w:val="el-GR"/>
              </w:rPr>
              <w:t>Οπτική διαταραχή</w:t>
            </w:r>
            <w:r w:rsidR="00DA36B8" w:rsidRPr="00105CDB">
              <w:t xml:space="preserve">, </w:t>
            </w:r>
            <w:proofErr w:type="spellStart"/>
            <w:r w:rsidR="00DA36B8" w:rsidRPr="00105CDB">
              <w:t>επιπεφυκίτιδα</w:t>
            </w:r>
            <w:proofErr w:type="spellEnd"/>
          </w:p>
          <w:p w:rsidR="00DA36B8" w:rsidRPr="00105CDB" w:rsidRDefault="00DA36B8" w:rsidP="00BC4F11">
            <w:pPr>
              <w:tabs>
                <w:tab w:val="left" w:pos="567"/>
              </w:tabs>
              <w:spacing w:line="260" w:lineRule="exact"/>
              <w:rPr>
                <w:bCs/>
              </w:rPr>
            </w:pPr>
          </w:p>
        </w:tc>
        <w:tc>
          <w:tcPr>
            <w:tcW w:w="1559" w:type="dxa"/>
            <w:shd w:val="clear" w:color="auto" w:fill="auto"/>
          </w:tcPr>
          <w:p w:rsidR="00DA36B8" w:rsidRPr="00105CDB" w:rsidRDefault="00DA36B8" w:rsidP="00BC4F11">
            <w:pPr>
              <w:tabs>
                <w:tab w:val="left" w:pos="567"/>
              </w:tabs>
              <w:spacing w:line="260" w:lineRule="exact"/>
            </w:pPr>
          </w:p>
        </w:tc>
      </w:tr>
      <w:tr w:rsidR="00DA36B8" w:rsidRPr="00105CDB" w:rsidTr="00BC4F11">
        <w:tc>
          <w:tcPr>
            <w:tcW w:w="1760" w:type="dxa"/>
            <w:shd w:val="clear" w:color="auto" w:fill="auto"/>
          </w:tcPr>
          <w:p w:rsidR="00DA36B8" w:rsidRPr="00105CDB" w:rsidRDefault="00DA36B8" w:rsidP="00BC4F11">
            <w:pPr>
              <w:tabs>
                <w:tab w:val="left" w:pos="567"/>
              </w:tabs>
              <w:spacing w:line="260" w:lineRule="exact"/>
              <w:rPr>
                <w:bCs/>
                <w:lang w:val="el-GR"/>
              </w:rPr>
            </w:pPr>
            <w:r w:rsidRPr="00105CDB">
              <w:rPr>
                <w:noProof/>
                <w:lang w:val="el-GR"/>
              </w:rPr>
              <w:t>Διαταραχές του ωτός και του λαβυρίνθου</w:t>
            </w:r>
          </w:p>
        </w:tc>
        <w:tc>
          <w:tcPr>
            <w:tcW w:w="1926" w:type="dxa"/>
            <w:shd w:val="clear" w:color="auto" w:fill="auto"/>
          </w:tcPr>
          <w:p w:rsidR="00DA36B8" w:rsidRPr="00105CDB" w:rsidRDefault="00DA36B8" w:rsidP="00BC4F11">
            <w:pPr>
              <w:tabs>
                <w:tab w:val="left" w:pos="567"/>
              </w:tabs>
              <w:spacing w:line="260" w:lineRule="exact"/>
              <w:rPr>
                <w:bCs/>
                <w:lang w:val="el-GR"/>
              </w:rPr>
            </w:pPr>
          </w:p>
        </w:tc>
        <w:tc>
          <w:tcPr>
            <w:tcW w:w="2693" w:type="dxa"/>
            <w:shd w:val="clear" w:color="auto" w:fill="auto"/>
          </w:tcPr>
          <w:p w:rsidR="00DA36B8" w:rsidRPr="00105CDB" w:rsidRDefault="00DA36B8" w:rsidP="00BC4F11">
            <w:pPr>
              <w:tabs>
                <w:tab w:val="left" w:pos="567"/>
              </w:tabs>
              <w:spacing w:line="260" w:lineRule="exact"/>
              <w:rPr>
                <w:bCs/>
              </w:rPr>
            </w:pPr>
            <w:r w:rsidRPr="00105CDB">
              <w:rPr>
                <w:lang w:val="el-GR"/>
              </w:rPr>
              <w:t>Ω</w:t>
            </w:r>
            <w:proofErr w:type="spellStart"/>
            <w:r w:rsidRPr="00105CDB">
              <w:t>ταλγία</w:t>
            </w:r>
            <w:proofErr w:type="spellEnd"/>
          </w:p>
        </w:tc>
        <w:tc>
          <w:tcPr>
            <w:tcW w:w="1559" w:type="dxa"/>
            <w:shd w:val="clear" w:color="auto" w:fill="auto"/>
          </w:tcPr>
          <w:p w:rsidR="00DA36B8" w:rsidRPr="00105CDB" w:rsidRDefault="00DA36B8" w:rsidP="00BC4F11">
            <w:pPr>
              <w:tabs>
                <w:tab w:val="left" w:pos="567"/>
              </w:tabs>
              <w:spacing w:line="260" w:lineRule="exact"/>
              <w:rPr>
                <w:bCs/>
              </w:rPr>
            </w:pPr>
            <w:r w:rsidRPr="00105CDB">
              <w:rPr>
                <w:lang w:val="el-GR"/>
              </w:rPr>
              <w:t>Κ</w:t>
            </w:r>
            <w:proofErr w:type="spellStart"/>
            <w:r w:rsidRPr="00105CDB">
              <w:t>ώφωση</w:t>
            </w:r>
            <w:proofErr w:type="spellEnd"/>
          </w:p>
        </w:tc>
        <w:tc>
          <w:tcPr>
            <w:tcW w:w="1559" w:type="dxa"/>
            <w:shd w:val="clear" w:color="auto" w:fill="auto"/>
          </w:tcPr>
          <w:p w:rsidR="00DA36B8" w:rsidRPr="00105CDB" w:rsidRDefault="00DA36B8" w:rsidP="00BC4F11">
            <w:pPr>
              <w:tabs>
                <w:tab w:val="left" w:pos="567"/>
              </w:tabs>
              <w:spacing w:line="260" w:lineRule="exact"/>
              <w:rPr>
                <w:lang w:val="el-GR"/>
              </w:rPr>
            </w:pPr>
          </w:p>
        </w:tc>
      </w:tr>
      <w:tr w:rsidR="00DA36B8" w:rsidRPr="00105CDB" w:rsidTr="00BC4F11">
        <w:tc>
          <w:tcPr>
            <w:tcW w:w="1760" w:type="dxa"/>
            <w:shd w:val="clear" w:color="auto" w:fill="auto"/>
          </w:tcPr>
          <w:p w:rsidR="00DA36B8" w:rsidRPr="00105CDB" w:rsidRDefault="00DA36B8" w:rsidP="00BC4F11">
            <w:pPr>
              <w:tabs>
                <w:tab w:val="left" w:pos="567"/>
              </w:tabs>
              <w:spacing w:line="260" w:lineRule="exact"/>
              <w:rPr>
                <w:bCs/>
              </w:rPr>
            </w:pPr>
            <w:r w:rsidRPr="00105CDB">
              <w:rPr>
                <w:noProof/>
              </w:rPr>
              <w:t>Καρδιακές διαταραχές</w:t>
            </w:r>
          </w:p>
        </w:tc>
        <w:tc>
          <w:tcPr>
            <w:tcW w:w="1926" w:type="dxa"/>
            <w:shd w:val="clear" w:color="auto" w:fill="auto"/>
          </w:tcPr>
          <w:p w:rsidR="00DA36B8" w:rsidRPr="00105CDB" w:rsidRDefault="00DA36B8" w:rsidP="00BC4F11">
            <w:pPr>
              <w:tabs>
                <w:tab w:val="left" w:pos="567"/>
              </w:tabs>
              <w:spacing w:line="260" w:lineRule="exact"/>
              <w:rPr>
                <w:bCs/>
              </w:rPr>
            </w:pPr>
          </w:p>
        </w:tc>
        <w:tc>
          <w:tcPr>
            <w:tcW w:w="2693" w:type="dxa"/>
            <w:shd w:val="clear" w:color="auto" w:fill="auto"/>
          </w:tcPr>
          <w:p w:rsidR="00DA36B8" w:rsidRPr="00105CDB" w:rsidRDefault="00DA36B8" w:rsidP="00BC4F11">
            <w:pPr>
              <w:tabs>
                <w:tab w:val="left" w:pos="567"/>
              </w:tabs>
              <w:spacing w:line="260" w:lineRule="exact"/>
              <w:rPr>
                <w:bCs/>
              </w:rPr>
            </w:pPr>
          </w:p>
        </w:tc>
        <w:tc>
          <w:tcPr>
            <w:tcW w:w="1559" w:type="dxa"/>
            <w:shd w:val="clear" w:color="auto" w:fill="auto"/>
          </w:tcPr>
          <w:p w:rsidR="00DA36B8" w:rsidRPr="00105CDB" w:rsidRDefault="00DA36B8" w:rsidP="00BC4F11">
            <w:pPr>
              <w:tabs>
                <w:tab w:val="left" w:pos="567"/>
              </w:tabs>
              <w:spacing w:line="260" w:lineRule="exact"/>
              <w:rPr>
                <w:bCs/>
              </w:rPr>
            </w:pPr>
            <w:r w:rsidRPr="00105CDB">
              <w:rPr>
                <w:snapToGrid w:val="0"/>
                <w:lang w:val="el-GR" w:eastAsia="en-US"/>
              </w:rPr>
              <w:t>Αρρυθμί</w:t>
            </w:r>
            <w:r w:rsidR="008F5C11" w:rsidRPr="00105CDB">
              <w:rPr>
                <w:snapToGrid w:val="0"/>
                <w:lang w:val="el-GR" w:eastAsia="en-US"/>
              </w:rPr>
              <w:t>α</w:t>
            </w:r>
          </w:p>
        </w:tc>
        <w:tc>
          <w:tcPr>
            <w:tcW w:w="1559" w:type="dxa"/>
            <w:shd w:val="clear" w:color="auto" w:fill="auto"/>
          </w:tcPr>
          <w:p w:rsidR="00DA36B8" w:rsidRPr="00105CDB" w:rsidRDefault="00DA36B8" w:rsidP="00BC4F11">
            <w:pPr>
              <w:tabs>
                <w:tab w:val="left" w:pos="567"/>
              </w:tabs>
              <w:spacing w:line="260" w:lineRule="exact"/>
              <w:rPr>
                <w:snapToGrid w:val="0"/>
                <w:lang w:val="el-GR" w:eastAsia="en-US"/>
              </w:rPr>
            </w:pPr>
          </w:p>
        </w:tc>
      </w:tr>
      <w:tr w:rsidR="00DA36B8" w:rsidRPr="00105CDB" w:rsidTr="00BC4F11">
        <w:tc>
          <w:tcPr>
            <w:tcW w:w="1760" w:type="dxa"/>
            <w:shd w:val="clear" w:color="auto" w:fill="auto"/>
          </w:tcPr>
          <w:p w:rsidR="00DA36B8" w:rsidRPr="00105CDB" w:rsidRDefault="00DA36B8" w:rsidP="00BC4F11">
            <w:pPr>
              <w:tabs>
                <w:tab w:val="left" w:pos="567"/>
              </w:tabs>
              <w:spacing w:line="260" w:lineRule="exact"/>
              <w:rPr>
                <w:bCs/>
              </w:rPr>
            </w:pPr>
            <w:r w:rsidRPr="00105CDB">
              <w:rPr>
                <w:noProof/>
              </w:rPr>
              <w:t>Αγγειακές διαταραχές</w:t>
            </w:r>
          </w:p>
        </w:tc>
        <w:tc>
          <w:tcPr>
            <w:tcW w:w="1926" w:type="dxa"/>
            <w:shd w:val="clear" w:color="auto" w:fill="auto"/>
          </w:tcPr>
          <w:p w:rsidR="00DA36B8" w:rsidRPr="00105CDB" w:rsidRDefault="00DA36B8" w:rsidP="00BC4F11">
            <w:pPr>
              <w:tabs>
                <w:tab w:val="left" w:pos="567"/>
              </w:tabs>
              <w:spacing w:line="260" w:lineRule="exact"/>
              <w:rPr>
                <w:bCs/>
              </w:rPr>
            </w:pPr>
          </w:p>
        </w:tc>
        <w:tc>
          <w:tcPr>
            <w:tcW w:w="2693" w:type="dxa"/>
            <w:shd w:val="clear" w:color="auto" w:fill="auto"/>
          </w:tcPr>
          <w:p w:rsidR="00DA36B8" w:rsidRPr="00105CDB" w:rsidRDefault="00DA36B8" w:rsidP="00BC4F11">
            <w:pPr>
              <w:tabs>
                <w:tab w:val="left" w:pos="567"/>
              </w:tabs>
              <w:spacing w:line="260" w:lineRule="exact"/>
              <w:rPr>
                <w:bCs/>
              </w:rPr>
            </w:pPr>
          </w:p>
        </w:tc>
        <w:tc>
          <w:tcPr>
            <w:tcW w:w="1559" w:type="dxa"/>
            <w:shd w:val="clear" w:color="auto" w:fill="auto"/>
          </w:tcPr>
          <w:p w:rsidR="00DA36B8" w:rsidRPr="00105CDB" w:rsidRDefault="00DA36B8" w:rsidP="00BC4F11">
            <w:pPr>
              <w:tabs>
                <w:tab w:val="left" w:pos="567"/>
              </w:tabs>
              <w:spacing w:line="260" w:lineRule="exact"/>
              <w:rPr>
                <w:bCs/>
                <w:lang w:val="el-GR"/>
              </w:rPr>
            </w:pPr>
            <w:r w:rsidRPr="00105CDB">
              <w:rPr>
                <w:bCs/>
                <w:lang w:val="el-GR"/>
              </w:rPr>
              <w:t>Υπόταση</w:t>
            </w:r>
          </w:p>
        </w:tc>
        <w:tc>
          <w:tcPr>
            <w:tcW w:w="1559" w:type="dxa"/>
            <w:shd w:val="clear" w:color="auto" w:fill="auto"/>
          </w:tcPr>
          <w:p w:rsidR="00DA36B8" w:rsidRPr="00105CDB" w:rsidRDefault="00DA36B8" w:rsidP="00BC4F11">
            <w:pPr>
              <w:tabs>
                <w:tab w:val="left" w:pos="567"/>
              </w:tabs>
              <w:spacing w:line="260" w:lineRule="exact"/>
              <w:rPr>
                <w:bCs/>
                <w:lang w:val="el-GR"/>
              </w:rPr>
            </w:pPr>
          </w:p>
        </w:tc>
      </w:tr>
      <w:tr w:rsidR="00DA36B8" w:rsidRPr="00105CDB" w:rsidTr="00BC4F11">
        <w:tc>
          <w:tcPr>
            <w:tcW w:w="1760" w:type="dxa"/>
            <w:shd w:val="clear" w:color="auto" w:fill="auto"/>
          </w:tcPr>
          <w:p w:rsidR="00DA36B8" w:rsidRPr="00105CDB" w:rsidRDefault="00DA36B8" w:rsidP="00BC4F11">
            <w:pPr>
              <w:tabs>
                <w:tab w:val="left" w:pos="567"/>
              </w:tabs>
              <w:spacing w:line="260" w:lineRule="exact"/>
              <w:rPr>
                <w:bCs/>
                <w:lang w:val="el-GR"/>
              </w:rPr>
            </w:pPr>
            <w:r w:rsidRPr="00105CDB">
              <w:rPr>
                <w:lang w:val="el-GR"/>
              </w:rPr>
              <w:t xml:space="preserve">Διαταραχές του </w:t>
            </w:r>
            <w:r w:rsidRPr="00105CDB">
              <w:rPr>
                <w:lang w:val="el-GR"/>
              </w:rPr>
              <w:lastRenderedPageBreak/>
              <w:t>αναπνευστικού συστήματος, του θώρακα και του μεσοθωράκιου</w:t>
            </w:r>
          </w:p>
        </w:tc>
        <w:tc>
          <w:tcPr>
            <w:tcW w:w="1926" w:type="dxa"/>
            <w:shd w:val="clear" w:color="auto" w:fill="auto"/>
          </w:tcPr>
          <w:p w:rsidR="00DA36B8" w:rsidRPr="00105CDB" w:rsidRDefault="00DA36B8" w:rsidP="00BC4F11">
            <w:pPr>
              <w:tabs>
                <w:tab w:val="left" w:pos="567"/>
              </w:tabs>
              <w:spacing w:line="260" w:lineRule="exact"/>
              <w:rPr>
                <w:bCs/>
              </w:rPr>
            </w:pPr>
            <w:r w:rsidRPr="00105CDB">
              <w:rPr>
                <w:lang w:val="el-GR"/>
              </w:rPr>
              <w:lastRenderedPageBreak/>
              <w:t>Δύσπνοια</w:t>
            </w:r>
          </w:p>
        </w:tc>
        <w:tc>
          <w:tcPr>
            <w:tcW w:w="2693" w:type="dxa"/>
            <w:shd w:val="clear" w:color="auto" w:fill="auto"/>
          </w:tcPr>
          <w:p w:rsidR="00DA36B8" w:rsidRPr="00105CDB" w:rsidRDefault="00DA36B8" w:rsidP="00BC4F11">
            <w:pPr>
              <w:tabs>
                <w:tab w:val="left" w:pos="567"/>
              </w:tabs>
              <w:spacing w:line="260" w:lineRule="exact"/>
              <w:rPr>
                <w:bCs/>
                <w:lang w:val="el-GR"/>
              </w:rPr>
            </w:pPr>
            <w:r w:rsidRPr="00105CDB">
              <w:rPr>
                <w:bCs/>
                <w:lang w:val="el-GR"/>
              </w:rPr>
              <w:t>Βήχας</w:t>
            </w:r>
          </w:p>
        </w:tc>
        <w:tc>
          <w:tcPr>
            <w:tcW w:w="1559" w:type="dxa"/>
            <w:shd w:val="clear" w:color="auto" w:fill="auto"/>
          </w:tcPr>
          <w:p w:rsidR="00DA36B8" w:rsidRPr="00105CDB" w:rsidRDefault="00DA36B8" w:rsidP="00BC4F11">
            <w:pPr>
              <w:tabs>
                <w:tab w:val="left" w:pos="567"/>
              </w:tabs>
              <w:spacing w:line="260" w:lineRule="exact"/>
              <w:rPr>
                <w:bCs/>
              </w:rPr>
            </w:pPr>
          </w:p>
        </w:tc>
        <w:tc>
          <w:tcPr>
            <w:tcW w:w="1559" w:type="dxa"/>
            <w:shd w:val="clear" w:color="auto" w:fill="auto"/>
          </w:tcPr>
          <w:p w:rsidR="00DA36B8" w:rsidRPr="00105CDB" w:rsidRDefault="00DA36B8" w:rsidP="00BC4F11">
            <w:pPr>
              <w:tabs>
                <w:tab w:val="left" w:pos="567"/>
              </w:tabs>
              <w:spacing w:line="260" w:lineRule="exact"/>
              <w:rPr>
                <w:bCs/>
              </w:rPr>
            </w:pPr>
          </w:p>
        </w:tc>
      </w:tr>
      <w:tr w:rsidR="00DA36B8" w:rsidRPr="00A116C4" w:rsidTr="00BC4F11">
        <w:tc>
          <w:tcPr>
            <w:tcW w:w="1760" w:type="dxa"/>
            <w:shd w:val="clear" w:color="auto" w:fill="auto"/>
          </w:tcPr>
          <w:p w:rsidR="00DA36B8" w:rsidRPr="00105CDB" w:rsidRDefault="00DA36B8" w:rsidP="00BC4F11">
            <w:pPr>
              <w:tabs>
                <w:tab w:val="left" w:pos="567"/>
              </w:tabs>
              <w:spacing w:line="260" w:lineRule="exact"/>
              <w:rPr>
                <w:noProof/>
                <w:lang w:val="el-GR"/>
              </w:rPr>
            </w:pPr>
          </w:p>
          <w:p w:rsidR="00DA36B8" w:rsidRPr="00105CDB" w:rsidRDefault="00DA36B8" w:rsidP="00BC4F11">
            <w:pPr>
              <w:tabs>
                <w:tab w:val="left" w:pos="567"/>
              </w:tabs>
              <w:spacing w:line="260" w:lineRule="exact"/>
              <w:rPr>
                <w:bCs/>
                <w:lang w:val="el-GR"/>
              </w:rPr>
            </w:pPr>
            <w:r w:rsidRPr="00105CDB">
              <w:rPr>
                <w:noProof/>
                <w:lang w:val="el-GR"/>
              </w:rPr>
              <w:t>Διαταραχές του γαστρεντερικού</w:t>
            </w:r>
          </w:p>
        </w:tc>
        <w:tc>
          <w:tcPr>
            <w:tcW w:w="1926" w:type="dxa"/>
            <w:shd w:val="clear" w:color="auto" w:fill="auto"/>
          </w:tcPr>
          <w:p w:rsidR="00DA36B8" w:rsidRPr="00105CDB" w:rsidRDefault="00DA36B8" w:rsidP="00BC4F11">
            <w:pPr>
              <w:tabs>
                <w:tab w:val="left" w:pos="567"/>
              </w:tabs>
              <w:spacing w:line="260" w:lineRule="exact"/>
              <w:rPr>
                <w:bCs/>
              </w:rPr>
            </w:pPr>
            <w:r w:rsidRPr="00105CDB">
              <w:rPr>
                <w:lang w:val="el-GR"/>
              </w:rPr>
              <w:t>Διάρροια</w:t>
            </w:r>
          </w:p>
        </w:tc>
        <w:tc>
          <w:tcPr>
            <w:tcW w:w="2693" w:type="dxa"/>
            <w:shd w:val="clear" w:color="auto" w:fill="auto"/>
          </w:tcPr>
          <w:p w:rsidR="00DA36B8" w:rsidRPr="00105CDB" w:rsidRDefault="00DA36B8" w:rsidP="00BC4F11">
            <w:pPr>
              <w:tabs>
                <w:tab w:val="left" w:pos="567"/>
              </w:tabs>
              <w:spacing w:line="260" w:lineRule="exact"/>
              <w:rPr>
                <w:lang w:val="el-GR"/>
              </w:rPr>
            </w:pPr>
            <w:r w:rsidRPr="00105CDB">
              <w:rPr>
                <w:lang w:val="el-GR"/>
              </w:rPr>
              <w:t>Ναυτία, έμετος, κοιλιακό άλγος, άλγος άνω κοιλιακής χώρας, δυσπεψία, δυσκοιλιότητα, μετεωρισμός, δυσφαγία</w:t>
            </w:r>
          </w:p>
        </w:tc>
        <w:tc>
          <w:tcPr>
            <w:tcW w:w="1559" w:type="dxa"/>
            <w:shd w:val="clear" w:color="auto" w:fill="auto"/>
          </w:tcPr>
          <w:p w:rsidR="00DA36B8" w:rsidRPr="00105CDB" w:rsidRDefault="00DA36B8" w:rsidP="00BC4F11">
            <w:pPr>
              <w:tabs>
                <w:tab w:val="left" w:pos="567"/>
              </w:tabs>
              <w:spacing w:line="260" w:lineRule="exact"/>
              <w:rPr>
                <w:bCs/>
                <w:lang w:val="el-GR"/>
              </w:rPr>
            </w:pPr>
            <w:r w:rsidRPr="00105CDB">
              <w:rPr>
                <w:lang w:val="el-GR"/>
              </w:rPr>
              <w:t>Διάταση της κοιλίας, εξ</w:t>
            </w:r>
            <w:r w:rsidR="00615216" w:rsidRPr="00105CDB">
              <w:rPr>
                <w:lang w:val="el-GR"/>
              </w:rPr>
              <w:t>έλκωση</w:t>
            </w:r>
            <w:r w:rsidRPr="00105CDB">
              <w:rPr>
                <w:lang w:val="el-GR"/>
              </w:rPr>
              <w:t xml:space="preserve"> του στόματος, παγκρεατίτιδα</w:t>
            </w:r>
          </w:p>
        </w:tc>
        <w:tc>
          <w:tcPr>
            <w:tcW w:w="1559" w:type="dxa"/>
            <w:shd w:val="clear" w:color="auto" w:fill="auto"/>
          </w:tcPr>
          <w:p w:rsidR="00DA36B8" w:rsidRPr="00105CDB" w:rsidRDefault="00DA36B8" w:rsidP="00BC4F11">
            <w:pPr>
              <w:tabs>
                <w:tab w:val="left" w:pos="567"/>
              </w:tabs>
              <w:spacing w:line="260" w:lineRule="exact"/>
              <w:rPr>
                <w:lang w:val="el-GR"/>
              </w:rPr>
            </w:pPr>
          </w:p>
        </w:tc>
      </w:tr>
      <w:tr w:rsidR="00DA36B8" w:rsidRPr="00105CDB" w:rsidTr="00BC4F11">
        <w:tc>
          <w:tcPr>
            <w:tcW w:w="1760" w:type="dxa"/>
            <w:shd w:val="clear" w:color="auto" w:fill="auto"/>
          </w:tcPr>
          <w:p w:rsidR="00DA36B8" w:rsidRPr="00105CDB" w:rsidRDefault="00DA36B8" w:rsidP="00BC4F11">
            <w:pPr>
              <w:tabs>
                <w:tab w:val="left" w:pos="567"/>
              </w:tabs>
              <w:spacing w:line="260" w:lineRule="exact"/>
              <w:rPr>
                <w:bCs/>
                <w:lang w:val="el-GR"/>
              </w:rPr>
            </w:pPr>
            <w:r w:rsidRPr="00105CDB">
              <w:rPr>
                <w:noProof/>
                <w:lang w:val="el-GR"/>
              </w:rPr>
              <w:t>Διαταραχές του ήπατος και των χοληφόρων</w:t>
            </w:r>
          </w:p>
        </w:tc>
        <w:tc>
          <w:tcPr>
            <w:tcW w:w="1926" w:type="dxa"/>
            <w:shd w:val="clear" w:color="auto" w:fill="auto"/>
          </w:tcPr>
          <w:p w:rsidR="00DA36B8" w:rsidRPr="00105CDB" w:rsidRDefault="00DA36B8" w:rsidP="00BC4F11">
            <w:pPr>
              <w:tabs>
                <w:tab w:val="left" w:pos="567"/>
              </w:tabs>
              <w:spacing w:line="260" w:lineRule="exact"/>
              <w:rPr>
                <w:bCs/>
                <w:lang w:val="el-GR"/>
              </w:rPr>
            </w:pPr>
          </w:p>
        </w:tc>
        <w:tc>
          <w:tcPr>
            <w:tcW w:w="2693" w:type="dxa"/>
            <w:shd w:val="clear" w:color="auto" w:fill="auto"/>
          </w:tcPr>
          <w:p w:rsidR="00DA36B8" w:rsidRPr="00105CDB" w:rsidRDefault="00DA36B8" w:rsidP="00BC4F11">
            <w:pPr>
              <w:tabs>
                <w:tab w:val="left" w:pos="567"/>
              </w:tabs>
              <w:spacing w:line="260" w:lineRule="exact"/>
              <w:rPr>
                <w:bCs/>
                <w:lang w:val="el-GR"/>
              </w:rPr>
            </w:pPr>
            <w:r w:rsidRPr="00105CDB">
              <w:rPr>
                <w:lang w:val="el-GR"/>
              </w:rPr>
              <w:t>(</w:t>
            </w:r>
            <w:r w:rsidR="00650811" w:rsidRPr="00105CDB">
              <w:rPr>
                <w:lang w:val="el-GR"/>
              </w:rPr>
              <w:t>Σ</w:t>
            </w:r>
            <w:r w:rsidRPr="00105CDB">
              <w:rPr>
                <w:lang w:val="el-GR"/>
              </w:rPr>
              <w:t>οβαρή) μη φυσιολογική ηπατική λειτουργία, αλκαλική φωσφατάση αίματος αυξημένη, ασπαρτική αμινοτρανσφεράση αυξημένη</w:t>
            </w:r>
          </w:p>
        </w:tc>
        <w:tc>
          <w:tcPr>
            <w:tcW w:w="1559" w:type="dxa"/>
            <w:shd w:val="clear" w:color="auto" w:fill="auto"/>
          </w:tcPr>
          <w:p w:rsidR="00DA36B8" w:rsidRPr="00105CDB" w:rsidRDefault="00DA36B8" w:rsidP="00BC4F11">
            <w:pPr>
              <w:tabs>
                <w:tab w:val="left" w:pos="567"/>
              </w:tabs>
              <w:spacing w:line="260" w:lineRule="exact"/>
              <w:rPr>
                <w:bCs/>
              </w:rPr>
            </w:pPr>
            <w:r w:rsidRPr="00105CDB">
              <w:rPr>
                <w:lang w:val="el-GR"/>
              </w:rPr>
              <w:t>Α</w:t>
            </w:r>
            <w:proofErr w:type="spellStart"/>
            <w:r w:rsidRPr="00105CDB">
              <w:t>μινοτρανσφεράση</w:t>
            </w:r>
            <w:proofErr w:type="spellEnd"/>
            <w:r w:rsidRPr="00105CDB">
              <w:rPr>
                <w:lang w:val="el-GR"/>
              </w:rPr>
              <w:t xml:space="preserve"> της αλανίνης αυξημένη</w:t>
            </w:r>
          </w:p>
        </w:tc>
        <w:tc>
          <w:tcPr>
            <w:tcW w:w="1559" w:type="dxa"/>
            <w:shd w:val="clear" w:color="auto" w:fill="auto"/>
          </w:tcPr>
          <w:p w:rsidR="00DA36B8" w:rsidRPr="00105CDB" w:rsidRDefault="00DA36B8" w:rsidP="00BC4F11">
            <w:pPr>
              <w:tabs>
                <w:tab w:val="left" w:pos="567"/>
              </w:tabs>
              <w:spacing w:line="260" w:lineRule="exact"/>
              <w:rPr>
                <w:lang w:val="el-GR"/>
              </w:rPr>
            </w:pPr>
          </w:p>
        </w:tc>
      </w:tr>
      <w:tr w:rsidR="00DA36B8" w:rsidRPr="00105CDB" w:rsidTr="00BC4F11">
        <w:tc>
          <w:tcPr>
            <w:tcW w:w="1760" w:type="dxa"/>
            <w:shd w:val="clear" w:color="auto" w:fill="auto"/>
          </w:tcPr>
          <w:p w:rsidR="00DA36B8" w:rsidRPr="00105CDB" w:rsidRDefault="00DA36B8" w:rsidP="00BC4F11">
            <w:pPr>
              <w:tabs>
                <w:tab w:val="left" w:pos="567"/>
              </w:tabs>
              <w:spacing w:line="260" w:lineRule="exact"/>
              <w:rPr>
                <w:bCs/>
                <w:lang w:val="el-GR"/>
              </w:rPr>
            </w:pPr>
            <w:r w:rsidRPr="00105CDB">
              <w:rPr>
                <w:noProof/>
                <w:lang w:val="el-GR"/>
              </w:rPr>
              <w:t>Διαταραχές του δέρματος και του υποδόριου ιστού</w:t>
            </w:r>
          </w:p>
        </w:tc>
        <w:tc>
          <w:tcPr>
            <w:tcW w:w="1926" w:type="dxa"/>
            <w:shd w:val="clear" w:color="auto" w:fill="auto"/>
          </w:tcPr>
          <w:p w:rsidR="00DA36B8" w:rsidRPr="00105CDB" w:rsidRDefault="00DA36B8" w:rsidP="00BC4F11">
            <w:pPr>
              <w:tabs>
                <w:tab w:val="left" w:pos="567"/>
              </w:tabs>
              <w:spacing w:line="260" w:lineRule="exact"/>
              <w:rPr>
                <w:bCs/>
                <w:lang w:val="el-GR"/>
              </w:rPr>
            </w:pPr>
          </w:p>
        </w:tc>
        <w:tc>
          <w:tcPr>
            <w:tcW w:w="2693" w:type="dxa"/>
            <w:shd w:val="clear" w:color="auto" w:fill="auto"/>
          </w:tcPr>
          <w:p w:rsidR="00DA36B8" w:rsidRPr="00105CDB" w:rsidRDefault="00DA36B8" w:rsidP="00BC4F11">
            <w:pPr>
              <w:tabs>
                <w:tab w:val="left" w:pos="567"/>
              </w:tabs>
              <w:spacing w:line="260" w:lineRule="exact"/>
              <w:rPr>
                <w:bCs/>
              </w:rPr>
            </w:pPr>
            <w:r w:rsidRPr="00105CDB">
              <w:rPr>
                <w:lang w:val="el-GR"/>
              </w:rPr>
              <w:t>Δερματίτιδα, νυκτερινοί ιδρώτες, κνησμός</w:t>
            </w:r>
          </w:p>
        </w:tc>
        <w:tc>
          <w:tcPr>
            <w:tcW w:w="1559" w:type="dxa"/>
            <w:shd w:val="clear" w:color="auto" w:fill="auto"/>
          </w:tcPr>
          <w:p w:rsidR="00DA36B8" w:rsidRPr="00105CDB" w:rsidRDefault="00DA36B8" w:rsidP="00BC4F11">
            <w:pPr>
              <w:tabs>
                <w:tab w:val="left" w:pos="567"/>
              </w:tabs>
              <w:spacing w:line="260" w:lineRule="exact"/>
              <w:rPr>
                <w:bCs/>
              </w:rPr>
            </w:pPr>
            <w:r w:rsidRPr="00105CDB">
              <w:rPr>
                <w:lang w:val="el-GR"/>
              </w:rPr>
              <w:t>Α</w:t>
            </w:r>
            <w:proofErr w:type="spellStart"/>
            <w:r w:rsidRPr="00105CDB">
              <w:t>λωπεκία</w:t>
            </w:r>
            <w:proofErr w:type="spellEnd"/>
            <w:r w:rsidRPr="00105CDB">
              <w:t xml:space="preserve">, </w:t>
            </w:r>
            <w:proofErr w:type="spellStart"/>
            <w:r w:rsidRPr="00105CDB">
              <w:t>κνίδωση</w:t>
            </w:r>
            <w:proofErr w:type="spellEnd"/>
            <w:r w:rsidRPr="00105CDB">
              <w:rPr>
                <w:lang w:val="el-GR"/>
              </w:rPr>
              <w:t xml:space="preserve">, </w:t>
            </w:r>
            <w:proofErr w:type="spellStart"/>
            <w:r w:rsidRPr="00105CDB">
              <w:t>ξηροδερμία</w:t>
            </w:r>
            <w:proofErr w:type="spellEnd"/>
          </w:p>
        </w:tc>
        <w:tc>
          <w:tcPr>
            <w:tcW w:w="1559" w:type="dxa"/>
            <w:shd w:val="clear" w:color="auto" w:fill="auto"/>
          </w:tcPr>
          <w:p w:rsidR="00DA36B8" w:rsidRPr="00105CDB" w:rsidRDefault="00DA36B8" w:rsidP="00BC4F11">
            <w:pPr>
              <w:tabs>
                <w:tab w:val="left" w:pos="567"/>
              </w:tabs>
              <w:spacing w:line="260" w:lineRule="exact"/>
              <w:rPr>
                <w:lang w:val="el-GR"/>
              </w:rPr>
            </w:pPr>
          </w:p>
        </w:tc>
      </w:tr>
      <w:tr w:rsidR="00DA36B8" w:rsidRPr="00105CDB" w:rsidTr="00BC4F11">
        <w:tc>
          <w:tcPr>
            <w:tcW w:w="1760" w:type="dxa"/>
            <w:shd w:val="clear" w:color="auto" w:fill="auto"/>
          </w:tcPr>
          <w:p w:rsidR="00DA36B8" w:rsidRPr="00105CDB" w:rsidRDefault="00DA36B8" w:rsidP="00BC4F11">
            <w:pPr>
              <w:tabs>
                <w:tab w:val="left" w:pos="567"/>
              </w:tabs>
              <w:spacing w:line="260" w:lineRule="exact"/>
              <w:rPr>
                <w:bCs/>
                <w:lang w:val="el-GR"/>
              </w:rPr>
            </w:pPr>
            <w:r w:rsidRPr="00105CDB">
              <w:rPr>
                <w:noProof/>
                <w:lang w:val="el-GR"/>
              </w:rPr>
              <w:t>Διαταραχές του μυοσκελετικού συστήματος και του συνδετικού ιστού</w:t>
            </w:r>
          </w:p>
        </w:tc>
        <w:tc>
          <w:tcPr>
            <w:tcW w:w="1926" w:type="dxa"/>
            <w:shd w:val="clear" w:color="auto" w:fill="auto"/>
          </w:tcPr>
          <w:p w:rsidR="00DA36B8" w:rsidRPr="00105CDB" w:rsidRDefault="00DA36B8" w:rsidP="00BC4F11">
            <w:pPr>
              <w:tabs>
                <w:tab w:val="left" w:pos="567"/>
              </w:tabs>
              <w:spacing w:line="260" w:lineRule="exact"/>
              <w:rPr>
                <w:bCs/>
                <w:lang w:val="el-GR"/>
              </w:rPr>
            </w:pPr>
          </w:p>
        </w:tc>
        <w:tc>
          <w:tcPr>
            <w:tcW w:w="2693" w:type="dxa"/>
            <w:shd w:val="clear" w:color="auto" w:fill="auto"/>
          </w:tcPr>
          <w:p w:rsidR="00E35BDB" w:rsidRPr="00105CDB" w:rsidRDefault="00DA36B8" w:rsidP="00BC4F11">
            <w:pPr>
              <w:tabs>
                <w:tab w:val="left" w:pos="567"/>
              </w:tabs>
              <w:spacing w:line="260" w:lineRule="exact"/>
              <w:rPr>
                <w:lang w:val="el-GR"/>
              </w:rPr>
            </w:pPr>
            <w:r w:rsidRPr="00105CDB">
              <w:rPr>
                <w:lang w:val="el-GR"/>
              </w:rPr>
              <w:t>Οσφυαλγία, μυαλγία, αρθραλγία,</w:t>
            </w:r>
          </w:p>
          <w:p w:rsidR="00E35BDB" w:rsidRPr="00105CDB" w:rsidRDefault="00E35BDB" w:rsidP="00BC4F11">
            <w:pPr>
              <w:tabs>
                <w:tab w:val="left" w:pos="567"/>
              </w:tabs>
              <w:spacing w:line="260" w:lineRule="exact"/>
              <w:rPr>
                <w:lang w:val="el-GR"/>
              </w:rPr>
            </w:pPr>
            <w:r w:rsidRPr="00105CDB">
              <w:rPr>
                <w:lang w:val="el-GR"/>
              </w:rPr>
              <w:t>μυϊκοί σπασμοί</w:t>
            </w:r>
          </w:p>
          <w:p w:rsidR="00DA36B8" w:rsidRPr="00105CDB" w:rsidRDefault="00DA36B8" w:rsidP="00BC4F11">
            <w:pPr>
              <w:tabs>
                <w:tab w:val="left" w:pos="567"/>
              </w:tabs>
              <w:spacing w:line="260" w:lineRule="exact"/>
              <w:rPr>
                <w:lang w:val="el-GR"/>
              </w:rPr>
            </w:pPr>
            <w:r w:rsidRPr="00105CDB">
              <w:rPr>
                <w:lang w:val="el-GR"/>
              </w:rPr>
              <w:t xml:space="preserve"> </w:t>
            </w:r>
          </w:p>
        </w:tc>
        <w:tc>
          <w:tcPr>
            <w:tcW w:w="1559" w:type="dxa"/>
            <w:shd w:val="clear" w:color="auto" w:fill="auto"/>
          </w:tcPr>
          <w:p w:rsidR="00DA36B8" w:rsidRPr="00105CDB" w:rsidRDefault="00DA36B8" w:rsidP="00BC4F11">
            <w:pPr>
              <w:tabs>
                <w:tab w:val="left" w:pos="567"/>
              </w:tabs>
              <w:spacing w:line="260" w:lineRule="exact"/>
              <w:rPr>
                <w:bCs/>
                <w:lang w:val="el-GR"/>
              </w:rPr>
            </w:pPr>
          </w:p>
        </w:tc>
        <w:tc>
          <w:tcPr>
            <w:tcW w:w="1559" w:type="dxa"/>
            <w:shd w:val="clear" w:color="auto" w:fill="auto"/>
          </w:tcPr>
          <w:p w:rsidR="00DA36B8" w:rsidRPr="00105CDB" w:rsidRDefault="00DA36B8" w:rsidP="00BC4F11">
            <w:pPr>
              <w:tabs>
                <w:tab w:val="left" w:pos="567"/>
              </w:tabs>
              <w:spacing w:line="260" w:lineRule="exact"/>
              <w:rPr>
                <w:bCs/>
                <w:lang w:val="el-GR"/>
              </w:rPr>
            </w:pPr>
          </w:p>
        </w:tc>
      </w:tr>
      <w:tr w:rsidR="00DA36B8" w:rsidRPr="00105CDB" w:rsidTr="00BC4F11">
        <w:tc>
          <w:tcPr>
            <w:tcW w:w="1760" w:type="dxa"/>
            <w:shd w:val="clear" w:color="auto" w:fill="auto"/>
          </w:tcPr>
          <w:p w:rsidR="00DA36B8" w:rsidRPr="00105CDB" w:rsidRDefault="00DA36B8" w:rsidP="00BC4F11">
            <w:pPr>
              <w:tabs>
                <w:tab w:val="left" w:pos="567"/>
              </w:tabs>
              <w:spacing w:line="260" w:lineRule="exact"/>
              <w:rPr>
                <w:bCs/>
                <w:lang w:val="el-GR"/>
              </w:rPr>
            </w:pPr>
            <w:r w:rsidRPr="00105CDB">
              <w:rPr>
                <w:noProof/>
                <w:lang w:val="el-GR"/>
              </w:rPr>
              <w:t xml:space="preserve">Διαταραχές των νεφρών και </w:t>
            </w:r>
            <w:r w:rsidRPr="00105CDB">
              <w:rPr>
                <w:lang w:val="el-GR"/>
              </w:rPr>
              <w:t xml:space="preserve"> </w:t>
            </w:r>
            <w:r w:rsidRPr="00105CDB">
              <w:rPr>
                <w:snapToGrid w:val="0"/>
                <w:lang w:val="el-GR" w:eastAsia="en-US"/>
              </w:rPr>
              <w:t>των ουροφόρων οδών</w:t>
            </w:r>
          </w:p>
        </w:tc>
        <w:tc>
          <w:tcPr>
            <w:tcW w:w="1926" w:type="dxa"/>
            <w:shd w:val="clear" w:color="auto" w:fill="auto"/>
          </w:tcPr>
          <w:p w:rsidR="00DA36B8" w:rsidRPr="00105CDB" w:rsidRDefault="00DA36B8" w:rsidP="00BC4F11">
            <w:pPr>
              <w:tabs>
                <w:tab w:val="left" w:pos="567"/>
              </w:tabs>
              <w:spacing w:line="260" w:lineRule="exact"/>
              <w:rPr>
                <w:bCs/>
                <w:lang w:val="el-GR"/>
              </w:rPr>
            </w:pPr>
          </w:p>
        </w:tc>
        <w:tc>
          <w:tcPr>
            <w:tcW w:w="2693" w:type="dxa"/>
            <w:shd w:val="clear" w:color="auto" w:fill="auto"/>
          </w:tcPr>
          <w:p w:rsidR="00DA36B8" w:rsidRPr="00105CDB" w:rsidRDefault="00DA36B8" w:rsidP="00BC4F11">
            <w:pPr>
              <w:tabs>
                <w:tab w:val="left" w:pos="567"/>
              </w:tabs>
              <w:spacing w:line="260" w:lineRule="exact"/>
              <w:rPr>
                <w:lang w:val="el-GR"/>
              </w:rPr>
            </w:pPr>
            <w:r w:rsidRPr="00105CDB">
              <w:rPr>
                <w:lang w:val="el-GR"/>
              </w:rPr>
              <w:t>Νεφρική κάθαρση κρεατινίνης μειωμένη, νεφρική δυσλειτουργία</w:t>
            </w:r>
          </w:p>
          <w:p w:rsidR="00DA36B8" w:rsidRPr="00105CDB" w:rsidRDefault="00DA36B8" w:rsidP="00BC4F11">
            <w:pPr>
              <w:tabs>
                <w:tab w:val="left" w:pos="567"/>
              </w:tabs>
              <w:spacing w:line="260" w:lineRule="exact"/>
              <w:rPr>
                <w:bCs/>
                <w:lang w:val="el-GR"/>
              </w:rPr>
            </w:pPr>
          </w:p>
        </w:tc>
        <w:tc>
          <w:tcPr>
            <w:tcW w:w="1559" w:type="dxa"/>
            <w:shd w:val="clear" w:color="auto" w:fill="auto"/>
          </w:tcPr>
          <w:p w:rsidR="00DA36B8" w:rsidRPr="00105CDB" w:rsidRDefault="00DA36B8" w:rsidP="00BC4F11">
            <w:pPr>
              <w:tabs>
                <w:tab w:val="left" w:pos="567"/>
              </w:tabs>
              <w:spacing w:line="260" w:lineRule="exact"/>
              <w:rPr>
                <w:bCs/>
              </w:rPr>
            </w:pPr>
            <w:r w:rsidRPr="00105CDB">
              <w:rPr>
                <w:lang w:val="el-GR"/>
              </w:rPr>
              <w:t>Αιματουρία,</w:t>
            </w:r>
            <w:r w:rsidRPr="00105CDB">
              <w:t xml:space="preserve"> </w:t>
            </w:r>
            <w:r w:rsidRPr="00105CDB">
              <w:rPr>
                <w:lang w:val="el-GR"/>
              </w:rPr>
              <w:t xml:space="preserve">νεφρική ανεπάρκεια </w:t>
            </w:r>
          </w:p>
        </w:tc>
        <w:tc>
          <w:tcPr>
            <w:tcW w:w="1559" w:type="dxa"/>
            <w:shd w:val="clear" w:color="auto" w:fill="auto"/>
          </w:tcPr>
          <w:p w:rsidR="00DA36B8" w:rsidRPr="00105CDB" w:rsidRDefault="00DA36B8" w:rsidP="00BC4F11">
            <w:pPr>
              <w:tabs>
                <w:tab w:val="left" w:pos="567"/>
              </w:tabs>
              <w:spacing w:line="260" w:lineRule="exact"/>
              <w:rPr>
                <w:lang w:val="el-GR"/>
              </w:rPr>
            </w:pPr>
          </w:p>
        </w:tc>
      </w:tr>
      <w:tr w:rsidR="00DA36B8" w:rsidRPr="00105CDB" w:rsidTr="00BC4F11">
        <w:tc>
          <w:tcPr>
            <w:tcW w:w="1760" w:type="dxa"/>
            <w:shd w:val="clear" w:color="auto" w:fill="auto"/>
          </w:tcPr>
          <w:p w:rsidR="00DA36B8" w:rsidRPr="00105CDB" w:rsidRDefault="00DA36B8" w:rsidP="00BC4F11">
            <w:pPr>
              <w:tabs>
                <w:tab w:val="left" w:pos="567"/>
              </w:tabs>
              <w:spacing w:line="260" w:lineRule="exact"/>
              <w:rPr>
                <w:bCs/>
                <w:lang w:val="el-GR"/>
              </w:rPr>
            </w:pPr>
            <w:r w:rsidRPr="00105CDB">
              <w:rPr>
                <w:noProof/>
                <w:lang w:val="el-GR"/>
              </w:rPr>
              <w:t>Διαταραχές του αναπαραγωγικού συστήματος και του μαστού</w:t>
            </w:r>
          </w:p>
        </w:tc>
        <w:tc>
          <w:tcPr>
            <w:tcW w:w="1926" w:type="dxa"/>
            <w:shd w:val="clear" w:color="auto" w:fill="auto"/>
          </w:tcPr>
          <w:p w:rsidR="00DA36B8" w:rsidRPr="00105CDB" w:rsidRDefault="00DA36B8" w:rsidP="00BC4F11">
            <w:pPr>
              <w:tabs>
                <w:tab w:val="left" w:pos="567"/>
              </w:tabs>
              <w:spacing w:line="260" w:lineRule="exact"/>
              <w:rPr>
                <w:bCs/>
                <w:lang w:val="el-GR"/>
              </w:rPr>
            </w:pPr>
          </w:p>
        </w:tc>
        <w:tc>
          <w:tcPr>
            <w:tcW w:w="2693" w:type="dxa"/>
            <w:shd w:val="clear" w:color="auto" w:fill="auto"/>
          </w:tcPr>
          <w:p w:rsidR="00DA36B8" w:rsidRPr="00105CDB" w:rsidRDefault="00DA36B8" w:rsidP="00BC4F11">
            <w:pPr>
              <w:tabs>
                <w:tab w:val="left" w:pos="567"/>
              </w:tabs>
              <w:spacing w:line="260" w:lineRule="exact"/>
              <w:rPr>
                <w:bCs/>
                <w:lang w:val="el-GR"/>
              </w:rPr>
            </w:pPr>
          </w:p>
        </w:tc>
        <w:tc>
          <w:tcPr>
            <w:tcW w:w="1559" w:type="dxa"/>
            <w:shd w:val="clear" w:color="auto" w:fill="auto"/>
          </w:tcPr>
          <w:p w:rsidR="00DA36B8" w:rsidRPr="00105CDB" w:rsidRDefault="00DA36B8" w:rsidP="00BC4F11">
            <w:pPr>
              <w:tabs>
                <w:tab w:val="left" w:pos="567"/>
              </w:tabs>
              <w:spacing w:line="260" w:lineRule="exact"/>
              <w:rPr>
                <w:bCs/>
              </w:rPr>
            </w:pPr>
            <w:r w:rsidRPr="00105CDB">
              <w:rPr>
                <w:lang w:val="el-GR"/>
              </w:rPr>
              <w:t>Στειρότητα άρρενος</w:t>
            </w:r>
          </w:p>
        </w:tc>
        <w:tc>
          <w:tcPr>
            <w:tcW w:w="1559" w:type="dxa"/>
            <w:shd w:val="clear" w:color="auto" w:fill="auto"/>
          </w:tcPr>
          <w:p w:rsidR="00DA36B8" w:rsidRPr="00105CDB" w:rsidRDefault="00DA36B8" w:rsidP="00BC4F11">
            <w:pPr>
              <w:tabs>
                <w:tab w:val="left" w:pos="567"/>
              </w:tabs>
              <w:spacing w:line="260" w:lineRule="exact"/>
              <w:rPr>
                <w:lang w:val="el-GR"/>
              </w:rPr>
            </w:pPr>
          </w:p>
        </w:tc>
      </w:tr>
      <w:tr w:rsidR="00DA36B8" w:rsidRPr="00A116C4" w:rsidTr="00BC4F11">
        <w:tc>
          <w:tcPr>
            <w:tcW w:w="1760" w:type="dxa"/>
            <w:shd w:val="clear" w:color="auto" w:fill="auto"/>
          </w:tcPr>
          <w:p w:rsidR="00DA36B8" w:rsidRPr="00105CDB" w:rsidRDefault="00DA36B8" w:rsidP="00BC4F11">
            <w:pPr>
              <w:tabs>
                <w:tab w:val="left" w:pos="567"/>
              </w:tabs>
              <w:spacing w:line="260" w:lineRule="exact"/>
              <w:rPr>
                <w:bCs/>
                <w:lang w:val="el-GR"/>
              </w:rPr>
            </w:pPr>
            <w:r w:rsidRPr="00105CDB">
              <w:rPr>
                <w:noProof/>
                <w:lang w:val="el-GR"/>
              </w:rPr>
              <w:t xml:space="preserve">Γενικές διαταραχές και </w:t>
            </w:r>
            <w:r w:rsidRPr="00105CDB">
              <w:rPr>
                <w:lang w:val="el-GR"/>
              </w:rPr>
              <w:t xml:space="preserve"> καταστάσεις της οδού χορήγησης</w:t>
            </w:r>
          </w:p>
        </w:tc>
        <w:tc>
          <w:tcPr>
            <w:tcW w:w="1926" w:type="dxa"/>
            <w:shd w:val="clear" w:color="auto" w:fill="auto"/>
          </w:tcPr>
          <w:p w:rsidR="00DA36B8" w:rsidRPr="00105CDB" w:rsidRDefault="00DA36B8" w:rsidP="00BC4F11">
            <w:pPr>
              <w:tabs>
                <w:tab w:val="left" w:pos="567"/>
              </w:tabs>
              <w:spacing w:line="260" w:lineRule="exact"/>
              <w:rPr>
                <w:bCs/>
                <w:lang w:val="el-GR"/>
              </w:rPr>
            </w:pPr>
          </w:p>
        </w:tc>
        <w:tc>
          <w:tcPr>
            <w:tcW w:w="2693" w:type="dxa"/>
            <w:shd w:val="clear" w:color="auto" w:fill="auto"/>
          </w:tcPr>
          <w:p w:rsidR="00DA36B8" w:rsidRPr="00105CDB" w:rsidRDefault="00DA36B8" w:rsidP="00BC4F11">
            <w:pPr>
              <w:tabs>
                <w:tab w:val="left" w:pos="567"/>
              </w:tabs>
              <w:spacing w:line="260" w:lineRule="exact"/>
              <w:rPr>
                <w:bCs/>
                <w:lang w:val="fr-FR"/>
              </w:rPr>
            </w:pPr>
            <w:r w:rsidRPr="00105CDB">
              <w:rPr>
                <w:lang w:val="el-GR"/>
              </w:rPr>
              <w:t>Κόπωση, πυρεξία, ρίγη, άλγος, θωρακικό άλγος, αίσθημα κακουχίας, εξασθένηση</w:t>
            </w:r>
          </w:p>
        </w:tc>
        <w:tc>
          <w:tcPr>
            <w:tcW w:w="1559" w:type="dxa"/>
            <w:shd w:val="clear" w:color="auto" w:fill="auto"/>
          </w:tcPr>
          <w:p w:rsidR="00DA36B8" w:rsidRPr="00105CDB" w:rsidRDefault="00DA36B8" w:rsidP="00BC4F11">
            <w:pPr>
              <w:tabs>
                <w:tab w:val="left" w:pos="567"/>
              </w:tabs>
              <w:spacing w:line="260" w:lineRule="exact"/>
              <w:rPr>
                <w:bCs/>
                <w:lang w:val="fr-FR"/>
              </w:rPr>
            </w:pPr>
          </w:p>
        </w:tc>
        <w:tc>
          <w:tcPr>
            <w:tcW w:w="1559" w:type="dxa"/>
            <w:shd w:val="clear" w:color="auto" w:fill="auto"/>
          </w:tcPr>
          <w:p w:rsidR="00DA36B8" w:rsidRPr="00105CDB" w:rsidRDefault="00DA36B8" w:rsidP="00BC4F11">
            <w:pPr>
              <w:tabs>
                <w:tab w:val="left" w:pos="567"/>
              </w:tabs>
              <w:spacing w:line="260" w:lineRule="exact"/>
              <w:rPr>
                <w:bCs/>
                <w:lang w:val="fr-FR"/>
              </w:rPr>
            </w:pPr>
          </w:p>
        </w:tc>
      </w:tr>
      <w:tr w:rsidR="00DA36B8" w:rsidRPr="00A116C4" w:rsidTr="00BC4F11">
        <w:tc>
          <w:tcPr>
            <w:tcW w:w="1760" w:type="dxa"/>
            <w:shd w:val="clear" w:color="auto" w:fill="auto"/>
          </w:tcPr>
          <w:p w:rsidR="00DA36B8" w:rsidRPr="00105CDB" w:rsidRDefault="00DA36B8" w:rsidP="00BC4F11">
            <w:pPr>
              <w:tabs>
                <w:tab w:val="left" w:pos="567"/>
              </w:tabs>
              <w:spacing w:line="260" w:lineRule="exact"/>
              <w:rPr>
                <w:bCs/>
              </w:rPr>
            </w:pPr>
            <w:r w:rsidRPr="00105CDB">
              <w:rPr>
                <w:lang w:val="el-GR"/>
              </w:rPr>
              <w:t>Παρακλινικές Εξετάσεις</w:t>
            </w:r>
          </w:p>
        </w:tc>
        <w:tc>
          <w:tcPr>
            <w:tcW w:w="1926" w:type="dxa"/>
            <w:shd w:val="clear" w:color="auto" w:fill="auto"/>
          </w:tcPr>
          <w:p w:rsidR="00DA36B8" w:rsidRPr="00105CDB" w:rsidRDefault="00DA36B8" w:rsidP="00BC4F11">
            <w:pPr>
              <w:tabs>
                <w:tab w:val="left" w:pos="567"/>
              </w:tabs>
              <w:spacing w:line="260" w:lineRule="exact"/>
              <w:rPr>
                <w:bCs/>
              </w:rPr>
            </w:pPr>
          </w:p>
        </w:tc>
        <w:tc>
          <w:tcPr>
            <w:tcW w:w="2693" w:type="dxa"/>
            <w:shd w:val="clear" w:color="auto" w:fill="auto"/>
          </w:tcPr>
          <w:p w:rsidR="00DA36B8" w:rsidRPr="00105CDB" w:rsidRDefault="00DA36B8" w:rsidP="00BC4F11">
            <w:pPr>
              <w:tabs>
                <w:tab w:val="left" w:pos="567"/>
              </w:tabs>
              <w:spacing w:line="260" w:lineRule="exact"/>
              <w:rPr>
                <w:bCs/>
                <w:lang w:val="el-GR"/>
              </w:rPr>
            </w:pPr>
            <w:r w:rsidRPr="00105CDB">
              <w:rPr>
                <w:lang w:val="el-GR"/>
              </w:rPr>
              <w:t xml:space="preserve">Μειωμένο σωματικό βάρος, αυξημένη κρεατινίνη αίματος </w:t>
            </w:r>
          </w:p>
        </w:tc>
        <w:tc>
          <w:tcPr>
            <w:tcW w:w="1559" w:type="dxa"/>
            <w:shd w:val="clear" w:color="auto" w:fill="auto"/>
          </w:tcPr>
          <w:p w:rsidR="00DA36B8" w:rsidRPr="00105CDB" w:rsidRDefault="00DA36B8" w:rsidP="00BC4F11">
            <w:pPr>
              <w:tabs>
                <w:tab w:val="left" w:pos="567"/>
              </w:tabs>
              <w:spacing w:line="260" w:lineRule="exact"/>
              <w:rPr>
                <w:bCs/>
                <w:lang w:val="el-GR"/>
              </w:rPr>
            </w:pPr>
          </w:p>
        </w:tc>
        <w:tc>
          <w:tcPr>
            <w:tcW w:w="1559" w:type="dxa"/>
            <w:shd w:val="clear" w:color="auto" w:fill="auto"/>
          </w:tcPr>
          <w:p w:rsidR="00DA36B8" w:rsidRPr="00105CDB" w:rsidRDefault="00DA36B8" w:rsidP="00BC4F11">
            <w:pPr>
              <w:tabs>
                <w:tab w:val="left" w:pos="567"/>
              </w:tabs>
              <w:spacing w:line="260" w:lineRule="exact"/>
              <w:rPr>
                <w:bCs/>
                <w:lang w:val="el-GR"/>
              </w:rPr>
            </w:pPr>
          </w:p>
        </w:tc>
      </w:tr>
    </w:tbl>
    <w:p w:rsidR="00267CD9" w:rsidRPr="00105CDB" w:rsidRDefault="00267CD9" w:rsidP="00267CD9">
      <w:pPr>
        <w:textAlignment w:val="top"/>
        <w:rPr>
          <w:lang w:val="el-GR"/>
        </w:rPr>
      </w:pPr>
    </w:p>
    <w:p w:rsidR="00C72602" w:rsidRPr="00105CDB" w:rsidRDefault="00C72602" w:rsidP="00267CD9">
      <w:pPr>
        <w:textAlignment w:val="top"/>
        <w:rPr>
          <w:lang w:val="el-GR"/>
        </w:rPr>
      </w:pPr>
      <w:r w:rsidRPr="00105CDB">
        <w:rPr>
          <w:lang w:val="el-GR"/>
        </w:rPr>
        <w:t>Σοβαρή θρομβοπενία ενδέχεται να σχετίζεται με απειλητική για τη ζωή αιμορραγία.</w:t>
      </w:r>
    </w:p>
    <w:p w:rsidR="00007516" w:rsidRPr="00105CDB" w:rsidRDefault="00007516" w:rsidP="00007516">
      <w:pPr>
        <w:rPr>
          <w:szCs w:val="22"/>
          <w:lang w:val="el-GR"/>
        </w:rPr>
      </w:pPr>
    </w:p>
    <w:p w:rsidR="00007516" w:rsidRPr="00105CDB" w:rsidRDefault="00007516" w:rsidP="00007516">
      <w:pPr>
        <w:rPr>
          <w:szCs w:val="22"/>
          <w:lang w:val="el-GR"/>
        </w:rPr>
      </w:pPr>
      <w:r w:rsidRPr="00105CDB">
        <w:rPr>
          <w:lang w:val="el-GR"/>
        </w:rPr>
        <w:t xml:space="preserve">Η αποκόλληση αμφιβληστροειδούς έχει αναφερθεί μόνο σε ασθενείς με </w:t>
      </w:r>
      <w:r w:rsidRPr="00105CDB">
        <w:t>AIDS</w:t>
      </w:r>
      <w:r w:rsidRPr="00105CDB">
        <w:rPr>
          <w:lang w:val="el-GR"/>
        </w:rPr>
        <w:t xml:space="preserve"> που έχουν λάβει θεραπεία με </w:t>
      </w:r>
      <w:proofErr w:type="spellStart"/>
      <w:r w:rsidRPr="00105CDB">
        <w:t>Valcyte</w:t>
      </w:r>
      <w:proofErr w:type="spellEnd"/>
      <w:r w:rsidRPr="00105CDB">
        <w:rPr>
          <w:lang w:val="el-GR"/>
        </w:rPr>
        <w:t xml:space="preserve"> για την αμφιβληστροειδίτιδα από </w:t>
      </w:r>
      <w:r w:rsidRPr="00105CDB">
        <w:t>CMV</w:t>
      </w:r>
      <w:r w:rsidRPr="00105CDB">
        <w:rPr>
          <w:lang w:val="el-GR"/>
        </w:rPr>
        <w:t>.</w:t>
      </w:r>
    </w:p>
    <w:p w:rsidR="00007516" w:rsidRPr="00105CDB" w:rsidRDefault="00007516" w:rsidP="00007516">
      <w:pPr>
        <w:rPr>
          <w:szCs w:val="22"/>
          <w:lang w:val="el-GR"/>
        </w:rPr>
      </w:pPr>
    </w:p>
    <w:p w:rsidR="00C72602" w:rsidRPr="00105CDB" w:rsidRDefault="00C72602" w:rsidP="00267CD9">
      <w:pPr>
        <w:textAlignment w:val="top"/>
        <w:rPr>
          <w:b/>
          <w:i/>
          <w:lang w:val="el-GR"/>
        </w:rPr>
      </w:pPr>
    </w:p>
    <w:p w:rsidR="00007516" w:rsidRPr="00105CDB" w:rsidRDefault="00F74AC5" w:rsidP="00267CD9">
      <w:pPr>
        <w:textAlignment w:val="top"/>
        <w:rPr>
          <w:u w:val="single"/>
          <w:lang w:val="el-GR"/>
        </w:rPr>
      </w:pPr>
      <w:r>
        <w:rPr>
          <w:b/>
          <w:bCs/>
          <w:i/>
          <w:iCs/>
          <w:szCs w:val="22"/>
          <w:lang w:val="el-GR" w:eastAsia="en-US"/>
        </w:rPr>
        <w:t xml:space="preserve">γ </w:t>
      </w:r>
      <w:r w:rsidR="00267CD9" w:rsidRPr="00105CDB">
        <w:rPr>
          <w:u w:val="single"/>
          <w:lang w:val="el-GR"/>
        </w:rPr>
        <w:t>Παιδιατρικός πληθυσμός</w:t>
      </w:r>
    </w:p>
    <w:p w:rsidR="00574272" w:rsidRPr="00105CDB" w:rsidRDefault="00574272" w:rsidP="00574272">
      <w:pPr>
        <w:textAlignment w:val="top"/>
        <w:rPr>
          <w:rFonts w:ascii="Calibri" w:eastAsia="MS Mincho" w:hAnsi="Calibri" w:cs="TimesNewRomanPSMT"/>
          <w:sz w:val="24"/>
          <w:szCs w:val="24"/>
          <w:lang w:val="el-GR" w:eastAsia="zh-CN"/>
        </w:rPr>
      </w:pPr>
    </w:p>
    <w:p w:rsidR="00574272" w:rsidRPr="00105CDB" w:rsidRDefault="00574272" w:rsidP="00574272">
      <w:pPr>
        <w:autoSpaceDE w:val="0"/>
        <w:autoSpaceDN w:val="0"/>
        <w:adjustRightInd w:val="0"/>
        <w:spacing w:after="160" w:line="260" w:lineRule="auto"/>
        <w:rPr>
          <w:szCs w:val="24"/>
          <w:lang w:val="el-GR"/>
        </w:rPr>
      </w:pPr>
      <w:r w:rsidRPr="00105CDB">
        <w:rPr>
          <w:szCs w:val="24"/>
          <w:lang w:val="el-GR"/>
        </w:rPr>
        <w:t xml:space="preserve">Το </w:t>
      </w:r>
      <w:proofErr w:type="spellStart"/>
      <w:r w:rsidRPr="00105CDB">
        <w:rPr>
          <w:szCs w:val="24"/>
        </w:rPr>
        <w:t>Valcyte</w:t>
      </w:r>
      <w:proofErr w:type="spellEnd"/>
      <w:r w:rsidRPr="00105CDB">
        <w:rPr>
          <w:szCs w:val="24"/>
          <w:lang w:val="el-GR"/>
        </w:rPr>
        <w:t xml:space="preserve"> έχει μελετηθεί σε 179 παιδιατρικούς ασθενείς-λήπτες μοσχεύματος συμπαγούς οργάνου, οι οποίοι διατρέχουν κίνδυνο εμφάνισης νόσου από </w:t>
      </w:r>
      <w:r w:rsidRPr="00105CDB">
        <w:rPr>
          <w:szCs w:val="24"/>
        </w:rPr>
        <w:t>CMV</w:t>
      </w:r>
      <w:r w:rsidRPr="00105CDB">
        <w:rPr>
          <w:szCs w:val="24"/>
          <w:lang w:val="el-GR"/>
        </w:rPr>
        <w:t xml:space="preserve"> (ηλικίας από 3 εβδομάδων έως 16 ετών) και </w:t>
      </w:r>
      <w:r w:rsidRPr="00105CDB">
        <w:rPr>
          <w:szCs w:val="24"/>
          <w:lang w:val="el-GR"/>
        </w:rPr>
        <w:lastRenderedPageBreak/>
        <w:t>σε 133</w:t>
      </w:r>
      <w:r w:rsidRPr="00105CDB">
        <w:rPr>
          <w:szCs w:val="24"/>
        </w:rPr>
        <w:t> </w:t>
      </w:r>
      <w:r w:rsidRPr="00105CDB">
        <w:rPr>
          <w:szCs w:val="24"/>
          <w:lang w:val="el-GR"/>
        </w:rPr>
        <w:t xml:space="preserve">νεογνά με συμπτωματική συγγενή νόσο από </w:t>
      </w:r>
      <w:r w:rsidRPr="00105CDB">
        <w:rPr>
          <w:szCs w:val="24"/>
        </w:rPr>
        <w:t>CMV</w:t>
      </w:r>
      <w:r w:rsidRPr="00105CDB">
        <w:rPr>
          <w:szCs w:val="24"/>
          <w:lang w:val="el-GR"/>
        </w:rPr>
        <w:t xml:space="preserve"> (ηλικίας από 2 έως 31 ημερών), με διάρκεια έκθεσης στη γκανσικλοβίρη, η οποία κυμαίνονταν από 2 έως 200 ημέρες.  </w:t>
      </w:r>
    </w:p>
    <w:p w:rsidR="00574272" w:rsidRPr="00105CDB" w:rsidRDefault="00574272" w:rsidP="00574272">
      <w:pPr>
        <w:autoSpaceDE w:val="0"/>
        <w:autoSpaceDN w:val="0"/>
        <w:adjustRightInd w:val="0"/>
        <w:rPr>
          <w:szCs w:val="22"/>
          <w:lang w:val="el-GR"/>
        </w:rPr>
      </w:pPr>
    </w:p>
    <w:p w:rsidR="00574272" w:rsidRPr="00105CDB" w:rsidRDefault="00574272" w:rsidP="00574272">
      <w:pPr>
        <w:spacing w:line="260" w:lineRule="auto"/>
        <w:rPr>
          <w:szCs w:val="24"/>
          <w:lang w:val="el-GR"/>
        </w:rPr>
      </w:pPr>
      <w:r w:rsidRPr="00105CDB">
        <w:rPr>
          <w:szCs w:val="24"/>
          <w:lang w:val="el-GR"/>
        </w:rPr>
        <w:t xml:space="preserve">Οι συχνότερα αναφερθείσες ανεπιθύμητες ενέργειες της θεραπείας στις παιδιατρικές κλινικές μελέτες ήταν η διάρροια, η ναυτία, η ουδετεροπενία, η λευκοπενία και η αναιμία. </w:t>
      </w:r>
    </w:p>
    <w:p w:rsidR="00574272" w:rsidRPr="00105CDB" w:rsidRDefault="00574272" w:rsidP="00574272">
      <w:pPr>
        <w:spacing w:line="260" w:lineRule="auto"/>
        <w:rPr>
          <w:szCs w:val="24"/>
          <w:lang w:val="el-GR"/>
        </w:rPr>
      </w:pPr>
      <w:r w:rsidRPr="00105CDB">
        <w:rPr>
          <w:szCs w:val="24"/>
          <w:lang w:val="el-GR"/>
        </w:rPr>
        <w:t xml:space="preserve">Στους ασθενείς-λήπτες μοσχεύματος συμπαγούς οργάνου, το συνολικό προφίλ ασφάλειας ήταν παρόμοιο με αυτό των παιδιατρικών ασθενών συγκριτικά με τους ενήλικες. Ωστόσο, τα ποσοστά συγκεκριμένων ανεπιθύμητων συμβάντων, όπως είναι η λοίμωξη της ανώτερης αναπνευστικής οδού, η πυρεξία, ο κοιλιακός πόνος και η δυσουρία, τα οποία ενδέχεται να είναι χαρακτηριστικά του παιδιατρικού πληθυσμού, αναφέρθηκαν σε υψηλότερη επίπτωση στους παιδιατρικούς ασθενείς σε σχέση με τους ενήλικες. Η ουδετεροπενία αναφέρθηκε, επίσης, με ελαφρώς μεγαλύτερη επίπτωση στις δύο μελέτες, οι οποίες πραγματοποιήθηκαν σε παιδιατρικούς ασθενείς-λήπτες μοσχεύματος συμπαγούς οργάνου συγκριτικά με τους ενήλικες, αλλά δεν υπήρξε συσχέτιση ανάμεσα στην ουδετεροπενία και τα λοιμώδη ανεπιθύμητα συμβάντα στον παιδιατρικό πληθυσμό. </w:t>
      </w:r>
    </w:p>
    <w:p w:rsidR="00574272" w:rsidRPr="00105CDB" w:rsidRDefault="00574272" w:rsidP="00574272">
      <w:pPr>
        <w:autoSpaceDE w:val="0"/>
        <w:autoSpaceDN w:val="0"/>
        <w:adjustRightInd w:val="0"/>
        <w:spacing w:after="160" w:line="260" w:lineRule="auto"/>
        <w:rPr>
          <w:szCs w:val="24"/>
          <w:lang w:val="el-GR"/>
        </w:rPr>
      </w:pPr>
      <w:r w:rsidRPr="00105CDB">
        <w:rPr>
          <w:szCs w:val="24"/>
          <w:lang w:val="el-GR"/>
        </w:rPr>
        <w:t>Στους παιδιατρικούς ασθενείς-λήπτες νεφρικού μοσχεύματος, η επιμήκυνση της έκθεσης στη βαλγκανσικλοβίρη έως και 200 ημέρες δεν σχετίστηκε με συνολική αύξηση στην επίπτωση των ανεπιθύμητων συμβάντων.  Η επίπτωση της σοβαρής ουδετεροπενίας (</w:t>
      </w:r>
      <w:r w:rsidRPr="00105CDB">
        <w:rPr>
          <w:szCs w:val="24"/>
        </w:rPr>
        <w:t>ANC </w:t>
      </w:r>
      <w:r w:rsidRPr="00105CDB">
        <w:rPr>
          <w:szCs w:val="24"/>
          <w:lang w:val="el-GR"/>
        </w:rPr>
        <w:t>&lt;</w:t>
      </w:r>
      <w:r w:rsidRPr="00105CDB">
        <w:rPr>
          <w:szCs w:val="24"/>
        </w:rPr>
        <w:t> </w:t>
      </w:r>
      <w:r w:rsidRPr="00105CDB">
        <w:rPr>
          <w:szCs w:val="24"/>
          <w:lang w:val="el-GR"/>
        </w:rPr>
        <w:t>500/µ</w:t>
      </w:r>
      <w:r w:rsidRPr="00105CDB">
        <w:rPr>
          <w:szCs w:val="24"/>
        </w:rPr>
        <w:t>L</w:t>
      </w:r>
      <w:r w:rsidRPr="00105CDB">
        <w:rPr>
          <w:szCs w:val="24"/>
          <w:lang w:val="el-GR"/>
        </w:rPr>
        <w:t>) ήταν υψηλότερη στους παιδιατρικούς ασθενείς-λήπτες νεφρικού μοσχεύματος, οι οποίοι έλαβαν θεραπεία έως την Ημέρα 200 συγκριτικά με τους παιδιατρικούς ασθενείς που έλαβαν θεραπεία έως την Ημέρα 100 και συγκριτικά με τους ενήλικες ασθενείς-λήπτες νεφρικού μοσχεύματος, οι οποίοι έλαβαν θεραπεία έως την Ημέρα 100 ή την Ημέρα 200 (βλέπε παράγραφο 4.4).</w:t>
      </w:r>
    </w:p>
    <w:p w:rsidR="00574272" w:rsidRPr="00105CDB" w:rsidRDefault="00574272" w:rsidP="00574272">
      <w:pPr>
        <w:textAlignment w:val="top"/>
        <w:rPr>
          <w:szCs w:val="24"/>
          <w:lang w:val="el-GR"/>
        </w:rPr>
      </w:pPr>
      <w:r w:rsidRPr="00105CDB">
        <w:rPr>
          <w:szCs w:val="24"/>
          <w:lang w:val="el-GR"/>
        </w:rPr>
        <w:t xml:space="preserve">Διατίθενται μόνο περιορισμένα δεδομένα σε νεογνά ή βρέφη με συμπτωματική συγγενή λοίμωξη από </w:t>
      </w:r>
      <w:r w:rsidRPr="00105CDB">
        <w:rPr>
          <w:szCs w:val="24"/>
        </w:rPr>
        <w:t>CMV</w:t>
      </w:r>
      <w:r w:rsidRPr="00105CDB">
        <w:rPr>
          <w:szCs w:val="24"/>
          <w:lang w:val="el-GR"/>
        </w:rPr>
        <w:t xml:space="preserve">, τα οποία έλαβαν θεραπεία με </w:t>
      </w:r>
      <w:proofErr w:type="spellStart"/>
      <w:r w:rsidRPr="00105CDB">
        <w:rPr>
          <w:szCs w:val="24"/>
        </w:rPr>
        <w:t>Valcyte</w:t>
      </w:r>
      <w:proofErr w:type="spellEnd"/>
      <w:r w:rsidRPr="00105CDB">
        <w:rPr>
          <w:szCs w:val="24"/>
          <w:lang w:val="el-GR"/>
        </w:rPr>
        <w:t>. Ωστόσο, η ασφάλεια φαίνεται να συνάδει με το γνωστό προφίλ ασφάλειας της βαλγκανσικλοβίρης/γκανσικλοβίρης.</w:t>
      </w:r>
    </w:p>
    <w:p w:rsidR="004219B1" w:rsidRPr="00105CDB" w:rsidRDefault="004219B1" w:rsidP="00336218">
      <w:pPr>
        <w:autoSpaceDE w:val="0"/>
        <w:autoSpaceDN w:val="0"/>
        <w:adjustRightInd w:val="0"/>
        <w:spacing w:after="160" w:line="260" w:lineRule="auto"/>
        <w:rPr>
          <w:szCs w:val="24"/>
          <w:u w:val="single"/>
          <w:lang w:val="el-GR"/>
        </w:rPr>
      </w:pPr>
    </w:p>
    <w:p w:rsidR="00AE478C" w:rsidRDefault="00AE478C" w:rsidP="00AE478C">
      <w:pPr>
        <w:tabs>
          <w:tab w:val="left" w:pos="567"/>
        </w:tabs>
        <w:autoSpaceDE w:val="0"/>
        <w:autoSpaceDN w:val="0"/>
        <w:adjustRightInd w:val="0"/>
        <w:spacing w:line="260" w:lineRule="exact"/>
        <w:jc w:val="both"/>
        <w:rPr>
          <w:snapToGrid w:val="0"/>
          <w:szCs w:val="22"/>
          <w:u w:val="single"/>
          <w:lang w:val="el-GR" w:eastAsia="en-US"/>
        </w:rPr>
      </w:pPr>
      <w:r>
        <w:rPr>
          <w:noProof/>
          <w:snapToGrid w:val="0"/>
          <w:szCs w:val="22"/>
          <w:u w:val="single"/>
          <w:lang w:val="el-GR" w:eastAsia="en-US"/>
        </w:rPr>
        <w:t>Αναφορά πιθανολογούμενων ανεπιθύμητων ενεργειών</w:t>
      </w:r>
    </w:p>
    <w:p w:rsidR="00AE478C" w:rsidRPr="00105CDB" w:rsidRDefault="00AE478C" w:rsidP="00AE478C">
      <w:pPr>
        <w:tabs>
          <w:tab w:val="left" w:pos="567"/>
        </w:tabs>
        <w:rPr>
          <w:rFonts w:cs="Calibri"/>
          <w:snapToGrid w:val="0"/>
          <w:lang w:val="el-GR"/>
        </w:rPr>
      </w:pPr>
      <w:r>
        <w:rPr>
          <w:snapToGrid w:val="0"/>
          <w:szCs w:val="22"/>
          <w:lang w:val="el-GR" w:eastAsia="en-US"/>
        </w:rPr>
        <w:t>Η αναφορά πιθανολογούμενων ανεπιθύμητων ενεργειών μετά από τη χορήγηση άδειας κυκλοφορίας του φαρμακευτικού προϊόντος είναι σημαντική</w:t>
      </w:r>
      <w:r>
        <w:rPr>
          <w:noProof/>
          <w:snapToGrid w:val="0"/>
          <w:szCs w:val="22"/>
          <w:lang w:val="el-GR" w:eastAsia="en-US"/>
        </w:rPr>
        <w:t>.</w:t>
      </w:r>
      <w:r>
        <w:rPr>
          <w:snapToGrid w:val="0"/>
          <w:szCs w:val="22"/>
          <w:lang w:val="el-GR" w:eastAsia="en-US"/>
        </w:rPr>
        <w:t xml:space="preserve"> Επιτρέπει τη συνεχή παρακολούθηση της σχέσης οφέλους-κινδύνου του φαρμακευτικού προϊόντος</w:t>
      </w:r>
      <w:r>
        <w:rPr>
          <w:noProof/>
          <w:snapToGrid w:val="0"/>
          <w:szCs w:val="22"/>
          <w:lang w:val="el-GR" w:eastAsia="en-US"/>
        </w:rPr>
        <w:t>.</w:t>
      </w:r>
      <w:r>
        <w:rPr>
          <w:snapToGrid w:val="0"/>
          <w:szCs w:val="22"/>
          <w:lang w:val="el-GR" w:eastAsia="en-US"/>
        </w:rPr>
        <w:t xml:space="preserve"> </w:t>
      </w:r>
      <w:r>
        <w:rPr>
          <w:rFonts w:cs="Calibri"/>
          <w:snapToGrid w:val="0"/>
          <w:lang w:val="el-GR"/>
        </w:rPr>
        <w:t>Ζητείται από τους επαγγελματίες του τομέα της υγειονομικής περίθαλψης να αναφέρουν οποιεσδήποτε πιθανολογούμενες ανεπιθύμητες ενέργειες (βλ. λεπτομέρειες παρακάτω).</w:t>
      </w:r>
    </w:p>
    <w:p w:rsidR="00AE478C" w:rsidRPr="00105CDB" w:rsidRDefault="00AE478C" w:rsidP="00AE478C">
      <w:pPr>
        <w:tabs>
          <w:tab w:val="left" w:pos="567"/>
        </w:tabs>
        <w:rPr>
          <w:lang w:val="el-GR"/>
        </w:rPr>
      </w:pPr>
    </w:p>
    <w:p w:rsidR="00AE478C" w:rsidRDefault="00AE478C" w:rsidP="00AE478C">
      <w:pPr>
        <w:rPr>
          <w:noProof/>
          <w:szCs w:val="22"/>
          <w:lang w:val="el-GR" w:eastAsia="en-US"/>
        </w:rPr>
      </w:pPr>
      <w:r>
        <w:rPr>
          <w:rFonts w:eastAsia="Calibri"/>
          <w:b/>
          <w:noProof/>
          <w:szCs w:val="22"/>
          <w:lang w:val="el-GR" w:eastAsia="zh-CN"/>
        </w:rPr>
        <w:t>Ελλάδα</w:t>
      </w:r>
    </w:p>
    <w:p w:rsidR="00AE478C" w:rsidRDefault="00AE478C" w:rsidP="00AE478C">
      <w:pPr>
        <w:rPr>
          <w:rFonts w:eastAsia="Calibri"/>
          <w:noProof/>
          <w:szCs w:val="22"/>
          <w:lang w:val="el-GR" w:eastAsia="zh-CN"/>
        </w:rPr>
      </w:pPr>
      <w:r>
        <w:rPr>
          <w:rFonts w:eastAsia="Calibri"/>
          <w:noProof/>
          <w:szCs w:val="22"/>
          <w:lang w:val="el-GR" w:eastAsia="zh-CN"/>
        </w:rPr>
        <w:t>Εθνικός Οργανισμός Φαρμάκων</w:t>
      </w:r>
    </w:p>
    <w:p w:rsidR="00AE478C" w:rsidRDefault="00AE478C" w:rsidP="00AE478C">
      <w:pPr>
        <w:rPr>
          <w:rFonts w:eastAsia="Calibri"/>
          <w:noProof/>
          <w:szCs w:val="22"/>
          <w:lang w:val="el-GR" w:eastAsia="zh-CN"/>
        </w:rPr>
      </w:pPr>
      <w:r>
        <w:rPr>
          <w:rFonts w:eastAsia="Calibri"/>
          <w:noProof/>
          <w:szCs w:val="22"/>
          <w:lang w:val="el-GR" w:eastAsia="zh-CN"/>
        </w:rPr>
        <w:t>Μεσογείων 284</w:t>
      </w:r>
    </w:p>
    <w:p w:rsidR="00AE478C" w:rsidRDefault="00AE478C" w:rsidP="00AE478C">
      <w:pPr>
        <w:rPr>
          <w:rFonts w:eastAsia="Calibri"/>
          <w:noProof/>
          <w:szCs w:val="22"/>
          <w:lang w:val="el-GR" w:eastAsia="zh-CN"/>
        </w:rPr>
      </w:pPr>
      <w:r>
        <w:rPr>
          <w:rFonts w:eastAsia="Calibri"/>
          <w:noProof/>
          <w:szCs w:val="22"/>
          <w:lang w:eastAsia="zh-CN"/>
        </w:rPr>
        <w:t>GR</w:t>
      </w:r>
      <w:r>
        <w:rPr>
          <w:rFonts w:eastAsia="Calibri"/>
          <w:noProof/>
          <w:szCs w:val="22"/>
          <w:lang w:val="el-GR" w:eastAsia="zh-CN"/>
        </w:rPr>
        <w:t>-15562 Χολαργός, Αθήνα</w:t>
      </w:r>
    </w:p>
    <w:p w:rsidR="00AE478C" w:rsidRDefault="00AE478C" w:rsidP="00AE478C">
      <w:pPr>
        <w:rPr>
          <w:rFonts w:eastAsia="Calibri"/>
          <w:szCs w:val="22"/>
          <w:lang w:val="el-GR" w:eastAsia="zh-CN"/>
        </w:rPr>
      </w:pPr>
      <w:r>
        <w:rPr>
          <w:rFonts w:eastAsia="Calibri"/>
          <w:noProof/>
          <w:szCs w:val="22"/>
          <w:lang w:val="el-GR" w:eastAsia="zh-CN"/>
        </w:rPr>
        <w:t xml:space="preserve">Τηλ: + 30 </w:t>
      </w:r>
      <w:r>
        <w:rPr>
          <w:rFonts w:eastAsia="Calibri"/>
          <w:szCs w:val="22"/>
          <w:lang w:val="el-GR" w:eastAsia="zh-CN"/>
        </w:rPr>
        <w:t>21 32040380/337</w:t>
      </w:r>
    </w:p>
    <w:p w:rsidR="00AE478C" w:rsidRDefault="00AE478C" w:rsidP="00AE478C">
      <w:pPr>
        <w:rPr>
          <w:rFonts w:eastAsia="Calibri"/>
          <w:noProof/>
          <w:szCs w:val="22"/>
          <w:lang w:val="el-GR" w:eastAsia="zh-CN"/>
        </w:rPr>
      </w:pPr>
      <w:r>
        <w:rPr>
          <w:rFonts w:eastAsia="Calibri"/>
          <w:lang w:val="el-GR" w:eastAsia="zh-CN"/>
        </w:rPr>
        <w:t>Φαξ</w:t>
      </w:r>
      <w:r>
        <w:rPr>
          <w:rFonts w:eastAsia="Calibri"/>
          <w:noProof/>
          <w:szCs w:val="22"/>
          <w:lang w:val="el-GR" w:eastAsia="zh-CN"/>
        </w:rPr>
        <w:t xml:space="preserve">: + 30 </w:t>
      </w:r>
      <w:r>
        <w:rPr>
          <w:rFonts w:eastAsia="Calibri"/>
          <w:szCs w:val="22"/>
          <w:lang w:val="el-GR" w:eastAsia="zh-CN"/>
        </w:rPr>
        <w:t>21 06549585</w:t>
      </w:r>
      <w:r>
        <w:rPr>
          <w:rFonts w:eastAsia="Calibri"/>
          <w:noProof/>
          <w:szCs w:val="22"/>
          <w:lang w:val="el-GR" w:eastAsia="zh-CN"/>
        </w:rPr>
        <w:t xml:space="preserve"> </w:t>
      </w:r>
    </w:p>
    <w:p w:rsidR="00AE478C" w:rsidRPr="00105CDB" w:rsidRDefault="00AE478C" w:rsidP="00AE478C">
      <w:pPr>
        <w:tabs>
          <w:tab w:val="left" w:pos="567"/>
        </w:tabs>
        <w:rPr>
          <w:rFonts w:eastAsia="Calibri"/>
          <w:szCs w:val="22"/>
          <w:lang w:val="el-GR" w:eastAsia="zh-CN"/>
        </w:rPr>
      </w:pPr>
      <w:r>
        <w:rPr>
          <w:rFonts w:eastAsia="Calibri"/>
          <w:lang w:val="el-GR" w:eastAsia="zh-CN"/>
        </w:rPr>
        <w:t>Ιστότοπος</w:t>
      </w:r>
      <w:r w:rsidRPr="00105CDB">
        <w:rPr>
          <w:rFonts w:eastAsia="Calibri"/>
          <w:noProof/>
          <w:szCs w:val="22"/>
          <w:lang w:val="el-GR" w:eastAsia="zh-CN"/>
        </w:rPr>
        <w:t xml:space="preserve">: </w:t>
      </w:r>
      <w:hyperlink r:id="rId14" w:history="1">
        <w:r>
          <w:rPr>
            <w:rStyle w:val="-"/>
            <w:rFonts w:eastAsia="Calibri"/>
            <w:szCs w:val="22"/>
            <w:lang w:eastAsia="zh-CN"/>
          </w:rPr>
          <w:t>http</w:t>
        </w:r>
        <w:r w:rsidRPr="00105CDB">
          <w:rPr>
            <w:rStyle w:val="-"/>
            <w:rFonts w:eastAsia="Calibri"/>
            <w:szCs w:val="22"/>
            <w:lang w:val="el-GR" w:eastAsia="zh-CN"/>
          </w:rPr>
          <w:t>://</w:t>
        </w:r>
        <w:r>
          <w:rPr>
            <w:rStyle w:val="-"/>
            <w:rFonts w:eastAsia="Calibri"/>
            <w:szCs w:val="22"/>
            <w:lang w:eastAsia="zh-CN"/>
          </w:rPr>
          <w:t>www</w:t>
        </w:r>
        <w:r w:rsidRPr="00105CDB">
          <w:rPr>
            <w:rStyle w:val="-"/>
            <w:rFonts w:eastAsia="Calibri"/>
            <w:szCs w:val="22"/>
            <w:lang w:val="el-GR" w:eastAsia="zh-CN"/>
          </w:rPr>
          <w:t>.</w:t>
        </w:r>
        <w:proofErr w:type="spellStart"/>
        <w:r>
          <w:rPr>
            <w:rStyle w:val="-"/>
            <w:rFonts w:eastAsia="Calibri"/>
            <w:szCs w:val="22"/>
            <w:lang w:eastAsia="zh-CN"/>
          </w:rPr>
          <w:t>eof</w:t>
        </w:r>
        <w:proofErr w:type="spellEnd"/>
        <w:r w:rsidRPr="00105CDB">
          <w:rPr>
            <w:rStyle w:val="-"/>
            <w:rFonts w:eastAsia="Calibri"/>
            <w:szCs w:val="22"/>
            <w:lang w:val="el-GR" w:eastAsia="zh-CN"/>
          </w:rPr>
          <w:t>.</w:t>
        </w:r>
        <w:proofErr w:type="spellStart"/>
        <w:r>
          <w:rPr>
            <w:rStyle w:val="-"/>
            <w:rFonts w:eastAsia="Calibri"/>
            <w:szCs w:val="22"/>
            <w:lang w:eastAsia="zh-CN"/>
          </w:rPr>
          <w:t>gr</w:t>
        </w:r>
        <w:proofErr w:type="spellEnd"/>
      </w:hyperlink>
    </w:p>
    <w:p w:rsidR="00AE478C" w:rsidRPr="00105CDB" w:rsidRDefault="00AE478C" w:rsidP="00AE478C">
      <w:pPr>
        <w:tabs>
          <w:tab w:val="left" w:pos="567"/>
        </w:tabs>
        <w:rPr>
          <w:rFonts w:eastAsia="Calibri"/>
          <w:szCs w:val="22"/>
          <w:lang w:val="el-GR" w:eastAsia="zh-CN"/>
        </w:rPr>
      </w:pPr>
    </w:p>
    <w:p w:rsidR="00AE478C" w:rsidRDefault="00AE478C" w:rsidP="00AE478C">
      <w:pPr>
        <w:rPr>
          <w:b/>
          <w:noProof/>
          <w:szCs w:val="22"/>
          <w:lang w:val="el-GR" w:eastAsia="en-US"/>
        </w:rPr>
      </w:pPr>
      <w:r>
        <w:rPr>
          <w:rFonts w:eastAsia="Calibri"/>
          <w:b/>
          <w:noProof/>
          <w:szCs w:val="22"/>
          <w:lang w:val="el-GR" w:eastAsia="zh-CN"/>
        </w:rPr>
        <w:t>Κύπρος</w:t>
      </w:r>
    </w:p>
    <w:p w:rsidR="00AE478C" w:rsidRDefault="00AE478C" w:rsidP="00AE478C">
      <w:pPr>
        <w:rPr>
          <w:rFonts w:eastAsia="Calibri"/>
          <w:lang w:val="el-GR" w:eastAsia="zh-CN"/>
        </w:rPr>
      </w:pPr>
      <w:r>
        <w:rPr>
          <w:rFonts w:eastAsia="Calibri"/>
          <w:lang w:val="el-GR" w:eastAsia="zh-CN"/>
        </w:rPr>
        <w:t>Φαρμακευτικές Υπηρεσίες</w:t>
      </w:r>
    </w:p>
    <w:p w:rsidR="00AE478C" w:rsidRDefault="00AE478C" w:rsidP="00AE478C">
      <w:pPr>
        <w:rPr>
          <w:rFonts w:eastAsia="Calibri"/>
          <w:lang w:val="el-GR" w:eastAsia="zh-CN"/>
        </w:rPr>
      </w:pPr>
      <w:r>
        <w:rPr>
          <w:rFonts w:eastAsia="Calibri"/>
          <w:lang w:val="el-GR" w:eastAsia="zh-CN"/>
        </w:rPr>
        <w:t>Υπουργείο Υγείας</w:t>
      </w:r>
    </w:p>
    <w:p w:rsidR="00AE478C" w:rsidRDefault="00AE478C" w:rsidP="00AE478C">
      <w:pPr>
        <w:rPr>
          <w:rFonts w:eastAsia="Calibri"/>
          <w:noProof/>
          <w:szCs w:val="22"/>
          <w:lang w:val="el-GR" w:eastAsia="zh-CN"/>
        </w:rPr>
      </w:pPr>
      <w:r>
        <w:rPr>
          <w:rFonts w:eastAsia="Calibri"/>
          <w:noProof/>
          <w:szCs w:val="22"/>
          <w:lang w:eastAsia="zh-CN"/>
        </w:rPr>
        <w:t>CY</w:t>
      </w:r>
      <w:r>
        <w:rPr>
          <w:rFonts w:eastAsia="Calibri"/>
          <w:noProof/>
          <w:szCs w:val="22"/>
          <w:lang w:val="el-GR" w:eastAsia="zh-CN"/>
        </w:rPr>
        <w:t>-</w:t>
      </w:r>
      <w:r w:rsidRPr="00105CDB">
        <w:rPr>
          <w:rFonts w:eastAsia="Calibri"/>
          <w:noProof/>
          <w:szCs w:val="22"/>
          <w:lang w:val="el-GR" w:eastAsia="zh-CN"/>
        </w:rPr>
        <w:t xml:space="preserve">1475 </w:t>
      </w:r>
      <w:r>
        <w:rPr>
          <w:rFonts w:eastAsia="Calibri"/>
          <w:lang w:val="el-GR" w:eastAsia="zh-CN"/>
        </w:rPr>
        <w:t>Λευκωσία</w:t>
      </w:r>
    </w:p>
    <w:p w:rsidR="00AE478C" w:rsidRDefault="00AE478C" w:rsidP="00AE478C">
      <w:pPr>
        <w:rPr>
          <w:rFonts w:eastAsia="Calibri"/>
          <w:szCs w:val="22"/>
          <w:lang w:val="el-GR" w:eastAsia="zh-CN"/>
        </w:rPr>
      </w:pPr>
      <w:r>
        <w:rPr>
          <w:rFonts w:eastAsia="Calibri"/>
          <w:lang w:val="el-GR" w:eastAsia="zh-CN"/>
        </w:rPr>
        <w:t>Φαξ</w:t>
      </w:r>
      <w:r>
        <w:rPr>
          <w:rFonts w:eastAsia="Calibri"/>
          <w:noProof/>
          <w:szCs w:val="22"/>
          <w:lang w:val="el-GR" w:eastAsia="zh-CN"/>
        </w:rPr>
        <w:t xml:space="preserve">: + </w:t>
      </w:r>
      <w:r>
        <w:rPr>
          <w:rFonts w:eastAsia="Calibri"/>
          <w:szCs w:val="22"/>
          <w:lang w:val="el-GR" w:eastAsia="zh-CN"/>
        </w:rPr>
        <w:t>357 22608649</w:t>
      </w:r>
    </w:p>
    <w:p w:rsidR="00AE478C" w:rsidRPr="00105CDB" w:rsidRDefault="00AE478C" w:rsidP="00AE478C">
      <w:pPr>
        <w:tabs>
          <w:tab w:val="left" w:pos="567"/>
        </w:tabs>
        <w:rPr>
          <w:lang w:val="el-GR"/>
        </w:rPr>
      </w:pPr>
      <w:r>
        <w:rPr>
          <w:rFonts w:eastAsia="Calibri"/>
          <w:lang w:val="el-GR" w:eastAsia="zh-CN"/>
        </w:rPr>
        <w:t>Ιστότοπος</w:t>
      </w:r>
      <w:r>
        <w:rPr>
          <w:rFonts w:eastAsia="Calibri"/>
          <w:noProof/>
          <w:szCs w:val="22"/>
          <w:lang w:val="el-GR" w:eastAsia="zh-CN"/>
        </w:rPr>
        <w:t xml:space="preserve">: </w:t>
      </w:r>
      <w:hyperlink r:id="rId15" w:history="1">
        <w:r>
          <w:rPr>
            <w:rStyle w:val="-"/>
            <w:rFonts w:eastAsia="Calibri"/>
            <w:szCs w:val="22"/>
            <w:lang w:eastAsia="zh-CN"/>
          </w:rPr>
          <w:t>www</w:t>
        </w:r>
        <w:r>
          <w:rPr>
            <w:rStyle w:val="-"/>
            <w:rFonts w:eastAsia="Calibri"/>
            <w:szCs w:val="22"/>
            <w:lang w:val="el-GR" w:eastAsia="zh-CN"/>
          </w:rPr>
          <w:t>.</w:t>
        </w:r>
        <w:proofErr w:type="spellStart"/>
        <w:r>
          <w:rPr>
            <w:rStyle w:val="-"/>
            <w:rFonts w:eastAsia="Calibri"/>
            <w:szCs w:val="22"/>
            <w:lang w:eastAsia="zh-CN"/>
          </w:rPr>
          <w:t>moh</w:t>
        </w:r>
        <w:proofErr w:type="spellEnd"/>
        <w:r>
          <w:rPr>
            <w:rStyle w:val="-"/>
            <w:rFonts w:eastAsia="Calibri"/>
            <w:szCs w:val="22"/>
            <w:lang w:val="el-GR" w:eastAsia="zh-CN"/>
          </w:rPr>
          <w:t>.</w:t>
        </w:r>
        <w:proofErr w:type="spellStart"/>
        <w:r>
          <w:rPr>
            <w:rStyle w:val="-"/>
            <w:rFonts w:eastAsia="Calibri"/>
            <w:szCs w:val="22"/>
            <w:lang w:eastAsia="zh-CN"/>
          </w:rPr>
          <w:t>gov</w:t>
        </w:r>
        <w:proofErr w:type="spellEnd"/>
        <w:r>
          <w:rPr>
            <w:rStyle w:val="-"/>
            <w:rFonts w:eastAsia="Calibri"/>
            <w:szCs w:val="22"/>
            <w:lang w:val="el-GR" w:eastAsia="zh-CN"/>
          </w:rPr>
          <w:t>.</w:t>
        </w:r>
        <w:r>
          <w:rPr>
            <w:rStyle w:val="-"/>
            <w:rFonts w:eastAsia="Calibri"/>
            <w:szCs w:val="22"/>
            <w:lang w:eastAsia="zh-CN"/>
          </w:rPr>
          <w:t>cy</w:t>
        </w:r>
        <w:r>
          <w:rPr>
            <w:rStyle w:val="-"/>
            <w:rFonts w:eastAsia="Calibri"/>
            <w:szCs w:val="22"/>
            <w:lang w:val="el-GR" w:eastAsia="zh-CN"/>
          </w:rPr>
          <w:t>/</w:t>
        </w:r>
        <w:proofErr w:type="spellStart"/>
        <w:r>
          <w:rPr>
            <w:rStyle w:val="-"/>
            <w:rFonts w:eastAsia="Calibri"/>
            <w:szCs w:val="22"/>
            <w:lang w:eastAsia="zh-CN"/>
          </w:rPr>
          <w:t>phs</w:t>
        </w:r>
        <w:proofErr w:type="spellEnd"/>
      </w:hyperlink>
    </w:p>
    <w:p w:rsidR="00336218" w:rsidRPr="00105CDB" w:rsidRDefault="00336218" w:rsidP="00336218">
      <w:pPr>
        <w:rPr>
          <w:noProof/>
          <w:lang w:val="el-GR"/>
        </w:rPr>
      </w:pPr>
    </w:p>
    <w:p w:rsidR="0091534A" w:rsidRPr="00105CDB" w:rsidRDefault="0091534A" w:rsidP="0049166C">
      <w:pPr>
        <w:ind w:left="567" w:hanging="567"/>
        <w:rPr>
          <w:lang w:val="el-GR"/>
        </w:rPr>
      </w:pPr>
      <w:r w:rsidRPr="00105CDB">
        <w:rPr>
          <w:b/>
          <w:lang w:val="el-GR"/>
        </w:rPr>
        <w:t>4.9</w:t>
      </w:r>
      <w:r w:rsidRPr="00105CDB">
        <w:rPr>
          <w:b/>
          <w:lang w:val="el-GR"/>
        </w:rPr>
        <w:tab/>
        <w:t>Υπερδοσολογία</w:t>
      </w:r>
    </w:p>
    <w:p w:rsidR="0091534A" w:rsidRPr="00105CDB" w:rsidRDefault="0091534A" w:rsidP="0091534A">
      <w:pPr>
        <w:rPr>
          <w:lang w:val="el-GR"/>
        </w:rPr>
      </w:pPr>
    </w:p>
    <w:p w:rsidR="00262A1F" w:rsidRPr="00105CDB" w:rsidRDefault="00262A1F" w:rsidP="00262A1F">
      <w:pPr>
        <w:widowControl w:val="0"/>
        <w:spacing w:line="240" w:lineRule="atLeast"/>
        <w:rPr>
          <w:u w:val="single"/>
          <w:lang w:val="el-GR"/>
        </w:rPr>
      </w:pPr>
      <w:r w:rsidRPr="00105CDB">
        <w:rPr>
          <w:u w:val="single"/>
          <w:lang w:val="el-GR"/>
        </w:rPr>
        <w:t>Εμπειρία από την υπερδοσολογία με Βαλγκανσικλοβίρη</w:t>
      </w:r>
    </w:p>
    <w:p w:rsidR="00262A1F" w:rsidRPr="00105CDB" w:rsidRDefault="00262A1F" w:rsidP="00262A1F">
      <w:pPr>
        <w:widowControl w:val="0"/>
        <w:spacing w:line="240" w:lineRule="atLeast"/>
        <w:rPr>
          <w:lang w:val="el-GR"/>
        </w:rPr>
      </w:pPr>
      <w:r w:rsidRPr="00105CDB">
        <w:rPr>
          <w:lang w:val="el-GR"/>
        </w:rPr>
        <w:t>Ένας ενήλικας ανέπτυξε θανατηφόρο καταστολή του μυελού των οστών (μυελική απλασία), μετά από αρκετές ημέρες λήψης δόσης 10 τουλάχιστον φορές μεγαλύτερης της συνιστώμενης για το βαθμό της νεφρικής βλάβης του ασθενούς (ελαττωμένη κάθαρση κρεατινίνης).</w:t>
      </w:r>
    </w:p>
    <w:p w:rsidR="00262A1F" w:rsidRPr="00105CDB" w:rsidRDefault="00262A1F" w:rsidP="00262A1F">
      <w:pPr>
        <w:widowControl w:val="0"/>
        <w:spacing w:line="240" w:lineRule="atLeast"/>
        <w:ind w:left="1440"/>
        <w:rPr>
          <w:lang w:val="el-GR"/>
        </w:rPr>
      </w:pPr>
    </w:p>
    <w:p w:rsidR="00262A1F" w:rsidRPr="00105CDB" w:rsidRDefault="00262A1F" w:rsidP="00262A1F">
      <w:pPr>
        <w:widowControl w:val="0"/>
        <w:spacing w:line="240" w:lineRule="atLeast"/>
        <w:rPr>
          <w:lang w:val="el-GR"/>
        </w:rPr>
      </w:pPr>
      <w:r w:rsidRPr="00105CDB">
        <w:rPr>
          <w:lang w:val="el-GR"/>
        </w:rPr>
        <w:t>Αναμένεται ότι η υπέρβαση της δόσης της βαλγκανσικλοβίρης πιθανόν να προκαλούσε επίσης αύξηση της νεφροτοξικότητας (</w:t>
      </w:r>
      <w:r w:rsidR="001613D1" w:rsidRPr="00105CDB">
        <w:rPr>
          <w:lang w:val="el-GR"/>
        </w:rPr>
        <w:t>βλέπε</w:t>
      </w:r>
      <w:r w:rsidR="00D72913" w:rsidRPr="00105CDB">
        <w:rPr>
          <w:lang w:val="el-GR"/>
        </w:rPr>
        <w:t xml:space="preserve"> </w:t>
      </w:r>
      <w:r w:rsidR="00970B3C" w:rsidRPr="00105CDB">
        <w:rPr>
          <w:lang w:val="el-GR"/>
        </w:rPr>
        <w:t xml:space="preserve">παραγράφους </w:t>
      </w:r>
      <w:r w:rsidRPr="00105CDB">
        <w:rPr>
          <w:lang w:val="el-GR"/>
        </w:rPr>
        <w:t>4.2 και 4.4).</w:t>
      </w:r>
    </w:p>
    <w:p w:rsidR="00262A1F" w:rsidRPr="00105CDB" w:rsidRDefault="00262A1F" w:rsidP="00262A1F">
      <w:pPr>
        <w:widowControl w:val="0"/>
        <w:spacing w:line="240" w:lineRule="atLeast"/>
        <w:ind w:left="1440"/>
        <w:rPr>
          <w:lang w:val="el-GR"/>
        </w:rPr>
      </w:pPr>
    </w:p>
    <w:p w:rsidR="00262A1F" w:rsidRPr="00105CDB" w:rsidRDefault="00262A1F" w:rsidP="00262A1F">
      <w:pPr>
        <w:widowControl w:val="0"/>
        <w:spacing w:line="240" w:lineRule="atLeast"/>
        <w:rPr>
          <w:lang w:val="el-GR"/>
        </w:rPr>
      </w:pPr>
      <w:r w:rsidRPr="00105CDB">
        <w:rPr>
          <w:lang w:val="el-GR"/>
        </w:rPr>
        <w:t>Σε ασθενείς που υπερβαίνουν τη δόση βαλγκανσικλοβίρης, η αιμοκάθαρση και η ενυδάτωση μπορεί να αποδειχθούν ευεργετικές, όσον αφορά στη μείωση των επιπέδων στο πλάσμα του αίματος (</w:t>
      </w:r>
      <w:r w:rsidR="001613D1" w:rsidRPr="00105CDB">
        <w:rPr>
          <w:lang w:val="el-GR"/>
        </w:rPr>
        <w:t>βλέπε</w:t>
      </w:r>
      <w:r w:rsidR="00D72913" w:rsidRPr="00105CDB">
        <w:rPr>
          <w:lang w:val="el-GR"/>
        </w:rPr>
        <w:t xml:space="preserve"> </w:t>
      </w:r>
      <w:r w:rsidR="001F169E" w:rsidRPr="00105CDB">
        <w:rPr>
          <w:lang w:val="el-GR"/>
        </w:rPr>
        <w:t>παράγραφο</w:t>
      </w:r>
      <w:r w:rsidRPr="00105CDB">
        <w:rPr>
          <w:lang w:val="el-GR"/>
        </w:rPr>
        <w:t xml:space="preserve"> </w:t>
      </w:r>
      <w:r w:rsidRPr="00105CDB">
        <w:rPr>
          <w:i/>
          <w:lang w:val="el-GR"/>
        </w:rPr>
        <w:t>5.2</w:t>
      </w:r>
      <w:r w:rsidRPr="00105CDB">
        <w:rPr>
          <w:lang w:val="el-GR"/>
        </w:rPr>
        <w:t>).</w:t>
      </w:r>
    </w:p>
    <w:p w:rsidR="00262A1F" w:rsidRPr="00105CDB" w:rsidRDefault="00262A1F" w:rsidP="00262A1F">
      <w:pPr>
        <w:widowControl w:val="0"/>
        <w:spacing w:line="240" w:lineRule="atLeast"/>
        <w:ind w:left="1440"/>
        <w:rPr>
          <w:lang w:val="el-GR"/>
        </w:rPr>
      </w:pPr>
    </w:p>
    <w:p w:rsidR="00262A1F" w:rsidRPr="00105CDB" w:rsidRDefault="00262A1F" w:rsidP="00262A1F">
      <w:pPr>
        <w:widowControl w:val="0"/>
        <w:spacing w:line="240" w:lineRule="atLeast"/>
        <w:rPr>
          <w:u w:val="single"/>
          <w:lang w:val="el-GR"/>
        </w:rPr>
      </w:pPr>
      <w:r w:rsidRPr="00105CDB">
        <w:rPr>
          <w:u w:val="single"/>
          <w:lang w:val="el-GR"/>
        </w:rPr>
        <w:t>Εμπειρία από την υπερδοσολογία με ενδοφλέβια γκανσικλοβίρη</w:t>
      </w:r>
    </w:p>
    <w:p w:rsidR="00262A1F" w:rsidRPr="00105CDB" w:rsidRDefault="00262A1F" w:rsidP="00262A1F">
      <w:pPr>
        <w:widowControl w:val="0"/>
        <w:spacing w:line="240" w:lineRule="atLeast"/>
        <w:rPr>
          <w:lang w:val="el-GR"/>
        </w:rPr>
      </w:pPr>
      <w:r w:rsidRPr="00105CDB">
        <w:rPr>
          <w:lang w:val="el-GR"/>
        </w:rPr>
        <w:t>Υπάρχουν αναφορές υπερδοσολογίας με ενδοφλέβια γκανσικλοβίρη, τόσο από τις κλινικές δοκιμές όσο και από την εμπειρία που αποκτήθηκε μετά την κυκλοφορία του προϊόντος. Σε μερικές από τις περιπτώσεις αυτές δεν αναφέρθηκαν ανεπιθύμητα συμβάματα. Η πλειονότητα των ασθενών εμφάνισε ένα ή περισσότερα από τα ακόλουθα ανεπιθύμητα συμβάματα:</w:t>
      </w:r>
    </w:p>
    <w:p w:rsidR="00262A1F" w:rsidRPr="00105CDB" w:rsidRDefault="00262A1F" w:rsidP="00262A1F">
      <w:pPr>
        <w:widowControl w:val="0"/>
        <w:spacing w:line="240" w:lineRule="atLeast"/>
        <w:ind w:left="1440"/>
        <w:rPr>
          <w:lang w:val="el-GR"/>
        </w:rPr>
      </w:pPr>
    </w:p>
    <w:p w:rsidR="00262A1F" w:rsidRPr="00105CDB" w:rsidRDefault="00262A1F" w:rsidP="00336218">
      <w:pPr>
        <w:widowControl w:val="0"/>
        <w:tabs>
          <w:tab w:val="left" w:pos="284"/>
        </w:tabs>
        <w:spacing w:line="240" w:lineRule="atLeast"/>
        <w:ind w:left="284" w:hanging="284"/>
        <w:rPr>
          <w:lang w:val="el-GR"/>
        </w:rPr>
      </w:pPr>
      <w:r w:rsidRPr="00105CDB">
        <w:rPr>
          <w:i/>
          <w:lang w:val="el-GR"/>
        </w:rPr>
        <w:t>-</w:t>
      </w:r>
      <w:r w:rsidRPr="00105CDB">
        <w:rPr>
          <w:i/>
          <w:lang w:val="el-GR"/>
        </w:rPr>
        <w:tab/>
        <w:t xml:space="preserve">Αιματολογική τοξικότητα: </w:t>
      </w:r>
      <w:r w:rsidRPr="00105CDB">
        <w:rPr>
          <w:lang w:val="el-GR"/>
        </w:rPr>
        <w:t>πανκυτταροπενία, καταστολή του μυελού των οστών, μυελική απλασία, λευκοπενία, ουδετεροπενία, κοκκιοκυτταροπενία.</w:t>
      </w:r>
    </w:p>
    <w:p w:rsidR="00262A1F" w:rsidRPr="00105CDB" w:rsidRDefault="00262A1F" w:rsidP="00403333">
      <w:pPr>
        <w:widowControl w:val="0"/>
        <w:tabs>
          <w:tab w:val="left" w:pos="284"/>
        </w:tabs>
        <w:spacing w:line="240" w:lineRule="atLeast"/>
        <w:ind w:left="284" w:hanging="284"/>
        <w:rPr>
          <w:lang w:val="el-GR"/>
        </w:rPr>
      </w:pPr>
      <w:r w:rsidRPr="00105CDB">
        <w:rPr>
          <w:i/>
          <w:lang w:val="el-GR"/>
        </w:rPr>
        <w:t>-</w:t>
      </w:r>
      <w:r w:rsidRPr="00105CDB">
        <w:rPr>
          <w:i/>
          <w:lang w:val="el-GR"/>
        </w:rPr>
        <w:tab/>
        <w:t>Ηπατοτοξικότητα</w:t>
      </w:r>
      <w:r w:rsidRPr="00105CDB">
        <w:rPr>
          <w:lang w:val="el-GR"/>
        </w:rPr>
        <w:t>: ηπατίτιδα, διαταραχές της ηπατικής λειτουργίας.</w:t>
      </w:r>
    </w:p>
    <w:p w:rsidR="00262A1F" w:rsidRPr="00105CDB" w:rsidRDefault="00262A1F" w:rsidP="00403333">
      <w:pPr>
        <w:widowControl w:val="0"/>
        <w:tabs>
          <w:tab w:val="left" w:pos="284"/>
        </w:tabs>
        <w:spacing w:line="240" w:lineRule="atLeast"/>
        <w:ind w:left="284" w:hanging="284"/>
        <w:rPr>
          <w:lang w:val="el-GR"/>
        </w:rPr>
      </w:pPr>
      <w:r w:rsidRPr="00105CDB">
        <w:rPr>
          <w:i/>
          <w:lang w:val="el-GR"/>
        </w:rPr>
        <w:t>-</w:t>
      </w:r>
      <w:r w:rsidRPr="00105CDB">
        <w:rPr>
          <w:i/>
          <w:lang w:val="el-GR"/>
        </w:rPr>
        <w:tab/>
        <w:t>Νεφρική τοξικότητα</w:t>
      </w:r>
      <w:r w:rsidRPr="00105CDB">
        <w:rPr>
          <w:lang w:val="el-GR"/>
        </w:rPr>
        <w:t>: επιδείνωση αιματουρίας σε έναν ασθενή με προϋπάρχουσα νεφρική βλάβη, οξεία νεφρική ανεπάρκεια, αύξηση κρεατινίνης.</w:t>
      </w:r>
    </w:p>
    <w:p w:rsidR="00262A1F" w:rsidRPr="00105CDB" w:rsidRDefault="00262A1F" w:rsidP="00403333">
      <w:pPr>
        <w:widowControl w:val="0"/>
        <w:tabs>
          <w:tab w:val="left" w:pos="284"/>
        </w:tabs>
        <w:spacing w:line="240" w:lineRule="atLeast"/>
        <w:ind w:left="284" w:hanging="284"/>
        <w:rPr>
          <w:lang w:val="el-GR"/>
        </w:rPr>
      </w:pPr>
      <w:r w:rsidRPr="00105CDB">
        <w:rPr>
          <w:i/>
          <w:lang w:val="el-GR"/>
        </w:rPr>
        <w:t>-</w:t>
      </w:r>
      <w:r w:rsidRPr="00105CDB">
        <w:rPr>
          <w:i/>
          <w:lang w:val="el-GR"/>
        </w:rPr>
        <w:tab/>
        <w:t>Γαστρεντερική τοξικότητα</w:t>
      </w:r>
      <w:r w:rsidRPr="00105CDB">
        <w:rPr>
          <w:lang w:val="el-GR"/>
        </w:rPr>
        <w:t>: κοιλιακό άλγος, διάρροια, έμετος.</w:t>
      </w:r>
    </w:p>
    <w:p w:rsidR="00262A1F" w:rsidRPr="00105CDB" w:rsidRDefault="00262A1F" w:rsidP="00403333">
      <w:pPr>
        <w:widowControl w:val="0"/>
        <w:tabs>
          <w:tab w:val="left" w:pos="284"/>
        </w:tabs>
        <w:spacing w:line="240" w:lineRule="atLeast"/>
        <w:ind w:left="284" w:hanging="284"/>
        <w:rPr>
          <w:lang w:val="el-GR"/>
        </w:rPr>
      </w:pPr>
      <w:r w:rsidRPr="00105CDB">
        <w:rPr>
          <w:i/>
          <w:lang w:val="el-GR"/>
        </w:rPr>
        <w:t>-</w:t>
      </w:r>
      <w:r w:rsidRPr="00105CDB">
        <w:rPr>
          <w:i/>
          <w:lang w:val="el-GR"/>
        </w:rPr>
        <w:tab/>
        <w:t>Νευροτοξικότητα</w:t>
      </w:r>
      <w:r w:rsidRPr="00105CDB">
        <w:rPr>
          <w:lang w:val="el-GR"/>
        </w:rPr>
        <w:t>: γενικευμένος τρόμος, σπασμοί.</w:t>
      </w:r>
    </w:p>
    <w:p w:rsidR="0091534A" w:rsidRPr="00105CDB" w:rsidRDefault="0091534A" w:rsidP="0091534A">
      <w:pPr>
        <w:rPr>
          <w:lang w:val="el-GR"/>
        </w:rPr>
      </w:pPr>
    </w:p>
    <w:p w:rsidR="0091534A" w:rsidRPr="00105CDB" w:rsidRDefault="0091534A" w:rsidP="0091534A">
      <w:pPr>
        <w:rPr>
          <w:lang w:val="el-GR"/>
        </w:rPr>
      </w:pPr>
    </w:p>
    <w:p w:rsidR="0091534A" w:rsidRPr="00105CDB" w:rsidRDefault="0091534A" w:rsidP="0049166C">
      <w:pPr>
        <w:ind w:left="567" w:hanging="567"/>
        <w:rPr>
          <w:lang w:val="el-GR"/>
        </w:rPr>
      </w:pPr>
      <w:r w:rsidRPr="00105CDB">
        <w:rPr>
          <w:b/>
          <w:lang w:val="el-GR"/>
        </w:rPr>
        <w:t>5.</w:t>
      </w:r>
      <w:r w:rsidRPr="00105CDB">
        <w:rPr>
          <w:b/>
          <w:lang w:val="el-GR"/>
        </w:rPr>
        <w:tab/>
        <w:t>ΦΑΡΜΑΚΟΛΟΓΙΚΕΣ ΙΔΙΟΤΗΤΕΣ</w:t>
      </w:r>
    </w:p>
    <w:p w:rsidR="0091534A" w:rsidRPr="00105CDB" w:rsidRDefault="0091534A" w:rsidP="0091534A">
      <w:pPr>
        <w:rPr>
          <w:lang w:val="el-GR"/>
        </w:rPr>
      </w:pPr>
    </w:p>
    <w:p w:rsidR="0091534A" w:rsidRPr="00105CDB" w:rsidRDefault="0091534A" w:rsidP="0049166C">
      <w:pPr>
        <w:ind w:left="567" w:hanging="567"/>
        <w:rPr>
          <w:lang w:val="el-GR"/>
        </w:rPr>
      </w:pPr>
      <w:r w:rsidRPr="00105CDB">
        <w:rPr>
          <w:b/>
          <w:lang w:val="el-GR"/>
        </w:rPr>
        <w:t>5.1</w:t>
      </w:r>
      <w:r w:rsidRPr="00105CDB">
        <w:rPr>
          <w:b/>
          <w:lang w:val="el-GR"/>
        </w:rPr>
        <w:tab/>
        <w:t>Φαρμακοδυναμικές ιδιότητες</w:t>
      </w:r>
    </w:p>
    <w:p w:rsidR="0091534A" w:rsidRPr="00105CDB" w:rsidRDefault="0091534A" w:rsidP="0091534A">
      <w:pPr>
        <w:rPr>
          <w:lang w:val="el-GR"/>
        </w:rPr>
      </w:pPr>
    </w:p>
    <w:p w:rsidR="00262A1F" w:rsidRPr="00105CDB" w:rsidRDefault="00262A1F" w:rsidP="00262A1F">
      <w:pPr>
        <w:widowControl w:val="0"/>
        <w:spacing w:line="240" w:lineRule="atLeast"/>
        <w:rPr>
          <w:lang w:val="el-GR"/>
        </w:rPr>
      </w:pPr>
      <w:r w:rsidRPr="00105CDB">
        <w:rPr>
          <w:lang w:val="el-GR"/>
        </w:rPr>
        <w:t>Φαρμακοθεραπευτική κατηγορία:</w:t>
      </w:r>
      <w:r w:rsidR="005C32D3" w:rsidRPr="00105CDB">
        <w:rPr>
          <w:lang w:val="el-GR"/>
        </w:rPr>
        <w:t xml:space="preserve"> </w:t>
      </w:r>
      <w:r w:rsidR="00336218" w:rsidRPr="00105CDB">
        <w:rPr>
          <w:lang w:val="el-GR"/>
        </w:rPr>
        <w:t>αντιϊικά για συστηματική χρήση, ν</w:t>
      </w:r>
      <w:r w:rsidR="005C32D3" w:rsidRPr="00105CDB">
        <w:rPr>
          <w:lang w:val="el-GR"/>
        </w:rPr>
        <w:t>ουκλεοσίδια και νουκλεοτίδια, εξαιρούνται οι αναστολείς της  ανάστροφης μεταγραφάσης</w:t>
      </w:r>
      <w:r w:rsidR="00336218" w:rsidRPr="00105CDB">
        <w:rPr>
          <w:lang w:val="el-GR"/>
        </w:rPr>
        <w:t>,</w:t>
      </w:r>
      <w:r w:rsidRPr="00105CDB">
        <w:rPr>
          <w:lang w:val="el-GR"/>
        </w:rPr>
        <w:t xml:space="preserve"> </w:t>
      </w:r>
      <w:r w:rsidR="00336218" w:rsidRPr="00105CDB">
        <w:rPr>
          <w:lang w:val="el-GR"/>
        </w:rPr>
        <w:t>κ</w:t>
      </w:r>
      <w:r w:rsidRPr="00105CDB">
        <w:rPr>
          <w:lang w:val="el-GR"/>
        </w:rPr>
        <w:t xml:space="preserve">ωδικός ATC: </w:t>
      </w:r>
      <w:r w:rsidRPr="00105CDB">
        <w:t>J</w:t>
      </w:r>
      <w:r w:rsidRPr="00105CDB">
        <w:rPr>
          <w:lang w:val="el-GR"/>
        </w:rPr>
        <w:t>05</w:t>
      </w:r>
      <w:r w:rsidRPr="00105CDB">
        <w:t>A</w:t>
      </w:r>
      <w:r w:rsidRPr="00105CDB">
        <w:rPr>
          <w:lang w:val="el-GR"/>
        </w:rPr>
        <w:t xml:space="preserve"> </w:t>
      </w:r>
      <w:r w:rsidRPr="00105CDB">
        <w:t>B</w:t>
      </w:r>
      <w:r w:rsidRPr="00105CDB">
        <w:rPr>
          <w:lang w:val="el-GR"/>
        </w:rPr>
        <w:t>14</w:t>
      </w:r>
      <w:r w:rsidR="005C32D3" w:rsidRPr="00105CDB">
        <w:rPr>
          <w:lang w:val="el-GR"/>
        </w:rPr>
        <w:t>.</w:t>
      </w:r>
    </w:p>
    <w:p w:rsidR="00262A1F" w:rsidRPr="00105CDB" w:rsidRDefault="00262A1F" w:rsidP="00262A1F">
      <w:pPr>
        <w:widowControl w:val="0"/>
        <w:spacing w:line="240" w:lineRule="atLeast"/>
        <w:ind w:left="1440"/>
        <w:rPr>
          <w:lang w:val="el-GR"/>
        </w:rPr>
      </w:pPr>
    </w:p>
    <w:p w:rsidR="00262A1F" w:rsidRPr="00105CDB" w:rsidRDefault="00262A1F" w:rsidP="00262A1F">
      <w:pPr>
        <w:widowControl w:val="0"/>
        <w:spacing w:line="240" w:lineRule="atLeast"/>
        <w:rPr>
          <w:u w:val="single"/>
          <w:lang w:val="el-GR"/>
        </w:rPr>
      </w:pPr>
      <w:r w:rsidRPr="00105CDB">
        <w:rPr>
          <w:u w:val="single"/>
          <w:lang w:val="el-GR"/>
        </w:rPr>
        <w:t>Μηχανισμός δράσης</w:t>
      </w:r>
    </w:p>
    <w:p w:rsidR="00262A1F" w:rsidRPr="00105CDB" w:rsidRDefault="00262A1F" w:rsidP="00262A1F">
      <w:pPr>
        <w:widowControl w:val="0"/>
        <w:spacing w:line="240" w:lineRule="atLeast"/>
        <w:rPr>
          <w:u w:val="single"/>
          <w:lang w:val="el-GR"/>
        </w:rPr>
      </w:pPr>
    </w:p>
    <w:p w:rsidR="00262A1F" w:rsidRPr="00105CDB" w:rsidRDefault="00262A1F" w:rsidP="00262A1F">
      <w:pPr>
        <w:widowControl w:val="0"/>
        <w:spacing w:line="240" w:lineRule="atLeast"/>
        <w:rPr>
          <w:i/>
          <w:u w:val="single"/>
          <w:lang w:val="el-GR"/>
        </w:rPr>
      </w:pPr>
      <w:r w:rsidRPr="00105CDB">
        <w:rPr>
          <w:lang w:val="el-GR"/>
        </w:rPr>
        <w:t xml:space="preserve">Η βαλγκανσικλοβίρη είναι ένας </w:t>
      </w:r>
      <w:r w:rsidRPr="00105CDB">
        <w:t>L</w:t>
      </w:r>
      <w:r w:rsidRPr="00105CDB">
        <w:rPr>
          <w:lang w:val="el-GR"/>
        </w:rPr>
        <w:t xml:space="preserve">-βαλυλεστέρας (προφάρμακο) της γκανσικλοβίρης. Μετά την από του στόματος χορήγηση, η βαλγκανσικλοβίρη μεταβολίζεται ταχέως και εκτεταμένως προς γκανσικλοβίρη από εστεράσες του εντέρου και του ήπατος. Η γκανσικλοβίρη είναι ένα συνθετικό ανάλογο της 2’-δεοξυγουανοσίνης, η οποία αναστέλλει, </w:t>
      </w:r>
      <w:r w:rsidRPr="00105CDB">
        <w:rPr>
          <w:i/>
        </w:rPr>
        <w:t>in</w:t>
      </w:r>
      <w:r w:rsidRPr="00105CDB">
        <w:rPr>
          <w:i/>
          <w:lang w:val="el-GR"/>
        </w:rPr>
        <w:t xml:space="preserve"> </w:t>
      </w:r>
      <w:r w:rsidRPr="00105CDB">
        <w:rPr>
          <w:i/>
        </w:rPr>
        <w:t>vitro</w:t>
      </w:r>
      <w:r w:rsidRPr="00105CDB">
        <w:rPr>
          <w:lang w:val="el-GR"/>
        </w:rPr>
        <w:t xml:space="preserve"> και </w:t>
      </w:r>
      <w:r w:rsidRPr="00105CDB">
        <w:rPr>
          <w:i/>
        </w:rPr>
        <w:t>in</w:t>
      </w:r>
      <w:r w:rsidRPr="00105CDB">
        <w:rPr>
          <w:i/>
          <w:lang w:val="el-GR"/>
        </w:rPr>
        <w:t xml:space="preserve"> </w:t>
      </w:r>
      <w:r w:rsidRPr="00105CDB">
        <w:rPr>
          <w:i/>
        </w:rPr>
        <w:t>vivo</w:t>
      </w:r>
      <w:r w:rsidRPr="00105CDB">
        <w:rPr>
          <w:lang w:val="el-GR"/>
        </w:rPr>
        <w:t>, την αναπαραγωγή των ερπητοϊών. Οι ευαίσθητοι ανθρώπινοι ιοί περιλαμβάνουν τον ανθρώπινο μεγαλοκυτταροϊό (</w:t>
      </w:r>
      <w:r w:rsidRPr="00105CDB">
        <w:t>HCMV</w:t>
      </w:r>
      <w:r w:rsidRPr="00105CDB">
        <w:rPr>
          <w:lang w:val="el-GR"/>
        </w:rPr>
        <w:t>), τον ιό του απλού έρπη -1 και -2 (</w:t>
      </w:r>
      <w:r w:rsidRPr="00105CDB">
        <w:t>HSV</w:t>
      </w:r>
      <w:r w:rsidRPr="00105CDB">
        <w:rPr>
          <w:lang w:val="el-GR"/>
        </w:rPr>
        <w:t xml:space="preserve">-1 και </w:t>
      </w:r>
      <w:r w:rsidRPr="00105CDB">
        <w:t>HSV</w:t>
      </w:r>
      <w:r w:rsidRPr="00105CDB">
        <w:rPr>
          <w:lang w:val="el-GR"/>
        </w:rPr>
        <w:t>-2), τον ανθρώπινο ιό έρπη -6, -7 και -8 (</w:t>
      </w:r>
      <w:r w:rsidRPr="00105CDB">
        <w:t>HHV</w:t>
      </w:r>
      <w:r w:rsidRPr="00105CDB">
        <w:rPr>
          <w:lang w:val="el-GR"/>
        </w:rPr>
        <w:t xml:space="preserve">-6, </w:t>
      </w:r>
      <w:r w:rsidRPr="00105CDB">
        <w:t>HHV</w:t>
      </w:r>
      <w:r w:rsidRPr="00105CDB">
        <w:rPr>
          <w:lang w:val="el-GR"/>
        </w:rPr>
        <w:t xml:space="preserve">-7, </w:t>
      </w:r>
      <w:r w:rsidRPr="00105CDB">
        <w:t>HHV</w:t>
      </w:r>
      <w:r w:rsidRPr="00105CDB">
        <w:rPr>
          <w:lang w:val="el-GR"/>
        </w:rPr>
        <w:t xml:space="preserve">8), τον ιό </w:t>
      </w:r>
      <w:r w:rsidRPr="00105CDB">
        <w:t>Epstein</w:t>
      </w:r>
      <w:r w:rsidRPr="00105CDB">
        <w:rPr>
          <w:lang w:val="el-GR"/>
        </w:rPr>
        <w:t>-</w:t>
      </w:r>
      <w:r w:rsidRPr="00105CDB">
        <w:t>Barr</w:t>
      </w:r>
      <w:r w:rsidRPr="00105CDB">
        <w:rPr>
          <w:lang w:val="el-GR"/>
        </w:rPr>
        <w:t xml:space="preserve"> (</w:t>
      </w:r>
      <w:r w:rsidRPr="00105CDB">
        <w:t>EBV</w:t>
      </w:r>
      <w:r w:rsidRPr="00105CDB">
        <w:rPr>
          <w:lang w:val="el-GR"/>
        </w:rPr>
        <w:t>), τον ιό ανεμε</w:t>
      </w:r>
      <w:r w:rsidR="00E72BC9" w:rsidRPr="00105CDB">
        <w:rPr>
          <w:lang w:val="el-GR"/>
        </w:rPr>
        <w:t>β</w:t>
      </w:r>
      <w:r w:rsidRPr="00105CDB">
        <w:rPr>
          <w:lang w:val="el-GR"/>
        </w:rPr>
        <w:t>λογιάς-ζωστήρα (</w:t>
      </w:r>
      <w:r w:rsidRPr="00105CDB">
        <w:t>VZV</w:t>
      </w:r>
      <w:r w:rsidRPr="00105CDB">
        <w:rPr>
          <w:lang w:val="el-GR"/>
        </w:rPr>
        <w:t xml:space="preserve">) και τον ιό της ηπατίτιδας </w:t>
      </w:r>
      <w:r w:rsidRPr="00105CDB">
        <w:t>B</w:t>
      </w:r>
      <w:r w:rsidRPr="00105CDB">
        <w:rPr>
          <w:lang w:val="el-GR"/>
        </w:rPr>
        <w:t xml:space="preserve">. </w:t>
      </w:r>
    </w:p>
    <w:p w:rsidR="00262A1F" w:rsidRPr="00105CDB" w:rsidRDefault="00262A1F" w:rsidP="00262A1F">
      <w:pPr>
        <w:widowControl w:val="0"/>
        <w:spacing w:line="240" w:lineRule="atLeast"/>
        <w:rPr>
          <w:lang w:val="el-GR"/>
        </w:rPr>
      </w:pPr>
    </w:p>
    <w:p w:rsidR="00262A1F" w:rsidRPr="00105CDB" w:rsidRDefault="00262A1F" w:rsidP="00262A1F">
      <w:pPr>
        <w:widowControl w:val="0"/>
        <w:spacing w:line="240" w:lineRule="atLeast"/>
        <w:rPr>
          <w:lang w:val="el-GR"/>
        </w:rPr>
      </w:pPr>
      <w:r w:rsidRPr="00105CDB">
        <w:rPr>
          <w:lang w:val="el-GR"/>
        </w:rPr>
        <w:t xml:space="preserve">Σε κύτταρα με λοίμωξη από </w:t>
      </w:r>
      <w:r w:rsidRPr="00105CDB">
        <w:t>CMV</w:t>
      </w:r>
      <w:r w:rsidRPr="00105CDB">
        <w:rPr>
          <w:lang w:val="el-GR"/>
        </w:rPr>
        <w:t xml:space="preserve">, η γκανσικλοβίρη αρχικώς φωσφορυλιώνεται προς μονοφωσφορική γκανσικλοβίρη από την ιική πρωτεϊνική κινάση, </w:t>
      </w:r>
      <w:proofErr w:type="spellStart"/>
      <w:r w:rsidRPr="00105CDB">
        <w:t>pUL</w:t>
      </w:r>
      <w:proofErr w:type="spellEnd"/>
      <w:r w:rsidRPr="00105CDB">
        <w:rPr>
          <w:lang w:val="el-GR"/>
        </w:rPr>
        <w:t xml:space="preserve">97. Περαιτέρω φωσφορυλίωση λαμβάνει χώρα από κυτταρικές κινάσες προς δημιουργία τριφωσφορκής γκανσικλοβίρης, η οποία μεταβολίζεται κατόπιν βραδέως, ενδοκυτταρικά. Ο μεταβολισμός προς τριφωσφορκή γκανσικλοβίρη έχει καταδειχθεί </w:t>
      </w:r>
      <w:r w:rsidRPr="00105CDB">
        <w:rPr>
          <w:snapToGrid w:val="0"/>
          <w:lang w:val="el-GR" w:eastAsia="en-US"/>
        </w:rPr>
        <w:t xml:space="preserve">ότι λαμβάνει χώρα σε κύτταρα με λοίμωξη </w:t>
      </w:r>
      <w:r w:rsidRPr="00105CDB">
        <w:rPr>
          <w:snapToGrid w:val="0"/>
          <w:lang w:eastAsia="en-US"/>
        </w:rPr>
        <w:t>HSV</w:t>
      </w:r>
      <w:r w:rsidRPr="00105CDB">
        <w:rPr>
          <w:snapToGrid w:val="0"/>
          <w:lang w:val="el-GR" w:eastAsia="en-US"/>
        </w:rPr>
        <w:t xml:space="preserve"> και </w:t>
      </w:r>
      <w:r w:rsidRPr="00105CDB">
        <w:rPr>
          <w:snapToGrid w:val="0"/>
          <w:lang w:eastAsia="en-US"/>
        </w:rPr>
        <w:t>HCMV</w:t>
      </w:r>
      <w:r w:rsidRPr="00105CDB">
        <w:rPr>
          <w:snapToGrid w:val="0"/>
          <w:lang w:val="el-GR" w:eastAsia="en-US"/>
        </w:rPr>
        <w:t xml:space="preserve"> με ημιπεριόδους ζωής, αντίστοιχα, 18 και μεταξύ 6 και 24 ωρών μετά την απομάκρυνση της εξωκυτταρικής γκανσικλοβίρης</w:t>
      </w:r>
      <w:r w:rsidRPr="00105CDB">
        <w:rPr>
          <w:lang w:val="el-GR"/>
        </w:rPr>
        <w:t>. Επειδή η φωσφορυλίωση εξαρτάται σε μεγάλο βαθμό από την ιική κινάση, η φωσφορυλίωση της γκανσικλοβίρης λαμβάνει χώρα κατά προτίμηση σε κύτταρα με ιική λοίμωξη.</w:t>
      </w:r>
    </w:p>
    <w:p w:rsidR="00262A1F" w:rsidRPr="00105CDB" w:rsidRDefault="00262A1F" w:rsidP="00262A1F">
      <w:pPr>
        <w:widowControl w:val="0"/>
        <w:spacing w:line="240" w:lineRule="atLeast"/>
        <w:ind w:left="1440"/>
        <w:rPr>
          <w:lang w:val="el-GR"/>
        </w:rPr>
      </w:pPr>
    </w:p>
    <w:p w:rsidR="00262A1F" w:rsidRPr="00105CDB" w:rsidRDefault="00262A1F" w:rsidP="00262A1F">
      <w:pPr>
        <w:widowControl w:val="0"/>
        <w:spacing w:line="240" w:lineRule="atLeast"/>
        <w:rPr>
          <w:lang w:val="el-GR"/>
        </w:rPr>
      </w:pPr>
      <w:r w:rsidRPr="00105CDB">
        <w:rPr>
          <w:lang w:val="el-GR"/>
        </w:rPr>
        <w:t xml:space="preserve">Η ιοστατική δραστικότητα της γκανσικλοβίρης οφείλεται σε αναστολή της σύνθεσης του ιικού </w:t>
      </w:r>
      <w:r w:rsidRPr="00105CDB">
        <w:t>DNA</w:t>
      </w:r>
      <w:r w:rsidRPr="00105CDB">
        <w:rPr>
          <w:lang w:val="el-GR"/>
        </w:rPr>
        <w:t xml:space="preserve"> μέσω: (α) ανταγωνιστικής αναστολής της ενσωμάτωσης της τριφωσφορικής δεοξυγουανοσίνης στο </w:t>
      </w:r>
      <w:r w:rsidRPr="00105CDB">
        <w:t>DNA</w:t>
      </w:r>
      <w:r w:rsidRPr="00105CDB">
        <w:rPr>
          <w:lang w:val="el-GR"/>
        </w:rPr>
        <w:t xml:space="preserve"> από την πολυμεράση του ιικού </w:t>
      </w:r>
      <w:r w:rsidRPr="00105CDB">
        <w:t>DNA</w:t>
      </w:r>
      <w:r w:rsidRPr="00105CDB">
        <w:rPr>
          <w:lang w:val="el-GR"/>
        </w:rPr>
        <w:t xml:space="preserve"> και (β) ενσωμάτωσης της τριφωσφορικής γκανσικλοβίρης στο ιικό </w:t>
      </w:r>
      <w:r w:rsidRPr="00105CDB">
        <w:t>DNA</w:t>
      </w:r>
      <w:r w:rsidRPr="00105CDB">
        <w:rPr>
          <w:lang w:val="el-GR"/>
        </w:rPr>
        <w:t xml:space="preserve">, η οποία προκαλεί διακοπή της περαιτέρω επιμήκυνσης του ιικού </w:t>
      </w:r>
      <w:r w:rsidRPr="00105CDB">
        <w:t>DNA</w:t>
      </w:r>
      <w:r w:rsidRPr="00105CDB">
        <w:rPr>
          <w:lang w:val="el-GR"/>
        </w:rPr>
        <w:t xml:space="preserve"> ή περιορισμό της σε μεγάλο βαθμό.</w:t>
      </w:r>
    </w:p>
    <w:p w:rsidR="00262A1F" w:rsidRPr="00105CDB" w:rsidRDefault="00262A1F" w:rsidP="00262A1F">
      <w:pPr>
        <w:widowControl w:val="0"/>
        <w:spacing w:line="240" w:lineRule="atLeast"/>
        <w:rPr>
          <w:u w:val="single"/>
          <w:lang w:val="el-GR"/>
        </w:rPr>
      </w:pPr>
    </w:p>
    <w:p w:rsidR="00262A1F" w:rsidRPr="00105CDB" w:rsidRDefault="00262A1F" w:rsidP="00262A1F">
      <w:pPr>
        <w:widowControl w:val="0"/>
        <w:spacing w:line="240" w:lineRule="atLeast"/>
        <w:rPr>
          <w:u w:val="single"/>
          <w:lang w:val="el-GR"/>
        </w:rPr>
      </w:pPr>
      <w:r w:rsidRPr="00105CDB">
        <w:rPr>
          <w:u w:val="single"/>
          <w:lang w:val="el-GR"/>
        </w:rPr>
        <w:t>Αντιική δραστικότητα</w:t>
      </w:r>
    </w:p>
    <w:p w:rsidR="00262A1F" w:rsidRPr="00105CDB" w:rsidRDefault="00262A1F" w:rsidP="00262A1F">
      <w:pPr>
        <w:widowControl w:val="0"/>
        <w:spacing w:line="240" w:lineRule="atLeast"/>
        <w:rPr>
          <w:lang w:val="el-GR"/>
        </w:rPr>
      </w:pPr>
    </w:p>
    <w:p w:rsidR="00262A1F" w:rsidRPr="00105CDB" w:rsidRDefault="00262A1F" w:rsidP="00262A1F">
      <w:pPr>
        <w:widowControl w:val="0"/>
        <w:spacing w:line="240" w:lineRule="atLeast"/>
        <w:rPr>
          <w:lang w:val="el-GR"/>
        </w:rPr>
      </w:pPr>
      <w:r w:rsidRPr="00105CDB">
        <w:rPr>
          <w:lang w:val="el-GR"/>
        </w:rPr>
        <w:t xml:space="preserve">Η </w:t>
      </w:r>
      <w:r w:rsidRPr="00105CDB">
        <w:rPr>
          <w:i/>
        </w:rPr>
        <w:t>in</w:t>
      </w:r>
      <w:r w:rsidRPr="00105CDB">
        <w:rPr>
          <w:i/>
          <w:lang w:val="el-GR"/>
        </w:rPr>
        <w:t xml:space="preserve"> </w:t>
      </w:r>
      <w:r w:rsidRPr="00105CDB">
        <w:rPr>
          <w:i/>
        </w:rPr>
        <w:t>vitro</w:t>
      </w:r>
      <w:r w:rsidRPr="00105CDB">
        <w:rPr>
          <w:lang w:val="el-GR"/>
        </w:rPr>
        <w:t xml:space="preserve"> αντιική δραστικότητα, μετρηθείσα ως </w:t>
      </w:r>
      <w:r w:rsidRPr="00105CDB">
        <w:t>IC</w:t>
      </w:r>
      <w:r w:rsidRPr="00105CDB">
        <w:rPr>
          <w:vertAlign w:val="subscript"/>
          <w:lang w:val="el-GR"/>
        </w:rPr>
        <w:t>50</w:t>
      </w:r>
      <w:r w:rsidRPr="00105CDB">
        <w:rPr>
          <w:lang w:val="el-GR"/>
        </w:rPr>
        <w:t xml:space="preserve"> της γκανσικλοβίρης έναντι του </w:t>
      </w:r>
      <w:r w:rsidRPr="00105CDB">
        <w:t>CMV</w:t>
      </w:r>
      <w:r w:rsidRPr="00105CDB">
        <w:rPr>
          <w:lang w:val="el-GR"/>
        </w:rPr>
        <w:t xml:space="preserve">, κυμαίνεται μεταξύ </w:t>
      </w:r>
      <w:r w:rsidRPr="00105CDB">
        <w:rPr>
          <w:snapToGrid w:val="0"/>
          <w:lang w:val="el-GR" w:eastAsia="en-US"/>
        </w:rPr>
        <w:t>0,08 μ</w:t>
      </w:r>
      <w:r w:rsidRPr="00105CDB">
        <w:rPr>
          <w:snapToGrid w:val="0"/>
          <w:lang w:eastAsia="en-US"/>
        </w:rPr>
        <w:t>M</w:t>
      </w:r>
      <w:r w:rsidRPr="00105CDB">
        <w:rPr>
          <w:snapToGrid w:val="0"/>
          <w:lang w:val="el-GR" w:eastAsia="en-US"/>
        </w:rPr>
        <w:t xml:space="preserve"> (0,02 μ</w:t>
      </w:r>
      <w:r w:rsidRPr="00105CDB">
        <w:rPr>
          <w:snapToGrid w:val="0"/>
          <w:lang w:eastAsia="en-US"/>
        </w:rPr>
        <w:t>g</w:t>
      </w:r>
      <w:r w:rsidRPr="00105CDB">
        <w:rPr>
          <w:snapToGrid w:val="0"/>
          <w:lang w:val="el-GR" w:eastAsia="en-US"/>
        </w:rPr>
        <w:t>/</w:t>
      </w:r>
      <w:r w:rsidRPr="00105CDB">
        <w:rPr>
          <w:snapToGrid w:val="0"/>
          <w:lang w:eastAsia="en-US"/>
        </w:rPr>
        <w:t>m</w:t>
      </w:r>
      <w:r w:rsidR="00D87D96" w:rsidRPr="00105CDB">
        <w:rPr>
          <w:snapToGrid w:val="0"/>
          <w:lang w:eastAsia="en-US"/>
        </w:rPr>
        <w:t>l</w:t>
      </w:r>
      <w:r w:rsidRPr="00105CDB">
        <w:rPr>
          <w:snapToGrid w:val="0"/>
          <w:lang w:val="el-GR" w:eastAsia="en-US"/>
        </w:rPr>
        <w:t>) και 14 μ</w:t>
      </w:r>
      <w:r w:rsidRPr="00105CDB">
        <w:rPr>
          <w:snapToGrid w:val="0"/>
          <w:lang w:eastAsia="en-US"/>
        </w:rPr>
        <w:t>M</w:t>
      </w:r>
      <w:r w:rsidRPr="00105CDB">
        <w:rPr>
          <w:snapToGrid w:val="0"/>
          <w:lang w:val="el-GR" w:eastAsia="en-US"/>
        </w:rPr>
        <w:t xml:space="preserve"> (3,5 μ</w:t>
      </w:r>
      <w:r w:rsidRPr="00105CDB">
        <w:rPr>
          <w:snapToGrid w:val="0"/>
          <w:lang w:eastAsia="en-US"/>
        </w:rPr>
        <w:t>g</w:t>
      </w:r>
      <w:r w:rsidRPr="00105CDB">
        <w:rPr>
          <w:snapToGrid w:val="0"/>
          <w:lang w:val="el-GR" w:eastAsia="en-US"/>
        </w:rPr>
        <w:t>/</w:t>
      </w:r>
      <w:r w:rsidRPr="00105CDB">
        <w:rPr>
          <w:snapToGrid w:val="0"/>
          <w:lang w:eastAsia="en-US"/>
        </w:rPr>
        <w:t>m</w:t>
      </w:r>
      <w:r w:rsidR="00D87D96" w:rsidRPr="00105CDB">
        <w:rPr>
          <w:snapToGrid w:val="0"/>
          <w:lang w:eastAsia="en-US"/>
        </w:rPr>
        <w:t>l</w:t>
      </w:r>
      <w:r w:rsidRPr="00105CDB">
        <w:rPr>
          <w:snapToGrid w:val="0"/>
          <w:lang w:val="el-GR" w:eastAsia="en-US"/>
        </w:rPr>
        <w:t>)</w:t>
      </w:r>
      <w:r w:rsidRPr="00105CDB">
        <w:rPr>
          <w:lang w:val="el-GR"/>
        </w:rPr>
        <w:t>.</w:t>
      </w:r>
    </w:p>
    <w:p w:rsidR="00262A1F" w:rsidRPr="00105CDB" w:rsidRDefault="00262A1F" w:rsidP="00262A1F">
      <w:pPr>
        <w:widowControl w:val="0"/>
        <w:spacing w:line="240" w:lineRule="atLeast"/>
        <w:ind w:left="1440"/>
        <w:rPr>
          <w:i/>
          <w:u w:val="single"/>
          <w:lang w:val="el-GR"/>
        </w:rPr>
      </w:pPr>
    </w:p>
    <w:p w:rsidR="00262A1F" w:rsidRPr="00105CDB" w:rsidRDefault="00262A1F" w:rsidP="00262A1F">
      <w:pPr>
        <w:widowControl w:val="0"/>
        <w:spacing w:line="240" w:lineRule="atLeast"/>
        <w:rPr>
          <w:u w:val="single"/>
          <w:lang w:val="el-GR"/>
        </w:rPr>
      </w:pPr>
      <w:r w:rsidRPr="00105CDB">
        <w:rPr>
          <w:lang w:val="el-GR"/>
        </w:rPr>
        <w:t xml:space="preserve">Η κλινική αντιική δράση του </w:t>
      </w:r>
      <w:proofErr w:type="spellStart"/>
      <w:r w:rsidRPr="00105CDB">
        <w:t>Valcyte</w:t>
      </w:r>
      <w:proofErr w:type="spellEnd"/>
      <w:r w:rsidRPr="00105CDB">
        <w:rPr>
          <w:lang w:val="el-GR"/>
        </w:rPr>
        <w:t xml:space="preserve"> έχει καταδειχθεί κατά την αγωγή ασθενών με </w:t>
      </w:r>
      <w:r w:rsidRPr="00105CDB">
        <w:t>AIDS</w:t>
      </w:r>
      <w:r w:rsidRPr="00105CDB">
        <w:rPr>
          <w:lang w:val="el-GR"/>
        </w:rPr>
        <w:t xml:space="preserve"> με πρόσφατα διεγνωσμένη αμφιβληστροειδίτιδα από CMV. Η ελευθέρωση </w:t>
      </w:r>
      <w:r w:rsidRPr="00105CDB">
        <w:t>CMV</w:t>
      </w:r>
      <w:r w:rsidRPr="00105CDB">
        <w:rPr>
          <w:lang w:val="el-GR"/>
        </w:rPr>
        <w:t xml:space="preserve"> στα ούρα μειώθηκε, από 46% (32/69) των ασθενών κατά την ένταξή τους στη μελέτη, σε 7% (4/55) των ασθενών μετά από τέσσερις εβδομάδες αγωγής με </w:t>
      </w:r>
      <w:proofErr w:type="spellStart"/>
      <w:r w:rsidRPr="00105CDB">
        <w:t>Valcyte</w:t>
      </w:r>
      <w:proofErr w:type="spellEnd"/>
      <w:r w:rsidRPr="00105CDB">
        <w:rPr>
          <w:lang w:val="el-GR"/>
        </w:rPr>
        <w:t>.</w:t>
      </w:r>
    </w:p>
    <w:p w:rsidR="00262A1F" w:rsidRPr="00105CDB" w:rsidRDefault="00262A1F" w:rsidP="00262A1F">
      <w:pPr>
        <w:pStyle w:val="a8"/>
        <w:widowControl w:val="0"/>
        <w:tabs>
          <w:tab w:val="clear" w:pos="567"/>
        </w:tabs>
        <w:spacing w:line="240" w:lineRule="atLeast"/>
        <w:rPr>
          <w:lang w:val="el-GR"/>
        </w:rPr>
      </w:pPr>
    </w:p>
    <w:p w:rsidR="00262A1F" w:rsidRPr="00105CDB" w:rsidRDefault="00262A1F" w:rsidP="00262A1F">
      <w:pPr>
        <w:widowControl w:val="0"/>
        <w:spacing w:line="240" w:lineRule="atLeast"/>
        <w:rPr>
          <w:u w:val="single"/>
          <w:lang w:val="el-GR"/>
        </w:rPr>
      </w:pPr>
      <w:r w:rsidRPr="00105CDB">
        <w:rPr>
          <w:u w:val="single"/>
          <w:lang w:val="el-GR"/>
        </w:rPr>
        <w:t>Κλινική αποτελεσματικότητα</w:t>
      </w:r>
      <w:r w:rsidR="00EB4829" w:rsidRPr="00105CDB">
        <w:rPr>
          <w:noProof/>
          <w:u w:val="single"/>
          <w:lang w:val="el-GR"/>
        </w:rPr>
        <w:t xml:space="preserve"> και ασφάλεια</w:t>
      </w:r>
    </w:p>
    <w:p w:rsidR="00262A1F" w:rsidRPr="00105CDB" w:rsidRDefault="00262A1F" w:rsidP="00262A1F">
      <w:pPr>
        <w:widowControl w:val="0"/>
        <w:spacing w:line="240" w:lineRule="atLeast"/>
        <w:rPr>
          <w:lang w:val="el-GR"/>
        </w:rPr>
      </w:pPr>
    </w:p>
    <w:p w:rsidR="00336218" w:rsidRPr="00105CDB" w:rsidRDefault="00336218" w:rsidP="00262A1F">
      <w:pPr>
        <w:widowControl w:val="0"/>
        <w:spacing w:line="240" w:lineRule="atLeast"/>
        <w:rPr>
          <w:u w:val="single"/>
          <w:lang w:val="el-GR"/>
        </w:rPr>
      </w:pPr>
      <w:r w:rsidRPr="00105CDB">
        <w:rPr>
          <w:u w:val="single"/>
          <w:lang w:val="el-GR"/>
        </w:rPr>
        <w:t>Ενήλικες ασθενείς</w:t>
      </w:r>
    </w:p>
    <w:p w:rsidR="00336218" w:rsidRPr="00105CDB" w:rsidRDefault="00336218" w:rsidP="00262A1F">
      <w:pPr>
        <w:widowControl w:val="0"/>
        <w:spacing w:line="240" w:lineRule="atLeast"/>
        <w:rPr>
          <w:u w:val="single"/>
          <w:lang w:val="el-GR"/>
        </w:rPr>
      </w:pPr>
    </w:p>
    <w:p w:rsidR="00262A1F" w:rsidRPr="00105CDB" w:rsidRDefault="00262A1F" w:rsidP="00262A1F">
      <w:pPr>
        <w:widowControl w:val="0"/>
        <w:spacing w:line="240" w:lineRule="atLeast"/>
        <w:rPr>
          <w:i/>
          <w:lang w:val="el-GR"/>
        </w:rPr>
      </w:pPr>
      <w:r w:rsidRPr="00105CDB">
        <w:rPr>
          <w:i/>
          <w:lang w:val="el-GR"/>
        </w:rPr>
        <w:t>Αγωγή στην αμφιβληστροειδίτιδα από CMV:</w:t>
      </w:r>
    </w:p>
    <w:p w:rsidR="00262A1F" w:rsidRPr="00105CDB" w:rsidRDefault="00262A1F" w:rsidP="00262A1F">
      <w:pPr>
        <w:widowControl w:val="0"/>
        <w:spacing w:line="240" w:lineRule="atLeast"/>
        <w:rPr>
          <w:lang w:val="el-GR"/>
        </w:rPr>
      </w:pPr>
      <w:r w:rsidRPr="00105CDB">
        <w:rPr>
          <w:lang w:val="el-GR"/>
        </w:rPr>
        <w:t>Σε μία μελέτη τυχαιοποιήθηκαν ασθενείς με πρόσφατα διεγνωσμένη αμφιβληστροειδίτιδα από CMV, ώστε να λάβουν αγωγή εφόδου είτε με Valcyte 900 mg δύο φορές την ημέρα ή με ενδοφλέβια γκανσικλοβίρη 5 mg/kg δύο φορές την ημέρα. Το ποσοστό ασθενών που εμφάνισε εξέλιξη της αμφιβληστροειδίτιδας από CMV επιβεβαιωμένη με φωτογραφίες την 4η εβδομάδα, ήταν συγκρίσιμο και για τις δύο ομάδες αγωγής, με 7/70 και 7/71 εξελισσόμενους ασθενείς στο σκέλος της ενδοφλέβιας γκανσικλοβίρης και της βαλγκανσικλοβίρης, αντίστοιχα.</w:t>
      </w:r>
    </w:p>
    <w:p w:rsidR="00262A1F" w:rsidRPr="00105CDB" w:rsidRDefault="00262A1F" w:rsidP="00262A1F">
      <w:pPr>
        <w:widowControl w:val="0"/>
        <w:spacing w:line="240" w:lineRule="atLeast"/>
        <w:ind w:left="1440"/>
        <w:rPr>
          <w:lang w:val="el-GR"/>
        </w:rPr>
      </w:pPr>
    </w:p>
    <w:p w:rsidR="00262A1F" w:rsidRPr="00105CDB" w:rsidRDefault="00262A1F" w:rsidP="00262A1F">
      <w:pPr>
        <w:widowControl w:val="0"/>
        <w:spacing w:line="240" w:lineRule="atLeast"/>
        <w:rPr>
          <w:lang w:val="el-GR"/>
        </w:rPr>
      </w:pPr>
      <w:r w:rsidRPr="00105CDB">
        <w:rPr>
          <w:lang w:val="el-GR"/>
        </w:rPr>
        <w:t xml:space="preserve">Στη μελέτη αυτή, όλοι οι ασθενείς έλαβαν, μετά τη δόση εφόδου, αγωγή συντήρησης με </w:t>
      </w:r>
      <w:proofErr w:type="spellStart"/>
      <w:r w:rsidRPr="00105CDB">
        <w:t>Valcyte</w:t>
      </w:r>
      <w:proofErr w:type="spellEnd"/>
      <w:r w:rsidRPr="00105CDB">
        <w:rPr>
          <w:lang w:val="el-GR"/>
        </w:rPr>
        <w:t xml:space="preserve"> σε δόση 900 </w:t>
      </w:r>
      <w:r w:rsidRPr="00105CDB">
        <w:t>mg</w:t>
      </w:r>
      <w:r w:rsidRPr="00105CDB">
        <w:rPr>
          <w:lang w:val="el-GR"/>
        </w:rPr>
        <w:t xml:space="preserve"> </w:t>
      </w:r>
      <w:r w:rsidR="003F6686" w:rsidRPr="00105CDB">
        <w:rPr>
          <w:lang w:val="el-GR"/>
        </w:rPr>
        <w:t xml:space="preserve">μία φορά </w:t>
      </w:r>
      <w:r w:rsidRPr="00105CDB">
        <w:rPr>
          <w:lang w:val="el-GR"/>
        </w:rPr>
        <w:t xml:space="preserve">ημερησίως. Ο μέσος (διάμεσος) χρόνος από την τυχαιοποίηση έως την εξέλιξη της αμφιβληστροειδίτιδας από </w:t>
      </w:r>
      <w:r w:rsidRPr="00105CDB">
        <w:t>CMV</w:t>
      </w:r>
      <w:r w:rsidRPr="00105CDB">
        <w:rPr>
          <w:lang w:val="el-GR"/>
        </w:rPr>
        <w:t xml:space="preserve"> ανήλθε, στην ομάδα που λάμβανε αγωγή εφόδου και συντήρησης με </w:t>
      </w:r>
      <w:proofErr w:type="spellStart"/>
      <w:r w:rsidRPr="00105CDB">
        <w:t>Valcyte</w:t>
      </w:r>
      <w:proofErr w:type="spellEnd"/>
      <w:r w:rsidRPr="00105CDB">
        <w:rPr>
          <w:lang w:val="el-GR"/>
        </w:rPr>
        <w:t xml:space="preserve">, σε 226 (160) ημέρες, ενώ στην ομάδα που λάμβανε αγωγή εφόδου με ενδοφλέβια γκανσικλοβίρη και αγωγή συντήρησης με </w:t>
      </w:r>
      <w:proofErr w:type="spellStart"/>
      <w:r w:rsidRPr="00105CDB">
        <w:t>Valcyte</w:t>
      </w:r>
      <w:proofErr w:type="spellEnd"/>
      <w:r w:rsidRPr="00105CDB">
        <w:rPr>
          <w:lang w:val="el-GR"/>
        </w:rPr>
        <w:t xml:space="preserve">, σε 219 (125) ημέρες. </w:t>
      </w:r>
    </w:p>
    <w:p w:rsidR="00262A1F" w:rsidRPr="00105CDB" w:rsidRDefault="00262A1F" w:rsidP="00262A1F">
      <w:pPr>
        <w:widowControl w:val="0"/>
        <w:spacing w:line="240" w:lineRule="atLeast"/>
        <w:ind w:left="1440"/>
        <w:rPr>
          <w:lang w:val="el-GR"/>
        </w:rPr>
      </w:pPr>
    </w:p>
    <w:p w:rsidR="00262A1F" w:rsidRPr="00105CDB" w:rsidRDefault="00262A1F" w:rsidP="00262A1F">
      <w:pPr>
        <w:widowControl w:val="0"/>
        <w:spacing w:line="240" w:lineRule="atLeast"/>
        <w:rPr>
          <w:i/>
          <w:lang w:val="el-GR"/>
        </w:rPr>
      </w:pPr>
      <w:r w:rsidRPr="00105CDB">
        <w:rPr>
          <w:i/>
          <w:lang w:val="el-GR"/>
        </w:rPr>
        <w:t>Πρόληψη της νόσου από CMV στη μεταμόσχευση:</w:t>
      </w:r>
    </w:p>
    <w:p w:rsidR="00262A1F" w:rsidRPr="00105CDB" w:rsidRDefault="00262A1F" w:rsidP="00262A1F">
      <w:pPr>
        <w:pStyle w:val="20"/>
        <w:ind w:left="0" w:firstLine="0"/>
      </w:pPr>
      <w:r w:rsidRPr="00105CDB">
        <w:t>Έχει διενεργηθεί μία διπλά τυφλή μελέτη, με διπλό εικονικό, συγκριτικό με το δραστικό, φάρμακο, σε λήπτες καρδιακού, ηπατικού και νεφρικού μοσχεύματος (δεν συμπεριλαμβάνονταν λήπτες πνευμονικού και γαστρεντερικού μοσχεύματος), οι οποίοι διέτρεχαν υψηλό κίνδυνο για νόσο CMV (D+/R-) και λάμβαναν είτε Valcyte (900 mg μία φορά την ημέρα) ή από του στόματος γκανσικλοβίρη (1000 mg τρεις φορές την ημέρα) αρχίζοντας εντός 10 ημερών από τη μεταμόσχευση έως την Ημέρα 100 μετά την μεταμόσχευση. Κατά τους πρώτους 6 μήνες μετά την μεταμόσχευση, η συχνότητα εμφάνισης της νόσου CMV (σύνδρομο CMV + διηθητική νόσος ιστών) ήταν 12,1% στο σκέλος του Valcyte (n=239), συγκριτικά με 15,2% στο σκέλος της από του στόματος γκανσικλοβίρης (n=125). Στη μεγάλη τους πλειονότητα οι περιπτώσεις παρατηρήθηκαν μετά τον τερματισμό της προφυλακτικής αγωγής (μετά την Ημέρα 100), με τις περιπτώσεις στο σκέλος της βαλγκανσικλοβίρης να παρατηρούνται κατά μέσο όρο αργότερα από εκείνες στο σκέλος της από του στόματος γκανσικλοβίρης. Η συχνότητα εμφάνισης οξείας απόρριψης στους πρώτους 6 μήνες ήταν 29,7% στους ασθενείς που είχαν τυχαιοποιηθεί στη βαλγκανσικλοβίρη συγκριτικά με 36,0% στο σκέλος της από του στόματος γκανσικλοβίρης, με ισοδύναμη συχνότητα απώλειας μοσχεύματος, παρατηρούμενη σε 0,8% των ασθενών σε κάθε σκέλος.</w:t>
      </w:r>
    </w:p>
    <w:p w:rsidR="00AC6486" w:rsidRPr="00105CDB" w:rsidRDefault="00AC6486" w:rsidP="00262A1F">
      <w:pPr>
        <w:pStyle w:val="20"/>
        <w:ind w:left="0" w:firstLine="0"/>
      </w:pPr>
    </w:p>
    <w:p w:rsidR="00AC6486" w:rsidRPr="00105CDB" w:rsidRDefault="00AC6486" w:rsidP="00262A1F">
      <w:pPr>
        <w:pStyle w:val="20"/>
        <w:ind w:left="0" w:firstLine="0"/>
      </w:pPr>
      <w:r w:rsidRPr="00105CDB">
        <w:t>Έχει διενεργηθεί μία διπλά τυφλή, ελεγχόμενη με εικονικό φάρμακο μελ</w:t>
      </w:r>
      <w:r w:rsidR="00224B44" w:rsidRPr="00105CDB">
        <w:t>έτη σε 326 λήπτες νεφρικού</w:t>
      </w:r>
      <w:r w:rsidRPr="00105CDB">
        <w:t xml:space="preserve"> μοσχεύματος</w:t>
      </w:r>
      <w:r w:rsidR="00F659C0" w:rsidRPr="00105CDB">
        <w:t xml:space="preserve"> οι οποίοι διέτρεχαν υψηλό κίνδυνο για νόσο CMV</w:t>
      </w:r>
      <w:r w:rsidR="0058100C" w:rsidRPr="00105CDB">
        <w:t xml:space="preserve"> (D+/R-)</w:t>
      </w:r>
      <w:r w:rsidR="007A65FA" w:rsidRPr="00105CDB">
        <w:t xml:space="preserve"> για να αξιολογηθεί η</w:t>
      </w:r>
      <w:r w:rsidR="003B29CD" w:rsidRPr="00105CDB">
        <w:t xml:space="preserve"> αποτελεσματικότητα και ασφάλεια επέκτασης της χρήσης Valcyte</w:t>
      </w:r>
      <w:r w:rsidR="00E761AE" w:rsidRPr="00105CDB">
        <w:t xml:space="preserve"> </w:t>
      </w:r>
      <w:r w:rsidR="003205A0" w:rsidRPr="00105CDB">
        <w:t xml:space="preserve">για προφύλαξη από CMV </w:t>
      </w:r>
      <w:r w:rsidR="00E761AE" w:rsidRPr="00105CDB">
        <w:t>από 100 σε 200 ημέρες μετά την μεταμόσχευση.</w:t>
      </w:r>
      <w:r w:rsidR="006724CC" w:rsidRPr="00105CDB">
        <w:t xml:space="preserve"> Οι ασθενείς τυχαιοποιήθηκαν </w:t>
      </w:r>
      <w:r w:rsidR="00DC4EB3" w:rsidRPr="00105CDB">
        <w:t xml:space="preserve">(1:1) </w:t>
      </w:r>
      <w:r w:rsidR="001963A8" w:rsidRPr="00105CDB">
        <w:t xml:space="preserve">για να λάβουν δισκία </w:t>
      </w:r>
      <w:r w:rsidR="00DC4EB3" w:rsidRPr="00105CDB">
        <w:t>Valcyte</w:t>
      </w:r>
      <w:r w:rsidR="00355DAC" w:rsidRPr="00105CDB">
        <w:t xml:space="preserve"> (900 </w:t>
      </w:r>
      <w:r w:rsidR="00AF3691" w:rsidRPr="00105CDB">
        <w:t>mg μια φορά ημερησίως</w:t>
      </w:r>
      <w:r w:rsidR="00355DAC" w:rsidRPr="00105CDB">
        <w:t xml:space="preserve">) μέσα σε 10 ημέρες από </w:t>
      </w:r>
      <w:r w:rsidR="001963A8" w:rsidRPr="00105CDB">
        <w:t xml:space="preserve">τη μεταμόσχευση ή έως και την Ημέρα 200 </w:t>
      </w:r>
      <w:r w:rsidR="00355DAC" w:rsidRPr="00105CDB">
        <w:t xml:space="preserve">μετά τη μεταμόσχευση ή </w:t>
      </w:r>
      <w:r w:rsidR="001963A8" w:rsidRPr="00105CDB">
        <w:t>την Ημέρα 100</w:t>
      </w:r>
      <w:r w:rsidR="00355DAC" w:rsidRPr="00105CDB">
        <w:t xml:space="preserve"> μετά τη μεταμόσχευση </w:t>
      </w:r>
      <w:r w:rsidR="00D17FA3" w:rsidRPr="00105CDB">
        <w:t xml:space="preserve">ακολουθούμενα </w:t>
      </w:r>
      <w:r w:rsidR="002D24E1" w:rsidRPr="00105CDB">
        <w:t xml:space="preserve">από </w:t>
      </w:r>
      <w:r w:rsidR="001963A8" w:rsidRPr="00105CDB">
        <w:t>εικονικό φάρμακο για</w:t>
      </w:r>
      <w:r w:rsidR="00D17FA3" w:rsidRPr="00105CDB">
        <w:t xml:space="preserve"> 100 ημέρες.</w:t>
      </w:r>
    </w:p>
    <w:p w:rsidR="00110623" w:rsidRPr="00105CDB" w:rsidRDefault="00110623" w:rsidP="00262A1F">
      <w:pPr>
        <w:pStyle w:val="20"/>
        <w:ind w:left="0" w:firstLine="0"/>
      </w:pPr>
      <w:r w:rsidRPr="00105CDB">
        <w:t xml:space="preserve">Το ποσοστό των ασθενών που ανέπτυξε CMV </w:t>
      </w:r>
      <w:r w:rsidR="005505F9" w:rsidRPr="00105CDB">
        <w:t xml:space="preserve">νόσο </w:t>
      </w:r>
      <w:r w:rsidRPr="00105CDB">
        <w:t xml:space="preserve">κατά τη διάρκεια των πρώτων 12 μηνών μετά τη μεταμόσχευση παρουσιάζεται στον παρακάτω πίνακα. </w:t>
      </w:r>
    </w:p>
    <w:p w:rsidR="00D17FA3" w:rsidRPr="00105CDB" w:rsidRDefault="00D17FA3" w:rsidP="00262A1F">
      <w:pPr>
        <w:pStyle w:val="20"/>
        <w:ind w:left="0" w:firstLine="0"/>
      </w:pPr>
    </w:p>
    <w:p w:rsidR="00B716FC" w:rsidRPr="00105CDB" w:rsidRDefault="00224B44" w:rsidP="00B716FC">
      <w:pPr>
        <w:rPr>
          <w:rFonts w:eastAsia="PMingLiU"/>
          <w:b/>
          <w:lang w:val="el-GR"/>
        </w:rPr>
      </w:pPr>
      <w:r w:rsidRPr="00105CDB">
        <w:rPr>
          <w:rFonts w:eastAsia="PMingLiU"/>
          <w:b/>
          <w:lang w:val="el-GR"/>
        </w:rPr>
        <w:t>Ποσοστό Ληπτών Νεφρικού</w:t>
      </w:r>
      <w:r w:rsidR="00B716FC" w:rsidRPr="00105CDB">
        <w:rPr>
          <w:rFonts w:eastAsia="PMingLiU"/>
          <w:b/>
          <w:lang w:val="el-GR"/>
        </w:rPr>
        <w:t xml:space="preserve"> Μοσχεύματος με Νόσο </w:t>
      </w:r>
      <w:r w:rsidR="00D138C6" w:rsidRPr="00105CDB">
        <w:rPr>
          <w:rFonts w:eastAsia="PMingLiU"/>
          <w:b/>
        </w:rPr>
        <w:t>CMV</w:t>
      </w:r>
      <w:r w:rsidR="00D138C6" w:rsidRPr="00105CDB">
        <w:rPr>
          <w:rFonts w:eastAsia="PMingLiU"/>
          <w:b/>
          <w:vertAlign w:val="superscript"/>
          <w:lang w:val="el-GR"/>
        </w:rPr>
        <w:t>1</w:t>
      </w:r>
      <w:r w:rsidR="00B716FC" w:rsidRPr="00105CDB">
        <w:rPr>
          <w:rFonts w:eastAsia="PMingLiU"/>
          <w:b/>
          <w:lang w:val="el-GR"/>
        </w:rPr>
        <w:t xml:space="preserve">, 12 </w:t>
      </w:r>
      <w:r w:rsidR="00945E8C" w:rsidRPr="00105CDB">
        <w:rPr>
          <w:rFonts w:eastAsia="PMingLiU"/>
          <w:b/>
          <w:lang w:val="el-GR"/>
        </w:rPr>
        <w:t xml:space="preserve">Μήνες σε </w:t>
      </w:r>
      <w:r w:rsidR="00945E8C" w:rsidRPr="00105CDB">
        <w:rPr>
          <w:rFonts w:eastAsia="PMingLiU"/>
          <w:b/>
        </w:rPr>
        <w:t>ITT</w:t>
      </w:r>
      <w:r w:rsidR="00945E8C" w:rsidRPr="00105CDB">
        <w:rPr>
          <w:rFonts w:eastAsia="PMingLiU"/>
          <w:b/>
          <w:lang w:val="el-GR"/>
        </w:rPr>
        <w:t xml:space="preserve"> Πληθυσμό</w:t>
      </w:r>
      <w:r w:rsidR="00B716FC" w:rsidRPr="00105CDB">
        <w:rPr>
          <w:rFonts w:eastAsia="PMingLiU"/>
          <w:b/>
          <w:lang w:val="el-GR"/>
        </w:rPr>
        <w:t xml:space="preserve"> </w:t>
      </w:r>
      <w:r w:rsidR="00B716FC" w:rsidRPr="00105CDB">
        <w:rPr>
          <w:rFonts w:ascii="Times New Roman Bold" w:eastAsia="PMingLiU" w:hAnsi="Times New Roman Bold"/>
          <w:b/>
          <w:vertAlign w:val="superscript"/>
        </w:rPr>
        <w:t>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1882"/>
        <w:gridCol w:w="1882"/>
        <w:gridCol w:w="1883"/>
      </w:tblGrid>
      <w:tr w:rsidR="00B716FC" w:rsidRPr="00105CDB" w:rsidTr="00BC4F11">
        <w:tc>
          <w:tcPr>
            <w:tcW w:w="3108" w:type="dxa"/>
            <w:shd w:val="clear" w:color="auto" w:fill="auto"/>
          </w:tcPr>
          <w:p w:rsidR="00B716FC" w:rsidRPr="00105CDB" w:rsidRDefault="00B716FC" w:rsidP="00BC4F11">
            <w:pPr>
              <w:pStyle w:val="TextTi10"/>
              <w:keepNext/>
              <w:rPr>
                <w:rFonts w:eastAsia="PMingLiU"/>
                <w:lang w:val="el-GR"/>
              </w:rPr>
            </w:pPr>
          </w:p>
        </w:tc>
        <w:tc>
          <w:tcPr>
            <w:tcW w:w="1882" w:type="dxa"/>
            <w:shd w:val="clear" w:color="auto" w:fill="auto"/>
          </w:tcPr>
          <w:p w:rsidR="00B716FC" w:rsidRPr="00105CDB" w:rsidDel="00B04AF0" w:rsidRDefault="00DD4538" w:rsidP="00B716FC">
            <w:pPr>
              <w:rPr>
                <w:rFonts w:eastAsia="PMingLiU"/>
                <w:b/>
                <w:sz w:val="20"/>
                <w:lang w:val="el-GR"/>
              </w:rPr>
            </w:pPr>
            <w:r w:rsidRPr="00105CDB">
              <w:rPr>
                <w:b/>
                <w:sz w:val="20"/>
                <w:lang w:val="el-GR"/>
              </w:rPr>
              <w:t>Βαλγκανσικλοβίρη</w:t>
            </w:r>
          </w:p>
          <w:p w:rsidR="00B716FC" w:rsidRPr="00105CDB" w:rsidRDefault="00B716FC" w:rsidP="00B716FC">
            <w:pPr>
              <w:rPr>
                <w:rFonts w:eastAsia="PMingLiU"/>
                <w:b/>
                <w:sz w:val="20"/>
                <w:lang w:val="pt-BR"/>
              </w:rPr>
            </w:pPr>
          </w:p>
          <w:p w:rsidR="00B716FC" w:rsidRPr="00105CDB" w:rsidRDefault="0042254F" w:rsidP="00B716FC">
            <w:pPr>
              <w:rPr>
                <w:rFonts w:eastAsia="PMingLiU"/>
                <w:b/>
                <w:sz w:val="20"/>
                <w:lang w:val="el-GR"/>
              </w:rPr>
            </w:pPr>
            <w:r w:rsidRPr="00105CDB">
              <w:rPr>
                <w:rFonts w:eastAsia="PMingLiU"/>
                <w:b/>
                <w:sz w:val="20"/>
                <w:lang w:val="pt-BR"/>
              </w:rPr>
              <w:t xml:space="preserve">900 mg </w:t>
            </w:r>
            <w:r w:rsidR="002E0E73" w:rsidRPr="00105CDB">
              <w:rPr>
                <w:b/>
                <w:sz w:val="20"/>
                <w:lang w:val="el-GR"/>
              </w:rPr>
              <w:t>μια φορά ημερησίως</w:t>
            </w:r>
            <w:r w:rsidR="002E0E73" w:rsidRPr="00105CDB">
              <w:rPr>
                <w:rFonts w:eastAsia="PMingLiU"/>
                <w:b/>
                <w:sz w:val="20"/>
                <w:lang w:val="pt-BR"/>
              </w:rPr>
              <w:t xml:space="preserve"> </w:t>
            </w:r>
            <w:r w:rsidRPr="00105CDB">
              <w:rPr>
                <w:rFonts w:eastAsia="PMingLiU"/>
                <w:b/>
                <w:sz w:val="20"/>
                <w:lang w:val="pt-BR"/>
              </w:rPr>
              <w:t xml:space="preserve">100 </w:t>
            </w:r>
            <w:r w:rsidRPr="00105CDB">
              <w:rPr>
                <w:rFonts w:eastAsia="PMingLiU"/>
                <w:b/>
                <w:sz w:val="20"/>
                <w:lang w:val="el-GR"/>
              </w:rPr>
              <w:t>Ημέρες</w:t>
            </w:r>
          </w:p>
          <w:p w:rsidR="00B716FC" w:rsidRPr="00105CDB" w:rsidRDefault="00B716FC" w:rsidP="00B716FC">
            <w:pPr>
              <w:rPr>
                <w:rFonts w:eastAsia="PMingLiU"/>
                <w:b/>
                <w:sz w:val="20"/>
                <w:lang w:val="pt-BR"/>
              </w:rPr>
            </w:pPr>
            <w:r w:rsidRPr="00105CDB">
              <w:rPr>
                <w:rFonts w:eastAsia="PMingLiU"/>
                <w:b/>
                <w:sz w:val="20"/>
                <w:lang w:val="pt-BR"/>
              </w:rPr>
              <w:t>(N = 163)</w:t>
            </w:r>
          </w:p>
        </w:tc>
        <w:tc>
          <w:tcPr>
            <w:tcW w:w="1882" w:type="dxa"/>
            <w:shd w:val="clear" w:color="auto" w:fill="auto"/>
          </w:tcPr>
          <w:p w:rsidR="00DD4538" w:rsidRPr="00105CDB" w:rsidDel="00B04AF0" w:rsidRDefault="00DD4538" w:rsidP="00DD4538">
            <w:pPr>
              <w:rPr>
                <w:rFonts w:eastAsia="PMingLiU"/>
                <w:b/>
                <w:sz w:val="20"/>
                <w:lang w:val="el-GR"/>
              </w:rPr>
            </w:pPr>
            <w:r w:rsidRPr="00105CDB">
              <w:rPr>
                <w:b/>
                <w:sz w:val="20"/>
                <w:lang w:val="el-GR"/>
              </w:rPr>
              <w:t>Βαλγκανσικλοβίρη</w:t>
            </w:r>
          </w:p>
          <w:p w:rsidR="00B716FC" w:rsidRPr="00105CDB" w:rsidRDefault="00B716FC" w:rsidP="00B716FC">
            <w:pPr>
              <w:rPr>
                <w:rFonts w:eastAsia="PMingLiU"/>
                <w:b/>
                <w:sz w:val="20"/>
                <w:lang w:val="el-GR"/>
              </w:rPr>
            </w:pPr>
          </w:p>
          <w:p w:rsidR="0042254F" w:rsidRPr="00105CDB" w:rsidRDefault="0042254F" w:rsidP="0042254F">
            <w:pPr>
              <w:rPr>
                <w:rFonts w:eastAsia="PMingLiU"/>
                <w:b/>
                <w:sz w:val="20"/>
                <w:lang w:val="el-GR"/>
              </w:rPr>
            </w:pPr>
            <w:r w:rsidRPr="00105CDB">
              <w:rPr>
                <w:rFonts w:eastAsia="PMingLiU"/>
                <w:b/>
                <w:sz w:val="20"/>
                <w:lang w:val="pt-BR"/>
              </w:rPr>
              <w:t xml:space="preserve">900 mg </w:t>
            </w:r>
            <w:r w:rsidR="002E0E73" w:rsidRPr="00105CDB">
              <w:rPr>
                <w:b/>
                <w:sz w:val="20"/>
                <w:lang w:val="el-GR"/>
              </w:rPr>
              <w:t>μια φορά ημερησίως</w:t>
            </w:r>
            <w:r w:rsidR="002E0E73" w:rsidRPr="00105CDB">
              <w:rPr>
                <w:rFonts w:eastAsia="PMingLiU"/>
                <w:b/>
                <w:sz w:val="20"/>
                <w:lang w:val="pt-BR"/>
              </w:rPr>
              <w:t xml:space="preserve"> </w:t>
            </w:r>
            <w:r w:rsidR="00B716FC" w:rsidRPr="00105CDB">
              <w:rPr>
                <w:rFonts w:eastAsia="PMingLiU"/>
                <w:b/>
                <w:sz w:val="20"/>
                <w:lang w:val="el-GR"/>
              </w:rPr>
              <w:t xml:space="preserve">200 </w:t>
            </w:r>
            <w:r w:rsidRPr="00105CDB">
              <w:rPr>
                <w:rFonts w:eastAsia="PMingLiU"/>
                <w:b/>
                <w:sz w:val="20"/>
                <w:lang w:val="el-GR"/>
              </w:rPr>
              <w:t>Ημέρες</w:t>
            </w:r>
          </w:p>
          <w:p w:rsidR="00B716FC" w:rsidRPr="00105CDB" w:rsidRDefault="0042254F" w:rsidP="0042254F">
            <w:pPr>
              <w:rPr>
                <w:rFonts w:eastAsia="PMingLiU"/>
                <w:b/>
                <w:sz w:val="20"/>
              </w:rPr>
            </w:pPr>
            <w:r w:rsidRPr="00105CDB">
              <w:rPr>
                <w:rFonts w:eastAsia="PMingLiU"/>
                <w:b/>
                <w:sz w:val="20"/>
                <w:lang w:val="el-GR"/>
              </w:rPr>
              <w:t xml:space="preserve"> </w:t>
            </w:r>
            <w:r w:rsidR="00B716FC" w:rsidRPr="00105CDB">
              <w:rPr>
                <w:rFonts w:eastAsia="PMingLiU"/>
                <w:b/>
                <w:sz w:val="20"/>
              </w:rPr>
              <w:t>(N = 155)</w:t>
            </w:r>
          </w:p>
        </w:tc>
        <w:tc>
          <w:tcPr>
            <w:tcW w:w="1883" w:type="dxa"/>
            <w:shd w:val="clear" w:color="auto" w:fill="auto"/>
          </w:tcPr>
          <w:p w:rsidR="00B716FC" w:rsidRPr="00105CDB" w:rsidRDefault="00675173" w:rsidP="00B716FC">
            <w:pPr>
              <w:rPr>
                <w:b/>
                <w:sz w:val="20"/>
                <w:lang w:val="el-GR"/>
              </w:rPr>
            </w:pPr>
            <w:r w:rsidRPr="00105CDB">
              <w:rPr>
                <w:b/>
                <w:sz w:val="20"/>
                <w:lang w:val="el-GR"/>
              </w:rPr>
              <w:t>Διαφορ</w:t>
            </w:r>
            <w:r w:rsidR="00C43DB8" w:rsidRPr="00105CDB">
              <w:rPr>
                <w:b/>
                <w:sz w:val="20"/>
                <w:lang w:val="el-GR"/>
              </w:rPr>
              <w:t xml:space="preserve">ά Μεταξύ Ομάδων </w:t>
            </w:r>
            <w:r w:rsidRPr="00105CDB">
              <w:rPr>
                <w:b/>
                <w:sz w:val="20"/>
                <w:lang w:val="el-GR"/>
              </w:rPr>
              <w:t xml:space="preserve"> Θεραπείας</w:t>
            </w:r>
          </w:p>
        </w:tc>
      </w:tr>
      <w:tr w:rsidR="00C11602" w:rsidRPr="00105CDB" w:rsidTr="00BC4F11">
        <w:tc>
          <w:tcPr>
            <w:tcW w:w="3108" w:type="dxa"/>
            <w:shd w:val="clear" w:color="auto" w:fill="auto"/>
          </w:tcPr>
          <w:p w:rsidR="00C11602" w:rsidRPr="00105CDB" w:rsidRDefault="00C11602" w:rsidP="00B716FC">
            <w:pPr>
              <w:rPr>
                <w:rFonts w:eastAsia="PMingLiU"/>
                <w:sz w:val="20"/>
                <w:vertAlign w:val="superscript"/>
                <w:lang w:val="el-GR"/>
              </w:rPr>
            </w:pPr>
            <w:r w:rsidRPr="00105CDB">
              <w:rPr>
                <w:rFonts w:eastAsia="PMingLiU"/>
                <w:sz w:val="20"/>
                <w:lang w:val="el-GR"/>
              </w:rPr>
              <w:t xml:space="preserve">Ασθενείς με επιβεβαιωμένη </w:t>
            </w:r>
            <w:r w:rsidR="00D734CB" w:rsidRPr="00105CDB">
              <w:rPr>
                <w:rFonts w:eastAsia="PMingLiU"/>
                <w:sz w:val="20"/>
                <w:lang w:val="el-GR"/>
              </w:rPr>
              <w:t>ή πιθανολογούμενη</w:t>
            </w:r>
            <w:r w:rsidRPr="00105CDB">
              <w:rPr>
                <w:rFonts w:eastAsia="PMingLiU"/>
                <w:sz w:val="20"/>
                <w:lang w:val="el-GR"/>
              </w:rPr>
              <w:t xml:space="preserve"> </w:t>
            </w:r>
            <w:r w:rsidRPr="00105CDB">
              <w:rPr>
                <w:rFonts w:eastAsia="PMingLiU"/>
                <w:sz w:val="20"/>
              </w:rPr>
              <w:t>CMV</w:t>
            </w:r>
            <w:r w:rsidRPr="00105CDB">
              <w:rPr>
                <w:rFonts w:eastAsia="PMingLiU"/>
                <w:sz w:val="20"/>
                <w:lang w:val="el-GR"/>
              </w:rPr>
              <w:t xml:space="preserve"> νόσο</w:t>
            </w:r>
            <w:r w:rsidRPr="00105CDB">
              <w:rPr>
                <w:rFonts w:eastAsia="PMingLiU"/>
                <w:sz w:val="20"/>
                <w:vertAlign w:val="superscript"/>
                <w:lang w:val="el-GR"/>
              </w:rPr>
              <w:t>2</w:t>
            </w:r>
          </w:p>
        </w:tc>
        <w:tc>
          <w:tcPr>
            <w:tcW w:w="1882" w:type="dxa"/>
            <w:shd w:val="clear" w:color="auto" w:fill="auto"/>
          </w:tcPr>
          <w:p w:rsidR="00C11602" w:rsidRPr="00105CDB" w:rsidRDefault="00C11602" w:rsidP="00B716FC">
            <w:pPr>
              <w:rPr>
                <w:rFonts w:eastAsia="PMingLiU"/>
                <w:sz w:val="20"/>
              </w:rPr>
            </w:pPr>
            <w:r w:rsidRPr="00105CDB">
              <w:rPr>
                <w:rFonts w:eastAsia="PMingLiU"/>
                <w:sz w:val="20"/>
              </w:rPr>
              <w:t>71 (43.6%)</w:t>
            </w:r>
          </w:p>
          <w:p w:rsidR="00C11602" w:rsidRPr="00105CDB" w:rsidRDefault="00C11602" w:rsidP="00B716FC">
            <w:pPr>
              <w:rPr>
                <w:rFonts w:eastAsia="PMingLiU"/>
                <w:sz w:val="20"/>
              </w:rPr>
            </w:pPr>
            <w:r w:rsidRPr="00105CDB">
              <w:rPr>
                <w:rFonts w:eastAsia="PMingLiU"/>
                <w:sz w:val="20"/>
              </w:rPr>
              <w:t>[35.8% ; 51.5%]</w:t>
            </w:r>
          </w:p>
        </w:tc>
        <w:tc>
          <w:tcPr>
            <w:tcW w:w="1882" w:type="dxa"/>
            <w:shd w:val="clear" w:color="auto" w:fill="auto"/>
          </w:tcPr>
          <w:p w:rsidR="00C11602" w:rsidRPr="00105CDB" w:rsidRDefault="00C11602" w:rsidP="00B716FC">
            <w:pPr>
              <w:rPr>
                <w:rFonts w:eastAsia="PMingLiU"/>
                <w:sz w:val="20"/>
              </w:rPr>
            </w:pPr>
            <w:r w:rsidRPr="00105CDB">
              <w:rPr>
                <w:rFonts w:eastAsia="PMingLiU"/>
                <w:sz w:val="20"/>
              </w:rPr>
              <w:t>36 (23.2%)</w:t>
            </w:r>
          </w:p>
          <w:p w:rsidR="00C11602" w:rsidRPr="00105CDB" w:rsidRDefault="00C11602" w:rsidP="00B716FC">
            <w:pPr>
              <w:rPr>
                <w:rFonts w:eastAsia="PMingLiU"/>
                <w:sz w:val="20"/>
              </w:rPr>
            </w:pPr>
            <w:r w:rsidRPr="00105CDB">
              <w:rPr>
                <w:rFonts w:eastAsia="PMingLiU"/>
                <w:sz w:val="20"/>
              </w:rPr>
              <w:t>[16.8% ; 30.7%]</w:t>
            </w:r>
          </w:p>
        </w:tc>
        <w:tc>
          <w:tcPr>
            <w:tcW w:w="1883" w:type="dxa"/>
            <w:shd w:val="clear" w:color="auto" w:fill="auto"/>
          </w:tcPr>
          <w:p w:rsidR="00C11602" w:rsidRPr="00105CDB" w:rsidRDefault="00C11602" w:rsidP="00B716FC">
            <w:pPr>
              <w:rPr>
                <w:rFonts w:eastAsia="PMingLiU"/>
                <w:sz w:val="20"/>
                <w:lang w:eastAsia="zh-TW"/>
              </w:rPr>
            </w:pPr>
            <w:r w:rsidRPr="00105CDB">
              <w:rPr>
                <w:rFonts w:eastAsia="PMingLiU"/>
                <w:sz w:val="20"/>
                <w:lang w:eastAsia="zh-TW"/>
              </w:rPr>
              <w:t>20.3%</w:t>
            </w:r>
          </w:p>
          <w:p w:rsidR="00C11602" w:rsidRPr="00105CDB" w:rsidRDefault="00C11602" w:rsidP="00B716FC">
            <w:pPr>
              <w:rPr>
                <w:rFonts w:eastAsia="PMingLiU"/>
                <w:sz w:val="20"/>
              </w:rPr>
            </w:pPr>
            <w:r w:rsidRPr="00105CDB">
              <w:rPr>
                <w:rFonts w:eastAsia="PMingLiU"/>
                <w:sz w:val="20"/>
                <w:lang w:eastAsia="zh-TW"/>
              </w:rPr>
              <w:t>[9.9% ; 30.8%]</w:t>
            </w:r>
          </w:p>
        </w:tc>
      </w:tr>
      <w:tr w:rsidR="00C11602" w:rsidRPr="00105CDB" w:rsidTr="00BC4F11">
        <w:tc>
          <w:tcPr>
            <w:tcW w:w="3108" w:type="dxa"/>
            <w:shd w:val="clear" w:color="auto" w:fill="auto"/>
          </w:tcPr>
          <w:p w:rsidR="00C11602" w:rsidRPr="00105CDB" w:rsidRDefault="00C11602" w:rsidP="00B716FC">
            <w:pPr>
              <w:rPr>
                <w:rFonts w:eastAsia="PMingLiU"/>
                <w:sz w:val="20"/>
                <w:lang w:val="el-GR"/>
              </w:rPr>
            </w:pPr>
            <w:r w:rsidRPr="00105CDB">
              <w:rPr>
                <w:rFonts w:eastAsia="PMingLiU"/>
                <w:sz w:val="20"/>
                <w:lang w:val="el-GR"/>
              </w:rPr>
              <w:t xml:space="preserve">Ασθενείς με επιβεβαιωμένη </w:t>
            </w:r>
            <w:r w:rsidRPr="00105CDB">
              <w:rPr>
                <w:rFonts w:eastAsia="PMingLiU"/>
                <w:sz w:val="20"/>
              </w:rPr>
              <w:t>CMV</w:t>
            </w:r>
            <w:r w:rsidRPr="00105CDB">
              <w:rPr>
                <w:rFonts w:eastAsia="PMingLiU"/>
                <w:sz w:val="20"/>
                <w:lang w:val="el-GR"/>
              </w:rPr>
              <w:t xml:space="preserve"> νόσο</w:t>
            </w:r>
          </w:p>
        </w:tc>
        <w:tc>
          <w:tcPr>
            <w:tcW w:w="1882" w:type="dxa"/>
            <w:shd w:val="clear" w:color="auto" w:fill="auto"/>
          </w:tcPr>
          <w:p w:rsidR="00C11602" w:rsidRPr="00105CDB" w:rsidRDefault="00C11602" w:rsidP="00B716FC">
            <w:pPr>
              <w:rPr>
                <w:rFonts w:eastAsia="PMingLiU"/>
                <w:sz w:val="20"/>
              </w:rPr>
            </w:pPr>
            <w:r w:rsidRPr="00105CDB">
              <w:rPr>
                <w:rFonts w:eastAsia="PMingLiU"/>
                <w:sz w:val="20"/>
              </w:rPr>
              <w:t>60 (36.8%)</w:t>
            </w:r>
          </w:p>
          <w:p w:rsidR="00C11602" w:rsidRPr="00105CDB" w:rsidRDefault="00C11602" w:rsidP="00B716FC">
            <w:pPr>
              <w:rPr>
                <w:rFonts w:eastAsia="PMingLiU"/>
                <w:sz w:val="20"/>
              </w:rPr>
            </w:pPr>
            <w:r w:rsidRPr="00105CDB">
              <w:rPr>
                <w:rFonts w:eastAsia="PMingLiU"/>
                <w:sz w:val="20"/>
              </w:rPr>
              <w:t>[29.4% ; 44.7%]</w:t>
            </w:r>
          </w:p>
        </w:tc>
        <w:tc>
          <w:tcPr>
            <w:tcW w:w="1882" w:type="dxa"/>
            <w:shd w:val="clear" w:color="auto" w:fill="auto"/>
          </w:tcPr>
          <w:p w:rsidR="00C11602" w:rsidRPr="00105CDB" w:rsidRDefault="00C11602" w:rsidP="00B716FC">
            <w:pPr>
              <w:rPr>
                <w:rFonts w:eastAsia="PMingLiU"/>
                <w:sz w:val="20"/>
              </w:rPr>
            </w:pPr>
            <w:r w:rsidRPr="00105CDB">
              <w:rPr>
                <w:rFonts w:eastAsia="PMingLiU"/>
                <w:sz w:val="20"/>
              </w:rPr>
              <w:t>25 (16.1%)</w:t>
            </w:r>
          </w:p>
          <w:p w:rsidR="00C11602" w:rsidRPr="00105CDB" w:rsidRDefault="00C11602" w:rsidP="00B716FC">
            <w:pPr>
              <w:rPr>
                <w:rFonts w:eastAsia="PMingLiU"/>
                <w:sz w:val="20"/>
              </w:rPr>
            </w:pPr>
            <w:r w:rsidRPr="00105CDB">
              <w:rPr>
                <w:rFonts w:eastAsia="PMingLiU"/>
                <w:sz w:val="20"/>
              </w:rPr>
              <w:t>[10.7% ; 22.9%]</w:t>
            </w:r>
          </w:p>
        </w:tc>
        <w:tc>
          <w:tcPr>
            <w:tcW w:w="1883" w:type="dxa"/>
            <w:shd w:val="clear" w:color="auto" w:fill="auto"/>
          </w:tcPr>
          <w:p w:rsidR="00C11602" w:rsidRPr="00105CDB" w:rsidRDefault="00C11602" w:rsidP="00B716FC">
            <w:pPr>
              <w:rPr>
                <w:rFonts w:eastAsia="PMingLiU"/>
                <w:sz w:val="20"/>
                <w:lang w:eastAsia="zh-TW"/>
              </w:rPr>
            </w:pPr>
            <w:r w:rsidRPr="00105CDB">
              <w:rPr>
                <w:rFonts w:eastAsia="PMingLiU"/>
                <w:sz w:val="20"/>
                <w:lang w:eastAsia="zh-TW"/>
              </w:rPr>
              <w:t>20.7%</w:t>
            </w:r>
          </w:p>
          <w:p w:rsidR="00C11602" w:rsidRPr="00105CDB" w:rsidRDefault="00C11602" w:rsidP="00B716FC">
            <w:pPr>
              <w:rPr>
                <w:rFonts w:eastAsia="PMingLiU"/>
                <w:sz w:val="20"/>
              </w:rPr>
            </w:pPr>
            <w:r w:rsidRPr="00105CDB">
              <w:rPr>
                <w:rFonts w:eastAsia="PMingLiU"/>
                <w:sz w:val="20"/>
                <w:lang w:eastAsia="zh-TW"/>
              </w:rPr>
              <w:t>[10.9% ; 30.4%]</w:t>
            </w:r>
          </w:p>
        </w:tc>
      </w:tr>
    </w:tbl>
    <w:p w:rsidR="00E35A6D" w:rsidRPr="00105CDB" w:rsidRDefault="00904600" w:rsidP="00904600">
      <w:pPr>
        <w:rPr>
          <w:sz w:val="18"/>
          <w:szCs w:val="18"/>
          <w:lang w:val="el-GR"/>
        </w:rPr>
      </w:pPr>
      <w:r w:rsidRPr="00105CDB">
        <w:rPr>
          <w:rFonts w:eastAsia="PMingLiU"/>
          <w:sz w:val="18"/>
          <w:szCs w:val="18"/>
          <w:vertAlign w:val="superscript"/>
          <w:lang w:val="el-GR"/>
        </w:rPr>
        <w:t xml:space="preserve">1  </w:t>
      </w:r>
      <w:r w:rsidRPr="00105CDB">
        <w:rPr>
          <w:rFonts w:eastAsia="PMingLiU"/>
          <w:sz w:val="18"/>
          <w:szCs w:val="18"/>
        </w:rPr>
        <w:t>H</w:t>
      </w:r>
      <w:r w:rsidRPr="00105CDB">
        <w:rPr>
          <w:rFonts w:eastAsia="PMingLiU"/>
          <w:sz w:val="18"/>
          <w:szCs w:val="18"/>
          <w:lang w:val="el-GR"/>
        </w:rPr>
        <w:t xml:space="preserve"> νόσο</w:t>
      </w:r>
      <w:r w:rsidR="00A15A72" w:rsidRPr="00105CDB">
        <w:rPr>
          <w:rFonts w:eastAsia="PMingLiU"/>
          <w:sz w:val="18"/>
          <w:szCs w:val="18"/>
          <w:lang w:val="el-GR"/>
        </w:rPr>
        <w:t>ς</w:t>
      </w:r>
      <w:r w:rsidRPr="00105CDB">
        <w:rPr>
          <w:rFonts w:eastAsia="PMingLiU"/>
          <w:sz w:val="18"/>
          <w:szCs w:val="18"/>
          <w:lang w:val="el-GR"/>
        </w:rPr>
        <w:t xml:space="preserve"> </w:t>
      </w:r>
      <w:r w:rsidRPr="00105CDB">
        <w:rPr>
          <w:rFonts w:eastAsia="PMingLiU"/>
          <w:sz w:val="18"/>
          <w:szCs w:val="18"/>
        </w:rPr>
        <w:t>CMV</w:t>
      </w:r>
      <w:r w:rsidRPr="00105CDB">
        <w:rPr>
          <w:rFonts w:eastAsia="PMingLiU"/>
          <w:sz w:val="18"/>
          <w:szCs w:val="18"/>
          <w:lang w:val="el-GR"/>
        </w:rPr>
        <w:t xml:space="preserve"> </w:t>
      </w:r>
      <w:r w:rsidR="00A15A72" w:rsidRPr="00105CDB">
        <w:rPr>
          <w:rFonts w:eastAsia="PMingLiU"/>
          <w:sz w:val="18"/>
          <w:szCs w:val="18"/>
          <w:lang w:val="el-GR"/>
        </w:rPr>
        <w:t xml:space="preserve">ορίζεται είτε ως </w:t>
      </w:r>
      <w:r w:rsidR="00A15A72" w:rsidRPr="00105CDB">
        <w:rPr>
          <w:rFonts w:eastAsia="PMingLiU"/>
          <w:sz w:val="18"/>
          <w:szCs w:val="18"/>
        </w:rPr>
        <w:t>CMV</w:t>
      </w:r>
      <w:r w:rsidR="00A15A72" w:rsidRPr="00105CDB">
        <w:rPr>
          <w:rFonts w:eastAsia="PMingLiU"/>
          <w:sz w:val="18"/>
          <w:szCs w:val="18"/>
          <w:lang w:val="el-GR"/>
        </w:rPr>
        <w:t xml:space="preserve"> </w:t>
      </w:r>
      <w:r w:rsidR="00762ABD" w:rsidRPr="00105CDB">
        <w:rPr>
          <w:rFonts w:eastAsia="PMingLiU"/>
          <w:sz w:val="18"/>
          <w:szCs w:val="18"/>
          <w:lang w:val="el-GR"/>
        </w:rPr>
        <w:t xml:space="preserve">σύνδρομο είτε ως διηθητική νόσος </w:t>
      </w:r>
      <w:r w:rsidR="00220991" w:rsidRPr="00105CDB">
        <w:rPr>
          <w:rFonts w:eastAsia="PMingLiU"/>
          <w:sz w:val="18"/>
          <w:szCs w:val="18"/>
        </w:rPr>
        <w:t>CMV</w:t>
      </w:r>
      <w:r w:rsidR="00220991" w:rsidRPr="00105CDB">
        <w:rPr>
          <w:rFonts w:eastAsia="PMingLiU"/>
          <w:sz w:val="18"/>
          <w:szCs w:val="18"/>
          <w:lang w:val="el-GR"/>
        </w:rPr>
        <w:t xml:space="preserve"> </w:t>
      </w:r>
      <w:r w:rsidR="00762ABD" w:rsidRPr="00105CDB">
        <w:rPr>
          <w:rFonts w:eastAsia="PMingLiU"/>
          <w:sz w:val="18"/>
          <w:szCs w:val="18"/>
          <w:lang w:val="el-GR"/>
        </w:rPr>
        <w:t>των ιστών</w:t>
      </w:r>
      <w:r w:rsidRPr="00105CDB">
        <w:rPr>
          <w:rFonts w:eastAsia="PMingLiU"/>
          <w:sz w:val="18"/>
          <w:szCs w:val="18"/>
          <w:lang w:val="el-GR"/>
        </w:rPr>
        <w:t xml:space="preserve">.  </w:t>
      </w:r>
      <w:r w:rsidRPr="00105CDB">
        <w:rPr>
          <w:sz w:val="18"/>
          <w:szCs w:val="18"/>
          <w:vertAlign w:val="superscript"/>
          <w:lang w:val="el-GR"/>
        </w:rPr>
        <w:t>2</w:t>
      </w:r>
      <w:r w:rsidRPr="00105CDB">
        <w:rPr>
          <w:sz w:val="18"/>
          <w:szCs w:val="18"/>
          <w:lang w:val="el-GR"/>
        </w:rPr>
        <w:t xml:space="preserve"> </w:t>
      </w:r>
      <w:r w:rsidR="009357DA" w:rsidRPr="00105CDB">
        <w:rPr>
          <w:rFonts w:eastAsia="PMingLiU"/>
          <w:sz w:val="20"/>
          <w:lang w:val="el-GR"/>
        </w:rPr>
        <w:t xml:space="preserve">Επιβεβαιωμένη </w:t>
      </w:r>
      <w:r w:rsidR="009357DA" w:rsidRPr="00105CDB">
        <w:rPr>
          <w:rFonts w:eastAsia="PMingLiU"/>
          <w:sz w:val="20"/>
        </w:rPr>
        <w:t>CMV</w:t>
      </w:r>
      <w:r w:rsidR="009357DA" w:rsidRPr="00105CDB">
        <w:rPr>
          <w:rFonts w:eastAsia="PMingLiU"/>
          <w:sz w:val="20"/>
          <w:lang w:val="el-GR"/>
        </w:rPr>
        <w:t xml:space="preserve"> νόσο</w:t>
      </w:r>
      <w:r w:rsidR="00A225E8" w:rsidRPr="00105CDB">
        <w:rPr>
          <w:rFonts w:eastAsia="PMingLiU"/>
          <w:sz w:val="20"/>
          <w:lang w:val="el-GR"/>
        </w:rPr>
        <w:t>ς</w:t>
      </w:r>
      <w:r w:rsidR="009357DA" w:rsidRPr="00105CDB">
        <w:rPr>
          <w:sz w:val="18"/>
          <w:szCs w:val="18"/>
          <w:lang w:val="el-GR"/>
        </w:rPr>
        <w:t xml:space="preserve"> </w:t>
      </w:r>
      <w:r w:rsidR="00F07E00" w:rsidRPr="00105CDB">
        <w:rPr>
          <w:sz w:val="18"/>
          <w:szCs w:val="18"/>
          <w:lang w:val="el-GR"/>
        </w:rPr>
        <w:t>είναι ένα κλινικά επιβεβαιωμένο</w:t>
      </w:r>
      <w:r w:rsidR="00A225E8" w:rsidRPr="00105CDB">
        <w:rPr>
          <w:sz w:val="18"/>
          <w:szCs w:val="18"/>
          <w:lang w:val="el-GR"/>
        </w:rPr>
        <w:t xml:space="preserve"> περ</w:t>
      </w:r>
      <w:r w:rsidR="00F07E00" w:rsidRPr="00105CDB">
        <w:rPr>
          <w:sz w:val="18"/>
          <w:szCs w:val="18"/>
          <w:lang w:val="el-GR"/>
        </w:rPr>
        <w:t>ιστατικό</w:t>
      </w:r>
      <w:r w:rsidR="00A225E8" w:rsidRPr="00105CDB">
        <w:rPr>
          <w:sz w:val="18"/>
          <w:szCs w:val="18"/>
          <w:lang w:val="el-GR"/>
        </w:rPr>
        <w:t xml:space="preserve">  </w:t>
      </w:r>
      <w:r w:rsidR="00A225E8" w:rsidRPr="00105CDB">
        <w:rPr>
          <w:sz w:val="18"/>
          <w:szCs w:val="18"/>
        </w:rPr>
        <w:t>CMV</w:t>
      </w:r>
      <w:r w:rsidR="00A225E8" w:rsidRPr="00105CDB">
        <w:rPr>
          <w:sz w:val="18"/>
          <w:szCs w:val="18"/>
          <w:lang w:val="el-GR"/>
        </w:rPr>
        <w:t xml:space="preserve"> νόσου</w:t>
      </w:r>
      <w:r w:rsidRPr="00105CDB">
        <w:rPr>
          <w:sz w:val="18"/>
          <w:szCs w:val="18"/>
          <w:lang w:val="el-GR"/>
        </w:rPr>
        <w:t>.</w:t>
      </w:r>
      <w:r w:rsidRPr="00105CDB">
        <w:rPr>
          <w:sz w:val="18"/>
          <w:szCs w:val="18"/>
        </w:rPr>
        <w:t> </w:t>
      </w:r>
      <w:r w:rsidR="00682977" w:rsidRPr="00105CDB">
        <w:rPr>
          <w:sz w:val="18"/>
          <w:szCs w:val="18"/>
          <w:lang w:val="el-GR"/>
        </w:rPr>
        <w:t>Οι α</w:t>
      </w:r>
      <w:r w:rsidR="00F07E00" w:rsidRPr="00105CDB">
        <w:rPr>
          <w:sz w:val="18"/>
          <w:szCs w:val="18"/>
          <w:lang w:val="el-GR"/>
        </w:rPr>
        <w:t>σ</w:t>
      </w:r>
      <w:r w:rsidR="00EE045F" w:rsidRPr="00105CDB">
        <w:rPr>
          <w:sz w:val="18"/>
          <w:szCs w:val="18"/>
          <w:lang w:val="el-GR"/>
        </w:rPr>
        <w:t>θενείς θεωρήθηκε</w:t>
      </w:r>
      <w:r w:rsidR="00682977" w:rsidRPr="00105CDB">
        <w:rPr>
          <w:sz w:val="18"/>
          <w:szCs w:val="18"/>
          <w:lang w:val="el-GR"/>
        </w:rPr>
        <w:t xml:space="preserve"> ότι είχαν </w:t>
      </w:r>
      <w:r w:rsidR="00682977" w:rsidRPr="00105CDB">
        <w:rPr>
          <w:sz w:val="18"/>
          <w:szCs w:val="18"/>
        </w:rPr>
        <w:t>CMV</w:t>
      </w:r>
      <w:r w:rsidR="00682977" w:rsidRPr="00105CDB">
        <w:rPr>
          <w:sz w:val="18"/>
          <w:szCs w:val="18"/>
          <w:lang w:val="el-GR"/>
        </w:rPr>
        <w:t xml:space="preserve"> νόσο </w:t>
      </w:r>
      <w:r w:rsidR="00704F27" w:rsidRPr="00105CDB">
        <w:rPr>
          <w:sz w:val="18"/>
          <w:szCs w:val="18"/>
          <w:lang w:val="el-GR"/>
        </w:rPr>
        <w:t>ακόμα κι εάν δεν υπήρξε καμία εκτίμηση κατά την εβδομάδα 52 ούτε</w:t>
      </w:r>
      <w:r w:rsidR="00682977" w:rsidRPr="00105CDB">
        <w:rPr>
          <w:sz w:val="18"/>
          <w:szCs w:val="18"/>
          <w:lang w:val="el-GR"/>
        </w:rPr>
        <w:t xml:space="preserve"> επιβεβαίωση </w:t>
      </w:r>
      <w:r w:rsidR="00682977" w:rsidRPr="00105CDB">
        <w:rPr>
          <w:sz w:val="18"/>
          <w:szCs w:val="18"/>
        </w:rPr>
        <w:t>CMV</w:t>
      </w:r>
      <w:r w:rsidR="00682977" w:rsidRPr="00105CDB">
        <w:rPr>
          <w:sz w:val="18"/>
          <w:szCs w:val="18"/>
          <w:lang w:val="el-GR"/>
        </w:rPr>
        <w:t xml:space="preserve"> νόσου πριν από αυτή την περίοδο. </w:t>
      </w:r>
    </w:p>
    <w:p w:rsidR="00904600" w:rsidRPr="00105CDB" w:rsidRDefault="00904600" w:rsidP="00904600">
      <w:pPr>
        <w:rPr>
          <w:sz w:val="18"/>
          <w:szCs w:val="18"/>
          <w:lang w:val="el-GR"/>
        </w:rPr>
      </w:pPr>
      <w:r w:rsidRPr="00105CDB">
        <w:rPr>
          <w:sz w:val="18"/>
          <w:szCs w:val="18"/>
          <w:lang w:val="el-GR"/>
        </w:rPr>
        <w:t xml:space="preserve"> </w:t>
      </w:r>
      <w:r w:rsidRPr="00105CDB">
        <w:rPr>
          <w:sz w:val="18"/>
          <w:szCs w:val="18"/>
          <w:vertAlign w:val="superscript"/>
        </w:rPr>
        <w:t>A</w:t>
      </w:r>
      <w:r w:rsidRPr="00105CDB">
        <w:rPr>
          <w:sz w:val="18"/>
          <w:szCs w:val="18"/>
          <w:lang w:val="el-GR"/>
        </w:rPr>
        <w:t xml:space="preserve"> </w:t>
      </w:r>
      <w:r w:rsidR="00E35A6D" w:rsidRPr="00105CDB">
        <w:rPr>
          <w:sz w:val="18"/>
          <w:szCs w:val="18"/>
          <w:lang w:val="el-GR"/>
        </w:rPr>
        <w:t xml:space="preserve">Τα αποτελέσματα που βρέθηκαν </w:t>
      </w:r>
      <w:r w:rsidR="00AA6245" w:rsidRPr="00105CDB">
        <w:rPr>
          <w:sz w:val="18"/>
          <w:szCs w:val="18"/>
          <w:lang w:val="el-GR"/>
        </w:rPr>
        <w:t xml:space="preserve">μέχρι </w:t>
      </w:r>
      <w:r w:rsidR="00C12659" w:rsidRPr="00105CDB">
        <w:rPr>
          <w:sz w:val="18"/>
          <w:szCs w:val="18"/>
          <w:lang w:val="el-GR"/>
        </w:rPr>
        <w:t xml:space="preserve">και </w:t>
      </w:r>
      <w:r w:rsidR="00F6313B" w:rsidRPr="00105CDB">
        <w:rPr>
          <w:sz w:val="18"/>
          <w:szCs w:val="18"/>
          <w:lang w:val="el-GR"/>
        </w:rPr>
        <w:t>24 μήνες ήταν σε συμφωνία</w:t>
      </w:r>
      <w:r w:rsidR="00AA6245" w:rsidRPr="00105CDB">
        <w:rPr>
          <w:sz w:val="18"/>
          <w:szCs w:val="18"/>
          <w:lang w:val="el-GR"/>
        </w:rPr>
        <w:t xml:space="preserve"> με</w:t>
      </w:r>
      <w:r w:rsidR="00E00504" w:rsidRPr="00105CDB">
        <w:rPr>
          <w:sz w:val="18"/>
          <w:szCs w:val="18"/>
          <w:lang w:val="el-GR"/>
        </w:rPr>
        <w:t xml:space="preserve"> τα αποτελέσματα μέχρι</w:t>
      </w:r>
      <w:r w:rsidR="00F6313B" w:rsidRPr="00105CDB">
        <w:rPr>
          <w:sz w:val="18"/>
          <w:szCs w:val="18"/>
          <w:lang w:val="el-GR"/>
        </w:rPr>
        <w:t xml:space="preserve"> και 12 μήνες</w:t>
      </w:r>
      <w:r w:rsidRPr="00105CDB">
        <w:rPr>
          <w:sz w:val="18"/>
          <w:szCs w:val="18"/>
          <w:lang w:val="el-GR"/>
        </w:rPr>
        <w:t xml:space="preserve">: </w:t>
      </w:r>
      <w:r w:rsidR="002D36A8" w:rsidRPr="00105CDB">
        <w:rPr>
          <w:sz w:val="18"/>
          <w:szCs w:val="18"/>
          <w:lang w:val="el-GR"/>
        </w:rPr>
        <w:t>Επιβεβαιωμένη ή πιθανολογούμενη</w:t>
      </w:r>
      <w:r w:rsidR="00A26C6D" w:rsidRPr="00105CDB">
        <w:rPr>
          <w:sz w:val="18"/>
          <w:szCs w:val="18"/>
          <w:lang w:val="el-GR"/>
        </w:rPr>
        <w:t xml:space="preserve"> </w:t>
      </w:r>
      <w:r w:rsidR="00A26C6D" w:rsidRPr="00105CDB">
        <w:rPr>
          <w:sz w:val="18"/>
          <w:szCs w:val="18"/>
        </w:rPr>
        <w:t>CMV</w:t>
      </w:r>
      <w:r w:rsidR="00A26C6D" w:rsidRPr="00105CDB">
        <w:rPr>
          <w:sz w:val="18"/>
          <w:szCs w:val="18"/>
          <w:lang w:val="el-GR"/>
        </w:rPr>
        <w:t xml:space="preserve"> νόσος</w:t>
      </w:r>
      <w:r w:rsidR="00D21C6F" w:rsidRPr="00105CDB">
        <w:rPr>
          <w:sz w:val="18"/>
          <w:szCs w:val="18"/>
          <w:lang w:val="el-GR"/>
        </w:rPr>
        <w:t xml:space="preserve"> ήταν </w:t>
      </w:r>
      <w:r w:rsidRPr="00105CDB">
        <w:rPr>
          <w:sz w:val="18"/>
          <w:szCs w:val="18"/>
          <w:lang w:val="el-GR"/>
        </w:rPr>
        <w:t xml:space="preserve">48.5% </w:t>
      </w:r>
      <w:r w:rsidR="00D21C6F" w:rsidRPr="00105CDB">
        <w:rPr>
          <w:sz w:val="18"/>
          <w:szCs w:val="18"/>
          <w:lang w:val="el-GR"/>
        </w:rPr>
        <w:t>στο σκέλος θεραπείας των 100 ημερών έναντι</w:t>
      </w:r>
      <w:r w:rsidRPr="00105CDB">
        <w:rPr>
          <w:sz w:val="18"/>
          <w:szCs w:val="18"/>
          <w:lang w:val="el-GR"/>
        </w:rPr>
        <w:t xml:space="preserve"> 34.2% </w:t>
      </w:r>
      <w:r w:rsidR="00440D0E" w:rsidRPr="00105CDB">
        <w:rPr>
          <w:sz w:val="18"/>
          <w:szCs w:val="18"/>
          <w:lang w:val="el-GR"/>
        </w:rPr>
        <w:t>στο σκέλος θεραπείας των 2</w:t>
      </w:r>
      <w:r w:rsidR="00D21C6F" w:rsidRPr="00105CDB">
        <w:rPr>
          <w:sz w:val="18"/>
          <w:szCs w:val="18"/>
          <w:lang w:val="el-GR"/>
        </w:rPr>
        <w:t>00 ημερών</w:t>
      </w:r>
      <w:r w:rsidR="00F8793E" w:rsidRPr="00105CDB">
        <w:rPr>
          <w:sz w:val="18"/>
          <w:szCs w:val="18"/>
          <w:lang w:val="el-GR"/>
        </w:rPr>
        <w:t>,</w:t>
      </w:r>
      <w:r w:rsidR="00C43DB8" w:rsidRPr="00105CDB">
        <w:rPr>
          <w:sz w:val="18"/>
          <w:szCs w:val="18"/>
          <w:lang w:val="el-GR"/>
        </w:rPr>
        <w:t xml:space="preserve"> η διαφορά μεταξύ ομάδων θεραπείας ήταν</w:t>
      </w:r>
      <w:r w:rsidRPr="00105CDB">
        <w:rPr>
          <w:sz w:val="18"/>
          <w:szCs w:val="18"/>
          <w:lang w:val="el-GR"/>
        </w:rPr>
        <w:t xml:space="preserve"> 14.3% [3.2 %; 25.3%].</w:t>
      </w:r>
    </w:p>
    <w:p w:rsidR="00F2357C" w:rsidRPr="00105CDB" w:rsidRDefault="00F2357C" w:rsidP="00347C0C">
      <w:pPr>
        <w:widowControl w:val="0"/>
        <w:spacing w:line="240" w:lineRule="atLeast"/>
        <w:rPr>
          <w:lang w:val="el-GR"/>
        </w:rPr>
      </w:pPr>
    </w:p>
    <w:p w:rsidR="00BA6432" w:rsidRPr="00105CDB" w:rsidRDefault="00F707F0" w:rsidP="00BA6432">
      <w:pPr>
        <w:rPr>
          <w:rFonts w:eastAsia="PMingLiU"/>
          <w:lang w:val="el-GR" w:eastAsia="zh-TW"/>
        </w:rPr>
      </w:pPr>
      <w:r w:rsidRPr="00105CDB">
        <w:rPr>
          <w:rFonts w:eastAsia="PMingLiU"/>
          <w:lang w:val="el-GR" w:eastAsia="zh-TW"/>
        </w:rPr>
        <w:t>Οι σημαντικά</w:t>
      </w:r>
      <w:r w:rsidR="00D9011F" w:rsidRPr="00105CDB">
        <w:rPr>
          <w:rFonts w:eastAsia="PMingLiU"/>
          <w:lang w:val="el-GR" w:eastAsia="zh-TW"/>
        </w:rPr>
        <w:t xml:space="preserve"> χαμηλού κινδύνου</w:t>
      </w:r>
      <w:r w:rsidRPr="00105CDB">
        <w:rPr>
          <w:rFonts w:eastAsia="PMingLiU"/>
          <w:lang w:val="el-GR" w:eastAsia="zh-TW"/>
        </w:rPr>
        <w:t xml:space="preserve"> λήπτες νεφρικού</w:t>
      </w:r>
      <w:r w:rsidR="00B328A5" w:rsidRPr="00105CDB">
        <w:rPr>
          <w:rFonts w:eastAsia="PMingLiU"/>
          <w:lang w:val="el-GR" w:eastAsia="zh-TW"/>
        </w:rPr>
        <w:t xml:space="preserve"> μοσχεύματος ανέπτυξαν</w:t>
      </w:r>
      <w:r w:rsidR="00BA6432" w:rsidRPr="00105CDB">
        <w:rPr>
          <w:rFonts w:eastAsia="PMingLiU"/>
          <w:lang w:val="el-GR" w:eastAsia="zh-TW"/>
        </w:rPr>
        <w:t xml:space="preserve"> </w:t>
      </w:r>
      <w:r w:rsidR="00BA6432" w:rsidRPr="00105CDB">
        <w:rPr>
          <w:rFonts w:eastAsia="PMingLiU"/>
          <w:lang w:eastAsia="zh-TW"/>
        </w:rPr>
        <w:t>CMV</w:t>
      </w:r>
      <w:r w:rsidR="00BA6432" w:rsidRPr="00105CDB">
        <w:rPr>
          <w:rFonts w:eastAsia="PMingLiU"/>
          <w:lang w:val="el-GR" w:eastAsia="zh-TW"/>
        </w:rPr>
        <w:t xml:space="preserve"> </w:t>
      </w:r>
      <w:r w:rsidR="00B328A5" w:rsidRPr="00105CDB">
        <w:rPr>
          <w:rFonts w:eastAsia="PMingLiU"/>
          <w:lang w:val="el-GR" w:eastAsia="zh-TW"/>
        </w:rPr>
        <w:t>νόσο</w:t>
      </w:r>
      <w:r w:rsidR="008D5386" w:rsidRPr="00105CDB">
        <w:rPr>
          <w:rFonts w:eastAsia="PMingLiU"/>
          <w:lang w:val="el-GR" w:eastAsia="zh-TW"/>
        </w:rPr>
        <w:t xml:space="preserve"> μετά από προ</w:t>
      </w:r>
      <w:r w:rsidR="002A5564" w:rsidRPr="00105CDB">
        <w:rPr>
          <w:rFonts w:eastAsia="PMingLiU"/>
          <w:lang w:val="el-GR" w:eastAsia="zh-TW"/>
        </w:rPr>
        <w:t>φυλακτική αγωγή</w:t>
      </w:r>
      <w:r w:rsidR="008D5386" w:rsidRPr="00105CDB">
        <w:rPr>
          <w:rFonts w:eastAsia="PMingLiU"/>
          <w:lang w:val="el-GR" w:eastAsia="zh-TW"/>
        </w:rPr>
        <w:t xml:space="preserve"> από τον</w:t>
      </w:r>
      <w:r w:rsidR="00637C0D" w:rsidRPr="00105CDB">
        <w:rPr>
          <w:rFonts w:eastAsia="PMingLiU"/>
          <w:lang w:val="el-GR" w:eastAsia="zh-TW"/>
        </w:rPr>
        <w:t xml:space="preserve"> </w:t>
      </w:r>
      <w:r w:rsidR="00637C0D" w:rsidRPr="00105CDB">
        <w:rPr>
          <w:rFonts w:eastAsia="PMingLiU"/>
          <w:lang w:eastAsia="zh-TW"/>
        </w:rPr>
        <w:t>CMV</w:t>
      </w:r>
      <w:r w:rsidR="00637C0D" w:rsidRPr="00105CDB">
        <w:rPr>
          <w:rFonts w:eastAsia="PMingLiU"/>
          <w:lang w:val="el-GR" w:eastAsia="zh-TW"/>
        </w:rPr>
        <w:t xml:space="preserve"> </w:t>
      </w:r>
      <w:r w:rsidR="008D5386" w:rsidRPr="00105CDB">
        <w:rPr>
          <w:rFonts w:eastAsia="PMingLiU"/>
          <w:lang w:val="el-GR" w:eastAsia="zh-TW"/>
        </w:rPr>
        <w:t>με</w:t>
      </w:r>
      <w:r w:rsidR="00BA6432" w:rsidRPr="00105CDB">
        <w:rPr>
          <w:rFonts w:eastAsia="PMingLiU"/>
          <w:lang w:val="el-GR" w:eastAsia="zh-TW"/>
        </w:rPr>
        <w:t xml:space="preserve"> </w:t>
      </w:r>
      <w:proofErr w:type="spellStart"/>
      <w:r w:rsidR="00BA6432" w:rsidRPr="00105CDB">
        <w:rPr>
          <w:rFonts w:eastAsia="PMingLiU"/>
          <w:lang w:eastAsia="zh-TW"/>
        </w:rPr>
        <w:t>Valcyte</w:t>
      </w:r>
      <w:proofErr w:type="spellEnd"/>
      <w:r w:rsidR="00BA6432" w:rsidRPr="00105CDB">
        <w:rPr>
          <w:rFonts w:eastAsia="PMingLiU"/>
          <w:lang w:val="el-GR" w:eastAsia="zh-TW"/>
        </w:rPr>
        <w:t xml:space="preserve"> </w:t>
      </w:r>
      <w:r w:rsidR="007E42D7" w:rsidRPr="00105CDB">
        <w:rPr>
          <w:rFonts w:eastAsia="PMingLiU"/>
          <w:lang w:val="el-GR" w:eastAsia="zh-TW"/>
        </w:rPr>
        <w:t>μέχρι την Ημέρα</w:t>
      </w:r>
      <w:r w:rsidR="00BA6432" w:rsidRPr="00105CDB">
        <w:rPr>
          <w:rFonts w:eastAsia="PMingLiU"/>
          <w:lang w:val="el-GR" w:eastAsia="zh-TW"/>
        </w:rPr>
        <w:t xml:space="preserve"> 200 </w:t>
      </w:r>
      <w:r w:rsidR="007E42D7" w:rsidRPr="00105CDB">
        <w:rPr>
          <w:rFonts w:eastAsia="PMingLiU"/>
          <w:lang w:val="el-GR" w:eastAsia="zh-TW"/>
        </w:rPr>
        <w:t>μετά τη μεταμόσχευση σε σύγκριση με τους ασθενείς που έλαβαν</w:t>
      </w:r>
      <w:r w:rsidR="00BA6432" w:rsidRPr="00105CDB">
        <w:rPr>
          <w:rFonts w:eastAsia="PMingLiU"/>
          <w:lang w:val="el-GR" w:eastAsia="zh-TW"/>
        </w:rPr>
        <w:t xml:space="preserve"> </w:t>
      </w:r>
      <w:r w:rsidR="007E42D7" w:rsidRPr="00105CDB">
        <w:rPr>
          <w:rFonts w:eastAsia="PMingLiU"/>
          <w:lang w:val="el-GR" w:eastAsia="zh-TW"/>
        </w:rPr>
        <w:t xml:space="preserve">προφύλαξη από τον </w:t>
      </w:r>
      <w:r w:rsidR="007E42D7" w:rsidRPr="00105CDB">
        <w:rPr>
          <w:rFonts w:eastAsia="PMingLiU"/>
          <w:lang w:eastAsia="zh-TW"/>
        </w:rPr>
        <w:t>CMV</w:t>
      </w:r>
      <w:r w:rsidR="007E42D7" w:rsidRPr="00105CDB">
        <w:rPr>
          <w:rFonts w:eastAsia="PMingLiU"/>
          <w:lang w:val="el-GR" w:eastAsia="zh-TW"/>
        </w:rPr>
        <w:t xml:space="preserve"> </w:t>
      </w:r>
      <w:r w:rsidR="00D03789" w:rsidRPr="00105CDB">
        <w:rPr>
          <w:rFonts w:eastAsia="PMingLiU"/>
          <w:lang w:val="el-GR" w:eastAsia="zh-TW"/>
        </w:rPr>
        <w:t>με</w:t>
      </w:r>
      <w:r w:rsidR="00BA6432" w:rsidRPr="00105CDB">
        <w:rPr>
          <w:rFonts w:eastAsia="PMingLiU"/>
          <w:lang w:val="el-GR" w:eastAsia="zh-TW"/>
        </w:rPr>
        <w:t xml:space="preserve"> </w:t>
      </w:r>
      <w:proofErr w:type="spellStart"/>
      <w:r w:rsidR="00BA6432" w:rsidRPr="00105CDB">
        <w:rPr>
          <w:rFonts w:eastAsia="PMingLiU"/>
          <w:lang w:eastAsia="zh-TW"/>
        </w:rPr>
        <w:t>Valcyte</w:t>
      </w:r>
      <w:proofErr w:type="spellEnd"/>
      <w:r w:rsidR="00BA6432" w:rsidRPr="00105CDB">
        <w:rPr>
          <w:rFonts w:eastAsia="PMingLiU"/>
          <w:lang w:val="el-GR" w:eastAsia="zh-TW"/>
        </w:rPr>
        <w:t xml:space="preserve"> </w:t>
      </w:r>
      <w:r w:rsidR="00D03789" w:rsidRPr="00105CDB">
        <w:rPr>
          <w:rFonts w:eastAsia="PMingLiU"/>
          <w:lang w:val="el-GR" w:eastAsia="zh-TW"/>
        </w:rPr>
        <w:t>μέχρι την Ημέρα 100 μετά τη μεταμόσχευση</w:t>
      </w:r>
      <w:r w:rsidR="00BA6432" w:rsidRPr="00105CDB">
        <w:rPr>
          <w:rFonts w:eastAsia="PMingLiU"/>
          <w:lang w:val="el-GR" w:eastAsia="zh-TW"/>
        </w:rPr>
        <w:t>.</w:t>
      </w:r>
    </w:p>
    <w:p w:rsidR="00CE3839" w:rsidRPr="00105CDB" w:rsidRDefault="00CE3839" w:rsidP="00347C0C">
      <w:pPr>
        <w:widowControl w:val="0"/>
        <w:spacing w:line="240" w:lineRule="atLeast"/>
        <w:rPr>
          <w:rFonts w:eastAsia="PMingLiU"/>
          <w:lang w:val="el-GR" w:eastAsia="zh-TW"/>
        </w:rPr>
      </w:pPr>
      <w:r w:rsidRPr="00105CDB">
        <w:rPr>
          <w:rFonts w:eastAsia="PMingLiU"/>
          <w:lang w:val="el-GR" w:eastAsia="zh-TW"/>
        </w:rPr>
        <w:t>Το ποσοστό ε</w:t>
      </w:r>
      <w:r w:rsidR="00D53FC7" w:rsidRPr="00105CDB">
        <w:rPr>
          <w:rFonts w:eastAsia="PMingLiU"/>
          <w:lang w:val="el-GR" w:eastAsia="zh-TW"/>
        </w:rPr>
        <w:t>πιβίωσης μοσχεύματος καθώς και η συχνότητα οξείας απόρριψης αποδεδειγμένη με βιοψία ήταν παρόμοια και στις δύο θεραπευτικές ομάδες.</w:t>
      </w:r>
      <w:r w:rsidR="00807993" w:rsidRPr="00105CDB">
        <w:rPr>
          <w:rFonts w:eastAsia="PMingLiU"/>
          <w:lang w:val="el-GR" w:eastAsia="zh-TW"/>
        </w:rPr>
        <w:t xml:space="preserve"> Το ποσοστό επιβίωσης μοσχεύματος 12 μήνες μετά τη μεταμόσχευση ήταν 98.2% (160/163) για δοσολογικό σχήμα 100 ημερών και 98.1% (152/155) για δοσολογικό σχήμα 200 ημερών</w:t>
      </w:r>
      <w:r w:rsidR="001F21CE" w:rsidRPr="00105CDB">
        <w:rPr>
          <w:rFonts w:eastAsia="PMingLiU"/>
          <w:lang w:val="el-GR" w:eastAsia="zh-TW"/>
        </w:rPr>
        <w:t xml:space="preserve">. </w:t>
      </w:r>
      <w:r w:rsidR="00CC5400" w:rsidRPr="00105CDB">
        <w:rPr>
          <w:rFonts w:eastAsia="PMingLiU"/>
          <w:lang w:val="el-GR" w:eastAsia="zh-TW"/>
        </w:rPr>
        <w:t xml:space="preserve">Έχουν αναφερθεί τέσσερα πρόσθετα περιστατικά στο δοσολογικό σχήμα 100 ημερών 24 μήνες μετά τη μεταμόσχευση. </w:t>
      </w:r>
      <w:r w:rsidR="00650D6E" w:rsidRPr="00105CDB">
        <w:rPr>
          <w:rFonts w:eastAsia="PMingLiU"/>
          <w:lang w:val="el-GR" w:eastAsia="zh-TW"/>
        </w:rPr>
        <w:t xml:space="preserve">Η συχνότητα οξείας απόρριψης </w:t>
      </w:r>
      <w:r w:rsidR="005D7A77" w:rsidRPr="00105CDB">
        <w:rPr>
          <w:rFonts w:eastAsia="PMingLiU"/>
          <w:lang w:val="el-GR" w:eastAsia="zh-TW"/>
        </w:rPr>
        <w:t>που τεκμηριώνεται</w:t>
      </w:r>
      <w:r w:rsidR="0052687A" w:rsidRPr="00105CDB">
        <w:rPr>
          <w:rFonts w:eastAsia="PMingLiU"/>
          <w:lang w:val="el-GR" w:eastAsia="zh-TW"/>
        </w:rPr>
        <w:t xml:space="preserve"> με βιοψία</w:t>
      </w:r>
      <w:r w:rsidR="005D7A77" w:rsidRPr="00105CDB">
        <w:rPr>
          <w:rFonts w:eastAsia="PMingLiU"/>
          <w:lang w:val="el-GR" w:eastAsia="zh-TW"/>
        </w:rPr>
        <w:t>,</w:t>
      </w:r>
      <w:r w:rsidR="0052687A" w:rsidRPr="00105CDB">
        <w:rPr>
          <w:rFonts w:eastAsia="PMingLiU"/>
          <w:lang w:val="el-GR" w:eastAsia="zh-TW"/>
        </w:rPr>
        <w:t xml:space="preserve"> </w:t>
      </w:r>
      <w:r w:rsidR="00650D6E" w:rsidRPr="00105CDB">
        <w:rPr>
          <w:rFonts w:eastAsia="PMingLiU"/>
          <w:lang w:val="el-GR" w:eastAsia="zh-TW"/>
        </w:rPr>
        <w:t>12 μήνες μετά τη μεταμόσχευση ήταν 17.2% (28/163) για δοσολογικό σχήμα 100 ημερών και 11.0% (17/155) για δοσολογικό σχήμα 200 ημερών</w:t>
      </w:r>
      <w:r w:rsidR="008774B3" w:rsidRPr="00105CDB">
        <w:rPr>
          <w:rFonts w:eastAsia="PMingLiU"/>
          <w:lang w:val="el-GR" w:eastAsia="zh-TW"/>
        </w:rPr>
        <w:t>.</w:t>
      </w:r>
    </w:p>
    <w:p w:rsidR="00C15E9B" w:rsidRPr="00105CDB" w:rsidRDefault="00925D66" w:rsidP="00347C0C">
      <w:pPr>
        <w:widowControl w:val="0"/>
        <w:spacing w:line="240" w:lineRule="atLeast"/>
        <w:rPr>
          <w:rFonts w:eastAsia="PMingLiU"/>
          <w:lang w:val="el-GR" w:eastAsia="zh-TW"/>
        </w:rPr>
      </w:pPr>
      <w:r w:rsidRPr="00105CDB">
        <w:rPr>
          <w:rFonts w:eastAsia="PMingLiU"/>
          <w:lang w:val="el-GR" w:eastAsia="zh-TW"/>
        </w:rPr>
        <w:t>Έχει αναφερθεί</w:t>
      </w:r>
      <w:r w:rsidR="00835EC4" w:rsidRPr="00105CDB">
        <w:rPr>
          <w:rFonts w:eastAsia="PMingLiU"/>
          <w:lang w:val="el-GR" w:eastAsia="zh-TW"/>
        </w:rPr>
        <w:t xml:space="preserve"> ένα πρόσθετο περιστατικό στο δοσολογικό</w:t>
      </w:r>
      <w:r w:rsidRPr="00105CDB">
        <w:rPr>
          <w:rFonts w:eastAsia="PMingLiU"/>
          <w:lang w:val="el-GR" w:eastAsia="zh-TW"/>
        </w:rPr>
        <w:t xml:space="preserve"> </w:t>
      </w:r>
      <w:r w:rsidR="00835EC4" w:rsidRPr="00105CDB">
        <w:rPr>
          <w:rFonts w:eastAsia="PMingLiU"/>
          <w:lang w:val="el-GR" w:eastAsia="zh-TW"/>
        </w:rPr>
        <w:t xml:space="preserve">σχήμα 200 ημερών </w:t>
      </w:r>
      <w:r w:rsidR="00250C43" w:rsidRPr="00105CDB">
        <w:rPr>
          <w:rFonts w:eastAsia="PMingLiU"/>
          <w:lang w:val="el-GR" w:eastAsia="zh-TW"/>
        </w:rPr>
        <w:t xml:space="preserve">μέχρι και </w:t>
      </w:r>
      <w:r w:rsidRPr="00105CDB">
        <w:rPr>
          <w:rFonts w:eastAsia="PMingLiU"/>
          <w:lang w:val="el-GR" w:eastAsia="zh-TW"/>
        </w:rPr>
        <w:t xml:space="preserve">24 μήνες </w:t>
      </w:r>
      <w:r w:rsidR="00835EC4" w:rsidRPr="00105CDB">
        <w:rPr>
          <w:rFonts w:eastAsia="PMingLiU"/>
          <w:lang w:val="el-GR" w:eastAsia="zh-TW"/>
        </w:rPr>
        <w:t xml:space="preserve">μετά τη μεταμόσχευση. </w:t>
      </w:r>
    </w:p>
    <w:p w:rsidR="002700A3" w:rsidRPr="00105CDB" w:rsidRDefault="002700A3" w:rsidP="00347C0C">
      <w:pPr>
        <w:widowControl w:val="0"/>
        <w:spacing w:line="240" w:lineRule="atLeast"/>
        <w:rPr>
          <w:rFonts w:eastAsia="PMingLiU"/>
          <w:lang w:val="el-GR" w:eastAsia="zh-TW"/>
        </w:rPr>
      </w:pPr>
    </w:p>
    <w:p w:rsidR="00262A1F" w:rsidRPr="00105CDB" w:rsidRDefault="00262A1F" w:rsidP="00262A1F">
      <w:pPr>
        <w:widowControl w:val="0"/>
        <w:spacing w:line="240" w:lineRule="atLeast"/>
        <w:rPr>
          <w:u w:val="single"/>
          <w:lang w:val="el-GR"/>
        </w:rPr>
      </w:pPr>
      <w:r w:rsidRPr="00105CDB">
        <w:rPr>
          <w:u w:val="single"/>
          <w:lang w:val="el-GR"/>
        </w:rPr>
        <w:t>Ιική αντοχή</w:t>
      </w:r>
    </w:p>
    <w:p w:rsidR="00262A1F" w:rsidRPr="00105CDB" w:rsidRDefault="00262A1F" w:rsidP="00262A1F">
      <w:pPr>
        <w:widowControl w:val="0"/>
        <w:spacing w:line="240" w:lineRule="atLeast"/>
        <w:rPr>
          <w:lang w:val="el-GR"/>
        </w:rPr>
      </w:pPr>
    </w:p>
    <w:p w:rsidR="00262A1F" w:rsidRPr="00105CDB" w:rsidRDefault="00262A1F" w:rsidP="00262A1F">
      <w:pPr>
        <w:widowControl w:val="0"/>
        <w:spacing w:line="240" w:lineRule="atLeast"/>
        <w:rPr>
          <w:lang w:val="el-GR"/>
        </w:rPr>
      </w:pPr>
      <w:r w:rsidRPr="00105CDB">
        <w:rPr>
          <w:lang w:val="el-GR"/>
        </w:rPr>
        <w:t>Μετά από χρόνια χορήγηση βαλγκανσικλοβίρης μπορεί να εμφανιστεί αντοχή του ιού στην γκανσικλοβίρη μέσω επιλογής μεταλλάξεων στο γονίδιο της ιικής κινάσης (</w:t>
      </w:r>
      <w:r w:rsidRPr="00105CDB">
        <w:t>UL</w:t>
      </w:r>
      <w:r w:rsidRPr="00105CDB">
        <w:rPr>
          <w:lang w:val="el-GR"/>
        </w:rPr>
        <w:t>97) που ευθύνεται για τη μονοφωσφορυλίωση της γκανσικλοβίρης και/ή στο γονιδίο της ιικής πολυμεράσης (</w:t>
      </w:r>
      <w:r w:rsidRPr="00105CDB">
        <w:t>UL</w:t>
      </w:r>
      <w:r w:rsidRPr="00105CDB">
        <w:rPr>
          <w:lang w:val="el-GR"/>
        </w:rPr>
        <w:t xml:space="preserve">54). Οι ιοί που περιέχουν μεταλλάξεις στο γονίδιο </w:t>
      </w:r>
      <w:r w:rsidRPr="00105CDB">
        <w:t>UL</w:t>
      </w:r>
      <w:r w:rsidRPr="00105CDB">
        <w:rPr>
          <w:lang w:val="el-GR"/>
        </w:rPr>
        <w:t xml:space="preserve">97 είναι ανθεκτικοί στην γκανσικλοβίρη μόνη, ενώ οι ιοί με μεταλλάξεις στο γονίδιο </w:t>
      </w:r>
      <w:r w:rsidRPr="00105CDB">
        <w:t>UL</w:t>
      </w:r>
      <w:r w:rsidRPr="00105CDB">
        <w:rPr>
          <w:lang w:val="el-GR"/>
        </w:rPr>
        <w:t>54 είναι ανθεκτικοί στην γκανσικλοβίρη αλλά πιθανόν να εμφανίζουν διασταυρούμενη αντίσταση σε άλλα αντιικά, τα οποία στοχεύουν επίσης την ιική πολυμεράση.</w:t>
      </w:r>
    </w:p>
    <w:p w:rsidR="00262A1F" w:rsidRPr="00105CDB" w:rsidRDefault="00262A1F" w:rsidP="00262A1F">
      <w:pPr>
        <w:widowControl w:val="0"/>
        <w:spacing w:line="240" w:lineRule="atLeast"/>
        <w:rPr>
          <w:i/>
          <w:lang w:val="el-GR"/>
        </w:rPr>
      </w:pPr>
    </w:p>
    <w:p w:rsidR="00262A1F" w:rsidRPr="00105CDB" w:rsidRDefault="00250C43" w:rsidP="00262A1F">
      <w:pPr>
        <w:widowControl w:val="0"/>
        <w:spacing w:line="240" w:lineRule="atLeast"/>
        <w:rPr>
          <w:lang w:val="el-GR"/>
        </w:rPr>
      </w:pPr>
      <w:r w:rsidRPr="00105CDB">
        <w:rPr>
          <w:i/>
          <w:lang w:val="el-GR"/>
        </w:rPr>
        <w:t>Θεραπεία</w:t>
      </w:r>
      <w:r w:rsidR="00262A1F" w:rsidRPr="00105CDB">
        <w:rPr>
          <w:i/>
          <w:lang w:val="el-GR"/>
        </w:rPr>
        <w:t xml:space="preserve"> αμφιβληστροειδίτιδα</w:t>
      </w:r>
      <w:r w:rsidRPr="00105CDB">
        <w:rPr>
          <w:i/>
          <w:lang w:val="el-GR"/>
        </w:rPr>
        <w:t>ς</w:t>
      </w:r>
      <w:r w:rsidR="00262A1F" w:rsidRPr="00105CDB">
        <w:rPr>
          <w:i/>
          <w:lang w:val="el-GR"/>
        </w:rPr>
        <w:t xml:space="preserve"> από </w:t>
      </w:r>
      <w:r w:rsidR="00262A1F" w:rsidRPr="00105CDB">
        <w:rPr>
          <w:i/>
        </w:rPr>
        <w:t>CMV</w:t>
      </w:r>
      <w:r w:rsidR="00453271" w:rsidRPr="00105CDB">
        <w:rPr>
          <w:i/>
          <w:lang w:val="el-GR"/>
        </w:rPr>
        <w:t>:</w:t>
      </w:r>
    </w:p>
    <w:p w:rsidR="00262A1F" w:rsidRPr="00105CDB" w:rsidRDefault="00262A1F" w:rsidP="00262A1F">
      <w:pPr>
        <w:widowControl w:val="0"/>
        <w:spacing w:line="240" w:lineRule="atLeast"/>
        <w:rPr>
          <w:lang w:val="el-GR"/>
        </w:rPr>
      </w:pPr>
      <w:r w:rsidRPr="00105CDB">
        <w:rPr>
          <w:lang w:val="el-GR"/>
        </w:rPr>
        <w:t xml:space="preserve">Γονοτυπική ανάλυση του </w:t>
      </w:r>
      <w:r w:rsidRPr="00105CDB">
        <w:t>CMV</w:t>
      </w:r>
      <w:r w:rsidRPr="00105CDB">
        <w:rPr>
          <w:lang w:val="el-GR"/>
        </w:rPr>
        <w:t xml:space="preserve"> σε πολυμορφοπύρηνα λευκοκύτταρα (</w:t>
      </w:r>
      <w:r w:rsidRPr="00105CDB">
        <w:t>PMNL</w:t>
      </w:r>
      <w:r w:rsidRPr="00105CDB">
        <w:rPr>
          <w:lang w:val="el-GR"/>
        </w:rPr>
        <w:t xml:space="preserve">), απομονωθέντα από 148 ασθενείς με αμφιβληστροειδίτιδα από CMV, ενταγμένους σε μία κλινική μελέτη, έδειξε ότι το 2,2%, 6,5%, 12,8% και 15,3% αυτών περιέχουν μεταλλάξεις του </w:t>
      </w:r>
      <w:r w:rsidRPr="00105CDB">
        <w:t>UL</w:t>
      </w:r>
      <w:r w:rsidRPr="00105CDB">
        <w:rPr>
          <w:lang w:val="el-GR"/>
        </w:rPr>
        <w:t xml:space="preserve">97 μετά από 3, 6, 12 και 18 μήνες, αντίστοιχα, αγωγής με βαλγκανσικλοβίρη. </w:t>
      </w:r>
    </w:p>
    <w:p w:rsidR="00262A1F" w:rsidRPr="00105CDB" w:rsidRDefault="00262A1F" w:rsidP="00262A1F">
      <w:pPr>
        <w:widowControl w:val="0"/>
        <w:spacing w:line="240" w:lineRule="atLeast"/>
        <w:ind w:left="1440"/>
        <w:rPr>
          <w:lang w:val="el-GR"/>
        </w:rPr>
      </w:pPr>
    </w:p>
    <w:p w:rsidR="00262A1F" w:rsidRPr="00105CDB" w:rsidRDefault="00262A1F" w:rsidP="00262A1F">
      <w:pPr>
        <w:widowControl w:val="0"/>
        <w:spacing w:line="240" w:lineRule="atLeast"/>
        <w:rPr>
          <w:i/>
          <w:lang w:val="el-GR"/>
        </w:rPr>
      </w:pPr>
      <w:r w:rsidRPr="00105CDB">
        <w:rPr>
          <w:i/>
          <w:lang w:val="el-GR"/>
        </w:rPr>
        <w:t xml:space="preserve">Πρόληψη </w:t>
      </w:r>
      <w:r w:rsidR="00E66F7F" w:rsidRPr="00105CDB">
        <w:rPr>
          <w:i/>
          <w:lang w:val="el-GR"/>
        </w:rPr>
        <w:t xml:space="preserve">από </w:t>
      </w:r>
      <w:r w:rsidRPr="00105CDB">
        <w:rPr>
          <w:i/>
          <w:lang w:val="el-GR"/>
        </w:rPr>
        <w:t>τη νόσο  CMV στη μεταμόσχευση:</w:t>
      </w:r>
    </w:p>
    <w:p w:rsidR="00105E68" w:rsidRPr="00105CDB" w:rsidRDefault="00BC3FF4" w:rsidP="00262A1F">
      <w:pPr>
        <w:widowControl w:val="0"/>
        <w:spacing w:line="240" w:lineRule="atLeast"/>
        <w:rPr>
          <w:u w:val="single"/>
          <w:lang w:val="el-GR"/>
        </w:rPr>
      </w:pPr>
      <w:r w:rsidRPr="00105CDB">
        <w:rPr>
          <w:u w:val="single"/>
          <w:lang w:val="el-GR"/>
        </w:rPr>
        <w:t>Ενεργή σ</w:t>
      </w:r>
      <w:r w:rsidR="00105E68" w:rsidRPr="00105CDB">
        <w:rPr>
          <w:u w:val="single"/>
          <w:lang w:val="el-GR"/>
        </w:rPr>
        <w:t>υγκριτική μελέτη</w:t>
      </w:r>
    </w:p>
    <w:p w:rsidR="00262A1F" w:rsidRPr="00105CDB" w:rsidRDefault="00262A1F" w:rsidP="00262A1F">
      <w:pPr>
        <w:widowControl w:val="0"/>
        <w:spacing w:line="240" w:lineRule="atLeast"/>
        <w:rPr>
          <w:lang w:val="el-GR"/>
        </w:rPr>
      </w:pPr>
      <w:r w:rsidRPr="00105CDB">
        <w:rPr>
          <w:lang w:val="el-GR"/>
        </w:rPr>
        <w:t>Η αντοχή μελετήθηκε μέσω γονοτυπικής ανάλυσης του CMV σε δείγματα PMNL συλλεχθέντα α) την Ημέρα 100 (πέρας της προφύλαξης με το υπό μελέτη φάρμακο) και β) σε περιπτώσεις όπου υπήρχε υποψία νόσου CMV, έως και 6 μήνες μετά τη μεταμόσχευση. Από τους 245 ασθενείς που τυχαιοποιήθηκαν να λάβουν βαλγκανσικλοβίρη, ήταν διαθέσιμα για έλεγχο 198 δείγματα της Ημέρας 100 και δεν παρατηρήθηκε καμμία μετάλλαξη αντοχής στη γκανσικλοβίρη. Συγκριτικά ανιχνεύθηκαν 2 μεταλλάξεις αντοχής στη γκανσικλοβίρη σε 103 αναλυθέντα δείγματα (1,9%) για τους ασθενείς στο σκέλος της από του στόματος γκανσικλοβίρης.</w:t>
      </w:r>
    </w:p>
    <w:p w:rsidR="00262A1F" w:rsidRPr="00105CDB" w:rsidRDefault="00262A1F" w:rsidP="00262A1F">
      <w:pPr>
        <w:widowControl w:val="0"/>
        <w:spacing w:line="240" w:lineRule="atLeast"/>
        <w:rPr>
          <w:lang w:val="el-GR"/>
        </w:rPr>
      </w:pPr>
    </w:p>
    <w:p w:rsidR="00262A1F" w:rsidRPr="00105CDB" w:rsidRDefault="00262A1F" w:rsidP="00262A1F">
      <w:pPr>
        <w:widowControl w:val="0"/>
        <w:spacing w:line="240" w:lineRule="atLeast"/>
        <w:rPr>
          <w:lang w:val="el-GR"/>
        </w:rPr>
      </w:pPr>
      <w:r w:rsidRPr="00105CDB">
        <w:rPr>
          <w:lang w:val="el-GR"/>
        </w:rPr>
        <w:t xml:space="preserve">Από τους 245 ασθενείς που είχαν τυχαιοποιηθεί ώστε να λάβουν βαλγκανσικλοβίρη, εξετάσθηκαν δείγματα 50 ασθενών για τους οποίους υπήρχε υποψία νόσου CMV και δεν παρατηρήθηκε καμμία μετάλλαξη αντοχής. Από τους 127 ασθενείς που είχαν τυχαιοποιηθεί ώστε να λάβουν γκανσικλοβίρη </w:t>
      </w:r>
      <w:r w:rsidRPr="00105CDB">
        <w:rPr>
          <w:lang w:val="el-GR"/>
        </w:rPr>
        <w:lastRenderedPageBreak/>
        <w:t>στο συγκριτικό σκέλος, εξετάσθηκαν δείγματα από 29 ασθενείς για τους οποίους υπήρχε υποψία νόσου CMV, στα οποία παρατηρήθηκαν δύο μεταλλάξεις αντοχής, δίνοντας συχνότητα εμφάνισης της αντοχής 6,9%.</w:t>
      </w:r>
    </w:p>
    <w:p w:rsidR="00105E68" w:rsidRPr="00105CDB" w:rsidRDefault="00105E68" w:rsidP="00262A1F">
      <w:pPr>
        <w:widowControl w:val="0"/>
        <w:spacing w:line="240" w:lineRule="atLeast"/>
        <w:rPr>
          <w:lang w:val="el-GR"/>
        </w:rPr>
      </w:pPr>
    </w:p>
    <w:p w:rsidR="00105E68" w:rsidRPr="00105CDB" w:rsidRDefault="00015325" w:rsidP="00262A1F">
      <w:pPr>
        <w:widowControl w:val="0"/>
        <w:spacing w:line="240" w:lineRule="atLeast"/>
        <w:rPr>
          <w:u w:val="single"/>
          <w:lang w:val="el-GR"/>
        </w:rPr>
      </w:pPr>
      <w:r w:rsidRPr="00105CDB">
        <w:rPr>
          <w:u w:val="single"/>
          <w:lang w:val="el-GR"/>
        </w:rPr>
        <w:t>Μελέτη ε</w:t>
      </w:r>
      <w:r w:rsidR="00105E68" w:rsidRPr="00105CDB">
        <w:rPr>
          <w:u w:val="single"/>
          <w:lang w:val="el-GR"/>
        </w:rPr>
        <w:t>πέκταση</w:t>
      </w:r>
      <w:r w:rsidRPr="00105CDB">
        <w:rPr>
          <w:u w:val="single"/>
          <w:lang w:val="el-GR"/>
        </w:rPr>
        <w:t>ς</w:t>
      </w:r>
      <w:r w:rsidR="00105E68" w:rsidRPr="00105CDB">
        <w:rPr>
          <w:u w:val="single"/>
          <w:lang w:val="el-GR"/>
        </w:rPr>
        <w:t xml:space="preserve"> της  προφύλαξης από 100 σε 200 ημέρες μετά τη μεταμόσχευση</w:t>
      </w:r>
    </w:p>
    <w:p w:rsidR="00105E68" w:rsidRPr="00105CDB" w:rsidRDefault="00DC33D0" w:rsidP="00262A1F">
      <w:pPr>
        <w:widowControl w:val="0"/>
        <w:spacing w:line="240" w:lineRule="atLeast"/>
        <w:rPr>
          <w:lang w:val="el-GR"/>
        </w:rPr>
      </w:pPr>
      <w:r w:rsidRPr="00105CDB">
        <w:rPr>
          <w:lang w:val="el-GR"/>
        </w:rPr>
        <w:t xml:space="preserve">Γονοτυπική ανάλυση πραγματοποιήθηκε στα γονίδια </w:t>
      </w:r>
      <w:r w:rsidRPr="00105CDB">
        <w:rPr>
          <w:iCs/>
          <w:lang w:val="en-GB"/>
        </w:rPr>
        <w:t>UL</w:t>
      </w:r>
      <w:r w:rsidRPr="00105CDB">
        <w:rPr>
          <w:iCs/>
          <w:lang w:val="el-GR"/>
        </w:rPr>
        <w:t xml:space="preserve">54 και </w:t>
      </w:r>
      <w:r w:rsidRPr="00105CDB">
        <w:rPr>
          <w:iCs/>
          <w:lang w:val="en-GB"/>
        </w:rPr>
        <w:t>UL</w:t>
      </w:r>
      <w:r w:rsidRPr="00105CDB">
        <w:rPr>
          <w:iCs/>
          <w:lang w:val="el-GR"/>
        </w:rPr>
        <w:t>97</w:t>
      </w:r>
      <w:r w:rsidR="00F36FA7" w:rsidRPr="00105CDB">
        <w:rPr>
          <w:iCs/>
          <w:lang w:val="el-GR"/>
        </w:rPr>
        <w:t xml:space="preserve"> του ιού </w:t>
      </w:r>
      <w:r w:rsidR="007C5080" w:rsidRPr="00105CDB">
        <w:rPr>
          <w:iCs/>
          <w:lang w:val="el-GR"/>
        </w:rPr>
        <w:t xml:space="preserve">από 72 ασθενείς που πληρούσαν τα κριτήρια ανάλυσης αντοχής: </w:t>
      </w:r>
      <w:r w:rsidR="00423EBD" w:rsidRPr="00105CDB">
        <w:rPr>
          <w:iCs/>
          <w:lang w:val="el-GR"/>
        </w:rPr>
        <w:t>ασθενείς που είχαν θετικό ιικό φορτίο (&gt;600 αντίγραφα/</w:t>
      </w:r>
      <w:r w:rsidR="00423EBD" w:rsidRPr="00105CDB">
        <w:rPr>
          <w:iCs/>
        </w:rPr>
        <w:t>ml</w:t>
      </w:r>
      <w:r w:rsidR="00423EBD" w:rsidRPr="00105CDB">
        <w:rPr>
          <w:iCs/>
          <w:lang w:val="el-GR"/>
        </w:rPr>
        <w:t>) στο τέλος της προφυλακτικής αγωγής και/ή ασθενείς που είχαν επιβεβαιωμένη</w:t>
      </w:r>
      <w:r w:rsidR="00423EBD" w:rsidRPr="00105CDB">
        <w:rPr>
          <w:lang w:val="el-GR"/>
        </w:rPr>
        <w:t xml:space="preserve"> νόσο CMV</w:t>
      </w:r>
      <w:r w:rsidR="00423EBD" w:rsidRPr="00105CDB">
        <w:rPr>
          <w:iCs/>
          <w:lang w:val="el-GR"/>
        </w:rPr>
        <w:t xml:space="preserve"> </w:t>
      </w:r>
      <w:r w:rsidR="004A6273" w:rsidRPr="00105CDB">
        <w:rPr>
          <w:iCs/>
          <w:lang w:val="el-GR"/>
        </w:rPr>
        <w:t>μέχρι και 12 μήνες (52 εβδομάδες) μετά τη μεταμόσχευση. Τρεις ασθενείς σε κάθε ομάδα θεραπείας</w:t>
      </w:r>
      <w:r w:rsidR="00B02F41" w:rsidRPr="00105CDB">
        <w:rPr>
          <w:iCs/>
          <w:lang w:val="el-GR"/>
        </w:rPr>
        <w:t xml:space="preserve"> παρουσίασαν γνωστή μετάλλαξη αντοχής στη </w:t>
      </w:r>
      <w:r w:rsidR="00B02F41" w:rsidRPr="00105CDB">
        <w:rPr>
          <w:lang w:val="el-GR"/>
        </w:rPr>
        <w:t>γκανσικλοβίρη.</w:t>
      </w:r>
    </w:p>
    <w:p w:rsidR="00995E9E" w:rsidRPr="00105CDB" w:rsidRDefault="00995E9E" w:rsidP="00262A1F">
      <w:pPr>
        <w:widowControl w:val="0"/>
        <w:spacing w:line="240" w:lineRule="atLeast"/>
        <w:rPr>
          <w:lang w:val="el-GR"/>
        </w:rPr>
      </w:pPr>
    </w:p>
    <w:p w:rsidR="00336218" w:rsidRPr="00105CDB" w:rsidRDefault="00995E9E" w:rsidP="00995E9E">
      <w:pPr>
        <w:textAlignment w:val="top"/>
        <w:rPr>
          <w:iCs/>
          <w:u w:val="single"/>
          <w:lang w:val="el-GR"/>
        </w:rPr>
      </w:pPr>
      <w:r w:rsidRPr="00105CDB">
        <w:rPr>
          <w:iCs/>
          <w:u w:val="single"/>
          <w:lang w:val="el-GR"/>
        </w:rPr>
        <w:t>Παιδιατρικός πληθυσμός</w:t>
      </w:r>
    </w:p>
    <w:p w:rsidR="00336218" w:rsidRPr="00105CDB" w:rsidRDefault="00336218" w:rsidP="00995E9E">
      <w:pPr>
        <w:textAlignment w:val="top"/>
        <w:rPr>
          <w:iCs/>
          <w:u w:val="single"/>
          <w:lang w:val="el-GR"/>
        </w:rPr>
      </w:pPr>
    </w:p>
    <w:p w:rsidR="00336218" w:rsidRPr="00105CDB" w:rsidRDefault="00995E9E" w:rsidP="00336218">
      <w:pPr>
        <w:keepNext/>
        <w:keepLines/>
        <w:spacing w:after="160" w:line="260" w:lineRule="auto"/>
        <w:rPr>
          <w:i/>
          <w:szCs w:val="24"/>
          <w:lang w:val="el-GR"/>
        </w:rPr>
      </w:pPr>
      <w:r w:rsidRPr="00105CDB">
        <w:rPr>
          <w:b/>
          <w:i/>
          <w:iCs/>
          <w:lang w:val="el-GR"/>
        </w:rPr>
        <w:br/>
      </w:r>
      <w:r w:rsidR="00336218" w:rsidRPr="00105CDB">
        <w:rPr>
          <w:i/>
          <w:szCs w:val="24"/>
          <w:lang w:val="el-GR"/>
        </w:rPr>
        <w:t xml:space="preserve">Θεραπεία της αμφιβληστροειδίτιδας από </w:t>
      </w:r>
      <w:r w:rsidR="00336218" w:rsidRPr="00105CDB">
        <w:rPr>
          <w:i/>
          <w:szCs w:val="24"/>
        </w:rPr>
        <w:t>CMV</w:t>
      </w:r>
      <w:r w:rsidR="00336218" w:rsidRPr="00105CDB">
        <w:rPr>
          <w:i/>
          <w:szCs w:val="24"/>
          <w:lang w:val="el-GR"/>
        </w:rPr>
        <w:t>:</w:t>
      </w:r>
    </w:p>
    <w:p w:rsidR="00336218" w:rsidRPr="00105CDB" w:rsidRDefault="00336218" w:rsidP="00336218">
      <w:pPr>
        <w:spacing w:after="160" w:line="260" w:lineRule="auto"/>
        <w:outlineLvl w:val="0"/>
        <w:rPr>
          <w:rFonts w:ascii="SimSun" w:eastAsia="SimSun"/>
          <w:szCs w:val="24"/>
          <w:lang w:val="el-GR"/>
        </w:rPr>
      </w:pPr>
      <w:r w:rsidRPr="00105CDB">
        <w:rPr>
          <w:szCs w:val="24"/>
          <w:lang w:val="el-GR"/>
        </w:rPr>
        <w:t xml:space="preserve">Ο Ευρωπαϊκός Οργανισμός Φαρμάκων έχει δώσει απαλλαγή από την υποχρέωση υποβολής των αποτελεσμάτων των μελετών με το </w:t>
      </w:r>
      <w:proofErr w:type="spellStart"/>
      <w:r w:rsidRPr="00105CDB">
        <w:rPr>
          <w:szCs w:val="24"/>
        </w:rPr>
        <w:t>Valcyte</w:t>
      </w:r>
      <w:proofErr w:type="spellEnd"/>
      <w:r w:rsidRPr="00105CDB">
        <w:rPr>
          <w:szCs w:val="24"/>
          <w:lang w:val="el-GR"/>
        </w:rPr>
        <w:t xml:space="preserve"> σε όλα τα υποσύνολα παιδιατρικού πληθυσμού στη θεραπεία λοίμωξης εξαιτίας του </w:t>
      </w:r>
      <w:r w:rsidRPr="00105CDB">
        <w:rPr>
          <w:szCs w:val="24"/>
        </w:rPr>
        <w:t>CMV</w:t>
      </w:r>
      <w:r w:rsidRPr="00105CDB">
        <w:rPr>
          <w:szCs w:val="24"/>
          <w:lang w:val="el-GR"/>
        </w:rPr>
        <w:t xml:space="preserve"> σε ανοσοκατασταλμένους ασθενείς (βλ. παράγραφο 4.2 για πληροφορίες για παιδιατρική χρήση).</w:t>
      </w:r>
    </w:p>
    <w:p w:rsidR="00336218" w:rsidRPr="00105CDB" w:rsidRDefault="00336218" w:rsidP="00336218">
      <w:pPr>
        <w:spacing w:after="160" w:line="260" w:lineRule="auto"/>
        <w:rPr>
          <w:i/>
          <w:sz w:val="24"/>
          <w:szCs w:val="24"/>
          <w:lang w:val="el-GR"/>
        </w:rPr>
      </w:pPr>
      <w:r w:rsidRPr="00105CDB">
        <w:rPr>
          <w:i/>
          <w:sz w:val="24"/>
          <w:szCs w:val="24"/>
          <w:lang w:val="el-GR"/>
        </w:rPr>
        <w:t xml:space="preserve">Πρόληψη της νόσου </w:t>
      </w:r>
      <w:r w:rsidRPr="00105CDB">
        <w:rPr>
          <w:i/>
          <w:sz w:val="24"/>
          <w:szCs w:val="24"/>
        </w:rPr>
        <w:t>CMV</w:t>
      </w:r>
      <w:r w:rsidRPr="00105CDB">
        <w:rPr>
          <w:i/>
          <w:sz w:val="24"/>
          <w:szCs w:val="24"/>
          <w:lang w:val="el-GR"/>
        </w:rPr>
        <w:t xml:space="preserve"> στη μεταμόσχευση</w:t>
      </w:r>
    </w:p>
    <w:p w:rsidR="00336218" w:rsidRPr="00105CDB" w:rsidRDefault="00995E9E" w:rsidP="00995E9E">
      <w:pPr>
        <w:textAlignment w:val="top"/>
        <w:rPr>
          <w:iCs/>
          <w:lang w:val="el-GR"/>
        </w:rPr>
      </w:pPr>
      <w:r w:rsidRPr="00105CDB">
        <w:rPr>
          <w:iCs/>
          <w:lang w:val="el-GR"/>
        </w:rPr>
        <w:t xml:space="preserve">Μια </w:t>
      </w:r>
      <w:r w:rsidR="007C3EB3" w:rsidRPr="00105CDB">
        <w:rPr>
          <w:iCs/>
          <w:lang w:val="el-GR"/>
        </w:rPr>
        <w:t xml:space="preserve">φαρμακοκινητική και μελέτη ασφάλειας </w:t>
      </w:r>
      <w:r w:rsidRPr="00105CDB">
        <w:rPr>
          <w:iCs/>
          <w:lang w:val="el-GR"/>
        </w:rPr>
        <w:t xml:space="preserve">φάσης ΙΙ σε παιδιατρικούς λήπτες μοσχευμάτων συμπαγών οργάνων (ηλικίας από 4 μηνών έως 16 ετών, n = 63) που έλαβαν </w:t>
      </w:r>
      <w:r w:rsidRPr="00105CDB">
        <w:rPr>
          <w:lang w:val="el-GR"/>
        </w:rPr>
        <w:t>βαλγκανσικλοβίρη</w:t>
      </w:r>
      <w:r w:rsidR="00EC082B" w:rsidRPr="00105CDB">
        <w:rPr>
          <w:iCs/>
          <w:lang w:val="el-GR"/>
        </w:rPr>
        <w:t xml:space="preserve"> μία φορά ημερησίως</w:t>
      </w:r>
      <w:r w:rsidRPr="00105CDB">
        <w:rPr>
          <w:iCs/>
          <w:lang w:val="el-GR"/>
        </w:rPr>
        <w:t xml:space="preserve"> έως και 100 ημέρες,</w:t>
      </w:r>
      <w:r w:rsidR="00EC082B" w:rsidRPr="00105CDB">
        <w:rPr>
          <w:iCs/>
          <w:lang w:val="el-GR"/>
        </w:rPr>
        <w:t xml:space="preserve"> κατέδειξε εκθέσεις παρό</w:t>
      </w:r>
      <w:r w:rsidR="007C3EB3" w:rsidRPr="00105CDB">
        <w:rPr>
          <w:iCs/>
          <w:lang w:val="el-GR"/>
        </w:rPr>
        <w:t>μοιες με αυτές των ενηλίκων (βλέπε</w:t>
      </w:r>
      <w:r w:rsidR="00EC082B" w:rsidRPr="00105CDB">
        <w:rPr>
          <w:iCs/>
          <w:lang w:val="el-GR"/>
        </w:rPr>
        <w:t xml:space="preserve"> παράγραφο 5.2 )</w:t>
      </w:r>
      <w:r w:rsidRPr="00105CDB">
        <w:rPr>
          <w:iCs/>
          <w:lang w:val="el-GR"/>
        </w:rPr>
        <w:t xml:space="preserve"> σύμφωνα με </w:t>
      </w:r>
      <w:r w:rsidR="00336218" w:rsidRPr="00105CDB">
        <w:rPr>
          <w:iCs/>
          <w:lang w:val="el-GR"/>
        </w:rPr>
        <w:t xml:space="preserve">τον παιδιατρικό </w:t>
      </w:r>
      <w:r w:rsidRPr="00105CDB">
        <w:rPr>
          <w:iCs/>
          <w:lang w:val="el-GR"/>
        </w:rPr>
        <w:t>δοσολογικό αλγόριθμο</w:t>
      </w:r>
      <w:r w:rsidR="00336218" w:rsidRPr="00105CDB">
        <w:rPr>
          <w:iCs/>
          <w:lang w:val="el-GR"/>
        </w:rPr>
        <w:t xml:space="preserve"> (βλέπε παράγραφο 4.2)</w:t>
      </w:r>
      <w:r w:rsidRPr="00105CDB">
        <w:rPr>
          <w:iCs/>
          <w:lang w:val="el-GR"/>
        </w:rPr>
        <w:t xml:space="preserve">. Η παρακολούθηση μετά τη θεραπεία ήταν 12 εβδομάδες. Η ορολογική κατάσταση D/R </w:t>
      </w:r>
      <w:r w:rsidR="00EC082B" w:rsidRPr="00105CDB">
        <w:rPr>
          <w:iCs/>
          <w:lang w:val="el-GR"/>
        </w:rPr>
        <w:t xml:space="preserve">του </w:t>
      </w:r>
      <w:r w:rsidRPr="00105CDB">
        <w:rPr>
          <w:iCs/>
          <w:lang w:val="el-GR"/>
        </w:rPr>
        <w:t xml:space="preserve">CMV  στην έναρξη της θεραπείας ήταν D+/R- στο 40%, D+/R+  στο 38%, D-/R+στο 19% και D-/R- </w:t>
      </w:r>
      <w:r w:rsidR="00EC082B" w:rsidRPr="00105CDB">
        <w:rPr>
          <w:iCs/>
          <w:lang w:val="el-GR"/>
        </w:rPr>
        <w:t xml:space="preserve">στο 3% των περιστατικών. Σε 7 ασθενείς αναφέρθηκε η παρουσία </w:t>
      </w:r>
      <w:r w:rsidRPr="00105CDB">
        <w:rPr>
          <w:iCs/>
          <w:lang w:val="el-GR"/>
        </w:rPr>
        <w:t xml:space="preserve"> ιού CMV. Οι ανεπιθύμητες ενέργειες που παρατηρήθηκαν ήταν παρόμοιας φύσης με αυτές των ενηλίκων (βλέπε </w:t>
      </w:r>
      <w:r w:rsidR="00336218" w:rsidRPr="00105CDB">
        <w:rPr>
          <w:iCs/>
          <w:lang w:val="el-GR"/>
        </w:rPr>
        <w:t xml:space="preserve">παράγραφο </w:t>
      </w:r>
      <w:r w:rsidRPr="00105CDB">
        <w:rPr>
          <w:iCs/>
          <w:lang w:val="el-GR"/>
        </w:rPr>
        <w:t xml:space="preserve">4.8). </w:t>
      </w:r>
    </w:p>
    <w:p w:rsidR="00336218" w:rsidRPr="00105CDB" w:rsidRDefault="00336218" w:rsidP="00336218">
      <w:pPr>
        <w:spacing w:after="160" w:line="260" w:lineRule="auto"/>
        <w:rPr>
          <w:szCs w:val="24"/>
          <w:lang w:val="el-GR"/>
        </w:rPr>
      </w:pPr>
      <w:r w:rsidRPr="00105CDB">
        <w:rPr>
          <w:szCs w:val="24"/>
          <w:lang w:val="el-GR"/>
        </w:rPr>
        <w:t xml:space="preserve">Μία μελέτη ανεκτικότητας φάσης </w:t>
      </w:r>
      <w:r w:rsidRPr="00105CDB">
        <w:rPr>
          <w:szCs w:val="24"/>
        </w:rPr>
        <w:t>IV</w:t>
      </w:r>
      <w:r w:rsidRPr="00105CDB">
        <w:rPr>
          <w:szCs w:val="24"/>
          <w:lang w:val="el-GR"/>
        </w:rPr>
        <w:t xml:space="preserve"> σε παιδιατρικούς λήπτες νεφρικού μοσχεύματος (ηλικίας 1 έως 16 ετών, </w:t>
      </w:r>
      <w:r w:rsidRPr="00105CDB">
        <w:rPr>
          <w:szCs w:val="24"/>
        </w:rPr>
        <w:t>n</w:t>
      </w:r>
      <w:r w:rsidRPr="00105CDB">
        <w:rPr>
          <w:szCs w:val="24"/>
          <w:lang w:val="el-GR"/>
        </w:rPr>
        <w:t xml:space="preserve"> = 37), οι οποίοι έλαβαν βαλγκανσικλοβίρη </w:t>
      </w:r>
      <w:r w:rsidR="006E66B5" w:rsidRPr="00105CDB">
        <w:rPr>
          <w:szCs w:val="24"/>
          <w:lang w:val="el-GR"/>
        </w:rPr>
        <w:t>μία φορά την ημέρα</w:t>
      </w:r>
      <w:r w:rsidRPr="00105CDB">
        <w:rPr>
          <w:szCs w:val="24"/>
          <w:lang w:val="el-GR"/>
        </w:rPr>
        <w:t xml:space="preserve"> για έως και 200 ημέρες σύμφωνα με τον δοσολογικό αλγόριθμο (βλέπε παράγραφο 4.2) οδήγησε σε χαμηλή επίπτωση του </w:t>
      </w:r>
      <w:r w:rsidRPr="00105CDB">
        <w:rPr>
          <w:szCs w:val="24"/>
        </w:rPr>
        <w:t>CMV</w:t>
      </w:r>
      <w:r w:rsidRPr="00105CDB">
        <w:rPr>
          <w:szCs w:val="24"/>
          <w:lang w:val="el-GR"/>
        </w:rPr>
        <w:t>.</w:t>
      </w:r>
      <w:r w:rsidRPr="00105CDB">
        <w:rPr>
          <w:rStyle w:val="tw4winMark"/>
          <w:color w:val="auto"/>
          <w:szCs w:val="24"/>
          <w:lang w:val="el-GR"/>
        </w:rPr>
        <w:t xml:space="preserve">  </w:t>
      </w:r>
      <w:r w:rsidRPr="00105CDB">
        <w:rPr>
          <w:szCs w:val="24"/>
          <w:lang w:val="el-GR"/>
        </w:rPr>
        <w:t>Η παρακολούθηση μετά από τη θεραπεία ήταν 24 εβδομάδες.</w:t>
      </w:r>
      <w:r w:rsidRPr="00105CDB">
        <w:rPr>
          <w:rStyle w:val="tw4winMark"/>
          <w:color w:val="auto"/>
          <w:szCs w:val="24"/>
          <w:lang w:val="el-GR"/>
        </w:rPr>
        <w:t xml:space="preserve"> </w:t>
      </w:r>
      <w:r w:rsidRPr="00105CDB">
        <w:rPr>
          <w:szCs w:val="24"/>
          <w:lang w:val="el-GR"/>
        </w:rPr>
        <w:t xml:space="preserve">Η ορολογική κατάσταση </w:t>
      </w:r>
      <w:r w:rsidRPr="00105CDB">
        <w:rPr>
          <w:szCs w:val="24"/>
        </w:rPr>
        <w:t>D</w:t>
      </w:r>
      <w:r w:rsidRPr="00105CDB">
        <w:rPr>
          <w:szCs w:val="24"/>
          <w:lang w:val="el-GR"/>
        </w:rPr>
        <w:t>/</w:t>
      </w:r>
      <w:r w:rsidRPr="00105CDB">
        <w:rPr>
          <w:szCs w:val="24"/>
        </w:rPr>
        <w:t>R</w:t>
      </w:r>
      <w:r w:rsidRPr="00105CDB">
        <w:rPr>
          <w:szCs w:val="24"/>
          <w:lang w:val="el-GR"/>
        </w:rPr>
        <w:t xml:space="preserve"> του </w:t>
      </w:r>
      <w:r w:rsidRPr="00105CDB">
        <w:rPr>
          <w:szCs w:val="24"/>
        </w:rPr>
        <w:t>CMV</w:t>
      </w:r>
      <w:r w:rsidRPr="00105CDB">
        <w:rPr>
          <w:szCs w:val="24"/>
          <w:lang w:val="el-GR"/>
        </w:rPr>
        <w:t xml:space="preserve"> κατά την έναρξη ήταν </w:t>
      </w:r>
      <w:r w:rsidRPr="00105CDB">
        <w:rPr>
          <w:szCs w:val="24"/>
        </w:rPr>
        <w:t>D</w:t>
      </w:r>
      <w:r w:rsidRPr="00105CDB">
        <w:rPr>
          <w:szCs w:val="24"/>
          <w:lang w:val="el-GR"/>
        </w:rPr>
        <w:t>+/</w:t>
      </w:r>
      <w:r w:rsidRPr="00105CDB">
        <w:rPr>
          <w:szCs w:val="24"/>
        </w:rPr>
        <w:t>R</w:t>
      </w:r>
      <w:r w:rsidRPr="00105CDB">
        <w:rPr>
          <w:szCs w:val="24"/>
          <w:lang w:val="el-GR"/>
        </w:rPr>
        <w:t xml:space="preserve">+ στο 45%, </w:t>
      </w:r>
      <w:r w:rsidRPr="00105CDB">
        <w:rPr>
          <w:szCs w:val="24"/>
        </w:rPr>
        <w:t>D</w:t>
      </w:r>
      <w:r w:rsidRPr="00105CDB">
        <w:rPr>
          <w:szCs w:val="24"/>
          <w:lang w:val="el-GR"/>
        </w:rPr>
        <w:t>+/</w:t>
      </w:r>
      <w:r w:rsidRPr="00105CDB">
        <w:rPr>
          <w:szCs w:val="24"/>
        </w:rPr>
        <w:t>R</w:t>
      </w:r>
      <w:r w:rsidRPr="00105CDB">
        <w:rPr>
          <w:szCs w:val="24"/>
          <w:lang w:val="el-GR"/>
        </w:rPr>
        <w:t xml:space="preserve">- στο 39%, </w:t>
      </w:r>
      <w:r w:rsidRPr="00105CDB">
        <w:rPr>
          <w:szCs w:val="24"/>
        </w:rPr>
        <w:t>D</w:t>
      </w:r>
      <w:r w:rsidRPr="00105CDB">
        <w:rPr>
          <w:szCs w:val="24"/>
          <w:lang w:val="el-GR"/>
        </w:rPr>
        <w:t>-/</w:t>
      </w:r>
      <w:r w:rsidRPr="00105CDB">
        <w:rPr>
          <w:szCs w:val="24"/>
        </w:rPr>
        <w:t>R</w:t>
      </w:r>
      <w:r w:rsidRPr="00105CDB">
        <w:rPr>
          <w:szCs w:val="24"/>
          <w:lang w:val="el-GR"/>
        </w:rPr>
        <w:t xml:space="preserve">+ στο 7%, </w:t>
      </w:r>
      <w:r w:rsidRPr="00105CDB">
        <w:rPr>
          <w:szCs w:val="24"/>
        </w:rPr>
        <w:t>D</w:t>
      </w:r>
      <w:r w:rsidRPr="00105CDB">
        <w:rPr>
          <w:szCs w:val="24"/>
          <w:lang w:val="el-GR"/>
        </w:rPr>
        <w:t>-/</w:t>
      </w:r>
      <w:r w:rsidRPr="00105CDB">
        <w:rPr>
          <w:szCs w:val="24"/>
        </w:rPr>
        <w:t>R</w:t>
      </w:r>
      <w:r w:rsidRPr="00105CDB">
        <w:rPr>
          <w:szCs w:val="24"/>
          <w:lang w:val="el-GR"/>
        </w:rPr>
        <w:t xml:space="preserve">- στο 7% και </w:t>
      </w:r>
      <w:r w:rsidRPr="00105CDB">
        <w:rPr>
          <w:szCs w:val="24"/>
        </w:rPr>
        <w:t>ND</w:t>
      </w:r>
      <w:r w:rsidRPr="00105CDB">
        <w:rPr>
          <w:szCs w:val="24"/>
          <w:lang w:val="el-GR"/>
        </w:rPr>
        <w:t>/</w:t>
      </w:r>
      <w:r w:rsidRPr="00105CDB">
        <w:rPr>
          <w:szCs w:val="24"/>
        </w:rPr>
        <w:t>R</w:t>
      </w:r>
      <w:r w:rsidRPr="00105CDB">
        <w:rPr>
          <w:szCs w:val="24"/>
          <w:lang w:val="el-GR"/>
        </w:rPr>
        <w:t>+ στο 2% των περιπτώσεων.</w:t>
      </w:r>
      <w:r w:rsidRPr="00105CDB">
        <w:rPr>
          <w:rStyle w:val="tw4winMark"/>
          <w:color w:val="auto"/>
          <w:szCs w:val="24"/>
          <w:lang w:val="el-GR"/>
        </w:rPr>
        <w:t xml:space="preserve"> </w:t>
      </w:r>
      <w:r w:rsidRPr="00105CDB">
        <w:rPr>
          <w:szCs w:val="24"/>
          <w:lang w:val="el-GR"/>
        </w:rPr>
        <w:t xml:space="preserve">Ιαιμία από </w:t>
      </w:r>
      <w:r w:rsidRPr="00105CDB">
        <w:rPr>
          <w:szCs w:val="24"/>
        </w:rPr>
        <w:t>CMV</w:t>
      </w:r>
      <w:r w:rsidRPr="00105CDB">
        <w:rPr>
          <w:szCs w:val="24"/>
          <w:lang w:val="el-GR"/>
        </w:rPr>
        <w:t xml:space="preserve"> αναφέρθηκε σε 3 ασθενείς και υπήρξε υποψία ενός περιστατικού συνδρόμου </w:t>
      </w:r>
      <w:r w:rsidRPr="00105CDB">
        <w:rPr>
          <w:szCs w:val="24"/>
        </w:rPr>
        <w:t>CMV</w:t>
      </w:r>
      <w:r w:rsidRPr="00105CDB">
        <w:rPr>
          <w:szCs w:val="24"/>
          <w:lang w:val="el-GR"/>
        </w:rPr>
        <w:t xml:space="preserve"> σε έναν ασθενή αλλά δεν επιβεβαιώθηκε από τη </w:t>
      </w:r>
      <w:r w:rsidRPr="00105CDB">
        <w:rPr>
          <w:szCs w:val="24"/>
        </w:rPr>
        <w:t>CMV</w:t>
      </w:r>
      <w:r w:rsidRPr="00105CDB">
        <w:rPr>
          <w:szCs w:val="24"/>
          <w:lang w:val="el-GR"/>
        </w:rPr>
        <w:t xml:space="preserve"> </w:t>
      </w:r>
      <w:r w:rsidRPr="00105CDB">
        <w:rPr>
          <w:szCs w:val="24"/>
        </w:rPr>
        <w:t>PCR</w:t>
      </w:r>
      <w:r w:rsidRPr="00105CDB">
        <w:rPr>
          <w:szCs w:val="24"/>
          <w:lang w:val="el-GR"/>
        </w:rPr>
        <w:t xml:space="preserve"> που πραγματοποιήθηκε από το κεντρικό εργαστήριο.</w:t>
      </w:r>
      <w:r w:rsidRPr="00105CDB">
        <w:rPr>
          <w:rStyle w:val="tw4winMark"/>
          <w:color w:val="auto"/>
          <w:szCs w:val="24"/>
          <w:lang w:val="el-GR"/>
        </w:rPr>
        <w:t xml:space="preserve"> </w:t>
      </w:r>
      <w:r w:rsidRPr="00105CDB">
        <w:rPr>
          <w:szCs w:val="24"/>
          <w:lang w:val="el-GR"/>
        </w:rPr>
        <w:t>Οι παρατηρηθείσες ανεπιθύμητες ενέργειες ήταν παρόμοιας φύσης με αυτές που παρατηρήθηκαν στους ενήλικες (βλέπε παράγραφο 4.8).</w:t>
      </w:r>
    </w:p>
    <w:p w:rsidR="00336218" w:rsidRPr="00105CDB" w:rsidRDefault="00336218" w:rsidP="00336218">
      <w:pPr>
        <w:spacing w:after="160" w:line="260" w:lineRule="auto"/>
        <w:rPr>
          <w:szCs w:val="24"/>
          <w:lang w:val="el-GR"/>
        </w:rPr>
      </w:pPr>
      <w:r w:rsidRPr="00105CDB">
        <w:rPr>
          <w:szCs w:val="24"/>
          <w:lang w:val="el-GR"/>
        </w:rPr>
        <w:t xml:space="preserve">Τα δεδομένα αυτά υποστηρίζουν την αναγωγή δεδομένων αποτελεσματικότητας από τους ενήλικες στα παιδιά και παρέχουν δοσολογικές συστάσεις για τους παιδιατρικούς ασθενείς. </w:t>
      </w:r>
    </w:p>
    <w:p w:rsidR="00336218" w:rsidRPr="00105CDB" w:rsidRDefault="00336218" w:rsidP="00336218">
      <w:pPr>
        <w:spacing w:after="160" w:line="260" w:lineRule="auto"/>
        <w:rPr>
          <w:szCs w:val="24"/>
          <w:lang w:val="el-GR"/>
        </w:rPr>
      </w:pPr>
      <w:r w:rsidRPr="00105CDB">
        <w:rPr>
          <w:szCs w:val="24"/>
          <w:lang w:val="el-GR"/>
        </w:rPr>
        <w:t xml:space="preserve">Μία μελέτη φαρμακοκινητικής και ασφάλειας φάσης Ι σε ασθενείς-λήπτες καρδιακού μοσχεύματος (ηλικίας 3 εβδομάδων έως 125 ημερών, </w:t>
      </w:r>
      <w:r w:rsidRPr="00105CDB">
        <w:rPr>
          <w:szCs w:val="24"/>
        </w:rPr>
        <w:t>n</w:t>
      </w:r>
      <w:r w:rsidRPr="00105CDB">
        <w:rPr>
          <w:szCs w:val="24"/>
          <w:lang w:val="el-GR"/>
        </w:rPr>
        <w:t>=14), οι οποίοι έλαβαν εφάπαξ ημερήσια δόση βαλγκανσικλοβίρης σύμφωνα με τον παιδιατρικό δοσολογικό αλγόριθμο (βλέπε παράγραφο 4.2) σε 2</w:t>
      </w:r>
      <w:r w:rsidRPr="00105CDB">
        <w:rPr>
          <w:szCs w:val="24"/>
        </w:rPr>
        <w:t> </w:t>
      </w:r>
      <w:r w:rsidRPr="00105CDB">
        <w:rPr>
          <w:szCs w:val="24"/>
          <w:lang w:val="el-GR"/>
        </w:rPr>
        <w:t>διαδοχικές ημέρες οδήγησε σε παρόμοιες εκθέσεις με αυτές που παρατηρήθηκαν σε ενήλικες (βλέπε παράγραφο 5.2).</w:t>
      </w:r>
      <w:r w:rsidRPr="00105CDB">
        <w:rPr>
          <w:rStyle w:val="tw4winMark"/>
          <w:color w:val="auto"/>
          <w:szCs w:val="24"/>
          <w:lang w:val="el-GR"/>
        </w:rPr>
        <w:t xml:space="preserve"> </w:t>
      </w:r>
      <w:r w:rsidRPr="00105CDB">
        <w:rPr>
          <w:szCs w:val="24"/>
          <w:lang w:val="el-GR"/>
        </w:rPr>
        <w:t>Η παρακολούθηση μετά από τη θεραπεία ήταν 7 ημέρες.</w:t>
      </w:r>
      <w:r w:rsidRPr="00105CDB">
        <w:rPr>
          <w:rStyle w:val="tw4winMark"/>
          <w:color w:val="auto"/>
          <w:szCs w:val="24"/>
          <w:lang w:val="el-GR"/>
        </w:rPr>
        <w:t xml:space="preserve"> </w:t>
      </w:r>
      <w:r w:rsidRPr="00105CDB">
        <w:rPr>
          <w:szCs w:val="24"/>
          <w:lang w:val="el-GR"/>
        </w:rPr>
        <w:t>Το προφίλ ασφάλειας ήταν συνεπές με άλλες μελέτες παιδιατρικών και ενηλίκων ασθενών, αν και οι αριθμοί των ασθενών και η έκθεση στη βαλγκανσικλοβίρη ήταν περιορισμένοι σε αυτή τη μελέτη.</w:t>
      </w:r>
    </w:p>
    <w:p w:rsidR="00336218" w:rsidRPr="00105CDB" w:rsidRDefault="00336218" w:rsidP="00336218">
      <w:pPr>
        <w:spacing w:after="160" w:line="260" w:lineRule="auto"/>
        <w:rPr>
          <w:i/>
          <w:szCs w:val="24"/>
          <w:lang w:val="el-GR"/>
        </w:rPr>
      </w:pPr>
      <w:r w:rsidRPr="00105CDB">
        <w:rPr>
          <w:i/>
          <w:szCs w:val="24"/>
          <w:lang w:val="el-GR"/>
        </w:rPr>
        <w:t xml:space="preserve">Συγγενής </w:t>
      </w:r>
      <w:r w:rsidRPr="00105CDB">
        <w:rPr>
          <w:i/>
          <w:szCs w:val="24"/>
        </w:rPr>
        <w:t>CMV</w:t>
      </w:r>
    </w:p>
    <w:p w:rsidR="00336218" w:rsidRPr="00105CDB" w:rsidRDefault="00336218" w:rsidP="00336218">
      <w:pPr>
        <w:spacing w:after="160" w:line="260" w:lineRule="auto"/>
        <w:rPr>
          <w:szCs w:val="24"/>
          <w:lang w:val="el-GR"/>
        </w:rPr>
      </w:pPr>
      <w:r w:rsidRPr="00105CDB">
        <w:rPr>
          <w:szCs w:val="24"/>
          <w:lang w:val="el-GR"/>
        </w:rPr>
        <w:t xml:space="preserve">Η αποτελεσματικότητα και η ασφάλεια της γκανσικλοβίρης και/ή της βαλγκανσικλοβίρης μελετήθηκαν σε νεογνά και βρέφη με συγγενή συμπτωματική λοίμωξη από </w:t>
      </w:r>
      <w:r w:rsidRPr="00105CDB">
        <w:rPr>
          <w:szCs w:val="24"/>
        </w:rPr>
        <w:t>CMV</w:t>
      </w:r>
      <w:r w:rsidRPr="00105CDB">
        <w:rPr>
          <w:szCs w:val="24"/>
          <w:lang w:val="el-GR"/>
        </w:rPr>
        <w:t xml:space="preserve"> σε δύο μελέτες.</w:t>
      </w:r>
    </w:p>
    <w:p w:rsidR="00336218" w:rsidRPr="00105CDB" w:rsidRDefault="00336218" w:rsidP="00336218">
      <w:pPr>
        <w:rPr>
          <w:lang w:val="el-GR"/>
        </w:rPr>
      </w:pPr>
    </w:p>
    <w:p w:rsidR="00666803" w:rsidRPr="00105CDB" w:rsidRDefault="00995E9E" w:rsidP="00995E9E">
      <w:pPr>
        <w:textAlignment w:val="top"/>
        <w:rPr>
          <w:iCs/>
          <w:lang w:val="el-GR"/>
        </w:rPr>
      </w:pPr>
      <w:r w:rsidRPr="00105CDB">
        <w:rPr>
          <w:iCs/>
          <w:lang w:val="el-GR"/>
        </w:rPr>
        <w:lastRenderedPageBreak/>
        <w:br/>
      </w:r>
      <w:r w:rsidR="00336218" w:rsidRPr="00105CDB">
        <w:rPr>
          <w:iCs/>
          <w:lang w:val="el-GR"/>
        </w:rPr>
        <w:t>Στην πρώτη μελέτη, η</w:t>
      </w:r>
      <w:r w:rsidRPr="00105CDB">
        <w:rPr>
          <w:iCs/>
          <w:lang w:val="el-GR"/>
        </w:rPr>
        <w:t xml:space="preserve"> φαρμακοκινητική και η ασφάλεια εφάπαξ δόσης βαλγκανσικλοβίρης (δοσολογικό εύρος 14-</w:t>
      </w:r>
      <w:r w:rsidR="00BB4FF9" w:rsidRPr="00105CDB">
        <w:rPr>
          <w:iCs/>
          <w:lang w:val="el-GR"/>
        </w:rPr>
        <w:t>16-20 mg / kg / δόση) μελετήθηκαν</w:t>
      </w:r>
      <w:r w:rsidRPr="00105CDB">
        <w:rPr>
          <w:iCs/>
          <w:lang w:val="el-GR"/>
        </w:rPr>
        <w:t xml:space="preserve"> σε 24 νεογνά (ηλικίας 8</w:t>
      </w:r>
      <w:r w:rsidR="00336218" w:rsidRPr="00105CDB">
        <w:rPr>
          <w:iCs/>
          <w:lang w:val="el-GR"/>
        </w:rPr>
        <w:t xml:space="preserve"> έως </w:t>
      </w:r>
      <w:r w:rsidRPr="00105CDB">
        <w:rPr>
          <w:iCs/>
          <w:lang w:val="el-GR"/>
        </w:rPr>
        <w:t>34 ημερών) μ</w:t>
      </w:r>
      <w:r w:rsidR="00BB4FF9" w:rsidRPr="00105CDB">
        <w:rPr>
          <w:iCs/>
          <w:lang w:val="el-GR"/>
        </w:rPr>
        <w:t>ε συμπτωματική συγγενή νόσο CMV</w:t>
      </w:r>
      <w:r w:rsidRPr="00105CDB">
        <w:rPr>
          <w:iCs/>
          <w:lang w:val="el-GR"/>
        </w:rPr>
        <w:t xml:space="preserve"> (βλέπε παράγραφο 5.2). Τα νεογνά έλαβαν 6 εβδομάδες αντιική θεραπεία, ενώ 19 από τους 24 ασθενείς έλαβαν έως και 4 εβδομάδες θεραπείας με από του στόματος βαλγκανσικλοβίρη, </w:t>
      </w:r>
      <w:r w:rsidR="00EC082B" w:rsidRPr="00105CDB">
        <w:rPr>
          <w:iCs/>
          <w:lang w:val="el-GR"/>
        </w:rPr>
        <w:t xml:space="preserve">και </w:t>
      </w:r>
      <w:r w:rsidRPr="00105CDB">
        <w:rPr>
          <w:iCs/>
          <w:lang w:val="el-GR"/>
        </w:rPr>
        <w:t>στις υπόλοιπες 2 εβδομάδες έλαβαν  γκανσικλοβίρη</w:t>
      </w:r>
      <w:r w:rsidR="00EC082B" w:rsidRPr="00105CDB">
        <w:rPr>
          <w:iCs/>
          <w:lang w:val="el-GR"/>
        </w:rPr>
        <w:t xml:space="preserve"> ενδοφλεβίως. Οι 5 υπόλοιποι ασθενείς έλαβαν </w:t>
      </w:r>
      <w:r w:rsidRPr="00105CDB">
        <w:rPr>
          <w:iCs/>
          <w:lang w:val="el-GR"/>
        </w:rPr>
        <w:t>γκανσικλοβίρη</w:t>
      </w:r>
      <w:r w:rsidR="00EC082B" w:rsidRPr="00105CDB">
        <w:rPr>
          <w:iCs/>
          <w:lang w:val="el-GR"/>
        </w:rPr>
        <w:t xml:space="preserve"> ενδοφλεβίως</w:t>
      </w:r>
      <w:r w:rsidRPr="00105CDB">
        <w:rPr>
          <w:iCs/>
          <w:lang w:val="el-GR"/>
        </w:rPr>
        <w:t xml:space="preserve"> για το μεγαλύτερο χρονικό διάστημα της μελέτης. </w:t>
      </w:r>
      <w:r w:rsidR="00710A45" w:rsidRPr="00105CDB">
        <w:rPr>
          <w:iCs/>
          <w:lang w:val="el-GR"/>
        </w:rPr>
        <w:t>Στη δεύτερη μελέτη, η αποτελεσματικότητα και η ασφάλεια των έξι εβδομάδων έναντι των έξι μηνών θεραπείας με βαλγκανσικλοβίρη μελετήθηκαν σε 109 βρέφη ηλικίας 2 έως 30 ημερών με συμπτωματική συγγενή νόσο από CMV. Όλα τα βρέφη έλαβαν από του στόματος βαλγκανσικλοβίρη στη δόση των 16 mg/kg b.i.d. για 6 εβδομάδες. Μετά από 6 εβδομάδες θεραπείας, τα βρέφη τυχαιοποιήθηκαν σε αναλογία 1:1 ώστε να συνεχίσουν τη θεραπεία με βαλγκανσικλοβίρη στην ίδια δόση ή να λάβουν αντίστοιχο εικονικό φάρμακο ώστε να ολοκληρώσουν τους 6 μήνες της θεραπείας.</w:t>
      </w:r>
    </w:p>
    <w:p w:rsidR="00666803" w:rsidRPr="00105CDB" w:rsidRDefault="00666803" w:rsidP="00995E9E">
      <w:pPr>
        <w:textAlignment w:val="top"/>
        <w:rPr>
          <w:iCs/>
          <w:lang w:val="el-GR"/>
        </w:rPr>
      </w:pPr>
    </w:p>
    <w:p w:rsidR="00995E9E" w:rsidRPr="00105CDB" w:rsidRDefault="00995E9E" w:rsidP="00995E9E">
      <w:pPr>
        <w:textAlignment w:val="top"/>
        <w:rPr>
          <w:iCs/>
          <w:lang w:val="el-GR"/>
        </w:rPr>
      </w:pPr>
      <w:r w:rsidRPr="00105CDB">
        <w:rPr>
          <w:iCs/>
          <w:lang w:val="el-GR"/>
        </w:rPr>
        <w:t xml:space="preserve">Αυτή η θεραπευτική ένδειξη δεν συνιστάται </w:t>
      </w:r>
      <w:r w:rsidR="00666803" w:rsidRPr="00105CDB">
        <w:rPr>
          <w:iCs/>
          <w:lang w:val="el-GR"/>
        </w:rPr>
        <w:t xml:space="preserve">επί του παρόντος </w:t>
      </w:r>
      <w:r w:rsidRPr="00105CDB">
        <w:rPr>
          <w:iCs/>
          <w:lang w:val="el-GR"/>
        </w:rPr>
        <w:t>για τη βαλγκανσικλοβίρη. Ο σχεδιασμός τ</w:t>
      </w:r>
      <w:r w:rsidR="00666803" w:rsidRPr="00105CDB">
        <w:rPr>
          <w:iCs/>
          <w:lang w:val="el-GR"/>
        </w:rPr>
        <w:t>ων</w:t>
      </w:r>
      <w:r w:rsidRPr="00105CDB">
        <w:rPr>
          <w:iCs/>
          <w:lang w:val="el-GR"/>
        </w:rPr>
        <w:t xml:space="preserve"> μελ</w:t>
      </w:r>
      <w:r w:rsidR="00666803" w:rsidRPr="00105CDB">
        <w:rPr>
          <w:iCs/>
          <w:lang w:val="el-GR"/>
        </w:rPr>
        <w:t>ετών</w:t>
      </w:r>
      <w:r w:rsidRPr="00105CDB">
        <w:rPr>
          <w:iCs/>
          <w:lang w:val="el-GR"/>
        </w:rPr>
        <w:t xml:space="preserve"> και τα αποτελέσματα </w:t>
      </w:r>
      <w:r w:rsidR="00666803" w:rsidRPr="00105CDB">
        <w:rPr>
          <w:iCs/>
          <w:lang w:val="el-GR"/>
        </w:rPr>
        <w:t xml:space="preserve">που προέκυψαν </w:t>
      </w:r>
      <w:r w:rsidRPr="00105CDB">
        <w:rPr>
          <w:iCs/>
          <w:lang w:val="el-GR"/>
        </w:rPr>
        <w:t>είναι πολύ περιορισμένα για να επιτρέψουν κατάλληλα συμπεράσματα σχετικά με  την αποτελ</w:t>
      </w:r>
      <w:r w:rsidR="00EC082B" w:rsidRPr="00105CDB">
        <w:rPr>
          <w:iCs/>
          <w:lang w:val="el-GR"/>
        </w:rPr>
        <w:t>εσματικότητα και την ασφάλεια της</w:t>
      </w:r>
      <w:r w:rsidRPr="00105CDB">
        <w:rPr>
          <w:iCs/>
          <w:lang w:val="el-GR"/>
        </w:rPr>
        <w:t xml:space="preserve"> βαλγκανσικλοβίρη</w:t>
      </w:r>
      <w:r w:rsidR="00EC082B" w:rsidRPr="00105CDB">
        <w:rPr>
          <w:iCs/>
          <w:lang w:val="el-GR"/>
        </w:rPr>
        <w:t>ς</w:t>
      </w:r>
      <w:r w:rsidRPr="00105CDB">
        <w:rPr>
          <w:iCs/>
          <w:lang w:val="el-GR"/>
        </w:rPr>
        <w:t>.</w:t>
      </w:r>
    </w:p>
    <w:p w:rsidR="00995E9E" w:rsidRPr="00105CDB" w:rsidRDefault="00995E9E" w:rsidP="00262A1F">
      <w:pPr>
        <w:widowControl w:val="0"/>
        <w:spacing w:line="240" w:lineRule="atLeast"/>
        <w:rPr>
          <w:lang w:val="el-GR"/>
        </w:rPr>
      </w:pPr>
    </w:p>
    <w:p w:rsidR="001E2423" w:rsidRPr="00105CDB" w:rsidRDefault="001E2423" w:rsidP="0049166C">
      <w:pPr>
        <w:ind w:left="567" w:hanging="567"/>
        <w:rPr>
          <w:b/>
          <w:lang w:val="el-GR"/>
        </w:rPr>
      </w:pPr>
    </w:p>
    <w:p w:rsidR="0091534A" w:rsidRPr="00105CDB" w:rsidRDefault="0091534A" w:rsidP="0049166C">
      <w:pPr>
        <w:ind w:left="567" w:hanging="567"/>
        <w:rPr>
          <w:lang w:val="el-GR"/>
        </w:rPr>
      </w:pPr>
      <w:r w:rsidRPr="00105CDB">
        <w:rPr>
          <w:b/>
          <w:lang w:val="el-GR"/>
        </w:rPr>
        <w:t>5.2</w:t>
      </w:r>
      <w:r w:rsidRPr="00105CDB">
        <w:rPr>
          <w:b/>
          <w:lang w:val="el-GR"/>
        </w:rPr>
        <w:tab/>
        <w:t>Φαρμακοκινητικές ιδιότητες</w:t>
      </w:r>
    </w:p>
    <w:p w:rsidR="00262A1F" w:rsidRPr="00105CDB" w:rsidRDefault="00262A1F" w:rsidP="00262A1F">
      <w:pPr>
        <w:widowControl w:val="0"/>
        <w:spacing w:line="240" w:lineRule="atLeast"/>
        <w:rPr>
          <w:lang w:val="el-GR"/>
        </w:rPr>
      </w:pPr>
    </w:p>
    <w:p w:rsidR="00884D55" w:rsidRPr="00105CDB" w:rsidRDefault="00262A1F" w:rsidP="00884D55">
      <w:pPr>
        <w:widowControl w:val="0"/>
        <w:spacing w:line="240" w:lineRule="atLeast"/>
        <w:rPr>
          <w:lang w:val="el-GR"/>
        </w:rPr>
      </w:pPr>
      <w:r w:rsidRPr="00105CDB">
        <w:rPr>
          <w:lang w:val="el-GR"/>
        </w:rPr>
        <w:t xml:space="preserve">Οι φαρμακοκινητικές ιδιότητες της βαλγκανσικλοβίρης αξιολογήθηκαν σε </w:t>
      </w:r>
      <w:r w:rsidRPr="00105CDB">
        <w:t>HIV</w:t>
      </w:r>
      <w:r w:rsidRPr="00105CDB">
        <w:rPr>
          <w:lang w:val="el-GR"/>
        </w:rPr>
        <w:t xml:space="preserve">- και </w:t>
      </w:r>
      <w:r w:rsidRPr="00105CDB">
        <w:t>CMV</w:t>
      </w:r>
      <w:r w:rsidRPr="00105CDB">
        <w:rPr>
          <w:lang w:val="el-GR"/>
        </w:rPr>
        <w:t xml:space="preserve">-οροθετικούς ασθενείς, σε ασθενείς με </w:t>
      </w:r>
      <w:r w:rsidRPr="00105CDB">
        <w:t>AIDS</w:t>
      </w:r>
      <w:r w:rsidRPr="00105CDB">
        <w:rPr>
          <w:lang w:val="el-GR"/>
        </w:rPr>
        <w:t xml:space="preserve"> και </w:t>
      </w:r>
      <w:r w:rsidRPr="00105CDB">
        <w:t>CMV</w:t>
      </w:r>
      <w:r w:rsidRPr="00105CDB">
        <w:rPr>
          <w:lang w:val="el-GR"/>
        </w:rPr>
        <w:t xml:space="preserve"> αμφιβληστροειδίτιδα και σε ασθενείς που έχουν υποβληθεί σε μεταμόσχευση συμπαγούς οργάνου.</w:t>
      </w:r>
      <w:r w:rsidR="00884D55" w:rsidRPr="00105CDB">
        <w:rPr>
          <w:lang w:val="el-GR"/>
        </w:rPr>
        <w:t xml:space="preserve">   </w:t>
      </w:r>
    </w:p>
    <w:p w:rsidR="00884D55" w:rsidRPr="00105CDB" w:rsidRDefault="00884D55" w:rsidP="00884D55">
      <w:pPr>
        <w:widowControl w:val="0"/>
        <w:spacing w:line="240" w:lineRule="atLeast"/>
        <w:rPr>
          <w:lang w:val="el-GR"/>
        </w:rPr>
      </w:pPr>
    </w:p>
    <w:p w:rsidR="00262A1F" w:rsidRPr="00105CDB" w:rsidRDefault="00262A1F" w:rsidP="00884D55">
      <w:pPr>
        <w:widowControl w:val="0"/>
        <w:spacing w:line="240" w:lineRule="atLeast"/>
        <w:rPr>
          <w:u w:val="single"/>
          <w:lang w:val="el-GR"/>
        </w:rPr>
      </w:pPr>
      <w:r w:rsidRPr="00105CDB">
        <w:rPr>
          <w:u w:val="single"/>
          <w:lang w:val="el-GR"/>
        </w:rPr>
        <w:t>Απορρόφηση</w:t>
      </w:r>
    </w:p>
    <w:p w:rsidR="00262A1F" w:rsidRPr="00105CDB" w:rsidRDefault="00262A1F" w:rsidP="00262A1F">
      <w:pPr>
        <w:widowControl w:val="0"/>
        <w:spacing w:line="240" w:lineRule="atLeast"/>
        <w:rPr>
          <w:lang w:val="el-GR"/>
        </w:rPr>
      </w:pPr>
      <w:r w:rsidRPr="00105CDB">
        <w:rPr>
          <w:lang w:val="el-GR"/>
        </w:rPr>
        <w:t xml:space="preserve">Η βαλγκανσικλοβίρη αποτελεί προφάρμακο της γκανσικλοβίρης. Απορροφάται καλώς από τη γαστρεντερική οδό και μεταβολίζεται ταχέως και εκτεταμένως στο εντερικό τοίχωμα και το ήπαρ σε γκανσικλοβίρη. Η συστηματική έκθεση στη βαλγκανσικλοβίρη είναι παροδική και χαμηλή. Η απόλυτη βιοδιαθεσιμότητα της γκανσικλοβίρης από τη βαλγκανσικλοβίρη είναι περίπου 60%, σε όλους τους πληθυσμούς που μελετήθηκαν και η προκύπτουσα έκθεση στην γκανσικλοβίρη είναι παρόμοια με εκείνη που ακολουθεί την ενδοφλέβια χορήγησή της (βλέπε ακολούθως).  Συγκριτικά, η βιοδιαθεσιμότητα της γκανσικλοβίρης μετά από χορήγηση 1000 </w:t>
      </w:r>
      <w:r w:rsidRPr="00105CDB">
        <w:t>mg</w:t>
      </w:r>
      <w:r w:rsidRPr="00105CDB">
        <w:rPr>
          <w:lang w:val="el-GR"/>
        </w:rPr>
        <w:t xml:space="preserve"> από του στόματος γκανσικλοβίρης (υπό μορφή καψακίων) είναι 6 - 8%.</w:t>
      </w:r>
    </w:p>
    <w:p w:rsidR="00262A1F" w:rsidRPr="00105CDB" w:rsidRDefault="00262A1F" w:rsidP="00262A1F">
      <w:pPr>
        <w:pStyle w:val="31"/>
        <w:widowControl w:val="0"/>
        <w:spacing w:line="240" w:lineRule="atLeast"/>
        <w:ind w:left="0"/>
      </w:pPr>
    </w:p>
    <w:p w:rsidR="00262A1F" w:rsidRPr="00105CDB" w:rsidRDefault="00262A1F" w:rsidP="00262A1F">
      <w:pPr>
        <w:pStyle w:val="31"/>
        <w:widowControl w:val="0"/>
        <w:spacing w:line="240" w:lineRule="atLeast"/>
        <w:ind w:left="0"/>
        <w:rPr>
          <w:b w:val="0"/>
          <w:i/>
        </w:rPr>
      </w:pPr>
      <w:r w:rsidRPr="00105CDB">
        <w:rPr>
          <w:i/>
        </w:rPr>
        <w:t xml:space="preserve">        </w:t>
      </w:r>
      <w:r w:rsidRPr="00105CDB">
        <w:rPr>
          <w:b w:val="0"/>
          <w:i/>
        </w:rPr>
        <w:t xml:space="preserve"> Βαλγκανσικλοβίρη σε HIV</w:t>
      </w:r>
      <w:r w:rsidR="00260C8B" w:rsidRPr="00105CDB">
        <w:rPr>
          <w:b w:val="0"/>
          <w:i/>
        </w:rPr>
        <w:t xml:space="preserve"> θετικούς</w:t>
      </w:r>
      <w:r w:rsidRPr="00105CDB">
        <w:rPr>
          <w:b w:val="0"/>
          <w:i/>
        </w:rPr>
        <w:t>, CMV</w:t>
      </w:r>
      <w:r w:rsidR="00260C8B" w:rsidRPr="00105CDB">
        <w:rPr>
          <w:b w:val="0"/>
          <w:i/>
        </w:rPr>
        <w:t xml:space="preserve"> θετικούς </w:t>
      </w:r>
      <w:r w:rsidRPr="00105CDB">
        <w:rPr>
          <w:b w:val="0"/>
          <w:i/>
        </w:rPr>
        <w:t xml:space="preserve"> ασθενείς:</w:t>
      </w:r>
    </w:p>
    <w:p w:rsidR="00262A1F" w:rsidRPr="00105CDB" w:rsidRDefault="00262A1F" w:rsidP="00262A1F">
      <w:pPr>
        <w:pStyle w:val="31"/>
        <w:widowControl w:val="0"/>
        <w:spacing w:line="240" w:lineRule="atLeast"/>
        <w:ind w:left="0"/>
        <w:rPr>
          <w:b w:val="0"/>
        </w:rPr>
      </w:pPr>
      <w:r w:rsidRPr="00105CDB">
        <w:t xml:space="preserve">          </w:t>
      </w:r>
      <w:r w:rsidRPr="00105CDB">
        <w:rPr>
          <w:b w:val="0"/>
        </w:rPr>
        <w:t>Σε HIV</w:t>
      </w:r>
      <w:r w:rsidR="00453271" w:rsidRPr="00105CDB">
        <w:rPr>
          <w:b w:val="0"/>
        </w:rPr>
        <w:t xml:space="preserve"> </w:t>
      </w:r>
      <w:r w:rsidR="00260C8B" w:rsidRPr="00105CDB">
        <w:rPr>
          <w:b w:val="0"/>
        </w:rPr>
        <w:t xml:space="preserve">θετικούς, </w:t>
      </w:r>
      <w:r w:rsidRPr="00105CDB">
        <w:rPr>
          <w:b w:val="0"/>
        </w:rPr>
        <w:t xml:space="preserve"> CMV</w:t>
      </w:r>
      <w:r w:rsidR="00260C8B" w:rsidRPr="00105CDB">
        <w:rPr>
          <w:b w:val="0"/>
        </w:rPr>
        <w:t xml:space="preserve"> θετικούς</w:t>
      </w:r>
      <w:r w:rsidRPr="00105CDB">
        <w:rPr>
          <w:b w:val="0"/>
        </w:rPr>
        <w:t xml:space="preserve"> ασθενείς η συστηματική έκθεση μετά από χορήγηση δύο φορές την ημέρα γκανσικλοβίρης και βαλγκανσικλοβίρης επί μία εβδομάδα είναι:</w:t>
      </w:r>
    </w:p>
    <w:p w:rsidR="00262A1F" w:rsidRPr="00105CDB" w:rsidRDefault="00262A1F" w:rsidP="00262A1F">
      <w:pPr>
        <w:widowControl w:val="0"/>
        <w:spacing w:line="240" w:lineRule="atLeast"/>
        <w:rPr>
          <w:lang w:val="el-GR"/>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112"/>
        <w:gridCol w:w="2275"/>
        <w:gridCol w:w="2275"/>
      </w:tblGrid>
      <w:tr w:rsidR="00262A1F" w:rsidRPr="00105CDB" w:rsidTr="00094E3B">
        <w:trPr>
          <w:cantSplit/>
        </w:trPr>
        <w:tc>
          <w:tcPr>
            <w:tcW w:w="2518" w:type="dxa"/>
            <w:vMerge w:val="restart"/>
            <w:tcBorders>
              <w:left w:val="single" w:sz="4" w:space="0" w:color="auto"/>
              <w:right w:val="single" w:sz="4" w:space="0" w:color="auto"/>
            </w:tcBorders>
          </w:tcPr>
          <w:p w:rsidR="00262A1F" w:rsidRPr="00105CDB" w:rsidRDefault="00262A1F" w:rsidP="008F0C9C">
            <w:pPr>
              <w:widowControl w:val="0"/>
              <w:spacing w:line="240" w:lineRule="atLeast"/>
              <w:rPr>
                <w:lang w:val="el-GR"/>
              </w:rPr>
            </w:pPr>
            <w:r w:rsidRPr="00105CDB">
              <w:rPr>
                <w:lang w:val="el-GR"/>
              </w:rPr>
              <w:t>Παράμετρος</w:t>
            </w:r>
          </w:p>
        </w:tc>
        <w:tc>
          <w:tcPr>
            <w:tcW w:w="2112" w:type="dxa"/>
            <w:vMerge w:val="restart"/>
            <w:tcBorders>
              <w:left w:val="single" w:sz="4" w:space="0" w:color="auto"/>
              <w:right w:val="single" w:sz="4" w:space="0" w:color="auto"/>
            </w:tcBorders>
          </w:tcPr>
          <w:p w:rsidR="00262A1F" w:rsidRPr="00105CDB" w:rsidRDefault="00262A1F" w:rsidP="008F0C9C">
            <w:pPr>
              <w:widowControl w:val="0"/>
              <w:spacing w:line="240" w:lineRule="atLeast"/>
              <w:jc w:val="center"/>
              <w:rPr>
                <w:lang w:val="el-GR"/>
              </w:rPr>
            </w:pPr>
            <w:r w:rsidRPr="00105CDB">
              <w:rPr>
                <w:lang w:val="el-GR"/>
              </w:rPr>
              <w:t>Γκανσικλοβίρη</w:t>
            </w:r>
            <w:r w:rsidRPr="00105CDB">
              <w:rPr>
                <w:lang w:val="el-GR"/>
              </w:rPr>
              <w:br/>
              <w:t xml:space="preserve">(5 </w:t>
            </w:r>
            <w:r w:rsidRPr="00105CDB">
              <w:t>mg</w:t>
            </w:r>
            <w:r w:rsidRPr="00105CDB">
              <w:rPr>
                <w:lang w:val="el-GR"/>
              </w:rPr>
              <w:t>/</w:t>
            </w:r>
            <w:r w:rsidRPr="00105CDB">
              <w:t>kg</w:t>
            </w:r>
            <w:r w:rsidRPr="00105CDB">
              <w:rPr>
                <w:lang w:val="el-GR"/>
              </w:rPr>
              <w:t>, ενδοφλεβίως)</w:t>
            </w:r>
          </w:p>
          <w:p w:rsidR="00262A1F" w:rsidRPr="00105CDB" w:rsidRDefault="00262A1F" w:rsidP="008F0C9C">
            <w:pPr>
              <w:widowControl w:val="0"/>
              <w:spacing w:line="240" w:lineRule="atLeast"/>
              <w:jc w:val="center"/>
              <w:rPr>
                <w:lang w:val="el-GR"/>
              </w:rPr>
            </w:pPr>
            <w:r w:rsidRPr="00105CDB">
              <w:t>n</w:t>
            </w:r>
            <w:r w:rsidRPr="00105CDB">
              <w:rPr>
                <w:lang w:val="el-GR"/>
              </w:rPr>
              <w:t xml:space="preserve"> = 18</w:t>
            </w:r>
          </w:p>
        </w:tc>
        <w:tc>
          <w:tcPr>
            <w:tcW w:w="4550" w:type="dxa"/>
            <w:gridSpan w:val="2"/>
            <w:tcBorders>
              <w:left w:val="single" w:sz="4" w:space="0" w:color="auto"/>
              <w:right w:val="nil"/>
            </w:tcBorders>
          </w:tcPr>
          <w:p w:rsidR="00262A1F" w:rsidRPr="00105CDB" w:rsidRDefault="00262A1F" w:rsidP="008F0C9C">
            <w:pPr>
              <w:widowControl w:val="0"/>
              <w:spacing w:line="240" w:lineRule="atLeast"/>
              <w:jc w:val="center"/>
              <w:rPr>
                <w:lang w:val="el-GR"/>
              </w:rPr>
            </w:pPr>
            <w:r w:rsidRPr="00105CDB">
              <w:rPr>
                <w:lang w:val="el-GR"/>
              </w:rPr>
              <w:t xml:space="preserve">Βαλγκανσικλοβίρη (900 </w:t>
            </w:r>
            <w:r w:rsidRPr="00105CDB">
              <w:t>mg</w:t>
            </w:r>
            <w:r w:rsidRPr="00105CDB">
              <w:rPr>
                <w:lang w:val="el-GR"/>
              </w:rPr>
              <w:t>, από του στόματος)</w:t>
            </w:r>
          </w:p>
          <w:p w:rsidR="00262A1F" w:rsidRPr="00105CDB" w:rsidRDefault="00262A1F" w:rsidP="008F0C9C">
            <w:pPr>
              <w:widowControl w:val="0"/>
              <w:spacing w:line="240" w:lineRule="atLeast"/>
              <w:jc w:val="center"/>
            </w:pPr>
            <w:r w:rsidRPr="00105CDB">
              <w:t>n = 25</w:t>
            </w:r>
          </w:p>
        </w:tc>
      </w:tr>
      <w:tr w:rsidR="00262A1F" w:rsidRPr="00105CDB" w:rsidTr="00094E3B">
        <w:trPr>
          <w:cantSplit/>
        </w:trPr>
        <w:tc>
          <w:tcPr>
            <w:tcW w:w="2518" w:type="dxa"/>
            <w:vMerge/>
            <w:tcBorders>
              <w:left w:val="single" w:sz="4" w:space="0" w:color="auto"/>
              <w:bottom w:val="single" w:sz="4" w:space="0" w:color="auto"/>
              <w:right w:val="single" w:sz="4" w:space="0" w:color="auto"/>
            </w:tcBorders>
          </w:tcPr>
          <w:p w:rsidR="00262A1F" w:rsidRPr="00105CDB" w:rsidRDefault="00262A1F" w:rsidP="008F0C9C">
            <w:pPr>
              <w:widowControl w:val="0"/>
              <w:spacing w:line="240" w:lineRule="atLeast"/>
            </w:pPr>
          </w:p>
        </w:tc>
        <w:tc>
          <w:tcPr>
            <w:tcW w:w="2112" w:type="dxa"/>
            <w:vMerge/>
            <w:tcBorders>
              <w:left w:val="single" w:sz="4" w:space="0" w:color="auto"/>
              <w:bottom w:val="single" w:sz="4" w:space="0" w:color="auto"/>
              <w:right w:val="single" w:sz="4" w:space="0" w:color="auto"/>
            </w:tcBorders>
          </w:tcPr>
          <w:p w:rsidR="00262A1F" w:rsidRPr="00105CDB" w:rsidRDefault="00262A1F" w:rsidP="008F0C9C">
            <w:pPr>
              <w:widowControl w:val="0"/>
              <w:spacing w:line="240" w:lineRule="atLeast"/>
              <w:jc w:val="center"/>
            </w:pPr>
          </w:p>
        </w:tc>
        <w:tc>
          <w:tcPr>
            <w:tcW w:w="2275" w:type="dxa"/>
            <w:tcBorders>
              <w:left w:val="single" w:sz="4" w:space="0" w:color="auto"/>
              <w:bottom w:val="single" w:sz="4" w:space="0" w:color="auto"/>
              <w:right w:val="single" w:sz="4" w:space="0" w:color="auto"/>
            </w:tcBorders>
          </w:tcPr>
          <w:p w:rsidR="00262A1F" w:rsidRPr="00105CDB" w:rsidRDefault="00262A1F" w:rsidP="008F0C9C">
            <w:pPr>
              <w:widowControl w:val="0"/>
              <w:spacing w:line="240" w:lineRule="atLeast"/>
              <w:jc w:val="center"/>
            </w:pPr>
            <w:r w:rsidRPr="00105CDB">
              <w:rPr>
                <w:lang w:val="el-GR"/>
              </w:rPr>
              <w:t>Γκανσικλοβίρη</w:t>
            </w:r>
          </w:p>
        </w:tc>
        <w:tc>
          <w:tcPr>
            <w:tcW w:w="2275" w:type="dxa"/>
            <w:tcBorders>
              <w:top w:val="nil"/>
              <w:left w:val="single" w:sz="4" w:space="0" w:color="auto"/>
              <w:bottom w:val="single" w:sz="4" w:space="0" w:color="auto"/>
              <w:right w:val="nil"/>
            </w:tcBorders>
          </w:tcPr>
          <w:p w:rsidR="00262A1F" w:rsidRPr="00105CDB" w:rsidRDefault="00262A1F" w:rsidP="008F0C9C">
            <w:pPr>
              <w:widowControl w:val="0"/>
              <w:spacing w:line="240" w:lineRule="atLeast"/>
              <w:jc w:val="center"/>
            </w:pPr>
            <w:r w:rsidRPr="00105CDB">
              <w:rPr>
                <w:lang w:val="el-GR"/>
              </w:rPr>
              <w:t>Βαλγκανσικλοβίρη</w:t>
            </w:r>
          </w:p>
        </w:tc>
      </w:tr>
      <w:tr w:rsidR="00262A1F" w:rsidRPr="00105CDB" w:rsidTr="00094E3B">
        <w:tc>
          <w:tcPr>
            <w:tcW w:w="2518" w:type="dxa"/>
            <w:tcBorders>
              <w:bottom w:val="nil"/>
              <w:right w:val="single" w:sz="4" w:space="0" w:color="auto"/>
            </w:tcBorders>
          </w:tcPr>
          <w:p w:rsidR="00262A1F" w:rsidRPr="00105CDB" w:rsidRDefault="00262A1F" w:rsidP="008F0C9C">
            <w:pPr>
              <w:widowControl w:val="0"/>
              <w:spacing w:line="240" w:lineRule="atLeast"/>
            </w:pPr>
            <w:r w:rsidRPr="00105CDB">
              <w:t>AUC(0-12 h) (</w:t>
            </w:r>
            <w:r w:rsidRPr="00105CDB">
              <w:sym w:font="Symbol" w:char="F06D"/>
            </w:r>
            <w:proofErr w:type="spellStart"/>
            <w:r w:rsidRPr="00105CDB">
              <w:t>g.h</w:t>
            </w:r>
            <w:proofErr w:type="spellEnd"/>
            <w:r w:rsidRPr="00105CDB">
              <w:t>/ml)</w:t>
            </w:r>
          </w:p>
        </w:tc>
        <w:tc>
          <w:tcPr>
            <w:tcW w:w="2112" w:type="dxa"/>
            <w:tcBorders>
              <w:left w:val="single" w:sz="4" w:space="0" w:color="auto"/>
              <w:bottom w:val="nil"/>
              <w:right w:val="single" w:sz="4" w:space="0" w:color="auto"/>
            </w:tcBorders>
          </w:tcPr>
          <w:p w:rsidR="00262A1F" w:rsidRPr="00105CDB" w:rsidRDefault="00262A1F" w:rsidP="008F0C9C">
            <w:pPr>
              <w:widowControl w:val="0"/>
              <w:spacing w:line="240" w:lineRule="atLeast"/>
              <w:jc w:val="center"/>
            </w:pPr>
            <w:r w:rsidRPr="00105CDB">
              <w:t xml:space="preserve">28,6 </w:t>
            </w:r>
            <w:r w:rsidRPr="00105CDB">
              <w:sym w:font="Symbol" w:char="F0B1"/>
            </w:r>
            <w:r w:rsidRPr="00105CDB">
              <w:t> 9,0</w:t>
            </w:r>
          </w:p>
        </w:tc>
        <w:tc>
          <w:tcPr>
            <w:tcW w:w="2275" w:type="dxa"/>
            <w:tcBorders>
              <w:left w:val="single" w:sz="4" w:space="0" w:color="auto"/>
              <w:bottom w:val="nil"/>
              <w:right w:val="single" w:sz="4" w:space="0" w:color="auto"/>
            </w:tcBorders>
          </w:tcPr>
          <w:p w:rsidR="00262A1F" w:rsidRPr="00105CDB" w:rsidRDefault="00262A1F" w:rsidP="008F0C9C">
            <w:pPr>
              <w:widowControl w:val="0"/>
              <w:spacing w:line="240" w:lineRule="atLeast"/>
              <w:jc w:val="center"/>
            </w:pPr>
            <w:r w:rsidRPr="00105CDB">
              <w:t xml:space="preserve">32,8 </w:t>
            </w:r>
            <w:r w:rsidRPr="00105CDB">
              <w:sym w:font="Symbol" w:char="F0B1"/>
            </w:r>
            <w:r w:rsidRPr="00105CDB">
              <w:t> 10,1</w:t>
            </w:r>
          </w:p>
        </w:tc>
        <w:tc>
          <w:tcPr>
            <w:tcW w:w="2275" w:type="dxa"/>
            <w:tcBorders>
              <w:left w:val="single" w:sz="4" w:space="0" w:color="auto"/>
              <w:bottom w:val="nil"/>
              <w:right w:val="nil"/>
            </w:tcBorders>
          </w:tcPr>
          <w:p w:rsidR="00262A1F" w:rsidRPr="00105CDB" w:rsidRDefault="00262A1F" w:rsidP="008F0C9C">
            <w:pPr>
              <w:widowControl w:val="0"/>
              <w:spacing w:line="240" w:lineRule="atLeast"/>
              <w:jc w:val="center"/>
              <w:rPr>
                <w:lang w:val="el-GR"/>
              </w:rPr>
            </w:pPr>
            <w:r w:rsidRPr="00105CDB">
              <w:t xml:space="preserve">0,37 </w:t>
            </w:r>
            <w:r w:rsidRPr="00105CDB">
              <w:sym w:font="Symbol" w:char="F0B1"/>
            </w:r>
            <w:r w:rsidRPr="00105CDB">
              <w:t> 0,22</w:t>
            </w:r>
          </w:p>
          <w:p w:rsidR="00262A1F" w:rsidRPr="00105CDB" w:rsidRDefault="00262A1F" w:rsidP="008F0C9C">
            <w:pPr>
              <w:widowControl w:val="0"/>
              <w:spacing w:line="240" w:lineRule="atLeast"/>
              <w:jc w:val="center"/>
              <w:rPr>
                <w:lang w:val="el-GR"/>
              </w:rPr>
            </w:pPr>
          </w:p>
        </w:tc>
      </w:tr>
      <w:tr w:rsidR="00262A1F" w:rsidRPr="00105CDB" w:rsidTr="00094E3B">
        <w:tc>
          <w:tcPr>
            <w:tcW w:w="2518" w:type="dxa"/>
            <w:tcBorders>
              <w:top w:val="nil"/>
              <w:right w:val="single" w:sz="4" w:space="0" w:color="auto"/>
            </w:tcBorders>
          </w:tcPr>
          <w:p w:rsidR="00262A1F" w:rsidRPr="00105CDB" w:rsidRDefault="00262A1F" w:rsidP="008F0C9C">
            <w:pPr>
              <w:widowControl w:val="0"/>
              <w:spacing w:line="240" w:lineRule="atLeast"/>
            </w:pPr>
            <w:proofErr w:type="spellStart"/>
            <w:r w:rsidRPr="00105CDB">
              <w:t>C</w:t>
            </w:r>
            <w:r w:rsidRPr="00105CDB">
              <w:rPr>
                <w:vertAlign w:val="subscript"/>
              </w:rPr>
              <w:t>max</w:t>
            </w:r>
            <w:proofErr w:type="spellEnd"/>
            <w:r w:rsidRPr="00105CDB">
              <w:t xml:space="preserve"> (</w:t>
            </w:r>
            <w:r w:rsidRPr="00105CDB">
              <w:sym w:font="Symbol" w:char="F06D"/>
            </w:r>
            <w:r w:rsidRPr="00105CDB">
              <w:t>g/ml)</w:t>
            </w:r>
          </w:p>
        </w:tc>
        <w:tc>
          <w:tcPr>
            <w:tcW w:w="2112" w:type="dxa"/>
            <w:tcBorders>
              <w:top w:val="nil"/>
              <w:left w:val="single" w:sz="4" w:space="0" w:color="auto"/>
              <w:right w:val="single" w:sz="4" w:space="0" w:color="auto"/>
            </w:tcBorders>
          </w:tcPr>
          <w:p w:rsidR="00262A1F" w:rsidRPr="00105CDB" w:rsidRDefault="00262A1F" w:rsidP="008F0C9C">
            <w:pPr>
              <w:widowControl w:val="0"/>
              <w:spacing w:line="240" w:lineRule="atLeast"/>
              <w:jc w:val="center"/>
            </w:pPr>
            <w:r w:rsidRPr="00105CDB">
              <w:t xml:space="preserve">10,4 </w:t>
            </w:r>
            <w:r w:rsidRPr="00105CDB">
              <w:sym w:font="Symbol" w:char="F0B1"/>
            </w:r>
            <w:r w:rsidRPr="00105CDB">
              <w:t> 4,9</w:t>
            </w:r>
          </w:p>
        </w:tc>
        <w:tc>
          <w:tcPr>
            <w:tcW w:w="2275" w:type="dxa"/>
            <w:tcBorders>
              <w:top w:val="nil"/>
              <w:left w:val="single" w:sz="4" w:space="0" w:color="auto"/>
              <w:right w:val="single" w:sz="4" w:space="0" w:color="auto"/>
            </w:tcBorders>
          </w:tcPr>
          <w:p w:rsidR="00262A1F" w:rsidRPr="00105CDB" w:rsidRDefault="00262A1F" w:rsidP="008F0C9C">
            <w:pPr>
              <w:widowControl w:val="0"/>
              <w:spacing w:line="240" w:lineRule="atLeast"/>
              <w:jc w:val="center"/>
            </w:pPr>
            <w:r w:rsidRPr="00105CDB">
              <w:t xml:space="preserve">6,7 </w:t>
            </w:r>
            <w:r w:rsidRPr="00105CDB">
              <w:sym w:font="Symbol" w:char="F0B1"/>
            </w:r>
            <w:r w:rsidRPr="00105CDB">
              <w:t> 2,1</w:t>
            </w:r>
          </w:p>
        </w:tc>
        <w:tc>
          <w:tcPr>
            <w:tcW w:w="2275" w:type="dxa"/>
            <w:tcBorders>
              <w:top w:val="nil"/>
              <w:left w:val="single" w:sz="4" w:space="0" w:color="auto"/>
              <w:right w:val="nil"/>
            </w:tcBorders>
          </w:tcPr>
          <w:p w:rsidR="00262A1F" w:rsidRPr="00105CDB" w:rsidRDefault="00262A1F" w:rsidP="008F0C9C">
            <w:pPr>
              <w:widowControl w:val="0"/>
              <w:spacing w:line="240" w:lineRule="atLeast"/>
              <w:jc w:val="center"/>
              <w:rPr>
                <w:lang w:val="el-GR"/>
              </w:rPr>
            </w:pPr>
            <w:r w:rsidRPr="00105CDB">
              <w:t xml:space="preserve">0,18 </w:t>
            </w:r>
            <w:r w:rsidRPr="00105CDB">
              <w:sym w:font="Symbol" w:char="F0B1"/>
            </w:r>
            <w:r w:rsidRPr="00105CDB">
              <w:t> 0,06</w:t>
            </w:r>
          </w:p>
          <w:p w:rsidR="00262A1F" w:rsidRPr="00105CDB" w:rsidRDefault="00262A1F" w:rsidP="008F0C9C">
            <w:pPr>
              <w:widowControl w:val="0"/>
              <w:spacing w:line="240" w:lineRule="atLeast"/>
              <w:jc w:val="center"/>
              <w:rPr>
                <w:lang w:val="el-GR"/>
              </w:rPr>
            </w:pPr>
          </w:p>
        </w:tc>
      </w:tr>
    </w:tbl>
    <w:p w:rsidR="00262A1F" w:rsidRPr="00105CDB" w:rsidRDefault="00262A1F" w:rsidP="00262A1F">
      <w:pPr>
        <w:widowControl w:val="0"/>
        <w:spacing w:line="240" w:lineRule="atLeast"/>
        <w:rPr>
          <w:lang w:val="el-GR"/>
        </w:rPr>
      </w:pPr>
    </w:p>
    <w:p w:rsidR="00262A1F" w:rsidRPr="00105CDB" w:rsidRDefault="00262A1F" w:rsidP="00262A1F">
      <w:pPr>
        <w:jc w:val="both"/>
        <w:rPr>
          <w:b/>
          <w:lang w:val="el-GR"/>
        </w:rPr>
      </w:pPr>
    </w:p>
    <w:p w:rsidR="00262A1F" w:rsidRPr="00105CDB" w:rsidRDefault="00262A1F" w:rsidP="00AD529A">
      <w:pPr>
        <w:widowControl w:val="0"/>
        <w:spacing w:line="240" w:lineRule="atLeast"/>
        <w:rPr>
          <w:lang w:val="el-GR"/>
        </w:rPr>
      </w:pPr>
      <w:r w:rsidRPr="00105CDB">
        <w:rPr>
          <w:lang w:val="el-GR"/>
        </w:rPr>
        <w:t xml:space="preserve">Έχει καταδειχθεί ότι η αποτελεσματικότητα της γκανσικλοβίρης στην αύξηση του χρόνου έως την εξέλιξη της αμφιβληστροειδίτιδας από </w:t>
      </w:r>
      <w:r w:rsidRPr="00105CDB">
        <w:t>CMV</w:t>
      </w:r>
      <w:r w:rsidRPr="00105CDB">
        <w:rPr>
          <w:lang w:val="el-GR"/>
        </w:rPr>
        <w:t xml:space="preserve"> συσχετίζεται με τη συστηματική έκθεση (</w:t>
      </w:r>
      <w:r w:rsidRPr="00105CDB">
        <w:t>AUC</w:t>
      </w:r>
      <w:r w:rsidRPr="00105CDB">
        <w:rPr>
          <w:lang w:val="el-GR"/>
        </w:rPr>
        <w:t>).</w:t>
      </w:r>
    </w:p>
    <w:p w:rsidR="00262A1F" w:rsidRPr="00105CDB" w:rsidRDefault="00262A1F" w:rsidP="00262A1F">
      <w:pPr>
        <w:pStyle w:val="31"/>
        <w:widowControl w:val="0"/>
        <w:spacing w:line="240" w:lineRule="atLeast"/>
        <w:ind w:left="0"/>
      </w:pPr>
    </w:p>
    <w:p w:rsidR="00262A1F" w:rsidRPr="00105CDB" w:rsidRDefault="00262A1F" w:rsidP="00AD529A">
      <w:pPr>
        <w:pStyle w:val="31"/>
        <w:widowControl w:val="0"/>
        <w:spacing w:line="240" w:lineRule="atLeast"/>
        <w:rPr>
          <w:b w:val="0"/>
          <w:i/>
        </w:rPr>
      </w:pPr>
      <w:r w:rsidRPr="00105CDB">
        <w:rPr>
          <w:b w:val="0"/>
          <w:i/>
        </w:rPr>
        <w:t>Βαλγκανσικλοβίρη σε ασθενείς που έχουν υποβληθεί σε μεταμόσχευση συμπαγούς οργάνου:</w:t>
      </w:r>
    </w:p>
    <w:p w:rsidR="00262A1F" w:rsidRPr="00105CDB" w:rsidRDefault="00262A1F" w:rsidP="00AD529A">
      <w:pPr>
        <w:pStyle w:val="31"/>
        <w:widowControl w:val="0"/>
        <w:spacing w:line="240" w:lineRule="atLeast"/>
        <w:ind w:left="0" w:firstLine="0"/>
        <w:rPr>
          <w:b w:val="0"/>
        </w:rPr>
      </w:pPr>
      <w:r w:rsidRPr="00105CDB">
        <w:rPr>
          <w:b w:val="0"/>
        </w:rPr>
        <w:t>Στη σταθεροποιημένη κατάσταση η συστηματική έκθεση στη γκανσικλοβίρη των ασθενών που έχουν υποβληθεί σε μεταμόσχευση συμπαγούς οργάνου μετά από καθημερινή από του στόματος χορήγηση γκανσικλοβίρης και βαλγκανσικλοβίρης είναι:</w:t>
      </w:r>
    </w:p>
    <w:p w:rsidR="00262A1F" w:rsidRPr="00105CDB" w:rsidRDefault="00262A1F" w:rsidP="00262A1F">
      <w:pPr>
        <w:widowControl w:val="0"/>
        <w:spacing w:line="240" w:lineRule="atLeast"/>
        <w:rPr>
          <w:lang w:val="el-GR"/>
        </w:rPr>
      </w:pPr>
    </w:p>
    <w:tbl>
      <w:tblPr>
        <w:tblW w:w="0" w:type="auto"/>
        <w:tblBorders>
          <w:top w:val="single" w:sz="4" w:space="0" w:color="auto"/>
          <w:bottom w:val="single" w:sz="4" w:space="0" w:color="auto"/>
        </w:tblBorders>
        <w:tblLayout w:type="fixed"/>
        <w:tblLook w:val="0000"/>
      </w:tblPr>
      <w:tblGrid>
        <w:gridCol w:w="2518"/>
        <w:gridCol w:w="2112"/>
        <w:gridCol w:w="4550"/>
      </w:tblGrid>
      <w:tr w:rsidR="00262A1F" w:rsidRPr="00105CDB" w:rsidTr="00094E3B">
        <w:trPr>
          <w:cantSplit/>
        </w:trPr>
        <w:tc>
          <w:tcPr>
            <w:tcW w:w="2518" w:type="dxa"/>
            <w:vMerge w:val="restart"/>
            <w:tcBorders>
              <w:top w:val="single" w:sz="4" w:space="0" w:color="auto"/>
              <w:left w:val="single" w:sz="4" w:space="0" w:color="auto"/>
              <w:bottom w:val="single" w:sz="4" w:space="0" w:color="auto"/>
              <w:right w:val="single" w:sz="4" w:space="0" w:color="auto"/>
            </w:tcBorders>
          </w:tcPr>
          <w:p w:rsidR="00262A1F" w:rsidRPr="00105CDB" w:rsidRDefault="00262A1F" w:rsidP="008F0C9C">
            <w:pPr>
              <w:widowControl w:val="0"/>
              <w:spacing w:line="240" w:lineRule="atLeast"/>
              <w:rPr>
                <w:lang w:val="el-GR"/>
              </w:rPr>
            </w:pPr>
            <w:r w:rsidRPr="00105CDB">
              <w:rPr>
                <w:lang w:val="el-GR"/>
              </w:rPr>
              <w:t>Παράμετρος</w:t>
            </w:r>
          </w:p>
        </w:tc>
        <w:tc>
          <w:tcPr>
            <w:tcW w:w="2112" w:type="dxa"/>
            <w:vMerge w:val="restart"/>
            <w:tcBorders>
              <w:top w:val="single" w:sz="4" w:space="0" w:color="auto"/>
              <w:left w:val="single" w:sz="4" w:space="0" w:color="auto"/>
              <w:bottom w:val="single" w:sz="4" w:space="0" w:color="auto"/>
              <w:right w:val="single" w:sz="4" w:space="0" w:color="auto"/>
            </w:tcBorders>
          </w:tcPr>
          <w:p w:rsidR="00262A1F" w:rsidRPr="00105CDB" w:rsidRDefault="00262A1F" w:rsidP="008F0C9C">
            <w:pPr>
              <w:widowControl w:val="0"/>
              <w:spacing w:line="240" w:lineRule="atLeast"/>
              <w:jc w:val="center"/>
              <w:rPr>
                <w:lang w:val="el-GR"/>
              </w:rPr>
            </w:pPr>
            <w:r w:rsidRPr="00105CDB">
              <w:rPr>
                <w:lang w:val="el-GR"/>
              </w:rPr>
              <w:t>Γκανσικλοβίρη</w:t>
            </w:r>
            <w:r w:rsidRPr="00105CDB">
              <w:rPr>
                <w:lang w:val="el-GR"/>
              </w:rPr>
              <w:br/>
              <w:t xml:space="preserve">(1000 </w:t>
            </w:r>
            <w:r w:rsidRPr="00105CDB">
              <w:t>mg</w:t>
            </w:r>
            <w:r w:rsidRPr="00105CDB">
              <w:rPr>
                <w:lang w:val="el-GR"/>
              </w:rPr>
              <w:t xml:space="preserve"> τρεις φορές την ημέρα)</w:t>
            </w:r>
          </w:p>
          <w:p w:rsidR="00262A1F" w:rsidRPr="00105CDB" w:rsidRDefault="00262A1F" w:rsidP="008F0C9C">
            <w:pPr>
              <w:widowControl w:val="0"/>
              <w:spacing w:line="240" w:lineRule="atLeast"/>
              <w:jc w:val="center"/>
              <w:rPr>
                <w:lang w:val="el-GR"/>
              </w:rPr>
            </w:pPr>
            <w:r w:rsidRPr="00105CDB">
              <w:t>n = 8</w:t>
            </w:r>
            <w:r w:rsidRPr="00105CDB">
              <w:rPr>
                <w:lang w:val="el-GR"/>
              </w:rPr>
              <w:t>2</w:t>
            </w:r>
          </w:p>
        </w:tc>
        <w:tc>
          <w:tcPr>
            <w:tcW w:w="4550" w:type="dxa"/>
            <w:tcBorders>
              <w:top w:val="single" w:sz="4" w:space="0" w:color="auto"/>
              <w:left w:val="single" w:sz="4" w:space="0" w:color="auto"/>
              <w:bottom w:val="single" w:sz="4" w:space="0" w:color="auto"/>
              <w:right w:val="nil"/>
            </w:tcBorders>
          </w:tcPr>
          <w:p w:rsidR="00262A1F" w:rsidRPr="00105CDB" w:rsidRDefault="00262A1F" w:rsidP="008F0C9C">
            <w:pPr>
              <w:widowControl w:val="0"/>
              <w:spacing w:line="240" w:lineRule="atLeast"/>
              <w:jc w:val="center"/>
              <w:rPr>
                <w:lang w:val="el-GR"/>
              </w:rPr>
            </w:pPr>
            <w:r w:rsidRPr="00105CDB">
              <w:rPr>
                <w:lang w:val="el-GR"/>
              </w:rPr>
              <w:t xml:space="preserve">Βαλγκανσικλοβίρη (900 </w:t>
            </w:r>
            <w:r w:rsidRPr="00105CDB">
              <w:t>mg</w:t>
            </w:r>
            <w:r w:rsidRPr="00105CDB">
              <w:rPr>
                <w:lang w:val="el-GR"/>
              </w:rPr>
              <w:t>, μία φορά την ημέρα)</w:t>
            </w:r>
          </w:p>
          <w:p w:rsidR="00262A1F" w:rsidRPr="00105CDB" w:rsidRDefault="00262A1F" w:rsidP="008F0C9C">
            <w:pPr>
              <w:widowControl w:val="0"/>
              <w:spacing w:line="240" w:lineRule="atLeast"/>
              <w:jc w:val="center"/>
              <w:rPr>
                <w:lang w:val="el-GR"/>
              </w:rPr>
            </w:pPr>
            <w:r w:rsidRPr="00105CDB">
              <w:t>n = 161</w:t>
            </w:r>
          </w:p>
        </w:tc>
      </w:tr>
      <w:tr w:rsidR="00262A1F" w:rsidRPr="00105CDB" w:rsidTr="00094E3B">
        <w:trPr>
          <w:cantSplit/>
        </w:trPr>
        <w:tc>
          <w:tcPr>
            <w:tcW w:w="2518" w:type="dxa"/>
            <w:vMerge/>
            <w:tcBorders>
              <w:top w:val="single" w:sz="4" w:space="0" w:color="auto"/>
              <w:left w:val="single" w:sz="4" w:space="0" w:color="auto"/>
              <w:bottom w:val="single" w:sz="4" w:space="0" w:color="auto"/>
              <w:right w:val="single" w:sz="4" w:space="0" w:color="auto"/>
            </w:tcBorders>
          </w:tcPr>
          <w:p w:rsidR="00262A1F" w:rsidRPr="00105CDB" w:rsidRDefault="00262A1F" w:rsidP="008F0C9C">
            <w:pPr>
              <w:widowControl w:val="0"/>
              <w:spacing w:line="240" w:lineRule="atLeast"/>
            </w:pPr>
          </w:p>
        </w:tc>
        <w:tc>
          <w:tcPr>
            <w:tcW w:w="2112" w:type="dxa"/>
            <w:vMerge/>
            <w:tcBorders>
              <w:top w:val="single" w:sz="4" w:space="0" w:color="auto"/>
              <w:left w:val="single" w:sz="4" w:space="0" w:color="auto"/>
              <w:bottom w:val="single" w:sz="4" w:space="0" w:color="auto"/>
              <w:right w:val="single" w:sz="4" w:space="0" w:color="auto"/>
            </w:tcBorders>
          </w:tcPr>
          <w:p w:rsidR="00262A1F" w:rsidRPr="00105CDB" w:rsidRDefault="00262A1F" w:rsidP="008F0C9C">
            <w:pPr>
              <w:widowControl w:val="0"/>
              <w:spacing w:line="240" w:lineRule="atLeast"/>
              <w:jc w:val="center"/>
            </w:pPr>
          </w:p>
        </w:tc>
        <w:tc>
          <w:tcPr>
            <w:tcW w:w="4550" w:type="dxa"/>
            <w:tcBorders>
              <w:top w:val="single" w:sz="4" w:space="0" w:color="auto"/>
              <w:left w:val="single" w:sz="4" w:space="0" w:color="auto"/>
              <w:bottom w:val="single" w:sz="4" w:space="0" w:color="auto"/>
              <w:right w:val="nil"/>
            </w:tcBorders>
          </w:tcPr>
          <w:p w:rsidR="00262A1F" w:rsidRPr="00105CDB" w:rsidRDefault="00262A1F" w:rsidP="008F0C9C">
            <w:pPr>
              <w:widowControl w:val="0"/>
              <w:spacing w:line="240" w:lineRule="atLeast"/>
              <w:jc w:val="center"/>
            </w:pPr>
            <w:r w:rsidRPr="00105CDB">
              <w:rPr>
                <w:lang w:val="el-GR"/>
              </w:rPr>
              <w:t>Γκανσικλοβίρη</w:t>
            </w:r>
          </w:p>
        </w:tc>
      </w:tr>
      <w:tr w:rsidR="008204C1" w:rsidRPr="00105CDB" w:rsidTr="008204C1">
        <w:trPr>
          <w:cantSplit/>
        </w:trPr>
        <w:tc>
          <w:tcPr>
            <w:tcW w:w="2518" w:type="dxa"/>
            <w:tcBorders>
              <w:top w:val="single" w:sz="4" w:space="0" w:color="auto"/>
              <w:bottom w:val="nil"/>
              <w:right w:val="single" w:sz="4" w:space="0" w:color="auto"/>
            </w:tcBorders>
          </w:tcPr>
          <w:p w:rsidR="00262A1F" w:rsidRPr="00105CDB" w:rsidRDefault="00262A1F" w:rsidP="008F0C9C">
            <w:pPr>
              <w:widowControl w:val="0"/>
              <w:spacing w:line="240" w:lineRule="atLeast"/>
              <w:rPr>
                <w:lang w:val="el-GR"/>
              </w:rPr>
            </w:pPr>
            <w:r w:rsidRPr="00105CDB">
              <w:t>AUC(0-2</w:t>
            </w:r>
            <w:r w:rsidRPr="00105CDB">
              <w:rPr>
                <w:lang w:val="el-GR"/>
              </w:rPr>
              <w:t>4</w:t>
            </w:r>
            <w:r w:rsidRPr="00105CDB">
              <w:t xml:space="preserve"> h) (</w:t>
            </w:r>
            <w:r w:rsidRPr="00105CDB">
              <w:sym w:font="Symbol" w:char="F06D"/>
            </w:r>
            <w:proofErr w:type="spellStart"/>
            <w:r w:rsidRPr="00105CDB">
              <w:t>g.h</w:t>
            </w:r>
            <w:proofErr w:type="spellEnd"/>
            <w:r w:rsidRPr="00105CDB">
              <w:t>/ml)</w:t>
            </w:r>
          </w:p>
          <w:p w:rsidR="00262A1F" w:rsidRPr="00105CDB" w:rsidRDefault="00262A1F" w:rsidP="008F0C9C">
            <w:pPr>
              <w:widowControl w:val="0"/>
              <w:spacing w:line="240" w:lineRule="atLeast"/>
              <w:rPr>
                <w:lang w:val="el-GR"/>
              </w:rPr>
            </w:pPr>
          </w:p>
        </w:tc>
        <w:tc>
          <w:tcPr>
            <w:tcW w:w="2112" w:type="dxa"/>
            <w:tcBorders>
              <w:top w:val="single" w:sz="4" w:space="0" w:color="auto"/>
              <w:left w:val="single" w:sz="4" w:space="0" w:color="auto"/>
              <w:bottom w:val="nil"/>
              <w:right w:val="single" w:sz="4" w:space="0" w:color="auto"/>
            </w:tcBorders>
          </w:tcPr>
          <w:p w:rsidR="00262A1F" w:rsidRPr="00105CDB" w:rsidRDefault="00262A1F" w:rsidP="008F0C9C">
            <w:pPr>
              <w:widowControl w:val="0"/>
              <w:spacing w:line="240" w:lineRule="atLeast"/>
              <w:jc w:val="center"/>
            </w:pPr>
            <w:r w:rsidRPr="00105CDB">
              <w:t>28,</w:t>
            </w:r>
            <w:r w:rsidRPr="00105CDB">
              <w:rPr>
                <w:lang w:val="el-GR"/>
              </w:rPr>
              <w:t>0</w:t>
            </w:r>
            <w:r w:rsidRPr="00105CDB">
              <w:t xml:space="preserve"> </w:t>
            </w:r>
            <w:r w:rsidRPr="00105CDB">
              <w:sym w:font="Symbol" w:char="F0B1"/>
            </w:r>
            <w:r w:rsidRPr="00105CDB">
              <w:t> </w:t>
            </w:r>
            <w:r w:rsidRPr="00105CDB">
              <w:rPr>
                <w:lang w:val="el-GR"/>
              </w:rPr>
              <w:t>10,9</w:t>
            </w:r>
          </w:p>
        </w:tc>
        <w:tc>
          <w:tcPr>
            <w:tcW w:w="4550" w:type="dxa"/>
            <w:tcBorders>
              <w:top w:val="single" w:sz="4" w:space="0" w:color="auto"/>
              <w:left w:val="single" w:sz="4" w:space="0" w:color="auto"/>
              <w:bottom w:val="nil"/>
            </w:tcBorders>
          </w:tcPr>
          <w:p w:rsidR="00262A1F" w:rsidRPr="00105CDB" w:rsidRDefault="00262A1F" w:rsidP="008F0C9C">
            <w:pPr>
              <w:widowControl w:val="0"/>
              <w:spacing w:line="240" w:lineRule="atLeast"/>
              <w:jc w:val="center"/>
            </w:pPr>
            <w:r w:rsidRPr="00105CDB">
              <w:rPr>
                <w:lang w:val="el-GR"/>
              </w:rPr>
              <w:t>46,3</w:t>
            </w:r>
            <w:r w:rsidRPr="00105CDB">
              <w:t xml:space="preserve"> </w:t>
            </w:r>
            <w:r w:rsidRPr="00105CDB">
              <w:sym w:font="Symbol" w:char="F0B1"/>
            </w:r>
            <w:r w:rsidRPr="00105CDB">
              <w:t> </w:t>
            </w:r>
            <w:r w:rsidRPr="00105CDB">
              <w:rPr>
                <w:lang w:val="el-GR"/>
              </w:rPr>
              <w:t>15</w:t>
            </w:r>
            <w:r w:rsidRPr="00105CDB">
              <w:t>,2</w:t>
            </w:r>
          </w:p>
        </w:tc>
      </w:tr>
      <w:tr w:rsidR="00262A1F" w:rsidRPr="00105CDB" w:rsidTr="00094E3B">
        <w:trPr>
          <w:cantSplit/>
        </w:trPr>
        <w:tc>
          <w:tcPr>
            <w:tcW w:w="2518" w:type="dxa"/>
            <w:tcBorders>
              <w:top w:val="nil"/>
              <w:bottom w:val="single" w:sz="4" w:space="0" w:color="auto"/>
              <w:right w:val="single" w:sz="4" w:space="0" w:color="auto"/>
            </w:tcBorders>
          </w:tcPr>
          <w:p w:rsidR="00262A1F" w:rsidRPr="00105CDB" w:rsidRDefault="00262A1F" w:rsidP="008F0C9C">
            <w:pPr>
              <w:widowControl w:val="0"/>
              <w:spacing w:line="240" w:lineRule="atLeast"/>
              <w:rPr>
                <w:lang w:val="el-GR"/>
              </w:rPr>
            </w:pPr>
            <w:proofErr w:type="spellStart"/>
            <w:r w:rsidRPr="00105CDB">
              <w:t>C</w:t>
            </w:r>
            <w:r w:rsidRPr="00105CDB">
              <w:rPr>
                <w:vertAlign w:val="subscript"/>
              </w:rPr>
              <w:t>max</w:t>
            </w:r>
            <w:proofErr w:type="spellEnd"/>
            <w:r w:rsidRPr="00105CDB">
              <w:t xml:space="preserve"> (</w:t>
            </w:r>
            <w:r w:rsidRPr="00105CDB">
              <w:sym w:font="Symbol" w:char="F06D"/>
            </w:r>
            <w:r w:rsidRPr="00105CDB">
              <w:t>g/ml)</w:t>
            </w:r>
          </w:p>
          <w:p w:rsidR="00262A1F" w:rsidRPr="00105CDB" w:rsidRDefault="00262A1F" w:rsidP="008F0C9C">
            <w:pPr>
              <w:widowControl w:val="0"/>
              <w:spacing w:line="240" w:lineRule="atLeast"/>
              <w:rPr>
                <w:lang w:val="el-GR"/>
              </w:rPr>
            </w:pPr>
          </w:p>
        </w:tc>
        <w:tc>
          <w:tcPr>
            <w:tcW w:w="2112" w:type="dxa"/>
            <w:tcBorders>
              <w:top w:val="nil"/>
              <w:left w:val="single" w:sz="4" w:space="0" w:color="auto"/>
              <w:bottom w:val="single" w:sz="4" w:space="0" w:color="auto"/>
              <w:right w:val="single" w:sz="4" w:space="0" w:color="auto"/>
            </w:tcBorders>
          </w:tcPr>
          <w:p w:rsidR="00262A1F" w:rsidRPr="00105CDB" w:rsidRDefault="00262A1F" w:rsidP="008F0C9C">
            <w:pPr>
              <w:widowControl w:val="0"/>
              <w:spacing w:line="240" w:lineRule="atLeast"/>
              <w:jc w:val="center"/>
            </w:pPr>
            <w:r w:rsidRPr="00105CDB">
              <w:t>1,</w:t>
            </w:r>
            <w:r w:rsidRPr="00105CDB">
              <w:rPr>
                <w:lang w:val="el-GR"/>
              </w:rPr>
              <w:t>4</w:t>
            </w:r>
            <w:r w:rsidRPr="00105CDB">
              <w:t xml:space="preserve"> </w:t>
            </w:r>
            <w:r w:rsidRPr="00105CDB">
              <w:sym w:font="Symbol" w:char="F0B1"/>
            </w:r>
            <w:r w:rsidRPr="00105CDB">
              <w:t> </w:t>
            </w:r>
            <w:r w:rsidRPr="00105CDB">
              <w:rPr>
                <w:lang w:val="el-GR"/>
              </w:rPr>
              <w:t>0</w:t>
            </w:r>
            <w:r w:rsidRPr="00105CDB">
              <w:t>,</w:t>
            </w:r>
            <w:r w:rsidRPr="00105CDB">
              <w:rPr>
                <w:lang w:val="el-GR"/>
              </w:rPr>
              <w:t>5</w:t>
            </w:r>
          </w:p>
        </w:tc>
        <w:tc>
          <w:tcPr>
            <w:tcW w:w="4550" w:type="dxa"/>
            <w:tcBorders>
              <w:top w:val="nil"/>
              <w:left w:val="single" w:sz="4" w:space="0" w:color="auto"/>
              <w:bottom w:val="single" w:sz="4" w:space="0" w:color="auto"/>
            </w:tcBorders>
          </w:tcPr>
          <w:p w:rsidR="00262A1F" w:rsidRPr="00105CDB" w:rsidRDefault="00262A1F" w:rsidP="008F0C9C">
            <w:pPr>
              <w:widowControl w:val="0"/>
              <w:spacing w:line="240" w:lineRule="atLeast"/>
              <w:jc w:val="center"/>
              <w:rPr>
                <w:lang w:val="el-GR"/>
              </w:rPr>
            </w:pPr>
            <w:r w:rsidRPr="00105CDB">
              <w:t>5,</w:t>
            </w:r>
            <w:r w:rsidRPr="00105CDB">
              <w:rPr>
                <w:lang w:val="el-GR"/>
              </w:rPr>
              <w:t>3</w:t>
            </w:r>
            <w:r w:rsidRPr="00105CDB">
              <w:t xml:space="preserve"> </w:t>
            </w:r>
            <w:r w:rsidRPr="00105CDB">
              <w:sym w:font="Symbol" w:char="F0B1"/>
            </w:r>
            <w:r w:rsidRPr="00105CDB">
              <w:t> 1,</w:t>
            </w:r>
            <w:r w:rsidRPr="00105CDB">
              <w:rPr>
                <w:lang w:val="el-GR"/>
              </w:rPr>
              <w:t>5</w:t>
            </w:r>
          </w:p>
        </w:tc>
      </w:tr>
    </w:tbl>
    <w:p w:rsidR="00262A1F" w:rsidRPr="00105CDB" w:rsidRDefault="00262A1F" w:rsidP="00262A1F">
      <w:pPr>
        <w:widowControl w:val="0"/>
        <w:spacing w:line="240" w:lineRule="atLeast"/>
        <w:rPr>
          <w:lang w:val="el-GR"/>
        </w:rPr>
      </w:pPr>
    </w:p>
    <w:p w:rsidR="00262A1F" w:rsidRPr="00105CDB" w:rsidRDefault="00262A1F" w:rsidP="00262A1F">
      <w:pPr>
        <w:widowControl w:val="0"/>
        <w:spacing w:line="240" w:lineRule="atLeast"/>
        <w:rPr>
          <w:b/>
          <w:lang w:val="el-GR"/>
        </w:rPr>
      </w:pPr>
      <w:r w:rsidRPr="00105CDB">
        <w:rPr>
          <w:lang w:val="el-GR"/>
        </w:rPr>
        <w:t>Η συστηματική έκθεση στη γκανσικλοβίρη σε λήπτες καρδιακού, νεφρικού και ηπατικού μοσχεύματος ήταν παρόμοια μετά την από του στόματος χορήγηση βαλγκανσικλοβίρης, σύμφωνα με το δοσολογικό αλγόριθμο βάσει της νεφρικής λειτουργίας.</w:t>
      </w:r>
    </w:p>
    <w:p w:rsidR="00262A1F" w:rsidRPr="00105CDB" w:rsidRDefault="00262A1F" w:rsidP="00262A1F">
      <w:pPr>
        <w:widowControl w:val="0"/>
        <w:spacing w:line="240" w:lineRule="atLeast"/>
        <w:rPr>
          <w:lang w:val="el-GR"/>
        </w:rPr>
      </w:pPr>
    </w:p>
    <w:p w:rsidR="00262A1F" w:rsidRPr="00105CDB" w:rsidRDefault="00262A1F" w:rsidP="00262A1F">
      <w:pPr>
        <w:widowControl w:val="0"/>
        <w:spacing w:line="240" w:lineRule="atLeast"/>
        <w:rPr>
          <w:i/>
          <w:lang w:val="el-GR"/>
        </w:rPr>
      </w:pPr>
      <w:r w:rsidRPr="00105CDB">
        <w:rPr>
          <w:i/>
          <w:lang w:val="el-GR"/>
        </w:rPr>
        <w:t>Επίδραση της τροφής:</w:t>
      </w:r>
    </w:p>
    <w:p w:rsidR="00262A1F" w:rsidRPr="00105CDB" w:rsidRDefault="00262A1F" w:rsidP="00262A1F">
      <w:pPr>
        <w:widowControl w:val="0"/>
        <w:spacing w:line="240" w:lineRule="atLeast"/>
        <w:rPr>
          <w:lang w:val="el-GR"/>
        </w:rPr>
      </w:pPr>
      <w:r w:rsidRPr="00105CDB">
        <w:rPr>
          <w:lang w:val="el-GR"/>
        </w:rPr>
        <w:t xml:space="preserve">Δοσοεξαρτώμενη σχέση όσον αφορά στην </w:t>
      </w:r>
      <w:r w:rsidRPr="00105CDB">
        <w:t>AUC</w:t>
      </w:r>
      <w:r w:rsidRPr="00105CDB">
        <w:rPr>
          <w:lang w:val="el-GR"/>
        </w:rPr>
        <w:t xml:space="preserve"> της γκανσικλοβίρης μετά από χορήγηση βαλγκανσικλοβίρης σε δοσολογικά πλαίσια 450 έως 2625 </w:t>
      </w:r>
      <w:r w:rsidRPr="00105CDB">
        <w:t>mg</w:t>
      </w:r>
      <w:r w:rsidRPr="00105CDB">
        <w:rPr>
          <w:lang w:val="el-GR"/>
        </w:rPr>
        <w:t xml:space="preserve"> κατεδείχθη μόνο μετά από λήψη τροφής. Κατά τη χορήγηση βαλγκανσικλοβίρης, μαζί με τροφή, στη συνιστώμενη δόση των 900 </w:t>
      </w:r>
      <w:r w:rsidRPr="00105CDB">
        <w:t>mg</w:t>
      </w:r>
      <w:r w:rsidRPr="00105CDB">
        <w:rPr>
          <w:lang w:val="el-GR"/>
        </w:rPr>
        <w:t xml:space="preserve">, παρατηρήθηκαν αυξήσεις τόσο της μέσης </w:t>
      </w:r>
      <w:r w:rsidRPr="00105CDB">
        <w:t>AUC</w:t>
      </w:r>
      <w:r w:rsidRPr="00105CDB">
        <w:rPr>
          <w:lang w:val="el-GR"/>
        </w:rPr>
        <w:t xml:space="preserve"> της γκανσικλοβίρης (περίπου 30%), όσο και των μέσων τιμών </w:t>
      </w:r>
      <w:proofErr w:type="spellStart"/>
      <w:r w:rsidRPr="00105CDB">
        <w:t>C</w:t>
      </w:r>
      <w:r w:rsidRPr="00105CDB">
        <w:rPr>
          <w:vertAlign w:val="subscript"/>
        </w:rPr>
        <w:t>max</w:t>
      </w:r>
      <w:proofErr w:type="spellEnd"/>
      <w:r w:rsidRPr="00105CDB">
        <w:rPr>
          <w:lang w:val="el-GR"/>
        </w:rPr>
        <w:t xml:space="preserve"> της γκανσικλοβίρης (περίπου 14%), συγκριτικώς με τις συνθήκες νηστείας. Επίσης, η ατομική διακύμανση στην έκθεση στην γκανσικλοβίρη περιορίζεται όταν το </w:t>
      </w:r>
      <w:proofErr w:type="spellStart"/>
      <w:r w:rsidRPr="00105CDB">
        <w:t>Valcyte</w:t>
      </w:r>
      <w:proofErr w:type="spellEnd"/>
      <w:r w:rsidRPr="00105CDB">
        <w:rPr>
          <w:lang w:val="el-GR"/>
        </w:rPr>
        <w:t xml:space="preserve"> λαμβάνεται με τροφή.  Στις κλινικές μελέτες το </w:t>
      </w:r>
      <w:proofErr w:type="spellStart"/>
      <w:r w:rsidRPr="00105CDB">
        <w:t>Valcyte</w:t>
      </w:r>
      <w:proofErr w:type="spellEnd"/>
      <w:r w:rsidRPr="00105CDB">
        <w:rPr>
          <w:lang w:val="el-GR"/>
        </w:rPr>
        <w:t xml:space="preserve"> έχει χορηγηθεί μόνο μαζί με τροφή. Ως εκ τούτου, συνιστάται όπως το </w:t>
      </w:r>
      <w:proofErr w:type="spellStart"/>
      <w:r w:rsidRPr="00105CDB">
        <w:t>Valcyte</w:t>
      </w:r>
      <w:proofErr w:type="spellEnd"/>
      <w:r w:rsidRPr="00105CDB">
        <w:rPr>
          <w:lang w:val="el-GR"/>
        </w:rPr>
        <w:t xml:space="preserve"> χορηγείται μαζί με τροφή (</w:t>
      </w:r>
      <w:r w:rsidR="001613D1" w:rsidRPr="00105CDB">
        <w:rPr>
          <w:lang w:val="el-GR"/>
        </w:rPr>
        <w:t>βλέπε</w:t>
      </w:r>
      <w:r w:rsidR="00D72913" w:rsidRPr="00105CDB">
        <w:rPr>
          <w:lang w:val="el-GR"/>
        </w:rPr>
        <w:t xml:space="preserve"> </w:t>
      </w:r>
      <w:r w:rsidR="001F169E" w:rsidRPr="00105CDB">
        <w:rPr>
          <w:lang w:val="el-GR"/>
        </w:rPr>
        <w:t>παράγραφο</w:t>
      </w:r>
      <w:r w:rsidR="00995E9E" w:rsidRPr="00105CDB">
        <w:rPr>
          <w:lang w:val="el-GR"/>
        </w:rPr>
        <w:t xml:space="preserve"> </w:t>
      </w:r>
      <w:r w:rsidRPr="00105CDB">
        <w:rPr>
          <w:lang w:val="el-GR"/>
        </w:rPr>
        <w:t>4.2</w:t>
      </w:r>
      <w:r w:rsidRPr="00105CDB">
        <w:rPr>
          <w:i/>
          <w:lang w:val="el-GR"/>
        </w:rPr>
        <w:t xml:space="preserve"> </w:t>
      </w:r>
      <w:r w:rsidRPr="00105CDB">
        <w:rPr>
          <w:lang w:val="el-GR"/>
        </w:rPr>
        <w:t>).</w:t>
      </w:r>
    </w:p>
    <w:p w:rsidR="00262A1F" w:rsidRPr="00105CDB" w:rsidRDefault="00262A1F" w:rsidP="00262A1F">
      <w:pPr>
        <w:widowControl w:val="0"/>
        <w:spacing w:line="240" w:lineRule="atLeast"/>
        <w:rPr>
          <w:u w:val="single"/>
          <w:lang w:val="el-GR"/>
        </w:rPr>
      </w:pPr>
    </w:p>
    <w:p w:rsidR="00262A1F" w:rsidRPr="00105CDB" w:rsidRDefault="00262A1F" w:rsidP="00262A1F">
      <w:pPr>
        <w:widowControl w:val="0"/>
        <w:spacing w:line="240" w:lineRule="atLeast"/>
        <w:rPr>
          <w:lang w:val="el-GR"/>
        </w:rPr>
      </w:pPr>
      <w:r w:rsidRPr="00105CDB">
        <w:rPr>
          <w:u w:val="single"/>
          <w:lang w:val="el-GR"/>
        </w:rPr>
        <w:t>Κατανομή</w:t>
      </w:r>
      <w:r w:rsidRPr="00105CDB">
        <w:rPr>
          <w:lang w:val="el-GR"/>
        </w:rPr>
        <w:t>:</w:t>
      </w:r>
    </w:p>
    <w:p w:rsidR="00262A1F" w:rsidRPr="00105CDB" w:rsidRDefault="00262A1F" w:rsidP="00262A1F">
      <w:pPr>
        <w:pStyle w:val="31"/>
        <w:widowControl w:val="0"/>
        <w:spacing w:line="240" w:lineRule="atLeast"/>
        <w:ind w:left="0"/>
        <w:rPr>
          <w:b w:val="0"/>
        </w:rPr>
      </w:pPr>
      <w:r w:rsidRPr="00105CDB">
        <w:rPr>
          <w:b w:val="0"/>
        </w:rPr>
        <w:t xml:space="preserve">          Λόγω της ταχείας μετατροπής της βαλγκανσικλοβίρης σε γκανσικλοβίρη, η πρωτεϊνική σύνδεση της βαλγκανσικλοβίρης δεν προσδιορίσθηκε. Η σύνδεση της γκανσικλοβίρης με τις πρωτεΐνες του πλάσματος ήταν 1-2% για συγκεντρώσεις μεταξύ 0,5 και 51 </w:t>
      </w:r>
      <w:r w:rsidRPr="00105CDB">
        <w:rPr>
          <w:b w:val="0"/>
        </w:rPr>
        <w:sym w:font="Symbol" w:char="F06D"/>
      </w:r>
      <w:r w:rsidRPr="00105CDB">
        <w:rPr>
          <w:b w:val="0"/>
        </w:rPr>
        <w:t>g/m</w:t>
      </w:r>
      <w:r w:rsidR="00A40E12" w:rsidRPr="00105CDB">
        <w:rPr>
          <w:b w:val="0"/>
          <w:lang w:val="en-US"/>
        </w:rPr>
        <w:t>l</w:t>
      </w:r>
      <w:r w:rsidRPr="00105CDB">
        <w:rPr>
          <w:b w:val="0"/>
        </w:rPr>
        <w:t xml:space="preserve">. Σε κατάσταση ισορροπίας, ο όγκος κατανομής της γκανσικλοβίρης μετά από ενδοφλέβια χορήγηση ήταν 0,680 </w:t>
      </w:r>
      <w:r w:rsidRPr="00105CDB">
        <w:rPr>
          <w:b w:val="0"/>
        </w:rPr>
        <w:sym w:font="Symbol" w:char="F0B1"/>
      </w:r>
      <w:r w:rsidRPr="00105CDB">
        <w:rPr>
          <w:b w:val="0"/>
        </w:rPr>
        <w:t xml:space="preserve"> 0,161 </w:t>
      </w:r>
      <w:r w:rsidR="00CF4B39" w:rsidRPr="00105CDB">
        <w:rPr>
          <w:b w:val="0"/>
          <w:lang w:val="en-US"/>
        </w:rPr>
        <w:t>l</w:t>
      </w:r>
      <w:r w:rsidRPr="00105CDB">
        <w:rPr>
          <w:b w:val="0"/>
        </w:rPr>
        <w:t>/kg (n=114).</w:t>
      </w:r>
    </w:p>
    <w:p w:rsidR="00262A1F" w:rsidRPr="00105CDB" w:rsidRDefault="00DD3BFF" w:rsidP="00262A1F">
      <w:pPr>
        <w:pStyle w:val="3"/>
        <w:keepNext w:val="0"/>
        <w:widowControl w:val="0"/>
        <w:spacing w:line="240" w:lineRule="atLeast"/>
        <w:rPr>
          <w:rFonts w:ascii="Times New Roman" w:hAnsi="Times New Roman" w:cs="Times New Roman"/>
          <w:b w:val="0"/>
          <w:sz w:val="22"/>
          <w:u w:val="single"/>
          <w:lang w:val="el-GR"/>
        </w:rPr>
      </w:pPr>
      <w:r w:rsidRPr="00105CDB">
        <w:rPr>
          <w:rFonts w:ascii="Times New Roman" w:hAnsi="Times New Roman" w:cs="Times New Roman"/>
          <w:b w:val="0"/>
          <w:sz w:val="22"/>
          <w:u w:val="single"/>
          <w:lang w:val="el-GR"/>
        </w:rPr>
        <w:t>Βιομετασχηματισμός</w:t>
      </w:r>
    </w:p>
    <w:p w:rsidR="00884D55" w:rsidRPr="00105CDB" w:rsidRDefault="00262A1F" w:rsidP="00884D55">
      <w:pPr>
        <w:pStyle w:val="31"/>
        <w:widowControl w:val="0"/>
        <w:spacing w:line="240" w:lineRule="atLeast"/>
        <w:ind w:left="0" w:firstLine="0"/>
        <w:rPr>
          <w:b w:val="0"/>
        </w:rPr>
      </w:pPr>
      <w:r w:rsidRPr="00105CDB">
        <w:rPr>
          <w:b w:val="0"/>
        </w:rPr>
        <w:t>Η βαλγκανσικλοβίρη μεταβολίζεται ταχέως και εκτεταμένως σε γκανσικλοβίρη. Δεν έχουν ανιχνευθεί άλλοι μεταβολίτες.  Σε κανένα μεταβολίτη της από του στομάτος χορηγούμενης ραδιοεπισημασμένης γκανσικλοβίρης (εφάπαξ δόση 1000 mg) δεν αποδόθηκε περισσότερο από 1-2% της ραδιοδραστικότητας που ανακτήθηκε στα κόπρανα ή τα ούρα.</w:t>
      </w:r>
      <w:r w:rsidR="00884D55" w:rsidRPr="00105CDB">
        <w:rPr>
          <w:b w:val="0"/>
        </w:rPr>
        <w:t xml:space="preserve">  </w:t>
      </w:r>
    </w:p>
    <w:p w:rsidR="00884D55" w:rsidRPr="00105CDB" w:rsidRDefault="00884D55" w:rsidP="00884D55">
      <w:pPr>
        <w:pStyle w:val="31"/>
        <w:widowControl w:val="0"/>
        <w:spacing w:line="240" w:lineRule="atLeast"/>
        <w:ind w:left="0" w:firstLine="0"/>
        <w:rPr>
          <w:b w:val="0"/>
          <w:u w:val="single"/>
        </w:rPr>
      </w:pPr>
    </w:p>
    <w:p w:rsidR="00262A1F" w:rsidRPr="00105CDB" w:rsidRDefault="00DD3BFF" w:rsidP="00884D55">
      <w:pPr>
        <w:pStyle w:val="31"/>
        <w:widowControl w:val="0"/>
        <w:spacing w:line="240" w:lineRule="atLeast"/>
        <w:ind w:left="0" w:firstLine="0"/>
        <w:rPr>
          <w:b w:val="0"/>
          <w:u w:val="single"/>
        </w:rPr>
      </w:pPr>
      <w:r w:rsidRPr="00105CDB">
        <w:rPr>
          <w:b w:val="0"/>
          <w:u w:val="single"/>
        </w:rPr>
        <w:t>Αποβολή</w:t>
      </w:r>
    </w:p>
    <w:p w:rsidR="00884D55" w:rsidRPr="00105CDB" w:rsidRDefault="00262A1F" w:rsidP="00884D55">
      <w:pPr>
        <w:pStyle w:val="31"/>
        <w:widowControl w:val="0"/>
        <w:spacing w:line="240" w:lineRule="atLeast"/>
        <w:ind w:left="0" w:firstLine="0"/>
        <w:rPr>
          <w:b w:val="0"/>
        </w:rPr>
      </w:pPr>
      <w:r w:rsidRPr="00105CDB">
        <w:rPr>
          <w:b w:val="0"/>
        </w:rPr>
        <w:t>Μετά τη χορήγηση Valcyte, η κύρια οδός απομάκρυνσης της βαλγκανσικλοβίρης είναι η νεφρική απέκκρισή της ως γκανσικλοβίρης, μέσω σπειραματικής διήθησης και ενεργούς σωληναριακής απέκκρισης. Ποσοστό 81,5% ±22% (n=70) της συστηματικής κάθαρσης της γκανσικλοβίρης αποδίδεται στη νεφρική κάθαρση. Σε HIV και CMV οροθετικούς ασθενείς, ο χρόνος ημιζωής της γκανσικλοβίρης από τη βαλγκανσικλοβίρη ανέρχεται σε 4,1 ± 0,9 ώρες.</w:t>
      </w:r>
    </w:p>
    <w:p w:rsidR="00884D55" w:rsidRPr="00105CDB" w:rsidRDefault="00884D55" w:rsidP="00884D55">
      <w:pPr>
        <w:pStyle w:val="31"/>
        <w:widowControl w:val="0"/>
        <w:spacing w:line="240" w:lineRule="atLeast"/>
        <w:ind w:left="0" w:firstLine="0"/>
        <w:rPr>
          <w:b w:val="0"/>
        </w:rPr>
      </w:pPr>
    </w:p>
    <w:p w:rsidR="00262A1F" w:rsidRPr="00105CDB" w:rsidRDefault="00262A1F" w:rsidP="00884D55">
      <w:pPr>
        <w:pStyle w:val="31"/>
        <w:widowControl w:val="0"/>
        <w:spacing w:line="240" w:lineRule="atLeast"/>
        <w:ind w:left="0" w:firstLine="0"/>
        <w:rPr>
          <w:b w:val="0"/>
          <w:u w:val="single"/>
        </w:rPr>
      </w:pPr>
      <w:r w:rsidRPr="00105CDB">
        <w:rPr>
          <w:b w:val="0"/>
          <w:u w:val="single"/>
        </w:rPr>
        <w:t>Φαρμακοκινητικές ιδιότητες σε ειδικές κλινικές καταστάσεις</w:t>
      </w:r>
    </w:p>
    <w:p w:rsidR="00262A1F" w:rsidRPr="00105CDB" w:rsidRDefault="00262A1F" w:rsidP="00262A1F">
      <w:pPr>
        <w:rPr>
          <w:lang w:val="el-GR"/>
        </w:rPr>
      </w:pPr>
    </w:p>
    <w:p w:rsidR="00262A1F" w:rsidRPr="00105CDB" w:rsidRDefault="00262A1F" w:rsidP="00262A1F">
      <w:pPr>
        <w:widowControl w:val="0"/>
        <w:spacing w:line="240" w:lineRule="atLeast"/>
        <w:rPr>
          <w:i/>
          <w:lang w:val="el-GR"/>
        </w:rPr>
      </w:pPr>
      <w:r w:rsidRPr="00105CDB">
        <w:rPr>
          <w:i/>
          <w:lang w:val="el-GR"/>
        </w:rPr>
        <w:t>Ασθενείς με νεφρική ανεπάρκεια</w:t>
      </w:r>
    </w:p>
    <w:p w:rsidR="00262A1F" w:rsidRPr="00105CDB" w:rsidRDefault="00262A1F" w:rsidP="00262A1F">
      <w:pPr>
        <w:pStyle w:val="31"/>
        <w:widowControl w:val="0"/>
        <w:spacing w:line="240" w:lineRule="atLeast"/>
        <w:ind w:left="0"/>
        <w:rPr>
          <w:b w:val="0"/>
          <w:i/>
        </w:rPr>
      </w:pPr>
      <w:r w:rsidRPr="00105CDB">
        <w:rPr>
          <w:b w:val="0"/>
        </w:rPr>
        <w:t xml:space="preserve">          </w:t>
      </w:r>
      <w:r w:rsidR="00293EB9" w:rsidRPr="00105CDB">
        <w:rPr>
          <w:b w:val="0"/>
        </w:rPr>
        <w:t>Η μείωση</w:t>
      </w:r>
      <w:r w:rsidRPr="00105CDB">
        <w:rPr>
          <w:b w:val="0"/>
        </w:rPr>
        <w:t xml:space="preserve"> της νεφρικής λειτουργίας είχε σαν αποτέλεσμα τη μείωση της κάθαρσης της γκανσικλοβίρης από την βαλγκανσικλοβίρη</w:t>
      </w:r>
      <w:bookmarkStart w:id="0" w:name="_Hlt488033862"/>
      <w:bookmarkEnd w:id="0"/>
      <w:r w:rsidRPr="00105CDB">
        <w:rPr>
          <w:b w:val="0"/>
        </w:rPr>
        <w:t xml:space="preserve"> με αντίστοιχη αύξηση </w:t>
      </w:r>
      <w:r w:rsidR="00DB00E6" w:rsidRPr="00105CDB">
        <w:rPr>
          <w:b w:val="0"/>
        </w:rPr>
        <w:t>του τελικού χρόνου ημιζωής</w:t>
      </w:r>
      <w:r w:rsidRPr="00105CDB">
        <w:rPr>
          <w:b w:val="0"/>
        </w:rPr>
        <w:t>. Ως εκ τούτου, απαιτείται προσαρμογή της δοσολογίας σε ασθενείς με νεφρική ανεπάρκεια (</w:t>
      </w:r>
      <w:r w:rsidR="001613D1" w:rsidRPr="00105CDB">
        <w:rPr>
          <w:b w:val="0"/>
        </w:rPr>
        <w:t>βλέπε</w:t>
      </w:r>
      <w:r w:rsidR="00D72913" w:rsidRPr="00105CDB">
        <w:rPr>
          <w:b w:val="0"/>
        </w:rPr>
        <w:t xml:space="preserve"> </w:t>
      </w:r>
      <w:r w:rsidR="00DA249D" w:rsidRPr="00105CDB">
        <w:rPr>
          <w:b w:val="0"/>
        </w:rPr>
        <w:t>παραγράφους</w:t>
      </w:r>
      <w:r w:rsidRPr="00105CDB">
        <w:rPr>
          <w:b w:val="0"/>
        </w:rPr>
        <w:t xml:space="preserve"> 4.2</w:t>
      </w:r>
      <w:r w:rsidRPr="00105CDB">
        <w:rPr>
          <w:b w:val="0"/>
          <w:i/>
        </w:rPr>
        <w:t xml:space="preserve"> </w:t>
      </w:r>
      <w:r w:rsidRPr="00105CDB">
        <w:rPr>
          <w:b w:val="0"/>
        </w:rPr>
        <w:t>και 4.4).</w:t>
      </w:r>
    </w:p>
    <w:p w:rsidR="00262A1F" w:rsidRPr="00105CDB" w:rsidRDefault="00262A1F" w:rsidP="00262A1F">
      <w:pPr>
        <w:pStyle w:val="3"/>
        <w:keepNext w:val="0"/>
        <w:widowControl w:val="0"/>
        <w:spacing w:line="240" w:lineRule="atLeast"/>
        <w:rPr>
          <w:rFonts w:ascii="Times New Roman" w:hAnsi="Times New Roman" w:cs="Times New Roman"/>
          <w:b w:val="0"/>
          <w:i/>
          <w:sz w:val="22"/>
          <w:lang w:val="el-GR"/>
        </w:rPr>
      </w:pPr>
      <w:r w:rsidRPr="00105CDB">
        <w:rPr>
          <w:rFonts w:ascii="Times New Roman" w:hAnsi="Times New Roman" w:cs="Times New Roman"/>
          <w:b w:val="0"/>
          <w:i/>
          <w:sz w:val="22"/>
          <w:lang w:val="el-GR"/>
        </w:rPr>
        <w:t xml:space="preserve">Ασθενείς υποβαλλόμενοι σε αιμοκάθαρση </w:t>
      </w:r>
    </w:p>
    <w:p w:rsidR="00262A1F" w:rsidRPr="00105CDB" w:rsidRDefault="00262A1F" w:rsidP="00262A1F">
      <w:pPr>
        <w:widowControl w:val="0"/>
        <w:spacing w:line="240" w:lineRule="atLeast"/>
        <w:rPr>
          <w:lang w:val="el-GR"/>
        </w:rPr>
      </w:pPr>
      <w:r w:rsidRPr="00105CDB">
        <w:rPr>
          <w:lang w:val="el-GR"/>
        </w:rPr>
        <w:t xml:space="preserve">Δεν μπορεί να δοθεί δοσολογική σύσταση για </w:t>
      </w:r>
      <w:r w:rsidR="00566DF1" w:rsidRPr="00105CDB">
        <w:rPr>
          <w:lang w:val="el-GR"/>
        </w:rPr>
        <w:t xml:space="preserve">τα επικαλυμμένα με λεπτό υμένιο δισκία </w:t>
      </w:r>
      <w:r w:rsidRPr="00105CDB">
        <w:rPr>
          <w:lang w:val="el-GR"/>
        </w:rPr>
        <w:t xml:space="preserve">Valcyte 450 mg για ασθενείς που υποβάλλονται σε αιμοκάθαρση. Αυτό οφείλεται στο ότι η εξατομικευμένη δόση Valcyte που απαιτείται για τους ασθενείς αυτούς είναι μικρότερη από την περιεκτικότητα του δισκίου </w:t>
      </w:r>
      <w:r w:rsidRPr="00105CDB">
        <w:rPr>
          <w:lang w:val="el-GR"/>
        </w:rPr>
        <w:lastRenderedPageBreak/>
        <w:t>των 450 mg. Γι’αυτό τ</w:t>
      </w:r>
      <w:r w:rsidR="00566DF1" w:rsidRPr="00105CDB">
        <w:rPr>
          <w:lang w:val="el-GR"/>
        </w:rPr>
        <w:t>α</w:t>
      </w:r>
      <w:r w:rsidRPr="00105CDB">
        <w:rPr>
          <w:lang w:val="el-GR"/>
        </w:rPr>
        <w:t xml:space="preserve"> </w:t>
      </w:r>
      <w:r w:rsidR="00566DF1" w:rsidRPr="00105CDB">
        <w:rPr>
          <w:lang w:val="el-GR"/>
        </w:rPr>
        <w:t xml:space="preserve">επικαλυμμένα με λεπτό υμένιο δισκία </w:t>
      </w:r>
      <w:r w:rsidRPr="00105CDB">
        <w:rPr>
          <w:lang w:val="el-GR"/>
        </w:rPr>
        <w:t>Valcyte</w:t>
      </w:r>
      <w:r w:rsidR="00566DF1" w:rsidRPr="00105CDB">
        <w:rPr>
          <w:lang w:val="el-GR"/>
        </w:rPr>
        <w:t xml:space="preserve"> </w:t>
      </w:r>
      <w:r w:rsidRPr="00105CDB">
        <w:rPr>
          <w:lang w:val="el-GR"/>
        </w:rPr>
        <w:t>δεν θα πρέπει να χρησιμοποι</w:t>
      </w:r>
      <w:r w:rsidR="00E15CFA" w:rsidRPr="00105CDB">
        <w:rPr>
          <w:lang w:val="el-GR"/>
        </w:rPr>
        <w:t>ούν</w:t>
      </w:r>
      <w:r w:rsidRPr="00105CDB">
        <w:rPr>
          <w:lang w:val="el-GR"/>
        </w:rPr>
        <w:t>ται στους ασθενείς αυτούς (</w:t>
      </w:r>
      <w:r w:rsidR="001613D1" w:rsidRPr="00105CDB">
        <w:rPr>
          <w:lang w:val="el-GR"/>
        </w:rPr>
        <w:t>βλέπε</w:t>
      </w:r>
      <w:r w:rsidR="00D72913" w:rsidRPr="00105CDB">
        <w:rPr>
          <w:lang w:val="el-GR"/>
        </w:rPr>
        <w:t xml:space="preserve"> </w:t>
      </w:r>
      <w:r w:rsidR="00A21BEA" w:rsidRPr="00105CDB">
        <w:rPr>
          <w:lang w:val="el-GR"/>
        </w:rPr>
        <w:t xml:space="preserve">παραγράφους </w:t>
      </w:r>
      <w:r w:rsidRPr="00105CDB">
        <w:rPr>
          <w:lang w:val="el-GR"/>
        </w:rPr>
        <w:t xml:space="preserve">4.2 και 4.4).  </w:t>
      </w:r>
    </w:p>
    <w:p w:rsidR="00262A1F" w:rsidRPr="00105CDB" w:rsidRDefault="00262A1F" w:rsidP="00262A1F">
      <w:pPr>
        <w:pStyle w:val="3"/>
        <w:keepNext w:val="0"/>
        <w:widowControl w:val="0"/>
        <w:spacing w:line="240" w:lineRule="atLeast"/>
        <w:rPr>
          <w:rFonts w:ascii="Times New Roman" w:hAnsi="Times New Roman" w:cs="Times New Roman"/>
          <w:b w:val="0"/>
          <w:i/>
          <w:sz w:val="22"/>
          <w:lang w:val="el-GR"/>
        </w:rPr>
      </w:pPr>
      <w:r w:rsidRPr="00105CDB">
        <w:rPr>
          <w:rFonts w:ascii="Times New Roman" w:hAnsi="Times New Roman" w:cs="Times New Roman"/>
          <w:b w:val="0"/>
          <w:i/>
          <w:sz w:val="22"/>
          <w:lang w:val="el-GR"/>
        </w:rPr>
        <w:t>Ασθενείς με ηπατική ανεπάρκεια</w:t>
      </w:r>
    </w:p>
    <w:p w:rsidR="00262A1F" w:rsidRPr="00105CDB" w:rsidRDefault="00262A1F" w:rsidP="00262A1F">
      <w:pPr>
        <w:widowControl w:val="0"/>
        <w:spacing w:line="240" w:lineRule="atLeast"/>
        <w:rPr>
          <w:lang w:val="el-GR"/>
        </w:rPr>
      </w:pPr>
      <w:r w:rsidRPr="00105CDB">
        <w:rPr>
          <w:lang w:val="el-GR"/>
        </w:rPr>
        <w:t>Η ασφάλεια και η αποτελεσματικότητα των</w:t>
      </w:r>
      <w:r w:rsidR="00566DF1" w:rsidRPr="00105CDB">
        <w:rPr>
          <w:lang w:val="el-GR"/>
        </w:rPr>
        <w:t xml:space="preserve"> επικαλυμμένων με λεπτό υμένιο  </w:t>
      </w:r>
      <w:r w:rsidRPr="00105CDB">
        <w:rPr>
          <w:lang w:val="el-GR"/>
        </w:rPr>
        <w:t xml:space="preserve">δισκίων </w:t>
      </w:r>
      <w:proofErr w:type="spellStart"/>
      <w:r w:rsidRPr="00105CDB">
        <w:t>Valcyte</w:t>
      </w:r>
      <w:proofErr w:type="spellEnd"/>
      <w:r w:rsidRPr="00105CDB">
        <w:rPr>
          <w:lang w:val="el-GR"/>
        </w:rPr>
        <w:t xml:space="preserve"> δεν έχουν μελετηθεί σε ασθενείς με ηπατική ανεπάρκεια.  Καθώς η γκανσικλοβίρη απεκκρίνεται από τους νεφρούς, ο περιορισμός της ηπατικής λειτουργίας δεν αναμένεται να επηρεάζει τις φαρμακοκινητικές ιδιότητές της και ως εκ τούτου δε δίνονται ειδικές δοσολογικές συστάσεις.</w:t>
      </w:r>
    </w:p>
    <w:p w:rsidR="00726897" w:rsidRPr="00105CDB" w:rsidRDefault="00726897" w:rsidP="00726897">
      <w:pPr>
        <w:widowControl w:val="0"/>
        <w:spacing w:line="240" w:lineRule="atLeast"/>
        <w:rPr>
          <w:lang w:val="el-GR"/>
        </w:rPr>
      </w:pPr>
    </w:p>
    <w:p w:rsidR="00726897" w:rsidRPr="00105CDB" w:rsidRDefault="00726897" w:rsidP="00726897">
      <w:pPr>
        <w:spacing w:line="259" w:lineRule="auto"/>
        <w:rPr>
          <w:i/>
          <w:szCs w:val="24"/>
          <w:lang w:val="el-GR"/>
        </w:rPr>
      </w:pPr>
      <w:r w:rsidRPr="00105CDB">
        <w:rPr>
          <w:i/>
          <w:szCs w:val="24"/>
          <w:lang w:val="el-GR"/>
        </w:rPr>
        <w:t>Ασθενείς με κυστική ίνωση</w:t>
      </w:r>
    </w:p>
    <w:p w:rsidR="00726897" w:rsidRPr="00105CDB" w:rsidRDefault="00726897" w:rsidP="00726897">
      <w:pPr>
        <w:widowControl w:val="0"/>
        <w:spacing w:line="240" w:lineRule="atLeast"/>
        <w:rPr>
          <w:szCs w:val="24"/>
          <w:lang w:val="el-GR"/>
        </w:rPr>
      </w:pPr>
      <w:r w:rsidRPr="00105CDB">
        <w:rPr>
          <w:szCs w:val="24"/>
          <w:lang w:val="el-GR"/>
        </w:rPr>
        <w:t>Σε μία φαρμακοκινητική μελέτη φάσης Ι σε λήπτες πνευμονικού μοσχεύματος με ή χωρίς κυστική ίνωση (</w:t>
      </w:r>
      <w:r w:rsidRPr="00105CDB">
        <w:rPr>
          <w:szCs w:val="24"/>
          <w:lang w:val="en-GB"/>
        </w:rPr>
        <w:t>CF</w:t>
      </w:r>
      <w:r w:rsidRPr="00105CDB">
        <w:rPr>
          <w:szCs w:val="24"/>
          <w:lang w:val="el-GR"/>
        </w:rPr>
        <w:t>), 31 ασθενείς (16 με κυστική ίνωση/15 χωρίς κυστική ίνωση) έλαβαν προφύλαξη μετά από τη μεταμόσχευση με 90</w:t>
      </w:r>
      <w:r w:rsidRPr="00105CDB">
        <w:rPr>
          <w:szCs w:val="24"/>
          <w:lang w:val="en-GB"/>
        </w:rPr>
        <w:t>mg</w:t>
      </w:r>
      <w:r w:rsidRPr="00105CDB">
        <w:rPr>
          <w:szCs w:val="24"/>
          <w:lang w:val="el-GR"/>
        </w:rPr>
        <w:t xml:space="preserve">/ημέρα </w:t>
      </w:r>
      <w:proofErr w:type="spellStart"/>
      <w:r w:rsidRPr="00105CDB">
        <w:rPr>
          <w:szCs w:val="24"/>
          <w:lang w:val="en-GB"/>
        </w:rPr>
        <w:t>Valcyte</w:t>
      </w:r>
      <w:proofErr w:type="spellEnd"/>
      <w:r w:rsidRPr="00105CDB">
        <w:rPr>
          <w:szCs w:val="24"/>
          <w:lang w:val="el-GR"/>
        </w:rPr>
        <w:t xml:space="preserve">.  Η μελέτη υπέδειξε ότι η κυστική ίνωση δεν είχε στατιστικά σημαντική επίδραση στη συνολική μέση συστηματική έκθεση στη γκανσικλοβίρη σε λήπτες πνευμονικού μοσχεύματος. Η έκθεση στη γκανσικλοβίρη σε λήπτες πνευμονικού μοσχεύματος ήταν συγκρίσιμη με αυτή που δείχθηκε ως αποτελεσματική στην πρόληψη της νόσου από </w:t>
      </w:r>
      <w:r w:rsidRPr="00105CDB">
        <w:rPr>
          <w:szCs w:val="24"/>
          <w:lang w:val="en-GB"/>
        </w:rPr>
        <w:t>CMV</w:t>
      </w:r>
      <w:r w:rsidRPr="00105CDB">
        <w:rPr>
          <w:szCs w:val="24"/>
          <w:lang w:val="el-GR"/>
        </w:rPr>
        <w:t xml:space="preserve"> σε άλλους λήπτες μοσχεύματος συμπαγούς οργάνου.</w:t>
      </w:r>
    </w:p>
    <w:p w:rsidR="009627D2" w:rsidRPr="00105CDB" w:rsidRDefault="009627D2" w:rsidP="009627D2">
      <w:pPr>
        <w:widowControl w:val="0"/>
        <w:spacing w:line="240" w:lineRule="atLeast"/>
        <w:rPr>
          <w:lang w:val="el-GR"/>
        </w:rPr>
      </w:pPr>
    </w:p>
    <w:p w:rsidR="009627D2" w:rsidRPr="00105CDB" w:rsidRDefault="00995E9E" w:rsidP="00995E9E">
      <w:pPr>
        <w:rPr>
          <w:iCs/>
          <w:lang w:val="el-GR"/>
        </w:rPr>
      </w:pPr>
      <w:r w:rsidRPr="00105CDB">
        <w:rPr>
          <w:i/>
          <w:lang w:val="el-GR"/>
        </w:rPr>
        <w:t>Παιδιατρικός πληθυσμός</w:t>
      </w:r>
      <w:r w:rsidRPr="00105CDB">
        <w:rPr>
          <w:i/>
          <w:lang w:val="el-GR"/>
        </w:rPr>
        <w:br/>
      </w:r>
      <w:r w:rsidRPr="00105CDB">
        <w:rPr>
          <w:iCs/>
          <w:lang w:val="el-GR"/>
        </w:rPr>
        <w:t xml:space="preserve">Σε μια </w:t>
      </w:r>
      <w:r w:rsidR="002F458D" w:rsidRPr="00105CDB">
        <w:rPr>
          <w:iCs/>
          <w:lang w:val="el-GR"/>
        </w:rPr>
        <w:t xml:space="preserve">φαρμακοκινητική και μελέτη ασφάλειας </w:t>
      </w:r>
      <w:r w:rsidRPr="00105CDB">
        <w:rPr>
          <w:iCs/>
          <w:lang w:val="el-GR"/>
        </w:rPr>
        <w:t>φάσης ΙΙ σε παιδιατρικούς λήπτες μοσχευμάτων συμπαγών οργάνων (ηλικίας από 4 μ</w:t>
      </w:r>
      <w:r w:rsidR="005A040F" w:rsidRPr="00105CDB">
        <w:rPr>
          <w:iCs/>
          <w:lang w:val="el-GR"/>
        </w:rPr>
        <w:t>ηνών έως 16 ετών, n = 63) δόθηκε</w:t>
      </w:r>
      <w:r w:rsidRPr="00105CDB">
        <w:rPr>
          <w:iCs/>
          <w:lang w:val="el-GR"/>
        </w:rPr>
        <w:t xml:space="preserve"> </w:t>
      </w:r>
      <w:r w:rsidRPr="00105CDB">
        <w:rPr>
          <w:lang w:val="el-GR"/>
        </w:rPr>
        <w:t>βαλγκανσικλοβίρη</w:t>
      </w:r>
      <w:r w:rsidR="005A040F" w:rsidRPr="00105CDB">
        <w:rPr>
          <w:iCs/>
          <w:lang w:val="el-GR"/>
        </w:rPr>
        <w:t xml:space="preserve"> μία φορά ημερησίως</w:t>
      </w:r>
      <w:r w:rsidRPr="00105CDB">
        <w:rPr>
          <w:iCs/>
          <w:lang w:val="el-GR"/>
        </w:rPr>
        <w:t xml:space="preserve"> έως και 100 ημέρες. Οι φαρμακοκινητικές παράμετροι ήταν παρόμοιες σε όλους τους τύπους οργάνων και  ηλικιακές ομάδες και συγκρίσιμες με των ενηλίκων. Το μοντέλο φαρμακοκινητικής του πληθυσμού υπέδειξε ότι η βιοδιαθεσιμότητα ήταν περίπου 60%. Η </w:t>
      </w:r>
      <w:r w:rsidR="005A040F" w:rsidRPr="00105CDB">
        <w:rPr>
          <w:iCs/>
          <w:lang w:val="el-GR"/>
        </w:rPr>
        <w:t xml:space="preserve">κάθαρση επηρεάστηκε θετικά </w:t>
      </w:r>
      <w:r w:rsidRPr="00105CDB">
        <w:rPr>
          <w:iCs/>
          <w:lang w:val="el-GR"/>
        </w:rPr>
        <w:t xml:space="preserve">από την επιφάνεια του σώματος και τη νεφρική λειτουργία. </w:t>
      </w:r>
    </w:p>
    <w:p w:rsidR="009627D2" w:rsidRPr="00105CDB" w:rsidRDefault="009627D2" w:rsidP="00995E9E">
      <w:pPr>
        <w:rPr>
          <w:iCs/>
          <w:lang w:val="el-GR"/>
        </w:rPr>
      </w:pPr>
    </w:p>
    <w:p w:rsidR="009627D2" w:rsidRPr="00105CDB" w:rsidRDefault="009627D2" w:rsidP="009627D2">
      <w:pPr>
        <w:rPr>
          <w:iCs/>
          <w:lang w:val="el-GR"/>
        </w:rPr>
      </w:pPr>
    </w:p>
    <w:p w:rsidR="009627D2" w:rsidRPr="00105CDB" w:rsidRDefault="009627D2" w:rsidP="009627D2">
      <w:pPr>
        <w:rPr>
          <w:iCs/>
          <w:lang w:val="el-GR"/>
        </w:rPr>
      </w:pPr>
      <w:r w:rsidRPr="00105CDB">
        <w:rPr>
          <w:iCs/>
          <w:lang w:val="el-GR"/>
        </w:rPr>
        <w:t xml:space="preserve">Σε μία μελέτη φαρμακοκινητικής και ασφάλειας φάσης Ι σε παιδιατρικούς λήπτες καρδιακού μοσχεύματος (ηλικίας 3 εβδομάδων έως 125 ημερών, n = 14), η βαλγκανσικλοβίρη χορηγήθηκε </w:t>
      </w:r>
      <w:r w:rsidR="006E66B5" w:rsidRPr="00105CDB">
        <w:rPr>
          <w:iCs/>
          <w:lang w:val="el-GR"/>
        </w:rPr>
        <w:t>μία φορά την ημέρα</w:t>
      </w:r>
      <w:r w:rsidRPr="00105CDB">
        <w:rPr>
          <w:iCs/>
          <w:lang w:val="el-GR"/>
        </w:rPr>
        <w:t xml:space="preserve"> για τις δύο ημέρες της μελέτης.   Η φαρμακοκινητική πληθυσμού εκτίμησε ότι η μέση βιοδιαθεσιμότητα ήταν 64%.  </w:t>
      </w:r>
    </w:p>
    <w:p w:rsidR="009627D2" w:rsidRPr="00105CDB" w:rsidRDefault="009627D2" w:rsidP="009627D2">
      <w:pPr>
        <w:rPr>
          <w:iCs/>
          <w:lang w:val="el-GR"/>
        </w:rPr>
      </w:pPr>
    </w:p>
    <w:p w:rsidR="009627D2" w:rsidRPr="00105CDB" w:rsidRDefault="009627D2" w:rsidP="009627D2">
      <w:pPr>
        <w:rPr>
          <w:iCs/>
          <w:lang w:val="el-GR"/>
        </w:rPr>
      </w:pPr>
      <w:r w:rsidRPr="00105CDB">
        <w:rPr>
          <w:iCs/>
          <w:lang w:val="el-GR"/>
        </w:rPr>
        <w:t>Η σύγκριση των αποτελεσμάτων αυτών των δύο μελετών και τα φαρμακοκινητικά αποτελέσματα από τον πληθυσμό των ενηλίκων δείχνουν ότι τ</w:t>
      </w:r>
      <w:r w:rsidR="00940C9A" w:rsidRPr="00105CDB">
        <w:rPr>
          <w:iCs/>
          <w:lang w:val="el-GR"/>
        </w:rPr>
        <w:t>ο</w:t>
      </w:r>
      <w:r w:rsidRPr="00105CDB">
        <w:rPr>
          <w:iCs/>
          <w:lang w:val="el-GR"/>
        </w:rPr>
        <w:t xml:space="preserve"> εύρ</w:t>
      </w:r>
      <w:r w:rsidR="00940C9A" w:rsidRPr="00105CDB">
        <w:rPr>
          <w:iCs/>
          <w:lang w:val="el-GR"/>
        </w:rPr>
        <w:t>ος</w:t>
      </w:r>
      <w:r w:rsidRPr="00105CDB">
        <w:rPr>
          <w:iCs/>
          <w:lang w:val="el-GR"/>
        </w:rPr>
        <w:t xml:space="preserve"> της AUC </w:t>
      </w:r>
      <w:r w:rsidRPr="00105CDB">
        <w:rPr>
          <w:iCs/>
          <w:vertAlign w:val="subscript"/>
          <w:lang w:val="el-GR"/>
        </w:rPr>
        <w:t>0-24h</w:t>
      </w:r>
      <w:r w:rsidRPr="00105CDB">
        <w:rPr>
          <w:iCs/>
          <w:lang w:val="el-GR"/>
        </w:rPr>
        <w:t xml:space="preserve"> ήταν πολύ παρόμοι</w:t>
      </w:r>
      <w:r w:rsidR="00940C9A" w:rsidRPr="00105CDB">
        <w:rPr>
          <w:iCs/>
          <w:lang w:val="el-GR"/>
        </w:rPr>
        <w:t>ο</w:t>
      </w:r>
      <w:r w:rsidRPr="00105CDB">
        <w:rPr>
          <w:iCs/>
          <w:lang w:val="el-GR"/>
        </w:rPr>
        <w:t xml:space="preserve"> σε όλες τις ηλικιακές ομάδες, συμπεριλαμβανομένων των ενηλίκων.  Οι μέσες τιμές για την AUC</w:t>
      </w:r>
      <w:r w:rsidR="002B0958" w:rsidRPr="00105CDB">
        <w:rPr>
          <w:iCs/>
          <w:lang w:val="el-GR"/>
        </w:rPr>
        <w:t xml:space="preserve"> </w:t>
      </w:r>
      <w:r w:rsidRPr="00105CDB">
        <w:rPr>
          <w:iCs/>
          <w:vertAlign w:val="subscript"/>
          <w:lang w:val="el-GR"/>
        </w:rPr>
        <w:t>0</w:t>
      </w:r>
      <w:r w:rsidR="002B0958" w:rsidRPr="00105CDB">
        <w:rPr>
          <w:iCs/>
          <w:vertAlign w:val="subscript"/>
          <w:lang w:val="el-GR"/>
        </w:rPr>
        <w:t>-</w:t>
      </w:r>
      <w:r w:rsidRPr="00105CDB">
        <w:rPr>
          <w:iCs/>
          <w:vertAlign w:val="subscript"/>
          <w:lang w:val="el-GR"/>
        </w:rPr>
        <w:t>24h</w:t>
      </w:r>
      <w:r w:rsidRPr="00105CDB">
        <w:rPr>
          <w:iCs/>
          <w:lang w:val="el-GR"/>
        </w:rPr>
        <w:t xml:space="preserve"> και τη C</w:t>
      </w:r>
      <w:r w:rsidRPr="00105CDB">
        <w:rPr>
          <w:iCs/>
          <w:vertAlign w:val="subscript"/>
          <w:lang w:val="el-GR"/>
        </w:rPr>
        <w:t>max</w:t>
      </w:r>
      <w:r w:rsidRPr="00105CDB">
        <w:rPr>
          <w:iCs/>
          <w:lang w:val="el-GR"/>
        </w:rPr>
        <w:t xml:space="preserve"> ήταν, επίσης, παρόμοιες ανάμεσα στις παιδιατρικές ηλικιακές ομάδες &lt;12 ετών, παρόλο που υπήρξε τάση μείωσης των μέσων τιμών για τις AUC</w:t>
      </w:r>
      <w:r w:rsidR="002B0958" w:rsidRPr="00105CDB">
        <w:rPr>
          <w:iCs/>
          <w:lang w:val="el-GR"/>
        </w:rPr>
        <w:t xml:space="preserve"> </w:t>
      </w:r>
      <w:r w:rsidRPr="00105CDB">
        <w:rPr>
          <w:iCs/>
          <w:vertAlign w:val="subscript"/>
          <w:lang w:val="el-GR"/>
        </w:rPr>
        <w:t>0</w:t>
      </w:r>
      <w:r w:rsidR="002B0958" w:rsidRPr="00105CDB">
        <w:rPr>
          <w:iCs/>
          <w:vertAlign w:val="subscript"/>
          <w:lang w:val="el-GR"/>
        </w:rPr>
        <w:t>-</w:t>
      </w:r>
      <w:r w:rsidRPr="00105CDB">
        <w:rPr>
          <w:iCs/>
          <w:vertAlign w:val="subscript"/>
          <w:lang w:val="el-GR"/>
        </w:rPr>
        <w:t xml:space="preserve"> 24h</w:t>
      </w:r>
      <w:r w:rsidRPr="00105CDB">
        <w:rPr>
          <w:iCs/>
          <w:lang w:val="el-GR"/>
        </w:rPr>
        <w:t xml:space="preserve"> και C</w:t>
      </w:r>
      <w:r w:rsidRPr="00105CDB">
        <w:rPr>
          <w:iCs/>
          <w:vertAlign w:val="subscript"/>
          <w:lang w:val="el-GR"/>
        </w:rPr>
        <w:t>max</w:t>
      </w:r>
      <w:r w:rsidRPr="00105CDB">
        <w:rPr>
          <w:iCs/>
          <w:lang w:val="el-GR"/>
        </w:rPr>
        <w:t xml:space="preserve"> σε όλο το εύρος της παιδιατρικής ηλικίας, η οποία φάνηκε να σχετίζεται με την αύξηση της ηλικίας.  Η τάση αυτή ήταν εμφανέστερη για τις μέσες τιμές της κάθαρσης και της ημίσειας ζωής (t</w:t>
      </w:r>
      <w:r w:rsidR="002B0958" w:rsidRPr="00105CDB">
        <w:rPr>
          <w:iCs/>
          <w:lang w:val="el-GR"/>
        </w:rPr>
        <w:t xml:space="preserve"> </w:t>
      </w:r>
      <w:r w:rsidRPr="00105CDB">
        <w:rPr>
          <w:iCs/>
          <w:vertAlign w:val="subscript"/>
          <w:lang w:val="el-GR"/>
        </w:rPr>
        <w:t>1/2</w:t>
      </w:r>
      <w:r w:rsidRPr="00105CDB">
        <w:rPr>
          <w:iCs/>
          <w:lang w:val="el-GR"/>
        </w:rPr>
        <w:t xml:space="preserve">). Ωστόσο, αυτό αναμένεται καθώς η κάθαρση επηρεάζεται από τις μεταβολές του βάρους, του ύψους και της νεφρικής λειτουργίας, οι οποίες σχετίζονται με την ανάπτυξη του ασθενούς, όπως υποδεικνύεται από το φαρμακοκινητικό μοντέλο </w:t>
      </w:r>
      <w:r w:rsidR="00940C9A" w:rsidRPr="00105CDB">
        <w:rPr>
          <w:iCs/>
          <w:lang w:val="el-GR"/>
        </w:rPr>
        <w:t xml:space="preserve">του </w:t>
      </w:r>
      <w:r w:rsidRPr="00105CDB">
        <w:rPr>
          <w:iCs/>
          <w:lang w:val="el-GR"/>
        </w:rPr>
        <w:t>πληθυσμού.</w:t>
      </w:r>
    </w:p>
    <w:p w:rsidR="009627D2" w:rsidRPr="00105CDB" w:rsidRDefault="009627D2" w:rsidP="009627D2">
      <w:pPr>
        <w:rPr>
          <w:iCs/>
          <w:lang w:val="el-GR"/>
        </w:rPr>
      </w:pPr>
    </w:p>
    <w:p w:rsidR="00995E9E" w:rsidRPr="00105CDB" w:rsidRDefault="00995E9E" w:rsidP="00995E9E">
      <w:pPr>
        <w:rPr>
          <w:iCs/>
          <w:lang w:val="el-GR"/>
        </w:rPr>
      </w:pPr>
      <w:r w:rsidRPr="00105CDB">
        <w:rPr>
          <w:iCs/>
          <w:lang w:val="el-GR"/>
        </w:rPr>
        <w:t xml:space="preserve">Ο παρακάτω πίνακας </w:t>
      </w:r>
      <w:r w:rsidR="009627D2" w:rsidRPr="00105CDB">
        <w:rPr>
          <w:iCs/>
          <w:lang w:val="el-GR"/>
        </w:rPr>
        <w:t>συνοψίζει τ</w:t>
      </w:r>
      <w:r w:rsidR="002B0958" w:rsidRPr="00105CDB">
        <w:rPr>
          <w:iCs/>
          <w:lang w:val="el-GR"/>
        </w:rPr>
        <w:t>ο</w:t>
      </w:r>
      <w:r w:rsidR="009627D2" w:rsidRPr="00105CDB">
        <w:rPr>
          <w:iCs/>
          <w:lang w:val="el-GR"/>
        </w:rPr>
        <w:t xml:space="preserve"> εκτιμώμεν</w:t>
      </w:r>
      <w:r w:rsidR="002B0958" w:rsidRPr="00105CDB">
        <w:rPr>
          <w:iCs/>
          <w:lang w:val="el-GR"/>
        </w:rPr>
        <w:t>ο</w:t>
      </w:r>
      <w:r w:rsidR="009627D2" w:rsidRPr="00105CDB">
        <w:rPr>
          <w:iCs/>
          <w:lang w:val="el-GR"/>
        </w:rPr>
        <w:t xml:space="preserve"> από το μοντέλο εύρ</w:t>
      </w:r>
      <w:r w:rsidR="002B0958" w:rsidRPr="00105CDB">
        <w:rPr>
          <w:iCs/>
          <w:lang w:val="el-GR"/>
        </w:rPr>
        <w:t>ος</w:t>
      </w:r>
      <w:r w:rsidR="009627D2" w:rsidRPr="00105CDB">
        <w:rPr>
          <w:iCs/>
          <w:lang w:val="el-GR"/>
        </w:rPr>
        <w:t xml:space="preserve"> της AUC</w:t>
      </w:r>
      <w:r w:rsidR="009627D2" w:rsidRPr="00105CDB">
        <w:rPr>
          <w:iCs/>
          <w:vertAlign w:val="subscript"/>
          <w:lang w:val="el-GR"/>
        </w:rPr>
        <w:t>0-24h</w:t>
      </w:r>
      <w:r w:rsidR="009627D2" w:rsidRPr="00105CDB">
        <w:rPr>
          <w:iCs/>
          <w:lang w:val="el-GR"/>
        </w:rPr>
        <w:t xml:space="preserve"> για τη γκανσικλοβίρη για τις δύο αυτές μελέτες, καθώς και </w:t>
      </w:r>
      <w:r w:rsidR="002038FD" w:rsidRPr="00105CDB">
        <w:rPr>
          <w:iCs/>
          <w:lang w:val="el-GR"/>
        </w:rPr>
        <w:t>τις μέσες τιμές και τις τιμές τυπικής απόκλισης για τα AUC</w:t>
      </w:r>
      <w:r w:rsidR="002038FD" w:rsidRPr="00105CDB">
        <w:rPr>
          <w:iCs/>
          <w:vertAlign w:val="subscript"/>
          <w:lang w:val="el-GR"/>
        </w:rPr>
        <w:t>0-24h</w:t>
      </w:r>
      <w:r w:rsidR="002038FD" w:rsidRPr="00105CDB">
        <w:rPr>
          <w:iCs/>
          <w:lang w:val="el-GR"/>
        </w:rPr>
        <w:t>, C</w:t>
      </w:r>
      <w:r w:rsidR="002038FD" w:rsidRPr="00105CDB">
        <w:rPr>
          <w:iCs/>
          <w:vertAlign w:val="subscript"/>
          <w:lang w:val="el-GR"/>
        </w:rPr>
        <w:t>max</w:t>
      </w:r>
      <w:r w:rsidR="002038FD" w:rsidRPr="00105CDB">
        <w:rPr>
          <w:iCs/>
          <w:lang w:val="el-GR"/>
        </w:rPr>
        <w:t xml:space="preserve">, CL και t ½ </w:t>
      </w:r>
      <w:r w:rsidRPr="00105CDB">
        <w:rPr>
          <w:iCs/>
          <w:lang w:val="el-GR"/>
        </w:rPr>
        <w:t>για τις σχετικές παιδιατρικές ηλικιακές ομάδες σε σύγκριση με τα δεδομένα ενηλίκων:</w:t>
      </w:r>
    </w:p>
    <w:p w:rsidR="00995E9E" w:rsidRPr="00105CDB" w:rsidRDefault="00995E9E" w:rsidP="00995E9E">
      <w:pPr>
        <w:rPr>
          <w:iCs/>
          <w:lang w:val="el-GR"/>
        </w:rPr>
      </w:pPr>
    </w:p>
    <w:tbl>
      <w:tblPr>
        <w:tblW w:w="9461"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815"/>
        <w:gridCol w:w="1198"/>
        <w:gridCol w:w="1315"/>
        <w:gridCol w:w="1790"/>
        <w:gridCol w:w="1434"/>
        <w:gridCol w:w="1909"/>
      </w:tblGrid>
      <w:tr w:rsidR="00403333" w:rsidRPr="00105CDB" w:rsidTr="002038FD">
        <w:trPr>
          <w:tblHeader/>
        </w:trPr>
        <w:tc>
          <w:tcPr>
            <w:tcW w:w="1668" w:type="dxa"/>
            <w:tcBorders>
              <w:top w:val="single" w:sz="4" w:space="0" w:color="auto"/>
              <w:left w:val="single" w:sz="4" w:space="0" w:color="auto"/>
              <w:bottom w:val="single" w:sz="4" w:space="0" w:color="auto"/>
              <w:right w:val="single" w:sz="4" w:space="0" w:color="auto"/>
            </w:tcBorders>
            <w:hideMark/>
          </w:tcPr>
          <w:p w:rsidR="002038FD" w:rsidRPr="00105CDB" w:rsidRDefault="002038FD" w:rsidP="00403333">
            <w:pPr>
              <w:spacing w:after="120" w:line="360" w:lineRule="auto"/>
              <w:jc w:val="center"/>
              <w:rPr>
                <w:rStyle w:val="TextTi10Char"/>
                <w:rFonts w:eastAsia="SimSun"/>
                <w:b/>
                <w:sz w:val="18"/>
                <w:szCs w:val="18"/>
                <w:lang w:val="el-GR"/>
              </w:rPr>
            </w:pPr>
            <w:r w:rsidRPr="00105CDB">
              <w:rPr>
                <w:lang w:val="el-GR"/>
              </w:rPr>
              <w:t>Φαρμακοκινητική παράμετρος</w:t>
            </w:r>
          </w:p>
        </w:tc>
        <w:tc>
          <w:tcPr>
            <w:tcW w:w="1200" w:type="dxa"/>
            <w:tcBorders>
              <w:top w:val="single" w:sz="4" w:space="0" w:color="auto"/>
              <w:left w:val="single" w:sz="4" w:space="0" w:color="auto"/>
              <w:bottom w:val="single" w:sz="4" w:space="0" w:color="auto"/>
              <w:right w:val="single" w:sz="4" w:space="0" w:color="auto"/>
            </w:tcBorders>
            <w:hideMark/>
          </w:tcPr>
          <w:p w:rsidR="002038FD" w:rsidRPr="00105CDB" w:rsidRDefault="002038FD">
            <w:pPr>
              <w:spacing w:after="120" w:line="360" w:lineRule="auto"/>
              <w:jc w:val="center"/>
              <w:rPr>
                <w:rStyle w:val="TextTi10Char"/>
                <w:rFonts w:eastAsia="SimSun"/>
                <w:b/>
                <w:sz w:val="18"/>
                <w:szCs w:val="18"/>
              </w:rPr>
            </w:pPr>
            <w:r w:rsidRPr="00105CDB">
              <w:rPr>
                <w:b/>
                <w:sz w:val="18"/>
                <w:szCs w:val="18"/>
                <w:lang w:val="el-GR"/>
              </w:rPr>
              <w:t>Ενήλικες</w:t>
            </w:r>
            <w:r w:rsidRPr="00105CDB">
              <w:rPr>
                <w:b/>
                <w:sz w:val="18"/>
                <w:szCs w:val="18"/>
              </w:rPr>
              <w:t>*</w:t>
            </w:r>
          </w:p>
        </w:tc>
        <w:tc>
          <w:tcPr>
            <w:tcW w:w="6480" w:type="dxa"/>
            <w:gridSpan w:val="4"/>
            <w:tcBorders>
              <w:top w:val="single" w:sz="4" w:space="0" w:color="auto"/>
              <w:left w:val="single" w:sz="4" w:space="0" w:color="auto"/>
              <w:bottom w:val="single" w:sz="4" w:space="0" w:color="auto"/>
              <w:right w:val="single" w:sz="4" w:space="0" w:color="auto"/>
            </w:tcBorders>
            <w:hideMark/>
          </w:tcPr>
          <w:p w:rsidR="002038FD" w:rsidRPr="00105CDB" w:rsidRDefault="002038FD">
            <w:pPr>
              <w:spacing w:after="120" w:line="360" w:lineRule="auto"/>
              <w:jc w:val="center"/>
              <w:rPr>
                <w:rStyle w:val="TextTi10Char"/>
                <w:rFonts w:eastAsia="SimSun"/>
                <w:b/>
                <w:sz w:val="18"/>
                <w:szCs w:val="18"/>
                <w:lang w:val="el-GR"/>
              </w:rPr>
            </w:pPr>
            <w:r w:rsidRPr="00105CDB">
              <w:rPr>
                <w:rStyle w:val="TextTi10Char"/>
                <w:rFonts w:eastAsia="SimSun"/>
                <w:b/>
                <w:sz w:val="18"/>
                <w:szCs w:val="18"/>
                <w:lang w:val="el-GR"/>
              </w:rPr>
              <w:t>Παιδιατρικοί ασθενείς</w:t>
            </w:r>
          </w:p>
        </w:tc>
      </w:tr>
      <w:tr w:rsidR="00403333" w:rsidRPr="00105CDB" w:rsidTr="002038FD">
        <w:trPr>
          <w:tblHeader/>
        </w:trPr>
        <w:tc>
          <w:tcPr>
            <w:tcW w:w="1668" w:type="dxa"/>
            <w:tcBorders>
              <w:top w:val="single" w:sz="4" w:space="0" w:color="auto"/>
              <w:left w:val="single" w:sz="4" w:space="0" w:color="auto"/>
              <w:bottom w:val="single" w:sz="4" w:space="0" w:color="auto"/>
              <w:right w:val="single" w:sz="4" w:space="0" w:color="auto"/>
            </w:tcBorders>
          </w:tcPr>
          <w:p w:rsidR="002038FD" w:rsidRPr="00105CDB" w:rsidRDefault="002038FD">
            <w:pPr>
              <w:spacing w:after="120" w:line="360" w:lineRule="auto"/>
              <w:jc w:val="center"/>
              <w:rPr>
                <w:rStyle w:val="TextTi10Char"/>
                <w:rFonts w:eastAsia="SimSu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2038FD" w:rsidRPr="00105CDB" w:rsidRDefault="002038FD">
            <w:pPr>
              <w:spacing w:after="120" w:line="360" w:lineRule="auto"/>
              <w:jc w:val="center"/>
              <w:rPr>
                <w:lang w:val="el-GR"/>
              </w:rPr>
            </w:pPr>
            <w:r w:rsidRPr="00105CDB">
              <w:rPr>
                <w:b/>
                <w:sz w:val="18"/>
                <w:szCs w:val="18"/>
              </w:rPr>
              <w:t xml:space="preserve">≥ 18 </w:t>
            </w:r>
            <w:r w:rsidRPr="00105CDB">
              <w:rPr>
                <w:b/>
                <w:sz w:val="18"/>
                <w:szCs w:val="18"/>
                <w:lang w:val="el-GR"/>
              </w:rPr>
              <w:t>ετών</w:t>
            </w:r>
          </w:p>
          <w:p w:rsidR="002038FD" w:rsidRPr="00105CDB" w:rsidRDefault="002038FD">
            <w:pPr>
              <w:spacing w:after="120" w:line="360" w:lineRule="auto"/>
              <w:jc w:val="center"/>
              <w:rPr>
                <w:rStyle w:val="TextTi10Char"/>
                <w:rFonts w:eastAsia="SimSun"/>
              </w:rPr>
            </w:pPr>
            <w:r w:rsidRPr="00105CDB">
              <w:rPr>
                <w:b/>
                <w:sz w:val="18"/>
                <w:szCs w:val="18"/>
              </w:rPr>
              <w:t>(n=160)</w:t>
            </w:r>
          </w:p>
        </w:tc>
        <w:tc>
          <w:tcPr>
            <w:tcW w:w="1320" w:type="dxa"/>
            <w:tcBorders>
              <w:top w:val="single" w:sz="4" w:space="0" w:color="auto"/>
              <w:left w:val="single" w:sz="4" w:space="0" w:color="auto"/>
              <w:bottom w:val="single" w:sz="4" w:space="0" w:color="auto"/>
              <w:right w:val="nil"/>
            </w:tcBorders>
            <w:hideMark/>
          </w:tcPr>
          <w:p w:rsidR="002038FD" w:rsidRPr="00105CDB" w:rsidRDefault="002038FD">
            <w:pPr>
              <w:spacing w:after="120" w:line="360" w:lineRule="auto"/>
              <w:jc w:val="center"/>
              <w:rPr>
                <w:rStyle w:val="TextTi10Char"/>
                <w:rFonts w:eastAsia="SimSun"/>
                <w:b/>
                <w:sz w:val="18"/>
                <w:szCs w:val="18"/>
              </w:rPr>
            </w:pPr>
            <w:r w:rsidRPr="00105CDB">
              <w:rPr>
                <w:rStyle w:val="TextTi10Char"/>
                <w:rFonts w:eastAsia="SimSun"/>
                <w:b/>
                <w:sz w:val="18"/>
                <w:szCs w:val="18"/>
              </w:rPr>
              <w:t xml:space="preserve">&lt; 4 </w:t>
            </w:r>
            <w:r w:rsidRPr="00105CDB">
              <w:rPr>
                <w:rStyle w:val="TextTi10Char"/>
                <w:rFonts w:eastAsia="SimSun"/>
                <w:b/>
                <w:sz w:val="18"/>
                <w:szCs w:val="18"/>
                <w:lang w:val="el-GR"/>
              </w:rPr>
              <w:t>μηνών</w:t>
            </w:r>
            <w:r w:rsidRPr="00105CDB">
              <w:rPr>
                <w:rStyle w:val="TextTi10Char"/>
                <w:rFonts w:eastAsia="SimSun"/>
                <w:b/>
                <w:sz w:val="18"/>
                <w:szCs w:val="18"/>
              </w:rPr>
              <w:t xml:space="preserve"> </w:t>
            </w:r>
          </w:p>
          <w:p w:rsidR="002038FD" w:rsidRPr="00105CDB" w:rsidRDefault="002038FD">
            <w:pPr>
              <w:spacing w:after="120" w:line="360" w:lineRule="auto"/>
              <w:jc w:val="center"/>
              <w:rPr>
                <w:rStyle w:val="TextTi10Char"/>
                <w:rFonts w:eastAsia="SimSun"/>
                <w:b/>
                <w:sz w:val="18"/>
                <w:szCs w:val="18"/>
              </w:rPr>
            </w:pPr>
            <w:r w:rsidRPr="00105CDB">
              <w:rPr>
                <w:rStyle w:val="TextTi10Char"/>
                <w:rFonts w:eastAsia="SimSun"/>
                <w:b/>
                <w:sz w:val="18"/>
                <w:szCs w:val="18"/>
              </w:rPr>
              <w:t>(n = 14)</w:t>
            </w:r>
          </w:p>
        </w:tc>
        <w:tc>
          <w:tcPr>
            <w:tcW w:w="180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pPr>
            <w:r w:rsidRPr="00105CDB">
              <w:rPr>
                <w:b/>
                <w:sz w:val="18"/>
                <w:szCs w:val="18"/>
              </w:rPr>
              <w:t xml:space="preserve">4 </w:t>
            </w:r>
            <w:r w:rsidRPr="00105CDB">
              <w:rPr>
                <w:rStyle w:val="TextTi10Char"/>
                <w:rFonts w:eastAsia="SimSun"/>
                <w:b/>
                <w:sz w:val="18"/>
                <w:szCs w:val="18"/>
                <w:lang w:val="el-GR"/>
              </w:rPr>
              <w:t>μηνών</w:t>
            </w:r>
            <w:r w:rsidRPr="00105CDB">
              <w:rPr>
                <w:rStyle w:val="TextTi10Char"/>
                <w:rFonts w:eastAsia="SimSun"/>
                <w:b/>
                <w:sz w:val="18"/>
                <w:szCs w:val="18"/>
              </w:rPr>
              <w:t xml:space="preserve"> </w:t>
            </w:r>
            <w:r w:rsidRPr="00105CDB">
              <w:rPr>
                <w:b/>
                <w:sz w:val="18"/>
                <w:szCs w:val="18"/>
              </w:rPr>
              <w:t xml:space="preserve">- ≤ 2 </w:t>
            </w:r>
            <w:r w:rsidRPr="00105CDB">
              <w:rPr>
                <w:b/>
                <w:sz w:val="18"/>
                <w:szCs w:val="18"/>
                <w:lang w:val="el-GR"/>
              </w:rPr>
              <w:t>ετών</w:t>
            </w:r>
            <w:r w:rsidRPr="00105CDB">
              <w:rPr>
                <w:b/>
                <w:sz w:val="18"/>
                <w:szCs w:val="18"/>
              </w:rPr>
              <w:t xml:space="preserve"> </w:t>
            </w:r>
          </w:p>
          <w:p w:rsidR="002038FD" w:rsidRPr="00105CDB" w:rsidRDefault="002038FD">
            <w:pPr>
              <w:spacing w:after="120" w:line="360" w:lineRule="auto"/>
              <w:jc w:val="center"/>
              <w:rPr>
                <w:rStyle w:val="TextTi10Char"/>
                <w:rFonts w:eastAsia="SimSun"/>
              </w:rPr>
            </w:pPr>
            <w:r w:rsidRPr="00105CDB">
              <w:rPr>
                <w:b/>
                <w:sz w:val="18"/>
                <w:szCs w:val="18"/>
              </w:rPr>
              <w:t>(n=17)</w:t>
            </w:r>
          </w:p>
        </w:tc>
        <w:tc>
          <w:tcPr>
            <w:tcW w:w="144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lang w:val="el-GR"/>
              </w:rPr>
            </w:pPr>
            <w:r w:rsidRPr="00105CDB">
              <w:rPr>
                <w:b/>
                <w:sz w:val="18"/>
                <w:szCs w:val="18"/>
              </w:rPr>
              <w:t xml:space="preserve">&gt; 2 - &lt; 12 </w:t>
            </w:r>
            <w:r w:rsidRPr="00105CDB">
              <w:rPr>
                <w:b/>
                <w:sz w:val="18"/>
                <w:szCs w:val="18"/>
                <w:lang w:val="el-GR"/>
              </w:rPr>
              <w:t>ετών</w:t>
            </w:r>
          </w:p>
          <w:p w:rsidR="002038FD" w:rsidRPr="00105CDB" w:rsidRDefault="002038FD">
            <w:pPr>
              <w:spacing w:after="120" w:line="360" w:lineRule="auto"/>
              <w:jc w:val="center"/>
              <w:rPr>
                <w:rStyle w:val="TextTi10Char"/>
                <w:rFonts w:eastAsia="SimSun"/>
              </w:rPr>
            </w:pPr>
            <w:r w:rsidRPr="00105CDB">
              <w:rPr>
                <w:b/>
                <w:sz w:val="18"/>
                <w:szCs w:val="18"/>
              </w:rPr>
              <w:t>(n=21)</w:t>
            </w:r>
          </w:p>
        </w:tc>
        <w:tc>
          <w:tcPr>
            <w:tcW w:w="1920" w:type="dxa"/>
            <w:tcBorders>
              <w:top w:val="single" w:sz="4" w:space="0" w:color="auto"/>
              <w:left w:val="nil"/>
              <w:bottom w:val="single" w:sz="4" w:space="0" w:color="auto"/>
              <w:right w:val="single" w:sz="4" w:space="0" w:color="auto"/>
            </w:tcBorders>
            <w:hideMark/>
          </w:tcPr>
          <w:p w:rsidR="002038FD" w:rsidRPr="00105CDB" w:rsidRDefault="002038FD">
            <w:pPr>
              <w:spacing w:after="120" w:line="360" w:lineRule="auto"/>
              <w:jc w:val="center"/>
            </w:pPr>
            <w:r w:rsidRPr="00105CDB">
              <w:rPr>
                <w:b/>
                <w:sz w:val="18"/>
                <w:szCs w:val="18"/>
              </w:rPr>
              <w:t xml:space="preserve">≥ 12 </w:t>
            </w:r>
            <w:r w:rsidRPr="00105CDB">
              <w:rPr>
                <w:b/>
                <w:sz w:val="18"/>
                <w:szCs w:val="18"/>
                <w:lang w:val="el-GR"/>
              </w:rPr>
              <w:t>ετών</w:t>
            </w:r>
            <w:r w:rsidRPr="00105CDB">
              <w:rPr>
                <w:b/>
                <w:sz w:val="18"/>
                <w:szCs w:val="18"/>
              </w:rPr>
              <w:t xml:space="preserve">– 16 </w:t>
            </w:r>
            <w:r w:rsidRPr="00105CDB">
              <w:rPr>
                <w:b/>
                <w:sz w:val="18"/>
                <w:szCs w:val="18"/>
                <w:lang w:val="el-GR"/>
              </w:rPr>
              <w:t>ετών</w:t>
            </w:r>
          </w:p>
          <w:p w:rsidR="002038FD" w:rsidRPr="00105CDB" w:rsidRDefault="002038FD">
            <w:pPr>
              <w:spacing w:after="120" w:line="360" w:lineRule="auto"/>
              <w:jc w:val="center"/>
              <w:rPr>
                <w:rStyle w:val="TextTi10Char"/>
                <w:rFonts w:eastAsia="SimSun"/>
              </w:rPr>
            </w:pPr>
            <w:r w:rsidRPr="00105CDB">
              <w:rPr>
                <w:b/>
                <w:sz w:val="18"/>
                <w:szCs w:val="18"/>
              </w:rPr>
              <w:t>(n=25)</w:t>
            </w:r>
          </w:p>
        </w:tc>
      </w:tr>
      <w:tr w:rsidR="00403333" w:rsidRPr="00105CDB" w:rsidTr="002038FD">
        <w:tc>
          <w:tcPr>
            <w:tcW w:w="1668" w:type="dxa"/>
            <w:tcBorders>
              <w:top w:val="single" w:sz="4" w:space="0" w:color="auto"/>
              <w:left w:val="single" w:sz="4" w:space="0" w:color="auto"/>
              <w:bottom w:val="single" w:sz="4" w:space="0" w:color="auto"/>
              <w:right w:val="single" w:sz="4" w:space="0" w:color="auto"/>
            </w:tcBorders>
            <w:hideMark/>
          </w:tcPr>
          <w:p w:rsidR="002038FD" w:rsidRPr="00105CDB" w:rsidRDefault="002038FD">
            <w:pPr>
              <w:spacing w:after="120" w:line="360" w:lineRule="auto"/>
              <w:rPr>
                <w:rStyle w:val="TextTi10Char"/>
                <w:rFonts w:eastAsia="SimSun"/>
                <w:b/>
                <w:sz w:val="18"/>
                <w:szCs w:val="18"/>
              </w:rPr>
            </w:pPr>
            <w:r w:rsidRPr="00105CDB">
              <w:rPr>
                <w:b/>
                <w:sz w:val="18"/>
                <w:szCs w:val="18"/>
              </w:rPr>
              <w:t>AUC</w:t>
            </w:r>
            <w:r w:rsidRPr="00105CDB">
              <w:rPr>
                <w:b/>
                <w:sz w:val="18"/>
                <w:szCs w:val="18"/>
                <w:vertAlign w:val="subscript"/>
              </w:rPr>
              <w:t xml:space="preserve">0-24h </w:t>
            </w:r>
            <w:r w:rsidRPr="00105CDB">
              <w:rPr>
                <w:b/>
                <w:sz w:val="18"/>
                <w:szCs w:val="18"/>
              </w:rPr>
              <w:t>(</w:t>
            </w:r>
            <w:r w:rsidRPr="00105CDB">
              <w:rPr>
                <w:b/>
                <w:sz w:val="18"/>
                <w:szCs w:val="18"/>
              </w:rPr>
              <w:sym w:font="Symbol" w:char="F06D"/>
            </w:r>
            <w:proofErr w:type="spellStart"/>
            <w:r w:rsidRPr="00105CDB">
              <w:rPr>
                <w:b/>
                <w:sz w:val="18"/>
                <w:szCs w:val="18"/>
              </w:rPr>
              <w:t>g</w:t>
            </w:r>
            <w:r w:rsidRPr="00105CDB">
              <w:rPr>
                <w:b/>
                <w:sz w:val="18"/>
                <w:szCs w:val="18"/>
                <w:vertAlign w:val="superscript"/>
              </w:rPr>
              <w:t>.</w:t>
            </w:r>
            <w:r w:rsidRPr="00105CDB">
              <w:rPr>
                <w:b/>
                <w:sz w:val="18"/>
                <w:szCs w:val="18"/>
              </w:rPr>
              <w:t>h</w:t>
            </w:r>
            <w:proofErr w:type="spellEnd"/>
            <w:r w:rsidRPr="00105CDB">
              <w:rPr>
                <w:b/>
                <w:sz w:val="18"/>
                <w:szCs w:val="18"/>
              </w:rPr>
              <w:t>/ml)</w:t>
            </w:r>
          </w:p>
        </w:tc>
        <w:tc>
          <w:tcPr>
            <w:tcW w:w="1200" w:type="dxa"/>
            <w:tcBorders>
              <w:top w:val="single" w:sz="4" w:space="0" w:color="auto"/>
              <w:left w:val="single" w:sz="4" w:space="0" w:color="auto"/>
              <w:bottom w:val="single" w:sz="4" w:space="0" w:color="auto"/>
              <w:right w:val="single" w:sz="4" w:space="0" w:color="auto"/>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 xml:space="preserve">46.3 </w:t>
            </w:r>
            <w:r w:rsidRPr="00105CDB">
              <w:rPr>
                <w:sz w:val="18"/>
                <w:szCs w:val="18"/>
              </w:rPr>
              <w:sym w:font="Symbol" w:char="F0B1"/>
            </w:r>
            <w:r w:rsidRPr="00105CDB">
              <w:rPr>
                <w:sz w:val="18"/>
                <w:szCs w:val="18"/>
              </w:rPr>
              <w:t> 15.2</w:t>
            </w:r>
          </w:p>
        </w:tc>
        <w:tc>
          <w:tcPr>
            <w:tcW w:w="1320" w:type="dxa"/>
            <w:tcBorders>
              <w:top w:val="single" w:sz="4" w:space="0" w:color="auto"/>
              <w:left w:val="single" w:sz="4" w:space="0" w:color="auto"/>
              <w:bottom w:val="single" w:sz="4" w:space="0" w:color="auto"/>
              <w:right w:val="nil"/>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68.1 ± 19.8</w:t>
            </w:r>
          </w:p>
        </w:tc>
        <w:tc>
          <w:tcPr>
            <w:tcW w:w="180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64.3 ± 29.2</w:t>
            </w:r>
          </w:p>
        </w:tc>
        <w:tc>
          <w:tcPr>
            <w:tcW w:w="144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59.2 ± 15.1</w:t>
            </w:r>
          </w:p>
        </w:tc>
        <w:tc>
          <w:tcPr>
            <w:tcW w:w="1920" w:type="dxa"/>
            <w:tcBorders>
              <w:top w:val="single" w:sz="4" w:space="0" w:color="auto"/>
              <w:left w:val="nil"/>
              <w:bottom w:val="single" w:sz="4" w:space="0" w:color="auto"/>
              <w:right w:val="single" w:sz="4" w:space="0" w:color="auto"/>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50.3 ± 15.0</w:t>
            </w:r>
          </w:p>
        </w:tc>
      </w:tr>
      <w:tr w:rsidR="00403333" w:rsidRPr="00105CDB" w:rsidTr="002038FD">
        <w:tc>
          <w:tcPr>
            <w:tcW w:w="1668" w:type="dxa"/>
            <w:tcBorders>
              <w:top w:val="single" w:sz="4" w:space="0" w:color="auto"/>
              <w:left w:val="single" w:sz="4" w:space="0" w:color="auto"/>
              <w:bottom w:val="single" w:sz="4" w:space="0" w:color="auto"/>
              <w:right w:val="single" w:sz="4" w:space="0" w:color="auto"/>
            </w:tcBorders>
            <w:hideMark/>
          </w:tcPr>
          <w:p w:rsidR="002038FD" w:rsidRPr="00105CDB" w:rsidRDefault="002038FD">
            <w:pPr>
              <w:spacing w:after="120" w:line="360" w:lineRule="auto"/>
              <w:rPr>
                <w:rStyle w:val="TextTi10Char"/>
                <w:rFonts w:eastAsia="SimSun"/>
                <w:b/>
                <w:sz w:val="18"/>
                <w:szCs w:val="18"/>
              </w:rPr>
            </w:pPr>
            <w:r w:rsidRPr="00105CDB">
              <w:rPr>
                <w:rStyle w:val="TextTi10Char"/>
                <w:rFonts w:eastAsia="SimSun"/>
                <w:b/>
                <w:sz w:val="18"/>
                <w:szCs w:val="18"/>
                <w:lang w:val="el-GR"/>
              </w:rPr>
              <w:lastRenderedPageBreak/>
              <w:t>Εύρος</w:t>
            </w:r>
            <w:r w:rsidRPr="00105CDB">
              <w:rPr>
                <w:rStyle w:val="TextTi10Char"/>
                <w:rFonts w:eastAsia="SimSun"/>
                <w:b/>
                <w:sz w:val="18"/>
                <w:szCs w:val="18"/>
              </w:rPr>
              <w:t xml:space="preserve"> AUC</w:t>
            </w:r>
            <w:r w:rsidRPr="00105CDB">
              <w:rPr>
                <w:rStyle w:val="TextTi10Char"/>
                <w:rFonts w:eastAsia="SimSun"/>
                <w:b/>
                <w:sz w:val="18"/>
                <w:szCs w:val="18"/>
                <w:vertAlign w:val="subscript"/>
              </w:rPr>
              <w:t>0-24h</w:t>
            </w:r>
          </w:p>
        </w:tc>
        <w:tc>
          <w:tcPr>
            <w:tcW w:w="1200" w:type="dxa"/>
            <w:tcBorders>
              <w:top w:val="single" w:sz="4" w:space="0" w:color="auto"/>
              <w:left w:val="single" w:sz="4" w:space="0" w:color="auto"/>
              <w:bottom w:val="single" w:sz="4" w:space="0" w:color="auto"/>
              <w:right w:val="single" w:sz="4" w:space="0" w:color="auto"/>
            </w:tcBorders>
            <w:hideMark/>
          </w:tcPr>
          <w:p w:rsidR="002038FD" w:rsidRPr="00105CDB" w:rsidRDefault="002038FD">
            <w:pPr>
              <w:spacing w:after="120" w:line="360" w:lineRule="auto"/>
              <w:jc w:val="center"/>
              <w:rPr>
                <w:rStyle w:val="TextTi10Char"/>
                <w:rFonts w:eastAsia="SimSun"/>
                <w:sz w:val="18"/>
                <w:szCs w:val="18"/>
              </w:rPr>
            </w:pPr>
            <w:r w:rsidRPr="00105CDB">
              <w:rPr>
                <w:rFonts w:eastAsia="SimSun"/>
                <w:sz w:val="18"/>
                <w:szCs w:val="18"/>
                <w:lang w:eastAsia="zh-CN"/>
              </w:rPr>
              <w:t xml:space="preserve">15.4 – 116.1 </w:t>
            </w:r>
          </w:p>
        </w:tc>
        <w:tc>
          <w:tcPr>
            <w:tcW w:w="1320" w:type="dxa"/>
            <w:tcBorders>
              <w:top w:val="single" w:sz="4" w:space="0" w:color="auto"/>
              <w:left w:val="single" w:sz="4" w:space="0" w:color="auto"/>
              <w:bottom w:val="single" w:sz="4" w:space="0" w:color="auto"/>
              <w:right w:val="nil"/>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34 - 124</w:t>
            </w:r>
          </w:p>
        </w:tc>
        <w:tc>
          <w:tcPr>
            <w:tcW w:w="180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34 - 152</w:t>
            </w:r>
          </w:p>
        </w:tc>
        <w:tc>
          <w:tcPr>
            <w:tcW w:w="144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36 - 108</w:t>
            </w:r>
          </w:p>
        </w:tc>
        <w:tc>
          <w:tcPr>
            <w:tcW w:w="1920" w:type="dxa"/>
            <w:tcBorders>
              <w:top w:val="single" w:sz="4" w:space="0" w:color="auto"/>
              <w:left w:val="nil"/>
              <w:bottom w:val="single" w:sz="4" w:space="0" w:color="auto"/>
              <w:right w:val="single" w:sz="4" w:space="0" w:color="auto"/>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22 - 93</w:t>
            </w:r>
          </w:p>
        </w:tc>
      </w:tr>
      <w:tr w:rsidR="00403333" w:rsidRPr="00105CDB" w:rsidTr="002038FD">
        <w:tc>
          <w:tcPr>
            <w:tcW w:w="1668" w:type="dxa"/>
            <w:tcBorders>
              <w:top w:val="single" w:sz="4" w:space="0" w:color="auto"/>
              <w:left w:val="single" w:sz="4" w:space="0" w:color="auto"/>
              <w:bottom w:val="single" w:sz="4" w:space="0" w:color="auto"/>
              <w:right w:val="single" w:sz="4" w:space="0" w:color="auto"/>
            </w:tcBorders>
            <w:hideMark/>
          </w:tcPr>
          <w:p w:rsidR="002038FD" w:rsidRPr="00105CDB" w:rsidRDefault="002038FD">
            <w:pPr>
              <w:spacing w:after="120" w:line="360" w:lineRule="auto"/>
              <w:rPr>
                <w:rStyle w:val="TextTi10Char"/>
                <w:rFonts w:eastAsia="SimSun"/>
                <w:b/>
                <w:sz w:val="18"/>
                <w:szCs w:val="18"/>
              </w:rPr>
            </w:pPr>
            <w:proofErr w:type="spellStart"/>
            <w:r w:rsidRPr="00105CDB">
              <w:rPr>
                <w:b/>
                <w:sz w:val="18"/>
                <w:szCs w:val="18"/>
              </w:rPr>
              <w:t>C</w:t>
            </w:r>
            <w:r w:rsidRPr="00105CDB">
              <w:rPr>
                <w:b/>
                <w:sz w:val="18"/>
                <w:szCs w:val="18"/>
                <w:vertAlign w:val="subscript"/>
              </w:rPr>
              <w:t>max</w:t>
            </w:r>
            <w:proofErr w:type="spellEnd"/>
            <w:r w:rsidRPr="00105CDB">
              <w:rPr>
                <w:b/>
                <w:sz w:val="18"/>
                <w:szCs w:val="18"/>
              </w:rPr>
              <w:t xml:space="preserve"> (</w:t>
            </w:r>
            <w:r w:rsidRPr="00105CDB">
              <w:rPr>
                <w:b/>
                <w:sz w:val="18"/>
                <w:szCs w:val="18"/>
              </w:rPr>
              <w:sym w:font="Symbol" w:char="F06D"/>
            </w:r>
            <w:r w:rsidRPr="00105CDB">
              <w:rPr>
                <w:b/>
                <w:sz w:val="18"/>
                <w:szCs w:val="18"/>
              </w:rPr>
              <w:t>g/ml)</w:t>
            </w:r>
          </w:p>
        </w:tc>
        <w:tc>
          <w:tcPr>
            <w:tcW w:w="1200" w:type="dxa"/>
            <w:tcBorders>
              <w:top w:val="single" w:sz="4" w:space="0" w:color="auto"/>
              <w:left w:val="single" w:sz="4" w:space="0" w:color="auto"/>
              <w:bottom w:val="single" w:sz="4" w:space="0" w:color="auto"/>
              <w:right w:val="single" w:sz="4" w:space="0" w:color="auto"/>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 xml:space="preserve">5.3 </w:t>
            </w:r>
            <w:r w:rsidRPr="00105CDB">
              <w:rPr>
                <w:sz w:val="18"/>
                <w:szCs w:val="18"/>
              </w:rPr>
              <w:sym w:font="Symbol" w:char="F0B1"/>
            </w:r>
            <w:r w:rsidRPr="00105CDB">
              <w:rPr>
                <w:sz w:val="18"/>
                <w:szCs w:val="18"/>
              </w:rPr>
              <w:t> 1.5</w:t>
            </w:r>
          </w:p>
        </w:tc>
        <w:tc>
          <w:tcPr>
            <w:tcW w:w="1320" w:type="dxa"/>
            <w:tcBorders>
              <w:top w:val="single" w:sz="4" w:space="0" w:color="auto"/>
              <w:left w:val="single" w:sz="4" w:space="0" w:color="auto"/>
              <w:bottom w:val="single" w:sz="4" w:space="0" w:color="auto"/>
              <w:right w:val="nil"/>
            </w:tcBorders>
            <w:hideMark/>
          </w:tcPr>
          <w:p w:rsidR="002038FD" w:rsidRPr="00105CDB" w:rsidRDefault="002038FD">
            <w:pPr>
              <w:spacing w:after="120" w:line="360" w:lineRule="auto"/>
              <w:jc w:val="center"/>
              <w:rPr>
                <w:rStyle w:val="TextTi10Char"/>
                <w:rFonts w:eastAsia="SimSun"/>
                <w:sz w:val="18"/>
                <w:szCs w:val="18"/>
              </w:rPr>
            </w:pPr>
            <w:r w:rsidRPr="00105CDB">
              <w:rPr>
                <w:rStyle w:val="TextTi10Char"/>
                <w:rFonts w:eastAsia="SimSun"/>
                <w:sz w:val="18"/>
                <w:szCs w:val="18"/>
              </w:rPr>
              <w:t xml:space="preserve">10.5 </w:t>
            </w:r>
            <w:r w:rsidRPr="00105CDB">
              <w:rPr>
                <w:sz w:val="18"/>
                <w:szCs w:val="18"/>
              </w:rPr>
              <w:t>±</w:t>
            </w:r>
            <w:r w:rsidRPr="00105CDB">
              <w:rPr>
                <w:rStyle w:val="TextTi10Char"/>
                <w:rFonts w:eastAsia="SimSun"/>
                <w:sz w:val="18"/>
                <w:szCs w:val="18"/>
              </w:rPr>
              <w:t xml:space="preserve"> 3.36</w:t>
            </w:r>
          </w:p>
        </w:tc>
        <w:tc>
          <w:tcPr>
            <w:tcW w:w="180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10.3 ± 3.3</w:t>
            </w:r>
          </w:p>
        </w:tc>
        <w:tc>
          <w:tcPr>
            <w:tcW w:w="144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9.4 ± 2.7</w:t>
            </w:r>
          </w:p>
        </w:tc>
        <w:tc>
          <w:tcPr>
            <w:tcW w:w="1920" w:type="dxa"/>
            <w:tcBorders>
              <w:top w:val="single" w:sz="4" w:space="0" w:color="auto"/>
              <w:left w:val="nil"/>
              <w:bottom w:val="single" w:sz="4" w:space="0" w:color="auto"/>
              <w:right w:val="single" w:sz="4" w:space="0" w:color="auto"/>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8.0 ± 2.4</w:t>
            </w:r>
          </w:p>
        </w:tc>
      </w:tr>
      <w:tr w:rsidR="00403333" w:rsidRPr="00105CDB" w:rsidTr="002038FD">
        <w:tc>
          <w:tcPr>
            <w:tcW w:w="1668" w:type="dxa"/>
            <w:tcBorders>
              <w:top w:val="single" w:sz="4" w:space="0" w:color="auto"/>
              <w:left w:val="single" w:sz="4" w:space="0" w:color="auto"/>
              <w:bottom w:val="single" w:sz="4" w:space="0" w:color="auto"/>
              <w:right w:val="single" w:sz="4" w:space="0" w:color="auto"/>
            </w:tcBorders>
            <w:hideMark/>
          </w:tcPr>
          <w:p w:rsidR="002038FD" w:rsidRPr="00105CDB" w:rsidRDefault="002038FD">
            <w:pPr>
              <w:spacing w:after="120" w:line="360" w:lineRule="auto"/>
              <w:rPr>
                <w:rStyle w:val="TextTi10Char"/>
                <w:rFonts w:eastAsia="SimSun"/>
                <w:b/>
                <w:sz w:val="18"/>
                <w:szCs w:val="18"/>
              </w:rPr>
            </w:pPr>
            <w:r w:rsidRPr="00105CDB">
              <w:rPr>
                <w:b/>
                <w:sz w:val="18"/>
                <w:szCs w:val="18"/>
                <w:lang w:val="el-GR"/>
              </w:rPr>
              <w:t>Κάθαρση</w:t>
            </w:r>
            <w:r w:rsidRPr="00105CDB">
              <w:rPr>
                <w:b/>
                <w:sz w:val="18"/>
                <w:szCs w:val="18"/>
              </w:rPr>
              <w:t xml:space="preserve"> (l/h)</w:t>
            </w:r>
          </w:p>
        </w:tc>
        <w:tc>
          <w:tcPr>
            <w:tcW w:w="1200" w:type="dxa"/>
            <w:tcBorders>
              <w:top w:val="single" w:sz="4" w:space="0" w:color="auto"/>
              <w:left w:val="single" w:sz="4" w:space="0" w:color="auto"/>
              <w:bottom w:val="single" w:sz="4" w:space="0" w:color="auto"/>
              <w:right w:val="single" w:sz="4" w:space="0" w:color="auto"/>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12.7 ± 4.5</w:t>
            </w:r>
          </w:p>
        </w:tc>
        <w:tc>
          <w:tcPr>
            <w:tcW w:w="1320" w:type="dxa"/>
            <w:tcBorders>
              <w:top w:val="single" w:sz="4" w:space="0" w:color="auto"/>
              <w:left w:val="single" w:sz="4" w:space="0" w:color="auto"/>
              <w:bottom w:val="single" w:sz="4" w:space="0" w:color="auto"/>
              <w:right w:val="nil"/>
            </w:tcBorders>
            <w:hideMark/>
          </w:tcPr>
          <w:p w:rsidR="002038FD" w:rsidRPr="00105CDB" w:rsidRDefault="002038FD">
            <w:pPr>
              <w:spacing w:after="120" w:line="360" w:lineRule="auto"/>
              <w:jc w:val="center"/>
              <w:rPr>
                <w:rStyle w:val="TextTi10Char"/>
                <w:rFonts w:eastAsia="SimSun"/>
                <w:sz w:val="18"/>
                <w:szCs w:val="18"/>
              </w:rPr>
            </w:pPr>
            <w:r w:rsidRPr="00105CDB">
              <w:rPr>
                <w:rStyle w:val="TextTi10Char"/>
                <w:rFonts w:eastAsia="SimSun"/>
                <w:sz w:val="18"/>
                <w:szCs w:val="18"/>
              </w:rPr>
              <w:t xml:space="preserve">1.25 </w:t>
            </w:r>
            <w:r w:rsidRPr="00105CDB">
              <w:rPr>
                <w:sz w:val="18"/>
                <w:szCs w:val="18"/>
              </w:rPr>
              <w:t>±</w:t>
            </w:r>
            <w:r w:rsidRPr="00105CDB">
              <w:rPr>
                <w:rStyle w:val="TextTi10Char"/>
                <w:rFonts w:eastAsia="SimSun"/>
                <w:sz w:val="18"/>
                <w:szCs w:val="18"/>
              </w:rPr>
              <w:t xml:space="preserve"> 0.473</w:t>
            </w:r>
          </w:p>
        </w:tc>
        <w:tc>
          <w:tcPr>
            <w:tcW w:w="180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2.5 ± 2.4</w:t>
            </w:r>
          </w:p>
        </w:tc>
        <w:tc>
          <w:tcPr>
            <w:tcW w:w="144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4.5 ± 2.9</w:t>
            </w:r>
          </w:p>
        </w:tc>
        <w:tc>
          <w:tcPr>
            <w:tcW w:w="1920" w:type="dxa"/>
            <w:tcBorders>
              <w:top w:val="single" w:sz="4" w:space="0" w:color="auto"/>
              <w:left w:val="nil"/>
              <w:bottom w:val="single" w:sz="4" w:space="0" w:color="auto"/>
              <w:right w:val="single" w:sz="4" w:space="0" w:color="auto"/>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6.4 ± 2.9</w:t>
            </w:r>
          </w:p>
        </w:tc>
      </w:tr>
      <w:tr w:rsidR="00403333" w:rsidRPr="00105CDB" w:rsidTr="002038FD">
        <w:tc>
          <w:tcPr>
            <w:tcW w:w="1668" w:type="dxa"/>
            <w:tcBorders>
              <w:top w:val="single" w:sz="4" w:space="0" w:color="auto"/>
              <w:left w:val="single" w:sz="4" w:space="0" w:color="auto"/>
              <w:bottom w:val="single" w:sz="4" w:space="0" w:color="auto"/>
              <w:right w:val="single" w:sz="4" w:space="0" w:color="auto"/>
            </w:tcBorders>
            <w:hideMark/>
          </w:tcPr>
          <w:p w:rsidR="002038FD" w:rsidRPr="00105CDB" w:rsidRDefault="002038FD">
            <w:pPr>
              <w:spacing w:after="120" w:line="360" w:lineRule="auto"/>
              <w:rPr>
                <w:rStyle w:val="TextTi10Char"/>
                <w:rFonts w:eastAsia="SimSun"/>
                <w:b/>
                <w:sz w:val="18"/>
                <w:szCs w:val="18"/>
              </w:rPr>
            </w:pPr>
            <w:r w:rsidRPr="00105CDB">
              <w:rPr>
                <w:b/>
                <w:sz w:val="18"/>
                <w:szCs w:val="18"/>
              </w:rPr>
              <w:t>t</w:t>
            </w:r>
            <w:r w:rsidRPr="00105CDB">
              <w:rPr>
                <w:b/>
                <w:sz w:val="18"/>
                <w:szCs w:val="18"/>
                <w:vertAlign w:val="subscript"/>
              </w:rPr>
              <w:t>1/2</w:t>
            </w:r>
            <w:r w:rsidRPr="00105CDB">
              <w:rPr>
                <w:b/>
                <w:sz w:val="18"/>
                <w:szCs w:val="18"/>
              </w:rPr>
              <w:t xml:space="preserve"> (h)</w:t>
            </w:r>
          </w:p>
        </w:tc>
        <w:tc>
          <w:tcPr>
            <w:tcW w:w="1200" w:type="dxa"/>
            <w:tcBorders>
              <w:top w:val="single" w:sz="4" w:space="0" w:color="auto"/>
              <w:left w:val="single" w:sz="4" w:space="0" w:color="auto"/>
              <w:bottom w:val="single" w:sz="4" w:space="0" w:color="auto"/>
              <w:right w:val="single" w:sz="4" w:space="0" w:color="auto"/>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6.5 ± 1.4</w:t>
            </w:r>
          </w:p>
        </w:tc>
        <w:tc>
          <w:tcPr>
            <w:tcW w:w="1320" w:type="dxa"/>
            <w:tcBorders>
              <w:top w:val="single" w:sz="4" w:space="0" w:color="auto"/>
              <w:left w:val="single" w:sz="4" w:space="0" w:color="auto"/>
              <w:bottom w:val="single" w:sz="4" w:space="0" w:color="auto"/>
              <w:right w:val="nil"/>
            </w:tcBorders>
            <w:hideMark/>
          </w:tcPr>
          <w:p w:rsidR="002038FD" w:rsidRPr="00105CDB" w:rsidRDefault="002038FD">
            <w:pPr>
              <w:spacing w:after="120" w:line="360" w:lineRule="auto"/>
              <w:jc w:val="center"/>
              <w:rPr>
                <w:rStyle w:val="TextTi10Char"/>
                <w:rFonts w:eastAsia="SimSun"/>
                <w:sz w:val="18"/>
                <w:szCs w:val="18"/>
              </w:rPr>
            </w:pPr>
            <w:r w:rsidRPr="00105CDB">
              <w:rPr>
                <w:rStyle w:val="TextTi10Char"/>
                <w:rFonts w:eastAsia="SimSun"/>
                <w:sz w:val="18"/>
                <w:szCs w:val="18"/>
              </w:rPr>
              <w:t xml:space="preserve">1.97 </w:t>
            </w:r>
            <w:r w:rsidRPr="00105CDB">
              <w:rPr>
                <w:sz w:val="18"/>
                <w:szCs w:val="18"/>
              </w:rPr>
              <w:t>±</w:t>
            </w:r>
            <w:r w:rsidRPr="00105CDB">
              <w:rPr>
                <w:rStyle w:val="TextTi10Char"/>
                <w:rFonts w:eastAsia="SimSun"/>
                <w:sz w:val="18"/>
                <w:szCs w:val="18"/>
              </w:rPr>
              <w:t xml:space="preserve"> 0.185</w:t>
            </w:r>
          </w:p>
        </w:tc>
        <w:tc>
          <w:tcPr>
            <w:tcW w:w="180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3.1 ±1.4</w:t>
            </w:r>
          </w:p>
        </w:tc>
        <w:tc>
          <w:tcPr>
            <w:tcW w:w="144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4.1 ± 1.3</w:t>
            </w:r>
          </w:p>
        </w:tc>
        <w:tc>
          <w:tcPr>
            <w:tcW w:w="1920" w:type="dxa"/>
            <w:tcBorders>
              <w:top w:val="single" w:sz="4" w:space="0" w:color="auto"/>
              <w:left w:val="nil"/>
              <w:bottom w:val="single" w:sz="4" w:space="0" w:color="auto"/>
              <w:right w:val="single" w:sz="4" w:space="0" w:color="auto"/>
            </w:tcBorders>
            <w:hideMark/>
          </w:tcPr>
          <w:p w:rsidR="002038FD" w:rsidRPr="00105CDB" w:rsidRDefault="002038FD">
            <w:pPr>
              <w:spacing w:after="120" w:line="360" w:lineRule="auto"/>
              <w:jc w:val="center"/>
              <w:rPr>
                <w:rStyle w:val="TextTi10Char"/>
                <w:rFonts w:eastAsia="SimSun"/>
                <w:sz w:val="18"/>
                <w:szCs w:val="18"/>
              </w:rPr>
            </w:pPr>
            <w:r w:rsidRPr="00105CDB">
              <w:rPr>
                <w:sz w:val="18"/>
                <w:szCs w:val="18"/>
              </w:rPr>
              <w:t>5.5 ± 1.1</w:t>
            </w:r>
          </w:p>
        </w:tc>
      </w:tr>
    </w:tbl>
    <w:p w:rsidR="00995E9E" w:rsidRPr="00105CDB" w:rsidRDefault="00995E9E" w:rsidP="00995E9E">
      <w:pPr>
        <w:rPr>
          <w:rStyle w:val="TextTi10Char"/>
          <w:rFonts w:eastAsia="SimSun"/>
          <w:lang w:val="el-GR"/>
        </w:rPr>
      </w:pPr>
      <w:r w:rsidRPr="00105CDB">
        <w:rPr>
          <w:rStyle w:val="TextTi10Char"/>
          <w:rFonts w:eastAsia="SimSun"/>
          <w:lang w:val="el-GR"/>
        </w:rPr>
        <w:t xml:space="preserve">* </w:t>
      </w:r>
      <w:r w:rsidR="00726877" w:rsidRPr="00105CDB">
        <w:rPr>
          <w:rStyle w:val="TextTi10Char"/>
          <w:rFonts w:eastAsia="SimSun"/>
          <w:lang w:val="el-GR"/>
        </w:rPr>
        <w:t>Α</w:t>
      </w:r>
      <w:r w:rsidRPr="00105CDB">
        <w:rPr>
          <w:rStyle w:val="TextTi10Char"/>
          <w:rFonts w:eastAsia="SimSun"/>
          <w:lang w:val="el-GR"/>
        </w:rPr>
        <w:t xml:space="preserve">πό έκθεση </w:t>
      </w:r>
      <w:r w:rsidR="00726877" w:rsidRPr="00105CDB">
        <w:rPr>
          <w:rStyle w:val="TextTi10Char"/>
          <w:rFonts w:eastAsia="SimSun"/>
          <w:lang w:val="el-GR"/>
        </w:rPr>
        <w:t xml:space="preserve">της </w:t>
      </w:r>
      <w:r w:rsidRPr="00105CDB">
        <w:rPr>
          <w:rStyle w:val="TextTi10Char"/>
          <w:rFonts w:eastAsia="SimSun"/>
          <w:lang w:val="el-GR"/>
        </w:rPr>
        <w:t xml:space="preserve">μελέτης </w:t>
      </w:r>
      <w:r w:rsidRPr="00105CDB">
        <w:rPr>
          <w:rStyle w:val="TextTi10Char"/>
          <w:rFonts w:eastAsia="SimSun"/>
        </w:rPr>
        <w:t>PV</w:t>
      </w:r>
      <w:r w:rsidRPr="00105CDB">
        <w:rPr>
          <w:rStyle w:val="TextTi10Char"/>
          <w:rFonts w:eastAsia="SimSun"/>
          <w:lang w:val="el-GR"/>
        </w:rPr>
        <w:t xml:space="preserve"> 16000</w:t>
      </w:r>
    </w:p>
    <w:p w:rsidR="00995E9E" w:rsidRPr="00105CDB" w:rsidRDefault="00995E9E" w:rsidP="00995E9E">
      <w:pPr>
        <w:autoSpaceDE w:val="0"/>
        <w:autoSpaceDN w:val="0"/>
        <w:adjustRightInd w:val="0"/>
        <w:rPr>
          <w:rFonts w:ascii="TimesNewRomanPSMT" w:eastAsia="SimSun" w:hAnsi="TimesNewRomanPSMT" w:cs="TimesNewRomanPSMT"/>
          <w:sz w:val="20"/>
          <w:lang w:val="el-GR" w:eastAsia="zh-CN"/>
        </w:rPr>
      </w:pPr>
    </w:p>
    <w:p w:rsidR="00995E9E" w:rsidRPr="00105CDB" w:rsidRDefault="00995E9E" w:rsidP="00995E9E">
      <w:pPr>
        <w:rPr>
          <w:lang w:val="el-GR"/>
        </w:rPr>
      </w:pPr>
    </w:p>
    <w:p w:rsidR="00995E9E" w:rsidRPr="00105CDB" w:rsidRDefault="00995E9E" w:rsidP="00995E9E">
      <w:pPr>
        <w:textAlignment w:val="top"/>
        <w:rPr>
          <w:lang w:val="el-GR"/>
        </w:rPr>
      </w:pPr>
      <w:r w:rsidRPr="00105CDB">
        <w:rPr>
          <w:lang w:val="el-GR"/>
        </w:rPr>
        <w:t xml:space="preserve">Η δόση Valcyte μία φορά ημερησίως </w:t>
      </w:r>
      <w:r w:rsidR="002038FD" w:rsidRPr="00105CDB">
        <w:rPr>
          <w:lang w:val="el-GR"/>
        </w:rPr>
        <w:t xml:space="preserve">σε αμφότερες τις μελέτες που περιγράφηκαν προηγουμένως </w:t>
      </w:r>
      <w:r w:rsidRPr="00105CDB">
        <w:rPr>
          <w:lang w:val="el-GR"/>
        </w:rPr>
        <w:t xml:space="preserve">βασίστηκε στην επιφάνεια σώματος (BSA) και στην κάθαρση κρεατινίνης (CrCl) που προέρχεται από ένα τροποποιημένο τύπο Schwartz, και υπολογίστηκε </w:t>
      </w:r>
      <w:r w:rsidR="002038FD" w:rsidRPr="00105CDB">
        <w:rPr>
          <w:lang w:val="el-GR"/>
        </w:rPr>
        <w:t>χρησιμοποιώντας τον δοσολογικό αλγόριθμο που παρουσιάστηκε στην παράγραφο 4.2.</w:t>
      </w:r>
    </w:p>
    <w:p w:rsidR="00995E9E" w:rsidRPr="00105CDB" w:rsidRDefault="00995E9E" w:rsidP="00995E9E">
      <w:pPr>
        <w:rPr>
          <w:lang w:val="el-GR"/>
        </w:rPr>
      </w:pPr>
    </w:p>
    <w:p w:rsidR="00995E9E" w:rsidRPr="00105CDB" w:rsidRDefault="00995E9E" w:rsidP="00995E9E">
      <w:pPr>
        <w:autoSpaceDE w:val="0"/>
        <w:autoSpaceDN w:val="0"/>
        <w:adjustRightInd w:val="0"/>
        <w:rPr>
          <w:rFonts w:eastAsia="SimSun" w:cs="TimesNewRomanPSMT"/>
          <w:sz w:val="20"/>
          <w:lang w:val="el-GR" w:eastAsia="zh-CN"/>
        </w:rPr>
      </w:pPr>
    </w:p>
    <w:p w:rsidR="002038FD" w:rsidRPr="00105CDB" w:rsidRDefault="00995E9E" w:rsidP="002038FD">
      <w:pPr>
        <w:textAlignment w:val="top"/>
        <w:rPr>
          <w:lang w:val="el-GR"/>
        </w:rPr>
      </w:pPr>
      <w:r w:rsidRPr="00105CDB">
        <w:rPr>
          <w:lang w:val="el-GR"/>
        </w:rPr>
        <w:t xml:space="preserve">Η φαρμακοκινητική της γκανσικλοβίρης </w:t>
      </w:r>
      <w:r w:rsidR="002038FD" w:rsidRPr="00105CDB">
        <w:rPr>
          <w:lang w:val="el-GR"/>
        </w:rPr>
        <w:t xml:space="preserve">μετά από τη χορήγηση βαλγκανσικλοβίρης </w:t>
      </w:r>
      <w:r w:rsidRPr="00105CDB">
        <w:rPr>
          <w:lang w:val="el-GR"/>
        </w:rPr>
        <w:t xml:space="preserve">αξιολογήθηκε επίσης σε </w:t>
      </w:r>
      <w:r w:rsidR="002038FD" w:rsidRPr="00105CDB">
        <w:rPr>
          <w:lang w:val="el-GR"/>
        </w:rPr>
        <w:t xml:space="preserve">δύο μελέτες σε νεογνά και βρέφη με συμπτωματική συγγενή νόσο από </w:t>
      </w:r>
      <w:r w:rsidR="002038FD" w:rsidRPr="00105CDB">
        <w:t>CMV</w:t>
      </w:r>
      <w:r w:rsidR="002038FD" w:rsidRPr="00105CDB">
        <w:rPr>
          <w:lang w:val="el-GR"/>
        </w:rPr>
        <w:t xml:space="preserve">. Στην πρώτη μελέτη </w:t>
      </w:r>
      <w:r w:rsidRPr="00105CDB">
        <w:rPr>
          <w:lang w:val="el-GR"/>
        </w:rPr>
        <w:t xml:space="preserve">24 νεογνά ηλικίας 8 έως 34 ημερών έλαβαν 6 </w:t>
      </w:r>
      <w:r w:rsidRPr="00105CDB">
        <w:t>mg</w:t>
      </w:r>
      <w:r w:rsidRPr="00105CDB">
        <w:rPr>
          <w:lang w:val="el-GR"/>
        </w:rPr>
        <w:t xml:space="preserve"> / </w:t>
      </w:r>
      <w:r w:rsidRPr="00105CDB">
        <w:t>kg</w:t>
      </w:r>
      <w:r w:rsidRPr="00105CDB">
        <w:rPr>
          <w:lang w:val="el-GR"/>
        </w:rPr>
        <w:t xml:space="preserve"> γκανσικλοβίρη </w:t>
      </w:r>
      <w:r w:rsidR="00205820" w:rsidRPr="00105CDB">
        <w:rPr>
          <w:lang w:val="el-GR"/>
        </w:rPr>
        <w:t xml:space="preserve">ενδοφλεβίως </w:t>
      </w:r>
      <w:r w:rsidRPr="00105CDB">
        <w:rPr>
          <w:lang w:val="el-GR"/>
        </w:rPr>
        <w:t xml:space="preserve">δύο φορές την ημέρα. Οι ασθενείς στη συνέχεια έλαβαν αγωγή με από του στόματος βαλγκανσικλοβίρη, όπου η δόση της βαλγκανσικλοβίρης κόνις για πόσιμο διάλυμα κυμαίνονταν από 14 </w:t>
      </w:r>
      <w:r w:rsidRPr="00105CDB">
        <w:t>mg</w:t>
      </w:r>
      <w:r w:rsidRPr="00105CDB">
        <w:rPr>
          <w:lang w:val="el-GR"/>
        </w:rPr>
        <w:t xml:space="preserve"> / </w:t>
      </w:r>
      <w:r w:rsidRPr="00105CDB">
        <w:t>kg</w:t>
      </w:r>
      <w:r w:rsidRPr="00105CDB">
        <w:rPr>
          <w:lang w:val="el-GR"/>
        </w:rPr>
        <w:t xml:space="preserve"> έως 20 </w:t>
      </w:r>
      <w:r w:rsidRPr="00105CDB">
        <w:t>mg</w:t>
      </w:r>
      <w:r w:rsidRPr="00105CDB">
        <w:rPr>
          <w:lang w:val="el-GR"/>
        </w:rPr>
        <w:t xml:space="preserve"> / </w:t>
      </w:r>
      <w:r w:rsidRPr="00105CDB">
        <w:t>kg</w:t>
      </w:r>
      <w:r w:rsidRPr="00105CDB">
        <w:rPr>
          <w:lang w:val="el-GR"/>
        </w:rPr>
        <w:t xml:space="preserve"> δύο φορές την ημέρα</w:t>
      </w:r>
      <w:r w:rsidR="0029345C" w:rsidRPr="00105CDB">
        <w:rPr>
          <w:lang w:val="el-GR"/>
        </w:rPr>
        <w:t>.</w:t>
      </w:r>
      <w:r w:rsidR="002038FD" w:rsidRPr="00105CDB">
        <w:rPr>
          <w:lang w:val="el-GR"/>
        </w:rPr>
        <w:t xml:space="preserve"> </w:t>
      </w:r>
      <w:r w:rsidR="0029345C" w:rsidRPr="00105CDB">
        <w:rPr>
          <w:lang w:val="el-GR"/>
        </w:rPr>
        <w:t>Η</w:t>
      </w:r>
      <w:r w:rsidR="002038FD" w:rsidRPr="00105CDB">
        <w:rPr>
          <w:lang w:val="el-GR"/>
        </w:rPr>
        <w:t xml:space="preserve"> συνολική διάρκεια της θεραπείας ήταν 6 εβδομάδες</w:t>
      </w:r>
      <w:r w:rsidRPr="00105CDB">
        <w:rPr>
          <w:lang w:val="el-GR"/>
        </w:rPr>
        <w:t xml:space="preserve">. Μια δόση των 16 </w:t>
      </w:r>
      <w:r w:rsidRPr="00105CDB">
        <w:t>mg</w:t>
      </w:r>
      <w:r w:rsidRPr="00105CDB">
        <w:rPr>
          <w:lang w:val="el-GR"/>
        </w:rPr>
        <w:t xml:space="preserve"> / </w:t>
      </w:r>
      <w:r w:rsidRPr="00105CDB">
        <w:t>kg</w:t>
      </w:r>
      <w:r w:rsidRPr="00105CDB">
        <w:rPr>
          <w:lang w:val="el-GR"/>
        </w:rPr>
        <w:t xml:space="preserve"> δύο φορές την ημέρα της βαλγκανσικλοβίρης κόνις για πόσιμο διάλυμα έδωσε συγκρίσιμη έκθεση γκανσικλοβίρης </w:t>
      </w:r>
      <w:r w:rsidR="002F458D" w:rsidRPr="00105CDB">
        <w:rPr>
          <w:lang w:val="el-GR"/>
        </w:rPr>
        <w:t xml:space="preserve">ίση με </w:t>
      </w:r>
      <w:r w:rsidRPr="00105CDB">
        <w:rPr>
          <w:lang w:val="el-GR"/>
        </w:rPr>
        <w:t xml:space="preserve">6 </w:t>
      </w:r>
      <w:r w:rsidRPr="00105CDB">
        <w:t>mg</w:t>
      </w:r>
      <w:r w:rsidRPr="00105CDB">
        <w:rPr>
          <w:lang w:val="el-GR"/>
        </w:rPr>
        <w:t xml:space="preserve"> / </w:t>
      </w:r>
      <w:r w:rsidRPr="00105CDB">
        <w:t>kg</w:t>
      </w:r>
      <w:r w:rsidRPr="00105CDB">
        <w:rPr>
          <w:lang w:val="el-GR"/>
        </w:rPr>
        <w:t xml:space="preserve"> </w:t>
      </w:r>
      <w:r w:rsidR="002F458D" w:rsidRPr="00105CDB">
        <w:rPr>
          <w:lang w:val="el-GR"/>
        </w:rPr>
        <w:t xml:space="preserve">ενδοφλέβιας </w:t>
      </w:r>
      <w:r w:rsidRPr="00105CDB">
        <w:rPr>
          <w:lang w:val="el-GR"/>
        </w:rPr>
        <w:t>γκανσικλοβίρης δύο φορές την ημέρα σε νεογνά, και επίσης πέτυχε έκθεση γκανσικλοβ</w:t>
      </w:r>
      <w:r w:rsidR="00205820" w:rsidRPr="00105CDB">
        <w:rPr>
          <w:lang w:val="el-GR"/>
        </w:rPr>
        <w:t xml:space="preserve">ίρης παρόμοια με την </w:t>
      </w:r>
      <w:r w:rsidRPr="00105CDB">
        <w:rPr>
          <w:lang w:val="el-GR"/>
        </w:rPr>
        <w:t xml:space="preserve"> ενδοφλέβια δόση των ενηλίκων 5 </w:t>
      </w:r>
      <w:r w:rsidRPr="00105CDB">
        <w:t>mg</w:t>
      </w:r>
      <w:r w:rsidRPr="00105CDB">
        <w:rPr>
          <w:lang w:val="el-GR"/>
        </w:rPr>
        <w:t xml:space="preserve"> / </w:t>
      </w:r>
      <w:r w:rsidRPr="00105CDB">
        <w:t>kg</w:t>
      </w:r>
      <w:r w:rsidRPr="00105CDB">
        <w:rPr>
          <w:lang w:val="el-GR"/>
        </w:rPr>
        <w:t xml:space="preserve">. </w:t>
      </w:r>
    </w:p>
    <w:p w:rsidR="002038FD" w:rsidRPr="00105CDB" w:rsidRDefault="002038FD" w:rsidP="002038FD">
      <w:pPr>
        <w:rPr>
          <w:lang w:val="el-GR" w:eastAsia="en-US"/>
        </w:rPr>
      </w:pPr>
    </w:p>
    <w:p w:rsidR="00995E9E" w:rsidRPr="00105CDB" w:rsidRDefault="002038FD" w:rsidP="00403333">
      <w:pPr>
        <w:spacing w:line="259" w:lineRule="auto"/>
        <w:rPr>
          <w:lang w:val="el-GR"/>
        </w:rPr>
      </w:pPr>
      <w:r w:rsidRPr="00105CDB">
        <w:rPr>
          <w:szCs w:val="24"/>
          <w:lang w:val="el-GR"/>
        </w:rPr>
        <w:t xml:space="preserve">Στη δεύτερη μελέτη, 109 νεογνά ηλικίας 2 έως 30 ημερών έλαβαν 16 </w:t>
      </w:r>
      <w:r w:rsidRPr="00105CDB">
        <w:rPr>
          <w:szCs w:val="24"/>
        </w:rPr>
        <w:t>mg</w:t>
      </w:r>
      <w:r w:rsidRPr="00105CDB">
        <w:rPr>
          <w:szCs w:val="24"/>
          <w:lang w:val="el-GR"/>
        </w:rPr>
        <w:t>/</w:t>
      </w:r>
      <w:r w:rsidRPr="00105CDB">
        <w:rPr>
          <w:szCs w:val="24"/>
        </w:rPr>
        <w:t>kg</w:t>
      </w:r>
      <w:r w:rsidRPr="00105CDB">
        <w:rPr>
          <w:szCs w:val="24"/>
          <w:lang w:val="el-GR"/>
        </w:rPr>
        <w:t xml:space="preserve"> κόνεως βαλγκανσικλοβίρης για πόσιμο διάλυμα δύο φορές την ημέρα για 6 εβδομάδες και στη συνέχεια 96 από τους 109 </w:t>
      </w:r>
      <w:r w:rsidR="0029345C" w:rsidRPr="00105CDB">
        <w:rPr>
          <w:szCs w:val="24"/>
          <w:lang w:val="el-GR"/>
        </w:rPr>
        <w:t xml:space="preserve">ενταγμένους </w:t>
      </w:r>
      <w:r w:rsidRPr="00105CDB">
        <w:rPr>
          <w:szCs w:val="24"/>
          <w:lang w:val="el-GR"/>
        </w:rPr>
        <w:t>ασθενείς τυχαιοποιήθηκαν στη συνέχιση της λήψης βαλγκανσικλοβίρης ή εικονικού φαρμάκου για 6 μήνες.</w:t>
      </w:r>
      <w:r w:rsidRPr="00105CDB">
        <w:rPr>
          <w:rStyle w:val="tw4winMark"/>
          <w:color w:val="auto"/>
          <w:szCs w:val="24"/>
          <w:lang w:val="el-GR"/>
        </w:rPr>
        <w:t xml:space="preserve"> </w:t>
      </w:r>
      <w:r w:rsidRPr="00105CDB">
        <w:rPr>
          <w:szCs w:val="24"/>
          <w:lang w:val="el-GR"/>
        </w:rPr>
        <w:t xml:space="preserve">Ωστόσο, η μέση </w:t>
      </w:r>
      <w:r w:rsidRPr="00105CDB">
        <w:rPr>
          <w:szCs w:val="24"/>
        </w:rPr>
        <w:t>AUC</w:t>
      </w:r>
      <w:r w:rsidRPr="00105CDB">
        <w:rPr>
          <w:szCs w:val="24"/>
          <w:vertAlign w:val="subscript"/>
          <w:lang w:val="el-GR"/>
        </w:rPr>
        <w:t>0-12</w:t>
      </w:r>
      <w:r w:rsidRPr="00105CDB">
        <w:rPr>
          <w:szCs w:val="24"/>
          <w:vertAlign w:val="subscript"/>
        </w:rPr>
        <w:t>h</w:t>
      </w:r>
      <w:r w:rsidRPr="00105CDB">
        <w:rPr>
          <w:szCs w:val="24"/>
          <w:lang w:val="el-GR"/>
        </w:rPr>
        <w:t xml:space="preserve"> ήταν χαμηλότερη συγκριτικά με τις μέσες τιμές της </w:t>
      </w:r>
      <w:r w:rsidRPr="00105CDB">
        <w:rPr>
          <w:szCs w:val="24"/>
        </w:rPr>
        <w:t>AUC</w:t>
      </w:r>
      <w:r w:rsidRPr="00105CDB">
        <w:rPr>
          <w:szCs w:val="24"/>
          <w:vertAlign w:val="subscript"/>
          <w:lang w:val="el-GR"/>
        </w:rPr>
        <w:t>0-12</w:t>
      </w:r>
      <w:r w:rsidRPr="00105CDB">
        <w:rPr>
          <w:szCs w:val="24"/>
          <w:vertAlign w:val="subscript"/>
        </w:rPr>
        <w:t>h</w:t>
      </w:r>
      <w:r w:rsidRPr="00105CDB">
        <w:rPr>
          <w:szCs w:val="24"/>
          <w:lang w:val="el-GR"/>
        </w:rPr>
        <w:t xml:space="preserve"> από την πρώτη μελέτη.</w:t>
      </w:r>
      <w:r w:rsidRPr="00105CDB">
        <w:rPr>
          <w:lang w:val="el-GR"/>
        </w:rPr>
        <w:t xml:space="preserve"> </w:t>
      </w:r>
      <w:r w:rsidR="00995E9E" w:rsidRPr="00105CDB">
        <w:rPr>
          <w:lang w:val="el-GR"/>
        </w:rPr>
        <w:t xml:space="preserve">Ο πίνακας που ακολουθεί δείχνει </w:t>
      </w:r>
      <w:r w:rsidRPr="00105CDB">
        <w:rPr>
          <w:lang w:val="el-GR"/>
        </w:rPr>
        <w:t>τις μέσες τιμές της AUC, Cmax, και t½</w:t>
      </w:r>
      <w:r w:rsidR="00995E9E" w:rsidRPr="00105CDB">
        <w:rPr>
          <w:lang w:val="el-GR"/>
        </w:rPr>
        <w:t xml:space="preserve">, συμπεριλαμβανομένων των τυπικών αποκλίσεων σε σύγκριση </w:t>
      </w:r>
      <w:r w:rsidRPr="00105CDB">
        <w:rPr>
          <w:lang w:val="el-GR"/>
        </w:rPr>
        <w:t xml:space="preserve">με </w:t>
      </w:r>
      <w:r w:rsidR="00995E9E" w:rsidRPr="00105CDB">
        <w:rPr>
          <w:lang w:val="el-GR"/>
        </w:rPr>
        <w:t>τα δεδομένα των ενηλίκων:</w:t>
      </w:r>
    </w:p>
    <w:p w:rsidR="00995E9E" w:rsidRPr="00105CDB" w:rsidRDefault="00995E9E" w:rsidP="00995E9E">
      <w:pPr>
        <w:rPr>
          <w:lang w:val="el-GR"/>
        </w:rPr>
      </w:pPr>
    </w:p>
    <w:p w:rsidR="00995E9E" w:rsidRPr="00105CDB" w:rsidRDefault="00995E9E" w:rsidP="00995E9E">
      <w:pPr>
        <w:rPr>
          <w:b/>
          <w:lang w:val="el-GR"/>
        </w:rPr>
      </w:pPr>
    </w:p>
    <w:p w:rsidR="00995E9E" w:rsidRPr="00105CDB" w:rsidDel="00634F45" w:rsidRDefault="00995E9E" w:rsidP="00995E9E">
      <w:pPr>
        <w:rPr>
          <w:b/>
          <w:lang w:val="el-GR"/>
        </w:rPr>
      </w:pPr>
    </w:p>
    <w:tbl>
      <w:tblPr>
        <w:tblW w:w="9341"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113"/>
        <w:gridCol w:w="1610"/>
        <w:gridCol w:w="1862"/>
        <w:gridCol w:w="1863"/>
        <w:gridCol w:w="1893"/>
      </w:tblGrid>
      <w:tr w:rsidR="00403333" w:rsidRPr="00A116C4" w:rsidTr="002038FD">
        <w:tc>
          <w:tcPr>
            <w:tcW w:w="2088" w:type="dxa"/>
            <w:tcBorders>
              <w:top w:val="single" w:sz="4" w:space="0" w:color="auto"/>
              <w:left w:val="single" w:sz="4" w:space="0" w:color="auto"/>
              <w:bottom w:val="single" w:sz="4" w:space="0" w:color="auto"/>
              <w:right w:val="nil"/>
            </w:tcBorders>
            <w:hideMark/>
          </w:tcPr>
          <w:p w:rsidR="002038FD" w:rsidRPr="00105CDB" w:rsidRDefault="002038FD" w:rsidP="00403333">
            <w:pPr>
              <w:keepNext/>
              <w:keepLines/>
              <w:spacing w:after="120" w:line="360" w:lineRule="auto"/>
              <w:rPr>
                <w:sz w:val="20"/>
                <w:lang w:val="el-GR"/>
              </w:rPr>
            </w:pPr>
            <w:r w:rsidRPr="00105CDB">
              <w:rPr>
                <w:b/>
                <w:sz w:val="20"/>
                <w:lang w:val="el-GR"/>
              </w:rPr>
              <w:t>Φαρμακοκινητική παράμετρος</w:t>
            </w:r>
          </w:p>
        </w:tc>
        <w:tc>
          <w:tcPr>
            <w:tcW w:w="1591" w:type="dxa"/>
            <w:tcBorders>
              <w:top w:val="single" w:sz="4" w:space="0" w:color="auto"/>
              <w:left w:val="nil"/>
              <w:bottom w:val="single" w:sz="4" w:space="0" w:color="auto"/>
              <w:right w:val="nil"/>
            </w:tcBorders>
            <w:hideMark/>
          </w:tcPr>
          <w:p w:rsidR="002038FD" w:rsidRPr="00105CDB" w:rsidRDefault="002038FD" w:rsidP="00403333">
            <w:pPr>
              <w:keepNext/>
              <w:keepLines/>
              <w:spacing w:after="120" w:line="360" w:lineRule="auto"/>
              <w:jc w:val="center"/>
              <w:rPr>
                <w:sz w:val="20"/>
                <w:lang w:val="el-GR"/>
              </w:rPr>
            </w:pPr>
            <w:r w:rsidRPr="00105CDB">
              <w:rPr>
                <w:sz w:val="20"/>
                <w:lang w:val="el-GR"/>
              </w:rPr>
              <w:t>Ενήλικες</w:t>
            </w:r>
          </w:p>
        </w:tc>
        <w:tc>
          <w:tcPr>
            <w:tcW w:w="5549" w:type="dxa"/>
            <w:gridSpan w:val="3"/>
            <w:tcBorders>
              <w:top w:val="single" w:sz="4" w:space="0" w:color="auto"/>
              <w:left w:val="nil"/>
              <w:bottom w:val="single" w:sz="4" w:space="0" w:color="auto"/>
              <w:right w:val="single" w:sz="4" w:space="0" w:color="auto"/>
            </w:tcBorders>
            <w:hideMark/>
          </w:tcPr>
          <w:p w:rsidR="002038FD" w:rsidRPr="00105CDB" w:rsidRDefault="002038FD" w:rsidP="00403333">
            <w:pPr>
              <w:keepNext/>
              <w:keepLines/>
              <w:spacing w:after="120" w:line="360" w:lineRule="auto"/>
              <w:jc w:val="center"/>
              <w:rPr>
                <w:sz w:val="20"/>
                <w:lang w:val="el-GR"/>
              </w:rPr>
            </w:pPr>
            <w:r w:rsidRPr="00105CDB">
              <w:rPr>
                <w:sz w:val="20"/>
                <w:lang w:val="el-GR"/>
              </w:rPr>
              <w:t>Παιδιατρικοί ασθενείς (νεογνά και βρέφη)</w:t>
            </w:r>
          </w:p>
        </w:tc>
      </w:tr>
      <w:tr w:rsidR="00403333" w:rsidRPr="00105CDB" w:rsidTr="00403333">
        <w:tc>
          <w:tcPr>
            <w:tcW w:w="2088" w:type="dxa"/>
            <w:tcBorders>
              <w:top w:val="single" w:sz="4" w:space="0" w:color="auto"/>
              <w:left w:val="single" w:sz="4" w:space="0" w:color="auto"/>
              <w:bottom w:val="single" w:sz="4" w:space="0" w:color="auto"/>
              <w:right w:val="nil"/>
            </w:tcBorders>
          </w:tcPr>
          <w:p w:rsidR="002038FD" w:rsidRPr="00105CDB" w:rsidRDefault="002038FD" w:rsidP="00403333">
            <w:pPr>
              <w:keepNext/>
              <w:keepLines/>
              <w:spacing w:line="360" w:lineRule="auto"/>
              <w:rPr>
                <w:sz w:val="20"/>
                <w:lang w:val="el-GR"/>
              </w:rPr>
            </w:pPr>
          </w:p>
        </w:tc>
        <w:tc>
          <w:tcPr>
            <w:tcW w:w="1591" w:type="dxa"/>
            <w:tcBorders>
              <w:top w:val="single" w:sz="4" w:space="0" w:color="auto"/>
              <w:left w:val="nil"/>
              <w:bottom w:val="single" w:sz="4" w:space="0" w:color="auto"/>
              <w:right w:val="nil"/>
            </w:tcBorders>
            <w:hideMark/>
          </w:tcPr>
          <w:p w:rsidR="002038FD" w:rsidRPr="00105CDB" w:rsidRDefault="002038FD" w:rsidP="00403333">
            <w:pPr>
              <w:keepNext/>
              <w:keepLines/>
              <w:spacing w:line="360" w:lineRule="auto"/>
              <w:jc w:val="center"/>
              <w:rPr>
                <w:b/>
                <w:sz w:val="20"/>
                <w:lang w:val="el-GR"/>
              </w:rPr>
            </w:pPr>
            <w:r w:rsidRPr="00105CDB">
              <w:rPr>
                <w:b/>
                <w:sz w:val="20"/>
                <w:lang w:val="el-GR"/>
              </w:rPr>
              <w:t xml:space="preserve">5 </w:t>
            </w:r>
            <w:r w:rsidRPr="00105CDB">
              <w:rPr>
                <w:b/>
                <w:sz w:val="20"/>
              </w:rPr>
              <w:t>mg</w:t>
            </w:r>
            <w:r w:rsidRPr="00105CDB">
              <w:rPr>
                <w:b/>
                <w:sz w:val="20"/>
                <w:lang w:val="el-GR"/>
              </w:rPr>
              <w:t>/</w:t>
            </w:r>
            <w:r w:rsidRPr="00105CDB">
              <w:rPr>
                <w:b/>
                <w:sz w:val="20"/>
              </w:rPr>
              <w:t>kg</w:t>
            </w:r>
            <w:r w:rsidRPr="00105CDB">
              <w:rPr>
                <w:b/>
                <w:sz w:val="20"/>
                <w:lang w:val="el-GR"/>
              </w:rPr>
              <w:t xml:space="preserve"> </w:t>
            </w:r>
            <w:r w:rsidRPr="00105CDB">
              <w:rPr>
                <w:b/>
                <w:sz w:val="20"/>
              </w:rPr>
              <w:t>GAN</w:t>
            </w:r>
          </w:p>
          <w:p w:rsidR="002038FD" w:rsidRPr="00105CDB" w:rsidRDefault="002038FD" w:rsidP="00403333">
            <w:pPr>
              <w:keepNext/>
              <w:keepLines/>
              <w:spacing w:line="360" w:lineRule="auto"/>
              <w:jc w:val="center"/>
              <w:rPr>
                <w:b/>
                <w:sz w:val="20"/>
                <w:lang w:val="el-GR"/>
              </w:rPr>
            </w:pPr>
            <w:r w:rsidRPr="00105CDB">
              <w:rPr>
                <w:b/>
                <w:sz w:val="20"/>
                <w:lang w:val="el-GR"/>
              </w:rPr>
              <w:t>Εφάπαξ δόση</w:t>
            </w:r>
          </w:p>
          <w:p w:rsidR="002038FD" w:rsidRPr="00105CDB" w:rsidRDefault="002038FD" w:rsidP="00403333">
            <w:pPr>
              <w:keepNext/>
              <w:keepLines/>
              <w:spacing w:line="360" w:lineRule="auto"/>
              <w:jc w:val="center"/>
              <w:rPr>
                <w:b/>
                <w:sz w:val="20"/>
                <w:lang w:val="el-GR"/>
              </w:rPr>
            </w:pPr>
            <w:r w:rsidRPr="00105CDB">
              <w:rPr>
                <w:b/>
                <w:sz w:val="20"/>
                <w:lang w:val="el-GR"/>
              </w:rPr>
              <w:t>(</w:t>
            </w:r>
            <w:r w:rsidRPr="00105CDB">
              <w:rPr>
                <w:b/>
                <w:sz w:val="20"/>
              </w:rPr>
              <w:t>n</w:t>
            </w:r>
            <w:r w:rsidRPr="00105CDB">
              <w:rPr>
                <w:b/>
                <w:sz w:val="20"/>
                <w:lang w:val="el-GR"/>
              </w:rPr>
              <w:t>=8)</w:t>
            </w:r>
          </w:p>
        </w:tc>
        <w:tc>
          <w:tcPr>
            <w:tcW w:w="1839" w:type="dxa"/>
            <w:tcBorders>
              <w:top w:val="single" w:sz="4" w:space="0" w:color="auto"/>
              <w:left w:val="nil"/>
              <w:bottom w:val="single" w:sz="4" w:space="0" w:color="auto"/>
              <w:right w:val="nil"/>
            </w:tcBorders>
            <w:hideMark/>
          </w:tcPr>
          <w:p w:rsidR="002038FD" w:rsidRPr="00105CDB" w:rsidRDefault="002038FD">
            <w:pPr>
              <w:pStyle w:val="TextTi12"/>
              <w:keepNext/>
              <w:keepLines/>
              <w:spacing w:after="0" w:line="360" w:lineRule="auto"/>
              <w:jc w:val="center"/>
              <w:rPr>
                <w:b/>
                <w:sz w:val="20"/>
                <w:szCs w:val="20"/>
                <w:lang w:val="el-GR"/>
              </w:rPr>
            </w:pPr>
            <w:r w:rsidRPr="00105CDB">
              <w:rPr>
                <w:b/>
                <w:sz w:val="20"/>
                <w:szCs w:val="20"/>
                <w:lang w:val="el-GR"/>
              </w:rPr>
              <w:t xml:space="preserve">6 </w:t>
            </w:r>
            <w:r w:rsidRPr="00105CDB">
              <w:rPr>
                <w:b/>
                <w:sz w:val="20"/>
                <w:szCs w:val="20"/>
              </w:rPr>
              <w:t>mg</w:t>
            </w:r>
            <w:r w:rsidRPr="00105CDB">
              <w:rPr>
                <w:b/>
                <w:sz w:val="20"/>
                <w:szCs w:val="20"/>
                <w:lang w:val="el-GR"/>
              </w:rPr>
              <w:t>/</w:t>
            </w:r>
            <w:r w:rsidRPr="00105CDB">
              <w:rPr>
                <w:b/>
                <w:sz w:val="20"/>
                <w:szCs w:val="20"/>
              </w:rPr>
              <w:t>kg</w:t>
            </w:r>
            <w:r w:rsidRPr="00105CDB">
              <w:rPr>
                <w:b/>
                <w:sz w:val="20"/>
                <w:szCs w:val="20"/>
                <w:lang w:val="el-GR"/>
              </w:rPr>
              <w:t xml:space="preserve"> </w:t>
            </w:r>
            <w:r w:rsidRPr="00105CDB">
              <w:rPr>
                <w:b/>
                <w:sz w:val="20"/>
                <w:szCs w:val="20"/>
              </w:rPr>
              <w:t>GAN</w:t>
            </w:r>
          </w:p>
          <w:p w:rsidR="002038FD" w:rsidRPr="00105CDB" w:rsidRDefault="002038FD" w:rsidP="00403333">
            <w:pPr>
              <w:keepNext/>
              <w:keepLines/>
              <w:spacing w:line="360" w:lineRule="auto"/>
              <w:jc w:val="center"/>
              <w:rPr>
                <w:b/>
                <w:sz w:val="20"/>
                <w:lang w:val="el-GR"/>
              </w:rPr>
            </w:pPr>
            <w:r w:rsidRPr="00105CDB">
              <w:rPr>
                <w:b/>
                <w:sz w:val="20"/>
                <w:lang w:val="el-GR"/>
              </w:rPr>
              <w:t>Δύο φορές την ημέρα</w:t>
            </w:r>
            <w:r w:rsidRPr="00105CDB">
              <w:rPr>
                <w:b/>
                <w:sz w:val="20"/>
                <w:lang w:val="el-GR"/>
              </w:rPr>
              <w:br/>
              <w:t>(</w:t>
            </w:r>
            <w:r w:rsidRPr="00105CDB">
              <w:rPr>
                <w:b/>
                <w:sz w:val="20"/>
              </w:rPr>
              <w:t>n</w:t>
            </w:r>
            <w:r w:rsidRPr="00105CDB">
              <w:rPr>
                <w:b/>
                <w:sz w:val="20"/>
                <w:lang w:val="el-GR"/>
              </w:rPr>
              <w:t>=19)</w:t>
            </w:r>
          </w:p>
        </w:tc>
        <w:tc>
          <w:tcPr>
            <w:tcW w:w="1840" w:type="dxa"/>
            <w:tcBorders>
              <w:top w:val="single" w:sz="4" w:space="0" w:color="auto"/>
              <w:left w:val="nil"/>
              <w:bottom w:val="single" w:sz="4" w:space="0" w:color="auto"/>
              <w:right w:val="nil"/>
            </w:tcBorders>
            <w:hideMark/>
          </w:tcPr>
          <w:p w:rsidR="002038FD" w:rsidRPr="00105CDB" w:rsidRDefault="002038FD" w:rsidP="00403333">
            <w:pPr>
              <w:keepNext/>
              <w:keepLines/>
              <w:spacing w:line="360" w:lineRule="auto"/>
              <w:jc w:val="center"/>
              <w:rPr>
                <w:b/>
                <w:sz w:val="20"/>
                <w:lang w:val="el-GR"/>
              </w:rPr>
            </w:pPr>
            <w:r w:rsidRPr="00105CDB">
              <w:rPr>
                <w:b/>
                <w:sz w:val="20"/>
                <w:lang w:val="el-GR"/>
              </w:rPr>
              <w:t xml:space="preserve">16 </w:t>
            </w:r>
            <w:r w:rsidRPr="00105CDB">
              <w:rPr>
                <w:b/>
                <w:sz w:val="20"/>
              </w:rPr>
              <w:t>mg</w:t>
            </w:r>
            <w:r w:rsidRPr="00105CDB">
              <w:rPr>
                <w:b/>
                <w:sz w:val="20"/>
                <w:lang w:val="el-GR"/>
              </w:rPr>
              <w:t>/</w:t>
            </w:r>
            <w:r w:rsidRPr="00105CDB">
              <w:rPr>
                <w:b/>
                <w:sz w:val="20"/>
              </w:rPr>
              <w:t>kg</w:t>
            </w:r>
            <w:r w:rsidRPr="00105CDB">
              <w:rPr>
                <w:b/>
                <w:sz w:val="20"/>
                <w:lang w:val="el-GR"/>
              </w:rPr>
              <w:t xml:space="preserve"> </w:t>
            </w:r>
            <w:r w:rsidRPr="00105CDB">
              <w:rPr>
                <w:b/>
                <w:sz w:val="20"/>
              </w:rPr>
              <w:t>VAL</w:t>
            </w:r>
          </w:p>
          <w:p w:rsidR="002038FD" w:rsidRPr="00105CDB" w:rsidRDefault="002038FD" w:rsidP="00403333">
            <w:pPr>
              <w:keepNext/>
              <w:keepLines/>
              <w:spacing w:line="360" w:lineRule="auto"/>
              <w:jc w:val="center"/>
              <w:rPr>
                <w:b/>
                <w:sz w:val="20"/>
                <w:lang w:val="el-GR"/>
              </w:rPr>
            </w:pPr>
            <w:r w:rsidRPr="00105CDB">
              <w:rPr>
                <w:b/>
                <w:sz w:val="20"/>
                <w:lang w:val="el-GR"/>
              </w:rPr>
              <w:t>Δύο φορές την ημέρα</w:t>
            </w:r>
          </w:p>
          <w:p w:rsidR="002038FD" w:rsidRPr="00105CDB" w:rsidRDefault="002038FD" w:rsidP="00403333">
            <w:pPr>
              <w:keepNext/>
              <w:keepLines/>
              <w:spacing w:line="360" w:lineRule="auto"/>
              <w:jc w:val="center"/>
              <w:rPr>
                <w:b/>
                <w:sz w:val="20"/>
              </w:rPr>
            </w:pPr>
            <w:r w:rsidRPr="00105CDB">
              <w:rPr>
                <w:b/>
                <w:sz w:val="20"/>
              </w:rPr>
              <w:t>(n=19)</w:t>
            </w:r>
          </w:p>
        </w:tc>
        <w:tc>
          <w:tcPr>
            <w:tcW w:w="1870" w:type="dxa"/>
            <w:tcBorders>
              <w:top w:val="single" w:sz="4" w:space="0" w:color="auto"/>
              <w:left w:val="nil"/>
              <w:bottom w:val="single" w:sz="4" w:space="0" w:color="auto"/>
              <w:right w:val="single" w:sz="4" w:space="0" w:color="auto"/>
            </w:tcBorders>
            <w:hideMark/>
          </w:tcPr>
          <w:p w:rsidR="002038FD" w:rsidRPr="00105CDB" w:rsidRDefault="002038FD" w:rsidP="00403333">
            <w:pPr>
              <w:keepNext/>
              <w:keepLines/>
              <w:spacing w:line="360" w:lineRule="auto"/>
              <w:jc w:val="center"/>
              <w:rPr>
                <w:b/>
                <w:sz w:val="20"/>
                <w:lang w:val="el-GR"/>
              </w:rPr>
            </w:pPr>
            <w:r w:rsidRPr="00105CDB">
              <w:rPr>
                <w:b/>
                <w:sz w:val="20"/>
                <w:lang w:val="el-GR"/>
              </w:rPr>
              <w:t xml:space="preserve">16 </w:t>
            </w:r>
            <w:r w:rsidRPr="00105CDB">
              <w:rPr>
                <w:b/>
                <w:sz w:val="20"/>
              </w:rPr>
              <w:t>mg</w:t>
            </w:r>
            <w:r w:rsidRPr="00105CDB">
              <w:rPr>
                <w:b/>
                <w:sz w:val="20"/>
                <w:lang w:val="el-GR"/>
              </w:rPr>
              <w:t>/</w:t>
            </w:r>
            <w:r w:rsidRPr="00105CDB">
              <w:rPr>
                <w:b/>
                <w:sz w:val="20"/>
              </w:rPr>
              <w:t>kg</w:t>
            </w:r>
            <w:r w:rsidRPr="00105CDB">
              <w:rPr>
                <w:b/>
                <w:sz w:val="20"/>
                <w:lang w:val="el-GR"/>
              </w:rPr>
              <w:t xml:space="preserve"> </w:t>
            </w:r>
            <w:r w:rsidRPr="00105CDB">
              <w:rPr>
                <w:b/>
                <w:sz w:val="20"/>
              </w:rPr>
              <w:t>VAL</w:t>
            </w:r>
          </w:p>
          <w:p w:rsidR="002038FD" w:rsidRPr="00105CDB" w:rsidRDefault="002038FD" w:rsidP="00403333">
            <w:pPr>
              <w:keepNext/>
              <w:keepLines/>
              <w:spacing w:line="360" w:lineRule="auto"/>
              <w:jc w:val="center"/>
              <w:rPr>
                <w:b/>
                <w:sz w:val="20"/>
                <w:lang w:val="el-GR"/>
              </w:rPr>
            </w:pPr>
            <w:r w:rsidRPr="00105CDB">
              <w:rPr>
                <w:b/>
                <w:sz w:val="20"/>
                <w:lang w:val="el-GR"/>
              </w:rPr>
              <w:t>Δύο φορές την ημέρα</w:t>
            </w:r>
          </w:p>
          <w:p w:rsidR="002038FD" w:rsidRPr="00105CDB" w:rsidRDefault="002038FD" w:rsidP="00403333">
            <w:pPr>
              <w:keepNext/>
              <w:keepLines/>
              <w:spacing w:line="360" w:lineRule="auto"/>
              <w:jc w:val="center"/>
              <w:rPr>
                <w:b/>
                <w:sz w:val="20"/>
              </w:rPr>
            </w:pPr>
            <w:r w:rsidRPr="00105CDB">
              <w:rPr>
                <w:b/>
                <w:sz w:val="20"/>
              </w:rPr>
              <w:t>(n = 100)</w:t>
            </w:r>
          </w:p>
        </w:tc>
      </w:tr>
      <w:tr w:rsidR="00403333" w:rsidRPr="00105CDB" w:rsidTr="00403333">
        <w:tc>
          <w:tcPr>
            <w:tcW w:w="2088" w:type="dxa"/>
            <w:tcBorders>
              <w:top w:val="single" w:sz="4" w:space="0" w:color="auto"/>
              <w:left w:val="single" w:sz="4" w:space="0" w:color="auto"/>
              <w:bottom w:val="single" w:sz="4" w:space="0" w:color="auto"/>
              <w:right w:val="nil"/>
            </w:tcBorders>
            <w:hideMark/>
          </w:tcPr>
          <w:p w:rsidR="002038FD" w:rsidRPr="00105CDB" w:rsidRDefault="002038FD">
            <w:pPr>
              <w:spacing w:after="120" w:line="360" w:lineRule="auto"/>
              <w:rPr>
                <w:b/>
                <w:sz w:val="20"/>
              </w:rPr>
            </w:pPr>
            <w:r w:rsidRPr="00105CDB">
              <w:rPr>
                <w:b/>
                <w:sz w:val="20"/>
              </w:rPr>
              <w:t>AUC</w:t>
            </w:r>
            <w:r w:rsidRPr="00105CDB">
              <w:rPr>
                <w:b/>
                <w:sz w:val="20"/>
                <w:vertAlign w:val="subscript"/>
              </w:rPr>
              <w:t>0-∞</w:t>
            </w:r>
            <w:r w:rsidRPr="00105CDB">
              <w:rPr>
                <w:b/>
                <w:sz w:val="20"/>
              </w:rPr>
              <w:t xml:space="preserve"> (</w:t>
            </w:r>
            <w:r w:rsidRPr="00105CDB">
              <w:rPr>
                <w:b/>
                <w:sz w:val="20"/>
              </w:rPr>
              <w:sym w:font="Symbol" w:char="F06D"/>
            </w:r>
            <w:proofErr w:type="spellStart"/>
            <w:r w:rsidRPr="00105CDB">
              <w:rPr>
                <w:b/>
                <w:sz w:val="20"/>
              </w:rPr>
              <w:t>g</w:t>
            </w:r>
            <w:r w:rsidRPr="00105CDB">
              <w:rPr>
                <w:b/>
                <w:sz w:val="20"/>
                <w:vertAlign w:val="superscript"/>
              </w:rPr>
              <w:t>.</w:t>
            </w:r>
            <w:r w:rsidRPr="00105CDB">
              <w:rPr>
                <w:b/>
                <w:sz w:val="20"/>
              </w:rPr>
              <w:t>h</w:t>
            </w:r>
            <w:proofErr w:type="spellEnd"/>
            <w:r w:rsidRPr="00105CDB">
              <w:rPr>
                <w:b/>
                <w:sz w:val="20"/>
              </w:rPr>
              <w:t>/</w:t>
            </w:r>
            <w:proofErr w:type="spellStart"/>
            <w:r w:rsidRPr="00105CDB">
              <w:rPr>
                <w:b/>
                <w:sz w:val="20"/>
              </w:rPr>
              <w:t>mL</w:t>
            </w:r>
            <w:proofErr w:type="spellEnd"/>
            <w:r w:rsidRPr="00105CDB">
              <w:rPr>
                <w:b/>
                <w:sz w:val="20"/>
              </w:rPr>
              <w:t>)</w:t>
            </w:r>
          </w:p>
        </w:tc>
        <w:tc>
          <w:tcPr>
            <w:tcW w:w="1591"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sz w:val="20"/>
              </w:rPr>
            </w:pPr>
            <w:r w:rsidRPr="00105CDB">
              <w:rPr>
                <w:sz w:val="20"/>
                <w:lang w:val="pt-BR"/>
              </w:rPr>
              <w:t xml:space="preserve">25.4 </w:t>
            </w:r>
            <w:r w:rsidRPr="00105CDB">
              <w:rPr>
                <w:sz w:val="20"/>
              </w:rPr>
              <w:t>± 4.32</w:t>
            </w:r>
          </w:p>
        </w:tc>
        <w:tc>
          <w:tcPr>
            <w:tcW w:w="1839" w:type="dxa"/>
            <w:tcBorders>
              <w:top w:val="single" w:sz="4" w:space="0" w:color="auto"/>
              <w:left w:val="nil"/>
              <w:bottom w:val="single" w:sz="4" w:space="0" w:color="auto"/>
              <w:right w:val="nil"/>
            </w:tcBorders>
            <w:hideMark/>
          </w:tcPr>
          <w:p w:rsidR="002038FD" w:rsidRPr="00105CDB" w:rsidRDefault="002038FD">
            <w:pPr>
              <w:pStyle w:val="TextTi12"/>
              <w:keepNext/>
              <w:keepLines/>
              <w:spacing w:after="120" w:line="360" w:lineRule="auto"/>
              <w:jc w:val="center"/>
              <w:rPr>
                <w:b/>
                <w:sz w:val="20"/>
                <w:szCs w:val="20"/>
              </w:rPr>
            </w:pPr>
            <w:r w:rsidRPr="00105CDB">
              <w:rPr>
                <w:b/>
                <w:sz w:val="20"/>
                <w:szCs w:val="20"/>
              </w:rPr>
              <w:t>-</w:t>
            </w:r>
          </w:p>
        </w:tc>
        <w:tc>
          <w:tcPr>
            <w:tcW w:w="184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sz w:val="20"/>
              </w:rPr>
            </w:pPr>
            <w:r w:rsidRPr="00105CDB">
              <w:rPr>
                <w:sz w:val="20"/>
              </w:rPr>
              <w:t>-</w:t>
            </w:r>
          </w:p>
        </w:tc>
        <w:tc>
          <w:tcPr>
            <w:tcW w:w="1870" w:type="dxa"/>
            <w:tcBorders>
              <w:top w:val="single" w:sz="4" w:space="0" w:color="auto"/>
              <w:left w:val="nil"/>
              <w:bottom w:val="single" w:sz="4" w:space="0" w:color="auto"/>
              <w:right w:val="single" w:sz="4" w:space="0" w:color="auto"/>
            </w:tcBorders>
            <w:hideMark/>
          </w:tcPr>
          <w:p w:rsidR="002038FD" w:rsidRPr="00105CDB" w:rsidRDefault="002038FD">
            <w:pPr>
              <w:spacing w:after="120" w:line="360" w:lineRule="auto"/>
              <w:jc w:val="center"/>
              <w:rPr>
                <w:sz w:val="20"/>
              </w:rPr>
            </w:pPr>
            <w:r w:rsidRPr="00105CDB">
              <w:rPr>
                <w:sz w:val="20"/>
              </w:rPr>
              <w:t>-</w:t>
            </w:r>
          </w:p>
        </w:tc>
      </w:tr>
      <w:tr w:rsidR="00403333" w:rsidRPr="00105CDB" w:rsidTr="00403333">
        <w:tc>
          <w:tcPr>
            <w:tcW w:w="2088" w:type="dxa"/>
            <w:tcBorders>
              <w:top w:val="single" w:sz="4" w:space="0" w:color="auto"/>
              <w:left w:val="single" w:sz="4" w:space="0" w:color="auto"/>
              <w:bottom w:val="single" w:sz="4" w:space="0" w:color="auto"/>
              <w:right w:val="nil"/>
            </w:tcBorders>
            <w:hideMark/>
          </w:tcPr>
          <w:p w:rsidR="002038FD" w:rsidRPr="00105CDB" w:rsidRDefault="002038FD">
            <w:pPr>
              <w:spacing w:after="120" w:line="360" w:lineRule="auto"/>
              <w:rPr>
                <w:sz w:val="20"/>
              </w:rPr>
            </w:pPr>
            <w:r w:rsidRPr="00105CDB">
              <w:rPr>
                <w:b/>
                <w:sz w:val="20"/>
              </w:rPr>
              <w:t>AUC</w:t>
            </w:r>
            <w:r w:rsidRPr="00105CDB">
              <w:rPr>
                <w:b/>
                <w:sz w:val="20"/>
                <w:vertAlign w:val="subscript"/>
              </w:rPr>
              <w:t xml:space="preserve">0-12h </w:t>
            </w:r>
            <w:r w:rsidRPr="00105CDB">
              <w:rPr>
                <w:b/>
                <w:sz w:val="20"/>
              </w:rPr>
              <w:t>(</w:t>
            </w:r>
            <w:r w:rsidRPr="00105CDB">
              <w:rPr>
                <w:b/>
                <w:sz w:val="20"/>
              </w:rPr>
              <w:sym w:font="Symbol" w:char="F06D"/>
            </w:r>
            <w:proofErr w:type="spellStart"/>
            <w:r w:rsidRPr="00105CDB">
              <w:rPr>
                <w:b/>
                <w:sz w:val="20"/>
              </w:rPr>
              <w:t>g</w:t>
            </w:r>
            <w:r w:rsidRPr="00105CDB">
              <w:rPr>
                <w:b/>
                <w:sz w:val="20"/>
                <w:vertAlign w:val="superscript"/>
              </w:rPr>
              <w:t>.</w:t>
            </w:r>
            <w:r w:rsidRPr="00105CDB">
              <w:rPr>
                <w:b/>
                <w:sz w:val="20"/>
              </w:rPr>
              <w:t>h</w:t>
            </w:r>
            <w:proofErr w:type="spellEnd"/>
            <w:r w:rsidRPr="00105CDB">
              <w:rPr>
                <w:b/>
                <w:sz w:val="20"/>
              </w:rPr>
              <w:t>/</w:t>
            </w:r>
            <w:proofErr w:type="spellStart"/>
            <w:r w:rsidRPr="00105CDB">
              <w:rPr>
                <w:b/>
                <w:sz w:val="20"/>
              </w:rPr>
              <w:t>mL</w:t>
            </w:r>
            <w:proofErr w:type="spellEnd"/>
            <w:r w:rsidRPr="00105CDB">
              <w:rPr>
                <w:b/>
                <w:sz w:val="20"/>
              </w:rPr>
              <w:t>)</w:t>
            </w:r>
          </w:p>
        </w:tc>
        <w:tc>
          <w:tcPr>
            <w:tcW w:w="1591"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sz w:val="20"/>
              </w:rPr>
            </w:pPr>
            <w:r w:rsidRPr="00105CDB">
              <w:rPr>
                <w:sz w:val="20"/>
              </w:rPr>
              <w:t>-</w:t>
            </w:r>
          </w:p>
        </w:tc>
        <w:tc>
          <w:tcPr>
            <w:tcW w:w="1839"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sz w:val="20"/>
              </w:rPr>
            </w:pPr>
            <w:r w:rsidRPr="00105CDB">
              <w:rPr>
                <w:sz w:val="20"/>
              </w:rPr>
              <w:t>38.2 ± 42.7</w:t>
            </w:r>
          </w:p>
        </w:tc>
        <w:tc>
          <w:tcPr>
            <w:tcW w:w="184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sz w:val="20"/>
              </w:rPr>
            </w:pPr>
            <w:r w:rsidRPr="00105CDB">
              <w:rPr>
                <w:sz w:val="20"/>
                <w:lang w:val="de-CH"/>
              </w:rPr>
              <w:t>30.1 ± 15.1</w:t>
            </w:r>
          </w:p>
        </w:tc>
        <w:tc>
          <w:tcPr>
            <w:tcW w:w="1870" w:type="dxa"/>
            <w:tcBorders>
              <w:top w:val="single" w:sz="4" w:space="0" w:color="auto"/>
              <w:left w:val="nil"/>
              <w:bottom w:val="single" w:sz="4" w:space="0" w:color="auto"/>
              <w:right w:val="single" w:sz="4" w:space="0" w:color="auto"/>
            </w:tcBorders>
            <w:hideMark/>
          </w:tcPr>
          <w:p w:rsidR="002038FD" w:rsidRPr="00105CDB" w:rsidRDefault="002038FD">
            <w:pPr>
              <w:spacing w:after="120" w:line="360" w:lineRule="auto"/>
              <w:jc w:val="center"/>
              <w:rPr>
                <w:sz w:val="20"/>
              </w:rPr>
            </w:pPr>
            <w:r w:rsidRPr="00105CDB">
              <w:rPr>
                <w:sz w:val="20"/>
              </w:rPr>
              <w:t xml:space="preserve">20.85 </w:t>
            </w:r>
            <w:r w:rsidRPr="00105CDB">
              <w:rPr>
                <w:sz w:val="20"/>
                <w:lang w:val="de-CH"/>
              </w:rPr>
              <w:t>±</w:t>
            </w:r>
            <w:r w:rsidRPr="00105CDB">
              <w:rPr>
                <w:sz w:val="20"/>
              </w:rPr>
              <w:t xml:space="preserve"> 5.40</w:t>
            </w:r>
          </w:p>
        </w:tc>
      </w:tr>
      <w:tr w:rsidR="00403333" w:rsidRPr="00105CDB" w:rsidTr="00403333">
        <w:tc>
          <w:tcPr>
            <w:tcW w:w="2088" w:type="dxa"/>
            <w:tcBorders>
              <w:top w:val="single" w:sz="4" w:space="0" w:color="auto"/>
              <w:left w:val="single" w:sz="4" w:space="0" w:color="auto"/>
              <w:bottom w:val="single" w:sz="4" w:space="0" w:color="auto"/>
              <w:right w:val="nil"/>
            </w:tcBorders>
            <w:hideMark/>
          </w:tcPr>
          <w:p w:rsidR="002038FD" w:rsidRPr="00105CDB" w:rsidRDefault="002038FD">
            <w:pPr>
              <w:spacing w:after="120" w:line="360" w:lineRule="auto"/>
              <w:rPr>
                <w:sz w:val="20"/>
              </w:rPr>
            </w:pPr>
            <w:proofErr w:type="spellStart"/>
            <w:r w:rsidRPr="00105CDB">
              <w:rPr>
                <w:b/>
                <w:sz w:val="20"/>
              </w:rPr>
              <w:lastRenderedPageBreak/>
              <w:t>C</w:t>
            </w:r>
            <w:r w:rsidRPr="00105CDB">
              <w:rPr>
                <w:b/>
                <w:sz w:val="20"/>
                <w:vertAlign w:val="subscript"/>
              </w:rPr>
              <w:t>max</w:t>
            </w:r>
            <w:proofErr w:type="spellEnd"/>
            <w:r w:rsidRPr="00105CDB">
              <w:rPr>
                <w:b/>
                <w:sz w:val="20"/>
              </w:rPr>
              <w:t xml:space="preserve"> (</w:t>
            </w:r>
            <w:r w:rsidRPr="00105CDB">
              <w:rPr>
                <w:b/>
                <w:sz w:val="20"/>
              </w:rPr>
              <w:sym w:font="Symbol" w:char="F06D"/>
            </w:r>
            <w:r w:rsidRPr="00105CDB">
              <w:rPr>
                <w:b/>
                <w:sz w:val="20"/>
              </w:rPr>
              <w:t>g/ml)</w:t>
            </w:r>
          </w:p>
        </w:tc>
        <w:tc>
          <w:tcPr>
            <w:tcW w:w="1591"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sz w:val="20"/>
              </w:rPr>
            </w:pPr>
            <w:r w:rsidRPr="00105CDB">
              <w:rPr>
                <w:sz w:val="20"/>
                <w:lang w:val="de-CH"/>
              </w:rPr>
              <w:t>9.03 ± 1.26</w:t>
            </w:r>
          </w:p>
        </w:tc>
        <w:tc>
          <w:tcPr>
            <w:tcW w:w="1839"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sz w:val="20"/>
              </w:rPr>
            </w:pPr>
            <w:r w:rsidRPr="00105CDB">
              <w:rPr>
                <w:sz w:val="20"/>
                <w:lang w:val="de-CH"/>
              </w:rPr>
              <w:t>12.9 ± 21.5</w:t>
            </w:r>
          </w:p>
        </w:tc>
        <w:tc>
          <w:tcPr>
            <w:tcW w:w="184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sz w:val="20"/>
              </w:rPr>
            </w:pPr>
            <w:r w:rsidRPr="00105CDB">
              <w:rPr>
                <w:sz w:val="20"/>
                <w:lang w:val="pt-BR"/>
              </w:rPr>
              <w:t>5.44  ± 4. 04</w:t>
            </w:r>
          </w:p>
        </w:tc>
        <w:tc>
          <w:tcPr>
            <w:tcW w:w="1870" w:type="dxa"/>
            <w:tcBorders>
              <w:top w:val="single" w:sz="4" w:space="0" w:color="auto"/>
              <w:left w:val="nil"/>
              <w:bottom w:val="single" w:sz="4" w:space="0" w:color="auto"/>
              <w:right w:val="single" w:sz="4" w:space="0" w:color="auto"/>
            </w:tcBorders>
            <w:hideMark/>
          </w:tcPr>
          <w:p w:rsidR="002038FD" w:rsidRPr="00105CDB" w:rsidRDefault="002038FD">
            <w:pPr>
              <w:spacing w:after="120" w:line="360" w:lineRule="auto"/>
              <w:jc w:val="center"/>
              <w:rPr>
                <w:sz w:val="20"/>
              </w:rPr>
            </w:pPr>
            <w:r w:rsidRPr="00105CDB">
              <w:rPr>
                <w:sz w:val="20"/>
              </w:rPr>
              <w:t>-</w:t>
            </w:r>
          </w:p>
        </w:tc>
      </w:tr>
      <w:tr w:rsidR="00403333" w:rsidRPr="00105CDB" w:rsidTr="00403333">
        <w:tc>
          <w:tcPr>
            <w:tcW w:w="2088" w:type="dxa"/>
            <w:tcBorders>
              <w:top w:val="single" w:sz="4" w:space="0" w:color="auto"/>
              <w:left w:val="single" w:sz="4" w:space="0" w:color="auto"/>
              <w:bottom w:val="single" w:sz="4" w:space="0" w:color="auto"/>
              <w:right w:val="nil"/>
            </w:tcBorders>
            <w:hideMark/>
          </w:tcPr>
          <w:p w:rsidR="002038FD" w:rsidRPr="00105CDB" w:rsidRDefault="002038FD">
            <w:pPr>
              <w:spacing w:after="120" w:line="360" w:lineRule="auto"/>
              <w:rPr>
                <w:b/>
                <w:sz w:val="20"/>
              </w:rPr>
            </w:pPr>
            <w:r w:rsidRPr="00105CDB">
              <w:rPr>
                <w:b/>
                <w:sz w:val="20"/>
              </w:rPr>
              <w:t>t</w:t>
            </w:r>
            <w:r w:rsidRPr="00105CDB">
              <w:rPr>
                <w:b/>
                <w:sz w:val="20"/>
                <w:vertAlign w:val="subscript"/>
              </w:rPr>
              <w:t>1/2</w:t>
            </w:r>
            <w:r w:rsidRPr="00105CDB">
              <w:rPr>
                <w:b/>
                <w:sz w:val="20"/>
              </w:rPr>
              <w:t xml:space="preserve"> (h)</w:t>
            </w:r>
          </w:p>
        </w:tc>
        <w:tc>
          <w:tcPr>
            <w:tcW w:w="1591"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sz w:val="20"/>
              </w:rPr>
            </w:pPr>
            <w:r w:rsidRPr="00105CDB">
              <w:rPr>
                <w:sz w:val="20"/>
                <w:lang w:val="pt-BR"/>
              </w:rPr>
              <w:t>3.32  ± 0.47</w:t>
            </w:r>
          </w:p>
        </w:tc>
        <w:tc>
          <w:tcPr>
            <w:tcW w:w="1839"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sz w:val="20"/>
              </w:rPr>
            </w:pPr>
            <w:r w:rsidRPr="00105CDB">
              <w:rPr>
                <w:sz w:val="20"/>
                <w:lang w:val="pt-BR"/>
              </w:rPr>
              <w:t>2.52 ± 0. 55</w:t>
            </w:r>
          </w:p>
        </w:tc>
        <w:tc>
          <w:tcPr>
            <w:tcW w:w="1840" w:type="dxa"/>
            <w:tcBorders>
              <w:top w:val="single" w:sz="4" w:space="0" w:color="auto"/>
              <w:left w:val="nil"/>
              <w:bottom w:val="single" w:sz="4" w:space="0" w:color="auto"/>
              <w:right w:val="nil"/>
            </w:tcBorders>
            <w:hideMark/>
          </w:tcPr>
          <w:p w:rsidR="002038FD" w:rsidRPr="00105CDB" w:rsidRDefault="002038FD">
            <w:pPr>
              <w:spacing w:after="120" w:line="360" w:lineRule="auto"/>
              <w:jc w:val="center"/>
              <w:rPr>
                <w:sz w:val="20"/>
              </w:rPr>
            </w:pPr>
            <w:r w:rsidRPr="00105CDB">
              <w:rPr>
                <w:sz w:val="20"/>
              </w:rPr>
              <w:t>2.98 ± 1. 26</w:t>
            </w:r>
          </w:p>
        </w:tc>
        <w:tc>
          <w:tcPr>
            <w:tcW w:w="1870" w:type="dxa"/>
            <w:tcBorders>
              <w:top w:val="single" w:sz="4" w:space="0" w:color="auto"/>
              <w:left w:val="nil"/>
              <w:bottom w:val="single" w:sz="4" w:space="0" w:color="auto"/>
              <w:right w:val="single" w:sz="4" w:space="0" w:color="auto"/>
            </w:tcBorders>
            <w:hideMark/>
          </w:tcPr>
          <w:p w:rsidR="002038FD" w:rsidRPr="00105CDB" w:rsidRDefault="002038FD">
            <w:pPr>
              <w:spacing w:after="120" w:line="360" w:lineRule="auto"/>
              <w:jc w:val="center"/>
              <w:rPr>
                <w:sz w:val="20"/>
              </w:rPr>
            </w:pPr>
            <w:r w:rsidRPr="00105CDB">
              <w:rPr>
                <w:sz w:val="20"/>
              </w:rPr>
              <w:t>2.98 ± 1.12</w:t>
            </w:r>
          </w:p>
        </w:tc>
      </w:tr>
    </w:tbl>
    <w:p w:rsidR="00995E9E" w:rsidRPr="00105CDB" w:rsidRDefault="00995E9E" w:rsidP="00995E9E">
      <w:pPr>
        <w:rPr>
          <w:rStyle w:val="TextTi10Char"/>
          <w:rFonts w:eastAsia="SimSun"/>
          <w:lang w:val="el-GR"/>
        </w:rPr>
      </w:pPr>
      <w:r w:rsidRPr="00105CDB">
        <w:rPr>
          <w:rStyle w:val="TextTi10Char"/>
          <w:rFonts w:eastAsia="SimSun"/>
        </w:rPr>
        <w:t>GAN</w:t>
      </w:r>
      <w:r w:rsidRPr="00105CDB">
        <w:rPr>
          <w:rStyle w:val="TextTi10Char"/>
          <w:rFonts w:eastAsia="SimSun"/>
          <w:lang w:val="el-GR"/>
        </w:rPr>
        <w:t xml:space="preserve"> = </w:t>
      </w:r>
      <w:r w:rsidRPr="00105CDB">
        <w:rPr>
          <w:lang w:val="el-GR"/>
        </w:rPr>
        <w:t>Γκανσικλοβίρη</w:t>
      </w:r>
      <w:r w:rsidRPr="00105CDB">
        <w:rPr>
          <w:rStyle w:val="TextTi10Char"/>
          <w:rFonts w:eastAsia="SimSun"/>
          <w:lang w:val="el-GR"/>
        </w:rPr>
        <w:t>, ενδοφλεβίως.</w:t>
      </w:r>
    </w:p>
    <w:p w:rsidR="00995E9E" w:rsidRPr="00105CDB" w:rsidRDefault="00995E9E" w:rsidP="00995E9E">
      <w:pPr>
        <w:rPr>
          <w:rFonts w:eastAsia="SimSun"/>
          <w:lang w:val="el-GR"/>
        </w:rPr>
      </w:pPr>
      <w:r w:rsidRPr="00105CDB">
        <w:rPr>
          <w:rStyle w:val="TextTi10Char"/>
          <w:rFonts w:eastAsia="SimSun"/>
        </w:rPr>
        <w:t>VAL</w:t>
      </w:r>
      <w:r w:rsidRPr="00105CDB">
        <w:rPr>
          <w:rStyle w:val="TextTi10Char"/>
          <w:rFonts w:eastAsia="SimSun"/>
          <w:lang w:val="el-GR"/>
        </w:rPr>
        <w:t xml:space="preserve"> = </w:t>
      </w:r>
      <w:r w:rsidRPr="00105CDB">
        <w:rPr>
          <w:lang w:val="el-GR"/>
        </w:rPr>
        <w:t>Βαλγκανσικλοβίρη</w:t>
      </w:r>
      <w:r w:rsidRPr="00105CDB">
        <w:rPr>
          <w:rStyle w:val="TextTi10Char"/>
          <w:rFonts w:eastAsia="SimSun"/>
          <w:lang w:val="el-GR"/>
        </w:rPr>
        <w:t>, από του στόματος</w:t>
      </w:r>
    </w:p>
    <w:p w:rsidR="00995E9E" w:rsidRPr="00105CDB" w:rsidRDefault="00995E9E" w:rsidP="00995E9E">
      <w:pPr>
        <w:rPr>
          <w:lang w:val="el-GR"/>
        </w:rPr>
      </w:pPr>
    </w:p>
    <w:p w:rsidR="00995E9E" w:rsidRPr="00105CDB" w:rsidRDefault="00995E9E" w:rsidP="00995E9E">
      <w:pPr>
        <w:textAlignment w:val="top"/>
        <w:rPr>
          <w:lang w:val="el-GR"/>
        </w:rPr>
      </w:pPr>
      <w:r w:rsidRPr="00105CDB">
        <w:rPr>
          <w:lang w:val="el-GR"/>
        </w:rPr>
        <w:t>Αυτά τα στοιχεία είναι πολύ περιορισμένα ώστε να επιτρέπουν συμπεράσματα ως προς την αποτελεσματικότητα ή δοσολογικές συστάσεις για παιδιατρικούς ασθενείς με συγγενή λοίμωξη από CMV.</w:t>
      </w:r>
    </w:p>
    <w:p w:rsidR="0091534A" w:rsidRPr="00105CDB" w:rsidRDefault="0091534A" w:rsidP="0091534A">
      <w:pPr>
        <w:rPr>
          <w:lang w:val="el-GR"/>
        </w:rPr>
      </w:pPr>
    </w:p>
    <w:p w:rsidR="0091534A" w:rsidRPr="00105CDB" w:rsidRDefault="0091534A" w:rsidP="0049166C">
      <w:pPr>
        <w:ind w:left="567" w:hanging="567"/>
        <w:rPr>
          <w:lang w:val="el-GR"/>
        </w:rPr>
      </w:pPr>
      <w:r w:rsidRPr="00105CDB">
        <w:rPr>
          <w:b/>
          <w:lang w:val="el-GR"/>
        </w:rPr>
        <w:t>5.3</w:t>
      </w:r>
      <w:r w:rsidRPr="00105CDB">
        <w:rPr>
          <w:b/>
          <w:lang w:val="el-GR"/>
        </w:rPr>
        <w:tab/>
        <w:t>Προκλινικά δεδομένα για την ασφάλεια</w:t>
      </w:r>
    </w:p>
    <w:p w:rsidR="0091534A" w:rsidRPr="00105CDB" w:rsidRDefault="0091534A" w:rsidP="0091534A">
      <w:pPr>
        <w:rPr>
          <w:lang w:val="el-GR"/>
        </w:rPr>
      </w:pPr>
    </w:p>
    <w:p w:rsidR="00262A1F" w:rsidRPr="00105CDB" w:rsidRDefault="00262A1F" w:rsidP="00262A1F">
      <w:pPr>
        <w:widowControl w:val="0"/>
        <w:spacing w:line="240" w:lineRule="atLeast"/>
        <w:rPr>
          <w:lang w:val="el-GR"/>
        </w:rPr>
      </w:pPr>
      <w:r w:rsidRPr="00105CDB">
        <w:rPr>
          <w:lang w:val="el-GR"/>
        </w:rPr>
        <w:t>Η βαλγκανσικλοβίρη αποτελεί προφάρμακο της γκανσικλοβίρης και ως εκ τούτου οι επιδράσεις που παρατηρούνται με την γκανσικλοβίρη ισχύουν εξίσου και για τη βαλγκανσικλοβίρη. Η τοξικότητα της βαλγκανσικλοβίρης σε προκλινικές μελέτες ασφάλειας, ήταν ίδια με εκείνη που παρατηρείται με την γκανσικλοβίρη και προκλήθηκε σε επίπεδα γκανσικλοβίρης συγκρίσιμα ή χαμηλότερα εκείνων που παρατηρούνται επί χορήγησης δόσης εφόδου σε ανθρώπους.</w:t>
      </w:r>
    </w:p>
    <w:p w:rsidR="00262A1F" w:rsidRPr="00105CDB" w:rsidRDefault="00262A1F" w:rsidP="00262A1F">
      <w:pPr>
        <w:widowControl w:val="0"/>
        <w:spacing w:line="240" w:lineRule="atLeast"/>
        <w:rPr>
          <w:lang w:val="el-GR"/>
        </w:rPr>
      </w:pPr>
    </w:p>
    <w:p w:rsidR="00262A1F" w:rsidRPr="00105CDB" w:rsidRDefault="00262A1F" w:rsidP="00262A1F">
      <w:pPr>
        <w:widowControl w:val="0"/>
        <w:spacing w:line="240" w:lineRule="atLeast"/>
        <w:rPr>
          <w:lang w:val="el-GR"/>
        </w:rPr>
      </w:pPr>
      <w:r w:rsidRPr="00105CDB">
        <w:rPr>
          <w:lang w:val="el-GR"/>
        </w:rPr>
        <w:t>Τα ευρήματα αυτά ήταν γοναδοτοξικότητα (απώλεια σπερματικών κυττάρων) και νεφροτοξικότητα (ουραιμία, κυτταρικός εκφυλισμός) τα οποία ήταν μη αναστρέψιμα</w:t>
      </w:r>
      <w:r w:rsidR="001F2B09" w:rsidRPr="00105CDB">
        <w:rPr>
          <w:lang w:val="el-GR"/>
        </w:rPr>
        <w:t>,</w:t>
      </w:r>
      <w:r w:rsidRPr="00105CDB">
        <w:rPr>
          <w:lang w:val="el-GR"/>
        </w:rPr>
        <w:t xml:space="preserve"> μυελοτοξικότητα (αναιμία, ουδετεροπενία, λεμφοκυτταροπενία) και γαστρεντερική τοξικότητα (νέκρωση βλεννογονικών κυττάρων) τα οποία ήταν αναστρέψιμα.</w:t>
      </w:r>
    </w:p>
    <w:p w:rsidR="00262A1F" w:rsidRPr="00105CDB" w:rsidRDefault="00262A1F" w:rsidP="00262A1F">
      <w:pPr>
        <w:widowControl w:val="0"/>
        <w:spacing w:line="240" w:lineRule="atLeast"/>
        <w:rPr>
          <w:lang w:val="el-GR"/>
        </w:rPr>
      </w:pPr>
    </w:p>
    <w:p w:rsidR="00262A1F" w:rsidRPr="00105CDB" w:rsidRDefault="00262A1F" w:rsidP="00262A1F">
      <w:pPr>
        <w:widowControl w:val="0"/>
        <w:spacing w:line="240" w:lineRule="atLeast"/>
        <w:rPr>
          <w:lang w:val="el-GR"/>
        </w:rPr>
      </w:pPr>
      <w:r w:rsidRPr="00105CDB">
        <w:rPr>
          <w:lang w:val="el-GR"/>
        </w:rPr>
        <w:t xml:space="preserve">Σε περαιτέρω μελέτες έχει καταδειχθεί πως η βαλγκανσικλοβίρη είναι μεταλλαξιογόνος, καρκινογόνος, τερατογόνος, εμβρυοτοξική και ασπερματογόνος (παραβλάπτει δηλ. τη γονιμότητα των αρρένων) και καταστέλλει τη γονιμότητα των θηλέων. </w:t>
      </w:r>
    </w:p>
    <w:p w:rsidR="0091534A" w:rsidRPr="00105CDB" w:rsidRDefault="0091534A" w:rsidP="0091534A">
      <w:pPr>
        <w:rPr>
          <w:b/>
          <w:bCs/>
          <w:lang w:val="el-GR"/>
        </w:rPr>
      </w:pPr>
    </w:p>
    <w:p w:rsidR="0091534A" w:rsidRPr="00105CDB" w:rsidRDefault="0091534A" w:rsidP="00DD74A7">
      <w:pPr>
        <w:rPr>
          <w:lang w:val="el-GR"/>
        </w:rPr>
      </w:pPr>
    </w:p>
    <w:p w:rsidR="0091534A" w:rsidRPr="00105CDB" w:rsidRDefault="0091534A" w:rsidP="0049166C">
      <w:pPr>
        <w:ind w:left="567" w:hanging="567"/>
        <w:rPr>
          <w:lang w:val="el-GR"/>
        </w:rPr>
      </w:pPr>
      <w:r w:rsidRPr="00105CDB">
        <w:rPr>
          <w:b/>
          <w:lang w:val="el-GR"/>
        </w:rPr>
        <w:t>6.</w:t>
      </w:r>
      <w:r w:rsidRPr="00105CDB">
        <w:rPr>
          <w:b/>
          <w:lang w:val="el-GR"/>
        </w:rPr>
        <w:tab/>
        <w:t>ΦΑΡΜΑΚΕΥΤΙΚΕΣ ΠΛΗΡΟΦΟΡΙΕΣ</w:t>
      </w:r>
    </w:p>
    <w:p w:rsidR="0091534A" w:rsidRPr="00105CDB" w:rsidRDefault="0091534A" w:rsidP="0091534A">
      <w:pPr>
        <w:rPr>
          <w:lang w:val="el-GR"/>
        </w:rPr>
      </w:pPr>
    </w:p>
    <w:p w:rsidR="0091534A" w:rsidRPr="00105CDB" w:rsidRDefault="0091534A" w:rsidP="00262A1F">
      <w:pPr>
        <w:numPr>
          <w:ilvl w:val="1"/>
          <w:numId w:val="18"/>
        </w:numPr>
        <w:rPr>
          <w:b/>
          <w:lang w:val="el-GR"/>
        </w:rPr>
      </w:pPr>
      <w:r w:rsidRPr="00105CDB">
        <w:rPr>
          <w:b/>
          <w:lang w:val="el-GR"/>
        </w:rPr>
        <w:t>Κατάλογος εκδόχων</w:t>
      </w:r>
    </w:p>
    <w:p w:rsidR="00262A1F" w:rsidRPr="00105CDB" w:rsidRDefault="00262A1F" w:rsidP="00262A1F">
      <w:pPr>
        <w:rPr>
          <w:lang w:val="el-GR"/>
        </w:rPr>
      </w:pPr>
    </w:p>
    <w:tbl>
      <w:tblPr>
        <w:tblW w:w="0" w:type="auto"/>
        <w:tblLayout w:type="fixed"/>
        <w:tblLook w:val="0000"/>
      </w:tblPr>
      <w:tblGrid>
        <w:gridCol w:w="3936"/>
        <w:gridCol w:w="5351"/>
      </w:tblGrid>
      <w:tr w:rsidR="00262A1F" w:rsidRPr="00105CDB" w:rsidTr="008F0C9C">
        <w:tc>
          <w:tcPr>
            <w:tcW w:w="3936" w:type="dxa"/>
          </w:tcPr>
          <w:p w:rsidR="00262A1F" w:rsidRPr="00105CDB" w:rsidRDefault="00262A1F" w:rsidP="008F0C9C">
            <w:pPr>
              <w:widowControl w:val="0"/>
              <w:spacing w:line="240" w:lineRule="atLeast"/>
              <w:rPr>
                <w:u w:val="single"/>
              </w:rPr>
            </w:pPr>
            <w:r w:rsidRPr="00105CDB">
              <w:rPr>
                <w:u w:val="single"/>
                <w:lang w:val="el-GR"/>
              </w:rPr>
              <w:t>Πυρήνας δισκίου</w:t>
            </w:r>
          </w:p>
        </w:tc>
        <w:tc>
          <w:tcPr>
            <w:tcW w:w="5351" w:type="dxa"/>
          </w:tcPr>
          <w:p w:rsidR="00262A1F" w:rsidRPr="00105CDB" w:rsidRDefault="00262A1F" w:rsidP="008F0C9C">
            <w:pPr>
              <w:widowControl w:val="0"/>
              <w:spacing w:line="240" w:lineRule="atLeast"/>
              <w:rPr>
                <w:u w:val="single"/>
                <w:lang w:val="el-GR"/>
              </w:rPr>
            </w:pPr>
            <w:r w:rsidRPr="00105CDB">
              <w:rPr>
                <w:u w:val="single"/>
                <w:lang w:val="el-GR"/>
              </w:rPr>
              <w:t>Επικάλυψη υμενίου του δισκίου</w:t>
            </w:r>
          </w:p>
        </w:tc>
      </w:tr>
      <w:tr w:rsidR="00262A1F" w:rsidRPr="00A116C4" w:rsidTr="008F0C9C">
        <w:tc>
          <w:tcPr>
            <w:tcW w:w="3936" w:type="dxa"/>
          </w:tcPr>
          <w:p w:rsidR="00262A1F" w:rsidRPr="00105CDB" w:rsidRDefault="00262A1F" w:rsidP="008F0C9C">
            <w:pPr>
              <w:widowControl w:val="0"/>
              <w:spacing w:line="240" w:lineRule="atLeast"/>
              <w:rPr>
                <w:lang w:val="el-GR"/>
              </w:rPr>
            </w:pPr>
            <w:r w:rsidRPr="00105CDB">
              <w:rPr>
                <w:lang w:val="el-GR"/>
              </w:rPr>
              <w:t>Ποβιδόνη K30</w:t>
            </w:r>
          </w:p>
        </w:tc>
        <w:tc>
          <w:tcPr>
            <w:tcW w:w="5351" w:type="dxa"/>
          </w:tcPr>
          <w:p w:rsidR="00262A1F" w:rsidRPr="00105CDB" w:rsidRDefault="00262A1F" w:rsidP="008F0C9C">
            <w:pPr>
              <w:widowControl w:val="0"/>
              <w:spacing w:line="240" w:lineRule="atLeast"/>
              <w:rPr>
                <w:lang w:val="el-GR"/>
              </w:rPr>
            </w:pPr>
            <w:r w:rsidRPr="00105CDB">
              <w:rPr>
                <w:lang w:val="el-GR"/>
              </w:rPr>
              <w:t xml:space="preserve">Opadry Pink  </w:t>
            </w:r>
            <w:r w:rsidR="00CC7386" w:rsidRPr="00105CDB">
              <w:rPr>
                <w:lang w:val="el-GR"/>
              </w:rPr>
              <w:t>15</w:t>
            </w:r>
            <w:r w:rsidR="00CC7386" w:rsidRPr="00105CDB">
              <w:t>B</w:t>
            </w:r>
            <w:r w:rsidR="00CC7386" w:rsidRPr="00105CDB">
              <w:rPr>
                <w:lang w:val="el-GR"/>
              </w:rPr>
              <w:t xml:space="preserve">24005 </w:t>
            </w:r>
            <w:r w:rsidRPr="00105CDB">
              <w:rPr>
                <w:lang w:val="el-GR"/>
              </w:rPr>
              <w:t>που περιέχει:</w:t>
            </w:r>
          </w:p>
        </w:tc>
      </w:tr>
      <w:tr w:rsidR="00262A1F" w:rsidRPr="00105CDB" w:rsidTr="008F0C9C">
        <w:tc>
          <w:tcPr>
            <w:tcW w:w="3936" w:type="dxa"/>
          </w:tcPr>
          <w:p w:rsidR="00262A1F" w:rsidRPr="00105CDB" w:rsidRDefault="00262A1F" w:rsidP="008F0C9C">
            <w:pPr>
              <w:widowControl w:val="0"/>
              <w:spacing w:line="240" w:lineRule="atLeast"/>
            </w:pPr>
            <w:r w:rsidRPr="00105CDB">
              <w:rPr>
                <w:lang w:val="el-GR"/>
              </w:rPr>
              <w:t>Κροσποβιδόνη</w:t>
            </w:r>
          </w:p>
        </w:tc>
        <w:tc>
          <w:tcPr>
            <w:tcW w:w="5351" w:type="dxa"/>
          </w:tcPr>
          <w:p w:rsidR="00262A1F" w:rsidRPr="00105CDB" w:rsidRDefault="00262A1F" w:rsidP="008F0C9C">
            <w:pPr>
              <w:widowControl w:val="0"/>
              <w:spacing w:line="240" w:lineRule="atLeast"/>
              <w:rPr>
                <w:lang w:val="el-GR"/>
              </w:rPr>
            </w:pPr>
            <w:r w:rsidRPr="00105CDB">
              <w:rPr>
                <w:lang w:val="el-GR"/>
              </w:rPr>
              <w:t xml:space="preserve">Υπρομελλόζη </w:t>
            </w:r>
          </w:p>
        </w:tc>
      </w:tr>
      <w:tr w:rsidR="00262A1F" w:rsidRPr="00105CDB" w:rsidTr="008F0C9C">
        <w:tc>
          <w:tcPr>
            <w:tcW w:w="3936" w:type="dxa"/>
          </w:tcPr>
          <w:p w:rsidR="00262A1F" w:rsidRPr="00105CDB" w:rsidRDefault="00D84D21" w:rsidP="008F0C9C">
            <w:pPr>
              <w:widowControl w:val="0"/>
              <w:spacing w:line="240" w:lineRule="atLeast"/>
            </w:pPr>
            <w:r w:rsidRPr="00105CDB">
              <w:rPr>
                <w:lang w:val="el-GR"/>
              </w:rPr>
              <w:t>Κυτταρίνη μ</w:t>
            </w:r>
            <w:r w:rsidR="00262A1F" w:rsidRPr="00105CDB">
              <w:rPr>
                <w:lang w:val="el-GR"/>
              </w:rPr>
              <w:t xml:space="preserve">ικροκρυσταλλική </w:t>
            </w:r>
          </w:p>
        </w:tc>
        <w:tc>
          <w:tcPr>
            <w:tcW w:w="5351" w:type="dxa"/>
          </w:tcPr>
          <w:p w:rsidR="00262A1F" w:rsidRPr="00105CDB" w:rsidRDefault="00262A1F" w:rsidP="008F0C9C">
            <w:pPr>
              <w:widowControl w:val="0"/>
              <w:spacing w:line="240" w:lineRule="atLeast"/>
            </w:pPr>
            <w:r w:rsidRPr="00105CDB">
              <w:rPr>
                <w:lang w:val="el-GR"/>
              </w:rPr>
              <w:t>Τιτανίου διοξείδιο</w:t>
            </w:r>
            <w:r w:rsidRPr="00105CDB">
              <w:t xml:space="preserve"> (E171)</w:t>
            </w:r>
          </w:p>
        </w:tc>
      </w:tr>
      <w:tr w:rsidR="00262A1F" w:rsidRPr="00105CDB" w:rsidTr="008F0C9C">
        <w:tc>
          <w:tcPr>
            <w:tcW w:w="3936" w:type="dxa"/>
          </w:tcPr>
          <w:p w:rsidR="00262A1F" w:rsidRPr="00105CDB" w:rsidRDefault="00262A1F" w:rsidP="008F0C9C">
            <w:pPr>
              <w:pStyle w:val="a8"/>
              <w:widowControl w:val="0"/>
              <w:tabs>
                <w:tab w:val="clear" w:pos="567"/>
              </w:tabs>
              <w:spacing w:line="240" w:lineRule="atLeast"/>
            </w:pPr>
            <w:r w:rsidRPr="00105CDB">
              <w:rPr>
                <w:lang w:val="el-GR"/>
              </w:rPr>
              <w:t xml:space="preserve">Στεατικό οξύ </w:t>
            </w:r>
          </w:p>
        </w:tc>
        <w:tc>
          <w:tcPr>
            <w:tcW w:w="5351" w:type="dxa"/>
          </w:tcPr>
          <w:p w:rsidR="00262A1F" w:rsidRPr="00105CDB" w:rsidRDefault="00262A1F" w:rsidP="008F0C9C">
            <w:pPr>
              <w:widowControl w:val="0"/>
              <w:spacing w:line="240" w:lineRule="atLeast"/>
              <w:rPr>
                <w:lang w:val="el-GR"/>
              </w:rPr>
            </w:pPr>
            <w:r w:rsidRPr="00105CDB">
              <w:rPr>
                <w:lang w:val="el-GR"/>
              </w:rPr>
              <w:t>Πολυαιθυλενογλυκόλη 400</w:t>
            </w:r>
          </w:p>
        </w:tc>
      </w:tr>
      <w:tr w:rsidR="00262A1F" w:rsidRPr="00105CDB" w:rsidTr="008F0C9C">
        <w:tc>
          <w:tcPr>
            <w:tcW w:w="3936" w:type="dxa"/>
          </w:tcPr>
          <w:p w:rsidR="00262A1F" w:rsidRPr="00105CDB" w:rsidRDefault="00262A1F" w:rsidP="008F0C9C">
            <w:pPr>
              <w:pStyle w:val="a8"/>
              <w:widowControl w:val="0"/>
              <w:tabs>
                <w:tab w:val="clear" w:pos="567"/>
              </w:tabs>
              <w:spacing w:line="240" w:lineRule="atLeast"/>
            </w:pPr>
          </w:p>
        </w:tc>
        <w:tc>
          <w:tcPr>
            <w:tcW w:w="5351" w:type="dxa"/>
          </w:tcPr>
          <w:p w:rsidR="00262A1F" w:rsidRPr="00105CDB" w:rsidRDefault="00262A1F" w:rsidP="008F0C9C">
            <w:pPr>
              <w:pStyle w:val="a8"/>
              <w:widowControl w:val="0"/>
              <w:tabs>
                <w:tab w:val="clear" w:pos="567"/>
              </w:tabs>
              <w:spacing w:line="240" w:lineRule="atLeast"/>
            </w:pPr>
            <w:r w:rsidRPr="00105CDB">
              <w:rPr>
                <w:lang w:val="el-GR"/>
              </w:rPr>
              <w:t>Σιδήρου οξείδιο Ερυθρό</w:t>
            </w:r>
            <w:r w:rsidRPr="00105CDB">
              <w:t xml:space="preserve"> (E172)</w:t>
            </w:r>
          </w:p>
        </w:tc>
      </w:tr>
      <w:tr w:rsidR="00262A1F" w:rsidRPr="00105CDB" w:rsidTr="008F0C9C">
        <w:tc>
          <w:tcPr>
            <w:tcW w:w="3936" w:type="dxa"/>
          </w:tcPr>
          <w:p w:rsidR="00262A1F" w:rsidRPr="00105CDB" w:rsidRDefault="00262A1F" w:rsidP="008F0C9C">
            <w:pPr>
              <w:widowControl w:val="0"/>
              <w:spacing w:line="240" w:lineRule="atLeast"/>
            </w:pPr>
          </w:p>
        </w:tc>
        <w:tc>
          <w:tcPr>
            <w:tcW w:w="5351" w:type="dxa"/>
          </w:tcPr>
          <w:p w:rsidR="00262A1F" w:rsidRPr="00105CDB" w:rsidRDefault="00262A1F" w:rsidP="008F0C9C">
            <w:pPr>
              <w:widowControl w:val="0"/>
              <w:spacing w:line="240" w:lineRule="atLeast"/>
            </w:pPr>
            <w:r w:rsidRPr="00105CDB">
              <w:rPr>
                <w:lang w:val="el-GR"/>
              </w:rPr>
              <w:t>Πολυσορβικό 80</w:t>
            </w:r>
          </w:p>
        </w:tc>
      </w:tr>
    </w:tbl>
    <w:p w:rsidR="0091534A" w:rsidRPr="00105CDB" w:rsidRDefault="0091534A" w:rsidP="0091534A">
      <w:pPr>
        <w:rPr>
          <w:lang w:val="el-GR"/>
        </w:rPr>
      </w:pPr>
    </w:p>
    <w:p w:rsidR="00B40D97" w:rsidRPr="00105CDB" w:rsidRDefault="00B40D97" w:rsidP="00B40D97">
      <w:pPr>
        <w:rPr>
          <w:lang w:val="el-GR"/>
        </w:rPr>
      </w:pPr>
    </w:p>
    <w:p w:rsidR="00CC7386" w:rsidRPr="00105CDB" w:rsidRDefault="00CC7386" w:rsidP="00CC7386">
      <w:pPr>
        <w:widowControl w:val="0"/>
        <w:spacing w:line="240" w:lineRule="atLeast"/>
        <w:rPr>
          <w:lang w:val="el-GR"/>
        </w:rPr>
      </w:pPr>
      <w:r w:rsidRPr="00105CDB">
        <w:rPr>
          <w:b/>
          <w:lang w:val="el-GR"/>
        </w:rPr>
        <w:t>6.2</w:t>
      </w:r>
      <w:r w:rsidRPr="00105CDB">
        <w:rPr>
          <w:b/>
          <w:lang w:val="el-GR"/>
        </w:rPr>
        <w:tab/>
        <w:t>Ασυμβατότητες</w:t>
      </w:r>
    </w:p>
    <w:p w:rsidR="00CC7386" w:rsidRPr="00105CDB" w:rsidRDefault="00CC7386" w:rsidP="00CC7386">
      <w:pPr>
        <w:widowControl w:val="0"/>
        <w:spacing w:line="240" w:lineRule="atLeast"/>
        <w:rPr>
          <w:lang w:val="el-GR"/>
        </w:rPr>
      </w:pPr>
    </w:p>
    <w:p w:rsidR="00CC7386" w:rsidRPr="00105CDB" w:rsidRDefault="00CC7386" w:rsidP="00CC7386">
      <w:pPr>
        <w:widowControl w:val="0"/>
        <w:spacing w:line="240" w:lineRule="atLeast"/>
      </w:pPr>
      <w:proofErr w:type="spellStart"/>
      <w:proofErr w:type="gramStart"/>
      <w:r w:rsidRPr="00105CDB">
        <w:t>Δεν</w:t>
      </w:r>
      <w:proofErr w:type="spellEnd"/>
      <w:r w:rsidRPr="00105CDB">
        <w:t xml:space="preserve"> </w:t>
      </w:r>
      <w:r w:rsidRPr="00105CDB">
        <w:rPr>
          <w:lang w:val="el-GR"/>
        </w:rPr>
        <w:t>έχει εφαρμογή</w:t>
      </w:r>
      <w:r w:rsidRPr="00105CDB">
        <w:t>.</w:t>
      </w:r>
      <w:proofErr w:type="gramEnd"/>
      <w:r w:rsidRPr="00105CDB">
        <w:t xml:space="preserve"> </w:t>
      </w:r>
    </w:p>
    <w:p w:rsidR="00CC7386" w:rsidRPr="00105CDB" w:rsidRDefault="00CC7386" w:rsidP="00CC7386">
      <w:pPr>
        <w:widowControl w:val="0"/>
        <w:spacing w:line="240" w:lineRule="atLeast"/>
        <w:rPr>
          <w:b/>
          <w:lang w:val="el-GR"/>
        </w:rPr>
      </w:pPr>
    </w:p>
    <w:p w:rsidR="00CC7386" w:rsidRPr="00105CDB" w:rsidRDefault="00CC7386" w:rsidP="00CC7386">
      <w:pPr>
        <w:widowControl w:val="0"/>
        <w:spacing w:line="240" w:lineRule="atLeast"/>
        <w:rPr>
          <w:lang w:val="el-GR"/>
        </w:rPr>
      </w:pPr>
      <w:r w:rsidRPr="00105CDB">
        <w:rPr>
          <w:b/>
          <w:lang w:val="el-GR"/>
        </w:rPr>
        <w:t>6.3</w:t>
      </w:r>
      <w:r w:rsidRPr="00105CDB">
        <w:rPr>
          <w:b/>
          <w:lang w:val="el-GR"/>
        </w:rPr>
        <w:tab/>
        <w:t>Διάρκεια ζωής</w:t>
      </w:r>
    </w:p>
    <w:p w:rsidR="00CC7386" w:rsidRPr="00105CDB" w:rsidRDefault="00CC7386" w:rsidP="00CC7386">
      <w:pPr>
        <w:widowControl w:val="0"/>
        <w:spacing w:line="240" w:lineRule="atLeast"/>
        <w:ind w:left="1440"/>
        <w:rPr>
          <w:lang w:val="el-GR"/>
        </w:rPr>
      </w:pPr>
    </w:p>
    <w:p w:rsidR="00CC7386" w:rsidRPr="00105CDB" w:rsidRDefault="00CC7386" w:rsidP="00CC7386">
      <w:pPr>
        <w:widowControl w:val="0"/>
        <w:spacing w:line="240" w:lineRule="atLeast"/>
        <w:rPr>
          <w:lang w:val="el-GR"/>
        </w:rPr>
      </w:pPr>
      <w:r w:rsidRPr="00105CDB">
        <w:t xml:space="preserve">3 </w:t>
      </w:r>
      <w:r w:rsidRPr="00105CDB">
        <w:rPr>
          <w:lang w:val="el-GR"/>
        </w:rPr>
        <w:t>χρόνια</w:t>
      </w:r>
    </w:p>
    <w:p w:rsidR="00B40D97" w:rsidRPr="00105CDB" w:rsidRDefault="00B40D97" w:rsidP="00B40D97">
      <w:pPr>
        <w:rPr>
          <w:lang w:val="el-GR"/>
        </w:rPr>
      </w:pPr>
    </w:p>
    <w:p w:rsidR="0091534A" w:rsidRPr="00105CDB" w:rsidRDefault="0091534A" w:rsidP="0049166C">
      <w:pPr>
        <w:ind w:left="567" w:hanging="567"/>
        <w:rPr>
          <w:lang w:val="el-GR"/>
        </w:rPr>
      </w:pPr>
      <w:r w:rsidRPr="00105CDB">
        <w:rPr>
          <w:b/>
          <w:lang w:val="el-GR"/>
        </w:rPr>
        <w:t>6.4</w:t>
      </w:r>
      <w:r w:rsidRPr="00105CDB">
        <w:rPr>
          <w:b/>
          <w:lang w:val="el-GR"/>
        </w:rPr>
        <w:tab/>
        <w:t>Ιδιαίτερες προφυλάξεις κατά την φύλαξη του προϊόντος</w:t>
      </w:r>
    </w:p>
    <w:p w:rsidR="00CC7386" w:rsidRPr="00105CDB" w:rsidRDefault="00CC7386" w:rsidP="00CC7386">
      <w:pPr>
        <w:widowControl w:val="0"/>
        <w:spacing w:line="240" w:lineRule="atLeast"/>
        <w:rPr>
          <w:lang w:val="el-GR"/>
        </w:rPr>
      </w:pPr>
    </w:p>
    <w:p w:rsidR="00CC7386" w:rsidRPr="00105CDB" w:rsidRDefault="00CC7386" w:rsidP="00CC7386">
      <w:pPr>
        <w:widowControl w:val="0"/>
        <w:spacing w:line="240" w:lineRule="atLeast"/>
        <w:rPr>
          <w:lang w:val="el-GR"/>
        </w:rPr>
      </w:pPr>
      <w:r w:rsidRPr="00105CDB">
        <w:rPr>
          <w:lang w:val="el-GR"/>
        </w:rPr>
        <w:t xml:space="preserve">Δεν υπάρχουν ειδικές οδηγίες φύλαξης. </w:t>
      </w:r>
    </w:p>
    <w:p w:rsidR="00B40D97" w:rsidRPr="00105CDB" w:rsidRDefault="00B40D97" w:rsidP="00B40D97">
      <w:pPr>
        <w:rPr>
          <w:lang w:val="el-GR"/>
        </w:rPr>
      </w:pPr>
    </w:p>
    <w:p w:rsidR="0091534A" w:rsidRPr="00105CDB" w:rsidRDefault="0091534A" w:rsidP="0049166C">
      <w:pPr>
        <w:ind w:left="567" w:hanging="567"/>
        <w:rPr>
          <w:lang w:val="el-GR"/>
        </w:rPr>
      </w:pPr>
      <w:r w:rsidRPr="00105CDB">
        <w:rPr>
          <w:b/>
          <w:lang w:val="el-GR"/>
        </w:rPr>
        <w:t>6.5</w:t>
      </w:r>
      <w:r w:rsidRPr="00105CDB">
        <w:rPr>
          <w:b/>
          <w:lang w:val="el-GR"/>
        </w:rPr>
        <w:tab/>
        <w:t>Φύση και συστατικά του περιέκτη</w:t>
      </w:r>
    </w:p>
    <w:p w:rsidR="0091534A" w:rsidRPr="00105CDB" w:rsidRDefault="0091534A" w:rsidP="0091534A">
      <w:pPr>
        <w:rPr>
          <w:lang w:val="el-GR"/>
        </w:rPr>
      </w:pPr>
    </w:p>
    <w:p w:rsidR="00CC7386" w:rsidRPr="00105CDB" w:rsidRDefault="00CC7386" w:rsidP="00CC7386">
      <w:pPr>
        <w:widowControl w:val="0"/>
        <w:spacing w:line="240" w:lineRule="atLeast"/>
        <w:rPr>
          <w:lang w:val="el-GR"/>
        </w:rPr>
      </w:pPr>
      <w:r w:rsidRPr="00105CDB">
        <w:rPr>
          <w:lang w:val="el-GR"/>
        </w:rPr>
        <w:t>Φιάλη από πολυαιθυλένιο υψηλής πυκνότητας (</w:t>
      </w:r>
      <w:r w:rsidRPr="00105CDB">
        <w:t>HDPE</w:t>
      </w:r>
      <w:r w:rsidRPr="00105CDB">
        <w:rPr>
          <w:lang w:val="el-GR"/>
        </w:rPr>
        <w:t xml:space="preserve">), με πώμα ασφαλείας για παιδιά, από </w:t>
      </w:r>
      <w:r w:rsidRPr="00105CDB">
        <w:rPr>
          <w:lang w:val="el-GR"/>
        </w:rPr>
        <w:lastRenderedPageBreak/>
        <w:t>πολυπροπυλένιο και τολύπιο βάμβακος.</w:t>
      </w:r>
    </w:p>
    <w:p w:rsidR="00CC7386" w:rsidRPr="00105CDB" w:rsidRDefault="00CC7386" w:rsidP="00CC7386">
      <w:pPr>
        <w:widowControl w:val="0"/>
        <w:spacing w:line="240" w:lineRule="atLeast"/>
        <w:rPr>
          <w:lang w:val="el-GR"/>
        </w:rPr>
      </w:pPr>
    </w:p>
    <w:p w:rsidR="00CC7386" w:rsidRPr="00105CDB" w:rsidRDefault="00850C0B" w:rsidP="00CC7386">
      <w:pPr>
        <w:widowControl w:val="0"/>
        <w:spacing w:line="240" w:lineRule="atLeast"/>
        <w:rPr>
          <w:lang w:val="el-GR"/>
        </w:rPr>
      </w:pPr>
      <w:r w:rsidRPr="00105CDB">
        <w:rPr>
          <w:lang w:val="el-GR"/>
        </w:rPr>
        <w:t xml:space="preserve">Μέγεθος συσκευασίας: Μία φιάλη περιέχει </w:t>
      </w:r>
      <w:r w:rsidR="00CC7386" w:rsidRPr="00105CDB">
        <w:rPr>
          <w:lang w:val="el-GR"/>
        </w:rPr>
        <w:t>60 δισκία.</w:t>
      </w:r>
    </w:p>
    <w:p w:rsidR="00B40D97" w:rsidRPr="00105CDB" w:rsidRDefault="00B40D97" w:rsidP="00B40D97">
      <w:pPr>
        <w:rPr>
          <w:lang w:val="el-GR"/>
        </w:rPr>
      </w:pPr>
    </w:p>
    <w:p w:rsidR="0091534A" w:rsidRPr="00105CDB" w:rsidRDefault="0091534A" w:rsidP="0049166C">
      <w:pPr>
        <w:ind w:left="567" w:hanging="567"/>
        <w:rPr>
          <w:lang w:val="el-GR"/>
        </w:rPr>
      </w:pPr>
      <w:r w:rsidRPr="00105CDB">
        <w:rPr>
          <w:b/>
          <w:lang w:val="el-GR"/>
        </w:rPr>
        <w:t>6.6</w:t>
      </w:r>
      <w:r w:rsidRPr="00105CDB">
        <w:rPr>
          <w:b/>
          <w:lang w:val="el-GR"/>
        </w:rPr>
        <w:tab/>
        <w:t>Ιδιαίτερες προφυλάξεις απόρριψης</w:t>
      </w:r>
      <w:r w:rsidR="00A205B9" w:rsidRPr="00105CDB">
        <w:rPr>
          <w:b/>
          <w:noProof/>
          <w:lang w:val="el-GR"/>
        </w:rPr>
        <w:t xml:space="preserve"> </w:t>
      </w:r>
    </w:p>
    <w:p w:rsidR="0091534A" w:rsidRPr="00105CDB" w:rsidRDefault="0091534A" w:rsidP="0091534A">
      <w:pPr>
        <w:rPr>
          <w:lang w:val="el-GR"/>
        </w:rPr>
      </w:pPr>
    </w:p>
    <w:p w:rsidR="0012114E" w:rsidRPr="00105CDB" w:rsidRDefault="0012114E" w:rsidP="0012114E">
      <w:pPr>
        <w:widowControl w:val="0"/>
        <w:rPr>
          <w:lang w:val="el-GR" w:eastAsia="en-US"/>
        </w:rPr>
      </w:pPr>
      <w:r w:rsidRPr="00105CDB">
        <w:rPr>
          <w:lang w:val="el-GR" w:eastAsia="en-US"/>
        </w:rPr>
        <w:t xml:space="preserve">Κάθε </w:t>
      </w:r>
      <w:r w:rsidRPr="00105CDB">
        <w:rPr>
          <w:noProof/>
          <w:lang w:val="el-GR" w:eastAsia="en-US"/>
        </w:rPr>
        <w:t xml:space="preserve">αχρησιμοποίητο φαρμακευτικό </w:t>
      </w:r>
      <w:r w:rsidRPr="00105CDB">
        <w:rPr>
          <w:lang w:val="el-GR" w:eastAsia="en-US"/>
        </w:rPr>
        <w:t xml:space="preserve">προϊόν ή υπόλειμμα πρέπει να </w:t>
      </w:r>
      <w:r w:rsidRPr="00105CDB">
        <w:rPr>
          <w:noProof/>
          <w:lang w:val="el-GR" w:eastAsia="en-US"/>
        </w:rPr>
        <w:t xml:space="preserve">απορρίπτεται </w:t>
      </w:r>
      <w:r w:rsidRPr="00105CDB">
        <w:rPr>
          <w:lang w:val="el-GR" w:eastAsia="en-US"/>
        </w:rPr>
        <w:t>σύμφωνα με τις κατά τόπους ισχύουσες σχετικές διατάξεις.</w:t>
      </w:r>
    </w:p>
    <w:p w:rsidR="0091534A" w:rsidRPr="00105CDB" w:rsidRDefault="0091534A" w:rsidP="0091534A">
      <w:pPr>
        <w:rPr>
          <w:lang w:val="el-GR"/>
        </w:rPr>
      </w:pPr>
    </w:p>
    <w:p w:rsidR="0091534A" w:rsidRPr="00105CDB" w:rsidRDefault="0091534A" w:rsidP="0091534A">
      <w:pPr>
        <w:rPr>
          <w:lang w:val="el-GR"/>
        </w:rPr>
      </w:pPr>
    </w:p>
    <w:p w:rsidR="0091534A" w:rsidRPr="00105CDB" w:rsidRDefault="0091534A" w:rsidP="0049166C">
      <w:pPr>
        <w:ind w:left="567" w:hanging="567"/>
        <w:rPr>
          <w:lang w:val="el-GR"/>
        </w:rPr>
      </w:pPr>
      <w:r w:rsidRPr="00105CDB">
        <w:rPr>
          <w:b/>
          <w:lang w:val="el-GR"/>
        </w:rPr>
        <w:t>7.</w:t>
      </w:r>
      <w:r w:rsidRPr="00105CDB">
        <w:rPr>
          <w:b/>
          <w:lang w:val="el-GR"/>
        </w:rPr>
        <w:tab/>
        <w:t>ΚΑΤΟΧΟΣ ΤΗΣ ΑΔΕΙΑΣ ΚΥΚΛΟΦΟΡΙΑΣ</w:t>
      </w:r>
    </w:p>
    <w:p w:rsidR="008B0025" w:rsidRPr="00105CDB" w:rsidRDefault="008B0025" w:rsidP="008B0025">
      <w:pPr>
        <w:rPr>
          <w:b/>
          <w:bCs/>
          <w:lang w:val="el-GR"/>
        </w:rPr>
      </w:pPr>
    </w:p>
    <w:p w:rsidR="008B0025" w:rsidRPr="00105CDB" w:rsidRDefault="00AD529A" w:rsidP="008B0025">
      <w:pPr>
        <w:rPr>
          <w:b/>
          <w:bCs/>
          <w:lang w:val="el-GR"/>
        </w:rPr>
      </w:pPr>
      <w:r w:rsidRPr="00105CDB">
        <w:rPr>
          <w:b/>
          <w:bCs/>
          <w:lang w:val="el-GR"/>
        </w:rPr>
        <w:t>Υπεύθυνος</w:t>
      </w:r>
      <w:r w:rsidR="008B0025" w:rsidRPr="00105CDB">
        <w:rPr>
          <w:b/>
          <w:bCs/>
          <w:lang w:val="el-GR"/>
        </w:rPr>
        <w:t xml:space="preserve"> αδείας κυκλοφορίας στην Ελλάδα</w:t>
      </w:r>
    </w:p>
    <w:p w:rsidR="00CC7386" w:rsidRPr="00105CDB" w:rsidRDefault="00CC7386" w:rsidP="00CC7386">
      <w:pPr>
        <w:widowControl w:val="0"/>
        <w:spacing w:line="240" w:lineRule="atLeast"/>
      </w:pPr>
      <w:proofErr w:type="gramStart"/>
      <w:r w:rsidRPr="00105CDB">
        <w:rPr>
          <w:caps/>
        </w:rPr>
        <w:t>Roche (Hellas)</w:t>
      </w:r>
      <w:r w:rsidRPr="00105CDB">
        <w:t xml:space="preserve"> A.E.</w:t>
      </w:r>
      <w:proofErr w:type="gramEnd"/>
    </w:p>
    <w:p w:rsidR="00CC7386" w:rsidRPr="00105CDB" w:rsidRDefault="00CC7386" w:rsidP="00CC7386">
      <w:pPr>
        <w:widowControl w:val="0"/>
        <w:spacing w:line="240" w:lineRule="atLeast"/>
      </w:pPr>
      <w:r w:rsidRPr="00105CDB">
        <w:rPr>
          <w:lang w:val="el-GR"/>
        </w:rPr>
        <w:t>Αλαμάνας</w:t>
      </w:r>
      <w:r w:rsidRPr="00105CDB">
        <w:t xml:space="preserve"> 4 &amp; </w:t>
      </w:r>
      <w:r w:rsidRPr="00105CDB">
        <w:rPr>
          <w:lang w:val="el-GR"/>
        </w:rPr>
        <w:t>Δελφών</w:t>
      </w:r>
    </w:p>
    <w:p w:rsidR="00CC7386" w:rsidRPr="00105CDB" w:rsidRDefault="00CC7386" w:rsidP="00CC7386">
      <w:pPr>
        <w:widowControl w:val="0"/>
        <w:spacing w:line="240" w:lineRule="atLeast"/>
        <w:rPr>
          <w:lang w:val="el-GR"/>
        </w:rPr>
      </w:pPr>
      <w:r w:rsidRPr="00105CDB">
        <w:rPr>
          <w:lang w:val="el-GR"/>
        </w:rPr>
        <w:t>151 25 Μαρούσι, Αττική</w:t>
      </w:r>
    </w:p>
    <w:p w:rsidR="00CC7386" w:rsidRPr="00105CDB" w:rsidRDefault="00CC7386" w:rsidP="00CC7386">
      <w:pPr>
        <w:widowControl w:val="0"/>
        <w:spacing w:line="240" w:lineRule="atLeast"/>
        <w:rPr>
          <w:lang w:val="el-GR"/>
        </w:rPr>
      </w:pPr>
      <w:r w:rsidRPr="00105CDB">
        <w:rPr>
          <w:lang w:val="el-GR"/>
        </w:rPr>
        <w:t>ΤΗΛ: 210 6166100</w:t>
      </w:r>
    </w:p>
    <w:p w:rsidR="00CC7386" w:rsidRPr="00105CDB" w:rsidRDefault="00CC7386" w:rsidP="00CC7386">
      <w:pPr>
        <w:widowControl w:val="0"/>
        <w:spacing w:line="240" w:lineRule="atLeast"/>
        <w:rPr>
          <w:lang w:val="el-GR"/>
        </w:rPr>
      </w:pPr>
      <w:r w:rsidRPr="00105CDB">
        <w:rPr>
          <w:lang w:val="el-GR"/>
        </w:rPr>
        <w:t>FAX: 210 6104524</w:t>
      </w:r>
    </w:p>
    <w:p w:rsidR="008B0025" w:rsidRPr="00105CDB" w:rsidRDefault="008B0025" w:rsidP="008B0025">
      <w:pPr>
        <w:rPr>
          <w:b/>
          <w:bCs/>
          <w:lang w:val="el-GR"/>
        </w:rPr>
      </w:pPr>
    </w:p>
    <w:p w:rsidR="008B0025" w:rsidRPr="00105CDB" w:rsidRDefault="008B0025" w:rsidP="008B0025">
      <w:pPr>
        <w:rPr>
          <w:b/>
          <w:bCs/>
          <w:lang w:val="el-GR"/>
        </w:rPr>
      </w:pPr>
      <w:r w:rsidRPr="00105CDB">
        <w:rPr>
          <w:b/>
          <w:bCs/>
          <w:lang w:val="el-GR"/>
        </w:rPr>
        <w:t>Κάτοχος αδείας κυκλοφορίας στην Κύπρο</w:t>
      </w:r>
    </w:p>
    <w:p w:rsidR="008B0025" w:rsidRPr="00105CDB" w:rsidRDefault="008B0025" w:rsidP="008B0025">
      <w:pPr>
        <w:rPr>
          <w:lang w:val="el-GR"/>
        </w:rPr>
      </w:pPr>
      <w:r w:rsidRPr="00105CDB">
        <w:rPr>
          <w:lang w:val="el-GR"/>
        </w:rPr>
        <w:t>Γ. Α. Σταμάτης &amp; Σία Λτδ</w:t>
      </w:r>
    </w:p>
    <w:p w:rsidR="008B0025" w:rsidRPr="00105CDB" w:rsidRDefault="008B0025" w:rsidP="008B0025">
      <w:pPr>
        <w:rPr>
          <w:lang w:val="el-GR"/>
        </w:rPr>
      </w:pPr>
      <w:r w:rsidRPr="00105CDB">
        <w:rPr>
          <w:lang w:val="el-GR"/>
        </w:rPr>
        <w:t>27 Ανδρέα Αραούζου</w:t>
      </w:r>
    </w:p>
    <w:p w:rsidR="008B0025" w:rsidRPr="00105CDB" w:rsidRDefault="008B0025" w:rsidP="008B0025">
      <w:pPr>
        <w:rPr>
          <w:lang w:val="el-GR"/>
        </w:rPr>
      </w:pPr>
      <w:r w:rsidRPr="00105CDB">
        <w:rPr>
          <w:lang w:val="el-GR"/>
        </w:rPr>
        <w:t>1076 Λευκωσία, Κύπρος</w:t>
      </w:r>
    </w:p>
    <w:p w:rsidR="00B40D97" w:rsidRPr="00105CDB" w:rsidRDefault="008B0025" w:rsidP="008B0025">
      <w:pPr>
        <w:rPr>
          <w:lang w:val="el-GR"/>
        </w:rPr>
      </w:pPr>
      <w:r w:rsidRPr="00105CDB">
        <w:rPr>
          <w:lang w:val="el-GR"/>
        </w:rPr>
        <w:t>Τηλ.: 22766276</w:t>
      </w:r>
    </w:p>
    <w:p w:rsidR="00AD529A" w:rsidRPr="00105CDB" w:rsidRDefault="00AD529A" w:rsidP="008B0025">
      <w:pPr>
        <w:rPr>
          <w:noProof/>
          <w:lang w:val="el-GR"/>
        </w:rPr>
      </w:pPr>
      <w:r w:rsidRPr="00105CDB">
        <w:t>Fax</w:t>
      </w:r>
      <w:r w:rsidRPr="00105CDB">
        <w:rPr>
          <w:lang w:val="el-GR"/>
        </w:rPr>
        <w:t>:   22765935</w:t>
      </w:r>
    </w:p>
    <w:p w:rsidR="0091534A" w:rsidRPr="00105CDB" w:rsidRDefault="0091534A" w:rsidP="0091534A">
      <w:pPr>
        <w:rPr>
          <w:lang w:val="el-GR"/>
        </w:rPr>
      </w:pPr>
    </w:p>
    <w:p w:rsidR="0091534A" w:rsidRPr="00105CDB" w:rsidRDefault="0091534A" w:rsidP="0049166C">
      <w:pPr>
        <w:ind w:left="567" w:hanging="567"/>
        <w:rPr>
          <w:lang w:val="el-GR"/>
        </w:rPr>
      </w:pPr>
      <w:r w:rsidRPr="00105CDB">
        <w:rPr>
          <w:b/>
          <w:lang w:val="el-GR"/>
        </w:rPr>
        <w:t>8.</w:t>
      </w:r>
      <w:r w:rsidRPr="00105CDB">
        <w:rPr>
          <w:b/>
          <w:lang w:val="el-GR"/>
        </w:rPr>
        <w:tab/>
        <w:t>ΑΡΙΘΜΟΣ(ΟΙ) ΑΔΕΙΑΣ ΚΥΚΛΟΦΟΡΙΑΣ</w:t>
      </w:r>
    </w:p>
    <w:p w:rsidR="0091534A" w:rsidRPr="00105CDB" w:rsidRDefault="0091534A" w:rsidP="0091534A">
      <w:pPr>
        <w:rPr>
          <w:lang w:val="el-GR"/>
        </w:rPr>
      </w:pPr>
    </w:p>
    <w:p w:rsidR="007876F4" w:rsidRPr="00105CDB" w:rsidRDefault="00AD529A" w:rsidP="00CC7386">
      <w:pPr>
        <w:widowControl w:val="0"/>
        <w:spacing w:line="240" w:lineRule="atLeast"/>
        <w:rPr>
          <w:lang w:val="el-GR"/>
        </w:rPr>
      </w:pPr>
      <w:r w:rsidRPr="00105CDB">
        <w:rPr>
          <w:lang w:val="el-GR"/>
        </w:rPr>
        <w:t xml:space="preserve">Αριθμός αδείας κυκλοφορίας στην Ελλάδα:  </w:t>
      </w:r>
    </w:p>
    <w:p w:rsidR="00AD529A" w:rsidRPr="00105CDB" w:rsidRDefault="00AD529A" w:rsidP="00CC7386">
      <w:pPr>
        <w:widowControl w:val="0"/>
        <w:spacing w:line="240" w:lineRule="atLeast"/>
        <w:rPr>
          <w:lang w:val="el-GR"/>
        </w:rPr>
      </w:pPr>
      <w:r w:rsidRPr="00105CDB">
        <w:rPr>
          <w:lang w:val="el-GR"/>
        </w:rPr>
        <w:t xml:space="preserve">Αριθμός αδείας κυκλοφορίας στην Κύπρο:   20089 </w:t>
      </w:r>
    </w:p>
    <w:p w:rsidR="00B40D97" w:rsidRPr="00105CDB" w:rsidRDefault="00B40D97" w:rsidP="00B40D97">
      <w:pPr>
        <w:rPr>
          <w:lang w:val="el-GR"/>
        </w:rPr>
      </w:pPr>
    </w:p>
    <w:p w:rsidR="00CC7386" w:rsidRPr="00105CDB" w:rsidRDefault="00CC7386" w:rsidP="00CC7386">
      <w:pPr>
        <w:widowControl w:val="0"/>
        <w:spacing w:line="240" w:lineRule="atLeast"/>
        <w:rPr>
          <w:lang w:val="el-GR"/>
        </w:rPr>
      </w:pPr>
      <w:r w:rsidRPr="00105CDB">
        <w:rPr>
          <w:b/>
          <w:lang w:val="el-GR"/>
        </w:rPr>
        <w:t>9.</w:t>
      </w:r>
      <w:r w:rsidRPr="00105CDB">
        <w:rPr>
          <w:b/>
          <w:lang w:val="el-GR"/>
        </w:rPr>
        <w:tab/>
        <w:t>ΗΜΕΡΟΜΗΝΙΑ ΤΗΣ ΠΡΩΤΗΣ ΑΔΕΙΑΣ/ΑΝΑΝΕΩΣΗΣ ΤΗΣ ΑΔΕΙΑΣ ΚΥΚΛΟΦΟΡΙΑΣ</w:t>
      </w:r>
    </w:p>
    <w:p w:rsidR="00CC7386" w:rsidRPr="00105CDB" w:rsidRDefault="00CC7386" w:rsidP="00CC7386">
      <w:pPr>
        <w:widowControl w:val="0"/>
        <w:spacing w:line="240" w:lineRule="atLeast"/>
        <w:rPr>
          <w:lang w:val="el-GR"/>
        </w:rPr>
      </w:pPr>
    </w:p>
    <w:p w:rsidR="00CC7386" w:rsidRPr="00105CDB" w:rsidRDefault="00CC7386" w:rsidP="00CC7386">
      <w:pPr>
        <w:widowControl w:val="0"/>
        <w:spacing w:line="240" w:lineRule="atLeast"/>
        <w:rPr>
          <w:lang w:val="el-GR"/>
        </w:rPr>
      </w:pPr>
      <w:r w:rsidRPr="00105CDB">
        <w:rPr>
          <w:lang w:val="el-GR"/>
        </w:rPr>
        <w:t>Ημερομηνία πρώτης άδειας κυκλοφορίας:  21.06.2002</w:t>
      </w:r>
    </w:p>
    <w:p w:rsidR="00D17630" w:rsidRPr="00105CDB" w:rsidRDefault="00D17630" w:rsidP="00CC7386">
      <w:pPr>
        <w:widowControl w:val="0"/>
        <w:spacing w:line="240" w:lineRule="atLeast"/>
        <w:rPr>
          <w:lang w:val="el-GR"/>
        </w:rPr>
      </w:pPr>
      <w:r w:rsidRPr="00105CDB">
        <w:rPr>
          <w:lang w:val="el-GR"/>
        </w:rPr>
        <w:t>Ημερομηνία ανανέωσης της άδειας κυκλοφορίας:  05.07.2008</w:t>
      </w:r>
    </w:p>
    <w:p w:rsidR="00CC7386" w:rsidRPr="00105CDB" w:rsidRDefault="00CC7386" w:rsidP="00CC7386">
      <w:pPr>
        <w:widowControl w:val="0"/>
        <w:spacing w:line="240" w:lineRule="atLeast"/>
        <w:rPr>
          <w:lang w:val="el-GR"/>
        </w:rPr>
      </w:pPr>
    </w:p>
    <w:p w:rsidR="00CC7386" w:rsidRPr="00105CDB" w:rsidRDefault="00CC7386" w:rsidP="00CC7386">
      <w:pPr>
        <w:widowControl w:val="0"/>
        <w:spacing w:line="240" w:lineRule="atLeast"/>
        <w:rPr>
          <w:b/>
          <w:lang w:val="el-GR"/>
        </w:rPr>
      </w:pPr>
      <w:r w:rsidRPr="00105CDB">
        <w:rPr>
          <w:b/>
          <w:lang w:val="el-GR"/>
        </w:rPr>
        <w:t>10.     ΗΜΕΡΟΜΗΝΙΑ ΤΗΣ (ΜΕΡΙΚΗΣ) ΑΝΑΘΕΩΡΗΣΗΣ ΤΟΥ ΚΕΙΜΕΝΟΥ</w:t>
      </w:r>
    </w:p>
    <w:p w:rsidR="00CC7386" w:rsidRPr="00105CDB" w:rsidRDefault="00CC7386" w:rsidP="00CC7386">
      <w:pPr>
        <w:widowControl w:val="0"/>
        <w:spacing w:line="240" w:lineRule="atLeast"/>
        <w:rPr>
          <w:szCs w:val="22"/>
          <w:lang w:val="el-GR"/>
        </w:rPr>
      </w:pPr>
    </w:p>
    <w:p w:rsidR="0091534A" w:rsidRPr="00105CDB" w:rsidRDefault="0091534A" w:rsidP="00B40D97">
      <w:pPr>
        <w:rPr>
          <w:lang w:val="el-GR"/>
        </w:rPr>
      </w:pPr>
    </w:p>
    <w:p w:rsidR="00B13F85" w:rsidRPr="00105CDB" w:rsidRDefault="00B40D97" w:rsidP="0091534A">
      <w:pPr>
        <w:rPr>
          <w:noProof/>
          <w:lang w:val="el-GR"/>
        </w:rPr>
      </w:pPr>
      <w:r w:rsidRPr="00105CDB">
        <w:rPr>
          <w:noProof/>
          <w:lang w:val="el-GR"/>
        </w:rPr>
        <w:t xml:space="preserve">Λεπτομερή πληροφοριακά στοιχεία για το προϊόν είναι διαθέσιμα στην ιστοσελίδα </w:t>
      </w:r>
      <w:r w:rsidR="00486D31" w:rsidRPr="00105CDB">
        <w:rPr>
          <w:noProof/>
          <w:lang w:val="el-GR"/>
        </w:rPr>
        <w:t xml:space="preserve">Εθνικού Οργανισμού Φαρμάκων ΕΟΦ </w:t>
      </w:r>
      <w:hyperlink r:id="rId16" w:history="1">
        <w:r w:rsidR="00B13F85" w:rsidRPr="00105CDB">
          <w:rPr>
            <w:rStyle w:val="-"/>
            <w:noProof/>
            <w:color w:val="auto"/>
          </w:rPr>
          <w:t>http</w:t>
        </w:r>
        <w:r w:rsidR="00B13F85" w:rsidRPr="00105CDB">
          <w:rPr>
            <w:rStyle w:val="-"/>
            <w:noProof/>
            <w:color w:val="auto"/>
            <w:lang w:val="el-GR"/>
          </w:rPr>
          <w:t>://</w:t>
        </w:r>
        <w:r w:rsidR="00B13F85" w:rsidRPr="00105CDB">
          <w:rPr>
            <w:rStyle w:val="-"/>
            <w:noProof/>
            <w:color w:val="auto"/>
          </w:rPr>
          <w:t>www</w:t>
        </w:r>
        <w:r w:rsidR="00B13F85" w:rsidRPr="00105CDB">
          <w:rPr>
            <w:rStyle w:val="-"/>
            <w:noProof/>
            <w:color w:val="auto"/>
            <w:lang w:val="el-GR"/>
          </w:rPr>
          <w:t>.</w:t>
        </w:r>
        <w:r w:rsidR="00B13F85" w:rsidRPr="00105CDB">
          <w:rPr>
            <w:rStyle w:val="-"/>
            <w:noProof/>
            <w:color w:val="auto"/>
          </w:rPr>
          <w:t>eof</w:t>
        </w:r>
        <w:r w:rsidR="00B13F85" w:rsidRPr="00105CDB">
          <w:rPr>
            <w:rStyle w:val="-"/>
            <w:noProof/>
            <w:color w:val="auto"/>
            <w:lang w:val="el-GR"/>
          </w:rPr>
          <w:t>.</w:t>
        </w:r>
        <w:r w:rsidR="00B13F85" w:rsidRPr="00105CDB">
          <w:rPr>
            <w:rStyle w:val="-"/>
            <w:noProof/>
            <w:color w:val="auto"/>
          </w:rPr>
          <w:t>gr</w:t>
        </w:r>
      </w:hyperlink>
    </w:p>
    <w:p w:rsidR="00B40D97" w:rsidRPr="00105CDB" w:rsidRDefault="00B40D97" w:rsidP="0091534A">
      <w:pPr>
        <w:rPr>
          <w:lang w:val="el-GR"/>
        </w:rPr>
      </w:pPr>
    </w:p>
    <w:p w:rsidR="00B40D97" w:rsidRPr="00105CDB" w:rsidRDefault="00B40D97" w:rsidP="0091534A">
      <w:pPr>
        <w:rPr>
          <w:lang w:val="el-GR"/>
        </w:rPr>
      </w:pPr>
    </w:p>
    <w:p w:rsidR="0091534A" w:rsidRPr="00A116C4" w:rsidRDefault="0091534A" w:rsidP="0091534A"/>
    <w:sectPr w:rsidR="0091534A" w:rsidRPr="00A116C4" w:rsidSect="00432A69">
      <w:footerReference w:type="default" r:id="rId17"/>
      <w:footerReference w:type="first" r:id="rId18"/>
      <w:endnotePr>
        <w:numFmt w:val="decimal"/>
      </w:endnotePr>
      <w:pgSz w:w="11907" w:h="16840" w:code="9"/>
      <w:pgMar w:top="1134" w:right="1418" w:bottom="1134" w:left="1418" w:header="737"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C97" w:rsidRDefault="00C83C97">
      <w:r>
        <w:separator/>
      </w:r>
    </w:p>
  </w:endnote>
  <w:endnote w:type="continuationSeparator" w:id="0">
    <w:p w:rsidR="00C83C97" w:rsidRDefault="00C83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AC" w:rsidRDefault="001D7794">
    <w:pPr>
      <w:pStyle w:val="a6"/>
      <w:tabs>
        <w:tab w:val="center" w:pos="4536"/>
        <w:tab w:val="center" w:pos="8930"/>
      </w:tabs>
      <w:jc w:val="center"/>
      <w:rPr>
        <w:rFonts w:ascii="Helvetica" w:hAnsi="Helvetica"/>
        <w:lang w:val="fr-FR"/>
      </w:rPr>
    </w:pPr>
    <w:r>
      <w:rPr>
        <w:rFonts w:ascii="Helvetica" w:hAnsi="Helvetica"/>
        <w:lang w:val="fr-FR"/>
      </w:rPr>
      <w:fldChar w:fldCharType="begin"/>
    </w:r>
    <w:r w:rsidR="007257AC">
      <w:rPr>
        <w:rFonts w:ascii="Helvetica" w:hAnsi="Helvetica"/>
        <w:lang w:val="fr-FR"/>
      </w:rPr>
      <w:instrText xml:space="preserve">PAGE  </w:instrText>
    </w:r>
    <w:r>
      <w:rPr>
        <w:rFonts w:ascii="Helvetica" w:hAnsi="Helvetica"/>
        <w:lang w:val="fr-FR"/>
      </w:rPr>
      <w:fldChar w:fldCharType="separate"/>
    </w:r>
    <w:r w:rsidR="00A116C4">
      <w:rPr>
        <w:rFonts w:ascii="Helvetica" w:hAnsi="Helvetica"/>
        <w:noProof/>
        <w:lang w:val="fr-FR"/>
      </w:rPr>
      <w:t>21</w:t>
    </w:r>
    <w:r>
      <w:rPr>
        <w:rFonts w:ascii="Helvetica" w:hAnsi="Helvetica"/>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AC" w:rsidRDefault="001D7794">
    <w:pPr>
      <w:pStyle w:val="a6"/>
      <w:tabs>
        <w:tab w:val="center" w:pos="4536"/>
        <w:tab w:val="center" w:pos="8930"/>
      </w:tabs>
      <w:jc w:val="center"/>
      <w:rPr>
        <w:rFonts w:ascii="Helvetica" w:hAnsi="Helvetica"/>
        <w:lang w:val="fr-FR"/>
      </w:rPr>
    </w:pPr>
    <w:r>
      <w:rPr>
        <w:rFonts w:ascii="Helvetica" w:hAnsi="Helvetica"/>
        <w:lang w:val="fr-FR"/>
      </w:rPr>
      <w:fldChar w:fldCharType="begin"/>
    </w:r>
    <w:r w:rsidR="007257AC">
      <w:rPr>
        <w:rFonts w:ascii="Helvetica" w:hAnsi="Helvetica"/>
        <w:lang w:val="fr-FR"/>
      </w:rPr>
      <w:instrText xml:space="preserve">PAGE  </w:instrText>
    </w:r>
    <w:r>
      <w:rPr>
        <w:rFonts w:ascii="Helvetica" w:hAnsi="Helvetica"/>
        <w:lang w:val="fr-FR"/>
      </w:rPr>
      <w:fldChar w:fldCharType="separate"/>
    </w:r>
    <w:r w:rsidR="007257AC">
      <w:rPr>
        <w:rFonts w:ascii="Helvetica" w:hAnsi="Helvetica"/>
        <w:noProof/>
        <w:lang w:val="fr-FR"/>
      </w:rPr>
      <w:t>29</w:t>
    </w:r>
    <w:r>
      <w:rPr>
        <w:rFonts w:ascii="Helvetica" w:hAnsi="Helvetica"/>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C97" w:rsidRDefault="00C83C97">
      <w:r>
        <w:separator/>
      </w:r>
    </w:p>
  </w:footnote>
  <w:footnote w:type="continuationSeparator" w:id="0">
    <w:p w:rsidR="00C83C97" w:rsidRDefault="00C83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F2415B0"/>
    <w:lvl w:ilvl="0">
      <w:start w:val="1"/>
      <w:numFmt w:val="decimal"/>
      <w:lvlText w:val="%1."/>
      <w:lvlJc w:val="left"/>
      <w:pPr>
        <w:tabs>
          <w:tab w:val="num" w:pos="1209"/>
        </w:tabs>
        <w:ind w:left="1209" w:hanging="360"/>
      </w:pPr>
    </w:lvl>
  </w:abstractNum>
  <w:abstractNum w:abstractNumId="1">
    <w:nsid w:val="FFFFFFFE"/>
    <w:multiLevelType w:val="singleLevel"/>
    <w:tmpl w:val="FFFFFFFF"/>
    <w:lvl w:ilvl="0">
      <w:numFmt w:val="decimal"/>
      <w:lvlText w:val="*"/>
      <w:lvlJc w:val="left"/>
    </w:lvl>
  </w:abstractNum>
  <w:abstractNum w:abstractNumId="2">
    <w:nsid w:val="018900C0"/>
    <w:multiLevelType w:val="hybridMultilevel"/>
    <w:tmpl w:val="E2266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0F11C9"/>
    <w:multiLevelType w:val="multilevel"/>
    <w:tmpl w:val="07FEE4BE"/>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nsid w:val="0C997BAE"/>
    <w:multiLevelType w:val="hybridMultilevel"/>
    <w:tmpl w:val="3C1683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39608D1"/>
    <w:multiLevelType w:val="hybridMultilevel"/>
    <w:tmpl w:val="41FCE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B978CD"/>
    <w:multiLevelType w:val="singleLevel"/>
    <w:tmpl w:val="31304CA6"/>
    <w:lvl w:ilvl="0">
      <w:start w:val="1"/>
      <w:numFmt w:val="decimal"/>
      <w:lvlText w:val="%1."/>
      <w:legacy w:legacy="1" w:legacySpace="0" w:legacyIndent="360"/>
      <w:lvlJc w:val="left"/>
      <w:pPr>
        <w:ind w:left="360" w:hanging="360"/>
      </w:pPr>
    </w:lvl>
  </w:abstractNum>
  <w:abstractNum w:abstractNumId="8">
    <w:nsid w:val="18E827D0"/>
    <w:multiLevelType w:val="hybridMultilevel"/>
    <w:tmpl w:val="42867DEC"/>
    <w:lvl w:ilvl="0" w:tplc="0409000B">
      <w:start w:val="1"/>
      <w:numFmt w:val="bullet"/>
      <w:lvlText w:val=""/>
      <w:lvlJc w:val="left"/>
      <w:pPr>
        <w:tabs>
          <w:tab w:val="num" w:pos="2847"/>
        </w:tabs>
        <w:ind w:left="2847" w:hanging="360"/>
      </w:pPr>
      <w:rPr>
        <w:rFonts w:ascii="Wingdings" w:hAnsi="Wingdings"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9">
    <w:nsid w:val="1DB71C52"/>
    <w:multiLevelType w:val="hybridMultilevel"/>
    <w:tmpl w:val="3BF80C06"/>
    <w:lvl w:ilvl="0" w:tplc="04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EE24575"/>
    <w:multiLevelType w:val="singleLevel"/>
    <w:tmpl w:val="AA5ADB5A"/>
    <w:lvl w:ilvl="0">
      <w:start w:val="1"/>
      <w:numFmt w:val="decimal"/>
      <w:lvlText w:val="%1."/>
      <w:lvlJc w:val="left"/>
      <w:pPr>
        <w:tabs>
          <w:tab w:val="num" w:pos="570"/>
        </w:tabs>
        <w:ind w:left="570" w:hanging="570"/>
      </w:pPr>
      <w:rPr>
        <w:rFonts w:hint="default"/>
      </w:rPr>
    </w:lvl>
  </w:abstractNum>
  <w:abstractNum w:abstractNumId="13">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DB75F40"/>
    <w:multiLevelType w:val="hybridMultilevel"/>
    <w:tmpl w:val="33F6C1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E048B0"/>
    <w:multiLevelType w:val="multilevel"/>
    <w:tmpl w:val="9856908E"/>
    <w:lvl w:ilvl="0">
      <w:start w:val="1"/>
      <w:numFmt w:val="bullet"/>
      <w:lvlText w:val=""/>
      <w:lvlJc w:val="left"/>
      <w:pPr>
        <w:tabs>
          <w:tab w:val="num" w:pos="644"/>
        </w:tabs>
        <w:ind w:left="644" w:hanging="360"/>
      </w:pPr>
      <w:rPr>
        <w:rFonts w:ascii="Symbol" w:hAnsi="Symbol"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7">
    <w:nsid w:val="45E815C5"/>
    <w:multiLevelType w:val="hybridMultilevel"/>
    <w:tmpl w:val="9856908E"/>
    <w:lvl w:ilvl="0" w:tplc="04090001">
      <w:start w:val="1"/>
      <w:numFmt w:val="bullet"/>
      <w:lvlText w:val=""/>
      <w:lvlJc w:val="left"/>
      <w:pPr>
        <w:tabs>
          <w:tab w:val="num" w:pos="644"/>
        </w:tabs>
        <w:ind w:left="644" w:hanging="36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4A810019"/>
    <w:multiLevelType w:val="singleLevel"/>
    <w:tmpl w:val="FFFFFFFF"/>
    <w:lvl w:ilvl="0">
      <w:start w:val="1"/>
      <w:numFmt w:val="bullet"/>
      <w:lvlText w:val="-"/>
      <w:legacy w:legacy="1" w:legacySpace="0" w:legacyIndent="360"/>
      <w:lvlJc w:val="left"/>
      <w:pPr>
        <w:ind w:left="1800" w:hanging="360"/>
      </w:pPr>
    </w:lvl>
  </w:abstractNum>
  <w:abstractNum w:abstractNumId="19">
    <w:nsid w:val="4F955B1C"/>
    <w:multiLevelType w:val="multilevel"/>
    <w:tmpl w:val="F694265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FC51128"/>
    <w:multiLevelType w:val="hybridMultilevel"/>
    <w:tmpl w:val="59B2693E"/>
    <w:lvl w:ilvl="0" w:tplc="F2622C22">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546FA6"/>
    <w:multiLevelType w:val="hybridMultilevel"/>
    <w:tmpl w:val="B9A09DDE"/>
    <w:lvl w:ilvl="0" w:tplc="4290F07E">
      <w:numFmt w:val="bullet"/>
      <w:lvlText w:val="–"/>
      <w:lvlJc w:val="left"/>
      <w:pPr>
        <w:tabs>
          <w:tab w:val="num" w:pos="930"/>
        </w:tabs>
        <w:ind w:left="930" w:hanging="57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0C4365"/>
    <w:multiLevelType w:val="singleLevel"/>
    <w:tmpl w:val="FFFFFFFF"/>
    <w:lvl w:ilvl="0">
      <w:start w:val="1"/>
      <w:numFmt w:val="bullet"/>
      <w:lvlText w:val="-"/>
      <w:legacy w:legacy="1" w:legacySpace="0" w:legacyIndent="360"/>
      <w:lvlJc w:val="left"/>
      <w:pPr>
        <w:ind w:left="1800" w:hanging="360"/>
      </w:pPr>
    </w:lvl>
  </w:abstractNum>
  <w:abstractNum w:abstractNumId="23">
    <w:nsid w:val="5A26333A"/>
    <w:multiLevelType w:val="hybridMultilevel"/>
    <w:tmpl w:val="01686D60"/>
    <w:lvl w:ilvl="0" w:tplc="0408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5">
    <w:nsid w:val="5DB06175"/>
    <w:multiLevelType w:val="hybridMultilevel"/>
    <w:tmpl w:val="3B48C22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nsid w:val="5F0F10D1"/>
    <w:multiLevelType w:val="hybridMultilevel"/>
    <w:tmpl w:val="C2AE1F78"/>
    <w:lvl w:ilvl="0" w:tplc="7818B70C">
      <w:numFmt w:val="bullet"/>
      <w:lvlText w:val="-"/>
      <w:lvlJc w:val="left"/>
      <w:pPr>
        <w:tabs>
          <w:tab w:val="num" w:pos="644"/>
        </w:tabs>
        <w:ind w:left="644" w:hanging="360"/>
      </w:pPr>
      <w:rPr>
        <w:rFonts w:ascii="Times New Roman" w:eastAsia="Times New Roman" w:hAnsi="Times New Roman" w:cs="Times New Roman"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60AD1E77"/>
    <w:multiLevelType w:val="hybridMultilevel"/>
    <w:tmpl w:val="07FEE4BE"/>
    <w:lvl w:ilvl="0" w:tplc="7818B70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5386B0A"/>
    <w:multiLevelType w:val="hybridMultilevel"/>
    <w:tmpl w:val="6BE80E22"/>
    <w:lvl w:ilvl="0" w:tplc="04090001">
      <w:start w:val="1"/>
      <w:numFmt w:val="bullet"/>
      <w:lvlText w:val=""/>
      <w:lvlJc w:val="left"/>
      <w:pPr>
        <w:ind w:left="720" w:hanging="360"/>
      </w:pPr>
      <w:rPr>
        <w:rFonts w:ascii="Symbol" w:hAnsi="Symbol" w:hint="default"/>
      </w:rPr>
    </w:lvl>
    <w:lvl w:ilvl="1" w:tplc="62525062">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7746A"/>
    <w:multiLevelType w:val="hybridMultilevel"/>
    <w:tmpl w:val="C5C25BA2"/>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nsid w:val="6C233C76"/>
    <w:multiLevelType w:val="hybridMultilevel"/>
    <w:tmpl w:val="2DC448AA"/>
    <w:lvl w:ilvl="0" w:tplc="04080001">
      <w:start w:val="1"/>
      <w:numFmt w:val="bullet"/>
      <w:lvlText w:val=""/>
      <w:lvlJc w:val="left"/>
      <w:pPr>
        <w:tabs>
          <w:tab w:val="num" w:pos="1860"/>
        </w:tabs>
        <w:ind w:left="1860" w:hanging="360"/>
      </w:pPr>
      <w:rPr>
        <w:rFonts w:ascii="Symbol" w:hAnsi="Symbol" w:hint="default"/>
      </w:rPr>
    </w:lvl>
    <w:lvl w:ilvl="1" w:tplc="04080003" w:tentative="1">
      <w:start w:val="1"/>
      <w:numFmt w:val="bullet"/>
      <w:lvlText w:val="o"/>
      <w:lvlJc w:val="left"/>
      <w:pPr>
        <w:tabs>
          <w:tab w:val="num" w:pos="2580"/>
        </w:tabs>
        <w:ind w:left="2580" w:hanging="360"/>
      </w:pPr>
      <w:rPr>
        <w:rFonts w:ascii="Courier New" w:hAnsi="Courier New" w:cs="Courier New" w:hint="default"/>
      </w:rPr>
    </w:lvl>
    <w:lvl w:ilvl="2" w:tplc="04080005" w:tentative="1">
      <w:start w:val="1"/>
      <w:numFmt w:val="bullet"/>
      <w:lvlText w:val=""/>
      <w:lvlJc w:val="left"/>
      <w:pPr>
        <w:tabs>
          <w:tab w:val="num" w:pos="3300"/>
        </w:tabs>
        <w:ind w:left="3300" w:hanging="360"/>
      </w:pPr>
      <w:rPr>
        <w:rFonts w:ascii="Wingdings" w:hAnsi="Wingdings" w:hint="default"/>
      </w:rPr>
    </w:lvl>
    <w:lvl w:ilvl="3" w:tplc="04080001" w:tentative="1">
      <w:start w:val="1"/>
      <w:numFmt w:val="bullet"/>
      <w:lvlText w:val=""/>
      <w:lvlJc w:val="left"/>
      <w:pPr>
        <w:tabs>
          <w:tab w:val="num" w:pos="4020"/>
        </w:tabs>
        <w:ind w:left="4020" w:hanging="360"/>
      </w:pPr>
      <w:rPr>
        <w:rFonts w:ascii="Symbol" w:hAnsi="Symbol" w:hint="default"/>
      </w:rPr>
    </w:lvl>
    <w:lvl w:ilvl="4" w:tplc="04080003" w:tentative="1">
      <w:start w:val="1"/>
      <w:numFmt w:val="bullet"/>
      <w:lvlText w:val="o"/>
      <w:lvlJc w:val="left"/>
      <w:pPr>
        <w:tabs>
          <w:tab w:val="num" w:pos="4740"/>
        </w:tabs>
        <w:ind w:left="4740" w:hanging="360"/>
      </w:pPr>
      <w:rPr>
        <w:rFonts w:ascii="Courier New" w:hAnsi="Courier New" w:cs="Courier New" w:hint="default"/>
      </w:rPr>
    </w:lvl>
    <w:lvl w:ilvl="5" w:tplc="04080005" w:tentative="1">
      <w:start w:val="1"/>
      <w:numFmt w:val="bullet"/>
      <w:lvlText w:val=""/>
      <w:lvlJc w:val="left"/>
      <w:pPr>
        <w:tabs>
          <w:tab w:val="num" w:pos="5460"/>
        </w:tabs>
        <w:ind w:left="5460" w:hanging="360"/>
      </w:pPr>
      <w:rPr>
        <w:rFonts w:ascii="Wingdings" w:hAnsi="Wingdings" w:hint="default"/>
      </w:rPr>
    </w:lvl>
    <w:lvl w:ilvl="6" w:tplc="04080001" w:tentative="1">
      <w:start w:val="1"/>
      <w:numFmt w:val="bullet"/>
      <w:lvlText w:val=""/>
      <w:lvlJc w:val="left"/>
      <w:pPr>
        <w:tabs>
          <w:tab w:val="num" w:pos="6180"/>
        </w:tabs>
        <w:ind w:left="6180" w:hanging="360"/>
      </w:pPr>
      <w:rPr>
        <w:rFonts w:ascii="Symbol" w:hAnsi="Symbol" w:hint="default"/>
      </w:rPr>
    </w:lvl>
    <w:lvl w:ilvl="7" w:tplc="04080003" w:tentative="1">
      <w:start w:val="1"/>
      <w:numFmt w:val="bullet"/>
      <w:lvlText w:val="o"/>
      <w:lvlJc w:val="left"/>
      <w:pPr>
        <w:tabs>
          <w:tab w:val="num" w:pos="6900"/>
        </w:tabs>
        <w:ind w:left="6900" w:hanging="360"/>
      </w:pPr>
      <w:rPr>
        <w:rFonts w:ascii="Courier New" w:hAnsi="Courier New" w:cs="Courier New" w:hint="default"/>
      </w:rPr>
    </w:lvl>
    <w:lvl w:ilvl="8" w:tplc="04080005" w:tentative="1">
      <w:start w:val="1"/>
      <w:numFmt w:val="bullet"/>
      <w:lvlText w:val=""/>
      <w:lvlJc w:val="left"/>
      <w:pPr>
        <w:tabs>
          <w:tab w:val="num" w:pos="7620"/>
        </w:tabs>
        <w:ind w:left="7620" w:hanging="360"/>
      </w:pPr>
      <w:rPr>
        <w:rFonts w:ascii="Wingdings" w:hAnsi="Wingdings" w:hint="default"/>
      </w:rPr>
    </w:lvl>
  </w:abstractNum>
  <w:abstractNum w:abstractNumId="33">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nsid w:val="6DAD5897"/>
    <w:multiLevelType w:val="hybridMultilevel"/>
    <w:tmpl w:val="D1BE0C82"/>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6EC256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4"/>
  </w:num>
  <w:num w:numId="3">
    <w:abstractNumId w:val="1"/>
    <w:lvlOverride w:ilvl="0">
      <w:lvl w:ilvl="0">
        <w:start w:val="1"/>
        <w:numFmt w:val="bullet"/>
        <w:lvlText w:val="-"/>
        <w:legacy w:legacy="1" w:legacySpace="0" w:legacyIndent="360"/>
        <w:lvlJc w:val="left"/>
        <w:pPr>
          <w:ind w:left="360" w:hanging="360"/>
        </w:pPr>
      </w:lvl>
    </w:lvlOverride>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3"/>
  </w:num>
  <w:num w:numId="6">
    <w:abstractNumId w:val="31"/>
  </w:num>
  <w:num w:numId="7">
    <w:abstractNumId w:val="11"/>
  </w:num>
  <w:num w:numId="8">
    <w:abstractNumId w:val="22"/>
  </w:num>
  <w:num w:numId="9">
    <w:abstractNumId w:val="18"/>
  </w:num>
  <w:num w:numId="10">
    <w:abstractNumId w:val="10"/>
  </w:num>
  <w:num w:numId="11">
    <w:abstractNumId w:val="30"/>
  </w:num>
  <w:num w:numId="12">
    <w:abstractNumId w:val="3"/>
  </w:num>
  <w:num w:numId="13">
    <w:abstractNumId w:val="0"/>
  </w:num>
  <w:num w:numId="14">
    <w:abstractNumId w:val="12"/>
  </w:num>
  <w:num w:numId="15">
    <w:abstractNumId w:val="35"/>
  </w:num>
  <w:num w:numId="16">
    <w:abstractNumId w:val="13"/>
  </w:num>
  <w:num w:numId="17">
    <w:abstractNumId w:val="14"/>
  </w:num>
  <w:num w:numId="18">
    <w:abstractNumId w:val="19"/>
  </w:num>
  <w:num w:numId="19">
    <w:abstractNumId w:val="1"/>
    <w:lvlOverride w:ilvl="0">
      <w:lvl w:ilvl="0">
        <w:start w:val="1"/>
        <w:numFmt w:val="bullet"/>
        <w:lvlText w:val="-"/>
        <w:legacy w:legacy="1" w:legacySpace="0" w:legacyIndent="360"/>
        <w:lvlJc w:val="left"/>
        <w:pPr>
          <w:ind w:left="502" w:hanging="360"/>
        </w:pPr>
      </w:lvl>
    </w:lvlOverride>
  </w:num>
  <w:num w:numId="20">
    <w:abstractNumId w:val="32"/>
  </w:num>
  <w:num w:numId="21">
    <w:abstractNumId w:val="9"/>
  </w:num>
  <w:num w:numId="22">
    <w:abstractNumId w:val="23"/>
  </w:num>
  <w:num w:numId="23">
    <w:abstractNumId w:val="25"/>
  </w:num>
  <w:num w:numId="24">
    <w:abstractNumId w:val="17"/>
  </w:num>
  <w:num w:numId="25">
    <w:abstractNumId w:val="16"/>
  </w:num>
  <w:num w:numId="26">
    <w:abstractNumId w:val="26"/>
  </w:num>
  <w:num w:numId="27">
    <w:abstractNumId w:val="27"/>
  </w:num>
  <w:num w:numId="28">
    <w:abstractNumId w:val="4"/>
  </w:num>
  <w:num w:numId="29">
    <w:abstractNumId w:val="5"/>
  </w:num>
  <w:num w:numId="30">
    <w:abstractNumId w:val="21"/>
  </w:num>
  <w:num w:numId="31">
    <w:abstractNumId w:val="6"/>
  </w:num>
  <w:num w:numId="32">
    <w:abstractNumId w:val="15"/>
  </w:num>
  <w:num w:numId="33">
    <w:abstractNumId w:val="8"/>
  </w:num>
  <w:num w:numId="34">
    <w:abstractNumId w:val="28"/>
  </w:num>
  <w:num w:numId="35">
    <w:abstractNumId w:val="20"/>
  </w:num>
  <w:num w:numId="36">
    <w:abstractNumId w:val="34"/>
  </w:num>
  <w:num w:numId="37">
    <w:abstractNumId w:val="29"/>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pt-BR" w:vendorID="1" w:dllVersion="513" w:checkStyle="1"/>
  <w:proofState w:spelling="clean" w:grammar="clean"/>
  <w:stylePaneFormatFilter w:val="3F01"/>
  <w:defaultTabStop w:val="567"/>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6C140B"/>
    <w:rsid w:val="000026AE"/>
    <w:rsid w:val="00002733"/>
    <w:rsid w:val="00003E8D"/>
    <w:rsid w:val="00005C57"/>
    <w:rsid w:val="00006EC3"/>
    <w:rsid w:val="00007516"/>
    <w:rsid w:val="00011551"/>
    <w:rsid w:val="00011EBD"/>
    <w:rsid w:val="00015325"/>
    <w:rsid w:val="000244DF"/>
    <w:rsid w:val="000266C4"/>
    <w:rsid w:val="00044A32"/>
    <w:rsid w:val="000462B2"/>
    <w:rsid w:val="00053AFB"/>
    <w:rsid w:val="00063D59"/>
    <w:rsid w:val="00067727"/>
    <w:rsid w:val="00076B04"/>
    <w:rsid w:val="00080CD2"/>
    <w:rsid w:val="0008704B"/>
    <w:rsid w:val="00090995"/>
    <w:rsid w:val="000926AB"/>
    <w:rsid w:val="00094E3B"/>
    <w:rsid w:val="000A7E8A"/>
    <w:rsid w:val="000B6497"/>
    <w:rsid w:val="000D1670"/>
    <w:rsid w:val="000D58F4"/>
    <w:rsid w:val="000F041A"/>
    <w:rsid w:val="000F0DA4"/>
    <w:rsid w:val="000F19A3"/>
    <w:rsid w:val="000F2D39"/>
    <w:rsid w:val="000F5DC4"/>
    <w:rsid w:val="000F6368"/>
    <w:rsid w:val="001044B7"/>
    <w:rsid w:val="00105CDB"/>
    <w:rsid w:val="00105E68"/>
    <w:rsid w:val="00110623"/>
    <w:rsid w:val="00114160"/>
    <w:rsid w:val="00116337"/>
    <w:rsid w:val="0012114E"/>
    <w:rsid w:val="001236EB"/>
    <w:rsid w:val="00132429"/>
    <w:rsid w:val="00133622"/>
    <w:rsid w:val="00134905"/>
    <w:rsid w:val="00134AB1"/>
    <w:rsid w:val="00137071"/>
    <w:rsid w:val="00140C16"/>
    <w:rsid w:val="00144854"/>
    <w:rsid w:val="00150219"/>
    <w:rsid w:val="0016026F"/>
    <w:rsid w:val="001613D1"/>
    <w:rsid w:val="001629B7"/>
    <w:rsid w:val="00167170"/>
    <w:rsid w:val="00167C17"/>
    <w:rsid w:val="00170115"/>
    <w:rsid w:val="001732C1"/>
    <w:rsid w:val="00175F01"/>
    <w:rsid w:val="0018026C"/>
    <w:rsid w:val="0019269D"/>
    <w:rsid w:val="001927C0"/>
    <w:rsid w:val="001963A8"/>
    <w:rsid w:val="001A04AA"/>
    <w:rsid w:val="001A0CAE"/>
    <w:rsid w:val="001A423E"/>
    <w:rsid w:val="001B3C94"/>
    <w:rsid w:val="001B6B7B"/>
    <w:rsid w:val="001C0A86"/>
    <w:rsid w:val="001C1424"/>
    <w:rsid w:val="001C75D9"/>
    <w:rsid w:val="001C7CA6"/>
    <w:rsid w:val="001D634A"/>
    <w:rsid w:val="001D7794"/>
    <w:rsid w:val="001E11DE"/>
    <w:rsid w:val="001E2423"/>
    <w:rsid w:val="001E2519"/>
    <w:rsid w:val="001F0260"/>
    <w:rsid w:val="001F1399"/>
    <w:rsid w:val="001F169E"/>
    <w:rsid w:val="001F21CE"/>
    <w:rsid w:val="001F2B09"/>
    <w:rsid w:val="001F7658"/>
    <w:rsid w:val="00200C93"/>
    <w:rsid w:val="002021F4"/>
    <w:rsid w:val="00202200"/>
    <w:rsid w:val="002038FD"/>
    <w:rsid w:val="00203D05"/>
    <w:rsid w:val="00205820"/>
    <w:rsid w:val="00205A97"/>
    <w:rsid w:val="00205E03"/>
    <w:rsid w:val="002075C0"/>
    <w:rsid w:val="00210930"/>
    <w:rsid w:val="00216382"/>
    <w:rsid w:val="002206D8"/>
    <w:rsid w:val="00220991"/>
    <w:rsid w:val="002245BC"/>
    <w:rsid w:val="00224B44"/>
    <w:rsid w:val="002252D2"/>
    <w:rsid w:val="00226598"/>
    <w:rsid w:val="0023083A"/>
    <w:rsid w:val="002314A0"/>
    <w:rsid w:val="0023576A"/>
    <w:rsid w:val="00236BE9"/>
    <w:rsid w:val="00242D32"/>
    <w:rsid w:val="00244AEC"/>
    <w:rsid w:val="00247ED0"/>
    <w:rsid w:val="00250802"/>
    <w:rsid w:val="00250C43"/>
    <w:rsid w:val="0025195C"/>
    <w:rsid w:val="00256891"/>
    <w:rsid w:val="00256C15"/>
    <w:rsid w:val="002609E0"/>
    <w:rsid w:val="00260C8B"/>
    <w:rsid w:val="00262A1F"/>
    <w:rsid w:val="00263E8D"/>
    <w:rsid w:val="00264054"/>
    <w:rsid w:val="0026525D"/>
    <w:rsid w:val="00267CD9"/>
    <w:rsid w:val="00267F27"/>
    <w:rsid w:val="002700A3"/>
    <w:rsid w:val="00274F9D"/>
    <w:rsid w:val="0027571B"/>
    <w:rsid w:val="00275FFE"/>
    <w:rsid w:val="00283A81"/>
    <w:rsid w:val="00286AE7"/>
    <w:rsid w:val="00287085"/>
    <w:rsid w:val="00287B9F"/>
    <w:rsid w:val="0029345C"/>
    <w:rsid w:val="002939CA"/>
    <w:rsid w:val="00293EB9"/>
    <w:rsid w:val="00295A24"/>
    <w:rsid w:val="00297A01"/>
    <w:rsid w:val="002A5564"/>
    <w:rsid w:val="002A64A4"/>
    <w:rsid w:val="002B0958"/>
    <w:rsid w:val="002B11A4"/>
    <w:rsid w:val="002B2833"/>
    <w:rsid w:val="002B6C4D"/>
    <w:rsid w:val="002C022D"/>
    <w:rsid w:val="002C0FBD"/>
    <w:rsid w:val="002C4227"/>
    <w:rsid w:val="002C6A5F"/>
    <w:rsid w:val="002C73B1"/>
    <w:rsid w:val="002C7B80"/>
    <w:rsid w:val="002D0CDE"/>
    <w:rsid w:val="002D24E1"/>
    <w:rsid w:val="002D2ED9"/>
    <w:rsid w:val="002D36A8"/>
    <w:rsid w:val="002D37FC"/>
    <w:rsid w:val="002E0991"/>
    <w:rsid w:val="002E0E73"/>
    <w:rsid w:val="002E5870"/>
    <w:rsid w:val="002F2EC7"/>
    <w:rsid w:val="002F458D"/>
    <w:rsid w:val="00301832"/>
    <w:rsid w:val="00307ADD"/>
    <w:rsid w:val="00316411"/>
    <w:rsid w:val="003205A0"/>
    <w:rsid w:val="00320CE8"/>
    <w:rsid w:val="00322FA2"/>
    <w:rsid w:val="00324E8C"/>
    <w:rsid w:val="00331A78"/>
    <w:rsid w:val="00332EA6"/>
    <w:rsid w:val="00336218"/>
    <w:rsid w:val="003369B5"/>
    <w:rsid w:val="003402D0"/>
    <w:rsid w:val="00345E26"/>
    <w:rsid w:val="003471B1"/>
    <w:rsid w:val="00347C0C"/>
    <w:rsid w:val="003549F8"/>
    <w:rsid w:val="00355DAC"/>
    <w:rsid w:val="00361527"/>
    <w:rsid w:val="0036671C"/>
    <w:rsid w:val="00370BF6"/>
    <w:rsid w:val="00382617"/>
    <w:rsid w:val="0038545E"/>
    <w:rsid w:val="00385589"/>
    <w:rsid w:val="003878BE"/>
    <w:rsid w:val="00392752"/>
    <w:rsid w:val="003A1AEB"/>
    <w:rsid w:val="003A7128"/>
    <w:rsid w:val="003B1F68"/>
    <w:rsid w:val="003B249C"/>
    <w:rsid w:val="003B29CD"/>
    <w:rsid w:val="003B5D89"/>
    <w:rsid w:val="003B6CDD"/>
    <w:rsid w:val="003B7D30"/>
    <w:rsid w:val="003C221B"/>
    <w:rsid w:val="003D4F79"/>
    <w:rsid w:val="003D6AE2"/>
    <w:rsid w:val="003E46DB"/>
    <w:rsid w:val="003E644C"/>
    <w:rsid w:val="003F0FE2"/>
    <w:rsid w:val="003F6686"/>
    <w:rsid w:val="0040069D"/>
    <w:rsid w:val="00401D4C"/>
    <w:rsid w:val="00403333"/>
    <w:rsid w:val="00404C38"/>
    <w:rsid w:val="00414B77"/>
    <w:rsid w:val="004219B1"/>
    <w:rsid w:val="0042254F"/>
    <w:rsid w:val="00423EBD"/>
    <w:rsid w:val="0042706E"/>
    <w:rsid w:val="00432A69"/>
    <w:rsid w:val="00437C3C"/>
    <w:rsid w:val="00440D0E"/>
    <w:rsid w:val="0044163D"/>
    <w:rsid w:val="00451CBF"/>
    <w:rsid w:val="00453271"/>
    <w:rsid w:val="00456F07"/>
    <w:rsid w:val="004626E6"/>
    <w:rsid w:val="00465A46"/>
    <w:rsid w:val="00466452"/>
    <w:rsid w:val="00471538"/>
    <w:rsid w:val="004724B7"/>
    <w:rsid w:val="00472D80"/>
    <w:rsid w:val="004746CD"/>
    <w:rsid w:val="00474898"/>
    <w:rsid w:val="00475BF4"/>
    <w:rsid w:val="00483139"/>
    <w:rsid w:val="0048647E"/>
    <w:rsid w:val="00486D31"/>
    <w:rsid w:val="00487CF9"/>
    <w:rsid w:val="004912E8"/>
    <w:rsid w:val="0049166C"/>
    <w:rsid w:val="00495080"/>
    <w:rsid w:val="00496D66"/>
    <w:rsid w:val="004A49FD"/>
    <w:rsid w:val="004A6273"/>
    <w:rsid w:val="004B063B"/>
    <w:rsid w:val="004B5805"/>
    <w:rsid w:val="004C2A95"/>
    <w:rsid w:val="004D43F7"/>
    <w:rsid w:val="004D63BC"/>
    <w:rsid w:val="004E184C"/>
    <w:rsid w:val="004E1ABB"/>
    <w:rsid w:val="004E60DA"/>
    <w:rsid w:val="004E62F3"/>
    <w:rsid w:val="004F4191"/>
    <w:rsid w:val="004F42C2"/>
    <w:rsid w:val="004F481F"/>
    <w:rsid w:val="004F4974"/>
    <w:rsid w:val="0050163C"/>
    <w:rsid w:val="00510DD4"/>
    <w:rsid w:val="00521BA7"/>
    <w:rsid w:val="0052687A"/>
    <w:rsid w:val="00526EEB"/>
    <w:rsid w:val="00534400"/>
    <w:rsid w:val="00537028"/>
    <w:rsid w:val="0053797F"/>
    <w:rsid w:val="00540ED8"/>
    <w:rsid w:val="00546B39"/>
    <w:rsid w:val="005505F9"/>
    <w:rsid w:val="00550AA8"/>
    <w:rsid w:val="00551B23"/>
    <w:rsid w:val="00560308"/>
    <w:rsid w:val="00564384"/>
    <w:rsid w:val="00566DF1"/>
    <w:rsid w:val="00571C37"/>
    <w:rsid w:val="00574272"/>
    <w:rsid w:val="0058100C"/>
    <w:rsid w:val="0058259A"/>
    <w:rsid w:val="00583CD0"/>
    <w:rsid w:val="00590876"/>
    <w:rsid w:val="005A040F"/>
    <w:rsid w:val="005A077E"/>
    <w:rsid w:val="005A2828"/>
    <w:rsid w:val="005A2EDB"/>
    <w:rsid w:val="005A364E"/>
    <w:rsid w:val="005B07A3"/>
    <w:rsid w:val="005B0946"/>
    <w:rsid w:val="005B0F36"/>
    <w:rsid w:val="005B2AF8"/>
    <w:rsid w:val="005B2E58"/>
    <w:rsid w:val="005B75E1"/>
    <w:rsid w:val="005C32D3"/>
    <w:rsid w:val="005C4C4D"/>
    <w:rsid w:val="005D0023"/>
    <w:rsid w:val="005D038C"/>
    <w:rsid w:val="005D1913"/>
    <w:rsid w:val="005D2BAB"/>
    <w:rsid w:val="005D4EEC"/>
    <w:rsid w:val="005D5EF1"/>
    <w:rsid w:val="005D6943"/>
    <w:rsid w:val="005D6A30"/>
    <w:rsid w:val="005D7A77"/>
    <w:rsid w:val="005E0993"/>
    <w:rsid w:val="005E151E"/>
    <w:rsid w:val="005E46F8"/>
    <w:rsid w:val="005F3684"/>
    <w:rsid w:val="005F3D6F"/>
    <w:rsid w:val="006009F5"/>
    <w:rsid w:val="00604D6E"/>
    <w:rsid w:val="0061178F"/>
    <w:rsid w:val="00615216"/>
    <w:rsid w:val="00615E11"/>
    <w:rsid w:val="00622897"/>
    <w:rsid w:val="00637C0D"/>
    <w:rsid w:val="00641B23"/>
    <w:rsid w:val="006443F7"/>
    <w:rsid w:val="00650811"/>
    <w:rsid w:val="00650D6E"/>
    <w:rsid w:val="00661CAA"/>
    <w:rsid w:val="00666803"/>
    <w:rsid w:val="006668E6"/>
    <w:rsid w:val="006724CC"/>
    <w:rsid w:val="00673AE7"/>
    <w:rsid w:val="00675173"/>
    <w:rsid w:val="006760F4"/>
    <w:rsid w:val="00682977"/>
    <w:rsid w:val="0069226F"/>
    <w:rsid w:val="0069394C"/>
    <w:rsid w:val="006B417B"/>
    <w:rsid w:val="006B5F99"/>
    <w:rsid w:val="006B701A"/>
    <w:rsid w:val="006C140B"/>
    <w:rsid w:val="006D670C"/>
    <w:rsid w:val="006D727F"/>
    <w:rsid w:val="006E0946"/>
    <w:rsid w:val="006E66B5"/>
    <w:rsid w:val="006F6737"/>
    <w:rsid w:val="00704A7C"/>
    <w:rsid w:val="00704F27"/>
    <w:rsid w:val="00706299"/>
    <w:rsid w:val="00706FCF"/>
    <w:rsid w:val="00707873"/>
    <w:rsid w:val="00710A45"/>
    <w:rsid w:val="00714814"/>
    <w:rsid w:val="00717E98"/>
    <w:rsid w:val="00720BC2"/>
    <w:rsid w:val="00720D96"/>
    <w:rsid w:val="00722767"/>
    <w:rsid w:val="00724B0A"/>
    <w:rsid w:val="007257AC"/>
    <w:rsid w:val="00726877"/>
    <w:rsid w:val="00726897"/>
    <w:rsid w:val="00730FF6"/>
    <w:rsid w:val="00746586"/>
    <w:rsid w:val="00756868"/>
    <w:rsid w:val="007603F9"/>
    <w:rsid w:val="00762467"/>
    <w:rsid w:val="0076278F"/>
    <w:rsid w:val="00762ABD"/>
    <w:rsid w:val="00766ECF"/>
    <w:rsid w:val="007735A2"/>
    <w:rsid w:val="00775B62"/>
    <w:rsid w:val="00777F18"/>
    <w:rsid w:val="00777F8E"/>
    <w:rsid w:val="00781D18"/>
    <w:rsid w:val="007827AB"/>
    <w:rsid w:val="007865DF"/>
    <w:rsid w:val="007876F4"/>
    <w:rsid w:val="007901CC"/>
    <w:rsid w:val="00793293"/>
    <w:rsid w:val="00796273"/>
    <w:rsid w:val="007A311D"/>
    <w:rsid w:val="007A65FA"/>
    <w:rsid w:val="007A7437"/>
    <w:rsid w:val="007B418A"/>
    <w:rsid w:val="007B4B9B"/>
    <w:rsid w:val="007C1F61"/>
    <w:rsid w:val="007C3EB3"/>
    <w:rsid w:val="007C5056"/>
    <w:rsid w:val="007C5080"/>
    <w:rsid w:val="007C5350"/>
    <w:rsid w:val="007D011D"/>
    <w:rsid w:val="007D0CCC"/>
    <w:rsid w:val="007D59C2"/>
    <w:rsid w:val="007D5DC7"/>
    <w:rsid w:val="007D6935"/>
    <w:rsid w:val="007D7447"/>
    <w:rsid w:val="007E2967"/>
    <w:rsid w:val="007E42D7"/>
    <w:rsid w:val="007E6D13"/>
    <w:rsid w:val="007E6E66"/>
    <w:rsid w:val="007E7145"/>
    <w:rsid w:val="007E75F5"/>
    <w:rsid w:val="007F2AAC"/>
    <w:rsid w:val="007F3566"/>
    <w:rsid w:val="007F5680"/>
    <w:rsid w:val="007F6272"/>
    <w:rsid w:val="008001B2"/>
    <w:rsid w:val="00804AA1"/>
    <w:rsid w:val="00807993"/>
    <w:rsid w:val="00810FC0"/>
    <w:rsid w:val="00817FCB"/>
    <w:rsid w:val="008204C1"/>
    <w:rsid w:val="00820C88"/>
    <w:rsid w:val="008211AD"/>
    <w:rsid w:val="00821BED"/>
    <w:rsid w:val="00832CE8"/>
    <w:rsid w:val="00835EC4"/>
    <w:rsid w:val="00847EB6"/>
    <w:rsid w:val="008504F5"/>
    <w:rsid w:val="008509FB"/>
    <w:rsid w:val="00850C0B"/>
    <w:rsid w:val="008513F2"/>
    <w:rsid w:val="00852878"/>
    <w:rsid w:val="0085439A"/>
    <w:rsid w:val="0085538C"/>
    <w:rsid w:val="008607FD"/>
    <w:rsid w:val="00866C28"/>
    <w:rsid w:val="00866C4D"/>
    <w:rsid w:val="00867898"/>
    <w:rsid w:val="008709AE"/>
    <w:rsid w:val="00876EDA"/>
    <w:rsid w:val="008774B3"/>
    <w:rsid w:val="00880182"/>
    <w:rsid w:val="00884D55"/>
    <w:rsid w:val="00891E94"/>
    <w:rsid w:val="008A45E0"/>
    <w:rsid w:val="008A5522"/>
    <w:rsid w:val="008A7231"/>
    <w:rsid w:val="008B0025"/>
    <w:rsid w:val="008B5B14"/>
    <w:rsid w:val="008B607D"/>
    <w:rsid w:val="008B6EC7"/>
    <w:rsid w:val="008B7D54"/>
    <w:rsid w:val="008C29FB"/>
    <w:rsid w:val="008C2ACB"/>
    <w:rsid w:val="008C4DE0"/>
    <w:rsid w:val="008D0143"/>
    <w:rsid w:val="008D060F"/>
    <w:rsid w:val="008D532E"/>
    <w:rsid w:val="008D5386"/>
    <w:rsid w:val="008E797C"/>
    <w:rsid w:val="008F0C9C"/>
    <w:rsid w:val="008F5C11"/>
    <w:rsid w:val="008F5F72"/>
    <w:rsid w:val="00900F9B"/>
    <w:rsid w:val="00901675"/>
    <w:rsid w:val="00904600"/>
    <w:rsid w:val="009130F1"/>
    <w:rsid w:val="0091534A"/>
    <w:rsid w:val="00916F80"/>
    <w:rsid w:val="0092111D"/>
    <w:rsid w:val="00923B84"/>
    <w:rsid w:val="00925D66"/>
    <w:rsid w:val="009263D7"/>
    <w:rsid w:val="0093046D"/>
    <w:rsid w:val="0093188B"/>
    <w:rsid w:val="00932410"/>
    <w:rsid w:val="00933811"/>
    <w:rsid w:val="009357DA"/>
    <w:rsid w:val="00940C9A"/>
    <w:rsid w:val="00940E6A"/>
    <w:rsid w:val="00941639"/>
    <w:rsid w:val="0094273F"/>
    <w:rsid w:val="00945E8C"/>
    <w:rsid w:val="00946C2D"/>
    <w:rsid w:val="00951005"/>
    <w:rsid w:val="00951215"/>
    <w:rsid w:val="00955713"/>
    <w:rsid w:val="009627D2"/>
    <w:rsid w:val="00970B3C"/>
    <w:rsid w:val="0097166F"/>
    <w:rsid w:val="0097759B"/>
    <w:rsid w:val="009823A3"/>
    <w:rsid w:val="00982546"/>
    <w:rsid w:val="00995E9E"/>
    <w:rsid w:val="009A008E"/>
    <w:rsid w:val="009A1137"/>
    <w:rsid w:val="009A33DE"/>
    <w:rsid w:val="009A51DB"/>
    <w:rsid w:val="009A5359"/>
    <w:rsid w:val="009B1F92"/>
    <w:rsid w:val="009B25F2"/>
    <w:rsid w:val="009B4343"/>
    <w:rsid w:val="009B76E7"/>
    <w:rsid w:val="009C03AA"/>
    <w:rsid w:val="009C3DA3"/>
    <w:rsid w:val="009C4FD8"/>
    <w:rsid w:val="009D13A0"/>
    <w:rsid w:val="009D24A6"/>
    <w:rsid w:val="009D42A3"/>
    <w:rsid w:val="009D7521"/>
    <w:rsid w:val="009E38D7"/>
    <w:rsid w:val="009E5ACB"/>
    <w:rsid w:val="009F2E31"/>
    <w:rsid w:val="009F3E61"/>
    <w:rsid w:val="009F4F2C"/>
    <w:rsid w:val="00A06398"/>
    <w:rsid w:val="00A0655D"/>
    <w:rsid w:val="00A116C4"/>
    <w:rsid w:val="00A15A72"/>
    <w:rsid w:val="00A205B9"/>
    <w:rsid w:val="00A21BEA"/>
    <w:rsid w:val="00A225E8"/>
    <w:rsid w:val="00A22F20"/>
    <w:rsid w:val="00A25A6C"/>
    <w:rsid w:val="00A26C6D"/>
    <w:rsid w:val="00A26D48"/>
    <w:rsid w:val="00A3126F"/>
    <w:rsid w:val="00A324B2"/>
    <w:rsid w:val="00A333C7"/>
    <w:rsid w:val="00A349C2"/>
    <w:rsid w:val="00A37044"/>
    <w:rsid w:val="00A40E12"/>
    <w:rsid w:val="00A41C9C"/>
    <w:rsid w:val="00A456DD"/>
    <w:rsid w:val="00A4680C"/>
    <w:rsid w:val="00A543ED"/>
    <w:rsid w:val="00A67C10"/>
    <w:rsid w:val="00A72623"/>
    <w:rsid w:val="00A82125"/>
    <w:rsid w:val="00A85B6C"/>
    <w:rsid w:val="00A87A09"/>
    <w:rsid w:val="00A87AAC"/>
    <w:rsid w:val="00A91AE1"/>
    <w:rsid w:val="00A936FA"/>
    <w:rsid w:val="00A93BDF"/>
    <w:rsid w:val="00A94064"/>
    <w:rsid w:val="00A9537B"/>
    <w:rsid w:val="00A95533"/>
    <w:rsid w:val="00A97EBA"/>
    <w:rsid w:val="00AA5969"/>
    <w:rsid w:val="00AA6245"/>
    <w:rsid w:val="00AA7BEB"/>
    <w:rsid w:val="00AB6F2C"/>
    <w:rsid w:val="00AC213D"/>
    <w:rsid w:val="00AC6182"/>
    <w:rsid w:val="00AC6486"/>
    <w:rsid w:val="00AC6566"/>
    <w:rsid w:val="00AD1D17"/>
    <w:rsid w:val="00AD2BBC"/>
    <w:rsid w:val="00AD2E8A"/>
    <w:rsid w:val="00AD35F2"/>
    <w:rsid w:val="00AD4916"/>
    <w:rsid w:val="00AD529A"/>
    <w:rsid w:val="00AE478C"/>
    <w:rsid w:val="00AE7541"/>
    <w:rsid w:val="00AE7D22"/>
    <w:rsid w:val="00AF02A4"/>
    <w:rsid w:val="00AF3691"/>
    <w:rsid w:val="00AF4379"/>
    <w:rsid w:val="00AF4D81"/>
    <w:rsid w:val="00AF5AF6"/>
    <w:rsid w:val="00B02F41"/>
    <w:rsid w:val="00B030A0"/>
    <w:rsid w:val="00B07345"/>
    <w:rsid w:val="00B134A2"/>
    <w:rsid w:val="00B13F85"/>
    <w:rsid w:val="00B21241"/>
    <w:rsid w:val="00B27220"/>
    <w:rsid w:val="00B328A5"/>
    <w:rsid w:val="00B33264"/>
    <w:rsid w:val="00B40D97"/>
    <w:rsid w:val="00B40FFF"/>
    <w:rsid w:val="00B44663"/>
    <w:rsid w:val="00B452D6"/>
    <w:rsid w:val="00B4562A"/>
    <w:rsid w:val="00B464C9"/>
    <w:rsid w:val="00B501BA"/>
    <w:rsid w:val="00B50EEF"/>
    <w:rsid w:val="00B510B8"/>
    <w:rsid w:val="00B515CB"/>
    <w:rsid w:val="00B51EDC"/>
    <w:rsid w:val="00B539F7"/>
    <w:rsid w:val="00B550C4"/>
    <w:rsid w:val="00B5536C"/>
    <w:rsid w:val="00B61C24"/>
    <w:rsid w:val="00B626EC"/>
    <w:rsid w:val="00B64754"/>
    <w:rsid w:val="00B65426"/>
    <w:rsid w:val="00B716FC"/>
    <w:rsid w:val="00B75332"/>
    <w:rsid w:val="00B75E7B"/>
    <w:rsid w:val="00B81498"/>
    <w:rsid w:val="00B8192D"/>
    <w:rsid w:val="00B85B01"/>
    <w:rsid w:val="00B87742"/>
    <w:rsid w:val="00B93E0B"/>
    <w:rsid w:val="00B93FEE"/>
    <w:rsid w:val="00BA6064"/>
    <w:rsid w:val="00BA6432"/>
    <w:rsid w:val="00BB248F"/>
    <w:rsid w:val="00BB355D"/>
    <w:rsid w:val="00BB4E98"/>
    <w:rsid w:val="00BB4FF9"/>
    <w:rsid w:val="00BB7AC0"/>
    <w:rsid w:val="00BC16F7"/>
    <w:rsid w:val="00BC3FF4"/>
    <w:rsid w:val="00BC46F5"/>
    <w:rsid w:val="00BC4F11"/>
    <w:rsid w:val="00BE04FE"/>
    <w:rsid w:val="00BE119B"/>
    <w:rsid w:val="00C05FB3"/>
    <w:rsid w:val="00C07BCC"/>
    <w:rsid w:val="00C10399"/>
    <w:rsid w:val="00C11602"/>
    <w:rsid w:val="00C12659"/>
    <w:rsid w:val="00C15E9B"/>
    <w:rsid w:val="00C37893"/>
    <w:rsid w:val="00C415BB"/>
    <w:rsid w:val="00C43DB8"/>
    <w:rsid w:val="00C478F5"/>
    <w:rsid w:val="00C50E26"/>
    <w:rsid w:val="00C55B05"/>
    <w:rsid w:val="00C639BC"/>
    <w:rsid w:val="00C67347"/>
    <w:rsid w:val="00C70CC9"/>
    <w:rsid w:val="00C72602"/>
    <w:rsid w:val="00C83C97"/>
    <w:rsid w:val="00C966A3"/>
    <w:rsid w:val="00CB18F1"/>
    <w:rsid w:val="00CB6920"/>
    <w:rsid w:val="00CB7566"/>
    <w:rsid w:val="00CC1FBA"/>
    <w:rsid w:val="00CC37E3"/>
    <w:rsid w:val="00CC5400"/>
    <w:rsid w:val="00CC7386"/>
    <w:rsid w:val="00CC7E2F"/>
    <w:rsid w:val="00CD26E5"/>
    <w:rsid w:val="00CD554A"/>
    <w:rsid w:val="00CE1F23"/>
    <w:rsid w:val="00CE2836"/>
    <w:rsid w:val="00CE3839"/>
    <w:rsid w:val="00CE5730"/>
    <w:rsid w:val="00CE6F3A"/>
    <w:rsid w:val="00CE79A6"/>
    <w:rsid w:val="00CF48F3"/>
    <w:rsid w:val="00CF4B39"/>
    <w:rsid w:val="00D03789"/>
    <w:rsid w:val="00D059E5"/>
    <w:rsid w:val="00D138C6"/>
    <w:rsid w:val="00D15701"/>
    <w:rsid w:val="00D17630"/>
    <w:rsid w:val="00D17FA3"/>
    <w:rsid w:val="00D21C6F"/>
    <w:rsid w:val="00D250D7"/>
    <w:rsid w:val="00D30536"/>
    <w:rsid w:val="00D326A5"/>
    <w:rsid w:val="00D36491"/>
    <w:rsid w:val="00D45553"/>
    <w:rsid w:val="00D514AA"/>
    <w:rsid w:val="00D51533"/>
    <w:rsid w:val="00D51D20"/>
    <w:rsid w:val="00D53FC7"/>
    <w:rsid w:val="00D63424"/>
    <w:rsid w:val="00D7161A"/>
    <w:rsid w:val="00D72913"/>
    <w:rsid w:val="00D734CB"/>
    <w:rsid w:val="00D84D21"/>
    <w:rsid w:val="00D87D96"/>
    <w:rsid w:val="00D9011F"/>
    <w:rsid w:val="00D94012"/>
    <w:rsid w:val="00DA249D"/>
    <w:rsid w:val="00DA36B8"/>
    <w:rsid w:val="00DA3F80"/>
    <w:rsid w:val="00DB00E6"/>
    <w:rsid w:val="00DB56EB"/>
    <w:rsid w:val="00DC33D0"/>
    <w:rsid w:val="00DC4EB3"/>
    <w:rsid w:val="00DC7891"/>
    <w:rsid w:val="00DD2CC4"/>
    <w:rsid w:val="00DD3BFF"/>
    <w:rsid w:val="00DD4538"/>
    <w:rsid w:val="00DD74A7"/>
    <w:rsid w:val="00DD75A4"/>
    <w:rsid w:val="00DF233B"/>
    <w:rsid w:val="00DF5F3C"/>
    <w:rsid w:val="00E00504"/>
    <w:rsid w:val="00E016A8"/>
    <w:rsid w:val="00E03A92"/>
    <w:rsid w:val="00E13B28"/>
    <w:rsid w:val="00E15CFA"/>
    <w:rsid w:val="00E21DF6"/>
    <w:rsid w:val="00E2434B"/>
    <w:rsid w:val="00E25FCE"/>
    <w:rsid w:val="00E32932"/>
    <w:rsid w:val="00E3459B"/>
    <w:rsid w:val="00E35A6D"/>
    <w:rsid w:val="00E35BDB"/>
    <w:rsid w:val="00E37996"/>
    <w:rsid w:val="00E42DC7"/>
    <w:rsid w:val="00E466A9"/>
    <w:rsid w:val="00E51078"/>
    <w:rsid w:val="00E57A68"/>
    <w:rsid w:val="00E65740"/>
    <w:rsid w:val="00E66F7F"/>
    <w:rsid w:val="00E71F68"/>
    <w:rsid w:val="00E72B8A"/>
    <w:rsid w:val="00E72BC9"/>
    <w:rsid w:val="00E73062"/>
    <w:rsid w:val="00E75439"/>
    <w:rsid w:val="00E76159"/>
    <w:rsid w:val="00E761AE"/>
    <w:rsid w:val="00E76755"/>
    <w:rsid w:val="00E77305"/>
    <w:rsid w:val="00E77D6D"/>
    <w:rsid w:val="00E819D6"/>
    <w:rsid w:val="00E824A9"/>
    <w:rsid w:val="00E847C5"/>
    <w:rsid w:val="00E85A81"/>
    <w:rsid w:val="00E93836"/>
    <w:rsid w:val="00E95ADE"/>
    <w:rsid w:val="00E96C2F"/>
    <w:rsid w:val="00EA5A3F"/>
    <w:rsid w:val="00EB198F"/>
    <w:rsid w:val="00EB4829"/>
    <w:rsid w:val="00EC082B"/>
    <w:rsid w:val="00ED19E3"/>
    <w:rsid w:val="00ED2CC8"/>
    <w:rsid w:val="00ED55F4"/>
    <w:rsid w:val="00ED62DC"/>
    <w:rsid w:val="00EE045F"/>
    <w:rsid w:val="00EE382C"/>
    <w:rsid w:val="00EE3B0C"/>
    <w:rsid w:val="00EE3F8A"/>
    <w:rsid w:val="00EF0C48"/>
    <w:rsid w:val="00EF3BBC"/>
    <w:rsid w:val="00F01147"/>
    <w:rsid w:val="00F01CA2"/>
    <w:rsid w:val="00F04033"/>
    <w:rsid w:val="00F05E9C"/>
    <w:rsid w:val="00F06938"/>
    <w:rsid w:val="00F07E00"/>
    <w:rsid w:val="00F1122B"/>
    <w:rsid w:val="00F11E14"/>
    <w:rsid w:val="00F14051"/>
    <w:rsid w:val="00F15AEE"/>
    <w:rsid w:val="00F2357C"/>
    <w:rsid w:val="00F25432"/>
    <w:rsid w:val="00F3625E"/>
    <w:rsid w:val="00F36FA7"/>
    <w:rsid w:val="00F5087E"/>
    <w:rsid w:val="00F54696"/>
    <w:rsid w:val="00F56DF3"/>
    <w:rsid w:val="00F57B0A"/>
    <w:rsid w:val="00F6313B"/>
    <w:rsid w:val="00F6351D"/>
    <w:rsid w:val="00F652A9"/>
    <w:rsid w:val="00F659C0"/>
    <w:rsid w:val="00F670A9"/>
    <w:rsid w:val="00F67ACB"/>
    <w:rsid w:val="00F707F0"/>
    <w:rsid w:val="00F7319D"/>
    <w:rsid w:val="00F74AC5"/>
    <w:rsid w:val="00F74CDE"/>
    <w:rsid w:val="00F77B55"/>
    <w:rsid w:val="00F77F2B"/>
    <w:rsid w:val="00F8793E"/>
    <w:rsid w:val="00F92698"/>
    <w:rsid w:val="00F932A9"/>
    <w:rsid w:val="00F93E48"/>
    <w:rsid w:val="00F96592"/>
    <w:rsid w:val="00F97011"/>
    <w:rsid w:val="00FA0A11"/>
    <w:rsid w:val="00FA558E"/>
    <w:rsid w:val="00FA7257"/>
    <w:rsid w:val="00FB0505"/>
    <w:rsid w:val="00FB3194"/>
    <w:rsid w:val="00FB3C08"/>
    <w:rsid w:val="00FB57E2"/>
    <w:rsid w:val="00FC1091"/>
    <w:rsid w:val="00FC2B35"/>
    <w:rsid w:val="00FC2DEF"/>
    <w:rsid w:val="00FC7737"/>
    <w:rsid w:val="00FD5E56"/>
    <w:rsid w:val="00FE33AE"/>
    <w:rsid w:val="00FE47B8"/>
    <w:rsid w:val="00FE5367"/>
    <w:rsid w:val="00FE577A"/>
    <w:rsid w:val="00FF6263"/>
    <w:rsid w:val="00FF6E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220"/>
    <w:rPr>
      <w:sz w:val="22"/>
      <w:lang w:val="en-US" w:eastAsia="ja-JP"/>
    </w:rPr>
  </w:style>
  <w:style w:type="paragraph" w:styleId="1">
    <w:name w:val="heading 1"/>
    <w:basedOn w:val="a"/>
    <w:next w:val="a"/>
    <w:qFormat/>
    <w:rsid w:val="00866C4D"/>
    <w:pPr>
      <w:ind w:left="567" w:hanging="567"/>
      <w:outlineLvl w:val="0"/>
    </w:pPr>
    <w:rPr>
      <w:b/>
      <w:caps/>
      <w:kern w:val="28"/>
    </w:rPr>
  </w:style>
  <w:style w:type="paragraph" w:styleId="2">
    <w:name w:val="heading 2"/>
    <w:basedOn w:val="1"/>
    <w:next w:val="a"/>
    <w:qFormat/>
    <w:rsid w:val="00866C4D"/>
    <w:pPr>
      <w:outlineLvl w:val="1"/>
    </w:pPr>
    <w:rPr>
      <w:caps w:val="0"/>
    </w:rPr>
  </w:style>
  <w:style w:type="paragraph" w:styleId="3">
    <w:name w:val="heading 3"/>
    <w:basedOn w:val="a"/>
    <w:next w:val="a"/>
    <w:qFormat/>
    <w:rsid w:val="00262A1F"/>
    <w:pPr>
      <w:keepNext/>
      <w:spacing w:before="240" w:after="60"/>
      <w:outlineLvl w:val="2"/>
    </w:pPr>
    <w:rPr>
      <w:rFonts w:ascii="Arial" w:hAnsi="Arial" w:cs="Arial"/>
      <w:b/>
      <w:bCs/>
      <w:sz w:val="26"/>
      <w:szCs w:val="26"/>
    </w:rPr>
  </w:style>
  <w:style w:type="paragraph" w:styleId="4">
    <w:name w:val="heading 4"/>
    <w:basedOn w:val="a"/>
    <w:next w:val="a"/>
    <w:qFormat/>
    <w:rsid w:val="00262A1F"/>
    <w:pPr>
      <w:keepNext/>
      <w:spacing w:before="240" w:after="60"/>
      <w:outlineLvl w:val="3"/>
    </w:pPr>
    <w:rPr>
      <w:b/>
      <w:bCs/>
      <w:sz w:val="28"/>
      <w:szCs w:val="28"/>
    </w:rPr>
  </w:style>
  <w:style w:type="paragraph" w:styleId="5">
    <w:name w:val="heading 5"/>
    <w:basedOn w:val="a"/>
    <w:next w:val="a"/>
    <w:qFormat/>
    <w:rsid w:val="005E46F8"/>
    <w:pPr>
      <w:spacing w:before="240" w:after="60"/>
      <w:outlineLvl w:val="4"/>
    </w:pPr>
    <w:rPr>
      <w:b/>
      <w:bCs/>
      <w:i/>
      <w:iCs/>
      <w:sz w:val="26"/>
      <w:szCs w:val="26"/>
    </w:rPr>
  </w:style>
  <w:style w:type="paragraph" w:styleId="6">
    <w:name w:val="heading 6"/>
    <w:basedOn w:val="a"/>
    <w:next w:val="a"/>
    <w:qFormat/>
    <w:rsid w:val="001D7794"/>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1D7794"/>
    <w:pPr>
      <w:keepNext/>
      <w:tabs>
        <w:tab w:val="left" w:pos="-720"/>
        <w:tab w:val="left" w:pos="567"/>
        <w:tab w:val="left" w:pos="4536"/>
      </w:tabs>
      <w:suppressAutoHyphens/>
      <w:spacing w:line="-260" w:lineRule="auto"/>
      <w:jc w:val="both"/>
      <w:outlineLvl w:val="6"/>
    </w:pPr>
    <w:rPr>
      <w:i/>
      <w:lang w:val="en-GB"/>
    </w:rPr>
  </w:style>
  <w:style w:type="paragraph" w:styleId="8">
    <w:name w:val="heading 8"/>
    <w:basedOn w:val="a"/>
    <w:next w:val="a"/>
    <w:qFormat/>
    <w:rsid w:val="007B418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7794"/>
    <w:rPr>
      <w:i/>
      <w:lang w:val="el-GR"/>
    </w:rPr>
  </w:style>
  <w:style w:type="paragraph" w:styleId="20">
    <w:name w:val="Body Text 2"/>
    <w:basedOn w:val="a"/>
    <w:rsid w:val="001D7794"/>
    <w:pPr>
      <w:ind w:left="720" w:hanging="720"/>
    </w:pPr>
    <w:rPr>
      <w:lang w:val="el-GR"/>
    </w:rPr>
  </w:style>
  <w:style w:type="paragraph" w:styleId="21">
    <w:name w:val="Body Text Indent 2"/>
    <w:basedOn w:val="a"/>
    <w:rsid w:val="001D7794"/>
    <w:pPr>
      <w:ind w:left="567" w:hanging="567"/>
    </w:pPr>
    <w:rPr>
      <w:lang w:val="el-GR"/>
    </w:rPr>
  </w:style>
  <w:style w:type="paragraph" w:styleId="a4">
    <w:name w:val="Block Text"/>
    <w:basedOn w:val="a"/>
    <w:rsid w:val="001D7794"/>
    <w:pPr>
      <w:ind w:left="1985" w:right="1405" w:hanging="567"/>
    </w:pPr>
    <w:rPr>
      <w:b/>
      <w:lang w:val="el-GR"/>
    </w:rPr>
  </w:style>
  <w:style w:type="paragraph" w:styleId="a5">
    <w:name w:val="header"/>
    <w:basedOn w:val="a"/>
    <w:rsid w:val="00866C4D"/>
    <w:pPr>
      <w:tabs>
        <w:tab w:val="center" w:pos="4536"/>
        <w:tab w:val="right" w:pos="9072"/>
      </w:tabs>
    </w:pPr>
  </w:style>
  <w:style w:type="paragraph" w:styleId="a6">
    <w:name w:val="footer"/>
    <w:basedOn w:val="a"/>
    <w:rsid w:val="00866C4D"/>
    <w:rPr>
      <w:rFonts w:ascii="Arial" w:hAnsi="Arial"/>
      <w:sz w:val="16"/>
    </w:rPr>
  </w:style>
  <w:style w:type="paragraph" w:styleId="30">
    <w:name w:val="Body Text 3"/>
    <w:basedOn w:val="a"/>
    <w:rsid w:val="001D7794"/>
    <w:rPr>
      <w:u w:val="single"/>
      <w:lang w:val="el-GR"/>
    </w:rPr>
  </w:style>
  <w:style w:type="paragraph" w:styleId="31">
    <w:name w:val="Body Text Indent 3"/>
    <w:basedOn w:val="a"/>
    <w:rsid w:val="001D7794"/>
    <w:pPr>
      <w:ind w:left="567" w:hanging="567"/>
    </w:pPr>
    <w:rPr>
      <w:b/>
      <w:lang w:val="el-GR"/>
    </w:rPr>
  </w:style>
  <w:style w:type="character" w:styleId="a7">
    <w:name w:val="page number"/>
    <w:rsid w:val="00866C4D"/>
    <w:rPr>
      <w:rFonts w:ascii="Arial" w:hAnsi="Arial"/>
      <w:sz w:val="16"/>
    </w:rPr>
  </w:style>
  <w:style w:type="paragraph" w:styleId="a8">
    <w:name w:val="endnote text"/>
    <w:basedOn w:val="a"/>
    <w:semiHidden/>
    <w:rsid w:val="001D7794"/>
    <w:pPr>
      <w:tabs>
        <w:tab w:val="left" w:pos="567"/>
      </w:tabs>
    </w:pPr>
    <w:rPr>
      <w:lang w:val="en-GB"/>
    </w:rPr>
  </w:style>
  <w:style w:type="character" w:customStyle="1" w:styleId="tw4winMark">
    <w:name w:val="tw4winMark"/>
    <w:uiPriority w:val="99"/>
    <w:rsid w:val="001D7794"/>
    <w:rPr>
      <w:rFonts w:ascii="Courier New" w:hAnsi="Courier New"/>
      <w:vanish/>
      <w:color w:val="800080"/>
      <w:vertAlign w:val="subscript"/>
    </w:rPr>
  </w:style>
  <w:style w:type="character" w:styleId="a9">
    <w:name w:val="annotation reference"/>
    <w:semiHidden/>
    <w:rsid w:val="001D7794"/>
    <w:rPr>
      <w:sz w:val="16"/>
    </w:rPr>
  </w:style>
  <w:style w:type="paragraph" w:styleId="aa">
    <w:name w:val="annotation text"/>
    <w:basedOn w:val="a"/>
    <w:semiHidden/>
    <w:rsid w:val="001D7794"/>
    <w:rPr>
      <w:sz w:val="20"/>
    </w:rPr>
  </w:style>
  <w:style w:type="paragraph" w:styleId="ab">
    <w:name w:val="Body Text Indent"/>
    <w:basedOn w:val="a"/>
    <w:rsid w:val="001D7794"/>
    <w:pPr>
      <w:shd w:val="pct25" w:color="000000" w:fill="FFFFFF"/>
      <w:ind w:left="567" w:hanging="567"/>
    </w:pPr>
    <w:rPr>
      <w:b/>
      <w:lang w:val="el-GR"/>
    </w:rPr>
  </w:style>
  <w:style w:type="character" w:customStyle="1" w:styleId="LabelInstructions">
    <w:name w:val="Label Instructions"/>
    <w:rsid w:val="001D7794"/>
    <w:rPr>
      <w:i/>
      <w:color w:val="0000FF"/>
    </w:rPr>
  </w:style>
  <w:style w:type="paragraph" w:customStyle="1" w:styleId="Annex">
    <w:name w:val="Annex"/>
    <w:basedOn w:val="a"/>
    <w:next w:val="a"/>
    <w:rsid w:val="00866C4D"/>
    <w:pPr>
      <w:jc w:val="center"/>
    </w:pPr>
    <w:rPr>
      <w:b/>
    </w:rPr>
  </w:style>
  <w:style w:type="paragraph" w:customStyle="1" w:styleId="Description">
    <w:name w:val="Description"/>
    <w:basedOn w:val="a"/>
    <w:next w:val="a"/>
    <w:rsid w:val="00866C4D"/>
  </w:style>
  <w:style w:type="paragraph" w:customStyle="1" w:styleId="HangingIndent">
    <w:name w:val="HangingIndent"/>
    <w:basedOn w:val="a"/>
    <w:rsid w:val="00866C4D"/>
    <w:pPr>
      <w:ind w:left="567" w:hanging="567"/>
    </w:pPr>
  </w:style>
  <w:style w:type="paragraph" w:styleId="ac">
    <w:name w:val="Balloon Text"/>
    <w:basedOn w:val="a"/>
    <w:semiHidden/>
    <w:rsid w:val="006D727F"/>
    <w:rPr>
      <w:rFonts w:ascii="Tahoma" w:hAnsi="Tahoma" w:cs="Tahoma"/>
      <w:sz w:val="16"/>
      <w:szCs w:val="16"/>
    </w:rPr>
  </w:style>
  <w:style w:type="character" w:styleId="-">
    <w:name w:val="Hyperlink"/>
    <w:rsid w:val="0091534A"/>
    <w:rPr>
      <w:color w:val="0000FF"/>
      <w:u w:val="single"/>
    </w:rPr>
  </w:style>
  <w:style w:type="table" w:styleId="ad">
    <w:name w:val="Table Grid"/>
    <w:basedOn w:val="a1"/>
    <w:rsid w:val="00E77D6D"/>
    <w:pPr>
      <w:tabs>
        <w:tab w:val="left" w:pos="567"/>
      </w:tabs>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Ti10">
    <w:name w:val="Text:Ti10"/>
    <w:basedOn w:val="a"/>
    <w:link w:val="TextTi10Char"/>
    <w:rsid w:val="00B716FC"/>
    <w:rPr>
      <w:sz w:val="20"/>
    </w:rPr>
  </w:style>
  <w:style w:type="character" w:customStyle="1" w:styleId="TextTi10Char">
    <w:name w:val="Text:Ti10 Char"/>
    <w:link w:val="TextTi10"/>
    <w:rsid w:val="00B716FC"/>
    <w:rPr>
      <w:lang w:val="en-US" w:eastAsia="ja-JP" w:bidi="ar-SA"/>
    </w:rPr>
  </w:style>
  <w:style w:type="character" w:customStyle="1" w:styleId="longtext">
    <w:name w:val="long_text"/>
    <w:basedOn w:val="a0"/>
    <w:rsid w:val="009B76E7"/>
  </w:style>
  <w:style w:type="paragraph" w:customStyle="1" w:styleId="TextTi12">
    <w:name w:val="Text:Ti12"/>
    <w:basedOn w:val="a"/>
    <w:link w:val="TextTi12Char"/>
    <w:rsid w:val="00995E9E"/>
    <w:pPr>
      <w:spacing w:after="170" w:line="280" w:lineRule="atLeast"/>
      <w:jc w:val="both"/>
    </w:pPr>
    <w:rPr>
      <w:sz w:val="24"/>
      <w:szCs w:val="24"/>
      <w:lang w:eastAsia="de-DE"/>
    </w:rPr>
  </w:style>
  <w:style w:type="character" w:customStyle="1" w:styleId="TextTi12Char">
    <w:name w:val="Text:Ti12 Char"/>
    <w:link w:val="TextTi12"/>
    <w:rsid w:val="00995E9E"/>
    <w:rPr>
      <w:sz w:val="24"/>
      <w:szCs w:val="24"/>
      <w:lang w:val="en-US" w:eastAsia="de-DE" w:bidi="ar-SA"/>
    </w:rPr>
  </w:style>
  <w:style w:type="character" w:styleId="-0">
    <w:name w:val="FollowedHyperlink"/>
    <w:rsid w:val="00B13F85"/>
    <w:rPr>
      <w:color w:val="800080"/>
      <w:u w:val="single"/>
    </w:rPr>
  </w:style>
  <w:style w:type="character" w:styleId="ae">
    <w:name w:val="Strong"/>
    <w:qFormat/>
    <w:rsid w:val="00923B84"/>
    <w:rPr>
      <w:b/>
      <w:bCs/>
    </w:rPr>
  </w:style>
  <w:style w:type="character" w:customStyle="1" w:styleId="BodytextAgencyChar">
    <w:name w:val="Body text (Agency) Char"/>
    <w:link w:val="BodytextAgency"/>
    <w:locked/>
    <w:rsid w:val="001A04AA"/>
    <w:rPr>
      <w:rFonts w:ascii="Verdana" w:eastAsia="Verdana" w:hAnsi="Verdana" w:cs="Verdana"/>
      <w:sz w:val="18"/>
      <w:szCs w:val="18"/>
      <w:lang w:val="en-GB" w:eastAsia="en-GB"/>
    </w:rPr>
  </w:style>
  <w:style w:type="paragraph" w:customStyle="1" w:styleId="BodytextAgency">
    <w:name w:val="Body text (Agency)"/>
    <w:basedOn w:val="a"/>
    <w:link w:val="BodytextAgencyChar"/>
    <w:rsid w:val="001A04AA"/>
    <w:pPr>
      <w:spacing w:after="140" w:line="280" w:lineRule="atLeast"/>
    </w:pPr>
    <w:rPr>
      <w:rFonts w:ascii="Verdana" w:eastAsia="Verdana" w:hAnsi="Verdana"/>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1203217">
      <w:bodyDiv w:val="1"/>
      <w:marLeft w:val="0"/>
      <w:marRight w:val="0"/>
      <w:marTop w:val="0"/>
      <w:marBottom w:val="0"/>
      <w:divBdr>
        <w:top w:val="none" w:sz="0" w:space="0" w:color="auto"/>
        <w:left w:val="none" w:sz="0" w:space="0" w:color="auto"/>
        <w:bottom w:val="none" w:sz="0" w:space="0" w:color="auto"/>
        <w:right w:val="none" w:sz="0" w:space="0" w:color="auto"/>
      </w:divBdr>
    </w:div>
    <w:div w:id="137500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269">
          <w:marLeft w:val="0"/>
          <w:marRight w:val="0"/>
          <w:marTop w:val="0"/>
          <w:marBottom w:val="0"/>
          <w:divBdr>
            <w:top w:val="none" w:sz="0" w:space="0" w:color="auto"/>
            <w:left w:val="none" w:sz="0" w:space="0" w:color="auto"/>
            <w:bottom w:val="none" w:sz="0" w:space="0" w:color="auto"/>
            <w:right w:val="none" w:sz="0" w:space="0" w:color="auto"/>
          </w:divBdr>
          <w:divsChild>
            <w:div w:id="609551391">
              <w:marLeft w:val="0"/>
              <w:marRight w:val="0"/>
              <w:marTop w:val="0"/>
              <w:marBottom w:val="0"/>
              <w:divBdr>
                <w:top w:val="none" w:sz="0" w:space="0" w:color="auto"/>
                <w:left w:val="none" w:sz="0" w:space="0" w:color="auto"/>
                <w:bottom w:val="none" w:sz="0" w:space="0" w:color="auto"/>
                <w:right w:val="none" w:sz="0" w:space="0" w:color="auto"/>
              </w:divBdr>
              <w:divsChild>
                <w:div w:id="1418594592">
                  <w:marLeft w:val="0"/>
                  <w:marRight w:val="0"/>
                  <w:marTop w:val="0"/>
                  <w:marBottom w:val="0"/>
                  <w:divBdr>
                    <w:top w:val="none" w:sz="0" w:space="0" w:color="auto"/>
                    <w:left w:val="none" w:sz="0" w:space="0" w:color="auto"/>
                    <w:bottom w:val="none" w:sz="0" w:space="0" w:color="auto"/>
                    <w:right w:val="none" w:sz="0" w:space="0" w:color="auto"/>
                  </w:divBdr>
                  <w:divsChild>
                    <w:div w:id="208692787">
                      <w:marLeft w:val="0"/>
                      <w:marRight w:val="0"/>
                      <w:marTop w:val="0"/>
                      <w:marBottom w:val="0"/>
                      <w:divBdr>
                        <w:top w:val="none" w:sz="0" w:space="0" w:color="auto"/>
                        <w:left w:val="none" w:sz="0" w:space="0" w:color="auto"/>
                        <w:bottom w:val="none" w:sz="0" w:space="0" w:color="auto"/>
                        <w:right w:val="none" w:sz="0" w:space="0" w:color="auto"/>
                      </w:divBdr>
                      <w:divsChild>
                        <w:div w:id="123740349">
                          <w:marLeft w:val="0"/>
                          <w:marRight w:val="0"/>
                          <w:marTop w:val="0"/>
                          <w:marBottom w:val="0"/>
                          <w:divBdr>
                            <w:top w:val="none" w:sz="0" w:space="0" w:color="auto"/>
                            <w:left w:val="none" w:sz="0" w:space="0" w:color="auto"/>
                            <w:bottom w:val="none" w:sz="0" w:space="0" w:color="auto"/>
                            <w:right w:val="none" w:sz="0" w:space="0" w:color="auto"/>
                          </w:divBdr>
                          <w:divsChild>
                            <w:div w:id="2094888551">
                              <w:marLeft w:val="0"/>
                              <w:marRight w:val="0"/>
                              <w:marTop w:val="0"/>
                              <w:marBottom w:val="0"/>
                              <w:divBdr>
                                <w:top w:val="none" w:sz="0" w:space="0" w:color="auto"/>
                                <w:left w:val="none" w:sz="0" w:space="0" w:color="auto"/>
                                <w:bottom w:val="none" w:sz="0" w:space="0" w:color="auto"/>
                                <w:right w:val="none" w:sz="0" w:space="0" w:color="auto"/>
                              </w:divBdr>
                              <w:divsChild>
                                <w:div w:id="18347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37997">
      <w:bodyDiv w:val="1"/>
      <w:marLeft w:val="0"/>
      <w:marRight w:val="0"/>
      <w:marTop w:val="0"/>
      <w:marBottom w:val="0"/>
      <w:divBdr>
        <w:top w:val="none" w:sz="0" w:space="0" w:color="auto"/>
        <w:left w:val="none" w:sz="0" w:space="0" w:color="auto"/>
        <w:bottom w:val="none" w:sz="0" w:space="0" w:color="auto"/>
        <w:right w:val="none" w:sz="0" w:space="0" w:color="auto"/>
      </w:divBdr>
    </w:div>
    <w:div w:id="468593977">
      <w:bodyDiv w:val="1"/>
      <w:marLeft w:val="0"/>
      <w:marRight w:val="0"/>
      <w:marTop w:val="0"/>
      <w:marBottom w:val="0"/>
      <w:divBdr>
        <w:top w:val="none" w:sz="0" w:space="0" w:color="auto"/>
        <w:left w:val="none" w:sz="0" w:space="0" w:color="auto"/>
        <w:bottom w:val="none" w:sz="0" w:space="0" w:color="auto"/>
        <w:right w:val="none" w:sz="0" w:space="0" w:color="auto"/>
      </w:divBdr>
    </w:div>
    <w:div w:id="470252658">
      <w:bodyDiv w:val="1"/>
      <w:marLeft w:val="0"/>
      <w:marRight w:val="0"/>
      <w:marTop w:val="0"/>
      <w:marBottom w:val="0"/>
      <w:divBdr>
        <w:top w:val="none" w:sz="0" w:space="0" w:color="auto"/>
        <w:left w:val="none" w:sz="0" w:space="0" w:color="auto"/>
        <w:bottom w:val="none" w:sz="0" w:space="0" w:color="auto"/>
        <w:right w:val="none" w:sz="0" w:space="0" w:color="auto"/>
      </w:divBdr>
    </w:div>
    <w:div w:id="596988584">
      <w:bodyDiv w:val="1"/>
      <w:marLeft w:val="0"/>
      <w:marRight w:val="0"/>
      <w:marTop w:val="0"/>
      <w:marBottom w:val="0"/>
      <w:divBdr>
        <w:top w:val="none" w:sz="0" w:space="0" w:color="auto"/>
        <w:left w:val="none" w:sz="0" w:space="0" w:color="auto"/>
        <w:bottom w:val="none" w:sz="0" w:space="0" w:color="auto"/>
        <w:right w:val="none" w:sz="0" w:space="0" w:color="auto"/>
      </w:divBdr>
    </w:div>
    <w:div w:id="628970302">
      <w:bodyDiv w:val="1"/>
      <w:marLeft w:val="0"/>
      <w:marRight w:val="0"/>
      <w:marTop w:val="0"/>
      <w:marBottom w:val="0"/>
      <w:divBdr>
        <w:top w:val="none" w:sz="0" w:space="0" w:color="auto"/>
        <w:left w:val="none" w:sz="0" w:space="0" w:color="auto"/>
        <w:bottom w:val="none" w:sz="0" w:space="0" w:color="auto"/>
        <w:right w:val="none" w:sz="0" w:space="0" w:color="auto"/>
      </w:divBdr>
    </w:div>
    <w:div w:id="657655492">
      <w:bodyDiv w:val="1"/>
      <w:marLeft w:val="0"/>
      <w:marRight w:val="0"/>
      <w:marTop w:val="0"/>
      <w:marBottom w:val="0"/>
      <w:divBdr>
        <w:top w:val="none" w:sz="0" w:space="0" w:color="auto"/>
        <w:left w:val="none" w:sz="0" w:space="0" w:color="auto"/>
        <w:bottom w:val="none" w:sz="0" w:space="0" w:color="auto"/>
        <w:right w:val="none" w:sz="0" w:space="0" w:color="auto"/>
      </w:divBdr>
    </w:div>
    <w:div w:id="705910428">
      <w:bodyDiv w:val="1"/>
      <w:marLeft w:val="0"/>
      <w:marRight w:val="0"/>
      <w:marTop w:val="0"/>
      <w:marBottom w:val="0"/>
      <w:divBdr>
        <w:top w:val="none" w:sz="0" w:space="0" w:color="auto"/>
        <w:left w:val="none" w:sz="0" w:space="0" w:color="auto"/>
        <w:bottom w:val="none" w:sz="0" w:space="0" w:color="auto"/>
        <w:right w:val="none" w:sz="0" w:space="0" w:color="auto"/>
      </w:divBdr>
    </w:div>
    <w:div w:id="777481394">
      <w:bodyDiv w:val="1"/>
      <w:marLeft w:val="0"/>
      <w:marRight w:val="0"/>
      <w:marTop w:val="0"/>
      <w:marBottom w:val="0"/>
      <w:divBdr>
        <w:top w:val="none" w:sz="0" w:space="0" w:color="auto"/>
        <w:left w:val="none" w:sz="0" w:space="0" w:color="auto"/>
        <w:bottom w:val="none" w:sz="0" w:space="0" w:color="auto"/>
        <w:right w:val="none" w:sz="0" w:space="0" w:color="auto"/>
      </w:divBdr>
    </w:div>
    <w:div w:id="834957565">
      <w:bodyDiv w:val="1"/>
      <w:marLeft w:val="0"/>
      <w:marRight w:val="0"/>
      <w:marTop w:val="0"/>
      <w:marBottom w:val="0"/>
      <w:divBdr>
        <w:top w:val="none" w:sz="0" w:space="0" w:color="auto"/>
        <w:left w:val="none" w:sz="0" w:space="0" w:color="auto"/>
        <w:bottom w:val="none" w:sz="0" w:space="0" w:color="auto"/>
        <w:right w:val="none" w:sz="0" w:space="0" w:color="auto"/>
      </w:divBdr>
      <w:divsChild>
        <w:div w:id="2001423914">
          <w:marLeft w:val="0"/>
          <w:marRight w:val="0"/>
          <w:marTop w:val="0"/>
          <w:marBottom w:val="0"/>
          <w:divBdr>
            <w:top w:val="none" w:sz="0" w:space="0" w:color="auto"/>
            <w:left w:val="none" w:sz="0" w:space="0" w:color="auto"/>
            <w:bottom w:val="none" w:sz="0" w:space="0" w:color="auto"/>
            <w:right w:val="none" w:sz="0" w:space="0" w:color="auto"/>
          </w:divBdr>
          <w:divsChild>
            <w:div w:id="1417483388">
              <w:marLeft w:val="0"/>
              <w:marRight w:val="0"/>
              <w:marTop w:val="0"/>
              <w:marBottom w:val="0"/>
              <w:divBdr>
                <w:top w:val="none" w:sz="0" w:space="0" w:color="auto"/>
                <w:left w:val="none" w:sz="0" w:space="0" w:color="auto"/>
                <w:bottom w:val="none" w:sz="0" w:space="0" w:color="auto"/>
                <w:right w:val="none" w:sz="0" w:space="0" w:color="auto"/>
              </w:divBdr>
              <w:divsChild>
                <w:div w:id="1528643507">
                  <w:marLeft w:val="0"/>
                  <w:marRight w:val="0"/>
                  <w:marTop w:val="0"/>
                  <w:marBottom w:val="0"/>
                  <w:divBdr>
                    <w:top w:val="none" w:sz="0" w:space="0" w:color="auto"/>
                    <w:left w:val="none" w:sz="0" w:space="0" w:color="auto"/>
                    <w:bottom w:val="none" w:sz="0" w:space="0" w:color="auto"/>
                    <w:right w:val="none" w:sz="0" w:space="0" w:color="auto"/>
                  </w:divBdr>
                  <w:divsChild>
                    <w:div w:id="282883339">
                      <w:marLeft w:val="0"/>
                      <w:marRight w:val="0"/>
                      <w:marTop w:val="0"/>
                      <w:marBottom w:val="0"/>
                      <w:divBdr>
                        <w:top w:val="none" w:sz="0" w:space="0" w:color="auto"/>
                        <w:left w:val="none" w:sz="0" w:space="0" w:color="auto"/>
                        <w:bottom w:val="none" w:sz="0" w:space="0" w:color="auto"/>
                        <w:right w:val="none" w:sz="0" w:space="0" w:color="auto"/>
                      </w:divBdr>
                      <w:divsChild>
                        <w:div w:id="25958699">
                          <w:marLeft w:val="0"/>
                          <w:marRight w:val="0"/>
                          <w:marTop w:val="0"/>
                          <w:marBottom w:val="0"/>
                          <w:divBdr>
                            <w:top w:val="none" w:sz="0" w:space="0" w:color="auto"/>
                            <w:left w:val="none" w:sz="0" w:space="0" w:color="auto"/>
                            <w:bottom w:val="none" w:sz="0" w:space="0" w:color="auto"/>
                            <w:right w:val="none" w:sz="0" w:space="0" w:color="auto"/>
                          </w:divBdr>
                          <w:divsChild>
                            <w:div w:id="142164066">
                              <w:marLeft w:val="0"/>
                              <w:marRight w:val="0"/>
                              <w:marTop w:val="0"/>
                              <w:marBottom w:val="0"/>
                              <w:divBdr>
                                <w:top w:val="none" w:sz="0" w:space="0" w:color="auto"/>
                                <w:left w:val="none" w:sz="0" w:space="0" w:color="auto"/>
                                <w:bottom w:val="none" w:sz="0" w:space="0" w:color="auto"/>
                                <w:right w:val="none" w:sz="0" w:space="0" w:color="auto"/>
                              </w:divBdr>
                              <w:divsChild>
                                <w:div w:id="3230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258427">
      <w:bodyDiv w:val="1"/>
      <w:marLeft w:val="0"/>
      <w:marRight w:val="0"/>
      <w:marTop w:val="0"/>
      <w:marBottom w:val="0"/>
      <w:divBdr>
        <w:top w:val="none" w:sz="0" w:space="0" w:color="auto"/>
        <w:left w:val="none" w:sz="0" w:space="0" w:color="auto"/>
        <w:bottom w:val="none" w:sz="0" w:space="0" w:color="auto"/>
        <w:right w:val="none" w:sz="0" w:space="0" w:color="auto"/>
      </w:divBdr>
    </w:div>
    <w:div w:id="922684009">
      <w:bodyDiv w:val="1"/>
      <w:marLeft w:val="0"/>
      <w:marRight w:val="0"/>
      <w:marTop w:val="0"/>
      <w:marBottom w:val="0"/>
      <w:divBdr>
        <w:top w:val="none" w:sz="0" w:space="0" w:color="auto"/>
        <w:left w:val="none" w:sz="0" w:space="0" w:color="auto"/>
        <w:bottom w:val="none" w:sz="0" w:space="0" w:color="auto"/>
        <w:right w:val="none" w:sz="0" w:space="0" w:color="auto"/>
      </w:divBdr>
    </w:div>
    <w:div w:id="931936536">
      <w:bodyDiv w:val="1"/>
      <w:marLeft w:val="0"/>
      <w:marRight w:val="0"/>
      <w:marTop w:val="0"/>
      <w:marBottom w:val="0"/>
      <w:divBdr>
        <w:top w:val="none" w:sz="0" w:space="0" w:color="auto"/>
        <w:left w:val="none" w:sz="0" w:space="0" w:color="auto"/>
        <w:bottom w:val="none" w:sz="0" w:space="0" w:color="auto"/>
        <w:right w:val="none" w:sz="0" w:space="0" w:color="auto"/>
      </w:divBdr>
    </w:div>
    <w:div w:id="1038432308">
      <w:bodyDiv w:val="1"/>
      <w:marLeft w:val="0"/>
      <w:marRight w:val="0"/>
      <w:marTop w:val="0"/>
      <w:marBottom w:val="0"/>
      <w:divBdr>
        <w:top w:val="none" w:sz="0" w:space="0" w:color="auto"/>
        <w:left w:val="none" w:sz="0" w:space="0" w:color="auto"/>
        <w:bottom w:val="none" w:sz="0" w:space="0" w:color="auto"/>
        <w:right w:val="none" w:sz="0" w:space="0" w:color="auto"/>
      </w:divBdr>
    </w:div>
    <w:div w:id="1066997002">
      <w:bodyDiv w:val="1"/>
      <w:marLeft w:val="0"/>
      <w:marRight w:val="0"/>
      <w:marTop w:val="0"/>
      <w:marBottom w:val="0"/>
      <w:divBdr>
        <w:top w:val="none" w:sz="0" w:space="0" w:color="auto"/>
        <w:left w:val="none" w:sz="0" w:space="0" w:color="auto"/>
        <w:bottom w:val="none" w:sz="0" w:space="0" w:color="auto"/>
        <w:right w:val="none" w:sz="0" w:space="0" w:color="auto"/>
      </w:divBdr>
      <w:divsChild>
        <w:div w:id="494154804">
          <w:marLeft w:val="0"/>
          <w:marRight w:val="0"/>
          <w:marTop w:val="0"/>
          <w:marBottom w:val="0"/>
          <w:divBdr>
            <w:top w:val="none" w:sz="0" w:space="0" w:color="auto"/>
            <w:left w:val="none" w:sz="0" w:space="0" w:color="auto"/>
            <w:bottom w:val="none" w:sz="0" w:space="0" w:color="auto"/>
            <w:right w:val="none" w:sz="0" w:space="0" w:color="auto"/>
          </w:divBdr>
          <w:divsChild>
            <w:div w:id="473373859">
              <w:marLeft w:val="0"/>
              <w:marRight w:val="0"/>
              <w:marTop w:val="0"/>
              <w:marBottom w:val="0"/>
              <w:divBdr>
                <w:top w:val="none" w:sz="0" w:space="0" w:color="auto"/>
                <w:left w:val="none" w:sz="0" w:space="0" w:color="auto"/>
                <w:bottom w:val="none" w:sz="0" w:space="0" w:color="auto"/>
                <w:right w:val="none" w:sz="0" w:space="0" w:color="auto"/>
              </w:divBdr>
              <w:divsChild>
                <w:div w:id="1567573835">
                  <w:marLeft w:val="0"/>
                  <w:marRight w:val="0"/>
                  <w:marTop w:val="0"/>
                  <w:marBottom w:val="0"/>
                  <w:divBdr>
                    <w:top w:val="none" w:sz="0" w:space="0" w:color="auto"/>
                    <w:left w:val="none" w:sz="0" w:space="0" w:color="auto"/>
                    <w:bottom w:val="none" w:sz="0" w:space="0" w:color="auto"/>
                    <w:right w:val="none" w:sz="0" w:space="0" w:color="auto"/>
                  </w:divBdr>
                  <w:divsChild>
                    <w:div w:id="792095911">
                      <w:marLeft w:val="0"/>
                      <w:marRight w:val="0"/>
                      <w:marTop w:val="0"/>
                      <w:marBottom w:val="0"/>
                      <w:divBdr>
                        <w:top w:val="none" w:sz="0" w:space="0" w:color="auto"/>
                        <w:left w:val="none" w:sz="0" w:space="0" w:color="auto"/>
                        <w:bottom w:val="none" w:sz="0" w:space="0" w:color="auto"/>
                        <w:right w:val="none" w:sz="0" w:space="0" w:color="auto"/>
                      </w:divBdr>
                      <w:divsChild>
                        <w:div w:id="1763260645">
                          <w:marLeft w:val="0"/>
                          <w:marRight w:val="0"/>
                          <w:marTop w:val="0"/>
                          <w:marBottom w:val="0"/>
                          <w:divBdr>
                            <w:top w:val="none" w:sz="0" w:space="0" w:color="auto"/>
                            <w:left w:val="none" w:sz="0" w:space="0" w:color="auto"/>
                            <w:bottom w:val="none" w:sz="0" w:space="0" w:color="auto"/>
                            <w:right w:val="none" w:sz="0" w:space="0" w:color="auto"/>
                          </w:divBdr>
                          <w:divsChild>
                            <w:div w:id="385493555">
                              <w:marLeft w:val="0"/>
                              <w:marRight w:val="0"/>
                              <w:marTop w:val="0"/>
                              <w:marBottom w:val="0"/>
                              <w:divBdr>
                                <w:top w:val="none" w:sz="0" w:space="0" w:color="auto"/>
                                <w:left w:val="none" w:sz="0" w:space="0" w:color="auto"/>
                                <w:bottom w:val="none" w:sz="0" w:space="0" w:color="auto"/>
                                <w:right w:val="none" w:sz="0" w:space="0" w:color="auto"/>
                              </w:divBdr>
                              <w:divsChild>
                                <w:div w:id="17910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7401">
      <w:bodyDiv w:val="1"/>
      <w:marLeft w:val="0"/>
      <w:marRight w:val="0"/>
      <w:marTop w:val="0"/>
      <w:marBottom w:val="0"/>
      <w:divBdr>
        <w:top w:val="none" w:sz="0" w:space="0" w:color="auto"/>
        <w:left w:val="none" w:sz="0" w:space="0" w:color="auto"/>
        <w:bottom w:val="none" w:sz="0" w:space="0" w:color="auto"/>
        <w:right w:val="none" w:sz="0" w:space="0" w:color="auto"/>
      </w:divBdr>
      <w:divsChild>
        <w:div w:id="1053771159">
          <w:marLeft w:val="0"/>
          <w:marRight w:val="0"/>
          <w:marTop w:val="0"/>
          <w:marBottom w:val="0"/>
          <w:divBdr>
            <w:top w:val="none" w:sz="0" w:space="0" w:color="auto"/>
            <w:left w:val="none" w:sz="0" w:space="0" w:color="auto"/>
            <w:bottom w:val="none" w:sz="0" w:space="0" w:color="auto"/>
            <w:right w:val="none" w:sz="0" w:space="0" w:color="auto"/>
          </w:divBdr>
          <w:divsChild>
            <w:div w:id="2049715231">
              <w:marLeft w:val="0"/>
              <w:marRight w:val="0"/>
              <w:marTop w:val="0"/>
              <w:marBottom w:val="0"/>
              <w:divBdr>
                <w:top w:val="none" w:sz="0" w:space="0" w:color="auto"/>
                <w:left w:val="none" w:sz="0" w:space="0" w:color="auto"/>
                <w:bottom w:val="none" w:sz="0" w:space="0" w:color="auto"/>
                <w:right w:val="none" w:sz="0" w:space="0" w:color="auto"/>
              </w:divBdr>
              <w:divsChild>
                <w:div w:id="1963072350">
                  <w:marLeft w:val="0"/>
                  <w:marRight w:val="0"/>
                  <w:marTop w:val="0"/>
                  <w:marBottom w:val="0"/>
                  <w:divBdr>
                    <w:top w:val="none" w:sz="0" w:space="0" w:color="auto"/>
                    <w:left w:val="none" w:sz="0" w:space="0" w:color="auto"/>
                    <w:bottom w:val="none" w:sz="0" w:space="0" w:color="auto"/>
                    <w:right w:val="none" w:sz="0" w:space="0" w:color="auto"/>
                  </w:divBdr>
                  <w:divsChild>
                    <w:div w:id="668874785">
                      <w:marLeft w:val="0"/>
                      <w:marRight w:val="0"/>
                      <w:marTop w:val="0"/>
                      <w:marBottom w:val="0"/>
                      <w:divBdr>
                        <w:top w:val="none" w:sz="0" w:space="0" w:color="auto"/>
                        <w:left w:val="none" w:sz="0" w:space="0" w:color="auto"/>
                        <w:bottom w:val="none" w:sz="0" w:space="0" w:color="auto"/>
                        <w:right w:val="none" w:sz="0" w:space="0" w:color="auto"/>
                      </w:divBdr>
                      <w:divsChild>
                        <w:div w:id="277302575">
                          <w:marLeft w:val="0"/>
                          <w:marRight w:val="0"/>
                          <w:marTop w:val="0"/>
                          <w:marBottom w:val="0"/>
                          <w:divBdr>
                            <w:top w:val="none" w:sz="0" w:space="0" w:color="auto"/>
                            <w:left w:val="none" w:sz="0" w:space="0" w:color="auto"/>
                            <w:bottom w:val="none" w:sz="0" w:space="0" w:color="auto"/>
                            <w:right w:val="none" w:sz="0" w:space="0" w:color="auto"/>
                          </w:divBdr>
                          <w:divsChild>
                            <w:div w:id="238176605">
                              <w:marLeft w:val="0"/>
                              <w:marRight w:val="0"/>
                              <w:marTop w:val="0"/>
                              <w:marBottom w:val="0"/>
                              <w:divBdr>
                                <w:top w:val="none" w:sz="0" w:space="0" w:color="auto"/>
                                <w:left w:val="none" w:sz="0" w:space="0" w:color="auto"/>
                                <w:bottom w:val="none" w:sz="0" w:space="0" w:color="auto"/>
                                <w:right w:val="none" w:sz="0" w:space="0" w:color="auto"/>
                              </w:divBdr>
                              <w:divsChild>
                                <w:div w:id="5130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215736">
      <w:bodyDiv w:val="1"/>
      <w:marLeft w:val="0"/>
      <w:marRight w:val="0"/>
      <w:marTop w:val="0"/>
      <w:marBottom w:val="0"/>
      <w:divBdr>
        <w:top w:val="none" w:sz="0" w:space="0" w:color="auto"/>
        <w:left w:val="none" w:sz="0" w:space="0" w:color="auto"/>
        <w:bottom w:val="none" w:sz="0" w:space="0" w:color="auto"/>
        <w:right w:val="none" w:sz="0" w:space="0" w:color="auto"/>
      </w:divBdr>
    </w:div>
    <w:div w:id="1318874289">
      <w:bodyDiv w:val="1"/>
      <w:marLeft w:val="0"/>
      <w:marRight w:val="0"/>
      <w:marTop w:val="0"/>
      <w:marBottom w:val="0"/>
      <w:divBdr>
        <w:top w:val="none" w:sz="0" w:space="0" w:color="auto"/>
        <w:left w:val="none" w:sz="0" w:space="0" w:color="auto"/>
        <w:bottom w:val="none" w:sz="0" w:space="0" w:color="auto"/>
        <w:right w:val="none" w:sz="0" w:space="0" w:color="auto"/>
      </w:divBdr>
    </w:div>
    <w:div w:id="1354837898">
      <w:bodyDiv w:val="1"/>
      <w:marLeft w:val="0"/>
      <w:marRight w:val="0"/>
      <w:marTop w:val="0"/>
      <w:marBottom w:val="0"/>
      <w:divBdr>
        <w:top w:val="none" w:sz="0" w:space="0" w:color="auto"/>
        <w:left w:val="none" w:sz="0" w:space="0" w:color="auto"/>
        <w:bottom w:val="none" w:sz="0" w:space="0" w:color="auto"/>
        <w:right w:val="none" w:sz="0" w:space="0" w:color="auto"/>
      </w:divBdr>
    </w:div>
    <w:div w:id="1371413443">
      <w:bodyDiv w:val="1"/>
      <w:marLeft w:val="0"/>
      <w:marRight w:val="0"/>
      <w:marTop w:val="0"/>
      <w:marBottom w:val="0"/>
      <w:divBdr>
        <w:top w:val="none" w:sz="0" w:space="0" w:color="auto"/>
        <w:left w:val="none" w:sz="0" w:space="0" w:color="auto"/>
        <w:bottom w:val="none" w:sz="0" w:space="0" w:color="auto"/>
        <w:right w:val="none" w:sz="0" w:space="0" w:color="auto"/>
      </w:divBdr>
    </w:div>
    <w:div w:id="1429695891">
      <w:bodyDiv w:val="1"/>
      <w:marLeft w:val="0"/>
      <w:marRight w:val="0"/>
      <w:marTop w:val="0"/>
      <w:marBottom w:val="0"/>
      <w:divBdr>
        <w:top w:val="none" w:sz="0" w:space="0" w:color="auto"/>
        <w:left w:val="none" w:sz="0" w:space="0" w:color="auto"/>
        <w:bottom w:val="none" w:sz="0" w:space="0" w:color="auto"/>
        <w:right w:val="none" w:sz="0" w:space="0" w:color="auto"/>
      </w:divBdr>
    </w:div>
    <w:div w:id="1537811817">
      <w:bodyDiv w:val="1"/>
      <w:marLeft w:val="0"/>
      <w:marRight w:val="0"/>
      <w:marTop w:val="0"/>
      <w:marBottom w:val="0"/>
      <w:divBdr>
        <w:top w:val="none" w:sz="0" w:space="0" w:color="auto"/>
        <w:left w:val="none" w:sz="0" w:space="0" w:color="auto"/>
        <w:bottom w:val="none" w:sz="0" w:space="0" w:color="auto"/>
        <w:right w:val="none" w:sz="0" w:space="0" w:color="auto"/>
      </w:divBdr>
    </w:div>
    <w:div w:id="1544439407">
      <w:bodyDiv w:val="1"/>
      <w:marLeft w:val="0"/>
      <w:marRight w:val="0"/>
      <w:marTop w:val="0"/>
      <w:marBottom w:val="0"/>
      <w:divBdr>
        <w:top w:val="none" w:sz="0" w:space="0" w:color="auto"/>
        <w:left w:val="none" w:sz="0" w:space="0" w:color="auto"/>
        <w:bottom w:val="none" w:sz="0" w:space="0" w:color="auto"/>
        <w:right w:val="none" w:sz="0" w:space="0" w:color="auto"/>
      </w:divBdr>
    </w:div>
    <w:div w:id="1613829177">
      <w:bodyDiv w:val="1"/>
      <w:marLeft w:val="0"/>
      <w:marRight w:val="0"/>
      <w:marTop w:val="0"/>
      <w:marBottom w:val="0"/>
      <w:divBdr>
        <w:top w:val="none" w:sz="0" w:space="0" w:color="auto"/>
        <w:left w:val="none" w:sz="0" w:space="0" w:color="auto"/>
        <w:bottom w:val="none" w:sz="0" w:space="0" w:color="auto"/>
        <w:right w:val="none" w:sz="0" w:space="0" w:color="auto"/>
      </w:divBdr>
    </w:div>
    <w:div w:id="1626816979">
      <w:bodyDiv w:val="1"/>
      <w:marLeft w:val="0"/>
      <w:marRight w:val="0"/>
      <w:marTop w:val="0"/>
      <w:marBottom w:val="0"/>
      <w:divBdr>
        <w:top w:val="none" w:sz="0" w:space="0" w:color="auto"/>
        <w:left w:val="none" w:sz="0" w:space="0" w:color="auto"/>
        <w:bottom w:val="none" w:sz="0" w:space="0" w:color="auto"/>
        <w:right w:val="none" w:sz="0" w:space="0" w:color="auto"/>
      </w:divBdr>
    </w:div>
    <w:div w:id="1638487143">
      <w:bodyDiv w:val="1"/>
      <w:marLeft w:val="0"/>
      <w:marRight w:val="0"/>
      <w:marTop w:val="0"/>
      <w:marBottom w:val="0"/>
      <w:divBdr>
        <w:top w:val="none" w:sz="0" w:space="0" w:color="auto"/>
        <w:left w:val="none" w:sz="0" w:space="0" w:color="auto"/>
        <w:bottom w:val="none" w:sz="0" w:space="0" w:color="auto"/>
        <w:right w:val="none" w:sz="0" w:space="0" w:color="auto"/>
      </w:divBdr>
      <w:divsChild>
        <w:div w:id="869073199">
          <w:marLeft w:val="0"/>
          <w:marRight w:val="0"/>
          <w:marTop w:val="0"/>
          <w:marBottom w:val="0"/>
          <w:divBdr>
            <w:top w:val="none" w:sz="0" w:space="0" w:color="auto"/>
            <w:left w:val="none" w:sz="0" w:space="0" w:color="auto"/>
            <w:bottom w:val="none" w:sz="0" w:space="0" w:color="auto"/>
            <w:right w:val="none" w:sz="0" w:space="0" w:color="auto"/>
          </w:divBdr>
          <w:divsChild>
            <w:div w:id="239872501">
              <w:marLeft w:val="0"/>
              <w:marRight w:val="0"/>
              <w:marTop w:val="0"/>
              <w:marBottom w:val="0"/>
              <w:divBdr>
                <w:top w:val="none" w:sz="0" w:space="0" w:color="auto"/>
                <w:left w:val="none" w:sz="0" w:space="0" w:color="auto"/>
                <w:bottom w:val="none" w:sz="0" w:space="0" w:color="auto"/>
                <w:right w:val="none" w:sz="0" w:space="0" w:color="auto"/>
              </w:divBdr>
              <w:divsChild>
                <w:div w:id="1233002545">
                  <w:marLeft w:val="0"/>
                  <w:marRight w:val="0"/>
                  <w:marTop w:val="0"/>
                  <w:marBottom w:val="0"/>
                  <w:divBdr>
                    <w:top w:val="none" w:sz="0" w:space="0" w:color="auto"/>
                    <w:left w:val="none" w:sz="0" w:space="0" w:color="auto"/>
                    <w:bottom w:val="none" w:sz="0" w:space="0" w:color="auto"/>
                    <w:right w:val="none" w:sz="0" w:space="0" w:color="auto"/>
                  </w:divBdr>
                  <w:divsChild>
                    <w:div w:id="689259717">
                      <w:marLeft w:val="0"/>
                      <w:marRight w:val="0"/>
                      <w:marTop w:val="0"/>
                      <w:marBottom w:val="0"/>
                      <w:divBdr>
                        <w:top w:val="none" w:sz="0" w:space="0" w:color="auto"/>
                        <w:left w:val="none" w:sz="0" w:space="0" w:color="auto"/>
                        <w:bottom w:val="none" w:sz="0" w:space="0" w:color="auto"/>
                        <w:right w:val="none" w:sz="0" w:space="0" w:color="auto"/>
                      </w:divBdr>
                      <w:divsChild>
                        <w:div w:id="503592775">
                          <w:marLeft w:val="0"/>
                          <w:marRight w:val="0"/>
                          <w:marTop w:val="0"/>
                          <w:marBottom w:val="0"/>
                          <w:divBdr>
                            <w:top w:val="none" w:sz="0" w:space="0" w:color="auto"/>
                            <w:left w:val="none" w:sz="0" w:space="0" w:color="auto"/>
                            <w:bottom w:val="none" w:sz="0" w:space="0" w:color="auto"/>
                            <w:right w:val="none" w:sz="0" w:space="0" w:color="auto"/>
                          </w:divBdr>
                          <w:divsChild>
                            <w:div w:id="1981492915">
                              <w:marLeft w:val="0"/>
                              <w:marRight w:val="0"/>
                              <w:marTop w:val="0"/>
                              <w:marBottom w:val="0"/>
                              <w:divBdr>
                                <w:top w:val="none" w:sz="0" w:space="0" w:color="auto"/>
                                <w:left w:val="none" w:sz="0" w:space="0" w:color="auto"/>
                                <w:bottom w:val="none" w:sz="0" w:space="0" w:color="auto"/>
                                <w:right w:val="none" w:sz="0" w:space="0" w:color="auto"/>
                              </w:divBdr>
                              <w:divsChild>
                                <w:div w:id="11022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014078">
      <w:bodyDiv w:val="1"/>
      <w:marLeft w:val="0"/>
      <w:marRight w:val="0"/>
      <w:marTop w:val="0"/>
      <w:marBottom w:val="0"/>
      <w:divBdr>
        <w:top w:val="none" w:sz="0" w:space="0" w:color="auto"/>
        <w:left w:val="none" w:sz="0" w:space="0" w:color="auto"/>
        <w:bottom w:val="none" w:sz="0" w:space="0" w:color="auto"/>
        <w:right w:val="none" w:sz="0" w:space="0" w:color="auto"/>
      </w:divBdr>
    </w:div>
    <w:div w:id="1791124468">
      <w:bodyDiv w:val="1"/>
      <w:marLeft w:val="0"/>
      <w:marRight w:val="0"/>
      <w:marTop w:val="0"/>
      <w:marBottom w:val="0"/>
      <w:divBdr>
        <w:top w:val="none" w:sz="0" w:space="0" w:color="auto"/>
        <w:left w:val="none" w:sz="0" w:space="0" w:color="auto"/>
        <w:bottom w:val="none" w:sz="0" w:space="0" w:color="auto"/>
        <w:right w:val="none" w:sz="0" w:space="0" w:color="auto"/>
      </w:divBdr>
    </w:div>
    <w:div w:id="1866017792">
      <w:bodyDiv w:val="1"/>
      <w:marLeft w:val="0"/>
      <w:marRight w:val="0"/>
      <w:marTop w:val="0"/>
      <w:marBottom w:val="0"/>
      <w:divBdr>
        <w:top w:val="none" w:sz="0" w:space="0" w:color="auto"/>
        <w:left w:val="none" w:sz="0" w:space="0" w:color="auto"/>
        <w:bottom w:val="none" w:sz="0" w:space="0" w:color="auto"/>
        <w:right w:val="none" w:sz="0" w:space="0" w:color="auto"/>
      </w:divBdr>
      <w:divsChild>
        <w:div w:id="1594432844">
          <w:marLeft w:val="0"/>
          <w:marRight w:val="0"/>
          <w:marTop w:val="0"/>
          <w:marBottom w:val="0"/>
          <w:divBdr>
            <w:top w:val="none" w:sz="0" w:space="0" w:color="auto"/>
            <w:left w:val="none" w:sz="0" w:space="0" w:color="auto"/>
            <w:bottom w:val="none" w:sz="0" w:space="0" w:color="auto"/>
            <w:right w:val="none" w:sz="0" w:space="0" w:color="auto"/>
          </w:divBdr>
          <w:divsChild>
            <w:div w:id="245649092">
              <w:marLeft w:val="0"/>
              <w:marRight w:val="0"/>
              <w:marTop w:val="0"/>
              <w:marBottom w:val="0"/>
              <w:divBdr>
                <w:top w:val="none" w:sz="0" w:space="0" w:color="auto"/>
                <w:left w:val="none" w:sz="0" w:space="0" w:color="auto"/>
                <w:bottom w:val="none" w:sz="0" w:space="0" w:color="auto"/>
                <w:right w:val="none" w:sz="0" w:space="0" w:color="auto"/>
              </w:divBdr>
              <w:divsChild>
                <w:div w:id="1009212746">
                  <w:marLeft w:val="0"/>
                  <w:marRight w:val="0"/>
                  <w:marTop w:val="0"/>
                  <w:marBottom w:val="0"/>
                  <w:divBdr>
                    <w:top w:val="none" w:sz="0" w:space="0" w:color="auto"/>
                    <w:left w:val="none" w:sz="0" w:space="0" w:color="auto"/>
                    <w:bottom w:val="none" w:sz="0" w:space="0" w:color="auto"/>
                    <w:right w:val="none" w:sz="0" w:space="0" w:color="auto"/>
                  </w:divBdr>
                  <w:divsChild>
                    <w:div w:id="1480614770">
                      <w:marLeft w:val="0"/>
                      <w:marRight w:val="0"/>
                      <w:marTop w:val="0"/>
                      <w:marBottom w:val="0"/>
                      <w:divBdr>
                        <w:top w:val="none" w:sz="0" w:space="0" w:color="auto"/>
                        <w:left w:val="none" w:sz="0" w:space="0" w:color="auto"/>
                        <w:bottom w:val="none" w:sz="0" w:space="0" w:color="auto"/>
                        <w:right w:val="none" w:sz="0" w:space="0" w:color="auto"/>
                      </w:divBdr>
                      <w:divsChild>
                        <w:div w:id="11539837">
                          <w:marLeft w:val="0"/>
                          <w:marRight w:val="0"/>
                          <w:marTop w:val="0"/>
                          <w:marBottom w:val="0"/>
                          <w:divBdr>
                            <w:top w:val="none" w:sz="0" w:space="0" w:color="auto"/>
                            <w:left w:val="none" w:sz="0" w:space="0" w:color="auto"/>
                            <w:bottom w:val="none" w:sz="0" w:space="0" w:color="auto"/>
                            <w:right w:val="none" w:sz="0" w:space="0" w:color="auto"/>
                          </w:divBdr>
                          <w:divsChild>
                            <w:div w:id="1690524598">
                              <w:marLeft w:val="0"/>
                              <w:marRight w:val="0"/>
                              <w:marTop w:val="0"/>
                              <w:marBottom w:val="0"/>
                              <w:divBdr>
                                <w:top w:val="none" w:sz="0" w:space="0" w:color="auto"/>
                                <w:left w:val="none" w:sz="0" w:space="0" w:color="auto"/>
                                <w:bottom w:val="none" w:sz="0" w:space="0" w:color="auto"/>
                                <w:right w:val="none" w:sz="0" w:space="0" w:color="auto"/>
                              </w:divBdr>
                              <w:divsChild>
                                <w:div w:id="666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961397">
      <w:bodyDiv w:val="1"/>
      <w:marLeft w:val="0"/>
      <w:marRight w:val="0"/>
      <w:marTop w:val="0"/>
      <w:marBottom w:val="0"/>
      <w:divBdr>
        <w:top w:val="none" w:sz="0" w:space="0" w:color="auto"/>
        <w:left w:val="none" w:sz="0" w:space="0" w:color="auto"/>
        <w:bottom w:val="none" w:sz="0" w:space="0" w:color="auto"/>
        <w:right w:val="none" w:sz="0" w:space="0" w:color="auto"/>
      </w:divBdr>
    </w:div>
    <w:div w:id="2028828633">
      <w:bodyDiv w:val="1"/>
      <w:marLeft w:val="0"/>
      <w:marRight w:val="0"/>
      <w:marTop w:val="0"/>
      <w:marBottom w:val="0"/>
      <w:divBdr>
        <w:top w:val="none" w:sz="0" w:space="0" w:color="auto"/>
        <w:left w:val="none" w:sz="0" w:space="0" w:color="auto"/>
        <w:bottom w:val="none" w:sz="0" w:space="0" w:color="auto"/>
        <w:right w:val="none" w:sz="0" w:space="0" w:color="auto"/>
      </w:divBdr>
    </w:div>
    <w:div w:id="2126189264">
      <w:bodyDiv w:val="1"/>
      <w:marLeft w:val="0"/>
      <w:marRight w:val="0"/>
      <w:marTop w:val="0"/>
      <w:marBottom w:val="0"/>
      <w:divBdr>
        <w:top w:val="none" w:sz="0" w:space="0" w:color="auto"/>
        <w:left w:val="none" w:sz="0" w:space="0" w:color="auto"/>
        <w:bottom w:val="none" w:sz="0" w:space="0" w:color="auto"/>
        <w:right w:val="none" w:sz="0" w:space="0" w:color="auto"/>
      </w:divBdr>
      <w:divsChild>
        <w:div w:id="719406675">
          <w:marLeft w:val="0"/>
          <w:marRight w:val="0"/>
          <w:marTop w:val="0"/>
          <w:marBottom w:val="0"/>
          <w:divBdr>
            <w:top w:val="none" w:sz="0" w:space="0" w:color="auto"/>
            <w:left w:val="none" w:sz="0" w:space="0" w:color="auto"/>
            <w:bottom w:val="none" w:sz="0" w:space="0" w:color="auto"/>
            <w:right w:val="none" w:sz="0" w:space="0" w:color="auto"/>
          </w:divBdr>
          <w:divsChild>
            <w:div w:id="1042361985">
              <w:marLeft w:val="0"/>
              <w:marRight w:val="0"/>
              <w:marTop w:val="0"/>
              <w:marBottom w:val="0"/>
              <w:divBdr>
                <w:top w:val="none" w:sz="0" w:space="0" w:color="auto"/>
                <w:left w:val="none" w:sz="0" w:space="0" w:color="auto"/>
                <w:bottom w:val="none" w:sz="0" w:space="0" w:color="auto"/>
                <w:right w:val="none" w:sz="0" w:space="0" w:color="auto"/>
              </w:divBdr>
              <w:divsChild>
                <w:div w:id="497962511">
                  <w:marLeft w:val="0"/>
                  <w:marRight w:val="0"/>
                  <w:marTop w:val="0"/>
                  <w:marBottom w:val="0"/>
                  <w:divBdr>
                    <w:top w:val="none" w:sz="0" w:space="0" w:color="auto"/>
                    <w:left w:val="none" w:sz="0" w:space="0" w:color="auto"/>
                    <w:bottom w:val="none" w:sz="0" w:space="0" w:color="auto"/>
                    <w:right w:val="none" w:sz="0" w:space="0" w:color="auto"/>
                  </w:divBdr>
                  <w:divsChild>
                    <w:div w:id="882056064">
                      <w:marLeft w:val="0"/>
                      <w:marRight w:val="0"/>
                      <w:marTop w:val="0"/>
                      <w:marBottom w:val="0"/>
                      <w:divBdr>
                        <w:top w:val="none" w:sz="0" w:space="0" w:color="auto"/>
                        <w:left w:val="none" w:sz="0" w:space="0" w:color="auto"/>
                        <w:bottom w:val="none" w:sz="0" w:space="0" w:color="auto"/>
                        <w:right w:val="none" w:sz="0" w:space="0" w:color="auto"/>
                      </w:divBdr>
                      <w:divsChild>
                        <w:div w:id="779641701">
                          <w:marLeft w:val="0"/>
                          <w:marRight w:val="0"/>
                          <w:marTop w:val="0"/>
                          <w:marBottom w:val="0"/>
                          <w:divBdr>
                            <w:top w:val="none" w:sz="0" w:space="0" w:color="auto"/>
                            <w:left w:val="none" w:sz="0" w:space="0" w:color="auto"/>
                            <w:bottom w:val="none" w:sz="0" w:space="0" w:color="auto"/>
                            <w:right w:val="none" w:sz="0" w:space="0" w:color="auto"/>
                          </w:divBdr>
                          <w:divsChild>
                            <w:div w:id="1451895936">
                              <w:marLeft w:val="0"/>
                              <w:marRight w:val="0"/>
                              <w:marTop w:val="0"/>
                              <w:marBottom w:val="0"/>
                              <w:divBdr>
                                <w:top w:val="none" w:sz="0" w:space="0" w:color="auto"/>
                                <w:left w:val="none" w:sz="0" w:space="0" w:color="auto"/>
                                <w:bottom w:val="none" w:sz="0" w:space="0" w:color="auto"/>
                                <w:right w:val="none" w:sz="0" w:space="0" w:color="auto"/>
                              </w:divBdr>
                              <w:divsChild>
                                <w:div w:id="2950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of.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oh.gov.cy/ph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C7084E4566084E9A07A9BDB95038C6" ma:contentTypeVersion="1" ma:contentTypeDescription="Create a new document." ma:contentTypeScope="" ma:versionID="429aefdf63eed842eed85dba7d93feb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8BA7-E044-4DBC-B1D7-8AA9940E4E75}">
  <ds:schemaRefs>
    <ds:schemaRef ds:uri="http://schemas.microsoft.com/sharepoint/v3/contenttype/forms"/>
  </ds:schemaRefs>
</ds:datastoreItem>
</file>

<file path=customXml/itemProps2.xml><?xml version="1.0" encoding="utf-8"?>
<ds:datastoreItem xmlns:ds="http://schemas.openxmlformats.org/officeDocument/2006/customXml" ds:itemID="{D59A5865-4CDB-49ED-BBBE-9A70F20E3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45015F-8A1B-4FFD-8569-177A55A78A8C}">
  <ds:schemaRefs>
    <ds:schemaRef ds:uri="http://schemas.microsoft.com/office/2006/metadata/longProperties"/>
  </ds:schemaRefs>
</ds:datastoreItem>
</file>

<file path=customXml/itemProps4.xml><?xml version="1.0" encoding="utf-8"?>
<ds:datastoreItem xmlns:ds="http://schemas.openxmlformats.org/officeDocument/2006/customXml" ds:itemID="{936B1B6B-051F-428E-AF0B-6CE72E658CA6}">
  <ds:schemaRefs>
    <ds:schemaRef ds:uri="http://schemas.microsoft.com/office/2006/metadata/properties"/>
  </ds:schemaRefs>
</ds:datastoreItem>
</file>

<file path=customXml/itemProps5.xml><?xml version="1.0" encoding="utf-8"?>
<ds:datastoreItem xmlns:ds="http://schemas.openxmlformats.org/officeDocument/2006/customXml" ds:itemID="{36EB815F-C688-449E-A52D-EA9CEC8F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9464</Words>
  <Characters>51110</Characters>
  <Application>Microsoft Office Word</Application>
  <DocSecurity>0</DocSecurity>
  <Lines>425</Lines>
  <Paragraphs>120</Paragraphs>
  <ScaleCrop>false</ScaleCrop>
  <Company/>
  <LinksUpToDate>false</LinksUpToDate>
  <CharactersWithSpaces>60454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1.2, 10/2006</dc:title>
  <dc:subject>General-EMEA/384890/2006</dc:subject>
  <dc:creator>theodorn</dc:creator>
  <dc:description>Version 1.2_x000d_
EL-MR-DC-SPC_261006 (Greek)_x000d_
Roche internal release date 02-Nov-2006</dc:description>
  <cp:lastModifiedBy>user146</cp:lastModifiedBy>
  <cp:revision>4</cp:revision>
  <cp:lastPrinted>2013-08-21T13:42:00Z</cp:lastPrinted>
  <dcterms:created xsi:type="dcterms:W3CDTF">2014-12-08T07:15:00Z</dcterms:created>
  <dcterms:modified xsi:type="dcterms:W3CDTF">2014-12-08T07:16:00Z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SPC_XP.dot</vt:lpwstr>
  </property>
  <property fmtid="{D5CDD505-2E9C-101B-9397-08002B2CF9AE}" pid="3" name="TemplateUrl">
    <vt:lpwstr/>
  </property>
  <property fmtid="{D5CDD505-2E9C-101B-9397-08002B2CF9AE}" pid="4" name="xd_ProgID">
    <vt:lpwstr/>
  </property>
  <property fmtid="{D5CDD505-2E9C-101B-9397-08002B2CF9AE}" pid="5" name="Order">
    <vt:lpwstr>2266300.00000000</vt:lpwstr>
  </property>
  <property fmtid="{D5CDD505-2E9C-101B-9397-08002B2CF9AE}" pid="6" name="ContentTypeId">
    <vt:lpwstr>0x010100D6C7084E4566084E9A07A9BDB95038C6</vt:lpwstr>
  </property>
</Properties>
</file>