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61" w:rsidRPr="00792833" w:rsidRDefault="00D33B61" w:rsidP="00440B99">
      <w:pPr>
        <w:jc w:val="both"/>
        <w:rPr>
          <w:b/>
          <w:bCs/>
          <w:sz w:val="22"/>
          <w:szCs w:val="22"/>
        </w:rPr>
      </w:pPr>
      <w:bookmarkStart w:id="0" w:name="_GoBack"/>
      <w:bookmarkEnd w:id="0"/>
    </w:p>
    <w:p w:rsidR="00D33B61" w:rsidRPr="00792833" w:rsidRDefault="00D33B61" w:rsidP="00440B99">
      <w:pPr>
        <w:jc w:val="both"/>
        <w:rPr>
          <w:b/>
          <w:bCs/>
          <w:sz w:val="22"/>
          <w:szCs w:val="22"/>
        </w:rPr>
      </w:pPr>
    </w:p>
    <w:p w:rsidR="00D33B61" w:rsidRPr="00792833" w:rsidRDefault="00D33B61" w:rsidP="00440B99">
      <w:pPr>
        <w:jc w:val="both"/>
        <w:rPr>
          <w:b/>
          <w:bCs/>
          <w:sz w:val="22"/>
          <w:szCs w:val="22"/>
        </w:rPr>
      </w:pPr>
    </w:p>
    <w:p w:rsidR="00D33B61" w:rsidRPr="00792833" w:rsidRDefault="00D33B61" w:rsidP="00440B99">
      <w:pPr>
        <w:jc w:val="both"/>
        <w:rPr>
          <w:b/>
          <w:bCs/>
          <w:sz w:val="22"/>
          <w:szCs w:val="22"/>
        </w:rPr>
      </w:pPr>
    </w:p>
    <w:p w:rsidR="00D33B61" w:rsidRPr="00792833" w:rsidRDefault="00D33B61" w:rsidP="00440B99">
      <w:pPr>
        <w:jc w:val="both"/>
        <w:rPr>
          <w:b/>
          <w:bCs/>
          <w:sz w:val="22"/>
          <w:szCs w:val="22"/>
        </w:rPr>
      </w:pPr>
    </w:p>
    <w:p w:rsidR="00D33B61" w:rsidRPr="00792833" w:rsidRDefault="00D33B61" w:rsidP="00440B99">
      <w:pPr>
        <w:jc w:val="both"/>
        <w:rPr>
          <w:b/>
          <w:bCs/>
          <w:sz w:val="22"/>
          <w:szCs w:val="22"/>
        </w:rPr>
      </w:pPr>
    </w:p>
    <w:p w:rsidR="00D33B61" w:rsidRPr="00792833" w:rsidRDefault="00D33B61" w:rsidP="00440B99">
      <w:pPr>
        <w:jc w:val="both"/>
        <w:rPr>
          <w:b/>
          <w:bCs/>
          <w:sz w:val="22"/>
          <w:szCs w:val="22"/>
        </w:rPr>
      </w:pPr>
    </w:p>
    <w:p w:rsidR="00D33B61" w:rsidRPr="00792833" w:rsidRDefault="00D33B61" w:rsidP="00440B99">
      <w:pPr>
        <w:jc w:val="both"/>
        <w:rPr>
          <w:b/>
          <w:bCs/>
          <w:sz w:val="22"/>
          <w:szCs w:val="22"/>
        </w:rPr>
      </w:pPr>
    </w:p>
    <w:p w:rsidR="00D33B61" w:rsidRPr="00792833" w:rsidRDefault="00D33B61" w:rsidP="00440B99">
      <w:pPr>
        <w:jc w:val="both"/>
        <w:rPr>
          <w:b/>
          <w:bCs/>
          <w:sz w:val="22"/>
          <w:szCs w:val="22"/>
        </w:rPr>
      </w:pPr>
    </w:p>
    <w:p w:rsidR="00D33B61" w:rsidRPr="00792833" w:rsidRDefault="00D33B61" w:rsidP="00440B99">
      <w:pPr>
        <w:jc w:val="both"/>
        <w:rPr>
          <w:b/>
          <w:bCs/>
          <w:sz w:val="22"/>
          <w:szCs w:val="22"/>
        </w:rPr>
      </w:pPr>
    </w:p>
    <w:p w:rsidR="00D33B61" w:rsidRPr="00792833" w:rsidRDefault="00D33B61" w:rsidP="00440B99">
      <w:pPr>
        <w:jc w:val="both"/>
        <w:rPr>
          <w:b/>
          <w:bCs/>
          <w:sz w:val="22"/>
          <w:szCs w:val="22"/>
        </w:rPr>
      </w:pPr>
    </w:p>
    <w:p w:rsidR="00D33B61" w:rsidRPr="00792833" w:rsidRDefault="00D33B61" w:rsidP="00440B99">
      <w:pPr>
        <w:jc w:val="both"/>
        <w:rPr>
          <w:b/>
          <w:bCs/>
          <w:sz w:val="22"/>
          <w:szCs w:val="22"/>
        </w:rPr>
      </w:pPr>
    </w:p>
    <w:p w:rsidR="00D33B61" w:rsidRPr="00792833" w:rsidRDefault="00D33B61" w:rsidP="00440B99">
      <w:pPr>
        <w:jc w:val="both"/>
        <w:rPr>
          <w:b/>
          <w:bCs/>
          <w:sz w:val="22"/>
          <w:szCs w:val="22"/>
        </w:rPr>
      </w:pPr>
    </w:p>
    <w:p w:rsidR="00D33B61" w:rsidRPr="00792833" w:rsidRDefault="00D33B61" w:rsidP="00440B99">
      <w:pPr>
        <w:jc w:val="both"/>
        <w:rPr>
          <w:b/>
          <w:bCs/>
          <w:sz w:val="22"/>
          <w:szCs w:val="22"/>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p>
    <w:p w:rsidR="00D33B61" w:rsidRPr="00792833" w:rsidRDefault="00D33B61" w:rsidP="00440B99">
      <w:pPr>
        <w:jc w:val="center"/>
        <w:rPr>
          <w:b/>
          <w:bCs/>
          <w:sz w:val="22"/>
          <w:szCs w:val="22"/>
          <w:lang w:val="el-GR"/>
        </w:rPr>
      </w:pPr>
      <w:r w:rsidRPr="00792833">
        <w:rPr>
          <w:b/>
          <w:bCs/>
          <w:sz w:val="22"/>
          <w:szCs w:val="22"/>
          <w:lang w:val="el-GR"/>
        </w:rPr>
        <w:t>ΠΕΡΙΛΗΨΗ ΤΩΝ ΧΑΡΑΚΤΗΡΙΣΤΙΚΩΝ ΤΟΥ ΠΡΟΪΟΝΤΟΣ</w:t>
      </w:r>
    </w:p>
    <w:p w:rsidR="00D33B61" w:rsidRPr="00792833" w:rsidRDefault="00D33B61" w:rsidP="00440B99">
      <w:pPr>
        <w:jc w:val="both"/>
        <w:rPr>
          <w:b/>
          <w:bCs/>
          <w:sz w:val="22"/>
          <w:szCs w:val="22"/>
          <w:lang w:val="el-GR"/>
        </w:rPr>
      </w:pPr>
      <w:r w:rsidRPr="00792833">
        <w:rPr>
          <w:b/>
          <w:bCs/>
          <w:sz w:val="22"/>
          <w:szCs w:val="22"/>
          <w:lang w:val="el-GR"/>
        </w:rPr>
        <w:br w:type="page"/>
      </w:r>
    </w:p>
    <w:p w:rsidR="00D33B61" w:rsidRPr="00792833" w:rsidRDefault="00D33B61" w:rsidP="00440B99">
      <w:pPr>
        <w:tabs>
          <w:tab w:val="left" w:pos="142"/>
          <w:tab w:val="left" w:pos="720"/>
        </w:tabs>
        <w:jc w:val="both"/>
        <w:rPr>
          <w:sz w:val="22"/>
          <w:szCs w:val="22"/>
          <w:lang w:val="el-GR"/>
        </w:rPr>
      </w:pPr>
      <w:r w:rsidRPr="00792833">
        <w:rPr>
          <w:b/>
          <w:bCs/>
          <w:sz w:val="22"/>
          <w:szCs w:val="22"/>
          <w:lang w:val="el-GR"/>
        </w:rPr>
        <w:lastRenderedPageBreak/>
        <w:t>1.</w:t>
      </w:r>
      <w:r w:rsidRPr="00792833">
        <w:rPr>
          <w:b/>
          <w:bCs/>
          <w:sz w:val="22"/>
          <w:szCs w:val="22"/>
          <w:lang w:val="el-GR"/>
        </w:rPr>
        <w:tab/>
        <w:t>ΟΝΟΜΑΣΙΑ ΤΟΥ ΦΑΡΜΑΚΕΥΤΙΚΟΥ ΠΡΟΪΟΝΤΟΣ</w:t>
      </w:r>
      <w:r w:rsidRPr="00792833">
        <w:rPr>
          <w:sz w:val="22"/>
          <w:szCs w:val="22"/>
          <w:lang w:val="el-GR"/>
        </w:rPr>
        <w:t xml:space="preserve"> </w:t>
      </w:r>
    </w:p>
    <w:p w:rsidR="00D33B61" w:rsidRPr="00792833" w:rsidRDefault="00D33B61" w:rsidP="00440B99">
      <w:pPr>
        <w:tabs>
          <w:tab w:val="left" w:pos="142"/>
        </w:tabs>
        <w:jc w:val="both"/>
        <w:rPr>
          <w:sz w:val="22"/>
          <w:szCs w:val="22"/>
          <w:lang w:val="el-GR"/>
        </w:rPr>
      </w:pPr>
    </w:p>
    <w:p w:rsidR="00D33B61" w:rsidRPr="00645EFE" w:rsidRDefault="00D33B61" w:rsidP="00440B99">
      <w:pPr>
        <w:tabs>
          <w:tab w:val="left" w:pos="142"/>
        </w:tabs>
        <w:jc w:val="both"/>
        <w:rPr>
          <w:sz w:val="22"/>
          <w:szCs w:val="22"/>
          <w:lang w:val="el-GR"/>
        </w:rPr>
      </w:pPr>
      <w:r w:rsidRPr="00792833">
        <w:rPr>
          <w:sz w:val="22"/>
          <w:szCs w:val="22"/>
        </w:rPr>
        <w:t>Alburex</w:t>
      </w:r>
      <w:r w:rsidRPr="00792833">
        <w:rPr>
          <w:sz w:val="22"/>
          <w:szCs w:val="22"/>
          <w:lang w:val="el-GR"/>
        </w:rPr>
        <w:t xml:space="preserve"> 20, 200</w:t>
      </w:r>
      <w:r w:rsidR="00792833" w:rsidRPr="00FF08A9">
        <w:rPr>
          <w:sz w:val="22"/>
          <w:szCs w:val="22"/>
          <w:lang w:val="el-GR"/>
        </w:rPr>
        <w:t xml:space="preserve"> </w:t>
      </w:r>
      <w:r w:rsidRPr="007B0BC2">
        <w:rPr>
          <w:sz w:val="22"/>
          <w:szCs w:val="22"/>
        </w:rPr>
        <w:t>g</w:t>
      </w:r>
      <w:r w:rsidRPr="007B0BC2">
        <w:rPr>
          <w:sz w:val="22"/>
          <w:szCs w:val="22"/>
          <w:lang w:val="el-GR"/>
        </w:rPr>
        <w:t>/</w:t>
      </w:r>
      <w:r w:rsidRPr="00C7381B">
        <w:rPr>
          <w:sz w:val="22"/>
          <w:szCs w:val="22"/>
        </w:rPr>
        <w:t>l</w:t>
      </w:r>
      <w:r w:rsidRPr="00645EFE">
        <w:rPr>
          <w:sz w:val="22"/>
          <w:szCs w:val="22"/>
          <w:lang w:val="el-GR"/>
        </w:rPr>
        <w:t xml:space="preserve"> </w:t>
      </w:r>
      <w:r w:rsidRPr="00645EFE">
        <w:rPr>
          <w:caps/>
          <w:sz w:val="22"/>
          <w:szCs w:val="22"/>
          <w:lang w:val="el-GR"/>
        </w:rPr>
        <w:t>Δ</w:t>
      </w:r>
      <w:r w:rsidRPr="00645EFE">
        <w:rPr>
          <w:sz w:val="22"/>
          <w:szCs w:val="22"/>
          <w:lang w:val="el-GR"/>
        </w:rPr>
        <w:t xml:space="preserve">ιάλυμα για έγχυση. </w:t>
      </w:r>
    </w:p>
    <w:p w:rsidR="00D33B61" w:rsidRPr="00645EFE" w:rsidRDefault="00D33B61" w:rsidP="00440B99">
      <w:pPr>
        <w:tabs>
          <w:tab w:val="left" w:pos="142"/>
        </w:tabs>
        <w:jc w:val="both"/>
        <w:rPr>
          <w:sz w:val="22"/>
          <w:szCs w:val="22"/>
          <w:lang w:val="el-GR"/>
        </w:rPr>
      </w:pPr>
    </w:p>
    <w:p w:rsidR="00D33B61" w:rsidRPr="00645EFE" w:rsidRDefault="00D33B61" w:rsidP="00440B99">
      <w:pPr>
        <w:tabs>
          <w:tab w:val="left" w:pos="142"/>
        </w:tabs>
        <w:jc w:val="both"/>
        <w:rPr>
          <w:sz w:val="22"/>
          <w:szCs w:val="22"/>
          <w:lang w:val="el-GR"/>
        </w:rPr>
      </w:pPr>
    </w:p>
    <w:p w:rsidR="00D33B61" w:rsidRPr="00645EFE" w:rsidRDefault="00D33B61" w:rsidP="00440B99">
      <w:pPr>
        <w:tabs>
          <w:tab w:val="left" w:pos="142"/>
          <w:tab w:val="left" w:pos="720"/>
        </w:tabs>
        <w:jc w:val="both"/>
        <w:rPr>
          <w:b/>
          <w:bCs/>
          <w:sz w:val="22"/>
          <w:szCs w:val="22"/>
          <w:lang w:val="el-GR"/>
        </w:rPr>
      </w:pPr>
      <w:r w:rsidRPr="00645EFE">
        <w:rPr>
          <w:b/>
          <w:bCs/>
          <w:sz w:val="22"/>
          <w:szCs w:val="22"/>
          <w:lang w:val="el-GR"/>
        </w:rPr>
        <w:t>2.</w:t>
      </w:r>
      <w:r w:rsidRPr="00645EFE">
        <w:rPr>
          <w:b/>
          <w:bCs/>
          <w:sz w:val="22"/>
          <w:szCs w:val="22"/>
          <w:lang w:val="el-GR"/>
        </w:rPr>
        <w:tab/>
        <w:t>ΠΟΙΟΤΙΚΗ ΚΑΙ ΠΟΣΟΤΙΚΗ ΣΥΝΘΕΣΗ</w:t>
      </w:r>
    </w:p>
    <w:p w:rsidR="00D33B61" w:rsidRPr="00645EFE" w:rsidRDefault="00D33B61" w:rsidP="00440B99">
      <w:pPr>
        <w:tabs>
          <w:tab w:val="left" w:pos="142"/>
        </w:tabs>
        <w:jc w:val="both"/>
        <w:rPr>
          <w:b/>
          <w:bCs/>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 xml:space="preserve">Το </w:t>
      </w:r>
      <w:r w:rsidRPr="00645EFE">
        <w:rPr>
          <w:sz w:val="22"/>
          <w:szCs w:val="22"/>
        </w:rPr>
        <w:t>Alburex</w:t>
      </w:r>
      <w:r w:rsidRPr="00645EFE">
        <w:rPr>
          <w:sz w:val="22"/>
          <w:szCs w:val="22"/>
          <w:lang w:val="el-GR"/>
        </w:rPr>
        <w:t xml:space="preserve"> 20, 200</w:t>
      </w:r>
      <w:r w:rsidR="00792833" w:rsidRPr="00FF08A9">
        <w:rPr>
          <w:sz w:val="22"/>
          <w:szCs w:val="22"/>
          <w:lang w:val="el-GR"/>
        </w:rPr>
        <w:t xml:space="preserve"> </w:t>
      </w:r>
      <w:r w:rsidRPr="007B0BC2">
        <w:rPr>
          <w:sz w:val="22"/>
          <w:szCs w:val="22"/>
        </w:rPr>
        <w:t>g</w:t>
      </w:r>
      <w:r w:rsidRPr="007B0BC2">
        <w:rPr>
          <w:sz w:val="22"/>
          <w:szCs w:val="22"/>
          <w:lang w:val="el-GR"/>
        </w:rPr>
        <w:t>/</w:t>
      </w:r>
      <w:r w:rsidRPr="007B0BC2">
        <w:rPr>
          <w:sz w:val="22"/>
          <w:szCs w:val="22"/>
        </w:rPr>
        <w:t>l</w:t>
      </w:r>
      <w:r w:rsidRPr="00645EFE">
        <w:rPr>
          <w:sz w:val="22"/>
          <w:szCs w:val="22"/>
          <w:lang w:val="el-GR"/>
        </w:rPr>
        <w:t xml:space="preserve"> είναι ένα διάλυμα που περιέχει 200</w:t>
      </w:r>
      <w:r w:rsidR="00792833" w:rsidRPr="00FF08A9">
        <w:rPr>
          <w:sz w:val="22"/>
          <w:szCs w:val="22"/>
          <w:lang w:val="el-GR"/>
        </w:rPr>
        <w:t xml:space="preserve"> </w:t>
      </w:r>
      <w:r w:rsidRPr="001805C4">
        <w:rPr>
          <w:sz w:val="22"/>
          <w:szCs w:val="22"/>
          <w:lang w:val="en-US"/>
        </w:rPr>
        <w:t>g</w:t>
      </w:r>
      <w:r w:rsidRPr="001805C4">
        <w:rPr>
          <w:sz w:val="22"/>
          <w:szCs w:val="22"/>
          <w:lang w:val="el-GR"/>
        </w:rPr>
        <w:t>/</w:t>
      </w:r>
      <w:r w:rsidRPr="001805C4">
        <w:rPr>
          <w:sz w:val="22"/>
          <w:szCs w:val="22"/>
          <w:lang w:val="en-US"/>
        </w:rPr>
        <w:t>l</w:t>
      </w:r>
      <w:r w:rsidRPr="00645EFE">
        <w:rPr>
          <w:sz w:val="22"/>
          <w:szCs w:val="22"/>
          <w:lang w:val="el-GR"/>
        </w:rPr>
        <w:t xml:space="preserve"> ολική πρωτεΐνη της οποίας τουλάχιστον το 96% είναι ανθρώπινη λευκωματίνη.</w:t>
      </w:r>
    </w:p>
    <w:p w:rsidR="00D33B61" w:rsidRPr="00645EFE" w:rsidRDefault="00D33B61" w:rsidP="00645EFE">
      <w:pPr>
        <w:tabs>
          <w:tab w:val="left" w:pos="142"/>
          <w:tab w:val="left" w:pos="567"/>
        </w:tabs>
        <w:jc w:val="both"/>
        <w:rPr>
          <w:sz w:val="22"/>
          <w:szCs w:val="22"/>
          <w:lang w:val="el-GR"/>
        </w:rPr>
      </w:pPr>
    </w:p>
    <w:p w:rsidR="00D33B61" w:rsidRPr="00645EFE" w:rsidRDefault="00D33B61" w:rsidP="00645EFE">
      <w:pPr>
        <w:tabs>
          <w:tab w:val="left" w:pos="142"/>
          <w:tab w:val="left" w:pos="567"/>
        </w:tabs>
        <w:jc w:val="both"/>
        <w:rPr>
          <w:sz w:val="22"/>
          <w:szCs w:val="22"/>
          <w:lang w:val="el-GR"/>
        </w:rPr>
      </w:pPr>
      <w:r w:rsidRPr="00645EFE">
        <w:rPr>
          <w:sz w:val="22"/>
          <w:szCs w:val="22"/>
          <w:lang w:val="el-GR"/>
        </w:rPr>
        <w:t xml:space="preserve">Ένα φιαλίδιο των 50 </w:t>
      </w:r>
      <w:r w:rsidRPr="00645EFE">
        <w:rPr>
          <w:sz w:val="22"/>
          <w:szCs w:val="22"/>
        </w:rPr>
        <w:t>ml</w:t>
      </w:r>
      <w:r w:rsidRPr="00645EFE">
        <w:rPr>
          <w:sz w:val="22"/>
          <w:szCs w:val="22"/>
          <w:lang w:val="el-GR"/>
        </w:rPr>
        <w:t xml:space="preserve"> περιέχει 10 </w:t>
      </w:r>
      <w:r w:rsidRPr="00645EFE">
        <w:rPr>
          <w:sz w:val="22"/>
          <w:szCs w:val="22"/>
        </w:rPr>
        <w:t>g</w:t>
      </w:r>
      <w:r w:rsidRPr="00645EFE">
        <w:rPr>
          <w:sz w:val="22"/>
          <w:szCs w:val="22"/>
          <w:lang w:val="el-GR"/>
        </w:rPr>
        <w:t xml:space="preserve"> ανθρώπινης λευκωματίνης.</w:t>
      </w:r>
    </w:p>
    <w:p w:rsidR="00D33B61" w:rsidRPr="00645EFE" w:rsidRDefault="00D33B61" w:rsidP="00645EFE">
      <w:pPr>
        <w:tabs>
          <w:tab w:val="left" w:pos="142"/>
          <w:tab w:val="left" w:pos="567"/>
        </w:tabs>
        <w:jc w:val="both"/>
        <w:rPr>
          <w:sz w:val="22"/>
          <w:szCs w:val="22"/>
          <w:lang w:val="el-GR"/>
        </w:rPr>
      </w:pPr>
      <w:r w:rsidRPr="00645EFE">
        <w:rPr>
          <w:sz w:val="22"/>
          <w:szCs w:val="22"/>
          <w:lang w:val="el-GR"/>
        </w:rPr>
        <w:t xml:space="preserve">Ένα φιαλίδιο των 100 </w:t>
      </w:r>
      <w:r w:rsidRPr="00645EFE">
        <w:rPr>
          <w:sz w:val="22"/>
          <w:szCs w:val="22"/>
        </w:rPr>
        <w:t>ml</w:t>
      </w:r>
      <w:r w:rsidRPr="00645EFE">
        <w:rPr>
          <w:sz w:val="22"/>
          <w:szCs w:val="22"/>
          <w:lang w:val="el-GR"/>
        </w:rPr>
        <w:t xml:space="preserve"> περιέχει 20 </w:t>
      </w:r>
      <w:r w:rsidRPr="00645EFE">
        <w:rPr>
          <w:sz w:val="22"/>
          <w:szCs w:val="22"/>
        </w:rPr>
        <w:t>g</w:t>
      </w:r>
      <w:r w:rsidRPr="00645EFE">
        <w:rPr>
          <w:sz w:val="22"/>
          <w:szCs w:val="22"/>
          <w:lang w:val="el-GR"/>
        </w:rPr>
        <w:t xml:space="preserve"> ανθρώπινης λευκωματίνης.</w:t>
      </w:r>
    </w:p>
    <w:p w:rsidR="00D33B61" w:rsidRPr="00645EFE" w:rsidRDefault="00D33B61" w:rsidP="00645EFE">
      <w:pPr>
        <w:tabs>
          <w:tab w:val="left" w:pos="142"/>
          <w:tab w:val="left" w:pos="567"/>
        </w:tabs>
        <w:jc w:val="both"/>
        <w:rPr>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 xml:space="preserve">Το </w:t>
      </w:r>
      <w:r w:rsidRPr="00645EFE">
        <w:rPr>
          <w:sz w:val="22"/>
          <w:szCs w:val="22"/>
        </w:rPr>
        <w:t>Alburex</w:t>
      </w:r>
      <w:r w:rsidRPr="00645EFE">
        <w:rPr>
          <w:sz w:val="22"/>
          <w:szCs w:val="22"/>
          <w:lang w:val="el-GR"/>
        </w:rPr>
        <w:t xml:space="preserve"> 20 είναι υπερογκωτικό σε σχέση με το φυσιολογικό πλάσμα.</w:t>
      </w:r>
    </w:p>
    <w:p w:rsidR="003E0A96" w:rsidRPr="00FF08A9" w:rsidRDefault="003E0A96" w:rsidP="00645EFE">
      <w:pPr>
        <w:tabs>
          <w:tab w:val="left" w:pos="142"/>
        </w:tabs>
        <w:jc w:val="both"/>
        <w:rPr>
          <w:sz w:val="22"/>
          <w:szCs w:val="22"/>
          <w:lang w:val="el-GR"/>
        </w:rPr>
      </w:pPr>
    </w:p>
    <w:p w:rsidR="00D33B61" w:rsidRPr="009862E4" w:rsidRDefault="00F46F06" w:rsidP="00645EFE">
      <w:pPr>
        <w:tabs>
          <w:tab w:val="left" w:pos="142"/>
        </w:tabs>
        <w:jc w:val="both"/>
        <w:rPr>
          <w:sz w:val="22"/>
          <w:szCs w:val="22"/>
          <w:lang w:val="el-GR"/>
        </w:rPr>
      </w:pPr>
      <w:r>
        <w:rPr>
          <w:sz w:val="22"/>
          <w:szCs w:val="22"/>
          <w:lang w:val="el-GR"/>
        </w:rPr>
        <w:t>Έκδοχα με γνωστές δράσεις</w:t>
      </w:r>
      <w:r w:rsidR="003E0A96" w:rsidRPr="00FF08A9">
        <w:rPr>
          <w:sz w:val="22"/>
          <w:szCs w:val="22"/>
          <w:lang w:val="el-GR"/>
        </w:rPr>
        <w:t>:</w:t>
      </w:r>
    </w:p>
    <w:p w:rsidR="003E0A96" w:rsidRPr="003E0A96" w:rsidRDefault="003E0A96" w:rsidP="00645EFE">
      <w:pPr>
        <w:tabs>
          <w:tab w:val="left" w:pos="142"/>
        </w:tabs>
        <w:jc w:val="both"/>
        <w:rPr>
          <w:sz w:val="22"/>
          <w:szCs w:val="22"/>
          <w:lang w:val="el-GR"/>
        </w:rPr>
      </w:pPr>
      <w:r>
        <w:rPr>
          <w:sz w:val="22"/>
          <w:szCs w:val="22"/>
          <w:lang w:val="el-GR"/>
        </w:rPr>
        <w:t xml:space="preserve">Το </w:t>
      </w:r>
      <w:r>
        <w:rPr>
          <w:sz w:val="22"/>
          <w:szCs w:val="22"/>
          <w:lang w:val="en-US"/>
        </w:rPr>
        <w:t>Alburex</w:t>
      </w:r>
      <w:r w:rsidRPr="00FF08A9">
        <w:rPr>
          <w:sz w:val="22"/>
          <w:szCs w:val="22"/>
          <w:lang w:val="el-GR"/>
        </w:rPr>
        <w:t xml:space="preserve"> 20 </w:t>
      </w:r>
      <w:r>
        <w:rPr>
          <w:sz w:val="22"/>
          <w:szCs w:val="22"/>
          <w:lang w:val="el-GR"/>
        </w:rPr>
        <w:t>περιέχει περίπου 3</w:t>
      </w:r>
      <w:r w:rsidRPr="00FF08A9">
        <w:rPr>
          <w:sz w:val="22"/>
          <w:szCs w:val="22"/>
          <w:lang w:val="el-GR"/>
        </w:rPr>
        <w:t>,</w:t>
      </w:r>
      <w:r>
        <w:rPr>
          <w:sz w:val="22"/>
          <w:szCs w:val="22"/>
          <w:lang w:val="el-GR"/>
        </w:rPr>
        <w:t>2</w:t>
      </w:r>
      <w:r w:rsidR="004C29A4" w:rsidRPr="00FF08A9">
        <w:rPr>
          <w:sz w:val="22"/>
          <w:szCs w:val="22"/>
          <w:lang w:val="el-GR"/>
        </w:rPr>
        <w:t xml:space="preserve"> </w:t>
      </w:r>
      <w:r w:rsidRPr="007B0BC2">
        <w:rPr>
          <w:sz w:val="22"/>
          <w:szCs w:val="22"/>
          <w:lang w:val="en-US"/>
        </w:rPr>
        <w:t>mg</w:t>
      </w:r>
      <w:r w:rsidRPr="00FF08A9">
        <w:rPr>
          <w:sz w:val="22"/>
          <w:szCs w:val="22"/>
          <w:lang w:val="el-GR"/>
        </w:rPr>
        <w:t xml:space="preserve"> </w:t>
      </w:r>
      <w:r>
        <w:rPr>
          <w:sz w:val="22"/>
          <w:szCs w:val="22"/>
          <w:lang w:val="el-GR"/>
        </w:rPr>
        <w:t xml:space="preserve">νατρίου ανά </w:t>
      </w:r>
      <w:r>
        <w:rPr>
          <w:sz w:val="22"/>
          <w:szCs w:val="22"/>
          <w:lang w:val="en-US"/>
        </w:rPr>
        <w:t>ml</w:t>
      </w:r>
      <w:r w:rsidRPr="00FF08A9">
        <w:rPr>
          <w:sz w:val="22"/>
          <w:szCs w:val="22"/>
          <w:lang w:val="el-GR"/>
        </w:rPr>
        <w:t xml:space="preserve"> </w:t>
      </w:r>
      <w:r>
        <w:rPr>
          <w:sz w:val="22"/>
          <w:szCs w:val="22"/>
          <w:lang w:val="el-GR"/>
        </w:rPr>
        <w:t>διαλύματος (</w:t>
      </w:r>
      <w:r w:rsidRPr="00FF08A9">
        <w:rPr>
          <w:rFonts w:eastAsia="Arial Unicode MS"/>
          <w:sz w:val="22"/>
          <w:szCs w:val="22"/>
          <w:lang w:val="el-GR" w:eastAsia="ja-JP"/>
        </w:rPr>
        <w:t>140</w:t>
      </w:r>
      <w:r w:rsidRPr="003E0A96">
        <w:rPr>
          <w:rFonts w:eastAsia="Arial Unicode MS"/>
          <w:sz w:val="22"/>
          <w:szCs w:val="22"/>
          <w:lang w:val="en-US" w:eastAsia="ja-JP"/>
        </w:rPr>
        <w:t> mmol</w:t>
      </w:r>
      <w:r w:rsidRPr="00FF08A9">
        <w:rPr>
          <w:rFonts w:eastAsia="Arial Unicode MS"/>
          <w:sz w:val="22"/>
          <w:szCs w:val="22"/>
          <w:lang w:val="el-GR" w:eastAsia="ja-JP"/>
        </w:rPr>
        <w:t>/</w:t>
      </w:r>
      <w:r w:rsidRPr="003E0A96">
        <w:rPr>
          <w:rFonts w:eastAsia="Arial Unicode MS"/>
          <w:sz w:val="22"/>
          <w:szCs w:val="22"/>
          <w:lang w:val="en-US" w:eastAsia="ja-JP"/>
        </w:rPr>
        <w:t>l</w:t>
      </w:r>
      <w:r w:rsidRPr="00FF08A9">
        <w:rPr>
          <w:rFonts w:eastAsia="Arial Unicode MS"/>
          <w:sz w:val="22"/>
          <w:szCs w:val="22"/>
          <w:lang w:val="el-GR" w:eastAsia="ja-JP"/>
        </w:rPr>
        <w:t>).</w:t>
      </w:r>
    </w:p>
    <w:p w:rsidR="003E0A96" w:rsidRPr="00645EFE" w:rsidRDefault="003E0A96"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Για τον πλήρη κατάλογο των εκδόχων, βλ. παράγραφο 6.1</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3.</w:t>
      </w:r>
      <w:r w:rsidRPr="00645EFE">
        <w:rPr>
          <w:b/>
          <w:bCs/>
          <w:sz w:val="22"/>
          <w:szCs w:val="22"/>
          <w:lang w:val="el-GR"/>
        </w:rPr>
        <w:tab/>
        <w:t>ΦΑΡΜΑΚΟΤΕΧΝΙΚΗ ΜΟΡΦΗ</w:t>
      </w:r>
    </w:p>
    <w:p w:rsidR="00D33B61" w:rsidRPr="00645EFE" w:rsidRDefault="00D33B61" w:rsidP="00645EFE">
      <w:pPr>
        <w:tabs>
          <w:tab w:val="left" w:pos="142"/>
        </w:tabs>
        <w:jc w:val="both"/>
        <w:rPr>
          <w:b/>
          <w:bCs/>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Διάλυμα για έγχυση.</w:t>
      </w:r>
    </w:p>
    <w:p w:rsidR="00D33B61" w:rsidRPr="00645EFE" w:rsidRDefault="00D33B61" w:rsidP="00645EFE">
      <w:pPr>
        <w:tabs>
          <w:tab w:val="left" w:pos="142"/>
        </w:tabs>
        <w:jc w:val="both"/>
        <w:rPr>
          <w:sz w:val="22"/>
          <w:szCs w:val="22"/>
          <w:lang w:val="el-GR"/>
        </w:rPr>
      </w:pPr>
      <w:r w:rsidRPr="00645EFE">
        <w:rPr>
          <w:sz w:val="22"/>
          <w:szCs w:val="22"/>
          <w:lang w:val="el-GR"/>
        </w:rPr>
        <w:t>Ένα διαυγές, ελαφρώς παχύρευστο υγρό, σχεδόν άχρωμο, κίτρινο, κεχριμπαρένιο ή πράσινο.</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4.</w:t>
      </w:r>
      <w:r w:rsidRPr="00645EFE">
        <w:rPr>
          <w:b/>
          <w:bCs/>
          <w:sz w:val="22"/>
          <w:szCs w:val="22"/>
          <w:lang w:val="el-GR"/>
        </w:rPr>
        <w:tab/>
        <w:t>ΚΛΙΝΙΚΕΣ ΠΛΗΡΟΦΟΡΙΕΣ</w:t>
      </w:r>
    </w:p>
    <w:p w:rsidR="00D33B61" w:rsidRPr="00645EFE" w:rsidRDefault="00D33B61" w:rsidP="00645EFE">
      <w:pPr>
        <w:tabs>
          <w:tab w:val="left" w:pos="142"/>
        </w:tabs>
        <w:jc w:val="both"/>
        <w:rPr>
          <w:b/>
          <w:bCs/>
          <w:sz w:val="22"/>
          <w:szCs w:val="22"/>
          <w:lang w:val="el-GR"/>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4.1</w:t>
      </w:r>
      <w:r w:rsidRPr="00645EFE">
        <w:rPr>
          <w:b/>
          <w:bCs/>
          <w:sz w:val="22"/>
          <w:szCs w:val="22"/>
          <w:lang w:val="el-GR"/>
        </w:rPr>
        <w:tab/>
        <w:t>Θεραπευτικές ενδείξεις</w:t>
      </w:r>
    </w:p>
    <w:p w:rsidR="00D33B61" w:rsidRPr="00645EFE" w:rsidRDefault="00D33B61" w:rsidP="00645EFE">
      <w:pPr>
        <w:tabs>
          <w:tab w:val="left" w:pos="142"/>
        </w:tabs>
        <w:jc w:val="both"/>
        <w:rPr>
          <w:b/>
          <w:bCs/>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Αποκατάσταση και διατήρηση του κυκλοφορούντος όγκου του αίματος όταν έχει αποδειχθεί η ανεπάρκεια του όγκου και η χρήση ενός κολλοειδούς είναι κατάλληλη.</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b/>
          <w:bCs/>
          <w:sz w:val="22"/>
          <w:szCs w:val="22"/>
          <w:lang w:val="el-GR"/>
        </w:rPr>
      </w:pPr>
      <w:r w:rsidRPr="00645EFE">
        <w:rPr>
          <w:sz w:val="22"/>
          <w:szCs w:val="22"/>
          <w:lang w:val="el-GR"/>
        </w:rPr>
        <w:t>Η επιλογή της λευκωματίνης αντί ενός τεχνητού κολλοειδούς θα εξαρτηθεί από την κλινική κατάσταση του συγκεκριμένου ασθενή, βάσει επίσημων οδηγιών.</w:t>
      </w:r>
    </w:p>
    <w:p w:rsidR="00D33B61" w:rsidRPr="00645EFE" w:rsidRDefault="00D33B61" w:rsidP="00645EFE">
      <w:pPr>
        <w:tabs>
          <w:tab w:val="left" w:pos="142"/>
        </w:tabs>
        <w:jc w:val="both"/>
        <w:rPr>
          <w:b/>
          <w:bCs/>
          <w:sz w:val="22"/>
          <w:szCs w:val="22"/>
          <w:lang w:val="el-GR"/>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4.2</w:t>
      </w:r>
      <w:r w:rsidRPr="00645EFE">
        <w:rPr>
          <w:b/>
          <w:bCs/>
          <w:sz w:val="22"/>
          <w:szCs w:val="22"/>
          <w:lang w:val="el-GR"/>
        </w:rPr>
        <w:tab/>
        <w:t>Δοσολογία και τρόπος χορήγησης</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Η συγκέντρωση του σκευάσματος λευκωματίνης, η δοσολογία και ο ρυθμός έγχυσης πρέπει να προσαρμόζονται στις ατομικές ανάγκες του ασθενή.</w:t>
      </w:r>
    </w:p>
    <w:p w:rsidR="00D33B61" w:rsidRPr="00645EFE" w:rsidRDefault="00D33B61" w:rsidP="00645EFE">
      <w:pPr>
        <w:tabs>
          <w:tab w:val="left" w:pos="142"/>
        </w:tabs>
        <w:jc w:val="both"/>
        <w:rPr>
          <w:b/>
          <w:bCs/>
          <w:i/>
          <w:iCs/>
          <w:sz w:val="22"/>
          <w:szCs w:val="22"/>
          <w:lang w:val="el-GR"/>
        </w:rPr>
      </w:pPr>
    </w:p>
    <w:p w:rsidR="00D33B61" w:rsidRPr="00645EFE" w:rsidRDefault="00D33B61" w:rsidP="00645EFE">
      <w:pPr>
        <w:tabs>
          <w:tab w:val="left" w:pos="142"/>
        </w:tabs>
        <w:jc w:val="both"/>
        <w:rPr>
          <w:sz w:val="22"/>
          <w:szCs w:val="22"/>
          <w:u w:val="single"/>
          <w:lang w:val="el-GR"/>
        </w:rPr>
      </w:pPr>
      <w:r w:rsidRPr="00645EFE">
        <w:rPr>
          <w:sz w:val="22"/>
          <w:szCs w:val="22"/>
          <w:u w:val="single"/>
          <w:lang w:val="el-GR"/>
        </w:rPr>
        <w:t>Δοσολογία</w:t>
      </w:r>
    </w:p>
    <w:p w:rsidR="00D33B61" w:rsidRPr="00645EFE" w:rsidRDefault="00D33B61" w:rsidP="00645EFE">
      <w:pPr>
        <w:tabs>
          <w:tab w:val="left" w:pos="142"/>
        </w:tabs>
        <w:jc w:val="both"/>
        <w:rPr>
          <w:sz w:val="22"/>
          <w:szCs w:val="22"/>
          <w:lang w:val="el-GR"/>
        </w:rPr>
      </w:pPr>
      <w:r w:rsidRPr="00645EFE">
        <w:rPr>
          <w:sz w:val="22"/>
          <w:szCs w:val="22"/>
          <w:lang w:val="el-GR"/>
        </w:rPr>
        <w:t>Η απαιτούμενη δόση εξαρτάται από το μέγεθος του ασθενή, τη σοβαρότητα του τραύματος ή της ασθένειας και από τις συνεχιζόμενες απώλειες υγρών και πρωτεϊνών. Για τον καθορισμό της απαιτούμενης δόσης πρέπει να διενεργούνται μετρήσεις του κυκλοφορούντος όγκου πλάσματος και όχι των επιπέδων της λευκωματίνης στο πλάσμα.</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Εάν πρόκειται να χορηγηθεί ανθρώπινη λευκωματίνη, πρέπει να ελέγχεται σε τακτά χρονικά διαστήματα η αιμοδυναμική κατάσταση. Ο έλεγχος μπορεί να περιλαμβάνει:</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αρτηριακή πίεση και αριθμό παλμών ανά λεπτό</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πίεση κεντρικής φλέβας</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πίεση ενσφήνωσης της πνευμονικής αρτηρίας</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εξαγόμενη ποσότητα των ούρων</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ηλεκτρολύτες</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 xml:space="preserve">αιματοκρίτη/αιμοσφαιρίνη </w:t>
      </w:r>
    </w:p>
    <w:p w:rsidR="00D33B61" w:rsidRPr="00645EFE" w:rsidRDefault="00D33B61" w:rsidP="00645EFE">
      <w:pPr>
        <w:ind w:left="709"/>
        <w:jc w:val="both"/>
        <w:rPr>
          <w:i/>
          <w:iCs/>
          <w:sz w:val="22"/>
          <w:szCs w:val="22"/>
        </w:rPr>
      </w:pPr>
    </w:p>
    <w:p w:rsidR="00440B99" w:rsidRPr="00645EFE" w:rsidRDefault="00440B99" w:rsidP="00645EFE">
      <w:pPr>
        <w:widowControl w:val="0"/>
        <w:jc w:val="both"/>
        <w:rPr>
          <w:i/>
          <w:iCs/>
          <w:sz w:val="22"/>
          <w:szCs w:val="22"/>
          <w:lang w:val="el-GR"/>
        </w:rPr>
      </w:pPr>
      <w:r w:rsidRPr="00645EFE">
        <w:rPr>
          <w:i/>
          <w:iCs/>
          <w:sz w:val="22"/>
          <w:szCs w:val="22"/>
          <w:lang w:val="el-GR"/>
        </w:rPr>
        <w:t>Παιδιατρικός πληθυσμός</w:t>
      </w:r>
    </w:p>
    <w:p w:rsidR="00440B99" w:rsidRPr="00645EFE" w:rsidRDefault="00440B99" w:rsidP="00645EFE">
      <w:pPr>
        <w:widowControl w:val="0"/>
        <w:tabs>
          <w:tab w:val="left" w:pos="142"/>
        </w:tabs>
        <w:jc w:val="both"/>
        <w:rPr>
          <w:sz w:val="22"/>
          <w:szCs w:val="22"/>
          <w:lang w:val="el-GR"/>
        </w:rPr>
      </w:pPr>
      <w:r w:rsidRPr="00645EFE">
        <w:rPr>
          <w:sz w:val="22"/>
          <w:szCs w:val="22"/>
          <w:lang w:val="el-GR"/>
        </w:rPr>
        <w:t>Η δοσολογία στα παιδιά και στους εφήβους (0-18 ετών) πρέπει να προσαρμόζεται στις εξατομικευμένες ανάγκες του ασθενή.</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u w:val="single"/>
          <w:lang w:val="el-GR"/>
        </w:rPr>
      </w:pPr>
      <w:r w:rsidRPr="00645EFE">
        <w:rPr>
          <w:sz w:val="22"/>
          <w:szCs w:val="22"/>
          <w:u w:val="single"/>
          <w:lang w:val="el-GR"/>
        </w:rPr>
        <w:t xml:space="preserve">Τρόπος χορήγησης </w:t>
      </w:r>
    </w:p>
    <w:p w:rsidR="00440B99" w:rsidRPr="00645EFE" w:rsidRDefault="00D33B61" w:rsidP="00645EFE">
      <w:pPr>
        <w:tabs>
          <w:tab w:val="left" w:pos="142"/>
        </w:tabs>
        <w:jc w:val="both"/>
        <w:rPr>
          <w:sz w:val="22"/>
          <w:szCs w:val="22"/>
          <w:lang w:val="el-GR"/>
        </w:rPr>
      </w:pPr>
      <w:r w:rsidRPr="00645EFE">
        <w:rPr>
          <w:sz w:val="22"/>
          <w:szCs w:val="22"/>
          <w:lang w:val="el-GR"/>
        </w:rPr>
        <w:t xml:space="preserve">Η ανθρώπινη λευκωματίνη μπορεί να χορηγηθεί </w:t>
      </w:r>
      <w:r w:rsidR="00440B99" w:rsidRPr="00645EFE">
        <w:rPr>
          <w:sz w:val="22"/>
          <w:szCs w:val="22"/>
          <w:lang w:val="el-GR"/>
        </w:rPr>
        <w:t xml:space="preserve">απευθείας </w:t>
      </w:r>
      <w:r w:rsidRPr="00645EFE">
        <w:rPr>
          <w:sz w:val="22"/>
          <w:szCs w:val="22"/>
          <w:lang w:val="el-GR"/>
        </w:rPr>
        <w:t xml:space="preserve">διά της ενδοφλέβιας οδού είτε αδιάλυτη είτε μετά από αραίωση σε ισότονο διάλυμα (π.χ. γλυκόζη 5% ή χλωριούχο νάτριο 0,9%). </w:t>
      </w:r>
    </w:p>
    <w:p w:rsidR="00440B99" w:rsidRPr="00645EFE" w:rsidRDefault="00D33B61" w:rsidP="00645EFE">
      <w:pPr>
        <w:tabs>
          <w:tab w:val="left" w:pos="142"/>
        </w:tabs>
        <w:jc w:val="both"/>
        <w:rPr>
          <w:sz w:val="22"/>
          <w:szCs w:val="22"/>
          <w:lang w:val="el-GR"/>
        </w:rPr>
      </w:pPr>
      <w:r w:rsidRPr="00645EFE">
        <w:rPr>
          <w:sz w:val="22"/>
          <w:szCs w:val="22"/>
          <w:lang w:val="el-GR"/>
        </w:rPr>
        <w:t xml:space="preserve">Ο ρυθμός έγχυσης πρέπει να προσαρμόζεται στις συγκεκριμένες περιπτώσεις και στην ένδειξη. </w:t>
      </w:r>
    </w:p>
    <w:p w:rsidR="00D33B61" w:rsidRPr="00645EFE" w:rsidRDefault="00D33B61" w:rsidP="00645EFE">
      <w:pPr>
        <w:tabs>
          <w:tab w:val="left" w:pos="142"/>
        </w:tabs>
        <w:jc w:val="both"/>
        <w:rPr>
          <w:sz w:val="22"/>
          <w:szCs w:val="22"/>
          <w:lang w:val="el-GR"/>
        </w:rPr>
      </w:pPr>
      <w:r w:rsidRPr="00645EFE">
        <w:rPr>
          <w:sz w:val="22"/>
          <w:szCs w:val="22"/>
          <w:lang w:val="el-GR"/>
        </w:rPr>
        <w:t>Κατά την ανταλλαγή πλάσματος ο ρυθμός έγχυσης πρέπει να προσαρμόζεται στον ρυθμό απομάκρυνσης.</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4.3</w:t>
      </w:r>
      <w:r w:rsidRPr="00645EFE">
        <w:rPr>
          <w:b/>
          <w:bCs/>
          <w:sz w:val="22"/>
          <w:szCs w:val="22"/>
          <w:lang w:val="el-GR"/>
        </w:rPr>
        <w:tab/>
        <w:t>Αντενδείξεις</w:t>
      </w:r>
    </w:p>
    <w:p w:rsidR="00D33B61" w:rsidRPr="00645EFE" w:rsidRDefault="00D33B61" w:rsidP="00645EFE">
      <w:pPr>
        <w:tabs>
          <w:tab w:val="left" w:pos="142"/>
        </w:tabs>
        <w:jc w:val="both"/>
        <w:rPr>
          <w:b/>
          <w:bCs/>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 xml:space="preserve">Υπερευαισθησία στα σκευάσματα λευκωματίνης ή σε οποιοδήποτε από τα έκδοχα </w:t>
      </w:r>
      <w:r w:rsidR="00C7390C" w:rsidRPr="00645EFE">
        <w:rPr>
          <w:sz w:val="22"/>
          <w:szCs w:val="22"/>
          <w:lang w:val="el-GR"/>
        </w:rPr>
        <w:t>που αναφέρονται στην παράγραφο 6.1</w:t>
      </w:r>
      <w:r w:rsidRPr="00645EFE">
        <w:rPr>
          <w:sz w:val="22"/>
          <w:szCs w:val="22"/>
          <w:lang w:val="el-GR"/>
        </w:rPr>
        <w:t>.</w:t>
      </w:r>
    </w:p>
    <w:p w:rsidR="00D33B61" w:rsidRPr="00645EFE" w:rsidRDefault="00D33B61" w:rsidP="00645EFE">
      <w:pPr>
        <w:tabs>
          <w:tab w:val="left" w:pos="142"/>
        </w:tabs>
        <w:jc w:val="both"/>
        <w:rPr>
          <w:b/>
          <w:bCs/>
          <w:sz w:val="22"/>
          <w:szCs w:val="22"/>
          <w:lang w:val="el-GR"/>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4.4</w:t>
      </w:r>
      <w:r w:rsidRPr="00645EFE">
        <w:rPr>
          <w:b/>
          <w:bCs/>
          <w:sz w:val="22"/>
          <w:szCs w:val="22"/>
          <w:lang w:val="el-GR"/>
        </w:rPr>
        <w:tab/>
        <w:t>Ειδικές προειδοποιήσεις και προφυλάξεις κατά τη χρήση</w:t>
      </w:r>
    </w:p>
    <w:p w:rsidR="00D33B61" w:rsidRPr="00645EFE" w:rsidRDefault="00D33B61" w:rsidP="00645EFE">
      <w:pPr>
        <w:tabs>
          <w:tab w:val="left" w:pos="142"/>
        </w:tabs>
        <w:jc w:val="both"/>
        <w:rPr>
          <w:b/>
          <w:bCs/>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 xml:space="preserve">Εάν υπάρχουν υπόνοιες για αλλεργικές ή αναφυλακτικού τύπου αντιδράσεις, η έγχυση πρέπει να διακόπτεται αμέσως. Σε περίπτωση καταπληξίας, πρέπει να ακολουθούνται οι ισχύουσες ιατρικές οδηγίες για την αντιμετώπιση της καταπληξίας. </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Η λευκωματίνη πρέπει να χρησιμοποιείται με προσοχή σε καταστάσεις στις οποίες η υπερογκαιμία και οι συνέπειές της ή η αιμοαραίωση είναι δυνατόν να αποτελούν ιδιαίτερο κίνδυνο για τον ασθενή. Παραδείγματα τέτοιων καταστάσεων είναι:</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μη αντιρροπούμενη καρδιακή ανεπάρκεια</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υπέρταση</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 xml:space="preserve">οισοφαγικοί κιρσοί </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πνευμονικό οίδημα</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αιμορραγική διάθεση</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σοβαρή αναιμία</w:t>
      </w:r>
    </w:p>
    <w:p w:rsidR="00D33B61" w:rsidRPr="00645EFE" w:rsidRDefault="00D33B61" w:rsidP="00645EFE">
      <w:pPr>
        <w:pStyle w:val="ac"/>
        <w:numPr>
          <w:ilvl w:val="0"/>
          <w:numId w:val="14"/>
        </w:numPr>
        <w:ind w:left="709" w:hanging="425"/>
        <w:jc w:val="both"/>
        <w:rPr>
          <w:sz w:val="22"/>
          <w:szCs w:val="22"/>
          <w:lang w:val="el-GR"/>
        </w:rPr>
      </w:pPr>
      <w:r w:rsidRPr="00645EFE">
        <w:rPr>
          <w:sz w:val="22"/>
          <w:szCs w:val="22"/>
          <w:lang w:val="el-GR"/>
        </w:rPr>
        <w:t>νεφρική και μετά-νεφρική ανουρία</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Η κολλοειδωσμωτική πίεση της ανθρώπινης λευκωματίνης 200</w:t>
      </w:r>
      <w:r w:rsidR="00AE511C" w:rsidRPr="00FF08A9">
        <w:rPr>
          <w:sz w:val="22"/>
          <w:szCs w:val="22"/>
          <w:lang w:val="el-GR"/>
        </w:rPr>
        <w:t xml:space="preserve"> </w:t>
      </w:r>
      <w:r w:rsidRPr="001805C4">
        <w:rPr>
          <w:sz w:val="22"/>
          <w:szCs w:val="22"/>
          <w:lang w:val="en-US"/>
        </w:rPr>
        <w:t>g</w:t>
      </w:r>
      <w:r w:rsidRPr="001805C4">
        <w:rPr>
          <w:sz w:val="22"/>
          <w:szCs w:val="22"/>
          <w:lang w:val="el-GR"/>
        </w:rPr>
        <w:t>/</w:t>
      </w:r>
      <w:r w:rsidRPr="001805C4">
        <w:rPr>
          <w:sz w:val="22"/>
          <w:szCs w:val="22"/>
          <w:lang w:val="en-US"/>
        </w:rPr>
        <w:t>l</w:t>
      </w:r>
      <w:r w:rsidRPr="00645EFE">
        <w:rPr>
          <w:sz w:val="22"/>
          <w:szCs w:val="22"/>
          <w:lang w:val="el-GR"/>
        </w:rPr>
        <w:t xml:space="preserve"> είναι περίπου τετραπλάσια αυτής του πλάσματος. Επομένως, όταν χορηγείται συμπυκνωμένη λευκωματίνη, πρέπει να δίδεται προσοχή στη διασφάλιση της επαρκούς ενυδάτωσης του ασθενούς. Οι ασθενείς πρέπει να παρακολουθούνται στενά για την προφύλαξη έναντι κυκλοφορικής υπερφόρτωσης ή υπερενυδάτωσης.</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Τα διαλύματα ανθρώπινης λευκωματίνης 200-250</w:t>
      </w:r>
      <w:r w:rsidR="00D57ABE" w:rsidRPr="00FF08A9">
        <w:rPr>
          <w:sz w:val="22"/>
          <w:szCs w:val="22"/>
          <w:lang w:val="el-GR"/>
        </w:rPr>
        <w:t xml:space="preserve"> </w:t>
      </w:r>
      <w:r w:rsidRPr="001805C4">
        <w:rPr>
          <w:sz w:val="22"/>
          <w:szCs w:val="22"/>
          <w:lang w:val="en-US"/>
        </w:rPr>
        <w:t>g</w:t>
      </w:r>
      <w:r w:rsidRPr="001805C4">
        <w:rPr>
          <w:sz w:val="22"/>
          <w:szCs w:val="22"/>
          <w:lang w:val="el-GR"/>
        </w:rPr>
        <w:t>/</w:t>
      </w:r>
      <w:r w:rsidRPr="001805C4">
        <w:rPr>
          <w:sz w:val="22"/>
          <w:szCs w:val="22"/>
          <w:lang w:val="en-US"/>
        </w:rPr>
        <w:t>l</w:t>
      </w:r>
      <w:r w:rsidRPr="00645EFE">
        <w:rPr>
          <w:sz w:val="22"/>
          <w:szCs w:val="22"/>
          <w:lang w:val="el-GR"/>
        </w:rPr>
        <w:t xml:space="preserve"> περιέχουν σχετικά λιγότερους ηλεκτρολύτες σε σύγκριση με τα διαλύματα ανθρώπινης λευκωματίνης 40-</w:t>
      </w:r>
      <w:r w:rsidRPr="001805C4">
        <w:rPr>
          <w:sz w:val="22"/>
          <w:szCs w:val="22"/>
          <w:lang w:val="el-GR"/>
        </w:rPr>
        <w:t>50</w:t>
      </w:r>
      <w:r w:rsidR="00D57ABE" w:rsidRPr="00FF08A9">
        <w:rPr>
          <w:sz w:val="22"/>
          <w:szCs w:val="22"/>
          <w:lang w:val="el-GR"/>
        </w:rPr>
        <w:t xml:space="preserve"> </w:t>
      </w:r>
      <w:r w:rsidRPr="001805C4">
        <w:rPr>
          <w:sz w:val="22"/>
          <w:szCs w:val="22"/>
          <w:lang w:val="en-US"/>
        </w:rPr>
        <w:t>g</w:t>
      </w:r>
      <w:r w:rsidRPr="001805C4">
        <w:rPr>
          <w:sz w:val="22"/>
          <w:szCs w:val="22"/>
          <w:lang w:val="el-GR"/>
        </w:rPr>
        <w:t>/</w:t>
      </w:r>
      <w:r w:rsidRPr="001805C4">
        <w:rPr>
          <w:sz w:val="22"/>
          <w:szCs w:val="22"/>
          <w:lang w:val="en-US"/>
        </w:rPr>
        <w:t>l</w:t>
      </w:r>
      <w:r w:rsidRPr="001805C4">
        <w:rPr>
          <w:sz w:val="22"/>
          <w:szCs w:val="22"/>
          <w:lang w:val="el-GR"/>
        </w:rPr>
        <w:t>.</w:t>
      </w:r>
      <w:r w:rsidRPr="00645EFE">
        <w:rPr>
          <w:sz w:val="22"/>
          <w:szCs w:val="22"/>
          <w:lang w:val="el-GR"/>
        </w:rPr>
        <w:t xml:space="preserve"> Όταν χορηγείται λευκωματίνη, πρέπει να παρακολουθείται η κατάσταση των ηλεκτρολυτών του ασθενή (βλ. παράγραφο 4.2) και να λαμβάνονται κατάλληλα μέτρα για την αποκατάσταση ή τη διατήρηση της ισορροπίας των ηλεκτρολυτών.</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Τα διαλύματα λευκωματίνης δεν πρέπει να αραιώνονται με ύδωρ για ενέσιμα διότι αυτό είναι δυνατόν να προκαλέσει αιμόλυση στους λήπτες.</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Εάν πρόκειται να αντικατασταθούν σχετικά μεγάλοι όγκοι, είναι αναγκαία η διενέργεια ελέγχων της πήξης και του αιματοκρίτη. Πρέπει να λαμβάνεται μέριμνα ώστε να διασφαλιστεί η επαρκής υποκατάσταση των άλλων συστατικών του αίματος (παράγοντες πήξης, ηλεκτρολύτες, αιμοπετάλια και ερυθροκύτταρα).</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 xml:space="preserve">Μπορεί να εμφανιστεί υπερογκαιμία εάν η δοσολογία και ο ρυθμός έγχυσης δεν έχουν προσαρμοστεί στην κυκλοφορική κατάσταση του ασθενούς. Με τα πρώτα κλινικά σημεία </w:t>
      </w:r>
      <w:r w:rsidRPr="00645EFE">
        <w:rPr>
          <w:sz w:val="22"/>
          <w:szCs w:val="22"/>
          <w:lang w:val="el-GR"/>
        </w:rPr>
        <w:lastRenderedPageBreak/>
        <w:t>καρδιαγγειακής υπερφόρτωσης (κεφαλαλγία, δύσπνοια, συμφόρηση της σφαγίτιδας φλέβας) ή αύξησης της πίεσης του αίματος, αυξημένης φλεβικής πίεσης ή πνευμονικού οιδήματος, η έγχυση πρέπει να διακόπτεται αμέσως.</w:t>
      </w:r>
    </w:p>
    <w:p w:rsidR="00D33B61" w:rsidRDefault="00D33B61" w:rsidP="00645EFE">
      <w:pPr>
        <w:tabs>
          <w:tab w:val="left" w:pos="142"/>
        </w:tabs>
        <w:jc w:val="both"/>
        <w:rPr>
          <w:sz w:val="22"/>
          <w:szCs w:val="22"/>
          <w:lang w:val="el-GR"/>
        </w:rPr>
      </w:pPr>
    </w:p>
    <w:p w:rsidR="00F46F06" w:rsidRDefault="003E0A96" w:rsidP="003E0A96">
      <w:pPr>
        <w:suppressAutoHyphens/>
        <w:rPr>
          <w:rFonts w:eastAsia="Arial Unicode MS"/>
          <w:sz w:val="22"/>
          <w:szCs w:val="22"/>
          <w:lang w:val="el-GR" w:eastAsia="ja-JP"/>
        </w:rPr>
      </w:pPr>
      <w:r>
        <w:rPr>
          <w:sz w:val="22"/>
          <w:szCs w:val="22"/>
          <w:lang w:val="el-GR"/>
        </w:rPr>
        <w:t xml:space="preserve">Το </w:t>
      </w:r>
      <w:r>
        <w:rPr>
          <w:sz w:val="22"/>
          <w:szCs w:val="22"/>
          <w:lang w:val="en-US"/>
        </w:rPr>
        <w:t>Alburex</w:t>
      </w:r>
      <w:r w:rsidRPr="00FF08A9">
        <w:rPr>
          <w:sz w:val="22"/>
          <w:szCs w:val="22"/>
          <w:lang w:val="el-GR"/>
        </w:rPr>
        <w:t xml:space="preserve"> 20 περι</w:t>
      </w:r>
      <w:r>
        <w:rPr>
          <w:sz w:val="22"/>
          <w:szCs w:val="22"/>
          <w:lang w:val="el-GR"/>
        </w:rPr>
        <w:t>έχει περίπου 3,2</w:t>
      </w:r>
      <w:r w:rsidR="004C29A4" w:rsidRPr="00FF08A9">
        <w:rPr>
          <w:sz w:val="22"/>
          <w:szCs w:val="22"/>
          <w:lang w:val="el-GR"/>
        </w:rPr>
        <w:t xml:space="preserve"> </w:t>
      </w:r>
      <w:r w:rsidRPr="007B0BC2">
        <w:rPr>
          <w:sz w:val="22"/>
          <w:szCs w:val="22"/>
          <w:lang w:val="en-US"/>
        </w:rPr>
        <w:t>mg</w:t>
      </w:r>
      <w:r w:rsidRPr="00FF08A9">
        <w:rPr>
          <w:sz w:val="22"/>
          <w:szCs w:val="22"/>
          <w:lang w:val="el-GR"/>
        </w:rPr>
        <w:t xml:space="preserve"> </w:t>
      </w:r>
      <w:r>
        <w:rPr>
          <w:sz w:val="22"/>
          <w:szCs w:val="22"/>
          <w:lang w:val="el-GR"/>
        </w:rPr>
        <w:t xml:space="preserve">νατρίου ανά </w:t>
      </w:r>
      <w:r>
        <w:rPr>
          <w:sz w:val="22"/>
          <w:szCs w:val="22"/>
          <w:lang w:val="en-US"/>
        </w:rPr>
        <w:t>ml</w:t>
      </w:r>
      <w:r w:rsidRPr="00FF08A9">
        <w:rPr>
          <w:sz w:val="22"/>
          <w:szCs w:val="22"/>
          <w:lang w:val="el-GR"/>
        </w:rPr>
        <w:t xml:space="preserve"> </w:t>
      </w:r>
      <w:r>
        <w:rPr>
          <w:sz w:val="22"/>
          <w:szCs w:val="22"/>
          <w:lang w:val="el-GR"/>
        </w:rPr>
        <w:t>διαλύματος (</w:t>
      </w:r>
      <w:r w:rsidRPr="00FF08A9">
        <w:rPr>
          <w:rFonts w:eastAsia="Arial Unicode MS"/>
          <w:sz w:val="22"/>
          <w:szCs w:val="22"/>
          <w:lang w:val="el-GR" w:eastAsia="ja-JP"/>
        </w:rPr>
        <w:t>140</w:t>
      </w:r>
      <w:r w:rsidRPr="003E0A96">
        <w:rPr>
          <w:rFonts w:eastAsia="Arial Unicode MS"/>
          <w:lang w:val="en-US" w:eastAsia="ja-JP"/>
        </w:rPr>
        <w:t> </w:t>
      </w:r>
      <w:r w:rsidRPr="003E0A96">
        <w:rPr>
          <w:rFonts w:eastAsia="Arial Unicode MS"/>
          <w:sz w:val="22"/>
          <w:szCs w:val="22"/>
          <w:lang w:eastAsia="ja-JP"/>
        </w:rPr>
        <w:t>mmol</w:t>
      </w:r>
      <w:r w:rsidRPr="00FF08A9">
        <w:rPr>
          <w:rFonts w:eastAsia="Arial Unicode MS"/>
          <w:sz w:val="22"/>
          <w:szCs w:val="22"/>
          <w:lang w:val="el-GR" w:eastAsia="ja-JP"/>
        </w:rPr>
        <w:t>/</w:t>
      </w:r>
      <w:r w:rsidRPr="003E0A96">
        <w:rPr>
          <w:rFonts w:eastAsia="Arial Unicode MS"/>
          <w:sz w:val="22"/>
          <w:szCs w:val="22"/>
          <w:lang w:eastAsia="ja-JP"/>
        </w:rPr>
        <w:t>l</w:t>
      </w:r>
      <w:r w:rsidRPr="00FF08A9">
        <w:rPr>
          <w:rFonts w:eastAsia="Arial Unicode MS"/>
          <w:sz w:val="22"/>
          <w:szCs w:val="22"/>
          <w:lang w:val="el-GR" w:eastAsia="ja-JP"/>
        </w:rPr>
        <w:t xml:space="preserve">). </w:t>
      </w:r>
    </w:p>
    <w:p w:rsidR="003E0A96" w:rsidRPr="00FF08A9" w:rsidRDefault="00F46F06" w:rsidP="003E0A96">
      <w:pPr>
        <w:suppressAutoHyphens/>
        <w:rPr>
          <w:rFonts w:eastAsia="Arial Unicode MS"/>
          <w:sz w:val="22"/>
          <w:szCs w:val="22"/>
          <w:lang w:val="el-GR" w:eastAsia="ja-JP"/>
        </w:rPr>
      </w:pPr>
      <w:r w:rsidRPr="009862E4">
        <w:rPr>
          <w:rFonts w:eastAsia="Arial Unicode MS"/>
          <w:sz w:val="22"/>
          <w:szCs w:val="22"/>
          <w:lang w:val="el-GR" w:eastAsia="ja-JP"/>
        </w:rPr>
        <w:t>Αυτό</w:t>
      </w:r>
      <w:r w:rsidR="009862E4">
        <w:rPr>
          <w:rFonts w:eastAsia="Arial Unicode MS"/>
          <w:sz w:val="22"/>
          <w:szCs w:val="22"/>
          <w:lang w:val="el-GR" w:eastAsia="ja-JP"/>
        </w:rPr>
        <w:t xml:space="preserve"> θα</w:t>
      </w:r>
      <w:r w:rsidRPr="009862E4">
        <w:rPr>
          <w:rFonts w:eastAsia="Arial Unicode MS"/>
          <w:sz w:val="22"/>
          <w:szCs w:val="22"/>
          <w:lang w:val="el-GR" w:eastAsia="ja-JP"/>
        </w:rPr>
        <w:t xml:space="preserve"> πρέπει να </w:t>
      </w:r>
      <w:r w:rsidR="009862E4">
        <w:rPr>
          <w:rFonts w:eastAsia="Arial Unicode MS"/>
          <w:sz w:val="22"/>
          <w:szCs w:val="22"/>
          <w:lang w:val="el-GR" w:eastAsia="ja-JP"/>
        </w:rPr>
        <w:t>λαμβάνεται</w:t>
      </w:r>
      <w:r w:rsidRPr="009862E4">
        <w:rPr>
          <w:rFonts w:eastAsia="Arial Unicode MS"/>
          <w:sz w:val="22"/>
          <w:szCs w:val="22"/>
          <w:lang w:val="el-GR" w:eastAsia="ja-JP"/>
        </w:rPr>
        <w:t xml:space="preserve"> υπόψη σε ασθενείς </w:t>
      </w:r>
      <w:r w:rsidR="009862E4">
        <w:rPr>
          <w:rFonts w:eastAsia="Arial Unicode MS"/>
          <w:sz w:val="22"/>
          <w:szCs w:val="22"/>
          <w:lang w:val="el-GR" w:eastAsia="ja-JP"/>
        </w:rPr>
        <w:t>υπό</w:t>
      </w:r>
      <w:r w:rsidRPr="009862E4">
        <w:rPr>
          <w:rFonts w:eastAsia="Arial Unicode MS"/>
          <w:sz w:val="22"/>
          <w:szCs w:val="22"/>
          <w:lang w:val="el-GR" w:eastAsia="ja-JP"/>
        </w:rPr>
        <w:t xml:space="preserve"> </w:t>
      </w:r>
      <w:r w:rsidR="00DC6FAC" w:rsidRPr="00FF08A9">
        <w:rPr>
          <w:rFonts w:eastAsia="Arial Unicode MS"/>
          <w:sz w:val="22"/>
          <w:szCs w:val="22"/>
          <w:lang w:val="el-GR" w:eastAsia="ja-JP"/>
        </w:rPr>
        <w:t>ελεγχόμενη δίαιτα</w:t>
      </w:r>
      <w:r w:rsidR="009862E4">
        <w:rPr>
          <w:rFonts w:eastAsia="Arial Unicode MS"/>
          <w:sz w:val="22"/>
          <w:szCs w:val="22"/>
          <w:lang w:val="el-GR" w:eastAsia="ja-JP"/>
        </w:rPr>
        <w:t xml:space="preserve"> </w:t>
      </w:r>
      <w:r w:rsidR="004C29A4" w:rsidRPr="007B0BC2">
        <w:rPr>
          <w:rFonts w:eastAsia="Arial Unicode MS"/>
          <w:sz w:val="22"/>
          <w:szCs w:val="22"/>
          <w:lang w:val="el-GR" w:eastAsia="ja-JP"/>
        </w:rPr>
        <w:t>σε</w:t>
      </w:r>
      <w:r w:rsidR="009862E4">
        <w:rPr>
          <w:rFonts w:eastAsia="Arial Unicode MS"/>
          <w:sz w:val="22"/>
          <w:szCs w:val="22"/>
          <w:lang w:val="el-GR" w:eastAsia="ja-JP"/>
        </w:rPr>
        <w:t xml:space="preserve"> </w:t>
      </w:r>
      <w:r w:rsidR="009862E4" w:rsidRPr="009862E4">
        <w:rPr>
          <w:rFonts w:eastAsia="Arial Unicode MS"/>
          <w:sz w:val="22"/>
          <w:szCs w:val="22"/>
          <w:lang w:val="el-GR" w:eastAsia="ja-JP"/>
        </w:rPr>
        <w:t>ν</w:t>
      </w:r>
      <w:r w:rsidR="009862E4">
        <w:rPr>
          <w:rFonts w:eastAsia="Arial Unicode MS"/>
          <w:sz w:val="22"/>
          <w:szCs w:val="22"/>
          <w:lang w:val="el-GR" w:eastAsia="ja-JP"/>
        </w:rPr>
        <w:t>άτρι</w:t>
      </w:r>
      <w:r w:rsidR="009862E4" w:rsidRPr="009862E4">
        <w:rPr>
          <w:rFonts w:eastAsia="Arial Unicode MS"/>
          <w:sz w:val="22"/>
          <w:szCs w:val="22"/>
          <w:lang w:val="el-GR" w:eastAsia="ja-JP"/>
        </w:rPr>
        <w:t>ο</w:t>
      </w:r>
      <w:r w:rsidR="00DC6FAC" w:rsidRPr="00FF08A9">
        <w:rPr>
          <w:rFonts w:eastAsia="Arial Unicode MS"/>
          <w:sz w:val="22"/>
          <w:szCs w:val="22"/>
          <w:lang w:val="el-GR" w:eastAsia="ja-JP"/>
        </w:rPr>
        <w:t xml:space="preserve">. </w:t>
      </w:r>
    </w:p>
    <w:p w:rsidR="003E0A96" w:rsidRPr="001805C4" w:rsidRDefault="003E0A96" w:rsidP="00645EFE">
      <w:pPr>
        <w:tabs>
          <w:tab w:val="left" w:pos="142"/>
        </w:tabs>
        <w:jc w:val="both"/>
        <w:rPr>
          <w:sz w:val="22"/>
          <w:szCs w:val="22"/>
          <w:lang w:val="el-GR"/>
        </w:rPr>
      </w:pPr>
    </w:p>
    <w:p w:rsidR="00440B99" w:rsidRPr="00645EFE" w:rsidRDefault="00440B99" w:rsidP="00645EFE">
      <w:pPr>
        <w:tabs>
          <w:tab w:val="left" w:pos="142"/>
        </w:tabs>
        <w:jc w:val="both"/>
        <w:rPr>
          <w:sz w:val="22"/>
          <w:szCs w:val="22"/>
          <w:u w:val="single"/>
          <w:lang w:val="el-GR"/>
        </w:rPr>
      </w:pPr>
      <w:r w:rsidRPr="00645EFE">
        <w:rPr>
          <w:sz w:val="22"/>
          <w:szCs w:val="22"/>
          <w:u w:val="single"/>
          <w:lang w:val="el-GR"/>
        </w:rPr>
        <w:t>Μεταδοτικοί παράγοντες</w:t>
      </w:r>
    </w:p>
    <w:p w:rsidR="00D33B61" w:rsidRPr="00645EFE" w:rsidRDefault="00D33B61" w:rsidP="00645EFE">
      <w:pPr>
        <w:tabs>
          <w:tab w:val="left" w:pos="142"/>
        </w:tabs>
        <w:jc w:val="both"/>
        <w:rPr>
          <w:sz w:val="22"/>
          <w:szCs w:val="22"/>
          <w:lang w:val="el-GR"/>
        </w:rPr>
      </w:pPr>
      <w:r w:rsidRPr="00645EFE">
        <w:rPr>
          <w:sz w:val="22"/>
          <w:szCs w:val="22"/>
          <w:lang w:val="el-GR"/>
        </w:rPr>
        <w:t xml:space="preserve">Τα συνήθη μέτρα για την πρόληψη των λοιμώξεων που προκύπτουν από τη χρήση φαρμακευτικών προϊόντων παρασκευαζόμενων από ανθρώπινο αίμα ή πλάσμα περιλαμβάνουν επιλογή των δοτών, έλεγχο των μεμονωμένων μονάδων και των δεξαμενών πλάσματος για ειδικούς δείκτες λοιμώξεων και την εφαρμογή, κατά την παραγωγική διαδικασία, </w:t>
      </w:r>
      <w:r w:rsidRPr="00CF4EA6">
        <w:rPr>
          <w:sz w:val="22"/>
          <w:szCs w:val="22"/>
          <w:lang w:val="el-GR"/>
        </w:rPr>
        <w:t>σταδίων</w:t>
      </w:r>
      <w:r w:rsidRPr="00645EFE">
        <w:rPr>
          <w:sz w:val="22"/>
          <w:szCs w:val="22"/>
          <w:lang w:val="el-GR"/>
        </w:rPr>
        <w:t xml:space="preserve"> αποτελεσματικών για </w:t>
      </w:r>
      <w:r w:rsidRPr="00CF4EA6">
        <w:rPr>
          <w:sz w:val="22"/>
          <w:szCs w:val="22"/>
          <w:lang w:val="el-GR"/>
        </w:rPr>
        <w:t>την</w:t>
      </w:r>
      <w:r w:rsidRPr="00645EFE">
        <w:rPr>
          <w:sz w:val="22"/>
          <w:szCs w:val="22"/>
          <w:lang w:val="el-GR"/>
        </w:rPr>
        <w:t xml:space="preserve"> αδρανοποίηση/ απομάκρυνση των ιών.  Παρ’ όλα αυτά, όταν χορηγούνται φαρμακευτικά προϊόντα παρασκευασμένα από ανθρώπινο αίμα ή πλάσμα, η πιθανότητα μετάδοσης λοιμογόνων παραγόντων δεν μπορεί να αποκλειστεί εντελώς. Αυτό ισχύει επίσης για άγνωστους ή </w:t>
      </w:r>
      <w:r w:rsidR="004C29A4" w:rsidRPr="00FF08A9">
        <w:rPr>
          <w:sz w:val="22"/>
          <w:szCs w:val="22"/>
          <w:lang w:val="el-GR"/>
        </w:rPr>
        <w:t>νεοεμφανιζόμενους</w:t>
      </w:r>
      <w:r w:rsidRPr="00645EFE">
        <w:rPr>
          <w:sz w:val="22"/>
          <w:szCs w:val="22"/>
          <w:lang w:val="el-GR"/>
        </w:rPr>
        <w:t xml:space="preserve"> ιούς και άλλους παθογόνους παράγοντες. </w:t>
      </w:r>
    </w:p>
    <w:p w:rsidR="00D33B61" w:rsidRPr="00645EFE" w:rsidRDefault="00D33B61" w:rsidP="00645EFE">
      <w:pPr>
        <w:tabs>
          <w:tab w:val="left" w:pos="142"/>
        </w:tabs>
        <w:jc w:val="both"/>
        <w:rPr>
          <w:sz w:val="22"/>
          <w:szCs w:val="22"/>
          <w:lang w:val="el-GR"/>
        </w:rPr>
      </w:pPr>
      <w:r w:rsidRPr="00645EFE">
        <w:rPr>
          <w:sz w:val="22"/>
          <w:szCs w:val="22"/>
          <w:lang w:val="el-GR"/>
        </w:rPr>
        <w:t>Δεν υπάρχουν αναφορές μετάδοσης ιών για την λευκωματίνη που παρασκευάζεται σύμφωνα με τις προδιαγραφές της Ευρωπαϊκής Φαρμακοποιίας μέσω καθιερωμένων διαδικασιών.</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 xml:space="preserve">Συνιστάται </w:t>
      </w:r>
      <w:r w:rsidR="00DD5AB9" w:rsidRPr="00645EFE">
        <w:rPr>
          <w:sz w:val="22"/>
          <w:szCs w:val="22"/>
          <w:lang w:val="el-GR"/>
        </w:rPr>
        <w:t>ιδιαιτέρως</w:t>
      </w:r>
      <w:r w:rsidRPr="00645EFE">
        <w:rPr>
          <w:sz w:val="22"/>
          <w:szCs w:val="22"/>
          <w:lang w:val="el-GR"/>
        </w:rPr>
        <w:t xml:space="preserve">, κάθε φορά που το </w:t>
      </w:r>
      <w:r w:rsidRPr="00645EFE">
        <w:rPr>
          <w:sz w:val="22"/>
          <w:szCs w:val="22"/>
        </w:rPr>
        <w:t>Alburex</w:t>
      </w:r>
      <w:r w:rsidRPr="00645EFE">
        <w:rPr>
          <w:sz w:val="22"/>
          <w:szCs w:val="22"/>
          <w:lang w:val="el-GR"/>
        </w:rPr>
        <w:t xml:space="preserve"> 20 χορηγείται σε έναν ασθενή, να καταγράφονται το όνομα και ο αριθμός παρτίδας του προϊόντος, προκειμένου να υπάρχει συσχετισμός μεταξύ του ασθενή και της παρτίδας του προϊόντος. </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4.5</w:t>
      </w:r>
      <w:r w:rsidRPr="00645EFE">
        <w:rPr>
          <w:b/>
          <w:bCs/>
          <w:sz w:val="22"/>
          <w:szCs w:val="22"/>
          <w:lang w:val="el-GR"/>
        </w:rPr>
        <w:tab/>
        <w:t>Αλληλεπιδράσεις με άλλα φαρμακευτικά προϊόντα και άλλες μορφές αλληλεπίδρασης</w:t>
      </w:r>
    </w:p>
    <w:p w:rsidR="00D33B61" w:rsidRPr="00645EFE" w:rsidRDefault="00D33B61" w:rsidP="00645EFE">
      <w:pPr>
        <w:tabs>
          <w:tab w:val="left" w:pos="142"/>
        </w:tabs>
        <w:jc w:val="both"/>
        <w:rPr>
          <w:b/>
          <w:bCs/>
          <w:sz w:val="22"/>
          <w:szCs w:val="22"/>
          <w:lang w:val="el-GR"/>
        </w:rPr>
      </w:pPr>
    </w:p>
    <w:p w:rsidR="00D33B61" w:rsidRPr="00645EFE" w:rsidRDefault="00D33B61" w:rsidP="00645EFE">
      <w:pPr>
        <w:tabs>
          <w:tab w:val="left" w:pos="142"/>
        </w:tabs>
        <w:jc w:val="both"/>
        <w:rPr>
          <w:b/>
          <w:bCs/>
          <w:sz w:val="22"/>
          <w:szCs w:val="22"/>
          <w:lang w:val="el-GR"/>
        </w:rPr>
      </w:pPr>
      <w:r w:rsidRPr="00645EFE">
        <w:rPr>
          <w:sz w:val="22"/>
          <w:szCs w:val="22"/>
          <w:lang w:val="el-GR"/>
        </w:rPr>
        <w:t xml:space="preserve">Δεν είναι γνωστές ειδικές αλληλεπιδράσεις της ανθρώπινης λευκωματίνης με άλλα φαρμακευτικά προϊόντα. </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4.6</w:t>
      </w:r>
      <w:r w:rsidRPr="00645EFE">
        <w:rPr>
          <w:b/>
          <w:bCs/>
          <w:sz w:val="22"/>
          <w:szCs w:val="22"/>
          <w:lang w:val="el-GR"/>
        </w:rPr>
        <w:tab/>
      </w:r>
      <w:r w:rsidR="00440B99" w:rsidRPr="00645EFE">
        <w:rPr>
          <w:b/>
          <w:bCs/>
          <w:sz w:val="22"/>
          <w:szCs w:val="22"/>
          <w:lang w:val="el-GR"/>
        </w:rPr>
        <w:t>Γονιμότητα, κύηση και γαλουχία</w:t>
      </w:r>
    </w:p>
    <w:p w:rsidR="00D33B61" w:rsidRPr="00645EFE" w:rsidRDefault="00D33B61" w:rsidP="00645EFE">
      <w:pPr>
        <w:tabs>
          <w:tab w:val="left" w:pos="142"/>
        </w:tabs>
        <w:jc w:val="both"/>
        <w:rPr>
          <w:b/>
          <w:bCs/>
          <w:sz w:val="22"/>
          <w:szCs w:val="22"/>
          <w:lang w:val="el-GR"/>
        </w:rPr>
      </w:pPr>
    </w:p>
    <w:p w:rsidR="00440B99" w:rsidRPr="00645EFE" w:rsidRDefault="00440B99" w:rsidP="00645EFE">
      <w:pPr>
        <w:jc w:val="both"/>
        <w:rPr>
          <w:sz w:val="22"/>
          <w:szCs w:val="22"/>
          <w:u w:val="single"/>
          <w:lang w:val="el-GR"/>
        </w:rPr>
      </w:pPr>
      <w:r w:rsidRPr="00645EFE">
        <w:rPr>
          <w:sz w:val="22"/>
          <w:szCs w:val="22"/>
          <w:u w:val="single"/>
          <w:lang w:val="el-GR"/>
        </w:rPr>
        <w:t>Κύηση</w:t>
      </w:r>
    </w:p>
    <w:p w:rsidR="00D33B61" w:rsidRPr="00645EFE" w:rsidRDefault="00440B99" w:rsidP="00645EFE">
      <w:pPr>
        <w:tabs>
          <w:tab w:val="left" w:pos="142"/>
        </w:tabs>
        <w:jc w:val="both"/>
        <w:rPr>
          <w:sz w:val="22"/>
          <w:szCs w:val="22"/>
          <w:lang w:val="el-GR"/>
        </w:rPr>
      </w:pPr>
      <w:r w:rsidRPr="00645EFE">
        <w:rPr>
          <w:sz w:val="22"/>
          <w:szCs w:val="22"/>
          <w:lang w:val="el-GR"/>
        </w:rPr>
        <w:t xml:space="preserve">Δεν έχουν πραγματοποιηθεί μελέτες αναπαραγωγής σε πειραματόζωα με το </w:t>
      </w:r>
      <w:r w:rsidRPr="00645EFE">
        <w:rPr>
          <w:sz w:val="22"/>
          <w:szCs w:val="22"/>
        </w:rPr>
        <w:t>Alburex</w:t>
      </w:r>
      <w:r w:rsidRPr="00645EFE">
        <w:rPr>
          <w:sz w:val="22"/>
          <w:szCs w:val="22"/>
          <w:lang w:val="el-GR"/>
        </w:rPr>
        <w:t xml:space="preserve"> 20. </w:t>
      </w:r>
      <w:r w:rsidR="00D33B61" w:rsidRPr="00645EFE">
        <w:rPr>
          <w:sz w:val="22"/>
          <w:szCs w:val="22"/>
          <w:lang w:val="el-GR"/>
        </w:rPr>
        <w:t>Η ασφάλεια χρήσης του κατά την κύηση του ανθρώπου δεν έχει αποδειχτεί με ελεγχόμενες κλινικές μελέτες</w:t>
      </w:r>
      <w:r w:rsidR="00F30C03" w:rsidRPr="00645EFE">
        <w:rPr>
          <w:sz w:val="22"/>
          <w:szCs w:val="22"/>
          <w:lang w:val="el-GR"/>
        </w:rPr>
        <w:t xml:space="preserve"> και γι’ αυτό τον λόγο θα πρέπει να χορηγείται μόνο με προσοχή σε έγκυες γυναίκες</w:t>
      </w:r>
      <w:r w:rsidR="00D33B61" w:rsidRPr="00645EFE">
        <w:rPr>
          <w:sz w:val="22"/>
          <w:szCs w:val="22"/>
          <w:lang w:val="el-GR"/>
        </w:rPr>
        <w:t xml:space="preserve">. Ωστόσο, η κλινική εμπειρία με τη λευκωματίνη υποδηλώνει ότι δεν αναμένονται βλαβερές επιδράσεις κατά τη διάρκεια της κύησης, ή στο έμβρυο και το νεογέννητο. </w:t>
      </w:r>
    </w:p>
    <w:p w:rsidR="00D33B61" w:rsidRPr="00645EFE" w:rsidRDefault="00D33B61" w:rsidP="00645EFE">
      <w:pPr>
        <w:tabs>
          <w:tab w:val="left" w:pos="142"/>
        </w:tabs>
        <w:jc w:val="both"/>
        <w:rPr>
          <w:sz w:val="22"/>
          <w:szCs w:val="22"/>
          <w:lang w:val="el-GR"/>
        </w:rPr>
      </w:pPr>
    </w:p>
    <w:p w:rsidR="00F30C03" w:rsidRPr="00645EFE" w:rsidRDefault="00F30C03" w:rsidP="00645EFE">
      <w:pPr>
        <w:autoSpaceDE w:val="0"/>
        <w:autoSpaceDN w:val="0"/>
        <w:adjustRightInd w:val="0"/>
        <w:jc w:val="both"/>
        <w:rPr>
          <w:sz w:val="22"/>
          <w:szCs w:val="22"/>
          <w:u w:val="single"/>
          <w:lang w:val="el-GR"/>
        </w:rPr>
      </w:pPr>
      <w:r w:rsidRPr="00645EFE">
        <w:rPr>
          <w:sz w:val="22"/>
          <w:szCs w:val="22"/>
          <w:u w:val="single"/>
          <w:lang w:val="el-GR"/>
        </w:rPr>
        <w:t>Γαλουχία</w:t>
      </w:r>
    </w:p>
    <w:p w:rsidR="00F30C03" w:rsidRPr="00645EFE" w:rsidRDefault="00F30C03" w:rsidP="00645EFE">
      <w:pPr>
        <w:autoSpaceDE w:val="0"/>
        <w:autoSpaceDN w:val="0"/>
        <w:adjustRightInd w:val="0"/>
        <w:jc w:val="both"/>
        <w:rPr>
          <w:sz w:val="22"/>
          <w:szCs w:val="22"/>
          <w:lang w:val="el-GR"/>
        </w:rPr>
      </w:pPr>
      <w:r w:rsidRPr="00645EFE">
        <w:rPr>
          <w:sz w:val="22"/>
          <w:szCs w:val="22"/>
          <w:lang w:val="el-GR"/>
        </w:rPr>
        <w:t xml:space="preserve">Δεν είναι γνωστό εάν το </w:t>
      </w:r>
      <w:r w:rsidRPr="00645EFE">
        <w:rPr>
          <w:sz w:val="22"/>
          <w:szCs w:val="22"/>
        </w:rPr>
        <w:t>Alburex</w:t>
      </w:r>
      <w:r w:rsidRPr="00645EFE">
        <w:rPr>
          <w:sz w:val="22"/>
          <w:szCs w:val="22"/>
          <w:lang w:val="el-GR"/>
        </w:rPr>
        <w:t xml:space="preserve"> 20 εκκρίνεται στο μητρικό γάλα. Αφού η ανθρώπινη λευκωματίνη είναι ένα φυσιολογικό συστατικό του ανθρώπινου αίματος, η θεραπεία της θηλάζουσας μητέρας με </w:t>
      </w:r>
      <w:r w:rsidRPr="00645EFE">
        <w:rPr>
          <w:sz w:val="22"/>
          <w:szCs w:val="22"/>
        </w:rPr>
        <w:t>Alburex</w:t>
      </w:r>
      <w:r w:rsidRPr="00645EFE">
        <w:rPr>
          <w:sz w:val="22"/>
          <w:szCs w:val="22"/>
          <w:lang w:val="el-GR"/>
        </w:rPr>
        <w:t xml:space="preserve"> 20 δεν αναμένεται να παρουσιάζει κίνδυνο για το νεογέννητο/βρέφος που θηλάζει.</w:t>
      </w:r>
    </w:p>
    <w:p w:rsidR="00D33B61" w:rsidRPr="00645EFE" w:rsidRDefault="00D33B61" w:rsidP="00645EFE">
      <w:pPr>
        <w:tabs>
          <w:tab w:val="left" w:pos="142"/>
        </w:tabs>
        <w:jc w:val="both"/>
        <w:rPr>
          <w:sz w:val="22"/>
          <w:szCs w:val="22"/>
          <w:lang w:val="el-GR"/>
        </w:rPr>
      </w:pPr>
    </w:p>
    <w:p w:rsidR="00F30C03" w:rsidRPr="00645EFE" w:rsidRDefault="00F30C03" w:rsidP="00645EFE">
      <w:pPr>
        <w:autoSpaceDE w:val="0"/>
        <w:autoSpaceDN w:val="0"/>
        <w:adjustRightInd w:val="0"/>
        <w:jc w:val="both"/>
        <w:rPr>
          <w:sz w:val="22"/>
          <w:szCs w:val="22"/>
          <w:u w:val="single"/>
          <w:lang w:val="el-GR"/>
        </w:rPr>
      </w:pPr>
      <w:r w:rsidRPr="00645EFE">
        <w:rPr>
          <w:sz w:val="22"/>
          <w:szCs w:val="22"/>
          <w:u w:val="single"/>
          <w:lang w:val="el-GR"/>
        </w:rPr>
        <w:t>Γονιμότητα</w:t>
      </w:r>
    </w:p>
    <w:p w:rsidR="00D33B61" w:rsidRPr="00645EFE" w:rsidRDefault="00D33B61" w:rsidP="00645EFE">
      <w:pPr>
        <w:tabs>
          <w:tab w:val="left" w:pos="142"/>
        </w:tabs>
        <w:jc w:val="both"/>
        <w:rPr>
          <w:sz w:val="22"/>
          <w:szCs w:val="22"/>
          <w:lang w:val="el-GR"/>
        </w:rPr>
      </w:pPr>
      <w:r w:rsidRPr="00645EFE">
        <w:rPr>
          <w:sz w:val="22"/>
          <w:szCs w:val="22"/>
          <w:lang w:val="el-GR"/>
        </w:rPr>
        <w:t xml:space="preserve">Δεν έχουν διεξαχθεί μελέτες αναπαραγωγής σε πειραματόζωα με το </w:t>
      </w:r>
      <w:r w:rsidRPr="00645EFE">
        <w:rPr>
          <w:sz w:val="22"/>
          <w:szCs w:val="22"/>
        </w:rPr>
        <w:t>Alburex</w:t>
      </w:r>
      <w:r w:rsidRPr="00645EFE">
        <w:rPr>
          <w:sz w:val="22"/>
          <w:szCs w:val="22"/>
          <w:lang w:val="el-GR"/>
        </w:rPr>
        <w:t xml:space="preserve"> 20. Ωστόσο, η ανθρώπινη λευκωματίνη είναι ένα φυσιολογικό συστατικό του ανθρώπινου αίματος</w:t>
      </w:r>
      <w:r w:rsidR="00F30C03" w:rsidRPr="00645EFE">
        <w:rPr>
          <w:sz w:val="22"/>
          <w:szCs w:val="22"/>
          <w:lang w:val="el-GR"/>
        </w:rPr>
        <w:t xml:space="preserve"> και δεν αναμένονται επιβλαβείς επιδράσεις στη γονιμότητα</w:t>
      </w:r>
      <w:r w:rsidRPr="00645EFE">
        <w:rPr>
          <w:sz w:val="22"/>
          <w:szCs w:val="22"/>
          <w:lang w:val="el-GR"/>
        </w:rPr>
        <w:t>.</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4.7</w:t>
      </w:r>
      <w:r w:rsidRPr="00645EFE">
        <w:rPr>
          <w:b/>
          <w:bCs/>
          <w:sz w:val="22"/>
          <w:szCs w:val="22"/>
          <w:lang w:val="el-GR"/>
        </w:rPr>
        <w:tab/>
        <w:t xml:space="preserve">Επιδράσεις στην ικανότητα οδήγησης και χειρισμού </w:t>
      </w:r>
      <w:r w:rsidR="00DB2297" w:rsidRPr="00645EFE">
        <w:rPr>
          <w:b/>
          <w:bCs/>
          <w:sz w:val="22"/>
          <w:szCs w:val="22"/>
          <w:lang w:val="el-GR"/>
        </w:rPr>
        <w:t>μηχανών</w:t>
      </w:r>
    </w:p>
    <w:p w:rsidR="00D33B61" w:rsidRPr="00645EFE" w:rsidRDefault="00D33B61" w:rsidP="00645EFE">
      <w:pPr>
        <w:tabs>
          <w:tab w:val="left" w:pos="142"/>
        </w:tabs>
        <w:jc w:val="both"/>
        <w:rPr>
          <w:b/>
          <w:bCs/>
          <w:sz w:val="22"/>
          <w:szCs w:val="22"/>
          <w:lang w:val="el-GR"/>
        </w:rPr>
      </w:pPr>
    </w:p>
    <w:p w:rsidR="00D33B61" w:rsidRPr="00645EFE" w:rsidRDefault="00D33B61" w:rsidP="00645EFE">
      <w:pPr>
        <w:pStyle w:val="20"/>
        <w:tabs>
          <w:tab w:val="left" w:pos="142"/>
        </w:tabs>
        <w:ind w:left="0"/>
        <w:rPr>
          <w:sz w:val="22"/>
          <w:szCs w:val="22"/>
        </w:rPr>
      </w:pPr>
      <w:r w:rsidRPr="00645EFE">
        <w:rPr>
          <w:sz w:val="22"/>
          <w:szCs w:val="22"/>
        </w:rPr>
        <w:t>Δεν έχουν παρατηρηθεί επιδράσεις της λευκωματίνης στην ικανότητα οδήγησης και χειρισμού μηχανών.</w:t>
      </w:r>
    </w:p>
    <w:p w:rsidR="00D33B61" w:rsidRPr="00645EFE" w:rsidRDefault="00D33B61" w:rsidP="00645EFE">
      <w:pPr>
        <w:pStyle w:val="20"/>
        <w:tabs>
          <w:tab w:val="left" w:pos="142"/>
        </w:tabs>
        <w:ind w:left="0"/>
        <w:rPr>
          <w:sz w:val="22"/>
          <w:szCs w:val="22"/>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4.8</w:t>
      </w:r>
      <w:r w:rsidRPr="00645EFE">
        <w:rPr>
          <w:b/>
          <w:bCs/>
          <w:sz w:val="22"/>
          <w:szCs w:val="22"/>
          <w:lang w:val="el-GR"/>
        </w:rPr>
        <w:tab/>
        <w:t>Ανεπιθύμητες ενέργειες</w:t>
      </w:r>
    </w:p>
    <w:p w:rsidR="00D33B61" w:rsidRPr="00645EFE" w:rsidRDefault="00D33B61" w:rsidP="00645EFE">
      <w:pPr>
        <w:autoSpaceDE w:val="0"/>
        <w:autoSpaceDN w:val="0"/>
        <w:adjustRightInd w:val="0"/>
        <w:jc w:val="both"/>
        <w:rPr>
          <w:sz w:val="22"/>
          <w:szCs w:val="22"/>
          <w:u w:val="single"/>
          <w:lang w:val="el-GR" w:eastAsia="el-GR"/>
        </w:rPr>
      </w:pPr>
    </w:p>
    <w:p w:rsidR="00F30C03" w:rsidRPr="00645EFE" w:rsidRDefault="00F30C03" w:rsidP="00645EFE">
      <w:pPr>
        <w:autoSpaceDE w:val="0"/>
        <w:autoSpaceDN w:val="0"/>
        <w:adjustRightInd w:val="0"/>
        <w:jc w:val="both"/>
        <w:rPr>
          <w:sz w:val="22"/>
          <w:szCs w:val="22"/>
          <w:u w:val="single"/>
          <w:lang w:val="el-GR" w:eastAsia="el-GR"/>
        </w:rPr>
      </w:pPr>
      <w:r w:rsidRPr="00645EFE">
        <w:rPr>
          <w:sz w:val="22"/>
          <w:szCs w:val="22"/>
          <w:u w:val="single"/>
          <w:lang w:val="el-GR" w:eastAsia="el-GR"/>
        </w:rPr>
        <w:t>Σύνοψη του προφίλ ασφαλείας</w:t>
      </w:r>
    </w:p>
    <w:p w:rsidR="00D33B61" w:rsidRPr="00645EFE" w:rsidRDefault="00D33B61" w:rsidP="00645EFE">
      <w:pPr>
        <w:tabs>
          <w:tab w:val="left" w:pos="142"/>
        </w:tabs>
        <w:jc w:val="both"/>
        <w:rPr>
          <w:sz w:val="22"/>
          <w:szCs w:val="22"/>
          <w:lang w:val="el-GR"/>
        </w:rPr>
      </w:pPr>
      <w:r w:rsidRPr="00645EFE">
        <w:rPr>
          <w:sz w:val="22"/>
          <w:szCs w:val="22"/>
          <w:lang w:val="el-GR"/>
        </w:rPr>
        <w:lastRenderedPageBreak/>
        <w:t>Ήπιας μορφής αντιδράσεις</w:t>
      </w:r>
      <w:r w:rsidR="009231C2" w:rsidRPr="00645EFE">
        <w:rPr>
          <w:sz w:val="22"/>
          <w:szCs w:val="22"/>
          <w:lang w:val="el-GR"/>
        </w:rPr>
        <w:t xml:space="preserve">, με διαλύματα ανθρώπινης λευκωματίνης,  </w:t>
      </w:r>
      <w:r w:rsidRPr="00645EFE">
        <w:rPr>
          <w:sz w:val="22"/>
          <w:szCs w:val="22"/>
          <w:lang w:val="el-GR"/>
        </w:rPr>
        <w:t xml:space="preserve">όπως εξάψεις, κνίδωση, πυρετός και ναυτία εμφανίζονται σπάνια. Αυτές οι αντιδράσεις συνήθως εξαφανίζονται ταχέως όταν ο ρυθμός έγχυσης επιβραδυνθεί ή διακοπεί η έγχυση. Σε πολύ σπάνιες περιπτώσεις μπορεί να εμφανισθούν σοβαρές </w:t>
      </w:r>
      <w:r w:rsidR="00DD5AB9" w:rsidRPr="00645EFE">
        <w:rPr>
          <w:sz w:val="22"/>
          <w:szCs w:val="22"/>
          <w:lang w:val="el-GR"/>
        </w:rPr>
        <w:t xml:space="preserve">αλλεργικές </w:t>
      </w:r>
      <w:r w:rsidRPr="00645EFE">
        <w:rPr>
          <w:sz w:val="22"/>
          <w:szCs w:val="22"/>
          <w:lang w:val="el-GR"/>
        </w:rPr>
        <w:t xml:space="preserve">αντιδράσεις, όπως </w:t>
      </w:r>
      <w:r w:rsidR="00DD5AB9" w:rsidRPr="001805C4">
        <w:rPr>
          <w:sz w:val="22"/>
          <w:szCs w:val="22"/>
          <w:lang w:val="el-GR"/>
        </w:rPr>
        <w:t xml:space="preserve">αναφυλακτική </w:t>
      </w:r>
      <w:r w:rsidRPr="001805C4">
        <w:rPr>
          <w:sz w:val="22"/>
          <w:szCs w:val="22"/>
          <w:lang w:val="el-GR"/>
        </w:rPr>
        <w:t>καταπληξία.</w:t>
      </w:r>
      <w:r w:rsidRPr="00645EFE">
        <w:rPr>
          <w:sz w:val="22"/>
          <w:szCs w:val="22"/>
          <w:lang w:val="el-GR"/>
        </w:rPr>
        <w:t xml:space="preserve"> Στις περιπτώσεις αυτές η έγχυση πρέπει να διακόπτεται αμέσως και να αρχίζει κατάλληλη θεραπεία.</w:t>
      </w:r>
    </w:p>
    <w:p w:rsidR="00D33B61" w:rsidRPr="00645EFE" w:rsidRDefault="00D33B61" w:rsidP="00645EFE">
      <w:pPr>
        <w:tabs>
          <w:tab w:val="left" w:pos="142"/>
        </w:tabs>
        <w:jc w:val="both"/>
        <w:rPr>
          <w:sz w:val="22"/>
          <w:szCs w:val="22"/>
          <w:lang w:val="el-GR"/>
        </w:rPr>
      </w:pPr>
    </w:p>
    <w:p w:rsidR="00F30C03" w:rsidRPr="00645EFE" w:rsidRDefault="00F30C03" w:rsidP="00645EFE">
      <w:pPr>
        <w:widowControl w:val="0"/>
        <w:jc w:val="both"/>
        <w:rPr>
          <w:sz w:val="22"/>
          <w:szCs w:val="22"/>
          <w:u w:val="single"/>
          <w:lang w:val="el-GR" w:eastAsia="el-GR"/>
        </w:rPr>
      </w:pPr>
      <w:r w:rsidRPr="00645EFE">
        <w:rPr>
          <w:sz w:val="22"/>
          <w:szCs w:val="22"/>
          <w:u w:val="single"/>
          <w:lang w:val="el-GR" w:eastAsia="el-GR"/>
        </w:rPr>
        <w:t>Λίστα ανεπιθύμητων ενεργειών υπό μορφή πίνακα</w:t>
      </w:r>
    </w:p>
    <w:p w:rsidR="00F30C03" w:rsidRPr="00645EFE" w:rsidRDefault="00F30C03" w:rsidP="00645EFE">
      <w:pPr>
        <w:widowControl w:val="0"/>
        <w:tabs>
          <w:tab w:val="left" w:pos="142"/>
        </w:tabs>
        <w:jc w:val="both"/>
        <w:rPr>
          <w:sz w:val="22"/>
          <w:szCs w:val="22"/>
          <w:lang w:val="el-GR"/>
        </w:rPr>
      </w:pPr>
      <w:r w:rsidRPr="00645EFE">
        <w:rPr>
          <w:sz w:val="22"/>
          <w:szCs w:val="22"/>
          <w:lang w:val="el-GR"/>
        </w:rPr>
        <w:t xml:space="preserve">Ο παρακάτω συνοπτικός πίνακας παρουσιάζει τις ανεπιθύμητες ενέργειες που έχουν παρατηρηθεί με το </w:t>
      </w:r>
      <w:r w:rsidRPr="00645EFE">
        <w:rPr>
          <w:sz w:val="22"/>
          <w:szCs w:val="22"/>
          <w:lang w:val="en-US"/>
        </w:rPr>
        <w:t>Alburex</w:t>
      </w:r>
      <w:r w:rsidRPr="00645EFE">
        <w:rPr>
          <w:sz w:val="22"/>
          <w:szCs w:val="22"/>
          <w:lang w:val="el-GR"/>
        </w:rPr>
        <w:t xml:space="preserve"> 20 μετά την κυκλοφορία του, </w:t>
      </w:r>
      <w:r w:rsidR="00F135B2" w:rsidRPr="00645EFE">
        <w:rPr>
          <w:sz w:val="22"/>
          <w:szCs w:val="22"/>
          <w:lang w:val="el-GR"/>
        </w:rPr>
        <w:t>σύμφωνα με</w:t>
      </w:r>
      <w:r w:rsidRPr="00645EFE">
        <w:rPr>
          <w:sz w:val="22"/>
          <w:szCs w:val="22"/>
          <w:lang w:val="el-GR"/>
        </w:rPr>
        <w:t xml:space="preserve"> την κατηγοριοποίηση ανά οργανικό σύστημα κατά  </w:t>
      </w:r>
      <w:r w:rsidRPr="00645EFE">
        <w:rPr>
          <w:sz w:val="22"/>
          <w:szCs w:val="22"/>
          <w:lang w:val="en-US"/>
        </w:rPr>
        <w:t>MedDRA</w:t>
      </w:r>
      <w:r w:rsidRPr="00645EFE">
        <w:rPr>
          <w:sz w:val="22"/>
          <w:szCs w:val="22"/>
          <w:lang w:val="el-GR"/>
        </w:rPr>
        <w:t xml:space="preserve"> [Κατηγορία Οργανικού συστήματος (</w:t>
      </w:r>
      <w:r w:rsidRPr="00645EFE">
        <w:rPr>
          <w:sz w:val="22"/>
          <w:szCs w:val="22"/>
          <w:lang w:val="en-US"/>
        </w:rPr>
        <w:t>SOC</w:t>
      </w:r>
      <w:r w:rsidRPr="00645EFE">
        <w:rPr>
          <w:sz w:val="22"/>
          <w:szCs w:val="22"/>
          <w:lang w:val="el-GR"/>
        </w:rPr>
        <w:t xml:space="preserve">) και Επίπεδο Προτιμώμενου Όρου]. </w:t>
      </w:r>
    </w:p>
    <w:p w:rsidR="00F30C03" w:rsidRPr="00645EFE" w:rsidRDefault="00F30C03" w:rsidP="00645EFE">
      <w:pPr>
        <w:widowControl w:val="0"/>
        <w:jc w:val="both"/>
        <w:rPr>
          <w:sz w:val="22"/>
          <w:szCs w:val="22"/>
          <w:lang w:val="el-GR"/>
        </w:rPr>
      </w:pPr>
      <w:r w:rsidRPr="00645EFE">
        <w:rPr>
          <w:sz w:val="22"/>
          <w:szCs w:val="22"/>
          <w:lang w:val="el-GR"/>
        </w:rPr>
        <w:t xml:space="preserve">Καθώς η αναφορά των ανεπιθύμητων ενεργειών μετά την κυκλοφορία του φαρμάκου είναι εθελοντική και για πληθυσμό απροσδιόριστου μεγέθους, δεν είναι δυνατή η αξιόπιστη εκτίμηση της συχνότητας των ενεργειών αυτών. Για αυτό το λόγο χρησιμοποιείται η κατηγορία συχνότητας “Μη </w:t>
      </w:r>
      <w:r w:rsidRPr="001805C4">
        <w:rPr>
          <w:sz w:val="22"/>
          <w:szCs w:val="22"/>
          <w:lang w:val="el-GR"/>
        </w:rPr>
        <w:t>γνωστή”</w:t>
      </w:r>
      <w:r w:rsidR="0005302F" w:rsidRPr="00FF08A9">
        <w:rPr>
          <w:sz w:val="22"/>
          <w:szCs w:val="22"/>
          <w:lang w:val="el-GR"/>
        </w:rPr>
        <w:t xml:space="preserve"> </w:t>
      </w:r>
      <w:r w:rsidRPr="001805C4">
        <w:rPr>
          <w:sz w:val="22"/>
          <w:szCs w:val="22"/>
          <w:lang w:val="el-GR"/>
        </w:rPr>
        <w:t>(</w:t>
      </w:r>
      <w:r w:rsidRPr="00645EFE">
        <w:rPr>
          <w:sz w:val="22"/>
          <w:szCs w:val="22"/>
          <w:lang w:val="el-GR"/>
        </w:rPr>
        <w:t>δεν μπορεί να εκτιμηθεί με βάση τα διαθέσιμα δεδομένα).</w:t>
      </w:r>
    </w:p>
    <w:p w:rsidR="00D33B61" w:rsidRPr="00645EFE" w:rsidRDefault="00D33B61" w:rsidP="00645EFE">
      <w:pPr>
        <w:jc w:val="both"/>
        <w:rPr>
          <w:sz w:val="22"/>
          <w:szCs w:val="22"/>
          <w:lang w:val="el-GR"/>
        </w:rPr>
      </w:pPr>
    </w:p>
    <w:tbl>
      <w:tblPr>
        <w:tblpPr w:leftFromText="180" w:rightFromText="180" w:vertAnchor="text" w:horzAnchor="margin" w:tblpX="108" w:tblpY="99"/>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86"/>
        <w:gridCol w:w="3026"/>
      </w:tblGrid>
      <w:tr w:rsidR="00F135B2" w:rsidRPr="00792833" w:rsidTr="0084378F">
        <w:tc>
          <w:tcPr>
            <w:tcW w:w="3510" w:type="dxa"/>
          </w:tcPr>
          <w:p w:rsidR="00F135B2" w:rsidRPr="00645EFE" w:rsidRDefault="00DD5AB9" w:rsidP="00645EFE">
            <w:pPr>
              <w:pStyle w:val="1"/>
              <w:keepLines/>
              <w:widowControl w:val="0"/>
              <w:ind w:left="0"/>
              <w:jc w:val="left"/>
              <w:rPr>
                <w:sz w:val="22"/>
                <w:szCs w:val="22"/>
                <w:lang w:val="el-GR"/>
              </w:rPr>
            </w:pPr>
            <w:r w:rsidRPr="00645EFE">
              <w:rPr>
                <w:sz w:val="22"/>
                <w:szCs w:val="22"/>
                <w:lang w:val="el-GR"/>
              </w:rPr>
              <w:t xml:space="preserve">MedDRA </w:t>
            </w:r>
            <w:r w:rsidR="00F135B2" w:rsidRPr="00645EFE">
              <w:rPr>
                <w:sz w:val="22"/>
                <w:szCs w:val="22"/>
                <w:lang w:val="el-GR"/>
              </w:rPr>
              <w:t>Κατηγορία οργ</w:t>
            </w:r>
            <w:r w:rsidR="00FE16BC" w:rsidRPr="00645EFE">
              <w:rPr>
                <w:sz w:val="22"/>
                <w:szCs w:val="22"/>
                <w:lang w:val="el-GR"/>
              </w:rPr>
              <w:t>ανικού</w:t>
            </w:r>
            <w:r w:rsidR="00F135B2" w:rsidRPr="00645EFE">
              <w:rPr>
                <w:sz w:val="22"/>
                <w:szCs w:val="22"/>
                <w:lang w:val="el-GR"/>
              </w:rPr>
              <w:t xml:space="preserve"> συστήματος (SOC)</w:t>
            </w:r>
          </w:p>
        </w:tc>
        <w:tc>
          <w:tcPr>
            <w:tcW w:w="2586" w:type="dxa"/>
          </w:tcPr>
          <w:p w:rsidR="00F135B2" w:rsidRPr="00645EFE" w:rsidRDefault="00F135B2" w:rsidP="00645EFE">
            <w:pPr>
              <w:pStyle w:val="3"/>
              <w:keepLines/>
              <w:widowControl w:val="0"/>
              <w:tabs>
                <w:tab w:val="left" w:pos="72"/>
              </w:tabs>
              <w:ind w:left="72" w:firstLine="0"/>
              <w:rPr>
                <w:sz w:val="22"/>
                <w:szCs w:val="22"/>
              </w:rPr>
            </w:pPr>
            <w:r w:rsidRPr="00645EFE">
              <w:rPr>
                <w:sz w:val="22"/>
                <w:szCs w:val="22"/>
              </w:rPr>
              <w:t>Ανεπιθύμητη ενέργεια</w:t>
            </w:r>
          </w:p>
          <w:p w:rsidR="00F135B2" w:rsidRPr="00645EFE" w:rsidRDefault="00F135B2" w:rsidP="00645EFE">
            <w:pPr>
              <w:rPr>
                <w:b/>
                <w:bCs/>
                <w:sz w:val="22"/>
                <w:szCs w:val="22"/>
              </w:rPr>
            </w:pPr>
          </w:p>
          <w:p w:rsidR="00F135B2" w:rsidRPr="00645EFE" w:rsidRDefault="00F135B2" w:rsidP="00645EFE">
            <w:pPr>
              <w:rPr>
                <w:sz w:val="22"/>
                <w:szCs w:val="22"/>
                <w:lang w:val="el-GR"/>
              </w:rPr>
            </w:pPr>
          </w:p>
        </w:tc>
        <w:tc>
          <w:tcPr>
            <w:tcW w:w="3026" w:type="dxa"/>
          </w:tcPr>
          <w:p w:rsidR="00F135B2" w:rsidRPr="00645EFE" w:rsidRDefault="00F135B2" w:rsidP="00645EFE">
            <w:pPr>
              <w:pStyle w:val="3"/>
              <w:keepLines/>
              <w:widowControl w:val="0"/>
              <w:tabs>
                <w:tab w:val="left" w:pos="72"/>
              </w:tabs>
              <w:ind w:left="72" w:firstLine="0"/>
              <w:rPr>
                <w:sz w:val="22"/>
                <w:szCs w:val="22"/>
              </w:rPr>
            </w:pPr>
            <w:r w:rsidRPr="00645EFE">
              <w:rPr>
                <w:sz w:val="22"/>
                <w:szCs w:val="22"/>
              </w:rPr>
              <w:t xml:space="preserve">Συχνότητα </w:t>
            </w:r>
          </w:p>
        </w:tc>
      </w:tr>
      <w:tr w:rsidR="00F135B2" w:rsidRPr="00792833" w:rsidDel="00C41B71" w:rsidTr="0084378F">
        <w:trPr>
          <w:trHeight w:val="447"/>
        </w:trPr>
        <w:tc>
          <w:tcPr>
            <w:tcW w:w="3510" w:type="dxa"/>
          </w:tcPr>
          <w:p w:rsidR="00F135B2" w:rsidRPr="00645EFE" w:rsidRDefault="00F135B2" w:rsidP="00645EFE">
            <w:pPr>
              <w:keepNext/>
              <w:keepLines/>
              <w:widowControl w:val="0"/>
              <w:tabs>
                <w:tab w:val="left" w:pos="72"/>
              </w:tabs>
              <w:ind w:right="567"/>
              <w:rPr>
                <w:sz w:val="22"/>
                <w:szCs w:val="22"/>
              </w:rPr>
            </w:pPr>
            <w:r w:rsidRPr="00645EFE">
              <w:rPr>
                <w:sz w:val="22"/>
                <w:szCs w:val="22"/>
                <w:lang w:val="el-GR"/>
              </w:rPr>
              <w:t>Διαταραχές του ανοσοποιητικού συστήματος</w:t>
            </w:r>
          </w:p>
          <w:p w:rsidR="00676EAB" w:rsidRPr="00645EFE" w:rsidDel="00C41B71" w:rsidRDefault="00676EAB" w:rsidP="00645EFE">
            <w:pPr>
              <w:keepNext/>
              <w:keepLines/>
              <w:widowControl w:val="0"/>
              <w:tabs>
                <w:tab w:val="left" w:pos="72"/>
              </w:tabs>
              <w:ind w:right="567"/>
              <w:rPr>
                <w:sz w:val="22"/>
                <w:szCs w:val="22"/>
              </w:rPr>
            </w:pPr>
          </w:p>
        </w:tc>
        <w:tc>
          <w:tcPr>
            <w:tcW w:w="2586" w:type="dxa"/>
          </w:tcPr>
          <w:p w:rsidR="00F135B2" w:rsidRPr="00FF08A9" w:rsidRDefault="00DD5AB9" w:rsidP="00645EFE">
            <w:pPr>
              <w:pStyle w:val="StandardRAL-GB"/>
              <w:rPr>
                <w:sz w:val="22"/>
                <w:szCs w:val="22"/>
                <w:lang w:val="el-GR"/>
              </w:rPr>
            </w:pPr>
            <w:r w:rsidRPr="00645EFE">
              <w:rPr>
                <w:sz w:val="22"/>
                <w:szCs w:val="22"/>
                <w:lang w:val="el-GR"/>
              </w:rPr>
              <w:t xml:space="preserve">Αντιδράσεις υπερευαισθησίας (συμπεριλαμβανομένων αναφυλαξίας </w:t>
            </w:r>
            <w:r w:rsidRPr="001805C4">
              <w:rPr>
                <w:sz w:val="22"/>
                <w:szCs w:val="22"/>
                <w:lang w:val="el-GR"/>
              </w:rPr>
              <w:t>και καταπληξίας)</w:t>
            </w:r>
          </w:p>
          <w:p w:rsidR="00F135B2" w:rsidRPr="00FF08A9" w:rsidRDefault="00F135B2" w:rsidP="00645EFE">
            <w:pPr>
              <w:keepNext/>
              <w:keepLines/>
              <w:widowControl w:val="0"/>
              <w:tabs>
                <w:tab w:val="left" w:pos="72"/>
              </w:tabs>
              <w:rPr>
                <w:sz w:val="22"/>
                <w:szCs w:val="22"/>
                <w:lang w:val="el-GR"/>
              </w:rPr>
            </w:pPr>
          </w:p>
        </w:tc>
        <w:tc>
          <w:tcPr>
            <w:tcW w:w="3026" w:type="dxa"/>
          </w:tcPr>
          <w:p w:rsidR="00F135B2" w:rsidRPr="00645EFE" w:rsidDel="00C41B71" w:rsidRDefault="00F135B2" w:rsidP="00645EFE">
            <w:pPr>
              <w:rPr>
                <w:sz w:val="22"/>
                <w:szCs w:val="22"/>
                <w:lang w:val="el-GR"/>
              </w:rPr>
            </w:pPr>
            <w:r w:rsidRPr="00645EFE">
              <w:rPr>
                <w:sz w:val="22"/>
                <w:szCs w:val="22"/>
                <w:lang w:val="el-GR"/>
              </w:rPr>
              <w:t xml:space="preserve">Μη γνωστή </w:t>
            </w:r>
          </w:p>
        </w:tc>
      </w:tr>
      <w:tr w:rsidR="00F135B2" w:rsidRPr="00792833" w:rsidDel="00C41B71" w:rsidTr="0084378F">
        <w:trPr>
          <w:trHeight w:val="277"/>
        </w:trPr>
        <w:tc>
          <w:tcPr>
            <w:tcW w:w="3510" w:type="dxa"/>
          </w:tcPr>
          <w:p w:rsidR="00F135B2" w:rsidRPr="00645EFE" w:rsidRDefault="00F135B2" w:rsidP="00645EFE">
            <w:pPr>
              <w:keepNext/>
              <w:keepLines/>
              <w:widowControl w:val="0"/>
              <w:tabs>
                <w:tab w:val="left" w:pos="72"/>
              </w:tabs>
              <w:ind w:right="567"/>
              <w:rPr>
                <w:sz w:val="22"/>
                <w:szCs w:val="22"/>
              </w:rPr>
            </w:pPr>
            <w:r w:rsidRPr="00645EFE">
              <w:rPr>
                <w:sz w:val="22"/>
                <w:szCs w:val="22"/>
                <w:lang w:val="el-GR"/>
              </w:rPr>
              <w:t xml:space="preserve">Διαταραχές του γαστρεντερικού </w:t>
            </w:r>
          </w:p>
          <w:p w:rsidR="00676EAB" w:rsidRPr="00645EFE" w:rsidDel="00C41B71" w:rsidRDefault="00676EAB" w:rsidP="00645EFE">
            <w:pPr>
              <w:keepNext/>
              <w:keepLines/>
              <w:widowControl w:val="0"/>
              <w:tabs>
                <w:tab w:val="left" w:pos="72"/>
              </w:tabs>
              <w:ind w:right="567"/>
              <w:rPr>
                <w:sz w:val="22"/>
                <w:szCs w:val="22"/>
              </w:rPr>
            </w:pPr>
          </w:p>
        </w:tc>
        <w:tc>
          <w:tcPr>
            <w:tcW w:w="2586" w:type="dxa"/>
          </w:tcPr>
          <w:p w:rsidR="00F135B2" w:rsidRPr="00645EFE" w:rsidRDefault="00F135B2" w:rsidP="00645EFE">
            <w:pPr>
              <w:keepNext/>
              <w:keepLines/>
              <w:widowControl w:val="0"/>
              <w:tabs>
                <w:tab w:val="left" w:pos="72"/>
              </w:tabs>
              <w:rPr>
                <w:sz w:val="22"/>
                <w:szCs w:val="22"/>
                <w:lang w:val="el-GR"/>
              </w:rPr>
            </w:pPr>
            <w:r w:rsidRPr="00645EFE">
              <w:rPr>
                <w:sz w:val="22"/>
                <w:szCs w:val="22"/>
                <w:lang w:val="el-GR"/>
              </w:rPr>
              <w:t xml:space="preserve">Ναυτία </w:t>
            </w:r>
          </w:p>
        </w:tc>
        <w:tc>
          <w:tcPr>
            <w:tcW w:w="3026" w:type="dxa"/>
          </w:tcPr>
          <w:p w:rsidR="00F135B2" w:rsidRPr="00645EFE" w:rsidRDefault="00F135B2" w:rsidP="00645EFE">
            <w:pPr>
              <w:rPr>
                <w:sz w:val="22"/>
                <w:szCs w:val="22"/>
              </w:rPr>
            </w:pPr>
            <w:r w:rsidRPr="00645EFE">
              <w:rPr>
                <w:sz w:val="22"/>
                <w:szCs w:val="22"/>
                <w:lang w:val="el-GR"/>
              </w:rPr>
              <w:t xml:space="preserve">Μη γνωστή </w:t>
            </w:r>
          </w:p>
        </w:tc>
      </w:tr>
      <w:tr w:rsidR="00F135B2" w:rsidRPr="00792833" w:rsidDel="00C41B71" w:rsidTr="0084378F">
        <w:trPr>
          <w:trHeight w:val="321"/>
        </w:trPr>
        <w:tc>
          <w:tcPr>
            <w:tcW w:w="3510" w:type="dxa"/>
          </w:tcPr>
          <w:p w:rsidR="00F135B2" w:rsidRPr="00645EFE" w:rsidRDefault="00F135B2" w:rsidP="00645EFE">
            <w:pPr>
              <w:keepNext/>
              <w:keepLines/>
              <w:widowControl w:val="0"/>
              <w:tabs>
                <w:tab w:val="left" w:pos="72"/>
              </w:tabs>
              <w:ind w:right="567"/>
              <w:rPr>
                <w:sz w:val="22"/>
                <w:szCs w:val="22"/>
                <w:lang w:val="el-GR"/>
              </w:rPr>
            </w:pPr>
            <w:r w:rsidRPr="00645EFE">
              <w:rPr>
                <w:sz w:val="22"/>
                <w:szCs w:val="22"/>
                <w:lang w:val="el-GR"/>
              </w:rPr>
              <w:t>Διαταραχές του δέρματος και του υποδόριου ιστού</w:t>
            </w:r>
          </w:p>
          <w:p w:rsidR="00676EAB" w:rsidRPr="00645EFE" w:rsidDel="00C41B71" w:rsidRDefault="00676EAB" w:rsidP="00645EFE">
            <w:pPr>
              <w:keepNext/>
              <w:keepLines/>
              <w:widowControl w:val="0"/>
              <w:tabs>
                <w:tab w:val="left" w:pos="72"/>
              </w:tabs>
              <w:ind w:right="567"/>
              <w:rPr>
                <w:sz w:val="22"/>
                <w:szCs w:val="22"/>
                <w:lang w:val="el-GR"/>
              </w:rPr>
            </w:pPr>
          </w:p>
        </w:tc>
        <w:tc>
          <w:tcPr>
            <w:tcW w:w="2586" w:type="dxa"/>
          </w:tcPr>
          <w:p w:rsidR="00F135B2" w:rsidRPr="00645EFE" w:rsidRDefault="00F135B2" w:rsidP="00645EFE">
            <w:pPr>
              <w:keepNext/>
              <w:keepLines/>
              <w:widowControl w:val="0"/>
              <w:tabs>
                <w:tab w:val="left" w:pos="72"/>
              </w:tabs>
              <w:rPr>
                <w:sz w:val="22"/>
                <w:szCs w:val="22"/>
                <w:lang w:val="el-GR"/>
              </w:rPr>
            </w:pPr>
            <w:r w:rsidRPr="00645EFE">
              <w:rPr>
                <w:sz w:val="22"/>
                <w:szCs w:val="22"/>
                <w:lang w:val="el-GR"/>
              </w:rPr>
              <w:t xml:space="preserve">Ερύθημα, κνίδωση </w:t>
            </w:r>
          </w:p>
          <w:p w:rsidR="00F135B2" w:rsidRPr="00645EFE" w:rsidRDefault="00F135B2" w:rsidP="00645EFE">
            <w:pPr>
              <w:keepNext/>
              <w:keepLines/>
              <w:widowControl w:val="0"/>
              <w:tabs>
                <w:tab w:val="left" w:pos="72"/>
              </w:tabs>
              <w:rPr>
                <w:sz w:val="22"/>
                <w:szCs w:val="22"/>
              </w:rPr>
            </w:pPr>
          </w:p>
        </w:tc>
        <w:tc>
          <w:tcPr>
            <w:tcW w:w="3026" w:type="dxa"/>
          </w:tcPr>
          <w:p w:rsidR="00F135B2" w:rsidRPr="00645EFE" w:rsidRDefault="00F135B2" w:rsidP="00645EFE">
            <w:pPr>
              <w:rPr>
                <w:sz w:val="22"/>
                <w:szCs w:val="22"/>
              </w:rPr>
            </w:pPr>
            <w:r w:rsidRPr="00645EFE">
              <w:rPr>
                <w:sz w:val="22"/>
                <w:szCs w:val="22"/>
                <w:lang w:val="el-GR"/>
              </w:rPr>
              <w:t xml:space="preserve">Μη γνωστή </w:t>
            </w:r>
          </w:p>
        </w:tc>
      </w:tr>
      <w:tr w:rsidR="00F135B2" w:rsidRPr="00792833" w:rsidTr="0084378F">
        <w:trPr>
          <w:trHeight w:val="784"/>
        </w:trPr>
        <w:tc>
          <w:tcPr>
            <w:tcW w:w="3510" w:type="dxa"/>
          </w:tcPr>
          <w:p w:rsidR="00F135B2" w:rsidRPr="00645EFE" w:rsidRDefault="00F135B2" w:rsidP="00645EFE">
            <w:pPr>
              <w:keepNext/>
              <w:keepLines/>
              <w:widowControl w:val="0"/>
              <w:tabs>
                <w:tab w:val="left" w:pos="0"/>
              </w:tabs>
              <w:ind w:left="72" w:right="567"/>
              <w:rPr>
                <w:sz w:val="22"/>
                <w:szCs w:val="22"/>
                <w:lang w:val="el-GR"/>
              </w:rPr>
            </w:pPr>
            <w:r w:rsidRPr="00645EFE">
              <w:rPr>
                <w:sz w:val="22"/>
                <w:szCs w:val="22"/>
                <w:lang w:val="el-GR"/>
              </w:rPr>
              <w:t>Γενικές διαταραχές και καταστάσεις της οδού χορήγησης</w:t>
            </w:r>
          </w:p>
          <w:p w:rsidR="00676EAB" w:rsidRPr="00645EFE" w:rsidRDefault="00676EAB" w:rsidP="00645EFE">
            <w:pPr>
              <w:keepNext/>
              <w:keepLines/>
              <w:widowControl w:val="0"/>
              <w:tabs>
                <w:tab w:val="left" w:pos="0"/>
              </w:tabs>
              <w:ind w:left="72" w:right="567"/>
              <w:rPr>
                <w:sz w:val="22"/>
                <w:szCs w:val="22"/>
                <w:lang w:val="el-GR"/>
              </w:rPr>
            </w:pPr>
          </w:p>
        </w:tc>
        <w:tc>
          <w:tcPr>
            <w:tcW w:w="2586" w:type="dxa"/>
          </w:tcPr>
          <w:p w:rsidR="00F135B2" w:rsidRPr="00645EFE" w:rsidRDefault="00F135B2" w:rsidP="00645EFE">
            <w:pPr>
              <w:keepNext/>
              <w:keepLines/>
              <w:widowControl w:val="0"/>
              <w:tabs>
                <w:tab w:val="left" w:pos="72"/>
              </w:tabs>
              <w:rPr>
                <w:sz w:val="22"/>
                <w:szCs w:val="22"/>
                <w:lang w:val="el-GR"/>
              </w:rPr>
            </w:pPr>
            <w:r w:rsidRPr="00645EFE">
              <w:rPr>
                <w:sz w:val="22"/>
                <w:szCs w:val="22"/>
                <w:lang w:val="el-GR"/>
              </w:rPr>
              <w:t>Πυρετός</w:t>
            </w:r>
          </w:p>
        </w:tc>
        <w:tc>
          <w:tcPr>
            <w:tcW w:w="3026" w:type="dxa"/>
          </w:tcPr>
          <w:p w:rsidR="00F135B2" w:rsidRPr="00645EFE" w:rsidRDefault="00F135B2" w:rsidP="00645EFE">
            <w:pPr>
              <w:pStyle w:val="ae"/>
              <w:keepNext/>
              <w:keepLines/>
              <w:widowControl w:val="0"/>
              <w:spacing w:after="0"/>
              <w:rPr>
                <w:b/>
                <w:bCs/>
                <w:sz w:val="22"/>
                <w:szCs w:val="22"/>
              </w:rPr>
            </w:pPr>
            <w:r w:rsidRPr="00645EFE">
              <w:rPr>
                <w:sz w:val="22"/>
                <w:szCs w:val="22"/>
                <w:lang w:val="el-GR"/>
              </w:rPr>
              <w:t xml:space="preserve">Μη γνωστή </w:t>
            </w:r>
          </w:p>
        </w:tc>
      </w:tr>
    </w:tbl>
    <w:p w:rsidR="00D33B61" w:rsidRPr="00645EFE" w:rsidRDefault="00D33B61" w:rsidP="00645EFE">
      <w:pPr>
        <w:tabs>
          <w:tab w:val="left" w:pos="142"/>
        </w:tabs>
        <w:jc w:val="both"/>
        <w:rPr>
          <w:sz w:val="22"/>
          <w:szCs w:val="22"/>
          <w:lang w:val="el-GR"/>
        </w:rPr>
      </w:pPr>
    </w:p>
    <w:p w:rsidR="00E14126" w:rsidRPr="00FF08A9" w:rsidRDefault="00E14126" w:rsidP="00645EFE">
      <w:pPr>
        <w:tabs>
          <w:tab w:val="left" w:pos="567"/>
        </w:tabs>
        <w:autoSpaceDE w:val="0"/>
        <w:autoSpaceDN w:val="0"/>
        <w:adjustRightInd w:val="0"/>
        <w:spacing w:line="260" w:lineRule="exact"/>
        <w:jc w:val="both"/>
        <w:rPr>
          <w:snapToGrid w:val="0"/>
          <w:sz w:val="22"/>
          <w:szCs w:val="22"/>
          <w:u w:val="single"/>
          <w:lang w:val="el-GR"/>
        </w:rPr>
      </w:pPr>
      <w:r w:rsidRPr="00FF08A9">
        <w:rPr>
          <w:noProof/>
          <w:snapToGrid w:val="0"/>
          <w:sz w:val="22"/>
          <w:szCs w:val="22"/>
          <w:u w:val="single"/>
          <w:lang w:val="el-GR"/>
        </w:rPr>
        <w:t>Αναφορά πιθανολογούμενων ανεπιθύμητων ενεργειών</w:t>
      </w:r>
    </w:p>
    <w:p w:rsidR="00E14126" w:rsidRPr="00FF08A9" w:rsidRDefault="00E14126" w:rsidP="00FF08A9">
      <w:pPr>
        <w:jc w:val="both"/>
        <w:rPr>
          <w:snapToGrid w:val="0"/>
          <w:sz w:val="22"/>
          <w:szCs w:val="22"/>
          <w:lang w:val="el-GR"/>
        </w:rPr>
      </w:pPr>
      <w:r w:rsidRPr="00FF08A9">
        <w:rPr>
          <w:snapToGrid w:val="0"/>
          <w:sz w:val="22"/>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FF08A9">
        <w:rPr>
          <w:noProof/>
          <w:snapToGrid w:val="0"/>
          <w:sz w:val="22"/>
          <w:szCs w:val="22"/>
          <w:lang w:val="el-GR"/>
        </w:rPr>
        <w:t>.</w:t>
      </w:r>
      <w:r w:rsidRPr="00FF08A9">
        <w:rPr>
          <w:snapToGrid w:val="0"/>
          <w:sz w:val="22"/>
          <w:szCs w:val="22"/>
          <w:lang w:val="el-GR"/>
        </w:rPr>
        <w:t xml:space="preserve"> Επιτρέπει τη συνεχή παρακολούθηση της σχέσης οφέλους-κινδύνου του φαρμακευτικού προϊόντος</w:t>
      </w:r>
      <w:r w:rsidRPr="00FF08A9">
        <w:rPr>
          <w:noProof/>
          <w:snapToGrid w:val="0"/>
          <w:sz w:val="22"/>
          <w:szCs w:val="22"/>
          <w:lang w:val="el-GR"/>
        </w:rPr>
        <w:t>.</w:t>
      </w:r>
      <w:r w:rsidRPr="00FF08A9">
        <w:rPr>
          <w:snapToGrid w:val="0"/>
          <w:sz w:val="22"/>
          <w:szCs w:val="22"/>
          <w:lang w:val="el-GR"/>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w:t>
      </w:r>
    </w:p>
    <w:p w:rsidR="00E14126" w:rsidRPr="00FF08A9" w:rsidRDefault="00E14126" w:rsidP="00FF08A9">
      <w:pPr>
        <w:jc w:val="both"/>
        <w:rPr>
          <w:i/>
          <w:noProof/>
          <w:sz w:val="22"/>
          <w:szCs w:val="22"/>
          <w:highlight w:val="cyan"/>
          <w:lang w:val="el-GR" w:eastAsia="zh-CN"/>
        </w:rPr>
      </w:pPr>
    </w:p>
    <w:p w:rsidR="00E14126" w:rsidRPr="00FF08A9" w:rsidRDefault="00E14126" w:rsidP="00FF08A9">
      <w:pPr>
        <w:jc w:val="both"/>
        <w:rPr>
          <w:i/>
          <w:noProof/>
          <w:sz w:val="22"/>
          <w:szCs w:val="22"/>
          <w:lang w:val="el-GR"/>
        </w:rPr>
      </w:pPr>
      <w:r w:rsidRPr="00FF08A9">
        <w:rPr>
          <w:i/>
          <w:noProof/>
          <w:sz w:val="22"/>
          <w:szCs w:val="22"/>
          <w:lang w:val="el-GR" w:eastAsia="zh-CN"/>
        </w:rPr>
        <w:t>Ελλάδα:</w:t>
      </w:r>
    </w:p>
    <w:p w:rsidR="00E14126" w:rsidRPr="00FF08A9" w:rsidRDefault="00E14126" w:rsidP="00FF08A9">
      <w:pPr>
        <w:jc w:val="both"/>
        <w:rPr>
          <w:snapToGrid w:val="0"/>
          <w:sz w:val="22"/>
          <w:szCs w:val="22"/>
          <w:lang w:val="el-GR"/>
        </w:rPr>
      </w:pPr>
      <w:r w:rsidRPr="00FF08A9">
        <w:rPr>
          <w:snapToGrid w:val="0"/>
          <w:sz w:val="22"/>
          <w:szCs w:val="22"/>
          <w:lang w:val="el-GR"/>
        </w:rPr>
        <w:t xml:space="preserve">Εθνικός Οργανισμός Φαρμάκων, Μεσογείων 284, GR-15562 Χολαργός, Αθήνα, τηλ: (+ 30) 21 32040380/337, φαξ: (+ 30) 21 06549585, ιστότοπος: </w:t>
      </w:r>
      <w:hyperlink r:id="rId9" w:history="1">
        <w:r w:rsidRPr="00FF08A9">
          <w:rPr>
            <w:snapToGrid w:val="0"/>
            <w:sz w:val="22"/>
            <w:szCs w:val="22"/>
            <w:lang w:val="el-GR"/>
          </w:rPr>
          <w:t>http://www.eof.gr</w:t>
        </w:r>
      </w:hyperlink>
      <w:r w:rsidRPr="00FF08A9">
        <w:rPr>
          <w:snapToGrid w:val="0"/>
          <w:sz w:val="22"/>
          <w:szCs w:val="22"/>
          <w:lang w:val="el-GR"/>
        </w:rPr>
        <w:t>.</w:t>
      </w:r>
    </w:p>
    <w:p w:rsidR="00E14126" w:rsidRPr="00FF08A9" w:rsidRDefault="00E14126" w:rsidP="00FF08A9">
      <w:pPr>
        <w:jc w:val="both"/>
        <w:rPr>
          <w:noProof/>
          <w:sz w:val="22"/>
          <w:szCs w:val="22"/>
          <w:lang w:val="el-GR" w:eastAsia="zh-CN"/>
        </w:rPr>
      </w:pPr>
    </w:p>
    <w:p w:rsidR="00E14126" w:rsidRPr="00FF08A9" w:rsidRDefault="00E14126" w:rsidP="00FF08A9">
      <w:pPr>
        <w:jc w:val="both"/>
        <w:rPr>
          <w:i/>
          <w:noProof/>
          <w:sz w:val="22"/>
          <w:szCs w:val="22"/>
          <w:lang w:val="el-GR" w:eastAsia="zh-CN"/>
        </w:rPr>
      </w:pPr>
      <w:r w:rsidRPr="00FF08A9">
        <w:rPr>
          <w:i/>
          <w:noProof/>
          <w:sz w:val="22"/>
          <w:szCs w:val="22"/>
          <w:lang w:val="el-GR" w:eastAsia="zh-CN"/>
        </w:rPr>
        <w:t>Κύπρος:</w:t>
      </w:r>
    </w:p>
    <w:p w:rsidR="00E14126" w:rsidRPr="00FF08A9" w:rsidRDefault="00E14126" w:rsidP="00FF08A9">
      <w:pPr>
        <w:jc w:val="both"/>
        <w:rPr>
          <w:snapToGrid w:val="0"/>
          <w:sz w:val="22"/>
          <w:szCs w:val="22"/>
          <w:lang w:val="el-GR"/>
        </w:rPr>
      </w:pPr>
      <w:r w:rsidRPr="00FF08A9">
        <w:rPr>
          <w:snapToGrid w:val="0"/>
          <w:sz w:val="22"/>
          <w:szCs w:val="22"/>
          <w:lang w:val="el-GR"/>
        </w:rPr>
        <w:t xml:space="preserve">Φαρμακευτικές Υπηρεσίες, Υπουργείο Υγείας, CY-1475 Λευκωσία, φαξ: (+ 357) 22608649, ιστότοπος: </w:t>
      </w:r>
      <w:hyperlink r:id="rId10" w:history="1">
        <w:r w:rsidRPr="00FF08A9">
          <w:rPr>
            <w:snapToGrid w:val="0"/>
            <w:sz w:val="22"/>
            <w:szCs w:val="22"/>
            <w:lang w:val="el-GR"/>
          </w:rPr>
          <w:t>www.moh.gov.cy/phs</w:t>
        </w:r>
      </w:hyperlink>
      <w:r w:rsidRPr="00FF08A9">
        <w:rPr>
          <w:snapToGrid w:val="0"/>
          <w:sz w:val="22"/>
          <w:szCs w:val="22"/>
          <w:lang w:val="el-GR"/>
        </w:rPr>
        <w:t>.</w:t>
      </w:r>
    </w:p>
    <w:p w:rsidR="00E14126" w:rsidRPr="00FF08A9" w:rsidRDefault="00E14126"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 xml:space="preserve">Για πληροφορίες </w:t>
      </w:r>
      <w:r w:rsidR="009231C2" w:rsidRPr="00645EFE">
        <w:rPr>
          <w:sz w:val="22"/>
          <w:szCs w:val="22"/>
          <w:lang w:val="el-GR"/>
        </w:rPr>
        <w:t xml:space="preserve">που αφορούν την ασφάλεια σε σχέση </w:t>
      </w:r>
      <w:r w:rsidRPr="00645EFE">
        <w:rPr>
          <w:sz w:val="22"/>
          <w:szCs w:val="22"/>
          <w:lang w:val="el-GR"/>
        </w:rPr>
        <w:t xml:space="preserve">με </w:t>
      </w:r>
      <w:r w:rsidR="009231C2" w:rsidRPr="00645EFE">
        <w:rPr>
          <w:sz w:val="22"/>
          <w:szCs w:val="22"/>
          <w:lang w:val="el-GR"/>
        </w:rPr>
        <w:t xml:space="preserve">τους </w:t>
      </w:r>
      <w:r w:rsidRPr="00645EFE">
        <w:rPr>
          <w:sz w:val="22"/>
          <w:szCs w:val="22"/>
          <w:lang w:val="el-GR"/>
        </w:rPr>
        <w:t>μεταδοτικούς παράγοντες, βλ. παράγραφο 4.4.</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4.9</w:t>
      </w:r>
      <w:r w:rsidRPr="00645EFE">
        <w:rPr>
          <w:b/>
          <w:bCs/>
          <w:sz w:val="22"/>
          <w:szCs w:val="22"/>
          <w:lang w:val="el-GR"/>
        </w:rPr>
        <w:tab/>
        <w:t>Υπερδοσολογία</w:t>
      </w:r>
    </w:p>
    <w:p w:rsidR="00D33B61" w:rsidRPr="00645EFE" w:rsidRDefault="00D33B61" w:rsidP="00645EFE">
      <w:pPr>
        <w:tabs>
          <w:tab w:val="left" w:pos="142"/>
        </w:tabs>
        <w:jc w:val="both"/>
        <w:rPr>
          <w:b/>
          <w:bCs/>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 xml:space="preserve">Εάν η δοσολογία και ο ρυθμός έγχυσης είναι υπερβολικά υψηλοί, ενδέχεται να εμφανιστεί υπερογκαιμία. Με τα πρώτα κλινικά σημεία καρδιαγγειακής υπερφόρτωσης (κεφαλαλγία, δύσπνοια, </w:t>
      </w:r>
      <w:r w:rsidRPr="00645EFE">
        <w:rPr>
          <w:sz w:val="22"/>
          <w:szCs w:val="22"/>
          <w:lang w:val="el-GR"/>
        </w:rPr>
        <w:lastRenderedPageBreak/>
        <w:t>συμφόρηση της σφαγίτιδας φλέβας) ή αυξημένης αρτηριακής πίεσης, αυξημένης πίεσης της κεντρικής φλέβας ή πνευμονικού οιδήματος, η έγχυση πρέπει να διακόπτεται αμέσως και να ελέγχονται προσεκτικά οι αιμοδυναμικές παράμετροι του ασθενούς.</w:t>
      </w: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s>
        <w:jc w:val="both"/>
        <w:rPr>
          <w:sz w:val="22"/>
          <w:szCs w:val="22"/>
          <w:lang w:val="el-GR"/>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5.</w:t>
      </w:r>
      <w:r w:rsidRPr="00645EFE">
        <w:rPr>
          <w:b/>
          <w:bCs/>
          <w:sz w:val="22"/>
          <w:szCs w:val="22"/>
          <w:lang w:val="el-GR"/>
        </w:rPr>
        <w:tab/>
        <w:t>ΦΑΡΜΑΚΟΛΟΓΙΚΕΣ ΙΔΙΟΤΗΤΕΣ</w:t>
      </w:r>
    </w:p>
    <w:p w:rsidR="00D33B61" w:rsidRPr="00645EFE" w:rsidRDefault="00D33B61" w:rsidP="00645EFE">
      <w:pPr>
        <w:tabs>
          <w:tab w:val="left" w:pos="142"/>
        </w:tabs>
        <w:jc w:val="both"/>
        <w:rPr>
          <w:b/>
          <w:bCs/>
          <w:sz w:val="22"/>
          <w:szCs w:val="22"/>
          <w:lang w:val="el-GR"/>
        </w:rPr>
      </w:pPr>
    </w:p>
    <w:p w:rsidR="00D33B61" w:rsidRPr="00645EFE" w:rsidRDefault="00D33B61" w:rsidP="00645EFE">
      <w:pPr>
        <w:tabs>
          <w:tab w:val="left" w:pos="142"/>
          <w:tab w:val="left" w:pos="720"/>
        </w:tabs>
        <w:jc w:val="both"/>
        <w:rPr>
          <w:b/>
          <w:bCs/>
          <w:sz w:val="22"/>
          <w:szCs w:val="22"/>
          <w:lang w:val="el-GR"/>
        </w:rPr>
      </w:pPr>
      <w:r w:rsidRPr="00645EFE">
        <w:rPr>
          <w:b/>
          <w:bCs/>
          <w:sz w:val="22"/>
          <w:szCs w:val="22"/>
          <w:lang w:val="el-GR"/>
        </w:rPr>
        <w:t>5.1</w:t>
      </w:r>
      <w:r w:rsidRPr="00645EFE">
        <w:rPr>
          <w:b/>
          <w:bCs/>
          <w:sz w:val="22"/>
          <w:szCs w:val="22"/>
          <w:lang w:val="el-GR"/>
        </w:rPr>
        <w:tab/>
        <w:t>Φαρμακοδυναμικές ιδιότητες</w:t>
      </w:r>
    </w:p>
    <w:p w:rsidR="00D33B61" w:rsidRPr="00645EFE" w:rsidRDefault="00D33B61" w:rsidP="00645EFE">
      <w:pPr>
        <w:tabs>
          <w:tab w:val="left" w:pos="142"/>
        </w:tabs>
        <w:jc w:val="both"/>
        <w:rPr>
          <w:b/>
          <w:bCs/>
          <w:sz w:val="22"/>
          <w:szCs w:val="22"/>
          <w:lang w:val="el-GR"/>
        </w:rPr>
      </w:pPr>
    </w:p>
    <w:p w:rsidR="00D33B61" w:rsidRPr="00645EFE" w:rsidRDefault="00D33B61" w:rsidP="00645EFE">
      <w:pPr>
        <w:tabs>
          <w:tab w:val="left" w:pos="142"/>
        </w:tabs>
        <w:jc w:val="both"/>
        <w:rPr>
          <w:sz w:val="22"/>
          <w:szCs w:val="22"/>
          <w:lang w:val="el-GR"/>
        </w:rPr>
      </w:pPr>
      <w:r w:rsidRPr="00645EFE">
        <w:rPr>
          <w:sz w:val="22"/>
          <w:szCs w:val="22"/>
          <w:lang w:val="el-GR"/>
        </w:rPr>
        <w:t xml:space="preserve">Φαρμακοθεραπευτική κατηγορία: Υποκατάστατα πλάσματος και κλάσματα πρωτεϊνών πλάσματος, κωδικός ATC: Β05ΑΑ01. </w:t>
      </w:r>
    </w:p>
    <w:p w:rsidR="00D33B61" w:rsidRPr="00645EFE" w:rsidRDefault="00D33B61" w:rsidP="00645EFE">
      <w:pPr>
        <w:jc w:val="both"/>
        <w:rPr>
          <w:b/>
          <w:bCs/>
          <w:sz w:val="22"/>
          <w:szCs w:val="22"/>
          <w:lang w:val="el-GR"/>
        </w:rPr>
      </w:pPr>
      <w:r w:rsidRPr="00645EFE">
        <w:rPr>
          <w:sz w:val="22"/>
          <w:szCs w:val="22"/>
          <w:lang w:val="el-GR"/>
        </w:rPr>
        <w:t>Η ανθρώπινη λευκωματίνη αντιστοιχεί ποσοτικά σε περισσότερο από το μισό του κλάσματος της ολικής πρωτεΐνης στο πλάσμα και αντιπροσωπεύει το 10% περίπου της πρωτεϊνικής σύνθεσης που διενεργείται στο ήπαρ.</w:t>
      </w:r>
      <w:r w:rsidRPr="00645EFE">
        <w:rPr>
          <w:b/>
          <w:bCs/>
          <w:sz w:val="22"/>
          <w:szCs w:val="22"/>
          <w:lang w:val="el-GR"/>
        </w:rPr>
        <w:tab/>
      </w:r>
    </w:p>
    <w:p w:rsidR="00D33B61" w:rsidRPr="00645EFE" w:rsidRDefault="00D33B61" w:rsidP="00645EFE">
      <w:pPr>
        <w:jc w:val="both"/>
        <w:rPr>
          <w:b/>
          <w:bCs/>
          <w:sz w:val="22"/>
          <w:szCs w:val="22"/>
          <w:lang w:val="el-GR"/>
        </w:rPr>
      </w:pPr>
      <w:r w:rsidRPr="00645EFE">
        <w:rPr>
          <w:sz w:val="22"/>
          <w:szCs w:val="22"/>
          <w:lang w:val="el-GR"/>
        </w:rPr>
        <w:t xml:space="preserve">  </w:t>
      </w:r>
    </w:p>
    <w:p w:rsidR="00D33B61" w:rsidRPr="00645EFE" w:rsidRDefault="00D33B61" w:rsidP="00645EFE">
      <w:pPr>
        <w:jc w:val="both"/>
        <w:rPr>
          <w:sz w:val="22"/>
          <w:szCs w:val="22"/>
          <w:lang w:val="el-GR"/>
        </w:rPr>
      </w:pPr>
      <w:r w:rsidRPr="00645EFE">
        <w:rPr>
          <w:sz w:val="22"/>
          <w:szCs w:val="22"/>
          <w:lang w:val="el-GR"/>
        </w:rPr>
        <w:t>Φυσικοχημικά δεδομένα:</w:t>
      </w:r>
      <w:r w:rsidRPr="00645EFE">
        <w:rPr>
          <w:b/>
          <w:bCs/>
          <w:i/>
          <w:iCs/>
          <w:sz w:val="22"/>
          <w:szCs w:val="22"/>
          <w:lang w:val="el-GR"/>
        </w:rPr>
        <w:t xml:space="preserve"> </w:t>
      </w:r>
      <w:r w:rsidRPr="00645EFE">
        <w:rPr>
          <w:sz w:val="22"/>
          <w:szCs w:val="22"/>
          <w:lang w:val="el-GR"/>
        </w:rPr>
        <w:t>Η ανθρώπινη λευκωματίνη 200</w:t>
      </w:r>
      <w:r w:rsidR="004A2410" w:rsidRPr="00FF08A9">
        <w:rPr>
          <w:sz w:val="22"/>
          <w:szCs w:val="22"/>
          <w:lang w:val="el-GR"/>
        </w:rPr>
        <w:t xml:space="preserve"> </w:t>
      </w:r>
      <w:r w:rsidRPr="00F46F06">
        <w:rPr>
          <w:sz w:val="22"/>
          <w:szCs w:val="22"/>
          <w:lang w:val="en-US"/>
        </w:rPr>
        <w:t>g</w:t>
      </w:r>
      <w:r w:rsidRPr="00685470">
        <w:rPr>
          <w:sz w:val="22"/>
          <w:szCs w:val="22"/>
          <w:lang w:val="el-GR"/>
        </w:rPr>
        <w:t>/</w:t>
      </w:r>
      <w:r w:rsidRPr="00F15872">
        <w:rPr>
          <w:sz w:val="22"/>
          <w:szCs w:val="22"/>
          <w:lang w:val="en-US"/>
        </w:rPr>
        <w:t>l</w:t>
      </w:r>
      <w:r w:rsidRPr="00645EFE">
        <w:rPr>
          <w:sz w:val="22"/>
          <w:szCs w:val="22"/>
          <w:lang w:val="el-GR"/>
        </w:rPr>
        <w:t xml:space="preserve"> έχει αντίστοιχη υπερογκωτική δράση.</w:t>
      </w:r>
    </w:p>
    <w:p w:rsidR="00D33B61" w:rsidRPr="00645EFE" w:rsidRDefault="00D33B61" w:rsidP="00645EFE">
      <w:pPr>
        <w:jc w:val="both"/>
        <w:rPr>
          <w:b/>
          <w:bCs/>
          <w:sz w:val="22"/>
          <w:szCs w:val="22"/>
          <w:lang w:val="el-GR"/>
        </w:rPr>
      </w:pPr>
      <w:r w:rsidRPr="00645EFE">
        <w:rPr>
          <w:sz w:val="22"/>
          <w:szCs w:val="22"/>
          <w:lang w:val="el-GR"/>
        </w:rPr>
        <w:t>Οι σημαντικότερες φυσιολογικές λειτουργίες της λευκωματίνης απορρέουν από  τη συμμετοχή της στην ογκωτική πίεση του αίματος και στη λειτουργία μεταφοράς. Η λευκωματίνη σταθεροποιεί τον κυκλοφορούντα όγκο του αίματος και μεταφέρει ορμόνες, ένζυμα, φάρμακα και τοξίνες.</w:t>
      </w:r>
    </w:p>
    <w:p w:rsidR="00D33B61" w:rsidRPr="00645EFE" w:rsidRDefault="00D33B61" w:rsidP="00645EFE">
      <w:pPr>
        <w:jc w:val="both"/>
        <w:rPr>
          <w:b/>
          <w:bCs/>
          <w:sz w:val="22"/>
          <w:szCs w:val="22"/>
          <w:lang w:val="el-GR"/>
        </w:rPr>
      </w:pPr>
    </w:p>
    <w:p w:rsidR="00F135B2" w:rsidRPr="00645EFE" w:rsidRDefault="00D33B61" w:rsidP="00645EFE">
      <w:pPr>
        <w:jc w:val="both"/>
        <w:rPr>
          <w:sz w:val="22"/>
          <w:szCs w:val="22"/>
          <w:lang w:val="el-GR"/>
        </w:rPr>
      </w:pPr>
      <w:r w:rsidRPr="00645EFE">
        <w:rPr>
          <w:b/>
          <w:bCs/>
          <w:sz w:val="22"/>
          <w:szCs w:val="22"/>
          <w:lang w:val="el-GR"/>
        </w:rPr>
        <w:t>5.2</w:t>
      </w:r>
      <w:r w:rsidRPr="00645EFE">
        <w:rPr>
          <w:b/>
          <w:bCs/>
          <w:sz w:val="22"/>
          <w:szCs w:val="22"/>
          <w:lang w:val="el-GR"/>
        </w:rPr>
        <w:tab/>
        <w:t>Φαρμακοκινητικές ιδιότητες</w:t>
      </w:r>
    </w:p>
    <w:p w:rsidR="0021090B" w:rsidRPr="00645EFE" w:rsidRDefault="0021090B" w:rsidP="00645EFE">
      <w:pPr>
        <w:jc w:val="both"/>
        <w:rPr>
          <w:sz w:val="22"/>
          <w:szCs w:val="22"/>
          <w:u w:val="single"/>
          <w:lang w:val="el-GR"/>
        </w:rPr>
      </w:pPr>
    </w:p>
    <w:p w:rsidR="00F135B2" w:rsidRPr="00645EFE" w:rsidRDefault="00F135B2" w:rsidP="00645EFE">
      <w:pPr>
        <w:jc w:val="both"/>
        <w:rPr>
          <w:sz w:val="22"/>
          <w:szCs w:val="22"/>
          <w:u w:val="single"/>
          <w:lang w:val="el-GR"/>
        </w:rPr>
      </w:pPr>
      <w:r w:rsidRPr="00645EFE">
        <w:rPr>
          <w:sz w:val="22"/>
          <w:szCs w:val="22"/>
          <w:u w:val="single"/>
          <w:lang w:val="el-GR"/>
        </w:rPr>
        <w:t>Κατανομή</w:t>
      </w:r>
    </w:p>
    <w:p w:rsidR="00D33B61" w:rsidRPr="00645EFE" w:rsidRDefault="00D33B61" w:rsidP="00645EFE">
      <w:pPr>
        <w:jc w:val="both"/>
        <w:rPr>
          <w:sz w:val="22"/>
          <w:szCs w:val="22"/>
          <w:lang w:val="el-GR"/>
        </w:rPr>
      </w:pPr>
      <w:r w:rsidRPr="00645EFE">
        <w:rPr>
          <w:sz w:val="22"/>
          <w:szCs w:val="22"/>
          <w:lang w:val="el-GR"/>
        </w:rPr>
        <w:t>Υπό κανονικές συνθήκες η ολική ανταλλάξιμη δεξαμενή της λευκωματίνης ανέρχεται σε 4-5 g/kg σωματικού βάρους, της οποίας το 40-45% κατανέμεται ενδοαγγειακά και το 55-60% εξωαγγειακά. Η αυξημένη διαπερατότητα των τριχοειδών επηρεάζει την κινητική της λευκωματίνης και μπορεί να παρατηρηθεί μη φυσιολογική κατανομή σε καταστάσεις όπως σοβαρά εγκαύματα ή καταπληξία σηπτικής αιτιολογίας.</w:t>
      </w:r>
    </w:p>
    <w:p w:rsidR="00D33B61" w:rsidRPr="00645EFE" w:rsidRDefault="00D33B61" w:rsidP="00645EFE">
      <w:pPr>
        <w:jc w:val="both"/>
        <w:rPr>
          <w:sz w:val="22"/>
          <w:szCs w:val="22"/>
          <w:lang w:val="el-GR"/>
        </w:rPr>
      </w:pPr>
    </w:p>
    <w:p w:rsidR="00F135B2" w:rsidRPr="00645EFE" w:rsidRDefault="00F135B2" w:rsidP="00645EFE">
      <w:pPr>
        <w:jc w:val="both"/>
        <w:rPr>
          <w:sz w:val="22"/>
          <w:szCs w:val="22"/>
          <w:u w:val="single"/>
          <w:lang w:val="el-GR"/>
        </w:rPr>
      </w:pPr>
      <w:r w:rsidRPr="00645EFE">
        <w:rPr>
          <w:sz w:val="22"/>
          <w:szCs w:val="22"/>
          <w:u w:val="single"/>
          <w:lang w:val="el-GR"/>
        </w:rPr>
        <w:t>Αποβολή</w:t>
      </w:r>
    </w:p>
    <w:p w:rsidR="00D33B61" w:rsidRPr="00645EFE" w:rsidRDefault="00D33B61" w:rsidP="00645EFE">
      <w:pPr>
        <w:jc w:val="both"/>
        <w:rPr>
          <w:sz w:val="22"/>
          <w:szCs w:val="22"/>
          <w:lang w:val="el-GR"/>
        </w:rPr>
      </w:pPr>
      <w:r w:rsidRPr="00645EFE">
        <w:rPr>
          <w:sz w:val="22"/>
          <w:szCs w:val="22"/>
          <w:lang w:val="el-GR"/>
        </w:rPr>
        <w:t>Υπό κανονικές συνθήκες ο χρόνος ημιζωής της λευκωματίνης είναι κατά μέσο όρο περίπου 19 ημέρες. Το ισοζύγιο μεταξύ σύνθεσης και αποικοδόμησης επιτυγχάνεται φυσιολογικά με ρύθμιση ανάδρασης. Ο καταβολισμός είναι κυρίως ενδοκυτταρικός και οφείλεται στις λυσοσωμικές πρωτεάσες.</w:t>
      </w:r>
    </w:p>
    <w:p w:rsidR="00D33B61" w:rsidRPr="00645EFE" w:rsidRDefault="00D33B61" w:rsidP="00645EFE">
      <w:pPr>
        <w:jc w:val="both"/>
        <w:rPr>
          <w:sz w:val="22"/>
          <w:szCs w:val="22"/>
          <w:lang w:val="el-GR"/>
        </w:rPr>
      </w:pPr>
    </w:p>
    <w:p w:rsidR="00D33B61" w:rsidRPr="00645EFE" w:rsidRDefault="00D33B61" w:rsidP="00645EFE">
      <w:pPr>
        <w:jc w:val="both"/>
        <w:rPr>
          <w:sz w:val="22"/>
          <w:szCs w:val="22"/>
          <w:lang w:val="el-GR"/>
        </w:rPr>
      </w:pPr>
      <w:r w:rsidRPr="00645EFE">
        <w:rPr>
          <w:sz w:val="22"/>
          <w:szCs w:val="22"/>
          <w:lang w:val="el-GR"/>
        </w:rPr>
        <w:t>Σε υγιή άτομα, ποσοστό μικρότερο του 10% της εγχυόμενης λευκωματίνης διαφεύγει από το ενδοαγγειακό διαμέρισμα τις 2 πρώτες ώρες μετά την έγχυση. Υπάρχει αξιοσημείωτη εξατομικευμένη διαφοροποίηση στην επίδραση στον όγκο του πλάσματος. Σε ορισμένους ασθενείς ο όγκος του πλάσματος μπορεί να παραμείνει αυξημένος για μερικές ώρες. Ωστόσο, σε ασθενείς σε κρίσιμη κατάσταση η λευκωματίνη μπορεί να διαφύγει στον εξωαγγειακό χώρο σε σημαντικές ποσότητες με απρόβλεπτο ρυθμό.</w:t>
      </w:r>
    </w:p>
    <w:p w:rsidR="00D33B61" w:rsidRPr="00645EFE" w:rsidRDefault="00D33B61" w:rsidP="00645EFE">
      <w:pPr>
        <w:jc w:val="both"/>
        <w:rPr>
          <w:sz w:val="22"/>
          <w:szCs w:val="22"/>
          <w:lang w:val="el-GR"/>
        </w:rPr>
      </w:pPr>
    </w:p>
    <w:p w:rsidR="00D33B61" w:rsidRPr="00645EFE" w:rsidRDefault="00D33B61" w:rsidP="00645EFE">
      <w:pPr>
        <w:jc w:val="both"/>
        <w:rPr>
          <w:b/>
          <w:bCs/>
          <w:sz w:val="22"/>
          <w:szCs w:val="22"/>
          <w:lang w:val="el-GR"/>
        </w:rPr>
      </w:pPr>
      <w:r w:rsidRPr="00645EFE">
        <w:rPr>
          <w:b/>
          <w:bCs/>
          <w:sz w:val="22"/>
          <w:szCs w:val="22"/>
          <w:lang w:val="el-GR"/>
        </w:rPr>
        <w:t>5.3</w:t>
      </w:r>
      <w:r w:rsidRPr="00645EFE">
        <w:rPr>
          <w:b/>
          <w:bCs/>
          <w:sz w:val="22"/>
          <w:szCs w:val="22"/>
          <w:lang w:val="el-GR"/>
        </w:rPr>
        <w:tab/>
        <w:t>Προκλινικά δεδομένα για την ασφάλεια</w:t>
      </w:r>
    </w:p>
    <w:p w:rsidR="00D33B61" w:rsidRPr="00645EFE" w:rsidRDefault="00D33B61" w:rsidP="00645EFE">
      <w:pPr>
        <w:jc w:val="both"/>
        <w:rPr>
          <w:sz w:val="22"/>
          <w:szCs w:val="22"/>
          <w:lang w:val="el-GR"/>
        </w:rPr>
      </w:pPr>
    </w:p>
    <w:p w:rsidR="00D33B61" w:rsidRPr="00645EFE" w:rsidRDefault="00D33B61" w:rsidP="00645EFE">
      <w:pPr>
        <w:jc w:val="both"/>
        <w:rPr>
          <w:sz w:val="22"/>
          <w:szCs w:val="22"/>
          <w:lang w:val="el-GR"/>
        </w:rPr>
      </w:pPr>
      <w:r w:rsidRPr="00645EFE">
        <w:rPr>
          <w:sz w:val="22"/>
          <w:szCs w:val="22"/>
          <w:lang w:val="el-GR"/>
        </w:rPr>
        <w:t>Η ανθρώπινη λευκωματίνη αποτελεί φυσιολογικό συστατικό του ανθρώπινου πλάσματος και δρα όπως η φυσιολογική λευκωματίνη.</w:t>
      </w:r>
    </w:p>
    <w:p w:rsidR="00D33B61" w:rsidRPr="00645EFE" w:rsidRDefault="00D33B61" w:rsidP="00645EFE">
      <w:pPr>
        <w:jc w:val="both"/>
        <w:rPr>
          <w:sz w:val="22"/>
          <w:szCs w:val="22"/>
          <w:lang w:val="el-GR"/>
        </w:rPr>
      </w:pPr>
    </w:p>
    <w:p w:rsidR="00D33B61" w:rsidRPr="00645EFE" w:rsidRDefault="00D33B61" w:rsidP="00645EFE">
      <w:pPr>
        <w:widowControl w:val="0"/>
        <w:jc w:val="both"/>
        <w:rPr>
          <w:sz w:val="22"/>
          <w:szCs w:val="22"/>
          <w:lang w:val="el-GR"/>
        </w:rPr>
      </w:pPr>
      <w:r w:rsidRPr="00645EFE">
        <w:rPr>
          <w:sz w:val="22"/>
          <w:szCs w:val="22"/>
          <w:lang w:val="el-GR"/>
        </w:rPr>
        <w:t>Σε πειραματόζωα, η διενέργεια δοκιμασίας τοξικότητας με εφάπαξ χορήγηση έχει μικρή σημασία και δεν επιτρέπει την αξιολόγηση της τοξικής ή θανατηφόρου δόσης, ή τη στάθμιση της σχέσης δόσης-αποτελέσματος. Λόγω της ανάπτυξης αντισωμάτων έναντι της ετερόλογης πρωτεΐνης στα πειραματόζωα, είναι ανέφικτη η διεξαγωγή δοκιμασιών τοξικότητας με επανειλημμένη χορήγηση δόσεων.</w:t>
      </w:r>
    </w:p>
    <w:p w:rsidR="00D33B61" w:rsidRPr="00645EFE" w:rsidRDefault="00D33B61" w:rsidP="00645EFE">
      <w:pPr>
        <w:jc w:val="both"/>
        <w:rPr>
          <w:sz w:val="22"/>
          <w:szCs w:val="22"/>
          <w:lang w:val="el-GR"/>
        </w:rPr>
      </w:pPr>
    </w:p>
    <w:p w:rsidR="00D33B61" w:rsidRPr="00645EFE" w:rsidRDefault="00D33B61" w:rsidP="00645EFE">
      <w:pPr>
        <w:jc w:val="both"/>
        <w:rPr>
          <w:sz w:val="22"/>
          <w:szCs w:val="22"/>
          <w:lang w:val="el-GR"/>
        </w:rPr>
      </w:pPr>
      <w:r w:rsidRPr="00645EFE">
        <w:rPr>
          <w:sz w:val="22"/>
          <w:szCs w:val="22"/>
          <w:lang w:val="el-GR"/>
        </w:rPr>
        <w:t>Μέχρι σήμερα, δεν υπάρχουν αναφορές που να συνδέουν την ανθρώπινη λευκωματίνη με εμβρυοτοξικότητα, ογκογόνο ή μεταλλαξιογόνο δράση. Δεν έχουν περιγραφεί σημεία οξείας τοξικότητας σε πειραματόζωα.</w:t>
      </w:r>
    </w:p>
    <w:p w:rsidR="00D33B61" w:rsidRPr="00645EFE" w:rsidRDefault="00D33B61" w:rsidP="00645EFE">
      <w:pPr>
        <w:jc w:val="both"/>
        <w:rPr>
          <w:sz w:val="22"/>
          <w:szCs w:val="22"/>
          <w:lang w:val="el-GR"/>
        </w:rPr>
      </w:pPr>
    </w:p>
    <w:p w:rsidR="00D33B61" w:rsidRPr="00645EFE" w:rsidRDefault="00D33B61" w:rsidP="00645EFE">
      <w:pPr>
        <w:jc w:val="both"/>
        <w:rPr>
          <w:sz w:val="22"/>
          <w:szCs w:val="22"/>
          <w:lang w:val="el-GR"/>
        </w:rPr>
      </w:pPr>
    </w:p>
    <w:p w:rsidR="00D33B61" w:rsidRPr="00645EFE" w:rsidRDefault="00D33B61" w:rsidP="00645EFE">
      <w:pPr>
        <w:tabs>
          <w:tab w:val="left" w:pos="720"/>
        </w:tabs>
        <w:jc w:val="both"/>
        <w:rPr>
          <w:b/>
          <w:bCs/>
          <w:sz w:val="22"/>
          <w:szCs w:val="22"/>
          <w:lang w:val="el-GR"/>
        </w:rPr>
      </w:pPr>
      <w:r w:rsidRPr="00645EFE">
        <w:rPr>
          <w:b/>
          <w:bCs/>
          <w:sz w:val="22"/>
          <w:szCs w:val="22"/>
          <w:lang w:val="el-GR"/>
        </w:rPr>
        <w:t>6.</w:t>
      </w:r>
      <w:r w:rsidRPr="00645EFE">
        <w:rPr>
          <w:b/>
          <w:bCs/>
          <w:sz w:val="22"/>
          <w:szCs w:val="22"/>
          <w:lang w:val="el-GR"/>
        </w:rPr>
        <w:tab/>
        <w:t>ΦΑΡΜΑΚΕΥΤΙΚΕΣ ΠΛΗΡΟΦΟΡΙΕΣ</w:t>
      </w:r>
    </w:p>
    <w:p w:rsidR="00D33B61" w:rsidRPr="00645EFE" w:rsidRDefault="00D33B61" w:rsidP="00645EFE">
      <w:pPr>
        <w:tabs>
          <w:tab w:val="left" w:pos="720"/>
        </w:tabs>
        <w:jc w:val="both"/>
        <w:rPr>
          <w:b/>
          <w:bCs/>
          <w:sz w:val="22"/>
          <w:szCs w:val="22"/>
          <w:lang w:val="el-GR"/>
        </w:rPr>
      </w:pPr>
    </w:p>
    <w:p w:rsidR="00D33B61" w:rsidRPr="00645EFE" w:rsidRDefault="00D33B61" w:rsidP="00645EFE">
      <w:pPr>
        <w:tabs>
          <w:tab w:val="left" w:pos="720"/>
        </w:tabs>
        <w:jc w:val="both"/>
        <w:rPr>
          <w:b/>
          <w:bCs/>
          <w:sz w:val="22"/>
          <w:szCs w:val="22"/>
          <w:lang w:val="el-GR"/>
        </w:rPr>
      </w:pPr>
      <w:r w:rsidRPr="00645EFE">
        <w:rPr>
          <w:b/>
          <w:bCs/>
          <w:sz w:val="22"/>
          <w:szCs w:val="22"/>
          <w:lang w:val="el-GR"/>
        </w:rPr>
        <w:t>6.1</w:t>
      </w:r>
      <w:r w:rsidRPr="00645EFE">
        <w:rPr>
          <w:b/>
          <w:bCs/>
          <w:sz w:val="22"/>
          <w:szCs w:val="22"/>
          <w:lang w:val="el-GR"/>
        </w:rPr>
        <w:tab/>
        <w:t>Κατάλογος εκδόχων</w:t>
      </w:r>
    </w:p>
    <w:p w:rsidR="00D33B61" w:rsidRPr="00645EFE" w:rsidRDefault="00D33B61" w:rsidP="00645EFE">
      <w:pPr>
        <w:jc w:val="both"/>
        <w:rPr>
          <w:b/>
          <w:bCs/>
          <w:sz w:val="22"/>
          <w:szCs w:val="22"/>
          <w:lang w:val="el-GR"/>
        </w:rPr>
      </w:pPr>
    </w:p>
    <w:p w:rsidR="00DB2297" w:rsidRPr="00FF08A9" w:rsidRDefault="00D33B61" w:rsidP="00FF08A9">
      <w:pPr>
        <w:suppressAutoHyphens/>
        <w:rPr>
          <w:rFonts w:eastAsia="Arial Unicode MS"/>
          <w:b/>
          <w:bCs/>
          <w:sz w:val="22"/>
          <w:szCs w:val="22"/>
          <w:lang w:val="el-GR" w:eastAsia="ja-JP"/>
        </w:rPr>
      </w:pPr>
      <w:r w:rsidRPr="00645EFE">
        <w:rPr>
          <w:sz w:val="22"/>
          <w:szCs w:val="22"/>
        </w:rPr>
        <w:t>N</w:t>
      </w:r>
      <w:r w:rsidRPr="00645EFE">
        <w:rPr>
          <w:sz w:val="22"/>
          <w:szCs w:val="22"/>
          <w:lang w:val="el-GR"/>
        </w:rPr>
        <w:t>-ακ</w:t>
      </w:r>
      <w:r w:rsidR="006E211F" w:rsidRPr="00F26C8C">
        <w:rPr>
          <w:b/>
          <w:bCs/>
          <w:sz w:val="22"/>
          <w:szCs w:val="22"/>
          <w:lang w:val="el-GR"/>
        </w:rPr>
        <w:t>έ</w:t>
      </w:r>
      <w:r w:rsidRPr="00F26C8C">
        <w:rPr>
          <w:b/>
          <w:bCs/>
          <w:sz w:val="22"/>
          <w:szCs w:val="22"/>
          <w:lang w:val="el-GR"/>
        </w:rPr>
        <w:t>τ</w:t>
      </w:r>
      <w:r w:rsidRPr="00F26C8C">
        <w:rPr>
          <w:sz w:val="22"/>
          <w:szCs w:val="22"/>
          <w:lang w:val="el-GR"/>
        </w:rPr>
        <w:t>υ</w:t>
      </w:r>
      <w:r w:rsidRPr="00645EFE">
        <w:rPr>
          <w:sz w:val="22"/>
          <w:szCs w:val="22"/>
          <w:lang w:val="el-GR"/>
        </w:rPr>
        <w:t xml:space="preserve">λο-θρυπτοφάνη </w:t>
      </w:r>
      <w:r w:rsidRPr="007B0BC2">
        <w:rPr>
          <w:sz w:val="22"/>
          <w:szCs w:val="22"/>
          <w:lang w:val="el-GR"/>
        </w:rPr>
        <w:t>νατριούχος</w:t>
      </w:r>
      <w:r w:rsidR="003E0A96" w:rsidRPr="00FF08A9">
        <w:rPr>
          <w:sz w:val="22"/>
          <w:szCs w:val="22"/>
          <w:lang w:val="el-GR"/>
        </w:rPr>
        <w:t xml:space="preserve"> </w:t>
      </w:r>
      <w:r w:rsidR="004C29A4" w:rsidRPr="007B0BC2">
        <w:rPr>
          <w:rFonts w:eastAsia="Arial Unicode MS"/>
          <w:sz w:val="22"/>
          <w:szCs w:val="22"/>
          <w:lang w:val="el-GR" w:eastAsia="ja-JP"/>
        </w:rPr>
        <w:t>16</w:t>
      </w:r>
      <w:r w:rsidR="003E0A96" w:rsidRPr="007B0BC2">
        <w:rPr>
          <w:rFonts w:eastAsia="Arial Unicode MS"/>
          <w:sz w:val="22"/>
          <w:szCs w:val="22"/>
          <w:lang w:val="en-US" w:eastAsia="ja-JP"/>
        </w:rPr>
        <w:t> mmol</w:t>
      </w:r>
      <w:r w:rsidR="003E0A96" w:rsidRPr="00FF08A9">
        <w:rPr>
          <w:rFonts w:eastAsia="Arial Unicode MS"/>
          <w:sz w:val="22"/>
          <w:szCs w:val="22"/>
          <w:lang w:val="el-GR" w:eastAsia="ja-JP"/>
        </w:rPr>
        <w:t>/</w:t>
      </w:r>
      <w:r w:rsidR="003E0A96" w:rsidRPr="003E0A96">
        <w:rPr>
          <w:rFonts w:eastAsia="Arial Unicode MS"/>
          <w:sz w:val="22"/>
          <w:szCs w:val="22"/>
          <w:lang w:val="en-US" w:eastAsia="ja-JP"/>
        </w:rPr>
        <w:t>l</w:t>
      </w:r>
    </w:p>
    <w:p w:rsidR="00DB2297" w:rsidRPr="009862E4" w:rsidRDefault="00DB2297" w:rsidP="00645EFE">
      <w:pPr>
        <w:pStyle w:val="1"/>
        <w:ind w:left="0"/>
        <w:rPr>
          <w:b w:val="0"/>
          <w:bCs w:val="0"/>
          <w:sz w:val="22"/>
          <w:szCs w:val="22"/>
          <w:lang w:val="el-GR"/>
        </w:rPr>
      </w:pPr>
      <w:r w:rsidRPr="00645EFE">
        <w:rPr>
          <w:b w:val="0"/>
          <w:bCs w:val="0"/>
          <w:sz w:val="22"/>
          <w:szCs w:val="22"/>
          <w:lang w:val="el-GR"/>
        </w:rPr>
        <w:t>Ν</w:t>
      </w:r>
      <w:r w:rsidR="00D33B61" w:rsidRPr="00645EFE">
        <w:rPr>
          <w:b w:val="0"/>
          <w:bCs w:val="0"/>
          <w:sz w:val="22"/>
          <w:szCs w:val="22"/>
          <w:lang w:val="el-GR"/>
        </w:rPr>
        <w:t>άτριο</w:t>
      </w:r>
      <w:r w:rsidR="00D33B61" w:rsidRPr="009862E4">
        <w:rPr>
          <w:b w:val="0"/>
          <w:bCs w:val="0"/>
          <w:sz w:val="22"/>
          <w:szCs w:val="22"/>
          <w:lang w:val="el-GR"/>
        </w:rPr>
        <w:t xml:space="preserve"> </w:t>
      </w:r>
      <w:r w:rsidR="00D33B61" w:rsidRPr="00645EFE">
        <w:rPr>
          <w:b w:val="0"/>
          <w:bCs w:val="0"/>
          <w:sz w:val="22"/>
          <w:szCs w:val="22"/>
          <w:lang w:val="el-GR"/>
        </w:rPr>
        <w:t>καπρυλικό</w:t>
      </w:r>
      <w:r w:rsidR="00D33B61" w:rsidRPr="009862E4">
        <w:rPr>
          <w:b w:val="0"/>
          <w:bCs w:val="0"/>
          <w:sz w:val="22"/>
          <w:szCs w:val="22"/>
          <w:lang w:val="el-GR"/>
        </w:rPr>
        <w:t xml:space="preserve"> </w:t>
      </w:r>
      <w:r w:rsidR="004C29A4" w:rsidRPr="007B0BC2">
        <w:rPr>
          <w:rFonts w:eastAsia="Arial Unicode MS"/>
          <w:b w:val="0"/>
          <w:bCs w:val="0"/>
          <w:sz w:val="22"/>
          <w:szCs w:val="22"/>
          <w:lang w:val="el-GR" w:eastAsia="ja-JP"/>
        </w:rPr>
        <w:t>16</w:t>
      </w:r>
      <w:r w:rsidR="003E0A96" w:rsidRPr="003E0A96">
        <w:rPr>
          <w:rFonts w:eastAsia="Arial Unicode MS"/>
          <w:b w:val="0"/>
          <w:bCs w:val="0"/>
          <w:sz w:val="22"/>
          <w:szCs w:val="22"/>
          <w:lang w:val="de-CH" w:eastAsia="ja-JP"/>
        </w:rPr>
        <w:t> mmol/l</w:t>
      </w:r>
    </w:p>
    <w:p w:rsidR="00DB2297" w:rsidRPr="003E0A96" w:rsidRDefault="00DB2297" w:rsidP="00645EFE">
      <w:pPr>
        <w:pStyle w:val="1"/>
        <w:ind w:left="0"/>
        <w:rPr>
          <w:b w:val="0"/>
          <w:bCs w:val="0"/>
          <w:sz w:val="22"/>
          <w:szCs w:val="22"/>
          <w:lang w:val="el-GR"/>
        </w:rPr>
      </w:pPr>
      <w:r w:rsidRPr="00645EFE">
        <w:rPr>
          <w:b w:val="0"/>
          <w:bCs w:val="0"/>
          <w:sz w:val="22"/>
          <w:szCs w:val="22"/>
          <w:lang w:val="el-GR"/>
        </w:rPr>
        <w:t>Ν</w:t>
      </w:r>
      <w:r w:rsidR="00D33B61" w:rsidRPr="00645EFE">
        <w:rPr>
          <w:b w:val="0"/>
          <w:bCs w:val="0"/>
          <w:sz w:val="22"/>
          <w:szCs w:val="22"/>
          <w:lang w:val="el-GR"/>
        </w:rPr>
        <w:t>άτριο</w:t>
      </w:r>
      <w:r w:rsidR="00D33B61" w:rsidRPr="003E0A96">
        <w:rPr>
          <w:b w:val="0"/>
          <w:bCs w:val="0"/>
          <w:sz w:val="22"/>
          <w:szCs w:val="22"/>
          <w:lang w:val="el-GR"/>
        </w:rPr>
        <w:t xml:space="preserve"> </w:t>
      </w:r>
      <w:r w:rsidR="00D33B61" w:rsidRPr="00645EFE">
        <w:rPr>
          <w:b w:val="0"/>
          <w:bCs w:val="0"/>
          <w:sz w:val="22"/>
          <w:szCs w:val="22"/>
          <w:lang w:val="el-GR"/>
        </w:rPr>
        <w:t>χλωριούχο</w:t>
      </w:r>
      <w:r w:rsidR="003E0A96" w:rsidRPr="003E0A96">
        <w:rPr>
          <w:rFonts w:eastAsia="Arial Unicode MS"/>
          <w:b w:val="0"/>
          <w:bCs w:val="0"/>
          <w:sz w:val="22"/>
          <w:szCs w:val="22"/>
          <w:lang w:val="de-CH" w:eastAsia="ja-JP"/>
        </w:rPr>
        <w:t xml:space="preserve"> </w:t>
      </w:r>
      <w:r w:rsidR="00DC6FAC" w:rsidRPr="004434A6">
        <w:rPr>
          <w:rFonts w:eastAsia="Arial Unicode MS"/>
          <w:b w:val="0"/>
          <w:bCs w:val="0"/>
          <w:sz w:val="22"/>
          <w:szCs w:val="22"/>
          <w:lang w:val="de-CH" w:eastAsia="ja-JP"/>
        </w:rPr>
        <w:t xml:space="preserve">q.s. </w:t>
      </w:r>
      <w:r w:rsidR="00DC6FAC">
        <w:rPr>
          <w:rFonts w:eastAsia="Arial Unicode MS"/>
          <w:b w:val="0"/>
          <w:bCs w:val="0"/>
          <w:sz w:val="22"/>
          <w:szCs w:val="22"/>
          <w:lang w:val="el-GR" w:eastAsia="ja-JP"/>
        </w:rPr>
        <w:t>σ</w:t>
      </w:r>
      <w:r w:rsidR="003E0A96">
        <w:rPr>
          <w:rFonts w:eastAsia="Arial Unicode MS"/>
          <w:b w:val="0"/>
          <w:bCs w:val="0"/>
          <w:sz w:val="22"/>
          <w:szCs w:val="22"/>
          <w:lang w:val="el-GR" w:eastAsia="ja-JP"/>
        </w:rPr>
        <w:t>ε</w:t>
      </w:r>
      <w:r w:rsidR="003E0A96" w:rsidRPr="003E0A96">
        <w:rPr>
          <w:rFonts w:eastAsia="Arial Unicode MS"/>
          <w:b w:val="0"/>
          <w:bCs w:val="0"/>
          <w:sz w:val="22"/>
          <w:szCs w:val="22"/>
          <w:lang w:val="el-GR" w:eastAsia="ja-JP"/>
        </w:rPr>
        <w:t xml:space="preserve"> </w:t>
      </w:r>
      <w:r w:rsidR="004C29A4">
        <w:rPr>
          <w:rFonts w:eastAsia="Arial Unicode MS"/>
          <w:b w:val="0"/>
          <w:bCs w:val="0"/>
          <w:sz w:val="22"/>
          <w:szCs w:val="22"/>
          <w:lang w:val="el-GR" w:eastAsia="ja-JP"/>
        </w:rPr>
        <w:t>περιεκτικότητα νατρίου</w:t>
      </w:r>
      <w:r w:rsidR="004C29A4" w:rsidRPr="003E0A96">
        <w:rPr>
          <w:rFonts w:eastAsia="Arial Unicode MS"/>
          <w:b w:val="0"/>
          <w:bCs w:val="0"/>
          <w:sz w:val="22"/>
          <w:szCs w:val="22"/>
          <w:lang w:val="de-CH" w:eastAsia="ja-JP"/>
        </w:rPr>
        <w:t xml:space="preserve"> </w:t>
      </w:r>
      <w:r w:rsidR="003E0A96" w:rsidRPr="003E0A96">
        <w:rPr>
          <w:rFonts w:eastAsia="Arial Unicode MS"/>
          <w:b w:val="0"/>
          <w:bCs w:val="0"/>
          <w:sz w:val="22"/>
          <w:szCs w:val="22"/>
          <w:lang w:val="de-CH" w:eastAsia="ja-JP"/>
        </w:rPr>
        <w:t>140 mmol/l</w:t>
      </w:r>
      <w:r w:rsidR="003E0A96" w:rsidRPr="003E0A96">
        <w:rPr>
          <w:rFonts w:eastAsia="Arial Unicode MS"/>
          <w:b w:val="0"/>
          <w:bCs w:val="0"/>
          <w:sz w:val="22"/>
          <w:szCs w:val="22"/>
          <w:lang w:val="el-GR" w:eastAsia="ja-JP"/>
        </w:rPr>
        <w:t xml:space="preserve"> </w:t>
      </w:r>
    </w:p>
    <w:p w:rsidR="00D33B61" w:rsidRPr="003E0A96" w:rsidRDefault="00DB2297" w:rsidP="00645EFE">
      <w:pPr>
        <w:pStyle w:val="1"/>
        <w:ind w:left="0"/>
        <w:rPr>
          <w:b w:val="0"/>
          <w:bCs w:val="0"/>
          <w:sz w:val="22"/>
          <w:szCs w:val="22"/>
          <w:lang w:val="el-GR"/>
        </w:rPr>
      </w:pPr>
      <w:r w:rsidRPr="00645EFE">
        <w:rPr>
          <w:b w:val="0"/>
          <w:bCs w:val="0"/>
          <w:sz w:val="22"/>
          <w:szCs w:val="22"/>
          <w:lang w:val="el-GR"/>
        </w:rPr>
        <w:t>Ύ</w:t>
      </w:r>
      <w:r w:rsidR="00D33B61" w:rsidRPr="00645EFE">
        <w:rPr>
          <w:b w:val="0"/>
          <w:bCs w:val="0"/>
          <w:sz w:val="22"/>
          <w:szCs w:val="22"/>
          <w:lang w:val="el-GR"/>
        </w:rPr>
        <w:t>δωρ</w:t>
      </w:r>
      <w:r w:rsidR="00D33B61" w:rsidRPr="003E0A96">
        <w:rPr>
          <w:b w:val="0"/>
          <w:bCs w:val="0"/>
          <w:sz w:val="22"/>
          <w:szCs w:val="22"/>
          <w:lang w:val="el-GR"/>
        </w:rPr>
        <w:t xml:space="preserve"> </w:t>
      </w:r>
      <w:r w:rsidR="00D33B61" w:rsidRPr="00645EFE">
        <w:rPr>
          <w:b w:val="0"/>
          <w:bCs w:val="0"/>
          <w:sz w:val="22"/>
          <w:szCs w:val="22"/>
          <w:lang w:val="el-GR"/>
        </w:rPr>
        <w:t>για</w:t>
      </w:r>
      <w:r w:rsidR="00D33B61" w:rsidRPr="003E0A96">
        <w:rPr>
          <w:b w:val="0"/>
          <w:bCs w:val="0"/>
          <w:sz w:val="22"/>
          <w:szCs w:val="22"/>
          <w:lang w:val="el-GR"/>
        </w:rPr>
        <w:t xml:space="preserve"> </w:t>
      </w:r>
      <w:r w:rsidR="00D33B61" w:rsidRPr="00645EFE">
        <w:rPr>
          <w:b w:val="0"/>
          <w:bCs w:val="0"/>
          <w:sz w:val="22"/>
          <w:szCs w:val="22"/>
          <w:lang w:val="el-GR"/>
        </w:rPr>
        <w:t>ενέσιμα</w:t>
      </w:r>
      <w:r w:rsidR="003E0A96" w:rsidRPr="00FF08A9">
        <w:rPr>
          <w:b w:val="0"/>
          <w:bCs w:val="0"/>
          <w:sz w:val="22"/>
          <w:szCs w:val="22"/>
          <w:lang w:val="el-GR"/>
        </w:rPr>
        <w:t xml:space="preserve"> </w:t>
      </w:r>
      <w:r w:rsidR="004434A6" w:rsidRPr="004434A6">
        <w:rPr>
          <w:rFonts w:eastAsia="Arial Unicode MS"/>
          <w:b w:val="0"/>
          <w:bCs w:val="0"/>
          <w:sz w:val="22"/>
          <w:szCs w:val="22"/>
          <w:lang w:val="de-CH" w:eastAsia="ja-JP"/>
        </w:rPr>
        <w:t xml:space="preserve">q.s. </w:t>
      </w:r>
      <w:r w:rsidR="00DC6FAC">
        <w:rPr>
          <w:b w:val="0"/>
          <w:bCs w:val="0"/>
          <w:sz w:val="22"/>
          <w:szCs w:val="22"/>
          <w:lang w:val="el-GR"/>
        </w:rPr>
        <w:t>σε</w:t>
      </w:r>
      <w:r w:rsidR="003E0A96">
        <w:rPr>
          <w:b w:val="0"/>
          <w:bCs w:val="0"/>
          <w:sz w:val="22"/>
          <w:szCs w:val="22"/>
          <w:lang w:val="el-GR"/>
        </w:rPr>
        <w:t xml:space="preserve"> </w:t>
      </w:r>
      <w:r w:rsidR="003E0A96" w:rsidRPr="003E0A96">
        <w:rPr>
          <w:rFonts w:eastAsia="Arial Unicode MS"/>
          <w:b w:val="0"/>
          <w:bCs w:val="0"/>
          <w:sz w:val="22"/>
          <w:szCs w:val="22"/>
          <w:lang w:val="de-CH" w:eastAsia="ja-JP"/>
        </w:rPr>
        <w:t xml:space="preserve">1 </w:t>
      </w:r>
      <w:r w:rsidR="004434A6">
        <w:rPr>
          <w:rFonts w:eastAsia="Arial Unicode MS"/>
          <w:b w:val="0"/>
          <w:bCs w:val="0"/>
          <w:sz w:val="22"/>
          <w:szCs w:val="22"/>
          <w:lang w:val="el-GR" w:eastAsia="ja-JP"/>
        </w:rPr>
        <w:t>λίτρο</w:t>
      </w:r>
      <w:r w:rsidR="00D33B61" w:rsidRPr="003E0A96">
        <w:rPr>
          <w:b w:val="0"/>
          <w:bCs w:val="0"/>
          <w:sz w:val="22"/>
          <w:szCs w:val="22"/>
          <w:lang w:val="el-GR"/>
        </w:rPr>
        <w:tab/>
      </w:r>
      <w:r w:rsidR="00D33B61" w:rsidRPr="003E0A96">
        <w:rPr>
          <w:b w:val="0"/>
          <w:bCs w:val="0"/>
          <w:sz w:val="22"/>
          <w:szCs w:val="22"/>
          <w:lang w:val="el-GR"/>
        </w:rPr>
        <w:tab/>
      </w:r>
    </w:p>
    <w:p w:rsidR="00D33B61" w:rsidRPr="00F46F06" w:rsidRDefault="00D33B61" w:rsidP="00645EFE">
      <w:pPr>
        <w:jc w:val="both"/>
        <w:rPr>
          <w:sz w:val="22"/>
          <w:szCs w:val="22"/>
          <w:lang w:val="el-GR"/>
        </w:rPr>
      </w:pPr>
    </w:p>
    <w:p w:rsidR="00D33B61" w:rsidRPr="00645EFE" w:rsidRDefault="00D33B61" w:rsidP="00645EFE">
      <w:pPr>
        <w:jc w:val="both"/>
        <w:rPr>
          <w:b/>
          <w:bCs/>
          <w:sz w:val="22"/>
          <w:szCs w:val="22"/>
          <w:lang w:val="el-GR"/>
        </w:rPr>
      </w:pPr>
      <w:r w:rsidRPr="00645EFE">
        <w:rPr>
          <w:b/>
          <w:bCs/>
          <w:sz w:val="22"/>
          <w:szCs w:val="22"/>
          <w:lang w:val="el-GR"/>
        </w:rPr>
        <w:t>6.2</w:t>
      </w:r>
      <w:r w:rsidRPr="00645EFE">
        <w:rPr>
          <w:b/>
          <w:bCs/>
          <w:sz w:val="22"/>
          <w:szCs w:val="22"/>
          <w:lang w:val="el-GR"/>
        </w:rPr>
        <w:tab/>
        <w:t>Ασυμβατότητες</w:t>
      </w:r>
    </w:p>
    <w:p w:rsidR="00D33B61" w:rsidRPr="00645EFE" w:rsidRDefault="00D33B61" w:rsidP="00645EFE">
      <w:pPr>
        <w:jc w:val="both"/>
        <w:rPr>
          <w:b/>
          <w:bCs/>
          <w:sz w:val="22"/>
          <w:szCs w:val="22"/>
          <w:lang w:val="el-GR"/>
        </w:rPr>
      </w:pPr>
    </w:p>
    <w:p w:rsidR="00D33B61" w:rsidRPr="00645EFE" w:rsidRDefault="00D33B61" w:rsidP="00645EFE">
      <w:pPr>
        <w:jc w:val="both"/>
        <w:rPr>
          <w:sz w:val="22"/>
          <w:szCs w:val="22"/>
          <w:lang w:val="el-GR"/>
        </w:rPr>
      </w:pPr>
      <w:r w:rsidRPr="00645EFE">
        <w:rPr>
          <w:sz w:val="22"/>
          <w:szCs w:val="22"/>
          <w:lang w:val="el-GR"/>
        </w:rPr>
        <w:t>Η ανθρώπινη λευκωματίνη δεν πρέπει να αναμιγνύεται με άλλα φαρμακευτικά προϊόντα (εκτός των συνιστώμενων διαλυτών που αναφέρονται στην παράγραφο 6.6), πλήρες αίμα και συμπύκνωμα ερυθρών αιμοσφαιρίων.</w:t>
      </w:r>
    </w:p>
    <w:p w:rsidR="00D33B61" w:rsidRPr="00645EFE" w:rsidRDefault="00D33B61" w:rsidP="00645EFE">
      <w:pPr>
        <w:jc w:val="both"/>
        <w:rPr>
          <w:sz w:val="22"/>
          <w:szCs w:val="22"/>
          <w:lang w:val="el-GR"/>
        </w:rPr>
      </w:pPr>
    </w:p>
    <w:p w:rsidR="00D33B61" w:rsidRPr="00645EFE" w:rsidRDefault="00D33B61" w:rsidP="00645EFE">
      <w:pPr>
        <w:jc w:val="both"/>
        <w:rPr>
          <w:b/>
          <w:bCs/>
          <w:sz w:val="22"/>
          <w:szCs w:val="22"/>
          <w:lang w:val="el-GR"/>
        </w:rPr>
      </w:pPr>
      <w:r w:rsidRPr="00645EFE">
        <w:rPr>
          <w:b/>
          <w:bCs/>
          <w:sz w:val="22"/>
          <w:szCs w:val="22"/>
          <w:lang w:val="el-GR"/>
        </w:rPr>
        <w:t>6.3</w:t>
      </w:r>
      <w:r w:rsidRPr="00645EFE">
        <w:rPr>
          <w:b/>
          <w:bCs/>
          <w:sz w:val="22"/>
          <w:szCs w:val="22"/>
          <w:lang w:val="el-GR"/>
        </w:rPr>
        <w:tab/>
        <w:t>Διάρκεια ζωής</w:t>
      </w:r>
    </w:p>
    <w:p w:rsidR="00D33B61" w:rsidRPr="00645EFE" w:rsidRDefault="00D33B61" w:rsidP="00645EFE">
      <w:pPr>
        <w:jc w:val="both"/>
        <w:rPr>
          <w:b/>
          <w:bCs/>
          <w:sz w:val="22"/>
          <w:szCs w:val="22"/>
          <w:lang w:val="el-GR"/>
        </w:rPr>
      </w:pPr>
    </w:p>
    <w:p w:rsidR="00D33B61" w:rsidRPr="00645EFE" w:rsidRDefault="00D33B61" w:rsidP="00645EFE">
      <w:pPr>
        <w:jc w:val="both"/>
        <w:rPr>
          <w:sz w:val="22"/>
          <w:szCs w:val="22"/>
          <w:lang w:val="el-GR"/>
        </w:rPr>
      </w:pPr>
      <w:r w:rsidRPr="00645EFE">
        <w:rPr>
          <w:sz w:val="22"/>
          <w:szCs w:val="22"/>
          <w:lang w:val="el-GR"/>
        </w:rPr>
        <w:t>3 χρόνια.</w:t>
      </w:r>
    </w:p>
    <w:p w:rsidR="00D33B61" w:rsidRPr="00645EFE" w:rsidRDefault="00D33B61" w:rsidP="00645EFE">
      <w:pPr>
        <w:jc w:val="both"/>
        <w:rPr>
          <w:sz w:val="22"/>
          <w:szCs w:val="22"/>
          <w:lang w:val="el-GR"/>
        </w:rPr>
      </w:pPr>
    </w:p>
    <w:p w:rsidR="00D33B61" w:rsidRPr="00645EFE" w:rsidRDefault="00D33B61" w:rsidP="00645EFE">
      <w:pPr>
        <w:jc w:val="both"/>
        <w:rPr>
          <w:b/>
          <w:bCs/>
          <w:sz w:val="22"/>
          <w:szCs w:val="22"/>
          <w:lang w:val="el-GR"/>
        </w:rPr>
      </w:pPr>
      <w:r w:rsidRPr="00645EFE">
        <w:rPr>
          <w:b/>
          <w:bCs/>
          <w:sz w:val="22"/>
          <w:szCs w:val="22"/>
          <w:lang w:val="el-GR"/>
        </w:rPr>
        <w:t>6.4</w:t>
      </w:r>
      <w:r w:rsidRPr="00645EFE">
        <w:rPr>
          <w:b/>
          <w:bCs/>
          <w:sz w:val="22"/>
          <w:szCs w:val="22"/>
          <w:lang w:val="el-GR"/>
        </w:rPr>
        <w:tab/>
        <w:t>Ιδιαίτερες προφυλάξεις κατά τη</w:t>
      </w:r>
      <w:r w:rsidR="005B167C" w:rsidRPr="00645EFE">
        <w:rPr>
          <w:b/>
          <w:bCs/>
          <w:sz w:val="22"/>
          <w:szCs w:val="22"/>
          <w:lang w:val="el-GR"/>
        </w:rPr>
        <w:t>ν</w:t>
      </w:r>
      <w:r w:rsidRPr="00645EFE">
        <w:rPr>
          <w:b/>
          <w:bCs/>
          <w:sz w:val="22"/>
          <w:szCs w:val="22"/>
          <w:lang w:val="el-GR"/>
        </w:rPr>
        <w:t xml:space="preserve"> φύλαξη  του προϊόντος</w:t>
      </w:r>
    </w:p>
    <w:p w:rsidR="00D33B61" w:rsidRPr="00645EFE" w:rsidRDefault="00D33B61" w:rsidP="00645EFE">
      <w:pPr>
        <w:jc w:val="both"/>
        <w:rPr>
          <w:b/>
          <w:bCs/>
          <w:sz w:val="22"/>
          <w:szCs w:val="22"/>
          <w:lang w:val="el-GR"/>
        </w:rPr>
      </w:pPr>
    </w:p>
    <w:p w:rsidR="00D33B61" w:rsidRPr="00645EFE" w:rsidRDefault="00D33B61" w:rsidP="00645EFE">
      <w:pPr>
        <w:jc w:val="both"/>
        <w:rPr>
          <w:sz w:val="22"/>
          <w:szCs w:val="22"/>
          <w:lang w:val="el-GR"/>
        </w:rPr>
      </w:pPr>
      <w:r w:rsidRPr="00645EFE">
        <w:rPr>
          <w:sz w:val="22"/>
          <w:szCs w:val="22"/>
          <w:lang w:val="el-GR"/>
        </w:rPr>
        <w:t xml:space="preserve">Μη φυλάσσετε σε θερμοκρασία μεγαλύτερη των </w:t>
      </w:r>
      <w:r w:rsidRPr="00F46F06">
        <w:rPr>
          <w:sz w:val="22"/>
          <w:szCs w:val="22"/>
          <w:lang w:val="el-GR"/>
        </w:rPr>
        <w:t>25°C</w:t>
      </w:r>
      <w:r w:rsidRPr="00645EFE">
        <w:rPr>
          <w:sz w:val="22"/>
          <w:szCs w:val="22"/>
          <w:lang w:val="el-GR"/>
        </w:rPr>
        <w:t>. Μην καταψύχετε. Φυλάσσετε το φιαλίδιο στο εξωτερικό κουτί για να προστατεύεται από το φως.</w:t>
      </w:r>
    </w:p>
    <w:p w:rsidR="00D33B61" w:rsidRPr="00645EFE" w:rsidRDefault="00D33B61" w:rsidP="00645EFE">
      <w:pPr>
        <w:jc w:val="both"/>
        <w:rPr>
          <w:sz w:val="22"/>
          <w:szCs w:val="22"/>
          <w:lang w:val="el-GR"/>
        </w:rPr>
      </w:pPr>
    </w:p>
    <w:p w:rsidR="00D33B61" w:rsidRPr="00645EFE" w:rsidRDefault="00D33B61" w:rsidP="00645EFE">
      <w:pPr>
        <w:widowControl w:val="0"/>
        <w:jc w:val="both"/>
        <w:rPr>
          <w:b/>
          <w:bCs/>
          <w:sz w:val="22"/>
          <w:szCs w:val="22"/>
          <w:lang w:val="el-GR"/>
        </w:rPr>
      </w:pPr>
      <w:r w:rsidRPr="00645EFE">
        <w:rPr>
          <w:b/>
          <w:bCs/>
          <w:sz w:val="22"/>
          <w:szCs w:val="22"/>
          <w:lang w:val="el-GR"/>
        </w:rPr>
        <w:t>6.5</w:t>
      </w:r>
      <w:r w:rsidRPr="00645EFE">
        <w:rPr>
          <w:b/>
          <w:bCs/>
          <w:sz w:val="22"/>
          <w:szCs w:val="22"/>
          <w:lang w:val="el-GR"/>
        </w:rPr>
        <w:tab/>
        <w:t>Φύση και συστατικά του περιέκτη</w:t>
      </w:r>
    </w:p>
    <w:p w:rsidR="00D33B61" w:rsidRPr="00645EFE" w:rsidRDefault="00D33B61" w:rsidP="00645EFE">
      <w:pPr>
        <w:widowControl w:val="0"/>
        <w:jc w:val="both"/>
        <w:rPr>
          <w:b/>
          <w:bCs/>
          <w:sz w:val="22"/>
          <w:szCs w:val="22"/>
          <w:lang w:val="el-GR"/>
        </w:rPr>
      </w:pPr>
    </w:p>
    <w:p w:rsidR="00D33B61" w:rsidRPr="00645EFE" w:rsidRDefault="00D33B61" w:rsidP="00645EFE">
      <w:pPr>
        <w:widowControl w:val="0"/>
        <w:jc w:val="both"/>
        <w:rPr>
          <w:sz w:val="22"/>
          <w:szCs w:val="22"/>
          <w:lang w:val="el-GR"/>
        </w:rPr>
      </w:pPr>
      <w:r w:rsidRPr="00645EFE">
        <w:rPr>
          <w:sz w:val="22"/>
          <w:szCs w:val="22"/>
          <w:lang w:val="el-GR"/>
        </w:rPr>
        <w:t xml:space="preserve">50 </w:t>
      </w:r>
      <w:r w:rsidRPr="00645EFE">
        <w:rPr>
          <w:sz w:val="22"/>
          <w:szCs w:val="22"/>
        </w:rPr>
        <w:t>ml</w:t>
      </w:r>
      <w:r w:rsidRPr="00645EFE">
        <w:rPr>
          <w:sz w:val="22"/>
          <w:szCs w:val="22"/>
          <w:lang w:val="el-GR"/>
        </w:rPr>
        <w:t xml:space="preserve"> διαλύματος σε ένα φιαλίδιο (γυαλί τύπου ΙΙ) με πώμα (</w:t>
      </w:r>
      <w:r w:rsidR="00DB2297" w:rsidRPr="00645EFE">
        <w:rPr>
          <w:sz w:val="22"/>
          <w:szCs w:val="22"/>
          <w:lang w:val="el-GR"/>
        </w:rPr>
        <w:t>αλογονωμένο συνθετικό ελαστομερές</w:t>
      </w:r>
      <w:r w:rsidRPr="00645EFE">
        <w:rPr>
          <w:sz w:val="22"/>
          <w:szCs w:val="22"/>
          <w:lang w:val="el-GR"/>
        </w:rPr>
        <w:t>).</w:t>
      </w:r>
    </w:p>
    <w:p w:rsidR="00D33B61" w:rsidRPr="00645EFE" w:rsidRDefault="00D33B61" w:rsidP="00645EFE">
      <w:pPr>
        <w:widowControl w:val="0"/>
        <w:jc w:val="both"/>
        <w:rPr>
          <w:sz w:val="22"/>
          <w:szCs w:val="22"/>
          <w:lang w:val="el-GR"/>
        </w:rPr>
      </w:pPr>
      <w:r w:rsidRPr="00645EFE">
        <w:rPr>
          <w:sz w:val="22"/>
          <w:szCs w:val="22"/>
          <w:lang w:val="el-GR"/>
        </w:rPr>
        <w:t xml:space="preserve">100 </w:t>
      </w:r>
      <w:r w:rsidRPr="00645EFE">
        <w:rPr>
          <w:sz w:val="22"/>
          <w:szCs w:val="22"/>
        </w:rPr>
        <w:t>ml</w:t>
      </w:r>
      <w:r w:rsidRPr="00645EFE">
        <w:rPr>
          <w:sz w:val="22"/>
          <w:szCs w:val="22"/>
          <w:lang w:val="el-GR"/>
        </w:rPr>
        <w:t xml:space="preserve"> διαλύματος σε ένα φιαλίδιο (γυαλί τύπου ΙΙ) με πώμα (</w:t>
      </w:r>
      <w:r w:rsidR="00DB2297" w:rsidRPr="00645EFE">
        <w:rPr>
          <w:sz w:val="22"/>
          <w:szCs w:val="22"/>
          <w:lang w:val="el-GR"/>
        </w:rPr>
        <w:t>αλογονωμένο συνθετικό ελαστομερές</w:t>
      </w:r>
      <w:r w:rsidRPr="00645EFE">
        <w:rPr>
          <w:sz w:val="22"/>
          <w:szCs w:val="22"/>
          <w:lang w:val="el-GR"/>
        </w:rPr>
        <w:t>).</w:t>
      </w:r>
    </w:p>
    <w:p w:rsidR="00D33B61" w:rsidRPr="00645EFE" w:rsidRDefault="00D33B61" w:rsidP="00645EFE">
      <w:pPr>
        <w:widowControl w:val="0"/>
        <w:jc w:val="both"/>
        <w:rPr>
          <w:sz w:val="22"/>
          <w:szCs w:val="22"/>
          <w:lang w:val="el-GR"/>
        </w:rPr>
      </w:pPr>
    </w:p>
    <w:p w:rsidR="00D33B61" w:rsidRPr="00645EFE" w:rsidRDefault="00D33B61" w:rsidP="00645EFE">
      <w:pPr>
        <w:widowControl w:val="0"/>
        <w:jc w:val="both"/>
        <w:rPr>
          <w:sz w:val="22"/>
          <w:szCs w:val="22"/>
          <w:lang w:val="el-GR"/>
        </w:rPr>
      </w:pPr>
      <w:r w:rsidRPr="00645EFE">
        <w:rPr>
          <w:sz w:val="22"/>
          <w:szCs w:val="22"/>
          <w:lang w:val="el-GR"/>
        </w:rPr>
        <w:t xml:space="preserve">1 φιαλίδιο ανά συσκευασία (10 </w:t>
      </w:r>
      <w:r w:rsidRPr="00645EFE">
        <w:rPr>
          <w:sz w:val="22"/>
          <w:szCs w:val="22"/>
        </w:rPr>
        <w:t>g</w:t>
      </w:r>
      <w:r w:rsidRPr="00645EFE">
        <w:rPr>
          <w:sz w:val="22"/>
          <w:szCs w:val="22"/>
          <w:lang w:val="el-GR"/>
        </w:rPr>
        <w:t>/50</w:t>
      </w:r>
      <w:r w:rsidRPr="00645EFE">
        <w:rPr>
          <w:sz w:val="22"/>
          <w:szCs w:val="22"/>
        </w:rPr>
        <w:t>ml</w:t>
      </w:r>
      <w:r w:rsidRPr="00645EFE">
        <w:rPr>
          <w:sz w:val="22"/>
          <w:szCs w:val="22"/>
          <w:lang w:val="el-GR"/>
        </w:rPr>
        <w:t xml:space="preserve">, 20 </w:t>
      </w:r>
      <w:r w:rsidRPr="00645EFE">
        <w:rPr>
          <w:sz w:val="22"/>
          <w:szCs w:val="22"/>
        </w:rPr>
        <w:t>g</w:t>
      </w:r>
      <w:r w:rsidRPr="00645EFE">
        <w:rPr>
          <w:sz w:val="22"/>
          <w:szCs w:val="22"/>
          <w:lang w:val="el-GR"/>
        </w:rPr>
        <w:t>/100</w:t>
      </w:r>
      <w:r w:rsidRPr="00645EFE">
        <w:rPr>
          <w:sz w:val="22"/>
          <w:szCs w:val="22"/>
        </w:rPr>
        <w:t>ml</w:t>
      </w:r>
      <w:r w:rsidRPr="00645EFE">
        <w:rPr>
          <w:sz w:val="22"/>
          <w:szCs w:val="22"/>
          <w:lang w:val="el-GR"/>
        </w:rPr>
        <w:t>).</w:t>
      </w:r>
    </w:p>
    <w:p w:rsidR="00D33B61" w:rsidRPr="00645EFE" w:rsidRDefault="00D33B61" w:rsidP="00645EFE">
      <w:pPr>
        <w:widowControl w:val="0"/>
        <w:jc w:val="both"/>
        <w:rPr>
          <w:sz w:val="22"/>
          <w:szCs w:val="22"/>
          <w:lang w:val="el-GR"/>
        </w:rPr>
      </w:pPr>
    </w:p>
    <w:p w:rsidR="00D33B61" w:rsidRPr="00645EFE" w:rsidRDefault="00D33B61" w:rsidP="00645EFE">
      <w:pPr>
        <w:jc w:val="both"/>
        <w:rPr>
          <w:sz w:val="22"/>
          <w:szCs w:val="22"/>
          <w:lang w:val="el-GR"/>
        </w:rPr>
      </w:pPr>
      <w:r w:rsidRPr="00645EFE">
        <w:rPr>
          <w:sz w:val="22"/>
          <w:szCs w:val="22"/>
          <w:lang w:val="el-GR"/>
        </w:rPr>
        <w:t>Μπορεί να μην κυκλοφορούν όλες οι συσκευασίες.</w:t>
      </w:r>
    </w:p>
    <w:p w:rsidR="00D33B61" w:rsidRPr="00645EFE" w:rsidRDefault="00D33B61" w:rsidP="00645EFE">
      <w:pPr>
        <w:ind w:left="709"/>
        <w:jc w:val="both"/>
        <w:rPr>
          <w:sz w:val="22"/>
          <w:szCs w:val="22"/>
          <w:lang w:val="el-GR"/>
        </w:rPr>
      </w:pPr>
    </w:p>
    <w:p w:rsidR="00D33B61" w:rsidRPr="00645EFE" w:rsidRDefault="00D33B61" w:rsidP="00645EFE">
      <w:pPr>
        <w:jc w:val="both"/>
        <w:rPr>
          <w:b/>
          <w:bCs/>
          <w:sz w:val="22"/>
          <w:szCs w:val="22"/>
          <w:lang w:val="el-GR"/>
        </w:rPr>
      </w:pPr>
      <w:r w:rsidRPr="00645EFE">
        <w:rPr>
          <w:b/>
          <w:bCs/>
          <w:sz w:val="22"/>
          <w:szCs w:val="22"/>
          <w:lang w:val="el-GR"/>
        </w:rPr>
        <w:t>6.6</w:t>
      </w:r>
      <w:r w:rsidRPr="00645EFE">
        <w:rPr>
          <w:b/>
          <w:bCs/>
          <w:sz w:val="22"/>
          <w:szCs w:val="22"/>
          <w:lang w:val="el-GR"/>
        </w:rPr>
        <w:tab/>
        <w:t xml:space="preserve">Ιδιαίτερες προφυλάξεις απόρριψης </w:t>
      </w:r>
      <w:r w:rsidR="00DB2297" w:rsidRPr="00645EFE">
        <w:rPr>
          <w:b/>
          <w:bCs/>
          <w:sz w:val="22"/>
          <w:szCs w:val="22"/>
          <w:lang w:val="el-GR"/>
        </w:rPr>
        <w:t>και άλλος χειρισμός</w:t>
      </w:r>
    </w:p>
    <w:p w:rsidR="00D33B61" w:rsidRPr="00645EFE" w:rsidRDefault="00D33B61" w:rsidP="00645EFE">
      <w:pPr>
        <w:jc w:val="both"/>
        <w:rPr>
          <w:b/>
          <w:bCs/>
          <w:sz w:val="22"/>
          <w:szCs w:val="22"/>
          <w:lang w:val="el-GR"/>
        </w:rPr>
      </w:pPr>
    </w:p>
    <w:p w:rsidR="00D33B61" w:rsidRPr="00645EFE" w:rsidRDefault="00D33B61" w:rsidP="00645EFE">
      <w:pPr>
        <w:jc w:val="both"/>
        <w:rPr>
          <w:sz w:val="22"/>
          <w:szCs w:val="22"/>
          <w:lang w:val="el-GR"/>
        </w:rPr>
      </w:pPr>
      <w:r w:rsidRPr="00645EFE">
        <w:rPr>
          <w:sz w:val="22"/>
          <w:szCs w:val="22"/>
          <w:lang w:val="el-GR"/>
        </w:rPr>
        <w:t>To διάλυμα μπορεί να χορηγηθεί διά της ενδοφλέβιας οδού, είτε αδιάλυτ</w:t>
      </w:r>
      <w:r w:rsidR="009C1BAA" w:rsidRPr="00645EFE">
        <w:rPr>
          <w:sz w:val="22"/>
          <w:szCs w:val="22"/>
          <w:lang w:val="el-GR"/>
        </w:rPr>
        <w:t>ο</w:t>
      </w:r>
      <w:r w:rsidRPr="00645EFE">
        <w:rPr>
          <w:sz w:val="22"/>
          <w:szCs w:val="22"/>
          <w:lang w:val="el-GR"/>
        </w:rPr>
        <w:t xml:space="preserve"> είτε μετά από αραίωση σε ισότονο διάλυμα (π.χ. γλυκόζης 5% ή χλωριούχου νατρίου 0,9%). </w:t>
      </w:r>
    </w:p>
    <w:p w:rsidR="00D33B61" w:rsidRPr="00645EFE" w:rsidRDefault="00D33B61" w:rsidP="00645EFE">
      <w:pPr>
        <w:jc w:val="both"/>
        <w:rPr>
          <w:sz w:val="22"/>
          <w:szCs w:val="22"/>
          <w:lang w:val="el-GR"/>
        </w:rPr>
      </w:pPr>
      <w:r w:rsidRPr="00645EFE">
        <w:rPr>
          <w:sz w:val="22"/>
          <w:szCs w:val="22"/>
          <w:lang w:val="el-GR"/>
        </w:rPr>
        <w:t>Τα διαλύματα λευκωματίνης δεν πρέπει να αραιώνονται με ύδωρ για ενέσιμα διότι αυτό μπορεί να προκαλέσει αιμόλυση στους λήπτες.</w:t>
      </w:r>
    </w:p>
    <w:p w:rsidR="00D33B61" w:rsidRPr="00645EFE" w:rsidRDefault="00D33B61" w:rsidP="00645EFE">
      <w:pPr>
        <w:jc w:val="both"/>
        <w:rPr>
          <w:sz w:val="22"/>
          <w:szCs w:val="22"/>
          <w:lang w:val="el-GR"/>
        </w:rPr>
      </w:pPr>
      <w:r w:rsidRPr="00645EFE">
        <w:rPr>
          <w:sz w:val="22"/>
          <w:szCs w:val="22"/>
          <w:lang w:val="el-GR"/>
        </w:rPr>
        <w:t>Εάν πρόκειται να χορηγηθούν μεγάλοι όγκοι, το προϊόν πρέπει να έρθει σε θερμοκρασία περιβάλλοντος ή θερμοκρασία σώματος πριν από τη χρήση.</w:t>
      </w:r>
    </w:p>
    <w:p w:rsidR="00D33B61" w:rsidRPr="00645EFE" w:rsidRDefault="00D33B61" w:rsidP="00645EFE">
      <w:pPr>
        <w:jc w:val="both"/>
        <w:rPr>
          <w:sz w:val="22"/>
          <w:szCs w:val="22"/>
          <w:lang w:val="el-GR"/>
        </w:rPr>
      </w:pPr>
      <w:r w:rsidRPr="00645EFE">
        <w:rPr>
          <w:sz w:val="22"/>
          <w:szCs w:val="22"/>
          <w:lang w:val="el-GR"/>
        </w:rPr>
        <w:t>Μη χρησιμοποιείτε διαλύματα τα οποία είναι θολά ή περιέχουν ιζήματα. Αυτό ενδέχεται να σημαίνει ότι η πρωτεΐνη έχει κατακρημνισθεί ή ότι το διάλυμα έχει επιμολυνθεί.</w:t>
      </w:r>
    </w:p>
    <w:p w:rsidR="00D33B61" w:rsidRPr="00645EFE" w:rsidRDefault="00D33B61" w:rsidP="00645EFE">
      <w:pPr>
        <w:widowControl w:val="0"/>
        <w:jc w:val="both"/>
        <w:rPr>
          <w:sz w:val="22"/>
          <w:szCs w:val="22"/>
          <w:lang w:val="el-GR"/>
        </w:rPr>
      </w:pPr>
      <w:r w:rsidRPr="00645EFE">
        <w:rPr>
          <w:sz w:val="22"/>
          <w:szCs w:val="22"/>
          <w:lang w:val="el-GR"/>
        </w:rPr>
        <w:t>Αφού το φιαλίδιο ανοιχθεί, το περιεχόμενό του πρέπει να χρησιμοποιείται άμεσα.</w:t>
      </w:r>
    </w:p>
    <w:p w:rsidR="0021090B" w:rsidRPr="00645EFE" w:rsidRDefault="0021090B" w:rsidP="00645EFE">
      <w:pPr>
        <w:widowControl w:val="0"/>
        <w:jc w:val="both"/>
        <w:rPr>
          <w:sz w:val="22"/>
          <w:szCs w:val="22"/>
          <w:lang w:val="el-GR"/>
        </w:rPr>
      </w:pPr>
    </w:p>
    <w:p w:rsidR="00D33B61" w:rsidRPr="00645EFE" w:rsidRDefault="00D33B61" w:rsidP="00645EFE">
      <w:pPr>
        <w:jc w:val="both"/>
        <w:rPr>
          <w:sz w:val="22"/>
          <w:szCs w:val="22"/>
          <w:lang w:val="el-GR"/>
        </w:rPr>
      </w:pPr>
      <w:r w:rsidRPr="00645EFE">
        <w:rPr>
          <w:sz w:val="22"/>
          <w:szCs w:val="22"/>
          <w:lang w:val="el-GR"/>
        </w:rPr>
        <w:t xml:space="preserve">Κάθε </w:t>
      </w:r>
      <w:r w:rsidR="009231C2" w:rsidRPr="00645EFE">
        <w:rPr>
          <w:sz w:val="22"/>
          <w:szCs w:val="22"/>
          <w:lang w:val="el-GR"/>
        </w:rPr>
        <w:t xml:space="preserve">αχρησιμοποίητο φαρμακευτικό </w:t>
      </w:r>
      <w:r w:rsidRPr="00645EFE">
        <w:rPr>
          <w:sz w:val="22"/>
          <w:szCs w:val="22"/>
          <w:lang w:val="el-GR"/>
        </w:rPr>
        <w:t>προϊόν ή υπόλειμμα πρέπει να απορρίπτεται σύμφωνα με τις κατά τόπους ισχύουσες σχετικές διατάξεις.</w:t>
      </w:r>
    </w:p>
    <w:p w:rsidR="00D33B61" w:rsidRPr="00FF08A9" w:rsidRDefault="00D33B61" w:rsidP="00645EFE">
      <w:pPr>
        <w:jc w:val="both"/>
        <w:rPr>
          <w:sz w:val="22"/>
          <w:szCs w:val="22"/>
          <w:lang w:val="el-GR"/>
        </w:rPr>
      </w:pPr>
    </w:p>
    <w:p w:rsidR="00270FEC" w:rsidRPr="00FF08A9" w:rsidRDefault="00270FEC" w:rsidP="00645EFE">
      <w:pPr>
        <w:jc w:val="both"/>
        <w:rPr>
          <w:sz w:val="22"/>
          <w:szCs w:val="22"/>
          <w:lang w:val="el-GR"/>
        </w:rPr>
      </w:pPr>
    </w:p>
    <w:p w:rsidR="00270FEC" w:rsidRPr="00FF08A9" w:rsidRDefault="00270FEC" w:rsidP="00645EFE">
      <w:pPr>
        <w:jc w:val="both"/>
        <w:rPr>
          <w:sz w:val="22"/>
          <w:szCs w:val="22"/>
          <w:lang w:val="el-GR"/>
        </w:rPr>
      </w:pPr>
    </w:p>
    <w:p w:rsidR="00270FEC" w:rsidRPr="00FF08A9" w:rsidRDefault="00270FEC" w:rsidP="00645EFE">
      <w:pPr>
        <w:jc w:val="both"/>
        <w:rPr>
          <w:sz w:val="22"/>
          <w:szCs w:val="22"/>
          <w:lang w:val="el-GR"/>
        </w:rPr>
      </w:pPr>
    </w:p>
    <w:p w:rsidR="00270FEC" w:rsidRPr="00FF08A9" w:rsidRDefault="00270FEC" w:rsidP="00645EFE">
      <w:pPr>
        <w:jc w:val="both"/>
        <w:rPr>
          <w:sz w:val="22"/>
          <w:szCs w:val="22"/>
          <w:lang w:val="el-GR"/>
        </w:rPr>
      </w:pPr>
    </w:p>
    <w:p w:rsidR="00270FEC" w:rsidRPr="00FF08A9" w:rsidRDefault="00270FEC" w:rsidP="00645EFE">
      <w:pPr>
        <w:jc w:val="both"/>
        <w:rPr>
          <w:sz w:val="22"/>
          <w:szCs w:val="22"/>
          <w:lang w:val="el-GR"/>
        </w:rPr>
      </w:pPr>
    </w:p>
    <w:p w:rsidR="00D33B61" w:rsidRPr="00645EFE" w:rsidRDefault="00D33B61" w:rsidP="00645EFE">
      <w:pPr>
        <w:jc w:val="both"/>
        <w:rPr>
          <w:sz w:val="22"/>
          <w:szCs w:val="22"/>
          <w:lang w:val="el-GR"/>
        </w:rPr>
      </w:pPr>
    </w:p>
    <w:p w:rsidR="00D33B61" w:rsidRPr="00645EFE" w:rsidRDefault="00D33B61" w:rsidP="00645EFE">
      <w:pPr>
        <w:tabs>
          <w:tab w:val="left" w:pos="720"/>
        </w:tabs>
        <w:jc w:val="both"/>
        <w:rPr>
          <w:b/>
          <w:bCs/>
          <w:sz w:val="22"/>
          <w:szCs w:val="22"/>
          <w:lang w:val="el-GR"/>
        </w:rPr>
      </w:pPr>
      <w:r w:rsidRPr="00645EFE">
        <w:rPr>
          <w:b/>
          <w:bCs/>
          <w:sz w:val="22"/>
          <w:szCs w:val="22"/>
          <w:lang w:val="el-GR"/>
        </w:rPr>
        <w:t>7.</w:t>
      </w:r>
      <w:r w:rsidRPr="00645EFE">
        <w:rPr>
          <w:b/>
          <w:bCs/>
          <w:sz w:val="22"/>
          <w:szCs w:val="22"/>
          <w:lang w:val="el-GR"/>
        </w:rPr>
        <w:tab/>
        <w:t>ΚΑΤΟΧΟΣ ΤΗΣ ΑΔΕΙΑΣ ΚΥΚΛΟΦΟΡΙΑΣ</w:t>
      </w:r>
    </w:p>
    <w:p w:rsidR="00D33B61" w:rsidRPr="00645EFE" w:rsidRDefault="00D33B61" w:rsidP="00645EFE">
      <w:pPr>
        <w:ind w:firstLine="720"/>
        <w:jc w:val="both"/>
        <w:rPr>
          <w:b/>
          <w:bCs/>
          <w:i/>
          <w:iCs/>
          <w:sz w:val="22"/>
          <w:szCs w:val="22"/>
          <w:lang w:val="el-GR"/>
        </w:rPr>
      </w:pPr>
    </w:p>
    <w:p w:rsidR="00D33B61" w:rsidRPr="00645EFE" w:rsidRDefault="00D33B61" w:rsidP="00645EFE">
      <w:pPr>
        <w:widowControl w:val="0"/>
        <w:jc w:val="both"/>
        <w:rPr>
          <w:b/>
          <w:bCs/>
          <w:sz w:val="22"/>
          <w:szCs w:val="22"/>
          <w:lang w:val="el-GR"/>
        </w:rPr>
      </w:pPr>
      <w:r w:rsidRPr="00645EFE">
        <w:rPr>
          <w:b/>
          <w:bCs/>
          <w:sz w:val="22"/>
          <w:szCs w:val="22"/>
          <w:lang w:val="el-GR"/>
        </w:rPr>
        <w:t>Κάτοχος της άδειας κυκλοφορίας στην Ελλάδα:</w:t>
      </w:r>
    </w:p>
    <w:p w:rsidR="00D33B61" w:rsidRPr="00645EFE" w:rsidRDefault="00D33B61" w:rsidP="00645EFE">
      <w:pPr>
        <w:widowControl w:val="0"/>
        <w:jc w:val="both"/>
        <w:rPr>
          <w:b/>
          <w:bCs/>
          <w:sz w:val="22"/>
          <w:szCs w:val="22"/>
          <w:lang w:val="el-GR"/>
        </w:rPr>
      </w:pPr>
    </w:p>
    <w:p w:rsidR="00D33B61" w:rsidRPr="00645EFE" w:rsidRDefault="00D33B61" w:rsidP="00645EFE">
      <w:pPr>
        <w:widowControl w:val="0"/>
        <w:jc w:val="both"/>
        <w:rPr>
          <w:sz w:val="22"/>
          <w:szCs w:val="22"/>
          <w:lang w:val="el-GR"/>
        </w:rPr>
      </w:pPr>
      <w:r w:rsidRPr="00645EFE">
        <w:rPr>
          <w:sz w:val="22"/>
          <w:szCs w:val="22"/>
        </w:rPr>
        <w:t>DEMO</w:t>
      </w:r>
      <w:r w:rsidRPr="00645EFE">
        <w:rPr>
          <w:sz w:val="22"/>
          <w:szCs w:val="22"/>
          <w:lang w:val="el-GR"/>
        </w:rPr>
        <w:t xml:space="preserve"> </w:t>
      </w:r>
      <w:r w:rsidRPr="00645EFE">
        <w:rPr>
          <w:sz w:val="22"/>
          <w:szCs w:val="22"/>
        </w:rPr>
        <w:t>ABEE</w:t>
      </w:r>
      <w:r w:rsidRPr="00645EFE">
        <w:rPr>
          <w:sz w:val="22"/>
          <w:szCs w:val="22"/>
          <w:lang w:val="el-GR"/>
        </w:rPr>
        <w:t xml:space="preserve"> Βιομηχανία Φαρμάκων </w:t>
      </w:r>
    </w:p>
    <w:p w:rsidR="00D33B61" w:rsidRPr="00645EFE" w:rsidRDefault="00D33B61" w:rsidP="00645EFE">
      <w:pPr>
        <w:widowControl w:val="0"/>
        <w:jc w:val="both"/>
        <w:rPr>
          <w:sz w:val="22"/>
          <w:szCs w:val="22"/>
          <w:lang w:val="el-GR"/>
        </w:rPr>
      </w:pPr>
      <w:r w:rsidRPr="00645EFE">
        <w:rPr>
          <w:sz w:val="22"/>
          <w:szCs w:val="22"/>
          <w:lang w:val="el-GR"/>
        </w:rPr>
        <w:t>21ο χλμ. Εθν. Οδού Αθηνών-Λαμίας, 145 68 Κρυονέρι.</w:t>
      </w:r>
    </w:p>
    <w:p w:rsidR="00D33B61" w:rsidRPr="00645EFE" w:rsidRDefault="00D33B61" w:rsidP="00645EFE">
      <w:pPr>
        <w:widowControl w:val="0"/>
        <w:jc w:val="both"/>
        <w:rPr>
          <w:sz w:val="22"/>
          <w:szCs w:val="22"/>
          <w:lang w:val="el-GR"/>
        </w:rPr>
      </w:pPr>
      <w:r w:rsidRPr="00645EFE">
        <w:rPr>
          <w:sz w:val="22"/>
          <w:szCs w:val="22"/>
          <w:lang w:val="el-GR"/>
        </w:rPr>
        <w:t>Τηλ: 210 81 61 802, Φαξ: 210 81 61 587.</w:t>
      </w:r>
    </w:p>
    <w:p w:rsidR="00D33B61" w:rsidRPr="00645EFE" w:rsidRDefault="00D33B61" w:rsidP="00645EFE">
      <w:pPr>
        <w:jc w:val="both"/>
        <w:rPr>
          <w:sz w:val="22"/>
          <w:szCs w:val="22"/>
          <w:lang w:val="el-GR"/>
        </w:rPr>
      </w:pPr>
    </w:p>
    <w:p w:rsidR="00D33B61" w:rsidRPr="00645EFE" w:rsidRDefault="00D33B61" w:rsidP="00645EFE">
      <w:pPr>
        <w:widowControl w:val="0"/>
        <w:jc w:val="both"/>
        <w:rPr>
          <w:b/>
          <w:bCs/>
          <w:sz w:val="22"/>
          <w:szCs w:val="22"/>
          <w:lang w:val="el-GR"/>
        </w:rPr>
      </w:pPr>
      <w:r w:rsidRPr="00645EFE">
        <w:rPr>
          <w:b/>
          <w:bCs/>
          <w:sz w:val="22"/>
          <w:szCs w:val="22"/>
          <w:lang w:val="el-GR"/>
        </w:rPr>
        <w:t>Κάτοχος της άδειας κυκλοφορίας στην Κύπρο:</w:t>
      </w:r>
    </w:p>
    <w:p w:rsidR="00D33B61" w:rsidRPr="00645EFE" w:rsidRDefault="00D33B61" w:rsidP="00645EFE">
      <w:pPr>
        <w:widowControl w:val="0"/>
        <w:jc w:val="both"/>
        <w:rPr>
          <w:b/>
          <w:bCs/>
          <w:sz w:val="22"/>
          <w:szCs w:val="22"/>
          <w:lang w:val="el-GR"/>
        </w:rPr>
      </w:pPr>
    </w:p>
    <w:p w:rsidR="00D33B61" w:rsidRPr="00645EFE" w:rsidRDefault="00D33B61" w:rsidP="00645EFE">
      <w:pPr>
        <w:pStyle w:val="LAFISPCNormal"/>
        <w:tabs>
          <w:tab w:val="clear" w:pos="567"/>
          <w:tab w:val="left" w:pos="851"/>
        </w:tabs>
        <w:ind w:left="0"/>
        <w:jc w:val="both"/>
        <w:rPr>
          <w:sz w:val="22"/>
          <w:szCs w:val="22"/>
          <w:lang w:val="de-DE"/>
        </w:rPr>
      </w:pPr>
      <w:r w:rsidRPr="00645EFE">
        <w:rPr>
          <w:sz w:val="22"/>
          <w:szCs w:val="22"/>
          <w:lang w:val="de-DE"/>
        </w:rPr>
        <w:t>CSL Behring GmbH</w:t>
      </w:r>
    </w:p>
    <w:p w:rsidR="00D33B61" w:rsidRPr="00645EFE" w:rsidRDefault="00D33B61" w:rsidP="00645EFE">
      <w:pPr>
        <w:pStyle w:val="LAFISPCNormal"/>
        <w:tabs>
          <w:tab w:val="left" w:pos="851"/>
        </w:tabs>
        <w:ind w:left="0"/>
        <w:jc w:val="both"/>
        <w:rPr>
          <w:sz w:val="22"/>
          <w:szCs w:val="22"/>
          <w:lang w:val="de-DE"/>
        </w:rPr>
      </w:pPr>
      <w:r w:rsidRPr="00645EFE">
        <w:rPr>
          <w:sz w:val="22"/>
          <w:szCs w:val="22"/>
          <w:lang w:val="de-DE"/>
        </w:rPr>
        <w:t>Emil-von-Behring-Strasse 76</w:t>
      </w:r>
    </w:p>
    <w:p w:rsidR="00D33B61" w:rsidRPr="00645EFE" w:rsidRDefault="00D33B61" w:rsidP="00645EFE">
      <w:pPr>
        <w:pStyle w:val="LAFISPCNormal"/>
        <w:tabs>
          <w:tab w:val="left" w:pos="851"/>
        </w:tabs>
        <w:ind w:left="0"/>
        <w:jc w:val="both"/>
        <w:rPr>
          <w:sz w:val="22"/>
          <w:szCs w:val="22"/>
          <w:lang w:val="el-GR"/>
        </w:rPr>
      </w:pPr>
      <w:r w:rsidRPr="00645EFE">
        <w:rPr>
          <w:sz w:val="22"/>
          <w:szCs w:val="22"/>
          <w:lang w:val="el-GR"/>
        </w:rPr>
        <w:t xml:space="preserve">35041 </w:t>
      </w:r>
      <w:r w:rsidRPr="00645EFE">
        <w:rPr>
          <w:sz w:val="22"/>
          <w:szCs w:val="22"/>
          <w:lang w:val="de-DE"/>
        </w:rPr>
        <w:t>Marburg</w:t>
      </w:r>
    </w:p>
    <w:p w:rsidR="00D33B61" w:rsidRPr="00645EFE" w:rsidRDefault="00D33B61" w:rsidP="00645EFE">
      <w:pPr>
        <w:pStyle w:val="LAFISPCNormal"/>
        <w:tabs>
          <w:tab w:val="left" w:pos="851"/>
        </w:tabs>
        <w:ind w:left="0"/>
        <w:jc w:val="both"/>
        <w:rPr>
          <w:sz w:val="22"/>
          <w:szCs w:val="22"/>
          <w:lang w:val="el-GR"/>
        </w:rPr>
      </w:pPr>
      <w:r w:rsidRPr="00645EFE">
        <w:rPr>
          <w:sz w:val="22"/>
          <w:szCs w:val="22"/>
          <w:lang w:val="el-GR"/>
        </w:rPr>
        <w:t>Γερμανία</w:t>
      </w:r>
    </w:p>
    <w:p w:rsidR="00D33B61" w:rsidRPr="00645EFE" w:rsidRDefault="00D33B61" w:rsidP="00645EFE">
      <w:pPr>
        <w:jc w:val="both"/>
        <w:rPr>
          <w:b/>
          <w:bCs/>
          <w:sz w:val="22"/>
          <w:szCs w:val="22"/>
          <w:lang w:val="el-GR"/>
        </w:rPr>
      </w:pPr>
    </w:p>
    <w:p w:rsidR="00D33B61" w:rsidRPr="00645EFE" w:rsidRDefault="00D33B61" w:rsidP="00645EFE">
      <w:pPr>
        <w:jc w:val="both"/>
        <w:rPr>
          <w:b/>
          <w:bCs/>
          <w:sz w:val="22"/>
          <w:szCs w:val="22"/>
          <w:lang w:val="el-GR"/>
        </w:rPr>
      </w:pPr>
    </w:p>
    <w:p w:rsidR="00D33B61" w:rsidRPr="00645EFE" w:rsidRDefault="00D33B61" w:rsidP="00645EFE">
      <w:pPr>
        <w:tabs>
          <w:tab w:val="left" w:pos="720"/>
        </w:tabs>
        <w:jc w:val="both"/>
        <w:rPr>
          <w:b/>
          <w:bCs/>
          <w:sz w:val="22"/>
          <w:szCs w:val="22"/>
          <w:lang w:val="el-GR"/>
        </w:rPr>
      </w:pPr>
      <w:r w:rsidRPr="00645EFE">
        <w:rPr>
          <w:b/>
          <w:bCs/>
          <w:sz w:val="22"/>
          <w:szCs w:val="22"/>
          <w:lang w:val="el-GR"/>
        </w:rPr>
        <w:t>8.</w:t>
      </w:r>
      <w:r w:rsidRPr="00645EFE">
        <w:rPr>
          <w:b/>
          <w:bCs/>
          <w:sz w:val="22"/>
          <w:szCs w:val="22"/>
          <w:lang w:val="el-GR"/>
        </w:rPr>
        <w:tab/>
        <w:t>ΑΡΙΘΜΟΣ(ΟΙ) ΑΔΕΙΑΣ ΚΥΚΛΟΦΟΡΙΑΣ</w:t>
      </w:r>
    </w:p>
    <w:p w:rsidR="00D33B61" w:rsidRPr="00645EFE" w:rsidRDefault="00D33B61" w:rsidP="00645EFE">
      <w:pPr>
        <w:jc w:val="both"/>
        <w:rPr>
          <w:b/>
          <w:bCs/>
          <w:sz w:val="22"/>
          <w:szCs w:val="22"/>
          <w:lang w:val="el-GR"/>
        </w:rPr>
      </w:pPr>
    </w:p>
    <w:p w:rsidR="00D33B61" w:rsidRPr="00645EFE" w:rsidRDefault="00D33B61" w:rsidP="00645EFE">
      <w:pPr>
        <w:widowControl w:val="0"/>
        <w:tabs>
          <w:tab w:val="left" w:pos="240"/>
        </w:tabs>
        <w:jc w:val="both"/>
        <w:rPr>
          <w:sz w:val="22"/>
          <w:szCs w:val="22"/>
          <w:lang w:val="el-GR"/>
        </w:rPr>
      </w:pPr>
      <w:r w:rsidRPr="00645EFE">
        <w:rPr>
          <w:sz w:val="22"/>
          <w:szCs w:val="22"/>
          <w:lang w:val="el-GR"/>
        </w:rPr>
        <w:t xml:space="preserve">Αριθμός άδειας κυκλοφορίας στην Ελλάδα: </w:t>
      </w:r>
    </w:p>
    <w:p w:rsidR="00D33B61" w:rsidRPr="00645EFE" w:rsidRDefault="00D33B61" w:rsidP="00645EFE">
      <w:pPr>
        <w:widowControl w:val="0"/>
        <w:tabs>
          <w:tab w:val="left" w:pos="240"/>
        </w:tabs>
        <w:jc w:val="both"/>
        <w:rPr>
          <w:sz w:val="22"/>
          <w:szCs w:val="22"/>
          <w:lang w:val="el-GR"/>
        </w:rPr>
      </w:pPr>
      <w:r w:rsidRPr="00645EFE">
        <w:rPr>
          <w:sz w:val="22"/>
          <w:szCs w:val="22"/>
          <w:lang w:val="el-GR"/>
        </w:rPr>
        <w:t xml:space="preserve">Αριθμός άδειας κυκλοφορίας στην Κύπρο: </w:t>
      </w:r>
    </w:p>
    <w:p w:rsidR="00D33B61" w:rsidRPr="00645EFE" w:rsidRDefault="00D33B61" w:rsidP="00645EFE">
      <w:pPr>
        <w:jc w:val="both"/>
        <w:rPr>
          <w:b/>
          <w:bCs/>
          <w:sz w:val="22"/>
          <w:szCs w:val="22"/>
          <w:lang w:val="el-GR"/>
        </w:rPr>
      </w:pPr>
    </w:p>
    <w:p w:rsidR="00D33B61" w:rsidRPr="00645EFE" w:rsidRDefault="00D33B61" w:rsidP="00645EFE">
      <w:pPr>
        <w:jc w:val="both"/>
        <w:rPr>
          <w:b/>
          <w:bCs/>
          <w:sz w:val="22"/>
          <w:szCs w:val="22"/>
          <w:lang w:val="el-GR"/>
        </w:rPr>
      </w:pPr>
    </w:p>
    <w:p w:rsidR="00D33B61" w:rsidRPr="00645EFE" w:rsidRDefault="00D33B61" w:rsidP="00645EFE">
      <w:pPr>
        <w:tabs>
          <w:tab w:val="left" w:pos="720"/>
        </w:tabs>
        <w:jc w:val="both"/>
        <w:rPr>
          <w:b/>
          <w:bCs/>
          <w:sz w:val="22"/>
          <w:szCs w:val="22"/>
          <w:lang w:val="el-GR"/>
        </w:rPr>
      </w:pPr>
      <w:r w:rsidRPr="00645EFE">
        <w:rPr>
          <w:b/>
          <w:bCs/>
          <w:sz w:val="22"/>
          <w:szCs w:val="22"/>
          <w:lang w:val="el-GR"/>
        </w:rPr>
        <w:t>9.</w:t>
      </w:r>
      <w:r w:rsidRPr="00645EFE">
        <w:rPr>
          <w:b/>
          <w:bCs/>
          <w:sz w:val="22"/>
          <w:szCs w:val="22"/>
          <w:lang w:val="el-GR"/>
        </w:rPr>
        <w:tab/>
        <w:t>ΗΜΕΡΟΜΗΝΙΑ ΠΡΩΤΗΣ ΕΓΚΡΙΣΗΣ/ΑΝΑΝΕΩΣΗΣ ΤΗΣ ΑΔΕΙΑΣ</w:t>
      </w:r>
    </w:p>
    <w:p w:rsidR="00D33B61" w:rsidRPr="00645EFE" w:rsidRDefault="00D33B61" w:rsidP="00645EFE">
      <w:pPr>
        <w:jc w:val="both"/>
        <w:rPr>
          <w:noProof/>
          <w:sz w:val="22"/>
          <w:szCs w:val="22"/>
          <w:lang w:val="el-GR"/>
        </w:rPr>
      </w:pPr>
    </w:p>
    <w:p w:rsidR="00D33B61" w:rsidRPr="00645EFE" w:rsidRDefault="00D33B61" w:rsidP="00645EFE">
      <w:pPr>
        <w:jc w:val="both"/>
        <w:rPr>
          <w:noProof/>
          <w:sz w:val="22"/>
          <w:szCs w:val="22"/>
          <w:lang w:val="el-GR"/>
        </w:rPr>
      </w:pPr>
      <w:r w:rsidRPr="00645EFE">
        <w:rPr>
          <w:noProof/>
          <w:sz w:val="22"/>
          <w:szCs w:val="22"/>
          <w:lang w:val="el-GR"/>
        </w:rPr>
        <w:t>Ημερομηνία πρώτης έγκρισης στην Ελλάδα: 04 Μαρτίου 2003</w:t>
      </w:r>
    </w:p>
    <w:p w:rsidR="00D33B61" w:rsidRPr="00645EFE" w:rsidRDefault="00D33B61" w:rsidP="00645EFE">
      <w:pPr>
        <w:jc w:val="both"/>
        <w:rPr>
          <w:noProof/>
          <w:sz w:val="22"/>
          <w:szCs w:val="22"/>
          <w:lang w:val="el-GR"/>
        </w:rPr>
      </w:pPr>
      <w:r w:rsidRPr="00645EFE">
        <w:rPr>
          <w:noProof/>
          <w:sz w:val="22"/>
          <w:szCs w:val="22"/>
          <w:lang w:val="el-GR"/>
        </w:rPr>
        <w:t xml:space="preserve">Ημερομηνία τελευταίας ανανέωσης στην Ελλάδα: </w:t>
      </w:r>
      <w:r w:rsidR="00AB764C" w:rsidRPr="00645EFE">
        <w:rPr>
          <w:noProof/>
          <w:sz w:val="22"/>
          <w:szCs w:val="22"/>
          <w:lang w:val="el-GR"/>
        </w:rPr>
        <w:t>26 Ιουλίου 2013</w:t>
      </w:r>
    </w:p>
    <w:p w:rsidR="00D33B61" w:rsidRPr="00645EFE" w:rsidRDefault="00D33B61" w:rsidP="00645EFE">
      <w:pPr>
        <w:jc w:val="both"/>
        <w:rPr>
          <w:b/>
          <w:bCs/>
          <w:sz w:val="22"/>
          <w:szCs w:val="22"/>
          <w:lang w:val="el-GR"/>
        </w:rPr>
      </w:pPr>
    </w:p>
    <w:p w:rsidR="00D33B61" w:rsidRPr="00645EFE" w:rsidRDefault="00D33B61" w:rsidP="00645EFE">
      <w:pPr>
        <w:jc w:val="both"/>
        <w:rPr>
          <w:noProof/>
          <w:sz w:val="22"/>
          <w:szCs w:val="22"/>
          <w:lang w:val="el-GR"/>
        </w:rPr>
      </w:pPr>
      <w:r w:rsidRPr="00645EFE">
        <w:rPr>
          <w:noProof/>
          <w:sz w:val="22"/>
          <w:szCs w:val="22"/>
          <w:lang w:val="el-GR"/>
        </w:rPr>
        <w:t>Ημερομηνία πρώτης έγκρισης στην Κύπρο: 12 Μαρτίου 2010</w:t>
      </w:r>
    </w:p>
    <w:p w:rsidR="00D33B61" w:rsidRPr="00645EFE" w:rsidRDefault="00D33B61" w:rsidP="00645EFE">
      <w:pPr>
        <w:jc w:val="both"/>
        <w:rPr>
          <w:noProof/>
          <w:sz w:val="22"/>
          <w:szCs w:val="22"/>
          <w:lang w:val="el-GR"/>
        </w:rPr>
      </w:pPr>
      <w:r w:rsidRPr="00645EFE">
        <w:rPr>
          <w:noProof/>
          <w:sz w:val="22"/>
          <w:szCs w:val="22"/>
          <w:lang w:val="el-GR"/>
        </w:rPr>
        <w:t xml:space="preserve">Ημερομηνία τελευταίας ανανέωσης στην Κύπρο: </w:t>
      </w:r>
      <w:r w:rsidR="00AB764C" w:rsidRPr="00F26C8C">
        <w:rPr>
          <w:noProof/>
          <w:sz w:val="22"/>
          <w:szCs w:val="22"/>
          <w:lang w:val="el-GR"/>
        </w:rPr>
        <w:t>13 Νοεμβρίου 2013</w:t>
      </w:r>
    </w:p>
    <w:p w:rsidR="00D33B61" w:rsidRPr="00645EFE" w:rsidRDefault="00D33B61" w:rsidP="00645EFE">
      <w:pPr>
        <w:jc w:val="both"/>
        <w:rPr>
          <w:b/>
          <w:bCs/>
          <w:sz w:val="22"/>
          <w:szCs w:val="22"/>
          <w:lang w:val="el-GR"/>
        </w:rPr>
      </w:pPr>
    </w:p>
    <w:p w:rsidR="00D33B61" w:rsidRPr="00645EFE" w:rsidRDefault="00D33B61" w:rsidP="00645EFE">
      <w:pPr>
        <w:jc w:val="both"/>
        <w:rPr>
          <w:b/>
          <w:bCs/>
          <w:sz w:val="22"/>
          <w:szCs w:val="22"/>
          <w:lang w:val="el-GR"/>
        </w:rPr>
      </w:pPr>
    </w:p>
    <w:p w:rsidR="00D33B61" w:rsidRPr="00645EFE" w:rsidRDefault="00D33B61" w:rsidP="00645EFE">
      <w:pPr>
        <w:tabs>
          <w:tab w:val="left" w:pos="720"/>
        </w:tabs>
        <w:jc w:val="both"/>
        <w:rPr>
          <w:b/>
          <w:bCs/>
          <w:sz w:val="22"/>
          <w:szCs w:val="22"/>
          <w:lang w:val="el-GR"/>
        </w:rPr>
      </w:pPr>
      <w:r w:rsidRPr="00645EFE">
        <w:rPr>
          <w:b/>
          <w:bCs/>
          <w:sz w:val="22"/>
          <w:szCs w:val="22"/>
          <w:lang w:val="el-GR"/>
        </w:rPr>
        <w:t>10.</w:t>
      </w:r>
      <w:r w:rsidRPr="00645EFE">
        <w:rPr>
          <w:b/>
          <w:bCs/>
          <w:sz w:val="22"/>
          <w:szCs w:val="22"/>
          <w:lang w:val="el-GR"/>
        </w:rPr>
        <w:tab/>
        <w:t>ΗΜΕΡΟΜΗΝΙΑ ΑΝΑΘΕΩΡΗΣΕΩΣ ΤΟΥ ΚΕΙΜΕΝΟΥ</w:t>
      </w:r>
    </w:p>
    <w:p w:rsidR="00D33B61" w:rsidRPr="00645EFE" w:rsidRDefault="00D33B61" w:rsidP="00645EFE">
      <w:pPr>
        <w:jc w:val="both"/>
        <w:rPr>
          <w:b/>
          <w:bCs/>
          <w:sz w:val="22"/>
          <w:szCs w:val="22"/>
          <w:lang w:val="el-GR"/>
        </w:rPr>
      </w:pPr>
    </w:p>
    <w:p w:rsidR="00DB2297" w:rsidRPr="00645EFE" w:rsidRDefault="008613C7" w:rsidP="00645EFE">
      <w:pPr>
        <w:jc w:val="both"/>
        <w:rPr>
          <w:sz w:val="22"/>
          <w:szCs w:val="22"/>
          <w:lang w:val="el-GR"/>
        </w:rPr>
      </w:pPr>
      <w:r w:rsidRPr="00C7381B">
        <w:rPr>
          <w:sz w:val="22"/>
          <w:szCs w:val="22"/>
          <w:lang w:val="el-GR"/>
        </w:rPr>
        <w:t>10/2014</w:t>
      </w:r>
    </w:p>
    <w:p w:rsidR="00D33B61" w:rsidRPr="00645EFE" w:rsidRDefault="00D33B61" w:rsidP="00645EFE">
      <w:pPr>
        <w:widowControl w:val="0"/>
        <w:jc w:val="both"/>
        <w:rPr>
          <w:b/>
          <w:bCs/>
          <w:sz w:val="22"/>
          <w:szCs w:val="22"/>
          <w:lang w:val="el-GR"/>
        </w:rPr>
      </w:pPr>
    </w:p>
    <w:p w:rsidR="00C6708B" w:rsidRPr="00645EFE" w:rsidRDefault="00C6708B" w:rsidP="00645EFE">
      <w:pPr>
        <w:widowControl w:val="0"/>
        <w:jc w:val="both"/>
        <w:rPr>
          <w:b/>
          <w:bCs/>
          <w:sz w:val="22"/>
          <w:szCs w:val="22"/>
          <w:lang w:val="el-GR"/>
        </w:rPr>
      </w:pPr>
    </w:p>
    <w:p w:rsidR="00C6708B" w:rsidRPr="00645EFE" w:rsidRDefault="00C6708B" w:rsidP="00645EFE">
      <w:pPr>
        <w:widowControl w:val="0"/>
        <w:jc w:val="both"/>
        <w:rPr>
          <w:b/>
          <w:bCs/>
          <w:sz w:val="22"/>
          <w:szCs w:val="22"/>
          <w:lang w:val="el-GR"/>
        </w:rPr>
      </w:pPr>
      <w:r w:rsidRPr="00645EFE">
        <w:rPr>
          <w:b/>
          <w:bCs/>
          <w:sz w:val="22"/>
          <w:szCs w:val="22"/>
          <w:lang w:val="el-GR"/>
        </w:rPr>
        <w:t>Με περιορισμένη ιατρική συνταγή: Μόνο για Νοσοκομειακή Χρήση.</w:t>
      </w:r>
    </w:p>
    <w:p w:rsidR="00D33B61" w:rsidRPr="00645EFE" w:rsidRDefault="00D33B61" w:rsidP="00645EFE">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D33B61" w:rsidRPr="00645EFE" w:rsidRDefault="00D33B61" w:rsidP="00440B99">
      <w:pPr>
        <w:jc w:val="both"/>
        <w:rPr>
          <w:i/>
          <w:iCs/>
          <w:sz w:val="22"/>
          <w:szCs w:val="22"/>
          <w:lang w:val="el-GR"/>
        </w:rPr>
      </w:pPr>
    </w:p>
    <w:p w:rsidR="00235583" w:rsidRPr="00645EFE" w:rsidRDefault="00235583" w:rsidP="00FF08A9">
      <w:pPr>
        <w:jc w:val="both"/>
        <w:rPr>
          <w:sz w:val="22"/>
          <w:szCs w:val="22"/>
          <w:lang w:val="el-GR"/>
        </w:rPr>
      </w:pPr>
    </w:p>
    <w:sectPr w:rsidR="00235583" w:rsidRPr="00645EFE" w:rsidSect="00614F1A">
      <w:footerReference w:type="default" r:id="rId11"/>
      <w:pgSz w:w="11907" w:h="16840" w:code="9"/>
      <w:pgMar w:top="1134" w:right="1559" w:bottom="1134" w:left="1418" w:header="737" w:footer="73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C0" w:rsidRDefault="00F100C0">
      <w:r>
        <w:separator/>
      </w:r>
    </w:p>
  </w:endnote>
  <w:endnote w:type="continuationSeparator" w:id="0">
    <w:p w:rsidR="00F100C0" w:rsidRDefault="00F1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B0" w:rsidRPr="001C1FD3" w:rsidRDefault="009953B0" w:rsidP="004404DB">
    <w:pPr>
      <w:pStyle w:val="a6"/>
      <w:tabs>
        <w:tab w:val="center" w:pos="8505"/>
      </w:tabs>
      <w:spacing w:before="360"/>
      <w:ind w:right="-1"/>
      <w:rPr>
        <w:sz w:val="18"/>
        <w:szCs w:val="18"/>
        <w:lang w:val="en-US"/>
      </w:rPr>
    </w:pPr>
    <w:r w:rsidRPr="00CA6904">
      <w:rPr>
        <w:sz w:val="18"/>
        <w:szCs w:val="18"/>
        <w:lang w:val="en-US"/>
      </w:rPr>
      <w:t>Alburex 20_SPC, PIL, Labelling-</w:t>
    </w:r>
    <w:r>
      <w:rPr>
        <w:sz w:val="18"/>
        <w:szCs w:val="18"/>
        <w:lang w:val="en-US"/>
      </w:rPr>
      <w:t>clean</w:t>
    </w:r>
    <w:r w:rsidRPr="00CA6904">
      <w:rPr>
        <w:sz w:val="18"/>
        <w:szCs w:val="18"/>
        <w:lang w:val="en-US"/>
      </w:rPr>
      <w:t>_</w:t>
    </w:r>
    <w:r w:rsidRPr="007B0BC2">
      <w:rPr>
        <w:sz w:val="18"/>
        <w:szCs w:val="18"/>
        <w:lang w:val="en-US"/>
      </w:rPr>
      <w:t>Rev.</w:t>
    </w:r>
    <w:r w:rsidRPr="00FF08A9">
      <w:rPr>
        <w:sz w:val="18"/>
        <w:szCs w:val="18"/>
        <w:lang w:val="en-US"/>
      </w:rPr>
      <w:t>06-Oct-2014</w:t>
    </w:r>
    <w:r w:rsidRPr="007B0BC2">
      <w:rPr>
        <w:sz w:val="18"/>
        <w:szCs w:val="18"/>
        <w:lang w:val="en-US"/>
      </w:rPr>
      <w:t>_var.038-039</w:t>
    </w:r>
    <w:r>
      <w:rPr>
        <w:sz w:val="18"/>
        <w:szCs w:val="18"/>
        <w:lang w:val="en-US"/>
      </w:rPr>
      <w:t xml:space="preserve">                                                                      </w:t>
    </w:r>
    <w:r w:rsidRPr="00CA6904">
      <w:rPr>
        <w:sz w:val="18"/>
        <w:szCs w:val="18"/>
        <w:lang w:val="en-US"/>
      </w:rPr>
      <w:t xml:space="preserve">page: </w:t>
    </w:r>
    <w:r w:rsidRPr="002423F9">
      <w:rPr>
        <w:rStyle w:val="a7"/>
        <w:sz w:val="18"/>
        <w:szCs w:val="18"/>
      </w:rPr>
      <w:fldChar w:fldCharType="begin"/>
    </w:r>
    <w:r w:rsidRPr="002423F9">
      <w:rPr>
        <w:rStyle w:val="a7"/>
        <w:sz w:val="18"/>
        <w:szCs w:val="18"/>
      </w:rPr>
      <w:instrText xml:space="preserve"> PAGE </w:instrText>
    </w:r>
    <w:r w:rsidRPr="002423F9">
      <w:rPr>
        <w:rStyle w:val="a7"/>
        <w:sz w:val="18"/>
        <w:szCs w:val="18"/>
      </w:rPr>
      <w:fldChar w:fldCharType="separate"/>
    </w:r>
    <w:r w:rsidR="00567095">
      <w:rPr>
        <w:rStyle w:val="a7"/>
        <w:noProof/>
        <w:sz w:val="18"/>
        <w:szCs w:val="18"/>
      </w:rPr>
      <w:t>1</w:t>
    </w:r>
    <w:r w:rsidRPr="002423F9">
      <w:rPr>
        <w:rStyle w:val="a7"/>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C0" w:rsidRDefault="00F100C0">
      <w:r>
        <w:separator/>
      </w:r>
    </w:p>
  </w:footnote>
  <w:footnote w:type="continuationSeparator" w:id="0">
    <w:p w:rsidR="00F100C0" w:rsidRDefault="00F10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774"/>
    <w:multiLevelType w:val="hybridMultilevel"/>
    <w:tmpl w:val="FFCCF6D8"/>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
    <w:nsid w:val="024A1056"/>
    <w:multiLevelType w:val="hybridMultilevel"/>
    <w:tmpl w:val="E0FA95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B87260"/>
    <w:multiLevelType w:val="hybridMultilevel"/>
    <w:tmpl w:val="5B682740"/>
    <w:lvl w:ilvl="0" w:tplc="91D068FC">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A906861"/>
    <w:multiLevelType w:val="hybridMultilevel"/>
    <w:tmpl w:val="2632A30C"/>
    <w:lvl w:ilvl="0" w:tplc="4DAE96F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D1D56"/>
    <w:multiLevelType w:val="hybridMultilevel"/>
    <w:tmpl w:val="67C2EA92"/>
    <w:lvl w:ilvl="0" w:tplc="82EE4D06">
      <w:start w:val="2"/>
      <w:numFmt w:val="bullet"/>
      <w:lvlText w:val=""/>
      <w:lvlJc w:val="left"/>
      <w:pPr>
        <w:ind w:left="720" w:hanging="360"/>
      </w:pPr>
      <w:rPr>
        <w:rFonts w:ascii="Wingdings" w:eastAsia="Times New Roman"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34169BC"/>
    <w:multiLevelType w:val="hybridMultilevel"/>
    <w:tmpl w:val="221A9B48"/>
    <w:lvl w:ilvl="0" w:tplc="91D068FC">
      <w:start w:val="2"/>
      <w:numFmt w:val="bullet"/>
      <w:lvlText w:val=""/>
      <w:lvlJc w:val="left"/>
      <w:pPr>
        <w:ind w:left="1004" w:hanging="360"/>
      </w:pPr>
      <w:rPr>
        <w:rFonts w:ascii="Wingdings" w:eastAsia="Times New Roman"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6">
    <w:nsid w:val="1A293EEF"/>
    <w:multiLevelType w:val="hybridMultilevel"/>
    <w:tmpl w:val="1F9ADB18"/>
    <w:lvl w:ilvl="0" w:tplc="D64A7C5A">
      <w:start w:val="2"/>
      <w:numFmt w:val="bullet"/>
      <w:lvlText w:val=""/>
      <w:lvlJc w:val="left"/>
      <w:pPr>
        <w:ind w:left="720" w:hanging="360"/>
      </w:pPr>
      <w:rPr>
        <w:rFonts w:ascii="Wingdings" w:eastAsia="Times New Roman"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50E3180"/>
    <w:multiLevelType w:val="hybridMultilevel"/>
    <w:tmpl w:val="68480BE0"/>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8">
    <w:nsid w:val="25C36001"/>
    <w:multiLevelType w:val="hybridMultilevel"/>
    <w:tmpl w:val="98EABBE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262B6868"/>
    <w:multiLevelType w:val="hybridMultilevel"/>
    <w:tmpl w:val="4EB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729F2"/>
    <w:multiLevelType w:val="hybridMultilevel"/>
    <w:tmpl w:val="C600A01A"/>
    <w:lvl w:ilvl="0" w:tplc="91D068FC">
      <w:start w:val="2"/>
      <w:numFmt w:val="bullet"/>
      <w:lvlText w:val=""/>
      <w:lvlJc w:val="left"/>
      <w:pPr>
        <w:ind w:left="1004" w:hanging="360"/>
      </w:pPr>
      <w:rPr>
        <w:rFonts w:ascii="Wingdings" w:eastAsia="Times New Roman"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11">
    <w:nsid w:val="2CA55F2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2A77916"/>
    <w:multiLevelType w:val="hybridMultilevel"/>
    <w:tmpl w:val="026077F4"/>
    <w:lvl w:ilvl="0" w:tplc="04090001">
      <w:start w:val="1"/>
      <w:numFmt w:val="bullet"/>
      <w:lvlText w:val=""/>
      <w:lvlJc w:val="left"/>
      <w:pPr>
        <w:tabs>
          <w:tab w:val="num" w:pos="720"/>
        </w:tabs>
        <w:ind w:left="720" w:hanging="360"/>
      </w:pPr>
      <w:rPr>
        <w:rFonts w:ascii="Symbol" w:hAnsi="Symbol" w:cs="Symbol" w:hint="default"/>
      </w:rPr>
    </w:lvl>
    <w:lvl w:ilvl="1" w:tplc="0407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4">
    <w:nsid w:val="36B6176B"/>
    <w:multiLevelType w:val="hybridMultilevel"/>
    <w:tmpl w:val="4F1A15F8"/>
    <w:lvl w:ilvl="0" w:tplc="91D068FC">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7FF745A"/>
    <w:multiLevelType w:val="hybridMultilevel"/>
    <w:tmpl w:val="F278AFBC"/>
    <w:lvl w:ilvl="0" w:tplc="08070001">
      <w:start w:val="1"/>
      <w:numFmt w:val="bullet"/>
      <w:lvlText w:val=""/>
      <w:lvlJc w:val="left"/>
      <w:pPr>
        <w:tabs>
          <w:tab w:val="num" w:pos="786"/>
        </w:tabs>
        <w:ind w:left="786" w:hanging="360"/>
      </w:pPr>
      <w:rPr>
        <w:rFonts w:ascii="Symbol" w:hAnsi="Symbol" w:cs="Symbol" w:hint="default"/>
        <w:color w:val="auto"/>
      </w:rPr>
    </w:lvl>
    <w:lvl w:ilvl="1" w:tplc="04070003">
      <w:start w:val="1"/>
      <w:numFmt w:val="bullet"/>
      <w:lvlText w:val="o"/>
      <w:lvlJc w:val="left"/>
      <w:pPr>
        <w:tabs>
          <w:tab w:val="num" w:pos="1866"/>
        </w:tabs>
        <w:ind w:left="1866" w:hanging="360"/>
      </w:pPr>
      <w:rPr>
        <w:rFonts w:ascii="Courier New" w:hAnsi="Courier New" w:cs="Courier New" w:hint="default"/>
      </w:rPr>
    </w:lvl>
    <w:lvl w:ilvl="2" w:tplc="04070005">
      <w:start w:val="1"/>
      <w:numFmt w:val="bullet"/>
      <w:lvlText w:val=""/>
      <w:lvlJc w:val="left"/>
      <w:pPr>
        <w:tabs>
          <w:tab w:val="num" w:pos="2586"/>
        </w:tabs>
        <w:ind w:left="2586" w:hanging="360"/>
      </w:pPr>
      <w:rPr>
        <w:rFonts w:ascii="Wingdings" w:hAnsi="Wingdings" w:cs="Wingdings" w:hint="default"/>
      </w:rPr>
    </w:lvl>
    <w:lvl w:ilvl="3" w:tplc="04070001">
      <w:start w:val="1"/>
      <w:numFmt w:val="bullet"/>
      <w:lvlText w:val=""/>
      <w:lvlJc w:val="left"/>
      <w:pPr>
        <w:tabs>
          <w:tab w:val="num" w:pos="3306"/>
        </w:tabs>
        <w:ind w:left="3306" w:hanging="360"/>
      </w:pPr>
      <w:rPr>
        <w:rFonts w:ascii="Symbol" w:hAnsi="Symbol" w:cs="Symbol" w:hint="default"/>
      </w:rPr>
    </w:lvl>
    <w:lvl w:ilvl="4" w:tplc="04070003">
      <w:start w:val="1"/>
      <w:numFmt w:val="bullet"/>
      <w:lvlText w:val="o"/>
      <w:lvlJc w:val="left"/>
      <w:pPr>
        <w:tabs>
          <w:tab w:val="num" w:pos="4026"/>
        </w:tabs>
        <w:ind w:left="4026" w:hanging="360"/>
      </w:pPr>
      <w:rPr>
        <w:rFonts w:ascii="Courier New" w:hAnsi="Courier New" w:cs="Courier New" w:hint="default"/>
      </w:rPr>
    </w:lvl>
    <w:lvl w:ilvl="5" w:tplc="04070005">
      <w:start w:val="1"/>
      <w:numFmt w:val="bullet"/>
      <w:lvlText w:val=""/>
      <w:lvlJc w:val="left"/>
      <w:pPr>
        <w:tabs>
          <w:tab w:val="num" w:pos="4746"/>
        </w:tabs>
        <w:ind w:left="4746" w:hanging="360"/>
      </w:pPr>
      <w:rPr>
        <w:rFonts w:ascii="Wingdings" w:hAnsi="Wingdings" w:cs="Wingdings" w:hint="default"/>
      </w:rPr>
    </w:lvl>
    <w:lvl w:ilvl="6" w:tplc="04070001">
      <w:start w:val="1"/>
      <w:numFmt w:val="bullet"/>
      <w:lvlText w:val=""/>
      <w:lvlJc w:val="left"/>
      <w:pPr>
        <w:tabs>
          <w:tab w:val="num" w:pos="5466"/>
        </w:tabs>
        <w:ind w:left="5466" w:hanging="360"/>
      </w:pPr>
      <w:rPr>
        <w:rFonts w:ascii="Symbol" w:hAnsi="Symbol" w:cs="Symbol" w:hint="default"/>
      </w:rPr>
    </w:lvl>
    <w:lvl w:ilvl="7" w:tplc="04070003">
      <w:start w:val="1"/>
      <w:numFmt w:val="bullet"/>
      <w:lvlText w:val="o"/>
      <w:lvlJc w:val="left"/>
      <w:pPr>
        <w:tabs>
          <w:tab w:val="num" w:pos="6186"/>
        </w:tabs>
        <w:ind w:left="6186" w:hanging="360"/>
      </w:pPr>
      <w:rPr>
        <w:rFonts w:ascii="Courier New" w:hAnsi="Courier New" w:cs="Courier New" w:hint="default"/>
      </w:rPr>
    </w:lvl>
    <w:lvl w:ilvl="8" w:tplc="04070005">
      <w:start w:val="1"/>
      <w:numFmt w:val="bullet"/>
      <w:lvlText w:val=""/>
      <w:lvlJc w:val="left"/>
      <w:pPr>
        <w:tabs>
          <w:tab w:val="num" w:pos="6906"/>
        </w:tabs>
        <w:ind w:left="6906" w:hanging="360"/>
      </w:pPr>
      <w:rPr>
        <w:rFonts w:ascii="Wingdings" w:hAnsi="Wingdings" w:cs="Wingdings" w:hint="default"/>
      </w:rPr>
    </w:lvl>
  </w:abstractNum>
  <w:abstractNum w:abstractNumId="16">
    <w:nsid w:val="385D025A"/>
    <w:multiLevelType w:val="hybridMultilevel"/>
    <w:tmpl w:val="ED3A7536"/>
    <w:lvl w:ilvl="0" w:tplc="91D068FC">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3957284"/>
    <w:multiLevelType w:val="hybridMultilevel"/>
    <w:tmpl w:val="1D6051F0"/>
    <w:lvl w:ilvl="0" w:tplc="91D068FC">
      <w:start w:val="2"/>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ABA79C9"/>
    <w:multiLevelType w:val="hybridMultilevel"/>
    <w:tmpl w:val="BC4E85F0"/>
    <w:lvl w:ilvl="0" w:tplc="AC862EF4">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4D870891"/>
    <w:multiLevelType w:val="hybridMultilevel"/>
    <w:tmpl w:val="C81C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23106"/>
    <w:multiLevelType w:val="hybridMultilevel"/>
    <w:tmpl w:val="29A053BA"/>
    <w:lvl w:ilvl="0" w:tplc="91D068FC">
      <w:start w:val="2"/>
      <w:numFmt w:val="bullet"/>
      <w:lvlText w:val=""/>
      <w:lvlJc w:val="left"/>
      <w:pPr>
        <w:ind w:left="720" w:hanging="360"/>
      </w:pPr>
      <w:rPr>
        <w:rFonts w:ascii="Wingdings" w:eastAsia="Times New Roman" w:hAnsi="Wingdings" w:hint="default"/>
      </w:rPr>
    </w:lvl>
    <w:lvl w:ilvl="1" w:tplc="155A5BF6">
      <w:numFmt w:val="bullet"/>
      <w:lvlText w:val=""/>
      <w:lvlJc w:val="left"/>
      <w:pPr>
        <w:ind w:left="1440" w:hanging="360"/>
      </w:pPr>
      <w:rPr>
        <w:rFonts w:ascii="Wingdings 2" w:eastAsia="Times New Roman" w:hAnsi="Wingdings 2"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F41F0"/>
    <w:multiLevelType w:val="hybridMultilevel"/>
    <w:tmpl w:val="98DCCB1E"/>
    <w:lvl w:ilvl="0" w:tplc="08070001">
      <w:start w:val="1"/>
      <w:numFmt w:val="bullet"/>
      <w:lvlText w:val=""/>
      <w:lvlJc w:val="left"/>
      <w:pPr>
        <w:tabs>
          <w:tab w:val="num" w:pos="1071"/>
        </w:tabs>
        <w:ind w:left="1071" w:hanging="360"/>
      </w:pPr>
      <w:rPr>
        <w:rFonts w:ascii="Symbol" w:hAnsi="Symbol" w:cs="Symbol" w:hint="default"/>
      </w:rPr>
    </w:lvl>
    <w:lvl w:ilvl="1" w:tplc="08070003">
      <w:start w:val="1"/>
      <w:numFmt w:val="bullet"/>
      <w:lvlText w:val="o"/>
      <w:lvlJc w:val="left"/>
      <w:pPr>
        <w:tabs>
          <w:tab w:val="num" w:pos="1791"/>
        </w:tabs>
        <w:ind w:left="1791" w:hanging="360"/>
      </w:pPr>
      <w:rPr>
        <w:rFonts w:ascii="Courier New" w:hAnsi="Courier New" w:cs="Courier New" w:hint="default"/>
      </w:rPr>
    </w:lvl>
    <w:lvl w:ilvl="2" w:tplc="08070005">
      <w:start w:val="1"/>
      <w:numFmt w:val="bullet"/>
      <w:lvlText w:val=""/>
      <w:lvlJc w:val="left"/>
      <w:pPr>
        <w:tabs>
          <w:tab w:val="num" w:pos="2511"/>
        </w:tabs>
        <w:ind w:left="2511" w:hanging="360"/>
      </w:pPr>
      <w:rPr>
        <w:rFonts w:ascii="Wingdings" w:hAnsi="Wingdings" w:cs="Wingdings" w:hint="default"/>
      </w:rPr>
    </w:lvl>
    <w:lvl w:ilvl="3" w:tplc="08070001">
      <w:start w:val="1"/>
      <w:numFmt w:val="bullet"/>
      <w:lvlText w:val=""/>
      <w:lvlJc w:val="left"/>
      <w:pPr>
        <w:tabs>
          <w:tab w:val="num" w:pos="3231"/>
        </w:tabs>
        <w:ind w:left="3231" w:hanging="360"/>
      </w:pPr>
      <w:rPr>
        <w:rFonts w:ascii="Symbol" w:hAnsi="Symbol" w:cs="Symbol" w:hint="default"/>
      </w:rPr>
    </w:lvl>
    <w:lvl w:ilvl="4" w:tplc="08070003">
      <w:start w:val="1"/>
      <w:numFmt w:val="bullet"/>
      <w:lvlText w:val="o"/>
      <w:lvlJc w:val="left"/>
      <w:pPr>
        <w:tabs>
          <w:tab w:val="num" w:pos="3951"/>
        </w:tabs>
        <w:ind w:left="3951" w:hanging="360"/>
      </w:pPr>
      <w:rPr>
        <w:rFonts w:ascii="Courier New" w:hAnsi="Courier New" w:cs="Courier New" w:hint="default"/>
      </w:rPr>
    </w:lvl>
    <w:lvl w:ilvl="5" w:tplc="08070005">
      <w:start w:val="1"/>
      <w:numFmt w:val="bullet"/>
      <w:lvlText w:val=""/>
      <w:lvlJc w:val="left"/>
      <w:pPr>
        <w:tabs>
          <w:tab w:val="num" w:pos="4671"/>
        </w:tabs>
        <w:ind w:left="4671" w:hanging="360"/>
      </w:pPr>
      <w:rPr>
        <w:rFonts w:ascii="Wingdings" w:hAnsi="Wingdings" w:cs="Wingdings" w:hint="default"/>
      </w:rPr>
    </w:lvl>
    <w:lvl w:ilvl="6" w:tplc="08070001">
      <w:start w:val="1"/>
      <w:numFmt w:val="bullet"/>
      <w:lvlText w:val=""/>
      <w:lvlJc w:val="left"/>
      <w:pPr>
        <w:tabs>
          <w:tab w:val="num" w:pos="5391"/>
        </w:tabs>
        <w:ind w:left="5391" w:hanging="360"/>
      </w:pPr>
      <w:rPr>
        <w:rFonts w:ascii="Symbol" w:hAnsi="Symbol" w:cs="Symbol" w:hint="default"/>
      </w:rPr>
    </w:lvl>
    <w:lvl w:ilvl="7" w:tplc="08070003">
      <w:start w:val="1"/>
      <w:numFmt w:val="bullet"/>
      <w:lvlText w:val="o"/>
      <w:lvlJc w:val="left"/>
      <w:pPr>
        <w:tabs>
          <w:tab w:val="num" w:pos="6111"/>
        </w:tabs>
        <w:ind w:left="6111" w:hanging="360"/>
      </w:pPr>
      <w:rPr>
        <w:rFonts w:ascii="Courier New" w:hAnsi="Courier New" w:cs="Courier New" w:hint="default"/>
      </w:rPr>
    </w:lvl>
    <w:lvl w:ilvl="8" w:tplc="08070005">
      <w:start w:val="1"/>
      <w:numFmt w:val="bullet"/>
      <w:lvlText w:val=""/>
      <w:lvlJc w:val="left"/>
      <w:pPr>
        <w:tabs>
          <w:tab w:val="num" w:pos="6831"/>
        </w:tabs>
        <w:ind w:left="6831" w:hanging="360"/>
      </w:pPr>
      <w:rPr>
        <w:rFonts w:ascii="Wingdings" w:hAnsi="Wingdings" w:cs="Wingdings" w:hint="default"/>
      </w:rPr>
    </w:lvl>
  </w:abstractNum>
  <w:abstractNum w:abstractNumId="22">
    <w:nsid w:val="50F8762D"/>
    <w:multiLevelType w:val="hybridMultilevel"/>
    <w:tmpl w:val="3AC63876"/>
    <w:lvl w:ilvl="0" w:tplc="8926D7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A1C4E"/>
    <w:multiLevelType w:val="hybridMultilevel"/>
    <w:tmpl w:val="1ACA2AC0"/>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4">
    <w:nsid w:val="5B842132"/>
    <w:multiLevelType w:val="hybridMultilevel"/>
    <w:tmpl w:val="0004E956"/>
    <w:lvl w:ilvl="0" w:tplc="82EE4D06">
      <w:start w:val="2"/>
      <w:numFmt w:val="bullet"/>
      <w:lvlText w:val=""/>
      <w:lvlJc w:val="left"/>
      <w:pPr>
        <w:ind w:left="720" w:hanging="360"/>
      </w:pPr>
      <w:rPr>
        <w:rFonts w:ascii="Wingdings" w:eastAsia="Times New Roman"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DE84845"/>
    <w:multiLevelType w:val="hybridMultilevel"/>
    <w:tmpl w:val="8E8877D4"/>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6">
    <w:nsid w:val="60F1581D"/>
    <w:multiLevelType w:val="hybridMultilevel"/>
    <w:tmpl w:val="1854BCEC"/>
    <w:lvl w:ilvl="0" w:tplc="08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715DE3"/>
    <w:multiLevelType w:val="hybridMultilevel"/>
    <w:tmpl w:val="DC5A1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5401EB4"/>
    <w:multiLevelType w:val="hybridMultilevel"/>
    <w:tmpl w:val="51ACB1AC"/>
    <w:lvl w:ilvl="0" w:tplc="F4D06F08">
      <w:start w:val="1"/>
      <w:numFmt w:val="bullet"/>
      <w:lvlText w:val=""/>
      <w:lvlJc w:val="left"/>
      <w:pPr>
        <w:tabs>
          <w:tab w:val="num" w:pos="284"/>
        </w:tabs>
        <w:ind w:left="284" w:hanging="284"/>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nsid w:val="67700700"/>
    <w:multiLevelType w:val="hybridMultilevel"/>
    <w:tmpl w:val="5BEE518E"/>
    <w:lvl w:ilvl="0" w:tplc="08070001">
      <w:start w:val="1"/>
      <w:numFmt w:val="bullet"/>
      <w:lvlText w:val=""/>
      <w:lvlJc w:val="left"/>
      <w:pPr>
        <w:tabs>
          <w:tab w:val="num" w:pos="786"/>
        </w:tabs>
        <w:ind w:left="786" w:hanging="360"/>
      </w:pPr>
      <w:rPr>
        <w:rFonts w:ascii="Symbol" w:hAnsi="Symbol" w:cs="Symbol" w:hint="default"/>
        <w:color w:val="auto"/>
      </w:rPr>
    </w:lvl>
    <w:lvl w:ilvl="1" w:tplc="04090001">
      <w:start w:val="1"/>
      <w:numFmt w:val="bullet"/>
      <w:lvlText w:val=""/>
      <w:lvlJc w:val="left"/>
      <w:pPr>
        <w:tabs>
          <w:tab w:val="num" w:pos="502"/>
        </w:tabs>
        <w:ind w:left="502" w:hanging="360"/>
      </w:pPr>
      <w:rPr>
        <w:rFonts w:ascii="Symbol" w:hAnsi="Symbol" w:hint="default"/>
        <w:color w:val="auto"/>
      </w:rPr>
    </w:lvl>
    <w:lvl w:ilvl="2" w:tplc="08070001">
      <w:start w:val="1"/>
      <w:numFmt w:val="bullet"/>
      <w:lvlText w:val=""/>
      <w:lvlJc w:val="left"/>
      <w:pPr>
        <w:tabs>
          <w:tab w:val="num" w:pos="2586"/>
        </w:tabs>
        <w:ind w:left="2586" w:hanging="360"/>
      </w:pPr>
      <w:rPr>
        <w:rFonts w:ascii="Symbol" w:hAnsi="Symbol" w:cs="Symbol" w:hint="default"/>
        <w:color w:val="auto"/>
      </w:rPr>
    </w:lvl>
    <w:lvl w:ilvl="3" w:tplc="04070001">
      <w:start w:val="1"/>
      <w:numFmt w:val="bullet"/>
      <w:lvlText w:val=""/>
      <w:lvlJc w:val="left"/>
      <w:pPr>
        <w:tabs>
          <w:tab w:val="num" w:pos="3306"/>
        </w:tabs>
        <w:ind w:left="3306" w:hanging="360"/>
      </w:pPr>
      <w:rPr>
        <w:rFonts w:ascii="Symbol" w:hAnsi="Symbol" w:cs="Symbol" w:hint="default"/>
      </w:rPr>
    </w:lvl>
    <w:lvl w:ilvl="4" w:tplc="04070003">
      <w:start w:val="1"/>
      <w:numFmt w:val="bullet"/>
      <w:lvlText w:val="o"/>
      <w:lvlJc w:val="left"/>
      <w:pPr>
        <w:tabs>
          <w:tab w:val="num" w:pos="4026"/>
        </w:tabs>
        <w:ind w:left="4026" w:hanging="360"/>
      </w:pPr>
      <w:rPr>
        <w:rFonts w:ascii="Courier New" w:hAnsi="Courier New" w:cs="Courier New" w:hint="default"/>
      </w:rPr>
    </w:lvl>
    <w:lvl w:ilvl="5" w:tplc="04070005">
      <w:start w:val="1"/>
      <w:numFmt w:val="bullet"/>
      <w:lvlText w:val=""/>
      <w:lvlJc w:val="left"/>
      <w:pPr>
        <w:tabs>
          <w:tab w:val="num" w:pos="4746"/>
        </w:tabs>
        <w:ind w:left="4746" w:hanging="360"/>
      </w:pPr>
      <w:rPr>
        <w:rFonts w:ascii="Wingdings" w:hAnsi="Wingdings" w:cs="Wingdings" w:hint="default"/>
      </w:rPr>
    </w:lvl>
    <w:lvl w:ilvl="6" w:tplc="04070001">
      <w:start w:val="1"/>
      <w:numFmt w:val="bullet"/>
      <w:lvlText w:val=""/>
      <w:lvlJc w:val="left"/>
      <w:pPr>
        <w:tabs>
          <w:tab w:val="num" w:pos="5466"/>
        </w:tabs>
        <w:ind w:left="5466" w:hanging="360"/>
      </w:pPr>
      <w:rPr>
        <w:rFonts w:ascii="Symbol" w:hAnsi="Symbol" w:cs="Symbol" w:hint="default"/>
      </w:rPr>
    </w:lvl>
    <w:lvl w:ilvl="7" w:tplc="04070003">
      <w:start w:val="1"/>
      <w:numFmt w:val="bullet"/>
      <w:lvlText w:val="o"/>
      <w:lvlJc w:val="left"/>
      <w:pPr>
        <w:tabs>
          <w:tab w:val="num" w:pos="6186"/>
        </w:tabs>
        <w:ind w:left="6186" w:hanging="360"/>
      </w:pPr>
      <w:rPr>
        <w:rFonts w:ascii="Courier New" w:hAnsi="Courier New" w:cs="Courier New" w:hint="default"/>
      </w:rPr>
    </w:lvl>
    <w:lvl w:ilvl="8" w:tplc="04070005">
      <w:start w:val="1"/>
      <w:numFmt w:val="bullet"/>
      <w:lvlText w:val=""/>
      <w:lvlJc w:val="left"/>
      <w:pPr>
        <w:tabs>
          <w:tab w:val="num" w:pos="6906"/>
        </w:tabs>
        <w:ind w:left="6906" w:hanging="360"/>
      </w:pPr>
      <w:rPr>
        <w:rFonts w:ascii="Wingdings" w:hAnsi="Wingdings" w:cs="Wingdings" w:hint="default"/>
      </w:rPr>
    </w:lvl>
  </w:abstractNum>
  <w:abstractNum w:abstractNumId="30">
    <w:nsid w:val="679C2445"/>
    <w:multiLevelType w:val="hybridMultilevel"/>
    <w:tmpl w:val="4BC652FE"/>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31">
    <w:nsid w:val="6B60155F"/>
    <w:multiLevelType w:val="hybridMultilevel"/>
    <w:tmpl w:val="4656BC36"/>
    <w:lvl w:ilvl="0" w:tplc="04080001">
      <w:start w:val="1"/>
      <w:numFmt w:val="bullet"/>
      <w:lvlText w:val=""/>
      <w:lvlJc w:val="left"/>
      <w:pPr>
        <w:tabs>
          <w:tab w:val="num" w:pos="1065"/>
        </w:tabs>
        <w:ind w:left="1065" w:hanging="360"/>
      </w:pPr>
      <w:rPr>
        <w:rFonts w:ascii="Symbol" w:hAnsi="Symbol" w:cs="Symbol" w:hint="default"/>
      </w:rPr>
    </w:lvl>
    <w:lvl w:ilvl="1" w:tplc="04080003">
      <w:start w:val="1"/>
      <w:numFmt w:val="bullet"/>
      <w:lvlText w:val="o"/>
      <w:lvlJc w:val="left"/>
      <w:pPr>
        <w:tabs>
          <w:tab w:val="num" w:pos="1785"/>
        </w:tabs>
        <w:ind w:left="1785" w:hanging="360"/>
      </w:pPr>
      <w:rPr>
        <w:rFonts w:ascii="Courier New" w:hAnsi="Courier New" w:cs="Courier New" w:hint="default"/>
      </w:rPr>
    </w:lvl>
    <w:lvl w:ilvl="2" w:tplc="04080005">
      <w:start w:val="1"/>
      <w:numFmt w:val="bullet"/>
      <w:lvlText w:val=""/>
      <w:lvlJc w:val="left"/>
      <w:pPr>
        <w:tabs>
          <w:tab w:val="num" w:pos="2505"/>
        </w:tabs>
        <w:ind w:left="2505" w:hanging="360"/>
      </w:pPr>
      <w:rPr>
        <w:rFonts w:ascii="Wingdings" w:hAnsi="Wingdings" w:cs="Wingdings" w:hint="default"/>
      </w:rPr>
    </w:lvl>
    <w:lvl w:ilvl="3" w:tplc="04080001">
      <w:start w:val="1"/>
      <w:numFmt w:val="bullet"/>
      <w:lvlText w:val=""/>
      <w:lvlJc w:val="left"/>
      <w:pPr>
        <w:tabs>
          <w:tab w:val="num" w:pos="3225"/>
        </w:tabs>
        <w:ind w:left="3225" w:hanging="360"/>
      </w:pPr>
      <w:rPr>
        <w:rFonts w:ascii="Symbol" w:hAnsi="Symbol" w:cs="Symbol" w:hint="default"/>
      </w:rPr>
    </w:lvl>
    <w:lvl w:ilvl="4" w:tplc="04080003">
      <w:start w:val="1"/>
      <w:numFmt w:val="bullet"/>
      <w:lvlText w:val="o"/>
      <w:lvlJc w:val="left"/>
      <w:pPr>
        <w:tabs>
          <w:tab w:val="num" w:pos="3945"/>
        </w:tabs>
        <w:ind w:left="3945" w:hanging="360"/>
      </w:pPr>
      <w:rPr>
        <w:rFonts w:ascii="Courier New" w:hAnsi="Courier New" w:cs="Courier New" w:hint="default"/>
      </w:rPr>
    </w:lvl>
    <w:lvl w:ilvl="5" w:tplc="04080005">
      <w:start w:val="1"/>
      <w:numFmt w:val="bullet"/>
      <w:lvlText w:val=""/>
      <w:lvlJc w:val="left"/>
      <w:pPr>
        <w:tabs>
          <w:tab w:val="num" w:pos="4665"/>
        </w:tabs>
        <w:ind w:left="4665" w:hanging="360"/>
      </w:pPr>
      <w:rPr>
        <w:rFonts w:ascii="Wingdings" w:hAnsi="Wingdings" w:cs="Wingdings" w:hint="default"/>
      </w:rPr>
    </w:lvl>
    <w:lvl w:ilvl="6" w:tplc="04080001">
      <w:start w:val="1"/>
      <w:numFmt w:val="bullet"/>
      <w:lvlText w:val=""/>
      <w:lvlJc w:val="left"/>
      <w:pPr>
        <w:tabs>
          <w:tab w:val="num" w:pos="5385"/>
        </w:tabs>
        <w:ind w:left="5385" w:hanging="360"/>
      </w:pPr>
      <w:rPr>
        <w:rFonts w:ascii="Symbol" w:hAnsi="Symbol" w:cs="Symbol" w:hint="default"/>
      </w:rPr>
    </w:lvl>
    <w:lvl w:ilvl="7" w:tplc="04080003">
      <w:start w:val="1"/>
      <w:numFmt w:val="bullet"/>
      <w:lvlText w:val="o"/>
      <w:lvlJc w:val="left"/>
      <w:pPr>
        <w:tabs>
          <w:tab w:val="num" w:pos="6105"/>
        </w:tabs>
        <w:ind w:left="6105" w:hanging="360"/>
      </w:pPr>
      <w:rPr>
        <w:rFonts w:ascii="Courier New" w:hAnsi="Courier New" w:cs="Courier New" w:hint="default"/>
      </w:rPr>
    </w:lvl>
    <w:lvl w:ilvl="8" w:tplc="04080005">
      <w:start w:val="1"/>
      <w:numFmt w:val="bullet"/>
      <w:lvlText w:val=""/>
      <w:lvlJc w:val="left"/>
      <w:pPr>
        <w:tabs>
          <w:tab w:val="num" w:pos="6825"/>
        </w:tabs>
        <w:ind w:left="6825" w:hanging="360"/>
      </w:pPr>
      <w:rPr>
        <w:rFonts w:ascii="Wingdings" w:hAnsi="Wingdings" w:cs="Wingdings" w:hint="default"/>
      </w:rPr>
    </w:lvl>
  </w:abstractNum>
  <w:abstractNum w:abstractNumId="32">
    <w:nsid w:val="74F945CF"/>
    <w:multiLevelType w:val="hybridMultilevel"/>
    <w:tmpl w:val="9E7A53E4"/>
    <w:lvl w:ilvl="0" w:tplc="9BAA33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473A7"/>
    <w:multiLevelType w:val="hybridMultilevel"/>
    <w:tmpl w:val="4FB4184A"/>
    <w:lvl w:ilvl="0" w:tplc="08070001">
      <w:start w:val="1"/>
      <w:numFmt w:val="bullet"/>
      <w:lvlText w:val=""/>
      <w:lvlJc w:val="left"/>
      <w:pPr>
        <w:tabs>
          <w:tab w:val="num" w:pos="786"/>
        </w:tabs>
        <w:ind w:left="786" w:hanging="360"/>
      </w:pPr>
      <w:rPr>
        <w:rFonts w:ascii="Symbol" w:hAnsi="Symbol"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34">
    <w:nsid w:val="78B0513F"/>
    <w:multiLevelType w:val="hybridMultilevel"/>
    <w:tmpl w:val="6E80BE04"/>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44B2C2AA">
      <w:numFmt w:val="bullet"/>
      <w:lvlText w:val=""/>
      <w:lvlJc w:val="left"/>
      <w:pPr>
        <w:ind w:left="2444" w:hanging="360"/>
      </w:pPr>
      <w:rPr>
        <w:rFonts w:ascii="Wingdings 2" w:eastAsia="Times New Roman" w:hAnsi="Wingdings 2" w:hint="default"/>
        <w:b/>
        <w:bCs/>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num w:numId="1">
    <w:abstractNumId w:val="13"/>
  </w:num>
  <w:num w:numId="2">
    <w:abstractNumId w:val="30"/>
  </w:num>
  <w:num w:numId="3">
    <w:abstractNumId w:val="29"/>
  </w:num>
  <w:num w:numId="4">
    <w:abstractNumId w:val="15"/>
  </w:num>
  <w:num w:numId="5">
    <w:abstractNumId w:val="12"/>
  </w:num>
  <w:num w:numId="6">
    <w:abstractNumId w:val="21"/>
  </w:num>
  <w:num w:numId="7">
    <w:abstractNumId w:val="23"/>
  </w:num>
  <w:num w:numId="8">
    <w:abstractNumId w:val="25"/>
  </w:num>
  <w:num w:numId="9">
    <w:abstractNumId w:val="7"/>
  </w:num>
  <w:num w:numId="10">
    <w:abstractNumId w:val="28"/>
  </w:num>
  <w:num w:numId="11">
    <w:abstractNumId w:val="0"/>
  </w:num>
  <w:num w:numId="12">
    <w:abstractNumId w:val="18"/>
  </w:num>
  <w:num w:numId="13">
    <w:abstractNumId w:val="31"/>
  </w:num>
  <w:num w:numId="14">
    <w:abstractNumId w:val="8"/>
  </w:num>
  <w:num w:numId="15">
    <w:abstractNumId w:val="6"/>
  </w:num>
  <w:num w:numId="16">
    <w:abstractNumId w:val="27"/>
  </w:num>
  <w:num w:numId="17">
    <w:abstractNumId w:val="16"/>
  </w:num>
  <w:num w:numId="18">
    <w:abstractNumId w:val="10"/>
  </w:num>
  <w:num w:numId="19">
    <w:abstractNumId w:val="34"/>
  </w:num>
  <w:num w:numId="20">
    <w:abstractNumId w:val="4"/>
  </w:num>
  <w:num w:numId="21">
    <w:abstractNumId w:val="5"/>
  </w:num>
  <w:num w:numId="22">
    <w:abstractNumId w:val="24"/>
  </w:num>
  <w:num w:numId="23">
    <w:abstractNumId w:val="2"/>
  </w:num>
  <w:num w:numId="24">
    <w:abstractNumId w:val="17"/>
  </w:num>
  <w:num w:numId="25">
    <w:abstractNumId w:val="14"/>
  </w:num>
  <w:num w:numId="26">
    <w:abstractNumId w:val="1"/>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2"/>
  </w:num>
  <w:num w:numId="42">
    <w:abstractNumId w:val="33"/>
  </w:num>
  <w:num w:numId="43">
    <w:abstractNumId w:val="20"/>
  </w:num>
  <w:num w:numId="44">
    <w:abstractNumId w:val="26"/>
  </w:num>
  <w:num w:numId="45">
    <w:abstractNumId w:val="9"/>
  </w:num>
  <w:num w:numId="46">
    <w:abstractNumId w:val="3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trackRevision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60"/>
    <w:rsid w:val="00007A8D"/>
    <w:rsid w:val="00011A71"/>
    <w:rsid w:val="00016FF5"/>
    <w:rsid w:val="00031C64"/>
    <w:rsid w:val="00032E8F"/>
    <w:rsid w:val="000363A2"/>
    <w:rsid w:val="000408B5"/>
    <w:rsid w:val="00045097"/>
    <w:rsid w:val="00045FB6"/>
    <w:rsid w:val="0004796B"/>
    <w:rsid w:val="00047B0A"/>
    <w:rsid w:val="0005302F"/>
    <w:rsid w:val="00072997"/>
    <w:rsid w:val="0007444B"/>
    <w:rsid w:val="00074A72"/>
    <w:rsid w:val="000752CB"/>
    <w:rsid w:val="00093B10"/>
    <w:rsid w:val="00096B6B"/>
    <w:rsid w:val="000A3493"/>
    <w:rsid w:val="000A37FD"/>
    <w:rsid w:val="000B22FC"/>
    <w:rsid w:val="000C30D8"/>
    <w:rsid w:val="000D0E22"/>
    <w:rsid w:val="000E091D"/>
    <w:rsid w:val="000E5324"/>
    <w:rsid w:val="000F348A"/>
    <w:rsid w:val="000F4348"/>
    <w:rsid w:val="0010080B"/>
    <w:rsid w:val="00107F90"/>
    <w:rsid w:val="00116B25"/>
    <w:rsid w:val="001234D5"/>
    <w:rsid w:val="0013242E"/>
    <w:rsid w:val="001343B7"/>
    <w:rsid w:val="00135A4F"/>
    <w:rsid w:val="00150310"/>
    <w:rsid w:val="00150927"/>
    <w:rsid w:val="001620B2"/>
    <w:rsid w:val="001623C1"/>
    <w:rsid w:val="00164424"/>
    <w:rsid w:val="00176C81"/>
    <w:rsid w:val="001805C4"/>
    <w:rsid w:val="001838C7"/>
    <w:rsid w:val="00192541"/>
    <w:rsid w:val="001A05D1"/>
    <w:rsid w:val="001A3388"/>
    <w:rsid w:val="001B5FE8"/>
    <w:rsid w:val="001B708A"/>
    <w:rsid w:val="001C1FD3"/>
    <w:rsid w:val="001D0364"/>
    <w:rsid w:val="001E4DFD"/>
    <w:rsid w:val="001F6AC3"/>
    <w:rsid w:val="00204169"/>
    <w:rsid w:val="00205E03"/>
    <w:rsid w:val="0021090B"/>
    <w:rsid w:val="00214394"/>
    <w:rsid w:val="002144C6"/>
    <w:rsid w:val="00217414"/>
    <w:rsid w:val="00222995"/>
    <w:rsid w:val="00226696"/>
    <w:rsid w:val="00235583"/>
    <w:rsid w:val="00236ED2"/>
    <w:rsid w:val="0023786A"/>
    <w:rsid w:val="002423F9"/>
    <w:rsid w:val="00244A6D"/>
    <w:rsid w:val="0024620C"/>
    <w:rsid w:val="002474B9"/>
    <w:rsid w:val="00263AE4"/>
    <w:rsid w:val="00270FEC"/>
    <w:rsid w:val="002805CF"/>
    <w:rsid w:val="00287D82"/>
    <w:rsid w:val="00292920"/>
    <w:rsid w:val="00294DCC"/>
    <w:rsid w:val="00294F10"/>
    <w:rsid w:val="002A5E82"/>
    <w:rsid w:val="002A66EE"/>
    <w:rsid w:val="002B0D48"/>
    <w:rsid w:val="002C4347"/>
    <w:rsid w:val="002C468E"/>
    <w:rsid w:val="002D0DED"/>
    <w:rsid w:val="002D3A2C"/>
    <w:rsid w:val="002E295C"/>
    <w:rsid w:val="002E5164"/>
    <w:rsid w:val="002F181E"/>
    <w:rsid w:val="002F5BB4"/>
    <w:rsid w:val="002F6015"/>
    <w:rsid w:val="00314C93"/>
    <w:rsid w:val="003154A4"/>
    <w:rsid w:val="00325F0A"/>
    <w:rsid w:val="0033118C"/>
    <w:rsid w:val="0036321E"/>
    <w:rsid w:val="003664A7"/>
    <w:rsid w:val="003720B4"/>
    <w:rsid w:val="003740DB"/>
    <w:rsid w:val="00374499"/>
    <w:rsid w:val="003759DA"/>
    <w:rsid w:val="00383848"/>
    <w:rsid w:val="003A2CAF"/>
    <w:rsid w:val="003B17B2"/>
    <w:rsid w:val="003B68F9"/>
    <w:rsid w:val="003D6383"/>
    <w:rsid w:val="003D7053"/>
    <w:rsid w:val="003E0A96"/>
    <w:rsid w:val="0041051A"/>
    <w:rsid w:val="00427537"/>
    <w:rsid w:val="00432EDB"/>
    <w:rsid w:val="0044034E"/>
    <w:rsid w:val="004404DB"/>
    <w:rsid w:val="00440B99"/>
    <w:rsid w:val="004434A6"/>
    <w:rsid w:val="00443FCB"/>
    <w:rsid w:val="00444665"/>
    <w:rsid w:val="00446899"/>
    <w:rsid w:val="00451CA1"/>
    <w:rsid w:val="00460D8C"/>
    <w:rsid w:val="004615F4"/>
    <w:rsid w:val="0047109D"/>
    <w:rsid w:val="00492DF9"/>
    <w:rsid w:val="004A1D2A"/>
    <w:rsid w:val="004A2410"/>
    <w:rsid w:val="004B1223"/>
    <w:rsid w:val="004C29A4"/>
    <w:rsid w:val="004D0108"/>
    <w:rsid w:val="004E1DE3"/>
    <w:rsid w:val="004E212C"/>
    <w:rsid w:val="004E34D4"/>
    <w:rsid w:val="004E4651"/>
    <w:rsid w:val="004F22C7"/>
    <w:rsid w:val="00500059"/>
    <w:rsid w:val="00502A3B"/>
    <w:rsid w:val="00507D28"/>
    <w:rsid w:val="00526E53"/>
    <w:rsid w:val="0053092E"/>
    <w:rsid w:val="005339D1"/>
    <w:rsid w:val="00547E30"/>
    <w:rsid w:val="005537FA"/>
    <w:rsid w:val="00556BB5"/>
    <w:rsid w:val="00563D77"/>
    <w:rsid w:val="0056481B"/>
    <w:rsid w:val="00567095"/>
    <w:rsid w:val="00580FA9"/>
    <w:rsid w:val="00581050"/>
    <w:rsid w:val="00587C60"/>
    <w:rsid w:val="00591DA9"/>
    <w:rsid w:val="0059748F"/>
    <w:rsid w:val="005A73AF"/>
    <w:rsid w:val="005B167C"/>
    <w:rsid w:val="005B18D7"/>
    <w:rsid w:val="005B72D5"/>
    <w:rsid w:val="005B7E1C"/>
    <w:rsid w:val="005D0722"/>
    <w:rsid w:val="005D5433"/>
    <w:rsid w:val="005E214E"/>
    <w:rsid w:val="005E465D"/>
    <w:rsid w:val="005F2CC9"/>
    <w:rsid w:val="005F4A57"/>
    <w:rsid w:val="005F7B81"/>
    <w:rsid w:val="00606FD1"/>
    <w:rsid w:val="006079B1"/>
    <w:rsid w:val="00614F1A"/>
    <w:rsid w:val="0062363C"/>
    <w:rsid w:val="00623D69"/>
    <w:rsid w:val="006249B5"/>
    <w:rsid w:val="00630494"/>
    <w:rsid w:val="00630B1B"/>
    <w:rsid w:val="0063165E"/>
    <w:rsid w:val="00632773"/>
    <w:rsid w:val="006335A2"/>
    <w:rsid w:val="00636A62"/>
    <w:rsid w:val="0063724C"/>
    <w:rsid w:val="00645B03"/>
    <w:rsid w:val="00645EFE"/>
    <w:rsid w:val="006614C5"/>
    <w:rsid w:val="006643AB"/>
    <w:rsid w:val="00664B26"/>
    <w:rsid w:val="00675657"/>
    <w:rsid w:val="00676EAB"/>
    <w:rsid w:val="00680961"/>
    <w:rsid w:val="00684B5B"/>
    <w:rsid w:val="00685470"/>
    <w:rsid w:val="006A0A20"/>
    <w:rsid w:val="006A2233"/>
    <w:rsid w:val="006A2544"/>
    <w:rsid w:val="006A2C4E"/>
    <w:rsid w:val="006B0C83"/>
    <w:rsid w:val="006C06FD"/>
    <w:rsid w:val="006C24CC"/>
    <w:rsid w:val="006C4A20"/>
    <w:rsid w:val="006C52F8"/>
    <w:rsid w:val="006C5528"/>
    <w:rsid w:val="006C6742"/>
    <w:rsid w:val="006C6E81"/>
    <w:rsid w:val="006D1D5C"/>
    <w:rsid w:val="006D51B8"/>
    <w:rsid w:val="006D7BCC"/>
    <w:rsid w:val="006E211F"/>
    <w:rsid w:val="00712FF4"/>
    <w:rsid w:val="00713F11"/>
    <w:rsid w:val="0073333A"/>
    <w:rsid w:val="007359A0"/>
    <w:rsid w:val="0074169C"/>
    <w:rsid w:val="00743F6D"/>
    <w:rsid w:val="00752F3F"/>
    <w:rsid w:val="007559ED"/>
    <w:rsid w:val="007756A4"/>
    <w:rsid w:val="00792833"/>
    <w:rsid w:val="00794AD6"/>
    <w:rsid w:val="007A26DE"/>
    <w:rsid w:val="007B0BC2"/>
    <w:rsid w:val="007B20EA"/>
    <w:rsid w:val="007B25F3"/>
    <w:rsid w:val="007D14AC"/>
    <w:rsid w:val="007D752D"/>
    <w:rsid w:val="007E41A8"/>
    <w:rsid w:val="007E7D72"/>
    <w:rsid w:val="007F34EE"/>
    <w:rsid w:val="008037C1"/>
    <w:rsid w:val="00810206"/>
    <w:rsid w:val="0081295A"/>
    <w:rsid w:val="00813252"/>
    <w:rsid w:val="00821299"/>
    <w:rsid w:val="00822A84"/>
    <w:rsid w:val="00826E8C"/>
    <w:rsid w:val="00832D84"/>
    <w:rsid w:val="00833EC0"/>
    <w:rsid w:val="00835C72"/>
    <w:rsid w:val="00836AB2"/>
    <w:rsid w:val="008371F0"/>
    <w:rsid w:val="0083744F"/>
    <w:rsid w:val="0084007D"/>
    <w:rsid w:val="00843065"/>
    <w:rsid w:val="0084378F"/>
    <w:rsid w:val="00845367"/>
    <w:rsid w:val="00847CB3"/>
    <w:rsid w:val="00851BEB"/>
    <w:rsid w:val="008613C7"/>
    <w:rsid w:val="008662F8"/>
    <w:rsid w:val="0088575E"/>
    <w:rsid w:val="00893B9C"/>
    <w:rsid w:val="00893F34"/>
    <w:rsid w:val="00894123"/>
    <w:rsid w:val="00895B27"/>
    <w:rsid w:val="008A3D62"/>
    <w:rsid w:val="008B7C7C"/>
    <w:rsid w:val="008C711B"/>
    <w:rsid w:val="008D184F"/>
    <w:rsid w:val="009007C3"/>
    <w:rsid w:val="009047E2"/>
    <w:rsid w:val="00913A4F"/>
    <w:rsid w:val="0091592D"/>
    <w:rsid w:val="0092128B"/>
    <w:rsid w:val="0092299A"/>
    <w:rsid w:val="009231C2"/>
    <w:rsid w:val="00923216"/>
    <w:rsid w:val="00930828"/>
    <w:rsid w:val="00933B44"/>
    <w:rsid w:val="00934922"/>
    <w:rsid w:val="00941324"/>
    <w:rsid w:val="00942140"/>
    <w:rsid w:val="0094427D"/>
    <w:rsid w:val="00947DC2"/>
    <w:rsid w:val="00947E9D"/>
    <w:rsid w:val="00956593"/>
    <w:rsid w:val="009630DC"/>
    <w:rsid w:val="00965E85"/>
    <w:rsid w:val="00973F45"/>
    <w:rsid w:val="0097444A"/>
    <w:rsid w:val="009755E3"/>
    <w:rsid w:val="00983089"/>
    <w:rsid w:val="009862E4"/>
    <w:rsid w:val="00986CE8"/>
    <w:rsid w:val="009919AC"/>
    <w:rsid w:val="009953B0"/>
    <w:rsid w:val="009963FC"/>
    <w:rsid w:val="009A23DE"/>
    <w:rsid w:val="009A3536"/>
    <w:rsid w:val="009A6C1F"/>
    <w:rsid w:val="009B4A7D"/>
    <w:rsid w:val="009C1BAA"/>
    <w:rsid w:val="009C2333"/>
    <w:rsid w:val="009C5022"/>
    <w:rsid w:val="009D3146"/>
    <w:rsid w:val="009D5664"/>
    <w:rsid w:val="009E0724"/>
    <w:rsid w:val="009E2975"/>
    <w:rsid w:val="009F15CC"/>
    <w:rsid w:val="00A1125E"/>
    <w:rsid w:val="00A12960"/>
    <w:rsid w:val="00A3076E"/>
    <w:rsid w:val="00A30DB7"/>
    <w:rsid w:val="00A322E4"/>
    <w:rsid w:val="00A3598A"/>
    <w:rsid w:val="00A410B1"/>
    <w:rsid w:val="00A50055"/>
    <w:rsid w:val="00A511CB"/>
    <w:rsid w:val="00A72803"/>
    <w:rsid w:val="00A76D97"/>
    <w:rsid w:val="00A85883"/>
    <w:rsid w:val="00A912C2"/>
    <w:rsid w:val="00AB09C7"/>
    <w:rsid w:val="00AB276F"/>
    <w:rsid w:val="00AB64E2"/>
    <w:rsid w:val="00AB764C"/>
    <w:rsid w:val="00AD5A1A"/>
    <w:rsid w:val="00AD6F4C"/>
    <w:rsid w:val="00AE324E"/>
    <w:rsid w:val="00AE511C"/>
    <w:rsid w:val="00B009A6"/>
    <w:rsid w:val="00B02D3F"/>
    <w:rsid w:val="00B10035"/>
    <w:rsid w:val="00B206C6"/>
    <w:rsid w:val="00B227AA"/>
    <w:rsid w:val="00B23BA1"/>
    <w:rsid w:val="00B303C4"/>
    <w:rsid w:val="00B34AEE"/>
    <w:rsid w:val="00B35E57"/>
    <w:rsid w:val="00B40474"/>
    <w:rsid w:val="00B452AC"/>
    <w:rsid w:val="00B4597D"/>
    <w:rsid w:val="00B46BDF"/>
    <w:rsid w:val="00B7187F"/>
    <w:rsid w:val="00B71F29"/>
    <w:rsid w:val="00B77FDF"/>
    <w:rsid w:val="00B81A85"/>
    <w:rsid w:val="00B83D5E"/>
    <w:rsid w:val="00B87B3A"/>
    <w:rsid w:val="00B9048A"/>
    <w:rsid w:val="00B91C2D"/>
    <w:rsid w:val="00B942A4"/>
    <w:rsid w:val="00B96D36"/>
    <w:rsid w:val="00BA10D8"/>
    <w:rsid w:val="00BC00BF"/>
    <w:rsid w:val="00BC2F59"/>
    <w:rsid w:val="00BC7256"/>
    <w:rsid w:val="00BC7F32"/>
    <w:rsid w:val="00BE3DF9"/>
    <w:rsid w:val="00C12BD6"/>
    <w:rsid w:val="00C12EFE"/>
    <w:rsid w:val="00C144E3"/>
    <w:rsid w:val="00C20BA9"/>
    <w:rsid w:val="00C41B71"/>
    <w:rsid w:val="00C50DBB"/>
    <w:rsid w:val="00C6708B"/>
    <w:rsid w:val="00C7381B"/>
    <w:rsid w:val="00C7390C"/>
    <w:rsid w:val="00C772A5"/>
    <w:rsid w:val="00C87889"/>
    <w:rsid w:val="00C92535"/>
    <w:rsid w:val="00C93538"/>
    <w:rsid w:val="00CA6904"/>
    <w:rsid w:val="00CB5B77"/>
    <w:rsid w:val="00CC1FFA"/>
    <w:rsid w:val="00CC3A16"/>
    <w:rsid w:val="00CC5D01"/>
    <w:rsid w:val="00CD5C39"/>
    <w:rsid w:val="00CE31C5"/>
    <w:rsid w:val="00CE49A0"/>
    <w:rsid w:val="00CF0D37"/>
    <w:rsid w:val="00CF1958"/>
    <w:rsid w:val="00CF4EA6"/>
    <w:rsid w:val="00CF5DED"/>
    <w:rsid w:val="00CF7FAD"/>
    <w:rsid w:val="00D03596"/>
    <w:rsid w:val="00D0586B"/>
    <w:rsid w:val="00D11138"/>
    <w:rsid w:val="00D12F2B"/>
    <w:rsid w:val="00D15235"/>
    <w:rsid w:val="00D22E59"/>
    <w:rsid w:val="00D27130"/>
    <w:rsid w:val="00D32033"/>
    <w:rsid w:val="00D33B61"/>
    <w:rsid w:val="00D40347"/>
    <w:rsid w:val="00D540A6"/>
    <w:rsid w:val="00D5786E"/>
    <w:rsid w:val="00D57ABE"/>
    <w:rsid w:val="00D62981"/>
    <w:rsid w:val="00D667D7"/>
    <w:rsid w:val="00D80429"/>
    <w:rsid w:val="00D81F9D"/>
    <w:rsid w:val="00D92296"/>
    <w:rsid w:val="00D93F53"/>
    <w:rsid w:val="00DB2297"/>
    <w:rsid w:val="00DC0401"/>
    <w:rsid w:val="00DC2148"/>
    <w:rsid w:val="00DC6FAC"/>
    <w:rsid w:val="00DC7391"/>
    <w:rsid w:val="00DD5AB9"/>
    <w:rsid w:val="00DE33C4"/>
    <w:rsid w:val="00DE3BED"/>
    <w:rsid w:val="00DF41C0"/>
    <w:rsid w:val="00E14126"/>
    <w:rsid w:val="00E2101B"/>
    <w:rsid w:val="00E223DC"/>
    <w:rsid w:val="00E2290D"/>
    <w:rsid w:val="00E414C9"/>
    <w:rsid w:val="00E42A5A"/>
    <w:rsid w:val="00E43EF3"/>
    <w:rsid w:val="00E51CDE"/>
    <w:rsid w:val="00E530BB"/>
    <w:rsid w:val="00E54CC8"/>
    <w:rsid w:val="00E62CC1"/>
    <w:rsid w:val="00E67C7C"/>
    <w:rsid w:val="00E8266C"/>
    <w:rsid w:val="00EA251A"/>
    <w:rsid w:val="00EA4244"/>
    <w:rsid w:val="00EB13CD"/>
    <w:rsid w:val="00EB2815"/>
    <w:rsid w:val="00EB4556"/>
    <w:rsid w:val="00EB4C0F"/>
    <w:rsid w:val="00ED511A"/>
    <w:rsid w:val="00ED7B00"/>
    <w:rsid w:val="00EE172B"/>
    <w:rsid w:val="00EE2663"/>
    <w:rsid w:val="00EE4901"/>
    <w:rsid w:val="00EF12F0"/>
    <w:rsid w:val="00EF2A82"/>
    <w:rsid w:val="00F07E6B"/>
    <w:rsid w:val="00F100C0"/>
    <w:rsid w:val="00F135B2"/>
    <w:rsid w:val="00F146C7"/>
    <w:rsid w:val="00F15872"/>
    <w:rsid w:val="00F26C8C"/>
    <w:rsid w:val="00F30C03"/>
    <w:rsid w:val="00F44233"/>
    <w:rsid w:val="00F46F06"/>
    <w:rsid w:val="00F4718E"/>
    <w:rsid w:val="00F56705"/>
    <w:rsid w:val="00F648A9"/>
    <w:rsid w:val="00F74AE6"/>
    <w:rsid w:val="00F77727"/>
    <w:rsid w:val="00F84CDD"/>
    <w:rsid w:val="00F9177F"/>
    <w:rsid w:val="00F92B81"/>
    <w:rsid w:val="00FA0FB6"/>
    <w:rsid w:val="00FA2BDE"/>
    <w:rsid w:val="00FD534D"/>
    <w:rsid w:val="00FE16BC"/>
    <w:rsid w:val="00FE1B9D"/>
    <w:rsid w:val="00FF08A9"/>
    <w:rsid w:val="00FF5DF9"/>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22"/>
    <w:rPr>
      <w:sz w:val="24"/>
      <w:szCs w:val="24"/>
      <w:lang w:val="en-GB"/>
    </w:rPr>
  </w:style>
  <w:style w:type="paragraph" w:styleId="1">
    <w:name w:val="heading 1"/>
    <w:basedOn w:val="a"/>
    <w:next w:val="a"/>
    <w:link w:val="1Char"/>
    <w:uiPriority w:val="99"/>
    <w:qFormat/>
    <w:rsid w:val="005D0722"/>
    <w:pPr>
      <w:keepNext/>
      <w:ind w:left="709"/>
      <w:jc w:val="both"/>
      <w:outlineLvl w:val="0"/>
    </w:pPr>
    <w:rPr>
      <w:b/>
      <w:bCs/>
      <w:lang w:val="en-US"/>
    </w:rPr>
  </w:style>
  <w:style w:type="paragraph" w:styleId="2">
    <w:name w:val="heading 2"/>
    <w:basedOn w:val="a"/>
    <w:next w:val="a"/>
    <w:link w:val="2Char"/>
    <w:uiPriority w:val="99"/>
    <w:qFormat/>
    <w:rsid w:val="005D0722"/>
    <w:pPr>
      <w:keepNext/>
      <w:jc w:val="both"/>
      <w:outlineLvl w:val="1"/>
    </w:pPr>
    <w:rPr>
      <w:b/>
      <w:bCs/>
      <w:sz w:val="22"/>
      <w:szCs w:val="22"/>
      <w:lang w:val="el-GR"/>
    </w:rPr>
  </w:style>
  <w:style w:type="paragraph" w:styleId="3">
    <w:name w:val="heading 3"/>
    <w:basedOn w:val="a"/>
    <w:next w:val="a"/>
    <w:link w:val="3Char"/>
    <w:uiPriority w:val="99"/>
    <w:qFormat/>
    <w:rsid w:val="005D0722"/>
    <w:pPr>
      <w:keepNext/>
      <w:ind w:firstLine="720"/>
      <w:outlineLvl w:val="2"/>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325F0A"/>
    <w:rPr>
      <w:rFonts w:ascii="Cambria" w:hAnsi="Cambria" w:cs="Cambria"/>
      <w:b/>
      <w:bCs/>
      <w:kern w:val="32"/>
      <w:sz w:val="32"/>
      <w:szCs w:val="32"/>
      <w:lang w:val="en-GB" w:eastAsia="en-US"/>
    </w:rPr>
  </w:style>
  <w:style w:type="character" w:customStyle="1" w:styleId="2Char">
    <w:name w:val="Επικεφαλίδα 2 Char"/>
    <w:basedOn w:val="a0"/>
    <w:link w:val="2"/>
    <w:uiPriority w:val="99"/>
    <w:semiHidden/>
    <w:locked/>
    <w:rsid w:val="00325F0A"/>
    <w:rPr>
      <w:rFonts w:ascii="Cambria" w:hAnsi="Cambria" w:cs="Cambria"/>
      <w:b/>
      <w:bCs/>
      <w:i/>
      <w:iCs/>
      <w:sz w:val="28"/>
      <w:szCs w:val="28"/>
      <w:lang w:val="en-GB" w:eastAsia="en-US"/>
    </w:rPr>
  </w:style>
  <w:style w:type="character" w:customStyle="1" w:styleId="3Char">
    <w:name w:val="Επικεφαλίδα 3 Char"/>
    <w:basedOn w:val="a0"/>
    <w:link w:val="3"/>
    <w:uiPriority w:val="99"/>
    <w:semiHidden/>
    <w:locked/>
    <w:rsid w:val="00325F0A"/>
    <w:rPr>
      <w:rFonts w:ascii="Cambria" w:hAnsi="Cambria" w:cs="Cambria"/>
      <w:b/>
      <w:bCs/>
      <w:sz w:val="26"/>
      <w:szCs w:val="26"/>
      <w:lang w:val="en-GB" w:eastAsia="en-US"/>
    </w:rPr>
  </w:style>
  <w:style w:type="paragraph" w:styleId="a3">
    <w:name w:val="Title"/>
    <w:basedOn w:val="a"/>
    <w:link w:val="Char"/>
    <w:uiPriority w:val="99"/>
    <w:qFormat/>
    <w:rsid w:val="005D0722"/>
    <w:pPr>
      <w:jc w:val="center"/>
    </w:pPr>
    <w:rPr>
      <w:rFonts w:ascii="Arial" w:hAnsi="Arial" w:cs="Arial"/>
      <w:b/>
      <w:bCs/>
      <w:lang w:val="el-GR"/>
    </w:rPr>
  </w:style>
  <w:style w:type="character" w:customStyle="1" w:styleId="Char">
    <w:name w:val="Τίτλος Char"/>
    <w:basedOn w:val="a0"/>
    <w:link w:val="a3"/>
    <w:uiPriority w:val="99"/>
    <w:locked/>
    <w:rsid w:val="00325F0A"/>
    <w:rPr>
      <w:rFonts w:ascii="Cambria" w:hAnsi="Cambria" w:cs="Cambria"/>
      <w:b/>
      <w:bCs/>
      <w:kern w:val="28"/>
      <w:sz w:val="32"/>
      <w:szCs w:val="32"/>
      <w:lang w:val="en-GB" w:eastAsia="en-US"/>
    </w:rPr>
  </w:style>
  <w:style w:type="paragraph" w:styleId="a4">
    <w:name w:val="Subtitle"/>
    <w:basedOn w:val="a"/>
    <w:link w:val="Char0"/>
    <w:uiPriority w:val="99"/>
    <w:qFormat/>
    <w:rsid w:val="005D0722"/>
    <w:pPr>
      <w:jc w:val="center"/>
    </w:pPr>
    <w:rPr>
      <w:b/>
      <w:bCs/>
      <w:lang w:val="el-GR"/>
    </w:rPr>
  </w:style>
  <w:style w:type="character" w:customStyle="1" w:styleId="Char0">
    <w:name w:val="Υπότιτλος Char"/>
    <w:basedOn w:val="a0"/>
    <w:link w:val="a4"/>
    <w:uiPriority w:val="99"/>
    <w:locked/>
    <w:rsid w:val="00325F0A"/>
    <w:rPr>
      <w:rFonts w:ascii="Cambria" w:hAnsi="Cambria" w:cs="Cambria"/>
      <w:sz w:val="24"/>
      <w:szCs w:val="24"/>
      <w:lang w:val="en-GB" w:eastAsia="en-US"/>
    </w:rPr>
  </w:style>
  <w:style w:type="paragraph" w:styleId="20">
    <w:name w:val="Body Text Indent 2"/>
    <w:basedOn w:val="a"/>
    <w:link w:val="2Char0"/>
    <w:uiPriority w:val="99"/>
    <w:rsid w:val="005D0722"/>
    <w:pPr>
      <w:ind w:left="720"/>
      <w:jc w:val="both"/>
    </w:pPr>
    <w:rPr>
      <w:lang w:val="el-GR"/>
    </w:rPr>
  </w:style>
  <w:style w:type="character" w:customStyle="1" w:styleId="2Char0">
    <w:name w:val="Σώμα κείμενου με εσοχή 2 Char"/>
    <w:basedOn w:val="a0"/>
    <w:link w:val="20"/>
    <w:uiPriority w:val="99"/>
    <w:semiHidden/>
    <w:locked/>
    <w:rsid w:val="00325F0A"/>
    <w:rPr>
      <w:sz w:val="24"/>
      <w:szCs w:val="24"/>
      <w:lang w:val="en-GB" w:eastAsia="en-US"/>
    </w:rPr>
  </w:style>
  <w:style w:type="paragraph" w:styleId="a5">
    <w:name w:val="header"/>
    <w:basedOn w:val="a"/>
    <w:link w:val="Char1"/>
    <w:uiPriority w:val="99"/>
    <w:rsid w:val="005D0722"/>
    <w:pPr>
      <w:widowControl w:val="0"/>
      <w:tabs>
        <w:tab w:val="left" w:pos="567"/>
        <w:tab w:val="center" w:pos="4320"/>
        <w:tab w:val="right" w:pos="8640"/>
      </w:tabs>
    </w:pPr>
    <w:rPr>
      <w:rFonts w:ascii="Helvetica" w:hAnsi="Helvetica" w:cs="Helvetica"/>
      <w:sz w:val="20"/>
      <w:szCs w:val="20"/>
    </w:rPr>
  </w:style>
  <w:style w:type="character" w:customStyle="1" w:styleId="Char1">
    <w:name w:val="Κεφαλίδα Char"/>
    <w:basedOn w:val="a0"/>
    <w:link w:val="a5"/>
    <w:uiPriority w:val="99"/>
    <w:semiHidden/>
    <w:locked/>
    <w:rsid w:val="00325F0A"/>
    <w:rPr>
      <w:sz w:val="24"/>
      <w:szCs w:val="24"/>
      <w:lang w:val="en-GB" w:eastAsia="en-US"/>
    </w:rPr>
  </w:style>
  <w:style w:type="paragraph" w:styleId="a6">
    <w:name w:val="footer"/>
    <w:basedOn w:val="a"/>
    <w:link w:val="Char2"/>
    <w:uiPriority w:val="99"/>
    <w:rsid w:val="00D540A6"/>
    <w:pPr>
      <w:tabs>
        <w:tab w:val="center" w:pos="4536"/>
        <w:tab w:val="right" w:pos="9072"/>
      </w:tabs>
    </w:pPr>
  </w:style>
  <w:style w:type="character" w:customStyle="1" w:styleId="Char2">
    <w:name w:val="Υποσέλιδο Char"/>
    <w:basedOn w:val="a0"/>
    <w:link w:val="a6"/>
    <w:uiPriority w:val="99"/>
    <w:semiHidden/>
    <w:locked/>
    <w:rsid w:val="00325F0A"/>
    <w:rPr>
      <w:sz w:val="24"/>
      <w:szCs w:val="24"/>
      <w:lang w:val="en-GB" w:eastAsia="en-US"/>
    </w:rPr>
  </w:style>
  <w:style w:type="character" w:styleId="a7">
    <w:name w:val="page number"/>
    <w:basedOn w:val="a0"/>
    <w:uiPriority w:val="99"/>
    <w:rsid w:val="00D540A6"/>
  </w:style>
  <w:style w:type="paragraph" w:styleId="a8">
    <w:name w:val="Balloon Text"/>
    <w:basedOn w:val="a"/>
    <w:link w:val="Char3"/>
    <w:uiPriority w:val="99"/>
    <w:semiHidden/>
    <w:rsid w:val="00444665"/>
    <w:rPr>
      <w:rFonts w:ascii="Tahoma" w:hAnsi="Tahoma" w:cs="Tahoma"/>
      <w:sz w:val="16"/>
      <w:szCs w:val="16"/>
    </w:rPr>
  </w:style>
  <w:style w:type="character" w:customStyle="1" w:styleId="Char3">
    <w:name w:val="Κείμενο πλαισίου Char"/>
    <w:basedOn w:val="a0"/>
    <w:link w:val="a8"/>
    <w:uiPriority w:val="99"/>
    <w:semiHidden/>
    <w:locked/>
    <w:rsid w:val="00325F0A"/>
    <w:rPr>
      <w:sz w:val="2"/>
      <w:szCs w:val="2"/>
      <w:lang w:val="en-GB" w:eastAsia="en-US"/>
    </w:rPr>
  </w:style>
  <w:style w:type="character" w:styleId="a9">
    <w:name w:val="annotation reference"/>
    <w:basedOn w:val="a0"/>
    <w:uiPriority w:val="99"/>
    <w:semiHidden/>
    <w:rsid w:val="00BC7F32"/>
    <w:rPr>
      <w:sz w:val="16"/>
      <w:szCs w:val="16"/>
    </w:rPr>
  </w:style>
  <w:style w:type="paragraph" w:styleId="aa">
    <w:name w:val="annotation text"/>
    <w:basedOn w:val="a"/>
    <w:link w:val="Char4"/>
    <w:uiPriority w:val="99"/>
    <w:semiHidden/>
    <w:rsid w:val="00BC7F32"/>
    <w:rPr>
      <w:sz w:val="20"/>
      <w:szCs w:val="20"/>
    </w:rPr>
  </w:style>
  <w:style w:type="character" w:customStyle="1" w:styleId="Char4">
    <w:name w:val="Κείμενο σχολίου Char"/>
    <w:basedOn w:val="a0"/>
    <w:link w:val="aa"/>
    <w:uiPriority w:val="99"/>
    <w:semiHidden/>
    <w:locked/>
    <w:rsid w:val="00325F0A"/>
    <w:rPr>
      <w:sz w:val="20"/>
      <w:szCs w:val="20"/>
      <w:lang w:val="en-GB" w:eastAsia="en-US"/>
    </w:rPr>
  </w:style>
  <w:style w:type="paragraph" w:styleId="ab">
    <w:name w:val="annotation subject"/>
    <w:basedOn w:val="aa"/>
    <w:next w:val="aa"/>
    <w:link w:val="Char5"/>
    <w:uiPriority w:val="99"/>
    <w:semiHidden/>
    <w:rsid w:val="00BC7F32"/>
    <w:rPr>
      <w:b/>
      <w:bCs/>
    </w:rPr>
  </w:style>
  <w:style w:type="character" w:customStyle="1" w:styleId="Char5">
    <w:name w:val="Θέμα σχολίου Char"/>
    <w:basedOn w:val="Char4"/>
    <w:link w:val="ab"/>
    <w:uiPriority w:val="99"/>
    <w:semiHidden/>
    <w:locked/>
    <w:rsid w:val="00325F0A"/>
    <w:rPr>
      <w:b/>
      <w:bCs/>
      <w:sz w:val="20"/>
      <w:szCs w:val="20"/>
      <w:lang w:val="en-GB" w:eastAsia="en-US"/>
    </w:rPr>
  </w:style>
  <w:style w:type="paragraph" w:customStyle="1" w:styleId="LAFISPCNormal">
    <w:name w:val="LA_FI_SPC_Normal"/>
    <w:basedOn w:val="a"/>
    <w:uiPriority w:val="99"/>
    <w:rsid w:val="005F2CC9"/>
    <w:pPr>
      <w:tabs>
        <w:tab w:val="left" w:pos="567"/>
      </w:tabs>
      <w:ind w:left="567"/>
    </w:pPr>
  </w:style>
  <w:style w:type="paragraph" w:customStyle="1" w:styleId="StandardRAL-GB">
    <w:name w:val="Standard_RAL-GB"/>
    <w:basedOn w:val="a"/>
    <w:rsid w:val="006643AB"/>
    <w:pPr>
      <w:topLinePunct/>
    </w:pPr>
  </w:style>
  <w:style w:type="paragraph" w:customStyle="1" w:styleId="HEADINGRALDE-1weiss">
    <w:name w:val="HEADING_RAL_DE-1+weiss"/>
    <w:aliases w:val="links:0cm,hängend 0.5cm"/>
    <w:basedOn w:val="a"/>
    <w:uiPriority w:val="99"/>
    <w:rsid w:val="006643AB"/>
    <w:pPr>
      <w:shd w:val="clear" w:color="auto" w:fill="8C8C8C"/>
      <w:wordWrap w:val="0"/>
      <w:topLinePunct/>
    </w:pPr>
    <w:rPr>
      <w:rFonts w:eastAsia="Arial Unicode MS"/>
      <w:b/>
      <w:bCs/>
      <w:caps/>
      <w:color w:val="FFFFFF"/>
      <w:lang w:eastAsia="ja-JP"/>
    </w:rPr>
  </w:style>
  <w:style w:type="paragraph" w:customStyle="1" w:styleId="HeadingRAL-CH-d-4">
    <w:name w:val="Heading_RAL-CH-d-4"/>
    <w:basedOn w:val="a"/>
    <w:next w:val="a"/>
    <w:rsid w:val="006643AB"/>
    <w:pPr>
      <w:wordWrap w:val="0"/>
      <w:topLinePunct/>
    </w:pPr>
    <w:rPr>
      <w:rFonts w:eastAsia="Arial Unicode MS"/>
      <w:u w:val="single"/>
      <w:lang w:val="de-CH" w:eastAsia="ja-JP"/>
    </w:rPr>
  </w:style>
  <w:style w:type="paragraph" w:customStyle="1" w:styleId="LAGIPINormal">
    <w:name w:val="LA_GI_PI_Normal"/>
    <w:basedOn w:val="a"/>
    <w:rsid w:val="006643AB"/>
  </w:style>
  <w:style w:type="paragraph" w:styleId="ac">
    <w:name w:val="List Paragraph"/>
    <w:basedOn w:val="a"/>
    <w:uiPriority w:val="99"/>
    <w:qFormat/>
    <w:rsid w:val="00580FA9"/>
    <w:pPr>
      <w:ind w:left="720"/>
    </w:pPr>
  </w:style>
  <w:style w:type="paragraph" w:styleId="ad">
    <w:name w:val="Revision"/>
    <w:hidden/>
    <w:uiPriority w:val="99"/>
    <w:semiHidden/>
    <w:rsid w:val="0047109D"/>
    <w:rPr>
      <w:sz w:val="24"/>
      <w:szCs w:val="24"/>
      <w:lang w:val="en-GB"/>
    </w:rPr>
  </w:style>
  <w:style w:type="paragraph" w:styleId="ae">
    <w:name w:val="Body Text"/>
    <w:basedOn w:val="a"/>
    <w:link w:val="Char6"/>
    <w:uiPriority w:val="99"/>
    <w:rsid w:val="00895B27"/>
    <w:pPr>
      <w:spacing w:after="120"/>
    </w:pPr>
  </w:style>
  <w:style w:type="character" w:customStyle="1" w:styleId="Char6">
    <w:name w:val="Σώμα κειμένου Char"/>
    <w:basedOn w:val="a0"/>
    <w:link w:val="ae"/>
    <w:uiPriority w:val="99"/>
    <w:semiHidden/>
    <w:locked/>
    <w:rsid w:val="00325F0A"/>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22"/>
    <w:rPr>
      <w:sz w:val="24"/>
      <w:szCs w:val="24"/>
      <w:lang w:val="en-GB"/>
    </w:rPr>
  </w:style>
  <w:style w:type="paragraph" w:styleId="1">
    <w:name w:val="heading 1"/>
    <w:basedOn w:val="a"/>
    <w:next w:val="a"/>
    <w:link w:val="1Char"/>
    <w:uiPriority w:val="99"/>
    <w:qFormat/>
    <w:rsid w:val="005D0722"/>
    <w:pPr>
      <w:keepNext/>
      <w:ind w:left="709"/>
      <w:jc w:val="both"/>
      <w:outlineLvl w:val="0"/>
    </w:pPr>
    <w:rPr>
      <w:b/>
      <w:bCs/>
      <w:lang w:val="en-US"/>
    </w:rPr>
  </w:style>
  <w:style w:type="paragraph" w:styleId="2">
    <w:name w:val="heading 2"/>
    <w:basedOn w:val="a"/>
    <w:next w:val="a"/>
    <w:link w:val="2Char"/>
    <w:uiPriority w:val="99"/>
    <w:qFormat/>
    <w:rsid w:val="005D0722"/>
    <w:pPr>
      <w:keepNext/>
      <w:jc w:val="both"/>
      <w:outlineLvl w:val="1"/>
    </w:pPr>
    <w:rPr>
      <w:b/>
      <w:bCs/>
      <w:sz w:val="22"/>
      <w:szCs w:val="22"/>
      <w:lang w:val="el-GR"/>
    </w:rPr>
  </w:style>
  <w:style w:type="paragraph" w:styleId="3">
    <w:name w:val="heading 3"/>
    <w:basedOn w:val="a"/>
    <w:next w:val="a"/>
    <w:link w:val="3Char"/>
    <w:uiPriority w:val="99"/>
    <w:qFormat/>
    <w:rsid w:val="005D0722"/>
    <w:pPr>
      <w:keepNext/>
      <w:ind w:firstLine="720"/>
      <w:outlineLvl w:val="2"/>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325F0A"/>
    <w:rPr>
      <w:rFonts w:ascii="Cambria" w:hAnsi="Cambria" w:cs="Cambria"/>
      <w:b/>
      <w:bCs/>
      <w:kern w:val="32"/>
      <w:sz w:val="32"/>
      <w:szCs w:val="32"/>
      <w:lang w:val="en-GB" w:eastAsia="en-US"/>
    </w:rPr>
  </w:style>
  <w:style w:type="character" w:customStyle="1" w:styleId="2Char">
    <w:name w:val="Επικεφαλίδα 2 Char"/>
    <w:basedOn w:val="a0"/>
    <w:link w:val="2"/>
    <w:uiPriority w:val="99"/>
    <w:semiHidden/>
    <w:locked/>
    <w:rsid w:val="00325F0A"/>
    <w:rPr>
      <w:rFonts w:ascii="Cambria" w:hAnsi="Cambria" w:cs="Cambria"/>
      <w:b/>
      <w:bCs/>
      <w:i/>
      <w:iCs/>
      <w:sz w:val="28"/>
      <w:szCs w:val="28"/>
      <w:lang w:val="en-GB" w:eastAsia="en-US"/>
    </w:rPr>
  </w:style>
  <w:style w:type="character" w:customStyle="1" w:styleId="3Char">
    <w:name w:val="Επικεφαλίδα 3 Char"/>
    <w:basedOn w:val="a0"/>
    <w:link w:val="3"/>
    <w:uiPriority w:val="99"/>
    <w:semiHidden/>
    <w:locked/>
    <w:rsid w:val="00325F0A"/>
    <w:rPr>
      <w:rFonts w:ascii="Cambria" w:hAnsi="Cambria" w:cs="Cambria"/>
      <w:b/>
      <w:bCs/>
      <w:sz w:val="26"/>
      <w:szCs w:val="26"/>
      <w:lang w:val="en-GB" w:eastAsia="en-US"/>
    </w:rPr>
  </w:style>
  <w:style w:type="paragraph" w:styleId="a3">
    <w:name w:val="Title"/>
    <w:basedOn w:val="a"/>
    <w:link w:val="Char"/>
    <w:uiPriority w:val="99"/>
    <w:qFormat/>
    <w:rsid w:val="005D0722"/>
    <w:pPr>
      <w:jc w:val="center"/>
    </w:pPr>
    <w:rPr>
      <w:rFonts w:ascii="Arial" w:hAnsi="Arial" w:cs="Arial"/>
      <w:b/>
      <w:bCs/>
      <w:lang w:val="el-GR"/>
    </w:rPr>
  </w:style>
  <w:style w:type="character" w:customStyle="1" w:styleId="Char">
    <w:name w:val="Τίτλος Char"/>
    <w:basedOn w:val="a0"/>
    <w:link w:val="a3"/>
    <w:uiPriority w:val="99"/>
    <w:locked/>
    <w:rsid w:val="00325F0A"/>
    <w:rPr>
      <w:rFonts w:ascii="Cambria" w:hAnsi="Cambria" w:cs="Cambria"/>
      <w:b/>
      <w:bCs/>
      <w:kern w:val="28"/>
      <w:sz w:val="32"/>
      <w:szCs w:val="32"/>
      <w:lang w:val="en-GB" w:eastAsia="en-US"/>
    </w:rPr>
  </w:style>
  <w:style w:type="paragraph" w:styleId="a4">
    <w:name w:val="Subtitle"/>
    <w:basedOn w:val="a"/>
    <w:link w:val="Char0"/>
    <w:uiPriority w:val="99"/>
    <w:qFormat/>
    <w:rsid w:val="005D0722"/>
    <w:pPr>
      <w:jc w:val="center"/>
    </w:pPr>
    <w:rPr>
      <w:b/>
      <w:bCs/>
      <w:lang w:val="el-GR"/>
    </w:rPr>
  </w:style>
  <w:style w:type="character" w:customStyle="1" w:styleId="Char0">
    <w:name w:val="Υπότιτλος Char"/>
    <w:basedOn w:val="a0"/>
    <w:link w:val="a4"/>
    <w:uiPriority w:val="99"/>
    <w:locked/>
    <w:rsid w:val="00325F0A"/>
    <w:rPr>
      <w:rFonts w:ascii="Cambria" w:hAnsi="Cambria" w:cs="Cambria"/>
      <w:sz w:val="24"/>
      <w:szCs w:val="24"/>
      <w:lang w:val="en-GB" w:eastAsia="en-US"/>
    </w:rPr>
  </w:style>
  <w:style w:type="paragraph" w:styleId="20">
    <w:name w:val="Body Text Indent 2"/>
    <w:basedOn w:val="a"/>
    <w:link w:val="2Char0"/>
    <w:uiPriority w:val="99"/>
    <w:rsid w:val="005D0722"/>
    <w:pPr>
      <w:ind w:left="720"/>
      <w:jc w:val="both"/>
    </w:pPr>
    <w:rPr>
      <w:lang w:val="el-GR"/>
    </w:rPr>
  </w:style>
  <w:style w:type="character" w:customStyle="1" w:styleId="2Char0">
    <w:name w:val="Σώμα κείμενου με εσοχή 2 Char"/>
    <w:basedOn w:val="a0"/>
    <w:link w:val="20"/>
    <w:uiPriority w:val="99"/>
    <w:semiHidden/>
    <w:locked/>
    <w:rsid w:val="00325F0A"/>
    <w:rPr>
      <w:sz w:val="24"/>
      <w:szCs w:val="24"/>
      <w:lang w:val="en-GB" w:eastAsia="en-US"/>
    </w:rPr>
  </w:style>
  <w:style w:type="paragraph" w:styleId="a5">
    <w:name w:val="header"/>
    <w:basedOn w:val="a"/>
    <w:link w:val="Char1"/>
    <w:uiPriority w:val="99"/>
    <w:rsid w:val="005D0722"/>
    <w:pPr>
      <w:widowControl w:val="0"/>
      <w:tabs>
        <w:tab w:val="left" w:pos="567"/>
        <w:tab w:val="center" w:pos="4320"/>
        <w:tab w:val="right" w:pos="8640"/>
      </w:tabs>
    </w:pPr>
    <w:rPr>
      <w:rFonts w:ascii="Helvetica" w:hAnsi="Helvetica" w:cs="Helvetica"/>
      <w:sz w:val="20"/>
      <w:szCs w:val="20"/>
    </w:rPr>
  </w:style>
  <w:style w:type="character" w:customStyle="1" w:styleId="Char1">
    <w:name w:val="Κεφαλίδα Char"/>
    <w:basedOn w:val="a0"/>
    <w:link w:val="a5"/>
    <w:uiPriority w:val="99"/>
    <w:semiHidden/>
    <w:locked/>
    <w:rsid w:val="00325F0A"/>
    <w:rPr>
      <w:sz w:val="24"/>
      <w:szCs w:val="24"/>
      <w:lang w:val="en-GB" w:eastAsia="en-US"/>
    </w:rPr>
  </w:style>
  <w:style w:type="paragraph" w:styleId="a6">
    <w:name w:val="footer"/>
    <w:basedOn w:val="a"/>
    <w:link w:val="Char2"/>
    <w:uiPriority w:val="99"/>
    <w:rsid w:val="00D540A6"/>
    <w:pPr>
      <w:tabs>
        <w:tab w:val="center" w:pos="4536"/>
        <w:tab w:val="right" w:pos="9072"/>
      </w:tabs>
    </w:pPr>
  </w:style>
  <w:style w:type="character" w:customStyle="1" w:styleId="Char2">
    <w:name w:val="Υποσέλιδο Char"/>
    <w:basedOn w:val="a0"/>
    <w:link w:val="a6"/>
    <w:uiPriority w:val="99"/>
    <w:semiHidden/>
    <w:locked/>
    <w:rsid w:val="00325F0A"/>
    <w:rPr>
      <w:sz w:val="24"/>
      <w:szCs w:val="24"/>
      <w:lang w:val="en-GB" w:eastAsia="en-US"/>
    </w:rPr>
  </w:style>
  <w:style w:type="character" w:styleId="a7">
    <w:name w:val="page number"/>
    <w:basedOn w:val="a0"/>
    <w:uiPriority w:val="99"/>
    <w:rsid w:val="00D540A6"/>
  </w:style>
  <w:style w:type="paragraph" w:styleId="a8">
    <w:name w:val="Balloon Text"/>
    <w:basedOn w:val="a"/>
    <w:link w:val="Char3"/>
    <w:uiPriority w:val="99"/>
    <w:semiHidden/>
    <w:rsid w:val="00444665"/>
    <w:rPr>
      <w:rFonts w:ascii="Tahoma" w:hAnsi="Tahoma" w:cs="Tahoma"/>
      <w:sz w:val="16"/>
      <w:szCs w:val="16"/>
    </w:rPr>
  </w:style>
  <w:style w:type="character" w:customStyle="1" w:styleId="Char3">
    <w:name w:val="Κείμενο πλαισίου Char"/>
    <w:basedOn w:val="a0"/>
    <w:link w:val="a8"/>
    <w:uiPriority w:val="99"/>
    <w:semiHidden/>
    <w:locked/>
    <w:rsid w:val="00325F0A"/>
    <w:rPr>
      <w:sz w:val="2"/>
      <w:szCs w:val="2"/>
      <w:lang w:val="en-GB" w:eastAsia="en-US"/>
    </w:rPr>
  </w:style>
  <w:style w:type="character" w:styleId="a9">
    <w:name w:val="annotation reference"/>
    <w:basedOn w:val="a0"/>
    <w:uiPriority w:val="99"/>
    <w:semiHidden/>
    <w:rsid w:val="00BC7F32"/>
    <w:rPr>
      <w:sz w:val="16"/>
      <w:szCs w:val="16"/>
    </w:rPr>
  </w:style>
  <w:style w:type="paragraph" w:styleId="aa">
    <w:name w:val="annotation text"/>
    <w:basedOn w:val="a"/>
    <w:link w:val="Char4"/>
    <w:uiPriority w:val="99"/>
    <w:semiHidden/>
    <w:rsid w:val="00BC7F32"/>
    <w:rPr>
      <w:sz w:val="20"/>
      <w:szCs w:val="20"/>
    </w:rPr>
  </w:style>
  <w:style w:type="character" w:customStyle="1" w:styleId="Char4">
    <w:name w:val="Κείμενο σχολίου Char"/>
    <w:basedOn w:val="a0"/>
    <w:link w:val="aa"/>
    <w:uiPriority w:val="99"/>
    <w:semiHidden/>
    <w:locked/>
    <w:rsid w:val="00325F0A"/>
    <w:rPr>
      <w:sz w:val="20"/>
      <w:szCs w:val="20"/>
      <w:lang w:val="en-GB" w:eastAsia="en-US"/>
    </w:rPr>
  </w:style>
  <w:style w:type="paragraph" w:styleId="ab">
    <w:name w:val="annotation subject"/>
    <w:basedOn w:val="aa"/>
    <w:next w:val="aa"/>
    <w:link w:val="Char5"/>
    <w:uiPriority w:val="99"/>
    <w:semiHidden/>
    <w:rsid w:val="00BC7F32"/>
    <w:rPr>
      <w:b/>
      <w:bCs/>
    </w:rPr>
  </w:style>
  <w:style w:type="character" w:customStyle="1" w:styleId="Char5">
    <w:name w:val="Θέμα σχολίου Char"/>
    <w:basedOn w:val="Char4"/>
    <w:link w:val="ab"/>
    <w:uiPriority w:val="99"/>
    <w:semiHidden/>
    <w:locked/>
    <w:rsid w:val="00325F0A"/>
    <w:rPr>
      <w:b/>
      <w:bCs/>
      <w:sz w:val="20"/>
      <w:szCs w:val="20"/>
      <w:lang w:val="en-GB" w:eastAsia="en-US"/>
    </w:rPr>
  </w:style>
  <w:style w:type="paragraph" w:customStyle="1" w:styleId="LAFISPCNormal">
    <w:name w:val="LA_FI_SPC_Normal"/>
    <w:basedOn w:val="a"/>
    <w:uiPriority w:val="99"/>
    <w:rsid w:val="005F2CC9"/>
    <w:pPr>
      <w:tabs>
        <w:tab w:val="left" w:pos="567"/>
      </w:tabs>
      <w:ind w:left="567"/>
    </w:pPr>
  </w:style>
  <w:style w:type="paragraph" w:customStyle="1" w:styleId="StandardRAL-GB">
    <w:name w:val="Standard_RAL-GB"/>
    <w:basedOn w:val="a"/>
    <w:rsid w:val="006643AB"/>
    <w:pPr>
      <w:topLinePunct/>
    </w:pPr>
  </w:style>
  <w:style w:type="paragraph" w:customStyle="1" w:styleId="HEADINGRALDE-1weiss">
    <w:name w:val="HEADING_RAL_DE-1+weiss"/>
    <w:aliases w:val="links:0cm,hängend 0.5cm"/>
    <w:basedOn w:val="a"/>
    <w:uiPriority w:val="99"/>
    <w:rsid w:val="006643AB"/>
    <w:pPr>
      <w:shd w:val="clear" w:color="auto" w:fill="8C8C8C"/>
      <w:wordWrap w:val="0"/>
      <w:topLinePunct/>
    </w:pPr>
    <w:rPr>
      <w:rFonts w:eastAsia="Arial Unicode MS"/>
      <w:b/>
      <w:bCs/>
      <w:caps/>
      <w:color w:val="FFFFFF"/>
      <w:lang w:eastAsia="ja-JP"/>
    </w:rPr>
  </w:style>
  <w:style w:type="paragraph" w:customStyle="1" w:styleId="HeadingRAL-CH-d-4">
    <w:name w:val="Heading_RAL-CH-d-4"/>
    <w:basedOn w:val="a"/>
    <w:next w:val="a"/>
    <w:rsid w:val="006643AB"/>
    <w:pPr>
      <w:wordWrap w:val="0"/>
      <w:topLinePunct/>
    </w:pPr>
    <w:rPr>
      <w:rFonts w:eastAsia="Arial Unicode MS"/>
      <w:u w:val="single"/>
      <w:lang w:val="de-CH" w:eastAsia="ja-JP"/>
    </w:rPr>
  </w:style>
  <w:style w:type="paragraph" w:customStyle="1" w:styleId="LAGIPINormal">
    <w:name w:val="LA_GI_PI_Normal"/>
    <w:basedOn w:val="a"/>
    <w:rsid w:val="006643AB"/>
  </w:style>
  <w:style w:type="paragraph" w:styleId="ac">
    <w:name w:val="List Paragraph"/>
    <w:basedOn w:val="a"/>
    <w:uiPriority w:val="99"/>
    <w:qFormat/>
    <w:rsid w:val="00580FA9"/>
    <w:pPr>
      <w:ind w:left="720"/>
    </w:pPr>
  </w:style>
  <w:style w:type="paragraph" w:styleId="ad">
    <w:name w:val="Revision"/>
    <w:hidden/>
    <w:uiPriority w:val="99"/>
    <w:semiHidden/>
    <w:rsid w:val="0047109D"/>
    <w:rPr>
      <w:sz w:val="24"/>
      <w:szCs w:val="24"/>
      <w:lang w:val="en-GB"/>
    </w:rPr>
  </w:style>
  <w:style w:type="paragraph" w:styleId="ae">
    <w:name w:val="Body Text"/>
    <w:basedOn w:val="a"/>
    <w:link w:val="Char6"/>
    <w:uiPriority w:val="99"/>
    <w:rsid w:val="00895B27"/>
    <w:pPr>
      <w:spacing w:after="120"/>
    </w:pPr>
  </w:style>
  <w:style w:type="character" w:customStyle="1" w:styleId="Char6">
    <w:name w:val="Σώμα κειμένου Char"/>
    <w:basedOn w:val="a0"/>
    <w:link w:val="ae"/>
    <w:uiPriority w:val="99"/>
    <w:semiHidden/>
    <w:locked/>
    <w:rsid w:val="00325F0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7598">
      <w:marLeft w:val="0"/>
      <w:marRight w:val="0"/>
      <w:marTop w:val="0"/>
      <w:marBottom w:val="0"/>
      <w:divBdr>
        <w:top w:val="none" w:sz="0" w:space="0" w:color="auto"/>
        <w:left w:val="none" w:sz="0" w:space="0" w:color="auto"/>
        <w:bottom w:val="none" w:sz="0" w:space="0" w:color="auto"/>
        <w:right w:val="none" w:sz="0" w:space="0" w:color="auto"/>
      </w:divBdr>
    </w:div>
    <w:div w:id="1423457599">
      <w:marLeft w:val="0"/>
      <w:marRight w:val="0"/>
      <w:marTop w:val="0"/>
      <w:marBottom w:val="0"/>
      <w:divBdr>
        <w:top w:val="none" w:sz="0" w:space="0" w:color="auto"/>
        <w:left w:val="none" w:sz="0" w:space="0" w:color="auto"/>
        <w:bottom w:val="none" w:sz="0" w:space="0" w:color="auto"/>
        <w:right w:val="none" w:sz="0" w:space="0" w:color="auto"/>
      </w:divBdr>
    </w:div>
    <w:div w:id="1423457600">
      <w:marLeft w:val="0"/>
      <w:marRight w:val="0"/>
      <w:marTop w:val="0"/>
      <w:marBottom w:val="0"/>
      <w:divBdr>
        <w:top w:val="none" w:sz="0" w:space="0" w:color="auto"/>
        <w:left w:val="none" w:sz="0" w:space="0" w:color="auto"/>
        <w:bottom w:val="none" w:sz="0" w:space="0" w:color="auto"/>
        <w:right w:val="none" w:sz="0" w:space="0" w:color="auto"/>
      </w:divBdr>
    </w:div>
    <w:div w:id="14234576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h.gov.cy/phs" TargetMode="Externa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451B-D789-4114-9AF3-4E228551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2450</Words>
  <Characters>13230</Characters>
  <Application>Microsoft Office Word</Application>
  <DocSecurity>0</DocSecurity>
  <Lines>110</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DEMO</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Lemonia</dc:creator>
  <cp:lastModifiedBy>ΚΑΡΥΔΑ ΕΥΑΓΓΕΛΙΑ</cp:lastModifiedBy>
  <cp:revision>12</cp:revision>
  <cp:lastPrinted>2013-03-11T14:16:00Z</cp:lastPrinted>
  <dcterms:created xsi:type="dcterms:W3CDTF">2014-12-19T09:19:00Z</dcterms:created>
  <dcterms:modified xsi:type="dcterms:W3CDTF">2017-05-12T09:09:00Z</dcterms:modified>
</cp:coreProperties>
</file>