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9F" w:rsidRPr="00AD0457" w:rsidRDefault="0078689F" w:rsidP="00A067F0">
      <w:pPr>
        <w:pStyle w:val="2"/>
        <w:tabs>
          <w:tab w:val="left" w:pos="567"/>
        </w:tabs>
        <w:ind w:right="-11"/>
        <w:jc w:val="both"/>
        <w:rPr>
          <w:rFonts w:ascii="Arial" w:hAnsi="Arial" w:cs="Arial"/>
          <w:sz w:val="28"/>
        </w:rPr>
      </w:pPr>
      <w:r w:rsidRPr="00AD0457">
        <w:rPr>
          <w:rFonts w:ascii="Arial" w:hAnsi="Arial" w:cs="Arial"/>
          <w:sz w:val="28"/>
        </w:rPr>
        <w:t>ΠΕΡΙΛΗΨΗ ΤΩΝ ΧΑΡΑΚΤΗΡΙΣΤΙΚΩΝ ΤΟΥ ΠΡΟΪΟΝΤΟΣ</w:t>
      </w:r>
    </w:p>
    <w:p w:rsidR="0078689F" w:rsidRPr="00AD0457" w:rsidRDefault="0078689F" w:rsidP="00A067F0">
      <w:pPr>
        <w:ind w:left="567" w:right="-11" w:hanging="567"/>
        <w:jc w:val="both"/>
        <w:rPr>
          <w:rFonts w:ascii="Arial" w:hAnsi="Arial" w:cs="Arial"/>
          <w:b/>
          <w:lang w:val="el-GR"/>
        </w:rPr>
      </w:pPr>
    </w:p>
    <w:p w:rsidR="0078689F" w:rsidRPr="00AD0457" w:rsidRDefault="0078689F" w:rsidP="00A067F0">
      <w:pPr>
        <w:ind w:left="567" w:right="-11" w:hanging="567"/>
        <w:jc w:val="both"/>
        <w:rPr>
          <w:rFonts w:ascii="Arial" w:hAnsi="Arial" w:cs="Arial"/>
          <w:b/>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1.</w:t>
      </w:r>
      <w:r w:rsidRPr="00AD0457">
        <w:rPr>
          <w:rFonts w:ascii="Arial" w:hAnsi="Arial" w:cs="Arial"/>
          <w:b/>
          <w:lang w:val="el-GR"/>
        </w:rPr>
        <w:tab/>
        <w:t>ΟΝΟΜΑΣΙΑ ΤΟΥ ΦΑΡΜΑΚΕΥΤΙΚΟΥ ΠΡΟΪΟΝΤΟΣ</w:t>
      </w:r>
    </w:p>
    <w:p w:rsidR="0078689F" w:rsidRPr="00AD0457" w:rsidRDefault="0009026D" w:rsidP="00A067F0">
      <w:pPr>
        <w:ind w:right="-11"/>
        <w:jc w:val="both"/>
        <w:rPr>
          <w:rFonts w:ascii="Arial" w:hAnsi="Arial" w:cs="Arial"/>
          <w:lang w:val="el-GR"/>
        </w:rPr>
      </w:pPr>
      <w:proofErr w:type="spellStart"/>
      <w:r>
        <w:rPr>
          <w:rFonts w:ascii="Arial" w:hAnsi="Arial" w:cs="Arial"/>
        </w:rPr>
        <w:t>Duagen</w:t>
      </w:r>
      <w:proofErr w:type="spellEnd"/>
      <w:r w:rsidR="0078689F" w:rsidRPr="00AD0457">
        <w:rPr>
          <w:rFonts w:ascii="Arial" w:hAnsi="Arial" w:cs="Arial"/>
          <w:lang w:val="el-GR"/>
        </w:rPr>
        <w:t xml:space="preserve"> 0.5 </w:t>
      </w:r>
      <w:r w:rsidR="0078689F" w:rsidRPr="00AD0457">
        <w:rPr>
          <w:rFonts w:ascii="Arial" w:hAnsi="Arial" w:cs="Arial"/>
        </w:rPr>
        <w:t>mg</w:t>
      </w:r>
      <w:r w:rsidR="0078689F" w:rsidRPr="00AD0457">
        <w:rPr>
          <w:rFonts w:ascii="Arial" w:hAnsi="Arial" w:cs="Arial"/>
          <w:lang w:val="el-GR"/>
        </w:rPr>
        <w:t xml:space="preserve"> </w:t>
      </w:r>
      <w:r w:rsidR="00CD7676" w:rsidRPr="00AD0457">
        <w:rPr>
          <w:rFonts w:ascii="Arial" w:hAnsi="Arial" w:cs="Arial"/>
          <w:lang w:val="el-GR"/>
        </w:rPr>
        <w:t xml:space="preserve">μαλακά </w:t>
      </w:r>
      <w:r w:rsidR="0078689F" w:rsidRPr="00AD0457">
        <w:rPr>
          <w:rFonts w:ascii="Arial" w:hAnsi="Arial" w:cs="Arial"/>
          <w:lang w:val="el-GR"/>
        </w:rPr>
        <w:t>καψάκια.</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2.</w:t>
      </w:r>
      <w:r w:rsidRPr="00AD0457">
        <w:rPr>
          <w:rFonts w:ascii="Arial" w:hAnsi="Arial" w:cs="Arial"/>
          <w:b/>
          <w:lang w:val="el-GR"/>
        </w:rPr>
        <w:tab/>
        <w:t>ΠΟΙΟΤΙΚΗ ΚΑΙ ΠΟΣΟΤΙΚΗ ΣΥΝΘΕΣΗ</w:t>
      </w:r>
    </w:p>
    <w:p w:rsidR="00CD7676" w:rsidRDefault="0078689F" w:rsidP="00CD7676">
      <w:pPr>
        <w:widowControl/>
        <w:tabs>
          <w:tab w:val="left" w:pos="567"/>
        </w:tabs>
        <w:spacing w:line="260" w:lineRule="exact"/>
        <w:rPr>
          <w:rFonts w:ascii="Arial" w:hAnsi="Arial" w:cs="Arial"/>
          <w:lang w:val="el-GR"/>
        </w:rPr>
      </w:pPr>
      <w:r w:rsidRPr="00AD0457">
        <w:rPr>
          <w:rFonts w:ascii="Arial" w:hAnsi="Arial" w:cs="Arial"/>
          <w:lang w:val="el-GR"/>
        </w:rPr>
        <w:t xml:space="preserve">Κάθε καψάκιο περιέχει 0.5 </w:t>
      </w:r>
      <w:r w:rsidRPr="00AD0457">
        <w:rPr>
          <w:rFonts w:ascii="Arial" w:hAnsi="Arial" w:cs="Arial"/>
        </w:rPr>
        <w:t>mg</w:t>
      </w:r>
      <w:r w:rsidRPr="00AD0457">
        <w:rPr>
          <w:rFonts w:ascii="Arial" w:hAnsi="Arial" w:cs="Arial"/>
          <w:lang w:val="el-GR"/>
        </w:rPr>
        <w:t xml:space="preserve"> </w:t>
      </w:r>
      <w:r w:rsidR="00CD7676">
        <w:rPr>
          <w:rFonts w:ascii="Arial" w:hAnsi="Arial" w:cs="Arial"/>
          <w:lang w:val="el-GR"/>
        </w:rPr>
        <w:t>ντουταστερίδη</w:t>
      </w:r>
      <w:r w:rsidRPr="00AD0457">
        <w:rPr>
          <w:rFonts w:ascii="Arial" w:hAnsi="Arial" w:cs="Arial"/>
          <w:lang w:val="el-GR"/>
        </w:rPr>
        <w:t xml:space="preserve">. </w:t>
      </w:r>
    </w:p>
    <w:p w:rsidR="00CD7676" w:rsidRPr="00CD7676" w:rsidRDefault="00CD7676" w:rsidP="00CD7676">
      <w:pPr>
        <w:widowControl/>
        <w:tabs>
          <w:tab w:val="left" w:pos="567"/>
        </w:tabs>
        <w:spacing w:line="260" w:lineRule="exact"/>
        <w:rPr>
          <w:rFonts w:ascii="Arial" w:hAnsi="Arial" w:cs="Arial"/>
          <w:lang w:val="el-GR"/>
        </w:rPr>
      </w:pPr>
      <w:r w:rsidRPr="00CD7676">
        <w:rPr>
          <w:rFonts w:ascii="Arial" w:hAnsi="Arial" w:cs="Arial"/>
          <w:lang w:val="el-GR"/>
        </w:rPr>
        <w:t>Για τον πλήρη κατάλογο των εκδόχων, βλ. παράγραφο 6.1.</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3.</w:t>
      </w:r>
      <w:r w:rsidRPr="00AD0457">
        <w:rPr>
          <w:rFonts w:ascii="Arial" w:hAnsi="Arial" w:cs="Arial"/>
          <w:b/>
          <w:lang w:val="el-GR"/>
        </w:rPr>
        <w:tab/>
        <w:t>ΦΑΡΜΑΚΟΤΕΧΝΙΚΗ ΜΟΡΦΗ</w:t>
      </w:r>
    </w:p>
    <w:p w:rsidR="0078689F" w:rsidRPr="00AD0457" w:rsidRDefault="0078689F" w:rsidP="00A067F0">
      <w:pPr>
        <w:ind w:right="-11"/>
        <w:jc w:val="both"/>
        <w:rPr>
          <w:rFonts w:ascii="Arial" w:hAnsi="Arial" w:cs="Arial"/>
          <w:lang w:val="el-GR"/>
        </w:rPr>
      </w:pPr>
      <w:r w:rsidRPr="00AD0457">
        <w:rPr>
          <w:rFonts w:ascii="Arial" w:hAnsi="Arial" w:cs="Arial"/>
          <w:lang w:val="el-GR"/>
        </w:rPr>
        <w:t>Kαψάκιο, μαλακό.</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Τα καψάκια είναι ημιδιαφανή, κίτρινα, ελλιπτοειδούς σχήματος, με μαλακή ζελατίνη και φέρουν τον κωδικό </w:t>
      </w:r>
      <w:r w:rsidRPr="00AD0457">
        <w:rPr>
          <w:rFonts w:ascii="Arial" w:hAnsi="Arial" w:cs="Arial"/>
        </w:rPr>
        <w:t>GX</w:t>
      </w:r>
      <w:r w:rsidRPr="00AD0457">
        <w:rPr>
          <w:rFonts w:ascii="Arial" w:hAnsi="Arial" w:cs="Arial"/>
          <w:lang w:val="el-GR"/>
        </w:rPr>
        <w:t xml:space="preserve"> </w:t>
      </w:r>
      <w:r w:rsidRPr="00AD0457">
        <w:rPr>
          <w:rFonts w:ascii="Arial" w:hAnsi="Arial" w:cs="Arial"/>
        </w:rPr>
        <w:t>CE</w:t>
      </w:r>
      <w:r w:rsidRPr="00AD0457">
        <w:rPr>
          <w:rFonts w:ascii="Arial" w:hAnsi="Arial" w:cs="Arial"/>
          <w:lang w:val="el-GR"/>
        </w:rPr>
        <w:t>2.</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4.</w:t>
      </w:r>
      <w:r w:rsidRPr="00AD0457">
        <w:rPr>
          <w:rFonts w:ascii="Arial" w:hAnsi="Arial" w:cs="Arial"/>
          <w:b/>
          <w:lang w:val="el-GR"/>
        </w:rPr>
        <w:tab/>
        <w:t>ΚΛΙΝΙΚΕΣ ΠΛΗΡΟΦΟΡΙΕΣ</w:t>
      </w:r>
    </w:p>
    <w:p w:rsidR="00310F95" w:rsidRDefault="0078689F">
      <w:pPr>
        <w:ind w:left="567" w:right="-11" w:hanging="567"/>
        <w:jc w:val="both"/>
        <w:rPr>
          <w:rFonts w:ascii="Arial" w:hAnsi="Arial" w:cs="Arial"/>
          <w:lang w:val="el-GR"/>
        </w:rPr>
      </w:pPr>
      <w:r w:rsidRPr="00AD0457">
        <w:rPr>
          <w:rFonts w:ascii="Arial" w:hAnsi="Arial" w:cs="Arial"/>
          <w:b/>
          <w:lang w:val="el-GR"/>
        </w:rPr>
        <w:t>4.1</w:t>
      </w:r>
      <w:r w:rsidRPr="00AD0457">
        <w:rPr>
          <w:rFonts w:ascii="Arial" w:hAnsi="Arial" w:cs="Arial"/>
          <w:b/>
          <w:lang w:val="el-GR"/>
        </w:rPr>
        <w:tab/>
        <w:t>Θεραπευτικές ενδείξεις</w:t>
      </w:r>
    </w:p>
    <w:p w:rsidR="0078689F" w:rsidRPr="00AD0457" w:rsidRDefault="0078689F" w:rsidP="00A067F0">
      <w:pPr>
        <w:ind w:right="-11"/>
        <w:jc w:val="both"/>
        <w:rPr>
          <w:rFonts w:ascii="Arial" w:hAnsi="Arial" w:cs="Arial"/>
          <w:lang w:val="el-GR"/>
        </w:rPr>
      </w:pPr>
      <w:r w:rsidRPr="00AD0457">
        <w:rPr>
          <w:rFonts w:ascii="Arial" w:hAnsi="Arial" w:cs="Arial"/>
          <w:lang w:val="el-GR"/>
        </w:rPr>
        <w:t>Θεραπεία μέτριων έως σοβαρών συμπτωμάτων καλοήθους υπερπλασίας του προστάτη (ΚΥΠ).</w:t>
      </w:r>
    </w:p>
    <w:p w:rsidR="0078689F" w:rsidRPr="00AD0457" w:rsidRDefault="0078689F" w:rsidP="00A067F0">
      <w:pPr>
        <w:ind w:right="-11"/>
        <w:jc w:val="both"/>
        <w:rPr>
          <w:rFonts w:ascii="Arial" w:hAnsi="Arial" w:cs="Arial"/>
          <w:lang w:val="el-GR"/>
        </w:rPr>
      </w:pPr>
      <w:r w:rsidRPr="00AD0457">
        <w:rPr>
          <w:rFonts w:ascii="Arial" w:hAnsi="Arial" w:cs="Arial"/>
          <w:lang w:val="el-GR"/>
        </w:rPr>
        <w:t>Μείωση του κινδύνου οξείας κατακράτησης ούρων (</w:t>
      </w:r>
      <w:r w:rsidRPr="00AD0457">
        <w:rPr>
          <w:rFonts w:ascii="Arial" w:hAnsi="Arial" w:cs="Arial"/>
        </w:rPr>
        <w:t>AUR</w:t>
      </w:r>
      <w:r w:rsidRPr="00AD0457">
        <w:rPr>
          <w:rFonts w:ascii="Arial" w:hAnsi="Arial" w:cs="Arial"/>
          <w:lang w:val="el-GR"/>
        </w:rPr>
        <w:t>) και χειρουργικής επέμβασης σε ασθενείς με μέτρια έως σοβαρά συμπτώματα ΚΥΠ.</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Πληροφορίες σχετικά με τα αποτελέσματα της θεραπείας </w:t>
      </w:r>
      <w:r w:rsidR="00CD7676">
        <w:rPr>
          <w:rFonts w:ascii="Arial" w:hAnsi="Arial" w:cs="Arial"/>
          <w:lang w:val="el-GR"/>
        </w:rPr>
        <w:t>και</w:t>
      </w:r>
      <w:r w:rsidRPr="00AD0457">
        <w:rPr>
          <w:rFonts w:ascii="Arial" w:hAnsi="Arial" w:cs="Arial"/>
          <w:lang w:val="el-GR"/>
        </w:rPr>
        <w:t xml:space="preserve"> ομάδες ασθενών που έχουν συμπεριληφθεί στις κλινικές δοκιμές παρέχονται στ</w:t>
      </w:r>
      <w:r w:rsidR="00CD7676">
        <w:rPr>
          <w:rFonts w:ascii="Arial" w:hAnsi="Arial" w:cs="Arial"/>
          <w:lang w:val="el-GR"/>
        </w:rPr>
        <w:t>ην παράγραφο</w:t>
      </w:r>
      <w:r w:rsidRPr="00AD0457">
        <w:rPr>
          <w:rFonts w:ascii="Arial" w:hAnsi="Arial" w:cs="Arial"/>
          <w:lang w:val="el-GR"/>
        </w:rPr>
        <w:t xml:space="preserve"> 5.1.</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   </w:t>
      </w:r>
    </w:p>
    <w:p w:rsidR="00310F95" w:rsidRDefault="0078689F">
      <w:pPr>
        <w:ind w:left="567" w:right="-11" w:hanging="567"/>
        <w:jc w:val="both"/>
        <w:rPr>
          <w:rFonts w:ascii="Arial" w:hAnsi="Arial" w:cs="Arial"/>
          <w:lang w:val="el-GR"/>
        </w:rPr>
      </w:pPr>
      <w:r w:rsidRPr="00AD0457">
        <w:rPr>
          <w:rFonts w:ascii="Arial" w:hAnsi="Arial" w:cs="Arial"/>
          <w:b/>
          <w:lang w:val="el-GR"/>
        </w:rPr>
        <w:t>4.2</w:t>
      </w:r>
      <w:r w:rsidRPr="00AD0457">
        <w:rPr>
          <w:rFonts w:ascii="Arial" w:hAnsi="Arial" w:cs="Arial"/>
          <w:b/>
          <w:lang w:val="el-GR"/>
        </w:rPr>
        <w:tab/>
        <w:t>Δοσολογία και τρόπος χορήγησης</w:t>
      </w:r>
    </w:p>
    <w:p w:rsidR="00CD7676" w:rsidRDefault="00CD7676" w:rsidP="00A067F0">
      <w:pPr>
        <w:ind w:right="-11"/>
        <w:jc w:val="both"/>
        <w:rPr>
          <w:rFonts w:ascii="Arial" w:hAnsi="Arial" w:cs="Arial"/>
          <w:lang w:val="el-GR"/>
        </w:rPr>
      </w:pPr>
      <w:r>
        <w:rPr>
          <w:rFonts w:ascii="Arial" w:hAnsi="Arial" w:cs="Arial"/>
          <w:lang w:val="el-GR"/>
        </w:rPr>
        <w:t xml:space="preserve"> Το </w:t>
      </w:r>
      <w:proofErr w:type="spellStart"/>
      <w:r>
        <w:rPr>
          <w:rFonts w:ascii="Arial" w:hAnsi="Arial" w:cs="Arial"/>
        </w:rPr>
        <w:t>Duagen</w:t>
      </w:r>
      <w:proofErr w:type="spellEnd"/>
      <w:r w:rsidRPr="00CD7676">
        <w:rPr>
          <w:rFonts w:ascii="Arial" w:hAnsi="Arial" w:cs="Arial"/>
          <w:lang w:val="el-GR"/>
        </w:rPr>
        <w:t xml:space="preserve"> </w:t>
      </w:r>
      <w:r>
        <w:rPr>
          <w:rFonts w:ascii="Arial" w:hAnsi="Arial" w:cs="Arial"/>
          <w:lang w:val="el-GR"/>
        </w:rPr>
        <w:t>μπορεί να χορηγηθεί μόνο του ή σε συνδυασμό με τον άλφα αποκλειστή ταμσουλοσίνη (0</w:t>
      </w:r>
      <w:r w:rsidRPr="00CD7676">
        <w:rPr>
          <w:rFonts w:ascii="Arial" w:hAnsi="Arial" w:cs="Arial"/>
          <w:lang w:val="el-GR"/>
        </w:rPr>
        <w:t>.</w:t>
      </w:r>
      <w:r>
        <w:rPr>
          <w:rFonts w:ascii="Arial" w:hAnsi="Arial" w:cs="Arial"/>
          <w:lang w:val="el-GR"/>
        </w:rPr>
        <w:t>4</w:t>
      </w:r>
      <w:r w:rsidRPr="00CD7676">
        <w:rPr>
          <w:rFonts w:ascii="Arial" w:hAnsi="Arial" w:cs="Arial"/>
          <w:lang w:val="el-GR"/>
        </w:rPr>
        <w:t xml:space="preserve"> </w:t>
      </w:r>
      <w:r>
        <w:rPr>
          <w:rFonts w:ascii="Arial" w:hAnsi="Arial" w:cs="Arial"/>
        </w:rPr>
        <w:t>mg</w:t>
      </w:r>
      <w:r w:rsidRPr="00CD7676">
        <w:rPr>
          <w:rFonts w:ascii="Arial" w:hAnsi="Arial" w:cs="Arial"/>
          <w:lang w:val="el-GR"/>
        </w:rPr>
        <w:t>) (</w:t>
      </w:r>
      <w:r>
        <w:rPr>
          <w:rFonts w:ascii="Arial" w:hAnsi="Arial" w:cs="Arial"/>
          <w:lang w:val="el-GR"/>
        </w:rPr>
        <w:t>βλ. παράγραφο 4.4,4.8 και 5.1).</w:t>
      </w:r>
    </w:p>
    <w:p w:rsidR="00CD7676" w:rsidRPr="00CD7676" w:rsidRDefault="00CD7676" w:rsidP="00A067F0">
      <w:pPr>
        <w:ind w:right="-11"/>
        <w:jc w:val="both"/>
        <w:rPr>
          <w:rFonts w:ascii="Arial" w:hAnsi="Arial" w:cs="Arial"/>
          <w:lang w:val="el-GR"/>
        </w:rPr>
      </w:pPr>
    </w:p>
    <w:p w:rsidR="0078689F" w:rsidRPr="00AD0457" w:rsidRDefault="0078689F" w:rsidP="00A067F0">
      <w:pPr>
        <w:ind w:right="-11"/>
        <w:jc w:val="both"/>
        <w:rPr>
          <w:rFonts w:ascii="Arial" w:hAnsi="Arial" w:cs="Arial"/>
          <w:lang w:val="el-GR"/>
        </w:rPr>
      </w:pPr>
      <w:r w:rsidRPr="00AD0457">
        <w:rPr>
          <w:rFonts w:ascii="Arial" w:hAnsi="Arial" w:cs="Arial"/>
          <w:i/>
          <w:lang w:val="el-GR"/>
        </w:rPr>
        <w:t>Eνήλικες (περιλαμβανομένων των ηλικιωμένων):</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συνιστώμενη δόση του </w:t>
      </w:r>
      <w:proofErr w:type="spellStart"/>
      <w:r w:rsidR="0009026D">
        <w:rPr>
          <w:rFonts w:ascii="Arial" w:hAnsi="Arial" w:cs="Arial"/>
        </w:rPr>
        <w:t>Duagen</w:t>
      </w:r>
      <w:proofErr w:type="spellEnd"/>
      <w:r w:rsidRPr="00AD0457">
        <w:rPr>
          <w:rFonts w:ascii="Arial" w:hAnsi="Arial" w:cs="Arial"/>
          <w:lang w:val="el-GR"/>
        </w:rPr>
        <w:t xml:space="preserve"> είναι ένα καψάκιο (0.5 </w:t>
      </w:r>
      <w:r w:rsidRPr="00AD0457">
        <w:rPr>
          <w:rFonts w:ascii="Arial" w:hAnsi="Arial" w:cs="Arial"/>
        </w:rPr>
        <w:t>mg</w:t>
      </w:r>
      <w:r w:rsidRPr="00AD0457">
        <w:rPr>
          <w:rFonts w:ascii="Arial" w:hAnsi="Arial" w:cs="Arial"/>
          <w:lang w:val="el-GR"/>
        </w:rPr>
        <w:t xml:space="preserve">) την ημέρα λαμβανόμενο  από το στόμα. Τα καψάκια θα πρέπει να καταπίνονται ολόκληρα </w:t>
      </w:r>
      <w:r w:rsidR="00CD7676">
        <w:rPr>
          <w:rFonts w:ascii="Arial" w:hAnsi="Arial" w:cs="Arial"/>
          <w:lang w:val="el-GR"/>
        </w:rPr>
        <w:t xml:space="preserve"> χωρίς να μασσώνται ή να ανοίγονται, καθώς η επαφή με το περιεχόμενο του καψακίου μπορεί να οδηγήσει σε ερεθισμό του στοματοφαρυγγικού βλεννογόνου. Τα καψάκια μπορούν να λαμβάνονται </w:t>
      </w:r>
      <w:r w:rsidRPr="00AD0457">
        <w:rPr>
          <w:rFonts w:ascii="Arial" w:hAnsi="Arial" w:cs="Arial"/>
          <w:lang w:val="el-GR"/>
        </w:rPr>
        <w:t>πριν ή μετά το φαγητό. Αν και κάποια βελτίωση των συμπτωμάτων ενδέχεται να εμφανισθεί νωρίς, προκειμένου να επιτευχθεί η ανταπόκριση στη θεραπεία μπορεί να χρειαστούν έως και 6 μήνες. Δεν απαιτείται τροποποίηση της δοσολογίας σε ηλικιωμένους.</w:t>
      </w:r>
    </w:p>
    <w:p w:rsidR="0078689F" w:rsidRPr="00AD0457" w:rsidRDefault="0078689F" w:rsidP="00A067F0">
      <w:pPr>
        <w:ind w:right="-11"/>
        <w:jc w:val="both"/>
        <w:rPr>
          <w:rFonts w:ascii="Arial" w:hAnsi="Arial" w:cs="Arial"/>
          <w:lang w:val="el-GR"/>
        </w:rPr>
      </w:pPr>
    </w:p>
    <w:p w:rsidR="00310F95" w:rsidRDefault="0078689F">
      <w:pPr>
        <w:pStyle w:val="2"/>
        <w:ind w:right="-11"/>
        <w:jc w:val="both"/>
      </w:pPr>
      <w:r w:rsidRPr="00AD0457">
        <w:rPr>
          <w:rFonts w:ascii="Arial" w:hAnsi="Arial" w:cs="Arial"/>
          <w:b w:val="0"/>
          <w:i/>
        </w:rPr>
        <w:t>Νεφρική δυσλειτουργία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επίδραση της νεφρικής δυσλειτουργίας στην φαρμακοκινητική </w:t>
      </w:r>
      <w:r w:rsidR="00C41782">
        <w:rPr>
          <w:rFonts w:ascii="Arial" w:hAnsi="Arial" w:cs="Arial"/>
          <w:lang w:val="el-GR"/>
        </w:rPr>
        <w:t xml:space="preserve">της ντουταστερίδης </w:t>
      </w:r>
      <w:r w:rsidRPr="00AD0457">
        <w:rPr>
          <w:rFonts w:ascii="Arial" w:hAnsi="Arial" w:cs="Arial"/>
          <w:lang w:val="el-GR"/>
        </w:rPr>
        <w:t>δεν έχει μελετηθεί. Εκτιμάται ότι προσαρμογή της δοσολογίας σε περίπτωση νεφρικής δυσλειτουργίας δεν είναι απαραίτητη (βλ</w:t>
      </w:r>
      <w:r w:rsidR="00C41782">
        <w:rPr>
          <w:rFonts w:ascii="Arial" w:hAnsi="Arial" w:cs="Arial"/>
          <w:lang w:val="el-GR"/>
        </w:rPr>
        <w:t>.</w:t>
      </w:r>
      <w:r w:rsidRPr="00AD0457">
        <w:rPr>
          <w:rFonts w:ascii="Arial" w:hAnsi="Arial" w:cs="Arial"/>
          <w:lang w:val="el-GR"/>
        </w:rPr>
        <w:t xml:space="preserve"> </w:t>
      </w:r>
      <w:r w:rsidR="00C41782">
        <w:rPr>
          <w:rFonts w:ascii="Arial" w:hAnsi="Arial" w:cs="Arial"/>
          <w:lang w:val="el-GR"/>
        </w:rPr>
        <w:t xml:space="preserve">παράγραφο </w:t>
      </w:r>
      <w:r w:rsidRPr="00AD0457">
        <w:rPr>
          <w:rFonts w:ascii="Arial" w:hAnsi="Arial" w:cs="Arial"/>
          <w:lang w:val="el-GR"/>
        </w:rPr>
        <w:t>5.2).</w:t>
      </w:r>
    </w:p>
    <w:p w:rsidR="0078689F" w:rsidRPr="00AD0457" w:rsidRDefault="0078689F" w:rsidP="00A067F0">
      <w:pPr>
        <w:ind w:right="-11"/>
        <w:jc w:val="both"/>
        <w:rPr>
          <w:rFonts w:ascii="Arial" w:hAnsi="Arial" w:cs="Arial"/>
          <w:lang w:val="el-GR"/>
        </w:rPr>
      </w:pPr>
    </w:p>
    <w:p w:rsidR="00310F95" w:rsidRDefault="0078689F">
      <w:pPr>
        <w:pStyle w:val="2"/>
        <w:ind w:right="-11"/>
        <w:jc w:val="both"/>
      </w:pPr>
      <w:r w:rsidRPr="00AD0457">
        <w:rPr>
          <w:rFonts w:ascii="Arial" w:hAnsi="Arial" w:cs="Arial"/>
          <w:b w:val="0"/>
          <w:i/>
        </w:rPr>
        <w:t>Ηπατική δυσλειτουργία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επίδραση της ηπατικής δυσλειτουργίας στην φαρμακοκινητική </w:t>
      </w:r>
      <w:r w:rsidR="00C41782">
        <w:rPr>
          <w:rFonts w:ascii="Arial" w:hAnsi="Arial" w:cs="Arial"/>
          <w:lang w:val="el-GR"/>
        </w:rPr>
        <w:t>της ντουταστερίδης</w:t>
      </w:r>
      <w:r w:rsidRPr="00AD0457">
        <w:rPr>
          <w:rFonts w:ascii="Arial" w:hAnsi="Arial" w:cs="Arial"/>
          <w:lang w:val="el-GR"/>
        </w:rPr>
        <w:t xml:space="preserve"> δεν έχει μελετηθεί, επομένως χρειάζεται προσοχή σε ασθενείς με ήπια έως μέτρια ηπατική δυσλειτουργία (βλ</w:t>
      </w:r>
      <w:r w:rsidR="00C41782">
        <w:rPr>
          <w:rFonts w:ascii="Arial" w:hAnsi="Arial" w:cs="Arial"/>
          <w:lang w:val="el-GR"/>
        </w:rPr>
        <w:t>. παράγραφο</w:t>
      </w:r>
      <w:r w:rsidRPr="00AD0457">
        <w:rPr>
          <w:rFonts w:ascii="Arial" w:hAnsi="Arial" w:cs="Arial"/>
          <w:lang w:val="el-GR"/>
        </w:rPr>
        <w:t xml:space="preserve"> 4.4 και </w:t>
      </w:r>
      <w:r w:rsidR="00C41782">
        <w:rPr>
          <w:rFonts w:ascii="Arial" w:hAnsi="Arial" w:cs="Arial"/>
          <w:lang w:val="el-GR"/>
        </w:rPr>
        <w:t xml:space="preserve">παράγραφο </w:t>
      </w:r>
      <w:r w:rsidRPr="00AD0457">
        <w:rPr>
          <w:rFonts w:ascii="Arial" w:hAnsi="Arial" w:cs="Arial"/>
          <w:lang w:val="el-GR"/>
        </w:rPr>
        <w:t xml:space="preserve">5.2). Σε ασθενείς με σοβαρή ηπατική δυσλειτουργία η χρήση </w:t>
      </w:r>
      <w:r w:rsidR="00C41782">
        <w:rPr>
          <w:rFonts w:ascii="Arial" w:hAnsi="Arial" w:cs="Arial"/>
          <w:lang w:val="el-GR"/>
        </w:rPr>
        <w:t>της ντουταστερίδης</w:t>
      </w:r>
      <w:r w:rsidRPr="00AD0457">
        <w:rPr>
          <w:rFonts w:ascii="Arial" w:hAnsi="Arial" w:cs="Arial"/>
          <w:lang w:val="el-GR"/>
        </w:rPr>
        <w:t xml:space="preserve"> αντενδείκνυται (βλ</w:t>
      </w:r>
      <w:r w:rsidR="00C41782">
        <w:rPr>
          <w:rFonts w:ascii="Arial" w:hAnsi="Arial" w:cs="Arial"/>
          <w:lang w:val="el-GR"/>
        </w:rPr>
        <w:t xml:space="preserve">. παράγραφο </w:t>
      </w:r>
      <w:r w:rsidRPr="00AD0457">
        <w:rPr>
          <w:rFonts w:ascii="Arial" w:hAnsi="Arial" w:cs="Arial"/>
          <w:lang w:val="el-GR"/>
        </w:rPr>
        <w:t>4.3).</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b/>
          <w:lang w:val="el-GR"/>
        </w:rPr>
      </w:pPr>
      <w:r w:rsidRPr="00AD0457">
        <w:rPr>
          <w:rFonts w:ascii="Arial" w:hAnsi="Arial" w:cs="Arial"/>
          <w:b/>
          <w:lang w:val="el-GR"/>
        </w:rPr>
        <w:t>4.3</w:t>
      </w:r>
      <w:r w:rsidRPr="00AD0457">
        <w:rPr>
          <w:rFonts w:ascii="Arial" w:hAnsi="Arial" w:cs="Arial"/>
          <w:b/>
          <w:lang w:val="el-GR"/>
        </w:rPr>
        <w:tab/>
        <w:t>Αντενδείξεις</w:t>
      </w:r>
    </w:p>
    <w:p w:rsidR="00C41782" w:rsidRDefault="0078689F" w:rsidP="00A067F0">
      <w:pPr>
        <w:ind w:right="-11"/>
        <w:jc w:val="both"/>
        <w:rPr>
          <w:rFonts w:ascii="Arial" w:hAnsi="Arial" w:cs="Arial"/>
          <w:lang w:val="el-GR"/>
        </w:rPr>
      </w:pPr>
      <w:r w:rsidRPr="00AD0457">
        <w:rPr>
          <w:rFonts w:ascii="Arial" w:hAnsi="Arial" w:cs="Arial"/>
          <w:lang w:val="el-GR"/>
        </w:rPr>
        <w:t xml:space="preserve">Η χρήση του </w:t>
      </w:r>
      <w:proofErr w:type="spellStart"/>
      <w:r w:rsidR="0009026D">
        <w:rPr>
          <w:rFonts w:ascii="Arial" w:hAnsi="Arial" w:cs="Arial"/>
        </w:rPr>
        <w:t>Duagen</w:t>
      </w:r>
      <w:proofErr w:type="spellEnd"/>
      <w:r w:rsidRPr="00AD0457">
        <w:rPr>
          <w:rFonts w:ascii="Arial" w:hAnsi="Arial" w:cs="Arial"/>
          <w:lang w:val="el-GR"/>
        </w:rPr>
        <w:t xml:space="preserve"> αντενδείκνυται σε </w:t>
      </w:r>
      <w:r w:rsidR="00C41782">
        <w:rPr>
          <w:rFonts w:ascii="Arial" w:hAnsi="Arial" w:cs="Arial"/>
          <w:lang w:val="el-GR"/>
        </w:rPr>
        <w:t>:</w:t>
      </w:r>
    </w:p>
    <w:p w:rsidR="00C41782" w:rsidRDefault="0078689F" w:rsidP="00A067F0">
      <w:pPr>
        <w:numPr>
          <w:ilvl w:val="0"/>
          <w:numId w:val="3"/>
        </w:numPr>
        <w:ind w:right="-11"/>
        <w:jc w:val="both"/>
        <w:rPr>
          <w:rFonts w:ascii="Arial" w:hAnsi="Arial" w:cs="Arial"/>
          <w:lang w:val="el-GR"/>
        </w:rPr>
      </w:pPr>
      <w:r w:rsidRPr="00AD0457">
        <w:rPr>
          <w:rFonts w:ascii="Arial" w:hAnsi="Arial" w:cs="Arial"/>
          <w:lang w:val="el-GR"/>
        </w:rPr>
        <w:t>γυναίκες</w:t>
      </w:r>
      <w:r w:rsidR="00C41782">
        <w:rPr>
          <w:rFonts w:ascii="Arial" w:hAnsi="Arial" w:cs="Arial"/>
          <w:lang w:val="el-GR"/>
        </w:rPr>
        <w:t xml:space="preserve"> και </w:t>
      </w:r>
      <w:r w:rsidRPr="00AD0457">
        <w:rPr>
          <w:rFonts w:ascii="Arial" w:hAnsi="Arial" w:cs="Arial"/>
          <w:lang w:val="el-GR"/>
        </w:rPr>
        <w:t xml:space="preserve">παιδιά </w:t>
      </w:r>
      <w:r w:rsidR="00C41782">
        <w:rPr>
          <w:rFonts w:ascii="Arial" w:hAnsi="Arial" w:cs="Arial"/>
          <w:lang w:val="el-GR"/>
        </w:rPr>
        <w:t xml:space="preserve">ή </w:t>
      </w:r>
      <w:r w:rsidRPr="00AD0457">
        <w:rPr>
          <w:rFonts w:ascii="Arial" w:hAnsi="Arial" w:cs="Arial"/>
          <w:lang w:val="el-GR"/>
        </w:rPr>
        <w:t>εφήβους (</w:t>
      </w:r>
      <w:r w:rsidR="00C41782" w:rsidRPr="00AD0457">
        <w:rPr>
          <w:rFonts w:ascii="Arial" w:hAnsi="Arial" w:cs="Arial"/>
          <w:lang w:val="el-GR"/>
        </w:rPr>
        <w:t>βλ</w:t>
      </w:r>
      <w:r w:rsidR="00C41782">
        <w:rPr>
          <w:rFonts w:ascii="Arial" w:hAnsi="Arial" w:cs="Arial"/>
          <w:lang w:val="el-GR"/>
        </w:rPr>
        <w:t>. παράγραφο</w:t>
      </w:r>
      <w:r w:rsidR="00C41782" w:rsidRPr="00AD0457">
        <w:rPr>
          <w:rFonts w:ascii="Arial" w:hAnsi="Arial" w:cs="Arial"/>
          <w:lang w:val="el-GR"/>
        </w:rPr>
        <w:t xml:space="preserve"> </w:t>
      </w:r>
      <w:r w:rsidRPr="00AD0457">
        <w:rPr>
          <w:rFonts w:ascii="Arial" w:hAnsi="Arial" w:cs="Arial"/>
          <w:lang w:val="el-GR"/>
        </w:rPr>
        <w:t>4.6</w:t>
      </w:r>
      <w:r w:rsidR="00C41782">
        <w:rPr>
          <w:rFonts w:ascii="Arial" w:hAnsi="Arial" w:cs="Arial"/>
          <w:lang w:val="el-GR"/>
        </w:rPr>
        <w:t>)</w:t>
      </w:r>
    </w:p>
    <w:p w:rsidR="0078689F" w:rsidRDefault="0078689F" w:rsidP="00A067F0">
      <w:pPr>
        <w:numPr>
          <w:ilvl w:val="0"/>
          <w:numId w:val="3"/>
        </w:numPr>
        <w:ind w:right="-11"/>
        <w:jc w:val="both"/>
        <w:rPr>
          <w:rFonts w:ascii="Arial" w:hAnsi="Arial" w:cs="Arial"/>
          <w:lang w:val="el-GR"/>
        </w:rPr>
      </w:pPr>
      <w:r w:rsidRPr="00AD0457">
        <w:rPr>
          <w:rFonts w:ascii="Arial" w:hAnsi="Arial" w:cs="Arial"/>
          <w:lang w:val="el-GR"/>
        </w:rPr>
        <w:t>ασθενείς με υπερευαισθησία στ</w:t>
      </w:r>
      <w:r w:rsidR="00C41782">
        <w:rPr>
          <w:rFonts w:ascii="Arial" w:hAnsi="Arial" w:cs="Arial"/>
          <w:lang w:val="el-GR"/>
        </w:rPr>
        <w:t>η ντουταστερίδη</w:t>
      </w:r>
      <w:r w:rsidRPr="00AD0457">
        <w:rPr>
          <w:rFonts w:ascii="Arial" w:hAnsi="Arial" w:cs="Arial"/>
          <w:lang w:val="el-GR"/>
        </w:rPr>
        <w:t>, σε άλλους αναστολείς της 5</w:t>
      </w:r>
      <w:r w:rsidR="00C41782">
        <w:rPr>
          <w:rFonts w:ascii="Arial" w:hAnsi="Arial" w:cs="Arial"/>
          <w:lang w:val="el-GR"/>
        </w:rPr>
        <w:t xml:space="preserve">-άλφα </w:t>
      </w:r>
      <w:r w:rsidRPr="00AD0457">
        <w:rPr>
          <w:rFonts w:ascii="Arial" w:hAnsi="Arial" w:cs="Arial"/>
          <w:lang w:val="el-GR"/>
        </w:rPr>
        <w:t>αναγωγάσης</w:t>
      </w:r>
      <w:r w:rsidR="00A64349" w:rsidRPr="00A64349">
        <w:rPr>
          <w:rFonts w:ascii="Arial" w:hAnsi="Arial" w:cs="Arial"/>
          <w:lang w:val="el-GR"/>
        </w:rPr>
        <w:t xml:space="preserve">, </w:t>
      </w:r>
      <w:r w:rsidR="00A64349">
        <w:rPr>
          <w:rFonts w:ascii="Arial" w:hAnsi="Arial" w:cs="Arial"/>
          <w:lang w:val="el-GR"/>
        </w:rPr>
        <w:t>τη σόγια, το αράπικο φυστίκι (</w:t>
      </w:r>
      <w:r w:rsidR="00A64349">
        <w:rPr>
          <w:rFonts w:ascii="Arial" w:hAnsi="Arial" w:cs="Arial"/>
        </w:rPr>
        <w:t>peanut</w:t>
      </w:r>
      <w:r w:rsidR="00A64349" w:rsidRPr="00A64349">
        <w:rPr>
          <w:rFonts w:ascii="Arial" w:hAnsi="Arial" w:cs="Arial"/>
          <w:lang w:val="el-GR"/>
        </w:rPr>
        <w:t>)</w:t>
      </w:r>
      <w:r w:rsidRPr="00AD0457">
        <w:rPr>
          <w:rFonts w:ascii="Arial" w:hAnsi="Arial" w:cs="Arial"/>
          <w:lang w:val="el-GR"/>
        </w:rPr>
        <w:t xml:space="preserve"> ή σε </w:t>
      </w:r>
      <w:r w:rsidR="00C41782">
        <w:rPr>
          <w:rFonts w:ascii="Arial" w:hAnsi="Arial" w:cs="Arial"/>
          <w:lang w:val="el-GR"/>
        </w:rPr>
        <w:t>κάποιο</w:t>
      </w:r>
      <w:r w:rsidR="00A64349" w:rsidRPr="00A64349">
        <w:rPr>
          <w:rFonts w:ascii="Arial" w:hAnsi="Arial" w:cs="Arial"/>
          <w:lang w:val="el-GR"/>
        </w:rPr>
        <w:t xml:space="preserve"> </w:t>
      </w:r>
      <w:r w:rsidR="00A64349">
        <w:rPr>
          <w:rFonts w:ascii="Arial" w:hAnsi="Arial" w:cs="Arial"/>
          <w:lang w:val="el-GR"/>
        </w:rPr>
        <w:t>άλλο</w:t>
      </w:r>
      <w:r w:rsidR="00C41782">
        <w:rPr>
          <w:rFonts w:ascii="Arial" w:hAnsi="Arial" w:cs="Arial"/>
          <w:lang w:val="el-GR"/>
        </w:rPr>
        <w:t xml:space="preserve"> από τα έκδοχα</w:t>
      </w:r>
    </w:p>
    <w:p w:rsidR="00C41782" w:rsidRPr="00AD0457" w:rsidRDefault="00C41782" w:rsidP="00A067F0">
      <w:pPr>
        <w:numPr>
          <w:ilvl w:val="0"/>
          <w:numId w:val="3"/>
        </w:numPr>
        <w:ind w:right="-11"/>
        <w:jc w:val="both"/>
        <w:rPr>
          <w:rFonts w:ascii="Arial" w:hAnsi="Arial" w:cs="Arial"/>
          <w:lang w:val="el-GR"/>
        </w:rPr>
      </w:pPr>
      <w:r>
        <w:rPr>
          <w:rFonts w:ascii="Arial" w:hAnsi="Arial" w:cs="Arial"/>
          <w:lang w:val="el-GR"/>
        </w:rPr>
        <w:t>ασθενείς με σοβαρή ηπατική δυσλειτουργία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 </w:t>
      </w:r>
    </w:p>
    <w:p w:rsidR="00310F95" w:rsidRDefault="0078689F">
      <w:pPr>
        <w:ind w:left="567" w:right="-11" w:hanging="567"/>
        <w:jc w:val="both"/>
        <w:rPr>
          <w:rFonts w:ascii="Arial" w:hAnsi="Arial" w:cs="Arial"/>
          <w:lang w:val="el-GR"/>
        </w:rPr>
      </w:pPr>
      <w:r w:rsidRPr="00AD0457">
        <w:rPr>
          <w:rFonts w:ascii="Arial" w:hAnsi="Arial" w:cs="Arial"/>
          <w:b/>
          <w:lang w:val="el-GR"/>
        </w:rPr>
        <w:lastRenderedPageBreak/>
        <w:t>4.4</w:t>
      </w:r>
      <w:r w:rsidRPr="00AD0457">
        <w:rPr>
          <w:rFonts w:ascii="Arial" w:hAnsi="Arial" w:cs="Arial"/>
          <w:b/>
          <w:lang w:val="el-GR"/>
        </w:rPr>
        <w:tab/>
      </w:r>
      <w:r w:rsidR="00C41782" w:rsidRPr="00C41782">
        <w:rPr>
          <w:rFonts w:ascii="Arial" w:hAnsi="Arial" w:cs="Arial"/>
          <w:b/>
          <w:lang w:val="el-GR"/>
        </w:rPr>
        <w:t>Ειδικές προειδοποιήσεις και προφυλάξεις κατά τη χρήση</w:t>
      </w:r>
    </w:p>
    <w:p w:rsidR="00C41782" w:rsidRDefault="00C41782" w:rsidP="00A067F0">
      <w:pPr>
        <w:ind w:right="-11"/>
        <w:jc w:val="both"/>
        <w:rPr>
          <w:rFonts w:ascii="Arial" w:hAnsi="Arial" w:cs="Arial"/>
          <w:lang w:val="el-GR"/>
        </w:rPr>
      </w:pPr>
      <w:r>
        <w:rPr>
          <w:rFonts w:ascii="Arial" w:hAnsi="Arial" w:cs="Arial"/>
          <w:lang w:val="el-GR"/>
        </w:rPr>
        <w:t>Η  συνδυασμένη θεραπεία θα πρέπει να συνταγογραφείται μετά από προσεκτική αξιολόγηση οφέλους κινδύνου, λόγω της δυνητικής αύξησης του κινδύνου ανεπιθύ</w:t>
      </w:r>
      <w:r w:rsidR="00A65111">
        <w:rPr>
          <w:rFonts w:ascii="Arial" w:hAnsi="Arial" w:cs="Arial"/>
          <w:lang w:val="el-GR"/>
        </w:rPr>
        <w:t>μητων συμβάντων</w:t>
      </w:r>
      <w:r w:rsidR="005C2C0B">
        <w:rPr>
          <w:rFonts w:ascii="Arial" w:hAnsi="Arial" w:cs="Arial"/>
          <w:lang w:val="el-GR"/>
        </w:rPr>
        <w:t xml:space="preserve"> (συμπεριλαμβανομένης και της καρδιακής ανεπάρκειας)</w:t>
      </w:r>
      <w:r w:rsidR="00A65111">
        <w:rPr>
          <w:rFonts w:ascii="Arial" w:hAnsi="Arial" w:cs="Arial"/>
          <w:lang w:val="el-GR"/>
        </w:rPr>
        <w:t xml:space="preserve"> και μετά από εξ</w:t>
      </w:r>
      <w:r>
        <w:rPr>
          <w:rFonts w:ascii="Arial" w:hAnsi="Arial" w:cs="Arial"/>
          <w:lang w:val="el-GR"/>
        </w:rPr>
        <w:t>έταση εναλλακτικών θεραπευτικών επιλογών, περιλαμβανομένων των μονοθεραπειών (</w:t>
      </w:r>
      <w:r w:rsidRPr="00AD0457">
        <w:rPr>
          <w:rFonts w:ascii="Arial" w:hAnsi="Arial" w:cs="Arial"/>
          <w:lang w:val="el-GR"/>
        </w:rPr>
        <w:t>βλ</w:t>
      </w:r>
      <w:r>
        <w:rPr>
          <w:rFonts w:ascii="Arial" w:hAnsi="Arial" w:cs="Arial"/>
          <w:lang w:val="el-GR"/>
        </w:rPr>
        <w:t>. παράγραφο 4.2).</w:t>
      </w:r>
    </w:p>
    <w:p w:rsidR="00A65111" w:rsidRPr="005C2C0B" w:rsidRDefault="00A65111" w:rsidP="00A067F0">
      <w:pPr>
        <w:ind w:right="-11"/>
        <w:jc w:val="both"/>
        <w:rPr>
          <w:rFonts w:ascii="Arial" w:hAnsi="Arial" w:cs="Arial"/>
          <w:lang w:val="el-GR"/>
        </w:rPr>
      </w:pPr>
    </w:p>
    <w:p w:rsidR="00AA367D" w:rsidRPr="00AA367D" w:rsidRDefault="00AA367D" w:rsidP="00A067F0">
      <w:pPr>
        <w:ind w:right="-11"/>
        <w:jc w:val="both"/>
        <w:rPr>
          <w:rFonts w:ascii="Arial" w:hAnsi="Arial" w:cs="Arial"/>
          <w:i/>
          <w:lang w:val="el-GR"/>
        </w:rPr>
      </w:pPr>
      <w:r w:rsidRPr="00AA367D">
        <w:rPr>
          <w:rFonts w:ascii="Arial" w:hAnsi="Arial" w:cs="Arial"/>
          <w:i/>
          <w:lang w:val="el-GR"/>
        </w:rPr>
        <w:t>Καρδιακή ανεπάρκεια</w:t>
      </w:r>
    </w:p>
    <w:p w:rsidR="00AA367D" w:rsidRDefault="00A65111" w:rsidP="00A65111">
      <w:pPr>
        <w:jc w:val="both"/>
        <w:rPr>
          <w:rFonts w:ascii="Arial" w:hAnsi="Arial" w:cs="Arial"/>
          <w:szCs w:val="22"/>
          <w:lang w:val="el-GR"/>
        </w:rPr>
      </w:pPr>
      <w:r w:rsidRPr="00A65111">
        <w:rPr>
          <w:rFonts w:ascii="Arial" w:hAnsi="Arial" w:cs="Arial"/>
          <w:szCs w:val="22"/>
          <w:lang w:val="el-GR"/>
        </w:rPr>
        <w:t>Σε</w:t>
      </w:r>
      <w:r w:rsidR="00AA367D">
        <w:rPr>
          <w:rFonts w:ascii="Arial" w:hAnsi="Arial" w:cs="Arial"/>
          <w:szCs w:val="22"/>
          <w:lang w:val="el-GR"/>
        </w:rPr>
        <w:t xml:space="preserve"> 2 4-ετείς κλινικές μελέτες</w:t>
      </w:r>
      <w:r w:rsidRPr="00A65111">
        <w:rPr>
          <w:rFonts w:ascii="Arial" w:hAnsi="Arial" w:cs="Arial"/>
          <w:szCs w:val="22"/>
          <w:lang w:val="el-GR"/>
        </w:rPr>
        <w:t xml:space="preserve">, η συχνότητα καρδιακής ανεπάρκειας (ένας σύνθετος όρος καταγεγραμμένων αντιδράσεων, κυρίως καρδιακής ανεπάρκειας και συμφορητικής καρδιακής ανεπάρκειας) ήταν μεγαλύτερη στους ασθενείς που λάμβαναν συνδυαστική φαρμακευτική αγωγή </w:t>
      </w:r>
      <w:proofErr w:type="spellStart"/>
      <w:r w:rsidRPr="00A65111">
        <w:rPr>
          <w:rFonts w:ascii="Arial" w:hAnsi="Arial" w:cs="Arial"/>
          <w:szCs w:val="22"/>
        </w:rPr>
        <w:t>Duagen</w:t>
      </w:r>
      <w:proofErr w:type="spellEnd"/>
      <w:r w:rsidRPr="00A65111">
        <w:rPr>
          <w:rFonts w:ascii="Arial" w:hAnsi="Arial" w:cs="Arial"/>
          <w:szCs w:val="22"/>
          <w:lang w:val="el-GR"/>
        </w:rPr>
        <w:t xml:space="preserve"> με ένα</w:t>
      </w:r>
      <w:r w:rsidR="00131E77">
        <w:rPr>
          <w:rFonts w:ascii="Arial" w:hAnsi="Arial" w:cs="Arial"/>
          <w:szCs w:val="22"/>
          <w:lang w:val="el-GR"/>
        </w:rPr>
        <w:t>ν</w:t>
      </w:r>
      <w:r w:rsidRPr="00A65111">
        <w:rPr>
          <w:rFonts w:ascii="Arial" w:hAnsi="Arial" w:cs="Arial"/>
          <w:szCs w:val="22"/>
          <w:lang w:val="el-GR"/>
        </w:rPr>
        <w:t xml:space="preserve"> άλφα</w:t>
      </w:r>
      <w:r w:rsidR="00131E77">
        <w:rPr>
          <w:rFonts w:ascii="Arial" w:hAnsi="Arial" w:cs="Arial"/>
          <w:szCs w:val="22"/>
          <w:lang w:val="el-GR"/>
        </w:rPr>
        <w:t xml:space="preserve"> </w:t>
      </w:r>
      <w:r w:rsidR="00131E77" w:rsidRPr="002909A9">
        <w:rPr>
          <w:rFonts w:ascii="Arial" w:hAnsi="Arial" w:cs="Arial"/>
          <w:lang w:val="el-GR"/>
        </w:rPr>
        <w:t>αποκλειστή</w:t>
      </w:r>
      <w:r w:rsidR="00AA367D">
        <w:rPr>
          <w:rFonts w:ascii="Arial" w:hAnsi="Arial" w:cs="Arial"/>
          <w:lang w:val="el-GR"/>
        </w:rPr>
        <w:t>, κυρίως</w:t>
      </w:r>
      <w:r w:rsidR="00131E77" w:rsidRPr="002909A9">
        <w:rPr>
          <w:rFonts w:ascii="Arial" w:hAnsi="Arial" w:cs="Arial"/>
          <w:lang w:val="el-GR"/>
        </w:rPr>
        <w:t xml:space="preserve"> ταμσουλοσίνη</w:t>
      </w:r>
      <w:r w:rsidRPr="00A65111">
        <w:rPr>
          <w:rFonts w:ascii="Arial" w:hAnsi="Arial" w:cs="Arial"/>
          <w:szCs w:val="22"/>
          <w:lang w:val="el-GR"/>
        </w:rPr>
        <w:t>, σε σχέση με τους ασθενείς που δεν λάμβαναν θεραπεία συνδυασμού.</w:t>
      </w:r>
      <w:r w:rsidR="00131E77">
        <w:rPr>
          <w:rFonts w:ascii="Arial" w:hAnsi="Arial" w:cs="Arial"/>
          <w:szCs w:val="22"/>
          <w:lang w:val="el-GR"/>
        </w:rPr>
        <w:t xml:space="preserve"> </w:t>
      </w:r>
      <w:r w:rsidR="00AA367D">
        <w:rPr>
          <w:rFonts w:ascii="Arial" w:hAnsi="Arial" w:cs="Arial"/>
          <w:szCs w:val="22"/>
          <w:lang w:val="el-GR"/>
        </w:rPr>
        <w:t xml:space="preserve">Σε αυτές τις δύο κλινικές μελέτες, η εμφάνιση καρδιακής ανεπάρκειας ήταν χαμηλή (≤ 1%) και μεταβλητή μεταξύ των μελετών </w:t>
      </w:r>
      <w:r w:rsidR="005C2C0B">
        <w:rPr>
          <w:rFonts w:ascii="Arial" w:hAnsi="Arial" w:cs="Arial"/>
          <w:szCs w:val="22"/>
          <w:lang w:val="el-GR"/>
        </w:rPr>
        <w:t>(βλ. παράγραφο 5.1).</w:t>
      </w:r>
    </w:p>
    <w:p w:rsidR="005C2C0B" w:rsidRDefault="005C2C0B" w:rsidP="00A65111">
      <w:pPr>
        <w:jc w:val="both"/>
        <w:rPr>
          <w:rFonts w:ascii="Arial" w:hAnsi="Arial" w:cs="Arial"/>
          <w:szCs w:val="22"/>
          <w:lang w:val="el-GR"/>
        </w:rPr>
      </w:pPr>
    </w:p>
    <w:p w:rsidR="00AA367D" w:rsidRPr="00AA367D" w:rsidRDefault="00AA367D" w:rsidP="00A65111">
      <w:pPr>
        <w:jc w:val="both"/>
        <w:rPr>
          <w:rFonts w:ascii="Arial" w:hAnsi="Arial" w:cs="Arial"/>
          <w:i/>
          <w:szCs w:val="22"/>
          <w:lang w:val="el-GR"/>
        </w:rPr>
      </w:pPr>
      <w:r w:rsidRPr="00AA367D">
        <w:rPr>
          <w:rFonts w:ascii="Arial" w:hAnsi="Arial" w:cs="Arial"/>
          <w:i/>
          <w:szCs w:val="22"/>
          <w:lang w:val="el-GR"/>
        </w:rPr>
        <w:t>Επίδραση στο ειδικό προστατικό αντιγόνο (</w:t>
      </w:r>
      <w:r w:rsidRPr="00AA367D">
        <w:rPr>
          <w:rFonts w:ascii="Arial" w:hAnsi="Arial" w:cs="Arial"/>
          <w:i/>
          <w:szCs w:val="22"/>
        </w:rPr>
        <w:t>PSA</w:t>
      </w:r>
      <w:r w:rsidRPr="00AA367D">
        <w:rPr>
          <w:rFonts w:ascii="Arial" w:hAnsi="Arial" w:cs="Arial"/>
          <w:i/>
          <w:szCs w:val="22"/>
          <w:lang w:val="el-GR"/>
        </w:rPr>
        <w:t xml:space="preserve">) και την ανίχνευση του καρκίνου του προστάτη </w:t>
      </w:r>
    </w:p>
    <w:p w:rsidR="0078689F" w:rsidRDefault="0078689F" w:rsidP="00A067F0">
      <w:pPr>
        <w:ind w:right="-11"/>
        <w:jc w:val="both"/>
        <w:rPr>
          <w:rFonts w:ascii="Arial" w:hAnsi="Arial" w:cs="Arial"/>
          <w:lang w:val="el-GR"/>
        </w:rPr>
      </w:pPr>
      <w:r w:rsidRPr="00AD0457">
        <w:rPr>
          <w:rFonts w:ascii="Arial" w:hAnsi="Arial" w:cs="Arial"/>
          <w:lang w:val="el-GR"/>
        </w:rPr>
        <w:t xml:space="preserve">Πριν από την έναρξη χορήγησης του </w:t>
      </w:r>
      <w:proofErr w:type="spellStart"/>
      <w:r w:rsidR="0009026D">
        <w:rPr>
          <w:rFonts w:ascii="Arial" w:hAnsi="Arial" w:cs="Arial"/>
        </w:rPr>
        <w:t>Duagen</w:t>
      </w:r>
      <w:proofErr w:type="spellEnd"/>
      <w:r w:rsidRPr="00AD0457">
        <w:rPr>
          <w:rFonts w:ascii="Arial" w:hAnsi="Arial" w:cs="Arial"/>
          <w:lang w:val="el-GR"/>
        </w:rPr>
        <w:t xml:space="preserve">, καθώς και σε τακτικά διαστήματα κατά την διάρκεια της θεραπείας, οι ασθενείς θα πρέπει να ελέγχονται με </w:t>
      </w:r>
      <w:r w:rsidR="0084323E">
        <w:rPr>
          <w:rFonts w:ascii="Arial" w:hAnsi="Arial" w:cs="Arial"/>
          <w:lang w:val="el-GR"/>
        </w:rPr>
        <w:t>ψηφιακή</w:t>
      </w:r>
      <w:r w:rsidRPr="00AD0457">
        <w:rPr>
          <w:rFonts w:ascii="Arial" w:hAnsi="Arial" w:cs="Arial"/>
          <w:lang w:val="el-GR"/>
        </w:rPr>
        <w:t xml:space="preserve"> εξέταση δια του ορθού και με άλλες εξετάσεις για την ανίχνευση προστατικού καρκίνου.</w:t>
      </w:r>
    </w:p>
    <w:p w:rsidR="00AA367D" w:rsidRDefault="005C2C0B" w:rsidP="00A067F0">
      <w:pPr>
        <w:ind w:right="-11"/>
        <w:jc w:val="both"/>
        <w:rPr>
          <w:rFonts w:ascii="Arial" w:hAnsi="Arial" w:cs="Arial"/>
          <w:lang w:val="el-GR"/>
        </w:rPr>
      </w:pPr>
      <w:r>
        <w:rPr>
          <w:rFonts w:ascii="Arial" w:hAnsi="Arial" w:cs="Arial"/>
          <w:lang w:val="el-GR"/>
        </w:rPr>
        <w:t>Τα επίπεδα του ειδικού προστατικού αντιγόνου (</w:t>
      </w:r>
      <w:r>
        <w:rPr>
          <w:rFonts w:ascii="Arial" w:hAnsi="Arial" w:cs="Arial"/>
        </w:rPr>
        <w:t>PSA</w:t>
      </w:r>
      <w:r w:rsidRPr="005C2C0B">
        <w:rPr>
          <w:rFonts w:ascii="Arial" w:hAnsi="Arial" w:cs="Arial"/>
          <w:lang w:val="el-GR"/>
        </w:rPr>
        <w:t xml:space="preserve">) </w:t>
      </w:r>
      <w:r>
        <w:rPr>
          <w:rFonts w:ascii="Arial" w:hAnsi="Arial" w:cs="Arial"/>
          <w:lang w:val="el-GR"/>
        </w:rPr>
        <w:t xml:space="preserve">στον ορό αποτελούν βασικό μέσο για την ανίχνευση προστατικού καρκίνου. Μετά την 6μηνη αγωγή με </w:t>
      </w:r>
      <w:proofErr w:type="spellStart"/>
      <w:r>
        <w:rPr>
          <w:rFonts w:ascii="Arial" w:hAnsi="Arial" w:cs="Arial"/>
        </w:rPr>
        <w:t>Duagen</w:t>
      </w:r>
      <w:proofErr w:type="spellEnd"/>
      <w:r w:rsidRPr="005C2C0B">
        <w:rPr>
          <w:rFonts w:ascii="Arial" w:hAnsi="Arial" w:cs="Arial"/>
          <w:lang w:val="el-GR"/>
        </w:rPr>
        <w:t xml:space="preserve"> </w:t>
      </w:r>
      <w:r>
        <w:rPr>
          <w:rFonts w:ascii="Arial" w:hAnsi="Arial" w:cs="Arial"/>
          <w:lang w:val="el-GR"/>
        </w:rPr>
        <w:t xml:space="preserve">παρατηρείται μείωση στη μέση συγκέντρωση </w:t>
      </w:r>
      <w:r>
        <w:rPr>
          <w:rFonts w:ascii="Arial" w:hAnsi="Arial" w:cs="Arial"/>
        </w:rPr>
        <w:t>PSA</w:t>
      </w:r>
      <w:r w:rsidRPr="005C2C0B">
        <w:rPr>
          <w:rFonts w:ascii="Arial" w:hAnsi="Arial" w:cs="Arial"/>
          <w:lang w:val="el-GR"/>
        </w:rPr>
        <w:t xml:space="preserve"> </w:t>
      </w:r>
      <w:r>
        <w:rPr>
          <w:rFonts w:ascii="Arial" w:hAnsi="Arial" w:cs="Arial"/>
          <w:lang w:val="el-GR"/>
        </w:rPr>
        <w:t>στον ορό κατά περίπου 50%.</w:t>
      </w:r>
    </w:p>
    <w:p w:rsidR="00CE675E" w:rsidRDefault="00AA367D" w:rsidP="00A067F0">
      <w:pPr>
        <w:ind w:right="-11"/>
        <w:jc w:val="both"/>
        <w:rPr>
          <w:rFonts w:ascii="Arial" w:hAnsi="Arial" w:cs="Arial"/>
          <w:lang w:val="el-GR"/>
        </w:rPr>
      </w:pPr>
      <w:r>
        <w:rPr>
          <w:rFonts w:ascii="Arial" w:hAnsi="Arial" w:cs="Arial"/>
          <w:lang w:val="el-GR"/>
        </w:rPr>
        <w:t xml:space="preserve">Σε ασθενείς που λαμβάνουν </w:t>
      </w:r>
      <w:proofErr w:type="spellStart"/>
      <w:r>
        <w:rPr>
          <w:rFonts w:ascii="Arial" w:hAnsi="Arial" w:cs="Arial"/>
        </w:rPr>
        <w:t>Duagen</w:t>
      </w:r>
      <w:proofErr w:type="spellEnd"/>
      <w:r w:rsidRPr="00AA367D">
        <w:rPr>
          <w:rFonts w:ascii="Arial" w:hAnsi="Arial" w:cs="Arial"/>
          <w:lang w:val="el-GR"/>
        </w:rPr>
        <w:t xml:space="preserve"> </w:t>
      </w:r>
      <w:r>
        <w:rPr>
          <w:rFonts w:ascii="Arial" w:hAnsi="Arial" w:cs="Arial"/>
          <w:lang w:val="el-GR"/>
        </w:rPr>
        <w:t>θα πρέπει να</w:t>
      </w:r>
      <w:r w:rsidR="00B86B53">
        <w:rPr>
          <w:rFonts w:ascii="Arial" w:hAnsi="Arial" w:cs="Arial"/>
          <w:lang w:val="el-GR"/>
        </w:rPr>
        <w:t xml:space="preserve"> </w:t>
      </w:r>
      <w:r>
        <w:rPr>
          <w:rFonts w:ascii="Arial" w:hAnsi="Arial" w:cs="Arial"/>
          <w:lang w:val="el-GR"/>
        </w:rPr>
        <w:t>καθορίζεται</w:t>
      </w:r>
      <w:r w:rsidR="00B86B53">
        <w:rPr>
          <w:rFonts w:ascii="Arial" w:hAnsi="Arial" w:cs="Arial"/>
          <w:lang w:val="el-GR"/>
        </w:rPr>
        <w:t xml:space="preserve"> εκ νέου</w:t>
      </w:r>
      <w:r>
        <w:rPr>
          <w:rFonts w:ascii="Arial" w:hAnsi="Arial" w:cs="Arial"/>
          <w:lang w:val="el-GR"/>
        </w:rPr>
        <w:t xml:space="preserve"> η αρχική συγκέντρωση </w:t>
      </w:r>
      <w:r>
        <w:rPr>
          <w:rFonts w:ascii="Arial" w:hAnsi="Arial" w:cs="Arial"/>
        </w:rPr>
        <w:t>PSA</w:t>
      </w:r>
      <w:r w:rsidRPr="00AA367D">
        <w:rPr>
          <w:rFonts w:ascii="Arial" w:hAnsi="Arial" w:cs="Arial"/>
          <w:lang w:val="el-GR"/>
        </w:rPr>
        <w:t xml:space="preserve"> </w:t>
      </w:r>
      <w:r>
        <w:rPr>
          <w:rFonts w:ascii="Arial" w:hAnsi="Arial" w:cs="Arial"/>
          <w:lang w:val="el-GR"/>
        </w:rPr>
        <w:t>ύστερα από 6 μήνες θεραπε</w:t>
      </w:r>
      <w:r w:rsidR="00B86B53">
        <w:rPr>
          <w:rFonts w:ascii="Arial" w:hAnsi="Arial" w:cs="Arial"/>
          <w:lang w:val="el-GR"/>
        </w:rPr>
        <w:t xml:space="preserve">ίας και προτείνεται στη συνέχεια να γίνεται τακτική παρακολούθηση του επιπέδου </w:t>
      </w:r>
      <w:r w:rsidR="00B86B53">
        <w:rPr>
          <w:rFonts w:ascii="Arial" w:hAnsi="Arial" w:cs="Arial"/>
        </w:rPr>
        <w:t>PSA</w:t>
      </w:r>
      <w:r w:rsidR="00B86B53" w:rsidRPr="00B86B53">
        <w:rPr>
          <w:rFonts w:ascii="Arial" w:hAnsi="Arial" w:cs="Arial"/>
          <w:lang w:val="el-GR"/>
        </w:rPr>
        <w:t xml:space="preserve">. </w:t>
      </w:r>
      <w:r w:rsidR="00B86B53">
        <w:rPr>
          <w:rFonts w:ascii="Arial" w:hAnsi="Arial" w:cs="Arial"/>
          <w:lang w:val="el-GR"/>
        </w:rPr>
        <w:t xml:space="preserve">Οποιαδήποτε επιβεβαιωμένη αύξηση από το χαμηλότερο επίπεδο </w:t>
      </w:r>
      <w:r w:rsidR="00B86B53">
        <w:rPr>
          <w:rFonts w:ascii="Arial" w:hAnsi="Arial" w:cs="Arial"/>
        </w:rPr>
        <w:t>PSA</w:t>
      </w:r>
      <w:r w:rsidR="00B86B53" w:rsidRPr="00B86B53">
        <w:rPr>
          <w:rFonts w:ascii="Arial" w:hAnsi="Arial" w:cs="Arial"/>
          <w:lang w:val="el-GR"/>
        </w:rPr>
        <w:t xml:space="preserve"> </w:t>
      </w:r>
      <w:r w:rsidR="00B86B53">
        <w:rPr>
          <w:rFonts w:ascii="Arial" w:hAnsi="Arial" w:cs="Arial"/>
          <w:lang w:val="el-GR"/>
        </w:rPr>
        <w:t xml:space="preserve">κατά τη διάρκεια θεραπείας με </w:t>
      </w:r>
      <w:proofErr w:type="spellStart"/>
      <w:r w:rsidR="00B86B53">
        <w:rPr>
          <w:rFonts w:ascii="Arial" w:hAnsi="Arial" w:cs="Arial"/>
        </w:rPr>
        <w:t>Duagen</w:t>
      </w:r>
      <w:proofErr w:type="spellEnd"/>
      <w:r w:rsidR="00B86B53" w:rsidRPr="00B86B53">
        <w:rPr>
          <w:rFonts w:ascii="Arial" w:hAnsi="Arial" w:cs="Arial"/>
          <w:lang w:val="el-GR"/>
        </w:rPr>
        <w:t xml:space="preserve"> </w:t>
      </w:r>
      <w:r w:rsidR="00B86B53">
        <w:rPr>
          <w:rFonts w:ascii="Arial" w:hAnsi="Arial" w:cs="Arial"/>
          <w:lang w:val="el-GR"/>
        </w:rPr>
        <w:t>μπορεί να αποτελεί ένδειξη παρουσίας καρκίνου του προστάτη (ειδικά υψηλού βαθμού</w:t>
      </w:r>
      <w:r w:rsidR="00780A43">
        <w:rPr>
          <w:rFonts w:ascii="Arial" w:hAnsi="Arial" w:cs="Arial"/>
          <w:lang w:val="el-GR"/>
        </w:rPr>
        <w:t xml:space="preserve"> κακοήθειας)</w:t>
      </w:r>
      <w:r w:rsidR="00B86B53">
        <w:rPr>
          <w:rFonts w:ascii="Arial" w:hAnsi="Arial" w:cs="Arial"/>
          <w:lang w:val="el-GR"/>
        </w:rPr>
        <w:t xml:space="preserve"> ή ένδειξη μη συμμόρφωσης με τη θεραπεία με </w:t>
      </w:r>
      <w:proofErr w:type="spellStart"/>
      <w:r w:rsidR="00B86B53">
        <w:rPr>
          <w:rFonts w:ascii="Arial" w:hAnsi="Arial" w:cs="Arial"/>
        </w:rPr>
        <w:t>Duagen</w:t>
      </w:r>
      <w:proofErr w:type="spellEnd"/>
      <w:r w:rsidR="00B86B53" w:rsidRPr="00B86B53">
        <w:rPr>
          <w:rFonts w:ascii="Arial" w:hAnsi="Arial" w:cs="Arial"/>
          <w:lang w:val="el-GR"/>
        </w:rPr>
        <w:t xml:space="preserve"> </w:t>
      </w:r>
      <w:r w:rsidR="00B86B53">
        <w:rPr>
          <w:rFonts w:ascii="Arial" w:hAnsi="Arial" w:cs="Arial"/>
          <w:lang w:val="el-GR"/>
        </w:rPr>
        <w:t>και θα πρέπει να αξιολογείται προσεκτικά, ακόμα και αν οι τιμές αυτές</w:t>
      </w:r>
      <w:r w:rsidR="000970F8">
        <w:rPr>
          <w:rFonts w:ascii="Arial" w:hAnsi="Arial" w:cs="Arial"/>
          <w:lang w:val="el-GR"/>
        </w:rPr>
        <w:t xml:space="preserve"> </w:t>
      </w:r>
      <w:r w:rsidR="00B86B53">
        <w:rPr>
          <w:rFonts w:ascii="Arial" w:hAnsi="Arial" w:cs="Arial"/>
          <w:lang w:val="el-GR"/>
        </w:rPr>
        <w:t>παραμένουν εντ</w:t>
      </w:r>
      <w:r w:rsidR="00780A43">
        <w:rPr>
          <w:rFonts w:ascii="Arial" w:hAnsi="Arial" w:cs="Arial"/>
          <w:lang w:val="el-GR"/>
        </w:rPr>
        <w:t>ό</w:t>
      </w:r>
      <w:r w:rsidR="00B86B53">
        <w:rPr>
          <w:rFonts w:ascii="Arial" w:hAnsi="Arial" w:cs="Arial"/>
          <w:lang w:val="el-GR"/>
        </w:rPr>
        <w:t>ς των φυσιολογικών ορίων για άντρες που δε λαμβάνουν αναστολείς της 5-άλφα αναγωγάσης (βλ. παράγραφο 5.1)</w:t>
      </w:r>
      <w:r w:rsidR="00612E0B">
        <w:rPr>
          <w:rFonts w:ascii="Arial" w:hAnsi="Arial" w:cs="Arial"/>
          <w:lang w:val="el-GR"/>
        </w:rPr>
        <w:t xml:space="preserve">. Για την ερμηνεία των τιμών </w:t>
      </w:r>
      <w:r w:rsidR="00612E0B">
        <w:rPr>
          <w:rFonts w:ascii="Arial" w:hAnsi="Arial" w:cs="Arial"/>
        </w:rPr>
        <w:t>PSA</w:t>
      </w:r>
      <w:r w:rsidR="00612E0B" w:rsidRPr="00612E0B">
        <w:rPr>
          <w:rFonts w:ascii="Arial" w:hAnsi="Arial" w:cs="Arial"/>
          <w:lang w:val="el-GR"/>
        </w:rPr>
        <w:t xml:space="preserve"> </w:t>
      </w:r>
      <w:r w:rsidR="00612E0B">
        <w:rPr>
          <w:rFonts w:ascii="Arial" w:hAnsi="Arial" w:cs="Arial"/>
          <w:lang w:val="el-GR"/>
        </w:rPr>
        <w:t xml:space="preserve">σε ασθενείς που λαμβάνουν </w:t>
      </w:r>
      <w:proofErr w:type="spellStart"/>
      <w:r w:rsidR="00612E0B">
        <w:rPr>
          <w:rFonts w:ascii="Arial" w:hAnsi="Arial" w:cs="Arial"/>
        </w:rPr>
        <w:t>Duagen</w:t>
      </w:r>
      <w:proofErr w:type="spellEnd"/>
      <w:r w:rsidR="00612E0B" w:rsidRPr="00612E0B">
        <w:rPr>
          <w:rFonts w:ascii="Arial" w:hAnsi="Arial" w:cs="Arial"/>
          <w:lang w:val="el-GR"/>
        </w:rPr>
        <w:t xml:space="preserve">, </w:t>
      </w:r>
      <w:r w:rsidR="00612E0B">
        <w:rPr>
          <w:rFonts w:ascii="Arial" w:hAnsi="Arial" w:cs="Arial"/>
          <w:lang w:val="el-GR"/>
        </w:rPr>
        <w:t xml:space="preserve">προτείνεται η αναζήτηση παλαιότερων τιμών </w:t>
      </w:r>
      <w:r w:rsidR="00612E0B">
        <w:rPr>
          <w:rFonts w:ascii="Arial" w:hAnsi="Arial" w:cs="Arial"/>
        </w:rPr>
        <w:t>PSA</w:t>
      </w:r>
      <w:r w:rsidR="00612E0B" w:rsidRPr="00612E0B">
        <w:rPr>
          <w:rFonts w:ascii="Arial" w:hAnsi="Arial" w:cs="Arial"/>
          <w:lang w:val="el-GR"/>
        </w:rPr>
        <w:t xml:space="preserve"> </w:t>
      </w:r>
      <w:r w:rsidR="00612E0B">
        <w:rPr>
          <w:rFonts w:ascii="Arial" w:hAnsi="Arial" w:cs="Arial"/>
          <w:lang w:val="el-GR"/>
        </w:rPr>
        <w:t>για σύγκριση.</w:t>
      </w:r>
    </w:p>
    <w:p w:rsidR="00780A43" w:rsidRDefault="00CE675E" w:rsidP="00A067F0">
      <w:pPr>
        <w:ind w:right="-11"/>
        <w:jc w:val="both"/>
        <w:rPr>
          <w:rFonts w:ascii="Arial" w:hAnsi="Arial" w:cs="Arial"/>
          <w:lang w:val="el-GR"/>
        </w:rPr>
      </w:pPr>
      <w:r>
        <w:rPr>
          <w:rFonts w:ascii="Arial" w:hAnsi="Arial" w:cs="Arial"/>
          <w:lang w:val="el-GR"/>
        </w:rPr>
        <w:t xml:space="preserve">Η θεραπεία με </w:t>
      </w:r>
      <w:proofErr w:type="spellStart"/>
      <w:r>
        <w:rPr>
          <w:rFonts w:ascii="Arial" w:hAnsi="Arial" w:cs="Arial"/>
        </w:rPr>
        <w:t>Duagen</w:t>
      </w:r>
      <w:proofErr w:type="spellEnd"/>
      <w:r w:rsidRPr="00CE675E">
        <w:rPr>
          <w:rFonts w:ascii="Arial" w:hAnsi="Arial" w:cs="Arial"/>
          <w:lang w:val="el-GR"/>
        </w:rPr>
        <w:t xml:space="preserve"> </w:t>
      </w:r>
      <w:r>
        <w:rPr>
          <w:rFonts w:ascii="Arial" w:hAnsi="Arial" w:cs="Arial"/>
          <w:lang w:val="el-GR"/>
        </w:rPr>
        <w:t xml:space="preserve">δεν επηρεάζει τη χρήση του </w:t>
      </w:r>
      <w:r>
        <w:rPr>
          <w:rFonts w:ascii="Arial" w:hAnsi="Arial" w:cs="Arial"/>
        </w:rPr>
        <w:t>PSA</w:t>
      </w:r>
      <w:r w:rsidRPr="00CE675E">
        <w:rPr>
          <w:rFonts w:ascii="Arial" w:hAnsi="Arial" w:cs="Arial"/>
          <w:lang w:val="el-GR"/>
        </w:rPr>
        <w:t xml:space="preserve"> </w:t>
      </w:r>
      <w:r>
        <w:rPr>
          <w:rFonts w:ascii="Arial" w:hAnsi="Arial" w:cs="Arial"/>
          <w:lang w:val="el-GR"/>
        </w:rPr>
        <w:t xml:space="preserve">ως εργαλείου που βοηθάει στη διάγνωση του </w:t>
      </w:r>
      <w:r w:rsidR="00CA0458">
        <w:rPr>
          <w:rFonts w:ascii="Arial" w:hAnsi="Arial" w:cs="Arial"/>
          <w:lang w:val="el-GR"/>
        </w:rPr>
        <w:t xml:space="preserve">προστατικού </w:t>
      </w:r>
      <w:r>
        <w:rPr>
          <w:rFonts w:ascii="Arial" w:hAnsi="Arial" w:cs="Arial"/>
          <w:lang w:val="el-GR"/>
        </w:rPr>
        <w:t>καρκίνου αν πρώτα έχει γίνει καθορισμός νέας αρχικής τιμής (βλ. παράγραφο 5.1).</w:t>
      </w:r>
    </w:p>
    <w:p w:rsidR="00780A43" w:rsidRPr="00AD0457" w:rsidRDefault="00780A43" w:rsidP="00780A43">
      <w:pPr>
        <w:ind w:right="-11"/>
        <w:jc w:val="both"/>
        <w:rPr>
          <w:rFonts w:ascii="Arial" w:hAnsi="Arial" w:cs="Arial"/>
          <w:lang w:val="el-GR"/>
        </w:rPr>
      </w:pPr>
      <w:r w:rsidRPr="00AD0457">
        <w:rPr>
          <w:rFonts w:ascii="Arial" w:hAnsi="Arial" w:cs="Arial"/>
          <w:lang w:val="el-GR"/>
        </w:rPr>
        <w:t xml:space="preserve">Το ολικό επίπεδο </w:t>
      </w:r>
      <w:r w:rsidRPr="00AD0457">
        <w:rPr>
          <w:rFonts w:ascii="Arial" w:hAnsi="Arial" w:cs="Arial"/>
        </w:rPr>
        <w:t>PSA</w:t>
      </w:r>
      <w:r w:rsidRPr="00AD0457">
        <w:rPr>
          <w:rFonts w:ascii="Arial" w:hAnsi="Arial" w:cs="Arial"/>
          <w:lang w:val="el-GR"/>
        </w:rPr>
        <w:t xml:space="preserve"> ορού επανέρχεται στην αρχική τιμή εντός 6 μηνών από την διακοπή της θεραπείας. Ο λόγος τιμών μεταξύ ελεύθερου και ολικού </w:t>
      </w:r>
      <w:r w:rsidRPr="00AD0457">
        <w:rPr>
          <w:rFonts w:ascii="Arial" w:hAnsi="Arial" w:cs="Arial"/>
        </w:rPr>
        <w:t>PSA</w:t>
      </w:r>
      <w:r w:rsidRPr="00AD0457">
        <w:rPr>
          <w:rFonts w:ascii="Arial" w:hAnsi="Arial" w:cs="Arial"/>
          <w:lang w:val="el-GR"/>
        </w:rPr>
        <w:t xml:space="preserve"> δεν επηρεάζεται από το </w:t>
      </w:r>
      <w:proofErr w:type="spellStart"/>
      <w:r>
        <w:rPr>
          <w:rFonts w:ascii="Arial" w:hAnsi="Arial" w:cs="Arial"/>
        </w:rPr>
        <w:t>Duagen</w:t>
      </w:r>
      <w:proofErr w:type="spellEnd"/>
      <w:r w:rsidRPr="00AD0457">
        <w:rPr>
          <w:rFonts w:ascii="Arial" w:hAnsi="Arial" w:cs="Arial"/>
          <w:lang w:val="el-GR"/>
        </w:rPr>
        <w:t xml:space="preserve">. Εάν ο γιατρός επιλέξει να χρησιμοποιήσει το ποσοστό του ελεύθερου </w:t>
      </w:r>
      <w:r w:rsidRPr="00AD0457">
        <w:rPr>
          <w:rFonts w:ascii="Arial" w:hAnsi="Arial" w:cs="Arial"/>
        </w:rPr>
        <w:t>PSA</w:t>
      </w:r>
      <w:r w:rsidRPr="00AD0457">
        <w:rPr>
          <w:rFonts w:ascii="Arial" w:hAnsi="Arial" w:cs="Arial"/>
          <w:lang w:val="el-GR"/>
        </w:rPr>
        <w:t xml:space="preserve"> ως μέσο ανίχνευσης προστατικού καρκίνου, δεν απαιτείται προσαρμογή της τιμής σε ασθενείς που λαμβάνουν το φάρμακο.</w:t>
      </w:r>
    </w:p>
    <w:p w:rsidR="00C5386E" w:rsidRDefault="00C5386E" w:rsidP="00A067F0">
      <w:pPr>
        <w:ind w:right="-11"/>
        <w:jc w:val="both"/>
        <w:rPr>
          <w:rFonts w:ascii="Arial" w:hAnsi="Arial" w:cs="Arial"/>
          <w:lang w:val="el-GR"/>
        </w:rPr>
      </w:pPr>
    </w:p>
    <w:p w:rsidR="008C0A8F" w:rsidRPr="00626CD4" w:rsidRDefault="00626CD4" w:rsidP="00A067F0">
      <w:pPr>
        <w:ind w:right="-11"/>
        <w:jc w:val="both"/>
        <w:rPr>
          <w:rFonts w:ascii="Arial" w:hAnsi="Arial" w:cs="Arial"/>
          <w:i/>
          <w:lang w:val="el-GR"/>
        </w:rPr>
      </w:pPr>
      <w:r w:rsidRPr="00626CD4">
        <w:rPr>
          <w:rFonts w:ascii="Arial" w:hAnsi="Arial" w:cs="Arial"/>
          <w:i/>
          <w:lang w:val="el-GR"/>
        </w:rPr>
        <w:t>Προστατικός καρκίνος και</w:t>
      </w:r>
      <w:r w:rsidR="00720FF3">
        <w:rPr>
          <w:rFonts w:ascii="Arial" w:hAnsi="Arial" w:cs="Arial"/>
          <w:i/>
          <w:lang w:val="el-GR"/>
        </w:rPr>
        <w:t xml:space="preserve"> </w:t>
      </w:r>
      <w:r w:rsidR="00780A43">
        <w:rPr>
          <w:rFonts w:ascii="Arial" w:hAnsi="Arial" w:cs="Arial"/>
          <w:i/>
          <w:lang w:val="el-GR"/>
        </w:rPr>
        <w:t>όγκοι</w:t>
      </w:r>
      <w:r w:rsidRPr="00626CD4">
        <w:rPr>
          <w:rFonts w:ascii="Arial" w:hAnsi="Arial" w:cs="Arial"/>
          <w:i/>
          <w:lang w:val="el-GR"/>
        </w:rPr>
        <w:t xml:space="preserve"> υψηλού βαθμού</w:t>
      </w:r>
      <w:r w:rsidR="00720FF3">
        <w:rPr>
          <w:rFonts w:ascii="Arial" w:hAnsi="Arial" w:cs="Arial"/>
          <w:i/>
          <w:lang w:val="el-GR"/>
        </w:rPr>
        <w:t xml:space="preserve"> </w:t>
      </w:r>
      <w:r w:rsidR="00780A43">
        <w:rPr>
          <w:rFonts w:ascii="Arial" w:hAnsi="Arial" w:cs="Arial"/>
          <w:i/>
          <w:lang w:val="el-GR"/>
        </w:rPr>
        <w:t>κακοήθειας</w:t>
      </w:r>
    </w:p>
    <w:p w:rsidR="00AA367D" w:rsidRDefault="00626CD4" w:rsidP="00A067F0">
      <w:pPr>
        <w:ind w:right="-11"/>
        <w:jc w:val="both"/>
        <w:rPr>
          <w:rFonts w:ascii="Arial" w:hAnsi="Arial" w:cs="Arial"/>
          <w:lang w:val="el-GR"/>
        </w:rPr>
      </w:pPr>
      <w:r>
        <w:rPr>
          <w:rFonts w:ascii="Arial" w:hAnsi="Arial" w:cs="Arial"/>
          <w:lang w:val="el-GR"/>
        </w:rPr>
        <w:t xml:space="preserve">Τα αποτελέσματα μιας κλινικής μελέτης (η </w:t>
      </w:r>
      <w:r>
        <w:rPr>
          <w:rFonts w:ascii="Arial" w:hAnsi="Arial" w:cs="Arial"/>
        </w:rPr>
        <w:t>REDUCE</w:t>
      </w:r>
      <w:r w:rsidRPr="00626CD4">
        <w:rPr>
          <w:rFonts w:ascii="Arial" w:hAnsi="Arial" w:cs="Arial"/>
          <w:lang w:val="el-GR"/>
        </w:rPr>
        <w:t xml:space="preserve"> </w:t>
      </w:r>
      <w:r>
        <w:rPr>
          <w:rFonts w:ascii="Arial" w:hAnsi="Arial" w:cs="Arial"/>
          <w:lang w:val="el-GR"/>
        </w:rPr>
        <w:t>μελέτη) σε άνδρες με αυξημένο κίνδυνο προστατικού καρκίνου αποκάλυψ</w:t>
      </w:r>
      <w:r w:rsidR="00780A43">
        <w:rPr>
          <w:rFonts w:ascii="Arial" w:hAnsi="Arial" w:cs="Arial"/>
          <w:lang w:val="el-GR"/>
        </w:rPr>
        <w:t>αν</w:t>
      </w:r>
      <w:r>
        <w:rPr>
          <w:rFonts w:ascii="Arial" w:hAnsi="Arial" w:cs="Arial"/>
          <w:lang w:val="el-GR"/>
        </w:rPr>
        <w:t xml:space="preserve"> συχνότερη εμφάνιση προστατικού καρκίνου </w:t>
      </w:r>
      <w:r w:rsidR="00780A43">
        <w:rPr>
          <w:rFonts w:ascii="Arial" w:hAnsi="Arial" w:cs="Arial"/>
          <w:lang w:val="el-GR"/>
        </w:rPr>
        <w:t>βαθμού</w:t>
      </w:r>
      <w:r w:rsidRPr="00626CD4">
        <w:rPr>
          <w:rFonts w:ascii="Arial" w:hAnsi="Arial" w:cs="Arial"/>
          <w:lang w:val="el-GR"/>
        </w:rPr>
        <w:t xml:space="preserve"> 8-10</w:t>
      </w:r>
      <w:r>
        <w:rPr>
          <w:rFonts w:ascii="Arial" w:hAnsi="Arial" w:cs="Arial"/>
          <w:lang w:val="el-GR"/>
        </w:rPr>
        <w:t xml:space="preserve"> </w:t>
      </w:r>
      <w:r w:rsidR="00780A43">
        <w:rPr>
          <w:rFonts w:ascii="Arial" w:hAnsi="Arial" w:cs="Arial"/>
          <w:lang w:val="el-GR"/>
        </w:rPr>
        <w:t xml:space="preserve">κατά </w:t>
      </w:r>
      <w:r w:rsidR="00780A43">
        <w:rPr>
          <w:rFonts w:ascii="Arial" w:hAnsi="Arial" w:cs="Arial"/>
        </w:rPr>
        <w:t>Gleason</w:t>
      </w:r>
      <w:r w:rsidR="00780A43" w:rsidRPr="00780A43">
        <w:rPr>
          <w:rFonts w:ascii="Arial" w:hAnsi="Arial" w:cs="Arial"/>
          <w:lang w:val="el-GR"/>
        </w:rPr>
        <w:t xml:space="preserve"> </w:t>
      </w:r>
      <w:r>
        <w:rPr>
          <w:rFonts w:ascii="Arial" w:hAnsi="Arial" w:cs="Arial"/>
          <w:lang w:val="el-GR"/>
        </w:rPr>
        <w:t>σε άνδρες που λάμβαναν θεραπεία με ντουταστερίδη σε σχέση</w:t>
      </w:r>
      <w:r w:rsidR="000970F8">
        <w:rPr>
          <w:rFonts w:ascii="Arial" w:hAnsi="Arial" w:cs="Arial"/>
          <w:lang w:val="el-GR"/>
        </w:rPr>
        <w:t xml:space="preserve"> </w:t>
      </w:r>
      <w:r>
        <w:rPr>
          <w:rFonts w:ascii="Arial" w:hAnsi="Arial" w:cs="Arial"/>
          <w:lang w:val="el-GR"/>
        </w:rPr>
        <w:t>με αυτούς που λάμβαναν εικονικό φάρμακο. Η σχέση ανάμεσα στη ντουταστερίδη και τον</w:t>
      </w:r>
      <w:r w:rsidR="00780A43" w:rsidRPr="00780A43">
        <w:rPr>
          <w:rFonts w:ascii="Arial" w:hAnsi="Arial" w:cs="Arial"/>
          <w:lang w:val="el-GR"/>
        </w:rPr>
        <w:t xml:space="preserve"> </w:t>
      </w:r>
      <w:r w:rsidR="00780A43">
        <w:rPr>
          <w:rFonts w:ascii="Arial" w:hAnsi="Arial" w:cs="Arial"/>
          <w:lang w:val="el-GR"/>
        </w:rPr>
        <w:t>προστατικό καρκίνο</w:t>
      </w:r>
      <w:r w:rsidR="00910F40">
        <w:rPr>
          <w:rFonts w:ascii="Arial" w:hAnsi="Arial" w:cs="Arial"/>
          <w:lang w:val="el-GR"/>
        </w:rPr>
        <w:t xml:space="preserve"> </w:t>
      </w:r>
      <w:r>
        <w:rPr>
          <w:rFonts w:ascii="Arial" w:hAnsi="Arial" w:cs="Arial"/>
          <w:lang w:val="el-GR"/>
        </w:rPr>
        <w:t>υψηλού βαθμού</w:t>
      </w:r>
      <w:r w:rsidR="009838DD">
        <w:rPr>
          <w:rFonts w:ascii="Arial" w:hAnsi="Arial" w:cs="Arial"/>
          <w:lang w:val="el-GR"/>
        </w:rPr>
        <w:t xml:space="preserve"> </w:t>
      </w:r>
      <w:r w:rsidR="00780A43">
        <w:rPr>
          <w:rFonts w:ascii="Arial" w:hAnsi="Arial" w:cs="Arial"/>
          <w:lang w:val="el-GR"/>
        </w:rPr>
        <w:t>κακοήθειας</w:t>
      </w:r>
      <w:r>
        <w:rPr>
          <w:rFonts w:ascii="Arial" w:hAnsi="Arial" w:cs="Arial"/>
          <w:lang w:val="el-GR"/>
        </w:rPr>
        <w:t xml:space="preserve"> δεν είναι σαφής. Στους άντρες που παίρνουν  </w:t>
      </w:r>
      <w:proofErr w:type="spellStart"/>
      <w:r>
        <w:rPr>
          <w:rFonts w:ascii="Arial" w:hAnsi="Arial" w:cs="Arial"/>
        </w:rPr>
        <w:t>Duagen</w:t>
      </w:r>
      <w:proofErr w:type="spellEnd"/>
      <w:r w:rsidRPr="00626CD4">
        <w:rPr>
          <w:rFonts w:ascii="Arial" w:hAnsi="Arial" w:cs="Arial"/>
          <w:lang w:val="el-GR"/>
        </w:rPr>
        <w:t xml:space="preserve"> </w:t>
      </w:r>
      <w:r>
        <w:rPr>
          <w:rFonts w:ascii="Arial" w:hAnsi="Arial" w:cs="Arial"/>
          <w:lang w:val="el-GR"/>
        </w:rPr>
        <w:t>θα πρέπει να γίνεται τακτική αξιολόγηση του κινδύνου προστατικού καρκίνου συμπεριλαμβανομέν</w:t>
      </w:r>
      <w:r w:rsidR="00780A43">
        <w:rPr>
          <w:rFonts w:ascii="Arial" w:hAnsi="Arial" w:cs="Arial"/>
          <w:lang w:val="el-GR"/>
        </w:rPr>
        <w:t>ου</w:t>
      </w:r>
      <w:r w:rsidR="00746E01">
        <w:rPr>
          <w:rFonts w:ascii="Arial" w:hAnsi="Arial" w:cs="Arial"/>
          <w:lang w:val="el-GR"/>
        </w:rPr>
        <w:t xml:space="preserve"> και του ελέγχου </w:t>
      </w:r>
      <w:r w:rsidR="00746E01">
        <w:rPr>
          <w:rFonts w:ascii="Arial" w:hAnsi="Arial" w:cs="Arial"/>
        </w:rPr>
        <w:t>PSA</w:t>
      </w:r>
      <w:r w:rsidR="00746E01" w:rsidRPr="00746E01">
        <w:rPr>
          <w:rFonts w:ascii="Arial" w:hAnsi="Arial" w:cs="Arial"/>
          <w:lang w:val="el-GR"/>
        </w:rPr>
        <w:t xml:space="preserve"> (</w:t>
      </w:r>
      <w:r w:rsidR="00746E01">
        <w:rPr>
          <w:rFonts w:ascii="Arial" w:hAnsi="Arial" w:cs="Arial"/>
          <w:lang w:val="el-GR"/>
        </w:rPr>
        <w:t>βλ. παράγραφο</w:t>
      </w:r>
      <w:r w:rsidR="00746E01" w:rsidRPr="00746E01">
        <w:rPr>
          <w:rFonts w:ascii="Arial" w:hAnsi="Arial" w:cs="Arial"/>
          <w:lang w:val="el-GR"/>
        </w:rPr>
        <w:t xml:space="preserve"> 5.1).</w:t>
      </w:r>
    </w:p>
    <w:p w:rsidR="00746E01" w:rsidRDefault="00746E01" w:rsidP="00A067F0">
      <w:pPr>
        <w:ind w:right="-11"/>
        <w:jc w:val="both"/>
        <w:rPr>
          <w:rFonts w:ascii="Arial" w:hAnsi="Arial" w:cs="Arial"/>
          <w:lang w:val="el-GR"/>
        </w:rPr>
      </w:pPr>
    </w:p>
    <w:p w:rsidR="00746E01" w:rsidRDefault="00746E01" w:rsidP="00A067F0">
      <w:pPr>
        <w:ind w:right="-11"/>
        <w:jc w:val="both"/>
        <w:rPr>
          <w:rFonts w:ascii="Arial" w:hAnsi="Arial" w:cs="Arial"/>
          <w:i/>
          <w:lang w:val="el-GR"/>
        </w:rPr>
      </w:pPr>
      <w:r w:rsidRPr="00746E01">
        <w:rPr>
          <w:rFonts w:ascii="Arial" w:hAnsi="Arial" w:cs="Arial"/>
          <w:i/>
          <w:lang w:val="el-GR"/>
        </w:rPr>
        <w:t>Καψάκια που παρουσιάζουν διαρροή</w:t>
      </w:r>
    </w:p>
    <w:p w:rsidR="005C2C0B" w:rsidRPr="00AD0457" w:rsidRDefault="005C2C0B" w:rsidP="005C2C0B">
      <w:pPr>
        <w:ind w:right="-11"/>
        <w:jc w:val="both"/>
        <w:rPr>
          <w:rFonts w:ascii="Arial" w:hAnsi="Arial" w:cs="Arial"/>
          <w:lang w:val="el-GR"/>
        </w:rPr>
      </w:pPr>
      <w:r>
        <w:rPr>
          <w:rFonts w:ascii="Arial" w:hAnsi="Arial" w:cs="Arial"/>
          <w:lang w:val="el-GR"/>
        </w:rPr>
        <w:t>Η ντουταστερίδη</w:t>
      </w:r>
      <w:r w:rsidRPr="00AD0457">
        <w:rPr>
          <w:rFonts w:ascii="Arial" w:hAnsi="Arial" w:cs="Arial"/>
          <w:lang w:val="el-GR"/>
        </w:rPr>
        <w:t xml:space="preserve"> απορροφάται από το δέρμα. Για τον λόγο αυτό, οι γυναίκες, τα παιδιά και οι έφηβοι θα πρέπει να αποφεύγουν την επαφή με καψάκια που παρουσιάζουν διαρροή (βλ</w:t>
      </w:r>
      <w:r w:rsidRPr="00131E77">
        <w:rPr>
          <w:rFonts w:ascii="Arial" w:hAnsi="Arial" w:cs="Arial"/>
          <w:lang w:val="el-GR"/>
        </w:rPr>
        <w:t xml:space="preserve">. </w:t>
      </w:r>
      <w:r>
        <w:rPr>
          <w:rFonts w:ascii="Arial" w:hAnsi="Arial" w:cs="Arial"/>
          <w:lang w:val="el-GR"/>
        </w:rPr>
        <w:t xml:space="preserve">παράγραφο </w:t>
      </w:r>
      <w:r w:rsidRPr="00AD0457">
        <w:rPr>
          <w:rFonts w:ascii="Arial" w:hAnsi="Arial" w:cs="Arial"/>
          <w:lang w:val="el-GR"/>
        </w:rPr>
        <w:t>4.6). Εάν γίνει επαφή με καψάκιο που παρουσιάζει διαρροή, το δέρμα θα πρέπει να πλένεται αμέσως με σαπούνι και νερό.</w:t>
      </w:r>
    </w:p>
    <w:p w:rsidR="0078689F" w:rsidRDefault="0078689F" w:rsidP="00A067F0">
      <w:pPr>
        <w:ind w:right="-11"/>
        <w:jc w:val="both"/>
        <w:rPr>
          <w:rFonts w:ascii="Arial" w:hAnsi="Arial" w:cs="Arial"/>
          <w:lang w:val="el-GR"/>
        </w:rPr>
      </w:pPr>
    </w:p>
    <w:p w:rsidR="000C00B0" w:rsidRDefault="000C00B0" w:rsidP="00A067F0">
      <w:pPr>
        <w:ind w:right="-11"/>
        <w:jc w:val="both"/>
        <w:rPr>
          <w:rFonts w:ascii="Arial" w:hAnsi="Arial" w:cs="Arial"/>
          <w:lang w:val="el-GR"/>
        </w:rPr>
      </w:pPr>
      <w:r>
        <w:rPr>
          <w:rFonts w:ascii="Arial" w:hAnsi="Arial" w:cs="Arial"/>
          <w:lang w:val="el-GR"/>
        </w:rPr>
        <w:lastRenderedPageBreak/>
        <w:t>Ηπατική ανεπάρκεια</w:t>
      </w:r>
    </w:p>
    <w:p w:rsidR="005C2C0B" w:rsidRPr="00AD0457" w:rsidRDefault="005C2C0B" w:rsidP="005C2C0B">
      <w:pPr>
        <w:ind w:right="-11"/>
        <w:jc w:val="both"/>
        <w:rPr>
          <w:rFonts w:ascii="Arial" w:hAnsi="Arial" w:cs="Arial"/>
          <w:lang w:val="el-GR"/>
        </w:rPr>
      </w:pPr>
      <w:r>
        <w:rPr>
          <w:rFonts w:ascii="Arial" w:hAnsi="Arial" w:cs="Arial"/>
          <w:lang w:val="el-GR"/>
        </w:rPr>
        <w:t>Η ντουταστερίδη</w:t>
      </w:r>
      <w:r w:rsidRPr="00AD0457">
        <w:rPr>
          <w:rFonts w:ascii="Arial" w:hAnsi="Arial" w:cs="Arial"/>
          <w:lang w:val="el-GR"/>
        </w:rPr>
        <w:t xml:space="preserve"> δεν έχει μελετηθεί σε ασθενείς με ηπατική νόσο. Απαιτείται προσοχή στη περίπτωση χορήγησης του φαρμάκου σε ασθενείς με ήπια έως μέτρια ηπατική δυσλειτουργία (βλ</w:t>
      </w:r>
      <w:r>
        <w:rPr>
          <w:rFonts w:ascii="Arial" w:hAnsi="Arial" w:cs="Arial"/>
          <w:lang w:val="el-GR"/>
        </w:rPr>
        <w:t xml:space="preserve">. παράγραφο </w:t>
      </w:r>
      <w:r w:rsidRPr="00AD0457">
        <w:rPr>
          <w:rFonts w:ascii="Arial" w:hAnsi="Arial" w:cs="Arial"/>
          <w:lang w:val="el-GR"/>
        </w:rPr>
        <w:t>4.2</w:t>
      </w:r>
      <w:r>
        <w:rPr>
          <w:rFonts w:ascii="Arial" w:hAnsi="Arial" w:cs="Arial"/>
          <w:lang w:val="el-GR"/>
        </w:rPr>
        <w:t>, παράγραφο 4.3 και παράγραφο 5.2</w:t>
      </w:r>
      <w:r w:rsidRPr="00AD0457">
        <w:rPr>
          <w:rFonts w:ascii="Arial" w:hAnsi="Arial" w:cs="Arial"/>
          <w:lang w:val="el-GR"/>
        </w:rPr>
        <w:t>).</w:t>
      </w:r>
    </w:p>
    <w:p w:rsidR="00FD4E59" w:rsidRDefault="00FD4E59" w:rsidP="00A067F0">
      <w:pPr>
        <w:ind w:right="-11"/>
        <w:jc w:val="both"/>
        <w:rPr>
          <w:rFonts w:ascii="Arial" w:hAnsi="Arial" w:cs="Arial"/>
          <w:lang w:val="el-GR"/>
        </w:rPr>
      </w:pPr>
    </w:p>
    <w:p w:rsidR="00A64349" w:rsidRDefault="00EC55D0" w:rsidP="00A067F0">
      <w:pPr>
        <w:ind w:right="-11"/>
        <w:jc w:val="both"/>
        <w:rPr>
          <w:rFonts w:ascii="Arial" w:hAnsi="Arial" w:cs="Arial"/>
          <w:lang w:val="el-GR"/>
        </w:rPr>
      </w:pPr>
      <w:r>
        <w:rPr>
          <w:rFonts w:ascii="Arial" w:hAnsi="Arial" w:cs="Arial"/>
          <w:lang w:val="el-GR"/>
        </w:rPr>
        <w:t>Καρκίνος του μαστού</w:t>
      </w:r>
    </w:p>
    <w:p w:rsidR="000970F8" w:rsidRDefault="00A64349" w:rsidP="00A067F0">
      <w:pPr>
        <w:ind w:right="-11"/>
        <w:jc w:val="both"/>
        <w:rPr>
          <w:rFonts w:ascii="Arial" w:hAnsi="Arial" w:cs="Arial"/>
          <w:lang w:val="el-GR"/>
        </w:rPr>
      </w:pPr>
      <w:r>
        <w:rPr>
          <w:rFonts w:ascii="Arial" w:hAnsi="Arial" w:cs="Arial"/>
          <w:lang w:val="el-GR"/>
        </w:rPr>
        <w:t xml:space="preserve">Καρκίνος του μαστού έχει αναφερθεί </w:t>
      </w:r>
      <w:r w:rsidR="00B74604">
        <w:rPr>
          <w:rFonts w:ascii="Arial" w:hAnsi="Arial" w:cs="Arial"/>
          <w:lang w:val="el-GR"/>
        </w:rPr>
        <w:t>σε ασθενείς που λαμβάνουν ντουτ</w:t>
      </w:r>
      <w:r>
        <w:rPr>
          <w:rFonts w:ascii="Arial" w:hAnsi="Arial" w:cs="Arial"/>
          <w:lang w:val="el-GR"/>
        </w:rPr>
        <w:t xml:space="preserve">αστερίδη </w:t>
      </w:r>
      <w:r w:rsidR="00A4767A">
        <w:rPr>
          <w:rFonts w:ascii="Arial" w:hAnsi="Arial" w:cs="Arial"/>
          <w:lang w:val="el-GR"/>
        </w:rPr>
        <w:t>τόσο</w:t>
      </w:r>
      <w:r w:rsidR="00887F9C">
        <w:rPr>
          <w:rFonts w:ascii="Arial" w:hAnsi="Arial" w:cs="Arial"/>
          <w:lang w:val="el-GR"/>
        </w:rPr>
        <w:t xml:space="preserve"> </w:t>
      </w:r>
      <w:r>
        <w:rPr>
          <w:rFonts w:ascii="Arial" w:hAnsi="Arial" w:cs="Arial"/>
          <w:lang w:val="el-GR"/>
        </w:rPr>
        <w:t>κατά την διάρκεια των κλινικών δοκιμών (</w:t>
      </w:r>
      <w:r w:rsidR="00887F9C">
        <w:rPr>
          <w:rFonts w:ascii="Arial" w:hAnsi="Arial" w:cs="Arial"/>
          <w:lang w:val="el-GR"/>
        </w:rPr>
        <w:t>βλ. παράγραφο 5.1)</w:t>
      </w:r>
      <w:r w:rsidR="0078689F" w:rsidRPr="00AD0457">
        <w:rPr>
          <w:rFonts w:ascii="Arial" w:hAnsi="Arial" w:cs="Arial"/>
          <w:lang w:val="el-GR"/>
        </w:rPr>
        <w:t xml:space="preserve">  </w:t>
      </w:r>
      <w:r w:rsidR="00887F9C">
        <w:rPr>
          <w:rFonts w:ascii="Arial" w:hAnsi="Arial" w:cs="Arial"/>
          <w:lang w:val="el-GR"/>
        </w:rPr>
        <w:t xml:space="preserve">όσο και κατά τη διάρκεια κυκλοφορίας του </w:t>
      </w:r>
      <w:r w:rsidR="007D1C03">
        <w:rPr>
          <w:rFonts w:ascii="Arial" w:hAnsi="Arial" w:cs="Arial"/>
          <w:lang w:val="el-GR"/>
        </w:rPr>
        <w:t>φαρμάκου. Οι γιατροί πρέ</w:t>
      </w:r>
      <w:r w:rsidR="00887F9C">
        <w:rPr>
          <w:rFonts w:ascii="Arial" w:hAnsi="Arial" w:cs="Arial"/>
          <w:lang w:val="el-GR"/>
        </w:rPr>
        <w:t>πει να προτρέπουν τους ασθενείς να τους αναφέρουν άμεσα οποιαδήποτε αλλαγή στον ιστό του μαστού όπως είναι τα οζίδια και οι εκκρίσεις από την θηλή.</w:t>
      </w:r>
      <w:r w:rsidR="0084323E">
        <w:rPr>
          <w:rFonts w:ascii="Arial" w:hAnsi="Arial" w:cs="Arial"/>
          <w:lang w:val="el-GR"/>
        </w:rPr>
        <w:t xml:space="preserve"> </w:t>
      </w:r>
      <w:r w:rsidR="00B74604">
        <w:rPr>
          <w:rFonts w:ascii="Arial" w:hAnsi="Arial" w:cs="Arial"/>
          <w:lang w:val="el-GR"/>
        </w:rPr>
        <w:t xml:space="preserve">Μέχρι τώρα δεν είναι σαφές αν η μακροχρόνια λήψη ντουταστερίδης αποτελεί αιτία εμφάνισης καρκίνου του μαστού στους άνδρες. </w:t>
      </w:r>
    </w:p>
    <w:p w:rsidR="00A64349" w:rsidRPr="00AD0457" w:rsidRDefault="00A64349"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4.5</w:t>
      </w:r>
      <w:r w:rsidRPr="00AD0457">
        <w:rPr>
          <w:rFonts w:ascii="Arial" w:hAnsi="Arial" w:cs="Arial"/>
          <w:b/>
          <w:lang w:val="el-GR"/>
        </w:rPr>
        <w:tab/>
        <w:t>Αλληλεπιδράσεις με άλλα φαρμακευτικά προϊόντα και άλλες μορφές αλληλεπίδρασης</w:t>
      </w:r>
    </w:p>
    <w:p w:rsidR="0078689F" w:rsidRPr="00AD0457" w:rsidRDefault="0078689F" w:rsidP="00A067F0">
      <w:pPr>
        <w:ind w:right="-11"/>
        <w:jc w:val="both"/>
        <w:rPr>
          <w:rFonts w:ascii="Arial" w:hAnsi="Arial" w:cs="Arial"/>
          <w:lang w:val="el-GR"/>
        </w:rPr>
      </w:pPr>
      <w:r w:rsidRPr="00AD0457">
        <w:rPr>
          <w:rFonts w:ascii="Arial" w:hAnsi="Arial" w:cs="Arial"/>
          <w:lang w:val="el-GR"/>
        </w:rPr>
        <w:t>Για πληροφορίες σχετικά με τη</w:t>
      </w:r>
      <w:r w:rsidR="00B027FC">
        <w:rPr>
          <w:rFonts w:ascii="Arial" w:hAnsi="Arial" w:cs="Arial"/>
          <w:lang w:val="el-GR"/>
        </w:rPr>
        <w:t xml:space="preserve"> μείωση των </w:t>
      </w:r>
      <w:r w:rsidRPr="00AD0457">
        <w:rPr>
          <w:rFonts w:ascii="Arial" w:hAnsi="Arial" w:cs="Arial"/>
          <w:lang w:val="el-GR"/>
        </w:rPr>
        <w:t>επ</w:t>
      </w:r>
      <w:r w:rsidR="00B027FC">
        <w:rPr>
          <w:rFonts w:ascii="Arial" w:hAnsi="Arial" w:cs="Arial"/>
          <w:lang w:val="el-GR"/>
        </w:rPr>
        <w:t>ι</w:t>
      </w:r>
      <w:r w:rsidRPr="00AD0457">
        <w:rPr>
          <w:rFonts w:ascii="Arial" w:hAnsi="Arial" w:cs="Arial"/>
          <w:lang w:val="el-GR"/>
        </w:rPr>
        <w:t>π</w:t>
      </w:r>
      <w:r w:rsidR="00B027FC">
        <w:rPr>
          <w:rFonts w:ascii="Arial" w:hAnsi="Arial" w:cs="Arial"/>
          <w:lang w:val="el-GR"/>
        </w:rPr>
        <w:t>έ</w:t>
      </w:r>
      <w:r w:rsidRPr="00AD0457">
        <w:rPr>
          <w:rFonts w:ascii="Arial" w:hAnsi="Arial" w:cs="Arial"/>
          <w:lang w:val="el-GR"/>
        </w:rPr>
        <w:t>δ</w:t>
      </w:r>
      <w:r w:rsidR="00B027FC">
        <w:rPr>
          <w:rFonts w:ascii="Arial" w:hAnsi="Arial" w:cs="Arial"/>
          <w:lang w:val="el-GR"/>
        </w:rPr>
        <w:t>ων</w:t>
      </w:r>
      <w:r w:rsidRPr="00AD0457">
        <w:rPr>
          <w:rFonts w:ascii="Arial" w:hAnsi="Arial" w:cs="Arial"/>
          <w:lang w:val="el-GR"/>
        </w:rPr>
        <w:t xml:space="preserve"> </w:t>
      </w:r>
      <w:r w:rsidRPr="00AD0457">
        <w:rPr>
          <w:rFonts w:ascii="Arial" w:hAnsi="Arial" w:cs="Arial"/>
        </w:rPr>
        <w:t>PSA</w:t>
      </w:r>
      <w:r w:rsidRPr="00AD0457">
        <w:rPr>
          <w:rFonts w:ascii="Arial" w:hAnsi="Arial" w:cs="Arial"/>
          <w:lang w:val="el-GR"/>
        </w:rPr>
        <w:t xml:space="preserve"> κατά τη διάρκεια της θεραπείας με </w:t>
      </w:r>
      <w:r w:rsidR="00C41782">
        <w:rPr>
          <w:rFonts w:ascii="Arial" w:hAnsi="Arial" w:cs="Arial"/>
          <w:lang w:val="el-GR"/>
        </w:rPr>
        <w:t>ντουταστερίδη</w:t>
      </w:r>
      <w:r w:rsidRPr="00AD0457">
        <w:rPr>
          <w:rFonts w:ascii="Arial" w:hAnsi="Arial" w:cs="Arial"/>
          <w:lang w:val="el-GR"/>
        </w:rPr>
        <w:t xml:space="preserve"> και οδηγίες σχετικά με την </w:t>
      </w:r>
      <w:r w:rsidR="00C41782">
        <w:rPr>
          <w:rFonts w:ascii="Arial" w:hAnsi="Arial" w:cs="Arial"/>
          <w:lang w:val="el-GR"/>
        </w:rPr>
        <w:t>διάγνωση</w:t>
      </w:r>
      <w:r w:rsidR="00B027FC">
        <w:rPr>
          <w:rFonts w:ascii="Arial" w:hAnsi="Arial" w:cs="Arial"/>
          <w:lang w:val="el-GR"/>
        </w:rPr>
        <w:t xml:space="preserve"> </w:t>
      </w:r>
      <w:r w:rsidR="00C41782">
        <w:rPr>
          <w:rFonts w:ascii="Arial" w:hAnsi="Arial" w:cs="Arial"/>
          <w:lang w:val="el-GR"/>
        </w:rPr>
        <w:t>του</w:t>
      </w:r>
      <w:r w:rsidRPr="00AD0457">
        <w:rPr>
          <w:rFonts w:ascii="Arial" w:hAnsi="Arial" w:cs="Arial"/>
          <w:lang w:val="el-GR"/>
        </w:rPr>
        <w:t xml:space="preserve"> προστατικού καρκίνου, </w:t>
      </w:r>
      <w:r w:rsidR="00C41782" w:rsidRPr="00AD0457">
        <w:rPr>
          <w:rFonts w:ascii="Arial" w:hAnsi="Arial" w:cs="Arial"/>
          <w:lang w:val="el-GR"/>
        </w:rPr>
        <w:t>βλ</w:t>
      </w:r>
      <w:r w:rsidR="00C41782">
        <w:rPr>
          <w:rFonts w:ascii="Arial" w:hAnsi="Arial" w:cs="Arial"/>
          <w:lang w:val="el-GR"/>
        </w:rPr>
        <w:t>. παράγραφο</w:t>
      </w:r>
      <w:r w:rsidRPr="00AD0457">
        <w:rPr>
          <w:rFonts w:ascii="Arial" w:hAnsi="Arial" w:cs="Arial"/>
          <w:lang w:val="el-GR"/>
        </w:rPr>
        <w:t xml:space="preserve"> 4.4.</w:t>
      </w:r>
    </w:p>
    <w:p w:rsidR="0078689F" w:rsidRPr="00AD0457" w:rsidRDefault="0078689F" w:rsidP="00A067F0">
      <w:pPr>
        <w:ind w:right="-11"/>
        <w:jc w:val="both"/>
        <w:rPr>
          <w:rFonts w:ascii="Arial" w:hAnsi="Arial" w:cs="Arial"/>
          <w:lang w:val="el-GR"/>
        </w:rPr>
      </w:pPr>
    </w:p>
    <w:p w:rsidR="0078689F" w:rsidRPr="00AD0457" w:rsidRDefault="0078689F" w:rsidP="00A067F0">
      <w:pPr>
        <w:pStyle w:val="ab"/>
        <w:shd w:val="clear" w:color="auto" w:fill="auto"/>
        <w:ind w:right="-11"/>
        <w:jc w:val="both"/>
        <w:rPr>
          <w:rFonts w:ascii="Arial" w:hAnsi="Arial" w:cs="Arial"/>
          <w:i/>
        </w:rPr>
      </w:pPr>
      <w:r w:rsidRPr="00AD0457">
        <w:rPr>
          <w:rFonts w:ascii="Arial" w:hAnsi="Arial" w:cs="Arial"/>
          <w:i/>
        </w:rPr>
        <w:t xml:space="preserve">Επίδραση άλλων φαρμάκων στη φαρμακοκινητική </w:t>
      </w:r>
      <w:r w:rsidR="00C41782">
        <w:rPr>
          <w:rFonts w:ascii="Arial" w:hAnsi="Arial" w:cs="Arial"/>
          <w:i/>
        </w:rPr>
        <w:t>της ντουταστερίδης</w:t>
      </w:r>
    </w:p>
    <w:p w:rsidR="0078689F" w:rsidRPr="00AD0457" w:rsidRDefault="0078689F" w:rsidP="00A067F0">
      <w:pPr>
        <w:pStyle w:val="ab"/>
        <w:shd w:val="clear" w:color="auto" w:fill="auto"/>
        <w:ind w:right="-11"/>
        <w:jc w:val="both"/>
        <w:rPr>
          <w:rFonts w:ascii="Arial" w:hAnsi="Arial" w:cs="Arial"/>
          <w:b w:val="0"/>
          <w:i/>
          <w:u w:val="single"/>
        </w:rPr>
      </w:pPr>
    </w:p>
    <w:p w:rsidR="0078689F" w:rsidRPr="00AD0457" w:rsidRDefault="0078689F" w:rsidP="00A067F0">
      <w:pPr>
        <w:pStyle w:val="listssp"/>
        <w:ind w:right="-11"/>
        <w:jc w:val="both"/>
        <w:rPr>
          <w:rFonts w:ascii="Arial" w:hAnsi="Arial" w:cs="Arial"/>
          <w:i/>
          <w:snapToGrid w:val="0"/>
          <w:sz w:val="22"/>
          <w:lang w:val="el-GR"/>
        </w:rPr>
      </w:pPr>
      <w:r w:rsidRPr="00AD0457">
        <w:rPr>
          <w:rFonts w:ascii="Arial" w:hAnsi="Arial" w:cs="Arial"/>
          <w:b/>
          <w:i/>
          <w:snapToGrid w:val="0"/>
          <w:sz w:val="22"/>
          <w:lang w:val="el-GR"/>
        </w:rPr>
        <w:t xml:space="preserve">Συγχορήγηση με αναστολείς </w:t>
      </w:r>
      <w:r w:rsidRPr="00AD0457">
        <w:rPr>
          <w:rFonts w:ascii="Arial" w:hAnsi="Arial" w:cs="Arial"/>
          <w:b/>
          <w:i/>
          <w:snapToGrid w:val="0"/>
          <w:sz w:val="22"/>
          <w:lang w:val="en-US"/>
        </w:rPr>
        <w:t>CYP</w:t>
      </w:r>
      <w:r w:rsidRPr="00AD0457">
        <w:rPr>
          <w:rFonts w:ascii="Arial" w:hAnsi="Arial" w:cs="Arial"/>
          <w:b/>
          <w:i/>
          <w:snapToGrid w:val="0"/>
          <w:sz w:val="22"/>
          <w:lang w:val="el-GR"/>
        </w:rPr>
        <w:t>3</w:t>
      </w:r>
      <w:r w:rsidRPr="00AD0457">
        <w:rPr>
          <w:rFonts w:ascii="Arial" w:hAnsi="Arial" w:cs="Arial"/>
          <w:b/>
          <w:i/>
          <w:snapToGrid w:val="0"/>
          <w:sz w:val="22"/>
          <w:lang w:val="en-US"/>
        </w:rPr>
        <w:t>A</w:t>
      </w:r>
      <w:r w:rsidRPr="00AD0457">
        <w:rPr>
          <w:rFonts w:ascii="Arial" w:hAnsi="Arial" w:cs="Arial"/>
          <w:b/>
          <w:i/>
          <w:snapToGrid w:val="0"/>
          <w:sz w:val="22"/>
          <w:lang w:val="el-GR"/>
        </w:rPr>
        <w:t xml:space="preserve">4 και/ή </w:t>
      </w:r>
      <w:r w:rsidR="00C41782">
        <w:rPr>
          <w:rFonts w:ascii="Arial" w:hAnsi="Arial" w:cs="Arial"/>
          <w:b/>
          <w:i/>
          <w:snapToGrid w:val="0"/>
          <w:sz w:val="22"/>
          <w:lang w:val="el-GR"/>
        </w:rPr>
        <w:t xml:space="preserve">αναστολείς </w:t>
      </w:r>
      <w:r w:rsidRPr="00AD0457">
        <w:rPr>
          <w:rFonts w:ascii="Arial" w:hAnsi="Arial" w:cs="Arial"/>
          <w:b/>
          <w:i/>
          <w:snapToGrid w:val="0"/>
          <w:sz w:val="22"/>
          <w:lang w:val="en-US"/>
        </w:rPr>
        <w:t>P</w:t>
      </w:r>
      <w:r w:rsidRPr="00AD0457">
        <w:rPr>
          <w:rFonts w:ascii="Arial" w:hAnsi="Arial" w:cs="Arial"/>
          <w:b/>
          <w:i/>
          <w:snapToGrid w:val="0"/>
          <w:sz w:val="22"/>
          <w:lang w:val="el-GR"/>
        </w:rPr>
        <w:t>-</w:t>
      </w:r>
      <w:r w:rsidR="00C41782">
        <w:rPr>
          <w:rFonts w:ascii="Arial" w:hAnsi="Arial" w:cs="Arial"/>
          <w:b/>
          <w:i/>
          <w:snapToGrid w:val="0"/>
          <w:sz w:val="22"/>
          <w:lang w:val="el-GR"/>
        </w:rPr>
        <w:t>γλυκοπρωτεΐνης</w:t>
      </w:r>
      <w:r w:rsidRPr="00AD0457">
        <w:rPr>
          <w:rFonts w:ascii="Arial" w:hAnsi="Arial" w:cs="Arial"/>
          <w:b/>
          <w:i/>
          <w:snapToGrid w:val="0"/>
          <w:sz w:val="22"/>
          <w:lang w:val="el-GR"/>
        </w:rPr>
        <w:t>:</w:t>
      </w:r>
      <w:r w:rsidRPr="00AD0457">
        <w:rPr>
          <w:rFonts w:ascii="Arial" w:hAnsi="Arial" w:cs="Arial"/>
          <w:i/>
          <w:snapToGrid w:val="0"/>
          <w:sz w:val="22"/>
          <w:lang w:val="el-GR"/>
        </w:rPr>
        <w:t xml:space="preserve"> </w:t>
      </w:r>
    </w:p>
    <w:p w:rsidR="0078689F" w:rsidRPr="00AD0457" w:rsidRDefault="00C41782" w:rsidP="00A067F0">
      <w:pPr>
        <w:pStyle w:val="ab"/>
        <w:shd w:val="clear" w:color="auto" w:fill="auto"/>
        <w:ind w:left="0" w:right="-11" w:firstLine="0"/>
        <w:jc w:val="both"/>
        <w:rPr>
          <w:rFonts w:ascii="Arial" w:hAnsi="Arial" w:cs="Arial"/>
          <w:b w:val="0"/>
        </w:rPr>
      </w:pPr>
      <w:r>
        <w:rPr>
          <w:rFonts w:ascii="Arial" w:hAnsi="Arial" w:cs="Arial"/>
          <w:b w:val="0"/>
        </w:rPr>
        <w:t>Η ντουταστερίδη</w:t>
      </w:r>
      <w:r w:rsidR="0078689F" w:rsidRPr="00AD0457">
        <w:rPr>
          <w:rFonts w:ascii="Arial" w:hAnsi="Arial" w:cs="Arial"/>
          <w:b w:val="0"/>
        </w:rPr>
        <w:t xml:space="preserve"> αποβάλλεται κυρίως με μεταβολισμό.</w:t>
      </w:r>
      <w:r>
        <w:rPr>
          <w:rFonts w:ascii="Arial" w:hAnsi="Arial" w:cs="Arial"/>
          <w:b w:val="0"/>
        </w:rPr>
        <w:t xml:space="preserve"> </w:t>
      </w:r>
      <w:r w:rsidR="0078689F" w:rsidRPr="00AD0457">
        <w:rPr>
          <w:rFonts w:ascii="Arial" w:hAnsi="Arial" w:cs="Arial"/>
          <w:b w:val="0"/>
          <w:i/>
        </w:rPr>
        <w:t>Ιn vitro</w:t>
      </w:r>
      <w:r w:rsidR="0078689F" w:rsidRPr="00AD0457">
        <w:rPr>
          <w:rFonts w:ascii="Arial" w:hAnsi="Arial" w:cs="Arial"/>
          <w:b w:val="0"/>
        </w:rPr>
        <w:t xml:space="preserve"> μελέτες δείχνουν ότι ο μεταβολισμός αυτός καταλύ</w:t>
      </w:r>
      <w:r>
        <w:rPr>
          <w:rFonts w:ascii="Arial" w:hAnsi="Arial" w:cs="Arial"/>
          <w:b w:val="0"/>
        </w:rPr>
        <w:t xml:space="preserve">εται από το CYP3A4 και CYP3A5. </w:t>
      </w:r>
      <w:r w:rsidR="0078689F" w:rsidRPr="00AD0457">
        <w:rPr>
          <w:rFonts w:ascii="Arial" w:hAnsi="Arial" w:cs="Arial"/>
          <w:b w:val="0"/>
        </w:rPr>
        <w:t xml:space="preserve">Δεν έχουν διεξαχθεί επισήμως μελέτες αλληλεπιδράσεων με ισχυρούς αναστολείς CYP3A4. Πάντως σε μία φαρμακοκινητική μελέτη πληθυσμού, οι συγκεντρώσεις </w:t>
      </w:r>
      <w:r>
        <w:rPr>
          <w:rFonts w:ascii="Arial" w:hAnsi="Arial" w:cs="Arial"/>
          <w:b w:val="0"/>
        </w:rPr>
        <w:t>της ντουταστερίδης</w:t>
      </w:r>
      <w:r w:rsidR="0078689F" w:rsidRPr="00AD0457">
        <w:rPr>
          <w:rFonts w:ascii="Arial" w:hAnsi="Arial" w:cs="Arial"/>
          <w:b w:val="0"/>
        </w:rPr>
        <w:t xml:space="preserve"> στον ορό ήταν κατά μέσο όρο 1.6 έως 1.8 φορές μεγαλύτερες, αντίστοιχα, σε ένα μικρό αριθμό ασθενών που αντιμετωπίσθηκαν ταυτόχρονα με </w:t>
      </w:r>
      <w:r>
        <w:rPr>
          <w:rFonts w:ascii="Arial" w:hAnsi="Arial" w:cs="Arial"/>
          <w:b w:val="0"/>
        </w:rPr>
        <w:t>βεραπαμίλη</w:t>
      </w:r>
      <w:r w:rsidR="0078689F" w:rsidRPr="00AD0457">
        <w:rPr>
          <w:rFonts w:ascii="Arial" w:hAnsi="Arial" w:cs="Arial"/>
          <w:b w:val="0"/>
        </w:rPr>
        <w:t xml:space="preserve"> ή </w:t>
      </w:r>
      <w:r>
        <w:rPr>
          <w:rFonts w:ascii="Arial" w:hAnsi="Arial" w:cs="Arial"/>
          <w:b w:val="0"/>
        </w:rPr>
        <w:t xml:space="preserve">διλτιαζέμη </w:t>
      </w:r>
      <w:r w:rsidR="0078689F" w:rsidRPr="00AD0457">
        <w:rPr>
          <w:rFonts w:ascii="Arial" w:hAnsi="Arial" w:cs="Arial"/>
          <w:b w:val="0"/>
        </w:rPr>
        <w:t>(μέτριους αναστολείς του CYP3A4 και αναστολείς της P-</w:t>
      </w:r>
      <w:r w:rsidRPr="00C41782">
        <w:rPr>
          <w:rFonts w:ascii="Arial" w:hAnsi="Arial" w:cs="Arial"/>
          <w:b w:val="0"/>
          <w:snapToGrid w:val="0"/>
        </w:rPr>
        <w:t>γλυκοπρωτεΐνης</w:t>
      </w:r>
      <w:r w:rsidR="0078689F" w:rsidRPr="00AD0457">
        <w:rPr>
          <w:rFonts w:ascii="Arial" w:hAnsi="Arial" w:cs="Arial"/>
          <w:b w:val="0"/>
        </w:rPr>
        <w:t>) από ό</w:t>
      </w:r>
      <w:r w:rsidR="00952A13">
        <w:rPr>
          <w:rFonts w:ascii="Arial" w:hAnsi="Arial" w:cs="Arial"/>
          <w:b w:val="0"/>
        </w:rPr>
        <w:t>,</w:t>
      </w:r>
      <w:r w:rsidR="0078689F" w:rsidRPr="00AD0457">
        <w:rPr>
          <w:rFonts w:ascii="Arial" w:hAnsi="Arial" w:cs="Arial"/>
          <w:b w:val="0"/>
        </w:rPr>
        <w:t>τι σε άλλους ασθενείς.</w:t>
      </w:r>
      <w:r w:rsidR="0078689F" w:rsidRPr="00AD0457">
        <w:rPr>
          <w:rFonts w:ascii="Arial" w:hAnsi="Arial" w:cs="Arial"/>
          <w:b w:val="0"/>
          <w:highlight w:val="yellow"/>
        </w:rPr>
        <w:t xml:space="preserve"> </w:t>
      </w:r>
    </w:p>
    <w:p w:rsidR="00310F95" w:rsidRDefault="0078689F">
      <w:pPr>
        <w:pStyle w:val="ab"/>
        <w:shd w:val="clear" w:color="auto" w:fill="auto"/>
        <w:ind w:left="0" w:right="-11" w:firstLine="0"/>
        <w:jc w:val="both"/>
        <w:rPr>
          <w:rFonts w:ascii="Arial" w:hAnsi="Arial" w:cs="Arial"/>
          <w:b w:val="0"/>
        </w:rPr>
      </w:pPr>
      <w:r w:rsidRPr="00AD0457">
        <w:rPr>
          <w:rFonts w:ascii="Arial" w:hAnsi="Arial" w:cs="Arial"/>
          <w:b w:val="0"/>
        </w:rPr>
        <w:t xml:space="preserve">Συνδυασμός για μεγάλο χρονικό διάστημα </w:t>
      </w:r>
      <w:r w:rsidR="00C41782">
        <w:rPr>
          <w:rFonts w:ascii="Arial" w:hAnsi="Arial" w:cs="Arial"/>
          <w:b w:val="0"/>
        </w:rPr>
        <w:t>της ντουταστερίδης</w:t>
      </w:r>
      <w:r w:rsidRPr="00AD0457">
        <w:rPr>
          <w:rFonts w:ascii="Arial" w:hAnsi="Arial" w:cs="Arial"/>
          <w:b w:val="0"/>
        </w:rPr>
        <w:t xml:space="preserve"> με φάρμακα που είναι ισχυροί αναστολείς του ενζύμου </w:t>
      </w:r>
      <w:r w:rsidRPr="00AD0457">
        <w:rPr>
          <w:rFonts w:ascii="Arial" w:hAnsi="Arial" w:cs="Arial"/>
          <w:b w:val="0"/>
          <w:lang w:val="en-US"/>
        </w:rPr>
        <w:t>C</w:t>
      </w:r>
      <w:r w:rsidRPr="00AD0457">
        <w:rPr>
          <w:rFonts w:ascii="Arial" w:hAnsi="Arial" w:cs="Arial"/>
          <w:b w:val="0"/>
        </w:rPr>
        <w:t xml:space="preserve">YP3A4 (π.χ. </w:t>
      </w:r>
      <w:r w:rsidR="00952A13">
        <w:rPr>
          <w:rFonts w:ascii="Arial" w:hAnsi="Arial" w:cs="Arial"/>
          <w:b w:val="0"/>
        </w:rPr>
        <w:t>ριτοναβίρη</w:t>
      </w:r>
      <w:r w:rsidRPr="00AD0457">
        <w:rPr>
          <w:rFonts w:ascii="Arial" w:hAnsi="Arial" w:cs="Arial"/>
          <w:b w:val="0"/>
        </w:rPr>
        <w:t xml:space="preserve">, </w:t>
      </w:r>
      <w:r w:rsidR="00952A13">
        <w:rPr>
          <w:rFonts w:ascii="Arial" w:hAnsi="Arial" w:cs="Arial"/>
          <w:b w:val="0"/>
        </w:rPr>
        <w:t>ινδιναβίρη</w:t>
      </w:r>
      <w:r w:rsidRPr="00AD0457">
        <w:rPr>
          <w:rFonts w:ascii="Arial" w:hAnsi="Arial" w:cs="Arial"/>
          <w:b w:val="0"/>
        </w:rPr>
        <w:t xml:space="preserve">, </w:t>
      </w:r>
      <w:r w:rsidR="00952A13">
        <w:rPr>
          <w:rFonts w:ascii="Arial" w:hAnsi="Arial" w:cs="Arial"/>
          <w:b w:val="0"/>
        </w:rPr>
        <w:t>νεφαζοδόνη</w:t>
      </w:r>
      <w:r w:rsidRPr="00AD0457">
        <w:rPr>
          <w:rFonts w:ascii="Arial" w:hAnsi="Arial" w:cs="Arial"/>
          <w:b w:val="0"/>
        </w:rPr>
        <w:t xml:space="preserve">, </w:t>
      </w:r>
      <w:r w:rsidR="00952A13">
        <w:rPr>
          <w:rFonts w:ascii="Arial" w:hAnsi="Arial" w:cs="Arial"/>
          <w:b w:val="0"/>
        </w:rPr>
        <w:t>ιτρακοναζόλη, κετοκοναζόλη</w:t>
      </w:r>
      <w:r w:rsidRPr="00AD0457">
        <w:rPr>
          <w:rFonts w:ascii="Arial" w:hAnsi="Arial" w:cs="Arial"/>
          <w:b w:val="0"/>
        </w:rPr>
        <w:t xml:space="preserve"> χορηγούμενη από το στόμα) μπορεί να αυξήσει τις συγκεντρώσεις </w:t>
      </w:r>
      <w:r w:rsidR="00C41782">
        <w:rPr>
          <w:rFonts w:ascii="Arial" w:hAnsi="Arial" w:cs="Arial"/>
          <w:b w:val="0"/>
        </w:rPr>
        <w:t>της ντουταστερίδης</w:t>
      </w:r>
      <w:r w:rsidRPr="00AD0457">
        <w:rPr>
          <w:rFonts w:ascii="Arial" w:hAnsi="Arial" w:cs="Arial"/>
          <w:b w:val="0"/>
        </w:rPr>
        <w:t xml:space="preserve"> στον ορό. Επί πλέον αναστολή της 5-α αναγωγάσης λόγω αυξημένης έκθεσης </w:t>
      </w:r>
      <w:r w:rsidR="00952A13">
        <w:rPr>
          <w:rFonts w:ascii="Arial" w:hAnsi="Arial" w:cs="Arial"/>
          <w:b w:val="0"/>
        </w:rPr>
        <w:t>στη ντουταστερίδη</w:t>
      </w:r>
      <w:r w:rsidRPr="00AD0457">
        <w:rPr>
          <w:rFonts w:ascii="Arial" w:hAnsi="Arial" w:cs="Arial"/>
          <w:b w:val="0"/>
        </w:rPr>
        <w:t xml:space="preserve"> δεν είναι πιθανή. Πάντως μείωση στη συχνότητα λήψης </w:t>
      </w:r>
      <w:r w:rsidR="00C41782">
        <w:rPr>
          <w:rFonts w:ascii="Arial" w:hAnsi="Arial" w:cs="Arial"/>
          <w:b w:val="0"/>
        </w:rPr>
        <w:t>της ντουταστερίδης</w:t>
      </w:r>
      <w:r w:rsidRPr="00AD0457">
        <w:rPr>
          <w:rFonts w:ascii="Arial" w:hAnsi="Arial" w:cs="Arial"/>
          <w:b w:val="0"/>
        </w:rPr>
        <w:t xml:space="preserve"> μπορεί να εξετασθεί εάν παρατηρηθούν ανεπιθύμητες ενέργειες.  Πρέπει να σημειωθεί ότι στη περίπτωση αναστολής του ενζύμου ο μεγάλος χρόνος ημιζωής μπορεί να παραταθεί περαιτέρω και μπορεί να χρειασθούν περισσότερο από 6 μήνες συγχορήγησης πριν επιτευχθεί νέα κατάσταση ισορροπίας. </w:t>
      </w:r>
    </w:p>
    <w:p w:rsidR="0078689F" w:rsidRPr="00AD0457" w:rsidRDefault="0078689F" w:rsidP="00A067F0">
      <w:pPr>
        <w:pStyle w:val="ab"/>
        <w:shd w:val="clear" w:color="auto" w:fill="auto"/>
        <w:ind w:left="0" w:right="-11" w:firstLine="0"/>
        <w:jc w:val="both"/>
        <w:rPr>
          <w:rFonts w:ascii="Arial" w:hAnsi="Arial" w:cs="Arial"/>
          <w:b w:val="0"/>
        </w:rPr>
      </w:pPr>
      <w:r w:rsidRPr="00AD0457">
        <w:rPr>
          <w:rFonts w:ascii="Arial" w:hAnsi="Arial" w:cs="Arial"/>
          <w:b w:val="0"/>
        </w:rPr>
        <w:t xml:space="preserve">Χορήγηση 12g </w:t>
      </w:r>
      <w:r w:rsidR="00952A13">
        <w:rPr>
          <w:rFonts w:ascii="Arial" w:hAnsi="Arial" w:cs="Arial"/>
          <w:b w:val="0"/>
        </w:rPr>
        <w:t>χολεστυραμίνης</w:t>
      </w:r>
      <w:r w:rsidRPr="00AD0457">
        <w:rPr>
          <w:rFonts w:ascii="Arial" w:hAnsi="Arial" w:cs="Arial"/>
          <w:b w:val="0"/>
        </w:rPr>
        <w:t xml:space="preserve"> μία ώρα πριν τη</w:t>
      </w:r>
      <w:r w:rsidR="00952A13">
        <w:rPr>
          <w:rFonts w:ascii="Arial" w:hAnsi="Arial" w:cs="Arial"/>
          <w:b w:val="0"/>
        </w:rPr>
        <w:t xml:space="preserve"> λήψη</w:t>
      </w:r>
      <w:r w:rsidRPr="00AD0457">
        <w:rPr>
          <w:rFonts w:ascii="Arial" w:hAnsi="Arial" w:cs="Arial"/>
          <w:b w:val="0"/>
        </w:rPr>
        <w:t xml:space="preserve"> </w:t>
      </w:r>
      <w:r w:rsidR="00952A13">
        <w:rPr>
          <w:rFonts w:ascii="Arial" w:hAnsi="Arial" w:cs="Arial"/>
          <w:b w:val="0"/>
        </w:rPr>
        <w:t>εφάπαξ</w:t>
      </w:r>
      <w:r w:rsidR="00952A13" w:rsidRPr="00AD0457">
        <w:rPr>
          <w:rFonts w:ascii="Arial" w:hAnsi="Arial" w:cs="Arial"/>
          <w:b w:val="0"/>
        </w:rPr>
        <w:t xml:space="preserve"> </w:t>
      </w:r>
      <w:r w:rsidRPr="00AD0457">
        <w:rPr>
          <w:rFonts w:ascii="Arial" w:hAnsi="Arial" w:cs="Arial"/>
          <w:b w:val="0"/>
        </w:rPr>
        <w:t xml:space="preserve">δόσης 5mg </w:t>
      </w:r>
      <w:r w:rsidR="00952A13">
        <w:rPr>
          <w:rFonts w:ascii="Arial" w:hAnsi="Arial" w:cs="Arial"/>
          <w:b w:val="0"/>
        </w:rPr>
        <w:t>ντουταστερίδης</w:t>
      </w:r>
      <w:r w:rsidRPr="00AD0457">
        <w:rPr>
          <w:rFonts w:ascii="Arial" w:hAnsi="Arial" w:cs="Arial"/>
          <w:b w:val="0"/>
        </w:rPr>
        <w:t xml:space="preserve"> δεν επηρέασε τη φαρμακοκινητική </w:t>
      </w:r>
      <w:r w:rsidR="00C41782">
        <w:rPr>
          <w:rFonts w:ascii="Arial" w:hAnsi="Arial" w:cs="Arial"/>
          <w:b w:val="0"/>
        </w:rPr>
        <w:t>της ντουταστερίδης</w:t>
      </w:r>
      <w:r w:rsidRPr="00AD0457">
        <w:rPr>
          <w:rFonts w:ascii="Arial" w:hAnsi="Arial" w:cs="Arial"/>
          <w:b w:val="0"/>
        </w:rPr>
        <w:t>.</w:t>
      </w:r>
    </w:p>
    <w:p w:rsidR="0078689F" w:rsidRPr="00AD0457" w:rsidRDefault="0078689F" w:rsidP="00A067F0">
      <w:pPr>
        <w:pStyle w:val="ab"/>
        <w:shd w:val="clear" w:color="auto" w:fill="auto"/>
        <w:ind w:right="-11"/>
        <w:jc w:val="both"/>
        <w:rPr>
          <w:rFonts w:ascii="Arial" w:hAnsi="Arial" w:cs="Arial"/>
          <w:b w:val="0"/>
          <w:i/>
          <w:u w:val="single"/>
        </w:rPr>
      </w:pPr>
    </w:p>
    <w:p w:rsidR="0078689F" w:rsidRPr="00AD0457" w:rsidRDefault="0078689F" w:rsidP="00A067F0">
      <w:pPr>
        <w:pStyle w:val="ab"/>
        <w:shd w:val="clear" w:color="auto" w:fill="auto"/>
        <w:ind w:right="-11"/>
        <w:jc w:val="both"/>
        <w:rPr>
          <w:rFonts w:ascii="Arial" w:hAnsi="Arial" w:cs="Arial"/>
          <w:i/>
        </w:rPr>
      </w:pPr>
      <w:r w:rsidRPr="00AD0457">
        <w:rPr>
          <w:rFonts w:ascii="Arial" w:hAnsi="Arial" w:cs="Arial"/>
          <w:i/>
        </w:rPr>
        <w:t xml:space="preserve">Επίδραση </w:t>
      </w:r>
      <w:r w:rsidR="00C41782">
        <w:rPr>
          <w:rFonts w:ascii="Arial" w:hAnsi="Arial" w:cs="Arial"/>
          <w:i/>
        </w:rPr>
        <w:t>της ντουταστερίδης</w:t>
      </w:r>
      <w:r w:rsidRPr="00AD0457">
        <w:rPr>
          <w:rFonts w:ascii="Arial" w:hAnsi="Arial" w:cs="Arial"/>
          <w:i/>
        </w:rPr>
        <w:t xml:space="preserve"> στη φαρμακοκινητική άλλων φαρμάκων</w:t>
      </w:r>
    </w:p>
    <w:p w:rsidR="00310F95" w:rsidRDefault="000F0F7F">
      <w:pPr>
        <w:pStyle w:val="ab"/>
        <w:shd w:val="clear" w:color="auto" w:fill="auto"/>
        <w:ind w:left="0" w:right="-11" w:firstLine="0"/>
        <w:jc w:val="both"/>
        <w:rPr>
          <w:rFonts w:ascii="Arial" w:hAnsi="Arial" w:cs="Arial"/>
        </w:rPr>
      </w:pPr>
      <w:r>
        <w:rPr>
          <w:rFonts w:ascii="Arial" w:hAnsi="Arial" w:cs="Arial"/>
          <w:b w:val="0"/>
        </w:rPr>
        <w:t>Η</w:t>
      </w:r>
      <w:r w:rsidRPr="00AD0457">
        <w:rPr>
          <w:rFonts w:ascii="Arial" w:hAnsi="Arial" w:cs="Arial"/>
          <w:b w:val="0"/>
        </w:rPr>
        <w:t xml:space="preserve"> </w:t>
      </w:r>
      <w:r w:rsidR="000F6CBD" w:rsidRPr="000F6CBD">
        <w:rPr>
          <w:rFonts w:ascii="Arial" w:hAnsi="Arial" w:cs="Arial"/>
          <w:b w:val="0"/>
        </w:rPr>
        <w:t>ντουταστερίδη</w:t>
      </w:r>
      <w:r w:rsidR="0078689F" w:rsidRPr="00AD0457">
        <w:rPr>
          <w:rFonts w:ascii="Arial" w:hAnsi="Arial" w:cs="Arial"/>
          <w:b w:val="0"/>
        </w:rPr>
        <w:t xml:space="preserve"> δεν έχει καμία επίδραση στη φαρμακοκινητική της </w:t>
      </w:r>
      <w:r w:rsidR="00952A13">
        <w:rPr>
          <w:rFonts w:ascii="Arial" w:hAnsi="Arial" w:cs="Arial"/>
          <w:b w:val="0"/>
        </w:rPr>
        <w:t>βαρφαρίνης</w:t>
      </w:r>
      <w:r w:rsidR="0078689F" w:rsidRPr="00AD0457">
        <w:rPr>
          <w:rFonts w:ascii="Arial" w:hAnsi="Arial" w:cs="Arial"/>
          <w:b w:val="0"/>
        </w:rPr>
        <w:t xml:space="preserve"> ή </w:t>
      </w:r>
      <w:r w:rsidR="00952A13">
        <w:rPr>
          <w:rFonts w:ascii="Arial" w:hAnsi="Arial" w:cs="Arial"/>
          <w:b w:val="0"/>
        </w:rPr>
        <w:t>της διγοξίνης</w:t>
      </w:r>
      <w:r w:rsidR="0078689F" w:rsidRPr="00AD0457">
        <w:rPr>
          <w:rFonts w:ascii="Arial" w:hAnsi="Arial" w:cs="Arial"/>
          <w:b w:val="0"/>
        </w:rPr>
        <w:t xml:space="preserve">. Αυτό δείχνει ότι </w:t>
      </w:r>
      <w:r w:rsidR="00952A13">
        <w:rPr>
          <w:rFonts w:ascii="Arial" w:hAnsi="Arial" w:cs="Arial"/>
          <w:b w:val="0"/>
        </w:rPr>
        <w:t>η ντουταστερίδη</w:t>
      </w:r>
      <w:r w:rsidR="0078689F" w:rsidRPr="00AD0457">
        <w:rPr>
          <w:rFonts w:ascii="Arial" w:hAnsi="Arial" w:cs="Arial"/>
          <w:b w:val="0"/>
        </w:rPr>
        <w:t xml:space="preserve"> δεν αναστέλει/επάγει το </w:t>
      </w:r>
      <w:r w:rsidR="0078689F" w:rsidRPr="00AD0457">
        <w:rPr>
          <w:rFonts w:ascii="Arial" w:hAnsi="Arial" w:cs="Arial"/>
          <w:b w:val="0"/>
          <w:lang w:val="en-US"/>
        </w:rPr>
        <w:t>CYP</w:t>
      </w:r>
      <w:r w:rsidR="0078689F" w:rsidRPr="00AD0457">
        <w:rPr>
          <w:rFonts w:ascii="Arial" w:hAnsi="Arial" w:cs="Arial"/>
          <w:b w:val="0"/>
        </w:rPr>
        <w:t>2</w:t>
      </w:r>
      <w:r w:rsidR="0078689F" w:rsidRPr="00AD0457">
        <w:rPr>
          <w:rFonts w:ascii="Arial" w:hAnsi="Arial" w:cs="Arial"/>
          <w:b w:val="0"/>
          <w:lang w:val="en-US"/>
        </w:rPr>
        <w:t>C</w:t>
      </w:r>
      <w:r w:rsidR="0078689F" w:rsidRPr="00AD0457">
        <w:rPr>
          <w:rFonts w:ascii="Arial" w:hAnsi="Arial" w:cs="Arial"/>
          <w:b w:val="0"/>
        </w:rPr>
        <w:t xml:space="preserve">9 ή τον μεταφορέα </w:t>
      </w:r>
      <w:r w:rsidR="0078689F" w:rsidRPr="00AD0457">
        <w:rPr>
          <w:rFonts w:ascii="Arial" w:hAnsi="Arial" w:cs="Arial"/>
          <w:b w:val="0"/>
          <w:lang w:val="en-US"/>
        </w:rPr>
        <w:t>P</w:t>
      </w:r>
      <w:r w:rsidR="0078689F" w:rsidRPr="00AD0457">
        <w:rPr>
          <w:rFonts w:ascii="Arial" w:hAnsi="Arial" w:cs="Arial"/>
          <w:b w:val="0"/>
        </w:rPr>
        <w:t>-</w:t>
      </w:r>
      <w:r w:rsidR="00952A13">
        <w:rPr>
          <w:rFonts w:ascii="Arial" w:hAnsi="Arial" w:cs="Arial"/>
          <w:b w:val="0"/>
        </w:rPr>
        <w:t>γλυκοπρωτεΐνης</w:t>
      </w:r>
      <w:r w:rsidR="0078689F" w:rsidRPr="00AD0457">
        <w:rPr>
          <w:rFonts w:ascii="Arial" w:hAnsi="Arial" w:cs="Arial"/>
          <w:b w:val="0"/>
        </w:rPr>
        <w:t xml:space="preserve">. </w:t>
      </w:r>
      <w:r w:rsidR="0078689F" w:rsidRPr="00AD0457">
        <w:rPr>
          <w:rFonts w:ascii="Arial" w:hAnsi="Arial" w:cs="Arial"/>
          <w:b w:val="0"/>
          <w:lang w:val="en-US"/>
        </w:rPr>
        <w:t>M</w:t>
      </w:r>
      <w:r w:rsidR="0078689F" w:rsidRPr="00AD0457">
        <w:rPr>
          <w:rFonts w:ascii="Arial" w:hAnsi="Arial" w:cs="Arial"/>
          <w:b w:val="0"/>
        </w:rPr>
        <w:t xml:space="preserve">ελέτες αλληλεπιδράσεων </w:t>
      </w:r>
      <w:proofErr w:type="spellStart"/>
      <w:r w:rsidR="0078689F" w:rsidRPr="00AD0457">
        <w:rPr>
          <w:rFonts w:ascii="Arial" w:hAnsi="Arial" w:cs="Arial"/>
          <w:b w:val="0"/>
          <w:i/>
          <w:lang w:val="en-US"/>
        </w:rPr>
        <w:t>i</w:t>
      </w:r>
      <w:proofErr w:type="spellEnd"/>
      <w:r w:rsidR="0078689F" w:rsidRPr="00AD0457">
        <w:rPr>
          <w:rFonts w:ascii="Arial" w:hAnsi="Arial" w:cs="Arial"/>
          <w:b w:val="0"/>
          <w:i/>
        </w:rPr>
        <w:t>n vitro</w:t>
      </w:r>
      <w:r w:rsidR="0078689F" w:rsidRPr="00AD0457">
        <w:rPr>
          <w:rFonts w:ascii="Arial" w:hAnsi="Arial" w:cs="Arial"/>
          <w:b w:val="0"/>
        </w:rPr>
        <w:t xml:space="preserve"> δείχνουν ότι </w:t>
      </w:r>
      <w:r w:rsidR="00952A13">
        <w:rPr>
          <w:rFonts w:ascii="Arial" w:hAnsi="Arial" w:cs="Arial"/>
          <w:b w:val="0"/>
        </w:rPr>
        <w:t>η ντουταστερίδη</w:t>
      </w:r>
      <w:r w:rsidR="0078689F" w:rsidRPr="00AD0457">
        <w:rPr>
          <w:rFonts w:ascii="Arial" w:hAnsi="Arial" w:cs="Arial"/>
          <w:b w:val="0"/>
        </w:rPr>
        <w:t xml:space="preserve"> δεν αναστέλει τα ένζυμα CYP1A2, CYP2D6, CYP2C9, CYP2C19 ή CYP3A4.</w:t>
      </w:r>
    </w:p>
    <w:p w:rsidR="0078689F" w:rsidRPr="00AD0457" w:rsidRDefault="0078689F" w:rsidP="00A067F0">
      <w:pPr>
        <w:pStyle w:val="ab"/>
        <w:shd w:val="clear" w:color="auto" w:fill="auto"/>
        <w:ind w:left="0" w:right="-11" w:firstLine="0"/>
        <w:jc w:val="both"/>
        <w:rPr>
          <w:rFonts w:ascii="Arial" w:hAnsi="Arial" w:cs="Arial"/>
          <w:b w:val="0"/>
        </w:rPr>
      </w:pPr>
      <w:r w:rsidRPr="00AD0457">
        <w:rPr>
          <w:rFonts w:ascii="Arial" w:hAnsi="Arial" w:cs="Arial"/>
          <w:b w:val="0"/>
        </w:rPr>
        <w:t>Σε μία μικρή μελέτη (N=24) διάρκειας δύο εβδομάδων σε υγιείς άνδρες,</w:t>
      </w:r>
      <w:r w:rsidR="00952A13">
        <w:rPr>
          <w:rFonts w:ascii="Arial" w:hAnsi="Arial" w:cs="Arial"/>
          <w:b w:val="0"/>
        </w:rPr>
        <w:t xml:space="preserve"> η ντουταστερίδη (0.5 </w:t>
      </w:r>
      <w:r w:rsidR="00952A13">
        <w:rPr>
          <w:rFonts w:ascii="Arial" w:hAnsi="Arial" w:cs="Arial"/>
          <w:b w:val="0"/>
          <w:lang w:val="en-US"/>
        </w:rPr>
        <w:t>mg</w:t>
      </w:r>
      <w:r w:rsidR="00952A13">
        <w:rPr>
          <w:rFonts w:ascii="Arial" w:hAnsi="Arial" w:cs="Arial"/>
          <w:b w:val="0"/>
        </w:rPr>
        <w:t xml:space="preserve"> ημερησίως)</w:t>
      </w:r>
      <w:r w:rsidRPr="00AD0457">
        <w:rPr>
          <w:rFonts w:ascii="Arial" w:hAnsi="Arial" w:cs="Arial"/>
          <w:b w:val="0"/>
        </w:rPr>
        <w:t xml:space="preserve"> δεν </w:t>
      </w:r>
      <w:r w:rsidR="00952A13">
        <w:rPr>
          <w:rFonts w:ascii="Arial" w:hAnsi="Arial" w:cs="Arial"/>
          <w:b w:val="0"/>
        </w:rPr>
        <w:t>είχε επίδραση στην</w:t>
      </w:r>
      <w:r w:rsidRPr="00AD0457">
        <w:rPr>
          <w:rFonts w:ascii="Arial" w:hAnsi="Arial" w:cs="Arial"/>
          <w:b w:val="0"/>
        </w:rPr>
        <w:t xml:space="preserve"> φαρμακοκινητική </w:t>
      </w:r>
      <w:r w:rsidR="00C41782">
        <w:rPr>
          <w:rFonts w:ascii="Arial" w:hAnsi="Arial" w:cs="Arial"/>
          <w:b w:val="0"/>
        </w:rPr>
        <w:t xml:space="preserve">της </w:t>
      </w:r>
      <w:r w:rsidR="00952A13">
        <w:rPr>
          <w:rFonts w:ascii="Arial" w:hAnsi="Arial" w:cs="Arial"/>
          <w:b w:val="0"/>
        </w:rPr>
        <w:t>ταμσουλοσίνης</w:t>
      </w:r>
      <w:r w:rsidRPr="00AD0457">
        <w:rPr>
          <w:rFonts w:ascii="Arial" w:hAnsi="Arial" w:cs="Arial"/>
          <w:b w:val="0"/>
        </w:rPr>
        <w:t xml:space="preserve"> ή </w:t>
      </w:r>
      <w:r w:rsidR="00952A13">
        <w:rPr>
          <w:rFonts w:ascii="Arial" w:hAnsi="Arial" w:cs="Arial"/>
          <w:b w:val="0"/>
        </w:rPr>
        <w:t>της τεραζοσίνης</w:t>
      </w:r>
      <w:r w:rsidRPr="00AD0457">
        <w:rPr>
          <w:rFonts w:ascii="Arial" w:hAnsi="Arial" w:cs="Arial"/>
          <w:b w:val="0"/>
        </w:rPr>
        <w:t>.</w:t>
      </w:r>
      <w:r w:rsidR="00952A13">
        <w:rPr>
          <w:rFonts w:ascii="Arial" w:hAnsi="Arial" w:cs="Arial"/>
          <w:b w:val="0"/>
        </w:rPr>
        <w:t xml:space="preserve"> Επίσης δεν υπήρξε ένδειξη φαρμακοδυναμικής αλληλεπίδρασης σε αυτή τη μελέτη.</w:t>
      </w:r>
    </w:p>
    <w:p w:rsidR="0078689F" w:rsidRPr="00AD0457" w:rsidRDefault="0078689F" w:rsidP="00A067F0">
      <w:pPr>
        <w:ind w:right="-11" w:hanging="567"/>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4.6</w:t>
      </w:r>
      <w:r w:rsidRPr="00AD0457">
        <w:rPr>
          <w:rFonts w:ascii="Arial" w:hAnsi="Arial" w:cs="Arial"/>
          <w:b/>
          <w:lang w:val="el-GR"/>
        </w:rPr>
        <w:tab/>
        <w:t>Kύηση και γαλουχία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χρήση του </w:t>
      </w:r>
      <w:proofErr w:type="spellStart"/>
      <w:r w:rsidR="0009026D">
        <w:rPr>
          <w:rFonts w:ascii="Arial" w:hAnsi="Arial" w:cs="Arial"/>
        </w:rPr>
        <w:t>Duagen</w:t>
      </w:r>
      <w:proofErr w:type="spellEnd"/>
      <w:r w:rsidRPr="00AD0457">
        <w:rPr>
          <w:rFonts w:ascii="Arial" w:hAnsi="Arial" w:cs="Arial"/>
          <w:lang w:val="el-GR"/>
        </w:rPr>
        <w:t xml:space="preserve"> στις γυναίκες αντενδείκνυται.</w:t>
      </w:r>
    </w:p>
    <w:p w:rsidR="00627A3C" w:rsidRPr="00952A13" w:rsidRDefault="00627A3C" w:rsidP="00A067F0">
      <w:pPr>
        <w:ind w:right="-11"/>
        <w:jc w:val="both"/>
        <w:rPr>
          <w:rFonts w:ascii="Arial" w:hAnsi="Arial" w:cs="Arial"/>
          <w:lang w:val="el-GR"/>
        </w:rPr>
      </w:pPr>
    </w:p>
    <w:p w:rsidR="00627A3C" w:rsidRPr="00952A13" w:rsidRDefault="00627A3C" w:rsidP="00A067F0">
      <w:pPr>
        <w:ind w:right="-11"/>
        <w:jc w:val="both"/>
        <w:rPr>
          <w:rFonts w:ascii="Arial" w:hAnsi="Arial" w:cs="Arial"/>
          <w:b/>
          <w:i/>
          <w:snapToGrid w:val="0"/>
          <w:szCs w:val="22"/>
          <w:lang w:val="el-GR"/>
        </w:rPr>
      </w:pPr>
      <w:r w:rsidRPr="00952A13">
        <w:rPr>
          <w:rFonts w:ascii="Arial" w:hAnsi="Arial" w:cs="Arial"/>
          <w:b/>
          <w:i/>
          <w:snapToGrid w:val="0"/>
          <w:szCs w:val="22"/>
          <w:lang w:val="el-GR"/>
        </w:rPr>
        <w:t>Γονιμότητα</w:t>
      </w:r>
    </w:p>
    <w:p w:rsidR="00627A3C" w:rsidRPr="00952A13" w:rsidRDefault="00952A13" w:rsidP="00A067F0">
      <w:pPr>
        <w:ind w:right="-11"/>
        <w:jc w:val="both"/>
        <w:rPr>
          <w:rFonts w:ascii="Arial" w:hAnsi="Arial" w:cs="Arial"/>
          <w:snapToGrid w:val="0"/>
          <w:szCs w:val="22"/>
          <w:lang w:val="el-GR"/>
        </w:rPr>
      </w:pPr>
      <w:r>
        <w:rPr>
          <w:rFonts w:ascii="Arial" w:hAnsi="Arial" w:cs="Arial"/>
          <w:lang w:val="el-GR"/>
        </w:rPr>
        <w:lastRenderedPageBreak/>
        <w:t xml:space="preserve">Η ντουταστερίδη </w:t>
      </w:r>
      <w:r w:rsidR="00627A3C" w:rsidRPr="00952A13">
        <w:rPr>
          <w:rFonts w:ascii="Arial" w:hAnsi="Arial" w:cs="Arial"/>
          <w:lang w:val="el-GR"/>
        </w:rPr>
        <w:t>έχει αναφερθεί ότι επηρεάζει τα χαρακτηριστικά του σπέρματος (μείωση του συνολικού αριθμού σπερματοζωαρίων, του όγκου του σπέρματος και της κινητικότητας των σπερματοζωαρίων) σε υγιείς άνδρες (βλ</w:t>
      </w:r>
      <w:r>
        <w:rPr>
          <w:rFonts w:ascii="Arial" w:hAnsi="Arial" w:cs="Arial"/>
          <w:lang w:val="el-GR"/>
        </w:rPr>
        <w:t xml:space="preserve">. παράγραφο </w:t>
      </w:r>
      <w:r w:rsidR="00627A3C" w:rsidRPr="00952A13">
        <w:rPr>
          <w:rFonts w:ascii="Arial" w:hAnsi="Arial" w:cs="Arial"/>
          <w:lang w:val="el-GR"/>
        </w:rPr>
        <w:t>5.1)</w:t>
      </w:r>
      <w:r>
        <w:rPr>
          <w:rFonts w:ascii="Arial" w:hAnsi="Arial" w:cs="Arial"/>
          <w:bCs/>
          <w:lang w:val="el-GR"/>
        </w:rPr>
        <w:t xml:space="preserve">. </w:t>
      </w:r>
      <w:r w:rsidR="00627A3C" w:rsidRPr="00952A13">
        <w:rPr>
          <w:rFonts w:ascii="Arial" w:hAnsi="Arial" w:cs="Arial"/>
          <w:bCs/>
          <w:iCs/>
          <w:szCs w:val="22"/>
          <w:lang w:val="el-GR"/>
        </w:rPr>
        <w:t>Η πιθανότητα μειωμένης ανδρικής γονιμότητας δεν μπορεί να αποκλεισθεί.</w:t>
      </w:r>
    </w:p>
    <w:p w:rsidR="00690D83" w:rsidRPr="00952A13" w:rsidRDefault="00690D83" w:rsidP="00A067F0">
      <w:pPr>
        <w:pStyle w:val="2"/>
        <w:ind w:right="-11"/>
        <w:jc w:val="both"/>
        <w:rPr>
          <w:rFonts w:ascii="Arial" w:hAnsi="Arial" w:cs="Arial"/>
          <w:i/>
          <w:color w:val="000080"/>
        </w:rPr>
      </w:pPr>
    </w:p>
    <w:p w:rsidR="0078689F" w:rsidRPr="00AD0457" w:rsidRDefault="0078689F" w:rsidP="00A067F0">
      <w:pPr>
        <w:pStyle w:val="2"/>
        <w:ind w:right="-11"/>
        <w:jc w:val="both"/>
        <w:rPr>
          <w:rFonts w:ascii="Arial" w:hAnsi="Arial" w:cs="Arial"/>
          <w:i/>
        </w:rPr>
      </w:pPr>
      <w:r w:rsidRPr="00AD0457">
        <w:rPr>
          <w:rFonts w:ascii="Arial" w:hAnsi="Arial" w:cs="Arial"/>
          <w:i/>
        </w:rPr>
        <w:t>Κύηση</w:t>
      </w:r>
    </w:p>
    <w:p w:rsidR="004C34C5" w:rsidRDefault="0078689F" w:rsidP="00A067F0">
      <w:pPr>
        <w:ind w:right="-11"/>
        <w:jc w:val="both"/>
        <w:rPr>
          <w:rFonts w:ascii="Arial" w:hAnsi="Arial" w:cs="Arial"/>
          <w:lang w:val="el-GR"/>
        </w:rPr>
      </w:pPr>
      <w:r w:rsidRPr="00AD0457">
        <w:rPr>
          <w:rFonts w:ascii="Arial" w:hAnsi="Arial" w:cs="Arial"/>
          <w:lang w:val="el-GR"/>
        </w:rPr>
        <w:t>Όπως και άλλοι αναστολείς της 5</w:t>
      </w:r>
      <w:r w:rsidR="00952A13">
        <w:rPr>
          <w:rFonts w:ascii="Arial" w:hAnsi="Arial" w:cs="Arial"/>
          <w:lang w:val="el-GR"/>
        </w:rPr>
        <w:t xml:space="preserve">-άλφα </w:t>
      </w:r>
      <w:r w:rsidRPr="00AD0457">
        <w:rPr>
          <w:rFonts w:ascii="Arial" w:hAnsi="Arial" w:cs="Arial"/>
          <w:lang w:val="el-GR"/>
        </w:rPr>
        <w:t xml:space="preserve">αναγωγάσης </w:t>
      </w:r>
      <w:r w:rsidR="00952A13">
        <w:rPr>
          <w:rFonts w:ascii="Arial" w:hAnsi="Arial" w:cs="Arial"/>
          <w:lang w:val="el-GR"/>
        </w:rPr>
        <w:t>η ντουταστερίδη</w:t>
      </w:r>
      <w:r w:rsidRPr="00AD0457">
        <w:rPr>
          <w:rFonts w:ascii="Arial" w:hAnsi="Arial" w:cs="Arial"/>
          <w:lang w:val="el-GR"/>
        </w:rPr>
        <w:t xml:space="preserve"> αναστέλλει την μετατροπή της τεστοστερόνης σε διϋδροτεστοστερόνη, και ενδέχεται εάν χορηγηθεί σε γυναίκα που εγκυμονεί άρρεν έμβρυο, να εμποδίσει την φυσιολογική ανάπτυξη των εξωτερικών γεννητικών οργάνων του εμβρύου (</w:t>
      </w:r>
      <w:r w:rsidR="00952A13" w:rsidRPr="00952A13">
        <w:rPr>
          <w:rFonts w:ascii="Arial" w:hAnsi="Arial" w:cs="Arial"/>
          <w:lang w:val="el-GR"/>
        </w:rPr>
        <w:t>βλ</w:t>
      </w:r>
      <w:r w:rsidR="00952A13">
        <w:rPr>
          <w:rFonts w:ascii="Arial" w:hAnsi="Arial" w:cs="Arial"/>
          <w:lang w:val="el-GR"/>
        </w:rPr>
        <w:t>. παράγραφο</w:t>
      </w:r>
      <w:r w:rsidRPr="00AD0457">
        <w:rPr>
          <w:rFonts w:ascii="Arial" w:hAnsi="Arial" w:cs="Arial"/>
          <w:lang w:val="el-GR"/>
        </w:rPr>
        <w:t xml:space="preserve"> 4.4). Μικρά ποσά </w:t>
      </w:r>
      <w:r w:rsidR="000F6CBD" w:rsidRPr="000F6CBD">
        <w:rPr>
          <w:rFonts w:ascii="Arial" w:hAnsi="Arial" w:cs="Arial"/>
          <w:lang w:val="el-GR"/>
        </w:rPr>
        <w:t>ντουταστερίδη</w:t>
      </w:r>
      <w:r w:rsidRPr="00AD0457">
        <w:rPr>
          <w:rFonts w:ascii="Arial" w:hAnsi="Arial" w:cs="Arial"/>
          <w:lang w:val="el-GR"/>
        </w:rPr>
        <w:t xml:space="preserve"> έχουν ανιχνευθεί στο σπέρμα σε άτομα που έλαβαν </w:t>
      </w:r>
      <w:proofErr w:type="spellStart"/>
      <w:r w:rsidR="0009026D">
        <w:rPr>
          <w:rFonts w:ascii="Arial" w:hAnsi="Arial" w:cs="Arial"/>
        </w:rPr>
        <w:t>Duagen</w:t>
      </w:r>
      <w:proofErr w:type="spellEnd"/>
      <w:r w:rsidRPr="00AD0457">
        <w:rPr>
          <w:rFonts w:ascii="Arial" w:hAnsi="Arial" w:cs="Arial"/>
          <w:lang w:val="el-GR"/>
        </w:rPr>
        <w:t xml:space="preserve"> 0.5</w:t>
      </w:r>
      <w:r w:rsidRPr="00AD0457">
        <w:rPr>
          <w:rFonts w:ascii="Arial" w:hAnsi="Arial" w:cs="Arial"/>
        </w:rPr>
        <w:t>mg</w:t>
      </w:r>
      <w:r w:rsidRPr="00AD0457">
        <w:rPr>
          <w:rFonts w:ascii="Arial" w:hAnsi="Arial" w:cs="Arial"/>
          <w:lang w:val="el-GR"/>
        </w:rPr>
        <w:t xml:space="preserve"> ημερησίως.</w:t>
      </w:r>
      <w:r w:rsidR="003660DF">
        <w:rPr>
          <w:rFonts w:ascii="Arial" w:hAnsi="Arial" w:cs="Arial"/>
          <w:lang w:val="el-GR"/>
        </w:rPr>
        <w:t xml:space="preserve"> Δεν είναι γνωστό αν ένα άρρεν έμβρυο μπορεί να επηρεασθεί αρνητικά εάν η μητέρα του εκτεθεί σε σπέρμα ασθενούς ο οποίος λαμβάνει ντουταστερίδη (ο κίνδυνος του οποίου είναι μεγαλύτερος κατά τη διάρκεια των πρώτων 16 εβδομάδων της κύησης). </w:t>
      </w:r>
      <w:r w:rsidRPr="00AD0457">
        <w:rPr>
          <w:rFonts w:ascii="Arial" w:hAnsi="Arial" w:cs="Arial"/>
          <w:lang w:val="el-GR"/>
        </w:rPr>
        <w:t xml:space="preserve"> </w:t>
      </w:r>
    </w:p>
    <w:p w:rsidR="0078689F" w:rsidRDefault="000970F8" w:rsidP="00A067F0">
      <w:pPr>
        <w:ind w:right="-11"/>
        <w:jc w:val="both"/>
        <w:rPr>
          <w:rFonts w:ascii="Arial" w:hAnsi="Arial" w:cs="Arial"/>
          <w:lang w:val="el-GR"/>
        </w:rPr>
      </w:pPr>
      <w:r>
        <w:rPr>
          <w:rFonts w:ascii="Arial" w:hAnsi="Arial" w:cs="Arial"/>
          <w:snapToGrid w:val="0"/>
          <w:color w:val="000000"/>
          <w:lang w:val="el-GR"/>
        </w:rPr>
        <w:t>Όπως</w:t>
      </w:r>
      <w:r w:rsidR="0078689F" w:rsidRPr="00AD0457">
        <w:rPr>
          <w:rFonts w:ascii="Arial" w:hAnsi="Arial" w:cs="Arial"/>
          <w:snapToGrid w:val="0"/>
          <w:color w:val="000000"/>
          <w:lang w:val="el-GR"/>
        </w:rPr>
        <w:t xml:space="preserve"> με όλους τους </w:t>
      </w:r>
      <w:r w:rsidR="0078689F" w:rsidRPr="00AD0457">
        <w:rPr>
          <w:rFonts w:ascii="Arial" w:hAnsi="Arial" w:cs="Arial"/>
          <w:lang w:val="el-GR"/>
        </w:rPr>
        <w:t>αναστολείς της 5</w:t>
      </w:r>
      <w:r w:rsidR="00952A13">
        <w:rPr>
          <w:rFonts w:ascii="Arial" w:hAnsi="Arial" w:cs="Arial"/>
          <w:lang w:val="el-GR"/>
        </w:rPr>
        <w:t>-άλφα</w:t>
      </w:r>
      <w:r w:rsidR="0078689F" w:rsidRPr="00AD0457">
        <w:rPr>
          <w:rFonts w:ascii="Arial" w:hAnsi="Arial" w:cs="Arial"/>
          <w:lang w:val="el-GR"/>
        </w:rPr>
        <w:t xml:space="preserve"> αναγωγάσης</w:t>
      </w:r>
      <w:r w:rsidR="0078689F" w:rsidRPr="00AD0457">
        <w:rPr>
          <w:rFonts w:ascii="Arial" w:hAnsi="Arial" w:cs="Arial"/>
          <w:snapToGrid w:val="0"/>
          <w:color w:val="000000"/>
          <w:lang w:val="el-GR"/>
        </w:rPr>
        <w:t>, όταν η σύντροφος του ασθενή είναι, ή μπορεί να μείνει έγκυος, συνιστάται όπως ο ασθενής αποφεύγει έκθεση της συντρόφου του στο σπέρμα με τη χρήση προφυλακτικού.</w:t>
      </w:r>
    </w:p>
    <w:p w:rsidR="004C34C5" w:rsidRDefault="004C34C5" w:rsidP="00A067F0">
      <w:pPr>
        <w:ind w:right="-11"/>
        <w:jc w:val="both"/>
        <w:rPr>
          <w:rFonts w:ascii="Arial" w:hAnsi="Arial" w:cs="Arial"/>
          <w:lang w:val="el-GR"/>
        </w:rPr>
      </w:pPr>
      <w:r>
        <w:rPr>
          <w:rFonts w:ascii="Arial" w:hAnsi="Arial" w:cs="Arial"/>
          <w:lang w:val="el-GR"/>
        </w:rPr>
        <w:t>Για πληροφορίες σχετικά με προκλινικά δεδομένα, βλ. παράγραφο 5.3.</w:t>
      </w:r>
    </w:p>
    <w:p w:rsidR="004C34C5" w:rsidRPr="00AD0457" w:rsidRDefault="004C34C5" w:rsidP="00A067F0">
      <w:pPr>
        <w:ind w:right="-11"/>
        <w:jc w:val="both"/>
        <w:rPr>
          <w:rFonts w:ascii="Arial" w:hAnsi="Arial" w:cs="Arial"/>
          <w:lang w:val="el-GR"/>
        </w:rPr>
      </w:pPr>
    </w:p>
    <w:p w:rsidR="0078689F" w:rsidRPr="00AD0457" w:rsidRDefault="0078689F" w:rsidP="00A067F0">
      <w:pPr>
        <w:pStyle w:val="2"/>
        <w:ind w:right="-11"/>
        <w:jc w:val="both"/>
        <w:rPr>
          <w:rFonts w:ascii="Arial" w:hAnsi="Arial" w:cs="Arial"/>
          <w:i/>
        </w:rPr>
      </w:pPr>
      <w:r w:rsidRPr="00AD0457">
        <w:rPr>
          <w:rFonts w:ascii="Arial" w:hAnsi="Arial" w:cs="Arial"/>
          <w:i/>
        </w:rPr>
        <w:t>Γαλουχία</w:t>
      </w:r>
    </w:p>
    <w:p w:rsidR="0078689F" w:rsidRPr="00AD0457" w:rsidRDefault="000F6CBD" w:rsidP="00A067F0">
      <w:pPr>
        <w:ind w:right="-11"/>
        <w:jc w:val="both"/>
        <w:rPr>
          <w:rFonts w:ascii="Arial" w:hAnsi="Arial" w:cs="Arial"/>
          <w:lang w:val="el-GR"/>
        </w:rPr>
      </w:pPr>
      <w:r>
        <w:rPr>
          <w:rFonts w:ascii="Arial" w:hAnsi="Arial" w:cs="Arial"/>
          <w:lang w:val="el-GR"/>
        </w:rPr>
        <w:t xml:space="preserve">Δεν είναι γνωστό εάν </w:t>
      </w:r>
      <w:r w:rsidR="00952A13">
        <w:rPr>
          <w:rFonts w:ascii="Arial" w:hAnsi="Arial" w:cs="Arial"/>
          <w:lang w:val="el-GR"/>
        </w:rPr>
        <w:t xml:space="preserve">η ντουταστερίδη </w:t>
      </w:r>
      <w:r w:rsidR="0078689F" w:rsidRPr="00AD0457">
        <w:rPr>
          <w:rFonts w:ascii="Arial" w:hAnsi="Arial" w:cs="Arial"/>
          <w:lang w:val="el-GR"/>
        </w:rPr>
        <w:t>απεκκρίνεται στο μητρικό γάλα.</w:t>
      </w:r>
    </w:p>
    <w:p w:rsidR="0078689F" w:rsidRPr="00AD0457" w:rsidRDefault="0078689F" w:rsidP="00A067F0">
      <w:pPr>
        <w:ind w:right="-11"/>
        <w:jc w:val="both"/>
        <w:rPr>
          <w:rFonts w:ascii="Arial" w:hAnsi="Arial" w:cs="Arial"/>
          <w:lang w:val="el-GR"/>
        </w:rPr>
      </w:pPr>
    </w:p>
    <w:p w:rsidR="0078689F" w:rsidRPr="00AD0457" w:rsidRDefault="0078689F" w:rsidP="00A067F0">
      <w:pPr>
        <w:ind w:left="567" w:right="-11" w:hanging="567"/>
        <w:jc w:val="both"/>
        <w:rPr>
          <w:rFonts w:ascii="Arial" w:hAnsi="Arial" w:cs="Arial"/>
          <w:lang w:val="el-GR"/>
        </w:rPr>
      </w:pPr>
      <w:r w:rsidRPr="00AD0457">
        <w:rPr>
          <w:rFonts w:ascii="Arial" w:hAnsi="Arial" w:cs="Arial"/>
          <w:b/>
          <w:lang w:val="el-GR"/>
        </w:rPr>
        <w:t>4.7</w:t>
      </w:r>
      <w:r w:rsidRPr="00AD0457">
        <w:rPr>
          <w:rFonts w:ascii="Arial" w:hAnsi="Arial" w:cs="Arial"/>
          <w:b/>
          <w:lang w:val="el-GR"/>
        </w:rPr>
        <w:tab/>
        <w:t>Επιδράσεις στην ικανότητα οδήγησης και χειρισμού μηχανών</w:t>
      </w:r>
    </w:p>
    <w:p w:rsidR="0078689F" w:rsidRPr="00AD0457" w:rsidRDefault="0078689F" w:rsidP="00A067F0">
      <w:pPr>
        <w:ind w:right="-11"/>
        <w:jc w:val="both"/>
        <w:rPr>
          <w:rFonts w:ascii="Arial" w:hAnsi="Arial" w:cs="Arial"/>
          <w:lang w:val="el-GR"/>
        </w:rPr>
      </w:pP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Με βάση τις φαρμακοδυναμικές ιδιότητες </w:t>
      </w:r>
      <w:r w:rsidR="00C41782">
        <w:rPr>
          <w:rFonts w:ascii="Arial" w:hAnsi="Arial" w:cs="Arial"/>
          <w:lang w:val="el-GR"/>
        </w:rPr>
        <w:t>της ντουταστερίδης</w:t>
      </w:r>
      <w:r w:rsidRPr="00AD0457">
        <w:rPr>
          <w:rFonts w:ascii="Arial" w:hAnsi="Arial" w:cs="Arial"/>
          <w:lang w:val="el-GR"/>
        </w:rPr>
        <w:t xml:space="preserve">, η θεραπεία με </w:t>
      </w:r>
      <w:r w:rsidR="000F6CBD">
        <w:rPr>
          <w:rFonts w:ascii="Arial" w:hAnsi="Arial" w:cs="Arial"/>
          <w:lang w:val="el-GR"/>
        </w:rPr>
        <w:t>ντουταστερίδη</w:t>
      </w:r>
      <w:r w:rsidRPr="00AD0457">
        <w:rPr>
          <w:rFonts w:ascii="Arial" w:hAnsi="Arial" w:cs="Arial"/>
          <w:lang w:val="el-GR"/>
        </w:rPr>
        <w:t xml:space="preserve"> δεν αναμένεται να επιδράσει στην ικανότητα οδήγησης και χειρισμού μηχανών.</w:t>
      </w:r>
    </w:p>
    <w:p w:rsidR="0078689F" w:rsidRDefault="0078689F" w:rsidP="00A067F0">
      <w:pPr>
        <w:ind w:right="-11"/>
        <w:jc w:val="both"/>
        <w:rPr>
          <w:rFonts w:ascii="Arial" w:hAnsi="Arial" w:cs="Arial"/>
          <w:lang w:val="el-GR"/>
        </w:rPr>
      </w:pPr>
    </w:p>
    <w:p w:rsidR="0078689F" w:rsidRPr="00AD0457" w:rsidRDefault="0078689F" w:rsidP="00A067F0">
      <w:pPr>
        <w:ind w:left="567" w:right="-11" w:hanging="567"/>
        <w:jc w:val="both"/>
        <w:rPr>
          <w:rFonts w:ascii="Arial" w:hAnsi="Arial" w:cs="Arial"/>
          <w:lang w:val="el-GR"/>
        </w:rPr>
      </w:pPr>
      <w:r w:rsidRPr="00AD0457">
        <w:rPr>
          <w:rFonts w:ascii="Arial" w:hAnsi="Arial" w:cs="Arial"/>
          <w:b/>
          <w:lang w:val="el-GR"/>
        </w:rPr>
        <w:t>4.8</w:t>
      </w:r>
      <w:r w:rsidRPr="00AD0457">
        <w:rPr>
          <w:rFonts w:ascii="Arial" w:hAnsi="Arial" w:cs="Arial"/>
          <w:b/>
          <w:lang w:val="el-GR"/>
        </w:rPr>
        <w:tab/>
        <w:t>Ανεπιθύμητες ενέργειες</w:t>
      </w:r>
    </w:p>
    <w:p w:rsidR="0078689F" w:rsidRDefault="0078689F" w:rsidP="00A067F0">
      <w:pPr>
        <w:ind w:right="-11"/>
        <w:jc w:val="both"/>
        <w:rPr>
          <w:rFonts w:ascii="Arial" w:hAnsi="Arial" w:cs="Arial"/>
          <w:lang w:val="el-GR"/>
        </w:rPr>
      </w:pPr>
    </w:p>
    <w:p w:rsidR="000F6CBD" w:rsidRDefault="000F6CBD" w:rsidP="00A067F0">
      <w:pPr>
        <w:ind w:right="-11"/>
        <w:jc w:val="both"/>
        <w:rPr>
          <w:rFonts w:ascii="Arial" w:hAnsi="Arial" w:cs="Arial"/>
          <w:lang w:val="el-GR"/>
        </w:rPr>
      </w:pPr>
      <w:r>
        <w:rPr>
          <w:rFonts w:ascii="Arial" w:hAnsi="Arial" w:cs="Arial"/>
          <w:lang w:val="el-GR"/>
        </w:rPr>
        <w:t xml:space="preserve">ΤΟ </w:t>
      </w:r>
      <w:r>
        <w:rPr>
          <w:rFonts w:ascii="Arial" w:hAnsi="Arial" w:cs="Arial"/>
        </w:rPr>
        <w:t>DUAGEN</w:t>
      </w:r>
      <w:r w:rsidRPr="00B36149">
        <w:rPr>
          <w:rFonts w:ascii="Arial" w:hAnsi="Arial" w:cs="Arial"/>
          <w:lang w:val="el-GR"/>
        </w:rPr>
        <w:t xml:space="preserve"> </w:t>
      </w:r>
      <w:r>
        <w:rPr>
          <w:rFonts w:ascii="Arial" w:hAnsi="Arial" w:cs="Arial"/>
          <w:lang w:val="el-GR"/>
        </w:rPr>
        <w:t>ΩΣ ΜΟΝΟΘΕΡΑΠΕΙΑ</w:t>
      </w:r>
    </w:p>
    <w:p w:rsidR="000F6CBD" w:rsidRPr="000F6CBD" w:rsidRDefault="000F6CBD" w:rsidP="00A067F0">
      <w:pPr>
        <w:ind w:right="-11"/>
        <w:jc w:val="both"/>
        <w:rPr>
          <w:rFonts w:ascii="Arial" w:hAnsi="Arial" w:cs="Arial"/>
          <w:lang w:val="el-GR"/>
        </w:rPr>
      </w:pPr>
    </w:p>
    <w:p w:rsidR="002F2FFC" w:rsidRDefault="000F6CBD" w:rsidP="00A067F0">
      <w:pPr>
        <w:ind w:right="-11"/>
        <w:jc w:val="both"/>
        <w:rPr>
          <w:rFonts w:ascii="Arial" w:hAnsi="Arial" w:cs="Arial"/>
          <w:lang w:val="el-GR"/>
        </w:rPr>
      </w:pPr>
      <w:r>
        <w:rPr>
          <w:rFonts w:ascii="Arial" w:hAnsi="Arial" w:cs="Arial"/>
          <w:lang w:val="el-GR"/>
        </w:rPr>
        <w:t xml:space="preserve">Περίπου </w:t>
      </w:r>
      <w:r w:rsidR="0078689F" w:rsidRPr="00AD0457">
        <w:rPr>
          <w:rFonts w:ascii="Arial" w:hAnsi="Arial" w:cs="Arial"/>
          <w:lang w:val="el-GR"/>
        </w:rPr>
        <w:t xml:space="preserve">19% από 2167 ασθενείς που έλαβαν </w:t>
      </w:r>
      <w:r>
        <w:rPr>
          <w:rFonts w:ascii="Arial" w:hAnsi="Arial" w:cs="Arial"/>
          <w:lang w:val="el-GR"/>
        </w:rPr>
        <w:t>ντουταστερίδη</w:t>
      </w:r>
      <w:r w:rsidR="0078689F" w:rsidRPr="00AD0457">
        <w:rPr>
          <w:rFonts w:ascii="Arial" w:hAnsi="Arial" w:cs="Arial"/>
          <w:lang w:val="el-GR"/>
        </w:rPr>
        <w:t xml:space="preserve"> σε ελεγχόμενες με εικονικό φάρμακο μελέτες φάσης ΙΙΙ</w:t>
      </w:r>
      <w:r>
        <w:rPr>
          <w:rFonts w:ascii="Arial" w:hAnsi="Arial" w:cs="Arial"/>
          <w:lang w:val="el-GR"/>
        </w:rPr>
        <w:t xml:space="preserve"> διάρκειας 2 ετών</w:t>
      </w:r>
      <w:r w:rsidR="0078689F" w:rsidRPr="00AD0457">
        <w:rPr>
          <w:rFonts w:ascii="Arial" w:hAnsi="Arial" w:cs="Arial"/>
          <w:lang w:val="el-GR"/>
        </w:rPr>
        <w:t>, ανέπτυξαν ανεπιθύμητες ενέργειες</w:t>
      </w:r>
      <w:r>
        <w:rPr>
          <w:rFonts w:ascii="Arial" w:hAnsi="Arial" w:cs="Arial"/>
          <w:lang w:val="el-GR"/>
        </w:rPr>
        <w:t xml:space="preserve"> κατά τη διάρκεια του πρώτου έτους θεραπείας</w:t>
      </w:r>
      <w:r w:rsidR="0078689F" w:rsidRPr="00AD0457">
        <w:rPr>
          <w:rFonts w:ascii="Arial" w:hAnsi="Arial" w:cs="Arial"/>
          <w:lang w:val="el-GR"/>
        </w:rPr>
        <w:t>. Η πλειονότητα αυτών των περιστατικών ήταν ήπια ή μέτρια και εμφανίσθηκε στο αναπαραγωγικό σύστημα.</w:t>
      </w:r>
      <w:r>
        <w:rPr>
          <w:rFonts w:ascii="Arial" w:hAnsi="Arial" w:cs="Arial"/>
          <w:lang w:val="el-GR"/>
        </w:rPr>
        <w:t xml:space="preserve"> Το προφίλ των ανεπιθύμητων ενεργειών δεν μεταβλήθηκε σε ένα διάστημα 2 </w:t>
      </w:r>
      <w:r w:rsidR="00931258">
        <w:rPr>
          <w:rFonts w:ascii="Arial" w:hAnsi="Arial" w:cs="Arial"/>
          <w:lang w:val="el-GR"/>
        </w:rPr>
        <w:t>επιπλέον</w:t>
      </w:r>
      <w:r>
        <w:rPr>
          <w:rFonts w:ascii="Arial" w:hAnsi="Arial" w:cs="Arial"/>
          <w:lang w:val="el-GR"/>
        </w:rPr>
        <w:t xml:space="preserve"> </w:t>
      </w:r>
      <w:r w:rsidR="002F2FFC">
        <w:rPr>
          <w:rFonts w:ascii="Arial" w:hAnsi="Arial" w:cs="Arial"/>
          <w:lang w:val="el-GR"/>
        </w:rPr>
        <w:t>ετών με τη συνέχιση ανοικτού τύπου μελετών.</w:t>
      </w:r>
    </w:p>
    <w:p w:rsidR="00A4767A" w:rsidRDefault="004068FC" w:rsidP="00A067F0">
      <w:pPr>
        <w:ind w:right="-11"/>
        <w:jc w:val="both"/>
        <w:rPr>
          <w:rFonts w:ascii="Arial" w:hAnsi="Arial" w:cs="Arial"/>
          <w:lang w:val="el-GR"/>
        </w:rPr>
      </w:pPr>
      <w:r w:rsidRPr="00AD0457">
        <w:rPr>
          <w:rFonts w:ascii="Arial" w:hAnsi="Arial" w:cs="Arial"/>
          <w:lang w:val="el-GR"/>
        </w:rPr>
        <w:t xml:space="preserve">Ο </w:t>
      </w:r>
      <w:r w:rsidR="0078689F" w:rsidRPr="00AD0457">
        <w:rPr>
          <w:rFonts w:ascii="Arial" w:hAnsi="Arial" w:cs="Arial"/>
          <w:lang w:val="el-GR"/>
        </w:rPr>
        <w:t xml:space="preserve">παρακάτω </w:t>
      </w:r>
      <w:r w:rsidR="003D3F69" w:rsidRPr="00AD0457">
        <w:rPr>
          <w:rFonts w:ascii="Arial" w:hAnsi="Arial" w:cs="Arial"/>
          <w:lang w:val="el-GR"/>
        </w:rPr>
        <w:t xml:space="preserve">πίνακας δείχνει τις </w:t>
      </w:r>
      <w:r w:rsidR="0078689F" w:rsidRPr="00AD0457">
        <w:rPr>
          <w:rFonts w:ascii="Arial" w:hAnsi="Arial" w:cs="Arial"/>
          <w:lang w:val="el-GR"/>
        </w:rPr>
        <w:t xml:space="preserve">ανεπιθύμητες ενέργειες </w:t>
      </w:r>
      <w:r w:rsidR="003D3F69" w:rsidRPr="00AD0457">
        <w:rPr>
          <w:rFonts w:ascii="Arial" w:hAnsi="Arial" w:cs="Arial"/>
          <w:lang w:val="el-GR"/>
        </w:rPr>
        <w:t xml:space="preserve">από ελεγχόμενες κλινικές μελέτες και </w:t>
      </w:r>
      <w:r w:rsidR="00F56B6C" w:rsidRPr="00AD0457">
        <w:rPr>
          <w:rFonts w:ascii="Arial" w:hAnsi="Arial" w:cs="Arial"/>
          <w:lang w:val="el-GR"/>
        </w:rPr>
        <w:t xml:space="preserve">από </w:t>
      </w:r>
      <w:r w:rsidR="003D3F69" w:rsidRPr="00AD0457">
        <w:rPr>
          <w:rFonts w:ascii="Arial" w:hAnsi="Arial" w:cs="Arial"/>
          <w:lang w:val="el-GR"/>
        </w:rPr>
        <w:t xml:space="preserve">εμπειρία μετά την κυκλοφορία του φαρμάκου. Οι ανεπιθύμητες ενέργειες από κλινικές μελέτες </w:t>
      </w:r>
      <w:r w:rsidR="00846E50">
        <w:rPr>
          <w:rFonts w:ascii="Arial" w:hAnsi="Arial" w:cs="Arial"/>
          <w:lang w:val="el-GR"/>
        </w:rPr>
        <w:t>είναι συμβάντα σχετιζόμενα με το φάρμακο κ</w:t>
      </w:r>
      <w:r w:rsidR="00666F21">
        <w:rPr>
          <w:rFonts w:ascii="Arial" w:hAnsi="Arial" w:cs="Arial"/>
          <w:lang w:val="el-GR"/>
        </w:rPr>
        <w:t>α</w:t>
      </w:r>
      <w:r w:rsidR="00846E50">
        <w:rPr>
          <w:rFonts w:ascii="Arial" w:hAnsi="Arial" w:cs="Arial"/>
          <w:lang w:val="el-GR"/>
        </w:rPr>
        <w:t>τά την κρίση του ερευνητή (με συχνότητα εμφάνισης μεγαλύτερη ή ίση του 1%) που αναφέρθηκαν με μεγαλύτερη συχνότητα σε ασθενείς που έλαβαν ντουταστερίδη συγκριτικά με αυτούς που έλαβαν εικονικό φάρμακο</w:t>
      </w:r>
      <w:r w:rsidR="0078689F" w:rsidRPr="00AD0457">
        <w:rPr>
          <w:rFonts w:ascii="Arial" w:hAnsi="Arial" w:cs="Arial"/>
          <w:lang w:val="el-GR"/>
        </w:rPr>
        <w:t xml:space="preserve"> κατά τη διάρκεια του πρώτου χρόνου θεραπείας.</w:t>
      </w:r>
      <w:r w:rsidR="003D3F69" w:rsidRPr="00AD0457">
        <w:rPr>
          <w:rFonts w:ascii="Arial" w:hAnsi="Arial" w:cs="Arial"/>
          <w:lang w:val="el-GR"/>
        </w:rPr>
        <w:t xml:space="preserve"> </w:t>
      </w:r>
      <w:r w:rsidR="00846E50">
        <w:rPr>
          <w:rFonts w:ascii="Arial" w:hAnsi="Arial" w:cs="Arial"/>
          <w:lang w:val="el-GR"/>
        </w:rPr>
        <w:t xml:space="preserve">Οι </w:t>
      </w:r>
      <w:r w:rsidR="003D3F69" w:rsidRPr="00AD0457">
        <w:rPr>
          <w:rFonts w:ascii="Arial" w:hAnsi="Arial" w:cs="Arial"/>
          <w:lang w:val="el-GR"/>
        </w:rPr>
        <w:t>ανεπιθύμητ</w:t>
      </w:r>
      <w:r w:rsidR="00846E50">
        <w:rPr>
          <w:rFonts w:ascii="Arial" w:hAnsi="Arial" w:cs="Arial"/>
          <w:lang w:val="el-GR"/>
        </w:rPr>
        <w:t>ες ενέ</w:t>
      </w:r>
      <w:r w:rsidR="003D3F69" w:rsidRPr="00AD0457">
        <w:rPr>
          <w:rFonts w:ascii="Arial" w:hAnsi="Arial" w:cs="Arial"/>
          <w:lang w:val="el-GR"/>
        </w:rPr>
        <w:t>ργει</w:t>
      </w:r>
      <w:r w:rsidR="00846E50">
        <w:rPr>
          <w:rFonts w:ascii="Arial" w:hAnsi="Arial" w:cs="Arial"/>
          <w:lang w:val="el-GR"/>
        </w:rPr>
        <w:t>ες</w:t>
      </w:r>
      <w:r w:rsidR="003D3F69" w:rsidRPr="00AD0457">
        <w:rPr>
          <w:rFonts w:ascii="Arial" w:hAnsi="Arial" w:cs="Arial"/>
          <w:lang w:val="el-GR"/>
        </w:rPr>
        <w:t xml:space="preserve"> μετά τη</w:t>
      </w:r>
      <w:r w:rsidR="00846E50">
        <w:rPr>
          <w:rFonts w:ascii="Arial" w:hAnsi="Arial" w:cs="Arial"/>
          <w:lang w:val="el-GR"/>
        </w:rPr>
        <w:t>ν</w:t>
      </w:r>
      <w:r w:rsidR="003D3F69" w:rsidRPr="00AD0457">
        <w:rPr>
          <w:rFonts w:ascii="Arial" w:hAnsi="Arial" w:cs="Arial"/>
          <w:lang w:val="el-GR"/>
        </w:rPr>
        <w:t xml:space="preserve"> κυκλοφορία του φαρμάκου </w:t>
      </w:r>
      <w:r w:rsidR="00846E50">
        <w:rPr>
          <w:rFonts w:ascii="Arial" w:hAnsi="Arial" w:cs="Arial"/>
          <w:lang w:val="el-GR"/>
        </w:rPr>
        <w:t xml:space="preserve">αναγνωρίστηκαν από αυθόρμητες αναφορές μετά την κυκλοφορία, επομένως η </w:t>
      </w:r>
    </w:p>
    <w:p w:rsidR="00126773" w:rsidRDefault="00846E50" w:rsidP="00A067F0">
      <w:pPr>
        <w:ind w:right="-11"/>
        <w:jc w:val="both"/>
        <w:rPr>
          <w:rFonts w:ascii="Arial" w:hAnsi="Arial" w:cs="Arial"/>
          <w:lang w:val="el-GR"/>
        </w:rPr>
      </w:pPr>
      <w:r>
        <w:rPr>
          <w:rFonts w:ascii="Arial" w:hAnsi="Arial" w:cs="Arial"/>
          <w:lang w:val="el-GR"/>
        </w:rPr>
        <w:t>πραγματικ</w:t>
      </w:r>
      <w:r w:rsidR="00A4767A">
        <w:rPr>
          <w:rFonts w:ascii="Arial" w:hAnsi="Arial" w:cs="Arial"/>
          <w:lang w:val="el-GR"/>
        </w:rPr>
        <w:t>ή</w:t>
      </w:r>
      <w:r>
        <w:rPr>
          <w:rFonts w:ascii="Arial" w:hAnsi="Arial" w:cs="Arial"/>
          <w:lang w:val="el-GR"/>
        </w:rPr>
        <w:t xml:space="preserve"> τους συχνότητα είναι άγνωστη</w:t>
      </w:r>
      <w:r w:rsidR="003D3F69" w:rsidRPr="00AD0457">
        <w:rPr>
          <w:rFonts w:ascii="Arial" w:hAnsi="Arial" w:cs="Arial"/>
          <w:lang w:val="el-GR"/>
        </w:rPr>
        <w:t>.</w:t>
      </w:r>
      <w:r w:rsidR="0078689F" w:rsidRPr="00AD0457">
        <w:rPr>
          <w:rFonts w:ascii="Arial" w:hAnsi="Arial" w:cs="Arial"/>
          <w:lang w:val="el-GR"/>
        </w:rPr>
        <w:t xml:space="preserve"> </w:t>
      </w:r>
    </w:p>
    <w:p w:rsidR="00664B82" w:rsidRDefault="00664B82" w:rsidP="00A067F0">
      <w:pPr>
        <w:ind w:right="-11"/>
        <w:jc w:val="both"/>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2467"/>
        <w:gridCol w:w="1888"/>
        <w:gridCol w:w="145"/>
        <w:gridCol w:w="2033"/>
      </w:tblGrid>
      <w:tr w:rsidR="002F2FFC" w:rsidRPr="00404459" w:rsidTr="00EC5CDE">
        <w:tc>
          <w:tcPr>
            <w:tcW w:w="2177" w:type="dxa"/>
            <w:shd w:val="clear" w:color="auto" w:fill="auto"/>
          </w:tcPr>
          <w:p w:rsidR="002F2FFC" w:rsidRPr="00EC5CDE" w:rsidRDefault="002F2FFC" w:rsidP="00EC5CDE">
            <w:pPr>
              <w:ind w:right="-11"/>
              <w:rPr>
                <w:rFonts w:ascii="Arial" w:hAnsi="Arial" w:cs="Arial"/>
                <w:b/>
                <w:lang w:val="el-GR"/>
              </w:rPr>
            </w:pPr>
            <w:r w:rsidRPr="00EC5CDE">
              <w:rPr>
                <w:rFonts w:ascii="Arial" w:hAnsi="Arial" w:cs="Arial"/>
                <w:b/>
                <w:lang w:val="el-GR"/>
              </w:rPr>
              <w:t>Κατηγορία οργάνου συστήματος</w:t>
            </w:r>
          </w:p>
        </w:tc>
        <w:tc>
          <w:tcPr>
            <w:tcW w:w="2467" w:type="dxa"/>
            <w:shd w:val="clear" w:color="auto" w:fill="auto"/>
          </w:tcPr>
          <w:p w:rsidR="002F2FFC" w:rsidRPr="00EC5CDE" w:rsidRDefault="002F2FFC" w:rsidP="00EC5CDE">
            <w:pPr>
              <w:ind w:right="-11"/>
              <w:rPr>
                <w:rFonts w:ascii="Arial" w:hAnsi="Arial" w:cs="Arial"/>
                <w:b/>
                <w:lang w:val="el-GR"/>
              </w:rPr>
            </w:pPr>
            <w:r w:rsidRPr="00EC5CDE">
              <w:rPr>
                <w:rFonts w:ascii="Arial" w:hAnsi="Arial" w:cs="Arial"/>
                <w:b/>
                <w:lang w:val="el-GR"/>
              </w:rPr>
              <w:t>Ανεπιθύμητη ενέργεια</w:t>
            </w:r>
          </w:p>
        </w:tc>
        <w:tc>
          <w:tcPr>
            <w:tcW w:w="4066" w:type="dxa"/>
            <w:gridSpan w:val="3"/>
            <w:shd w:val="clear" w:color="auto" w:fill="auto"/>
          </w:tcPr>
          <w:p w:rsidR="002F2FFC" w:rsidRPr="00EC5CDE" w:rsidRDefault="002F2FFC" w:rsidP="00EC5CDE">
            <w:pPr>
              <w:ind w:right="-11"/>
              <w:rPr>
                <w:rFonts w:ascii="Arial" w:hAnsi="Arial" w:cs="Arial"/>
                <w:b/>
                <w:lang w:val="el-GR"/>
              </w:rPr>
            </w:pPr>
            <w:r w:rsidRPr="00EC5CDE">
              <w:rPr>
                <w:rFonts w:ascii="Arial" w:hAnsi="Arial" w:cs="Arial"/>
                <w:b/>
                <w:lang w:val="el-GR"/>
              </w:rPr>
              <w:t xml:space="preserve">Συχνότητα εμφάνισης από </w:t>
            </w:r>
            <w:r w:rsidR="008B7156" w:rsidRPr="00EC5CDE">
              <w:rPr>
                <w:rFonts w:ascii="Arial" w:hAnsi="Arial" w:cs="Arial"/>
                <w:b/>
                <w:lang w:val="el-GR"/>
              </w:rPr>
              <w:t>δ</w:t>
            </w:r>
            <w:r w:rsidRPr="00EC5CDE">
              <w:rPr>
                <w:rFonts w:ascii="Arial" w:hAnsi="Arial" w:cs="Arial"/>
                <w:b/>
                <w:lang w:val="el-GR"/>
              </w:rPr>
              <w:t>εδομένα κλινικών μελετών</w:t>
            </w:r>
          </w:p>
        </w:tc>
      </w:tr>
      <w:tr w:rsidR="002F2FFC" w:rsidRPr="00404459" w:rsidTr="00EC5CDE">
        <w:tc>
          <w:tcPr>
            <w:tcW w:w="2177" w:type="dxa"/>
            <w:shd w:val="clear" w:color="auto" w:fill="auto"/>
          </w:tcPr>
          <w:p w:rsidR="002F2FFC" w:rsidRPr="00EC5CDE" w:rsidRDefault="002F2FFC" w:rsidP="00EC5CDE">
            <w:pPr>
              <w:ind w:right="-11"/>
              <w:rPr>
                <w:rFonts w:ascii="Arial" w:hAnsi="Arial" w:cs="Arial"/>
                <w:lang w:val="el-GR"/>
              </w:rPr>
            </w:pPr>
          </w:p>
        </w:tc>
        <w:tc>
          <w:tcPr>
            <w:tcW w:w="2467" w:type="dxa"/>
            <w:shd w:val="clear" w:color="auto" w:fill="auto"/>
          </w:tcPr>
          <w:p w:rsidR="002F2FFC" w:rsidRPr="00EC5CDE" w:rsidRDefault="002F2FFC" w:rsidP="00EC5CDE">
            <w:pPr>
              <w:ind w:right="-11"/>
              <w:rPr>
                <w:rFonts w:ascii="Arial" w:hAnsi="Arial" w:cs="Arial"/>
                <w:lang w:val="el-GR"/>
              </w:rPr>
            </w:pPr>
          </w:p>
        </w:tc>
        <w:tc>
          <w:tcPr>
            <w:tcW w:w="1888" w:type="dxa"/>
            <w:shd w:val="clear" w:color="auto" w:fill="auto"/>
          </w:tcPr>
          <w:p w:rsidR="002F2FFC" w:rsidRPr="00EC5CDE" w:rsidRDefault="002F2FFC" w:rsidP="00EC5CDE">
            <w:pPr>
              <w:ind w:right="-11"/>
              <w:rPr>
                <w:rFonts w:ascii="Arial" w:hAnsi="Arial" w:cs="Arial"/>
                <w:b/>
                <w:lang w:val="el-GR"/>
              </w:rPr>
            </w:pPr>
            <w:r w:rsidRPr="00EC5CDE">
              <w:rPr>
                <w:rFonts w:ascii="Arial" w:hAnsi="Arial" w:cs="Arial"/>
                <w:b/>
                <w:lang w:val="el-GR"/>
              </w:rPr>
              <w:t>Συχνότητα εμφάνισης κατά τη διάρκεια του 1</w:t>
            </w:r>
            <w:r w:rsidRPr="00EC5CDE">
              <w:rPr>
                <w:rFonts w:ascii="Arial" w:hAnsi="Arial" w:cs="Arial"/>
                <w:b/>
                <w:vertAlign w:val="superscript"/>
                <w:lang w:val="el-GR"/>
              </w:rPr>
              <w:t>ου</w:t>
            </w:r>
            <w:r w:rsidRPr="00EC5CDE">
              <w:rPr>
                <w:rFonts w:ascii="Arial" w:hAnsi="Arial" w:cs="Arial"/>
                <w:b/>
                <w:lang w:val="el-GR"/>
              </w:rPr>
              <w:t xml:space="preserve"> έτους θεραπείας </w:t>
            </w:r>
            <w:r w:rsidRPr="00EC5CDE">
              <w:rPr>
                <w:rFonts w:ascii="Arial" w:hAnsi="Arial" w:cs="Arial"/>
                <w:b/>
                <w:lang w:val="el-GR"/>
              </w:rPr>
              <w:lastRenderedPageBreak/>
              <w:t>(</w:t>
            </w:r>
            <w:r w:rsidRPr="00EC5CDE">
              <w:rPr>
                <w:rFonts w:ascii="Arial" w:hAnsi="Arial" w:cs="Arial"/>
                <w:b/>
              </w:rPr>
              <w:t>n</w:t>
            </w:r>
            <w:r w:rsidRPr="00EC5CDE">
              <w:rPr>
                <w:rFonts w:ascii="Arial" w:hAnsi="Arial" w:cs="Arial"/>
                <w:b/>
                <w:lang w:val="el-GR"/>
              </w:rPr>
              <w:t>=2167)</w:t>
            </w:r>
          </w:p>
        </w:tc>
        <w:tc>
          <w:tcPr>
            <w:tcW w:w="2178" w:type="dxa"/>
            <w:gridSpan w:val="2"/>
            <w:shd w:val="clear" w:color="auto" w:fill="auto"/>
          </w:tcPr>
          <w:p w:rsidR="002F2FFC" w:rsidRPr="00EC5CDE" w:rsidRDefault="002F2FFC" w:rsidP="00EC5CDE">
            <w:pPr>
              <w:ind w:right="-11"/>
              <w:rPr>
                <w:rFonts w:ascii="Arial" w:hAnsi="Arial" w:cs="Arial"/>
                <w:b/>
                <w:lang w:val="el-GR"/>
              </w:rPr>
            </w:pPr>
            <w:r w:rsidRPr="00EC5CDE">
              <w:rPr>
                <w:rFonts w:ascii="Arial" w:hAnsi="Arial" w:cs="Arial"/>
                <w:b/>
                <w:lang w:val="el-GR"/>
              </w:rPr>
              <w:lastRenderedPageBreak/>
              <w:t>Συχνότητα εμφάνισης κ</w:t>
            </w:r>
            <w:r w:rsidR="008B7156" w:rsidRPr="00EC5CDE">
              <w:rPr>
                <w:rFonts w:ascii="Arial" w:hAnsi="Arial" w:cs="Arial"/>
                <w:b/>
                <w:lang w:val="el-GR"/>
              </w:rPr>
              <w:t>α</w:t>
            </w:r>
            <w:r w:rsidRPr="00EC5CDE">
              <w:rPr>
                <w:rFonts w:ascii="Arial" w:hAnsi="Arial" w:cs="Arial"/>
                <w:b/>
                <w:lang w:val="el-GR"/>
              </w:rPr>
              <w:t>τά</w:t>
            </w:r>
            <w:r w:rsidR="008B7156" w:rsidRPr="00EC5CDE">
              <w:rPr>
                <w:rFonts w:ascii="Arial" w:hAnsi="Arial" w:cs="Arial"/>
                <w:b/>
                <w:lang w:val="el-GR"/>
              </w:rPr>
              <w:t xml:space="preserve"> </w:t>
            </w:r>
            <w:r w:rsidRPr="00EC5CDE">
              <w:rPr>
                <w:rFonts w:ascii="Arial" w:hAnsi="Arial" w:cs="Arial"/>
                <w:b/>
                <w:lang w:val="el-GR"/>
              </w:rPr>
              <w:t>τη διάρκεια του 2</w:t>
            </w:r>
            <w:r w:rsidRPr="00EC5CDE">
              <w:rPr>
                <w:rFonts w:ascii="Arial" w:hAnsi="Arial" w:cs="Arial"/>
                <w:b/>
                <w:vertAlign w:val="superscript"/>
                <w:lang w:val="el-GR"/>
              </w:rPr>
              <w:t>ου</w:t>
            </w:r>
            <w:r w:rsidRPr="00EC5CDE">
              <w:rPr>
                <w:rFonts w:ascii="Arial" w:hAnsi="Arial" w:cs="Arial"/>
                <w:b/>
                <w:lang w:val="el-GR"/>
              </w:rPr>
              <w:t xml:space="preserve"> έτους θεραπείας (</w:t>
            </w:r>
            <w:r w:rsidRPr="00EC5CDE">
              <w:rPr>
                <w:rFonts w:ascii="Arial" w:hAnsi="Arial" w:cs="Arial"/>
                <w:b/>
              </w:rPr>
              <w:t>n</w:t>
            </w:r>
            <w:r w:rsidRPr="00EC5CDE">
              <w:rPr>
                <w:rFonts w:ascii="Arial" w:hAnsi="Arial" w:cs="Arial"/>
                <w:b/>
                <w:lang w:val="el-GR"/>
              </w:rPr>
              <w:t>=1744)</w:t>
            </w:r>
          </w:p>
        </w:tc>
      </w:tr>
      <w:tr w:rsidR="008B7156" w:rsidRPr="00404459" w:rsidTr="00EC5CDE">
        <w:tc>
          <w:tcPr>
            <w:tcW w:w="2177" w:type="dxa"/>
            <w:vMerge w:val="restart"/>
            <w:shd w:val="clear" w:color="auto" w:fill="auto"/>
          </w:tcPr>
          <w:p w:rsidR="008B7156" w:rsidRPr="00EC5CDE" w:rsidRDefault="008B7156" w:rsidP="00EC5CDE">
            <w:pPr>
              <w:ind w:right="-11"/>
              <w:rPr>
                <w:rFonts w:ascii="Arial" w:hAnsi="Arial" w:cs="Arial"/>
                <w:lang w:val="el-GR"/>
              </w:rPr>
            </w:pPr>
          </w:p>
        </w:tc>
        <w:tc>
          <w:tcPr>
            <w:tcW w:w="2467" w:type="dxa"/>
            <w:shd w:val="clear" w:color="auto" w:fill="auto"/>
          </w:tcPr>
          <w:p w:rsidR="008B7156" w:rsidRPr="00EC5CDE" w:rsidRDefault="008B7156" w:rsidP="00EC5CDE">
            <w:pPr>
              <w:ind w:right="-11"/>
              <w:rPr>
                <w:rFonts w:ascii="Arial" w:hAnsi="Arial" w:cs="Arial"/>
                <w:lang w:val="el-GR"/>
              </w:rPr>
            </w:pPr>
          </w:p>
        </w:tc>
        <w:tc>
          <w:tcPr>
            <w:tcW w:w="1888" w:type="dxa"/>
            <w:shd w:val="clear" w:color="auto" w:fill="auto"/>
          </w:tcPr>
          <w:p w:rsidR="008B7156" w:rsidRPr="00EC5CDE" w:rsidRDefault="008B7156" w:rsidP="00EC5CDE">
            <w:pPr>
              <w:ind w:right="-11"/>
              <w:rPr>
                <w:rFonts w:ascii="Arial" w:hAnsi="Arial" w:cs="Arial"/>
                <w:lang w:val="el-GR"/>
              </w:rPr>
            </w:pPr>
          </w:p>
        </w:tc>
        <w:tc>
          <w:tcPr>
            <w:tcW w:w="2178" w:type="dxa"/>
            <w:gridSpan w:val="2"/>
            <w:shd w:val="clear" w:color="auto" w:fill="auto"/>
          </w:tcPr>
          <w:p w:rsidR="008B7156" w:rsidRPr="00EC5CDE" w:rsidRDefault="008B7156" w:rsidP="00EC5CDE">
            <w:pPr>
              <w:ind w:right="-11"/>
              <w:rPr>
                <w:rFonts w:ascii="Arial" w:hAnsi="Arial" w:cs="Arial"/>
                <w:lang w:val="el-GR"/>
              </w:rPr>
            </w:pPr>
          </w:p>
        </w:tc>
      </w:tr>
      <w:tr w:rsidR="008B7156" w:rsidRPr="00404459" w:rsidTr="00EC5CDE">
        <w:tc>
          <w:tcPr>
            <w:tcW w:w="2177" w:type="dxa"/>
            <w:vMerge/>
            <w:shd w:val="clear" w:color="auto" w:fill="auto"/>
          </w:tcPr>
          <w:p w:rsidR="008B7156" w:rsidRPr="00EC5CDE" w:rsidRDefault="008B7156" w:rsidP="00EC5CDE">
            <w:pPr>
              <w:ind w:right="-11"/>
              <w:rPr>
                <w:rFonts w:ascii="Arial" w:hAnsi="Arial" w:cs="Arial"/>
                <w:lang w:val="el-GR"/>
              </w:rPr>
            </w:pPr>
          </w:p>
        </w:tc>
        <w:tc>
          <w:tcPr>
            <w:tcW w:w="2467" w:type="dxa"/>
            <w:shd w:val="clear" w:color="auto" w:fill="auto"/>
          </w:tcPr>
          <w:p w:rsidR="008B7156" w:rsidRPr="00404459" w:rsidRDefault="008B7156" w:rsidP="00EC5CDE">
            <w:pPr>
              <w:ind w:right="-11"/>
              <w:rPr>
                <w:rFonts w:ascii="Arial" w:hAnsi="Arial" w:cs="Arial"/>
                <w:lang w:val="el-GR"/>
              </w:rPr>
            </w:pPr>
          </w:p>
        </w:tc>
        <w:tc>
          <w:tcPr>
            <w:tcW w:w="1888" w:type="dxa"/>
            <w:shd w:val="clear" w:color="auto" w:fill="auto"/>
          </w:tcPr>
          <w:p w:rsidR="008B7156" w:rsidRPr="00EC5CDE" w:rsidRDefault="008B7156" w:rsidP="00EC5CDE">
            <w:pPr>
              <w:ind w:right="-11"/>
              <w:rPr>
                <w:rFonts w:ascii="Arial" w:hAnsi="Arial" w:cs="Arial"/>
                <w:lang w:val="el-GR"/>
              </w:rPr>
            </w:pPr>
          </w:p>
        </w:tc>
        <w:tc>
          <w:tcPr>
            <w:tcW w:w="2178" w:type="dxa"/>
            <w:gridSpan w:val="2"/>
            <w:shd w:val="clear" w:color="auto" w:fill="auto"/>
          </w:tcPr>
          <w:p w:rsidR="008B7156" w:rsidRPr="00EC5CDE" w:rsidRDefault="008B7156" w:rsidP="00EC5CDE">
            <w:pPr>
              <w:ind w:right="-11"/>
              <w:rPr>
                <w:rFonts w:ascii="Arial" w:hAnsi="Arial" w:cs="Arial"/>
                <w:lang w:val="el-GR"/>
              </w:rPr>
            </w:pPr>
          </w:p>
        </w:tc>
      </w:tr>
      <w:tr w:rsidR="008B7156" w:rsidRPr="00404459" w:rsidTr="00EC5CDE">
        <w:tc>
          <w:tcPr>
            <w:tcW w:w="2177" w:type="dxa"/>
            <w:vMerge/>
            <w:shd w:val="clear" w:color="auto" w:fill="auto"/>
          </w:tcPr>
          <w:p w:rsidR="008B7156" w:rsidRPr="00EC5CDE" w:rsidRDefault="008B7156" w:rsidP="00EC5CDE">
            <w:pPr>
              <w:ind w:right="-11"/>
              <w:rPr>
                <w:rFonts w:ascii="Arial" w:hAnsi="Arial" w:cs="Arial"/>
                <w:lang w:val="el-GR"/>
              </w:rPr>
            </w:pPr>
          </w:p>
        </w:tc>
        <w:tc>
          <w:tcPr>
            <w:tcW w:w="2467" w:type="dxa"/>
            <w:shd w:val="clear" w:color="auto" w:fill="auto"/>
          </w:tcPr>
          <w:p w:rsidR="008B7156" w:rsidRPr="00EC5CDE" w:rsidRDefault="008B7156" w:rsidP="00EC5CDE">
            <w:pPr>
              <w:ind w:right="-11"/>
              <w:rPr>
                <w:rFonts w:ascii="Arial" w:hAnsi="Arial" w:cs="Arial"/>
                <w:lang w:val="el-GR"/>
              </w:rPr>
            </w:pPr>
          </w:p>
        </w:tc>
        <w:tc>
          <w:tcPr>
            <w:tcW w:w="1888" w:type="dxa"/>
            <w:shd w:val="clear" w:color="auto" w:fill="auto"/>
          </w:tcPr>
          <w:p w:rsidR="008B7156" w:rsidRPr="00EC5CDE" w:rsidRDefault="008B7156" w:rsidP="00EC5CDE">
            <w:pPr>
              <w:ind w:right="-11"/>
              <w:rPr>
                <w:rFonts w:ascii="Arial" w:hAnsi="Arial" w:cs="Arial"/>
                <w:lang w:val="el-GR"/>
              </w:rPr>
            </w:pPr>
          </w:p>
        </w:tc>
        <w:tc>
          <w:tcPr>
            <w:tcW w:w="2178" w:type="dxa"/>
            <w:gridSpan w:val="2"/>
            <w:shd w:val="clear" w:color="auto" w:fill="auto"/>
          </w:tcPr>
          <w:p w:rsidR="008B7156" w:rsidRPr="00EC5CDE" w:rsidRDefault="008B7156" w:rsidP="00EC5CDE">
            <w:pPr>
              <w:ind w:right="-11"/>
              <w:rPr>
                <w:rFonts w:ascii="Arial" w:hAnsi="Arial" w:cs="Arial"/>
                <w:lang w:val="el-GR"/>
              </w:rPr>
            </w:pPr>
          </w:p>
        </w:tc>
      </w:tr>
      <w:tr w:rsidR="008B7156" w:rsidRPr="00404459" w:rsidTr="00EC5CDE">
        <w:tc>
          <w:tcPr>
            <w:tcW w:w="2177" w:type="dxa"/>
            <w:vMerge/>
            <w:shd w:val="clear" w:color="auto" w:fill="auto"/>
          </w:tcPr>
          <w:p w:rsidR="008B7156" w:rsidRPr="00EC5CDE" w:rsidRDefault="008B7156" w:rsidP="00EC5CDE">
            <w:pPr>
              <w:ind w:right="-11"/>
              <w:rPr>
                <w:rFonts w:ascii="Arial" w:hAnsi="Arial" w:cs="Arial"/>
                <w:lang w:val="el-GR"/>
              </w:rPr>
            </w:pPr>
          </w:p>
        </w:tc>
        <w:tc>
          <w:tcPr>
            <w:tcW w:w="2467" w:type="dxa"/>
            <w:shd w:val="clear" w:color="auto" w:fill="auto"/>
          </w:tcPr>
          <w:p w:rsidR="008B7156" w:rsidRPr="00EC5CDE" w:rsidRDefault="008B7156" w:rsidP="00EC5CDE">
            <w:pPr>
              <w:ind w:right="-11"/>
              <w:rPr>
                <w:rFonts w:ascii="Arial" w:hAnsi="Arial" w:cs="Arial"/>
                <w:lang w:val="el-GR"/>
              </w:rPr>
            </w:pPr>
          </w:p>
        </w:tc>
        <w:tc>
          <w:tcPr>
            <w:tcW w:w="1888" w:type="dxa"/>
            <w:shd w:val="clear" w:color="auto" w:fill="auto"/>
          </w:tcPr>
          <w:p w:rsidR="008B7156" w:rsidRPr="00EC5CDE" w:rsidRDefault="008B7156" w:rsidP="00EC5CDE">
            <w:pPr>
              <w:ind w:right="-11"/>
              <w:rPr>
                <w:rFonts w:ascii="Arial" w:hAnsi="Arial" w:cs="Arial"/>
                <w:lang w:val="el-GR"/>
              </w:rPr>
            </w:pPr>
          </w:p>
        </w:tc>
        <w:tc>
          <w:tcPr>
            <w:tcW w:w="2178" w:type="dxa"/>
            <w:gridSpan w:val="2"/>
            <w:shd w:val="clear" w:color="auto" w:fill="auto"/>
          </w:tcPr>
          <w:p w:rsidR="008B7156" w:rsidRPr="00EC5CDE" w:rsidRDefault="008B7156" w:rsidP="00EC5CDE">
            <w:pPr>
              <w:ind w:right="-11"/>
              <w:rPr>
                <w:rFonts w:ascii="Arial" w:hAnsi="Arial" w:cs="Arial"/>
                <w:lang w:val="el-GR"/>
              </w:rPr>
            </w:pPr>
          </w:p>
        </w:tc>
      </w:tr>
      <w:tr w:rsidR="00043A91" w:rsidRPr="00404459" w:rsidTr="00EC5CDE">
        <w:tc>
          <w:tcPr>
            <w:tcW w:w="2177" w:type="dxa"/>
            <w:vMerge w:val="restart"/>
            <w:shd w:val="clear" w:color="auto" w:fill="auto"/>
          </w:tcPr>
          <w:p w:rsidR="00043A91" w:rsidRPr="00EC5CDE" w:rsidRDefault="00043A91" w:rsidP="00EC5CDE">
            <w:pPr>
              <w:ind w:right="-11"/>
              <w:rPr>
                <w:rFonts w:ascii="Arial" w:hAnsi="Arial" w:cs="Arial"/>
                <w:lang w:val="el-GR"/>
              </w:rPr>
            </w:pPr>
            <w:r w:rsidRPr="00EC5CDE">
              <w:rPr>
                <w:rFonts w:ascii="Arial" w:hAnsi="Arial" w:cs="Arial"/>
                <w:lang w:val="el-GR"/>
              </w:rPr>
              <w:t>Διαταραχές του ανοσοποιητικού συστήματος</w:t>
            </w:r>
          </w:p>
        </w:tc>
        <w:tc>
          <w:tcPr>
            <w:tcW w:w="2467" w:type="dxa"/>
            <w:vMerge w:val="restart"/>
            <w:shd w:val="clear" w:color="auto" w:fill="auto"/>
          </w:tcPr>
          <w:p w:rsidR="00043A91" w:rsidRPr="00EC5CDE" w:rsidRDefault="00043A91" w:rsidP="00EC5CDE">
            <w:pPr>
              <w:ind w:right="-11"/>
              <w:rPr>
                <w:rFonts w:ascii="Arial" w:hAnsi="Arial" w:cs="Arial"/>
                <w:lang w:val="el-GR"/>
              </w:rPr>
            </w:pPr>
            <w:r w:rsidRPr="00EC5CDE">
              <w:rPr>
                <w:rFonts w:ascii="Arial" w:hAnsi="Arial" w:cs="Arial"/>
                <w:lang w:val="el-GR"/>
              </w:rPr>
              <w:t>Αλλεργικές αντιδράσεις περιλαμβανομένου του εξανθήματος, του κνησμού, της κνίδωσης, του τοπικού οιδήματος και του αγγειοοιδήματος</w:t>
            </w:r>
          </w:p>
        </w:tc>
        <w:tc>
          <w:tcPr>
            <w:tcW w:w="4066" w:type="dxa"/>
            <w:gridSpan w:val="3"/>
            <w:shd w:val="clear" w:color="auto" w:fill="auto"/>
          </w:tcPr>
          <w:p w:rsidR="00043A91" w:rsidRPr="00EC5CDE" w:rsidRDefault="00043A91" w:rsidP="00EC5CDE">
            <w:pPr>
              <w:ind w:right="-11"/>
              <w:rPr>
                <w:rFonts w:ascii="Arial" w:hAnsi="Arial" w:cs="Arial"/>
                <w:b/>
                <w:lang w:val="el-GR"/>
              </w:rPr>
            </w:pPr>
            <w:r w:rsidRPr="00EC5CDE">
              <w:rPr>
                <w:rFonts w:ascii="Arial" w:hAnsi="Arial" w:cs="Arial"/>
                <w:b/>
                <w:lang w:val="el-GR"/>
              </w:rPr>
              <w:t>Συχνότητα εμφάνισης από δεδομένα μετά την κυκλοφορία του φαρμάκου</w:t>
            </w:r>
          </w:p>
        </w:tc>
      </w:tr>
      <w:tr w:rsidR="00043A91" w:rsidRPr="00EC5CDE" w:rsidTr="00EC5CDE">
        <w:tc>
          <w:tcPr>
            <w:tcW w:w="2177" w:type="dxa"/>
            <w:vMerge/>
            <w:shd w:val="clear" w:color="auto" w:fill="auto"/>
          </w:tcPr>
          <w:p w:rsidR="00043A91" w:rsidRPr="00EC5CDE" w:rsidRDefault="00043A91" w:rsidP="00EC5CDE">
            <w:pPr>
              <w:ind w:right="-11"/>
              <w:rPr>
                <w:rFonts w:ascii="Arial" w:hAnsi="Arial" w:cs="Arial"/>
                <w:lang w:val="el-GR"/>
              </w:rPr>
            </w:pPr>
          </w:p>
        </w:tc>
        <w:tc>
          <w:tcPr>
            <w:tcW w:w="2467" w:type="dxa"/>
            <w:vMerge/>
            <w:shd w:val="clear" w:color="auto" w:fill="auto"/>
          </w:tcPr>
          <w:p w:rsidR="00043A91" w:rsidRPr="00EC5CDE" w:rsidRDefault="00043A91" w:rsidP="00EC5CDE">
            <w:pPr>
              <w:ind w:right="-11"/>
              <w:rPr>
                <w:rFonts w:ascii="Arial" w:hAnsi="Arial" w:cs="Arial"/>
                <w:lang w:val="el-GR"/>
              </w:rPr>
            </w:pPr>
          </w:p>
        </w:tc>
        <w:tc>
          <w:tcPr>
            <w:tcW w:w="4066" w:type="dxa"/>
            <w:gridSpan w:val="3"/>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Άγνωστη</w:t>
            </w:r>
          </w:p>
        </w:tc>
      </w:tr>
      <w:tr w:rsidR="002F2FFC" w:rsidRPr="00EC5CDE" w:rsidTr="00EC5CDE">
        <w:tc>
          <w:tcPr>
            <w:tcW w:w="2177" w:type="dxa"/>
            <w:shd w:val="clear" w:color="auto" w:fill="auto"/>
          </w:tcPr>
          <w:p w:rsidR="002F2FFC" w:rsidRPr="00EC5CDE" w:rsidRDefault="002F2FFC" w:rsidP="00EC5CDE">
            <w:pPr>
              <w:ind w:right="-11"/>
              <w:rPr>
                <w:rFonts w:ascii="Arial" w:hAnsi="Arial" w:cs="Arial"/>
                <w:lang w:val="el-GR"/>
              </w:rPr>
            </w:pPr>
            <w:r w:rsidRPr="00EC5CDE">
              <w:rPr>
                <w:rFonts w:ascii="Arial" w:hAnsi="Arial" w:cs="Arial"/>
                <w:lang w:val="el-GR"/>
              </w:rPr>
              <w:t>Διαταραχές του δέρματος και του υποδόριου ιστού</w:t>
            </w:r>
          </w:p>
        </w:tc>
        <w:tc>
          <w:tcPr>
            <w:tcW w:w="2467" w:type="dxa"/>
            <w:shd w:val="clear" w:color="auto" w:fill="auto"/>
          </w:tcPr>
          <w:p w:rsidR="002F2FFC" w:rsidRPr="00EC5CDE" w:rsidRDefault="002F2FFC" w:rsidP="00EC5CDE">
            <w:pPr>
              <w:ind w:right="-11"/>
              <w:rPr>
                <w:rFonts w:ascii="Arial" w:hAnsi="Arial" w:cs="Arial"/>
                <w:lang w:val="el-GR"/>
              </w:rPr>
            </w:pPr>
            <w:r w:rsidRPr="00EC5CDE">
              <w:rPr>
                <w:rFonts w:ascii="Arial" w:hAnsi="Arial" w:cs="Arial"/>
                <w:lang w:val="el-GR"/>
              </w:rPr>
              <w:t>Αλωπεκία (κυρίως στις τρίχες του σώματος), υπερτρίχωση</w:t>
            </w:r>
          </w:p>
        </w:tc>
        <w:tc>
          <w:tcPr>
            <w:tcW w:w="4066" w:type="dxa"/>
            <w:gridSpan w:val="3"/>
            <w:shd w:val="clear" w:color="auto" w:fill="auto"/>
          </w:tcPr>
          <w:p w:rsidR="002F2FFC" w:rsidRPr="00EC5CDE" w:rsidRDefault="002F2FFC" w:rsidP="00EC5CDE">
            <w:pPr>
              <w:ind w:right="-11"/>
              <w:jc w:val="center"/>
              <w:rPr>
                <w:rFonts w:ascii="Arial" w:hAnsi="Arial" w:cs="Arial"/>
                <w:lang w:val="el-GR"/>
              </w:rPr>
            </w:pPr>
            <w:r w:rsidRPr="00EC5CDE">
              <w:rPr>
                <w:rFonts w:ascii="Arial" w:hAnsi="Arial" w:cs="Arial"/>
                <w:lang w:val="el-GR"/>
              </w:rPr>
              <w:t>Σπάνια</w:t>
            </w:r>
          </w:p>
        </w:tc>
      </w:tr>
      <w:tr w:rsidR="00043A91" w:rsidRPr="00EC5CDE" w:rsidTr="00EC5CDE">
        <w:tc>
          <w:tcPr>
            <w:tcW w:w="2177" w:type="dxa"/>
            <w:vMerge w:val="restart"/>
            <w:shd w:val="clear" w:color="auto" w:fill="auto"/>
          </w:tcPr>
          <w:p w:rsidR="00043A91" w:rsidRPr="00EC5CDE" w:rsidRDefault="00043A91" w:rsidP="00EC5CDE">
            <w:pPr>
              <w:ind w:right="-11"/>
              <w:rPr>
                <w:rFonts w:ascii="Arial" w:hAnsi="Arial" w:cs="Arial"/>
                <w:lang w:val="el-GR"/>
              </w:rPr>
            </w:pPr>
            <w:r w:rsidRPr="00EC5CDE">
              <w:rPr>
                <w:rFonts w:ascii="Arial" w:hAnsi="Arial" w:cs="Arial"/>
                <w:lang w:val="el-GR"/>
              </w:rPr>
              <w:t>Αναπαραγωγικό σύστημα και διαταραχές μαστού</w:t>
            </w:r>
          </w:p>
        </w:tc>
        <w:tc>
          <w:tcPr>
            <w:tcW w:w="2467" w:type="dxa"/>
            <w:shd w:val="clear" w:color="auto" w:fill="auto"/>
          </w:tcPr>
          <w:p w:rsidR="00043A91" w:rsidRPr="00EC5CDE" w:rsidRDefault="00043A91" w:rsidP="00EC5CDE">
            <w:pPr>
              <w:ind w:right="-11"/>
              <w:rPr>
                <w:rFonts w:ascii="Arial" w:hAnsi="Arial" w:cs="Arial"/>
                <w:lang w:val="el-GR"/>
              </w:rPr>
            </w:pPr>
            <w:r w:rsidRPr="00EC5CDE">
              <w:rPr>
                <w:rFonts w:ascii="Arial" w:hAnsi="Arial" w:cs="Arial"/>
                <w:lang w:val="el-GR"/>
              </w:rPr>
              <w:t>Ανικανότητα</w:t>
            </w:r>
          </w:p>
        </w:tc>
        <w:tc>
          <w:tcPr>
            <w:tcW w:w="2033" w:type="dxa"/>
            <w:gridSpan w:val="2"/>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6.0 %</w:t>
            </w:r>
          </w:p>
        </w:tc>
        <w:tc>
          <w:tcPr>
            <w:tcW w:w="2033" w:type="dxa"/>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1.7 %</w:t>
            </w:r>
          </w:p>
        </w:tc>
      </w:tr>
      <w:tr w:rsidR="00043A91" w:rsidRPr="00EC5CDE" w:rsidTr="00EC5CDE">
        <w:tc>
          <w:tcPr>
            <w:tcW w:w="2177" w:type="dxa"/>
            <w:vMerge/>
            <w:shd w:val="clear" w:color="auto" w:fill="auto"/>
          </w:tcPr>
          <w:p w:rsidR="00043A91" w:rsidRPr="00EC5CDE" w:rsidRDefault="00043A91" w:rsidP="00EC5CDE">
            <w:pPr>
              <w:ind w:right="-11"/>
              <w:rPr>
                <w:rFonts w:ascii="Arial" w:hAnsi="Arial" w:cs="Arial"/>
                <w:lang w:val="el-GR"/>
              </w:rPr>
            </w:pPr>
          </w:p>
        </w:tc>
        <w:tc>
          <w:tcPr>
            <w:tcW w:w="2467" w:type="dxa"/>
            <w:shd w:val="clear" w:color="auto" w:fill="auto"/>
          </w:tcPr>
          <w:p w:rsidR="00043A91" w:rsidRPr="00EC5CDE" w:rsidRDefault="00043A91" w:rsidP="00EC5CDE">
            <w:pPr>
              <w:ind w:right="-11"/>
              <w:rPr>
                <w:rFonts w:ascii="Arial" w:hAnsi="Arial" w:cs="Arial"/>
                <w:lang w:val="el-GR"/>
              </w:rPr>
            </w:pPr>
            <w:r w:rsidRPr="00EC5CDE">
              <w:rPr>
                <w:rFonts w:ascii="Arial" w:hAnsi="Arial" w:cs="Arial"/>
                <w:lang w:val="el-GR"/>
              </w:rPr>
              <w:t xml:space="preserve">Μειωμένη </w:t>
            </w:r>
            <w:r w:rsidRPr="00EC5CDE">
              <w:rPr>
                <w:rFonts w:ascii="Arial" w:hAnsi="Arial" w:cs="Arial"/>
              </w:rPr>
              <w:t>libido</w:t>
            </w:r>
          </w:p>
        </w:tc>
        <w:tc>
          <w:tcPr>
            <w:tcW w:w="2033" w:type="dxa"/>
            <w:gridSpan w:val="2"/>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3.7 %</w:t>
            </w:r>
          </w:p>
        </w:tc>
        <w:tc>
          <w:tcPr>
            <w:tcW w:w="2033" w:type="dxa"/>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0.6 %</w:t>
            </w:r>
          </w:p>
        </w:tc>
      </w:tr>
      <w:tr w:rsidR="00043A91" w:rsidRPr="00EC5CDE" w:rsidTr="00EC5CDE">
        <w:tc>
          <w:tcPr>
            <w:tcW w:w="2177" w:type="dxa"/>
            <w:vMerge/>
            <w:shd w:val="clear" w:color="auto" w:fill="auto"/>
          </w:tcPr>
          <w:p w:rsidR="00043A91" w:rsidRPr="00EC5CDE" w:rsidRDefault="00043A91" w:rsidP="00EC5CDE">
            <w:pPr>
              <w:ind w:right="-11"/>
              <w:rPr>
                <w:rFonts w:ascii="Arial" w:hAnsi="Arial" w:cs="Arial"/>
                <w:lang w:val="el-GR"/>
              </w:rPr>
            </w:pPr>
          </w:p>
        </w:tc>
        <w:tc>
          <w:tcPr>
            <w:tcW w:w="2467" w:type="dxa"/>
            <w:shd w:val="clear" w:color="auto" w:fill="auto"/>
          </w:tcPr>
          <w:p w:rsidR="00043A91" w:rsidRPr="00EC5CDE" w:rsidRDefault="00043A91" w:rsidP="00EC5CDE">
            <w:pPr>
              <w:ind w:right="-11"/>
              <w:rPr>
                <w:rFonts w:ascii="Arial" w:hAnsi="Arial" w:cs="Arial"/>
                <w:lang w:val="el-GR"/>
              </w:rPr>
            </w:pPr>
            <w:r w:rsidRPr="00EC5CDE">
              <w:rPr>
                <w:rFonts w:ascii="Arial" w:hAnsi="Arial" w:cs="Arial"/>
                <w:lang w:val="el-GR"/>
              </w:rPr>
              <w:t>Διαταραχές εκσπερμάτισης</w:t>
            </w:r>
          </w:p>
        </w:tc>
        <w:tc>
          <w:tcPr>
            <w:tcW w:w="2033" w:type="dxa"/>
            <w:gridSpan w:val="2"/>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1.8 %</w:t>
            </w:r>
          </w:p>
        </w:tc>
        <w:tc>
          <w:tcPr>
            <w:tcW w:w="2033" w:type="dxa"/>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0.5 %</w:t>
            </w:r>
          </w:p>
        </w:tc>
      </w:tr>
      <w:tr w:rsidR="00043A91" w:rsidRPr="00EC5CDE" w:rsidTr="00EC5CDE">
        <w:tc>
          <w:tcPr>
            <w:tcW w:w="2177" w:type="dxa"/>
            <w:vMerge/>
            <w:shd w:val="clear" w:color="auto" w:fill="auto"/>
          </w:tcPr>
          <w:p w:rsidR="00043A91" w:rsidRPr="00EC5CDE" w:rsidRDefault="00043A91" w:rsidP="00EC5CDE">
            <w:pPr>
              <w:ind w:right="-11"/>
              <w:rPr>
                <w:rFonts w:ascii="Arial" w:hAnsi="Arial" w:cs="Arial"/>
                <w:lang w:val="el-GR"/>
              </w:rPr>
            </w:pPr>
          </w:p>
        </w:tc>
        <w:tc>
          <w:tcPr>
            <w:tcW w:w="2467" w:type="dxa"/>
            <w:shd w:val="clear" w:color="auto" w:fill="auto"/>
          </w:tcPr>
          <w:p w:rsidR="00043A91" w:rsidRPr="00EC5CDE" w:rsidRDefault="00043A91" w:rsidP="00EC5CDE">
            <w:pPr>
              <w:ind w:right="-11"/>
              <w:rPr>
                <w:rFonts w:ascii="Arial" w:hAnsi="Arial" w:cs="Arial"/>
                <w:lang w:val="el-GR"/>
              </w:rPr>
            </w:pPr>
            <w:r w:rsidRPr="00EC5CDE">
              <w:rPr>
                <w:rFonts w:ascii="Arial" w:hAnsi="Arial" w:cs="Arial"/>
                <w:lang w:val="el-GR"/>
              </w:rPr>
              <w:t>Διαταραχές του μαστού (περιλαμβάνει μεγέθυνση του μαστού και/ή ευαισθησία)</w:t>
            </w:r>
          </w:p>
        </w:tc>
        <w:tc>
          <w:tcPr>
            <w:tcW w:w="2033" w:type="dxa"/>
            <w:gridSpan w:val="2"/>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1.3 %</w:t>
            </w:r>
          </w:p>
        </w:tc>
        <w:tc>
          <w:tcPr>
            <w:tcW w:w="2033" w:type="dxa"/>
            <w:shd w:val="clear" w:color="auto" w:fill="auto"/>
          </w:tcPr>
          <w:p w:rsidR="00043A91" w:rsidRPr="00EC5CDE" w:rsidRDefault="00043A91" w:rsidP="00EC5CDE">
            <w:pPr>
              <w:ind w:right="-11"/>
              <w:jc w:val="center"/>
              <w:rPr>
                <w:rFonts w:ascii="Arial" w:hAnsi="Arial" w:cs="Arial"/>
                <w:lang w:val="el-GR"/>
              </w:rPr>
            </w:pPr>
            <w:r w:rsidRPr="00EC5CDE">
              <w:rPr>
                <w:rFonts w:ascii="Arial" w:hAnsi="Arial" w:cs="Arial"/>
                <w:lang w:val="el-GR"/>
              </w:rPr>
              <w:t>1.3 %</w:t>
            </w:r>
          </w:p>
        </w:tc>
      </w:tr>
    </w:tbl>
    <w:p w:rsidR="002B2EC0" w:rsidRDefault="002B2EC0" w:rsidP="00A067F0">
      <w:pPr>
        <w:ind w:right="-11"/>
        <w:jc w:val="both"/>
        <w:rPr>
          <w:rFonts w:ascii="Arial" w:hAnsi="Arial" w:cs="Arial"/>
          <w:lang w:val="el-GR"/>
        </w:rPr>
      </w:pPr>
    </w:p>
    <w:p w:rsidR="002B2EC0" w:rsidRDefault="002B2EC0" w:rsidP="00A067F0">
      <w:pPr>
        <w:ind w:right="-11"/>
        <w:jc w:val="both"/>
        <w:rPr>
          <w:rFonts w:ascii="Arial" w:hAnsi="Arial" w:cs="Arial"/>
          <w:lang w:val="el-GR"/>
        </w:rPr>
      </w:pPr>
    </w:p>
    <w:p w:rsidR="0010101E" w:rsidRPr="00EA7DA9" w:rsidRDefault="00B36149" w:rsidP="00666F21">
      <w:pPr>
        <w:ind w:right="-11"/>
        <w:jc w:val="both"/>
        <w:rPr>
          <w:rFonts w:ascii="Arial" w:hAnsi="Arial" w:cs="Arial"/>
          <w:lang w:val="el-GR"/>
        </w:rPr>
      </w:pPr>
      <w:r>
        <w:rPr>
          <w:rFonts w:ascii="Arial" w:hAnsi="Arial" w:cs="Arial"/>
          <w:lang w:val="el-GR"/>
        </w:rPr>
        <w:t xml:space="preserve"> </w:t>
      </w:r>
      <w:r w:rsidR="0010101E" w:rsidRPr="00EA7DA9">
        <w:rPr>
          <w:rFonts w:ascii="Arial" w:hAnsi="Arial" w:cs="Arial"/>
          <w:lang w:val="el-GR"/>
        </w:rPr>
        <w:t xml:space="preserve">ΤΟ </w:t>
      </w:r>
      <w:r w:rsidR="0010101E" w:rsidRPr="00EA7DA9">
        <w:rPr>
          <w:rFonts w:ascii="Arial" w:hAnsi="Arial" w:cs="Arial"/>
        </w:rPr>
        <w:t>DUAGEN</w:t>
      </w:r>
      <w:r w:rsidR="0010101E" w:rsidRPr="00EA7DA9">
        <w:rPr>
          <w:rFonts w:ascii="Arial" w:hAnsi="Arial" w:cs="Arial"/>
          <w:lang w:val="el-GR"/>
        </w:rPr>
        <w:t xml:space="preserve"> ΣΕ ΣΥΝΔΥΑΣΜΟ ΜΕ ΤΟΝ ΑΛΦΑ ΑΠΟΚΛΕΙΣΤΗ ΤΑΜΣΟΥΛΟΣΙΝΗ</w:t>
      </w:r>
    </w:p>
    <w:p w:rsidR="0010101E" w:rsidRPr="00666F21" w:rsidRDefault="0010101E" w:rsidP="00A067F0">
      <w:pPr>
        <w:ind w:left="567" w:right="-11" w:hanging="567"/>
        <w:jc w:val="both"/>
        <w:rPr>
          <w:rFonts w:ascii="Arial" w:hAnsi="Arial" w:cs="Arial"/>
          <w:lang w:val="el-GR"/>
        </w:rPr>
      </w:pPr>
    </w:p>
    <w:p w:rsidR="00EA7DA9" w:rsidRDefault="00EA7DA9" w:rsidP="00EA7DA9">
      <w:pPr>
        <w:ind w:right="-11"/>
        <w:jc w:val="both"/>
        <w:rPr>
          <w:rFonts w:ascii="Arial" w:hAnsi="Arial" w:cs="Arial"/>
          <w:lang w:val="el-GR"/>
        </w:rPr>
      </w:pPr>
      <w:r w:rsidRPr="00EA7DA9">
        <w:rPr>
          <w:rFonts w:ascii="Arial" w:hAnsi="Arial" w:cs="Arial"/>
          <w:lang w:val="el-GR"/>
        </w:rPr>
        <w:t xml:space="preserve">Δεδομένα </w:t>
      </w:r>
      <w:r>
        <w:rPr>
          <w:rFonts w:ascii="Arial" w:hAnsi="Arial" w:cs="Arial"/>
          <w:lang w:val="el-GR"/>
        </w:rPr>
        <w:t>από</w:t>
      </w:r>
      <w:r w:rsidR="005F268C">
        <w:rPr>
          <w:rFonts w:ascii="Arial" w:hAnsi="Arial" w:cs="Arial"/>
          <w:lang w:val="el-GR"/>
        </w:rPr>
        <w:t xml:space="preserve"> την τετραετή</w:t>
      </w:r>
      <w:r>
        <w:rPr>
          <w:rFonts w:ascii="Arial" w:hAnsi="Arial" w:cs="Arial"/>
          <w:lang w:val="el-GR"/>
        </w:rPr>
        <w:t xml:space="preserve"> μελέτη </w:t>
      </w:r>
      <w:proofErr w:type="spellStart"/>
      <w:r>
        <w:rPr>
          <w:rFonts w:ascii="Arial" w:hAnsi="Arial" w:cs="Arial"/>
        </w:rPr>
        <w:t>CombAT</w:t>
      </w:r>
      <w:proofErr w:type="spellEnd"/>
      <w:r>
        <w:rPr>
          <w:rFonts w:ascii="Arial" w:hAnsi="Arial" w:cs="Arial"/>
          <w:lang w:val="el-GR"/>
        </w:rPr>
        <w:t>, σύμφωνα με την οποία συγκρίθηκε η ντουταστερίδη 0.5</w:t>
      </w:r>
      <w:r>
        <w:rPr>
          <w:rFonts w:ascii="Arial" w:hAnsi="Arial" w:cs="Arial"/>
        </w:rPr>
        <w:t>mg</w:t>
      </w:r>
      <w:r>
        <w:rPr>
          <w:rFonts w:ascii="Arial" w:hAnsi="Arial" w:cs="Arial"/>
          <w:lang w:val="el-GR"/>
        </w:rPr>
        <w:t xml:space="preserve"> (</w:t>
      </w:r>
      <w:r>
        <w:rPr>
          <w:rFonts w:ascii="Arial" w:hAnsi="Arial" w:cs="Arial"/>
        </w:rPr>
        <w:t>n</w:t>
      </w:r>
      <w:r>
        <w:rPr>
          <w:rFonts w:ascii="Arial" w:hAnsi="Arial" w:cs="Arial"/>
          <w:lang w:val="el-GR"/>
        </w:rPr>
        <w:t>=1623) και η ταμσουλοσίνη 0.4</w:t>
      </w:r>
      <w:r>
        <w:rPr>
          <w:rFonts w:ascii="Arial" w:hAnsi="Arial" w:cs="Arial"/>
        </w:rPr>
        <w:t>mg</w:t>
      </w:r>
      <w:r>
        <w:rPr>
          <w:rFonts w:ascii="Arial" w:hAnsi="Arial" w:cs="Arial"/>
          <w:lang w:val="el-GR"/>
        </w:rPr>
        <w:t xml:space="preserve"> (</w:t>
      </w:r>
      <w:r>
        <w:rPr>
          <w:rFonts w:ascii="Arial" w:hAnsi="Arial" w:cs="Arial"/>
        </w:rPr>
        <w:t>n</w:t>
      </w:r>
      <w:r>
        <w:rPr>
          <w:rFonts w:ascii="Arial" w:hAnsi="Arial" w:cs="Arial"/>
          <w:lang w:val="el-GR"/>
        </w:rPr>
        <w:t>=1611) χορηγούμενες μια φορά την ημέρα μόνες ή σε συνδυασμό (</w:t>
      </w:r>
      <w:r>
        <w:rPr>
          <w:rFonts w:ascii="Arial" w:hAnsi="Arial" w:cs="Arial"/>
        </w:rPr>
        <w:t>n</w:t>
      </w:r>
      <w:r>
        <w:rPr>
          <w:rFonts w:ascii="Arial" w:hAnsi="Arial" w:cs="Arial"/>
          <w:lang w:val="el-GR"/>
        </w:rPr>
        <w:t>=1610) έχουν δείξει ότι η συχνότητα εμφάνισης οποιασδήποτε ανεπιθύμητης ενέργειας, σχετιζόμενης με το φάρμακο κατά την κρίση του ερευνητή, κατά τη διάρκεια του πρώτου</w:t>
      </w:r>
      <w:r w:rsidR="005F268C">
        <w:rPr>
          <w:rFonts w:ascii="Arial" w:hAnsi="Arial" w:cs="Arial"/>
          <w:lang w:val="el-GR"/>
        </w:rPr>
        <w:t xml:space="preserve">, </w:t>
      </w:r>
      <w:r>
        <w:rPr>
          <w:rFonts w:ascii="Arial" w:hAnsi="Arial" w:cs="Arial"/>
          <w:lang w:val="el-GR"/>
        </w:rPr>
        <w:t>του δεύτερου</w:t>
      </w:r>
      <w:r w:rsidR="005F268C">
        <w:rPr>
          <w:rFonts w:ascii="Arial" w:hAnsi="Arial" w:cs="Arial"/>
          <w:lang w:val="el-GR"/>
        </w:rPr>
        <w:t>, του τρίτου και του τέταρτου</w:t>
      </w:r>
      <w:r>
        <w:rPr>
          <w:rFonts w:ascii="Arial" w:hAnsi="Arial" w:cs="Arial"/>
          <w:lang w:val="el-GR"/>
        </w:rPr>
        <w:t xml:space="preserve"> έτους θεραπείας αντίστοιχα, ήταν 22%</w:t>
      </w:r>
      <w:r w:rsidR="005F268C">
        <w:rPr>
          <w:rFonts w:ascii="Arial" w:hAnsi="Arial" w:cs="Arial"/>
          <w:lang w:val="el-GR"/>
        </w:rPr>
        <w:t>, 6</w:t>
      </w:r>
      <w:r>
        <w:rPr>
          <w:rFonts w:ascii="Arial" w:hAnsi="Arial" w:cs="Arial"/>
          <w:lang w:val="el-GR"/>
        </w:rPr>
        <w:t>%</w:t>
      </w:r>
      <w:r w:rsidR="005F268C">
        <w:rPr>
          <w:rFonts w:ascii="Arial" w:hAnsi="Arial" w:cs="Arial"/>
          <w:lang w:val="el-GR"/>
        </w:rPr>
        <w:t>, 4% και 2%</w:t>
      </w:r>
      <w:r>
        <w:rPr>
          <w:rFonts w:ascii="Arial" w:hAnsi="Arial" w:cs="Arial"/>
          <w:lang w:val="el-GR"/>
        </w:rPr>
        <w:t xml:space="preserve"> για τη συνδυασμένη θεραπεία </w:t>
      </w:r>
      <w:r w:rsidR="005E3677">
        <w:rPr>
          <w:rFonts w:ascii="Arial" w:hAnsi="Arial" w:cs="Arial"/>
          <w:lang w:val="el-GR"/>
        </w:rPr>
        <w:t xml:space="preserve">ντουταστερίδης </w:t>
      </w:r>
      <w:r>
        <w:rPr>
          <w:rFonts w:ascii="Arial" w:hAnsi="Arial" w:cs="Arial"/>
          <w:lang w:val="el-GR"/>
        </w:rPr>
        <w:t>και ταμσουλοσίνης, 1</w:t>
      </w:r>
      <w:r w:rsidR="005F268C">
        <w:rPr>
          <w:rFonts w:ascii="Arial" w:hAnsi="Arial" w:cs="Arial"/>
          <w:lang w:val="el-GR"/>
        </w:rPr>
        <w:t>5</w:t>
      </w:r>
      <w:r>
        <w:rPr>
          <w:rFonts w:ascii="Arial" w:hAnsi="Arial" w:cs="Arial"/>
          <w:lang w:val="el-GR"/>
        </w:rPr>
        <w:t>%</w:t>
      </w:r>
      <w:r w:rsidR="005F268C">
        <w:rPr>
          <w:rFonts w:ascii="Arial" w:hAnsi="Arial" w:cs="Arial"/>
          <w:lang w:val="el-GR"/>
        </w:rPr>
        <w:t>, 6</w:t>
      </w:r>
      <w:r>
        <w:rPr>
          <w:rFonts w:ascii="Arial" w:hAnsi="Arial" w:cs="Arial"/>
          <w:lang w:val="el-GR"/>
        </w:rPr>
        <w:t>%</w:t>
      </w:r>
      <w:r w:rsidR="005F268C">
        <w:rPr>
          <w:rFonts w:ascii="Arial" w:hAnsi="Arial" w:cs="Arial"/>
          <w:lang w:val="el-GR"/>
        </w:rPr>
        <w:t>, 3% και 2%</w:t>
      </w:r>
      <w:r>
        <w:rPr>
          <w:rFonts w:ascii="Arial" w:hAnsi="Arial" w:cs="Arial"/>
          <w:lang w:val="el-GR"/>
        </w:rPr>
        <w:t xml:space="preserve"> για τη μονοθεραπεία με ντουταστερίδη και 13 %</w:t>
      </w:r>
      <w:r w:rsidR="005F268C">
        <w:rPr>
          <w:rFonts w:ascii="Arial" w:hAnsi="Arial" w:cs="Arial"/>
          <w:lang w:val="el-GR"/>
        </w:rPr>
        <w:t>, 5</w:t>
      </w:r>
      <w:r>
        <w:rPr>
          <w:rFonts w:ascii="Arial" w:hAnsi="Arial" w:cs="Arial"/>
          <w:lang w:val="el-GR"/>
        </w:rPr>
        <w:t>%</w:t>
      </w:r>
      <w:r w:rsidR="005F268C">
        <w:rPr>
          <w:rFonts w:ascii="Arial" w:hAnsi="Arial" w:cs="Arial"/>
          <w:lang w:val="el-GR"/>
        </w:rPr>
        <w:t>, 2% και 2%</w:t>
      </w:r>
      <w:r>
        <w:rPr>
          <w:rFonts w:ascii="Arial" w:hAnsi="Arial" w:cs="Arial"/>
          <w:lang w:val="el-GR"/>
        </w:rPr>
        <w:t xml:space="preserve"> για τη μονοθεραπεία με ταμσουλοσίνη.</w:t>
      </w:r>
      <w:r w:rsidR="0084323E">
        <w:rPr>
          <w:rFonts w:ascii="Arial" w:hAnsi="Arial" w:cs="Arial"/>
          <w:lang w:val="el-GR"/>
        </w:rPr>
        <w:t xml:space="preserve"> </w:t>
      </w:r>
      <w:r>
        <w:rPr>
          <w:rFonts w:ascii="Arial" w:hAnsi="Arial" w:cs="Arial"/>
          <w:lang w:val="el-GR"/>
        </w:rPr>
        <w:t>Η υψηλότερη συχνότητα εμφάνισης ανεπιθύμητων ενεργειών στην ομάδα της συνδυασμένης θεραπείας στο πρώτο έτος της θεραπείας, οφειλόταν στην υψηλότερη συχνότητα εμφάνισης διαταραχών του αναπαραγωγικού συστήματος, συγκεκριμένα των διαταραχών εκσπερμάτισης που παρατηρήθηκε σε αυτή την ομάδα.</w:t>
      </w:r>
    </w:p>
    <w:p w:rsidR="005E3677" w:rsidRDefault="005E3677" w:rsidP="00EA7DA9">
      <w:pPr>
        <w:ind w:right="-11"/>
        <w:jc w:val="both"/>
        <w:rPr>
          <w:rFonts w:ascii="Arial" w:hAnsi="Arial" w:cs="Arial"/>
          <w:lang w:val="el-GR"/>
        </w:rPr>
      </w:pPr>
    </w:p>
    <w:p w:rsidR="00EA7DA9" w:rsidRDefault="00EA7DA9" w:rsidP="00EA7DA9">
      <w:pPr>
        <w:ind w:right="-11"/>
        <w:jc w:val="both"/>
        <w:rPr>
          <w:rFonts w:ascii="Arial" w:hAnsi="Arial" w:cs="Arial"/>
          <w:lang w:val="el-GR"/>
        </w:rPr>
      </w:pPr>
      <w:r>
        <w:rPr>
          <w:rFonts w:ascii="Arial" w:hAnsi="Arial" w:cs="Arial"/>
          <w:lang w:val="el-GR"/>
        </w:rPr>
        <w:t xml:space="preserve">Οι ακόλουθες ανεπιθύμητες ενέργειες σχετιζόμενες με το φάρμακο κατά την κρίση του ερευνητή έχουν αναφερθεί με συχνότητα μεγαλύτερη ή ίση του 1% κατά τη διάρκεια του πρώτου έτους θεραπείας στη μελέτη </w:t>
      </w:r>
      <w:proofErr w:type="spellStart"/>
      <w:r>
        <w:rPr>
          <w:rFonts w:ascii="Arial" w:hAnsi="Arial" w:cs="Arial"/>
        </w:rPr>
        <w:t>CombAT</w:t>
      </w:r>
      <w:proofErr w:type="spellEnd"/>
      <w:r>
        <w:rPr>
          <w:rFonts w:ascii="Arial" w:hAnsi="Arial" w:cs="Arial"/>
          <w:lang w:val="el-GR"/>
        </w:rPr>
        <w:t>. Η</w:t>
      </w:r>
      <w:r w:rsidR="0032181E">
        <w:rPr>
          <w:rFonts w:ascii="Arial" w:hAnsi="Arial" w:cs="Arial"/>
          <w:lang w:val="el-GR"/>
        </w:rPr>
        <w:t xml:space="preserve"> συ</w:t>
      </w:r>
      <w:r>
        <w:rPr>
          <w:rFonts w:ascii="Arial" w:hAnsi="Arial" w:cs="Arial"/>
          <w:lang w:val="el-GR"/>
        </w:rPr>
        <w:t xml:space="preserve">χνότητα εμφάνισης </w:t>
      </w:r>
      <w:r w:rsidR="0032181E">
        <w:rPr>
          <w:rFonts w:ascii="Arial" w:hAnsi="Arial" w:cs="Arial"/>
          <w:lang w:val="el-GR"/>
        </w:rPr>
        <w:t xml:space="preserve">αυτών των καταστάσεων κατά τη διάρκεια </w:t>
      </w:r>
      <w:r w:rsidR="007B78A7">
        <w:rPr>
          <w:rFonts w:ascii="Arial" w:hAnsi="Arial" w:cs="Arial"/>
          <w:lang w:val="el-GR"/>
        </w:rPr>
        <w:t>των τεσσάρων ετών</w:t>
      </w:r>
      <w:r w:rsidR="0032181E">
        <w:rPr>
          <w:rFonts w:ascii="Arial" w:hAnsi="Arial" w:cs="Arial"/>
          <w:lang w:val="el-GR"/>
        </w:rPr>
        <w:t xml:space="preserve"> θεραπείας φαίνεται στον παρακάτω πίνακα.</w:t>
      </w:r>
    </w:p>
    <w:p w:rsidR="00664B82" w:rsidRDefault="00664B82" w:rsidP="00EA7DA9">
      <w:pPr>
        <w:ind w:right="-11"/>
        <w:jc w:val="both"/>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866"/>
        <w:gridCol w:w="1136"/>
        <w:gridCol w:w="1271"/>
        <w:gridCol w:w="1271"/>
        <w:gridCol w:w="1271"/>
      </w:tblGrid>
      <w:tr w:rsidR="009F3181" w:rsidRPr="00404459" w:rsidTr="00EC5CDE">
        <w:tc>
          <w:tcPr>
            <w:tcW w:w="1895" w:type="dxa"/>
            <w:vMerge w:val="restart"/>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Κατηγορία οργάνου συστήματος</w:t>
            </w:r>
          </w:p>
        </w:tc>
        <w:tc>
          <w:tcPr>
            <w:tcW w:w="1866" w:type="dxa"/>
            <w:vMerge w:val="restart"/>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Ανεπιθύμητη ενέργεια</w:t>
            </w:r>
          </w:p>
          <w:p w:rsidR="009F3181" w:rsidRPr="00EC5CDE" w:rsidRDefault="009F3181" w:rsidP="00EC5CDE">
            <w:pPr>
              <w:ind w:right="-11"/>
              <w:jc w:val="both"/>
              <w:rPr>
                <w:rFonts w:ascii="Arial" w:hAnsi="Arial" w:cs="Arial"/>
                <w:lang w:val="el-GR"/>
              </w:rPr>
            </w:pPr>
          </w:p>
          <w:p w:rsidR="009F3181" w:rsidRPr="00EC5CDE" w:rsidRDefault="009F3181" w:rsidP="00EC5CDE">
            <w:pPr>
              <w:ind w:right="-11"/>
              <w:jc w:val="both"/>
              <w:rPr>
                <w:rFonts w:ascii="Arial" w:hAnsi="Arial" w:cs="Arial"/>
                <w:lang w:val="el-GR"/>
              </w:rPr>
            </w:pPr>
          </w:p>
        </w:tc>
        <w:tc>
          <w:tcPr>
            <w:tcW w:w="4949" w:type="dxa"/>
            <w:gridSpan w:val="4"/>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Συχνότητα εμφάνισης κατά τη διάρκεια της θεραπείας</w:t>
            </w:r>
          </w:p>
        </w:tc>
      </w:tr>
      <w:tr w:rsidR="009F3181" w:rsidRPr="00EC5CDE" w:rsidTr="00EC5CDE">
        <w:tc>
          <w:tcPr>
            <w:tcW w:w="1895" w:type="dxa"/>
            <w:vMerge/>
            <w:shd w:val="clear" w:color="auto" w:fill="auto"/>
          </w:tcPr>
          <w:p w:rsidR="009F3181" w:rsidRPr="00EC5CDE" w:rsidRDefault="009F3181" w:rsidP="00EC5CDE">
            <w:pPr>
              <w:ind w:right="-11"/>
              <w:jc w:val="both"/>
              <w:rPr>
                <w:rFonts w:ascii="Arial" w:hAnsi="Arial" w:cs="Arial"/>
                <w:lang w:val="el-GR"/>
              </w:rPr>
            </w:pPr>
          </w:p>
        </w:tc>
        <w:tc>
          <w:tcPr>
            <w:tcW w:w="1866" w:type="dxa"/>
            <w:vMerge/>
            <w:shd w:val="clear" w:color="auto" w:fill="auto"/>
          </w:tcPr>
          <w:p w:rsidR="009F3181" w:rsidRPr="00404459" w:rsidRDefault="009F3181" w:rsidP="00EC5CDE">
            <w:pPr>
              <w:ind w:right="-11"/>
              <w:jc w:val="both"/>
              <w:rPr>
                <w:rFonts w:ascii="Arial" w:hAnsi="Arial" w:cs="Arial"/>
                <w:lang w:val="el-GR"/>
              </w:rPr>
            </w:pPr>
          </w:p>
        </w:tc>
        <w:tc>
          <w:tcPr>
            <w:tcW w:w="1136" w:type="dxa"/>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ΧΡΟΝΟΣ 1</w:t>
            </w:r>
          </w:p>
        </w:tc>
        <w:tc>
          <w:tcPr>
            <w:tcW w:w="1271" w:type="dxa"/>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ΧΡΟΝΟΣ 2</w:t>
            </w:r>
          </w:p>
        </w:tc>
        <w:tc>
          <w:tcPr>
            <w:tcW w:w="1271" w:type="dxa"/>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ΧΡΟΝΟΣ 3</w:t>
            </w:r>
          </w:p>
        </w:tc>
        <w:tc>
          <w:tcPr>
            <w:tcW w:w="1271" w:type="dxa"/>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ΧΡΟΝΟΣ 4</w:t>
            </w:r>
          </w:p>
        </w:tc>
      </w:tr>
      <w:tr w:rsidR="009F3181" w:rsidRPr="00EC5CDE" w:rsidTr="00EC5CDE">
        <w:tc>
          <w:tcPr>
            <w:tcW w:w="1895" w:type="dxa"/>
            <w:vMerge/>
            <w:shd w:val="clear" w:color="auto" w:fill="auto"/>
          </w:tcPr>
          <w:p w:rsidR="009F3181" w:rsidRPr="00EC5CDE" w:rsidRDefault="009F3181" w:rsidP="00EC5CDE">
            <w:pPr>
              <w:ind w:right="-11"/>
              <w:jc w:val="both"/>
              <w:rPr>
                <w:rFonts w:ascii="Arial" w:hAnsi="Arial" w:cs="Arial"/>
                <w:lang w:val="el-GR"/>
              </w:rPr>
            </w:pPr>
          </w:p>
        </w:tc>
        <w:tc>
          <w:tcPr>
            <w:tcW w:w="1866" w:type="dxa"/>
            <w:shd w:val="clear" w:color="auto" w:fill="auto"/>
          </w:tcPr>
          <w:p w:rsidR="009F3181" w:rsidRPr="00EC5CDE" w:rsidRDefault="009F3181" w:rsidP="00EC5CDE">
            <w:pPr>
              <w:ind w:right="-11"/>
              <w:jc w:val="both"/>
              <w:rPr>
                <w:rFonts w:ascii="Arial" w:hAnsi="Arial" w:cs="Arial"/>
                <w:lang w:val="el-GR"/>
              </w:rPr>
            </w:pPr>
            <w:r w:rsidRPr="00EC5CDE">
              <w:rPr>
                <w:rFonts w:ascii="Arial" w:hAnsi="Arial" w:cs="Arial"/>
                <w:lang w:val="el-GR"/>
              </w:rPr>
              <w:t>Συνδυασμός</w:t>
            </w:r>
            <w:r w:rsidRPr="00EC5CDE">
              <w:rPr>
                <w:rFonts w:ascii="Arial" w:hAnsi="Arial" w:cs="Arial"/>
                <w:szCs w:val="22"/>
                <w:vertAlign w:val="superscript"/>
              </w:rPr>
              <w:t>a</w:t>
            </w:r>
            <w:r w:rsidRPr="00EC5CDE">
              <w:rPr>
                <w:rFonts w:ascii="Arial" w:hAnsi="Arial" w:cs="Arial"/>
              </w:rPr>
              <w:t xml:space="preserve"> (n)</w:t>
            </w:r>
          </w:p>
          <w:p w:rsidR="009F3181" w:rsidRPr="00EC5CDE" w:rsidRDefault="009F3181" w:rsidP="00EC5CDE">
            <w:pPr>
              <w:ind w:right="-11"/>
              <w:jc w:val="both"/>
              <w:rPr>
                <w:rFonts w:ascii="Arial" w:hAnsi="Arial" w:cs="Arial"/>
              </w:rPr>
            </w:pPr>
            <w:proofErr w:type="spellStart"/>
            <w:r w:rsidRPr="00EC5CDE">
              <w:rPr>
                <w:rFonts w:ascii="Arial" w:hAnsi="Arial" w:cs="Arial"/>
              </w:rPr>
              <w:t>Dutasteride</w:t>
            </w:r>
            <w:proofErr w:type="spellEnd"/>
          </w:p>
          <w:p w:rsidR="009F3181" w:rsidRPr="00EC5CDE" w:rsidRDefault="009F3181" w:rsidP="00EC5CDE">
            <w:pPr>
              <w:ind w:right="-11"/>
              <w:jc w:val="both"/>
              <w:rPr>
                <w:rFonts w:ascii="Arial" w:hAnsi="Arial" w:cs="Arial"/>
              </w:rPr>
            </w:pPr>
            <w:proofErr w:type="spellStart"/>
            <w:r w:rsidRPr="00EC5CDE">
              <w:rPr>
                <w:rFonts w:ascii="Arial" w:hAnsi="Arial" w:cs="Arial"/>
              </w:rPr>
              <w:t>Tamsulosin</w:t>
            </w:r>
            <w:proofErr w:type="spellEnd"/>
          </w:p>
        </w:tc>
        <w:tc>
          <w:tcPr>
            <w:tcW w:w="1136" w:type="dxa"/>
            <w:shd w:val="clear" w:color="auto" w:fill="auto"/>
          </w:tcPr>
          <w:p w:rsidR="009F3181" w:rsidRPr="00EC5CDE" w:rsidRDefault="009F3181" w:rsidP="00EC5CDE">
            <w:pPr>
              <w:ind w:right="-11"/>
              <w:jc w:val="both"/>
              <w:rPr>
                <w:rFonts w:ascii="Arial" w:hAnsi="Arial" w:cs="Arial"/>
              </w:rPr>
            </w:pPr>
            <w:r w:rsidRPr="00EC5CDE">
              <w:rPr>
                <w:rFonts w:ascii="Arial" w:hAnsi="Arial" w:cs="Arial"/>
              </w:rPr>
              <w:t>(n=1610)</w:t>
            </w:r>
          </w:p>
          <w:p w:rsidR="009F3181" w:rsidRPr="00EC5CDE" w:rsidRDefault="009F3181" w:rsidP="00EC5CDE">
            <w:pPr>
              <w:ind w:right="-11"/>
              <w:jc w:val="both"/>
              <w:rPr>
                <w:rFonts w:ascii="Arial" w:hAnsi="Arial" w:cs="Arial"/>
              </w:rPr>
            </w:pPr>
            <w:r w:rsidRPr="00EC5CDE">
              <w:rPr>
                <w:rFonts w:ascii="Arial" w:hAnsi="Arial" w:cs="Arial"/>
              </w:rPr>
              <w:t>(n=1623)</w:t>
            </w:r>
          </w:p>
          <w:p w:rsidR="009F3181" w:rsidRPr="00EC5CDE" w:rsidRDefault="009F3181" w:rsidP="00EC5CDE">
            <w:pPr>
              <w:ind w:right="-11"/>
              <w:jc w:val="both"/>
              <w:rPr>
                <w:rFonts w:ascii="Arial" w:hAnsi="Arial" w:cs="Arial"/>
              </w:rPr>
            </w:pPr>
            <w:r w:rsidRPr="00EC5CDE">
              <w:rPr>
                <w:rFonts w:ascii="Arial" w:hAnsi="Arial" w:cs="Arial"/>
              </w:rPr>
              <w:t>(n=1611)</w:t>
            </w:r>
          </w:p>
        </w:tc>
        <w:tc>
          <w:tcPr>
            <w:tcW w:w="1271" w:type="dxa"/>
            <w:shd w:val="clear" w:color="auto" w:fill="auto"/>
          </w:tcPr>
          <w:p w:rsidR="00722F6B" w:rsidRPr="00EC5CDE" w:rsidRDefault="00722F6B" w:rsidP="00EC5CDE">
            <w:pPr>
              <w:ind w:right="-11"/>
              <w:jc w:val="both"/>
              <w:rPr>
                <w:rFonts w:ascii="Arial" w:hAnsi="Arial" w:cs="Arial"/>
              </w:rPr>
            </w:pPr>
            <w:r w:rsidRPr="00EC5CDE">
              <w:rPr>
                <w:rFonts w:ascii="Arial" w:hAnsi="Arial" w:cs="Arial"/>
              </w:rPr>
              <w:t>(n=1428)</w:t>
            </w:r>
          </w:p>
          <w:p w:rsidR="00722F6B" w:rsidRPr="00EC5CDE" w:rsidRDefault="00722F6B" w:rsidP="00EC5CDE">
            <w:pPr>
              <w:ind w:right="-11"/>
              <w:jc w:val="both"/>
              <w:rPr>
                <w:rFonts w:ascii="Arial" w:hAnsi="Arial" w:cs="Arial"/>
              </w:rPr>
            </w:pPr>
            <w:r w:rsidRPr="00EC5CDE">
              <w:rPr>
                <w:rFonts w:ascii="Arial" w:hAnsi="Arial" w:cs="Arial"/>
              </w:rPr>
              <w:t>(n=1</w:t>
            </w:r>
            <w:r w:rsidR="00EA1DB6" w:rsidRPr="00EC5CDE">
              <w:rPr>
                <w:rFonts w:ascii="Arial" w:hAnsi="Arial" w:cs="Arial"/>
              </w:rPr>
              <w:t>464</w:t>
            </w:r>
            <w:r w:rsidRPr="00EC5CDE">
              <w:rPr>
                <w:rFonts w:ascii="Arial" w:hAnsi="Arial" w:cs="Arial"/>
              </w:rPr>
              <w:t>)</w:t>
            </w:r>
          </w:p>
          <w:p w:rsidR="009F3181" w:rsidRPr="00EC5CDE" w:rsidRDefault="00EA1DB6" w:rsidP="00EC5CDE">
            <w:pPr>
              <w:ind w:right="-11"/>
              <w:jc w:val="both"/>
              <w:rPr>
                <w:rFonts w:ascii="Arial" w:hAnsi="Arial" w:cs="Arial"/>
                <w:lang w:val="el-GR"/>
              </w:rPr>
            </w:pPr>
            <w:r w:rsidRPr="00EC5CDE">
              <w:rPr>
                <w:rFonts w:ascii="Arial" w:hAnsi="Arial" w:cs="Arial"/>
              </w:rPr>
              <w:t>(n=1468</w:t>
            </w:r>
            <w:r w:rsidR="00722F6B" w:rsidRPr="00EC5CDE">
              <w:rPr>
                <w:rFonts w:ascii="Arial" w:hAnsi="Arial" w:cs="Arial"/>
              </w:rPr>
              <w:t>)</w:t>
            </w:r>
          </w:p>
        </w:tc>
        <w:tc>
          <w:tcPr>
            <w:tcW w:w="1271" w:type="dxa"/>
            <w:shd w:val="clear" w:color="auto" w:fill="auto"/>
          </w:tcPr>
          <w:p w:rsidR="00EA1DB6" w:rsidRPr="00EC5CDE" w:rsidRDefault="00EA1DB6" w:rsidP="00EC5CDE">
            <w:pPr>
              <w:ind w:right="-11"/>
              <w:jc w:val="both"/>
              <w:rPr>
                <w:rFonts w:ascii="Arial" w:hAnsi="Arial" w:cs="Arial"/>
              </w:rPr>
            </w:pPr>
            <w:r w:rsidRPr="00EC5CDE">
              <w:rPr>
                <w:rFonts w:ascii="Arial" w:hAnsi="Arial" w:cs="Arial"/>
              </w:rPr>
              <w:t>(n=1283)</w:t>
            </w:r>
          </w:p>
          <w:p w:rsidR="00EA1DB6" w:rsidRPr="00EC5CDE" w:rsidRDefault="00EA1DB6" w:rsidP="00EC5CDE">
            <w:pPr>
              <w:ind w:right="-11"/>
              <w:jc w:val="both"/>
              <w:rPr>
                <w:rFonts w:ascii="Arial" w:hAnsi="Arial" w:cs="Arial"/>
              </w:rPr>
            </w:pPr>
            <w:r w:rsidRPr="00EC5CDE">
              <w:rPr>
                <w:rFonts w:ascii="Arial" w:hAnsi="Arial" w:cs="Arial"/>
              </w:rPr>
              <w:t>(n=1325)</w:t>
            </w:r>
          </w:p>
          <w:p w:rsidR="009F3181" w:rsidRPr="00EC5CDE" w:rsidRDefault="00EA1DB6" w:rsidP="00EC5CDE">
            <w:pPr>
              <w:ind w:right="-11"/>
              <w:jc w:val="both"/>
              <w:rPr>
                <w:rFonts w:ascii="Arial" w:hAnsi="Arial" w:cs="Arial"/>
                <w:lang w:val="el-GR"/>
              </w:rPr>
            </w:pPr>
            <w:r w:rsidRPr="00EC5CDE">
              <w:rPr>
                <w:rFonts w:ascii="Arial" w:hAnsi="Arial" w:cs="Arial"/>
              </w:rPr>
              <w:t>(n=1281)</w:t>
            </w:r>
          </w:p>
        </w:tc>
        <w:tc>
          <w:tcPr>
            <w:tcW w:w="1271" w:type="dxa"/>
            <w:shd w:val="clear" w:color="auto" w:fill="auto"/>
          </w:tcPr>
          <w:p w:rsidR="00EA1DB6" w:rsidRPr="00EC5CDE" w:rsidRDefault="00EA1DB6" w:rsidP="00EC5CDE">
            <w:pPr>
              <w:ind w:right="-11"/>
              <w:jc w:val="both"/>
              <w:rPr>
                <w:rFonts w:ascii="Arial" w:hAnsi="Arial" w:cs="Arial"/>
              </w:rPr>
            </w:pPr>
            <w:r w:rsidRPr="00EC5CDE">
              <w:rPr>
                <w:rFonts w:ascii="Arial" w:hAnsi="Arial" w:cs="Arial"/>
              </w:rPr>
              <w:t>(n=1200)</w:t>
            </w:r>
          </w:p>
          <w:p w:rsidR="00EA1DB6" w:rsidRPr="00EC5CDE" w:rsidRDefault="00EA1DB6" w:rsidP="00EC5CDE">
            <w:pPr>
              <w:ind w:right="-11"/>
              <w:jc w:val="both"/>
              <w:rPr>
                <w:rFonts w:ascii="Arial" w:hAnsi="Arial" w:cs="Arial"/>
              </w:rPr>
            </w:pPr>
            <w:r w:rsidRPr="00EC5CDE">
              <w:rPr>
                <w:rFonts w:ascii="Arial" w:hAnsi="Arial" w:cs="Arial"/>
              </w:rPr>
              <w:t>(n=1200)</w:t>
            </w:r>
          </w:p>
          <w:p w:rsidR="009F3181" w:rsidRPr="00EC5CDE" w:rsidRDefault="00EA1DB6" w:rsidP="00EC5CDE">
            <w:pPr>
              <w:ind w:right="-11"/>
              <w:jc w:val="both"/>
              <w:rPr>
                <w:rFonts w:ascii="Arial" w:hAnsi="Arial" w:cs="Arial"/>
                <w:lang w:val="el-GR"/>
              </w:rPr>
            </w:pPr>
            <w:r w:rsidRPr="00EC5CDE">
              <w:rPr>
                <w:rFonts w:ascii="Arial" w:hAnsi="Arial" w:cs="Arial"/>
              </w:rPr>
              <w:t>(n=1112)</w:t>
            </w:r>
          </w:p>
        </w:tc>
      </w:tr>
      <w:tr w:rsidR="002C7DA7" w:rsidRPr="00EC5CDE" w:rsidTr="00EC5CDE">
        <w:tc>
          <w:tcPr>
            <w:tcW w:w="1895" w:type="dxa"/>
            <w:shd w:val="clear" w:color="auto" w:fill="auto"/>
          </w:tcPr>
          <w:p w:rsidR="002C7DA7" w:rsidRPr="00EC5CDE" w:rsidRDefault="002C7DA7" w:rsidP="00EC5CDE">
            <w:pPr>
              <w:ind w:right="-11"/>
              <w:jc w:val="both"/>
              <w:rPr>
                <w:rFonts w:ascii="Arial" w:hAnsi="Arial" w:cs="Arial"/>
                <w:lang w:val="el-GR"/>
              </w:rPr>
            </w:pPr>
            <w:r w:rsidRPr="00EC5CDE">
              <w:rPr>
                <w:rFonts w:ascii="Arial" w:hAnsi="Arial" w:cs="Arial"/>
                <w:lang w:val="el-GR"/>
              </w:rPr>
              <w:t xml:space="preserve">Διαταραχές του νευρικού </w:t>
            </w:r>
            <w:r w:rsidRPr="00EC5CDE">
              <w:rPr>
                <w:rFonts w:ascii="Arial" w:hAnsi="Arial" w:cs="Arial"/>
                <w:lang w:val="el-GR"/>
              </w:rPr>
              <w:lastRenderedPageBreak/>
              <w:t>συστήματος</w:t>
            </w:r>
          </w:p>
        </w:tc>
        <w:tc>
          <w:tcPr>
            <w:tcW w:w="1866" w:type="dxa"/>
            <w:shd w:val="clear" w:color="auto" w:fill="auto"/>
          </w:tcPr>
          <w:p w:rsidR="002C7DA7" w:rsidRPr="00EC5CDE" w:rsidRDefault="002C7DA7" w:rsidP="00EC5CDE">
            <w:pPr>
              <w:ind w:right="-11"/>
              <w:jc w:val="both"/>
              <w:rPr>
                <w:rFonts w:ascii="Arial" w:hAnsi="Arial" w:cs="Arial"/>
                <w:lang w:val="el-GR"/>
              </w:rPr>
            </w:pPr>
            <w:r w:rsidRPr="00EC5CDE">
              <w:rPr>
                <w:rFonts w:ascii="Arial" w:hAnsi="Arial" w:cs="Arial"/>
                <w:lang w:val="el-GR"/>
              </w:rPr>
              <w:lastRenderedPageBreak/>
              <w:t>Ζάλη</w:t>
            </w:r>
          </w:p>
          <w:p w:rsidR="002C7DA7" w:rsidRPr="00EC5CDE" w:rsidRDefault="002C7DA7" w:rsidP="00EC5CDE">
            <w:pPr>
              <w:ind w:right="-11"/>
              <w:jc w:val="both"/>
              <w:rPr>
                <w:rFonts w:ascii="Arial" w:hAnsi="Arial" w:cs="Arial"/>
                <w:lang w:val="el-GR"/>
              </w:rPr>
            </w:pPr>
          </w:p>
        </w:tc>
        <w:tc>
          <w:tcPr>
            <w:tcW w:w="1136" w:type="dxa"/>
            <w:shd w:val="clear" w:color="auto" w:fill="auto"/>
          </w:tcPr>
          <w:p w:rsidR="002C7DA7" w:rsidRPr="00EC5CDE" w:rsidRDefault="002C7DA7" w:rsidP="00EC5CDE">
            <w:pPr>
              <w:ind w:right="-11"/>
              <w:jc w:val="both"/>
              <w:rPr>
                <w:rFonts w:ascii="Arial" w:hAnsi="Arial" w:cs="Arial"/>
              </w:rPr>
            </w:pPr>
          </w:p>
        </w:tc>
        <w:tc>
          <w:tcPr>
            <w:tcW w:w="1271" w:type="dxa"/>
            <w:shd w:val="clear" w:color="auto" w:fill="auto"/>
          </w:tcPr>
          <w:p w:rsidR="002C7DA7" w:rsidRPr="00EC5CDE" w:rsidRDefault="002C7DA7" w:rsidP="00EC5CDE">
            <w:pPr>
              <w:ind w:right="-11"/>
              <w:jc w:val="both"/>
              <w:rPr>
                <w:rFonts w:ascii="Arial" w:hAnsi="Arial" w:cs="Arial"/>
              </w:rPr>
            </w:pPr>
          </w:p>
        </w:tc>
        <w:tc>
          <w:tcPr>
            <w:tcW w:w="1271" w:type="dxa"/>
            <w:shd w:val="clear" w:color="auto" w:fill="auto"/>
          </w:tcPr>
          <w:p w:rsidR="002C7DA7" w:rsidRPr="00EC5CDE" w:rsidRDefault="002C7DA7" w:rsidP="00EC5CDE">
            <w:pPr>
              <w:ind w:right="-11"/>
              <w:jc w:val="both"/>
              <w:rPr>
                <w:rFonts w:ascii="Arial" w:hAnsi="Arial" w:cs="Arial"/>
              </w:rPr>
            </w:pPr>
          </w:p>
        </w:tc>
        <w:tc>
          <w:tcPr>
            <w:tcW w:w="1271" w:type="dxa"/>
            <w:shd w:val="clear" w:color="auto" w:fill="auto"/>
          </w:tcPr>
          <w:p w:rsidR="002C7DA7" w:rsidRPr="00EC5CDE" w:rsidRDefault="002C7DA7" w:rsidP="00EC5CDE">
            <w:pPr>
              <w:ind w:right="-11"/>
              <w:jc w:val="both"/>
              <w:rPr>
                <w:rFonts w:ascii="Arial" w:hAnsi="Arial" w:cs="Arial"/>
              </w:rPr>
            </w:pPr>
          </w:p>
        </w:tc>
      </w:tr>
      <w:tr w:rsidR="002C7DA7" w:rsidRPr="00EC5CDE" w:rsidTr="00EC5CDE">
        <w:tc>
          <w:tcPr>
            <w:tcW w:w="1895" w:type="dxa"/>
            <w:shd w:val="clear" w:color="auto" w:fill="auto"/>
          </w:tcPr>
          <w:p w:rsidR="002C7DA7" w:rsidRPr="00EC5CDE" w:rsidRDefault="002C7DA7" w:rsidP="00EC5CDE">
            <w:pPr>
              <w:ind w:right="-11"/>
              <w:jc w:val="both"/>
              <w:rPr>
                <w:rFonts w:ascii="Arial" w:hAnsi="Arial" w:cs="Arial"/>
                <w:lang w:val="el-GR"/>
              </w:rPr>
            </w:pPr>
          </w:p>
        </w:tc>
        <w:tc>
          <w:tcPr>
            <w:tcW w:w="1866" w:type="dxa"/>
            <w:shd w:val="clear" w:color="auto" w:fill="auto"/>
          </w:tcPr>
          <w:p w:rsidR="002C7DA7" w:rsidRPr="00EC5CDE" w:rsidRDefault="002C7DA7" w:rsidP="00EC5CDE">
            <w:pPr>
              <w:ind w:right="-11"/>
              <w:jc w:val="both"/>
              <w:rPr>
                <w:rFonts w:ascii="Arial" w:hAnsi="Arial" w:cs="Arial"/>
                <w:lang w:val="el-GR"/>
              </w:rPr>
            </w:pPr>
            <w:r w:rsidRPr="00EC5CDE">
              <w:rPr>
                <w:rFonts w:ascii="Arial" w:hAnsi="Arial" w:cs="Arial"/>
                <w:lang w:val="el-GR"/>
              </w:rPr>
              <w:t>Συνδυασμός</w:t>
            </w:r>
            <w:r w:rsidRPr="00EC5CDE">
              <w:rPr>
                <w:rFonts w:ascii="Arial" w:hAnsi="Arial" w:cs="Arial"/>
                <w:szCs w:val="22"/>
                <w:vertAlign w:val="superscript"/>
              </w:rPr>
              <w:t>a</w:t>
            </w:r>
            <w:r w:rsidRPr="00EC5CDE">
              <w:rPr>
                <w:rFonts w:ascii="Arial" w:hAnsi="Arial" w:cs="Arial"/>
                <w:lang w:val="el-GR"/>
              </w:rPr>
              <w:t xml:space="preserve"> </w:t>
            </w:r>
          </w:p>
        </w:tc>
        <w:tc>
          <w:tcPr>
            <w:tcW w:w="1136"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1.4%</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0.1%</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&lt;0.1%</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0.2%</w:t>
            </w:r>
          </w:p>
        </w:tc>
      </w:tr>
      <w:tr w:rsidR="002C7DA7" w:rsidRPr="00EC5CDE" w:rsidTr="00EC5CDE">
        <w:tc>
          <w:tcPr>
            <w:tcW w:w="1895" w:type="dxa"/>
            <w:shd w:val="clear" w:color="auto" w:fill="auto"/>
          </w:tcPr>
          <w:p w:rsidR="002C7DA7" w:rsidRPr="00EC5CDE" w:rsidRDefault="002C7DA7" w:rsidP="00EC5CDE">
            <w:pPr>
              <w:ind w:right="-11"/>
              <w:jc w:val="both"/>
              <w:rPr>
                <w:rFonts w:ascii="Arial" w:hAnsi="Arial" w:cs="Arial"/>
                <w:lang w:val="el-GR"/>
              </w:rPr>
            </w:pPr>
          </w:p>
        </w:tc>
        <w:tc>
          <w:tcPr>
            <w:tcW w:w="1866" w:type="dxa"/>
            <w:shd w:val="clear" w:color="auto" w:fill="auto"/>
          </w:tcPr>
          <w:p w:rsidR="002C7DA7" w:rsidRPr="00EC5CDE" w:rsidRDefault="002C7DA7" w:rsidP="00EC5CDE">
            <w:pPr>
              <w:ind w:right="-11"/>
              <w:jc w:val="both"/>
              <w:rPr>
                <w:rFonts w:ascii="Arial" w:hAnsi="Arial" w:cs="Arial"/>
                <w:lang w:val="el-GR"/>
              </w:rPr>
            </w:pPr>
            <w:proofErr w:type="spellStart"/>
            <w:r w:rsidRPr="00EC5CDE">
              <w:rPr>
                <w:rFonts w:ascii="Arial" w:hAnsi="Arial" w:cs="Arial"/>
              </w:rPr>
              <w:t>Dutasteride</w:t>
            </w:r>
            <w:proofErr w:type="spellEnd"/>
          </w:p>
        </w:tc>
        <w:tc>
          <w:tcPr>
            <w:tcW w:w="1136"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0.7%</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0.1%</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&lt;0.1%</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&lt;0.1%</w:t>
            </w:r>
          </w:p>
        </w:tc>
      </w:tr>
      <w:tr w:rsidR="002C7DA7" w:rsidRPr="00EC5CDE" w:rsidTr="00EC5CDE">
        <w:tc>
          <w:tcPr>
            <w:tcW w:w="1895" w:type="dxa"/>
            <w:shd w:val="clear" w:color="auto" w:fill="auto"/>
          </w:tcPr>
          <w:p w:rsidR="002C7DA7" w:rsidRPr="00EC5CDE" w:rsidRDefault="002C7DA7" w:rsidP="00EC5CDE">
            <w:pPr>
              <w:ind w:right="-11"/>
              <w:jc w:val="both"/>
              <w:rPr>
                <w:rFonts w:ascii="Arial" w:hAnsi="Arial" w:cs="Arial"/>
                <w:lang w:val="el-GR"/>
              </w:rPr>
            </w:pPr>
          </w:p>
        </w:tc>
        <w:tc>
          <w:tcPr>
            <w:tcW w:w="1866" w:type="dxa"/>
            <w:shd w:val="clear" w:color="auto" w:fill="auto"/>
          </w:tcPr>
          <w:p w:rsidR="002C7DA7" w:rsidRPr="00EC5CDE" w:rsidRDefault="002C7DA7" w:rsidP="00EC5CDE">
            <w:pPr>
              <w:ind w:right="-11"/>
              <w:jc w:val="both"/>
              <w:rPr>
                <w:rFonts w:ascii="Arial" w:hAnsi="Arial" w:cs="Arial"/>
                <w:lang w:val="el-GR"/>
              </w:rPr>
            </w:pPr>
            <w:proofErr w:type="spellStart"/>
            <w:r w:rsidRPr="00EC5CDE">
              <w:rPr>
                <w:rFonts w:ascii="Arial" w:hAnsi="Arial" w:cs="Arial"/>
              </w:rPr>
              <w:t>Tamsulosin</w:t>
            </w:r>
            <w:proofErr w:type="spellEnd"/>
          </w:p>
          <w:p w:rsidR="002C7DA7" w:rsidRPr="00EC5CDE" w:rsidRDefault="002C7DA7" w:rsidP="00EC5CDE">
            <w:pPr>
              <w:ind w:right="-11"/>
              <w:jc w:val="both"/>
              <w:rPr>
                <w:rFonts w:ascii="Arial" w:hAnsi="Arial" w:cs="Arial"/>
                <w:lang w:val="el-GR"/>
              </w:rPr>
            </w:pPr>
          </w:p>
        </w:tc>
        <w:tc>
          <w:tcPr>
            <w:tcW w:w="1136"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1.3%</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0.4%</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&lt;0.1%</w:t>
            </w:r>
          </w:p>
        </w:tc>
        <w:tc>
          <w:tcPr>
            <w:tcW w:w="1271" w:type="dxa"/>
            <w:shd w:val="clear" w:color="auto" w:fill="auto"/>
          </w:tcPr>
          <w:p w:rsidR="002C7DA7" w:rsidRPr="00EC5CDE" w:rsidRDefault="002C7DA7" w:rsidP="00EC5CDE">
            <w:pPr>
              <w:ind w:right="-11"/>
              <w:jc w:val="both"/>
              <w:rPr>
                <w:rFonts w:ascii="Arial" w:hAnsi="Arial" w:cs="Arial"/>
              </w:rPr>
            </w:pPr>
            <w:r w:rsidRPr="00EC5CDE">
              <w:rPr>
                <w:rFonts w:ascii="Arial" w:hAnsi="Arial" w:cs="Arial"/>
                <w:lang w:val="el-GR"/>
              </w:rPr>
              <w:t>0%</w:t>
            </w:r>
          </w:p>
        </w:tc>
      </w:tr>
      <w:tr w:rsidR="002C7DA7" w:rsidRPr="00EC5CDE" w:rsidTr="00EC5CDE">
        <w:tc>
          <w:tcPr>
            <w:tcW w:w="1895" w:type="dxa"/>
            <w:shd w:val="clear" w:color="auto" w:fill="auto"/>
          </w:tcPr>
          <w:p w:rsidR="002C7DA7" w:rsidRPr="00EC5CDE" w:rsidRDefault="002C7DA7" w:rsidP="00EC5CDE">
            <w:pPr>
              <w:ind w:right="-11"/>
              <w:jc w:val="both"/>
              <w:rPr>
                <w:rFonts w:ascii="Arial" w:hAnsi="Arial" w:cs="Arial"/>
                <w:lang w:val="el-GR"/>
              </w:rPr>
            </w:pPr>
            <w:r w:rsidRPr="00EC5CDE">
              <w:rPr>
                <w:rFonts w:ascii="Arial" w:hAnsi="Arial" w:cs="Arial"/>
                <w:lang w:val="el-GR"/>
              </w:rPr>
              <w:t xml:space="preserve">Καρδιακές </w:t>
            </w:r>
          </w:p>
          <w:p w:rsidR="002C7DA7" w:rsidRPr="00EC5CDE" w:rsidRDefault="002C7DA7" w:rsidP="00EC5CDE">
            <w:pPr>
              <w:ind w:right="-11"/>
              <w:jc w:val="both"/>
              <w:rPr>
                <w:rFonts w:ascii="Arial" w:hAnsi="Arial" w:cs="Arial"/>
                <w:lang w:val="el-GR"/>
              </w:rPr>
            </w:pPr>
            <w:r w:rsidRPr="00EC5CDE">
              <w:rPr>
                <w:rFonts w:ascii="Arial" w:hAnsi="Arial" w:cs="Arial"/>
                <w:lang w:val="el-GR"/>
              </w:rPr>
              <w:t>Διαταραχές</w:t>
            </w:r>
          </w:p>
        </w:tc>
        <w:tc>
          <w:tcPr>
            <w:tcW w:w="1866" w:type="dxa"/>
            <w:shd w:val="clear" w:color="auto" w:fill="auto"/>
          </w:tcPr>
          <w:p w:rsidR="002C7DA7" w:rsidRPr="00EC5CDE" w:rsidRDefault="002C7DA7" w:rsidP="00EC5CDE">
            <w:pPr>
              <w:ind w:right="-11"/>
              <w:jc w:val="both"/>
              <w:rPr>
                <w:rFonts w:ascii="Arial" w:hAnsi="Arial" w:cs="Arial"/>
                <w:lang w:val="el-GR"/>
              </w:rPr>
            </w:pPr>
            <w:r w:rsidRPr="00EC5CDE">
              <w:rPr>
                <w:rFonts w:ascii="Arial" w:hAnsi="Arial" w:cs="Arial"/>
                <w:lang w:val="el-GR"/>
              </w:rPr>
              <w:t>Καρδιακή ανεπάρκεια</w:t>
            </w:r>
          </w:p>
          <w:p w:rsidR="002C7DA7" w:rsidRPr="00404459" w:rsidRDefault="002C7DA7" w:rsidP="00EC5CDE">
            <w:pPr>
              <w:ind w:right="-11"/>
              <w:jc w:val="both"/>
              <w:rPr>
                <w:rFonts w:ascii="Arial" w:hAnsi="Arial" w:cs="Arial"/>
                <w:szCs w:val="22"/>
                <w:lang w:val="el-GR"/>
              </w:rPr>
            </w:pPr>
            <w:r w:rsidRPr="00EC5CDE">
              <w:rPr>
                <w:rFonts w:ascii="Arial" w:hAnsi="Arial" w:cs="Arial"/>
                <w:lang w:val="el-GR"/>
              </w:rPr>
              <w:t>(σύνθετος όρος</w:t>
            </w:r>
            <w:r w:rsidRPr="00EC5CDE">
              <w:rPr>
                <w:rFonts w:ascii="Arial" w:hAnsi="Arial" w:cs="Arial"/>
                <w:szCs w:val="22"/>
                <w:vertAlign w:val="superscript"/>
              </w:rPr>
              <w:t>b</w:t>
            </w:r>
            <w:r w:rsidRPr="00404459">
              <w:rPr>
                <w:rFonts w:ascii="Arial" w:hAnsi="Arial" w:cs="Arial"/>
                <w:szCs w:val="22"/>
                <w:lang w:val="el-GR"/>
              </w:rPr>
              <w:t>)</w:t>
            </w:r>
          </w:p>
          <w:p w:rsidR="002C7DA7" w:rsidRPr="00404459" w:rsidRDefault="002C7DA7" w:rsidP="00EC5CDE">
            <w:pPr>
              <w:ind w:right="-11"/>
              <w:jc w:val="both"/>
              <w:rPr>
                <w:rFonts w:ascii="Arial" w:hAnsi="Arial" w:cs="Arial"/>
                <w:szCs w:val="22"/>
                <w:lang w:val="el-GR"/>
              </w:rPr>
            </w:pPr>
          </w:p>
          <w:p w:rsidR="002C7DA7" w:rsidRPr="00EC5CDE" w:rsidRDefault="002C7DA7" w:rsidP="00EC5CDE">
            <w:pPr>
              <w:ind w:right="-11"/>
              <w:jc w:val="both"/>
              <w:rPr>
                <w:rFonts w:ascii="Arial" w:hAnsi="Arial" w:cs="Arial"/>
                <w:lang w:val="el-GR"/>
              </w:rPr>
            </w:pPr>
            <w:r w:rsidRPr="00EC5CDE">
              <w:rPr>
                <w:rFonts w:ascii="Arial" w:hAnsi="Arial" w:cs="Arial"/>
                <w:lang w:val="el-GR"/>
              </w:rPr>
              <w:t>Συνδυασμός</w:t>
            </w:r>
            <w:r w:rsidRPr="00EC5CDE">
              <w:rPr>
                <w:rFonts w:ascii="Arial" w:hAnsi="Arial" w:cs="Arial"/>
                <w:szCs w:val="22"/>
                <w:vertAlign w:val="superscript"/>
              </w:rPr>
              <w:t>a</w:t>
            </w:r>
            <w:r w:rsidRPr="00404459">
              <w:rPr>
                <w:rFonts w:ascii="Arial" w:hAnsi="Arial" w:cs="Arial"/>
                <w:lang w:val="el-GR"/>
              </w:rPr>
              <w:t xml:space="preserve"> </w:t>
            </w:r>
          </w:p>
          <w:p w:rsidR="002C7DA7" w:rsidRPr="00404459" w:rsidRDefault="002C7DA7" w:rsidP="00EC5CDE">
            <w:pPr>
              <w:ind w:right="-11"/>
              <w:jc w:val="both"/>
              <w:rPr>
                <w:rFonts w:ascii="Arial" w:hAnsi="Arial" w:cs="Arial"/>
                <w:lang w:val="el-GR"/>
              </w:rPr>
            </w:pPr>
            <w:proofErr w:type="spellStart"/>
            <w:r w:rsidRPr="00EC5CDE">
              <w:rPr>
                <w:rFonts w:ascii="Arial" w:hAnsi="Arial" w:cs="Arial"/>
              </w:rPr>
              <w:t>Dutasteride</w:t>
            </w:r>
            <w:proofErr w:type="spellEnd"/>
          </w:p>
          <w:p w:rsidR="002C7DA7" w:rsidRPr="00EC5CDE" w:rsidRDefault="002C7DA7" w:rsidP="00EC5CDE">
            <w:pPr>
              <w:ind w:right="-11"/>
              <w:jc w:val="both"/>
              <w:rPr>
                <w:rFonts w:ascii="Arial" w:hAnsi="Arial" w:cs="Arial"/>
                <w:lang w:val="el-GR"/>
              </w:rPr>
            </w:pPr>
            <w:proofErr w:type="spellStart"/>
            <w:r w:rsidRPr="00EC5CDE">
              <w:rPr>
                <w:rFonts w:ascii="Arial" w:hAnsi="Arial" w:cs="Arial"/>
              </w:rPr>
              <w:t>Tamsulosin</w:t>
            </w:r>
            <w:proofErr w:type="spellEnd"/>
          </w:p>
          <w:p w:rsidR="000970F8" w:rsidRPr="00EC5CDE" w:rsidRDefault="000970F8" w:rsidP="00EC5CDE">
            <w:pPr>
              <w:ind w:right="-11"/>
              <w:jc w:val="both"/>
              <w:rPr>
                <w:rFonts w:ascii="Arial" w:hAnsi="Arial" w:cs="Arial"/>
                <w:lang w:val="el-GR"/>
              </w:rPr>
            </w:pPr>
          </w:p>
          <w:p w:rsidR="00F8566F" w:rsidRPr="00EC5CDE" w:rsidRDefault="00F8566F" w:rsidP="00EC5CDE">
            <w:pPr>
              <w:ind w:right="-11"/>
              <w:jc w:val="both"/>
              <w:rPr>
                <w:rFonts w:ascii="Arial" w:hAnsi="Arial" w:cs="Arial"/>
                <w:lang w:val="el-GR"/>
              </w:rPr>
            </w:pPr>
          </w:p>
        </w:tc>
        <w:tc>
          <w:tcPr>
            <w:tcW w:w="1136" w:type="dxa"/>
            <w:shd w:val="clear" w:color="auto" w:fill="auto"/>
          </w:tcPr>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lang w:val="el-GR"/>
              </w:rPr>
            </w:pPr>
          </w:p>
          <w:p w:rsidR="009838DD" w:rsidRPr="00EC5CDE" w:rsidRDefault="009838DD" w:rsidP="00EC5CDE">
            <w:pPr>
              <w:ind w:right="-11"/>
              <w:jc w:val="both"/>
              <w:rPr>
                <w:rFonts w:ascii="Arial" w:hAnsi="Arial" w:cs="Arial"/>
                <w:lang w:val="el-GR"/>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r w:rsidRPr="00EC5CDE">
              <w:rPr>
                <w:rFonts w:ascii="Arial" w:hAnsi="Arial" w:cs="Arial"/>
              </w:rPr>
              <w:t>0.2%</w:t>
            </w:r>
          </w:p>
          <w:p w:rsidR="002C7DA7" w:rsidRPr="00EC5CDE" w:rsidRDefault="002C7DA7" w:rsidP="00EC5CDE">
            <w:pPr>
              <w:ind w:right="-11"/>
              <w:jc w:val="both"/>
              <w:rPr>
                <w:rFonts w:ascii="Arial" w:hAnsi="Arial" w:cs="Arial"/>
              </w:rPr>
            </w:pPr>
            <w:r w:rsidRPr="00EC5CDE">
              <w:rPr>
                <w:rFonts w:ascii="Arial" w:hAnsi="Arial" w:cs="Arial"/>
              </w:rPr>
              <w:t>&lt;0.1%</w:t>
            </w:r>
          </w:p>
          <w:p w:rsidR="002C7DA7" w:rsidRPr="00EC5CDE" w:rsidRDefault="002C7DA7" w:rsidP="00EC5CDE">
            <w:pPr>
              <w:ind w:right="-11"/>
              <w:jc w:val="both"/>
              <w:rPr>
                <w:rFonts w:ascii="Arial" w:hAnsi="Arial" w:cs="Arial"/>
              </w:rPr>
            </w:pPr>
            <w:r w:rsidRPr="00EC5CDE">
              <w:rPr>
                <w:rFonts w:ascii="Arial" w:hAnsi="Arial" w:cs="Arial"/>
              </w:rPr>
              <w:t>0.1%</w:t>
            </w:r>
          </w:p>
        </w:tc>
        <w:tc>
          <w:tcPr>
            <w:tcW w:w="1271" w:type="dxa"/>
            <w:shd w:val="clear" w:color="auto" w:fill="auto"/>
          </w:tcPr>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lang w:val="el-GR"/>
              </w:rPr>
            </w:pPr>
          </w:p>
          <w:p w:rsidR="009838DD" w:rsidRPr="00EC5CDE" w:rsidRDefault="009838DD" w:rsidP="00EC5CDE">
            <w:pPr>
              <w:ind w:right="-11"/>
              <w:jc w:val="both"/>
              <w:rPr>
                <w:rFonts w:ascii="Arial" w:hAnsi="Arial" w:cs="Arial"/>
                <w:lang w:val="el-GR"/>
              </w:rPr>
            </w:pPr>
          </w:p>
          <w:p w:rsidR="002C7DA7" w:rsidRPr="00EC5CDE" w:rsidRDefault="002C7DA7" w:rsidP="00EC5CDE">
            <w:pPr>
              <w:ind w:right="-11"/>
              <w:jc w:val="both"/>
              <w:rPr>
                <w:rFonts w:ascii="Arial" w:hAnsi="Arial" w:cs="Arial"/>
              </w:rPr>
            </w:pPr>
            <w:r w:rsidRPr="00EC5CDE">
              <w:rPr>
                <w:rFonts w:ascii="Arial" w:hAnsi="Arial" w:cs="Arial"/>
              </w:rPr>
              <w:t>0.4%</w:t>
            </w:r>
          </w:p>
          <w:p w:rsidR="002C7DA7" w:rsidRPr="00EC5CDE" w:rsidRDefault="002C7DA7" w:rsidP="00EC5CDE">
            <w:pPr>
              <w:ind w:right="-11"/>
              <w:jc w:val="both"/>
              <w:rPr>
                <w:rFonts w:ascii="Arial" w:hAnsi="Arial" w:cs="Arial"/>
              </w:rPr>
            </w:pPr>
            <w:r w:rsidRPr="00EC5CDE">
              <w:rPr>
                <w:rFonts w:ascii="Arial" w:hAnsi="Arial" w:cs="Arial"/>
              </w:rPr>
              <w:t>0.1%</w:t>
            </w:r>
          </w:p>
          <w:p w:rsidR="002C7DA7" w:rsidRPr="00EC5CDE" w:rsidRDefault="002C7DA7" w:rsidP="00EC5CDE">
            <w:pPr>
              <w:ind w:right="-11"/>
              <w:jc w:val="both"/>
              <w:rPr>
                <w:rFonts w:ascii="Arial" w:hAnsi="Arial" w:cs="Arial"/>
              </w:rPr>
            </w:pPr>
            <w:r w:rsidRPr="00EC5CDE">
              <w:rPr>
                <w:rFonts w:ascii="Arial" w:hAnsi="Arial" w:cs="Arial"/>
              </w:rPr>
              <w:t>&lt;0.1%</w:t>
            </w:r>
          </w:p>
        </w:tc>
        <w:tc>
          <w:tcPr>
            <w:tcW w:w="1271" w:type="dxa"/>
            <w:shd w:val="clear" w:color="auto" w:fill="auto"/>
          </w:tcPr>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lang w:val="el-GR"/>
              </w:rPr>
            </w:pPr>
          </w:p>
          <w:p w:rsidR="009838DD" w:rsidRPr="00EC5CDE" w:rsidRDefault="009838DD" w:rsidP="00EC5CDE">
            <w:pPr>
              <w:ind w:right="-11"/>
              <w:jc w:val="both"/>
              <w:rPr>
                <w:rFonts w:ascii="Arial" w:hAnsi="Arial" w:cs="Arial"/>
                <w:lang w:val="el-GR"/>
              </w:rPr>
            </w:pPr>
          </w:p>
          <w:p w:rsidR="002C7DA7" w:rsidRPr="00EC5CDE" w:rsidRDefault="002C7DA7" w:rsidP="00EC5CDE">
            <w:pPr>
              <w:ind w:right="-11"/>
              <w:jc w:val="both"/>
              <w:rPr>
                <w:rFonts w:ascii="Arial" w:hAnsi="Arial" w:cs="Arial"/>
              </w:rPr>
            </w:pPr>
            <w:r w:rsidRPr="00EC5CDE">
              <w:rPr>
                <w:rFonts w:ascii="Arial" w:hAnsi="Arial" w:cs="Arial"/>
              </w:rPr>
              <w:t>0.2%</w:t>
            </w:r>
          </w:p>
          <w:p w:rsidR="002C7DA7" w:rsidRPr="00EC5CDE" w:rsidRDefault="002C7DA7" w:rsidP="00EC5CDE">
            <w:pPr>
              <w:ind w:right="-11"/>
              <w:jc w:val="both"/>
              <w:rPr>
                <w:rFonts w:ascii="Arial" w:hAnsi="Arial" w:cs="Arial"/>
              </w:rPr>
            </w:pPr>
            <w:r w:rsidRPr="00EC5CDE">
              <w:rPr>
                <w:rFonts w:ascii="Arial" w:hAnsi="Arial" w:cs="Arial"/>
              </w:rPr>
              <w:t>&lt;0.1%</w:t>
            </w:r>
          </w:p>
          <w:p w:rsidR="002C7DA7" w:rsidRPr="00EC5CDE" w:rsidRDefault="002C7DA7" w:rsidP="00EC5CDE">
            <w:pPr>
              <w:ind w:right="-11"/>
              <w:jc w:val="both"/>
              <w:rPr>
                <w:rFonts w:ascii="Arial" w:hAnsi="Arial" w:cs="Arial"/>
              </w:rPr>
            </w:pPr>
            <w:r w:rsidRPr="00EC5CDE">
              <w:rPr>
                <w:rFonts w:ascii="Arial" w:hAnsi="Arial" w:cs="Arial"/>
              </w:rPr>
              <w:t>0.4%</w:t>
            </w:r>
          </w:p>
          <w:p w:rsidR="002C7DA7" w:rsidRPr="00EC5CDE" w:rsidRDefault="002C7DA7" w:rsidP="00EC5CDE">
            <w:pPr>
              <w:ind w:right="-11"/>
              <w:jc w:val="both"/>
              <w:rPr>
                <w:rFonts w:ascii="Arial" w:hAnsi="Arial" w:cs="Arial"/>
              </w:rPr>
            </w:pPr>
          </w:p>
        </w:tc>
        <w:tc>
          <w:tcPr>
            <w:tcW w:w="1271" w:type="dxa"/>
            <w:shd w:val="clear" w:color="auto" w:fill="auto"/>
          </w:tcPr>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rPr>
            </w:pPr>
          </w:p>
          <w:p w:rsidR="002C7DA7" w:rsidRPr="00EC5CDE" w:rsidRDefault="002C7DA7" w:rsidP="00EC5CDE">
            <w:pPr>
              <w:ind w:right="-11"/>
              <w:jc w:val="both"/>
              <w:rPr>
                <w:rFonts w:ascii="Arial" w:hAnsi="Arial" w:cs="Arial"/>
                <w:lang w:val="el-GR"/>
              </w:rPr>
            </w:pPr>
          </w:p>
          <w:p w:rsidR="009838DD" w:rsidRPr="00EC5CDE" w:rsidRDefault="009838DD" w:rsidP="00EC5CDE">
            <w:pPr>
              <w:ind w:right="-11"/>
              <w:jc w:val="both"/>
              <w:rPr>
                <w:rFonts w:ascii="Arial" w:hAnsi="Arial" w:cs="Arial"/>
                <w:lang w:val="el-GR"/>
              </w:rPr>
            </w:pPr>
          </w:p>
          <w:p w:rsidR="002C7DA7" w:rsidRPr="00EC5CDE" w:rsidRDefault="002C7DA7" w:rsidP="00EC5CDE">
            <w:pPr>
              <w:ind w:right="-11"/>
              <w:jc w:val="both"/>
              <w:rPr>
                <w:rFonts w:ascii="Arial" w:hAnsi="Arial" w:cs="Arial"/>
              </w:rPr>
            </w:pPr>
            <w:r w:rsidRPr="00EC5CDE">
              <w:rPr>
                <w:rFonts w:ascii="Arial" w:hAnsi="Arial" w:cs="Arial"/>
              </w:rPr>
              <w:t>0.2%</w:t>
            </w:r>
          </w:p>
          <w:p w:rsidR="002C7DA7" w:rsidRPr="00EC5CDE" w:rsidRDefault="002C7DA7" w:rsidP="00EC5CDE">
            <w:pPr>
              <w:ind w:right="-11"/>
              <w:jc w:val="both"/>
              <w:rPr>
                <w:rFonts w:ascii="Arial" w:hAnsi="Arial" w:cs="Arial"/>
              </w:rPr>
            </w:pPr>
            <w:r w:rsidRPr="00EC5CDE">
              <w:rPr>
                <w:rFonts w:ascii="Arial" w:hAnsi="Arial" w:cs="Arial"/>
              </w:rPr>
              <w:t>0%</w:t>
            </w:r>
          </w:p>
          <w:p w:rsidR="002C7DA7" w:rsidRPr="00EC5CDE" w:rsidRDefault="002C7DA7" w:rsidP="00EC5CDE">
            <w:pPr>
              <w:ind w:right="-11"/>
              <w:jc w:val="both"/>
              <w:rPr>
                <w:rFonts w:ascii="Arial" w:hAnsi="Arial" w:cs="Arial"/>
              </w:rPr>
            </w:pPr>
            <w:r w:rsidRPr="00EC5CDE">
              <w:rPr>
                <w:rFonts w:ascii="Arial" w:hAnsi="Arial" w:cs="Arial"/>
              </w:rPr>
              <w:t>0.2%</w:t>
            </w:r>
          </w:p>
        </w:tc>
      </w:tr>
      <w:tr w:rsidR="00155843" w:rsidRPr="00EC5CDE" w:rsidTr="00EC5CDE">
        <w:tc>
          <w:tcPr>
            <w:tcW w:w="1895" w:type="dxa"/>
            <w:vMerge w:val="restart"/>
            <w:shd w:val="clear" w:color="auto" w:fill="auto"/>
          </w:tcPr>
          <w:p w:rsidR="00155843" w:rsidRPr="00EC5CDE" w:rsidRDefault="00155843" w:rsidP="00EC5CDE">
            <w:pPr>
              <w:ind w:right="-11"/>
              <w:jc w:val="both"/>
              <w:rPr>
                <w:rFonts w:ascii="Arial" w:hAnsi="Arial" w:cs="Arial"/>
                <w:lang w:val="el-GR"/>
              </w:rPr>
            </w:pPr>
            <w:r w:rsidRPr="00EC5CDE">
              <w:rPr>
                <w:rFonts w:ascii="Arial" w:hAnsi="Arial" w:cs="Arial"/>
                <w:lang w:val="el-GR"/>
              </w:rPr>
              <w:t>Διαταραχές του αναπαραγωγικού συστήματος και του μαστού</w:t>
            </w:r>
            <w:r w:rsidR="0083733C" w:rsidRPr="00EC5CDE">
              <w:rPr>
                <w:rFonts w:ascii="Arial" w:hAnsi="Arial" w:cs="Arial"/>
                <w:lang w:val="el-GR"/>
              </w:rPr>
              <w:t>,</w:t>
            </w:r>
          </w:p>
          <w:p w:rsidR="0083733C" w:rsidRPr="00EC5CDE" w:rsidRDefault="00155843" w:rsidP="00EC5CDE">
            <w:pPr>
              <w:ind w:right="-11"/>
              <w:jc w:val="both"/>
              <w:rPr>
                <w:rFonts w:ascii="Arial" w:hAnsi="Arial" w:cs="Arial"/>
                <w:lang w:val="el-GR"/>
              </w:rPr>
            </w:pPr>
            <w:r w:rsidRPr="00EC5CDE">
              <w:rPr>
                <w:rFonts w:ascii="Arial" w:hAnsi="Arial" w:cs="Arial"/>
                <w:lang w:val="el-GR"/>
              </w:rPr>
              <w:t>Ψυχιατρικές διαταραχές</w:t>
            </w:r>
            <w:r w:rsidR="0083733C" w:rsidRPr="00EC5CDE">
              <w:rPr>
                <w:rFonts w:ascii="Arial" w:hAnsi="Arial" w:cs="Arial"/>
                <w:lang w:val="el-GR"/>
              </w:rPr>
              <w:t>,</w:t>
            </w:r>
          </w:p>
          <w:p w:rsidR="00155843" w:rsidRPr="00EC5CDE" w:rsidRDefault="00C07110" w:rsidP="00EC5CDE">
            <w:pPr>
              <w:ind w:right="-11"/>
              <w:jc w:val="both"/>
              <w:rPr>
                <w:rFonts w:ascii="Arial" w:hAnsi="Arial" w:cs="Arial"/>
              </w:rPr>
            </w:pPr>
            <w:r w:rsidRPr="00EC5CDE">
              <w:rPr>
                <w:rFonts w:ascii="Arial" w:hAnsi="Arial" w:cs="Arial"/>
                <w:lang w:val="el-GR"/>
              </w:rPr>
              <w:t>Διερευνήσεις</w:t>
            </w:r>
          </w:p>
        </w:tc>
        <w:tc>
          <w:tcPr>
            <w:tcW w:w="1866" w:type="dxa"/>
            <w:shd w:val="clear" w:color="auto" w:fill="auto"/>
          </w:tcPr>
          <w:p w:rsidR="00155843" w:rsidRPr="00EC5CDE" w:rsidRDefault="00155843" w:rsidP="00EC5CDE">
            <w:pPr>
              <w:ind w:right="-11"/>
              <w:jc w:val="both"/>
              <w:rPr>
                <w:rFonts w:ascii="Arial" w:hAnsi="Arial" w:cs="Arial"/>
                <w:lang w:val="el-GR"/>
              </w:rPr>
            </w:pPr>
            <w:r w:rsidRPr="00EC5CDE">
              <w:rPr>
                <w:rFonts w:ascii="Arial" w:hAnsi="Arial" w:cs="Arial"/>
                <w:lang w:val="el-GR"/>
              </w:rPr>
              <w:t>Ανικανότητα</w:t>
            </w:r>
          </w:p>
          <w:p w:rsidR="00155843" w:rsidRPr="00EC5CDE" w:rsidRDefault="00155843" w:rsidP="00EC5CDE">
            <w:pPr>
              <w:ind w:right="-11"/>
              <w:jc w:val="both"/>
              <w:rPr>
                <w:rFonts w:ascii="Arial" w:hAnsi="Arial" w:cs="Arial"/>
                <w:lang w:val="el-GR"/>
              </w:rPr>
            </w:pPr>
            <w:r w:rsidRPr="00EC5CDE">
              <w:rPr>
                <w:rFonts w:ascii="Arial" w:hAnsi="Arial" w:cs="Arial"/>
                <w:lang w:val="el-GR"/>
              </w:rPr>
              <w:t>Συνδυασμός</w:t>
            </w:r>
            <w:r w:rsidRPr="00EC5CDE">
              <w:rPr>
                <w:rFonts w:ascii="Arial" w:hAnsi="Arial" w:cs="Arial"/>
                <w:szCs w:val="22"/>
                <w:vertAlign w:val="superscript"/>
              </w:rPr>
              <w:t>a</w:t>
            </w:r>
            <w:r w:rsidRPr="00EC5CDE">
              <w:rPr>
                <w:rFonts w:ascii="Arial" w:hAnsi="Arial" w:cs="Arial"/>
              </w:rPr>
              <w:t xml:space="preserve"> </w:t>
            </w:r>
          </w:p>
          <w:p w:rsidR="00155843" w:rsidRPr="00EC5CDE" w:rsidRDefault="00155843" w:rsidP="00EC5CDE">
            <w:pPr>
              <w:ind w:right="-11"/>
              <w:jc w:val="both"/>
              <w:rPr>
                <w:rFonts w:ascii="Arial" w:hAnsi="Arial" w:cs="Arial"/>
              </w:rPr>
            </w:pPr>
            <w:proofErr w:type="spellStart"/>
            <w:r w:rsidRPr="00EC5CDE">
              <w:rPr>
                <w:rFonts w:ascii="Arial" w:hAnsi="Arial" w:cs="Arial"/>
              </w:rPr>
              <w:t>Dutasteride</w:t>
            </w:r>
            <w:proofErr w:type="spellEnd"/>
          </w:p>
          <w:p w:rsidR="00155843" w:rsidRPr="00EC5CDE" w:rsidRDefault="00155843" w:rsidP="00EC5CDE">
            <w:pPr>
              <w:ind w:right="-11"/>
              <w:jc w:val="both"/>
              <w:rPr>
                <w:rFonts w:ascii="Arial" w:hAnsi="Arial" w:cs="Arial"/>
                <w:lang w:val="el-GR"/>
              </w:rPr>
            </w:pPr>
            <w:proofErr w:type="spellStart"/>
            <w:r w:rsidRPr="00EC5CDE">
              <w:rPr>
                <w:rFonts w:ascii="Arial" w:hAnsi="Arial" w:cs="Arial"/>
              </w:rPr>
              <w:t>Tamsulosin</w:t>
            </w:r>
            <w:proofErr w:type="spellEnd"/>
          </w:p>
          <w:p w:rsidR="009838DD" w:rsidRPr="00EC5CDE" w:rsidRDefault="009838DD" w:rsidP="00EC5CDE">
            <w:pPr>
              <w:ind w:right="-11"/>
              <w:jc w:val="both"/>
              <w:rPr>
                <w:rFonts w:ascii="Arial" w:hAnsi="Arial" w:cs="Arial"/>
                <w:lang w:val="el-GR"/>
              </w:rPr>
            </w:pPr>
          </w:p>
        </w:tc>
        <w:tc>
          <w:tcPr>
            <w:tcW w:w="1136"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6.3%</w:t>
            </w:r>
          </w:p>
          <w:p w:rsidR="00155843" w:rsidRPr="00EC5CDE" w:rsidRDefault="00155843" w:rsidP="00EC5CDE">
            <w:pPr>
              <w:ind w:right="-11"/>
              <w:jc w:val="both"/>
              <w:rPr>
                <w:rFonts w:ascii="Arial" w:hAnsi="Arial" w:cs="Arial"/>
                <w:lang w:val="el-GR"/>
              </w:rPr>
            </w:pPr>
            <w:r w:rsidRPr="00EC5CDE">
              <w:rPr>
                <w:rFonts w:ascii="Arial" w:hAnsi="Arial" w:cs="Arial"/>
                <w:lang w:val="el-GR"/>
              </w:rPr>
              <w:t>5.1%</w:t>
            </w:r>
          </w:p>
          <w:p w:rsidR="00155843" w:rsidRPr="00EC5CDE" w:rsidRDefault="00155843" w:rsidP="00EC5CDE">
            <w:pPr>
              <w:ind w:right="-11"/>
              <w:jc w:val="both"/>
              <w:rPr>
                <w:rFonts w:ascii="Arial" w:hAnsi="Arial" w:cs="Arial"/>
                <w:lang w:val="el-GR"/>
              </w:rPr>
            </w:pPr>
            <w:r w:rsidRPr="00EC5CDE">
              <w:rPr>
                <w:rFonts w:ascii="Arial" w:hAnsi="Arial" w:cs="Arial"/>
                <w:lang w:val="el-GR"/>
              </w:rPr>
              <w:t>3.3%</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1.8%</w:t>
            </w:r>
          </w:p>
          <w:p w:rsidR="00155843" w:rsidRPr="00EC5CDE" w:rsidRDefault="00155843" w:rsidP="00EC5CDE">
            <w:pPr>
              <w:ind w:right="-11"/>
              <w:jc w:val="both"/>
              <w:rPr>
                <w:rFonts w:ascii="Arial" w:hAnsi="Arial" w:cs="Arial"/>
                <w:lang w:val="el-GR"/>
              </w:rPr>
            </w:pPr>
            <w:r w:rsidRPr="00EC5CDE">
              <w:rPr>
                <w:rFonts w:ascii="Arial" w:hAnsi="Arial" w:cs="Arial"/>
                <w:lang w:val="el-GR"/>
              </w:rPr>
              <w:t>1.6%</w:t>
            </w:r>
          </w:p>
          <w:p w:rsidR="00155843" w:rsidRPr="00EC5CDE" w:rsidRDefault="00155843" w:rsidP="00EC5CDE">
            <w:pPr>
              <w:ind w:right="-11"/>
              <w:jc w:val="both"/>
              <w:rPr>
                <w:rFonts w:ascii="Arial" w:hAnsi="Arial" w:cs="Arial"/>
                <w:lang w:val="el-GR"/>
              </w:rPr>
            </w:pPr>
            <w:r w:rsidRPr="00EC5CDE">
              <w:rPr>
                <w:rFonts w:ascii="Arial" w:hAnsi="Arial" w:cs="Arial"/>
                <w:lang w:val="el-GR"/>
              </w:rPr>
              <w:t>1.0%</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0.9%</w:t>
            </w:r>
          </w:p>
          <w:p w:rsidR="00155843" w:rsidRPr="00EC5CDE" w:rsidRDefault="00155843" w:rsidP="00EC5CDE">
            <w:pPr>
              <w:ind w:right="-11"/>
              <w:jc w:val="both"/>
              <w:rPr>
                <w:rFonts w:ascii="Arial" w:hAnsi="Arial" w:cs="Arial"/>
                <w:lang w:val="el-GR"/>
              </w:rPr>
            </w:pPr>
            <w:r w:rsidRPr="00EC5CDE">
              <w:rPr>
                <w:rFonts w:ascii="Arial" w:hAnsi="Arial" w:cs="Arial"/>
                <w:lang w:val="el-GR"/>
              </w:rPr>
              <w:t>0.6%</w:t>
            </w:r>
          </w:p>
          <w:p w:rsidR="00155843" w:rsidRPr="00EC5CDE" w:rsidRDefault="00155843" w:rsidP="00EC5CDE">
            <w:pPr>
              <w:ind w:right="-11"/>
              <w:jc w:val="both"/>
              <w:rPr>
                <w:rFonts w:ascii="Arial" w:hAnsi="Arial" w:cs="Arial"/>
                <w:lang w:val="el-GR"/>
              </w:rPr>
            </w:pPr>
            <w:r w:rsidRPr="00EC5CDE">
              <w:rPr>
                <w:rFonts w:ascii="Arial" w:hAnsi="Arial" w:cs="Arial"/>
                <w:lang w:val="el-GR"/>
              </w:rPr>
              <w:t>0.6%</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0.4%</w:t>
            </w:r>
          </w:p>
          <w:p w:rsidR="00155843" w:rsidRPr="00EC5CDE" w:rsidRDefault="00155843" w:rsidP="00EC5CDE">
            <w:pPr>
              <w:ind w:right="-11"/>
              <w:jc w:val="both"/>
              <w:rPr>
                <w:rFonts w:ascii="Arial" w:hAnsi="Arial" w:cs="Arial"/>
                <w:lang w:val="el-GR"/>
              </w:rPr>
            </w:pPr>
            <w:r w:rsidRPr="00EC5CDE">
              <w:rPr>
                <w:rFonts w:ascii="Arial" w:hAnsi="Arial" w:cs="Arial"/>
                <w:lang w:val="el-GR"/>
              </w:rPr>
              <w:t>0.3%</w:t>
            </w:r>
          </w:p>
          <w:p w:rsidR="00155843" w:rsidRPr="00EC5CDE" w:rsidRDefault="00155843" w:rsidP="00EC5CDE">
            <w:pPr>
              <w:ind w:right="-11"/>
              <w:jc w:val="both"/>
              <w:rPr>
                <w:rFonts w:ascii="Arial" w:hAnsi="Arial" w:cs="Arial"/>
                <w:lang w:val="el-GR"/>
              </w:rPr>
            </w:pPr>
            <w:r w:rsidRPr="00EC5CDE">
              <w:rPr>
                <w:rFonts w:ascii="Arial" w:hAnsi="Arial" w:cs="Arial"/>
                <w:lang w:val="el-GR"/>
              </w:rPr>
              <w:t>1.1%</w:t>
            </w:r>
          </w:p>
        </w:tc>
      </w:tr>
      <w:tr w:rsidR="00155843" w:rsidRPr="00EC5CDE" w:rsidTr="00EC5CDE">
        <w:tc>
          <w:tcPr>
            <w:tcW w:w="1895" w:type="dxa"/>
            <w:vMerge/>
            <w:shd w:val="clear" w:color="auto" w:fill="auto"/>
          </w:tcPr>
          <w:p w:rsidR="00155843" w:rsidRPr="00EC5CDE" w:rsidRDefault="00155843" w:rsidP="00EC5CDE">
            <w:pPr>
              <w:ind w:right="-11"/>
              <w:jc w:val="both"/>
              <w:rPr>
                <w:rFonts w:ascii="Arial" w:hAnsi="Arial" w:cs="Arial"/>
                <w:lang w:val="el-GR"/>
              </w:rPr>
            </w:pPr>
          </w:p>
        </w:tc>
        <w:tc>
          <w:tcPr>
            <w:tcW w:w="1866" w:type="dxa"/>
            <w:shd w:val="clear" w:color="auto" w:fill="auto"/>
          </w:tcPr>
          <w:p w:rsidR="00155843" w:rsidRPr="00EC5CDE" w:rsidRDefault="00155843" w:rsidP="00EC5CDE">
            <w:pPr>
              <w:ind w:right="-11"/>
              <w:jc w:val="both"/>
              <w:rPr>
                <w:rFonts w:ascii="Arial" w:hAnsi="Arial" w:cs="Arial"/>
              </w:rPr>
            </w:pPr>
            <w:r w:rsidRPr="00EC5CDE">
              <w:rPr>
                <w:rFonts w:ascii="Arial" w:hAnsi="Arial" w:cs="Arial"/>
                <w:lang w:val="el-GR"/>
              </w:rPr>
              <w:t xml:space="preserve">Μειωμένη </w:t>
            </w:r>
            <w:r w:rsidRPr="00EC5CDE">
              <w:rPr>
                <w:rFonts w:ascii="Arial" w:hAnsi="Arial" w:cs="Arial"/>
              </w:rPr>
              <w:t>libido</w:t>
            </w:r>
          </w:p>
          <w:p w:rsidR="00155843" w:rsidRPr="00EC5CDE" w:rsidRDefault="00155843" w:rsidP="00EC5CDE">
            <w:pPr>
              <w:ind w:right="-11"/>
              <w:jc w:val="both"/>
              <w:rPr>
                <w:rFonts w:ascii="Arial" w:hAnsi="Arial" w:cs="Arial"/>
                <w:lang w:val="el-GR"/>
              </w:rPr>
            </w:pPr>
            <w:r w:rsidRPr="00EC5CDE">
              <w:rPr>
                <w:rFonts w:ascii="Arial" w:hAnsi="Arial" w:cs="Arial"/>
                <w:lang w:val="el-GR"/>
              </w:rPr>
              <w:t>Συνδυασμός</w:t>
            </w:r>
            <w:r w:rsidRPr="00EC5CDE">
              <w:rPr>
                <w:rFonts w:ascii="Arial" w:hAnsi="Arial" w:cs="Arial"/>
                <w:szCs w:val="22"/>
                <w:vertAlign w:val="superscript"/>
              </w:rPr>
              <w:t>a</w:t>
            </w:r>
            <w:r w:rsidRPr="00EC5CDE">
              <w:rPr>
                <w:rFonts w:ascii="Arial" w:hAnsi="Arial" w:cs="Arial"/>
              </w:rPr>
              <w:t xml:space="preserve"> </w:t>
            </w:r>
          </w:p>
          <w:p w:rsidR="00155843" w:rsidRPr="00EC5CDE" w:rsidRDefault="00155843" w:rsidP="00EC5CDE">
            <w:pPr>
              <w:ind w:right="-11"/>
              <w:jc w:val="both"/>
              <w:rPr>
                <w:rFonts w:ascii="Arial" w:hAnsi="Arial" w:cs="Arial"/>
              </w:rPr>
            </w:pPr>
            <w:proofErr w:type="spellStart"/>
            <w:r w:rsidRPr="00EC5CDE">
              <w:rPr>
                <w:rFonts w:ascii="Arial" w:hAnsi="Arial" w:cs="Arial"/>
              </w:rPr>
              <w:t>Dutasteride</w:t>
            </w:r>
            <w:proofErr w:type="spellEnd"/>
          </w:p>
          <w:p w:rsidR="00155843" w:rsidRPr="00EC5CDE" w:rsidRDefault="00155843" w:rsidP="00EC5CDE">
            <w:pPr>
              <w:ind w:right="-11"/>
              <w:jc w:val="both"/>
              <w:rPr>
                <w:rFonts w:ascii="Arial" w:hAnsi="Arial" w:cs="Arial"/>
              </w:rPr>
            </w:pPr>
            <w:proofErr w:type="spellStart"/>
            <w:r w:rsidRPr="00EC5CDE">
              <w:rPr>
                <w:rFonts w:ascii="Arial" w:hAnsi="Arial" w:cs="Arial"/>
              </w:rPr>
              <w:t>Tamsulosin</w:t>
            </w:r>
            <w:proofErr w:type="spellEnd"/>
          </w:p>
          <w:p w:rsidR="00155843" w:rsidRPr="00EC5CDE" w:rsidRDefault="00155843" w:rsidP="00EC5CDE">
            <w:pPr>
              <w:ind w:right="-11"/>
              <w:jc w:val="both"/>
              <w:rPr>
                <w:rFonts w:ascii="Arial" w:hAnsi="Arial" w:cs="Arial"/>
              </w:rPr>
            </w:pPr>
          </w:p>
        </w:tc>
        <w:tc>
          <w:tcPr>
            <w:tcW w:w="1136"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5.3%</w:t>
            </w:r>
          </w:p>
          <w:p w:rsidR="00155843" w:rsidRPr="00EC5CDE" w:rsidRDefault="00155843" w:rsidP="00EC5CDE">
            <w:pPr>
              <w:ind w:right="-11"/>
              <w:jc w:val="both"/>
              <w:rPr>
                <w:rFonts w:ascii="Arial" w:hAnsi="Arial" w:cs="Arial"/>
                <w:lang w:val="el-GR"/>
              </w:rPr>
            </w:pPr>
            <w:r w:rsidRPr="00EC5CDE">
              <w:rPr>
                <w:rFonts w:ascii="Arial" w:hAnsi="Arial" w:cs="Arial"/>
                <w:lang w:val="el-GR"/>
              </w:rPr>
              <w:t>3.8%</w:t>
            </w:r>
          </w:p>
          <w:p w:rsidR="00155843" w:rsidRPr="00EC5CDE" w:rsidRDefault="00155843" w:rsidP="00EC5CDE">
            <w:pPr>
              <w:ind w:right="-11"/>
              <w:jc w:val="both"/>
              <w:rPr>
                <w:rFonts w:ascii="Arial" w:hAnsi="Arial" w:cs="Arial"/>
                <w:lang w:val="el-GR"/>
              </w:rPr>
            </w:pPr>
            <w:r w:rsidRPr="00EC5CDE">
              <w:rPr>
                <w:rFonts w:ascii="Arial" w:hAnsi="Arial" w:cs="Arial"/>
                <w:lang w:val="el-GR"/>
              </w:rPr>
              <w:t>2.5%</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0.8%</w:t>
            </w:r>
          </w:p>
          <w:p w:rsidR="00155843" w:rsidRPr="00EC5CDE" w:rsidRDefault="00155843" w:rsidP="00EC5CDE">
            <w:pPr>
              <w:ind w:right="-11"/>
              <w:jc w:val="both"/>
              <w:rPr>
                <w:rFonts w:ascii="Arial" w:hAnsi="Arial" w:cs="Arial"/>
                <w:lang w:val="el-GR"/>
              </w:rPr>
            </w:pPr>
            <w:r w:rsidRPr="00EC5CDE">
              <w:rPr>
                <w:rFonts w:ascii="Arial" w:hAnsi="Arial" w:cs="Arial"/>
                <w:lang w:val="el-GR"/>
              </w:rPr>
              <w:t>1.0%</w:t>
            </w:r>
          </w:p>
          <w:p w:rsidR="00155843" w:rsidRPr="00EC5CDE" w:rsidRDefault="00155843" w:rsidP="00EC5CDE">
            <w:pPr>
              <w:ind w:right="-11"/>
              <w:jc w:val="both"/>
              <w:rPr>
                <w:rFonts w:ascii="Arial" w:hAnsi="Arial" w:cs="Arial"/>
                <w:lang w:val="el-GR"/>
              </w:rPr>
            </w:pPr>
            <w:r w:rsidRPr="00EC5CDE">
              <w:rPr>
                <w:rFonts w:ascii="Arial" w:hAnsi="Arial" w:cs="Arial"/>
                <w:lang w:val="el-GR"/>
              </w:rPr>
              <w:t>0.7%</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0.2%</w:t>
            </w:r>
          </w:p>
          <w:p w:rsidR="00155843" w:rsidRPr="00EC5CDE" w:rsidRDefault="00155843" w:rsidP="00EC5CDE">
            <w:pPr>
              <w:ind w:right="-11"/>
              <w:jc w:val="both"/>
              <w:rPr>
                <w:rFonts w:ascii="Arial" w:hAnsi="Arial" w:cs="Arial"/>
                <w:lang w:val="el-GR"/>
              </w:rPr>
            </w:pPr>
            <w:r w:rsidRPr="00EC5CDE">
              <w:rPr>
                <w:rFonts w:ascii="Arial" w:hAnsi="Arial" w:cs="Arial"/>
                <w:lang w:val="el-GR"/>
              </w:rPr>
              <w:t>0.2%</w:t>
            </w:r>
          </w:p>
          <w:p w:rsidR="00155843" w:rsidRPr="00EC5CDE" w:rsidRDefault="00155843" w:rsidP="00EC5CDE">
            <w:pPr>
              <w:ind w:right="-11"/>
              <w:jc w:val="both"/>
              <w:rPr>
                <w:rFonts w:ascii="Arial" w:hAnsi="Arial" w:cs="Arial"/>
                <w:lang w:val="el-GR"/>
              </w:rPr>
            </w:pPr>
            <w:r w:rsidRPr="00EC5CDE">
              <w:rPr>
                <w:rFonts w:ascii="Arial" w:hAnsi="Arial" w:cs="Arial"/>
                <w:lang w:val="el-GR"/>
              </w:rPr>
              <w:t>0.2%</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w:t>
            </w:r>
          </w:p>
          <w:p w:rsidR="00155843" w:rsidRPr="00EC5CDE" w:rsidRDefault="00155843" w:rsidP="00EC5CDE">
            <w:pPr>
              <w:ind w:right="-11"/>
              <w:jc w:val="both"/>
              <w:rPr>
                <w:rFonts w:ascii="Arial" w:hAnsi="Arial" w:cs="Arial"/>
                <w:lang w:val="el-GR"/>
              </w:rPr>
            </w:pPr>
            <w:r w:rsidRPr="00EC5CDE">
              <w:rPr>
                <w:rFonts w:ascii="Arial" w:hAnsi="Arial" w:cs="Arial"/>
                <w:lang w:val="el-GR"/>
              </w:rPr>
              <w:t>0%</w:t>
            </w:r>
          </w:p>
          <w:p w:rsidR="00155843" w:rsidRPr="00EC5CDE" w:rsidRDefault="00155843" w:rsidP="00EC5CDE">
            <w:pPr>
              <w:ind w:right="-11"/>
              <w:jc w:val="both"/>
              <w:rPr>
                <w:rFonts w:ascii="Arial" w:hAnsi="Arial" w:cs="Arial"/>
                <w:lang w:val="el-GR"/>
              </w:rPr>
            </w:pPr>
            <w:r w:rsidRPr="00EC5CDE">
              <w:rPr>
                <w:rFonts w:ascii="Arial" w:hAnsi="Arial" w:cs="Arial"/>
                <w:lang w:val="el-GR"/>
              </w:rPr>
              <w:t>&lt;0.1%</w:t>
            </w:r>
          </w:p>
        </w:tc>
      </w:tr>
      <w:tr w:rsidR="00155843" w:rsidRPr="00EC5CDE" w:rsidTr="00EC5CDE">
        <w:tc>
          <w:tcPr>
            <w:tcW w:w="1895" w:type="dxa"/>
            <w:vMerge/>
            <w:shd w:val="clear" w:color="auto" w:fill="auto"/>
          </w:tcPr>
          <w:p w:rsidR="00155843" w:rsidRPr="00EC5CDE" w:rsidRDefault="00155843" w:rsidP="00EC5CDE">
            <w:pPr>
              <w:ind w:right="-11"/>
              <w:jc w:val="both"/>
              <w:rPr>
                <w:rFonts w:ascii="Arial" w:hAnsi="Arial" w:cs="Arial"/>
                <w:lang w:val="el-GR"/>
              </w:rPr>
            </w:pPr>
          </w:p>
        </w:tc>
        <w:tc>
          <w:tcPr>
            <w:tcW w:w="1866" w:type="dxa"/>
            <w:shd w:val="clear" w:color="auto" w:fill="auto"/>
          </w:tcPr>
          <w:p w:rsidR="00155843" w:rsidRPr="00EC5CDE" w:rsidRDefault="00155843" w:rsidP="00EC5CDE">
            <w:pPr>
              <w:ind w:right="-11"/>
              <w:jc w:val="both"/>
              <w:rPr>
                <w:rFonts w:ascii="Arial" w:hAnsi="Arial" w:cs="Arial"/>
                <w:lang w:val="el-GR"/>
              </w:rPr>
            </w:pPr>
            <w:r w:rsidRPr="00EC5CDE">
              <w:rPr>
                <w:rFonts w:ascii="Arial" w:hAnsi="Arial" w:cs="Arial"/>
                <w:lang w:val="el-GR"/>
              </w:rPr>
              <w:t>Διαταραχές</w:t>
            </w:r>
          </w:p>
          <w:p w:rsidR="00155843" w:rsidRPr="00EC5CDE" w:rsidRDefault="00155843" w:rsidP="00EC5CDE">
            <w:pPr>
              <w:ind w:right="-11"/>
              <w:jc w:val="both"/>
              <w:rPr>
                <w:rFonts w:ascii="Arial" w:hAnsi="Arial" w:cs="Arial"/>
                <w:lang w:val="el-GR"/>
              </w:rPr>
            </w:pPr>
            <w:r w:rsidRPr="00EC5CDE">
              <w:rPr>
                <w:rFonts w:ascii="Arial" w:hAnsi="Arial" w:cs="Arial"/>
                <w:lang w:val="el-GR"/>
              </w:rPr>
              <w:t>Εκσπερμάτισης</w:t>
            </w:r>
          </w:p>
          <w:p w:rsidR="00155843" w:rsidRPr="00EC5CDE" w:rsidRDefault="00155843" w:rsidP="00EC5CDE">
            <w:pPr>
              <w:ind w:right="-11"/>
              <w:jc w:val="both"/>
              <w:rPr>
                <w:rFonts w:ascii="Arial" w:hAnsi="Arial" w:cs="Arial"/>
              </w:rPr>
            </w:pPr>
            <w:r w:rsidRPr="00EC5CDE">
              <w:rPr>
                <w:rFonts w:ascii="Arial" w:hAnsi="Arial" w:cs="Arial"/>
                <w:lang w:val="el-GR"/>
              </w:rPr>
              <w:t>Συνδυασμός</w:t>
            </w:r>
            <w:r w:rsidRPr="00EC5CDE">
              <w:rPr>
                <w:rFonts w:ascii="Arial" w:hAnsi="Arial" w:cs="Arial"/>
                <w:szCs w:val="22"/>
                <w:vertAlign w:val="superscript"/>
              </w:rPr>
              <w:t>a</w:t>
            </w:r>
            <w:r w:rsidRPr="00EC5CDE">
              <w:rPr>
                <w:rFonts w:ascii="Arial" w:hAnsi="Arial" w:cs="Arial"/>
                <w:lang w:val="el-GR"/>
              </w:rPr>
              <w:t xml:space="preserve"> </w:t>
            </w:r>
          </w:p>
          <w:p w:rsidR="00155843" w:rsidRPr="00EC5CDE" w:rsidRDefault="00155843" w:rsidP="00EC5CDE">
            <w:pPr>
              <w:ind w:right="-11"/>
              <w:jc w:val="both"/>
              <w:rPr>
                <w:rFonts w:ascii="Arial" w:hAnsi="Arial" w:cs="Arial"/>
                <w:lang w:val="el-GR"/>
              </w:rPr>
            </w:pPr>
            <w:proofErr w:type="spellStart"/>
            <w:r w:rsidRPr="00EC5CDE">
              <w:rPr>
                <w:rFonts w:ascii="Arial" w:hAnsi="Arial" w:cs="Arial"/>
              </w:rPr>
              <w:t>Dutasteride</w:t>
            </w:r>
            <w:proofErr w:type="spellEnd"/>
          </w:p>
          <w:p w:rsidR="00155843" w:rsidRPr="00EC5CDE" w:rsidRDefault="00155843" w:rsidP="00EC5CDE">
            <w:pPr>
              <w:ind w:right="-11"/>
              <w:jc w:val="both"/>
              <w:rPr>
                <w:rFonts w:ascii="Arial" w:hAnsi="Arial" w:cs="Arial"/>
                <w:lang w:val="el-GR"/>
              </w:rPr>
            </w:pPr>
            <w:proofErr w:type="spellStart"/>
            <w:r w:rsidRPr="00EC5CDE">
              <w:rPr>
                <w:rFonts w:ascii="Arial" w:hAnsi="Arial" w:cs="Arial"/>
              </w:rPr>
              <w:t>Tamsulosin</w:t>
            </w:r>
            <w:proofErr w:type="spellEnd"/>
          </w:p>
          <w:p w:rsidR="00155843" w:rsidRPr="00EC5CDE" w:rsidRDefault="00155843" w:rsidP="00EC5CDE">
            <w:pPr>
              <w:ind w:right="-11"/>
              <w:jc w:val="both"/>
              <w:rPr>
                <w:rFonts w:ascii="Arial" w:hAnsi="Arial" w:cs="Arial"/>
                <w:lang w:val="el-GR"/>
              </w:rPr>
            </w:pPr>
          </w:p>
        </w:tc>
        <w:tc>
          <w:tcPr>
            <w:tcW w:w="1136"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9.0%</w:t>
            </w:r>
          </w:p>
          <w:p w:rsidR="00155843" w:rsidRPr="00EC5CDE" w:rsidRDefault="00155843" w:rsidP="00EC5CDE">
            <w:pPr>
              <w:ind w:right="-11"/>
              <w:jc w:val="both"/>
              <w:rPr>
                <w:rFonts w:ascii="Arial" w:hAnsi="Arial" w:cs="Arial"/>
                <w:lang w:val="el-GR"/>
              </w:rPr>
            </w:pPr>
            <w:r w:rsidRPr="00EC5CDE">
              <w:rPr>
                <w:rFonts w:ascii="Arial" w:hAnsi="Arial" w:cs="Arial"/>
                <w:lang w:val="el-GR"/>
              </w:rPr>
              <w:t>1.5%</w:t>
            </w:r>
          </w:p>
          <w:p w:rsidR="00155843" w:rsidRPr="00EC5CDE" w:rsidRDefault="00155843" w:rsidP="00EC5CDE">
            <w:pPr>
              <w:ind w:right="-11"/>
              <w:jc w:val="both"/>
              <w:rPr>
                <w:rFonts w:ascii="Arial" w:hAnsi="Arial" w:cs="Arial"/>
                <w:lang w:val="el-GR"/>
              </w:rPr>
            </w:pPr>
            <w:r w:rsidRPr="00EC5CDE">
              <w:rPr>
                <w:rFonts w:ascii="Arial" w:hAnsi="Arial" w:cs="Arial"/>
                <w:lang w:val="el-GR"/>
              </w:rPr>
              <w:t>2.7%</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1.0%</w:t>
            </w:r>
          </w:p>
          <w:p w:rsidR="00155843" w:rsidRPr="00EC5CDE" w:rsidRDefault="00155843" w:rsidP="00EC5CDE">
            <w:pPr>
              <w:ind w:right="-11"/>
              <w:jc w:val="both"/>
              <w:rPr>
                <w:rFonts w:ascii="Arial" w:hAnsi="Arial" w:cs="Arial"/>
                <w:lang w:val="el-GR"/>
              </w:rPr>
            </w:pPr>
            <w:r w:rsidRPr="00EC5CDE">
              <w:rPr>
                <w:rFonts w:ascii="Arial" w:hAnsi="Arial" w:cs="Arial"/>
                <w:lang w:val="el-GR"/>
              </w:rPr>
              <w:t>0.5%</w:t>
            </w:r>
          </w:p>
          <w:p w:rsidR="00155843" w:rsidRPr="00EC5CDE" w:rsidRDefault="00155843" w:rsidP="00EC5CDE">
            <w:pPr>
              <w:ind w:right="-11"/>
              <w:jc w:val="both"/>
              <w:rPr>
                <w:rFonts w:ascii="Arial" w:hAnsi="Arial" w:cs="Arial"/>
                <w:lang w:val="el-GR"/>
              </w:rPr>
            </w:pPr>
            <w:r w:rsidRPr="00EC5CDE">
              <w:rPr>
                <w:rFonts w:ascii="Arial" w:hAnsi="Arial" w:cs="Arial"/>
                <w:lang w:val="el-GR"/>
              </w:rPr>
              <w:t>0.5%</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0.5%</w:t>
            </w:r>
          </w:p>
          <w:p w:rsidR="00155843" w:rsidRPr="00EC5CDE" w:rsidRDefault="00155843" w:rsidP="00EC5CDE">
            <w:pPr>
              <w:ind w:right="-11"/>
              <w:jc w:val="both"/>
              <w:rPr>
                <w:rFonts w:ascii="Arial" w:hAnsi="Arial" w:cs="Arial"/>
                <w:lang w:val="el-GR"/>
              </w:rPr>
            </w:pPr>
            <w:r w:rsidRPr="00EC5CDE">
              <w:rPr>
                <w:rFonts w:ascii="Arial" w:hAnsi="Arial" w:cs="Arial"/>
                <w:lang w:val="el-GR"/>
              </w:rPr>
              <w:t>0.2%</w:t>
            </w:r>
          </w:p>
          <w:p w:rsidR="00155843" w:rsidRPr="00EC5CDE" w:rsidRDefault="00155843" w:rsidP="00EC5CDE">
            <w:pPr>
              <w:ind w:right="-11"/>
              <w:jc w:val="both"/>
              <w:rPr>
                <w:rFonts w:ascii="Arial" w:hAnsi="Arial" w:cs="Arial"/>
                <w:lang w:val="el-GR"/>
              </w:rPr>
            </w:pPr>
            <w:r w:rsidRPr="00EC5CDE">
              <w:rPr>
                <w:rFonts w:ascii="Arial" w:hAnsi="Arial" w:cs="Arial"/>
                <w:lang w:val="el-GR"/>
              </w:rPr>
              <w:t>0.2%</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&lt;0.1%</w:t>
            </w:r>
          </w:p>
          <w:p w:rsidR="00155843" w:rsidRPr="00EC5CDE" w:rsidRDefault="00155843" w:rsidP="00EC5CDE">
            <w:pPr>
              <w:ind w:right="-11"/>
              <w:jc w:val="both"/>
              <w:rPr>
                <w:rFonts w:ascii="Arial" w:hAnsi="Arial" w:cs="Arial"/>
                <w:lang w:val="el-GR"/>
              </w:rPr>
            </w:pPr>
            <w:r w:rsidRPr="00EC5CDE">
              <w:rPr>
                <w:rFonts w:ascii="Arial" w:hAnsi="Arial" w:cs="Arial"/>
                <w:lang w:val="el-GR"/>
              </w:rPr>
              <w:t>0.3%</w:t>
            </w:r>
          </w:p>
          <w:p w:rsidR="00155843" w:rsidRPr="00EC5CDE" w:rsidRDefault="00155843" w:rsidP="00EC5CDE">
            <w:pPr>
              <w:ind w:right="-11"/>
              <w:jc w:val="both"/>
              <w:rPr>
                <w:rFonts w:ascii="Arial" w:hAnsi="Arial" w:cs="Arial"/>
                <w:lang w:val="el-GR"/>
              </w:rPr>
            </w:pPr>
            <w:r w:rsidRPr="00EC5CDE">
              <w:rPr>
                <w:rFonts w:ascii="Arial" w:hAnsi="Arial" w:cs="Arial"/>
                <w:lang w:val="el-GR"/>
              </w:rPr>
              <w:t>0.3%</w:t>
            </w:r>
          </w:p>
        </w:tc>
      </w:tr>
      <w:tr w:rsidR="00155843" w:rsidRPr="00EC5CDE" w:rsidTr="00EC5CDE">
        <w:tc>
          <w:tcPr>
            <w:tcW w:w="1895" w:type="dxa"/>
            <w:vMerge/>
            <w:shd w:val="clear" w:color="auto" w:fill="auto"/>
          </w:tcPr>
          <w:p w:rsidR="00155843" w:rsidRPr="00EC5CDE" w:rsidRDefault="00155843" w:rsidP="00EC5CDE">
            <w:pPr>
              <w:ind w:right="-11"/>
              <w:jc w:val="both"/>
              <w:rPr>
                <w:rFonts w:ascii="Arial" w:hAnsi="Arial" w:cs="Arial"/>
                <w:lang w:val="el-GR"/>
              </w:rPr>
            </w:pPr>
          </w:p>
        </w:tc>
        <w:tc>
          <w:tcPr>
            <w:tcW w:w="1866" w:type="dxa"/>
            <w:shd w:val="clear" w:color="auto" w:fill="auto"/>
          </w:tcPr>
          <w:p w:rsidR="00155843" w:rsidRPr="00404459" w:rsidRDefault="00155843" w:rsidP="00EC5CDE">
            <w:pPr>
              <w:ind w:right="-11"/>
              <w:jc w:val="both"/>
              <w:rPr>
                <w:rFonts w:ascii="Arial" w:hAnsi="Arial" w:cs="Arial"/>
                <w:szCs w:val="22"/>
                <w:lang w:val="el-GR"/>
              </w:rPr>
            </w:pPr>
            <w:r w:rsidRPr="00EC5CDE">
              <w:rPr>
                <w:rFonts w:ascii="Arial" w:hAnsi="Arial" w:cs="Arial"/>
                <w:lang w:val="el-GR"/>
              </w:rPr>
              <w:t>Διαταραχές του μαστού</w:t>
            </w:r>
            <w:r w:rsidR="00BF6E85" w:rsidRPr="00EC5CDE">
              <w:rPr>
                <w:rFonts w:ascii="Arial" w:hAnsi="Arial" w:cs="Arial"/>
                <w:szCs w:val="22"/>
                <w:vertAlign w:val="superscript"/>
              </w:rPr>
              <w:t>c</w:t>
            </w:r>
          </w:p>
          <w:p w:rsidR="00155843" w:rsidRPr="00404459" w:rsidRDefault="00155843" w:rsidP="00EC5CDE">
            <w:pPr>
              <w:ind w:right="-11"/>
              <w:jc w:val="both"/>
              <w:rPr>
                <w:rFonts w:ascii="Arial" w:hAnsi="Arial" w:cs="Arial"/>
                <w:lang w:val="el-GR"/>
              </w:rPr>
            </w:pPr>
            <w:r w:rsidRPr="00EC5CDE">
              <w:rPr>
                <w:rFonts w:ascii="Arial" w:hAnsi="Arial" w:cs="Arial"/>
                <w:lang w:val="el-GR"/>
              </w:rPr>
              <w:t>Συνδυασμός</w:t>
            </w:r>
            <w:r w:rsidRPr="00EC5CDE">
              <w:rPr>
                <w:rFonts w:ascii="Arial" w:hAnsi="Arial" w:cs="Arial"/>
                <w:szCs w:val="22"/>
                <w:vertAlign w:val="superscript"/>
              </w:rPr>
              <w:t>a</w:t>
            </w:r>
            <w:r w:rsidRPr="00EC5CDE">
              <w:rPr>
                <w:rFonts w:ascii="Arial" w:hAnsi="Arial" w:cs="Arial"/>
                <w:lang w:val="el-GR"/>
              </w:rPr>
              <w:t xml:space="preserve"> </w:t>
            </w:r>
          </w:p>
          <w:p w:rsidR="00155843" w:rsidRPr="00EC5CDE" w:rsidRDefault="00155843" w:rsidP="00EC5CDE">
            <w:pPr>
              <w:ind w:right="-11"/>
              <w:jc w:val="both"/>
              <w:rPr>
                <w:rFonts w:ascii="Arial" w:hAnsi="Arial" w:cs="Arial"/>
                <w:lang w:val="el-GR"/>
              </w:rPr>
            </w:pPr>
            <w:proofErr w:type="spellStart"/>
            <w:r w:rsidRPr="00EC5CDE">
              <w:rPr>
                <w:rFonts w:ascii="Arial" w:hAnsi="Arial" w:cs="Arial"/>
              </w:rPr>
              <w:t>Dutasteride</w:t>
            </w:r>
            <w:proofErr w:type="spellEnd"/>
          </w:p>
          <w:p w:rsidR="00155843" w:rsidRPr="00EC5CDE" w:rsidRDefault="00155843" w:rsidP="00EC5CDE">
            <w:pPr>
              <w:ind w:right="-11"/>
              <w:jc w:val="both"/>
              <w:rPr>
                <w:rFonts w:ascii="Arial" w:hAnsi="Arial" w:cs="Arial"/>
                <w:lang w:val="el-GR"/>
              </w:rPr>
            </w:pPr>
            <w:proofErr w:type="spellStart"/>
            <w:r w:rsidRPr="00EC5CDE">
              <w:rPr>
                <w:rFonts w:ascii="Arial" w:hAnsi="Arial" w:cs="Arial"/>
              </w:rPr>
              <w:t>Tamsulosin</w:t>
            </w:r>
            <w:proofErr w:type="spellEnd"/>
          </w:p>
          <w:p w:rsidR="00155843" w:rsidRPr="00404459" w:rsidRDefault="00155843" w:rsidP="00EC5CDE">
            <w:pPr>
              <w:ind w:right="-11"/>
              <w:jc w:val="both"/>
              <w:rPr>
                <w:rFonts w:ascii="Arial" w:hAnsi="Arial" w:cs="Arial"/>
                <w:szCs w:val="22"/>
                <w:lang w:val="el-GR"/>
              </w:rPr>
            </w:pPr>
          </w:p>
        </w:tc>
        <w:tc>
          <w:tcPr>
            <w:tcW w:w="1136"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2.1%</w:t>
            </w:r>
          </w:p>
          <w:p w:rsidR="00155843" w:rsidRPr="00EC5CDE" w:rsidRDefault="00155843" w:rsidP="00EC5CDE">
            <w:pPr>
              <w:ind w:right="-11"/>
              <w:jc w:val="both"/>
              <w:rPr>
                <w:rFonts w:ascii="Arial" w:hAnsi="Arial" w:cs="Arial"/>
                <w:lang w:val="el-GR"/>
              </w:rPr>
            </w:pPr>
            <w:r w:rsidRPr="00EC5CDE">
              <w:rPr>
                <w:rFonts w:ascii="Arial" w:hAnsi="Arial" w:cs="Arial"/>
                <w:lang w:val="el-GR"/>
              </w:rPr>
              <w:t>1.7%</w:t>
            </w:r>
          </w:p>
          <w:p w:rsidR="00155843" w:rsidRPr="00EC5CDE" w:rsidRDefault="00155843" w:rsidP="00EC5CDE">
            <w:pPr>
              <w:ind w:right="-11"/>
              <w:jc w:val="both"/>
              <w:rPr>
                <w:rFonts w:ascii="Arial" w:hAnsi="Arial" w:cs="Arial"/>
                <w:lang w:val="el-GR"/>
              </w:rPr>
            </w:pPr>
            <w:r w:rsidRPr="00EC5CDE">
              <w:rPr>
                <w:rFonts w:ascii="Arial" w:hAnsi="Arial" w:cs="Arial"/>
                <w:lang w:val="el-GR"/>
              </w:rPr>
              <w:t>0.8%</w:t>
            </w:r>
          </w:p>
        </w:tc>
        <w:tc>
          <w:tcPr>
            <w:tcW w:w="1271" w:type="dxa"/>
            <w:shd w:val="clear" w:color="auto" w:fill="auto"/>
          </w:tcPr>
          <w:p w:rsidR="00155843" w:rsidRPr="00EC5CDE" w:rsidRDefault="00155843" w:rsidP="00EC5CDE">
            <w:pPr>
              <w:ind w:right="-11"/>
              <w:jc w:val="both"/>
              <w:rPr>
                <w:rFonts w:ascii="Arial" w:hAnsi="Arial" w:cs="Arial"/>
                <w:lang w:val="el-GR"/>
              </w:rPr>
            </w:pPr>
          </w:p>
          <w:p w:rsidR="002C7DA7" w:rsidRPr="00EC5CDE" w:rsidRDefault="002C7DA7"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0.8%</w:t>
            </w:r>
          </w:p>
          <w:p w:rsidR="00155843" w:rsidRPr="00EC5CDE" w:rsidRDefault="00155843" w:rsidP="00EC5CDE">
            <w:pPr>
              <w:ind w:right="-11"/>
              <w:jc w:val="both"/>
              <w:rPr>
                <w:rFonts w:ascii="Arial" w:hAnsi="Arial" w:cs="Arial"/>
                <w:lang w:val="el-GR"/>
              </w:rPr>
            </w:pPr>
            <w:r w:rsidRPr="00EC5CDE">
              <w:rPr>
                <w:rFonts w:ascii="Arial" w:hAnsi="Arial" w:cs="Arial"/>
                <w:lang w:val="el-GR"/>
              </w:rPr>
              <w:t>1.2%</w:t>
            </w:r>
          </w:p>
          <w:p w:rsidR="00155843" w:rsidRPr="00EC5CDE" w:rsidRDefault="00155843" w:rsidP="00EC5CDE">
            <w:pPr>
              <w:ind w:right="-11"/>
              <w:jc w:val="both"/>
              <w:rPr>
                <w:rFonts w:ascii="Arial" w:hAnsi="Arial" w:cs="Arial"/>
                <w:lang w:val="el-GR"/>
              </w:rPr>
            </w:pPr>
            <w:r w:rsidRPr="00EC5CDE">
              <w:rPr>
                <w:rFonts w:ascii="Arial" w:hAnsi="Arial" w:cs="Arial"/>
                <w:lang w:val="el-GR"/>
              </w:rPr>
              <w:t>0.4%</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0.9%</w:t>
            </w:r>
          </w:p>
          <w:p w:rsidR="00155843" w:rsidRPr="00EC5CDE" w:rsidRDefault="00155843" w:rsidP="00EC5CDE">
            <w:pPr>
              <w:ind w:right="-11"/>
              <w:jc w:val="both"/>
              <w:rPr>
                <w:rFonts w:ascii="Arial" w:hAnsi="Arial" w:cs="Arial"/>
                <w:lang w:val="el-GR"/>
              </w:rPr>
            </w:pPr>
            <w:r w:rsidRPr="00EC5CDE">
              <w:rPr>
                <w:rFonts w:ascii="Arial" w:hAnsi="Arial" w:cs="Arial"/>
                <w:lang w:val="el-GR"/>
              </w:rPr>
              <w:t>0.5%</w:t>
            </w:r>
          </w:p>
          <w:p w:rsidR="00155843" w:rsidRPr="00EC5CDE" w:rsidRDefault="00155843" w:rsidP="00EC5CDE">
            <w:pPr>
              <w:ind w:right="-11"/>
              <w:jc w:val="both"/>
              <w:rPr>
                <w:rFonts w:ascii="Arial" w:hAnsi="Arial" w:cs="Arial"/>
                <w:lang w:val="el-GR"/>
              </w:rPr>
            </w:pPr>
            <w:r w:rsidRPr="00EC5CDE">
              <w:rPr>
                <w:rFonts w:ascii="Arial" w:hAnsi="Arial" w:cs="Arial"/>
                <w:lang w:val="el-GR"/>
              </w:rPr>
              <w:t>0.2%</w:t>
            </w:r>
          </w:p>
        </w:tc>
        <w:tc>
          <w:tcPr>
            <w:tcW w:w="1271" w:type="dxa"/>
            <w:shd w:val="clear" w:color="auto" w:fill="auto"/>
          </w:tcPr>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p>
          <w:p w:rsidR="00155843" w:rsidRPr="00EC5CDE" w:rsidRDefault="00155843" w:rsidP="00EC5CDE">
            <w:pPr>
              <w:ind w:right="-11"/>
              <w:jc w:val="both"/>
              <w:rPr>
                <w:rFonts w:ascii="Arial" w:hAnsi="Arial" w:cs="Arial"/>
                <w:lang w:val="el-GR"/>
              </w:rPr>
            </w:pPr>
            <w:r w:rsidRPr="00EC5CDE">
              <w:rPr>
                <w:rFonts w:ascii="Arial" w:hAnsi="Arial" w:cs="Arial"/>
                <w:lang w:val="el-GR"/>
              </w:rPr>
              <w:t>0.6%</w:t>
            </w:r>
          </w:p>
          <w:p w:rsidR="00155843" w:rsidRPr="00EC5CDE" w:rsidRDefault="00155843" w:rsidP="00EC5CDE">
            <w:pPr>
              <w:ind w:right="-11"/>
              <w:jc w:val="both"/>
              <w:rPr>
                <w:rFonts w:ascii="Arial" w:hAnsi="Arial" w:cs="Arial"/>
                <w:lang w:val="el-GR"/>
              </w:rPr>
            </w:pPr>
            <w:r w:rsidRPr="00EC5CDE">
              <w:rPr>
                <w:rFonts w:ascii="Arial" w:hAnsi="Arial" w:cs="Arial"/>
                <w:lang w:val="el-GR"/>
              </w:rPr>
              <w:t>0.7%</w:t>
            </w:r>
          </w:p>
          <w:p w:rsidR="00155843" w:rsidRPr="00EC5CDE" w:rsidRDefault="00155843" w:rsidP="00EC5CDE">
            <w:pPr>
              <w:ind w:right="-11"/>
              <w:jc w:val="both"/>
              <w:rPr>
                <w:rFonts w:ascii="Arial" w:hAnsi="Arial" w:cs="Arial"/>
                <w:lang w:val="el-GR"/>
              </w:rPr>
            </w:pPr>
            <w:r w:rsidRPr="00EC5CDE">
              <w:rPr>
                <w:rFonts w:ascii="Arial" w:hAnsi="Arial" w:cs="Arial"/>
                <w:lang w:val="el-GR"/>
              </w:rPr>
              <w:t>0%</w:t>
            </w:r>
          </w:p>
        </w:tc>
      </w:tr>
      <w:tr w:rsidR="00BF6E85" w:rsidRPr="00EC5CDE" w:rsidTr="00EC5CDE">
        <w:tc>
          <w:tcPr>
            <w:tcW w:w="1895" w:type="dxa"/>
            <w:vMerge w:val="restart"/>
            <w:shd w:val="clear" w:color="auto" w:fill="auto"/>
          </w:tcPr>
          <w:p w:rsidR="00BF6E85" w:rsidRPr="00EC5CDE" w:rsidRDefault="00BF6E85" w:rsidP="00EC5CDE">
            <w:pPr>
              <w:ind w:right="-11"/>
              <w:jc w:val="both"/>
              <w:rPr>
                <w:rFonts w:ascii="Arial" w:hAnsi="Arial" w:cs="Arial"/>
                <w:lang w:val="el-GR"/>
              </w:rPr>
            </w:pPr>
          </w:p>
        </w:tc>
        <w:tc>
          <w:tcPr>
            <w:tcW w:w="1866" w:type="dxa"/>
            <w:shd w:val="clear" w:color="auto" w:fill="auto"/>
          </w:tcPr>
          <w:p w:rsidR="00BF6E85" w:rsidRPr="00EC5CDE" w:rsidRDefault="00BF6E85" w:rsidP="00EC5CDE">
            <w:pPr>
              <w:ind w:right="-11"/>
              <w:jc w:val="both"/>
              <w:rPr>
                <w:rFonts w:ascii="Arial" w:hAnsi="Arial" w:cs="Arial"/>
                <w:lang w:val="el-GR"/>
              </w:rPr>
            </w:pPr>
          </w:p>
          <w:p w:rsidR="00BF6E85" w:rsidRPr="00EC5CDE" w:rsidRDefault="00BF6E85" w:rsidP="00EC5CDE">
            <w:pPr>
              <w:ind w:right="-11"/>
              <w:jc w:val="both"/>
              <w:rPr>
                <w:rFonts w:ascii="Arial" w:hAnsi="Arial" w:cs="Arial"/>
                <w:lang w:val="el-GR"/>
              </w:rPr>
            </w:pPr>
          </w:p>
        </w:tc>
        <w:tc>
          <w:tcPr>
            <w:tcW w:w="1136"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r>
      <w:tr w:rsidR="00BF6E85" w:rsidRPr="00EC5CDE" w:rsidTr="00EC5CDE">
        <w:tc>
          <w:tcPr>
            <w:tcW w:w="1895" w:type="dxa"/>
            <w:vMerge/>
            <w:shd w:val="clear" w:color="auto" w:fill="auto"/>
          </w:tcPr>
          <w:p w:rsidR="00BF6E85" w:rsidRPr="00EC5CDE" w:rsidRDefault="00BF6E85" w:rsidP="00EC5CDE">
            <w:pPr>
              <w:ind w:right="-11"/>
              <w:jc w:val="both"/>
              <w:rPr>
                <w:rFonts w:ascii="Arial" w:hAnsi="Arial" w:cs="Arial"/>
                <w:lang w:val="el-GR"/>
              </w:rPr>
            </w:pPr>
          </w:p>
        </w:tc>
        <w:tc>
          <w:tcPr>
            <w:tcW w:w="1866" w:type="dxa"/>
            <w:shd w:val="clear" w:color="auto" w:fill="auto"/>
          </w:tcPr>
          <w:p w:rsidR="00BF6E85" w:rsidRPr="00EC5CDE" w:rsidRDefault="00BF6E85" w:rsidP="00EC5CDE">
            <w:pPr>
              <w:ind w:right="-11"/>
              <w:jc w:val="both"/>
              <w:rPr>
                <w:rFonts w:ascii="Arial" w:hAnsi="Arial" w:cs="Arial"/>
                <w:lang w:val="el-GR"/>
              </w:rPr>
            </w:pPr>
          </w:p>
        </w:tc>
        <w:tc>
          <w:tcPr>
            <w:tcW w:w="1136"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r>
      <w:tr w:rsidR="00BF6E85" w:rsidRPr="00EC5CDE" w:rsidTr="00EC5CDE">
        <w:tc>
          <w:tcPr>
            <w:tcW w:w="1895" w:type="dxa"/>
            <w:vMerge/>
            <w:shd w:val="clear" w:color="auto" w:fill="auto"/>
          </w:tcPr>
          <w:p w:rsidR="00BF6E85" w:rsidRPr="00EC5CDE" w:rsidRDefault="00BF6E85" w:rsidP="00EC5CDE">
            <w:pPr>
              <w:ind w:right="-11"/>
              <w:jc w:val="both"/>
              <w:rPr>
                <w:rFonts w:ascii="Arial" w:hAnsi="Arial" w:cs="Arial"/>
                <w:lang w:val="el-GR"/>
              </w:rPr>
            </w:pPr>
          </w:p>
        </w:tc>
        <w:tc>
          <w:tcPr>
            <w:tcW w:w="1866" w:type="dxa"/>
            <w:shd w:val="clear" w:color="auto" w:fill="auto"/>
          </w:tcPr>
          <w:p w:rsidR="00BF6E85" w:rsidRPr="00EC5CDE" w:rsidRDefault="00BF6E85" w:rsidP="00EC5CDE">
            <w:pPr>
              <w:ind w:right="-11"/>
              <w:jc w:val="both"/>
              <w:rPr>
                <w:rFonts w:ascii="Arial" w:hAnsi="Arial" w:cs="Arial"/>
                <w:lang w:val="el-GR"/>
              </w:rPr>
            </w:pPr>
          </w:p>
        </w:tc>
        <w:tc>
          <w:tcPr>
            <w:tcW w:w="1136"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r>
      <w:tr w:rsidR="00BF6E85" w:rsidRPr="00EC5CDE" w:rsidTr="00EC5CDE">
        <w:tc>
          <w:tcPr>
            <w:tcW w:w="1895" w:type="dxa"/>
            <w:vMerge/>
            <w:shd w:val="clear" w:color="auto" w:fill="auto"/>
          </w:tcPr>
          <w:p w:rsidR="00BF6E85" w:rsidRPr="00EC5CDE" w:rsidRDefault="00BF6E85" w:rsidP="00EC5CDE">
            <w:pPr>
              <w:ind w:right="-11"/>
              <w:jc w:val="both"/>
              <w:rPr>
                <w:rFonts w:ascii="Arial" w:hAnsi="Arial" w:cs="Arial"/>
                <w:lang w:val="el-GR"/>
              </w:rPr>
            </w:pPr>
          </w:p>
        </w:tc>
        <w:tc>
          <w:tcPr>
            <w:tcW w:w="1866" w:type="dxa"/>
            <w:shd w:val="clear" w:color="auto" w:fill="auto"/>
          </w:tcPr>
          <w:p w:rsidR="00BF6E85" w:rsidRPr="00EC5CDE" w:rsidRDefault="00BF6E85" w:rsidP="00EC5CDE">
            <w:pPr>
              <w:ind w:right="-11"/>
              <w:jc w:val="both"/>
              <w:rPr>
                <w:rFonts w:ascii="Arial" w:hAnsi="Arial" w:cs="Arial"/>
                <w:lang w:val="el-GR"/>
              </w:rPr>
            </w:pPr>
          </w:p>
          <w:p w:rsidR="00BF6E85" w:rsidRPr="00EC5CDE" w:rsidRDefault="00BF6E85" w:rsidP="00EC5CDE">
            <w:pPr>
              <w:ind w:right="-11"/>
              <w:jc w:val="both"/>
              <w:rPr>
                <w:rFonts w:ascii="Arial" w:hAnsi="Arial" w:cs="Arial"/>
                <w:lang w:val="el-GR"/>
              </w:rPr>
            </w:pPr>
          </w:p>
        </w:tc>
        <w:tc>
          <w:tcPr>
            <w:tcW w:w="1136"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c>
          <w:tcPr>
            <w:tcW w:w="1271" w:type="dxa"/>
            <w:shd w:val="clear" w:color="auto" w:fill="auto"/>
          </w:tcPr>
          <w:p w:rsidR="00BF6E85" w:rsidRPr="00EC5CDE" w:rsidRDefault="00BF6E85" w:rsidP="00EC5CDE">
            <w:pPr>
              <w:ind w:right="-11"/>
              <w:jc w:val="both"/>
              <w:rPr>
                <w:rFonts w:ascii="Arial" w:hAnsi="Arial" w:cs="Arial"/>
                <w:lang w:val="el-GR"/>
              </w:rPr>
            </w:pPr>
          </w:p>
        </w:tc>
      </w:tr>
    </w:tbl>
    <w:p w:rsidR="00BF6E85" w:rsidRPr="00F8566F" w:rsidRDefault="005B17D1" w:rsidP="005B17D1">
      <w:pPr>
        <w:keepNext/>
        <w:rPr>
          <w:rFonts w:ascii="Arial" w:hAnsi="Arial" w:cs="Arial"/>
          <w:sz w:val="18"/>
          <w:szCs w:val="18"/>
          <w:lang w:val="el-GR"/>
        </w:rPr>
      </w:pPr>
      <w:r w:rsidRPr="00EE0C7C">
        <w:rPr>
          <w:rFonts w:ascii="Arial" w:hAnsi="Arial" w:cs="Arial"/>
          <w:sz w:val="18"/>
          <w:szCs w:val="18"/>
          <w:vertAlign w:val="superscript"/>
        </w:rPr>
        <w:t>a</w:t>
      </w:r>
      <w:r w:rsidRPr="00081FB6">
        <w:rPr>
          <w:rFonts w:ascii="Arial" w:hAnsi="Arial" w:cs="Arial"/>
          <w:sz w:val="18"/>
          <w:szCs w:val="18"/>
          <w:vertAlign w:val="superscript"/>
          <w:lang w:val="el-GR"/>
        </w:rPr>
        <w:t xml:space="preserve"> </w:t>
      </w:r>
      <w:r w:rsidRPr="00EE0C7C">
        <w:rPr>
          <w:rFonts w:ascii="Arial" w:hAnsi="Arial" w:cs="Arial"/>
          <w:sz w:val="18"/>
          <w:szCs w:val="18"/>
          <w:lang w:val="el-GR"/>
        </w:rPr>
        <w:t xml:space="preserve">Συνδυασμός = </w:t>
      </w:r>
      <w:proofErr w:type="spellStart"/>
      <w:r w:rsidRPr="00EE0C7C">
        <w:rPr>
          <w:rFonts w:ascii="Arial" w:hAnsi="Arial" w:cs="Arial"/>
          <w:sz w:val="18"/>
          <w:szCs w:val="18"/>
        </w:rPr>
        <w:t>dutasteride</w:t>
      </w:r>
      <w:proofErr w:type="spellEnd"/>
      <w:r w:rsidRPr="00EE0C7C">
        <w:rPr>
          <w:rFonts w:ascii="Arial" w:hAnsi="Arial" w:cs="Arial"/>
          <w:sz w:val="18"/>
          <w:szCs w:val="18"/>
          <w:lang w:val="el-GR"/>
        </w:rPr>
        <w:t xml:space="preserve"> 0.5</w:t>
      </w:r>
      <w:r w:rsidRPr="00EE0C7C">
        <w:rPr>
          <w:rFonts w:ascii="Arial" w:hAnsi="Arial" w:cs="Arial"/>
          <w:sz w:val="18"/>
          <w:szCs w:val="18"/>
        </w:rPr>
        <w:t> mg</w:t>
      </w:r>
      <w:r w:rsidRPr="00EE0C7C">
        <w:rPr>
          <w:rFonts w:ascii="Arial" w:hAnsi="Arial" w:cs="Arial"/>
          <w:sz w:val="18"/>
          <w:szCs w:val="18"/>
          <w:lang w:val="el-GR"/>
        </w:rPr>
        <w:t xml:space="preserve"> μια φορά την ημέρα και </w:t>
      </w:r>
      <w:proofErr w:type="spellStart"/>
      <w:r w:rsidRPr="00EE0C7C">
        <w:rPr>
          <w:rFonts w:ascii="Arial" w:hAnsi="Arial" w:cs="Arial"/>
          <w:sz w:val="18"/>
          <w:szCs w:val="18"/>
        </w:rPr>
        <w:t>tamsulosin</w:t>
      </w:r>
      <w:proofErr w:type="spellEnd"/>
      <w:r w:rsidRPr="00EE0C7C">
        <w:rPr>
          <w:rFonts w:ascii="Arial" w:hAnsi="Arial" w:cs="Arial"/>
          <w:sz w:val="18"/>
          <w:szCs w:val="18"/>
          <w:lang w:val="el-GR"/>
        </w:rPr>
        <w:t xml:space="preserve"> 0.4</w:t>
      </w:r>
      <w:r w:rsidRPr="00EE0C7C">
        <w:rPr>
          <w:rFonts w:ascii="Arial" w:hAnsi="Arial" w:cs="Arial"/>
          <w:sz w:val="18"/>
          <w:szCs w:val="18"/>
        </w:rPr>
        <w:t> mg</w:t>
      </w:r>
      <w:r w:rsidRPr="00EE0C7C">
        <w:rPr>
          <w:rFonts w:ascii="Arial" w:hAnsi="Arial" w:cs="Arial"/>
          <w:sz w:val="18"/>
          <w:szCs w:val="18"/>
          <w:lang w:val="el-GR"/>
        </w:rPr>
        <w:t xml:space="preserve"> μια φορά την ημέρα.</w:t>
      </w:r>
    </w:p>
    <w:p w:rsidR="00BC1280" w:rsidRDefault="00C47A9E" w:rsidP="005B17D1">
      <w:pPr>
        <w:keepNext/>
        <w:rPr>
          <w:rFonts w:ascii="Arial" w:hAnsi="Arial" w:cs="Arial"/>
          <w:sz w:val="18"/>
          <w:szCs w:val="18"/>
          <w:lang w:val="el-GR"/>
        </w:rPr>
      </w:pPr>
      <w:r>
        <w:rPr>
          <w:rFonts w:ascii="Arial" w:hAnsi="Arial" w:cs="Arial"/>
          <w:sz w:val="18"/>
          <w:szCs w:val="18"/>
          <w:vertAlign w:val="superscript"/>
        </w:rPr>
        <w:t>b</w:t>
      </w:r>
      <w:r w:rsidR="00BF6E85" w:rsidRPr="00BF6E85">
        <w:rPr>
          <w:rFonts w:ascii="Arial" w:hAnsi="Arial" w:cs="Arial"/>
          <w:sz w:val="18"/>
          <w:szCs w:val="18"/>
          <w:lang w:val="el-GR"/>
        </w:rPr>
        <w:t xml:space="preserve"> </w:t>
      </w:r>
      <w:r w:rsidR="00BF6E85">
        <w:rPr>
          <w:rFonts w:ascii="Arial" w:hAnsi="Arial" w:cs="Arial"/>
          <w:sz w:val="18"/>
          <w:szCs w:val="18"/>
        </w:rPr>
        <w:t>O</w:t>
      </w:r>
      <w:r w:rsidR="00BF6E85" w:rsidRPr="00BF6E85">
        <w:rPr>
          <w:rFonts w:ascii="Arial" w:hAnsi="Arial" w:cs="Arial"/>
          <w:sz w:val="18"/>
          <w:szCs w:val="18"/>
          <w:lang w:val="el-GR"/>
        </w:rPr>
        <w:t xml:space="preserve"> </w:t>
      </w:r>
      <w:r w:rsidR="00BF6E85">
        <w:rPr>
          <w:rFonts w:ascii="Arial" w:hAnsi="Arial" w:cs="Arial"/>
          <w:sz w:val="18"/>
          <w:szCs w:val="18"/>
          <w:lang w:val="el-GR"/>
        </w:rPr>
        <w:t xml:space="preserve">σύνθετος όρος της καρδιακής ανεπάρκειας αποτελείται από </w:t>
      </w:r>
      <w:r w:rsidR="00BA0397">
        <w:rPr>
          <w:rFonts w:ascii="Arial" w:hAnsi="Arial" w:cs="Arial"/>
          <w:sz w:val="18"/>
          <w:szCs w:val="18"/>
          <w:lang w:val="el-GR"/>
        </w:rPr>
        <w:t>συμφορητική καρδιακή ανεπάρκεια,καρδιακή ανεπάρκεια, ανεπάρκεια της αριστερής κοιλίας, οξεία καρδιακή ανεπάρκεια, καρδιογενές σόκ, οξεία ανεπάρκεια της αριστερής κοιλίας</w:t>
      </w:r>
      <w:r w:rsidR="009F2A70">
        <w:rPr>
          <w:rFonts w:ascii="Arial" w:hAnsi="Arial" w:cs="Arial"/>
          <w:sz w:val="18"/>
          <w:szCs w:val="18"/>
          <w:lang w:val="el-GR"/>
        </w:rPr>
        <w:t>, ανεπάρκεια της δεξιάς κοιλίας,οξεία ανεπάρκεια της δεξιάς κοιλίας, κοιλιακή ανεπάρκεια, καρδιοαναπνευστική ανεπάρκεια, συμφορητική μυοκαρδιοπάθεια</w:t>
      </w:r>
    </w:p>
    <w:p w:rsidR="005B17D1" w:rsidRPr="00EE0C7C" w:rsidRDefault="00BF6E85" w:rsidP="005B17D1">
      <w:pPr>
        <w:keepNext/>
        <w:rPr>
          <w:rFonts w:ascii="Arial" w:hAnsi="Arial" w:cs="Arial"/>
          <w:color w:val="000000"/>
          <w:sz w:val="18"/>
          <w:szCs w:val="18"/>
          <w:lang w:val="el-GR"/>
        </w:rPr>
      </w:pPr>
      <w:r>
        <w:rPr>
          <w:rFonts w:ascii="Arial" w:hAnsi="Arial" w:cs="Arial"/>
          <w:sz w:val="18"/>
          <w:szCs w:val="18"/>
          <w:vertAlign w:val="superscript"/>
        </w:rPr>
        <w:t>c</w:t>
      </w:r>
      <w:r w:rsidR="005B17D1" w:rsidRPr="00081FB6">
        <w:rPr>
          <w:rFonts w:ascii="Arial" w:hAnsi="Arial" w:cs="Arial"/>
          <w:sz w:val="18"/>
          <w:szCs w:val="18"/>
          <w:vertAlign w:val="superscript"/>
          <w:lang w:val="el-GR"/>
        </w:rPr>
        <w:t xml:space="preserve"> </w:t>
      </w:r>
      <w:r w:rsidR="005B17D1" w:rsidRPr="00EE0C7C">
        <w:rPr>
          <w:rFonts w:ascii="Arial" w:hAnsi="Arial" w:cs="Arial"/>
          <w:sz w:val="18"/>
          <w:szCs w:val="18"/>
          <w:lang w:val="el-GR"/>
        </w:rPr>
        <w:t xml:space="preserve">Περιλαμβάνει μεγέθυνση του μαστού και/ή ευαισθησία </w:t>
      </w:r>
    </w:p>
    <w:p w:rsidR="0032181E" w:rsidRDefault="0032181E" w:rsidP="00EA7DA9">
      <w:pPr>
        <w:ind w:right="-11"/>
        <w:jc w:val="both"/>
        <w:rPr>
          <w:rFonts w:ascii="Arial" w:hAnsi="Arial" w:cs="Arial"/>
          <w:lang w:val="el-GR"/>
        </w:rPr>
      </w:pPr>
    </w:p>
    <w:p w:rsidR="007B78A7" w:rsidRDefault="00BC1280" w:rsidP="00EA7DA9">
      <w:pPr>
        <w:ind w:right="-11"/>
        <w:jc w:val="both"/>
        <w:rPr>
          <w:rFonts w:ascii="Arial" w:hAnsi="Arial" w:cs="Arial"/>
          <w:lang w:val="el-GR"/>
        </w:rPr>
      </w:pPr>
      <w:r>
        <w:rPr>
          <w:rFonts w:ascii="Arial" w:hAnsi="Arial" w:cs="Arial"/>
          <w:lang w:val="el-GR"/>
        </w:rPr>
        <w:t>ΑΛΛΑ ΣΤΟΙΧΕΙΑ</w:t>
      </w:r>
    </w:p>
    <w:p w:rsidR="00B36149" w:rsidRDefault="00BC1280" w:rsidP="00EA7DA9">
      <w:pPr>
        <w:ind w:right="-11"/>
        <w:jc w:val="both"/>
        <w:rPr>
          <w:rFonts w:ascii="Arial" w:hAnsi="Arial" w:cs="Arial"/>
          <w:lang w:val="el-GR"/>
        </w:rPr>
      </w:pPr>
      <w:r>
        <w:rPr>
          <w:rFonts w:ascii="Arial" w:hAnsi="Arial" w:cs="Arial"/>
          <w:lang w:val="el-GR"/>
        </w:rPr>
        <w:t xml:space="preserve">Η μελέτη </w:t>
      </w:r>
      <w:r>
        <w:rPr>
          <w:rFonts w:ascii="Arial" w:hAnsi="Arial" w:cs="Arial"/>
        </w:rPr>
        <w:t>REDUCE</w:t>
      </w:r>
      <w:r w:rsidRPr="00BC1280">
        <w:rPr>
          <w:rFonts w:ascii="Arial" w:hAnsi="Arial" w:cs="Arial"/>
          <w:lang w:val="el-GR"/>
        </w:rPr>
        <w:t xml:space="preserve"> </w:t>
      </w:r>
      <w:r>
        <w:rPr>
          <w:rFonts w:ascii="Arial" w:hAnsi="Arial" w:cs="Arial"/>
          <w:lang w:val="el-GR"/>
        </w:rPr>
        <w:t>αποκάλυψε υψηλότερο ποσοστό εμφάνισης</w:t>
      </w:r>
      <w:r w:rsidR="000970F8">
        <w:rPr>
          <w:rFonts w:ascii="Arial" w:hAnsi="Arial" w:cs="Arial"/>
          <w:lang w:val="el-GR"/>
        </w:rPr>
        <w:t xml:space="preserve"> </w:t>
      </w:r>
      <w:r>
        <w:rPr>
          <w:rFonts w:ascii="Arial" w:hAnsi="Arial" w:cs="Arial"/>
          <w:lang w:val="el-GR"/>
        </w:rPr>
        <w:t xml:space="preserve">προστατικού καρκίνου βαθμού </w:t>
      </w:r>
      <w:r>
        <w:rPr>
          <w:rFonts w:ascii="Arial" w:hAnsi="Arial" w:cs="Arial"/>
        </w:rPr>
        <w:t>Gleason</w:t>
      </w:r>
      <w:r w:rsidRPr="00BC1280">
        <w:rPr>
          <w:rFonts w:ascii="Arial" w:hAnsi="Arial" w:cs="Arial"/>
          <w:lang w:val="el-GR"/>
        </w:rPr>
        <w:t xml:space="preserve"> 8-10 </w:t>
      </w:r>
      <w:r>
        <w:rPr>
          <w:rFonts w:ascii="Arial" w:hAnsi="Arial" w:cs="Arial"/>
          <w:lang w:val="el-GR"/>
        </w:rPr>
        <w:t>σε άνδρες που</w:t>
      </w:r>
      <w:r w:rsidR="00494104">
        <w:rPr>
          <w:rFonts w:ascii="Arial" w:hAnsi="Arial" w:cs="Arial"/>
          <w:lang w:val="el-GR"/>
        </w:rPr>
        <w:t xml:space="preserve"> </w:t>
      </w:r>
      <w:r>
        <w:rPr>
          <w:rFonts w:ascii="Arial" w:hAnsi="Arial" w:cs="Arial"/>
          <w:lang w:val="el-GR"/>
        </w:rPr>
        <w:t>έχουν λάβε</w:t>
      </w:r>
      <w:r w:rsidR="00494104">
        <w:rPr>
          <w:rFonts w:ascii="Arial" w:hAnsi="Arial" w:cs="Arial"/>
          <w:lang w:val="el-GR"/>
        </w:rPr>
        <w:t>ι θεραπεία ντουταστερίδης</w:t>
      </w:r>
      <w:r w:rsidR="000970F8">
        <w:rPr>
          <w:rFonts w:ascii="Arial" w:hAnsi="Arial" w:cs="Arial"/>
          <w:lang w:val="el-GR"/>
        </w:rPr>
        <w:t xml:space="preserve"> </w:t>
      </w:r>
      <w:r w:rsidR="00494104">
        <w:rPr>
          <w:rFonts w:ascii="Arial" w:hAnsi="Arial" w:cs="Arial"/>
          <w:lang w:val="el-GR"/>
        </w:rPr>
        <w:t xml:space="preserve">σε σχέση με εικονικό φάρμακο </w:t>
      </w:r>
      <w:r w:rsidR="00C47A9E" w:rsidRPr="00C47A9E">
        <w:rPr>
          <w:rFonts w:ascii="Arial" w:hAnsi="Arial" w:cs="Arial"/>
          <w:lang w:val="el-GR"/>
        </w:rPr>
        <w:t>(</w:t>
      </w:r>
      <w:r>
        <w:rPr>
          <w:rFonts w:ascii="Arial" w:hAnsi="Arial" w:cs="Arial"/>
          <w:lang w:val="el-GR"/>
        </w:rPr>
        <w:t>βλ. παράγραφο 4.4 και</w:t>
      </w:r>
      <w:r w:rsidR="00C110E4" w:rsidRPr="00C110E4">
        <w:rPr>
          <w:rFonts w:ascii="Arial" w:hAnsi="Arial" w:cs="Arial"/>
          <w:lang w:val="el-GR"/>
        </w:rPr>
        <w:t xml:space="preserve"> </w:t>
      </w:r>
      <w:r>
        <w:rPr>
          <w:rFonts w:ascii="Arial" w:hAnsi="Arial" w:cs="Arial"/>
          <w:lang w:val="el-GR"/>
        </w:rPr>
        <w:t>5.1).</w:t>
      </w:r>
      <w:r w:rsidR="00C110E4" w:rsidRPr="00C110E4">
        <w:rPr>
          <w:rFonts w:ascii="Arial" w:hAnsi="Arial" w:cs="Arial"/>
          <w:lang w:val="el-GR"/>
        </w:rPr>
        <w:t xml:space="preserve"> </w:t>
      </w:r>
      <w:r>
        <w:rPr>
          <w:rFonts w:ascii="Arial" w:hAnsi="Arial" w:cs="Arial"/>
          <w:lang w:val="el-GR"/>
        </w:rPr>
        <w:t>Το κατά πόσο η επίδραση της ντουταστερίδης στη μείωση του όγκου του προστάτη ή άλλοι παράγοντες σχετιζόμενοι με τη μελέτη, επηρέασαν τα αποτελέσματα αυτής της μελέτης δεν έχει τεκμηριωθεί.</w:t>
      </w:r>
    </w:p>
    <w:p w:rsidR="00B36149" w:rsidRPr="007B78A7" w:rsidRDefault="00B36149" w:rsidP="00EA7DA9">
      <w:pPr>
        <w:ind w:right="-11"/>
        <w:jc w:val="both"/>
        <w:rPr>
          <w:rFonts w:ascii="Arial" w:hAnsi="Arial" w:cs="Arial"/>
          <w:lang w:val="el-GR"/>
        </w:rPr>
      </w:pPr>
    </w:p>
    <w:p w:rsidR="0078689F" w:rsidRPr="00AD0457" w:rsidRDefault="0078689F" w:rsidP="00A067F0">
      <w:pPr>
        <w:ind w:right="-11"/>
        <w:jc w:val="both"/>
        <w:rPr>
          <w:rFonts w:ascii="Arial" w:hAnsi="Arial" w:cs="Arial"/>
          <w:lang w:val="el-GR"/>
        </w:rPr>
      </w:pPr>
      <w:r w:rsidRPr="00AD0457">
        <w:rPr>
          <w:rFonts w:ascii="Arial" w:hAnsi="Arial" w:cs="Arial"/>
          <w:b/>
          <w:lang w:val="el-GR"/>
        </w:rPr>
        <w:t>4.9</w:t>
      </w:r>
      <w:r w:rsidRPr="00AD0457">
        <w:rPr>
          <w:rFonts w:ascii="Arial" w:hAnsi="Arial" w:cs="Arial"/>
          <w:b/>
          <w:lang w:val="el-GR"/>
        </w:rPr>
        <w:tab/>
        <w:t>Υπερδοσολογία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Σε μελέτες του </w:t>
      </w:r>
      <w:proofErr w:type="spellStart"/>
      <w:r w:rsidR="0009026D">
        <w:rPr>
          <w:rFonts w:ascii="Arial" w:hAnsi="Arial" w:cs="Arial"/>
        </w:rPr>
        <w:t>Duagen</w:t>
      </w:r>
      <w:proofErr w:type="spellEnd"/>
      <w:r w:rsidRPr="00AD0457">
        <w:rPr>
          <w:rFonts w:ascii="Arial" w:hAnsi="Arial" w:cs="Arial"/>
          <w:lang w:val="el-GR"/>
        </w:rPr>
        <w:t xml:space="preserve"> επί εθελοντών, χορηγήθηκε </w:t>
      </w:r>
      <w:r w:rsidR="000F6CBD" w:rsidRPr="000F6CBD">
        <w:rPr>
          <w:rFonts w:ascii="Arial" w:hAnsi="Arial" w:cs="Arial"/>
          <w:lang w:val="el-GR"/>
        </w:rPr>
        <w:t>ντουταστερίδη</w:t>
      </w:r>
      <w:r w:rsidRPr="00AD0457">
        <w:rPr>
          <w:rFonts w:ascii="Arial" w:hAnsi="Arial" w:cs="Arial"/>
          <w:lang w:val="el-GR"/>
        </w:rPr>
        <w:t xml:space="preserve"> σε μία ημερήσια δόση έως 40 </w:t>
      </w:r>
      <w:r w:rsidRPr="00AD0457">
        <w:rPr>
          <w:rFonts w:ascii="Arial" w:hAnsi="Arial" w:cs="Arial"/>
        </w:rPr>
        <w:t>mg</w:t>
      </w:r>
      <w:r w:rsidRPr="00AD0457">
        <w:rPr>
          <w:rFonts w:ascii="Arial" w:hAnsi="Arial" w:cs="Arial"/>
          <w:lang w:val="el-GR"/>
        </w:rPr>
        <w:t xml:space="preserve"> (80πλάσια της θεραπευτικής) επί 7 ημέρες, χωρίς ουσιώδη προβλήματα ασφάλειας. Σε κλινικές μελέτες, χορηγήθηκαν δόσεις 5 </w:t>
      </w:r>
      <w:r w:rsidRPr="00AD0457">
        <w:rPr>
          <w:rFonts w:ascii="Arial" w:hAnsi="Arial" w:cs="Arial"/>
        </w:rPr>
        <w:t>mg</w:t>
      </w:r>
      <w:r w:rsidRPr="00AD0457">
        <w:rPr>
          <w:rFonts w:ascii="Arial" w:hAnsi="Arial" w:cs="Arial"/>
          <w:lang w:val="el-GR"/>
        </w:rPr>
        <w:t xml:space="preserve"> ημερησίως επί 6 μήνες χωρίς επιπρόσθετες ανεπιθύμητες ενέργειες από αυτές που παρατηρήθηκαν με την θεραπευτική δόση του 0.5 </w:t>
      </w:r>
      <w:r w:rsidRPr="00AD0457">
        <w:rPr>
          <w:rFonts w:ascii="Arial" w:hAnsi="Arial" w:cs="Arial"/>
        </w:rPr>
        <w:t>mg</w:t>
      </w:r>
      <w:r w:rsidRPr="00AD0457">
        <w:rPr>
          <w:rFonts w:ascii="Arial" w:hAnsi="Arial" w:cs="Arial"/>
          <w:lang w:val="el-GR"/>
        </w:rPr>
        <w:t xml:space="preserve">. Δεν υπάρχει ειδικό αντίδοτο για το </w:t>
      </w:r>
      <w:proofErr w:type="spellStart"/>
      <w:r w:rsidR="0009026D">
        <w:rPr>
          <w:rFonts w:ascii="Arial" w:hAnsi="Arial" w:cs="Arial"/>
        </w:rPr>
        <w:t>Duagen</w:t>
      </w:r>
      <w:proofErr w:type="spellEnd"/>
      <w:r w:rsidRPr="00AD0457">
        <w:rPr>
          <w:rFonts w:ascii="Arial" w:hAnsi="Arial" w:cs="Arial"/>
          <w:lang w:val="el-GR"/>
        </w:rPr>
        <w:t>, επομένως, σε περιπτώσεις πιθανολογούμενης υπερδοσολογίας θα πρέπει να χορηγούνται τα ενδεδειγμένα συμπτωματικά και υποστηρικτικά μέτρα.</w:t>
      </w:r>
    </w:p>
    <w:p w:rsidR="0078689F" w:rsidRPr="00AD0457" w:rsidRDefault="0078689F" w:rsidP="00A067F0">
      <w:pPr>
        <w:ind w:right="-11"/>
        <w:jc w:val="both"/>
        <w:rPr>
          <w:rFonts w:ascii="Arial" w:hAnsi="Arial" w:cs="Arial"/>
          <w:lang w:val="el-GR"/>
        </w:rPr>
      </w:pPr>
    </w:p>
    <w:p w:rsidR="0078689F" w:rsidRPr="00AD0457" w:rsidRDefault="0078689F" w:rsidP="00A067F0">
      <w:pPr>
        <w:ind w:left="567" w:right="-11" w:hanging="567"/>
        <w:jc w:val="both"/>
        <w:rPr>
          <w:rFonts w:ascii="Arial" w:hAnsi="Arial" w:cs="Arial"/>
          <w:lang w:val="el-GR"/>
        </w:rPr>
      </w:pPr>
      <w:r w:rsidRPr="00AD0457">
        <w:rPr>
          <w:rFonts w:ascii="Arial" w:hAnsi="Arial" w:cs="Arial"/>
          <w:b/>
          <w:lang w:val="el-GR"/>
        </w:rPr>
        <w:t>5.</w:t>
      </w:r>
      <w:r w:rsidRPr="00AD0457">
        <w:rPr>
          <w:rFonts w:ascii="Arial" w:hAnsi="Arial" w:cs="Arial"/>
          <w:b/>
          <w:lang w:val="el-GR"/>
        </w:rPr>
        <w:tab/>
        <w:t>ΦΑΡΜΑΚΟΛΟΓΙΚΕΣ ΙΔΙΟΤΗΤΕΣ</w:t>
      </w:r>
    </w:p>
    <w:p w:rsidR="00310F95" w:rsidRDefault="0078689F">
      <w:pPr>
        <w:ind w:left="567" w:right="-11" w:hanging="567"/>
        <w:jc w:val="both"/>
        <w:rPr>
          <w:rFonts w:ascii="Arial" w:hAnsi="Arial" w:cs="Arial"/>
          <w:lang w:val="el-GR"/>
        </w:rPr>
      </w:pPr>
      <w:r w:rsidRPr="00AD0457">
        <w:rPr>
          <w:rFonts w:ascii="Arial" w:hAnsi="Arial" w:cs="Arial"/>
          <w:b/>
          <w:lang w:val="el-GR"/>
        </w:rPr>
        <w:t>5.1</w:t>
      </w:r>
      <w:r w:rsidRPr="00AD0457">
        <w:rPr>
          <w:rFonts w:ascii="Arial" w:hAnsi="Arial" w:cs="Arial"/>
          <w:b/>
          <w:lang w:val="el-GR"/>
        </w:rPr>
        <w:tab/>
        <w:t>Φαρμακοδυναμικές ιδιότητες</w:t>
      </w:r>
    </w:p>
    <w:p w:rsidR="0078689F" w:rsidRPr="00AD0457" w:rsidRDefault="0078689F" w:rsidP="00A067F0">
      <w:pPr>
        <w:ind w:right="-11"/>
        <w:jc w:val="both"/>
        <w:rPr>
          <w:rFonts w:ascii="Arial" w:hAnsi="Arial" w:cs="Arial"/>
          <w:lang w:val="el-GR"/>
        </w:rPr>
      </w:pPr>
      <w:r w:rsidRPr="00AD0457">
        <w:rPr>
          <w:rFonts w:ascii="Arial" w:hAnsi="Arial" w:cs="Arial"/>
          <w:lang w:val="el-GR"/>
        </w:rPr>
        <w:t>Φαρμακοθεραπευτική κατηγορία: αναστολείς της 5α-αναγωγάσης της τεστοστερόνης</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Κωδικός </w:t>
      </w:r>
      <w:r w:rsidRPr="00AD0457">
        <w:rPr>
          <w:rFonts w:ascii="Arial" w:hAnsi="Arial" w:cs="Arial"/>
        </w:rPr>
        <w:t>ATC</w:t>
      </w:r>
      <w:r w:rsidRPr="00AD0457">
        <w:rPr>
          <w:rFonts w:ascii="Arial" w:hAnsi="Arial" w:cs="Arial"/>
          <w:lang w:val="el-GR"/>
        </w:rPr>
        <w:t xml:space="preserve"> </w:t>
      </w:r>
      <w:r w:rsidRPr="00AD0457">
        <w:rPr>
          <w:rFonts w:ascii="Arial" w:hAnsi="Arial" w:cs="Arial"/>
        </w:rPr>
        <w:t>G</w:t>
      </w:r>
      <w:r w:rsidRPr="00AD0457">
        <w:rPr>
          <w:rFonts w:ascii="Arial" w:hAnsi="Arial" w:cs="Arial"/>
          <w:lang w:val="el-GR"/>
        </w:rPr>
        <w:t>04</w:t>
      </w:r>
      <w:r w:rsidRPr="00AD0457">
        <w:rPr>
          <w:rFonts w:ascii="Arial" w:hAnsi="Arial" w:cs="Arial"/>
        </w:rPr>
        <w:t>C</w:t>
      </w:r>
      <w:r w:rsidRPr="00AD0457">
        <w:rPr>
          <w:rFonts w:ascii="Arial" w:hAnsi="Arial" w:cs="Arial"/>
          <w:lang w:val="el-GR"/>
        </w:rPr>
        <w:t xml:space="preserve"> </w:t>
      </w:r>
      <w:r w:rsidRPr="00AD0457">
        <w:rPr>
          <w:rFonts w:ascii="Arial" w:hAnsi="Arial" w:cs="Arial"/>
        </w:rPr>
        <w:t>B</w:t>
      </w:r>
      <w:r w:rsidRPr="00AD0457">
        <w:rPr>
          <w:rFonts w:ascii="Arial" w:hAnsi="Arial" w:cs="Arial"/>
          <w:lang w:val="el-GR"/>
        </w:rPr>
        <w:t>02</w:t>
      </w:r>
    </w:p>
    <w:p w:rsidR="0078689F" w:rsidRPr="00AD0457" w:rsidRDefault="00DB0EA6" w:rsidP="00A067F0">
      <w:pPr>
        <w:ind w:right="-11"/>
        <w:jc w:val="both"/>
        <w:rPr>
          <w:rFonts w:ascii="Arial" w:hAnsi="Arial" w:cs="Arial"/>
          <w:lang w:val="el-GR"/>
        </w:rPr>
      </w:pPr>
      <w:r>
        <w:rPr>
          <w:rFonts w:ascii="Arial" w:hAnsi="Arial" w:cs="Arial"/>
          <w:lang w:val="el-GR"/>
        </w:rPr>
        <w:t>Η</w:t>
      </w:r>
      <w:r w:rsidRPr="00AD0457">
        <w:rPr>
          <w:rFonts w:ascii="Arial" w:hAnsi="Arial" w:cs="Arial"/>
          <w:lang w:val="el-GR"/>
        </w:rPr>
        <w:t xml:space="preserve"> </w:t>
      </w:r>
      <w:r w:rsidR="000F6CBD">
        <w:rPr>
          <w:rFonts w:ascii="Arial" w:hAnsi="Arial" w:cs="Arial"/>
          <w:lang w:val="el-GR"/>
        </w:rPr>
        <w:t>ντουταστερίδη</w:t>
      </w:r>
      <w:r w:rsidR="0078689F" w:rsidRPr="00AD0457">
        <w:rPr>
          <w:rFonts w:ascii="Arial" w:hAnsi="Arial" w:cs="Arial"/>
          <w:lang w:val="el-GR"/>
        </w:rPr>
        <w:t xml:space="preserve"> ελαττώνει τα επίπεδα της διυδροτεστοστερόνης (</w:t>
      </w:r>
      <w:r w:rsidR="0078689F" w:rsidRPr="00AD0457">
        <w:rPr>
          <w:rFonts w:ascii="Arial" w:hAnsi="Arial" w:cs="Arial"/>
        </w:rPr>
        <w:t>DHT</w:t>
      </w:r>
      <w:r w:rsidR="0078689F" w:rsidRPr="00AD0457">
        <w:rPr>
          <w:rFonts w:ascii="Arial" w:hAnsi="Arial" w:cs="Arial"/>
          <w:lang w:val="el-GR"/>
        </w:rPr>
        <w:t xml:space="preserve">) στην κυκλοφορία, μέσω αναστολής των ισοενζύμων τύπου 1 και 2 της 5α-αναγωγάσης, η οποία είναι υπεύθυνη για την μετατροπή της τεστοστερόνης σε DHT. </w:t>
      </w:r>
    </w:p>
    <w:p w:rsidR="0078689F" w:rsidRPr="00DB0EA6" w:rsidRDefault="0078689F" w:rsidP="00A067F0">
      <w:pPr>
        <w:ind w:right="-11"/>
        <w:jc w:val="both"/>
        <w:rPr>
          <w:rFonts w:ascii="Arial" w:hAnsi="Arial" w:cs="Arial"/>
          <w:lang w:val="el-GR"/>
        </w:rPr>
      </w:pPr>
    </w:p>
    <w:p w:rsidR="00470F75" w:rsidRDefault="00470F75" w:rsidP="00470F75">
      <w:pPr>
        <w:ind w:right="-11"/>
        <w:jc w:val="both"/>
        <w:rPr>
          <w:rFonts w:ascii="Arial" w:hAnsi="Arial" w:cs="Arial"/>
          <w:lang w:val="el-GR"/>
        </w:rPr>
      </w:pPr>
      <w:r>
        <w:rPr>
          <w:rFonts w:ascii="Arial" w:hAnsi="Arial" w:cs="Arial"/>
          <w:lang w:val="el-GR"/>
        </w:rPr>
        <w:t xml:space="preserve">ΤΟ </w:t>
      </w:r>
      <w:r>
        <w:rPr>
          <w:rFonts w:ascii="Arial" w:hAnsi="Arial" w:cs="Arial"/>
        </w:rPr>
        <w:t>DUAGEN</w:t>
      </w:r>
      <w:r w:rsidRPr="00404459">
        <w:rPr>
          <w:rFonts w:ascii="Arial" w:hAnsi="Arial" w:cs="Arial"/>
          <w:lang w:val="el-GR"/>
        </w:rPr>
        <w:t xml:space="preserve"> </w:t>
      </w:r>
      <w:r>
        <w:rPr>
          <w:rFonts w:ascii="Arial" w:hAnsi="Arial" w:cs="Arial"/>
          <w:lang w:val="el-GR"/>
        </w:rPr>
        <w:t>ΩΣ ΜΟΝΟΘΕΡΑΠΕΙΑ</w:t>
      </w:r>
    </w:p>
    <w:p w:rsidR="00470F75" w:rsidRPr="00404459" w:rsidRDefault="00470F75" w:rsidP="00A067F0">
      <w:pPr>
        <w:ind w:right="-11"/>
        <w:jc w:val="both"/>
        <w:rPr>
          <w:rFonts w:ascii="Arial" w:hAnsi="Arial" w:cs="Arial"/>
          <w:lang w:val="el-GR"/>
        </w:rPr>
      </w:pPr>
    </w:p>
    <w:p w:rsidR="0078689F" w:rsidRPr="00AD0457" w:rsidRDefault="0078689F" w:rsidP="00A067F0">
      <w:pPr>
        <w:ind w:right="-11"/>
        <w:jc w:val="both"/>
        <w:rPr>
          <w:rFonts w:ascii="Arial" w:hAnsi="Arial" w:cs="Arial"/>
          <w:b/>
          <w:i/>
          <w:lang w:val="el-GR"/>
        </w:rPr>
      </w:pPr>
      <w:r w:rsidRPr="00AD0457">
        <w:rPr>
          <w:rFonts w:ascii="Arial" w:hAnsi="Arial" w:cs="Arial"/>
          <w:b/>
          <w:i/>
          <w:lang w:val="el-GR"/>
        </w:rPr>
        <w:t xml:space="preserve">Επιδράσεις στην </w:t>
      </w:r>
      <w:r w:rsidRPr="00AD0457">
        <w:rPr>
          <w:rFonts w:ascii="Arial" w:hAnsi="Arial" w:cs="Arial"/>
          <w:b/>
          <w:i/>
        </w:rPr>
        <w:t>DHT</w:t>
      </w:r>
      <w:r w:rsidRPr="00AD0457">
        <w:rPr>
          <w:rFonts w:ascii="Arial" w:hAnsi="Arial" w:cs="Arial"/>
          <w:b/>
          <w:i/>
          <w:lang w:val="el-GR"/>
        </w:rPr>
        <w:t>/Τεστοστερόνη</w:t>
      </w:r>
    </w:p>
    <w:p w:rsidR="00DB0EA6" w:rsidRDefault="00DB0EA6" w:rsidP="00A067F0">
      <w:pPr>
        <w:ind w:right="-11"/>
        <w:jc w:val="both"/>
        <w:rPr>
          <w:rFonts w:ascii="Arial" w:hAnsi="Arial" w:cs="Arial"/>
          <w:lang w:val="el-GR"/>
        </w:rPr>
      </w:pP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επίδραση του </w:t>
      </w:r>
      <w:proofErr w:type="spellStart"/>
      <w:r w:rsidR="0009026D">
        <w:rPr>
          <w:rFonts w:ascii="Arial" w:hAnsi="Arial" w:cs="Arial"/>
        </w:rPr>
        <w:t>Duagen</w:t>
      </w:r>
      <w:proofErr w:type="spellEnd"/>
      <w:r w:rsidRPr="00AD0457">
        <w:rPr>
          <w:rFonts w:ascii="Arial" w:hAnsi="Arial" w:cs="Arial"/>
          <w:lang w:val="el-GR"/>
        </w:rPr>
        <w:t xml:space="preserve"> στα επίπεδα της </w:t>
      </w:r>
      <w:r w:rsidRPr="00AD0457">
        <w:rPr>
          <w:rFonts w:ascii="Arial" w:hAnsi="Arial" w:cs="Arial"/>
        </w:rPr>
        <w:t>DHT</w:t>
      </w:r>
      <w:r w:rsidRPr="00AD0457">
        <w:rPr>
          <w:rFonts w:ascii="Arial" w:hAnsi="Arial" w:cs="Arial"/>
          <w:lang w:val="el-GR"/>
        </w:rPr>
        <w:t xml:space="preserve"> είναι δοσοεξαρτώμενη και παρατηρείται εντός 1-2 εβδομάδων (85% και 90% μείωση αντίστοιχα).</w:t>
      </w:r>
    </w:p>
    <w:p w:rsidR="0050360A" w:rsidRDefault="0078689F" w:rsidP="00A067F0">
      <w:pPr>
        <w:ind w:right="-11"/>
        <w:jc w:val="both"/>
        <w:rPr>
          <w:rFonts w:ascii="Arial" w:hAnsi="Arial" w:cs="Arial"/>
          <w:lang w:val="el-GR"/>
        </w:rPr>
      </w:pPr>
      <w:r w:rsidRPr="00AD0457">
        <w:rPr>
          <w:rFonts w:ascii="Arial" w:hAnsi="Arial" w:cs="Arial"/>
          <w:lang w:val="el-GR"/>
        </w:rPr>
        <w:t xml:space="preserve">Σε ασθενείς με </w:t>
      </w:r>
      <w:r w:rsidR="002A790F" w:rsidRPr="00AD0457">
        <w:rPr>
          <w:rFonts w:ascii="Arial" w:hAnsi="Arial" w:cs="Arial"/>
          <w:lang w:val="el-GR"/>
        </w:rPr>
        <w:t>ΚΥΠ</w:t>
      </w:r>
      <w:r w:rsidRPr="00AD0457">
        <w:rPr>
          <w:rFonts w:ascii="Arial" w:hAnsi="Arial" w:cs="Arial"/>
          <w:lang w:val="el-GR"/>
        </w:rPr>
        <w:t xml:space="preserve"> που αντιμετωπίσθηκαν με </w:t>
      </w:r>
      <w:r w:rsidR="000F6CBD" w:rsidRPr="000F6CBD">
        <w:rPr>
          <w:rFonts w:ascii="Arial" w:hAnsi="Arial" w:cs="Arial"/>
          <w:lang w:val="el-GR"/>
        </w:rPr>
        <w:t>ντουταστερίδη</w:t>
      </w:r>
      <w:r w:rsidRPr="00AD0457">
        <w:rPr>
          <w:rFonts w:ascii="Arial" w:hAnsi="Arial" w:cs="Arial"/>
          <w:lang w:val="el-GR"/>
        </w:rPr>
        <w:t xml:space="preserve"> σε ημερήσια δόση 0.5 </w:t>
      </w:r>
      <w:r w:rsidRPr="00AD0457">
        <w:rPr>
          <w:rFonts w:ascii="Arial" w:hAnsi="Arial" w:cs="Arial"/>
        </w:rPr>
        <w:t>mg</w:t>
      </w:r>
      <w:r w:rsidRPr="00AD0457">
        <w:rPr>
          <w:rFonts w:ascii="Arial" w:hAnsi="Arial" w:cs="Arial"/>
          <w:lang w:val="el-GR"/>
        </w:rPr>
        <w:t xml:space="preserve">, η διάμεση μείωση της </w:t>
      </w:r>
      <w:r w:rsidRPr="00AD0457">
        <w:rPr>
          <w:rFonts w:ascii="Arial" w:hAnsi="Arial" w:cs="Arial"/>
        </w:rPr>
        <w:t>DHT</w:t>
      </w:r>
      <w:r w:rsidRPr="00AD0457">
        <w:rPr>
          <w:rFonts w:ascii="Arial" w:hAnsi="Arial" w:cs="Arial"/>
          <w:lang w:val="el-GR"/>
        </w:rPr>
        <w:t xml:space="preserve"> στον ορό ήταν 94% το πρώτο έτος και 93% το δεύτερο έτος και η διάμεση αύξηση της τεστοστερόνης στον ορό ήταν 19% τόσο το πρώτο όσο και το δεύτερο έτος. </w:t>
      </w:r>
    </w:p>
    <w:p w:rsidR="0050360A" w:rsidRPr="00AD0457" w:rsidRDefault="0050360A" w:rsidP="00A067F0">
      <w:pPr>
        <w:ind w:right="-11"/>
        <w:jc w:val="both"/>
        <w:rPr>
          <w:rFonts w:ascii="Arial" w:hAnsi="Arial" w:cs="Arial"/>
          <w:lang w:val="el-GR"/>
        </w:rPr>
      </w:pPr>
    </w:p>
    <w:p w:rsidR="00310F95" w:rsidRPr="00404459" w:rsidRDefault="00EB3B7D">
      <w:pPr>
        <w:ind w:right="-11"/>
        <w:jc w:val="both"/>
        <w:rPr>
          <w:rFonts w:ascii="Arial" w:hAnsi="Arial" w:cs="Arial"/>
          <w:b/>
          <w:lang w:val="el-GR"/>
        </w:rPr>
      </w:pPr>
      <w:r w:rsidRPr="00404459">
        <w:rPr>
          <w:rFonts w:ascii="Arial" w:hAnsi="Arial" w:cs="Arial"/>
          <w:lang w:val="el-GR"/>
        </w:rPr>
        <w:t>Επίδραση στον όγκο του προστάτη</w:t>
      </w:r>
    </w:p>
    <w:p w:rsidR="00310F95" w:rsidRPr="00404459" w:rsidRDefault="00EB3B7D">
      <w:pPr>
        <w:ind w:right="-11"/>
        <w:jc w:val="both"/>
        <w:rPr>
          <w:rFonts w:ascii="Arial" w:hAnsi="Arial" w:cs="Arial"/>
          <w:lang w:val="el-GR"/>
        </w:rPr>
      </w:pPr>
      <w:r w:rsidRPr="00EB3B7D">
        <w:rPr>
          <w:rFonts w:ascii="Arial" w:hAnsi="Arial" w:cs="Arial"/>
          <w:lang w:val="el-GR"/>
        </w:rPr>
        <w:t>Ουσιώδης ελάττωση του όγκου του προστάτη διαπιστώθηκε ακόμη και ένα μήνα από την έναρξη της αγωγής και η τάση αυτή διατηρείται ως τον Μήνα 24 (</w:t>
      </w:r>
      <w:r w:rsidRPr="00EB3B7D">
        <w:rPr>
          <w:rFonts w:ascii="Arial" w:hAnsi="Arial" w:cs="Arial"/>
        </w:rPr>
        <w:t>p</w:t>
      </w:r>
      <w:r w:rsidRPr="00EB3B7D">
        <w:rPr>
          <w:rFonts w:ascii="Arial" w:hAnsi="Arial" w:cs="Arial"/>
          <w:lang w:val="el-GR"/>
        </w:rPr>
        <w:t xml:space="preserve">&lt;0.001). </w:t>
      </w:r>
      <w:r w:rsidRPr="00404459">
        <w:rPr>
          <w:rFonts w:ascii="Arial" w:hAnsi="Arial" w:cs="Arial"/>
          <w:lang w:val="el-GR"/>
        </w:rPr>
        <w:t xml:space="preserve">Το  </w:t>
      </w:r>
      <w:proofErr w:type="spellStart"/>
      <w:r w:rsidRPr="00EB3B7D">
        <w:rPr>
          <w:rFonts w:ascii="Arial" w:hAnsi="Arial" w:cs="Arial"/>
        </w:rPr>
        <w:t>Duagen</w:t>
      </w:r>
      <w:proofErr w:type="spellEnd"/>
      <w:r w:rsidRPr="00404459">
        <w:rPr>
          <w:rFonts w:ascii="Arial" w:hAnsi="Arial" w:cs="Arial"/>
          <w:lang w:val="el-GR"/>
        </w:rPr>
        <w:t xml:space="preserve"> επέφερε μέση μείωση του προστατικού όγκου κατά 23.6% (από 54.9</w:t>
      </w:r>
      <w:r w:rsidRPr="00EB3B7D">
        <w:rPr>
          <w:rFonts w:ascii="Arial" w:hAnsi="Arial" w:cs="Arial"/>
        </w:rPr>
        <w:t>ml</w:t>
      </w:r>
      <w:r w:rsidRPr="00404459">
        <w:rPr>
          <w:rFonts w:ascii="Arial" w:hAnsi="Arial" w:cs="Arial"/>
          <w:lang w:val="el-GR"/>
        </w:rPr>
        <w:t xml:space="preserve"> προ της αγωγής σε 42.1</w:t>
      </w:r>
      <w:r w:rsidRPr="00EB3B7D">
        <w:rPr>
          <w:rFonts w:ascii="Arial" w:hAnsi="Arial" w:cs="Arial"/>
        </w:rPr>
        <w:t>ml</w:t>
      </w:r>
      <w:r w:rsidRPr="00404459">
        <w:rPr>
          <w:rFonts w:ascii="Arial" w:hAnsi="Arial" w:cs="Arial"/>
          <w:lang w:val="el-GR"/>
        </w:rPr>
        <w:t>) τον 12ο μήνα έναντι μέσης μείωσης 0.5% (από 54.0</w:t>
      </w:r>
      <w:r w:rsidRPr="00EB3B7D">
        <w:rPr>
          <w:rFonts w:ascii="Arial" w:hAnsi="Arial" w:cs="Arial"/>
        </w:rPr>
        <w:t>ml</w:t>
      </w:r>
      <w:r w:rsidRPr="00404459">
        <w:rPr>
          <w:rFonts w:ascii="Arial" w:hAnsi="Arial" w:cs="Arial"/>
          <w:lang w:val="el-GR"/>
        </w:rPr>
        <w:t xml:space="preserve"> σε 53.7</w:t>
      </w:r>
      <w:r w:rsidRPr="00EB3B7D">
        <w:rPr>
          <w:rFonts w:ascii="Arial" w:hAnsi="Arial" w:cs="Arial"/>
        </w:rPr>
        <w:t>ml</w:t>
      </w:r>
      <w:r w:rsidRPr="00404459">
        <w:rPr>
          <w:rFonts w:ascii="Arial" w:hAnsi="Arial" w:cs="Arial"/>
          <w:lang w:val="el-GR"/>
        </w:rPr>
        <w:t>) με εικονικό φάρμακο. Σημαντικές μειώσεις (</w:t>
      </w:r>
      <w:r w:rsidRPr="00EB3B7D">
        <w:rPr>
          <w:rFonts w:ascii="Arial" w:hAnsi="Arial" w:cs="Arial"/>
        </w:rPr>
        <w:t>p</w:t>
      </w:r>
      <w:r w:rsidRPr="00404459">
        <w:rPr>
          <w:rFonts w:ascii="Arial" w:hAnsi="Arial" w:cs="Arial"/>
          <w:lang w:val="el-GR"/>
        </w:rPr>
        <w:t>&lt;0.001) εμφανίσθηκαν επίσης στον όγκο της μεταβατικής ζώνης του προστάτη από τον πρώτο μήνα συνεχιζόμενες μέχρι τον μήνα 24, με μέση μείωση στον όγκο της μεταβατικής ζώνης του προστάτη 17.8% (από 26.8</w:t>
      </w:r>
      <w:r w:rsidRPr="00EB3B7D">
        <w:rPr>
          <w:rFonts w:ascii="Arial" w:hAnsi="Arial" w:cs="Arial"/>
        </w:rPr>
        <w:t>ml</w:t>
      </w:r>
      <w:r w:rsidRPr="00404459">
        <w:rPr>
          <w:rFonts w:ascii="Arial" w:hAnsi="Arial" w:cs="Arial"/>
          <w:lang w:val="el-GR"/>
        </w:rPr>
        <w:t xml:space="preserve"> αρχικά σε 21.4</w:t>
      </w:r>
      <w:r w:rsidRPr="00EB3B7D">
        <w:rPr>
          <w:rFonts w:ascii="Arial" w:hAnsi="Arial" w:cs="Arial"/>
        </w:rPr>
        <w:t>ml</w:t>
      </w:r>
      <w:r w:rsidRPr="00404459">
        <w:rPr>
          <w:rFonts w:ascii="Arial" w:hAnsi="Arial" w:cs="Arial"/>
          <w:lang w:val="el-GR"/>
        </w:rPr>
        <w:t xml:space="preserve">) στην ομάδα του </w:t>
      </w:r>
      <w:proofErr w:type="spellStart"/>
      <w:r w:rsidRPr="00EB3B7D">
        <w:rPr>
          <w:rFonts w:ascii="Arial" w:hAnsi="Arial" w:cs="Arial"/>
        </w:rPr>
        <w:t>Duagen</w:t>
      </w:r>
      <w:proofErr w:type="spellEnd"/>
      <w:r w:rsidRPr="00404459">
        <w:rPr>
          <w:rFonts w:ascii="Arial" w:hAnsi="Arial" w:cs="Arial"/>
          <w:lang w:val="el-GR"/>
        </w:rPr>
        <w:t xml:space="preserve"> συγκριτικά με μέση αύξηση 7.9% (από 26.8</w:t>
      </w:r>
      <w:r w:rsidRPr="00EB3B7D">
        <w:rPr>
          <w:rFonts w:ascii="Arial" w:hAnsi="Arial" w:cs="Arial"/>
        </w:rPr>
        <w:t>ml</w:t>
      </w:r>
      <w:r w:rsidRPr="00404459">
        <w:rPr>
          <w:rFonts w:ascii="Arial" w:hAnsi="Arial" w:cs="Arial"/>
          <w:lang w:val="el-GR"/>
        </w:rPr>
        <w:t xml:space="preserve"> σε 27.5</w:t>
      </w:r>
      <w:r w:rsidRPr="00EB3B7D">
        <w:rPr>
          <w:rFonts w:ascii="Arial" w:hAnsi="Arial" w:cs="Arial"/>
        </w:rPr>
        <w:t>ml</w:t>
      </w:r>
      <w:r w:rsidRPr="00404459">
        <w:rPr>
          <w:rFonts w:ascii="Arial" w:hAnsi="Arial" w:cs="Arial"/>
          <w:lang w:val="el-GR"/>
        </w:rPr>
        <w:t>) στην ομάδα του εικονικού φαρμάκου τον 12</w:t>
      </w:r>
      <w:r w:rsidRPr="00EB3B7D">
        <w:rPr>
          <w:rFonts w:ascii="Arial" w:hAnsi="Arial" w:cs="Arial"/>
          <w:vertAlign w:val="superscript"/>
        </w:rPr>
        <w:t>o</w:t>
      </w:r>
      <w:r w:rsidRPr="00404459">
        <w:rPr>
          <w:rFonts w:ascii="Arial" w:hAnsi="Arial" w:cs="Arial"/>
          <w:lang w:val="el-GR"/>
        </w:rPr>
        <w:t xml:space="preserve"> μήνα. Η μείωση που παρατηρήθηκε στον όγκο του προστάτη κατά τη διάρκεια των πρώτων 2 ετών διπλής τυφλής θεραπείας, διατηρήθηκε για 2 επιπλέον έτη με τη συνέχιση ανοικτού τύπου μελετών. Μείωση του μεγέθους του προστάτη οδηγεί σε βελτίωση των συμπτωμάτων και μείωση του κινδύνου για οξεία κατακράτηση ούρων (</w:t>
      </w:r>
      <w:r w:rsidRPr="00EB3B7D">
        <w:rPr>
          <w:rFonts w:ascii="Arial" w:hAnsi="Arial" w:cs="Arial"/>
        </w:rPr>
        <w:t>AUR</w:t>
      </w:r>
      <w:r w:rsidRPr="00404459">
        <w:rPr>
          <w:rFonts w:ascii="Arial" w:hAnsi="Arial" w:cs="Arial"/>
          <w:lang w:val="el-GR"/>
        </w:rPr>
        <w:t>) και της ανάγκης χειρουργικής επέμβασης σχετιζόμενης με ΚΥΠ.</w:t>
      </w:r>
    </w:p>
    <w:p w:rsidR="00310F95" w:rsidRPr="00404459" w:rsidRDefault="00310F95">
      <w:pPr>
        <w:ind w:right="-11"/>
        <w:jc w:val="both"/>
        <w:rPr>
          <w:rFonts w:ascii="Arial" w:hAnsi="Arial" w:cs="Arial"/>
          <w:b/>
          <w:lang w:val="el-GR"/>
        </w:rPr>
      </w:pPr>
    </w:p>
    <w:p w:rsidR="00310F95" w:rsidRPr="00404459" w:rsidRDefault="00EB3B7D">
      <w:pPr>
        <w:ind w:right="-11"/>
        <w:jc w:val="both"/>
        <w:rPr>
          <w:rFonts w:ascii="Arial" w:hAnsi="Arial" w:cs="Arial"/>
          <w:lang w:val="el-GR"/>
        </w:rPr>
      </w:pPr>
      <w:r w:rsidRPr="00EB3B7D">
        <w:rPr>
          <w:rFonts w:ascii="Arial" w:hAnsi="Arial" w:cs="Arial"/>
          <w:lang w:val="el-GR"/>
        </w:rPr>
        <w:t>ΚΛΙΝΙΚΕΣ ΜΕΛΕΤΕΣ</w:t>
      </w:r>
    </w:p>
    <w:p w:rsidR="00310F95" w:rsidRDefault="00EB3B7D">
      <w:pPr>
        <w:ind w:right="-11"/>
        <w:jc w:val="both"/>
        <w:rPr>
          <w:rFonts w:ascii="Arial" w:hAnsi="Arial" w:cs="Arial"/>
          <w:highlight w:val="yellow"/>
          <w:lang w:val="el-GR"/>
        </w:rPr>
      </w:pPr>
      <w:r w:rsidRPr="00EB3B7D">
        <w:rPr>
          <w:rFonts w:ascii="Arial" w:hAnsi="Arial" w:cs="Arial"/>
          <w:lang w:val="el-GR"/>
        </w:rPr>
        <w:t xml:space="preserve">Η χρήση του </w:t>
      </w:r>
      <w:proofErr w:type="spellStart"/>
      <w:r w:rsidRPr="00EB3B7D">
        <w:rPr>
          <w:rFonts w:ascii="Arial" w:hAnsi="Arial" w:cs="Arial"/>
        </w:rPr>
        <w:t>Duagen</w:t>
      </w:r>
      <w:proofErr w:type="spellEnd"/>
      <w:r w:rsidRPr="00EB3B7D">
        <w:rPr>
          <w:rFonts w:ascii="Arial" w:hAnsi="Arial" w:cs="Arial"/>
          <w:lang w:val="el-GR"/>
        </w:rPr>
        <w:t xml:space="preserve"> (0.5 </w:t>
      </w:r>
      <w:r w:rsidRPr="00EB3B7D">
        <w:rPr>
          <w:rFonts w:ascii="Arial" w:hAnsi="Arial" w:cs="Arial"/>
        </w:rPr>
        <w:t>mg</w:t>
      </w:r>
      <w:r w:rsidRPr="00EB3B7D">
        <w:rPr>
          <w:rFonts w:ascii="Arial" w:hAnsi="Arial" w:cs="Arial"/>
          <w:lang w:val="el-GR"/>
        </w:rPr>
        <w:t xml:space="preserve">/ημέρα) ή εικονικού φαρμάκου μελετήθηκαν σε 4325 άνδρες με μέτρια έως σοβαρά συμπτώματα καλοήθους </w:t>
      </w:r>
      <w:r w:rsidRPr="00EB3B7D">
        <w:rPr>
          <w:rFonts w:ascii="Arial" w:hAnsi="Arial" w:cs="Arial"/>
          <w:snapToGrid w:val="0"/>
          <w:lang w:val="el-GR"/>
        </w:rPr>
        <w:t xml:space="preserve">υπερπλασίας του προστάτου, </w:t>
      </w:r>
      <w:r w:rsidRPr="00EB3B7D">
        <w:rPr>
          <w:rFonts w:ascii="Arial" w:hAnsi="Arial" w:cs="Arial"/>
          <w:lang w:val="el-GR"/>
        </w:rPr>
        <w:t xml:space="preserve">οι οποίοι είχαν προστάτη </w:t>
      </w:r>
      <w:r w:rsidRPr="00EB3B7D">
        <w:rPr>
          <w:rFonts w:ascii="Arial" w:hAnsi="Arial" w:cs="Arial"/>
        </w:rPr>
        <w:sym w:font="Symbol" w:char="F0B3"/>
      </w:r>
      <w:r w:rsidRPr="00EB3B7D">
        <w:rPr>
          <w:rFonts w:ascii="Arial" w:hAnsi="Arial" w:cs="Arial"/>
          <w:lang w:val="el-GR"/>
        </w:rPr>
        <w:t xml:space="preserve">30 </w:t>
      </w:r>
      <w:r w:rsidRPr="00EB3B7D">
        <w:rPr>
          <w:rFonts w:ascii="Arial" w:hAnsi="Arial" w:cs="Arial"/>
        </w:rPr>
        <w:t>ml</w:t>
      </w:r>
      <w:r w:rsidRPr="00EB3B7D">
        <w:rPr>
          <w:rFonts w:ascii="Arial" w:hAnsi="Arial" w:cs="Arial"/>
          <w:lang w:val="el-GR"/>
        </w:rPr>
        <w:t xml:space="preserve"> και τιμή </w:t>
      </w:r>
      <w:r w:rsidRPr="00EB3B7D">
        <w:rPr>
          <w:rFonts w:ascii="Arial" w:hAnsi="Arial" w:cs="Arial"/>
        </w:rPr>
        <w:t>PSA</w:t>
      </w:r>
      <w:r w:rsidRPr="00EB3B7D">
        <w:rPr>
          <w:rFonts w:ascii="Arial" w:hAnsi="Arial" w:cs="Arial"/>
          <w:lang w:val="el-GR"/>
        </w:rPr>
        <w:t xml:space="preserve"> εντός του ορίου των 1.5 - 10 </w:t>
      </w:r>
      <w:proofErr w:type="spellStart"/>
      <w:r w:rsidRPr="00EB3B7D">
        <w:rPr>
          <w:rFonts w:ascii="Arial" w:hAnsi="Arial" w:cs="Arial"/>
        </w:rPr>
        <w:t>ng</w:t>
      </w:r>
      <w:proofErr w:type="spellEnd"/>
      <w:r w:rsidRPr="00EB3B7D">
        <w:rPr>
          <w:rFonts w:ascii="Arial" w:hAnsi="Arial" w:cs="Arial"/>
          <w:lang w:val="el-GR"/>
        </w:rPr>
        <w:t>/</w:t>
      </w:r>
      <w:r w:rsidRPr="00EB3B7D">
        <w:rPr>
          <w:rFonts w:ascii="Arial" w:hAnsi="Arial" w:cs="Arial"/>
        </w:rPr>
        <w:t>ml</w:t>
      </w:r>
      <w:r w:rsidRPr="00EB3B7D">
        <w:rPr>
          <w:rFonts w:ascii="Arial" w:hAnsi="Arial" w:cs="Arial"/>
          <w:lang w:val="el-GR"/>
        </w:rPr>
        <w:t xml:space="preserve"> σε τρεις πολυεθνικές, ελεγχόμενες με εικονικό φάρμακο, διπλές τυφλές μελέτες αποτελεσματικότητας, διάρκειας 2 ετών. Οι μελέτες συνεχίστηκαν ως ανοικτού τύπου έως τα 4 έτη με όλους τους ασθενείς που παρέμειναν στη μελέτη να λαμβάνουν ντουταστερίδη στην ίδια δόση 0.5 </w:t>
      </w:r>
      <w:r w:rsidRPr="00EB3B7D">
        <w:rPr>
          <w:rFonts w:ascii="Arial" w:hAnsi="Arial" w:cs="Arial"/>
        </w:rPr>
        <w:t>mg</w:t>
      </w:r>
      <w:r w:rsidRPr="00EB3B7D">
        <w:rPr>
          <w:rFonts w:ascii="Arial" w:hAnsi="Arial" w:cs="Arial"/>
          <w:lang w:val="el-GR"/>
        </w:rPr>
        <w:t xml:space="preserve"> 37% των ασθενών αρχικά τυχαιοποιημένων σε εικονικό φάρμακο και 40 % των ασθενών τυχαιοποιημένων σε ντουταστερίδη παρέμειναν στη μελέτη στα 4 έτη. Η πλειονότητα (71%) των 2340 ατόμων στην ανοικτού τύπου μελέτη συμπλήρωσε τα επιπλέον 2 έτη της ανοικτής θεραπείας.</w:t>
      </w:r>
    </w:p>
    <w:p w:rsidR="00C33E72" w:rsidRDefault="00C33E72" w:rsidP="00A067F0">
      <w:pPr>
        <w:pStyle w:val="2"/>
        <w:ind w:right="-11"/>
        <w:jc w:val="both"/>
        <w:rPr>
          <w:rFonts w:ascii="Arial" w:hAnsi="Arial" w:cs="Arial"/>
          <w:b w:val="0"/>
        </w:rPr>
      </w:pPr>
    </w:p>
    <w:p w:rsidR="00A775B4" w:rsidRPr="00A775B4" w:rsidRDefault="00A775B4" w:rsidP="00A775B4">
      <w:pPr>
        <w:rPr>
          <w:lang w:val="el-GR"/>
        </w:rPr>
      </w:pPr>
    </w:p>
    <w:p w:rsidR="00310F95" w:rsidRDefault="0078689F">
      <w:pPr>
        <w:pStyle w:val="2"/>
        <w:ind w:right="-11"/>
        <w:jc w:val="both"/>
      </w:pPr>
      <w:r w:rsidRPr="00AD0457">
        <w:rPr>
          <w:rFonts w:ascii="Arial" w:hAnsi="Arial" w:cs="Arial"/>
          <w:b w:val="0"/>
        </w:rPr>
        <w:t>Οι πιο σημαντικοί παράμετροι κλινικής αποτελεσματικότητας ήταν ο δείκτης συμπτωμάτων της Αμερικανικής Ουρολογικής Εταιρείας  (</w:t>
      </w:r>
      <w:r w:rsidRPr="00AD0457">
        <w:rPr>
          <w:rFonts w:ascii="Arial" w:hAnsi="Arial" w:cs="Arial"/>
          <w:b w:val="0"/>
          <w:lang w:val="en-US"/>
        </w:rPr>
        <w:t>AUA</w:t>
      </w:r>
      <w:r w:rsidRPr="00AD0457">
        <w:rPr>
          <w:rFonts w:ascii="Arial" w:hAnsi="Arial" w:cs="Arial"/>
          <w:b w:val="0"/>
        </w:rPr>
        <w:t>-</w:t>
      </w:r>
      <w:r w:rsidRPr="00AD0457">
        <w:rPr>
          <w:rFonts w:ascii="Arial" w:hAnsi="Arial" w:cs="Arial"/>
          <w:b w:val="0"/>
          <w:lang w:val="en-US"/>
        </w:rPr>
        <w:t>SI</w:t>
      </w:r>
      <w:r w:rsidRPr="00AD0457">
        <w:rPr>
          <w:rFonts w:ascii="Arial" w:hAnsi="Arial" w:cs="Arial"/>
          <w:b w:val="0"/>
        </w:rPr>
        <w:t>), η μέγιστη ροή ούρων (</w:t>
      </w:r>
      <w:proofErr w:type="spellStart"/>
      <w:r w:rsidRPr="00AD0457">
        <w:rPr>
          <w:rFonts w:ascii="Arial" w:hAnsi="Arial" w:cs="Arial"/>
          <w:b w:val="0"/>
          <w:lang w:val="en-US"/>
        </w:rPr>
        <w:t>Qmax</w:t>
      </w:r>
      <w:proofErr w:type="spellEnd"/>
      <w:r w:rsidRPr="00AD0457">
        <w:rPr>
          <w:rFonts w:ascii="Arial" w:hAnsi="Arial" w:cs="Arial"/>
          <w:b w:val="0"/>
        </w:rPr>
        <w:t>) και η συχνότητα οξείας κατακράτησης ούρων και οι χειρουργικές επεμβάσεις σχετιζόμενες με ΚΥΠ.</w:t>
      </w:r>
    </w:p>
    <w:p w:rsidR="0078689F" w:rsidRPr="00C33E72" w:rsidRDefault="0078689F" w:rsidP="00A067F0">
      <w:pPr>
        <w:pStyle w:val="listssp"/>
        <w:ind w:right="-11"/>
        <w:jc w:val="both"/>
        <w:rPr>
          <w:rFonts w:ascii="Arial" w:hAnsi="Arial" w:cs="Arial"/>
          <w:sz w:val="22"/>
          <w:lang w:val="el-GR"/>
        </w:rPr>
      </w:pPr>
      <w:r w:rsidRPr="00AD0457">
        <w:rPr>
          <w:rFonts w:ascii="Arial" w:hAnsi="Arial" w:cs="Arial"/>
          <w:sz w:val="22"/>
          <w:lang w:val="el-GR"/>
        </w:rPr>
        <w:t xml:space="preserve">Το </w:t>
      </w:r>
      <w:r w:rsidRPr="00AD0457">
        <w:rPr>
          <w:rFonts w:ascii="Arial" w:hAnsi="Arial" w:cs="Arial"/>
          <w:sz w:val="22"/>
          <w:lang w:val="en-US"/>
        </w:rPr>
        <w:t>AUA</w:t>
      </w:r>
      <w:r w:rsidRPr="00AD0457">
        <w:rPr>
          <w:rFonts w:ascii="Arial" w:hAnsi="Arial" w:cs="Arial"/>
          <w:sz w:val="22"/>
          <w:lang w:val="el-GR"/>
        </w:rPr>
        <w:t>-</w:t>
      </w:r>
      <w:r w:rsidRPr="00AD0457">
        <w:rPr>
          <w:rFonts w:ascii="Arial" w:hAnsi="Arial" w:cs="Arial"/>
          <w:sz w:val="22"/>
          <w:lang w:val="en-US"/>
        </w:rPr>
        <w:t>SI</w:t>
      </w:r>
      <w:r w:rsidRPr="00AD0457">
        <w:rPr>
          <w:rFonts w:ascii="Arial" w:hAnsi="Arial" w:cs="Arial"/>
          <w:sz w:val="22"/>
          <w:lang w:val="el-GR"/>
        </w:rPr>
        <w:t xml:space="preserve"> είναι ένα ερωτηματολόγιο επτά σημείων σχετικά με τα συμ</w:t>
      </w:r>
      <w:r w:rsidR="003152EA" w:rsidRPr="00AD0457">
        <w:rPr>
          <w:rFonts w:ascii="Arial" w:hAnsi="Arial" w:cs="Arial"/>
          <w:sz w:val="22"/>
          <w:lang w:val="el-GR"/>
        </w:rPr>
        <w:t>π</w:t>
      </w:r>
      <w:r w:rsidRPr="00AD0457">
        <w:rPr>
          <w:rFonts w:ascii="Arial" w:hAnsi="Arial" w:cs="Arial"/>
          <w:sz w:val="22"/>
          <w:lang w:val="el-GR"/>
        </w:rPr>
        <w:t xml:space="preserve">τώματα που σχετίζονται με </w:t>
      </w:r>
      <w:r w:rsidRPr="00AD0457">
        <w:rPr>
          <w:rFonts w:ascii="Arial" w:hAnsi="Arial" w:cs="Arial"/>
          <w:sz w:val="22"/>
          <w:lang w:val="en-US"/>
        </w:rPr>
        <w:t>BPH</w:t>
      </w:r>
      <w:r w:rsidRPr="00AD0457">
        <w:rPr>
          <w:rFonts w:ascii="Arial" w:hAnsi="Arial" w:cs="Arial"/>
          <w:sz w:val="22"/>
          <w:lang w:val="el-GR"/>
        </w:rPr>
        <w:t xml:space="preserve"> με μέγιστη βαθμολογία 35. Στην αρχή των μελετών η μέση βαθμολογία ήταν περίπου 17. Μετά από έξι μήνες, ένα και δύο </w:t>
      </w:r>
      <w:r w:rsidR="00C33E72">
        <w:rPr>
          <w:rFonts w:ascii="Arial" w:hAnsi="Arial" w:cs="Arial"/>
          <w:sz w:val="22"/>
          <w:lang w:val="el-GR"/>
        </w:rPr>
        <w:t>έτη</w:t>
      </w:r>
      <w:r w:rsidRPr="00AD0457">
        <w:rPr>
          <w:rFonts w:ascii="Arial" w:hAnsi="Arial" w:cs="Arial"/>
          <w:sz w:val="22"/>
          <w:lang w:val="el-GR"/>
        </w:rPr>
        <w:t xml:space="preserve"> θεραπείας</w:t>
      </w:r>
      <w:r w:rsidR="00C33E72">
        <w:rPr>
          <w:rFonts w:ascii="Arial" w:hAnsi="Arial" w:cs="Arial"/>
          <w:sz w:val="22"/>
          <w:lang w:val="el-GR"/>
        </w:rPr>
        <w:t>,</w:t>
      </w:r>
      <w:r w:rsidRPr="00AD0457">
        <w:rPr>
          <w:rFonts w:ascii="Arial" w:hAnsi="Arial" w:cs="Arial"/>
          <w:sz w:val="22"/>
          <w:lang w:val="el-GR"/>
        </w:rPr>
        <w:t xml:space="preserve"> η ομάδα του εικονικού φαρμάκου είχε μία μέση βελτίωση 2.5, 2.5 και 2.3 βαθμών αντίστοιχα, ενώ η ομάδα του </w:t>
      </w:r>
      <w:proofErr w:type="spellStart"/>
      <w:r w:rsidR="0009026D">
        <w:rPr>
          <w:rFonts w:ascii="Arial" w:hAnsi="Arial" w:cs="Arial"/>
          <w:sz w:val="22"/>
          <w:lang w:val="en-US"/>
        </w:rPr>
        <w:t>Duagen</w:t>
      </w:r>
      <w:proofErr w:type="spellEnd"/>
      <w:r w:rsidRPr="00AD0457">
        <w:rPr>
          <w:rFonts w:ascii="Arial" w:hAnsi="Arial" w:cs="Arial"/>
          <w:sz w:val="22"/>
          <w:lang w:val="el-GR"/>
        </w:rPr>
        <w:t xml:space="preserve"> βελτιώθηκε 3.2, 3.8 και 4.5 βαθμούς αντίστοιχα. Οι διαφορές μεταξύ των δύο ομάδων ήταν στατιστικά σημαντικές.</w:t>
      </w:r>
      <w:r w:rsidR="00C33E72">
        <w:rPr>
          <w:rFonts w:ascii="Arial" w:hAnsi="Arial" w:cs="Arial"/>
          <w:sz w:val="22"/>
          <w:lang w:val="el-GR"/>
        </w:rPr>
        <w:t xml:space="preserve"> Η βελτίωση του </w:t>
      </w:r>
      <w:r w:rsidR="00C33E72" w:rsidRPr="00AD0457">
        <w:rPr>
          <w:rFonts w:ascii="Arial" w:hAnsi="Arial" w:cs="Arial"/>
          <w:sz w:val="22"/>
          <w:lang w:val="en-US"/>
        </w:rPr>
        <w:t>AUA</w:t>
      </w:r>
      <w:r w:rsidR="00C33E72" w:rsidRPr="00AD0457">
        <w:rPr>
          <w:rFonts w:ascii="Arial" w:hAnsi="Arial" w:cs="Arial"/>
          <w:sz w:val="22"/>
          <w:lang w:val="el-GR"/>
        </w:rPr>
        <w:t>-</w:t>
      </w:r>
      <w:r w:rsidR="00C33E72" w:rsidRPr="00AD0457">
        <w:rPr>
          <w:rFonts w:ascii="Arial" w:hAnsi="Arial" w:cs="Arial"/>
          <w:sz w:val="22"/>
          <w:lang w:val="en-US"/>
        </w:rPr>
        <w:t>SI</w:t>
      </w:r>
      <w:r w:rsidR="00C33E72">
        <w:rPr>
          <w:rFonts w:ascii="Arial" w:hAnsi="Arial" w:cs="Arial"/>
          <w:sz w:val="22"/>
          <w:lang w:val="el-GR"/>
        </w:rPr>
        <w:t xml:space="preserve">, που παρατηρήθηκε κατά τη διάρκεια των πρώτων 2 ετών της διπλής τυφλής θεραπείας, διατηρήθηκε για 2 επιπλέον έτη με τη συνέχιση ανοικτού τύπου μελετών. </w:t>
      </w:r>
    </w:p>
    <w:p w:rsidR="0078689F" w:rsidRPr="00AD0457" w:rsidRDefault="0078689F" w:rsidP="00A067F0">
      <w:pPr>
        <w:pStyle w:val="listssp"/>
        <w:ind w:right="-11"/>
        <w:jc w:val="both"/>
        <w:rPr>
          <w:rFonts w:ascii="Arial" w:hAnsi="Arial" w:cs="Arial"/>
          <w:sz w:val="22"/>
          <w:lang w:val="el-GR"/>
        </w:rPr>
      </w:pPr>
    </w:p>
    <w:p w:rsidR="0078689F" w:rsidRPr="00404459" w:rsidRDefault="0078689F" w:rsidP="00A067F0">
      <w:pPr>
        <w:ind w:right="-11"/>
        <w:jc w:val="both"/>
        <w:rPr>
          <w:rFonts w:ascii="Arial" w:hAnsi="Arial" w:cs="Arial"/>
          <w:b/>
          <w:i/>
          <w:lang w:val="el-GR"/>
        </w:rPr>
      </w:pPr>
      <w:proofErr w:type="spellStart"/>
      <w:r w:rsidRPr="00AD0457">
        <w:rPr>
          <w:rFonts w:ascii="Arial" w:hAnsi="Arial" w:cs="Arial"/>
          <w:b/>
          <w:i/>
        </w:rPr>
        <w:t>Qmax</w:t>
      </w:r>
      <w:proofErr w:type="spellEnd"/>
      <w:r w:rsidRPr="00AD0457">
        <w:rPr>
          <w:rFonts w:ascii="Arial" w:hAnsi="Arial" w:cs="Arial"/>
          <w:b/>
          <w:i/>
          <w:lang w:val="el-GR"/>
        </w:rPr>
        <w:t xml:space="preserve"> (Μέγιστη ροή ούρων)</w:t>
      </w:r>
      <w:r w:rsidR="00D1745E" w:rsidRPr="00404459">
        <w:rPr>
          <w:rFonts w:ascii="Arial" w:hAnsi="Arial" w:cs="Arial"/>
          <w:b/>
          <w:i/>
          <w:lang w:val="el-GR"/>
        </w:rPr>
        <w:t>:</w:t>
      </w:r>
    </w:p>
    <w:p w:rsidR="0078689F" w:rsidRPr="00AD0457" w:rsidRDefault="0078689F" w:rsidP="00A067F0">
      <w:pPr>
        <w:pStyle w:val="listssp"/>
        <w:ind w:right="-11"/>
        <w:jc w:val="both"/>
        <w:rPr>
          <w:rFonts w:ascii="Arial" w:hAnsi="Arial" w:cs="Arial"/>
          <w:sz w:val="22"/>
          <w:lang w:val="el-GR"/>
        </w:rPr>
      </w:pPr>
      <w:r w:rsidRPr="00AD0457">
        <w:rPr>
          <w:rFonts w:ascii="Arial" w:hAnsi="Arial" w:cs="Arial"/>
          <w:sz w:val="22"/>
          <w:lang w:val="el-GR"/>
        </w:rPr>
        <w:t xml:space="preserve">Η μέση βασική τιμή </w:t>
      </w:r>
      <w:proofErr w:type="spellStart"/>
      <w:r w:rsidRPr="00AD0457">
        <w:rPr>
          <w:rFonts w:ascii="Arial" w:hAnsi="Arial" w:cs="Arial"/>
          <w:sz w:val="22"/>
        </w:rPr>
        <w:t>Qmax</w:t>
      </w:r>
      <w:proofErr w:type="spellEnd"/>
      <w:r w:rsidRPr="00AD0457">
        <w:rPr>
          <w:rFonts w:ascii="Arial" w:hAnsi="Arial" w:cs="Arial"/>
          <w:sz w:val="22"/>
          <w:lang w:val="el-GR"/>
        </w:rPr>
        <w:t xml:space="preserve"> για τις μελέτες ήταν περίπου 10 </w:t>
      </w:r>
      <w:r w:rsidRPr="00AD0457">
        <w:rPr>
          <w:rFonts w:ascii="Arial" w:hAnsi="Arial" w:cs="Arial"/>
          <w:sz w:val="22"/>
        </w:rPr>
        <w:t>ml</w:t>
      </w:r>
      <w:r w:rsidRPr="00AD0457">
        <w:rPr>
          <w:rFonts w:ascii="Arial" w:hAnsi="Arial" w:cs="Arial"/>
          <w:sz w:val="22"/>
          <w:lang w:val="el-GR"/>
        </w:rPr>
        <w:t>/</w:t>
      </w:r>
      <w:r w:rsidRPr="00AD0457">
        <w:rPr>
          <w:rFonts w:ascii="Arial" w:hAnsi="Arial" w:cs="Arial"/>
          <w:sz w:val="22"/>
        </w:rPr>
        <w:t>sec</w:t>
      </w:r>
      <w:r w:rsidRPr="00AD0457">
        <w:rPr>
          <w:rFonts w:ascii="Arial" w:hAnsi="Arial" w:cs="Arial"/>
          <w:sz w:val="22"/>
          <w:lang w:val="el-GR"/>
        </w:rPr>
        <w:t xml:space="preserve"> (φυσιολογική </w:t>
      </w:r>
      <w:proofErr w:type="spellStart"/>
      <w:r w:rsidRPr="00AD0457">
        <w:rPr>
          <w:rFonts w:ascii="Arial" w:hAnsi="Arial" w:cs="Arial"/>
          <w:sz w:val="22"/>
        </w:rPr>
        <w:t>Qmax</w:t>
      </w:r>
      <w:proofErr w:type="spellEnd"/>
      <w:r w:rsidRPr="00AD0457">
        <w:rPr>
          <w:rFonts w:ascii="Arial" w:hAnsi="Arial" w:cs="Arial"/>
          <w:sz w:val="22"/>
          <w:lang w:val="el-GR"/>
        </w:rPr>
        <w:t xml:space="preserve"> </w:t>
      </w:r>
      <w:r w:rsidRPr="00AD0457">
        <w:rPr>
          <w:rFonts w:ascii="Arial" w:hAnsi="Arial" w:cs="Arial"/>
          <w:sz w:val="22"/>
        </w:rPr>
        <w:sym w:font="Symbol" w:char="F0B3"/>
      </w:r>
      <w:r w:rsidRPr="00AD0457">
        <w:rPr>
          <w:rFonts w:ascii="Arial" w:hAnsi="Arial" w:cs="Arial"/>
          <w:sz w:val="22"/>
          <w:lang w:val="el-GR"/>
        </w:rPr>
        <w:t xml:space="preserve">15 </w:t>
      </w:r>
      <w:r w:rsidRPr="00AD0457">
        <w:rPr>
          <w:rFonts w:ascii="Arial" w:hAnsi="Arial" w:cs="Arial"/>
          <w:sz w:val="22"/>
        </w:rPr>
        <w:t>ml</w:t>
      </w:r>
      <w:r w:rsidRPr="00AD0457">
        <w:rPr>
          <w:rFonts w:ascii="Arial" w:hAnsi="Arial" w:cs="Arial"/>
          <w:sz w:val="22"/>
          <w:lang w:val="el-GR"/>
        </w:rPr>
        <w:t>/</w:t>
      </w:r>
      <w:r w:rsidRPr="00AD0457">
        <w:rPr>
          <w:rFonts w:ascii="Arial" w:hAnsi="Arial" w:cs="Arial"/>
          <w:sz w:val="22"/>
        </w:rPr>
        <w:t>sec</w:t>
      </w:r>
      <w:r w:rsidRPr="00AD0457">
        <w:rPr>
          <w:rFonts w:ascii="Arial" w:hAnsi="Arial" w:cs="Arial"/>
          <w:sz w:val="22"/>
          <w:lang w:val="el-GR"/>
        </w:rPr>
        <w:t xml:space="preserve">). Μετά </w:t>
      </w:r>
      <w:r w:rsidR="00D1745E">
        <w:rPr>
          <w:rFonts w:ascii="Arial" w:hAnsi="Arial" w:cs="Arial"/>
          <w:sz w:val="22"/>
          <w:lang w:val="el-GR"/>
        </w:rPr>
        <w:t xml:space="preserve">από </w:t>
      </w:r>
      <w:r w:rsidRPr="00AD0457">
        <w:rPr>
          <w:rFonts w:ascii="Arial" w:hAnsi="Arial" w:cs="Arial"/>
          <w:sz w:val="22"/>
          <w:lang w:val="el-GR"/>
        </w:rPr>
        <w:t xml:space="preserve">ένα και δύο </w:t>
      </w:r>
      <w:r w:rsidR="00187748">
        <w:rPr>
          <w:rFonts w:ascii="Arial" w:hAnsi="Arial" w:cs="Arial"/>
          <w:sz w:val="22"/>
          <w:lang w:val="el-GR"/>
        </w:rPr>
        <w:t>έτη</w:t>
      </w:r>
      <w:r w:rsidRPr="00AD0457">
        <w:rPr>
          <w:rFonts w:ascii="Arial" w:hAnsi="Arial" w:cs="Arial"/>
          <w:sz w:val="22"/>
          <w:lang w:val="el-GR"/>
        </w:rPr>
        <w:t xml:space="preserve"> θεραπείας η ροή στην ομάδα του εικονικού φαρμάκου βελτιώθηκε κατά  0.8 και 0.9 </w:t>
      </w:r>
      <w:r w:rsidRPr="00AD0457">
        <w:rPr>
          <w:rFonts w:ascii="Arial" w:hAnsi="Arial" w:cs="Arial"/>
          <w:sz w:val="22"/>
        </w:rPr>
        <w:t>ml</w:t>
      </w:r>
      <w:r w:rsidRPr="00AD0457">
        <w:rPr>
          <w:rFonts w:ascii="Arial" w:hAnsi="Arial" w:cs="Arial"/>
          <w:sz w:val="22"/>
          <w:lang w:val="el-GR"/>
        </w:rPr>
        <w:t>/</w:t>
      </w:r>
      <w:r w:rsidRPr="00AD0457">
        <w:rPr>
          <w:rFonts w:ascii="Arial" w:hAnsi="Arial" w:cs="Arial"/>
          <w:sz w:val="22"/>
        </w:rPr>
        <w:t>sec</w:t>
      </w:r>
      <w:r w:rsidRPr="00AD0457">
        <w:rPr>
          <w:rFonts w:ascii="Arial" w:hAnsi="Arial" w:cs="Arial"/>
          <w:sz w:val="22"/>
          <w:lang w:val="el-GR"/>
        </w:rPr>
        <w:t xml:space="preserve"> αντίστοιχα και 1.7 και 2.0 </w:t>
      </w:r>
      <w:r w:rsidRPr="00AD0457">
        <w:rPr>
          <w:rFonts w:ascii="Arial" w:hAnsi="Arial" w:cs="Arial"/>
          <w:sz w:val="22"/>
        </w:rPr>
        <w:t>ml</w:t>
      </w:r>
      <w:r w:rsidRPr="00AD0457">
        <w:rPr>
          <w:rFonts w:ascii="Arial" w:hAnsi="Arial" w:cs="Arial"/>
          <w:sz w:val="22"/>
          <w:lang w:val="el-GR"/>
        </w:rPr>
        <w:t>/</w:t>
      </w:r>
      <w:r w:rsidRPr="00AD0457">
        <w:rPr>
          <w:rFonts w:ascii="Arial" w:hAnsi="Arial" w:cs="Arial"/>
          <w:sz w:val="22"/>
        </w:rPr>
        <w:t>sec</w:t>
      </w:r>
      <w:r w:rsidRPr="00AD0457">
        <w:rPr>
          <w:rFonts w:ascii="Arial" w:hAnsi="Arial" w:cs="Arial"/>
          <w:sz w:val="22"/>
          <w:lang w:val="el-GR"/>
        </w:rPr>
        <w:t xml:space="preserve"> αντίστοιχα στην ομάδα του </w:t>
      </w:r>
      <w:proofErr w:type="spellStart"/>
      <w:r w:rsidR="0009026D">
        <w:rPr>
          <w:rFonts w:ascii="Arial" w:hAnsi="Arial" w:cs="Arial"/>
          <w:sz w:val="22"/>
        </w:rPr>
        <w:t>Duagen</w:t>
      </w:r>
      <w:proofErr w:type="spellEnd"/>
      <w:r w:rsidRPr="00AD0457">
        <w:rPr>
          <w:rFonts w:ascii="Arial" w:hAnsi="Arial" w:cs="Arial"/>
          <w:sz w:val="22"/>
          <w:lang w:val="el-GR"/>
        </w:rPr>
        <w:t>.  Η διαφορά μεταξύ των ομάδων ήταν στατιστικά σημαντική από τον μήνα 1 έως τον μήνα 24.</w:t>
      </w:r>
      <w:r w:rsidR="00C33E72">
        <w:rPr>
          <w:rFonts w:ascii="Arial" w:hAnsi="Arial" w:cs="Arial"/>
          <w:sz w:val="22"/>
          <w:lang w:val="el-GR"/>
        </w:rPr>
        <w:t xml:space="preserve"> Η αύξηση του ρυθμού μέγιστης ροής ούρων που παρατηρήθηκε κατά τη διάρκεια των πρώτων 2 ετών της διπλής τυφλής θεραπείας διατηρήθηκε για 2 επιπλέον τη με τη συνέχιση ανοικτού τύπου μελετών.</w:t>
      </w:r>
    </w:p>
    <w:p w:rsidR="0078689F" w:rsidRPr="00AD0457" w:rsidRDefault="0078689F" w:rsidP="00A067F0">
      <w:pPr>
        <w:ind w:right="-11"/>
        <w:jc w:val="both"/>
        <w:rPr>
          <w:rFonts w:ascii="Arial" w:hAnsi="Arial" w:cs="Arial"/>
          <w:lang w:val="el-GR"/>
        </w:rPr>
      </w:pPr>
    </w:p>
    <w:p w:rsidR="0078689F" w:rsidRPr="00AD0457" w:rsidRDefault="0078689F" w:rsidP="00A067F0">
      <w:pPr>
        <w:pStyle w:val="2"/>
        <w:ind w:right="-11"/>
        <w:jc w:val="both"/>
        <w:rPr>
          <w:rFonts w:ascii="Arial" w:hAnsi="Arial" w:cs="Arial"/>
          <w:i/>
        </w:rPr>
      </w:pPr>
      <w:r w:rsidRPr="00AD0457">
        <w:rPr>
          <w:rFonts w:ascii="Arial" w:hAnsi="Arial" w:cs="Arial"/>
          <w:i/>
        </w:rPr>
        <w:t xml:space="preserve">Οξεία </w:t>
      </w:r>
      <w:r w:rsidR="00D1745E">
        <w:rPr>
          <w:rFonts w:ascii="Arial" w:hAnsi="Arial" w:cs="Arial"/>
          <w:i/>
        </w:rPr>
        <w:t>κατακράτηση</w:t>
      </w:r>
      <w:r w:rsidR="00D1745E" w:rsidRPr="00AD0457">
        <w:rPr>
          <w:rFonts w:ascii="Arial" w:hAnsi="Arial" w:cs="Arial"/>
          <w:i/>
        </w:rPr>
        <w:t xml:space="preserve"> </w:t>
      </w:r>
      <w:r w:rsidRPr="00AD0457">
        <w:rPr>
          <w:rFonts w:ascii="Arial" w:hAnsi="Arial" w:cs="Arial"/>
          <w:i/>
        </w:rPr>
        <w:t>ούρων και χειρουργικές επεμβάσεις</w:t>
      </w:r>
      <w:r w:rsidR="00D1745E">
        <w:rPr>
          <w:rFonts w:ascii="Arial" w:hAnsi="Arial" w:cs="Arial"/>
          <w:b w:val="0"/>
          <w:i/>
        </w:rPr>
        <w:t>:</w:t>
      </w:r>
    </w:p>
    <w:p w:rsidR="0078689F" w:rsidRPr="00AD0457" w:rsidRDefault="0078689F" w:rsidP="00A067F0">
      <w:pPr>
        <w:pStyle w:val="listssp"/>
        <w:ind w:right="-11"/>
        <w:jc w:val="both"/>
        <w:rPr>
          <w:rFonts w:ascii="Arial" w:hAnsi="Arial" w:cs="Arial"/>
          <w:sz w:val="22"/>
          <w:lang w:val="el-GR"/>
        </w:rPr>
      </w:pPr>
      <w:r w:rsidRPr="00AD0457">
        <w:rPr>
          <w:rFonts w:ascii="Arial" w:hAnsi="Arial" w:cs="Arial"/>
          <w:sz w:val="22"/>
          <w:lang w:val="el-GR"/>
        </w:rPr>
        <w:t xml:space="preserve">Μετά από δύο </w:t>
      </w:r>
      <w:r w:rsidR="00187748">
        <w:rPr>
          <w:rFonts w:ascii="Arial" w:hAnsi="Arial" w:cs="Arial"/>
          <w:sz w:val="22"/>
          <w:lang w:val="el-GR"/>
        </w:rPr>
        <w:t>έτη</w:t>
      </w:r>
      <w:r w:rsidRPr="00AD0457">
        <w:rPr>
          <w:rFonts w:ascii="Arial" w:hAnsi="Arial" w:cs="Arial"/>
          <w:sz w:val="22"/>
          <w:lang w:val="el-GR"/>
        </w:rPr>
        <w:t xml:space="preserve"> θεραπείας η συχνότητα της οξείας κατακράτησης ούρων (</w:t>
      </w:r>
      <w:r w:rsidRPr="00AD0457">
        <w:rPr>
          <w:rFonts w:ascii="Arial" w:hAnsi="Arial" w:cs="Arial"/>
          <w:sz w:val="22"/>
        </w:rPr>
        <w:t>AUR</w:t>
      </w:r>
      <w:r w:rsidRPr="00AD0457">
        <w:rPr>
          <w:rFonts w:ascii="Arial" w:hAnsi="Arial" w:cs="Arial"/>
          <w:sz w:val="22"/>
          <w:lang w:val="el-GR"/>
        </w:rPr>
        <w:t xml:space="preserve">) ήταν 4.2% στην ομάδα του εικονικού φαρμάκου έναντι 1.8% στην ομάδα του </w:t>
      </w:r>
      <w:proofErr w:type="spellStart"/>
      <w:r w:rsidR="0009026D">
        <w:rPr>
          <w:rFonts w:ascii="Arial" w:hAnsi="Arial" w:cs="Arial"/>
          <w:sz w:val="22"/>
        </w:rPr>
        <w:t>Duagen</w:t>
      </w:r>
      <w:proofErr w:type="spellEnd"/>
      <w:r w:rsidR="00187748">
        <w:rPr>
          <w:rFonts w:ascii="Arial" w:hAnsi="Arial" w:cs="Arial"/>
          <w:sz w:val="22"/>
          <w:lang w:val="el-GR"/>
        </w:rPr>
        <w:t xml:space="preserve"> (57% μείωση κινδύνου). </w:t>
      </w:r>
      <w:r w:rsidRPr="00AD0457">
        <w:rPr>
          <w:rFonts w:ascii="Arial" w:hAnsi="Arial" w:cs="Arial"/>
          <w:sz w:val="22"/>
          <w:lang w:val="el-GR"/>
        </w:rPr>
        <w:t xml:space="preserve">Η διαφορά αυτή είναι στατιστικά σημαντική και σημαίνει ότι 42 ασθενείς (95% </w:t>
      </w:r>
      <w:r w:rsidRPr="00AD0457">
        <w:rPr>
          <w:rFonts w:ascii="Arial" w:hAnsi="Arial" w:cs="Arial"/>
          <w:sz w:val="22"/>
        </w:rPr>
        <w:t>CI</w:t>
      </w:r>
      <w:r w:rsidRPr="00AD0457">
        <w:rPr>
          <w:rFonts w:ascii="Arial" w:hAnsi="Arial" w:cs="Arial"/>
          <w:sz w:val="22"/>
          <w:lang w:val="el-GR"/>
        </w:rPr>
        <w:t xml:space="preserve"> 30-73) χρειάζεται να κάνουν θεραπεία για δύο </w:t>
      </w:r>
      <w:r w:rsidR="00187748">
        <w:rPr>
          <w:rFonts w:ascii="Arial" w:hAnsi="Arial" w:cs="Arial"/>
          <w:sz w:val="22"/>
          <w:lang w:val="el-GR"/>
        </w:rPr>
        <w:t>έτη</w:t>
      </w:r>
      <w:r w:rsidRPr="00AD0457">
        <w:rPr>
          <w:rFonts w:ascii="Arial" w:hAnsi="Arial" w:cs="Arial"/>
          <w:sz w:val="22"/>
          <w:lang w:val="el-GR"/>
        </w:rPr>
        <w:t xml:space="preserve"> για να αποφευχθεί η περίπτωση οξείας κατακράτησης ούρων (</w:t>
      </w:r>
      <w:r w:rsidRPr="00AD0457">
        <w:rPr>
          <w:rFonts w:ascii="Arial" w:hAnsi="Arial" w:cs="Arial"/>
          <w:sz w:val="22"/>
        </w:rPr>
        <w:t>AUR</w:t>
      </w:r>
      <w:r w:rsidRPr="00AD0457">
        <w:rPr>
          <w:rFonts w:ascii="Arial" w:hAnsi="Arial" w:cs="Arial"/>
          <w:sz w:val="22"/>
          <w:lang w:val="el-GR"/>
        </w:rPr>
        <w:t>).</w:t>
      </w:r>
    </w:p>
    <w:p w:rsidR="0078689F" w:rsidRPr="00AD0457" w:rsidRDefault="0078689F" w:rsidP="00A067F0">
      <w:pPr>
        <w:pStyle w:val="listssp"/>
        <w:ind w:right="-11"/>
        <w:jc w:val="both"/>
        <w:rPr>
          <w:rFonts w:ascii="Arial" w:hAnsi="Arial" w:cs="Arial"/>
          <w:sz w:val="22"/>
          <w:lang w:val="el-GR"/>
        </w:rPr>
      </w:pPr>
      <w:r w:rsidRPr="00AD0457">
        <w:rPr>
          <w:rFonts w:ascii="Arial" w:hAnsi="Arial" w:cs="Arial"/>
          <w:sz w:val="22"/>
          <w:lang w:val="el-GR"/>
        </w:rPr>
        <w:t xml:space="preserve">Η συχνότητα χειρουργικών επεμβάσεων σχετιζόμενων με </w:t>
      </w:r>
      <w:r w:rsidRPr="00AD0457">
        <w:rPr>
          <w:rFonts w:ascii="Arial" w:hAnsi="Arial" w:cs="Arial"/>
          <w:sz w:val="22"/>
        </w:rPr>
        <w:t>BPH</w:t>
      </w:r>
      <w:r w:rsidRPr="00AD0457">
        <w:rPr>
          <w:rFonts w:ascii="Arial" w:hAnsi="Arial" w:cs="Arial"/>
          <w:sz w:val="22"/>
          <w:lang w:val="el-GR"/>
        </w:rPr>
        <w:t xml:space="preserve"> μετά από δύο </w:t>
      </w:r>
      <w:r w:rsidR="00187748">
        <w:rPr>
          <w:rFonts w:ascii="Arial" w:hAnsi="Arial" w:cs="Arial"/>
          <w:sz w:val="22"/>
          <w:lang w:val="el-GR"/>
        </w:rPr>
        <w:t>έτη</w:t>
      </w:r>
      <w:r w:rsidRPr="00AD0457">
        <w:rPr>
          <w:rFonts w:ascii="Arial" w:hAnsi="Arial" w:cs="Arial"/>
          <w:sz w:val="22"/>
          <w:lang w:val="el-GR"/>
        </w:rPr>
        <w:t xml:space="preserve"> ήταν 4.1% στην ομάδα του εικονικού φαρμάκου και 2.2% στην ομάδα του </w:t>
      </w:r>
      <w:proofErr w:type="spellStart"/>
      <w:r w:rsidR="0009026D">
        <w:rPr>
          <w:rFonts w:ascii="Arial" w:hAnsi="Arial" w:cs="Arial"/>
          <w:sz w:val="22"/>
        </w:rPr>
        <w:t>Duagen</w:t>
      </w:r>
      <w:proofErr w:type="spellEnd"/>
      <w:r w:rsidRPr="00AD0457">
        <w:rPr>
          <w:rFonts w:ascii="Arial" w:hAnsi="Arial" w:cs="Arial"/>
          <w:sz w:val="22"/>
          <w:lang w:val="el-GR"/>
        </w:rPr>
        <w:t xml:space="preserve">  (48% μείωση κινδύνου). Αυτή η διαφορά είναι στατιστικά σημαντική και σημαίνει ότι 51 ασθενείς (95% </w:t>
      </w:r>
      <w:r w:rsidRPr="00AD0457">
        <w:rPr>
          <w:rFonts w:ascii="Arial" w:hAnsi="Arial" w:cs="Arial"/>
          <w:sz w:val="22"/>
        </w:rPr>
        <w:t>CI</w:t>
      </w:r>
      <w:r w:rsidRPr="00AD0457">
        <w:rPr>
          <w:rFonts w:ascii="Arial" w:hAnsi="Arial" w:cs="Arial"/>
          <w:sz w:val="22"/>
          <w:lang w:val="el-GR"/>
        </w:rPr>
        <w:t xml:space="preserve"> 33-109) χρειάζεται να κάνουν θεραπεία για δύο </w:t>
      </w:r>
      <w:r w:rsidR="00187748">
        <w:rPr>
          <w:rFonts w:ascii="Arial" w:hAnsi="Arial" w:cs="Arial"/>
          <w:sz w:val="22"/>
          <w:lang w:val="el-GR"/>
        </w:rPr>
        <w:t>έτη</w:t>
      </w:r>
      <w:r w:rsidRPr="00AD0457">
        <w:rPr>
          <w:rFonts w:ascii="Arial" w:hAnsi="Arial" w:cs="Arial"/>
          <w:sz w:val="22"/>
          <w:lang w:val="el-GR"/>
        </w:rPr>
        <w:t xml:space="preserve"> για να αποφευχθεί μία χειρουργική επέμβαση.</w:t>
      </w:r>
    </w:p>
    <w:p w:rsidR="0078689F" w:rsidRPr="00AD0457" w:rsidRDefault="0078689F" w:rsidP="00A067F0">
      <w:pPr>
        <w:pStyle w:val="listssp"/>
        <w:ind w:right="-11"/>
        <w:jc w:val="both"/>
        <w:rPr>
          <w:rFonts w:ascii="Arial" w:hAnsi="Arial" w:cs="Arial"/>
          <w:sz w:val="22"/>
          <w:lang w:val="el-GR"/>
        </w:rPr>
      </w:pPr>
    </w:p>
    <w:p w:rsidR="0078689F" w:rsidRPr="00AD0457" w:rsidRDefault="0078689F" w:rsidP="00A067F0">
      <w:pPr>
        <w:pStyle w:val="NoNumHead3"/>
        <w:spacing w:before="0" w:after="0"/>
        <w:ind w:right="-11"/>
        <w:rPr>
          <w:rFonts w:cs="Arial"/>
          <w:i/>
          <w:sz w:val="22"/>
          <w:lang w:val="el-GR"/>
        </w:rPr>
      </w:pPr>
      <w:r w:rsidRPr="00AD0457">
        <w:rPr>
          <w:rFonts w:cs="Arial"/>
          <w:i/>
          <w:sz w:val="22"/>
          <w:lang w:val="el-GR"/>
        </w:rPr>
        <w:t>Κατανομή των τριχών</w:t>
      </w:r>
      <w:r w:rsidR="00D1745E" w:rsidRPr="00404459">
        <w:rPr>
          <w:rFonts w:cs="Arial"/>
          <w:b w:val="0"/>
          <w:i/>
          <w:lang w:val="el-GR"/>
        </w:rPr>
        <w:t>:</w:t>
      </w:r>
    </w:p>
    <w:p w:rsidR="0078689F" w:rsidRPr="00AD0457" w:rsidRDefault="0078689F" w:rsidP="00A067F0">
      <w:pPr>
        <w:pStyle w:val="listssp"/>
        <w:ind w:right="-11"/>
        <w:jc w:val="both"/>
        <w:rPr>
          <w:rFonts w:ascii="Arial" w:hAnsi="Arial" w:cs="Arial"/>
          <w:snapToGrid w:val="0"/>
          <w:color w:val="000000"/>
          <w:sz w:val="22"/>
          <w:highlight w:val="yellow"/>
          <w:lang w:val="el-GR"/>
        </w:rPr>
      </w:pPr>
      <w:r w:rsidRPr="00AD0457">
        <w:rPr>
          <w:rFonts w:ascii="Arial" w:hAnsi="Arial" w:cs="Arial"/>
          <w:snapToGrid w:val="0"/>
          <w:color w:val="000000"/>
          <w:sz w:val="22"/>
          <w:lang w:val="el-GR"/>
        </w:rPr>
        <w:t xml:space="preserve">Η επίδραση </w:t>
      </w:r>
      <w:r w:rsidR="00C41782">
        <w:rPr>
          <w:rFonts w:ascii="Arial" w:hAnsi="Arial" w:cs="Arial"/>
          <w:snapToGrid w:val="0"/>
          <w:color w:val="000000"/>
          <w:sz w:val="22"/>
          <w:lang w:val="el-GR"/>
        </w:rPr>
        <w:t>της ντουταστερίδης</w:t>
      </w:r>
      <w:r w:rsidRPr="00AD0457">
        <w:rPr>
          <w:rFonts w:ascii="Arial" w:hAnsi="Arial" w:cs="Arial"/>
          <w:snapToGrid w:val="0"/>
          <w:color w:val="000000"/>
          <w:sz w:val="22"/>
          <w:lang w:val="el-GR"/>
        </w:rPr>
        <w:t xml:space="preserve"> στην κατανομή των τριχών δεν μελετήθηκε επίσημα κατά τη διάρκεια του προγράμματος φάσης </w:t>
      </w:r>
      <w:r w:rsidRPr="00AD0457">
        <w:rPr>
          <w:rFonts w:ascii="Arial" w:hAnsi="Arial" w:cs="Arial"/>
          <w:snapToGrid w:val="0"/>
          <w:color w:val="000000"/>
          <w:sz w:val="22"/>
          <w:lang w:val="en-US"/>
        </w:rPr>
        <w:t>III</w:t>
      </w:r>
      <w:r w:rsidR="00187748">
        <w:rPr>
          <w:rFonts w:ascii="Arial" w:hAnsi="Arial" w:cs="Arial"/>
          <w:snapToGrid w:val="0"/>
          <w:color w:val="000000"/>
          <w:sz w:val="22"/>
          <w:lang w:val="el-GR"/>
        </w:rPr>
        <w:t>, πάντως οι αναστολείς της 5-άλφα</w:t>
      </w:r>
      <w:r w:rsidRPr="00AD0457">
        <w:rPr>
          <w:rFonts w:ascii="Arial" w:hAnsi="Arial" w:cs="Arial"/>
          <w:snapToGrid w:val="0"/>
          <w:color w:val="000000"/>
          <w:sz w:val="22"/>
          <w:lang w:val="el-GR"/>
        </w:rPr>
        <w:t xml:space="preserve"> αναγωγάσης μπορούν να μειώσουν την απώλεια τριχών και μπορεί να ενισχύσουν την ανάπτυξη τριχών σε άτομα με ανδρικού τύπου απώλεια τριχών (ανδρογενής αλωπεκία).</w:t>
      </w:r>
    </w:p>
    <w:p w:rsidR="0078689F" w:rsidRPr="00AD0457" w:rsidRDefault="0078689F" w:rsidP="00A067F0">
      <w:pPr>
        <w:pStyle w:val="listssp"/>
        <w:ind w:right="-11"/>
        <w:jc w:val="both"/>
        <w:rPr>
          <w:rFonts w:ascii="Arial" w:hAnsi="Arial" w:cs="Arial"/>
          <w:snapToGrid w:val="0"/>
          <w:color w:val="000000"/>
          <w:sz w:val="22"/>
          <w:lang w:val="el-GR"/>
        </w:rPr>
      </w:pPr>
    </w:p>
    <w:p w:rsidR="0078689F" w:rsidRPr="00AD0457" w:rsidRDefault="0078689F" w:rsidP="00A067F0">
      <w:pPr>
        <w:pStyle w:val="NoNumHead3"/>
        <w:spacing w:before="0" w:after="0"/>
        <w:ind w:left="0" w:right="-11" w:firstLine="0"/>
        <w:jc w:val="both"/>
        <w:rPr>
          <w:rFonts w:cs="Arial"/>
          <w:i/>
          <w:snapToGrid w:val="0"/>
          <w:sz w:val="22"/>
          <w:lang w:val="el-GR"/>
        </w:rPr>
      </w:pPr>
      <w:r w:rsidRPr="00AD0457">
        <w:rPr>
          <w:rFonts w:cs="Arial"/>
          <w:i/>
          <w:snapToGrid w:val="0"/>
          <w:sz w:val="22"/>
          <w:lang w:val="el-GR"/>
        </w:rPr>
        <w:t>Λειτουργία του θυρεοειδούς:</w:t>
      </w:r>
    </w:p>
    <w:p w:rsidR="0078689F" w:rsidRPr="00AD0457" w:rsidRDefault="0078689F" w:rsidP="00A067F0">
      <w:pPr>
        <w:pStyle w:val="listssp"/>
        <w:ind w:right="-11"/>
        <w:jc w:val="both"/>
        <w:rPr>
          <w:rFonts w:ascii="Arial" w:hAnsi="Arial" w:cs="Arial"/>
          <w:snapToGrid w:val="0"/>
          <w:color w:val="000000"/>
          <w:sz w:val="22"/>
          <w:highlight w:val="cyan"/>
          <w:lang w:val="el-GR"/>
        </w:rPr>
      </w:pPr>
      <w:r w:rsidRPr="00AD0457">
        <w:rPr>
          <w:rFonts w:ascii="Arial" w:hAnsi="Arial" w:cs="Arial"/>
          <w:snapToGrid w:val="0"/>
          <w:color w:val="000000"/>
          <w:sz w:val="22"/>
          <w:lang w:val="el-GR"/>
        </w:rPr>
        <w:t xml:space="preserve">Η λειτουργία του θυρεοειδούς εξετάσθηκε σε μία μελέτη ενός έτους σε υγιείς άνδρες.  Τα επίπεδα της ελεύθερης θυροξίνης ήταν σταθερά κατά τη διάρκεια θεραπείας με  </w:t>
      </w:r>
      <w:r w:rsidR="000F6CBD" w:rsidRPr="000F6CBD">
        <w:rPr>
          <w:rFonts w:ascii="Arial" w:hAnsi="Arial" w:cs="Arial"/>
          <w:snapToGrid w:val="0"/>
          <w:color w:val="000000"/>
          <w:sz w:val="22"/>
          <w:lang w:val="el-GR"/>
        </w:rPr>
        <w:t>ντουταστερίδη</w:t>
      </w:r>
      <w:r w:rsidRPr="00AD0457">
        <w:rPr>
          <w:rFonts w:ascii="Arial" w:hAnsi="Arial" w:cs="Arial"/>
          <w:snapToGrid w:val="0"/>
          <w:color w:val="000000"/>
          <w:sz w:val="22"/>
          <w:lang w:val="el-GR"/>
        </w:rPr>
        <w:t xml:space="preserve"> αλλά τα επίπεδα της </w:t>
      </w:r>
      <w:r w:rsidRPr="00AD0457">
        <w:rPr>
          <w:rFonts w:ascii="Arial" w:hAnsi="Arial" w:cs="Arial"/>
          <w:snapToGrid w:val="0"/>
          <w:color w:val="000000"/>
          <w:sz w:val="22"/>
          <w:lang w:val="en-US"/>
        </w:rPr>
        <w:t>TSH</w:t>
      </w:r>
      <w:r w:rsidRPr="00AD0457">
        <w:rPr>
          <w:rFonts w:ascii="Arial" w:hAnsi="Arial" w:cs="Arial"/>
          <w:snapToGrid w:val="0"/>
          <w:color w:val="000000"/>
          <w:sz w:val="22"/>
          <w:lang w:val="el-GR"/>
        </w:rPr>
        <w:t xml:space="preserve"> αυξήθηκαν ελαφρά (κατά</w:t>
      </w:r>
      <w:r w:rsidRPr="00AD0457">
        <w:rPr>
          <w:rFonts w:ascii="Arial" w:hAnsi="Arial" w:cs="Arial"/>
          <w:b/>
          <w:snapToGrid w:val="0"/>
          <w:color w:val="0000FF"/>
          <w:sz w:val="22"/>
          <w:lang w:val="el-GR"/>
        </w:rPr>
        <w:t xml:space="preserve"> </w:t>
      </w:r>
      <w:r w:rsidRPr="00AD0457">
        <w:rPr>
          <w:rFonts w:ascii="Arial" w:hAnsi="Arial" w:cs="Arial"/>
          <w:snapToGrid w:val="0"/>
          <w:color w:val="000000"/>
          <w:sz w:val="22"/>
          <w:lang w:val="el-GR"/>
        </w:rPr>
        <w:t xml:space="preserve">0.4 </w:t>
      </w:r>
      <w:r w:rsidRPr="00AD0457">
        <w:rPr>
          <w:rFonts w:ascii="Arial" w:hAnsi="Arial" w:cs="Arial"/>
          <w:snapToGrid w:val="0"/>
          <w:color w:val="000000"/>
          <w:sz w:val="22"/>
          <w:lang w:val="en-US"/>
        </w:rPr>
        <w:t>MCIU</w:t>
      </w:r>
      <w:r w:rsidRPr="00AD0457">
        <w:rPr>
          <w:rFonts w:ascii="Arial" w:hAnsi="Arial" w:cs="Arial"/>
          <w:snapToGrid w:val="0"/>
          <w:color w:val="000000"/>
          <w:sz w:val="22"/>
          <w:lang w:val="el-GR"/>
        </w:rPr>
        <w:t>/</w:t>
      </w:r>
      <w:r w:rsidRPr="00AD0457">
        <w:rPr>
          <w:rFonts w:ascii="Arial" w:hAnsi="Arial" w:cs="Arial"/>
          <w:snapToGrid w:val="0"/>
          <w:color w:val="000000"/>
          <w:sz w:val="22"/>
          <w:lang w:val="en-US"/>
        </w:rPr>
        <w:t>ml</w:t>
      </w:r>
      <w:r w:rsidRPr="00AD0457">
        <w:rPr>
          <w:rFonts w:ascii="Arial" w:hAnsi="Arial" w:cs="Arial"/>
          <w:snapToGrid w:val="0"/>
          <w:color w:val="000000"/>
          <w:sz w:val="22"/>
          <w:lang w:val="el-GR"/>
        </w:rPr>
        <w:t>) συγκριτικά με το εικονικό φάρμακο στο τ</w:t>
      </w:r>
      <w:r w:rsidR="00187748">
        <w:rPr>
          <w:rFonts w:ascii="Arial" w:hAnsi="Arial" w:cs="Arial"/>
          <w:snapToGrid w:val="0"/>
          <w:color w:val="000000"/>
          <w:sz w:val="22"/>
          <w:lang w:val="el-GR"/>
        </w:rPr>
        <w:t xml:space="preserve">έλος της θεραπείας ενός έτους. </w:t>
      </w:r>
      <w:r w:rsidRPr="00AD0457">
        <w:rPr>
          <w:rFonts w:ascii="Arial" w:hAnsi="Arial" w:cs="Arial"/>
          <w:snapToGrid w:val="0"/>
          <w:color w:val="000000"/>
          <w:sz w:val="22"/>
          <w:lang w:val="el-GR"/>
        </w:rPr>
        <w:t xml:space="preserve">Πάντως καθώς τα επίπεδα της </w:t>
      </w:r>
      <w:r w:rsidRPr="00AD0457">
        <w:rPr>
          <w:rFonts w:ascii="Arial" w:hAnsi="Arial" w:cs="Arial"/>
          <w:snapToGrid w:val="0"/>
          <w:color w:val="000000"/>
          <w:sz w:val="22"/>
          <w:lang w:val="en-US"/>
        </w:rPr>
        <w:t>TSH</w:t>
      </w:r>
      <w:r w:rsidRPr="00AD0457">
        <w:rPr>
          <w:rFonts w:ascii="Arial" w:hAnsi="Arial" w:cs="Arial"/>
          <w:snapToGrid w:val="0"/>
          <w:color w:val="000000"/>
          <w:sz w:val="22"/>
          <w:lang w:val="el-GR"/>
        </w:rPr>
        <w:t xml:space="preserve"> ήταν μεταβλητά, οι μέσες διακυμάνσεις </w:t>
      </w:r>
      <w:r w:rsidRPr="00AD0457">
        <w:rPr>
          <w:rFonts w:ascii="Arial" w:hAnsi="Arial" w:cs="Arial"/>
          <w:snapToGrid w:val="0"/>
          <w:color w:val="000000"/>
          <w:sz w:val="22"/>
          <w:lang w:val="en-US"/>
        </w:rPr>
        <w:t>TSH</w:t>
      </w:r>
      <w:r w:rsidRPr="00AD0457">
        <w:rPr>
          <w:rFonts w:ascii="Arial" w:hAnsi="Arial" w:cs="Arial"/>
          <w:snapToGrid w:val="0"/>
          <w:color w:val="000000"/>
          <w:sz w:val="22"/>
          <w:lang w:val="el-GR"/>
        </w:rPr>
        <w:t xml:space="preserve"> (1.4 - 1.9 </w:t>
      </w:r>
      <w:r w:rsidRPr="00AD0457">
        <w:rPr>
          <w:rFonts w:ascii="Arial" w:hAnsi="Arial" w:cs="Arial"/>
          <w:snapToGrid w:val="0"/>
          <w:color w:val="000000"/>
          <w:sz w:val="22"/>
          <w:lang w:val="en-US"/>
        </w:rPr>
        <w:t>MCIU</w:t>
      </w:r>
      <w:r w:rsidRPr="00AD0457">
        <w:rPr>
          <w:rFonts w:ascii="Arial" w:hAnsi="Arial" w:cs="Arial"/>
          <w:snapToGrid w:val="0"/>
          <w:color w:val="000000"/>
          <w:sz w:val="22"/>
          <w:lang w:val="el-GR"/>
        </w:rPr>
        <w:t>/</w:t>
      </w:r>
      <w:r w:rsidRPr="00AD0457">
        <w:rPr>
          <w:rFonts w:ascii="Arial" w:hAnsi="Arial" w:cs="Arial"/>
          <w:snapToGrid w:val="0"/>
          <w:color w:val="000000"/>
          <w:sz w:val="22"/>
          <w:lang w:val="en-US"/>
        </w:rPr>
        <w:t>ml</w:t>
      </w:r>
      <w:r w:rsidRPr="00AD0457">
        <w:rPr>
          <w:rFonts w:ascii="Arial" w:hAnsi="Arial" w:cs="Arial"/>
          <w:snapToGrid w:val="0"/>
          <w:color w:val="000000"/>
          <w:sz w:val="22"/>
          <w:lang w:val="el-GR"/>
        </w:rPr>
        <w:t xml:space="preserve"> ) παρέμειναν εντός των φυσιολογικών ορίων </w:t>
      </w:r>
      <w:r w:rsidRPr="00AD0457">
        <w:rPr>
          <w:rFonts w:ascii="Arial" w:hAnsi="Arial" w:cs="Arial"/>
          <w:snapToGrid w:val="0"/>
          <w:sz w:val="22"/>
          <w:lang w:val="el-GR"/>
        </w:rPr>
        <w:t xml:space="preserve">(0.5 - 5/6 </w:t>
      </w:r>
      <w:r w:rsidRPr="00AD0457">
        <w:rPr>
          <w:rFonts w:ascii="Arial" w:hAnsi="Arial" w:cs="Arial"/>
          <w:snapToGrid w:val="0"/>
          <w:sz w:val="22"/>
          <w:lang w:val="en-US"/>
        </w:rPr>
        <w:t>MCIU</w:t>
      </w:r>
      <w:r w:rsidRPr="00AD0457">
        <w:rPr>
          <w:rFonts w:ascii="Arial" w:hAnsi="Arial" w:cs="Arial"/>
          <w:snapToGrid w:val="0"/>
          <w:sz w:val="22"/>
          <w:lang w:val="el-GR"/>
        </w:rPr>
        <w:t>/</w:t>
      </w:r>
      <w:r w:rsidRPr="00AD0457">
        <w:rPr>
          <w:rFonts w:ascii="Arial" w:hAnsi="Arial" w:cs="Arial"/>
          <w:snapToGrid w:val="0"/>
          <w:sz w:val="22"/>
          <w:lang w:val="en-US"/>
        </w:rPr>
        <w:t>ml</w:t>
      </w:r>
      <w:r w:rsidRPr="00AD0457">
        <w:rPr>
          <w:rFonts w:ascii="Arial" w:hAnsi="Arial" w:cs="Arial"/>
          <w:snapToGrid w:val="0"/>
          <w:sz w:val="22"/>
          <w:lang w:val="el-GR"/>
        </w:rPr>
        <w:t>),</w:t>
      </w:r>
      <w:r w:rsidRPr="00AD0457">
        <w:rPr>
          <w:rFonts w:ascii="Arial" w:hAnsi="Arial" w:cs="Arial"/>
          <w:snapToGrid w:val="0"/>
          <w:color w:val="000000"/>
          <w:sz w:val="22"/>
          <w:lang w:val="el-GR"/>
        </w:rPr>
        <w:t xml:space="preserve"> τα επίπεδα ελεύθερης θυροξίνης ήταν σταθερά εντός των φ</w:t>
      </w:r>
      <w:r w:rsidR="00187748">
        <w:rPr>
          <w:rFonts w:ascii="Arial" w:hAnsi="Arial" w:cs="Arial"/>
          <w:snapToGrid w:val="0"/>
          <w:color w:val="000000"/>
          <w:sz w:val="22"/>
          <w:lang w:val="el-GR"/>
        </w:rPr>
        <w:t xml:space="preserve">υσιολογικών ορίων και παρόμοια </w:t>
      </w:r>
      <w:r w:rsidRPr="00AD0457">
        <w:rPr>
          <w:rFonts w:ascii="Arial" w:hAnsi="Arial" w:cs="Arial"/>
          <w:snapToGrid w:val="0"/>
          <w:color w:val="000000"/>
          <w:sz w:val="22"/>
          <w:lang w:val="el-GR"/>
        </w:rPr>
        <w:t xml:space="preserve">τόσο για το εικονικό φάρμακο όσο και </w:t>
      </w:r>
      <w:r w:rsidR="00D1745E">
        <w:rPr>
          <w:rFonts w:ascii="Arial" w:hAnsi="Arial" w:cs="Arial"/>
          <w:snapToGrid w:val="0"/>
          <w:color w:val="000000"/>
          <w:sz w:val="22"/>
          <w:lang w:val="el-GR"/>
        </w:rPr>
        <w:t xml:space="preserve">για </w:t>
      </w:r>
      <w:r w:rsidRPr="00AD0457">
        <w:rPr>
          <w:rFonts w:ascii="Arial" w:hAnsi="Arial" w:cs="Arial"/>
          <w:snapToGrid w:val="0"/>
          <w:color w:val="000000"/>
          <w:sz w:val="22"/>
          <w:lang w:val="el-GR"/>
        </w:rPr>
        <w:t>τ</w:t>
      </w:r>
      <w:r w:rsidR="00D1745E">
        <w:rPr>
          <w:rFonts w:ascii="Arial" w:hAnsi="Arial" w:cs="Arial"/>
          <w:snapToGrid w:val="0"/>
          <w:color w:val="000000"/>
          <w:sz w:val="22"/>
          <w:lang w:val="el-GR"/>
        </w:rPr>
        <w:t xml:space="preserve">η </w:t>
      </w:r>
      <w:r w:rsidR="000F6CBD" w:rsidRPr="000F6CBD">
        <w:rPr>
          <w:rFonts w:ascii="Arial" w:hAnsi="Arial" w:cs="Arial"/>
          <w:snapToGrid w:val="0"/>
          <w:color w:val="000000"/>
          <w:sz w:val="22"/>
          <w:lang w:val="el-GR"/>
        </w:rPr>
        <w:t>ντουταστερίδη</w:t>
      </w:r>
      <w:r w:rsidRPr="00AD0457">
        <w:rPr>
          <w:rFonts w:ascii="Arial" w:hAnsi="Arial" w:cs="Arial"/>
          <w:snapToGrid w:val="0"/>
          <w:color w:val="000000"/>
          <w:sz w:val="22"/>
          <w:lang w:val="el-GR"/>
        </w:rPr>
        <w:t xml:space="preserve">, οι μεταβολές στη </w:t>
      </w:r>
      <w:r w:rsidRPr="00AD0457">
        <w:rPr>
          <w:rFonts w:ascii="Arial" w:hAnsi="Arial" w:cs="Arial"/>
          <w:snapToGrid w:val="0"/>
          <w:color w:val="000000"/>
          <w:sz w:val="22"/>
          <w:lang w:val="en-US"/>
        </w:rPr>
        <w:t>TSH</w:t>
      </w:r>
      <w:r w:rsidRPr="00AD0457">
        <w:rPr>
          <w:rFonts w:ascii="Arial" w:hAnsi="Arial" w:cs="Arial"/>
          <w:snapToGrid w:val="0"/>
          <w:color w:val="000000"/>
          <w:sz w:val="22"/>
          <w:lang w:val="el-GR"/>
        </w:rPr>
        <w:t xml:space="preserve"> δεν </w:t>
      </w:r>
      <w:r w:rsidR="00187748">
        <w:rPr>
          <w:rFonts w:ascii="Arial" w:hAnsi="Arial" w:cs="Arial"/>
          <w:snapToGrid w:val="0"/>
          <w:color w:val="000000"/>
          <w:sz w:val="22"/>
          <w:lang w:val="el-GR"/>
        </w:rPr>
        <w:t xml:space="preserve">θεωρήθηκαν κλινικά σημαντικές. </w:t>
      </w:r>
      <w:r w:rsidRPr="00AD0457">
        <w:rPr>
          <w:rFonts w:ascii="Arial" w:hAnsi="Arial" w:cs="Arial"/>
          <w:snapToGrid w:val="0"/>
          <w:color w:val="000000"/>
          <w:sz w:val="22"/>
          <w:lang w:val="el-GR"/>
        </w:rPr>
        <w:t xml:space="preserve">Σε όλες τις κλινικές μελέτες δεν υπήρξε ένδειξη ότι </w:t>
      </w:r>
      <w:r w:rsidR="007209B4">
        <w:rPr>
          <w:rFonts w:ascii="Arial" w:hAnsi="Arial" w:cs="Arial"/>
          <w:snapToGrid w:val="0"/>
          <w:color w:val="000000"/>
          <w:sz w:val="22"/>
          <w:lang w:val="el-GR"/>
        </w:rPr>
        <w:t>η</w:t>
      </w:r>
      <w:r w:rsidR="007209B4" w:rsidRPr="00AD0457">
        <w:rPr>
          <w:rFonts w:ascii="Arial" w:hAnsi="Arial" w:cs="Arial"/>
          <w:snapToGrid w:val="0"/>
          <w:color w:val="000000"/>
          <w:sz w:val="22"/>
          <w:lang w:val="el-GR"/>
        </w:rPr>
        <w:t xml:space="preserve"> </w:t>
      </w:r>
      <w:r w:rsidR="000F6CBD" w:rsidRPr="000F6CBD">
        <w:rPr>
          <w:rFonts w:ascii="Arial" w:hAnsi="Arial" w:cs="Arial"/>
          <w:snapToGrid w:val="0"/>
          <w:color w:val="000000"/>
          <w:sz w:val="22"/>
          <w:lang w:val="el-GR"/>
        </w:rPr>
        <w:t>ντουταστερίδη</w:t>
      </w:r>
      <w:r w:rsidRPr="00AD0457">
        <w:rPr>
          <w:rFonts w:ascii="Arial" w:hAnsi="Arial" w:cs="Arial"/>
          <w:snapToGrid w:val="0"/>
          <w:color w:val="000000"/>
          <w:sz w:val="22"/>
          <w:lang w:val="el-GR"/>
        </w:rPr>
        <w:t xml:space="preserve"> έχει ανεπιθύμητη δράση στη λειτουργία του θυρεοειδούς. </w:t>
      </w:r>
    </w:p>
    <w:p w:rsidR="0078689F" w:rsidRPr="00AD0457" w:rsidRDefault="0078689F" w:rsidP="00A067F0">
      <w:pPr>
        <w:pStyle w:val="listssp"/>
        <w:ind w:right="-11"/>
        <w:rPr>
          <w:rFonts w:ascii="Arial" w:hAnsi="Arial" w:cs="Arial"/>
          <w:snapToGrid w:val="0"/>
          <w:color w:val="000000"/>
          <w:sz w:val="22"/>
          <w:u w:val="single"/>
          <w:lang w:val="el-GR"/>
        </w:rPr>
      </w:pPr>
    </w:p>
    <w:p w:rsidR="0078689F" w:rsidRPr="00AD0457" w:rsidRDefault="0078689F" w:rsidP="00A067F0">
      <w:pPr>
        <w:pStyle w:val="listssp"/>
        <w:ind w:right="-11"/>
        <w:jc w:val="both"/>
        <w:rPr>
          <w:rFonts w:ascii="Arial" w:hAnsi="Arial" w:cs="Arial"/>
          <w:b/>
          <w:i/>
          <w:sz w:val="22"/>
          <w:lang w:val="el-GR"/>
        </w:rPr>
      </w:pPr>
      <w:r w:rsidRPr="00AD0457">
        <w:rPr>
          <w:rFonts w:ascii="Arial" w:hAnsi="Arial" w:cs="Arial"/>
          <w:b/>
          <w:i/>
          <w:sz w:val="22"/>
          <w:lang w:val="el-GR"/>
        </w:rPr>
        <w:t>Νεοπλασία μαστού:</w:t>
      </w:r>
    </w:p>
    <w:p w:rsidR="00310F95" w:rsidRDefault="0078689F">
      <w:pPr>
        <w:spacing w:line="240" w:lineRule="atLeast"/>
        <w:ind w:right="-11"/>
        <w:jc w:val="both"/>
        <w:rPr>
          <w:rFonts w:ascii="Arial" w:hAnsi="Arial" w:cs="Arial"/>
          <w:lang w:val="el-GR"/>
        </w:rPr>
      </w:pPr>
      <w:r w:rsidRPr="00AD0457">
        <w:rPr>
          <w:rFonts w:ascii="Arial" w:hAnsi="Arial" w:cs="Arial"/>
          <w:snapToGrid w:val="0"/>
          <w:color w:val="000000"/>
          <w:lang w:val="el-GR"/>
        </w:rPr>
        <w:t>Σε κλινικές μελέτες 2 ετών, που έδωσα</w:t>
      </w:r>
      <w:r w:rsidR="00187748">
        <w:rPr>
          <w:rFonts w:ascii="Arial" w:hAnsi="Arial" w:cs="Arial"/>
          <w:snapToGrid w:val="0"/>
          <w:color w:val="000000"/>
          <w:lang w:val="el-GR"/>
        </w:rPr>
        <w:t xml:space="preserve">ν 3374 </w:t>
      </w:r>
      <w:r w:rsidR="007209B4">
        <w:rPr>
          <w:rFonts w:ascii="Arial" w:hAnsi="Arial" w:cs="Arial"/>
          <w:snapToGrid w:val="0"/>
          <w:color w:val="000000"/>
          <w:lang w:val="el-GR"/>
        </w:rPr>
        <w:t>ασθενείς με έτη</w:t>
      </w:r>
      <w:r w:rsidR="00187748">
        <w:rPr>
          <w:rFonts w:ascii="Arial" w:hAnsi="Arial" w:cs="Arial"/>
          <w:snapToGrid w:val="0"/>
          <w:color w:val="000000"/>
          <w:lang w:val="el-GR"/>
        </w:rPr>
        <w:t xml:space="preserve"> έκθεσης στη</w:t>
      </w:r>
      <w:r w:rsidRPr="00AD0457">
        <w:rPr>
          <w:rFonts w:ascii="Arial" w:hAnsi="Arial" w:cs="Arial"/>
          <w:snapToGrid w:val="0"/>
          <w:color w:val="000000"/>
          <w:lang w:val="el-GR"/>
        </w:rPr>
        <w:t xml:space="preserve"> </w:t>
      </w:r>
      <w:r w:rsidR="000F6CBD" w:rsidRPr="000F6CBD">
        <w:rPr>
          <w:rFonts w:ascii="Arial" w:hAnsi="Arial" w:cs="Arial"/>
          <w:snapToGrid w:val="0"/>
          <w:color w:val="000000"/>
          <w:lang w:val="el-GR"/>
        </w:rPr>
        <w:t>ντουταστερίδη</w:t>
      </w:r>
      <w:r w:rsidRPr="00AD0457">
        <w:rPr>
          <w:rFonts w:ascii="Arial" w:hAnsi="Arial" w:cs="Arial"/>
          <w:snapToGrid w:val="0"/>
          <w:color w:val="000000"/>
          <w:lang w:val="el-GR"/>
        </w:rPr>
        <w:t xml:space="preserve">, και κατά το χρόνο εγγραφής στην  διετή ανοικτή παράταση, υπήρξαν 2 περιπτώσεις καρκίνου του </w:t>
      </w:r>
      <w:r w:rsidRPr="00AD0457">
        <w:rPr>
          <w:rFonts w:ascii="Arial" w:hAnsi="Arial" w:cs="Arial"/>
          <w:snapToGrid w:val="0"/>
          <w:color w:val="000000"/>
          <w:lang w:val="el-GR"/>
        </w:rPr>
        <w:lastRenderedPageBreak/>
        <w:t xml:space="preserve">μαστού που </w:t>
      </w:r>
      <w:r w:rsidR="00187748">
        <w:rPr>
          <w:rFonts w:ascii="Arial" w:hAnsi="Arial" w:cs="Arial"/>
          <w:snapToGrid w:val="0"/>
          <w:color w:val="000000"/>
          <w:lang w:val="el-GR"/>
        </w:rPr>
        <w:t xml:space="preserve">αναφέρθηκαν σε ασθενείς που </w:t>
      </w:r>
      <w:r w:rsidRPr="00AD0457">
        <w:rPr>
          <w:rFonts w:ascii="Arial" w:hAnsi="Arial" w:cs="Arial"/>
          <w:snapToGrid w:val="0"/>
          <w:color w:val="000000"/>
          <w:lang w:val="el-GR"/>
        </w:rPr>
        <w:t xml:space="preserve">λάμβαναν </w:t>
      </w:r>
      <w:r w:rsidR="000F6CBD" w:rsidRPr="000F6CBD">
        <w:rPr>
          <w:rFonts w:ascii="Arial" w:hAnsi="Arial" w:cs="Arial"/>
          <w:snapToGrid w:val="0"/>
          <w:color w:val="000000"/>
          <w:lang w:val="el-GR"/>
        </w:rPr>
        <w:t>ντουταστερίδη</w:t>
      </w:r>
      <w:r w:rsidR="00187748">
        <w:rPr>
          <w:rFonts w:ascii="Arial" w:hAnsi="Arial" w:cs="Arial"/>
          <w:snapToGrid w:val="0"/>
          <w:color w:val="000000"/>
          <w:lang w:val="el-GR"/>
        </w:rPr>
        <w:t xml:space="preserve"> και 1 περίπτωση ασθενούς που </w:t>
      </w:r>
      <w:r w:rsidRPr="00AD0457">
        <w:rPr>
          <w:rFonts w:ascii="Arial" w:hAnsi="Arial" w:cs="Arial"/>
          <w:snapToGrid w:val="0"/>
          <w:color w:val="000000"/>
          <w:lang w:val="el-GR"/>
        </w:rPr>
        <w:t>λάμβανε εικονικό φάρμακο.</w:t>
      </w:r>
      <w:r w:rsidR="00CF1A09">
        <w:rPr>
          <w:rFonts w:ascii="Arial" w:hAnsi="Arial" w:cs="Arial"/>
          <w:snapToGrid w:val="0"/>
          <w:color w:val="000000"/>
          <w:lang w:val="el-GR"/>
        </w:rPr>
        <w:t xml:space="preserve"> </w:t>
      </w:r>
      <w:r w:rsidR="00492116">
        <w:rPr>
          <w:rFonts w:ascii="Arial" w:hAnsi="Arial" w:cs="Arial"/>
          <w:snapToGrid w:val="0"/>
          <w:color w:val="000000"/>
          <w:lang w:val="el-GR"/>
        </w:rPr>
        <w:t>Κατά</w:t>
      </w:r>
      <w:r w:rsidR="008C0A4F">
        <w:rPr>
          <w:rFonts w:ascii="Arial" w:hAnsi="Arial" w:cs="Arial"/>
          <w:snapToGrid w:val="0"/>
          <w:color w:val="000000"/>
          <w:lang w:val="el-GR"/>
        </w:rPr>
        <w:t xml:space="preserve"> τη διάρκεια τετραετών κλινικών μελετών </w:t>
      </w:r>
      <w:proofErr w:type="spellStart"/>
      <w:r w:rsidR="008C0A4F">
        <w:rPr>
          <w:rFonts w:ascii="Arial" w:hAnsi="Arial" w:cs="Arial"/>
          <w:snapToGrid w:val="0"/>
          <w:color w:val="000000"/>
        </w:rPr>
        <w:t>CombaT</w:t>
      </w:r>
      <w:proofErr w:type="spellEnd"/>
      <w:r w:rsidR="008C0A4F" w:rsidRPr="008C0A4F">
        <w:rPr>
          <w:rFonts w:ascii="Arial" w:hAnsi="Arial" w:cs="Arial"/>
          <w:snapToGrid w:val="0"/>
          <w:color w:val="000000"/>
          <w:lang w:val="el-GR"/>
        </w:rPr>
        <w:t xml:space="preserve"> και </w:t>
      </w:r>
      <w:r w:rsidR="008C0A4F">
        <w:rPr>
          <w:rFonts w:ascii="Arial" w:hAnsi="Arial" w:cs="Arial"/>
          <w:snapToGrid w:val="0"/>
          <w:color w:val="000000"/>
        </w:rPr>
        <w:t>REDUCE</w:t>
      </w:r>
      <w:r w:rsidR="008C0A4F" w:rsidRPr="008C0A4F">
        <w:rPr>
          <w:rFonts w:ascii="Arial" w:hAnsi="Arial" w:cs="Arial"/>
          <w:snapToGrid w:val="0"/>
          <w:color w:val="000000"/>
          <w:lang w:val="el-GR"/>
        </w:rPr>
        <w:t xml:space="preserve"> </w:t>
      </w:r>
      <w:r w:rsidR="008C0A4F">
        <w:rPr>
          <w:rFonts w:ascii="Arial" w:hAnsi="Arial" w:cs="Arial"/>
          <w:snapToGrid w:val="0"/>
          <w:color w:val="000000"/>
          <w:lang w:val="el-GR"/>
        </w:rPr>
        <w:t xml:space="preserve">οι οποίες </w:t>
      </w:r>
      <w:r w:rsidR="00A775B4">
        <w:rPr>
          <w:rFonts w:ascii="Arial" w:hAnsi="Arial" w:cs="Arial"/>
          <w:snapToGrid w:val="0"/>
          <w:color w:val="000000"/>
          <w:lang w:val="el-GR"/>
        </w:rPr>
        <w:t>έδωσαν 17489 ασθενείς με έτη έκθεσης στη ντουταστερίδη και 5027 ασθενείς με έτη έκθεσης</w:t>
      </w:r>
      <w:r w:rsidR="008C0A4F">
        <w:rPr>
          <w:rFonts w:ascii="Arial" w:hAnsi="Arial" w:cs="Arial"/>
          <w:snapToGrid w:val="0"/>
          <w:color w:val="000000"/>
          <w:lang w:val="el-GR"/>
        </w:rPr>
        <w:t xml:space="preserve"> σε συνδυασμό ντουταστερίδης και ταμσουλοσίνης, δεν αναφέρθηκαν περιπτώσεις καρκίνου του μαστού σε κάποια από τις ομάδες θεραπείας. </w:t>
      </w:r>
    </w:p>
    <w:p w:rsidR="0078689F" w:rsidRPr="00AD0457" w:rsidRDefault="002B51DC" w:rsidP="00A067F0">
      <w:pPr>
        <w:ind w:right="-11"/>
        <w:jc w:val="both"/>
        <w:rPr>
          <w:rFonts w:ascii="Arial" w:hAnsi="Arial" w:cs="Arial"/>
          <w:lang w:val="el-GR"/>
        </w:rPr>
      </w:pPr>
      <w:r>
        <w:rPr>
          <w:rFonts w:ascii="Arial" w:hAnsi="Arial" w:cs="Arial"/>
          <w:lang w:val="el-GR"/>
        </w:rPr>
        <w:t>Προς το παρόν δεν είναι ακόμα σαφές αν υπάρχει</w:t>
      </w:r>
      <w:r w:rsidR="009838DD">
        <w:rPr>
          <w:rFonts w:ascii="Arial" w:hAnsi="Arial" w:cs="Arial"/>
          <w:lang w:val="el-GR"/>
        </w:rPr>
        <w:t xml:space="preserve"> </w:t>
      </w:r>
      <w:r w:rsidR="00C47A9E">
        <w:rPr>
          <w:rFonts w:ascii="Arial" w:hAnsi="Arial" w:cs="Arial"/>
          <w:lang w:val="el-GR"/>
        </w:rPr>
        <w:t>αιτιακή</w:t>
      </w:r>
      <w:r>
        <w:rPr>
          <w:rFonts w:ascii="Arial" w:hAnsi="Arial" w:cs="Arial"/>
          <w:lang w:val="el-GR"/>
        </w:rPr>
        <w:t xml:space="preserve"> σχ</w:t>
      </w:r>
      <w:r w:rsidR="00575C3B">
        <w:rPr>
          <w:rFonts w:ascii="Arial" w:hAnsi="Arial" w:cs="Arial"/>
          <w:lang w:val="el-GR"/>
        </w:rPr>
        <w:t>έση</w:t>
      </w:r>
      <w:r>
        <w:rPr>
          <w:rFonts w:ascii="Arial" w:hAnsi="Arial" w:cs="Arial"/>
          <w:lang w:val="el-GR"/>
        </w:rPr>
        <w:t xml:space="preserve"> μεταξύ της εμφάνισης καρκίνου</w:t>
      </w:r>
      <w:r w:rsidR="00C47A9E">
        <w:rPr>
          <w:rFonts w:ascii="Arial" w:hAnsi="Arial" w:cs="Arial"/>
          <w:lang w:val="el-GR"/>
        </w:rPr>
        <w:t xml:space="preserve"> του μαστού</w:t>
      </w:r>
      <w:r w:rsidR="00575C3B" w:rsidRPr="00575C3B">
        <w:rPr>
          <w:rFonts w:ascii="Arial" w:hAnsi="Arial" w:cs="Arial"/>
          <w:lang w:val="el-GR"/>
        </w:rPr>
        <w:t xml:space="preserve"> </w:t>
      </w:r>
      <w:r w:rsidR="00575C3B">
        <w:rPr>
          <w:rFonts w:ascii="Arial" w:hAnsi="Arial" w:cs="Arial"/>
          <w:lang w:val="el-GR"/>
        </w:rPr>
        <w:t>στους άνδρες και της μακροχρόνιας χρήσης ντουταστερίδης.</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 </w:t>
      </w:r>
    </w:p>
    <w:p w:rsidR="00690D83" w:rsidRPr="00187748" w:rsidRDefault="00690D83" w:rsidP="00A067F0">
      <w:pPr>
        <w:ind w:right="-11"/>
        <w:jc w:val="both"/>
        <w:rPr>
          <w:rFonts w:ascii="Arial" w:hAnsi="Arial" w:cs="Arial"/>
          <w:b/>
          <w:i/>
          <w:iCs/>
          <w:szCs w:val="22"/>
          <w:lang w:val="el-GR"/>
        </w:rPr>
      </w:pPr>
      <w:r w:rsidRPr="00187748">
        <w:rPr>
          <w:rFonts w:ascii="Arial" w:hAnsi="Arial" w:cs="Arial"/>
          <w:b/>
          <w:i/>
          <w:iCs/>
          <w:szCs w:val="22"/>
          <w:lang w:val="el-GR"/>
        </w:rPr>
        <w:t>Επίδραση στην ανδρική γονιμότητα:</w:t>
      </w:r>
    </w:p>
    <w:p w:rsidR="00690D83" w:rsidRPr="00187748" w:rsidRDefault="00690D83" w:rsidP="00A067F0">
      <w:pPr>
        <w:ind w:right="-11"/>
        <w:jc w:val="both"/>
        <w:rPr>
          <w:rFonts w:ascii="Arial" w:hAnsi="Arial" w:cs="Arial"/>
          <w:snapToGrid w:val="0"/>
          <w:szCs w:val="22"/>
          <w:lang w:val="el-GR"/>
        </w:rPr>
      </w:pPr>
      <w:r w:rsidRPr="00187748">
        <w:rPr>
          <w:rFonts w:ascii="Arial" w:hAnsi="Arial" w:cs="Arial"/>
          <w:iCs/>
          <w:szCs w:val="22"/>
          <w:lang w:val="el-GR"/>
        </w:rPr>
        <w:t xml:space="preserve">Οι επιδράσεις </w:t>
      </w:r>
      <w:r w:rsidR="00C41782" w:rsidRPr="00187748">
        <w:rPr>
          <w:rFonts w:ascii="Arial" w:hAnsi="Arial" w:cs="Arial"/>
          <w:iCs/>
          <w:szCs w:val="22"/>
          <w:lang w:val="el-GR"/>
        </w:rPr>
        <w:t>της ντουταστερίδης</w:t>
      </w:r>
      <w:r w:rsidRPr="00187748">
        <w:rPr>
          <w:rFonts w:ascii="Arial" w:hAnsi="Arial" w:cs="Arial"/>
          <w:iCs/>
          <w:szCs w:val="22"/>
          <w:lang w:val="el-GR"/>
        </w:rPr>
        <w:t xml:space="preserve"> 0.5 </w:t>
      </w:r>
      <w:r w:rsidRPr="00187748">
        <w:rPr>
          <w:rFonts w:ascii="Arial" w:hAnsi="Arial" w:cs="Arial"/>
          <w:iCs/>
          <w:szCs w:val="22"/>
          <w:lang w:val="en-GB"/>
        </w:rPr>
        <w:t>mg</w:t>
      </w:r>
      <w:r w:rsidRPr="00187748">
        <w:rPr>
          <w:rFonts w:ascii="Arial" w:hAnsi="Arial" w:cs="Arial"/>
          <w:iCs/>
          <w:szCs w:val="22"/>
          <w:lang w:val="el-GR"/>
        </w:rPr>
        <w:t>/ημέρα στα χαρακτηριστικά του σπέρματος αξιολογήθηκαν σε υγιείς εθελοντές ηλικίας 18 έως 52 ετών (</w:t>
      </w:r>
      <w:r w:rsidRPr="00187748">
        <w:rPr>
          <w:rFonts w:ascii="Arial" w:hAnsi="Arial" w:cs="Arial"/>
          <w:iCs/>
          <w:szCs w:val="22"/>
          <w:lang w:val="en-GB"/>
        </w:rPr>
        <w:t>n</w:t>
      </w:r>
      <w:r w:rsidRPr="00187748">
        <w:rPr>
          <w:rFonts w:ascii="Arial" w:hAnsi="Arial" w:cs="Arial"/>
          <w:iCs/>
          <w:szCs w:val="22"/>
          <w:lang w:val="el-GR"/>
        </w:rPr>
        <w:t xml:space="preserve">=27 </w:t>
      </w:r>
      <w:r w:rsidR="000F6CBD" w:rsidRPr="00187748">
        <w:rPr>
          <w:rFonts w:ascii="Arial" w:hAnsi="Arial" w:cs="Arial"/>
          <w:iCs/>
          <w:szCs w:val="22"/>
          <w:lang w:val="el-GR"/>
        </w:rPr>
        <w:t>ντουταστερίδη</w:t>
      </w:r>
      <w:r w:rsidRPr="00187748">
        <w:rPr>
          <w:rFonts w:ascii="Arial" w:hAnsi="Arial" w:cs="Arial"/>
          <w:iCs/>
          <w:szCs w:val="22"/>
          <w:lang w:val="el-GR"/>
        </w:rPr>
        <w:t xml:space="preserve">, </w:t>
      </w:r>
      <w:r w:rsidRPr="00187748">
        <w:rPr>
          <w:rFonts w:ascii="Arial" w:hAnsi="Arial" w:cs="Arial"/>
          <w:iCs/>
          <w:szCs w:val="22"/>
          <w:lang w:val="en-GB"/>
        </w:rPr>
        <w:t>n</w:t>
      </w:r>
      <w:r w:rsidRPr="00187748">
        <w:rPr>
          <w:rFonts w:ascii="Arial" w:hAnsi="Arial" w:cs="Arial"/>
          <w:iCs/>
          <w:szCs w:val="22"/>
          <w:lang w:val="el-GR"/>
        </w:rPr>
        <w:t xml:space="preserve">=23 εικονικό φάρμακο) μέσω θεραπείας 52 εβδομάδων και παρακολούθησης μετά τη θεραπεία για 24 εβδομάδες. Στις 52 εβδομάδες, η μέση ποσοστιαία μείωση από την αρχική τιμή στον συνολικό αριθμό </w:t>
      </w:r>
      <w:r w:rsidR="00A442F1" w:rsidRPr="00187748">
        <w:rPr>
          <w:rFonts w:ascii="Arial" w:hAnsi="Arial" w:cs="Arial"/>
          <w:iCs/>
          <w:szCs w:val="22"/>
          <w:lang w:val="el-GR"/>
        </w:rPr>
        <w:t xml:space="preserve">των </w:t>
      </w:r>
      <w:r w:rsidRPr="00187748">
        <w:rPr>
          <w:rFonts w:ascii="Arial" w:hAnsi="Arial" w:cs="Arial"/>
          <w:iCs/>
          <w:szCs w:val="22"/>
          <w:lang w:val="el-GR"/>
        </w:rPr>
        <w:t>σπερματοζωαρίων, στον όγκο</w:t>
      </w:r>
      <w:r w:rsidR="00A442F1" w:rsidRPr="00187748">
        <w:rPr>
          <w:rFonts w:ascii="Arial" w:hAnsi="Arial" w:cs="Arial"/>
          <w:iCs/>
          <w:szCs w:val="22"/>
          <w:lang w:val="el-GR"/>
        </w:rPr>
        <w:t xml:space="preserve"> του σπέρματος</w:t>
      </w:r>
      <w:r w:rsidR="00187748">
        <w:rPr>
          <w:rFonts w:ascii="Arial" w:hAnsi="Arial" w:cs="Arial"/>
          <w:iCs/>
          <w:szCs w:val="22"/>
          <w:lang w:val="el-GR"/>
        </w:rPr>
        <w:t xml:space="preserve"> </w:t>
      </w:r>
      <w:r w:rsidRPr="00187748">
        <w:rPr>
          <w:rFonts w:ascii="Arial" w:hAnsi="Arial" w:cs="Arial"/>
          <w:iCs/>
          <w:szCs w:val="22"/>
          <w:lang w:val="el-GR"/>
        </w:rPr>
        <w:t xml:space="preserve">και στην κινητικότητα των σπερματοζωαρίων ήταν  23%, 26% και 18% αντίστοιχα, στην ομάδα </w:t>
      </w:r>
      <w:r w:rsidR="00C41782" w:rsidRPr="00187748">
        <w:rPr>
          <w:rFonts w:ascii="Arial" w:hAnsi="Arial" w:cs="Arial"/>
          <w:iCs/>
          <w:szCs w:val="22"/>
          <w:lang w:val="el-GR"/>
        </w:rPr>
        <w:t>της ντουταστερίδης</w:t>
      </w:r>
      <w:r w:rsidRPr="00187748">
        <w:rPr>
          <w:rFonts w:ascii="Arial" w:hAnsi="Arial" w:cs="Arial"/>
          <w:iCs/>
          <w:szCs w:val="22"/>
          <w:lang w:val="el-GR"/>
        </w:rPr>
        <w:t xml:space="preserve"> όταν</w:t>
      </w:r>
      <w:r w:rsidRPr="00187748">
        <w:rPr>
          <w:rFonts w:ascii="Arial" w:hAnsi="Arial" w:cs="Arial"/>
          <w:bCs/>
          <w:iCs/>
          <w:szCs w:val="22"/>
          <w:lang w:val="el-GR"/>
        </w:rPr>
        <w:t xml:space="preserve"> προσαρμόσθηκαν για μεταβολές από την αρχική τιμή στην ομάδα του εικονικού φαρμάκου.</w:t>
      </w:r>
      <w:r w:rsidRPr="00187748">
        <w:rPr>
          <w:rFonts w:ascii="Arial" w:hAnsi="Arial" w:cs="Arial"/>
          <w:iCs/>
          <w:szCs w:val="22"/>
          <w:lang w:val="el-GR"/>
        </w:rPr>
        <w:t xml:space="preserve"> Η συγκέντρωση των σπερματοζωαρίων και η μορφολογία των σπερματοζωαρίων δεν επηρεάστηκαν. Μετά από παρακολούθηση 24 εβδομάδων από τη λήξη της θεραπείας η μέση ποσοστιαία μεταβολή του συνολικού αριθμού σπερματοζωαρίων στην ομάδα </w:t>
      </w:r>
      <w:r w:rsidR="00C41782" w:rsidRPr="00187748">
        <w:rPr>
          <w:rFonts w:ascii="Arial" w:hAnsi="Arial" w:cs="Arial"/>
          <w:iCs/>
          <w:szCs w:val="22"/>
          <w:lang w:val="el-GR"/>
        </w:rPr>
        <w:t>της ντουταστερίδης</w:t>
      </w:r>
      <w:r w:rsidRPr="00187748">
        <w:rPr>
          <w:rFonts w:ascii="Arial" w:hAnsi="Arial" w:cs="Arial"/>
          <w:iCs/>
          <w:szCs w:val="22"/>
          <w:lang w:val="el-GR"/>
        </w:rPr>
        <w:t xml:space="preserve"> παρέμεινε 23% χαμηλότερη από την αρχική τιμή. Παρότι οι μέσες τιμές για όλες τις παραμέτρους του σπέρματος σε όλα τα χρονικά σημεία παρέμειναν εντός των φυσιολογικών ορίων και δεν έφτασαν τα προκαθορισμένα κριτήρια για κλινικά σημαντική μεταβολή (30%), δύο άτομα της ομάδας </w:t>
      </w:r>
      <w:r w:rsidR="00C41782" w:rsidRPr="00187748">
        <w:rPr>
          <w:rFonts w:ascii="Arial" w:hAnsi="Arial" w:cs="Arial"/>
          <w:iCs/>
          <w:szCs w:val="22"/>
          <w:lang w:val="el-GR"/>
        </w:rPr>
        <w:t>της ντουταστερίδης</w:t>
      </w:r>
      <w:r w:rsidRPr="00187748">
        <w:rPr>
          <w:rFonts w:ascii="Arial" w:hAnsi="Arial" w:cs="Arial"/>
          <w:iCs/>
          <w:szCs w:val="22"/>
          <w:lang w:val="el-GR"/>
        </w:rPr>
        <w:t xml:space="preserve"> είχαν μειώσεις στον αριθμό των σπερματοζωαρίων μεγαλύτερες από 90% της αρχικής τιμής στις 52 εβδομάδες, με μερική ανάκτηση στις 24 εβδομάδες παρακολούθησης.</w:t>
      </w:r>
      <w:r w:rsidRPr="00187748">
        <w:rPr>
          <w:rFonts w:ascii="Arial" w:hAnsi="Arial" w:cs="Arial"/>
          <w:bCs/>
          <w:iCs/>
          <w:szCs w:val="22"/>
          <w:lang w:val="el-GR"/>
        </w:rPr>
        <w:t xml:space="preserve"> Η πιθανότητα μειωμένης ανδρικής γονιμότητας δεν μπορεί να </w:t>
      </w:r>
      <w:r w:rsidRPr="00263F10">
        <w:rPr>
          <w:rFonts w:ascii="Arial" w:hAnsi="Arial" w:cs="Arial"/>
          <w:bCs/>
          <w:iCs/>
          <w:szCs w:val="22"/>
          <w:lang w:val="el-GR"/>
        </w:rPr>
        <w:t>αποκλεισθεί.</w:t>
      </w:r>
    </w:p>
    <w:p w:rsidR="00690D83" w:rsidRPr="00404459" w:rsidRDefault="00690D83" w:rsidP="00A067F0">
      <w:pPr>
        <w:ind w:left="567" w:right="-11" w:hanging="567"/>
        <w:jc w:val="both"/>
        <w:rPr>
          <w:rFonts w:ascii="Arial" w:hAnsi="Arial" w:cs="Arial"/>
          <w:b/>
          <w:lang w:val="el-GR"/>
        </w:rPr>
      </w:pPr>
    </w:p>
    <w:p w:rsidR="00263F10" w:rsidRPr="00263F10" w:rsidRDefault="00263F10" w:rsidP="00A067F0">
      <w:pPr>
        <w:ind w:left="567" w:right="-11" w:hanging="567"/>
        <w:jc w:val="both"/>
        <w:rPr>
          <w:rFonts w:ascii="Arial" w:hAnsi="Arial" w:cs="Arial"/>
          <w:lang w:val="el-GR"/>
        </w:rPr>
      </w:pPr>
      <w:r w:rsidRPr="00263F10">
        <w:rPr>
          <w:rFonts w:ascii="Arial" w:hAnsi="Arial" w:cs="Arial"/>
          <w:lang w:val="el-GR"/>
        </w:rPr>
        <w:t xml:space="preserve">ΤΟ </w:t>
      </w:r>
      <w:r w:rsidRPr="00263F10">
        <w:rPr>
          <w:rFonts w:ascii="Arial" w:hAnsi="Arial" w:cs="Arial"/>
        </w:rPr>
        <w:t>DUAGEN</w:t>
      </w:r>
      <w:r w:rsidRPr="00263F10">
        <w:rPr>
          <w:rFonts w:ascii="Arial" w:hAnsi="Arial" w:cs="Arial"/>
          <w:lang w:val="el-GR"/>
        </w:rPr>
        <w:t xml:space="preserve"> ΣΕ ΣΥΝΔΥΑΣΜΟ ΜΕ ΤΟΝ ΑΛΦΑ ΑΠΟΚΛΕΙΣΤΗ ΤΑΜΣΟΥΛΟΣΙΝΗ</w:t>
      </w:r>
    </w:p>
    <w:p w:rsidR="00263F10" w:rsidRDefault="00263F10" w:rsidP="00A067F0">
      <w:pPr>
        <w:ind w:left="567" w:right="-11" w:hanging="567"/>
        <w:jc w:val="both"/>
        <w:rPr>
          <w:rFonts w:ascii="Arial" w:hAnsi="Arial" w:cs="Arial"/>
          <w:lang w:val="el-GR"/>
        </w:rPr>
      </w:pPr>
    </w:p>
    <w:p w:rsidR="001D075A" w:rsidRDefault="00263F10" w:rsidP="00030BA1">
      <w:pPr>
        <w:ind w:right="-11"/>
        <w:jc w:val="both"/>
        <w:rPr>
          <w:rFonts w:ascii="Arial" w:hAnsi="Arial" w:cs="Arial"/>
          <w:lang w:val="el-GR"/>
        </w:rPr>
      </w:pPr>
      <w:r>
        <w:rPr>
          <w:rFonts w:ascii="Arial" w:hAnsi="Arial" w:cs="Arial"/>
          <w:lang w:val="el-GR"/>
        </w:rPr>
        <w:t xml:space="preserve">Το </w:t>
      </w:r>
      <w:proofErr w:type="spellStart"/>
      <w:r>
        <w:rPr>
          <w:rFonts w:ascii="Arial" w:hAnsi="Arial" w:cs="Arial"/>
        </w:rPr>
        <w:t>Duagen</w:t>
      </w:r>
      <w:proofErr w:type="spellEnd"/>
      <w:r>
        <w:rPr>
          <w:rFonts w:ascii="Arial" w:hAnsi="Arial" w:cs="Arial"/>
          <w:lang w:val="el-GR"/>
        </w:rPr>
        <w:t xml:space="preserve"> 0.5 </w:t>
      </w:r>
      <w:r>
        <w:rPr>
          <w:rFonts w:ascii="Arial" w:hAnsi="Arial" w:cs="Arial"/>
        </w:rPr>
        <w:t>mg</w:t>
      </w:r>
      <w:r w:rsidRPr="00263F10">
        <w:rPr>
          <w:rFonts w:ascii="Arial" w:hAnsi="Arial" w:cs="Arial"/>
          <w:lang w:val="el-GR"/>
        </w:rPr>
        <w:t>/</w:t>
      </w:r>
      <w:r>
        <w:rPr>
          <w:rFonts w:ascii="Arial" w:hAnsi="Arial" w:cs="Arial"/>
          <w:lang w:val="el-GR"/>
        </w:rPr>
        <w:t>ημέρα (</w:t>
      </w:r>
      <w:r>
        <w:rPr>
          <w:rFonts w:ascii="Arial" w:hAnsi="Arial" w:cs="Arial"/>
        </w:rPr>
        <w:t>n</w:t>
      </w:r>
      <w:r w:rsidRPr="00263F10">
        <w:rPr>
          <w:rFonts w:ascii="Arial" w:hAnsi="Arial" w:cs="Arial"/>
          <w:lang w:val="el-GR"/>
        </w:rPr>
        <w:t>=</w:t>
      </w:r>
      <w:r>
        <w:rPr>
          <w:rFonts w:ascii="Arial" w:hAnsi="Arial" w:cs="Arial"/>
          <w:lang w:val="el-GR"/>
        </w:rPr>
        <w:t xml:space="preserve"> 1.623), η ταμσουλοσίνη 0.4 </w:t>
      </w:r>
      <w:r>
        <w:rPr>
          <w:rFonts w:ascii="Arial" w:hAnsi="Arial" w:cs="Arial"/>
        </w:rPr>
        <w:t>mg</w:t>
      </w:r>
      <w:r w:rsidRPr="00263F10">
        <w:rPr>
          <w:rFonts w:ascii="Arial" w:hAnsi="Arial" w:cs="Arial"/>
          <w:lang w:val="el-GR"/>
        </w:rPr>
        <w:t>/</w:t>
      </w:r>
      <w:r>
        <w:rPr>
          <w:rFonts w:ascii="Arial" w:hAnsi="Arial" w:cs="Arial"/>
          <w:lang w:val="el-GR"/>
        </w:rPr>
        <w:t>ημέρα (</w:t>
      </w:r>
      <w:r>
        <w:rPr>
          <w:rFonts w:ascii="Arial" w:hAnsi="Arial" w:cs="Arial"/>
        </w:rPr>
        <w:t>n</w:t>
      </w:r>
      <w:r w:rsidRPr="00263F10">
        <w:rPr>
          <w:rFonts w:ascii="Arial" w:hAnsi="Arial" w:cs="Arial"/>
          <w:lang w:val="el-GR"/>
        </w:rPr>
        <w:t>=</w:t>
      </w:r>
      <w:r>
        <w:rPr>
          <w:rFonts w:ascii="Arial" w:hAnsi="Arial" w:cs="Arial"/>
          <w:lang w:val="el-GR"/>
        </w:rPr>
        <w:t xml:space="preserve"> 1.611) ή ο συνδυασμός </w:t>
      </w:r>
      <w:proofErr w:type="spellStart"/>
      <w:r>
        <w:rPr>
          <w:rFonts w:ascii="Arial" w:hAnsi="Arial" w:cs="Arial"/>
        </w:rPr>
        <w:t>Duagen</w:t>
      </w:r>
      <w:proofErr w:type="spellEnd"/>
      <w:r>
        <w:rPr>
          <w:rFonts w:ascii="Arial" w:hAnsi="Arial" w:cs="Arial"/>
          <w:lang w:val="el-GR"/>
        </w:rPr>
        <w:t xml:space="preserve"> 0.5 </w:t>
      </w:r>
      <w:r>
        <w:rPr>
          <w:rFonts w:ascii="Arial" w:hAnsi="Arial" w:cs="Arial"/>
        </w:rPr>
        <w:t>mg</w:t>
      </w:r>
      <w:r>
        <w:rPr>
          <w:rFonts w:ascii="Arial" w:hAnsi="Arial" w:cs="Arial"/>
          <w:lang w:val="el-GR"/>
        </w:rPr>
        <w:t xml:space="preserve"> και ταμσουλοσίνη 0.4 </w:t>
      </w:r>
      <w:r>
        <w:rPr>
          <w:rFonts w:ascii="Arial" w:hAnsi="Arial" w:cs="Arial"/>
        </w:rPr>
        <w:t>mg</w:t>
      </w:r>
      <w:r>
        <w:rPr>
          <w:rFonts w:ascii="Arial" w:hAnsi="Arial" w:cs="Arial"/>
          <w:lang w:val="el-GR"/>
        </w:rPr>
        <w:t xml:space="preserve"> (</w:t>
      </w:r>
      <w:r>
        <w:rPr>
          <w:rFonts w:ascii="Arial" w:hAnsi="Arial" w:cs="Arial"/>
        </w:rPr>
        <w:t>n</w:t>
      </w:r>
      <w:r w:rsidRPr="00263F10">
        <w:rPr>
          <w:rFonts w:ascii="Arial" w:hAnsi="Arial" w:cs="Arial"/>
          <w:lang w:val="el-GR"/>
        </w:rPr>
        <w:t>=</w:t>
      </w:r>
      <w:r>
        <w:rPr>
          <w:rFonts w:ascii="Arial" w:hAnsi="Arial" w:cs="Arial"/>
          <w:lang w:val="el-GR"/>
        </w:rPr>
        <w:t xml:space="preserve"> 1.610) αξιολογήθηκαν σε άρρενες με μέτρια έως σοβαρά συμπτώματα ΚΥΠ που είχαν προστάτη ≥ 30</w:t>
      </w:r>
      <w:r>
        <w:rPr>
          <w:rFonts w:ascii="Arial" w:hAnsi="Arial" w:cs="Arial"/>
        </w:rPr>
        <w:t>ml</w:t>
      </w:r>
      <w:r>
        <w:rPr>
          <w:rFonts w:ascii="Arial" w:hAnsi="Arial" w:cs="Arial"/>
          <w:lang w:val="el-GR"/>
        </w:rPr>
        <w:t xml:space="preserve"> και τιμή </w:t>
      </w:r>
      <w:r>
        <w:rPr>
          <w:rFonts w:ascii="Arial" w:hAnsi="Arial" w:cs="Arial"/>
        </w:rPr>
        <w:t>PSA</w:t>
      </w:r>
      <w:r>
        <w:rPr>
          <w:rFonts w:ascii="Arial" w:hAnsi="Arial" w:cs="Arial"/>
          <w:lang w:val="el-GR"/>
        </w:rPr>
        <w:t xml:space="preserve"> εντός του ορ</w:t>
      </w:r>
      <w:r w:rsidR="00D06654">
        <w:rPr>
          <w:rFonts w:ascii="Arial" w:hAnsi="Arial" w:cs="Arial"/>
          <w:lang w:val="el-GR"/>
        </w:rPr>
        <w:t>ίου των 1.5</w:t>
      </w:r>
      <w:r>
        <w:rPr>
          <w:rFonts w:ascii="Arial" w:hAnsi="Arial" w:cs="Arial"/>
          <w:lang w:val="el-GR"/>
        </w:rPr>
        <w:t xml:space="preserve">-10 </w:t>
      </w:r>
      <w:proofErr w:type="spellStart"/>
      <w:r>
        <w:rPr>
          <w:rFonts w:ascii="Arial" w:hAnsi="Arial" w:cs="Arial"/>
        </w:rPr>
        <w:t>ng</w:t>
      </w:r>
      <w:proofErr w:type="spellEnd"/>
      <w:r w:rsidRPr="00263F10">
        <w:rPr>
          <w:rFonts w:ascii="Arial" w:hAnsi="Arial" w:cs="Arial"/>
          <w:lang w:val="el-GR"/>
        </w:rPr>
        <w:t>/</w:t>
      </w:r>
      <w:r>
        <w:rPr>
          <w:rFonts w:ascii="Arial" w:hAnsi="Arial" w:cs="Arial"/>
        </w:rPr>
        <w:t>ml</w:t>
      </w:r>
      <w:r>
        <w:rPr>
          <w:rFonts w:ascii="Arial" w:hAnsi="Arial" w:cs="Arial"/>
          <w:lang w:val="el-GR"/>
        </w:rPr>
        <w:t xml:space="preserve"> σε μια πολυεθνική, πολυκεντρική, τυχαιοποιημένη, διπλή τυφλή παράλληλων ομάδων μελέτη</w:t>
      </w:r>
      <w:r w:rsidR="00575C3B">
        <w:rPr>
          <w:rFonts w:ascii="Arial" w:hAnsi="Arial" w:cs="Arial"/>
          <w:lang w:val="el-GR"/>
        </w:rPr>
        <w:t xml:space="preserve"> (μελέτη </w:t>
      </w:r>
      <w:proofErr w:type="spellStart"/>
      <w:r w:rsidR="00575C3B">
        <w:rPr>
          <w:rFonts w:ascii="Arial" w:hAnsi="Arial" w:cs="Arial"/>
        </w:rPr>
        <w:t>CombaT</w:t>
      </w:r>
      <w:proofErr w:type="spellEnd"/>
      <w:r w:rsidR="00575C3B" w:rsidRPr="00575C3B">
        <w:rPr>
          <w:rFonts w:ascii="Arial" w:hAnsi="Arial" w:cs="Arial"/>
          <w:lang w:val="el-GR"/>
        </w:rPr>
        <w:t>)</w:t>
      </w:r>
      <w:r>
        <w:rPr>
          <w:rFonts w:ascii="Arial" w:hAnsi="Arial" w:cs="Arial"/>
          <w:lang w:val="el-GR"/>
        </w:rPr>
        <w:t>. Πε</w:t>
      </w:r>
      <w:r w:rsidR="00D06654">
        <w:rPr>
          <w:rFonts w:ascii="Arial" w:hAnsi="Arial" w:cs="Arial"/>
          <w:lang w:val="el-GR"/>
        </w:rPr>
        <w:t>ρί</w:t>
      </w:r>
      <w:r>
        <w:rPr>
          <w:rFonts w:ascii="Arial" w:hAnsi="Arial" w:cs="Arial"/>
          <w:lang w:val="el-GR"/>
        </w:rPr>
        <w:t>που 5</w:t>
      </w:r>
      <w:r w:rsidR="00D4489B">
        <w:rPr>
          <w:rFonts w:ascii="Arial" w:hAnsi="Arial" w:cs="Arial"/>
          <w:lang w:val="el-GR"/>
        </w:rPr>
        <w:t>3</w:t>
      </w:r>
      <w:r>
        <w:rPr>
          <w:rFonts w:ascii="Arial" w:hAnsi="Arial" w:cs="Arial"/>
          <w:lang w:val="el-GR"/>
        </w:rPr>
        <w:t>% των ατόμων</w:t>
      </w:r>
      <w:r w:rsidR="00D06654">
        <w:rPr>
          <w:rFonts w:ascii="Arial" w:hAnsi="Arial" w:cs="Arial"/>
          <w:lang w:val="el-GR"/>
        </w:rPr>
        <w:t xml:space="preserve"> </w:t>
      </w:r>
      <w:r>
        <w:rPr>
          <w:rFonts w:ascii="Arial" w:hAnsi="Arial" w:cs="Arial"/>
          <w:lang w:val="el-GR"/>
        </w:rPr>
        <w:t xml:space="preserve">είχαν προηγούμενη έκθεση σε θεραπεία με αναστολέα της </w:t>
      </w:r>
      <w:r w:rsidR="00D06654">
        <w:rPr>
          <w:rFonts w:ascii="Arial" w:hAnsi="Arial" w:cs="Arial"/>
          <w:lang w:val="el-GR"/>
        </w:rPr>
        <w:t>5-ά</w:t>
      </w:r>
      <w:r>
        <w:rPr>
          <w:rFonts w:ascii="Arial" w:hAnsi="Arial" w:cs="Arial"/>
          <w:lang w:val="el-GR"/>
        </w:rPr>
        <w:t>λφα</w:t>
      </w:r>
      <w:r w:rsidR="00D06654">
        <w:rPr>
          <w:rFonts w:ascii="Arial" w:hAnsi="Arial" w:cs="Arial"/>
          <w:lang w:val="el-GR"/>
        </w:rPr>
        <w:t xml:space="preserve"> αναγωγάσης</w:t>
      </w:r>
      <w:r w:rsidR="00D4489B">
        <w:rPr>
          <w:rFonts w:ascii="Arial" w:hAnsi="Arial" w:cs="Arial"/>
          <w:lang w:val="el-GR"/>
        </w:rPr>
        <w:t xml:space="preserve"> ή</w:t>
      </w:r>
      <w:r w:rsidR="00D06654">
        <w:rPr>
          <w:rFonts w:ascii="Arial" w:hAnsi="Arial" w:cs="Arial"/>
          <w:lang w:val="el-GR"/>
        </w:rPr>
        <w:t xml:space="preserve"> άλφα αποκλειστή. </w:t>
      </w:r>
      <w:r w:rsidR="007D1C03">
        <w:rPr>
          <w:rFonts w:ascii="Arial" w:hAnsi="Arial" w:cs="Arial"/>
          <w:lang w:val="el-GR"/>
        </w:rPr>
        <w:t>Πρωτεύο</w:t>
      </w:r>
      <w:r w:rsidR="00D4489B">
        <w:rPr>
          <w:rFonts w:ascii="Arial" w:hAnsi="Arial" w:cs="Arial"/>
          <w:lang w:val="el-GR"/>
        </w:rPr>
        <w:t xml:space="preserve">ν </w:t>
      </w:r>
      <w:r w:rsidR="00D06654">
        <w:rPr>
          <w:rFonts w:ascii="Arial" w:hAnsi="Arial" w:cs="Arial"/>
          <w:lang w:val="el-GR"/>
        </w:rPr>
        <w:t>τελικ</w:t>
      </w:r>
      <w:r w:rsidR="00D4489B">
        <w:rPr>
          <w:rFonts w:ascii="Arial" w:hAnsi="Arial" w:cs="Arial"/>
          <w:lang w:val="el-GR"/>
        </w:rPr>
        <w:t>ό</w:t>
      </w:r>
      <w:r w:rsidR="00D06654">
        <w:rPr>
          <w:rFonts w:ascii="Arial" w:hAnsi="Arial" w:cs="Arial"/>
          <w:lang w:val="el-GR"/>
        </w:rPr>
        <w:t xml:space="preserve"> σημεί</w:t>
      </w:r>
      <w:r w:rsidR="00D4489B">
        <w:rPr>
          <w:rFonts w:ascii="Arial" w:hAnsi="Arial" w:cs="Arial"/>
          <w:lang w:val="el-GR"/>
        </w:rPr>
        <w:t>ο</w:t>
      </w:r>
      <w:r w:rsidR="00D06654">
        <w:rPr>
          <w:rFonts w:ascii="Arial" w:hAnsi="Arial" w:cs="Arial"/>
          <w:lang w:val="el-GR"/>
        </w:rPr>
        <w:t xml:space="preserve"> αποτελεσματικότητας κατά τη διάρκεια των πρώτων 2 ετών θεραπείας ήταν η μεταβολή του </w:t>
      </w:r>
      <w:r w:rsidR="00D06654">
        <w:rPr>
          <w:rFonts w:ascii="Arial" w:hAnsi="Arial" w:cs="Arial"/>
        </w:rPr>
        <w:t>International</w:t>
      </w:r>
      <w:r w:rsidR="00D06654" w:rsidRPr="00D06654">
        <w:rPr>
          <w:rFonts w:ascii="Arial" w:hAnsi="Arial" w:cs="Arial"/>
          <w:lang w:val="el-GR"/>
        </w:rPr>
        <w:t xml:space="preserve"> </w:t>
      </w:r>
      <w:r w:rsidR="00D06654">
        <w:rPr>
          <w:rFonts w:ascii="Arial" w:hAnsi="Arial" w:cs="Arial"/>
        </w:rPr>
        <w:t>Prostate</w:t>
      </w:r>
      <w:r w:rsidR="00D06654" w:rsidRPr="00D06654">
        <w:rPr>
          <w:rFonts w:ascii="Arial" w:hAnsi="Arial" w:cs="Arial"/>
          <w:lang w:val="el-GR"/>
        </w:rPr>
        <w:t xml:space="preserve"> </w:t>
      </w:r>
      <w:r w:rsidR="00D06654">
        <w:rPr>
          <w:rFonts w:ascii="Arial" w:hAnsi="Arial" w:cs="Arial"/>
        </w:rPr>
        <w:t>Symptom</w:t>
      </w:r>
      <w:r w:rsidR="00D06654" w:rsidRPr="00D06654">
        <w:rPr>
          <w:rFonts w:ascii="Arial" w:hAnsi="Arial" w:cs="Arial"/>
          <w:lang w:val="el-GR"/>
        </w:rPr>
        <w:t xml:space="preserve"> </w:t>
      </w:r>
      <w:r w:rsidR="00D06654">
        <w:rPr>
          <w:rFonts w:ascii="Arial" w:hAnsi="Arial" w:cs="Arial"/>
        </w:rPr>
        <w:t>Score</w:t>
      </w:r>
      <w:r w:rsidR="00D06654">
        <w:rPr>
          <w:rFonts w:ascii="Arial" w:hAnsi="Arial" w:cs="Arial"/>
          <w:lang w:val="el-GR"/>
        </w:rPr>
        <w:t xml:space="preserve"> (</w:t>
      </w:r>
      <w:r w:rsidR="00D06654">
        <w:rPr>
          <w:rFonts w:ascii="Arial" w:hAnsi="Arial" w:cs="Arial"/>
        </w:rPr>
        <w:t>IPSS</w:t>
      </w:r>
      <w:r w:rsidR="00D06654" w:rsidRPr="00D06654">
        <w:rPr>
          <w:rFonts w:ascii="Arial" w:hAnsi="Arial" w:cs="Arial"/>
          <w:lang w:val="el-GR"/>
        </w:rPr>
        <w:t>)</w:t>
      </w:r>
      <w:r w:rsidR="00D4489B">
        <w:rPr>
          <w:rFonts w:ascii="Arial" w:hAnsi="Arial" w:cs="Arial"/>
          <w:lang w:val="el-GR"/>
        </w:rPr>
        <w:t>, το οποίο είναι</w:t>
      </w:r>
      <w:r w:rsidR="00D4489B" w:rsidRPr="00D4489B">
        <w:rPr>
          <w:rFonts w:ascii="Arial" w:hAnsi="Arial" w:cs="Arial"/>
          <w:lang w:val="el-GR"/>
        </w:rPr>
        <w:t xml:space="preserve"> </w:t>
      </w:r>
      <w:r w:rsidR="00D4489B">
        <w:rPr>
          <w:rFonts w:ascii="Arial" w:hAnsi="Arial" w:cs="Arial"/>
          <w:lang w:val="el-GR"/>
        </w:rPr>
        <w:t xml:space="preserve">ένα εργαλείο 8 στοιχείων βασισμένο στο </w:t>
      </w:r>
      <w:r w:rsidR="00D4489B">
        <w:rPr>
          <w:rFonts w:ascii="Arial" w:hAnsi="Arial" w:cs="Arial"/>
        </w:rPr>
        <w:t>AUA</w:t>
      </w:r>
      <w:r w:rsidR="00D4489B" w:rsidRPr="00D06654">
        <w:rPr>
          <w:rFonts w:ascii="Arial" w:hAnsi="Arial" w:cs="Arial"/>
          <w:lang w:val="el-GR"/>
        </w:rPr>
        <w:t>-</w:t>
      </w:r>
      <w:r w:rsidR="00D4489B">
        <w:rPr>
          <w:rFonts w:ascii="Arial" w:hAnsi="Arial" w:cs="Arial"/>
        </w:rPr>
        <w:t>SI</w:t>
      </w:r>
      <w:r w:rsidR="00D4489B" w:rsidRPr="00D06654">
        <w:rPr>
          <w:rFonts w:ascii="Arial" w:hAnsi="Arial" w:cs="Arial"/>
          <w:lang w:val="el-GR"/>
        </w:rPr>
        <w:t xml:space="preserve"> </w:t>
      </w:r>
      <w:r w:rsidR="00D4489B">
        <w:rPr>
          <w:rFonts w:ascii="Arial" w:hAnsi="Arial" w:cs="Arial"/>
          <w:lang w:val="el-GR"/>
        </w:rPr>
        <w:t xml:space="preserve">με μια επιπλέον ερώτηση σχετικά με την ποιότητα ζωής. Δευτερεύοντα τελικά σημεία αποτελεσματικότητας ύστερα από 2 χρόνια ήταν </w:t>
      </w:r>
      <w:r w:rsidR="00D06654">
        <w:rPr>
          <w:rFonts w:ascii="Arial" w:hAnsi="Arial" w:cs="Arial"/>
          <w:lang w:val="el-GR"/>
        </w:rPr>
        <w:t xml:space="preserve">η μέγιστη </w:t>
      </w:r>
      <w:r w:rsidR="007D1C03">
        <w:rPr>
          <w:rFonts w:ascii="Arial" w:hAnsi="Arial" w:cs="Arial"/>
          <w:lang w:val="el-GR"/>
        </w:rPr>
        <w:t xml:space="preserve">ταχύτητα </w:t>
      </w:r>
      <w:r w:rsidR="00D06654">
        <w:rPr>
          <w:rFonts w:ascii="Arial" w:hAnsi="Arial" w:cs="Arial"/>
          <w:lang w:val="el-GR"/>
        </w:rPr>
        <w:t>ροή</w:t>
      </w:r>
      <w:r w:rsidR="007D1C03">
        <w:rPr>
          <w:rFonts w:ascii="Arial" w:hAnsi="Arial" w:cs="Arial"/>
          <w:lang w:val="el-GR"/>
        </w:rPr>
        <w:t>ς</w:t>
      </w:r>
      <w:r w:rsidR="00D06654">
        <w:rPr>
          <w:rFonts w:ascii="Arial" w:hAnsi="Arial" w:cs="Arial"/>
          <w:lang w:val="el-GR"/>
        </w:rPr>
        <w:t xml:space="preserve"> ούρων (</w:t>
      </w:r>
      <w:proofErr w:type="spellStart"/>
      <w:r w:rsidR="00D06654">
        <w:rPr>
          <w:rFonts w:ascii="Arial" w:hAnsi="Arial" w:cs="Arial"/>
        </w:rPr>
        <w:t>Qmax</w:t>
      </w:r>
      <w:proofErr w:type="spellEnd"/>
      <w:r w:rsidR="00D06654" w:rsidRPr="00D06654">
        <w:rPr>
          <w:rFonts w:ascii="Arial" w:hAnsi="Arial" w:cs="Arial"/>
          <w:lang w:val="el-GR"/>
        </w:rPr>
        <w:t>)</w:t>
      </w:r>
      <w:r w:rsidR="00D06654">
        <w:rPr>
          <w:rFonts w:ascii="Arial" w:hAnsi="Arial" w:cs="Arial"/>
          <w:lang w:val="el-GR"/>
        </w:rPr>
        <w:t xml:space="preserve"> και ο όγκος του προστάτη. </w:t>
      </w:r>
      <w:r w:rsidR="000A7BDA">
        <w:rPr>
          <w:rFonts w:ascii="Arial" w:hAnsi="Arial" w:cs="Arial"/>
          <w:lang w:val="el-GR"/>
        </w:rPr>
        <w:t>Ο συνδυασμός πέτυχε σημαντικότητα</w:t>
      </w:r>
      <w:r w:rsidR="00D24145">
        <w:rPr>
          <w:rFonts w:ascii="Arial" w:hAnsi="Arial" w:cs="Arial"/>
          <w:lang w:val="el-GR"/>
        </w:rPr>
        <w:t xml:space="preserve"> για τον </w:t>
      </w:r>
      <w:r w:rsidR="00D24145">
        <w:rPr>
          <w:rFonts w:ascii="Arial" w:hAnsi="Arial" w:cs="Arial"/>
        </w:rPr>
        <w:t>IPSS</w:t>
      </w:r>
      <w:r w:rsidR="00D24145" w:rsidRPr="00D24145">
        <w:rPr>
          <w:rFonts w:ascii="Arial" w:hAnsi="Arial" w:cs="Arial"/>
          <w:lang w:val="el-GR"/>
        </w:rPr>
        <w:t xml:space="preserve"> </w:t>
      </w:r>
      <w:r w:rsidR="00D24145">
        <w:rPr>
          <w:rFonts w:ascii="Arial" w:hAnsi="Arial" w:cs="Arial"/>
          <w:lang w:val="el-GR"/>
        </w:rPr>
        <w:t xml:space="preserve">από τον Μήνα 3 σε σχέση με το </w:t>
      </w:r>
      <w:proofErr w:type="spellStart"/>
      <w:r w:rsidR="00D24145">
        <w:rPr>
          <w:rFonts w:ascii="Arial" w:hAnsi="Arial" w:cs="Arial"/>
        </w:rPr>
        <w:t>Duagen</w:t>
      </w:r>
      <w:proofErr w:type="spellEnd"/>
      <w:r w:rsidR="00D24145" w:rsidRPr="00D24145">
        <w:rPr>
          <w:rFonts w:ascii="Arial" w:hAnsi="Arial" w:cs="Arial"/>
          <w:lang w:val="el-GR"/>
        </w:rPr>
        <w:t xml:space="preserve"> </w:t>
      </w:r>
      <w:r w:rsidR="00D24145">
        <w:rPr>
          <w:rFonts w:ascii="Arial" w:hAnsi="Arial" w:cs="Arial"/>
          <w:lang w:val="el-GR"/>
        </w:rPr>
        <w:t>και από τον Μήνα 9 σε σχέση με την ταμσουλοσίνη.</w:t>
      </w:r>
      <w:r w:rsidR="007D1C03">
        <w:rPr>
          <w:rFonts w:ascii="Arial" w:hAnsi="Arial" w:cs="Arial"/>
          <w:lang w:val="el-GR"/>
        </w:rPr>
        <w:t xml:space="preserve"> Για το </w:t>
      </w:r>
      <w:proofErr w:type="spellStart"/>
      <w:r w:rsidR="007D1C03">
        <w:rPr>
          <w:rFonts w:ascii="Arial" w:hAnsi="Arial" w:cs="Arial"/>
        </w:rPr>
        <w:t>Qmax</w:t>
      </w:r>
      <w:proofErr w:type="spellEnd"/>
      <w:r w:rsidR="007D1C03" w:rsidRPr="007D1C03">
        <w:rPr>
          <w:rFonts w:ascii="Arial" w:hAnsi="Arial" w:cs="Arial"/>
          <w:lang w:val="el-GR"/>
        </w:rPr>
        <w:t xml:space="preserve"> </w:t>
      </w:r>
      <w:r w:rsidR="007D1C03">
        <w:rPr>
          <w:rFonts w:ascii="Arial" w:hAnsi="Arial" w:cs="Arial"/>
          <w:lang w:val="el-GR"/>
        </w:rPr>
        <w:t xml:space="preserve">ο συνδυασμός πέτυχε σημαντικότητα από τον Μήνα 6 σε σχέση τόσο με το </w:t>
      </w:r>
      <w:proofErr w:type="spellStart"/>
      <w:r w:rsidR="007D1C03">
        <w:rPr>
          <w:rFonts w:ascii="Arial" w:hAnsi="Arial" w:cs="Arial"/>
        </w:rPr>
        <w:t>Duagen</w:t>
      </w:r>
      <w:proofErr w:type="spellEnd"/>
      <w:r w:rsidR="007D1C03" w:rsidRPr="007D1C03">
        <w:rPr>
          <w:rFonts w:ascii="Arial" w:hAnsi="Arial" w:cs="Arial"/>
          <w:lang w:val="el-GR"/>
        </w:rPr>
        <w:t xml:space="preserve"> </w:t>
      </w:r>
      <w:r w:rsidR="007D1C03">
        <w:rPr>
          <w:rFonts w:ascii="Arial" w:hAnsi="Arial" w:cs="Arial"/>
          <w:lang w:val="el-GR"/>
        </w:rPr>
        <w:t>όσο και με την ταμσουλοσίνη.</w:t>
      </w:r>
    </w:p>
    <w:p w:rsidR="00030BA1" w:rsidRPr="00030BA1" w:rsidRDefault="00030BA1" w:rsidP="00263F10">
      <w:pPr>
        <w:ind w:right="-11"/>
        <w:jc w:val="both"/>
        <w:rPr>
          <w:rFonts w:ascii="Arial" w:hAnsi="Arial" w:cs="Arial"/>
          <w:lang w:val="el-GR"/>
        </w:rPr>
      </w:pPr>
      <w:r>
        <w:rPr>
          <w:rFonts w:ascii="Arial" w:hAnsi="Arial" w:cs="Arial"/>
          <w:lang w:val="el-GR"/>
        </w:rPr>
        <w:t xml:space="preserve">Το πρωτεύον τελικό σημείο σημαντικότητας ύστερα από 4 χρόνια θεραπείας ήταν ο χρόνος </w:t>
      </w:r>
      <w:r w:rsidR="001D075A">
        <w:rPr>
          <w:rFonts w:ascii="Arial" w:hAnsi="Arial" w:cs="Arial"/>
          <w:lang w:val="el-GR"/>
        </w:rPr>
        <w:t>μέχρι το πρώτο χειρουργείο σχετ</w:t>
      </w:r>
      <w:r>
        <w:rPr>
          <w:rFonts w:ascii="Arial" w:hAnsi="Arial" w:cs="Arial"/>
          <w:lang w:val="el-GR"/>
        </w:rPr>
        <w:t>ιζόμενο με οξεία κατακράτηση ούρων (</w:t>
      </w:r>
      <w:r>
        <w:rPr>
          <w:rFonts w:ascii="Arial" w:hAnsi="Arial" w:cs="Arial"/>
        </w:rPr>
        <w:t>AUR</w:t>
      </w:r>
      <w:r w:rsidRPr="00030BA1">
        <w:rPr>
          <w:rFonts w:ascii="Arial" w:hAnsi="Arial" w:cs="Arial"/>
          <w:lang w:val="el-GR"/>
        </w:rPr>
        <w:t>)</w:t>
      </w:r>
      <w:r>
        <w:rPr>
          <w:rFonts w:ascii="Arial" w:hAnsi="Arial" w:cs="Arial"/>
          <w:lang w:val="el-GR"/>
        </w:rPr>
        <w:t xml:space="preserve"> ή καλοήθη υπερπλασία προστάτη</w:t>
      </w:r>
      <w:r w:rsidRPr="00030BA1">
        <w:rPr>
          <w:rFonts w:ascii="Arial" w:hAnsi="Arial" w:cs="Arial"/>
          <w:lang w:val="el-GR"/>
        </w:rPr>
        <w:t xml:space="preserve"> (</w:t>
      </w:r>
      <w:r w:rsidR="0063541F">
        <w:rPr>
          <w:rFonts w:ascii="Arial" w:hAnsi="Arial" w:cs="Arial"/>
          <w:lang w:val="el-GR"/>
        </w:rPr>
        <w:t>ΚΥΠ</w:t>
      </w:r>
      <w:r w:rsidRPr="00030BA1">
        <w:rPr>
          <w:rFonts w:ascii="Arial" w:hAnsi="Arial" w:cs="Arial"/>
          <w:lang w:val="el-GR"/>
        </w:rPr>
        <w:t>)</w:t>
      </w:r>
      <w:r>
        <w:rPr>
          <w:rFonts w:ascii="Arial" w:hAnsi="Arial" w:cs="Arial"/>
          <w:lang w:val="el-GR"/>
        </w:rPr>
        <w:t xml:space="preserve">. </w:t>
      </w:r>
      <w:r w:rsidR="00B36149">
        <w:rPr>
          <w:rFonts w:ascii="Arial" w:hAnsi="Arial" w:cs="Arial"/>
          <w:lang w:val="el-GR"/>
        </w:rPr>
        <w:t>Ύστερα</w:t>
      </w:r>
      <w:r>
        <w:rPr>
          <w:rFonts w:ascii="Arial" w:hAnsi="Arial" w:cs="Arial"/>
          <w:lang w:val="el-GR"/>
        </w:rPr>
        <w:t xml:space="preserve"> από 4 χρόνια θεραπείας, η συνδυαστική θεραπεία πέτυχε στατιστικά σημαντική μείωση του κινδύνου εμφάνισης χειρουργείου σχετιζόμενου με </w:t>
      </w:r>
      <w:r>
        <w:rPr>
          <w:rFonts w:ascii="Arial" w:hAnsi="Arial" w:cs="Arial"/>
        </w:rPr>
        <w:t>AUR</w:t>
      </w:r>
      <w:r w:rsidRPr="00030BA1">
        <w:rPr>
          <w:rFonts w:ascii="Arial" w:hAnsi="Arial" w:cs="Arial"/>
          <w:lang w:val="el-GR"/>
        </w:rPr>
        <w:t xml:space="preserve"> </w:t>
      </w:r>
      <w:r>
        <w:rPr>
          <w:rFonts w:ascii="Arial" w:hAnsi="Arial" w:cs="Arial"/>
          <w:lang w:val="el-GR"/>
        </w:rPr>
        <w:t xml:space="preserve">ή </w:t>
      </w:r>
      <w:r w:rsidR="0063541F">
        <w:rPr>
          <w:rFonts w:ascii="Arial" w:hAnsi="Arial" w:cs="Arial"/>
          <w:lang w:val="el-GR"/>
        </w:rPr>
        <w:t>ΚΥΠ</w:t>
      </w:r>
      <w:r w:rsidRPr="00030BA1">
        <w:rPr>
          <w:rFonts w:ascii="Arial" w:hAnsi="Arial" w:cs="Arial"/>
          <w:lang w:val="el-GR"/>
        </w:rPr>
        <w:t xml:space="preserve"> (65.8% </w:t>
      </w:r>
      <w:r>
        <w:rPr>
          <w:rFonts w:ascii="Arial" w:hAnsi="Arial" w:cs="Arial"/>
          <w:lang w:val="el-GR"/>
        </w:rPr>
        <w:t xml:space="preserve">μείωση στο κίνδυνο </w:t>
      </w:r>
      <w:r>
        <w:rPr>
          <w:rFonts w:ascii="Arial" w:hAnsi="Arial" w:cs="Arial"/>
        </w:rPr>
        <w:t>p</w:t>
      </w:r>
      <w:r w:rsidR="001D075A">
        <w:rPr>
          <w:rFonts w:ascii="Arial" w:hAnsi="Arial" w:cs="Arial"/>
          <w:lang w:val="el-GR"/>
        </w:rPr>
        <w:t>&lt;</w:t>
      </w:r>
      <w:r w:rsidRPr="00030BA1">
        <w:rPr>
          <w:rFonts w:ascii="Arial" w:hAnsi="Arial" w:cs="Arial"/>
          <w:lang w:val="el-GR"/>
        </w:rPr>
        <w:t>0.001</w:t>
      </w:r>
      <w:r w:rsidR="001D075A">
        <w:rPr>
          <w:rFonts w:ascii="Arial" w:hAnsi="Arial" w:cs="Arial"/>
          <w:lang w:val="el-GR"/>
        </w:rPr>
        <w:t xml:space="preserve"> </w:t>
      </w:r>
      <w:r w:rsidRPr="00030BA1">
        <w:rPr>
          <w:rFonts w:ascii="Arial" w:hAnsi="Arial" w:cs="Arial"/>
          <w:lang w:val="el-GR"/>
        </w:rPr>
        <w:t>[95%</w:t>
      </w:r>
      <w:r w:rsidR="001D075A">
        <w:rPr>
          <w:rFonts w:ascii="Arial" w:hAnsi="Arial" w:cs="Arial"/>
          <w:lang w:val="el-GR"/>
        </w:rPr>
        <w:t xml:space="preserve"> </w:t>
      </w:r>
      <w:r>
        <w:rPr>
          <w:rFonts w:ascii="Arial" w:hAnsi="Arial" w:cs="Arial"/>
        </w:rPr>
        <w:t>CI</w:t>
      </w:r>
      <w:r w:rsidR="001D075A">
        <w:rPr>
          <w:rFonts w:ascii="Arial" w:hAnsi="Arial" w:cs="Arial"/>
          <w:lang w:val="el-GR"/>
        </w:rPr>
        <w:t xml:space="preserve"> </w:t>
      </w:r>
      <w:r w:rsidRPr="00030BA1">
        <w:rPr>
          <w:rFonts w:ascii="Arial" w:hAnsi="Arial" w:cs="Arial"/>
          <w:lang w:val="el-GR"/>
        </w:rPr>
        <w:t>54.7</w:t>
      </w:r>
      <w:r w:rsidR="001D075A">
        <w:rPr>
          <w:rFonts w:ascii="Arial" w:hAnsi="Arial" w:cs="Arial"/>
          <w:lang w:val="el-GR"/>
        </w:rPr>
        <w:t xml:space="preserve"> </w:t>
      </w:r>
      <w:r>
        <w:rPr>
          <w:rFonts w:ascii="Arial" w:hAnsi="Arial" w:cs="Arial"/>
        </w:rPr>
        <w:t>to</w:t>
      </w:r>
      <w:r w:rsidRPr="00030BA1">
        <w:rPr>
          <w:rFonts w:ascii="Arial" w:hAnsi="Arial" w:cs="Arial"/>
          <w:lang w:val="el-GR"/>
        </w:rPr>
        <w:t xml:space="preserve"> 74.1])</w:t>
      </w:r>
      <w:r w:rsidR="00575C3B">
        <w:rPr>
          <w:rFonts w:ascii="Arial" w:hAnsi="Arial" w:cs="Arial"/>
          <w:lang w:val="el-GR"/>
        </w:rPr>
        <w:t xml:space="preserve"> σε σχέση με την μονοθεραπεία με ταμσουλοσίνη.</w:t>
      </w:r>
      <w:r w:rsidRPr="00030BA1">
        <w:rPr>
          <w:rFonts w:ascii="Arial" w:hAnsi="Arial" w:cs="Arial"/>
          <w:lang w:val="el-GR"/>
        </w:rPr>
        <w:t xml:space="preserve"> </w:t>
      </w:r>
      <w:r w:rsidR="00575C3B">
        <w:rPr>
          <w:rFonts w:ascii="Arial" w:hAnsi="Arial" w:cs="Arial"/>
          <w:lang w:val="el-GR"/>
        </w:rPr>
        <w:t>Η συχνότητα εμφάνισης χειρουργείου σχετιζόμενου με οξεία κατακράτηση ούρων</w:t>
      </w:r>
      <w:r w:rsidR="00F4541B" w:rsidRPr="00F4541B">
        <w:rPr>
          <w:rFonts w:ascii="Arial" w:hAnsi="Arial" w:cs="Arial"/>
          <w:lang w:val="el-GR"/>
        </w:rPr>
        <w:t xml:space="preserve"> </w:t>
      </w:r>
      <w:r w:rsidR="00575C3B">
        <w:rPr>
          <w:rFonts w:ascii="Arial" w:hAnsi="Arial" w:cs="Arial"/>
          <w:lang w:val="el-GR"/>
        </w:rPr>
        <w:t>(</w:t>
      </w:r>
      <w:r w:rsidR="00575C3B">
        <w:rPr>
          <w:rFonts w:ascii="Arial" w:hAnsi="Arial" w:cs="Arial"/>
        </w:rPr>
        <w:t>AUR</w:t>
      </w:r>
      <w:r w:rsidR="00575C3B" w:rsidRPr="00575C3B">
        <w:rPr>
          <w:rFonts w:ascii="Arial" w:hAnsi="Arial" w:cs="Arial"/>
          <w:lang w:val="el-GR"/>
        </w:rPr>
        <w:t xml:space="preserve">) </w:t>
      </w:r>
      <w:r w:rsidR="00575C3B">
        <w:rPr>
          <w:rFonts w:ascii="Arial" w:hAnsi="Arial" w:cs="Arial"/>
          <w:lang w:val="el-GR"/>
        </w:rPr>
        <w:t xml:space="preserve">ή καλοήθη </w:t>
      </w:r>
      <w:r w:rsidR="00F4541B">
        <w:rPr>
          <w:rFonts w:ascii="Arial" w:hAnsi="Arial" w:cs="Arial"/>
          <w:lang w:val="el-GR"/>
        </w:rPr>
        <w:t>υπερπλασία προστάτη (ΚΥΠ)τον τέταρτο χρόνο θεραπείας ήταν 4.2% για συνδυαστική θεραπεία και 11.9% για ταμσουλοσίνη (</w:t>
      </w:r>
      <w:r w:rsidR="00F4541B">
        <w:rPr>
          <w:rFonts w:ascii="Arial" w:hAnsi="Arial" w:cs="Arial"/>
        </w:rPr>
        <w:t>p</w:t>
      </w:r>
      <w:r w:rsidR="00F4541B" w:rsidRPr="00F4541B">
        <w:rPr>
          <w:rFonts w:ascii="Arial" w:hAnsi="Arial" w:cs="Arial"/>
          <w:lang w:val="el-GR"/>
        </w:rPr>
        <w:t xml:space="preserve">,0.001). </w:t>
      </w:r>
      <w:r w:rsidR="00F4541B">
        <w:rPr>
          <w:rFonts w:ascii="Arial" w:hAnsi="Arial" w:cs="Arial"/>
          <w:lang w:val="el-GR"/>
        </w:rPr>
        <w:t xml:space="preserve">Η συνδυαστική θεραπεία μείωσε τον κίνδυνο εμφάνισης χειρουργείου σχετιζόμενου με </w:t>
      </w:r>
      <w:r w:rsidR="00F4541B">
        <w:rPr>
          <w:rFonts w:ascii="Arial" w:hAnsi="Arial" w:cs="Arial"/>
        </w:rPr>
        <w:t>AUR</w:t>
      </w:r>
      <w:r w:rsidR="00F4541B" w:rsidRPr="00F4541B">
        <w:rPr>
          <w:rFonts w:ascii="Arial" w:hAnsi="Arial" w:cs="Arial"/>
          <w:lang w:val="el-GR"/>
        </w:rPr>
        <w:t xml:space="preserve"> </w:t>
      </w:r>
      <w:r w:rsidR="00F4541B">
        <w:rPr>
          <w:rFonts w:ascii="Arial" w:hAnsi="Arial" w:cs="Arial"/>
          <w:lang w:val="el-GR"/>
        </w:rPr>
        <w:t>ή ΚΥΠ κα΄τα 19.6% (</w:t>
      </w:r>
      <w:r w:rsidR="00F4541B">
        <w:rPr>
          <w:rFonts w:ascii="Arial" w:hAnsi="Arial" w:cs="Arial"/>
        </w:rPr>
        <w:t>p</w:t>
      </w:r>
      <w:r w:rsidR="00F4541B" w:rsidRPr="00F4541B">
        <w:rPr>
          <w:rFonts w:ascii="Arial" w:hAnsi="Arial" w:cs="Arial"/>
          <w:lang w:val="el-GR"/>
        </w:rPr>
        <w:t>=0.18 [95%</w:t>
      </w:r>
      <w:r w:rsidR="00F4541B">
        <w:rPr>
          <w:rFonts w:ascii="Arial" w:hAnsi="Arial" w:cs="Arial"/>
        </w:rPr>
        <w:t>CI</w:t>
      </w:r>
      <w:r w:rsidR="00F4541B" w:rsidRPr="00F4541B">
        <w:rPr>
          <w:rFonts w:ascii="Arial" w:hAnsi="Arial" w:cs="Arial"/>
          <w:lang w:val="el-GR"/>
        </w:rPr>
        <w:t xml:space="preserve"> – 10.9% </w:t>
      </w:r>
      <w:r w:rsidR="00F4541B">
        <w:rPr>
          <w:rFonts w:ascii="Arial" w:hAnsi="Arial" w:cs="Arial"/>
        </w:rPr>
        <w:t>to</w:t>
      </w:r>
      <w:r w:rsidR="00F4541B" w:rsidRPr="00F4541B">
        <w:rPr>
          <w:rFonts w:ascii="Arial" w:hAnsi="Arial" w:cs="Arial"/>
          <w:lang w:val="el-GR"/>
        </w:rPr>
        <w:t xml:space="preserve"> 41.7]) </w:t>
      </w:r>
      <w:r w:rsidR="00F4541B">
        <w:rPr>
          <w:rFonts w:ascii="Arial" w:hAnsi="Arial" w:cs="Arial"/>
          <w:lang w:val="el-GR"/>
        </w:rPr>
        <w:t xml:space="preserve">σε σχέση με τη μονοθεραπεία με </w:t>
      </w:r>
      <w:r w:rsidR="00F4541B">
        <w:rPr>
          <w:rFonts w:ascii="Arial" w:hAnsi="Arial" w:cs="Arial"/>
        </w:rPr>
        <w:t>DUAGEN</w:t>
      </w:r>
      <w:r w:rsidR="00F4541B" w:rsidRPr="00F4541B">
        <w:rPr>
          <w:rFonts w:ascii="Arial" w:hAnsi="Arial" w:cs="Arial"/>
          <w:lang w:val="el-GR"/>
        </w:rPr>
        <w:t xml:space="preserve">. </w:t>
      </w:r>
      <w:r w:rsidR="001D075A">
        <w:rPr>
          <w:rFonts w:ascii="Arial" w:hAnsi="Arial" w:cs="Arial"/>
          <w:lang w:val="el-GR"/>
        </w:rPr>
        <w:t>Η ανάγκη</w:t>
      </w:r>
      <w:r>
        <w:rPr>
          <w:rFonts w:ascii="Arial" w:hAnsi="Arial" w:cs="Arial"/>
          <w:lang w:val="el-GR"/>
        </w:rPr>
        <w:t xml:space="preserve"> χειρουργείου σχετιζόμενου με </w:t>
      </w:r>
      <w:r>
        <w:rPr>
          <w:rFonts w:ascii="Arial" w:hAnsi="Arial" w:cs="Arial"/>
        </w:rPr>
        <w:t>AUR</w:t>
      </w:r>
      <w:r w:rsidRPr="00030BA1">
        <w:rPr>
          <w:rFonts w:ascii="Arial" w:hAnsi="Arial" w:cs="Arial"/>
          <w:lang w:val="el-GR"/>
        </w:rPr>
        <w:t xml:space="preserve"> </w:t>
      </w:r>
      <w:r>
        <w:rPr>
          <w:rFonts w:ascii="Arial" w:hAnsi="Arial" w:cs="Arial"/>
          <w:lang w:val="el-GR"/>
        </w:rPr>
        <w:t xml:space="preserve">ή </w:t>
      </w:r>
      <w:r w:rsidR="0063541F">
        <w:rPr>
          <w:rFonts w:ascii="Arial" w:hAnsi="Arial" w:cs="Arial"/>
          <w:lang w:val="el-GR"/>
        </w:rPr>
        <w:t>ΚΥΠ</w:t>
      </w:r>
      <w:r w:rsidRPr="00030BA1">
        <w:rPr>
          <w:rFonts w:ascii="Arial" w:hAnsi="Arial" w:cs="Arial"/>
          <w:lang w:val="el-GR"/>
        </w:rPr>
        <w:t xml:space="preserve"> </w:t>
      </w:r>
      <w:r>
        <w:rPr>
          <w:rFonts w:ascii="Arial" w:hAnsi="Arial" w:cs="Arial"/>
          <w:lang w:val="el-GR"/>
        </w:rPr>
        <w:t xml:space="preserve">το τέταρτο έτος ήταν 4.2% στη συνδυαστική θεραπεία και 5.2% στο </w:t>
      </w:r>
      <w:proofErr w:type="spellStart"/>
      <w:r>
        <w:rPr>
          <w:rFonts w:ascii="Arial" w:hAnsi="Arial" w:cs="Arial"/>
        </w:rPr>
        <w:t>Duagen</w:t>
      </w:r>
      <w:proofErr w:type="spellEnd"/>
      <w:r w:rsidRPr="00030BA1">
        <w:rPr>
          <w:rFonts w:ascii="Arial" w:hAnsi="Arial" w:cs="Arial"/>
          <w:lang w:val="el-GR"/>
        </w:rPr>
        <w:t>.</w:t>
      </w:r>
    </w:p>
    <w:p w:rsidR="00030BA1" w:rsidRDefault="00030BA1" w:rsidP="00263F10">
      <w:pPr>
        <w:ind w:right="-11"/>
        <w:jc w:val="both"/>
        <w:rPr>
          <w:rFonts w:ascii="Arial" w:hAnsi="Arial" w:cs="Arial"/>
          <w:lang w:val="el-GR"/>
        </w:rPr>
      </w:pPr>
    </w:p>
    <w:p w:rsidR="007E3440" w:rsidRDefault="003632C4" w:rsidP="00263F10">
      <w:pPr>
        <w:ind w:right="-11"/>
        <w:jc w:val="both"/>
        <w:rPr>
          <w:rFonts w:ascii="Arial" w:hAnsi="Arial" w:cs="Arial"/>
          <w:lang w:val="el-GR"/>
        </w:rPr>
      </w:pPr>
      <w:r>
        <w:rPr>
          <w:rFonts w:ascii="Arial" w:hAnsi="Arial" w:cs="Arial"/>
          <w:lang w:val="el-GR"/>
        </w:rPr>
        <w:t>Τα δευτερεύοντα</w:t>
      </w:r>
      <w:r w:rsidR="00FE6000">
        <w:rPr>
          <w:rFonts w:ascii="Arial" w:hAnsi="Arial" w:cs="Arial"/>
          <w:lang w:val="el-GR"/>
        </w:rPr>
        <w:t xml:space="preserve"> </w:t>
      </w:r>
      <w:r>
        <w:rPr>
          <w:rFonts w:ascii="Arial" w:hAnsi="Arial" w:cs="Arial"/>
          <w:lang w:val="el-GR"/>
        </w:rPr>
        <w:t>τελικά σημεία αποτελεσματικότητας</w:t>
      </w:r>
      <w:r w:rsidR="00FE6000">
        <w:rPr>
          <w:rFonts w:ascii="Arial" w:hAnsi="Arial" w:cs="Arial"/>
          <w:lang w:val="el-GR"/>
        </w:rPr>
        <w:t xml:space="preserve"> ύστερα από 4 χρόνια θεραπείας περιλαμβάνουν </w:t>
      </w:r>
      <w:r w:rsidR="00493A27">
        <w:rPr>
          <w:rFonts w:ascii="Arial" w:hAnsi="Arial" w:cs="Arial"/>
          <w:lang w:val="el-GR"/>
        </w:rPr>
        <w:t xml:space="preserve">την </w:t>
      </w:r>
      <w:r w:rsidR="00FE6000">
        <w:rPr>
          <w:rFonts w:ascii="Arial" w:hAnsi="Arial" w:cs="Arial"/>
          <w:lang w:val="el-GR"/>
        </w:rPr>
        <w:t>αλλαγή στο χρόνο της κλινικής προόδου (οριζόμενος ως ο συνδυασμός των</w:t>
      </w:r>
      <w:r w:rsidR="001D075A" w:rsidRPr="001D075A">
        <w:rPr>
          <w:rFonts w:ascii="Arial" w:hAnsi="Arial" w:cs="Arial"/>
          <w:lang w:val="el-GR"/>
        </w:rPr>
        <w:t>:</w:t>
      </w:r>
      <w:r w:rsidR="00FE6000">
        <w:rPr>
          <w:rFonts w:ascii="Arial" w:hAnsi="Arial" w:cs="Arial"/>
          <w:lang w:val="el-GR"/>
        </w:rPr>
        <w:t xml:space="preserve"> </w:t>
      </w:r>
      <w:r w:rsidR="00FE6000">
        <w:rPr>
          <w:rFonts w:ascii="Arial" w:hAnsi="Arial" w:cs="Arial"/>
        </w:rPr>
        <w:t>IPSS</w:t>
      </w:r>
      <w:r w:rsidR="00FE6000">
        <w:rPr>
          <w:rFonts w:ascii="Arial" w:hAnsi="Arial" w:cs="Arial"/>
          <w:lang w:val="el-GR"/>
        </w:rPr>
        <w:t xml:space="preserve"> επιδείνωση μεγ</w:t>
      </w:r>
      <w:r w:rsidR="001D075A">
        <w:rPr>
          <w:rFonts w:ascii="Arial" w:hAnsi="Arial" w:cs="Arial"/>
          <w:lang w:val="el-GR"/>
        </w:rPr>
        <w:t>αλύτερη από 4 μονάδες, οξεία</w:t>
      </w:r>
      <w:r w:rsidR="00FE6000">
        <w:rPr>
          <w:rFonts w:ascii="Arial" w:hAnsi="Arial" w:cs="Arial"/>
          <w:lang w:val="el-GR"/>
        </w:rPr>
        <w:t xml:space="preserve"> </w:t>
      </w:r>
      <w:r w:rsidR="001D075A">
        <w:rPr>
          <w:rFonts w:ascii="Arial" w:hAnsi="Arial" w:cs="Arial"/>
          <w:lang w:val="el-GR"/>
        </w:rPr>
        <w:t>κατακράτηση</w:t>
      </w:r>
      <w:r w:rsidR="00FE6000">
        <w:rPr>
          <w:rFonts w:ascii="Arial" w:hAnsi="Arial" w:cs="Arial"/>
          <w:lang w:val="el-GR"/>
        </w:rPr>
        <w:t xml:space="preserve"> ούρων (</w:t>
      </w:r>
      <w:r w:rsidR="00FE6000">
        <w:rPr>
          <w:rFonts w:ascii="Arial" w:hAnsi="Arial" w:cs="Arial"/>
        </w:rPr>
        <w:t>AUR</w:t>
      </w:r>
      <w:r w:rsidR="00FE6000" w:rsidRPr="00FE6000">
        <w:rPr>
          <w:rFonts w:ascii="Arial" w:hAnsi="Arial" w:cs="Arial"/>
          <w:lang w:val="el-GR"/>
        </w:rPr>
        <w:t>)</w:t>
      </w:r>
      <w:r w:rsidR="0063541F">
        <w:rPr>
          <w:rFonts w:ascii="Arial" w:hAnsi="Arial" w:cs="Arial"/>
          <w:lang w:val="el-GR"/>
        </w:rPr>
        <w:t xml:space="preserve"> </w:t>
      </w:r>
      <w:r w:rsidR="001D075A">
        <w:rPr>
          <w:rFonts w:ascii="Arial" w:hAnsi="Arial" w:cs="Arial"/>
          <w:lang w:val="el-GR"/>
        </w:rPr>
        <w:t>σχετιζόμενη</w:t>
      </w:r>
      <w:r w:rsidR="00FE6000">
        <w:rPr>
          <w:rFonts w:ascii="Arial" w:hAnsi="Arial" w:cs="Arial"/>
          <w:lang w:val="el-GR"/>
        </w:rPr>
        <w:t xml:space="preserve"> με καλοήθη υπερπλασία του προστάτη</w:t>
      </w:r>
      <w:r w:rsidR="0063541F">
        <w:rPr>
          <w:rFonts w:ascii="Arial" w:hAnsi="Arial" w:cs="Arial"/>
          <w:lang w:val="el-GR"/>
        </w:rPr>
        <w:t xml:space="preserve"> (ΚΥΠ)</w:t>
      </w:r>
      <w:r w:rsidR="00FE6000">
        <w:rPr>
          <w:rFonts w:ascii="Arial" w:hAnsi="Arial" w:cs="Arial"/>
          <w:lang w:val="el-GR"/>
        </w:rPr>
        <w:t>, ακράτεια, λοιμώξεις του ουροποιητικού συ</w:t>
      </w:r>
      <w:r w:rsidR="001D075A">
        <w:rPr>
          <w:rFonts w:ascii="Arial" w:hAnsi="Arial" w:cs="Arial"/>
          <w:lang w:val="el-GR"/>
        </w:rPr>
        <w:t>στήματος και νεφρική ανεπάρκεια</w:t>
      </w:r>
      <w:r w:rsidR="00FE6000">
        <w:rPr>
          <w:rFonts w:ascii="Arial" w:hAnsi="Arial" w:cs="Arial"/>
          <w:lang w:val="el-GR"/>
        </w:rPr>
        <w:t>)</w:t>
      </w:r>
      <w:r w:rsidR="00493A27" w:rsidRPr="00493A27">
        <w:rPr>
          <w:rFonts w:ascii="Arial" w:hAnsi="Arial" w:cs="Arial"/>
          <w:lang w:val="el-GR"/>
        </w:rPr>
        <w:t xml:space="preserve"> </w:t>
      </w:r>
      <w:r w:rsidR="00493A27">
        <w:rPr>
          <w:rFonts w:ascii="Arial" w:hAnsi="Arial" w:cs="Arial"/>
          <w:lang w:val="el-GR"/>
        </w:rPr>
        <w:t xml:space="preserve">του συστήματος </w:t>
      </w:r>
      <w:r w:rsidR="00493A27">
        <w:rPr>
          <w:rFonts w:ascii="Arial" w:hAnsi="Arial" w:cs="Arial"/>
        </w:rPr>
        <w:t>IPSS</w:t>
      </w:r>
      <w:r w:rsidR="00493A27">
        <w:rPr>
          <w:rFonts w:ascii="Arial" w:hAnsi="Arial" w:cs="Arial"/>
          <w:lang w:val="el-GR"/>
        </w:rPr>
        <w:t>, τη</w:t>
      </w:r>
      <w:r w:rsidR="00FE6000">
        <w:rPr>
          <w:rFonts w:ascii="Arial" w:hAnsi="Arial" w:cs="Arial"/>
          <w:lang w:val="el-GR"/>
        </w:rPr>
        <w:t xml:space="preserve"> μέγιστη</w:t>
      </w:r>
      <w:r w:rsidR="007D1C03">
        <w:rPr>
          <w:rFonts w:ascii="Arial" w:hAnsi="Arial" w:cs="Arial"/>
          <w:lang w:val="el-GR"/>
        </w:rPr>
        <w:t xml:space="preserve"> </w:t>
      </w:r>
      <w:r w:rsidR="00FE6000">
        <w:rPr>
          <w:rFonts w:ascii="Arial" w:hAnsi="Arial" w:cs="Arial"/>
          <w:lang w:val="el-GR"/>
        </w:rPr>
        <w:t>ταχύτητα ροής (</w:t>
      </w:r>
      <w:proofErr w:type="spellStart"/>
      <w:r w:rsidR="00FE6000">
        <w:rPr>
          <w:rFonts w:ascii="Arial" w:hAnsi="Arial" w:cs="Arial"/>
        </w:rPr>
        <w:t>Qmax</w:t>
      </w:r>
      <w:proofErr w:type="spellEnd"/>
      <w:r w:rsidR="00FE6000" w:rsidRPr="00FE6000">
        <w:rPr>
          <w:rFonts w:ascii="Arial" w:hAnsi="Arial" w:cs="Arial"/>
          <w:lang w:val="el-GR"/>
        </w:rPr>
        <w:t xml:space="preserve">) </w:t>
      </w:r>
      <w:r w:rsidR="00493A27">
        <w:rPr>
          <w:rFonts w:ascii="Arial" w:hAnsi="Arial" w:cs="Arial"/>
          <w:lang w:val="el-GR"/>
        </w:rPr>
        <w:t xml:space="preserve">και </w:t>
      </w:r>
      <w:r w:rsidR="00FE6000">
        <w:rPr>
          <w:rFonts w:ascii="Arial" w:hAnsi="Arial" w:cs="Arial"/>
          <w:lang w:val="el-GR"/>
        </w:rPr>
        <w:t>το μέγεθος του προστάτη</w:t>
      </w:r>
      <w:r w:rsidR="007D1C03">
        <w:rPr>
          <w:rFonts w:ascii="Arial" w:hAnsi="Arial" w:cs="Arial"/>
          <w:lang w:val="el-GR"/>
        </w:rPr>
        <w:t>.</w:t>
      </w:r>
      <w:r w:rsidR="00493A27">
        <w:rPr>
          <w:rFonts w:ascii="Arial" w:hAnsi="Arial" w:cs="Arial"/>
          <w:lang w:val="el-GR"/>
        </w:rPr>
        <w:t xml:space="preserve"> </w:t>
      </w:r>
      <w:r w:rsidR="00CE68DE">
        <w:rPr>
          <w:rFonts w:ascii="Arial" w:hAnsi="Arial" w:cs="Arial"/>
          <w:lang w:val="el-GR"/>
        </w:rPr>
        <w:t>Τα αποτελέσματα μετά από</w:t>
      </w:r>
      <w:r w:rsidR="001D075A">
        <w:rPr>
          <w:rFonts w:ascii="Arial" w:hAnsi="Arial" w:cs="Arial"/>
          <w:lang w:val="el-GR"/>
        </w:rPr>
        <w:t xml:space="preserve"> </w:t>
      </w:r>
      <w:r w:rsidR="00CE68DE">
        <w:rPr>
          <w:rFonts w:ascii="Arial" w:hAnsi="Arial" w:cs="Arial"/>
          <w:lang w:val="el-GR"/>
        </w:rPr>
        <w:t>4 έτη θεραπείας παρουσιάζονται παρακάτω</w:t>
      </w:r>
      <w:r w:rsidR="00CE68DE" w:rsidRPr="001D075A">
        <w:rPr>
          <w:rFonts w:ascii="Arial" w:hAnsi="Arial" w:cs="Arial"/>
          <w:lang w:val="el-GR"/>
        </w:rPr>
        <w:t>:</w:t>
      </w:r>
    </w:p>
    <w:p w:rsidR="00574D2D" w:rsidRDefault="00574D2D" w:rsidP="00263F10">
      <w:pPr>
        <w:ind w:right="-11"/>
        <w:jc w:val="both"/>
        <w:rPr>
          <w:rFonts w:ascii="Arial" w:hAnsi="Arial" w:cs="Arial"/>
          <w:lang w:val="el-GR"/>
        </w:rPr>
      </w:pPr>
    </w:p>
    <w:tbl>
      <w:tblPr>
        <w:tblW w:w="87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987"/>
        <w:gridCol w:w="1539"/>
        <w:gridCol w:w="1191"/>
        <w:gridCol w:w="1768"/>
      </w:tblGrid>
      <w:tr w:rsidR="00574D2D" w:rsidRPr="00EC5CDE" w:rsidTr="00EC5CDE">
        <w:trPr>
          <w:trHeight w:val="470"/>
          <w:jc w:val="center"/>
        </w:trPr>
        <w:tc>
          <w:tcPr>
            <w:tcW w:w="2245" w:type="dxa"/>
            <w:shd w:val="clear" w:color="auto" w:fill="auto"/>
          </w:tcPr>
          <w:p w:rsidR="00574D2D" w:rsidRPr="00EC5CDE" w:rsidRDefault="00574D2D" w:rsidP="00EC5CDE">
            <w:pPr>
              <w:ind w:right="-11"/>
              <w:jc w:val="both"/>
              <w:rPr>
                <w:rFonts w:ascii="Arial" w:hAnsi="Arial" w:cs="Arial"/>
                <w:b/>
                <w:sz w:val="20"/>
                <w:lang w:val="el-GR"/>
              </w:rPr>
            </w:pPr>
            <w:r w:rsidRPr="00EC5CDE">
              <w:rPr>
                <w:rFonts w:ascii="Arial" w:hAnsi="Arial" w:cs="Arial"/>
                <w:b/>
                <w:sz w:val="20"/>
                <w:lang w:val="el-GR"/>
              </w:rPr>
              <w:t>Παράμετρος</w:t>
            </w:r>
          </w:p>
        </w:tc>
        <w:tc>
          <w:tcPr>
            <w:tcW w:w="1987" w:type="dxa"/>
            <w:shd w:val="clear" w:color="auto" w:fill="auto"/>
          </w:tcPr>
          <w:p w:rsidR="00574D2D" w:rsidRPr="00EC5CDE" w:rsidRDefault="00574D2D" w:rsidP="00EC5CDE">
            <w:pPr>
              <w:ind w:right="-11"/>
              <w:jc w:val="both"/>
              <w:rPr>
                <w:rFonts w:ascii="Arial" w:hAnsi="Arial" w:cs="Arial"/>
                <w:b/>
                <w:sz w:val="20"/>
                <w:lang w:val="el-GR"/>
              </w:rPr>
            </w:pPr>
            <w:r w:rsidRPr="00EC5CDE">
              <w:rPr>
                <w:rFonts w:ascii="Arial" w:hAnsi="Arial" w:cs="Arial"/>
                <w:b/>
                <w:sz w:val="20"/>
                <w:lang w:val="el-GR"/>
              </w:rPr>
              <w:t>Χρονικό σημείο</w:t>
            </w:r>
          </w:p>
        </w:tc>
        <w:tc>
          <w:tcPr>
            <w:tcW w:w="1539" w:type="dxa"/>
            <w:shd w:val="clear" w:color="auto" w:fill="auto"/>
          </w:tcPr>
          <w:p w:rsidR="00574D2D" w:rsidRPr="00EC5CDE" w:rsidRDefault="00574D2D" w:rsidP="00EC5CDE">
            <w:pPr>
              <w:ind w:right="-11"/>
              <w:jc w:val="both"/>
              <w:rPr>
                <w:rFonts w:ascii="Arial" w:hAnsi="Arial" w:cs="Arial"/>
                <w:b/>
                <w:sz w:val="20"/>
                <w:lang w:val="el-GR"/>
              </w:rPr>
            </w:pPr>
            <w:r w:rsidRPr="00EC5CDE">
              <w:rPr>
                <w:rFonts w:ascii="Arial" w:hAnsi="Arial" w:cs="Arial"/>
                <w:b/>
                <w:sz w:val="20"/>
                <w:lang w:val="el-GR"/>
              </w:rPr>
              <w:t xml:space="preserve">Συνδυασμός </w:t>
            </w:r>
          </w:p>
        </w:tc>
        <w:tc>
          <w:tcPr>
            <w:tcW w:w="1191" w:type="dxa"/>
            <w:shd w:val="clear" w:color="auto" w:fill="auto"/>
          </w:tcPr>
          <w:p w:rsidR="00574D2D" w:rsidRPr="00EC5CDE" w:rsidRDefault="00574D2D" w:rsidP="00EC5CDE">
            <w:pPr>
              <w:ind w:right="-11"/>
              <w:jc w:val="both"/>
              <w:rPr>
                <w:rFonts w:ascii="Arial" w:hAnsi="Arial" w:cs="Arial"/>
                <w:b/>
                <w:sz w:val="20"/>
                <w:lang w:val="el-GR"/>
              </w:rPr>
            </w:pPr>
            <w:proofErr w:type="spellStart"/>
            <w:r w:rsidRPr="00EC5CDE">
              <w:rPr>
                <w:rFonts w:ascii="Arial" w:hAnsi="Arial" w:cs="Arial"/>
                <w:b/>
                <w:sz w:val="20"/>
              </w:rPr>
              <w:t>Duagen</w:t>
            </w:r>
            <w:proofErr w:type="spellEnd"/>
          </w:p>
        </w:tc>
        <w:tc>
          <w:tcPr>
            <w:tcW w:w="1768" w:type="dxa"/>
            <w:shd w:val="clear" w:color="auto" w:fill="auto"/>
          </w:tcPr>
          <w:p w:rsidR="00574D2D" w:rsidRPr="00EC5CDE" w:rsidRDefault="00574D2D" w:rsidP="00EC5CDE">
            <w:pPr>
              <w:ind w:right="-11"/>
              <w:jc w:val="both"/>
              <w:rPr>
                <w:rFonts w:ascii="Arial" w:hAnsi="Arial" w:cs="Arial"/>
                <w:b/>
                <w:sz w:val="20"/>
                <w:lang w:val="el-GR"/>
              </w:rPr>
            </w:pPr>
            <w:r w:rsidRPr="00EC5CDE">
              <w:rPr>
                <w:rFonts w:ascii="Arial" w:hAnsi="Arial" w:cs="Arial"/>
                <w:b/>
                <w:sz w:val="20"/>
                <w:lang w:val="el-GR"/>
              </w:rPr>
              <w:t>Ταμσουλοσίνη</w:t>
            </w:r>
          </w:p>
        </w:tc>
      </w:tr>
      <w:tr w:rsidR="00D24145" w:rsidRPr="00EC5CDE" w:rsidTr="00EC5CDE">
        <w:trPr>
          <w:trHeight w:val="921"/>
          <w:jc w:val="center"/>
        </w:trPr>
        <w:tc>
          <w:tcPr>
            <w:tcW w:w="2245" w:type="dxa"/>
            <w:shd w:val="clear" w:color="auto" w:fill="auto"/>
          </w:tcPr>
          <w:p w:rsidR="00D24145" w:rsidRPr="00EC5CDE" w:rsidRDefault="00066FF4" w:rsidP="00EC5CDE">
            <w:pPr>
              <w:ind w:right="-11"/>
              <w:rPr>
                <w:rFonts w:ascii="Arial" w:hAnsi="Arial" w:cs="Arial"/>
                <w:b/>
                <w:i/>
                <w:sz w:val="20"/>
                <w:lang w:val="el-GR"/>
              </w:rPr>
            </w:pPr>
            <w:r w:rsidRPr="00EC5CDE">
              <w:rPr>
                <w:rFonts w:ascii="Arial" w:hAnsi="Arial" w:cs="Arial"/>
                <w:b/>
                <w:i/>
                <w:sz w:val="20"/>
                <w:lang w:val="el-GR"/>
              </w:rPr>
              <w:t>Χειρουργείο σχετιζόμενο με την οξεία κατακράτηση ούρων (</w:t>
            </w:r>
            <w:r w:rsidRPr="00EC5CDE">
              <w:rPr>
                <w:rFonts w:ascii="Arial" w:hAnsi="Arial" w:cs="Arial"/>
                <w:b/>
                <w:i/>
                <w:sz w:val="20"/>
              </w:rPr>
              <w:t>AUR</w:t>
            </w:r>
            <w:r w:rsidRPr="00EC5CDE">
              <w:rPr>
                <w:rFonts w:ascii="Arial" w:hAnsi="Arial" w:cs="Arial"/>
                <w:b/>
                <w:i/>
                <w:sz w:val="20"/>
                <w:lang w:val="el-GR"/>
              </w:rPr>
              <w:t>) ή την καλοήθη υπερπλασία προστάτη (</w:t>
            </w:r>
            <w:r w:rsidR="001D075A" w:rsidRPr="00EC5CDE">
              <w:rPr>
                <w:rFonts w:ascii="Arial" w:hAnsi="Arial" w:cs="Arial"/>
                <w:b/>
                <w:i/>
                <w:sz w:val="20"/>
                <w:lang w:val="el-GR"/>
              </w:rPr>
              <w:t>ΚΥΠ</w:t>
            </w:r>
            <w:r w:rsidRPr="00EC5CDE">
              <w:rPr>
                <w:rFonts w:ascii="Arial" w:hAnsi="Arial" w:cs="Arial"/>
                <w:b/>
                <w:i/>
                <w:sz w:val="20"/>
                <w:lang w:val="el-GR"/>
              </w:rPr>
              <w:t>) (%)</w:t>
            </w:r>
          </w:p>
        </w:tc>
        <w:tc>
          <w:tcPr>
            <w:tcW w:w="1987" w:type="dxa"/>
            <w:shd w:val="clear" w:color="auto" w:fill="auto"/>
          </w:tcPr>
          <w:p w:rsidR="00D24145" w:rsidRPr="00EC5CDE" w:rsidRDefault="00BA0E4F" w:rsidP="00EC5CDE">
            <w:pPr>
              <w:ind w:right="-11"/>
              <w:rPr>
                <w:rFonts w:ascii="Arial" w:hAnsi="Arial" w:cs="Arial"/>
                <w:i/>
                <w:sz w:val="20"/>
                <w:lang w:val="el-GR"/>
              </w:rPr>
            </w:pPr>
            <w:r w:rsidRPr="00EC5CDE">
              <w:rPr>
                <w:rFonts w:ascii="Arial" w:hAnsi="Arial" w:cs="Arial"/>
                <w:i/>
                <w:sz w:val="20"/>
                <w:lang w:val="el-GR"/>
              </w:rPr>
              <w:t>Συχνότητα εμφάνισης στο Μήνα 48</w:t>
            </w:r>
          </w:p>
        </w:tc>
        <w:tc>
          <w:tcPr>
            <w:tcW w:w="1539" w:type="dxa"/>
            <w:shd w:val="clear" w:color="auto" w:fill="auto"/>
          </w:tcPr>
          <w:p w:rsidR="00D24145" w:rsidRPr="00EC5CDE" w:rsidRDefault="00BA0E4F" w:rsidP="00EC5CDE">
            <w:pPr>
              <w:ind w:right="-11"/>
              <w:jc w:val="both"/>
              <w:rPr>
                <w:rFonts w:ascii="Arial" w:hAnsi="Arial" w:cs="Arial"/>
                <w:sz w:val="20"/>
                <w:lang w:val="el-GR"/>
              </w:rPr>
            </w:pPr>
            <w:r w:rsidRPr="00EC5CDE">
              <w:rPr>
                <w:rFonts w:ascii="Arial" w:hAnsi="Arial" w:cs="Arial"/>
                <w:sz w:val="20"/>
                <w:lang w:val="el-GR"/>
              </w:rPr>
              <w:t>4.2</w:t>
            </w:r>
          </w:p>
        </w:tc>
        <w:tc>
          <w:tcPr>
            <w:tcW w:w="1191" w:type="dxa"/>
            <w:shd w:val="clear" w:color="auto" w:fill="auto"/>
          </w:tcPr>
          <w:p w:rsidR="00D24145" w:rsidRPr="00EC5CDE" w:rsidRDefault="00BA0E4F" w:rsidP="00EC5CDE">
            <w:pPr>
              <w:ind w:right="-11"/>
              <w:jc w:val="both"/>
              <w:rPr>
                <w:rFonts w:ascii="Arial" w:hAnsi="Arial" w:cs="Arial"/>
                <w:sz w:val="20"/>
                <w:lang w:val="el-GR"/>
              </w:rPr>
            </w:pPr>
            <w:r w:rsidRPr="00EC5CDE">
              <w:rPr>
                <w:rFonts w:ascii="Arial" w:hAnsi="Arial" w:cs="Arial"/>
                <w:sz w:val="20"/>
                <w:lang w:val="el-GR"/>
              </w:rPr>
              <w:t>5.2</w:t>
            </w:r>
          </w:p>
        </w:tc>
        <w:tc>
          <w:tcPr>
            <w:tcW w:w="1768" w:type="dxa"/>
            <w:shd w:val="clear" w:color="auto" w:fill="auto"/>
          </w:tcPr>
          <w:p w:rsidR="00D24145" w:rsidRPr="00EC5CDE" w:rsidRDefault="00BA0E4F" w:rsidP="00EC5CDE">
            <w:pPr>
              <w:ind w:right="-11"/>
              <w:jc w:val="both"/>
              <w:rPr>
                <w:rFonts w:ascii="Arial" w:hAnsi="Arial" w:cs="Arial"/>
                <w:sz w:val="20"/>
                <w:lang w:val="el-GR"/>
              </w:rPr>
            </w:pPr>
            <w:r w:rsidRPr="00EC5CDE">
              <w:rPr>
                <w:rFonts w:ascii="Arial" w:hAnsi="Arial" w:cs="Arial"/>
                <w:sz w:val="20"/>
                <w:lang w:val="el-GR"/>
              </w:rPr>
              <w:t>11.9</w:t>
            </w:r>
            <w:r w:rsidRPr="00EC5CDE">
              <w:rPr>
                <w:rFonts w:ascii="Arial" w:hAnsi="Arial" w:cs="Arial"/>
                <w:sz w:val="20"/>
                <w:vertAlign w:val="superscript"/>
                <w:lang w:val="el-GR"/>
              </w:rPr>
              <w:t>α</w:t>
            </w:r>
          </w:p>
        </w:tc>
      </w:tr>
      <w:tr w:rsidR="00D24145" w:rsidRPr="00EC5CDE" w:rsidTr="00EC5CDE">
        <w:trPr>
          <w:trHeight w:val="921"/>
          <w:jc w:val="center"/>
        </w:trPr>
        <w:tc>
          <w:tcPr>
            <w:tcW w:w="2245" w:type="dxa"/>
            <w:shd w:val="clear" w:color="auto" w:fill="auto"/>
          </w:tcPr>
          <w:p w:rsidR="00D24145" w:rsidRPr="00EC5CDE" w:rsidRDefault="00066FF4" w:rsidP="00EC5CDE">
            <w:pPr>
              <w:ind w:right="-11"/>
              <w:rPr>
                <w:rFonts w:ascii="Arial" w:hAnsi="Arial" w:cs="Arial"/>
                <w:b/>
                <w:i/>
                <w:sz w:val="20"/>
                <w:lang w:val="el-GR"/>
              </w:rPr>
            </w:pPr>
            <w:r w:rsidRPr="00EC5CDE">
              <w:rPr>
                <w:rFonts w:ascii="Arial" w:hAnsi="Arial" w:cs="Arial"/>
                <w:b/>
                <w:i/>
                <w:sz w:val="20"/>
                <w:lang w:val="el-GR"/>
              </w:rPr>
              <w:t xml:space="preserve">Κλινική </w:t>
            </w:r>
            <w:r w:rsidR="001D075A" w:rsidRPr="00EC5CDE">
              <w:rPr>
                <w:rFonts w:ascii="Arial" w:hAnsi="Arial" w:cs="Arial"/>
                <w:b/>
                <w:i/>
                <w:sz w:val="20"/>
                <w:lang w:val="el-GR"/>
              </w:rPr>
              <w:t>εξέλιξη</w:t>
            </w:r>
            <w:r w:rsidRPr="00EC5CDE">
              <w:rPr>
                <w:rFonts w:ascii="Arial" w:hAnsi="Arial" w:cs="Arial"/>
                <w:b/>
                <w:i/>
                <w:sz w:val="20"/>
                <w:lang w:val="el-GR"/>
              </w:rPr>
              <w:t xml:space="preserve"> *</w:t>
            </w:r>
            <w:r w:rsidR="001D075A" w:rsidRPr="00EC5CDE">
              <w:rPr>
                <w:rFonts w:ascii="Arial" w:hAnsi="Arial" w:cs="Arial"/>
                <w:b/>
                <w:i/>
                <w:sz w:val="20"/>
                <w:lang w:val="el-GR"/>
              </w:rPr>
              <w:t xml:space="preserve">   </w:t>
            </w:r>
            <w:r w:rsidRPr="00EC5CDE">
              <w:rPr>
                <w:rFonts w:ascii="Arial" w:hAnsi="Arial" w:cs="Arial"/>
                <w:b/>
                <w:i/>
                <w:sz w:val="20"/>
                <w:lang w:val="el-GR"/>
              </w:rPr>
              <w:t xml:space="preserve"> (%)</w:t>
            </w:r>
          </w:p>
        </w:tc>
        <w:tc>
          <w:tcPr>
            <w:tcW w:w="1987" w:type="dxa"/>
            <w:shd w:val="clear" w:color="auto" w:fill="auto"/>
          </w:tcPr>
          <w:p w:rsidR="00D24145" w:rsidRPr="00EC5CDE" w:rsidRDefault="00BA0E4F" w:rsidP="00EC5CDE">
            <w:pPr>
              <w:ind w:right="-11"/>
              <w:rPr>
                <w:rFonts w:ascii="Arial" w:hAnsi="Arial" w:cs="Arial"/>
                <w:i/>
                <w:sz w:val="20"/>
                <w:lang w:val="el-GR"/>
              </w:rPr>
            </w:pPr>
            <w:r w:rsidRPr="00EC5CDE">
              <w:rPr>
                <w:rFonts w:ascii="Arial" w:hAnsi="Arial" w:cs="Arial"/>
                <w:i/>
                <w:sz w:val="20"/>
                <w:lang w:val="el-GR"/>
              </w:rPr>
              <w:t>Μήνας 48</w:t>
            </w:r>
          </w:p>
        </w:tc>
        <w:tc>
          <w:tcPr>
            <w:tcW w:w="1539" w:type="dxa"/>
            <w:shd w:val="clear" w:color="auto" w:fill="auto"/>
          </w:tcPr>
          <w:p w:rsidR="00D24145" w:rsidRPr="00EC5CDE" w:rsidRDefault="00BA0E4F" w:rsidP="00EC5CDE">
            <w:pPr>
              <w:ind w:right="-11"/>
              <w:jc w:val="both"/>
              <w:rPr>
                <w:rFonts w:ascii="Arial" w:hAnsi="Arial" w:cs="Arial"/>
                <w:sz w:val="20"/>
              </w:rPr>
            </w:pPr>
            <w:r w:rsidRPr="00EC5CDE">
              <w:rPr>
                <w:rFonts w:ascii="Arial" w:hAnsi="Arial" w:cs="Arial"/>
                <w:sz w:val="20"/>
              </w:rPr>
              <w:t>12.6</w:t>
            </w:r>
          </w:p>
        </w:tc>
        <w:tc>
          <w:tcPr>
            <w:tcW w:w="1191" w:type="dxa"/>
            <w:shd w:val="clear" w:color="auto" w:fill="auto"/>
          </w:tcPr>
          <w:p w:rsidR="00D24145" w:rsidRPr="00EC5CDE" w:rsidRDefault="00BA0E4F" w:rsidP="00EC5CDE">
            <w:pPr>
              <w:ind w:right="-11"/>
              <w:jc w:val="both"/>
              <w:rPr>
                <w:rFonts w:ascii="Arial" w:hAnsi="Arial" w:cs="Arial"/>
                <w:sz w:val="20"/>
                <w:lang w:val="el-GR"/>
              </w:rPr>
            </w:pPr>
            <w:r w:rsidRPr="00EC5CDE">
              <w:rPr>
                <w:rFonts w:ascii="Arial" w:hAnsi="Arial" w:cs="Arial"/>
                <w:sz w:val="20"/>
              </w:rPr>
              <w:t>17.8</w:t>
            </w:r>
            <w:r w:rsidRPr="00EC5CDE">
              <w:rPr>
                <w:rFonts w:ascii="Arial" w:hAnsi="Arial" w:cs="Arial"/>
                <w:sz w:val="20"/>
                <w:lang w:val="el-GR"/>
              </w:rPr>
              <w:t>β</w:t>
            </w:r>
          </w:p>
        </w:tc>
        <w:tc>
          <w:tcPr>
            <w:tcW w:w="1768" w:type="dxa"/>
            <w:shd w:val="clear" w:color="auto" w:fill="auto"/>
          </w:tcPr>
          <w:p w:rsidR="00D24145" w:rsidRPr="00EC5CDE" w:rsidRDefault="00BA0E4F" w:rsidP="00EC5CDE">
            <w:pPr>
              <w:ind w:right="-11"/>
              <w:jc w:val="both"/>
              <w:rPr>
                <w:rFonts w:ascii="Arial" w:hAnsi="Arial" w:cs="Arial"/>
                <w:sz w:val="20"/>
                <w:lang w:val="el-GR"/>
              </w:rPr>
            </w:pPr>
            <w:r w:rsidRPr="00EC5CDE">
              <w:rPr>
                <w:rFonts w:ascii="Arial" w:hAnsi="Arial" w:cs="Arial"/>
                <w:sz w:val="20"/>
              </w:rPr>
              <w:t>21.5</w:t>
            </w:r>
            <w:r w:rsidRPr="00EC5CDE">
              <w:rPr>
                <w:rFonts w:ascii="Arial" w:hAnsi="Arial" w:cs="Arial"/>
                <w:sz w:val="20"/>
                <w:lang w:val="el-GR"/>
              </w:rPr>
              <w:t>α</w:t>
            </w:r>
          </w:p>
        </w:tc>
      </w:tr>
      <w:tr w:rsidR="00E47A57" w:rsidRPr="00EC5CDE" w:rsidTr="00EC5CDE">
        <w:trPr>
          <w:trHeight w:val="921"/>
          <w:jc w:val="center"/>
        </w:trPr>
        <w:tc>
          <w:tcPr>
            <w:tcW w:w="2245" w:type="dxa"/>
            <w:shd w:val="clear" w:color="auto" w:fill="auto"/>
          </w:tcPr>
          <w:p w:rsidR="00E47A57" w:rsidRPr="00EC5CDE" w:rsidRDefault="00E47A57" w:rsidP="00EC5CDE">
            <w:pPr>
              <w:ind w:right="-11"/>
              <w:rPr>
                <w:rFonts w:ascii="Arial" w:hAnsi="Arial" w:cs="Arial"/>
                <w:b/>
                <w:i/>
                <w:sz w:val="20"/>
                <w:lang w:val="el-GR"/>
              </w:rPr>
            </w:pPr>
            <w:r w:rsidRPr="00EC5CDE">
              <w:rPr>
                <w:rFonts w:ascii="Arial" w:hAnsi="Arial" w:cs="Arial"/>
                <w:b/>
                <w:i/>
                <w:sz w:val="20"/>
                <w:lang w:val="el-GR"/>
              </w:rPr>
              <w:t>IPSS (μονάδες)</w:t>
            </w:r>
          </w:p>
        </w:tc>
        <w:tc>
          <w:tcPr>
            <w:tcW w:w="1987" w:type="dxa"/>
            <w:shd w:val="clear" w:color="auto" w:fill="auto"/>
          </w:tcPr>
          <w:p w:rsidR="00E47A57" w:rsidRPr="00EC5CDE" w:rsidRDefault="00E47A57" w:rsidP="00EC5CDE">
            <w:pPr>
              <w:ind w:right="-11"/>
              <w:rPr>
                <w:rFonts w:ascii="Arial" w:hAnsi="Arial" w:cs="Arial"/>
                <w:i/>
                <w:sz w:val="20"/>
                <w:lang w:val="el-GR"/>
              </w:rPr>
            </w:pPr>
            <w:r w:rsidRPr="00EC5CDE">
              <w:rPr>
                <w:rFonts w:ascii="Arial" w:hAnsi="Arial" w:cs="Arial"/>
                <w:i/>
                <w:sz w:val="20"/>
                <w:lang w:val="el-GR"/>
              </w:rPr>
              <w:t>[Αρχική τιμή]</w:t>
            </w:r>
          </w:p>
          <w:p w:rsidR="00E47A57" w:rsidRPr="00EC5CDE" w:rsidRDefault="00E47A57" w:rsidP="00EC5CDE">
            <w:pPr>
              <w:ind w:right="-11"/>
              <w:rPr>
                <w:rFonts w:ascii="Arial" w:hAnsi="Arial" w:cs="Arial"/>
                <w:i/>
                <w:sz w:val="20"/>
                <w:lang w:val="el-GR"/>
              </w:rPr>
            </w:pPr>
            <w:r w:rsidRPr="00EC5CDE">
              <w:rPr>
                <w:rFonts w:ascii="Arial" w:hAnsi="Arial" w:cs="Arial"/>
                <w:i/>
                <w:sz w:val="20"/>
                <w:lang w:val="el-GR"/>
              </w:rPr>
              <w:t xml:space="preserve">Μήνας </w:t>
            </w:r>
            <w:r w:rsidR="00BA0E4F" w:rsidRPr="00EC5CDE">
              <w:rPr>
                <w:rFonts w:ascii="Arial" w:hAnsi="Arial" w:cs="Arial"/>
                <w:i/>
                <w:sz w:val="20"/>
                <w:lang w:val="el-GR"/>
              </w:rPr>
              <w:t>48</w:t>
            </w:r>
            <w:r w:rsidRPr="00EC5CDE">
              <w:rPr>
                <w:rFonts w:ascii="Arial" w:hAnsi="Arial" w:cs="Arial"/>
                <w:i/>
                <w:sz w:val="20"/>
                <w:lang w:val="el-GR"/>
              </w:rPr>
              <w:t xml:space="preserve"> (μεταβολή από αρχική τιμή)</w:t>
            </w:r>
          </w:p>
        </w:tc>
        <w:tc>
          <w:tcPr>
            <w:tcW w:w="1539"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[16.6]</w:t>
            </w:r>
          </w:p>
          <w:p w:rsidR="00E47A57" w:rsidRPr="00EC5CDE" w:rsidRDefault="00E47A57" w:rsidP="00EC5CDE">
            <w:pPr>
              <w:ind w:right="-11"/>
              <w:jc w:val="both"/>
              <w:rPr>
                <w:rFonts w:ascii="Arial" w:hAnsi="Arial" w:cs="Arial"/>
                <w:sz w:val="20"/>
              </w:rPr>
            </w:pPr>
            <w:r w:rsidRPr="00EC5CDE">
              <w:rPr>
                <w:rFonts w:ascii="Arial" w:hAnsi="Arial" w:cs="Arial"/>
                <w:sz w:val="20"/>
              </w:rPr>
              <w:t>-6.</w:t>
            </w:r>
            <w:r w:rsidR="00BA0E4F" w:rsidRPr="00EC5CDE">
              <w:rPr>
                <w:rFonts w:ascii="Arial" w:hAnsi="Arial" w:cs="Arial"/>
                <w:sz w:val="20"/>
              </w:rPr>
              <w:t>3</w:t>
            </w:r>
          </w:p>
        </w:tc>
        <w:tc>
          <w:tcPr>
            <w:tcW w:w="1191" w:type="dxa"/>
            <w:shd w:val="clear" w:color="auto" w:fill="auto"/>
          </w:tcPr>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[16.4]</w:t>
            </w:r>
          </w:p>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w:t>
            </w:r>
            <w:r w:rsidR="00BA0E4F" w:rsidRPr="00EC5CDE">
              <w:rPr>
                <w:rFonts w:ascii="Arial" w:hAnsi="Arial" w:cs="Arial"/>
                <w:sz w:val="20"/>
                <w:lang w:val="el-GR"/>
              </w:rPr>
              <w:t>5</w:t>
            </w:r>
            <w:r w:rsidRPr="00EC5CDE">
              <w:rPr>
                <w:rFonts w:ascii="Arial" w:hAnsi="Arial" w:cs="Arial"/>
                <w:sz w:val="20"/>
                <w:lang w:val="el-GR"/>
              </w:rPr>
              <w:t>.</w:t>
            </w:r>
            <w:r w:rsidR="00BA0E4F" w:rsidRPr="00EC5CDE">
              <w:rPr>
                <w:rFonts w:ascii="Arial" w:hAnsi="Arial" w:cs="Arial"/>
                <w:sz w:val="20"/>
                <w:lang w:val="el-GR"/>
              </w:rPr>
              <w:t>3β</w:t>
            </w:r>
          </w:p>
        </w:tc>
        <w:tc>
          <w:tcPr>
            <w:tcW w:w="1768" w:type="dxa"/>
            <w:shd w:val="clear" w:color="auto" w:fill="auto"/>
          </w:tcPr>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[16.4]</w:t>
            </w:r>
          </w:p>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w:t>
            </w:r>
            <w:r w:rsidR="00BA0E4F" w:rsidRPr="00EC5CDE">
              <w:rPr>
                <w:rFonts w:ascii="Arial" w:hAnsi="Arial" w:cs="Arial"/>
                <w:sz w:val="20"/>
              </w:rPr>
              <w:t>3</w:t>
            </w:r>
            <w:r w:rsidRPr="00EC5CDE">
              <w:rPr>
                <w:rFonts w:ascii="Arial" w:hAnsi="Arial" w:cs="Arial"/>
                <w:sz w:val="20"/>
                <w:lang w:val="el-GR"/>
              </w:rPr>
              <w:t>.</w:t>
            </w:r>
            <w:r w:rsidR="00BA0E4F" w:rsidRPr="00EC5CDE">
              <w:rPr>
                <w:rFonts w:ascii="Arial" w:hAnsi="Arial" w:cs="Arial"/>
                <w:sz w:val="20"/>
              </w:rPr>
              <w:t>8</w:t>
            </w:r>
            <w:r w:rsidR="00BA0E4F" w:rsidRPr="00EC5CDE">
              <w:rPr>
                <w:rFonts w:ascii="Arial" w:hAnsi="Arial" w:cs="Arial"/>
                <w:sz w:val="20"/>
                <w:lang w:val="el-GR"/>
              </w:rPr>
              <w:t>α</w:t>
            </w:r>
          </w:p>
        </w:tc>
      </w:tr>
      <w:tr w:rsidR="00E47A57" w:rsidRPr="00EC5CDE" w:rsidTr="00EC5CDE">
        <w:trPr>
          <w:trHeight w:val="921"/>
          <w:jc w:val="center"/>
        </w:trPr>
        <w:tc>
          <w:tcPr>
            <w:tcW w:w="2245" w:type="dxa"/>
            <w:shd w:val="clear" w:color="auto" w:fill="auto"/>
          </w:tcPr>
          <w:p w:rsidR="00E47A57" w:rsidRPr="00EC5CDE" w:rsidRDefault="00E47A57" w:rsidP="00EC5CDE">
            <w:pPr>
              <w:ind w:right="-11"/>
              <w:rPr>
                <w:rFonts w:ascii="Arial" w:hAnsi="Arial" w:cs="Arial"/>
                <w:b/>
                <w:i/>
                <w:sz w:val="20"/>
                <w:lang w:val="el-GR"/>
              </w:rPr>
            </w:pPr>
            <w:r w:rsidRPr="00EC5CDE">
              <w:rPr>
                <w:rFonts w:ascii="Arial" w:hAnsi="Arial" w:cs="Arial"/>
                <w:b/>
                <w:i/>
                <w:sz w:val="20"/>
                <w:lang w:val="el-GR"/>
              </w:rPr>
              <w:t>Qmax (ml/sec)</w:t>
            </w:r>
          </w:p>
        </w:tc>
        <w:tc>
          <w:tcPr>
            <w:tcW w:w="1987" w:type="dxa"/>
            <w:shd w:val="clear" w:color="auto" w:fill="auto"/>
          </w:tcPr>
          <w:p w:rsidR="00E47A57" w:rsidRPr="00EC5CDE" w:rsidRDefault="00E47A57" w:rsidP="00EC5CDE">
            <w:pPr>
              <w:ind w:right="-11"/>
              <w:rPr>
                <w:rFonts w:ascii="Arial" w:hAnsi="Arial" w:cs="Arial"/>
                <w:i/>
                <w:sz w:val="20"/>
                <w:lang w:val="el-GR"/>
              </w:rPr>
            </w:pPr>
            <w:r w:rsidRPr="00EC5CDE">
              <w:rPr>
                <w:rFonts w:ascii="Arial" w:hAnsi="Arial" w:cs="Arial"/>
                <w:i/>
                <w:sz w:val="20"/>
                <w:lang w:val="el-GR"/>
              </w:rPr>
              <w:t>[Αρχική τιμή]</w:t>
            </w:r>
          </w:p>
          <w:p w:rsidR="00E47A57" w:rsidRPr="00EC5CDE" w:rsidRDefault="00E47A57" w:rsidP="00EC5CDE">
            <w:pPr>
              <w:ind w:right="-11"/>
              <w:rPr>
                <w:rFonts w:ascii="Arial" w:hAnsi="Arial" w:cs="Arial"/>
                <w:i/>
                <w:sz w:val="20"/>
                <w:lang w:val="el-GR"/>
              </w:rPr>
            </w:pPr>
            <w:r w:rsidRPr="00EC5CDE">
              <w:rPr>
                <w:rFonts w:ascii="Arial" w:hAnsi="Arial" w:cs="Arial"/>
                <w:i/>
                <w:sz w:val="20"/>
                <w:lang w:val="el-GR"/>
              </w:rPr>
              <w:t xml:space="preserve">Μήνας </w:t>
            </w:r>
            <w:r w:rsidR="00BA0E4F" w:rsidRPr="00EC5CDE">
              <w:rPr>
                <w:rFonts w:ascii="Arial" w:hAnsi="Arial" w:cs="Arial"/>
                <w:i/>
                <w:sz w:val="20"/>
                <w:lang w:val="el-GR"/>
              </w:rPr>
              <w:t>48</w:t>
            </w:r>
            <w:r w:rsidRPr="00EC5CDE">
              <w:rPr>
                <w:rFonts w:ascii="Arial" w:hAnsi="Arial" w:cs="Arial"/>
                <w:i/>
                <w:sz w:val="20"/>
                <w:lang w:val="el-GR"/>
              </w:rPr>
              <w:t xml:space="preserve"> (μεταβολή από αρχική τιμή)</w:t>
            </w:r>
          </w:p>
        </w:tc>
        <w:tc>
          <w:tcPr>
            <w:tcW w:w="1539" w:type="dxa"/>
            <w:shd w:val="clear" w:color="auto" w:fill="auto"/>
          </w:tcPr>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[10.9]</w:t>
            </w:r>
          </w:p>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2.4</w:t>
            </w:r>
          </w:p>
        </w:tc>
        <w:tc>
          <w:tcPr>
            <w:tcW w:w="1191" w:type="dxa"/>
            <w:shd w:val="clear" w:color="auto" w:fill="auto"/>
          </w:tcPr>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[10.6]</w:t>
            </w:r>
          </w:p>
          <w:p w:rsidR="00E47A57" w:rsidRPr="00EC5CDE" w:rsidRDefault="00BA0E4F" w:rsidP="00EC5CDE">
            <w:pPr>
              <w:ind w:right="-11"/>
              <w:jc w:val="both"/>
              <w:rPr>
                <w:rFonts w:ascii="Arial" w:hAnsi="Arial" w:cs="Arial"/>
                <w:sz w:val="20"/>
                <w:lang w:val="el-GR"/>
              </w:rPr>
            </w:pPr>
            <w:r w:rsidRPr="00EC5CDE">
              <w:rPr>
                <w:rFonts w:ascii="Arial" w:hAnsi="Arial" w:cs="Arial"/>
                <w:sz w:val="20"/>
                <w:lang w:val="el-GR"/>
              </w:rPr>
              <w:t>2</w:t>
            </w:r>
            <w:r w:rsidR="00E47A57" w:rsidRPr="00EC5CDE">
              <w:rPr>
                <w:rFonts w:ascii="Arial" w:hAnsi="Arial" w:cs="Arial"/>
                <w:sz w:val="20"/>
                <w:lang w:val="el-GR"/>
              </w:rPr>
              <w:t>,</w:t>
            </w:r>
            <w:r w:rsidRPr="00EC5CDE">
              <w:rPr>
                <w:rFonts w:ascii="Arial" w:hAnsi="Arial" w:cs="Arial"/>
                <w:sz w:val="20"/>
                <w:lang w:val="el-GR"/>
              </w:rPr>
              <w:t>0</w:t>
            </w:r>
          </w:p>
        </w:tc>
        <w:tc>
          <w:tcPr>
            <w:tcW w:w="1768" w:type="dxa"/>
            <w:shd w:val="clear" w:color="auto" w:fill="auto"/>
          </w:tcPr>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[10.7]</w:t>
            </w:r>
          </w:p>
          <w:p w:rsidR="00E47A57" w:rsidRPr="00EC5CDE" w:rsidRDefault="00E47A57" w:rsidP="00EC5CDE">
            <w:pPr>
              <w:ind w:right="-11"/>
              <w:jc w:val="both"/>
              <w:rPr>
                <w:rFonts w:ascii="Arial" w:hAnsi="Arial" w:cs="Arial"/>
                <w:sz w:val="20"/>
                <w:lang w:val="el-GR"/>
              </w:rPr>
            </w:pPr>
            <w:r w:rsidRPr="00EC5CDE">
              <w:rPr>
                <w:rFonts w:ascii="Arial" w:hAnsi="Arial" w:cs="Arial"/>
                <w:sz w:val="20"/>
                <w:lang w:val="el-GR"/>
              </w:rPr>
              <w:t>0.</w:t>
            </w:r>
            <w:r w:rsidR="00BA0E4F" w:rsidRPr="00EC5CDE">
              <w:rPr>
                <w:rFonts w:ascii="Arial" w:hAnsi="Arial" w:cs="Arial"/>
                <w:sz w:val="20"/>
                <w:lang w:val="el-GR"/>
              </w:rPr>
              <w:t>7α</w:t>
            </w:r>
          </w:p>
        </w:tc>
      </w:tr>
      <w:tr w:rsidR="00E47A57" w:rsidRPr="00EC5CDE" w:rsidTr="00EC5CDE">
        <w:trPr>
          <w:trHeight w:val="921"/>
          <w:jc w:val="center"/>
        </w:trPr>
        <w:tc>
          <w:tcPr>
            <w:tcW w:w="2245" w:type="dxa"/>
            <w:shd w:val="clear" w:color="auto" w:fill="auto"/>
          </w:tcPr>
          <w:p w:rsidR="00E47A57" w:rsidRPr="00EC5CDE" w:rsidRDefault="00E47A57" w:rsidP="00EC5CDE">
            <w:pPr>
              <w:ind w:right="-11"/>
              <w:rPr>
                <w:rFonts w:ascii="Arial" w:hAnsi="Arial" w:cs="Arial"/>
                <w:b/>
                <w:i/>
                <w:sz w:val="20"/>
              </w:rPr>
            </w:pPr>
            <w:r w:rsidRPr="00EC5CDE">
              <w:rPr>
                <w:rFonts w:ascii="Arial" w:hAnsi="Arial" w:cs="Arial"/>
                <w:b/>
                <w:i/>
                <w:sz w:val="20"/>
                <w:lang w:val="el-GR"/>
              </w:rPr>
              <w:t>Όγκος προστάτη</w:t>
            </w:r>
            <w:r w:rsidR="00D24145" w:rsidRPr="00EC5CDE">
              <w:rPr>
                <w:rFonts w:ascii="Arial" w:hAnsi="Arial" w:cs="Arial"/>
                <w:b/>
                <w:i/>
                <w:sz w:val="20"/>
                <w:lang w:val="el-GR"/>
              </w:rPr>
              <w:t xml:space="preserve"> (</w:t>
            </w:r>
            <w:r w:rsidR="00D24145" w:rsidRPr="00EC5CDE">
              <w:rPr>
                <w:rFonts w:ascii="Arial" w:hAnsi="Arial" w:cs="Arial"/>
                <w:b/>
                <w:i/>
                <w:sz w:val="20"/>
              </w:rPr>
              <w:t>ml)</w:t>
            </w:r>
          </w:p>
        </w:tc>
        <w:tc>
          <w:tcPr>
            <w:tcW w:w="1987" w:type="dxa"/>
            <w:shd w:val="clear" w:color="auto" w:fill="auto"/>
          </w:tcPr>
          <w:p w:rsidR="00E47A57" w:rsidRPr="00EC5CDE" w:rsidRDefault="00E47A57" w:rsidP="00EC5CDE">
            <w:pPr>
              <w:ind w:right="-11"/>
              <w:rPr>
                <w:rFonts w:ascii="Arial" w:hAnsi="Arial" w:cs="Arial"/>
                <w:i/>
                <w:sz w:val="20"/>
                <w:lang w:val="el-GR"/>
              </w:rPr>
            </w:pPr>
            <w:r w:rsidRPr="00EC5CDE">
              <w:rPr>
                <w:rFonts w:ascii="Arial" w:hAnsi="Arial" w:cs="Arial"/>
                <w:i/>
                <w:sz w:val="20"/>
                <w:lang w:val="el-GR"/>
              </w:rPr>
              <w:t>[Αρχική τιμή]</w:t>
            </w:r>
          </w:p>
          <w:p w:rsidR="00E47A57" w:rsidRPr="00EC5CDE" w:rsidRDefault="00E47A57" w:rsidP="00EC5CDE">
            <w:pPr>
              <w:ind w:right="-11"/>
              <w:rPr>
                <w:rFonts w:ascii="Arial" w:hAnsi="Arial" w:cs="Arial"/>
                <w:i/>
                <w:sz w:val="20"/>
                <w:lang w:val="el-GR"/>
              </w:rPr>
            </w:pPr>
            <w:r w:rsidRPr="00EC5CDE">
              <w:rPr>
                <w:rFonts w:ascii="Arial" w:hAnsi="Arial" w:cs="Arial"/>
                <w:i/>
                <w:sz w:val="20"/>
                <w:lang w:val="el-GR"/>
              </w:rPr>
              <w:t xml:space="preserve">Μήνας </w:t>
            </w:r>
            <w:r w:rsidR="00BA0E4F" w:rsidRPr="00EC5CDE">
              <w:rPr>
                <w:rFonts w:ascii="Arial" w:hAnsi="Arial" w:cs="Arial"/>
                <w:i/>
                <w:sz w:val="20"/>
                <w:lang w:val="el-GR"/>
              </w:rPr>
              <w:t>48</w:t>
            </w:r>
            <w:r w:rsidRPr="00EC5CDE">
              <w:rPr>
                <w:rFonts w:ascii="Arial" w:hAnsi="Arial" w:cs="Arial"/>
                <w:i/>
                <w:sz w:val="20"/>
                <w:lang w:val="el-GR"/>
              </w:rPr>
              <w:t xml:space="preserve"> (μεταβολή από αρχική τιμή)</w:t>
            </w:r>
          </w:p>
        </w:tc>
        <w:tc>
          <w:tcPr>
            <w:tcW w:w="1539"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[54.7]</w:t>
            </w:r>
          </w:p>
          <w:p w:rsidR="00E47A57" w:rsidRPr="00EC5CDE" w:rsidRDefault="00E47A57" w:rsidP="00EC5CDE">
            <w:pPr>
              <w:ind w:right="-11"/>
              <w:jc w:val="both"/>
              <w:rPr>
                <w:rFonts w:ascii="Arial" w:hAnsi="Arial" w:cs="Arial"/>
                <w:sz w:val="20"/>
                <w:lang w:val="el-GR"/>
              </w:rPr>
            </w:pPr>
            <w:r w:rsidRPr="00EC5CDE">
              <w:rPr>
                <w:rFonts w:ascii="Arial" w:hAnsi="Arial" w:cs="Arial"/>
                <w:sz w:val="20"/>
              </w:rPr>
              <w:t>-2</w:t>
            </w:r>
            <w:r w:rsidR="00BA0E4F" w:rsidRPr="00EC5CDE">
              <w:rPr>
                <w:rFonts w:ascii="Arial" w:hAnsi="Arial" w:cs="Arial"/>
                <w:sz w:val="20"/>
                <w:lang w:val="el-GR"/>
              </w:rPr>
              <w:t>7</w:t>
            </w:r>
            <w:r w:rsidRPr="00EC5CDE">
              <w:rPr>
                <w:rFonts w:ascii="Arial" w:hAnsi="Arial" w:cs="Arial"/>
                <w:sz w:val="20"/>
              </w:rPr>
              <w:t>.</w:t>
            </w:r>
            <w:r w:rsidR="00BA0E4F" w:rsidRPr="00EC5CDE">
              <w:rPr>
                <w:rFonts w:ascii="Arial" w:hAnsi="Arial" w:cs="Arial"/>
                <w:sz w:val="20"/>
                <w:lang w:val="el-GR"/>
              </w:rPr>
              <w:t>3</w:t>
            </w:r>
          </w:p>
        </w:tc>
        <w:tc>
          <w:tcPr>
            <w:tcW w:w="1191"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[54.</w:t>
            </w:r>
            <w:r w:rsidRPr="00EC5CDE">
              <w:rPr>
                <w:rFonts w:ascii="Arial" w:hAnsi="Arial" w:cs="Arial"/>
                <w:sz w:val="20"/>
                <w:lang w:val="el-GR"/>
              </w:rPr>
              <w:t>6</w:t>
            </w:r>
            <w:r w:rsidRPr="00EC5CDE">
              <w:rPr>
                <w:rFonts w:ascii="Arial" w:hAnsi="Arial" w:cs="Arial"/>
                <w:sz w:val="20"/>
              </w:rPr>
              <w:t>]</w:t>
            </w:r>
          </w:p>
          <w:p w:rsidR="00E47A57" w:rsidRPr="00EC5CDE" w:rsidRDefault="00E47A57" w:rsidP="00EC5CDE">
            <w:pPr>
              <w:ind w:right="-11"/>
              <w:jc w:val="both"/>
              <w:rPr>
                <w:rFonts w:ascii="Arial" w:hAnsi="Arial" w:cs="Arial"/>
                <w:sz w:val="20"/>
                <w:lang w:val="el-GR"/>
              </w:rPr>
            </w:pPr>
            <w:r w:rsidRPr="00EC5CDE">
              <w:rPr>
                <w:rFonts w:ascii="Arial" w:hAnsi="Arial" w:cs="Arial"/>
                <w:sz w:val="20"/>
              </w:rPr>
              <w:t>-2</w:t>
            </w:r>
            <w:r w:rsidRPr="00EC5CDE">
              <w:rPr>
                <w:rFonts w:ascii="Arial" w:hAnsi="Arial" w:cs="Arial"/>
                <w:sz w:val="20"/>
                <w:lang w:val="el-GR"/>
              </w:rPr>
              <w:t>8,0</w:t>
            </w:r>
          </w:p>
        </w:tc>
        <w:tc>
          <w:tcPr>
            <w:tcW w:w="1768"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[55.8]</w:t>
            </w:r>
          </w:p>
          <w:p w:rsidR="00E47A57" w:rsidRPr="00EC5CDE" w:rsidRDefault="00BA0E4F" w:rsidP="00EC5CDE">
            <w:pPr>
              <w:ind w:right="-11"/>
              <w:jc w:val="both"/>
              <w:rPr>
                <w:rFonts w:ascii="Arial" w:hAnsi="Arial" w:cs="Arial"/>
                <w:sz w:val="20"/>
              </w:rPr>
            </w:pPr>
            <w:r w:rsidRPr="00EC5CDE">
              <w:rPr>
                <w:rFonts w:ascii="Arial" w:hAnsi="Arial" w:cs="Arial"/>
                <w:sz w:val="20"/>
                <w:lang w:val="el-GR"/>
              </w:rPr>
              <w:t>+4.6α</w:t>
            </w:r>
          </w:p>
        </w:tc>
      </w:tr>
      <w:tr w:rsidR="00E47A57" w:rsidRPr="00EC5CDE" w:rsidTr="00EC5CDE">
        <w:trPr>
          <w:trHeight w:val="931"/>
          <w:jc w:val="center"/>
        </w:trPr>
        <w:tc>
          <w:tcPr>
            <w:tcW w:w="2245" w:type="dxa"/>
            <w:shd w:val="clear" w:color="auto" w:fill="auto"/>
          </w:tcPr>
          <w:p w:rsidR="00E47A57" w:rsidRPr="00EC5CDE" w:rsidRDefault="00E47A57" w:rsidP="00EC5CDE">
            <w:pPr>
              <w:ind w:right="-11"/>
              <w:rPr>
                <w:rFonts w:ascii="Arial" w:hAnsi="Arial" w:cs="Arial"/>
                <w:b/>
                <w:i/>
                <w:sz w:val="20"/>
                <w:lang w:val="el-GR"/>
              </w:rPr>
            </w:pPr>
            <w:r w:rsidRPr="00EC5CDE">
              <w:rPr>
                <w:rFonts w:ascii="Arial" w:hAnsi="Arial" w:cs="Arial"/>
                <w:b/>
                <w:i/>
                <w:sz w:val="20"/>
                <w:lang w:val="el-GR"/>
              </w:rPr>
              <w:t>Όγκος προστάτη στη μεταβατική ζώνη</w:t>
            </w:r>
            <w:r w:rsidR="00D24145" w:rsidRPr="00EC5CDE">
              <w:rPr>
                <w:rFonts w:ascii="Arial" w:hAnsi="Arial" w:cs="Arial"/>
                <w:b/>
                <w:i/>
                <w:sz w:val="20"/>
                <w:lang w:val="el-GR"/>
              </w:rPr>
              <w:t xml:space="preserve"> (</w:t>
            </w:r>
            <w:r w:rsidR="00D24145" w:rsidRPr="00EC5CDE">
              <w:rPr>
                <w:rFonts w:ascii="Arial" w:hAnsi="Arial" w:cs="Arial"/>
                <w:b/>
                <w:i/>
                <w:sz w:val="20"/>
              </w:rPr>
              <w:t>ml</w:t>
            </w:r>
            <w:r w:rsidR="00D24145" w:rsidRPr="00EC5CDE">
              <w:rPr>
                <w:rFonts w:ascii="Arial" w:hAnsi="Arial" w:cs="Arial"/>
                <w:b/>
                <w:i/>
                <w:sz w:val="20"/>
                <w:lang w:val="el-GR"/>
              </w:rPr>
              <w:t>)</w:t>
            </w:r>
            <w:r w:rsidR="000B7CC7" w:rsidRPr="00EC5CDE">
              <w:rPr>
                <w:rFonts w:ascii="Arial" w:hAnsi="Arial" w:cs="Arial"/>
                <w:sz w:val="18"/>
                <w:szCs w:val="18"/>
                <w:lang w:val="el-GR"/>
              </w:rPr>
              <w:t xml:space="preserve"> #</w:t>
            </w:r>
          </w:p>
        </w:tc>
        <w:tc>
          <w:tcPr>
            <w:tcW w:w="1987" w:type="dxa"/>
            <w:shd w:val="clear" w:color="auto" w:fill="auto"/>
          </w:tcPr>
          <w:p w:rsidR="00E47A57" w:rsidRPr="00EC5CDE" w:rsidRDefault="00E47A57" w:rsidP="00EC5CDE">
            <w:pPr>
              <w:ind w:right="-11"/>
              <w:rPr>
                <w:rFonts w:ascii="Arial" w:hAnsi="Arial" w:cs="Arial"/>
                <w:i/>
                <w:sz w:val="20"/>
                <w:lang w:val="el-GR"/>
              </w:rPr>
            </w:pPr>
            <w:r w:rsidRPr="00EC5CDE">
              <w:rPr>
                <w:rFonts w:ascii="Arial" w:hAnsi="Arial" w:cs="Arial"/>
                <w:i/>
                <w:sz w:val="20"/>
                <w:lang w:val="el-GR"/>
              </w:rPr>
              <w:t>[Αρχική τιμή] (</w:t>
            </w:r>
            <w:r w:rsidRPr="00EC5CDE">
              <w:rPr>
                <w:rFonts w:ascii="Arial" w:hAnsi="Arial" w:cs="Arial"/>
                <w:i/>
                <w:sz w:val="20"/>
              </w:rPr>
              <w:t>ml</w:t>
            </w:r>
            <w:r w:rsidRPr="00EC5CDE">
              <w:rPr>
                <w:rFonts w:ascii="Arial" w:hAnsi="Arial" w:cs="Arial"/>
                <w:i/>
                <w:sz w:val="20"/>
                <w:lang w:val="el-GR"/>
              </w:rPr>
              <w:t>)</w:t>
            </w:r>
          </w:p>
          <w:p w:rsidR="00E47A57" w:rsidRPr="00EC5CDE" w:rsidRDefault="00E47A57" w:rsidP="00EC5CDE">
            <w:pPr>
              <w:ind w:right="-11"/>
              <w:rPr>
                <w:rFonts w:ascii="Arial" w:hAnsi="Arial" w:cs="Arial"/>
                <w:i/>
                <w:sz w:val="20"/>
                <w:lang w:val="el-GR"/>
              </w:rPr>
            </w:pPr>
            <w:r w:rsidRPr="00EC5CDE">
              <w:rPr>
                <w:rFonts w:ascii="Arial" w:hAnsi="Arial" w:cs="Arial"/>
                <w:i/>
                <w:sz w:val="20"/>
                <w:lang w:val="el-GR"/>
              </w:rPr>
              <w:t xml:space="preserve">Μήνας </w:t>
            </w:r>
            <w:r w:rsidR="00BA0E4F" w:rsidRPr="00EC5CDE">
              <w:rPr>
                <w:rFonts w:ascii="Arial" w:hAnsi="Arial" w:cs="Arial"/>
                <w:i/>
                <w:sz w:val="20"/>
                <w:lang w:val="el-GR"/>
              </w:rPr>
              <w:t>48</w:t>
            </w:r>
            <w:r w:rsidRPr="00EC5CDE">
              <w:rPr>
                <w:rFonts w:ascii="Arial" w:hAnsi="Arial" w:cs="Arial"/>
                <w:i/>
                <w:sz w:val="20"/>
                <w:lang w:val="el-GR"/>
              </w:rPr>
              <w:t xml:space="preserve"> (% μεταβολή από αρχική τιμή)</w:t>
            </w:r>
          </w:p>
        </w:tc>
        <w:tc>
          <w:tcPr>
            <w:tcW w:w="1539"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[27.7]</w:t>
            </w:r>
          </w:p>
          <w:p w:rsidR="00E47A57" w:rsidRPr="00EC5CDE" w:rsidRDefault="00E47A57" w:rsidP="00EC5CDE">
            <w:pPr>
              <w:ind w:right="-11"/>
              <w:jc w:val="both"/>
              <w:rPr>
                <w:rFonts w:ascii="Arial" w:hAnsi="Arial" w:cs="Arial"/>
                <w:sz w:val="20"/>
                <w:lang w:val="el-GR"/>
              </w:rPr>
            </w:pPr>
            <w:r w:rsidRPr="00EC5CDE">
              <w:rPr>
                <w:rFonts w:ascii="Arial" w:hAnsi="Arial" w:cs="Arial"/>
                <w:sz w:val="20"/>
              </w:rPr>
              <w:t>-</w:t>
            </w:r>
            <w:r w:rsidR="00BA0E4F" w:rsidRPr="00EC5CDE">
              <w:rPr>
                <w:rFonts w:ascii="Arial" w:hAnsi="Arial" w:cs="Arial"/>
                <w:sz w:val="20"/>
                <w:lang w:val="el-GR"/>
              </w:rPr>
              <w:t>17</w:t>
            </w:r>
            <w:r w:rsidRPr="00EC5CDE">
              <w:rPr>
                <w:rFonts w:ascii="Arial" w:hAnsi="Arial" w:cs="Arial"/>
                <w:sz w:val="20"/>
              </w:rPr>
              <w:t>.</w:t>
            </w:r>
            <w:r w:rsidR="00BA0E4F" w:rsidRPr="00EC5CDE">
              <w:rPr>
                <w:rFonts w:ascii="Arial" w:hAnsi="Arial" w:cs="Arial"/>
                <w:sz w:val="20"/>
                <w:lang w:val="el-GR"/>
              </w:rPr>
              <w:t>9</w:t>
            </w:r>
          </w:p>
        </w:tc>
        <w:tc>
          <w:tcPr>
            <w:tcW w:w="1191"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w:t>
            </w:r>
            <w:r w:rsidRPr="00EC5CDE">
              <w:rPr>
                <w:rFonts w:ascii="Arial" w:hAnsi="Arial" w:cs="Arial"/>
                <w:sz w:val="20"/>
                <w:lang w:val="el-GR"/>
              </w:rPr>
              <w:t>30</w:t>
            </w:r>
            <w:r w:rsidRPr="00EC5CDE">
              <w:rPr>
                <w:rFonts w:ascii="Arial" w:hAnsi="Arial" w:cs="Arial"/>
                <w:sz w:val="20"/>
              </w:rPr>
              <w:t>.</w:t>
            </w:r>
            <w:r w:rsidRPr="00EC5CDE">
              <w:rPr>
                <w:rFonts w:ascii="Arial" w:hAnsi="Arial" w:cs="Arial"/>
                <w:sz w:val="20"/>
                <w:lang w:val="el-GR"/>
              </w:rPr>
              <w:t>3</w:t>
            </w:r>
            <w:r w:rsidRPr="00EC5CDE">
              <w:rPr>
                <w:rFonts w:ascii="Arial" w:hAnsi="Arial" w:cs="Arial"/>
                <w:sz w:val="20"/>
              </w:rPr>
              <w:t>]</w:t>
            </w:r>
          </w:p>
          <w:p w:rsidR="00E47A57" w:rsidRPr="00EC5CDE" w:rsidRDefault="00E47A57" w:rsidP="00EC5CDE">
            <w:pPr>
              <w:ind w:right="-11"/>
              <w:jc w:val="both"/>
              <w:rPr>
                <w:rFonts w:ascii="Arial" w:hAnsi="Arial" w:cs="Arial"/>
                <w:sz w:val="20"/>
                <w:lang w:val="el-GR"/>
              </w:rPr>
            </w:pPr>
            <w:r w:rsidRPr="00EC5CDE">
              <w:rPr>
                <w:rFonts w:ascii="Arial" w:hAnsi="Arial" w:cs="Arial"/>
                <w:sz w:val="20"/>
              </w:rPr>
              <w:t>-2</w:t>
            </w:r>
            <w:r w:rsidR="00BA0E4F" w:rsidRPr="00EC5CDE">
              <w:rPr>
                <w:rFonts w:ascii="Arial" w:hAnsi="Arial" w:cs="Arial"/>
                <w:sz w:val="20"/>
                <w:lang w:val="el-GR"/>
              </w:rPr>
              <w:t>6</w:t>
            </w:r>
            <w:r w:rsidRPr="00EC5CDE">
              <w:rPr>
                <w:rFonts w:ascii="Arial" w:hAnsi="Arial" w:cs="Arial"/>
                <w:sz w:val="20"/>
                <w:lang w:val="el-GR"/>
              </w:rPr>
              <w:t>,</w:t>
            </w:r>
            <w:r w:rsidR="00BA0E4F" w:rsidRPr="00EC5CDE">
              <w:rPr>
                <w:rFonts w:ascii="Arial" w:hAnsi="Arial" w:cs="Arial"/>
                <w:sz w:val="20"/>
                <w:lang w:val="el-GR"/>
              </w:rPr>
              <w:t>5</w:t>
            </w:r>
          </w:p>
        </w:tc>
        <w:tc>
          <w:tcPr>
            <w:tcW w:w="1768"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[30.5]</w:t>
            </w:r>
          </w:p>
          <w:p w:rsidR="00E47A57" w:rsidRPr="00EC5CDE" w:rsidRDefault="00BA0E4F" w:rsidP="00EC5CDE">
            <w:pPr>
              <w:ind w:right="-11"/>
              <w:jc w:val="both"/>
              <w:rPr>
                <w:rFonts w:ascii="Arial" w:hAnsi="Arial" w:cs="Arial"/>
                <w:sz w:val="20"/>
                <w:lang w:val="el-GR"/>
              </w:rPr>
            </w:pPr>
            <w:r w:rsidRPr="00EC5CDE">
              <w:rPr>
                <w:rFonts w:ascii="Arial" w:hAnsi="Arial" w:cs="Arial"/>
                <w:sz w:val="20"/>
                <w:lang w:val="el-GR"/>
              </w:rPr>
              <w:t>1</w:t>
            </w:r>
            <w:r w:rsidR="00E47A57" w:rsidRPr="00EC5CDE">
              <w:rPr>
                <w:rFonts w:ascii="Arial" w:hAnsi="Arial" w:cs="Arial"/>
                <w:sz w:val="20"/>
              </w:rPr>
              <w:t>8.</w:t>
            </w:r>
            <w:r w:rsidRPr="00EC5CDE">
              <w:rPr>
                <w:rFonts w:ascii="Arial" w:hAnsi="Arial" w:cs="Arial"/>
                <w:sz w:val="20"/>
                <w:lang w:val="el-GR"/>
              </w:rPr>
              <w:t>2α</w:t>
            </w:r>
          </w:p>
        </w:tc>
      </w:tr>
      <w:tr w:rsidR="00E47A57" w:rsidRPr="00EC5CDE" w:rsidTr="00EC5CDE">
        <w:trPr>
          <w:trHeight w:val="921"/>
          <w:jc w:val="center"/>
        </w:trPr>
        <w:tc>
          <w:tcPr>
            <w:tcW w:w="2245" w:type="dxa"/>
            <w:shd w:val="clear" w:color="auto" w:fill="auto"/>
          </w:tcPr>
          <w:p w:rsidR="00E47A57" w:rsidRPr="00EC5CDE" w:rsidRDefault="00E47A57" w:rsidP="00EC5CDE">
            <w:pPr>
              <w:ind w:right="-11"/>
              <w:rPr>
                <w:rFonts w:ascii="Arial" w:hAnsi="Arial" w:cs="Arial"/>
                <w:b/>
                <w:i/>
                <w:sz w:val="20"/>
                <w:lang w:val="el-GR"/>
              </w:rPr>
            </w:pPr>
            <w:r w:rsidRPr="00EC5CDE">
              <w:rPr>
                <w:rFonts w:ascii="Arial" w:hAnsi="Arial" w:cs="Arial"/>
                <w:b/>
                <w:i/>
                <w:sz w:val="20"/>
                <w:lang w:val="el-GR"/>
              </w:rPr>
              <w:t>ΚΥΠ δείκτης επίπτωσης (ΒΙΙ) (μονάδες)</w:t>
            </w:r>
          </w:p>
        </w:tc>
        <w:tc>
          <w:tcPr>
            <w:tcW w:w="1987" w:type="dxa"/>
            <w:shd w:val="clear" w:color="auto" w:fill="auto"/>
          </w:tcPr>
          <w:p w:rsidR="00E47A57" w:rsidRPr="00EC5CDE" w:rsidRDefault="00E47A57" w:rsidP="00EC5CDE">
            <w:pPr>
              <w:ind w:right="-11"/>
              <w:rPr>
                <w:rFonts w:ascii="Arial" w:hAnsi="Arial" w:cs="Arial"/>
                <w:i/>
                <w:sz w:val="20"/>
                <w:lang w:val="el-GR"/>
              </w:rPr>
            </w:pPr>
            <w:r w:rsidRPr="00EC5CDE">
              <w:rPr>
                <w:rFonts w:ascii="Arial" w:hAnsi="Arial" w:cs="Arial"/>
                <w:i/>
                <w:sz w:val="20"/>
                <w:lang w:val="el-GR"/>
              </w:rPr>
              <w:t>[Αρχική τιμή] (</w:t>
            </w:r>
            <w:r w:rsidRPr="00EC5CDE">
              <w:rPr>
                <w:rFonts w:ascii="Arial" w:hAnsi="Arial" w:cs="Arial"/>
                <w:i/>
                <w:sz w:val="20"/>
              </w:rPr>
              <w:t>ml</w:t>
            </w:r>
            <w:r w:rsidRPr="00EC5CDE">
              <w:rPr>
                <w:rFonts w:ascii="Arial" w:hAnsi="Arial" w:cs="Arial"/>
                <w:i/>
                <w:sz w:val="20"/>
                <w:lang w:val="el-GR"/>
              </w:rPr>
              <w:t>)</w:t>
            </w:r>
          </w:p>
          <w:p w:rsidR="00E47A57" w:rsidRPr="00EC5CDE" w:rsidRDefault="00E47A57" w:rsidP="00EC5CDE">
            <w:pPr>
              <w:ind w:right="-11"/>
              <w:rPr>
                <w:rFonts w:ascii="Arial" w:hAnsi="Arial" w:cs="Arial"/>
                <w:i/>
                <w:sz w:val="20"/>
                <w:lang w:val="el-GR"/>
              </w:rPr>
            </w:pPr>
            <w:r w:rsidRPr="00EC5CDE">
              <w:rPr>
                <w:rFonts w:ascii="Arial" w:hAnsi="Arial" w:cs="Arial"/>
                <w:i/>
                <w:sz w:val="20"/>
                <w:lang w:val="el-GR"/>
              </w:rPr>
              <w:t xml:space="preserve">Μήνας </w:t>
            </w:r>
            <w:r w:rsidR="00BA0E4F" w:rsidRPr="00EC5CDE">
              <w:rPr>
                <w:rFonts w:ascii="Arial" w:hAnsi="Arial" w:cs="Arial"/>
                <w:i/>
                <w:sz w:val="20"/>
                <w:lang w:val="el-GR"/>
              </w:rPr>
              <w:t>48</w:t>
            </w:r>
            <w:r w:rsidRPr="00EC5CDE">
              <w:rPr>
                <w:rFonts w:ascii="Arial" w:hAnsi="Arial" w:cs="Arial"/>
                <w:i/>
                <w:sz w:val="20"/>
                <w:lang w:val="el-GR"/>
              </w:rPr>
              <w:t xml:space="preserve"> (% μεταβολή από αρχική τιμή)</w:t>
            </w:r>
          </w:p>
        </w:tc>
        <w:tc>
          <w:tcPr>
            <w:tcW w:w="1539"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[5.3]</w:t>
            </w:r>
          </w:p>
          <w:p w:rsidR="00E47A57" w:rsidRPr="00EC5CDE" w:rsidRDefault="00E47A57" w:rsidP="00EC5CDE">
            <w:pPr>
              <w:ind w:right="-11"/>
              <w:jc w:val="both"/>
              <w:rPr>
                <w:rFonts w:ascii="Arial" w:hAnsi="Arial" w:cs="Arial"/>
                <w:sz w:val="20"/>
                <w:lang w:val="el-GR"/>
              </w:rPr>
            </w:pPr>
            <w:r w:rsidRPr="00EC5CDE">
              <w:rPr>
                <w:rFonts w:ascii="Arial" w:hAnsi="Arial" w:cs="Arial"/>
                <w:sz w:val="20"/>
              </w:rPr>
              <w:t>-2.</w:t>
            </w:r>
            <w:r w:rsidR="00BA0E4F" w:rsidRPr="00EC5CDE">
              <w:rPr>
                <w:rFonts w:ascii="Arial" w:hAnsi="Arial" w:cs="Arial"/>
                <w:sz w:val="20"/>
                <w:lang w:val="el-GR"/>
              </w:rPr>
              <w:t>2</w:t>
            </w:r>
          </w:p>
        </w:tc>
        <w:tc>
          <w:tcPr>
            <w:tcW w:w="1191"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[5.3]</w:t>
            </w:r>
          </w:p>
          <w:p w:rsidR="00E47A57" w:rsidRPr="00EC5CDE" w:rsidRDefault="00E47A57" w:rsidP="00EC5CDE">
            <w:pPr>
              <w:ind w:right="-11"/>
              <w:jc w:val="both"/>
              <w:rPr>
                <w:rFonts w:ascii="Arial" w:hAnsi="Arial" w:cs="Arial"/>
                <w:sz w:val="20"/>
                <w:lang w:val="el-GR"/>
              </w:rPr>
            </w:pPr>
            <w:r w:rsidRPr="00EC5CDE">
              <w:rPr>
                <w:rFonts w:ascii="Arial" w:hAnsi="Arial" w:cs="Arial"/>
                <w:sz w:val="20"/>
              </w:rPr>
              <w:t>-</w:t>
            </w:r>
            <w:r w:rsidRPr="00EC5CDE">
              <w:rPr>
                <w:rFonts w:ascii="Arial" w:hAnsi="Arial" w:cs="Arial"/>
                <w:sz w:val="20"/>
                <w:lang w:val="el-GR"/>
              </w:rPr>
              <w:t>1,</w:t>
            </w:r>
            <w:r w:rsidR="00BA0E4F" w:rsidRPr="00EC5CDE">
              <w:rPr>
                <w:rFonts w:ascii="Arial" w:hAnsi="Arial" w:cs="Arial"/>
                <w:sz w:val="20"/>
                <w:lang w:val="el-GR"/>
              </w:rPr>
              <w:t>8β</w:t>
            </w:r>
          </w:p>
        </w:tc>
        <w:tc>
          <w:tcPr>
            <w:tcW w:w="1768"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[5.3]</w:t>
            </w:r>
          </w:p>
          <w:p w:rsidR="00E47A57" w:rsidRPr="00EC5CDE" w:rsidRDefault="00E47A57" w:rsidP="00EC5CDE">
            <w:pPr>
              <w:ind w:right="-11"/>
              <w:jc w:val="both"/>
              <w:rPr>
                <w:rFonts w:ascii="Arial" w:hAnsi="Arial" w:cs="Arial"/>
                <w:sz w:val="20"/>
                <w:lang w:val="el-GR"/>
              </w:rPr>
            </w:pPr>
            <w:r w:rsidRPr="00EC5CDE">
              <w:rPr>
                <w:rFonts w:ascii="Arial" w:hAnsi="Arial" w:cs="Arial"/>
                <w:sz w:val="20"/>
              </w:rPr>
              <w:t>-1.</w:t>
            </w:r>
            <w:r w:rsidR="00BA0E4F" w:rsidRPr="00EC5CDE">
              <w:rPr>
                <w:rFonts w:ascii="Arial" w:hAnsi="Arial" w:cs="Arial"/>
                <w:sz w:val="20"/>
                <w:lang w:val="el-GR"/>
              </w:rPr>
              <w:t>2α</w:t>
            </w:r>
          </w:p>
        </w:tc>
      </w:tr>
      <w:tr w:rsidR="00E47A57" w:rsidRPr="00EC5CDE" w:rsidTr="00EC5CDE">
        <w:trPr>
          <w:trHeight w:val="941"/>
          <w:jc w:val="center"/>
        </w:trPr>
        <w:tc>
          <w:tcPr>
            <w:tcW w:w="2245" w:type="dxa"/>
            <w:shd w:val="clear" w:color="auto" w:fill="auto"/>
          </w:tcPr>
          <w:p w:rsidR="00E47A57" w:rsidRPr="00EC5CDE" w:rsidRDefault="00E47A57" w:rsidP="00EC5CDE">
            <w:pPr>
              <w:ind w:right="-11"/>
              <w:rPr>
                <w:rFonts w:ascii="Arial" w:hAnsi="Arial" w:cs="Arial"/>
                <w:b/>
                <w:i/>
                <w:sz w:val="20"/>
                <w:lang w:val="el-GR"/>
              </w:rPr>
            </w:pPr>
            <w:r w:rsidRPr="00EC5CDE">
              <w:rPr>
                <w:rFonts w:ascii="Arial" w:hAnsi="Arial" w:cs="Arial"/>
                <w:b/>
                <w:i/>
                <w:sz w:val="20"/>
                <w:lang w:val="el-GR"/>
              </w:rPr>
              <w:t>IPSS Ερώτηση 8 (κατάσταση υγείας, σχ</w:t>
            </w:r>
            <w:r w:rsidR="0063541F" w:rsidRPr="00EC5CDE">
              <w:rPr>
                <w:rFonts w:ascii="Arial" w:hAnsi="Arial" w:cs="Arial"/>
                <w:b/>
                <w:i/>
                <w:sz w:val="20"/>
                <w:lang w:val="el-GR"/>
              </w:rPr>
              <w:t>ε</w:t>
            </w:r>
            <w:r w:rsidRPr="00EC5CDE">
              <w:rPr>
                <w:rFonts w:ascii="Arial" w:hAnsi="Arial" w:cs="Arial"/>
                <w:b/>
                <w:i/>
                <w:sz w:val="20"/>
                <w:lang w:val="el-GR"/>
              </w:rPr>
              <w:t>τιζόμενη με ΚΥΠ)</w:t>
            </w:r>
            <w:r w:rsidR="000B7CC7" w:rsidRPr="00EC5CDE">
              <w:rPr>
                <w:rFonts w:ascii="Arial" w:hAnsi="Arial" w:cs="Arial"/>
                <w:b/>
                <w:i/>
                <w:sz w:val="20"/>
                <w:lang w:val="el-GR"/>
              </w:rPr>
              <w:t xml:space="preserve"> (μονάδες)</w:t>
            </w:r>
          </w:p>
        </w:tc>
        <w:tc>
          <w:tcPr>
            <w:tcW w:w="1987" w:type="dxa"/>
            <w:shd w:val="clear" w:color="auto" w:fill="auto"/>
          </w:tcPr>
          <w:p w:rsidR="00E47A57" w:rsidRPr="00EC5CDE" w:rsidRDefault="00E47A57" w:rsidP="00EC5CDE">
            <w:pPr>
              <w:ind w:right="-11"/>
              <w:rPr>
                <w:rFonts w:ascii="Arial" w:hAnsi="Arial" w:cs="Arial"/>
                <w:i/>
                <w:sz w:val="20"/>
                <w:lang w:val="el-GR"/>
              </w:rPr>
            </w:pPr>
            <w:r w:rsidRPr="00EC5CDE">
              <w:rPr>
                <w:rFonts w:ascii="Arial" w:hAnsi="Arial" w:cs="Arial"/>
                <w:i/>
                <w:sz w:val="20"/>
                <w:lang w:val="el-GR"/>
              </w:rPr>
              <w:t>[Αρχική τιμή]</w:t>
            </w:r>
          </w:p>
          <w:p w:rsidR="00E47A57" w:rsidRPr="00EC5CDE" w:rsidRDefault="00E47A57" w:rsidP="00EC5CDE">
            <w:pPr>
              <w:ind w:right="-11"/>
              <w:rPr>
                <w:rFonts w:ascii="Arial" w:hAnsi="Arial" w:cs="Arial"/>
                <w:i/>
                <w:sz w:val="20"/>
                <w:lang w:val="el-GR"/>
              </w:rPr>
            </w:pPr>
            <w:r w:rsidRPr="00EC5CDE">
              <w:rPr>
                <w:rFonts w:ascii="Arial" w:hAnsi="Arial" w:cs="Arial"/>
                <w:i/>
                <w:sz w:val="20"/>
                <w:lang w:val="el-GR"/>
              </w:rPr>
              <w:t xml:space="preserve">Μήνας </w:t>
            </w:r>
            <w:r w:rsidR="00BA0E4F" w:rsidRPr="00EC5CDE">
              <w:rPr>
                <w:rFonts w:ascii="Arial" w:hAnsi="Arial" w:cs="Arial"/>
                <w:i/>
                <w:sz w:val="20"/>
                <w:lang w:val="el-GR"/>
              </w:rPr>
              <w:t>48</w:t>
            </w:r>
            <w:r w:rsidRPr="00EC5CDE">
              <w:rPr>
                <w:rFonts w:ascii="Arial" w:hAnsi="Arial" w:cs="Arial"/>
                <w:i/>
                <w:sz w:val="20"/>
                <w:lang w:val="el-GR"/>
              </w:rPr>
              <w:t xml:space="preserve"> (μεταβολή από αρχική τιμή)</w:t>
            </w:r>
          </w:p>
        </w:tc>
        <w:tc>
          <w:tcPr>
            <w:tcW w:w="1539"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[3.6]</w:t>
            </w:r>
          </w:p>
          <w:p w:rsidR="00E47A57" w:rsidRPr="00EC5CDE" w:rsidRDefault="00E47A57" w:rsidP="00EC5CDE">
            <w:pPr>
              <w:ind w:right="-11"/>
              <w:jc w:val="both"/>
              <w:rPr>
                <w:rFonts w:ascii="Arial" w:hAnsi="Arial" w:cs="Arial"/>
                <w:sz w:val="20"/>
                <w:lang w:val="el-GR"/>
              </w:rPr>
            </w:pPr>
            <w:r w:rsidRPr="00EC5CDE">
              <w:rPr>
                <w:rFonts w:ascii="Arial" w:hAnsi="Arial" w:cs="Arial"/>
                <w:sz w:val="20"/>
              </w:rPr>
              <w:t>-1.</w:t>
            </w:r>
            <w:r w:rsidR="00BA0E4F" w:rsidRPr="00EC5CDE">
              <w:rPr>
                <w:rFonts w:ascii="Arial" w:hAnsi="Arial" w:cs="Arial"/>
                <w:sz w:val="20"/>
                <w:lang w:val="el-GR"/>
              </w:rPr>
              <w:t>5</w:t>
            </w:r>
          </w:p>
        </w:tc>
        <w:tc>
          <w:tcPr>
            <w:tcW w:w="1191"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[3.6]</w:t>
            </w:r>
          </w:p>
          <w:p w:rsidR="00E47A57" w:rsidRPr="00EC5CDE" w:rsidRDefault="00E47A57" w:rsidP="00EC5CDE">
            <w:pPr>
              <w:ind w:right="-11"/>
              <w:jc w:val="both"/>
              <w:rPr>
                <w:rFonts w:ascii="Arial" w:hAnsi="Arial" w:cs="Arial"/>
                <w:sz w:val="20"/>
                <w:lang w:val="el-GR"/>
              </w:rPr>
            </w:pPr>
            <w:r w:rsidRPr="00EC5CDE">
              <w:rPr>
                <w:rFonts w:ascii="Arial" w:hAnsi="Arial" w:cs="Arial"/>
                <w:sz w:val="20"/>
              </w:rPr>
              <w:t>-1.</w:t>
            </w:r>
            <w:r w:rsidR="00BA0E4F" w:rsidRPr="00EC5CDE">
              <w:rPr>
                <w:rFonts w:ascii="Arial" w:hAnsi="Arial" w:cs="Arial"/>
                <w:sz w:val="20"/>
                <w:lang w:val="el-GR"/>
              </w:rPr>
              <w:t>3β</w:t>
            </w:r>
          </w:p>
        </w:tc>
        <w:tc>
          <w:tcPr>
            <w:tcW w:w="1768" w:type="dxa"/>
            <w:shd w:val="clear" w:color="auto" w:fill="auto"/>
          </w:tcPr>
          <w:p w:rsidR="00E47A57" w:rsidRPr="00EC5CDE" w:rsidRDefault="00E47A57" w:rsidP="00EC5CDE">
            <w:pPr>
              <w:ind w:right="-11"/>
              <w:jc w:val="both"/>
              <w:rPr>
                <w:rFonts w:ascii="Arial" w:hAnsi="Arial" w:cs="Arial"/>
                <w:sz w:val="20"/>
              </w:rPr>
            </w:pPr>
            <w:r w:rsidRPr="00EC5CDE">
              <w:rPr>
                <w:rFonts w:ascii="Arial" w:hAnsi="Arial" w:cs="Arial"/>
                <w:sz w:val="20"/>
              </w:rPr>
              <w:t>[3.6]</w:t>
            </w:r>
          </w:p>
          <w:p w:rsidR="00E47A57" w:rsidRPr="00EC5CDE" w:rsidRDefault="00E47A57" w:rsidP="00EC5CDE">
            <w:pPr>
              <w:ind w:right="-11"/>
              <w:jc w:val="both"/>
              <w:rPr>
                <w:rFonts w:ascii="Arial" w:hAnsi="Arial" w:cs="Arial"/>
                <w:sz w:val="20"/>
                <w:lang w:val="el-GR"/>
              </w:rPr>
            </w:pPr>
            <w:r w:rsidRPr="00EC5CDE">
              <w:rPr>
                <w:rFonts w:ascii="Arial" w:hAnsi="Arial" w:cs="Arial"/>
                <w:sz w:val="20"/>
              </w:rPr>
              <w:t>-1.1</w:t>
            </w:r>
            <w:r w:rsidR="00BA0E4F" w:rsidRPr="00EC5CDE">
              <w:rPr>
                <w:rFonts w:ascii="Arial" w:hAnsi="Arial" w:cs="Arial"/>
                <w:sz w:val="20"/>
                <w:lang w:val="el-GR"/>
              </w:rPr>
              <w:t>α</w:t>
            </w:r>
          </w:p>
        </w:tc>
      </w:tr>
    </w:tbl>
    <w:p w:rsidR="00AC757A" w:rsidRDefault="00AC757A" w:rsidP="00263F10">
      <w:pPr>
        <w:ind w:right="-11"/>
        <w:jc w:val="both"/>
        <w:rPr>
          <w:rFonts w:ascii="Arial" w:hAnsi="Arial" w:cs="Arial"/>
          <w:sz w:val="18"/>
          <w:szCs w:val="18"/>
          <w:lang w:val="el-GR"/>
        </w:rPr>
      </w:pPr>
      <w:r>
        <w:rPr>
          <w:rFonts w:ascii="Arial" w:hAnsi="Arial" w:cs="Arial"/>
          <w:sz w:val="18"/>
          <w:szCs w:val="18"/>
          <w:lang w:val="el-GR"/>
        </w:rPr>
        <w:t>Η αρχική τιμή είναι μέσος όρος τιμών και η μεταβολή απ</w:t>
      </w:r>
      <w:r w:rsidR="001D075A">
        <w:rPr>
          <w:rFonts w:ascii="Arial" w:hAnsi="Arial" w:cs="Arial"/>
          <w:sz w:val="18"/>
          <w:szCs w:val="18"/>
          <w:lang w:val="el-GR"/>
        </w:rPr>
        <w:t>ό την αρχική τιμή είναι η προσαρμοσ</w:t>
      </w:r>
      <w:r>
        <w:rPr>
          <w:rFonts w:ascii="Arial" w:hAnsi="Arial" w:cs="Arial"/>
          <w:sz w:val="18"/>
          <w:szCs w:val="18"/>
          <w:lang w:val="el-GR"/>
        </w:rPr>
        <w:t>μένος μέσος όρος.</w:t>
      </w:r>
    </w:p>
    <w:p w:rsidR="00E47A57" w:rsidRPr="000A7BDA" w:rsidRDefault="000A7BDA" w:rsidP="00263F10">
      <w:pPr>
        <w:ind w:right="-11"/>
        <w:jc w:val="both"/>
        <w:rPr>
          <w:rFonts w:ascii="Arial" w:hAnsi="Arial" w:cs="Arial"/>
          <w:sz w:val="18"/>
          <w:szCs w:val="18"/>
          <w:lang w:val="el-GR"/>
        </w:rPr>
      </w:pPr>
      <w:r>
        <w:rPr>
          <w:rFonts w:ascii="Arial" w:hAnsi="Arial" w:cs="Arial"/>
          <w:sz w:val="18"/>
          <w:szCs w:val="18"/>
          <w:lang w:val="el-GR"/>
        </w:rPr>
        <w:t xml:space="preserve">* </w:t>
      </w:r>
      <w:r w:rsidR="001D075A">
        <w:rPr>
          <w:rFonts w:ascii="Arial" w:hAnsi="Arial" w:cs="Arial"/>
          <w:sz w:val="18"/>
          <w:szCs w:val="18"/>
          <w:lang w:val="el-GR"/>
        </w:rPr>
        <w:t>Κλινική εξέλιξη</w:t>
      </w:r>
      <w:r w:rsidR="00AC757A">
        <w:rPr>
          <w:rFonts w:ascii="Arial" w:hAnsi="Arial" w:cs="Arial"/>
          <w:sz w:val="18"/>
          <w:szCs w:val="18"/>
          <w:lang w:val="el-GR"/>
        </w:rPr>
        <w:t xml:space="preserve"> ορίζεται ως συνδυασμός</w:t>
      </w:r>
      <w:r>
        <w:rPr>
          <w:rFonts w:ascii="Arial" w:hAnsi="Arial" w:cs="Arial"/>
          <w:sz w:val="18"/>
          <w:szCs w:val="18"/>
          <w:lang w:val="el-GR"/>
        </w:rPr>
        <w:t xml:space="preserve"> </w:t>
      </w:r>
      <w:r w:rsidR="00AC757A">
        <w:rPr>
          <w:rFonts w:ascii="Arial" w:hAnsi="Arial" w:cs="Arial"/>
          <w:sz w:val="18"/>
          <w:szCs w:val="18"/>
          <w:lang w:val="el-GR"/>
        </w:rPr>
        <w:t>των</w:t>
      </w:r>
      <w:r w:rsidR="00AC757A" w:rsidRPr="00AC757A">
        <w:rPr>
          <w:rFonts w:ascii="Arial" w:hAnsi="Arial" w:cs="Arial"/>
          <w:sz w:val="18"/>
          <w:szCs w:val="18"/>
          <w:lang w:val="el-GR"/>
        </w:rPr>
        <w:t xml:space="preserve">: </w:t>
      </w:r>
      <w:r w:rsidR="00B36149">
        <w:rPr>
          <w:rFonts w:ascii="Arial" w:hAnsi="Arial" w:cs="Arial"/>
          <w:sz w:val="18"/>
          <w:szCs w:val="18"/>
          <w:lang w:val="el-GR"/>
        </w:rPr>
        <w:t>επιδείνωση</w:t>
      </w:r>
      <w:r w:rsidR="00AC757A">
        <w:rPr>
          <w:rFonts w:ascii="Arial" w:hAnsi="Arial" w:cs="Arial"/>
          <w:sz w:val="18"/>
          <w:szCs w:val="18"/>
          <w:lang w:val="el-GR"/>
        </w:rPr>
        <w:t xml:space="preserve"> του </w:t>
      </w:r>
      <w:r w:rsidR="00AC757A">
        <w:rPr>
          <w:rFonts w:ascii="Arial" w:hAnsi="Arial" w:cs="Arial"/>
          <w:sz w:val="18"/>
          <w:szCs w:val="18"/>
        </w:rPr>
        <w:t>IPSS</w:t>
      </w:r>
      <w:r>
        <w:rPr>
          <w:rFonts w:ascii="Arial" w:hAnsi="Arial" w:cs="Arial"/>
          <w:sz w:val="18"/>
          <w:szCs w:val="18"/>
          <w:lang w:val="el-GR"/>
        </w:rPr>
        <w:t xml:space="preserve"> </w:t>
      </w:r>
      <w:r w:rsidR="00AC757A">
        <w:rPr>
          <w:rFonts w:ascii="Arial" w:hAnsi="Arial" w:cs="Arial"/>
          <w:sz w:val="18"/>
          <w:szCs w:val="18"/>
          <w:lang w:val="el-GR"/>
        </w:rPr>
        <w:t>κατά τουλάχιστον 4 μονάδες, κρούσματα οξείας κατακράτησης ούρων (</w:t>
      </w:r>
      <w:r w:rsidR="00AC757A" w:rsidRPr="00AC757A">
        <w:rPr>
          <w:rFonts w:ascii="Arial" w:hAnsi="Arial" w:cs="Arial"/>
          <w:sz w:val="18"/>
          <w:szCs w:val="18"/>
          <w:lang w:val="el-GR"/>
        </w:rPr>
        <w:t>(</w:t>
      </w:r>
      <w:r w:rsidR="00AC757A">
        <w:rPr>
          <w:rFonts w:ascii="Arial" w:hAnsi="Arial" w:cs="Arial"/>
          <w:sz w:val="18"/>
          <w:szCs w:val="18"/>
        </w:rPr>
        <w:t>AUR</w:t>
      </w:r>
      <w:r w:rsidR="00AC757A" w:rsidRPr="00AC757A">
        <w:rPr>
          <w:rFonts w:ascii="Arial" w:hAnsi="Arial" w:cs="Arial"/>
          <w:sz w:val="18"/>
          <w:szCs w:val="18"/>
          <w:lang w:val="el-GR"/>
        </w:rPr>
        <w:t xml:space="preserve">) </w:t>
      </w:r>
      <w:r w:rsidR="00AC757A">
        <w:rPr>
          <w:rFonts w:ascii="Arial" w:hAnsi="Arial" w:cs="Arial"/>
          <w:sz w:val="18"/>
          <w:szCs w:val="18"/>
          <w:lang w:val="el-GR"/>
        </w:rPr>
        <w:t>σχετιζόμενα με την καλοήθη υπερπλασία του προστάτη</w:t>
      </w:r>
      <w:r w:rsidR="0063541F">
        <w:rPr>
          <w:rFonts w:ascii="Arial" w:hAnsi="Arial" w:cs="Arial"/>
          <w:sz w:val="18"/>
          <w:szCs w:val="18"/>
          <w:lang w:val="el-GR"/>
        </w:rPr>
        <w:t xml:space="preserve"> (ΚΥΠ)</w:t>
      </w:r>
      <w:r w:rsidR="00AC757A">
        <w:rPr>
          <w:rFonts w:ascii="Arial" w:hAnsi="Arial" w:cs="Arial"/>
          <w:sz w:val="18"/>
          <w:szCs w:val="18"/>
          <w:lang w:val="el-GR"/>
        </w:rPr>
        <w:t>, ακράτεια ούρων, λοίμωξη του ουροποιητικού συστήματος και νεφρική ανεπάρκεια.</w:t>
      </w:r>
    </w:p>
    <w:p w:rsidR="000A7BDA" w:rsidRPr="000A7BDA" w:rsidRDefault="000A7BDA" w:rsidP="00263F10">
      <w:pPr>
        <w:ind w:right="-11"/>
        <w:jc w:val="both"/>
        <w:rPr>
          <w:rFonts w:ascii="Arial" w:hAnsi="Arial" w:cs="Arial"/>
          <w:sz w:val="18"/>
          <w:szCs w:val="18"/>
          <w:lang w:val="el-GR"/>
        </w:rPr>
      </w:pPr>
      <w:r w:rsidRPr="000A7BDA">
        <w:rPr>
          <w:rFonts w:ascii="Arial" w:hAnsi="Arial" w:cs="Arial"/>
          <w:sz w:val="18"/>
          <w:szCs w:val="18"/>
          <w:lang w:val="el-GR"/>
        </w:rPr>
        <w:t>#</w:t>
      </w:r>
      <w:r w:rsidR="001D075A">
        <w:rPr>
          <w:rFonts w:ascii="Arial" w:hAnsi="Arial" w:cs="Arial"/>
          <w:sz w:val="18"/>
          <w:szCs w:val="18"/>
          <w:lang w:val="el-GR"/>
        </w:rPr>
        <w:t xml:space="preserve"> Μέτρηση σε </w:t>
      </w:r>
      <w:r w:rsidR="00B36149">
        <w:rPr>
          <w:rFonts w:ascii="Arial" w:hAnsi="Arial" w:cs="Arial"/>
          <w:sz w:val="18"/>
          <w:szCs w:val="18"/>
          <w:lang w:val="el-GR"/>
        </w:rPr>
        <w:t>επιλεγμένες</w:t>
      </w:r>
      <w:r>
        <w:rPr>
          <w:rFonts w:ascii="Arial" w:hAnsi="Arial" w:cs="Arial"/>
          <w:sz w:val="18"/>
          <w:szCs w:val="18"/>
          <w:lang w:val="el-GR"/>
        </w:rPr>
        <w:t xml:space="preserve"> περιπτώσεις</w:t>
      </w:r>
      <w:r w:rsidR="001D075A">
        <w:rPr>
          <w:rFonts w:ascii="Arial" w:hAnsi="Arial" w:cs="Arial"/>
          <w:sz w:val="18"/>
          <w:szCs w:val="18"/>
          <w:lang w:val="el-GR"/>
        </w:rPr>
        <w:t xml:space="preserve"> </w:t>
      </w:r>
      <w:r>
        <w:rPr>
          <w:rFonts w:ascii="Arial" w:hAnsi="Arial" w:cs="Arial"/>
          <w:sz w:val="18"/>
          <w:szCs w:val="18"/>
          <w:lang w:val="el-GR"/>
        </w:rPr>
        <w:t>(τυχαίο δείγμα 13% των ασθενών)</w:t>
      </w:r>
    </w:p>
    <w:p w:rsidR="00D06654" w:rsidRDefault="00E47A57" w:rsidP="00263F10">
      <w:pPr>
        <w:ind w:right="-11"/>
        <w:jc w:val="both"/>
        <w:rPr>
          <w:rFonts w:ascii="Arial" w:hAnsi="Arial" w:cs="Arial"/>
          <w:sz w:val="18"/>
          <w:szCs w:val="18"/>
          <w:lang w:val="el-GR"/>
        </w:rPr>
      </w:pPr>
      <w:r w:rsidRPr="00E47A57">
        <w:rPr>
          <w:rFonts w:ascii="Arial" w:hAnsi="Arial" w:cs="Arial"/>
          <w:sz w:val="18"/>
          <w:szCs w:val="18"/>
          <w:lang w:val="el-GR"/>
        </w:rPr>
        <w:t>α: ο συνδυασμός πέτυχε σημαντικότητα (</w:t>
      </w:r>
      <w:r w:rsidRPr="00E47A57">
        <w:rPr>
          <w:rFonts w:ascii="Arial" w:hAnsi="Arial" w:cs="Arial"/>
          <w:sz w:val="18"/>
          <w:szCs w:val="18"/>
        </w:rPr>
        <w:t>p</w:t>
      </w:r>
      <w:r w:rsidRPr="00E47A57">
        <w:rPr>
          <w:rFonts w:ascii="Arial" w:hAnsi="Arial" w:cs="Arial"/>
          <w:sz w:val="18"/>
          <w:szCs w:val="18"/>
          <w:lang w:val="el-GR"/>
        </w:rPr>
        <w:t xml:space="preserve">&lt; 0.001) έναντι </w:t>
      </w:r>
      <w:r w:rsidR="000A7BDA">
        <w:rPr>
          <w:rFonts w:ascii="Arial" w:hAnsi="Arial" w:cs="Arial"/>
          <w:sz w:val="18"/>
          <w:szCs w:val="18"/>
          <w:lang w:val="el-GR"/>
        </w:rPr>
        <w:t>της ταμσουλοσίνης από τον μήνα 48</w:t>
      </w:r>
    </w:p>
    <w:p w:rsidR="00E47A57" w:rsidRDefault="00E47A57" w:rsidP="00263F10">
      <w:pPr>
        <w:ind w:right="-11"/>
        <w:jc w:val="both"/>
        <w:rPr>
          <w:rFonts w:ascii="Arial" w:hAnsi="Arial" w:cs="Arial"/>
          <w:sz w:val="18"/>
          <w:szCs w:val="18"/>
          <w:lang w:val="el-GR"/>
        </w:rPr>
      </w:pPr>
      <w:r>
        <w:rPr>
          <w:rFonts w:ascii="Arial" w:hAnsi="Arial" w:cs="Arial"/>
          <w:sz w:val="18"/>
          <w:szCs w:val="18"/>
          <w:lang w:val="el-GR"/>
        </w:rPr>
        <w:t xml:space="preserve">β: </w:t>
      </w:r>
      <w:r w:rsidRPr="00E47A57">
        <w:rPr>
          <w:rFonts w:ascii="Arial" w:hAnsi="Arial" w:cs="Arial"/>
          <w:sz w:val="18"/>
          <w:szCs w:val="18"/>
          <w:lang w:val="el-GR"/>
        </w:rPr>
        <w:t>ο συνδυασμός πέτυχε σημαντικότητα (</w:t>
      </w:r>
      <w:r w:rsidRPr="00E47A57">
        <w:rPr>
          <w:rFonts w:ascii="Arial" w:hAnsi="Arial" w:cs="Arial"/>
          <w:sz w:val="18"/>
          <w:szCs w:val="18"/>
        </w:rPr>
        <w:t>p</w:t>
      </w:r>
      <w:r w:rsidRPr="00E47A57">
        <w:rPr>
          <w:rFonts w:ascii="Arial" w:hAnsi="Arial" w:cs="Arial"/>
          <w:sz w:val="18"/>
          <w:szCs w:val="18"/>
          <w:lang w:val="el-GR"/>
        </w:rPr>
        <w:t xml:space="preserve">&lt; 0.001) έναντι </w:t>
      </w:r>
      <w:r>
        <w:rPr>
          <w:rFonts w:ascii="Arial" w:hAnsi="Arial" w:cs="Arial"/>
          <w:sz w:val="18"/>
          <w:szCs w:val="18"/>
          <w:lang w:val="el-GR"/>
        </w:rPr>
        <w:t>τ</w:t>
      </w:r>
      <w:r w:rsidR="000A7BDA">
        <w:rPr>
          <w:rFonts w:ascii="Arial" w:hAnsi="Arial" w:cs="Arial"/>
          <w:sz w:val="18"/>
          <w:szCs w:val="18"/>
          <w:lang w:val="el-GR"/>
        </w:rPr>
        <w:t xml:space="preserve">ου </w:t>
      </w:r>
      <w:proofErr w:type="spellStart"/>
      <w:r w:rsidR="000A7BDA">
        <w:rPr>
          <w:rFonts w:ascii="Arial" w:hAnsi="Arial" w:cs="Arial"/>
          <w:sz w:val="18"/>
          <w:szCs w:val="18"/>
        </w:rPr>
        <w:t>Duagen</w:t>
      </w:r>
      <w:proofErr w:type="spellEnd"/>
      <w:r w:rsidRPr="00E47A57">
        <w:rPr>
          <w:rFonts w:ascii="Arial" w:hAnsi="Arial" w:cs="Arial"/>
          <w:sz w:val="18"/>
          <w:szCs w:val="18"/>
          <w:lang w:val="el-GR"/>
        </w:rPr>
        <w:t xml:space="preserve"> από τον μ</w:t>
      </w:r>
      <w:r>
        <w:rPr>
          <w:rFonts w:ascii="Arial" w:hAnsi="Arial" w:cs="Arial"/>
          <w:sz w:val="18"/>
          <w:szCs w:val="18"/>
          <w:lang w:val="el-GR"/>
        </w:rPr>
        <w:t xml:space="preserve">ήνα </w:t>
      </w:r>
      <w:r w:rsidR="000A7BDA" w:rsidRPr="000A7BDA">
        <w:rPr>
          <w:rFonts w:ascii="Arial" w:hAnsi="Arial" w:cs="Arial"/>
          <w:sz w:val="18"/>
          <w:szCs w:val="18"/>
          <w:lang w:val="el-GR"/>
        </w:rPr>
        <w:t>48</w:t>
      </w:r>
      <w:r>
        <w:rPr>
          <w:rFonts w:ascii="Arial" w:hAnsi="Arial" w:cs="Arial"/>
          <w:sz w:val="18"/>
          <w:szCs w:val="18"/>
          <w:lang w:val="el-GR"/>
        </w:rPr>
        <w:t>.</w:t>
      </w:r>
    </w:p>
    <w:p w:rsidR="00263F10" w:rsidRDefault="00263F10" w:rsidP="00263F10">
      <w:pPr>
        <w:ind w:right="-11"/>
        <w:jc w:val="both"/>
        <w:rPr>
          <w:rFonts w:ascii="Arial" w:hAnsi="Arial" w:cs="Arial"/>
          <w:lang w:val="el-GR"/>
        </w:rPr>
      </w:pPr>
    </w:p>
    <w:p w:rsidR="007E3440" w:rsidRPr="00CA0F65" w:rsidRDefault="00CA0F65" w:rsidP="00263F10">
      <w:pPr>
        <w:ind w:right="-11"/>
        <w:jc w:val="both"/>
        <w:rPr>
          <w:rFonts w:ascii="Arial" w:hAnsi="Arial" w:cs="Arial"/>
          <w:b/>
          <w:iCs/>
          <w:szCs w:val="22"/>
          <w:lang w:val="el-GR"/>
        </w:rPr>
      </w:pPr>
      <w:r w:rsidRPr="00CA0F65">
        <w:rPr>
          <w:rFonts w:ascii="Arial" w:hAnsi="Arial" w:cs="Arial"/>
          <w:b/>
          <w:iCs/>
          <w:szCs w:val="22"/>
          <w:lang w:val="el-GR"/>
        </w:rPr>
        <w:t>ΚΑΡΔΙΑΚΗ ΑΝΕΠΑΡΚΕΙΑ</w:t>
      </w:r>
      <w:r w:rsidR="007E3440" w:rsidRPr="00CA0F65">
        <w:rPr>
          <w:rFonts w:ascii="Arial" w:hAnsi="Arial" w:cs="Arial"/>
          <w:b/>
          <w:iCs/>
          <w:szCs w:val="22"/>
          <w:lang w:val="el-GR"/>
        </w:rPr>
        <w:t>:</w:t>
      </w:r>
    </w:p>
    <w:p w:rsidR="00666F21" w:rsidRDefault="00AB301F" w:rsidP="00666F21">
      <w:pPr>
        <w:jc w:val="both"/>
        <w:rPr>
          <w:rFonts w:ascii="Arial" w:hAnsi="Arial" w:cs="Arial"/>
          <w:szCs w:val="22"/>
          <w:lang w:val="el-GR"/>
        </w:rPr>
      </w:pPr>
      <w:r>
        <w:rPr>
          <w:rFonts w:ascii="Arial" w:hAnsi="Arial" w:cs="Arial"/>
          <w:szCs w:val="22"/>
          <w:lang w:val="el-GR"/>
        </w:rPr>
        <w:t xml:space="preserve">Σε μια μελέτη 4 ετών της καλοήθους υπερπλασίας του προστάτη με </w:t>
      </w:r>
      <w:proofErr w:type="spellStart"/>
      <w:r>
        <w:rPr>
          <w:rFonts w:ascii="Arial" w:hAnsi="Arial" w:cs="Arial"/>
          <w:szCs w:val="22"/>
        </w:rPr>
        <w:t>Duagen</w:t>
      </w:r>
      <w:proofErr w:type="spellEnd"/>
      <w:r w:rsidRPr="00AB301F">
        <w:rPr>
          <w:rFonts w:ascii="Arial" w:hAnsi="Arial" w:cs="Arial"/>
          <w:szCs w:val="22"/>
          <w:lang w:val="el-GR"/>
        </w:rPr>
        <w:t xml:space="preserve"> </w:t>
      </w:r>
      <w:r>
        <w:rPr>
          <w:rFonts w:ascii="Arial" w:hAnsi="Arial" w:cs="Arial"/>
          <w:szCs w:val="22"/>
          <w:lang w:val="el-GR"/>
        </w:rPr>
        <w:t xml:space="preserve">σε συνδυασμό με ταμσουλοσίνη σε 4844 άνδρες (μελέτη </w:t>
      </w:r>
      <w:proofErr w:type="spellStart"/>
      <w:r>
        <w:rPr>
          <w:rFonts w:ascii="Arial" w:hAnsi="Arial" w:cs="Arial"/>
          <w:szCs w:val="22"/>
        </w:rPr>
        <w:t>CombaT</w:t>
      </w:r>
      <w:proofErr w:type="spellEnd"/>
      <w:r w:rsidRPr="00AB301F">
        <w:rPr>
          <w:rFonts w:ascii="Arial" w:hAnsi="Arial" w:cs="Arial"/>
          <w:szCs w:val="22"/>
          <w:lang w:val="el-GR"/>
        </w:rPr>
        <w:t xml:space="preserve">) </w:t>
      </w:r>
      <w:r w:rsidR="00666F21" w:rsidRPr="00666F21">
        <w:rPr>
          <w:rFonts w:ascii="Arial" w:hAnsi="Arial" w:cs="Arial"/>
          <w:szCs w:val="22"/>
          <w:lang w:val="el-GR"/>
        </w:rPr>
        <w:t xml:space="preserve">η συχνότητα του σύνθετου όρου της καρδιακής ανεπάρκειας στην ομάδα της θεραπείας συνδυασμού (14/1610, 0.9%) ήταν μεγαλύτερη σε σχέση με τις ομάδες της μονοθεραπείας που λάμβαναν είτε </w:t>
      </w:r>
      <w:proofErr w:type="spellStart"/>
      <w:r w:rsidR="00666F21" w:rsidRPr="00666F21">
        <w:rPr>
          <w:rFonts w:ascii="Arial" w:hAnsi="Arial" w:cs="Arial"/>
          <w:szCs w:val="22"/>
        </w:rPr>
        <w:t>Duagen</w:t>
      </w:r>
      <w:proofErr w:type="spellEnd"/>
      <w:r w:rsidR="00666F21" w:rsidRPr="00666F21">
        <w:rPr>
          <w:rFonts w:ascii="Arial" w:hAnsi="Arial" w:cs="Arial"/>
          <w:szCs w:val="22"/>
          <w:lang w:val="el-GR"/>
        </w:rPr>
        <w:t xml:space="preserve"> (4/1623, </w:t>
      </w:r>
      <w:r w:rsidR="00666F21" w:rsidRPr="00666F21">
        <w:rPr>
          <w:rFonts w:ascii="Arial" w:hAnsi="Arial" w:cs="Arial"/>
          <w:szCs w:val="22"/>
          <w:lang w:val="el-GR"/>
        </w:rPr>
        <w:lastRenderedPageBreak/>
        <w:t>0.2%) είτε ταμσουλοσίνη (10/1611, 0.6%).</w:t>
      </w:r>
    </w:p>
    <w:p w:rsidR="00D14C63" w:rsidRDefault="00D14C63" w:rsidP="00666F21">
      <w:pPr>
        <w:jc w:val="both"/>
        <w:rPr>
          <w:rFonts w:ascii="Arial" w:hAnsi="Arial" w:cs="Arial"/>
          <w:szCs w:val="22"/>
          <w:lang w:val="el-GR"/>
        </w:rPr>
      </w:pPr>
    </w:p>
    <w:p w:rsidR="00B344DD" w:rsidRDefault="00B344DD" w:rsidP="00B344DD">
      <w:pPr>
        <w:jc w:val="both"/>
        <w:rPr>
          <w:rFonts w:ascii="Arial" w:hAnsi="Arial" w:cs="Arial"/>
          <w:szCs w:val="22"/>
          <w:lang w:val="el-GR"/>
        </w:rPr>
      </w:pPr>
      <w:r>
        <w:rPr>
          <w:rFonts w:ascii="Arial" w:hAnsi="Arial" w:cs="Arial"/>
          <w:szCs w:val="22"/>
          <w:lang w:val="el-GR"/>
        </w:rPr>
        <w:t xml:space="preserve">Σε μια άλλη μελέτη 4 ετών (μελέτη </w:t>
      </w:r>
      <w:r>
        <w:rPr>
          <w:rFonts w:ascii="Arial" w:hAnsi="Arial" w:cs="Arial"/>
          <w:szCs w:val="22"/>
        </w:rPr>
        <w:t>REDUCE</w:t>
      </w:r>
      <w:r w:rsidRPr="002877CA">
        <w:rPr>
          <w:rFonts w:ascii="Arial" w:hAnsi="Arial" w:cs="Arial"/>
          <w:szCs w:val="22"/>
          <w:lang w:val="el-GR"/>
        </w:rPr>
        <w:t>)</w:t>
      </w:r>
      <w:r>
        <w:rPr>
          <w:rFonts w:ascii="Arial" w:hAnsi="Arial" w:cs="Arial"/>
          <w:szCs w:val="22"/>
          <w:lang w:val="el-GR"/>
        </w:rPr>
        <w:t xml:space="preserve"> σε 8231 άνδρες ηλικίας 50 έως 75 ετών με προηγούμενη αρνητική βιοψία για προστατικό καρκίνο και αρχική τιμή </w:t>
      </w:r>
      <w:r>
        <w:rPr>
          <w:rFonts w:ascii="Arial" w:hAnsi="Arial" w:cs="Arial"/>
          <w:szCs w:val="22"/>
        </w:rPr>
        <w:t>PSA</w:t>
      </w:r>
      <w:r w:rsidRPr="00AB301F">
        <w:rPr>
          <w:rFonts w:ascii="Arial" w:hAnsi="Arial" w:cs="Arial"/>
          <w:szCs w:val="22"/>
          <w:lang w:val="el-GR"/>
        </w:rPr>
        <w:t xml:space="preserve"> </w:t>
      </w:r>
      <w:r>
        <w:rPr>
          <w:rFonts w:ascii="Arial" w:hAnsi="Arial" w:cs="Arial"/>
          <w:szCs w:val="22"/>
          <w:lang w:val="el-GR"/>
        </w:rPr>
        <w:t xml:space="preserve">από </w:t>
      </w:r>
      <w:r w:rsidRPr="00AB301F">
        <w:rPr>
          <w:rFonts w:ascii="Arial" w:hAnsi="Arial" w:cs="Arial"/>
          <w:szCs w:val="22"/>
          <w:lang w:val="el-GR"/>
        </w:rPr>
        <w:t>2.5</w:t>
      </w:r>
      <w:proofErr w:type="spellStart"/>
      <w:r>
        <w:rPr>
          <w:rFonts w:ascii="Arial" w:hAnsi="Arial" w:cs="Arial"/>
          <w:szCs w:val="22"/>
        </w:rPr>
        <w:t>ng</w:t>
      </w:r>
      <w:proofErr w:type="spellEnd"/>
      <w:r>
        <w:rPr>
          <w:rFonts w:ascii="Arial" w:hAnsi="Arial" w:cs="Arial"/>
          <w:szCs w:val="22"/>
          <w:lang w:val="el-GR"/>
        </w:rPr>
        <w:t>/</w:t>
      </w:r>
      <w:proofErr w:type="spellStart"/>
      <w:r>
        <w:rPr>
          <w:rFonts w:ascii="Arial" w:hAnsi="Arial" w:cs="Arial"/>
          <w:szCs w:val="22"/>
        </w:rPr>
        <w:t>mL</w:t>
      </w:r>
      <w:proofErr w:type="spellEnd"/>
      <w:r w:rsidRPr="00AB301F">
        <w:rPr>
          <w:rFonts w:ascii="Arial" w:hAnsi="Arial" w:cs="Arial"/>
          <w:szCs w:val="22"/>
          <w:lang w:val="el-GR"/>
        </w:rPr>
        <w:t xml:space="preserve"> </w:t>
      </w:r>
      <w:r>
        <w:rPr>
          <w:rFonts w:ascii="Arial" w:hAnsi="Arial" w:cs="Arial"/>
          <w:szCs w:val="22"/>
          <w:lang w:val="el-GR"/>
        </w:rPr>
        <w:t>έως</w:t>
      </w:r>
      <w:r w:rsidRPr="00AB301F">
        <w:rPr>
          <w:rFonts w:ascii="Arial" w:hAnsi="Arial" w:cs="Arial"/>
          <w:szCs w:val="22"/>
          <w:lang w:val="el-GR"/>
        </w:rPr>
        <w:t xml:space="preserve"> 10.0</w:t>
      </w:r>
      <w:proofErr w:type="spellStart"/>
      <w:r>
        <w:rPr>
          <w:rFonts w:ascii="Arial" w:hAnsi="Arial" w:cs="Arial"/>
          <w:szCs w:val="22"/>
        </w:rPr>
        <w:t>ng</w:t>
      </w:r>
      <w:proofErr w:type="spellEnd"/>
      <w:r w:rsidRPr="00AB301F">
        <w:rPr>
          <w:rFonts w:ascii="Arial" w:hAnsi="Arial" w:cs="Arial"/>
          <w:szCs w:val="22"/>
          <w:lang w:val="el-GR"/>
        </w:rPr>
        <w:t>/</w:t>
      </w:r>
      <w:proofErr w:type="spellStart"/>
      <w:r>
        <w:rPr>
          <w:rFonts w:ascii="Arial" w:hAnsi="Arial" w:cs="Arial"/>
          <w:szCs w:val="22"/>
        </w:rPr>
        <w:t>mL</w:t>
      </w:r>
      <w:proofErr w:type="spellEnd"/>
      <w:r>
        <w:rPr>
          <w:rFonts w:ascii="Arial" w:hAnsi="Arial" w:cs="Arial"/>
          <w:szCs w:val="22"/>
          <w:lang w:val="el-GR"/>
        </w:rPr>
        <w:t xml:space="preserve"> (στους άνδρες ηλικίας 50 έως 60 ετών) ή από 3</w:t>
      </w:r>
      <w:proofErr w:type="spellStart"/>
      <w:r>
        <w:rPr>
          <w:rFonts w:ascii="Arial" w:hAnsi="Arial" w:cs="Arial"/>
          <w:szCs w:val="22"/>
        </w:rPr>
        <w:t>ng</w:t>
      </w:r>
      <w:proofErr w:type="spellEnd"/>
      <w:r w:rsidRPr="00AB301F">
        <w:rPr>
          <w:rFonts w:ascii="Arial" w:hAnsi="Arial" w:cs="Arial"/>
          <w:szCs w:val="22"/>
          <w:lang w:val="el-GR"/>
        </w:rPr>
        <w:t>/</w:t>
      </w:r>
      <w:proofErr w:type="spellStart"/>
      <w:r>
        <w:rPr>
          <w:rFonts w:ascii="Arial" w:hAnsi="Arial" w:cs="Arial"/>
          <w:szCs w:val="22"/>
        </w:rPr>
        <w:t>mL</w:t>
      </w:r>
      <w:proofErr w:type="spellEnd"/>
      <w:r w:rsidRPr="00AB301F">
        <w:rPr>
          <w:rFonts w:ascii="Arial" w:hAnsi="Arial" w:cs="Arial"/>
          <w:szCs w:val="22"/>
          <w:lang w:val="el-GR"/>
        </w:rPr>
        <w:t xml:space="preserve"> </w:t>
      </w:r>
      <w:r>
        <w:rPr>
          <w:rFonts w:ascii="Arial" w:hAnsi="Arial" w:cs="Arial"/>
          <w:szCs w:val="22"/>
          <w:lang w:val="el-GR"/>
        </w:rPr>
        <w:t xml:space="preserve">έως </w:t>
      </w:r>
      <w:r w:rsidRPr="00AB301F">
        <w:rPr>
          <w:rFonts w:ascii="Arial" w:hAnsi="Arial" w:cs="Arial"/>
          <w:szCs w:val="22"/>
          <w:lang w:val="el-GR"/>
        </w:rPr>
        <w:t>10.0</w:t>
      </w:r>
      <w:proofErr w:type="spellStart"/>
      <w:r>
        <w:rPr>
          <w:rFonts w:ascii="Arial" w:hAnsi="Arial" w:cs="Arial"/>
          <w:szCs w:val="22"/>
        </w:rPr>
        <w:t>ng</w:t>
      </w:r>
      <w:proofErr w:type="spellEnd"/>
      <w:r>
        <w:rPr>
          <w:rFonts w:ascii="Arial" w:hAnsi="Arial" w:cs="Arial"/>
          <w:szCs w:val="22"/>
          <w:lang w:val="el-GR"/>
        </w:rPr>
        <w:t>/</w:t>
      </w:r>
      <w:proofErr w:type="spellStart"/>
      <w:r>
        <w:rPr>
          <w:rFonts w:ascii="Arial" w:hAnsi="Arial" w:cs="Arial"/>
          <w:szCs w:val="22"/>
        </w:rPr>
        <w:t>mL</w:t>
      </w:r>
      <w:proofErr w:type="spellEnd"/>
      <w:r w:rsidRPr="00AB301F">
        <w:rPr>
          <w:rFonts w:ascii="Arial" w:hAnsi="Arial" w:cs="Arial"/>
          <w:szCs w:val="22"/>
          <w:lang w:val="el-GR"/>
        </w:rPr>
        <w:t xml:space="preserve"> </w:t>
      </w:r>
      <w:r>
        <w:rPr>
          <w:rFonts w:ascii="Arial" w:hAnsi="Arial" w:cs="Arial"/>
          <w:szCs w:val="22"/>
          <w:lang w:val="el-GR"/>
        </w:rPr>
        <w:t>(στους άνδρες άνω των 60 ετών)</w:t>
      </w:r>
      <w:r w:rsidRPr="00E81AED">
        <w:rPr>
          <w:rFonts w:ascii="Arial" w:hAnsi="Arial" w:cs="Arial"/>
          <w:szCs w:val="22"/>
          <w:lang w:val="el-GR"/>
        </w:rPr>
        <w:t xml:space="preserve"> </w:t>
      </w:r>
      <w:r>
        <w:rPr>
          <w:rFonts w:ascii="Arial" w:hAnsi="Arial" w:cs="Arial"/>
          <w:szCs w:val="22"/>
          <w:lang w:val="el-GR"/>
        </w:rPr>
        <w:t xml:space="preserve">υπήρχε υψηλότερη συχνότητα εμφάνισης του σύνθετου όρου καρδιακή ανεπάρκεια στους άνδρες που λάμβαναν </w:t>
      </w:r>
      <w:proofErr w:type="spellStart"/>
      <w:r>
        <w:rPr>
          <w:rFonts w:ascii="Arial" w:hAnsi="Arial" w:cs="Arial"/>
          <w:szCs w:val="22"/>
        </w:rPr>
        <w:t>Duagen</w:t>
      </w:r>
      <w:proofErr w:type="spellEnd"/>
      <w:r w:rsidRPr="00E81AED">
        <w:rPr>
          <w:rFonts w:ascii="Arial" w:hAnsi="Arial" w:cs="Arial"/>
          <w:szCs w:val="22"/>
          <w:lang w:val="el-GR"/>
        </w:rPr>
        <w:t xml:space="preserve"> 0.5 </w:t>
      </w:r>
      <w:r>
        <w:rPr>
          <w:rFonts w:ascii="Arial" w:hAnsi="Arial" w:cs="Arial"/>
          <w:szCs w:val="22"/>
        </w:rPr>
        <w:t>mg</w:t>
      </w:r>
      <w:r w:rsidRPr="00E81AED">
        <w:rPr>
          <w:rFonts w:ascii="Arial" w:hAnsi="Arial" w:cs="Arial"/>
          <w:szCs w:val="22"/>
          <w:lang w:val="el-GR"/>
        </w:rPr>
        <w:t xml:space="preserve"> </w:t>
      </w:r>
      <w:r>
        <w:rPr>
          <w:rFonts w:ascii="Arial" w:hAnsi="Arial" w:cs="Arial"/>
          <w:szCs w:val="22"/>
          <w:lang w:val="el-GR"/>
        </w:rPr>
        <w:t xml:space="preserve">άπαξ ημερησίως (30/4105, 0.7%) σε σχέση με αυτούς που λάμβαναν εικονικό φάρμακο (16/4126, 0.4%). Μια επακόλουθη ανάλυση αυτής της μελέτης έδειξε υψηλότερη συχνότητα εμφάνισης του σύνθετου όρου καρδιακή ανεπάρκεια  στους άνδρες που λάμβαναν ταυτόχρονα </w:t>
      </w:r>
      <w:proofErr w:type="spellStart"/>
      <w:r>
        <w:rPr>
          <w:rFonts w:ascii="Arial" w:hAnsi="Arial" w:cs="Arial"/>
          <w:szCs w:val="22"/>
        </w:rPr>
        <w:t>Duagen</w:t>
      </w:r>
      <w:proofErr w:type="spellEnd"/>
      <w:r w:rsidRPr="00BA2E6E">
        <w:rPr>
          <w:rFonts w:ascii="Arial" w:hAnsi="Arial" w:cs="Arial"/>
          <w:szCs w:val="22"/>
          <w:lang w:val="el-GR"/>
        </w:rPr>
        <w:t xml:space="preserve"> </w:t>
      </w:r>
      <w:r>
        <w:rPr>
          <w:rFonts w:ascii="Arial" w:hAnsi="Arial" w:cs="Arial"/>
          <w:szCs w:val="22"/>
          <w:lang w:val="el-GR"/>
        </w:rPr>
        <w:t xml:space="preserve">και κάποιο άλφα αποκλειστή </w:t>
      </w:r>
      <w:r w:rsidRPr="00314693">
        <w:rPr>
          <w:rFonts w:ascii="Arial" w:hAnsi="Arial" w:cs="Arial"/>
          <w:szCs w:val="22"/>
          <w:lang w:val="el-GR"/>
        </w:rPr>
        <w:t>(12/1152, 1.0%</w:t>
      </w:r>
      <w:r>
        <w:rPr>
          <w:rFonts w:ascii="Arial" w:hAnsi="Arial" w:cs="Arial"/>
          <w:szCs w:val="22"/>
          <w:lang w:val="el-GR"/>
        </w:rPr>
        <w:t xml:space="preserve">) σε σχέση με εκείνους που λάμβαναν </w:t>
      </w:r>
      <w:proofErr w:type="spellStart"/>
      <w:r>
        <w:rPr>
          <w:rFonts w:ascii="Arial" w:hAnsi="Arial" w:cs="Arial"/>
          <w:szCs w:val="22"/>
        </w:rPr>
        <w:t>Duagen</w:t>
      </w:r>
      <w:proofErr w:type="spellEnd"/>
      <w:r>
        <w:rPr>
          <w:rFonts w:ascii="Arial" w:hAnsi="Arial" w:cs="Arial"/>
          <w:szCs w:val="22"/>
          <w:lang w:val="el-GR"/>
        </w:rPr>
        <w:t xml:space="preserve"> και όχι άλφα αποκλειστή (18/2953, 0.6%), εικονικό φάρμακο και άλφα αποκλειστή (1/1399, &lt;0.1%) ή εικονικό φάρμακο και όχι άλφα αποκλειστή (15/2727, 0.6%). </w:t>
      </w:r>
      <w:r w:rsidR="00914462">
        <w:rPr>
          <w:rFonts w:ascii="Arial" w:hAnsi="Arial" w:cs="Arial"/>
          <w:szCs w:val="22"/>
          <w:lang w:val="el-GR"/>
        </w:rPr>
        <w:t>(βλ. παράγραφο 4.4).</w:t>
      </w:r>
    </w:p>
    <w:p w:rsidR="00B344DD" w:rsidRDefault="00B344DD" w:rsidP="00666F21">
      <w:pPr>
        <w:jc w:val="both"/>
        <w:rPr>
          <w:rFonts w:ascii="Arial" w:hAnsi="Arial" w:cs="Arial"/>
          <w:szCs w:val="22"/>
          <w:lang w:val="el-GR"/>
        </w:rPr>
      </w:pPr>
    </w:p>
    <w:p w:rsidR="005652E7" w:rsidRPr="006135A6" w:rsidRDefault="00D14C63" w:rsidP="00666F21">
      <w:pPr>
        <w:jc w:val="both"/>
        <w:rPr>
          <w:rFonts w:ascii="Arial" w:hAnsi="Arial" w:cs="Arial"/>
          <w:szCs w:val="22"/>
          <w:u w:val="single"/>
          <w:lang w:val="el-GR"/>
        </w:rPr>
      </w:pPr>
      <w:r w:rsidRPr="006135A6">
        <w:rPr>
          <w:rFonts w:ascii="Arial" w:hAnsi="Arial" w:cs="Arial"/>
          <w:szCs w:val="22"/>
          <w:u w:val="single"/>
          <w:lang w:val="el-GR"/>
        </w:rPr>
        <w:t>ΠΡΟΣΤΑΤΙΚΟ</w:t>
      </w:r>
      <w:r w:rsidR="00DE61C2">
        <w:rPr>
          <w:rFonts w:ascii="Arial" w:hAnsi="Arial" w:cs="Arial"/>
          <w:szCs w:val="22"/>
          <w:u w:val="single"/>
          <w:lang w:val="el-GR"/>
        </w:rPr>
        <w:t>Σ</w:t>
      </w:r>
      <w:r w:rsidRPr="006135A6">
        <w:rPr>
          <w:rFonts w:ascii="Arial" w:hAnsi="Arial" w:cs="Arial"/>
          <w:szCs w:val="22"/>
          <w:u w:val="single"/>
          <w:lang w:val="el-GR"/>
        </w:rPr>
        <w:t xml:space="preserve"> ΚΑΡΚΙΝΟΣ ΚΑΙ </w:t>
      </w:r>
      <w:r w:rsidR="005819D1" w:rsidRPr="006135A6">
        <w:rPr>
          <w:rFonts w:ascii="Arial" w:hAnsi="Arial" w:cs="Arial"/>
          <w:szCs w:val="22"/>
          <w:u w:val="single"/>
          <w:lang w:val="el-GR"/>
        </w:rPr>
        <w:t>ΟΓΚΟΙ</w:t>
      </w:r>
      <w:r w:rsidR="009A2883" w:rsidRPr="006135A6">
        <w:rPr>
          <w:rFonts w:ascii="Arial" w:hAnsi="Arial" w:cs="Arial"/>
          <w:szCs w:val="22"/>
          <w:u w:val="single"/>
          <w:lang w:val="el-GR"/>
        </w:rPr>
        <w:t xml:space="preserve"> </w:t>
      </w:r>
      <w:r w:rsidR="00DE61C2">
        <w:rPr>
          <w:rFonts w:ascii="Arial" w:hAnsi="Arial" w:cs="Arial"/>
          <w:szCs w:val="22"/>
          <w:u w:val="single"/>
          <w:lang w:val="el-GR"/>
        </w:rPr>
        <w:t>ΥΨΗΛΟΥ ΒΑΘΜΟΥ ΚΑΚΟΗΘΕΙΑΣ</w:t>
      </w:r>
    </w:p>
    <w:p w:rsidR="00D14C63" w:rsidRPr="000970F8" w:rsidRDefault="00D14C63" w:rsidP="00666F21">
      <w:pPr>
        <w:jc w:val="both"/>
        <w:rPr>
          <w:rFonts w:ascii="Arial" w:hAnsi="Arial" w:cs="Arial"/>
          <w:szCs w:val="22"/>
          <w:lang w:val="el-GR"/>
        </w:rPr>
      </w:pPr>
      <w:r>
        <w:rPr>
          <w:rFonts w:ascii="Arial" w:hAnsi="Arial" w:cs="Arial"/>
          <w:szCs w:val="22"/>
          <w:lang w:val="el-GR"/>
        </w:rPr>
        <w:t>Σε μια σύγκριση τεσσάρων ετών</w:t>
      </w:r>
      <w:r w:rsidR="009838DD">
        <w:rPr>
          <w:rFonts w:ascii="Arial" w:hAnsi="Arial" w:cs="Arial"/>
          <w:szCs w:val="22"/>
          <w:lang w:val="el-GR"/>
        </w:rPr>
        <w:t xml:space="preserve"> </w:t>
      </w:r>
      <w:r w:rsidR="005652E7">
        <w:rPr>
          <w:rFonts w:ascii="Arial" w:hAnsi="Arial" w:cs="Arial"/>
          <w:szCs w:val="22"/>
          <w:lang w:val="el-GR"/>
        </w:rPr>
        <w:t xml:space="preserve">(μελέτη </w:t>
      </w:r>
      <w:r w:rsidR="005652E7">
        <w:rPr>
          <w:rFonts w:ascii="Arial" w:hAnsi="Arial" w:cs="Arial"/>
          <w:szCs w:val="22"/>
        </w:rPr>
        <w:t>REDUCE</w:t>
      </w:r>
      <w:r w:rsidR="005652E7" w:rsidRPr="005652E7">
        <w:rPr>
          <w:rFonts w:ascii="Arial" w:hAnsi="Arial" w:cs="Arial"/>
          <w:szCs w:val="22"/>
          <w:lang w:val="el-GR"/>
        </w:rPr>
        <w:t>)</w:t>
      </w:r>
      <w:r>
        <w:rPr>
          <w:rFonts w:ascii="Arial" w:hAnsi="Arial" w:cs="Arial"/>
          <w:szCs w:val="22"/>
          <w:lang w:val="el-GR"/>
        </w:rPr>
        <w:t xml:space="preserve"> μεταξύ εικονικού φαρμάκου και </w:t>
      </w:r>
      <w:proofErr w:type="spellStart"/>
      <w:r>
        <w:rPr>
          <w:rFonts w:ascii="Arial" w:hAnsi="Arial" w:cs="Arial"/>
          <w:szCs w:val="22"/>
        </w:rPr>
        <w:t>Duagen</w:t>
      </w:r>
      <w:proofErr w:type="spellEnd"/>
      <w:r w:rsidRPr="00D14C63">
        <w:rPr>
          <w:rFonts w:ascii="Arial" w:hAnsi="Arial" w:cs="Arial"/>
          <w:szCs w:val="22"/>
          <w:lang w:val="el-GR"/>
        </w:rPr>
        <w:t xml:space="preserve"> </w:t>
      </w:r>
      <w:r>
        <w:rPr>
          <w:rFonts w:ascii="Arial" w:hAnsi="Arial" w:cs="Arial"/>
          <w:szCs w:val="22"/>
          <w:lang w:val="el-GR"/>
        </w:rPr>
        <w:t>σε 8231 άνδρες ηλικίας 50 έως 75</w:t>
      </w:r>
      <w:r w:rsidR="005652E7" w:rsidRPr="005652E7">
        <w:rPr>
          <w:rFonts w:ascii="Arial" w:hAnsi="Arial" w:cs="Arial"/>
          <w:szCs w:val="22"/>
          <w:lang w:val="el-GR"/>
        </w:rPr>
        <w:t xml:space="preserve"> </w:t>
      </w:r>
      <w:r w:rsidR="005652E7">
        <w:rPr>
          <w:rFonts w:ascii="Arial" w:hAnsi="Arial" w:cs="Arial"/>
          <w:szCs w:val="22"/>
          <w:lang w:val="el-GR"/>
        </w:rPr>
        <w:t>ετών</w:t>
      </w:r>
      <w:r>
        <w:rPr>
          <w:rFonts w:ascii="Arial" w:hAnsi="Arial" w:cs="Arial"/>
          <w:szCs w:val="22"/>
          <w:lang w:val="el-GR"/>
        </w:rPr>
        <w:t xml:space="preserve"> </w:t>
      </w:r>
      <w:r w:rsidR="004C7DB3">
        <w:rPr>
          <w:rFonts w:ascii="Arial" w:hAnsi="Arial" w:cs="Arial"/>
          <w:szCs w:val="22"/>
          <w:lang w:val="el-GR"/>
        </w:rPr>
        <w:t xml:space="preserve">με προηγούμενη αρνητική βιοψία για προστατικό καρκίνο και αρχική τιμή </w:t>
      </w:r>
      <w:r w:rsidR="004C7DB3">
        <w:rPr>
          <w:rFonts w:ascii="Arial" w:hAnsi="Arial" w:cs="Arial"/>
          <w:szCs w:val="22"/>
        </w:rPr>
        <w:t>PSA</w:t>
      </w:r>
      <w:r w:rsidR="004C7DB3" w:rsidRPr="00AB301F">
        <w:rPr>
          <w:rFonts w:ascii="Arial" w:hAnsi="Arial" w:cs="Arial"/>
          <w:szCs w:val="22"/>
          <w:lang w:val="el-GR"/>
        </w:rPr>
        <w:t xml:space="preserve"> </w:t>
      </w:r>
      <w:r w:rsidR="004C7DB3">
        <w:rPr>
          <w:rFonts w:ascii="Arial" w:hAnsi="Arial" w:cs="Arial"/>
          <w:szCs w:val="22"/>
          <w:lang w:val="el-GR"/>
        </w:rPr>
        <w:t xml:space="preserve">από </w:t>
      </w:r>
      <w:r w:rsidR="004C7DB3" w:rsidRPr="00AB301F">
        <w:rPr>
          <w:rFonts w:ascii="Arial" w:hAnsi="Arial" w:cs="Arial"/>
          <w:szCs w:val="22"/>
          <w:lang w:val="el-GR"/>
        </w:rPr>
        <w:t>2.5</w:t>
      </w:r>
      <w:proofErr w:type="spellStart"/>
      <w:r w:rsidR="004C7DB3">
        <w:rPr>
          <w:rFonts w:ascii="Arial" w:hAnsi="Arial" w:cs="Arial"/>
          <w:szCs w:val="22"/>
        </w:rPr>
        <w:t>ng</w:t>
      </w:r>
      <w:proofErr w:type="spellEnd"/>
      <w:r w:rsidR="004C7DB3">
        <w:rPr>
          <w:rFonts w:ascii="Arial" w:hAnsi="Arial" w:cs="Arial"/>
          <w:szCs w:val="22"/>
          <w:lang w:val="el-GR"/>
        </w:rPr>
        <w:t>/</w:t>
      </w:r>
      <w:proofErr w:type="spellStart"/>
      <w:r w:rsidR="004C7DB3">
        <w:rPr>
          <w:rFonts w:ascii="Arial" w:hAnsi="Arial" w:cs="Arial"/>
          <w:szCs w:val="22"/>
        </w:rPr>
        <w:t>mL</w:t>
      </w:r>
      <w:proofErr w:type="spellEnd"/>
      <w:r w:rsidR="004C7DB3" w:rsidRPr="00AB301F">
        <w:rPr>
          <w:rFonts w:ascii="Arial" w:hAnsi="Arial" w:cs="Arial"/>
          <w:szCs w:val="22"/>
          <w:lang w:val="el-GR"/>
        </w:rPr>
        <w:t xml:space="preserve"> </w:t>
      </w:r>
      <w:r w:rsidR="004C7DB3">
        <w:rPr>
          <w:rFonts w:ascii="Arial" w:hAnsi="Arial" w:cs="Arial"/>
          <w:szCs w:val="22"/>
          <w:lang w:val="el-GR"/>
        </w:rPr>
        <w:t>έως</w:t>
      </w:r>
      <w:r w:rsidR="004C7DB3" w:rsidRPr="00AB301F">
        <w:rPr>
          <w:rFonts w:ascii="Arial" w:hAnsi="Arial" w:cs="Arial"/>
          <w:szCs w:val="22"/>
          <w:lang w:val="el-GR"/>
        </w:rPr>
        <w:t xml:space="preserve"> 10.0</w:t>
      </w:r>
      <w:proofErr w:type="spellStart"/>
      <w:r w:rsidR="004C7DB3">
        <w:rPr>
          <w:rFonts w:ascii="Arial" w:hAnsi="Arial" w:cs="Arial"/>
          <w:szCs w:val="22"/>
        </w:rPr>
        <w:t>ng</w:t>
      </w:r>
      <w:proofErr w:type="spellEnd"/>
      <w:r w:rsidR="004C7DB3" w:rsidRPr="00AB301F">
        <w:rPr>
          <w:rFonts w:ascii="Arial" w:hAnsi="Arial" w:cs="Arial"/>
          <w:szCs w:val="22"/>
          <w:lang w:val="el-GR"/>
        </w:rPr>
        <w:t>/</w:t>
      </w:r>
      <w:proofErr w:type="spellStart"/>
      <w:r w:rsidR="004C7DB3">
        <w:rPr>
          <w:rFonts w:ascii="Arial" w:hAnsi="Arial" w:cs="Arial"/>
          <w:szCs w:val="22"/>
        </w:rPr>
        <w:t>mL</w:t>
      </w:r>
      <w:proofErr w:type="spellEnd"/>
      <w:r w:rsidR="004C7DB3">
        <w:rPr>
          <w:rFonts w:ascii="Arial" w:hAnsi="Arial" w:cs="Arial"/>
          <w:szCs w:val="22"/>
          <w:lang w:val="el-GR"/>
        </w:rPr>
        <w:t xml:space="preserve"> </w:t>
      </w:r>
      <w:r w:rsidR="005652E7">
        <w:rPr>
          <w:rFonts w:ascii="Arial" w:hAnsi="Arial" w:cs="Arial"/>
          <w:szCs w:val="22"/>
          <w:lang w:val="el-GR"/>
        </w:rPr>
        <w:t>(</w:t>
      </w:r>
      <w:r w:rsidR="003103B6">
        <w:rPr>
          <w:rFonts w:ascii="Arial" w:hAnsi="Arial" w:cs="Arial"/>
          <w:szCs w:val="22"/>
          <w:lang w:val="el-GR"/>
        </w:rPr>
        <w:t>στους άνδρες</w:t>
      </w:r>
      <w:r w:rsidR="004C7DB3">
        <w:rPr>
          <w:rFonts w:ascii="Arial" w:hAnsi="Arial" w:cs="Arial"/>
          <w:szCs w:val="22"/>
          <w:lang w:val="el-GR"/>
        </w:rPr>
        <w:t xml:space="preserve"> ηλικίας 50 έως 60 ετών</w:t>
      </w:r>
      <w:r w:rsidR="005652E7">
        <w:rPr>
          <w:rFonts w:ascii="Arial" w:hAnsi="Arial" w:cs="Arial"/>
          <w:szCs w:val="22"/>
          <w:lang w:val="el-GR"/>
        </w:rPr>
        <w:t>)</w:t>
      </w:r>
      <w:r w:rsidR="004C7DB3">
        <w:rPr>
          <w:rFonts w:ascii="Arial" w:hAnsi="Arial" w:cs="Arial"/>
          <w:szCs w:val="22"/>
          <w:lang w:val="el-GR"/>
        </w:rPr>
        <w:t xml:space="preserve"> ή από 3</w:t>
      </w:r>
      <w:proofErr w:type="spellStart"/>
      <w:r w:rsidR="004C7DB3">
        <w:rPr>
          <w:rFonts w:ascii="Arial" w:hAnsi="Arial" w:cs="Arial"/>
          <w:szCs w:val="22"/>
        </w:rPr>
        <w:t>ng</w:t>
      </w:r>
      <w:proofErr w:type="spellEnd"/>
      <w:r w:rsidR="004C7DB3" w:rsidRPr="00AB301F">
        <w:rPr>
          <w:rFonts w:ascii="Arial" w:hAnsi="Arial" w:cs="Arial"/>
          <w:szCs w:val="22"/>
          <w:lang w:val="el-GR"/>
        </w:rPr>
        <w:t>/</w:t>
      </w:r>
      <w:proofErr w:type="spellStart"/>
      <w:r w:rsidR="004C7DB3">
        <w:rPr>
          <w:rFonts w:ascii="Arial" w:hAnsi="Arial" w:cs="Arial"/>
          <w:szCs w:val="22"/>
        </w:rPr>
        <w:t>mL</w:t>
      </w:r>
      <w:proofErr w:type="spellEnd"/>
      <w:r w:rsidR="004C7DB3" w:rsidRPr="00AB301F">
        <w:rPr>
          <w:rFonts w:ascii="Arial" w:hAnsi="Arial" w:cs="Arial"/>
          <w:szCs w:val="22"/>
          <w:lang w:val="el-GR"/>
        </w:rPr>
        <w:t xml:space="preserve"> </w:t>
      </w:r>
      <w:r w:rsidR="004C7DB3">
        <w:rPr>
          <w:rFonts w:ascii="Arial" w:hAnsi="Arial" w:cs="Arial"/>
          <w:szCs w:val="22"/>
          <w:lang w:val="el-GR"/>
        </w:rPr>
        <w:t xml:space="preserve">έως </w:t>
      </w:r>
      <w:r w:rsidR="004C7DB3" w:rsidRPr="00AB301F">
        <w:rPr>
          <w:rFonts w:ascii="Arial" w:hAnsi="Arial" w:cs="Arial"/>
          <w:szCs w:val="22"/>
          <w:lang w:val="el-GR"/>
        </w:rPr>
        <w:t>10.0</w:t>
      </w:r>
      <w:proofErr w:type="spellStart"/>
      <w:r w:rsidR="004C7DB3">
        <w:rPr>
          <w:rFonts w:ascii="Arial" w:hAnsi="Arial" w:cs="Arial"/>
          <w:szCs w:val="22"/>
        </w:rPr>
        <w:t>ng</w:t>
      </w:r>
      <w:proofErr w:type="spellEnd"/>
      <w:r w:rsidR="004C7DB3">
        <w:rPr>
          <w:rFonts w:ascii="Arial" w:hAnsi="Arial" w:cs="Arial"/>
          <w:szCs w:val="22"/>
          <w:lang w:val="el-GR"/>
        </w:rPr>
        <w:t>/</w:t>
      </w:r>
      <w:proofErr w:type="spellStart"/>
      <w:r w:rsidR="004C7DB3">
        <w:rPr>
          <w:rFonts w:ascii="Arial" w:hAnsi="Arial" w:cs="Arial"/>
          <w:szCs w:val="22"/>
        </w:rPr>
        <w:t>mL</w:t>
      </w:r>
      <w:proofErr w:type="spellEnd"/>
      <w:r w:rsidR="004C7DB3" w:rsidRPr="00AB301F">
        <w:rPr>
          <w:rFonts w:ascii="Arial" w:hAnsi="Arial" w:cs="Arial"/>
          <w:szCs w:val="22"/>
          <w:lang w:val="el-GR"/>
        </w:rPr>
        <w:t xml:space="preserve"> </w:t>
      </w:r>
      <w:r w:rsidR="005652E7">
        <w:rPr>
          <w:rFonts w:ascii="Arial" w:hAnsi="Arial" w:cs="Arial"/>
          <w:szCs w:val="22"/>
          <w:lang w:val="el-GR"/>
        </w:rPr>
        <w:t>(στους άνδρες</w:t>
      </w:r>
      <w:r w:rsidR="004C7DB3">
        <w:rPr>
          <w:rFonts w:ascii="Arial" w:hAnsi="Arial" w:cs="Arial"/>
          <w:szCs w:val="22"/>
          <w:lang w:val="el-GR"/>
        </w:rPr>
        <w:t xml:space="preserve"> άνω των 60 ετών</w:t>
      </w:r>
      <w:r w:rsidR="005652E7">
        <w:rPr>
          <w:rFonts w:ascii="Arial" w:hAnsi="Arial" w:cs="Arial"/>
          <w:szCs w:val="22"/>
          <w:lang w:val="el-GR"/>
        </w:rPr>
        <w:t>)</w:t>
      </w:r>
      <w:r w:rsidR="002D4557">
        <w:rPr>
          <w:rFonts w:ascii="Arial" w:hAnsi="Arial" w:cs="Arial"/>
          <w:szCs w:val="22"/>
          <w:lang w:val="el-GR"/>
        </w:rPr>
        <w:t xml:space="preserve"> 6706 άτομα είχαν </w:t>
      </w:r>
      <w:r w:rsidR="005652E7">
        <w:rPr>
          <w:rFonts w:ascii="Arial" w:hAnsi="Arial" w:cs="Arial"/>
          <w:szCs w:val="22"/>
          <w:lang w:val="el-GR"/>
        </w:rPr>
        <w:t>διαθέσιμα δεδομένα προς ανάλυση από</w:t>
      </w:r>
      <w:r w:rsidR="00F43ADE">
        <w:rPr>
          <w:rFonts w:ascii="Arial" w:hAnsi="Arial" w:cs="Arial"/>
          <w:szCs w:val="22"/>
          <w:lang w:val="el-GR"/>
        </w:rPr>
        <w:t xml:space="preserve"> </w:t>
      </w:r>
      <w:r w:rsidR="002D4557">
        <w:rPr>
          <w:rFonts w:ascii="Arial" w:hAnsi="Arial" w:cs="Arial"/>
          <w:szCs w:val="22"/>
          <w:lang w:val="el-GR"/>
        </w:rPr>
        <w:t>βιοψία προστάτη με βελόνα (κυρίως κατ’ εντολή του πρωτοκόλλου)</w:t>
      </w:r>
      <w:r w:rsidR="009838DD">
        <w:rPr>
          <w:rFonts w:ascii="Arial" w:hAnsi="Arial" w:cs="Arial"/>
          <w:szCs w:val="22"/>
          <w:lang w:val="el-GR"/>
        </w:rPr>
        <w:t xml:space="preserve"> </w:t>
      </w:r>
      <w:r w:rsidR="002D4557">
        <w:rPr>
          <w:rFonts w:ascii="Arial" w:hAnsi="Arial" w:cs="Arial"/>
          <w:szCs w:val="22"/>
          <w:lang w:val="el-GR"/>
        </w:rPr>
        <w:t xml:space="preserve">για καθορισμό του βαθμού </w:t>
      </w:r>
      <w:r w:rsidR="002D4557">
        <w:rPr>
          <w:rFonts w:ascii="Arial" w:hAnsi="Arial" w:cs="Arial"/>
          <w:szCs w:val="22"/>
        </w:rPr>
        <w:t>Gleason</w:t>
      </w:r>
      <w:r w:rsidR="002D4557" w:rsidRPr="002D4557">
        <w:rPr>
          <w:rFonts w:ascii="Arial" w:hAnsi="Arial" w:cs="Arial"/>
          <w:szCs w:val="22"/>
          <w:lang w:val="el-GR"/>
        </w:rPr>
        <w:t xml:space="preserve">. </w:t>
      </w:r>
      <w:r w:rsidR="002D4557">
        <w:rPr>
          <w:rFonts w:ascii="Arial" w:hAnsi="Arial" w:cs="Arial"/>
          <w:szCs w:val="22"/>
          <w:lang w:val="el-GR"/>
        </w:rPr>
        <w:t>Προστατικός καρκίνος διαγνώσθηκε σε 1517 άτομα στη μελέτη. Η πλει</w:t>
      </w:r>
      <w:r w:rsidR="000970F8">
        <w:rPr>
          <w:rFonts w:ascii="Arial" w:hAnsi="Arial" w:cs="Arial"/>
          <w:szCs w:val="22"/>
          <w:lang w:val="el-GR"/>
        </w:rPr>
        <w:t>ο</w:t>
      </w:r>
      <w:r w:rsidR="002D4557">
        <w:rPr>
          <w:rFonts w:ascii="Arial" w:hAnsi="Arial" w:cs="Arial"/>
          <w:szCs w:val="22"/>
          <w:lang w:val="el-GR"/>
        </w:rPr>
        <w:t>ψηφία των προστατικών καρκίνων που διαγνώσθηκαν με βιοψία και στις δύο ομάδες θεραπείας ήταν χαμηλού βαθμού (</w:t>
      </w:r>
      <w:r w:rsidR="002D4557">
        <w:rPr>
          <w:rFonts w:ascii="Arial" w:hAnsi="Arial" w:cs="Arial"/>
          <w:szCs w:val="22"/>
        </w:rPr>
        <w:t>Gleason</w:t>
      </w:r>
      <w:r w:rsidR="002D4557" w:rsidRPr="002D4557">
        <w:rPr>
          <w:rFonts w:ascii="Arial" w:hAnsi="Arial" w:cs="Arial"/>
          <w:szCs w:val="22"/>
          <w:lang w:val="el-GR"/>
        </w:rPr>
        <w:t xml:space="preserve"> 5-6, 70%).</w:t>
      </w:r>
    </w:p>
    <w:p w:rsidR="007A0F6B" w:rsidRPr="000970F8" w:rsidRDefault="007A0F6B" w:rsidP="00666F21">
      <w:pPr>
        <w:jc w:val="both"/>
        <w:rPr>
          <w:rFonts w:ascii="Arial" w:hAnsi="Arial" w:cs="Arial"/>
          <w:szCs w:val="22"/>
          <w:lang w:val="el-GR"/>
        </w:rPr>
      </w:pPr>
    </w:p>
    <w:p w:rsidR="007A0F6B" w:rsidRPr="00411091" w:rsidRDefault="007A0F6B" w:rsidP="00666F21">
      <w:pPr>
        <w:jc w:val="both"/>
        <w:rPr>
          <w:rFonts w:ascii="Arial" w:hAnsi="Arial" w:cs="Arial"/>
          <w:szCs w:val="22"/>
          <w:lang w:val="el-GR"/>
        </w:rPr>
      </w:pPr>
      <w:r>
        <w:rPr>
          <w:rFonts w:ascii="Arial" w:hAnsi="Arial" w:cs="Arial"/>
          <w:szCs w:val="22"/>
          <w:lang w:val="el-GR"/>
        </w:rPr>
        <w:t xml:space="preserve">Υπήρχε </w:t>
      </w:r>
      <w:r w:rsidR="000970F8">
        <w:rPr>
          <w:rFonts w:ascii="Arial" w:hAnsi="Arial" w:cs="Arial"/>
          <w:szCs w:val="22"/>
          <w:lang w:val="el-GR"/>
        </w:rPr>
        <w:t>υψηλότερη</w:t>
      </w:r>
      <w:r>
        <w:rPr>
          <w:rFonts w:ascii="Arial" w:hAnsi="Arial" w:cs="Arial"/>
          <w:szCs w:val="22"/>
          <w:lang w:val="el-GR"/>
        </w:rPr>
        <w:t xml:space="preserve"> συχνότητα </w:t>
      </w:r>
      <w:r w:rsidR="000970F8">
        <w:rPr>
          <w:rFonts w:ascii="Arial" w:hAnsi="Arial" w:cs="Arial"/>
          <w:szCs w:val="22"/>
          <w:lang w:val="el-GR"/>
        </w:rPr>
        <w:t>εμφάνισης</w:t>
      </w:r>
      <w:r>
        <w:rPr>
          <w:rFonts w:ascii="Arial" w:hAnsi="Arial" w:cs="Arial"/>
          <w:szCs w:val="22"/>
          <w:lang w:val="el-GR"/>
        </w:rPr>
        <w:t xml:space="preserve"> προστατικού καρκίνου βαθμού </w:t>
      </w:r>
      <w:r>
        <w:rPr>
          <w:rFonts w:ascii="Arial" w:hAnsi="Arial" w:cs="Arial"/>
          <w:szCs w:val="22"/>
        </w:rPr>
        <w:t>Gleason</w:t>
      </w:r>
      <w:r w:rsidRPr="007A0F6B">
        <w:rPr>
          <w:rFonts w:ascii="Arial" w:hAnsi="Arial" w:cs="Arial"/>
          <w:szCs w:val="22"/>
          <w:lang w:val="el-GR"/>
        </w:rPr>
        <w:t xml:space="preserve"> 8-10 </w:t>
      </w:r>
      <w:r>
        <w:rPr>
          <w:rFonts w:ascii="Arial" w:hAnsi="Arial" w:cs="Arial"/>
          <w:szCs w:val="22"/>
          <w:lang w:val="el-GR"/>
        </w:rPr>
        <w:t>στη</w:t>
      </w:r>
      <w:r w:rsidR="00C47A9E">
        <w:rPr>
          <w:rFonts w:ascii="Arial" w:hAnsi="Arial" w:cs="Arial"/>
          <w:szCs w:val="22"/>
          <w:lang w:val="el-GR"/>
        </w:rPr>
        <w:t>ν</w:t>
      </w:r>
      <w:r>
        <w:rPr>
          <w:rFonts w:ascii="Arial" w:hAnsi="Arial" w:cs="Arial"/>
          <w:szCs w:val="22"/>
          <w:lang w:val="el-GR"/>
        </w:rPr>
        <w:t xml:space="preserve"> ομάδα του </w:t>
      </w:r>
      <w:proofErr w:type="spellStart"/>
      <w:r>
        <w:rPr>
          <w:rFonts w:ascii="Arial" w:hAnsi="Arial" w:cs="Arial"/>
          <w:szCs w:val="22"/>
        </w:rPr>
        <w:t>Duagen</w:t>
      </w:r>
      <w:proofErr w:type="spellEnd"/>
      <w:r w:rsidRPr="007A0F6B">
        <w:rPr>
          <w:rFonts w:ascii="Arial" w:hAnsi="Arial" w:cs="Arial"/>
          <w:szCs w:val="22"/>
          <w:lang w:val="el-GR"/>
        </w:rPr>
        <w:t xml:space="preserve"> (</w:t>
      </w:r>
      <w:r>
        <w:rPr>
          <w:rFonts w:ascii="Arial" w:hAnsi="Arial" w:cs="Arial"/>
          <w:szCs w:val="22"/>
        </w:rPr>
        <w:t>n</w:t>
      </w:r>
      <w:r w:rsidRPr="007A0F6B">
        <w:rPr>
          <w:rFonts w:ascii="Arial" w:hAnsi="Arial" w:cs="Arial"/>
          <w:szCs w:val="22"/>
          <w:lang w:val="el-GR"/>
        </w:rPr>
        <w:t xml:space="preserve">=29, 0.9%) </w:t>
      </w:r>
      <w:r>
        <w:rPr>
          <w:rFonts w:ascii="Arial" w:hAnsi="Arial" w:cs="Arial"/>
          <w:szCs w:val="22"/>
          <w:lang w:val="el-GR"/>
        </w:rPr>
        <w:t>σε σχέση με την ομάδα του εικονικού φαρμάκου (</w:t>
      </w:r>
      <w:r>
        <w:rPr>
          <w:rFonts w:ascii="Arial" w:hAnsi="Arial" w:cs="Arial"/>
          <w:szCs w:val="22"/>
        </w:rPr>
        <w:t>n</w:t>
      </w:r>
      <w:r w:rsidRPr="007A0F6B">
        <w:rPr>
          <w:rFonts w:ascii="Arial" w:hAnsi="Arial" w:cs="Arial"/>
          <w:szCs w:val="22"/>
          <w:lang w:val="el-GR"/>
        </w:rPr>
        <w:t>=19, 0.6%)(</w:t>
      </w:r>
      <w:r>
        <w:rPr>
          <w:rFonts w:ascii="Arial" w:hAnsi="Arial" w:cs="Arial"/>
          <w:szCs w:val="22"/>
        </w:rPr>
        <w:t>p</w:t>
      </w:r>
      <w:r w:rsidRPr="007A0F6B">
        <w:rPr>
          <w:rFonts w:ascii="Arial" w:hAnsi="Arial" w:cs="Arial"/>
          <w:szCs w:val="22"/>
          <w:lang w:val="el-GR"/>
        </w:rPr>
        <w:t xml:space="preserve">=0.15). </w:t>
      </w:r>
      <w:r w:rsidR="00DF2D57">
        <w:rPr>
          <w:rFonts w:ascii="Arial" w:hAnsi="Arial" w:cs="Arial"/>
          <w:szCs w:val="22"/>
          <w:lang w:val="el-GR"/>
        </w:rPr>
        <w:t>Τον πρώτο και τον δεύτερο χρόνο</w:t>
      </w:r>
      <w:r w:rsidR="00C47A9E">
        <w:rPr>
          <w:rFonts w:ascii="Arial" w:hAnsi="Arial" w:cs="Arial"/>
          <w:szCs w:val="22"/>
          <w:lang w:val="el-GR"/>
        </w:rPr>
        <w:t xml:space="preserve"> </w:t>
      </w:r>
      <w:r w:rsidR="00DF2D57">
        <w:rPr>
          <w:rFonts w:ascii="Arial" w:hAnsi="Arial" w:cs="Arial"/>
          <w:szCs w:val="22"/>
          <w:lang w:val="el-GR"/>
        </w:rPr>
        <w:t>ο αριθμός των ατόμων με καρκίνο</w:t>
      </w:r>
      <w:r w:rsidR="00C47A9E">
        <w:rPr>
          <w:rFonts w:ascii="Arial" w:hAnsi="Arial" w:cs="Arial"/>
          <w:szCs w:val="22"/>
          <w:lang w:val="el-GR"/>
        </w:rPr>
        <w:t xml:space="preserve"> βαθμού</w:t>
      </w:r>
      <w:r w:rsidR="00DF2D57">
        <w:rPr>
          <w:rFonts w:ascii="Arial" w:hAnsi="Arial" w:cs="Arial"/>
          <w:szCs w:val="22"/>
          <w:lang w:val="el-GR"/>
        </w:rPr>
        <w:t xml:space="preserve"> </w:t>
      </w:r>
      <w:r w:rsidR="00DF2D57">
        <w:rPr>
          <w:rFonts w:ascii="Arial" w:hAnsi="Arial" w:cs="Arial"/>
          <w:szCs w:val="22"/>
        </w:rPr>
        <w:t>Gleason</w:t>
      </w:r>
      <w:r w:rsidR="00DF2D57" w:rsidRPr="00DF2D57">
        <w:rPr>
          <w:rFonts w:ascii="Arial" w:hAnsi="Arial" w:cs="Arial"/>
          <w:szCs w:val="22"/>
          <w:lang w:val="el-GR"/>
        </w:rPr>
        <w:t xml:space="preserve"> 8-10</w:t>
      </w:r>
      <w:r w:rsidR="00DF2D57">
        <w:rPr>
          <w:rFonts w:ascii="Arial" w:hAnsi="Arial" w:cs="Arial"/>
          <w:szCs w:val="22"/>
          <w:lang w:val="el-GR"/>
        </w:rPr>
        <w:t xml:space="preserve"> ήταν </w:t>
      </w:r>
      <w:r w:rsidR="000970F8">
        <w:rPr>
          <w:rFonts w:ascii="Arial" w:hAnsi="Arial" w:cs="Arial"/>
          <w:szCs w:val="22"/>
          <w:lang w:val="el-GR"/>
        </w:rPr>
        <w:t>παρόμοιος</w:t>
      </w:r>
      <w:r w:rsidR="00DF2D57">
        <w:rPr>
          <w:rFonts w:ascii="Arial" w:hAnsi="Arial" w:cs="Arial"/>
          <w:szCs w:val="22"/>
          <w:lang w:val="el-GR"/>
        </w:rPr>
        <w:t xml:space="preserve"> στην ομάδα του </w:t>
      </w:r>
      <w:proofErr w:type="spellStart"/>
      <w:r w:rsidR="00DF2D57">
        <w:rPr>
          <w:rFonts w:ascii="Arial" w:hAnsi="Arial" w:cs="Arial"/>
          <w:szCs w:val="22"/>
        </w:rPr>
        <w:t>Duagen</w:t>
      </w:r>
      <w:proofErr w:type="spellEnd"/>
      <w:r w:rsidR="00DF2D57" w:rsidRPr="00DF2D57">
        <w:rPr>
          <w:rFonts w:ascii="Arial" w:hAnsi="Arial" w:cs="Arial"/>
          <w:szCs w:val="22"/>
          <w:lang w:val="el-GR"/>
        </w:rPr>
        <w:t xml:space="preserve"> (</w:t>
      </w:r>
      <w:r w:rsidR="000970F8">
        <w:rPr>
          <w:rFonts w:ascii="Arial" w:hAnsi="Arial" w:cs="Arial"/>
          <w:szCs w:val="22"/>
          <w:lang w:val="el-GR"/>
        </w:rPr>
        <w:t>ν=17, 0</w:t>
      </w:r>
      <w:r w:rsidR="00DF2D57">
        <w:rPr>
          <w:rFonts w:ascii="Arial" w:hAnsi="Arial" w:cs="Arial"/>
          <w:szCs w:val="22"/>
          <w:lang w:val="el-GR"/>
        </w:rPr>
        <w:t>.5%) και στην ομάδα του εικονικού φαρμάκου (</w:t>
      </w:r>
      <w:r w:rsidR="00DF2D57">
        <w:rPr>
          <w:rFonts w:ascii="Arial" w:hAnsi="Arial" w:cs="Arial"/>
          <w:szCs w:val="22"/>
        </w:rPr>
        <w:t>n</w:t>
      </w:r>
      <w:r w:rsidR="00DF2D57" w:rsidRPr="00DF2D57">
        <w:rPr>
          <w:rFonts w:ascii="Arial" w:hAnsi="Arial" w:cs="Arial"/>
          <w:szCs w:val="22"/>
          <w:lang w:val="el-GR"/>
        </w:rPr>
        <w:t xml:space="preserve">=18, 0.5%). </w:t>
      </w:r>
      <w:r w:rsidR="00DF2D57">
        <w:rPr>
          <w:rFonts w:ascii="Arial" w:hAnsi="Arial" w:cs="Arial"/>
          <w:szCs w:val="22"/>
          <w:lang w:val="el-GR"/>
        </w:rPr>
        <w:t>Στο</w:t>
      </w:r>
      <w:r w:rsidR="00C47A9E">
        <w:rPr>
          <w:rFonts w:ascii="Arial" w:hAnsi="Arial" w:cs="Arial"/>
          <w:szCs w:val="22"/>
          <w:lang w:val="el-GR"/>
        </w:rPr>
        <w:t>ν</w:t>
      </w:r>
      <w:r w:rsidR="00DF2D57">
        <w:rPr>
          <w:rFonts w:ascii="Arial" w:hAnsi="Arial" w:cs="Arial"/>
          <w:szCs w:val="22"/>
          <w:lang w:val="el-GR"/>
        </w:rPr>
        <w:t xml:space="preserve"> τρίτο και το</w:t>
      </w:r>
      <w:r w:rsidR="00C47A9E">
        <w:rPr>
          <w:rFonts w:ascii="Arial" w:hAnsi="Arial" w:cs="Arial"/>
          <w:szCs w:val="22"/>
          <w:lang w:val="el-GR"/>
        </w:rPr>
        <w:t>ν</w:t>
      </w:r>
      <w:r w:rsidR="00DF2D57">
        <w:rPr>
          <w:rFonts w:ascii="Arial" w:hAnsi="Arial" w:cs="Arial"/>
          <w:szCs w:val="22"/>
          <w:lang w:val="el-GR"/>
        </w:rPr>
        <w:t xml:space="preserve"> τέταρτο χρόνο διαγνώσθηκαν πιο πολλοί καρκίνοι</w:t>
      </w:r>
      <w:r w:rsidR="00C47A9E">
        <w:rPr>
          <w:rFonts w:ascii="Arial" w:hAnsi="Arial" w:cs="Arial"/>
          <w:szCs w:val="22"/>
          <w:lang w:val="el-GR"/>
        </w:rPr>
        <w:t xml:space="preserve"> βαθμού </w:t>
      </w:r>
      <w:r w:rsidR="00DF2D57">
        <w:rPr>
          <w:rFonts w:ascii="Arial" w:hAnsi="Arial" w:cs="Arial"/>
          <w:szCs w:val="22"/>
        </w:rPr>
        <w:t>Gleason</w:t>
      </w:r>
      <w:r w:rsidR="00DF2D57" w:rsidRPr="00DF2D57">
        <w:rPr>
          <w:rFonts w:ascii="Arial" w:hAnsi="Arial" w:cs="Arial"/>
          <w:szCs w:val="22"/>
          <w:lang w:val="el-GR"/>
        </w:rPr>
        <w:t xml:space="preserve"> 8-10 </w:t>
      </w:r>
      <w:r w:rsidR="00DF2D57">
        <w:rPr>
          <w:rFonts w:ascii="Arial" w:hAnsi="Arial" w:cs="Arial"/>
          <w:szCs w:val="22"/>
          <w:lang w:val="el-GR"/>
        </w:rPr>
        <w:t xml:space="preserve">στην ομάδα του </w:t>
      </w:r>
      <w:proofErr w:type="spellStart"/>
      <w:r w:rsidR="00DF2D57">
        <w:rPr>
          <w:rFonts w:ascii="Arial" w:hAnsi="Arial" w:cs="Arial"/>
          <w:szCs w:val="22"/>
        </w:rPr>
        <w:t>Duagen</w:t>
      </w:r>
      <w:proofErr w:type="spellEnd"/>
      <w:r w:rsidR="00DF2D57" w:rsidRPr="00DF2D57">
        <w:rPr>
          <w:rFonts w:ascii="Arial" w:hAnsi="Arial" w:cs="Arial"/>
          <w:szCs w:val="22"/>
          <w:lang w:val="el-GR"/>
        </w:rPr>
        <w:t xml:space="preserve"> (</w:t>
      </w:r>
      <w:r w:rsidR="00DF2D57">
        <w:rPr>
          <w:rFonts w:ascii="Arial" w:hAnsi="Arial" w:cs="Arial"/>
          <w:szCs w:val="22"/>
        </w:rPr>
        <w:t>n</w:t>
      </w:r>
      <w:r w:rsidR="00DF2D57" w:rsidRPr="00DF2D57">
        <w:rPr>
          <w:rFonts w:ascii="Arial" w:hAnsi="Arial" w:cs="Arial"/>
          <w:szCs w:val="22"/>
          <w:lang w:val="el-GR"/>
        </w:rPr>
        <w:t xml:space="preserve">=12, 0.5%) </w:t>
      </w:r>
      <w:r w:rsidR="00DF2D57">
        <w:rPr>
          <w:rFonts w:ascii="Arial" w:hAnsi="Arial" w:cs="Arial"/>
          <w:szCs w:val="22"/>
          <w:lang w:val="el-GR"/>
        </w:rPr>
        <w:t>σε σχέση με την ομάδα του εικονικού φαρμάκου (</w:t>
      </w:r>
      <w:r w:rsidR="00DF2D57">
        <w:rPr>
          <w:rFonts w:ascii="Arial" w:hAnsi="Arial" w:cs="Arial"/>
          <w:szCs w:val="22"/>
        </w:rPr>
        <w:t>n</w:t>
      </w:r>
      <w:r w:rsidR="000970F8">
        <w:rPr>
          <w:rFonts w:ascii="Arial" w:hAnsi="Arial" w:cs="Arial"/>
          <w:szCs w:val="22"/>
          <w:lang w:val="el-GR"/>
        </w:rPr>
        <w:t xml:space="preserve">=1, </w:t>
      </w:r>
      <w:r w:rsidR="00C47A9E">
        <w:rPr>
          <w:rFonts w:ascii="Arial" w:hAnsi="Arial" w:cs="Arial"/>
          <w:szCs w:val="22"/>
          <w:lang w:val="el-GR"/>
        </w:rPr>
        <w:t>&lt;</w:t>
      </w:r>
      <w:r w:rsidR="00DF2D57" w:rsidRPr="00DF2D57">
        <w:rPr>
          <w:rFonts w:ascii="Arial" w:hAnsi="Arial" w:cs="Arial"/>
          <w:szCs w:val="22"/>
          <w:lang w:val="el-GR"/>
        </w:rPr>
        <w:t>0.1%)</w:t>
      </w:r>
      <w:r w:rsidR="000424BE">
        <w:rPr>
          <w:rFonts w:ascii="Arial" w:hAnsi="Arial" w:cs="Arial"/>
          <w:szCs w:val="22"/>
          <w:lang w:val="el-GR"/>
        </w:rPr>
        <w:t xml:space="preserve"> </w:t>
      </w:r>
      <w:r w:rsidR="00DE61C2">
        <w:rPr>
          <w:rFonts w:ascii="Arial" w:hAnsi="Arial" w:cs="Arial"/>
          <w:szCs w:val="22"/>
          <w:lang w:val="el-GR"/>
        </w:rPr>
        <w:t>(</w:t>
      </w:r>
      <w:r w:rsidR="00DE61C2">
        <w:rPr>
          <w:rFonts w:ascii="Arial" w:hAnsi="Arial" w:cs="Arial"/>
          <w:szCs w:val="22"/>
        </w:rPr>
        <w:t>p</w:t>
      </w:r>
      <w:r w:rsidR="00DE61C2" w:rsidRPr="00DE61C2">
        <w:rPr>
          <w:rFonts w:ascii="Arial" w:hAnsi="Arial" w:cs="Arial"/>
          <w:szCs w:val="22"/>
          <w:lang w:val="el-GR"/>
        </w:rPr>
        <w:t xml:space="preserve">=0.0035). </w:t>
      </w:r>
      <w:r w:rsidR="00C47A9E">
        <w:rPr>
          <w:rFonts w:ascii="Arial" w:hAnsi="Arial" w:cs="Arial"/>
          <w:szCs w:val="22"/>
          <w:lang w:val="el-GR"/>
        </w:rPr>
        <w:t xml:space="preserve">Μετά τον τέταρτο χρόνο δεν υπάρχουν διαθέσιμα δεδομένα για την επίδραση του </w:t>
      </w:r>
      <w:proofErr w:type="spellStart"/>
      <w:r w:rsidR="00C47A9E">
        <w:rPr>
          <w:rFonts w:ascii="Arial" w:hAnsi="Arial" w:cs="Arial"/>
          <w:szCs w:val="22"/>
        </w:rPr>
        <w:t>Duagen</w:t>
      </w:r>
      <w:proofErr w:type="spellEnd"/>
      <w:r w:rsidR="00C47A9E">
        <w:rPr>
          <w:rFonts w:ascii="Arial" w:hAnsi="Arial" w:cs="Arial"/>
          <w:szCs w:val="22"/>
          <w:lang w:val="el-GR"/>
        </w:rPr>
        <w:t xml:space="preserve"> στους άνδρες με κίνδυνο προστατικού καρκίνου. </w:t>
      </w:r>
      <w:r w:rsidR="00367610">
        <w:rPr>
          <w:rFonts w:ascii="Arial" w:hAnsi="Arial" w:cs="Arial"/>
          <w:szCs w:val="22"/>
          <w:lang w:val="el-GR"/>
        </w:rPr>
        <w:t>Το εκατοστιαίο ποσοστό ατόμων που διαγνώσθηκαν με καρκίνο</w:t>
      </w:r>
      <w:r w:rsidR="00C47A9E" w:rsidRPr="00C47A9E">
        <w:rPr>
          <w:rFonts w:ascii="Arial" w:hAnsi="Arial" w:cs="Arial"/>
          <w:szCs w:val="22"/>
          <w:lang w:val="el-GR"/>
        </w:rPr>
        <w:t xml:space="preserve"> </w:t>
      </w:r>
      <w:r w:rsidR="00C47A9E">
        <w:rPr>
          <w:rFonts w:ascii="Arial" w:hAnsi="Arial" w:cs="Arial"/>
          <w:szCs w:val="22"/>
          <w:lang w:val="el-GR"/>
        </w:rPr>
        <w:t>βαθμού</w:t>
      </w:r>
      <w:r w:rsidR="00367610">
        <w:rPr>
          <w:rFonts w:ascii="Arial" w:hAnsi="Arial" w:cs="Arial"/>
          <w:szCs w:val="22"/>
          <w:lang w:val="el-GR"/>
        </w:rPr>
        <w:t xml:space="preserve"> </w:t>
      </w:r>
      <w:r w:rsidR="00367610">
        <w:rPr>
          <w:rFonts w:ascii="Arial" w:hAnsi="Arial" w:cs="Arial"/>
          <w:szCs w:val="22"/>
        </w:rPr>
        <w:t>Gleason</w:t>
      </w:r>
      <w:r w:rsidR="00367610" w:rsidRPr="00367610">
        <w:rPr>
          <w:rFonts w:ascii="Arial" w:hAnsi="Arial" w:cs="Arial"/>
          <w:szCs w:val="22"/>
          <w:lang w:val="el-GR"/>
        </w:rPr>
        <w:t xml:space="preserve"> 8-10 </w:t>
      </w:r>
      <w:r w:rsidR="00367610">
        <w:rPr>
          <w:rFonts w:ascii="Arial" w:hAnsi="Arial" w:cs="Arial"/>
          <w:szCs w:val="22"/>
          <w:lang w:val="el-GR"/>
        </w:rPr>
        <w:t xml:space="preserve">ήταν σταθερό κατά τη διάρκεια της μελέτης (έτη 1-2 και έτη 3-4) στην ομάδα του </w:t>
      </w:r>
      <w:proofErr w:type="spellStart"/>
      <w:r w:rsidR="00367610">
        <w:rPr>
          <w:rFonts w:ascii="Arial" w:hAnsi="Arial" w:cs="Arial"/>
          <w:szCs w:val="22"/>
        </w:rPr>
        <w:t>Duagen</w:t>
      </w:r>
      <w:proofErr w:type="spellEnd"/>
      <w:r w:rsidR="00367610" w:rsidRPr="00367610">
        <w:rPr>
          <w:rFonts w:ascii="Arial" w:hAnsi="Arial" w:cs="Arial"/>
          <w:szCs w:val="22"/>
          <w:lang w:val="el-GR"/>
        </w:rPr>
        <w:t xml:space="preserve"> (0.5% </w:t>
      </w:r>
      <w:r w:rsidR="00367610">
        <w:rPr>
          <w:rFonts w:ascii="Arial" w:hAnsi="Arial" w:cs="Arial"/>
          <w:szCs w:val="22"/>
          <w:lang w:val="el-GR"/>
        </w:rPr>
        <w:t>σε κάθε χρονική περίοδο)</w:t>
      </w:r>
      <w:r w:rsidR="00DE7711">
        <w:rPr>
          <w:rFonts w:ascii="Arial" w:hAnsi="Arial" w:cs="Arial"/>
          <w:szCs w:val="22"/>
          <w:lang w:val="el-GR"/>
        </w:rPr>
        <w:t>,</w:t>
      </w:r>
      <w:r w:rsidR="00367610">
        <w:rPr>
          <w:rFonts w:ascii="Arial" w:hAnsi="Arial" w:cs="Arial"/>
          <w:szCs w:val="22"/>
          <w:lang w:val="el-GR"/>
        </w:rPr>
        <w:t xml:space="preserve"> ενώ στην ομάδα του εικονικού φαρμάκου το εκατοστιαίο ποσοστό </w:t>
      </w:r>
      <w:r w:rsidR="000970F8">
        <w:rPr>
          <w:rFonts w:ascii="Arial" w:hAnsi="Arial" w:cs="Arial"/>
          <w:szCs w:val="22"/>
          <w:lang w:val="el-GR"/>
        </w:rPr>
        <w:t>ατόμων</w:t>
      </w:r>
      <w:r w:rsidR="00367610">
        <w:rPr>
          <w:rFonts w:ascii="Arial" w:hAnsi="Arial" w:cs="Arial"/>
          <w:szCs w:val="22"/>
          <w:lang w:val="el-GR"/>
        </w:rPr>
        <w:t xml:space="preserve"> που </w:t>
      </w:r>
      <w:r w:rsidR="000970F8">
        <w:rPr>
          <w:rFonts w:ascii="Arial" w:hAnsi="Arial" w:cs="Arial"/>
          <w:szCs w:val="22"/>
          <w:lang w:val="el-GR"/>
        </w:rPr>
        <w:t>διαγνώσθηκαν</w:t>
      </w:r>
      <w:r w:rsidR="00367610">
        <w:rPr>
          <w:rFonts w:ascii="Arial" w:hAnsi="Arial" w:cs="Arial"/>
          <w:szCs w:val="22"/>
          <w:lang w:val="el-GR"/>
        </w:rPr>
        <w:t xml:space="preserve"> με καρκίνο βαθμού </w:t>
      </w:r>
      <w:r w:rsidR="00367610">
        <w:rPr>
          <w:rFonts w:ascii="Arial" w:hAnsi="Arial" w:cs="Arial"/>
          <w:szCs w:val="22"/>
        </w:rPr>
        <w:t>Gleason</w:t>
      </w:r>
      <w:r w:rsidR="00367610" w:rsidRPr="00367610">
        <w:rPr>
          <w:rFonts w:ascii="Arial" w:hAnsi="Arial" w:cs="Arial"/>
          <w:szCs w:val="22"/>
          <w:lang w:val="el-GR"/>
        </w:rPr>
        <w:t xml:space="preserve"> 8-10 </w:t>
      </w:r>
      <w:r w:rsidR="00367610">
        <w:rPr>
          <w:rFonts w:ascii="Arial" w:hAnsi="Arial" w:cs="Arial"/>
          <w:szCs w:val="22"/>
          <w:lang w:val="el-GR"/>
        </w:rPr>
        <w:t>ήταν χαμηλότερο τα έτη 3-4 σε σχέση με τα έτη 1-2 (</w:t>
      </w:r>
      <w:r w:rsidR="00C47A9E" w:rsidRPr="00C47A9E">
        <w:rPr>
          <w:rFonts w:ascii="Arial" w:hAnsi="Arial" w:cs="Arial"/>
          <w:szCs w:val="22"/>
          <w:lang w:val="el-GR"/>
        </w:rPr>
        <w:t>&lt;</w:t>
      </w:r>
      <w:r w:rsidR="00367610">
        <w:rPr>
          <w:rFonts w:ascii="Arial" w:hAnsi="Arial" w:cs="Arial"/>
          <w:szCs w:val="22"/>
          <w:lang w:val="el-GR"/>
        </w:rPr>
        <w:t>0.1% έναντι 0.5% αντίστοιχα)</w:t>
      </w:r>
      <w:r w:rsidR="00C47A9E" w:rsidRPr="00C47A9E">
        <w:rPr>
          <w:rFonts w:ascii="Arial" w:hAnsi="Arial" w:cs="Arial"/>
          <w:szCs w:val="22"/>
          <w:lang w:val="el-GR"/>
        </w:rPr>
        <w:t xml:space="preserve"> </w:t>
      </w:r>
      <w:r w:rsidR="00367610">
        <w:rPr>
          <w:rFonts w:ascii="Arial" w:hAnsi="Arial" w:cs="Arial"/>
          <w:szCs w:val="22"/>
          <w:lang w:val="el-GR"/>
        </w:rPr>
        <w:t xml:space="preserve">(βλ. παράγραφο 4.4). Δεν υπήρχε διαφορά στη συχνότητα εμφάνισης καρκίνου βαθμού </w:t>
      </w:r>
      <w:r w:rsidR="00367610">
        <w:rPr>
          <w:rFonts w:ascii="Arial" w:hAnsi="Arial" w:cs="Arial"/>
          <w:szCs w:val="22"/>
        </w:rPr>
        <w:t>Gleason</w:t>
      </w:r>
      <w:r w:rsidR="00367610" w:rsidRPr="00367610">
        <w:rPr>
          <w:rFonts w:ascii="Arial" w:hAnsi="Arial" w:cs="Arial"/>
          <w:szCs w:val="22"/>
          <w:lang w:val="el-GR"/>
        </w:rPr>
        <w:t xml:space="preserve"> 7-10 </w:t>
      </w:r>
      <w:r w:rsidR="00C47A9E">
        <w:rPr>
          <w:rFonts w:ascii="Arial" w:hAnsi="Arial" w:cs="Arial"/>
          <w:szCs w:val="22"/>
          <w:lang w:val="el-GR"/>
        </w:rPr>
        <w:t>(</w:t>
      </w:r>
      <w:r w:rsidR="00C47A9E">
        <w:rPr>
          <w:rFonts w:ascii="Arial" w:hAnsi="Arial" w:cs="Arial"/>
          <w:szCs w:val="22"/>
        </w:rPr>
        <w:t>p</w:t>
      </w:r>
      <w:r w:rsidR="00C47A9E" w:rsidRPr="00C47A9E">
        <w:rPr>
          <w:rFonts w:ascii="Arial" w:hAnsi="Arial" w:cs="Arial"/>
          <w:szCs w:val="22"/>
          <w:lang w:val="el-GR"/>
        </w:rPr>
        <w:t>=0.81).</w:t>
      </w:r>
    </w:p>
    <w:p w:rsidR="00593DFC" w:rsidRPr="00411091" w:rsidRDefault="00593DFC" w:rsidP="00666F21">
      <w:pPr>
        <w:jc w:val="both"/>
        <w:rPr>
          <w:rFonts w:ascii="Arial" w:hAnsi="Arial" w:cs="Arial"/>
          <w:szCs w:val="22"/>
          <w:lang w:val="el-GR"/>
        </w:rPr>
      </w:pPr>
    </w:p>
    <w:p w:rsidR="00183BCD" w:rsidRDefault="00DE61C2" w:rsidP="00666F21">
      <w:pPr>
        <w:jc w:val="both"/>
        <w:rPr>
          <w:rFonts w:ascii="Arial" w:hAnsi="Arial" w:cs="Arial"/>
          <w:szCs w:val="22"/>
          <w:lang w:val="el-GR"/>
        </w:rPr>
      </w:pPr>
      <w:r>
        <w:rPr>
          <w:rFonts w:ascii="Arial" w:hAnsi="Arial" w:cs="Arial"/>
          <w:szCs w:val="22"/>
          <w:lang w:val="el-GR"/>
        </w:rPr>
        <w:t>Στην τετραετή μελέτη της καλοήθους υπερπλασίας του προστάτη (</w:t>
      </w:r>
      <w:proofErr w:type="spellStart"/>
      <w:r>
        <w:rPr>
          <w:rFonts w:ascii="Arial" w:hAnsi="Arial" w:cs="Arial"/>
          <w:szCs w:val="22"/>
        </w:rPr>
        <w:t>CombAT</w:t>
      </w:r>
      <w:proofErr w:type="spellEnd"/>
      <w:r w:rsidRPr="00593DFC">
        <w:rPr>
          <w:rFonts w:ascii="Arial" w:hAnsi="Arial" w:cs="Arial"/>
          <w:szCs w:val="22"/>
          <w:lang w:val="el-GR"/>
        </w:rPr>
        <w:t>)</w:t>
      </w:r>
      <w:r>
        <w:rPr>
          <w:rFonts w:ascii="Arial" w:hAnsi="Arial" w:cs="Arial"/>
          <w:szCs w:val="22"/>
          <w:lang w:val="el-GR"/>
        </w:rPr>
        <w:t>, όπου</w:t>
      </w:r>
      <w:r w:rsidRPr="00593DFC">
        <w:rPr>
          <w:rFonts w:ascii="Arial" w:hAnsi="Arial" w:cs="Arial"/>
          <w:szCs w:val="22"/>
          <w:lang w:val="el-GR"/>
        </w:rPr>
        <w:t xml:space="preserve"> </w:t>
      </w:r>
      <w:r>
        <w:rPr>
          <w:rFonts w:ascii="Arial" w:hAnsi="Arial" w:cs="Arial"/>
          <w:szCs w:val="22"/>
          <w:lang w:val="el-GR"/>
        </w:rPr>
        <w:t xml:space="preserve">δεν υπήρχαν βιοψίες κατ’ </w:t>
      </w:r>
      <w:r w:rsidR="00593DFC">
        <w:rPr>
          <w:rFonts w:ascii="Arial" w:hAnsi="Arial" w:cs="Arial"/>
          <w:szCs w:val="22"/>
          <w:lang w:val="el-GR"/>
        </w:rPr>
        <w:t xml:space="preserve">εντολή του πρωτοκόλλου και όλες οι διαγνώσεις προστατικού καρκίνου βασίστηκαν </w:t>
      </w:r>
      <w:r w:rsidR="0091195B">
        <w:rPr>
          <w:rFonts w:ascii="Arial" w:hAnsi="Arial" w:cs="Arial"/>
          <w:szCs w:val="22"/>
          <w:lang w:val="el-GR"/>
        </w:rPr>
        <w:t xml:space="preserve">στις </w:t>
      </w:r>
      <w:r w:rsidR="00593DFC">
        <w:rPr>
          <w:rFonts w:ascii="Arial" w:hAnsi="Arial" w:cs="Arial"/>
          <w:szCs w:val="22"/>
          <w:lang w:val="el-GR"/>
        </w:rPr>
        <w:t>βιοψίες λόγω αιτίας</w:t>
      </w:r>
      <w:r w:rsidR="0091195B">
        <w:rPr>
          <w:rFonts w:ascii="Arial" w:hAnsi="Arial" w:cs="Arial"/>
          <w:szCs w:val="22"/>
          <w:lang w:val="el-GR"/>
        </w:rPr>
        <w:t xml:space="preserve">, τα ποσοστά του καρκίνου βαθμού </w:t>
      </w:r>
      <w:r w:rsidR="0091195B">
        <w:rPr>
          <w:rFonts w:ascii="Arial" w:hAnsi="Arial" w:cs="Arial"/>
          <w:szCs w:val="22"/>
        </w:rPr>
        <w:t>Gleason</w:t>
      </w:r>
      <w:r w:rsidR="0091195B" w:rsidRPr="0091195B">
        <w:rPr>
          <w:rFonts w:ascii="Arial" w:hAnsi="Arial" w:cs="Arial"/>
          <w:szCs w:val="22"/>
          <w:lang w:val="el-GR"/>
        </w:rPr>
        <w:t xml:space="preserve"> 8-10 </w:t>
      </w:r>
      <w:r w:rsidR="0091195B">
        <w:rPr>
          <w:rFonts w:ascii="Arial" w:hAnsi="Arial" w:cs="Arial"/>
          <w:szCs w:val="22"/>
          <w:lang w:val="el-GR"/>
        </w:rPr>
        <w:t>ήταν (</w:t>
      </w:r>
      <w:r w:rsidR="0091195B">
        <w:rPr>
          <w:rFonts w:ascii="Arial" w:hAnsi="Arial" w:cs="Arial"/>
          <w:szCs w:val="22"/>
        </w:rPr>
        <w:t>n</w:t>
      </w:r>
      <w:r w:rsidR="0091195B" w:rsidRPr="0091195B">
        <w:rPr>
          <w:rFonts w:ascii="Arial" w:hAnsi="Arial" w:cs="Arial"/>
          <w:szCs w:val="22"/>
          <w:lang w:val="el-GR"/>
        </w:rPr>
        <w:t xml:space="preserve">=8, 0.5%) </w:t>
      </w:r>
      <w:r w:rsidR="0091195B">
        <w:rPr>
          <w:rFonts w:ascii="Arial" w:hAnsi="Arial" w:cs="Arial"/>
          <w:szCs w:val="22"/>
          <w:lang w:val="el-GR"/>
        </w:rPr>
        <w:t xml:space="preserve">για την ομάδα του </w:t>
      </w:r>
      <w:proofErr w:type="spellStart"/>
      <w:r w:rsidR="0091195B">
        <w:rPr>
          <w:rFonts w:ascii="Arial" w:hAnsi="Arial" w:cs="Arial"/>
          <w:szCs w:val="22"/>
        </w:rPr>
        <w:t>Duagen</w:t>
      </w:r>
      <w:proofErr w:type="spellEnd"/>
      <w:r w:rsidR="0091195B" w:rsidRPr="0091195B">
        <w:rPr>
          <w:rFonts w:ascii="Arial" w:hAnsi="Arial" w:cs="Arial"/>
          <w:szCs w:val="22"/>
          <w:lang w:val="el-GR"/>
        </w:rPr>
        <w:t>, (</w:t>
      </w:r>
      <w:r w:rsidR="0091195B">
        <w:rPr>
          <w:rFonts w:ascii="Arial" w:hAnsi="Arial" w:cs="Arial"/>
          <w:szCs w:val="22"/>
        </w:rPr>
        <w:t>n</w:t>
      </w:r>
      <w:r w:rsidR="0091195B">
        <w:rPr>
          <w:rFonts w:ascii="Arial" w:hAnsi="Arial" w:cs="Arial"/>
          <w:szCs w:val="22"/>
          <w:lang w:val="el-GR"/>
        </w:rPr>
        <w:t>=11, 0.7%) για την ομάδα της ταμσουλοσίνης και (</w:t>
      </w:r>
      <w:r w:rsidR="0091195B">
        <w:rPr>
          <w:rFonts w:ascii="Arial" w:hAnsi="Arial" w:cs="Arial"/>
          <w:szCs w:val="22"/>
        </w:rPr>
        <w:t>n</w:t>
      </w:r>
      <w:r w:rsidR="0091195B" w:rsidRPr="0091195B">
        <w:rPr>
          <w:rFonts w:ascii="Arial" w:hAnsi="Arial" w:cs="Arial"/>
          <w:szCs w:val="22"/>
          <w:lang w:val="el-GR"/>
        </w:rPr>
        <w:t>=</w:t>
      </w:r>
      <w:r w:rsidR="0091195B">
        <w:rPr>
          <w:rFonts w:ascii="Arial" w:hAnsi="Arial" w:cs="Arial"/>
          <w:szCs w:val="22"/>
          <w:lang w:val="el-GR"/>
        </w:rPr>
        <w:t>5, 0.3%) για την συνδυαστική θεραπεία</w:t>
      </w:r>
      <w:r w:rsidR="00C47A9E">
        <w:rPr>
          <w:rFonts w:ascii="Arial" w:hAnsi="Arial" w:cs="Arial"/>
          <w:szCs w:val="22"/>
          <w:lang w:val="el-GR"/>
        </w:rPr>
        <w:t>.</w:t>
      </w:r>
    </w:p>
    <w:p w:rsidR="00183BCD" w:rsidRPr="00183BCD" w:rsidRDefault="00183BCD" w:rsidP="00666F21">
      <w:pPr>
        <w:jc w:val="both"/>
        <w:rPr>
          <w:rFonts w:ascii="Arial" w:hAnsi="Arial" w:cs="Arial"/>
          <w:szCs w:val="22"/>
          <w:lang w:val="el-GR"/>
        </w:rPr>
      </w:pPr>
      <w:r>
        <w:rPr>
          <w:rFonts w:ascii="Arial" w:hAnsi="Arial" w:cs="Arial"/>
          <w:szCs w:val="22"/>
          <w:lang w:val="el-GR"/>
        </w:rPr>
        <w:t xml:space="preserve">Η </w:t>
      </w:r>
      <w:r w:rsidR="00C47A9E">
        <w:rPr>
          <w:rFonts w:ascii="Arial" w:hAnsi="Arial" w:cs="Arial"/>
          <w:szCs w:val="22"/>
          <w:lang w:val="el-GR"/>
        </w:rPr>
        <w:t>σχέση μεταξύ του</w:t>
      </w:r>
      <w:r>
        <w:rPr>
          <w:rFonts w:ascii="Arial" w:hAnsi="Arial" w:cs="Arial"/>
          <w:szCs w:val="22"/>
          <w:lang w:val="el-GR"/>
        </w:rPr>
        <w:t xml:space="preserve"> </w:t>
      </w:r>
      <w:proofErr w:type="spellStart"/>
      <w:r>
        <w:rPr>
          <w:rFonts w:ascii="Arial" w:hAnsi="Arial" w:cs="Arial"/>
          <w:szCs w:val="22"/>
        </w:rPr>
        <w:t>Duagen</w:t>
      </w:r>
      <w:proofErr w:type="spellEnd"/>
      <w:r w:rsidRPr="00183BCD">
        <w:rPr>
          <w:rFonts w:ascii="Arial" w:hAnsi="Arial" w:cs="Arial"/>
          <w:szCs w:val="22"/>
          <w:lang w:val="el-GR"/>
        </w:rPr>
        <w:t xml:space="preserve"> </w:t>
      </w:r>
      <w:r>
        <w:rPr>
          <w:rFonts w:ascii="Arial" w:hAnsi="Arial" w:cs="Arial"/>
          <w:szCs w:val="22"/>
          <w:lang w:val="el-GR"/>
        </w:rPr>
        <w:t xml:space="preserve">και του προστατικού καρκίνου </w:t>
      </w:r>
      <w:r w:rsidR="00C47A9E">
        <w:rPr>
          <w:rFonts w:ascii="Arial" w:hAnsi="Arial" w:cs="Arial"/>
          <w:szCs w:val="22"/>
          <w:lang w:val="el-GR"/>
        </w:rPr>
        <w:t>υψηλού βαθμού κακοήθειας</w:t>
      </w:r>
      <w:r w:rsidR="00AA70C1">
        <w:rPr>
          <w:rFonts w:ascii="Arial" w:hAnsi="Arial" w:cs="Arial"/>
          <w:szCs w:val="22"/>
          <w:lang w:val="el-GR"/>
        </w:rPr>
        <w:t xml:space="preserve"> </w:t>
      </w:r>
      <w:r>
        <w:rPr>
          <w:rFonts w:ascii="Arial" w:hAnsi="Arial" w:cs="Arial"/>
          <w:szCs w:val="22"/>
          <w:lang w:val="el-GR"/>
        </w:rPr>
        <w:t>δεν είναι σαφής.</w:t>
      </w:r>
    </w:p>
    <w:p w:rsidR="00DC1A78" w:rsidRPr="00263F10" w:rsidRDefault="00DC1A78" w:rsidP="00263F10">
      <w:pPr>
        <w:ind w:right="-11"/>
        <w:jc w:val="both"/>
        <w:rPr>
          <w:rFonts w:ascii="Arial" w:hAnsi="Arial" w:cs="Arial"/>
          <w:lang w:val="el-GR"/>
        </w:rPr>
      </w:pPr>
    </w:p>
    <w:p w:rsidR="0078689F" w:rsidRPr="00AD0457" w:rsidRDefault="0078689F" w:rsidP="00A067F0">
      <w:pPr>
        <w:ind w:left="567" w:right="-11" w:hanging="567"/>
        <w:jc w:val="both"/>
        <w:rPr>
          <w:rFonts w:ascii="Arial" w:hAnsi="Arial" w:cs="Arial"/>
          <w:lang w:val="el-GR"/>
        </w:rPr>
      </w:pPr>
      <w:r w:rsidRPr="00AD0457">
        <w:rPr>
          <w:rFonts w:ascii="Arial" w:hAnsi="Arial" w:cs="Arial"/>
          <w:b/>
          <w:lang w:val="el-GR"/>
        </w:rPr>
        <w:t>5.2</w:t>
      </w:r>
      <w:r w:rsidRPr="00AD0457">
        <w:rPr>
          <w:rFonts w:ascii="Arial" w:hAnsi="Arial" w:cs="Arial"/>
          <w:b/>
          <w:lang w:val="el-GR"/>
        </w:rPr>
        <w:tab/>
        <w:t>Φαρμακοκινητικές ιδιότητες</w:t>
      </w:r>
    </w:p>
    <w:p w:rsidR="0078689F" w:rsidRPr="00AD0457" w:rsidRDefault="0078689F" w:rsidP="00A067F0">
      <w:pPr>
        <w:ind w:right="-11"/>
        <w:jc w:val="both"/>
        <w:rPr>
          <w:rFonts w:ascii="Arial" w:hAnsi="Arial" w:cs="Arial"/>
          <w:lang w:val="el-GR"/>
        </w:rPr>
      </w:pPr>
    </w:p>
    <w:p w:rsidR="0078689F" w:rsidRPr="00AD0457" w:rsidRDefault="0078689F" w:rsidP="00A067F0">
      <w:pPr>
        <w:pStyle w:val="2"/>
        <w:ind w:right="-11"/>
        <w:jc w:val="both"/>
        <w:rPr>
          <w:rFonts w:ascii="Arial" w:hAnsi="Arial" w:cs="Arial"/>
          <w:i/>
        </w:rPr>
      </w:pPr>
      <w:r w:rsidRPr="00AD0457">
        <w:rPr>
          <w:rFonts w:ascii="Arial" w:hAnsi="Arial" w:cs="Arial"/>
          <w:i/>
        </w:rPr>
        <w:t>Απορρόφηση</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Μετά την χορήγηση μιας δόσης 0.5 </w:t>
      </w:r>
      <w:r w:rsidRPr="00AD0457">
        <w:rPr>
          <w:rFonts w:ascii="Arial" w:hAnsi="Arial" w:cs="Arial"/>
        </w:rPr>
        <w:t>mg</w:t>
      </w:r>
      <w:r w:rsidRPr="00AD0457">
        <w:rPr>
          <w:rFonts w:ascii="Arial" w:hAnsi="Arial" w:cs="Arial"/>
          <w:lang w:val="el-GR"/>
        </w:rPr>
        <w:t xml:space="preserve"> </w:t>
      </w:r>
      <w:r w:rsidR="000F6CBD" w:rsidRPr="000F6CBD">
        <w:rPr>
          <w:rFonts w:ascii="Arial" w:hAnsi="Arial" w:cs="Arial"/>
          <w:lang w:val="el-GR"/>
        </w:rPr>
        <w:t>ντουταστερίδη</w:t>
      </w:r>
      <w:r w:rsidR="00571FDA">
        <w:rPr>
          <w:rFonts w:ascii="Arial" w:hAnsi="Arial" w:cs="Arial"/>
          <w:lang w:val="el-GR"/>
        </w:rPr>
        <w:t>ς</w:t>
      </w:r>
      <w:r w:rsidRPr="00AD0457">
        <w:rPr>
          <w:rFonts w:ascii="Arial" w:hAnsi="Arial" w:cs="Arial"/>
          <w:lang w:val="el-GR"/>
        </w:rPr>
        <w:t xml:space="preserve">, ο χρόνος επίτευξης μέγιστων συγκεντρώσεων στον ορό κυμαίνεται </w:t>
      </w:r>
      <w:r w:rsidR="002A790F" w:rsidRPr="00AD0457">
        <w:rPr>
          <w:rFonts w:ascii="Arial" w:hAnsi="Arial" w:cs="Arial"/>
          <w:lang w:val="el-GR"/>
        </w:rPr>
        <w:t>από</w:t>
      </w:r>
      <w:r w:rsidRPr="00AD0457">
        <w:rPr>
          <w:rFonts w:ascii="Arial" w:hAnsi="Arial" w:cs="Arial"/>
          <w:lang w:val="el-GR"/>
        </w:rPr>
        <w:t xml:space="preserve"> 1 </w:t>
      </w:r>
      <w:r w:rsidR="002A790F" w:rsidRPr="00AD0457">
        <w:rPr>
          <w:rFonts w:ascii="Arial" w:hAnsi="Arial" w:cs="Arial"/>
          <w:lang w:val="el-GR"/>
        </w:rPr>
        <w:t>έως</w:t>
      </w:r>
      <w:r w:rsidRPr="00AD0457">
        <w:rPr>
          <w:rFonts w:ascii="Arial" w:hAnsi="Arial" w:cs="Arial"/>
          <w:lang w:val="el-GR"/>
        </w:rPr>
        <w:t xml:space="preserve"> 3 </w:t>
      </w:r>
      <w:r w:rsidR="002A790F" w:rsidRPr="00AD0457">
        <w:rPr>
          <w:rFonts w:ascii="Arial" w:hAnsi="Arial" w:cs="Arial"/>
          <w:lang w:val="el-GR"/>
        </w:rPr>
        <w:t>ώρες</w:t>
      </w:r>
      <w:r w:rsidRPr="00AD0457">
        <w:rPr>
          <w:rFonts w:ascii="Arial" w:hAnsi="Arial" w:cs="Arial"/>
          <w:lang w:val="el-GR"/>
        </w:rPr>
        <w:t xml:space="preserve">. Η απόλυτη βιοδιαθεσιμότητα είναι περίπου το 60%. Η βιοδιαθεσιμότητα </w:t>
      </w:r>
      <w:r w:rsidR="00C41782">
        <w:rPr>
          <w:rFonts w:ascii="Arial" w:hAnsi="Arial" w:cs="Arial"/>
          <w:lang w:val="el-GR"/>
        </w:rPr>
        <w:t>της ντουταστερίδης</w:t>
      </w:r>
      <w:r w:rsidRPr="00AD0457">
        <w:rPr>
          <w:rFonts w:ascii="Arial" w:hAnsi="Arial" w:cs="Arial"/>
          <w:lang w:val="el-GR"/>
        </w:rPr>
        <w:t xml:space="preserve"> δεν επηρεάζεται από την παρουσία τροφής. </w:t>
      </w:r>
    </w:p>
    <w:p w:rsidR="0078689F" w:rsidRPr="00AD0457" w:rsidRDefault="0078689F" w:rsidP="00A067F0">
      <w:pPr>
        <w:pStyle w:val="2"/>
        <w:ind w:right="-11"/>
        <w:jc w:val="both"/>
        <w:rPr>
          <w:rFonts w:ascii="Arial" w:hAnsi="Arial" w:cs="Arial"/>
        </w:rPr>
      </w:pPr>
    </w:p>
    <w:p w:rsidR="0078689F" w:rsidRPr="00AD0457" w:rsidRDefault="0078689F" w:rsidP="00A067F0">
      <w:pPr>
        <w:pStyle w:val="2"/>
        <w:ind w:right="-11"/>
        <w:jc w:val="both"/>
        <w:rPr>
          <w:rFonts w:ascii="Arial" w:hAnsi="Arial" w:cs="Arial"/>
          <w:i/>
        </w:rPr>
      </w:pPr>
      <w:r w:rsidRPr="00AD0457">
        <w:rPr>
          <w:rFonts w:ascii="Arial" w:hAnsi="Arial" w:cs="Arial"/>
          <w:i/>
        </w:rPr>
        <w:t>Κατανομή</w:t>
      </w:r>
    </w:p>
    <w:p w:rsidR="0078689F" w:rsidRPr="00AD0457" w:rsidRDefault="00D15BC6" w:rsidP="00A067F0">
      <w:pPr>
        <w:ind w:right="-11"/>
        <w:jc w:val="both"/>
        <w:rPr>
          <w:rFonts w:ascii="Arial" w:hAnsi="Arial" w:cs="Arial"/>
          <w:lang w:val="el-GR"/>
        </w:rPr>
      </w:pPr>
      <w:r>
        <w:rPr>
          <w:rFonts w:ascii="Arial" w:hAnsi="Arial" w:cs="Arial"/>
        </w:rPr>
        <w:t>H</w:t>
      </w:r>
      <w:r w:rsidRPr="00AD0457">
        <w:rPr>
          <w:rFonts w:ascii="Arial" w:hAnsi="Arial" w:cs="Arial"/>
          <w:lang w:val="el-GR"/>
        </w:rPr>
        <w:t xml:space="preserve"> </w:t>
      </w:r>
      <w:r w:rsidR="000F6CBD" w:rsidRPr="000F6CBD">
        <w:rPr>
          <w:rFonts w:ascii="Arial" w:hAnsi="Arial" w:cs="Arial"/>
          <w:lang w:val="el-GR"/>
        </w:rPr>
        <w:t>ντουταστερίδη</w:t>
      </w:r>
      <w:r w:rsidR="0078689F" w:rsidRPr="00AD0457">
        <w:rPr>
          <w:rFonts w:ascii="Arial" w:hAnsi="Arial" w:cs="Arial"/>
          <w:lang w:val="el-GR"/>
        </w:rPr>
        <w:t xml:space="preserve"> έχει μεγάλο όγκο κατανομής (300 έως 500 </w:t>
      </w:r>
      <w:r w:rsidR="0078689F" w:rsidRPr="00AD0457">
        <w:rPr>
          <w:rFonts w:ascii="Arial" w:hAnsi="Arial" w:cs="Arial"/>
        </w:rPr>
        <w:t>L</w:t>
      </w:r>
      <w:r w:rsidR="0078689F" w:rsidRPr="00AD0457">
        <w:rPr>
          <w:rFonts w:ascii="Arial" w:hAnsi="Arial" w:cs="Arial"/>
          <w:lang w:val="el-GR"/>
        </w:rPr>
        <w:t xml:space="preserve">) και συνδέεται σε μεγάλο βαθμό προς τις πρωτεΐνες του πλάσματος (&gt;99.5%). Μετά από καθημερινή χορήγηση, η συγκέντρωση </w:t>
      </w:r>
      <w:r w:rsidR="00C41782">
        <w:rPr>
          <w:rFonts w:ascii="Arial" w:hAnsi="Arial" w:cs="Arial"/>
          <w:lang w:val="el-GR"/>
        </w:rPr>
        <w:t>της ντουταστερίδης</w:t>
      </w:r>
      <w:r w:rsidR="0078689F" w:rsidRPr="00AD0457">
        <w:rPr>
          <w:rFonts w:ascii="Arial" w:hAnsi="Arial" w:cs="Arial"/>
          <w:lang w:val="el-GR"/>
        </w:rPr>
        <w:t xml:space="preserve"> στον ορό φθάνει στο 65% της τιμής της σταθεροποιημένης κατάστασης μετά από 1 μήνα και σχεδόν στο 90% μετά 3 μήνες.</w:t>
      </w:r>
    </w:p>
    <w:p w:rsidR="0078689F" w:rsidRPr="00AD0457" w:rsidRDefault="0078689F" w:rsidP="00A067F0">
      <w:pPr>
        <w:ind w:right="-11"/>
        <w:jc w:val="both"/>
        <w:rPr>
          <w:rFonts w:ascii="Arial" w:hAnsi="Arial" w:cs="Arial"/>
          <w:lang w:val="el-GR"/>
        </w:rPr>
      </w:pPr>
      <w:r w:rsidRPr="00AD0457">
        <w:rPr>
          <w:rFonts w:ascii="Arial" w:hAnsi="Arial" w:cs="Arial"/>
          <w:lang w:val="el-GR"/>
        </w:rPr>
        <w:t>Η συγκέντρωση σε σταθεροποιημένη κατάσταση (</w:t>
      </w:r>
      <w:proofErr w:type="spellStart"/>
      <w:r w:rsidRPr="00AD0457">
        <w:rPr>
          <w:rFonts w:ascii="Arial" w:hAnsi="Arial" w:cs="Arial"/>
        </w:rPr>
        <w:t>C</w:t>
      </w:r>
      <w:r w:rsidRPr="00AD0457">
        <w:rPr>
          <w:rFonts w:ascii="Arial" w:hAnsi="Arial" w:cs="Arial"/>
          <w:vertAlign w:val="subscript"/>
        </w:rPr>
        <w:t>ss</w:t>
      </w:r>
      <w:proofErr w:type="spellEnd"/>
      <w:r w:rsidRPr="00AD0457">
        <w:rPr>
          <w:rFonts w:ascii="Arial" w:hAnsi="Arial" w:cs="Arial"/>
          <w:lang w:val="el-GR"/>
        </w:rPr>
        <w:t>), περ</w:t>
      </w:r>
      <w:r w:rsidR="00571FDA">
        <w:rPr>
          <w:rFonts w:ascii="Arial" w:hAnsi="Arial" w:cs="Arial"/>
          <w:lang w:val="el-GR"/>
        </w:rPr>
        <w:t>ίπου 40</w:t>
      </w:r>
      <w:proofErr w:type="spellStart"/>
      <w:r w:rsidRPr="00AD0457">
        <w:rPr>
          <w:rFonts w:ascii="Arial" w:hAnsi="Arial" w:cs="Arial"/>
        </w:rPr>
        <w:t>ng</w:t>
      </w:r>
      <w:proofErr w:type="spellEnd"/>
      <w:r w:rsidRPr="00AD0457">
        <w:rPr>
          <w:rFonts w:ascii="Arial" w:hAnsi="Arial" w:cs="Arial"/>
          <w:lang w:val="el-GR"/>
        </w:rPr>
        <w:t>/</w:t>
      </w:r>
      <w:r w:rsidRPr="00AD0457">
        <w:rPr>
          <w:rFonts w:ascii="Arial" w:hAnsi="Arial" w:cs="Arial"/>
        </w:rPr>
        <w:t>ml</w:t>
      </w:r>
      <w:r w:rsidRPr="00AD0457">
        <w:rPr>
          <w:rFonts w:ascii="Arial" w:hAnsi="Arial" w:cs="Arial"/>
          <w:lang w:val="el-GR"/>
        </w:rPr>
        <w:t xml:space="preserve">, επιτυγχάνεται μετά από 6 μήνες καθημερινής χρήσης σε δόση 0.5 </w:t>
      </w:r>
      <w:r w:rsidRPr="00AD0457">
        <w:rPr>
          <w:rFonts w:ascii="Arial" w:hAnsi="Arial" w:cs="Arial"/>
        </w:rPr>
        <w:t>mg</w:t>
      </w:r>
      <w:r w:rsidRPr="00AD0457">
        <w:rPr>
          <w:rFonts w:ascii="Arial" w:hAnsi="Arial" w:cs="Arial"/>
          <w:lang w:val="el-GR"/>
        </w:rPr>
        <w:t xml:space="preserve">. Η μέση κλασματική κατανομή από τον ορό προς το σπέρμα </w:t>
      </w:r>
      <w:r w:rsidR="00C41782">
        <w:rPr>
          <w:rFonts w:ascii="Arial" w:hAnsi="Arial" w:cs="Arial"/>
          <w:lang w:val="el-GR"/>
        </w:rPr>
        <w:t>της ντουταστερίδης</w:t>
      </w:r>
      <w:r w:rsidRPr="00AD0457">
        <w:rPr>
          <w:rFonts w:ascii="Arial" w:hAnsi="Arial" w:cs="Arial"/>
          <w:lang w:val="el-GR"/>
        </w:rPr>
        <w:t xml:space="preserve"> είναι 11.5%</w:t>
      </w:r>
    </w:p>
    <w:p w:rsidR="0078689F" w:rsidRPr="00AD0457" w:rsidRDefault="0078689F" w:rsidP="00A067F0">
      <w:pPr>
        <w:ind w:right="-11"/>
        <w:jc w:val="both"/>
        <w:rPr>
          <w:rFonts w:ascii="Arial" w:hAnsi="Arial" w:cs="Arial"/>
          <w:lang w:val="el-GR"/>
        </w:rPr>
      </w:pPr>
    </w:p>
    <w:p w:rsidR="0078689F" w:rsidRPr="00AD0457" w:rsidRDefault="0078689F" w:rsidP="00A067F0">
      <w:pPr>
        <w:pStyle w:val="2"/>
        <w:ind w:right="-11"/>
        <w:jc w:val="both"/>
        <w:rPr>
          <w:rFonts w:ascii="Arial" w:hAnsi="Arial" w:cs="Arial"/>
          <w:i/>
        </w:rPr>
      </w:pPr>
      <w:r w:rsidRPr="00AD0457">
        <w:rPr>
          <w:rFonts w:ascii="Arial" w:hAnsi="Arial" w:cs="Arial"/>
          <w:i/>
        </w:rPr>
        <w:t>Αποβολή</w:t>
      </w:r>
    </w:p>
    <w:p w:rsidR="0078689F" w:rsidRPr="00AD0457" w:rsidRDefault="00571FDA" w:rsidP="00A067F0">
      <w:pPr>
        <w:ind w:right="-11"/>
        <w:jc w:val="both"/>
        <w:rPr>
          <w:rFonts w:ascii="Arial" w:hAnsi="Arial" w:cs="Arial"/>
          <w:lang w:val="el-GR"/>
        </w:rPr>
      </w:pPr>
      <w:r>
        <w:rPr>
          <w:rFonts w:ascii="Arial" w:hAnsi="Arial" w:cs="Arial"/>
          <w:lang w:val="el-GR"/>
        </w:rPr>
        <w:t>Η</w:t>
      </w:r>
      <w:r w:rsidR="0078689F" w:rsidRPr="00AD0457">
        <w:rPr>
          <w:rFonts w:ascii="Arial" w:hAnsi="Arial" w:cs="Arial"/>
          <w:lang w:val="el-GR"/>
        </w:rPr>
        <w:t xml:space="preserve"> </w:t>
      </w:r>
      <w:r w:rsidR="000F6CBD" w:rsidRPr="000F6CBD">
        <w:rPr>
          <w:rFonts w:ascii="Arial" w:hAnsi="Arial" w:cs="Arial"/>
          <w:lang w:val="el-GR"/>
        </w:rPr>
        <w:t>ντουταστερίδη</w:t>
      </w:r>
      <w:r>
        <w:rPr>
          <w:rFonts w:ascii="Arial" w:hAnsi="Arial" w:cs="Arial"/>
          <w:lang w:val="el-GR"/>
        </w:rPr>
        <w:t xml:space="preserve"> </w:t>
      </w:r>
      <w:r w:rsidR="0078689F" w:rsidRPr="00AD0457">
        <w:rPr>
          <w:rFonts w:ascii="Arial" w:hAnsi="Arial" w:cs="Arial"/>
          <w:lang w:val="el-GR"/>
        </w:rPr>
        <w:t xml:space="preserve">μεταβολίζεται εκτεταμένα </w:t>
      </w:r>
      <w:r w:rsidR="0078689F" w:rsidRPr="002B3182">
        <w:rPr>
          <w:rFonts w:ascii="Arial" w:hAnsi="Arial" w:cs="Arial"/>
          <w:i/>
        </w:rPr>
        <w:t>in</w:t>
      </w:r>
      <w:r w:rsidR="0078689F" w:rsidRPr="002B3182">
        <w:rPr>
          <w:rFonts w:ascii="Arial" w:hAnsi="Arial" w:cs="Arial"/>
          <w:i/>
          <w:lang w:val="el-GR"/>
        </w:rPr>
        <w:t xml:space="preserve"> </w:t>
      </w:r>
      <w:r w:rsidR="0078689F" w:rsidRPr="002B3182">
        <w:rPr>
          <w:rFonts w:ascii="Arial" w:hAnsi="Arial" w:cs="Arial"/>
          <w:i/>
        </w:rPr>
        <w:t>vivo</w:t>
      </w:r>
      <w:r w:rsidR="0078689F" w:rsidRPr="00AD0457">
        <w:rPr>
          <w:rFonts w:ascii="Arial" w:hAnsi="Arial" w:cs="Arial"/>
          <w:lang w:val="el-GR"/>
        </w:rPr>
        <w:t xml:space="preserve">. </w:t>
      </w:r>
      <w:r w:rsidR="0078689F" w:rsidRPr="00AD0457">
        <w:rPr>
          <w:rFonts w:ascii="Arial" w:hAnsi="Arial" w:cs="Arial"/>
          <w:i/>
        </w:rPr>
        <w:t>In</w:t>
      </w:r>
      <w:r w:rsidR="0078689F" w:rsidRPr="00AD0457">
        <w:rPr>
          <w:rFonts w:ascii="Arial" w:hAnsi="Arial" w:cs="Arial"/>
          <w:i/>
          <w:lang w:val="el-GR"/>
        </w:rPr>
        <w:t xml:space="preserve"> </w:t>
      </w:r>
      <w:r w:rsidR="0078689F" w:rsidRPr="00AD0457">
        <w:rPr>
          <w:rFonts w:ascii="Arial" w:hAnsi="Arial" w:cs="Arial"/>
          <w:i/>
        </w:rPr>
        <w:t>vitro</w:t>
      </w:r>
      <w:r w:rsidR="0078689F" w:rsidRPr="00AD0457">
        <w:rPr>
          <w:rFonts w:ascii="Arial" w:hAnsi="Arial" w:cs="Arial"/>
          <w:lang w:val="el-GR"/>
        </w:rPr>
        <w:t xml:space="preserve">, </w:t>
      </w:r>
      <w:r>
        <w:rPr>
          <w:rFonts w:ascii="Arial" w:hAnsi="Arial" w:cs="Arial"/>
          <w:lang w:val="el-GR"/>
        </w:rPr>
        <w:t>η</w:t>
      </w:r>
      <w:r w:rsidR="0078689F" w:rsidRPr="00AD0457">
        <w:rPr>
          <w:rFonts w:ascii="Arial" w:hAnsi="Arial" w:cs="Arial"/>
          <w:lang w:val="el-GR"/>
        </w:rPr>
        <w:t xml:space="preserve"> </w:t>
      </w:r>
      <w:r w:rsidR="000F6CBD" w:rsidRPr="000F6CBD">
        <w:rPr>
          <w:rFonts w:ascii="Arial" w:hAnsi="Arial" w:cs="Arial"/>
          <w:lang w:val="el-GR"/>
        </w:rPr>
        <w:t>ντουταστερίδη</w:t>
      </w:r>
      <w:r w:rsidR="0078689F" w:rsidRPr="00AD0457">
        <w:rPr>
          <w:rFonts w:ascii="Arial" w:hAnsi="Arial" w:cs="Arial"/>
          <w:lang w:val="el-GR"/>
        </w:rPr>
        <w:t xml:space="preserve"> μεταβολίζεται από το κυττόχρωμα </w:t>
      </w:r>
      <w:r w:rsidR="0078689F" w:rsidRPr="00AD0457">
        <w:rPr>
          <w:rFonts w:ascii="Arial" w:hAnsi="Arial" w:cs="Arial"/>
        </w:rPr>
        <w:t>P</w:t>
      </w:r>
      <w:r w:rsidR="0078689F" w:rsidRPr="00AD0457">
        <w:rPr>
          <w:rFonts w:ascii="Arial" w:hAnsi="Arial" w:cs="Arial"/>
          <w:lang w:val="el-GR"/>
        </w:rPr>
        <w:t>450 3</w:t>
      </w:r>
      <w:r w:rsidR="0078689F" w:rsidRPr="00AD0457">
        <w:rPr>
          <w:rFonts w:ascii="Arial" w:hAnsi="Arial" w:cs="Arial"/>
        </w:rPr>
        <w:t>A</w:t>
      </w:r>
      <w:r w:rsidR="0078689F" w:rsidRPr="00AD0457">
        <w:rPr>
          <w:rFonts w:ascii="Arial" w:hAnsi="Arial" w:cs="Arial"/>
          <w:lang w:val="el-GR"/>
        </w:rPr>
        <w:t xml:space="preserve">4 και 3Α5 σε τρεις μονοϋδροξυλιωμένους μεταβολίτες και ένα διϋδροξυλιωμένο μεταβολίτη. </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Μετά από χορήγηση από το στόμα σε ημερήσια δόση 0.5 </w:t>
      </w:r>
      <w:r w:rsidRPr="00AD0457">
        <w:rPr>
          <w:rFonts w:ascii="Arial" w:hAnsi="Arial" w:cs="Arial"/>
        </w:rPr>
        <w:t>mg</w:t>
      </w:r>
      <w:r w:rsidRPr="00AD0457">
        <w:rPr>
          <w:rFonts w:ascii="Arial" w:hAnsi="Arial" w:cs="Arial"/>
          <w:lang w:val="el-GR"/>
        </w:rPr>
        <w:t xml:space="preserve"> έως την επίτευξη σταθεροποιημένης κατάστασης, ποσοστό 1.0% έως 15.4% (μέση τιμή 5.4%) της χορηγούμενης ποσότητας αποβάλλεται ως </w:t>
      </w:r>
      <w:r w:rsidR="00DA5539" w:rsidRPr="00AD0457">
        <w:rPr>
          <w:rFonts w:ascii="Arial" w:hAnsi="Arial" w:cs="Arial"/>
          <w:lang w:val="el-GR"/>
        </w:rPr>
        <w:t>αυτούσι</w:t>
      </w:r>
      <w:r w:rsidR="00DA5539">
        <w:rPr>
          <w:rFonts w:ascii="Arial" w:hAnsi="Arial" w:cs="Arial"/>
          <w:lang w:val="el-GR"/>
        </w:rPr>
        <w:t>α</w:t>
      </w:r>
      <w:r w:rsidR="00DA5539" w:rsidRPr="00AD0457">
        <w:rPr>
          <w:rFonts w:ascii="Arial" w:hAnsi="Arial" w:cs="Arial"/>
          <w:lang w:val="el-GR"/>
        </w:rPr>
        <w:t xml:space="preserve"> </w:t>
      </w:r>
      <w:r w:rsidR="000F6CBD" w:rsidRPr="000F6CBD">
        <w:rPr>
          <w:rFonts w:ascii="Arial" w:hAnsi="Arial" w:cs="Arial"/>
          <w:lang w:val="el-GR"/>
        </w:rPr>
        <w:t>ντουταστερίδη</w:t>
      </w:r>
      <w:r w:rsidRPr="00AD0457">
        <w:rPr>
          <w:rFonts w:ascii="Arial" w:hAnsi="Arial" w:cs="Arial"/>
          <w:lang w:val="el-GR"/>
        </w:rPr>
        <w:t xml:space="preserve"> με τα κόπρανα. </w:t>
      </w:r>
      <w:r w:rsidR="00DA5539">
        <w:rPr>
          <w:rFonts w:ascii="Arial" w:hAnsi="Arial" w:cs="Arial"/>
          <w:lang w:val="el-GR"/>
        </w:rPr>
        <w:t>Η</w:t>
      </w:r>
      <w:r w:rsidR="00DA5539" w:rsidRPr="00AD0457">
        <w:rPr>
          <w:rFonts w:ascii="Arial" w:hAnsi="Arial" w:cs="Arial"/>
          <w:lang w:val="el-GR"/>
        </w:rPr>
        <w:t xml:space="preserve"> </w:t>
      </w:r>
      <w:r w:rsidRPr="00AD0457">
        <w:rPr>
          <w:rFonts w:ascii="Arial" w:hAnsi="Arial" w:cs="Arial"/>
          <w:lang w:val="el-GR"/>
        </w:rPr>
        <w:t>υπόλοιπ</w:t>
      </w:r>
      <w:r w:rsidR="00DA5539">
        <w:rPr>
          <w:rFonts w:ascii="Arial" w:hAnsi="Arial" w:cs="Arial"/>
          <w:lang w:val="el-GR"/>
        </w:rPr>
        <w:t xml:space="preserve">η </w:t>
      </w:r>
      <w:r w:rsidRPr="00AD0457">
        <w:rPr>
          <w:rFonts w:ascii="Arial" w:hAnsi="Arial" w:cs="Arial"/>
          <w:lang w:val="el-GR"/>
        </w:rPr>
        <w:t>αποβάλλεται στα κόπρανα με την μορφή 4 κύριων μεταβολιτών, οι οποίοι αποτελούν το 39%, 21%, 7% και 7% της ποσότητας και 6 ελασσόνων μεταβολιτών (ο καθένας σε αναλογία μικρότερη του 5%). Στον άνθρωπο, μόνον ίχνη αναλλοίω</w:t>
      </w:r>
      <w:r w:rsidR="00C41782">
        <w:rPr>
          <w:rFonts w:ascii="Arial" w:hAnsi="Arial" w:cs="Arial"/>
          <w:lang w:val="el-GR"/>
        </w:rPr>
        <w:t>της ντουταστερίδης</w:t>
      </w:r>
      <w:r w:rsidRPr="00AD0457">
        <w:rPr>
          <w:rFonts w:ascii="Arial" w:hAnsi="Arial" w:cs="Arial"/>
          <w:lang w:val="el-GR"/>
        </w:rPr>
        <w:t xml:space="preserve"> (ποσοστό μικρότερο του 0.1% της δόσης) ανιχνεύονται στα ούρα.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κάθαρση </w:t>
      </w:r>
      <w:r w:rsidR="00C41782">
        <w:rPr>
          <w:rFonts w:ascii="Arial" w:hAnsi="Arial" w:cs="Arial"/>
          <w:lang w:val="el-GR"/>
        </w:rPr>
        <w:t>της ντουταστερίδης</w:t>
      </w:r>
      <w:r w:rsidRPr="00AD0457">
        <w:rPr>
          <w:rFonts w:ascii="Arial" w:hAnsi="Arial" w:cs="Arial"/>
          <w:lang w:val="el-GR"/>
        </w:rPr>
        <w:t xml:space="preserve"> είναι δοσοεξαρτώμενη και η διαδικασία μπορεί να περιγραφεί με δύο παράλληλες οδούς αποβολής, από τις οποίες η μία εμφανίζει σημεία κορεσμού σε κλινικά σχετικές συγκεντρώσεις, ενώ η άλλη όχι.</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Με μικρές συγκεντρώσεις ορού (κάτω των 3 </w:t>
      </w:r>
      <w:proofErr w:type="spellStart"/>
      <w:r w:rsidRPr="00AD0457">
        <w:rPr>
          <w:rFonts w:ascii="Arial" w:hAnsi="Arial" w:cs="Arial"/>
        </w:rPr>
        <w:t>ng</w:t>
      </w:r>
      <w:proofErr w:type="spellEnd"/>
      <w:r w:rsidRPr="00AD0457">
        <w:rPr>
          <w:rFonts w:ascii="Arial" w:hAnsi="Arial" w:cs="Arial"/>
          <w:lang w:val="el-GR"/>
        </w:rPr>
        <w:t>/</w:t>
      </w:r>
      <w:r w:rsidRPr="00AD0457">
        <w:rPr>
          <w:rFonts w:ascii="Arial" w:hAnsi="Arial" w:cs="Arial"/>
        </w:rPr>
        <w:t>ml</w:t>
      </w:r>
      <w:r w:rsidRPr="00AD0457">
        <w:rPr>
          <w:rFonts w:ascii="Arial" w:hAnsi="Arial" w:cs="Arial"/>
          <w:lang w:val="el-GR"/>
        </w:rPr>
        <w:t xml:space="preserve">), </w:t>
      </w:r>
      <w:r w:rsidR="00571FDA">
        <w:rPr>
          <w:rFonts w:ascii="Arial" w:hAnsi="Arial" w:cs="Arial"/>
          <w:lang w:val="el-GR"/>
        </w:rPr>
        <w:t>η</w:t>
      </w:r>
      <w:r w:rsidRPr="00AD0457">
        <w:rPr>
          <w:rFonts w:ascii="Arial" w:hAnsi="Arial" w:cs="Arial"/>
          <w:lang w:val="el-GR"/>
        </w:rPr>
        <w:t xml:space="preserve"> </w:t>
      </w:r>
      <w:r w:rsidR="000F6CBD" w:rsidRPr="000F6CBD">
        <w:rPr>
          <w:rFonts w:ascii="Arial" w:hAnsi="Arial" w:cs="Arial"/>
          <w:lang w:val="el-GR"/>
        </w:rPr>
        <w:t>ντουταστερίδη</w:t>
      </w:r>
      <w:r w:rsidRPr="00AD0457">
        <w:rPr>
          <w:rFonts w:ascii="Arial" w:hAnsi="Arial" w:cs="Arial"/>
          <w:lang w:val="el-GR"/>
        </w:rPr>
        <w:t xml:space="preserve"> </w:t>
      </w:r>
      <w:r w:rsidR="00571FDA">
        <w:rPr>
          <w:rFonts w:ascii="Arial" w:hAnsi="Arial" w:cs="Arial"/>
          <w:lang w:val="el-GR"/>
        </w:rPr>
        <w:t>αποβάλλεται</w:t>
      </w:r>
      <w:r w:rsidRPr="00AD0457">
        <w:rPr>
          <w:rFonts w:ascii="Arial" w:hAnsi="Arial" w:cs="Arial"/>
          <w:lang w:val="el-GR"/>
        </w:rPr>
        <w:t xml:space="preserve"> ταχύτατα </w:t>
      </w:r>
      <w:r w:rsidR="00571FDA">
        <w:rPr>
          <w:rFonts w:ascii="Arial" w:hAnsi="Arial" w:cs="Arial"/>
          <w:lang w:val="el-GR"/>
        </w:rPr>
        <w:t>μέσω και των</w:t>
      </w:r>
      <w:r w:rsidRPr="00AD0457">
        <w:rPr>
          <w:rFonts w:ascii="Arial" w:hAnsi="Arial" w:cs="Arial"/>
          <w:lang w:val="el-GR"/>
        </w:rPr>
        <w:t xml:space="preserve"> δύο </w:t>
      </w:r>
      <w:r w:rsidR="00571FDA">
        <w:rPr>
          <w:rFonts w:ascii="Arial" w:hAnsi="Arial" w:cs="Arial"/>
          <w:lang w:val="el-GR"/>
        </w:rPr>
        <w:t xml:space="preserve">μεταβολικών </w:t>
      </w:r>
      <w:r w:rsidRPr="00AD0457">
        <w:rPr>
          <w:rFonts w:ascii="Arial" w:hAnsi="Arial" w:cs="Arial"/>
          <w:lang w:val="el-GR"/>
        </w:rPr>
        <w:t>οδ</w:t>
      </w:r>
      <w:r w:rsidR="00571FDA">
        <w:rPr>
          <w:rFonts w:ascii="Arial" w:hAnsi="Arial" w:cs="Arial"/>
          <w:lang w:val="el-GR"/>
        </w:rPr>
        <w:t>ών</w:t>
      </w:r>
      <w:r w:rsidR="00BE06C3">
        <w:rPr>
          <w:rFonts w:ascii="Arial" w:hAnsi="Arial" w:cs="Arial"/>
          <w:lang w:val="el-GR"/>
        </w:rPr>
        <w:t>, δηλαδή</w:t>
      </w:r>
      <w:r w:rsidRPr="00AD0457">
        <w:rPr>
          <w:rFonts w:ascii="Arial" w:hAnsi="Arial" w:cs="Arial"/>
          <w:lang w:val="el-GR"/>
        </w:rPr>
        <w:t xml:space="preserve"> </w:t>
      </w:r>
      <w:r w:rsidR="003C53DE" w:rsidRPr="00AD0457">
        <w:rPr>
          <w:rFonts w:ascii="Arial" w:hAnsi="Arial" w:cs="Arial"/>
          <w:lang w:val="el-GR"/>
        </w:rPr>
        <w:t>τ</w:t>
      </w:r>
      <w:r w:rsidRPr="00AD0457">
        <w:rPr>
          <w:rFonts w:ascii="Arial" w:hAnsi="Arial" w:cs="Arial"/>
          <w:lang w:val="el-GR"/>
        </w:rPr>
        <w:t xml:space="preserve">όσο μέσω της εξαρτώμενης από την συγκέντρωση όσο και μέσω της μη εξαρτώμενης από την συγκέντρωση μεταβολικής οδού. Απλές δόσεις των 5 </w:t>
      </w:r>
      <w:r w:rsidRPr="00AD0457">
        <w:rPr>
          <w:rFonts w:ascii="Arial" w:hAnsi="Arial" w:cs="Arial"/>
        </w:rPr>
        <w:t>mg</w:t>
      </w:r>
      <w:r w:rsidRPr="00AD0457">
        <w:rPr>
          <w:rFonts w:ascii="Arial" w:hAnsi="Arial" w:cs="Arial"/>
          <w:lang w:val="el-GR"/>
        </w:rPr>
        <w:t xml:space="preserve"> ή μικρότερες, έδειξαν σημεία </w:t>
      </w:r>
      <w:r w:rsidR="003C53DE" w:rsidRPr="00AD0457">
        <w:rPr>
          <w:rFonts w:ascii="Arial" w:hAnsi="Arial" w:cs="Arial"/>
          <w:lang w:val="el-GR"/>
        </w:rPr>
        <w:t xml:space="preserve">ταχείας </w:t>
      </w:r>
      <w:r w:rsidRPr="00AD0457">
        <w:rPr>
          <w:rFonts w:ascii="Arial" w:hAnsi="Arial" w:cs="Arial"/>
          <w:lang w:val="el-GR"/>
        </w:rPr>
        <w:t>αποβολής και βραχύ χρόνο ημιζωής από 3 έως 9 ημέρες.</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Σε θεραπευτικές συγκεντρώσεις, μετά από επανειλημμένη χορήγηση δόσης 0.5 </w:t>
      </w:r>
      <w:r w:rsidRPr="00AD0457">
        <w:rPr>
          <w:rFonts w:ascii="Arial" w:hAnsi="Arial" w:cs="Arial"/>
        </w:rPr>
        <w:t>mg</w:t>
      </w:r>
      <w:r w:rsidRPr="00AD0457">
        <w:rPr>
          <w:rFonts w:ascii="Arial" w:hAnsi="Arial" w:cs="Arial"/>
          <w:lang w:val="el-GR"/>
        </w:rPr>
        <w:t xml:space="preserve">/ημέρα, κυριαρχεί η βραδύτερη γραμμική κάθαρση και </w:t>
      </w:r>
      <w:r w:rsidR="00BE06C3">
        <w:rPr>
          <w:rFonts w:ascii="Arial" w:hAnsi="Arial" w:cs="Arial"/>
          <w:lang w:val="el-GR"/>
        </w:rPr>
        <w:t>ο χρόνος</w:t>
      </w:r>
      <w:r w:rsidRPr="00AD0457">
        <w:rPr>
          <w:rFonts w:ascii="Arial" w:hAnsi="Arial" w:cs="Arial"/>
          <w:lang w:val="el-GR"/>
        </w:rPr>
        <w:t xml:space="preserve"> ημιζωής είναι περίπου 3-5 εβδομάδες.</w:t>
      </w:r>
    </w:p>
    <w:p w:rsidR="0078689F" w:rsidRPr="00AD0457" w:rsidRDefault="0078689F" w:rsidP="00A067F0">
      <w:pPr>
        <w:ind w:right="-11"/>
        <w:jc w:val="both"/>
        <w:rPr>
          <w:rFonts w:ascii="Arial" w:hAnsi="Arial" w:cs="Arial"/>
          <w:lang w:val="el-GR"/>
        </w:rPr>
      </w:pPr>
    </w:p>
    <w:p w:rsidR="0078689F" w:rsidRPr="00AD0457" w:rsidRDefault="0078689F" w:rsidP="00A067F0">
      <w:pPr>
        <w:pStyle w:val="2"/>
        <w:ind w:right="-11"/>
        <w:jc w:val="both"/>
        <w:rPr>
          <w:rFonts w:ascii="Arial" w:hAnsi="Arial" w:cs="Arial"/>
          <w:i/>
        </w:rPr>
      </w:pPr>
      <w:r w:rsidRPr="00AD0457">
        <w:rPr>
          <w:rFonts w:ascii="Arial" w:hAnsi="Arial" w:cs="Arial"/>
          <w:i/>
        </w:rPr>
        <w:t>Ηλικιωμένοι</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φαρμακοκινητική </w:t>
      </w:r>
      <w:r w:rsidR="00C41782">
        <w:rPr>
          <w:rFonts w:ascii="Arial" w:hAnsi="Arial" w:cs="Arial"/>
          <w:lang w:val="el-GR"/>
        </w:rPr>
        <w:t>της ντουταστερίδης</w:t>
      </w:r>
      <w:r w:rsidRPr="00AD0457">
        <w:rPr>
          <w:rFonts w:ascii="Arial" w:hAnsi="Arial" w:cs="Arial"/>
          <w:lang w:val="el-GR"/>
        </w:rPr>
        <w:t xml:space="preserve"> μελετήθηκε σε 36 υγιείς άνδρες, ηλικίας 24 έως 87 ετών, μετά </w:t>
      </w:r>
      <w:r w:rsidR="00E64D2D">
        <w:rPr>
          <w:rFonts w:ascii="Arial" w:hAnsi="Arial" w:cs="Arial"/>
          <w:lang w:val="el-GR"/>
        </w:rPr>
        <w:t xml:space="preserve">από χορήγηση μίας απλής δόσης </w:t>
      </w:r>
      <w:r w:rsidRPr="00AD0457">
        <w:rPr>
          <w:rFonts w:ascii="Arial" w:hAnsi="Arial" w:cs="Arial"/>
          <w:lang w:val="el-GR"/>
        </w:rPr>
        <w:t xml:space="preserve">5 </w:t>
      </w:r>
      <w:r w:rsidRPr="00AD0457">
        <w:rPr>
          <w:rFonts w:ascii="Arial" w:hAnsi="Arial" w:cs="Arial"/>
        </w:rPr>
        <w:t>mg</w:t>
      </w:r>
      <w:r w:rsidRPr="00AD0457">
        <w:rPr>
          <w:rFonts w:ascii="Arial" w:hAnsi="Arial" w:cs="Arial"/>
          <w:lang w:val="el-GR"/>
        </w:rPr>
        <w:t xml:space="preserve">. Δεν διαπιστώθηκε επίδραση της ηλικίας στην έκθεση </w:t>
      </w:r>
      <w:r w:rsidR="00C41782">
        <w:rPr>
          <w:rFonts w:ascii="Arial" w:hAnsi="Arial" w:cs="Arial"/>
          <w:lang w:val="el-GR"/>
        </w:rPr>
        <w:t>της ντουταστερίδης</w:t>
      </w:r>
      <w:r w:rsidRPr="00AD0457">
        <w:rPr>
          <w:rFonts w:ascii="Arial" w:hAnsi="Arial" w:cs="Arial"/>
          <w:lang w:val="el-GR"/>
        </w:rPr>
        <w:t xml:space="preserve">, αλλά ο χρόνος ημιζωής ήταν μικρότερος στους άνδρες κάτω των 50 ετών. Ο χρόνος ημιζωής δεν διέφερε σε </w:t>
      </w:r>
      <w:r w:rsidR="00BE06C3">
        <w:rPr>
          <w:rFonts w:ascii="Arial" w:hAnsi="Arial" w:cs="Arial"/>
          <w:lang w:val="el-GR"/>
        </w:rPr>
        <w:t xml:space="preserve">στατιστικά σημαντικό </w:t>
      </w:r>
      <w:r w:rsidRPr="00AD0457">
        <w:rPr>
          <w:rFonts w:ascii="Arial" w:hAnsi="Arial" w:cs="Arial"/>
          <w:lang w:val="el-GR"/>
        </w:rPr>
        <w:t xml:space="preserve">βαθμό μεταξύ της ομάδας των 50-69 ετών και εκείνης άνω των 70 ετών. </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 </w:t>
      </w:r>
    </w:p>
    <w:p w:rsidR="0078689F" w:rsidRPr="00AD0457" w:rsidRDefault="0078689F" w:rsidP="00A067F0">
      <w:pPr>
        <w:pStyle w:val="2"/>
        <w:ind w:right="-11"/>
        <w:jc w:val="both"/>
        <w:rPr>
          <w:rFonts w:ascii="Arial" w:hAnsi="Arial" w:cs="Arial"/>
          <w:i/>
        </w:rPr>
      </w:pPr>
      <w:r w:rsidRPr="00AD0457">
        <w:rPr>
          <w:rFonts w:ascii="Arial" w:hAnsi="Arial" w:cs="Arial"/>
          <w:i/>
        </w:rPr>
        <w:t>Νεφρική δυσλειτουργία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επίδραση της νεφρικής δυσλειτουργίας στην φαρμακοκινητική </w:t>
      </w:r>
      <w:r w:rsidR="00C41782">
        <w:rPr>
          <w:rFonts w:ascii="Arial" w:hAnsi="Arial" w:cs="Arial"/>
          <w:lang w:val="el-GR"/>
        </w:rPr>
        <w:t>της ντουταστερίδης</w:t>
      </w:r>
      <w:r w:rsidRPr="00AD0457">
        <w:rPr>
          <w:rFonts w:ascii="Arial" w:hAnsi="Arial" w:cs="Arial"/>
          <w:lang w:val="el-GR"/>
        </w:rPr>
        <w:t xml:space="preserve"> δεν έχει μελετηθεί. Ωστόσο, στον άνθρωπο σε σταθεροποιημένη κατάσταση με χορήγηση δόσης 0.5 </w:t>
      </w:r>
      <w:r w:rsidRPr="00AD0457">
        <w:rPr>
          <w:rFonts w:ascii="Arial" w:hAnsi="Arial" w:cs="Arial"/>
        </w:rPr>
        <w:t>mg</w:t>
      </w:r>
      <w:r w:rsidRPr="00AD0457">
        <w:rPr>
          <w:rFonts w:ascii="Arial" w:hAnsi="Arial" w:cs="Arial"/>
          <w:lang w:val="el-GR"/>
        </w:rPr>
        <w:t xml:space="preserve">, λιγότερο από το 0.1% της ποσότητας του φαρμάκου ανιχνεύεται στα ούρα. Συνεπώς εκτιμάται ότι δεν υπάρχει κλινικά σημαντική  αύξηση της συγκέντρωσης στο πλάσμα </w:t>
      </w:r>
      <w:r w:rsidR="00C41782">
        <w:rPr>
          <w:rFonts w:ascii="Arial" w:hAnsi="Arial" w:cs="Arial"/>
          <w:lang w:val="el-GR"/>
        </w:rPr>
        <w:t>της ντουταστερίδης</w:t>
      </w:r>
      <w:r w:rsidRPr="00AD0457">
        <w:rPr>
          <w:rFonts w:ascii="Arial" w:hAnsi="Arial" w:cs="Arial"/>
          <w:lang w:val="el-GR"/>
        </w:rPr>
        <w:t xml:space="preserve"> σε ασθενείς με νεφρική δυσλειτουργία (βλ</w:t>
      </w:r>
      <w:r w:rsidR="00BF377B">
        <w:rPr>
          <w:rFonts w:ascii="Arial" w:hAnsi="Arial" w:cs="Arial"/>
          <w:lang w:val="el-GR"/>
        </w:rPr>
        <w:t xml:space="preserve">. </w:t>
      </w:r>
      <w:r w:rsidR="00BE06C3">
        <w:rPr>
          <w:rFonts w:ascii="Arial" w:hAnsi="Arial" w:cs="Arial"/>
          <w:lang w:val="el-GR"/>
        </w:rPr>
        <w:t xml:space="preserve">παράγραφο </w:t>
      </w:r>
      <w:r w:rsidRPr="00AD0457">
        <w:rPr>
          <w:rFonts w:ascii="Arial" w:hAnsi="Arial" w:cs="Arial"/>
          <w:lang w:val="el-GR"/>
        </w:rPr>
        <w:t>4.2).</w:t>
      </w:r>
    </w:p>
    <w:p w:rsidR="0078689F" w:rsidRPr="00AD0457" w:rsidRDefault="0078689F" w:rsidP="00A067F0">
      <w:pPr>
        <w:ind w:right="-11"/>
        <w:jc w:val="both"/>
        <w:rPr>
          <w:rFonts w:ascii="Arial" w:hAnsi="Arial" w:cs="Arial"/>
          <w:lang w:val="el-GR"/>
        </w:rPr>
      </w:pPr>
    </w:p>
    <w:p w:rsidR="0078689F" w:rsidRPr="00AD0457" w:rsidRDefault="0078689F" w:rsidP="00A067F0">
      <w:pPr>
        <w:pStyle w:val="2"/>
        <w:ind w:right="-11"/>
        <w:jc w:val="both"/>
        <w:rPr>
          <w:rFonts w:ascii="Arial" w:hAnsi="Arial" w:cs="Arial"/>
          <w:i/>
        </w:rPr>
      </w:pPr>
      <w:r w:rsidRPr="00AD0457">
        <w:rPr>
          <w:rFonts w:ascii="Arial" w:hAnsi="Arial" w:cs="Arial"/>
          <w:i/>
        </w:rPr>
        <w:t>Ηπατική δυσλειτουργία</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Η επίδραση της ηπατικής δυσλειτουργίας στην φαρμακοκινητική </w:t>
      </w:r>
      <w:r w:rsidR="00C41782">
        <w:rPr>
          <w:rFonts w:ascii="Arial" w:hAnsi="Arial" w:cs="Arial"/>
          <w:lang w:val="el-GR"/>
        </w:rPr>
        <w:t>της ντουταστερίδης</w:t>
      </w:r>
      <w:r w:rsidRPr="00AD0457">
        <w:rPr>
          <w:rFonts w:ascii="Arial" w:hAnsi="Arial" w:cs="Arial"/>
          <w:lang w:val="el-GR"/>
        </w:rPr>
        <w:t xml:space="preserve"> δεν έχει μελετηθεί (βλ</w:t>
      </w:r>
      <w:r w:rsidR="00BF377B">
        <w:rPr>
          <w:rFonts w:ascii="Arial" w:hAnsi="Arial" w:cs="Arial"/>
          <w:lang w:val="el-GR"/>
        </w:rPr>
        <w:t xml:space="preserve">. </w:t>
      </w:r>
      <w:r w:rsidR="00BE06C3">
        <w:rPr>
          <w:rFonts w:ascii="Arial" w:hAnsi="Arial" w:cs="Arial"/>
          <w:lang w:val="el-GR"/>
        </w:rPr>
        <w:t xml:space="preserve">παράγραφο </w:t>
      </w:r>
      <w:r w:rsidRPr="00AD0457">
        <w:rPr>
          <w:rFonts w:ascii="Arial" w:hAnsi="Arial" w:cs="Arial"/>
          <w:lang w:val="el-GR"/>
        </w:rPr>
        <w:t xml:space="preserve">4.3). Επειδή </w:t>
      </w:r>
      <w:r w:rsidR="00BF377B">
        <w:rPr>
          <w:rFonts w:ascii="Arial" w:hAnsi="Arial" w:cs="Arial"/>
          <w:lang w:val="el-GR"/>
        </w:rPr>
        <w:t>η</w:t>
      </w:r>
      <w:r w:rsidR="00BF377B" w:rsidRPr="00AD0457">
        <w:rPr>
          <w:rFonts w:ascii="Arial" w:hAnsi="Arial" w:cs="Arial"/>
          <w:lang w:val="el-GR"/>
        </w:rPr>
        <w:t xml:space="preserve"> </w:t>
      </w:r>
      <w:r w:rsidR="000F6CBD" w:rsidRPr="000F6CBD">
        <w:rPr>
          <w:rFonts w:ascii="Arial" w:hAnsi="Arial" w:cs="Arial"/>
          <w:lang w:val="el-GR"/>
        </w:rPr>
        <w:t>ντουταστερίδη</w:t>
      </w:r>
      <w:r w:rsidRPr="00AD0457">
        <w:rPr>
          <w:rFonts w:ascii="Arial" w:hAnsi="Arial" w:cs="Arial"/>
          <w:lang w:val="el-GR"/>
        </w:rPr>
        <w:t xml:space="preserve"> απομακρύνεται κυρίως με μεταβολισμό τα επίπεδα </w:t>
      </w:r>
      <w:r w:rsidR="00BE06C3">
        <w:rPr>
          <w:rFonts w:ascii="Arial" w:hAnsi="Arial" w:cs="Arial"/>
          <w:lang w:val="el-GR"/>
        </w:rPr>
        <w:t>της ντουταστερίδης</w:t>
      </w:r>
      <w:r w:rsidR="00BE06C3" w:rsidRPr="00AD0457">
        <w:rPr>
          <w:rFonts w:ascii="Arial" w:hAnsi="Arial" w:cs="Arial"/>
          <w:lang w:val="el-GR"/>
        </w:rPr>
        <w:t xml:space="preserve"> </w:t>
      </w:r>
      <w:r w:rsidRPr="00AD0457">
        <w:rPr>
          <w:rFonts w:ascii="Arial" w:hAnsi="Arial" w:cs="Arial"/>
          <w:lang w:val="el-GR"/>
        </w:rPr>
        <w:t>στο πλάσμα αναμένονται να είναι αυξημένα σε αυτούς τους ασθενείς και ο χρόνος ημιζωής παρατεταμένος (βλ</w:t>
      </w:r>
      <w:r w:rsidR="00BF377B">
        <w:rPr>
          <w:rFonts w:ascii="Arial" w:hAnsi="Arial" w:cs="Arial"/>
          <w:lang w:val="el-GR"/>
        </w:rPr>
        <w:t xml:space="preserve">. παραγράφους </w:t>
      </w:r>
      <w:r w:rsidRPr="00AD0457">
        <w:rPr>
          <w:rFonts w:ascii="Arial" w:hAnsi="Arial" w:cs="Arial"/>
          <w:lang w:val="el-GR"/>
        </w:rPr>
        <w:t>4.2 και 4.4).</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 </w:t>
      </w:r>
    </w:p>
    <w:p w:rsidR="00310F95" w:rsidRDefault="0078689F">
      <w:pPr>
        <w:ind w:left="567" w:right="-11" w:hanging="567"/>
        <w:jc w:val="both"/>
        <w:rPr>
          <w:rFonts w:ascii="Arial" w:hAnsi="Arial" w:cs="Arial"/>
          <w:lang w:val="el-GR"/>
        </w:rPr>
      </w:pPr>
      <w:r w:rsidRPr="00AD0457">
        <w:rPr>
          <w:rFonts w:ascii="Arial" w:hAnsi="Arial" w:cs="Arial"/>
          <w:b/>
          <w:lang w:val="el-GR"/>
        </w:rPr>
        <w:t>5.3</w:t>
      </w:r>
      <w:r w:rsidRPr="00AD0457">
        <w:rPr>
          <w:rFonts w:ascii="Arial" w:hAnsi="Arial" w:cs="Arial"/>
          <w:b/>
          <w:lang w:val="el-GR"/>
        </w:rPr>
        <w:tab/>
        <w:t>Προκλινικά δεδομένα για την ασφάλεια</w:t>
      </w:r>
    </w:p>
    <w:p w:rsidR="0078689F" w:rsidRPr="00AD0457" w:rsidRDefault="0078689F" w:rsidP="00A067F0">
      <w:pPr>
        <w:ind w:right="-11"/>
        <w:jc w:val="both"/>
        <w:rPr>
          <w:rFonts w:ascii="Arial" w:hAnsi="Arial" w:cs="Arial"/>
          <w:lang w:val="el-GR"/>
        </w:rPr>
      </w:pPr>
      <w:r w:rsidRPr="00AD0457">
        <w:rPr>
          <w:rFonts w:ascii="Arial" w:hAnsi="Arial" w:cs="Arial"/>
          <w:lang w:val="el-GR"/>
        </w:rPr>
        <w:t>Επί του παρόντος μελέτες γενικής τοξικότητας, γονιδιοτοξικότητας και καρκινογένεσης δεν έδειξαν κάποιο ιδιαίτερο κίνδυνο για τον άνθρωπο.</w:t>
      </w:r>
    </w:p>
    <w:p w:rsidR="0078689F" w:rsidRPr="00AD0457" w:rsidRDefault="0078689F" w:rsidP="00A067F0">
      <w:pPr>
        <w:ind w:right="-11"/>
        <w:jc w:val="both"/>
        <w:rPr>
          <w:rFonts w:ascii="Arial" w:hAnsi="Arial" w:cs="Arial"/>
          <w:lang w:val="el-GR"/>
        </w:rPr>
      </w:pPr>
    </w:p>
    <w:p w:rsidR="0078689F" w:rsidRPr="00AD0457" w:rsidRDefault="0078689F" w:rsidP="00A067F0">
      <w:pPr>
        <w:ind w:right="-11"/>
        <w:jc w:val="both"/>
        <w:rPr>
          <w:rFonts w:ascii="Arial" w:hAnsi="Arial" w:cs="Arial"/>
          <w:highlight w:val="yellow"/>
          <w:lang w:val="el-GR"/>
        </w:rPr>
      </w:pPr>
      <w:r w:rsidRPr="00AD0457">
        <w:rPr>
          <w:rFonts w:ascii="Arial" w:hAnsi="Arial" w:cs="Arial"/>
          <w:lang w:val="el-GR"/>
        </w:rPr>
        <w:t xml:space="preserve">Μελέτες αναπαραγωγικής τοξικότητας σε άρρενες αρουραίους έδειξαν μειωμένο βάρος του προστάτη και των σπερματικών σωληναρίων, μειωμένη έκκριση από επικουρικούς γενετικούς αδένες και μείωση των δεικτών γονιμότητας (προκληθέντα από τη φαρμακολογική δράση </w:t>
      </w:r>
      <w:r w:rsidR="00C41782">
        <w:rPr>
          <w:rFonts w:ascii="Arial" w:hAnsi="Arial" w:cs="Arial"/>
          <w:lang w:val="el-GR"/>
        </w:rPr>
        <w:t>της ντουταστερίδης</w:t>
      </w:r>
      <w:r w:rsidRPr="00AD0457">
        <w:rPr>
          <w:rFonts w:ascii="Arial" w:hAnsi="Arial" w:cs="Arial"/>
          <w:lang w:val="el-GR"/>
        </w:rPr>
        <w:t>). Η κλινική συσχέτιση αυτών των ευρημάτων είναι άγνωστη.</w:t>
      </w:r>
    </w:p>
    <w:p w:rsidR="0078689F" w:rsidRPr="00AD0457" w:rsidRDefault="0078689F" w:rsidP="00A067F0">
      <w:pPr>
        <w:ind w:right="-11"/>
        <w:jc w:val="both"/>
        <w:rPr>
          <w:rFonts w:ascii="Arial" w:hAnsi="Arial" w:cs="Arial"/>
          <w:lang w:val="el-GR"/>
        </w:rPr>
      </w:pPr>
    </w:p>
    <w:p w:rsidR="0078689F" w:rsidRPr="00AD0457" w:rsidRDefault="003C2D9E" w:rsidP="00A067F0">
      <w:pPr>
        <w:ind w:right="-11"/>
        <w:jc w:val="both"/>
        <w:rPr>
          <w:rFonts w:ascii="Arial" w:hAnsi="Arial" w:cs="Arial"/>
          <w:lang w:val="el-GR"/>
        </w:rPr>
      </w:pPr>
      <w:r>
        <w:rPr>
          <w:rFonts w:ascii="Arial" w:hAnsi="Arial" w:cs="Arial"/>
          <w:lang w:val="el-GR"/>
        </w:rPr>
        <w:t>Όπως με άλλους αναστολείς της 5-άλφα</w:t>
      </w:r>
      <w:r w:rsidR="0078689F" w:rsidRPr="00AD0457">
        <w:rPr>
          <w:rFonts w:ascii="Arial" w:hAnsi="Arial" w:cs="Arial"/>
          <w:lang w:val="el-GR"/>
        </w:rPr>
        <w:t xml:space="preserve"> αναγωγάσης, έχει παρατηρηθεί ότι </w:t>
      </w:r>
      <w:r>
        <w:rPr>
          <w:rFonts w:ascii="Arial" w:hAnsi="Arial" w:cs="Arial"/>
          <w:lang w:val="el-GR"/>
        </w:rPr>
        <w:t>η</w:t>
      </w:r>
      <w:r w:rsidR="0078689F" w:rsidRPr="00AD0457">
        <w:rPr>
          <w:rFonts w:ascii="Arial" w:hAnsi="Arial" w:cs="Arial"/>
          <w:lang w:val="el-GR"/>
        </w:rPr>
        <w:t xml:space="preserve"> </w:t>
      </w:r>
      <w:r w:rsidR="000F6CBD" w:rsidRPr="000F6CBD">
        <w:rPr>
          <w:rFonts w:ascii="Arial" w:hAnsi="Arial" w:cs="Arial"/>
          <w:lang w:val="el-GR"/>
        </w:rPr>
        <w:t>ντουταστερίδη</w:t>
      </w:r>
      <w:r w:rsidR="0078689F" w:rsidRPr="00AD0457">
        <w:rPr>
          <w:rFonts w:ascii="Arial" w:hAnsi="Arial" w:cs="Arial"/>
          <w:lang w:val="el-GR"/>
        </w:rPr>
        <w:t xml:space="preserve"> προκάλεσε θηλυκοποίηση των αρρένων εμβρύων όταν χορηγήθηκε σε αρουραίους και λαγούς κατά τη διάρκεια της κύησης. </w:t>
      </w:r>
      <w:r w:rsidR="00BF377B">
        <w:rPr>
          <w:rFonts w:ascii="Arial" w:hAnsi="Arial" w:cs="Arial"/>
          <w:lang w:val="el-GR"/>
        </w:rPr>
        <w:t>Η</w:t>
      </w:r>
      <w:r w:rsidR="00BF377B" w:rsidRPr="00AD0457">
        <w:rPr>
          <w:rFonts w:ascii="Arial" w:hAnsi="Arial" w:cs="Arial"/>
          <w:lang w:val="el-GR"/>
        </w:rPr>
        <w:t xml:space="preserve"> </w:t>
      </w:r>
      <w:r w:rsidR="000F6CBD" w:rsidRPr="000F6CBD">
        <w:rPr>
          <w:rFonts w:ascii="Arial" w:hAnsi="Arial" w:cs="Arial"/>
          <w:lang w:val="el-GR"/>
        </w:rPr>
        <w:t>ντουταστερίδη</w:t>
      </w:r>
      <w:r w:rsidR="0078689F" w:rsidRPr="00AD0457">
        <w:rPr>
          <w:rFonts w:ascii="Arial" w:hAnsi="Arial" w:cs="Arial"/>
          <w:lang w:val="el-GR"/>
        </w:rPr>
        <w:t xml:space="preserve"> έχει βρεθεί στο αίμα θηλυκών αρουραίων μετά τη συνεύρεση τους με άρρενες αρουραίους που είχαν λάβει </w:t>
      </w:r>
      <w:r w:rsidR="000F6CBD" w:rsidRPr="000F6CBD">
        <w:rPr>
          <w:rFonts w:ascii="Arial" w:hAnsi="Arial" w:cs="Arial"/>
          <w:lang w:val="el-GR"/>
        </w:rPr>
        <w:t>ντουταστερίδη</w:t>
      </w:r>
      <w:r w:rsidR="0078689F" w:rsidRPr="00AD0457">
        <w:rPr>
          <w:rFonts w:ascii="Arial" w:hAnsi="Arial" w:cs="Arial"/>
          <w:lang w:val="el-GR"/>
        </w:rPr>
        <w:t xml:space="preserve">. Όταν </w:t>
      </w:r>
      <w:r>
        <w:rPr>
          <w:rFonts w:ascii="Arial" w:hAnsi="Arial" w:cs="Arial"/>
          <w:lang w:val="el-GR"/>
        </w:rPr>
        <w:t>η</w:t>
      </w:r>
      <w:r w:rsidR="0078689F" w:rsidRPr="00AD0457">
        <w:rPr>
          <w:rFonts w:ascii="Arial" w:hAnsi="Arial" w:cs="Arial"/>
          <w:lang w:val="el-GR"/>
        </w:rPr>
        <w:t xml:space="preserve"> </w:t>
      </w:r>
      <w:r w:rsidR="000F6CBD" w:rsidRPr="000F6CBD">
        <w:rPr>
          <w:rFonts w:ascii="Arial" w:hAnsi="Arial" w:cs="Arial"/>
          <w:lang w:val="el-GR"/>
        </w:rPr>
        <w:t>ντουταστερίδη</w:t>
      </w:r>
      <w:r w:rsidR="0078689F" w:rsidRPr="00AD0457">
        <w:rPr>
          <w:rFonts w:ascii="Arial" w:hAnsi="Arial" w:cs="Arial"/>
          <w:lang w:val="el-GR"/>
        </w:rPr>
        <w:t xml:space="preserve"> χορηγήθηκε  κατά τη διάρκεια της κύησης σε πρωτεύοντα θηλαστ</w:t>
      </w:r>
      <w:r w:rsidR="003152EA" w:rsidRPr="00AD0457">
        <w:rPr>
          <w:rFonts w:ascii="Arial" w:hAnsi="Arial" w:cs="Arial"/>
          <w:lang w:val="el-GR"/>
        </w:rPr>
        <w:t>ι</w:t>
      </w:r>
      <w:r w:rsidR="0078689F" w:rsidRPr="00AD0457">
        <w:rPr>
          <w:rFonts w:ascii="Arial" w:hAnsi="Arial" w:cs="Arial"/>
          <w:lang w:val="el-GR"/>
        </w:rPr>
        <w:t>κά, δεν παρατηρήθηκε θηλυκ</w:t>
      </w:r>
      <w:r>
        <w:rPr>
          <w:rFonts w:ascii="Arial" w:hAnsi="Arial" w:cs="Arial"/>
          <w:lang w:val="el-GR"/>
        </w:rPr>
        <w:t xml:space="preserve">οποίηση των αρρένων εμβρύων σε </w:t>
      </w:r>
      <w:r w:rsidR="0078689F" w:rsidRPr="00AD0457">
        <w:rPr>
          <w:rFonts w:ascii="Arial" w:hAnsi="Arial" w:cs="Arial"/>
          <w:lang w:val="el-GR"/>
        </w:rPr>
        <w:t xml:space="preserve">συγκεντρώσεις στο αίμα αρκετά παραπάνω αυτών που πιθανόν να εμφανισθούν μέσω του ανθρωπίνου σπέρματος. Είναι απίθανο ένα άρρεν έμβρυο να επηρεασθεί αρνητικά μετά από μεταφορά </w:t>
      </w:r>
      <w:r w:rsidR="000F6CBD" w:rsidRPr="000F6CBD">
        <w:rPr>
          <w:rFonts w:ascii="Arial" w:hAnsi="Arial" w:cs="Arial"/>
          <w:lang w:val="el-GR"/>
        </w:rPr>
        <w:t>ντουταστερίδη</w:t>
      </w:r>
      <w:r>
        <w:rPr>
          <w:rFonts w:ascii="Arial" w:hAnsi="Arial" w:cs="Arial"/>
          <w:lang w:val="el-GR"/>
        </w:rPr>
        <w:t>ς</w:t>
      </w:r>
      <w:r w:rsidR="0078689F" w:rsidRPr="00AD0457">
        <w:rPr>
          <w:rFonts w:ascii="Arial" w:hAnsi="Arial" w:cs="Arial"/>
          <w:lang w:val="el-GR"/>
        </w:rPr>
        <w:t xml:space="preserve"> μέσω </w:t>
      </w:r>
      <w:r>
        <w:rPr>
          <w:rFonts w:ascii="Arial" w:hAnsi="Arial" w:cs="Arial"/>
          <w:lang w:val="el-GR"/>
        </w:rPr>
        <w:t xml:space="preserve">του </w:t>
      </w:r>
      <w:r w:rsidR="0078689F" w:rsidRPr="00AD0457">
        <w:rPr>
          <w:rFonts w:ascii="Arial" w:hAnsi="Arial" w:cs="Arial"/>
          <w:lang w:val="el-GR"/>
        </w:rPr>
        <w:t>σπέρματος.</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6.</w:t>
      </w:r>
      <w:r w:rsidRPr="00AD0457">
        <w:rPr>
          <w:rFonts w:ascii="Arial" w:hAnsi="Arial" w:cs="Arial"/>
          <w:b/>
          <w:lang w:val="el-GR"/>
        </w:rPr>
        <w:tab/>
        <w:t>ΦΑΡΜΑΚΕΥΤΙΚΕΣ ΠΛΗΡΟΦΟΡΙΕΣ</w:t>
      </w:r>
    </w:p>
    <w:p w:rsidR="0078689F" w:rsidRPr="00AD0457" w:rsidRDefault="0078689F" w:rsidP="00A067F0">
      <w:pPr>
        <w:ind w:left="567" w:right="-11" w:hanging="567"/>
        <w:jc w:val="both"/>
        <w:rPr>
          <w:rFonts w:ascii="Arial" w:hAnsi="Arial" w:cs="Arial"/>
          <w:lang w:val="el-GR"/>
        </w:rPr>
      </w:pPr>
      <w:r w:rsidRPr="00AD0457">
        <w:rPr>
          <w:rFonts w:ascii="Arial" w:hAnsi="Arial" w:cs="Arial"/>
          <w:b/>
          <w:lang w:val="el-GR"/>
        </w:rPr>
        <w:t>6.1</w:t>
      </w:r>
      <w:r w:rsidRPr="00AD0457">
        <w:rPr>
          <w:rFonts w:ascii="Arial" w:hAnsi="Arial" w:cs="Arial"/>
          <w:b/>
          <w:lang w:val="el-GR"/>
        </w:rPr>
        <w:tab/>
        <w:t>Κατάλογος εκδόχων</w:t>
      </w:r>
    </w:p>
    <w:p w:rsidR="0078689F" w:rsidRPr="00AD0457" w:rsidRDefault="0078689F" w:rsidP="00A067F0">
      <w:pPr>
        <w:pStyle w:val="2"/>
        <w:ind w:right="-11"/>
        <w:jc w:val="both"/>
        <w:rPr>
          <w:rFonts w:ascii="Arial" w:hAnsi="Arial" w:cs="Arial"/>
          <w:b w:val="0"/>
          <w:i/>
        </w:rPr>
      </w:pPr>
      <w:r w:rsidRPr="00AD0457">
        <w:rPr>
          <w:rFonts w:ascii="Arial" w:hAnsi="Arial" w:cs="Arial"/>
          <w:b w:val="0"/>
          <w:i/>
        </w:rPr>
        <w:t>Περιεχόμενο τ</w:t>
      </w:r>
      <w:r w:rsidRPr="00AD0457">
        <w:rPr>
          <w:rFonts w:ascii="Arial" w:hAnsi="Arial" w:cs="Arial"/>
          <w:b w:val="0"/>
          <w:i/>
          <w:lang w:val="en-US"/>
        </w:rPr>
        <w:t>o</w:t>
      </w:r>
      <w:r w:rsidRPr="00AD0457">
        <w:rPr>
          <w:rFonts w:ascii="Arial" w:hAnsi="Arial" w:cs="Arial"/>
          <w:b w:val="0"/>
          <w:i/>
        </w:rPr>
        <w:t>υ καψακίου</w:t>
      </w:r>
      <w:r w:rsidR="001877B5">
        <w:rPr>
          <w:rFonts w:ascii="Arial" w:hAnsi="Arial" w:cs="Arial"/>
          <w:b w:val="0"/>
          <w:i/>
        </w:rPr>
        <w:t>:</w:t>
      </w:r>
    </w:p>
    <w:p w:rsidR="0078689F" w:rsidRPr="00AD0457" w:rsidRDefault="0078689F" w:rsidP="00A067F0">
      <w:pPr>
        <w:ind w:right="-11"/>
        <w:jc w:val="both"/>
        <w:rPr>
          <w:rFonts w:ascii="Arial" w:hAnsi="Arial" w:cs="Arial"/>
          <w:lang w:val="el-GR"/>
        </w:rPr>
      </w:pPr>
      <w:r w:rsidRPr="00AD0457">
        <w:rPr>
          <w:rFonts w:ascii="Arial" w:hAnsi="Arial" w:cs="Arial"/>
          <w:lang w:val="el-GR"/>
        </w:rPr>
        <w:t>Μονο</w:t>
      </w:r>
      <w:r w:rsidR="001877B5">
        <w:rPr>
          <w:rFonts w:ascii="Arial" w:hAnsi="Arial" w:cs="Arial"/>
          <w:lang w:val="el-GR"/>
        </w:rPr>
        <w:t>-</w:t>
      </w:r>
      <w:r w:rsidRPr="00AD0457">
        <w:rPr>
          <w:rFonts w:ascii="Arial" w:hAnsi="Arial" w:cs="Arial"/>
          <w:lang w:val="el-GR"/>
        </w:rPr>
        <w:t xml:space="preserve"> και διγλυκερίδια καπριλικού / καπρικού οξέος</w:t>
      </w:r>
    </w:p>
    <w:p w:rsidR="0078689F" w:rsidRPr="00AD0457" w:rsidRDefault="002330E4" w:rsidP="00A067F0">
      <w:pPr>
        <w:ind w:right="-11"/>
        <w:jc w:val="both"/>
        <w:rPr>
          <w:rFonts w:ascii="Arial" w:hAnsi="Arial" w:cs="Arial"/>
          <w:lang w:val="el-GR"/>
        </w:rPr>
      </w:pPr>
      <w:r>
        <w:rPr>
          <w:rFonts w:ascii="Arial" w:hAnsi="Arial" w:cs="Arial"/>
          <w:lang w:val="el-GR"/>
        </w:rPr>
        <w:t>Βού</w:t>
      </w:r>
      <w:r w:rsidRPr="00AD0457">
        <w:rPr>
          <w:rFonts w:ascii="Arial" w:hAnsi="Arial" w:cs="Arial"/>
          <w:lang w:val="el-GR"/>
        </w:rPr>
        <w:t>τυλ</w:t>
      </w:r>
      <w:r>
        <w:rPr>
          <w:rFonts w:ascii="Arial" w:hAnsi="Arial" w:cs="Arial"/>
          <w:lang w:val="el-GR"/>
        </w:rPr>
        <w:t>-υδρό</w:t>
      </w:r>
      <w:r w:rsidRPr="00AD0457">
        <w:rPr>
          <w:rFonts w:ascii="Arial" w:hAnsi="Arial" w:cs="Arial"/>
          <w:lang w:val="el-GR"/>
        </w:rPr>
        <w:t>ξυ</w:t>
      </w:r>
      <w:r>
        <w:rPr>
          <w:rFonts w:ascii="Arial" w:hAnsi="Arial" w:cs="Arial"/>
          <w:lang w:val="el-GR"/>
        </w:rPr>
        <w:t>-</w:t>
      </w:r>
      <w:r w:rsidRPr="00AD0457">
        <w:rPr>
          <w:rFonts w:ascii="Arial" w:hAnsi="Arial" w:cs="Arial"/>
          <w:lang w:val="el-GR"/>
        </w:rPr>
        <w:t>τολουένιο</w:t>
      </w:r>
      <w:r w:rsidR="0078689F" w:rsidRPr="00AD0457">
        <w:rPr>
          <w:rFonts w:ascii="Arial" w:hAnsi="Arial" w:cs="Arial"/>
          <w:lang w:val="el-GR"/>
        </w:rPr>
        <w:t xml:space="preserve"> (Ε321)</w:t>
      </w:r>
    </w:p>
    <w:p w:rsidR="0078689F" w:rsidRPr="00AD0457" w:rsidRDefault="0078689F" w:rsidP="00A067F0">
      <w:pPr>
        <w:pStyle w:val="2"/>
        <w:ind w:right="-11"/>
        <w:jc w:val="both"/>
        <w:rPr>
          <w:rFonts w:ascii="Arial" w:hAnsi="Arial" w:cs="Arial"/>
          <w:b w:val="0"/>
        </w:rPr>
      </w:pPr>
    </w:p>
    <w:p w:rsidR="0078689F" w:rsidRPr="00AD0457" w:rsidRDefault="0078689F" w:rsidP="00A067F0">
      <w:pPr>
        <w:pStyle w:val="2"/>
        <w:ind w:right="-11"/>
        <w:jc w:val="both"/>
        <w:rPr>
          <w:rFonts w:ascii="Arial" w:hAnsi="Arial" w:cs="Arial"/>
          <w:b w:val="0"/>
          <w:i/>
        </w:rPr>
      </w:pPr>
      <w:r w:rsidRPr="00AD0457">
        <w:rPr>
          <w:rFonts w:ascii="Arial" w:hAnsi="Arial" w:cs="Arial"/>
          <w:b w:val="0"/>
          <w:i/>
        </w:rPr>
        <w:t>Περίβλημα του καψακίου</w:t>
      </w:r>
      <w:r w:rsidR="001877B5">
        <w:rPr>
          <w:rFonts w:ascii="Arial" w:hAnsi="Arial" w:cs="Arial"/>
          <w:b w:val="0"/>
          <w:i/>
        </w:rPr>
        <w:t>:</w:t>
      </w:r>
    </w:p>
    <w:p w:rsidR="0078689F" w:rsidRPr="00AD0457" w:rsidRDefault="0078689F" w:rsidP="00A067F0">
      <w:pPr>
        <w:ind w:right="-11"/>
        <w:jc w:val="both"/>
        <w:rPr>
          <w:rFonts w:ascii="Arial" w:hAnsi="Arial" w:cs="Arial"/>
          <w:lang w:val="el-GR"/>
        </w:rPr>
      </w:pPr>
      <w:r w:rsidRPr="00AD0457">
        <w:rPr>
          <w:rFonts w:ascii="Arial" w:hAnsi="Arial" w:cs="Arial"/>
          <w:lang w:val="el-GR"/>
        </w:rPr>
        <w:t>Ζελατίνη</w:t>
      </w:r>
    </w:p>
    <w:p w:rsidR="0078689F" w:rsidRPr="00AD0457" w:rsidRDefault="0078689F" w:rsidP="00A067F0">
      <w:pPr>
        <w:ind w:right="-11"/>
        <w:jc w:val="both"/>
        <w:rPr>
          <w:rFonts w:ascii="Arial" w:hAnsi="Arial" w:cs="Arial"/>
          <w:lang w:val="el-GR"/>
        </w:rPr>
      </w:pPr>
      <w:r w:rsidRPr="00AD0457">
        <w:rPr>
          <w:rFonts w:ascii="Arial" w:hAnsi="Arial" w:cs="Arial"/>
          <w:lang w:val="el-GR"/>
        </w:rPr>
        <w:t>Γλυκερόλη</w:t>
      </w:r>
    </w:p>
    <w:p w:rsidR="0078689F" w:rsidRPr="00AD0457" w:rsidRDefault="0078689F" w:rsidP="00A067F0">
      <w:pPr>
        <w:ind w:right="-11"/>
        <w:jc w:val="both"/>
        <w:rPr>
          <w:rFonts w:ascii="Arial" w:hAnsi="Arial" w:cs="Arial"/>
          <w:lang w:val="el-GR"/>
        </w:rPr>
      </w:pPr>
      <w:r w:rsidRPr="00AD0457">
        <w:rPr>
          <w:rFonts w:ascii="Arial" w:hAnsi="Arial" w:cs="Arial"/>
          <w:lang w:val="el-GR"/>
        </w:rPr>
        <w:t>Τιτανίου διοξείδιο (Ε171)</w:t>
      </w:r>
    </w:p>
    <w:p w:rsidR="0078689F" w:rsidRPr="00AD0457" w:rsidRDefault="0078689F" w:rsidP="00A067F0">
      <w:pPr>
        <w:ind w:right="-11"/>
        <w:jc w:val="both"/>
        <w:rPr>
          <w:rFonts w:ascii="Arial" w:hAnsi="Arial" w:cs="Arial"/>
          <w:lang w:val="el-GR"/>
        </w:rPr>
      </w:pPr>
      <w:r w:rsidRPr="00AD0457">
        <w:rPr>
          <w:rFonts w:ascii="Arial" w:hAnsi="Arial" w:cs="Arial"/>
          <w:lang w:val="el-GR"/>
        </w:rPr>
        <w:t>Σιδήρου οξείδιο κίτρινο (Ε172)</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Τριγλυκερίδια </w:t>
      </w:r>
      <w:r w:rsidR="002330E4" w:rsidRPr="00AD0457">
        <w:rPr>
          <w:rFonts w:ascii="Arial" w:hAnsi="Arial" w:cs="Arial"/>
          <w:lang w:val="el-GR"/>
        </w:rPr>
        <w:t>μέτριων πλευρικών αλυσίδων</w:t>
      </w:r>
    </w:p>
    <w:p w:rsidR="0078689F" w:rsidRDefault="0078689F" w:rsidP="00A067F0">
      <w:pPr>
        <w:ind w:right="-11"/>
        <w:jc w:val="both"/>
        <w:rPr>
          <w:rFonts w:ascii="Arial" w:hAnsi="Arial" w:cs="Arial"/>
          <w:lang w:val="el-GR"/>
        </w:rPr>
      </w:pPr>
      <w:r w:rsidRPr="00AD0457">
        <w:rPr>
          <w:rFonts w:ascii="Arial" w:hAnsi="Arial" w:cs="Arial"/>
          <w:lang w:val="el-GR"/>
        </w:rPr>
        <w:t>Λεκιθίνη</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6.2</w:t>
      </w:r>
      <w:r w:rsidRPr="00AD0457">
        <w:rPr>
          <w:rFonts w:ascii="Arial" w:hAnsi="Arial" w:cs="Arial"/>
          <w:b/>
          <w:lang w:val="el-GR"/>
        </w:rPr>
        <w:tab/>
        <w:t>Ασυμβατότητες</w:t>
      </w:r>
    </w:p>
    <w:p w:rsidR="0078689F" w:rsidRPr="00AD0457" w:rsidRDefault="0078689F" w:rsidP="00A067F0">
      <w:pPr>
        <w:ind w:right="-11"/>
        <w:jc w:val="both"/>
        <w:rPr>
          <w:rFonts w:ascii="Arial" w:hAnsi="Arial" w:cs="Arial"/>
          <w:lang w:val="el-GR"/>
        </w:rPr>
      </w:pPr>
      <w:r w:rsidRPr="00AD0457">
        <w:rPr>
          <w:rFonts w:ascii="Arial" w:hAnsi="Arial" w:cs="Arial"/>
          <w:lang w:val="el-GR"/>
        </w:rPr>
        <w:t>Δεν εφαρμόζεται.</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6.3</w:t>
      </w:r>
      <w:r w:rsidRPr="00AD0457">
        <w:rPr>
          <w:rFonts w:ascii="Arial" w:hAnsi="Arial" w:cs="Arial"/>
          <w:b/>
          <w:lang w:val="el-GR"/>
        </w:rPr>
        <w:tab/>
        <w:t>Διάρκεια ζωής</w:t>
      </w:r>
    </w:p>
    <w:p w:rsidR="0078689F" w:rsidRPr="00AD0457" w:rsidRDefault="0078689F" w:rsidP="00A067F0">
      <w:pPr>
        <w:ind w:right="-11"/>
        <w:jc w:val="both"/>
        <w:rPr>
          <w:rFonts w:ascii="Arial" w:hAnsi="Arial" w:cs="Arial"/>
          <w:lang w:val="el-GR"/>
        </w:rPr>
      </w:pPr>
      <w:r w:rsidRPr="00AD0457">
        <w:rPr>
          <w:rFonts w:ascii="Arial" w:hAnsi="Arial" w:cs="Arial"/>
          <w:lang w:val="el-GR"/>
        </w:rPr>
        <w:t>4 έτη.</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6.4</w:t>
      </w:r>
      <w:r w:rsidRPr="00AD0457">
        <w:rPr>
          <w:rFonts w:ascii="Arial" w:hAnsi="Arial" w:cs="Arial"/>
          <w:b/>
          <w:lang w:val="el-GR"/>
        </w:rPr>
        <w:tab/>
        <w:t>Ιδιαίτερες προφυλάξεις κατά την φύλαξη του προϊόντος</w:t>
      </w:r>
    </w:p>
    <w:p w:rsidR="0078689F" w:rsidRPr="00AD0457" w:rsidRDefault="001877B5" w:rsidP="00A067F0">
      <w:pPr>
        <w:ind w:right="-11"/>
        <w:jc w:val="both"/>
        <w:rPr>
          <w:rFonts w:ascii="Arial" w:hAnsi="Arial" w:cs="Arial"/>
          <w:lang w:val="el-GR"/>
        </w:rPr>
      </w:pPr>
      <w:r>
        <w:rPr>
          <w:rFonts w:ascii="Arial" w:hAnsi="Arial" w:cs="Arial"/>
          <w:lang w:val="el-GR"/>
        </w:rPr>
        <w:t>Μη φυλάσσετε</w:t>
      </w:r>
      <w:r w:rsidR="0078689F" w:rsidRPr="00AD0457">
        <w:rPr>
          <w:rFonts w:ascii="Arial" w:hAnsi="Arial" w:cs="Arial"/>
          <w:lang w:val="el-GR"/>
        </w:rPr>
        <w:t xml:space="preserve"> σε θερμοκρασία </w:t>
      </w:r>
      <w:r>
        <w:rPr>
          <w:rFonts w:ascii="Arial" w:hAnsi="Arial" w:cs="Arial"/>
          <w:lang w:val="el-GR"/>
        </w:rPr>
        <w:t>μεγαλύτερη</w:t>
      </w:r>
      <w:r w:rsidR="0078689F" w:rsidRPr="00AD0457">
        <w:rPr>
          <w:rFonts w:ascii="Arial" w:hAnsi="Arial" w:cs="Arial"/>
          <w:lang w:val="el-GR"/>
        </w:rPr>
        <w:t xml:space="preserve"> των 30</w:t>
      </w:r>
      <w:r w:rsidR="0078689F" w:rsidRPr="00AD0457">
        <w:rPr>
          <w:rFonts w:ascii="Arial" w:hAnsi="Arial" w:cs="Arial"/>
          <w:vertAlign w:val="superscript"/>
          <w:lang w:val="el-GR"/>
        </w:rPr>
        <w:t>ο</w:t>
      </w:r>
      <w:r w:rsidR="0078689F" w:rsidRPr="00AD0457">
        <w:rPr>
          <w:rFonts w:ascii="Arial" w:hAnsi="Arial" w:cs="Arial"/>
        </w:rPr>
        <w:t>C</w:t>
      </w:r>
      <w:r w:rsidR="0078689F" w:rsidRPr="00AD0457">
        <w:rPr>
          <w:rFonts w:ascii="Arial" w:hAnsi="Arial" w:cs="Arial"/>
          <w:lang w:val="el-GR"/>
        </w:rPr>
        <w:t>.</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6.5</w:t>
      </w:r>
      <w:r w:rsidRPr="00AD0457">
        <w:rPr>
          <w:rFonts w:ascii="Arial" w:hAnsi="Arial" w:cs="Arial"/>
          <w:b/>
          <w:lang w:val="el-GR"/>
        </w:rPr>
        <w:tab/>
        <w:t>Φύση και συστατικά του περιέκτη</w:t>
      </w:r>
    </w:p>
    <w:p w:rsidR="0078689F" w:rsidRPr="00AD0457" w:rsidRDefault="0078689F" w:rsidP="00A067F0">
      <w:pPr>
        <w:ind w:right="-11"/>
        <w:jc w:val="both"/>
        <w:rPr>
          <w:rFonts w:ascii="Arial" w:hAnsi="Arial" w:cs="Arial"/>
          <w:lang w:val="el-GR"/>
        </w:rPr>
      </w:pPr>
      <w:r w:rsidRPr="00AD0457">
        <w:rPr>
          <w:rFonts w:ascii="Arial" w:hAnsi="Arial" w:cs="Arial"/>
          <w:lang w:val="el-GR"/>
        </w:rPr>
        <w:t xml:space="preserve">Κυψέλες από αδιαφανή φύλλα </w:t>
      </w:r>
      <w:r w:rsidRPr="00AD0457">
        <w:rPr>
          <w:rFonts w:ascii="Arial" w:hAnsi="Arial" w:cs="Arial"/>
        </w:rPr>
        <w:t>PVC</w:t>
      </w:r>
      <w:r w:rsidRPr="00AD0457">
        <w:rPr>
          <w:rFonts w:ascii="Arial" w:hAnsi="Arial" w:cs="Arial"/>
          <w:lang w:val="el-GR"/>
        </w:rPr>
        <w:t>/</w:t>
      </w:r>
      <w:r w:rsidRPr="00AD0457">
        <w:rPr>
          <w:rFonts w:ascii="Arial" w:hAnsi="Arial" w:cs="Arial"/>
        </w:rPr>
        <w:t>PVDC</w:t>
      </w:r>
      <w:r w:rsidRPr="00AD0457">
        <w:rPr>
          <w:rFonts w:ascii="Arial" w:hAnsi="Arial" w:cs="Arial"/>
          <w:lang w:val="el-GR"/>
        </w:rPr>
        <w:t xml:space="preserve"> που περιέχουν 10 καψάκια μαλακής ζελατίνης, συσκευασμένα σε κουτιά που περιέχουν </w:t>
      </w:r>
      <w:r w:rsidR="001877B5">
        <w:rPr>
          <w:rFonts w:ascii="Arial" w:hAnsi="Arial" w:cs="Arial"/>
          <w:lang w:val="el-GR"/>
        </w:rPr>
        <w:t xml:space="preserve">10, </w:t>
      </w:r>
      <w:r w:rsidRPr="00AD0457">
        <w:rPr>
          <w:rFonts w:ascii="Arial" w:hAnsi="Arial" w:cs="Arial"/>
          <w:lang w:val="el-GR"/>
        </w:rPr>
        <w:t>30</w:t>
      </w:r>
      <w:r w:rsidR="001877B5">
        <w:rPr>
          <w:rFonts w:ascii="Arial" w:hAnsi="Arial" w:cs="Arial"/>
          <w:lang w:val="el-GR"/>
        </w:rPr>
        <w:t>, 50, 60</w:t>
      </w:r>
      <w:r w:rsidRPr="00AD0457">
        <w:rPr>
          <w:rFonts w:ascii="Arial" w:hAnsi="Arial" w:cs="Arial"/>
          <w:lang w:val="el-GR"/>
        </w:rPr>
        <w:t xml:space="preserve"> ή 90 καψάκια. Μπορεί να μην κυκλοφορούν όλες οι συσκευασίες.</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6.6</w:t>
      </w:r>
      <w:r w:rsidRPr="00AD0457">
        <w:rPr>
          <w:rFonts w:ascii="Arial" w:hAnsi="Arial" w:cs="Arial"/>
          <w:b/>
          <w:lang w:val="el-GR"/>
        </w:rPr>
        <w:tab/>
      </w:r>
      <w:r w:rsidR="001877B5">
        <w:rPr>
          <w:rFonts w:ascii="Arial" w:hAnsi="Arial" w:cs="Arial"/>
          <w:b/>
          <w:lang w:val="el-GR"/>
        </w:rPr>
        <w:t>Ιδιαίτερες προφυλάξεις απόρριψης και άλλος χειρισμός</w:t>
      </w:r>
    </w:p>
    <w:p w:rsidR="00E573F5" w:rsidRPr="00E573F5" w:rsidRDefault="001877B5" w:rsidP="00A067F0">
      <w:pPr>
        <w:ind w:right="-11"/>
        <w:jc w:val="both"/>
        <w:rPr>
          <w:rFonts w:ascii="Arial" w:hAnsi="Arial" w:cs="Arial"/>
          <w:lang w:val="el-GR"/>
        </w:rPr>
      </w:pPr>
      <w:r>
        <w:rPr>
          <w:rFonts w:ascii="Arial" w:hAnsi="Arial" w:cs="Arial"/>
          <w:lang w:val="el-GR"/>
        </w:rPr>
        <w:t>Η</w:t>
      </w:r>
      <w:r w:rsidR="0078689F" w:rsidRPr="00AD0457">
        <w:rPr>
          <w:rFonts w:ascii="Arial" w:hAnsi="Arial" w:cs="Arial"/>
          <w:lang w:val="el-GR"/>
        </w:rPr>
        <w:t xml:space="preserve"> </w:t>
      </w:r>
      <w:r w:rsidR="000F6CBD" w:rsidRPr="000F6CBD">
        <w:rPr>
          <w:rFonts w:ascii="Arial" w:hAnsi="Arial" w:cs="Arial"/>
          <w:lang w:val="el-GR"/>
        </w:rPr>
        <w:t>ντουταστερίδη</w:t>
      </w:r>
      <w:r w:rsidR="0078689F" w:rsidRPr="00AD0457">
        <w:rPr>
          <w:rFonts w:ascii="Arial" w:hAnsi="Arial" w:cs="Arial"/>
          <w:lang w:val="el-GR"/>
        </w:rPr>
        <w:t xml:space="preserve">  απορροφάται από το δέρμα, επομένως </w:t>
      </w:r>
      <w:r>
        <w:rPr>
          <w:rFonts w:ascii="Arial" w:hAnsi="Arial" w:cs="Arial"/>
          <w:lang w:val="el-GR"/>
        </w:rPr>
        <w:t xml:space="preserve">η </w:t>
      </w:r>
      <w:r w:rsidR="0078689F" w:rsidRPr="00AD0457">
        <w:rPr>
          <w:rFonts w:ascii="Arial" w:hAnsi="Arial" w:cs="Arial"/>
          <w:lang w:val="el-GR"/>
        </w:rPr>
        <w:t>επαφή με καψάκια που παρουσιάζουν διαρροή πρέπει να αποφεύγεται. Εάν γίνει επαφή με καψάκιο που παρουσιάζει διαρροή, η περιοχή που ήρθε σε επαφή πρέπει να πλένεται αμέσως με σαπούνι και νερό (βλ</w:t>
      </w:r>
      <w:r w:rsidR="00CC3D65">
        <w:rPr>
          <w:rFonts w:ascii="Arial" w:hAnsi="Arial" w:cs="Arial"/>
          <w:lang w:val="el-GR"/>
        </w:rPr>
        <w:t xml:space="preserve">. </w:t>
      </w:r>
      <w:r>
        <w:rPr>
          <w:rFonts w:ascii="Arial" w:hAnsi="Arial" w:cs="Arial"/>
          <w:lang w:val="el-GR"/>
        </w:rPr>
        <w:t xml:space="preserve">παράγραφο </w:t>
      </w:r>
      <w:r w:rsidR="0078689F" w:rsidRPr="00AD0457">
        <w:rPr>
          <w:rFonts w:ascii="Arial" w:hAnsi="Arial" w:cs="Arial"/>
          <w:lang w:val="el-GR"/>
        </w:rPr>
        <w:t>4.4).</w:t>
      </w:r>
    </w:p>
    <w:p w:rsidR="0078689F" w:rsidRPr="00E573F5" w:rsidRDefault="00E573F5" w:rsidP="00A067F0">
      <w:pPr>
        <w:ind w:right="-11"/>
        <w:jc w:val="both"/>
        <w:rPr>
          <w:rFonts w:ascii="Arial" w:hAnsi="Arial" w:cs="Arial"/>
          <w:lang w:val="el-GR"/>
        </w:rPr>
      </w:pPr>
      <w:r w:rsidRPr="00E573F5">
        <w:rPr>
          <w:rFonts w:ascii="Arial" w:hAnsi="Arial" w:cs="Arial"/>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78689F" w:rsidRPr="00AD0457" w:rsidRDefault="0078689F" w:rsidP="00A067F0">
      <w:pPr>
        <w:ind w:right="-11"/>
        <w:jc w:val="both"/>
        <w:rPr>
          <w:rFonts w:ascii="Arial" w:hAnsi="Arial" w:cs="Arial"/>
          <w:lang w:val="el-GR"/>
        </w:rPr>
      </w:pPr>
    </w:p>
    <w:p w:rsidR="00310F95" w:rsidRDefault="0078689F">
      <w:pPr>
        <w:ind w:left="567" w:right="-11" w:hanging="567"/>
        <w:jc w:val="both"/>
        <w:rPr>
          <w:rFonts w:ascii="Arial" w:hAnsi="Arial" w:cs="Arial"/>
          <w:lang w:val="el-GR"/>
        </w:rPr>
      </w:pPr>
      <w:r w:rsidRPr="00AD0457">
        <w:rPr>
          <w:rFonts w:ascii="Arial" w:hAnsi="Arial" w:cs="Arial"/>
          <w:b/>
          <w:lang w:val="el-GR"/>
        </w:rPr>
        <w:t>7.</w:t>
      </w:r>
      <w:r w:rsidRPr="00AD0457">
        <w:rPr>
          <w:rFonts w:ascii="Arial" w:hAnsi="Arial" w:cs="Arial"/>
          <w:b/>
          <w:lang w:val="el-GR"/>
        </w:rPr>
        <w:tab/>
        <w:t>ΚΑΤΟΧΟΣ ΤΗΣ ΑΔΕΙΑΣ ΚΥΚΛΟΦΟΡΙΑΣ</w:t>
      </w:r>
    </w:p>
    <w:p w:rsidR="0092261C" w:rsidRPr="00AD0457" w:rsidRDefault="0092261C" w:rsidP="0092261C">
      <w:pPr>
        <w:ind w:right="-11"/>
        <w:jc w:val="both"/>
        <w:rPr>
          <w:rFonts w:ascii="Arial" w:hAnsi="Arial" w:cs="Arial"/>
          <w:lang w:val="el-GR"/>
        </w:rPr>
      </w:pPr>
      <w:r w:rsidRPr="00150F01">
        <w:rPr>
          <w:rFonts w:ascii="Arial" w:hAnsi="Arial" w:cs="Arial"/>
          <w:noProof/>
          <w:szCs w:val="22"/>
        </w:rPr>
        <w:t>DEMO</w:t>
      </w:r>
      <w:r w:rsidRPr="001877B5">
        <w:rPr>
          <w:rFonts w:ascii="Arial" w:hAnsi="Arial" w:cs="Arial"/>
          <w:noProof/>
          <w:szCs w:val="22"/>
          <w:lang w:val="el-GR"/>
        </w:rPr>
        <w:t xml:space="preserve"> </w:t>
      </w:r>
      <w:r w:rsidRPr="00150F01">
        <w:rPr>
          <w:rFonts w:ascii="Arial" w:hAnsi="Arial" w:cs="Arial"/>
          <w:noProof/>
          <w:szCs w:val="22"/>
        </w:rPr>
        <w:t>ABEE</w:t>
      </w:r>
      <w:r w:rsidRPr="001877B5">
        <w:rPr>
          <w:rFonts w:ascii="Arial" w:hAnsi="Arial" w:cs="Arial"/>
          <w:noProof/>
          <w:szCs w:val="22"/>
          <w:lang w:val="el-GR"/>
        </w:rPr>
        <w:t xml:space="preserve">, 21ο χλμ. Εθνικής οδού Αθηνών-Λαμίας,14568 Κρυονέρι. </w:t>
      </w:r>
      <w:r w:rsidRPr="005B17D1">
        <w:rPr>
          <w:rFonts w:ascii="Arial" w:hAnsi="Arial" w:cs="Arial"/>
          <w:noProof/>
          <w:szCs w:val="22"/>
          <w:lang w:val="el-GR"/>
        </w:rPr>
        <w:t>Τηλ.: 210 81 61 802, Φαξ: 210 81 61 587.</w:t>
      </w:r>
    </w:p>
    <w:p w:rsidR="0078689F" w:rsidRPr="00AD0457" w:rsidRDefault="0078689F" w:rsidP="00A067F0">
      <w:pPr>
        <w:ind w:right="-11"/>
        <w:jc w:val="both"/>
        <w:rPr>
          <w:rFonts w:ascii="Arial" w:hAnsi="Arial" w:cs="Arial"/>
          <w:lang w:val="el-GR"/>
        </w:rPr>
      </w:pPr>
    </w:p>
    <w:p w:rsidR="0078689F" w:rsidRPr="00AD0457" w:rsidRDefault="0078689F" w:rsidP="00A067F0">
      <w:pPr>
        <w:ind w:left="567" w:right="-11" w:hanging="567"/>
        <w:jc w:val="both"/>
        <w:rPr>
          <w:rFonts w:ascii="Arial" w:hAnsi="Arial" w:cs="Arial"/>
          <w:b/>
          <w:lang w:val="el-GR"/>
        </w:rPr>
      </w:pPr>
      <w:r w:rsidRPr="00AD0457">
        <w:rPr>
          <w:rFonts w:ascii="Arial" w:hAnsi="Arial" w:cs="Arial"/>
          <w:b/>
          <w:lang w:val="el-GR"/>
        </w:rPr>
        <w:t>8.</w:t>
      </w:r>
      <w:r w:rsidRPr="00AD0457">
        <w:rPr>
          <w:rFonts w:ascii="Arial" w:hAnsi="Arial" w:cs="Arial"/>
          <w:b/>
          <w:lang w:val="el-GR"/>
        </w:rPr>
        <w:tab/>
        <w:t>ΑΡΙΘΜΟΣ ΑΔΕΙΑΣ ΚΥΚΛΟΦΟΡΙΑΣ</w:t>
      </w:r>
    </w:p>
    <w:p w:rsidR="00310F95" w:rsidRDefault="00BB3EF2">
      <w:pPr>
        <w:ind w:right="-11"/>
        <w:jc w:val="both"/>
        <w:rPr>
          <w:rFonts w:ascii="Arial" w:hAnsi="Arial" w:cs="Arial"/>
          <w:b/>
          <w:lang w:val="el-GR"/>
        </w:rPr>
      </w:pPr>
      <w:r>
        <w:rPr>
          <w:rFonts w:ascii="Arial" w:hAnsi="Arial" w:cs="Arial"/>
          <w:b/>
          <w:lang w:val="el-GR"/>
        </w:rPr>
        <w:tab/>
      </w:r>
    </w:p>
    <w:p w:rsidR="00BB3EF2" w:rsidRPr="00BB3EF2" w:rsidRDefault="005B17D1" w:rsidP="00A067F0">
      <w:pPr>
        <w:ind w:left="567" w:right="-11" w:hanging="567"/>
        <w:jc w:val="both"/>
        <w:rPr>
          <w:rFonts w:ascii="Arial" w:hAnsi="Arial" w:cs="Arial"/>
          <w:lang w:val="el-GR"/>
        </w:rPr>
      </w:pPr>
      <w:r>
        <w:rPr>
          <w:rFonts w:ascii="Arial" w:hAnsi="Arial" w:cs="Arial"/>
          <w:lang w:val="el-GR"/>
        </w:rPr>
        <w:t>15083/24-2-2009</w:t>
      </w:r>
    </w:p>
    <w:p w:rsidR="0078689F" w:rsidRPr="00AD0457" w:rsidRDefault="0078689F" w:rsidP="00A067F0">
      <w:pPr>
        <w:ind w:left="567" w:right="-11" w:hanging="567"/>
        <w:jc w:val="both"/>
        <w:rPr>
          <w:rFonts w:ascii="Arial" w:hAnsi="Arial" w:cs="Arial"/>
          <w:b/>
          <w:lang w:val="el-GR"/>
        </w:rPr>
      </w:pPr>
    </w:p>
    <w:p w:rsidR="0078689F" w:rsidRPr="00AD0457" w:rsidRDefault="0078689F" w:rsidP="00A067F0">
      <w:pPr>
        <w:ind w:left="567" w:right="-11" w:hanging="567"/>
        <w:jc w:val="both"/>
        <w:rPr>
          <w:rFonts w:ascii="Arial" w:hAnsi="Arial" w:cs="Arial"/>
          <w:lang w:val="el-GR"/>
        </w:rPr>
      </w:pPr>
      <w:r w:rsidRPr="00AD0457">
        <w:rPr>
          <w:rFonts w:ascii="Arial" w:hAnsi="Arial" w:cs="Arial"/>
          <w:b/>
          <w:lang w:val="el-GR"/>
        </w:rPr>
        <w:t>9.</w:t>
      </w:r>
      <w:r w:rsidRPr="00AD0457">
        <w:rPr>
          <w:rFonts w:ascii="Arial" w:hAnsi="Arial" w:cs="Arial"/>
          <w:b/>
          <w:lang w:val="el-GR"/>
        </w:rPr>
        <w:tab/>
        <w:t>ΗΜΕΡΟΜΗΝΙΑ ΠΡΩΤΗΣ ΕΓΚΡΙΣΗΣ / ΑΝΑΝΕΩΣΗΣ ΤΗΣ ΑΔΕΙΑΣ</w:t>
      </w:r>
    </w:p>
    <w:p w:rsidR="0078689F" w:rsidRPr="00AD0457" w:rsidRDefault="0078689F" w:rsidP="00A067F0">
      <w:pPr>
        <w:pStyle w:val="a5"/>
        <w:tabs>
          <w:tab w:val="clear" w:pos="4153"/>
          <w:tab w:val="clear" w:pos="8306"/>
        </w:tabs>
        <w:ind w:right="-11"/>
        <w:jc w:val="both"/>
        <w:rPr>
          <w:rFonts w:ascii="Arial" w:hAnsi="Arial" w:cs="Arial"/>
          <w:lang w:val="el-GR"/>
        </w:rPr>
      </w:pPr>
    </w:p>
    <w:p w:rsidR="0078689F" w:rsidRPr="00AD0457" w:rsidRDefault="00BB3EF2" w:rsidP="00A067F0">
      <w:pPr>
        <w:pStyle w:val="a5"/>
        <w:tabs>
          <w:tab w:val="clear" w:pos="4153"/>
          <w:tab w:val="clear" w:pos="8306"/>
        </w:tabs>
        <w:ind w:right="-11"/>
        <w:jc w:val="both"/>
        <w:rPr>
          <w:rFonts w:ascii="Arial" w:hAnsi="Arial" w:cs="Arial"/>
          <w:lang w:val="el-GR"/>
        </w:rPr>
      </w:pPr>
      <w:r>
        <w:rPr>
          <w:rFonts w:ascii="Arial" w:hAnsi="Arial" w:cs="Arial"/>
          <w:lang w:val="el-GR"/>
        </w:rPr>
        <w:t>24-2-2009</w:t>
      </w:r>
    </w:p>
    <w:p w:rsidR="003152EA" w:rsidRPr="00AD0457" w:rsidRDefault="003152EA" w:rsidP="00A067F0">
      <w:pPr>
        <w:pStyle w:val="a5"/>
        <w:tabs>
          <w:tab w:val="clear" w:pos="4153"/>
          <w:tab w:val="clear" w:pos="8306"/>
        </w:tabs>
        <w:ind w:right="-11"/>
        <w:jc w:val="both"/>
        <w:rPr>
          <w:rFonts w:ascii="Arial" w:hAnsi="Arial" w:cs="Arial"/>
          <w:lang w:val="el-GR"/>
        </w:rPr>
      </w:pPr>
    </w:p>
    <w:p w:rsidR="0078689F" w:rsidRDefault="0078689F" w:rsidP="00A067F0">
      <w:pPr>
        <w:ind w:right="-11"/>
        <w:jc w:val="both"/>
        <w:rPr>
          <w:rFonts w:ascii="Arial" w:hAnsi="Arial" w:cs="Arial"/>
          <w:b/>
          <w:lang w:val="el-GR"/>
        </w:rPr>
      </w:pPr>
      <w:r w:rsidRPr="00AD0457">
        <w:rPr>
          <w:rFonts w:ascii="Arial" w:hAnsi="Arial" w:cs="Arial"/>
          <w:b/>
          <w:lang w:val="el-GR"/>
        </w:rPr>
        <w:t>10.       ΗΜΕΡΟΜΗΝΙΑ ΑΝΑΘΕΩΡΗΣΗΣ ΤΟΥ ΚΕΙΜΕΝΟΥ</w:t>
      </w:r>
    </w:p>
    <w:p w:rsidR="00E64D2D" w:rsidRDefault="00E64D2D" w:rsidP="00DC1A78">
      <w:pPr>
        <w:ind w:right="-11"/>
        <w:jc w:val="both"/>
        <w:rPr>
          <w:rFonts w:ascii="Arial" w:hAnsi="Arial" w:cs="Arial"/>
          <w:lang w:val="el-GR"/>
        </w:rPr>
      </w:pPr>
    </w:p>
    <w:p w:rsidR="00DC1A78" w:rsidRPr="00E64D2D" w:rsidRDefault="002E15B5" w:rsidP="00DC1A78">
      <w:pPr>
        <w:ind w:right="-11"/>
        <w:jc w:val="both"/>
        <w:rPr>
          <w:rFonts w:ascii="Arial" w:hAnsi="Arial" w:cs="Arial"/>
          <w:lang w:val="el-GR"/>
        </w:rPr>
      </w:pPr>
      <w:r>
        <w:rPr>
          <w:rFonts w:ascii="Arial" w:hAnsi="Arial" w:cs="Arial"/>
          <w:lang w:val="el-GR"/>
        </w:rPr>
        <w:t>22/02/2012</w:t>
      </w:r>
    </w:p>
    <w:p w:rsidR="00D5738E" w:rsidRDefault="00D5738E" w:rsidP="00DC1A78">
      <w:pPr>
        <w:ind w:right="-11"/>
        <w:jc w:val="both"/>
        <w:rPr>
          <w:lang w:val="el-GR"/>
        </w:rPr>
      </w:pPr>
    </w:p>
    <w:p w:rsidR="00D5738E" w:rsidRPr="00D5738E" w:rsidRDefault="00D5738E" w:rsidP="00D5738E">
      <w:pPr>
        <w:rPr>
          <w:lang w:val="el-GR"/>
        </w:rPr>
      </w:pPr>
    </w:p>
    <w:p w:rsidR="00D5738E" w:rsidRPr="00D5738E" w:rsidRDefault="00D5738E" w:rsidP="00D5738E">
      <w:pPr>
        <w:rPr>
          <w:lang w:val="el-GR"/>
        </w:rPr>
      </w:pPr>
    </w:p>
    <w:p w:rsidR="00D5738E" w:rsidRPr="00D5738E" w:rsidRDefault="00D5738E" w:rsidP="00D5738E">
      <w:pPr>
        <w:rPr>
          <w:lang w:val="el-GR"/>
        </w:rPr>
      </w:pPr>
    </w:p>
    <w:p w:rsidR="00D5738E" w:rsidRDefault="00D5738E" w:rsidP="00D5738E">
      <w:pPr>
        <w:rPr>
          <w:lang w:val="el-GR"/>
        </w:rPr>
      </w:pPr>
    </w:p>
    <w:p w:rsidR="00BB3EF2" w:rsidRPr="00D5738E" w:rsidRDefault="00D5738E" w:rsidP="00D5738E">
      <w:pPr>
        <w:tabs>
          <w:tab w:val="left" w:pos="1005"/>
        </w:tabs>
        <w:rPr>
          <w:lang w:val="el-GR"/>
        </w:rPr>
      </w:pPr>
      <w:r>
        <w:rPr>
          <w:lang w:val="el-GR"/>
        </w:rPr>
        <w:tab/>
      </w:r>
    </w:p>
    <w:sectPr w:rsidR="00BB3EF2" w:rsidRPr="00D5738E" w:rsidSect="000E1769">
      <w:footerReference w:type="even" r:id="rId7"/>
      <w:footerReference w:type="default" r:id="rId8"/>
      <w:footerReference w:type="first" r:id="rId9"/>
      <w:endnotePr>
        <w:numFmt w:val="decimal"/>
      </w:endnotePr>
      <w:pgSz w:w="11896" w:h="16834" w:code="9"/>
      <w:pgMar w:top="1135" w:right="1264" w:bottom="1560"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8B" w:rsidRDefault="004F408B">
      <w:r>
        <w:separator/>
      </w:r>
    </w:p>
  </w:endnote>
  <w:endnote w:type="continuationSeparator" w:id="0">
    <w:p w:rsidR="004F408B" w:rsidRDefault="004F40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B7" w:rsidRDefault="00310F95">
    <w:pPr>
      <w:pStyle w:val="a6"/>
      <w:framePr w:wrap="around" w:vAnchor="text" w:hAnchor="margin" w:xAlign="right" w:y="1"/>
      <w:rPr>
        <w:rStyle w:val="a7"/>
      </w:rPr>
    </w:pPr>
    <w:r>
      <w:rPr>
        <w:rStyle w:val="a7"/>
      </w:rPr>
      <w:fldChar w:fldCharType="begin"/>
    </w:r>
    <w:r w:rsidR="002351B7">
      <w:rPr>
        <w:rStyle w:val="a7"/>
      </w:rPr>
      <w:instrText xml:space="preserve">PAGE  </w:instrText>
    </w:r>
    <w:r>
      <w:rPr>
        <w:rStyle w:val="a7"/>
      </w:rPr>
      <w:fldChar w:fldCharType="end"/>
    </w:r>
  </w:p>
  <w:p w:rsidR="002351B7" w:rsidRDefault="002351B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B7" w:rsidRDefault="00310F95">
    <w:pPr>
      <w:pStyle w:val="a6"/>
      <w:framePr w:wrap="around" w:vAnchor="text" w:hAnchor="margin" w:xAlign="right" w:y="1"/>
      <w:rPr>
        <w:rStyle w:val="a7"/>
      </w:rPr>
    </w:pPr>
    <w:r>
      <w:rPr>
        <w:rStyle w:val="a7"/>
      </w:rPr>
      <w:fldChar w:fldCharType="begin"/>
    </w:r>
    <w:r w:rsidR="002351B7">
      <w:rPr>
        <w:rStyle w:val="a7"/>
      </w:rPr>
      <w:instrText xml:space="preserve">PAGE  </w:instrText>
    </w:r>
    <w:r>
      <w:rPr>
        <w:rStyle w:val="a7"/>
      </w:rPr>
      <w:fldChar w:fldCharType="separate"/>
    </w:r>
    <w:r w:rsidR="00404459">
      <w:rPr>
        <w:rStyle w:val="a7"/>
        <w:noProof/>
      </w:rPr>
      <w:t>11</w:t>
    </w:r>
    <w:r>
      <w:rPr>
        <w:rStyle w:val="a7"/>
      </w:rPr>
      <w:fldChar w:fldCharType="end"/>
    </w:r>
  </w:p>
  <w:p w:rsidR="002351B7" w:rsidRDefault="002351B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B7" w:rsidRDefault="00310F95">
    <w:pPr>
      <w:pStyle w:val="a6"/>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2351B7">
      <w:rPr>
        <w:rFonts w:ascii="Helvetica" w:hAnsi="Helvetica"/>
        <w:sz w:val="16"/>
        <w:lang w:val="fr-FR"/>
      </w:rPr>
      <w:instrText xml:space="preserve">PAGE  </w:instrText>
    </w:r>
    <w:r>
      <w:rPr>
        <w:rFonts w:ascii="Helvetica" w:hAnsi="Helvetica"/>
        <w:sz w:val="16"/>
        <w:lang w:val="fr-FR"/>
      </w:rPr>
      <w:fldChar w:fldCharType="separate"/>
    </w:r>
    <w:r w:rsidR="00404459">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8B" w:rsidRDefault="004F408B">
      <w:r>
        <w:separator/>
      </w:r>
    </w:p>
  </w:footnote>
  <w:footnote w:type="continuationSeparator" w:id="0">
    <w:p w:rsidR="004F408B" w:rsidRDefault="004F4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78CD"/>
    <w:multiLevelType w:val="singleLevel"/>
    <w:tmpl w:val="31304CA6"/>
    <w:lvl w:ilvl="0">
      <w:start w:val="1"/>
      <w:numFmt w:val="decimal"/>
      <w:lvlText w:val="%1."/>
      <w:legacy w:legacy="1" w:legacySpace="0" w:legacyIndent="360"/>
      <w:lvlJc w:val="left"/>
      <w:pPr>
        <w:ind w:left="360" w:hanging="360"/>
      </w:pPr>
    </w:lvl>
  </w:abstractNum>
  <w:abstractNum w:abstractNumId="1">
    <w:nsid w:val="56DC1049"/>
    <w:multiLevelType w:val="hybridMultilevel"/>
    <w:tmpl w:val="DB968B38"/>
    <w:lvl w:ilvl="0" w:tplc="0BCCFC4E">
      <w:numFmt w:val="bullet"/>
      <w:lvlText w:val="-"/>
      <w:lvlJc w:val="left"/>
      <w:pPr>
        <w:tabs>
          <w:tab w:val="num" w:pos="284"/>
        </w:tabs>
        <w:ind w:left="284" w:hanging="284"/>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B45364D"/>
    <w:multiLevelType w:val="singleLevel"/>
    <w:tmpl w:val="CDFCF48C"/>
    <w:lvl w:ilvl="0">
      <w:start w:val="8"/>
      <w:numFmt w:val="decimal"/>
      <w:lvlText w:val="%1."/>
      <w:lvlJc w:val="left"/>
      <w:pPr>
        <w:tabs>
          <w:tab w:val="num" w:pos="570"/>
        </w:tabs>
        <w:ind w:left="570" w:hanging="570"/>
      </w:pPr>
      <w:rPr>
        <w:rFonts w:hint="default"/>
        <w:b/>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proofState w:spelling="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A24700"/>
    <w:rsid w:val="000053F9"/>
    <w:rsid w:val="0000647C"/>
    <w:rsid w:val="000135D7"/>
    <w:rsid w:val="00017EF7"/>
    <w:rsid w:val="00030BA1"/>
    <w:rsid w:val="00035CC7"/>
    <w:rsid w:val="000424BE"/>
    <w:rsid w:val="00043A91"/>
    <w:rsid w:val="00051825"/>
    <w:rsid w:val="00066FF4"/>
    <w:rsid w:val="0009026D"/>
    <w:rsid w:val="00090A0E"/>
    <w:rsid w:val="000970F8"/>
    <w:rsid w:val="000A4D29"/>
    <w:rsid w:val="000A7BDA"/>
    <w:rsid w:val="000B7CC7"/>
    <w:rsid w:val="000C00B0"/>
    <w:rsid w:val="000E0505"/>
    <w:rsid w:val="000E118E"/>
    <w:rsid w:val="000E1769"/>
    <w:rsid w:val="000E1AD6"/>
    <w:rsid w:val="000F0F7F"/>
    <w:rsid w:val="000F19F0"/>
    <w:rsid w:val="000F6CBD"/>
    <w:rsid w:val="0010101E"/>
    <w:rsid w:val="00126773"/>
    <w:rsid w:val="00131E77"/>
    <w:rsid w:val="00132D76"/>
    <w:rsid w:val="00134196"/>
    <w:rsid w:val="00136EFA"/>
    <w:rsid w:val="00154075"/>
    <w:rsid w:val="00155843"/>
    <w:rsid w:val="00167157"/>
    <w:rsid w:val="001760DA"/>
    <w:rsid w:val="00180905"/>
    <w:rsid w:val="00183BCD"/>
    <w:rsid w:val="00187748"/>
    <w:rsid w:val="001877B5"/>
    <w:rsid w:val="001A6C22"/>
    <w:rsid w:val="001B3A47"/>
    <w:rsid w:val="001B54E1"/>
    <w:rsid w:val="001C080B"/>
    <w:rsid w:val="001C778D"/>
    <w:rsid w:val="001D075A"/>
    <w:rsid w:val="001E20E4"/>
    <w:rsid w:val="001E6950"/>
    <w:rsid w:val="001F4C7E"/>
    <w:rsid w:val="00200718"/>
    <w:rsid w:val="002019FB"/>
    <w:rsid w:val="002149F7"/>
    <w:rsid w:val="002330E4"/>
    <w:rsid w:val="002351B7"/>
    <w:rsid w:val="002435FA"/>
    <w:rsid w:val="00263F10"/>
    <w:rsid w:val="00264E39"/>
    <w:rsid w:val="00270743"/>
    <w:rsid w:val="0028669A"/>
    <w:rsid w:val="002877CA"/>
    <w:rsid w:val="002A790F"/>
    <w:rsid w:val="002B2EC0"/>
    <w:rsid w:val="002B3182"/>
    <w:rsid w:val="002B51DC"/>
    <w:rsid w:val="002C7DA7"/>
    <w:rsid w:val="002D4557"/>
    <w:rsid w:val="002E15B5"/>
    <w:rsid w:val="002F2FFC"/>
    <w:rsid w:val="00304468"/>
    <w:rsid w:val="00305A16"/>
    <w:rsid w:val="00305E71"/>
    <w:rsid w:val="003103B6"/>
    <w:rsid w:val="00310F95"/>
    <w:rsid w:val="00314693"/>
    <w:rsid w:val="003152EA"/>
    <w:rsid w:val="00315359"/>
    <w:rsid w:val="00317839"/>
    <w:rsid w:val="0032181E"/>
    <w:rsid w:val="00321FF6"/>
    <w:rsid w:val="0033129F"/>
    <w:rsid w:val="003338A5"/>
    <w:rsid w:val="003343C0"/>
    <w:rsid w:val="00354FD4"/>
    <w:rsid w:val="003632C4"/>
    <w:rsid w:val="00365836"/>
    <w:rsid w:val="003660DF"/>
    <w:rsid w:val="003667E3"/>
    <w:rsid w:val="00367610"/>
    <w:rsid w:val="0037758F"/>
    <w:rsid w:val="00390C5C"/>
    <w:rsid w:val="003A120A"/>
    <w:rsid w:val="003A5705"/>
    <w:rsid w:val="003A73E0"/>
    <w:rsid w:val="003B3D4F"/>
    <w:rsid w:val="003C2736"/>
    <w:rsid w:val="003C2D9E"/>
    <w:rsid w:val="003C53DE"/>
    <w:rsid w:val="003D3F69"/>
    <w:rsid w:val="003F1D46"/>
    <w:rsid w:val="004038FB"/>
    <w:rsid w:val="00404459"/>
    <w:rsid w:val="004068FC"/>
    <w:rsid w:val="00411091"/>
    <w:rsid w:val="00414B55"/>
    <w:rsid w:val="00445BE1"/>
    <w:rsid w:val="00451C56"/>
    <w:rsid w:val="00470F75"/>
    <w:rsid w:val="00492116"/>
    <w:rsid w:val="00493A27"/>
    <w:rsid w:val="00494104"/>
    <w:rsid w:val="004A2FC5"/>
    <w:rsid w:val="004B230B"/>
    <w:rsid w:val="004B5267"/>
    <w:rsid w:val="004B7F76"/>
    <w:rsid w:val="004C1769"/>
    <w:rsid w:val="004C34C5"/>
    <w:rsid w:val="004C7DB3"/>
    <w:rsid w:val="004F3684"/>
    <w:rsid w:val="004F408B"/>
    <w:rsid w:val="00500F44"/>
    <w:rsid w:val="005032D8"/>
    <w:rsid w:val="0050360A"/>
    <w:rsid w:val="005112F3"/>
    <w:rsid w:val="00511335"/>
    <w:rsid w:val="0051467B"/>
    <w:rsid w:val="00533F06"/>
    <w:rsid w:val="005379D8"/>
    <w:rsid w:val="005503AD"/>
    <w:rsid w:val="005652E7"/>
    <w:rsid w:val="00571FDA"/>
    <w:rsid w:val="00574748"/>
    <w:rsid w:val="00574D2D"/>
    <w:rsid w:val="00575C3B"/>
    <w:rsid w:val="00577A91"/>
    <w:rsid w:val="005819D1"/>
    <w:rsid w:val="00581FBE"/>
    <w:rsid w:val="00582AA5"/>
    <w:rsid w:val="00584D5D"/>
    <w:rsid w:val="00593156"/>
    <w:rsid w:val="00593DFC"/>
    <w:rsid w:val="0059506D"/>
    <w:rsid w:val="005A0B59"/>
    <w:rsid w:val="005B17D1"/>
    <w:rsid w:val="005C2C0B"/>
    <w:rsid w:val="005C5456"/>
    <w:rsid w:val="005C55B5"/>
    <w:rsid w:val="005E3677"/>
    <w:rsid w:val="005E405E"/>
    <w:rsid w:val="005F268C"/>
    <w:rsid w:val="005F685E"/>
    <w:rsid w:val="006129F3"/>
    <w:rsid w:val="00612E0B"/>
    <w:rsid w:val="006135A6"/>
    <w:rsid w:val="0061709F"/>
    <w:rsid w:val="00626CD4"/>
    <w:rsid w:val="00627A3C"/>
    <w:rsid w:val="00635229"/>
    <w:rsid w:val="0063541F"/>
    <w:rsid w:val="00655ECC"/>
    <w:rsid w:val="00657758"/>
    <w:rsid w:val="00664B82"/>
    <w:rsid w:val="00666F21"/>
    <w:rsid w:val="0068215F"/>
    <w:rsid w:val="006824B1"/>
    <w:rsid w:val="00682660"/>
    <w:rsid w:val="00690D83"/>
    <w:rsid w:val="00694CC0"/>
    <w:rsid w:val="006E3975"/>
    <w:rsid w:val="006F13D7"/>
    <w:rsid w:val="006F4E57"/>
    <w:rsid w:val="007029D5"/>
    <w:rsid w:val="007110E1"/>
    <w:rsid w:val="00715441"/>
    <w:rsid w:val="007209B4"/>
    <w:rsid w:val="00720FF3"/>
    <w:rsid w:val="00722F6B"/>
    <w:rsid w:val="00746E01"/>
    <w:rsid w:val="007632B1"/>
    <w:rsid w:val="00780A43"/>
    <w:rsid w:val="00785CB4"/>
    <w:rsid w:val="0078689F"/>
    <w:rsid w:val="007A0F6B"/>
    <w:rsid w:val="007A66F2"/>
    <w:rsid w:val="007B78A7"/>
    <w:rsid w:val="007D1C03"/>
    <w:rsid w:val="007E3440"/>
    <w:rsid w:val="00827B9F"/>
    <w:rsid w:val="008317C2"/>
    <w:rsid w:val="0083733C"/>
    <w:rsid w:val="0084323E"/>
    <w:rsid w:val="00844C75"/>
    <w:rsid w:val="00846E50"/>
    <w:rsid w:val="00854B1C"/>
    <w:rsid w:val="008562D1"/>
    <w:rsid w:val="00867754"/>
    <w:rsid w:val="00875429"/>
    <w:rsid w:val="008760E1"/>
    <w:rsid w:val="00887F9C"/>
    <w:rsid w:val="008B7156"/>
    <w:rsid w:val="008C0A4F"/>
    <w:rsid w:val="008C0A8F"/>
    <w:rsid w:val="008E0809"/>
    <w:rsid w:val="008F33D5"/>
    <w:rsid w:val="008F61CE"/>
    <w:rsid w:val="00904885"/>
    <w:rsid w:val="00910F40"/>
    <w:rsid w:val="0091195B"/>
    <w:rsid w:val="00914462"/>
    <w:rsid w:val="0092261C"/>
    <w:rsid w:val="00931258"/>
    <w:rsid w:val="00946873"/>
    <w:rsid w:val="00952A13"/>
    <w:rsid w:val="009561E8"/>
    <w:rsid w:val="00967542"/>
    <w:rsid w:val="00971427"/>
    <w:rsid w:val="00981D56"/>
    <w:rsid w:val="009838DD"/>
    <w:rsid w:val="009851B6"/>
    <w:rsid w:val="009A2883"/>
    <w:rsid w:val="009F2244"/>
    <w:rsid w:val="009F2A70"/>
    <w:rsid w:val="009F3181"/>
    <w:rsid w:val="00A04357"/>
    <w:rsid w:val="00A067F0"/>
    <w:rsid w:val="00A24700"/>
    <w:rsid w:val="00A43798"/>
    <w:rsid w:val="00A442F1"/>
    <w:rsid w:val="00A4767A"/>
    <w:rsid w:val="00A607BA"/>
    <w:rsid w:val="00A64349"/>
    <w:rsid w:val="00A65111"/>
    <w:rsid w:val="00A775B4"/>
    <w:rsid w:val="00AA367D"/>
    <w:rsid w:val="00AA70C1"/>
    <w:rsid w:val="00AB0CE6"/>
    <w:rsid w:val="00AB301F"/>
    <w:rsid w:val="00AC757A"/>
    <w:rsid w:val="00AD0457"/>
    <w:rsid w:val="00AD7A8B"/>
    <w:rsid w:val="00AE3528"/>
    <w:rsid w:val="00B027FC"/>
    <w:rsid w:val="00B0448F"/>
    <w:rsid w:val="00B344DD"/>
    <w:rsid w:val="00B36149"/>
    <w:rsid w:val="00B37D07"/>
    <w:rsid w:val="00B47B2C"/>
    <w:rsid w:val="00B678C3"/>
    <w:rsid w:val="00B74043"/>
    <w:rsid w:val="00B74604"/>
    <w:rsid w:val="00B77B10"/>
    <w:rsid w:val="00B86B53"/>
    <w:rsid w:val="00B876EF"/>
    <w:rsid w:val="00BA0397"/>
    <w:rsid w:val="00BA0E4F"/>
    <w:rsid w:val="00BA1D0D"/>
    <w:rsid w:val="00BA2E6E"/>
    <w:rsid w:val="00BB3EF2"/>
    <w:rsid w:val="00BC1280"/>
    <w:rsid w:val="00BC1E82"/>
    <w:rsid w:val="00BC69CC"/>
    <w:rsid w:val="00BD2DD7"/>
    <w:rsid w:val="00BD4C3B"/>
    <w:rsid w:val="00BD5B25"/>
    <w:rsid w:val="00BD70F1"/>
    <w:rsid w:val="00BE06C3"/>
    <w:rsid w:val="00BF377B"/>
    <w:rsid w:val="00BF5C6C"/>
    <w:rsid w:val="00BF6E85"/>
    <w:rsid w:val="00C07110"/>
    <w:rsid w:val="00C110E4"/>
    <w:rsid w:val="00C327D4"/>
    <w:rsid w:val="00C33E72"/>
    <w:rsid w:val="00C40A72"/>
    <w:rsid w:val="00C41782"/>
    <w:rsid w:val="00C432EB"/>
    <w:rsid w:val="00C47A9E"/>
    <w:rsid w:val="00C5386E"/>
    <w:rsid w:val="00C9551A"/>
    <w:rsid w:val="00CA0458"/>
    <w:rsid w:val="00CA0F1B"/>
    <w:rsid w:val="00CA0F65"/>
    <w:rsid w:val="00CA0F80"/>
    <w:rsid w:val="00CA176E"/>
    <w:rsid w:val="00CB2C68"/>
    <w:rsid w:val="00CB3632"/>
    <w:rsid w:val="00CC24E0"/>
    <w:rsid w:val="00CC3D65"/>
    <w:rsid w:val="00CD6788"/>
    <w:rsid w:val="00CD7676"/>
    <w:rsid w:val="00CE29CD"/>
    <w:rsid w:val="00CE675E"/>
    <w:rsid w:val="00CE68DE"/>
    <w:rsid w:val="00CF023C"/>
    <w:rsid w:val="00CF1A09"/>
    <w:rsid w:val="00CF34E9"/>
    <w:rsid w:val="00D053FD"/>
    <w:rsid w:val="00D06654"/>
    <w:rsid w:val="00D14C63"/>
    <w:rsid w:val="00D15BC6"/>
    <w:rsid w:val="00D1745E"/>
    <w:rsid w:val="00D24145"/>
    <w:rsid w:val="00D26CF1"/>
    <w:rsid w:val="00D33767"/>
    <w:rsid w:val="00D4489B"/>
    <w:rsid w:val="00D5738E"/>
    <w:rsid w:val="00D62086"/>
    <w:rsid w:val="00D732EB"/>
    <w:rsid w:val="00D86D39"/>
    <w:rsid w:val="00DA3702"/>
    <w:rsid w:val="00DA5539"/>
    <w:rsid w:val="00DB0EA6"/>
    <w:rsid w:val="00DC07F0"/>
    <w:rsid w:val="00DC1A78"/>
    <w:rsid w:val="00DC7110"/>
    <w:rsid w:val="00DD1E30"/>
    <w:rsid w:val="00DE587A"/>
    <w:rsid w:val="00DE5A25"/>
    <w:rsid w:val="00DE61C2"/>
    <w:rsid w:val="00DE7711"/>
    <w:rsid w:val="00DF2D57"/>
    <w:rsid w:val="00DF3B07"/>
    <w:rsid w:val="00DF615C"/>
    <w:rsid w:val="00E14F37"/>
    <w:rsid w:val="00E25DDF"/>
    <w:rsid w:val="00E47A57"/>
    <w:rsid w:val="00E573F5"/>
    <w:rsid w:val="00E64D2D"/>
    <w:rsid w:val="00E7360E"/>
    <w:rsid w:val="00E81AED"/>
    <w:rsid w:val="00E95C6D"/>
    <w:rsid w:val="00EA1DB6"/>
    <w:rsid w:val="00EA3DE7"/>
    <w:rsid w:val="00EA7DA9"/>
    <w:rsid w:val="00EB3B7D"/>
    <w:rsid w:val="00EB6B9B"/>
    <w:rsid w:val="00EC55D0"/>
    <w:rsid w:val="00EC5CDE"/>
    <w:rsid w:val="00ED1890"/>
    <w:rsid w:val="00ED51FB"/>
    <w:rsid w:val="00EF6BD5"/>
    <w:rsid w:val="00F0436B"/>
    <w:rsid w:val="00F0531F"/>
    <w:rsid w:val="00F15CA6"/>
    <w:rsid w:val="00F1661D"/>
    <w:rsid w:val="00F2289E"/>
    <w:rsid w:val="00F26CBB"/>
    <w:rsid w:val="00F43ADE"/>
    <w:rsid w:val="00F4541B"/>
    <w:rsid w:val="00F558EE"/>
    <w:rsid w:val="00F56B6C"/>
    <w:rsid w:val="00F57D60"/>
    <w:rsid w:val="00F63705"/>
    <w:rsid w:val="00F8566F"/>
    <w:rsid w:val="00F9625E"/>
    <w:rsid w:val="00FC6619"/>
    <w:rsid w:val="00FD4E59"/>
    <w:rsid w:val="00FE6000"/>
    <w:rsid w:val="00FF625D"/>
    <w:rsid w:val="00FF71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B7D"/>
    <w:pPr>
      <w:widowControl w:val="0"/>
    </w:pPr>
    <w:rPr>
      <w:sz w:val="22"/>
      <w:lang w:val="en-US" w:eastAsia="en-US"/>
    </w:rPr>
  </w:style>
  <w:style w:type="paragraph" w:styleId="1">
    <w:name w:val="heading 1"/>
    <w:basedOn w:val="a"/>
    <w:next w:val="a"/>
    <w:qFormat/>
    <w:rsid w:val="00EB3B7D"/>
    <w:pPr>
      <w:keepNext/>
      <w:jc w:val="center"/>
      <w:outlineLvl w:val="0"/>
    </w:pPr>
    <w:rPr>
      <w:b/>
      <w:lang w:val="el-GR"/>
    </w:rPr>
  </w:style>
  <w:style w:type="paragraph" w:styleId="2">
    <w:name w:val="heading 2"/>
    <w:basedOn w:val="a"/>
    <w:next w:val="a"/>
    <w:qFormat/>
    <w:rsid w:val="00EB3B7D"/>
    <w:pPr>
      <w:keepNext/>
      <w:outlineLvl w:val="1"/>
    </w:pPr>
    <w:rPr>
      <w:b/>
      <w:lang w:val="el-GR"/>
    </w:rPr>
  </w:style>
  <w:style w:type="paragraph" w:styleId="6">
    <w:name w:val="heading 6"/>
    <w:basedOn w:val="a"/>
    <w:next w:val="a"/>
    <w:qFormat/>
    <w:rsid w:val="00EB3B7D"/>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EB3B7D"/>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3B7D"/>
    <w:rPr>
      <w:i/>
      <w:lang w:val="el-GR"/>
    </w:rPr>
  </w:style>
  <w:style w:type="paragraph" w:styleId="20">
    <w:name w:val="Body Text 2"/>
    <w:basedOn w:val="a"/>
    <w:rsid w:val="00EB3B7D"/>
    <w:pPr>
      <w:ind w:left="720" w:hanging="720"/>
    </w:pPr>
    <w:rPr>
      <w:lang w:val="el-GR"/>
    </w:rPr>
  </w:style>
  <w:style w:type="paragraph" w:styleId="21">
    <w:name w:val="Body Text Indent 2"/>
    <w:basedOn w:val="a"/>
    <w:rsid w:val="00EB3B7D"/>
    <w:pPr>
      <w:ind w:left="567" w:hanging="567"/>
    </w:pPr>
    <w:rPr>
      <w:lang w:val="el-GR"/>
    </w:rPr>
  </w:style>
  <w:style w:type="paragraph" w:styleId="a4">
    <w:name w:val="Block Text"/>
    <w:basedOn w:val="a"/>
    <w:rsid w:val="00EB3B7D"/>
    <w:pPr>
      <w:ind w:left="1985" w:right="1405" w:hanging="567"/>
    </w:pPr>
    <w:rPr>
      <w:b/>
      <w:lang w:val="el-GR"/>
    </w:rPr>
  </w:style>
  <w:style w:type="paragraph" w:styleId="a5">
    <w:name w:val="header"/>
    <w:basedOn w:val="a"/>
    <w:rsid w:val="00EB3B7D"/>
    <w:pPr>
      <w:tabs>
        <w:tab w:val="center" w:pos="4153"/>
        <w:tab w:val="right" w:pos="8306"/>
      </w:tabs>
    </w:pPr>
  </w:style>
  <w:style w:type="paragraph" w:styleId="a6">
    <w:name w:val="footer"/>
    <w:basedOn w:val="a"/>
    <w:rsid w:val="00EB3B7D"/>
    <w:pPr>
      <w:tabs>
        <w:tab w:val="center" w:pos="4153"/>
        <w:tab w:val="right" w:pos="8306"/>
      </w:tabs>
    </w:pPr>
  </w:style>
  <w:style w:type="paragraph" w:styleId="3">
    <w:name w:val="Body Text 3"/>
    <w:basedOn w:val="a"/>
    <w:rsid w:val="00EB3B7D"/>
    <w:rPr>
      <w:u w:val="single"/>
      <w:lang w:val="el-GR"/>
    </w:rPr>
  </w:style>
  <w:style w:type="paragraph" w:styleId="30">
    <w:name w:val="Body Text Indent 3"/>
    <w:basedOn w:val="a"/>
    <w:rsid w:val="00EB3B7D"/>
    <w:pPr>
      <w:ind w:left="567" w:hanging="567"/>
    </w:pPr>
    <w:rPr>
      <w:b/>
      <w:lang w:val="el-GR"/>
    </w:rPr>
  </w:style>
  <w:style w:type="character" w:styleId="a7">
    <w:name w:val="page number"/>
    <w:basedOn w:val="a0"/>
    <w:rsid w:val="00EB3B7D"/>
  </w:style>
  <w:style w:type="paragraph" w:styleId="a8">
    <w:name w:val="endnote text"/>
    <w:basedOn w:val="a"/>
    <w:semiHidden/>
    <w:rsid w:val="00EB3B7D"/>
    <w:pPr>
      <w:widowControl/>
      <w:tabs>
        <w:tab w:val="left" w:pos="567"/>
      </w:tabs>
    </w:pPr>
    <w:rPr>
      <w:lang w:val="en-GB"/>
    </w:rPr>
  </w:style>
  <w:style w:type="character" w:customStyle="1" w:styleId="tw4winMark">
    <w:name w:val="tw4winMark"/>
    <w:rsid w:val="00EB3B7D"/>
    <w:rPr>
      <w:rFonts w:ascii="Courier New" w:hAnsi="Courier New"/>
      <w:vanish/>
      <w:color w:val="800080"/>
      <w:vertAlign w:val="subscript"/>
    </w:rPr>
  </w:style>
  <w:style w:type="character" w:styleId="a9">
    <w:name w:val="annotation reference"/>
    <w:semiHidden/>
    <w:rsid w:val="00EB3B7D"/>
    <w:rPr>
      <w:sz w:val="16"/>
    </w:rPr>
  </w:style>
  <w:style w:type="paragraph" w:styleId="aa">
    <w:name w:val="annotation text"/>
    <w:basedOn w:val="a"/>
    <w:semiHidden/>
    <w:rsid w:val="00EB3B7D"/>
    <w:rPr>
      <w:sz w:val="20"/>
    </w:rPr>
  </w:style>
  <w:style w:type="paragraph" w:styleId="ab">
    <w:name w:val="Body Text Indent"/>
    <w:basedOn w:val="a"/>
    <w:rsid w:val="00EB3B7D"/>
    <w:pPr>
      <w:shd w:val="pct25" w:color="000000" w:fill="FFFFFF"/>
      <w:ind w:left="567" w:hanging="567"/>
    </w:pPr>
    <w:rPr>
      <w:b/>
      <w:lang w:val="el-GR"/>
    </w:rPr>
  </w:style>
  <w:style w:type="paragraph" w:customStyle="1" w:styleId="listssp">
    <w:name w:val="list:ssp"/>
    <w:basedOn w:val="a"/>
    <w:rsid w:val="00EB3B7D"/>
    <w:pPr>
      <w:widowControl/>
    </w:pPr>
    <w:rPr>
      <w:sz w:val="24"/>
      <w:lang w:val="en-GB"/>
    </w:rPr>
  </w:style>
  <w:style w:type="paragraph" w:customStyle="1" w:styleId="NoNumHead3">
    <w:name w:val="NoNum:Head3"/>
    <w:basedOn w:val="a"/>
    <w:next w:val="a"/>
    <w:rsid w:val="00EB3B7D"/>
    <w:pPr>
      <w:keepNext/>
      <w:widowControl/>
      <w:spacing w:before="120" w:after="240"/>
      <w:ind w:left="1151" w:hanging="1151"/>
      <w:outlineLvl w:val="0"/>
    </w:pPr>
    <w:rPr>
      <w:rFonts w:ascii="Arial" w:hAnsi="Arial"/>
      <w:b/>
      <w:sz w:val="24"/>
      <w:lang w:val="en-GB"/>
    </w:rPr>
  </w:style>
  <w:style w:type="paragraph" w:styleId="ac">
    <w:name w:val="Balloon Text"/>
    <w:basedOn w:val="a"/>
    <w:semiHidden/>
    <w:rsid w:val="00EB3B7D"/>
    <w:rPr>
      <w:rFonts w:ascii="Tahoma" w:hAnsi="Tahoma" w:cs="Tahoma"/>
      <w:sz w:val="16"/>
      <w:szCs w:val="16"/>
    </w:rPr>
  </w:style>
  <w:style w:type="table" w:styleId="ad">
    <w:name w:val="Table Grid"/>
    <w:basedOn w:val="a1"/>
    <w:rsid w:val="00C432E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6170</Words>
  <Characters>33318</Characters>
  <Application>Microsoft Office Word</Application>
  <DocSecurity>0</DocSecurity>
  <Lines>277</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Hewlett-Packard Company</Company>
  <LinksUpToDate>false</LinksUpToDate>
  <CharactersWithSpaces>39410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GlaxoWellcome</dc:creator>
  <cp:lastModifiedBy>user146</cp:lastModifiedBy>
  <cp:revision>4</cp:revision>
  <cp:lastPrinted>2013-09-02T06:26:00Z</cp:lastPrinted>
  <dcterms:created xsi:type="dcterms:W3CDTF">2013-09-02T06:28:00Z</dcterms:created>
  <dcterms:modified xsi:type="dcterms:W3CDTF">2013-09-23T05:10:00Z</dcterms:modified>
</cp:coreProperties>
</file>