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75FBC" w:rsidRPr="00BA6EBA" w:rsidRDefault="00075FBC" w:rsidP="00075FBC">
      <w:pPr>
        <w:jc w:val="center"/>
      </w:pPr>
      <w:r w:rsidRPr="00BA6EBA">
        <w:rPr>
          <w:b/>
        </w:rPr>
        <w:t>ΠΕΡΙΛΗΨΗ ΤΩΝ ΧΑΡΑΚΤΗΡΙΣΤΙΚΩΝ ΤΟΥ ΠΡΟΪΟΝΤΟΣ</w:t>
      </w:r>
    </w:p>
    <w:p w:rsidR="004C6E5C" w:rsidRDefault="004C6E5C">
      <w:pPr>
        <w:rPr>
          <w:lang w:val="en-US"/>
        </w:rPr>
      </w:pPr>
    </w:p>
    <w:p w:rsidR="00075FBC" w:rsidRPr="00075FBC" w:rsidRDefault="00075FBC" w:rsidP="00075FBC">
      <w:pPr>
        <w:jc w:val="both"/>
        <w:rPr>
          <w:szCs w:val="22"/>
        </w:rPr>
      </w:pPr>
      <w:r w:rsidRPr="00075FBC">
        <w:rPr>
          <w:b/>
          <w:szCs w:val="22"/>
        </w:rPr>
        <w:t>1.</w:t>
      </w:r>
      <w:r w:rsidRPr="00075FBC">
        <w:rPr>
          <w:b/>
          <w:szCs w:val="22"/>
        </w:rPr>
        <w:tab/>
        <w:t>ΟΝΟΜΑΣΙΑ ΤΟΥ ΦΑΡΜΑΚΕΥΤΙΚΟΥ ΠΡΟΪΟΝΤΟΣ</w:t>
      </w:r>
    </w:p>
    <w:p w:rsidR="00075FBC" w:rsidRPr="00075FBC" w:rsidRDefault="00075FBC" w:rsidP="00075FBC">
      <w:pPr>
        <w:jc w:val="both"/>
        <w:rPr>
          <w:bCs/>
          <w:szCs w:val="22"/>
        </w:rPr>
      </w:pPr>
    </w:p>
    <w:p w:rsidR="00075FBC" w:rsidRPr="00075FBC" w:rsidRDefault="00075FBC" w:rsidP="00075FBC">
      <w:pPr>
        <w:jc w:val="both"/>
        <w:rPr>
          <w:szCs w:val="22"/>
        </w:rPr>
      </w:pPr>
      <w:proofErr w:type="spellStart"/>
      <w:r w:rsidRPr="00075FBC">
        <w:rPr>
          <w:bCs/>
          <w:szCs w:val="22"/>
          <w:lang w:val="en-US"/>
        </w:rPr>
        <w:t>Xanator</w:t>
      </w:r>
      <w:proofErr w:type="spellEnd"/>
      <w:r w:rsidRPr="00075FBC">
        <w:rPr>
          <w:bCs/>
          <w:szCs w:val="22"/>
        </w:rPr>
        <w:t>/</w:t>
      </w:r>
      <w:proofErr w:type="spellStart"/>
      <w:r w:rsidRPr="00075FBC">
        <w:rPr>
          <w:bCs/>
          <w:szCs w:val="22"/>
          <w:lang w:val="en-US"/>
        </w:rPr>
        <w:t>Sieger</w:t>
      </w:r>
      <w:proofErr w:type="spellEnd"/>
      <w:r w:rsidRPr="00075FBC">
        <w:rPr>
          <w:szCs w:val="22"/>
        </w:rPr>
        <w:t xml:space="preserve"> </w:t>
      </w:r>
      <w:r w:rsidRPr="00075FBC">
        <w:t>20 </w:t>
      </w:r>
      <w:proofErr w:type="spellStart"/>
      <w:r w:rsidRPr="00075FBC">
        <w:rPr>
          <w:szCs w:val="22"/>
        </w:rPr>
        <w:t>mg</w:t>
      </w:r>
      <w:proofErr w:type="spellEnd"/>
      <w:r w:rsidRPr="00075FBC">
        <w:rPr>
          <w:szCs w:val="22"/>
        </w:rPr>
        <w:t xml:space="preserve">, επικαλυμμένα με λεπτό </w:t>
      </w:r>
      <w:proofErr w:type="spellStart"/>
      <w:r w:rsidRPr="00075FBC">
        <w:rPr>
          <w:szCs w:val="22"/>
        </w:rPr>
        <w:t>υμένιο</w:t>
      </w:r>
      <w:proofErr w:type="spellEnd"/>
      <w:r w:rsidRPr="00075FBC">
        <w:rPr>
          <w:szCs w:val="22"/>
        </w:rPr>
        <w:t xml:space="preserve"> δισκία</w:t>
      </w:r>
    </w:p>
    <w:p w:rsidR="00075FBC" w:rsidRPr="00075FBC" w:rsidRDefault="00075FBC" w:rsidP="00075FBC">
      <w:pPr>
        <w:jc w:val="both"/>
        <w:rPr>
          <w:szCs w:val="22"/>
        </w:rPr>
      </w:pPr>
      <w:proofErr w:type="spellStart"/>
      <w:r w:rsidRPr="00075FBC">
        <w:rPr>
          <w:bCs/>
          <w:szCs w:val="22"/>
          <w:lang w:val="en-US"/>
        </w:rPr>
        <w:t>Xanator</w:t>
      </w:r>
      <w:proofErr w:type="spellEnd"/>
      <w:r w:rsidRPr="00075FBC">
        <w:rPr>
          <w:bCs/>
          <w:szCs w:val="22"/>
        </w:rPr>
        <w:t>/</w:t>
      </w:r>
      <w:proofErr w:type="spellStart"/>
      <w:r w:rsidRPr="00075FBC">
        <w:rPr>
          <w:bCs/>
          <w:szCs w:val="22"/>
          <w:lang w:val="en-US"/>
        </w:rPr>
        <w:t>Sieger</w:t>
      </w:r>
      <w:proofErr w:type="spellEnd"/>
      <w:r w:rsidRPr="00075FBC">
        <w:rPr>
          <w:szCs w:val="22"/>
        </w:rPr>
        <w:t xml:space="preserve"> 40 </w:t>
      </w:r>
      <w:proofErr w:type="spellStart"/>
      <w:r w:rsidRPr="00075FBC">
        <w:rPr>
          <w:szCs w:val="22"/>
        </w:rPr>
        <w:t>mg</w:t>
      </w:r>
      <w:proofErr w:type="spellEnd"/>
      <w:r w:rsidRPr="00075FBC">
        <w:rPr>
          <w:szCs w:val="22"/>
        </w:rPr>
        <w:t xml:space="preserve">, επικαλυμμένα με λεπτό </w:t>
      </w:r>
      <w:proofErr w:type="spellStart"/>
      <w:r w:rsidRPr="00075FBC">
        <w:rPr>
          <w:szCs w:val="22"/>
        </w:rPr>
        <w:t>υμένιο</w:t>
      </w:r>
      <w:proofErr w:type="spellEnd"/>
      <w:r w:rsidRPr="00075FBC">
        <w:rPr>
          <w:szCs w:val="22"/>
        </w:rPr>
        <w:t xml:space="preserve"> δισκία</w:t>
      </w:r>
    </w:p>
    <w:p w:rsidR="00075FBC" w:rsidRPr="00075FBC" w:rsidRDefault="00075FBC" w:rsidP="00075FBC">
      <w:pPr>
        <w:jc w:val="both"/>
        <w:rPr>
          <w:szCs w:val="22"/>
        </w:rPr>
      </w:pPr>
    </w:p>
    <w:p w:rsidR="00075FBC" w:rsidRPr="00075FBC" w:rsidRDefault="00075FBC" w:rsidP="00075FBC">
      <w:pPr>
        <w:jc w:val="both"/>
        <w:rPr>
          <w:szCs w:val="22"/>
        </w:rPr>
      </w:pPr>
    </w:p>
    <w:p w:rsidR="00075FBC" w:rsidRPr="00075FBC" w:rsidRDefault="00075FBC" w:rsidP="00075FBC">
      <w:pPr>
        <w:jc w:val="both"/>
        <w:rPr>
          <w:szCs w:val="22"/>
        </w:rPr>
      </w:pPr>
      <w:r w:rsidRPr="00075FBC">
        <w:rPr>
          <w:b/>
          <w:szCs w:val="22"/>
        </w:rPr>
        <w:t>2.</w:t>
      </w:r>
      <w:r w:rsidRPr="00075FBC">
        <w:rPr>
          <w:b/>
          <w:szCs w:val="22"/>
        </w:rPr>
        <w:tab/>
        <w:t>ΠΟΙΟΤΙΚΗ ΚΑΙ ΠΟΣΟΤΙΚΗ ΣΥΝΘΕΣΗ</w:t>
      </w:r>
    </w:p>
    <w:p w:rsidR="00075FBC" w:rsidRPr="00075FBC" w:rsidRDefault="00075FBC" w:rsidP="00075FBC">
      <w:pPr>
        <w:jc w:val="both"/>
        <w:rPr>
          <w:szCs w:val="22"/>
        </w:rPr>
      </w:pPr>
    </w:p>
    <w:p w:rsidR="00075FBC" w:rsidRPr="00075FBC" w:rsidRDefault="00075FBC" w:rsidP="00075FBC">
      <w:pPr>
        <w:widowControl/>
        <w:jc w:val="both"/>
        <w:rPr>
          <w:szCs w:val="22"/>
        </w:rPr>
      </w:pPr>
      <w:r w:rsidRPr="00075FBC">
        <w:t xml:space="preserve">Κάθε επικαλυμμένο με λεπτό </w:t>
      </w:r>
      <w:proofErr w:type="spellStart"/>
      <w:r w:rsidRPr="00075FBC">
        <w:t>υμένιο</w:t>
      </w:r>
      <w:proofErr w:type="spellEnd"/>
      <w:r w:rsidRPr="00075FBC">
        <w:t xml:space="preserve"> δισκίο περιέχει </w:t>
      </w:r>
      <w:r w:rsidRPr="00075FBC">
        <w:rPr>
          <w:szCs w:val="22"/>
        </w:rPr>
        <w:t>20 </w:t>
      </w:r>
      <w:proofErr w:type="spellStart"/>
      <w:r w:rsidRPr="00075FBC">
        <w:rPr>
          <w:szCs w:val="22"/>
        </w:rPr>
        <w:t>mg</w:t>
      </w:r>
      <w:proofErr w:type="spellEnd"/>
      <w:r w:rsidRPr="00075FBC">
        <w:rPr>
          <w:szCs w:val="22"/>
        </w:rPr>
        <w:t xml:space="preserve"> </w:t>
      </w:r>
      <w:proofErr w:type="spellStart"/>
      <w:r w:rsidRPr="00075FBC">
        <w:rPr>
          <w:szCs w:val="22"/>
        </w:rPr>
        <w:t>ατορβαστατίνης</w:t>
      </w:r>
      <w:proofErr w:type="spellEnd"/>
      <w:r w:rsidRPr="00075FBC">
        <w:rPr>
          <w:szCs w:val="22"/>
        </w:rPr>
        <w:t xml:space="preserve"> ως </w:t>
      </w:r>
      <w:proofErr w:type="spellStart"/>
      <w:r w:rsidRPr="00075FBC">
        <w:rPr>
          <w:szCs w:val="22"/>
        </w:rPr>
        <w:t>atorvastatin</w:t>
      </w:r>
      <w:proofErr w:type="spellEnd"/>
      <w:r w:rsidRPr="00075FBC">
        <w:rPr>
          <w:szCs w:val="22"/>
        </w:rPr>
        <w:t xml:space="preserve"> </w:t>
      </w:r>
      <w:proofErr w:type="spellStart"/>
      <w:r w:rsidRPr="00075FBC">
        <w:rPr>
          <w:szCs w:val="22"/>
        </w:rPr>
        <w:t>calcium</w:t>
      </w:r>
      <w:proofErr w:type="spellEnd"/>
      <w:r w:rsidRPr="00075FBC">
        <w:rPr>
          <w:szCs w:val="22"/>
        </w:rPr>
        <w:t xml:space="preserve"> </w:t>
      </w:r>
      <w:proofErr w:type="spellStart"/>
      <w:r w:rsidRPr="00075FBC">
        <w:rPr>
          <w:szCs w:val="22"/>
        </w:rPr>
        <w:t>trihydrate</w:t>
      </w:r>
      <w:proofErr w:type="spellEnd"/>
      <w:r w:rsidRPr="00075FBC">
        <w:rPr>
          <w:szCs w:val="22"/>
        </w:rPr>
        <w:t>).</w:t>
      </w:r>
    </w:p>
    <w:p w:rsidR="00075FBC" w:rsidRPr="00075FBC" w:rsidRDefault="00075FBC" w:rsidP="00075FBC">
      <w:pPr>
        <w:widowControl/>
        <w:jc w:val="both"/>
        <w:rPr>
          <w:szCs w:val="22"/>
        </w:rPr>
      </w:pPr>
      <w:r w:rsidRPr="00075FBC">
        <w:t xml:space="preserve">Κάθε επικαλυμμένο με λεπτό </w:t>
      </w:r>
      <w:proofErr w:type="spellStart"/>
      <w:r w:rsidRPr="00075FBC">
        <w:t>υμένιο</w:t>
      </w:r>
      <w:proofErr w:type="spellEnd"/>
      <w:r w:rsidRPr="00075FBC">
        <w:t xml:space="preserve"> δισκίο περιέχει</w:t>
      </w:r>
      <w:r w:rsidRPr="00075FBC">
        <w:rPr>
          <w:szCs w:val="22"/>
        </w:rPr>
        <w:t xml:space="preserve"> 40 </w:t>
      </w:r>
      <w:proofErr w:type="spellStart"/>
      <w:r w:rsidRPr="00075FBC">
        <w:rPr>
          <w:szCs w:val="22"/>
        </w:rPr>
        <w:t>mg</w:t>
      </w:r>
      <w:proofErr w:type="spellEnd"/>
      <w:r w:rsidRPr="00075FBC">
        <w:rPr>
          <w:szCs w:val="22"/>
        </w:rPr>
        <w:t xml:space="preserve"> </w:t>
      </w:r>
      <w:proofErr w:type="spellStart"/>
      <w:r w:rsidRPr="00075FBC">
        <w:rPr>
          <w:szCs w:val="22"/>
        </w:rPr>
        <w:t>ατορβαστατίνης</w:t>
      </w:r>
      <w:proofErr w:type="spellEnd"/>
      <w:r w:rsidRPr="00075FBC">
        <w:rPr>
          <w:szCs w:val="22"/>
        </w:rPr>
        <w:t xml:space="preserve"> (ως </w:t>
      </w:r>
      <w:proofErr w:type="spellStart"/>
      <w:r w:rsidRPr="00075FBC">
        <w:rPr>
          <w:szCs w:val="22"/>
        </w:rPr>
        <w:t>atorvastatin</w:t>
      </w:r>
      <w:proofErr w:type="spellEnd"/>
      <w:r w:rsidRPr="00075FBC">
        <w:rPr>
          <w:szCs w:val="22"/>
        </w:rPr>
        <w:t xml:space="preserve"> </w:t>
      </w:r>
      <w:proofErr w:type="spellStart"/>
      <w:r w:rsidRPr="00075FBC">
        <w:rPr>
          <w:szCs w:val="22"/>
        </w:rPr>
        <w:t>calcium</w:t>
      </w:r>
      <w:proofErr w:type="spellEnd"/>
      <w:r w:rsidRPr="00075FBC">
        <w:rPr>
          <w:szCs w:val="22"/>
        </w:rPr>
        <w:t xml:space="preserve"> </w:t>
      </w:r>
      <w:proofErr w:type="spellStart"/>
      <w:r w:rsidRPr="00075FBC">
        <w:rPr>
          <w:szCs w:val="22"/>
        </w:rPr>
        <w:t>trihydrate</w:t>
      </w:r>
      <w:proofErr w:type="spellEnd"/>
      <w:r w:rsidRPr="00075FBC">
        <w:rPr>
          <w:szCs w:val="22"/>
        </w:rPr>
        <w:t>).</w:t>
      </w:r>
    </w:p>
    <w:p w:rsidR="00075FBC" w:rsidRPr="00075FBC" w:rsidRDefault="00075FBC" w:rsidP="00075FBC">
      <w:pPr>
        <w:widowControl/>
        <w:jc w:val="both"/>
      </w:pPr>
    </w:p>
    <w:p w:rsidR="00075FBC" w:rsidRPr="00075FBC" w:rsidRDefault="00075FBC" w:rsidP="00075FBC">
      <w:pPr>
        <w:widowControl/>
        <w:jc w:val="both"/>
        <w:rPr>
          <w:szCs w:val="22"/>
        </w:rPr>
      </w:pPr>
      <w:proofErr w:type="spellStart"/>
      <w:r w:rsidRPr="00075FBC">
        <w:rPr>
          <w:u w:val="single"/>
        </w:rPr>
        <w:t>Έκδοχο(α</w:t>
      </w:r>
      <w:proofErr w:type="spellEnd"/>
      <w:r w:rsidRPr="00075FBC">
        <w:rPr>
          <w:u w:val="single"/>
        </w:rPr>
        <w:t>) με γνωστή δράση</w:t>
      </w:r>
      <w:r w:rsidRPr="00075FBC">
        <w:t>:</w:t>
      </w:r>
    </w:p>
    <w:p w:rsidR="00075FBC" w:rsidRPr="00075FBC" w:rsidRDefault="00075FBC" w:rsidP="00075FBC">
      <w:pPr>
        <w:widowControl/>
        <w:jc w:val="both"/>
        <w:rPr>
          <w:szCs w:val="22"/>
        </w:rPr>
      </w:pPr>
    </w:p>
    <w:p w:rsidR="00075FBC" w:rsidRPr="00075FBC" w:rsidRDefault="00075FBC" w:rsidP="00075FBC">
      <w:pPr>
        <w:widowControl/>
        <w:jc w:val="both"/>
        <w:rPr>
          <w:szCs w:val="22"/>
        </w:rPr>
      </w:pPr>
      <w:r w:rsidRPr="00075FBC">
        <w:rPr>
          <w:szCs w:val="22"/>
        </w:rPr>
        <w:t xml:space="preserve">Κάθε </w:t>
      </w:r>
      <w:proofErr w:type="spellStart"/>
      <w:r w:rsidRPr="00075FBC">
        <w:rPr>
          <w:bCs/>
          <w:szCs w:val="22"/>
          <w:lang w:val="en-US"/>
        </w:rPr>
        <w:t>Xanator</w:t>
      </w:r>
      <w:proofErr w:type="spellEnd"/>
      <w:r w:rsidRPr="00075FBC">
        <w:rPr>
          <w:bCs/>
          <w:szCs w:val="22"/>
        </w:rPr>
        <w:t>/</w:t>
      </w:r>
      <w:proofErr w:type="spellStart"/>
      <w:r w:rsidRPr="00075FBC">
        <w:rPr>
          <w:bCs/>
          <w:szCs w:val="22"/>
          <w:lang w:val="en-US"/>
        </w:rPr>
        <w:t>Sieger</w:t>
      </w:r>
      <w:proofErr w:type="spellEnd"/>
      <w:r w:rsidRPr="00075FBC">
        <w:rPr>
          <w:szCs w:val="22"/>
        </w:rPr>
        <w:t xml:space="preserve"> 20 </w:t>
      </w:r>
      <w:proofErr w:type="spellStart"/>
      <w:r w:rsidRPr="00075FBC">
        <w:rPr>
          <w:szCs w:val="22"/>
        </w:rPr>
        <w:t>mg</w:t>
      </w:r>
      <w:proofErr w:type="spellEnd"/>
      <w:r w:rsidRPr="00075FBC">
        <w:rPr>
          <w:szCs w:val="22"/>
        </w:rPr>
        <w:t xml:space="preserve">, επικαλυμμένο με λεπτό </w:t>
      </w:r>
      <w:proofErr w:type="spellStart"/>
      <w:r w:rsidRPr="00075FBC">
        <w:rPr>
          <w:szCs w:val="22"/>
        </w:rPr>
        <w:t>υμένιο</w:t>
      </w:r>
      <w:proofErr w:type="spellEnd"/>
      <w:r w:rsidRPr="00075FBC">
        <w:rPr>
          <w:szCs w:val="22"/>
        </w:rPr>
        <w:t xml:space="preserve"> δισκίο περιέχει </w:t>
      </w:r>
      <w:r w:rsidRPr="00075FBC">
        <w:t>260,3</w:t>
      </w:r>
      <w:r w:rsidRPr="00075FBC">
        <w:rPr>
          <w:szCs w:val="22"/>
        </w:rPr>
        <w:t> </w:t>
      </w:r>
      <w:proofErr w:type="spellStart"/>
      <w:r w:rsidRPr="00075FBC">
        <w:rPr>
          <w:szCs w:val="22"/>
        </w:rPr>
        <w:t>mg</w:t>
      </w:r>
      <w:proofErr w:type="spellEnd"/>
      <w:r w:rsidRPr="00075FBC">
        <w:rPr>
          <w:szCs w:val="22"/>
        </w:rPr>
        <w:t xml:space="preserve"> άνυδρη λακτόζη.</w:t>
      </w:r>
    </w:p>
    <w:p w:rsidR="00075FBC" w:rsidRPr="00075FBC" w:rsidRDefault="00075FBC" w:rsidP="00075FBC">
      <w:pPr>
        <w:widowControl/>
        <w:jc w:val="both"/>
        <w:rPr>
          <w:szCs w:val="22"/>
        </w:rPr>
      </w:pPr>
      <w:r w:rsidRPr="00075FBC">
        <w:rPr>
          <w:szCs w:val="22"/>
        </w:rPr>
        <w:t xml:space="preserve">Κάθε </w:t>
      </w:r>
      <w:proofErr w:type="spellStart"/>
      <w:r w:rsidRPr="00075FBC">
        <w:rPr>
          <w:bCs/>
          <w:szCs w:val="22"/>
          <w:lang w:val="en-US"/>
        </w:rPr>
        <w:t>Xanator</w:t>
      </w:r>
      <w:proofErr w:type="spellEnd"/>
      <w:r w:rsidRPr="00075FBC">
        <w:rPr>
          <w:bCs/>
          <w:szCs w:val="22"/>
        </w:rPr>
        <w:t>/</w:t>
      </w:r>
      <w:proofErr w:type="spellStart"/>
      <w:r w:rsidRPr="00075FBC">
        <w:rPr>
          <w:bCs/>
          <w:szCs w:val="22"/>
          <w:lang w:val="en-US"/>
        </w:rPr>
        <w:t>Sieger</w:t>
      </w:r>
      <w:proofErr w:type="spellEnd"/>
      <w:r w:rsidRPr="00075FBC">
        <w:rPr>
          <w:szCs w:val="22"/>
        </w:rPr>
        <w:t xml:space="preserve"> 40 </w:t>
      </w:r>
      <w:proofErr w:type="spellStart"/>
      <w:r w:rsidRPr="00075FBC">
        <w:rPr>
          <w:szCs w:val="22"/>
        </w:rPr>
        <w:t>mg</w:t>
      </w:r>
      <w:proofErr w:type="spellEnd"/>
      <w:r w:rsidRPr="00075FBC">
        <w:rPr>
          <w:szCs w:val="22"/>
        </w:rPr>
        <w:t xml:space="preserve">, επικαλυμμένο με λεπτό </w:t>
      </w:r>
      <w:proofErr w:type="spellStart"/>
      <w:r w:rsidRPr="00075FBC">
        <w:rPr>
          <w:szCs w:val="22"/>
        </w:rPr>
        <w:t>υμένιο</w:t>
      </w:r>
      <w:proofErr w:type="spellEnd"/>
      <w:r w:rsidRPr="00075FBC">
        <w:rPr>
          <w:szCs w:val="22"/>
        </w:rPr>
        <w:t xml:space="preserve"> δισκίο περιέχει </w:t>
      </w:r>
      <w:r w:rsidRPr="00075FBC">
        <w:t>520,6</w:t>
      </w:r>
      <w:r w:rsidRPr="00075FBC">
        <w:rPr>
          <w:szCs w:val="22"/>
        </w:rPr>
        <w:t> </w:t>
      </w:r>
      <w:proofErr w:type="spellStart"/>
      <w:r w:rsidRPr="00075FBC">
        <w:rPr>
          <w:szCs w:val="22"/>
        </w:rPr>
        <w:t>mg</w:t>
      </w:r>
      <w:proofErr w:type="spellEnd"/>
      <w:r w:rsidRPr="00075FBC">
        <w:rPr>
          <w:szCs w:val="22"/>
        </w:rPr>
        <w:t xml:space="preserve"> άνυδρη λακτόζη.</w:t>
      </w:r>
    </w:p>
    <w:p w:rsidR="00075FBC" w:rsidRPr="00075FBC" w:rsidRDefault="00075FBC" w:rsidP="00075FBC">
      <w:pPr>
        <w:widowControl/>
        <w:jc w:val="both"/>
        <w:rPr>
          <w:szCs w:val="22"/>
        </w:rPr>
      </w:pPr>
    </w:p>
    <w:p w:rsidR="00075FBC" w:rsidRPr="00075FBC" w:rsidRDefault="00075FBC" w:rsidP="00075FBC">
      <w:pPr>
        <w:jc w:val="both"/>
        <w:rPr>
          <w:szCs w:val="22"/>
        </w:rPr>
      </w:pPr>
      <w:r w:rsidRPr="00075FBC">
        <w:rPr>
          <w:szCs w:val="22"/>
        </w:rPr>
        <w:t>Για τον πλήρη κατάλογο των εκδόχων, βλ. παράγραφο 6.1.</w:t>
      </w:r>
    </w:p>
    <w:p w:rsidR="00075FBC" w:rsidRPr="00075FBC" w:rsidRDefault="00075FBC" w:rsidP="00075FBC">
      <w:pPr>
        <w:jc w:val="both"/>
        <w:rPr>
          <w:sz w:val="20"/>
          <w:szCs w:val="22"/>
          <w:lang w:eastAsia="x-none"/>
        </w:rPr>
      </w:pPr>
    </w:p>
    <w:p w:rsidR="00075FBC" w:rsidRPr="00075FBC" w:rsidRDefault="00075FBC" w:rsidP="00075FBC">
      <w:pPr>
        <w:jc w:val="both"/>
        <w:rPr>
          <w:szCs w:val="22"/>
        </w:rPr>
      </w:pPr>
    </w:p>
    <w:p w:rsidR="00075FBC" w:rsidRPr="00075FBC" w:rsidRDefault="00075FBC" w:rsidP="00075FBC">
      <w:pPr>
        <w:jc w:val="both"/>
        <w:rPr>
          <w:szCs w:val="22"/>
        </w:rPr>
      </w:pPr>
      <w:r w:rsidRPr="00075FBC">
        <w:rPr>
          <w:b/>
          <w:szCs w:val="22"/>
        </w:rPr>
        <w:t>3.</w:t>
      </w:r>
      <w:r w:rsidRPr="00075FBC">
        <w:rPr>
          <w:b/>
          <w:szCs w:val="22"/>
        </w:rPr>
        <w:tab/>
        <w:t>ΦΑΡΜΑΚΟΤΕΧΝΙΚΗ ΜΟΡΦΗ</w:t>
      </w:r>
    </w:p>
    <w:p w:rsidR="00075FBC" w:rsidRPr="00075FBC" w:rsidRDefault="00075FBC" w:rsidP="00075FBC">
      <w:pPr>
        <w:jc w:val="both"/>
        <w:rPr>
          <w:szCs w:val="22"/>
        </w:rPr>
      </w:pPr>
    </w:p>
    <w:p w:rsidR="00075FBC" w:rsidRPr="00075FBC" w:rsidRDefault="00075FBC" w:rsidP="00075FBC">
      <w:pPr>
        <w:widowControl/>
        <w:jc w:val="both"/>
        <w:rPr>
          <w:szCs w:val="22"/>
          <w:lang w:val="en-US"/>
        </w:rPr>
      </w:pPr>
      <w:r w:rsidRPr="00075FBC">
        <w:rPr>
          <w:szCs w:val="22"/>
        </w:rPr>
        <w:t xml:space="preserve">Επικαλυμμένο με λεπτό </w:t>
      </w:r>
      <w:proofErr w:type="spellStart"/>
      <w:r w:rsidRPr="00075FBC">
        <w:rPr>
          <w:szCs w:val="22"/>
        </w:rPr>
        <w:t>υμένιο</w:t>
      </w:r>
      <w:proofErr w:type="spellEnd"/>
      <w:r w:rsidRPr="00075FBC">
        <w:rPr>
          <w:szCs w:val="22"/>
        </w:rPr>
        <w:t xml:space="preserve"> δισκίο</w:t>
      </w:r>
    </w:p>
    <w:p w:rsidR="00075FBC" w:rsidRPr="00075FBC" w:rsidRDefault="00075FBC" w:rsidP="00075FBC">
      <w:pPr>
        <w:jc w:val="both"/>
        <w:rPr>
          <w:szCs w:val="22"/>
        </w:rPr>
      </w:pPr>
      <w:r w:rsidRPr="00075FBC">
        <w:rPr>
          <w:szCs w:val="22"/>
        </w:rPr>
        <w:t xml:space="preserve">Λευκά, επιμήκη, αμφίκυρτα επικαλυμμένα με λεπτό </w:t>
      </w:r>
      <w:proofErr w:type="spellStart"/>
      <w:r w:rsidRPr="00075FBC">
        <w:rPr>
          <w:szCs w:val="22"/>
        </w:rPr>
        <w:t>υμένιο</w:t>
      </w:r>
      <w:proofErr w:type="spellEnd"/>
      <w:r w:rsidRPr="00075FBC">
        <w:rPr>
          <w:szCs w:val="22"/>
        </w:rPr>
        <w:t xml:space="preserve"> δισκία που φέρουν διαχωριστική γραμμή και στις δύο πλευρές.</w:t>
      </w:r>
    </w:p>
    <w:p w:rsidR="00075FBC" w:rsidRPr="00075FBC" w:rsidRDefault="00075FBC" w:rsidP="00075FBC">
      <w:pPr>
        <w:jc w:val="both"/>
        <w:rPr>
          <w:szCs w:val="22"/>
        </w:rPr>
      </w:pPr>
    </w:p>
    <w:p w:rsidR="00075FBC" w:rsidRPr="00075FBC" w:rsidRDefault="00075FBC" w:rsidP="00075FBC">
      <w:pPr>
        <w:jc w:val="both"/>
        <w:rPr>
          <w:szCs w:val="22"/>
        </w:rPr>
      </w:pPr>
    </w:p>
    <w:p w:rsidR="00075FBC" w:rsidRPr="00075FBC" w:rsidRDefault="00075FBC" w:rsidP="00075FBC">
      <w:pPr>
        <w:jc w:val="both"/>
        <w:rPr>
          <w:szCs w:val="22"/>
        </w:rPr>
      </w:pPr>
      <w:r w:rsidRPr="00075FBC">
        <w:rPr>
          <w:b/>
          <w:szCs w:val="22"/>
        </w:rPr>
        <w:t>4.</w:t>
      </w:r>
      <w:r w:rsidRPr="00075FBC">
        <w:rPr>
          <w:b/>
          <w:szCs w:val="22"/>
        </w:rPr>
        <w:tab/>
        <w:t>ΚΛΙΝΙΚΕΣ ΠΛΗΡΟΦΟΡΙΕΣ</w:t>
      </w:r>
    </w:p>
    <w:p w:rsidR="00075FBC" w:rsidRPr="00075FBC" w:rsidRDefault="00075FBC" w:rsidP="00075FBC">
      <w:pPr>
        <w:jc w:val="both"/>
        <w:rPr>
          <w:szCs w:val="22"/>
        </w:rPr>
      </w:pPr>
    </w:p>
    <w:p w:rsidR="00075FBC" w:rsidRPr="00075FBC" w:rsidRDefault="00075FBC" w:rsidP="00075FBC">
      <w:pPr>
        <w:jc w:val="both"/>
        <w:rPr>
          <w:szCs w:val="22"/>
        </w:rPr>
      </w:pPr>
      <w:r w:rsidRPr="00075FBC">
        <w:rPr>
          <w:b/>
          <w:szCs w:val="22"/>
        </w:rPr>
        <w:t>4.1</w:t>
      </w:r>
      <w:r w:rsidRPr="00075FBC">
        <w:rPr>
          <w:b/>
          <w:szCs w:val="22"/>
        </w:rPr>
        <w:tab/>
        <w:t>Θεραπευτικές ενδείξεις</w:t>
      </w:r>
    </w:p>
    <w:p w:rsidR="00075FBC" w:rsidRPr="00075FBC" w:rsidRDefault="00075FBC" w:rsidP="00075FBC">
      <w:pPr>
        <w:widowControl/>
        <w:jc w:val="both"/>
        <w:rPr>
          <w:szCs w:val="22"/>
        </w:rPr>
      </w:pPr>
    </w:p>
    <w:p w:rsidR="00075FBC" w:rsidRPr="00075FBC" w:rsidRDefault="00075FBC" w:rsidP="00075FBC">
      <w:pPr>
        <w:widowControl/>
        <w:spacing w:after="120"/>
        <w:jc w:val="both"/>
        <w:rPr>
          <w:szCs w:val="22"/>
          <w:u w:val="single"/>
        </w:rPr>
      </w:pPr>
      <w:proofErr w:type="spellStart"/>
      <w:r w:rsidRPr="00075FBC">
        <w:rPr>
          <w:szCs w:val="22"/>
          <w:u w:val="single"/>
        </w:rPr>
        <w:t>Υπερχοληστερολαιμία</w:t>
      </w:r>
      <w:proofErr w:type="spellEnd"/>
    </w:p>
    <w:p w:rsidR="00075FBC" w:rsidRPr="00075FBC" w:rsidRDefault="00075FBC" w:rsidP="00075FBC">
      <w:pPr>
        <w:widowControl/>
        <w:jc w:val="both"/>
        <w:rPr>
          <w:szCs w:val="22"/>
        </w:rPr>
      </w:pPr>
      <w:r w:rsidRPr="00075FBC">
        <w:rPr>
          <w:szCs w:val="22"/>
        </w:rPr>
        <w:t xml:space="preserve">Το </w:t>
      </w:r>
      <w:proofErr w:type="spellStart"/>
      <w:r w:rsidRPr="00075FBC">
        <w:rPr>
          <w:bCs/>
          <w:szCs w:val="22"/>
          <w:lang w:val="en-US"/>
        </w:rPr>
        <w:t>Xanator</w:t>
      </w:r>
      <w:proofErr w:type="spellEnd"/>
      <w:r w:rsidRPr="00075FBC">
        <w:rPr>
          <w:bCs/>
          <w:szCs w:val="22"/>
        </w:rPr>
        <w:t>/</w:t>
      </w:r>
      <w:proofErr w:type="spellStart"/>
      <w:r w:rsidRPr="00075FBC">
        <w:rPr>
          <w:bCs/>
          <w:szCs w:val="22"/>
          <w:lang w:val="en-US"/>
        </w:rPr>
        <w:t>Sieger</w:t>
      </w:r>
      <w:proofErr w:type="spellEnd"/>
      <w:r w:rsidRPr="00075FBC">
        <w:rPr>
          <w:szCs w:val="22"/>
        </w:rPr>
        <w:t xml:space="preserve"> ενδείκνυται ως συμπλήρωμα της δίαιτας για τη μείωση των αυξημένων επιπέδων της ολικής χοληστερόλης, της LDL-χοληστερόλης, της </w:t>
      </w:r>
      <w:proofErr w:type="spellStart"/>
      <w:r w:rsidRPr="00075FBC">
        <w:rPr>
          <w:szCs w:val="22"/>
        </w:rPr>
        <w:t>απολιποπρωτεΐνης</w:t>
      </w:r>
      <w:proofErr w:type="spellEnd"/>
      <w:r w:rsidRPr="00075FBC">
        <w:rPr>
          <w:szCs w:val="22"/>
        </w:rPr>
        <w:t xml:space="preserve"> Β και των </w:t>
      </w:r>
      <w:proofErr w:type="spellStart"/>
      <w:r w:rsidRPr="00075FBC">
        <w:rPr>
          <w:szCs w:val="22"/>
        </w:rPr>
        <w:t>τριγλυκεριδίων</w:t>
      </w:r>
      <w:proofErr w:type="spellEnd"/>
      <w:r w:rsidRPr="00075FBC">
        <w:rPr>
          <w:szCs w:val="22"/>
        </w:rPr>
        <w:t xml:space="preserve"> σε ενήλικες, εφήβους και παιδιά ηλικίας 10 ετών και άνω με πρωτοπαθή </w:t>
      </w:r>
      <w:proofErr w:type="spellStart"/>
      <w:r w:rsidRPr="00075FBC">
        <w:rPr>
          <w:szCs w:val="22"/>
        </w:rPr>
        <w:t>υπερχοληστερολαιμία</w:t>
      </w:r>
      <w:proofErr w:type="spellEnd"/>
      <w:r w:rsidRPr="00075FBC">
        <w:rPr>
          <w:szCs w:val="22"/>
        </w:rPr>
        <w:t xml:space="preserve">, συμπεριλαμβανομένης της </w:t>
      </w:r>
      <w:proofErr w:type="spellStart"/>
      <w:r w:rsidRPr="00075FBC">
        <w:rPr>
          <w:szCs w:val="22"/>
        </w:rPr>
        <w:t>ετερόζυγης</w:t>
      </w:r>
      <w:proofErr w:type="spellEnd"/>
      <w:r w:rsidRPr="00075FBC">
        <w:rPr>
          <w:szCs w:val="22"/>
        </w:rPr>
        <w:t xml:space="preserve"> </w:t>
      </w:r>
      <w:proofErr w:type="spellStart"/>
      <w:r w:rsidRPr="00075FBC">
        <w:rPr>
          <w:szCs w:val="22"/>
        </w:rPr>
        <w:t>οικογενούς</w:t>
      </w:r>
      <w:proofErr w:type="spellEnd"/>
      <w:r w:rsidRPr="00075FBC">
        <w:rPr>
          <w:szCs w:val="22"/>
        </w:rPr>
        <w:t xml:space="preserve"> </w:t>
      </w:r>
      <w:proofErr w:type="spellStart"/>
      <w:r w:rsidRPr="00075FBC">
        <w:rPr>
          <w:szCs w:val="22"/>
        </w:rPr>
        <w:t>υπερχοληστερολαιμίας</w:t>
      </w:r>
      <w:proofErr w:type="spellEnd"/>
      <w:r w:rsidRPr="00075FBC">
        <w:rPr>
          <w:szCs w:val="22"/>
        </w:rPr>
        <w:t xml:space="preserve"> και της συνδυασμένης (μεικτής) </w:t>
      </w:r>
      <w:proofErr w:type="spellStart"/>
      <w:r w:rsidRPr="00075FBC">
        <w:rPr>
          <w:szCs w:val="22"/>
        </w:rPr>
        <w:t>υπερλιπιδαιμίας</w:t>
      </w:r>
      <w:proofErr w:type="spellEnd"/>
      <w:r w:rsidRPr="00075FBC">
        <w:rPr>
          <w:szCs w:val="22"/>
        </w:rPr>
        <w:t xml:space="preserve"> (τύπος </w:t>
      </w:r>
      <w:proofErr w:type="spellStart"/>
      <w:r w:rsidRPr="00075FBC">
        <w:rPr>
          <w:szCs w:val="22"/>
        </w:rPr>
        <w:t>ΙIα</w:t>
      </w:r>
      <w:proofErr w:type="spellEnd"/>
      <w:r w:rsidRPr="00075FBC">
        <w:rPr>
          <w:szCs w:val="22"/>
        </w:rPr>
        <w:t xml:space="preserve"> και </w:t>
      </w:r>
      <w:proofErr w:type="spellStart"/>
      <w:r w:rsidRPr="00075FBC">
        <w:rPr>
          <w:szCs w:val="22"/>
        </w:rPr>
        <w:t>ΙIβ</w:t>
      </w:r>
      <w:proofErr w:type="spellEnd"/>
      <w:r w:rsidRPr="00075FBC">
        <w:rPr>
          <w:szCs w:val="22"/>
        </w:rPr>
        <w:t xml:space="preserve"> κατά </w:t>
      </w:r>
      <w:proofErr w:type="spellStart"/>
      <w:r w:rsidRPr="00075FBC">
        <w:rPr>
          <w:szCs w:val="22"/>
        </w:rPr>
        <w:t>Fredrickson</w:t>
      </w:r>
      <w:proofErr w:type="spellEnd"/>
      <w:r w:rsidRPr="00075FBC">
        <w:rPr>
          <w:szCs w:val="22"/>
        </w:rPr>
        <w:t>), όταν η δίαιτα και τα άλλα μη φαρμακολογικά μέτρα δεν επαρκούν.</w:t>
      </w:r>
    </w:p>
    <w:p w:rsidR="00075FBC" w:rsidRPr="00075FBC" w:rsidRDefault="00075FBC" w:rsidP="00075FBC">
      <w:pPr>
        <w:widowControl/>
        <w:jc w:val="both"/>
        <w:rPr>
          <w:szCs w:val="22"/>
        </w:rPr>
      </w:pPr>
    </w:p>
    <w:p w:rsidR="00075FBC" w:rsidRPr="00075FBC" w:rsidRDefault="00075FBC" w:rsidP="00075FBC">
      <w:pPr>
        <w:widowControl/>
        <w:jc w:val="both"/>
        <w:rPr>
          <w:szCs w:val="22"/>
        </w:rPr>
      </w:pPr>
      <w:r w:rsidRPr="00075FBC">
        <w:rPr>
          <w:szCs w:val="22"/>
        </w:rPr>
        <w:t xml:space="preserve">Το </w:t>
      </w:r>
      <w:proofErr w:type="spellStart"/>
      <w:r w:rsidRPr="00075FBC">
        <w:rPr>
          <w:bCs/>
          <w:szCs w:val="22"/>
          <w:lang w:val="en-US"/>
        </w:rPr>
        <w:t>Xanator</w:t>
      </w:r>
      <w:proofErr w:type="spellEnd"/>
      <w:r w:rsidRPr="00075FBC">
        <w:rPr>
          <w:bCs/>
          <w:szCs w:val="22"/>
        </w:rPr>
        <w:t>/</w:t>
      </w:r>
      <w:proofErr w:type="spellStart"/>
      <w:r w:rsidRPr="00075FBC">
        <w:rPr>
          <w:bCs/>
          <w:szCs w:val="22"/>
          <w:lang w:val="en-US"/>
        </w:rPr>
        <w:t>Sieger</w:t>
      </w:r>
      <w:proofErr w:type="spellEnd"/>
      <w:r w:rsidRPr="00075FBC">
        <w:rPr>
          <w:szCs w:val="22"/>
        </w:rPr>
        <w:t xml:space="preserve"> ενδείκνυται επίσης για τη μείωση της ολικής χοληστερόλης και της LDL – χοληστερόλης σε ενήλικες με ομόζυγο </w:t>
      </w:r>
      <w:proofErr w:type="spellStart"/>
      <w:r w:rsidRPr="00075FBC">
        <w:rPr>
          <w:szCs w:val="22"/>
        </w:rPr>
        <w:t>οικογενή</w:t>
      </w:r>
      <w:proofErr w:type="spellEnd"/>
      <w:r w:rsidRPr="00075FBC">
        <w:rPr>
          <w:szCs w:val="22"/>
        </w:rPr>
        <w:t xml:space="preserve"> </w:t>
      </w:r>
      <w:proofErr w:type="spellStart"/>
      <w:r w:rsidRPr="00075FBC">
        <w:rPr>
          <w:szCs w:val="22"/>
        </w:rPr>
        <w:t>υπερχοληστερολαιμία</w:t>
      </w:r>
      <w:proofErr w:type="spellEnd"/>
      <w:r w:rsidRPr="00075FBC">
        <w:rPr>
          <w:szCs w:val="22"/>
        </w:rPr>
        <w:t xml:space="preserve"> ως συμπλήρωμα σε άλλες </w:t>
      </w:r>
      <w:proofErr w:type="spellStart"/>
      <w:r w:rsidRPr="00075FBC">
        <w:rPr>
          <w:szCs w:val="22"/>
        </w:rPr>
        <w:t>υπολιπιδαιμικές</w:t>
      </w:r>
      <w:proofErr w:type="spellEnd"/>
      <w:r w:rsidRPr="00075FBC">
        <w:rPr>
          <w:szCs w:val="22"/>
        </w:rPr>
        <w:t xml:space="preserve"> θεραπείες (π.χ. LDL αφαίρεση) ή όταν οι θεραπείες αυτές δεν είναι διαθέσιμες. </w:t>
      </w:r>
    </w:p>
    <w:p w:rsidR="00075FBC" w:rsidRPr="00075FBC" w:rsidRDefault="00075FBC" w:rsidP="00075FBC">
      <w:pPr>
        <w:widowControl/>
        <w:jc w:val="both"/>
        <w:rPr>
          <w:szCs w:val="22"/>
        </w:rPr>
      </w:pPr>
    </w:p>
    <w:p w:rsidR="00075FBC" w:rsidRPr="00075FBC" w:rsidRDefault="00075FBC" w:rsidP="00075FBC">
      <w:pPr>
        <w:widowControl/>
        <w:spacing w:after="120"/>
        <w:jc w:val="both"/>
        <w:rPr>
          <w:szCs w:val="22"/>
          <w:u w:val="single"/>
        </w:rPr>
      </w:pPr>
      <w:r w:rsidRPr="00075FBC">
        <w:rPr>
          <w:szCs w:val="22"/>
          <w:u w:val="single"/>
        </w:rPr>
        <w:t>Πρόληψη καρδιαγγειακής νόσου</w:t>
      </w:r>
    </w:p>
    <w:p w:rsidR="00075FBC" w:rsidRPr="00075FBC" w:rsidRDefault="00075FBC" w:rsidP="00075FBC">
      <w:pPr>
        <w:widowControl/>
        <w:jc w:val="both"/>
        <w:rPr>
          <w:iCs/>
          <w:szCs w:val="22"/>
          <w:lang w:eastAsia="x-none"/>
        </w:rPr>
      </w:pPr>
      <w:r w:rsidRPr="00075FBC">
        <w:rPr>
          <w:iCs/>
          <w:szCs w:val="22"/>
          <w:lang w:eastAsia="x-none"/>
        </w:rPr>
        <w:t xml:space="preserve">Πρόληψη των καρδιαγγειακών </w:t>
      </w:r>
      <w:proofErr w:type="spellStart"/>
      <w:r w:rsidRPr="00075FBC">
        <w:rPr>
          <w:iCs/>
          <w:szCs w:val="22"/>
          <w:lang w:eastAsia="x-none"/>
        </w:rPr>
        <w:t>συμβαμάτων</w:t>
      </w:r>
      <w:proofErr w:type="spellEnd"/>
      <w:r w:rsidRPr="00075FBC">
        <w:rPr>
          <w:iCs/>
          <w:szCs w:val="22"/>
          <w:lang w:eastAsia="x-none"/>
        </w:rPr>
        <w:t xml:space="preserve"> σε </w:t>
      </w:r>
      <w:r w:rsidRPr="00075FBC">
        <w:rPr>
          <w:szCs w:val="22"/>
          <w:lang w:eastAsia="x-none"/>
        </w:rPr>
        <w:t>ενήλικες</w:t>
      </w:r>
      <w:r w:rsidRPr="00075FBC">
        <w:rPr>
          <w:iCs/>
          <w:szCs w:val="22"/>
          <w:lang w:eastAsia="x-none"/>
        </w:rPr>
        <w:t xml:space="preserve"> ασθενείς για τους οποίους εκτιμάται ότι έχουν υψηλό κίνδυνο να εμφανίσουν το πρώτο καρδιαγγειακό </w:t>
      </w:r>
      <w:proofErr w:type="spellStart"/>
      <w:r w:rsidRPr="00075FBC">
        <w:rPr>
          <w:iCs/>
          <w:szCs w:val="22"/>
          <w:lang w:eastAsia="x-none"/>
        </w:rPr>
        <w:t>σύμβαμα</w:t>
      </w:r>
      <w:proofErr w:type="spellEnd"/>
      <w:r w:rsidRPr="00075FBC">
        <w:rPr>
          <w:szCs w:val="22"/>
          <w:lang w:eastAsia="x-none"/>
        </w:rPr>
        <w:t xml:space="preserve"> </w:t>
      </w:r>
      <w:r w:rsidRPr="00075FBC">
        <w:rPr>
          <w:iCs/>
          <w:szCs w:val="22"/>
          <w:lang w:eastAsia="x-none"/>
        </w:rPr>
        <w:t>(βλ. παράγραφο 5.1), ως συμπλήρωμα στη ρύθμιση άλλων παραγόντων κινδύνου.</w:t>
      </w:r>
    </w:p>
    <w:p w:rsidR="00075FBC" w:rsidRPr="00075FBC" w:rsidRDefault="00075FBC" w:rsidP="00075FBC">
      <w:pPr>
        <w:jc w:val="both"/>
        <w:rPr>
          <w:szCs w:val="22"/>
        </w:rPr>
      </w:pPr>
    </w:p>
    <w:p w:rsidR="00075FBC" w:rsidRPr="00075FBC" w:rsidRDefault="00075FBC" w:rsidP="00075FBC">
      <w:pPr>
        <w:numPr>
          <w:ilvl w:val="1"/>
          <w:numId w:val="1"/>
        </w:numPr>
        <w:jc w:val="both"/>
        <w:rPr>
          <w:b/>
          <w:szCs w:val="22"/>
        </w:rPr>
      </w:pPr>
      <w:r w:rsidRPr="00075FBC">
        <w:rPr>
          <w:b/>
          <w:szCs w:val="22"/>
        </w:rPr>
        <w:lastRenderedPageBreak/>
        <w:t>Δοσολογία και τρόπος χορήγησης</w:t>
      </w:r>
    </w:p>
    <w:p w:rsidR="00075FBC" w:rsidRPr="00075FBC" w:rsidRDefault="00075FBC" w:rsidP="00075FBC">
      <w:pPr>
        <w:jc w:val="both"/>
        <w:rPr>
          <w:szCs w:val="22"/>
        </w:rPr>
      </w:pPr>
    </w:p>
    <w:p w:rsidR="00075FBC" w:rsidRPr="00075FBC" w:rsidRDefault="00075FBC" w:rsidP="00075FBC">
      <w:pPr>
        <w:spacing w:after="120"/>
        <w:jc w:val="both"/>
        <w:rPr>
          <w:szCs w:val="22"/>
          <w:u w:val="single"/>
        </w:rPr>
      </w:pPr>
      <w:r w:rsidRPr="00075FBC">
        <w:rPr>
          <w:szCs w:val="22"/>
          <w:u w:val="single"/>
        </w:rPr>
        <w:t>Δοσολογία</w:t>
      </w:r>
    </w:p>
    <w:p w:rsidR="00075FBC" w:rsidRPr="00075FBC" w:rsidRDefault="00075FBC" w:rsidP="00075FBC">
      <w:pPr>
        <w:widowControl/>
        <w:jc w:val="both"/>
        <w:rPr>
          <w:szCs w:val="22"/>
        </w:rPr>
      </w:pPr>
      <w:r w:rsidRPr="00075FBC">
        <w:rPr>
          <w:szCs w:val="22"/>
        </w:rPr>
        <w:t xml:space="preserve">Ο ασθενής πριν από τη λήψη του </w:t>
      </w:r>
      <w:proofErr w:type="spellStart"/>
      <w:r w:rsidRPr="00075FBC">
        <w:rPr>
          <w:bCs/>
          <w:szCs w:val="22"/>
          <w:lang w:val="en-US"/>
        </w:rPr>
        <w:t>Xanator</w:t>
      </w:r>
      <w:proofErr w:type="spellEnd"/>
      <w:r w:rsidRPr="00075FBC">
        <w:rPr>
          <w:bCs/>
          <w:szCs w:val="22"/>
        </w:rPr>
        <w:t>/</w:t>
      </w:r>
      <w:proofErr w:type="spellStart"/>
      <w:r w:rsidRPr="00075FBC">
        <w:rPr>
          <w:bCs/>
          <w:szCs w:val="22"/>
          <w:lang w:val="en-US"/>
        </w:rPr>
        <w:t>Sieger</w:t>
      </w:r>
      <w:proofErr w:type="spellEnd"/>
      <w:r w:rsidRPr="00075FBC">
        <w:rPr>
          <w:szCs w:val="22"/>
        </w:rPr>
        <w:t xml:space="preserve"> θα πρέπει να ακολουθήσει μια σταθερή </w:t>
      </w:r>
      <w:proofErr w:type="spellStart"/>
      <w:r w:rsidRPr="00075FBC">
        <w:rPr>
          <w:szCs w:val="22"/>
        </w:rPr>
        <w:t>υπολιπιδαιμική</w:t>
      </w:r>
      <w:proofErr w:type="spellEnd"/>
      <w:r w:rsidRPr="00075FBC">
        <w:rPr>
          <w:szCs w:val="22"/>
        </w:rPr>
        <w:t xml:space="preserve"> δίαιτα, την οποία και θα συνεχίσει κατά τη διάρκεια της θεραπείας του με το </w:t>
      </w:r>
      <w:proofErr w:type="spellStart"/>
      <w:r w:rsidRPr="00075FBC">
        <w:rPr>
          <w:bCs/>
          <w:szCs w:val="22"/>
          <w:lang w:val="en-US"/>
        </w:rPr>
        <w:t>Xanator</w:t>
      </w:r>
      <w:proofErr w:type="spellEnd"/>
      <w:r w:rsidRPr="00075FBC">
        <w:rPr>
          <w:bCs/>
          <w:szCs w:val="22"/>
        </w:rPr>
        <w:t>/</w:t>
      </w:r>
      <w:proofErr w:type="spellStart"/>
      <w:r w:rsidRPr="00075FBC">
        <w:rPr>
          <w:bCs/>
          <w:szCs w:val="22"/>
          <w:lang w:val="en-US"/>
        </w:rPr>
        <w:t>Sieger</w:t>
      </w:r>
      <w:proofErr w:type="spellEnd"/>
      <w:r w:rsidRPr="00075FBC">
        <w:rPr>
          <w:szCs w:val="22"/>
        </w:rPr>
        <w:t xml:space="preserve">. </w:t>
      </w:r>
    </w:p>
    <w:p w:rsidR="00075FBC" w:rsidRPr="00075FBC" w:rsidRDefault="00075FBC" w:rsidP="00075FBC">
      <w:pPr>
        <w:widowControl/>
        <w:jc w:val="both"/>
        <w:rPr>
          <w:szCs w:val="22"/>
        </w:rPr>
      </w:pPr>
    </w:p>
    <w:p w:rsidR="00075FBC" w:rsidRPr="00075FBC" w:rsidRDefault="00075FBC" w:rsidP="00075FBC">
      <w:pPr>
        <w:widowControl/>
        <w:jc w:val="both"/>
        <w:rPr>
          <w:szCs w:val="22"/>
        </w:rPr>
      </w:pPr>
      <w:r w:rsidRPr="00075FBC">
        <w:rPr>
          <w:szCs w:val="22"/>
        </w:rPr>
        <w:t xml:space="preserve">Η δόση πρέπει να εξατομικεύεται με βάση τα αρχικά επίπεδα της LDL-χοληστερόλης, τους στόχους της θεραπείας και την ανταπόκριση του ασθενούς. </w:t>
      </w:r>
    </w:p>
    <w:p w:rsidR="00075FBC" w:rsidRPr="00075FBC" w:rsidRDefault="00075FBC" w:rsidP="00075FBC">
      <w:pPr>
        <w:widowControl/>
        <w:jc w:val="both"/>
        <w:rPr>
          <w:szCs w:val="22"/>
        </w:rPr>
      </w:pPr>
    </w:p>
    <w:p w:rsidR="00075FBC" w:rsidRPr="00075FBC" w:rsidRDefault="00075FBC" w:rsidP="00075FBC">
      <w:pPr>
        <w:widowControl/>
        <w:jc w:val="both"/>
        <w:rPr>
          <w:szCs w:val="22"/>
        </w:rPr>
      </w:pPr>
      <w:r w:rsidRPr="00075FBC">
        <w:rPr>
          <w:szCs w:val="22"/>
        </w:rPr>
        <w:t>Η συνήθης αρχική δόση είναι 10 </w:t>
      </w:r>
      <w:proofErr w:type="spellStart"/>
      <w:r w:rsidRPr="00075FBC">
        <w:rPr>
          <w:szCs w:val="22"/>
        </w:rPr>
        <w:t>mg</w:t>
      </w:r>
      <w:proofErr w:type="spellEnd"/>
      <w:r w:rsidRPr="00075FBC">
        <w:rPr>
          <w:szCs w:val="22"/>
        </w:rPr>
        <w:t xml:space="preserve"> μία φορά την ημέρα. Τροποποίηση της δόσης πρέπει να γίνεται ανά μεσοδιαστήματα 4 εβδομάδων ή μεγαλύτερα. Η μέγιστη δόση είναι 80 </w:t>
      </w:r>
      <w:proofErr w:type="spellStart"/>
      <w:r w:rsidRPr="00075FBC">
        <w:rPr>
          <w:szCs w:val="22"/>
        </w:rPr>
        <w:t>mg</w:t>
      </w:r>
      <w:proofErr w:type="spellEnd"/>
      <w:r w:rsidRPr="00075FBC">
        <w:rPr>
          <w:szCs w:val="22"/>
        </w:rPr>
        <w:t xml:space="preserve"> μία φορά την ημέρα. </w:t>
      </w:r>
    </w:p>
    <w:p w:rsidR="00075FBC" w:rsidRPr="00075FBC" w:rsidRDefault="00075FBC" w:rsidP="00075FBC">
      <w:pPr>
        <w:widowControl/>
        <w:jc w:val="both"/>
        <w:rPr>
          <w:szCs w:val="22"/>
        </w:rPr>
      </w:pPr>
    </w:p>
    <w:p w:rsidR="00075FBC" w:rsidRPr="00075FBC" w:rsidRDefault="00075FBC" w:rsidP="00075FBC">
      <w:pPr>
        <w:widowControl/>
        <w:spacing w:after="120"/>
        <w:jc w:val="both"/>
        <w:rPr>
          <w:i/>
          <w:iCs/>
          <w:szCs w:val="22"/>
        </w:rPr>
      </w:pPr>
      <w:r w:rsidRPr="00075FBC">
        <w:rPr>
          <w:i/>
          <w:iCs/>
          <w:szCs w:val="22"/>
        </w:rPr>
        <w:t xml:space="preserve">Πρωτοπαθής </w:t>
      </w:r>
      <w:proofErr w:type="spellStart"/>
      <w:r w:rsidRPr="00075FBC">
        <w:rPr>
          <w:i/>
          <w:iCs/>
          <w:szCs w:val="22"/>
        </w:rPr>
        <w:t>υπερχοληστερολαιμία</w:t>
      </w:r>
      <w:proofErr w:type="spellEnd"/>
      <w:r w:rsidRPr="00075FBC">
        <w:rPr>
          <w:i/>
          <w:iCs/>
          <w:szCs w:val="22"/>
        </w:rPr>
        <w:t xml:space="preserve"> και συνδυασμένη (μεικτή) </w:t>
      </w:r>
      <w:proofErr w:type="spellStart"/>
      <w:r w:rsidRPr="00075FBC">
        <w:rPr>
          <w:i/>
          <w:iCs/>
          <w:szCs w:val="22"/>
        </w:rPr>
        <w:t>υπερλιπιδαιμία</w:t>
      </w:r>
      <w:proofErr w:type="spellEnd"/>
    </w:p>
    <w:p w:rsidR="00075FBC" w:rsidRPr="00075FBC" w:rsidRDefault="00075FBC" w:rsidP="00075FBC">
      <w:pPr>
        <w:widowControl/>
        <w:jc w:val="both"/>
        <w:rPr>
          <w:szCs w:val="22"/>
        </w:rPr>
      </w:pPr>
      <w:r w:rsidRPr="00075FBC">
        <w:rPr>
          <w:szCs w:val="22"/>
        </w:rPr>
        <w:t>Η πλειονότητα των ασθενών ελέγχεται με χορήγηση 10 </w:t>
      </w:r>
      <w:proofErr w:type="spellStart"/>
      <w:r w:rsidRPr="00075FBC">
        <w:rPr>
          <w:szCs w:val="22"/>
        </w:rPr>
        <w:t>mg</w:t>
      </w:r>
      <w:proofErr w:type="spellEnd"/>
      <w:r w:rsidRPr="00075FBC">
        <w:rPr>
          <w:szCs w:val="22"/>
        </w:rPr>
        <w:t xml:space="preserve"> </w:t>
      </w:r>
      <w:proofErr w:type="spellStart"/>
      <w:r w:rsidRPr="00075FBC">
        <w:rPr>
          <w:szCs w:val="22"/>
        </w:rPr>
        <w:t>ατορβαστατίνης</w:t>
      </w:r>
      <w:proofErr w:type="spellEnd"/>
      <w:r w:rsidRPr="00075FBC">
        <w:rPr>
          <w:szCs w:val="22"/>
        </w:rPr>
        <w:t xml:space="preserve"> άπαξ ημερησίως. Τα αποτελέσματα της θεραπείας φαίνονται σε 2 εβδομάδες, ενώ η μέγιστη θεραπευτική ανταπόκριση συνήθως επιτυγχάνεται σε 4 εβδομάδες διαρκεί δε όσο ο ασθενής παίρνει το φάρμακο.</w:t>
      </w:r>
    </w:p>
    <w:p w:rsidR="00075FBC" w:rsidRPr="00075FBC" w:rsidRDefault="00075FBC" w:rsidP="00075FBC">
      <w:pPr>
        <w:widowControl/>
        <w:jc w:val="both"/>
        <w:rPr>
          <w:b/>
          <w:bCs/>
          <w:szCs w:val="22"/>
        </w:rPr>
      </w:pPr>
    </w:p>
    <w:p w:rsidR="00075FBC" w:rsidRPr="00075FBC" w:rsidRDefault="00075FBC" w:rsidP="00075FBC">
      <w:pPr>
        <w:widowControl/>
        <w:spacing w:after="120"/>
        <w:jc w:val="both"/>
        <w:rPr>
          <w:bCs/>
          <w:i/>
          <w:iCs/>
          <w:szCs w:val="22"/>
        </w:rPr>
      </w:pPr>
      <w:proofErr w:type="spellStart"/>
      <w:r w:rsidRPr="00075FBC">
        <w:rPr>
          <w:i/>
          <w:iCs/>
          <w:szCs w:val="22"/>
        </w:rPr>
        <w:t>Ετερόζυγος</w:t>
      </w:r>
      <w:proofErr w:type="spellEnd"/>
      <w:r w:rsidRPr="00075FBC">
        <w:rPr>
          <w:i/>
          <w:iCs/>
          <w:szCs w:val="22"/>
        </w:rPr>
        <w:t xml:space="preserve"> </w:t>
      </w:r>
      <w:proofErr w:type="spellStart"/>
      <w:r w:rsidRPr="00075FBC">
        <w:rPr>
          <w:i/>
          <w:iCs/>
          <w:szCs w:val="22"/>
        </w:rPr>
        <w:t>οικογενής</w:t>
      </w:r>
      <w:proofErr w:type="spellEnd"/>
      <w:r w:rsidRPr="00075FBC">
        <w:rPr>
          <w:i/>
          <w:iCs/>
          <w:szCs w:val="22"/>
        </w:rPr>
        <w:t xml:space="preserve"> </w:t>
      </w:r>
      <w:proofErr w:type="spellStart"/>
      <w:r w:rsidRPr="00075FBC">
        <w:rPr>
          <w:i/>
          <w:iCs/>
          <w:szCs w:val="22"/>
        </w:rPr>
        <w:t>υπερχοληστερολαιμία</w:t>
      </w:r>
      <w:proofErr w:type="spellEnd"/>
    </w:p>
    <w:p w:rsidR="00075FBC" w:rsidRPr="00075FBC" w:rsidRDefault="00075FBC" w:rsidP="00075FBC">
      <w:pPr>
        <w:widowControl/>
        <w:jc w:val="both"/>
        <w:rPr>
          <w:szCs w:val="22"/>
        </w:rPr>
      </w:pPr>
      <w:r w:rsidRPr="00075FBC">
        <w:rPr>
          <w:szCs w:val="22"/>
        </w:rPr>
        <w:t>Η θεραπεία αρχίζει με 10 </w:t>
      </w:r>
      <w:proofErr w:type="spellStart"/>
      <w:r w:rsidRPr="00075FBC">
        <w:rPr>
          <w:szCs w:val="22"/>
        </w:rPr>
        <w:t>mg</w:t>
      </w:r>
      <w:proofErr w:type="spellEnd"/>
      <w:r w:rsidRPr="00075FBC">
        <w:rPr>
          <w:szCs w:val="22"/>
        </w:rPr>
        <w:t xml:space="preserve"> </w:t>
      </w:r>
      <w:proofErr w:type="spellStart"/>
      <w:r w:rsidRPr="00075FBC">
        <w:rPr>
          <w:szCs w:val="22"/>
        </w:rPr>
        <w:t>ατορβαστατίνης</w:t>
      </w:r>
      <w:proofErr w:type="spellEnd"/>
      <w:r w:rsidRPr="00075FBC">
        <w:rPr>
          <w:szCs w:val="22"/>
        </w:rPr>
        <w:t xml:space="preserve"> ημερησίως. Οι δόσεις να εξατομικεύονται και να τροποποιούνται κάθε 4 εβδομάδες έως 40 </w:t>
      </w:r>
      <w:proofErr w:type="spellStart"/>
      <w:r w:rsidRPr="00075FBC">
        <w:rPr>
          <w:szCs w:val="22"/>
        </w:rPr>
        <w:t>mg</w:t>
      </w:r>
      <w:proofErr w:type="spellEnd"/>
      <w:r w:rsidRPr="00075FBC">
        <w:rPr>
          <w:szCs w:val="22"/>
        </w:rPr>
        <w:t xml:space="preserve"> ημερησίως. Στη συνέχεια, ή η δοσολογία αυξάνεται στη μέγιστη τιμή των 80 </w:t>
      </w:r>
      <w:proofErr w:type="spellStart"/>
      <w:r w:rsidRPr="00075FBC">
        <w:rPr>
          <w:szCs w:val="22"/>
        </w:rPr>
        <w:t>mg</w:t>
      </w:r>
      <w:proofErr w:type="spellEnd"/>
      <w:r w:rsidRPr="00075FBC">
        <w:rPr>
          <w:szCs w:val="22"/>
        </w:rPr>
        <w:t xml:space="preserve"> ημερησίως ή χορηγούνται 40 </w:t>
      </w:r>
      <w:proofErr w:type="spellStart"/>
      <w:r w:rsidRPr="00075FBC">
        <w:rPr>
          <w:szCs w:val="22"/>
        </w:rPr>
        <w:t>mg</w:t>
      </w:r>
      <w:proofErr w:type="spellEnd"/>
      <w:r w:rsidRPr="00075FBC">
        <w:rPr>
          <w:szCs w:val="22"/>
        </w:rPr>
        <w:t xml:space="preserve"> </w:t>
      </w:r>
      <w:proofErr w:type="spellStart"/>
      <w:r w:rsidRPr="00075FBC">
        <w:rPr>
          <w:szCs w:val="22"/>
        </w:rPr>
        <w:t>ατορβαστατίνης</w:t>
      </w:r>
      <w:proofErr w:type="spellEnd"/>
      <w:r w:rsidRPr="00075FBC">
        <w:rPr>
          <w:szCs w:val="22"/>
        </w:rPr>
        <w:t xml:space="preserve"> μία φορά την ημέρα, σε συνδυασμό με κάποια ρητίνη ανταλλαγής ιόντων.</w:t>
      </w:r>
    </w:p>
    <w:p w:rsidR="00075FBC" w:rsidRPr="00075FBC" w:rsidRDefault="00075FBC" w:rsidP="00075FBC">
      <w:pPr>
        <w:widowControl/>
        <w:jc w:val="both"/>
        <w:rPr>
          <w:szCs w:val="22"/>
        </w:rPr>
      </w:pPr>
    </w:p>
    <w:p w:rsidR="00075FBC" w:rsidRPr="00075FBC" w:rsidRDefault="00075FBC" w:rsidP="00075FBC">
      <w:pPr>
        <w:widowControl/>
        <w:spacing w:after="120"/>
        <w:jc w:val="both"/>
        <w:rPr>
          <w:bCs/>
          <w:i/>
          <w:iCs/>
          <w:szCs w:val="22"/>
        </w:rPr>
      </w:pPr>
      <w:r w:rsidRPr="00075FBC">
        <w:rPr>
          <w:i/>
          <w:iCs/>
          <w:szCs w:val="22"/>
        </w:rPr>
        <w:t xml:space="preserve">Ομόζυγος </w:t>
      </w:r>
      <w:proofErr w:type="spellStart"/>
      <w:r w:rsidRPr="00075FBC">
        <w:rPr>
          <w:i/>
          <w:iCs/>
          <w:szCs w:val="22"/>
        </w:rPr>
        <w:t>οικογενής</w:t>
      </w:r>
      <w:proofErr w:type="spellEnd"/>
      <w:r w:rsidRPr="00075FBC">
        <w:rPr>
          <w:i/>
          <w:iCs/>
          <w:szCs w:val="22"/>
        </w:rPr>
        <w:t xml:space="preserve"> </w:t>
      </w:r>
      <w:proofErr w:type="spellStart"/>
      <w:r w:rsidRPr="00075FBC">
        <w:rPr>
          <w:i/>
          <w:iCs/>
          <w:szCs w:val="22"/>
        </w:rPr>
        <w:t>υπερχοληστερολαιμία</w:t>
      </w:r>
      <w:proofErr w:type="spellEnd"/>
    </w:p>
    <w:p w:rsidR="00075FBC" w:rsidRPr="00075FBC" w:rsidRDefault="00075FBC" w:rsidP="00075FBC">
      <w:pPr>
        <w:widowControl/>
        <w:jc w:val="both"/>
        <w:rPr>
          <w:szCs w:val="22"/>
        </w:rPr>
      </w:pPr>
      <w:r w:rsidRPr="00075FBC">
        <w:rPr>
          <w:szCs w:val="22"/>
        </w:rPr>
        <w:t>Μόνο περιορισμένα δεδομένα είναι διαθέσιμα (βλ. παράγραφο 5.1)</w:t>
      </w:r>
    </w:p>
    <w:p w:rsidR="00075FBC" w:rsidRPr="00075FBC" w:rsidRDefault="00075FBC" w:rsidP="00075FBC">
      <w:pPr>
        <w:widowControl/>
        <w:jc w:val="both"/>
        <w:rPr>
          <w:szCs w:val="22"/>
        </w:rPr>
      </w:pPr>
    </w:p>
    <w:p w:rsidR="00075FBC" w:rsidRPr="00075FBC" w:rsidRDefault="00075FBC" w:rsidP="00075FBC">
      <w:pPr>
        <w:widowControl/>
        <w:jc w:val="both"/>
        <w:rPr>
          <w:szCs w:val="22"/>
        </w:rPr>
      </w:pPr>
      <w:r w:rsidRPr="00075FBC">
        <w:rPr>
          <w:szCs w:val="22"/>
        </w:rPr>
        <w:t xml:space="preserve">Η δόση της </w:t>
      </w:r>
      <w:proofErr w:type="spellStart"/>
      <w:r w:rsidRPr="00075FBC">
        <w:rPr>
          <w:szCs w:val="22"/>
        </w:rPr>
        <w:t>ατορβαστατίνης</w:t>
      </w:r>
      <w:proofErr w:type="spellEnd"/>
      <w:r w:rsidRPr="00075FBC">
        <w:rPr>
          <w:szCs w:val="22"/>
        </w:rPr>
        <w:t xml:space="preserve"> σε ασθενείς με ομόζυγο </w:t>
      </w:r>
      <w:proofErr w:type="spellStart"/>
      <w:r w:rsidRPr="00075FBC">
        <w:rPr>
          <w:szCs w:val="22"/>
        </w:rPr>
        <w:t>οικογενή</w:t>
      </w:r>
      <w:proofErr w:type="spellEnd"/>
      <w:r w:rsidRPr="00075FBC">
        <w:rPr>
          <w:szCs w:val="22"/>
        </w:rPr>
        <w:t xml:space="preserve"> </w:t>
      </w:r>
      <w:proofErr w:type="spellStart"/>
      <w:r w:rsidRPr="00075FBC">
        <w:rPr>
          <w:szCs w:val="22"/>
        </w:rPr>
        <w:t>υπερχοληστερολαιμία</w:t>
      </w:r>
      <w:proofErr w:type="spellEnd"/>
      <w:r w:rsidRPr="00075FBC">
        <w:rPr>
          <w:szCs w:val="22"/>
        </w:rPr>
        <w:t xml:space="preserve"> είναι 10 έως 80 </w:t>
      </w:r>
      <w:proofErr w:type="spellStart"/>
      <w:r w:rsidRPr="00075FBC">
        <w:rPr>
          <w:szCs w:val="22"/>
        </w:rPr>
        <w:t>mg</w:t>
      </w:r>
      <w:proofErr w:type="spellEnd"/>
      <w:r w:rsidRPr="00075FBC">
        <w:rPr>
          <w:szCs w:val="22"/>
        </w:rPr>
        <w:t xml:space="preserve"> ημερησίως (βλ. παράγραφο 5.1). Η </w:t>
      </w:r>
      <w:proofErr w:type="spellStart"/>
      <w:r w:rsidRPr="00075FBC">
        <w:rPr>
          <w:szCs w:val="22"/>
        </w:rPr>
        <w:t>ατορβαστατίνη</w:t>
      </w:r>
      <w:proofErr w:type="spellEnd"/>
      <w:r w:rsidRPr="00075FBC">
        <w:rPr>
          <w:szCs w:val="22"/>
        </w:rPr>
        <w:t xml:space="preserve"> πρέπει να χορηγείται σ’ αυτούς ως συμπλήρωμα σε άλλες </w:t>
      </w:r>
      <w:proofErr w:type="spellStart"/>
      <w:r w:rsidRPr="00075FBC">
        <w:rPr>
          <w:szCs w:val="22"/>
        </w:rPr>
        <w:t>υπολιπιδαιμικές</w:t>
      </w:r>
      <w:proofErr w:type="spellEnd"/>
      <w:r w:rsidRPr="00075FBC">
        <w:rPr>
          <w:szCs w:val="22"/>
        </w:rPr>
        <w:t xml:space="preserve"> θεραπείες (π.χ. LDL αφαίρεση) ή όταν οι θεραπείες αυτές δεν είναι διαθέσιμες.</w:t>
      </w:r>
    </w:p>
    <w:p w:rsidR="00075FBC" w:rsidRPr="00075FBC" w:rsidRDefault="00075FBC" w:rsidP="00075FBC">
      <w:pPr>
        <w:widowControl/>
        <w:jc w:val="both"/>
        <w:rPr>
          <w:i/>
          <w:szCs w:val="22"/>
          <w:u w:val="single"/>
        </w:rPr>
      </w:pPr>
    </w:p>
    <w:p w:rsidR="00075FBC" w:rsidRPr="00075FBC" w:rsidRDefault="00075FBC" w:rsidP="00075FBC">
      <w:pPr>
        <w:widowControl/>
        <w:spacing w:after="120"/>
        <w:jc w:val="both"/>
        <w:rPr>
          <w:i/>
          <w:iCs/>
          <w:szCs w:val="22"/>
        </w:rPr>
      </w:pPr>
      <w:bookmarkStart w:id="0" w:name="OLE_LINK4"/>
      <w:r w:rsidRPr="00075FBC">
        <w:rPr>
          <w:i/>
          <w:iCs/>
          <w:szCs w:val="22"/>
        </w:rPr>
        <w:t xml:space="preserve">Πρόληψη </w:t>
      </w:r>
      <w:bookmarkEnd w:id="0"/>
      <w:r w:rsidRPr="00075FBC">
        <w:rPr>
          <w:i/>
          <w:iCs/>
          <w:szCs w:val="22"/>
        </w:rPr>
        <w:t>καρδιαγγειακής νόσου</w:t>
      </w:r>
    </w:p>
    <w:p w:rsidR="00075FBC" w:rsidRPr="00075FBC" w:rsidRDefault="00075FBC" w:rsidP="00075FBC">
      <w:pPr>
        <w:widowControl/>
        <w:jc w:val="both"/>
        <w:rPr>
          <w:b/>
          <w:iCs/>
          <w:szCs w:val="22"/>
        </w:rPr>
      </w:pPr>
      <w:r w:rsidRPr="00075FBC">
        <w:rPr>
          <w:szCs w:val="22"/>
        </w:rPr>
        <w:t xml:space="preserve">Στις μελέτες πρωτογενούς πρόληψης η δόση ήταν 10 </w:t>
      </w:r>
      <w:proofErr w:type="spellStart"/>
      <w:r w:rsidRPr="00075FBC">
        <w:rPr>
          <w:szCs w:val="22"/>
        </w:rPr>
        <w:t>mg</w:t>
      </w:r>
      <w:proofErr w:type="spellEnd"/>
      <w:r w:rsidRPr="00075FBC">
        <w:rPr>
          <w:szCs w:val="22"/>
        </w:rPr>
        <w:t>/ημέρα.</w:t>
      </w:r>
      <w:r w:rsidRPr="00075FBC">
        <w:rPr>
          <w:i/>
          <w:iCs/>
          <w:szCs w:val="22"/>
        </w:rPr>
        <w:t xml:space="preserve"> </w:t>
      </w:r>
      <w:r w:rsidRPr="00075FBC">
        <w:rPr>
          <w:iCs/>
          <w:szCs w:val="22"/>
        </w:rPr>
        <w:t>Υψηλότερες δόσεις μπορεί να είναι απαραίτητες ώστε να επιτευχθούν τα επίπεδα LDL-χοληστερόλης που προβλέπονται από τις τρέχουσες κατευθυντήριες οδηγίες.</w:t>
      </w:r>
    </w:p>
    <w:p w:rsidR="00075FBC" w:rsidRPr="00075FBC" w:rsidRDefault="00075FBC" w:rsidP="00075FBC">
      <w:pPr>
        <w:widowControl/>
        <w:jc w:val="both"/>
        <w:rPr>
          <w:szCs w:val="22"/>
        </w:rPr>
      </w:pPr>
    </w:p>
    <w:p w:rsidR="00075FBC" w:rsidRPr="00075FBC" w:rsidRDefault="00075FBC" w:rsidP="00075FBC">
      <w:pPr>
        <w:widowControl/>
        <w:spacing w:after="120"/>
        <w:jc w:val="both"/>
        <w:rPr>
          <w:i/>
          <w:iCs/>
          <w:szCs w:val="22"/>
        </w:rPr>
      </w:pPr>
      <w:r w:rsidRPr="00075FBC">
        <w:rPr>
          <w:i/>
          <w:iCs/>
          <w:szCs w:val="22"/>
        </w:rPr>
        <w:t>Ασθενείς με νεφρική δυσλειτουργία</w:t>
      </w:r>
    </w:p>
    <w:p w:rsidR="00075FBC" w:rsidRPr="00075FBC" w:rsidRDefault="00075FBC" w:rsidP="00075FBC">
      <w:pPr>
        <w:widowControl/>
        <w:jc w:val="both"/>
        <w:rPr>
          <w:szCs w:val="22"/>
        </w:rPr>
      </w:pPr>
      <w:r w:rsidRPr="00075FBC">
        <w:rPr>
          <w:szCs w:val="22"/>
        </w:rPr>
        <w:t>Δεν χρειάζεται τροποποίηση της δόσης (βλ. παράγραφο 4.4).</w:t>
      </w:r>
    </w:p>
    <w:p w:rsidR="00075FBC" w:rsidRPr="00075FBC" w:rsidRDefault="00075FBC" w:rsidP="00075FBC">
      <w:pPr>
        <w:jc w:val="both"/>
        <w:rPr>
          <w:szCs w:val="22"/>
        </w:rPr>
      </w:pPr>
    </w:p>
    <w:p w:rsidR="00075FBC" w:rsidRPr="00075FBC" w:rsidRDefault="00075FBC" w:rsidP="00075FBC">
      <w:pPr>
        <w:widowControl/>
        <w:spacing w:after="120"/>
        <w:jc w:val="both"/>
        <w:rPr>
          <w:i/>
          <w:iCs/>
          <w:szCs w:val="22"/>
        </w:rPr>
      </w:pPr>
      <w:r w:rsidRPr="00075FBC">
        <w:rPr>
          <w:i/>
          <w:iCs/>
          <w:szCs w:val="22"/>
        </w:rPr>
        <w:t>Ασθενείς με ηπατική δυσλειτουργία</w:t>
      </w:r>
    </w:p>
    <w:p w:rsidR="00075FBC" w:rsidRPr="00075FBC" w:rsidRDefault="00075FBC" w:rsidP="00075FBC">
      <w:pPr>
        <w:jc w:val="both"/>
        <w:rPr>
          <w:szCs w:val="22"/>
        </w:rPr>
      </w:pPr>
      <w:r w:rsidRPr="00075FBC">
        <w:rPr>
          <w:bCs/>
          <w:szCs w:val="22"/>
        </w:rPr>
        <w:t xml:space="preserve">Το </w:t>
      </w:r>
      <w:proofErr w:type="spellStart"/>
      <w:r w:rsidRPr="00075FBC">
        <w:rPr>
          <w:bCs/>
          <w:szCs w:val="22"/>
          <w:lang w:val="en-US"/>
        </w:rPr>
        <w:t>Xanator</w:t>
      </w:r>
      <w:proofErr w:type="spellEnd"/>
      <w:r w:rsidRPr="00075FBC">
        <w:rPr>
          <w:bCs/>
          <w:szCs w:val="22"/>
        </w:rPr>
        <w:t>/</w:t>
      </w:r>
      <w:proofErr w:type="spellStart"/>
      <w:r w:rsidRPr="00075FBC">
        <w:rPr>
          <w:bCs/>
          <w:szCs w:val="22"/>
          <w:lang w:val="en-US"/>
        </w:rPr>
        <w:t>Sieger</w:t>
      </w:r>
      <w:proofErr w:type="spellEnd"/>
      <w:r w:rsidRPr="00075FBC">
        <w:rPr>
          <w:szCs w:val="22"/>
        </w:rPr>
        <w:t xml:space="preserve"> </w:t>
      </w:r>
      <w:r w:rsidRPr="00075FBC">
        <w:rPr>
          <w:bCs/>
        </w:rPr>
        <w:t xml:space="preserve">θα πρέπει να χρησιμοποιείται με προσοχή σε ασθενείς με ηπατική </w:t>
      </w:r>
      <w:r w:rsidRPr="00075FBC">
        <w:rPr>
          <w:bCs/>
          <w:szCs w:val="22"/>
        </w:rPr>
        <w:t xml:space="preserve">δυσλειτουργία (βλ. παραγράφους 4.4 και 4.5). Το </w:t>
      </w:r>
      <w:proofErr w:type="spellStart"/>
      <w:r w:rsidRPr="00075FBC">
        <w:rPr>
          <w:bCs/>
          <w:szCs w:val="22"/>
          <w:lang w:val="en-US"/>
        </w:rPr>
        <w:t>Xanator</w:t>
      </w:r>
      <w:proofErr w:type="spellEnd"/>
      <w:r w:rsidRPr="00075FBC">
        <w:rPr>
          <w:bCs/>
          <w:szCs w:val="22"/>
        </w:rPr>
        <w:t>/</w:t>
      </w:r>
      <w:proofErr w:type="spellStart"/>
      <w:r w:rsidRPr="00075FBC">
        <w:rPr>
          <w:bCs/>
          <w:szCs w:val="22"/>
          <w:lang w:val="en-US"/>
        </w:rPr>
        <w:t>Sieger</w:t>
      </w:r>
      <w:proofErr w:type="spellEnd"/>
      <w:r w:rsidRPr="00075FBC">
        <w:rPr>
          <w:szCs w:val="22"/>
        </w:rPr>
        <w:t xml:space="preserve"> </w:t>
      </w:r>
      <w:r w:rsidRPr="00075FBC">
        <w:rPr>
          <w:bCs/>
        </w:rPr>
        <w:t>αντενδείκνυται σε ασθενείς με ενεργό ηπατική νόσο (βλ. παράγραφο 4.3).</w:t>
      </w:r>
    </w:p>
    <w:p w:rsidR="00075FBC" w:rsidRPr="00075FBC" w:rsidRDefault="00075FBC" w:rsidP="00075FBC">
      <w:pPr>
        <w:jc w:val="both"/>
        <w:rPr>
          <w:szCs w:val="22"/>
        </w:rPr>
      </w:pPr>
    </w:p>
    <w:p w:rsidR="00075FBC" w:rsidRPr="00075FBC" w:rsidRDefault="00075FBC" w:rsidP="00075FBC">
      <w:pPr>
        <w:widowControl/>
        <w:jc w:val="both"/>
        <w:rPr>
          <w:szCs w:val="22"/>
        </w:rPr>
      </w:pPr>
      <w:r w:rsidRPr="00075FBC">
        <w:rPr>
          <w:i/>
          <w:iCs/>
          <w:szCs w:val="22"/>
        </w:rPr>
        <w:t>Ηλικιωμένοι ασθενείς</w:t>
      </w:r>
      <w:r w:rsidRPr="00075FBC" w:rsidDel="00F05247">
        <w:rPr>
          <w:i/>
          <w:iCs/>
          <w:szCs w:val="22"/>
        </w:rPr>
        <w:t xml:space="preserve"> </w:t>
      </w:r>
    </w:p>
    <w:p w:rsidR="00075FBC" w:rsidRPr="00075FBC" w:rsidRDefault="00075FBC" w:rsidP="00075FBC">
      <w:pPr>
        <w:widowControl/>
        <w:jc w:val="both"/>
        <w:rPr>
          <w:szCs w:val="22"/>
        </w:rPr>
      </w:pPr>
      <w:r w:rsidRPr="00075FBC">
        <w:rPr>
          <w:szCs w:val="22"/>
        </w:rPr>
        <w:t>Η αποτελεσματικότητα και η ασφάλεια του φαρμάκου σε ασθενείς ηλικίας μεγαλύτερης των 70 ετών, όταν χρησιμοποιούνται οι συνιστώμενες δόσεις, είναι παρόμοιες με εκείνες που παρατηρήθηκαν στο γενικό πληθυσμό.</w:t>
      </w:r>
    </w:p>
    <w:p w:rsidR="00075FBC" w:rsidRPr="00075FBC" w:rsidRDefault="00075FBC" w:rsidP="00075FBC">
      <w:pPr>
        <w:widowControl/>
        <w:jc w:val="both"/>
        <w:rPr>
          <w:szCs w:val="22"/>
        </w:rPr>
      </w:pPr>
    </w:p>
    <w:p w:rsidR="00075FBC" w:rsidRPr="00075FBC" w:rsidRDefault="00075FBC" w:rsidP="00075FBC">
      <w:pPr>
        <w:widowControl/>
        <w:spacing w:after="120"/>
        <w:jc w:val="both"/>
        <w:rPr>
          <w:i/>
          <w:iCs/>
          <w:szCs w:val="22"/>
        </w:rPr>
      </w:pPr>
      <w:r w:rsidRPr="00075FBC">
        <w:rPr>
          <w:i/>
          <w:iCs/>
          <w:szCs w:val="22"/>
        </w:rPr>
        <w:t xml:space="preserve">Παιδιατρικός πληθυσμός </w:t>
      </w:r>
    </w:p>
    <w:p w:rsidR="00075FBC" w:rsidRPr="00075FBC" w:rsidRDefault="00075FBC" w:rsidP="00075FBC">
      <w:pPr>
        <w:widowControl/>
        <w:spacing w:after="120"/>
        <w:jc w:val="both"/>
        <w:rPr>
          <w:bCs/>
          <w:i/>
          <w:szCs w:val="22"/>
          <w:u w:val="single"/>
        </w:rPr>
      </w:pPr>
      <w:proofErr w:type="spellStart"/>
      <w:r w:rsidRPr="00075FBC">
        <w:rPr>
          <w:bCs/>
          <w:i/>
          <w:szCs w:val="22"/>
          <w:u w:val="single"/>
        </w:rPr>
        <w:t>Υπερχοληστερολαιμία</w:t>
      </w:r>
      <w:proofErr w:type="spellEnd"/>
    </w:p>
    <w:p w:rsidR="00075FBC" w:rsidRPr="00075FBC" w:rsidRDefault="00075FBC" w:rsidP="00075FBC">
      <w:pPr>
        <w:widowControl/>
        <w:jc w:val="both"/>
        <w:rPr>
          <w:szCs w:val="22"/>
        </w:rPr>
      </w:pPr>
      <w:r w:rsidRPr="00075FBC">
        <w:rPr>
          <w:szCs w:val="22"/>
        </w:rPr>
        <w:t xml:space="preserve">Η χρήση </w:t>
      </w:r>
      <w:r w:rsidRPr="00075FBC">
        <w:t xml:space="preserve">σε παιδιατρικούς ασθενείς </w:t>
      </w:r>
      <w:r w:rsidRPr="00075FBC">
        <w:rPr>
          <w:szCs w:val="22"/>
        </w:rPr>
        <w:t xml:space="preserve">πρέπει να </w:t>
      </w:r>
      <w:r w:rsidRPr="00075FBC">
        <w:t>πραγματοποιείται</w:t>
      </w:r>
      <w:r w:rsidRPr="00075FBC">
        <w:rPr>
          <w:szCs w:val="22"/>
        </w:rPr>
        <w:t xml:space="preserve"> μόνο από </w:t>
      </w:r>
      <w:r w:rsidRPr="00075FBC">
        <w:t>ιατρούς</w:t>
      </w:r>
      <w:r w:rsidRPr="00075FBC">
        <w:rPr>
          <w:szCs w:val="22"/>
        </w:rPr>
        <w:t xml:space="preserve"> ειδικούς</w:t>
      </w:r>
      <w:r w:rsidRPr="00075FBC">
        <w:t xml:space="preserve"> στη θεραπεία της παιδιατρικής </w:t>
      </w:r>
      <w:proofErr w:type="spellStart"/>
      <w:r w:rsidRPr="00075FBC">
        <w:t>υπερλιπιδαιμίας</w:t>
      </w:r>
      <w:proofErr w:type="spellEnd"/>
      <w:r w:rsidRPr="00075FBC">
        <w:t xml:space="preserve"> και οι ασθενείς θα πρέπει να επαναξιολογούνται σε τακτά χρονικά διαστήματα για την εκτίμηση της προόδου. </w:t>
      </w:r>
    </w:p>
    <w:p w:rsidR="00075FBC" w:rsidRPr="00075FBC" w:rsidRDefault="00075FBC" w:rsidP="00075FBC">
      <w:pPr>
        <w:jc w:val="both"/>
        <w:rPr>
          <w:szCs w:val="22"/>
        </w:rPr>
      </w:pPr>
    </w:p>
    <w:p w:rsidR="00075FBC" w:rsidRPr="00075FBC" w:rsidRDefault="00075FBC" w:rsidP="00075FBC">
      <w:pPr>
        <w:jc w:val="both"/>
        <w:rPr>
          <w:szCs w:val="22"/>
        </w:rPr>
      </w:pPr>
      <w:r w:rsidRPr="00075FBC">
        <w:rPr>
          <w:szCs w:val="22"/>
        </w:rPr>
        <w:t>Για ασθενείς ηλικίας 10 ετών και άνω, η συνιστώμενη αρχική δοσολογία είναι 10 </w:t>
      </w:r>
      <w:proofErr w:type="spellStart"/>
      <w:r w:rsidRPr="00075FBC">
        <w:rPr>
          <w:szCs w:val="22"/>
        </w:rPr>
        <w:t>mg</w:t>
      </w:r>
      <w:proofErr w:type="spellEnd"/>
      <w:r w:rsidRPr="00075FBC">
        <w:rPr>
          <w:szCs w:val="22"/>
        </w:rPr>
        <w:t xml:space="preserve"> </w:t>
      </w:r>
      <w:proofErr w:type="spellStart"/>
      <w:r w:rsidRPr="00075FBC">
        <w:rPr>
          <w:szCs w:val="22"/>
        </w:rPr>
        <w:t>ατορβαστατίνης</w:t>
      </w:r>
      <w:proofErr w:type="spellEnd"/>
      <w:r w:rsidRPr="00075FBC">
        <w:rPr>
          <w:szCs w:val="22"/>
        </w:rPr>
        <w:t xml:space="preserve"> ημερησίως, με δυνατότητα </w:t>
      </w:r>
      <w:proofErr w:type="spellStart"/>
      <w:r w:rsidRPr="00075FBC">
        <w:rPr>
          <w:szCs w:val="22"/>
        </w:rPr>
        <w:t>τιτλοποίησης</w:t>
      </w:r>
      <w:proofErr w:type="spellEnd"/>
      <w:r w:rsidRPr="00075FBC">
        <w:rPr>
          <w:szCs w:val="22"/>
        </w:rPr>
        <w:t xml:space="preserve"> έως 20 </w:t>
      </w:r>
      <w:proofErr w:type="spellStart"/>
      <w:r w:rsidRPr="00075FBC">
        <w:rPr>
          <w:szCs w:val="22"/>
        </w:rPr>
        <w:t>mg</w:t>
      </w:r>
      <w:proofErr w:type="spellEnd"/>
      <w:r w:rsidRPr="00075FBC">
        <w:rPr>
          <w:szCs w:val="22"/>
        </w:rPr>
        <w:t xml:space="preserve"> ημερησίως. Η </w:t>
      </w:r>
      <w:proofErr w:type="spellStart"/>
      <w:r w:rsidRPr="00075FBC">
        <w:rPr>
          <w:szCs w:val="22"/>
        </w:rPr>
        <w:t>τιτλοποίηση</w:t>
      </w:r>
      <w:proofErr w:type="spellEnd"/>
      <w:r w:rsidRPr="00075FBC">
        <w:rPr>
          <w:szCs w:val="22"/>
        </w:rPr>
        <w:t xml:space="preserve"> θα πρέπει να λαμβάνει χώρα σύμφωνα με την εξατομικευμένη ανταπόκριση και ανεκτικότητα των παιδιατρικών ασθενών. Δεδομένα ασφαλείας για παιδιατρικούς ασθενείς στους οποίους χορηγήθηκαν δόσεις άνω των 20 </w:t>
      </w:r>
      <w:proofErr w:type="spellStart"/>
      <w:r w:rsidRPr="00075FBC">
        <w:rPr>
          <w:szCs w:val="22"/>
        </w:rPr>
        <w:t>mg</w:t>
      </w:r>
      <w:proofErr w:type="spellEnd"/>
      <w:r w:rsidRPr="00075FBC">
        <w:rPr>
          <w:szCs w:val="22"/>
        </w:rPr>
        <w:t>, που αντιστοιχούν περίπου σε</w:t>
      </w:r>
      <w:r w:rsidRPr="00075FBC">
        <w:t xml:space="preserve"> 0,5 </w:t>
      </w:r>
      <w:proofErr w:type="spellStart"/>
      <w:r w:rsidRPr="00075FBC">
        <w:t>mg</w:t>
      </w:r>
      <w:proofErr w:type="spellEnd"/>
      <w:r w:rsidRPr="00075FBC">
        <w:t>/</w:t>
      </w:r>
      <w:proofErr w:type="spellStart"/>
      <w:r w:rsidRPr="00075FBC">
        <w:t>kg</w:t>
      </w:r>
      <w:proofErr w:type="spellEnd"/>
      <w:r w:rsidRPr="00075FBC">
        <w:t xml:space="preserve">, </w:t>
      </w:r>
      <w:r w:rsidRPr="00075FBC">
        <w:rPr>
          <w:szCs w:val="22"/>
        </w:rPr>
        <w:t>είναι περιορισμένα.</w:t>
      </w:r>
    </w:p>
    <w:p w:rsidR="00075FBC" w:rsidRPr="00075FBC" w:rsidRDefault="00075FBC" w:rsidP="00075FBC">
      <w:pPr>
        <w:autoSpaceDE w:val="0"/>
        <w:autoSpaceDN w:val="0"/>
        <w:adjustRightInd w:val="0"/>
        <w:jc w:val="both"/>
      </w:pPr>
    </w:p>
    <w:p w:rsidR="00075FBC" w:rsidRPr="00075FBC" w:rsidRDefault="00075FBC" w:rsidP="00075FBC">
      <w:pPr>
        <w:jc w:val="both"/>
        <w:rPr>
          <w:szCs w:val="22"/>
        </w:rPr>
      </w:pPr>
      <w:r w:rsidRPr="00075FBC">
        <w:rPr>
          <w:szCs w:val="22"/>
        </w:rPr>
        <w:t xml:space="preserve">Η εμπειρία σε παιδιά ηλικίας 6-10 ετών είναι περιορισμένη (βλ. παράγραφο 5.1). Η </w:t>
      </w:r>
      <w:proofErr w:type="spellStart"/>
      <w:r w:rsidRPr="00075FBC">
        <w:rPr>
          <w:szCs w:val="22"/>
        </w:rPr>
        <w:t>ατορβαστατίνη</w:t>
      </w:r>
      <w:proofErr w:type="spellEnd"/>
      <w:r w:rsidRPr="00075FBC">
        <w:rPr>
          <w:szCs w:val="22"/>
        </w:rPr>
        <w:t xml:space="preserve"> δεν ενδείκνυται για θεραπεία ασθενών ηλικίας κάτω των 10 ετών.</w:t>
      </w:r>
    </w:p>
    <w:p w:rsidR="00075FBC" w:rsidRPr="00075FBC" w:rsidRDefault="00075FBC" w:rsidP="00075FBC">
      <w:pPr>
        <w:jc w:val="both"/>
      </w:pPr>
    </w:p>
    <w:p w:rsidR="00075FBC" w:rsidRPr="00075FBC" w:rsidRDefault="00075FBC" w:rsidP="00075FBC">
      <w:pPr>
        <w:jc w:val="both"/>
      </w:pPr>
      <w:r w:rsidRPr="00075FBC">
        <w:rPr>
          <w:bCs/>
          <w:szCs w:val="22"/>
        </w:rPr>
        <w:t>Άλλες μορφές/περιεκτικότητες μπορεί να είναι περισσότερο κατάλληλες για αυτή την πληθυσμιακή ομάδα</w:t>
      </w:r>
      <w:r w:rsidRPr="00075FBC">
        <w:t>.</w:t>
      </w:r>
    </w:p>
    <w:p w:rsidR="00075FBC" w:rsidRPr="00075FBC" w:rsidRDefault="00075FBC" w:rsidP="00075FBC">
      <w:pPr>
        <w:jc w:val="both"/>
        <w:rPr>
          <w:szCs w:val="22"/>
        </w:rPr>
      </w:pPr>
    </w:p>
    <w:p w:rsidR="00075FBC" w:rsidRPr="00075FBC" w:rsidRDefault="00075FBC" w:rsidP="00075FBC">
      <w:pPr>
        <w:spacing w:after="120"/>
        <w:jc w:val="both"/>
        <w:rPr>
          <w:szCs w:val="22"/>
          <w:u w:val="single"/>
        </w:rPr>
      </w:pPr>
      <w:r w:rsidRPr="00075FBC">
        <w:rPr>
          <w:szCs w:val="22"/>
          <w:u w:val="single"/>
        </w:rPr>
        <w:t>Τρόπος χορήγησης</w:t>
      </w:r>
    </w:p>
    <w:p w:rsidR="00075FBC" w:rsidRPr="00075FBC" w:rsidRDefault="00075FBC" w:rsidP="00075FBC">
      <w:pPr>
        <w:widowControl/>
        <w:jc w:val="both"/>
        <w:rPr>
          <w:szCs w:val="22"/>
        </w:rPr>
      </w:pPr>
      <w:r w:rsidRPr="00075FBC">
        <w:rPr>
          <w:bCs/>
        </w:rPr>
        <w:t xml:space="preserve">Το </w:t>
      </w:r>
      <w:proofErr w:type="spellStart"/>
      <w:r w:rsidRPr="00075FBC">
        <w:rPr>
          <w:bCs/>
          <w:szCs w:val="22"/>
          <w:lang w:val="en-US"/>
        </w:rPr>
        <w:t>Xanator</w:t>
      </w:r>
      <w:proofErr w:type="spellEnd"/>
      <w:r w:rsidRPr="00075FBC">
        <w:rPr>
          <w:bCs/>
          <w:szCs w:val="22"/>
        </w:rPr>
        <w:t>/</w:t>
      </w:r>
      <w:proofErr w:type="spellStart"/>
      <w:r w:rsidRPr="00075FBC">
        <w:rPr>
          <w:bCs/>
          <w:szCs w:val="22"/>
          <w:lang w:val="en-US"/>
        </w:rPr>
        <w:t>Sieger</w:t>
      </w:r>
      <w:proofErr w:type="spellEnd"/>
      <w:r w:rsidRPr="00075FBC">
        <w:rPr>
          <w:szCs w:val="22"/>
        </w:rPr>
        <w:t xml:space="preserve"> </w:t>
      </w:r>
      <w:r w:rsidRPr="00075FBC">
        <w:t xml:space="preserve">είναι για από του στόματος χορήγηση. Κάθε ημερήσια δόση </w:t>
      </w:r>
      <w:proofErr w:type="spellStart"/>
      <w:r w:rsidRPr="00075FBC">
        <w:t>ατορβαστατίνης</w:t>
      </w:r>
      <w:proofErr w:type="spellEnd"/>
      <w:r w:rsidRPr="00075FBC">
        <w:t xml:space="preserve"> πρέπει να χορηγείται εφάπαξ και μπορεί να λαμβάνεται οποιαδήποτε ώρα της ημέρας, με ή χωρίς τροφή. </w:t>
      </w:r>
    </w:p>
    <w:p w:rsidR="00075FBC" w:rsidRPr="00075FBC" w:rsidRDefault="00075FBC" w:rsidP="00075FBC">
      <w:pPr>
        <w:jc w:val="both"/>
        <w:rPr>
          <w:szCs w:val="22"/>
        </w:rPr>
      </w:pPr>
    </w:p>
    <w:p w:rsidR="00075FBC" w:rsidRPr="00075FBC" w:rsidRDefault="00075FBC" w:rsidP="00075FBC">
      <w:pPr>
        <w:jc w:val="both"/>
        <w:rPr>
          <w:szCs w:val="22"/>
        </w:rPr>
      </w:pPr>
      <w:r w:rsidRPr="00075FBC">
        <w:rPr>
          <w:b/>
          <w:szCs w:val="22"/>
        </w:rPr>
        <w:t>4.3</w:t>
      </w:r>
      <w:r w:rsidRPr="00075FBC">
        <w:rPr>
          <w:b/>
          <w:szCs w:val="22"/>
        </w:rPr>
        <w:tab/>
        <w:t>Αντενδείξεις</w:t>
      </w:r>
    </w:p>
    <w:p w:rsidR="00075FBC" w:rsidRPr="00075FBC" w:rsidRDefault="00075FBC" w:rsidP="00075FBC">
      <w:pPr>
        <w:jc w:val="both"/>
        <w:rPr>
          <w:szCs w:val="22"/>
        </w:rPr>
      </w:pPr>
    </w:p>
    <w:p w:rsidR="00075FBC" w:rsidRPr="00075FBC" w:rsidRDefault="00075FBC" w:rsidP="00075FBC">
      <w:pPr>
        <w:widowControl/>
        <w:jc w:val="both"/>
        <w:rPr>
          <w:szCs w:val="22"/>
        </w:rPr>
      </w:pPr>
      <w:r w:rsidRPr="00075FBC">
        <w:rPr>
          <w:szCs w:val="22"/>
        </w:rPr>
        <w:t xml:space="preserve">Το </w:t>
      </w:r>
      <w:proofErr w:type="spellStart"/>
      <w:r w:rsidRPr="00075FBC">
        <w:rPr>
          <w:bCs/>
          <w:szCs w:val="22"/>
          <w:lang w:val="en-US"/>
        </w:rPr>
        <w:t>Xanator</w:t>
      </w:r>
      <w:proofErr w:type="spellEnd"/>
      <w:r w:rsidRPr="00075FBC">
        <w:rPr>
          <w:bCs/>
          <w:szCs w:val="22"/>
        </w:rPr>
        <w:t>/</w:t>
      </w:r>
      <w:proofErr w:type="spellStart"/>
      <w:r w:rsidRPr="00075FBC">
        <w:rPr>
          <w:bCs/>
          <w:szCs w:val="22"/>
          <w:lang w:val="en-US"/>
        </w:rPr>
        <w:t>Sieger</w:t>
      </w:r>
      <w:proofErr w:type="spellEnd"/>
      <w:r w:rsidRPr="00075FBC">
        <w:rPr>
          <w:szCs w:val="22"/>
        </w:rPr>
        <w:t xml:space="preserve"> αντενδείκνυται σε ασθενείς:</w:t>
      </w:r>
    </w:p>
    <w:p w:rsidR="00075FBC" w:rsidRPr="00075FBC" w:rsidRDefault="00075FBC" w:rsidP="00075FBC">
      <w:pPr>
        <w:widowControl/>
        <w:numPr>
          <w:ilvl w:val="0"/>
          <w:numId w:val="2"/>
        </w:numPr>
        <w:jc w:val="both"/>
        <w:rPr>
          <w:szCs w:val="22"/>
        </w:rPr>
      </w:pPr>
      <w:r w:rsidRPr="00075FBC">
        <w:rPr>
          <w:szCs w:val="22"/>
        </w:rPr>
        <w:t xml:space="preserve">με υπερευαισθησία στη δραστική ουσία ή σε κάποιο από τα έκδοχα </w:t>
      </w:r>
      <w:r w:rsidRPr="00075FBC">
        <w:t>που αναφέρονται στην παράγραφο 6.1</w:t>
      </w:r>
    </w:p>
    <w:p w:rsidR="00075FBC" w:rsidRPr="00075FBC" w:rsidRDefault="00075FBC" w:rsidP="00075FBC">
      <w:pPr>
        <w:widowControl/>
        <w:numPr>
          <w:ilvl w:val="0"/>
          <w:numId w:val="2"/>
        </w:numPr>
        <w:jc w:val="both"/>
        <w:rPr>
          <w:szCs w:val="22"/>
        </w:rPr>
      </w:pPr>
      <w:r w:rsidRPr="00075FBC">
        <w:rPr>
          <w:szCs w:val="22"/>
        </w:rPr>
        <w:t xml:space="preserve">με ενεργό ηπατική νόσο ή ανεξήγητη, επιμένουσα αύξηση των </w:t>
      </w:r>
      <w:proofErr w:type="spellStart"/>
      <w:r w:rsidRPr="00075FBC">
        <w:rPr>
          <w:szCs w:val="22"/>
        </w:rPr>
        <w:t>τρανσαμινασών</w:t>
      </w:r>
      <w:proofErr w:type="spellEnd"/>
      <w:r w:rsidRPr="00075FBC">
        <w:rPr>
          <w:szCs w:val="22"/>
        </w:rPr>
        <w:t xml:space="preserve"> του ορού μεγαλύτερη από το 3πλάσιο των ανώτατων φυσιολογικών ορίων</w:t>
      </w:r>
    </w:p>
    <w:p w:rsidR="00075FBC" w:rsidRPr="00075FBC" w:rsidRDefault="00075FBC" w:rsidP="00075FBC">
      <w:pPr>
        <w:widowControl/>
        <w:numPr>
          <w:ilvl w:val="0"/>
          <w:numId w:val="2"/>
        </w:numPr>
        <w:jc w:val="both"/>
        <w:rPr>
          <w:szCs w:val="22"/>
        </w:rPr>
      </w:pPr>
      <w:r w:rsidRPr="00075FBC">
        <w:rPr>
          <w:szCs w:val="22"/>
        </w:rPr>
        <w:t>κατά τη διάρκεια της κύησης κατά τη διάρκεια του θηλασμού και σε γυναίκες αναπαραγωγικής ηλικίας που δεν χρησιμοποιούν τα κατάλληλα αντισυλληπτικά μέτρα (βλ. παράγραφο 4.6)</w:t>
      </w:r>
    </w:p>
    <w:p w:rsidR="00075FBC" w:rsidRPr="00075FBC" w:rsidRDefault="00075FBC" w:rsidP="00075FBC">
      <w:pPr>
        <w:jc w:val="both"/>
        <w:rPr>
          <w:szCs w:val="22"/>
        </w:rPr>
      </w:pPr>
    </w:p>
    <w:p w:rsidR="00075FBC" w:rsidRPr="00075FBC" w:rsidRDefault="00075FBC" w:rsidP="00075FBC">
      <w:pPr>
        <w:jc w:val="both"/>
        <w:rPr>
          <w:szCs w:val="22"/>
        </w:rPr>
      </w:pPr>
      <w:r w:rsidRPr="00075FBC">
        <w:rPr>
          <w:b/>
          <w:szCs w:val="22"/>
        </w:rPr>
        <w:t>4.4</w:t>
      </w:r>
      <w:r w:rsidRPr="00075FBC">
        <w:rPr>
          <w:b/>
          <w:szCs w:val="22"/>
        </w:rPr>
        <w:tab/>
        <w:t>Ειδικές προειδοποιήσεις και προφυλάξεις κατά τη χρήση</w:t>
      </w:r>
    </w:p>
    <w:p w:rsidR="00075FBC" w:rsidRPr="00075FBC" w:rsidRDefault="00075FBC" w:rsidP="00075FBC">
      <w:pPr>
        <w:jc w:val="both"/>
        <w:rPr>
          <w:szCs w:val="22"/>
        </w:rPr>
      </w:pPr>
    </w:p>
    <w:p w:rsidR="00075FBC" w:rsidRPr="00075FBC" w:rsidRDefault="00075FBC" w:rsidP="00075FBC">
      <w:pPr>
        <w:widowControl/>
        <w:spacing w:after="120"/>
        <w:jc w:val="both"/>
        <w:rPr>
          <w:bCs/>
          <w:szCs w:val="22"/>
          <w:u w:val="single"/>
        </w:rPr>
      </w:pPr>
      <w:r w:rsidRPr="00075FBC">
        <w:rPr>
          <w:bCs/>
          <w:szCs w:val="22"/>
          <w:u w:val="single"/>
        </w:rPr>
        <w:t>Επίδραση στο ήπαρ</w:t>
      </w:r>
    </w:p>
    <w:p w:rsidR="00075FBC" w:rsidRPr="00075FBC" w:rsidRDefault="00075FBC" w:rsidP="00075FBC">
      <w:pPr>
        <w:widowControl/>
        <w:jc w:val="both"/>
        <w:rPr>
          <w:szCs w:val="22"/>
        </w:rPr>
      </w:pPr>
      <w:r w:rsidRPr="00075FBC">
        <w:rPr>
          <w:szCs w:val="22"/>
        </w:rPr>
        <w:t xml:space="preserve">Οι ηπατικές δοκιμασίες πρέπει να εκτελούνται πριν από την έναρξη της θεραπείας και στη συνέχεια περιοδικά. Οι ασθενείς που παρουσιάζουν οποιοδήποτε κλινικό σημείο ή σύμπτωμα ενδεικτικό ηπατικής βλάβης θα πρέπει να υποβάλλονται σε έλεγχο της ηπατικής λειτουργίας. Οι ασθενείς με αυξημένα επίπεδα </w:t>
      </w:r>
      <w:proofErr w:type="spellStart"/>
      <w:r w:rsidRPr="00075FBC">
        <w:rPr>
          <w:szCs w:val="22"/>
        </w:rPr>
        <w:t>τρανσαμινασών</w:t>
      </w:r>
      <w:proofErr w:type="spellEnd"/>
      <w:r w:rsidRPr="00075FBC">
        <w:rPr>
          <w:szCs w:val="22"/>
        </w:rPr>
        <w:t xml:space="preserve"> θα πρέπει να παρακολουθούνται μέχρις ότου οι διαταραχές αποκατασταθούν. Αν μία αύξηση των τιμών των </w:t>
      </w:r>
      <w:proofErr w:type="spellStart"/>
      <w:r w:rsidRPr="00075FBC">
        <w:rPr>
          <w:szCs w:val="22"/>
        </w:rPr>
        <w:t>τρανσαμινασών</w:t>
      </w:r>
      <w:proofErr w:type="spellEnd"/>
      <w:r w:rsidRPr="00075FBC">
        <w:rPr>
          <w:szCs w:val="22"/>
        </w:rPr>
        <w:t xml:space="preserve">, μεγαλύτερη του 3πλάσιου των ανώτερων φυσιολογικών τιμών </w:t>
      </w:r>
      <w:r w:rsidRPr="00075FBC">
        <w:t xml:space="preserve">(ULN) </w:t>
      </w:r>
      <w:r w:rsidRPr="00075FBC">
        <w:rPr>
          <w:szCs w:val="22"/>
        </w:rPr>
        <w:t xml:space="preserve">επιμένει, συνιστάται μείωση της δόσης ή διακοπή της χορήγησης του </w:t>
      </w:r>
      <w:proofErr w:type="spellStart"/>
      <w:r w:rsidRPr="00075FBC">
        <w:rPr>
          <w:bCs/>
          <w:szCs w:val="22"/>
          <w:lang w:val="en-US"/>
        </w:rPr>
        <w:t>Xanator</w:t>
      </w:r>
      <w:proofErr w:type="spellEnd"/>
      <w:r w:rsidRPr="00075FBC">
        <w:rPr>
          <w:bCs/>
          <w:szCs w:val="22"/>
        </w:rPr>
        <w:t>/</w:t>
      </w:r>
      <w:proofErr w:type="spellStart"/>
      <w:r w:rsidRPr="00075FBC">
        <w:rPr>
          <w:bCs/>
          <w:szCs w:val="22"/>
          <w:lang w:val="en-US"/>
        </w:rPr>
        <w:t>Sieger</w:t>
      </w:r>
      <w:proofErr w:type="spellEnd"/>
      <w:r w:rsidRPr="00075FBC">
        <w:rPr>
          <w:szCs w:val="22"/>
        </w:rPr>
        <w:t xml:space="preserve"> (βλ. παράγραφο 4.8).</w:t>
      </w:r>
    </w:p>
    <w:p w:rsidR="00075FBC" w:rsidRPr="00075FBC" w:rsidRDefault="00075FBC" w:rsidP="00075FBC">
      <w:pPr>
        <w:widowControl/>
        <w:jc w:val="both"/>
        <w:rPr>
          <w:szCs w:val="22"/>
        </w:rPr>
      </w:pPr>
    </w:p>
    <w:p w:rsidR="00075FBC" w:rsidRPr="00075FBC" w:rsidRDefault="00075FBC" w:rsidP="00075FBC">
      <w:pPr>
        <w:widowControl/>
        <w:jc w:val="both"/>
        <w:rPr>
          <w:szCs w:val="22"/>
        </w:rPr>
      </w:pPr>
      <w:r w:rsidRPr="00075FBC">
        <w:rPr>
          <w:szCs w:val="22"/>
        </w:rPr>
        <w:t xml:space="preserve">Το </w:t>
      </w:r>
      <w:proofErr w:type="spellStart"/>
      <w:r w:rsidRPr="00075FBC">
        <w:rPr>
          <w:bCs/>
          <w:szCs w:val="22"/>
          <w:lang w:val="en-US"/>
        </w:rPr>
        <w:t>Xanator</w:t>
      </w:r>
      <w:proofErr w:type="spellEnd"/>
      <w:r w:rsidRPr="00075FBC">
        <w:rPr>
          <w:bCs/>
          <w:szCs w:val="22"/>
        </w:rPr>
        <w:t>/</w:t>
      </w:r>
      <w:proofErr w:type="spellStart"/>
      <w:r w:rsidRPr="00075FBC">
        <w:rPr>
          <w:bCs/>
          <w:szCs w:val="22"/>
          <w:lang w:val="en-US"/>
        </w:rPr>
        <w:t>Sieger</w:t>
      </w:r>
      <w:proofErr w:type="spellEnd"/>
      <w:r w:rsidRPr="00075FBC">
        <w:rPr>
          <w:szCs w:val="22"/>
        </w:rPr>
        <w:t xml:space="preserve"> πρέπει να χρησιμοποιείται με προσοχή σε ασθενείς που καταναλώνουν σημαντικές ποσότητες οινοπνεύματος ή/και έχουν ιστορικό ηπατικής νόσου.</w:t>
      </w:r>
    </w:p>
    <w:p w:rsidR="00075FBC" w:rsidRPr="00075FBC" w:rsidRDefault="00075FBC" w:rsidP="00075FBC">
      <w:pPr>
        <w:jc w:val="both"/>
        <w:rPr>
          <w:szCs w:val="22"/>
        </w:rPr>
      </w:pPr>
    </w:p>
    <w:p w:rsidR="00075FBC" w:rsidRPr="00075FBC" w:rsidRDefault="00075FBC" w:rsidP="00075FBC">
      <w:pPr>
        <w:spacing w:after="120"/>
        <w:jc w:val="both"/>
        <w:rPr>
          <w:u w:val="single"/>
        </w:rPr>
      </w:pPr>
      <w:r w:rsidRPr="00075FBC">
        <w:rPr>
          <w:iCs/>
          <w:szCs w:val="22"/>
          <w:u w:val="single"/>
        </w:rPr>
        <w:t xml:space="preserve">Πρόληψη Αγγειακού Εγκεφαλικού Επεισοδίου με </w:t>
      </w:r>
      <w:r w:rsidRPr="00075FBC">
        <w:rPr>
          <w:szCs w:val="22"/>
          <w:u w:val="single"/>
        </w:rPr>
        <w:t xml:space="preserve">Επιθετική Μείωση των Επιπέδων Χοληστερόλης </w:t>
      </w:r>
      <w:r w:rsidRPr="00075FBC">
        <w:rPr>
          <w:u w:val="single"/>
        </w:rPr>
        <w:t>(</w:t>
      </w:r>
      <w:r w:rsidRPr="00075FBC">
        <w:rPr>
          <w:u w:val="single"/>
          <w:lang w:val="en-US"/>
        </w:rPr>
        <w:t>Stroke</w:t>
      </w:r>
      <w:r w:rsidRPr="00075FBC">
        <w:rPr>
          <w:u w:val="single"/>
        </w:rPr>
        <w:t xml:space="preserve"> </w:t>
      </w:r>
      <w:r w:rsidRPr="00075FBC">
        <w:rPr>
          <w:u w:val="single"/>
          <w:lang w:val="en-US"/>
        </w:rPr>
        <w:t>Prevention</w:t>
      </w:r>
      <w:r w:rsidRPr="00075FBC">
        <w:rPr>
          <w:u w:val="single"/>
        </w:rPr>
        <w:t xml:space="preserve"> </w:t>
      </w:r>
      <w:r w:rsidRPr="00075FBC">
        <w:rPr>
          <w:u w:val="single"/>
          <w:lang w:val="en-US"/>
        </w:rPr>
        <w:t>by</w:t>
      </w:r>
      <w:r w:rsidRPr="00075FBC">
        <w:rPr>
          <w:u w:val="single"/>
        </w:rPr>
        <w:t xml:space="preserve"> </w:t>
      </w:r>
      <w:r w:rsidRPr="00075FBC">
        <w:rPr>
          <w:u w:val="single"/>
          <w:lang w:val="en-US"/>
        </w:rPr>
        <w:t>Aggressive</w:t>
      </w:r>
      <w:r w:rsidRPr="00075FBC">
        <w:rPr>
          <w:u w:val="single"/>
        </w:rPr>
        <w:t xml:space="preserve"> </w:t>
      </w:r>
      <w:r w:rsidRPr="00075FBC">
        <w:rPr>
          <w:u w:val="single"/>
          <w:lang w:val="en-US"/>
        </w:rPr>
        <w:t>Reduction</w:t>
      </w:r>
      <w:r w:rsidRPr="00075FBC">
        <w:rPr>
          <w:u w:val="single"/>
        </w:rPr>
        <w:t xml:space="preserve"> </w:t>
      </w:r>
      <w:r w:rsidRPr="00075FBC">
        <w:rPr>
          <w:u w:val="single"/>
          <w:lang w:val="en-US"/>
        </w:rPr>
        <w:t>in</w:t>
      </w:r>
      <w:r w:rsidRPr="00075FBC">
        <w:rPr>
          <w:u w:val="single"/>
        </w:rPr>
        <w:t xml:space="preserve"> </w:t>
      </w:r>
      <w:r w:rsidRPr="00075FBC">
        <w:rPr>
          <w:u w:val="single"/>
          <w:lang w:val="en-US"/>
        </w:rPr>
        <w:t>Cholesterol</w:t>
      </w:r>
      <w:r w:rsidRPr="00075FBC">
        <w:rPr>
          <w:u w:val="single"/>
        </w:rPr>
        <w:t xml:space="preserve"> </w:t>
      </w:r>
      <w:r w:rsidRPr="00075FBC">
        <w:rPr>
          <w:u w:val="single"/>
          <w:lang w:val="en-US"/>
        </w:rPr>
        <w:t>Levels</w:t>
      </w:r>
      <w:r w:rsidRPr="00075FBC">
        <w:rPr>
          <w:u w:val="single"/>
        </w:rPr>
        <w:t xml:space="preserve"> - </w:t>
      </w:r>
      <w:r w:rsidRPr="00075FBC">
        <w:rPr>
          <w:u w:val="single"/>
          <w:lang w:val="en-US"/>
        </w:rPr>
        <w:t>SPARCL</w:t>
      </w:r>
      <w:r w:rsidRPr="00075FBC">
        <w:rPr>
          <w:u w:val="single"/>
        </w:rPr>
        <w:t>)</w:t>
      </w:r>
    </w:p>
    <w:p w:rsidR="00075FBC" w:rsidRPr="00075FBC" w:rsidRDefault="00075FBC" w:rsidP="00075FBC">
      <w:pPr>
        <w:jc w:val="both"/>
      </w:pPr>
      <w:r w:rsidRPr="00075FBC">
        <w:lastRenderedPageBreak/>
        <w:t xml:space="preserve">Σε μια </w:t>
      </w:r>
      <w:proofErr w:type="spellStart"/>
      <w:r w:rsidRPr="00075FBC">
        <w:t>post</w:t>
      </w:r>
      <w:proofErr w:type="spellEnd"/>
      <w:r w:rsidRPr="00075FBC">
        <w:t>-</w:t>
      </w:r>
      <w:proofErr w:type="spellStart"/>
      <w:r w:rsidRPr="00075FBC">
        <w:t>hoc</w:t>
      </w:r>
      <w:proofErr w:type="spellEnd"/>
      <w:r w:rsidRPr="00075FBC">
        <w:t xml:space="preserve"> ανάλυση υποκατηγοριών αγγειακού εγκεφαλικού επεισοδίου, σε ασθενείς χωρίς  </w:t>
      </w:r>
      <w:r w:rsidRPr="00075FBC">
        <w:rPr>
          <w:szCs w:val="22"/>
        </w:rPr>
        <w:t xml:space="preserve">στεφανιαία νόσο </w:t>
      </w:r>
      <w:r w:rsidRPr="00075FBC">
        <w:rPr>
          <w:iCs/>
        </w:rPr>
        <w:t>(</w:t>
      </w:r>
      <w:r w:rsidRPr="00075FBC">
        <w:rPr>
          <w:rFonts w:cs="Courier"/>
          <w:szCs w:val="22"/>
        </w:rPr>
        <w:t xml:space="preserve">CHD) </w:t>
      </w:r>
      <w:r w:rsidRPr="00075FBC">
        <w:rPr>
          <w:szCs w:val="22"/>
        </w:rPr>
        <w:t xml:space="preserve">που είχαν υποστεί πρόσφατα αγγειακό εγκεφαλικό επεισόδιο ή παροδικό ισχαιμικό αγγειακό εγκεφαλικό επεισόδιο </w:t>
      </w:r>
      <w:r w:rsidRPr="00075FBC">
        <w:rPr>
          <w:iCs/>
        </w:rPr>
        <w:t>(</w:t>
      </w:r>
      <w:r w:rsidRPr="00075FBC">
        <w:rPr>
          <w:szCs w:val="22"/>
        </w:rPr>
        <w:t xml:space="preserve">TIA), υπήρξε μεγαλύτερη συχνότητα εμφάνισης αιμορραγικού αγγειακού </w:t>
      </w:r>
      <w:r w:rsidRPr="00075FBC">
        <w:rPr>
          <w:iCs/>
          <w:szCs w:val="22"/>
        </w:rPr>
        <w:t xml:space="preserve">εγκεφαλικού επεισοδίου σε ασθενείς οι οποίοι ξεκίνησαν θεραπεία με </w:t>
      </w:r>
      <w:proofErr w:type="spellStart"/>
      <w:r w:rsidRPr="00075FBC">
        <w:rPr>
          <w:iCs/>
          <w:szCs w:val="22"/>
        </w:rPr>
        <w:t>ατορβαστατίνη</w:t>
      </w:r>
      <w:proofErr w:type="spellEnd"/>
      <w:r w:rsidRPr="00075FBC">
        <w:rPr>
          <w:iCs/>
          <w:szCs w:val="22"/>
        </w:rPr>
        <w:t xml:space="preserve"> </w:t>
      </w:r>
      <w:r w:rsidRPr="00075FBC">
        <w:t>80 </w:t>
      </w:r>
      <w:proofErr w:type="spellStart"/>
      <w:r w:rsidRPr="00075FBC">
        <w:t>mg</w:t>
      </w:r>
      <w:proofErr w:type="spellEnd"/>
      <w:r w:rsidRPr="00075FBC">
        <w:t xml:space="preserve"> συγκριτικά με εικονικό φάρμακο. Ο αυξημένος κίνδυνος ήταν ιδιαίτερα εμφανής σε ασθενείς με προηγούμενο ιστορικό </w:t>
      </w:r>
      <w:r w:rsidRPr="00075FBC">
        <w:rPr>
          <w:szCs w:val="22"/>
        </w:rPr>
        <w:t xml:space="preserve">αιμορραγικού αγγειακού </w:t>
      </w:r>
      <w:r w:rsidRPr="00075FBC">
        <w:rPr>
          <w:iCs/>
          <w:szCs w:val="22"/>
        </w:rPr>
        <w:t xml:space="preserve">εγκεφαλικού επεισοδίου ή </w:t>
      </w:r>
      <w:proofErr w:type="spellStart"/>
      <w:r w:rsidRPr="00075FBC">
        <w:rPr>
          <w:iCs/>
          <w:szCs w:val="22"/>
        </w:rPr>
        <w:t>κενοχωριώδους</w:t>
      </w:r>
      <w:proofErr w:type="spellEnd"/>
      <w:r w:rsidRPr="00075FBC">
        <w:rPr>
          <w:iCs/>
          <w:szCs w:val="22"/>
        </w:rPr>
        <w:t xml:space="preserve"> </w:t>
      </w:r>
      <w:proofErr w:type="spellStart"/>
      <w:r w:rsidRPr="00075FBC">
        <w:rPr>
          <w:iCs/>
          <w:szCs w:val="22"/>
        </w:rPr>
        <w:t>εμφράκτου</w:t>
      </w:r>
      <w:proofErr w:type="spellEnd"/>
      <w:r w:rsidRPr="00075FBC">
        <w:rPr>
          <w:iCs/>
          <w:szCs w:val="22"/>
        </w:rPr>
        <w:t xml:space="preserve"> κατά την εισαγωγή στην μελέτη. Στους ασθενείς με </w:t>
      </w:r>
      <w:r w:rsidRPr="00075FBC">
        <w:t xml:space="preserve">προηγούμενο ιστορικό </w:t>
      </w:r>
      <w:r w:rsidRPr="00075FBC">
        <w:rPr>
          <w:szCs w:val="22"/>
        </w:rPr>
        <w:t xml:space="preserve">αιμορραγικού αγγειακού </w:t>
      </w:r>
      <w:r w:rsidRPr="00075FBC">
        <w:rPr>
          <w:iCs/>
          <w:szCs w:val="22"/>
        </w:rPr>
        <w:t xml:space="preserve">εγκεφαλικού επεισοδίου ή </w:t>
      </w:r>
      <w:proofErr w:type="spellStart"/>
      <w:r w:rsidRPr="00075FBC">
        <w:rPr>
          <w:iCs/>
          <w:szCs w:val="22"/>
        </w:rPr>
        <w:t>κενοχωριώδους</w:t>
      </w:r>
      <w:proofErr w:type="spellEnd"/>
      <w:r w:rsidRPr="00075FBC">
        <w:rPr>
          <w:iCs/>
          <w:szCs w:val="22"/>
        </w:rPr>
        <w:t xml:space="preserve"> </w:t>
      </w:r>
      <w:proofErr w:type="spellStart"/>
      <w:r w:rsidRPr="00075FBC">
        <w:rPr>
          <w:iCs/>
          <w:szCs w:val="22"/>
        </w:rPr>
        <w:t>εμφράκτου</w:t>
      </w:r>
      <w:proofErr w:type="spellEnd"/>
      <w:r w:rsidRPr="00075FBC">
        <w:rPr>
          <w:iCs/>
          <w:szCs w:val="22"/>
        </w:rPr>
        <w:t xml:space="preserve">, η αναλογία μεταξύ κίνδυνου και οφέλους της </w:t>
      </w:r>
      <w:proofErr w:type="spellStart"/>
      <w:r w:rsidRPr="00075FBC">
        <w:rPr>
          <w:iCs/>
          <w:szCs w:val="22"/>
        </w:rPr>
        <w:t>ατορβαστατίνης</w:t>
      </w:r>
      <w:proofErr w:type="spellEnd"/>
      <w:r w:rsidRPr="00075FBC">
        <w:rPr>
          <w:iCs/>
          <w:szCs w:val="22"/>
        </w:rPr>
        <w:t xml:space="preserve"> </w:t>
      </w:r>
      <w:r w:rsidRPr="00075FBC">
        <w:t>80 </w:t>
      </w:r>
      <w:proofErr w:type="spellStart"/>
      <w:r w:rsidRPr="00075FBC">
        <w:t>mg</w:t>
      </w:r>
      <w:proofErr w:type="spellEnd"/>
      <w:r w:rsidRPr="00075FBC">
        <w:t xml:space="preserve"> είναι απροσδιόριστη και ο δυνητικός κίνδυνος </w:t>
      </w:r>
      <w:r w:rsidRPr="00075FBC">
        <w:rPr>
          <w:szCs w:val="22"/>
        </w:rPr>
        <w:t xml:space="preserve">αιμορραγικού αγγειακού </w:t>
      </w:r>
      <w:r w:rsidRPr="00075FBC">
        <w:rPr>
          <w:iCs/>
          <w:szCs w:val="22"/>
        </w:rPr>
        <w:t xml:space="preserve">εγκεφαλικού επεισοδίου πρέπει να ληφθεί </w:t>
      </w:r>
      <w:r w:rsidRPr="00075FBC">
        <w:rPr>
          <w:szCs w:val="22"/>
        </w:rPr>
        <w:t>προσεκτικά υπόψη πριν την έναρξη της θεραπείας (βλ. παράγραφο 5.1)</w:t>
      </w:r>
    </w:p>
    <w:p w:rsidR="00075FBC" w:rsidRPr="00075FBC" w:rsidRDefault="00075FBC" w:rsidP="00075FBC">
      <w:pPr>
        <w:jc w:val="both"/>
        <w:rPr>
          <w:szCs w:val="22"/>
        </w:rPr>
      </w:pPr>
    </w:p>
    <w:p w:rsidR="00075FBC" w:rsidRPr="00075FBC" w:rsidRDefault="00075FBC" w:rsidP="00075FBC">
      <w:pPr>
        <w:widowControl/>
        <w:spacing w:after="120"/>
        <w:jc w:val="both"/>
        <w:rPr>
          <w:bCs/>
          <w:szCs w:val="22"/>
          <w:u w:val="single"/>
        </w:rPr>
      </w:pPr>
      <w:r w:rsidRPr="00075FBC">
        <w:rPr>
          <w:bCs/>
          <w:szCs w:val="22"/>
          <w:u w:val="single"/>
        </w:rPr>
        <w:t>Επίδραση στους σκελετικούς μυς</w:t>
      </w:r>
    </w:p>
    <w:p w:rsidR="00075FBC" w:rsidRPr="00075FBC" w:rsidRDefault="00075FBC" w:rsidP="00075FBC">
      <w:pPr>
        <w:jc w:val="both"/>
        <w:rPr>
          <w:szCs w:val="22"/>
        </w:rPr>
      </w:pPr>
      <w:r w:rsidRPr="00075FBC">
        <w:rPr>
          <w:szCs w:val="22"/>
        </w:rPr>
        <w:t xml:space="preserve">Η </w:t>
      </w:r>
      <w:proofErr w:type="spellStart"/>
      <w:r w:rsidRPr="00075FBC">
        <w:rPr>
          <w:szCs w:val="22"/>
        </w:rPr>
        <w:t>ατορβαστατίνη</w:t>
      </w:r>
      <w:proofErr w:type="spellEnd"/>
      <w:r w:rsidRPr="00075FBC">
        <w:rPr>
          <w:szCs w:val="22"/>
        </w:rPr>
        <w:t>, όπως και άλλοι αναστολείς της HMG-</w:t>
      </w:r>
      <w:proofErr w:type="spellStart"/>
      <w:r w:rsidRPr="00075FBC">
        <w:rPr>
          <w:szCs w:val="22"/>
        </w:rPr>
        <w:t>CoA</w:t>
      </w:r>
      <w:proofErr w:type="spellEnd"/>
      <w:r w:rsidRPr="00075FBC">
        <w:rPr>
          <w:szCs w:val="22"/>
        </w:rPr>
        <w:t xml:space="preserve"> </w:t>
      </w:r>
      <w:proofErr w:type="spellStart"/>
      <w:r w:rsidRPr="00075FBC">
        <w:rPr>
          <w:szCs w:val="22"/>
        </w:rPr>
        <w:t>αναγωγάσης</w:t>
      </w:r>
      <w:proofErr w:type="spellEnd"/>
      <w:r w:rsidRPr="00075FBC">
        <w:rPr>
          <w:szCs w:val="22"/>
        </w:rPr>
        <w:t xml:space="preserve">, μπορεί, σε σπάνιες περιπτώσεις, να επιδράσει στους σκελετικούς μυς και να προκαλέσει μυαλγία, </w:t>
      </w:r>
      <w:proofErr w:type="spellStart"/>
      <w:r w:rsidRPr="00075FBC">
        <w:rPr>
          <w:szCs w:val="22"/>
        </w:rPr>
        <w:t>μυοσίτιδα</w:t>
      </w:r>
      <w:proofErr w:type="spellEnd"/>
      <w:r w:rsidRPr="00075FBC">
        <w:rPr>
          <w:szCs w:val="22"/>
        </w:rPr>
        <w:t xml:space="preserve"> και μυοπάθεια, που μπορεί να εξελιχθεί σε </w:t>
      </w:r>
      <w:proofErr w:type="spellStart"/>
      <w:r w:rsidRPr="00075FBC">
        <w:rPr>
          <w:szCs w:val="22"/>
        </w:rPr>
        <w:t>ραβδομυόλυση</w:t>
      </w:r>
      <w:proofErr w:type="spellEnd"/>
      <w:r w:rsidRPr="00075FBC">
        <w:rPr>
          <w:szCs w:val="22"/>
        </w:rPr>
        <w:t xml:space="preserve">, μία δυνητικά απειλητική για τη ζωή κατάσταση, που χαρακτηρίζεται από σημαντικά αυξημένα επίπεδα της </w:t>
      </w:r>
      <w:proofErr w:type="spellStart"/>
      <w:r w:rsidRPr="00075FBC">
        <w:rPr>
          <w:szCs w:val="22"/>
        </w:rPr>
        <w:t>κινάσης</w:t>
      </w:r>
      <w:proofErr w:type="spellEnd"/>
      <w:r w:rsidRPr="00075FBC">
        <w:rPr>
          <w:szCs w:val="22"/>
        </w:rPr>
        <w:t xml:space="preserve"> της κρεατίνης (CK) (&gt; 10 φορές τα </w:t>
      </w:r>
      <w:r w:rsidRPr="00075FBC">
        <w:t>ULN</w:t>
      </w:r>
      <w:r w:rsidRPr="00075FBC">
        <w:rPr>
          <w:szCs w:val="22"/>
        </w:rPr>
        <w:t xml:space="preserve">), </w:t>
      </w:r>
      <w:proofErr w:type="spellStart"/>
      <w:r w:rsidRPr="00075FBC">
        <w:rPr>
          <w:szCs w:val="22"/>
        </w:rPr>
        <w:t>μυοσφαιριναιμία</w:t>
      </w:r>
      <w:proofErr w:type="spellEnd"/>
      <w:r w:rsidRPr="00075FBC">
        <w:rPr>
          <w:szCs w:val="22"/>
        </w:rPr>
        <w:t xml:space="preserve"> και </w:t>
      </w:r>
      <w:proofErr w:type="spellStart"/>
      <w:r w:rsidRPr="00075FBC">
        <w:rPr>
          <w:szCs w:val="22"/>
        </w:rPr>
        <w:t>μυοσφαιρινουρία</w:t>
      </w:r>
      <w:proofErr w:type="spellEnd"/>
      <w:r w:rsidRPr="00075FBC">
        <w:rPr>
          <w:szCs w:val="22"/>
        </w:rPr>
        <w:t xml:space="preserve">, που μπορεί να προκαλέσει νεφρική ανεπάρκεια. </w:t>
      </w:r>
    </w:p>
    <w:p w:rsidR="00075FBC" w:rsidRPr="00075FBC" w:rsidRDefault="00075FBC" w:rsidP="00075FBC">
      <w:pPr>
        <w:jc w:val="both"/>
        <w:rPr>
          <w:szCs w:val="22"/>
        </w:rPr>
      </w:pPr>
    </w:p>
    <w:p w:rsidR="00075FBC" w:rsidRPr="00075FBC" w:rsidRDefault="00075FBC" w:rsidP="00075FBC">
      <w:pPr>
        <w:widowControl/>
        <w:spacing w:after="120"/>
        <w:jc w:val="both"/>
        <w:rPr>
          <w:i/>
          <w:iCs/>
          <w:szCs w:val="22"/>
        </w:rPr>
      </w:pPr>
      <w:r w:rsidRPr="00075FBC">
        <w:rPr>
          <w:i/>
          <w:iCs/>
          <w:szCs w:val="22"/>
        </w:rPr>
        <w:t>Πριν την έναρξη της θεραπείας</w:t>
      </w:r>
    </w:p>
    <w:p w:rsidR="00075FBC" w:rsidRPr="00075FBC" w:rsidRDefault="00075FBC" w:rsidP="00075FBC">
      <w:pPr>
        <w:jc w:val="both"/>
        <w:rPr>
          <w:szCs w:val="22"/>
        </w:rPr>
      </w:pPr>
      <w:r w:rsidRPr="00075FBC">
        <w:rPr>
          <w:szCs w:val="22"/>
        </w:rPr>
        <w:t xml:space="preserve">Η </w:t>
      </w:r>
      <w:proofErr w:type="spellStart"/>
      <w:r w:rsidRPr="00075FBC">
        <w:rPr>
          <w:szCs w:val="22"/>
        </w:rPr>
        <w:t>ατορβαστατίνη</w:t>
      </w:r>
      <w:proofErr w:type="spellEnd"/>
      <w:r w:rsidRPr="00075FBC">
        <w:rPr>
          <w:szCs w:val="22"/>
        </w:rPr>
        <w:t xml:space="preserve"> πρέπει να χορηγείται με προσοχή σε ασθενείς με </w:t>
      </w:r>
      <w:proofErr w:type="spellStart"/>
      <w:r w:rsidRPr="00075FBC">
        <w:rPr>
          <w:szCs w:val="22"/>
        </w:rPr>
        <w:t>προδιαθεσικούς</w:t>
      </w:r>
      <w:proofErr w:type="spellEnd"/>
      <w:r w:rsidRPr="00075FBC">
        <w:rPr>
          <w:szCs w:val="22"/>
        </w:rPr>
        <w:t xml:space="preserve"> παράγοντες για εμφάνιση </w:t>
      </w:r>
      <w:proofErr w:type="spellStart"/>
      <w:r w:rsidRPr="00075FBC">
        <w:rPr>
          <w:szCs w:val="22"/>
        </w:rPr>
        <w:t>ραβδομυόλυσης</w:t>
      </w:r>
      <w:proofErr w:type="spellEnd"/>
      <w:r w:rsidRPr="00075FBC">
        <w:rPr>
          <w:szCs w:val="22"/>
        </w:rPr>
        <w:t xml:space="preserve">. Στις καταστάσεις που ακολουθούν πρέπει να προσδιορίζονται τα επίπεδα CK πριν την έναρξη της θεραπείας με </w:t>
      </w:r>
      <w:proofErr w:type="spellStart"/>
      <w:r w:rsidRPr="00075FBC">
        <w:rPr>
          <w:szCs w:val="22"/>
        </w:rPr>
        <w:t>στατίνες</w:t>
      </w:r>
      <w:proofErr w:type="spellEnd"/>
      <w:r w:rsidRPr="00075FBC">
        <w:rPr>
          <w:szCs w:val="22"/>
        </w:rPr>
        <w:t xml:space="preserve">: </w:t>
      </w:r>
    </w:p>
    <w:p w:rsidR="00075FBC" w:rsidRPr="00075FBC" w:rsidRDefault="00075FBC" w:rsidP="00075FBC">
      <w:pPr>
        <w:jc w:val="both"/>
        <w:rPr>
          <w:szCs w:val="22"/>
        </w:rPr>
      </w:pPr>
      <w:r w:rsidRPr="00075FBC">
        <w:rPr>
          <w:szCs w:val="22"/>
        </w:rPr>
        <w:t>-</w:t>
      </w:r>
      <w:r w:rsidRPr="00075FBC">
        <w:rPr>
          <w:szCs w:val="22"/>
        </w:rPr>
        <w:tab/>
        <w:t>Νεφρική ανεπάρκεια</w:t>
      </w:r>
    </w:p>
    <w:p w:rsidR="00075FBC" w:rsidRPr="00075FBC" w:rsidRDefault="00075FBC" w:rsidP="00075FBC">
      <w:pPr>
        <w:jc w:val="both"/>
        <w:rPr>
          <w:szCs w:val="22"/>
        </w:rPr>
      </w:pPr>
      <w:r w:rsidRPr="00075FBC">
        <w:rPr>
          <w:szCs w:val="22"/>
        </w:rPr>
        <w:t>-</w:t>
      </w:r>
      <w:r w:rsidRPr="00075FBC">
        <w:rPr>
          <w:szCs w:val="22"/>
        </w:rPr>
        <w:tab/>
        <w:t>Υποθυρεοειδισμός</w:t>
      </w:r>
    </w:p>
    <w:p w:rsidR="00075FBC" w:rsidRPr="00075FBC" w:rsidRDefault="00075FBC" w:rsidP="00075FBC">
      <w:pPr>
        <w:jc w:val="both"/>
        <w:rPr>
          <w:szCs w:val="22"/>
        </w:rPr>
      </w:pPr>
      <w:r w:rsidRPr="00075FBC">
        <w:rPr>
          <w:szCs w:val="22"/>
        </w:rPr>
        <w:t>-</w:t>
      </w:r>
      <w:r w:rsidRPr="00075FBC">
        <w:rPr>
          <w:szCs w:val="22"/>
        </w:rPr>
        <w:tab/>
        <w:t>Ατομικό ή οικογενειακό ιστορικό κληρονομικής μυϊκής διαταραχής</w:t>
      </w:r>
    </w:p>
    <w:p w:rsidR="00075FBC" w:rsidRPr="00075FBC" w:rsidRDefault="00075FBC" w:rsidP="00075FBC">
      <w:pPr>
        <w:jc w:val="both"/>
        <w:rPr>
          <w:szCs w:val="22"/>
        </w:rPr>
      </w:pPr>
      <w:r w:rsidRPr="00075FBC">
        <w:rPr>
          <w:szCs w:val="22"/>
        </w:rPr>
        <w:t>-</w:t>
      </w:r>
      <w:r w:rsidRPr="00075FBC">
        <w:rPr>
          <w:szCs w:val="22"/>
        </w:rPr>
        <w:tab/>
        <w:t xml:space="preserve">Προηγούμενο ιστορικό μυϊκής τοξικότητας με </w:t>
      </w:r>
      <w:proofErr w:type="spellStart"/>
      <w:r w:rsidRPr="00075FBC">
        <w:rPr>
          <w:szCs w:val="22"/>
        </w:rPr>
        <w:t>στατίνη</w:t>
      </w:r>
      <w:proofErr w:type="spellEnd"/>
      <w:r w:rsidRPr="00075FBC">
        <w:rPr>
          <w:szCs w:val="22"/>
        </w:rPr>
        <w:t xml:space="preserve"> ή </w:t>
      </w:r>
      <w:proofErr w:type="spellStart"/>
      <w:r w:rsidRPr="00075FBC">
        <w:rPr>
          <w:szCs w:val="22"/>
        </w:rPr>
        <w:t>φιβράτη</w:t>
      </w:r>
      <w:proofErr w:type="spellEnd"/>
    </w:p>
    <w:p w:rsidR="00075FBC" w:rsidRPr="00075FBC" w:rsidRDefault="00075FBC" w:rsidP="00075FBC">
      <w:pPr>
        <w:ind w:left="720" w:hanging="720"/>
        <w:jc w:val="both"/>
        <w:rPr>
          <w:szCs w:val="22"/>
          <w:lang w:eastAsia="x-none"/>
        </w:rPr>
      </w:pPr>
      <w:r w:rsidRPr="00075FBC">
        <w:rPr>
          <w:szCs w:val="22"/>
          <w:lang w:eastAsia="x-none"/>
        </w:rPr>
        <w:t>-</w:t>
      </w:r>
      <w:r w:rsidRPr="00075FBC">
        <w:rPr>
          <w:szCs w:val="22"/>
          <w:lang w:eastAsia="x-none"/>
        </w:rPr>
        <w:tab/>
        <w:t>Προηγούμενο ιστορικό ηπατικής νόσου και/ή όταν καταναλώνονται μεγάλες ποσότητες οινοπνεύματος</w:t>
      </w:r>
    </w:p>
    <w:p w:rsidR="00075FBC" w:rsidRPr="00075FBC" w:rsidRDefault="00075FBC" w:rsidP="00075FBC">
      <w:pPr>
        <w:numPr>
          <w:ilvl w:val="0"/>
          <w:numId w:val="4"/>
        </w:numPr>
        <w:jc w:val="both"/>
        <w:rPr>
          <w:szCs w:val="22"/>
        </w:rPr>
      </w:pPr>
      <w:r w:rsidRPr="00075FBC">
        <w:rPr>
          <w:szCs w:val="22"/>
        </w:rPr>
        <w:t xml:space="preserve">Σε ηλικιωμένους (ηλικίας &gt; 70 ετών) η χρησιμότητα μιας τέτοιας μέτρησης πρέπει να εξετάζεται με βάση την ύπαρξη άλλων παραγόντων που προδιαθέτουν για </w:t>
      </w:r>
      <w:proofErr w:type="spellStart"/>
      <w:r w:rsidRPr="00075FBC">
        <w:rPr>
          <w:szCs w:val="22"/>
        </w:rPr>
        <w:t>ραβδομυόλυση</w:t>
      </w:r>
      <w:proofErr w:type="spellEnd"/>
      <w:r w:rsidRPr="00075FBC">
        <w:rPr>
          <w:szCs w:val="22"/>
        </w:rPr>
        <w:t>.</w:t>
      </w:r>
    </w:p>
    <w:p w:rsidR="00075FBC" w:rsidRPr="00075FBC" w:rsidRDefault="00075FBC" w:rsidP="00075FBC">
      <w:pPr>
        <w:numPr>
          <w:ilvl w:val="0"/>
          <w:numId w:val="4"/>
        </w:numPr>
        <w:jc w:val="both"/>
      </w:pPr>
      <w:r w:rsidRPr="00075FBC">
        <w:t xml:space="preserve">Σε περιπτώσεις όπου μπορεί να αυξηθούν τα επίπεδα στον ορό του αίματος, όπως αλληλεπιδράσεις (βλ. παράγραφο 4.5) και ειδικές πληθυσμιακές ομάδες συμπεριλαμβανομένων γενετικών </w:t>
      </w:r>
      <w:proofErr w:type="spellStart"/>
      <w:r w:rsidRPr="00075FBC">
        <w:t>υποπληθυσμών</w:t>
      </w:r>
      <w:proofErr w:type="spellEnd"/>
      <w:r w:rsidRPr="00075FBC">
        <w:t xml:space="preserve"> (βλ. παράγραφο 5.2)</w:t>
      </w:r>
    </w:p>
    <w:p w:rsidR="00075FBC" w:rsidRPr="00075FBC" w:rsidRDefault="00075FBC" w:rsidP="00075FBC">
      <w:pPr>
        <w:jc w:val="both"/>
        <w:rPr>
          <w:szCs w:val="22"/>
        </w:rPr>
      </w:pPr>
    </w:p>
    <w:p w:rsidR="00075FBC" w:rsidRPr="00075FBC" w:rsidRDefault="00075FBC" w:rsidP="00075FBC">
      <w:pPr>
        <w:jc w:val="both"/>
        <w:rPr>
          <w:szCs w:val="22"/>
        </w:rPr>
      </w:pPr>
      <w:r w:rsidRPr="00075FBC">
        <w:rPr>
          <w:szCs w:val="22"/>
        </w:rPr>
        <w:t>Σε αυτές τις καταστάσεις θα πρέπει να σταθμίζεται ο κίνδυνος σε σχέση με το πιθανό όφελος της θεραπείας και συνιστάται κλινική παρακολούθηση.</w:t>
      </w:r>
    </w:p>
    <w:p w:rsidR="00075FBC" w:rsidRPr="00075FBC" w:rsidRDefault="00075FBC" w:rsidP="00075FBC">
      <w:pPr>
        <w:jc w:val="both"/>
        <w:rPr>
          <w:szCs w:val="22"/>
        </w:rPr>
      </w:pPr>
      <w:r w:rsidRPr="00075FBC">
        <w:rPr>
          <w:szCs w:val="22"/>
        </w:rPr>
        <w:t xml:space="preserve">Εάν τα επίπεδα της CPK είναι </w:t>
      </w:r>
      <w:proofErr w:type="spellStart"/>
      <w:r w:rsidRPr="00075FBC">
        <w:rPr>
          <w:szCs w:val="22"/>
        </w:rPr>
        <w:t>σημαντικώς</w:t>
      </w:r>
      <w:proofErr w:type="spellEnd"/>
      <w:r w:rsidRPr="00075FBC">
        <w:rPr>
          <w:szCs w:val="22"/>
        </w:rPr>
        <w:t xml:space="preserve"> αυξημένα (&gt; 5 φορές τα ανώτατα φυσιολογικά όρια) πριν από την έναρξη της θεραπείας δεν πρέπει να γίνει έναρξη αυτής. </w:t>
      </w:r>
    </w:p>
    <w:p w:rsidR="00075FBC" w:rsidRPr="00075FBC" w:rsidRDefault="00075FBC" w:rsidP="00075FBC">
      <w:pPr>
        <w:jc w:val="both"/>
        <w:rPr>
          <w:szCs w:val="22"/>
        </w:rPr>
      </w:pPr>
    </w:p>
    <w:p w:rsidR="00075FBC" w:rsidRPr="00075FBC" w:rsidRDefault="00075FBC" w:rsidP="00075FBC">
      <w:pPr>
        <w:widowControl/>
        <w:spacing w:after="120"/>
        <w:jc w:val="both"/>
        <w:rPr>
          <w:i/>
          <w:iCs/>
          <w:szCs w:val="22"/>
        </w:rPr>
      </w:pPr>
      <w:r w:rsidRPr="00075FBC">
        <w:rPr>
          <w:i/>
          <w:iCs/>
          <w:szCs w:val="22"/>
        </w:rPr>
        <w:t xml:space="preserve">Προσδιορισμός της </w:t>
      </w:r>
      <w:proofErr w:type="spellStart"/>
      <w:r w:rsidRPr="00075FBC">
        <w:rPr>
          <w:i/>
          <w:iCs/>
          <w:szCs w:val="22"/>
        </w:rPr>
        <w:t>κινάσης</w:t>
      </w:r>
      <w:proofErr w:type="spellEnd"/>
      <w:r w:rsidRPr="00075FBC">
        <w:rPr>
          <w:i/>
          <w:iCs/>
          <w:szCs w:val="22"/>
        </w:rPr>
        <w:t xml:space="preserve"> της κρεατίνης</w:t>
      </w:r>
    </w:p>
    <w:p w:rsidR="00075FBC" w:rsidRPr="00075FBC" w:rsidRDefault="00075FBC" w:rsidP="00075FBC">
      <w:pPr>
        <w:jc w:val="both"/>
        <w:rPr>
          <w:szCs w:val="22"/>
        </w:rPr>
      </w:pPr>
      <w:r w:rsidRPr="00075FBC">
        <w:rPr>
          <w:szCs w:val="22"/>
        </w:rPr>
        <w:t xml:space="preserve">Η </w:t>
      </w:r>
      <w:proofErr w:type="spellStart"/>
      <w:r w:rsidRPr="00075FBC">
        <w:rPr>
          <w:szCs w:val="22"/>
        </w:rPr>
        <w:t>κινάση</w:t>
      </w:r>
      <w:proofErr w:type="spellEnd"/>
      <w:r w:rsidRPr="00075FBC">
        <w:rPr>
          <w:szCs w:val="22"/>
        </w:rPr>
        <w:t xml:space="preserve"> της κρεατίνης (CK) δεν πρέπει να προσδιορίζεται μετά από εντατική άσκηση ή παρουσία οποιασδήποτε άλλης εύλογης αιτίας αύξησης της CK, γιατί αυτό δυσκολεύει  την ερμηνεία των αποτελεσμάτων. Εάν τα επίπεδα της CK, πριν την έναρξη της θεραπείας, είναι </w:t>
      </w:r>
      <w:proofErr w:type="spellStart"/>
      <w:r w:rsidRPr="00075FBC">
        <w:rPr>
          <w:szCs w:val="22"/>
        </w:rPr>
        <w:t>σημαντικώς</w:t>
      </w:r>
      <w:proofErr w:type="spellEnd"/>
      <w:r w:rsidRPr="00075FBC">
        <w:rPr>
          <w:szCs w:val="22"/>
        </w:rPr>
        <w:t xml:space="preserve"> αυξημένα (&gt; 5 φορές τα </w:t>
      </w:r>
      <w:r w:rsidRPr="00075FBC">
        <w:t>ULN</w:t>
      </w:r>
      <w:r w:rsidRPr="00075FBC">
        <w:rPr>
          <w:szCs w:val="22"/>
        </w:rPr>
        <w:t>) πρέπει να προσδιορίζονται εκ νέου 5 έως 7 ημέρες αργότερα για την επιβεβαίωση των αποτελεσμάτων.</w:t>
      </w:r>
    </w:p>
    <w:p w:rsidR="00075FBC" w:rsidRPr="00075FBC" w:rsidRDefault="00075FBC" w:rsidP="00075FBC">
      <w:pPr>
        <w:jc w:val="both"/>
        <w:rPr>
          <w:szCs w:val="22"/>
        </w:rPr>
      </w:pPr>
    </w:p>
    <w:p w:rsidR="00075FBC" w:rsidRPr="00075FBC" w:rsidRDefault="00075FBC" w:rsidP="00075FBC">
      <w:pPr>
        <w:jc w:val="both"/>
        <w:rPr>
          <w:lang w:eastAsia="x-none"/>
        </w:rPr>
      </w:pPr>
      <w:r w:rsidRPr="00075FBC">
        <w:rPr>
          <w:i/>
          <w:szCs w:val="22"/>
        </w:rPr>
        <w:t>Κατά τη διάρκεια της θεραπείας</w:t>
      </w:r>
    </w:p>
    <w:p w:rsidR="00075FBC" w:rsidRPr="00075FBC" w:rsidRDefault="00075FBC" w:rsidP="00075FBC">
      <w:pPr>
        <w:jc w:val="both"/>
        <w:rPr>
          <w:szCs w:val="22"/>
        </w:rPr>
      </w:pPr>
    </w:p>
    <w:p w:rsidR="00075FBC" w:rsidRPr="00075FBC" w:rsidRDefault="00075FBC" w:rsidP="00075FBC">
      <w:pPr>
        <w:numPr>
          <w:ilvl w:val="0"/>
          <w:numId w:val="4"/>
        </w:numPr>
        <w:jc w:val="both"/>
        <w:rPr>
          <w:szCs w:val="22"/>
        </w:rPr>
      </w:pPr>
      <w:r w:rsidRPr="00075FBC">
        <w:rPr>
          <w:szCs w:val="22"/>
        </w:rPr>
        <w:t xml:space="preserve">Πρέπει να ζητείται από τους ασθενείς να αναφέρουν αμέσως μυϊκούς πόνους, κράμπες </w:t>
      </w:r>
      <w:r w:rsidRPr="00075FBC">
        <w:rPr>
          <w:szCs w:val="22"/>
        </w:rPr>
        <w:lastRenderedPageBreak/>
        <w:t xml:space="preserve">ή αδυναμία, ιδιαίτερα εάν συνοδεύονται από αίσθημα κακουχίας ή πυρετό. </w:t>
      </w:r>
    </w:p>
    <w:p w:rsidR="00075FBC" w:rsidRPr="00075FBC" w:rsidRDefault="00075FBC" w:rsidP="00075FBC">
      <w:pPr>
        <w:numPr>
          <w:ilvl w:val="0"/>
          <w:numId w:val="4"/>
        </w:numPr>
        <w:jc w:val="both"/>
        <w:rPr>
          <w:szCs w:val="22"/>
        </w:rPr>
      </w:pPr>
      <w:r w:rsidRPr="00075FBC">
        <w:rPr>
          <w:szCs w:val="22"/>
        </w:rPr>
        <w:t xml:space="preserve">Εάν εμφανιστούν τέτοια συμπτώματα, ενώ ένας ασθενής βρίσκεται υπό θεραπεία με </w:t>
      </w:r>
      <w:proofErr w:type="spellStart"/>
      <w:r w:rsidRPr="00075FBC">
        <w:rPr>
          <w:szCs w:val="22"/>
        </w:rPr>
        <w:t>ατορβαστατίνη</w:t>
      </w:r>
      <w:proofErr w:type="spellEnd"/>
      <w:r w:rsidRPr="00075FBC">
        <w:rPr>
          <w:szCs w:val="22"/>
        </w:rPr>
        <w:t xml:space="preserve">, πρέπει να προσδιορίζονται τα επίπεδα της CK. Εάν διαπιστωθεί ότι τα επίπεδα είναι </w:t>
      </w:r>
      <w:proofErr w:type="spellStart"/>
      <w:r w:rsidRPr="00075FBC">
        <w:rPr>
          <w:szCs w:val="22"/>
        </w:rPr>
        <w:t>σημαντικώς</w:t>
      </w:r>
      <w:proofErr w:type="spellEnd"/>
      <w:r w:rsidRPr="00075FBC">
        <w:rPr>
          <w:szCs w:val="22"/>
        </w:rPr>
        <w:t xml:space="preserve"> αυξημένα (&gt; 5 φορές τα </w:t>
      </w:r>
      <w:r w:rsidRPr="00075FBC">
        <w:t>ULN</w:t>
      </w:r>
      <w:r w:rsidRPr="00075FBC">
        <w:rPr>
          <w:szCs w:val="22"/>
        </w:rPr>
        <w:t xml:space="preserve">) η θεραπεία θα πρέπει να σταματήσει. </w:t>
      </w:r>
    </w:p>
    <w:p w:rsidR="00075FBC" w:rsidRPr="00075FBC" w:rsidRDefault="00075FBC" w:rsidP="00075FBC">
      <w:pPr>
        <w:numPr>
          <w:ilvl w:val="0"/>
          <w:numId w:val="4"/>
        </w:numPr>
        <w:jc w:val="both"/>
        <w:rPr>
          <w:szCs w:val="22"/>
        </w:rPr>
      </w:pPr>
      <w:r w:rsidRPr="00075FBC">
        <w:rPr>
          <w:szCs w:val="22"/>
        </w:rPr>
        <w:t xml:space="preserve">Εάν τα μυϊκά συμπτώματα είναι σοβαρά και προκαλούν καθημερινές διαταραχές, ακόμα και αν τα επίπεδα CK είναι αυξημένα σε </w:t>
      </w:r>
      <w:r w:rsidRPr="00075FBC">
        <w:rPr>
          <w:szCs w:val="22"/>
        </w:rPr>
        <w:sym w:font="Symbol" w:char="F0A3"/>
      </w:r>
      <w:r w:rsidRPr="00075FBC">
        <w:rPr>
          <w:szCs w:val="22"/>
        </w:rPr>
        <w:t xml:space="preserve"> 5 x </w:t>
      </w:r>
      <w:r w:rsidRPr="00075FBC">
        <w:t>ULN</w:t>
      </w:r>
      <w:r w:rsidRPr="00075FBC">
        <w:rPr>
          <w:szCs w:val="22"/>
        </w:rPr>
        <w:t>, πρέπει να εκτιμάται η ανάγκη διακοπής της θεραπείας.</w:t>
      </w:r>
    </w:p>
    <w:p w:rsidR="00075FBC" w:rsidRPr="00075FBC" w:rsidRDefault="00075FBC" w:rsidP="00075FBC">
      <w:pPr>
        <w:numPr>
          <w:ilvl w:val="0"/>
          <w:numId w:val="4"/>
        </w:numPr>
        <w:jc w:val="both"/>
        <w:rPr>
          <w:szCs w:val="22"/>
        </w:rPr>
      </w:pPr>
      <w:r w:rsidRPr="00075FBC">
        <w:rPr>
          <w:szCs w:val="22"/>
        </w:rPr>
        <w:t xml:space="preserve">Εάν τα συμπτώματα υποχωρήσουν και τα επίπεδα της CK επανέλθουν στο φυσιολογικό, τότε μπορεί να εξεταστεί το ενδεχόμενο </w:t>
      </w:r>
      <w:proofErr w:type="spellStart"/>
      <w:r w:rsidRPr="00075FBC">
        <w:rPr>
          <w:szCs w:val="22"/>
        </w:rPr>
        <w:t>επαναχορήγησης</w:t>
      </w:r>
      <w:proofErr w:type="spellEnd"/>
      <w:r w:rsidRPr="00075FBC">
        <w:rPr>
          <w:szCs w:val="22"/>
        </w:rPr>
        <w:t xml:space="preserve"> της </w:t>
      </w:r>
      <w:proofErr w:type="spellStart"/>
      <w:r w:rsidRPr="00075FBC">
        <w:rPr>
          <w:szCs w:val="22"/>
        </w:rPr>
        <w:t>ατορβαστατίνης</w:t>
      </w:r>
      <w:proofErr w:type="spellEnd"/>
      <w:r w:rsidRPr="00075FBC">
        <w:rPr>
          <w:szCs w:val="22"/>
        </w:rPr>
        <w:t xml:space="preserve"> ή η χορήγηση μιας άλλης </w:t>
      </w:r>
      <w:proofErr w:type="spellStart"/>
      <w:r w:rsidRPr="00075FBC">
        <w:rPr>
          <w:szCs w:val="22"/>
        </w:rPr>
        <w:t>στατίνης</w:t>
      </w:r>
      <w:proofErr w:type="spellEnd"/>
      <w:r w:rsidRPr="00075FBC">
        <w:rPr>
          <w:szCs w:val="22"/>
        </w:rPr>
        <w:t xml:space="preserve"> στη χαμηλότερη δόση και υπό στενό έλεγχο. </w:t>
      </w:r>
    </w:p>
    <w:p w:rsidR="00075FBC" w:rsidRPr="00075FBC" w:rsidRDefault="00075FBC" w:rsidP="00075FBC">
      <w:pPr>
        <w:numPr>
          <w:ilvl w:val="0"/>
          <w:numId w:val="4"/>
        </w:numPr>
        <w:jc w:val="both"/>
        <w:rPr>
          <w:szCs w:val="22"/>
          <w:lang w:eastAsia="x-none"/>
        </w:rPr>
      </w:pPr>
      <w:r w:rsidRPr="00075FBC">
        <w:rPr>
          <w:szCs w:val="22"/>
          <w:lang w:eastAsia="x-none"/>
        </w:rPr>
        <w:t xml:space="preserve">Η </w:t>
      </w:r>
      <w:proofErr w:type="spellStart"/>
      <w:r w:rsidRPr="00075FBC">
        <w:rPr>
          <w:szCs w:val="22"/>
          <w:lang w:eastAsia="x-none"/>
        </w:rPr>
        <w:t>ατορβαστατίνη</w:t>
      </w:r>
      <w:proofErr w:type="spellEnd"/>
      <w:r w:rsidRPr="00075FBC">
        <w:rPr>
          <w:szCs w:val="22"/>
          <w:lang w:eastAsia="x-none"/>
        </w:rPr>
        <w:t xml:space="preserve">  πρέπει να διακοπεί εάν σημειωθούν κλινικά σημαντικές αυξήσεις στα επίπεδα της CK (&gt; 10 φορές τα ULN) ή εάν διαγνωσθεί ή υπάρχει υπόνοια </w:t>
      </w:r>
      <w:proofErr w:type="spellStart"/>
      <w:r w:rsidRPr="00075FBC">
        <w:rPr>
          <w:szCs w:val="22"/>
          <w:lang w:eastAsia="x-none"/>
        </w:rPr>
        <w:t>ραβδομυόλυσης</w:t>
      </w:r>
      <w:proofErr w:type="spellEnd"/>
      <w:r w:rsidRPr="00075FBC">
        <w:rPr>
          <w:szCs w:val="22"/>
          <w:lang w:eastAsia="x-none"/>
        </w:rPr>
        <w:t>.</w:t>
      </w:r>
    </w:p>
    <w:p w:rsidR="00075FBC" w:rsidRPr="00075FBC" w:rsidRDefault="00075FBC" w:rsidP="00075FBC">
      <w:pPr>
        <w:jc w:val="both"/>
        <w:rPr>
          <w:szCs w:val="22"/>
        </w:rPr>
      </w:pPr>
    </w:p>
    <w:p w:rsidR="00075FBC" w:rsidRPr="00075FBC" w:rsidRDefault="00075FBC" w:rsidP="00075FBC">
      <w:pPr>
        <w:widowControl/>
        <w:spacing w:after="120"/>
        <w:jc w:val="both"/>
        <w:rPr>
          <w:bCs/>
          <w:szCs w:val="22"/>
          <w:u w:val="single"/>
        </w:rPr>
      </w:pPr>
      <w:r w:rsidRPr="00075FBC">
        <w:rPr>
          <w:bCs/>
          <w:szCs w:val="22"/>
          <w:u w:val="single"/>
        </w:rPr>
        <w:t>Ταυτόχρονη θεραπεία με άλλα φαρμακευτικά προϊόντα</w:t>
      </w:r>
    </w:p>
    <w:p w:rsidR="00075FBC" w:rsidRPr="00075FBC" w:rsidRDefault="00075FBC" w:rsidP="00075FBC">
      <w:pPr>
        <w:widowControl/>
        <w:jc w:val="both"/>
      </w:pPr>
      <w:r w:rsidRPr="00075FBC">
        <w:rPr>
          <w:szCs w:val="22"/>
        </w:rPr>
        <w:t xml:space="preserve">Ο κίνδυνος εμφάνισης </w:t>
      </w:r>
      <w:proofErr w:type="spellStart"/>
      <w:r w:rsidRPr="00075FBC">
        <w:rPr>
          <w:szCs w:val="22"/>
        </w:rPr>
        <w:t>ραβδομυόλυσης</w:t>
      </w:r>
      <w:proofErr w:type="spellEnd"/>
      <w:r w:rsidRPr="00075FBC">
        <w:rPr>
          <w:szCs w:val="22"/>
        </w:rPr>
        <w:t xml:space="preserve"> αυξάνει όταν η </w:t>
      </w:r>
      <w:proofErr w:type="spellStart"/>
      <w:r w:rsidRPr="00075FBC">
        <w:rPr>
          <w:szCs w:val="22"/>
        </w:rPr>
        <w:t>ατορβαστατίνη</w:t>
      </w:r>
      <w:proofErr w:type="spellEnd"/>
      <w:r w:rsidRPr="00075FBC">
        <w:rPr>
          <w:szCs w:val="22"/>
        </w:rPr>
        <w:t xml:space="preserve"> χορηγείται ταυτόχρονα με κάποια φαρμακευτικά προϊόντα</w:t>
      </w:r>
      <w:r w:rsidRPr="00075FBC" w:rsidDel="000F21F7">
        <w:rPr>
          <w:szCs w:val="22"/>
        </w:rPr>
        <w:t xml:space="preserve"> </w:t>
      </w:r>
      <w:r w:rsidRPr="00075FBC">
        <w:rPr>
          <w:szCs w:val="22"/>
        </w:rPr>
        <w:t xml:space="preserve">τα οποία μπορεί να αυξήσουν τα επίπεδα της </w:t>
      </w:r>
      <w:proofErr w:type="spellStart"/>
      <w:r w:rsidRPr="00075FBC">
        <w:rPr>
          <w:szCs w:val="22"/>
        </w:rPr>
        <w:t>ατορβαστατίνης</w:t>
      </w:r>
      <w:proofErr w:type="spellEnd"/>
      <w:r w:rsidRPr="00075FBC">
        <w:rPr>
          <w:szCs w:val="22"/>
        </w:rPr>
        <w:t xml:space="preserve"> στο πλάσμα, όπως: ισχυρούς αναστολείς του </w:t>
      </w:r>
      <w:r w:rsidRPr="00075FBC">
        <w:t xml:space="preserve">CYP3A4 ή </w:t>
      </w:r>
      <w:proofErr w:type="spellStart"/>
      <w:r w:rsidRPr="00075FBC">
        <w:t>διακομιστών</w:t>
      </w:r>
      <w:proofErr w:type="spellEnd"/>
      <w:r w:rsidRPr="00075FBC">
        <w:t xml:space="preserve"> πρωτεϊνών (π.χ. </w:t>
      </w:r>
      <w:proofErr w:type="spellStart"/>
      <w:r w:rsidRPr="00075FBC">
        <w:rPr>
          <w:szCs w:val="22"/>
        </w:rPr>
        <w:t>κυκλοσπορίνη</w:t>
      </w:r>
      <w:proofErr w:type="spellEnd"/>
      <w:r w:rsidRPr="00075FBC">
        <w:rPr>
          <w:szCs w:val="22"/>
        </w:rPr>
        <w:t xml:space="preserve">, </w:t>
      </w:r>
      <w:proofErr w:type="spellStart"/>
      <w:r w:rsidRPr="00075FBC">
        <w:rPr>
          <w:szCs w:val="22"/>
        </w:rPr>
        <w:t>τελιθρομυκίνη</w:t>
      </w:r>
      <w:proofErr w:type="spellEnd"/>
      <w:r w:rsidRPr="00075FBC">
        <w:rPr>
          <w:szCs w:val="22"/>
        </w:rPr>
        <w:t xml:space="preserve">, </w:t>
      </w:r>
      <w:proofErr w:type="spellStart"/>
      <w:r w:rsidRPr="00075FBC">
        <w:rPr>
          <w:szCs w:val="22"/>
        </w:rPr>
        <w:t>κλαριθρομυκίνη</w:t>
      </w:r>
      <w:proofErr w:type="spellEnd"/>
      <w:r w:rsidRPr="00075FBC">
        <w:rPr>
          <w:szCs w:val="22"/>
        </w:rPr>
        <w:t xml:space="preserve">, </w:t>
      </w:r>
      <w:proofErr w:type="spellStart"/>
      <w:r w:rsidRPr="00075FBC">
        <w:rPr>
          <w:szCs w:val="22"/>
        </w:rPr>
        <w:t>δελαβιρδίνη</w:t>
      </w:r>
      <w:proofErr w:type="spellEnd"/>
      <w:r w:rsidRPr="00075FBC">
        <w:t xml:space="preserve">, </w:t>
      </w:r>
      <w:proofErr w:type="spellStart"/>
      <w:r w:rsidRPr="00075FBC">
        <w:t>στιριπεντόλη</w:t>
      </w:r>
      <w:proofErr w:type="spellEnd"/>
      <w:r w:rsidRPr="00075FBC">
        <w:t xml:space="preserve">, </w:t>
      </w:r>
      <w:proofErr w:type="spellStart"/>
      <w:r w:rsidRPr="00075FBC">
        <w:rPr>
          <w:szCs w:val="22"/>
        </w:rPr>
        <w:t>κετοκοναζόλη</w:t>
      </w:r>
      <w:proofErr w:type="spellEnd"/>
      <w:r w:rsidRPr="00075FBC">
        <w:rPr>
          <w:szCs w:val="22"/>
        </w:rPr>
        <w:t xml:space="preserve">, </w:t>
      </w:r>
      <w:proofErr w:type="spellStart"/>
      <w:r w:rsidRPr="00075FBC">
        <w:rPr>
          <w:szCs w:val="22"/>
        </w:rPr>
        <w:t>βορικοναζόλη</w:t>
      </w:r>
      <w:proofErr w:type="spellEnd"/>
      <w:r w:rsidRPr="00075FBC">
        <w:rPr>
          <w:szCs w:val="22"/>
        </w:rPr>
        <w:t xml:space="preserve">, </w:t>
      </w:r>
      <w:proofErr w:type="spellStart"/>
      <w:r w:rsidRPr="00075FBC">
        <w:rPr>
          <w:szCs w:val="22"/>
        </w:rPr>
        <w:t>ιτρακοναζόλη</w:t>
      </w:r>
      <w:proofErr w:type="spellEnd"/>
      <w:r w:rsidRPr="00075FBC">
        <w:rPr>
          <w:szCs w:val="22"/>
        </w:rPr>
        <w:t xml:space="preserve">, </w:t>
      </w:r>
      <w:proofErr w:type="spellStart"/>
      <w:r w:rsidRPr="00075FBC">
        <w:rPr>
          <w:szCs w:val="22"/>
        </w:rPr>
        <w:t>ποσακοναζόλη</w:t>
      </w:r>
      <w:proofErr w:type="spellEnd"/>
      <w:r w:rsidRPr="00075FBC">
        <w:rPr>
          <w:szCs w:val="22"/>
        </w:rPr>
        <w:t xml:space="preserve"> και αναστολείς της HIV </w:t>
      </w:r>
      <w:proofErr w:type="spellStart"/>
      <w:r w:rsidRPr="00075FBC">
        <w:rPr>
          <w:szCs w:val="22"/>
        </w:rPr>
        <w:t>πρωτεάσης</w:t>
      </w:r>
      <w:proofErr w:type="spellEnd"/>
      <w:r w:rsidRPr="00075FBC">
        <w:rPr>
          <w:szCs w:val="22"/>
        </w:rPr>
        <w:t xml:space="preserve"> συμπεριλαμβανομένης της </w:t>
      </w:r>
      <w:proofErr w:type="spellStart"/>
      <w:r w:rsidRPr="00075FBC">
        <w:rPr>
          <w:szCs w:val="22"/>
        </w:rPr>
        <w:t>ριτοναβίρης</w:t>
      </w:r>
      <w:proofErr w:type="spellEnd"/>
      <w:r w:rsidRPr="00075FBC">
        <w:rPr>
          <w:szCs w:val="22"/>
        </w:rPr>
        <w:t xml:space="preserve">, </w:t>
      </w:r>
      <w:proofErr w:type="spellStart"/>
      <w:r w:rsidRPr="00075FBC">
        <w:rPr>
          <w:szCs w:val="22"/>
        </w:rPr>
        <w:t>λοπιναβίρης</w:t>
      </w:r>
      <w:proofErr w:type="spellEnd"/>
      <w:r w:rsidRPr="00075FBC">
        <w:rPr>
          <w:szCs w:val="22"/>
        </w:rPr>
        <w:t xml:space="preserve">, </w:t>
      </w:r>
      <w:proofErr w:type="spellStart"/>
      <w:r w:rsidRPr="00075FBC">
        <w:rPr>
          <w:szCs w:val="22"/>
        </w:rPr>
        <w:t>αταζαναβίρης</w:t>
      </w:r>
      <w:proofErr w:type="spellEnd"/>
      <w:r w:rsidRPr="00075FBC">
        <w:rPr>
          <w:szCs w:val="22"/>
        </w:rPr>
        <w:t xml:space="preserve">, </w:t>
      </w:r>
      <w:proofErr w:type="spellStart"/>
      <w:r w:rsidRPr="00075FBC">
        <w:rPr>
          <w:szCs w:val="22"/>
        </w:rPr>
        <w:t>ινδιναβίρης</w:t>
      </w:r>
      <w:proofErr w:type="spellEnd"/>
      <w:r w:rsidRPr="00075FBC">
        <w:rPr>
          <w:szCs w:val="22"/>
        </w:rPr>
        <w:t xml:space="preserve">, </w:t>
      </w:r>
      <w:proofErr w:type="spellStart"/>
      <w:r w:rsidRPr="00075FBC">
        <w:t>δαρουναβίρης</w:t>
      </w:r>
      <w:proofErr w:type="spellEnd"/>
      <w:r w:rsidRPr="00075FBC">
        <w:t>, κτλ)</w:t>
      </w:r>
      <w:r w:rsidRPr="00075FBC">
        <w:rPr>
          <w:szCs w:val="22"/>
        </w:rPr>
        <w:t xml:space="preserve">. </w:t>
      </w:r>
      <w:r w:rsidRPr="00075FBC">
        <w:t xml:space="preserve">Ο κίνδυνος </w:t>
      </w:r>
      <w:r w:rsidRPr="00075FBC">
        <w:rPr>
          <w:szCs w:val="22"/>
        </w:rPr>
        <w:t xml:space="preserve">μυοπάθειας μπορεί επίσης να αυξηθεί με την ταυτόχρονη χορήγηση </w:t>
      </w:r>
      <w:proofErr w:type="spellStart"/>
      <w:r w:rsidRPr="00075FBC">
        <w:rPr>
          <w:szCs w:val="22"/>
        </w:rPr>
        <w:t>γεμφιβροζίλης</w:t>
      </w:r>
      <w:proofErr w:type="spellEnd"/>
      <w:r w:rsidRPr="00075FBC">
        <w:rPr>
          <w:szCs w:val="22"/>
        </w:rPr>
        <w:t xml:space="preserve"> και άλλων </w:t>
      </w:r>
      <w:proofErr w:type="spellStart"/>
      <w:r w:rsidRPr="00075FBC">
        <w:rPr>
          <w:szCs w:val="22"/>
        </w:rPr>
        <w:t>φιβρατών</w:t>
      </w:r>
      <w:proofErr w:type="spellEnd"/>
      <w:r w:rsidRPr="00075FBC">
        <w:rPr>
          <w:szCs w:val="22"/>
        </w:rPr>
        <w:t xml:space="preserve">, </w:t>
      </w:r>
      <w:proofErr w:type="spellStart"/>
      <w:r w:rsidRPr="00075FBC">
        <w:rPr>
          <w:szCs w:val="22"/>
        </w:rPr>
        <w:t>μποσεπρεβίρης</w:t>
      </w:r>
      <w:proofErr w:type="spellEnd"/>
      <w:r w:rsidRPr="00075FBC">
        <w:rPr>
          <w:szCs w:val="22"/>
        </w:rPr>
        <w:t xml:space="preserve">, </w:t>
      </w:r>
      <w:proofErr w:type="spellStart"/>
      <w:r w:rsidRPr="00075FBC">
        <w:rPr>
          <w:szCs w:val="22"/>
        </w:rPr>
        <w:t>ερυθρομυκίνης</w:t>
      </w:r>
      <w:proofErr w:type="spellEnd"/>
      <w:r w:rsidRPr="00075FBC">
        <w:rPr>
          <w:szCs w:val="22"/>
        </w:rPr>
        <w:t xml:space="preserve">, </w:t>
      </w:r>
      <w:proofErr w:type="spellStart"/>
      <w:r w:rsidRPr="00075FBC">
        <w:rPr>
          <w:szCs w:val="22"/>
        </w:rPr>
        <w:t>νιασίνης</w:t>
      </w:r>
      <w:proofErr w:type="spellEnd"/>
      <w:r w:rsidRPr="00075FBC">
        <w:rPr>
          <w:szCs w:val="22"/>
        </w:rPr>
        <w:t xml:space="preserve">, </w:t>
      </w:r>
      <w:proofErr w:type="spellStart"/>
      <w:r w:rsidRPr="00075FBC">
        <w:t>εζετιμίμπης</w:t>
      </w:r>
      <w:proofErr w:type="spellEnd"/>
      <w:r w:rsidRPr="00075FBC">
        <w:t xml:space="preserve">, </w:t>
      </w:r>
      <w:proofErr w:type="spellStart"/>
      <w:r w:rsidRPr="00075FBC">
        <w:t>τελαπρεβίρης</w:t>
      </w:r>
      <w:proofErr w:type="spellEnd"/>
      <w:r w:rsidRPr="00075FBC">
        <w:t xml:space="preserve"> ή συνδυασμού </w:t>
      </w:r>
      <w:proofErr w:type="spellStart"/>
      <w:r w:rsidRPr="00075FBC">
        <w:rPr>
          <w:bCs/>
        </w:rPr>
        <w:t>τιπραναβίρη</w:t>
      </w:r>
      <w:r w:rsidRPr="00075FBC">
        <w:t>ς</w:t>
      </w:r>
      <w:proofErr w:type="spellEnd"/>
      <w:r w:rsidRPr="00075FBC">
        <w:t>/</w:t>
      </w:r>
      <w:proofErr w:type="spellStart"/>
      <w:r w:rsidRPr="00075FBC">
        <w:t>ριτοναβίρης</w:t>
      </w:r>
      <w:proofErr w:type="spellEnd"/>
      <w:r w:rsidRPr="00075FBC">
        <w:t xml:space="preserve">. Εάν είναι δυνατό, εναλλακτικές θεραπείες (χωρίς αλληλεπίδραση) θα πρέπει να εξεταστούν αντί αυτών των φαρμακευτικών προϊόντων. </w:t>
      </w:r>
    </w:p>
    <w:p w:rsidR="00075FBC" w:rsidRPr="00075FBC" w:rsidRDefault="00075FBC" w:rsidP="00075FBC">
      <w:pPr>
        <w:widowControl/>
        <w:jc w:val="both"/>
      </w:pPr>
    </w:p>
    <w:p w:rsidR="00075FBC" w:rsidRPr="00075FBC" w:rsidRDefault="00075FBC" w:rsidP="00075FBC">
      <w:pPr>
        <w:widowControl/>
        <w:jc w:val="both"/>
      </w:pPr>
      <w:r w:rsidRPr="00075FBC">
        <w:t xml:space="preserve">Κατά τη διάρκεια της θεραπείας με ορισμένες </w:t>
      </w:r>
      <w:proofErr w:type="spellStart"/>
      <w:r w:rsidRPr="00075FBC">
        <w:t>στατίνες</w:t>
      </w:r>
      <w:proofErr w:type="spellEnd"/>
      <w:r w:rsidRPr="00075FBC">
        <w:t xml:space="preserve">, ή μετά την ολοκλήρωσή της, υπήρξαν πολύ σπάνιες αναφορές περί ανοσολογικά </w:t>
      </w:r>
      <w:proofErr w:type="spellStart"/>
      <w:r w:rsidRPr="00075FBC">
        <w:t>διαμεσολαβούμενης</w:t>
      </w:r>
      <w:proofErr w:type="spellEnd"/>
      <w:r w:rsidRPr="00075FBC">
        <w:t xml:space="preserve"> νεκρωτικής μυοπάθειας. Η ανοσολογικά </w:t>
      </w:r>
      <w:proofErr w:type="spellStart"/>
      <w:r w:rsidRPr="00075FBC">
        <w:t>διαμεσολαβούμενη</w:t>
      </w:r>
      <w:proofErr w:type="spellEnd"/>
      <w:r w:rsidRPr="00075FBC">
        <w:t xml:space="preserve"> νεκρωτική μυοπάθεια χαρακτηρίζεται από επίμονη αδυναμία των εγγύς μυών και από αυξημένα επίπεδα </w:t>
      </w:r>
      <w:proofErr w:type="spellStart"/>
      <w:r w:rsidRPr="00075FBC">
        <w:t>κινάσης</w:t>
      </w:r>
      <w:proofErr w:type="spellEnd"/>
      <w:r w:rsidRPr="00075FBC">
        <w:t xml:space="preserve"> της </w:t>
      </w:r>
      <w:proofErr w:type="spellStart"/>
      <w:r w:rsidRPr="00075FBC">
        <w:t>κρεατινίνης</w:t>
      </w:r>
      <w:proofErr w:type="spellEnd"/>
      <w:r w:rsidRPr="00075FBC">
        <w:t xml:space="preserve"> στον ορό, τα οποία διατηρούνται ακόμα και μετά τη διακοπή της αγωγής με </w:t>
      </w:r>
      <w:proofErr w:type="spellStart"/>
      <w:r w:rsidRPr="00075FBC">
        <w:t>στατίνες</w:t>
      </w:r>
      <w:proofErr w:type="spellEnd"/>
      <w:r w:rsidRPr="00075FBC">
        <w:t>.</w:t>
      </w:r>
    </w:p>
    <w:p w:rsidR="00075FBC" w:rsidRPr="00075FBC" w:rsidRDefault="00075FBC" w:rsidP="00075FBC">
      <w:pPr>
        <w:widowControl/>
        <w:jc w:val="both"/>
        <w:rPr>
          <w:szCs w:val="22"/>
        </w:rPr>
      </w:pPr>
      <w:r w:rsidRPr="00075FBC">
        <w:t xml:space="preserve">Σε περιπτώσεις που η </w:t>
      </w:r>
      <w:proofErr w:type="spellStart"/>
      <w:r w:rsidRPr="00075FBC">
        <w:t>συγχορήγηση</w:t>
      </w:r>
      <w:proofErr w:type="spellEnd"/>
      <w:r w:rsidRPr="00075FBC">
        <w:t xml:space="preserve"> αυτών των φαρμακευτικών προϊόντων με </w:t>
      </w:r>
      <w:proofErr w:type="spellStart"/>
      <w:r w:rsidRPr="00075FBC">
        <w:t>ατορβαστατίνη</w:t>
      </w:r>
      <w:proofErr w:type="spellEnd"/>
      <w:r w:rsidRPr="00075FBC">
        <w:t xml:space="preserve"> είναι απαραίτητη, θα πρέπει να </w:t>
      </w:r>
      <w:r w:rsidRPr="00075FBC">
        <w:rPr>
          <w:szCs w:val="22"/>
        </w:rPr>
        <w:t xml:space="preserve">εξεταστούν προσεκτικά τα οφέλη σε σχέση με τους κινδύνους της ταυτόχρονης χορήγησης. Όταν ασθενείς λαμβάνουν φαρμακευτικά προϊόντα τα οποία αυξάνουν την συγκέντρωση της </w:t>
      </w:r>
      <w:proofErr w:type="spellStart"/>
      <w:r w:rsidRPr="00075FBC">
        <w:rPr>
          <w:szCs w:val="22"/>
        </w:rPr>
        <w:t>ατορβαστατίνης</w:t>
      </w:r>
      <w:proofErr w:type="spellEnd"/>
      <w:r w:rsidRPr="00075FBC">
        <w:rPr>
          <w:szCs w:val="22"/>
        </w:rPr>
        <w:t xml:space="preserve"> στο πλάσμα, συνίσταται </w:t>
      </w:r>
      <w:r w:rsidRPr="00075FBC">
        <w:t>χαμηλότερη μέγιστη δόση</w:t>
      </w:r>
      <w:r w:rsidRPr="00075FBC">
        <w:rPr>
          <w:rFonts w:ascii="Arial" w:hAnsi="Arial" w:cs="Arial"/>
        </w:rPr>
        <w:t xml:space="preserve"> </w:t>
      </w:r>
      <w:proofErr w:type="spellStart"/>
      <w:r w:rsidRPr="00075FBC">
        <w:rPr>
          <w:szCs w:val="22"/>
        </w:rPr>
        <w:t>ατορβαστατίνης</w:t>
      </w:r>
      <w:proofErr w:type="spellEnd"/>
      <w:r w:rsidRPr="00075FBC">
        <w:rPr>
          <w:szCs w:val="22"/>
        </w:rPr>
        <w:t xml:space="preserve">. Επιπρόσθετα, σε περιπτώσεις ισχυρών αναστολέων του </w:t>
      </w:r>
      <w:r w:rsidRPr="00075FBC">
        <w:t>CYP3A4</w:t>
      </w:r>
      <w:r w:rsidRPr="00075FBC">
        <w:rPr>
          <w:szCs w:val="22"/>
        </w:rPr>
        <w:t>, θα πρέπει να εξετάζεται</w:t>
      </w:r>
      <w:r w:rsidRPr="00075FBC">
        <w:t xml:space="preserve"> χαμηλότερη αρχική δόση</w:t>
      </w:r>
      <w:r w:rsidRPr="00075FBC">
        <w:rPr>
          <w:rFonts w:ascii="Arial" w:hAnsi="Arial" w:cs="Arial"/>
        </w:rPr>
        <w:t xml:space="preserve"> </w:t>
      </w:r>
      <w:proofErr w:type="spellStart"/>
      <w:r w:rsidRPr="00075FBC">
        <w:rPr>
          <w:szCs w:val="22"/>
        </w:rPr>
        <w:t>ατορβαστατίνης</w:t>
      </w:r>
      <w:proofErr w:type="spellEnd"/>
      <w:r w:rsidRPr="00075FBC">
        <w:rPr>
          <w:szCs w:val="22"/>
        </w:rPr>
        <w:t xml:space="preserve"> και συνιστάται η κατάλληλη κλινική παρακολούθηση αυτών των ασθενών (βλ. παράγραφο 4.5).</w:t>
      </w:r>
    </w:p>
    <w:p w:rsidR="00075FBC" w:rsidRPr="00075FBC" w:rsidRDefault="00075FBC" w:rsidP="00075FBC">
      <w:pPr>
        <w:jc w:val="both"/>
        <w:rPr>
          <w:color w:val="000000"/>
          <w:szCs w:val="22"/>
        </w:rPr>
      </w:pPr>
    </w:p>
    <w:p w:rsidR="00075FBC" w:rsidRPr="00075FBC" w:rsidRDefault="00075FBC" w:rsidP="00075FBC">
      <w:pPr>
        <w:jc w:val="both"/>
        <w:rPr>
          <w:szCs w:val="22"/>
        </w:rPr>
      </w:pPr>
      <w:r w:rsidRPr="00075FBC">
        <w:rPr>
          <w:color w:val="000000"/>
          <w:szCs w:val="22"/>
        </w:rPr>
        <w:t xml:space="preserve">Η ταυτόχρονη χρήση </w:t>
      </w:r>
      <w:proofErr w:type="spellStart"/>
      <w:r w:rsidRPr="00075FBC">
        <w:rPr>
          <w:color w:val="000000"/>
          <w:szCs w:val="22"/>
        </w:rPr>
        <w:t>ατορβαστατίνης</w:t>
      </w:r>
      <w:proofErr w:type="spellEnd"/>
      <w:r w:rsidRPr="00075FBC">
        <w:rPr>
          <w:color w:val="000000"/>
          <w:szCs w:val="22"/>
        </w:rPr>
        <w:t xml:space="preserve"> και </w:t>
      </w:r>
      <w:proofErr w:type="spellStart"/>
      <w:r w:rsidRPr="00075FBC">
        <w:rPr>
          <w:color w:val="000000"/>
          <w:szCs w:val="22"/>
        </w:rPr>
        <w:t>φουσιδικού</w:t>
      </w:r>
      <w:proofErr w:type="spellEnd"/>
      <w:r w:rsidRPr="00075FBC">
        <w:rPr>
          <w:color w:val="000000"/>
          <w:szCs w:val="22"/>
        </w:rPr>
        <w:t xml:space="preserve"> οξέος δεν συνιστάται, ως εκ τούτου, προσωρινή διακοπή της </w:t>
      </w:r>
      <w:proofErr w:type="spellStart"/>
      <w:r w:rsidRPr="00075FBC">
        <w:rPr>
          <w:color w:val="000000"/>
          <w:szCs w:val="22"/>
        </w:rPr>
        <w:t>ατορβαστατίνης</w:t>
      </w:r>
      <w:proofErr w:type="spellEnd"/>
      <w:r w:rsidRPr="00075FBC">
        <w:rPr>
          <w:color w:val="000000"/>
          <w:szCs w:val="22"/>
        </w:rPr>
        <w:t xml:space="preserve"> μπορεί να εξετάζεται κατά τη διάρκεια θεραπείας με </w:t>
      </w:r>
      <w:proofErr w:type="spellStart"/>
      <w:r w:rsidRPr="00075FBC">
        <w:rPr>
          <w:color w:val="000000"/>
          <w:szCs w:val="22"/>
        </w:rPr>
        <w:t>φουσιδικό</w:t>
      </w:r>
      <w:proofErr w:type="spellEnd"/>
      <w:r w:rsidRPr="00075FBC">
        <w:rPr>
          <w:color w:val="000000"/>
          <w:szCs w:val="22"/>
        </w:rPr>
        <w:t xml:space="preserve"> οξύ (βλ. παράγραφο 4.5).</w:t>
      </w:r>
    </w:p>
    <w:p w:rsidR="00075FBC" w:rsidRPr="00075FBC" w:rsidRDefault="00075FBC" w:rsidP="00075FBC">
      <w:pPr>
        <w:jc w:val="both"/>
      </w:pPr>
    </w:p>
    <w:p w:rsidR="00075FBC" w:rsidRPr="00075FBC" w:rsidRDefault="00075FBC" w:rsidP="00075FBC">
      <w:pPr>
        <w:widowControl/>
        <w:spacing w:after="120"/>
        <w:jc w:val="both"/>
        <w:rPr>
          <w:szCs w:val="22"/>
          <w:u w:val="single"/>
        </w:rPr>
      </w:pPr>
      <w:r w:rsidRPr="00075FBC">
        <w:rPr>
          <w:szCs w:val="22"/>
          <w:u w:val="single"/>
        </w:rPr>
        <w:t>Παιδιατρικός πληθυσμός</w:t>
      </w:r>
    </w:p>
    <w:p w:rsidR="00075FBC" w:rsidRPr="00075FBC" w:rsidRDefault="00075FBC" w:rsidP="00075FBC">
      <w:pPr>
        <w:widowControl/>
        <w:jc w:val="both"/>
        <w:rPr>
          <w:szCs w:val="22"/>
        </w:rPr>
      </w:pPr>
      <w:r w:rsidRPr="00075FBC">
        <w:rPr>
          <w:szCs w:val="22"/>
        </w:rPr>
        <w:t>Δεν έχει τεκμηριωθεί η ασφάλεια σε επίπεδο ανάπτυξης στην παιδιατρική πληθυσμιακή ομάδα (βλ. παράγραφο 4.8).</w:t>
      </w:r>
    </w:p>
    <w:p w:rsidR="00075FBC" w:rsidRPr="00075FBC" w:rsidRDefault="00075FBC" w:rsidP="00075FBC">
      <w:pPr>
        <w:jc w:val="both"/>
      </w:pPr>
    </w:p>
    <w:p w:rsidR="00075FBC" w:rsidRPr="00075FBC" w:rsidRDefault="00075FBC" w:rsidP="00075FBC">
      <w:pPr>
        <w:spacing w:after="120"/>
        <w:jc w:val="both"/>
        <w:rPr>
          <w:u w:val="single"/>
        </w:rPr>
      </w:pPr>
      <w:r w:rsidRPr="00075FBC">
        <w:rPr>
          <w:u w:val="single"/>
        </w:rPr>
        <w:t>Διάμεση πνευμονοπάθεια</w:t>
      </w:r>
    </w:p>
    <w:p w:rsidR="00075FBC" w:rsidRPr="00075FBC" w:rsidRDefault="00075FBC" w:rsidP="00075FBC">
      <w:pPr>
        <w:jc w:val="both"/>
        <w:rPr>
          <w:szCs w:val="22"/>
        </w:rPr>
      </w:pPr>
      <w:r w:rsidRPr="00075FBC">
        <w:t xml:space="preserve">Έχουν αναφερθεί σπάνιες περιπτώσεις διάμεσης πνευμονοπάθειας με μερικές </w:t>
      </w:r>
      <w:proofErr w:type="spellStart"/>
      <w:r w:rsidRPr="00075FBC">
        <w:t>στατίνες</w:t>
      </w:r>
      <w:proofErr w:type="spellEnd"/>
      <w:r w:rsidRPr="00075FBC">
        <w:t xml:space="preserve">, ιδιαίτερα με μακροχρόνια θεραπεία (βλ. παράγραφο 4.8). Χαρακτηριστικά συμπτώματα </w:t>
      </w:r>
      <w:r w:rsidRPr="00075FBC">
        <w:lastRenderedPageBreak/>
        <w:t xml:space="preserve">μπορεί να περιλαμβάνουν δύσπνοια, μη-παραγωγικό βήχα και επιδείνωση της γενικής </w:t>
      </w:r>
      <w:r w:rsidRPr="00075FBC">
        <w:rPr>
          <w:szCs w:val="22"/>
        </w:rPr>
        <w:t xml:space="preserve">κατάστασης της υγείας (καταβολή, απώλεια βάρους και πυρετός).  Εάν υπάρχει υποψία ότι ασθενής έχει αναπτύξει διάμεση πνευμονοπάθεια, η θεραπεία με </w:t>
      </w:r>
      <w:proofErr w:type="spellStart"/>
      <w:r w:rsidRPr="00075FBC">
        <w:rPr>
          <w:szCs w:val="22"/>
        </w:rPr>
        <w:t>στατίνες</w:t>
      </w:r>
      <w:proofErr w:type="spellEnd"/>
      <w:r w:rsidRPr="00075FBC">
        <w:rPr>
          <w:szCs w:val="22"/>
        </w:rPr>
        <w:t xml:space="preserve"> θα πρέπει να διακοπεί.</w:t>
      </w:r>
    </w:p>
    <w:p w:rsidR="00075FBC" w:rsidRPr="00075FBC" w:rsidRDefault="00075FBC" w:rsidP="00075FBC">
      <w:pPr>
        <w:jc w:val="both"/>
        <w:rPr>
          <w:szCs w:val="22"/>
        </w:rPr>
      </w:pPr>
    </w:p>
    <w:p w:rsidR="00075FBC" w:rsidRPr="00075FBC" w:rsidRDefault="00075FBC" w:rsidP="00075FBC">
      <w:pPr>
        <w:widowControl/>
        <w:rPr>
          <w:szCs w:val="22"/>
        </w:rPr>
      </w:pPr>
      <w:r w:rsidRPr="00075FBC">
        <w:rPr>
          <w:szCs w:val="22"/>
          <w:u w:val="single"/>
        </w:rPr>
        <w:t>Σακχαρώδης Διαβήτης</w:t>
      </w:r>
      <w:r w:rsidRPr="00075FBC">
        <w:rPr>
          <w:szCs w:val="22"/>
        </w:rPr>
        <w:br/>
        <w:t xml:space="preserve">Ορισμένα στοιχεία υποδεικνύουν ότι οι </w:t>
      </w:r>
      <w:proofErr w:type="spellStart"/>
      <w:r w:rsidRPr="00075FBC">
        <w:rPr>
          <w:szCs w:val="22"/>
        </w:rPr>
        <w:t>στατίνες</w:t>
      </w:r>
      <w:proofErr w:type="spellEnd"/>
      <w:r w:rsidRPr="00075FBC">
        <w:rPr>
          <w:szCs w:val="22"/>
        </w:rPr>
        <w:t xml:space="preserve">, ως κατηγορία φαρμάκων, αυξάνουν τη γλυκόζη του αίματος και σε ορισμένους ασθενείς υψηλού  κινδύνου εμφάνισης σακχαρώδους διαβήτη στο μέλλον, μπορεί να προκαλέσουν υπεργλυκαιμία τέτοιου βαθμού όπου η τυπική διαβητική αγωγή είναι κατάλληλη. Η μείωση του αγγειακού κινδύνου με </w:t>
      </w:r>
      <w:proofErr w:type="spellStart"/>
      <w:r w:rsidRPr="00075FBC">
        <w:rPr>
          <w:szCs w:val="22"/>
        </w:rPr>
        <w:t>στατίνες</w:t>
      </w:r>
      <w:proofErr w:type="spellEnd"/>
      <w:r w:rsidRPr="00075FBC">
        <w:rPr>
          <w:szCs w:val="22"/>
        </w:rPr>
        <w:t xml:space="preserve">, ωστόσο, υπερισχύει των παραπάνω κινδύνων και ως εκ τούτου ο κίνδυνος εμφάνισης υπεργλυκαιμίας δεν θα πρέπει να αποτελεί αιτία διακοπής της θεραπείας με </w:t>
      </w:r>
      <w:proofErr w:type="spellStart"/>
      <w:r w:rsidRPr="00075FBC">
        <w:rPr>
          <w:szCs w:val="22"/>
        </w:rPr>
        <w:t>στατίνες</w:t>
      </w:r>
      <w:proofErr w:type="spellEnd"/>
      <w:r w:rsidRPr="00075FBC">
        <w:rPr>
          <w:szCs w:val="22"/>
        </w:rPr>
        <w:t xml:space="preserve">. Ασθενείς σε κίνδυνο (γλυκόζη νηστείας 5,6 - 6,9 </w:t>
      </w:r>
      <w:proofErr w:type="spellStart"/>
      <w:r w:rsidRPr="00075FBC">
        <w:rPr>
          <w:szCs w:val="22"/>
        </w:rPr>
        <w:t>mmol</w:t>
      </w:r>
      <w:proofErr w:type="spellEnd"/>
      <w:r w:rsidRPr="00075FBC">
        <w:rPr>
          <w:szCs w:val="22"/>
        </w:rPr>
        <w:t xml:space="preserve">/ L ή 100 – 125 </w:t>
      </w:r>
      <w:proofErr w:type="spellStart"/>
      <w:r w:rsidRPr="00075FBC">
        <w:rPr>
          <w:szCs w:val="22"/>
        </w:rPr>
        <w:t>mg</w:t>
      </w:r>
      <w:proofErr w:type="spellEnd"/>
      <w:r w:rsidRPr="00075FBC">
        <w:rPr>
          <w:szCs w:val="22"/>
        </w:rPr>
        <w:t>/</w:t>
      </w:r>
      <w:proofErr w:type="spellStart"/>
      <w:r w:rsidRPr="00075FBC">
        <w:rPr>
          <w:szCs w:val="22"/>
        </w:rPr>
        <w:t>dl</w:t>
      </w:r>
      <w:proofErr w:type="spellEnd"/>
      <w:r w:rsidRPr="00075FBC">
        <w:rPr>
          <w:szCs w:val="22"/>
        </w:rPr>
        <w:t>, ΒΜΙ&gt; 30kg/m</w:t>
      </w:r>
      <w:r w:rsidRPr="00075FBC">
        <w:rPr>
          <w:szCs w:val="22"/>
          <w:vertAlign w:val="superscript"/>
        </w:rPr>
        <w:t>2</w:t>
      </w:r>
      <w:r w:rsidRPr="00075FBC">
        <w:rPr>
          <w:szCs w:val="22"/>
        </w:rPr>
        <w:t xml:space="preserve">, αυξημένα </w:t>
      </w:r>
      <w:proofErr w:type="spellStart"/>
      <w:r w:rsidRPr="00075FBC">
        <w:rPr>
          <w:szCs w:val="22"/>
        </w:rPr>
        <w:t>τριγλυκερίδια</w:t>
      </w:r>
      <w:proofErr w:type="spellEnd"/>
      <w:r w:rsidRPr="00075FBC">
        <w:rPr>
          <w:szCs w:val="22"/>
        </w:rPr>
        <w:t>, υπέρταση) θα πρέπει να παρακολουθούνται τόσο κλινικά όσο και βιοχημικά σύμφωνα με τις εθνικές κατευθυντήριες οδηγίες.</w:t>
      </w:r>
    </w:p>
    <w:p w:rsidR="00075FBC" w:rsidRPr="00075FBC" w:rsidRDefault="00075FBC" w:rsidP="00075FBC">
      <w:pPr>
        <w:jc w:val="both"/>
        <w:rPr>
          <w:szCs w:val="22"/>
        </w:rPr>
      </w:pPr>
    </w:p>
    <w:p w:rsidR="00075FBC" w:rsidRPr="00075FBC" w:rsidRDefault="00075FBC" w:rsidP="00075FBC">
      <w:pPr>
        <w:widowControl/>
        <w:spacing w:after="120"/>
        <w:jc w:val="both"/>
        <w:rPr>
          <w:szCs w:val="22"/>
          <w:u w:val="single"/>
        </w:rPr>
      </w:pPr>
      <w:r w:rsidRPr="00075FBC">
        <w:rPr>
          <w:szCs w:val="22"/>
          <w:u w:val="single"/>
        </w:rPr>
        <w:t>Έκδοχα</w:t>
      </w:r>
    </w:p>
    <w:p w:rsidR="00075FBC" w:rsidRPr="00075FBC" w:rsidRDefault="00075FBC" w:rsidP="00075FBC">
      <w:pPr>
        <w:widowControl/>
        <w:jc w:val="both"/>
        <w:rPr>
          <w:szCs w:val="22"/>
        </w:rPr>
      </w:pPr>
      <w:r w:rsidRPr="00075FBC">
        <w:rPr>
          <w:szCs w:val="22"/>
        </w:rPr>
        <w:t xml:space="preserve">Το </w:t>
      </w:r>
      <w:proofErr w:type="spellStart"/>
      <w:r w:rsidRPr="00075FBC">
        <w:rPr>
          <w:bCs/>
          <w:szCs w:val="22"/>
          <w:lang w:val="en-US"/>
        </w:rPr>
        <w:t>Xanator</w:t>
      </w:r>
      <w:proofErr w:type="spellEnd"/>
      <w:r w:rsidRPr="00075FBC">
        <w:rPr>
          <w:bCs/>
          <w:szCs w:val="22"/>
        </w:rPr>
        <w:t>/</w:t>
      </w:r>
      <w:proofErr w:type="spellStart"/>
      <w:r w:rsidRPr="00075FBC">
        <w:rPr>
          <w:bCs/>
          <w:szCs w:val="22"/>
          <w:lang w:val="en-US"/>
        </w:rPr>
        <w:t>Sieger</w:t>
      </w:r>
      <w:proofErr w:type="spellEnd"/>
      <w:r w:rsidRPr="00075FBC">
        <w:rPr>
          <w:szCs w:val="22"/>
        </w:rPr>
        <w:t xml:space="preserve"> </w:t>
      </w:r>
      <w:r w:rsidRPr="00075FBC">
        <w:rPr>
          <w:bCs/>
        </w:rPr>
        <w:t xml:space="preserve">περιέχει λακτόζη. </w:t>
      </w:r>
      <w:r w:rsidRPr="00075FBC">
        <w:rPr>
          <w:szCs w:val="22"/>
        </w:rPr>
        <w:t xml:space="preserve">Οι ασθενείς με σπάνια κληρονομικά προβλήματα δυσανεξίας στην γαλακτόζη, έλλειψη </w:t>
      </w:r>
      <w:proofErr w:type="spellStart"/>
      <w:r w:rsidRPr="00075FBC">
        <w:rPr>
          <w:szCs w:val="22"/>
        </w:rPr>
        <w:t>λακτάσης</w:t>
      </w:r>
      <w:proofErr w:type="spellEnd"/>
      <w:r w:rsidRPr="00075FBC">
        <w:rPr>
          <w:szCs w:val="22"/>
        </w:rPr>
        <w:t xml:space="preserve"> </w:t>
      </w:r>
      <w:proofErr w:type="spellStart"/>
      <w:r w:rsidRPr="00075FBC">
        <w:rPr>
          <w:szCs w:val="22"/>
        </w:rPr>
        <w:t>Lapp</w:t>
      </w:r>
      <w:proofErr w:type="spellEnd"/>
      <w:r w:rsidRPr="00075FBC">
        <w:rPr>
          <w:szCs w:val="22"/>
        </w:rPr>
        <w:t xml:space="preserve"> ή </w:t>
      </w:r>
      <w:proofErr w:type="spellStart"/>
      <w:r w:rsidRPr="00075FBC">
        <w:rPr>
          <w:szCs w:val="22"/>
        </w:rPr>
        <w:t>δυσαπορρόφηση</w:t>
      </w:r>
      <w:proofErr w:type="spellEnd"/>
      <w:r w:rsidRPr="00075FBC">
        <w:rPr>
          <w:szCs w:val="22"/>
        </w:rPr>
        <w:t xml:space="preserve"> γλυκόζης-γαλακτόζης, δεν θα πρέπει να λαμβάνουν αυτό το φάρμακο. </w:t>
      </w:r>
    </w:p>
    <w:p w:rsidR="00075FBC" w:rsidRPr="00075FBC" w:rsidRDefault="00075FBC" w:rsidP="00075FBC">
      <w:pPr>
        <w:widowControl/>
        <w:jc w:val="both"/>
        <w:rPr>
          <w:b/>
          <w:szCs w:val="22"/>
          <w:u w:val="single"/>
        </w:rPr>
      </w:pPr>
    </w:p>
    <w:p w:rsidR="00075FBC" w:rsidRPr="00075FBC" w:rsidRDefault="00075FBC" w:rsidP="00075FBC">
      <w:pPr>
        <w:jc w:val="both"/>
        <w:rPr>
          <w:szCs w:val="22"/>
        </w:rPr>
      </w:pPr>
      <w:r w:rsidRPr="00075FBC">
        <w:rPr>
          <w:b/>
          <w:szCs w:val="22"/>
        </w:rPr>
        <w:t>4.5</w:t>
      </w:r>
      <w:r w:rsidRPr="00075FBC">
        <w:rPr>
          <w:b/>
          <w:szCs w:val="22"/>
        </w:rPr>
        <w:tab/>
        <w:t>Αλληλεπιδράσεις με άλλα φαρμακευτικά προϊόντα και άλλες μορφές αλληλεπίδρασης</w:t>
      </w:r>
    </w:p>
    <w:p w:rsidR="00075FBC" w:rsidRPr="00075FBC" w:rsidRDefault="00075FBC" w:rsidP="00075FBC">
      <w:pPr>
        <w:widowControl/>
        <w:jc w:val="both"/>
        <w:rPr>
          <w:szCs w:val="22"/>
          <w:u w:val="single"/>
        </w:rPr>
      </w:pPr>
    </w:p>
    <w:p w:rsidR="00075FBC" w:rsidRPr="00075FBC" w:rsidRDefault="00075FBC" w:rsidP="00075FBC">
      <w:pPr>
        <w:widowControl/>
        <w:spacing w:after="120"/>
        <w:jc w:val="both"/>
        <w:rPr>
          <w:bCs/>
          <w:iCs/>
          <w:szCs w:val="22"/>
          <w:u w:val="single"/>
        </w:rPr>
      </w:pPr>
      <w:r w:rsidRPr="00075FBC">
        <w:rPr>
          <w:bCs/>
          <w:iCs/>
          <w:szCs w:val="22"/>
          <w:u w:val="single"/>
        </w:rPr>
        <w:t xml:space="preserve">Επίδραση </w:t>
      </w:r>
      <w:proofErr w:type="spellStart"/>
      <w:r w:rsidRPr="00075FBC">
        <w:rPr>
          <w:bCs/>
          <w:iCs/>
          <w:szCs w:val="22"/>
          <w:u w:val="single"/>
        </w:rPr>
        <w:t>συγχορηγούμενων</w:t>
      </w:r>
      <w:proofErr w:type="spellEnd"/>
      <w:r w:rsidRPr="00075FBC">
        <w:rPr>
          <w:bCs/>
          <w:iCs/>
          <w:szCs w:val="22"/>
          <w:u w:val="single"/>
        </w:rPr>
        <w:t xml:space="preserve"> φαρμακευτικών προϊόντων στην </w:t>
      </w:r>
      <w:proofErr w:type="spellStart"/>
      <w:r w:rsidRPr="00075FBC">
        <w:rPr>
          <w:bCs/>
          <w:iCs/>
          <w:szCs w:val="22"/>
          <w:u w:val="single"/>
        </w:rPr>
        <w:t>ατορβαστατίνη</w:t>
      </w:r>
      <w:proofErr w:type="spellEnd"/>
    </w:p>
    <w:p w:rsidR="00075FBC" w:rsidRPr="00075FBC" w:rsidRDefault="00075FBC" w:rsidP="00075FBC">
      <w:pPr>
        <w:widowControl/>
        <w:jc w:val="both"/>
        <w:rPr>
          <w:szCs w:val="22"/>
        </w:rPr>
      </w:pPr>
      <w:r w:rsidRPr="00075FBC">
        <w:rPr>
          <w:szCs w:val="22"/>
        </w:rPr>
        <w:t xml:space="preserve">Η </w:t>
      </w:r>
      <w:proofErr w:type="spellStart"/>
      <w:r w:rsidRPr="00075FBC">
        <w:rPr>
          <w:szCs w:val="22"/>
        </w:rPr>
        <w:t>ατορβαστατίνη</w:t>
      </w:r>
      <w:proofErr w:type="spellEnd"/>
      <w:r w:rsidRPr="00075FBC">
        <w:rPr>
          <w:szCs w:val="22"/>
        </w:rPr>
        <w:t xml:space="preserve"> μεταβολίζεται από το κυτόχρωμα Ρ450 3Α4 (CYP3A4) και είναι υπόστρωμα </w:t>
      </w:r>
      <w:proofErr w:type="spellStart"/>
      <w:r w:rsidRPr="00075FBC">
        <w:t>διακομιστών</w:t>
      </w:r>
      <w:proofErr w:type="spellEnd"/>
      <w:r w:rsidRPr="00075FBC">
        <w:t xml:space="preserve"> πρωτεϊνών π.χ. του </w:t>
      </w:r>
      <w:proofErr w:type="spellStart"/>
      <w:r w:rsidRPr="00075FBC">
        <w:t>διακομιστή</w:t>
      </w:r>
      <w:proofErr w:type="spellEnd"/>
      <w:r w:rsidRPr="00075FBC">
        <w:t xml:space="preserve"> ηπατικής πρόσληψης </w:t>
      </w:r>
      <w:r w:rsidRPr="00075FBC">
        <w:rPr>
          <w:szCs w:val="22"/>
        </w:rPr>
        <w:t xml:space="preserve">OATP1B1. Η ταυτόχρονη χορήγηση φαρμακευτικών προϊόντων που είναι αναστολείς του CYP3A4 ή των </w:t>
      </w:r>
      <w:r w:rsidRPr="00075FBC">
        <w:t xml:space="preserve">πρωτεϊνών </w:t>
      </w:r>
      <w:proofErr w:type="spellStart"/>
      <w:r w:rsidRPr="00075FBC">
        <w:t>διακομιστών</w:t>
      </w:r>
      <w:proofErr w:type="spellEnd"/>
      <w:r w:rsidRPr="00075FBC">
        <w:t xml:space="preserve"> </w:t>
      </w:r>
      <w:r w:rsidRPr="00075FBC">
        <w:rPr>
          <w:szCs w:val="22"/>
        </w:rPr>
        <w:t xml:space="preserve">μπορεί να οδηγήσει σε αυξημένες συγκεντρώσεις </w:t>
      </w:r>
      <w:proofErr w:type="spellStart"/>
      <w:r w:rsidRPr="00075FBC">
        <w:rPr>
          <w:szCs w:val="22"/>
        </w:rPr>
        <w:t>ατορβαστατίνης</w:t>
      </w:r>
      <w:proofErr w:type="spellEnd"/>
      <w:r w:rsidRPr="00075FBC">
        <w:rPr>
          <w:szCs w:val="22"/>
        </w:rPr>
        <w:t xml:space="preserve"> στο πλάσμα και σε αυξημένο κίνδυνο εκδήλωσης μυοπάθειας. Ο κίνδυνος μπορεί να αυξηθεί κατά την ταυτόχρονη χορήγηση </w:t>
      </w:r>
      <w:proofErr w:type="spellStart"/>
      <w:r w:rsidRPr="00075FBC">
        <w:rPr>
          <w:szCs w:val="22"/>
        </w:rPr>
        <w:t>ατορβαστατίνης</w:t>
      </w:r>
      <w:proofErr w:type="spellEnd"/>
      <w:r w:rsidRPr="00075FBC">
        <w:rPr>
          <w:szCs w:val="22"/>
        </w:rPr>
        <w:t xml:space="preserve"> με άλλα φαρμακευτικά προϊόντα τα οποία δυνητικά μπορεί να προκαλέσουν μυοπάθεια, όπως </w:t>
      </w:r>
      <w:proofErr w:type="spellStart"/>
      <w:r w:rsidRPr="00075FBC">
        <w:rPr>
          <w:szCs w:val="22"/>
        </w:rPr>
        <w:t>φιβράτες</w:t>
      </w:r>
      <w:proofErr w:type="spellEnd"/>
      <w:r w:rsidRPr="00075FBC">
        <w:rPr>
          <w:szCs w:val="22"/>
        </w:rPr>
        <w:t xml:space="preserve"> και </w:t>
      </w:r>
      <w:proofErr w:type="spellStart"/>
      <w:r w:rsidRPr="00075FBC">
        <w:rPr>
          <w:szCs w:val="22"/>
        </w:rPr>
        <w:t>εζετιμίμπη</w:t>
      </w:r>
      <w:proofErr w:type="spellEnd"/>
      <w:r w:rsidRPr="00075FBC">
        <w:rPr>
          <w:szCs w:val="22"/>
        </w:rPr>
        <w:t xml:space="preserve"> (βλ. παράγραφο 4.4).  </w:t>
      </w:r>
    </w:p>
    <w:p w:rsidR="00075FBC" w:rsidRPr="00075FBC" w:rsidRDefault="00075FBC" w:rsidP="00075FBC">
      <w:pPr>
        <w:widowControl/>
        <w:jc w:val="both"/>
        <w:rPr>
          <w:szCs w:val="22"/>
        </w:rPr>
      </w:pPr>
    </w:p>
    <w:p w:rsidR="00075FBC" w:rsidRPr="00075FBC" w:rsidRDefault="00075FBC" w:rsidP="00075FBC">
      <w:pPr>
        <w:spacing w:after="120"/>
        <w:jc w:val="both"/>
        <w:rPr>
          <w:iCs/>
          <w:szCs w:val="22"/>
          <w:u w:val="single"/>
        </w:rPr>
      </w:pPr>
      <w:r w:rsidRPr="00075FBC">
        <w:rPr>
          <w:iCs/>
          <w:szCs w:val="22"/>
          <w:u w:val="single"/>
        </w:rPr>
        <w:t>Αναστολείς CYP3A4</w:t>
      </w:r>
    </w:p>
    <w:p w:rsidR="00075FBC" w:rsidRPr="00075FBC" w:rsidRDefault="00075FBC" w:rsidP="00075FBC">
      <w:pPr>
        <w:jc w:val="both"/>
        <w:rPr>
          <w:szCs w:val="22"/>
        </w:rPr>
      </w:pPr>
      <w:r w:rsidRPr="00075FBC">
        <w:rPr>
          <w:szCs w:val="22"/>
        </w:rPr>
        <w:t xml:space="preserve">Ισχυροί αναστολείς του CYP3A4 έχει αποδειχθεί ότι οδηγούν σε υψηλά επίπεδα συγκεντρώσεως </w:t>
      </w:r>
      <w:proofErr w:type="spellStart"/>
      <w:r w:rsidRPr="00075FBC">
        <w:rPr>
          <w:szCs w:val="22"/>
        </w:rPr>
        <w:t>ατορβαστατίνης</w:t>
      </w:r>
      <w:proofErr w:type="spellEnd"/>
      <w:r w:rsidRPr="00075FBC">
        <w:rPr>
          <w:szCs w:val="22"/>
        </w:rPr>
        <w:t xml:space="preserve"> (βλ. Πίνακα 1 και σχετικές πληροφορίες παρακάτω). </w:t>
      </w:r>
      <w:proofErr w:type="spellStart"/>
      <w:r w:rsidRPr="00075FBC">
        <w:rPr>
          <w:szCs w:val="22"/>
        </w:rPr>
        <w:t>Συγχορήγηση</w:t>
      </w:r>
      <w:proofErr w:type="spellEnd"/>
      <w:r w:rsidRPr="00075FBC">
        <w:rPr>
          <w:szCs w:val="22"/>
        </w:rPr>
        <w:t xml:space="preserve"> ισχυρών αναστολέων του CYP3A4 (</w:t>
      </w:r>
      <w:r w:rsidRPr="00075FBC">
        <w:t xml:space="preserve">π.χ. </w:t>
      </w:r>
      <w:proofErr w:type="spellStart"/>
      <w:r w:rsidRPr="00075FBC">
        <w:rPr>
          <w:szCs w:val="22"/>
        </w:rPr>
        <w:t>κυκλοσπορίνη</w:t>
      </w:r>
      <w:proofErr w:type="spellEnd"/>
      <w:r w:rsidRPr="00075FBC">
        <w:rPr>
          <w:szCs w:val="22"/>
        </w:rPr>
        <w:t xml:space="preserve">, </w:t>
      </w:r>
      <w:proofErr w:type="spellStart"/>
      <w:r w:rsidRPr="00075FBC">
        <w:rPr>
          <w:szCs w:val="22"/>
        </w:rPr>
        <w:t>τελιθρομυκίνη</w:t>
      </w:r>
      <w:proofErr w:type="spellEnd"/>
      <w:r w:rsidRPr="00075FBC">
        <w:rPr>
          <w:szCs w:val="22"/>
        </w:rPr>
        <w:t xml:space="preserve">, </w:t>
      </w:r>
      <w:proofErr w:type="spellStart"/>
      <w:r w:rsidRPr="00075FBC">
        <w:rPr>
          <w:szCs w:val="22"/>
        </w:rPr>
        <w:t>κλαριθρομυκίνη</w:t>
      </w:r>
      <w:proofErr w:type="spellEnd"/>
      <w:r w:rsidRPr="00075FBC">
        <w:rPr>
          <w:szCs w:val="22"/>
        </w:rPr>
        <w:t xml:space="preserve">, </w:t>
      </w:r>
      <w:proofErr w:type="spellStart"/>
      <w:r w:rsidRPr="00075FBC">
        <w:rPr>
          <w:szCs w:val="22"/>
        </w:rPr>
        <w:t>δελαβιρδίνη</w:t>
      </w:r>
      <w:proofErr w:type="spellEnd"/>
      <w:r w:rsidRPr="00075FBC">
        <w:t xml:space="preserve">, </w:t>
      </w:r>
      <w:proofErr w:type="spellStart"/>
      <w:r w:rsidRPr="00075FBC">
        <w:t>στιριπεντόλη</w:t>
      </w:r>
      <w:proofErr w:type="spellEnd"/>
      <w:r w:rsidRPr="00075FBC">
        <w:t xml:space="preserve">, </w:t>
      </w:r>
      <w:proofErr w:type="spellStart"/>
      <w:r w:rsidRPr="00075FBC">
        <w:rPr>
          <w:szCs w:val="22"/>
        </w:rPr>
        <w:t>κετοκοναζόλη</w:t>
      </w:r>
      <w:proofErr w:type="spellEnd"/>
      <w:r w:rsidRPr="00075FBC">
        <w:rPr>
          <w:szCs w:val="22"/>
        </w:rPr>
        <w:t xml:space="preserve">, </w:t>
      </w:r>
      <w:proofErr w:type="spellStart"/>
      <w:r w:rsidRPr="00075FBC">
        <w:rPr>
          <w:szCs w:val="22"/>
        </w:rPr>
        <w:t>βορικοναζόλη</w:t>
      </w:r>
      <w:proofErr w:type="spellEnd"/>
      <w:r w:rsidRPr="00075FBC">
        <w:rPr>
          <w:szCs w:val="22"/>
        </w:rPr>
        <w:t xml:space="preserve">, </w:t>
      </w:r>
      <w:proofErr w:type="spellStart"/>
      <w:r w:rsidRPr="00075FBC">
        <w:rPr>
          <w:szCs w:val="22"/>
        </w:rPr>
        <w:t>ιτρακοναζόλη</w:t>
      </w:r>
      <w:proofErr w:type="spellEnd"/>
      <w:r w:rsidRPr="00075FBC">
        <w:rPr>
          <w:szCs w:val="22"/>
        </w:rPr>
        <w:t xml:space="preserve">, </w:t>
      </w:r>
      <w:proofErr w:type="spellStart"/>
      <w:r w:rsidRPr="00075FBC">
        <w:rPr>
          <w:szCs w:val="22"/>
        </w:rPr>
        <w:t>ποσακοναζόλη</w:t>
      </w:r>
      <w:proofErr w:type="spellEnd"/>
      <w:r w:rsidRPr="00075FBC">
        <w:rPr>
          <w:szCs w:val="22"/>
        </w:rPr>
        <w:t xml:space="preserve"> και αναστολείς της HIV </w:t>
      </w:r>
      <w:proofErr w:type="spellStart"/>
      <w:r w:rsidRPr="00075FBC">
        <w:rPr>
          <w:szCs w:val="22"/>
        </w:rPr>
        <w:t>πρωτεάσης</w:t>
      </w:r>
      <w:proofErr w:type="spellEnd"/>
      <w:r w:rsidRPr="00075FBC">
        <w:rPr>
          <w:szCs w:val="22"/>
        </w:rPr>
        <w:t xml:space="preserve"> συμπεριλαμβανομένης της </w:t>
      </w:r>
      <w:proofErr w:type="spellStart"/>
      <w:r w:rsidRPr="00075FBC">
        <w:rPr>
          <w:szCs w:val="22"/>
        </w:rPr>
        <w:t>ριτοναβίρης</w:t>
      </w:r>
      <w:proofErr w:type="spellEnd"/>
      <w:r w:rsidRPr="00075FBC">
        <w:rPr>
          <w:szCs w:val="22"/>
        </w:rPr>
        <w:t xml:space="preserve">, </w:t>
      </w:r>
      <w:proofErr w:type="spellStart"/>
      <w:r w:rsidRPr="00075FBC">
        <w:rPr>
          <w:szCs w:val="22"/>
        </w:rPr>
        <w:t>λοπιναβίρης</w:t>
      </w:r>
      <w:proofErr w:type="spellEnd"/>
      <w:r w:rsidRPr="00075FBC">
        <w:rPr>
          <w:szCs w:val="22"/>
        </w:rPr>
        <w:t xml:space="preserve">, </w:t>
      </w:r>
      <w:proofErr w:type="spellStart"/>
      <w:r w:rsidRPr="00075FBC">
        <w:rPr>
          <w:szCs w:val="22"/>
        </w:rPr>
        <w:t>αταζαναβίρης</w:t>
      </w:r>
      <w:proofErr w:type="spellEnd"/>
      <w:r w:rsidRPr="00075FBC">
        <w:rPr>
          <w:szCs w:val="22"/>
        </w:rPr>
        <w:t xml:space="preserve">, </w:t>
      </w:r>
      <w:proofErr w:type="spellStart"/>
      <w:r w:rsidRPr="00075FBC">
        <w:rPr>
          <w:szCs w:val="22"/>
        </w:rPr>
        <w:t>ινδιναβίρης</w:t>
      </w:r>
      <w:proofErr w:type="spellEnd"/>
      <w:r w:rsidRPr="00075FBC">
        <w:rPr>
          <w:szCs w:val="22"/>
        </w:rPr>
        <w:t xml:space="preserve">, </w:t>
      </w:r>
      <w:proofErr w:type="spellStart"/>
      <w:r w:rsidRPr="00075FBC">
        <w:t>δαρουναβίρης</w:t>
      </w:r>
      <w:proofErr w:type="spellEnd"/>
      <w:r w:rsidRPr="00075FBC">
        <w:t>, κτλ</w:t>
      </w:r>
      <w:r w:rsidRPr="00075FBC">
        <w:rPr>
          <w:szCs w:val="22"/>
        </w:rPr>
        <w:t xml:space="preserve">) θα πρέπει να αποφεύγεται εάν είναι δυνατόν. Σε περιπτώσεις όπου η </w:t>
      </w:r>
      <w:proofErr w:type="spellStart"/>
      <w:r w:rsidRPr="00075FBC">
        <w:rPr>
          <w:szCs w:val="22"/>
        </w:rPr>
        <w:t>συγχορήγηση</w:t>
      </w:r>
      <w:proofErr w:type="spellEnd"/>
      <w:r w:rsidRPr="00075FBC">
        <w:rPr>
          <w:szCs w:val="22"/>
        </w:rPr>
        <w:t xml:space="preserve"> αυτών των φαρμακευτικών προϊόντων με </w:t>
      </w:r>
      <w:proofErr w:type="spellStart"/>
      <w:r w:rsidRPr="00075FBC">
        <w:rPr>
          <w:szCs w:val="22"/>
        </w:rPr>
        <w:t>ατορβαστατίνη</w:t>
      </w:r>
      <w:proofErr w:type="spellEnd"/>
      <w:r w:rsidRPr="00075FBC">
        <w:rPr>
          <w:szCs w:val="22"/>
        </w:rPr>
        <w:t xml:space="preserve"> δεν είναι δυνατόν να αποφευχθεί, θα πρέπει να εξετάζεται χαμηλότερη </w:t>
      </w:r>
      <w:r w:rsidRPr="00075FBC">
        <w:t>αρχική δόση</w:t>
      </w:r>
      <w:r w:rsidRPr="00075FBC">
        <w:rPr>
          <w:rFonts w:ascii="Arial" w:hAnsi="Arial" w:cs="Arial"/>
        </w:rPr>
        <w:t xml:space="preserve"> </w:t>
      </w:r>
      <w:proofErr w:type="spellStart"/>
      <w:r w:rsidRPr="00075FBC">
        <w:rPr>
          <w:szCs w:val="22"/>
        </w:rPr>
        <w:t>ατορβαστατίνης</w:t>
      </w:r>
      <w:proofErr w:type="spellEnd"/>
      <w:r w:rsidRPr="00075FBC">
        <w:rPr>
          <w:szCs w:val="22"/>
        </w:rPr>
        <w:t xml:space="preserve"> και συνιστάται κατάλληλη κλινική παρακολούθηση του ασθενή (βλ. Πίνακα 1).</w:t>
      </w:r>
    </w:p>
    <w:p w:rsidR="00075FBC" w:rsidRPr="00075FBC" w:rsidRDefault="00075FBC" w:rsidP="00075FBC">
      <w:pPr>
        <w:jc w:val="both"/>
      </w:pPr>
    </w:p>
    <w:p w:rsidR="00075FBC" w:rsidRPr="00075FBC" w:rsidRDefault="00075FBC" w:rsidP="00075FBC">
      <w:pPr>
        <w:jc w:val="both"/>
        <w:rPr>
          <w:szCs w:val="22"/>
        </w:rPr>
      </w:pPr>
      <w:r w:rsidRPr="00075FBC">
        <w:t xml:space="preserve">Μέτριας ισχύος αναστολείς του </w:t>
      </w:r>
      <w:r w:rsidRPr="00075FBC">
        <w:rPr>
          <w:szCs w:val="22"/>
        </w:rPr>
        <w:t xml:space="preserve">CYP3A4 (π.χ. </w:t>
      </w:r>
      <w:proofErr w:type="spellStart"/>
      <w:r w:rsidRPr="00075FBC">
        <w:rPr>
          <w:szCs w:val="22"/>
        </w:rPr>
        <w:t>ερυθρομυκίνη</w:t>
      </w:r>
      <w:proofErr w:type="spellEnd"/>
      <w:r w:rsidRPr="00075FBC">
        <w:rPr>
          <w:szCs w:val="22"/>
        </w:rPr>
        <w:t xml:space="preserve">, </w:t>
      </w:r>
      <w:proofErr w:type="spellStart"/>
      <w:r w:rsidRPr="00075FBC">
        <w:rPr>
          <w:szCs w:val="22"/>
        </w:rPr>
        <w:t>διλτιαζέμη</w:t>
      </w:r>
      <w:proofErr w:type="spellEnd"/>
      <w:r w:rsidRPr="00075FBC">
        <w:rPr>
          <w:szCs w:val="22"/>
        </w:rPr>
        <w:t xml:space="preserve">, </w:t>
      </w:r>
      <w:proofErr w:type="spellStart"/>
      <w:r w:rsidRPr="00075FBC">
        <w:rPr>
          <w:szCs w:val="22"/>
        </w:rPr>
        <w:t>βεραπαμίλη</w:t>
      </w:r>
      <w:proofErr w:type="spellEnd"/>
      <w:r w:rsidRPr="00075FBC">
        <w:rPr>
          <w:szCs w:val="22"/>
        </w:rPr>
        <w:t xml:space="preserve"> και </w:t>
      </w:r>
      <w:proofErr w:type="spellStart"/>
      <w:r w:rsidRPr="00075FBC">
        <w:rPr>
          <w:szCs w:val="22"/>
        </w:rPr>
        <w:t>φλουκοναζόλη</w:t>
      </w:r>
      <w:proofErr w:type="spellEnd"/>
      <w:r w:rsidRPr="00075FBC">
        <w:rPr>
          <w:szCs w:val="22"/>
        </w:rPr>
        <w:t xml:space="preserve">) μπορεί να αυξήσουν τα επίπεδα συγκέντρωσης της </w:t>
      </w:r>
      <w:proofErr w:type="spellStart"/>
      <w:r w:rsidRPr="00075FBC">
        <w:rPr>
          <w:szCs w:val="22"/>
        </w:rPr>
        <w:t>ατορβαστατίνης</w:t>
      </w:r>
      <w:proofErr w:type="spellEnd"/>
      <w:r w:rsidRPr="00075FBC">
        <w:rPr>
          <w:szCs w:val="22"/>
        </w:rPr>
        <w:t xml:space="preserve"> στο ορό του αίματος (βλ. Πίνακα 1). Έχει παρατηρηθεί αυξημένος κίνδυνος εκδήλωσης μυοπάθειας με την χρήση </w:t>
      </w:r>
      <w:proofErr w:type="spellStart"/>
      <w:r w:rsidRPr="00075FBC">
        <w:rPr>
          <w:szCs w:val="22"/>
        </w:rPr>
        <w:t>ερυθρομυκίνης</w:t>
      </w:r>
      <w:proofErr w:type="spellEnd"/>
      <w:r w:rsidRPr="00075FBC">
        <w:rPr>
          <w:szCs w:val="22"/>
        </w:rPr>
        <w:t xml:space="preserve"> σε συνδυασμό με </w:t>
      </w:r>
      <w:proofErr w:type="spellStart"/>
      <w:r w:rsidRPr="00075FBC">
        <w:rPr>
          <w:szCs w:val="22"/>
        </w:rPr>
        <w:t>στατίνες</w:t>
      </w:r>
      <w:proofErr w:type="spellEnd"/>
      <w:r w:rsidRPr="00075FBC">
        <w:rPr>
          <w:szCs w:val="22"/>
        </w:rPr>
        <w:t xml:space="preserve">. Δεν έχουν διεξαχθεί μελέτες αλληλεπίδρασης οι οποίες να έχουν αξιολογήσει τις επιδράσεις της </w:t>
      </w:r>
      <w:proofErr w:type="spellStart"/>
      <w:r w:rsidRPr="00075FBC">
        <w:rPr>
          <w:szCs w:val="22"/>
        </w:rPr>
        <w:t>αμιωδαρόνης</w:t>
      </w:r>
      <w:proofErr w:type="spellEnd"/>
      <w:r w:rsidRPr="00075FBC">
        <w:rPr>
          <w:szCs w:val="22"/>
        </w:rPr>
        <w:t xml:space="preserve"> ή της </w:t>
      </w:r>
      <w:proofErr w:type="spellStart"/>
      <w:r w:rsidRPr="00075FBC">
        <w:rPr>
          <w:szCs w:val="22"/>
        </w:rPr>
        <w:t>βεραπαμίλης</w:t>
      </w:r>
      <w:proofErr w:type="spellEnd"/>
      <w:r w:rsidRPr="00075FBC">
        <w:rPr>
          <w:szCs w:val="22"/>
        </w:rPr>
        <w:t xml:space="preserve"> στην </w:t>
      </w:r>
      <w:proofErr w:type="spellStart"/>
      <w:r w:rsidRPr="00075FBC">
        <w:rPr>
          <w:szCs w:val="22"/>
        </w:rPr>
        <w:t>ατορβαστατίνη</w:t>
      </w:r>
      <w:proofErr w:type="spellEnd"/>
      <w:r w:rsidRPr="00075FBC">
        <w:rPr>
          <w:szCs w:val="22"/>
        </w:rPr>
        <w:t xml:space="preserve">. Είναι γνωστό ότι η </w:t>
      </w:r>
      <w:proofErr w:type="spellStart"/>
      <w:r w:rsidRPr="00075FBC">
        <w:rPr>
          <w:szCs w:val="22"/>
        </w:rPr>
        <w:t>αμιωδαρόνη</w:t>
      </w:r>
      <w:proofErr w:type="spellEnd"/>
      <w:r w:rsidRPr="00075FBC">
        <w:rPr>
          <w:szCs w:val="22"/>
        </w:rPr>
        <w:t xml:space="preserve"> και η </w:t>
      </w:r>
      <w:proofErr w:type="spellStart"/>
      <w:r w:rsidRPr="00075FBC">
        <w:rPr>
          <w:szCs w:val="22"/>
        </w:rPr>
        <w:t>βεραπαμίλη</w:t>
      </w:r>
      <w:proofErr w:type="spellEnd"/>
      <w:r w:rsidRPr="00075FBC">
        <w:rPr>
          <w:szCs w:val="22"/>
        </w:rPr>
        <w:t xml:space="preserve"> αναστέλλουν την λειτουργία του CYP3A4 και </w:t>
      </w:r>
      <w:proofErr w:type="spellStart"/>
      <w:r w:rsidRPr="00075FBC">
        <w:rPr>
          <w:szCs w:val="22"/>
        </w:rPr>
        <w:t>συγχορήγηση</w:t>
      </w:r>
      <w:proofErr w:type="spellEnd"/>
      <w:r w:rsidRPr="00075FBC">
        <w:rPr>
          <w:szCs w:val="22"/>
        </w:rPr>
        <w:t xml:space="preserve"> με </w:t>
      </w:r>
      <w:proofErr w:type="spellStart"/>
      <w:r w:rsidRPr="00075FBC">
        <w:rPr>
          <w:szCs w:val="22"/>
        </w:rPr>
        <w:t>ατορβαστατίνη</w:t>
      </w:r>
      <w:proofErr w:type="spellEnd"/>
      <w:r w:rsidRPr="00075FBC">
        <w:rPr>
          <w:szCs w:val="22"/>
        </w:rPr>
        <w:t xml:space="preserve"> μπορεί να </w:t>
      </w:r>
      <w:r w:rsidRPr="00075FBC">
        <w:rPr>
          <w:szCs w:val="22"/>
        </w:rPr>
        <w:lastRenderedPageBreak/>
        <w:t xml:space="preserve">έχει σαν αποτέλεσμα αυξημένη έκθεση στην </w:t>
      </w:r>
      <w:proofErr w:type="spellStart"/>
      <w:r w:rsidRPr="00075FBC">
        <w:rPr>
          <w:szCs w:val="22"/>
        </w:rPr>
        <w:t>ατορβαστατίνη</w:t>
      </w:r>
      <w:proofErr w:type="spellEnd"/>
      <w:r w:rsidRPr="00075FBC">
        <w:rPr>
          <w:szCs w:val="22"/>
        </w:rPr>
        <w:t>. Ως εκ τούτου, θα πρέπει να εξετάζεται</w:t>
      </w:r>
      <w:r w:rsidRPr="00075FBC">
        <w:t xml:space="preserve"> χαμηλότερη μέγιστη δόση</w:t>
      </w:r>
      <w:r w:rsidRPr="00075FBC">
        <w:rPr>
          <w:rFonts w:ascii="Arial" w:hAnsi="Arial" w:cs="Arial"/>
        </w:rPr>
        <w:t xml:space="preserve"> </w:t>
      </w:r>
      <w:proofErr w:type="spellStart"/>
      <w:r w:rsidRPr="00075FBC">
        <w:rPr>
          <w:szCs w:val="22"/>
        </w:rPr>
        <w:t>ατορβαστατίνης</w:t>
      </w:r>
      <w:proofErr w:type="spellEnd"/>
      <w:r w:rsidRPr="00075FBC">
        <w:rPr>
          <w:szCs w:val="22"/>
        </w:rPr>
        <w:t xml:space="preserve"> και συνιστάται κατάλληλη κλινική παρακολούθηση του ασθενή όταν </w:t>
      </w:r>
      <w:proofErr w:type="spellStart"/>
      <w:r w:rsidRPr="00075FBC">
        <w:rPr>
          <w:szCs w:val="22"/>
        </w:rPr>
        <w:t>συγχορηγείται</w:t>
      </w:r>
      <w:proofErr w:type="spellEnd"/>
      <w:r w:rsidRPr="00075FBC">
        <w:rPr>
          <w:szCs w:val="22"/>
        </w:rPr>
        <w:t xml:space="preserve"> με μέτριους αναστολείς  του CYP3A4. Συνιστάται κατάλληλη κλινική παρακολούθηση του ασθενή μετά την έναρξη ή κατόπιν αναπροσαρμογών στη δοσολογία του αναστολέα.</w:t>
      </w:r>
    </w:p>
    <w:p w:rsidR="00075FBC" w:rsidRPr="00075FBC" w:rsidRDefault="00075FBC" w:rsidP="00075FBC">
      <w:pPr>
        <w:jc w:val="both"/>
        <w:rPr>
          <w:bCs/>
          <w:szCs w:val="22"/>
        </w:rPr>
      </w:pPr>
    </w:p>
    <w:p w:rsidR="00075FBC" w:rsidRPr="00075FBC" w:rsidRDefault="00075FBC" w:rsidP="00075FBC">
      <w:pPr>
        <w:spacing w:after="120"/>
        <w:jc w:val="both"/>
        <w:rPr>
          <w:b/>
          <w:i/>
          <w:iCs/>
          <w:szCs w:val="22"/>
        </w:rPr>
      </w:pPr>
      <w:proofErr w:type="spellStart"/>
      <w:r w:rsidRPr="00075FBC">
        <w:rPr>
          <w:i/>
          <w:iCs/>
          <w:szCs w:val="22"/>
        </w:rPr>
        <w:t>Επαγωγείς</w:t>
      </w:r>
      <w:proofErr w:type="spellEnd"/>
      <w:r w:rsidRPr="00075FBC">
        <w:rPr>
          <w:i/>
          <w:iCs/>
          <w:szCs w:val="22"/>
        </w:rPr>
        <w:t xml:space="preserve"> του CYP3A4</w:t>
      </w:r>
      <w:r w:rsidRPr="00075FBC">
        <w:rPr>
          <w:b/>
          <w:i/>
          <w:iCs/>
          <w:szCs w:val="22"/>
        </w:rPr>
        <w:t xml:space="preserve"> </w:t>
      </w:r>
    </w:p>
    <w:p w:rsidR="00075FBC" w:rsidRPr="00075FBC" w:rsidRDefault="00075FBC" w:rsidP="00075FBC">
      <w:pPr>
        <w:jc w:val="both"/>
      </w:pPr>
      <w:r w:rsidRPr="00075FBC">
        <w:rPr>
          <w:szCs w:val="22"/>
        </w:rPr>
        <w:t>Ταυτόχρονη χορήγηση</w:t>
      </w:r>
      <w:r w:rsidRPr="00075FBC">
        <w:t xml:space="preserve"> </w:t>
      </w:r>
      <w:proofErr w:type="spellStart"/>
      <w:r w:rsidRPr="00075FBC">
        <w:t>ατοβαρστατίνης</w:t>
      </w:r>
      <w:proofErr w:type="spellEnd"/>
      <w:r w:rsidRPr="00075FBC">
        <w:t xml:space="preserve"> με </w:t>
      </w:r>
      <w:proofErr w:type="spellStart"/>
      <w:r w:rsidRPr="00075FBC">
        <w:t>ε</w:t>
      </w:r>
      <w:r w:rsidRPr="00075FBC">
        <w:rPr>
          <w:szCs w:val="22"/>
        </w:rPr>
        <w:t>παγωγείς</w:t>
      </w:r>
      <w:proofErr w:type="spellEnd"/>
      <w:r w:rsidRPr="00075FBC">
        <w:rPr>
          <w:szCs w:val="22"/>
        </w:rPr>
        <w:t xml:space="preserve"> του κυτοχρώματος P450 3A4</w:t>
      </w:r>
      <w:r w:rsidRPr="00075FBC">
        <w:t xml:space="preserve"> (π.χ. </w:t>
      </w:r>
      <w:proofErr w:type="spellStart"/>
      <w:r w:rsidRPr="00075FBC">
        <w:t>εφαβιρένζη</w:t>
      </w:r>
      <w:proofErr w:type="spellEnd"/>
      <w:r w:rsidRPr="00075FBC">
        <w:t xml:space="preserve">, </w:t>
      </w:r>
      <w:proofErr w:type="spellStart"/>
      <w:r w:rsidRPr="00075FBC">
        <w:t>ριφαμπικίνη</w:t>
      </w:r>
      <w:proofErr w:type="spellEnd"/>
      <w:r w:rsidRPr="00075FBC">
        <w:t xml:space="preserve">, </w:t>
      </w:r>
      <w:proofErr w:type="spellStart"/>
      <w:r w:rsidRPr="00075FBC">
        <w:t>St</w:t>
      </w:r>
      <w:proofErr w:type="spellEnd"/>
      <w:r w:rsidRPr="00075FBC">
        <w:t xml:space="preserve">. </w:t>
      </w:r>
      <w:proofErr w:type="spellStart"/>
      <w:r w:rsidRPr="00075FBC">
        <w:t>John’s</w:t>
      </w:r>
      <w:proofErr w:type="spellEnd"/>
      <w:r w:rsidRPr="00075FBC">
        <w:t xml:space="preserve"> </w:t>
      </w:r>
      <w:proofErr w:type="spellStart"/>
      <w:r w:rsidRPr="00075FBC">
        <w:t>Wort</w:t>
      </w:r>
      <w:proofErr w:type="spellEnd"/>
      <w:r w:rsidRPr="00075FBC">
        <w:t xml:space="preserve">) μπορεί να οδηγήσει σε διάφορες μειώσεις των συγκεντρώσεων της </w:t>
      </w:r>
      <w:proofErr w:type="spellStart"/>
      <w:r w:rsidRPr="00075FBC">
        <w:t>ατορβαστατίνης</w:t>
      </w:r>
      <w:proofErr w:type="spellEnd"/>
      <w:r w:rsidRPr="00075FBC">
        <w:t xml:space="preserve"> στο πλάσμα. Λόγω του διπλού μηχανισμού αλληλεπίδρασης της </w:t>
      </w:r>
      <w:proofErr w:type="spellStart"/>
      <w:r w:rsidRPr="00075FBC">
        <w:t>ριφαμπικίνης</w:t>
      </w:r>
      <w:proofErr w:type="spellEnd"/>
      <w:r w:rsidRPr="00075FBC">
        <w:t xml:space="preserve"> (επαγωγή </w:t>
      </w:r>
      <w:r w:rsidRPr="00075FBC">
        <w:rPr>
          <w:szCs w:val="22"/>
        </w:rPr>
        <w:t xml:space="preserve">του κυτοχρώματος </w:t>
      </w:r>
      <w:r w:rsidRPr="00075FBC">
        <w:t xml:space="preserve">P450 3A και αναστολή της πρόσληψης του </w:t>
      </w:r>
      <w:proofErr w:type="spellStart"/>
      <w:r w:rsidRPr="00075FBC">
        <w:t>ηπατοκυττάρου</w:t>
      </w:r>
      <w:proofErr w:type="spellEnd"/>
      <w:r w:rsidRPr="00075FBC">
        <w:rPr>
          <w:szCs w:val="22"/>
        </w:rPr>
        <w:t xml:space="preserve"> του </w:t>
      </w:r>
      <w:proofErr w:type="spellStart"/>
      <w:r w:rsidRPr="00075FBC">
        <w:rPr>
          <w:szCs w:val="22"/>
        </w:rPr>
        <w:t>διακομιστή</w:t>
      </w:r>
      <w:proofErr w:type="spellEnd"/>
      <w:r w:rsidRPr="00075FBC">
        <w:t xml:space="preserve"> OATP1B1), συνιστάται η </w:t>
      </w:r>
      <w:proofErr w:type="spellStart"/>
      <w:r w:rsidRPr="00075FBC">
        <w:t>συγχορήγηση</w:t>
      </w:r>
      <w:proofErr w:type="spellEnd"/>
      <w:r w:rsidRPr="00075FBC">
        <w:t xml:space="preserve"> </w:t>
      </w:r>
      <w:proofErr w:type="spellStart"/>
      <w:r w:rsidRPr="00075FBC">
        <w:t>ατορβαστατίνης</w:t>
      </w:r>
      <w:proofErr w:type="spellEnd"/>
      <w:r w:rsidRPr="00075FBC">
        <w:t xml:space="preserve"> με </w:t>
      </w:r>
      <w:proofErr w:type="spellStart"/>
      <w:r w:rsidRPr="00075FBC">
        <w:t>ριφαμπικίνη</w:t>
      </w:r>
      <w:proofErr w:type="spellEnd"/>
      <w:r w:rsidRPr="00075FBC">
        <w:t xml:space="preserve"> ταυτόχρονα, καθώς η καθυστέρηση της χορήγησης </w:t>
      </w:r>
      <w:proofErr w:type="spellStart"/>
      <w:r w:rsidRPr="00075FBC">
        <w:t>ατορβαστατίνης</w:t>
      </w:r>
      <w:proofErr w:type="spellEnd"/>
      <w:r w:rsidRPr="00075FBC">
        <w:t xml:space="preserve">, μετά από χορήγηση </w:t>
      </w:r>
      <w:proofErr w:type="spellStart"/>
      <w:r w:rsidRPr="00075FBC">
        <w:t>ριφαμπικίνης</w:t>
      </w:r>
      <w:proofErr w:type="spellEnd"/>
      <w:r w:rsidRPr="00075FBC">
        <w:t xml:space="preserve">, έχει συσχετισθεί με σημαντική μείωση των συγκεντρώσεων της </w:t>
      </w:r>
      <w:proofErr w:type="spellStart"/>
      <w:r w:rsidRPr="00075FBC">
        <w:t>ατορβαστατίνης</w:t>
      </w:r>
      <w:proofErr w:type="spellEnd"/>
      <w:r w:rsidRPr="00075FBC">
        <w:t xml:space="preserve"> στο πλάσμα.</w:t>
      </w:r>
    </w:p>
    <w:p w:rsidR="00075FBC" w:rsidRPr="00075FBC" w:rsidRDefault="00075FBC" w:rsidP="00075FBC">
      <w:pPr>
        <w:jc w:val="both"/>
      </w:pPr>
    </w:p>
    <w:p w:rsidR="00075FBC" w:rsidRPr="00075FBC" w:rsidRDefault="00075FBC" w:rsidP="00075FBC">
      <w:pPr>
        <w:jc w:val="both"/>
      </w:pPr>
      <w:r w:rsidRPr="00075FBC">
        <w:t xml:space="preserve">Ωστόσο η επίδραση της </w:t>
      </w:r>
      <w:proofErr w:type="spellStart"/>
      <w:r w:rsidRPr="00075FBC">
        <w:t>ριφαμπικίνης</w:t>
      </w:r>
      <w:proofErr w:type="spellEnd"/>
      <w:r w:rsidRPr="00075FBC">
        <w:t xml:space="preserve"> στις συγκεντρώσεις της </w:t>
      </w:r>
      <w:proofErr w:type="spellStart"/>
      <w:r w:rsidRPr="00075FBC">
        <w:t>ατορβαστατίνης</w:t>
      </w:r>
      <w:proofErr w:type="spellEnd"/>
      <w:r w:rsidRPr="00075FBC">
        <w:t xml:space="preserve"> στα ηπατικά κύτταρα δεν είναι γνωστή, και εάν δεν μπορεί να αποφευχθεί ταυτόχρονη χορήγηση, οι ασθενείς θα πρέπει να παρακολουθούνται προσεκτικά για την αποτελεσματικότητα.</w:t>
      </w:r>
    </w:p>
    <w:p w:rsidR="00075FBC" w:rsidRPr="00075FBC" w:rsidRDefault="00075FBC" w:rsidP="00075FBC">
      <w:pPr>
        <w:jc w:val="both"/>
      </w:pPr>
    </w:p>
    <w:p w:rsidR="00075FBC" w:rsidRPr="00075FBC" w:rsidRDefault="00075FBC" w:rsidP="00075FBC">
      <w:pPr>
        <w:spacing w:after="120"/>
        <w:jc w:val="both"/>
        <w:rPr>
          <w:i/>
          <w:iCs/>
          <w:szCs w:val="22"/>
        </w:rPr>
      </w:pPr>
      <w:r w:rsidRPr="00075FBC">
        <w:rPr>
          <w:i/>
          <w:iCs/>
          <w:szCs w:val="22"/>
        </w:rPr>
        <w:t xml:space="preserve">Αναστολείς </w:t>
      </w:r>
      <w:proofErr w:type="spellStart"/>
      <w:r w:rsidRPr="00075FBC">
        <w:rPr>
          <w:i/>
          <w:iCs/>
          <w:szCs w:val="22"/>
        </w:rPr>
        <w:t>διακομιστών</w:t>
      </w:r>
      <w:proofErr w:type="spellEnd"/>
      <w:r w:rsidRPr="00075FBC">
        <w:rPr>
          <w:i/>
          <w:iCs/>
          <w:szCs w:val="22"/>
        </w:rPr>
        <w:t xml:space="preserve"> πρωτεϊνών</w:t>
      </w:r>
    </w:p>
    <w:p w:rsidR="00075FBC" w:rsidRPr="00075FBC" w:rsidRDefault="00075FBC" w:rsidP="00075FBC">
      <w:pPr>
        <w:jc w:val="both"/>
      </w:pPr>
      <w:r w:rsidRPr="00075FBC">
        <w:t xml:space="preserve">Οι αναστολείς </w:t>
      </w:r>
      <w:proofErr w:type="spellStart"/>
      <w:r w:rsidRPr="00075FBC">
        <w:t>διακομιστών</w:t>
      </w:r>
      <w:proofErr w:type="spellEnd"/>
      <w:r w:rsidRPr="00075FBC">
        <w:t xml:space="preserve"> πρωτεϊνών (π.χ. </w:t>
      </w:r>
      <w:proofErr w:type="spellStart"/>
      <w:r w:rsidRPr="00075FBC">
        <w:t>κυκλοσπορίνη</w:t>
      </w:r>
      <w:proofErr w:type="spellEnd"/>
      <w:r w:rsidRPr="00075FBC">
        <w:t xml:space="preserve">) μπορεί να αυξήσουν τη έκθεση στην </w:t>
      </w:r>
      <w:proofErr w:type="spellStart"/>
      <w:r w:rsidRPr="00075FBC">
        <w:t>ατορβαστατίνη</w:t>
      </w:r>
      <w:proofErr w:type="spellEnd"/>
      <w:r w:rsidRPr="00075FBC">
        <w:t xml:space="preserve"> (βλ. Πίνακα 1). Η επίδραση της αναστολής των </w:t>
      </w:r>
      <w:proofErr w:type="spellStart"/>
      <w:r w:rsidRPr="00075FBC">
        <w:t>διακομιστών</w:t>
      </w:r>
      <w:proofErr w:type="spellEnd"/>
      <w:r w:rsidRPr="00075FBC">
        <w:t xml:space="preserve"> ηπατικής πρόσληψης στις συγκεντρώσεις της </w:t>
      </w:r>
      <w:proofErr w:type="spellStart"/>
      <w:r w:rsidRPr="00075FBC">
        <w:t>ατορβαστατίνης</w:t>
      </w:r>
      <w:proofErr w:type="spellEnd"/>
      <w:r w:rsidRPr="00075FBC">
        <w:t xml:space="preserve"> στα ηπατικά κύτταρα δεν είναι γνωστή. Εάν δεν μπορεί να αποφευχθεί ταυτόχρονη χορήγηση,</w:t>
      </w:r>
      <w:r w:rsidRPr="00075FBC">
        <w:rPr>
          <w:szCs w:val="22"/>
        </w:rPr>
        <w:t xml:space="preserve"> συνιστάται μείωση της δόσης και κλινική παρακολούθηση</w:t>
      </w:r>
      <w:r w:rsidRPr="00075FBC">
        <w:t xml:space="preserve"> για την αποτελεσματικότητα (βλ. Πίνακα 1).</w:t>
      </w:r>
    </w:p>
    <w:p w:rsidR="00075FBC" w:rsidRPr="00075FBC" w:rsidRDefault="00075FBC" w:rsidP="00075FBC">
      <w:pPr>
        <w:jc w:val="both"/>
        <w:rPr>
          <w:b/>
          <w:szCs w:val="22"/>
        </w:rPr>
      </w:pPr>
    </w:p>
    <w:p w:rsidR="00075FBC" w:rsidRPr="00075FBC" w:rsidRDefault="00075FBC" w:rsidP="00075FBC">
      <w:pPr>
        <w:spacing w:after="120"/>
        <w:jc w:val="both"/>
        <w:rPr>
          <w:i/>
          <w:iCs/>
          <w:szCs w:val="22"/>
        </w:rPr>
      </w:pPr>
      <w:proofErr w:type="spellStart"/>
      <w:r w:rsidRPr="00075FBC">
        <w:rPr>
          <w:i/>
          <w:iCs/>
          <w:szCs w:val="22"/>
        </w:rPr>
        <w:t>Γεμφιβροζίλη</w:t>
      </w:r>
      <w:proofErr w:type="spellEnd"/>
      <w:r w:rsidRPr="00075FBC">
        <w:rPr>
          <w:i/>
          <w:iCs/>
          <w:szCs w:val="22"/>
        </w:rPr>
        <w:t>/</w:t>
      </w:r>
      <w:proofErr w:type="spellStart"/>
      <w:r w:rsidRPr="00075FBC">
        <w:rPr>
          <w:i/>
          <w:iCs/>
          <w:szCs w:val="22"/>
        </w:rPr>
        <w:t>φιβράτες</w:t>
      </w:r>
      <w:proofErr w:type="spellEnd"/>
    </w:p>
    <w:p w:rsidR="00075FBC" w:rsidRPr="00075FBC" w:rsidRDefault="00075FBC" w:rsidP="00075FBC">
      <w:pPr>
        <w:jc w:val="both"/>
        <w:rPr>
          <w:bCs/>
          <w:szCs w:val="22"/>
        </w:rPr>
      </w:pPr>
      <w:r w:rsidRPr="00075FBC">
        <w:t xml:space="preserve">Η χρήση </w:t>
      </w:r>
      <w:proofErr w:type="spellStart"/>
      <w:r w:rsidRPr="00075FBC">
        <w:t>φιβρατών</w:t>
      </w:r>
      <w:proofErr w:type="spellEnd"/>
      <w:r w:rsidRPr="00075FBC">
        <w:t xml:space="preserve"> μόνων τους συσχετίζεται περιστασιακά με περιστατικά σχετιζόμενα με τους μύες, συμπεριλαμβανόμενης της </w:t>
      </w:r>
      <w:proofErr w:type="spellStart"/>
      <w:r w:rsidRPr="00075FBC">
        <w:t>ραβδομυόλυσης</w:t>
      </w:r>
      <w:proofErr w:type="spellEnd"/>
      <w:r w:rsidRPr="00075FBC">
        <w:rPr>
          <w:bCs/>
        </w:rPr>
        <w:t xml:space="preserve">. </w:t>
      </w:r>
      <w:r w:rsidRPr="00075FBC">
        <w:rPr>
          <w:szCs w:val="22"/>
        </w:rPr>
        <w:t xml:space="preserve">Ο κίνδυνος αυτών των περιστατικών μπορεί να αυξηθεί κατά την ταυτόχρονη χρήση </w:t>
      </w:r>
      <w:proofErr w:type="spellStart"/>
      <w:r w:rsidRPr="00075FBC">
        <w:rPr>
          <w:szCs w:val="22"/>
        </w:rPr>
        <w:t>φιβρατών</w:t>
      </w:r>
      <w:proofErr w:type="spellEnd"/>
      <w:r w:rsidRPr="00075FBC">
        <w:rPr>
          <w:szCs w:val="22"/>
        </w:rPr>
        <w:t xml:space="preserve"> και </w:t>
      </w:r>
      <w:proofErr w:type="spellStart"/>
      <w:r w:rsidRPr="00075FBC">
        <w:rPr>
          <w:szCs w:val="22"/>
        </w:rPr>
        <w:t>ατορβαστατίνης</w:t>
      </w:r>
      <w:proofErr w:type="spellEnd"/>
      <w:r w:rsidRPr="00075FBC">
        <w:rPr>
          <w:szCs w:val="22"/>
        </w:rPr>
        <w:t xml:space="preserve">. </w:t>
      </w:r>
      <w:r w:rsidRPr="00075FBC">
        <w:t xml:space="preserve">Εάν δεν μπορεί να αποφευχθεί ταυτόχρονη χορήγηση, θα πρέπει να χρησιμοποιηθεί η χαμηλότερη δόση </w:t>
      </w:r>
      <w:proofErr w:type="spellStart"/>
      <w:r w:rsidRPr="00075FBC">
        <w:t>ατορβαστατίνης</w:t>
      </w:r>
      <w:proofErr w:type="spellEnd"/>
      <w:r w:rsidRPr="00075FBC">
        <w:t xml:space="preserve"> η οποία θα μπορεί να επιτύχει το θεραπευτικό σκοπό και θα πρέπει οι ασθενείς να </w:t>
      </w:r>
      <w:r w:rsidRPr="00075FBC">
        <w:rPr>
          <w:szCs w:val="22"/>
        </w:rPr>
        <w:t>παρακολουθούνται επισταμένως (</w:t>
      </w:r>
      <w:r w:rsidRPr="00075FBC">
        <w:t>βλ. παράγραφο 4.4)</w:t>
      </w:r>
      <w:r w:rsidRPr="00075FBC">
        <w:rPr>
          <w:szCs w:val="22"/>
        </w:rPr>
        <w:t xml:space="preserve">. </w:t>
      </w:r>
    </w:p>
    <w:p w:rsidR="00075FBC" w:rsidRPr="00075FBC" w:rsidRDefault="00075FBC" w:rsidP="00075FBC">
      <w:pPr>
        <w:widowControl/>
        <w:jc w:val="both"/>
        <w:rPr>
          <w:b/>
          <w:szCs w:val="22"/>
        </w:rPr>
      </w:pPr>
    </w:p>
    <w:p w:rsidR="00075FBC" w:rsidRPr="00075FBC" w:rsidRDefault="00075FBC" w:rsidP="00075FBC">
      <w:pPr>
        <w:spacing w:after="120"/>
        <w:jc w:val="both"/>
        <w:rPr>
          <w:i/>
          <w:iCs/>
          <w:szCs w:val="22"/>
        </w:rPr>
      </w:pPr>
      <w:proofErr w:type="spellStart"/>
      <w:r w:rsidRPr="00075FBC">
        <w:rPr>
          <w:i/>
          <w:iCs/>
          <w:szCs w:val="22"/>
        </w:rPr>
        <w:t>Εζετιμίμπη</w:t>
      </w:r>
      <w:proofErr w:type="spellEnd"/>
    </w:p>
    <w:p w:rsidR="00075FBC" w:rsidRPr="00075FBC" w:rsidRDefault="00075FBC" w:rsidP="00075FBC">
      <w:pPr>
        <w:widowControl/>
        <w:jc w:val="both"/>
        <w:rPr>
          <w:szCs w:val="22"/>
        </w:rPr>
      </w:pPr>
      <w:r w:rsidRPr="00075FBC">
        <w:t xml:space="preserve">Η χρήση </w:t>
      </w:r>
      <w:proofErr w:type="spellStart"/>
      <w:r w:rsidRPr="00075FBC">
        <w:t>εζετιμίμπης</w:t>
      </w:r>
      <w:proofErr w:type="spellEnd"/>
      <w:r w:rsidRPr="00075FBC">
        <w:t xml:space="preserve"> μόνης της συσχετίζεται περιστασιακά με περιστατικά σχετιζόμενα με τους μύες, συμπεριλαμβανόμενης της </w:t>
      </w:r>
      <w:proofErr w:type="spellStart"/>
      <w:r w:rsidRPr="00075FBC">
        <w:t>ραβδομυόλυσης</w:t>
      </w:r>
      <w:proofErr w:type="spellEnd"/>
      <w:r w:rsidRPr="00075FBC">
        <w:t xml:space="preserve">. </w:t>
      </w:r>
      <w:r w:rsidRPr="00075FBC">
        <w:rPr>
          <w:szCs w:val="22"/>
        </w:rPr>
        <w:t>Ως εκ τούτου, ο κίνδυνος αυτών των περιστατικών μπορεί να αυξηθεί κατά την ταυτόχρονη χρήση</w:t>
      </w:r>
      <w:r w:rsidRPr="00075FBC">
        <w:t xml:space="preserve"> </w:t>
      </w:r>
      <w:proofErr w:type="spellStart"/>
      <w:r w:rsidRPr="00075FBC">
        <w:t>εζετιμίμπης</w:t>
      </w:r>
      <w:proofErr w:type="spellEnd"/>
      <w:r w:rsidRPr="00075FBC">
        <w:t xml:space="preserve"> και </w:t>
      </w:r>
      <w:proofErr w:type="spellStart"/>
      <w:r w:rsidRPr="00075FBC">
        <w:t>ατορβαστατίνης</w:t>
      </w:r>
      <w:proofErr w:type="spellEnd"/>
      <w:r w:rsidRPr="00075FBC">
        <w:t xml:space="preserve">. Συνιστάται </w:t>
      </w:r>
      <w:r w:rsidRPr="00075FBC">
        <w:rPr>
          <w:szCs w:val="22"/>
        </w:rPr>
        <w:t>κατάλληλη κλινική παρακολούθηση για αυτούς τους ασθενείς.</w:t>
      </w:r>
    </w:p>
    <w:p w:rsidR="00075FBC" w:rsidRPr="00075FBC" w:rsidRDefault="00075FBC" w:rsidP="00075FBC">
      <w:pPr>
        <w:widowControl/>
        <w:jc w:val="both"/>
        <w:rPr>
          <w:b/>
          <w:szCs w:val="22"/>
        </w:rPr>
      </w:pPr>
    </w:p>
    <w:p w:rsidR="00075FBC" w:rsidRPr="00075FBC" w:rsidRDefault="00075FBC" w:rsidP="00075FBC">
      <w:pPr>
        <w:spacing w:after="120"/>
        <w:jc w:val="both"/>
        <w:rPr>
          <w:i/>
          <w:iCs/>
          <w:szCs w:val="22"/>
        </w:rPr>
      </w:pPr>
      <w:proofErr w:type="spellStart"/>
      <w:r w:rsidRPr="00075FBC">
        <w:rPr>
          <w:i/>
          <w:iCs/>
          <w:szCs w:val="22"/>
        </w:rPr>
        <w:t>Κολεστιπόλη</w:t>
      </w:r>
      <w:proofErr w:type="spellEnd"/>
    </w:p>
    <w:p w:rsidR="00075FBC" w:rsidRPr="00075FBC" w:rsidRDefault="00075FBC" w:rsidP="00075FBC">
      <w:pPr>
        <w:widowControl/>
        <w:jc w:val="both"/>
        <w:rPr>
          <w:szCs w:val="22"/>
        </w:rPr>
      </w:pPr>
      <w:r w:rsidRPr="00075FBC">
        <w:rPr>
          <w:szCs w:val="22"/>
        </w:rPr>
        <w:t xml:space="preserve">Όταν μαζί με </w:t>
      </w:r>
      <w:proofErr w:type="spellStart"/>
      <w:r w:rsidRPr="00075FBC">
        <w:rPr>
          <w:bCs/>
        </w:rPr>
        <w:t>ατορβαστατίνη</w:t>
      </w:r>
      <w:proofErr w:type="spellEnd"/>
      <w:r w:rsidRPr="00075FBC">
        <w:rPr>
          <w:bCs/>
        </w:rPr>
        <w:t xml:space="preserve"> </w:t>
      </w:r>
      <w:r w:rsidRPr="00075FBC">
        <w:rPr>
          <w:szCs w:val="22"/>
        </w:rPr>
        <w:t xml:space="preserve">χορηγήθηκε και </w:t>
      </w:r>
      <w:proofErr w:type="spellStart"/>
      <w:r w:rsidRPr="00075FBC">
        <w:rPr>
          <w:szCs w:val="22"/>
        </w:rPr>
        <w:t>κολεστιπόλη</w:t>
      </w:r>
      <w:proofErr w:type="spellEnd"/>
      <w:r w:rsidRPr="00075FBC">
        <w:rPr>
          <w:szCs w:val="22"/>
        </w:rPr>
        <w:t xml:space="preserve">, οι συγκεντρώσεις της </w:t>
      </w:r>
      <w:proofErr w:type="spellStart"/>
      <w:r w:rsidRPr="00075FBC">
        <w:rPr>
          <w:szCs w:val="22"/>
        </w:rPr>
        <w:t>ατορβαστατίνης</w:t>
      </w:r>
      <w:proofErr w:type="spellEnd"/>
      <w:r w:rsidRPr="00075FBC">
        <w:rPr>
          <w:szCs w:val="22"/>
        </w:rPr>
        <w:t xml:space="preserve"> και των δραστικών μεταβολιτών της στο πλάσμα ήταν χαμηλότερες (περίπου κατά 25%). Ωστόσο, όταν η </w:t>
      </w:r>
      <w:proofErr w:type="spellStart"/>
      <w:r w:rsidRPr="00075FBC">
        <w:rPr>
          <w:szCs w:val="22"/>
        </w:rPr>
        <w:t>ατορβαστατίνη</w:t>
      </w:r>
      <w:proofErr w:type="spellEnd"/>
      <w:r w:rsidRPr="00075FBC">
        <w:rPr>
          <w:bCs/>
        </w:rPr>
        <w:t xml:space="preserve"> </w:t>
      </w:r>
      <w:r w:rsidRPr="00075FBC">
        <w:rPr>
          <w:szCs w:val="22"/>
        </w:rPr>
        <w:t xml:space="preserve">και η </w:t>
      </w:r>
      <w:proofErr w:type="spellStart"/>
      <w:r w:rsidRPr="00075FBC">
        <w:rPr>
          <w:szCs w:val="22"/>
        </w:rPr>
        <w:t>κολεστιπόλη</w:t>
      </w:r>
      <w:proofErr w:type="spellEnd"/>
      <w:r w:rsidRPr="00075FBC">
        <w:rPr>
          <w:szCs w:val="22"/>
        </w:rPr>
        <w:t xml:space="preserve"> </w:t>
      </w:r>
      <w:proofErr w:type="spellStart"/>
      <w:r w:rsidRPr="00075FBC">
        <w:rPr>
          <w:szCs w:val="22"/>
        </w:rPr>
        <w:t>συγχορηγούνταν</w:t>
      </w:r>
      <w:proofErr w:type="spellEnd"/>
      <w:r w:rsidRPr="00075FBC">
        <w:rPr>
          <w:szCs w:val="22"/>
        </w:rPr>
        <w:t>, η επίδρασή τους στα λιπίδια ήταν μεγαλύτερη απ’ ότι όταν κάθε φαρμακευτικό προϊόν χορηγούνταν ξεχωριστά.</w:t>
      </w:r>
    </w:p>
    <w:p w:rsidR="00075FBC" w:rsidRPr="00075FBC" w:rsidRDefault="00075FBC" w:rsidP="00075FBC">
      <w:pPr>
        <w:widowControl/>
        <w:jc w:val="both"/>
        <w:rPr>
          <w:szCs w:val="22"/>
        </w:rPr>
      </w:pPr>
    </w:p>
    <w:p w:rsidR="00075FBC" w:rsidRPr="00075FBC" w:rsidRDefault="00075FBC" w:rsidP="00075FBC">
      <w:pPr>
        <w:spacing w:after="120"/>
        <w:jc w:val="both"/>
        <w:rPr>
          <w:i/>
          <w:szCs w:val="22"/>
        </w:rPr>
      </w:pPr>
      <w:proofErr w:type="spellStart"/>
      <w:r w:rsidRPr="00075FBC">
        <w:rPr>
          <w:i/>
          <w:szCs w:val="22"/>
        </w:rPr>
        <w:t>Φουσιδικό</w:t>
      </w:r>
      <w:proofErr w:type="spellEnd"/>
      <w:r w:rsidRPr="00075FBC">
        <w:rPr>
          <w:i/>
          <w:szCs w:val="22"/>
        </w:rPr>
        <w:t xml:space="preserve"> οξύ</w:t>
      </w:r>
    </w:p>
    <w:p w:rsidR="00075FBC" w:rsidRPr="00075FBC" w:rsidRDefault="00075FBC" w:rsidP="00075FBC">
      <w:pPr>
        <w:jc w:val="both"/>
        <w:rPr>
          <w:color w:val="000000"/>
          <w:szCs w:val="22"/>
        </w:rPr>
      </w:pPr>
      <w:r w:rsidRPr="00075FBC">
        <w:rPr>
          <w:color w:val="000000"/>
          <w:szCs w:val="22"/>
        </w:rPr>
        <w:t xml:space="preserve">Η ταυτόχρονη χρήση </w:t>
      </w:r>
      <w:proofErr w:type="spellStart"/>
      <w:r w:rsidRPr="00075FBC">
        <w:rPr>
          <w:color w:val="000000"/>
          <w:szCs w:val="22"/>
        </w:rPr>
        <w:t>ατορβαστατίνης</w:t>
      </w:r>
      <w:proofErr w:type="spellEnd"/>
      <w:r w:rsidRPr="00075FBC">
        <w:rPr>
          <w:color w:val="000000"/>
          <w:szCs w:val="22"/>
        </w:rPr>
        <w:t xml:space="preserve"> και </w:t>
      </w:r>
      <w:proofErr w:type="spellStart"/>
      <w:r w:rsidRPr="00075FBC">
        <w:rPr>
          <w:color w:val="000000"/>
          <w:szCs w:val="22"/>
        </w:rPr>
        <w:t>φουσιδικού</w:t>
      </w:r>
      <w:proofErr w:type="spellEnd"/>
      <w:r w:rsidRPr="00075FBC">
        <w:rPr>
          <w:color w:val="000000"/>
          <w:szCs w:val="22"/>
        </w:rPr>
        <w:t xml:space="preserve"> οξέος δεν συνιστάται, ως εκ τούτου, προσωρινή διακοπή της </w:t>
      </w:r>
      <w:proofErr w:type="spellStart"/>
      <w:r w:rsidRPr="00075FBC">
        <w:rPr>
          <w:color w:val="000000"/>
          <w:szCs w:val="22"/>
        </w:rPr>
        <w:t>ατορβαστατίνης</w:t>
      </w:r>
      <w:proofErr w:type="spellEnd"/>
      <w:r w:rsidRPr="00075FBC">
        <w:rPr>
          <w:color w:val="000000"/>
          <w:szCs w:val="22"/>
        </w:rPr>
        <w:t xml:space="preserve"> μπορεί να εξετάζεται κατά τη διάρκεια θεραπείας με </w:t>
      </w:r>
      <w:proofErr w:type="spellStart"/>
      <w:r w:rsidRPr="00075FBC">
        <w:rPr>
          <w:color w:val="000000"/>
          <w:szCs w:val="22"/>
        </w:rPr>
        <w:t>φουσιδικό</w:t>
      </w:r>
      <w:proofErr w:type="spellEnd"/>
      <w:r w:rsidRPr="00075FBC">
        <w:rPr>
          <w:color w:val="000000"/>
          <w:szCs w:val="22"/>
        </w:rPr>
        <w:t xml:space="preserve"> οξύ. Δεν έχουν διεξαχθεί μελέτες αλληλεπίδρασης με </w:t>
      </w:r>
      <w:proofErr w:type="spellStart"/>
      <w:r w:rsidRPr="00075FBC">
        <w:rPr>
          <w:color w:val="000000"/>
          <w:szCs w:val="22"/>
        </w:rPr>
        <w:t>ατορβαστατίνη</w:t>
      </w:r>
      <w:proofErr w:type="spellEnd"/>
      <w:r w:rsidRPr="00075FBC">
        <w:rPr>
          <w:color w:val="000000"/>
          <w:szCs w:val="22"/>
        </w:rPr>
        <w:t xml:space="preserve"> και </w:t>
      </w:r>
      <w:proofErr w:type="spellStart"/>
      <w:r w:rsidRPr="00075FBC">
        <w:rPr>
          <w:color w:val="000000"/>
          <w:szCs w:val="22"/>
        </w:rPr>
        <w:lastRenderedPageBreak/>
        <w:t>φουσιδικό</w:t>
      </w:r>
      <w:proofErr w:type="spellEnd"/>
      <w:r w:rsidRPr="00075FBC">
        <w:rPr>
          <w:color w:val="000000"/>
          <w:szCs w:val="22"/>
        </w:rPr>
        <w:t xml:space="preserve"> οξύ. Όπως και με άλλες </w:t>
      </w:r>
      <w:proofErr w:type="spellStart"/>
      <w:r w:rsidRPr="00075FBC">
        <w:rPr>
          <w:color w:val="000000"/>
          <w:szCs w:val="22"/>
        </w:rPr>
        <w:t>στατίνες</w:t>
      </w:r>
      <w:proofErr w:type="spellEnd"/>
      <w:r w:rsidRPr="00075FBC">
        <w:rPr>
          <w:color w:val="000000"/>
          <w:szCs w:val="22"/>
        </w:rPr>
        <w:t xml:space="preserve">, έχουν αναφερθεί </w:t>
      </w:r>
      <w:r w:rsidRPr="00075FBC">
        <w:t xml:space="preserve">περιστατικά σχετιζόμενα με τους μύες, συμπεριλαμβανόμενης της </w:t>
      </w:r>
      <w:proofErr w:type="spellStart"/>
      <w:r w:rsidRPr="00075FBC">
        <w:t>ραβδομυόλυσης</w:t>
      </w:r>
      <w:proofErr w:type="spellEnd"/>
      <w:r w:rsidRPr="00075FBC">
        <w:t xml:space="preserve">, κατά την ταυτόχρονη χορήγηση </w:t>
      </w:r>
      <w:proofErr w:type="spellStart"/>
      <w:r w:rsidRPr="00075FBC">
        <w:t>ατορβαστατίνης</w:t>
      </w:r>
      <w:proofErr w:type="spellEnd"/>
      <w:r w:rsidRPr="00075FBC">
        <w:t xml:space="preserve"> και </w:t>
      </w:r>
      <w:proofErr w:type="spellStart"/>
      <w:r w:rsidRPr="00075FBC">
        <w:t>φουσιδικού</w:t>
      </w:r>
      <w:proofErr w:type="spellEnd"/>
      <w:r w:rsidRPr="00075FBC">
        <w:t xml:space="preserve"> οξέος, μετά την κυκλοφορία του προϊόντος στην αγορά.</w:t>
      </w:r>
      <w:r w:rsidRPr="00075FBC">
        <w:rPr>
          <w:color w:val="000000"/>
          <w:szCs w:val="22"/>
        </w:rPr>
        <w:t xml:space="preserve"> Ο μηχανισμός αυτής της αλληλεπίδρασης δεν είναι γνωστός. Οι ασθενείς χρειάζονται στενή παρακολούθηση και μπορεί να είναι απαραίτητη η προσωρινή διακοπή της θεραπείας με </w:t>
      </w:r>
      <w:proofErr w:type="spellStart"/>
      <w:r w:rsidRPr="00075FBC">
        <w:rPr>
          <w:color w:val="000000"/>
          <w:szCs w:val="22"/>
        </w:rPr>
        <w:t>ατορβαστατίνη</w:t>
      </w:r>
      <w:proofErr w:type="spellEnd"/>
      <w:r w:rsidRPr="00075FBC">
        <w:rPr>
          <w:color w:val="000000"/>
          <w:szCs w:val="22"/>
        </w:rPr>
        <w:t xml:space="preserve">. </w:t>
      </w:r>
    </w:p>
    <w:p w:rsidR="00075FBC" w:rsidRPr="00075FBC" w:rsidRDefault="00075FBC" w:rsidP="00075FBC">
      <w:pPr>
        <w:jc w:val="both"/>
        <w:rPr>
          <w:szCs w:val="22"/>
        </w:rPr>
      </w:pPr>
    </w:p>
    <w:p w:rsidR="00075FBC" w:rsidRPr="00075FBC" w:rsidRDefault="00075FBC" w:rsidP="00075FBC">
      <w:pPr>
        <w:spacing w:after="120"/>
        <w:jc w:val="both"/>
        <w:rPr>
          <w:i/>
        </w:rPr>
      </w:pPr>
      <w:r w:rsidRPr="00075FBC">
        <w:rPr>
          <w:i/>
          <w:szCs w:val="22"/>
        </w:rPr>
        <w:t>Κολχικίνη</w:t>
      </w:r>
      <w:r w:rsidRPr="00075FBC">
        <w:rPr>
          <w:i/>
        </w:rPr>
        <w:t xml:space="preserve"> </w:t>
      </w:r>
    </w:p>
    <w:p w:rsidR="00075FBC" w:rsidRPr="00075FBC" w:rsidRDefault="00075FBC" w:rsidP="00075FBC">
      <w:pPr>
        <w:jc w:val="both"/>
        <w:rPr>
          <w:szCs w:val="22"/>
        </w:rPr>
      </w:pPr>
      <w:r w:rsidRPr="00075FBC">
        <w:rPr>
          <w:szCs w:val="22"/>
        </w:rPr>
        <w:t xml:space="preserve">Παρόλο που δεν έχουν διεξαχθεί μελέτες αλληλεπίδρασης με </w:t>
      </w:r>
      <w:proofErr w:type="spellStart"/>
      <w:r w:rsidRPr="00075FBC">
        <w:rPr>
          <w:color w:val="000000"/>
          <w:szCs w:val="22"/>
        </w:rPr>
        <w:t>ατορβαστατίνη</w:t>
      </w:r>
      <w:proofErr w:type="spellEnd"/>
      <w:r w:rsidRPr="00075FBC">
        <w:rPr>
          <w:color w:val="000000"/>
          <w:szCs w:val="22"/>
        </w:rPr>
        <w:t xml:space="preserve"> και κολχικίνη, έχουν αναφερθεί περιστατικά μυοπάθειας κατά την ταυτόχρονη χορήγηση </w:t>
      </w:r>
      <w:proofErr w:type="spellStart"/>
      <w:r w:rsidRPr="00075FBC">
        <w:t>ατορβαστατίνης</w:t>
      </w:r>
      <w:proofErr w:type="spellEnd"/>
      <w:r w:rsidRPr="00075FBC">
        <w:t xml:space="preserve"> και κολχικίνης</w:t>
      </w:r>
      <w:r w:rsidRPr="00075FBC">
        <w:rPr>
          <w:szCs w:val="22"/>
        </w:rPr>
        <w:t xml:space="preserve"> και, ως εκ τούτου, συνιστάται προσοχή κατά τη </w:t>
      </w:r>
      <w:proofErr w:type="spellStart"/>
      <w:r w:rsidRPr="00075FBC">
        <w:rPr>
          <w:szCs w:val="22"/>
        </w:rPr>
        <w:t>συνταγογράφηση</w:t>
      </w:r>
      <w:proofErr w:type="spellEnd"/>
      <w:r w:rsidRPr="00075FBC">
        <w:rPr>
          <w:szCs w:val="22"/>
        </w:rPr>
        <w:t xml:space="preserve"> </w:t>
      </w:r>
      <w:proofErr w:type="spellStart"/>
      <w:r w:rsidRPr="00075FBC">
        <w:t>ατορβαστατίνης</w:t>
      </w:r>
      <w:proofErr w:type="spellEnd"/>
      <w:r w:rsidRPr="00075FBC">
        <w:t xml:space="preserve"> με κολχικίνη</w:t>
      </w:r>
      <w:r w:rsidRPr="00075FBC">
        <w:rPr>
          <w:szCs w:val="22"/>
        </w:rPr>
        <w:t>.</w:t>
      </w:r>
    </w:p>
    <w:p w:rsidR="00075FBC" w:rsidRPr="00075FBC" w:rsidRDefault="00075FBC" w:rsidP="00075FBC">
      <w:pPr>
        <w:jc w:val="both"/>
        <w:rPr>
          <w:b/>
          <w:szCs w:val="22"/>
        </w:rPr>
      </w:pPr>
    </w:p>
    <w:p w:rsidR="00075FBC" w:rsidRPr="00075FBC" w:rsidRDefault="00075FBC" w:rsidP="00075FBC">
      <w:pPr>
        <w:widowControl/>
        <w:spacing w:after="120"/>
        <w:jc w:val="both"/>
        <w:rPr>
          <w:iCs/>
          <w:szCs w:val="22"/>
          <w:u w:val="single"/>
        </w:rPr>
      </w:pPr>
      <w:r w:rsidRPr="00075FBC">
        <w:rPr>
          <w:iCs/>
          <w:szCs w:val="22"/>
          <w:u w:val="single"/>
        </w:rPr>
        <w:t xml:space="preserve">Επίδραση της </w:t>
      </w:r>
      <w:proofErr w:type="spellStart"/>
      <w:r w:rsidRPr="00075FBC">
        <w:rPr>
          <w:iCs/>
          <w:szCs w:val="22"/>
          <w:u w:val="single"/>
        </w:rPr>
        <w:t>ατορβαστατίνης</w:t>
      </w:r>
      <w:proofErr w:type="spellEnd"/>
      <w:r w:rsidRPr="00075FBC">
        <w:rPr>
          <w:iCs/>
          <w:szCs w:val="22"/>
          <w:u w:val="single"/>
        </w:rPr>
        <w:t xml:space="preserve"> σε </w:t>
      </w:r>
      <w:proofErr w:type="spellStart"/>
      <w:r w:rsidRPr="00075FBC">
        <w:rPr>
          <w:iCs/>
          <w:szCs w:val="22"/>
          <w:u w:val="single"/>
        </w:rPr>
        <w:t>συγχορηγούμενα</w:t>
      </w:r>
      <w:proofErr w:type="spellEnd"/>
      <w:r w:rsidRPr="00075FBC">
        <w:rPr>
          <w:iCs/>
          <w:szCs w:val="22"/>
          <w:u w:val="single"/>
        </w:rPr>
        <w:t xml:space="preserve"> φαρμακευτικά προϊόντα</w:t>
      </w:r>
    </w:p>
    <w:p w:rsidR="00075FBC" w:rsidRPr="00075FBC" w:rsidRDefault="00075FBC" w:rsidP="00075FBC">
      <w:pPr>
        <w:widowControl/>
        <w:spacing w:after="120"/>
        <w:jc w:val="both"/>
        <w:rPr>
          <w:i/>
          <w:iCs/>
          <w:szCs w:val="22"/>
        </w:rPr>
      </w:pPr>
      <w:proofErr w:type="spellStart"/>
      <w:r w:rsidRPr="00075FBC">
        <w:rPr>
          <w:i/>
          <w:iCs/>
          <w:szCs w:val="22"/>
        </w:rPr>
        <w:t>Διγοξίνη</w:t>
      </w:r>
      <w:proofErr w:type="spellEnd"/>
      <w:r w:rsidRPr="00075FBC">
        <w:rPr>
          <w:i/>
          <w:iCs/>
          <w:szCs w:val="22"/>
        </w:rPr>
        <w:t xml:space="preserve"> </w:t>
      </w:r>
    </w:p>
    <w:p w:rsidR="00075FBC" w:rsidRPr="00075FBC" w:rsidRDefault="00075FBC" w:rsidP="00075FBC">
      <w:pPr>
        <w:widowControl/>
        <w:jc w:val="both"/>
        <w:rPr>
          <w:szCs w:val="22"/>
        </w:rPr>
      </w:pPr>
      <w:r w:rsidRPr="00075FBC">
        <w:rPr>
          <w:szCs w:val="22"/>
        </w:rPr>
        <w:t xml:space="preserve">Όταν </w:t>
      </w:r>
      <w:proofErr w:type="spellStart"/>
      <w:r w:rsidRPr="00075FBC">
        <w:rPr>
          <w:szCs w:val="22"/>
        </w:rPr>
        <w:t>συγχορηγήθηκαν</w:t>
      </w:r>
      <w:proofErr w:type="spellEnd"/>
      <w:r w:rsidRPr="00075FBC">
        <w:rPr>
          <w:szCs w:val="22"/>
        </w:rPr>
        <w:t xml:space="preserve"> πολλαπλές δόσεις </w:t>
      </w:r>
      <w:proofErr w:type="spellStart"/>
      <w:r w:rsidRPr="00075FBC">
        <w:rPr>
          <w:szCs w:val="22"/>
        </w:rPr>
        <w:t>διγοξίνης</w:t>
      </w:r>
      <w:proofErr w:type="spellEnd"/>
      <w:r w:rsidRPr="00075FBC">
        <w:rPr>
          <w:szCs w:val="22"/>
        </w:rPr>
        <w:t xml:space="preserve"> με 10 </w:t>
      </w:r>
      <w:proofErr w:type="spellStart"/>
      <w:r w:rsidRPr="00075FBC">
        <w:rPr>
          <w:szCs w:val="22"/>
        </w:rPr>
        <w:t>mg</w:t>
      </w:r>
      <w:proofErr w:type="spellEnd"/>
      <w:r w:rsidRPr="00075FBC">
        <w:rPr>
          <w:szCs w:val="22"/>
        </w:rPr>
        <w:t xml:space="preserve"> </w:t>
      </w:r>
      <w:proofErr w:type="spellStart"/>
      <w:r w:rsidRPr="00075FBC">
        <w:rPr>
          <w:szCs w:val="22"/>
        </w:rPr>
        <w:t>ατορβαστατίνης</w:t>
      </w:r>
      <w:proofErr w:type="spellEnd"/>
      <w:r w:rsidRPr="00075FBC">
        <w:rPr>
          <w:szCs w:val="22"/>
        </w:rPr>
        <w:t xml:space="preserve"> οι συγκεντρώσεις της </w:t>
      </w:r>
      <w:proofErr w:type="spellStart"/>
      <w:r w:rsidRPr="00075FBC">
        <w:rPr>
          <w:szCs w:val="22"/>
        </w:rPr>
        <w:t>διγοξίνης</w:t>
      </w:r>
      <w:proofErr w:type="spellEnd"/>
      <w:r w:rsidRPr="00075FBC">
        <w:rPr>
          <w:szCs w:val="22"/>
        </w:rPr>
        <w:t xml:space="preserve"> στο πλάσμα στη σταθεροποιημένη κατάσταση αυξήθηκαν ελαφρώς. Ασθενείς που λαμβάνουν </w:t>
      </w:r>
      <w:proofErr w:type="spellStart"/>
      <w:r w:rsidRPr="00075FBC">
        <w:rPr>
          <w:szCs w:val="22"/>
        </w:rPr>
        <w:t>διγοξίνη</w:t>
      </w:r>
      <w:proofErr w:type="spellEnd"/>
      <w:r w:rsidRPr="00075FBC">
        <w:rPr>
          <w:szCs w:val="22"/>
        </w:rPr>
        <w:t xml:space="preserve"> πρέπει να παρακολουθούνται επισταμένως.</w:t>
      </w:r>
    </w:p>
    <w:p w:rsidR="00075FBC" w:rsidRPr="00075FBC" w:rsidRDefault="00075FBC" w:rsidP="00075FBC">
      <w:pPr>
        <w:widowControl/>
        <w:jc w:val="both"/>
        <w:rPr>
          <w:szCs w:val="22"/>
        </w:rPr>
      </w:pPr>
    </w:p>
    <w:p w:rsidR="00075FBC" w:rsidRPr="00075FBC" w:rsidRDefault="00075FBC" w:rsidP="00075FBC">
      <w:pPr>
        <w:widowControl/>
        <w:spacing w:after="120"/>
        <w:jc w:val="both"/>
        <w:rPr>
          <w:i/>
          <w:iCs/>
          <w:szCs w:val="22"/>
        </w:rPr>
      </w:pPr>
      <w:r w:rsidRPr="00075FBC">
        <w:rPr>
          <w:i/>
          <w:iCs/>
          <w:szCs w:val="22"/>
        </w:rPr>
        <w:t xml:space="preserve">Από του στόματος αντισυλληπτικά </w:t>
      </w:r>
    </w:p>
    <w:p w:rsidR="00075FBC" w:rsidRPr="00075FBC" w:rsidRDefault="00075FBC" w:rsidP="00075FBC">
      <w:pPr>
        <w:widowControl/>
        <w:jc w:val="both"/>
        <w:rPr>
          <w:b/>
          <w:szCs w:val="22"/>
        </w:rPr>
      </w:pPr>
      <w:r w:rsidRPr="00075FBC">
        <w:rPr>
          <w:szCs w:val="22"/>
        </w:rPr>
        <w:t xml:space="preserve">Η </w:t>
      </w:r>
      <w:proofErr w:type="spellStart"/>
      <w:r w:rsidRPr="00075FBC">
        <w:rPr>
          <w:szCs w:val="22"/>
        </w:rPr>
        <w:t>συγχορήγηση</w:t>
      </w:r>
      <w:proofErr w:type="spellEnd"/>
      <w:r w:rsidRPr="00075FBC">
        <w:rPr>
          <w:szCs w:val="22"/>
        </w:rPr>
        <w:t xml:space="preserve"> </w:t>
      </w:r>
      <w:proofErr w:type="spellStart"/>
      <w:r w:rsidRPr="00075FBC">
        <w:t>ατορβαστατίνης</w:t>
      </w:r>
      <w:proofErr w:type="spellEnd"/>
      <w:r w:rsidRPr="00075FBC">
        <w:t xml:space="preserve"> </w:t>
      </w:r>
      <w:r w:rsidRPr="00075FBC">
        <w:rPr>
          <w:szCs w:val="22"/>
        </w:rPr>
        <w:t xml:space="preserve">με ένα από του στόματος χορηγούμενο αντισυλληπτικό προκαλεί αύξηση των συγκεντρώσεων της </w:t>
      </w:r>
      <w:proofErr w:type="spellStart"/>
      <w:r w:rsidRPr="00075FBC">
        <w:rPr>
          <w:szCs w:val="22"/>
        </w:rPr>
        <w:t>νοραιθυνδρόνης</w:t>
      </w:r>
      <w:proofErr w:type="spellEnd"/>
      <w:r w:rsidRPr="00075FBC">
        <w:rPr>
          <w:szCs w:val="22"/>
        </w:rPr>
        <w:t xml:space="preserve"> και της </w:t>
      </w:r>
      <w:proofErr w:type="spellStart"/>
      <w:r w:rsidRPr="00075FBC">
        <w:rPr>
          <w:szCs w:val="22"/>
        </w:rPr>
        <w:t>αιθυνυλ</w:t>
      </w:r>
      <w:proofErr w:type="spellEnd"/>
      <w:r w:rsidRPr="00075FBC">
        <w:rPr>
          <w:szCs w:val="22"/>
        </w:rPr>
        <w:t>-</w:t>
      </w:r>
      <w:proofErr w:type="spellStart"/>
      <w:r w:rsidRPr="00075FBC">
        <w:rPr>
          <w:szCs w:val="22"/>
        </w:rPr>
        <w:t>οιστραδιόλης</w:t>
      </w:r>
      <w:proofErr w:type="spellEnd"/>
      <w:r w:rsidRPr="00075FBC">
        <w:rPr>
          <w:szCs w:val="22"/>
        </w:rPr>
        <w:t xml:space="preserve"> στο πλάσμα. </w:t>
      </w:r>
    </w:p>
    <w:p w:rsidR="00075FBC" w:rsidRPr="00075FBC" w:rsidRDefault="00075FBC" w:rsidP="00075FBC">
      <w:pPr>
        <w:widowControl/>
        <w:jc w:val="both"/>
        <w:rPr>
          <w:szCs w:val="22"/>
        </w:rPr>
      </w:pPr>
    </w:p>
    <w:p w:rsidR="00075FBC" w:rsidRPr="00075FBC" w:rsidRDefault="00075FBC" w:rsidP="00075FBC">
      <w:pPr>
        <w:widowControl/>
        <w:spacing w:after="120"/>
        <w:jc w:val="both"/>
        <w:rPr>
          <w:b/>
          <w:i/>
          <w:iCs/>
          <w:szCs w:val="22"/>
        </w:rPr>
      </w:pPr>
      <w:proofErr w:type="spellStart"/>
      <w:r w:rsidRPr="00075FBC">
        <w:rPr>
          <w:i/>
          <w:iCs/>
          <w:szCs w:val="22"/>
        </w:rPr>
        <w:t>Βαρφαρίνη</w:t>
      </w:r>
      <w:proofErr w:type="spellEnd"/>
      <w:r w:rsidRPr="00075FBC">
        <w:rPr>
          <w:b/>
          <w:i/>
          <w:iCs/>
          <w:szCs w:val="22"/>
        </w:rPr>
        <w:t xml:space="preserve"> </w:t>
      </w:r>
    </w:p>
    <w:p w:rsidR="00075FBC" w:rsidRPr="00075FBC" w:rsidRDefault="00075FBC" w:rsidP="00075FBC">
      <w:pPr>
        <w:widowControl/>
        <w:jc w:val="both"/>
        <w:rPr>
          <w:szCs w:val="22"/>
        </w:rPr>
      </w:pPr>
      <w:r w:rsidRPr="00075FBC">
        <w:rPr>
          <w:szCs w:val="22"/>
        </w:rPr>
        <w:t xml:space="preserve">Σε μια κλινική μελέτη με ασθενείς οι οποίοι ελάμβαναν χρόνια θεραπεία </w:t>
      </w:r>
      <w:proofErr w:type="spellStart"/>
      <w:r w:rsidRPr="00075FBC">
        <w:rPr>
          <w:szCs w:val="22"/>
        </w:rPr>
        <w:t>βαρφαρίνης</w:t>
      </w:r>
      <w:proofErr w:type="spellEnd"/>
      <w:r w:rsidRPr="00075FBC">
        <w:rPr>
          <w:szCs w:val="22"/>
        </w:rPr>
        <w:t xml:space="preserve">, η </w:t>
      </w:r>
      <w:proofErr w:type="spellStart"/>
      <w:r w:rsidRPr="00075FBC">
        <w:rPr>
          <w:szCs w:val="22"/>
        </w:rPr>
        <w:t>συγχορήγηση</w:t>
      </w:r>
      <w:proofErr w:type="spellEnd"/>
      <w:r w:rsidRPr="00075FBC">
        <w:rPr>
          <w:szCs w:val="22"/>
        </w:rPr>
        <w:t xml:space="preserve"> 80 </w:t>
      </w:r>
      <w:proofErr w:type="spellStart"/>
      <w:r w:rsidRPr="00075FBC">
        <w:rPr>
          <w:szCs w:val="22"/>
        </w:rPr>
        <w:t>mg</w:t>
      </w:r>
      <w:proofErr w:type="spellEnd"/>
      <w:r w:rsidRPr="00075FBC">
        <w:rPr>
          <w:szCs w:val="22"/>
        </w:rPr>
        <w:t xml:space="preserve"> </w:t>
      </w:r>
      <w:proofErr w:type="spellStart"/>
      <w:r w:rsidRPr="00075FBC">
        <w:rPr>
          <w:szCs w:val="22"/>
        </w:rPr>
        <w:t>ατορβαστατίνης</w:t>
      </w:r>
      <w:proofErr w:type="spellEnd"/>
      <w:r w:rsidRPr="00075FBC">
        <w:rPr>
          <w:szCs w:val="22"/>
        </w:rPr>
        <w:t xml:space="preserve"> ημερησίως με </w:t>
      </w:r>
      <w:proofErr w:type="spellStart"/>
      <w:r w:rsidRPr="00075FBC">
        <w:rPr>
          <w:szCs w:val="22"/>
        </w:rPr>
        <w:t>βαρφαρίνη</w:t>
      </w:r>
      <w:proofErr w:type="spellEnd"/>
      <w:r w:rsidRPr="00075FBC">
        <w:rPr>
          <w:szCs w:val="22"/>
        </w:rPr>
        <w:t xml:space="preserve"> προκάλεσε μια μικρή μείωση κατά 1,7 δευτερόλεπτα στον χρόνο προθρομβίνης κατά τις πρώτες 4 ημέρες θεραπείας, η οποία επέστρεψε σε φυσιολογικά επίπεδα μέσα στις πρώτες 15 ημέρες θεραπείας με </w:t>
      </w:r>
      <w:proofErr w:type="spellStart"/>
      <w:r w:rsidRPr="00075FBC">
        <w:rPr>
          <w:szCs w:val="22"/>
        </w:rPr>
        <w:t>ατορβαστατίνη</w:t>
      </w:r>
      <w:proofErr w:type="spellEnd"/>
      <w:r w:rsidRPr="00075FBC">
        <w:rPr>
          <w:szCs w:val="22"/>
        </w:rPr>
        <w:t xml:space="preserve">. Μολονότι έχουν αναφερθεί σε πολύ σπάνιες περιπτώσεις κλινικά σημαντικές αλληλεπιδράσεις με αντιπηκτικά, ο χρόνος προθρομβίνης θα πρέπει να προσδιορίζεται πριν την έναρξη της θεραπείας με </w:t>
      </w:r>
      <w:proofErr w:type="spellStart"/>
      <w:r w:rsidRPr="00075FBC">
        <w:rPr>
          <w:szCs w:val="22"/>
        </w:rPr>
        <w:t>ατορβαστατίνη</w:t>
      </w:r>
      <w:proofErr w:type="spellEnd"/>
      <w:r w:rsidRPr="00075FBC">
        <w:rPr>
          <w:szCs w:val="22"/>
        </w:rPr>
        <w:t xml:space="preserve"> σε ασθενείς οι οποίοι λαμβάνουν </w:t>
      </w:r>
      <w:proofErr w:type="spellStart"/>
      <w:r w:rsidRPr="00075FBC">
        <w:rPr>
          <w:szCs w:val="22"/>
        </w:rPr>
        <w:t>κουμαρινικά</w:t>
      </w:r>
      <w:proofErr w:type="spellEnd"/>
      <w:r w:rsidRPr="00075FBC">
        <w:rPr>
          <w:szCs w:val="22"/>
        </w:rPr>
        <w:t xml:space="preserve"> αντιπηκτικά και αρκετά συχνά κατά τα αρχικά στάδια της θεραπείας για να διασφαλιστεί ότι δεν λαμβάνουν χώρα σημαντικές μεταβολές του χρόνου προθρομβίνης. Όταν τεκμηριωθεί σταθεροποίηση του χρόνου προθρομβίνης, ο χρόνος προθρομβίνης μπορεί να παρακολουθείται στα συνήθη χρονικά διαστήματα τα οποία προτείνονται σε ασθενείς που λαμβάνουν </w:t>
      </w:r>
      <w:proofErr w:type="spellStart"/>
      <w:r w:rsidRPr="00075FBC">
        <w:rPr>
          <w:szCs w:val="22"/>
        </w:rPr>
        <w:t>κουμαρινικά</w:t>
      </w:r>
      <w:proofErr w:type="spellEnd"/>
      <w:r w:rsidRPr="00075FBC">
        <w:rPr>
          <w:szCs w:val="22"/>
        </w:rPr>
        <w:t xml:space="preserve"> αντιπηκτικά. Εάν η δοσολογία της </w:t>
      </w:r>
      <w:proofErr w:type="spellStart"/>
      <w:r w:rsidRPr="00075FBC">
        <w:rPr>
          <w:szCs w:val="22"/>
        </w:rPr>
        <w:t>ατορβαστατίνης</w:t>
      </w:r>
      <w:proofErr w:type="spellEnd"/>
      <w:r w:rsidRPr="00075FBC">
        <w:rPr>
          <w:szCs w:val="22"/>
        </w:rPr>
        <w:t xml:space="preserve"> μεταβληθεί ή διακοπεί, θα πρέπει να ακολουθηθεί η ίδια διαδικασία. Η θεραπεία με </w:t>
      </w:r>
      <w:proofErr w:type="spellStart"/>
      <w:r w:rsidRPr="00075FBC">
        <w:rPr>
          <w:szCs w:val="22"/>
        </w:rPr>
        <w:t>ατορβαστατίνη</w:t>
      </w:r>
      <w:proofErr w:type="spellEnd"/>
      <w:r w:rsidRPr="00075FBC">
        <w:rPr>
          <w:szCs w:val="22"/>
        </w:rPr>
        <w:t xml:space="preserve"> δεν έχει συσχετισθεί με αιμορραγία ή μεταβολές στο χρόνο προθρομβίνης σε ασθενείς οι οποίοι δεν λαμβάνουν αντιπηκτικά. </w:t>
      </w:r>
    </w:p>
    <w:p w:rsidR="00075FBC" w:rsidRPr="00075FBC" w:rsidRDefault="00075FBC" w:rsidP="00075FBC">
      <w:pPr>
        <w:widowControl/>
        <w:jc w:val="both"/>
        <w:rPr>
          <w:b/>
          <w:szCs w:val="22"/>
        </w:rPr>
      </w:pPr>
    </w:p>
    <w:p w:rsidR="00075FBC" w:rsidRPr="00075FBC" w:rsidRDefault="00075FBC" w:rsidP="00075FBC">
      <w:pPr>
        <w:spacing w:after="120"/>
        <w:jc w:val="both"/>
        <w:rPr>
          <w:szCs w:val="22"/>
          <w:u w:val="single"/>
        </w:rPr>
      </w:pPr>
      <w:r w:rsidRPr="00075FBC">
        <w:rPr>
          <w:szCs w:val="22"/>
          <w:u w:val="single"/>
        </w:rPr>
        <w:t>Παιδιατρικός πληθυσμός</w:t>
      </w:r>
    </w:p>
    <w:p w:rsidR="00075FBC" w:rsidRPr="00075FBC" w:rsidRDefault="00075FBC" w:rsidP="00075FBC">
      <w:pPr>
        <w:jc w:val="both"/>
        <w:rPr>
          <w:szCs w:val="22"/>
          <w:lang w:eastAsia="en-GB"/>
        </w:rPr>
      </w:pPr>
      <w:r w:rsidRPr="00075FBC">
        <w:rPr>
          <w:szCs w:val="22"/>
          <w:lang w:eastAsia="en-GB"/>
        </w:rPr>
        <w:t>Μελέτες φαρμακευτικών αλληλεπιδράσεων έχουν διεξαχθεί μόνο σε ενήλικες. Ο βαθμός των αλληλεπιδράσεων στην παιδιατρική πληθυσμιακή ομάδα δεν είναι γνωστός. Οι ως άνω αναφερόμενες αλληλεπιδράσεις για τους ενήλικες και οι προειδοποιήσεις στην παράγραφο 4.4 θα πρέπει να λαμβάνονται υπόψη για τους παιδιατρικούς ασθενείς.</w:t>
      </w:r>
    </w:p>
    <w:p w:rsidR="00075FBC" w:rsidRPr="00075FBC" w:rsidRDefault="00075FBC" w:rsidP="00075FBC">
      <w:pPr>
        <w:jc w:val="both"/>
        <w:rPr>
          <w:szCs w:val="22"/>
          <w:lang w:eastAsia="en-GB"/>
        </w:rPr>
      </w:pPr>
    </w:p>
    <w:p w:rsidR="00075FBC" w:rsidRPr="00075FBC" w:rsidRDefault="00075FBC" w:rsidP="00075FBC">
      <w:pPr>
        <w:jc w:val="both"/>
        <w:rPr>
          <w:szCs w:val="22"/>
        </w:rPr>
      </w:pPr>
      <w:r w:rsidRPr="00075FBC">
        <w:rPr>
          <w:szCs w:val="22"/>
          <w:u w:val="single"/>
        </w:rPr>
        <w:t xml:space="preserve">Πίνακας </w:t>
      </w:r>
      <w:r w:rsidRPr="00075FBC">
        <w:rPr>
          <w:rFonts w:eastAsia="MS Mincho"/>
          <w:szCs w:val="22"/>
          <w:u w:val="single"/>
          <w:lang w:eastAsia="ja-JP" w:bidi="te-IN"/>
        </w:rPr>
        <w:t xml:space="preserve">1: Επιδράσεις </w:t>
      </w:r>
      <w:proofErr w:type="spellStart"/>
      <w:r w:rsidRPr="00075FBC">
        <w:rPr>
          <w:rFonts w:eastAsia="MS Mincho"/>
          <w:szCs w:val="22"/>
          <w:u w:val="single"/>
          <w:lang w:eastAsia="ja-JP" w:bidi="te-IN"/>
        </w:rPr>
        <w:t>συγχορηγούμενων</w:t>
      </w:r>
      <w:proofErr w:type="spellEnd"/>
      <w:r w:rsidRPr="00075FBC">
        <w:rPr>
          <w:rFonts w:eastAsia="MS Mincho"/>
          <w:szCs w:val="22"/>
          <w:u w:val="single"/>
          <w:lang w:eastAsia="ja-JP" w:bidi="te-IN"/>
        </w:rPr>
        <w:t xml:space="preserve"> φαρμακευτικών προϊόντων στη </w:t>
      </w:r>
      <w:proofErr w:type="spellStart"/>
      <w:r w:rsidRPr="00075FBC">
        <w:rPr>
          <w:rFonts w:eastAsia="MS Mincho"/>
          <w:szCs w:val="22"/>
          <w:u w:val="single"/>
          <w:lang w:eastAsia="ja-JP" w:bidi="te-IN"/>
        </w:rPr>
        <w:t>φαρμακοκινητική</w:t>
      </w:r>
      <w:proofErr w:type="spellEnd"/>
      <w:r w:rsidRPr="00075FBC">
        <w:rPr>
          <w:rFonts w:eastAsia="MS Mincho"/>
          <w:szCs w:val="22"/>
          <w:u w:val="single"/>
          <w:lang w:eastAsia="ja-JP" w:bidi="te-IN"/>
        </w:rPr>
        <w:t xml:space="preserve"> της </w:t>
      </w:r>
      <w:proofErr w:type="spellStart"/>
      <w:r w:rsidRPr="00075FBC">
        <w:rPr>
          <w:rFonts w:eastAsia="MS Mincho"/>
          <w:szCs w:val="22"/>
          <w:u w:val="single"/>
          <w:lang w:eastAsia="ja-JP" w:bidi="te-IN"/>
        </w:rPr>
        <w:t>ατορβαστατίνης</w:t>
      </w:r>
      <w:proofErr w:type="spellEnd"/>
    </w:p>
    <w:p w:rsidR="00075FBC" w:rsidRPr="00075FBC" w:rsidRDefault="00075FBC" w:rsidP="00075FBC">
      <w:pPr>
        <w:jc w:val="both"/>
        <w:rPr>
          <w:szCs w:val="22"/>
        </w:rPr>
      </w:pPr>
    </w:p>
    <w:tbl>
      <w:tblPr>
        <w:tblpPr w:leftFromText="180" w:rightFromText="180" w:vertAnchor="text" w:tblpXSpec="center" w:tblpY="1"/>
        <w:tblOverlap w:val="never"/>
        <w:tblW w:w="87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35"/>
        <w:gridCol w:w="26"/>
        <w:gridCol w:w="1739"/>
        <w:gridCol w:w="40"/>
        <w:gridCol w:w="1275"/>
        <w:gridCol w:w="2705"/>
        <w:gridCol w:w="73"/>
      </w:tblGrid>
      <w:tr w:rsidR="00075FBC" w:rsidRPr="00075FBC" w:rsidTr="00C27A36">
        <w:trPr>
          <w:gridAfter w:val="1"/>
          <w:trHeight w:val="149"/>
          <w:jc w:val="center"/>
        </w:trPr>
        <w:tc>
          <w:tcPr>
            <w:tcW w:w="2962" w:type="dxa"/>
            <w:vMerge w:val="restart"/>
            <w:shd w:val="clear" w:color="auto" w:fill="auto"/>
          </w:tcPr>
          <w:p w:rsidR="00075FBC" w:rsidRPr="00075FBC" w:rsidRDefault="00075FBC" w:rsidP="00075FBC">
            <w:pPr>
              <w:jc w:val="both"/>
              <w:rPr>
                <w:color w:val="000000"/>
                <w:szCs w:val="22"/>
              </w:rPr>
            </w:pPr>
            <w:proofErr w:type="spellStart"/>
            <w:r w:rsidRPr="00075FBC">
              <w:rPr>
                <w:color w:val="000000"/>
                <w:szCs w:val="22"/>
              </w:rPr>
              <w:t>Συγχορηγούμενο</w:t>
            </w:r>
            <w:proofErr w:type="spellEnd"/>
            <w:r w:rsidRPr="00075FBC">
              <w:rPr>
                <w:color w:val="000000"/>
                <w:szCs w:val="22"/>
              </w:rPr>
              <w:t xml:space="preserve"> φαρμακευτικό προϊόν και </w:t>
            </w:r>
            <w:proofErr w:type="spellStart"/>
            <w:r w:rsidRPr="00075FBC">
              <w:rPr>
                <w:color w:val="000000"/>
                <w:szCs w:val="22"/>
              </w:rPr>
              <w:lastRenderedPageBreak/>
              <w:t>δοσολογικό</w:t>
            </w:r>
            <w:proofErr w:type="spellEnd"/>
            <w:r w:rsidRPr="00075FBC">
              <w:rPr>
                <w:color w:val="000000"/>
                <w:szCs w:val="22"/>
              </w:rPr>
              <w:t xml:space="preserve"> σχήμα</w:t>
            </w:r>
          </w:p>
        </w:tc>
        <w:tc>
          <w:tcPr>
            <w:tcW w:w="5831" w:type="dxa"/>
            <w:gridSpan w:val="5"/>
            <w:shd w:val="clear" w:color="auto" w:fill="auto"/>
          </w:tcPr>
          <w:p w:rsidR="00075FBC" w:rsidRPr="00075FBC" w:rsidRDefault="00075FBC" w:rsidP="00075FBC">
            <w:pPr>
              <w:jc w:val="both"/>
              <w:rPr>
                <w:color w:val="000000"/>
                <w:szCs w:val="22"/>
              </w:rPr>
            </w:pPr>
            <w:proofErr w:type="spellStart"/>
            <w:r w:rsidRPr="00075FBC">
              <w:rPr>
                <w:rFonts w:eastAsia="MS Mincho"/>
                <w:color w:val="000000"/>
                <w:szCs w:val="22"/>
                <w:lang w:eastAsia="ja-JP" w:bidi="te-IN"/>
              </w:rPr>
              <w:lastRenderedPageBreak/>
              <w:t>Ατορβαστατίνη</w:t>
            </w:r>
            <w:proofErr w:type="spellEnd"/>
          </w:p>
        </w:tc>
      </w:tr>
      <w:tr w:rsidR="00075FBC" w:rsidRPr="00075FBC" w:rsidTr="00C27A36">
        <w:trPr>
          <w:gridAfter w:val="1"/>
          <w:trHeight w:val="149"/>
          <w:jc w:val="center"/>
        </w:trPr>
        <w:tc>
          <w:tcPr>
            <w:tcW w:w="2962" w:type="dxa"/>
            <w:vMerge/>
            <w:shd w:val="clear" w:color="auto" w:fill="auto"/>
          </w:tcPr>
          <w:p w:rsidR="00075FBC" w:rsidRPr="00075FBC" w:rsidRDefault="00075FBC" w:rsidP="00075FBC">
            <w:pPr>
              <w:jc w:val="both"/>
              <w:rPr>
                <w:color w:val="000000"/>
                <w:szCs w:val="22"/>
              </w:rPr>
            </w:pPr>
          </w:p>
        </w:tc>
        <w:tc>
          <w:tcPr>
            <w:tcW w:w="1780" w:type="dxa"/>
            <w:gridSpan w:val="2"/>
            <w:shd w:val="clear" w:color="auto" w:fill="auto"/>
          </w:tcPr>
          <w:p w:rsidR="00075FBC" w:rsidRPr="00075FBC" w:rsidRDefault="00075FBC" w:rsidP="00075FBC">
            <w:pPr>
              <w:jc w:val="both"/>
              <w:rPr>
                <w:color w:val="000000"/>
                <w:szCs w:val="22"/>
              </w:rPr>
            </w:pPr>
            <w:r w:rsidRPr="00075FBC">
              <w:rPr>
                <w:color w:val="000000"/>
                <w:szCs w:val="22"/>
              </w:rPr>
              <w:t>Δοσολογία (</w:t>
            </w:r>
            <w:proofErr w:type="spellStart"/>
            <w:r w:rsidRPr="00075FBC">
              <w:rPr>
                <w:color w:val="000000"/>
                <w:szCs w:val="22"/>
              </w:rPr>
              <w:t>mg</w:t>
            </w:r>
            <w:proofErr w:type="spellEnd"/>
            <w:r w:rsidRPr="00075FBC">
              <w:rPr>
                <w:color w:val="000000"/>
                <w:szCs w:val="22"/>
              </w:rPr>
              <w:t>)</w:t>
            </w:r>
          </w:p>
        </w:tc>
        <w:tc>
          <w:tcPr>
            <w:tcW w:w="1320" w:type="dxa"/>
            <w:gridSpan w:val="2"/>
            <w:shd w:val="clear" w:color="auto" w:fill="auto"/>
          </w:tcPr>
          <w:p w:rsidR="00075FBC" w:rsidRPr="00075FBC" w:rsidRDefault="00075FBC" w:rsidP="00075FBC">
            <w:pPr>
              <w:jc w:val="both"/>
              <w:rPr>
                <w:color w:val="000000"/>
                <w:szCs w:val="22"/>
                <w:lang w:bidi="te-IN"/>
              </w:rPr>
            </w:pPr>
            <w:r w:rsidRPr="00075FBC">
              <w:rPr>
                <w:color w:val="000000"/>
                <w:szCs w:val="22"/>
              </w:rPr>
              <w:t xml:space="preserve">Μεταβολή </w:t>
            </w:r>
            <w:r w:rsidRPr="00075FBC">
              <w:rPr>
                <w:color w:val="000000"/>
                <w:szCs w:val="22"/>
              </w:rPr>
              <w:lastRenderedPageBreak/>
              <w:t>στην AUC</w:t>
            </w:r>
            <w:r w:rsidRPr="00075FBC">
              <w:rPr>
                <w:color w:val="000000"/>
                <w:szCs w:val="22"/>
                <w:vertAlign w:val="superscript"/>
              </w:rPr>
              <w:t>&amp;</w:t>
            </w:r>
          </w:p>
        </w:tc>
        <w:tc>
          <w:tcPr>
            <w:tcW w:w="2731" w:type="dxa"/>
            <w:shd w:val="clear" w:color="auto" w:fill="auto"/>
          </w:tcPr>
          <w:p w:rsidR="00075FBC" w:rsidRPr="00075FBC" w:rsidRDefault="00075FBC" w:rsidP="00075FBC">
            <w:pPr>
              <w:jc w:val="both"/>
              <w:rPr>
                <w:color w:val="000000"/>
                <w:szCs w:val="22"/>
              </w:rPr>
            </w:pPr>
            <w:r w:rsidRPr="00075FBC">
              <w:rPr>
                <w:color w:val="000000"/>
                <w:szCs w:val="22"/>
              </w:rPr>
              <w:lastRenderedPageBreak/>
              <w:t>Κλινική Σύσταση</w:t>
            </w:r>
            <w:r w:rsidRPr="00075FBC">
              <w:rPr>
                <w:color w:val="000000"/>
                <w:szCs w:val="22"/>
                <w:vertAlign w:val="superscript"/>
              </w:rPr>
              <w:t>#</w:t>
            </w:r>
          </w:p>
        </w:tc>
      </w:tr>
      <w:tr w:rsidR="00075FBC" w:rsidRPr="00075FBC" w:rsidTr="00C27A36">
        <w:trPr>
          <w:gridAfter w:val="1"/>
          <w:trHeight w:val="486"/>
          <w:jc w:val="center"/>
        </w:trPr>
        <w:tc>
          <w:tcPr>
            <w:tcW w:w="2962" w:type="dxa"/>
            <w:shd w:val="clear" w:color="auto" w:fill="auto"/>
          </w:tcPr>
          <w:p w:rsidR="00075FBC" w:rsidRPr="00075FBC" w:rsidRDefault="00075FBC" w:rsidP="00075FBC">
            <w:pPr>
              <w:jc w:val="both"/>
              <w:rPr>
                <w:color w:val="000000"/>
                <w:szCs w:val="22"/>
              </w:rPr>
            </w:pPr>
            <w:proofErr w:type="spellStart"/>
            <w:r w:rsidRPr="00075FBC">
              <w:rPr>
                <w:color w:val="000000"/>
                <w:szCs w:val="22"/>
              </w:rPr>
              <w:lastRenderedPageBreak/>
              <w:t>Tipranavir</w:t>
            </w:r>
            <w:proofErr w:type="spellEnd"/>
            <w:r w:rsidRPr="00075FBC">
              <w:rPr>
                <w:color w:val="000000"/>
                <w:szCs w:val="22"/>
              </w:rPr>
              <w:t xml:space="preserve"> 500 </w:t>
            </w:r>
            <w:proofErr w:type="spellStart"/>
            <w:r w:rsidRPr="00075FBC">
              <w:rPr>
                <w:color w:val="000000"/>
                <w:szCs w:val="22"/>
              </w:rPr>
              <w:t>mg</w:t>
            </w:r>
            <w:proofErr w:type="spellEnd"/>
            <w:r w:rsidRPr="00075FBC">
              <w:rPr>
                <w:color w:val="000000"/>
                <w:szCs w:val="22"/>
              </w:rPr>
              <w:t xml:space="preserve"> BID/ </w:t>
            </w:r>
            <w:proofErr w:type="spellStart"/>
            <w:r w:rsidRPr="00075FBC">
              <w:rPr>
                <w:color w:val="000000"/>
                <w:szCs w:val="22"/>
              </w:rPr>
              <w:t>Ριτοναβίρη</w:t>
            </w:r>
            <w:proofErr w:type="spellEnd"/>
            <w:r w:rsidRPr="00075FBC">
              <w:rPr>
                <w:color w:val="000000"/>
                <w:szCs w:val="22"/>
              </w:rPr>
              <w:t xml:space="preserve"> 200 </w:t>
            </w:r>
            <w:proofErr w:type="spellStart"/>
            <w:r w:rsidRPr="00075FBC">
              <w:rPr>
                <w:color w:val="000000"/>
                <w:szCs w:val="22"/>
              </w:rPr>
              <w:t>mg</w:t>
            </w:r>
            <w:proofErr w:type="spellEnd"/>
            <w:r w:rsidRPr="00075FBC">
              <w:rPr>
                <w:color w:val="000000"/>
                <w:szCs w:val="22"/>
              </w:rPr>
              <w:t xml:space="preserve"> BID, 8 ημέρες (ημέρες 14 έως 21)</w:t>
            </w:r>
          </w:p>
        </w:tc>
        <w:tc>
          <w:tcPr>
            <w:tcW w:w="1780" w:type="dxa"/>
            <w:gridSpan w:val="2"/>
            <w:shd w:val="clear" w:color="auto" w:fill="auto"/>
          </w:tcPr>
          <w:p w:rsidR="00075FBC" w:rsidRPr="00075FBC" w:rsidRDefault="00075FBC" w:rsidP="00075FBC">
            <w:pPr>
              <w:jc w:val="both"/>
              <w:rPr>
                <w:color w:val="000000"/>
                <w:szCs w:val="22"/>
              </w:rPr>
            </w:pPr>
            <w:r w:rsidRPr="00075FBC">
              <w:rPr>
                <w:color w:val="000000"/>
                <w:szCs w:val="22"/>
              </w:rPr>
              <w:t xml:space="preserve">40 </w:t>
            </w:r>
            <w:proofErr w:type="spellStart"/>
            <w:r w:rsidRPr="00075FBC">
              <w:rPr>
                <w:color w:val="000000"/>
                <w:szCs w:val="22"/>
              </w:rPr>
              <w:t>mg</w:t>
            </w:r>
            <w:proofErr w:type="spellEnd"/>
            <w:r w:rsidRPr="00075FBC">
              <w:rPr>
                <w:color w:val="000000"/>
                <w:szCs w:val="22"/>
              </w:rPr>
              <w:t xml:space="preserve"> την ημέρα 1, 10 </w:t>
            </w:r>
            <w:proofErr w:type="spellStart"/>
            <w:r w:rsidRPr="00075FBC">
              <w:rPr>
                <w:color w:val="000000"/>
                <w:szCs w:val="22"/>
              </w:rPr>
              <w:t>mg</w:t>
            </w:r>
            <w:proofErr w:type="spellEnd"/>
            <w:r w:rsidRPr="00075FBC">
              <w:rPr>
                <w:color w:val="000000"/>
                <w:szCs w:val="22"/>
              </w:rPr>
              <w:t xml:space="preserve"> την ημέρα 20</w:t>
            </w:r>
          </w:p>
        </w:tc>
        <w:tc>
          <w:tcPr>
            <w:tcW w:w="1320" w:type="dxa"/>
            <w:gridSpan w:val="2"/>
            <w:shd w:val="clear" w:color="auto" w:fill="auto"/>
          </w:tcPr>
          <w:p w:rsidR="00075FBC" w:rsidRPr="00075FBC" w:rsidRDefault="00075FBC" w:rsidP="00075FBC">
            <w:pPr>
              <w:jc w:val="both"/>
              <w:rPr>
                <w:color w:val="000000"/>
                <w:szCs w:val="22"/>
                <w:lang w:bidi="te-IN"/>
              </w:rPr>
            </w:pPr>
            <w:r w:rsidRPr="00075FBC">
              <w:rPr>
                <w:color w:val="000000"/>
                <w:szCs w:val="22"/>
                <w:lang w:bidi="te-IN"/>
              </w:rPr>
              <w:t>↑ 9,4 φορές</w:t>
            </w:r>
          </w:p>
        </w:tc>
        <w:tc>
          <w:tcPr>
            <w:tcW w:w="2731" w:type="dxa"/>
            <w:vMerge w:val="restart"/>
            <w:shd w:val="clear" w:color="auto" w:fill="auto"/>
          </w:tcPr>
          <w:p w:rsidR="00075FBC" w:rsidRPr="00075FBC" w:rsidRDefault="00075FBC" w:rsidP="00075FBC">
            <w:pPr>
              <w:jc w:val="both"/>
              <w:rPr>
                <w:color w:val="000000"/>
                <w:szCs w:val="22"/>
              </w:rPr>
            </w:pPr>
            <w:r w:rsidRPr="00075FBC">
              <w:rPr>
                <w:color w:val="000000"/>
                <w:szCs w:val="22"/>
              </w:rPr>
              <w:t xml:space="preserve">Στις περιπτώσεις όπου </w:t>
            </w:r>
            <w:proofErr w:type="spellStart"/>
            <w:r w:rsidRPr="00075FBC">
              <w:rPr>
                <w:color w:val="000000"/>
                <w:szCs w:val="22"/>
              </w:rPr>
              <w:t>συγχορήγηση</w:t>
            </w:r>
            <w:proofErr w:type="spellEnd"/>
            <w:r w:rsidRPr="00075FBC">
              <w:rPr>
                <w:color w:val="000000"/>
                <w:szCs w:val="22"/>
              </w:rPr>
              <w:t xml:space="preserve"> </w:t>
            </w:r>
            <w:proofErr w:type="spellStart"/>
            <w:r w:rsidRPr="00075FBC">
              <w:rPr>
                <w:color w:val="000000"/>
                <w:szCs w:val="22"/>
              </w:rPr>
              <w:t>ατορβαστατίνης</w:t>
            </w:r>
            <w:proofErr w:type="spellEnd"/>
            <w:r w:rsidRPr="00075FBC">
              <w:rPr>
                <w:color w:val="000000"/>
                <w:szCs w:val="22"/>
              </w:rPr>
              <w:t xml:space="preserve"> είναι απαραίτητη, η δόση της δεν θα πρέπει να υπερβαίνει τα 10 </w:t>
            </w:r>
            <w:proofErr w:type="spellStart"/>
            <w:r w:rsidRPr="00075FBC">
              <w:rPr>
                <w:color w:val="000000"/>
                <w:szCs w:val="22"/>
              </w:rPr>
              <w:t>mg</w:t>
            </w:r>
            <w:proofErr w:type="spellEnd"/>
            <w:r w:rsidRPr="00075FBC">
              <w:rPr>
                <w:color w:val="000000"/>
                <w:szCs w:val="22"/>
              </w:rPr>
              <w:t xml:space="preserve"> ημερησίως.  Συνιστάται κλινική παρακολούθηση αυτών των ασθενών.</w:t>
            </w:r>
          </w:p>
        </w:tc>
      </w:tr>
      <w:tr w:rsidR="00075FBC" w:rsidRPr="00075FBC" w:rsidTr="00C27A36">
        <w:trPr>
          <w:gridAfter w:val="1"/>
          <w:trHeight w:val="486"/>
          <w:jc w:val="center"/>
        </w:trPr>
        <w:tc>
          <w:tcPr>
            <w:tcW w:w="2962" w:type="dxa"/>
            <w:shd w:val="clear" w:color="auto" w:fill="auto"/>
          </w:tcPr>
          <w:p w:rsidR="00075FBC" w:rsidRPr="00075FBC" w:rsidRDefault="00075FBC" w:rsidP="00075FBC">
            <w:pPr>
              <w:jc w:val="both"/>
              <w:rPr>
                <w:color w:val="000000"/>
                <w:szCs w:val="22"/>
              </w:rPr>
            </w:pPr>
            <w:proofErr w:type="spellStart"/>
            <w:r w:rsidRPr="00075FBC">
              <w:rPr>
                <w:bCs/>
                <w:color w:val="222222"/>
              </w:rPr>
              <w:t>Τελαπρεβίρη</w:t>
            </w:r>
            <w:proofErr w:type="spellEnd"/>
            <w:r w:rsidRPr="00075FBC">
              <w:rPr>
                <w:rFonts w:ascii="Arial" w:hAnsi="Arial" w:cs="Arial"/>
                <w:color w:val="222222"/>
              </w:rPr>
              <w:t xml:space="preserve"> </w:t>
            </w:r>
            <w:r w:rsidRPr="00075FBC">
              <w:rPr>
                <w:color w:val="000000"/>
                <w:szCs w:val="22"/>
              </w:rPr>
              <w:t xml:space="preserve">750 </w:t>
            </w:r>
            <w:proofErr w:type="spellStart"/>
            <w:r w:rsidRPr="00075FBC">
              <w:rPr>
                <w:color w:val="000000"/>
                <w:szCs w:val="22"/>
              </w:rPr>
              <w:t>mg</w:t>
            </w:r>
            <w:proofErr w:type="spellEnd"/>
            <w:r w:rsidRPr="00075FBC">
              <w:rPr>
                <w:color w:val="000000"/>
                <w:szCs w:val="22"/>
              </w:rPr>
              <w:t xml:space="preserve"> ανά 8 ώρες, 10 ημέρες</w:t>
            </w:r>
          </w:p>
        </w:tc>
        <w:tc>
          <w:tcPr>
            <w:tcW w:w="1780" w:type="dxa"/>
            <w:gridSpan w:val="2"/>
            <w:shd w:val="clear" w:color="auto" w:fill="auto"/>
          </w:tcPr>
          <w:p w:rsidR="00075FBC" w:rsidRPr="00075FBC" w:rsidRDefault="00075FBC" w:rsidP="00075FBC">
            <w:pPr>
              <w:jc w:val="both"/>
              <w:rPr>
                <w:color w:val="000000"/>
                <w:szCs w:val="22"/>
              </w:rPr>
            </w:pPr>
            <w:r w:rsidRPr="00075FBC">
              <w:rPr>
                <w:color w:val="000000"/>
                <w:szCs w:val="22"/>
              </w:rPr>
              <w:t xml:space="preserve">20 </w:t>
            </w:r>
            <w:proofErr w:type="spellStart"/>
            <w:r w:rsidRPr="00075FBC">
              <w:rPr>
                <w:color w:val="000000"/>
                <w:szCs w:val="22"/>
              </w:rPr>
              <w:t>mg</w:t>
            </w:r>
            <w:proofErr w:type="spellEnd"/>
            <w:r w:rsidRPr="00075FBC">
              <w:rPr>
                <w:color w:val="000000"/>
                <w:szCs w:val="22"/>
              </w:rPr>
              <w:t>, SD</w:t>
            </w:r>
          </w:p>
        </w:tc>
        <w:tc>
          <w:tcPr>
            <w:tcW w:w="1320" w:type="dxa"/>
            <w:gridSpan w:val="2"/>
            <w:shd w:val="clear" w:color="auto" w:fill="auto"/>
          </w:tcPr>
          <w:p w:rsidR="00075FBC" w:rsidRPr="00075FBC" w:rsidRDefault="00075FBC" w:rsidP="00075FBC">
            <w:pPr>
              <w:jc w:val="both"/>
              <w:rPr>
                <w:color w:val="000000"/>
                <w:szCs w:val="22"/>
                <w:lang w:bidi="te-IN"/>
              </w:rPr>
            </w:pPr>
            <w:r w:rsidRPr="00075FBC">
              <w:rPr>
                <w:color w:val="000000"/>
                <w:szCs w:val="22"/>
              </w:rPr>
              <w:t xml:space="preserve">↑ 7,9 φορές </w:t>
            </w:r>
          </w:p>
        </w:tc>
        <w:tc>
          <w:tcPr>
            <w:tcW w:w="2731" w:type="dxa"/>
            <w:vMerge/>
            <w:shd w:val="clear" w:color="auto" w:fill="auto"/>
          </w:tcPr>
          <w:p w:rsidR="00075FBC" w:rsidRPr="00075FBC" w:rsidRDefault="00075FBC" w:rsidP="00075FBC">
            <w:pPr>
              <w:jc w:val="both"/>
              <w:rPr>
                <w:color w:val="000000"/>
                <w:szCs w:val="22"/>
              </w:rPr>
            </w:pPr>
          </w:p>
        </w:tc>
      </w:tr>
      <w:tr w:rsidR="00075FBC" w:rsidRPr="00075FBC" w:rsidTr="00C27A36">
        <w:trPr>
          <w:gridAfter w:val="1"/>
          <w:trHeight w:val="149"/>
          <w:jc w:val="center"/>
        </w:trPr>
        <w:tc>
          <w:tcPr>
            <w:tcW w:w="2962" w:type="dxa"/>
            <w:shd w:val="clear" w:color="auto" w:fill="auto"/>
          </w:tcPr>
          <w:p w:rsidR="00075FBC" w:rsidRPr="00075FBC" w:rsidRDefault="00075FBC" w:rsidP="00075FBC">
            <w:pPr>
              <w:jc w:val="both"/>
              <w:rPr>
                <w:color w:val="000000"/>
                <w:szCs w:val="22"/>
              </w:rPr>
            </w:pPr>
            <w:proofErr w:type="spellStart"/>
            <w:r w:rsidRPr="00075FBC">
              <w:rPr>
                <w:color w:val="000000"/>
                <w:szCs w:val="22"/>
              </w:rPr>
              <w:t>Κυκλοσπορίνη</w:t>
            </w:r>
            <w:proofErr w:type="spellEnd"/>
            <w:r w:rsidRPr="00075FBC">
              <w:rPr>
                <w:color w:val="000000"/>
                <w:szCs w:val="22"/>
              </w:rPr>
              <w:t xml:space="preserve"> 5,2 </w:t>
            </w:r>
            <w:proofErr w:type="spellStart"/>
            <w:r w:rsidRPr="00075FBC">
              <w:rPr>
                <w:color w:val="000000"/>
                <w:szCs w:val="22"/>
              </w:rPr>
              <w:t>mg</w:t>
            </w:r>
            <w:proofErr w:type="spellEnd"/>
            <w:r w:rsidRPr="00075FBC">
              <w:rPr>
                <w:color w:val="000000"/>
                <w:szCs w:val="22"/>
              </w:rPr>
              <w:t>/</w:t>
            </w:r>
            <w:proofErr w:type="spellStart"/>
            <w:r w:rsidRPr="00075FBC">
              <w:rPr>
                <w:color w:val="000000"/>
                <w:szCs w:val="22"/>
              </w:rPr>
              <w:t>kg</w:t>
            </w:r>
            <w:proofErr w:type="spellEnd"/>
            <w:r w:rsidRPr="00075FBC">
              <w:rPr>
                <w:color w:val="000000"/>
                <w:szCs w:val="22"/>
              </w:rPr>
              <w:t xml:space="preserve">/ημέρα, σταθερή δόση </w:t>
            </w:r>
          </w:p>
        </w:tc>
        <w:tc>
          <w:tcPr>
            <w:tcW w:w="1780" w:type="dxa"/>
            <w:gridSpan w:val="2"/>
            <w:shd w:val="clear" w:color="auto" w:fill="auto"/>
          </w:tcPr>
          <w:p w:rsidR="00075FBC" w:rsidRPr="00075FBC" w:rsidRDefault="00075FBC" w:rsidP="00075FBC">
            <w:pPr>
              <w:jc w:val="both"/>
              <w:rPr>
                <w:color w:val="000000"/>
                <w:szCs w:val="22"/>
              </w:rPr>
            </w:pPr>
            <w:r w:rsidRPr="00075FBC">
              <w:rPr>
                <w:color w:val="000000"/>
                <w:szCs w:val="22"/>
              </w:rPr>
              <w:t xml:space="preserve">10 </w:t>
            </w:r>
            <w:proofErr w:type="spellStart"/>
            <w:r w:rsidRPr="00075FBC">
              <w:rPr>
                <w:color w:val="000000"/>
                <w:szCs w:val="22"/>
              </w:rPr>
              <w:t>mg</w:t>
            </w:r>
            <w:proofErr w:type="spellEnd"/>
            <w:r w:rsidRPr="00075FBC">
              <w:rPr>
                <w:color w:val="000000"/>
                <w:szCs w:val="22"/>
              </w:rPr>
              <w:t xml:space="preserve"> OD για 28 ημέρες</w:t>
            </w:r>
          </w:p>
        </w:tc>
        <w:tc>
          <w:tcPr>
            <w:tcW w:w="1320" w:type="dxa"/>
            <w:gridSpan w:val="2"/>
            <w:shd w:val="clear" w:color="auto" w:fill="auto"/>
          </w:tcPr>
          <w:p w:rsidR="00075FBC" w:rsidRPr="00075FBC" w:rsidRDefault="00075FBC" w:rsidP="00075FBC">
            <w:pPr>
              <w:jc w:val="both"/>
              <w:rPr>
                <w:color w:val="000000"/>
                <w:szCs w:val="22"/>
                <w:lang w:bidi="te-IN"/>
              </w:rPr>
            </w:pPr>
            <w:r w:rsidRPr="00075FBC">
              <w:rPr>
                <w:color w:val="000000"/>
                <w:szCs w:val="22"/>
                <w:lang w:bidi="te-IN"/>
              </w:rPr>
              <w:t>↑ 8,7 φορές</w:t>
            </w:r>
          </w:p>
        </w:tc>
        <w:tc>
          <w:tcPr>
            <w:tcW w:w="2731" w:type="dxa"/>
            <w:vMerge/>
            <w:shd w:val="clear" w:color="auto" w:fill="auto"/>
          </w:tcPr>
          <w:p w:rsidR="00075FBC" w:rsidRPr="00075FBC" w:rsidRDefault="00075FBC" w:rsidP="00075FBC">
            <w:pPr>
              <w:jc w:val="both"/>
              <w:rPr>
                <w:color w:val="000000"/>
                <w:szCs w:val="22"/>
              </w:rPr>
            </w:pPr>
          </w:p>
        </w:tc>
      </w:tr>
      <w:tr w:rsidR="00075FBC" w:rsidRPr="00075FBC" w:rsidTr="00C27A36">
        <w:trPr>
          <w:gridAfter w:val="1"/>
          <w:trHeight w:val="149"/>
          <w:jc w:val="center"/>
        </w:trPr>
        <w:tc>
          <w:tcPr>
            <w:tcW w:w="2962" w:type="dxa"/>
            <w:shd w:val="clear" w:color="auto" w:fill="auto"/>
          </w:tcPr>
          <w:p w:rsidR="00075FBC" w:rsidRPr="00075FBC" w:rsidRDefault="00075FBC" w:rsidP="00075FBC">
            <w:pPr>
              <w:jc w:val="both"/>
              <w:rPr>
                <w:color w:val="000000"/>
                <w:szCs w:val="22"/>
              </w:rPr>
            </w:pPr>
            <w:proofErr w:type="spellStart"/>
            <w:r w:rsidRPr="00075FBC">
              <w:rPr>
                <w:color w:val="000000"/>
                <w:szCs w:val="22"/>
              </w:rPr>
              <w:t>Λοπιναβίρη</w:t>
            </w:r>
            <w:proofErr w:type="spellEnd"/>
            <w:r w:rsidRPr="00075FBC">
              <w:rPr>
                <w:color w:val="000000"/>
                <w:szCs w:val="22"/>
              </w:rPr>
              <w:t xml:space="preserve"> 400 </w:t>
            </w:r>
            <w:proofErr w:type="spellStart"/>
            <w:r w:rsidRPr="00075FBC">
              <w:rPr>
                <w:color w:val="000000"/>
                <w:szCs w:val="22"/>
              </w:rPr>
              <w:t>mg</w:t>
            </w:r>
            <w:proofErr w:type="spellEnd"/>
            <w:r w:rsidRPr="00075FBC">
              <w:rPr>
                <w:color w:val="000000"/>
                <w:szCs w:val="22"/>
              </w:rPr>
              <w:t xml:space="preserve"> BID/ </w:t>
            </w:r>
            <w:proofErr w:type="spellStart"/>
            <w:r w:rsidRPr="00075FBC">
              <w:rPr>
                <w:color w:val="000000"/>
                <w:szCs w:val="22"/>
              </w:rPr>
              <w:t>Ριτοναβίρη</w:t>
            </w:r>
            <w:proofErr w:type="spellEnd"/>
            <w:r w:rsidRPr="00075FBC">
              <w:rPr>
                <w:color w:val="000000"/>
                <w:szCs w:val="22"/>
              </w:rPr>
              <w:t xml:space="preserve"> 100 </w:t>
            </w:r>
            <w:proofErr w:type="spellStart"/>
            <w:r w:rsidRPr="00075FBC">
              <w:rPr>
                <w:color w:val="000000"/>
                <w:szCs w:val="22"/>
              </w:rPr>
              <w:t>mg</w:t>
            </w:r>
            <w:proofErr w:type="spellEnd"/>
            <w:r w:rsidRPr="00075FBC">
              <w:rPr>
                <w:color w:val="000000"/>
                <w:szCs w:val="22"/>
              </w:rPr>
              <w:t xml:space="preserve"> BID, 14 ημέρες</w:t>
            </w:r>
          </w:p>
        </w:tc>
        <w:tc>
          <w:tcPr>
            <w:tcW w:w="1780" w:type="dxa"/>
            <w:gridSpan w:val="2"/>
            <w:shd w:val="clear" w:color="auto" w:fill="auto"/>
          </w:tcPr>
          <w:p w:rsidR="00075FBC" w:rsidRPr="00075FBC" w:rsidRDefault="00075FBC" w:rsidP="00075FBC">
            <w:pPr>
              <w:jc w:val="both"/>
              <w:rPr>
                <w:color w:val="000000"/>
                <w:szCs w:val="22"/>
              </w:rPr>
            </w:pPr>
            <w:r w:rsidRPr="00075FBC">
              <w:rPr>
                <w:color w:val="000000"/>
                <w:szCs w:val="22"/>
              </w:rPr>
              <w:t xml:space="preserve">20 </w:t>
            </w:r>
            <w:proofErr w:type="spellStart"/>
            <w:r w:rsidRPr="00075FBC">
              <w:rPr>
                <w:color w:val="000000"/>
                <w:szCs w:val="22"/>
              </w:rPr>
              <w:t>mg</w:t>
            </w:r>
            <w:proofErr w:type="spellEnd"/>
            <w:r w:rsidRPr="00075FBC">
              <w:rPr>
                <w:color w:val="000000"/>
                <w:szCs w:val="22"/>
              </w:rPr>
              <w:t xml:space="preserve"> OD για 4 ημέρες</w:t>
            </w:r>
          </w:p>
        </w:tc>
        <w:tc>
          <w:tcPr>
            <w:tcW w:w="1320" w:type="dxa"/>
            <w:gridSpan w:val="2"/>
            <w:shd w:val="clear" w:color="auto" w:fill="auto"/>
          </w:tcPr>
          <w:p w:rsidR="00075FBC" w:rsidRPr="00075FBC" w:rsidRDefault="00075FBC" w:rsidP="00075FBC">
            <w:pPr>
              <w:jc w:val="both"/>
              <w:rPr>
                <w:color w:val="000000"/>
                <w:szCs w:val="22"/>
                <w:lang w:bidi="te-IN"/>
              </w:rPr>
            </w:pPr>
            <w:r w:rsidRPr="00075FBC">
              <w:rPr>
                <w:color w:val="000000"/>
                <w:szCs w:val="22"/>
                <w:lang w:bidi="te-IN"/>
              </w:rPr>
              <w:t>↑ 5,9 φορές</w:t>
            </w:r>
          </w:p>
        </w:tc>
        <w:tc>
          <w:tcPr>
            <w:tcW w:w="2731" w:type="dxa"/>
            <w:vMerge w:val="restart"/>
            <w:shd w:val="clear" w:color="auto" w:fill="auto"/>
          </w:tcPr>
          <w:p w:rsidR="00075FBC" w:rsidRPr="00075FBC" w:rsidRDefault="00075FBC" w:rsidP="00075FBC">
            <w:pPr>
              <w:jc w:val="both"/>
              <w:rPr>
                <w:color w:val="000000"/>
                <w:szCs w:val="22"/>
              </w:rPr>
            </w:pPr>
            <w:r w:rsidRPr="00075FBC">
              <w:rPr>
                <w:color w:val="000000"/>
                <w:szCs w:val="22"/>
              </w:rPr>
              <w:t xml:space="preserve">Στις περιπτώσεις όπου </w:t>
            </w:r>
            <w:proofErr w:type="spellStart"/>
            <w:r w:rsidRPr="00075FBC">
              <w:rPr>
                <w:color w:val="000000"/>
                <w:szCs w:val="22"/>
              </w:rPr>
              <w:t>συγχορήγηση</w:t>
            </w:r>
            <w:proofErr w:type="spellEnd"/>
            <w:r w:rsidRPr="00075FBC">
              <w:rPr>
                <w:color w:val="000000"/>
                <w:szCs w:val="22"/>
              </w:rPr>
              <w:t xml:space="preserve"> </w:t>
            </w:r>
            <w:proofErr w:type="spellStart"/>
            <w:r w:rsidRPr="00075FBC">
              <w:rPr>
                <w:color w:val="000000"/>
                <w:szCs w:val="22"/>
              </w:rPr>
              <w:t>ατορβαστατίνης</w:t>
            </w:r>
            <w:proofErr w:type="spellEnd"/>
            <w:r w:rsidRPr="00075FBC">
              <w:rPr>
                <w:color w:val="000000"/>
                <w:szCs w:val="22"/>
              </w:rPr>
              <w:t xml:space="preserve"> είναι απαραίτητη, συνιστάται χαμηλότερη δόση συντήρησης της </w:t>
            </w:r>
            <w:proofErr w:type="spellStart"/>
            <w:r w:rsidRPr="00075FBC">
              <w:rPr>
                <w:color w:val="000000"/>
                <w:szCs w:val="22"/>
              </w:rPr>
              <w:t>ατορβαστατίνης</w:t>
            </w:r>
            <w:proofErr w:type="spellEnd"/>
            <w:r w:rsidRPr="00075FBC">
              <w:rPr>
                <w:color w:val="000000"/>
                <w:szCs w:val="22"/>
              </w:rPr>
              <w:t xml:space="preserve">.  Συνιστάται κλινική παρακολούθηση των ασθενών των οποίων η δόση της </w:t>
            </w:r>
            <w:proofErr w:type="spellStart"/>
            <w:r w:rsidRPr="00075FBC">
              <w:rPr>
                <w:color w:val="000000"/>
                <w:szCs w:val="22"/>
              </w:rPr>
              <w:t>ατορβαστατίνης</w:t>
            </w:r>
            <w:proofErr w:type="spellEnd"/>
            <w:r w:rsidRPr="00075FBC">
              <w:rPr>
                <w:color w:val="000000"/>
                <w:szCs w:val="22"/>
              </w:rPr>
              <w:t xml:space="preserve"> υπερβαίνει τα 20 </w:t>
            </w:r>
            <w:proofErr w:type="spellStart"/>
            <w:r w:rsidRPr="00075FBC">
              <w:rPr>
                <w:color w:val="000000"/>
                <w:szCs w:val="22"/>
              </w:rPr>
              <w:t>mg</w:t>
            </w:r>
            <w:proofErr w:type="spellEnd"/>
            <w:r w:rsidRPr="00075FBC">
              <w:rPr>
                <w:color w:val="000000"/>
                <w:szCs w:val="22"/>
              </w:rPr>
              <w:t>.</w:t>
            </w:r>
          </w:p>
        </w:tc>
      </w:tr>
      <w:tr w:rsidR="00075FBC" w:rsidRPr="00075FBC" w:rsidTr="00C27A36">
        <w:trPr>
          <w:gridAfter w:val="1"/>
          <w:trHeight w:val="149"/>
          <w:jc w:val="center"/>
        </w:trPr>
        <w:tc>
          <w:tcPr>
            <w:tcW w:w="2962" w:type="dxa"/>
            <w:shd w:val="clear" w:color="auto" w:fill="auto"/>
          </w:tcPr>
          <w:p w:rsidR="00075FBC" w:rsidRPr="00075FBC" w:rsidRDefault="00075FBC" w:rsidP="00075FBC">
            <w:pPr>
              <w:jc w:val="both"/>
              <w:rPr>
                <w:color w:val="000000"/>
                <w:szCs w:val="22"/>
              </w:rPr>
            </w:pPr>
            <w:proofErr w:type="spellStart"/>
            <w:r w:rsidRPr="00075FBC">
              <w:rPr>
                <w:color w:val="000000"/>
                <w:szCs w:val="22"/>
              </w:rPr>
              <w:t>Κλαριθρομυκίνη</w:t>
            </w:r>
            <w:proofErr w:type="spellEnd"/>
            <w:r w:rsidRPr="00075FBC">
              <w:rPr>
                <w:color w:val="000000"/>
                <w:szCs w:val="22"/>
              </w:rPr>
              <w:t xml:space="preserve"> 500 </w:t>
            </w:r>
            <w:proofErr w:type="spellStart"/>
            <w:r w:rsidRPr="00075FBC">
              <w:rPr>
                <w:color w:val="000000"/>
                <w:szCs w:val="22"/>
              </w:rPr>
              <w:t>mg</w:t>
            </w:r>
            <w:proofErr w:type="spellEnd"/>
            <w:r w:rsidRPr="00075FBC">
              <w:rPr>
                <w:color w:val="000000"/>
                <w:szCs w:val="22"/>
              </w:rPr>
              <w:t xml:space="preserve"> BID, 9 ημέρες </w:t>
            </w:r>
          </w:p>
        </w:tc>
        <w:tc>
          <w:tcPr>
            <w:tcW w:w="1780" w:type="dxa"/>
            <w:gridSpan w:val="2"/>
            <w:shd w:val="clear" w:color="auto" w:fill="auto"/>
          </w:tcPr>
          <w:p w:rsidR="00075FBC" w:rsidRPr="00075FBC" w:rsidRDefault="00075FBC" w:rsidP="00075FBC">
            <w:pPr>
              <w:jc w:val="both"/>
              <w:rPr>
                <w:color w:val="000000"/>
                <w:szCs w:val="22"/>
              </w:rPr>
            </w:pPr>
            <w:r w:rsidRPr="00075FBC">
              <w:rPr>
                <w:color w:val="000000"/>
                <w:szCs w:val="22"/>
              </w:rPr>
              <w:t xml:space="preserve">80 </w:t>
            </w:r>
            <w:proofErr w:type="spellStart"/>
            <w:r w:rsidRPr="00075FBC">
              <w:rPr>
                <w:color w:val="000000"/>
                <w:szCs w:val="22"/>
              </w:rPr>
              <w:t>mg</w:t>
            </w:r>
            <w:proofErr w:type="spellEnd"/>
            <w:r w:rsidRPr="00075FBC">
              <w:rPr>
                <w:color w:val="000000"/>
                <w:szCs w:val="22"/>
              </w:rPr>
              <w:t xml:space="preserve"> OD για 8 ημέρες</w:t>
            </w:r>
          </w:p>
        </w:tc>
        <w:tc>
          <w:tcPr>
            <w:tcW w:w="1320" w:type="dxa"/>
            <w:gridSpan w:val="2"/>
            <w:shd w:val="clear" w:color="auto" w:fill="auto"/>
          </w:tcPr>
          <w:p w:rsidR="00075FBC" w:rsidRPr="00075FBC" w:rsidRDefault="00075FBC" w:rsidP="00075FBC">
            <w:pPr>
              <w:jc w:val="both"/>
              <w:rPr>
                <w:color w:val="000000"/>
                <w:szCs w:val="22"/>
                <w:lang w:bidi="te-IN"/>
              </w:rPr>
            </w:pPr>
            <w:r w:rsidRPr="00075FBC">
              <w:rPr>
                <w:color w:val="000000"/>
                <w:szCs w:val="22"/>
                <w:lang w:bidi="te-IN"/>
              </w:rPr>
              <w:t>↑ 4,4 φορές</w:t>
            </w:r>
          </w:p>
        </w:tc>
        <w:tc>
          <w:tcPr>
            <w:tcW w:w="2731" w:type="dxa"/>
            <w:vMerge/>
            <w:shd w:val="clear" w:color="auto" w:fill="auto"/>
          </w:tcPr>
          <w:p w:rsidR="00075FBC" w:rsidRPr="00075FBC" w:rsidRDefault="00075FBC" w:rsidP="00075FBC">
            <w:pPr>
              <w:jc w:val="both"/>
              <w:rPr>
                <w:color w:val="000000"/>
                <w:szCs w:val="22"/>
              </w:rPr>
            </w:pPr>
          </w:p>
        </w:tc>
      </w:tr>
      <w:tr w:rsidR="00075FBC" w:rsidRPr="00075FBC" w:rsidTr="00C27A36">
        <w:trPr>
          <w:gridAfter w:val="1"/>
          <w:trHeight w:val="149"/>
          <w:jc w:val="center"/>
        </w:trPr>
        <w:tc>
          <w:tcPr>
            <w:tcW w:w="2962" w:type="dxa"/>
            <w:shd w:val="clear" w:color="auto" w:fill="auto"/>
          </w:tcPr>
          <w:p w:rsidR="00075FBC" w:rsidRPr="00075FBC" w:rsidRDefault="00075FBC" w:rsidP="00075FBC">
            <w:pPr>
              <w:jc w:val="both"/>
              <w:rPr>
                <w:szCs w:val="22"/>
              </w:rPr>
            </w:pPr>
            <w:proofErr w:type="spellStart"/>
            <w:r w:rsidRPr="00075FBC">
              <w:rPr>
                <w:szCs w:val="22"/>
              </w:rPr>
              <w:t>Σακουϊναβίρη</w:t>
            </w:r>
            <w:proofErr w:type="spellEnd"/>
            <w:r w:rsidRPr="00075FBC">
              <w:rPr>
                <w:szCs w:val="22"/>
              </w:rPr>
              <w:t xml:space="preserve"> 400 </w:t>
            </w:r>
            <w:proofErr w:type="spellStart"/>
            <w:r w:rsidRPr="00075FBC">
              <w:rPr>
                <w:szCs w:val="22"/>
              </w:rPr>
              <w:t>mg</w:t>
            </w:r>
            <w:proofErr w:type="spellEnd"/>
            <w:r w:rsidRPr="00075FBC">
              <w:rPr>
                <w:szCs w:val="22"/>
              </w:rPr>
              <w:t xml:space="preserve"> BID / </w:t>
            </w:r>
            <w:r w:rsidRPr="00075FBC">
              <w:rPr>
                <w:color w:val="000000"/>
                <w:szCs w:val="22"/>
              </w:rPr>
              <w:t xml:space="preserve"> </w:t>
            </w:r>
            <w:proofErr w:type="spellStart"/>
            <w:r w:rsidRPr="00075FBC">
              <w:rPr>
                <w:color w:val="000000"/>
                <w:szCs w:val="22"/>
              </w:rPr>
              <w:t>Ριτοναβίρη</w:t>
            </w:r>
            <w:proofErr w:type="spellEnd"/>
            <w:r w:rsidRPr="00075FBC">
              <w:rPr>
                <w:color w:val="000000"/>
                <w:szCs w:val="22"/>
              </w:rPr>
              <w:t xml:space="preserve"> (</w:t>
            </w:r>
            <w:r w:rsidRPr="00075FBC">
              <w:rPr>
                <w:szCs w:val="22"/>
              </w:rPr>
              <w:t xml:space="preserve">300 </w:t>
            </w:r>
            <w:proofErr w:type="spellStart"/>
            <w:r w:rsidRPr="00075FBC">
              <w:rPr>
                <w:szCs w:val="22"/>
              </w:rPr>
              <w:t>mg</w:t>
            </w:r>
            <w:proofErr w:type="spellEnd"/>
            <w:r w:rsidRPr="00075FBC">
              <w:rPr>
                <w:szCs w:val="22"/>
              </w:rPr>
              <w:t xml:space="preserve"> BID από τις ημέρες 5-7, αύξηση στα 400 </w:t>
            </w:r>
            <w:proofErr w:type="spellStart"/>
            <w:r w:rsidRPr="00075FBC">
              <w:rPr>
                <w:szCs w:val="22"/>
              </w:rPr>
              <w:t>mg</w:t>
            </w:r>
            <w:proofErr w:type="spellEnd"/>
            <w:r w:rsidRPr="00075FBC">
              <w:rPr>
                <w:szCs w:val="22"/>
              </w:rPr>
              <w:t xml:space="preserve"> BID την ημέρα 8), ημέρες 4-18, 30 λεπτά μετά την λήψη της δόσης της </w:t>
            </w:r>
            <w:proofErr w:type="spellStart"/>
            <w:r w:rsidRPr="00075FBC">
              <w:rPr>
                <w:szCs w:val="22"/>
              </w:rPr>
              <w:t>ατορβαστατίνης</w:t>
            </w:r>
            <w:proofErr w:type="spellEnd"/>
          </w:p>
        </w:tc>
        <w:tc>
          <w:tcPr>
            <w:tcW w:w="1780" w:type="dxa"/>
            <w:gridSpan w:val="2"/>
            <w:shd w:val="clear" w:color="auto" w:fill="auto"/>
          </w:tcPr>
          <w:p w:rsidR="00075FBC" w:rsidRPr="00075FBC" w:rsidRDefault="00075FBC" w:rsidP="00075FBC">
            <w:pPr>
              <w:jc w:val="both"/>
              <w:rPr>
                <w:color w:val="000000"/>
                <w:szCs w:val="22"/>
              </w:rPr>
            </w:pPr>
            <w:r w:rsidRPr="00075FBC">
              <w:rPr>
                <w:color w:val="000000"/>
                <w:szCs w:val="22"/>
              </w:rPr>
              <w:t xml:space="preserve">40 </w:t>
            </w:r>
            <w:proofErr w:type="spellStart"/>
            <w:r w:rsidRPr="00075FBC">
              <w:rPr>
                <w:color w:val="000000"/>
                <w:szCs w:val="22"/>
              </w:rPr>
              <w:t>mg</w:t>
            </w:r>
            <w:proofErr w:type="spellEnd"/>
            <w:r w:rsidRPr="00075FBC">
              <w:rPr>
                <w:color w:val="000000"/>
                <w:szCs w:val="22"/>
              </w:rPr>
              <w:t xml:space="preserve"> OD για 4 ημέρες</w:t>
            </w:r>
          </w:p>
        </w:tc>
        <w:tc>
          <w:tcPr>
            <w:tcW w:w="1320" w:type="dxa"/>
            <w:gridSpan w:val="2"/>
            <w:shd w:val="clear" w:color="auto" w:fill="auto"/>
          </w:tcPr>
          <w:p w:rsidR="00075FBC" w:rsidRPr="00075FBC" w:rsidRDefault="00075FBC" w:rsidP="00075FBC">
            <w:pPr>
              <w:jc w:val="both"/>
              <w:rPr>
                <w:color w:val="000000"/>
                <w:szCs w:val="22"/>
                <w:lang w:bidi="te-IN"/>
              </w:rPr>
            </w:pPr>
            <w:r w:rsidRPr="00075FBC">
              <w:rPr>
                <w:color w:val="000000"/>
                <w:szCs w:val="22"/>
                <w:lang w:bidi="te-IN"/>
              </w:rPr>
              <w:t>↑ 3,9 φορές</w:t>
            </w:r>
          </w:p>
        </w:tc>
        <w:tc>
          <w:tcPr>
            <w:tcW w:w="2731" w:type="dxa"/>
            <w:vMerge w:val="restart"/>
            <w:shd w:val="clear" w:color="auto" w:fill="auto"/>
          </w:tcPr>
          <w:p w:rsidR="00075FBC" w:rsidRPr="00075FBC" w:rsidRDefault="00075FBC" w:rsidP="00075FBC">
            <w:pPr>
              <w:jc w:val="both"/>
              <w:rPr>
                <w:color w:val="000000"/>
                <w:szCs w:val="22"/>
              </w:rPr>
            </w:pPr>
            <w:r w:rsidRPr="00075FBC">
              <w:rPr>
                <w:color w:val="000000"/>
                <w:szCs w:val="22"/>
              </w:rPr>
              <w:t xml:space="preserve">Στις περιπτώσεις όπου </w:t>
            </w:r>
            <w:proofErr w:type="spellStart"/>
            <w:r w:rsidRPr="00075FBC">
              <w:rPr>
                <w:color w:val="000000"/>
                <w:szCs w:val="22"/>
              </w:rPr>
              <w:t>συγχορήγηση</w:t>
            </w:r>
            <w:proofErr w:type="spellEnd"/>
            <w:r w:rsidRPr="00075FBC">
              <w:rPr>
                <w:color w:val="000000"/>
                <w:szCs w:val="22"/>
              </w:rPr>
              <w:t xml:space="preserve"> </w:t>
            </w:r>
            <w:proofErr w:type="spellStart"/>
            <w:r w:rsidRPr="00075FBC">
              <w:rPr>
                <w:color w:val="000000"/>
                <w:szCs w:val="22"/>
              </w:rPr>
              <w:t>ατορβαστατίνης</w:t>
            </w:r>
            <w:proofErr w:type="spellEnd"/>
            <w:r w:rsidRPr="00075FBC">
              <w:rPr>
                <w:color w:val="000000"/>
                <w:szCs w:val="22"/>
              </w:rPr>
              <w:t xml:space="preserve"> είναι απαραίτητη, συνιστάται χαμηλότερη δόση συντήρησης της </w:t>
            </w:r>
            <w:proofErr w:type="spellStart"/>
            <w:r w:rsidRPr="00075FBC">
              <w:rPr>
                <w:color w:val="000000"/>
                <w:szCs w:val="22"/>
              </w:rPr>
              <w:t>ατορβαστατίνης</w:t>
            </w:r>
            <w:proofErr w:type="spellEnd"/>
            <w:r w:rsidRPr="00075FBC">
              <w:rPr>
                <w:color w:val="000000"/>
                <w:szCs w:val="22"/>
              </w:rPr>
              <w:t xml:space="preserve">.   Συνιστάται κλινική παρακολούθηση των ασθενών των οποίων η δόση της </w:t>
            </w:r>
            <w:proofErr w:type="spellStart"/>
            <w:r w:rsidRPr="00075FBC">
              <w:rPr>
                <w:color w:val="000000"/>
                <w:szCs w:val="22"/>
              </w:rPr>
              <w:t>ατορβαστατίνης</w:t>
            </w:r>
            <w:proofErr w:type="spellEnd"/>
            <w:r w:rsidRPr="00075FBC">
              <w:rPr>
                <w:color w:val="000000"/>
                <w:szCs w:val="22"/>
              </w:rPr>
              <w:t xml:space="preserve"> υπερβαίνει τα 40 </w:t>
            </w:r>
            <w:proofErr w:type="spellStart"/>
            <w:r w:rsidRPr="00075FBC">
              <w:rPr>
                <w:color w:val="000000"/>
                <w:szCs w:val="22"/>
              </w:rPr>
              <w:t>mg</w:t>
            </w:r>
            <w:proofErr w:type="spellEnd"/>
            <w:r w:rsidRPr="00075FBC">
              <w:rPr>
                <w:color w:val="000000"/>
                <w:szCs w:val="22"/>
              </w:rPr>
              <w:t>.</w:t>
            </w:r>
          </w:p>
        </w:tc>
      </w:tr>
      <w:tr w:rsidR="00075FBC" w:rsidRPr="00075FBC" w:rsidTr="00C27A36">
        <w:trPr>
          <w:gridAfter w:val="1"/>
          <w:trHeight w:val="149"/>
          <w:jc w:val="center"/>
        </w:trPr>
        <w:tc>
          <w:tcPr>
            <w:tcW w:w="2962" w:type="dxa"/>
            <w:shd w:val="clear" w:color="auto" w:fill="auto"/>
          </w:tcPr>
          <w:p w:rsidR="00075FBC" w:rsidRPr="00075FBC" w:rsidRDefault="00075FBC" w:rsidP="00075FBC">
            <w:pPr>
              <w:jc w:val="both"/>
              <w:rPr>
                <w:color w:val="000000"/>
                <w:szCs w:val="22"/>
              </w:rPr>
            </w:pPr>
            <w:proofErr w:type="spellStart"/>
            <w:r w:rsidRPr="00075FBC">
              <w:rPr>
                <w:color w:val="000000"/>
                <w:szCs w:val="22"/>
              </w:rPr>
              <w:t>Δαρουναβίρη</w:t>
            </w:r>
            <w:proofErr w:type="spellEnd"/>
            <w:r w:rsidRPr="00075FBC">
              <w:rPr>
                <w:color w:val="000000"/>
                <w:szCs w:val="22"/>
              </w:rPr>
              <w:t xml:space="preserve"> 300 </w:t>
            </w:r>
            <w:proofErr w:type="spellStart"/>
            <w:r w:rsidRPr="00075FBC">
              <w:rPr>
                <w:color w:val="000000"/>
                <w:szCs w:val="22"/>
              </w:rPr>
              <w:t>mg</w:t>
            </w:r>
            <w:proofErr w:type="spellEnd"/>
            <w:r w:rsidRPr="00075FBC">
              <w:rPr>
                <w:color w:val="000000"/>
                <w:szCs w:val="22"/>
              </w:rPr>
              <w:t xml:space="preserve"> BID/</w:t>
            </w:r>
          </w:p>
          <w:p w:rsidR="00075FBC" w:rsidRPr="00075FBC" w:rsidRDefault="00075FBC" w:rsidP="00075FBC">
            <w:pPr>
              <w:jc w:val="both"/>
              <w:rPr>
                <w:color w:val="000000"/>
                <w:szCs w:val="22"/>
              </w:rPr>
            </w:pPr>
            <w:proofErr w:type="spellStart"/>
            <w:r w:rsidRPr="00075FBC">
              <w:rPr>
                <w:color w:val="000000"/>
                <w:szCs w:val="22"/>
              </w:rPr>
              <w:t>Ριτοναβίρη</w:t>
            </w:r>
            <w:proofErr w:type="spellEnd"/>
            <w:r w:rsidRPr="00075FBC">
              <w:rPr>
                <w:color w:val="000000"/>
                <w:szCs w:val="22"/>
              </w:rPr>
              <w:t xml:space="preserve"> 100 </w:t>
            </w:r>
            <w:proofErr w:type="spellStart"/>
            <w:r w:rsidRPr="00075FBC">
              <w:rPr>
                <w:color w:val="000000"/>
                <w:szCs w:val="22"/>
              </w:rPr>
              <w:t>mg</w:t>
            </w:r>
            <w:proofErr w:type="spellEnd"/>
            <w:r w:rsidRPr="00075FBC">
              <w:rPr>
                <w:color w:val="000000"/>
                <w:szCs w:val="22"/>
              </w:rPr>
              <w:t xml:space="preserve"> BID, 9 ημέρες</w:t>
            </w:r>
          </w:p>
        </w:tc>
        <w:tc>
          <w:tcPr>
            <w:tcW w:w="1780" w:type="dxa"/>
            <w:gridSpan w:val="2"/>
            <w:shd w:val="clear" w:color="auto" w:fill="auto"/>
          </w:tcPr>
          <w:p w:rsidR="00075FBC" w:rsidRPr="00075FBC" w:rsidRDefault="00075FBC" w:rsidP="00075FBC">
            <w:pPr>
              <w:jc w:val="both"/>
              <w:rPr>
                <w:color w:val="000000"/>
                <w:szCs w:val="22"/>
              </w:rPr>
            </w:pPr>
            <w:r w:rsidRPr="00075FBC">
              <w:rPr>
                <w:color w:val="000000"/>
                <w:szCs w:val="22"/>
              </w:rPr>
              <w:t xml:space="preserve">10 </w:t>
            </w:r>
            <w:proofErr w:type="spellStart"/>
            <w:r w:rsidRPr="00075FBC">
              <w:rPr>
                <w:color w:val="000000"/>
                <w:szCs w:val="22"/>
              </w:rPr>
              <w:t>mg</w:t>
            </w:r>
            <w:proofErr w:type="spellEnd"/>
            <w:r w:rsidRPr="00075FBC">
              <w:rPr>
                <w:color w:val="000000"/>
                <w:szCs w:val="22"/>
              </w:rPr>
              <w:t xml:space="preserve"> OD για 4 ημέρες</w:t>
            </w:r>
          </w:p>
        </w:tc>
        <w:tc>
          <w:tcPr>
            <w:tcW w:w="1320" w:type="dxa"/>
            <w:gridSpan w:val="2"/>
            <w:shd w:val="clear" w:color="auto" w:fill="auto"/>
          </w:tcPr>
          <w:p w:rsidR="00075FBC" w:rsidRPr="00075FBC" w:rsidRDefault="00075FBC" w:rsidP="00075FBC">
            <w:pPr>
              <w:jc w:val="both"/>
              <w:rPr>
                <w:color w:val="000000"/>
                <w:szCs w:val="22"/>
                <w:lang w:bidi="te-IN"/>
              </w:rPr>
            </w:pPr>
            <w:r w:rsidRPr="00075FBC">
              <w:rPr>
                <w:color w:val="000000"/>
                <w:szCs w:val="22"/>
                <w:lang w:bidi="te-IN"/>
              </w:rPr>
              <w:t>↑ 3,3  φορές</w:t>
            </w:r>
          </w:p>
        </w:tc>
        <w:tc>
          <w:tcPr>
            <w:tcW w:w="2731" w:type="dxa"/>
            <w:vMerge/>
            <w:shd w:val="clear" w:color="auto" w:fill="auto"/>
          </w:tcPr>
          <w:p w:rsidR="00075FBC" w:rsidRPr="00075FBC" w:rsidRDefault="00075FBC" w:rsidP="00075FBC">
            <w:pPr>
              <w:jc w:val="both"/>
              <w:rPr>
                <w:color w:val="000000"/>
                <w:szCs w:val="22"/>
              </w:rPr>
            </w:pPr>
          </w:p>
        </w:tc>
      </w:tr>
      <w:tr w:rsidR="00075FBC" w:rsidRPr="00075FBC" w:rsidTr="00C27A36">
        <w:trPr>
          <w:gridAfter w:val="1"/>
          <w:trHeight w:val="149"/>
          <w:jc w:val="center"/>
        </w:trPr>
        <w:tc>
          <w:tcPr>
            <w:tcW w:w="2962" w:type="dxa"/>
            <w:shd w:val="clear" w:color="auto" w:fill="auto"/>
          </w:tcPr>
          <w:p w:rsidR="00075FBC" w:rsidRPr="00075FBC" w:rsidRDefault="00075FBC" w:rsidP="00075FBC">
            <w:pPr>
              <w:jc w:val="both"/>
              <w:rPr>
                <w:color w:val="000000"/>
                <w:szCs w:val="22"/>
              </w:rPr>
            </w:pPr>
            <w:proofErr w:type="spellStart"/>
            <w:r w:rsidRPr="00075FBC">
              <w:rPr>
                <w:color w:val="000000"/>
                <w:szCs w:val="22"/>
              </w:rPr>
              <w:t>Ιτρακοναζόλη</w:t>
            </w:r>
            <w:proofErr w:type="spellEnd"/>
            <w:r w:rsidRPr="00075FBC">
              <w:rPr>
                <w:color w:val="000000"/>
                <w:szCs w:val="22"/>
              </w:rPr>
              <w:t xml:space="preserve"> 200 </w:t>
            </w:r>
            <w:proofErr w:type="spellStart"/>
            <w:r w:rsidRPr="00075FBC">
              <w:rPr>
                <w:color w:val="000000"/>
                <w:szCs w:val="22"/>
              </w:rPr>
              <w:t>mg</w:t>
            </w:r>
            <w:proofErr w:type="spellEnd"/>
            <w:r w:rsidRPr="00075FBC">
              <w:rPr>
                <w:color w:val="000000"/>
                <w:szCs w:val="22"/>
              </w:rPr>
              <w:t xml:space="preserve"> OD, 4 ημέρες</w:t>
            </w:r>
          </w:p>
        </w:tc>
        <w:tc>
          <w:tcPr>
            <w:tcW w:w="1780" w:type="dxa"/>
            <w:gridSpan w:val="2"/>
            <w:shd w:val="clear" w:color="auto" w:fill="auto"/>
          </w:tcPr>
          <w:p w:rsidR="00075FBC" w:rsidRPr="00075FBC" w:rsidRDefault="00075FBC" w:rsidP="00075FBC">
            <w:pPr>
              <w:jc w:val="both"/>
              <w:rPr>
                <w:color w:val="000000"/>
                <w:szCs w:val="22"/>
              </w:rPr>
            </w:pPr>
            <w:r w:rsidRPr="00075FBC">
              <w:rPr>
                <w:color w:val="000000"/>
                <w:szCs w:val="22"/>
              </w:rPr>
              <w:t xml:space="preserve">40 </w:t>
            </w:r>
            <w:proofErr w:type="spellStart"/>
            <w:r w:rsidRPr="00075FBC">
              <w:rPr>
                <w:color w:val="000000"/>
                <w:szCs w:val="22"/>
              </w:rPr>
              <w:t>mg</w:t>
            </w:r>
            <w:proofErr w:type="spellEnd"/>
            <w:r w:rsidRPr="00075FBC">
              <w:rPr>
                <w:color w:val="000000"/>
                <w:szCs w:val="22"/>
              </w:rPr>
              <w:t xml:space="preserve"> SD</w:t>
            </w:r>
          </w:p>
        </w:tc>
        <w:tc>
          <w:tcPr>
            <w:tcW w:w="1320" w:type="dxa"/>
            <w:gridSpan w:val="2"/>
            <w:shd w:val="clear" w:color="auto" w:fill="auto"/>
          </w:tcPr>
          <w:p w:rsidR="00075FBC" w:rsidRPr="00075FBC" w:rsidRDefault="00075FBC" w:rsidP="00075FBC">
            <w:pPr>
              <w:jc w:val="both"/>
              <w:rPr>
                <w:color w:val="000000"/>
                <w:szCs w:val="22"/>
                <w:lang w:bidi="te-IN"/>
              </w:rPr>
            </w:pPr>
            <w:r w:rsidRPr="00075FBC">
              <w:rPr>
                <w:color w:val="000000"/>
                <w:szCs w:val="22"/>
                <w:lang w:bidi="te-IN"/>
              </w:rPr>
              <w:t>↑ 3,3 φορές</w:t>
            </w:r>
          </w:p>
        </w:tc>
        <w:tc>
          <w:tcPr>
            <w:tcW w:w="2731" w:type="dxa"/>
            <w:vMerge/>
            <w:shd w:val="clear" w:color="auto" w:fill="auto"/>
          </w:tcPr>
          <w:p w:rsidR="00075FBC" w:rsidRPr="00075FBC" w:rsidRDefault="00075FBC" w:rsidP="00075FBC">
            <w:pPr>
              <w:jc w:val="both"/>
              <w:rPr>
                <w:color w:val="000000"/>
                <w:szCs w:val="22"/>
              </w:rPr>
            </w:pPr>
          </w:p>
        </w:tc>
      </w:tr>
      <w:tr w:rsidR="00075FBC" w:rsidRPr="00075FBC" w:rsidTr="00C27A36">
        <w:trPr>
          <w:gridAfter w:val="1"/>
          <w:trHeight w:val="149"/>
          <w:jc w:val="center"/>
        </w:trPr>
        <w:tc>
          <w:tcPr>
            <w:tcW w:w="2962" w:type="dxa"/>
            <w:shd w:val="clear" w:color="auto" w:fill="auto"/>
          </w:tcPr>
          <w:p w:rsidR="00075FBC" w:rsidRPr="00075FBC" w:rsidRDefault="00075FBC" w:rsidP="00075FBC">
            <w:pPr>
              <w:jc w:val="both"/>
              <w:rPr>
                <w:color w:val="000000"/>
                <w:szCs w:val="22"/>
              </w:rPr>
            </w:pPr>
            <w:proofErr w:type="spellStart"/>
            <w:r w:rsidRPr="00075FBC">
              <w:rPr>
                <w:color w:val="000000"/>
                <w:szCs w:val="22"/>
              </w:rPr>
              <w:t>Φοσαμπρεναβίρη</w:t>
            </w:r>
            <w:proofErr w:type="spellEnd"/>
            <w:r w:rsidRPr="00075FBC">
              <w:rPr>
                <w:color w:val="000000"/>
                <w:szCs w:val="22"/>
              </w:rPr>
              <w:t xml:space="preserve"> 700 </w:t>
            </w:r>
            <w:proofErr w:type="spellStart"/>
            <w:r w:rsidRPr="00075FBC">
              <w:rPr>
                <w:color w:val="000000"/>
                <w:szCs w:val="22"/>
              </w:rPr>
              <w:t>mg</w:t>
            </w:r>
            <w:proofErr w:type="spellEnd"/>
            <w:r w:rsidRPr="00075FBC">
              <w:rPr>
                <w:color w:val="000000"/>
                <w:szCs w:val="22"/>
              </w:rPr>
              <w:t xml:space="preserve"> BID/ </w:t>
            </w:r>
            <w:proofErr w:type="spellStart"/>
            <w:r w:rsidRPr="00075FBC">
              <w:rPr>
                <w:color w:val="000000"/>
                <w:szCs w:val="22"/>
              </w:rPr>
              <w:t>Ριτοναβίρη</w:t>
            </w:r>
            <w:proofErr w:type="spellEnd"/>
            <w:r w:rsidRPr="00075FBC">
              <w:rPr>
                <w:color w:val="000000"/>
                <w:szCs w:val="22"/>
              </w:rPr>
              <w:t xml:space="preserve"> 100 </w:t>
            </w:r>
            <w:proofErr w:type="spellStart"/>
            <w:r w:rsidRPr="00075FBC">
              <w:rPr>
                <w:color w:val="000000"/>
                <w:szCs w:val="22"/>
              </w:rPr>
              <w:t>mg</w:t>
            </w:r>
            <w:proofErr w:type="spellEnd"/>
            <w:r w:rsidRPr="00075FBC">
              <w:rPr>
                <w:color w:val="000000"/>
                <w:szCs w:val="22"/>
              </w:rPr>
              <w:t xml:space="preserve"> BID, 14 ημέρες</w:t>
            </w:r>
          </w:p>
        </w:tc>
        <w:tc>
          <w:tcPr>
            <w:tcW w:w="1780" w:type="dxa"/>
            <w:gridSpan w:val="2"/>
            <w:shd w:val="clear" w:color="auto" w:fill="auto"/>
          </w:tcPr>
          <w:p w:rsidR="00075FBC" w:rsidRPr="00075FBC" w:rsidRDefault="00075FBC" w:rsidP="00075FBC">
            <w:pPr>
              <w:jc w:val="both"/>
              <w:rPr>
                <w:color w:val="000000"/>
                <w:szCs w:val="22"/>
              </w:rPr>
            </w:pPr>
            <w:r w:rsidRPr="00075FBC">
              <w:rPr>
                <w:color w:val="000000"/>
                <w:szCs w:val="22"/>
              </w:rPr>
              <w:t xml:space="preserve">10 </w:t>
            </w:r>
            <w:proofErr w:type="spellStart"/>
            <w:r w:rsidRPr="00075FBC">
              <w:rPr>
                <w:color w:val="000000"/>
                <w:szCs w:val="22"/>
              </w:rPr>
              <w:t>mg</w:t>
            </w:r>
            <w:proofErr w:type="spellEnd"/>
            <w:r w:rsidRPr="00075FBC">
              <w:rPr>
                <w:color w:val="000000"/>
                <w:szCs w:val="22"/>
              </w:rPr>
              <w:t xml:space="preserve"> OD για 4 ημέρες</w:t>
            </w:r>
          </w:p>
        </w:tc>
        <w:tc>
          <w:tcPr>
            <w:tcW w:w="1320" w:type="dxa"/>
            <w:gridSpan w:val="2"/>
            <w:shd w:val="clear" w:color="auto" w:fill="auto"/>
          </w:tcPr>
          <w:p w:rsidR="00075FBC" w:rsidRPr="00075FBC" w:rsidRDefault="00075FBC" w:rsidP="00075FBC">
            <w:pPr>
              <w:jc w:val="both"/>
              <w:rPr>
                <w:color w:val="000000"/>
                <w:szCs w:val="22"/>
                <w:lang w:bidi="te-IN"/>
              </w:rPr>
            </w:pPr>
            <w:r w:rsidRPr="00075FBC">
              <w:rPr>
                <w:color w:val="000000"/>
                <w:szCs w:val="22"/>
                <w:lang w:bidi="te-IN"/>
              </w:rPr>
              <w:t>↑ 2,5 φορές</w:t>
            </w:r>
          </w:p>
        </w:tc>
        <w:tc>
          <w:tcPr>
            <w:tcW w:w="2731" w:type="dxa"/>
            <w:vMerge/>
            <w:shd w:val="clear" w:color="auto" w:fill="auto"/>
          </w:tcPr>
          <w:p w:rsidR="00075FBC" w:rsidRPr="00075FBC" w:rsidRDefault="00075FBC" w:rsidP="00075FBC">
            <w:pPr>
              <w:jc w:val="both"/>
              <w:rPr>
                <w:color w:val="000000"/>
                <w:szCs w:val="22"/>
              </w:rPr>
            </w:pPr>
          </w:p>
        </w:tc>
      </w:tr>
      <w:tr w:rsidR="00075FBC" w:rsidRPr="00075FBC" w:rsidTr="00C27A36">
        <w:trPr>
          <w:gridAfter w:val="1"/>
          <w:trHeight w:val="149"/>
          <w:jc w:val="center"/>
        </w:trPr>
        <w:tc>
          <w:tcPr>
            <w:tcW w:w="2962" w:type="dxa"/>
            <w:shd w:val="clear" w:color="auto" w:fill="auto"/>
          </w:tcPr>
          <w:p w:rsidR="00075FBC" w:rsidRPr="00075FBC" w:rsidRDefault="00075FBC" w:rsidP="00075FBC">
            <w:pPr>
              <w:jc w:val="both"/>
              <w:rPr>
                <w:color w:val="000000"/>
                <w:szCs w:val="22"/>
              </w:rPr>
            </w:pPr>
            <w:proofErr w:type="spellStart"/>
            <w:r w:rsidRPr="00075FBC">
              <w:rPr>
                <w:color w:val="000000"/>
                <w:szCs w:val="22"/>
              </w:rPr>
              <w:t>Φοσαμπρεναβίρη</w:t>
            </w:r>
            <w:proofErr w:type="spellEnd"/>
            <w:r w:rsidRPr="00075FBC">
              <w:rPr>
                <w:color w:val="000000"/>
                <w:szCs w:val="22"/>
              </w:rPr>
              <w:t xml:space="preserve"> 1400 </w:t>
            </w:r>
            <w:proofErr w:type="spellStart"/>
            <w:r w:rsidRPr="00075FBC">
              <w:rPr>
                <w:color w:val="000000"/>
                <w:szCs w:val="22"/>
              </w:rPr>
              <w:t>mg</w:t>
            </w:r>
            <w:proofErr w:type="spellEnd"/>
            <w:r w:rsidRPr="00075FBC">
              <w:rPr>
                <w:color w:val="000000"/>
                <w:szCs w:val="22"/>
              </w:rPr>
              <w:t xml:space="preserve"> BID, 14 ημέρες </w:t>
            </w:r>
          </w:p>
        </w:tc>
        <w:tc>
          <w:tcPr>
            <w:tcW w:w="1780" w:type="dxa"/>
            <w:gridSpan w:val="2"/>
            <w:shd w:val="clear" w:color="auto" w:fill="auto"/>
          </w:tcPr>
          <w:p w:rsidR="00075FBC" w:rsidRPr="00075FBC" w:rsidRDefault="00075FBC" w:rsidP="00075FBC">
            <w:pPr>
              <w:jc w:val="both"/>
              <w:rPr>
                <w:color w:val="000000"/>
                <w:szCs w:val="22"/>
              </w:rPr>
            </w:pPr>
            <w:r w:rsidRPr="00075FBC">
              <w:rPr>
                <w:color w:val="000000"/>
                <w:szCs w:val="22"/>
              </w:rPr>
              <w:t xml:space="preserve">10 </w:t>
            </w:r>
            <w:proofErr w:type="spellStart"/>
            <w:r w:rsidRPr="00075FBC">
              <w:rPr>
                <w:color w:val="000000"/>
                <w:szCs w:val="22"/>
              </w:rPr>
              <w:t>mg</w:t>
            </w:r>
            <w:proofErr w:type="spellEnd"/>
            <w:r w:rsidRPr="00075FBC">
              <w:rPr>
                <w:color w:val="000000"/>
                <w:szCs w:val="22"/>
              </w:rPr>
              <w:t xml:space="preserve"> OD για 4 ημέρες</w:t>
            </w:r>
          </w:p>
        </w:tc>
        <w:tc>
          <w:tcPr>
            <w:tcW w:w="1320" w:type="dxa"/>
            <w:gridSpan w:val="2"/>
            <w:shd w:val="clear" w:color="auto" w:fill="auto"/>
          </w:tcPr>
          <w:p w:rsidR="00075FBC" w:rsidRPr="00075FBC" w:rsidRDefault="00075FBC" w:rsidP="00075FBC">
            <w:pPr>
              <w:jc w:val="both"/>
              <w:rPr>
                <w:color w:val="000000"/>
                <w:szCs w:val="22"/>
                <w:lang w:bidi="te-IN"/>
              </w:rPr>
            </w:pPr>
            <w:r w:rsidRPr="00075FBC">
              <w:rPr>
                <w:color w:val="000000"/>
                <w:szCs w:val="22"/>
                <w:lang w:bidi="te-IN"/>
              </w:rPr>
              <w:t>↑ 2,3 φορές</w:t>
            </w:r>
          </w:p>
        </w:tc>
        <w:tc>
          <w:tcPr>
            <w:tcW w:w="2731" w:type="dxa"/>
            <w:vMerge/>
            <w:shd w:val="clear" w:color="auto" w:fill="auto"/>
          </w:tcPr>
          <w:p w:rsidR="00075FBC" w:rsidRPr="00075FBC" w:rsidRDefault="00075FBC" w:rsidP="00075FBC">
            <w:pPr>
              <w:jc w:val="both"/>
              <w:rPr>
                <w:color w:val="000000"/>
                <w:szCs w:val="22"/>
              </w:rPr>
            </w:pPr>
          </w:p>
        </w:tc>
      </w:tr>
      <w:tr w:rsidR="00075FBC" w:rsidRPr="00075FBC" w:rsidTr="00C27A36">
        <w:trPr>
          <w:gridAfter w:val="1"/>
          <w:trHeight w:val="149"/>
          <w:jc w:val="center"/>
        </w:trPr>
        <w:tc>
          <w:tcPr>
            <w:tcW w:w="2962" w:type="dxa"/>
            <w:shd w:val="clear" w:color="auto" w:fill="auto"/>
          </w:tcPr>
          <w:p w:rsidR="00075FBC" w:rsidRPr="00075FBC" w:rsidRDefault="00075FBC" w:rsidP="00075FBC">
            <w:pPr>
              <w:jc w:val="both"/>
              <w:rPr>
                <w:color w:val="000000"/>
                <w:szCs w:val="22"/>
              </w:rPr>
            </w:pPr>
            <w:proofErr w:type="spellStart"/>
            <w:r w:rsidRPr="00075FBC">
              <w:rPr>
                <w:bCs/>
                <w:color w:val="000000"/>
                <w:szCs w:val="22"/>
              </w:rPr>
              <w:t>Νελφιναβίρη</w:t>
            </w:r>
            <w:proofErr w:type="spellEnd"/>
            <w:r w:rsidRPr="00075FBC">
              <w:rPr>
                <w:bCs/>
                <w:color w:val="000000"/>
                <w:szCs w:val="22"/>
              </w:rPr>
              <w:t xml:space="preserve"> </w:t>
            </w:r>
            <w:r w:rsidRPr="00075FBC">
              <w:rPr>
                <w:color w:val="000000"/>
                <w:szCs w:val="22"/>
              </w:rPr>
              <w:t xml:space="preserve">1250 </w:t>
            </w:r>
            <w:proofErr w:type="spellStart"/>
            <w:r w:rsidRPr="00075FBC">
              <w:rPr>
                <w:color w:val="000000"/>
                <w:szCs w:val="22"/>
              </w:rPr>
              <w:t>mg</w:t>
            </w:r>
            <w:proofErr w:type="spellEnd"/>
            <w:r w:rsidRPr="00075FBC">
              <w:rPr>
                <w:color w:val="000000"/>
                <w:szCs w:val="22"/>
              </w:rPr>
              <w:t xml:space="preserve"> BID, 14 ημέρες</w:t>
            </w:r>
          </w:p>
        </w:tc>
        <w:tc>
          <w:tcPr>
            <w:tcW w:w="1780" w:type="dxa"/>
            <w:gridSpan w:val="2"/>
            <w:shd w:val="clear" w:color="auto" w:fill="auto"/>
          </w:tcPr>
          <w:p w:rsidR="00075FBC" w:rsidRPr="00075FBC" w:rsidRDefault="00075FBC" w:rsidP="00075FBC">
            <w:pPr>
              <w:jc w:val="both"/>
              <w:rPr>
                <w:color w:val="000000"/>
                <w:szCs w:val="22"/>
              </w:rPr>
            </w:pPr>
            <w:r w:rsidRPr="00075FBC">
              <w:rPr>
                <w:color w:val="000000"/>
                <w:szCs w:val="22"/>
              </w:rPr>
              <w:t xml:space="preserve">10 </w:t>
            </w:r>
            <w:proofErr w:type="spellStart"/>
            <w:r w:rsidRPr="00075FBC">
              <w:rPr>
                <w:color w:val="000000"/>
                <w:szCs w:val="22"/>
              </w:rPr>
              <w:t>mg</w:t>
            </w:r>
            <w:proofErr w:type="spellEnd"/>
            <w:r w:rsidRPr="00075FBC">
              <w:rPr>
                <w:color w:val="000000"/>
                <w:szCs w:val="22"/>
              </w:rPr>
              <w:t xml:space="preserve"> OD για 28 ημέρες</w:t>
            </w:r>
          </w:p>
        </w:tc>
        <w:tc>
          <w:tcPr>
            <w:tcW w:w="1320" w:type="dxa"/>
            <w:gridSpan w:val="2"/>
            <w:shd w:val="clear" w:color="auto" w:fill="auto"/>
          </w:tcPr>
          <w:p w:rsidR="00075FBC" w:rsidRPr="00075FBC" w:rsidRDefault="00075FBC" w:rsidP="00075FBC">
            <w:pPr>
              <w:jc w:val="both"/>
              <w:rPr>
                <w:color w:val="000000"/>
                <w:szCs w:val="22"/>
                <w:lang w:bidi="te-IN"/>
              </w:rPr>
            </w:pPr>
            <w:r w:rsidRPr="00075FBC">
              <w:rPr>
                <w:color w:val="000000"/>
                <w:szCs w:val="22"/>
                <w:lang w:bidi="te-IN"/>
              </w:rPr>
              <w:t>↑ 1,7 φορές^</w:t>
            </w:r>
          </w:p>
        </w:tc>
        <w:tc>
          <w:tcPr>
            <w:tcW w:w="2731" w:type="dxa"/>
            <w:shd w:val="clear" w:color="auto" w:fill="auto"/>
          </w:tcPr>
          <w:p w:rsidR="00075FBC" w:rsidRPr="00075FBC" w:rsidRDefault="00075FBC" w:rsidP="00075FBC">
            <w:pPr>
              <w:jc w:val="both"/>
              <w:rPr>
                <w:color w:val="000000"/>
                <w:szCs w:val="22"/>
              </w:rPr>
            </w:pPr>
            <w:r w:rsidRPr="00075FBC">
              <w:rPr>
                <w:color w:val="000000"/>
                <w:szCs w:val="22"/>
              </w:rPr>
              <w:t>Δεν υπάρχει συγκεκριμένη σύσταση.</w:t>
            </w:r>
          </w:p>
        </w:tc>
      </w:tr>
      <w:tr w:rsidR="00075FBC" w:rsidRPr="00075FBC" w:rsidTr="00C27A36">
        <w:trPr>
          <w:gridAfter w:val="1"/>
          <w:trHeight w:val="1042"/>
          <w:jc w:val="center"/>
        </w:trPr>
        <w:tc>
          <w:tcPr>
            <w:tcW w:w="2962" w:type="dxa"/>
            <w:shd w:val="clear" w:color="auto" w:fill="auto"/>
          </w:tcPr>
          <w:p w:rsidR="00075FBC" w:rsidRPr="00075FBC" w:rsidRDefault="00075FBC" w:rsidP="00075FBC">
            <w:pPr>
              <w:jc w:val="both"/>
              <w:rPr>
                <w:szCs w:val="22"/>
              </w:rPr>
            </w:pPr>
            <w:r w:rsidRPr="00075FBC">
              <w:rPr>
                <w:szCs w:val="22"/>
              </w:rPr>
              <w:t xml:space="preserve">Χυμός Γκρέιπφρουτ, 240 </w:t>
            </w:r>
            <w:proofErr w:type="spellStart"/>
            <w:r w:rsidRPr="00075FBC">
              <w:rPr>
                <w:szCs w:val="22"/>
              </w:rPr>
              <w:t>mL</w:t>
            </w:r>
            <w:proofErr w:type="spellEnd"/>
            <w:r w:rsidRPr="00075FBC">
              <w:rPr>
                <w:szCs w:val="22"/>
              </w:rPr>
              <w:t xml:space="preserve"> OD *</w:t>
            </w:r>
          </w:p>
        </w:tc>
        <w:tc>
          <w:tcPr>
            <w:tcW w:w="1780" w:type="dxa"/>
            <w:gridSpan w:val="2"/>
            <w:shd w:val="clear" w:color="auto" w:fill="auto"/>
          </w:tcPr>
          <w:p w:rsidR="00075FBC" w:rsidRPr="00075FBC" w:rsidRDefault="00075FBC" w:rsidP="00075FBC">
            <w:pPr>
              <w:jc w:val="both"/>
              <w:rPr>
                <w:szCs w:val="22"/>
              </w:rPr>
            </w:pPr>
            <w:r w:rsidRPr="00075FBC">
              <w:rPr>
                <w:szCs w:val="22"/>
              </w:rPr>
              <w:t xml:space="preserve">40 </w:t>
            </w:r>
            <w:proofErr w:type="spellStart"/>
            <w:r w:rsidRPr="00075FBC">
              <w:rPr>
                <w:szCs w:val="22"/>
              </w:rPr>
              <w:t>mg</w:t>
            </w:r>
            <w:proofErr w:type="spellEnd"/>
            <w:r w:rsidRPr="00075FBC">
              <w:rPr>
                <w:szCs w:val="22"/>
              </w:rPr>
              <w:t>,</w:t>
            </w:r>
            <w:r w:rsidRPr="00075FBC">
              <w:rPr>
                <w:color w:val="000000"/>
                <w:szCs w:val="22"/>
              </w:rPr>
              <w:t xml:space="preserve"> SD</w:t>
            </w:r>
          </w:p>
        </w:tc>
        <w:tc>
          <w:tcPr>
            <w:tcW w:w="1320" w:type="dxa"/>
            <w:gridSpan w:val="2"/>
            <w:shd w:val="clear" w:color="auto" w:fill="auto"/>
          </w:tcPr>
          <w:p w:rsidR="00075FBC" w:rsidRPr="00075FBC" w:rsidRDefault="00075FBC" w:rsidP="00075FBC">
            <w:pPr>
              <w:jc w:val="both"/>
              <w:rPr>
                <w:szCs w:val="22"/>
                <w:lang w:bidi="te-IN"/>
              </w:rPr>
            </w:pPr>
            <w:r w:rsidRPr="00075FBC">
              <w:rPr>
                <w:szCs w:val="22"/>
                <w:lang w:bidi="te-IN"/>
              </w:rPr>
              <w:t xml:space="preserve">↑ 37% </w:t>
            </w:r>
          </w:p>
        </w:tc>
        <w:tc>
          <w:tcPr>
            <w:tcW w:w="2731" w:type="dxa"/>
            <w:shd w:val="clear" w:color="auto" w:fill="auto"/>
          </w:tcPr>
          <w:p w:rsidR="00075FBC" w:rsidRPr="00075FBC" w:rsidRDefault="00075FBC" w:rsidP="00075FBC">
            <w:pPr>
              <w:jc w:val="both"/>
              <w:rPr>
                <w:bCs/>
                <w:szCs w:val="22"/>
              </w:rPr>
            </w:pPr>
            <w:r w:rsidRPr="00075FBC">
              <w:rPr>
                <w:bCs/>
                <w:szCs w:val="22"/>
              </w:rPr>
              <w:t xml:space="preserve">Δεν συνιστάται η ταυτόχρονη λήψη μεγάλων ποσοτήτων χυμού </w:t>
            </w:r>
            <w:proofErr w:type="spellStart"/>
            <w:r w:rsidRPr="00075FBC">
              <w:rPr>
                <w:bCs/>
                <w:szCs w:val="22"/>
              </w:rPr>
              <w:t>grapefruit</w:t>
            </w:r>
            <w:proofErr w:type="spellEnd"/>
            <w:r w:rsidRPr="00075FBC">
              <w:rPr>
                <w:bCs/>
                <w:szCs w:val="22"/>
              </w:rPr>
              <w:t xml:space="preserve"> και </w:t>
            </w:r>
            <w:proofErr w:type="spellStart"/>
            <w:r w:rsidRPr="00075FBC">
              <w:rPr>
                <w:bCs/>
                <w:szCs w:val="22"/>
              </w:rPr>
              <w:t>ατορβαστατίνης</w:t>
            </w:r>
            <w:proofErr w:type="spellEnd"/>
            <w:r w:rsidRPr="00075FBC">
              <w:rPr>
                <w:bCs/>
                <w:szCs w:val="22"/>
              </w:rPr>
              <w:t>.</w:t>
            </w:r>
          </w:p>
        </w:tc>
      </w:tr>
      <w:tr w:rsidR="00075FBC" w:rsidRPr="00075FBC" w:rsidTr="00C27A36">
        <w:trPr>
          <w:gridAfter w:val="1"/>
          <w:trHeight w:val="1307"/>
          <w:jc w:val="center"/>
        </w:trPr>
        <w:tc>
          <w:tcPr>
            <w:tcW w:w="2962" w:type="dxa"/>
            <w:shd w:val="clear" w:color="auto" w:fill="auto"/>
          </w:tcPr>
          <w:p w:rsidR="00075FBC" w:rsidRPr="00075FBC" w:rsidRDefault="00075FBC" w:rsidP="00075FBC">
            <w:pPr>
              <w:jc w:val="both"/>
              <w:rPr>
                <w:szCs w:val="22"/>
              </w:rPr>
            </w:pPr>
            <w:proofErr w:type="spellStart"/>
            <w:r w:rsidRPr="00075FBC">
              <w:rPr>
                <w:szCs w:val="22"/>
              </w:rPr>
              <w:t>Διλτιαζέμη</w:t>
            </w:r>
            <w:proofErr w:type="spellEnd"/>
            <w:r w:rsidRPr="00075FBC">
              <w:rPr>
                <w:szCs w:val="22"/>
              </w:rPr>
              <w:t xml:space="preserve"> 240 </w:t>
            </w:r>
            <w:proofErr w:type="spellStart"/>
            <w:r w:rsidRPr="00075FBC">
              <w:rPr>
                <w:szCs w:val="22"/>
              </w:rPr>
              <w:t>mg</w:t>
            </w:r>
            <w:proofErr w:type="spellEnd"/>
            <w:r w:rsidRPr="00075FBC">
              <w:rPr>
                <w:szCs w:val="22"/>
              </w:rPr>
              <w:t xml:space="preserve"> OD, 28 ημέρες </w:t>
            </w:r>
          </w:p>
        </w:tc>
        <w:tc>
          <w:tcPr>
            <w:tcW w:w="1780" w:type="dxa"/>
            <w:gridSpan w:val="2"/>
            <w:shd w:val="clear" w:color="auto" w:fill="auto"/>
          </w:tcPr>
          <w:p w:rsidR="00075FBC" w:rsidRPr="00075FBC" w:rsidRDefault="00075FBC" w:rsidP="00075FBC">
            <w:pPr>
              <w:jc w:val="both"/>
              <w:rPr>
                <w:szCs w:val="22"/>
              </w:rPr>
            </w:pPr>
            <w:r w:rsidRPr="00075FBC">
              <w:rPr>
                <w:szCs w:val="22"/>
              </w:rPr>
              <w:t xml:space="preserve">40 </w:t>
            </w:r>
            <w:proofErr w:type="spellStart"/>
            <w:r w:rsidRPr="00075FBC">
              <w:rPr>
                <w:szCs w:val="22"/>
              </w:rPr>
              <w:t>mg</w:t>
            </w:r>
            <w:proofErr w:type="spellEnd"/>
            <w:r w:rsidRPr="00075FBC">
              <w:rPr>
                <w:szCs w:val="22"/>
              </w:rPr>
              <w:t xml:space="preserve">, </w:t>
            </w:r>
            <w:r w:rsidRPr="00075FBC">
              <w:rPr>
                <w:color w:val="000000"/>
                <w:szCs w:val="22"/>
              </w:rPr>
              <w:t>SD</w:t>
            </w:r>
          </w:p>
        </w:tc>
        <w:tc>
          <w:tcPr>
            <w:tcW w:w="1320" w:type="dxa"/>
            <w:gridSpan w:val="2"/>
            <w:shd w:val="clear" w:color="auto" w:fill="auto"/>
          </w:tcPr>
          <w:p w:rsidR="00075FBC" w:rsidRPr="00075FBC" w:rsidRDefault="00075FBC" w:rsidP="00075FBC">
            <w:pPr>
              <w:jc w:val="both"/>
              <w:rPr>
                <w:szCs w:val="22"/>
                <w:lang w:bidi="te-IN"/>
              </w:rPr>
            </w:pPr>
            <w:r w:rsidRPr="00075FBC">
              <w:rPr>
                <w:szCs w:val="22"/>
                <w:lang w:bidi="te-IN"/>
              </w:rPr>
              <w:t>↑ 51%</w:t>
            </w:r>
          </w:p>
        </w:tc>
        <w:tc>
          <w:tcPr>
            <w:tcW w:w="2731" w:type="dxa"/>
            <w:shd w:val="clear" w:color="auto" w:fill="auto"/>
          </w:tcPr>
          <w:p w:rsidR="00075FBC" w:rsidRPr="00075FBC" w:rsidRDefault="00075FBC" w:rsidP="00075FBC">
            <w:pPr>
              <w:jc w:val="both"/>
              <w:rPr>
                <w:szCs w:val="22"/>
              </w:rPr>
            </w:pPr>
            <w:r w:rsidRPr="00075FBC">
              <w:rPr>
                <w:color w:val="000000"/>
                <w:szCs w:val="22"/>
              </w:rPr>
              <w:t>Συνιστάται κατάλληλη κλινική παρακολούθηση στους ασθενείς,</w:t>
            </w:r>
            <w:r w:rsidRPr="00075FBC">
              <w:rPr>
                <w:szCs w:val="22"/>
              </w:rPr>
              <w:t xml:space="preserve"> κατόπιν έναρξης ή μεταβολής της δόσης της </w:t>
            </w:r>
            <w:proofErr w:type="spellStart"/>
            <w:r w:rsidRPr="00075FBC">
              <w:rPr>
                <w:szCs w:val="22"/>
              </w:rPr>
              <w:t>διλτιαζέμης</w:t>
            </w:r>
            <w:proofErr w:type="spellEnd"/>
            <w:r w:rsidRPr="00075FBC">
              <w:rPr>
                <w:szCs w:val="22"/>
              </w:rPr>
              <w:t>,</w:t>
            </w:r>
          </w:p>
        </w:tc>
      </w:tr>
      <w:tr w:rsidR="00075FBC" w:rsidRPr="00075FBC" w:rsidTr="00C27A36">
        <w:trPr>
          <w:gridAfter w:val="1"/>
          <w:trHeight w:val="778"/>
          <w:jc w:val="center"/>
        </w:trPr>
        <w:tc>
          <w:tcPr>
            <w:tcW w:w="2962" w:type="dxa"/>
            <w:shd w:val="clear" w:color="auto" w:fill="auto"/>
          </w:tcPr>
          <w:p w:rsidR="00075FBC" w:rsidRPr="00075FBC" w:rsidRDefault="00075FBC" w:rsidP="00075FBC">
            <w:pPr>
              <w:jc w:val="both"/>
              <w:rPr>
                <w:szCs w:val="22"/>
              </w:rPr>
            </w:pPr>
            <w:proofErr w:type="spellStart"/>
            <w:r w:rsidRPr="00075FBC">
              <w:rPr>
                <w:szCs w:val="22"/>
              </w:rPr>
              <w:t>Ερυθρομυκίνη</w:t>
            </w:r>
            <w:proofErr w:type="spellEnd"/>
            <w:r w:rsidRPr="00075FBC">
              <w:rPr>
                <w:szCs w:val="22"/>
              </w:rPr>
              <w:t xml:space="preserve"> 500 </w:t>
            </w:r>
            <w:proofErr w:type="spellStart"/>
            <w:r w:rsidRPr="00075FBC">
              <w:rPr>
                <w:szCs w:val="22"/>
              </w:rPr>
              <w:t>mg</w:t>
            </w:r>
            <w:proofErr w:type="spellEnd"/>
            <w:r w:rsidRPr="00075FBC">
              <w:rPr>
                <w:szCs w:val="22"/>
              </w:rPr>
              <w:t xml:space="preserve"> QID, 7 ημέρες </w:t>
            </w:r>
          </w:p>
        </w:tc>
        <w:tc>
          <w:tcPr>
            <w:tcW w:w="1780" w:type="dxa"/>
            <w:gridSpan w:val="2"/>
            <w:shd w:val="clear" w:color="auto" w:fill="auto"/>
          </w:tcPr>
          <w:p w:rsidR="00075FBC" w:rsidRPr="00075FBC" w:rsidRDefault="00075FBC" w:rsidP="00075FBC">
            <w:pPr>
              <w:jc w:val="both"/>
              <w:rPr>
                <w:szCs w:val="22"/>
              </w:rPr>
            </w:pPr>
            <w:r w:rsidRPr="00075FBC">
              <w:rPr>
                <w:szCs w:val="22"/>
              </w:rPr>
              <w:t xml:space="preserve">10 </w:t>
            </w:r>
            <w:proofErr w:type="spellStart"/>
            <w:r w:rsidRPr="00075FBC">
              <w:rPr>
                <w:szCs w:val="22"/>
              </w:rPr>
              <w:t>mg</w:t>
            </w:r>
            <w:proofErr w:type="spellEnd"/>
            <w:r w:rsidRPr="00075FBC">
              <w:rPr>
                <w:szCs w:val="22"/>
              </w:rPr>
              <w:t xml:space="preserve">, </w:t>
            </w:r>
            <w:r w:rsidRPr="00075FBC">
              <w:rPr>
                <w:color w:val="000000"/>
                <w:szCs w:val="22"/>
              </w:rPr>
              <w:t>SD</w:t>
            </w:r>
          </w:p>
        </w:tc>
        <w:tc>
          <w:tcPr>
            <w:tcW w:w="1320" w:type="dxa"/>
            <w:gridSpan w:val="2"/>
            <w:shd w:val="clear" w:color="auto" w:fill="auto"/>
          </w:tcPr>
          <w:p w:rsidR="00075FBC" w:rsidRPr="00075FBC" w:rsidRDefault="00075FBC" w:rsidP="00075FBC">
            <w:pPr>
              <w:jc w:val="both"/>
              <w:rPr>
                <w:szCs w:val="22"/>
                <w:lang w:bidi="te-IN"/>
              </w:rPr>
            </w:pPr>
            <w:r w:rsidRPr="00075FBC">
              <w:rPr>
                <w:szCs w:val="22"/>
                <w:lang w:bidi="te-IN"/>
              </w:rPr>
              <w:t>↑ 33%^</w:t>
            </w:r>
          </w:p>
        </w:tc>
        <w:tc>
          <w:tcPr>
            <w:tcW w:w="2731" w:type="dxa"/>
            <w:shd w:val="clear" w:color="auto" w:fill="auto"/>
          </w:tcPr>
          <w:p w:rsidR="00075FBC" w:rsidRPr="00075FBC" w:rsidRDefault="00075FBC" w:rsidP="00075FBC">
            <w:pPr>
              <w:jc w:val="both"/>
              <w:rPr>
                <w:szCs w:val="22"/>
              </w:rPr>
            </w:pPr>
            <w:r w:rsidRPr="00075FBC">
              <w:rPr>
                <w:szCs w:val="22"/>
              </w:rPr>
              <w:t xml:space="preserve">Συνιστάται η χαμηλότερη μέγιστη δόση και κλινική παρακολούθηση αυτών των </w:t>
            </w:r>
            <w:r w:rsidRPr="00075FBC">
              <w:rPr>
                <w:szCs w:val="22"/>
              </w:rPr>
              <w:lastRenderedPageBreak/>
              <w:t>ασθενών.</w:t>
            </w:r>
          </w:p>
        </w:tc>
      </w:tr>
      <w:tr w:rsidR="00075FBC" w:rsidRPr="00075FBC" w:rsidTr="00C27A36">
        <w:trPr>
          <w:gridAfter w:val="1"/>
          <w:trHeight w:val="226"/>
          <w:jc w:val="center"/>
        </w:trPr>
        <w:tc>
          <w:tcPr>
            <w:tcW w:w="2962" w:type="dxa"/>
            <w:shd w:val="clear" w:color="auto" w:fill="auto"/>
          </w:tcPr>
          <w:p w:rsidR="00075FBC" w:rsidRPr="00075FBC" w:rsidRDefault="00075FBC" w:rsidP="00075FBC">
            <w:pPr>
              <w:jc w:val="both"/>
              <w:rPr>
                <w:szCs w:val="22"/>
              </w:rPr>
            </w:pPr>
            <w:proofErr w:type="spellStart"/>
            <w:r w:rsidRPr="00075FBC">
              <w:rPr>
                <w:szCs w:val="22"/>
              </w:rPr>
              <w:lastRenderedPageBreak/>
              <w:t>Αμλοδιπίνη</w:t>
            </w:r>
            <w:proofErr w:type="spellEnd"/>
            <w:r w:rsidRPr="00075FBC">
              <w:rPr>
                <w:szCs w:val="22"/>
              </w:rPr>
              <w:t xml:space="preserve"> 10 </w:t>
            </w:r>
            <w:proofErr w:type="spellStart"/>
            <w:r w:rsidRPr="00075FBC">
              <w:rPr>
                <w:szCs w:val="22"/>
              </w:rPr>
              <w:t>mg</w:t>
            </w:r>
            <w:proofErr w:type="spellEnd"/>
            <w:r w:rsidRPr="00075FBC">
              <w:rPr>
                <w:szCs w:val="22"/>
              </w:rPr>
              <w:t xml:space="preserve">, </w:t>
            </w:r>
            <w:r w:rsidRPr="00075FBC">
              <w:rPr>
                <w:color w:val="000000"/>
                <w:szCs w:val="22"/>
              </w:rPr>
              <w:t xml:space="preserve"> SD</w:t>
            </w:r>
          </w:p>
        </w:tc>
        <w:tc>
          <w:tcPr>
            <w:tcW w:w="1780" w:type="dxa"/>
            <w:gridSpan w:val="2"/>
            <w:shd w:val="clear" w:color="auto" w:fill="auto"/>
          </w:tcPr>
          <w:p w:rsidR="00075FBC" w:rsidRPr="00075FBC" w:rsidRDefault="00075FBC" w:rsidP="00075FBC">
            <w:pPr>
              <w:jc w:val="both"/>
              <w:rPr>
                <w:szCs w:val="22"/>
              </w:rPr>
            </w:pPr>
            <w:r w:rsidRPr="00075FBC">
              <w:rPr>
                <w:szCs w:val="22"/>
              </w:rPr>
              <w:t xml:space="preserve">80 </w:t>
            </w:r>
            <w:proofErr w:type="spellStart"/>
            <w:r w:rsidRPr="00075FBC">
              <w:rPr>
                <w:szCs w:val="22"/>
              </w:rPr>
              <w:t>mg</w:t>
            </w:r>
            <w:proofErr w:type="spellEnd"/>
            <w:r w:rsidRPr="00075FBC">
              <w:rPr>
                <w:szCs w:val="22"/>
              </w:rPr>
              <w:t xml:space="preserve">, </w:t>
            </w:r>
            <w:r w:rsidRPr="00075FBC">
              <w:rPr>
                <w:color w:val="000000"/>
                <w:szCs w:val="22"/>
              </w:rPr>
              <w:t>SD</w:t>
            </w:r>
          </w:p>
        </w:tc>
        <w:tc>
          <w:tcPr>
            <w:tcW w:w="1320" w:type="dxa"/>
            <w:gridSpan w:val="2"/>
            <w:shd w:val="clear" w:color="auto" w:fill="auto"/>
          </w:tcPr>
          <w:p w:rsidR="00075FBC" w:rsidRPr="00075FBC" w:rsidRDefault="00075FBC" w:rsidP="00075FBC">
            <w:pPr>
              <w:jc w:val="both"/>
              <w:rPr>
                <w:szCs w:val="22"/>
                <w:lang w:bidi="te-IN"/>
              </w:rPr>
            </w:pPr>
            <w:r w:rsidRPr="00075FBC">
              <w:rPr>
                <w:szCs w:val="22"/>
                <w:lang w:bidi="te-IN"/>
              </w:rPr>
              <w:t xml:space="preserve">↑ 18% </w:t>
            </w:r>
          </w:p>
        </w:tc>
        <w:tc>
          <w:tcPr>
            <w:tcW w:w="2731" w:type="dxa"/>
            <w:shd w:val="clear" w:color="auto" w:fill="auto"/>
          </w:tcPr>
          <w:p w:rsidR="00075FBC" w:rsidRPr="00075FBC" w:rsidRDefault="00075FBC" w:rsidP="00075FBC">
            <w:pPr>
              <w:jc w:val="both"/>
              <w:rPr>
                <w:szCs w:val="22"/>
              </w:rPr>
            </w:pPr>
            <w:r w:rsidRPr="00075FBC">
              <w:rPr>
                <w:color w:val="000000"/>
                <w:szCs w:val="22"/>
              </w:rPr>
              <w:t>Δεν υπάρχει συγκεκριμένη σύσταση.</w:t>
            </w:r>
          </w:p>
        </w:tc>
      </w:tr>
      <w:tr w:rsidR="00075FBC" w:rsidRPr="00075FBC" w:rsidTr="00C27A36">
        <w:trPr>
          <w:gridAfter w:val="1"/>
          <w:trHeight w:val="794"/>
          <w:jc w:val="center"/>
        </w:trPr>
        <w:tc>
          <w:tcPr>
            <w:tcW w:w="2962" w:type="dxa"/>
            <w:shd w:val="clear" w:color="auto" w:fill="auto"/>
          </w:tcPr>
          <w:p w:rsidR="00075FBC" w:rsidRPr="00075FBC" w:rsidRDefault="00075FBC" w:rsidP="00075FBC">
            <w:pPr>
              <w:jc w:val="both"/>
              <w:rPr>
                <w:szCs w:val="22"/>
              </w:rPr>
            </w:pPr>
            <w:proofErr w:type="spellStart"/>
            <w:r w:rsidRPr="00075FBC">
              <w:rPr>
                <w:szCs w:val="22"/>
              </w:rPr>
              <w:t>Σιμετιδίνη</w:t>
            </w:r>
            <w:proofErr w:type="spellEnd"/>
            <w:r w:rsidRPr="00075FBC">
              <w:rPr>
                <w:szCs w:val="22"/>
              </w:rPr>
              <w:t xml:space="preserve"> 300 </w:t>
            </w:r>
            <w:proofErr w:type="spellStart"/>
            <w:r w:rsidRPr="00075FBC">
              <w:rPr>
                <w:szCs w:val="22"/>
              </w:rPr>
              <w:t>mg</w:t>
            </w:r>
            <w:proofErr w:type="spellEnd"/>
            <w:r w:rsidRPr="00075FBC">
              <w:rPr>
                <w:szCs w:val="22"/>
              </w:rPr>
              <w:t xml:space="preserve"> QID, 2 εβδομάδες</w:t>
            </w:r>
          </w:p>
        </w:tc>
        <w:tc>
          <w:tcPr>
            <w:tcW w:w="1780" w:type="dxa"/>
            <w:gridSpan w:val="2"/>
            <w:shd w:val="clear" w:color="auto" w:fill="auto"/>
          </w:tcPr>
          <w:p w:rsidR="00075FBC" w:rsidRPr="00075FBC" w:rsidRDefault="00075FBC" w:rsidP="00075FBC">
            <w:pPr>
              <w:jc w:val="both"/>
              <w:rPr>
                <w:szCs w:val="22"/>
              </w:rPr>
            </w:pPr>
            <w:r w:rsidRPr="00075FBC">
              <w:rPr>
                <w:szCs w:val="22"/>
              </w:rPr>
              <w:t xml:space="preserve">10 </w:t>
            </w:r>
            <w:proofErr w:type="spellStart"/>
            <w:r w:rsidRPr="00075FBC">
              <w:rPr>
                <w:szCs w:val="22"/>
              </w:rPr>
              <w:t>mg</w:t>
            </w:r>
            <w:proofErr w:type="spellEnd"/>
            <w:r w:rsidRPr="00075FBC">
              <w:rPr>
                <w:szCs w:val="22"/>
              </w:rPr>
              <w:t xml:space="preserve"> OD για2 εβδομάδες</w:t>
            </w:r>
          </w:p>
        </w:tc>
        <w:tc>
          <w:tcPr>
            <w:tcW w:w="1320" w:type="dxa"/>
            <w:gridSpan w:val="2"/>
            <w:shd w:val="clear" w:color="auto" w:fill="auto"/>
          </w:tcPr>
          <w:p w:rsidR="00075FBC" w:rsidRPr="00075FBC" w:rsidRDefault="00075FBC" w:rsidP="00075FBC">
            <w:pPr>
              <w:jc w:val="both"/>
              <w:rPr>
                <w:szCs w:val="22"/>
                <w:lang w:bidi="te-IN"/>
              </w:rPr>
            </w:pPr>
            <w:r w:rsidRPr="00075FBC">
              <w:rPr>
                <w:szCs w:val="22"/>
                <w:lang w:bidi="te-IN"/>
              </w:rPr>
              <w:t>↓ λιγότερο από 1%^</w:t>
            </w:r>
          </w:p>
        </w:tc>
        <w:tc>
          <w:tcPr>
            <w:tcW w:w="2731" w:type="dxa"/>
            <w:shd w:val="clear" w:color="auto" w:fill="auto"/>
          </w:tcPr>
          <w:p w:rsidR="00075FBC" w:rsidRPr="00075FBC" w:rsidRDefault="00075FBC" w:rsidP="00075FBC">
            <w:pPr>
              <w:jc w:val="both"/>
              <w:rPr>
                <w:szCs w:val="22"/>
              </w:rPr>
            </w:pPr>
            <w:r w:rsidRPr="00075FBC">
              <w:rPr>
                <w:color w:val="000000"/>
                <w:szCs w:val="22"/>
              </w:rPr>
              <w:t>Δεν υπάρχει συγκεκριμένη σύσταση.</w:t>
            </w:r>
          </w:p>
        </w:tc>
      </w:tr>
      <w:tr w:rsidR="00075FBC" w:rsidRPr="00075FBC" w:rsidTr="00C27A36">
        <w:trPr>
          <w:jc w:val="center"/>
        </w:trPr>
        <w:tc>
          <w:tcPr>
            <w:tcW w:w="2988" w:type="dxa"/>
            <w:gridSpan w:val="2"/>
            <w:shd w:val="clear" w:color="auto" w:fill="auto"/>
          </w:tcPr>
          <w:p w:rsidR="00075FBC" w:rsidRPr="00075FBC" w:rsidRDefault="00075FBC" w:rsidP="00075FBC">
            <w:pPr>
              <w:jc w:val="both"/>
              <w:rPr>
                <w:szCs w:val="22"/>
              </w:rPr>
            </w:pPr>
            <w:proofErr w:type="spellStart"/>
            <w:r w:rsidRPr="00075FBC">
              <w:rPr>
                <w:szCs w:val="22"/>
              </w:rPr>
              <w:t>Αντιόξινο</w:t>
            </w:r>
            <w:proofErr w:type="spellEnd"/>
            <w:r w:rsidRPr="00075FBC">
              <w:rPr>
                <w:szCs w:val="22"/>
              </w:rPr>
              <w:t xml:space="preserve"> εναιώρημα υδροξειδίων μαγνησίου και αλουμινίου, 30 </w:t>
            </w:r>
            <w:proofErr w:type="spellStart"/>
            <w:r w:rsidRPr="00075FBC">
              <w:rPr>
                <w:szCs w:val="22"/>
              </w:rPr>
              <w:t>mL</w:t>
            </w:r>
            <w:proofErr w:type="spellEnd"/>
            <w:r w:rsidRPr="00075FBC">
              <w:rPr>
                <w:szCs w:val="22"/>
              </w:rPr>
              <w:t xml:space="preserve"> QID, 2 εβδομάδες</w:t>
            </w:r>
          </w:p>
        </w:tc>
        <w:tc>
          <w:tcPr>
            <w:tcW w:w="1795" w:type="dxa"/>
            <w:gridSpan w:val="2"/>
            <w:shd w:val="clear" w:color="auto" w:fill="auto"/>
          </w:tcPr>
          <w:p w:rsidR="00075FBC" w:rsidRPr="00075FBC" w:rsidRDefault="00075FBC" w:rsidP="00075FBC">
            <w:pPr>
              <w:jc w:val="both"/>
              <w:rPr>
                <w:szCs w:val="22"/>
              </w:rPr>
            </w:pPr>
            <w:r w:rsidRPr="00075FBC">
              <w:rPr>
                <w:szCs w:val="22"/>
              </w:rPr>
              <w:t xml:space="preserve">10 </w:t>
            </w:r>
            <w:proofErr w:type="spellStart"/>
            <w:r w:rsidRPr="00075FBC">
              <w:rPr>
                <w:szCs w:val="22"/>
              </w:rPr>
              <w:t>mg</w:t>
            </w:r>
            <w:proofErr w:type="spellEnd"/>
            <w:r w:rsidRPr="00075FBC">
              <w:rPr>
                <w:szCs w:val="22"/>
              </w:rPr>
              <w:t xml:space="preserve"> OD για 4 εβδομάδες</w:t>
            </w:r>
          </w:p>
        </w:tc>
        <w:tc>
          <w:tcPr>
            <w:tcW w:w="1279" w:type="dxa"/>
            <w:shd w:val="clear" w:color="auto" w:fill="auto"/>
          </w:tcPr>
          <w:p w:rsidR="00075FBC" w:rsidRPr="00075FBC" w:rsidRDefault="00075FBC" w:rsidP="00075FBC">
            <w:pPr>
              <w:jc w:val="both"/>
              <w:rPr>
                <w:szCs w:val="22"/>
                <w:lang w:bidi="te-IN"/>
              </w:rPr>
            </w:pPr>
            <w:r w:rsidRPr="00075FBC">
              <w:rPr>
                <w:szCs w:val="22"/>
                <w:lang w:bidi="te-IN"/>
              </w:rPr>
              <w:t>↓ 35%^</w:t>
            </w:r>
          </w:p>
        </w:tc>
        <w:tc>
          <w:tcPr>
            <w:tcW w:w="2806" w:type="dxa"/>
            <w:gridSpan w:val="2"/>
            <w:shd w:val="clear" w:color="auto" w:fill="auto"/>
          </w:tcPr>
          <w:p w:rsidR="00075FBC" w:rsidRPr="00075FBC" w:rsidRDefault="00075FBC" w:rsidP="00075FBC">
            <w:pPr>
              <w:jc w:val="both"/>
              <w:rPr>
                <w:szCs w:val="22"/>
              </w:rPr>
            </w:pPr>
            <w:r w:rsidRPr="00075FBC">
              <w:rPr>
                <w:color w:val="000000"/>
                <w:szCs w:val="22"/>
              </w:rPr>
              <w:t>Δεν υπάρχει συγκεκριμένη σύσταση.</w:t>
            </w:r>
          </w:p>
        </w:tc>
      </w:tr>
      <w:tr w:rsidR="00075FBC" w:rsidRPr="00075FBC" w:rsidTr="00C27A36">
        <w:trPr>
          <w:jc w:val="center"/>
        </w:trPr>
        <w:tc>
          <w:tcPr>
            <w:tcW w:w="2988" w:type="dxa"/>
            <w:gridSpan w:val="2"/>
            <w:shd w:val="clear" w:color="auto" w:fill="auto"/>
          </w:tcPr>
          <w:p w:rsidR="00075FBC" w:rsidRPr="00075FBC" w:rsidRDefault="00075FBC" w:rsidP="00075FBC">
            <w:pPr>
              <w:jc w:val="both"/>
              <w:rPr>
                <w:szCs w:val="22"/>
              </w:rPr>
            </w:pPr>
            <w:proofErr w:type="spellStart"/>
            <w:r w:rsidRPr="00075FBC">
              <w:rPr>
                <w:szCs w:val="22"/>
              </w:rPr>
              <w:t>Efavirenz</w:t>
            </w:r>
            <w:proofErr w:type="spellEnd"/>
            <w:r w:rsidRPr="00075FBC">
              <w:rPr>
                <w:szCs w:val="22"/>
              </w:rPr>
              <w:t xml:space="preserve"> 600 </w:t>
            </w:r>
            <w:proofErr w:type="spellStart"/>
            <w:r w:rsidRPr="00075FBC">
              <w:rPr>
                <w:szCs w:val="22"/>
              </w:rPr>
              <w:t>mg</w:t>
            </w:r>
            <w:proofErr w:type="spellEnd"/>
            <w:r w:rsidRPr="00075FBC">
              <w:rPr>
                <w:szCs w:val="22"/>
              </w:rPr>
              <w:t xml:space="preserve"> OD, 14</w:t>
            </w:r>
            <w:r w:rsidRPr="00075FBC">
              <w:rPr>
                <w:color w:val="000000"/>
                <w:szCs w:val="22"/>
              </w:rPr>
              <w:t xml:space="preserve"> ημέρες</w:t>
            </w:r>
          </w:p>
        </w:tc>
        <w:tc>
          <w:tcPr>
            <w:tcW w:w="1795" w:type="dxa"/>
            <w:gridSpan w:val="2"/>
            <w:shd w:val="clear" w:color="auto" w:fill="auto"/>
          </w:tcPr>
          <w:p w:rsidR="00075FBC" w:rsidRPr="00075FBC" w:rsidRDefault="00075FBC" w:rsidP="00075FBC">
            <w:pPr>
              <w:jc w:val="both"/>
              <w:rPr>
                <w:szCs w:val="22"/>
              </w:rPr>
            </w:pPr>
            <w:r w:rsidRPr="00075FBC">
              <w:rPr>
                <w:szCs w:val="22"/>
              </w:rPr>
              <w:t xml:space="preserve">10 </w:t>
            </w:r>
            <w:proofErr w:type="spellStart"/>
            <w:r w:rsidRPr="00075FBC">
              <w:rPr>
                <w:szCs w:val="22"/>
              </w:rPr>
              <w:t>mg</w:t>
            </w:r>
            <w:proofErr w:type="spellEnd"/>
            <w:r w:rsidRPr="00075FBC">
              <w:rPr>
                <w:szCs w:val="22"/>
              </w:rPr>
              <w:t xml:space="preserve"> για 3</w:t>
            </w:r>
            <w:r w:rsidRPr="00075FBC">
              <w:rPr>
                <w:color w:val="000000"/>
                <w:szCs w:val="22"/>
              </w:rPr>
              <w:t xml:space="preserve"> ημέρες</w:t>
            </w:r>
          </w:p>
        </w:tc>
        <w:tc>
          <w:tcPr>
            <w:tcW w:w="1279" w:type="dxa"/>
            <w:shd w:val="clear" w:color="auto" w:fill="auto"/>
          </w:tcPr>
          <w:p w:rsidR="00075FBC" w:rsidRPr="00075FBC" w:rsidRDefault="00075FBC" w:rsidP="00075FBC">
            <w:pPr>
              <w:jc w:val="both"/>
              <w:rPr>
                <w:szCs w:val="22"/>
                <w:lang w:bidi="te-IN"/>
              </w:rPr>
            </w:pPr>
            <w:r w:rsidRPr="00075FBC">
              <w:rPr>
                <w:szCs w:val="22"/>
                <w:lang w:bidi="te-IN"/>
              </w:rPr>
              <w:t>↓ 41%</w:t>
            </w:r>
          </w:p>
        </w:tc>
        <w:tc>
          <w:tcPr>
            <w:tcW w:w="2806" w:type="dxa"/>
            <w:gridSpan w:val="2"/>
            <w:shd w:val="clear" w:color="auto" w:fill="auto"/>
          </w:tcPr>
          <w:p w:rsidR="00075FBC" w:rsidRPr="00075FBC" w:rsidRDefault="00075FBC" w:rsidP="00075FBC">
            <w:pPr>
              <w:jc w:val="both"/>
              <w:rPr>
                <w:szCs w:val="22"/>
              </w:rPr>
            </w:pPr>
            <w:r w:rsidRPr="00075FBC">
              <w:rPr>
                <w:color w:val="000000"/>
                <w:szCs w:val="22"/>
              </w:rPr>
              <w:t>Δεν υπάρχει συγκεκριμένη σύσταση.</w:t>
            </w:r>
          </w:p>
        </w:tc>
      </w:tr>
      <w:tr w:rsidR="00075FBC" w:rsidRPr="00075FBC" w:rsidTr="00C27A36">
        <w:trPr>
          <w:trHeight w:val="254"/>
          <w:jc w:val="center"/>
        </w:trPr>
        <w:tc>
          <w:tcPr>
            <w:tcW w:w="2988" w:type="dxa"/>
            <w:gridSpan w:val="2"/>
            <w:shd w:val="clear" w:color="auto" w:fill="auto"/>
          </w:tcPr>
          <w:p w:rsidR="00075FBC" w:rsidRPr="00075FBC" w:rsidRDefault="00075FBC" w:rsidP="00075FBC">
            <w:pPr>
              <w:jc w:val="both"/>
              <w:rPr>
                <w:szCs w:val="22"/>
              </w:rPr>
            </w:pPr>
            <w:proofErr w:type="spellStart"/>
            <w:r w:rsidRPr="00075FBC">
              <w:rPr>
                <w:szCs w:val="22"/>
              </w:rPr>
              <w:t>Ριφαμπικίνη</w:t>
            </w:r>
            <w:proofErr w:type="spellEnd"/>
            <w:r w:rsidRPr="00075FBC">
              <w:rPr>
                <w:szCs w:val="22"/>
              </w:rPr>
              <w:t xml:space="preserve"> 600 </w:t>
            </w:r>
            <w:proofErr w:type="spellStart"/>
            <w:r w:rsidRPr="00075FBC">
              <w:rPr>
                <w:szCs w:val="22"/>
              </w:rPr>
              <w:t>mg</w:t>
            </w:r>
            <w:proofErr w:type="spellEnd"/>
            <w:r w:rsidRPr="00075FBC">
              <w:rPr>
                <w:szCs w:val="22"/>
              </w:rPr>
              <w:t xml:space="preserve"> OD, 7</w:t>
            </w:r>
            <w:r w:rsidRPr="00075FBC">
              <w:rPr>
                <w:color w:val="000000"/>
                <w:szCs w:val="22"/>
              </w:rPr>
              <w:t xml:space="preserve"> ημέρες</w:t>
            </w:r>
            <w:r w:rsidRPr="00075FBC">
              <w:rPr>
                <w:szCs w:val="22"/>
              </w:rPr>
              <w:t xml:space="preserve"> (</w:t>
            </w:r>
            <w:proofErr w:type="spellStart"/>
            <w:r w:rsidRPr="00075FBC">
              <w:rPr>
                <w:szCs w:val="22"/>
              </w:rPr>
              <w:t>συγχορηγούμενη</w:t>
            </w:r>
            <w:proofErr w:type="spellEnd"/>
            <w:r w:rsidRPr="00075FBC">
              <w:rPr>
                <w:szCs w:val="22"/>
              </w:rPr>
              <w:t xml:space="preserve">) </w:t>
            </w:r>
          </w:p>
        </w:tc>
        <w:tc>
          <w:tcPr>
            <w:tcW w:w="1795" w:type="dxa"/>
            <w:gridSpan w:val="2"/>
            <w:shd w:val="clear" w:color="auto" w:fill="auto"/>
          </w:tcPr>
          <w:p w:rsidR="00075FBC" w:rsidRPr="00075FBC" w:rsidRDefault="00075FBC" w:rsidP="00075FBC">
            <w:pPr>
              <w:jc w:val="both"/>
              <w:rPr>
                <w:szCs w:val="22"/>
              </w:rPr>
            </w:pPr>
            <w:r w:rsidRPr="00075FBC">
              <w:rPr>
                <w:szCs w:val="22"/>
              </w:rPr>
              <w:t xml:space="preserve">40 </w:t>
            </w:r>
            <w:proofErr w:type="spellStart"/>
            <w:r w:rsidRPr="00075FBC">
              <w:rPr>
                <w:szCs w:val="22"/>
              </w:rPr>
              <w:t>mg</w:t>
            </w:r>
            <w:proofErr w:type="spellEnd"/>
            <w:r w:rsidRPr="00075FBC">
              <w:rPr>
                <w:szCs w:val="22"/>
              </w:rPr>
              <w:t xml:space="preserve"> SD</w:t>
            </w:r>
          </w:p>
        </w:tc>
        <w:tc>
          <w:tcPr>
            <w:tcW w:w="1279" w:type="dxa"/>
            <w:shd w:val="clear" w:color="auto" w:fill="auto"/>
          </w:tcPr>
          <w:p w:rsidR="00075FBC" w:rsidRPr="00075FBC" w:rsidRDefault="00075FBC" w:rsidP="00075FBC">
            <w:pPr>
              <w:jc w:val="both"/>
              <w:rPr>
                <w:szCs w:val="22"/>
                <w:lang w:bidi="te-IN"/>
              </w:rPr>
            </w:pPr>
            <w:r w:rsidRPr="00075FBC">
              <w:rPr>
                <w:szCs w:val="22"/>
                <w:lang w:bidi="te-IN"/>
              </w:rPr>
              <w:t>↑ 30%</w:t>
            </w:r>
          </w:p>
        </w:tc>
        <w:tc>
          <w:tcPr>
            <w:tcW w:w="2806" w:type="dxa"/>
            <w:gridSpan w:val="2"/>
            <w:vMerge w:val="restart"/>
            <w:shd w:val="clear" w:color="auto" w:fill="auto"/>
          </w:tcPr>
          <w:p w:rsidR="00075FBC" w:rsidRPr="00075FBC" w:rsidRDefault="00075FBC" w:rsidP="00075FBC">
            <w:pPr>
              <w:jc w:val="both"/>
              <w:rPr>
                <w:szCs w:val="22"/>
              </w:rPr>
            </w:pPr>
            <w:r w:rsidRPr="00075FBC">
              <w:rPr>
                <w:color w:val="000000"/>
                <w:szCs w:val="22"/>
              </w:rPr>
              <w:t xml:space="preserve">Εάν η </w:t>
            </w:r>
            <w:proofErr w:type="spellStart"/>
            <w:r w:rsidRPr="00075FBC">
              <w:rPr>
                <w:color w:val="000000"/>
                <w:szCs w:val="22"/>
              </w:rPr>
              <w:t>συγχορήγηση</w:t>
            </w:r>
            <w:proofErr w:type="spellEnd"/>
            <w:r w:rsidRPr="00075FBC">
              <w:rPr>
                <w:color w:val="000000"/>
                <w:szCs w:val="22"/>
              </w:rPr>
              <w:t xml:space="preserve"> δεν μπορεί να αποφευχθεί</w:t>
            </w:r>
            <w:r w:rsidRPr="00075FBC">
              <w:rPr>
                <w:szCs w:val="22"/>
              </w:rPr>
              <w:t xml:space="preserve">, συνιστάται ταυτόχρονη </w:t>
            </w:r>
            <w:proofErr w:type="spellStart"/>
            <w:r w:rsidRPr="00075FBC">
              <w:rPr>
                <w:szCs w:val="22"/>
              </w:rPr>
              <w:t>συγχορήγηση</w:t>
            </w:r>
            <w:proofErr w:type="spellEnd"/>
            <w:r w:rsidRPr="00075FBC">
              <w:rPr>
                <w:szCs w:val="22"/>
              </w:rPr>
              <w:t xml:space="preserve"> </w:t>
            </w:r>
            <w:proofErr w:type="spellStart"/>
            <w:r w:rsidRPr="00075FBC">
              <w:rPr>
                <w:szCs w:val="22"/>
              </w:rPr>
              <w:t>ατορβαστατίνης</w:t>
            </w:r>
            <w:proofErr w:type="spellEnd"/>
            <w:r w:rsidRPr="00075FBC">
              <w:rPr>
                <w:szCs w:val="22"/>
              </w:rPr>
              <w:t xml:space="preserve"> με </w:t>
            </w:r>
            <w:proofErr w:type="spellStart"/>
            <w:r w:rsidRPr="00075FBC">
              <w:rPr>
                <w:szCs w:val="22"/>
              </w:rPr>
              <w:t>ριφαμπικίνη</w:t>
            </w:r>
            <w:proofErr w:type="spellEnd"/>
            <w:r w:rsidRPr="00075FBC">
              <w:rPr>
                <w:szCs w:val="22"/>
              </w:rPr>
              <w:t>, με κλινική παρακολούθηση.</w:t>
            </w:r>
          </w:p>
        </w:tc>
      </w:tr>
      <w:tr w:rsidR="00075FBC" w:rsidRPr="00075FBC" w:rsidTr="00C27A36">
        <w:trPr>
          <w:jc w:val="center"/>
        </w:trPr>
        <w:tc>
          <w:tcPr>
            <w:tcW w:w="2988" w:type="dxa"/>
            <w:gridSpan w:val="2"/>
            <w:shd w:val="clear" w:color="auto" w:fill="auto"/>
          </w:tcPr>
          <w:p w:rsidR="00075FBC" w:rsidRPr="00075FBC" w:rsidRDefault="00075FBC" w:rsidP="00075FBC">
            <w:pPr>
              <w:jc w:val="both"/>
              <w:rPr>
                <w:szCs w:val="22"/>
              </w:rPr>
            </w:pPr>
            <w:proofErr w:type="spellStart"/>
            <w:r w:rsidRPr="00075FBC">
              <w:rPr>
                <w:szCs w:val="22"/>
              </w:rPr>
              <w:t>Ριφαμπικίνη</w:t>
            </w:r>
            <w:proofErr w:type="spellEnd"/>
            <w:r w:rsidRPr="00075FBC">
              <w:rPr>
                <w:szCs w:val="22"/>
              </w:rPr>
              <w:t xml:space="preserve"> 600 </w:t>
            </w:r>
            <w:proofErr w:type="spellStart"/>
            <w:r w:rsidRPr="00075FBC">
              <w:rPr>
                <w:szCs w:val="22"/>
              </w:rPr>
              <w:t>mg</w:t>
            </w:r>
            <w:proofErr w:type="spellEnd"/>
            <w:r w:rsidRPr="00075FBC">
              <w:rPr>
                <w:szCs w:val="22"/>
              </w:rPr>
              <w:t xml:space="preserve"> OD, 5</w:t>
            </w:r>
            <w:r w:rsidRPr="00075FBC">
              <w:rPr>
                <w:color w:val="000000"/>
                <w:szCs w:val="22"/>
              </w:rPr>
              <w:t xml:space="preserve"> ημέρες</w:t>
            </w:r>
            <w:r w:rsidRPr="00075FBC">
              <w:rPr>
                <w:szCs w:val="22"/>
              </w:rPr>
              <w:t xml:space="preserve"> (χωριστές δόσεις)</w:t>
            </w:r>
          </w:p>
        </w:tc>
        <w:tc>
          <w:tcPr>
            <w:tcW w:w="1795" w:type="dxa"/>
            <w:gridSpan w:val="2"/>
            <w:shd w:val="clear" w:color="auto" w:fill="auto"/>
          </w:tcPr>
          <w:p w:rsidR="00075FBC" w:rsidRPr="00075FBC" w:rsidRDefault="00075FBC" w:rsidP="00075FBC">
            <w:pPr>
              <w:jc w:val="both"/>
              <w:rPr>
                <w:szCs w:val="22"/>
              </w:rPr>
            </w:pPr>
            <w:r w:rsidRPr="00075FBC">
              <w:rPr>
                <w:szCs w:val="22"/>
              </w:rPr>
              <w:t xml:space="preserve">40 </w:t>
            </w:r>
            <w:proofErr w:type="spellStart"/>
            <w:r w:rsidRPr="00075FBC">
              <w:rPr>
                <w:szCs w:val="22"/>
              </w:rPr>
              <w:t>mg</w:t>
            </w:r>
            <w:proofErr w:type="spellEnd"/>
            <w:r w:rsidRPr="00075FBC">
              <w:rPr>
                <w:szCs w:val="22"/>
              </w:rPr>
              <w:t xml:space="preserve"> SD</w:t>
            </w:r>
          </w:p>
        </w:tc>
        <w:tc>
          <w:tcPr>
            <w:tcW w:w="1279" w:type="dxa"/>
            <w:shd w:val="clear" w:color="auto" w:fill="auto"/>
          </w:tcPr>
          <w:p w:rsidR="00075FBC" w:rsidRPr="00075FBC" w:rsidRDefault="00075FBC" w:rsidP="00075FBC">
            <w:pPr>
              <w:jc w:val="both"/>
              <w:rPr>
                <w:szCs w:val="22"/>
                <w:lang w:bidi="te-IN"/>
              </w:rPr>
            </w:pPr>
            <w:r w:rsidRPr="00075FBC">
              <w:rPr>
                <w:szCs w:val="22"/>
                <w:lang w:bidi="te-IN"/>
              </w:rPr>
              <w:t>↓ 80%</w:t>
            </w:r>
          </w:p>
        </w:tc>
        <w:tc>
          <w:tcPr>
            <w:tcW w:w="2806" w:type="dxa"/>
            <w:gridSpan w:val="2"/>
            <w:vMerge/>
            <w:shd w:val="clear" w:color="auto" w:fill="auto"/>
          </w:tcPr>
          <w:p w:rsidR="00075FBC" w:rsidRPr="00075FBC" w:rsidRDefault="00075FBC" w:rsidP="00075FBC">
            <w:pPr>
              <w:jc w:val="both"/>
              <w:rPr>
                <w:szCs w:val="22"/>
              </w:rPr>
            </w:pPr>
          </w:p>
        </w:tc>
      </w:tr>
      <w:tr w:rsidR="00075FBC" w:rsidRPr="00075FBC" w:rsidTr="00C27A36">
        <w:trPr>
          <w:jc w:val="center"/>
        </w:trPr>
        <w:tc>
          <w:tcPr>
            <w:tcW w:w="2988" w:type="dxa"/>
            <w:gridSpan w:val="2"/>
            <w:shd w:val="clear" w:color="auto" w:fill="auto"/>
          </w:tcPr>
          <w:p w:rsidR="00075FBC" w:rsidRPr="00075FBC" w:rsidRDefault="00075FBC" w:rsidP="00075FBC">
            <w:pPr>
              <w:jc w:val="both"/>
              <w:rPr>
                <w:szCs w:val="22"/>
              </w:rPr>
            </w:pPr>
            <w:proofErr w:type="spellStart"/>
            <w:r w:rsidRPr="00075FBC">
              <w:rPr>
                <w:szCs w:val="22"/>
              </w:rPr>
              <w:t>Γεμφιβροζίλη</w:t>
            </w:r>
            <w:proofErr w:type="spellEnd"/>
            <w:r w:rsidRPr="00075FBC">
              <w:rPr>
                <w:szCs w:val="22"/>
              </w:rPr>
              <w:t xml:space="preserve"> 600 </w:t>
            </w:r>
            <w:proofErr w:type="spellStart"/>
            <w:r w:rsidRPr="00075FBC">
              <w:rPr>
                <w:szCs w:val="22"/>
              </w:rPr>
              <w:t>mg</w:t>
            </w:r>
            <w:proofErr w:type="spellEnd"/>
            <w:r w:rsidRPr="00075FBC">
              <w:rPr>
                <w:szCs w:val="22"/>
              </w:rPr>
              <w:t xml:space="preserve"> BID, 7</w:t>
            </w:r>
            <w:r w:rsidRPr="00075FBC">
              <w:rPr>
                <w:color w:val="000000"/>
                <w:szCs w:val="22"/>
              </w:rPr>
              <w:t xml:space="preserve"> ημέρες</w:t>
            </w:r>
          </w:p>
        </w:tc>
        <w:tc>
          <w:tcPr>
            <w:tcW w:w="1795" w:type="dxa"/>
            <w:gridSpan w:val="2"/>
            <w:shd w:val="clear" w:color="auto" w:fill="auto"/>
          </w:tcPr>
          <w:p w:rsidR="00075FBC" w:rsidRPr="00075FBC" w:rsidRDefault="00075FBC" w:rsidP="00075FBC">
            <w:pPr>
              <w:jc w:val="both"/>
              <w:rPr>
                <w:szCs w:val="22"/>
              </w:rPr>
            </w:pPr>
            <w:r w:rsidRPr="00075FBC">
              <w:rPr>
                <w:szCs w:val="22"/>
              </w:rPr>
              <w:t xml:space="preserve">40 </w:t>
            </w:r>
            <w:proofErr w:type="spellStart"/>
            <w:r w:rsidRPr="00075FBC">
              <w:rPr>
                <w:szCs w:val="22"/>
              </w:rPr>
              <w:t>mg</w:t>
            </w:r>
            <w:proofErr w:type="spellEnd"/>
            <w:r w:rsidRPr="00075FBC">
              <w:rPr>
                <w:szCs w:val="22"/>
              </w:rPr>
              <w:t xml:space="preserve"> SD  </w:t>
            </w:r>
          </w:p>
        </w:tc>
        <w:tc>
          <w:tcPr>
            <w:tcW w:w="1279" w:type="dxa"/>
            <w:shd w:val="clear" w:color="auto" w:fill="auto"/>
          </w:tcPr>
          <w:p w:rsidR="00075FBC" w:rsidRPr="00075FBC" w:rsidRDefault="00075FBC" w:rsidP="00075FBC">
            <w:pPr>
              <w:jc w:val="both"/>
              <w:rPr>
                <w:szCs w:val="22"/>
                <w:lang w:bidi="te-IN"/>
              </w:rPr>
            </w:pPr>
            <w:r w:rsidRPr="00075FBC">
              <w:rPr>
                <w:szCs w:val="22"/>
              </w:rPr>
              <w:t xml:space="preserve">↑ 35% </w:t>
            </w:r>
          </w:p>
        </w:tc>
        <w:tc>
          <w:tcPr>
            <w:tcW w:w="2806" w:type="dxa"/>
            <w:gridSpan w:val="2"/>
            <w:shd w:val="clear" w:color="auto" w:fill="auto"/>
          </w:tcPr>
          <w:p w:rsidR="00075FBC" w:rsidRPr="00075FBC" w:rsidRDefault="00075FBC" w:rsidP="00075FBC">
            <w:pPr>
              <w:jc w:val="both"/>
              <w:rPr>
                <w:szCs w:val="22"/>
              </w:rPr>
            </w:pPr>
            <w:r w:rsidRPr="00075FBC">
              <w:rPr>
                <w:szCs w:val="22"/>
              </w:rPr>
              <w:t>Συνιστάται χαμηλότερη δόση έναρξης και κλινική παρακολούθηση αυτών των ασθενών.</w:t>
            </w:r>
          </w:p>
        </w:tc>
      </w:tr>
      <w:tr w:rsidR="00075FBC" w:rsidRPr="00075FBC" w:rsidTr="00C27A36">
        <w:trPr>
          <w:jc w:val="center"/>
        </w:trPr>
        <w:tc>
          <w:tcPr>
            <w:tcW w:w="2988" w:type="dxa"/>
            <w:gridSpan w:val="2"/>
            <w:shd w:val="clear" w:color="auto" w:fill="auto"/>
          </w:tcPr>
          <w:p w:rsidR="00075FBC" w:rsidRPr="00075FBC" w:rsidRDefault="00075FBC" w:rsidP="00075FBC">
            <w:pPr>
              <w:jc w:val="both"/>
              <w:rPr>
                <w:szCs w:val="22"/>
              </w:rPr>
            </w:pPr>
            <w:proofErr w:type="spellStart"/>
            <w:r w:rsidRPr="00075FBC">
              <w:rPr>
                <w:szCs w:val="22"/>
              </w:rPr>
              <w:t>Φαινοφιβράτη</w:t>
            </w:r>
            <w:proofErr w:type="spellEnd"/>
            <w:r w:rsidRPr="00075FBC">
              <w:rPr>
                <w:szCs w:val="22"/>
              </w:rPr>
              <w:t xml:space="preserve"> 160 </w:t>
            </w:r>
            <w:proofErr w:type="spellStart"/>
            <w:r w:rsidRPr="00075FBC">
              <w:rPr>
                <w:szCs w:val="22"/>
              </w:rPr>
              <w:t>mg</w:t>
            </w:r>
            <w:proofErr w:type="spellEnd"/>
            <w:r w:rsidRPr="00075FBC">
              <w:rPr>
                <w:szCs w:val="22"/>
              </w:rPr>
              <w:t xml:space="preserve"> OD, 7 ημέρες</w:t>
            </w:r>
          </w:p>
        </w:tc>
        <w:tc>
          <w:tcPr>
            <w:tcW w:w="1795" w:type="dxa"/>
            <w:gridSpan w:val="2"/>
            <w:shd w:val="clear" w:color="auto" w:fill="auto"/>
          </w:tcPr>
          <w:p w:rsidR="00075FBC" w:rsidRPr="00075FBC" w:rsidRDefault="00075FBC" w:rsidP="00075FBC">
            <w:pPr>
              <w:jc w:val="both"/>
              <w:rPr>
                <w:szCs w:val="22"/>
              </w:rPr>
            </w:pPr>
            <w:r w:rsidRPr="00075FBC">
              <w:rPr>
                <w:szCs w:val="22"/>
              </w:rPr>
              <w:t xml:space="preserve">40 </w:t>
            </w:r>
            <w:proofErr w:type="spellStart"/>
            <w:r w:rsidRPr="00075FBC">
              <w:rPr>
                <w:szCs w:val="22"/>
              </w:rPr>
              <w:t>mg</w:t>
            </w:r>
            <w:proofErr w:type="spellEnd"/>
            <w:r w:rsidRPr="00075FBC">
              <w:rPr>
                <w:szCs w:val="22"/>
              </w:rPr>
              <w:t xml:space="preserve"> SD </w:t>
            </w:r>
          </w:p>
        </w:tc>
        <w:tc>
          <w:tcPr>
            <w:tcW w:w="1279" w:type="dxa"/>
            <w:shd w:val="clear" w:color="auto" w:fill="auto"/>
          </w:tcPr>
          <w:p w:rsidR="00075FBC" w:rsidRPr="00075FBC" w:rsidRDefault="00075FBC" w:rsidP="00075FBC">
            <w:pPr>
              <w:jc w:val="both"/>
              <w:rPr>
                <w:szCs w:val="22"/>
                <w:lang w:bidi="te-IN"/>
              </w:rPr>
            </w:pPr>
            <w:r w:rsidRPr="00075FBC">
              <w:rPr>
                <w:szCs w:val="22"/>
              </w:rPr>
              <w:t>↑ 3%</w:t>
            </w:r>
          </w:p>
        </w:tc>
        <w:tc>
          <w:tcPr>
            <w:tcW w:w="2806" w:type="dxa"/>
            <w:gridSpan w:val="2"/>
            <w:shd w:val="clear" w:color="auto" w:fill="auto"/>
          </w:tcPr>
          <w:p w:rsidR="00075FBC" w:rsidRPr="00075FBC" w:rsidRDefault="00075FBC" w:rsidP="00075FBC">
            <w:pPr>
              <w:jc w:val="both"/>
              <w:rPr>
                <w:szCs w:val="22"/>
              </w:rPr>
            </w:pPr>
            <w:r w:rsidRPr="00075FBC">
              <w:rPr>
                <w:szCs w:val="22"/>
              </w:rPr>
              <w:t>Συνιστάται χαμηλότερη δόση έναρξης και κλινική παρακολούθηση αυτών των ασθενών.</w:t>
            </w:r>
          </w:p>
        </w:tc>
      </w:tr>
      <w:tr w:rsidR="00075FBC" w:rsidRPr="00075FBC" w:rsidTr="00C27A36">
        <w:trPr>
          <w:jc w:val="center"/>
        </w:trPr>
        <w:tc>
          <w:tcPr>
            <w:tcW w:w="2988" w:type="dxa"/>
            <w:gridSpan w:val="2"/>
            <w:shd w:val="clear" w:color="auto" w:fill="auto"/>
          </w:tcPr>
          <w:p w:rsidR="00075FBC" w:rsidRPr="00075FBC" w:rsidRDefault="00075FBC" w:rsidP="00075FBC">
            <w:pPr>
              <w:jc w:val="both"/>
              <w:rPr>
                <w:szCs w:val="22"/>
              </w:rPr>
            </w:pPr>
            <w:proofErr w:type="spellStart"/>
            <w:r w:rsidRPr="00075FBC">
              <w:rPr>
                <w:szCs w:val="22"/>
              </w:rPr>
              <w:t>Μποσεπρεβίρη</w:t>
            </w:r>
            <w:proofErr w:type="spellEnd"/>
            <w:r w:rsidRPr="00075FBC">
              <w:rPr>
                <w:szCs w:val="22"/>
              </w:rPr>
              <w:t xml:space="preserve"> 800 </w:t>
            </w:r>
            <w:proofErr w:type="spellStart"/>
            <w:r w:rsidRPr="00075FBC">
              <w:rPr>
                <w:szCs w:val="22"/>
              </w:rPr>
              <w:t>mg</w:t>
            </w:r>
            <w:proofErr w:type="spellEnd"/>
            <w:r w:rsidRPr="00075FBC">
              <w:rPr>
                <w:szCs w:val="22"/>
              </w:rPr>
              <w:t xml:space="preserve"> TID, 7 ημέρες</w:t>
            </w:r>
          </w:p>
          <w:p w:rsidR="00075FBC" w:rsidRPr="00075FBC" w:rsidRDefault="00075FBC" w:rsidP="00075FBC">
            <w:pPr>
              <w:jc w:val="both"/>
              <w:rPr>
                <w:szCs w:val="22"/>
              </w:rPr>
            </w:pPr>
          </w:p>
        </w:tc>
        <w:tc>
          <w:tcPr>
            <w:tcW w:w="1795" w:type="dxa"/>
            <w:gridSpan w:val="2"/>
            <w:shd w:val="clear" w:color="auto" w:fill="auto"/>
          </w:tcPr>
          <w:p w:rsidR="00075FBC" w:rsidRPr="00075FBC" w:rsidRDefault="00075FBC" w:rsidP="00075FBC">
            <w:pPr>
              <w:jc w:val="both"/>
              <w:rPr>
                <w:szCs w:val="22"/>
              </w:rPr>
            </w:pPr>
            <w:r w:rsidRPr="00075FBC">
              <w:rPr>
                <w:szCs w:val="22"/>
              </w:rPr>
              <w:t xml:space="preserve">40 </w:t>
            </w:r>
            <w:proofErr w:type="spellStart"/>
            <w:r w:rsidRPr="00075FBC">
              <w:rPr>
                <w:szCs w:val="22"/>
              </w:rPr>
              <w:t>mg</w:t>
            </w:r>
            <w:proofErr w:type="spellEnd"/>
            <w:r w:rsidRPr="00075FBC">
              <w:rPr>
                <w:szCs w:val="22"/>
              </w:rPr>
              <w:t xml:space="preserve"> SD</w:t>
            </w:r>
          </w:p>
        </w:tc>
        <w:tc>
          <w:tcPr>
            <w:tcW w:w="1279" w:type="dxa"/>
            <w:shd w:val="clear" w:color="auto" w:fill="auto"/>
          </w:tcPr>
          <w:p w:rsidR="00075FBC" w:rsidRPr="00075FBC" w:rsidRDefault="00075FBC" w:rsidP="00075FBC">
            <w:pPr>
              <w:jc w:val="both"/>
              <w:rPr>
                <w:szCs w:val="22"/>
              </w:rPr>
            </w:pPr>
            <w:r w:rsidRPr="00075FBC">
              <w:rPr>
                <w:szCs w:val="22"/>
              </w:rPr>
              <w:t>↑ 2,3 φορές</w:t>
            </w:r>
          </w:p>
        </w:tc>
        <w:tc>
          <w:tcPr>
            <w:tcW w:w="2806" w:type="dxa"/>
            <w:gridSpan w:val="2"/>
            <w:shd w:val="clear" w:color="auto" w:fill="auto"/>
          </w:tcPr>
          <w:p w:rsidR="00075FBC" w:rsidRPr="00075FBC" w:rsidRDefault="00075FBC" w:rsidP="00075FBC">
            <w:pPr>
              <w:jc w:val="both"/>
              <w:rPr>
                <w:szCs w:val="22"/>
              </w:rPr>
            </w:pPr>
            <w:r w:rsidRPr="00075FBC">
              <w:rPr>
                <w:szCs w:val="22"/>
              </w:rPr>
              <w:t xml:space="preserve">Συνιστάται χαμηλότερη δόση έναρξης και κλινική παρακολούθηση αυτών των ασθενών. Η δόση της </w:t>
            </w:r>
            <w:proofErr w:type="spellStart"/>
            <w:r w:rsidRPr="00075FBC">
              <w:rPr>
                <w:szCs w:val="22"/>
              </w:rPr>
              <w:t>ατορβαστατίνης</w:t>
            </w:r>
            <w:proofErr w:type="spellEnd"/>
            <w:r w:rsidRPr="00075FBC">
              <w:rPr>
                <w:szCs w:val="22"/>
              </w:rPr>
              <w:t xml:space="preserve"> δεν θα πρέπει να υπερβαίνει μία ημερήσια δόση των 20 </w:t>
            </w:r>
            <w:proofErr w:type="spellStart"/>
            <w:r w:rsidRPr="00075FBC">
              <w:rPr>
                <w:szCs w:val="22"/>
              </w:rPr>
              <w:t>mg</w:t>
            </w:r>
            <w:proofErr w:type="spellEnd"/>
            <w:r w:rsidRPr="00075FBC">
              <w:rPr>
                <w:szCs w:val="22"/>
              </w:rPr>
              <w:t xml:space="preserve"> κατά τη διάρκεια της </w:t>
            </w:r>
            <w:proofErr w:type="spellStart"/>
            <w:r w:rsidRPr="00075FBC">
              <w:rPr>
                <w:szCs w:val="22"/>
              </w:rPr>
              <w:t>συγχορήγησης</w:t>
            </w:r>
            <w:proofErr w:type="spellEnd"/>
            <w:r w:rsidRPr="00075FBC">
              <w:rPr>
                <w:szCs w:val="22"/>
              </w:rPr>
              <w:t xml:space="preserve"> με </w:t>
            </w:r>
            <w:proofErr w:type="spellStart"/>
            <w:r w:rsidRPr="00075FBC">
              <w:rPr>
                <w:szCs w:val="22"/>
              </w:rPr>
              <w:t>μποσεπρεβίρη</w:t>
            </w:r>
            <w:proofErr w:type="spellEnd"/>
            <w:r w:rsidRPr="00075FBC">
              <w:rPr>
                <w:szCs w:val="22"/>
              </w:rPr>
              <w:t>.</w:t>
            </w:r>
          </w:p>
        </w:tc>
      </w:tr>
    </w:tbl>
    <w:p w:rsidR="00075FBC" w:rsidRPr="00075FBC" w:rsidRDefault="00075FBC" w:rsidP="00075FBC">
      <w:pPr>
        <w:jc w:val="both"/>
        <w:rPr>
          <w:szCs w:val="22"/>
        </w:rPr>
      </w:pPr>
    </w:p>
    <w:p w:rsidR="00075FBC" w:rsidRPr="00075FBC" w:rsidRDefault="00075FBC" w:rsidP="00075FBC">
      <w:pPr>
        <w:autoSpaceDE w:val="0"/>
        <w:autoSpaceDN w:val="0"/>
        <w:adjustRightInd w:val="0"/>
        <w:ind w:left="360" w:hanging="360"/>
        <w:jc w:val="both"/>
        <w:rPr>
          <w:sz w:val="18"/>
          <w:szCs w:val="18"/>
          <w:lang w:bidi="te-IN"/>
        </w:rPr>
      </w:pPr>
      <w:r w:rsidRPr="00075FBC">
        <w:rPr>
          <w:sz w:val="18"/>
          <w:szCs w:val="18"/>
          <w:vertAlign w:val="superscript"/>
          <w:lang w:bidi="te-IN"/>
        </w:rPr>
        <w:t>&amp;</w:t>
      </w:r>
      <w:r w:rsidRPr="00075FBC">
        <w:rPr>
          <w:sz w:val="18"/>
          <w:szCs w:val="18"/>
          <w:lang w:bidi="te-IN"/>
        </w:rPr>
        <w:t xml:space="preserve">      Τα δεδομένα που αναγράφονται ως μεταβολές χ</w:t>
      </w:r>
      <w:r w:rsidRPr="00075FBC">
        <w:rPr>
          <w:rFonts w:ascii="TimesNewRoman" w:hAnsi="TimesNewRoman" w:cs="TimesNewRoman"/>
          <w:sz w:val="18"/>
          <w:szCs w:val="18"/>
        </w:rPr>
        <w:t>-</w:t>
      </w:r>
      <w:r w:rsidRPr="00075FBC">
        <w:rPr>
          <w:rFonts w:cs="TimesNewRoman"/>
          <w:sz w:val="18"/>
          <w:szCs w:val="18"/>
        </w:rPr>
        <w:t>φορές</w:t>
      </w:r>
      <w:r w:rsidRPr="00075FBC">
        <w:rPr>
          <w:rFonts w:ascii="TimesNewRoman" w:hAnsi="TimesNewRoman" w:cs="TimesNewRoman"/>
          <w:sz w:val="18"/>
          <w:szCs w:val="18"/>
        </w:rPr>
        <w:t xml:space="preserve"> </w:t>
      </w:r>
      <w:r w:rsidRPr="00075FBC">
        <w:rPr>
          <w:rFonts w:cs="TimesNewRoman"/>
          <w:sz w:val="18"/>
          <w:szCs w:val="18"/>
        </w:rPr>
        <w:t>απεικονίζουν απλή αναλογία</w:t>
      </w:r>
      <w:r w:rsidRPr="00075FBC">
        <w:rPr>
          <w:rFonts w:ascii="TimesNewRoman" w:hAnsi="TimesNewRoman" w:cs="TimesNewRoman"/>
          <w:sz w:val="18"/>
          <w:szCs w:val="18"/>
        </w:rPr>
        <w:t xml:space="preserve"> </w:t>
      </w:r>
      <w:r w:rsidRPr="00075FBC">
        <w:rPr>
          <w:rFonts w:cs="TimesNewRoman"/>
          <w:sz w:val="18"/>
          <w:szCs w:val="18"/>
        </w:rPr>
        <w:t xml:space="preserve">μεταξύ </w:t>
      </w:r>
      <w:proofErr w:type="spellStart"/>
      <w:r w:rsidRPr="00075FBC">
        <w:rPr>
          <w:rFonts w:cs="TimesNewRoman"/>
          <w:sz w:val="18"/>
          <w:szCs w:val="18"/>
        </w:rPr>
        <w:t>συγχορήγησης</w:t>
      </w:r>
      <w:proofErr w:type="spellEnd"/>
      <w:r w:rsidRPr="00075FBC">
        <w:rPr>
          <w:rFonts w:cs="TimesNewRoman"/>
          <w:sz w:val="18"/>
          <w:szCs w:val="18"/>
        </w:rPr>
        <w:t xml:space="preserve"> και </w:t>
      </w:r>
      <w:proofErr w:type="spellStart"/>
      <w:r w:rsidRPr="00075FBC">
        <w:rPr>
          <w:rFonts w:cs="TimesNewRoman"/>
          <w:sz w:val="18"/>
          <w:szCs w:val="18"/>
        </w:rPr>
        <w:t>ατορβαστατίνης</w:t>
      </w:r>
      <w:proofErr w:type="spellEnd"/>
      <w:r w:rsidRPr="00075FBC">
        <w:rPr>
          <w:rFonts w:cs="TimesNewRoman"/>
          <w:sz w:val="18"/>
          <w:szCs w:val="18"/>
        </w:rPr>
        <w:t xml:space="preserve"> μόνο </w:t>
      </w:r>
      <w:r w:rsidRPr="00075FBC">
        <w:rPr>
          <w:rFonts w:ascii="TimesNewRoman" w:hAnsi="TimesNewRoman" w:cs="TimesNewRoman"/>
          <w:sz w:val="18"/>
          <w:szCs w:val="18"/>
        </w:rPr>
        <w:t>(</w:t>
      </w:r>
      <w:r w:rsidRPr="00075FBC">
        <w:rPr>
          <w:rFonts w:cs="TimesNewRoman"/>
          <w:sz w:val="18"/>
          <w:szCs w:val="18"/>
        </w:rPr>
        <w:t>δηλ.</w:t>
      </w:r>
      <w:r w:rsidRPr="00075FBC">
        <w:rPr>
          <w:rFonts w:ascii="TimesNewRoman" w:hAnsi="TimesNewRoman" w:cs="TimesNewRoman"/>
          <w:sz w:val="18"/>
          <w:szCs w:val="18"/>
        </w:rPr>
        <w:t>, 1-</w:t>
      </w:r>
      <w:r w:rsidRPr="00075FBC">
        <w:rPr>
          <w:rFonts w:cs="TimesNewRoman"/>
          <w:sz w:val="18"/>
          <w:szCs w:val="18"/>
        </w:rPr>
        <w:t>φορά</w:t>
      </w:r>
      <w:r w:rsidRPr="00075FBC">
        <w:rPr>
          <w:rFonts w:ascii="TimesNewRoman" w:hAnsi="TimesNewRoman" w:cs="TimesNewRoman"/>
          <w:sz w:val="18"/>
          <w:szCs w:val="18"/>
        </w:rPr>
        <w:t xml:space="preserve"> = </w:t>
      </w:r>
      <w:r w:rsidRPr="00075FBC">
        <w:rPr>
          <w:rFonts w:cs="TimesNewRoman"/>
          <w:sz w:val="18"/>
          <w:szCs w:val="18"/>
        </w:rPr>
        <w:t>καμία μεταβολή</w:t>
      </w:r>
      <w:r w:rsidRPr="00075FBC">
        <w:rPr>
          <w:rFonts w:ascii="TimesNewRoman" w:hAnsi="TimesNewRoman" w:cs="TimesNewRoman"/>
          <w:sz w:val="18"/>
          <w:szCs w:val="18"/>
        </w:rPr>
        <w:t>).</w:t>
      </w:r>
      <w:r w:rsidRPr="00075FBC">
        <w:rPr>
          <w:rFonts w:cs="TimesNewRoman"/>
          <w:sz w:val="18"/>
          <w:szCs w:val="18"/>
        </w:rPr>
        <w:t xml:space="preserve"> Τα δεδομένα που αναγράφονται ως μεταβολές</w:t>
      </w:r>
      <w:r w:rsidRPr="00075FBC">
        <w:rPr>
          <w:rFonts w:ascii="TimesNewRoman" w:hAnsi="TimesNewRoman" w:cs="TimesNewRoman"/>
          <w:sz w:val="18"/>
          <w:szCs w:val="18"/>
        </w:rPr>
        <w:t xml:space="preserve"> </w:t>
      </w:r>
      <w:r w:rsidRPr="00075FBC">
        <w:rPr>
          <w:rFonts w:cs="TimesNewRoman"/>
          <w:sz w:val="18"/>
          <w:szCs w:val="18"/>
        </w:rPr>
        <w:t xml:space="preserve">επί τοις </w:t>
      </w:r>
      <w:r w:rsidRPr="00075FBC">
        <w:rPr>
          <w:rFonts w:ascii="TimesNewRoman" w:hAnsi="TimesNewRoman" w:cs="TimesNewRoman"/>
          <w:sz w:val="18"/>
          <w:szCs w:val="18"/>
        </w:rPr>
        <w:t xml:space="preserve">% </w:t>
      </w:r>
      <w:r w:rsidRPr="00075FBC">
        <w:rPr>
          <w:rFonts w:cs="TimesNewRoman"/>
          <w:sz w:val="18"/>
          <w:szCs w:val="18"/>
        </w:rPr>
        <w:t>απεικονίζουν την επί τοις</w:t>
      </w:r>
      <w:r w:rsidRPr="00075FBC">
        <w:rPr>
          <w:rFonts w:ascii="TimesNewRoman" w:hAnsi="TimesNewRoman" w:cs="TimesNewRoman"/>
          <w:sz w:val="18"/>
          <w:szCs w:val="18"/>
        </w:rPr>
        <w:t xml:space="preserve"> % </w:t>
      </w:r>
      <w:r w:rsidRPr="00075FBC">
        <w:rPr>
          <w:rFonts w:cs="TimesNewRoman"/>
          <w:sz w:val="18"/>
          <w:szCs w:val="18"/>
        </w:rPr>
        <w:t xml:space="preserve">διαφορά σε σχέση με την </w:t>
      </w:r>
      <w:proofErr w:type="spellStart"/>
      <w:r w:rsidRPr="00075FBC">
        <w:rPr>
          <w:rFonts w:cs="TimesNewRoman"/>
          <w:sz w:val="18"/>
          <w:szCs w:val="18"/>
        </w:rPr>
        <w:t>ατορβαστατίνη</w:t>
      </w:r>
      <w:proofErr w:type="spellEnd"/>
      <w:r w:rsidRPr="00075FBC">
        <w:rPr>
          <w:rFonts w:cs="TimesNewRoman"/>
          <w:sz w:val="18"/>
          <w:szCs w:val="18"/>
        </w:rPr>
        <w:t xml:space="preserve"> μόνο (δηλ</w:t>
      </w:r>
      <w:r w:rsidRPr="00075FBC">
        <w:rPr>
          <w:rFonts w:ascii="TimesNewRoman" w:hAnsi="TimesNewRoman" w:cs="TimesNewRoman"/>
          <w:sz w:val="18"/>
          <w:szCs w:val="18"/>
        </w:rPr>
        <w:t xml:space="preserve">., 0% = </w:t>
      </w:r>
      <w:r w:rsidRPr="00075FBC">
        <w:rPr>
          <w:rFonts w:cs="TimesNewRoman"/>
          <w:sz w:val="18"/>
          <w:szCs w:val="18"/>
        </w:rPr>
        <w:t>καμία μεταβολή</w:t>
      </w:r>
      <w:r w:rsidRPr="00075FBC">
        <w:rPr>
          <w:rFonts w:ascii="TimesNewRoman" w:hAnsi="TimesNewRoman" w:cs="TimesNewRoman"/>
          <w:sz w:val="18"/>
          <w:szCs w:val="18"/>
        </w:rPr>
        <w:t>).</w:t>
      </w:r>
      <w:r w:rsidRPr="00075FBC">
        <w:rPr>
          <w:sz w:val="18"/>
          <w:szCs w:val="18"/>
          <w:lang w:bidi="te-IN"/>
        </w:rPr>
        <w:t xml:space="preserve"> </w:t>
      </w:r>
    </w:p>
    <w:p w:rsidR="00075FBC" w:rsidRPr="00075FBC" w:rsidRDefault="00075FBC" w:rsidP="00075FBC">
      <w:pPr>
        <w:tabs>
          <w:tab w:val="left" w:pos="900"/>
          <w:tab w:val="left" w:pos="1260"/>
        </w:tabs>
        <w:ind w:left="360" w:right="966" w:hanging="360"/>
        <w:jc w:val="both"/>
        <w:rPr>
          <w:sz w:val="18"/>
          <w:szCs w:val="18"/>
          <w:lang w:bidi="te-IN"/>
        </w:rPr>
      </w:pPr>
      <w:r w:rsidRPr="00075FBC">
        <w:rPr>
          <w:sz w:val="18"/>
          <w:szCs w:val="18"/>
          <w:vertAlign w:val="superscript"/>
        </w:rPr>
        <w:t>#</w:t>
      </w:r>
      <w:r w:rsidRPr="00075FBC">
        <w:rPr>
          <w:sz w:val="18"/>
          <w:szCs w:val="18"/>
          <w:lang w:bidi="te-IN"/>
        </w:rPr>
        <w:t xml:space="preserve"> </w:t>
      </w:r>
      <w:r w:rsidRPr="00075FBC">
        <w:rPr>
          <w:sz w:val="18"/>
          <w:szCs w:val="18"/>
          <w:lang w:bidi="te-IN"/>
        </w:rPr>
        <w:tab/>
        <w:t xml:space="preserve">Βλ. παραγράφους 4.4 και 4.5 για κλινική σημαντικότητα. </w:t>
      </w:r>
    </w:p>
    <w:p w:rsidR="00075FBC" w:rsidRPr="00075FBC" w:rsidRDefault="00075FBC" w:rsidP="00075FBC">
      <w:pPr>
        <w:tabs>
          <w:tab w:val="left" w:pos="900"/>
          <w:tab w:val="left" w:pos="1260"/>
        </w:tabs>
        <w:ind w:left="360" w:right="966" w:hanging="360"/>
        <w:jc w:val="both"/>
        <w:rPr>
          <w:sz w:val="18"/>
          <w:szCs w:val="18"/>
          <w:lang w:bidi="te-IN"/>
        </w:rPr>
      </w:pPr>
      <w:r w:rsidRPr="00075FBC">
        <w:rPr>
          <w:sz w:val="18"/>
          <w:szCs w:val="18"/>
          <w:lang w:bidi="te-IN"/>
        </w:rPr>
        <w:t xml:space="preserve">* </w:t>
      </w:r>
      <w:r w:rsidRPr="00075FBC">
        <w:rPr>
          <w:sz w:val="18"/>
          <w:szCs w:val="18"/>
          <w:lang w:bidi="te-IN"/>
        </w:rPr>
        <w:tab/>
        <w:t>Περιέχει ένα ή περισσότερα συστατικά τα οποία αναστέλλουν το</w:t>
      </w:r>
      <w:r w:rsidRPr="00075FBC">
        <w:rPr>
          <w:sz w:val="18"/>
          <w:szCs w:val="18"/>
        </w:rPr>
        <w:t xml:space="preserve"> CYP3A4 και μπορεί να αυξήσουν τις συγκεντρώσεις στο πλάσμα των φαρμακευτικών προϊόντων που μεταβολίζονται από το CYP3A4. Λήψη ενός ποτηριού των 240 ml χυμού γκρέιπφρουτ είχε επίσης ως αποτέλεσμα μείωση της AUC του ενεργού </w:t>
      </w:r>
      <w:proofErr w:type="spellStart"/>
      <w:r w:rsidRPr="00075FBC">
        <w:rPr>
          <w:sz w:val="18"/>
          <w:szCs w:val="18"/>
        </w:rPr>
        <w:t>ορθοϋδρόξυ</w:t>
      </w:r>
      <w:proofErr w:type="spellEnd"/>
      <w:r w:rsidRPr="00075FBC">
        <w:rPr>
          <w:sz w:val="18"/>
          <w:szCs w:val="18"/>
        </w:rPr>
        <w:t xml:space="preserve">-μεταβολίτη κατά 20,4%. Μεγάλες ποσότητες χυμού </w:t>
      </w:r>
      <w:proofErr w:type="spellStart"/>
      <w:r w:rsidRPr="00075FBC">
        <w:rPr>
          <w:sz w:val="18"/>
          <w:szCs w:val="18"/>
        </w:rPr>
        <w:t>γκρεϊπφρουτ</w:t>
      </w:r>
      <w:proofErr w:type="spellEnd"/>
      <w:r w:rsidRPr="00075FBC">
        <w:rPr>
          <w:sz w:val="18"/>
          <w:szCs w:val="18"/>
        </w:rPr>
        <w:t xml:space="preserve"> (περισσότερο από 1,2 l για 5 ημέρες) είχε ως αποτέλεσμα την αύξηση της AUC της </w:t>
      </w:r>
      <w:proofErr w:type="spellStart"/>
      <w:r w:rsidRPr="00075FBC">
        <w:rPr>
          <w:sz w:val="18"/>
          <w:szCs w:val="18"/>
        </w:rPr>
        <w:t>ατορβαστατίνης</w:t>
      </w:r>
      <w:proofErr w:type="spellEnd"/>
      <w:r w:rsidRPr="00075FBC">
        <w:rPr>
          <w:sz w:val="18"/>
          <w:szCs w:val="18"/>
        </w:rPr>
        <w:t xml:space="preserve"> κατά 2,5 φορές και την AUC των δραστικών αναστολέων της HMG-</w:t>
      </w:r>
      <w:proofErr w:type="spellStart"/>
      <w:r w:rsidRPr="00075FBC">
        <w:rPr>
          <w:sz w:val="18"/>
          <w:szCs w:val="18"/>
        </w:rPr>
        <w:t>CoA</w:t>
      </w:r>
      <w:proofErr w:type="spellEnd"/>
      <w:r w:rsidRPr="00075FBC">
        <w:rPr>
          <w:sz w:val="18"/>
          <w:szCs w:val="18"/>
        </w:rPr>
        <w:t xml:space="preserve"> </w:t>
      </w:r>
      <w:proofErr w:type="spellStart"/>
      <w:r w:rsidRPr="00075FBC">
        <w:rPr>
          <w:sz w:val="18"/>
          <w:szCs w:val="18"/>
        </w:rPr>
        <w:t>αναγωγάσης</w:t>
      </w:r>
      <w:proofErr w:type="spellEnd"/>
      <w:r w:rsidRPr="00075FBC">
        <w:rPr>
          <w:sz w:val="18"/>
          <w:szCs w:val="18"/>
        </w:rPr>
        <w:t xml:space="preserve">  (</w:t>
      </w:r>
      <w:proofErr w:type="spellStart"/>
      <w:r w:rsidRPr="00075FBC">
        <w:rPr>
          <w:sz w:val="18"/>
          <w:szCs w:val="18"/>
        </w:rPr>
        <w:t>ατορβαστατίνη</w:t>
      </w:r>
      <w:proofErr w:type="spellEnd"/>
      <w:r w:rsidRPr="00075FBC">
        <w:rPr>
          <w:sz w:val="18"/>
          <w:szCs w:val="18"/>
        </w:rPr>
        <w:t xml:space="preserve"> και μεταβολίτες) 1,3 φορές.  </w:t>
      </w:r>
    </w:p>
    <w:p w:rsidR="00075FBC" w:rsidRPr="00075FBC" w:rsidRDefault="00075FBC" w:rsidP="00075FBC">
      <w:pPr>
        <w:tabs>
          <w:tab w:val="left" w:pos="900"/>
          <w:tab w:val="left" w:pos="1260"/>
        </w:tabs>
        <w:ind w:left="360" w:right="966" w:hanging="360"/>
        <w:jc w:val="both"/>
        <w:rPr>
          <w:sz w:val="18"/>
          <w:szCs w:val="18"/>
          <w:lang w:bidi="te-IN"/>
        </w:rPr>
      </w:pPr>
      <w:r w:rsidRPr="00075FBC">
        <w:rPr>
          <w:sz w:val="18"/>
          <w:szCs w:val="18"/>
          <w:lang w:bidi="te-IN"/>
        </w:rPr>
        <w:t xml:space="preserve">^ </w:t>
      </w:r>
      <w:r w:rsidRPr="00075FBC">
        <w:rPr>
          <w:sz w:val="18"/>
          <w:szCs w:val="18"/>
          <w:lang w:bidi="te-IN"/>
        </w:rPr>
        <w:tab/>
        <w:t xml:space="preserve">Ολική ισοδύναμη δραστικότητα </w:t>
      </w:r>
      <w:proofErr w:type="spellStart"/>
      <w:r w:rsidRPr="00075FBC">
        <w:rPr>
          <w:sz w:val="18"/>
          <w:szCs w:val="18"/>
          <w:lang w:bidi="te-IN"/>
        </w:rPr>
        <w:t>ατορβαστατίνης</w:t>
      </w:r>
      <w:proofErr w:type="spellEnd"/>
    </w:p>
    <w:p w:rsidR="00075FBC" w:rsidRPr="00075FBC" w:rsidRDefault="00075FBC" w:rsidP="00075FBC">
      <w:pPr>
        <w:jc w:val="both"/>
        <w:rPr>
          <w:sz w:val="18"/>
          <w:szCs w:val="18"/>
        </w:rPr>
      </w:pPr>
      <w:r w:rsidRPr="00075FBC">
        <w:rPr>
          <w:sz w:val="18"/>
          <w:szCs w:val="18"/>
        </w:rPr>
        <w:t>Αύξηση υποδεικνύεται ως “↑”, μείωση ως “↓”</w:t>
      </w:r>
    </w:p>
    <w:p w:rsidR="00075FBC" w:rsidRPr="00075FBC" w:rsidRDefault="00075FBC" w:rsidP="00075FBC">
      <w:pPr>
        <w:jc w:val="both"/>
        <w:rPr>
          <w:sz w:val="18"/>
          <w:szCs w:val="18"/>
        </w:rPr>
      </w:pPr>
      <w:r w:rsidRPr="00075FBC">
        <w:rPr>
          <w:sz w:val="18"/>
          <w:szCs w:val="18"/>
        </w:rPr>
        <w:t>OD = μια φορά ημερησίως, SD = μονή δόση, BID = δύο φορές ημερησίως, QID = τέσσερις φορές ημερησίως</w:t>
      </w:r>
    </w:p>
    <w:p w:rsidR="00075FBC" w:rsidRPr="00075FBC" w:rsidRDefault="00075FBC" w:rsidP="00075FBC">
      <w:pPr>
        <w:widowControl/>
        <w:jc w:val="both"/>
        <w:rPr>
          <w:rFonts w:eastAsia="MS Mincho"/>
          <w:sz w:val="24"/>
          <w:szCs w:val="24"/>
        </w:rPr>
      </w:pPr>
    </w:p>
    <w:p w:rsidR="00075FBC" w:rsidRPr="00075FBC" w:rsidRDefault="00075FBC" w:rsidP="00075FBC">
      <w:pPr>
        <w:widowControl/>
        <w:spacing w:after="240"/>
        <w:jc w:val="both"/>
        <w:rPr>
          <w:rFonts w:eastAsia="MS Mincho"/>
          <w:szCs w:val="22"/>
          <w:u w:val="single"/>
          <w:lang w:eastAsia="ja-JP" w:bidi="te-IN"/>
        </w:rPr>
      </w:pPr>
      <w:r w:rsidRPr="00075FBC">
        <w:rPr>
          <w:szCs w:val="22"/>
          <w:u w:val="single"/>
        </w:rPr>
        <w:lastRenderedPageBreak/>
        <w:t xml:space="preserve">Πίνακας </w:t>
      </w:r>
      <w:r w:rsidRPr="00075FBC">
        <w:rPr>
          <w:rFonts w:eastAsia="MS Mincho"/>
          <w:szCs w:val="22"/>
          <w:u w:val="single"/>
          <w:lang w:eastAsia="ja-JP" w:bidi="te-IN"/>
        </w:rPr>
        <w:t xml:space="preserve">2: Επίδραση της </w:t>
      </w:r>
      <w:proofErr w:type="spellStart"/>
      <w:r w:rsidRPr="00075FBC">
        <w:rPr>
          <w:rFonts w:eastAsia="MS Mincho"/>
          <w:szCs w:val="22"/>
          <w:u w:val="single"/>
          <w:lang w:eastAsia="ja-JP" w:bidi="te-IN"/>
        </w:rPr>
        <w:t>ατορβαστατίνης</w:t>
      </w:r>
      <w:proofErr w:type="spellEnd"/>
      <w:r w:rsidRPr="00075FBC">
        <w:rPr>
          <w:rFonts w:eastAsia="MS Mincho"/>
          <w:szCs w:val="22"/>
          <w:u w:val="single"/>
          <w:lang w:eastAsia="ja-JP" w:bidi="te-IN"/>
        </w:rPr>
        <w:t xml:space="preserve"> στη </w:t>
      </w:r>
      <w:proofErr w:type="spellStart"/>
      <w:r w:rsidRPr="00075FBC">
        <w:rPr>
          <w:rFonts w:eastAsia="MS Mincho"/>
          <w:szCs w:val="22"/>
          <w:u w:val="single"/>
          <w:lang w:eastAsia="ja-JP" w:bidi="te-IN"/>
        </w:rPr>
        <w:t>φαρμακοκινητική</w:t>
      </w:r>
      <w:proofErr w:type="spellEnd"/>
      <w:r w:rsidRPr="00075FBC">
        <w:rPr>
          <w:rFonts w:eastAsia="MS Mincho"/>
          <w:szCs w:val="22"/>
          <w:u w:val="single"/>
          <w:lang w:eastAsia="ja-JP" w:bidi="te-IN"/>
        </w:rPr>
        <w:t xml:space="preserve"> </w:t>
      </w:r>
      <w:proofErr w:type="spellStart"/>
      <w:r w:rsidRPr="00075FBC">
        <w:rPr>
          <w:rFonts w:eastAsia="MS Mincho"/>
          <w:szCs w:val="22"/>
          <w:u w:val="single"/>
          <w:lang w:eastAsia="ja-JP" w:bidi="te-IN"/>
        </w:rPr>
        <w:t>συγχορηγούμενων</w:t>
      </w:r>
      <w:proofErr w:type="spellEnd"/>
      <w:r w:rsidRPr="00075FBC">
        <w:rPr>
          <w:rFonts w:eastAsia="MS Mincho"/>
          <w:szCs w:val="22"/>
          <w:u w:val="single"/>
          <w:lang w:eastAsia="ja-JP" w:bidi="te-IN"/>
        </w:rPr>
        <w:t xml:space="preserve"> φαρμακευτικών προϊόντων </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80"/>
        <w:gridCol w:w="3180"/>
        <w:gridCol w:w="1080"/>
        <w:gridCol w:w="3060"/>
      </w:tblGrid>
      <w:tr w:rsidR="00075FBC" w:rsidRPr="00075FBC" w:rsidTr="00C27A36">
        <w:tc>
          <w:tcPr>
            <w:tcW w:w="1680" w:type="dxa"/>
            <w:vMerge w:val="restart"/>
            <w:shd w:val="clear" w:color="auto" w:fill="auto"/>
          </w:tcPr>
          <w:p w:rsidR="00075FBC" w:rsidRPr="00075FBC" w:rsidRDefault="00075FBC" w:rsidP="00075FBC">
            <w:pPr>
              <w:jc w:val="both"/>
              <w:rPr>
                <w:szCs w:val="22"/>
                <w:lang w:bidi="te-IN"/>
              </w:rPr>
            </w:pPr>
            <w:proofErr w:type="spellStart"/>
            <w:r w:rsidRPr="00075FBC">
              <w:rPr>
                <w:bCs/>
                <w:szCs w:val="22"/>
                <w:lang w:bidi="te-IN"/>
              </w:rPr>
              <w:t>Ατορβαστατίνη</w:t>
            </w:r>
            <w:proofErr w:type="spellEnd"/>
            <w:r w:rsidRPr="00075FBC">
              <w:rPr>
                <w:bCs/>
                <w:szCs w:val="22"/>
                <w:lang w:bidi="te-IN"/>
              </w:rPr>
              <w:t xml:space="preserve"> και </w:t>
            </w:r>
            <w:proofErr w:type="spellStart"/>
            <w:r w:rsidRPr="00075FBC">
              <w:rPr>
                <w:bCs/>
                <w:szCs w:val="22"/>
                <w:lang w:bidi="te-IN"/>
              </w:rPr>
              <w:t>δοσολογικό</w:t>
            </w:r>
            <w:proofErr w:type="spellEnd"/>
            <w:r w:rsidRPr="00075FBC">
              <w:rPr>
                <w:bCs/>
                <w:szCs w:val="22"/>
                <w:lang w:bidi="te-IN"/>
              </w:rPr>
              <w:t xml:space="preserve"> σχήμα</w:t>
            </w:r>
          </w:p>
        </w:tc>
        <w:tc>
          <w:tcPr>
            <w:tcW w:w="7320" w:type="dxa"/>
            <w:gridSpan w:val="3"/>
            <w:shd w:val="clear" w:color="auto" w:fill="auto"/>
          </w:tcPr>
          <w:p w:rsidR="00075FBC" w:rsidRPr="00075FBC" w:rsidRDefault="00075FBC" w:rsidP="00075FBC">
            <w:pPr>
              <w:jc w:val="both"/>
              <w:rPr>
                <w:bCs/>
                <w:szCs w:val="22"/>
                <w:lang w:bidi="te-IN"/>
              </w:rPr>
            </w:pPr>
            <w:proofErr w:type="spellStart"/>
            <w:r w:rsidRPr="00075FBC">
              <w:rPr>
                <w:bCs/>
                <w:szCs w:val="22"/>
                <w:lang w:bidi="te-IN"/>
              </w:rPr>
              <w:t>Συγχορηγούμενα</w:t>
            </w:r>
            <w:proofErr w:type="spellEnd"/>
            <w:r w:rsidRPr="00075FBC">
              <w:rPr>
                <w:bCs/>
                <w:szCs w:val="22"/>
                <w:lang w:bidi="te-IN"/>
              </w:rPr>
              <w:t xml:space="preserve"> φαρμακευτικά προϊόντα</w:t>
            </w:r>
          </w:p>
        </w:tc>
      </w:tr>
      <w:tr w:rsidR="00075FBC" w:rsidRPr="00075FBC" w:rsidTr="00C27A36">
        <w:tc>
          <w:tcPr>
            <w:tcW w:w="1680" w:type="dxa"/>
            <w:vMerge/>
            <w:shd w:val="clear" w:color="auto" w:fill="auto"/>
          </w:tcPr>
          <w:p w:rsidR="00075FBC" w:rsidRPr="00075FBC" w:rsidRDefault="00075FBC" w:rsidP="00075FBC">
            <w:pPr>
              <w:jc w:val="both"/>
              <w:rPr>
                <w:szCs w:val="22"/>
                <w:lang w:bidi="te-IN"/>
              </w:rPr>
            </w:pPr>
          </w:p>
        </w:tc>
        <w:tc>
          <w:tcPr>
            <w:tcW w:w="3180" w:type="dxa"/>
            <w:shd w:val="clear" w:color="auto" w:fill="auto"/>
          </w:tcPr>
          <w:p w:rsidR="00075FBC" w:rsidRPr="00075FBC" w:rsidRDefault="00075FBC" w:rsidP="00075FBC">
            <w:pPr>
              <w:jc w:val="both"/>
              <w:rPr>
                <w:bCs/>
                <w:szCs w:val="22"/>
                <w:lang w:bidi="te-IN"/>
              </w:rPr>
            </w:pPr>
            <w:r w:rsidRPr="00075FBC">
              <w:rPr>
                <w:bCs/>
                <w:szCs w:val="22"/>
                <w:lang w:bidi="te-IN"/>
              </w:rPr>
              <w:t>Φαρμακευτικό Προϊόν/Δοσολογία (</w:t>
            </w:r>
            <w:proofErr w:type="spellStart"/>
            <w:r w:rsidRPr="00075FBC">
              <w:rPr>
                <w:bCs/>
                <w:szCs w:val="22"/>
                <w:lang w:bidi="te-IN"/>
              </w:rPr>
              <w:t>mg</w:t>
            </w:r>
            <w:proofErr w:type="spellEnd"/>
            <w:r w:rsidRPr="00075FBC">
              <w:rPr>
                <w:bCs/>
                <w:szCs w:val="22"/>
                <w:lang w:bidi="te-IN"/>
              </w:rPr>
              <w:t>)</w:t>
            </w:r>
          </w:p>
        </w:tc>
        <w:tc>
          <w:tcPr>
            <w:tcW w:w="1080" w:type="dxa"/>
            <w:shd w:val="clear" w:color="auto" w:fill="auto"/>
          </w:tcPr>
          <w:p w:rsidR="00075FBC" w:rsidRPr="00075FBC" w:rsidRDefault="00075FBC" w:rsidP="00075FBC">
            <w:pPr>
              <w:jc w:val="both"/>
              <w:rPr>
                <w:bCs/>
                <w:szCs w:val="22"/>
                <w:vertAlign w:val="superscript"/>
                <w:lang w:bidi="te-IN"/>
              </w:rPr>
            </w:pPr>
            <w:r w:rsidRPr="00075FBC">
              <w:rPr>
                <w:bCs/>
                <w:szCs w:val="22"/>
                <w:lang w:bidi="te-IN"/>
              </w:rPr>
              <w:t>Μεταβολή στην  AUC</w:t>
            </w:r>
            <w:r w:rsidRPr="00075FBC">
              <w:rPr>
                <w:bCs/>
                <w:szCs w:val="22"/>
                <w:vertAlign w:val="superscript"/>
                <w:lang w:bidi="te-IN"/>
              </w:rPr>
              <w:t>&amp;</w:t>
            </w:r>
          </w:p>
        </w:tc>
        <w:tc>
          <w:tcPr>
            <w:tcW w:w="3060" w:type="dxa"/>
            <w:shd w:val="clear" w:color="auto" w:fill="auto"/>
          </w:tcPr>
          <w:p w:rsidR="00075FBC" w:rsidRPr="00075FBC" w:rsidRDefault="00075FBC" w:rsidP="00075FBC">
            <w:pPr>
              <w:jc w:val="both"/>
              <w:rPr>
                <w:bCs/>
                <w:szCs w:val="22"/>
                <w:lang w:bidi="te-IN"/>
              </w:rPr>
            </w:pPr>
            <w:r w:rsidRPr="00075FBC">
              <w:rPr>
                <w:color w:val="000000"/>
                <w:szCs w:val="22"/>
              </w:rPr>
              <w:t>Κλινική Σύσταση</w:t>
            </w:r>
          </w:p>
        </w:tc>
      </w:tr>
      <w:tr w:rsidR="00075FBC" w:rsidRPr="00075FBC" w:rsidTr="00C27A36">
        <w:tc>
          <w:tcPr>
            <w:tcW w:w="1680" w:type="dxa"/>
            <w:shd w:val="clear" w:color="auto" w:fill="auto"/>
          </w:tcPr>
          <w:p w:rsidR="00075FBC" w:rsidRPr="00075FBC" w:rsidRDefault="00075FBC" w:rsidP="00075FBC">
            <w:pPr>
              <w:jc w:val="both"/>
              <w:rPr>
                <w:szCs w:val="22"/>
                <w:lang w:bidi="te-IN"/>
              </w:rPr>
            </w:pPr>
            <w:r w:rsidRPr="00075FBC">
              <w:rPr>
                <w:szCs w:val="22"/>
                <w:lang w:bidi="te-IN"/>
              </w:rPr>
              <w:t xml:space="preserve">80 </w:t>
            </w:r>
            <w:proofErr w:type="spellStart"/>
            <w:r w:rsidRPr="00075FBC">
              <w:rPr>
                <w:szCs w:val="22"/>
                <w:lang w:bidi="te-IN"/>
              </w:rPr>
              <w:t>mg</w:t>
            </w:r>
            <w:proofErr w:type="spellEnd"/>
            <w:r w:rsidRPr="00075FBC">
              <w:rPr>
                <w:szCs w:val="22"/>
                <w:lang w:bidi="te-IN"/>
              </w:rPr>
              <w:t xml:space="preserve"> OD για 10 ημέρες</w:t>
            </w:r>
          </w:p>
        </w:tc>
        <w:tc>
          <w:tcPr>
            <w:tcW w:w="3180" w:type="dxa"/>
            <w:shd w:val="clear" w:color="auto" w:fill="auto"/>
          </w:tcPr>
          <w:p w:rsidR="00075FBC" w:rsidRPr="00075FBC" w:rsidRDefault="00075FBC" w:rsidP="00075FBC">
            <w:pPr>
              <w:jc w:val="both"/>
              <w:rPr>
                <w:szCs w:val="22"/>
                <w:lang w:bidi="te-IN"/>
              </w:rPr>
            </w:pPr>
            <w:proofErr w:type="spellStart"/>
            <w:r w:rsidRPr="00075FBC">
              <w:rPr>
                <w:szCs w:val="22"/>
                <w:lang w:bidi="te-IN"/>
              </w:rPr>
              <w:t>Διγοξίνη</w:t>
            </w:r>
            <w:proofErr w:type="spellEnd"/>
            <w:r w:rsidRPr="00075FBC">
              <w:rPr>
                <w:szCs w:val="22"/>
                <w:lang w:bidi="te-IN"/>
              </w:rPr>
              <w:t xml:space="preserve"> 0,25 </w:t>
            </w:r>
            <w:proofErr w:type="spellStart"/>
            <w:r w:rsidRPr="00075FBC">
              <w:rPr>
                <w:szCs w:val="22"/>
                <w:lang w:bidi="te-IN"/>
              </w:rPr>
              <w:t>mg</w:t>
            </w:r>
            <w:proofErr w:type="spellEnd"/>
            <w:r w:rsidRPr="00075FBC">
              <w:rPr>
                <w:szCs w:val="22"/>
                <w:lang w:bidi="te-IN"/>
              </w:rPr>
              <w:t xml:space="preserve"> OD, 20 ημέρες</w:t>
            </w:r>
          </w:p>
        </w:tc>
        <w:tc>
          <w:tcPr>
            <w:tcW w:w="1080" w:type="dxa"/>
            <w:shd w:val="clear" w:color="auto" w:fill="auto"/>
          </w:tcPr>
          <w:p w:rsidR="00075FBC" w:rsidRPr="00075FBC" w:rsidRDefault="00075FBC" w:rsidP="00075FBC">
            <w:pPr>
              <w:jc w:val="both"/>
              <w:rPr>
                <w:szCs w:val="22"/>
                <w:lang w:bidi="te-IN"/>
              </w:rPr>
            </w:pPr>
            <w:r w:rsidRPr="00075FBC">
              <w:rPr>
                <w:szCs w:val="22"/>
                <w:lang w:bidi="te-IN"/>
              </w:rPr>
              <w:t>↑ 15%</w:t>
            </w:r>
          </w:p>
        </w:tc>
        <w:tc>
          <w:tcPr>
            <w:tcW w:w="3060" w:type="dxa"/>
            <w:shd w:val="clear" w:color="auto" w:fill="auto"/>
          </w:tcPr>
          <w:p w:rsidR="00075FBC" w:rsidRPr="00075FBC" w:rsidRDefault="00075FBC" w:rsidP="00075FBC">
            <w:pPr>
              <w:jc w:val="both"/>
              <w:rPr>
                <w:szCs w:val="22"/>
              </w:rPr>
            </w:pPr>
            <w:r w:rsidRPr="00075FBC">
              <w:rPr>
                <w:szCs w:val="22"/>
              </w:rPr>
              <w:t xml:space="preserve">Ασθενείς που λαμβάνουν </w:t>
            </w:r>
            <w:proofErr w:type="spellStart"/>
            <w:r w:rsidRPr="00075FBC">
              <w:rPr>
                <w:szCs w:val="22"/>
              </w:rPr>
              <w:t>διγοξίνη</w:t>
            </w:r>
            <w:proofErr w:type="spellEnd"/>
            <w:r w:rsidRPr="00075FBC">
              <w:rPr>
                <w:szCs w:val="22"/>
              </w:rPr>
              <w:t xml:space="preserve"> θα πρέπει να παρακολουθούνται επισταμένως. </w:t>
            </w:r>
          </w:p>
        </w:tc>
      </w:tr>
      <w:tr w:rsidR="00075FBC" w:rsidRPr="00075FBC" w:rsidTr="00C27A36">
        <w:tc>
          <w:tcPr>
            <w:tcW w:w="1680" w:type="dxa"/>
            <w:shd w:val="clear" w:color="auto" w:fill="auto"/>
          </w:tcPr>
          <w:p w:rsidR="00075FBC" w:rsidRPr="00075FBC" w:rsidRDefault="00075FBC" w:rsidP="00075FBC">
            <w:pPr>
              <w:jc w:val="both"/>
              <w:rPr>
                <w:szCs w:val="22"/>
                <w:lang w:bidi="te-IN"/>
              </w:rPr>
            </w:pPr>
            <w:r w:rsidRPr="00075FBC">
              <w:rPr>
                <w:szCs w:val="22"/>
                <w:lang w:bidi="te-IN"/>
              </w:rPr>
              <w:t xml:space="preserve">40 </w:t>
            </w:r>
            <w:proofErr w:type="spellStart"/>
            <w:r w:rsidRPr="00075FBC">
              <w:rPr>
                <w:szCs w:val="22"/>
                <w:lang w:bidi="te-IN"/>
              </w:rPr>
              <w:t>mg</w:t>
            </w:r>
            <w:proofErr w:type="spellEnd"/>
            <w:r w:rsidRPr="00075FBC">
              <w:rPr>
                <w:szCs w:val="22"/>
                <w:lang w:bidi="te-IN"/>
              </w:rPr>
              <w:t xml:space="preserve"> OD για 22 ημέρες</w:t>
            </w:r>
          </w:p>
        </w:tc>
        <w:tc>
          <w:tcPr>
            <w:tcW w:w="3180" w:type="dxa"/>
            <w:shd w:val="clear" w:color="auto" w:fill="auto"/>
          </w:tcPr>
          <w:p w:rsidR="00075FBC" w:rsidRPr="00075FBC" w:rsidRDefault="00075FBC" w:rsidP="00075FBC">
            <w:pPr>
              <w:jc w:val="both"/>
              <w:rPr>
                <w:szCs w:val="22"/>
                <w:vertAlign w:val="superscript"/>
                <w:lang w:bidi="te-IN"/>
              </w:rPr>
            </w:pPr>
            <w:r w:rsidRPr="00075FBC">
              <w:rPr>
                <w:szCs w:val="22"/>
                <w:lang w:bidi="te-IN"/>
              </w:rPr>
              <w:t>Από του στόματος αντισυλληπτικά OD, 2 μήνες</w:t>
            </w:r>
          </w:p>
          <w:p w:rsidR="00075FBC" w:rsidRPr="00075FBC" w:rsidRDefault="00075FBC" w:rsidP="00075FBC">
            <w:pPr>
              <w:jc w:val="both"/>
              <w:rPr>
                <w:szCs w:val="22"/>
                <w:lang w:bidi="te-IN"/>
              </w:rPr>
            </w:pPr>
            <w:r w:rsidRPr="00075FBC">
              <w:rPr>
                <w:szCs w:val="22"/>
                <w:lang w:bidi="te-IN"/>
              </w:rPr>
              <w:t xml:space="preserve">- </w:t>
            </w:r>
            <w:proofErr w:type="spellStart"/>
            <w:r w:rsidRPr="00075FBC">
              <w:rPr>
                <w:szCs w:val="22"/>
              </w:rPr>
              <w:t>νοραιθυνδρόνη</w:t>
            </w:r>
            <w:proofErr w:type="spellEnd"/>
            <w:r w:rsidRPr="00075FBC">
              <w:rPr>
                <w:szCs w:val="22"/>
              </w:rPr>
              <w:t xml:space="preserve"> </w:t>
            </w:r>
            <w:r w:rsidRPr="00075FBC">
              <w:rPr>
                <w:szCs w:val="22"/>
                <w:lang w:bidi="te-IN"/>
              </w:rPr>
              <w:t xml:space="preserve">1 </w:t>
            </w:r>
            <w:proofErr w:type="spellStart"/>
            <w:r w:rsidRPr="00075FBC">
              <w:rPr>
                <w:szCs w:val="22"/>
                <w:lang w:bidi="te-IN"/>
              </w:rPr>
              <w:t>mg</w:t>
            </w:r>
            <w:proofErr w:type="spellEnd"/>
          </w:p>
          <w:p w:rsidR="00075FBC" w:rsidRPr="00075FBC" w:rsidRDefault="00075FBC" w:rsidP="00075FBC">
            <w:pPr>
              <w:jc w:val="both"/>
              <w:rPr>
                <w:szCs w:val="22"/>
                <w:lang w:bidi="te-IN"/>
              </w:rPr>
            </w:pPr>
            <w:r w:rsidRPr="00075FBC">
              <w:rPr>
                <w:szCs w:val="22"/>
                <w:lang w:bidi="te-IN"/>
              </w:rPr>
              <w:t>-</w:t>
            </w:r>
            <w:r w:rsidRPr="00075FBC">
              <w:rPr>
                <w:szCs w:val="22"/>
              </w:rPr>
              <w:t xml:space="preserve"> </w:t>
            </w:r>
            <w:proofErr w:type="spellStart"/>
            <w:r w:rsidRPr="00075FBC">
              <w:rPr>
                <w:szCs w:val="22"/>
              </w:rPr>
              <w:t>αιθυνυλ</w:t>
            </w:r>
            <w:proofErr w:type="spellEnd"/>
            <w:r w:rsidRPr="00075FBC">
              <w:rPr>
                <w:szCs w:val="22"/>
              </w:rPr>
              <w:t>-</w:t>
            </w:r>
            <w:proofErr w:type="spellStart"/>
            <w:r w:rsidRPr="00075FBC">
              <w:rPr>
                <w:szCs w:val="22"/>
              </w:rPr>
              <w:t>οιστραδιόλη</w:t>
            </w:r>
            <w:proofErr w:type="spellEnd"/>
            <w:r w:rsidRPr="00075FBC">
              <w:rPr>
                <w:szCs w:val="22"/>
                <w:lang w:bidi="te-IN"/>
              </w:rPr>
              <w:t xml:space="preserve"> 35 µg</w:t>
            </w:r>
          </w:p>
        </w:tc>
        <w:tc>
          <w:tcPr>
            <w:tcW w:w="1080" w:type="dxa"/>
            <w:shd w:val="clear" w:color="auto" w:fill="auto"/>
          </w:tcPr>
          <w:p w:rsidR="00075FBC" w:rsidRPr="00075FBC" w:rsidRDefault="00075FBC" w:rsidP="00075FBC">
            <w:pPr>
              <w:jc w:val="both"/>
              <w:rPr>
                <w:szCs w:val="22"/>
                <w:lang w:bidi="te-IN"/>
              </w:rPr>
            </w:pPr>
            <w:r w:rsidRPr="00075FBC">
              <w:rPr>
                <w:szCs w:val="22"/>
                <w:lang w:bidi="te-IN"/>
              </w:rPr>
              <w:t>↑ 28%</w:t>
            </w:r>
          </w:p>
          <w:p w:rsidR="00075FBC" w:rsidRPr="00075FBC" w:rsidRDefault="00075FBC" w:rsidP="00075FBC">
            <w:pPr>
              <w:jc w:val="both"/>
              <w:rPr>
                <w:szCs w:val="22"/>
                <w:lang w:bidi="te-IN"/>
              </w:rPr>
            </w:pPr>
            <w:r w:rsidRPr="00075FBC">
              <w:rPr>
                <w:szCs w:val="22"/>
                <w:lang w:bidi="te-IN"/>
              </w:rPr>
              <w:t>↑ 19%</w:t>
            </w:r>
          </w:p>
        </w:tc>
        <w:tc>
          <w:tcPr>
            <w:tcW w:w="3060" w:type="dxa"/>
            <w:shd w:val="clear" w:color="auto" w:fill="auto"/>
          </w:tcPr>
          <w:p w:rsidR="00075FBC" w:rsidRPr="00075FBC" w:rsidRDefault="00075FBC" w:rsidP="00075FBC">
            <w:pPr>
              <w:jc w:val="both"/>
              <w:rPr>
                <w:szCs w:val="22"/>
                <w:lang w:bidi="te-IN"/>
              </w:rPr>
            </w:pPr>
            <w:r w:rsidRPr="00075FBC">
              <w:rPr>
                <w:color w:val="000000"/>
                <w:szCs w:val="22"/>
              </w:rPr>
              <w:t>Δεν υπάρχει συγκεκριμένη σύσταση.</w:t>
            </w:r>
          </w:p>
        </w:tc>
      </w:tr>
      <w:tr w:rsidR="00075FBC" w:rsidRPr="00075FBC" w:rsidTr="00C27A36">
        <w:tc>
          <w:tcPr>
            <w:tcW w:w="1680" w:type="dxa"/>
            <w:shd w:val="clear" w:color="auto" w:fill="auto"/>
          </w:tcPr>
          <w:p w:rsidR="00075FBC" w:rsidRPr="00075FBC" w:rsidRDefault="00075FBC" w:rsidP="00075FBC">
            <w:pPr>
              <w:jc w:val="both"/>
              <w:rPr>
                <w:szCs w:val="22"/>
                <w:lang w:bidi="te-IN"/>
              </w:rPr>
            </w:pPr>
            <w:r w:rsidRPr="00075FBC">
              <w:rPr>
                <w:szCs w:val="22"/>
                <w:lang w:bidi="te-IN"/>
              </w:rPr>
              <w:t xml:space="preserve">80 </w:t>
            </w:r>
            <w:proofErr w:type="spellStart"/>
            <w:r w:rsidRPr="00075FBC">
              <w:rPr>
                <w:szCs w:val="22"/>
                <w:lang w:bidi="te-IN"/>
              </w:rPr>
              <w:t>mg</w:t>
            </w:r>
            <w:proofErr w:type="spellEnd"/>
            <w:r w:rsidRPr="00075FBC">
              <w:rPr>
                <w:szCs w:val="22"/>
                <w:lang w:bidi="te-IN"/>
              </w:rPr>
              <w:t xml:space="preserve"> OD για 15 ημέρες</w:t>
            </w:r>
          </w:p>
        </w:tc>
        <w:tc>
          <w:tcPr>
            <w:tcW w:w="3180" w:type="dxa"/>
            <w:shd w:val="clear" w:color="auto" w:fill="auto"/>
          </w:tcPr>
          <w:p w:rsidR="00075FBC" w:rsidRPr="00075FBC" w:rsidRDefault="00075FBC" w:rsidP="00075FBC">
            <w:pPr>
              <w:jc w:val="both"/>
              <w:rPr>
                <w:szCs w:val="22"/>
                <w:lang w:bidi="te-IN"/>
              </w:rPr>
            </w:pPr>
            <w:r w:rsidRPr="00075FBC">
              <w:rPr>
                <w:szCs w:val="22"/>
                <w:lang w:bidi="te-IN"/>
              </w:rPr>
              <w:t xml:space="preserve">* </w:t>
            </w:r>
            <w:proofErr w:type="spellStart"/>
            <w:r w:rsidRPr="00075FBC">
              <w:rPr>
                <w:szCs w:val="22"/>
                <w:lang w:bidi="te-IN"/>
              </w:rPr>
              <w:t>Φαιναζόνη</w:t>
            </w:r>
            <w:proofErr w:type="spellEnd"/>
            <w:r w:rsidRPr="00075FBC">
              <w:rPr>
                <w:szCs w:val="22"/>
                <w:lang w:bidi="te-IN"/>
              </w:rPr>
              <w:t xml:space="preserve">, 600 </w:t>
            </w:r>
            <w:proofErr w:type="spellStart"/>
            <w:r w:rsidRPr="00075FBC">
              <w:rPr>
                <w:szCs w:val="22"/>
                <w:lang w:bidi="te-IN"/>
              </w:rPr>
              <w:t>mg</w:t>
            </w:r>
            <w:proofErr w:type="spellEnd"/>
            <w:r w:rsidRPr="00075FBC">
              <w:rPr>
                <w:szCs w:val="22"/>
                <w:lang w:bidi="te-IN"/>
              </w:rPr>
              <w:t xml:space="preserve"> SD</w:t>
            </w:r>
          </w:p>
        </w:tc>
        <w:tc>
          <w:tcPr>
            <w:tcW w:w="1080" w:type="dxa"/>
            <w:shd w:val="clear" w:color="auto" w:fill="auto"/>
          </w:tcPr>
          <w:p w:rsidR="00075FBC" w:rsidRPr="00075FBC" w:rsidRDefault="00075FBC" w:rsidP="00075FBC">
            <w:pPr>
              <w:jc w:val="both"/>
              <w:rPr>
                <w:szCs w:val="22"/>
                <w:lang w:bidi="te-IN"/>
              </w:rPr>
            </w:pPr>
            <w:r w:rsidRPr="00075FBC">
              <w:rPr>
                <w:szCs w:val="22"/>
                <w:lang w:bidi="te-IN"/>
              </w:rPr>
              <w:t>↑ 3%</w:t>
            </w:r>
          </w:p>
        </w:tc>
        <w:tc>
          <w:tcPr>
            <w:tcW w:w="3060" w:type="dxa"/>
            <w:shd w:val="clear" w:color="auto" w:fill="auto"/>
          </w:tcPr>
          <w:p w:rsidR="00075FBC" w:rsidRPr="00075FBC" w:rsidRDefault="00075FBC" w:rsidP="00075FBC">
            <w:pPr>
              <w:jc w:val="both"/>
              <w:rPr>
                <w:szCs w:val="22"/>
                <w:lang w:bidi="te-IN"/>
              </w:rPr>
            </w:pPr>
            <w:r w:rsidRPr="00075FBC">
              <w:rPr>
                <w:color w:val="000000"/>
                <w:szCs w:val="22"/>
              </w:rPr>
              <w:t>Δεν υπάρχει συγκεκριμένη σύσταση.</w:t>
            </w:r>
          </w:p>
        </w:tc>
      </w:tr>
      <w:tr w:rsidR="00075FBC" w:rsidRPr="00075FBC" w:rsidTr="00C27A36">
        <w:tc>
          <w:tcPr>
            <w:tcW w:w="1680" w:type="dxa"/>
            <w:shd w:val="clear" w:color="auto" w:fill="auto"/>
          </w:tcPr>
          <w:p w:rsidR="00075FBC" w:rsidRPr="00075FBC" w:rsidRDefault="00075FBC" w:rsidP="00075FBC">
            <w:pPr>
              <w:jc w:val="both"/>
              <w:rPr>
                <w:szCs w:val="22"/>
                <w:lang w:bidi="te-IN"/>
              </w:rPr>
            </w:pPr>
            <w:r w:rsidRPr="00075FBC">
              <w:rPr>
                <w:szCs w:val="22"/>
                <w:lang w:bidi="te-IN"/>
              </w:rPr>
              <w:t xml:space="preserve">10 </w:t>
            </w:r>
            <w:proofErr w:type="spellStart"/>
            <w:r w:rsidRPr="00075FBC">
              <w:rPr>
                <w:szCs w:val="22"/>
                <w:lang w:bidi="te-IN"/>
              </w:rPr>
              <w:t>mg</w:t>
            </w:r>
            <w:proofErr w:type="spellEnd"/>
            <w:r w:rsidRPr="00075FBC">
              <w:rPr>
                <w:szCs w:val="22"/>
                <w:lang w:bidi="te-IN"/>
              </w:rPr>
              <w:t>, SD</w:t>
            </w:r>
          </w:p>
        </w:tc>
        <w:tc>
          <w:tcPr>
            <w:tcW w:w="3180" w:type="dxa"/>
            <w:shd w:val="clear" w:color="auto" w:fill="auto"/>
          </w:tcPr>
          <w:p w:rsidR="00075FBC" w:rsidRPr="00075FBC" w:rsidRDefault="00075FBC" w:rsidP="00075FBC">
            <w:pPr>
              <w:jc w:val="both"/>
              <w:rPr>
                <w:szCs w:val="22"/>
                <w:lang w:bidi="te-IN"/>
              </w:rPr>
            </w:pPr>
            <w:proofErr w:type="spellStart"/>
            <w:r w:rsidRPr="00075FBC">
              <w:rPr>
                <w:bCs/>
              </w:rPr>
              <w:t>Τιπραναβίρη</w:t>
            </w:r>
            <w:proofErr w:type="spellEnd"/>
            <w:r w:rsidRPr="00075FBC">
              <w:t xml:space="preserve"> </w:t>
            </w:r>
            <w:r w:rsidRPr="00075FBC">
              <w:rPr>
                <w:szCs w:val="22"/>
                <w:lang w:bidi="te-IN"/>
              </w:rPr>
              <w:t xml:space="preserve">500 </w:t>
            </w:r>
            <w:proofErr w:type="spellStart"/>
            <w:r w:rsidRPr="00075FBC">
              <w:rPr>
                <w:szCs w:val="22"/>
                <w:lang w:bidi="te-IN"/>
              </w:rPr>
              <w:t>mg</w:t>
            </w:r>
            <w:proofErr w:type="spellEnd"/>
            <w:r w:rsidRPr="00075FBC">
              <w:rPr>
                <w:szCs w:val="22"/>
                <w:lang w:bidi="te-IN"/>
              </w:rPr>
              <w:t xml:space="preserve"> BID /</w:t>
            </w:r>
            <w:proofErr w:type="spellStart"/>
            <w:r w:rsidRPr="00075FBC">
              <w:t>ριτοναβίρη</w:t>
            </w:r>
            <w:proofErr w:type="spellEnd"/>
            <w:r w:rsidRPr="00075FBC">
              <w:t xml:space="preserve"> </w:t>
            </w:r>
            <w:r w:rsidRPr="00075FBC">
              <w:rPr>
                <w:szCs w:val="22"/>
                <w:lang w:bidi="te-IN"/>
              </w:rPr>
              <w:t>200 </w:t>
            </w:r>
            <w:proofErr w:type="spellStart"/>
            <w:r w:rsidRPr="00075FBC">
              <w:rPr>
                <w:szCs w:val="22"/>
                <w:lang w:bidi="te-IN"/>
              </w:rPr>
              <w:t>mg</w:t>
            </w:r>
            <w:proofErr w:type="spellEnd"/>
            <w:r w:rsidRPr="00075FBC">
              <w:rPr>
                <w:szCs w:val="22"/>
                <w:lang w:bidi="te-IN"/>
              </w:rPr>
              <w:t xml:space="preserve"> BID, 7 ημέρες</w:t>
            </w:r>
          </w:p>
        </w:tc>
        <w:tc>
          <w:tcPr>
            <w:tcW w:w="1080" w:type="dxa"/>
            <w:shd w:val="clear" w:color="auto" w:fill="auto"/>
          </w:tcPr>
          <w:p w:rsidR="00075FBC" w:rsidRPr="00075FBC" w:rsidRDefault="00075FBC" w:rsidP="00075FBC">
            <w:pPr>
              <w:jc w:val="both"/>
              <w:rPr>
                <w:szCs w:val="22"/>
                <w:lang w:bidi="te-IN"/>
              </w:rPr>
            </w:pPr>
            <w:r w:rsidRPr="00075FBC">
              <w:rPr>
                <w:szCs w:val="22"/>
                <w:lang w:bidi="te-IN"/>
              </w:rPr>
              <w:t>Καμία αλλαγή</w:t>
            </w:r>
          </w:p>
        </w:tc>
        <w:tc>
          <w:tcPr>
            <w:tcW w:w="3060" w:type="dxa"/>
            <w:shd w:val="clear" w:color="auto" w:fill="auto"/>
          </w:tcPr>
          <w:p w:rsidR="00075FBC" w:rsidRPr="00075FBC" w:rsidRDefault="00075FBC" w:rsidP="00075FBC">
            <w:pPr>
              <w:jc w:val="both"/>
              <w:rPr>
                <w:color w:val="000000"/>
                <w:szCs w:val="22"/>
              </w:rPr>
            </w:pPr>
            <w:r w:rsidRPr="00075FBC">
              <w:rPr>
                <w:color w:val="000000"/>
                <w:szCs w:val="22"/>
              </w:rPr>
              <w:t>Δεν υπάρχει συγκεκριμένη σύσταση.</w:t>
            </w:r>
          </w:p>
        </w:tc>
      </w:tr>
      <w:tr w:rsidR="00075FBC" w:rsidRPr="00075FBC" w:rsidTr="00C27A36">
        <w:tc>
          <w:tcPr>
            <w:tcW w:w="1680" w:type="dxa"/>
            <w:shd w:val="clear" w:color="auto" w:fill="auto"/>
          </w:tcPr>
          <w:p w:rsidR="00075FBC" w:rsidRPr="00075FBC" w:rsidRDefault="00075FBC" w:rsidP="00075FBC">
            <w:pPr>
              <w:jc w:val="both"/>
              <w:rPr>
                <w:szCs w:val="22"/>
                <w:lang w:bidi="te-IN"/>
              </w:rPr>
            </w:pPr>
            <w:r w:rsidRPr="00075FBC">
              <w:rPr>
                <w:szCs w:val="22"/>
                <w:lang w:bidi="te-IN"/>
              </w:rPr>
              <w:t xml:space="preserve">10 </w:t>
            </w:r>
            <w:proofErr w:type="spellStart"/>
            <w:r w:rsidRPr="00075FBC">
              <w:rPr>
                <w:szCs w:val="22"/>
                <w:lang w:bidi="te-IN"/>
              </w:rPr>
              <w:t>mg</w:t>
            </w:r>
            <w:proofErr w:type="spellEnd"/>
            <w:r w:rsidRPr="00075FBC">
              <w:rPr>
                <w:szCs w:val="22"/>
                <w:lang w:bidi="te-IN"/>
              </w:rPr>
              <w:t>, OD για 4 ημέρες</w:t>
            </w:r>
          </w:p>
        </w:tc>
        <w:tc>
          <w:tcPr>
            <w:tcW w:w="3180" w:type="dxa"/>
            <w:shd w:val="clear" w:color="auto" w:fill="auto"/>
          </w:tcPr>
          <w:p w:rsidR="00075FBC" w:rsidRPr="00075FBC" w:rsidRDefault="00075FBC" w:rsidP="00075FBC">
            <w:pPr>
              <w:jc w:val="both"/>
              <w:rPr>
                <w:szCs w:val="22"/>
                <w:lang w:bidi="te-IN"/>
              </w:rPr>
            </w:pPr>
            <w:proofErr w:type="spellStart"/>
            <w:r w:rsidRPr="00075FBC">
              <w:rPr>
                <w:bCs/>
              </w:rPr>
              <w:t>Φοσαμπρεναβίρη</w:t>
            </w:r>
            <w:proofErr w:type="spellEnd"/>
            <w:r w:rsidRPr="00075FBC">
              <w:rPr>
                <w:rFonts w:ascii="Arial" w:hAnsi="Arial" w:cs="Arial"/>
                <w:color w:val="222222"/>
              </w:rPr>
              <w:t xml:space="preserve"> </w:t>
            </w:r>
            <w:r w:rsidRPr="00075FBC">
              <w:rPr>
                <w:szCs w:val="22"/>
                <w:lang w:bidi="te-IN"/>
              </w:rPr>
              <w:t xml:space="preserve">1400 </w:t>
            </w:r>
            <w:proofErr w:type="spellStart"/>
            <w:r w:rsidRPr="00075FBC">
              <w:rPr>
                <w:szCs w:val="22"/>
                <w:lang w:bidi="te-IN"/>
              </w:rPr>
              <w:t>mg</w:t>
            </w:r>
            <w:proofErr w:type="spellEnd"/>
            <w:r w:rsidRPr="00075FBC">
              <w:rPr>
                <w:szCs w:val="22"/>
                <w:lang w:bidi="te-IN"/>
              </w:rPr>
              <w:t xml:space="preserve"> BID, 14 ημέρες</w:t>
            </w:r>
          </w:p>
        </w:tc>
        <w:tc>
          <w:tcPr>
            <w:tcW w:w="1080" w:type="dxa"/>
            <w:shd w:val="clear" w:color="auto" w:fill="auto"/>
          </w:tcPr>
          <w:p w:rsidR="00075FBC" w:rsidRPr="00075FBC" w:rsidRDefault="00075FBC" w:rsidP="00075FBC">
            <w:pPr>
              <w:jc w:val="both"/>
              <w:rPr>
                <w:szCs w:val="22"/>
                <w:lang w:bidi="te-IN"/>
              </w:rPr>
            </w:pPr>
            <w:r w:rsidRPr="00075FBC">
              <w:rPr>
                <w:szCs w:val="22"/>
                <w:lang w:bidi="te-IN"/>
              </w:rPr>
              <w:t>↓ 27%</w:t>
            </w:r>
          </w:p>
        </w:tc>
        <w:tc>
          <w:tcPr>
            <w:tcW w:w="3060" w:type="dxa"/>
            <w:shd w:val="clear" w:color="auto" w:fill="auto"/>
          </w:tcPr>
          <w:p w:rsidR="00075FBC" w:rsidRPr="00075FBC" w:rsidRDefault="00075FBC" w:rsidP="00075FBC">
            <w:pPr>
              <w:jc w:val="both"/>
              <w:rPr>
                <w:color w:val="000000"/>
                <w:szCs w:val="22"/>
              </w:rPr>
            </w:pPr>
            <w:r w:rsidRPr="00075FBC">
              <w:rPr>
                <w:color w:val="000000"/>
                <w:szCs w:val="22"/>
              </w:rPr>
              <w:t>Δεν υπάρχει συγκεκριμένη σύσταση.</w:t>
            </w:r>
          </w:p>
        </w:tc>
      </w:tr>
      <w:tr w:rsidR="00075FBC" w:rsidRPr="00075FBC" w:rsidTr="00C27A36">
        <w:tc>
          <w:tcPr>
            <w:tcW w:w="1680" w:type="dxa"/>
            <w:shd w:val="clear" w:color="auto" w:fill="auto"/>
          </w:tcPr>
          <w:p w:rsidR="00075FBC" w:rsidRPr="00075FBC" w:rsidRDefault="00075FBC" w:rsidP="00075FBC">
            <w:pPr>
              <w:jc w:val="both"/>
              <w:rPr>
                <w:szCs w:val="22"/>
                <w:lang w:bidi="te-IN"/>
              </w:rPr>
            </w:pPr>
            <w:r w:rsidRPr="00075FBC">
              <w:rPr>
                <w:szCs w:val="22"/>
                <w:lang w:bidi="te-IN"/>
              </w:rPr>
              <w:t xml:space="preserve">10 </w:t>
            </w:r>
            <w:proofErr w:type="spellStart"/>
            <w:r w:rsidRPr="00075FBC">
              <w:rPr>
                <w:szCs w:val="22"/>
                <w:lang w:bidi="te-IN"/>
              </w:rPr>
              <w:t>mg</w:t>
            </w:r>
            <w:proofErr w:type="spellEnd"/>
            <w:r w:rsidRPr="00075FBC">
              <w:rPr>
                <w:szCs w:val="22"/>
                <w:lang w:bidi="te-IN"/>
              </w:rPr>
              <w:t xml:space="preserve"> OD για 4 ημέρες</w:t>
            </w:r>
          </w:p>
        </w:tc>
        <w:tc>
          <w:tcPr>
            <w:tcW w:w="3180" w:type="dxa"/>
            <w:shd w:val="clear" w:color="auto" w:fill="auto"/>
          </w:tcPr>
          <w:p w:rsidR="00075FBC" w:rsidRPr="00075FBC" w:rsidRDefault="00075FBC" w:rsidP="00075FBC">
            <w:pPr>
              <w:jc w:val="both"/>
              <w:rPr>
                <w:szCs w:val="22"/>
                <w:lang w:bidi="te-IN"/>
              </w:rPr>
            </w:pPr>
            <w:proofErr w:type="spellStart"/>
            <w:r w:rsidRPr="00075FBC">
              <w:rPr>
                <w:bCs/>
              </w:rPr>
              <w:t>Φοσαμπρεναβίρη</w:t>
            </w:r>
            <w:proofErr w:type="spellEnd"/>
            <w:r w:rsidRPr="00075FBC">
              <w:rPr>
                <w:rFonts w:ascii="Arial" w:hAnsi="Arial" w:cs="Arial"/>
                <w:color w:val="222222"/>
              </w:rPr>
              <w:t xml:space="preserve"> </w:t>
            </w:r>
            <w:r w:rsidRPr="00075FBC">
              <w:rPr>
                <w:szCs w:val="22"/>
                <w:lang w:bidi="te-IN"/>
              </w:rPr>
              <w:t xml:space="preserve">700 </w:t>
            </w:r>
            <w:proofErr w:type="spellStart"/>
            <w:r w:rsidRPr="00075FBC">
              <w:rPr>
                <w:szCs w:val="22"/>
                <w:lang w:bidi="te-IN"/>
              </w:rPr>
              <w:t>mg</w:t>
            </w:r>
            <w:proofErr w:type="spellEnd"/>
            <w:r w:rsidRPr="00075FBC">
              <w:rPr>
                <w:szCs w:val="22"/>
                <w:lang w:bidi="te-IN"/>
              </w:rPr>
              <w:t xml:space="preserve"> BID/</w:t>
            </w:r>
            <w:proofErr w:type="spellStart"/>
            <w:r w:rsidRPr="00075FBC">
              <w:t>ριτοναβίρη</w:t>
            </w:r>
            <w:proofErr w:type="spellEnd"/>
            <w:r w:rsidRPr="00075FBC">
              <w:t xml:space="preserve"> </w:t>
            </w:r>
            <w:r w:rsidRPr="00075FBC">
              <w:rPr>
                <w:szCs w:val="22"/>
                <w:lang w:bidi="te-IN"/>
              </w:rPr>
              <w:t xml:space="preserve">100 </w:t>
            </w:r>
            <w:proofErr w:type="spellStart"/>
            <w:r w:rsidRPr="00075FBC">
              <w:rPr>
                <w:szCs w:val="22"/>
                <w:lang w:bidi="te-IN"/>
              </w:rPr>
              <w:t>mg</w:t>
            </w:r>
            <w:proofErr w:type="spellEnd"/>
            <w:r w:rsidRPr="00075FBC">
              <w:rPr>
                <w:szCs w:val="22"/>
                <w:lang w:bidi="te-IN"/>
              </w:rPr>
              <w:t xml:space="preserve"> BID, 14 ημέρες</w:t>
            </w:r>
          </w:p>
        </w:tc>
        <w:tc>
          <w:tcPr>
            <w:tcW w:w="1080" w:type="dxa"/>
            <w:shd w:val="clear" w:color="auto" w:fill="auto"/>
          </w:tcPr>
          <w:p w:rsidR="00075FBC" w:rsidRPr="00075FBC" w:rsidRDefault="00075FBC" w:rsidP="00075FBC">
            <w:pPr>
              <w:jc w:val="both"/>
              <w:rPr>
                <w:szCs w:val="22"/>
                <w:lang w:bidi="te-IN"/>
              </w:rPr>
            </w:pPr>
            <w:r w:rsidRPr="00075FBC">
              <w:rPr>
                <w:szCs w:val="22"/>
                <w:lang w:bidi="te-IN"/>
              </w:rPr>
              <w:t>Καμία αλλαγή</w:t>
            </w:r>
          </w:p>
        </w:tc>
        <w:tc>
          <w:tcPr>
            <w:tcW w:w="3060" w:type="dxa"/>
            <w:shd w:val="clear" w:color="auto" w:fill="auto"/>
          </w:tcPr>
          <w:p w:rsidR="00075FBC" w:rsidRPr="00075FBC" w:rsidRDefault="00075FBC" w:rsidP="00075FBC">
            <w:pPr>
              <w:jc w:val="both"/>
              <w:rPr>
                <w:color w:val="000000"/>
                <w:szCs w:val="22"/>
              </w:rPr>
            </w:pPr>
            <w:r w:rsidRPr="00075FBC">
              <w:rPr>
                <w:color w:val="000000"/>
                <w:szCs w:val="22"/>
              </w:rPr>
              <w:t>Δεν υπάρχει συγκεκριμένη σύσταση.</w:t>
            </w:r>
          </w:p>
        </w:tc>
      </w:tr>
    </w:tbl>
    <w:p w:rsidR="00075FBC" w:rsidRPr="00075FBC" w:rsidRDefault="00075FBC" w:rsidP="00075FBC">
      <w:pPr>
        <w:ind w:left="240" w:hanging="240"/>
        <w:jc w:val="both"/>
        <w:rPr>
          <w:sz w:val="18"/>
          <w:szCs w:val="18"/>
          <w:vertAlign w:val="superscript"/>
          <w:lang w:bidi="te-IN"/>
        </w:rPr>
      </w:pPr>
    </w:p>
    <w:p w:rsidR="00075FBC" w:rsidRPr="00075FBC" w:rsidRDefault="00075FBC" w:rsidP="00075FBC">
      <w:pPr>
        <w:autoSpaceDE w:val="0"/>
        <w:autoSpaceDN w:val="0"/>
        <w:adjustRightInd w:val="0"/>
        <w:ind w:left="360" w:hanging="360"/>
        <w:jc w:val="both"/>
        <w:rPr>
          <w:sz w:val="18"/>
          <w:szCs w:val="18"/>
          <w:lang w:bidi="te-IN"/>
        </w:rPr>
      </w:pPr>
      <w:r w:rsidRPr="00075FBC">
        <w:rPr>
          <w:sz w:val="18"/>
          <w:szCs w:val="18"/>
          <w:vertAlign w:val="superscript"/>
          <w:lang w:bidi="te-IN"/>
        </w:rPr>
        <w:t xml:space="preserve">&amp;         </w:t>
      </w:r>
      <w:r w:rsidRPr="00075FBC">
        <w:rPr>
          <w:rFonts w:cs="TimesNewRoman"/>
          <w:sz w:val="18"/>
          <w:szCs w:val="18"/>
        </w:rPr>
        <w:t>Τα δεδομένα που αναγράφονται ως μεταβολές</w:t>
      </w:r>
      <w:r w:rsidRPr="00075FBC">
        <w:rPr>
          <w:rFonts w:ascii="TimesNewRoman" w:hAnsi="TimesNewRoman" w:cs="TimesNewRoman"/>
          <w:sz w:val="18"/>
          <w:szCs w:val="18"/>
        </w:rPr>
        <w:t xml:space="preserve"> </w:t>
      </w:r>
      <w:r w:rsidRPr="00075FBC">
        <w:rPr>
          <w:rFonts w:cs="TimesNewRoman"/>
          <w:sz w:val="18"/>
          <w:szCs w:val="18"/>
        </w:rPr>
        <w:t xml:space="preserve">επί τοις </w:t>
      </w:r>
      <w:r w:rsidRPr="00075FBC">
        <w:rPr>
          <w:rFonts w:ascii="TimesNewRoman" w:hAnsi="TimesNewRoman" w:cs="TimesNewRoman"/>
          <w:sz w:val="18"/>
          <w:szCs w:val="18"/>
        </w:rPr>
        <w:t xml:space="preserve">% </w:t>
      </w:r>
      <w:r w:rsidRPr="00075FBC">
        <w:rPr>
          <w:rFonts w:cs="TimesNewRoman"/>
          <w:sz w:val="18"/>
          <w:szCs w:val="18"/>
        </w:rPr>
        <w:t>απεικονίζουν την επί τοις</w:t>
      </w:r>
      <w:r w:rsidRPr="00075FBC">
        <w:rPr>
          <w:rFonts w:ascii="TimesNewRoman" w:hAnsi="TimesNewRoman" w:cs="TimesNewRoman"/>
          <w:sz w:val="18"/>
          <w:szCs w:val="18"/>
        </w:rPr>
        <w:t xml:space="preserve"> % </w:t>
      </w:r>
      <w:r w:rsidRPr="00075FBC">
        <w:rPr>
          <w:rFonts w:cs="TimesNewRoman"/>
          <w:sz w:val="18"/>
          <w:szCs w:val="18"/>
        </w:rPr>
        <w:t xml:space="preserve">διαφορά σε σχέση με την </w:t>
      </w:r>
      <w:proofErr w:type="spellStart"/>
      <w:r w:rsidRPr="00075FBC">
        <w:rPr>
          <w:rFonts w:cs="TimesNewRoman"/>
          <w:sz w:val="18"/>
          <w:szCs w:val="18"/>
        </w:rPr>
        <w:t>ατορβαστατίνη</w:t>
      </w:r>
      <w:proofErr w:type="spellEnd"/>
      <w:r w:rsidRPr="00075FBC">
        <w:rPr>
          <w:rFonts w:cs="TimesNewRoman"/>
          <w:sz w:val="18"/>
          <w:szCs w:val="18"/>
        </w:rPr>
        <w:t xml:space="preserve"> μόνο (δηλ</w:t>
      </w:r>
      <w:r w:rsidRPr="00075FBC">
        <w:rPr>
          <w:rFonts w:ascii="TimesNewRoman" w:hAnsi="TimesNewRoman" w:cs="TimesNewRoman"/>
          <w:sz w:val="18"/>
          <w:szCs w:val="18"/>
        </w:rPr>
        <w:t xml:space="preserve">., 0% = </w:t>
      </w:r>
      <w:r w:rsidRPr="00075FBC">
        <w:rPr>
          <w:rFonts w:cs="TimesNewRoman"/>
          <w:sz w:val="18"/>
          <w:szCs w:val="18"/>
        </w:rPr>
        <w:t>καμία μεταβολή</w:t>
      </w:r>
      <w:r w:rsidRPr="00075FBC">
        <w:rPr>
          <w:rFonts w:ascii="TimesNewRoman" w:hAnsi="TimesNewRoman" w:cs="TimesNewRoman"/>
          <w:sz w:val="18"/>
          <w:szCs w:val="18"/>
        </w:rPr>
        <w:t>).</w:t>
      </w:r>
      <w:r w:rsidRPr="00075FBC">
        <w:rPr>
          <w:sz w:val="18"/>
          <w:szCs w:val="18"/>
          <w:lang w:bidi="te-IN"/>
        </w:rPr>
        <w:t xml:space="preserve"> </w:t>
      </w:r>
    </w:p>
    <w:p w:rsidR="00075FBC" w:rsidRPr="00075FBC" w:rsidRDefault="00075FBC" w:rsidP="00075FBC">
      <w:pPr>
        <w:ind w:left="360" w:hanging="360"/>
        <w:jc w:val="both"/>
        <w:rPr>
          <w:sz w:val="18"/>
          <w:szCs w:val="18"/>
        </w:rPr>
      </w:pPr>
      <w:r w:rsidRPr="00075FBC">
        <w:rPr>
          <w:sz w:val="18"/>
          <w:szCs w:val="18"/>
          <w:lang w:bidi="te-IN"/>
        </w:rPr>
        <w:t>*</w:t>
      </w:r>
      <w:r w:rsidRPr="00075FBC">
        <w:rPr>
          <w:sz w:val="18"/>
          <w:szCs w:val="18"/>
          <w:lang w:bidi="te-IN"/>
        </w:rPr>
        <w:tab/>
      </w:r>
      <w:proofErr w:type="spellStart"/>
      <w:r w:rsidRPr="00075FBC">
        <w:rPr>
          <w:sz w:val="18"/>
          <w:szCs w:val="18"/>
          <w:lang w:bidi="te-IN"/>
        </w:rPr>
        <w:t>Συγχορήγηση</w:t>
      </w:r>
      <w:proofErr w:type="spellEnd"/>
      <w:r w:rsidRPr="00075FBC">
        <w:rPr>
          <w:sz w:val="18"/>
          <w:szCs w:val="18"/>
          <w:lang w:bidi="te-IN"/>
        </w:rPr>
        <w:t xml:space="preserve"> πολλαπλών δόσεων </w:t>
      </w:r>
      <w:proofErr w:type="spellStart"/>
      <w:r w:rsidRPr="00075FBC">
        <w:rPr>
          <w:sz w:val="18"/>
          <w:szCs w:val="18"/>
          <w:lang w:bidi="te-IN"/>
        </w:rPr>
        <w:t>ατορβαστατίνης</w:t>
      </w:r>
      <w:proofErr w:type="spellEnd"/>
      <w:r w:rsidRPr="00075FBC">
        <w:rPr>
          <w:sz w:val="18"/>
          <w:szCs w:val="18"/>
          <w:lang w:bidi="te-IN"/>
        </w:rPr>
        <w:t xml:space="preserve"> και </w:t>
      </w:r>
      <w:proofErr w:type="spellStart"/>
      <w:r w:rsidRPr="00075FBC">
        <w:rPr>
          <w:sz w:val="18"/>
          <w:szCs w:val="18"/>
          <w:lang w:bidi="te-IN"/>
        </w:rPr>
        <w:t>φαιναζόνης</w:t>
      </w:r>
      <w:proofErr w:type="spellEnd"/>
      <w:r w:rsidRPr="00075FBC">
        <w:rPr>
          <w:sz w:val="18"/>
          <w:szCs w:val="18"/>
          <w:lang w:bidi="te-IN"/>
        </w:rPr>
        <w:t xml:space="preserve"> έδειξαν λίγο ή καθόλου επίδραση στην κάθαρση της </w:t>
      </w:r>
      <w:proofErr w:type="spellStart"/>
      <w:r w:rsidRPr="00075FBC">
        <w:rPr>
          <w:sz w:val="18"/>
          <w:szCs w:val="18"/>
          <w:lang w:bidi="te-IN"/>
        </w:rPr>
        <w:t>φαιναζόνης</w:t>
      </w:r>
      <w:proofErr w:type="spellEnd"/>
      <w:r w:rsidRPr="00075FBC">
        <w:rPr>
          <w:sz w:val="18"/>
          <w:szCs w:val="18"/>
          <w:lang w:bidi="te-IN"/>
        </w:rPr>
        <w:t xml:space="preserve">.  </w:t>
      </w:r>
    </w:p>
    <w:p w:rsidR="00075FBC" w:rsidRPr="00075FBC" w:rsidRDefault="00075FBC" w:rsidP="00075FBC">
      <w:pPr>
        <w:jc w:val="both"/>
        <w:rPr>
          <w:sz w:val="18"/>
          <w:szCs w:val="18"/>
        </w:rPr>
      </w:pPr>
      <w:r w:rsidRPr="00075FBC">
        <w:rPr>
          <w:sz w:val="18"/>
          <w:szCs w:val="18"/>
        </w:rPr>
        <w:t>Αύξηση υποδεικνύεται ως “↑”, μείωση ως “↓”</w:t>
      </w:r>
    </w:p>
    <w:p w:rsidR="00075FBC" w:rsidRPr="00075FBC" w:rsidRDefault="00075FBC" w:rsidP="00075FBC">
      <w:pPr>
        <w:jc w:val="both"/>
        <w:rPr>
          <w:sz w:val="18"/>
          <w:szCs w:val="18"/>
        </w:rPr>
      </w:pPr>
      <w:r w:rsidRPr="00075FBC">
        <w:rPr>
          <w:sz w:val="18"/>
          <w:szCs w:val="18"/>
        </w:rPr>
        <w:t>OD = μια φορά ημερησίως, SD = μονή δόση</w:t>
      </w:r>
    </w:p>
    <w:p w:rsidR="00075FBC" w:rsidRPr="00075FBC" w:rsidRDefault="00075FBC" w:rsidP="00075FBC">
      <w:pPr>
        <w:jc w:val="both"/>
        <w:rPr>
          <w:szCs w:val="22"/>
        </w:rPr>
      </w:pPr>
    </w:p>
    <w:p w:rsidR="00075FBC" w:rsidRPr="00075FBC" w:rsidRDefault="00075FBC" w:rsidP="00075FBC">
      <w:pPr>
        <w:jc w:val="both"/>
        <w:rPr>
          <w:szCs w:val="22"/>
        </w:rPr>
      </w:pPr>
      <w:r w:rsidRPr="00075FBC">
        <w:rPr>
          <w:b/>
          <w:szCs w:val="22"/>
        </w:rPr>
        <w:t>4.6</w:t>
      </w:r>
      <w:r w:rsidRPr="00075FBC">
        <w:rPr>
          <w:b/>
          <w:szCs w:val="22"/>
        </w:rPr>
        <w:tab/>
      </w:r>
      <w:r w:rsidRPr="00075FBC">
        <w:rPr>
          <w:b/>
        </w:rPr>
        <w:t xml:space="preserve">Γονιμότητα, κύηση </w:t>
      </w:r>
      <w:r w:rsidRPr="00075FBC">
        <w:rPr>
          <w:b/>
          <w:szCs w:val="22"/>
        </w:rPr>
        <w:t>και γαλουχία</w:t>
      </w:r>
    </w:p>
    <w:p w:rsidR="00075FBC" w:rsidRPr="00075FBC" w:rsidRDefault="00075FBC" w:rsidP="00075FBC">
      <w:pPr>
        <w:widowControl/>
        <w:jc w:val="both"/>
        <w:rPr>
          <w:szCs w:val="22"/>
        </w:rPr>
      </w:pPr>
    </w:p>
    <w:p w:rsidR="00075FBC" w:rsidRPr="00075FBC" w:rsidRDefault="00075FBC" w:rsidP="00075FBC">
      <w:pPr>
        <w:widowControl/>
        <w:spacing w:after="120"/>
        <w:jc w:val="both"/>
        <w:rPr>
          <w:u w:val="single"/>
        </w:rPr>
      </w:pPr>
      <w:r w:rsidRPr="00075FBC">
        <w:rPr>
          <w:u w:val="single"/>
        </w:rPr>
        <w:t>Γυναίκες σε αναπαραγωγική ηλικία</w:t>
      </w:r>
    </w:p>
    <w:p w:rsidR="00075FBC" w:rsidRPr="00075FBC" w:rsidRDefault="00075FBC" w:rsidP="00075FBC">
      <w:pPr>
        <w:widowControl/>
        <w:jc w:val="both"/>
        <w:rPr>
          <w:szCs w:val="22"/>
        </w:rPr>
      </w:pPr>
      <w:r w:rsidRPr="00075FBC">
        <w:rPr>
          <w:szCs w:val="22"/>
        </w:rPr>
        <w:t>Οι γυναίκες που βρίσκονται σε αναπαραγωγική ηλικία πρέπει να χρησιμοποιούν επαρκή μέτρα αντισύλληψης κατά τη διάρκεια της θεραπείας (βλ. παράγραφο 4.3).</w:t>
      </w:r>
    </w:p>
    <w:p w:rsidR="00075FBC" w:rsidRPr="00075FBC" w:rsidRDefault="00075FBC" w:rsidP="00075FBC">
      <w:pPr>
        <w:widowControl/>
        <w:jc w:val="both"/>
        <w:rPr>
          <w:b/>
          <w:szCs w:val="22"/>
        </w:rPr>
      </w:pPr>
    </w:p>
    <w:p w:rsidR="00075FBC" w:rsidRPr="00075FBC" w:rsidRDefault="00075FBC" w:rsidP="00075FBC">
      <w:pPr>
        <w:widowControl/>
        <w:spacing w:after="120"/>
        <w:jc w:val="both"/>
        <w:rPr>
          <w:szCs w:val="22"/>
          <w:u w:val="single"/>
        </w:rPr>
      </w:pPr>
      <w:r w:rsidRPr="00075FBC">
        <w:rPr>
          <w:u w:val="single"/>
        </w:rPr>
        <w:t>Εγκυμοσύνη</w:t>
      </w:r>
    </w:p>
    <w:p w:rsidR="00075FBC" w:rsidRPr="00075FBC" w:rsidRDefault="00075FBC" w:rsidP="00075FBC">
      <w:pPr>
        <w:widowControl/>
        <w:jc w:val="both"/>
        <w:rPr>
          <w:bCs/>
        </w:rPr>
      </w:pPr>
      <w:r w:rsidRPr="00075FBC">
        <w:rPr>
          <w:szCs w:val="22"/>
        </w:rPr>
        <w:t xml:space="preserve">Η </w:t>
      </w:r>
      <w:proofErr w:type="spellStart"/>
      <w:r w:rsidRPr="00075FBC">
        <w:rPr>
          <w:szCs w:val="22"/>
        </w:rPr>
        <w:t>ατορβαστατίνη</w:t>
      </w:r>
      <w:proofErr w:type="spellEnd"/>
      <w:r w:rsidRPr="00075FBC">
        <w:rPr>
          <w:bCs/>
        </w:rPr>
        <w:t xml:space="preserve"> </w:t>
      </w:r>
      <w:r w:rsidRPr="00075FBC">
        <w:rPr>
          <w:szCs w:val="22"/>
        </w:rPr>
        <w:t xml:space="preserve">αντενδείκνυται στην κύηση και το θηλασμό (βλ. παράγραφο 4.3). Η ασφάλεια στις έγκυες γυναίκες δεν έχει τεκμηριωθεί. Δεν έχουν διεξαχθεί ελεγχόμενες κλινικές μελέτες σε έγκυες γυναίκες. Έχουν υπάρξει σπάνιες αναφορές για συγγενείς ανωμαλίες κατόπιν </w:t>
      </w:r>
      <w:proofErr w:type="spellStart"/>
      <w:r w:rsidRPr="00075FBC">
        <w:rPr>
          <w:szCs w:val="22"/>
        </w:rPr>
        <w:t>ενδομητρικής</w:t>
      </w:r>
      <w:proofErr w:type="spellEnd"/>
      <w:r w:rsidRPr="00075FBC">
        <w:rPr>
          <w:szCs w:val="22"/>
        </w:rPr>
        <w:t xml:space="preserve"> έκθεσης σε αναστολείς της </w:t>
      </w:r>
      <w:r w:rsidRPr="00075FBC">
        <w:rPr>
          <w:bCs/>
        </w:rPr>
        <w:t>HMG-</w:t>
      </w:r>
      <w:proofErr w:type="spellStart"/>
      <w:r w:rsidRPr="00075FBC">
        <w:rPr>
          <w:bCs/>
        </w:rPr>
        <w:t>CoA</w:t>
      </w:r>
      <w:proofErr w:type="spellEnd"/>
      <w:r w:rsidRPr="00075FBC">
        <w:rPr>
          <w:bCs/>
        </w:rPr>
        <w:t xml:space="preserve"> </w:t>
      </w:r>
      <w:proofErr w:type="spellStart"/>
      <w:r w:rsidRPr="00075FBC">
        <w:rPr>
          <w:bCs/>
        </w:rPr>
        <w:t>αναγωγάσης</w:t>
      </w:r>
      <w:proofErr w:type="spellEnd"/>
      <w:r w:rsidRPr="00075FBC">
        <w:rPr>
          <w:bCs/>
        </w:rPr>
        <w:t>. Μελέτες σε ζώα έχουν δείξει τοξικότητα κατά την αναπαραγωγή.</w:t>
      </w:r>
    </w:p>
    <w:p w:rsidR="00075FBC" w:rsidRPr="00075FBC" w:rsidRDefault="00075FBC" w:rsidP="00075FBC">
      <w:pPr>
        <w:widowControl/>
        <w:jc w:val="both"/>
        <w:rPr>
          <w:bCs/>
        </w:rPr>
      </w:pPr>
    </w:p>
    <w:p w:rsidR="00075FBC" w:rsidRPr="00075FBC" w:rsidRDefault="00075FBC" w:rsidP="00075FBC">
      <w:pPr>
        <w:widowControl/>
        <w:jc w:val="both"/>
        <w:rPr>
          <w:szCs w:val="22"/>
        </w:rPr>
      </w:pPr>
      <w:r w:rsidRPr="00075FBC">
        <w:rPr>
          <w:szCs w:val="22"/>
        </w:rPr>
        <w:t xml:space="preserve">Θεραπεία της μητέρας με </w:t>
      </w:r>
      <w:proofErr w:type="spellStart"/>
      <w:r w:rsidRPr="00075FBC">
        <w:rPr>
          <w:szCs w:val="22"/>
        </w:rPr>
        <w:t>ατορβαστατίνη</w:t>
      </w:r>
      <w:proofErr w:type="spellEnd"/>
      <w:r w:rsidRPr="00075FBC">
        <w:rPr>
          <w:szCs w:val="22"/>
        </w:rPr>
        <w:t xml:space="preserve"> μπορεί να μειώσει τα επίπεδα του </w:t>
      </w:r>
      <w:proofErr w:type="spellStart"/>
      <w:r w:rsidRPr="00075FBC">
        <w:rPr>
          <w:szCs w:val="22"/>
        </w:rPr>
        <w:t>μεβαλονικού</w:t>
      </w:r>
      <w:proofErr w:type="spellEnd"/>
      <w:r w:rsidRPr="00075FBC">
        <w:rPr>
          <w:szCs w:val="22"/>
        </w:rPr>
        <w:t xml:space="preserve"> οξέος το οποίο είναι πρόδρομος της βιοσύνθεσης της χοληστερόλης. Η </w:t>
      </w:r>
      <w:proofErr w:type="spellStart"/>
      <w:r w:rsidRPr="00075FBC">
        <w:rPr>
          <w:szCs w:val="22"/>
        </w:rPr>
        <w:t>αθηροσκλήρυνση</w:t>
      </w:r>
      <w:proofErr w:type="spellEnd"/>
      <w:r w:rsidRPr="00075FBC">
        <w:rPr>
          <w:szCs w:val="22"/>
        </w:rPr>
        <w:t xml:space="preserve"> είναι μια χρόνια διαδικασία, και συνήθως, η διακοπή των φαρμακευτικών προϊόντων που μειώνουν τα επίπεδα των λιπιδίων στο αίμα κατά τη διάρκεια της εγκυμοσύνης θα πρέπει να έχει μικρή επίπτωση στον μακροπρόθεσμο κίνδυνο που σχετίζεται με την πρωτοπαθή </w:t>
      </w:r>
      <w:proofErr w:type="spellStart"/>
      <w:r w:rsidRPr="00075FBC">
        <w:rPr>
          <w:szCs w:val="22"/>
        </w:rPr>
        <w:t>υπερχοληστερολαιμία</w:t>
      </w:r>
      <w:proofErr w:type="spellEnd"/>
      <w:r w:rsidRPr="00075FBC">
        <w:rPr>
          <w:szCs w:val="22"/>
        </w:rPr>
        <w:t xml:space="preserve">. </w:t>
      </w:r>
    </w:p>
    <w:p w:rsidR="00075FBC" w:rsidRPr="00075FBC" w:rsidRDefault="00075FBC" w:rsidP="00075FBC">
      <w:pPr>
        <w:widowControl/>
        <w:jc w:val="both"/>
        <w:rPr>
          <w:szCs w:val="22"/>
        </w:rPr>
      </w:pPr>
    </w:p>
    <w:p w:rsidR="00075FBC" w:rsidRPr="00075FBC" w:rsidRDefault="00075FBC" w:rsidP="00075FBC">
      <w:pPr>
        <w:widowControl/>
        <w:jc w:val="both"/>
        <w:rPr>
          <w:bCs/>
        </w:rPr>
      </w:pPr>
      <w:r w:rsidRPr="00075FBC">
        <w:rPr>
          <w:szCs w:val="22"/>
        </w:rPr>
        <w:t xml:space="preserve">Για αυτούς τους λόγους, το </w:t>
      </w:r>
      <w:proofErr w:type="spellStart"/>
      <w:r w:rsidRPr="00075FBC">
        <w:rPr>
          <w:bCs/>
          <w:szCs w:val="22"/>
          <w:lang w:val="en-US"/>
        </w:rPr>
        <w:t>Xanator</w:t>
      </w:r>
      <w:proofErr w:type="spellEnd"/>
      <w:r w:rsidRPr="00075FBC">
        <w:rPr>
          <w:bCs/>
          <w:szCs w:val="22"/>
        </w:rPr>
        <w:t>/</w:t>
      </w:r>
      <w:proofErr w:type="spellStart"/>
      <w:r w:rsidRPr="00075FBC">
        <w:rPr>
          <w:bCs/>
          <w:szCs w:val="22"/>
          <w:lang w:val="en-US"/>
        </w:rPr>
        <w:t>Sieger</w:t>
      </w:r>
      <w:proofErr w:type="spellEnd"/>
      <w:r w:rsidRPr="00075FBC">
        <w:rPr>
          <w:szCs w:val="22"/>
        </w:rPr>
        <w:t xml:space="preserve"> </w:t>
      </w:r>
      <w:r w:rsidRPr="00075FBC">
        <w:rPr>
          <w:bCs/>
        </w:rPr>
        <w:t xml:space="preserve">δεν θα πρέπει να χρησιμοποιείται από γυναίκες που είναι έγκυες, προσπαθούν να μείνουν έγκυες ή υπάρχει υπόνοια πως είναι έγκυες. Η </w:t>
      </w:r>
      <w:r w:rsidRPr="00075FBC">
        <w:rPr>
          <w:bCs/>
        </w:rPr>
        <w:lastRenderedPageBreak/>
        <w:t xml:space="preserve">θεραπεία με το </w:t>
      </w:r>
      <w:proofErr w:type="spellStart"/>
      <w:r w:rsidRPr="00075FBC">
        <w:rPr>
          <w:bCs/>
          <w:szCs w:val="22"/>
          <w:lang w:val="en-US"/>
        </w:rPr>
        <w:t>Xanator</w:t>
      </w:r>
      <w:proofErr w:type="spellEnd"/>
      <w:r w:rsidRPr="00075FBC">
        <w:rPr>
          <w:bCs/>
          <w:szCs w:val="22"/>
        </w:rPr>
        <w:t>/</w:t>
      </w:r>
      <w:proofErr w:type="spellStart"/>
      <w:r w:rsidRPr="00075FBC">
        <w:rPr>
          <w:bCs/>
          <w:szCs w:val="22"/>
          <w:lang w:val="en-US"/>
        </w:rPr>
        <w:t>Sieger</w:t>
      </w:r>
      <w:proofErr w:type="spellEnd"/>
      <w:r w:rsidRPr="00075FBC">
        <w:rPr>
          <w:szCs w:val="22"/>
        </w:rPr>
        <w:t xml:space="preserve"> </w:t>
      </w:r>
      <w:r w:rsidRPr="00075FBC">
        <w:rPr>
          <w:bCs/>
        </w:rPr>
        <w:t>θα πρέπει να διακοπεί κατά τη διάρκεια της εγκυμοσύνης ή μέχρι να εξακριβωθεί ότι η γυναίκα δεν είναι έγκυος (βλ. παράγραφο 4.3).</w:t>
      </w:r>
    </w:p>
    <w:p w:rsidR="00075FBC" w:rsidRPr="00075FBC" w:rsidRDefault="00075FBC" w:rsidP="00075FBC">
      <w:pPr>
        <w:widowControl/>
        <w:jc w:val="both"/>
        <w:rPr>
          <w:bCs/>
        </w:rPr>
      </w:pPr>
    </w:p>
    <w:p w:rsidR="00075FBC" w:rsidRPr="00075FBC" w:rsidRDefault="00075FBC" w:rsidP="00075FBC">
      <w:pPr>
        <w:widowControl/>
        <w:spacing w:after="120"/>
        <w:jc w:val="both"/>
        <w:rPr>
          <w:szCs w:val="22"/>
          <w:u w:val="single"/>
        </w:rPr>
      </w:pPr>
      <w:r w:rsidRPr="00075FBC">
        <w:rPr>
          <w:u w:val="single"/>
        </w:rPr>
        <w:t>Θηλασμός</w:t>
      </w:r>
    </w:p>
    <w:p w:rsidR="00075FBC" w:rsidRPr="00075FBC" w:rsidRDefault="00075FBC" w:rsidP="00075FBC">
      <w:pPr>
        <w:widowControl/>
        <w:jc w:val="both"/>
      </w:pPr>
      <w:r w:rsidRPr="00075FBC">
        <w:rPr>
          <w:szCs w:val="22"/>
        </w:rPr>
        <w:t xml:space="preserve">Δεν είναι γνωστό εάν η </w:t>
      </w:r>
      <w:proofErr w:type="spellStart"/>
      <w:r w:rsidRPr="00075FBC">
        <w:rPr>
          <w:szCs w:val="22"/>
        </w:rPr>
        <w:t>ατορβαστατίνη</w:t>
      </w:r>
      <w:proofErr w:type="spellEnd"/>
      <w:r w:rsidRPr="00075FBC">
        <w:rPr>
          <w:szCs w:val="22"/>
        </w:rPr>
        <w:t xml:space="preserve"> ή οι μεταβολίτες της απεκκρίνονται στο μητρικό γάλα. Στους αρουραίους, οι συγκεντρώσεις της </w:t>
      </w:r>
      <w:proofErr w:type="spellStart"/>
      <w:r w:rsidRPr="00075FBC">
        <w:rPr>
          <w:szCs w:val="22"/>
        </w:rPr>
        <w:t>ατορβαστατίνης</w:t>
      </w:r>
      <w:proofErr w:type="spellEnd"/>
      <w:r w:rsidRPr="00075FBC">
        <w:rPr>
          <w:szCs w:val="22"/>
        </w:rPr>
        <w:t xml:space="preserve"> και των δραστικών μεταβολιτών της στο πλάσμα είναι ίδιες με αυτές στο γάλα (βλ. παράγραφο 5.3). Λόγω της πιθανότητας σοβαρών ανεπιθύμητων ενεργειών, οι γυναίκες που λαμβάνουν </w:t>
      </w:r>
      <w:proofErr w:type="spellStart"/>
      <w:r w:rsidRPr="00075FBC">
        <w:rPr>
          <w:bCs/>
          <w:szCs w:val="22"/>
          <w:lang w:val="en-US"/>
        </w:rPr>
        <w:t>Xanator</w:t>
      </w:r>
      <w:proofErr w:type="spellEnd"/>
      <w:r w:rsidRPr="00075FBC">
        <w:rPr>
          <w:bCs/>
          <w:szCs w:val="22"/>
        </w:rPr>
        <w:t>/</w:t>
      </w:r>
      <w:proofErr w:type="spellStart"/>
      <w:r w:rsidRPr="00075FBC">
        <w:rPr>
          <w:bCs/>
          <w:szCs w:val="22"/>
          <w:lang w:val="en-US"/>
        </w:rPr>
        <w:t>Sieger</w:t>
      </w:r>
      <w:proofErr w:type="spellEnd"/>
      <w:r w:rsidRPr="00075FBC">
        <w:rPr>
          <w:szCs w:val="22"/>
        </w:rPr>
        <w:t xml:space="preserve"> </w:t>
      </w:r>
      <w:r w:rsidRPr="00075FBC">
        <w:rPr>
          <w:bCs/>
        </w:rPr>
        <w:t xml:space="preserve">δεν θα πρέπει να θηλάζουν τα βρέφη τους (βλ. παράγραφο 4.3). Η </w:t>
      </w:r>
      <w:proofErr w:type="spellStart"/>
      <w:r w:rsidRPr="00075FBC">
        <w:rPr>
          <w:bCs/>
        </w:rPr>
        <w:t>ατορβαστατίνη</w:t>
      </w:r>
      <w:proofErr w:type="spellEnd"/>
      <w:r w:rsidRPr="00075FBC">
        <w:rPr>
          <w:bCs/>
        </w:rPr>
        <w:t xml:space="preserve"> αντενδείκνυται κατά τη διάρκεια του θηλασμού (βλ. παράγραφο 4</w:t>
      </w:r>
      <w:r w:rsidRPr="00075FBC">
        <w:t>.3).</w:t>
      </w:r>
    </w:p>
    <w:p w:rsidR="00075FBC" w:rsidRPr="00075FBC" w:rsidRDefault="00075FBC" w:rsidP="00075FBC">
      <w:pPr>
        <w:widowControl/>
        <w:jc w:val="both"/>
        <w:rPr>
          <w:bCs/>
        </w:rPr>
      </w:pPr>
    </w:p>
    <w:p w:rsidR="00075FBC" w:rsidRPr="00075FBC" w:rsidRDefault="00075FBC" w:rsidP="00075FBC">
      <w:pPr>
        <w:widowControl/>
        <w:spacing w:after="120"/>
        <w:jc w:val="both"/>
        <w:rPr>
          <w:u w:val="single"/>
        </w:rPr>
      </w:pPr>
      <w:r w:rsidRPr="00075FBC">
        <w:rPr>
          <w:u w:val="single"/>
        </w:rPr>
        <w:t>Γονιμότητα</w:t>
      </w:r>
    </w:p>
    <w:p w:rsidR="00075FBC" w:rsidRPr="00075FBC" w:rsidRDefault="00075FBC" w:rsidP="00075FBC">
      <w:pPr>
        <w:widowControl/>
        <w:jc w:val="both"/>
        <w:rPr>
          <w:szCs w:val="22"/>
        </w:rPr>
      </w:pPr>
      <w:r w:rsidRPr="00075FBC">
        <w:t xml:space="preserve">Σε κλινικές μελέτες που διεξήχθησαν σε ζώα, η </w:t>
      </w:r>
      <w:proofErr w:type="spellStart"/>
      <w:r w:rsidRPr="00075FBC">
        <w:t>ατορβαστατίνη</w:t>
      </w:r>
      <w:proofErr w:type="spellEnd"/>
      <w:r w:rsidRPr="00075FBC">
        <w:t xml:space="preserve"> δεν είχε επίδραση στη γονιμότητα των αρρένων ή των θηλέων (βλ. παράγραφο 5.3).</w:t>
      </w:r>
    </w:p>
    <w:p w:rsidR="00075FBC" w:rsidRPr="00075FBC" w:rsidRDefault="00075FBC" w:rsidP="00075FBC">
      <w:pPr>
        <w:jc w:val="both"/>
        <w:rPr>
          <w:szCs w:val="22"/>
        </w:rPr>
      </w:pPr>
    </w:p>
    <w:p w:rsidR="00075FBC" w:rsidRPr="00075FBC" w:rsidRDefault="00075FBC" w:rsidP="00075FBC">
      <w:pPr>
        <w:jc w:val="both"/>
        <w:rPr>
          <w:szCs w:val="22"/>
        </w:rPr>
      </w:pPr>
      <w:r w:rsidRPr="00075FBC">
        <w:rPr>
          <w:b/>
          <w:szCs w:val="22"/>
        </w:rPr>
        <w:t>4.7</w:t>
      </w:r>
      <w:r w:rsidRPr="00075FBC">
        <w:rPr>
          <w:b/>
          <w:szCs w:val="22"/>
        </w:rPr>
        <w:tab/>
        <w:t>Επιδράσεις στην ικανότητα οδήγησης και χειρισμού μηχανών</w:t>
      </w:r>
    </w:p>
    <w:p w:rsidR="00075FBC" w:rsidRPr="00075FBC" w:rsidRDefault="00075FBC" w:rsidP="00075FBC">
      <w:pPr>
        <w:jc w:val="both"/>
        <w:rPr>
          <w:szCs w:val="22"/>
        </w:rPr>
      </w:pPr>
    </w:p>
    <w:p w:rsidR="00075FBC" w:rsidRPr="00075FBC" w:rsidRDefault="00075FBC" w:rsidP="00075FBC">
      <w:pPr>
        <w:jc w:val="both"/>
        <w:rPr>
          <w:szCs w:val="22"/>
        </w:rPr>
      </w:pPr>
      <w:r w:rsidRPr="00075FBC">
        <w:rPr>
          <w:szCs w:val="22"/>
        </w:rPr>
        <w:t xml:space="preserve">Το </w:t>
      </w:r>
      <w:proofErr w:type="spellStart"/>
      <w:r w:rsidRPr="00075FBC">
        <w:rPr>
          <w:bCs/>
          <w:szCs w:val="22"/>
          <w:lang w:val="en-US"/>
        </w:rPr>
        <w:t>Xanator</w:t>
      </w:r>
      <w:proofErr w:type="spellEnd"/>
      <w:r w:rsidRPr="00075FBC">
        <w:rPr>
          <w:bCs/>
          <w:szCs w:val="22"/>
        </w:rPr>
        <w:t>/</w:t>
      </w:r>
      <w:proofErr w:type="spellStart"/>
      <w:r w:rsidRPr="00075FBC">
        <w:rPr>
          <w:bCs/>
          <w:szCs w:val="22"/>
          <w:lang w:val="en-US"/>
        </w:rPr>
        <w:t>Sieger</w:t>
      </w:r>
      <w:proofErr w:type="spellEnd"/>
      <w:r w:rsidRPr="00075FBC">
        <w:rPr>
          <w:szCs w:val="22"/>
        </w:rPr>
        <w:t xml:space="preserve"> έχει ασήμαντη επίδραση στην ικανότητα οδήγησης και χειρισμού μηχανών.</w:t>
      </w:r>
    </w:p>
    <w:p w:rsidR="00075FBC" w:rsidRPr="00075FBC" w:rsidRDefault="00075FBC" w:rsidP="00075FBC">
      <w:pPr>
        <w:jc w:val="both"/>
        <w:rPr>
          <w:szCs w:val="22"/>
        </w:rPr>
      </w:pPr>
    </w:p>
    <w:p w:rsidR="00075FBC" w:rsidRPr="00075FBC" w:rsidRDefault="00075FBC" w:rsidP="00075FBC">
      <w:pPr>
        <w:jc w:val="both"/>
        <w:rPr>
          <w:szCs w:val="22"/>
        </w:rPr>
      </w:pPr>
      <w:r w:rsidRPr="00075FBC">
        <w:rPr>
          <w:b/>
          <w:szCs w:val="22"/>
        </w:rPr>
        <w:t>4.8</w:t>
      </w:r>
      <w:r w:rsidRPr="00075FBC">
        <w:rPr>
          <w:b/>
          <w:szCs w:val="22"/>
        </w:rPr>
        <w:tab/>
        <w:t>Ανεπιθύμητες ενέργειες</w:t>
      </w:r>
    </w:p>
    <w:p w:rsidR="00075FBC" w:rsidRPr="00075FBC" w:rsidRDefault="00075FBC" w:rsidP="00075FBC">
      <w:pPr>
        <w:ind w:left="1440"/>
        <w:jc w:val="both"/>
        <w:rPr>
          <w:szCs w:val="22"/>
        </w:rPr>
      </w:pPr>
    </w:p>
    <w:p w:rsidR="00075FBC" w:rsidRPr="00075FBC" w:rsidRDefault="00075FBC" w:rsidP="00075FBC">
      <w:pPr>
        <w:jc w:val="both"/>
        <w:rPr>
          <w:szCs w:val="22"/>
        </w:rPr>
      </w:pPr>
      <w:r w:rsidRPr="00075FBC">
        <w:rPr>
          <w:szCs w:val="22"/>
        </w:rPr>
        <w:t xml:space="preserve">Από τη βάση δεδομένων κλινικής μελέτης </w:t>
      </w:r>
      <w:proofErr w:type="spellStart"/>
      <w:r w:rsidRPr="00075FBC">
        <w:rPr>
          <w:szCs w:val="22"/>
        </w:rPr>
        <w:t>ατορβαστατίνης</w:t>
      </w:r>
      <w:proofErr w:type="spellEnd"/>
      <w:r w:rsidRPr="00075FBC">
        <w:rPr>
          <w:szCs w:val="22"/>
        </w:rPr>
        <w:t xml:space="preserve"> ελεγχόμενη με εικονικό φάρμακο, 16.066 ασθενών (8755 </w:t>
      </w:r>
      <w:proofErr w:type="spellStart"/>
      <w:r w:rsidRPr="00075FBC">
        <w:rPr>
          <w:szCs w:val="22"/>
        </w:rPr>
        <w:t>ατορβαστατίνη</w:t>
      </w:r>
      <w:proofErr w:type="spellEnd"/>
      <w:r w:rsidRPr="00075FBC">
        <w:rPr>
          <w:szCs w:val="22"/>
        </w:rPr>
        <w:t xml:space="preserve"> έναντι 7311 εικονικό φάρμακο) οι οποίοι βρίσκονταν υπό αγωγή κατά μέσο όρο για 53 εβδομάδες, το 5,2% των ασθενών που βρίσκονταν υπό θεραπεία με </w:t>
      </w:r>
      <w:proofErr w:type="spellStart"/>
      <w:r w:rsidRPr="00075FBC">
        <w:rPr>
          <w:szCs w:val="22"/>
        </w:rPr>
        <w:t>ατορβαστατίνη</w:t>
      </w:r>
      <w:proofErr w:type="spellEnd"/>
      <w:r w:rsidRPr="00075FBC">
        <w:rPr>
          <w:szCs w:val="22"/>
        </w:rPr>
        <w:t xml:space="preserve"> διέκοψαν τη θεραπεία λόγω ανεπιθύμητων ενεργειών, συγκριτικά με το 4,0% των ασθενών που βρίσκονταν υπό θεραπεία με εικονικό φάρμακο.</w:t>
      </w:r>
    </w:p>
    <w:p w:rsidR="00075FBC" w:rsidRPr="00075FBC" w:rsidRDefault="00075FBC" w:rsidP="00075FBC">
      <w:pPr>
        <w:jc w:val="both"/>
        <w:rPr>
          <w:szCs w:val="22"/>
        </w:rPr>
      </w:pPr>
    </w:p>
    <w:p w:rsidR="00075FBC" w:rsidRPr="00075FBC" w:rsidRDefault="00075FBC" w:rsidP="00075FBC">
      <w:pPr>
        <w:jc w:val="both"/>
        <w:rPr>
          <w:szCs w:val="22"/>
        </w:rPr>
      </w:pPr>
      <w:r w:rsidRPr="00075FBC">
        <w:rPr>
          <w:szCs w:val="22"/>
        </w:rPr>
        <w:t xml:space="preserve">Με βάση δεδομένα από κλινικές μελέτες και τη σημαντική εμπειρία που αποκτήθηκε μετά την κυκλοφορία του φαρμάκου στην αγορά, ο πίνακας που ακολουθεί παρουσιάζει τις ανεπιθύμητες αντιδράσεις που εμφανίστηκαν με την </w:t>
      </w:r>
      <w:proofErr w:type="spellStart"/>
      <w:r w:rsidRPr="00075FBC">
        <w:t>ατορβαστατίνη</w:t>
      </w:r>
      <w:proofErr w:type="spellEnd"/>
      <w:r w:rsidRPr="00075FBC">
        <w:rPr>
          <w:szCs w:val="22"/>
        </w:rPr>
        <w:t>.</w:t>
      </w:r>
    </w:p>
    <w:p w:rsidR="00075FBC" w:rsidRPr="00075FBC" w:rsidRDefault="00075FBC" w:rsidP="00075FBC">
      <w:pPr>
        <w:jc w:val="both"/>
        <w:rPr>
          <w:szCs w:val="22"/>
        </w:rPr>
      </w:pPr>
    </w:p>
    <w:p w:rsidR="00075FBC" w:rsidRPr="00075FBC" w:rsidRDefault="00075FBC" w:rsidP="00075FBC">
      <w:pPr>
        <w:jc w:val="both"/>
        <w:rPr>
          <w:szCs w:val="22"/>
        </w:rPr>
      </w:pPr>
      <w:r w:rsidRPr="00075FBC">
        <w:rPr>
          <w:szCs w:val="22"/>
        </w:rPr>
        <w:t>Οι ανεπιθύμητες αντιδράσεις κατατάσσονται ανάλογα με τη συχνότητα εμφάνισής τους σε: συχνές (</w:t>
      </w:r>
      <w:r w:rsidRPr="00075FBC">
        <w:rPr>
          <w:szCs w:val="22"/>
        </w:rPr>
        <w:sym w:font="Symbol" w:char="F0B3"/>
      </w:r>
      <w:r w:rsidRPr="00075FBC">
        <w:rPr>
          <w:szCs w:val="22"/>
        </w:rPr>
        <w:t>1/100, &lt;1/10), όχι συχνές (</w:t>
      </w:r>
      <w:r w:rsidRPr="00075FBC">
        <w:rPr>
          <w:szCs w:val="22"/>
        </w:rPr>
        <w:sym w:font="Symbol" w:char="F0B3"/>
      </w:r>
      <w:r w:rsidRPr="00075FBC">
        <w:rPr>
          <w:szCs w:val="22"/>
        </w:rPr>
        <w:t>1/1.000, &lt;1/100), σπάνιες (</w:t>
      </w:r>
      <w:r w:rsidRPr="00075FBC">
        <w:rPr>
          <w:szCs w:val="22"/>
        </w:rPr>
        <w:sym w:font="Symbol" w:char="F0B3"/>
      </w:r>
      <w:r w:rsidRPr="00075FBC">
        <w:rPr>
          <w:szCs w:val="22"/>
        </w:rPr>
        <w:t>1/10.000, &lt;1/1.000), πολύ σπάνιες (&lt;1/10.000), μη γνωστή συχνότητα (δεν μπορούν να εκτιμηθούν με βάση τα διαθέσιμα δεδομένα).</w:t>
      </w:r>
    </w:p>
    <w:p w:rsidR="00075FBC" w:rsidRPr="00075FBC" w:rsidRDefault="00075FBC" w:rsidP="00075FBC">
      <w:pPr>
        <w:jc w:val="both"/>
        <w:rPr>
          <w:szCs w:val="22"/>
          <w:u w:val="single"/>
        </w:rPr>
      </w:pPr>
    </w:p>
    <w:p w:rsidR="00075FBC" w:rsidRPr="00075FBC" w:rsidRDefault="00075FBC" w:rsidP="00075FBC">
      <w:pPr>
        <w:jc w:val="both"/>
        <w:rPr>
          <w:szCs w:val="22"/>
          <w:u w:val="single"/>
        </w:rPr>
      </w:pPr>
      <w:r w:rsidRPr="00075FBC">
        <w:rPr>
          <w:szCs w:val="22"/>
          <w:u w:val="single"/>
        </w:rPr>
        <w:t>Λοιμώξεις και παρασιτώσεις</w:t>
      </w:r>
    </w:p>
    <w:p w:rsidR="00075FBC" w:rsidRPr="00075FBC" w:rsidRDefault="00075FBC" w:rsidP="00075FBC">
      <w:pPr>
        <w:jc w:val="both"/>
        <w:rPr>
          <w:szCs w:val="22"/>
        </w:rPr>
      </w:pPr>
      <w:r w:rsidRPr="00075FBC">
        <w:rPr>
          <w:szCs w:val="22"/>
        </w:rPr>
        <w:t>Συχνές:</w:t>
      </w:r>
      <w:r w:rsidRPr="00075FBC">
        <w:t xml:space="preserve"> </w:t>
      </w:r>
      <w:r w:rsidRPr="00075FBC">
        <w:rPr>
          <w:szCs w:val="22"/>
        </w:rPr>
        <w:t>ρινοφαρυγγίτιδα.</w:t>
      </w:r>
    </w:p>
    <w:p w:rsidR="00075FBC" w:rsidRPr="00075FBC" w:rsidRDefault="00075FBC" w:rsidP="00075FBC">
      <w:pPr>
        <w:jc w:val="both"/>
        <w:rPr>
          <w:szCs w:val="22"/>
        </w:rPr>
      </w:pPr>
    </w:p>
    <w:p w:rsidR="00075FBC" w:rsidRPr="00075FBC" w:rsidRDefault="00075FBC" w:rsidP="00075FBC">
      <w:pPr>
        <w:jc w:val="both"/>
        <w:rPr>
          <w:szCs w:val="22"/>
          <w:u w:val="single"/>
        </w:rPr>
      </w:pPr>
      <w:r w:rsidRPr="00075FBC">
        <w:rPr>
          <w:szCs w:val="22"/>
          <w:u w:val="single"/>
        </w:rPr>
        <w:t>Διαταραχές του αιμοποιητικού και του λεμφικού συστήματος</w:t>
      </w:r>
    </w:p>
    <w:p w:rsidR="00075FBC" w:rsidRPr="00075FBC" w:rsidRDefault="00075FBC" w:rsidP="00075FBC">
      <w:pPr>
        <w:jc w:val="both"/>
        <w:rPr>
          <w:szCs w:val="22"/>
        </w:rPr>
      </w:pPr>
      <w:r w:rsidRPr="00075FBC">
        <w:rPr>
          <w:szCs w:val="22"/>
        </w:rPr>
        <w:t xml:space="preserve">Σπάνιες: </w:t>
      </w:r>
      <w:proofErr w:type="spellStart"/>
      <w:r w:rsidRPr="00075FBC">
        <w:rPr>
          <w:szCs w:val="22"/>
        </w:rPr>
        <w:t>θρομβοκυτοπενία</w:t>
      </w:r>
      <w:proofErr w:type="spellEnd"/>
      <w:r w:rsidRPr="00075FBC">
        <w:rPr>
          <w:szCs w:val="22"/>
        </w:rPr>
        <w:t>.</w:t>
      </w:r>
    </w:p>
    <w:p w:rsidR="00075FBC" w:rsidRPr="00075FBC" w:rsidRDefault="00075FBC" w:rsidP="00075FBC">
      <w:pPr>
        <w:jc w:val="both"/>
        <w:rPr>
          <w:szCs w:val="22"/>
        </w:rPr>
      </w:pPr>
    </w:p>
    <w:p w:rsidR="00075FBC" w:rsidRPr="00075FBC" w:rsidRDefault="00075FBC" w:rsidP="00075FBC">
      <w:pPr>
        <w:jc w:val="both"/>
        <w:rPr>
          <w:szCs w:val="22"/>
          <w:u w:val="single"/>
        </w:rPr>
      </w:pPr>
      <w:r w:rsidRPr="00075FBC">
        <w:rPr>
          <w:szCs w:val="22"/>
          <w:u w:val="single"/>
        </w:rPr>
        <w:t>Διαταραχές του ανοσοποιητικού συστήματος</w:t>
      </w:r>
    </w:p>
    <w:p w:rsidR="00075FBC" w:rsidRPr="00075FBC" w:rsidRDefault="00075FBC" w:rsidP="00075FBC">
      <w:pPr>
        <w:jc w:val="both"/>
        <w:rPr>
          <w:szCs w:val="22"/>
        </w:rPr>
      </w:pPr>
      <w:r w:rsidRPr="00075FBC">
        <w:rPr>
          <w:szCs w:val="22"/>
        </w:rPr>
        <w:t>Συχνές: αλλεργικές αντιδράσεις.</w:t>
      </w:r>
    </w:p>
    <w:p w:rsidR="00075FBC" w:rsidRPr="00075FBC" w:rsidRDefault="00075FBC" w:rsidP="00075FBC">
      <w:pPr>
        <w:jc w:val="both"/>
        <w:rPr>
          <w:szCs w:val="22"/>
        </w:rPr>
      </w:pPr>
      <w:r w:rsidRPr="00075FBC">
        <w:rPr>
          <w:szCs w:val="22"/>
        </w:rPr>
        <w:t xml:space="preserve">Πολύ σπάνιες: </w:t>
      </w:r>
      <w:proofErr w:type="spellStart"/>
      <w:r w:rsidRPr="00075FBC">
        <w:rPr>
          <w:szCs w:val="22"/>
        </w:rPr>
        <w:t>αναφυλακτικές</w:t>
      </w:r>
      <w:proofErr w:type="spellEnd"/>
      <w:r w:rsidRPr="00075FBC">
        <w:rPr>
          <w:szCs w:val="22"/>
        </w:rPr>
        <w:t xml:space="preserve"> αντιδράσεις.</w:t>
      </w:r>
    </w:p>
    <w:p w:rsidR="00075FBC" w:rsidRPr="00075FBC" w:rsidRDefault="00075FBC" w:rsidP="00075FBC">
      <w:pPr>
        <w:jc w:val="both"/>
        <w:rPr>
          <w:szCs w:val="22"/>
        </w:rPr>
      </w:pPr>
    </w:p>
    <w:p w:rsidR="00075FBC" w:rsidRPr="00075FBC" w:rsidRDefault="00075FBC" w:rsidP="00075FBC">
      <w:pPr>
        <w:jc w:val="both"/>
        <w:rPr>
          <w:szCs w:val="22"/>
          <w:u w:val="single"/>
        </w:rPr>
      </w:pPr>
      <w:r w:rsidRPr="00075FBC">
        <w:rPr>
          <w:szCs w:val="22"/>
          <w:u w:val="single"/>
        </w:rPr>
        <w:t>Διαταραχές του μεταβολισμού και της θρέψης</w:t>
      </w:r>
    </w:p>
    <w:p w:rsidR="00075FBC" w:rsidRPr="00075FBC" w:rsidRDefault="00075FBC" w:rsidP="00075FBC">
      <w:pPr>
        <w:jc w:val="both"/>
        <w:rPr>
          <w:szCs w:val="22"/>
        </w:rPr>
      </w:pPr>
      <w:r w:rsidRPr="00075FBC">
        <w:rPr>
          <w:szCs w:val="22"/>
        </w:rPr>
        <w:t>Συχνές: υπεργλυκαιμία</w:t>
      </w:r>
    </w:p>
    <w:p w:rsidR="00075FBC" w:rsidRPr="00075FBC" w:rsidRDefault="00075FBC" w:rsidP="00075FBC">
      <w:pPr>
        <w:jc w:val="both"/>
        <w:rPr>
          <w:szCs w:val="22"/>
        </w:rPr>
      </w:pPr>
      <w:r w:rsidRPr="00075FBC">
        <w:rPr>
          <w:szCs w:val="22"/>
        </w:rPr>
        <w:t>Όχι συχνές: υπογλυκαιμία, αύξηση του σωματικού του βάρους, ανορεξία.</w:t>
      </w:r>
    </w:p>
    <w:p w:rsidR="00075FBC" w:rsidRPr="00075FBC" w:rsidRDefault="00075FBC" w:rsidP="00075FBC">
      <w:pPr>
        <w:jc w:val="both"/>
        <w:rPr>
          <w:szCs w:val="22"/>
        </w:rPr>
      </w:pPr>
    </w:p>
    <w:p w:rsidR="00075FBC" w:rsidRPr="00075FBC" w:rsidRDefault="00075FBC" w:rsidP="00075FBC">
      <w:pPr>
        <w:jc w:val="both"/>
        <w:rPr>
          <w:szCs w:val="22"/>
          <w:u w:val="single"/>
        </w:rPr>
      </w:pPr>
      <w:r w:rsidRPr="00075FBC">
        <w:rPr>
          <w:szCs w:val="22"/>
          <w:u w:val="single"/>
        </w:rPr>
        <w:t>Ψυχιατρικές διαταραχές</w:t>
      </w:r>
    </w:p>
    <w:p w:rsidR="00075FBC" w:rsidRPr="00075FBC" w:rsidRDefault="00075FBC" w:rsidP="00075FBC">
      <w:pPr>
        <w:jc w:val="both"/>
        <w:rPr>
          <w:szCs w:val="22"/>
        </w:rPr>
      </w:pPr>
      <w:r w:rsidRPr="00075FBC">
        <w:rPr>
          <w:szCs w:val="22"/>
        </w:rPr>
        <w:t>Όχι συχνές: εφιάλτες, αϋπνία.</w:t>
      </w:r>
    </w:p>
    <w:p w:rsidR="00075FBC" w:rsidRPr="00075FBC" w:rsidRDefault="00075FBC" w:rsidP="00075FBC">
      <w:pPr>
        <w:jc w:val="both"/>
        <w:rPr>
          <w:szCs w:val="22"/>
        </w:rPr>
      </w:pPr>
    </w:p>
    <w:p w:rsidR="00075FBC" w:rsidRPr="00075FBC" w:rsidRDefault="00075FBC" w:rsidP="00075FBC">
      <w:pPr>
        <w:jc w:val="both"/>
        <w:rPr>
          <w:szCs w:val="22"/>
          <w:u w:val="single"/>
        </w:rPr>
      </w:pPr>
      <w:r w:rsidRPr="00075FBC">
        <w:rPr>
          <w:szCs w:val="22"/>
          <w:u w:val="single"/>
        </w:rPr>
        <w:lastRenderedPageBreak/>
        <w:t>Διαταραχές του νευρικού συστήματος</w:t>
      </w:r>
    </w:p>
    <w:p w:rsidR="00075FBC" w:rsidRPr="00075FBC" w:rsidRDefault="00075FBC" w:rsidP="00075FBC">
      <w:pPr>
        <w:jc w:val="both"/>
        <w:rPr>
          <w:szCs w:val="22"/>
        </w:rPr>
      </w:pPr>
      <w:r w:rsidRPr="00075FBC">
        <w:rPr>
          <w:szCs w:val="22"/>
        </w:rPr>
        <w:t xml:space="preserve">Συχνές: κεφαλαλγία </w:t>
      </w:r>
    </w:p>
    <w:p w:rsidR="00075FBC" w:rsidRPr="00075FBC" w:rsidRDefault="00075FBC" w:rsidP="00075FBC">
      <w:pPr>
        <w:jc w:val="both"/>
        <w:rPr>
          <w:szCs w:val="22"/>
        </w:rPr>
      </w:pPr>
      <w:r w:rsidRPr="00075FBC">
        <w:rPr>
          <w:szCs w:val="22"/>
        </w:rPr>
        <w:t xml:space="preserve">Όχι συχνές: ζάλη, παραισθησία, υπαισθησία, </w:t>
      </w:r>
      <w:proofErr w:type="spellStart"/>
      <w:r w:rsidRPr="00075FBC">
        <w:t>δυσγευσία</w:t>
      </w:r>
      <w:proofErr w:type="spellEnd"/>
      <w:r w:rsidRPr="00075FBC">
        <w:t>, αμνησία</w:t>
      </w:r>
      <w:r w:rsidRPr="00075FBC">
        <w:rPr>
          <w:szCs w:val="22"/>
        </w:rPr>
        <w:t>.</w:t>
      </w:r>
    </w:p>
    <w:p w:rsidR="00075FBC" w:rsidRPr="00075FBC" w:rsidRDefault="00075FBC" w:rsidP="00075FBC">
      <w:pPr>
        <w:jc w:val="both"/>
        <w:rPr>
          <w:szCs w:val="22"/>
        </w:rPr>
      </w:pPr>
      <w:r w:rsidRPr="00075FBC">
        <w:rPr>
          <w:szCs w:val="22"/>
        </w:rPr>
        <w:t>Σπάνιες: περιφερική νευροπάθεια.</w:t>
      </w:r>
    </w:p>
    <w:p w:rsidR="00075FBC" w:rsidRPr="00075FBC" w:rsidRDefault="00075FBC" w:rsidP="00075FBC">
      <w:pPr>
        <w:jc w:val="both"/>
      </w:pPr>
    </w:p>
    <w:p w:rsidR="00075FBC" w:rsidRPr="00075FBC" w:rsidRDefault="00075FBC" w:rsidP="00075FBC">
      <w:pPr>
        <w:jc w:val="both"/>
        <w:rPr>
          <w:u w:val="single"/>
        </w:rPr>
      </w:pPr>
      <w:r w:rsidRPr="00075FBC">
        <w:rPr>
          <w:u w:val="single"/>
        </w:rPr>
        <w:t>Οφθαλμικές διαταραχές</w:t>
      </w:r>
    </w:p>
    <w:p w:rsidR="00075FBC" w:rsidRPr="00075FBC" w:rsidRDefault="00075FBC" w:rsidP="00075FBC">
      <w:pPr>
        <w:jc w:val="both"/>
        <w:rPr>
          <w:szCs w:val="22"/>
        </w:rPr>
      </w:pPr>
      <w:r w:rsidRPr="00075FBC">
        <w:rPr>
          <w:szCs w:val="22"/>
        </w:rPr>
        <w:t>Όχι συχνές: όραση θαμπή</w:t>
      </w:r>
    </w:p>
    <w:p w:rsidR="00075FBC" w:rsidRPr="00075FBC" w:rsidRDefault="00075FBC" w:rsidP="00075FBC">
      <w:pPr>
        <w:jc w:val="both"/>
      </w:pPr>
      <w:r w:rsidRPr="00075FBC">
        <w:t>Σπάνιες: οπτική διαταραχή.</w:t>
      </w:r>
    </w:p>
    <w:p w:rsidR="00075FBC" w:rsidRPr="00075FBC" w:rsidRDefault="00075FBC" w:rsidP="00075FBC">
      <w:pPr>
        <w:jc w:val="both"/>
        <w:rPr>
          <w:szCs w:val="22"/>
          <w:u w:val="single"/>
        </w:rPr>
      </w:pPr>
    </w:p>
    <w:p w:rsidR="00075FBC" w:rsidRPr="00075FBC" w:rsidRDefault="00075FBC" w:rsidP="00075FBC">
      <w:pPr>
        <w:jc w:val="both"/>
        <w:rPr>
          <w:i/>
          <w:iCs/>
          <w:szCs w:val="22"/>
          <w:u w:val="single"/>
        </w:rPr>
      </w:pPr>
      <w:r w:rsidRPr="00075FBC">
        <w:rPr>
          <w:szCs w:val="22"/>
          <w:u w:val="single"/>
        </w:rPr>
        <w:t xml:space="preserve">Διαταραχές του </w:t>
      </w:r>
      <w:proofErr w:type="spellStart"/>
      <w:r w:rsidRPr="00075FBC">
        <w:rPr>
          <w:szCs w:val="22"/>
          <w:u w:val="single"/>
        </w:rPr>
        <w:t>ωτός</w:t>
      </w:r>
      <w:proofErr w:type="spellEnd"/>
      <w:r w:rsidRPr="00075FBC">
        <w:rPr>
          <w:szCs w:val="22"/>
          <w:u w:val="single"/>
        </w:rPr>
        <w:t xml:space="preserve"> και του λαβυρίνθου</w:t>
      </w:r>
    </w:p>
    <w:p w:rsidR="00075FBC" w:rsidRPr="00075FBC" w:rsidRDefault="00075FBC" w:rsidP="00075FBC">
      <w:pPr>
        <w:jc w:val="both"/>
        <w:rPr>
          <w:szCs w:val="22"/>
        </w:rPr>
      </w:pPr>
      <w:r w:rsidRPr="00075FBC">
        <w:rPr>
          <w:szCs w:val="22"/>
        </w:rPr>
        <w:t xml:space="preserve">Όχι συχνές: </w:t>
      </w:r>
      <w:proofErr w:type="spellStart"/>
      <w:r w:rsidRPr="00075FBC">
        <w:rPr>
          <w:szCs w:val="22"/>
        </w:rPr>
        <w:t>εμβοές</w:t>
      </w:r>
      <w:proofErr w:type="spellEnd"/>
      <w:r w:rsidRPr="00075FBC">
        <w:rPr>
          <w:szCs w:val="22"/>
        </w:rPr>
        <w:t>.</w:t>
      </w:r>
    </w:p>
    <w:p w:rsidR="00075FBC" w:rsidRPr="00075FBC" w:rsidRDefault="00075FBC" w:rsidP="00075FBC">
      <w:pPr>
        <w:jc w:val="both"/>
      </w:pPr>
      <w:r w:rsidRPr="00075FBC">
        <w:t>Πολύ σπάνιες: απώλεια ακοής.</w:t>
      </w:r>
    </w:p>
    <w:p w:rsidR="00075FBC" w:rsidRPr="00075FBC" w:rsidRDefault="00075FBC" w:rsidP="00075FBC">
      <w:pPr>
        <w:jc w:val="both"/>
        <w:rPr>
          <w:szCs w:val="22"/>
          <w:u w:val="single"/>
        </w:rPr>
      </w:pPr>
    </w:p>
    <w:p w:rsidR="00075FBC" w:rsidRPr="00075FBC" w:rsidRDefault="00075FBC" w:rsidP="00075FBC">
      <w:pPr>
        <w:jc w:val="both"/>
        <w:rPr>
          <w:szCs w:val="22"/>
          <w:u w:val="single"/>
        </w:rPr>
      </w:pPr>
      <w:r w:rsidRPr="00075FBC">
        <w:rPr>
          <w:szCs w:val="22"/>
          <w:u w:val="single"/>
        </w:rPr>
        <w:t xml:space="preserve">Διαταραχές του αναπνευστικού συστήματος, του θώρακα και του </w:t>
      </w:r>
      <w:proofErr w:type="spellStart"/>
      <w:r w:rsidRPr="00075FBC">
        <w:rPr>
          <w:szCs w:val="22"/>
          <w:u w:val="single"/>
        </w:rPr>
        <w:t>μεσοθωράκιου</w:t>
      </w:r>
      <w:proofErr w:type="spellEnd"/>
    </w:p>
    <w:p w:rsidR="00075FBC" w:rsidRPr="00075FBC" w:rsidRDefault="00075FBC" w:rsidP="00075FBC">
      <w:pPr>
        <w:jc w:val="both"/>
        <w:rPr>
          <w:szCs w:val="22"/>
        </w:rPr>
      </w:pPr>
      <w:r w:rsidRPr="00075FBC">
        <w:rPr>
          <w:szCs w:val="22"/>
        </w:rPr>
        <w:t xml:space="preserve">Συχνές: </w:t>
      </w:r>
      <w:proofErr w:type="spellStart"/>
      <w:r w:rsidRPr="00075FBC">
        <w:rPr>
          <w:szCs w:val="22"/>
        </w:rPr>
        <w:t>φαρυγγολαρυγγικό</w:t>
      </w:r>
      <w:proofErr w:type="spellEnd"/>
      <w:r w:rsidRPr="00075FBC">
        <w:rPr>
          <w:szCs w:val="22"/>
        </w:rPr>
        <w:t xml:space="preserve"> άλγος, επίσταξη</w:t>
      </w:r>
    </w:p>
    <w:p w:rsidR="00075FBC" w:rsidRPr="00075FBC" w:rsidRDefault="00075FBC" w:rsidP="00075FBC">
      <w:pPr>
        <w:jc w:val="both"/>
        <w:rPr>
          <w:szCs w:val="22"/>
          <w:u w:val="single"/>
        </w:rPr>
      </w:pPr>
    </w:p>
    <w:p w:rsidR="00075FBC" w:rsidRPr="00075FBC" w:rsidRDefault="00075FBC" w:rsidP="00075FBC">
      <w:pPr>
        <w:jc w:val="both"/>
        <w:rPr>
          <w:szCs w:val="22"/>
          <w:u w:val="single"/>
        </w:rPr>
      </w:pPr>
      <w:r w:rsidRPr="00075FBC">
        <w:rPr>
          <w:szCs w:val="22"/>
          <w:u w:val="single"/>
        </w:rPr>
        <w:t>Διαταραχές του γαστρεντερικού</w:t>
      </w:r>
    </w:p>
    <w:p w:rsidR="00075FBC" w:rsidRPr="00075FBC" w:rsidRDefault="00075FBC" w:rsidP="00075FBC">
      <w:pPr>
        <w:jc w:val="both"/>
        <w:rPr>
          <w:szCs w:val="22"/>
        </w:rPr>
      </w:pPr>
      <w:r w:rsidRPr="00075FBC">
        <w:rPr>
          <w:szCs w:val="22"/>
        </w:rPr>
        <w:t>Συχνές: δυσκοιλιότητα, μετεωρισμός, δυσπεψία, ναυτία, διάρροια.</w:t>
      </w:r>
    </w:p>
    <w:p w:rsidR="00075FBC" w:rsidRPr="00075FBC" w:rsidRDefault="00075FBC" w:rsidP="00075FBC">
      <w:pPr>
        <w:jc w:val="both"/>
        <w:rPr>
          <w:szCs w:val="22"/>
        </w:rPr>
      </w:pPr>
      <w:r w:rsidRPr="00075FBC">
        <w:rPr>
          <w:szCs w:val="22"/>
        </w:rPr>
        <w:t xml:space="preserve">Όχι συχνές: έμετος, άλγος άνω και κάτω κοιλιακής χώρας, </w:t>
      </w:r>
      <w:proofErr w:type="spellStart"/>
      <w:r w:rsidRPr="00075FBC">
        <w:rPr>
          <w:szCs w:val="22"/>
        </w:rPr>
        <w:t>ερυγές</w:t>
      </w:r>
      <w:proofErr w:type="spellEnd"/>
      <w:r w:rsidRPr="00075FBC">
        <w:rPr>
          <w:szCs w:val="22"/>
        </w:rPr>
        <w:t>, παγκρεατίτιδα.</w:t>
      </w:r>
    </w:p>
    <w:p w:rsidR="00075FBC" w:rsidRPr="00075FBC" w:rsidRDefault="00075FBC" w:rsidP="00075FBC">
      <w:pPr>
        <w:jc w:val="both"/>
        <w:rPr>
          <w:szCs w:val="22"/>
        </w:rPr>
      </w:pPr>
    </w:p>
    <w:p w:rsidR="00075FBC" w:rsidRPr="00075FBC" w:rsidRDefault="00075FBC" w:rsidP="00075FBC">
      <w:pPr>
        <w:jc w:val="both"/>
        <w:rPr>
          <w:szCs w:val="22"/>
          <w:u w:val="single"/>
        </w:rPr>
      </w:pPr>
      <w:r w:rsidRPr="00075FBC">
        <w:rPr>
          <w:szCs w:val="22"/>
          <w:u w:val="single"/>
        </w:rPr>
        <w:t>Διαταραχές του ήπατος και των χοληφόρων</w:t>
      </w:r>
    </w:p>
    <w:p w:rsidR="00075FBC" w:rsidRPr="00075FBC" w:rsidRDefault="00075FBC" w:rsidP="00075FBC">
      <w:pPr>
        <w:jc w:val="both"/>
        <w:rPr>
          <w:szCs w:val="22"/>
        </w:rPr>
      </w:pPr>
      <w:r w:rsidRPr="00075FBC">
        <w:rPr>
          <w:szCs w:val="22"/>
        </w:rPr>
        <w:t>Όχι συχνές: ηπατίτιδα.</w:t>
      </w:r>
    </w:p>
    <w:p w:rsidR="00075FBC" w:rsidRPr="00075FBC" w:rsidRDefault="00075FBC" w:rsidP="00075FBC">
      <w:pPr>
        <w:tabs>
          <w:tab w:val="left" w:pos="1725"/>
        </w:tabs>
        <w:jc w:val="both"/>
      </w:pPr>
      <w:r w:rsidRPr="00075FBC">
        <w:t xml:space="preserve">Σπάνιες: </w:t>
      </w:r>
      <w:proofErr w:type="spellStart"/>
      <w:r w:rsidRPr="00075FBC">
        <w:t>χολόσταση</w:t>
      </w:r>
      <w:proofErr w:type="spellEnd"/>
    </w:p>
    <w:p w:rsidR="00075FBC" w:rsidRPr="00075FBC" w:rsidRDefault="00075FBC" w:rsidP="00075FBC">
      <w:pPr>
        <w:jc w:val="both"/>
      </w:pPr>
      <w:r w:rsidRPr="00075FBC">
        <w:t>Πολύ σπάνιες: ηπατική ανεπάρκεια.</w:t>
      </w:r>
    </w:p>
    <w:p w:rsidR="00075FBC" w:rsidRPr="00075FBC" w:rsidRDefault="00075FBC" w:rsidP="00075FBC">
      <w:pPr>
        <w:jc w:val="both"/>
        <w:rPr>
          <w:szCs w:val="22"/>
        </w:rPr>
      </w:pPr>
    </w:p>
    <w:p w:rsidR="00075FBC" w:rsidRPr="00075FBC" w:rsidRDefault="00075FBC" w:rsidP="00075FBC">
      <w:pPr>
        <w:jc w:val="both"/>
        <w:rPr>
          <w:szCs w:val="22"/>
        </w:rPr>
      </w:pPr>
      <w:r w:rsidRPr="00075FBC">
        <w:rPr>
          <w:szCs w:val="22"/>
          <w:u w:val="single"/>
        </w:rPr>
        <w:t>Διαταραχές του δέρματος και του υποδόριου ιστού</w:t>
      </w:r>
    </w:p>
    <w:p w:rsidR="00075FBC" w:rsidRPr="00075FBC" w:rsidRDefault="00075FBC" w:rsidP="00075FBC">
      <w:pPr>
        <w:jc w:val="both"/>
        <w:rPr>
          <w:szCs w:val="22"/>
        </w:rPr>
      </w:pPr>
      <w:r w:rsidRPr="00075FBC">
        <w:rPr>
          <w:szCs w:val="22"/>
        </w:rPr>
        <w:t>Όχι συχνές: κνίδωση, δερματικό εξάνθημα, κνησμός, αλωπεκία.</w:t>
      </w:r>
    </w:p>
    <w:p w:rsidR="00075FBC" w:rsidRPr="00075FBC" w:rsidRDefault="00075FBC" w:rsidP="00075FBC">
      <w:pPr>
        <w:jc w:val="both"/>
        <w:rPr>
          <w:szCs w:val="22"/>
        </w:rPr>
      </w:pPr>
      <w:r w:rsidRPr="00075FBC">
        <w:rPr>
          <w:szCs w:val="22"/>
        </w:rPr>
        <w:t xml:space="preserve">Σπάνιες: </w:t>
      </w:r>
      <w:proofErr w:type="spellStart"/>
      <w:r w:rsidRPr="00075FBC">
        <w:rPr>
          <w:szCs w:val="22"/>
        </w:rPr>
        <w:t>αγγειοοίδημα</w:t>
      </w:r>
      <w:proofErr w:type="spellEnd"/>
      <w:r w:rsidRPr="00075FBC">
        <w:rPr>
          <w:szCs w:val="22"/>
        </w:rPr>
        <w:t>,</w:t>
      </w:r>
      <w:r w:rsidRPr="00075FBC">
        <w:t xml:space="preserve"> </w:t>
      </w:r>
      <w:r w:rsidRPr="00075FBC">
        <w:rPr>
          <w:szCs w:val="22"/>
        </w:rPr>
        <w:t xml:space="preserve">δερματίτιδα </w:t>
      </w:r>
      <w:proofErr w:type="spellStart"/>
      <w:r w:rsidRPr="00075FBC">
        <w:rPr>
          <w:szCs w:val="22"/>
        </w:rPr>
        <w:t>πομφολυγώδης</w:t>
      </w:r>
      <w:proofErr w:type="spellEnd"/>
      <w:r w:rsidRPr="00075FBC" w:rsidDel="00155DC5">
        <w:rPr>
          <w:szCs w:val="22"/>
        </w:rPr>
        <w:t xml:space="preserve"> </w:t>
      </w:r>
      <w:r w:rsidRPr="00075FBC">
        <w:rPr>
          <w:szCs w:val="22"/>
        </w:rPr>
        <w:t xml:space="preserve">συμπεριλαμβανομένων του πολύμορφου ερυθήματος, του συνδρόμου </w:t>
      </w:r>
      <w:proofErr w:type="spellStart"/>
      <w:r w:rsidRPr="00075FBC">
        <w:rPr>
          <w:szCs w:val="22"/>
        </w:rPr>
        <w:t>Stevens</w:t>
      </w:r>
      <w:proofErr w:type="spellEnd"/>
      <w:r w:rsidRPr="00075FBC">
        <w:rPr>
          <w:szCs w:val="22"/>
        </w:rPr>
        <w:t>-</w:t>
      </w:r>
      <w:proofErr w:type="spellStart"/>
      <w:r w:rsidRPr="00075FBC">
        <w:rPr>
          <w:szCs w:val="22"/>
        </w:rPr>
        <w:t>Johnson</w:t>
      </w:r>
      <w:proofErr w:type="spellEnd"/>
      <w:r w:rsidRPr="00075FBC">
        <w:rPr>
          <w:szCs w:val="22"/>
        </w:rPr>
        <w:t xml:space="preserve"> και της τοξικής επιδερμικής </w:t>
      </w:r>
      <w:proofErr w:type="spellStart"/>
      <w:r w:rsidRPr="00075FBC">
        <w:rPr>
          <w:szCs w:val="22"/>
        </w:rPr>
        <w:t>νεκρόλυσης</w:t>
      </w:r>
      <w:proofErr w:type="spellEnd"/>
      <w:r w:rsidRPr="00075FBC">
        <w:rPr>
          <w:szCs w:val="22"/>
        </w:rPr>
        <w:t>.</w:t>
      </w:r>
    </w:p>
    <w:p w:rsidR="00075FBC" w:rsidRPr="00075FBC" w:rsidRDefault="00075FBC" w:rsidP="00075FBC">
      <w:pPr>
        <w:jc w:val="both"/>
        <w:rPr>
          <w:szCs w:val="22"/>
        </w:rPr>
      </w:pPr>
    </w:p>
    <w:p w:rsidR="00075FBC" w:rsidRPr="00075FBC" w:rsidRDefault="00075FBC" w:rsidP="00075FBC">
      <w:pPr>
        <w:jc w:val="both"/>
        <w:rPr>
          <w:szCs w:val="22"/>
          <w:u w:val="single"/>
        </w:rPr>
      </w:pPr>
      <w:r w:rsidRPr="00075FBC">
        <w:rPr>
          <w:szCs w:val="22"/>
          <w:u w:val="single"/>
        </w:rPr>
        <w:t xml:space="preserve">Διαταραχές του </w:t>
      </w:r>
      <w:proofErr w:type="spellStart"/>
      <w:r w:rsidRPr="00075FBC">
        <w:rPr>
          <w:szCs w:val="22"/>
          <w:u w:val="single"/>
        </w:rPr>
        <w:t>μυοσκελετικού</w:t>
      </w:r>
      <w:proofErr w:type="spellEnd"/>
      <w:r w:rsidRPr="00075FBC">
        <w:rPr>
          <w:szCs w:val="22"/>
          <w:u w:val="single"/>
        </w:rPr>
        <w:t xml:space="preserve"> συστήματος</w:t>
      </w:r>
      <w:r w:rsidRPr="00075FBC">
        <w:rPr>
          <w:u w:val="single"/>
        </w:rPr>
        <w:t xml:space="preserve"> </w:t>
      </w:r>
      <w:r w:rsidRPr="00075FBC">
        <w:rPr>
          <w:szCs w:val="22"/>
          <w:u w:val="single"/>
        </w:rPr>
        <w:t>και του συνδετικού ιστού</w:t>
      </w:r>
    </w:p>
    <w:p w:rsidR="00075FBC" w:rsidRPr="00075FBC" w:rsidRDefault="00075FBC" w:rsidP="00075FBC">
      <w:pPr>
        <w:jc w:val="both"/>
        <w:rPr>
          <w:szCs w:val="22"/>
        </w:rPr>
      </w:pPr>
      <w:r w:rsidRPr="00075FBC">
        <w:rPr>
          <w:szCs w:val="22"/>
        </w:rPr>
        <w:t>Συχνές: μυαλγία, αρθραλγία, άλγος στα άκρα, μυϊκοί σπασμοί, διόγκωση άρθρωσης, οσφυαλγία.</w:t>
      </w:r>
    </w:p>
    <w:p w:rsidR="00075FBC" w:rsidRPr="00075FBC" w:rsidRDefault="00075FBC" w:rsidP="00075FBC">
      <w:pPr>
        <w:jc w:val="both"/>
        <w:rPr>
          <w:szCs w:val="22"/>
        </w:rPr>
      </w:pPr>
      <w:r w:rsidRPr="00075FBC">
        <w:rPr>
          <w:szCs w:val="22"/>
        </w:rPr>
        <w:t>Όχι συχνές:</w:t>
      </w:r>
      <w:r w:rsidRPr="00075FBC">
        <w:t xml:space="preserve"> </w:t>
      </w:r>
      <w:proofErr w:type="spellStart"/>
      <w:r w:rsidRPr="00075FBC">
        <w:rPr>
          <w:szCs w:val="22"/>
        </w:rPr>
        <w:t>αυχεναλγία</w:t>
      </w:r>
      <w:proofErr w:type="spellEnd"/>
      <w:r w:rsidRPr="00075FBC">
        <w:rPr>
          <w:szCs w:val="22"/>
        </w:rPr>
        <w:t>, μυϊκή καταβολή.</w:t>
      </w:r>
    </w:p>
    <w:p w:rsidR="00075FBC" w:rsidRPr="00075FBC" w:rsidRDefault="00075FBC" w:rsidP="00075FBC">
      <w:pPr>
        <w:jc w:val="both"/>
      </w:pPr>
      <w:r w:rsidRPr="00075FBC">
        <w:rPr>
          <w:szCs w:val="22"/>
        </w:rPr>
        <w:t xml:space="preserve">Σπάνιες: μυοπάθεια, </w:t>
      </w:r>
      <w:proofErr w:type="spellStart"/>
      <w:r w:rsidRPr="00075FBC">
        <w:rPr>
          <w:szCs w:val="22"/>
        </w:rPr>
        <w:t>μυοσίτιδα</w:t>
      </w:r>
      <w:proofErr w:type="spellEnd"/>
      <w:r w:rsidRPr="00075FBC">
        <w:rPr>
          <w:szCs w:val="22"/>
        </w:rPr>
        <w:t xml:space="preserve">, </w:t>
      </w:r>
      <w:proofErr w:type="spellStart"/>
      <w:r w:rsidRPr="00075FBC">
        <w:rPr>
          <w:szCs w:val="22"/>
        </w:rPr>
        <w:t>ραβδομυόλυση</w:t>
      </w:r>
      <w:proofErr w:type="spellEnd"/>
      <w:r w:rsidRPr="00075FBC">
        <w:t xml:space="preserve">, </w:t>
      </w:r>
      <w:proofErr w:type="spellStart"/>
      <w:r w:rsidRPr="00075FBC">
        <w:t>τεντονοπάθεια</w:t>
      </w:r>
      <w:proofErr w:type="spellEnd"/>
      <w:r w:rsidRPr="00075FBC">
        <w:t xml:space="preserve">, μερικές φορές </w:t>
      </w:r>
      <w:proofErr w:type="spellStart"/>
      <w:r w:rsidRPr="00075FBC">
        <w:t>επιπλεκόμενη</w:t>
      </w:r>
      <w:proofErr w:type="spellEnd"/>
      <w:r w:rsidRPr="00075FBC">
        <w:t xml:space="preserve"> με ρήξη τένοντα.</w:t>
      </w:r>
    </w:p>
    <w:p w:rsidR="00075FBC" w:rsidRPr="00075FBC" w:rsidRDefault="00075FBC" w:rsidP="00075FBC">
      <w:pPr>
        <w:jc w:val="both"/>
        <w:rPr>
          <w:szCs w:val="22"/>
        </w:rPr>
      </w:pPr>
      <w:r w:rsidRPr="00075FBC">
        <w:t xml:space="preserve">Μη γνωστή συχνότητα: Ανοσολογικά </w:t>
      </w:r>
      <w:proofErr w:type="spellStart"/>
      <w:r w:rsidRPr="00075FBC">
        <w:t>διαμεσολαβούμενη</w:t>
      </w:r>
      <w:proofErr w:type="spellEnd"/>
      <w:r w:rsidRPr="00075FBC">
        <w:t xml:space="preserve"> νεκρωτική μυοπάθεια (βλ. παράγραφο 4.4)</w:t>
      </w:r>
    </w:p>
    <w:p w:rsidR="00075FBC" w:rsidRPr="00075FBC" w:rsidRDefault="00075FBC" w:rsidP="00075FBC">
      <w:pPr>
        <w:jc w:val="both"/>
        <w:rPr>
          <w:szCs w:val="22"/>
          <w:u w:val="single"/>
        </w:rPr>
      </w:pPr>
    </w:p>
    <w:p w:rsidR="00075FBC" w:rsidRPr="00075FBC" w:rsidRDefault="00075FBC" w:rsidP="00075FBC">
      <w:pPr>
        <w:jc w:val="both"/>
        <w:rPr>
          <w:szCs w:val="22"/>
          <w:u w:val="single"/>
        </w:rPr>
      </w:pPr>
      <w:r w:rsidRPr="00075FBC">
        <w:rPr>
          <w:szCs w:val="22"/>
          <w:u w:val="single"/>
        </w:rPr>
        <w:t>Διαταραχές του αναπαραγωγικού συστήματος και του μαστού</w:t>
      </w:r>
    </w:p>
    <w:p w:rsidR="00075FBC" w:rsidRPr="00075FBC" w:rsidRDefault="00075FBC" w:rsidP="00075FBC">
      <w:pPr>
        <w:jc w:val="both"/>
      </w:pPr>
      <w:r w:rsidRPr="00075FBC">
        <w:t>Πολύ σπάνιες: γυναικομαστία.</w:t>
      </w:r>
    </w:p>
    <w:p w:rsidR="00075FBC" w:rsidRPr="00075FBC" w:rsidRDefault="00075FBC" w:rsidP="00075FBC">
      <w:pPr>
        <w:jc w:val="both"/>
        <w:rPr>
          <w:szCs w:val="22"/>
        </w:rPr>
      </w:pPr>
    </w:p>
    <w:p w:rsidR="00075FBC" w:rsidRPr="00075FBC" w:rsidRDefault="00075FBC" w:rsidP="00075FBC">
      <w:pPr>
        <w:jc w:val="both"/>
        <w:rPr>
          <w:szCs w:val="22"/>
          <w:u w:val="single"/>
        </w:rPr>
      </w:pPr>
      <w:r w:rsidRPr="00075FBC">
        <w:rPr>
          <w:szCs w:val="22"/>
          <w:u w:val="single"/>
        </w:rPr>
        <w:t>Γενικές διαταραχές και καταστάσεις της οδού χορήγησης</w:t>
      </w:r>
    </w:p>
    <w:p w:rsidR="00075FBC" w:rsidRPr="00075FBC" w:rsidRDefault="00075FBC" w:rsidP="00075FBC">
      <w:pPr>
        <w:jc w:val="both"/>
        <w:rPr>
          <w:szCs w:val="22"/>
        </w:rPr>
      </w:pPr>
      <w:r w:rsidRPr="00075FBC">
        <w:rPr>
          <w:szCs w:val="22"/>
        </w:rPr>
        <w:t>Όχι συχνές: αίσθημα κακουχίας, εξασθένηση, θωρακικό άλγος,  περιφερικό οίδημα</w:t>
      </w:r>
      <w:r w:rsidRPr="00075FBC">
        <w:t xml:space="preserve">, κόπωση, </w:t>
      </w:r>
      <w:proofErr w:type="spellStart"/>
      <w:r w:rsidRPr="00075FBC">
        <w:t>πυρεξία</w:t>
      </w:r>
      <w:proofErr w:type="spellEnd"/>
      <w:r w:rsidRPr="00075FBC">
        <w:rPr>
          <w:szCs w:val="22"/>
        </w:rPr>
        <w:t>.</w:t>
      </w:r>
    </w:p>
    <w:p w:rsidR="00075FBC" w:rsidRPr="00075FBC" w:rsidRDefault="00075FBC" w:rsidP="00075FBC">
      <w:pPr>
        <w:jc w:val="both"/>
        <w:rPr>
          <w:szCs w:val="22"/>
        </w:rPr>
      </w:pPr>
    </w:p>
    <w:p w:rsidR="00075FBC" w:rsidRPr="00075FBC" w:rsidRDefault="00075FBC" w:rsidP="00075FBC">
      <w:pPr>
        <w:spacing w:after="120"/>
        <w:jc w:val="both"/>
        <w:rPr>
          <w:szCs w:val="22"/>
          <w:u w:val="single"/>
        </w:rPr>
      </w:pPr>
      <w:proofErr w:type="spellStart"/>
      <w:r w:rsidRPr="00075FBC">
        <w:rPr>
          <w:szCs w:val="22"/>
          <w:u w:val="single"/>
        </w:rPr>
        <w:t>Παρακλινικές</w:t>
      </w:r>
      <w:proofErr w:type="spellEnd"/>
      <w:r w:rsidRPr="00075FBC">
        <w:rPr>
          <w:szCs w:val="22"/>
          <w:u w:val="single"/>
        </w:rPr>
        <w:t xml:space="preserve"> εξετάσεις</w:t>
      </w:r>
    </w:p>
    <w:p w:rsidR="00075FBC" w:rsidRPr="00075FBC" w:rsidRDefault="00075FBC" w:rsidP="00075FBC">
      <w:pPr>
        <w:jc w:val="both"/>
        <w:rPr>
          <w:szCs w:val="22"/>
        </w:rPr>
      </w:pPr>
      <w:r w:rsidRPr="00075FBC">
        <w:rPr>
          <w:szCs w:val="22"/>
        </w:rPr>
        <w:t xml:space="preserve">Συχνές: δοκιμασίες ηπατικής λειτουργίας μη φυσιολογικές, </w:t>
      </w:r>
      <w:proofErr w:type="spellStart"/>
      <w:r w:rsidRPr="00075FBC">
        <w:rPr>
          <w:szCs w:val="22"/>
        </w:rPr>
        <w:t>κινάση</w:t>
      </w:r>
      <w:proofErr w:type="spellEnd"/>
      <w:r w:rsidRPr="00075FBC">
        <w:rPr>
          <w:szCs w:val="22"/>
        </w:rPr>
        <w:t xml:space="preserve"> της κρεατίνης αίματος αυξημένη. </w:t>
      </w:r>
    </w:p>
    <w:p w:rsidR="00075FBC" w:rsidRPr="00075FBC" w:rsidRDefault="00075FBC" w:rsidP="00075FBC">
      <w:pPr>
        <w:jc w:val="both"/>
        <w:rPr>
          <w:szCs w:val="22"/>
        </w:rPr>
      </w:pPr>
      <w:r w:rsidRPr="00075FBC">
        <w:rPr>
          <w:szCs w:val="22"/>
        </w:rPr>
        <w:t>Όχι συχνές: πυοσφαίρια ούρων θετικά.</w:t>
      </w:r>
    </w:p>
    <w:p w:rsidR="00075FBC" w:rsidRPr="00075FBC" w:rsidRDefault="00075FBC" w:rsidP="00075FBC">
      <w:pPr>
        <w:jc w:val="both"/>
        <w:rPr>
          <w:szCs w:val="22"/>
        </w:rPr>
      </w:pPr>
    </w:p>
    <w:p w:rsidR="00075FBC" w:rsidRPr="00075FBC" w:rsidRDefault="00075FBC" w:rsidP="00075FBC">
      <w:pPr>
        <w:widowControl/>
        <w:jc w:val="both"/>
        <w:rPr>
          <w:szCs w:val="22"/>
        </w:rPr>
      </w:pPr>
      <w:r w:rsidRPr="00075FBC">
        <w:rPr>
          <w:szCs w:val="22"/>
        </w:rPr>
        <w:t xml:space="preserve">Σε ασθενείς που έπαιρναν </w:t>
      </w:r>
      <w:proofErr w:type="spellStart"/>
      <w:r w:rsidRPr="00075FBC">
        <w:t>ατορβαστατίνη</w:t>
      </w:r>
      <w:proofErr w:type="spellEnd"/>
      <w:r w:rsidRPr="00075FBC">
        <w:t xml:space="preserve"> </w:t>
      </w:r>
      <w:r w:rsidRPr="00075FBC">
        <w:rPr>
          <w:szCs w:val="22"/>
        </w:rPr>
        <w:t xml:space="preserve">παρατηρήθηκε αύξηση των επιπέδων των </w:t>
      </w:r>
      <w:proofErr w:type="spellStart"/>
      <w:r w:rsidRPr="00075FBC">
        <w:rPr>
          <w:szCs w:val="22"/>
        </w:rPr>
        <w:t>τρανσαμινασών</w:t>
      </w:r>
      <w:proofErr w:type="spellEnd"/>
      <w:r w:rsidRPr="00075FBC">
        <w:rPr>
          <w:szCs w:val="22"/>
        </w:rPr>
        <w:t>, γεγονός που συμβαίνει και με άλλους αναστολείς της HMG-</w:t>
      </w:r>
      <w:proofErr w:type="spellStart"/>
      <w:r w:rsidRPr="00075FBC">
        <w:rPr>
          <w:szCs w:val="22"/>
        </w:rPr>
        <w:t>CoA</w:t>
      </w:r>
      <w:proofErr w:type="spellEnd"/>
      <w:r w:rsidRPr="00075FBC">
        <w:rPr>
          <w:szCs w:val="22"/>
        </w:rPr>
        <w:t xml:space="preserve"> </w:t>
      </w:r>
      <w:proofErr w:type="spellStart"/>
      <w:r w:rsidRPr="00075FBC">
        <w:rPr>
          <w:szCs w:val="22"/>
        </w:rPr>
        <w:t>αναγωγάσης</w:t>
      </w:r>
      <w:proofErr w:type="spellEnd"/>
      <w:r w:rsidRPr="00075FBC">
        <w:rPr>
          <w:szCs w:val="22"/>
        </w:rPr>
        <w:t xml:space="preserve">. Η αύξηση αυτή ήταν συνήθως μικρή, παροδική και δεν χρειάστηκε διακοπή της </w:t>
      </w:r>
      <w:r w:rsidRPr="00075FBC">
        <w:rPr>
          <w:szCs w:val="22"/>
        </w:rPr>
        <w:lastRenderedPageBreak/>
        <w:t xml:space="preserve">θεραπείας. Σε ασθενείς που έπαιρναν </w:t>
      </w:r>
      <w:proofErr w:type="spellStart"/>
      <w:r w:rsidRPr="00075FBC">
        <w:t>ατορβαστατίνη</w:t>
      </w:r>
      <w:proofErr w:type="spellEnd"/>
      <w:r w:rsidRPr="00075FBC">
        <w:rPr>
          <w:szCs w:val="22"/>
        </w:rPr>
        <w:t xml:space="preserve">, κλινικά σημαντική αύξηση των </w:t>
      </w:r>
      <w:proofErr w:type="spellStart"/>
      <w:r w:rsidRPr="00075FBC">
        <w:rPr>
          <w:szCs w:val="22"/>
        </w:rPr>
        <w:t>τρανσαμινασών</w:t>
      </w:r>
      <w:proofErr w:type="spellEnd"/>
      <w:r w:rsidRPr="00075FBC">
        <w:rPr>
          <w:szCs w:val="22"/>
        </w:rPr>
        <w:t xml:space="preserve"> του ορού (τρεις φορές πάνω από τα ανώτατα φυσιολογικά όρια) παρατηρήθηκε σε ποσοστό 0,8%. Η αύξηση αυτή, ήταν </w:t>
      </w:r>
      <w:proofErr w:type="spellStart"/>
      <w:r w:rsidRPr="00075FBC">
        <w:rPr>
          <w:szCs w:val="22"/>
        </w:rPr>
        <w:t>δοσοεξαρτώμενη</w:t>
      </w:r>
      <w:proofErr w:type="spellEnd"/>
      <w:r w:rsidRPr="00075FBC">
        <w:rPr>
          <w:szCs w:val="22"/>
        </w:rPr>
        <w:t>, σε όλους δε τους ασθενείς ήταν αναστρέψιμη.</w:t>
      </w:r>
    </w:p>
    <w:p w:rsidR="00075FBC" w:rsidRPr="00075FBC" w:rsidRDefault="00075FBC" w:rsidP="00075FBC">
      <w:pPr>
        <w:widowControl/>
        <w:jc w:val="both"/>
        <w:rPr>
          <w:szCs w:val="22"/>
        </w:rPr>
      </w:pPr>
    </w:p>
    <w:p w:rsidR="00075FBC" w:rsidRPr="00075FBC" w:rsidRDefault="00075FBC" w:rsidP="00075FBC">
      <w:pPr>
        <w:jc w:val="both"/>
        <w:rPr>
          <w:szCs w:val="22"/>
        </w:rPr>
      </w:pPr>
      <w:r w:rsidRPr="00075FBC">
        <w:rPr>
          <w:szCs w:val="22"/>
        </w:rPr>
        <w:t xml:space="preserve">Επίπεδα </w:t>
      </w:r>
      <w:proofErr w:type="spellStart"/>
      <w:r w:rsidRPr="00075FBC">
        <w:rPr>
          <w:szCs w:val="22"/>
        </w:rPr>
        <w:t>κινάσης</w:t>
      </w:r>
      <w:proofErr w:type="spellEnd"/>
      <w:r w:rsidRPr="00075FBC">
        <w:rPr>
          <w:szCs w:val="22"/>
        </w:rPr>
        <w:t xml:space="preserve"> της κρεατίνης </w:t>
      </w:r>
      <w:r w:rsidRPr="00075FBC">
        <w:t xml:space="preserve">(CK) </w:t>
      </w:r>
      <w:r w:rsidRPr="00075FBC">
        <w:rPr>
          <w:szCs w:val="22"/>
        </w:rPr>
        <w:t xml:space="preserve">μεγαλύτερα του 3πλάσιου των ανώτατων φυσιολογικών ορίων παρατηρήθηκαν σε ποσοστό 2,5% των ασθενών που ελάμβαναν </w:t>
      </w:r>
      <w:proofErr w:type="spellStart"/>
      <w:r w:rsidRPr="00075FBC">
        <w:t>ατορβαστατίνη</w:t>
      </w:r>
      <w:proofErr w:type="spellEnd"/>
      <w:r w:rsidRPr="00075FBC">
        <w:rPr>
          <w:szCs w:val="22"/>
        </w:rPr>
        <w:t>, ποσοστό που είναι παρόμοιο με αυτό που παρατηρήθηκε σε κλινικές μελέτες με άλλους αναστολείς της HMG-</w:t>
      </w:r>
      <w:proofErr w:type="spellStart"/>
      <w:r w:rsidRPr="00075FBC">
        <w:rPr>
          <w:szCs w:val="22"/>
        </w:rPr>
        <w:t>CoA</w:t>
      </w:r>
      <w:proofErr w:type="spellEnd"/>
      <w:r w:rsidRPr="00075FBC">
        <w:rPr>
          <w:szCs w:val="22"/>
        </w:rPr>
        <w:t xml:space="preserve"> </w:t>
      </w:r>
      <w:proofErr w:type="spellStart"/>
      <w:r w:rsidRPr="00075FBC">
        <w:rPr>
          <w:szCs w:val="22"/>
        </w:rPr>
        <w:t>αναγωγάσης</w:t>
      </w:r>
      <w:proofErr w:type="spellEnd"/>
      <w:r w:rsidRPr="00075FBC">
        <w:rPr>
          <w:szCs w:val="22"/>
        </w:rPr>
        <w:t xml:space="preserve">. Επίπεδα 10 φορές πάνω από τα ανώτατα φυσιολογικά όρια παρατηρήθηκαν σε ποσοστό 0,4% των ασθενών υπό θεραπεία με </w:t>
      </w:r>
      <w:proofErr w:type="spellStart"/>
      <w:r w:rsidRPr="00075FBC">
        <w:t>ατορβαστατίνη</w:t>
      </w:r>
      <w:proofErr w:type="spellEnd"/>
      <w:r w:rsidRPr="00075FBC" w:rsidDel="005A26DA">
        <w:rPr>
          <w:szCs w:val="22"/>
        </w:rPr>
        <w:t xml:space="preserve"> </w:t>
      </w:r>
      <w:r w:rsidRPr="00075FBC">
        <w:rPr>
          <w:szCs w:val="22"/>
        </w:rPr>
        <w:t>(βλ. παράγραφο 4.4</w:t>
      </w:r>
      <w:r w:rsidRPr="00075FBC">
        <w:rPr>
          <w:bCs/>
          <w:szCs w:val="22"/>
        </w:rPr>
        <w:t>).</w:t>
      </w:r>
    </w:p>
    <w:p w:rsidR="00075FBC" w:rsidRPr="00075FBC" w:rsidRDefault="00075FBC" w:rsidP="00075FBC">
      <w:pPr>
        <w:jc w:val="both"/>
        <w:rPr>
          <w:szCs w:val="22"/>
          <w:u w:val="single"/>
        </w:rPr>
      </w:pPr>
    </w:p>
    <w:p w:rsidR="00075FBC" w:rsidRPr="00075FBC" w:rsidRDefault="00075FBC" w:rsidP="00075FBC">
      <w:pPr>
        <w:spacing w:after="120"/>
        <w:jc w:val="both"/>
        <w:rPr>
          <w:szCs w:val="22"/>
        </w:rPr>
      </w:pPr>
      <w:r w:rsidRPr="00075FBC">
        <w:rPr>
          <w:iCs/>
          <w:szCs w:val="22"/>
          <w:u w:val="single"/>
        </w:rPr>
        <w:t>Παιδιατρικός Πληθυσμός</w:t>
      </w:r>
    </w:p>
    <w:p w:rsidR="00075FBC" w:rsidRPr="00075FBC" w:rsidRDefault="00075FBC" w:rsidP="00075FBC">
      <w:pPr>
        <w:jc w:val="both"/>
        <w:rPr>
          <w:szCs w:val="22"/>
        </w:rPr>
      </w:pPr>
      <w:r w:rsidRPr="00075FBC">
        <w:rPr>
          <w:szCs w:val="22"/>
        </w:rPr>
        <w:t xml:space="preserve">Η κλινική βάση δεδομένων ασφάλειας περιέχει δεδομένα ασφαλείας για 249 παιδιατρικούς ασθενείς που έλαβαν </w:t>
      </w:r>
      <w:proofErr w:type="spellStart"/>
      <w:r w:rsidRPr="00075FBC">
        <w:rPr>
          <w:szCs w:val="22"/>
        </w:rPr>
        <w:t>ατορβαστατίνη</w:t>
      </w:r>
      <w:proofErr w:type="spellEnd"/>
      <w:r w:rsidRPr="00075FBC">
        <w:rPr>
          <w:szCs w:val="22"/>
        </w:rPr>
        <w:t xml:space="preserve">, μεταξύ των οποίων 7 ασθενείς ήταν &lt; 6 ετών, 14 ασθενείς ήταν 6 έως 9 ετών και 228 ασθενείς ήταν ηλικίας 10 έως 17 ετών. </w:t>
      </w:r>
    </w:p>
    <w:p w:rsidR="00075FBC" w:rsidRPr="00075FBC" w:rsidRDefault="00075FBC" w:rsidP="00075FBC">
      <w:pPr>
        <w:jc w:val="both"/>
        <w:rPr>
          <w:szCs w:val="22"/>
        </w:rPr>
      </w:pPr>
    </w:p>
    <w:p w:rsidR="00075FBC" w:rsidRPr="00075FBC" w:rsidRDefault="00075FBC" w:rsidP="00075FBC">
      <w:pPr>
        <w:jc w:val="both"/>
        <w:rPr>
          <w:szCs w:val="22"/>
        </w:rPr>
      </w:pPr>
      <w:r w:rsidRPr="00075FBC">
        <w:rPr>
          <w:szCs w:val="22"/>
        </w:rPr>
        <w:t>Διαταραχές του νευρικού συστήματος</w:t>
      </w:r>
    </w:p>
    <w:p w:rsidR="00075FBC" w:rsidRPr="00075FBC" w:rsidRDefault="00075FBC" w:rsidP="00075FBC">
      <w:pPr>
        <w:jc w:val="both"/>
        <w:rPr>
          <w:szCs w:val="22"/>
        </w:rPr>
      </w:pPr>
      <w:r w:rsidRPr="00075FBC">
        <w:rPr>
          <w:szCs w:val="22"/>
        </w:rPr>
        <w:t>Συχνές: Κεφαλαλγία</w:t>
      </w:r>
    </w:p>
    <w:p w:rsidR="00075FBC" w:rsidRPr="00075FBC" w:rsidRDefault="00075FBC" w:rsidP="00075FBC">
      <w:pPr>
        <w:jc w:val="both"/>
      </w:pPr>
    </w:p>
    <w:p w:rsidR="00075FBC" w:rsidRPr="00075FBC" w:rsidRDefault="00075FBC" w:rsidP="00075FBC">
      <w:pPr>
        <w:jc w:val="both"/>
        <w:rPr>
          <w:szCs w:val="22"/>
        </w:rPr>
      </w:pPr>
      <w:r w:rsidRPr="00075FBC">
        <w:rPr>
          <w:szCs w:val="22"/>
        </w:rPr>
        <w:t>Διαταραχές του γαστρεντερικού</w:t>
      </w:r>
    </w:p>
    <w:p w:rsidR="00075FBC" w:rsidRPr="00075FBC" w:rsidRDefault="00075FBC" w:rsidP="00075FBC">
      <w:pPr>
        <w:jc w:val="both"/>
        <w:rPr>
          <w:szCs w:val="22"/>
        </w:rPr>
      </w:pPr>
      <w:r w:rsidRPr="00075FBC">
        <w:rPr>
          <w:szCs w:val="22"/>
        </w:rPr>
        <w:t>Συχνές: Κοιλιακό άλγος</w:t>
      </w:r>
    </w:p>
    <w:p w:rsidR="00075FBC" w:rsidRPr="00075FBC" w:rsidRDefault="00075FBC" w:rsidP="00075FBC">
      <w:pPr>
        <w:jc w:val="both"/>
        <w:rPr>
          <w:szCs w:val="22"/>
        </w:rPr>
      </w:pPr>
    </w:p>
    <w:p w:rsidR="00075FBC" w:rsidRPr="00075FBC" w:rsidRDefault="00075FBC" w:rsidP="00075FBC">
      <w:pPr>
        <w:jc w:val="both"/>
        <w:rPr>
          <w:szCs w:val="22"/>
        </w:rPr>
      </w:pPr>
      <w:proofErr w:type="spellStart"/>
      <w:r w:rsidRPr="00075FBC">
        <w:rPr>
          <w:szCs w:val="22"/>
        </w:rPr>
        <w:t>Παρακλινικές</w:t>
      </w:r>
      <w:proofErr w:type="spellEnd"/>
      <w:r w:rsidRPr="00075FBC">
        <w:rPr>
          <w:szCs w:val="22"/>
        </w:rPr>
        <w:t xml:space="preserve"> εξετάσεις</w:t>
      </w:r>
    </w:p>
    <w:p w:rsidR="00075FBC" w:rsidRPr="00075FBC" w:rsidRDefault="00075FBC" w:rsidP="00075FBC">
      <w:pPr>
        <w:jc w:val="both"/>
        <w:rPr>
          <w:szCs w:val="22"/>
        </w:rPr>
      </w:pPr>
      <w:r w:rsidRPr="00075FBC">
        <w:rPr>
          <w:szCs w:val="22"/>
        </w:rPr>
        <w:t xml:space="preserve">Συχνές: </w:t>
      </w:r>
      <w:proofErr w:type="spellStart"/>
      <w:r w:rsidRPr="00075FBC">
        <w:rPr>
          <w:szCs w:val="22"/>
        </w:rPr>
        <w:t>Αμινοτρανσφεράση</w:t>
      </w:r>
      <w:proofErr w:type="spellEnd"/>
      <w:r w:rsidRPr="00075FBC">
        <w:rPr>
          <w:szCs w:val="22"/>
        </w:rPr>
        <w:t xml:space="preserve"> της </w:t>
      </w:r>
      <w:proofErr w:type="spellStart"/>
      <w:r w:rsidRPr="00075FBC">
        <w:rPr>
          <w:szCs w:val="22"/>
        </w:rPr>
        <w:t>αλανίνης</w:t>
      </w:r>
      <w:proofErr w:type="spellEnd"/>
      <w:r w:rsidRPr="00075FBC">
        <w:rPr>
          <w:szCs w:val="22"/>
        </w:rPr>
        <w:t xml:space="preserve"> αυξημένη, </w:t>
      </w:r>
      <w:proofErr w:type="spellStart"/>
      <w:r w:rsidRPr="00075FBC">
        <w:rPr>
          <w:szCs w:val="22"/>
        </w:rPr>
        <w:t>κρεατινοφωσφοκινάση</w:t>
      </w:r>
      <w:proofErr w:type="spellEnd"/>
      <w:r w:rsidRPr="00075FBC">
        <w:rPr>
          <w:szCs w:val="22"/>
        </w:rPr>
        <w:t xml:space="preserve"> αίματος αυξημένη</w:t>
      </w:r>
    </w:p>
    <w:p w:rsidR="00075FBC" w:rsidRPr="00075FBC" w:rsidRDefault="00075FBC" w:rsidP="00075FBC">
      <w:pPr>
        <w:ind w:firstLine="720"/>
        <w:jc w:val="both"/>
        <w:rPr>
          <w:szCs w:val="22"/>
        </w:rPr>
      </w:pPr>
    </w:p>
    <w:p w:rsidR="00075FBC" w:rsidRPr="00075FBC" w:rsidRDefault="00075FBC" w:rsidP="00075FBC">
      <w:pPr>
        <w:jc w:val="both"/>
        <w:rPr>
          <w:szCs w:val="22"/>
        </w:rPr>
      </w:pPr>
      <w:r w:rsidRPr="00075FBC">
        <w:rPr>
          <w:szCs w:val="22"/>
        </w:rPr>
        <w:t xml:space="preserve">Βάσει των διαθέσιμων δεδομένων, η συχνότητα, το είδος και η σοβαρότητα των ανεπιθύμητων αντιδράσεων στα παιδιά, αναμένεται να είναι ίδια με αυτή των ενηλίκων. Επί του παρόντος, η εμπειρία είναι περιορισμένη, όσο αφορά τη μακροχρόνια ασφάλεια στην παιδιατρική πληθυσμιακή ομάδα. </w:t>
      </w:r>
    </w:p>
    <w:p w:rsidR="00075FBC" w:rsidRPr="00075FBC" w:rsidRDefault="00075FBC" w:rsidP="00075FBC">
      <w:pPr>
        <w:jc w:val="both"/>
        <w:rPr>
          <w:szCs w:val="22"/>
        </w:rPr>
      </w:pPr>
    </w:p>
    <w:p w:rsidR="00075FBC" w:rsidRPr="00075FBC" w:rsidRDefault="00075FBC" w:rsidP="00075FBC">
      <w:pPr>
        <w:jc w:val="both"/>
        <w:rPr>
          <w:szCs w:val="22"/>
        </w:rPr>
      </w:pPr>
      <w:r w:rsidRPr="00075FBC">
        <w:rPr>
          <w:szCs w:val="22"/>
        </w:rPr>
        <w:t xml:space="preserve">Οι ακόλουθες ανεπιθύμητες ενέργειες έχουν αναφερθεί με μερικές </w:t>
      </w:r>
      <w:proofErr w:type="spellStart"/>
      <w:r w:rsidRPr="00075FBC">
        <w:rPr>
          <w:szCs w:val="22"/>
        </w:rPr>
        <w:t>στατίνες</w:t>
      </w:r>
      <w:proofErr w:type="spellEnd"/>
      <w:r w:rsidRPr="00075FBC">
        <w:rPr>
          <w:szCs w:val="22"/>
        </w:rPr>
        <w:t>:</w:t>
      </w:r>
    </w:p>
    <w:p w:rsidR="00075FBC" w:rsidRPr="00075FBC" w:rsidRDefault="00075FBC" w:rsidP="00075FBC">
      <w:pPr>
        <w:jc w:val="both"/>
        <w:rPr>
          <w:szCs w:val="22"/>
        </w:rPr>
      </w:pPr>
    </w:p>
    <w:p w:rsidR="00075FBC" w:rsidRPr="00075FBC" w:rsidRDefault="00075FBC" w:rsidP="00075FBC">
      <w:pPr>
        <w:numPr>
          <w:ilvl w:val="0"/>
          <w:numId w:val="13"/>
        </w:numPr>
        <w:jc w:val="both"/>
        <w:rPr>
          <w:szCs w:val="22"/>
        </w:rPr>
      </w:pPr>
      <w:r w:rsidRPr="00075FBC">
        <w:rPr>
          <w:szCs w:val="22"/>
        </w:rPr>
        <w:t>Σεξουαλική δυσλειτουργία</w:t>
      </w:r>
    </w:p>
    <w:p w:rsidR="00075FBC" w:rsidRPr="00075FBC" w:rsidRDefault="00075FBC" w:rsidP="00075FBC">
      <w:pPr>
        <w:numPr>
          <w:ilvl w:val="0"/>
          <w:numId w:val="13"/>
        </w:numPr>
        <w:jc w:val="both"/>
        <w:rPr>
          <w:szCs w:val="22"/>
        </w:rPr>
      </w:pPr>
      <w:r w:rsidRPr="00075FBC">
        <w:rPr>
          <w:szCs w:val="22"/>
        </w:rPr>
        <w:t>Κατάθλιψη</w:t>
      </w:r>
    </w:p>
    <w:p w:rsidR="00075FBC" w:rsidRPr="00075FBC" w:rsidRDefault="00075FBC" w:rsidP="00075FBC">
      <w:pPr>
        <w:numPr>
          <w:ilvl w:val="0"/>
          <w:numId w:val="13"/>
        </w:numPr>
        <w:jc w:val="both"/>
        <w:rPr>
          <w:szCs w:val="22"/>
        </w:rPr>
      </w:pPr>
      <w:r w:rsidRPr="00075FBC">
        <w:rPr>
          <w:szCs w:val="22"/>
        </w:rPr>
        <w:t xml:space="preserve">Σπάνιες περιπτώσεις διάμεσου πνευμονοπάθειας, </w:t>
      </w:r>
      <w:r w:rsidRPr="00075FBC">
        <w:t>ιδιαίτερα με μακροχρόνια θεραπεία (βλ. παράγραφο 4.4)</w:t>
      </w:r>
    </w:p>
    <w:p w:rsidR="00075FBC" w:rsidRPr="00075FBC" w:rsidRDefault="00075FBC" w:rsidP="00075FBC">
      <w:pPr>
        <w:numPr>
          <w:ilvl w:val="0"/>
          <w:numId w:val="13"/>
        </w:numPr>
        <w:jc w:val="both"/>
      </w:pPr>
      <w:r w:rsidRPr="00075FBC">
        <w:t xml:space="preserve">Σακχαρώδης διαβήτης: Η συχνότητα θα εξαρτηθεί από την παρουσία ή απουσία παραγόντων κινδύνου (γλυκόζη νηστείας αίματος ≥ 5,6 </w:t>
      </w:r>
      <w:proofErr w:type="spellStart"/>
      <w:r w:rsidRPr="00075FBC">
        <w:t>mmol</w:t>
      </w:r>
      <w:proofErr w:type="spellEnd"/>
      <w:r w:rsidRPr="00075FBC">
        <w:t xml:space="preserve"> / L</w:t>
      </w:r>
      <w:r w:rsidRPr="00075FBC">
        <w:rPr>
          <w:szCs w:val="22"/>
        </w:rPr>
        <w:t xml:space="preserve"> ή 100 </w:t>
      </w:r>
      <w:proofErr w:type="spellStart"/>
      <w:r w:rsidRPr="00075FBC">
        <w:rPr>
          <w:szCs w:val="22"/>
        </w:rPr>
        <w:t>mg</w:t>
      </w:r>
      <w:proofErr w:type="spellEnd"/>
      <w:r w:rsidRPr="00075FBC">
        <w:rPr>
          <w:szCs w:val="22"/>
        </w:rPr>
        <w:t>/</w:t>
      </w:r>
      <w:proofErr w:type="spellStart"/>
      <w:r w:rsidRPr="00075FBC">
        <w:rPr>
          <w:szCs w:val="22"/>
        </w:rPr>
        <w:t>dl</w:t>
      </w:r>
      <w:proofErr w:type="spellEnd"/>
      <w:r w:rsidRPr="00075FBC">
        <w:t>, ΒΜΙ&gt; 30 kg/m</w:t>
      </w:r>
      <w:r w:rsidRPr="00075FBC">
        <w:rPr>
          <w:vertAlign w:val="superscript"/>
        </w:rPr>
        <w:t>2</w:t>
      </w:r>
      <w:r w:rsidRPr="00075FBC">
        <w:t xml:space="preserve">, αυξημένα </w:t>
      </w:r>
      <w:proofErr w:type="spellStart"/>
      <w:r w:rsidRPr="00075FBC">
        <w:t>τριγλυκερίδια</w:t>
      </w:r>
      <w:proofErr w:type="spellEnd"/>
      <w:r w:rsidRPr="00075FBC">
        <w:t>, ιστορικό υπέρτασης).</w:t>
      </w:r>
    </w:p>
    <w:p w:rsidR="00075FBC" w:rsidRPr="00075FBC" w:rsidRDefault="00075FBC" w:rsidP="00075FBC">
      <w:pPr>
        <w:jc w:val="both"/>
      </w:pPr>
    </w:p>
    <w:p w:rsidR="00075FBC" w:rsidRPr="00075FBC" w:rsidRDefault="00075FBC" w:rsidP="00075FBC">
      <w:pPr>
        <w:autoSpaceDE w:val="0"/>
        <w:autoSpaceDN w:val="0"/>
        <w:adjustRightInd w:val="0"/>
        <w:jc w:val="both"/>
        <w:rPr>
          <w:szCs w:val="22"/>
          <w:u w:val="single"/>
        </w:rPr>
      </w:pPr>
      <w:r w:rsidRPr="00075FBC">
        <w:rPr>
          <w:szCs w:val="22"/>
          <w:u w:val="single"/>
        </w:rPr>
        <w:t>Αναφορά πιθανολογούμενων ανεπιθύμητων ενεργειών</w:t>
      </w:r>
    </w:p>
    <w:p w:rsidR="00075FBC" w:rsidRPr="00075FBC" w:rsidRDefault="00075FBC" w:rsidP="00075FBC">
      <w:pPr>
        <w:jc w:val="both"/>
        <w:rPr>
          <w:szCs w:val="22"/>
        </w:rPr>
      </w:pPr>
      <w:r w:rsidRPr="00075FBC">
        <w:rPr>
          <w:szCs w:val="22"/>
        </w:rPr>
        <w:t xml:space="preserve">Η αναφορά πιθανολογούμενων ανεπιθύμητων ενεργειών μετά από τη χορήγηση άδειας κυκλοφορίας του φαρμακευτικού προϊόντος είναι σημαντική. Επιτρέπει τη συνεχή παρακολούθηση της σχέσης οφέλους-κινδύνου του φαρμακευτικού προϊόντος. Ζητείται από τους επαγγελματίες του τομέα της υγειονομικής περίθαλψης να αναφέρουν οποιεσδήποτε πιθανολογούμενες ανεπιθύμητες ενέργειες </w:t>
      </w:r>
    </w:p>
    <w:p w:rsidR="00075FBC" w:rsidRPr="00075FBC" w:rsidRDefault="00075FBC" w:rsidP="00075FBC">
      <w:pPr>
        <w:jc w:val="both"/>
        <w:rPr>
          <w:szCs w:val="22"/>
        </w:rPr>
      </w:pPr>
      <w:r w:rsidRPr="00075FBC">
        <w:rPr>
          <w:rFonts w:eastAsia="Calibri"/>
          <w:b/>
          <w:szCs w:val="22"/>
          <w:lang w:eastAsia="zh-CN"/>
        </w:rPr>
        <w:t>Ελλάδα</w:t>
      </w:r>
      <w:r w:rsidRPr="00075FBC">
        <w:rPr>
          <w:szCs w:val="22"/>
        </w:rPr>
        <w:tab/>
      </w:r>
      <w:r w:rsidRPr="00075FBC">
        <w:rPr>
          <w:szCs w:val="22"/>
        </w:rPr>
        <w:tab/>
      </w:r>
      <w:r w:rsidRPr="00075FBC">
        <w:rPr>
          <w:szCs w:val="22"/>
        </w:rPr>
        <w:tab/>
      </w:r>
      <w:r w:rsidRPr="00075FBC">
        <w:rPr>
          <w:szCs w:val="22"/>
        </w:rPr>
        <w:tab/>
      </w:r>
      <w:r w:rsidRPr="00075FBC">
        <w:rPr>
          <w:szCs w:val="22"/>
        </w:rPr>
        <w:tab/>
      </w:r>
      <w:r w:rsidRPr="00075FBC">
        <w:rPr>
          <w:szCs w:val="22"/>
        </w:rPr>
        <w:tab/>
      </w:r>
    </w:p>
    <w:p w:rsidR="00075FBC" w:rsidRPr="00075FBC" w:rsidRDefault="00075FBC" w:rsidP="00075FBC">
      <w:pPr>
        <w:jc w:val="both"/>
        <w:rPr>
          <w:szCs w:val="22"/>
        </w:rPr>
      </w:pPr>
      <w:r w:rsidRPr="00075FBC">
        <w:rPr>
          <w:szCs w:val="22"/>
        </w:rPr>
        <w:t>Εθνικός Οργανισμός Φαρμάκων</w:t>
      </w:r>
      <w:r w:rsidRPr="00075FBC">
        <w:rPr>
          <w:szCs w:val="22"/>
        </w:rPr>
        <w:tab/>
      </w:r>
      <w:r w:rsidRPr="00075FBC">
        <w:rPr>
          <w:szCs w:val="22"/>
        </w:rPr>
        <w:tab/>
      </w:r>
      <w:r w:rsidRPr="00075FBC">
        <w:rPr>
          <w:szCs w:val="22"/>
        </w:rPr>
        <w:tab/>
      </w:r>
    </w:p>
    <w:p w:rsidR="00075FBC" w:rsidRPr="00075FBC" w:rsidRDefault="00075FBC" w:rsidP="00075FBC">
      <w:pPr>
        <w:jc w:val="both"/>
        <w:rPr>
          <w:szCs w:val="22"/>
        </w:rPr>
      </w:pPr>
      <w:r w:rsidRPr="00075FBC">
        <w:rPr>
          <w:szCs w:val="22"/>
        </w:rPr>
        <w:t>Μεσογείων 284</w:t>
      </w:r>
      <w:r w:rsidRPr="00075FBC">
        <w:rPr>
          <w:szCs w:val="22"/>
        </w:rPr>
        <w:tab/>
      </w:r>
      <w:r w:rsidRPr="00075FBC">
        <w:rPr>
          <w:szCs w:val="22"/>
        </w:rPr>
        <w:tab/>
      </w:r>
      <w:r w:rsidRPr="00075FBC">
        <w:rPr>
          <w:szCs w:val="22"/>
        </w:rPr>
        <w:tab/>
      </w:r>
      <w:r w:rsidRPr="00075FBC">
        <w:rPr>
          <w:szCs w:val="22"/>
        </w:rPr>
        <w:tab/>
      </w:r>
      <w:r w:rsidRPr="00075FBC">
        <w:rPr>
          <w:szCs w:val="22"/>
        </w:rPr>
        <w:tab/>
      </w:r>
    </w:p>
    <w:p w:rsidR="00075FBC" w:rsidRPr="00075FBC" w:rsidRDefault="00075FBC" w:rsidP="00075FBC">
      <w:pPr>
        <w:jc w:val="both"/>
        <w:rPr>
          <w:szCs w:val="22"/>
        </w:rPr>
      </w:pPr>
      <w:r w:rsidRPr="00075FBC">
        <w:rPr>
          <w:szCs w:val="22"/>
        </w:rPr>
        <w:t>GR-15562 Χολαργός, Αθήνα</w:t>
      </w:r>
      <w:r w:rsidRPr="00075FBC">
        <w:rPr>
          <w:szCs w:val="22"/>
        </w:rPr>
        <w:tab/>
      </w:r>
      <w:r w:rsidRPr="00075FBC">
        <w:rPr>
          <w:szCs w:val="22"/>
        </w:rPr>
        <w:tab/>
      </w:r>
      <w:r w:rsidRPr="00075FBC">
        <w:rPr>
          <w:szCs w:val="22"/>
        </w:rPr>
        <w:tab/>
      </w:r>
    </w:p>
    <w:p w:rsidR="00075FBC" w:rsidRPr="00075FBC" w:rsidRDefault="00075FBC" w:rsidP="00075FBC">
      <w:pPr>
        <w:jc w:val="both"/>
        <w:rPr>
          <w:szCs w:val="22"/>
        </w:rPr>
      </w:pPr>
      <w:proofErr w:type="spellStart"/>
      <w:r w:rsidRPr="00075FBC">
        <w:rPr>
          <w:szCs w:val="22"/>
        </w:rPr>
        <w:t>Τηλ</w:t>
      </w:r>
      <w:proofErr w:type="spellEnd"/>
      <w:r w:rsidRPr="00075FBC">
        <w:rPr>
          <w:szCs w:val="22"/>
        </w:rPr>
        <w:t>: + 30 21 32040380/337</w:t>
      </w:r>
      <w:r w:rsidRPr="00075FBC">
        <w:rPr>
          <w:szCs w:val="22"/>
        </w:rPr>
        <w:tab/>
      </w:r>
      <w:r w:rsidRPr="00075FBC">
        <w:rPr>
          <w:szCs w:val="22"/>
        </w:rPr>
        <w:tab/>
      </w:r>
      <w:r w:rsidRPr="00075FBC">
        <w:rPr>
          <w:szCs w:val="22"/>
        </w:rPr>
        <w:tab/>
      </w:r>
      <w:r w:rsidRPr="00075FBC">
        <w:rPr>
          <w:szCs w:val="22"/>
        </w:rPr>
        <w:tab/>
      </w:r>
    </w:p>
    <w:p w:rsidR="00075FBC" w:rsidRPr="00075FBC" w:rsidRDefault="00075FBC" w:rsidP="00075FBC">
      <w:pPr>
        <w:jc w:val="both"/>
        <w:rPr>
          <w:szCs w:val="22"/>
        </w:rPr>
      </w:pPr>
      <w:r w:rsidRPr="00075FBC">
        <w:rPr>
          <w:szCs w:val="22"/>
        </w:rPr>
        <w:t xml:space="preserve">Φαξ: + 30 21 06549585 </w:t>
      </w:r>
      <w:r w:rsidRPr="00075FBC">
        <w:rPr>
          <w:szCs w:val="22"/>
        </w:rPr>
        <w:tab/>
      </w:r>
      <w:r w:rsidRPr="00075FBC">
        <w:rPr>
          <w:szCs w:val="22"/>
        </w:rPr>
        <w:tab/>
      </w:r>
      <w:r w:rsidRPr="00075FBC">
        <w:rPr>
          <w:szCs w:val="22"/>
        </w:rPr>
        <w:tab/>
      </w:r>
      <w:r w:rsidRPr="00075FBC">
        <w:rPr>
          <w:szCs w:val="22"/>
        </w:rPr>
        <w:tab/>
      </w:r>
    </w:p>
    <w:p w:rsidR="00075FBC" w:rsidRPr="00075FBC" w:rsidRDefault="00075FBC" w:rsidP="00075FBC">
      <w:pPr>
        <w:jc w:val="both"/>
        <w:rPr>
          <w:szCs w:val="22"/>
        </w:rPr>
      </w:pPr>
      <w:proofErr w:type="spellStart"/>
      <w:r w:rsidRPr="00075FBC">
        <w:rPr>
          <w:szCs w:val="22"/>
        </w:rPr>
        <w:lastRenderedPageBreak/>
        <w:t>Ιστότοπος</w:t>
      </w:r>
      <w:proofErr w:type="spellEnd"/>
      <w:r w:rsidRPr="00075FBC">
        <w:rPr>
          <w:szCs w:val="22"/>
        </w:rPr>
        <w:t xml:space="preserve">: </w:t>
      </w:r>
      <w:hyperlink r:id="rId6" w:history="1">
        <w:r w:rsidRPr="00075FBC">
          <w:rPr>
            <w:color w:val="0000FF"/>
            <w:szCs w:val="22"/>
            <w:u w:val="single"/>
          </w:rPr>
          <w:t>http://www.eof.gr</w:t>
        </w:r>
      </w:hyperlink>
    </w:p>
    <w:p w:rsidR="00075FBC" w:rsidRPr="00075FBC" w:rsidRDefault="00075FBC" w:rsidP="00075FBC">
      <w:pPr>
        <w:jc w:val="both"/>
      </w:pPr>
    </w:p>
    <w:p w:rsidR="00075FBC" w:rsidRPr="00075FBC" w:rsidRDefault="00075FBC" w:rsidP="00075FBC">
      <w:pPr>
        <w:jc w:val="both"/>
        <w:rPr>
          <w:b/>
          <w:szCs w:val="22"/>
        </w:rPr>
      </w:pPr>
      <w:r w:rsidRPr="00075FBC">
        <w:rPr>
          <w:b/>
          <w:szCs w:val="22"/>
        </w:rPr>
        <w:t>4.9</w:t>
      </w:r>
      <w:r w:rsidRPr="00075FBC">
        <w:rPr>
          <w:b/>
          <w:szCs w:val="22"/>
        </w:rPr>
        <w:tab/>
      </w:r>
      <w:proofErr w:type="spellStart"/>
      <w:r w:rsidRPr="00075FBC">
        <w:rPr>
          <w:b/>
          <w:szCs w:val="22"/>
        </w:rPr>
        <w:t>Υπερδοσολογία</w:t>
      </w:r>
      <w:proofErr w:type="spellEnd"/>
    </w:p>
    <w:p w:rsidR="00075FBC" w:rsidRPr="00075FBC" w:rsidRDefault="00075FBC" w:rsidP="00075FBC">
      <w:pPr>
        <w:jc w:val="both"/>
        <w:rPr>
          <w:szCs w:val="22"/>
        </w:rPr>
      </w:pPr>
    </w:p>
    <w:p w:rsidR="00075FBC" w:rsidRPr="00075FBC" w:rsidRDefault="00075FBC" w:rsidP="00075FBC">
      <w:pPr>
        <w:widowControl/>
        <w:jc w:val="both"/>
        <w:rPr>
          <w:szCs w:val="22"/>
        </w:rPr>
      </w:pPr>
      <w:r w:rsidRPr="00075FBC">
        <w:rPr>
          <w:szCs w:val="22"/>
        </w:rPr>
        <w:t xml:space="preserve">Για τις περιπτώσεις </w:t>
      </w:r>
      <w:proofErr w:type="spellStart"/>
      <w:r w:rsidRPr="00075FBC">
        <w:rPr>
          <w:szCs w:val="22"/>
        </w:rPr>
        <w:t>υπερδοσολογίας</w:t>
      </w:r>
      <w:proofErr w:type="spellEnd"/>
      <w:r w:rsidRPr="00075FBC">
        <w:rPr>
          <w:szCs w:val="22"/>
        </w:rPr>
        <w:t xml:space="preserve"> από το </w:t>
      </w:r>
      <w:proofErr w:type="spellStart"/>
      <w:r w:rsidRPr="00075FBC">
        <w:rPr>
          <w:bCs/>
          <w:szCs w:val="22"/>
          <w:lang w:val="en-US"/>
        </w:rPr>
        <w:t>Xanator</w:t>
      </w:r>
      <w:proofErr w:type="spellEnd"/>
      <w:r w:rsidRPr="00075FBC">
        <w:rPr>
          <w:bCs/>
          <w:szCs w:val="22"/>
        </w:rPr>
        <w:t>/</w:t>
      </w:r>
      <w:proofErr w:type="spellStart"/>
      <w:r w:rsidRPr="00075FBC">
        <w:rPr>
          <w:bCs/>
          <w:szCs w:val="22"/>
          <w:lang w:val="en-US"/>
        </w:rPr>
        <w:t>Sieger</w:t>
      </w:r>
      <w:proofErr w:type="spellEnd"/>
      <w:r w:rsidRPr="00075FBC">
        <w:rPr>
          <w:szCs w:val="22"/>
        </w:rPr>
        <w:t xml:space="preserve"> δεν υπάρχει ειδική θεραπεία. Αν αυτό συμβεί, ο ασθενής πρέπει να αντιμετωπιστεί συμπτωματικά και να εφαρμοστούν τα κατάλληλα υποστηρικτικά μέτρα, όπως απαιτείται κατά περίπτωση. Θα πρέπει να παρακολουθείται η ηπατική λειτουργία και τα επίπεδα της CK στο πλάσμα. Λόγω της εκτεταμένης δέσμευσης του φαρμάκου με τις πρωτεΐνες του πλάσματος, η αιμοκάθαρση δεν αναμένεται να βελτιώσει σημαντικά την κάθαρση της </w:t>
      </w:r>
      <w:proofErr w:type="spellStart"/>
      <w:r w:rsidRPr="00075FBC">
        <w:rPr>
          <w:szCs w:val="22"/>
        </w:rPr>
        <w:t>ατορβαστατίνης</w:t>
      </w:r>
      <w:proofErr w:type="spellEnd"/>
      <w:r w:rsidRPr="00075FBC">
        <w:rPr>
          <w:szCs w:val="22"/>
        </w:rPr>
        <w:t>.</w:t>
      </w:r>
    </w:p>
    <w:p w:rsidR="00075FBC" w:rsidRPr="00075FBC" w:rsidRDefault="00075FBC" w:rsidP="00075FBC">
      <w:pPr>
        <w:jc w:val="both"/>
        <w:rPr>
          <w:szCs w:val="22"/>
        </w:rPr>
      </w:pPr>
    </w:p>
    <w:p w:rsidR="00075FBC" w:rsidRPr="00075FBC" w:rsidRDefault="00075FBC" w:rsidP="00075FBC">
      <w:pPr>
        <w:jc w:val="both"/>
        <w:rPr>
          <w:szCs w:val="22"/>
        </w:rPr>
      </w:pPr>
    </w:p>
    <w:p w:rsidR="00075FBC" w:rsidRPr="00075FBC" w:rsidRDefault="00075FBC" w:rsidP="00075FBC">
      <w:pPr>
        <w:jc w:val="both"/>
        <w:rPr>
          <w:szCs w:val="22"/>
        </w:rPr>
      </w:pPr>
      <w:r w:rsidRPr="00075FBC">
        <w:rPr>
          <w:b/>
          <w:szCs w:val="22"/>
        </w:rPr>
        <w:t>5.</w:t>
      </w:r>
      <w:r w:rsidRPr="00075FBC">
        <w:rPr>
          <w:b/>
          <w:szCs w:val="22"/>
        </w:rPr>
        <w:tab/>
        <w:t>ΦΑΡΜΑΚΟΛΟΓΙΚΕΣ ΙΔΙΟΤΗΤΕΣ</w:t>
      </w:r>
    </w:p>
    <w:p w:rsidR="00075FBC" w:rsidRPr="00075FBC" w:rsidRDefault="00075FBC" w:rsidP="00075FBC">
      <w:pPr>
        <w:jc w:val="both"/>
        <w:rPr>
          <w:szCs w:val="22"/>
        </w:rPr>
      </w:pPr>
    </w:p>
    <w:p w:rsidR="00075FBC" w:rsidRPr="00075FBC" w:rsidRDefault="00075FBC" w:rsidP="00075FBC">
      <w:pPr>
        <w:jc w:val="both"/>
        <w:rPr>
          <w:szCs w:val="22"/>
        </w:rPr>
      </w:pPr>
      <w:r w:rsidRPr="00075FBC">
        <w:rPr>
          <w:b/>
          <w:szCs w:val="22"/>
        </w:rPr>
        <w:t>5.1</w:t>
      </w:r>
      <w:r w:rsidRPr="00075FBC">
        <w:rPr>
          <w:b/>
          <w:szCs w:val="22"/>
        </w:rPr>
        <w:tab/>
        <w:t>Φαρμακοδυναμικές ιδιότητες</w:t>
      </w:r>
    </w:p>
    <w:p w:rsidR="00075FBC" w:rsidRPr="00075FBC" w:rsidRDefault="00075FBC" w:rsidP="00075FBC">
      <w:pPr>
        <w:jc w:val="both"/>
        <w:rPr>
          <w:szCs w:val="22"/>
        </w:rPr>
      </w:pPr>
    </w:p>
    <w:p w:rsidR="00075FBC" w:rsidRPr="00075FBC" w:rsidRDefault="00075FBC" w:rsidP="00075FBC">
      <w:pPr>
        <w:jc w:val="both"/>
        <w:rPr>
          <w:szCs w:val="22"/>
        </w:rPr>
      </w:pPr>
      <w:proofErr w:type="spellStart"/>
      <w:r w:rsidRPr="00075FBC">
        <w:rPr>
          <w:szCs w:val="22"/>
        </w:rPr>
        <w:t>Φαρμακοθεραπευτική</w:t>
      </w:r>
      <w:proofErr w:type="spellEnd"/>
      <w:r w:rsidRPr="00075FBC">
        <w:rPr>
          <w:szCs w:val="22"/>
        </w:rPr>
        <w:t xml:space="preserve"> κατηγορία: Ρυθμιστικοί παράγοντες λιπιδίων, αναστολείς της HMG-</w:t>
      </w:r>
      <w:proofErr w:type="spellStart"/>
      <w:r w:rsidRPr="00075FBC">
        <w:rPr>
          <w:szCs w:val="22"/>
        </w:rPr>
        <w:t>CoA</w:t>
      </w:r>
      <w:proofErr w:type="spellEnd"/>
      <w:r w:rsidRPr="00075FBC">
        <w:rPr>
          <w:szCs w:val="22"/>
        </w:rPr>
        <w:t xml:space="preserve"> </w:t>
      </w:r>
      <w:proofErr w:type="spellStart"/>
      <w:r w:rsidRPr="00075FBC">
        <w:rPr>
          <w:szCs w:val="22"/>
        </w:rPr>
        <w:t>αναγωγάσης</w:t>
      </w:r>
      <w:proofErr w:type="spellEnd"/>
      <w:r w:rsidRPr="00075FBC">
        <w:rPr>
          <w:szCs w:val="22"/>
        </w:rPr>
        <w:t>, κωδικός ATC: C10AA05</w:t>
      </w:r>
    </w:p>
    <w:p w:rsidR="00075FBC" w:rsidRPr="00075FBC" w:rsidRDefault="00075FBC" w:rsidP="00075FBC">
      <w:pPr>
        <w:widowControl/>
        <w:jc w:val="both"/>
        <w:rPr>
          <w:szCs w:val="22"/>
        </w:rPr>
      </w:pPr>
    </w:p>
    <w:p w:rsidR="00075FBC" w:rsidRPr="00075FBC" w:rsidRDefault="00075FBC" w:rsidP="00075FBC">
      <w:pPr>
        <w:widowControl/>
        <w:jc w:val="both"/>
        <w:rPr>
          <w:szCs w:val="22"/>
        </w:rPr>
      </w:pPr>
      <w:r w:rsidRPr="00075FBC">
        <w:rPr>
          <w:szCs w:val="22"/>
        </w:rPr>
        <w:t xml:space="preserve">H </w:t>
      </w:r>
      <w:proofErr w:type="spellStart"/>
      <w:r w:rsidRPr="00075FBC">
        <w:rPr>
          <w:szCs w:val="22"/>
        </w:rPr>
        <w:t>ατορβαστατίνη</w:t>
      </w:r>
      <w:proofErr w:type="spellEnd"/>
      <w:r w:rsidRPr="00075FBC">
        <w:rPr>
          <w:szCs w:val="22"/>
        </w:rPr>
        <w:t xml:space="preserve"> είναι ένας εκλεκτικός, ανταγωνιστικός αναστολέας της HMG-</w:t>
      </w:r>
      <w:proofErr w:type="spellStart"/>
      <w:r w:rsidRPr="00075FBC">
        <w:rPr>
          <w:szCs w:val="22"/>
        </w:rPr>
        <w:t>CoA</w:t>
      </w:r>
      <w:proofErr w:type="spellEnd"/>
      <w:r w:rsidRPr="00075FBC">
        <w:rPr>
          <w:szCs w:val="22"/>
        </w:rPr>
        <w:t xml:space="preserve"> </w:t>
      </w:r>
      <w:proofErr w:type="spellStart"/>
      <w:r w:rsidRPr="00075FBC">
        <w:rPr>
          <w:szCs w:val="22"/>
        </w:rPr>
        <w:t>αναγωγάσης</w:t>
      </w:r>
      <w:proofErr w:type="spellEnd"/>
      <w:r w:rsidRPr="00075FBC">
        <w:rPr>
          <w:szCs w:val="22"/>
        </w:rPr>
        <w:t xml:space="preserve">, του ενζύμου που είναι υπεύθυνο για τη μετατροπή του 3-υδροξυ-3-μεθυλ-γλουταρυλ- συνενζύμου Α σε </w:t>
      </w:r>
      <w:proofErr w:type="spellStart"/>
      <w:r w:rsidRPr="00075FBC">
        <w:rPr>
          <w:szCs w:val="22"/>
        </w:rPr>
        <w:t>μεβαλονικό</w:t>
      </w:r>
      <w:proofErr w:type="spellEnd"/>
      <w:r w:rsidRPr="00075FBC">
        <w:rPr>
          <w:szCs w:val="22"/>
        </w:rPr>
        <w:t xml:space="preserve"> οξύ, πρόδρομη ουσία των </w:t>
      </w:r>
      <w:proofErr w:type="spellStart"/>
      <w:r w:rsidRPr="00075FBC">
        <w:rPr>
          <w:szCs w:val="22"/>
        </w:rPr>
        <w:t>στερολών</w:t>
      </w:r>
      <w:proofErr w:type="spellEnd"/>
      <w:r w:rsidRPr="00075FBC">
        <w:rPr>
          <w:szCs w:val="22"/>
        </w:rPr>
        <w:t xml:space="preserve">, συμπεριλαμβανόμενης και της χοληστερόλης. Τα </w:t>
      </w:r>
      <w:proofErr w:type="spellStart"/>
      <w:r w:rsidRPr="00075FBC">
        <w:rPr>
          <w:szCs w:val="22"/>
        </w:rPr>
        <w:t>τριγλυκερίδια</w:t>
      </w:r>
      <w:proofErr w:type="spellEnd"/>
      <w:r w:rsidRPr="00075FBC">
        <w:rPr>
          <w:szCs w:val="22"/>
        </w:rPr>
        <w:t xml:space="preserve"> και η χοληστερόλη στο ήπαρ ενσωματώνονται στις πολύ χαμηλής πυκνότητας </w:t>
      </w:r>
      <w:proofErr w:type="spellStart"/>
      <w:r w:rsidRPr="00075FBC">
        <w:rPr>
          <w:szCs w:val="22"/>
        </w:rPr>
        <w:t>λιποπρωτεΐνες</w:t>
      </w:r>
      <w:proofErr w:type="spellEnd"/>
      <w:r w:rsidRPr="00075FBC">
        <w:rPr>
          <w:szCs w:val="22"/>
        </w:rPr>
        <w:t xml:space="preserve"> (VLDL) και απελευθερώνονται στο πλάσμα, ώστε να μεταφερθούν στους περιφερικούς ιστούς. Η χαμηλής πυκνότητας </w:t>
      </w:r>
      <w:proofErr w:type="spellStart"/>
      <w:r w:rsidRPr="00075FBC">
        <w:rPr>
          <w:szCs w:val="22"/>
        </w:rPr>
        <w:t>λιποπρωτεΐνη</w:t>
      </w:r>
      <w:proofErr w:type="spellEnd"/>
      <w:r w:rsidRPr="00075FBC">
        <w:rPr>
          <w:szCs w:val="22"/>
        </w:rPr>
        <w:t xml:space="preserve"> (LDL) σχηματίζεται από τη VLDL και </w:t>
      </w:r>
      <w:proofErr w:type="spellStart"/>
      <w:r w:rsidRPr="00075FBC">
        <w:rPr>
          <w:szCs w:val="22"/>
        </w:rPr>
        <w:t>καταβολίζεται</w:t>
      </w:r>
      <w:proofErr w:type="spellEnd"/>
      <w:r w:rsidRPr="00075FBC">
        <w:rPr>
          <w:szCs w:val="22"/>
        </w:rPr>
        <w:t xml:space="preserve"> κυρίως μέσω υποδοχέων υψηλής χημικής συγγένειας προς τις LDL (LDL υποδοχείς).</w:t>
      </w:r>
    </w:p>
    <w:p w:rsidR="00075FBC" w:rsidRPr="00075FBC" w:rsidRDefault="00075FBC" w:rsidP="00075FBC">
      <w:pPr>
        <w:widowControl/>
        <w:jc w:val="both"/>
        <w:rPr>
          <w:szCs w:val="22"/>
        </w:rPr>
      </w:pPr>
    </w:p>
    <w:p w:rsidR="00075FBC" w:rsidRPr="00075FBC" w:rsidRDefault="00075FBC" w:rsidP="00075FBC">
      <w:pPr>
        <w:widowControl/>
        <w:jc w:val="both"/>
        <w:rPr>
          <w:szCs w:val="22"/>
        </w:rPr>
      </w:pPr>
      <w:r w:rsidRPr="00075FBC">
        <w:rPr>
          <w:szCs w:val="22"/>
        </w:rPr>
        <w:t xml:space="preserve">Η </w:t>
      </w:r>
      <w:proofErr w:type="spellStart"/>
      <w:r w:rsidRPr="00075FBC">
        <w:rPr>
          <w:szCs w:val="22"/>
        </w:rPr>
        <w:t>ατορβαστατίνη</w:t>
      </w:r>
      <w:proofErr w:type="spellEnd"/>
      <w:r w:rsidRPr="00075FBC">
        <w:rPr>
          <w:szCs w:val="22"/>
        </w:rPr>
        <w:t xml:space="preserve"> μειώνει τη χοληστερόλη και τα επίπεδα των </w:t>
      </w:r>
      <w:proofErr w:type="spellStart"/>
      <w:r w:rsidRPr="00075FBC">
        <w:rPr>
          <w:szCs w:val="22"/>
        </w:rPr>
        <w:t>λιποπρωτεϊνών</w:t>
      </w:r>
      <w:proofErr w:type="spellEnd"/>
      <w:r w:rsidRPr="00075FBC">
        <w:rPr>
          <w:szCs w:val="22"/>
        </w:rPr>
        <w:t xml:space="preserve"> στο πλάσμα αναστέλλοντας την HMG-</w:t>
      </w:r>
      <w:proofErr w:type="spellStart"/>
      <w:r w:rsidRPr="00075FBC">
        <w:rPr>
          <w:szCs w:val="22"/>
        </w:rPr>
        <w:t>CoA</w:t>
      </w:r>
      <w:proofErr w:type="spellEnd"/>
      <w:r w:rsidRPr="00075FBC">
        <w:rPr>
          <w:szCs w:val="22"/>
        </w:rPr>
        <w:t xml:space="preserve"> </w:t>
      </w:r>
      <w:proofErr w:type="spellStart"/>
      <w:r w:rsidRPr="00075FBC">
        <w:rPr>
          <w:szCs w:val="22"/>
        </w:rPr>
        <w:t>αναγωγάση</w:t>
      </w:r>
      <w:proofErr w:type="spellEnd"/>
      <w:r w:rsidRPr="00075FBC">
        <w:rPr>
          <w:szCs w:val="22"/>
        </w:rPr>
        <w:t xml:space="preserve"> και ακολούθως τη βιοσύνθεση της χοληστερόλης στο ήπαρ και αυξάνει τον αριθμό των LDL υποδοχέων στην επιφάνεια των ηπατικών κυττάρων, τα οποία προσλαμβάνουν και </w:t>
      </w:r>
      <w:proofErr w:type="spellStart"/>
      <w:r w:rsidRPr="00075FBC">
        <w:rPr>
          <w:szCs w:val="22"/>
        </w:rPr>
        <w:t>καταβολίζουν</w:t>
      </w:r>
      <w:proofErr w:type="spellEnd"/>
      <w:r w:rsidRPr="00075FBC">
        <w:rPr>
          <w:szCs w:val="22"/>
        </w:rPr>
        <w:t xml:space="preserve"> περισσότερο την LDL.</w:t>
      </w:r>
    </w:p>
    <w:p w:rsidR="00075FBC" w:rsidRPr="00075FBC" w:rsidRDefault="00075FBC" w:rsidP="00075FBC">
      <w:pPr>
        <w:widowControl/>
        <w:jc w:val="both"/>
        <w:rPr>
          <w:szCs w:val="22"/>
        </w:rPr>
      </w:pPr>
    </w:p>
    <w:p w:rsidR="00075FBC" w:rsidRPr="00075FBC" w:rsidRDefault="00075FBC" w:rsidP="00075FBC">
      <w:pPr>
        <w:widowControl/>
        <w:jc w:val="both"/>
        <w:rPr>
          <w:szCs w:val="22"/>
        </w:rPr>
      </w:pPr>
      <w:r w:rsidRPr="00075FBC">
        <w:rPr>
          <w:szCs w:val="22"/>
        </w:rPr>
        <w:t xml:space="preserve">Η </w:t>
      </w:r>
      <w:proofErr w:type="spellStart"/>
      <w:r w:rsidRPr="00075FBC">
        <w:rPr>
          <w:szCs w:val="22"/>
        </w:rPr>
        <w:t>ατορβαστατίνη</w:t>
      </w:r>
      <w:proofErr w:type="spellEnd"/>
      <w:r w:rsidRPr="00075FBC">
        <w:rPr>
          <w:szCs w:val="22"/>
        </w:rPr>
        <w:t xml:space="preserve"> ελαττώνει την παραγωγή LDL και τον αριθμό των σωματιδίων LDL. H </w:t>
      </w:r>
      <w:proofErr w:type="spellStart"/>
      <w:r w:rsidRPr="00075FBC">
        <w:rPr>
          <w:szCs w:val="22"/>
        </w:rPr>
        <w:t>ατορβαστατίνη</w:t>
      </w:r>
      <w:proofErr w:type="spellEnd"/>
      <w:r w:rsidRPr="00075FBC">
        <w:rPr>
          <w:szCs w:val="22"/>
        </w:rPr>
        <w:t xml:space="preserve"> προκαλεί έκδηλη και παρατεταμένη αύξηση της δραστικότητας των LDL υποδοχέων, σε συνδυασμό με μία ωφέλιμη μεταβολή της ποιότητας των κυκλοφορούντων σωματιδίων της LDL. Η </w:t>
      </w:r>
      <w:proofErr w:type="spellStart"/>
      <w:r w:rsidRPr="00075FBC">
        <w:rPr>
          <w:szCs w:val="22"/>
        </w:rPr>
        <w:t>ατορβαστατίνη</w:t>
      </w:r>
      <w:proofErr w:type="spellEnd"/>
      <w:r w:rsidRPr="00075FBC">
        <w:rPr>
          <w:szCs w:val="22"/>
        </w:rPr>
        <w:t xml:space="preserve"> ελαττώνει αποτελεσματικά την LDL-C σε ασθενείς με ομόζυγο </w:t>
      </w:r>
      <w:proofErr w:type="spellStart"/>
      <w:r w:rsidRPr="00075FBC">
        <w:rPr>
          <w:szCs w:val="22"/>
        </w:rPr>
        <w:t>οικογενή</w:t>
      </w:r>
      <w:proofErr w:type="spellEnd"/>
      <w:r w:rsidRPr="00075FBC">
        <w:rPr>
          <w:szCs w:val="22"/>
        </w:rPr>
        <w:t xml:space="preserve"> </w:t>
      </w:r>
      <w:proofErr w:type="spellStart"/>
      <w:r w:rsidRPr="00075FBC">
        <w:rPr>
          <w:szCs w:val="22"/>
        </w:rPr>
        <w:t>υπερχοληστεριναιμία</w:t>
      </w:r>
      <w:proofErr w:type="spellEnd"/>
      <w:r w:rsidRPr="00075FBC">
        <w:rPr>
          <w:szCs w:val="22"/>
        </w:rPr>
        <w:t xml:space="preserve">, μια  ομάδα  ασθενών που συνήθως δεν ανταποκρίνεται στα </w:t>
      </w:r>
      <w:proofErr w:type="spellStart"/>
      <w:r w:rsidRPr="00075FBC">
        <w:rPr>
          <w:szCs w:val="22"/>
        </w:rPr>
        <w:t>υπολιπιδαιμικά</w:t>
      </w:r>
      <w:proofErr w:type="spellEnd"/>
      <w:r w:rsidRPr="00075FBC">
        <w:rPr>
          <w:szCs w:val="22"/>
        </w:rPr>
        <w:t xml:space="preserve"> φαρμακευτικά προϊόντα.</w:t>
      </w:r>
    </w:p>
    <w:p w:rsidR="00075FBC" w:rsidRPr="00075FBC" w:rsidRDefault="00075FBC" w:rsidP="00075FBC">
      <w:pPr>
        <w:widowControl/>
        <w:jc w:val="both"/>
        <w:rPr>
          <w:szCs w:val="22"/>
        </w:rPr>
      </w:pPr>
    </w:p>
    <w:p w:rsidR="00075FBC" w:rsidRPr="00075FBC" w:rsidRDefault="00075FBC" w:rsidP="00075FBC">
      <w:pPr>
        <w:widowControl/>
        <w:jc w:val="both"/>
        <w:rPr>
          <w:szCs w:val="22"/>
        </w:rPr>
      </w:pPr>
      <w:r w:rsidRPr="00075FBC">
        <w:rPr>
          <w:szCs w:val="22"/>
        </w:rPr>
        <w:t xml:space="preserve">Η </w:t>
      </w:r>
      <w:proofErr w:type="spellStart"/>
      <w:r w:rsidRPr="00075FBC">
        <w:rPr>
          <w:szCs w:val="22"/>
        </w:rPr>
        <w:t>ατορβαστατίνη</w:t>
      </w:r>
      <w:proofErr w:type="spellEnd"/>
      <w:r w:rsidRPr="00075FBC">
        <w:rPr>
          <w:szCs w:val="22"/>
        </w:rPr>
        <w:t xml:space="preserve"> σε μία μελέτη δόσης-αποτελέσματος, αποδείχτηκε ότι ελαττώνει τη συγκέντρωση της ολικής-C (30% - 46%), της LDL-C (41% - 61%), της </w:t>
      </w:r>
      <w:proofErr w:type="spellStart"/>
      <w:r w:rsidRPr="00075FBC">
        <w:rPr>
          <w:szCs w:val="22"/>
        </w:rPr>
        <w:t>απολιποπρωτεΐνης</w:t>
      </w:r>
      <w:proofErr w:type="spellEnd"/>
      <w:r w:rsidRPr="00075FBC">
        <w:rPr>
          <w:szCs w:val="22"/>
        </w:rPr>
        <w:t xml:space="preserve"> Β (34% - 50%) και των </w:t>
      </w:r>
      <w:proofErr w:type="spellStart"/>
      <w:r w:rsidRPr="00075FBC">
        <w:rPr>
          <w:szCs w:val="22"/>
        </w:rPr>
        <w:t>τριγλυκεριδίων</w:t>
      </w:r>
      <w:proofErr w:type="spellEnd"/>
      <w:r w:rsidRPr="00075FBC">
        <w:rPr>
          <w:szCs w:val="22"/>
        </w:rPr>
        <w:t xml:space="preserve"> (14% - 33%), ενώ παράλληλα προκαλεί ποικίλες αυξήσεις των HDL-C και της </w:t>
      </w:r>
      <w:proofErr w:type="spellStart"/>
      <w:r w:rsidRPr="00075FBC">
        <w:rPr>
          <w:szCs w:val="22"/>
        </w:rPr>
        <w:t>απολιποπρωτεΐνης</w:t>
      </w:r>
      <w:proofErr w:type="spellEnd"/>
      <w:r w:rsidRPr="00075FBC">
        <w:rPr>
          <w:szCs w:val="22"/>
        </w:rPr>
        <w:t xml:space="preserve"> Α1. Τα αποτελέσματα αυτά είναι το ίδιο σταθερά σε ασθενείς με </w:t>
      </w:r>
      <w:proofErr w:type="spellStart"/>
      <w:r w:rsidRPr="00075FBC">
        <w:rPr>
          <w:szCs w:val="22"/>
        </w:rPr>
        <w:t>ετερόζυγο</w:t>
      </w:r>
      <w:proofErr w:type="spellEnd"/>
      <w:r w:rsidRPr="00075FBC">
        <w:rPr>
          <w:szCs w:val="22"/>
        </w:rPr>
        <w:t xml:space="preserve"> </w:t>
      </w:r>
      <w:proofErr w:type="spellStart"/>
      <w:r w:rsidRPr="00075FBC">
        <w:rPr>
          <w:szCs w:val="22"/>
        </w:rPr>
        <w:t>οικογενή</w:t>
      </w:r>
      <w:proofErr w:type="spellEnd"/>
      <w:r w:rsidRPr="00075FBC">
        <w:rPr>
          <w:szCs w:val="22"/>
        </w:rPr>
        <w:t xml:space="preserve"> </w:t>
      </w:r>
      <w:proofErr w:type="spellStart"/>
      <w:r w:rsidRPr="00075FBC">
        <w:rPr>
          <w:szCs w:val="22"/>
        </w:rPr>
        <w:t>υπερχοληστερολαιμία</w:t>
      </w:r>
      <w:proofErr w:type="spellEnd"/>
      <w:r w:rsidRPr="00075FBC">
        <w:rPr>
          <w:szCs w:val="22"/>
        </w:rPr>
        <w:t xml:space="preserve">, σε μη </w:t>
      </w:r>
      <w:proofErr w:type="spellStart"/>
      <w:r w:rsidRPr="00075FBC">
        <w:rPr>
          <w:szCs w:val="22"/>
        </w:rPr>
        <w:t>οικογενείς</w:t>
      </w:r>
      <w:proofErr w:type="spellEnd"/>
      <w:r w:rsidRPr="00075FBC">
        <w:rPr>
          <w:szCs w:val="22"/>
        </w:rPr>
        <w:t xml:space="preserve"> μορφές </w:t>
      </w:r>
      <w:proofErr w:type="spellStart"/>
      <w:r w:rsidRPr="00075FBC">
        <w:rPr>
          <w:szCs w:val="22"/>
        </w:rPr>
        <w:t>υπερχοληστερολαιμίας</w:t>
      </w:r>
      <w:proofErr w:type="spellEnd"/>
      <w:r w:rsidRPr="00075FBC">
        <w:rPr>
          <w:szCs w:val="22"/>
        </w:rPr>
        <w:t xml:space="preserve"> και σε μεικτή </w:t>
      </w:r>
      <w:proofErr w:type="spellStart"/>
      <w:r w:rsidRPr="00075FBC">
        <w:rPr>
          <w:szCs w:val="22"/>
        </w:rPr>
        <w:t>υπερλιπιδαιμία</w:t>
      </w:r>
      <w:proofErr w:type="spellEnd"/>
      <w:r w:rsidRPr="00075FBC">
        <w:rPr>
          <w:szCs w:val="22"/>
        </w:rPr>
        <w:t xml:space="preserve">, συμπεριλαμβανόμενων και των ασθενών με μη </w:t>
      </w:r>
      <w:proofErr w:type="spellStart"/>
      <w:r w:rsidRPr="00075FBC">
        <w:rPr>
          <w:szCs w:val="22"/>
        </w:rPr>
        <w:t>ινσουλινοεξαρτώμενο</w:t>
      </w:r>
      <w:proofErr w:type="spellEnd"/>
      <w:r w:rsidRPr="00075FBC">
        <w:rPr>
          <w:szCs w:val="22"/>
        </w:rPr>
        <w:t xml:space="preserve"> σακχαρώδη διαβήτη.</w:t>
      </w:r>
    </w:p>
    <w:p w:rsidR="00075FBC" w:rsidRPr="00075FBC" w:rsidRDefault="00075FBC" w:rsidP="00075FBC">
      <w:pPr>
        <w:widowControl/>
        <w:jc w:val="both"/>
        <w:rPr>
          <w:szCs w:val="22"/>
        </w:rPr>
      </w:pPr>
    </w:p>
    <w:p w:rsidR="00075FBC" w:rsidRPr="00075FBC" w:rsidRDefault="00075FBC" w:rsidP="00075FBC">
      <w:pPr>
        <w:widowControl/>
        <w:jc w:val="both"/>
        <w:rPr>
          <w:szCs w:val="22"/>
        </w:rPr>
      </w:pPr>
      <w:r w:rsidRPr="00075FBC">
        <w:rPr>
          <w:szCs w:val="22"/>
        </w:rPr>
        <w:t xml:space="preserve">Έχει διαπιστωθεί ότι η ελάττωση των τιμών της ολικής χοληστερόλης, της LDL-C και της </w:t>
      </w:r>
      <w:proofErr w:type="spellStart"/>
      <w:r w:rsidRPr="00075FBC">
        <w:rPr>
          <w:szCs w:val="22"/>
        </w:rPr>
        <w:t>απολιποπρωτεΐνης</w:t>
      </w:r>
      <w:proofErr w:type="spellEnd"/>
      <w:r w:rsidRPr="00075FBC">
        <w:rPr>
          <w:szCs w:val="22"/>
        </w:rPr>
        <w:t xml:space="preserve"> Β μειώνει τον κίνδυνο των καρδιαγγειακών επεισοδίων και τη θνησιμότητα εξ αυτών. </w:t>
      </w:r>
    </w:p>
    <w:p w:rsidR="00075FBC" w:rsidRPr="00075FBC" w:rsidRDefault="00075FBC" w:rsidP="00075FBC">
      <w:pPr>
        <w:widowControl/>
        <w:jc w:val="both"/>
        <w:rPr>
          <w:szCs w:val="22"/>
          <w:u w:val="single"/>
        </w:rPr>
      </w:pPr>
    </w:p>
    <w:p w:rsidR="00075FBC" w:rsidRPr="00075FBC" w:rsidRDefault="00075FBC" w:rsidP="00075FBC">
      <w:pPr>
        <w:widowControl/>
        <w:spacing w:after="120"/>
        <w:jc w:val="both"/>
        <w:rPr>
          <w:szCs w:val="22"/>
          <w:u w:val="single"/>
        </w:rPr>
      </w:pPr>
      <w:r w:rsidRPr="00075FBC">
        <w:rPr>
          <w:szCs w:val="22"/>
          <w:u w:val="single"/>
        </w:rPr>
        <w:t xml:space="preserve">Ομόζυγος </w:t>
      </w:r>
      <w:proofErr w:type="spellStart"/>
      <w:r w:rsidRPr="00075FBC">
        <w:rPr>
          <w:szCs w:val="22"/>
          <w:u w:val="single"/>
        </w:rPr>
        <w:t>οικογενής</w:t>
      </w:r>
      <w:proofErr w:type="spellEnd"/>
      <w:r w:rsidRPr="00075FBC">
        <w:rPr>
          <w:szCs w:val="22"/>
          <w:u w:val="single"/>
        </w:rPr>
        <w:t xml:space="preserve"> </w:t>
      </w:r>
      <w:proofErr w:type="spellStart"/>
      <w:r w:rsidRPr="00075FBC">
        <w:rPr>
          <w:szCs w:val="22"/>
          <w:u w:val="single"/>
        </w:rPr>
        <w:t>υπερχοληστερολαιμία</w:t>
      </w:r>
      <w:proofErr w:type="spellEnd"/>
    </w:p>
    <w:p w:rsidR="00075FBC" w:rsidRPr="00075FBC" w:rsidRDefault="00075FBC" w:rsidP="00075FBC">
      <w:pPr>
        <w:widowControl/>
        <w:jc w:val="both"/>
        <w:rPr>
          <w:szCs w:val="22"/>
        </w:rPr>
      </w:pPr>
      <w:r w:rsidRPr="00075FBC">
        <w:rPr>
          <w:szCs w:val="22"/>
        </w:rPr>
        <w:lastRenderedPageBreak/>
        <w:t xml:space="preserve">Σε μια πολυκεντρική, ανοικτής επισήμανσης μελέτη παρηγορητικής θεραπείας διάρκειας 8 εβδομάδων, με μια προαιρετική φάση επέκτασης μεταβλητής διάρκειας, έλαβαν μέρος 355 ασθενείς, 89 εκ των οποίων ήταν εξακριβωμένο ότι ήταν ασθενείς με ομόζυγο </w:t>
      </w:r>
      <w:proofErr w:type="spellStart"/>
      <w:r w:rsidRPr="00075FBC">
        <w:rPr>
          <w:szCs w:val="22"/>
        </w:rPr>
        <w:t>οικογενή</w:t>
      </w:r>
      <w:proofErr w:type="spellEnd"/>
      <w:r w:rsidRPr="00075FBC">
        <w:rPr>
          <w:szCs w:val="22"/>
        </w:rPr>
        <w:t xml:space="preserve"> </w:t>
      </w:r>
      <w:proofErr w:type="spellStart"/>
      <w:r w:rsidRPr="00075FBC">
        <w:rPr>
          <w:szCs w:val="22"/>
        </w:rPr>
        <w:t>υπερχοληστερολαιμία</w:t>
      </w:r>
      <w:proofErr w:type="spellEnd"/>
      <w:r w:rsidRPr="00075FBC">
        <w:rPr>
          <w:szCs w:val="22"/>
        </w:rPr>
        <w:t>. Από αυτούς τους 89 ασθενείς, το μέσο ποσοστό μείωσης της</w:t>
      </w:r>
      <w:r w:rsidRPr="00075FBC">
        <w:rPr>
          <w:color w:val="000000"/>
          <w:szCs w:val="22"/>
        </w:rPr>
        <w:t xml:space="preserve"> LDL-C ήταν περίπου 20%. Η </w:t>
      </w:r>
      <w:proofErr w:type="spellStart"/>
      <w:r w:rsidRPr="00075FBC">
        <w:rPr>
          <w:color w:val="000000"/>
          <w:szCs w:val="22"/>
        </w:rPr>
        <w:t>ατορβαστατίνη</w:t>
      </w:r>
      <w:proofErr w:type="spellEnd"/>
      <w:r w:rsidRPr="00075FBC">
        <w:rPr>
          <w:color w:val="000000"/>
          <w:szCs w:val="22"/>
        </w:rPr>
        <w:t xml:space="preserve"> χορηγήθηκε σε δόσεις </w:t>
      </w:r>
      <w:proofErr w:type="spellStart"/>
      <w:r w:rsidRPr="00075FBC">
        <w:rPr>
          <w:color w:val="000000"/>
          <w:szCs w:val="22"/>
        </w:rPr>
        <w:t>εως</w:t>
      </w:r>
      <w:proofErr w:type="spellEnd"/>
      <w:r w:rsidRPr="00075FBC">
        <w:rPr>
          <w:color w:val="000000"/>
          <w:szCs w:val="22"/>
        </w:rPr>
        <w:t xml:space="preserve"> και 80 </w:t>
      </w:r>
      <w:proofErr w:type="spellStart"/>
      <w:r w:rsidRPr="00075FBC">
        <w:rPr>
          <w:color w:val="000000"/>
          <w:szCs w:val="22"/>
        </w:rPr>
        <w:t>mg</w:t>
      </w:r>
      <w:proofErr w:type="spellEnd"/>
      <w:r w:rsidRPr="00075FBC">
        <w:rPr>
          <w:color w:val="000000"/>
          <w:szCs w:val="22"/>
        </w:rPr>
        <w:t>/ημέρα.</w:t>
      </w:r>
    </w:p>
    <w:p w:rsidR="00075FBC" w:rsidRPr="00075FBC" w:rsidRDefault="00075FBC" w:rsidP="00075FBC">
      <w:pPr>
        <w:widowControl/>
        <w:jc w:val="both"/>
        <w:rPr>
          <w:szCs w:val="22"/>
        </w:rPr>
      </w:pPr>
    </w:p>
    <w:p w:rsidR="00075FBC" w:rsidRPr="00075FBC" w:rsidRDefault="00075FBC" w:rsidP="00075FBC">
      <w:pPr>
        <w:widowControl/>
        <w:spacing w:after="120"/>
        <w:jc w:val="both"/>
        <w:rPr>
          <w:szCs w:val="22"/>
          <w:u w:val="single"/>
        </w:rPr>
      </w:pPr>
      <w:proofErr w:type="spellStart"/>
      <w:r w:rsidRPr="00075FBC">
        <w:rPr>
          <w:szCs w:val="22"/>
          <w:u w:val="single"/>
        </w:rPr>
        <w:t>Αθηροσκλήρυνση</w:t>
      </w:r>
      <w:proofErr w:type="spellEnd"/>
    </w:p>
    <w:p w:rsidR="00075FBC" w:rsidRPr="00075FBC" w:rsidRDefault="00075FBC" w:rsidP="00075FBC">
      <w:pPr>
        <w:jc w:val="both"/>
        <w:rPr>
          <w:szCs w:val="22"/>
        </w:rPr>
      </w:pPr>
      <w:r w:rsidRPr="00075FBC">
        <w:rPr>
          <w:szCs w:val="22"/>
        </w:rPr>
        <w:t>Στη μελέτη «</w:t>
      </w:r>
      <w:proofErr w:type="spellStart"/>
      <w:r w:rsidRPr="00075FBC">
        <w:rPr>
          <w:szCs w:val="22"/>
        </w:rPr>
        <w:t>Reversing</w:t>
      </w:r>
      <w:proofErr w:type="spellEnd"/>
      <w:r w:rsidRPr="00075FBC">
        <w:rPr>
          <w:szCs w:val="22"/>
        </w:rPr>
        <w:t xml:space="preserve"> </w:t>
      </w:r>
      <w:proofErr w:type="spellStart"/>
      <w:r w:rsidRPr="00075FBC">
        <w:rPr>
          <w:szCs w:val="22"/>
        </w:rPr>
        <w:t>Atherosclerosis</w:t>
      </w:r>
      <w:proofErr w:type="spellEnd"/>
      <w:r w:rsidRPr="00075FBC">
        <w:rPr>
          <w:szCs w:val="22"/>
        </w:rPr>
        <w:t xml:space="preserve"> </w:t>
      </w:r>
      <w:proofErr w:type="spellStart"/>
      <w:r w:rsidRPr="00075FBC">
        <w:rPr>
          <w:szCs w:val="22"/>
        </w:rPr>
        <w:t>with</w:t>
      </w:r>
      <w:proofErr w:type="spellEnd"/>
      <w:r w:rsidRPr="00075FBC">
        <w:rPr>
          <w:szCs w:val="22"/>
        </w:rPr>
        <w:t xml:space="preserve"> </w:t>
      </w:r>
      <w:proofErr w:type="spellStart"/>
      <w:r w:rsidRPr="00075FBC">
        <w:rPr>
          <w:szCs w:val="22"/>
        </w:rPr>
        <w:t>Aggressive</w:t>
      </w:r>
      <w:proofErr w:type="spellEnd"/>
      <w:r w:rsidRPr="00075FBC">
        <w:rPr>
          <w:szCs w:val="22"/>
        </w:rPr>
        <w:t xml:space="preserve"> </w:t>
      </w:r>
      <w:proofErr w:type="spellStart"/>
      <w:r w:rsidRPr="00075FBC">
        <w:rPr>
          <w:szCs w:val="22"/>
        </w:rPr>
        <w:t>Lipid</w:t>
      </w:r>
      <w:proofErr w:type="spellEnd"/>
      <w:r w:rsidRPr="00075FBC">
        <w:rPr>
          <w:szCs w:val="22"/>
        </w:rPr>
        <w:t>-</w:t>
      </w:r>
      <w:proofErr w:type="spellStart"/>
      <w:r w:rsidRPr="00075FBC">
        <w:rPr>
          <w:szCs w:val="22"/>
        </w:rPr>
        <w:t>Lowering</w:t>
      </w:r>
      <w:proofErr w:type="spellEnd"/>
      <w:r w:rsidRPr="00075FBC">
        <w:rPr>
          <w:szCs w:val="22"/>
        </w:rPr>
        <w:t xml:space="preserve">» (REVERSAL), αξιολογήθηκε με </w:t>
      </w:r>
      <w:proofErr w:type="spellStart"/>
      <w:r w:rsidRPr="00075FBC">
        <w:rPr>
          <w:szCs w:val="22"/>
        </w:rPr>
        <w:t>ενδαγγειακό</w:t>
      </w:r>
      <w:proofErr w:type="spellEnd"/>
      <w:r w:rsidRPr="00075FBC">
        <w:rPr>
          <w:szCs w:val="22"/>
        </w:rPr>
        <w:t xml:space="preserve"> υπερηχογράφημα (IVUS), κατά την διάρκεια </w:t>
      </w:r>
      <w:proofErr w:type="spellStart"/>
      <w:r w:rsidRPr="00075FBC">
        <w:rPr>
          <w:szCs w:val="22"/>
        </w:rPr>
        <w:t>στεφανιογραφίας</w:t>
      </w:r>
      <w:proofErr w:type="spellEnd"/>
      <w:r w:rsidRPr="00075FBC">
        <w:rPr>
          <w:szCs w:val="22"/>
        </w:rPr>
        <w:t xml:space="preserve">, η επίδραση επιθετικής </w:t>
      </w:r>
      <w:proofErr w:type="spellStart"/>
      <w:r w:rsidRPr="00075FBC">
        <w:rPr>
          <w:szCs w:val="22"/>
        </w:rPr>
        <w:t>υπολιπιδαιμικής</w:t>
      </w:r>
      <w:proofErr w:type="spellEnd"/>
      <w:r w:rsidRPr="00075FBC">
        <w:rPr>
          <w:szCs w:val="22"/>
        </w:rPr>
        <w:t xml:space="preserve"> αγωγής με </w:t>
      </w:r>
      <w:proofErr w:type="spellStart"/>
      <w:r w:rsidRPr="00075FBC">
        <w:rPr>
          <w:szCs w:val="22"/>
        </w:rPr>
        <w:t>ατορβαστατίνη</w:t>
      </w:r>
      <w:proofErr w:type="spellEnd"/>
      <w:r w:rsidRPr="00075FBC">
        <w:rPr>
          <w:szCs w:val="22"/>
        </w:rPr>
        <w:t xml:space="preserve"> 80</w:t>
      </w:r>
      <w:r w:rsidRPr="00075FBC">
        <w:t> </w:t>
      </w:r>
      <w:proofErr w:type="spellStart"/>
      <w:r w:rsidRPr="00075FBC">
        <w:rPr>
          <w:szCs w:val="22"/>
        </w:rPr>
        <w:t>mg</w:t>
      </w:r>
      <w:proofErr w:type="spellEnd"/>
      <w:r w:rsidRPr="00075FBC">
        <w:rPr>
          <w:szCs w:val="22"/>
        </w:rPr>
        <w:t xml:space="preserve"> και συνήθους </w:t>
      </w:r>
      <w:proofErr w:type="spellStart"/>
      <w:r w:rsidRPr="00075FBC">
        <w:rPr>
          <w:szCs w:val="22"/>
        </w:rPr>
        <w:t>υπολιπιδαιμικής</w:t>
      </w:r>
      <w:proofErr w:type="spellEnd"/>
      <w:r w:rsidRPr="00075FBC">
        <w:rPr>
          <w:szCs w:val="22"/>
        </w:rPr>
        <w:t xml:space="preserve"> αγωγής με </w:t>
      </w:r>
      <w:proofErr w:type="spellStart"/>
      <w:r w:rsidRPr="00075FBC">
        <w:rPr>
          <w:szCs w:val="22"/>
        </w:rPr>
        <w:t>πραβαστατίνη</w:t>
      </w:r>
      <w:proofErr w:type="spellEnd"/>
      <w:r w:rsidRPr="00075FBC">
        <w:rPr>
          <w:szCs w:val="22"/>
        </w:rPr>
        <w:t xml:space="preserve"> 40 </w:t>
      </w:r>
      <w:proofErr w:type="spellStart"/>
      <w:r w:rsidRPr="00075FBC">
        <w:rPr>
          <w:szCs w:val="22"/>
        </w:rPr>
        <w:t>mg</w:t>
      </w:r>
      <w:proofErr w:type="spellEnd"/>
      <w:r w:rsidRPr="00075FBC">
        <w:rPr>
          <w:szCs w:val="22"/>
        </w:rPr>
        <w:t xml:space="preserve"> στην στεφανιαία </w:t>
      </w:r>
      <w:proofErr w:type="spellStart"/>
      <w:r w:rsidRPr="00075FBC">
        <w:rPr>
          <w:szCs w:val="22"/>
        </w:rPr>
        <w:t>αθηροσκλήρυνση</w:t>
      </w:r>
      <w:proofErr w:type="spellEnd"/>
      <w:r w:rsidRPr="00075FBC">
        <w:rPr>
          <w:szCs w:val="22"/>
        </w:rPr>
        <w:t xml:space="preserve">, σε ασθενείς με στεφανιαία νόσο. Σε αυτή την τυχαιοποιημένη, διπλά-τυφλή, πολυκεντρική, ελεγχόμενη κλινική μελέτη, το IVUS πραγματοποιήθηκε στην αρχική επίσκεψη και στους 18 μήνες, σε 502 ασθενείς. Στην ομάδα ασθενών που λάμβαναν </w:t>
      </w:r>
      <w:proofErr w:type="spellStart"/>
      <w:r w:rsidRPr="00075FBC">
        <w:rPr>
          <w:szCs w:val="22"/>
        </w:rPr>
        <w:t>ατορβαστατίνη</w:t>
      </w:r>
      <w:proofErr w:type="spellEnd"/>
      <w:r w:rsidRPr="00075FBC">
        <w:rPr>
          <w:szCs w:val="22"/>
        </w:rPr>
        <w:t xml:space="preserve"> (n=253), δεν εξελίχθηκε η </w:t>
      </w:r>
      <w:proofErr w:type="spellStart"/>
      <w:r w:rsidRPr="00075FBC">
        <w:rPr>
          <w:szCs w:val="22"/>
        </w:rPr>
        <w:t>αθηροσκλήρυνση</w:t>
      </w:r>
      <w:proofErr w:type="spellEnd"/>
      <w:r w:rsidRPr="00075FBC">
        <w:rPr>
          <w:szCs w:val="22"/>
        </w:rPr>
        <w:t xml:space="preserve">. </w:t>
      </w:r>
    </w:p>
    <w:p w:rsidR="00075FBC" w:rsidRPr="00075FBC" w:rsidRDefault="00075FBC" w:rsidP="00075FBC">
      <w:pPr>
        <w:jc w:val="both"/>
        <w:rPr>
          <w:szCs w:val="22"/>
        </w:rPr>
      </w:pPr>
    </w:p>
    <w:p w:rsidR="00075FBC" w:rsidRPr="00075FBC" w:rsidRDefault="00075FBC" w:rsidP="00075FBC">
      <w:pPr>
        <w:jc w:val="both"/>
        <w:rPr>
          <w:szCs w:val="22"/>
        </w:rPr>
      </w:pPr>
      <w:r w:rsidRPr="00075FBC">
        <w:rPr>
          <w:szCs w:val="22"/>
        </w:rPr>
        <w:t xml:space="preserve">Η μέση επί τοις εκατό μεταβολή, από την αρχική επίσκεψη, στο συνολικό </w:t>
      </w:r>
      <w:proofErr w:type="spellStart"/>
      <w:r w:rsidRPr="00075FBC">
        <w:rPr>
          <w:szCs w:val="22"/>
        </w:rPr>
        <w:t>αθηρωματικό</w:t>
      </w:r>
      <w:proofErr w:type="spellEnd"/>
      <w:r w:rsidRPr="00075FBC">
        <w:rPr>
          <w:szCs w:val="22"/>
        </w:rPr>
        <w:t xml:space="preserve"> όγκο (το πρωτεύον τελικό σημείο της μελέτης) ήταν – 0,4% (p=0,98) για την ομάδα ασθενών που λάμβαναν </w:t>
      </w:r>
      <w:proofErr w:type="spellStart"/>
      <w:r w:rsidRPr="00075FBC">
        <w:rPr>
          <w:szCs w:val="22"/>
        </w:rPr>
        <w:t>ατορβαστατίνη</w:t>
      </w:r>
      <w:proofErr w:type="spellEnd"/>
      <w:r w:rsidRPr="00075FBC">
        <w:rPr>
          <w:szCs w:val="22"/>
        </w:rPr>
        <w:t xml:space="preserve"> και + 2,7% (p=0,001) για την ομάδα ασθενών που λάμβαναν </w:t>
      </w:r>
      <w:proofErr w:type="spellStart"/>
      <w:r w:rsidRPr="00075FBC">
        <w:rPr>
          <w:szCs w:val="22"/>
        </w:rPr>
        <w:t>πραβαστατίνη</w:t>
      </w:r>
      <w:proofErr w:type="spellEnd"/>
      <w:r w:rsidRPr="00075FBC">
        <w:rPr>
          <w:szCs w:val="22"/>
        </w:rPr>
        <w:t xml:space="preserve"> (n=249). Συγκρινόμενη με την </w:t>
      </w:r>
      <w:proofErr w:type="spellStart"/>
      <w:r w:rsidRPr="00075FBC">
        <w:rPr>
          <w:szCs w:val="22"/>
        </w:rPr>
        <w:t>πραβαστατίνη</w:t>
      </w:r>
      <w:proofErr w:type="spellEnd"/>
      <w:r w:rsidRPr="00075FBC">
        <w:rPr>
          <w:szCs w:val="22"/>
        </w:rPr>
        <w:t xml:space="preserve">, τα αποτελέσματα της </w:t>
      </w:r>
      <w:proofErr w:type="spellStart"/>
      <w:r w:rsidRPr="00075FBC">
        <w:rPr>
          <w:szCs w:val="22"/>
        </w:rPr>
        <w:t>ατορβαστατίνης</w:t>
      </w:r>
      <w:proofErr w:type="spellEnd"/>
      <w:r w:rsidRPr="00075FBC">
        <w:rPr>
          <w:szCs w:val="22"/>
        </w:rPr>
        <w:t xml:space="preserve"> ήταν στατιστικώς σημαντικά (p=0,02). Το αποτέλεσμα της επιθετικής </w:t>
      </w:r>
      <w:proofErr w:type="spellStart"/>
      <w:r w:rsidRPr="00075FBC">
        <w:rPr>
          <w:szCs w:val="22"/>
        </w:rPr>
        <w:t>υπολιπιδαιμικής</w:t>
      </w:r>
      <w:proofErr w:type="spellEnd"/>
      <w:r w:rsidRPr="00075FBC">
        <w:rPr>
          <w:szCs w:val="22"/>
        </w:rPr>
        <w:t xml:space="preserve"> αγωγής σε καρδιαγγειακά τελικά σημεία (π.χ. ανάγκη για </w:t>
      </w:r>
      <w:proofErr w:type="spellStart"/>
      <w:r w:rsidRPr="00075FBC">
        <w:rPr>
          <w:szCs w:val="22"/>
        </w:rPr>
        <w:t>επαναγγείωση</w:t>
      </w:r>
      <w:proofErr w:type="spellEnd"/>
      <w:r w:rsidRPr="00075FBC">
        <w:rPr>
          <w:szCs w:val="22"/>
        </w:rPr>
        <w:t xml:space="preserve">, μη θανατηφόρο έμφραγμα του μυοκαρδίου, θάνατος στεφανιαίας αιτιολογίας) δεν εξετάσθηκε σε αυτή την μελέτη. </w:t>
      </w:r>
    </w:p>
    <w:p w:rsidR="00075FBC" w:rsidRPr="00075FBC" w:rsidRDefault="00075FBC" w:rsidP="00075FBC">
      <w:pPr>
        <w:jc w:val="both"/>
        <w:rPr>
          <w:szCs w:val="22"/>
        </w:rPr>
      </w:pPr>
    </w:p>
    <w:p w:rsidR="00075FBC" w:rsidRPr="00075FBC" w:rsidRDefault="00075FBC" w:rsidP="00075FBC">
      <w:pPr>
        <w:widowControl/>
        <w:jc w:val="both"/>
        <w:rPr>
          <w:szCs w:val="22"/>
        </w:rPr>
      </w:pPr>
      <w:r w:rsidRPr="00075FBC">
        <w:rPr>
          <w:szCs w:val="22"/>
        </w:rPr>
        <w:t xml:space="preserve">Στην ομάδα ασθενών που λάμβαναν </w:t>
      </w:r>
      <w:proofErr w:type="spellStart"/>
      <w:r w:rsidRPr="00075FBC">
        <w:rPr>
          <w:szCs w:val="22"/>
        </w:rPr>
        <w:t>ατορβαστατίνη</w:t>
      </w:r>
      <w:proofErr w:type="spellEnd"/>
      <w:r w:rsidRPr="00075FBC">
        <w:rPr>
          <w:szCs w:val="22"/>
        </w:rPr>
        <w:t xml:space="preserve">, η LDL-C ελαττώθηκε έως τη μέση τιμή των 2,04 </w:t>
      </w:r>
      <w:proofErr w:type="spellStart"/>
      <w:r w:rsidRPr="00075FBC">
        <w:rPr>
          <w:szCs w:val="22"/>
        </w:rPr>
        <w:t>mmol</w:t>
      </w:r>
      <w:proofErr w:type="spellEnd"/>
      <w:r w:rsidRPr="00075FBC">
        <w:rPr>
          <w:szCs w:val="22"/>
        </w:rPr>
        <w:t xml:space="preserve">/l ± 0,8 (78,9 </w:t>
      </w:r>
      <w:proofErr w:type="spellStart"/>
      <w:r w:rsidRPr="00075FBC">
        <w:rPr>
          <w:szCs w:val="22"/>
        </w:rPr>
        <w:t>mg</w:t>
      </w:r>
      <w:proofErr w:type="spellEnd"/>
      <w:r w:rsidRPr="00075FBC">
        <w:rPr>
          <w:szCs w:val="22"/>
        </w:rPr>
        <w:t>/</w:t>
      </w:r>
      <w:proofErr w:type="spellStart"/>
      <w:r w:rsidRPr="00075FBC">
        <w:rPr>
          <w:szCs w:val="22"/>
        </w:rPr>
        <w:t>dl</w:t>
      </w:r>
      <w:proofErr w:type="spellEnd"/>
      <w:r w:rsidRPr="00075FBC">
        <w:rPr>
          <w:szCs w:val="22"/>
        </w:rPr>
        <w:t xml:space="preserve"> ± 30) από την αρχική τιμή των 3,89 </w:t>
      </w:r>
      <w:proofErr w:type="spellStart"/>
      <w:r w:rsidRPr="00075FBC">
        <w:rPr>
          <w:szCs w:val="22"/>
        </w:rPr>
        <w:t>mmol</w:t>
      </w:r>
      <w:proofErr w:type="spellEnd"/>
      <w:r w:rsidRPr="00075FBC">
        <w:rPr>
          <w:szCs w:val="22"/>
        </w:rPr>
        <w:t xml:space="preserve">/l ± 0,7 (150 </w:t>
      </w:r>
      <w:proofErr w:type="spellStart"/>
      <w:r w:rsidRPr="00075FBC">
        <w:rPr>
          <w:szCs w:val="22"/>
        </w:rPr>
        <w:t>mg</w:t>
      </w:r>
      <w:proofErr w:type="spellEnd"/>
      <w:r w:rsidRPr="00075FBC">
        <w:rPr>
          <w:szCs w:val="22"/>
        </w:rPr>
        <w:t>/</w:t>
      </w:r>
      <w:proofErr w:type="spellStart"/>
      <w:r w:rsidRPr="00075FBC">
        <w:rPr>
          <w:szCs w:val="22"/>
        </w:rPr>
        <w:t>dl</w:t>
      </w:r>
      <w:proofErr w:type="spellEnd"/>
      <w:r w:rsidRPr="00075FBC">
        <w:rPr>
          <w:szCs w:val="22"/>
        </w:rPr>
        <w:t xml:space="preserve"> ± 28) και στην ομάδα ασθενών που λάμβαναν </w:t>
      </w:r>
      <w:proofErr w:type="spellStart"/>
      <w:r w:rsidRPr="00075FBC">
        <w:rPr>
          <w:szCs w:val="22"/>
        </w:rPr>
        <w:t>πραβαστατίνη</w:t>
      </w:r>
      <w:proofErr w:type="spellEnd"/>
      <w:r w:rsidRPr="00075FBC">
        <w:rPr>
          <w:szCs w:val="22"/>
        </w:rPr>
        <w:t xml:space="preserve"> η LDL-C ελαττώθηκε έως τη μέση τιμή των 2,85 </w:t>
      </w:r>
      <w:proofErr w:type="spellStart"/>
      <w:r w:rsidRPr="00075FBC">
        <w:rPr>
          <w:szCs w:val="22"/>
        </w:rPr>
        <w:t>mmol</w:t>
      </w:r>
      <w:proofErr w:type="spellEnd"/>
      <w:r w:rsidRPr="00075FBC">
        <w:rPr>
          <w:szCs w:val="22"/>
        </w:rPr>
        <w:t xml:space="preserve">/l ± 0,7 (110 </w:t>
      </w:r>
      <w:proofErr w:type="spellStart"/>
      <w:r w:rsidRPr="00075FBC">
        <w:rPr>
          <w:szCs w:val="22"/>
        </w:rPr>
        <w:t>mg</w:t>
      </w:r>
      <w:proofErr w:type="spellEnd"/>
      <w:r w:rsidRPr="00075FBC">
        <w:rPr>
          <w:szCs w:val="22"/>
        </w:rPr>
        <w:t>/</w:t>
      </w:r>
      <w:proofErr w:type="spellStart"/>
      <w:r w:rsidRPr="00075FBC">
        <w:rPr>
          <w:szCs w:val="22"/>
        </w:rPr>
        <w:t>dl</w:t>
      </w:r>
      <w:proofErr w:type="spellEnd"/>
      <w:r w:rsidRPr="00075FBC">
        <w:rPr>
          <w:szCs w:val="22"/>
        </w:rPr>
        <w:t xml:space="preserve"> ± 26) από την αρχική τιμή των 3,89 </w:t>
      </w:r>
      <w:proofErr w:type="spellStart"/>
      <w:r w:rsidRPr="00075FBC">
        <w:rPr>
          <w:szCs w:val="22"/>
        </w:rPr>
        <w:t>mmol</w:t>
      </w:r>
      <w:proofErr w:type="spellEnd"/>
      <w:r w:rsidRPr="00075FBC">
        <w:rPr>
          <w:szCs w:val="22"/>
        </w:rPr>
        <w:t xml:space="preserve">/l ± 0,7 (150 </w:t>
      </w:r>
      <w:proofErr w:type="spellStart"/>
      <w:r w:rsidRPr="00075FBC">
        <w:rPr>
          <w:szCs w:val="22"/>
        </w:rPr>
        <w:t>mg</w:t>
      </w:r>
      <w:proofErr w:type="spellEnd"/>
      <w:r w:rsidRPr="00075FBC">
        <w:rPr>
          <w:szCs w:val="22"/>
        </w:rPr>
        <w:t>/</w:t>
      </w:r>
      <w:proofErr w:type="spellStart"/>
      <w:r w:rsidRPr="00075FBC">
        <w:rPr>
          <w:szCs w:val="22"/>
        </w:rPr>
        <w:t>dl</w:t>
      </w:r>
      <w:proofErr w:type="spellEnd"/>
      <w:r w:rsidRPr="00075FBC">
        <w:rPr>
          <w:szCs w:val="22"/>
        </w:rPr>
        <w:t xml:space="preserve"> ± 26) (p&lt;0,0001). Η </w:t>
      </w:r>
      <w:proofErr w:type="spellStart"/>
      <w:r w:rsidRPr="00075FBC">
        <w:rPr>
          <w:szCs w:val="22"/>
        </w:rPr>
        <w:t>ατορβαστατίνη</w:t>
      </w:r>
      <w:proofErr w:type="spellEnd"/>
      <w:r w:rsidRPr="00075FBC">
        <w:rPr>
          <w:szCs w:val="22"/>
        </w:rPr>
        <w:t xml:space="preserve"> επίσης ελάττωσε σημαντικά τη μέση τιμή της ολικής χοληστερόλης κατά 34,1% (</w:t>
      </w:r>
      <w:proofErr w:type="spellStart"/>
      <w:r w:rsidRPr="00075FBC">
        <w:rPr>
          <w:szCs w:val="22"/>
        </w:rPr>
        <w:t>πραβαστατίνη</w:t>
      </w:r>
      <w:proofErr w:type="spellEnd"/>
      <w:r w:rsidRPr="00075FBC">
        <w:rPr>
          <w:szCs w:val="22"/>
        </w:rPr>
        <w:t xml:space="preserve">: -18,4%, p&lt;0,0001), τη μέση τιμή των επιπέδων των </w:t>
      </w:r>
      <w:proofErr w:type="spellStart"/>
      <w:r w:rsidRPr="00075FBC">
        <w:rPr>
          <w:szCs w:val="22"/>
        </w:rPr>
        <w:t>τριγλυκεριδίων</w:t>
      </w:r>
      <w:proofErr w:type="spellEnd"/>
      <w:r w:rsidRPr="00075FBC">
        <w:rPr>
          <w:szCs w:val="22"/>
        </w:rPr>
        <w:t xml:space="preserve"> κατά 20% (</w:t>
      </w:r>
      <w:proofErr w:type="spellStart"/>
      <w:r w:rsidRPr="00075FBC">
        <w:rPr>
          <w:szCs w:val="22"/>
        </w:rPr>
        <w:t>πραβαστατίνη</w:t>
      </w:r>
      <w:proofErr w:type="spellEnd"/>
      <w:r w:rsidRPr="00075FBC">
        <w:rPr>
          <w:szCs w:val="22"/>
        </w:rPr>
        <w:t xml:space="preserve">: -6,8%, p&lt;0,0009) και τη μέση τιμή της </w:t>
      </w:r>
      <w:proofErr w:type="spellStart"/>
      <w:r w:rsidRPr="00075FBC">
        <w:rPr>
          <w:szCs w:val="22"/>
        </w:rPr>
        <w:t>απολιποπρωτεΐνης</w:t>
      </w:r>
      <w:proofErr w:type="spellEnd"/>
      <w:r w:rsidRPr="00075FBC">
        <w:rPr>
          <w:szCs w:val="22"/>
        </w:rPr>
        <w:t xml:space="preserve"> Β κατά 39,1%  (</w:t>
      </w:r>
      <w:proofErr w:type="spellStart"/>
      <w:r w:rsidRPr="00075FBC">
        <w:rPr>
          <w:szCs w:val="22"/>
        </w:rPr>
        <w:t>πραβαστατίνη</w:t>
      </w:r>
      <w:proofErr w:type="spellEnd"/>
      <w:r w:rsidRPr="00075FBC">
        <w:rPr>
          <w:szCs w:val="22"/>
        </w:rPr>
        <w:t xml:space="preserve">: -22,0%, p&lt;0,0001). Η </w:t>
      </w:r>
      <w:proofErr w:type="spellStart"/>
      <w:r w:rsidRPr="00075FBC">
        <w:rPr>
          <w:szCs w:val="22"/>
        </w:rPr>
        <w:t>ατορβαστατίνη</w:t>
      </w:r>
      <w:proofErr w:type="spellEnd"/>
      <w:r w:rsidRPr="00075FBC">
        <w:rPr>
          <w:szCs w:val="22"/>
        </w:rPr>
        <w:t xml:space="preserve"> αύξησε  τη μέση τιμή της HDL-C κατά 2,9% (</w:t>
      </w:r>
      <w:proofErr w:type="spellStart"/>
      <w:r w:rsidRPr="00075FBC">
        <w:rPr>
          <w:szCs w:val="22"/>
        </w:rPr>
        <w:t>πραβαστατίνη</w:t>
      </w:r>
      <w:proofErr w:type="spellEnd"/>
      <w:r w:rsidRPr="00075FBC">
        <w:rPr>
          <w:szCs w:val="22"/>
        </w:rPr>
        <w:t xml:space="preserve">: +5,6%, </w:t>
      </w:r>
      <w:proofErr w:type="spellStart"/>
      <w:r w:rsidRPr="00075FBC">
        <w:rPr>
          <w:szCs w:val="22"/>
        </w:rPr>
        <w:t>p=μη</w:t>
      </w:r>
      <w:proofErr w:type="spellEnd"/>
      <w:r w:rsidRPr="00075FBC">
        <w:rPr>
          <w:szCs w:val="22"/>
        </w:rPr>
        <w:t xml:space="preserve"> σημαντικό). Υπήρξε μια μέση μείωση της C-Αντιδρώσας Πρωτεΐνης (CRP), κατά 36,4% στην ομάδα ασθενών που λάμβαναν </w:t>
      </w:r>
      <w:proofErr w:type="spellStart"/>
      <w:r w:rsidRPr="00075FBC">
        <w:rPr>
          <w:szCs w:val="22"/>
        </w:rPr>
        <w:t>ατορβαστατίνη</w:t>
      </w:r>
      <w:proofErr w:type="spellEnd"/>
      <w:r w:rsidRPr="00075FBC">
        <w:rPr>
          <w:szCs w:val="22"/>
        </w:rPr>
        <w:t xml:space="preserve">, σε σύγκριση με τη μείωση κατά 5,2% στην ομάδα ασθενών που λάμβαναν </w:t>
      </w:r>
      <w:proofErr w:type="spellStart"/>
      <w:r w:rsidRPr="00075FBC">
        <w:rPr>
          <w:szCs w:val="22"/>
        </w:rPr>
        <w:t>πραβαστατίνη</w:t>
      </w:r>
      <w:proofErr w:type="spellEnd"/>
      <w:r w:rsidRPr="00075FBC">
        <w:rPr>
          <w:szCs w:val="22"/>
        </w:rPr>
        <w:t xml:space="preserve"> (p&lt;0,0001).</w:t>
      </w:r>
    </w:p>
    <w:p w:rsidR="00075FBC" w:rsidRPr="00075FBC" w:rsidRDefault="00075FBC" w:rsidP="00075FBC">
      <w:pPr>
        <w:widowControl/>
        <w:jc w:val="both"/>
        <w:rPr>
          <w:szCs w:val="22"/>
        </w:rPr>
      </w:pPr>
    </w:p>
    <w:p w:rsidR="00075FBC" w:rsidRPr="00075FBC" w:rsidRDefault="00075FBC" w:rsidP="00075FBC">
      <w:pPr>
        <w:widowControl/>
        <w:jc w:val="both"/>
        <w:rPr>
          <w:szCs w:val="22"/>
        </w:rPr>
      </w:pPr>
      <w:r w:rsidRPr="00075FBC">
        <w:rPr>
          <w:szCs w:val="22"/>
        </w:rPr>
        <w:t>Τα αποτελέσματα της μελέτης επιτεύχθηκαν με την δοσολογία των 80 </w:t>
      </w:r>
      <w:proofErr w:type="spellStart"/>
      <w:r w:rsidRPr="00075FBC">
        <w:rPr>
          <w:szCs w:val="22"/>
        </w:rPr>
        <w:t>mg</w:t>
      </w:r>
      <w:proofErr w:type="spellEnd"/>
      <w:r w:rsidRPr="00075FBC">
        <w:rPr>
          <w:szCs w:val="22"/>
        </w:rPr>
        <w:t xml:space="preserve">. Ως εκ τούτου, δεν μπορούν να επεκταθούν σε χαμηλότερες δόσεις. </w:t>
      </w:r>
    </w:p>
    <w:p w:rsidR="00075FBC" w:rsidRPr="00075FBC" w:rsidRDefault="00075FBC" w:rsidP="00075FBC">
      <w:pPr>
        <w:widowControl/>
        <w:jc w:val="both"/>
        <w:rPr>
          <w:szCs w:val="22"/>
        </w:rPr>
      </w:pPr>
    </w:p>
    <w:p w:rsidR="00075FBC" w:rsidRPr="00075FBC" w:rsidRDefault="00075FBC" w:rsidP="00075FBC">
      <w:pPr>
        <w:widowControl/>
        <w:jc w:val="both"/>
        <w:rPr>
          <w:szCs w:val="22"/>
        </w:rPr>
      </w:pPr>
      <w:r w:rsidRPr="00075FBC">
        <w:rPr>
          <w:szCs w:val="22"/>
        </w:rPr>
        <w:t>Τα προφίλ ασφαλείας και ανεκτικότητας των δύο θεραπευτικών ομάδων ήταν συγκρίσιμα.</w:t>
      </w:r>
    </w:p>
    <w:p w:rsidR="00075FBC" w:rsidRPr="00075FBC" w:rsidRDefault="00075FBC" w:rsidP="00075FBC">
      <w:pPr>
        <w:widowControl/>
        <w:ind w:left="-142"/>
        <w:jc w:val="both"/>
        <w:rPr>
          <w:szCs w:val="22"/>
          <w:u w:val="single"/>
        </w:rPr>
      </w:pPr>
    </w:p>
    <w:p w:rsidR="00075FBC" w:rsidRPr="00075FBC" w:rsidRDefault="00075FBC" w:rsidP="00075FBC">
      <w:pPr>
        <w:widowControl/>
        <w:jc w:val="both"/>
        <w:rPr>
          <w:szCs w:val="22"/>
          <w:u w:val="single"/>
        </w:rPr>
      </w:pPr>
      <w:r w:rsidRPr="00075FBC">
        <w:rPr>
          <w:szCs w:val="22"/>
        </w:rPr>
        <w:t xml:space="preserve">Η επίδραση επιθετικής </w:t>
      </w:r>
      <w:proofErr w:type="spellStart"/>
      <w:r w:rsidRPr="00075FBC">
        <w:rPr>
          <w:szCs w:val="22"/>
        </w:rPr>
        <w:t>υπολιπιδαιμικής</w:t>
      </w:r>
      <w:proofErr w:type="spellEnd"/>
      <w:r w:rsidRPr="00075FBC">
        <w:rPr>
          <w:szCs w:val="22"/>
        </w:rPr>
        <w:t xml:space="preserve"> αγωγής σε μείζονα καρδιαγγειακά τελικά σημεία δεν εξετάσθηκε σε αυτή τη μελέτη. Ως εκ τούτου, η κλινική σημασία αυτών των αποτελεσμάτων απεικόνισης σχετικά με την πρωτογενή και δευτερογενή πρόληψη καρδιαγγειακών </w:t>
      </w:r>
      <w:proofErr w:type="spellStart"/>
      <w:r w:rsidRPr="00075FBC">
        <w:rPr>
          <w:szCs w:val="22"/>
        </w:rPr>
        <w:t>συμβαμάτων</w:t>
      </w:r>
      <w:proofErr w:type="spellEnd"/>
      <w:r w:rsidRPr="00075FBC">
        <w:rPr>
          <w:szCs w:val="22"/>
        </w:rPr>
        <w:t xml:space="preserve"> δεν είναι γνωστή.</w:t>
      </w:r>
    </w:p>
    <w:p w:rsidR="00075FBC" w:rsidRPr="00075FBC" w:rsidRDefault="00075FBC" w:rsidP="00075FBC">
      <w:pPr>
        <w:widowControl/>
        <w:ind w:left="-142"/>
        <w:jc w:val="both"/>
        <w:rPr>
          <w:szCs w:val="22"/>
          <w:u w:val="single"/>
        </w:rPr>
      </w:pPr>
    </w:p>
    <w:p w:rsidR="00075FBC" w:rsidRPr="00075FBC" w:rsidRDefault="00075FBC" w:rsidP="00075FBC">
      <w:pPr>
        <w:autoSpaceDE w:val="0"/>
        <w:autoSpaceDN w:val="0"/>
        <w:adjustRightInd w:val="0"/>
        <w:spacing w:after="120"/>
        <w:jc w:val="both"/>
        <w:rPr>
          <w:color w:val="000000"/>
          <w:szCs w:val="22"/>
          <w:vertAlign w:val="superscript"/>
        </w:rPr>
      </w:pPr>
      <w:r w:rsidRPr="00075FBC">
        <w:rPr>
          <w:color w:val="000000"/>
          <w:szCs w:val="22"/>
          <w:u w:val="single"/>
        </w:rPr>
        <w:t>Οξύ στεφανιαίο σύνδρομο</w:t>
      </w:r>
      <w:r w:rsidRPr="00075FBC">
        <w:rPr>
          <w:color w:val="000000"/>
          <w:szCs w:val="22"/>
        </w:rPr>
        <w:t xml:space="preserve"> </w:t>
      </w:r>
    </w:p>
    <w:p w:rsidR="00075FBC" w:rsidRPr="00075FBC" w:rsidRDefault="00075FBC" w:rsidP="00075FBC">
      <w:pPr>
        <w:autoSpaceDE w:val="0"/>
        <w:autoSpaceDN w:val="0"/>
        <w:adjustRightInd w:val="0"/>
        <w:jc w:val="both"/>
        <w:rPr>
          <w:color w:val="000000"/>
          <w:szCs w:val="22"/>
        </w:rPr>
      </w:pPr>
      <w:r w:rsidRPr="00075FBC">
        <w:rPr>
          <w:color w:val="000000"/>
          <w:szCs w:val="22"/>
        </w:rPr>
        <w:t xml:space="preserve">Στη μελέτη MIRACL, η </w:t>
      </w:r>
      <w:proofErr w:type="spellStart"/>
      <w:r w:rsidRPr="00075FBC">
        <w:rPr>
          <w:color w:val="000000"/>
          <w:szCs w:val="22"/>
        </w:rPr>
        <w:t>ατορβαστατίνη</w:t>
      </w:r>
      <w:proofErr w:type="spellEnd"/>
      <w:r w:rsidRPr="00075FBC">
        <w:rPr>
          <w:color w:val="000000"/>
          <w:szCs w:val="22"/>
        </w:rPr>
        <w:t xml:space="preserve"> 80 </w:t>
      </w:r>
      <w:proofErr w:type="spellStart"/>
      <w:r w:rsidRPr="00075FBC">
        <w:rPr>
          <w:color w:val="000000"/>
          <w:szCs w:val="22"/>
        </w:rPr>
        <w:t>mg</w:t>
      </w:r>
      <w:proofErr w:type="spellEnd"/>
      <w:r w:rsidRPr="00075FBC">
        <w:rPr>
          <w:color w:val="000000"/>
          <w:szCs w:val="22"/>
        </w:rPr>
        <w:t xml:space="preserve"> έχει αξιολογηθεί σε 3.086 ασθενείς (</w:t>
      </w:r>
      <w:proofErr w:type="spellStart"/>
      <w:r w:rsidRPr="00075FBC">
        <w:rPr>
          <w:color w:val="000000"/>
          <w:szCs w:val="22"/>
        </w:rPr>
        <w:t>ατορβαστατίνη</w:t>
      </w:r>
      <w:proofErr w:type="spellEnd"/>
      <w:r w:rsidRPr="00075FBC">
        <w:rPr>
          <w:color w:val="000000"/>
          <w:szCs w:val="22"/>
        </w:rPr>
        <w:t xml:space="preserve"> n=1.538, εικονικό φάρμακο n=1.548), με οξύ στεφανιαίο σύνδρομο (έμφραγμα του μυοκαρδίου χωρίς κύμα Q ή ασταθής στηθάγχη). Η θ</w:t>
      </w:r>
      <w:r w:rsidRPr="00075FBC">
        <w:rPr>
          <w:szCs w:val="22"/>
        </w:rPr>
        <w:t>εραπεία</w:t>
      </w:r>
      <w:r w:rsidRPr="00075FBC">
        <w:rPr>
          <w:color w:val="000000"/>
          <w:szCs w:val="22"/>
        </w:rPr>
        <w:t xml:space="preserve"> άρχισε κατά τη διάρκεια της οξείας φάσης μετά από την εισαγωγή σε νοσοκομείο και διάρκεσε για μια περίοδο 16 εβδομάδων. Η θ</w:t>
      </w:r>
      <w:r w:rsidRPr="00075FBC">
        <w:rPr>
          <w:szCs w:val="22"/>
        </w:rPr>
        <w:t>εραπεία</w:t>
      </w:r>
      <w:r w:rsidRPr="00075FBC">
        <w:rPr>
          <w:color w:val="000000"/>
          <w:szCs w:val="22"/>
        </w:rPr>
        <w:t xml:space="preserve"> με </w:t>
      </w:r>
      <w:proofErr w:type="spellStart"/>
      <w:r w:rsidRPr="00075FBC">
        <w:rPr>
          <w:color w:val="000000"/>
          <w:szCs w:val="22"/>
        </w:rPr>
        <w:t>ατορβαστατίνη</w:t>
      </w:r>
      <w:proofErr w:type="spellEnd"/>
      <w:r w:rsidRPr="00075FBC">
        <w:rPr>
          <w:color w:val="000000"/>
          <w:szCs w:val="22"/>
        </w:rPr>
        <w:t xml:space="preserve"> 80 </w:t>
      </w:r>
      <w:proofErr w:type="spellStart"/>
      <w:r w:rsidRPr="00075FBC">
        <w:rPr>
          <w:color w:val="000000"/>
          <w:szCs w:val="22"/>
        </w:rPr>
        <w:t>mg</w:t>
      </w:r>
      <w:proofErr w:type="spellEnd"/>
      <w:r w:rsidRPr="00075FBC">
        <w:rPr>
          <w:color w:val="000000"/>
          <w:szCs w:val="22"/>
        </w:rPr>
        <w:t xml:space="preserve">/ημέρα αύξησε τον χρόνο </w:t>
      </w:r>
      <w:r w:rsidRPr="00075FBC">
        <w:rPr>
          <w:color w:val="000000"/>
          <w:szCs w:val="22"/>
        </w:rPr>
        <w:lastRenderedPageBreak/>
        <w:t xml:space="preserve">εμφάνισης του συνδυασμένου πρωτεύοντος </w:t>
      </w:r>
      <w:r w:rsidRPr="00075FBC">
        <w:rPr>
          <w:szCs w:val="22"/>
        </w:rPr>
        <w:t>τελικού σημείου</w:t>
      </w:r>
      <w:r w:rsidRPr="00075FBC">
        <w:rPr>
          <w:color w:val="000000"/>
          <w:szCs w:val="22"/>
        </w:rPr>
        <w:t xml:space="preserve">, που ορίστηκε ως ο θάνατος από οποιαδήποτε αιτία, μη θανατηφόρο έμφραγμα του μυοκαρδίου, καρδιακή ανακοπή με ανάνηψη ή στηθάγχη με αντικειμενικά στοιχεία ισχαιμίας του μυοκαρδίου που απαιτεί την εισαγωγή σε νοσοκομείο, υποδεικνύοντας μία μείωση κινδύνου κατά 16% (p =0,048). Αυτό οφειλόταν κυρίως στη μείωση κατά 26% της </w:t>
      </w:r>
      <w:proofErr w:type="spellStart"/>
      <w:r w:rsidRPr="00075FBC">
        <w:rPr>
          <w:color w:val="000000"/>
          <w:szCs w:val="22"/>
        </w:rPr>
        <w:t>επανα</w:t>
      </w:r>
      <w:proofErr w:type="spellEnd"/>
      <w:r w:rsidRPr="00075FBC">
        <w:rPr>
          <w:color w:val="000000"/>
          <w:szCs w:val="22"/>
        </w:rPr>
        <w:t xml:space="preserve">-εισαγωγής στο νοσοκομείο για στηθάγχη με αντικειμενικά στοιχεία ισχαιμίας του μυοκαρδίου. Τα άλλα δευτερεύοντα τελικά σημεία δεν ήταν στατιστικά σημαντικά  από μόνα τους, (συνολικά: εικονικό φάρμακο: 22,2%, </w:t>
      </w:r>
      <w:proofErr w:type="spellStart"/>
      <w:r w:rsidRPr="00075FBC">
        <w:rPr>
          <w:color w:val="000000"/>
          <w:szCs w:val="22"/>
        </w:rPr>
        <w:t>ατορβαστατίνη</w:t>
      </w:r>
      <w:proofErr w:type="spellEnd"/>
      <w:r w:rsidRPr="00075FBC">
        <w:rPr>
          <w:color w:val="000000"/>
          <w:szCs w:val="22"/>
        </w:rPr>
        <w:t>: 22,4%).</w:t>
      </w:r>
    </w:p>
    <w:p w:rsidR="00075FBC" w:rsidRPr="00075FBC" w:rsidRDefault="00075FBC" w:rsidP="00075FBC">
      <w:pPr>
        <w:autoSpaceDE w:val="0"/>
        <w:autoSpaceDN w:val="0"/>
        <w:adjustRightInd w:val="0"/>
        <w:jc w:val="both"/>
        <w:rPr>
          <w:szCs w:val="22"/>
        </w:rPr>
      </w:pPr>
    </w:p>
    <w:p w:rsidR="00075FBC" w:rsidRPr="00075FBC" w:rsidRDefault="00075FBC" w:rsidP="00075FBC">
      <w:pPr>
        <w:autoSpaceDE w:val="0"/>
        <w:autoSpaceDN w:val="0"/>
        <w:adjustRightInd w:val="0"/>
        <w:jc w:val="both"/>
        <w:rPr>
          <w:color w:val="000000"/>
          <w:szCs w:val="22"/>
        </w:rPr>
      </w:pPr>
      <w:r w:rsidRPr="00075FBC">
        <w:rPr>
          <w:color w:val="000000"/>
          <w:szCs w:val="22"/>
        </w:rPr>
        <w:t xml:space="preserve">Το προφίλ ασφάλειας της </w:t>
      </w:r>
      <w:proofErr w:type="spellStart"/>
      <w:r w:rsidRPr="00075FBC">
        <w:rPr>
          <w:color w:val="000000"/>
          <w:szCs w:val="22"/>
        </w:rPr>
        <w:t>ατορβαστατίνης</w:t>
      </w:r>
      <w:proofErr w:type="spellEnd"/>
      <w:r w:rsidRPr="00075FBC">
        <w:rPr>
          <w:color w:val="000000"/>
          <w:szCs w:val="22"/>
        </w:rPr>
        <w:t xml:space="preserve"> στη μελέτη MIRACL ήταν σύμφωνο με αυτό που περιγράφεται στην παράγραφο 4.8.</w:t>
      </w:r>
    </w:p>
    <w:p w:rsidR="00075FBC" w:rsidRPr="00075FBC" w:rsidRDefault="00075FBC" w:rsidP="00075FBC">
      <w:pPr>
        <w:widowControl/>
        <w:ind w:left="-142"/>
        <w:jc w:val="both"/>
        <w:rPr>
          <w:szCs w:val="22"/>
          <w:u w:val="single"/>
        </w:rPr>
      </w:pPr>
    </w:p>
    <w:p w:rsidR="00075FBC" w:rsidRPr="00075FBC" w:rsidRDefault="00075FBC" w:rsidP="00075FBC">
      <w:pPr>
        <w:widowControl/>
        <w:spacing w:after="120"/>
        <w:jc w:val="both"/>
        <w:rPr>
          <w:szCs w:val="22"/>
          <w:u w:val="single"/>
        </w:rPr>
      </w:pPr>
      <w:r w:rsidRPr="00075FBC">
        <w:rPr>
          <w:szCs w:val="22"/>
          <w:u w:val="single"/>
        </w:rPr>
        <w:t>Πρόληψη Καρδιαγγειακής Νόσου</w:t>
      </w:r>
    </w:p>
    <w:p w:rsidR="00075FBC" w:rsidRPr="00075FBC" w:rsidRDefault="00075FBC" w:rsidP="00075FBC">
      <w:pPr>
        <w:jc w:val="both"/>
        <w:rPr>
          <w:iCs/>
          <w:szCs w:val="22"/>
        </w:rPr>
      </w:pPr>
      <w:r w:rsidRPr="00075FBC">
        <w:rPr>
          <w:szCs w:val="22"/>
        </w:rPr>
        <w:t xml:space="preserve">Η επίδραση της </w:t>
      </w:r>
      <w:proofErr w:type="spellStart"/>
      <w:r w:rsidRPr="00075FBC">
        <w:rPr>
          <w:szCs w:val="22"/>
        </w:rPr>
        <w:t>ατορβαστατίνης</w:t>
      </w:r>
      <w:proofErr w:type="spellEnd"/>
      <w:r w:rsidRPr="00075FBC">
        <w:rPr>
          <w:szCs w:val="22"/>
        </w:rPr>
        <w:t xml:space="preserve"> στη θανατηφόρο και μη στεφανιαία νόσο (ΣΝ), αξιολογήθηκε στην τυχαιοποιημένη, διπλά τυφλή, ελεγχόμενη με εικονικό φάρμακο μελέτη </w:t>
      </w:r>
      <w:proofErr w:type="spellStart"/>
      <w:r w:rsidRPr="00075FBC">
        <w:rPr>
          <w:szCs w:val="22"/>
        </w:rPr>
        <w:t>Anglo</w:t>
      </w:r>
      <w:proofErr w:type="spellEnd"/>
      <w:r w:rsidRPr="00075FBC">
        <w:rPr>
          <w:szCs w:val="22"/>
        </w:rPr>
        <w:t>-</w:t>
      </w:r>
      <w:proofErr w:type="spellStart"/>
      <w:r w:rsidRPr="00075FBC">
        <w:rPr>
          <w:szCs w:val="22"/>
        </w:rPr>
        <w:t>Scandinavian</w:t>
      </w:r>
      <w:proofErr w:type="spellEnd"/>
      <w:r w:rsidRPr="00075FBC">
        <w:rPr>
          <w:szCs w:val="22"/>
        </w:rPr>
        <w:t xml:space="preserve"> </w:t>
      </w:r>
      <w:proofErr w:type="spellStart"/>
      <w:r w:rsidRPr="00075FBC">
        <w:rPr>
          <w:szCs w:val="22"/>
        </w:rPr>
        <w:t>Cardiac</w:t>
      </w:r>
      <w:proofErr w:type="spellEnd"/>
      <w:r w:rsidRPr="00075FBC">
        <w:rPr>
          <w:szCs w:val="22"/>
        </w:rPr>
        <w:t xml:space="preserve"> </w:t>
      </w:r>
      <w:proofErr w:type="spellStart"/>
      <w:r w:rsidRPr="00075FBC">
        <w:rPr>
          <w:szCs w:val="22"/>
        </w:rPr>
        <w:t>Outcomes</w:t>
      </w:r>
      <w:proofErr w:type="spellEnd"/>
      <w:r w:rsidRPr="00075FBC">
        <w:rPr>
          <w:szCs w:val="22"/>
        </w:rPr>
        <w:t xml:space="preserve"> </w:t>
      </w:r>
      <w:proofErr w:type="spellStart"/>
      <w:r w:rsidRPr="00075FBC">
        <w:rPr>
          <w:szCs w:val="22"/>
        </w:rPr>
        <w:t>Trial</w:t>
      </w:r>
      <w:proofErr w:type="spellEnd"/>
      <w:r w:rsidRPr="00075FBC">
        <w:rPr>
          <w:szCs w:val="22"/>
        </w:rPr>
        <w:t xml:space="preserve"> </w:t>
      </w:r>
      <w:proofErr w:type="spellStart"/>
      <w:r w:rsidRPr="00075FBC">
        <w:rPr>
          <w:szCs w:val="22"/>
        </w:rPr>
        <w:t>Lipid</w:t>
      </w:r>
      <w:proofErr w:type="spellEnd"/>
      <w:r w:rsidRPr="00075FBC">
        <w:rPr>
          <w:szCs w:val="22"/>
        </w:rPr>
        <w:t xml:space="preserve"> </w:t>
      </w:r>
      <w:proofErr w:type="spellStart"/>
      <w:r w:rsidRPr="00075FBC">
        <w:rPr>
          <w:szCs w:val="22"/>
        </w:rPr>
        <w:t>lowering</w:t>
      </w:r>
      <w:proofErr w:type="spellEnd"/>
      <w:r w:rsidRPr="00075FBC">
        <w:rPr>
          <w:szCs w:val="22"/>
        </w:rPr>
        <w:t xml:space="preserve"> </w:t>
      </w:r>
      <w:proofErr w:type="spellStart"/>
      <w:r w:rsidRPr="00075FBC">
        <w:rPr>
          <w:szCs w:val="22"/>
        </w:rPr>
        <w:t>arm</w:t>
      </w:r>
      <w:proofErr w:type="spellEnd"/>
      <w:r w:rsidRPr="00075FBC">
        <w:rPr>
          <w:szCs w:val="22"/>
        </w:rPr>
        <w:t xml:space="preserve"> (ASCOT-LLA). Οι ασθενείς ήταν υπερτασικοί ηλικίας 40-79 ετών, χωρίς προηγούμενο ιστορικό εμφράγματος του μυοκαρδίου ή  θεραπεία για στηθάγχη και με επίπεδα ολικής χοληστερόλης (ΤC) ≤ 6,5 </w:t>
      </w:r>
      <w:proofErr w:type="spellStart"/>
      <w:r w:rsidRPr="00075FBC">
        <w:rPr>
          <w:szCs w:val="22"/>
        </w:rPr>
        <w:t>mmol</w:t>
      </w:r>
      <w:proofErr w:type="spellEnd"/>
      <w:r w:rsidRPr="00075FBC">
        <w:rPr>
          <w:szCs w:val="22"/>
        </w:rPr>
        <w:t xml:space="preserve">/l (251 </w:t>
      </w:r>
      <w:proofErr w:type="spellStart"/>
      <w:r w:rsidRPr="00075FBC">
        <w:rPr>
          <w:szCs w:val="22"/>
        </w:rPr>
        <w:t>mg</w:t>
      </w:r>
      <w:proofErr w:type="spellEnd"/>
      <w:r w:rsidRPr="00075FBC">
        <w:rPr>
          <w:szCs w:val="22"/>
        </w:rPr>
        <w:t>/</w:t>
      </w:r>
      <w:proofErr w:type="spellStart"/>
      <w:r w:rsidRPr="00075FBC">
        <w:rPr>
          <w:szCs w:val="22"/>
        </w:rPr>
        <w:t>dl</w:t>
      </w:r>
      <w:proofErr w:type="spellEnd"/>
      <w:r w:rsidRPr="00075FBC">
        <w:rPr>
          <w:szCs w:val="22"/>
        </w:rPr>
        <w:t xml:space="preserve">). </w:t>
      </w:r>
      <w:proofErr w:type="spellStart"/>
      <w:r w:rsidRPr="00075FBC">
        <w:rPr>
          <w:szCs w:val="22"/>
        </w:rPr>
        <w:t>Ολοι</w:t>
      </w:r>
      <w:proofErr w:type="spellEnd"/>
      <w:r w:rsidRPr="00075FBC">
        <w:rPr>
          <w:szCs w:val="22"/>
        </w:rPr>
        <w:t xml:space="preserve"> οι ασθενείς είχαν τουλάχιστον τρεις από τους εξής προκαθορισμένους καρδιαγγειακούς παράγοντες κίνδυνου: ανδρικό φύλο, ηλικία ≥ 55 ετών, κάπνισμα, σακχαρώδης διαβήτης, ιστορικό στεφανιαίας νόσου σε συγγενή πρώτου βαθμού, TC:HDL ≥ 6, περιφερική αγγειακή νόσος, υπερτροφία της αριστερής κοιλίας, προηγούμενο ιστορικό  αγγειακού εγκεφαλικού επεισοδίου, ειδική </w:t>
      </w:r>
      <w:proofErr w:type="spellStart"/>
      <w:r w:rsidRPr="00075FBC">
        <w:rPr>
          <w:szCs w:val="22"/>
        </w:rPr>
        <w:t>ηλεκτροκαρδιογραφική</w:t>
      </w:r>
      <w:proofErr w:type="spellEnd"/>
      <w:r w:rsidRPr="00075FBC">
        <w:rPr>
          <w:szCs w:val="22"/>
        </w:rPr>
        <w:t xml:space="preserve"> ανωμαλία, </w:t>
      </w:r>
      <w:proofErr w:type="spellStart"/>
      <w:r w:rsidRPr="00075FBC">
        <w:rPr>
          <w:szCs w:val="22"/>
        </w:rPr>
        <w:t>πρωτεϊνουρία</w:t>
      </w:r>
      <w:proofErr w:type="spellEnd"/>
      <w:r w:rsidRPr="00075FBC">
        <w:rPr>
          <w:szCs w:val="22"/>
        </w:rPr>
        <w:t>/</w:t>
      </w:r>
      <w:proofErr w:type="spellStart"/>
      <w:r w:rsidRPr="00075FBC">
        <w:rPr>
          <w:szCs w:val="22"/>
        </w:rPr>
        <w:t>αλβουμινουρία</w:t>
      </w:r>
      <w:proofErr w:type="spellEnd"/>
      <w:r w:rsidRPr="00075FBC">
        <w:rPr>
          <w:szCs w:val="22"/>
        </w:rPr>
        <w:t>.</w:t>
      </w:r>
      <w:r w:rsidRPr="00075FBC">
        <w:rPr>
          <w:i/>
          <w:iCs/>
          <w:szCs w:val="22"/>
        </w:rPr>
        <w:t xml:space="preserve"> </w:t>
      </w:r>
      <w:r w:rsidRPr="00075FBC">
        <w:rPr>
          <w:iCs/>
          <w:szCs w:val="22"/>
        </w:rPr>
        <w:t>Από τους ασθενείς που συμπεριλήφθηκαν στη μελέτη, δεν είχαν όλοι εκτιμηθεί ως υψηλού κίνδυνο για εμφάνιση πρώτου</w:t>
      </w:r>
      <w:r w:rsidRPr="00075FBC">
        <w:rPr>
          <w:iCs/>
          <w:szCs w:val="22"/>
          <w:u w:val="words"/>
        </w:rPr>
        <w:t xml:space="preserve"> </w:t>
      </w:r>
      <w:r w:rsidRPr="00075FBC">
        <w:rPr>
          <w:iCs/>
          <w:szCs w:val="22"/>
        </w:rPr>
        <w:t xml:space="preserve">καρδιαγγειακού </w:t>
      </w:r>
      <w:proofErr w:type="spellStart"/>
      <w:r w:rsidRPr="00075FBC">
        <w:rPr>
          <w:iCs/>
          <w:szCs w:val="22"/>
        </w:rPr>
        <w:t>συμβάματος</w:t>
      </w:r>
      <w:proofErr w:type="spellEnd"/>
      <w:r w:rsidRPr="00075FBC">
        <w:rPr>
          <w:iCs/>
          <w:szCs w:val="22"/>
        </w:rPr>
        <w:t>.</w:t>
      </w:r>
    </w:p>
    <w:p w:rsidR="00075FBC" w:rsidRPr="00075FBC" w:rsidRDefault="00075FBC" w:rsidP="00075FBC">
      <w:pPr>
        <w:ind w:left="-142"/>
        <w:jc w:val="both"/>
        <w:rPr>
          <w:szCs w:val="22"/>
        </w:rPr>
      </w:pPr>
    </w:p>
    <w:p w:rsidR="00075FBC" w:rsidRPr="00075FBC" w:rsidRDefault="00075FBC" w:rsidP="00075FBC">
      <w:pPr>
        <w:jc w:val="both"/>
        <w:rPr>
          <w:szCs w:val="22"/>
        </w:rPr>
      </w:pPr>
      <w:r w:rsidRPr="00075FBC">
        <w:rPr>
          <w:szCs w:val="22"/>
        </w:rPr>
        <w:t xml:space="preserve">Οι ασθενείς έλαβαν </w:t>
      </w:r>
      <w:proofErr w:type="spellStart"/>
      <w:r w:rsidRPr="00075FBC">
        <w:rPr>
          <w:szCs w:val="22"/>
        </w:rPr>
        <w:t>αντιυπερτασική</w:t>
      </w:r>
      <w:proofErr w:type="spellEnd"/>
      <w:r w:rsidRPr="00075FBC">
        <w:rPr>
          <w:szCs w:val="22"/>
        </w:rPr>
        <w:t xml:space="preserve"> αγωγή </w:t>
      </w:r>
      <w:r w:rsidRPr="00075FBC">
        <w:rPr>
          <w:iCs/>
          <w:szCs w:val="22"/>
        </w:rPr>
        <w:t xml:space="preserve">(θεραπευτικό σχήμα βασιζόμενο είτε στην </w:t>
      </w:r>
      <w:proofErr w:type="spellStart"/>
      <w:r w:rsidRPr="00075FBC">
        <w:rPr>
          <w:iCs/>
          <w:szCs w:val="22"/>
        </w:rPr>
        <w:t>αμλοδιπίνη</w:t>
      </w:r>
      <w:proofErr w:type="spellEnd"/>
      <w:r w:rsidRPr="00075FBC">
        <w:rPr>
          <w:iCs/>
          <w:szCs w:val="22"/>
        </w:rPr>
        <w:t xml:space="preserve"> είτε στην </w:t>
      </w:r>
      <w:proofErr w:type="spellStart"/>
      <w:r w:rsidRPr="00075FBC">
        <w:rPr>
          <w:iCs/>
          <w:szCs w:val="22"/>
        </w:rPr>
        <w:t>ατενολόλη</w:t>
      </w:r>
      <w:proofErr w:type="spellEnd"/>
      <w:r w:rsidRPr="00075FBC">
        <w:rPr>
          <w:iCs/>
          <w:szCs w:val="22"/>
        </w:rPr>
        <w:t>)</w:t>
      </w:r>
      <w:r w:rsidRPr="00075FBC">
        <w:rPr>
          <w:iCs/>
          <w:szCs w:val="22"/>
          <w:u w:val="single"/>
        </w:rPr>
        <w:t xml:space="preserve"> </w:t>
      </w:r>
      <w:r w:rsidRPr="00075FBC">
        <w:rPr>
          <w:szCs w:val="22"/>
        </w:rPr>
        <w:t xml:space="preserve">και είτε </w:t>
      </w:r>
      <w:proofErr w:type="spellStart"/>
      <w:r w:rsidRPr="00075FBC">
        <w:rPr>
          <w:szCs w:val="22"/>
        </w:rPr>
        <w:t>ατορβαστατίνη</w:t>
      </w:r>
      <w:proofErr w:type="spellEnd"/>
      <w:r w:rsidRPr="00075FBC">
        <w:rPr>
          <w:szCs w:val="22"/>
        </w:rPr>
        <w:t xml:space="preserve"> 10 </w:t>
      </w:r>
      <w:proofErr w:type="spellStart"/>
      <w:r w:rsidRPr="00075FBC">
        <w:rPr>
          <w:szCs w:val="22"/>
        </w:rPr>
        <w:t>mg</w:t>
      </w:r>
      <w:proofErr w:type="spellEnd"/>
      <w:r w:rsidRPr="00075FBC">
        <w:rPr>
          <w:szCs w:val="22"/>
        </w:rPr>
        <w:t xml:space="preserve"> ημερησίως (n=5.168) ή εικονικό φάρμακο (n=5.137). </w:t>
      </w:r>
    </w:p>
    <w:p w:rsidR="00075FBC" w:rsidRPr="00075FBC" w:rsidRDefault="00075FBC" w:rsidP="00075FBC">
      <w:pPr>
        <w:jc w:val="both"/>
        <w:rPr>
          <w:szCs w:val="22"/>
        </w:rPr>
      </w:pPr>
      <w:r w:rsidRPr="00075FBC">
        <w:rPr>
          <w:szCs w:val="22"/>
        </w:rPr>
        <w:t xml:space="preserve">Η επίδραση της </w:t>
      </w:r>
      <w:proofErr w:type="spellStart"/>
      <w:r w:rsidRPr="00075FBC">
        <w:rPr>
          <w:szCs w:val="22"/>
        </w:rPr>
        <w:t>ατορβαστατίνης</w:t>
      </w:r>
      <w:proofErr w:type="spellEnd"/>
      <w:r w:rsidRPr="00075FBC">
        <w:rPr>
          <w:szCs w:val="22"/>
        </w:rPr>
        <w:t xml:space="preserve"> ως προς τη σχετική και απόλυτη μείωση του κινδύνου ήταν η ακόλουθη: </w:t>
      </w:r>
    </w:p>
    <w:p w:rsidR="00075FBC" w:rsidRPr="00075FBC" w:rsidRDefault="00075FBC" w:rsidP="00075FBC">
      <w:pPr>
        <w:jc w:val="both"/>
        <w:rPr>
          <w:szCs w:val="22"/>
        </w:rPr>
      </w:pPr>
    </w:p>
    <w:tbl>
      <w:tblPr>
        <w:tblW w:w="932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77"/>
        <w:gridCol w:w="1843"/>
        <w:gridCol w:w="2268"/>
        <w:gridCol w:w="1418"/>
        <w:gridCol w:w="821"/>
      </w:tblGrid>
      <w:tr w:rsidR="00075FBC" w:rsidRPr="00075FBC" w:rsidTr="00C27A36">
        <w:tc>
          <w:tcPr>
            <w:tcW w:w="2977" w:type="dxa"/>
            <w:tcBorders>
              <w:left w:val="nil"/>
              <w:bottom w:val="nil"/>
              <w:right w:val="nil"/>
            </w:tcBorders>
          </w:tcPr>
          <w:p w:rsidR="00075FBC" w:rsidRPr="00075FBC" w:rsidRDefault="00075FBC" w:rsidP="00075FBC">
            <w:pPr>
              <w:keepNext/>
              <w:widowControl/>
              <w:jc w:val="both"/>
              <w:outlineLvl w:val="7"/>
              <w:rPr>
                <w:szCs w:val="22"/>
              </w:rPr>
            </w:pPr>
            <w:proofErr w:type="spellStart"/>
            <w:r w:rsidRPr="00075FBC">
              <w:rPr>
                <w:szCs w:val="22"/>
              </w:rPr>
              <w:t>Σύμβαμα</w:t>
            </w:r>
            <w:proofErr w:type="spellEnd"/>
          </w:p>
        </w:tc>
        <w:tc>
          <w:tcPr>
            <w:tcW w:w="1843" w:type="dxa"/>
            <w:tcBorders>
              <w:left w:val="nil"/>
              <w:bottom w:val="nil"/>
              <w:right w:val="nil"/>
            </w:tcBorders>
          </w:tcPr>
          <w:p w:rsidR="00075FBC" w:rsidRPr="00075FBC" w:rsidRDefault="00075FBC" w:rsidP="00075FBC">
            <w:pPr>
              <w:jc w:val="both"/>
              <w:rPr>
                <w:szCs w:val="22"/>
              </w:rPr>
            </w:pPr>
            <w:r w:rsidRPr="00075FBC">
              <w:rPr>
                <w:szCs w:val="22"/>
              </w:rPr>
              <w:t>Σχετική Μείωση  Κινδύνου (%)</w:t>
            </w:r>
          </w:p>
        </w:tc>
        <w:tc>
          <w:tcPr>
            <w:tcW w:w="2268" w:type="dxa"/>
            <w:tcBorders>
              <w:left w:val="nil"/>
              <w:bottom w:val="nil"/>
              <w:right w:val="nil"/>
            </w:tcBorders>
          </w:tcPr>
          <w:p w:rsidR="00075FBC" w:rsidRPr="00075FBC" w:rsidRDefault="00075FBC" w:rsidP="00075FBC">
            <w:pPr>
              <w:jc w:val="both"/>
              <w:rPr>
                <w:szCs w:val="22"/>
              </w:rPr>
            </w:pPr>
            <w:r w:rsidRPr="00075FBC">
              <w:rPr>
                <w:szCs w:val="22"/>
              </w:rPr>
              <w:t xml:space="preserve">Αριθμός </w:t>
            </w:r>
            <w:proofErr w:type="spellStart"/>
            <w:r w:rsidRPr="00075FBC">
              <w:rPr>
                <w:szCs w:val="22"/>
              </w:rPr>
              <w:t>Συμβαμάτων</w:t>
            </w:r>
            <w:proofErr w:type="spellEnd"/>
            <w:r w:rsidRPr="00075FBC">
              <w:rPr>
                <w:szCs w:val="22"/>
              </w:rPr>
              <w:t xml:space="preserve"> (</w:t>
            </w:r>
            <w:proofErr w:type="spellStart"/>
            <w:r w:rsidRPr="00075FBC">
              <w:rPr>
                <w:szCs w:val="22"/>
              </w:rPr>
              <w:t>Ατορβαστατίνη</w:t>
            </w:r>
            <w:proofErr w:type="spellEnd"/>
            <w:r w:rsidRPr="00075FBC">
              <w:rPr>
                <w:szCs w:val="22"/>
              </w:rPr>
              <w:t xml:space="preserve"> έναντι εικονικού φαρμάκου)</w:t>
            </w:r>
          </w:p>
        </w:tc>
        <w:tc>
          <w:tcPr>
            <w:tcW w:w="1418" w:type="dxa"/>
            <w:tcBorders>
              <w:left w:val="nil"/>
              <w:bottom w:val="nil"/>
              <w:right w:val="nil"/>
            </w:tcBorders>
          </w:tcPr>
          <w:p w:rsidR="00075FBC" w:rsidRPr="00075FBC" w:rsidRDefault="00075FBC" w:rsidP="00075FBC">
            <w:pPr>
              <w:jc w:val="both"/>
              <w:rPr>
                <w:szCs w:val="22"/>
              </w:rPr>
            </w:pPr>
            <w:r w:rsidRPr="00075FBC">
              <w:rPr>
                <w:szCs w:val="22"/>
              </w:rPr>
              <w:t>Απόλυτη Μείωση Κινδύνου</w:t>
            </w:r>
            <w:r w:rsidRPr="00075FBC">
              <w:rPr>
                <w:szCs w:val="22"/>
                <w:vertAlign w:val="superscript"/>
              </w:rPr>
              <w:t>1</w:t>
            </w:r>
            <w:r w:rsidRPr="00075FBC">
              <w:rPr>
                <w:szCs w:val="22"/>
              </w:rPr>
              <w:t xml:space="preserve"> (%)</w:t>
            </w:r>
          </w:p>
        </w:tc>
        <w:tc>
          <w:tcPr>
            <w:tcW w:w="821" w:type="dxa"/>
            <w:tcBorders>
              <w:left w:val="nil"/>
              <w:bottom w:val="nil"/>
              <w:right w:val="nil"/>
            </w:tcBorders>
          </w:tcPr>
          <w:p w:rsidR="00075FBC" w:rsidRPr="00075FBC" w:rsidRDefault="00075FBC" w:rsidP="00075FBC">
            <w:pPr>
              <w:jc w:val="both"/>
              <w:rPr>
                <w:szCs w:val="22"/>
              </w:rPr>
            </w:pPr>
            <w:r w:rsidRPr="00075FBC">
              <w:rPr>
                <w:szCs w:val="22"/>
              </w:rPr>
              <w:t>Τιμή p</w:t>
            </w:r>
          </w:p>
        </w:tc>
      </w:tr>
      <w:tr w:rsidR="00075FBC" w:rsidRPr="00075FBC" w:rsidTr="00C27A36">
        <w:tc>
          <w:tcPr>
            <w:tcW w:w="2977" w:type="dxa"/>
            <w:tcBorders>
              <w:top w:val="nil"/>
              <w:left w:val="nil"/>
              <w:bottom w:val="nil"/>
              <w:right w:val="nil"/>
            </w:tcBorders>
          </w:tcPr>
          <w:p w:rsidR="00075FBC" w:rsidRPr="00075FBC" w:rsidRDefault="00075FBC" w:rsidP="00075FBC">
            <w:pPr>
              <w:jc w:val="both"/>
              <w:rPr>
                <w:szCs w:val="22"/>
              </w:rPr>
            </w:pPr>
            <w:r w:rsidRPr="00075FBC">
              <w:rPr>
                <w:szCs w:val="22"/>
              </w:rPr>
              <w:t>Θανατηφόρα ΣΝ συν μη-θανατηφόρο ΕΜ</w:t>
            </w:r>
          </w:p>
        </w:tc>
        <w:tc>
          <w:tcPr>
            <w:tcW w:w="1843" w:type="dxa"/>
            <w:tcBorders>
              <w:top w:val="nil"/>
              <w:left w:val="nil"/>
              <w:bottom w:val="nil"/>
              <w:right w:val="nil"/>
            </w:tcBorders>
          </w:tcPr>
          <w:p w:rsidR="00075FBC" w:rsidRPr="00075FBC" w:rsidRDefault="00075FBC" w:rsidP="00075FBC">
            <w:pPr>
              <w:jc w:val="both"/>
              <w:rPr>
                <w:szCs w:val="22"/>
              </w:rPr>
            </w:pPr>
            <w:r w:rsidRPr="00075FBC">
              <w:rPr>
                <w:szCs w:val="22"/>
              </w:rPr>
              <w:t>36%</w:t>
            </w:r>
          </w:p>
        </w:tc>
        <w:tc>
          <w:tcPr>
            <w:tcW w:w="2268" w:type="dxa"/>
            <w:tcBorders>
              <w:top w:val="nil"/>
              <w:left w:val="nil"/>
              <w:bottom w:val="nil"/>
              <w:right w:val="nil"/>
            </w:tcBorders>
          </w:tcPr>
          <w:p w:rsidR="00075FBC" w:rsidRPr="00075FBC" w:rsidRDefault="00075FBC" w:rsidP="00075FBC">
            <w:pPr>
              <w:jc w:val="both"/>
              <w:rPr>
                <w:szCs w:val="22"/>
              </w:rPr>
            </w:pPr>
            <w:r w:rsidRPr="00075FBC">
              <w:rPr>
                <w:szCs w:val="22"/>
              </w:rPr>
              <w:t>100 έναντι 154</w:t>
            </w:r>
          </w:p>
        </w:tc>
        <w:tc>
          <w:tcPr>
            <w:tcW w:w="1418" w:type="dxa"/>
            <w:tcBorders>
              <w:top w:val="nil"/>
              <w:left w:val="nil"/>
              <w:bottom w:val="nil"/>
              <w:right w:val="nil"/>
            </w:tcBorders>
          </w:tcPr>
          <w:p w:rsidR="00075FBC" w:rsidRPr="00075FBC" w:rsidRDefault="00075FBC" w:rsidP="00075FBC">
            <w:pPr>
              <w:jc w:val="both"/>
              <w:rPr>
                <w:szCs w:val="22"/>
              </w:rPr>
            </w:pPr>
            <w:r w:rsidRPr="00075FBC">
              <w:rPr>
                <w:szCs w:val="22"/>
              </w:rPr>
              <w:t>1,1%</w:t>
            </w:r>
          </w:p>
        </w:tc>
        <w:tc>
          <w:tcPr>
            <w:tcW w:w="821" w:type="dxa"/>
            <w:tcBorders>
              <w:top w:val="nil"/>
              <w:left w:val="nil"/>
              <w:bottom w:val="nil"/>
              <w:right w:val="nil"/>
            </w:tcBorders>
          </w:tcPr>
          <w:p w:rsidR="00075FBC" w:rsidRPr="00075FBC" w:rsidRDefault="00075FBC" w:rsidP="00075FBC">
            <w:pPr>
              <w:jc w:val="both"/>
              <w:rPr>
                <w:szCs w:val="22"/>
              </w:rPr>
            </w:pPr>
            <w:r w:rsidRPr="00075FBC">
              <w:rPr>
                <w:szCs w:val="22"/>
              </w:rPr>
              <w:t>0,0005</w:t>
            </w:r>
          </w:p>
        </w:tc>
      </w:tr>
      <w:tr w:rsidR="00075FBC" w:rsidRPr="00075FBC" w:rsidTr="00C27A36">
        <w:tc>
          <w:tcPr>
            <w:tcW w:w="2977" w:type="dxa"/>
            <w:tcBorders>
              <w:top w:val="nil"/>
              <w:left w:val="nil"/>
              <w:bottom w:val="nil"/>
              <w:right w:val="nil"/>
            </w:tcBorders>
          </w:tcPr>
          <w:p w:rsidR="00075FBC" w:rsidRPr="00075FBC" w:rsidRDefault="00075FBC" w:rsidP="00075FBC">
            <w:pPr>
              <w:jc w:val="both"/>
              <w:rPr>
                <w:szCs w:val="22"/>
              </w:rPr>
            </w:pPr>
            <w:r w:rsidRPr="00075FBC">
              <w:rPr>
                <w:szCs w:val="22"/>
              </w:rPr>
              <w:t xml:space="preserve">Σύνολο καρδιαγγειακών </w:t>
            </w:r>
            <w:proofErr w:type="spellStart"/>
            <w:r w:rsidRPr="00075FBC">
              <w:rPr>
                <w:szCs w:val="22"/>
              </w:rPr>
              <w:t>συμβαμάτων</w:t>
            </w:r>
            <w:proofErr w:type="spellEnd"/>
            <w:r w:rsidRPr="00075FBC">
              <w:rPr>
                <w:szCs w:val="22"/>
              </w:rPr>
              <w:t xml:space="preserve"> και επεμβάσεων </w:t>
            </w:r>
            <w:proofErr w:type="spellStart"/>
            <w:r w:rsidRPr="00075FBC">
              <w:rPr>
                <w:szCs w:val="22"/>
              </w:rPr>
              <w:t>επαναγγείωσης</w:t>
            </w:r>
            <w:proofErr w:type="spellEnd"/>
          </w:p>
        </w:tc>
        <w:tc>
          <w:tcPr>
            <w:tcW w:w="1843" w:type="dxa"/>
            <w:tcBorders>
              <w:top w:val="nil"/>
              <w:left w:val="nil"/>
              <w:bottom w:val="nil"/>
              <w:right w:val="nil"/>
            </w:tcBorders>
          </w:tcPr>
          <w:p w:rsidR="00075FBC" w:rsidRPr="00075FBC" w:rsidRDefault="00075FBC" w:rsidP="00075FBC">
            <w:pPr>
              <w:jc w:val="both"/>
              <w:rPr>
                <w:szCs w:val="22"/>
              </w:rPr>
            </w:pPr>
            <w:r w:rsidRPr="00075FBC">
              <w:rPr>
                <w:szCs w:val="22"/>
              </w:rPr>
              <w:t>20%</w:t>
            </w:r>
          </w:p>
        </w:tc>
        <w:tc>
          <w:tcPr>
            <w:tcW w:w="2268" w:type="dxa"/>
            <w:tcBorders>
              <w:top w:val="nil"/>
              <w:left w:val="nil"/>
              <w:bottom w:val="nil"/>
              <w:right w:val="nil"/>
            </w:tcBorders>
          </w:tcPr>
          <w:p w:rsidR="00075FBC" w:rsidRPr="00075FBC" w:rsidRDefault="00075FBC" w:rsidP="00075FBC">
            <w:pPr>
              <w:jc w:val="both"/>
              <w:rPr>
                <w:szCs w:val="22"/>
              </w:rPr>
            </w:pPr>
            <w:r w:rsidRPr="00075FBC">
              <w:rPr>
                <w:szCs w:val="22"/>
              </w:rPr>
              <w:t>389 έναντι 483</w:t>
            </w:r>
          </w:p>
        </w:tc>
        <w:tc>
          <w:tcPr>
            <w:tcW w:w="1418" w:type="dxa"/>
            <w:tcBorders>
              <w:top w:val="nil"/>
              <w:left w:val="nil"/>
              <w:bottom w:val="nil"/>
              <w:right w:val="nil"/>
            </w:tcBorders>
          </w:tcPr>
          <w:p w:rsidR="00075FBC" w:rsidRPr="00075FBC" w:rsidRDefault="00075FBC" w:rsidP="00075FBC">
            <w:pPr>
              <w:jc w:val="both"/>
              <w:rPr>
                <w:szCs w:val="22"/>
              </w:rPr>
            </w:pPr>
            <w:r w:rsidRPr="00075FBC">
              <w:rPr>
                <w:szCs w:val="22"/>
              </w:rPr>
              <w:t>1,9%</w:t>
            </w:r>
          </w:p>
        </w:tc>
        <w:tc>
          <w:tcPr>
            <w:tcW w:w="821" w:type="dxa"/>
            <w:tcBorders>
              <w:top w:val="nil"/>
              <w:left w:val="nil"/>
              <w:bottom w:val="nil"/>
              <w:right w:val="nil"/>
            </w:tcBorders>
          </w:tcPr>
          <w:p w:rsidR="00075FBC" w:rsidRPr="00075FBC" w:rsidRDefault="00075FBC" w:rsidP="00075FBC">
            <w:pPr>
              <w:jc w:val="both"/>
              <w:rPr>
                <w:szCs w:val="22"/>
              </w:rPr>
            </w:pPr>
            <w:r w:rsidRPr="00075FBC">
              <w:rPr>
                <w:szCs w:val="22"/>
              </w:rPr>
              <w:t>0,0008</w:t>
            </w:r>
          </w:p>
        </w:tc>
      </w:tr>
      <w:tr w:rsidR="00075FBC" w:rsidRPr="00075FBC" w:rsidTr="00C27A36">
        <w:tc>
          <w:tcPr>
            <w:tcW w:w="2977" w:type="dxa"/>
            <w:tcBorders>
              <w:top w:val="nil"/>
              <w:left w:val="nil"/>
              <w:right w:val="nil"/>
            </w:tcBorders>
          </w:tcPr>
          <w:p w:rsidR="00075FBC" w:rsidRPr="00075FBC" w:rsidRDefault="00075FBC" w:rsidP="00075FBC">
            <w:pPr>
              <w:jc w:val="both"/>
              <w:rPr>
                <w:szCs w:val="22"/>
              </w:rPr>
            </w:pPr>
            <w:r w:rsidRPr="00075FBC">
              <w:rPr>
                <w:szCs w:val="22"/>
              </w:rPr>
              <w:t xml:space="preserve">Σύνολο στεφανιαίων </w:t>
            </w:r>
            <w:proofErr w:type="spellStart"/>
            <w:r w:rsidRPr="00075FBC">
              <w:rPr>
                <w:szCs w:val="22"/>
              </w:rPr>
              <w:t>συμβαμάτων</w:t>
            </w:r>
            <w:proofErr w:type="spellEnd"/>
          </w:p>
        </w:tc>
        <w:tc>
          <w:tcPr>
            <w:tcW w:w="1843" w:type="dxa"/>
            <w:tcBorders>
              <w:top w:val="nil"/>
              <w:left w:val="nil"/>
              <w:right w:val="nil"/>
            </w:tcBorders>
          </w:tcPr>
          <w:p w:rsidR="00075FBC" w:rsidRPr="00075FBC" w:rsidRDefault="00075FBC" w:rsidP="00075FBC">
            <w:pPr>
              <w:jc w:val="both"/>
              <w:rPr>
                <w:szCs w:val="22"/>
              </w:rPr>
            </w:pPr>
            <w:r w:rsidRPr="00075FBC">
              <w:rPr>
                <w:szCs w:val="22"/>
              </w:rPr>
              <w:t>29%</w:t>
            </w:r>
          </w:p>
        </w:tc>
        <w:tc>
          <w:tcPr>
            <w:tcW w:w="2268" w:type="dxa"/>
            <w:tcBorders>
              <w:top w:val="nil"/>
              <w:left w:val="nil"/>
              <w:right w:val="nil"/>
            </w:tcBorders>
          </w:tcPr>
          <w:p w:rsidR="00075FBC" w:rsidRPr="00075FBC" w:rsidRDefault="00075FBC" w:rsidP="00075FBC">
            <w:pPr>
              <w:jc w:val="both"/>
              <w:rPr>
                <w:szCs w:val="22"/>
              </w:rPr>
            </w:pPr>
            <w:r w:rsidRPr="00075FBC">
              <w:rPr>
                <w:szCs w:val="22"/>
              </w:rPr>
              <w:t>178 έναντι 247</w:t>
            </w:r>
          </w:p>
        </w:tc>
        <w:tc>
          <w:tcPr>
            <w:tcW w:w="1418" w:type="dxa"/>
            <w:tcBorders>
              <w:top w:val="nil"/>
              <w:left w:val="nil"/>
              <w:right w:val="nil"/>
            </w:tcBorders>
          </w:tcPr>
          <w:p w:rsidR="00075FBC" w:rsidRPr="00075FBC" w:rsidRDefault="00075FBC" w:rsidP="00075FBC">
            <w:pPr>
              <w:jc w:val="both"/>
              <w:rPr>
                <w:szCs w:val="22"/>
              </w:rPr>
            </w:pPr>
            <w:r w:rsidRPr="00075FBC">
              <w:rPr>
                <w:szCs w:val="22"/>
              </w:rPr>
              <w:t>1,4%</w:t>
            </w:r>
          </w:p>
        </w:tc>
        <w:tc>
          <w:tcPr>
            <w:tcW w:w="821" w:type="dxa"/>
            <w:tcBorders>
              <w:top w:val="nil"/>
              <w:left w:val="nil"/>
              <w:right w:val="nil"/>
            </w:tcBorders>
          </w:tcPr>
          <w:p w:rsidR="00075FBC" w:rsidRPr="00075FBC" w:rsidRDefault="00075FBC" w:rsidP="00075FBC">
            <w:pPr>
              <w:jc w:val="both"/>
              <w:rPr>
                <w:szCs w:val="22"/>
              </w:rPr>
            </w:pPr>
            <w:r w:rsidRPr="00075FBC">
              <w:rPr>
                <w:szCs w:val="22"/>
              </w:rPr>
              <w:t>0,0006</w:t>
            </w:r>
          </w:p>
        </w:tc>
      </w:tr>
    </w:tbl>
    <w:p w:rsidR="00075FBC" w:rsidRPr="00075FBC" w:rsidRDefault="00075FBC" w:rsidP="00075FBC">
      <w:pPr>
        <w:ind w:left="567"/>
        <w:jc w:val="both"/>
        <w:rPr>
          <w:szCs w:val="22"/>
        </w:rPr>
      </w:pPr>
      <w:r w:rsidRPr="00075FBC">
        <w:rPr>
          <w:szCs w:val="22"/>
          <w:vertAlign w:val="superscript"/>
        </w:rPr>
        <w:t xml:space="preserve">1 </w:t>
      </w:r>
      <w:r w:rsidRPr="00075FBC">
        <w:rPr>
          <w:szCs w:val="22"/>
        </w:rPr>
        <w:t xml:space="preserve">Βασίζεται στη διαφορά των πρωτογενών συχνοτήτων εμφάνισης των </w:t>
      </w:r>
      <w:proofErr w:type="spellStart"/>
      <w:r w:rsidRPr="00075FBC">
        <w:rPr>
          <w:szCs w:val="22"/>
        </w:rPr>
        <w:t>συμβαμάτων</w:t>
      </w:r>
      <w:proofErr w:type="spellEnd"/>
      <w:r w:rsidRPr="00075FBC">
        <w:rPr>
          <w:szCs w:val="22"/>
        </w:rPr>
        <w:t xml:space="preserve"> που παρουσιάζονται σε μια διάμεση περίοδο παρακολούθησης 3,3 ετών.</w:t>
      </w:r>
    </w:p>
    <w:p w:rsidR="00075FBC" w:rsidRPr="00075FBC" w:rsidRDefault="00075FBC" w:rsidP="00075FBC">
      <w:pPr>
        <w:ind w:left="567"/>
        <w:jc w:val="both"/>
        <w:rPr>
          <w:szCs w:val="22"/>
        </w:rPr>
      </w:pPr>
      <w:r w:rsidRPr="00075FBC">
        <w:rPr>
          <w:szCs w:val="22"/>
        </w:rPr>
        <w:t>ΣΝ: Στεφανιαία Νόσος, ΕΜ: Έμφραγμα Μυοκαρδίου</w:t>
      </w:r>
    </w:p>
    <w:p w:rsidR="00075FBC" w:rsidRPr="00075FBC" w:rsidRDefault="00075FBC" w:rsidP="00075FBC">
      <w:pPr>
        <w:jc w:val="both"/>
        <w:rPr>
          <w:szCs w:val="22"/>
        </w:rPr>
      </w:pPr>
    </w:p>
    <w:p w:rsidR="00075FBC" w:rsidRPr="00075FBC" w:rsidRDefault="00075FBC" w:rsidP="00075FBC">
      <w:pPr>
        <w:jc w:val="both"/>
        <w:rPr>
          <w:bCs/>
          <w:szCs w:val="22"/>
        </w:rPr>
      </w:pPr>
      <w:r w:rsidRPr="00075FBC">
        <w:rPr>
          <w:iCs/>
          <w:szCs w:val="22"/>
        </w:rPr>
        <w:t>H ολική θνησιμότητα και η θνησιμότητα καρδιαγγειακής αιτιολογίας δεν μειώθηκαν σημαντικά, (185 έναντι 212 περιστατικών, p= 0,17 και 74 έναντι 82 περιστατικών, p= 0,51 αντίστοιχα).</w:t>
      </w:r>
      <w:r w:rsidRPr="00075FBC">
        <w:rPr>
          <w:i/>
          <w:iCs/>
          <w:szCs w:val="22"/>
        </w:rPr>
        <w:t xml:space="preserve"> </w:t>
      </w:r>
      <w:r w:rsidRPr="00075FBC">
        <w:rPr>
          <w:iCs/>
          <w:szCs w:val="22"/>
        </w:rPr>
        <w:t xml:space="preserve">Στις αναλύσεις </w:t>
      </w:r>
      <w:proofErr w:type="spellStart"/>
      <w:r w:rsidRPr="00075FBC">
        <w:rPr>
          <w:iCs/>
          <w:szCs w:val="22"/>
        </w:rPr>
        <w:t>υπο</w:t>
      </w:r>
      <w:proofErr w:type="spellEnd"/>
      <w:r w:rsidRPr="00075FBC">
        <w:rPr>
          <w:iCs/>
          <w:szCs w:val="22"/>
        </w:rPr>
        <w:t xml:space="preserve">-ομάδων ανάλογα με το φύλο (81% άνδρες, 19% γυναίκες), η ευεργετική επίδραση  της </w:t>
      </w:r>
      <w:proofErr w:type="spellStart"/>
      <w:r w:rsidRPr="00075FBC">
        <w:rPr>
          <w:iCs/>
          <w:szCs w:val="22"/>
        </w:rPr>
        <w:t>ατορβαστατίνης</w:t>
      </w:r>
      <w:proofErr w:type="spellEnd"/>
      <w:r w:rsidRPr="00075FBC">
        <w:rPr>
          <w:iCs/>
          <w:szCs w:val="22"/>
        </w:rPr>
        <w:t xml:space="preserve"> φάνηκε για τους άντρες αλλά δεν μπόρεσε να τεκμηριωθεί για τις γυναίκες, πιθανώς λόγω της μικρής συχνότητας </w:t>
      </w:r>
      <w:proofErr w:type="spellStart"/>
      <w:r w:rsidRPr="00075FBC">
        <w:rPr>
          <w:iCs/>
          <w:szCs w:val="22"/>
        </w:rPr>
        <w:t>συμβαμάτων</w:t>
      </w:r>
      <w:proofErr w:type="spellEnd"/>
      <w:r w:rsidRPr="00075FBC">
        <w:rPr>
          <w:iCs/>
          <w:szCs w:val="22"/>
        </w:rPr>
        <w:t xml:space="preserve"> στην υποομάδα των γυναικών. H ολική και η καρδιαγγειακή θνησιμότητα  ήταν αριθμητικά υψηλότερες στις γυναίκες ασθενείς (38 έναντι 30 και 17 έναντι 12), αλλά αυτό δεν ήταν </w:t>
      </w:r>
      <w:r w:rsidRPr="00075FBC">
        <w:rPr>
          <w:iCs/>
          <w:szCs w:val="22"/>
        </w:rPr>
        <w:lastRenderedPageBreak/>
        <w:t xml:space="preserve">στατιστικά σημαντικό. Υπήρξε σημαντική αλληλεπίδραση με τη θεραπεία ως προς την αρχική </w:t>
      </w:r>
      <w:proofErr w:type="spellStart"/>
      <w:r w:rsidRPr="00075FBC">
        <w:rPr>
          <w:iCs/>
          <w:szCs w:val="22"/>
        </w:rPr>
        <w:t>αντιυπερτασική</w:t>
      </w:r>
      <w:proofErr w:type="spellEnd"/>
      <w:r w:rsidRPr="00075FBC">
        <w:rPr>
          <w:iCs/>
          <w:szCs w:val="22"/>
        </w:rPr>
        <w:t xml:space="preserve"> αγωγή. Το πρωτεύον τελικό σημείο (θανατηφόρος στεφανιαία νόσος και μη θανατηφόρο έμφραγμα του μυοκαρδίου) μειώθηκε σημαντικά από την </w:t>
      </w:r>
      <w:proofErr w:type="spellStart"/>
      <w:r w:rsidRPr="00075FBC">
        <w:rPr>
          <w:iCs/>
          <w:szCs w:val="22"/>
        </w:rPr>
        <w:t>ατορβαστατίνη</w:t>
      </w:r>
      <w:proofErr w:type="spellEnd"/>
      <w:r w:rsidRPr="00075FBC">
        <w:rPr>
          <w:iCs/>
          <w:szCs w:val="22"/>
        </w:rPr>
        <w:t xml:space="preserve"> στους ασθενείς που ελάμβαναν </w:t>
      </w:r>
      <w:proofErr w:type="spellStart"/>
      <w:r w:rsidRPr="00075FBC">
        <w:rPr>
          <w:iCs/>
          <w:szCs w:val="22"/>
        </w:rPr>
        <w:t>αμλοδιπίνη</w:t>
      </w:r>
      <w:proofErr w:type="spellEnd"/>
      <w:r w:rsidRPr="00075FBC">
        <w:rPr>
          <w:iCs/>
          <w:szCs w:val="22"/>
        </w:rPr>
        <w:t xml:space="preserve"> </w:t>
      </w:r>
      <w:r w:rsidRPr="00075FBC">
        <w:rPr>
          <w:bCs/>
          <w:szCs w:val="22"/>
        </w:rPr>
        <w:t xml:space="preserve">(HR 0,47 (0,32 - 0,69), p=0,00008), αλλά όχι </w:t>
      </w:r>
      <w:r w:rsidRPr="00075FBC">
        <w:rPr>
          <w:iCs/>
          <w:szCs w:val="22"/>
        </w:rPr>
        <w:t xml:space="preserve">σε αυτούς που ελάμβαναν </w:t>
      </w:r>
      <w:proofErr w:type="spellStart"/>
      <w:r w:rsidRPr="00075FBC">
        <w:rPr>
          <w:iCs/>
          <w:szCs w:val="22"/>
        </w:rPr>
        <w:t>ατενολόλη</w:t>
      </w:r>
      <w:proofErr w:type="spellEnd"/>
      <w:r w:rsidRPr="00075FBC">
        <w:rPr>
          <w:iCs/>
          <w:szCs w:val="22"/>
        </w:rPr>
        <w:t xml:space="preserve"> </w:t>
      </w:r>
      <w:r w:rsidRPr="00075FBC">
        <w:rPr>
          <w:bCs/>
          <w:szCs w:val="22"/>
        </w:rPr>
        <w:t>(HR 0,83 (0,59 - 1,17), p= 0,287).</w:t>
      </w:r>
    </w:p>
    <w:p w:rsidR="00075FBC" w:rsidRPr="00075FBC" w:rsidRDefault="00075FBC" w:rsidP="00075FBC">
      <w:pPr>
        <w:jc w:val="both"/>
        <w:rPr>
          <w:szCs w:val="22"/>
        </w:rPr>
      </w:pPr>
    </w:p>
    <w:p w:rsidR="00075FBC" w:rsidRPr="00075FBC" w:rsidRDefault="00075FBC" w:rsidP="00075FBC">
      <w:pPr>
        <w:jc w:val="both"/>
        <w:rPr>
          <w:szCs w:val="22"/>
        </w:rPr>
      </w:pPr>
      <w:r w:rsidRPr="00075FBC">
        <w:rPr>
          <w:szCs w:val="22"/>
        </w:rPr>
        <w:t xml:space="preserve">Η επίδραση της </w:t>
      </w:r>
      <w:proofErr w:type="spellStart"/>
      <w:r w:rsidRPr="00075FBC">
        <w:rPr>
          <w:szCs w:val="22"/>
        </w:rPr>
        <w:t>ατορβαστατίνης</w:t>
      </w:r>
      <w:proofErr w:type="spellEnd"/>
      <w:r w:rsidRPr="00075FBC">
        <w:rPr>
          <w:szCs w:val="22"/>
        </w:rPr>
        <w:t xml:space="preserve"> στη θανατηφόρα και μη-θανατηφόρα καρδιαγγειακή νόσο εκτιμήθηκε επίσης σε μια τυχαιοποιημένη, διπλά τυφλή, ελεγχόμενη με εικονικό φάρμακο μελέτη, την Συλλογική Μελέτη της </w:t>
      </w:r>
      <w:proofErr w:type="spellStart"/>
      <w:r w:rsidRPr="00075FBC">
        <w:rPr>
          <w:szCs w:val="22"/>
        </w:rPr>
        <w:t>Ατορβαστατίνης</w:t>
      </w:r>
      <w:proofErr w:type="spellEnd"/>
      <w:r w:rsidRPr="00075FBC">
        <w:rPr>
          <w:szCs w:val="22"/>
        </w:rPr>
        <w:t xml:space="preserve"> στο Διαβήτη (</w:t>
      </w:r>
      <w:proofErr w:type="spellStart"/>
      <w:r w:rsidRPr="00075FBC">
        <w:rPr>
          <w:szCs w:val="22"/>
        </w:rPr>
        <w:t>Collaborative</w:t>
      </w:r>
      <w:proofErr w:type="spellEnd"/>
      <w:r w:rsidRPr="00075FBC">
        <w:rPr>
          <w:szCs w:val="22"/>
        </w:rPr>
        <w:t xml:space="preserve"> </w:t>
      </w:r>
      <w:proofErr w:type="spellStart"/>
      <w:r w:rsidRPr="00075FBC">
        <w:rPr>
          <w:szCs w:val="22"/>
        </w:rPr>
        <w:t>Atorvastatin</w:t>
      </w:r>
      <w:proofErr w:type="spellEnd"/>
      <w:r w:rsidRPr="00075FBC">
        <w:rPr>
          <w:szCs w:val="22"/>
        </w:rPr>
        <w:t xml:space="preserve"> </w:t>
      </w:r>
      <w:proofErr w:type="spellStart"/>
      <w:r w:rsidRPr="00075FBC">
        <w:rPr>
          <w:szCs w:val="22"/>
        </w:rPr>
        <w:t>Diabetes</w:t>
      </w:r>
      <w:proofErr w:type="spellEnd"/>
      <w:r w:rsidRPr="00075FBC">
        <w:rPr>
          <w:szCs w:val="22"/>
        </w:rPr>
        <w:t xml:space="preserve"> </w:t>
      </w:r>
      <w:proofErr w:type="spellStart"/>
      <w:r w:rsidRPr="00075FBC">
        <w:rPr>
          <w:szCs w:val="22"/>
        </w:rPr>
        <w:t>Study</w:t>
      </w:r>
      <w:proofErr w:type="spellEnd"/>
      <w:r w:rsidRPr="00075FBC">
        <w:rPr>
          <w:szCs w:val="22"/>
        </w:rPr>
        <w:t xml:space="preserve">-CARDS), σε ασθενείς με διαβήτη τύπου 2, ηλικίας 40 - 75 ετών, χωρίς προηγούμενο ιστορικό καρδιαγγειακής νόσου και με LDL </w:t>
      </w:r>
      <w:r w:rsidRPr="00075FBC">
        <w:rPr>
          <w:szCs w:val="22"/>
          <w:u w:val="single"/>
        </w:rPr>
        <w:t xml:space="preserve">&lt; </w:t>
      </w:r>
      <w:r w:rsidRPr="00075FBC">
        <w:rPr>
          <w:szCs w:val="22"/>
        </w:rPr>
        <w:t xml:space="preserve">4,14 </w:t>
      </w:r>
      <w:proofErr w:type="spellStart"/>
      <w:r w:rsidRPr="00075FBC">
        <w:rPr>
          <w:szCs w:val="22"/>
        </w:rPr>
        <w:t>mmol</w:t>
      </w:r>
      <w:proofErr w:type="spellEnd"/>
      <w:r w:rsidRPr="00075FBC">
        <w:rPr>
          <w:szCs w:val="22"/>
        </w:rPr>
        <w:t xml:space="preserve">/l (160 </w:t>
      </w:r>
      <w:proofErr w:type="spellStart"/>
      <w:r w:rsidRPr="00075FBC">
        <w:rPr>
          <w:szCs w:val="22"/>
        </w:rPr>
        <w:t>mg</w:t>
      </w:r>
      <w:proofErr w:type="spellEnd"/>
      <w:r w:rsidRPr="00075FBC">
        <w:rPr>
          <w:szCs w:val="22"/>
        </w:rPr>
        <w:t>/</w:t>
      </w:r>
      <w:proofErr w:type="spellStart"/>
      <w:r w:rsidRPr="00075FBC">
        <w:rPr>
          <w:szCs w:val="22"/>
        </w:rPr>
        <w:t>dl</w:t>
      </w:r>
      <w:proofErr w:type="spellEnd"/>
      <w:r w:rsidRPr="00075FBC">
        <w:rPr>
          <w:szCs w:val="22"/>
        </w:rPr>
        <w:t xml:space="preserve">) και </w:t>
      </w:r>
      <w:proofErr w:type="spellStart"/>
      <w:r w:rsidRPr="00075FBC">
        <w:rPr>
          <w:szCs w:val="22"/>
        </w:rPr>
        <w:t>τριγλυκερίδια</w:t>
      </w:r>
      <w:proofErr w:type="spellEnd"/>
      <w:r w:rsidRPr="00075FBC">
        <w:rPr>
          <w:szCs w:val="22"/>
        </w:rPr>
        <w:t xml:space="preserve"> </w:t>
      </w:r>
      <w:r w:rsidRPr="00075FBC">
        <w:rPr>
          <w:szCs w:val="22"/>
          <w:u w:val="single"/>
        </w:rPr>
        <w:t>≤</w:t>
      </w:r>
      <w:r w:rsidRPr="00075FBC">
        <w:rPr>
          <w:szCs w:val="22"/>
        </w:rPr>
        <w:t xml:space="preserve"> 6,78 </w:t>
      </w:r>
      <w:proofErr w:type="spellStart"/>
      <w:r w:rsidRPr="00075FBC">
        <w:rPr>
          <w:szCs w:val="22"/>
        </w:rPr>
        <w:t>mmol</w:t>
      </w:r>
      <w:proofErr w:type="spellEnd"/>
      <w:r w:rsidRPr="00075FBC">
        <w:rPr>
          <w:szCs w:val="22"/>
        </w:rPr>
        <w:t xml:space="preserve">/l (600 </w:t>
      </w:r>
      <w:proofErr w:type="spellStart"/>
      <w:r w:rsidRPr="00075FBC">
        <w:rPr>
          <w:szCs w:val="22"/>
        </w:rPr>
        <w:t>mg</w:t>
      </w:r>
      <w:proofErr w:type="spellEnd"/>
      <w:r w:rsidRPr="00075FBC">
        <w:rPr>
          <w:szCs w:val="22"/>
        </w:rPr>
        <w:t>/</w:t>
      </w:r>
      <w:proofErr w:type="spellStart"/>
      <w:r w:rsidRPr="00075FBC">
        <w:rPr>
          <w:szCs w:val="22"/>
        </w:rPr>
        <w:t>dl</w:t>
      </w:r>
      <w:proofErr w:type="spellEnd"/>
      <w:r w:rsidRPr="00075FBC">
        <w:rPr>
          <w:szCs w:val="22"/>
        </w:rPr>
        <w:t xml:space="preserve">). Όλοι οι ασθενείς είχαν τουλάχιστον 1 από τους ακόλουθους παράγοντες κινδύνου: υπέρταση, κάπνισμα, </w:t>
      </w:r>
      <w:proofErr w:type="spellStart"/>
      <w:r w:rsidRPr="00075FBC">
        <w:rPr>
          <w:szCs w:val="22"/>
        </w:rPr>
        <w:t>αμφιβληστροειδοπάθεια</w:t>
      </w:r>
      <w:proofErr w:type="spellEnd"/>
      <w:r w:rsidRPr="00075FBC">
        <w:rPr>
          <w:szCs w:val="22"/>
        </w:rPr>
        <w:t xml:space="preserve">, </w:t>
      </w:r>
      <w:proofErr w:type="spellStart"/>
      <w:r w:rsidRPr="00075FBC">
        <w:rPr>
          <w:szCs w:val="22"/>
        </w:rPr>
        <w:t>μικρολευκωματινουρία</w:t>
      </w:r>
      <w:proofErr w:type="spellEnd"/>
      <w:r w:rsidRPr="00075FBC">
        <w:rPr>
          <w:szCs w:val="22"/>
        </w:rPr>
        <w:t xml:space="preserve"> ή </w:t>
      </w:r>
      <w:proofErr w:type="spellStart"/>
      <w:r w:rsidRPr="00075FBC">
        <w:rPr>
          <w:szCs w:val="22"/>
        </w:rPr>
        <w:t>μακρολευκωματινουρία</w:t>
      </w:r>
      <w:proofErr w:type="spellEnd"/>
      <w:r w:rsidRPr="00075FBC">
        <w:rPr>
          <w:szCs w:val="22"/>
        </w:rPr>
        <w:t>.</w:t>
      </w:r>
    </w:p>
    <w:p w:rsidR="00075FBC" w:rsidRPr="00075FBC" w:rsidRDefault="00075FBC" w:rsidP="00075FBC">
      <w:pPr>
        <w:jc w:val="both"/>
        <w:rPr>
          <w:szCs w:val="22"/>
        </w:rPr>
      </w:pPr>
    </w:p>
    <w:p w:rsidR="00075FBC" w:rsidRPr="00075FBC" w:rsidRDefault="00075FBC" w:rsidP="00075FBC">
      <w:pPr>
        <w:jc w:val="both"/>
        <w:rPr>
          <w:szCs w:val="22"/>
        </w:rPr>
      </w:pPr>
      <w:r w:rsidRPr="00075FBC">
        <w:rPr>
          <w:szCs w:val="22"/>
        </w:rPr>
        <w:t xml:space="preserve">Οι ασθενείς ελάμβαναν, είτε </w:t>
      </w:r>
      <w:proofErr w:type="spellStart"/>
      <w:r w:rsidRPr="00075FBC">
        <w:rPr>
          <w:szCs w:val="22"/>
        </w:rPr>
        <w:t>ατορβαστατίνη</w:t>
      </w:r>
      <w:proofErr w:type="spellEnd"/>
      <w:r w:rsidRPr="00075FBC">
        <w:rPr>
          <w:szCs w:val="22"/>
        </w:rPr>
        <w:t xml:space="preserve"> 10 </w:t>
      </w:r>
      <w:proofErr w:type="spellStart"/>
      <w:r w:rsidRPr="00075FBC">
        <w:rPr>
          <w:szCs w:val="22"/>
        </w:rPr>
        <w:t>mg</w:t>
      </w:r>
      <w:proofErr w:type="spellEnd"/>
      <w:r w:rsidRPr="00075FBC">
        <w:rPr>
          <w:szCs w:val="22"/>
        </w:rPr>
        <w:t xml:space="preserve"> ημερησίως (n=1.428), είτε εικονικό φάρμακο (n=1.410), για μια διάμεση διάρκεια παρακολούθησης 3,9 ετών. </w:t>
      </w:r>
    </w:p>
    <w:p w:rsidR="00075FBC" w:rsidRPr="00075FBC" w:rsidRDefault="00075FBC" w:rsidP="00075FBC">
      <w:pPr>
        <w:jc w:val="both"/>
        <w:rPr>
          <w:szCs w:val="22"/>
        </w:rPr>
      </w:pPr>
    </w:p>
    <w:p w:rsidR="00075FBC" w:rsidRPr="00075FBC" w:rsidRDefault="00075FBC" w:rsidP="00075FBC">
      <w:pPr>
        <w:widowControl/>
        <w:jc w:val="both"/>
        <w:rPr>
          <w:szCs w:val="22"/>
          <w:lang w:eastAsia="x-none"/>
        </w:rPr>
      </w:pPr>
      <w:r w:rsidRPr="00075FBC">
        <w:rPr>
          <w:szCs w:val="22"/>
          <w:lang w:eastAsia="x-none"/>
        </w:rPr>
        <w:t xml:space="preserve">Η επίδραση της </w:t>
      </w:r>
      <w:proofErr w:type="spellStart"/>
      <w:r w:rsidRPr="00075FBC">
        <w:rPr>
          <w:szCs w:val="22"/>
          <w:lang w:eastAsia="x-none"/>
        </w:rPr>
        <w:t>ατορβαστατίνης</w:t>
      </w:r>
      <w:proofErr w:type="spellEnd"/>
      <w:r w:rsidRPr="00075FBC">
        <w:rPr>
          <w:szCs w:val="22"/>
          <w:lang w:eastAsia="x-none"/>
        </w:rPr>
        <w:t xml:space="preserve"> στη μείωση του απόλυτου και σχετικού κινδύνου είναι η ακόλουθη: </w:t>
      </w:r>
    </w:p>
    <w:p w:rsidR="00075FBC" w:rsidRPr="00075FBC" w:rsidRDefault="00075FBC" w:rsidP="00075FBC">
      <w:pPr>
        <w:ind w:left="-142"/>
        <w:jc w:val="both"/>
        <w:rPr>
          <w:szCs w:val="22"/>
        </w:rPr>
      </w:pPr>
    </w:p>
    <w:tbl>
      <w:tblPr>
        <w:tblW w:w="93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firstRow="1" w:lastRow="0" w:firstColumn="1" w:lastColumn="0" w:noHBand="0" w:noVBand="0"/>
      </w:tblPr>
      <w:tblGrid>
        <w:gridCol w:w="2977"/>
        <w:gridCol w:w="1701"/>
        <w:gridCol w:w="2126"/>
        <w:gridCol w:w="1560"/>
        <w:gridCol w:w="941"/>
      </w:tblGrid>
      <w:tr w:rsidR="00075FBC" w:rsidRPr="00075FBC" w:rsidTr="00C27A36">
        <w:tc>
          <w:tcPr>
            <w:tcW w:w="2977" w:type="dxa"/>
            <w:tcBorders>
              <w:left w:val="nil"/>
              <w:bottom w:val="single" w:sz="4" w:space="0" w:color="auto"/>
              <w:right w:val="nil"/>
            </w:tcBorders>
          </w:tcPr>
          <w:p w:rsidR="00075FBC" w:rsidRPr="00075FBC" w:rsidRDefault="00075FBC" w:rsidP="00075FBC">
            <w:pPr>
              <w:jc w:val="both"/>
              <w:rPr>
                <w:szCs w:val="22"/>
              </w:rPr>
            </w:pPr>
            <w:proofErr w:type="spellStart"/>
            <w:r w:rsidRPr="00075FBC">
              <w:rPr>
                <w:szCs w:val="22"/>
              </w:rPr>
              <w:t>Σύμβαμα</w:t>
            </w:r>
            <w:proofErr w:type="spellEnd"/>
            <w:r w:rsidRPr="00075FBC">
              <w:rPr>
                <w:szCs w:val="22"/>
              </w:rPr>
              <w:t xml:space="preserve"> </w:t>
            </w:r>
          </w:p>
        </w:tc>
        <w:tc>
          <w:tcPr>
            <w:tcW w:w="1701" w:type="dxa"/>
            <w:tcBorders>
              <w:left w:val="nil"/>
              <w:bottom w:val="single" w:sz="4" w:space="0" w:color="auto"/>
              <w:right w:val="nil"/>
            </w:tcBorders>
          </w:tcPr>
          <w:p w:rsidR="00075FBC" w:rsidRPr="00075FBC" w:rsidRDefault="00075FBC" w:rsidP="00075FBC">
            <w:pPr>
              <w:jc w:val="both"/>
              <w:rPr>
                <w:szCs w:val="22"/>
              </w:rPr>
            </w:pPr>
            <w:r w:rsidRPr="00075FBC">
              <w:rPr>
                <w:szCs w:val="22"/>
              </w:rPr>
              <w:t>Σχετική Μείωση κινδύνου (%)</w:t>
            </w:r>
          </w:p>
        </w:tc>
        <w:tc>
          <w:tcPr>
            <w:tcW w:w="2126" w:type="dxa"/>
            <w:tcBorders>
              <w:left w:val="nil"/>
              <w:bottom w:val="single" w:sz="4" w:space="0" w:color="auto"/>
              <w:right w:val="nil"/>
            </w:tcBorders>
          </w:tcPr>
          <w:p w:rsidR="00075FBC" w:rsidRPr="00075FBC" w:rsidRDefault="00075FBC" w:rsidP="00075FBC">
            <w:pPr>
              <w:jc w:val="both"/>
              <w:rPr>
                <w:szCs w:val="22"/>
              </w:rPr>
            </w:pPr>
            <w:r w:rsidRPr="00075FBC">
              <w:rPr>
                <w:szCs w:val="22"/>
              </w:rPr>
              <w:t xml:space="preserve">Αριθμός </w:t>
            </w:r>
            <w:proofErr w:type="spellStart"/>
            <w:r w:rsidRPr="00075FBC">
              <w:rPr>
                <w:szCs w:val="22"/>
              </w:rPr>
              <w:t>Συμβαμάτων</w:t>
            </w:r>
            <w:proofErr w:type="spellEnd"/>
            <w:r w:rsidRPr="00075FBC">
              <w:rPr>
                <w:szCs w:val="22"/>
              </w:rPr>
              <w:t xml:space="preserve"> (</w:t>
            </w:r>
            <w:proofErr w:type="spellStart"/>
            <w:r w:rsidRPr="00075FBC">
              <w:rPr>
                <w:szCs w:val="22"/>
              </w:rPr>
              <w:t>Ατορβαστατίνη</w:t>
            </w:r>
            <w:proofErr w:type="spellEnd"/>
            <w:r w:rsidRPr="00075FBC">
              <w:rPr>
                <w:szCs w:val="22"/>
              </w:rPr>
              <w:t xml:space="preserve"> έναντι εικονικού φαρμάκου)</w:t>
            </w:r>
          </w:p>
        </w:tc>
        <w:tc>
          <w:tcPr>
            <w:tcW w:w="1560" w:type="dxa"/>
            <w:tcBorders>
              <w:left w:val="nil"/>
              <w:bottom w:val="single" w:sz="4" w:space="0" w:color="auto"/>
              <w:right w:val="nil"/>
            </w:tcBorders>
          </w:tcPr>
          <w:p w:rsidR="00075FBC" w:rsidRPr="00075FBC" w:rsidRDefault="00075FBC" w:rsidP="00075FBC">
            <w:pPr>
              <w:jc w:val="both"/>
              <w:rPr>
                <w:szCs w:val="22"/>
              </w:rPr>
            </w:pPr>
            <w:r w:rsidRPr="00075FBC">
              <w:rPr>
                <w:szCs w:val="22"/>
              </w:rPr>
              <w:t>Απόλυτη Μείωση Κινδύνου</w:t>
            </w:r>
            <w:r w:rsidRPr="00075FBC">
              <w:rPr>
                <w:szCs w:val="22"/>
                <w:vertAlign w:val="superscript"/>
              </w:rPr>
              <w:t>1</w:t>
            </w:r>
            <w:r w:rsidRPr="00075FBC">
              <w:rPr>
                <w:szCs w:val="22"/>
              </w:rPr>
              <w:t xml:space="preserve"> (%)</w:t>
            </w:r>
          </w:p>
        </w:tc>
        <w:tc>
          <w:tcPr>
            <w:tcW w:w="941" w:type="dxa"/>
            <w:tcBorders>
              <w:left w:val="nil"/>
              <w:bottom w:val="single" w:sz="4" w:space="0" w:color="auto"/>
              <w:right w:val="nil"/>
            </w:tcBorders>
          </w:tcPr>
          <w:p w:rsidR="00075FBC" w:rsidRPr="00075FBC" w:rsidRDefault="00075FBC" w:rsidP="00075FBC">
            <w:pPr>
              <w:jc w:val="both"/>
              <w:rPr>
                <w:szCs w:val="22"/>
              </w:rPr>
            </w:pPr>
            <w:r w:rsidRPr="00075FBC">
              <w:rPr>
                <w:szCs w:val="22"/>
              </w:rPr>
              <w:t>Τιμή p</w:t>
            </w:r>
          </w:p>
        </w:tc>
      </w:tr>
      <w:tr w:rsidR="00075FBC" w:rsidRPr="00075FBC" w:rsidTr="00C27A36">
        <w:tc>
          <w:tcPr>
            <w:tcW w:w="2977" w:type="dxa"/>
            <w:tcBorders>
              <w:left w:val="nil"/>
              <w:bottom w:val="nil"/>
              <w:right w:val="nil"/>
            </w:tcBorders>
          </w:tcPr>
          <w:p w:rsidR="00075FBC" w:rsidRPr="00075FBC" w:rsidRDefault="00075FBC" w:rsidP="00075FBC">
            <w:pPr>
              <w:jc w:val="both"/>
              <w:rPr>
                <w:szCs w:val="22"/>
              </w:rPr>
            </w:pPr>
            <w:r w:rsidRPr="00075FBC">
              <w:rPr>
                <w:szCs w:val="22"/>
              </w:rPr>
              <w:t xml:space="preserve">Κύρια καρδιαγγειακά </w:t>
            </w:r>
            <w:proofErr w:type="spellStart"/>
            <w:r w:rsidRPr="00075FBC">
              <w:rPr>
                <w:szCs w:val="22"/>
              </w:rPr>
              <w:t>συμβάματα</w:t>
            </w:r>
            <w:proofErr w:type="spellEnd"/>
            <w:r w:rsidRPr="00075FBC">
              <w:rPr>
                <w:szCs w:val="22"/>
              </w:rPr>
              <w:t xml:space="preserve"> (θανατηφόρο και μη-θανατηφόρο ΟΕΜ, σιωπηλό ΕΜ, αιφνίδιος θάνατος από ΣΝ, ασταθής στηθάγχη, CABG, PTCA, </w:t>
            </w:r>
            <w:proofErr w:type="spellStart"/>
            <w:r w:rsidRPr="00075FBC">
              <w:rPr>
                <w:szCs w:val="22"/>
              </w:rPr>
              <w:t>επαναγγείωση</w:t>
            </w:r>
            <w:proofErr w:type="spellEnd"/>
            <w:r w:rsidRPr="00075FBC">
              <w:rPr>
                <w:szCs w:val="22"/>
              </w:rPr>
              <w:t>, εγκεφαλικό επεισόδιο)</w:t>
            </w:r>
          </w:p>
        </w:tc>
        <w:tc>
          <w:tcPr>
            <w:tcW w:w="1701" w:type="dxa"/>
            <w:tcBorders>
              <w:left w:val="nil"/>
              <w:bottom w:val="nil"/>
              <w:right w:val="nil"/>
            </w:tcBorders>
          </w:tcPr>
          <w:p w:rsidR="00075FBC" w:rsidRPr="00075FBC" w:rsidRDefault="00075FBC" w:rsidP="00075FBC">
            <w:pPr>
              <w:jc w:val="both"/>
              <w:rPr>
                <w:szCs w:val="22"/>
              </w:rPr>
            </w:pPr>
            <w:r w:rsidRPr="00075FBC">
              <w:rPr>
                <w:szCs w:val="22"/>
              </w:rPr>
              <w:t>37%</w:t>
            </w:r>
          </w:p>
        </w:tc>
        <w:tc>
          <w:tcPr>
            <w:tcW w:w="2126" w:type="dxa"/>
            <w:tcBorders>
              <w:left w:val="nil"/>
              <w:bottom w:val="nil"/>
              <w:right w:val="nil"/>
            </w:tcBorders>
          </w:tcPr>
          <w:p w:rsidR="00075FBC" w:rsidRPr="00075FBC" w:rsidRDefault="00075FBC" w:rsidP="00075FBC">
            <w:pPr>
              <w:jc w:val="both"/>
              <w:rPr>
                <w:szCs w:val="22"/>
              </w:rPr>
            </w:pPr>
            <w:r w:rsidRPr="00075FBC">
              <w:rPr>
                <w:szCs w:val="22"/>
              </w:rPr>
              <w:t>83 έναντι 127</w:t>
            </w:r>
          </w:p>
        </w:tc>
        <w:tc>
          <w:tcPr>
            <w:tcW w:w="1560" w:type="dxa"/>
            <w:tcBorders>
              <w:left w:val="nil"/>
              <w:bottom w:val="nil"/>
              <w:right w:val="nil"/>
            </w:tcBorders>
          </w:tcPr>
          <w:p w:rsidR="00075FBC" w:rsidRPr="00075FBC" w:rsidRDefault="00075FBC" w:rsidP="00075FBC">
            <w:pPr>
              <w:jc w:val="both"/>
              <w:rPr>
                <w:szCs w:val="22"/>
              </w:rPr>
            </w:pPr>
            <w:r w:rsidRPr="00075FBC">
              <w:rPr>
                <w:szCs w:val="22"/>
              </w:rPr>
              <w:t>3,2%</w:t>
            </w:r>
          </w:p>
        </w:tc>
        <w:tc>
          <w:tcPr>
            <w:tcW w:w="941" w:type="dxa"/>
            <w:tcBorders>
              <w:left w:val="nil"/>
              <w:bottom w:val="nil"/>
              <w:right w:val="nil"/>
            </w:tcBorders>
          </w:tcPr>
          <w:p w:rsidR="00075FBC" w:rsidRPr="00075FBC" w:rsidRDefault="00075FBC" w:rsidP="00075FBC">
            <w:pPr>
              <w:jc w:val="both"/>
              <w:rPr>
                <w:szCs w:val="22"/>
              </w:rPr>
            </w:pPr>
            <w:r w:rsidRPr="00075FBC">
              <w:rPr>
                <w:szCs w:val="22"/>
              </w:rPr>
              <w:t>0,0010</w:t>
            </w:r>
          </w:p>
        </w:tc>
      </w:tr>
      <w:tr w:rsidR="00075FBC" w:rsidRPr="00075FBC" w:rsidTr="00C27A36">
        <w:tc>
          <w:tcPr>
            <w:tcW w:w="2977" w:type="dxa"/>
            <w:tcBorders>
              <w:top w:val="nil"/>
              <w:left w:val="nil"/>
              <w:bottom w:val="nil"/>
              <w:right w:val="nil"/>
            </w:tcBorders>
          </w:tcPr>
          <w:p w:rsidR="00075FBC" w:rsidRPr="00075FBC" w:rsidRDefault="00075FBC" w:rsidP="00075FBC">
            <w:pPr>
              <w:jc w:val="both"/>
              <w:rPr>
                <w:szCs w:val="22"/>
              </w:rPr>
            </w:pPr>
            <w:r w:rsidRPr="00075FBC">
              <w:rPr>
                <w:szCs w:val="22"/>
              </w:rPr>
              <w:t>ΕΜ (θανατηφόρο και μη-θανατηφόρο ΟΕΜ, σιωπηλό ΕΜ)</w:t>
            </w:r>
          </w:p>
        </w:tc>
        <w:tc>
          <w:tcPr>
            <w:tcW w:w="1701" w:type="dxa"/>
            <w:tcBorders>
              <w:top w:val="nil"/>
              <w:left w:val="nil"/>
              <w:bottom w:val="nil"/>
              <w:right w:val="nil"/>
            </w:tcBorders>
          </w:tcPr>
          <w:p w:rsidR="00075FBC" w:rsidRPr="00075FBC" w:rsidRDefault="00075FBC" w:rsidP="00075FBC">
            <w:pPr>
              <w:jc w:val="both"/>
              <w:rPr>
                <w:szCs w:val="22"/>
              </w:rPr>
            </w:pPr>
            <w:r w:rsidRPr="00075FBC">
              <w:rPr>
                <w:szCs w:val="22"/>
              </w:rPr>
              <w:t>42%</w:t>
            </w:r>
          </w:p>
        </w:tc>
        <w:tc>
          <w:tcPr>
            <w:tcW w:w="2126" w:type="dxa"/>
            <w:tcBorders>
              <w:top w:val="nil"/>
              <w:left w:val="nil"/>
              <w:bottom w:val="nil"/>
              <w:right w:val="nil"/>
            </w:tcBorders>
          </w:tcPr>
          <w:p w:rsidR="00075FBC" w:rsidRPr="00075FBC" w:rsidRDefault="00075FBC" w:rsidP="00075FBC">
            <w:pPr>
              <w:jc w:val="both"/>
              <w:rPr>
                <w:szCs w:val="22"/>
              </w:rPr>
            </w:pPr>
            <w:r w:rsidRPr="00075FBC">
              <w:rPr>
                <w:szCs w:val="22"/>
              </w:rPr>
              <w:t>38 έναντι 64</w:t>
            </w:r>
          </w:p>
        </w:tc>
        <w:tc>
          <w:tcPr>
            <w:tcW w:w="1560" w:type="dxa"/>
            <w:tcBorders>
              <w:top w:val="nil"/>
              <w:left w:val="nil"/>
              <w:bottom w:val="nil"/>
              <w:right w:val="nil"/>
            </w:tcBorders>
          </w:tcPr>
          <w:p w:rsidR="00075FBC" w:rsidRPr="00075FBC" w:rsidRDefault="00075FBC" w:rsidP="00075FBC">
            <w:pPr>
              <w:jc w:val="both"/>
              <w:rPr>
                <w:szCs w:val="22"/>
              </w:rPr>
            </w:pPr>
            <w:r w:rsidRPr="00075FBC">
              <w:rPr>
                <w:szCs w:val="22"/>
              </w:rPr>
              <w:t>1,9%</w:t>
            </w:r>
          </w:p>
        </w:tc>
        <w:tc>
          <w:tcPr>
            <w:tcW w:w="941" w:type="dxa"/>
            <w:tcBorders>
              <w:top w:val="nil"/>
              <w:left w:val="nil"/>
              <w:bottom w:val="nil"/>
              <w:right w:val="nil"/>
            </w:tcBorders>
          </w:tcPr>
          <w:p w:rsidR="00075FBC" w:rsidRPr="00075FBC" w:rsidRDefault="00075FBC" w:rsidP="00075FBC">
            <w:pPr>
              <w:jc w:val="both"/>
              <w:rPr>
                <w:szCs w:val="22"/>
              </w:rPr>
            </w:pPr>
            <w:r w:rsidRPr="00075FBC">
              <w:rPr>
                <w:szCs w:val="22"/>
              </w:rPr>
              <w:t>0,0070</w:t>
            </w:r>
          </w:p>
        </w:tc>
      </w:tr>
      <w:tr w:rsidR="00075FBC" w:rsidRPr="00075FBC" w:rsidTr="00C27A36">
        <w:tc>
          <w:tcPr>
            <w:tcW w:w="2977" w:type="dxa"/>
            <w:tcBorders>
              <w:top w:val="nil"/>
              <w:left w:val="nil"/>
              <w:right w:val="nil"/>
            </w:tcBorders>
          </w:tcPr>
          <w:p w:rsidR="00075FBC" w:rsidRPr="00075FBC" w:rsidRDefault="00075FBC" w:rsidP="00075FBC">
            <w:pPr>
              <w:jc w:val="both"/>
              <w:rPr>
                <w:szCs w:val="22"/>
              </w:rPr>
            </w:pPr>
            <w:r w:rsidRPr="00075FBC">
              <w:rPr>
                <w:szCs w:val="22"/>
              </w:rPr>
              <w:t>Αγγειακά εγκεφαλικά επεισόδια (θανατηφόρα και μη-θανατηφόρα)</w:t>
            </w:r>
          </w:p>
        </w:tc>
        <w:tc>
          <w:tcPr>
            <w:tcW w:w="1701" w:type="dxa"/>
            <w:tcBorders>
              <w:top w:val="nil"/>
              <w:left w:val="nil"/>
              <w:right w:val="nil"/>
            </w:tcBorders>
          </w:tcPr>
          <w:p w:rsidR="00075FBC" w:rsidRPr="00075FBC" w:rsidRDefault="00075FBC" w:rsidP="00075FBC">
            <w:pPr>
              <w:jc w:val="both"/>
              <w:rPr>
                <w:szCs w:val="22"/>
              </w:rPr>
            </w:pPr>
            <w:r w:rsidRPr="00075FBC">
              <w:rPr>
                <w:szCs w:val="22"/>
              </w:rPr>
              <w:t>48%</w:t>
            </w:r>
          </w:p>
        </w:tc>
        <w:tc>
          <w:tcPr>
            <w:tcW w:w="2126" w:type="dxa"/>
            <w:tcBorders>
              <w:top w:val="nil"/>
              <w:left w:val="nil"/>
              <w:right w:val="nil"/>
            </w:tcBorders>
          </w:tcPr>
          <w:p w:rsidR="00075FBC" w:rsidRPr="00075FBC" w:rsidRDefault="00075FBC" w:rsidP="00075FBC">
            <w:pPr>
              <w:jc w:val="both"/>
              <w:rPr>
                <w:szCs w:val="22"/>
              </w:rPr>
            </w:pPr>
            <w:r w:rsidRPr="00075FBC">
              <w:rPr>
                <w:szCs w:val="22"/>
              </w:rPr>
              <w:t>21 έναντι 39</w:t>
            </w:r>
          </w:p>
        </w:tc>
        <w:tc>
          <w:tcPr>
            <w:tcW w:w="1560" w:type="dxa"/>
            <w:tcBorders>
              <w:top w:val="nil"/>
              <w:left w:val="nil"/>
              <w:right w:val="nil"/>
            </w:tcBorders>
          </w:tcPr>
          <w:p w:rsidR="00075FBC" w:rsidRPr="00075FBC" w:rsidRDefault="00075FBC" w:rsidP="00075FBC">
            <w:pPr>
              <w:jc w:val="both"/>
              <w:rPr>
                <w:szCs w:val="22"/>
              </w:rPr>
            </w:pPr>
            <w:r w:rsidRPr="00075FBC">
              <w:rPr>
                <w:szCs w:val="22"/>
              </w:rPr>
              <w:t>1,3%</w:t>
            </w:r>
          </w:p>
        </w:tc>
        <w:tc>
          <w:tcPr>
            <w:tcW w:w="941" w:type="dxa"/>
            <w:tcBorders>
              <w:top w:val="nil"/>
              <w:left w:val="nil"/>
              <w:right w:val="nil"/>
            </w:tcBorders>
          </w:tcPr>
          <w:p w:rsidR="00075FBC" w:rsidRPr="00075FBC" w:rsidRDefault="00075FBC" w:rsidP="00075FBC">
            <w:pPr>
              <w:jc w:val="both"/>
              <w:rPr>
                <w:szCs w:val="22"/>
              </w:rPr>
            </w:pPr>
            <w:r w:rsidRPr="00075FBC">
              <w:rPr>
                <w:szCs w:val="22"/>
              </w:rPr>
              <w:t>0,0163</w:t>
            </w:r>
          </w:p>
        </w:tc>
      </w:tr>
    </w:tbl>
    <w:p w:rsidR="00075FBC" w:rsidRPr="00075FBC" w:rsidRDefault="00075FBC" w:rsidP="00075FBC">
      <w:pPr>
        <w:ind w:left="720"/>
        <w:jc w:val="both"/>
        <w:rPr>
          <w:szCs w:val="22"/>
        </w:rPr>
      </w:pPr>
      <w:r w:rsidRPr="00075FBC">
        <w:rPr>
          <w:szCs w:val="22"/>
          <w:vertAlign w:val="superscript"/>
        </w:rPr>
        <w:t xml:space="preserve">1 </w:t>
      </w:r>
      <w:r w:rsidRPr="00075FBC">
        <w:rPr>
          <w:szCs w:val="22"/>
        </w:rPr>
        <w:t xml:space="preserve">Βασίζεται στη διαφορά των πρωτογενών συχνοτήτων εμφάνισης των </w:t>
      </w:r>
      <w:proofErr w:type="spellStart"/>
      <w:r w:rsidRPr="00075FBC">
        <w:rPr>
          <w:szCs w:val="22"/>
        </w:rPr>
        <w:t>συμβαμάτων</w:t>
      </w:r>
      <w:proofErr w:type="spellEnd"/>
      <w:r w:rsidRPr="00075FBC">
        <w:rPr>
          <w:szCs w:val="22"/>
        </w:rPr>
        <w:t xml:space="preserve"> που παρουσιάζονται σε μια διάμεση περίοδο παρακολούθησης 3,9 ετών.</w:t>
      </w:r>
    </w:p>
    <w:p w:rsidR="00075FBC" w:rsidRPr="00075FBC" w:rsidRDefault="00075FBC" w:rsidP="00075FBC">
      <w:pPr>
        <w:ind w:left="720"/>
        <w:jc w:val="both"/>
        <w:rPr>
          <w:szCs w:val="22"/>
        </w:rPr>
      </w:pPr>
      <w:r w:rsidRPr="00075FBC">
        <w:rPr>
          <w:szCs w:val="22"/>
        </w:rPr>
        <w:t xml:space="preserve">ΟΕΜ: Οξύ έμφραγμα μυοκαρδίου, CABG= </w:t>
      </w:r>
      <w:proofErr w:type="spellStart"/>
      <w:r w:rsidRPr="00075FBC">
        <w:rPr>
          <w:szCs w:val="22"/>
        </w:rPr>
        <w:t>coronary</w:t>
      </w:r>
      <w:proofErr w:type="spellEnd"/>
      <w:r w:rsidRPr="00075FBC">
        <w:rPr>
          <w:szCs w:val="22"/>
        </w:rPr>
        <w:t xml:space="preserve"> </w:t>
      </w:r>
      <w:proofErr w:type="spellStart"/>
      <w:r w:rsidRPr="00075FBC">
        <w:rPr>
          <w:szCs w:val="22"/>
        </w:rPr>
        <w:t>artery</w:t>
      </w:r>
      <w:proofErr w:type="spellEnd"/>
      <w:r w:rsidRPr="00075FBC">
        <w:rPr>
          <w:szCs w:val="22"/>
        </w:rPr>
        <w:t xml:space="preserve"> </w:t>
      </w:r>
      <w:proofErr w:type="spellStart"/>
      <w:r w:rsidRPr="00075FBC">
        <w:rPr>
          <w:szCs w:val="22"/>
        </w:rPr>
        <w:t>bypass</w:t>
      </w:r>
      <w:proofErr w:type="spellEnd"/>
      <w:r w:rsidRPr="00075FBC">
        <w:rPr>
          <w:szCs w:val="22"/>
        </w:rPr>
        <w:t xml:space="preserve"> </w:t>
      </w:r>
      <w:proofErr w:type="spellStart"/>
      <w:r w:rsidRPr="00075FBC">
        <w:rPr>
          <w:szCs w:val="22"/>
        </w:rPr>
        <w:t>graft</w:t>
      </w:r>
      <w:proofErr w:type="spellEnd"/>
      <w:r w:rsidRPr="00075FBC">
        <w:rPr>
          <w:szCs w:val="22"/>
        </w:rPr>
        <w:t xml:space="preserve"> -Παρακαμπτήριο μόσχευμα στεφανιαίου αγγείου,  ΣΝ: Στεφανιαία Νόσος. </w:t>
      </w:r>
    </w:p>
    <w:p w:rsidR="00075FBC" w:rsidRPr="00075FBC" w:rsidRDefault="00075FBC" w:rsidP="00075FBC">
      <w:pPr>
        <w:ind w:left="720"/>
        <w:jc w:val="both"/>
        <w:rPr>
          <w:szCs w:val="22"/>
        </w:rPr>
      </w:pPr>
      <w:r w:rsidRPr="00075FBC">
        <w:rPr>
          <w:szCs w:val="22"/>
        </w:rPr>
        <w:t xml:space="preserve">ΕΜ: Έμφραγμα Μυοκαρδίου, PTCA= </w:t>
      </w:r>
      <w:proofErr w:type="spellStart"/>
      <w:r w:rsidRPr="00075FBC">
        <w:rPr>
          <w:szCs w:val="22"/>
        </w:rPr>
        <w:t>percutaneous</w:t>
      </w:r>
      <w:proofErr w:type="spellEnd"/>
      <w:r w:rsidRPr="00075FBC">
        <w:rPr>
          <w:szCs w:val="22"/>
        </w:rPr>
        <w:t xml:space="preserve"> </w:t>
      </w:r>
      <w:proofErr w:type="spellStart"/>
      <w:r w:rsidRPr="00075FBC">
        <w:rPr>
          <w:szCs w:val="22"/>
        </w:rPr>
        <w:t>transluminal</w:t>
      </w:r>
      <w:proofErr w:type="spellEnd"/>
      <w:r w:rsidRPr="00075FBC">
        <w:rPr>
          <w:szCs w:val="22"/>
        </w:rPr>
        <w:t xml:space="preserve"> </w:t>
      </w:r>
      <w:proofErr w:type="spellStart"/>
      <w:r w:rsidRPr="00075FBC">
        <w:rPr>
          <w:szCs w:val="22"/>
        </w:rPr>
        <w:t>coronary</w:t>
      </w:r>
      <w:proofErr w:type="spellEnd"/>
      <w:r w:rsidRPr="00075FBC">
        <w:rPr>
          <w:szCs w:val="22"/>
        </w:rPr>
        <w:t xml:space="preserve"> </w:t>
      </w:r>
      <w:proofErr w:type="spellStart"/>
      <w:r w:rsidRPr="00075FBC">
        <w:rPr>
          <w:szCs w:val="22"/>
        </w:rPr>
        <w:t>angioplasty</w:t>
      </w:r>
      <w:proofErr w:type="spellEnd"/>
      <w:r w:rsidRPr="00075FBC">
        <w:rPr>
          <w:szCs w:val="22"/>
        </w:rPr>
        <w:t xml:space="preserve"> - </w:t>
      </w:r>
      <w:proofErr w:type="spellStart"/>
      <w:r w:rsidRPr="00075FBC">
        <w:rPr>
          <w:szCs w:val="22"/>
        </w:rPr>
        <w:t>Διαδερμική</w:t>
      </w:r>
      <w:proofErr w:type="spellEnd"/>
      <w:r w:rsidRPr="00075FBC">
        <w:rPr>
          <w:szCs w:val="22"/>
        </w:rPr>
        <w:t xml:space="preserve"> διαυλική αγγειοπλαστική στεφανιαίων.</w:t>
      </w:r>
    </w:p>
    <w:p w:rsidR="00075FBC" w:rsidRPr="00075FBC" w:rsidRDefault="00075FBC" w:rsidP="00075FBC">
      <w:pPr>
        <w:ind w:left="-142"/>
        <w:jc w:val="both"/>
        <w:rPr>
          <w:szCs w:val="22"/>
        </w:rPr>
      </w:pPr>
    </w:p>
    <w:p w:rsidR="00075FBC" w:rsidRPr="00075FBC" w:rsidRDefault="00075FBC" w:rsidP="00075FBC">
      <w:pPr>
        <w:jc w:val="both"/>
        <w:rPr>
          <w:iCs/>
          <w:szCs w:val="22"/>
        </w:rPr>
      </w:pPr>
      <w:r w:rsidRPr="00075FBC">
        <w:rPr>
          <w:szCs w:val="22"/>
        </w:rPr>
        <w:t>Δεν υπήρξαν στοιχεία που να υποστηρίζουν διαφορά στην επίδραση της θεραπείας, ανάλογα με το φύλο, την ηλικία ή τα αρχικά επίπεδα της LDL-χοληστερόλης των ασθενών.</w:t>
      </w:r>
      <w:r w:rsidRPr="00075FBC">
        <w:rPr>
          <w:iCs/>
          <w:szCs w:val="22"/>
        </w:rPr>
        <w:t xml:space="preserve"> Παρατηρήθηκε μια ευνοϊκή τάση, όσον αφορά τη θνησιμότητα (82 θάνατοι στην ομάδα του εικονικού φαρμάκου συγκριτικά με 61 θανάτους στην ομάδα της </w:t>
      </w:r>
      <w:proofErr w:type="spellStart"/>
      <w:r w:rsidRPr="00075FBC">
        <w:rPr>
          <w:iCs/>
          <w:szCs w:val="22"/>
        </w:rPr>
        <w:t>ατορβαστατίνης</w:t>
      </w:r>
      <w:proofErr w:type="spellEnd"/>
      <w:r w:rsidRPr="00075FBC">
        <w:rPr>
          <w:iCs/>
          <w:szCs w:val="22"/>
        </w:rPr>
        <w:t>, p=0,0592).</w:t>
      </w:r>
    </w:p>
    <w:p w:rsidR="00075FBC" w:rsidRPr="00075FBC" w:rsidRDefault="00075FBC" w:rsidP="00075FBC">
      <w:pPr>
        <w:jc w:val="both"/>
        <w:rPr>
          <w:szCs w:val="22"/>
        </w:rPr>
      </w:pPr>
    </w:p>
    <w:p w:rsidR="00075FBC" w:rsidRPr="00075FBC" w:rsidRDefault="00075FBC" w:rsidP="00075FBC">
      <w:pPr>
        <w:spacing w:after="120"/>
        <w:jc w:val="both"/>
        <w:rPr>
          <w:iCs/>
          <w:u w:val="single"/>
        </w:rPr>
      </w:pPr>
      <w:r w:rsidRPr="00075FBC">
        <w:rPr>
          <w:iCs/>
          <w:u w:val="single"/>
        </w:rPr>
        <w:t>Υποτροπή αγγειακού εγκεφαλικού επεισοδίου</w:t>
      </w:r>
    </w:p>
    <w:p w:rsidR="00075FBC" w:rsidRPr="00075FBC" w:rsidRDefault="00075FBC" w:rsidP="00075FBC">
      <w:pPr>
        <w:jc w:val="both"/>
        <w:rPr>
          <w:iCs/>
        </w:rPr>
      </w:pPr>
      <w:r w:rsidRPr="00075FBC">
        <w:rPr>
          <w:iCs/>
        </w:rPr>
        <w:t xml:space="preserve">Στη μελέτη </w:t>
      </w:r>
      <w:r w:rsidRPr="00075FBC">
        <w:rPr>
          <w:szCs w:val="22"/>
        </w:rPr>
        <w:t xml:space="preserve">Πρόληψης Αγγειακού Εγκεφαλικού Επεισοδίου με Επιθετική Μείωση των </w:t>
      </w:r>
      <w:r w:rsidRPr="00075FBC">
        <w:rPr>
          <w:szCs w:val="22"/>
        </w:rPr>
        <w:lastRenderedPageBreak/>
        <w:t>Επιπέδων Χοληστερόλης (</w:t>
      </w:r>
      <w:proofErr w:type="spellStart"/>
      <w:r w:rsidRPr="00075FBC">
        <w:rPr>
          <w:iCs/>
          <w:szCs w:val="22"/>
        </w:rPr>
        <w:t>Stroke</w:t>
      </w:r>
      <w:proofErr w:type="spellEnd"/>
      <w:r w:rsidRPr="00075FBC">
        <w:rPr>
          <w:iCs/>
          <w:szCs w:val="22"/>
        </w:rPr>
        <w:t xml:space="preserve"> </w:t>
      </w:r>
      <w:proofErr w:type="spellStart"/>
      <w:r w:rsidRPr="00075FBC">
        <w:rPr>
          <w:iCs/>
        </w:rPr>
        <w:t>Prevention</w:t>
      </w:r>
      <w:proofErr w:type="spellEnd"/>
      <w:r w:rsidRPr="00075FBC">
        <w:rPr>
          <w:iCs/>
        </w:rPr>
        <w:t xml:space="preserve"> </w:t>
      </w:r>
      <w:proofErr w:type="spellStart"/>
      <w:r w:rsidRPr="00075FBC">
        <w:rPr>
          <w:iCs/>
        </w:rPr>
        <w:t>by</w:t>
      </w:r>
      <w:proofErr w:type="spellEnd"/>
      <w:r w:rsidRPr="00075FBC">
        <w:rPr>
          <w:iCs/>
        </w:rPr>
        <w:t xml:space="preserve"> </w:t>
      </w:r>
      <w:proofErr w:type="spellStart"/>
      <w:r w:rsidRPr="00075FBC">
        <w:rPr>
          <w:iCs/>
        </w:rPr>
        <w:t>Aggressive</w:t>
      </w:r>
      <w:proofErr w:type="spellEnd"/>
      <w:r w:rsidRPr="00075FBC">
        <w:rPr>
          <w:iCs/>
        </w:rPr>
        <w:t xml:space="preserve"> </w:t>
      </w:r>
      <w:proofErr w:type="spellStart"/>
      <w:r w:rsidRPr="00075FBC">
        <w:rPr>
          <w:iCs/>
        </w:rPr>
        <w:t>Reduction</w:t>
      </w:r>
      <w:proofErr w:type="spellEnd"/>
      <w:r w:rsidRPr="00075FBC">
        <w:rPr>
          <w:iCs/>
        </w:rPr>
        <w:t xml:space="preserve"> </w:t>
      </w:r>
      <w:proofErr w:type="spellStart"/>
      <w:r w:rsidRPr="00075FBC">
        <w:rPr>
          <w:iCs/>
        </w:rPr>
        <w:t>in</w:t>
      </w:r>
      <w:proofErr w:type="spellEnd"/>
      <w:r w:rsidRPr="00075FBC">
        <w:rPr>
          <w:iCs/>
        </w:rPr>
        <w:t xml:space="preserve"> </w:t>
      </w:r>
      <w:proofErr w:type="spellStart"/>
      <w:r w:rsidRPr="00075FBC">
        <w:rPr>
          <w:iCs/>
        </w:rPr>
        <w:t>Cholesterol</w:t>
      </w:r>
      <w:proofErr w:type="spellEnd"/>
      <w:r w:rsidRPr="00075FBC">
        <w:rPr>
          <w:iCs/>
        </w:rPr>
        <w:t xml:space="preserve"> </w:t>
      </w:r>
      <w:proofErr w:type="spellStart"/>
      <w:r w:rsidRPr="00075FBC">
        <w:rPr>
          <w:iCs/>
        </w:rPr>
        <w:t>Levels</w:t>
      </w:r>
      <w:proofErr w:type="spellEnd"/>
      <w:r w:rsidRPr="00075FBC">
        <w:rPr>
          <w:iCs/>
        </w:rPr>
        <w:t xml:space="preserve"> - SPARCL), η επίδραση της </w:t>
      </w:r>
      <w:proofErr w:type="spellStart"/>
      <w:r w:rsidRPr="00075FBC">
        <w:rPr>
          <w:iCs/>
        </w:rPr>
        <w:t>ατορβαστατίνης</w:t>
      </w:r>
      <w:proofErr w:type="spellEnd"/>
      <w:r w:rsidRPr="00075FBC">
        <w:rPr>
          <w:iCs/>
        </w:rPr>
        <w:t xml:space="preserve"> 80 </w:t>
      </w:r>
      <w:proofErr w:type="spellStart"/>
      <w:r w:rsidRPr="00075FBC">
        <w:rPr>
          <w:iCs/>
        </w:rPr>
        <w:t>mg</w:t>
      </w:r>
      <w:proofErr w:type="spellEnd"/>
      <w:r w:rsidRPr="00075FBC">
        <w:rPr>
          <w:iCs/>
        </w:rPr>
        <w:t xml:space="preserve"> ημερησίως ή εικονικού φαρμάκου στο αγγειακό εγκεφαλικό επεισόδιο αξιολογήθηκε σε 4731 ασθενείς, που είχαν έν</w:t>
      </w:r>
      <w:r w:rsidRPr="00075FBC">
        <w:rPr>
          <w:iCs/>
          <w:szCs w:val="22"/>
        </w:rPr>
        <w:t xml:space="preserve">α </w:t>
      </w:r>
      <w:r w:rsidRPr="00075FBC">
        <w:rPr>
          <w:szCs w:val="22"/>
        </w:rPr>
        <w:t>αγγειακό εγκεφαλικό επεισόδιο</w:t>
      </w:r>
      <w:r w:rsidRPr="00075FBC">
        <w:rPr>
          <w:iCs/>
          <w:szCs w:val="22"/>
        </w:rPr>
        <w:t xml:space="preserve"> ή </w:t>
      </w:r>
      <w:r w:rsidRPr="00075FBC">
        <w:rPr>
          <w:szCs w:val="22"/>
        </w:rPr>
        <w:t>παροδικό ισχαιμικό</w:t>
      </w:r>
      <w:r w:rsidRPr="00075FBC">
        <w:rPr>
          <w:iCs/>
          <w:szCs w:val="22"/>
        </w:rPr>
        <w:t xml:space="preserve"> επεισόδιο (ΤΙΑ) μέσα στους προηγούμενους 6 μήνες και δεν είχαν ιστορικό στεφανιαίας νόσου</w:t>
      </w:r>
      <w:r w:rsidRPr="00075FBC">
        <w:rPr>
          <w:iCs/>
        </w:rPr>
        <w:t xml:space="preserve"> (ΣΝ). Οι ασθενείς ήταν 60% άνδρες, ηλικίας 21-92 ετών (μέση ηλικία ήταν τα 63 έτη) και στην αρχική επίσκεψη είχαν μέση τιμή LDL 133 </w:t>
      </w:r>
      <w:proofErr w:type="spellStart"/>
      <w:r w:rsidRPr="00075FBC">
        <w:rPr>
          <w:iCs/>
        </w:rPr>
        <w:t>mg</w:t>
      </w:r>
      <w:proofErr w:type="spellEnd"/>
      <w:r w:rsidRPr="00075FBC">
        <w:rPr>
          <w:iCs/>
        </w:rPr>
        <w:t>/</w:t>
      </w:r>
      <w:proofErr w:type="spellStart"/>
      <w:r w:rsidRPr="00075FBC">
        <w:rPr>
          <w:iCs/>
        </w:rPr>
        <w:t>dL</w:t>
      </w:r>
      <w:proofErr w:type="spellEnd"/>
      <w:r w:rsidRPr="00075FBC">
        <w:rPr>
          <w:iCs/>
        </w:rPr>
        <w:t xml:space="preserve"> (3,4 </w:t>
      </w:r>
      <w:proofErr w:type="spellStart"/>
      <w:r w:rsidRPr="00075FBC">
        <w:rPr>
          <w:iCs/>
        </w:rPr>
        <w:t>mmol</w:t>
      </w:r>
      <w:proofErr w:type="spellEnd"/>
      <w:r w:rsidRPr="00075FBC">
        <w:rPr>
          <w:iCs/>
        </w:rPr>
        <w:t>/L). Η μέση τιμή της LDL-C ήταν 73 </w:t>
      </w:r>
      <w:proofErr w:type="spellStart"/>
      <w:r w:rsidRPr="00075FBC">
        <w:rPr>
          <w:iCs/>
        </w:rPr>
        <w:t>mg</w:t>
      </w:r>
      <w:proofErr w:type="spellEnd"/>
      <w:r w:rsidRPr="00075FBC">
        <w:rPr>
          <w:iCs/>
        </w:rPr>
        <w:t>/</w:t>
      </w:r>
      <w:proofErr w:type="spellStart"/>
      <w:r w:rsidRPr="00075FBC">
        <w:rPr>
          <w:iCs/>
        </w:rPr>
        <w:t>dL</w:t>
      </w:r>
      <w:proofErr w:type="spellEnd"/>
      <w:r w:rsidRPr="00075FBC">
        <w:rPr>
          <w:iCs/>
        </w:rPr>
        <w:t xml:space="preserve"> (1,9 </w:t>
      </w:r>
      <w:proofErr w:type="spellStart"/>
      <w:r w:rsidRPr="00075FBC">
        <w:rPr>
          <w:iCs/>
        </w:rPr>
        <w:t>mmol</w:t>
      </w:r>
      <w:proofErr w:type="spellEnd"/>
      <w:r w:rsidRPr="00075FBC">
        <w:rPr>
          <w:iCs/>
        </w:rPr>
        <w:t xml:space="preserve">/L) κατά τη θεραπεία με </w:t>
      </w:r>
      <w:proofErr w:type="spellStart"/>
      <w:r w:rsidRPr="00075FBC">
        <w:rPr>
          <w:iCs/>
        </w:rPr>
        <w:t>ατορβαστατίνη</w:t>
      </w:r>
      <w:proofErr w:type="spellEnd"/>
      <w:r w:rsidRPr="00075FBC">
        <w:rPr>
          <w:iCs/>
        </w:rPr>
        <w:t xml:space="preserve"> και 129 </w:t>
      </w:r>
      <w:proofErr w:type="spellStart"/>
      <w:r w:rsidRPr="00075FBC">
        <w:rPr>
          <w:iCs/>
        </w:rPr>
        <w:t>mg</w:t>
      </w:r>
      <w:proofErr w:type="spellEnd"/>
      <w:r w:rsidRPr="00075FBC">
        <w:rPr>
          <w:iCs/>
        </w:rPr>
        <w:t>/</w:t>
      </w:r>
      <w:proofErr w:type="spellStart"/>
      <w:r w:rsidRPr="00075FBC">
        <w:rPr>
          <w:iCs/>
        </w:rPr>
        <w:t>dL</w:t>
      </w:r>
      <w:proofErr w:type="spellEnd"/>
      <w:r w:rsidRPr="00075FBC">
        <w:rPr>
          <w:iCs/>
        </w:rPr>
        <w:t xml:space="preserve"> (3,3 </w:t>
      </w:r>
      <w:proofErr w:type="spellStart"/>
      <w:r w:rsidRPr="00075FBC">
        <w:rPr>
          <w:iCs/>
        </w:rPr>
        <w:t>mmol</w:t>
      </w:r>
      <w:proofErr w:type="spellEnd"/>
      <w:r w:rsidRPr="00075FBC">
        <w:rPr>
          <w:iCs/>
        </w:rPr>
        <w:t>/L) κατά τη θεραπεία με εικονικό φάρμακο. Διάμεση παρακολούθηση ήταν τα 4,9 έτη.</w:t>
      </w:r>
    </w:p>
    <w:p w:rsidR="00075FBC" w:rsidRPr="00075FBC" w:rsidRDefault="00075FBC" w:rsidP="00075FBC">
      <w:pPr>
        <w:jc w:val="both"/>
        <w:rPr>
          <w:iCs/>
        </w:rPr>
      </w:pPr>
    </w:p>
    <w:p w:rsidR="00075FBC" w:rsidRPr="00075FBC" w:rsidRDefault="00075FBC" w:rsidP="00075FBC">
      <w:pPr>
        <w:jc w:val="both"/>
        <w:rPr>
          <w:iCs/>
        </w:rPr>
      </w:pPr>
      <w:r w:rsidRPr="00075FBC">
        <w:rPr>
          <w:iCs/>
        </w:rPr>
        <w:t xml:space="preserve">Η </w:t>
      </w:r>
      <w:proofErr w:type="spellStart"/>
      <w:r w:rsidRPr="00075FBC">
        <w:rPr>
          <w:iCs/>
        </w:rPr>
        <w:t>ατορβαστατίνη</w:t>
      </w:r>
      <w:proofErr w:type="spellEnd"/>
      <w:r w:rsidRPr="00075FBC">
        <w:rPr>
          <w:iCs/>
        </w:rPr>
        <w:t xml:space="preserve"> 80 </w:t>
      </w:r>
      <w:proofErr w:type="spellStart"/>
      <w:r w:rsidRPr="00075FBC">
        <w:rPr>
          <w:iCs/>
        </w:rPr>
        <w:t>mg</w:t>
      </w:r>
      <w:proofErr w:type="spellEnd"/>
      <w:r w:rsidRPr="00075FBC">
        <w:rPr>
          <w:iCs/>
        </w:rPr>
        <w:t xml:space="preserve"> μείωσε τον κίνδυνο </w:t>
      </w:r>
      <w:r w:rsidRPr="00075FBC">
        <w:rPr>
          <w:iCs/>
          <w:szCs w:val="22"/>
        </w:rPr>
        <w:t xml:space="preserve">του πρωτεύοντος τελικού σημείου, που ήταν το θανατηφόρο και μη θανατηφόρο </w:t>
      </w:r>
      <w:r w:rsidRPr="00075FBC">
        <w:rPr>
          <w:iCs/>
        </w:rPr>
        <w:t>αγγειακό εγκεφαλικό επεισόδιο, κατά 15% (</w:t>
      </w:r>
      <w:r w:rsidRPr="00075FBC">
        <w:t>HR</w:t>
      </w:r>
      <w:r w:rsidRPr="00075FBC">
        <w:rPr>
          <w:iCs/>
        </w:rPr>
        <w:t xml:space="preserve"> 0,85; 95% CI, 0,72-1,00, p =0,05 ή 0,84; 95% CI, 0,71-0,99, p=0,03 μετά τη διόρθωση ως προς τις τιμές των παραγόντων στην αρχική επίσκεψη, συγκριτικά με το εικονικό φάρμακο. Η θνησιμότητα από κάθε αίτιο ήταν 9,1% (216/2365) για την </w:t>
      </w:r>
      <w:proofErr w:type="spellStart"/>
      <w:r w:rsidRPr="00075FBC">
        <w:rPr>
          <w:iCs/>
        </w:rPr>
        <w:t>ατορβαστατίνη</w:t>
      </w:r>
      <w:proofErr w:type="spellEnd"/>
      <w:r w:rsidRPr="00075FBC">
        <w:rPr>
          <w:iCs/>
        </w:rPr>
        <w:t>, έναντι 8,9% (211/2366) για το εικονικό φάρμακο.</w:t>
      </w:r>
    </w:p>
    <w:p w:rsidR="00075FBC" w:rsidRPr="00075FBC" w:rsidRDefault="00075FBC" w:rsidP="00075FBC">
      <w:pPr>
        <w:jc w:val="both"/>
        <w:rPr>
          <w:iCs/>
        </w:rPr>
      </w:pPr>
    </w:p>
    <w:p w:rsidR="00075FBC" w:rsidRPr="00075FBC" w:rsidRDefault="00075FBC" w:rsidP="00075FBC">
      <w:pPr>
        <w:jc w:val="both"/>
        <w:rPr>
          <w:iCs/>
        </w:rPr>
      </w:pPr>
      <w:r w:rsidRPr="00075FBC">
        <w:rPr>
          <w:iCs/>
        </w:rPr>
        <w:t xml:space="preserve">Σε μια </w:t>
      </w:r>
      <w:proofErr w:type="spellStart"/>
      <w:r w:rsidRPr="00075FBC">
        <w:rPr>
          <w:iCs/>
        </w:rPr>
        <w:t>post</w:t>
      </w:r>
      <w:proofErr w:type="spellEnd"/>
      <w:r w:rsidRPr="00075FBC">
        <w:rPr>
          <w:iCs/>
        </w:rPr>
        <w:t>-</w:t>
      </w:r>
      <w:proofErr w:type="spellStart"/>
      <w:r w:rsidRPr="00075FBC">
        <w:rPr>
          <w:iCs/>
        </w:rPr>
        <w:t>hoc</w:t>
      </w:r>
      <w:proofErr w:type="spellEnd"/>
      <w:r w:rsidRPr="00075FBC">
        <w:rPr>
          <w:iCs/>
        </w:rPr>
        <w:t xml:space="preserve"> ανάλυση, η </w:t>
      </w:r>
      <w:proofErr w:type="spellStart"/>
      <w:r w:rsidRPr="00075FBC">
        <w:rPr>
          <w:iCs/>
        </w:rPr>
        <w:t>ατορβαστατίνη</w:t>
      </w:r>
      <w:proofErr w:type="spellEnd"/>
      <w:r w:rsidRPr="00075FBC">
        <w:rPr>
          <w:iCs/>
        </w:rPr>
        <w:t xml:space="preserve"> 80 </w:t>
      </w:r>
      <w:proofErr w:type="spellStart"/>
      <w:r w:rsidRPr="00075FBC">
        <w:rPr>
          <w:iCs/>
        </w:rPr>
        <w:t>mg</w:t>
      </w:r>
      <w:proofErr w:type="spellEnd"/>
      <w:r w:rsidRPr="00075FBC">
        <w:rPr>
          <w:iCs/>
        </w:rPr>
        <w:t xml:space="preserve"> μείωσε τη συχνότητα εμφάνισης ισχαιμικού αγγειακού εγκεφαλικού επεισοδίου (218/2365, 9,2% έναντι 274/2366, 11,6%, p=0,01) και αύξησε τη συχνότητα εμφάνισης αιμορραγικού αγγειακού εγκεφαλικού επεισοδίου (55/2365, 2,3% έναντι 33/2366, 1,4%, p=0,02), συγκριτικά με το εικονικό φάρμακο.</w:t>
      </w:r>
    </w:p>
    <w:p w:rsidR="00075FBC" w:rsidRPr="00075FBC" w:rsidRDefault="00075FBC" w:rsidP="00075FBC">
      <w:pPr>
        <w:jc w:val="both"/>
        <w:rPr>
          <w:iCs/>
        </w:rPr>
      </w:pPr>
    </w:p>
    <w:p w:rsidR="00075FBC" w:rsidRPr="00075FBC" w:rsidRDefault="00075FBC" w:rsidP="00075FBC">
      <w:pPr>
        <w:widowControl/>
        <w:numPr>
          <w:ilvl w:val="0"/>
          <w:numId w:val="5"/>
        </w:numPr>
        <w:tabs>
          <w:tab w:val="num" w:pos="-2160"/>
        </w:tabs>
        <w:ind w:left="540" w:hanging="540"/>
        <w:jc w:val="both"/>
      </w:pPr>
      <w:r w:rsidRPr="00075FBC">
        <w:t xml:space="preserve">Ο κίνδυνος </w:t>
      </w:r>
      <w:r w:rsidRPr="00075FBC">
        <w:rPr>
          <w:iCs/>
        </w:rPr>
        <w:t xml:space="preserve">αιμορραγικού αγγειακού εγκεφαλικού επεισοδίου αυξήθηκε σε ασθενείς </w:t>
      </w:r>
      <w:r w:rsidRPr="00075FBC">
        <w:t xml:space="preserve"> που εισήχθησαν στη μελέτη με προηγούμενο αιμορραγικό αγγειακό εγκεφαλικό επεισόδιο (7/45 για την </w:t>
      </w:r>
      <w:proofErr w:type="spellStart"/>
      <w:r w:rsidRPr="00075FBC">
        <w:t>ατορβαστατίνη</w:t>
      </w:r>
      <w:proofErr w:type="spellEnd"/>
      <w:r w:rsidRPr="00075FBC">
        <w:t xml:space="preserve"> έναντι 2/48 για το εικονικό φάρμακο. HR 4,06, 95% CI, 0,84-19,57), και ο κίνδυνος για ισχαιμικό αγγειακό εγκεφαλικό επεισόδιο ήταν παρόμοιος μεταξύ των ομάδων (3/45 για την </w:t>
      </w:r>
      <w:proofErr w:type="spellStart"/>
      <w:r w:rsidRPr="00075FBC">
        <w:t>ατορβαστατίνη</w:t>
      </w:r>
      <w:proofErr w:type="spellEnd"/>
      <w:r w:rsidRPr="00075FBC">
        <w:t xml:space="preserve"> έναντι 2/48 για το εικονικό φάρμακο. HR 1,64, 95% CI, 0,27-9,82).</w:t>
      </w:r>
    </w:p>
    <w:p w:rsidR="00075FBC" w:rsidRPr="00075FBC" w:rsidRDefault="00075FBC" w:rsidP="00075FBC">
      <w:pPr>
        <w:widowControl/>
        <w:numPr>
          <w:ilvl w:val="0"/>
          <w:numId w:val="5"/>
        </w:numPr>
        <w:tabs>
          <w:tab w:val="num" w:pos="-2160"/>
        </w:tabs>
        <w:ind w:left="540" w:hanging="540"/>
        <w:jc w:val="both"/>
      </w:pPr>
      <w:r w:rsidRPr="00075FBC">
        <w:t xml:space="preserve">Ο κίνδυνος </w:t>
      </w:r>
      <w:r w:rsidRPr="00075FBC">
        <w:rPr>
          <w:iCs/>
        </w:rPr>
        <w:t xml:space="preserve">αιμορραγικού αγγειακού εγκεφαλικού επεισοδίου αυξήθηκε σε ασθενείς </w:t>
      </w:r>
      <w:r w:rsidRPr="00075FBC">
        <w:t xml:space="preserve"> που εισήχθησαν στη μελέτη με προηγούμενο </w:t>
      </w:r>
      <w:proofErr w:type="spellStart"/>
      <w:r w:rsidRPr="00075FBC">
        <w:t>κενοχωριώδες</w:t>
      </w:r>
      <w:proofErr w:type="spellEnd"/>
      <w:r w:rsidRPr="00075FBC">
        <w:t xml:space="preserve"> </w:t>
      </w:r>
      <w:proofErr w:type="spellStart"/>
      <w:r w:rsidRPr="00075FBC">
        <w:t>έμφρακτο</w:t>
      </w:r>
      <w:proofErr w:type="spellEnd"/>
      <w:r w:rsidRPr="00075FBC">
        <w:t xml:space="preserve"> (20/708 για την </w:t>
      </w:r>
      <w:proofErr w:type="spellStart"/>
      <w:r w:rsidRPr="00075FBC">
        <w:t>ατορβαστατίνη</w:t>
      </w:r>
      <w:proofErr w:type="spellEnd"/>
      <w:r w:rsidRPr="00075FBC">
        <w:t xml:space="preserve"> έναντι 4/701 για το εικονικό φάρμακο. HR 4,99, 95% CI, 1,71-14,6</w:t>
      </w:r>
      <w:r w:rsidRPr="00075FBC">
        <w:rPr>
          <w:szCs w:val="22"/>
        </w:rPr>
        <w:t>1</w:t>
      </w:r>
      <w:r w:rsidRPr="00075FBC">
        <w:t xml:space="preserve">), αλλά ο κίνδυνος για ισχαιμικό αγγειακό εγκεφαλικό επεισόδιο ήταν επίσης μειωμένος σε αυτούς τους ασθενείς (79/708 για την </w:t>
      </w:r>
      <w:proofErr w:type="spellStart"/>
      <w:r w:rsidRPr="00075FBC">
        <w:t>ατορβαστατίνη</w:t>
      </w:r>
      <w:proofErr w:type="spellEnd"/>
      <w:r w:rsidRPr="00075FBC">
        <w:t xml:space="preserve"> έναντι 102/701 για το εικονικό φάρμακο. HR 0,76, 95% CI, 0,57-1,02). Είναι πιθανό ο συνολικός/ολικός κίνδυνος για αγγειακό εγκεφαλικό </w:t>
      </w:r>
      <w:proofErr w:type="spellStart"/>
      <w:r w:rsidRPr="00075FBC">
        <w:t>επεισόδειο</w:t>
      </w:r>
      <w:proofErr w:type="spellEnd"/>
      <w:r w:rsidRPr="00075FBC">
        <w:t xml:space="preserve"> να είναι αυξημένος σε ασθενείς με προηγούμενο </w:t>
      </w:r>
      <w:proofErr w:type="spellStart"/>
      <w:r w:rsidRPr="00075FBC">
        <w:t>κενοχωριώδες</w:t>
      </w:r>
      <w:proofErr w:type="spellEnd"/>
      <w:r w:rsidRPr="00075FBC">
        <w:t xml:space="preserve"> </w:t>
      </w:r>
      <w:proofErr w:type="spellStart"/>
      <w:r w:rsidRPr="00075FBC">
        <w:t>έμφρακτο</w:t>
      </w:r>
      <w:proofErr w:type="spellEnd"/>
      <w:r w:rsidRPr="00075FBC">
        <w:t xml:space="preserve"> που λαμβάνουν </w:t>
      </w:r>
      <w:proofErr w:type="spellStart"/>
      <w:r w:rsidRPr="00075FBC">
        <w:t>ατορβαστατίνη</w:t>
      </w:r>
      <w:proofErr w:type="spellEnd"/>
      <w:r w:rsidRPr="00075FBC">
        <w:t xml:space="preserve"> 80 </w:t>
      </w:r>
      <w:proofErr w:type="spellStart"/>
      <w:r w:rsidRPr="00075FBC">
        <w:t>mg</w:t>
      </w:r>
      <w:proofErr w:type="spellEnd"/>
      <w:r w:rsidRPr="00075FBC">
        <w:t>/ημέρα.</w:t>
      </w:r>
    </w:p>
    <w:p w:rsidR="00075FBC" w:rsidRPr="00075FBC" w:rsidRDefault="00075FBC" w:rsidP="00075FBC">
      <w:pPr>
        <w:jc w:val="both"/>
      </w:pPr>
    </w:p>
    <w:p w:rsidR="00075FBC" w:rsidRPr="00075FBC" w:rsidRDefault="00075FBC" w:rsidP="00075FBC">
      <w:pPr>
        <w:jc w:val="both"/>
      </w:pPr>
      <w:r w:rsidRPr="00075FBC">
        <w:rPr>
          <w:iCs/>
        </w:rPr>
        <w:t xml:space="preserve">Η θνησιμότητα από κάθε αίτιο ήταν </w:t>
      </w:r>
      <w:r w:rsidRPr="00075FBC">
        <w:t xml:space="preserve">15,6% (7/45) για την </w:t>
      </w:r>
      <w:proofErr w:type="spellStart"/>
      <w:r w:rsidRPr="00075FBC">
        <w:t>ατορβαστατίνη</w:t>
      </w:r>
      <w:proofErr w:type="spellEnd"/>
      <w:r w:rsidRPr="00075FBC">
        <w:t xml:space="preserve"> έναντι 10,4% (5/48) στην υποομάδα των ασθενών με προηγούμενο</w:t>
      </w:r>
      <w:r w:rsidRPr="00075FBC">
        <w:rPr>
          <w:iCs/>
        </w:rPr>
        <w:t xml:space="preserve"> αιμορραγικό αγγειακό εγκεφαλικό επεισόδιο</w:t>
      </w:r>
      <w:r w:rsidRPr="00075FBC">
        <w:t xml:space="preserve">. </w:t>
      </w:r>
      <w:r w:rsidRPr="00075FBC">
        <w:rPr>
          <w:iCs/>
        </w:rPr>
        <w:t>Η θνησιμότητα από κάθε αίτιο ήταν</w:t>
      </w:r>
      <w:r w:rsidRPr="00075FBC">
        <w:t xml:space="preserve"> 10,9% (77/708) για την </w:t>
      </w:r>
      <w:proofErr w:type="spellStart"/>
      <w:r w:rsidRPr="00075FBC">
        <w:t>ατορβαστατίνη</w:t>
      </w:r>
      <w:proofErr w:type="spellEnd"/>
      <w:r w:rsidRPr="00075FBC">
        <w:t xml:space="preserve"> έναντι 9,1% (64/701) για το εικονικό φάρμακο στην υποομάδα των ασθενών με προηγούμενο </w:t>
      </w:r>
      <w:proofErr w:type="spellStart"/>
      <w:r w:rsidRPr="00075FBC">
        <w:t>κενοχωριώδες</w:t>
      </w:r>
      <w:proofErr w:type="spellEnd"/>
      <w:r w:rsidRPr="00075FBC">
        <w:t xml:space="preserve"> </w:t>
      </w:r>
      <w:proofErr w:type="spellStart"/>
      <w:r w:rsidRPr="00075FBC">
        <w:t>έμφρακτο</w:t>
      </w:r>
      <w:proofErr w:type="spellEnd"/>
      <w:r w:rsidRPr="00075FBC">
        <w:t>.</w:t>
      </w:r>
    </w:p>
    <w:p w:rsidR="00075FBC" w:rsidRPr="00075FBC" w:rsidRDefault="00075FBC" w:rsidP="00075FBC">
      <w:pPr>
        <w:jc w:val="both"/>
        <w:rPr>
          <w:szCs w:val="22"/>
          <w:u w:val="single"/>
        </w:rPr>
      </w:pPr>
    </w:p>
    <w:p w:rsidR="00075FBC" w:rsidRPr="00075FBC" w:rsidRDefault="00075FBC" w:rsidP="00075FBC">
      <w:pPr>
        <w:spacing w:after="120"/>
        <w:jc w:val="both"/>
        <w:rPr>
          <w:szCs w:val="22"/>
          <w:u w:val="single"/>
        </w:rPr>
      </w:pPr>
      <w:r w:rsidRPr="00075FBC">
        <w:rPr>
          <w:szCs w:val="22"/>
          <w:u w:val="single"/>
        </w:rPr>
        <w:t>Παιδιατρικός πληθυσμός</w:t>
      </w:r>
    </w:p>
    <w:p w:rsidR="00075FBC" w:rsidRPr="00075FBC" w:rsidRDefault="00075FBC" w:rsidP="00075FBC">
      <w:pPr>
        <w:widowControl/>
        <w:spacing w:after="120"/>
        <w:jc w:val="both"/>
        <w:rPr>
          <w:bCs/>
          <w:i/>
          <w:szCs w:val="22"/>
        </w:rPr>
      </w:pPr>
      <w:proofErr w:type="spellStart"/>
      <w:r w:rsidRPr="00075FBC">
        <w:rPr>
          <w:bCs/>
          <w:i/>
          <w:szCs w:val="22"/>
        </w:rPr>
        <w:t>Ετερόζυγος</w:t>
      </w:r>
      <w:proofErr w:type="spellEnd"/>
      <w:r w:rsidRPr="00075FBC">
        <w:rPr>
          <w:bCs/>
          <w:i/>
          <w:szCs w:val="22"/>
        </w:rPr>
        <w:t xml:space="preserve"> </w:t>
      </w:r>
      <w:proofErr w:type="spellStart"/>
      <w:r w:rsidRPr="00075FBC">
        <w:rPr>
          <w:bCs/>
          <w:i/>
          <w:szCs w:val="22"/>
        </w:rPr>
        <w:t>Οικογενής</w:t>
      </w:r>
      <w:proofErr w:type="spellEnd"/>
      <w:r w:rsidRPr="00075FBC">
        <w:rPr>
          <w:bCs/>
          <w:i/>
          <w:szCs w:val="22"/>
        </w:rPr>
        <w:t xml:space="preserve"> </w:t>
      </w:r>
      <w:proofErr w:type="spellStart"/>
      <w:r w:rsidRPr="00075FBC">
        <w:rPr>
          <w:bCs/>
          <w:i/>
          <w:szCs w:val="22"/>
        </w:rPr>
        <w:t>Υπερχοληστερολαιμία</w:t>
      </w:r>
      <w:proofErr w:type="spellEnd"/>
      <w:r w:rsidRPr="00075FBC">
        <w:rPr>
          <w:bCs/>
          <w:i/>
          <w:szCs w:val="22"/>
        </w:rPr>
        <w:t xml:space="preserve"> σε Παιδιατρικούς Ασθενείς ηλικίας 6-17 ετών</w:t>
      </w:r>
    </w:p>
    <w:p w:rsidR="00075FBC" w:rsidRPr="00075FBC" w:rsidRDefault="00075FBC" w:rsidP="00075FBC">
      <w:pPr>
        <w:widowControl/>
        <w:spacing w:after="240"/>
        <w:jc w:val="both"/>
        <w:rPr>
          <w:szCs w:val="22"/>
        </w:rPr>
      </w:pPr>
      <w:r w:rsidRPr="00075FBC">
        <w:rPr>
          <w:szCs w:val="22"/>
        </w:rPr>
        <w:t xml:space="preserve">Μία μελέτη ανοικτής επισήμανσης, διάρκειας 8-εβδομάδων για την αξιολόγηση της </w:t>
      </w:r>
      <w:proofErr w:type="spellStart"/>
      <w:r w:rsidRPr="00075FBC">
        <w:rPr>
          <w:szCs w:val="22"/>
        </w:rPr>
        <w:t>φαρμακοκινητικής</w:t>
      </w:r>
      <w:proofErr w:type="spellEnd"/>
      <w:r w:rsidRPr="00075FBC">
        <w:rPr>
          <w:szCs w:val="22"/>
        </w:rPr>
        <w:t xml:space="preserve">, της φαρμακοδυναμικής, της ασφάλειας και της ανεκτικότητας της </w:t>
      </w:r>
      <w:proofErr w:type="spellStart"/>
      <w:r w:rsidRPr="00075FBC">
        <w:rPr>
          <w:szCs w:val="22"/>
        </w:rPr>
        <w:t>ατορβαστατίνης</w:t>
      </w:r>
      <w:proofErr w:type="spellEnd"/>
      <w:r w:rsidRPr="00075FBC">
        <w:rPr>
          <w:szCs w:val="22"/>
        </w:rPr>
        <w:t xml:space="preserve"> πραγματοποιήθηκε σε παιδιά και εφήβους με γενετικά επιβεβαιωμένη </w:t>
      </w:r>
      <w:proofErr w:type="spellStart"/>
      <w:r w:rsidRPr="00075FBC">
        <w:rPr>
          <w:szCs w:val="22"/>
        </w:rPr>
        <w:t>ετερόζυγη</w:t>
      </w:r>
      <w:proofErr w:type="spellEnd"/>
      <w:r w:rsidRPr="00075FBC">
        <w:rPr>
          <w:szCs w:val="22"/>
        </w:rPr>
        <w:t xml:space="preserve"> </w:t>
      </w:r>
      <w:proofErr w:type="spellStart"/>
      <w:r w:rsidRPr="00075FBC">
        <w:rPr>
          <w:szCs w:val="22"/>
        </w:rPr>
        <w:t>οικογενή</w:t>
      </w:r>
      <w:proofErr w:type="spellEnd"/>
      <w:r w:rsidRPr="00075FBC">
        <w:rPr>
          <w:szCs w:val="22"/>
        </w:rPr>
        <w:t xml:space="preserve"> </w:t>
      </w:r>
      <w:proofErr w:type="spellStart"/>
      <w:r w:rsidRPr="00075FBC">
        <w:rPr>
          <w:szCs w:val="22"/>
        </w:rPr>
        <w:t>υπερχοληστερολαιμία</w:t>
      </w:r>
      <w:proofErr w:type="spellEnd"/>
      <w:r w:rsidRPr="00075FBC">
        <w:rPr>
          <w:szCs w:val="22"/>
        </w:rPr>
        <w:t xml:space="preserve"> και αρχικά επίπεδα LDL-χοληστερόλης </w:t>
      </w:r>
      <w:r w:rsidRPr="00075FBC">
        <w:rPr>
          <w:szCs w:val="22"/>
        </w:rPr>
        <w:sym w:font="Symbol" w:char="F0B3"/>
      </w:r>
      <w:r w:rsidRPr="00075FBC">
        <w:rPr>
          <w:szCs w:val="22"/>
        </w:rPr>
        <w:t xml:space="preserve">4 </w:t>
      </w:r>
      <w:proofErr w:type="spellStart"/>
      <w:r w:rsidRPr="00075FBC">
        <w:rPr>
          <w:szCs w:val="22"/>
        </w:rPr>
        <w:t>mmol</w:t>
      </w:r>
      <w:proofErr w:type="spellEnd"/>
      <w:r w:rsidRPr="00075FBC">
        <w:rPr>
          <w:szCs w:val="22"/>
        </w:rPr>
        <w:t xml:space="preserve">/L. Συνολικά, συμπεριλήφθηκαν 39 παιδιά και έφηβοι, ηλικίας 6 έως 17 ετών. Η </w:t>
      </w:r>
      <w:proofErr w:type="spellStart"/>
      <w:r w:rsidRPr="00075FBC">
        <w:rPr>
          <w:szCs w:val="22"/>
        </w:rPr>
        <w:t>Κοόρτη</w:t>
      </w:r>
      <w:proofErr w:type="spellEnd"/>
      <w:r w:rsidRPr="00075FBC">
        <w:rPr>
          <w:szCs w:val="22"/>
        </w:rPr>
        <w:t xml:space="preserve"> Α περιελάμβανε 15 παιδιά, ηλικίας 6 έως 12 ετών και Σταδίου 1 κατά </w:t>
      </w:r>
      <w:proofErr w:type="spellStart"/>
      <w:r w:rsidRPr="00075FBC">
        <w:rPr>
          <w:szCs w:val="22"/>
        </w:rPr>
        <w:t>Tanner</w:t>
      </w:r>
      <w:proofErr w:type="spellEnd"/>
      <w:r w:rsidRPr="00075FBC">
        <w:rPr>
          <w:szCs w:val="22"/>
        </w:rPr>
        <w:t xml:space="preserve">. Η </w:t>
      </w:r>
      <w:proofErr w:type="spellStart"/>
      <w:r w:rsidRPr="00075FBC">
        <w:rPr>
          <w:szCs w:val="22"/>
        </w:rPr>
        <w:t>Κοόρτη</w:t>
      </w:r>
      <w:proofErr w:type="spellEnd"/>
      <w:r w:rsidRPr="00075FBC">
        <w:rPr>
          <w:szCs w:val="22"/>
        </w:rPr>
        <w:t xml:space="preserve"> Β περιελάμβανε 24 παιδιά, ηλικίας 10 έως 17 ετών και Σταδίου </w:t>
      </w:r>
      <w:r w:rsidRPr="00075FBC">
        <w:rPr>
          <w:szCs w:val="22"/>
        </w:rPr>
        <w:sym w:font="Symbol" w:char="F0B3"/>
      </w:r>
      <w:r w:rsidRPr="00075FBC">
        <w:rPr>
          <w:szCs w:val="22"/>
        </w:rPr>
        <w:t xml:space="preserve">2 κατά </w:t>
      </w:r>
      <w:proofErr w:type="spellStart"/>
      <w:r w:rsidRPr="00075FBC">
        <w:rPr>
          <w:szCs w:val="22"/>
        </w:rPr>
        <w:t>Tanner</w:t>
      </w:r>
      <w:proofErr w:type="spellEnd"/>
      <w:r w:rsidRPr="00075FBC">
        <w:rPr>
          <w:szCs w:val="22"/>
        </w:rPr>
        <w:t>.</w:t>
      </w:r>
    </w:p>
    <w:p w:rsidR="00075FBC" w:rsidRPr="00075FBC" w:rsidRDefault="00075FBC" w:rsidP="00075FBC">
      <w:pPr>
        <w:widowControl/>
        <w:spacing w:after="240"/>
        <w:jc w:val="both"/>
        <w:rPr>
          <w:color w:val="FF0000"/>
          <w:sz w:val="24"/>
          <w:szCs w:val="24"/>
        </w:rPr>
      </w:pPr>
      <w:r w:rsidRPr="00075FBC">
        <w:rPr>
          <w:szCs w:val="22"/>
        </w:rPr>
        <w:lastRenderedPageBreak/>
        <w:t xml:space="preserve">Η αρχική δόση της </w:t>
      </w:r>
      <w:proofErr w:type="spellStart"/>
      <w:r w:rsidRPr="00075FBC">
        <w:rPr>
          <w:szCs w:val="22"/>
        </w:rPr>
        <w:t>ατορβαστατίνης</w:t>
      </w:r>
      <w:proofErr w:type="spellEnd"/>
      <w:r w:rsidRPr="00075FBC">
        <w:rPr>
          <w:szCs w:val="22"/>
        </w:rPr>
        <w:t xml:space="preserve"> ήταν 5 </w:t>
      </w:r>
      <w:proofErr w:type="spellStart"/>
      <w:r w:rsidRPr="00075FBC">
        <w:rPr>
          <w:szCs w:val="22"/>
        </w:rPr>
        <w:t>mg</w:t>
      </w:r>
      <w:proofErr w:type="spellEnd"/>
      <w:r w:rsidRPr="00075FBC">
        <w:rPr>
          <w:szCs w:val="22"/>
        </w:rPr>
        <w:t xml:space="preserve"> ημερησίως με τη μορφή </w:t>
      </w:r>
      <w:proofErr w:type="spellStart"/>
      <w:r w:rsidRPr="00075FBC">
        <w:rPr>
          <w:szCs w:val="22"/>
        </w:rPr>
        <w:t>μασώμενου</w:t>
      </w:r>
      <w:proofErr w:type="spellEnd"/>
      <w:r w:rsidRPr="00075FBC">
        <w:rPr>
          <w:szCs w:val="22"/>
        </w:rPr>
        <w:t xml:space="preserve"> δισκίου στην </w:t>
      </w:r>
      <w:proofErr w:type="spellStart"/>
      <w:r w:rsidRPr="00075FBC">
        <w:rPr>
          <w:szCs w:val="22"/>
        </w:rPr>
        <w:t>Κοόρτη</w:t>
      </w:r>
      <w:proofErr w:type="spellEnd"/>
      <w:r w:rsidRPr="00075FBC">
        <w:rPr>
          <w:szCs w:val="22"/>
        </w:rPr>
        <w:t xml:space="preserve"> Α και 10 </w:t>
      </w:r>
      <w:proofErr w:type="spellStart"/>
      <w:r w:rsidRPr="00075FBC">
        <w:rPr>
          <w:szCs w:val="22"/>
        </w:rPr>
        <w:t>mg</w:t>
      </w:r>
      <w:proofErr w:type="spellEnd"/>
      <w:r w:rsidRPr="00075FBC">
        <w:rPr>
          <w:szCs w:val="22"/>
        </w:rPr>
        <w:t xml:space="preserve"> ημερησίως με τη μορφή επικαλυμμένου με λεπτό </w:t>
      </w:r>
      <w:proofErr w:type="spellStart"/>
      <w:r w:rsidRPr="00075FBC">
        <w:rPr>
          <w:szCs w:val="22"/>
        </w:rPr>
        <w:t>υμένιο</w:t>
      </w:r>
      <w:proofErr w:type="spellEnd"/>
      <w:r w:rsidRPr="00075FBC">
        <w:rPr>
          <w:szCs w:val="22"/>
        </w:rPr>
        <w:t xml:space="preserve"> δισκίου στην </w:t>
      </w:r>
      <w:proofErr w:type="spellStart"/>
      <w:r w:rsidRPr="00075FBC">
        <w:rPr>
          <w:szCs w:val="22"/>
        </w:rPr>
        <w:t>Κοόρτη</w:t>
      </w:r>
      <w:proofErr w:type="spellEnd"/>
      <w:r w:rsidRPr="00075FBC">
        <w:rPr>
          <w:szCs w:val="22"/>
        </w:rPr>
        <w:t xml:space="preserve"> Β. Η δόση της </w:t>
      </w:r>
      <w:proofErr w:type="spellStart"/>
      <w:r w:rsidRPr="00075FBC">
        <w:rPr>
          <w:szCs w:val="22"/>
        </w:rPr>
        <w:t>ατορβαστατίνης</w:t>
      </w:r>
      <w:proofErr w:type="spellEnd"/>
      <w:r w:rsidRPr="00075FBC">
        <w:rPr>
          <w:szCs w:val="22"/>
        </w:rPr>
        <w:t xml:space="preserve"> επιτρεπόταν να διπλασιαστεί, εφόσον ο ασθενής δεν είχε επιτύχει το στόχο της LDL-χοληστερόλης &lt; 3,35 </w:t>
      </w:r>
      <w:proofErr w:type="spellStart"/>
      <w:r w:rsidRPr="00075FBC">
        <w:rPr>
          <w:szCs w:val="22"/>
        </w:rPr>
        <w:t>mmol</w:t>
      </w:r>
      <w:proofErr w:type="spellEnd"/>
      <w:r w:rsidRPr="00075FBC">
        <w:rPr>
          <w:szCs w:val="22"/>
        </w:rPr>
        <w:t xml:space="preserve">/L την Εβδομάδα 4 και η </w:t>
      </w:r>
      <w:proofErr w:type="spellStart"/>
      <w:r w:rsidRPr="00075FBC">
        <w:rPr>
          <w:szCs w:val="22"/>
        </w:rPr>
        <w:t>ατορβαστατίνη</w:t>
      </w:r>
      <w:proofErr w:type="spellEnd"/>
      <w:r w:rsidRPr="00075FBC">
        <w:rPr>
          <w:szCs w:val="22"/>
        </w:rPr>
        <w:t xml:space="preserve"> ήταν καλώς ανεκτή.</w:t>
      </w:r>
    </w:p>
    <w:p w:rsidR="00075FBC" w:rsidRPr="00075FBC" w:rsidRDefault="00075FBC" w:rsidP="00075FBC">
      <w:pPr>
        <w:tabs>
          <w:tab w:val="left" w:pos="-2127"/>
        </w:tabs>
        <w:jc w:val="both"/>
        <w:rPr>
          <w:szCs w:val="22"/>
        </w:rPr>
      </w:pPr>
      <w:r w:rsidRPr="00075FBC">
        <w:rPr>
          <w:szCs w:val="22"/>
        </w:rPr>
        <w:t xml:space="preserve">Οι μέσες τιμές των επιπέδων της LDL-χοληστερόλης, της ολικής χοληστερόλης (ΤC), της VLDL-χοληστερόλης και της </w:t>
      </w:r>
      <w:proofErr w:type="spellStart"/>
      <w:r w:rsidRPr="00075FBC">
        <w:rPr>
          <w:szCs w:val="22"/>
        </w:rPr>
        <w:t>Απoλιποπρωτεΐνης</w:t>
      </w:r>
      <w:proofErr w:type="spellEnd"/>
      <w:r w:rsidRPr="00075FBC">
        <w:rPr>
          <w:szCs w:val="22"/>
        </w:rPr>
        <w:t xml:space="preserve"> Β μειώθηκαν κατά την Εβδομάδα 2 σε όλους τους ασθενείς. Στους ασθενείς που διπλασιάστηκε η δόση, παρατηρήθηκαν επιπρόσθετες μειώσεις από τις πρώτες 2 εβδομάδες, κατά την πρώτη αξιολόγηση, μετά την αύξηση της δόσης. Οι μέσες ποσοστιαίες μειώσεις στις παραμέτρους των λιπιδίων ήταν παρόμοιες και στις δύο </w:t>
      </w:r>
      <w:proofErr w:type="spellStart"/>
      <w:r w:rsidRPr="00075FBC">
        <w:rPr>
          <w:szCs w:val="22"/>
        </w:rPr>
        <w:t>κοόρτες</w:t>
      </w:r>
      <w:proofErr w:type="spellEnd"/>
      <w:r w:rsidRPr="00075FBC">
        <w:rPr>
          <w:szCs w:val="22"/>
        </w:rPr>
        <w:t xml:space="preserve">, ανεξάρτητα από το εάν οι ασθενείς παρέμειναν στην αρχική τους δόση ή εάν διπλασίασαν την αρχική τους δόση. Κατά την Εβδομάδα 8, κατά μέσο όρο, η ποσοστιαία μεταβολή από τα αρχικά επίπεδα της LDL-χοληστερόλης και της TC, ήταν περίπου 40% και 30%, αντίστοιχα, σε όλο το εύρος των εκθέσεων. </w:t>
      </w:r>
    </w:p>
    <w:p w:rsidR="00075FBC" w:rsidRPr="00075FBC" w:rsidRDefault="00075FBC" w:rsidP="00075FBC">
      <w:pPr>
        <w:widowControl/>
        <w:jc w:val="both"/>
        <w:rPr>
          <w:color w:val="FF0000"/>
          <w:szCs w:val="22"/>
        </w:rPr>
      </w:pPr>
    </w:p>
    <w:p w:rsidR="00075FBC" w:rsidRPr="00075FBC" w:rsidRDefault="00075FBC" w:rsidP="00075FBC">
      <w:pPr>
        <w:widowControl/>
        <w:spacing w:after="120"/>
        <w:jc w:val="both"/>
        <w:rPr>
          <w:bCs/>
          <w:i/>
          <w:szCs w:val="22"/>
        </w:rPr>
      </w:pPr>
      <w:proofErr w:type="spellStart"/>
      <w:r w:rsidRPr="00075FBC">
        <w:rPr>
          <w:bCs/>
          <w:i/>
          <w:szCs w:val="22"/>
        </w:rPr>
        <w:t>Ετερόζυγος</w:t>
      </w:r>
      <w:proofErr w:type="spellEnd"/>
      <w:r w:rsidRPr="00075FBC">
        <w:rPr>
          <w:bCs/>
          <w:i/>
          <w:szCs w:val="22"/>
        </w:rPr>
        <w:t xml:space="preserve"> </w:t>
      </w:r>
      <w:proofErr w:type="spellStart"/>
      <w:r w:rsidRPr="00075FBC">
        <w:rPr>
          <w:bCs/>
          <w:i/>
          <w:szCs w:val="22"/>
        </w:rPr>
        <w:t>Οικογενής</w:t>
      </w:r>
      <w:proofErr w:type="spellEnd"/>
      <w:r w:rsidRPr="00075FBC">
        <w:rPr>
          <w:bCs/>
          <w:i/>
          <w:szCs w:val="22"/>
        </w:rPr>
        <w:t xml:space="preserve"> </w:t>
      </w:r>
      <w:proofErr w:type="spellStart"/>
      <w:r w:rsidRPr="00075FBC">
        <w:rPr>
          <w:bCs/>
          <w:i/>
          <w:szCs w:val="22"/>
        </w:rPr>
        <w:t>Υπερχοληστερολαιμία</w:t>
      </w:r>
      <w:proofErr w:type="spellEnd"/>
      <w:r w:rsidRPr="00075FBC">
        <w:rPr>
          <w:bCs/>
          <w:i/>
          <w:szCs w:val="22"/>
        </w:rPr>
        <w:t xml:space="preserve"> σε Παιδιατρικούς Ασθενείς ηλικίας 10-17 ετών</w:t>
      </w:r>
    </w:p>
    <w:p w:rsidR="00075FBC" w:rsidRPr="00075FBC" w:rsidRDefault="00075FBC" w:rsidP="00075FBC">
      <w:pPr>
        <w:jc w:val="both"/>
        <w:rPr>
          <w:szCs w:val="22"/>
        </w:rPr>
      </w:pPr>
      <w:r w:rsidRPr="00075FBC">
        <w:rPr>
          <w:szCs w:val="22"/>
        </w:rPr>
        <w:t xml:space="preserve">Σε μια διπλά-τυφλή, ελεγχόμενη με εικονικό φάρμακο μελέτη, την οποία ακολούθησε μια περίοδος ανοικτής επισήμανσης, συμμετείχαν 187 αγόρια και κορίτσια </w:t>
      </w:r>
      <w:proofErr w:type="spellStart"/>
      <w:r w:rsidRPr="00075FBC">
        <w:rPr>
          <w:szCs w:val="22"/>
        </w:rPr>
        <w:t>μετεμμηναρχικού</w:t>
      </w:r>
      <w:proofErr w:type="spellEnd"/>
      <w:r w:rsidRPr="00075FBC">
        <w:rPr>
          <w:szCs w:val="22"/>
        </w:rPr>
        <w:t xml:space="preserve"> σταδίου, ηλικίας 10-17 ετών (μέση ηλικία 14,1 έτη), με </w:t>
      </w:r>
      <w:proofErr w:type="spellStart"/>
      <w:r w:rsidRPr="00075FBC">
        <w:rPr>
          <w:szCs w:val="22"/>
        </w:rPr>
        <w:t>ετερόζυγο</w:t>
      </w:r>
      <w:proofErr w:type="spellEnd"/>
      <w:r w:rsidRPr="00075FBC">
        <w:rPr>
          <w:szCs w:val="22"/>
        </w:rPr>
        <w:t xml:space="preserve"> </w:t>
      </w:r>
      <w:proofErr w:type="spellStart"/>
      <w:r w:rsidRPr="00075FBC">
        <w:rPr>
          <w:szCs w:val="22"/>
        </w:rPr>
        <w:t>οικογενή</w:t>
      </w:r>
      <w:proofErr w:type="spellEnd"/>
      <w:r w:rsidRPr="00075FBC">
        <w:rPr>
          <w:szCs w:val="22"/>
        </w:rPr>
        <w:t xml:space="preserve"> </w:t>
      </w:r>
      <w:proofErr w:type="spellStart"/>
      <w:r w:rsidRPr="00075FBC">
        <w:rPr>
          <w:szCs w:val="22"/>
        </w:rPr>
        <w:t>υπερχοληστερολαιμία</w:t>
      </w:r>
      <w:proofErr w:type="spellEnd"/>
      <w:r w:rsidRPr="00075FBC">
        <w:rPr>
          <w:szCs w:val="22"/>
        </w:rPr>
        <w:t xml:space="preserve"> (FH) ή σοβαρή </w:t>
      </w:r>
      <w:proofErr w:type="spellStart"/>
      <w:r w:rsidRPr="00075FBC">
        <w:rPr>
          <w:szCs w:val="22"/>
        </w:rPr>
        <w:t>υπερχοληστερολαιμία</w:t>
      </w:r>
      <w:proofErr w:type="spellEnd"/>
      <w:r w:rsidRPr="00075FBC">
        <w:rPr>
          <w:szCs w:val="22"/>
        </w:rPr>
        <w:t xml:space="preserve">, τα οποία </w:t>
      </w:r>
      <w:proofErr w:type="spellStart"/>
      <w:r w:rsidRPr="00075FBC">
        <w:rPr>
          <w:szCs w:val="22"/>
        </w:rPr>
        <w:t>τυχαιοποιήθηκαν</w:t>
      </w:r>
      <w:proofErr w:type="spellEnd"/>
      <w:r w:rsidRPr="00075FBC">
        <w:rPr>
          <w:szCs w:val="22"/>
        </w:rPr>
        <w:t xml:space="preserve"> σε </w:t>
      </w:r>
      <w:proofErr w:type="spellStart"/>
      <w:r w:rsidRPr="00075FBC">
        <w:rPr>
          <w:szCs w:val="22"/>
        </w:rPr>
        <w:t>ατορβαστατίνη</w:t>
      </w:r>
      <w:proofErr w:type="spellEnd"/>
      <w:r w:rsidRPr="00075FBC">
        <w:rPr>
          <w:szCs w:val="22"/>
        </w:rPr>
        <w:t xml:space="preserve"> (n=140) ή εικονικό φάρμακο (n=47) για 26 εβδομάδες και στη συνέχεια όλοι οι συμμετέχοντες έλαβαν </w:t>
      </w:r>
      <w:proofErr w:type="spellStart"/>
      <w:r w:rsidRPr="00075FBC">
        <w:rPr>
          <w:szCs w:val="22"/>
        </w:rPr>
        <w:t>ατορβαστατίνη</w:t>
      </w:r>
      <w:proofErr w:type="spellEnd"/>
      <w:r w:rsidRPr="00075FBC">
        <w:rPr>
          <w:szCs w:val="22"/>
        </w:rPr>
        <w:t xml:space="preserve"> για 26 εβδομάδες. Η δοσολογία της </w:t>
      </w:r>
      <w:proofErr w:type="spellStart"/>
      <w:r w:rsidRPr="00075FBC">
        <w:rPr>
          <w:szCs w:val="22"/>
        </w:rPr>
        <w:t>ατορβαστατίνης</w:t>
      </w:r>
      <w:proofErr w:type="spellEnd"/>
      <w:r w:rsidRPr="00075FBC">
        <w:rPr>
          <w:szCs w:val="22"/>
        </w:rPr>
        <w:t xml:space="preserve"> (άπαξ ημερησίως) ήταν 10 </w:t>
      </w:r>
      <w:proofErr w:type="spellStart"/>
      <w:r w:rsidRPr="00075FBC">
        <w:rPr>
          <w:szCs w:val="22"/>
        </w:rPr>
        <w:t>mg</w:t>
      </w:r>
      <w:proofErr w:type="spellEnd"/>
      <w:r w:rsidRPr="00075FBC">
        <w:rPr>
          <w:szCs w:val="22"/>
        </w:rPr>
        <w:t xml:space="preserve"> για τις πρώτες 4 εβδομάδες και </w:t>
      </w:r>
      <w:proofErr w:type="spellStart"/>
      <w:r w:rsidRPr="00075FBC">
        <w:rPr>
          <w:szCs w:val="22"/>
        </w:rPr>
        <w:t>τιτλοποίηση</w:t>
      </w:r>
      <w:proofErr w:type="spellEnd"/>
      <w:r w:rsidRPr="00075FBC">
        <w:rPr>
          <w:szCs w:val="22"/>
        </w:rPr>
        <w:t xml:space="preserve"> στα 20 </w:t>
      </w:r>
      <w:proofErr w:type="spellStart"/>
      <w:r w:rsidRPr="00075FBC">
        <w:rPr>
          <w:szCs w:val="22"/>
        </w:rPr>
        <w:t>mg</w:t>
      </w:r>
      <w:proofErr w:type="spellEnd"/>
      <w:r w:rsidRPr="00075FBC">
        <w:rPr>
          <w:szCs w:val="22"/>
        </w:rPr>
        <w:t xml:space="preserve">, εφόσον τα επίπεδα της LDL-χοληστερόλης ήταν &gt;3,36 </w:t>
      </w:r>
      <w:proofErr w:type="spellStart"/>
      <w:r w:rsidRPr="00075FBC">
        <w:rPr>
          <w:szCs w:val="22"/>
        </w:rPr>
        <w:t>mmol</w:t>
      </w:r>
      <w:proofErr w:type="spellEnd"/>
      <w:r w:rsidRPr="00075FBC">
        <w:rPr>
          <w:szCs w:val="22"/>
        </w:rPr>
        <w:t xml:space="preserve">/l. Η </w:t>
      </w:r>
      <w:proofErr w:type="spellStart"/>
      <w:r w:rsidRPr="00075FBC">
        <w:rPr>
          <w:szCs w:val="22"/>
        </w:rPr>
        <w:t>ατορβαστατίνη</w:t>
      </w:r>
      <w:proofErr w:type="spellEnd"/>
      <w:r w:rsidRPr="00075FBC">
        <w:rPr>
          <w:szCs w:val="22"/>
        </w:rPr>
        <w:t xml:space="preserve"> μείωσε σημαντικά τα επίπεδα της ολικής χοληστερόλης, της LDL-χοληστερόλης, των </w:t>
      </w:r>
      <w:proofErr w:type="spellStart"/>
      <w:r w:rsidRPr="00075FBC">
        <w:rPr>
          <w:szCs w:val="22"/>
        </w:rPr>
        <w:t>τριγλυκεριδίων</w:t>
      </w:r>
      <w:proofErr w:type="spellEnd"/>
      <w:r w:rsidRPr="00075FBC">
        <w:rPr>
          <w:szCs w:val="22"/>
        </w:rPr>
        <w:t xml:space="preserve"> και της </w:t>
      </w:r>
      <w:proofErr w:type="spellStart"/>
      <w:r w:rsidRPr="00075FBC">
        <w:rPr>
          <w:szCs w:val="22"/>
        </w:rPr>
        <w:t>απoλιποπρωτεΐνης</w:t>
      </w:r>
      <w:proofErr w:type="spellEnd"/>
      <w:r w:rsidRPr="00075FBC">
        <w:rPr>
          <w:szCs w:val="22"/>
        </w:rPr>
        <w:t xml:space="preserve"> Β κατά την διάρκεια της διπλά-τυφλής περιόδου των 26 εβδομάδων της μελέτης. Η μέση τιμή των επιπέδων της LDL-χοληστερόλης που επιτεύχθηκε ήταν 3,38 </w:t>
      </w:r>
      <w:proofErr w:type="spellStart"/>
      <w:r w:rsidRPr="00075FBC">
        <w:rPr>
          <w:szCs w:val="22"/>
        </w:rPr>
        <w:t>mmol</w:t>
      </w:r>
      <w:proofErr w:type="spellEnd"/>
      <w:r w:rsidRPr="00075FBC">
        <w:rPr>
          <w:szCs w:val="22"/>
        </w:rPr>
        <w:t xml:space="preserve">/l (εύρος: 1,81-6,26 </w:t>
      </w:r>
      <w:proofErr w:type="spellStart"/>
      <w:r w:rsidRPr="00075FBC">
        <w:rPr>
          <w:szCs w:val="22"/>
        </w:rPr>
        <w:t>mmol</w:t>
      </w:r>
      <w:proofErr w:type="spellEnd"/>
      <w:r w:rsidRPr="00075FBC">
        <w:rPr>
          <w:szCs w:val="22"/>
        </w:rPr>
        <w:t xml:space="preserve">/l) στην ομάδα της </w:t>
      </w:r>
      <w:proofErr w:type="spellStart"/>
      <w:r w:rsidRPr="00075FBC">
        <w:rPr>
          <w:szCs w:val="22"/>
        </w:rPr>
        <w:t>ατορβαστατίνης</w:t>
      </w:r>
      <w:proofErr w:type="spellEnd"/>
      <w:r w:rsidRPr="00075FBC">
        <w:rPr>
          <w:szCs w:val="22"/>
        </w:rPr>
        <w:t xml:space="preserve"> έναντι 5,91 </w:t>
      </w:r>
      <w:proofErr w:type="spellStart"/>
      <w:r w:rsidRPr="00075FBC">
        <w:rPr>
          <w:szCs w:val="22"/>
        </w:rPr>
        <w:t>mmol</w:t>
      </w:r>
      <w:proofErr w:type="spellEnd"/>
      <w:r w:rsidRPr="00075FBC">
        <w:rPr>
          <w:szCs w:val="22"/>
        </w:rPr>
        <w:t xml:space="preserve">/l (εύρος: 3,93-9,96 </w:t>
      </w:r>
      <w:proofErr w:type="spellStart"/>
      <w:r w:rsidRPr="00075FBC">
        <w:rPr>
          <w:szCs w:val="22"/>
        </w:rPr>
        <w:t>mmol</w:t>
      </w:r>
      <w:proofErr w:type="spellEnd"/>
      <w:r w:rsidRPr="00075FBC">
        <w:rPr>
          <w:szCs w:val="22"/>
        </w:rPr>
        <w:t>/l) στην ομάδα του εικονικού φαρμάκου κατά τη διάρκεια της διπλά-τυφλής περιόδου των 26 εβδομάδων της μελέτης.</w:t>
      </w:r>
    </w:p>
    <w:p w:rsidR="00075FBC" w:rsidRPr="00075FBC" w:rsidRDefault="00075FBC" w:rsidP="00075FBC">
      <w:pPr>
        <w:tabs>
          <w:tab w:val="left" w:pos="-2127"/>
        </w:tabs>
        <w:jc w:val="both"/>
        <w:rPr>
          <w:szCs w:val="22"/>
        </w:rPr>
      </w:pPr>
    </w:p>
    <w:p w:rsidR="00075FBC" w:rsidRPr="00075FBC" w:rsidRDefault="00075FBC" w:rsidP="00075FBC">
      <w:pPr>
        <w:jc w:val="both"/>
      </w:pPr>
      <w:r w:rsidRPr="00075FBC">
        <w:t xml:space="preserve">Μια επιπρόσθετη παιδιατρική μελέτη της </w:t>
      </w:r>
      <w:proofErr w:type="spellStart"/>
      <w:r w:rsidRPr="00075FBC">
        <w:t>ατορβαστατίνης</w:t>
      </w:r>
      <w:proofErr w:type="spellEnd"/>
      <w:r w:rsidRPr="00075FBC">
        <w:t xml:space="preserve"> έναντι της </w:t>
      </w:r>
      <w:proofErr w:type="spellStart"/>
      <w:r w:rsidRPr="00075FBC">
        <w:t>κολεστιπόλης</w:t>
      </w:r>
      <w:proofErr w:type="spellEnd"/>
      <w:r w:rsidRPr="00075FBC">
        <w:t xml:space="preserve"> σε ασθενείς με </w:t>
      </w:r>
      <w:proofErr w:type="spellStart"/>
      <w:r w:rsidRPr="00075FBC">
        <w:rPr>
          <w:szCs w:val="22"/>
        </w:rPr>
        <w:t>υπερχοληστερολαιμία</w:t>
      </w:r>
      <w:proofErr w:type="spellEnd"/>
      <w:r w:rsidRPr="00075FBC">
        <w:t xml:space="preserve"> ηλικίας 10-18 ετών έδειξε ότι η </w:t>
      </w:r>
      <w:proofErr w:type="spellStart"/>
      <w:r w:rsidRPr="00075FBC">
        <w:t>ατορβαστατίνη</w:t>
      </w:r>
      <w:proofErr w:type="spellEnd"/>
      <w:r w:rsidRPr="00075FBC">
        <w:t xml:space="preserve"> (N=25) οδήγησε σε σημαντική μείωση των επιπέδων της </w:t>
      </w:r>
      <w:r w:rsidRPr="00075FBC">
        <w:rPr>
          <w:szCs w:val="22"/>
        </w:rPr>
        <w:t xml:space="preserve">LDL-χοληστερόλης την εβδομάδα 26 </w:t>
      </w:r>
      <w:r w:rsidRPr="00075FBC">
        <w:t>(p&lt;0,05)</w:t>
      </w:r>
      <w:r w:rsidRPr="00075FBC">
        <w:rPr>
          <w:szCs w:val="22"/>
        </w:rPr>
        <w:t xml:space="preserve">, σε σύγκριση με την </w:t>
      </w:r>
      <w:proofErr w:type="spellStart"/>
      <w:r w:rsidRPr="00075FBC">
        <w:rPr>
          <w:szCs w:val="22"/>
        </w:rPr>
        <w:t>κολεστιπόλη</w:t>
      </w:r>
      <w:proofErr w:type="spellEnd"/>
      <w:r w:rsidRPr="00075FBC">
        <w:rPr>
          <w:szCs w:val="22"/>
        </w:rPr>
        <w:t xml:space="preserve"> </w:t>
      </w:r>
      <w:r w:rsidRPr="00075FBC">
        <w:t xml:space="preserve">(N=31). </w:t>
      </w:r>
    </w:p>
    <w:p w:rsidR="00075FBC" w:rsidRPr="00075FBC" w:rsidRDefault="00075FBC" w:rsidP="00075FBC">
      <w:pPr>
        <w:jc w:val="both"/>
      </w:pPr>
    </w:p>
    <w:p w:rsidR="00075FBC" w:rsidRPr="00075FBC" w:rsidRDefault="00075FBC" w:rsidP="00075FBC">
      <w:pPr>
        <w:widowControl/>
        <w:jc w:val="both"/>
        <w:rPr>
          <w:szCs w:val="22"/>
        </w:rPr>
      </w:pPr>
      <w:r w:rsidRPr="00075FBC">
        <w:rPr>
          <w:szCs w:val="22"/>
        </w:rPr>
        <w:t xml:space="preserve">Μια μελέτη παρηγορητικής θεραπείας σε ασθενείς με σοβαρή </w:t>
      </w:r>
      <w:proofErr w:type="spellStart"/>
      <w:r w:rsidRPr="00075FBC">
        <w:rPr>
          <w:szCs w:val="22"/>
        </w:rPr>
        <w:t>υπερχοληστερολαιμία</w:t>
      </w:r>
      <w:proofErr w:type="spellEnd"/>
      <w:r w:rsidRPr="00075FBC">
        <w:rPr>
          <w:szCs w:val="22"/>
        </w:rPr>
        <w:t xml:space="preserve"> (συμπεριλαμβανομένης της ομόζυγου </w:t>
      </w:r>
      <w:proofErr w:type="spellStart"/>
      <w:r w:rsidRPr="00075FBC">
        <w:rPr>
          <w:szCs w:val="22"/>
        </w:rPr>
        <w:t>υπερχοληστερολαιμίας</w:t>
      </w:r>
      <w:proofErr w:type="spellEnd"/>
      <w:r w:rsidRPr="00075FBC">
        <w:rPr>
          <w:szCs w:val="22"/>
        </w:rPr>
        <w:t xml:space="preserve">) συμπεριέλαβε 46 παιδιατρικούς ασθενείς υπό αγωγή με </w:t>
      </w:r>
      <w:proofErr w:type="spellStart"/>
      <w:r w:rsidRPr="00075FBC">
        <w:rPr>
          <w:szCs w:val="22"/>
        </w:rPr>
        <w:t>ατορβαστατίνη</w:t>
      </w:r>
      <w:proofErr w:type="spellEnd"/>
      <w:r w:rsidRPr="00075FBC">
        <w:rPr>
          <w:szCs w:val="22"/>
        </w:rPr>
        <w:t xml:space="preserve">, </w:t>
      </w:r>
      <w:proofErr w:type="spellStart"/>
      <w:r w:rsidRPr="00075FBC">
        <w:rPr>
          <w:szCs w:val="22"/>
        </w:rPr>
        <w:t>τιτλοποιούμενη</w:t>
      </w:r>
      <w:proofErr w:type="spellEnd"/>
      <w:r w:rsidRPr="00075FBC">
        <w:rPr>
          <w:szCs w:val="22"/>
        </w:rPr>
        <w:t xml:space="preserve"> σύμφωνα με την ανταπόκριση (ορισμένοι ασθενείς έλαβαν 80 </w:t>
      </w:r>
      <w:proofErr w:type="spellStart"/>
      <w:r w:rsidRPr="00075FBC">
        <w:rPr>
          <w:szCs w:val="22"/>
        </w:rPr>
        <w:t>mg</w:t>
      </w:r>
      <w:proofErr w:type="spellEnd"/>
      <w:r w:rsidRPr="00075FBC">
        <w:rPr>
          <w:szCs w:val="22"/>
        </w:rPr>
        <w:t xml:space="preserve"> </w:t>
      </w:r>
      <w:proofErr w:type="spellStart"/>
      <w:r w:rsidRPr="00075FBC">
        <w:rPr>
          <w:szCs w:val="22"/>
        </w:rPr>
        <w:t>ατορβαστατίνης</w:t>
      </w:r>
      <w:proofErr w:type="spellEnd"/>
      <w:r w:rsidRPr="00075FBC">
        <w:rPr>
          <w:szCs w:val="22"/>
        </w:rPr>
        <w:t xml:space="preserve"> ημερησίως). Η μελέτη είχε διάρκεια 3 έτη: τα επίπεδα της LDL-χοληστερόλης ελαττώθηκαν κατά 36 %. </w:t>
      </w:r>
    </w:p>
    <w:p w:rsidR="00075FBC" w:rsidRPr="00075FBC" w:rsidRDefault="00075FBC" w:rsidP="00075FBC">
      <w:pPr>
        <w:jc w:val="both"/>
        <w:rPr>
          <w:color w:val="000000"/>
        </w:rPr>
      </w:pPr>
    </w:p>
    <w:p w:rsidR="00075FBC" w:rsidRPr="00075FBC" w:rsidRDefault="00075FBC" w:rsidP="00075FBC">
      <w:pPr>
        <w:jc w:val="both"/>
        <w:rPr>
          <w:color w:val="000000"/>
        </w:rPr>
      </w:pPr>
      <w:r w:rsidRPr="00075FBC">
        <w:rPr>
          <w:color w:val="000000"/>
        </w:rPr>
        <w:t xml:space="preserve">Η μακροπρόθεσμη αποτελεσματικότητα της θεραπείας με </w:t>
      </w:r>
      <w:proofErr w:type="spellStart"/>
      <w:r w:rsidRPr="00075FBC">
        <w:rPr>
          <w:color w:val="000000"/>
        </w:rPr>
        <w:t>ατορβαστατίνη</w:t>
      </w:r>
      <w:proofErr w:type="spellEnd"/>
      <w:r w:rsidRPr="00075FBC">
        <w:rPr>
          <w:color w:val="000000"/>
        </w:rPr>
        <w:t xml:space="preserve"> στην παιδική ηλικία όσο αφορά τη μείωση της νοσηρότητας και θνητότητας στην ενήλικη περίοδο δεν έχει τεκμηριωθεί. </w:t>
      </w:r>
    </w:p>
    <w:p w:rsidR="00075FBC" w:rsidRPr="00075FBC" w:rsidRDefault="00075FBC" w:rsidP="00075FBC">
      <w:pPr>
        <w:jc w:val="both"/>
        <w:rPr>
          <w:color w:val="000000"/>
        </w:rPr>
      </w:pPr>
    </w:p>
    <w:p w:rsidR="00075FBC" w:rsidRPr="00075FBC" w:rsidRDefault="00075FBC" w:rsidP="00075FBC">
      <w:pPr>
        <w:tabs>
          <w:tab w:val="left" w:pos="-2127"/>
        </w:tabs>
        <w:jc w:val="both"/>
      </w:pPr>
      <w:r w:rsidRPr="00075FBC">
        <w:rPr>
          <w:szCs w:val="22"/>
        </w:rPr>
        <w:t xml:space="preserve">Ο Ευρωπαϊκός Οργανισμός Φαρμάκων έχει δώσει απαλλαγή από την υποχρέωση  υποβολής των αποτελεσμάτων των μελετών με </w:t>
      </w:r>
      <w:proofErr w:type="spellStart"/>
      <w:r w:rsidRPr="00075FBC">
        <w:rPr>
          <w:szCs w:val="22"/>
        </w:rPr>
        <w:t>ατορβαστατίνη</w:t>
      </w:r>
      <w:proofErr w:type="spellEnd"/>
      <w:r w:rsidRPr="00075FBC">
        <w:rPr>
          <w:szCs w:val="22"/>
        </w:rPr>
        <w:t xml:space="preserve"> σε παιδιά ηλικίας 0 έως κάτω των 6 ετών για τη θεραπεία της </w:t>
      </w:r>
      <w:proofErr w:type="spellStart"/>
      <w:r w:rsidRPr="00075FBC">
        <w:rPr>
          <w:szCs w:val="22"/>
        </w:rPr>
        <w:t>ετερόζυγου</w:t>
      </w:r>
      <w:proofErr w:type="spellEnd"/>
      <w:r w:rsidRPr="00075FBC">
        <w:rPr>
          <w:szCs w:val="22"/>
        </w:rPr>
        <w:t xml:space="preserve"> </w:t>
      </w:r>
      <w:proofErr w:type="spellStart"/>
      <w:r w:rsidRPr="00075FBC">
        <w:rPr>
          <w:szCs w:val="22"/>
        </w:rPr>
        <w:t>υπερχοληστερολαιμίας</w:t>
      </w:r>
      <w:proofErr w:type="spellEnd"/>
      <w:r w:rsidRPr="00075FBC">
        <w:rPr>
          <w:szCs w:val="22"/>
        </w:rPr>
        <w:t xml:space="preserve"> και σε παιδιά ηλικίας 0 έως κάτω των 18 ετών για τη θεραπεία της ομόζυγου </w:t>
      </w:r>
      <w:proofErr w:type="spellStart"/>
      <w:r w:rsidRPr="00075FBC">
        <w:rPr>
          <w:szCs w:val="22"/>
        </w:rPr>
        <w:t>οικογενούς</w:t>
      </w:r>
      <w:proofErr w:type="spellEnd"/>
      <w:r w:rsidRPr="00075FBC">
        <w:rPr>
          <w:szCs w:val="22"/>
        </w:rPr>
        <w:t xml:space="preserve"> </w:t>
      </w:r>
      <w:proofErr w:type="spellStart"/>
      <w:r w:rsidRPr="00075FBC">
        <w:rPr>
          <w:szCs w:val="22"/>
        </w:rPr>
        <w:t>υπερχοληστερολαιμίας</w:t>
      </w:r>
      <w:proofErr w:type="spellEnd"/>
      <w:r w:rsidRPr="00075FBC">
        <w:rPr>
          <w:szCs w:val="22"/>
        </w:rPr>
        <w:t xml:space="preserve">, συνδυασμένης (μεικτής) </w:t>
      </w:r>
      <w:proofErr w:type="spellStart"/>
      <w:r w:rsidRPr="00075FBC">
        <w:rPr>
          <w:szCs w:val="22"/>
        </w:rPr>
        <w:t>υπερχοληστερολαιμίας</w:t>
      </w:r>
      <w:proofErr w:type="spellEnd"/>
      <w:r w:rsidRPr="00075FBC">
        <w:rPr>
          <w:szCs w:val="22"/>
        </w:rPr>
        <w:t xml:space="preserve">, πρωτογενούς </w:t>
      </w:r>
      <w:proofErr w:type="spellStart"/>
      <w:r w:rsidRPr="00075FBC">
        <w:rPr>
          <w:szCs w:val="22"/>
        </w:rPr>
        <w:t>υπερχοληστερολαιμίας</w:t>
      </w:r>
      <w:proofErr w:type="spellEnd"/>
      <w:r w:rsidRPr="00075FBC">
        <w:rPr>
          <w:szCs w:val="22"/>
        </w:rPr>
        <w:t xml:space="preserve"> και για την πρόληψη καρδιαγγειακών </w:t>
      </w:r>
      <w:proofErr w:type="spellStart"/>
      <w:r w:rsidRPr="00075FBC">
        <w:rPr>
          <w:szCs w:val="22"/>
        </w:rPr>
        <w:t>συμβαμάτων</w:t>
      </w:r>
      <w:proofErr w:type="spellEnd"/>
      <w:r w:rsidRPr="00075FBC">
        <w:rPr>
          <w:szCs w:val="22"/>
        </w:rPr>
        <w:t xml:space="preserve"> (βλ. παράγραφο 4.2 για πληροφορίες σχετικά με την παιδιατρική χρήση).</w:t>
      </w:r>
    </w:p>
    <w:p w:rsidR="00075FBC" w:rsidRPr="00075FBC" w:rsidRDefault="00075FBC" w:rsidP="00075FBC">
      <w:pPr>
        <w:jc w:val="both"/>
        <w:rPr>
          <w:bCs/>
          <w:iCs/>
          <w:color w:val="000000"/>
        </w:rPr>
      </w:pPr>
    </w:p>
    <w:p w:rsidR="00075FBC" w:rsidRPr="00075FBC" w:rsidRDefault="00075FBC" w:rsidP="00075FBC">
      <w:pPr>
        <w:jc w:val="both"/>
        <w:rPr>
          <w:szCs w:val="22"/>
        </w:rPr>
      </w:pPr>
      <w:r w:rsidRPr="00075FBC">
        <w:rPr>
          <w:b/>
          <w:szCs w:val="22"/>
        </w:rPr>
        <w:t>5.2</w:t>
      </w:r>
      <w:r w:rsidRPr="00075FBC">
        <w:rPr>
          <w:b/>
          <w:szCs w:val="22"/>
        </w:rPr>
        <w:tab/>
      </w:r>
      <w:proofErr w:type="spellStart"/>
      <w:r w:rsidRPr="00075FBC">
        <w:rPr>
          <w:b/>
          <w:szCs w:val="22"/>
        </w:rPr>
        <w:t>Φαρμακοκινητικές</w:t>
      </w:r>
      <w:proofErr w:type="spellEnd"/>
      <w:r w:rsidRPr="00075FBC">
        <w:rPr>
          <w:b/>
          <w:szCs w:val="22"/>
        </w:rPr>
        <w:t xml:space="preserve"> ιδιότητες</w:t>
      </w:r>
    </w:p>
    <w:p w:rsidR="00075FBC" w:rsidRPr="00075FBC" w:rsidRDefault="00075FBC" w:rsidP="00075FBC">
      <w:pPr>
        <w:jc w:val="both"/>
        <w:rPr>
          <w:szCs w:val="22"/>
        </w:rPr>
      </w:pPr>
    </w:p>
    <w:p w:rsidR="00075FBC" w:rsidRPr="00075FBC" w:rsidRDefault="00075FBC" w:rsidP="00075FBC">
      <w:pPr>
        <w:widowControl/>
        <w:spacing w:after="120"/>
        <w:jc w:val="both"/>
        <w:rPr>
          <w:szCs w:val="22"/>
        </w:rPr>
      </w:pPr>
      <w:r w:rsidRPr="00075FBC">
        <w:rPr>
          <w:szCs w:val="22"/>
          <w:u w:val="single"/>
        </w:rPr>
        <w:t>Απορρόφηση</w:t>
      </w:r>
      <w:r w:rsidRPr="00075FBC">
        <w:rPr>
          <w:szCs w:val="22"/>
        </w:rPr>
        <w:t xml:space="preserve"> </w:t>
      </w:r>
    </w:p>
    <w:p w:rsidR="00075FBC" w:rsidRPr="00075FBC" w:rsidRDefault="00075FBC" w:rsidP="00075FBC">
      <w:pPr>
        <w:widowControl/>
        <w:jc w:val="both"/>
        <w:rPr>
          <w:szCs w:val="22"/>
        </w:rPr>
      </w:pPr>
      <w:r w:rsidRPr="00075FBC">
        <w:rPr>
          <w:szCs w:val="22"/>
        </w:rPr>
        <w:t xml:space="preserve">Η </w:t>
      </w:r>
      <w:proofErr w:type="spellStart"/>
      <w:r w:rsidRPr="00075FBC">
        <w:rPr>
          <w:szCs w:val="22"/>
        </w:rPr>
        <w:t>ατορβαστατίνη</w:t>
      </w:r>
      <w:proofErr w:type="spellEnd"/>
      <w:r w:rsidRPr="00075FBC">
        <w:rPr>
          <w:szCs w:val="22"/>
        </w:rPr>
        <w:t xml:space="preserve"> απορροφάται ταχέως μετά την από του στόματος χορήγηση. Οι μέγιστες συγκεντρώσεις της στο πλάσμα (</w:t>
      </w:r>
      <w:proofErr w:type="spellStart"/>
      <w:r w:rsidRPr="00075FBC">
        <w:rPr>
          <w:szCs w:val="22"/>
        </w:rPr>
        <w:t>Cmax</w:t>
      </w:r>
      <w:proofErr w:type="spellEnd"/>
      <w:r w:rsidRPr="00075FBC">
        <w:rPr>
          <w:szCs w:val="22"/>
        </w:rPr>
        <w:t xml:space="preserve">) επιτυγχάνονται εντός 1-2 ωρών. Ο βαθμός απορρόφησης αυξάνεται ανάλογα με τη δόση της </w:t>
      </w:r>
      <w:proofErr w:type="spellStart"/>
      <w:r w:rsidRPr="00075FBC">
        <w:rPr>
          <w:szCs w:val="22"/>
        </w:rPr>
        <w:t>ατορβαστατίνης</w:t>
      </w:r>
      <w:proofErr w:type="spellEnd"/>
      <w:r w:rsidRPr="00075FBC">
        <w:rPr>
          <w:szCs w:val="22"/>
        </w:rPr>
        <w:t xml:space="preserve">. Μετά την από του στόματος χορήγηση, τα επικαλυμμένα με λεπτό </w:t>
      </w:r>
      <w:proofErr w:type="spellStart"/>
      <w:r w:rsidRPr="00075FBC">
        <w:rPr>
          <w:szCs w:val="22"/>
        </w:rPr>
        <w:t>υμένιο</w:t>
      </w:r>
      <w:proofErr w:type="spellEnd"/>
      <w:r w:rsidRPr="00075FBC">
        <w:rPr>
          <w:szCs w:val="22"/>
        </w:rPr>
        <w:t xml:space="preserve"> δισκία της </w:t>
      </w:r>
      <w:proofErr w:type="spellStart"/>
      <w:r w:rsidRPr="00075FBC">
        <w:rPr>
          <w:szCs w:val="22"/>
        </w:rPr>
        <w:t>ατορβαστατίνης</w:t>
      </w:r>
      <w:proofErr w:type="spellEnd"/>
      <w:r w:rsidRPr="00075FBC">
        <w:rPr>
          <w:szCs w:val="22"/>
        </w:rPr>
        <w:t xml:space="preserve"> έχουν βιοδιαθεσιμότητα ίση με το 95% έως 99% των πόσιμων διαλυμάτων της. Η απόλυτη βιοδιαθεσιμότητα της </w:t>
      </w:r>
      <w:proofErr w:type="spellStart"/>
      <w:r w:rsidRPr="00075FBC">
        <w:rPr>
          <w:szCs w:val="22"/>
        </w:rPr>
        <w:t>ατορβαστατίνης</w:t>
      </w:r>
      <w:proofErr w:type="spellEnd"/>
      <w:r w:rsidRPr="00075FBC">
        <w:rPr>
          <w:szCs w:val="22"/>
        </w:rPr>
        <w:t xml:space="preserve"> είναι περίπου 12%, ενώ στη συστηματική κυκλοφορία η διαθεσιμότητα της ανασταλτικής δράσης της στην HMG-</w:t>
      </w:r>
      <w:proofErr w:type="spellStart"/>
      <w:r w:rsidRPr="00075FBC">
        <w:rPr>
          <w:szCs w:val="22"/>
        </w:rPr>
        <w:t>CoA</w:t>
      </w:r>
      <w:proofErr w:type="spellEnd"/>
      <w:r w:rsidRPr="00075FBC">
        <w:rPr>
          <w:szCs w:val="22"/>
        </w:rPr>
        <w:t xml:space="preserve"> </w:t>
      </w:r>
      <w:proofErr w:type="spellStart"/>
      <w:r w:rsidRPr="00075FBC">
        <w:rPr>
          <w:szCs w:val="22"/>
        </w:rPr>
        <w:t>αναγωγάση</w:t>
      </w:r>
      <w:proofErr w:type="spellEnd"/>
      <w:r w:rsidRPr="00075FBC">
        <w:rPr>
          <w:szCs w:val="22"/>
        </w:rPr>
        <w:t xml:space="preserve"> είναι περίπου 30%. Η χαμηλή διαθεσιμότητά της στην κυκλοφορία αποδίδεται στην κάθαρσή της στο γαστρεντερικό βλεννογόνο πριν εισέλθει σ’ αυτήν ή/και στον ηπατικό μεταβολισμό πρώτης διόδου.</w:t>
      </w:r>
    </w:p>
    <w:p w:rsidR="00075FBC" w:rsidRPr="00075FBC" w:rsidRDefault="00075FBC" w:rsidP="00075FBC">
      <w:pPr>
        <w:widowControl/>
        <w:jc w:val="both"/>
        <w:rPr>
          <w:szCs w:val="22"/>
        </w:rPr>
      </w:pPr>
    </w:p>
    <w:p w:rsidR="00075FBC" w:rsidRPr="00075FBC" w:rsidRDefault="00075FBC" w:rsidP="00075FBC">
      <w:pPr>
        <w:widowControl/>
        <w:spacing w:after="120"/>
        <w:jc w:val="both"/>
        <w:rPr>
          <w:szCs w:val="22"/>
        </w:rPr>
      </w:pPr>
      <w:r w:rsidRPr="00075FBC">
        <w:rPr>
          <w:szCs w:val="22"/>
          <w:u w:val="single"/>
        </w:rPr>
        <w:t>Κατανομή</w:t>
      </w:r>
      <w:r w:rsidRPr="00075FBC">
        <w:rPr>
          <w:szCs w:val="22"/>
        </w:rPr>
        <w:t xml:space="preserve"> </w:t>
      </w:r>
    </w:p>
    <w:p w:rsidR="00075FBC" w:rsidRPr="00075FBC" w:rsidRDefault="00075FBC" w:rsidP="00075FBC">
      <w:pPr>
        <w:widowControl/>
        <w:jc w:val="both"/>
        <w:rPr>
          <w:szCs w:val="22"/>
        </w:rPr>
      </w:pPr>
      <w:r w:rsidRPr="00075FBC">
        <w:rPr>
          <w:szCs w:val="22"/>
        </w:rPr>
        <w:t xml:space="preserve">Ο μέσος όγκος κατανομής της </w:t>
      </w:r>
      <w:proofErr w:type="spellStart"/>
      <w:r w:rsidRPr="00075FBC">
        <w:rPr>
          <w:szCs w:val="22"/>
        </w:rPr>
        <w:t>ατορβαστατίνης</w:t>
      </w:r>
      <w:proofErr w:type="spellEnd"/>
      <w:r w:rsidRPr="00075FBC">
        <w:rPr>
          <w:szCs w:val="22"/>
        </w:rPr>
        <w:t xml:space="preserve"> είναι περίπου 381 l. Η </w:t>
      </w:r>
      <w:proofErr w:type="spellStart"/>
      <w:r w:rsidRPr="00075FBC">
        <w:rPr>
          <w:szCs w:val="22"/>
        </w:rPr>
        <w:t>ατορβαστατίνη</w:t>
      </w:r>
      <w:proofErr w:type="spellEnd"/>
      <w:r w:rsidRPr="00075FBC">
        <w:rPr>
          <w:szCs w:val="22"/>
        </w:rPr>
        <w:t xml:space="preserve"> συνδέεται σε ποσοστό </w:t>
      </w:r>
      <w:r w:rsidRPr="00075FBC">
        <w:rPr>
          <w:szCs w:val="22"/>
        </w:rPr>
        <w:sym w:font="Symbol" w:char="F0B3"/>
      </w:r>
      <w:r w:rsidRPr="00075FBC">
        <w:rPr>
          <w:szCs w:val="22"/>
        </w:rPr>
        <w:t xml:space="preserve"> 98% με τις πρωτεΐνες του πλάσματος.</w:t>
      </w:r>
    </w:p>
    <w:p w:rsidR="00075FBC" w:rsidRPr="00075FBC" w:rsidRDefault="00075FBC" w:rsidP="00075FBC">
      <w:pPr>
        <w:widowControl/>
        <w:jc w:val="both"/>
        <w:rPr>
          <w:szCs w:val="22"/>
        </w:rPr>
      </w:pPr>
    </w:p>
    <w:p w:rsidR="00075FBC" w:rsidRPr="00075FBC" w:rsidRDefault="00075FBC" w:rsidP="00075FBC">
      <w:pPr>
        <w:widowControl/>
        <w:spacing w:after="120"/>
        <w:jc w:val="both"/>
        <w:rPr>
          <w:bCs/>
          <w:szCs w:val="22"/>
        </w:rPr>
      </w:pPr>
      <w:proofErr w:type="spellStart"/>
      <w:r w:rsidRPr="00075FBC">
        <w:rPr>
          <w:szCs w:val="22"/>
          <w:u w:val="single"/>
        </w:rPr>
        <w:t>Βιομετασχηματισμός</w:t>
      </w:r>
      <w:proofErr w:type="spellEnd"/>
    </w:p>
    <w:p w:rsidR="00075FBC" w:rsidRPr="00075FBC" w:rsidRDefault="00075FBC" w:rsidP="00075FBC">
      <w:pPr>
        <w:widowControl/>
        <w:jc w:val="both"/>
        <w:rPr>
          <w:szCs w:val="22"/>
        </w:rPr>
      </w:pPr>
      <w:r w:rsidRPr="00075FBC">
        <w:rPr>
          <w:szCs w:val="22"/>
        </w:rPr>
        <w:t xml:space="preserve">Η </w:t>
      </w:r>
      <w:proofErr w:type="spellStart"/>
      <w:r w:rsidRPr="00075FBC">
        <w:rPr>
          <w:szCs w:val="22"/>
        </w:rPr>
        <w:t>ατορβαστατίνη</w:t>
      </w:r>
      <w:proofErr w:type="spellEnd"/>
      <w:r w:rsidRPr="00075FBC">
        <w:rPr>
          <w:szCs w:val="22"/>
        </w:rPr>
        <w:t xml:space="preserve"> μεταβολίζεται από το κυτόχρωμα P450 3A4 σε </w:t>
      </w:r>
      <w:proofErr w:type="spellStart"/>
      <w:r w:rsidRPr="00075FBC">
        <w:rPr>
          <w:szCs w:val="22"/>
        </w:rPr>
        <w:t>όρθο</w:t>
      </w:r>
      <w:proofErr w:type="spellEnd"/>
      <w:r w:rsidRPr="00075FBC">
        <w:rPr>
          <w:szCs w:val="22"/>
        </w:rPr>
        <w:t xml:space="preserve">- και </w:t>
      </w:r>
      <w:proofErr w:type="spellStart"/>
      <w:r w:rsidRPr="00075FBC">
        <w:rPr>
          <w:szCs w:val="22"/>
        </w:rPr>
        <w:t>παραϋδροξυλιωμένα</w:t>
      </w:r>
      <w:proofErr w:type="spellEnd"/>
      <w:r w:rsidRPr="00075FBC">
        <w:rPr>
          <w:szCs w:val="22"/>
        </w:rPr>
        <w:t xml:space="preserve"> παράγωγα και διάφορα προϊόντα β-οξείδωσης. Εκτός των άλλων μεταβολικών οδών τα προϊόντα αυτά μεταβολίζονται επιπλέον μέσω </w:t>
      </w:r>
      <w:proofErr w:type="spellStart"/>
      <w:r w:rsidRPr="00075FBC">
        <w:rPr>
          <w:szCs w:val="22"/>
        </w:rPr>
        <w:t>γλυκουρονιδίωσης</w:t>
      </w:r>
      <w:proofErr w:type="spellEnd"/>
      <w:r w:rsidRPr="00075FBC">
        <w:rPr>
          <w:szCs w:val="22"/>
        </w:rPr>
        <w:t xml:space="preserve">. </w:t>
      </w:r>
      <w:proofErr w:type="spellStart"/>
      <w:r w:rsidRPr="00075FBC">
        <w:rPr>
          <w:iCs/>
          <w:szCs w:val="22"/>
        </w:rPr>
        <w:t>In</w:t>
      </w:r>
      <w:proofErr w:type="spellEnd"/>
      <w:r w:rsidRPr="00075FBC">
        <w:rPr>
          <w:iCs/>
          <w:szCs w:val="22"/>
        </w:rPr>
        <w:t xml:space="preserve"> </w:t>
      </w:r>
      <w:proofErr w:type="spellStart"/>
      <w:r w:rsidRPr="00075FBC">
        <w:rPr>
          <w:iCs/>
          <w:szCs w:val="22"/>
        </w:rPr>
        <w:t>vitro</w:t>
      </w:r>
      <w:proofErr w:type="spellEnd"/>
      <w:r w:rsidRPr="00075FBC">
        <w:rPr>
          <w:szCs w:val="22"/>
        </w:rPr>
        <w:t>, η αναστολή της HMG-</w:t>
      </w:r>
      <w:proofErr w:type="spellStart"/>
      <w:r w:rsidRPr="00075FBC">
        <w:rPr>
          <w:szCs w:val="22"/>
        </w:rPr>
        <w:t>CoA</w:t>
      </w:r>
      <w:proofErr w:type="spellEnd"/>
      <w:r w:rsidRPr="00075FBC">
        <w:rPr>
          <w:szCs w:val="22"/>
        </w:rPr>
        <w:t xml:space="preserve"> </w:t>
      </w:r>
      <w:proofErr w:type="spellStart"/>
      <w:r w:rsidRPr="00075FBC">
        <w:rPr>
          <w:szCs w:val="22"/>
        </w:rPr>
        <w:t>αναγωγάσης</w:t>
      </w:r>
      <w:proofErr w:type="spellEnd"/>
      <w:r w:rsidRPr="00075FBC">
        <w:rPr>
          <w:szCs w:val="22"/>
        </w:rPr>
        <w:t xml:space="preserve"> από τους </w:t>
      </w:r>
      <w:proofErr w:type="spellStart"/>
      <w:r w:rsidRPr="00075FBC">
        <w:rPr>
          <w:szCs w:val="22"/>
        </w:rPr>
        <w:t>όρθο</w:t>
      </w:r>
      <w:proofErr w:type="spellEnd"/>
      <w:r w:rsidRPr="00075FBC">
        <w:rPr>
          <w:szCs w:val="22"/>
        </w:rPr>
        <w:t xml:space="preserve">- και </w:t>
      </w:r>
      <w:proofErr w:type="spellStart"/>
      <w:r w:rsidRPr="00075FBC">
        <w:rPr>
          <w:szCs w:val="22"/>
        </w:rPr>
        <w:t>παραϋδροξυλιωμένους</w:t>
      </w:r>
      <w:proofErr w:type="spellEnd"/>
      <w:r w:rsidRPr="00075FBC">
        <w:rPr>
          <w:szCs w:val="22"/>
        </w:rPr>
        <w:t xml:space="preserve"> μεταβολίτες είναι ισοδύναμη με εκείνη της </w:t>
      </w:r>
      <w:proofErr w:type="spellStart"/>
      <w:r w:rsidRPr="00075FBC">
        <w:rPr>
          <w:szCs w:val="22"/>
        </w:rPr>
        <w:t>ατορβαστατίνης</w:t>
      </w:r>
      <w:proofErr w:type="spellEnd"/>
      <w:r w:rsidRPr="00075FBC">
        <w:rPr>
          <w:szCs w:val="22"/>
        </w:rPr>
        <w:t>. Περίπου το 70% της ανασταλτικής επίδρασης επί της κυκλοφορούσας HMG-</w:t>
      </w:r>
      <w:proofErr w:type="spellStart"/>
      <w:r w:rsidRPr="00075FBC">
        <w:rPr>
          <w:szCs w:val="22"/>
        </w:rPr>
        <w:t>CoA</w:t>
      </w:r>
      <w:proofErr w:type="spellEnd"/>
      <w:r w:rsidRPr="00075FBC">
        <w:rPr>
          <w:szCs w:val="22"/>
        </w:rPr>
        <w:t xml:space="preserve"> </w:t>
      </w:r>
      <w:proofErr w:type="spellStart"/>
      <w:r w:rsidRPr="00075FBC">
        <w:rPr>
          <w:szCs w:val="22"/>
        </w:rPr>
        <w:t>αναγωγάσης</w:t>
      </w:r>
      <w:proofErr w:type="spellEnd"/>
      <w:r w:rsidRPr="00075FBC">
        <w:rPr>
          <w:szCs w:val="22"/>
        </w:rPr>
        <w:t xml:space="preserve"> αποδίδεται στους ενεργούς μεταβολίτες της </w:t>
      </w:r>
      <w:proofErr w:type="spellStart"/>
      <w:r w:rsidRPr="00075FBC">
        <w:rPr>
          <w:szCs w:val="22"/>
        </w:rPr>
        <w:t>ατορβαστατίνης</w:t>
      </w:r>
      <w:proofErr w:type="spellEnd"/>
      <w:r w:rsidRPr="00075FBC">
        <w:rPr>
          <w:szCs w:val="22"/>
        </w:rPr>
        <w:t>.</w:t>
      </w:r>
    </w:p>
    <w:p w:rsidR="00075FBC" w:rsidRPr="00075FBC" w:rsidRDefault="00075FBC" w:rsidP="00075FBC">
      <w:pPr>
        <w:widowControl/>
        <w:jc w:val="both"/>
        <w:rPr>
          <w:b/>
          <w:szCs w:val="22"/>
        </w:rPr>
      </w:pPr>
    </w:p>
    <w:p w:rsidR="00075FBC" w:rsidRPr="00075FBC" w:rsidRDefault="00075FBC" w:rsidP="00075FBC">
      <w:pPr>
        <w:widowControl/>
        <w:jc w:val="both"/>
        <w:rPr>
          <w:szCs w:val="22"/>
        </w:rPr>
      </w:pPr>
      <w:r w:rsidRPr="00075FBC">
        <w:rPr>
          <w:u w:val="single"/>
        </w:rPr>
        <w:t>Αποβολή</w:t>
      </w:r>
    </w:p>
    <w:p w:rsidR="00075FBC" w:rsidRPr="00075FBC" w:rsidRDefault="00075FBC" w:rsidP="00075FBC">
      <w:pPr>
        <w:widowControl/>
        <w:jc w:val="both"/>
        <w:rPr>
          <w:szCs w:val="22"/>
        </w:rPr>
      </w:pPr>
      <w:r w:rsidRPr="00075FBC">
        <w:rPr>
          <w:szCs w:val="22"/>
        </w:rPr>
        <w:t xml:space="preserve">Η </w:t>
      </w:r>
      <w:proofErr w:type="spellStart"/>
      <w:r w:rsidRPr="00075FBC">
        <w:rPr>
          <w:szCs w:val="22"/>
        </w:rPr>
        <w:t>ατορβαστατίνη</w:t>
      </w:r>
      <w:proofErr w:type="spellEnd"/>
      <w:r w:rsidRPr="00075FBC">
        <w:rPr>
          <w:szCs w:val="22"/>
        </w:rPr>
        <w:t xml:space="preserve">, μετά τον ηπατικό ή/και τον </w:t>
      </w:r>
      <w:proofErr w:type="spellStart"/>
      <w:r w:rsidRPr="00075FBC">
        <w:rPr>
          <w:szCs w:val="22"/>
        </w:rPr>
        <w:t>εξωηπατικό</w:t>
      </w:r>
      <w:proofErr w:type="spellEnd"/>
      <w:r w:rsidRPr="00075FBC">
        <w:rPr>
          <w:szCs w:val="22"/>
        </w:rPr>
        <w:t xml:space="preserve"> μεταβολισμό της, απομακρύνεται κυρίως στη χολή. Ωστόσο, η </w:t>
      </w:r>
      <w:proofErr w:type="spellStart"/>
      <w:r w:rsidRPr="00075FBC">
        <w:rPr>
          <w:szCs w:val="22"/>
        </w:rPr>
        <w:t>ατορβαστατίνη</w:t>
      </w:r>
      <w:proofErr w:type="spellEnd"/>
      <w:r w:rsidRPr="00075FBC">
        <w:rPr>
          <w:szCs w:val="22"/>
        </w:rPr>
        <w:t xml:space="preserve"> δεν υπόκειται σε σημαντική </w:t>
      </w:r>
      <w:proofErr w:type="spellStart"/>
      <w:r w:rsidRPr="00075FBC">
        <w:rPr>
          <w:szCs w:val="22"/>
        </w:rPr>
        <w:t>εντεροηπατική</w:t>
      </w:r>
      <w:proofErr w:type="spellEnd"/>
      <w:r w:rsidRPr="00075FBC">
        <w:rPr>
          <w:szCs w:val="22"/>
        </w:rPr>
        <w:t xml:space="preserve"> επανακυκλοφορία. Ο μέσος χρόνος </w:t>
      </w:r>
      <w:proofErr w:type="spellStart"/>
      <w:r w:rsidRPr="00075FBC">
        <w:rPr>
          <w:szCs w:val="22"/>
        </w:rPr>
        <w:t>ημιζωής</w:t>
      </w:r>
      <w:proofErr w:type="spellEnd"/>
      <w:r w:rsidRPr="00075FBC">
        <w:rPr>
          <w:szCs w:val="22"/>
        </w:rPr>
        <w:t xml:space="preserve"> της απομάκρυνσης της </w:t>
      </w:r>
      <w:proofErr w:type="spellStart"/>
      <w:r w:rsidRPr="00075FBC">
        <w:rPr>
          <w:szCs w:val="22"/>
        </w:rPr>
        <w:t>ατορβαστατίνης</w:t>
      </w:r>
      <w:proofErr w:type="spellEnd"/>
      <w:r w:rsidRPr="00075FBC">
        <w:rPr>
          <w:szCs w:val="22"/>
        </w:rPr>
        <w:t xml:space="preserve"> από το πλάσμα σε ανθρώπους είναι περίπου 14 ώρες. Λόγω των δραστικών μεταβολιτών της, ο χρόνος </w:t>
      </w:r>
      <w:proofErr w:type="spellStart"/>
      <w:r w:rsidRPr="00075FBC">
        <w:rPr>
          <w:szCs w:val="22"/>
        </w:rPr>
        <w:t>ημιζωής</w:t>
      </w:r>
      <w:proofErr w:type="spellEnd"/>
      <w:r w:rsidRPr="00075FBC">
        <w:rPr>
          <w:szCs w:val="22"/>
        </w:rPr>
        <w:t xml:space="preserve"> της ανασταλτικής της δράσης στην HMG-</w:t>
      </w:r>
      <w:proofErr w:type="spellStart"/>
      <w:r w:rsidRPr="00075FBC">
        <w:rPr>
          <w:szCs w:val="22"/>
        </w:rPr>
        <w:t>CoA</w:t>
      </w:r>
      <w:proofErr w:type="spellEnd"/>
      <w:r w:rsidRPr="00075FBC">
        <w:rPr>
          <w:szCs w:val="22"/>
        </w:rPr>
        <w:t xml:space="preserve"> </w:t>
      </w:r>
      <w:proofErr w:type="spellStart"/>
      <w:r w:rsidRPr="00075FBC">
        <w:rPr>
          <w:szCs w:val="22"/>
        </w:rPr>
        <w:t>αναγωγάση</w:t>
      </w:r>
      <w:proofErr w:type="spellEnd"/>
      <w:r w:rsidRPr="00075FBC">
        <w:rPr>
          <w:szCs w:val="22"/>
        </w:rPr>
        <w:t xml:space="preserve"> είναι περίπου 20 έως 30 ώρες.</w:t>
      </w:r>
    </w:p>
    <w:p w:rsidR="00075FBC" w:rsidRPr="00075FBC" w:rsidRDefault="00075FBC" w:rsidP="00075FBC">
      <w:pPr>
        <w:widowControl/>
        <w:jc w:val="both"/>
        <w:rPr>
          <w:b/>
          <w:szCs w:val="22"/>
        </w:rPr>
      </w:pPr>
    </w:p>
    <w:p w:rsidR="00075FBC" w:rsidRPr="00075FBC" w:rsidRDefault="00075FBC" w:rsidP="00075FBC">
      <w:pPr>
        <w:widowControl/>
        <w:spacing w:after="120"/>
        <w:jc w:val="both"/>
        <w:rPr>
          <w:iCs/>
          <w:szCs w:val="22"/>
          <w:u w:val="single"/>
        </w:rPr>
      </w:pPr>
      <w:r w:rsidRPr="00075FBC">
        <w:rPr>
          <w:iCs/>
          <w:szCs w:val="22"/>
          <w:u w:val="single"/>
        </w:rPr>
        <w:t>Ειδικές Πληθυσμιακές Ομάδες</w:t>
      </w:r>
    </w:p>
    <w:p w:rsidR="00075FBC" w:rsidRPr="00075FBC" w:rsidRDefault="00075FBC" w:rsidP="00075FBC">
      <w:pPr>
        <w:widowControl/>
        <w:jc w:val="both"/>
        <w:rPr>
          <w:b/>
          <w:szCs w:val="22"/>
          <w:u w:val="single"/>
        </w:rPr>
      </w:pPr>
    </w:p>
    <w:p w:rsidR="00075FBC" w:rsidRPr="00075FBC" w:rsidRDefault="00075FBC" w:rsidP="00075FBC">
      <w:pPr>
        <w:widowControl/>
        <w:spacing w:after="120"/>
        <w:jc w:val="both"/>
        <w:rPr>
          <w:i/>
          <w:iCs/>
          <w:szCs w:val="22"/>
        </w:rPr>
      </w:pPr>
      <w:r w:rsidRPr="00075FBC">
        <w:rPr>
          <w:i/>
          <w:iCs/>
          <w:szCs w:val="22"/>
        </w:rPr>
        <w:t xml:space="preserve">Ηλικιωμένοι ασθενείς </w:t>
      </w:r>
    </w:p>
    <w:p w:rsidR="00075FBC" w:rsidRPr="00075FBC" w:rsidRDefault="00075FBC" w:rsidP="00075FBC">
      <w:pPr>
        <w:widowControl/>
        <w:jc w:val="both"/>
      </w:pPr>
      <w:r w:rsidRPr="00075FBC">
        <w:rPr>
          <w:szCs w:val="22"/>
        </w:rPr>
        <w:t xml:space="preserve">Η συγκέντρωση της </w:t>
      </w:r>
      <w:proofErr w:type="spellStart"/>
      <w:r w:rsidRPr="00075FBC">
        <w:rPr>
          <w:szCs w:val="22"/>
        </w:rPr>
        <w:t>ατορβαστατίνης</w:t>
      </w:r>
      <w:proofErr w:type="spellEnd"/>
      <w:r w:rsidRPr="00075FBC">
        <w:rPr>
          <w:szCs w:val="22"/>
        </w:rPr>
        <w:t xml:space="preserve"> και των δραστικών μεταβολιτών της στο πλάσμα είναι υψηλότερη σε υγιή ηλικιωμένα άτομα απ’ ότι σε άτομα μικρότερης ηλικίας, ενώ οι επιδράσεις της στα λιπίδια είναι συγκρίσιμες με εκείνες που παρατηρούνται σε πληθυσμούς νεαρότερων ασθενών.</w:t>
      </w:r>
    </w:p>
    <w:p w:rsidR="00075FBC" w:rsidRPr="00075FBC" w:rsidRDefault="00075FBC" w:rsidP="00075FBC">
      <w:pPr>
        <w:widowControl/>
        <w:jc w:val="both"/>
        <w:rPr>
          <w:b/>
          <w:szCs w:val="22"/>
        </w:rPr>
      </w:pPr>
    </w:p>
    <w:p w:rsidR="00075FBC" w:rsidRPr="00075FBC" w:rsidRDefault="00075FBC" w:rsidP="00075FBC">
      <w:pPr>
        <w:widowControl/>
        <w:spacing w:after="120"/>
        <w:jc w:val="both"/>
        <w:rPr>
          <w:i/>
          <w:iCs/>
        </w:rPr>
      </w:pPr>
      <w:r w:rsidRPr="00075FBC">
        <w:rPr>
          <w:i/>
          <w:iCs/>
        </w:rPr>
        <w:t>Παιδιατρικός πληθυσμός</w:t>
      </w:r>
    </w:p>
    <w:p w:rsidR="00075FBC" w:rsidRPr="00075FBC" w:rsidRDefault="00075FBC" w:rsidP="00075FBC">
      <w:pPr>
        <w:widowControl/>
        <w:jc w:val="both"/>
        <w:rPr>
          <w:b/>
        </w:rPr>
      </w:pPr>
      <w:r w:rsidRPr="00075FBC">
        <w:rPr>
          <w:szCs w:val="22"/>
        </w:rPr>
        <w:t xml:space="preserve">Σε μια μελέτη ανοικτής επισήμανσης, διάρκειας 8-εβδομάδων, παιδιατρικοί ασθενείς (ηλικίας 6-17 ετών) Σταδίου 1 κατά </w:t>
      </w:r>
      <w:proofErr w:type="spellStart"/>
      <w:r w:rsidRPr="00075FBC">
        <w:rPr>
          <w:szCs w:val="22"/>
        </w:rPr>
        <w:t>Tanner</w:t>
      </w:r>
      <w:proofErr w:type="spellEnd"/>
      <w:r w:rsidRPr="00075FBC">
        <w:t xml:space="preserve"> (N=15) και </w:t>
      </w:r>
      <w:r w:rsidRPr="00075FBC">
        <w:rPr>
          <w:szCs w:val="22"/>
        </w:rPr>
        <w:t xml:space="preserve">Σταδίου </w:t>
      </w:r>
      <w:r w:rsidRPr="00075FBC">
        <w:rPr>
          <w:szCs w:val="22"/>
        </w:rPr>
        <w:sym w:font="Symbol" w:char="F0B3"/>
      </w:r>
      <w:r w:rsidRPr="00075FBC">
        <w:rPr>
          <w:szCs w:val="22"/>
        </w:rPr>
        <w:t xml:space="preserve">2 κατά </w:t>
      </w:r>
      <w:proofErr w:type="spellStart"/>
      <w:r w:rsidRPr="00075FBC">
        <w:rPr>
          <w:szCs w:val="22"/>
        </w:rPr>
        <w:t>Tanner</w:t>
      </w:r>
      <w:proofErr w:type="spellEnd"/>
      <w:r w:rsidRPr="00075FBC">
        <w:rPr>
          <w:szCs w:val="22"/>
        </w:rPr>
        <w:t xml:space="preserve"> </w:t>
      </w:r>
      <w:r w:rsidRPr="00075FBC">
        <w:t xml:space="preserve">(N=24) με </w:t>
      </w:r>
      <w:proofErr w:type="spellStart"/>
      <w:r w:rsidRPr="00075FBC">
        <w:rPr>
          <w:szCs w:val="22"/>
        </w:rPr>
        <w:t>ετερόζυγο</w:t>
      </w:r>
      <w:proofErr w:type="spellEnd"/>
      <w:r w:rsidRPr="00075FBC">
        <w:rPr>
          <w:szCs w:val="22"/>
        </w:rPr>
        <w:t xml:space="preserve"> </w:t>
      </w:r>
      <w:proofErr w:type="spellStart"/>
      <w:r w:rsidRPr="00075FBC">
        <w:rPr>
          <w:szCs w:val="22"/>
        </w:rPr>
        <w:t>οικογενή</w:t>
      </w:r>
      <w:proofErr w:type="spellEnd"/>
      <w:r w:rsidRPr="00075FBC">
        <w:rPr>
          <w:szCs w:val="22"/>
        </w:rPr>
        <w:t xml:space="preserve"> </w:t>
      </w:r>
      <w:proofErr w:type="spellStart"/>
      <w:r w:rsidRPr="00075FBC">
        <w:rPr>
          <w:szCs w:val="22"/>
        </w:rPr>
        <w:t>υπερχοληστερολαιμία</w:t>
      </w:r>
      <w:proofErr w:type="spellEnd"/>
      <w:r w:rsidRPr="00075FBC">
        <w:t xml:space="preserve"> και </w:t>
      </w:r>
      <w:r w:rsidRPr="00075FBC">
        <w:rPr>
          <w:szCs w:val="22"/>
        </w:rPr>
        <w:t>με αρχικά επίπεδα LDL-χοληστερόλης</w:t>
      </w:r>
      <w:r w:rsidRPr="00075FBC">
        <w:t xml:space="preserve"> </w:t>
      </w:r>
      <w:r w:rsidRPr="00075FBC">
        <w:sym w:font="Symbol" w:char="F0B3"/>
      </w:r>
      <w:r w:rsidRPr="00075FBC">
        <w:t xml:space="preserve">4 </w:t>
      </w:r>
      <w:proofErr w:type="spellStart"/>
      <w:r w:rsidRPr="00075FBC">
        <w:t>mmol</w:t>
      </w:r>
      <w:proofErr w:type="spellEnd"/>
      <w:r w:rsidRPr="00075FBC">
        <w:t>/L</w:t>
      </w:r>
      <w:r w:rsidRPr="00075FBC">
        <w:rPr>
          <w:szCs w:val="22"/>
        </w:rPr>
        <w:t xml:space="preserve"> έλαβαν </w:t>
      </w:r>
      <w:proofErr w:type="spellStart"/>
      <w:r w:rsidRPr="00075FBC">
        <w:t>μασώμενα</w:t>
      </w:r>
      <w:proofErr w:type="spellEnd"/>
      <w:r w:rsidRPr="00075FBC">
        <w:t xml:space="preserve"> δισκία 5 ή 10 </w:t>
      </w:r>
      <w:proofErr w:type="spellStart"/>
      <w:r w:rsidRPr="00075FBC">
        <w:t>mg</w:t>
      </w:r>
      <w:proofErr w:type="spellEnd"/>
      <w:r w:rsidRPr="00075FBC">
        <w:t xml:space="preserve"> ή επικαλυμμένα με λεπτό </w:t>
      </w:r>
      <w:proofErr w:type="spellStart"/>
      <w:r w:rsidRPr="00075FBC">
        <w:t>υμένιο</w:t>
      </w:r>
      <w:proofErr w:type="spellEnd"/>
      <w:r w:rsidRPr="00075FBC">
        <w:t xml:space="preserve"> δισκία 10 ή 20 </w:t>
      </w:r>
      <w:proofErr w:type="spellStart"/>
      <w:r w:rsidRPr="00075FBC">
        <w:t>mg</w:t>
      </w:r>
      <w:proofErr w:type="spellEnd"/>
      <w:r w:rsidRPr="00075FBC">
        <w:rPr>
          <w:szCs w:val="22"/>
        </w:rPr>
        <w:t xml:space="preserve"> </w:t>
      </w:r>
      <w:proofErr w:type="spellStart"/>
      <w:r w:rsidRPr="00075FBC">
        <w:t>ατορβαστατίνης</w:t>
      </w:r>
      <w:proofErr w:type="spellEnd"/>
      <w:r w:rsidRPr="00075FBC">
        <w:t xml:space="preserve"> άπαξ ημερησίως, αντίστοιχα. Το σωματικό βάρος ήταν η μοναδική σημαντική </w:t>
      </w:r>
      <w:proofErr w:type="spellStart"/>
      <w:r w:rsidRPr="00075FBC">
        <w:t>συμμεταβλητή</w:t>
      </w:r>
      <w:proofErr w:type="spellEnd"/>
      <w:r w:rsidRPr="00075FBC">
        <w:t xml:space="preserve"> στο μοντέλο </w:t>
      </w:r>
      <w:proofErr w:type="spellStart"/>
      <w:r w:rsidRPr="00075FBC">
        <w:rPr>
          <w:szCs w:val="22"/>
        </w:rPr>
        <w:t>φαρμακοκινητικής</w:t>
      </w:r>
      <w:proofErr w:type="spellEnd"/>
      <w:r w:rsidRPr="00075FBC">
        <w:rPr>
          <w:szCs w:val="22"/>
        </w:rPr>
        <w:t xml:space="preserve"> </w:t>
      </w:r>
      <w:r w:rsidRPr="00075FBC">
        <w:t xml:space="preserve">της πληθυσμιακής ομάδας της </w:t>
      </w:r>
      <w:proofErr w:type="spellStart"/>
      <w:r w:rsidRPr="00075FBC">
        <w:t>ατορβαστατίνης</w:t>
      </w:r>
      <w:proofErr w:type="spellEnd"/>
      <w:r w:rsidRPr="00075FBC">
        <w:t xml:space="preserve">. Η φαινομενική κάθαρση της από του στόματος </w:t>
      </w:r>
      <w:proofErr w:type="spellStart"/>
      <w:r w:rsidRPr="00075FBC">
        <w:t>ατορβαστατίνης</w:t>
      </w:r>
      <w:proofErr w:type="spellEnd"/>
      <w:r w:rsidRPr="00075FBC">
        <w:t xml:space="preserve"> σε </w:t>
      </w:r>
      <w:r w:rsidRPr="00075FBC">
        <w:lastRenderedPageBreak/>
        <w:t xml:space="preserve">παιδιατρικούς ασθενείς φάνηκε να είναι παρόμοια με αυτή των ενηλίκων, όταν ανάχθηκε </w:t>
      </w:r>
      <w:proofErr w:type="spellStart"/>
      <w:r w:rsidRPr="00075FBC">
        <w:t>αλλομετρικά</w:t>
      </w:r>
      <w:proofErr w:type="spellEnd"/>
      <w:r w:rsidRPr="00075FBC">
        <w:t xml:space="preserve"> κατά βάρος σώματος. Παρατηρήθηκαν σταθερές μειώσεις στα επίπεδα της </w:t>
      </w:r>
      <w:r w:rsidRPr="00075FBC">
        <w:rPr>
          <w:szCs w:val="22"/>
        </w:rPr>
        <w:t xml:space="preserve">LDL-χοληστερόλης και της TC σε όλο το εύρος εκθέσεων στην </w:t>
      </w:r>
      <w:proofErr w:type="spellStart"/>
      <w:r w:rsidRPr="00075FBC">
        <w:rPr>
          <w:szCs w:val="22"/>
        </w:rPr>
        <w:t>ατορβαστατίνη</w:t>
      </w:r>
      <w:proofErr w:type="spellEnd"/>
      <w:r w:rsidRPr="00075FBC">
        <w:rPr>
          <w:szCs w:val="22"/>
        </w:rPr>
        <w:t xml:space="preserve"> και στην ο-</w:t>
      </w:r>
      <w:proofErr w:type="spellStart"/>
      <w:r w:rsidRPr="00075FBC">
        <w:rPr>
          <w:szCs w:val="22"/>
        </w:rPr>
        <w:t>υδροξυατορβαστατίνη</w:t>
      </w:r>
      <w:proofErr w:type="spellEnd"/>
      <w:r w:rsidRPr="00075FBC">
        <w:rPr>
          <w:b/>
          <w:szCs w:val="22"/>
        </w:rPr>
        <w:t>.</w:t>
      </w:r>
    </w:p>
    <w:p w:rsidR="00075FBC" w:rsidRPr="00075FBC" w:rsidRDefault="00075FBC" w:rsidP="00075FBC">
      <w:pPr>
        <w:widowControl/>
        <w:jc w:val="both"/>
        <w:rPr>
          <w:b/>
        </w:rPr>
      </w:pPr>
    </w:p>
    <w:p w:rsidR="00075FBC" w:rsidRPr="00075FBC" w:rsidRDefault="00075FBC" w:rsidP="00075FBC">
      <w:pPr>
        <w:widowControl/>
        <w:spacing w:after="120"/>
        <w:jc w:val="both"/>
        <w:rPr>
          <w:i/>
          <w:iCs/>
          <w:szCs w:val="22"/>
        </w:rPr>
      </w:pPr>
      <w:r w:rsidRPr="00075FBC">
        <w:rPr>
          <w:i/>
          <w:iCs/>
          <w:szCs w:val="22"/>
        </w:rPr>
        <w:t>Φύλο</w:t>
      </w:r>
    </w:p>
    <w:p w:rsidR="00075FBC" w:rsidRPr="00075FBC" w:rsidRDefault="00075FBC" w:rsidP="00075FBC">
      <w:pPr>
        <w:widowControl/>
        <w:jc w:val="both"/>
        <w:rPr>
          <w:szCs w:val="22"/>
        </w:rPr>
      </w:pPr>
      <w:r w:rsidRPr="00075FBC">
        <w:rPr>
          <w:szCs w:val="22"/>
        </w:rPr>
        <w:t xml:space="preserve">Οι συγκεντρώσεις της </w:t>
      </w:r>
      <w:proofErr w:type="spellStart"/>
      <w:r w:rsidRPr="00075FBC">
        <w:rPr>
          <w:szCs w:val="22"/>
        </w:rPr>
        <w:t>ατορβαστατίνης</w:t>
      </w:r>
      <w:proofErr w:type="spellEnd"/>
      <w:r w:rsidRPr="00075FBC">
        <w:rPr>
          <w:szCs w:val="22"/>
        </w:rPr>
        <w:t xml:space="preserve"> και των δραστικών μεταβολιτών της σε γυναίκες διαφέρουν (περίπου 20% υψηλότερη η </w:t>
      </w:r>
      <w:proofErr w:type="spellStart"/>
      <w:r w:rsidRPr="00075FBC">
        <w:rPr>
          <w:szCs w:val="22"/>
        </w:rPr>
        <w:t>C</w:t>
      </w:r>
      <w:r w:rsidRPr="00075FBC">
        <w:rPr>
          <w:szCs w:val="22"/>
          <w:vertAlign w:val="subscript"/>
        </w:rPr>
        <w:t>max</w:t>
      </w:r>
      <w:proofErr w:type="spellEnd"/>
      <w:r w:rsidRPr="00075FBC">
        <w:rPr>
          <w:szCs w:val="22"/>
        </w:rPr>
        <w:t xml:space="preserve"> και περίπου 10% χαμηλότερη η AUC) από εκείνες των ανδρών. Οι διαφορές αυτές δεν είχαν κλινική σημασία, και, κατά συνέπεια, μεταξύ ανδρών και γυναικών δεν παρατηρήθηκαν κλινικά σημαντικές διαφορές στην επίδραση του φαρμάκου στα λιπίδια.</w:t>
      </w:r>
    </w:p>
    <w:p w:rsidR="00075FBC" w:rsidRPr="00075FBC" w:rsidRDefault="00075FBC" w:rsidP="00075FBC">
      <w:pPr>
        <w:widowControl/>
        <w:jc w:val="both"/>
        <w:rPr>
          <w:szCs w:val="22"/>
        </w:rPr>
      </w:pPr>
    </w:p>
    <w:p w:rsidR="00075FBC" w:rsidRPr="00075FBC" w:rsidRDefault="00075FBC" w:rsidP="00075FBC">
      <w:pPr>
        <w:widowControl/>
        <w:spacing w:after="120"/>
        <w:jc w:val="both"/>
        <w:rPr>
          <w:i/>
          <w:iCs/>
          <w:szCs w:val="22"/>
        </w:rPr>
      </w:pPr>
      <w:r w:rsidRPr="00075FBC">
        <w:rPr>
          <w:i/>
          <w:iCs/>
          <w:szCs w:val="22"/>
        </w:rPr>
        <w:t>Νεφρική δυσλειτουργία</w:t>
      </w:r>
    </w:p>
    <w:p w:rsidR="00075FBC" w:rsidRPr="00075FBC" w:rsidRDefault="00075FBC" w:rsidP="00075FBC">
      <w:pPr>
        <w:widowControl/>
        <w:jc w:val="both"/>
        <w:rPr>
          <w:szCs w:val="22"/>
        </w:rPr>
      </w:pPr>
      <w:r w:rsidRPr="00075FBC">
        <w:rPr>
          <w:szCs w:val="22"/>
        </w:rPr>
        <w:t xml:space="preserve">Η παρουσία νεφρικής νόσου δεν επηρεάζει τις συγκεντρώσεις του πλάσματος ή την </w:t>
      </w:r>
      <w:proofErr w:type="spellStart"/>
      <w:r w:rsidRPr="00075FBC">
        <w:rPr>
          <w:szCs w:val="22"/>
        </w:rPr>
        <w:t>αντιλιπιδαιμική</w:t>
      </w:r>
      <w:proofErr w:type="spellEnd"/>
      <w:r w:rsidRPr="00075FBC">
        <w:rPr>
          <w:szCs w:val="22"/>
        </w:rPr>
        <w:t xml:space="preserve"> δράση της </w:t>
      </w:r>
      <w:proofErr w:type="spellStart"/>
      <w:r w:rsidRPr="00075FBC">
        <w:rPr>
          <w:szCs w:val="22"/>
        </w:rPr>
        <w:t>ατορβαστατίνης</w:t>
      </w:r>
      <w:proofErr w:type="spellEnd"/>
      <w:r w:rsidRPr="00075FBC">
        <w:rPr>
          <w:szCs w:val="22"/>
        </w:rPr>
        <w:t xml:space="preserve"> και των δραστικών μεταβολιτών της.</w:t>
      </w:r>
    </w:p>
    <w:p w:rsidR="00075FBC" w:rsidRPr="00075FBC" w:rsidRDefault="00075FBC" w:rsidP="00075FBC">
      <w:pPr>
        <w:widowControl/>
        <w:jc w:val="both"/>
        <w:rPr>
          <w:szCs w:val="22"/>
        </w:rPr>
      </w:pPr>
    </w:p>
    <w:p w:rsidR="00075FBC" w:rsidRPr="00075FBC" w:rsidRDefault="00075FBC" w:rsidP="00075FBC">
      <w:pPr>
        <w:widowControl/>
        <w:spacing w:after="120"/>
        <w:jc w:val="both"/>
        <w:rPr>
          <w:iCs/>
          <w:szCs w:val="22"/>
        </w:rPr>
      </w:pPr>
      <w:r w:rsidRPr="00075FBC">
        <w:rPr>
          <w:i/>
          <w:iCs/>
          <w:szCs w:val="22"/>
        </w:rPr>
        <w:t>Ηπατική δυσλειτουργία</w:t>
      </w:r>
    </w:p>
    <w:p w:rsidR="00075FBC" w:rsidRPr="00075FBC" w:rsidRDefault="00075FBC" w:rsidP="00075FBC">
      <w:pPr>
        <w:widowControl/>
        <w:jc w:val="both"/>
      </w:pPr>
      <w:r w:rsidRPr="00075FBC">
        <w:rPr>
          <w:szCs w:val="22"/>
        </w:rPr>
        <w:t>Σε ασθενείς με χρόνια αλκοολική ηπατική νόσο (</w:t>
      </w:r>
      <w:proofErr w:type="spellStart"/>
      <w:r w:rsidRPr="00075FBC">
        <w:rPr>
          <w:szCs w:val="22"/>
        </w:rPr>
        <w:t>Child</w:t>
      </w:r>
      <w:proofErr w:type="spellEnd"/>
      <w:r w:rsidRPr="00075FBC">
        <w:rPr>
          <w:szCs w:val="22"/>
        </w:rPr>
        <w:t>-</w:t>
      </w:r>
      <w:proofErr w:type="spellStart"/>
      <w:r w:rsidRPr="00075FBC">
        <w:rPr>
          <w:szCs w:val="22"/>
        </w:rPr>
        <w:t>Pugh</w:t>
      </w:r>
      <w:proofErr w:type="spellEnd"/>
      <w:r w:rsidRPr="00075FBC">
        <w:rPr>
          <w:szCs w:val="22"/>
        </w:rPr>
        <w:t xml:space="preserve"> B) οι συγκεντρώσεις της </w:t>
      </w:r>
      <w:proofErr w:type="spellStart"/>
      <w:r w:rsidRPr="00075FBC">
        <w:rPr>
          <w:szCs w:val="22"/>
        </w:rPr>
        <w:t>ατορβαστατίνης</w:t>
      </w:r>
      <w:proofErr w:type="spellEnd"/>
      <w:r w:rsidRPr="00075FBC">
        <w:rPr>
          <w:szCs w:val="22"/>
        </w:rPr>
        <w:t xml:space="preserve"> και των δραστικών μεταβολιτών της στο πλάσμα αυξάνονται σημαντικά (περίπου 16 φορές η </w:t>
      </w:r>
      <w:proofErr w:type="spellStart"/>
      <w:r w:rsidRPr="00075FBC">
        <w:rPr>
          <w:szCs w:val="22"/>
        </w:rPr>
        <w:t>C</w:t>
      </w:r>
      <w:r w:rsidRPr="00075FBC">
        <w:rPr>
          <w:szCs w:val="22"/>
          <w:vertAlign w:val="subscript"/>
        </w:rPr>
        <w:t>max</w:t>
      </w:r>
      <w:proofErr w:type="spellEnd"/>
      <w:r w:rsidRPr="00075FBC">
        <w:rPr>
          <w:szCs w:val="22"/>
        </w:rPr>
        <w:t xml:space="preserve"> και περίπου 11 φορές η AUC).</w:t>
      </w:r>
    </w:p>
    <w:p w:rsidR="00075FBC" w:rsidRPr="00075FBC" w:rsidRDefault="00075FBC" w:rsidP="00075FBC">
      <w:pPr>
        <w:widowControl/>
        <w:jc w:val="both"/>
      </w:pPr>
    </w:p>
    <w:p w:rsidR="00075FBC" w:rsidRPr="00075FBC" w:rsidRDefault="00075FBC" w:rsidP="00075FBC">
      <w:pPr>
        <w:widowControl/>
        <w:spacing w:after="120"/>
        <w:jc w:val="both"/>
        <w:rPr>
          <w:i/>
        </w:rPr>
      </w:pPr>
      <w:r w:rsidRPr="00075FBC">
        <w:rPr>
          <w:i/>
        </w:rPr>
        <w:t>Πολυμορφισμός SLOC1B</w:t>
      </w:r>
    </w:p>
    <w:p w:rsidR="00075FBC" w:rsidRPr="00075FBC" w:rsidRDefault="00075FBC" w:rsidP="00075FBC">
      <w:pPr>
        <w:widowControl/>
        <w:jc w:val="both"/>
      </w:pPr>
      <w:r w:rsidRPr="00075FBC">
        <w:t xml:space="preserve">Ο </w:t>
      </w:r>
      <w:proofErr w:type="spellStart"/>
      <w:r w:rsidRPr="00075FBC">
        <w:t>διακομιστής</w:t>
      </w:r>
      <w:proofErr w:type="spellEnd"/>
      <w:r w:rsidRPr="00075FBC">
        <w:t xml:space="preserve"> OATP1B1 λαμβάνει μέρος στην ηπατική πρόσληψη όλων των αναστολέων της </w:t>
      </w:r>
      <w:r w:rsidRPr="00075FBC">
        <w:rPr>
          <w:rFonts w:cs="Arial"/>
          <w:bCs/>
        </w:rPr>
        <w:t>HMG-</w:t>
      </w:r>
      <w:proofErr w:type="spellStart"/>
      <w:r w:rsidRPr="00075FBC">
        <w:rPr>
          <w:rFonts w:cs="Arial"/>
          <w:bCs/>
        </w:rPr>
        <w:t>CoA</w:t>
      </w:r>
      <w:proofErr w:type="spellEnd"/>
      <w:r w:rsidRPr="00075FBC">
        <w:rPr>
          <w:rFonts w:cs="Arial"/>
          <w:bCs/>
        </w:rPr>
        <w:t xml:space="preserve"> </w:t>
      </w:r>
      <w:proofErr w:type="spellStart"/>
      <w:r w:rsidRPr="00075FBC">
        <w:rPr>
          <w:rFonts w:cs="Arial"/>
          <w:bCs/>
        </w:rPr>
        <w:t>αναγωγάσης</w:t>
      </w:r>
      <w:proofErr w:type="spellEnd"/>
      <w:r w:rsidRPr="00075FBC">
        <w:rPr>
          <w:rFonts w:cs="Arial"/>
          <w:bCs/>
        </w:rPr>
        <w:t xml:space="preserve">, συμπεριλαμβανομένης της </w:t>
      </w:r>
      <w:proofErr w:type="spellStart"/>
      <w:r w:rsidRPr="00075FBC">
        <w:rPr>
          <w:rFonts w:cs="Arial"/>
          <w:bCs/>
        </w:rPr>
        <w:t>ατορβαστατίνης</w:t>
      </w:r>
      <w:proofErr w:type="spellEnd"/>
      <w:r w:rsidRPr="00075FBC">
        <w:t xml:space="preserve">. Σε ασθενείς με πολυμορφισμό SLCO1B1, υπάρχει κίνδυνος αυξημένης έκθεσης στην </w:t>
      </w:r>
      <w:proofErr w:type="spellStart"/>
      <w:r w:rsidRPr="00075FBC">
        <w:t>ατορβαστατίνη</w:t>
      </w:r>
      <w:proofErr w:type="spellEnd"/>
      <w:r w:rsidRPr="00075FBC">
        <w:t xml:space="preserve">, η οποία μπορεί να οδηγήσει σε αυξημένο κίνδυνο </w:t>
      </w:r>
      <w:proofErr w:type="spellStart"/>
      <w:r w:rsidRPr="00075FBC">
        <w:t>ραβδομυόλυσης</w:t>
      </w:r>
      <w:proofErr w:type="spellEnd"/>
      <w:r w:rsidRPr="00075FBC">
        <w:t xml:space="preserve"> (βλ. παράγραφο 4.4). Πολυμορφισμός στο γονίδιο το οποίο κωδικοποιεί τον </w:t>
      </w:r>
      <w:proofErr w:type="spellStart"/>
      <w:r w:rsidRPr="00075FBC">
        <w:t>διακομιστή</w:t>
      </w:r>
      <w:proofErr w:type="spellEnd"/>
      <w:r w:rsidRPr="00075FBC">
        <w:t xml:space="preserve"> OATP1B1 (SLCO1B1 c.521CC) έχει συσχετισθεί με 2,4-φορές υψηλότερη έκθεση στην </w:t>
      </w:r>
      <w:proofErr w:type="spellStart"/>
      <w:r w:rsidRPr="00075FBC">
        <w:t>ατορβαστατίνη</w:t>
      </w:r>
      <w:proofErr w:type="spellEnd"/>
      <w:r w:rsidRPr="00075FBC">
        <w:t xml:space="preserve"> (AUC) από ότι σε ανθρώπους χωρίς αυτή την παραλλαγή γονότυπου (c.521TT). Μια γενετικά διαταραγμένη ηπατική πρόσληψη της </w:t>
      </w:r>
      <w:proofErr w:type="spellStart"/>
      <w:r w:rsidRPr="00075FBC">
        <w:t>ατορβαστατίνης</w:t>
      </w:r>
      <w:proofErr w:type="spellEnd"/>
      <w:r w:rsidRPr="00075FBC">
        <w:t xml:space="preserve"> σε αυτούς τους ασθενείς είναι επίσης πιθανή. Οι πιθανές συνέπειες για την αποτελεσματικότητα είναι άγνωστες.</w:t>
      </w:r>
    </w:p>
    <w:p w:rsidR="00075FBC" w:rsidRPr="00075FBC" w:rsidRDefault="00075FBC" w:rsidP="00075FBC">
      <w:pPr>
        <w:jc w:val="both"/>
        <w:rPr>
          <w:szCs w:val="22"/>
        </w:rPr>
      </w:pPr>
    </w:p>
    <w:p w:rsidR="00075FBC" w:rsidRPr="00075FBC" w:rsidRDefault="00075FBC" w:rsidP="00075FBC">
      <w:pPr>
        <w:jc w:val="both"/>
        <w:rPr>
          <w:szCs w:val="22"/>
        </w:rPr>
      </w:pPr>
      <w:r w:rsidRPr="00075FBC">
        <w:rPr>
          <w:b/>
          <w:szCs w:val="22"/>
        </w:rPr>
        <w:t>5.3</w:t>
      </w:r>
      <w:r w:rsidRPr="00075FBC">
        <w:rPr>
          <w:b/>
          <w:szCs w:val="22"/>
        </w:rPr>
        <w:tab/>
      </w:r>
      <w:proofErr w:type="spellStart"/>
      <w:r w:rsidRPr="00075FBC">
        <w:rPr>
          <w:b/>
          <w:szCs w:val="22"/>
        </w:rPr>
        <w:t>Προκλινικά</w:t>
      </w:r>
      <w:proofErr w:type="spellEnd"/>
      <w:r w:rsidRPr="00075FBC">
        <w:rPr>
          <w:b/>
          <w:szCs w:val="22"/>
        </w:rPr>
        <w:t xml:space="preserve"> δεδομένα για την ασφάλεια</w:t>
      </w:r>
    </w:p>
    <w:p w:rsidR="00075FBC" w:rsidRPr="00075FBC" w:rsidRDefault="00075FBC" w:rsidP="00075FBC">
      <w:pPr>
        <w:jc w:val="both"/>
        <w:rPr>
          <w:szCs w:val="22"/>
        </w:rPr>
      </w:pPr>
    </w:p>
    <w:p w:rsidR="00075FBC" w:rsidRPr="00075FBC" w:rsidRDefault="00075FBC" w:rsidP="00075FBC">
      <w:pPr>
        <w:widowControl/>
        <w:jc w:val="both"/>
        <w:rPr>
          <w:szCs w:val="22"/>
        </w:rPr>
      </w:pPr>
      <w:r w:rsidRPr="00075FBC">
        <w:rPr>
          <w:szCs w:val="22"/>
        </w:rPr>
        <w:t xml:space="preserve">Η </w:t>
      </w:r>
      <w:proofErr w:type="spellStart"/>
      <w:r w:rsidRPr="00075FBC">
        <w:rPr>
          <w:szCs w:val="22"/>
        </w:rPr>
        <w:t>ατορβαστατίνη</w:t>
      </w:r>
      <w:proofErr w:type="spellEnd"/>
      <w:r w:rsidRPr="00075FBC">
        <w:rPr>
          <w:szCs w:val="22"/>
        </w:rPr>
        <w:t xml:space="preserve"> δεν παρουσίασε </w:t>
      </w:r>
      <w:proofErr w:type="spellStart"/>
      <w:r w:rsidRPr="00075FBC">
        <w:rPr>
          <w:szCs w:val="22"/>
        </w:rPr>
        <w:t>μεταλλαξιογόνο</w:t>
      </w:r>
      <w:proofErr w:type="spellEnd"/>
      <w:r w:rsidRPr="00075FBC">
        <w:rPr>
          <w:szCs w:val="22"/>
        </w:rPr>
        <w:t xml:space="preserve"> ή </w:t>
      </w:r>
      <w:proofErr w:type="spellStart"/>
      <w:r w:rsidRPr="00075FBC">
        <w:rPr>
          <w:szCs w:val="22"/>
        </w:rPr>
        <w:t>μιτωτικό</w:t>
      </w:r>
      <w:proofErr w:type="spellEnd"/>
      <w:r w:rsidRPr="00075FBC">
        <w:rPr>
          <w:szCs w:val="22"/>
        </w:rPr>
        <w:t xml:space="preserve"> δυναμικό σε μια συστοιχία 4 </w:t>
      </w:r>
      <w:proofErr w:type="spellStart"/>
      <w:r w:rsidRPr="00075FBC">
        <w:t>in</w:t>
      </w:r>
      <w:proofErr w:type="spellEnd"/>
      <w:r w:rsidRPr="00075FBC">
        <w:t xml:space="preserve"> </w:t>
      </w:r>
      <w:proofErr w:type="spellStart"/>
      <w:r w:rsidRPr="00075FBC">
        <w:t>vitro</w:t>
      </w:r>
      <w:proofErr w:type="spellEnd"/>
      <w:r w:rsidRPr="00075FBC">
        <w:rPr>
          <w:szCs w:val="22"/>
        </w:rPr>
        <w:t xml:space="preserve"> δοκιμασιών και σε 1 </w:t>
      </w:r>
      <w:proofErr w:type="spellStart"/>
      <w:r w:rsidRPr="00075FBC">
        <w:t>in</w:t>
      </w:r>
      <w:proofErr w:type="spellEnd"/>
      <w:r w:rsidRPr="00075FBC">
        <w:t xml:space="preserve"> </w:t>
      </w:r>
      <w:proofErr w:type="spellStart"/>
      <w:r w:rsidRPr="00075FBC">
        <w:t>vivo</w:t>
      </w:r>
      <w:proofErr w:type="spellEnd"/>
      <w:r w:rsidRPr="00075FBC">
        <w:rPr>
          <w:szCs w:val="22"/>
        </w:rPr>
        <w:t xml:space="preserve"> μελέτη. Η </w:t>
      </w:r>
      <w:proofErr w:type="spellStart"/>
      <w:r w:rsidRPr="00075FBC">
        <w:rPr>
          <w:szCs w:val="22"/>
        </w:rPr>
        <w:t>ατορβαστατίνη</w:t>
      </w:r>
      <w:proofErr w:type="spellEnd"/>
      <w:r w:rsidRPr="00075FBC">
        <w:rPr>
          <w:szCs w:val="22"/>
        </w:rPr>
        <w:t xml:space="preserve"> δεν παρουσίασε καρκινογόνο δράση σε αρουραίους, αλλά υψηλές δόσεις σε ποντίκια (έχοντας ως αποτέλεσμα την αύξηση 6-11 φορές την </w:t>
      </w:r>
      <w:r w:rsidRPr="00075FBC">
        <w:t>AUC0-24h που επιτυγχάνεται στους ανθρώπους στις υψηλότερες συνιστώμενες δόσεις</w:t>
      </w:r>
      <w:r w:rsidRPr="00075FBC">
        <w:rPr>
          <w:szCs w:val="22"/>
        </w:rPr>
        <w:t xml:space="preserve">) παρουσίασαν </w:t>
      </w:r>
      <w:proofErr w:type="spellStart"/>
      <w:r w:rsidRPr="00075FBC">
        <w:rPr>
          <w:szCs w:val="22"/>
        </w:rPr>
        <w:t>ηπατοκυτταρικά</w:t>
      </w:r>
      <w:proofErr w:type="spellEnd"/>
      <w:r w:rsidRPr="00075FBC">
        <w:rPr>
          <w:szCs w:val="22"/>
        </w:rPr>
        <w:t xml:space="preserve"> αδενώματα στα άρρενα και </w:t>
      </w:r>
      <w:proofErr w:type="spellStart"/>
      <w:r w:rsidRPr="00075FBC">
        <w:rPr>
          <w:szCs w:val="22"/>
        </w:rPr>
        <w:t>ηπατοκυτταρικά</w:t>
      </w:r>
      <w:proofErr w:type="spellEnd"/>
      <w:r w:rsidRPr="00075FBC">
        <w:rPr>
          <w:szCs w:val="22"/>
        </w:rPr>
        <w:t xml:space="preserve"> καρκινώματα στα θήλεα. </w:t>
      </w:r>
    </w:p>
    <w:p w:rsidR="00075FBC" w:rsidRPr="00075FBC" w:rsidRDefault="00075FBC" w:rsidP="00075FBC">
      <w:pPr>
        <w:widowControl/>
        <w:jc w:val="both"/>
        <w:rPr>
          <w:szCs w:val="22"/>
        </w:rPr>
      </w:pPr>
    </w:p>
    <w:p w:rsidR="00075FBC" w:rsidRPr="00075FBC" w:rsidRDefault="00075FBC" w:rsidP="00075FBC">
      <w:pPr>
        <w:widowControl/>
        <w:jc w:val="both"/>
        <w:rPr>
          <w:szCs w:val="22"/>
        </w:rPr>
      </w:pPr>
      <w:r w:rsidRPr="00075FBC">
        <w:rPr>
          <w:szCs w:val="22"/>
        </w:rPr>
        <w:t xml:space="preserve">Υπάρχουν στοιχεία από πειραματικές μελέτες σε ζώα που καταδεικνύουν ότι οι αναστολείς της </w:t>
      </w:r>
      <w:r w:rsidRPr="00075FBC">
        <w:rPr>
          <w:rFonts w:cs="Arial"/>
          <w:bCs/>
          <w:szCs w:val="22"/>
        </w:rPr>
        <w:t>HMG-</w:t>
      </w:r>
      <w:proofErr w:type="spellStart"/>
      <w:r w:rsidRPr="00075FBC">
        <w:rPr>
          <w:rFonts w:cs="Arial"/>
          <w:bCs/>
          <w:szCs w:val="22"/>
        </w:rPr>
        <w:t>CoA</w:t>
      </w:r>
      <w:proofErr w:type="spellEnd"/>
      <w:r w:rsidRPr="00075FBC">
        <w:rPr>
          <w:rFonts w:cs="Arial"/>
          <w:bCs/>
          <w:szCs w:val="22"/>
        </w:rPr>
        <w:t xml:space="preserve"> </w:t>
      </w:r>
      <w:proofErr w:type="spellStart"/>
      <w:r w:rsidRPr="00075FBC">
        <w:rPr>
          <w:rFonts w:cs="Arial"/>
          <w:bCs/>
          <w:szCs w:val="22"/>
        </w:rPr>
        <w:t>αναγωγάσης</w:t>
      </w:r>
      <w:proofErr w:type="spellEnd"/>
      <w:r w:rsidRPr="00075FBC">
        <w:rPr>
          <w:rFonts w:cs="Arial"/>
          <w:bCs/>
          <w:szCs w:val="22"/>
        </w:rPr>
        <w:t xml:space="preserve"> μπορεί να επηρεάσουν την ανάπτυξη των εμβρύων. Η </w:t>
      </w:r>
      <w:proofErr w:type="spellStart"/>
      <w:r w:rsidRPr="00075FBC">
        <w:rPr>
          <w:rFonts w:cs="Arial"/>
          <w:bCs/>
          <w:szCs w:val="22"/>
        </w:rPr>
        <w:t>ατορβαστατίνη</w:t>
      </w:r>
      <w:proofErr w:type="spellEnd"/>
      <w:r w:rsidRPr="00075FBC">
        <w:rPr>
          <w:rFonts w:cs="Arial"/>
          <w:bCs/>
          <w:szCs w:val="22"/>
        </w:rPr>
        <w:t xml:space="preserve"> δεν είχε καμία επίδραση στη γονιμότητα αρουραίων, ποντικιών και κουνελιών, και δεν είχε τερατογόνο δράση, ωστόσο, παρατηρήθηκε εμβρυακή τοξικότητα στους αρουραίους και τα κουνέλια όταν η δόση που χορηγήθηκε στη μητέρα ήταν τοξική. </w:t>
      </w:r>
      <w:r w:rsidRPr="00075FBC">
        <w:rPr>
          <w:szCs w:val="22"/>
        </w:rPr>
        <w:t xml:space="preserve">Σε αρουραίους παρατηρήθηκε καθυστέρηση της ανάπτυξης των νεογνών, ενώ μετά από έκθεση των μητέρων των ζώων σε υψηλές δόσεις </w:t>
      </w:r>
      <w:proofErr w:type="spellStart"/>
      <w:r w:rsidRPr="00075FBC">
        <w:rPr>
          <w:szCs w:val="22"/>
        </w:rPr>
        <w:t>ατορβαστατίνης</w:t>
      </w:r>
      <w:proofErr w:type="spellEnd"/>
      <w:r w:rsidRPr="00075FBC">
        <w:rPr>
          <w:szCs w:val="22"/>
        </w:rPr>
        <w:t xml:space="preserve"> η επιβίωση μετά τον τοκετό ελαττώθηκε.</w:t>
      </w:r>
      <w:r w:rsidRPr="00075FBC">
        <w:rPr>
          <w:rFonts w:cs="Arial"/>
          <w:bCs/>
          <w:szCs w:val="22"/>
        </w:rPr>
        <w:t xml:space="preserve"> Στους αρουραίους υπάρχουν στοιχεία </w:t>
      </w:r>
      <w:r w:rsidRPr="00075FBC">
        <w:rPr>
          <w:szCs w:val="22"/>
        </w:rPr>
        <w:t xml:space="preserve">που καταδεικνύουν ότι υπάρχει μεταφορά μέσω του πλακούντα. Στους αρουραίους, η συγκέντρωση της </w:t>
      </w:r>
      <w:proofErr w:type="spellStart"/>
      <w:r w:rsidRPr="00075FBC">
        <w:rPr>
          <w:szCs w:val="22"/>
        </w:rPr>
        <w:t>ατορβαστατίνης</w:t>
      </w:r>
      <w:proofErr w:type="spellEnd"/>
      <w:r w:rsidRPr="00075FBC">
        <w:rPr>
          <w:szCs w:val="22"/>
        </w:rPr>
        <w:t xml:space="preserve"> στο πλάσμα</w:t>
      </w:r>
      <w:r w:rsidRPr="00075FBC">
        <w:rPr>
          <w:rFonts w:cs="Arial"/>
          <w:bCs/>
          <w:szCs w:val="22"/>
        </w:rPr>
        <w:t xml:space="preserve"> είναι παραπλήσια με αυτή στο μητρικό γάλα. Δεν είναι γνωστό εάν η </w:t>
      </w:r>
      <w:proofErr w:type="spellStart"/>
      <w:r w:rsidRPr="00075FBC">
        <w:rPr>
          <w:rFonts w:cs="Arial"/>
          <w:bCs/>
          <w:szCs w:val="22"/>
        </w:rPr>
        <w:t>ατορβαστατίνη</w:t>
      </w:r>
      <w:proofErr w:type="spellEnd"/>
      <w:r w:rsidRPr="00075FBC">
        <w:rPr>
          <w:rFonts w:cs="Arial"/>
          <w:bCs/>
          <w:szCs w:val="22"/>
        </w:rPr>
        <w:t xml:space="preserve"> ή οι μεταβολίτες της απεκκρίνονται στο ανθρώπινο μητρικό γάλα.</w:t>
      </w:r>
    </w:p>
    <w:p w:rsidR="00075FBC" w:rsidRPr="00075FBC" w:rsidRDefault="00075FBC" w:rsidP="00075FBC">
      <w:pPr>
        <w:jc w:val="both"/>
        <w:rPr>
          <w:sz w:val="20"/>
          <w:szCs w:val="22"/>
          <w:lang w:eastAsia="x-none"/>
        </w:rPr>
      </w:pPr>
    </w:p>
    <w:p w:rsidR="00075FBC" w:rsidRPr="00075FBC" w:rsidRDefault="00075FBC" w:rsidP="00075FBC">
      <w:pPr>
        <w:jc w:val="both"/>
        <w:rPr>
          <w:sz w:val="20"/>
          <w:szCs w:val="22"/>
          <w:lang w:eastAsia="x-none"/>
        </w:rPr>
      </w:pPr>
    </w:p>
    <w:p w:rsidR="00075FBC" w:rsidRPr="00075FBC" w:rsidRDefault="00075FBC" w:rsidP="00075FBC">
      <w:pPr>
        <w:jc w:val="both"/>
        <w:rPr>
          <w:szCs w:val="22"/>
        </w:rPr>
      </w:pPr>
      <w:r w:rsidRPr="00075FBC">
        <w:rPr>
          <w:b/>
          <w:szCs w:val="22"/>
        </w:rPr>
        <w:t>6.</w:t>
      </w:r>
      <w:r w:rsidRPr="00075FBC">
        <w:rPr>
          <w:b/>
          <w:szCs w:val="22"/>
        </w:rPr>
        <w:tab/>
        <w:t>ΦΑΡΜΑΚΕΥΤΙΚΕΣ ΠΛΗΡΟΦΟΡΙΕΣ</w:t>
      </w:r>
    </w:p>
    <w:p w:rsidR="00075FBC" w:rsidRPr="00075FBC" w:rsidRDefault="00075FBC" w:rsidP="00075FBC">
      <w:pPr>
        <w:jc w:val="both"/>
        <w:rPr>
          <w:szCs w:val="22"/>
        </w:rPr>
      </w:pPr>
    </w:p>
    <w:p w:rsidR="00075FBC" w:rsidRPr="00075FBC" w:rsidRDefault="00075FBC" w:rsidP="00075FBC">
      <w:pPr>
        <w:jc w:val="both"/>
        <w:rPr>
          <w:szCs w:val="22"/>
        </w:rPr>
      </w:pPr>
      <w:r w:rsidRPr="00075FBC">
        <w:rPr>
          <w:b/>
          <w:szCs w:val="22"/>
        </w:rPr>
        <w:t>6.1</w:t>
      </w:r>
      <w:r w:rsidRPr="00075FBC">
        <w:rPr>
          <w:b/>
          <w:szCs w:val="22"/>
        </w:rPr>
        <w:tab/>
        <w:t>Κατάλογος εκδόχων</w:t>
      </w:r>
    </w:p>
    <w:p w:rsidR="00075FBC" w:rsidRPr="00075FBC" w:rsidRDefault="00075FBC" w:rsidP="00075FBC">
      <w:pPr>
        <w:jc w:val="both"/>
        <w:rPr>
          <w:szCs w:val="22"/>
        </w:rPr>
      </w:pPr>
    </w:p>
    <w:p w:rsidR="00075FBC" w:rsidRPr="00075FBC" w:rsidRDefault="00075FBC" w:rsidP="00075FBC">
      <w:pPr>
        <w:jc w:val="both"/>
        <w:rPr>
          <w:b/>
          <w:szCs w:val="22"/>
        </w:rPr>
      </w:pPr>
      <w:r w:rsidRPr="00075FBC">
        <w:rPr>
          <w:b/>
          <w:szCs w:val="22"/>
        </w:rPr>
        <w:t xml:space="preserve">Δισκία 20 </w:t>
      </w:r>
      <w:r w:rsidRPr="00075FBC">
        <w:rPr>
          <w:b/>
          <w:szCs w:val="22"/>
          <w:lang w:val="en-US"/>
        </w:rPr>
        <w:t>mg</w:t>
      </w:r>
      <w:r w:rsidRPr="00075FBC">
        <w:rPr>
          <w:b/>
          <w:szCs w:val="22"/>
        </w:rPr>
        <w:t xml:space="preserve"> &amp; 40 </w:t>
      </w:r>
      <w:r w:rsidRPr="00075FBC">
        <w:rPr>
          <w:b/>
          <w:szCs w:val="22"/>
          <w:lang w:val="en-US"/>
        </w:rPr>
        <w:t>mg</w:t>
      </w:r>
      <w:r w:rsidRPr="00075FBC">
        <w:rPr>
          <w:b/>
          <w:szCs w:val="22"/>
        </w:rPr>
        <w:t>:</w:t>
      </w:r>
    </w:p>
    <w:p w:rsidR="00075FBC" w:rsidRPr="00075FBC" w:rsidRDefault="00075FBC" w:rsidP="00075FBC">
      <w:pPr>
        <w:jc w:val="both"/>
        <w:rPr>
          <w:szCs w:val="22"/>
        </w:rPr>
      </w:pPr>
      <w:r w:rsidRPr="00075FBC">
        <w:rPr>
          <w:szCs w:val="22"/>
          <w:u w:val="single"/>
        </w:rPr>
        <w:t>Πυρήνας δισκίου:</w:t>
      </w:r>
    </w:p>
    <w:p w:rsidR="00075FBC" w:rsidRPr="00075FBC" w:rsidRDefault="00075FBC" w:rsidP="00075FBC">
      <w:pPr>
        <w:jc w:val="both"/>
        <w:rPr>
          <w:szCs w:val="22"/>
        </w:rPr>
      </w:pPr>
      <w:r w:rsidRPr="00075FBC">
        <w:rPr>
          <w:szCs w:val="22"/>
        </w:rPr>
        <w:t xml:space="preserve">Λακτόζη άνυδρη, </w:t>
      </w:r>
      <w:proofErr w:type="spellStart"/>
      <w:r w:rsidRPr="00075FBC">
        <w:rPr>
          <w:szCs w:val="22"/>
        </w:rPr>
        <w:t>καρμελλόζη</w:t>
      </w:r>
      <w:proofErr w:type="spellEnd"/>
      <w:r w:rsidRPr="00075FBC">
        <w:rPr>
          <w:szCs w:val="22"/>
        </w:rPr>
        <w:t xml:space="preserve"> νατριούχος διασταυρούμενη, στεατικό μαγνήσιο.</w:t>
      </w:r>
    </w:p>
    <w:p w:rsidR="00075FBC" w:rsidRPr="00075FBC" w:rsidRDefault="00075FBC" w:rsidP="00075FBC">
      <w:pPr>
        <w:widowControl/>
        <w:jc w:val="both"/>
        <w:rPr>
          <w:szCs w:val="22"/>
          <w:u w:val="single"/>
        </w:rPr>
      </w:pPr>
      <w:r w:rsidRPr="00075FBC">
        <w:rPr>
          <w:szCs w:val="22"/>
          <w:u w:val="single"/>
        </w:rPr>
        <w:t xml:space="preserve">Επικάλυψη δισκίου: </w:t>
      </w:r>
    </w:p>
    <w:p w:rsidR="00075FBC" w:rsidRPr="00075FBC" w:rsidRDefault="00075FBC" w:rsidP="00075FBC">
      <w:pPr>
        <w:widowControl/>
        <w:jc w:val="both"/>
        <w:rPr>
          <w:szCs w:val="22"/>
        </w:rPr>
      </w:pPr>
      <w:r w:rsidRPr="00075FBC">
        <w:rPr>
          <w:szCs w:val="22"/>
        </w:rPr>
        <w:t xml:space="preserve">Επικάλυψη δισκίου που περιέχει: </w:t>
      </w:r>
      <w:proofErr w:type="spellStart"/>
      <w:r w:rsidRPr="00075FBC">
        <w:t>Πολυαιθυλενογλυκόλη</w:t>
      </w:r>
      <w:proofErr w:type="spellEnd"/>
      <w:r w:rsidRPr="00075FBC">
        <w:t xml:space="preserve"> 6000, </w:t>
      </w:r>
      <w:proofErr w:type="spellStart"/>
      <w:r w:rsidRPr="00075FBC">
        <w:t>υπρομελλόζη</w:t>
      </w:r>
      <w:proofErr w:type="spellEnd"/>
      <w:r w:rsidRPr="00075FBC">
        <w:t xml:space="preserve"> 15 </w:t>
      </w:r>
      <w:r w:rsidRPr="00075FBC">
        <w:rPr>
          <w:lang w:val="en-US"/>
        </w:rPr>
        <w:t>CPS</w:t>
      </w:r>
      <w:r w:rsidRPr="00075FBC">
        <w:t xml:space="preserve">, </w:t>
      </w:r>
      <w:r w:rsidRPr="00075FBC">
        <w:rPr>
          <w:szCs w:val="22"/>
        </w:rPr>
        <w:t>διοξείδιο του τιτανίου</w:t>
      </w:r>
      <w:r w:rsidRPr="00075FBC" w:rsidDel="00620762">
        <w:rPr>
          <w:szCs w:val="22"/>
        </w:rPr>
        <w:t xml:space="preserve"> </w:t>
      </w:r>
      <w:r w:rsidRPr="00075FBC">
        <w:rPr>
          <w:szCs w:val="22"/>
        </w:rPr>
        <w:t xml:space="preserve">(Ε 171) , </w:t>
      </w:r>
      <w:proofErr w:type="spellStart"/>
      <w:r w:rsidRPr="00075FBC">
        <w:rPr>
          <w:szCs w:val="22"/>
        </w:rPr>
        <w:t>κεκαθαρμένο</w:t>
      </w:r>
      <w:proofErr w:type="spellEnd"/>
      <w:r w:rsidRPr="00075FBC">
        <w:rPr>
          <w:szCs w:val="22"/>
        </w:rPr>
        <w:t xml:space="preserve"> ύδωρ</w:t>
      </w:r>
    </w:p>
    <w:p w:rsidR="00075FBC" w:rsidRPr="00075FBC" w:rsidRDefault="00075FBC" w:rsidP="00075FBC">
      <w:pPr>
        <w:widowControl/>
        <w:jc w:val="both"/>
        <w:rPr>
          <w:szCs w:val="22"/>
        </w:rPr>
      </w:pPr>
    </w:p>
    <w:p w:rsidR="00075FBC" w:rsidRPr="00075FBC" w:rsidRDefault="00075FBC" w:rsidP="00075FBC">
      <w:pPr>
        <w:jc w:val="both"/>
        <w:rPr>
          <w:szCs w:val="22"/>
        </w:rPr>
      </w:pPr>
      <w:r w:rsidRPr="00075FBC">
        <w:rPr>
          <w:b/>
          <w:szCs w:val="22"/>
        </w:rPr>
        <w:t>6.2</w:t>
      </w:r>
      <w:r w:rsidRPr="00075FBC">
        <w:rPr>
          <w:b/>
          <w:szCs w:val="22"/>
        </w:rPr>
        <w:tab/>
        <w:t>Ασυμβατότητες</w:t>
      </w:r>
    </w:p>
    <w:p w:rsidR="00075FBC" w:rsidRPr="00075FBC" w:rsidRDefault="00075FBC" w:rsidP="00075FBC">
      <w:pPr>
        <w:jc w:val="both"/>
        <w:rPr>
          <w:szCs w:val="22"/>
        </w:rPr>
      </w:pPr>
    </w:p>
    <w:p w:rsidR="00075FBC" w:rsidRPr="00075FBC" w:rsidRDefault="00075FBC" w:rsidP="00075FBC">
      <w:pPr>
        <w:jc w:val="both"/>
        <w:rPr>
          <w:szCs w:val="22"/>
        </w:rPr>
      </w:pPr>
      <w:r w:rsidRPr="00075FBC">
        <w:rPr>
          <w:szCs w:val="22"/>
        </w:rPr>
        <w:t>Δεν εφαρμόζεται.</w:t>
      </w:r>
    </w:p>
    <w:p w:rsidR="00075FBC" w:rsidRPr="00075FBC" w:rsidRDefault="00075FBC" w:rsidP="00075FBC">
      <w:pPr>
        <w:jc w:val="both"/>
        <w:rPr>
          <w:szCs w:val="22"/>
        </w:rPr>
      </w:pPr>
    </w:p>
    <w:p w:rsidR="00075FBC" w:rsidRPr="00075FBC" w:rsidRDefault="00075FBC" w:rsidP="00075FBC">
      <w:pPr>
        <w:jc w:val="both"/>
        <w:rPr>
          <w:szCs w:val="22"/>
        </w:rPr>
      </w:pPr>
      <w:r w:rsidRPr="00075FBC">
        <w:rPr>
          <w:b/>
          <w:szCs w:val="22"/>
        </w:rPr>
        <w:t>6.3</w:t>
      </w:r>
      <w:r w:rsidRPr="00075FBC">
        <w:rPr>
          <w:b/>
          <w:szCs w:val="22"/>
        </w:rPr>
        <w:tab/>
        <w:t>Διάρκεια ζωής</w:t>
      </w:r>
    </w:p>
    <w:p w:rsidR="00075FBC" w:rsidRPr="00075FBC" w:rsidRDefault="00075FBC" w:rsidP="00075FBC">
      <w:pPr>
        <w:jc w:val="both"/>
        <w:rPr>
          <w:szCs w:val="22"/>
        </w:rPr>
      </w:pPr>
    </w:p>
    <w:p w:rsidR="00075FBC" w:rsidRPr="00075FBC" w:rsidRDefault="00075FBC" w:rsidP="00075FBC">
      <w:pPr>
        <w:jc w:val="both"/>
        <w:rPr>
          <w:szCs w:val="22"/>
        </w:rPr>
      </w:pPr>
      <w:r w:rsidRPr="00075FBC">
        <w:rPr>
          <w:szCs w:val="22"/>
        </w:rPr>
        <w:t>3 χρόνια</w:t>
      </w:r>
    </w:p>
    <w:p w:rsidR="00075FBC" w:rsidRPr="00075FBC" w:rsidRDefault="00075FBC" w:rsidP="00075FBC">
      <w:pPr>
        <w:jc w:val="both"/>
        <w:rPr>
          <w:szCs w:val="22"/>
        </w:rPr>
      </w:pPr>
    </w:p>
    <w:p w:rsidR="00075FBC" w:rsidRPr="00075FBC" w:rsidRDefault="00075FBC" w:rsidP="00075FBC">
      <w:pPr>
        <w:jc w:val="both"/>
        <w:rPr>
          <w:szCs w:val="22"/>
        </w:rPr>
      </w:pPr>
      <w:r w:rsidRPr="00075FBC">
        <w:rPr>
          <w:b/>
          <w:szCs w:val="22"/>
        </w:rPr>
        <w:t>6.4</w:t>
      </w:r>
      <w:r w:rsidRPr="00075FBC">
        <w:rPr>
          <w:b/>
          <w:szCs w:val="22"/>
        </w:rPr>
        <w:tab/>
        <w:t>Ιδιαίτερες προφυλάξεις κατά την φύλαξη του προϊόντος</w:t>
      </w:r>
    </w:p>
    <w:p w:rsidR="00075FBC" w:rsidRPr="00075FBC" w:rsidRDefault="00075FBC" w:rsidP="00075FBC">
      <w:pPr>
        <w:jc w:val="both"/>
      </w:pPr>
    </w:p>
    <w:p w:rsidR="00075FBC" w:rsidRPr="00075FBC" w:rsidRDefault="00075FBC" w:rsidP="00075FBC">
      <w:pPr>
        <w:widowControl/>
        <w:jc w:val="both"/>
        <w:rPr>
          <w:szCs w:val="22"/>
        </w:rPr>
      </w:pPr>
      <w:r w:rsidRPr="00075FBC">
        <w:rPr>
          <w:szCs w:val="22"/>
        </w:rPr>
        <w:t xml:space="preserve">Να φυλάσσεται σε θερμοκρασία χαμηλότερη των 25 </w:t>
      </w:r>
      <w:proofErr w:type="spellStart"/>
      <w:r w:rsidRPr="00075FBC">
        <w:rPr>
          <w:szCs w:val="22"/>
          <w:vertAlign w:val="superscript"/>
          <w:lang w:val="en-US"/>
        </w:rPr>
        <w:t>o</w:t>
      </w:r>
      <w:r w:rsidRPr="00075FBC">
        <w:rPr>
          <w:szCs w:val="22"/>
          <w:lang w:val="en-US"/>
        </w:rPr>
        <w:t>C</w:t>
      </w:r>
      <w:proofErr w:type="spellEnd"/>
      <w:r w:rsidRPr="00075FBC">
        <w:rPr>
          <w:szCs w:val="22"/>
        </w:rPr>
        <w:t>.</w:t>
      </w:r>
    </w:p>
    <w:p w:rsidR="00075FBC" w:rsidRPr="00075FBC" w:rsidRDefault="00075FBC" w:rsidP="00075FBC">
      <w:pPr>
        <w:jc w:val="both"/>
        <w:rPr>
          <w:szCs w:val="22"/>
        </w:rPr>
      </w:pPr>
    </w:p>
    <w:p w:rsidR="00075FBC" w:rsidRPr="00075FBC" w:rsidRDefault="00075FBC" w:rsidP="00075FBC">
      <w:pPr>
        <w:jc w:val="both"/>
        <w:rPr>
          <w:szCs w:val="22"/>
        </w:rPr>
      </w:pPr>
      <w:r w:rsidRPr="00075FBC">
        <w:rPr>
          <w:b/>
          <w:szCs w:val="22"/>
        </w:rPr>
        <w:t>6.5</w:t>
      </w:r>
      <w:r w:rsidRPr="00075FBC">
        <w:rPr>
          <w:b/>
          <w:szCs w:val="22"/>
        </w:rPr>
        <w:tab/>
        <w:t xml:space="preserve">Φύση και συστατικά του </w:t>
      </w:r>
      <w:proofErr w:type="spellStart"/>
      <w:r w:rsidRPr="00075FBC">
        <w:rPr>
          <w:b/>
          <w:szCs w:val="22"/>
        </w:rPr>
        <w:t>περιέκτη</w:t>
      </w:r>
      <w:proofErr w:type="spellEnd"/>
    </w:p>
    <w:p w:rsidR="00075FBC" w:rsidRPr="00075FBC" w:rsidRDefault="00075FBC" w:rsidP="00075FBC">
      <w:pPr>
        <w:jc w:val="both"/>
        <w:rPr>
          <w:szCs w:val="22"/>
        </w:rPr>
      </w:pPr>
    </w:p>
    <w:p w:rsidR="00075FBC" w:rsidRPr="00075FBC" w:rsidRDefault="00075FBC" w:rsidP="00075FBC">
      <w:pPr>
        <w:jc w:val="both"/>
        <w:rPr>
          <w:b/>
          <w:szCs w:val="22"/>
        </w:rPr>
      </w:pPr>
      <w:r w:rsidRPr="00075FBC">
        <w:rPr>
          <w:b/>
          <w:szCs w:val="22"/>
        </w:rPr>
        <w:t xml:space="preserve">Δισκία 20 </w:t>
      </w:r>
      <w:r w:rsidRPr="00075FBC">
        <w:rPr>
          <w:b/>
          <w:szCs w:val="22"/>
          <w:lang w:val="en-US"/>
        </w:rPr>
        <w:t>mg</w:t>
      </w:r>
      <w:r w:rsidRPr="00075FBC">
        <w:rPr>
          <w:b/>
          <w:szCs w:val="22"/>
        </w:rPr>
        <w:t xml:space="preserve"> &amp; 40 </w:t>
      </w:r>
      <w:r w:rsidRPr="00075FBC">
        <w:rPr>
          <w:b/>
          <w:szCs w:val="22"/>
          <w:lang w:val="en-US"/>
        </w:rPr>
        <w:t>mg</w:t>
      </w:r>
      <w:r w:rsidRPr="00075FBC">
        <w:rPr>
          <w:b/>
          <w:szCs w:val="22"/>
        </w:rPr>
        <w:t>:</w:t>
      </w:r>
    </w:p>
    <w:p w:rsidR="00075FBC" w:rsidRPr="00075FBC" w:rsidRDefault="00075FBC" w:rsidP="00075FBC">
      <w:pPr>
        <w:jc w:val="both"/>
        <w:rPr>
          <w:szCs w:val="22"/>
        </w:rPr>
      </w:pPr>
      <w:r w:rsidRPr="00075FBC">
        <w:rPr>
          <w:szCs w:val="22"/>
        </w:rPr>
        <w:t xml:space="preserve">Συσκευασία κυψέλης που περιέχει: 14, 28, 56 και 98 επικαλυμμένα με λεπτό </w:t>
      </w:r>
      <w:proofErr w:type="spellStart"/>
      <w:r w:rsidRPr="00075FBC">
        <w:rPr>
          <w:szCs w:val="22"/>
        </w:rPr>
        <w:t>υμένιο</w:t>
      </w:r>
      <w:proofErr w:type="spellEnd"/>
      <w:r w:rsidRPr="00075FBC">
        <w:rPr>
          <w:szCs w:val="22"/>
        </w:rPr>
        <w:t xml:space="preserve"> δισκία.</w:t>
      </w:r>
    </w:p>
    <w:p w:rsidR="00075FBC" w:rsidRPr="00075FBC" w:rsidRDefault="00075FBC" w:rsidP="00075FBC">
      <w:pPr>
        <w:widowControl/>
        <w:jc w:val="both"/>
        <w:rPr>
          <w:szCs w:val="22"/>
        </w:rPr>
      </w:pPr>
      <w:r w:rsidRPr="00075FBC">
        <w:rPr>
          <w:szCs w:val="22"/>
        </w:rPr>
        <w:t>Μπορεί να μην κυκλοφορούν όλες οι συσκευασίες.</w:t>
      </w:r>
    </w:p>
    <w:p w:rsidR="00075FBC" w:rsidRPr="00075FBC" w:rsidRDefault="00075FBC" w:rsidP="00075FBC">
      <w:pPr>
        <w:jc w:val="both"/>
        <w:rPr>
          <w:b/>
          <w:szCs w:val="22"/>
        </w:rPr>
      </w:pPr>
    </w:p>
    <w:p w:rsidR="00075FBC" w:rsidRPr="00075FBC" w:rsidRDefault="00075FBC" w:rsidP="00075FBC">
      <w:pPr>
        <w:jc w:val="both"/>
        <w:rPr>
          <w:szCs w:val="22"/>
        </w:rPr>
      </w:pPr>
      <w:r w:rsidRPr="00075FBC">
        <w:rPr>
          <w:b/>
          <w:szCs w:val="22"/>
        </w:rPr>
        <w:t>6.6</w:t>
      </w:r>
      <w:r w:rsidRPr="00075FBC">
        <w:rPr>
          <w:b/>
          <w:szCs w:val="22"/>
        </w:rPr>
        <w:tab/>
        <w:t>Ιδιαίτερες προφυλάξεις απόρριψης</w:t>
      </w:r>
    </w:p>
    <w:p w:rsidR="00075FBC" w:rsidRPr="00075FBC" w:rsidRDefault="00075FBC" w:rsidP="00075FBC">
      <w:pPr>
        <w:jc w:val="both"/>
        <w:rPr>
          <w:szCs w:val="22"/>
        </w:rPr>
      </w:pPr>
    </w:p>
    <w:p w:rsidR="00075FBC" w:rsidRPr="00075FBC" w:rsidRDefault="00075FBC" w:rsidP="00075FBC">
      <w:pPr>
        <w:jc w:val="both"/>
        <w:rPr>
          <w:szCs w:val="22"/>
        </w:rPr>
      </w:pPr>
      <w:r w:rsidRPr="00075FBC">
        <w:rPr>
          <w:szCs w:val="22"/>
        </w:rPr>
        <w:t>Καμία ειδική υποχρέωση.</w:t>
      </w:r>
    </w:p>
    <w:p w:rsidR="00075FBC" w:rsidRPr="00075FBC" w:rsidRDefault="00075FBC" w:rsidP="00075FBC">
      <w:pPr>
        <w:jc w:val="both"/>
        <w:rPr>
          <w:szCs w:val="22"/>
          <w:lang w:val="en-US"/>
        </w:rPr>
      </w:pPr>
    </w:p>
    <w:p w:rsidR="00075FBC" w:rsidRPr="00075FBC" w:rsidRDefault="00075FBC" w:rsidP="00075FBC">
      <w:pPr>
        <w:jc w:val="both"/>
        <w:rPr>
          <w:szCs w:val="22"/>
        </w:rPr>
      </w:pPr>
      <w:r w:rsidRPr="00075FBC">
        <w:rPr>
          <w:b/>
          <w:szCs w:val="22"/>
        </w:rPr>
        <w:t>7.</w:t>
      </w:r>
      <w:r w:rsidRPr="00075FBC">
        <w:rPr>
          <w:b/>
          <w:szCs w:val="22"/>
        </w:rPr>
        <w:tab/>
        <w:t>ΚΑΤΟΧΟΣ ΤΗΣ ΑΔΕΙΑΣ ΚΥΚΛΟΦΟΡΙΑΣ</w:t>
      </w:r>
    </w:p>
    <w:p w:rsidR="00075FBC" w:rsidRPr="00075FBC" w:rsidRDefault="00075FBC" w:rsidP="00075FBC">
      <w:pPr>
        <w:jc w:val="both"/>
        <w:rPr>
          <w:szCs w:val="22"/>
        </w:rPr>
      </w:pPr>
    </w:p>
    <w:p w:rsidR="00075FBC" w:rsidRPr="00075FBC" w:rsidRDefault="00075FBC" w:rsidP="00075FBC">
      <w:pPr>
        <w:jc w:val="both"/>
      </w:pPr>
      <w:bookmarkStart w:id="1" w:name="OLE_LINK5"/>
      <w:bookmarkStart w:id="2" w:name="OLE_LINK6"/>
      <w:proofErr w:type="gramStart"/>
      <w:r w:rsidRPr="00075FBC">
        <w:rPr>
          <w:lang w:val="en-US"/>
        </w:rPr>
        <w:t>SIEGER</w:t>
      </w:r>
      <w:r w:rsidRPr="00075FBC">
        <w:t xml:space="preserve"> </w:t>
      </w:r>
      <w:r w:rsidRPr="00075FBC">
        <w:rPr>
          <w:lang w:val="en-US"/>
        </w:rPr>
        <w:t>PHARMA</w:t>
      </w:r>
      <w:r w:rsidRPr="00075FBC">
        <w:t xml:space="preserve"> A.E.,</w:t>
      </w:r>
      <w:proofErr w:type="gramEnd"/>
      <w:r w:rsidRPr="00075FBC">
        <w:t xml:space="preserve"> </w:t>
      </w:r>
    </w:p>
    <w:p w:rsidR="00075FBC" w:rsidRPr="00075FBC" w:rsidRDefault="00075FBC" w:rsidP="00075FBC">
      <w:pPr>
        <w:jc w:val="both"/>
      </w:pPr>
      <w:r w:rsidRPr="00075FBC">
        <w:t xml:space="preserve">Λ. </w:t>
      </w:r>
      <w:proofErr w:type="spellStart"/>
      <w:r w:rsidRPr="00075FBC">
        <w:t>Μαραθώνος</w:t>
      </w:r>
      <w:proofErr w:type="spellEnd"/>
      <w:r w:rsidRPr="00075FBC">
        <w:t xml:space="preserve"> 106</w:t>
      </w:r>
    </w:p>
    <w:p w:rsidR="00075FBC" w:rsidRPr="00075FBC" w:rsidRDefault="00075FBC" w:rsidP="00075FBC">
      <w:pPr>
        <w:jc w:val="both"/>
      </w:pPr>
      <w:r w:rsidRPr="00075FBC">
        <w:t>19009 Πικέρμι</w:t>
      </w:r>
    </w:p>
    <w:p w:rsidR="00075FBC" w:rsidRPr="00075FBC" w:rsidRDefault="00075FBC" w:rsidP="00075FBC">
      <w:pPr>
        <w:jc w:val="both"/>
      </w:pPr>
      <w:proofErr w:type="spellStart"/>
      <w:r w:rsidRPr="00075FBC">
        <w:t>Τηλ</w:t>
      </w:r>
      <w:proofErr w:type="spellEnd"/>
      <w:r w:rsidRPr="00075FBC">
        <w:t>.: 210 6038475</w:t>
      </w:r>
    </w:p>
    <w:bookmarkEnd w:id="1"/>
    <w:bookmarkEnd w:id="2"/>
    <w:p w:rsidR="00075FBC" w:rsidRPr="00075FBC" w:rsidRDefault="00075FBC" w:rsidP="00075FBC">
      <w:pPr>
        <w:jc w:val="both"/>
        <w:rPr>
          <w:b/>
          <w:szCs w:val="22"/>
          <w:lang w:val="en-US"/>
        </w:rPr>
      </w:pPr>
    </w:p>
    <w:p w:rsidR="00075FBC" w:rsidRPr="00075FBC" w:rsidRDefault="00075FBC" w:rsidP="00075FBC">
      <w:pPr>
        <w:jc w:val="both"/>
        <w:rPr>
          <w:szCs w:val="22"/>
        </w:rPr>
      </w:pPr>
      <w:r w:rsidRPr="00075FBC">
        <w:rPr>
          <w:b/>
          <w:szCs w:val="22"/>
        </w:rPr>
        <w:t>8.</w:t>
      </w:r>
      <w:r w:rsidRPr="00075FBC">
        <w:rPr>
          <w:b/>
          <w:szCs w:val="22"/>
        </w:rPr>
        <w:tab/>
        <w:t>ΑΡΙΘΜΟΣ(ΟΙ) ΑΔΕΙΑΣ ΚΥΚΛΟΦΟΡΙΑΣ</w:t>
      </w:r>
    </w:p>
    <w:p w:rsidR="00075FBC" w:rsidRPr="00075FBC" w:rsidRDefault="00075FBC" w:rsidP="00075FBC">
      <w:pPr>
        <w:jc w:val="both"/>
        <w:rPr>
          <w:szCs w:val="22"/>
        </w:rPr>
      </w:pPr>
    </w:p>
    <w:p w:rsidR="00075FBC" w:rsidRPr="00075FBC" w:rsidRDefault="00075FBC" w:rsidP="00075FBC">
      <w:pPr>
        <w:jc w:val="both"/>
      </w:pPr>
      <w:r w:rsidRPr="00075FBC">
        <w:t xml:space="preserve">Δισκία 20 </w:t>
      </w:r>
      <w:proofErr w:type="spellStart"/>
      <w:r w:rsidRPr="00075FBC">
        <w:t>mg</w:t>
      </w:r>
      <w:proofErr w:type="spellEnd"/>
      <w:r w:rsidRPr="00075FBC">
        <w:t>: 42468/10/</w:t>
      </w:r>
      <w:r w:rsidRPr="00075FBC">
        <w:rPr>
          <w:szCs w:val="22"/>
        </w:rPr>
        <w:t>21-06-2011</w:t>
      </w:r>
    </w:p>
    <w:p w:rsidR="00075FBC" w:rsidRPr="00075FBC" w:rsidRDefault="00075FBC" w:rsidP="00075FBC">
      <w:pPr>
        <w:jc w:val="both"/>
      </w:pPr>
      <w:r w:rsidRPr="00075FBC">
        <w:t xml:space="preserve">Δισκία 40 </w:t>
      </w:r>
      <w:proofErr w:type="spellStart"/>
      <w:r w:rsidRPr="00075FBC">
        <w:t>mg</w:t>
      </w:r>
      <w:proofErr w:type="spellEnd"/>
      <w:r w:rsidRPr="00075FBC">
        <w:t>: 42470/10/</w:t>
      </w:r>
      <w:r w:rsidRPr="00075FBC">
        <w:rPr>
          <w:szCs w:val="22"/>
        </w:rPr>
        <w:t>21-06-2011</w:t>
      </w:r>
    </w:p>
    <w:p w:rsidR="00075FBC" w:rsidRPr="00075FBC" w:rsidRDefault="00075FBC" w:rsidP="00075FBC">
      <w:pPr>
        <w:jc w:val="both"/>
        <w:rPr>
          <w:szCs w:val="22"/>
          <w:lang w:val="en-US"/>
        </w:rPr>
      </w:pPr>
    </w:p>
    <w:p w:rsidR="00075FBC" w:rsidRPr="00075FBC" w:rsidRDefault="00075FBC" w:rsidP="00075FBC">
      <w:pPr>
        <w:jc w:val="both"/>
        <w:rPr>
          <w:szCs w:val="22"/>
        </w:rPr>
      </w:pPr>
      <w:r w:rsidRPr="00075FBC">
        <w:rPr>
          <w:b/>
          <w:szCs w:val="22"/>
        </w:rPr>
        <w:t>9.</w:t>
      </w:r>
      <w:r w:rsidRPr="00075FBC">
        <w:rPr>
          <w:b/>
          <w:szCs w:val="22"/>
        </w:rPr>
        <w:tab/>
        <w:t>ΗΜΕΡΟΜΗΝΙΑ ΠΡΩΤΗΣ ΕΓΚΡΙΣΗΣ / ΑΝΑΝΕΩΣΗΣ ΤΗΣ ΑΔΕΙΑΣ</w:t>
      </w:r>
    </w:p>
    <w:p w:rsidR="00075FBC" w:rsidRPr="00075FBC" w:rsidRDefault="00075FBC" w:rsidP="00075FBC">
      <w:pPr>
        <w:jc w:val="both"/>
        <w:rPr>
          <w:szCs w:val="22"/>
        </w:rPr>
      </w:pPr>
    </w:p>
    <w:p w:rsidR="00075FBC" w:rsidRPr="00075FBC" w:rsidRDefault="00075FBC" w:rsidP="00075FBC">
      <w:pPr>
        <w:jc w:val="both"/>
      </w:pPr>
      <w:r w:rsidRPr="00075FBC">
        <w:t>Ημερομηνία πρώτης έγκρισης: 26 Μαΐου, 2005</w:t>
      </w:r>
    </w:p>
    <w:p w:rsidR="00075FBC" w:rsidRPr="00075FBC" w:rsidRDefault="00075FBC" w:rsidP="00075FBC">
      <w:pPr>
        <w:jc w:val="both"/>
        <w:rPr>
          <w:szCs w:val="22"/>
        </w:rPr>
      </w:pPr>
      <w:r w:rsidRPr="00075FBC">
        <w:t>Ημερομηνία τελευταίας ανανέωσης: 24 Ιουνίου 2011</w:t>
      </w:r>
    </w:p>
    <w:p w:rsidR="00075FBC" w:rsidRPr="00075FBC" w:rsidRDefault="00075FBC" w:rsidP="00075FBC">
      <w:pPr>
        <w:jc w:val="both"/>
        <w:rPr>
          <w:szCs w:val="22"/>
          <w:lang w:val="en-US"/>
        </w:rPr>
      </w:pPr>
    </w:p>
    <w:p w:rsidR="00075FBC" w:rsidRPr="00075FBC" w:rsidRDefault="00075FBC" w:rsidP="00075FBC">
      <w:pPr>
        <w:jc w:val="both"/>
        <w:rPr>
          <w:b/>
          <w:szCs w:val="22"/>
        </w:rPr>
      </w:pPr>
      <w:r w:rsidRPr="00075FBC">
        <w:rPr>
          <w:b/>
          <w:szCs w:val="22"/>
        </w:rPr>
        <w:t>10.</w:t>
      </w:r>
      <w:r w:rsidRPr="00075FBC">
        <w:rPr>
          <w:b/>
          <w:szCs w:val="22"/>
        </w:rPr>
        <w:tab/>
        <w:t>ΗΜΕΡΟΜΗΝΙΑ ΑΝΑΘΕΩΡΗΣΗΣ ΤΟΥ ΚΕΙΜΕΝΟΥ</w:t>
      </w:r>
    </w:p>
    <w:p w:rsidR="00075FBC" w:rsidRPr="00075FBC" w:rsidRDefault="00075FBC" w:rsidP="00075FBC">
      <w:pPr>
        <w:jc w:val="both"/>
        <w:rPr>
          <w:bCs/>
          <w:szCs w:val="22"/>
        </w:rPr>
      </w:pPr>
    </w:p>
    <w:p w:rsidR="00075FBC" w:rsidRPr="00075FBC" w:rsidRDefault="00075FBC" w:rsidP="00075FBC">
      <w:pPr>
        <w:jc w:val="both"/>
      </w:pPr>
      <w:r w:rsidRPr="00075FBC">
        <w:t>9 Νοεμβρίου 2015</w:t>
      </w:r>
    </w:p>
    <w:p w:rsidR="00075FBC" w:rsidRPr="00075FBC" w:rsidRDefault="00075FBC" w:rsidP="00075FBC">
      <w:bookmarkStart w:id="3" w:name="_GoBack"/>
      <w:bookmarkEnd w:id="3"/>
    </w:p>
    <w:sectPr w:rsidR="00075FBC" w:rsidRPr="00075FB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w:panose1 w:val="02070309020205020404"/>
    <w:charset w:val="00"/>
    <w:family w:val="modern"/>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imesNewRoman">
    <w:altName w:val="Times New Roman"/>
    <w:charset w:val="00"/>
    <w:family w:val="auto"/>
    <w:pitch w:val="default"/>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A33C7"/>
    <w:multiLevelType w:val="hybridMultilevel"/>
    <w:tmpl w:val="3F866F02"/>
    <w:lvl w:ilvl="0" w:tplc="DC0C4F54">
      <w:start w:val="4"/>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3921BA6"/>
    <w:multiLevelType w:val="hybridMultilevel"/>
    <w:tmpl w:val="3586A154"/>
    <w:lvl w:ilvl="0" w:tplc="5FAE0DD2">
      <w:start w:val="1"/>
      <w:numFmt w:val="bullet"/>
      <w:lvlText w:val="-"/>
      <w:lvlJc w:val="left"/>
      <w:pPr>
        <w:ind w:left="360" w:hanging="360"/>
      </w:pPr>
      <w:rPr>
        <w:rFonts w:ascii="Times New Roman" w:hAnsi="Times New Roman"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8BA7445"/>
    <w:multiLevelType w:val="multilevel"/>
    <w:tmpl w:val="E61C6E1C"/>
    <w:lvl w:ilvl="0">
      <w:start w:val="1"/>
      <w:numFmt w:val="decimal"/>
      <w:pStyle w:val="PIL-1"/>
      <w:lvlText w:val="%1."/>
      <w:lvlJc w:val="left"/>
      <w:pPr>
        <w:tabs>
          <w:tab w:val="num" w:pos="907"/>
        </w:tabs>
        <w:ind w:left="907" w:hanging="907"/>
      </w:pPr>
      <w:rPr>
        <w:rFonts w:ascii="Times New Roman" w:hAnsi="Times New Roman" w:hint="default"/>
        <w:b w:val="0"/>
        <w:i w:val="0"/>
        <w:sz w:val="22"/>
      </w:rPr>
    </w:lvl>
    <w:lvl w:ilvl="1">
      <w:start w:val="1"/>
      <w:numFmt w:val="decimal"/>
      <w:lvlText w:val="%1.%2"/>
      <w:lvlJc w:val="left"/>
      <w:pPr>
        <w:tabs>
          <w:tab w:val="num" w:pos="907"/>
        </w:tabs>
        <w:ind w:left="907" w:hanging="907"/>
      </w:pPr>
      <w:rPr>
        <w:rFonts w:ascii="Times New Roman" w:hAnsi="Times New Roman" w:hint="default"/>
        <w:b w:val="0"/>
        <w:i w:val="0"/>
      </w:rPr>
    </w:lvl>
    <w:lvl w:ilvl="2">
      <w:start w:val="1"/>
      <w:numFmt w:val="decimal"/>
      <w:pStyle w:val="PIL-3"/>
      <w:lvlText w:val="%1.%2.%3"/>
      <w:lvlJc w:val="left"/>
      <w:pPr>
        <w:tabs>
          <w:tab w:val="num" w:pos="907"/>
        </w:tabs>
        <w:ind w:left="907" w:hanging="907"/>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nsid w:val="0D4C5D97"/>
    <w:multiLevelType w:val="hybridMultilevel"/>
    <w:tmpl w:val="827400FE"/>
    <w:lvl w:ilvl="0" w:tplc="DC0C4F54">
      <w:start w:val="4"/>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0E4C2A2E"/>
    <w:multiLevelType w:val="hybridMultilevel"/>
    <w:tmpl w:val="AFF2450A"/>
    <w:lvl w:ilvl="0" w:tplc="DC0C4F54">
      <w:start w:val="4"/>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E724AE0"/>
    <w:multiLevelType w:val="hybridMultilevel"/>
    <w:tmpl w:val="8C24A41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6">
    <w:nsid w:val="135438B9"/>
    <w:multiLevelType w:val="hybridMultilevel"/>
    <w:tmpl w:val="1788154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91E465D"/>
    <w:multiLevelType w:val="hybridMultilevel"/>
    <w:tmpl w:val="3E6E5FF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290B4648"/>
    <w:multiLevelType w:val="hybridMultilevel"/>
    <w:tmpl w:val="011ABE4E"/>
    <w:lvl w:ilvl="0" w:tplc="DC0C4F54">
      <w:start w:val="4"/>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B575C33"/>
    <w:multiLevelType w:val="hybridMultilevel"/>
    <w:tmpl w:val="B7248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ED84511"/>
    <w:multiLevelType w:val="hybridMultilevel"/>
    <w:tmpl w:val="9EC6B99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nsid w:val="2EE25F96"/>
    <w:multiLevelType w:val="hybridMultilevel"/>
    <w:tmpl w:val="48E02A54"/>
    <w:lvl w:ilvl="0" w:tplc="04080001">
      <w:start w:val="1"/>
      <w:numFmt w:val="bullet"/>
      <w:pStyle w:val="Bullets"/>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30D5185C"/>
    <w:multiLevelType w:val="hybridMultilevel"/>
    <w:tmpl w:val="6C80EA12"/>
    <w:lvl w:ilvl="0" w:tplc="95C6499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23F491D"/>
    <w:multiLevelType w:val="hybridMultilevel"/>
    <w:tmpl w:val="41B640BA"/>
    <w:lvl w:ilvl="0" w:tplc="DC0C4F54">
      <w:start w:val="4"/>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34061B18"/>
    <w:multiLevelType w:val="hybridMultilevel"/>
    <w:tmpl w:val="DDAA87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52F027C"/>
    <w:multiLevelType w:val="hybridMultilevel"/>
    <w:tmpl w:val="1A5ED4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3658089C"/>
    <w:multiLevelType w:val="hybridMultilevel"/>
    <w:tmpl w:val="D0026314"/>
    <w:lvl w:ilvl="0" w:tplc="DC0C4F54">
      <w:start w:val="4"/>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6947BF0"/>
    <w:multiLevelType w:val="hybridMultilevel"/>
    <w:tmpl w:val="7C9E3D26"/>
    <w:lvl w:ilvl="0" w:tplc="91AC1582">
      <w:start w:val="6"/>
      <w:numFmt w:val="bullet"/>
      <w:lvlText w:val="-"/>
      <w:lvlJc w:val="left"/>
      <w:pPr>
        <w:tabs>
          <w:tab w:val="num" w:pos="1050"/>
        </w:tabs>
        <w:ind w:left="1050" w:hanging="690"/>
      </w:pPr>
      <w:rPr>
        <w:rFonts w:ascii="Times New Roman" w:eastAsia="Times New Roman" w:hAnsi="Times New Roman" w:cs="Times New Roman"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8">
    <w:nsid w:val="3A076B4D"/>
    <w:multiLevelType w:val="hybridMultilevel"/>
    <w:tmpl w:val="0A409F88"/>
    <w:lvl w:ilvl="0" w:tplc="8304CFF2">
      <w:start w:val="4"/>
      <w:numFmt w:val="bullet"/>
      <w:lvlText w:val="-"/>
      <w:lvlJc w:val="left"/>
      <w:pPr>
        <w:tabs>
          <w:tab w:val="num" w:pos="420"/>
        </w:tabs>
        <w:ind w:left="420" w:hanging="420"/>
      </w:pPr>
      <w:rPr>
        <w:rFonts w:ascii="Times New Roman" w:eastAsia="Times New Roman" w:hAnsi="Times New Roman" w:cs="Times New Roman" w:hint="default"/>
      </w:rPr>
    </w:lvl>
    <w:lvl w:ilvl="1" w:tplc="DC0C4F54">
      <w:start w:val="4"/>
      <w:numFmt w:val="bullet"/>
      <w:lvlText w:val="-"/>
      <w:lvlJc w:val="left"/>
      <w:pPr>
        <w:tabs>
          <w:tab w:val="num" w:pos="1287"/>
        </w:tabs>
        <w:ind w:left="1287" w:hanging="567"/>
      </w:pPr>
      <w:rPr>
        <w:rFonts w:ascii="Times New Roman" w:eastAsia="Times New Roman" w:hAnsi="Times New Roman" w:cs="Times New Roman" w:hint="default"/>
      </w:rPr>
    </w:lvl>
    <w:lvl w:ilvl="2" w:tplc="04080005" w:tentative="1">
      <w:start w:val="1"/>
      <w:numFmt w:val="bullet"/>
      <w:lvlText w:val=""/>
      <w:lvlJc w:val="left"/>
      <w:pPr>
        <w:tabs>
          <w:tab w:val="num" w:pos="1800"/>
        </w:tabs>
        <w:ind w:left="1800" w:hanging="360"/>
      </w:pPr>
      <w:rPr>
        <w:rFonts w:ascii="Wingdings" w:hAnsi="Wingdings" w:hint="default"/>
      </w:rPr>
    </w:lvl>
    <w:lvl w:ilvl="3" w:tplc="04080001" w:tentative="1">
      <w:start w:val="1"/>
      <w:numFmt w:val="bullet"/>
      <w:lvlText w:val=""/>
      <w:lvlJc w:val="left"/>
      <w:pPr>
        <w:tabs>
          <w:tab w:val="num" w:pos="2520"/>
        </w:tabs>
        <w:ind w:left="2520" w:hanging="360"/>
      </w:pPr>
      <w:rPr>
        <w:rFonts w:ascii="Symbol" w:hAnsi="Symbol" w:hint="default"/>
      </w:rPr>
    </w:lvl>
    <w:lvl w:ilvl="4" w:tplc="04080003" w:tentative="1">
      <w:start w:val="1"/>
      <w:numFmt w:val="bullet"/>
      <w:lvlText w:val="o"/>
      <w:lvlJc w:val="left"/>
      <w:pPr>
        <w:tabs>
          <w:tab w:val="num" w:pos="3240"/>
        </w:tabs>
        <w:ind w:left="3240" w:hanging="360"/>
      </w:pPr>
      <w:rPr>
        <w:rFonts w:ascii="Courier New" w:hAnsi="Courier New" w:cs="Courier New" w:hint="default"/>
      </w:rPr>
    </w:lvl>
    <w:lvl w:ilvl="5" w:tplc="04080005" w:tentative="1">
      <w:start w:val="1"/>
      <w:numFmt w:val="bullet"/>
      <w:lvlText w:val=""/>
      <w:lvlJc w:val="left"/>
      <w:pPr>
        <w:tabs>
          <w:tab w:val="num" w:pos="3960"/>
        </w:tabs>
        <w:ind w:left="3960" w:hanging="360"/>
      </w:pPr>
      <w:rPr>
        <w:rFonts w:ascii="Wingdings" w:hAnsi="Wingdings" w:hint="default"/>
      </w:rPr>
    </w:lvl>
    <w:lvl w:ilvl="6" w:tplc="04080001" w:tentative="1">
      <w:start w:val="1"/>
      <w:numFmt w:val="bullet"/>
      <w:lvlText w:val=""/>
      <w:lvlJc w:val="left"/>
      <w:pPr>
        <w:tabs>
          <w:tab w:val="num" w:pos="4680"/>
        </w:tabs>
        <w:ind w:left="4680" w:hanging="360"/>
      </w:pPr>
      <w:rPr>
        <w:rFonts w:ascii="Symbol" w:hAnsi="Symbol" w:hint="default"/>
      </w:rPr>
    </w:lvl>
    <w:lvl w:ilvl="7" w:tplc="04080003" w:tentative="1">
      <w:start w:val="1"/>
      <w:numFmt w:val="bullet"/>
      <w:lvlText w:val="o"/>
      <w:lvlJc w:val="left"/>
      <w:pPr>
        <w:tabs>
          <w:tab w:val="num" w:pos="5400"/>
        </w:tabs>
        <w:ind w:left="5400" w:hanging="360"/>
      </w:pPr>
      <w:rPr>
        <w:rFonts w:ascii="Courier New" w:hAnsi="Courier New" w:cs="Courier New" w:hint="default"/>
      </w:rPr>
    </w:lvl>
    <w:lvl w:ilvl="8" w:tplc="04080005" w:tentative="1">
      <w:start w:val="1"/>
      <w:numFmt w:val="bullet"/>
      <w:lvlText w:val=""/>
      <w:lvlJc w:val="left"/>
      <w:pPr>
        <w:tabs>
          <w:tab w:val="num" w:pos="6120"/>
        </w:tabs>
        <w:ind w:left="6120" w:hanging="360"/>
      </w:pPr>
      <w:rPr>
        <w:rFonts w:ascii="Wingdings" w:hAnsi="Wingdings" w:hint="default"/>
      </w:rPr>
    </w:lvl>
  </w:abstractNum>
  <w:abstractNum w:abstractNumId="19">
    <w:nsid w:val="3CB07258"/>
    <w:multiLevelType w:val="multilevel"/>
    <w:tmpl w:val="F75069E2"/>
    <w:lvl w:ilvl="0">
      <w:start w:val="4"/>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0">
    <w:nsid w:val="46CF3D25"/>
    <w:multiLevelType w:val="hybridMultilevel"/>
    <w:tmpl w:val="E0F6F454"/>
    <w:lvl w:ilvl="0" w:tplc="DC0C4F54">
      <w:start w:val="4"/>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86E688E"/>
    <w:multiLevelType w:val="multilevel"/>
    <w:tmpl w:val="A6327BA4"/>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4FD15451"/>
    <w:multiLevelType w:val="hybridMultilevel"/>
    <w:tmpl w:val="B8680168"/>
    <w:lvl w:ilvl="0" w:tplc="95C64992">
      <w:start w:val="2"/>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586A321F"/>
    <w:multiLevelType w:val="hybridMultilevel"/>
    <w:tmpl w:val="F90A7E24"/>
    <w:lvl w:ilvl="0" w:tplc="DC0C4F54">
      <w:start w:val="4"/>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B9478D4"/>
    <w:multiLevelType w:val="multilevel"/>
    <w:tmpl w:val="73921930"/>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5">
    <w:nsid w:val="63353B5F"/>
    <w:multiLevelType w:val="hybridMultilevel"/>
    <w:tmpl w:val="CE484472"/>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64A1467F"/>
    <w:multiLevelType w:val="hybridMultilevel"/>
    <w:tmpl w:val="7624C214"/>
    <w:lvl w:ilvl="0" w:tplc="46B0608E">
      <w:start w:val="4"/>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670864AE"/>
    <w:multiLevelType w:val="hybridMultilevel"/>
    <w:tmpl w:val="6120A574"/>
    <w:lvl w:ilvl="0" w:tplc="46B0608E">
      <w:start w:val="4"/>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9651F64"/>
    <w:multiLevelType w:val="hybridMultilevel"/>
    <w:tmpl w:val="007E4FF0"/>
    <w:lvl w:ilvl="0" w:tplc="84C049DC">
      <w:start w:val="4"/>
      <w:numFmt w:val="bullet"/>
      <w:lvlText w:val="-"/>
      <w:lvlJc w:val="left"/>
      <w:pPr>
        <w:tabs>
          <w:tab w:val="num" w:pos="567"/>
        </w:tabs>
        <w:ind w:left="567"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6BFE5089"/>
    <w:multiLevelType w:val="hybridMultilevel"/>
    <w:tmpl w:val="98709796"/>
    <w:lvl w:ilvl="0" w:tplc="44DAEAF0">
      <w:start w:val="4"/>
      <w:numFmt w:val="decimal"/>
      <w:lvlText w:val="%1."/>
      <w:lvlJc w:val="left"/>
      <w:pPr>
        <w:tabs>
          <w:tab w:val="num" w:pos="930"/>
        </w:tabs>
        <w:ind w:left="930" w:hanging="57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9"/>
  </w:num>
  <w:num w:numId="2">
    <w:abstractNumId w:val="18"/>
  </w:num>
  <w:num w:numId="3">
    <w:abstractNumId w:val="26"/>
  </w:num>
  <w:num w:numId="4">
    <w:abstractNumId w:val="28"/>
  </w:num>
  <w:num w:numId="5">
    <w:abstractNumId w:val="10"/>
  </w:num>
  <w:num w:numId="6">
    <w:abstractNumId w:val="14"/>
  </w:num>
  <w:num w:numId="7">
    <w:abstractNumId w:val="9"/>
  </w:num>
  <w:num w:numId="8">
    <w:abstractNumId w:val="6"/>
  </w:num>
  <w:num w:numId="9">
    <w:abstractNumId w:val="22"/>
  </w:num>
  <w:num w:numId="10">
    <w:abstractNumId w:val="17"/>
  </w:num>
  <w:num w:numId="11">
    <w:abstractNumId w:val="3"/>
  </w:num>
  <w:num w:numId="12">
    <w:abstractNumId w:val="12"/>
  </w:num>
  <w:num w:numId="13">
    <w:abstractNumId w:val="5"/>
  </w:num>
  <w:num w:numId="14">
    <w:abstractNumId w:val="15"/>
  </w:num>
  <w:num w:numId="15">
    <w:abstractNumId w:val="25"/>
  </w:num>
  <w:num w:numId="16">
    <w:abstractNumId w:val="11"/>
  </w:num>
  <w:num w:numId="17">
    <w:abstractNumId w:val="7"/>
  </w:num>
  <w:num w:numId="18">
    <w:abstractNumId w:val="2"/>
  </w:num>
  <w:num w:numId="19">
    <w:abstractNumId w:val="29"/>
  </w:num>
  <w:num w:numId="20">
    <w:abstractNumId w:val="27"/>
  </w:num>
  <w:num w:numId="21">
    <w:abstractNumId w:val="16"/>
  </w:num>
  <w:num w:numId="22">
    <w:abstractNumId w:val="8"/>
  </w:num>
  <w:num w:numId="23">
    <w:abstractNumId w:val="13"/>
  </w:num>
  <w:num w:numId="24">
    <w:abstractNumId w:val="23"/>
  </w:num>
  <w:num w:numId="25">
    <w:abstractNumId w:val="20"/>
  </w:num>
  <w:num w:numId="26">
    <w:abstractNumId w:val="0"/>
  </w:num>
  <w:num w:numId="27">
    <w:abstractNumId w:val="4"/>
  </w:num>
  <w:num w:numId="28">
    <w:abstractNumId w:val="24"/>
  </w:num>
  <w:num w:numId="29">
    <w:abstractNumId w:val="21"/>
  </w:num>
  <w:num w:numId="3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2000"/>
    <w:rsid w:val="00075FBC"/>
    <w:rsid w:val="004C6E5C"/>
    <w:rsid w:val="005F2000"/>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BC"/>
    <w:pPr>
      <w:widowControl w:val="0"/>
      <w:spacing w:after="0" w:line="240" w:lineRule="auto"/>
    </w:pPr>
    <w:rPr>
      <w:rFonts w:ascii="Times New Roman" w:eastAsia="Times New Roman" w:hAnsi="Times New Roman" w:cs="Times New Roman"/>
      <w:szCs w:val="20"/>
    </w:rPr>
  </w:style>
  <w:style w:type="paragraph" w:styleId="1">
    <w:name w:val="heading 1"/>
    <w:basedOn w:val="a"/>
    <w:next w:val="a"/>
    <w:link w:val="1Char"/>
    <w:qFormat/>
    <w:rsid w:val="00075FBC"/>
    <w:pPr>
      <w:keepNext/>
      <w:jc w:val="center"/>
      <w:outlineLvl w:val="0"/>
    </w:pPr>
    <w:rPr>
      <w:b/>
      <w:sz w:val="20"/>
      <w:lang w:eastAsia="x-none"/>
    </w:rPr>
  </w:style>
  <w:style w:type="paragraph" w:styleId="2">
    <w:name w:val="heading 2"/>
    <w:basedOn w:val="a"/>
    <w:next w:val="a"/>
    <w:link w:val="2Char"/>
    <w:qFormat/>
    <w:rsid w:val="00075FBC"/>
    <w:pPr>
      <w:keepNext/>
      <w:widowControl/>
      <w:spacing w:before="240" w:after="60"/>
      <w:ind w:left="240"/>
      <w:outlineLvl w:val="1"/>
    </w:pPr>
    <w:rPr>
      <w:rFonts w:ascii="Arial" w:hAnsi="Arial"/>
      <w:b/>
      <w:bCs/>
      <w:sz w:val="28"/>
      <w:szCs w:val="28"/>
      <w:lang w:val="en-GB" w:eastAsia="x-none"/>
    </w:rPr>
  </w:style>
  <w:style w:type="paragraph" w:styleId="3">
    <w:name w:val="heading 3"/>
    <w:basedOn w:val="a"/>
    <w:next w:val="a"/>
    <w:link w:val="3Char"/>
    <w:qFormat/>
    <w:rsid w:val="00075FBC"/>
    <w:pPr>
      <w:keepNext/>
      <w:spacing w:before="240" w:after="60"/>
      <w:outlineLvl w:val="2"/>
    </w:pPr>
    <w:rPr>
      <w:rFonts w:ascii="Arial" w:hAnsi="Arial"/>
      <w:b/>
      <w:bCs/>
      <w:sz w:val="26"/>
      <w:szCs w:val="26"/>
      <w:lang w:eastAsia="x-none"/>
    </w:rPr>
  </w:style>
  <w:style w:type="paragraph" w:styleId="4">
    <w:name w:val="heading 4"/>
    <w:basedOn w:val="a"/>
    <w:next w:val="a"/>
    <w:link w:val="4Char"/>
    <w:qFormat/>
    <w:rsid w:val="00075FBC"/>
    <w:pPr>
      <w:keepNext/>
      <w:spacing w:before="240" w:after="60"/>
      <w:outlineLvl w:val="3"/>
    </w:pPr>
    <w:rPr>
      <w:b/>
      <w:bCs/>
      <w:sz w:val="28"/>
      <w:szCs w:val="28"/>
      <w:lang w:eastAsia="x-none"/>
    </w:rPr>
  </w:style>
  <w:style w:type="paragraph" w:styleId="5">
    <w:name w:val="heading 5"/>
    <w:basedOn w:val="a"/>
    <w:next w:val="a"/>
    <w:link w:val="5Char"/>
    <w:qFormat/>
    <w:rsid w:val="00075FBC"/>
    <w:pPr>
      <w:spacing w:before="240" w:after="60"/>
      <w:outlineLvl w:val="4"/>
    </w:pPr>
    <w:rPr>
      <w:b/>
      <w:bCs/>
      <w:i/>
      <w:iCs/>
      <w:sz w:val="26"/>
      <w:szCs w:val="26"/>
      <w:lang w:eastAsia="x-none"/>
    </w:rPr>
  </w:style>
  <w:style w:type="paragraph" w:styleId="6">
    <w:name w:val="heading 6"/>
    <w:basedOn w:val="a"/>
    <w:next w:val="a"/>
    <w:link w:val="6Char"/>
    <w:qFormat/>
    <w:rsid w:val="00075FBC"/>
    <w:pPr>
      <w:keepNext/>
      <w:tabs>
        <w:tab w:val="left" w:pos="-720"/>
        <w:tab w:val="left" w:pos="567"/>
        <w:tab w:val="left" w:pos="4536"/>
      </w:tabs>
      <w:suppressAutoHyphens/>
      <w:spacing w:line="-260" w:lineRule="auto"/>
      <w:outlineLvl w:val="5"/>
    </w:pPr>
    <w:rPr>
      <w:i/>
      <w:sz w:val="20"/>
      <w:lang w:val="en-GB" w:eastAsia="x-none"/>
    </w:rPr>
  </w:style>
  <w:style w:type="paragraph" w:styleId="7">
    <w:name w:val="heading 7"/>
    <w:basedOn w:val="a"/>
    <w:next w:val="a"/>
    <w:link w:val="7Char"/>
    <w:qFormat/>
    <w:rsid w:val="00075FBC"/>
    <w:pPr>
      <w:keepNext/>
      <w:tabs>
        <w:tab w:val="left" w:pos="-720"/>
        <w:tab w:val="left" w:pos="567"/>
        <w:tab w:val="left" w:pos="4536"/>
      </w:tabs>
      <w:suppressAutoHyphens/>
      <w:spacing w:line="-260" w:lineRule="auto"/>
      <w:jc w:val="both"/>
      <w:outlineLvl w:val="6"/>
    </w:pPr>
    <w:rPr>
      <w:i/>
      <w:sz w:val="20"/>
      <w:lang w:val="en-GB" w:eastAsia="x-none"/>
    </w:rPr>
  </w:style>
  <w:style w:type="paragraph" w:styleId="8">
    <w:name w:val="heading 8"/>
    <w:basedOn w:val="a"/>
    <w:next w:val="a"/>
    <w:link w:val="8Char"/>
    <w:qFormat/>
    <w:rsid w:val="00075FBC"/>
    <w:pPr>
      <w:keepNext/>
      <w:widowControl/>
      <w:jc w:val="both"/>
      <w:outlineLvl w:val="7"/>
    </w:pPr>
    <w:rPr>
      <w:sz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75FBC"/>
    <w:rPr>
      <w:rFonts w:ascii="Times New Roman" w:eastAsia="Times New Roman" w:hAnsi="Times New Roman" w:cs="Times New Roman"/>
      <w:b/>
      <w:sz w:val="20"/>
      <w:szCs w:val="20"/>
      <w:lang w:eastAsia="x-none"/>
    </w:rPr>
  </w:style>
  <w:style w:type="character" w:customStyle="1" w:styleId="2Char">
    <w:name w:val="Επικεφαλίδα 2 Char"/>
    <w:basedOn w:val="a0"/>
    <w:link w:val="2"/>
    <w:rsid w:val="00075FBC"/>
    <w:rPr>
      <w:rFonts w:ascii="Arial" w:eastAsia="Times New Roman" w:hAnsi="Arial" w:cs="Times New Roman"/>
      <w:b/>
      <w:bCs/>
      <w:sz w:val="28"/>
      <w:szCs w:val="28"/>
      <w:lang w:val="en-GB" w:eastAsia="x-none"/>
    </w:rPr>
  </w:style>
  <w:style w:type="character" w:customStyle="1" w:styleId="3Char">
    <w:name w:val="Επικεφαλίδα 3 Char"/>
    <w:basedOn w:val="a0"/>
    <w:link w:val="3"/>
    <w:rsid w:val="00075FBC"/>
    <w:rPr>
      <w:rFonts w:ascii="Arial" w:eastAsia="Times New Roman" w:hAnsi="Arial" w:cs="Times New Roman"/>
      <w:b/>
      <w:bCs/>
      <w:sz w:val="26"/>
      <w:szCs w:val="26"/>
      <w:lang w:eastAsia="x-none"/>
    </w:rPr>
  </w:style>
  <w:style w:type="character" w:customStyle="1" w:styleId="4Char">
    <w:name w:val="Επικεφαλίδα 4 Char"/>
    <w:basedOn w:val="a0"/>
    <w:link w:val="4"/>
    <w:rsid w:val="00075FBC"/>
    <w:rPr>
      <w:rFonts w:ascii="Times New Roman" w:eastAsia="Times New Roman" w:hAnsi="Times New Roman" w:cs="Times New Roman"/>
      <w:b/>
      <w:bCs/>
      <w:sz w:val="28"/>
      <w:szCs w:val="28"/>
      <w:lang w:eastAsia="x-none"/>
    </w:rPr>
  </w:style>
  <w:style w:type="character" w:customStyle="1" w:styleId="5Char">
    <w:name w:val="Επικεφαλίδα 5 Char"/>
    <w:basedOn w:val="a0"/>
    <w:link w:val="5"/>
    <w:rsid w:val="00075FBC"/>
    <w:rPr>
      <w:rFonts w:ascii="Times New Roman" w:eastAsia="Times New Roman" w:hAnsi="Times New Roman" w:cs="Times New Roman"/>
      <w:b/>
      <w:bCs/>
      <w:i/>
      <w:iCs/>
      <w:sz w:val="26"/>
      <w:szCs w:val="26"/>
      <w:lang w:eastAsia="x-none"/>
    </w:rPr>
  </w:style>
  <w:style w:type="character" w:customStyle="1" w:styleId="6Char">
    <w:name w:val="Επικεφαλίδα 6 Char"/>
    <w:basedOn w:val="a0"/>
    <w:link w:val="6"/>
    <w:rsid w:val="00075FBC"/>
    <w:rPr>
      <w:rFonts w:ascii="Times New Roman" w:eastAsia="Times New Roman" w:hAnsi="Times New Roman" w:cs="Times New Roman"/>
      <w:i/>
      <w:sz w:val="20"/>
      <w:szCs w:val="20"/>
      <w:lang w:val="en-GB" w:eastAsia="x-none"/>
    </w:rPr>
  </w:style>
  <w:style w:type="character" w:customStyle="1" w:styleId="7Char">
    <w:name w:val="Επικεφαλίδα 7 Char"/>
    <w:basedOn w:val="a0"/>
    <w:link w:val="7"/>
    <w:rsid w:val="00075FBC"/>
    <w:rPr>
      <w:rFonts w:ascii="Times New Roman" w:eastAsia="Times New Roman" w:hAnsi="Times New Roman" w:cs="Times New Roman"/>
      <w:i/>
      <w:sz w:val="20"/>
      <w:szCs w:val="20"/>
      <w:lang w:val="en-GB" w:eastAsia="x-none"/>
    </w:rPr>
  </w:style>
  <w:style w:type="character" w:customStyle="1" w:styleId="8Char">
    <w:name w:val="Επικεφαλίδα 8 Char"/>
    <w:basedOn w:val="a0"/>
    <w:link w:val="8"/>
    <w:rsid w:val="00075FBC"/>
    <w:rPr>
      <w:rFonts w:ascii="Times New Roman" w:eastAsia="Times New Roman" w:hAnsi="Times New Roman" w:cs="Times New Roman"/>
      <w:sz w:val="20"/>
      <w:szCs w:val="20"/>
      <w:lang w:eastAsia="x-none"/>
    </w:rPr>
  </w:style>
  <w:style w:type="numbering" w:customStyle="1" w:styleId="10">
    <w:name w:val="Χωρίς λίστα1"/>
    <w:next w:val="a2"/>
    <w:uiPriority w:val="99"/>
    <w:semiHidden/>
    <w:unhideWhenUsed/>
    <w:rsid w:val="00075FBC"/>
  </w:style>
  <w:style w:type="paragraph" w:styleId="a3">
    <w:name w:val="header"/>
    <w:basedOn w:val="a"/>
    <w:link w:val="Char"/>
    <w:rsid w:val="00075FBC"/>
    <w:pPr>
      <w:tabs>
        <w:tab w:val="center" w:pos="4153"/>
        <w:tab w:val="right" w:pos="8306"/>
      </w:tabs>
    </w:pPr>
    <w:rPr>
      <w:sz w:val="20"/>
      <w:lang w:eastAsia="x-none"/>
    </w:rPr>
  </w:style>
  <w:style w:type="character" w:customStyle="1" w:styleId="Char">
    <w:name w:val="Κεφαλίδα Char"/>
    <w:basedOn w:val="a0"/>
    <w:link w:val="a3"/>
    <w:rsid w:val="00075FBC"/>
    <w:rPr>
      <w:rFonts w:ascii="Times New Roman" w:eastAsia="Times New Roman" w:hAnsi="Times New Roman" w:cs="Times New Roman"/>
      <w:sz w:val="20"/>
      <w:szCs w:val="20"/>
      <w:lang w:eastAsia="x-none"/>
    </w:rPr>
  </w:style>
  <w:style w:type="paragraph" w:customStyle="1" w:styleId="SPCtextbody">
    <w:name w:val="SPC text body"/>
    <w:basedOn w:val="a"/>
    <w:rsid w:val="00075FBC"/>
    <w:pPr>
      <w:widowControl/>
    </w:pPr>
  </w:style>
  <w:style w:type="paragraph" w:styleId="a4">
    <w:name w:val="Body Text Indent"/>
    <w:basedOn w:val="a"/>
    <w:link w:val="Char0"/>
    <w:rsid w:val="00075FBC"/>
    <w:pPr>
      <w:widowControl/>
      <w:ind w:left="1418"/>
      <w:jc w:val="both"/>
    </w:pPr>
    <w:rPr>
      <w:sz w:val="20"/>
      <w:lang w:eastAsia="x-none"/>
    </w:rPr>
  </w:style>
  <w:style w:type="character" w:customStyle="1" w:styleId="Char0">
    <w:name w:val="Σώμα κείμενου με εσοχή Char"/>
    <w:basedOn w:val="a0"/>
    <w:link w:val="a4"/>
    <w:rsid w:val="00075FBC"/>
    <w:rPr>
      <w:rFonts w:ascii="Times New Roman" w:eastAsia="Times New Roman" w:hAnsi="Times New Roman" w:cs="Times New Roman"/>
      <w:sz w:val="20"/>
      <w:szCs w:val="20"/>
      <w:lang w:eastAsia="x-none"/>
    </w:rPr>
  </w:style>
  <w:style w:type="paragraph" w:styleId="20">
    <w:name w:val="Body Text Indent 2"/>
    <w:basedOn w:val="a"/>
    <w:link w:val="2Char0"/>
    <w:rsid w:val="00075FBC"/>
    <w:pPr>
      <w:widowControl/>
      <w:ind w:left="1440"/>
      <w:jc w:val="both"/>
    </w:pPr>
    <w:rPr>
      <w:sz w:val="20"/>
      <w:lang w:eastAsia="x-none"/>
    </w:rPr>
  </w:style>
  <w:style w:type="character" w:customStyle="1" w:styleId="2Char0">
    <w:name w:val="Σώμα κείμενου με εσοχή 2 Char"/>
    <w:basedOn w:val="a0"/>
    <w:link w:val="20"/>
    <w:rsid w:val="00075FBC"/>
    <w:rPr>
      <w:rFonts w:ascii="Times New Roman" w:eastAsia="Times New Roman" w:hAnsi="Times New Roman" w:cs="Times New Roman"/>
      <w:sz w:val="20"/>
      <w:szCs w:val="20"/>
      <w:lang w:eastAsia="x-none"/>
    </w:rPr>
  </w:style>
  <w:style w:type="paragraph" w:styleId="a5">
    <w:name w:val="Balloon Text"/>
    <w:basedOn w:val="a"/>
    <w:link w:val="Char1"/>
    <w:semiHidden/>
    <w:rsid w:val="00075FBC"/>
    <w:rPr>
      <w:rFonts w:ascii="Tahoma" w:hAnsi="Tahoma"/>
      <w:sz w:val="16"/>
      <w:szCs w:val="16"/>
      <w:lang w:eastAsia="x-none"/>
    </w:rPr>
  </w:style>
  <w:style w:type="character" w:customStyle="1" w:styleId="Char1">
    <w:name w:val="Κείμενο πλαισίου Char"/>
    <w:basedOn w:val="a0"/>
    <w:link w:val="a5"/>
    <w:semiHidden/>
    <w:rsid w:val="00075FBC"/>
    <w:rPr>
      <w:rFonts w:ascii="Tahoma" w:eastAsia="Times New Roman" w:hAnsi="Tahoma" w:cs="Times New Roman"/>
      <w:sz w:val="16"/>
      <w:szCs w:val="16"/>
      <w:lang w:eastAsia="x-none"/>
    </w:rPr>
  </w:style>
  <w:style w:type="paragraph" w:styleId="a6">
    <w:name w:val="footer"/>
    <w:basedOn w:val="a"/>
    <w:link w:val="Char2"/>
    <w:rsid w:val="00075FBC"/>
    <w:pPr>
      <w:widowControl/>
      <w:tabs>
        <w:tab w:val="center" w:pos="4153"/>
        <w:tab w:val="right" w:pos="8306"/>
      </w:tabs>
    </w:pPr>
    <w:rPr>
      <w:rFonts w:ascii="Arial" w:hAnsi="Arial"/>
      <w:sz w:val="20"/>
      <w:lang w:val="x-none" w:eastAsia="x-none"/>
    </w:rPr>
  </w:style>
  <w:style w:type="character" w:customStyle="1" w:styleId="Char2">
    <w:name w:val="Υποσέλιδο Char"/>
    <w:basedOn w:val="a0"/>
    <w:link w:val="a6"/>
    <w:rsid w:val="00075FBC"/>
    <w:rPr>
      <w:rFonts w:ascii="Arial" w:eastAsia="Times New Roman" w:hAnsi="Arial" w:cs="Times New Roman"/>
      <w:sz w:val="20"/>
      <w:szCs w:val="20"/>
      <w:lang w:val="x-none" w:eastAsia="x-none"/>
    </w:rPr>
  </w:style>
  <w:style w:type="character" w:styleId="a7">
    <w:name w:val="page number"/>
    <w:basedOn w:val="a0"/>
    <w:rsid w:val="00075FBC"/>
  </w:style>
  <w:style w:type="paragraph" w:styleId="a8">
    <w:name w:val="Body Text"/>
    <w:aliases w:val="Body Text PP"/>
    <w:basedOn w:val="a"/>
    <w:link w:val="Char3"/>
    <w:rsid w:val="00075FBC"/>
    <w:pPr>
      <w:widowControl/>
    </w:pPr>
    <w:rPr>
      <w:b/>
      <w:bCs/>
      <w:sz w:val="24"/>
      <w:lang w:val="en-GB" w:eastAsia="x-none"/>
    </w:rPr>
  </w:style>
  <w:style w:type="character" w:customStyle="1" w:styleId="Char3">
    <w:name w:val="Σώμα κειμένου Char"/>
    <w:aliases w:val="Body Text PP Char"/>
    <w:basedOn w:val="a0"/>
    <w:link w:val="a8"/>
    <w:rsid w:val="00075FBC"/>
    <w:rPr>
      <w:rFonts w:ascii="Times New Roman" w:eastAsia="Times New Roman" w:hAnsi="Times New Roman" w:cs="Times New Roman"/>
      <w:b/>
      <w:bCs/>
      <w:sz w:val="24"/>
      <w:szCs w:val="20"/>
      <w:lang w:val="en-GB" w:eastAsia="x-none"/>
    </w:rPr>
  </w:style>
  <w:style w:type="paragraph" w:customStyle="1" w:styleId="TableText">
    <w:name w:val="TableText"/>
    <w:rsid w:val="00075FBC"/>
    <w:pPr>
      <w:overflowPunct w:val="0"/>
      <w:autoSpaceDE w:val="0"/>
      <w:autoSpaceDN w:val="0"/>
      <w:adjustRightInd w:val="0"/>
      <w:spacing w:after="0" w:line="240" w:lineRule="auto"/>
      <w:textAlignment w:val="baseline"/>
    </w:pPr>
    <w:rPr>
      <w:rFonts w:ascii="Arial" w:eastAsia="Times New Roman" w:hAnsi="Arial" w:cs="Times New Roman"/>
      <w:sz w:val="20"/>
      <w:szCs w:val="20"/>
      <w:lang w:val="en-US"/>
    </w:rPr>
  </w:style>
  <w:style w:type="paragraph" w:styleId="21">
    <w:name w:val="Body Text 2"/>
    <w:basedOn w:val="a"/>
    <w:link w:val="2Char1"/>
    <w:rsid w:val="00075FBC"/>
    <w:pPr>
      <w:widowControl/>
      <w:jc w:val="both"/>
    </w:pPr>
    <w:rPr>
      <w:sz w:val="24"/>
      <w:lang w:val="en-GB" w:eastAsia="x-none"/>
    </w:rPr>
  </w:style>
  <w:style w:type="character" w:customStyle="1" w:styleId="2Char1">
    <w:name w:val="Σώμα κείμενου 2 Char"/>
    <w:basedOn w:val="a0"/>
    <w:link w:val="21"/>
    <w:rsid w:val="00075FBC"/>
    <w:rPr>
      <w:rFonts w:ascii="Times New Roman" w:eastAsia="Times New Roman" w:hAnsi="Times New Roman" w:cs="Times New Roman"/>
      <w:sz w:val="24"/>
      <w:szCs w:val="20"/>
      <w:lang w:val="en-GB" w:eastAsia="x-none"/>
    </w:rPr>
  </w:style>
  <w:style w:type="paragraph" w:styleId="a9">
    <w:name w:val="Title"/>
    <w:basedOn w:val="a"/>
    <w:link w:val="Char4"/>
    <w:qFormat/>
    <w:rsid w:val="00075FBC"/>
    <w:pPr>
      <w:widowControl/>
      <w:jc w:val="center"/>
    </w:pPr>
    <w:rPr>
      <w:b/>
      <w:bCs/>
      <w:color w:val="000000"/>
      <w:sz w:val="32"/>
      <w:szCs w:val="32"/>
      <w:lang w:val="en-GB" w:eastAsia="x-none"/>
    </w:rPr>
  </w:style>
  <w:style w:type="character" w:customStyle="1" w:styleId="Char4">
    <w:name w:val="Τίτλος Char"/>
    <w:basedOn w:val="a0"/>
    <w:link w:val="a9"/>
    <w:rsid w:val="00075FBC"/>
    <w:rPr>
      <w:rFonts w:ascii="Times New Roman" w:eastAsia="Times New Roman" w:hAnsi="Times New Roman" w:cs="Times New Roman"/>
      <w:b/>
      <w:bCs/>
      <w:color w:val="000000"/>
      <w:sz w:val="32"/>
      <w:szCs w:val="32"/>
      <w:lang w:val="en-GB" w:eastAsia="x-none"/>
    </w:rPr>
  </w:style>
  <w:style w:type="paragraph" w:styleId="30">
    <w:name w:val="Body Text 3"/>
    <w:basedOn w:val="a"/>
    <w:link w:val="3Char0"/>
    <w:rsid w:val="00075FBC"/>
    <w:pPr>
      <w:widowControl/>
    </w:pPr>
    <w:rPr>
      <w:b/>
      <w:bCs/>
      <w:i/>
      <w:iCs/>
      <w:sz w:val="24"/>
      <w:lang w:val="en-GB" w:eastAsia="x-none"/>
    </w:rPr>
  </w:style>
  <w:style w:type="character" w:customStyle="1" w:styleId="3Char0">
    <w:name w:val="Σώμα κείμενου 3 Char"/>
    <w:basedOn w:val="a0"/>
    <w:link w:val="30"/>
    <w:rsid w:val="00075FBC"/>
    <w:rPr>
      <w:rFonts w:ascii="Times New Roman" w:eastAsia="Times New Roman" w:hAnsi="Times New Roman" w:cs="Times New Roman"/>
      <w:b/>
      <w:bCs/>
      <w:i/>
      <w:iCs/>
      <w:sz w:val="24"/>
      <w:szCs w:val="20"/>
      <w:lang w:val="en-GB" w:eastAsia="x-none"/>
    </w:rPr>
  </w:style>
  <w:style w:type="paragraph" w:customStyle="1" w:styleId="Default">
    <w:name w:val="Default"/>
    <w:rsid w:val="00075FB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aa">
    <w:name w:val="footnote reference"/>
    <w:semiHidden/>
    <w:rsid w:val="00075FBC"/>
    <w:rPr>
      <w:vertAlign w:val="superscript"/>
    </w:rPr>
  </w:style>
  <w:style w:type="character" w:styleId="ab">
    <w:name w:val="Strong"/>
    <w:qFormat/>
    <w:rsid w:val="00075FBC"/>
    <w:rPr>
      <w:b/>
      <w:bCs/>
    </w:rPr>
  </w:style>
  <w:style w:type="character" w:styleId="-">
    <w:name w:val="Hyperlink"/>
    <w:rsid w:val="00075FBC"/>
    <w:rPr>
      <w:color w:val="0000FF"/>
      <w:u w:val="single"/>
    </w:rPr>
  </w:style>
  <w:style w:type="character" w:styleId="-0">
    <w:name w:val="FollowedHyperlink"/>
    <w:rsid w:val="00075FBC"/>
    <w:rPr>
      <w:color w:val="800080"/>
      <w:u w:val="single"/>
    </w:rPr>
  </w:style>
  <w:style w:type="paragraph" w:styleId="ac">
    <w:name w:val="footnote text"/>
    <w:basedOn w:val="a"/>
    <w:link w:val="Char5"/>
    <w:semiHidden/>
    <w:rsid w:val="00075FBC"/>
    <w:pPr>
      <w:widowControl/>
    </w:pPr>
    <w:rPr>
      <w:sz w:val="20"/>
      <w:lang w:val="en-GB" w:eastAsia="x-none"/>
    </w:rPr>
  </w:style>
  <w:style w:type="character" w:customStyle="1" w:styleId="Char5">
    <w:name w:val="Κείμενο υποσημείωσης Char"/>
    <w:basedOn w:val="a0"/>
    <w:link w:val="ac"/>
    <w:semiHidden/>
    <w:rsid w:val="00075FBC"/>
    <w:rPr>
      <w:rFonts w:ascii="Times New Roman" w:eastAsia="Times New Roman" w:hAnsi="Times New Roman" w:cs="Times New Roman"/>
      <w:sz w:val="20"/>
      <w:szCs w:val="20"/>
      <w:lang w:val="en-GB" w:eastAsia="x-none"/>
    </w:rPr>
  </w:style>
  <w:style w:type="paragraph" w:styleId="11">
    <w:name w:val="toc 1"/>
    <w:basedOn w:val="a"/>
    <w:next w:val="a"/>
    <w:autoRedefine/>
    <w:semiHidden/>
    <w:rsid w:val="00075FBC"/>
    <w:pPr>
      <w:widowControl/>
    </w:pPr>
    <w:rPr>
      <w:sz w:val="24"/>
      <w:lang w:val="en-GB"/>
    </w:rPr>
  </w:style>
  <w:style w:type="paragraph" w:customStyle="1" w:styleId="Paragraph">
    <w:name w:val="Paragraph"/>
    <w:link w:val="ParagraphChar"/>
    <w:rsid w:val="00075FBC"/>
    <w:pPr>
      <w:spacing w:after="240" w:line="240" w:lineRule="auto"/>
    </w:pPr>
    <w:rPr>
      <w:rFonts w:ascii="Times New Roman" w:eastAsia="Times New Roman" w:hAnsi="Times New Roman" w:cs="Times New Roman"/>
      <w:sz w:val="24"/>
      <w:szCs w:val="24"/>
      <w:lang w:val="en-US"/>
    </w:rPr>
  </w:style>
  <w:style w:type="character" w:customStyle="1" w:styleId="ParagraphChar">
    <w:name w:val="Paragraph Char"/>
    <w:link w:val="Paragraph"/>
    <w:rsid w:val="00075FBC"/>
    <w:rPr>
      <w:rFonts w:ascii="Times New Roman" w:eastAsia="Times New Roman" w:hAnsi="Times New Roman" w:cs="Times New Roman"/>
      <w:sz w:val="24"/>
      <w:szCs w:val="24"/>
      <w:lang w:val="en-US"/>
    </w:rPr>
  </w:style>
  <w:style w:type="paragraph" w:styleId="31">
    <w:name w:val="Body Text Indent 3"/>
    <w:basedOn w:val="a"/>
    <w:link w:val="3Char1"/>
    <w:rsid w:val="00075FBC"/>
    <w:pPr>
      <w:spacing w:after="120"/>
      <w:ind w:left="283"/>
    </w:pPr>
    <w:rPr>
      <w:sz w:val="16"/>
      <w:szCs w:val="16"/>
      <w:lang w:eastAsia="x-none"/>
    </w:rPr>
  </w:style>
  <w:style w:type="character" w:customStyle="1" w:styleId="3Char1">
    <w:name w:val="Σώμα κείμενου με εσοχή 3 Char"/>
    <w:basedOn w:val="a0"/>
    <w:link w:val="31"/>
    <w:rsid w:val="00075FBC"/>
    <w:rPr>
      <w:rFonts w:ascii="Times New Roman" w:eastAsia="Times New Roman" w:hAnsi="Times New Roman" w:cs="Times New Roman"/>
      <w:sz w:val="16"/>
      <w:szCs w:val="16"/>
      <w:lang w:eastAsia="x-none"/>
    </w:rPr>
  </w:style>
  <w:style w:type="paragraph" w:styleId="ad">
    <w:name w:val="Block Text"/>
    <w:basedOn w:val="a"/>
    <w:rsid w:val="00075FBC"/>
    <w:pPr>
      <w:ind w:left="540" w:right="-29" w:hanging="540"/>
    </w:pPr>
    <w:rPr>
      <w:szCs w:val="22"/>
    </w:rPr>
  </w:style>
  <w:style w:type="paragraph" w:customStyle="1" w:styleId="Bullets">
    <w:name w:val="Bullets"/>
    <w:basedOn w:val="a"/>
    <w:rsid w:val="00075FBC"/>
    <w:pPr>
      <w:widowControl/>
      <w:numPr>
        <w:numId w:val="16"/>
      </w:numPr>
      <w:spacing w:line="260" w:lineRule="exact"/>
    </w:pPr>
    <w:rPr>
      <w:lang w:val="en-GB"/>
    </w:rPr>
  </w:style>
  <w:style w:type="character" w:styleId="ae">
    <w:name w:val="annotation reference"/>
    <w:semiHidden/>
    <w:rsid w:val="00075FBC"/>
    <w:rPr>
      <w:sz w:val="16"/>
      <w:szCs w:val="16"/>
    </w:rPr>
  </w:style>
  <w:style w:type="paragraph" w:styleId="af">
    <w:name w:val="annotation text"/>
    <w:basedOn w:val="a"/>
    <w:link w:val="Char6"/>
    <w:semiHidden/>
    <w:rsid w:val="00075FBC"/>
    <w:rPr>
      <w:sz w:val="20"/>
      <w:lang w:eastAsia="x-none"/>
    </w:rPr>
  </w:style>
  <w:style w:type="character" w:customStyle="1" w:styleId="Char6">
    <w:name w:val="Κείμενο σχολίου Char"/>
    <w:basedOn w:val="a0"/>
    <w:link w:val="af"/>
    <w:semiHidden/>
    <w:rsid w:val="00075FBC"/>
    <w:rPr>
      <w:rFonts w:ascii="Times New Roman" w:eastAsia="Times New Roman" w:hAnsi="Times New Roman" w:cs="Times New Roman"/>
      <w:sz w:val="20"/>
      <w:szCs w:val="20"/>
      <w:lang w:eastAsia="x-none"/>
    </w:rPr>
  </w:style>
  <w:style w:type="paragraph" w:customStyle="1" w:styleId="PIL-1">
    <w:name w:val="PIL-1"/>
    <w:basedOn w:val="a"/>
    <w:rsid w:val="00075FBC"/>
    <w:pPr>
      <w:numPr>
        <w:numId w:val="18"/>
      </w:numPr>
      <w:autoSpaceDE w:val="0"/>
      <w:autoSpaceDN w:val="0"/>
      <w:adjustRightInd w:val="0"/>
      <w:jc w:val="center"/>
      <w:outlineLvl w:val="0"/>
    </w:pPr>
    <w:rPr>
      <w:b/>
      <w:caps/>
      <w:lang w:val="en-GB"/>
    </w:rPr>
  </w:style>
  <w:style w:type="paragraph" w:customStyle="1" w:styleId="PIL-3">
    <w:name w:val="PIL-3"/>
    <w:basedOn w:val="a"/>
    <w:rsid w:val="00075FBC"/>
    <w:pPr>
      <w:widowControl/>
      <w:numPr>
        <w:ilvl w:val="2"/>
        <w:numId w:val="18"/>
      </w:numPr>
      <w:outlineLvl w:val="2"/>
    </w:pPr>
    <w:rPr>
      <w:lang w:val="en-GB"/>
    </w:rPr>
  </w:style>
  <w:style w:type="paragraph" w:customStyle="1" w:styleId="12">
    <w:name w:val="Κείμενο πλαισίου1"/>
    <w:basedOn w:val="a"/>
    <w:semiHidden/>
    <w:rsid w:val="00075FBC"/>
    <w:rPr>
      <w:rFonts w:ascii="Tahoma" w:hAnsi="Tahoma" w:cs="Tahoma"/>
      <w:sz w:val="16"/>
      <w:szCs w:val="16"/>
    </w:rPr>
  </w:style>
  <w:style w:type="paragraph" w:customStyle="1" w:styleId="Style1">
    <w:name w:val="Style1"/>
    <w:basedOn w:val="a6"/>
    <w:rsid w:val="00075FBC"/>
    <w:pPr>
      <w:widowControl w:val="0"/>
      <w:tabs>
        <w:tab w:val="clear" w:pos="4153"/>
        <w:tab w:val="clear" w:pos="8306"/>
        <w:tab w:val="left" w:pos="284"/>
        <w:tab w:val="center" w:pos="4820"/>
        <w:tab w:val="right" w:pos="8222"/>
      </w:tabs>
      <w:ind w:right="360"/>
      <w:jc w:val="center"/>
    </w:pPr>
    <w:rPr>
      <w:rFonts w:cs="Arial"/>
      <w:sz w:val="16"/>
      <w:lang w:val="fr-FR"/>
    </w:rPr>
  </w:style>
  <w:style w:type="character" w:customStyle="1" w:styleId="hps">
    <w:name w:val="hps"/>
    <w:basedOn w:val="a0"/>
    <w:rsid w:val="00075FBC"/>
  </w:style>
  <w:style w:type="character" w:styleId="af0">
    <w:name w:val="Emphasis"/>
    <w:uiPriority w:val="20"/>
    <w:qFormat/>
    <w:rsid w:val="00075FBC"/>
    <w:rPr>
      <w:b/>
      <w:bCs/>
      <w:i w:val="0"/>
      <w:iCs w:val="0"/>
    </w:rPr>
  </w:style>
  <w:style w:type="character" w:customStyle="1" w:styleId="st">
    <w:name w:val="st"/>
    <w:basedOn w:val="a0"/>
    <w:rsid w:val="00075FBC"/>
  </w:style>
  <w:style w:type="paragraph" w:styleId="af1">
    <w:name w:val="annotation subject"/>
    <w:basedOn w:val="af"/>
    <w:next w:val="af"/>
    <w:link w:val="Char7"/>
    <w:uiPriority w:val="99"/>
    <w:semiHidden/>
    <w:unhideWhenUsed/>
    <w:rsid w:val="00075FBC"/>
    <w:rPr>
      <w:b/>
      <w:bCs/>
      <w:lang w:eastAsia="en-US"/>
    </w:rPr>
  </w:style>
  <w:style w:type="character" w:customStyle="1" w:styleId="Char7">
    <w:name w:val="Θέμα σχολίου Char"/>
    <w:basedOn w:val="Char6"/>
    <w:link w:val="af1"/>
    <w:uiPriority w:val="99"/>
    <w:semiHidden/>
    <w:rsid w:val="00075FBC"/>
    <w:rPr>
      <w:rFonts w:ascii="Times New Roman" w:eastAsia="Times New Roman" w:hAnsi="Times New Roman" w:cs="Times New Roman"/>
      <w:b/>
      <w:bCs/>
      <w:sz w:val="20"/>
      <w:szCs w:val="20"/>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5FBC"/>
    <w:pPr>
      <w:widowControl w:val="0"/>
      <w:spacing w:after="0" w:line="240" w:lineRule="auto"/>
    </w:pPr>
    <w:rPr>
      <w:rFonts w:ascii="Times New Roman" w:eastAsia="Times New Roman" w:hAnsi="Times New Roman" w:cs="Times New Roman"/>
      <w:szCs w:val="20"/>
    </w:rPr>
  </w:style>
  <w:style w:type="paragraph" w:styleId="1">
    <w:name w:val="heading 1"/>
    <w:basedOn w:val="a"/>
    <w:next w:val="a"/>
    <w:link w:val="1Char"/>
    <w:qFormat/>
    <w:rsid w:val="00075FBC"/>
    <w:pPr>
      <w:keepNext/>
      <w:jc w:val="center"/>
      <w:outlineLvl w:val="0"/>
    </w:pPr>
    <w:rPr>
      <w:b/>
      <w:sz w:val="20"/>
      <w:lang w:eastAsia="x-none"/>
    </w:rPr>
  </w:style>
  <w:style w:type="paragraph" w:styleId="2">
    <w:name w:val="heading 2"/>
    <w:basedOn w:val="a"/>
    <w:next w:val="a"/>
    <w:link w:val="2Char"/>
    <w:qFormat/>
    <w:rsid w:val="00075FBC"/>
    <w:pPr>
      <w:keepNext/>
      <w:widowControl/>
      <w:spacing w:before="240" w:after="60"/>
      <w:ind w:left="240"/>
      <w:outlineLvl w:val="1"/>
    </w:pPr>
    <w:rPr>
      <w:rFonts w:ascii="Arial" w:hAnsi="Arial"/>
      <w:b/>
      <w:bCs/>
      <w:sz w:val="28"/>
      <w:szCs w:val="28"/>
      <w:lang w:val="en-GB" w:eastAsia="x-none"/>
    </w:rPr>
  </w:style>
  <w:style w:type="paragraph" w:styleId="3">
    <w:name w:val="heading 3"/>
    <w:basedOn w:val="a"/>
    <w:next w:val="a"/>
    <w:link w:val="3Char"/>
    <w:qFormat/>
    <w:rsid w:val="00075FBC"/>
    <w:pPr>
      <w:keepNext/>
      <w:spacing w:before="240" w:after="60"/>
      <w:outlineLvl w:val="2"/>
    </w:pPr>
    <w:rPr>
      <w:rFonts w:ascii="Arial" w:hAnsi="Arial"/>
      <w:b/>
      <w:bCs/>
      <w:sz w:val="26"/>
      <w:szCs w:val="26"/>
      <w:lang w:eastAsia="x-none"/>
    </w:rPr>
  </w:style>
  <w:style w:type="paragraph" w:styleId="4">
    <w:name w:val="heading 4"/>
    <w:basedOn w:val="a"/>
    <w:next w:val="a"/>
    <w:link w:val="4Char"/>
    <w:qFormat/>
    <w:rsid w:val="00075FBC"/>
    <w:pPr>
      <w:keepNext/>
      <w:spacing w:before="240" w:after="60"/>
      <w:outlineLvl w:val="3"/>
    </w:pPr>
    <w:rPr>
      <w:b/>
      <w:bCs/>
      <w:sz w:val="28"/>
      <w:szCs w:val="28"/>
      <w:lang w:eastAsia="x-none"/>
    </w:rPr>
  </w:style>
  <w:style w:type="paragraph" w:styleId="5">
    <w:name w:val="heading 5"/>
    <w:basedOn w:val="a"/>
    <w:next w:val="a"/>
    <w:link w:val="5Char"/>
    <w:qFormat/>
    <w:rsid w:val="00075FBC"/>
    <w:pPr>
      <w:spacing w:before="240" w:after="60"/>
      <w:outlineLvl w:val="4"/>
    </w:pPr>
    <w:rPr>
      <w:b/>
      <w:bCs/>
      <w:i/>
      <w:iCs/>
      <w:sz w:val="26"/>
      <w:szCs w:val="26"/>
      <w:lang w:eastAsia="x-none"/>
    </w:rPr>
  </w:style>
  <w:style w:type="paragraph" w:styleId="6">
    <w:name w:val="heading 6"/>
    <w:basedOn w:val="a"/>
    <w:next w:val="a"/>
    <w:link w:val="6Char"/>
    <w:qFormat/>
    <w:rsid w:val="00075FBC"/>
    <w:pPr>
      <w:keepNext/>
      <w:tabs>
        <w:tab w:val="left" w:pos="-720"/>
        <w:tab w:val="left" w:pos="567"/>
        <w:tab w:val="left" w:pos="4536"/>
      </w:tabs>
      <w:suppressAutoHyphens/>
      <w:spacing w:line="-260" w:lineRule="auto"/>
      <w:outlineLvl w:val="5"/>
    </w:pPr>
    <w:rPr>
      <w:i/>
      <w:sz w:val="20"/>
      <w:lang w:val="en-GB" w:eastAsia="x-none"/>
    </w:rPr>
  </w:style>
  <w:style w:type="paragraph" w:styleId="7">
    <w:name w:val="heading 7"/>
    <w:basedOn w:val="a"/>
    <w:next w:val="a"/>
    <w:link w:val="7Char"/>
    <w:qFormat/>
    <w:rsid w:val="00075FBC"/>
    <w:pPr>
      <w:keepNext/>
      <w:tabs>
        <w:tab w:val="left" w:pos="-720"/>
        <w:tab w:val="left" w:pos="567"/>
        <w:tab w:val="left" w:pos="4536"/>
      </w:tabs>
      <w:suppressAutoHyphens/>
      <w:spacing w:line="-260" w:lineRule="auto"/>
      <w:jc w:val="both"/>
      <w:outlineLvl w:val="6"/>
    </w:pPr>
    <w:rPr>
      <w:i/>
      <w:sz w:val="20"/>
      <w:lang w:val="en-GB" w:eastAsia="x-none"/>
    </w:rPr>
  </w:style>
  <w:style w:type="paragraph" w:styleId="8">
    <w:name w:val="heading 8"/>
    <w:basedOn w:val="a"/>
    <w:next w:val="a"/>
    <w:link w:val="8Char"/>
    <w:qFormat/>
    <w:rsid w:val="00075FBC"/>
    <w:pPr>
      <w:keepNext/>
      <w:widowControl/>
      <w:jc w:val="both"/>
      <w:outlineLvl w:val="7"/>
    </w:pPr>
    <w:rPr>
      <w:sz w:val="20"/>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075FBC"/>
    <w:rPr>
      <w:rFonts w:ascii="Times New Roman" w:eastAsia="Times New Roman" w:hAnsi="Times New Roman" w:cs="Times New Roman"/>
      <w:b/>
      <w:sz w:val="20"/>
      <w:szCs w:val="20"/>
      <w:lang w:eastAsia="x-none"/>
    </w:rPr>
  </w:style>
  <w:style w:type="character" w:customStyle="1" w:styleId="2Char">
    <w:name w:val="Επικεφαλίδα 2 Char"/>
    <w:basedOn w:val="a0"/>
    <w:link w:val="2"/>
    <w:rsid w:val="00075FBC"/>
    <w:rPr>
      <w:rFonts w:ascii="Arial" w:eastAsia="Times New Roman" w:hAnsi="Arial" w:cs="Times New Roman"/>
      <w:b/>
      <w:bCs/>
      <w:sz w:val="28"/>
      <w:szCs w:val="28"/>
      <w:lang w:val="en-GB" w:eastAsia="x-none"/>
    </w:rPr>
  </w:style>
  <w:style w:type="character" w:customStyle="1" w:styleId="3Char">
    <w:name w:val="Επικεφαλίδα 3 Char"/>
    <w:basedOn w:val="a0"/>
    <w:link w:val="3"/>
    <w:rsid w:val="00075FBC"/>
    <w:rPr>
      <w:rFonts w:ascii="Arial" w:eastAsia="Times New Roman" w:hAnsi="Arial" w:cs="Times New Roman"/>
      <w:b/>
      <w:bCs/>
      <w:sz w:val="26"/>
      <w:szCs w:val="26"/>
      <w:lang w:eastAsia="x-none"/>
    </w:rPr>
  </w:style>
  <w:style w:type="character" w:customStyle="1" w:styleId="4Char">
    <w:name w:val="Επικεφαλίδα 4 Char"/>
    <w:basedOn w:val="a0"/>
    <w:link w:val="4"/>
    <w:rsid w:val="00075FBC"/>
    <w:rPr>
      <w:rFonts w:ascii="Times New Roman" w:eastAsia="Times New Roman" w:hAnsi="Times New Roman" w:cs="Times New Roman"/>
      <w:b/>
      <w:bCs/>
      <w:sz w:val="28"/>
      <w:szCs w:val="28"/>
      <w:lang w:eastAsia="x-none"/>
    </w:rPr>
  </w:style>
  <w:style w:type="character" w:customStyle="1" w:styleId="5Char">
    <w:name w:val="Επικεφαλίδα 5 Char"/>
    <w:basedOn w:val="a0"/>
    <w:link w:val="5"/>
    <w:rsid w:val="00075FBC"/>
    <w:rPr>
      <w:rFonts w:ascii="Times New Roman" w:eastAsia="Times New Roman" w:hAnsi="Times New Roman" w:cs="Times New Roman"/>
      <w:b/>
      <w:bCs/>
      <w:i/>
      <w:iCs/>
      <w:sz w:val="26"/>
      <w:szCs w:val="26"/>
      <w:lang w:eastAsia="x-none"/>
    </w:rPr>
  </w:style>
  <w:style w:type="character" w:customStyle="1" w:styleId="6Char">
    <w:name w:val="Επικεφαλίδα 6 Char"/>
    <w:basedOn w:val="a0"/>
    <w:link w:val="6"/>
    <w:rsid w:val="00075FBC"/>
    <w:rPr>
      <w:rFonts w:ascii="Times New Roman" w:eastAsia="Times New Roman" w:hAnsi="Times New Roman" w:cs="Times New Roman"/>
      <w:i/>
      <w:sz w:val="20"/>
      <w:szCs w:val="20"/>
      <w:lang w:val="en-GB" w:eastAsia="x-none"/>
    </w:rPr>
  </w:style>
  <w:style w:type="character" w:customStyle="1" w:styleId="7Char">
    <w:name w:val="Επικεφαλίδα 7 Char"/>
    <w:basedOn w:val="a0"/>
    <w:link w:val="7"/>
    <w:rsid w:val="00075FBC"/>
    <w:rPr>
      <w:rFonts w:ascii="Times New Roman" w:eastAsia="Times New Roman" w:hAnsi="Times New Roman" w:cs="Times New Roman"/>
      <w:i/>
      <w:sz w:val="20"/>
      <w:szCs w:val="20"/>
      <w:lang w:val="en-GB" w:eastAsia="x-none"/>
    </w:rPr>
  </w:style>
  <w:style w:type="character" w:customStyle="1" w:styleId="8Char">
    <w:name w:val="Επικεφαλίδα 8 Char"/>
    <w:basedOn w:val="a0"/>
    <w:link w:val="8"/>
    <w:rsid w:val="00075FBC"/>
    <w:rPr>
      <w:rFonts w:ascii="Times New Roman" w:eastAsia="Times New Roman" w:hAnsi="Times New Roman" w:cs="Times New Roman"/>
      <w:sz w:val="20"/>
      <w:szCs w:val="20"/>
      <w:lang w:eastAsia="x-none"/>
    </w:rPr>
  </w:style>
  <w:style w:type="numbering" w:customStyle="1" w:styleId="10">
    <w:name w:val="Χωρίς λίστα1"/>
    <w:next w:val="a2"/>
    <w:uiPriority w:val="99"/>
    <w:semiHidden/>
    <w:unhideWhenUsed/>
    <w:rsid w:val="00075FBC"/>
  </w:style>
  <w:style w:type="paragraph" w:styleId="a3">
    <w:name w:val="header"/>
    <w:basedOn w:val="a"/>
    <w:link w:val="Char"/>
    <w:rsid w:val="00075FBC"/>
    <w:pPr>
      <w:tabs>
        <w:tab w:val="center" w:pos="4153"/>
        <w:tab w:val="right" w:pos="8306"/>
      </w:tabs>
    </w:pPr>
    <w:rPr>
      <w:sz w:val="20"/>
      <w:lang w:eastAsia="x-none"/>
    </w:rPr>
  </w:style>
  <w:style w:type="character" w:customStyle="1" w:styleId="Char">
    <w:name w:val="Κεφαλίδα Char"/>
    <w:basedOn w:val="a0"/>
    <w:link w:val="a3"/>
    <w:rsid w:val="00075FBC"/>
    <w:rPr>
      <w:rFonts w:ascii="Times New Roman" w:eastAsia="Times New Roman" w:hAnsi="Times New Roman" w:cs="Times New Roman"/>
      <w:sz w:val="20"/>
      <w:szCs w:val="20"/>
      <w:lang w:eastAsia="x-none"/>
    </w:rPr>
  </w:style>
  <w:style w:type="paragraph" w:customStyle="1" w:styleId="SPCtextbody">
    <w:name w:val="SPC text body"/>
    <w:basedOn w:val="a"/>
    <w:rsid w:val="00075FBC"/>
    <w:pPr>
      <w:widowControl/>
    </w:pPr>
  </w:style>
  <w:style w:type="paragraph" w:styleId="a4">
    <w:name w:val="Body Text Indent"/>
    <w:basedOn w:val="a"/>
    <w:link w:val="Char0"/>
    <w:rsid w:val="00075FBC"/>
    <w:pPr>
      <w:widowControl/>
      <w:ind w:left="1418"/>
      <w:jc w:val="both"/>
    </w:pPr>
    <w:rPr>
      <w:sz w:val="20"/>
      <w:lang w:eastAsia="x-none"/>
    </w:rPr>
  </w:style>
  <w:style w:type="character" w:customStyle="1" w:styleId="Char0">
    <w:name w:val="Σώμα κείμενου με εσοχή Char"/>
    <w:basedOn w:val="a0"/>
    <w:link w:val="a4"/>
    <w:rsid w:val="00075FBC"/>
    <w:rPr>
      <w:rFonts w:ascii="Times New Roman" w:eastAsia="Times New Roman" w:hAnsi="Times New Roman" w:cs="Times New Roman"/>
      <w:sz w:val="20"/>
      <w:szCs w:val="20"/>
      <w:lang w:eastAsia="x-none"/>
    </w:rPr>
  </w:style>
  <w:style w:type="paragraph" w:styleId="20">
    <w:name w:val="Body Text Indent 2"/>
    <w:basedOn w:val="a"/>
    <w:link w:val="2Char0"/>
    <w:rsid w:val="00075FBC"/>
    <w:pPr>
      <w:widowControl/>
      <w:ind w:left="1440"/>
      <w:jc w:val="both"/>
    </w:pPr>
    <w:rPr>
      <w:sz w:val="20"/>
      <w:lang w:eastAsia="x-none"/>
    </w:rPr>
  </w:style>
  <w:style w:type="character" w:customStyle="1" w:styleId="2Char0">
    <w:name w:val="Σώμα κείμενου με εσοχή 2 Char"/>
    <w:basedOn w:val="a0"/>
    <w:link w:val="20"/>
    <w:rsid w:val="00075FBC"/>
    <w:rPr>
      <w:rFonts w:ascii="Times New Roman" w:eastAsia="Times New Roman" w:hAnsi="Times New Roman" w:cs="Times New Roman"/>
      <w:sz w:val="20"/>
      <w:szCs w:val="20"/>
      <w:lang w:eastAsia="x-none"/>
    </w:rPr>
  </w:style>
  <w:style w:type="paragraph" w:styleId="a5">
    <w:name w:val="Balloon Text"/>
    <w:basedOn w:val="a"/>
    <w:link w:val="Char1"/>
    <w:semiHidden/>
    <w:rsid w:val="00075FBC"/>
    <w:rPr>
      <w:rFonts w:ascii="Tahoma" w:hAnsi="Tahoma"/>
      <w:sz w:val="16"/>
      <w:szCs w:val="16"/>
      <w:lang w:eastAsia="x-none"/>
    </w:rPr>
  </w:style>
  <w:style w:type="character" w:customStyle="1" w:styleId="Char1">
    <w:name w:val="Κείμενο πλαισίου Char"/>
    <w:basedOn w:val="a0"/>
    <w:link w:val="a5"/>
    <w:semiHidden/>
    <w:rsid w:val="00075FBC"/>
    <w:rPr>
      <w:rFonts w:ascii="Tahoma" w:eastAsia="Times New Roman" w:hAnsi="Tahoma" w:cs="Times New Roman"/>
      <w:sz w:val="16"/>
      <w:szCs w:val="16"/>
      <w:lang w:eastAsia="x-none"/>
    </w:rPr>
  </w:style>
  <w:style w:type="paragraph" w:styleId="a6">
    <w:name w:val="footer"/>
    <w:basedOn w:val="a"/>
    <w:link w:val="Char2"/>
    <w:rsid w:val="00075FBC"/>
    <w:pPr>
      <w:widowControl/>
      <w:tabs>
        <w:tab w:val="center" w:pos="4153"/>
        <w:tab w:val="right" w:pos="8306"/>
      </w:tabs>
    </w:pPr>
    <w:rPr>
      <w:rFonts w:ascii="Arial" w:hAnsi="Arial"/>
      <w:sz w:val="20"/>
      <w:lang w:val="x-none" w:eastAsia="x-none"/>
    </w:rPr>
  </w:style>
  <w:style w:type="character" w:customStyle="1" w:styleId="Char2">
    <w:name w:val="Υποσέλιδο Char"/>
    <w:basedOn w:val="a0"/>
    <w:link w:val="a6"/>
    <w:rsid w:val="00075FBC"/>
    <w:rPr>
      <w:rFonts w:ascii="Arial" w:eastAsia="Times New Roman" w:hAnsi="Arial" w:cs="Times New Roman"/>
      <w:sz w:val="20"/>
      <w:szCs w:val="20"/>
      <w:lang w:val="x-none" w:eastAsia="x-none"/>
    </w:rPr>
  </w:style>
  <w:style w:type="character" w:styleId="a7">
    <w:name w:val="page number"/>
    <w:basedOn w:val="a0"/>
    <w:rsid w:val="00075FBC"/>
  </w:style>
  <w:style w:type="paragraph" w:styleId="a8">
    <w:name w:val="Body Text"/>
    <w:aliases w:val="Body Text PP"/>
    <w:basedOn w:val="a"/>
    <w:link w:val="Char3"/>
    <w:rsid w:val="00075FBC"/>
    <w:pPr>
      <w:widowControl/>
    </w:pPr>
    <w:rPr>
      <w:b/>
      <w:bCs/>
      <w:sz w:val="24"/>
      <w:lang w:val="en-GB" w:eastAsia="x-none"/>
    </w:rPr>
  </w:style>
  <w:style w:type="character" w:customStyle="1" w:styleId="Char3">
    <w:name w:val="Σώμα κειμένου Char"/>
    <w:aliases w:val="Body Text PP Char"/>
    <w:basedOn w:val="a0"/>
    <w:link w:val="a8"/>
    <w:rsid w:val="00075FBC"/>
    <w:rPr>
      <w:rFonts w:ascii="Times New Roman" w:eastAsia="Times New Roman" w:hAnsi="Times New Roman" w:cs="Times New Roman"/>
      <w:b/>
      <w:bCs/>
      <w:sz w:val="24"/>
      <w:szCs w:val="20"/>
      <w:lang w:val="en-GB" w:eastAsia="x-none"/>
    </w:rPr>
  </w:style>
  <w:style w:type="paragraph" w:customStyle="1" w:styleId="TableText">
    <w:name w:val="TableText"/>
    <w:rsid w:val="00075FBC"/>
    <w:pPr>
      <w:overflowPunct w:val="0"/>
      <w:autoSpaceDE w:val="0"/>
      <w:autoSpaceDN w:val="0"/>
      <w:adjustRightInd w:val="0"/>
      <w:spacing w:after="0" w:line="240" w:lineRule="auto"/>
      <w:textAlignment w:val="baseline"/>
    </w:pPr>
    <w:rPr>
      <w:rFonts w:ascii="Arial" w:eastAsia="Times New Roman" w:hAnsi="Arial" w:cs="Times New Roman"/>
      <w:sz w:val="20"/>
      <w:szCs w:val="20"/>
      <w:lang w:val="en-US"/>
    </w:rPr>
  </w:style>
  <w:style w:type="paragraph" w:styleId="21">
    <w:name w:val="Body Text 2"/>
    <w:basedOn w:val="a"/>
    <w:link w:val="2Char1"/>
    <w:rsid w:val="00075FBC"/>
    <w:pPr>
      <w:widowControl/>
      <w:jc w:val="both"/>
    </w:pPr>
    <w:rPr>
      <w:sz w:val="24"/>
      <w:lang w:val="en-GB" w:eastAsia="x-none"/>
    </w:rPr>
  </w:style>
  <w:style w:type="character" w:customStyle="1" w:styleId="2Char1">
    <w:name w:val="Σώμα κείμενου 2 Char"/>
    <w:basedOn w:val="a0"/>
    <w:link w:val="21"/>
    <w:rsid w:val="00075FBC"/>
    <w:rPr>
      <w:rFonts w:ascii="Times New Roman" w:eastAsia="Times New Roman" w:hAnsi="Times New Roman" w:cs="Times New Roman"/>
      <w:sz w:val="24"/>
      <w:szCs w:val="20"/>
      <w:lang w:val="en-GB" w:eastAsia="x-none"/>
    </w:rPr>
  </w:style>
  <w:style w:type="paragraph" w:styleId="a9">
    <w:name w:val="Title"/>
    <w:basedOn w:val="a"/>
    <w:link w:val="Char4"/>
    <w:qFormat/>
    <w:rsid w:val="00075FBC"/>
    <w:pPr>
      <w:widowControl/>
      <w:jc w:val="center"/>
    </w:pPr>
    <w:rPr>
      <w:b/>
      <w:bCs/>
      <w:color w:val="000000"/>
      <w:sz w:val="32"/>
      <w:szCs w:val="32"/>
      <w:lang w:val="en-GB" w:eastAsia="x-none"/>
    </w:rPr>
  </w:style>
  <w:style w:type="character" w:customStyle="1" w:styleId="Char4">
    <w:name w:val="Τίτλος Char"/>
    <w:basedOn w:val="a0"/>
    <w:link w:val="a9"/>
    <w:rsid w:val="00075FBC"/>
    <w:rPr>
      <w:rFonts w:ascii="Times New Roman" w:eastAsia="Times New Roman" w:hAnsi="Times New Roman" w:cs="Times New Roman"/>
      <w:b/>
      <w:bCs/>
      <w:color w:val="000000"/>
      <w:sz w:val="32"/>
      <w:szCs w:val="32"/>
      <w:lang w:val="en-GB" w:eastAsia="x-none"/>
    </w:rPr>
  </w:style>
  <w:style w:type="paragraph" w:styleId="30">
    <w:name w:val="Body Text 3"/>
    <w:basedOn w:val="a"/>
    <w:link w:val="3Char0"/>
    <w:rsid w:val="00075FBC"/>
    <w:pPr>
      <w:widowControl/>
    </w:pPr>
    <w:rPr>
      <w:b/>
      <w:bCs/>
      <w:i/>
      <w:iCs/>
      <w:sz w:val="24"/>
      <w:lang w:val="en-GB" w:eastAsia="x-none"/>
    </w:rPr>
  </w:style>
  <w:style w:type="character" w:customStyle="1" w:styleId="3Char0">
    <w:name w:val="Σώμα κείμενου 3 Char"/>
    <w:basedOn w:val="a0"/>
    <w:link w:val="30"/>
    <w:rsid w:val="00075FBC"/>
    <w:rPr>
      <w:rFonts w:ascii="Times New Roman" w:eastAsia="Times New Roman" w:hAnsi="Times New Roman" w:cs="Times New Roman"/>
      <w:b/>
      <w:bCs/>
      <w:i/>
      <w:iCs/>
      <w:sz w:val="24"/>
      <w:szCs w:val="20"/>
      <w:lang w:val="en-GB" w:eastAsia="x-none"/>
    </w:rPr>
  </w:style>
  <w:style w:type="paragraph" w:customStyle="1" w:styleId="Default">
    <w:name w:val="Default"/>
    <w:rsid w:val="00075FBC"/>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character" w:styleId="aa">
    <w:name w:val="footnote reference"/>
    <w:semiHidden/>
    <w:rsid w:val="00075FBC"/>
    <w:rPr>
      <w:vertAlign w:val="superscript"/>
    </w:rPr>
  </w:style>
  <w:style w:type="character" w:styleId="ab">
    <w:name w:val="Strong"/>
    <w:qFormat/>
    <w:rsid w:val="00075FBC"/>
    <w:rPr>
      <w:b/>
      <w:bCs/>
    </w:rPr>
  </w:style>
  <w:style w:type="character" w:styleId="-">
    <w:name w:val="Hyperlink"/>
    <w:rsid w:val="00075FBC"/>
    <w:rPr>
      <w:color w:val="0000FF"/>
      <w:u w:val="single"/>
    </w:rPr>
  </w:style>
  <w:style w:type="character" w:styleId="-0">
    <w:name w:val="FollowedHyperlink"/>
    <w:rsid w:val="00075FBC"/>
    <w:rPr>
      <w:color w:val="800080"/>
      <w:u w:val="single"/>
    </w:rPr>
  </w:style>
  <w:style w:type="paragraph" w:styleId="ac">
    <w:name w:val="footnote text"/>
    <w:basedOn w:val="a"/>
    <w:link w:val="Char5"/>
    <w:semiHidden/>
    <w:rsid w:val="00075FBC"/>
    <w:pPr>
      <w:widowControl/>
    </w:pPr>
    <w:rPr>
      <w:sz w:val="20"/>
      <w:lang w:val="en-GB" w:eastAsia="x-none"/>
    </w:rPr>
  </w:style>
  <w:style w:type="character" w:customStyle="1" w:styleId="Char5">
    <w:name w:val="Κείμενο υποσημείωσης Char"/>
    <w:basedOn w:val="a0"/>
    <w:link w:val="ac"/>
    <w:semiHidden/>
    <w:rsid w:val="00075FBC"/>
    <w:rPr>
      <w:rFonts w:ascii="Times New Roman" w:eastAsia="Times New Roman" w:hAnsi="Times New Roman" w:cs="Times New Roman"/>
      <w:sz w:val="20"/>
      <w:szCs w:val="20"/>
      <w:lang w:val="en-GB" w:eastAsia="x-none"/>
    </w:rPr>
  </w:style>
  <w:style w:type="paragraph" w:styleId="11">
    <w:name w:val="toc 1"/>
    <w:basedOn w:val="a"/>
    <w:next w:val="a"/>
    <w:autoRedefine/>
    <w:semiHidden/>
    <w:rsid w:val="00075FBC"/>
    <w:pPr>
      <w:widowControl/>
    </w:pPr>
    <w:rPr>
      <w:sz w:val="24"/>
      <w:lang w:val="en-GB"/>
    </w:rPr>
  </w:style>
  <w:style w:type="paragraph" w:customStyle="1" w:styleId="Paragraph">
    <w:name w:val="Paragraph"/>
    <w:link w:val="ParagraphChar"/>
    <w:rsid w:val="00075FBC"/>
    <w:pPr>
      <w:spacing w:after="240" w:line="240" w:lineRule="auto"/>
    </w:pPr>
    <w:rPr>
      <w:rFonts w:ascii="Times New Roman" w:eastAsia="Times New Roman" w:hAnsi="Times New Roman" w:cs="Times New Roman"/>
      <w:sz w:val="24"/>
      <w:szCs w:val="24"/>
      <w:lang w:val="en-US"/>
    </w:rPr>
  </w:style>
  <w:style w:type="character" w:customStyle="1" w:styleId="ParagraphChar">
    <w:name w:val="Paragraph Char"/>
    <w:link w:val="Paragraph"/>
    <w:rsid w:val="00075FBC"/>
    <w:rPr>
      <w:rFonts w:ascii="Times New Roman" w:eastAsia="Times New Roman" w:hAnsi="Times New Roman" w:cs="Times New Roman"/>
      <w:sz w:val="24"/>
      <w:szCs w:val="24"/>
      <w:lang w:val="en-US"/>
    </w:rPr>
  </w:style>
  <w:style w:type="paragraph" w:styleId="31">
    <w:name w:val="Body Text Indent 3"/>
    <w:basedOn w:val="a"/>
    <w:link w:val="3Char1"/>
    <w:rsid w:val="00075FBC"/>
    <w:pPr>
      <w:spacing w:after="120"/>
      <w:ind w:left="283"/>
    </w:pPr>
    <w:rPr>
      <w:sz w:val="16"/>
      <w:szCs w:val="16"/>
      <w:lang w:eastAsia="x-none"/>
    </w:rPr>
  </w:style>
  <w:style w:type="character" w:customStyle="1" w:styleId="3Char1">
    <w:name w:val="Σώμα κείμενου με εσοχή 3 Char"/>
    <w:basedOn w:val="a0"/>
    <w:link w:val="31"/>
    <w:rsid w:val="00075FBC"/>
    <w:rPr>
      <w:rFonts w:ascii="Times New Roman" w:eastAsia="Times New Roman" w:hAnsi="Times New Roman" w:cs="Times New Roman"/>
      <w:sz w:val="16"/>
      <w:szCs w:val="16"/>
      <w:lang w:eastAsia="x-none"/>
    </w:rPr>
  </w:style>
  <w:style w:type="paragraph" w:styleId="ad">
    <w:name w:val="Block Text"/>
    <w:basedOn w:val="a"/>
    <w:rsid w:val="00075FBC"/>
    <w:pPr>
      <w:ind w:left="540" w:right="-29" w:hanging="540"/>
    </w:pPr>
    <w:rPr>
      <w:szCs w:val="22"/>
    </w:rPr>
  </w:style>
  <w:style w:type="paragraph" w:customStyle="1" w:styleId="Bullets">
    <w:name w:val="Bullets"/>
    <w:basedOn w:val="a"/>
    <w:rsid w:val="00075FBC"/>
    <w:pPr>
      <w:widowControl/>
      <w:numPr>
        <w:numId w:val="16"/>
      </w:numPr>
      <w:spacing w:line="260" w:lineRule="exact"/>
    </w:pPr>
    <w:rPr>
      <w:lang w:val="en-GB"/>
    </w:rPr>
  </w:style>
  <w:style w:type="character" w:styleId="ae">
    <w:name w:val="annotation reference"/>
    <w:semiHidden/>
    <w:rsid w:val="00075FBC"/>
    <w:rPr>
      <w:sz w:val="16"/>
      <w:szCs w:val="16"/>
    </w:rPr>
  </w:style>
  <w:style w:type="paragraph" w:styleId="af">
    <w:name w:val="annotation text"/>
    <w:basedOn w:val="a"/>
    <w:link w:val="Char6"/>
    <w:semiHidden/>
    <w:rsid w:val="00075FBC"/>
    <w:rPr>
      <w:sz w:val="20"/>
      <w:lang w:eastAsia="x-none"/>
    </w:rPr>
  </w:style>
  <w:style w:type="character" w:customStyle="1" w:styleId="Char6">
    <w:name w:val="Κείμενο σχολίου Char"/>
    <w:basedOn w:val="a0"/>
    <w:link w:val="af"/>
    <w:semiHidden/>
    <w:rsid w:val="00075FBC"/>
    <w:rPr>
      <w:rFonts w:ascii="Times New Roman" w:eastAsia="Times New Roman" w:hAnsi="Times New Roman" w:cs="Times New Roman"/>
      <w:sz w:val="20"/>
      <w:szCs w:val="20"/>
      <w:lang w:eastAsia="x-none"/>
    </w:rPr>
  </w:style>
  <w:style w:type="paragraph" w:customStyle="1" w:styleId="PIL-1">
    <w:name w:val="PIL-1"/>
    <w:basedOn w:val="a"/>
    <w:rsid w:val="00075FBC"/>
    <w:pPr>
      <w:numPr>
        <w:numId w:val="18"/>
      </w:numPr>
      <w:autoSpaceDE w:val="0"/>
      <w:autoSpaceDN w:val="0"/>
      <w:adjustRightInd w:val="0"/>
      <w:jc w:val="center"/>
      <w:outlineLvl w:val="0"/>
    </w:pPr>
    <w:rPr>
      <w:b/>
      <w:caps/>
      <w:lang w:val="en-GB"/>
    </w:rPr>
  </w:style>
  <w:style w:type="paragraph" w:customStyle="1" w:styleId="PIL-3">
    <w:name w:val="PIL-3"/>
    <w:basedOn w:val="a"/>
    <w:rsid w:val="00075FBC"/>
    <w:pPr>
      <w:widowControl/>
      <w:numPr>
        <w:ilvl w:val="2"/>
        <w:numId w:val="18"/>
      </w:numPr>
      <w:outlineLvl w:val="2"/>
    </w:pPr>
    <w:rPr>
      <w:lang w:val="en-GB"/>
    </w:rPr>
  </w:style>
  <w:style w:type="paragraph" w:customStyle="1" w:styleId="12">
    <w:name w:val="Κείμενο πλαισίου1"/>
    <w:basedOn w:val="a"/>
    <w:semiHidden/>
    <w:rsid w:val="00075FBC"/>
    <w:rPr>
      <w:rFonts w:ascii="Tahoma" w:hAnsi="Tahoma" w:cs="Tahoma"/>
      <w:sz w:val="16"/>
      <w:szCs w:val="16"/>
    </w:rPr>
  </w:style>
  <w:style w:type="paragraph" w:customStyle="1" w:styleId="Style1">
    <w:name w:val="Style1"/>
    <w:basedOn w:val="a6"/>
    <w:rsid w:val="00075FBC"/>
    <w:pPr>
      <w:widowControl w:val="0"/>
      <w:tabs>
        <w:tab w:val="clear" w:pos="4153"/>
        <w:tab w:val="clear" w:pos="8306"/>
        <w:tab w:val="left" w:pos="284"/>
        <w:tab w:val="center" w:pos="4820"/>
        <w:tab w:val="right" w:pos="8222"/>
      </w:tabs>
      <w:ind w:right="360"/>
      <w:jc w:val="center"/>
    </w:pPr>
    <w:rPr>
      <w:rFonts w:cs="Arial"/>
      <w:sz w:val="16"/>
      <w:lang w:val="fr-FR"/>
    </w:rPr>
  </w:style>
  <w:style w:type="character" w:customStyle="1" w:styleId="hps">
    <w:name w:val="hps"/>
    <w:basedOn w:val="a0"/>
    <w:rsid w:val="00075FBC"/>
  </w:style>
  <w:style w:type="character" w:styleId="af0">
    <w:name w:val="Emphasis"/>
    <w:uiPriority w:val="20"/>
    <w:qFormat/>
    <w:rsid w:val="00075FBC"/>
    <w:rPr>
      <w:b/>
      <w:bCs/>
      <w:i w:val="0"/>
      <w:iCs w:val="0"/>
    </w:rPr>
  </w:style>
  <w:style w:type="character" w:customStyle="1" w:styleId="st">
    <w:name w:val="st"/>
    <w:basedOn w:val="a0"/>
    <w:rsid w:val="00075FBC"/>
  </w:style>
  <w:style w:type="paragraph" w:styleId="af1">
    <w:name w:val="annotation subject"/>
    <w:basedOn w:val="af"/>
    <w:next w:val="af"/>
    <w:link w:val="Char7"/>
    <w:uiPriority w:val="99"/>
    <w:semiHidden/>
    <w:unhideWhenUsed/>
    <w:rsid w:val="00075FBC"/>
    <w:rPr>
      <w:b/>
      <w:bCs/>
      <w:lang w:eastAsia="en-US"/>
    </w:rPr>
  </w:style>
  <w:style w:type="character" w:customStyle="1" w:styleId="Char7">
    <w:name w:val="Θέμα σχολίου Char"/>
    <w:basedOn w:val="Char6"/>
    <w:link w:val="af1"/>
    <w:uiPriority w:val="99"/>
    <w:semiHidden/>
    <w:rsid w:val="00075FBC"/>
    <w:rPr>
      <w:rFonts w:ascii="Times New Roman" w:eastAsia="Times New Roman" w:hAnsi="Times New Roman" w:cs="Times New Roman"/>
      <w:b/>
      <w:bCs/>
      <w:sz w:val="20"/>
      <w:szCs w:val="20"/>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f.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23</Pages>
  <Words>9955</Words>
  <Characters>53763</Characters>
  <Application>Microsoft Office Word</Application>
  <DocSecurity>0</DocSecurity>
  <Lines>448</Lines>
  <Paragraphs>127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63591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mthalassinou</dc:creator>
  <cp:keywords/>
  <dc:description/>
  <cp:lastModifiedBy>mthalassinou</cp:lastModifiedBy>
  <cp:revision>2</cp:revision>
  <dcterms:created xsi:type="dcterms:W3CDTF">2016-07-21T06:54:00Z</dcterms:created>
  <dcterms:modified xsi:type="dcterms:W3CDTF">2016-07-21T06:59:00Z</dcterms:modified>
</cp:coreProperties>
</file>