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67" w:rsidRPr="00225AA2" w:rsidRDefault="00F94A67">
      <w:pPr>
        <w:jc w:val="center"/>
      </w:pPr>
      <w:bookmarkStart w:id="0" w:name="_GoBack"/>
      <w:bookmarkEnd w:id="0"/>
    </w:p>
    <w:p w:rsidR="00F94A67" w:rsidRDefault="00F94A67">
      <w:pPr>
        <w:jc w:val="center"/>
        <w:rPr>
          <w:b/>
        </w:rPr>
      </w:pPr>
    </w:p>
    <w:p w:rsidR="00441B04" w:rsidRDefault="00441B04">
      <w:pPr>
        <w:jc w:val="center"/>
        <w:rPr>
          <w:b/>
        </w:rPr>
      </w:pPr>
    </w:p>
    <w:p w:rsidR="00441B04" w:rsidRDefault="00441B04">
      <w:pPr>
        <w:jc w:val="center"/>
        <w:rPr>
          <w:b/>
        </w:rPr>
      </w:pPr>
    </w:p>
    <w:p w:rsidR="00441B04" w:rsidRDefault="00441B04">
      <w:pPr>
        <w:jc w:val="center"/>
        <w:rPr>
          <w:b/>
        </w:rPr>
      </w:pPr>
    </w:p>
    <w:p w:rsidR="00441B04" w:rsidRPr="00244505" w:rsidRDefault="00441B04">
      <w:pPr>
        <w:jc w:val="center"/>
        <w:rPr>
          <w:b/>
        </w:rPr>
      </w:pPr>
    </w:p>
    <w:p w:rsidR="00F94A67" w:rsidRPr="00244505" w:rsidRDefault="00F94A67">
      <w:pPr>
        <w:jc w:val="center"/>
        <w:rPr>
          <w:b/>
        </w:rPr>
      </w:pPr>
    </w:p>
    <w:p w:rsidR="00F94A67" w:rsidRPr="00244505" w:rsidRDefault="00F94A67">
      <w:pPr>
        <w:jc w:val="center"/>
        <w:rPr>
          <w:b/>
        </w:rPr>
      </w:pPr>
    </w:p>
    <w:p w:rsidR="00F94A67" w:rsidRPr="00244505" w:rsidRDefault="00F94A67">
      <w:pPr>
        <w:jc w:val="center"/>
        <w:rPr>
          <w:b/>
        </w:rPr>
      </w:pPr>
    </w:p>
    <w:p w:rsidR="00F94A67" w:rsidRPr="00244505" w:rsidRDefault="00F94A67">
      <w:pPr>
        <w:jc w:val="center"/>
        <w:rPr>
          <w:b/>
        </w:rPr>
      </w:pPr>
    </w:p>
    <w:p w:rsidR="00F94A67" w:rsidRPr="00244505" w:rsidRDefault="00F94A67">
      <w:pPr>
        <w:jc w:val="center"/>
        <w:rPr>
          <w:b/>
        </w:rPr>
      </w:pPr>
    </w:p>
    <w:p w:rsidR="00F94A67" w:rsidRPr="00244505" w:rsidRDefault="00F94A67">
      <w:pPr>
        <w:jc w:val="center"/>
        <w:rPr>
          <w:b/>
        </w:rPr>
      </w:pPr>
    </w:p>
    <w:p w:rsidR="00F94A67" w:rsidRDefault="00F94A67">
      <w:pPr>
        <w:jc w:val="center"/>
        <w:rPr>
          <w:b/>
        </w:rPr>
      </w:pPr>
    </w:p>
    <w:p w:rsidR="00244505" w:rsidRDefault="00244505">
      <w:pPr>
        <w:jc w:val="center"/>
        <w:rPr>
          <w:b/>
        </w:rPr>
      </w:pPr>
    </w:p>
    <w:p w:rsidR="00244505" w:rsidRDefault="00244505">
      <w:pPr>
        <w:jc w:val="center"/>
        <w:rPr>
          <w:b/>
        </w:rPr>
      </w:pPr>
    </w:p>
    <w:p w:rsidR="00244505" w:rsidRPr="00244505" w:rsidRDefault="00244505">
      <w:pPr>
        <w:jc w:val="center"/>
        <w:rPr>
          <w:b/>
        </w:rPr>
      </w:pPr>
    </w:p>
    <w:p w:rsidR="00F94A67" w:rsidRPr="00244505" w:rsidRDefault="00F94A67">
      <w:pPr>
        <w:jc w:val="center"/>
        <w:rPr>
          <w:b/>
        </w:rPr>
      </w:pPr>
    </w:p>
    <w:p w:rsidR="00F94A67" w:rsidRPr="00244505" w:rsidRDefault="00F94A67">
      <w:pPr>
        <w:jc w:val="center"/>
        <w:rPr>
          <w:b/>
        </w:rPr>
      </w:pPr>
    </w:p>
    <w:p w:rsidR="00F94A67" w:rsidRPr="00244505" w:rsidRDefault="00F94A67">
      <w:pPr>
        <w:jc w:val="center"/>
        <w:rPr>
          <w:b/>
        </w:rPr>
      </w:pPr>
    </w:p>
    <w:p w:rsidR="00F94A67" w:rsidRPr="00244505" w:rsidRDefault="00F94A67">
      <w:pPr>
        <w:jc w:val="center"/>
        <w:rPr>
          <w:b/>
        </w:rPr>
      </w:pPr>
    </w:p>
    <w:p w:rsidR="00F94A67" w:rsidRPr="00441B04" w:rsidRDefault="00F94A67" w:rsidP="00F94A67">
      <w:pPr>
        <w:tabs>
          <w:tab w:val="left" w:pos="567"/>
        </w:tabs>
        <w:jc w:val="center"/>
        <w:rPr>
          <w:b/>
          <w:sz w:val="24"/>
          <w:szCs w:val="24"/>
        </w:rPr>
      </w:pPr>
      <w:r w:rsidRPr="00441B04">
        <w:rPr>
          <w:b/>
          <w:sz w:val="24"/>
          <w:szCs w:val="24"/>
        </w:rPr>
        <w:t>ΠΕΡΙΛΗΨΗ ΤΩΝ ΧΑΡΑΚΤΗΡΙΣΤΙΚΩΝ ΤΟΥ ΠΡΟΪΟΝΤΟΣ</w:t>
      </w:r>
    </w:p>
    <w:p w:rsidR="00F94A67" w:rsidRPr="00244505" w:rsidRDefault="00F94A67">
      <w:pPr>
        <w:jc w:val="center"/>
        <w:rPr>
          <w:b/>
        </w:rPr>
      </w:pPr>
    </w:p>
    <w:p w:rsidR="00F94A67" w:rsidRPr="00244505" w:rsidRDefault="00F94A67">
      <w:pPr>
        <w:jc w:val="center"/>
        <w:rPr>
          <w:b/>
        </w:rPr>
      </w:pPr>
    </w:p>
    <w:p w:rsidR="00F94A67" w:rsidRPr="00244505" w:rsidRDefault="00F94A67">
      <w:pPr>
        <w:jc w:val="center"/>
        <w:rPr>
          <w:b/>
        </w:rPr>
      </w:pPr>
    </w:p>
    <w:p w:rsidR="00F94A67" w:rsidRPr="00244505" w:rsidRDefault="00F94A67">
      <w:pPr>
        <w:jc w:val="center"/>
        <w:rPr>
          <w:b/>
        </w:rPr>
      </w:pPr>
    </w:p>
    <w:p w:rsidR="00F94A67" w:rsidRPr="00244505" w:rsidRDefault="00F94A67">
      <w:pPr>
        <w:jc w:val="center"/>
        <w:rPr>
          <w:b/>
        </w:rPr>
      </w:pPr>
    </w:p>
    <w:p w:rsidR="00F94A67" w:rsidRPr="00244505" w:rsidRDefault="00F94A67">
      <w:pPr>
        <w:jc w:val="center"/>
        <w:rPr>
          <w:b/>
        </w:rPr>
      </w:pPr>
    </w:p>
    <w:p w:rsidR="00F94A67" w:rsidRPr="00244505" w:rsidRDefault="00F94A67">
      <w:pPr>
        <w:jc w:val="center"/>
        <w:rPr>
          <w:b/>
        </w:rPr>
      </w:pPr>
    </w:p>
    <w:p w:rsidR="00F94A67" w:rsidRPr="00244505" w:rsidRDefault="00F94A67">
      <w:pPr>
        <w:jc w:val="center"/>
        <w:rPr>
          <w:b/>
        </w:rPr>
      </w:pPr>
    </w:p>
    <w:p w:rsidR="00F94A67" w:rsidRPr="00244505" w:rsidRDefault="00F94A67">
      <w:pPr>
        <w:jc w:val="center"/>
        <w:rPr>
          <w:b/>
        </w:rPr>
      </w:pPr>
    </w:p>
    <w:p w:rsidR="00F94A67" w:rsidRPr="00244505" w:rsidRDefault="00F94A67">
      <w:pPr>
        <w:jc w:val="center"/>
        <w:rPr>
          <w:b/>
        </w:rPr>
      </w:pPr>
    </w:p>
    <w:p w:rsidR="00F94A67" w:rsidRPr="00244505" w:rsidRDefault="00F94A67">
      <w:pPr>
        <w:jc w:val="center"/>
        <w:rPr>
          <w:b/>
        </w:rPr>
      </w:pPr>
    </w:p>
    <w:p w:rsidR="00F94A67" w:rsidRPr="00244505" w:rsidRDefault="00F94A67">
      <w:pPr>
        <w:jc w:val="center"/>
        <w:rPr>
          <w:b/>
        </w:rPr>
      </w:pPr>
    </w:p>
    <w:p w:rsidR="00F94A67" w:rsidRPr="00244505" w:rsidRDefault="00F94A67">
      <w:pPr>
        <w:jc w:val="center"/>
        <w:rPr>
          <w:b/>
        </w:rPr>
      </w:pPr>
    </w:p>
    <w:p w:rsidR="00F94A67" w:rsidRPr="00244505" w:rsidRDefault="00F94A67">
      <w:pPr>
        <w:jc w:val="center"/>
        <w:rPr>
          <w:b/>
        </w:rPr>
      </w:pPr>
    </w:p>
    <w:p w:rsidR="00F94A67" w:rsidRPr="00244505" w:rsidRDefault="00F94A67">
      <w:pPr>
        <w:jc w:val="center"/>
        <w:rPr>
          <w:b/>
        </w:rPr>
      </w:pPr>
    </w:p>
    <w:p w:rsidR="00F94A67" w:rsidRPr="00244505" w:rsidRDefault="00F94A67">
      <w:pPr>
        <w:jc w:val="center"/>
        <w:rPr>
          <w:b/>
        </w:rPr>
      </w:pPr>
    </w:p>
    <w:p w:rsidR="00F94A67" w:rsidRPr="00244505" w:rsidRDefault="00F94A67">
      <w:pPr>
        <w:jc w:val="center"/>
        <w:rPr>
          <w:b/>
        </w:rPr>
      </w:pPr>
    </w:p>
    <w:p w:rsidR="00F94A67" w:rsidRPr="00244505" w:rsidRDefault="00F94A67">
      <w:pPr>
        <w:jc w:val="center"/>
        <w:rPr>
          <w:b/>
        </w:rPr>
      </w:pPr>
    </w:p>
    <w:p w:rsidR="00F94A67" w:rsidRPr="00244505" w:rsidRDefault="00F94A67">
      <w:pPr>
        <w:jc w:val="center"/>
        <w:rPr>
          <w:b/>
        </w:rPr>
      </w:pPr>
    </w:p>
    <w:p w:rsidR="00F94A67" w:rsidRPr="00244505" w:rsidRDefault="00F94A67">
      <w:pPr>
        <w:jc w:val="center"/>
        <w:rPr>
          <w:b/>
        </w:rPr>
      </w:pPr>
    </w:p>
    <w:p w:rsidR="00F94A67" w:rsidRPr="00244505" w:rsidRDefault="00F94A67">
      <w:pPr>
        <w:jc w:val="center"/>
        <w:rPr>
          <w:b/>
        </w:rPr>
      </w:pPr>
    </w:p>
    <w:p w:rsidR="00F94A67" w:rsidRPr="00244505" w:rsidRDefault="00F94A67">
      <w:pPr>
        <w:jc w:val="center"/>
        <w:rPr>
          <w:b/>
        </w:rPr>
      </w:pPr>
    </w:p>
    <w:p w:rsidR="00F94A67" w:rsidRPr="00244505" w:rsidRDefault="00F94A67">
      <w:pPr>
        <w:jc w:val="center"/>
        <w:rPr>
          <w:b/>
        </w:rPr>
      </w:pPr>
    </w:p>
    <w:p w:rsidR="00F94A67" w:rsidRPr="00244505" w:rsidRDefault="00F94A67">
      <w:pPr>
        <w:jc w:val="center"/>
        <w:rPr>
          <w:b/>
        </w:rPr>
      </w:pPr>
    </w:p>
    <w:p w:rsidR="00F94A67" w:rsidRPr="00244505" w:rsidRDefault="00F94A67">
      <w:pPr>
        <w:jc w:val="center"/>
        <w:rPr>
          <w:b/>
        </w:rPr>
      </w:pPr>
    </w:p>
    <w:p w:rsidR="00F94A67" w:rsidRPr="00244505" w:rsidRDefault="00F94A67">
      <w:pPr>
        <w:jc w:val="center"/>
        <w:rPr>
          <w:b/>
        </w:rPr>
      </w:pPr>
    </w:p>
    <w:p w:rsidR="00F94A67" w:rsidRPr="00244505" w:rsidRDefault="00F94A67">
      <w:pPr>
        <w:jc w:val="center"/>
        <w:rPr>
          <w:b/>
        </w:rPr>
      </w:pPr>
    </w:p>
    <w:p w:rsidR="00F94A67" w:rsidRDefault="00F94A67">
      <w:pPr>
        <w:jc w:val="center"/>
        <w:rPr>
          <w:b/>
        </w:rPr>
      </w:pPr>
    </w:p>
    <w:p w:rsidR="00244505" w:rsidRDefault="00244505">
      <w:pPr>
        <w:jc w:val="center"/>
        <w:rPr>
          <w:b/>
        </w:rPr>
      </w:pPr>
    </w:p>
    <w:p w:rsidR="00244505" w:rsidRDefault="00244505">
      <w:pPr>
        <w:jc w:val="center"/>
        <w:rPr>
          <w:b/>
        </w:rPr>
      </w:pPr>
    </w:p>
    <w:p w:rsidR="00244505" w:rsidRDefault="00244505">
      <w:pPr>
        <w:jc w:val="center"/>
        <w:rPr>
          <w:b/>
        </w:rPr>
      </w:pPr>
    </w:p>
    <w:p w:rsidR="00F13F7D" w:rsidRDefault="00F13F7D">
      <w:pPr>
        <w:jc w:val="center"/>
        <w:rPr>
          <w:b/>
        </w:rPr>
      </w:pPr>
    </w:p>
    <w:p w:rsidR="00F13F7D" w:rsidRDefault="00F13F7D">
      <w:pPr>
        <w:jc w:val="center"/>
        <w:rPr>
          <w:b/>
        </w:rPr>
      </w:pPr>
    </w:p>
    <w:p w:rsidR="00F13F7D" w:rsidRDefault="00F13F7D">
      <w:pPr>
        <w:jc w:val="center"/>
        <w:rPr>
          <w:b/>
        </w:rPr>
      </w:pPr>
    </w:p>
    <w:p w:rsidR="00F13F7D" w:rsidRDefault="00F13F7D">
      <w:pPr>
        <w:jc w:val="center"/>
        <w:rPr>
          <w:b/>
        </w:rPr>
      </w:pPr>
    </w:p>
    <w:p w:rsidR="00F13F7D" w:rsidRDefault="00F13F7D">
      <w:pPr>
        <w:jc w:val="center"/>
        <w:rPr>
          <w:b/>
        </w:rPr>
      </w:pPr>
    </w:p>
    <w:p w:rsidR="00F13F7D" w:rsidRDefault="00F13F7D">
      <w:pPr>
        <w:jc w:val="center"/>
        <w:rPr>
          <w:b/>
        </w:rPr>
      </w:pPr>
    </w:p>
    <w:p w:rsidR="008F1431" w:rsidRDefault="008F1431" w:rsidP="00F94A67">
      <w:pPr>
        <w:jc w:val="both"/>
        <w:rPr>
          <w:b/>
        </w:rPr>
      </w:pPr>
    </w:p>
    <w:p w:rsidR="008F1431" w:rsidRDefault="008F1431" w:rsidP="00F94A67">
      <w:pPr>
        <w:jc w:val="both"/>
        <w:rPr>
          <w:b/>
        </w:rPr>
      </w:pPr>
    </w:p>
    <w:p w:rsidR="00F94A67" w:rsidRPr="00441B04" w:rsidRDefault="00F94A67" w:rsidP="00F94A67">
      <w:pPr>
        <w:jc w:val="both"/>
        <w:rPr>
          <w:b/>
          <w:color w:val="000000"/>
          <w:sz w:val="24"/>
          <w:szCs w:val="24"/>
        </w:rPr>
      </w:pPr>
      <w:r w:rsidRPr="00441B04">
        <w:rPr>
          <w:b/>
          <w:color w:val="000000"/>
          <w:sz w:val="24"/>
          <w:szCs w:val="24"/>
        </w:rPr>
        <w:lastRenderedPageBreak/>
        <w:t xml:space="preserve">1.      ΟΝΟΜΑΣΙΑ ΤΟΥ ΦΑΡΜΑΚΕΥΤΙΚΟΥ ΠΡΟΪΟΝΤΟΣ </w:t>
      </w:r>
    </w:p>
    <w:p w:rsidR="006B1613" w:rsidRPr="00720982" w:rsidRDefault="00EA106C" w:rsidP="006B1613">
      <w:pPr>
        <w:pStyle w:val="Text"/>
        <w:ind w:left="0"/>
        <w:rPr>
          <w:lang w:val="el-GR"/>
        </w:rPr>
      </w:pPr>
      <w:bookmarkStart w:id="1" w:name="_Toc23134199"/>
      <w:r w:rsidRPr="00EA106C">
        <w:rPr>
          <w:lang w:val="el-GR"/>
        </w:rPr>
        <w:t xml:space="preserve">         </w:t>
      </w:r>
      <w:bookmarkEnd w:id="1"/>
    </w:p>
    <w:p w:rsidR="00B417A2" w:rsidRPr="004A4750" w:rsidRDefault="00B417A2" w:rsidP="006B1613">
      <w:pPr>
        <w:pStyle w:val="Text"/>
        <w:ind w:left="0"/>
        <w:rPr>
          <w:lang w:val="el-GR"/>
        </w:rPr>
      </w:pPr>
      <w:r w:rsidRPr="00441B04">
        <w:t>EX</w:t>
      </w:r>
      <w:r w:rsidR="00EA106C" w:rsidRPr="00EA106C">
        <w:rPr>
          <w:lang w:val="el-GR"/>
        </w:rPr>
        <w:t>-</w:t>
      </w:r>
      <w:r w:rsidRPr="00441B04">
        <w:t>LAX</w:t>
      </w:r>
      <w:r w:rsidR="00EA106C" w:rsidRPr="00EA106C">
        <w:rPr>
          <w:lang w:val="el-GR"/>
        </w:rPr>
        <w:t xml:space="preserve">, Επικαλυμμένο δισκίο 12 </w:t>
      </w:r>
      <w:r w:rsidRPr="00441B04">
        <w:rPr>
          <w:lang w:val="en-US"/>
        </w:rPr>
        <w:t>mg</w:t>
      </w:r>
      <w:r w:rsidR="00EA106C" w:rsidRPr="00EA106C">
        <w:rPr>
          <w:lang w:val="el-GR"/>
        </w:rPr>
        <w:t>/</w:t>
      </w:r>
      <w:r w:rsidR="004A4750">
        <w:rPr>
          <w:lang w:val="en-US"/>
        </w:rPr>
        <w:t>tab</w:t>
      </w:r>
    </w:p>
    <w:p w:rsidR="00BC039D" w:rsidRPr="00441B04" w:rsidRDefault="00BC039D" w:rsidP="003C46FB">
      <w:pPr>
        <w:pStyle w:val="a5"/>
        <w:tabs>
          <w:tab w:val="clear" w:pos="4819"/>
          <w:tab w:val="clear" w:pos="9071"/>
          <w:tab w:val="left" w:pos="5040"/>
        </w:tabs>
        <w:spacing w:before="24" w:after="24"/>
        <w:rPr>
          <w:szCs w:val="24"/>
          <w:lang w:val="el-GR"/>
        </w:rPr>
      </w:pPr>
    </w:p>
    <w:p w:rsidR="00F94A67" w:rsidRPr="00441B04" w:rsidRDefault="00F94A67" w:rsidP="00F94A67">
      <w:pPr>
        <w:jc w:val="both"/>
        <w:rPr>
          <w:b/>
          <w:color w:val="000000"/>
          <w:sz w:val="24"/>
          <w:szCs w:val="24"/>
        </w:rPr>
      </w:pPr>
      <w:r w:rsidRPr="00441B04">
        <w:rPr>
          <w:b/>
          <w:color w:val="000000"/>
          <w:sz w:val="24"/>
          <w:szCs w:val="24"/>
        </w:rPr>
        <w:t xml:space="preserve">2.      ΠΟΙΟΤΙΚΗ ΚΑΙ ΠΟΣΟΤΙΚΗ ΣΥΝΘΕΣΗ </w:t>
      </w:r>
    </w:p>
    <w:p w:rsidR="00C01452" w:rsidRPr="00720982" w:rsidRDefault="00C01452" w:rsidP="002B3778">
      <w:pPr>
        <w:pStyle w:val="Text"/>
        <w:ind w:left="0"/>
        <w:rPr>
          <w:lang w:val="el-GR"/>
        </w:rPr>
      </w:pPr>
      <w:bookmarkStart w:id="2" w:name="_Toc23134200"/>
    </w:p>
    <w:p w:rsidR="002B3778" w:rsidRPr="00C01452" w:rsidRDefault="002B3778" w:rsidP="002B3778">
      <w:pPr>
        <w:pStyle w:val="Text"/>
        <w:ind w:left="0"/>
        <w:rPr>
          <w:lang w:val="el-GR"/>
        </w:rPr>
      </w:pPr>
      <w:r w:rsidRPr="00C01452">
        <w:rPr>
          <w:lang w:val="el-GR"/>
        </w:rPr>
        <w:t xml:space="preserve">Εκχύλισμα </w:t>
      </w:r>
      <w:r w:rsidR="00A44AD8" w:rsidRPr="00C01452">
        <w:rPr>
          <w:lang w:val="el-GR"/>
        </w:rPr>
        <w:t xml:space="preserve">φύλλων </w:t>
      </w:r>
      <w:r w:rsidRPr="00C01452">
        <w:rPr>
          <w:lang w:val="el-GR"/>
        </w:rPr>
        <w:t xml:space="preserve">σέννας 20 </w:t>
      </w:r>
      <w:r w:rsidRPr="00441B04">
        <w:rPr>
          <w:lang w:val="en-US"/>
        </w:rPr>
        <w:t>mg</w:t>
      </w:r>
      <w:r w:rsidR="00A44AD8" w:rsidRPr="00C01452">
        <w:rPr>
          <w:lang w:val="el-GR"/>
        </w:rPr>
        <w:t xml:space="preserve"> (12 </w:t>
      </w:r>
      <w:r w:rsidR="00A44AD8">
        <w:t>mg</w:t>
      </w:r>
      <w:r w:rsidR="00A44AD8" w:rsidRPr="00C01452">
        <w:rPr>
          <w:lang w:val="el-GR"/>
        </w:rPr>
        <w:t xml:space="preserve"> </w:t>
      </w:r>
      <w:proofErr w:type="spellStart"/>
      <w:r w:rsidR="00A44AD8" w:rsidRPr="00C01452">
        <w:rPr>
          <w:lang w:val="el-GR"/>
        </w:rPr>
        <w:t>σεννοσιδών</w:t>
      </w:r>
      <w:proofErr w:type="spellEnd"/>
      <w:r w:rsidR="00A44AD8" w:rsidRPr="00C01452">
        <w:rPr>
          <w:lang w:val="el-GR"/>
        </w:rPr>
        <w:t xml:space="preserve"> Α+Β</w:t>
      </w:r>
      <w:r w:rsidRPr="00C01452">
        <w:rPr>
          <w:lang w:val="el-GR"/>
        </w:rPr>
        <w:t>)</w:t>
      </w:r>
      <w:r w:rsidRPr="00C01452">
        <w:rPr>
          <w:lang w:val="el-GR"/>
        </w:rPr>
        <w:tab/>
      </w:r>
    </w:p>
    <w:p w:rsidR="002B3778" w:rsidRPr="00720982" w:rsidRDefault="00EA106C" w:rsidP="002B3778">
      <w:pPr>
        <w:pStyle w:val="Text"/>
        <w:ind w:left="0"/>
        <w:rPr>
          <w:lang w:val="el-GR"/>
        </w:rPr>
      </w:pPr>
      <w:r w:rsidRPr="00EA106C">
        <w:rPr>
          <w:lang w:val="el-GR"/>
        </w:rPr>
        <w:t xml:space="preserve">Κάθε επικαλυμμένο δισκίο περιέχει 20 </w:t>
      </w:r>
      <w:r w:rsidR="002B3778" w:rsidRPr="00441B04">
        <w:rPr>
          <w:lang w:val="en-US"/>
        </w:rPr>
        <w:t>mg</w:t>
      </w:r>
      <w:r w:rsidRPr="00EA106C">
        <w:rPr>
          <w:lang w:val="el-GR"/>
        </w:rPr>
        <w:t xml:space="preserve"> εκχυλίσματος φύλλων σέννας που αντιστοιχούν σε 12 </w:t>
      </w:r>
      <w:r w:rsidR="002B3778" w:rsidRPr="00441B04">
        <w:rPr>
          <w:lang w:val="en-US"/>
        </w:rPr>
        <w:t>mg</w:t>
      </w:r>
      <w:r w:rsidRPr="00EA106C">
        <w:rPr>
          <w:lang w:val="el-GR"/>
        </w:rPr>
        <w:t xml:space="preserve"> </w:t>
      </w:r>
      <w:proofErr w:type="spellStart"/>
      <w:r w:rsidRPr="00EA106C">
        <w:rPr>
          <w:lang w:val="el-GR"/>
        </w:rPr>
        <w:t>γλυκοσιδών</w:t>
      </w:r>
      <w:proofErr w:type="spellEnd"/>
      <w:r w:rsidRPr="00EA106C">
        <w:rPr>
          <w:lang w:val="el-GR"/>
        </w:rPr>
        <w:t xml:space="preserve"> σέννας. </w:t>
      </w:r>
    </w:p>
    <w:p w:rsidR="002B3778" w:rsidRPr="00441B04" w:rsidRDefault="002B3778" w:rsidP="002B3778">
      <w:pPr>
        <w:rPr>
          <w:sz w:val="24"/>
          <w:szCs w:val="24"/>
        </w:rPr>
      </w:pPr>
    </w:p>
    <w:p w:rsidR="002B3778" w:rsidRPr="00441B04" w:rsidRDefault="002B3778" w:rsidP="002B3778">
      <w:pPr>
        <w:rPr>
          <w:sz w:val="24"/>
          <w:szCs w:val="24"/>
        </w:rPr>
      </w:pPr>
      <w:r w:rsidRPr="00441B04">
        <w:rPr>
          <w:sz w:val="24"/>
          <w:szCs w:val="24"/>
        </w:rPr>
        <w:t>Για τον πλήρη κατάλογο των εκδόχων, βλ. παράγραφο 6.1.</w:t>
      </w:r>
    </w:p>
    <w:bookmarkEnd w:id="2"/>
    <w:p w:rsidR="00BC039D" w:rsidRPr="00441B04" w:rsidRDefault="00BC039D">
      <w:pPr>
        <w:rPr>
          <w:sz w:val="24"/>
          <w:szCs w:val="24"/>
        </w:rPr>
      </w:pPr>
    </w:p>
    <w:p w:rsidR="00F94A67" w:rsidRPr="00441B04" w:rsidRDefault="00A44AD8" w:rsidP="00F94A67">
      <w:pPr>
        <w:jc w:val="both"/>
        <w:rPr>
          <w:b/>
          <w:color w:val="000000"/>
          <w:sz w:val="24"/>
          <w:szCs w:val="24"/>
        </w:rPr>
      </w:pPr>
      <w:r>
        <w:rPr>
          <w:b/>
          <w:color w:val="000000"/>
          <w:sz w:val="24"/>
          <w:szCs w:val="24"/>
        </w:rPr>
        <w:t>3.</w:t>
      </w:r>
      <w:r>
        <w:rPr>
          <w:b/>
          <w:color w:val="000000"/>
          <w:sz w:val="24"/>
          <w:szCs w:val="24"/>
        </w:rPr>
        <w:tab/>
      </w:r>
      <w:r w:rsidR="00F94A67" w:rsidRPr="00441B04">
        <w:rPr>
          <w:b/>
          <w:color w:val="000000"/>
          <w:sz w:val="24"/>
          <w:szCs w:val="24"/>
        </w:rPr>
        <w:t>ΦΑΡΜΑΚΕΥΤΙΚΗ  ΜΟΡΦΗ</w:t>
      </w:r>
    </w:p>
    <w:p w:rsidR="002B3778" w:rsidRPr="00441B04" w:rsidRDefault="002B3778" w:rsidP="00B77D1E">
      <w:pPr>
        <w:tabs>
          <w:tab w:val="left" w:pos="709"/>
        </w:tabs>
        <w:rPr>
          <w:sz w:val="24"/>
          <w:szCs w:val="24"/>
        </w:rPr>
      </w:pPr>
      <w:r w:rsidRPr="00441B04">
        <w:rPr>
          <w:sz w:val="24"/>
          <w:szCs w:val="24"/>
          <w:lang w:val="en-US"/>
        </w:rPr>
        <w:t>E</w:t>
      </w:r>
      <w:proofErr w:type="spellStart"/>
      <w:r w:rsidRPr="00441B04">
        <w:rPr>
          <w:sz w:val="24"/>
          <w:szCs w:val="24"/>
        </w:rPr>
        <w:t>πικαλυμμένα</w:t>
      </w:r>
      <w:proofErr w:type="spellEnd"/>
      <w:r w:rsidRPr="00441B04">
        <w:rPr>
          <w:sz w:val="24"/>
          <w:szCs w:val="24"/>
        </w:rPr>
        <w:t xml:space="preserve"> δισκία </w:t>
      </w:r>
    </w:p>
    <w:p w:rsidR="00E0396E" w:rsidRPr="00A44AD8" w:rsidRDefault="00E0396E">
      <w:pPr>
        <w:tabs>
          <w:tab w:val="left" w:pos="709"/>
        </w:tabs>
        <w:rPr>
          <w:sz w:val="24"/>
          <w:szCs w:val="24"/>
        </w:rPr>
      </w:pPr>
    </w:p>
    <w:p w:rsidR="00F94A67" w:rsidRPr="00441B04" w:rsidRDefault="00F94A67" w:rsidP="00F94A67">
      <w:pPr>
        <w:jc w:val="both"/>
        <w:rPr>
          <w:b/>
          <w:color w:val="000000"/>
          <w:sz w:val="24"/>
          <w:szCs w:val="24"/>
        </w:rPr>
      </w:pPr>
      <w:r w:rsidRPr="00441B04">
        <w:rPr>
          <w:b/>
          <w:color w:val="000000"/>
          <w:sz w:val="24"/>
          <w:szCs w:val="24"/>
        </w:rPr>
        <w:t>4.</w:t>
      </w:r>
      <w:r w:rsidRPr="00441B04">
        <w:rPr>
          <w:b/>
          <w:color w:val="000000"/>
          <w:sz w:val="24"/>
          <w:szCs w:val="24"/>
        </w:rPr>
        <w:tab/>
        <w:t xml:space="preserve">ΚΛΙΝΙΚΕΣ ΠΛΗΡΟΦΟΡΙΕΣ </w:t>
      </w:r>
    </w:p>
    <w:p w:rsidR="00F94A67" w:rsidRPr="00441B04" w:rsidRDefault="00F94A67" w:rsidP="00F94A67">
      <w:pPr>
        <w:jc w:val="both"/>
        <w:rPr>
          <w:b/>
          <w:color w:val="000000"/>
          <w:sz w:val="24"/>
          <w:szCs w:val="24"/>
        </w:rPr>
      </w:pPr>
    </w:p>
    <w:p w:rsidR="00F94A67" w:rsidRPr="00441B04" w:rsidRDefault="00A44AD8" w:rsidP="00F94A67">
      <w:pPr>
        <w:jc w:val="both"/>
        <w:rPr>
          <w:b/>
          <w:color w:val="000000"/>
          <w:sz w:val="24"/>
          <w:szCs w:val="24"/>
        </w:rPr>
      </w:pPr>
      <w:r>
        <w:rPr>
          <w:b/>
          <w:color w:val="000000"/>
          <w:sz w:val="24"/>
          <w:szCs w:val="24"/>
        </w:rPr>
        <w:t>4.1.</w:t>
      </w:r>
      <w:r w:rsidR="00F94A67" w:rsidRPr="00441B04">
        <w:rPr>
          <w:b/>
          <w:color w:val="000000"/>
          <w:sz w:val="24"/>
          <w:szCs w:val="24"/>
        </w:rPr>
        <w:tab/>
        <w:t>Θεραπευτικές ενδείξεις</w:t>
      </w:r>
    </w:p>
    <w:p w:rsidR="00E324C5" w:rsidRPr="00441B04" w:rsidRDefault="00E324C5" w:rsidP="00F94A67">
      <w:pPr>
        <w:jc w:val="both"/>
        <w:rPr>
          <w:b/>
          <w:color w:val="000000"/>
          <w:sz w:val="24"/>
          <w:szCs w:val="24"/>
        </w:rPr>
      </w:pPr>
    </w:p>
    <w:p w:rsidR="00E324C5" w:rsidRPr="00441B04" w:rsidRDefault="00E324C5" w:rsidP="00E324C5">
      <w:pPr>
        <w:pStyle w:val="Default"/>
        <w:rPr>
          <w:rFonts w:ascii="Times New Roman" w:eastAsia="Times New Roman" w:hAnsi="Times New Roman" w:cs="Times New Roman"/>
        </w:rPr>
      </w:pPr>
      <w:r w:rsidRPr="00441B04">
        <w:rPr>
          <w:rFonts w:ascii="Times New Roman" w:hAnsi="Times New Roman" w:cs="Times New Roman"/>
        </w:rPr>
        <w:t>Φ</w:t>
      </w:r>
      <w:r w:rsidRPr="00441B04">
        <w:rPr>
          <w:rFonts w:ascii="Times New Roman" w:eastAsia="Times New Roman" w:hAnsi="Times New Roman" w:cs="Times New Roman"/>
        </w:rPr>
        <w:t xml:space="preserve">αρμακευτικό προϊόν φυτικής προέλευσης για </w:t>
      </w:r>
      <w:r w:rsidR="00386347" w:rsidRPr="00441B04">
        <w:rPr>
          <w:rFonts w:ascii="Times New Roman" w:eastAsia="Times New Roman" w:hAnsi="Times New Roman" w:cs="Times New Roman"/>
        </w:rPr>
        <w:t xml:space="preserve">βραχυχρόνια </w:t>
      </w:r>
      <w:r w:rsidRPr="00441B04">
        <w:rPr>
          <w:rFonts w:ascii="Times New Roman" w:eastAsia="Times New Roman" w:hAnsi="Times New Roman" w:cs="Times New Roman"/>
        </w:rPr>
        <w:t xml:space="preserve">χρήση σε περιπτώσεις περιστασιακής δυσκοιλιότητας </w:t>
      </w:r>
    </w:p>
    <w:p w:rsidR="00BC039D" w:rsidRPr="00441B04" w:rsidRDefault="00BC039D">
      <w:pPr>
        <w:rPr>
          <w:sz w:val="24"/>
          <w:szCs w:val="24"/>
        </w:rPr>
      </w:pPr>
    </w:p>
    <w:p w:rsidR="00F94A67" w:rsidRPr="00720982" w:rsidRDefault="00EA106C" w:rsidP="00F94A67">
      <w:pPr>
        <w:pStyle w:val="2"/>
        <w:jc w:val="both"/>
        <w:rPr>
          <w:lang w:val="el-GR"/>
        </w:rPr>
      </w:pPr>
      <w:r w:rsidRPr="00EA106C">
        <w:rPr>
          <w:caps/>
          <w:lang w:val="el-GR"/>
        </w:rPr>
        <w:t>4.2.</w:t>
      </w:r>
      <w:r w:rsidRPr="00EA106C">
        <w:rPr>
          <w:caps/>
          <w:lang w:val="el-GR"/>
        </w:rPr>
        <w:tab/>
      </w:r>
      <w:r w:rsidRPr="00EA106C">
        <w:rPr>
          <w:lang w:val="el-GR"/>
        </w:rPr>
        <w:t>Δοσολογία και τρόπος χορήγησης</w:t>
      </w:r>
    </w:p>
    <w:p w:rsidR="00972A85" w:rsidRPr="00441B04" w:rsidRDefault="00972A85" w:rsidP="00972A85">
      <w:pPr>
        <w:pStyle w:val="Default"/>
        <w:rPr>
          <w:rFonts w:ascii="Times New Roman" w:hAnsi="Times New Roman" w:cs="Times New Roman"/>
        </w:rPr>
      </w:pPr>
    </w:p>
    <w:p w:rsidR="00B2760F" w:rsidRPr="00441B04" w:rsidRDefault="00B2760F" w:rsidP="00B2760F">
      <w:pPr>
        <w:pStyle w:val="Default"/>
        <w:jc w:val="both"/>
        <w:rPr>
          <w:rFonts w:ascii="Times New Roman" w:eastAsia="Times New Roman" w:hAnsi="Times New Roman" w:cs="Times New Roman"/>
          <w:b/>
          <w:bCs/>
        </w:rPr>
      </w:pPr>
      <w:r w:rsidRPr="00441B04">
        <w:rPr>
          <w:rFonts w:ascii="Times New Roman" w:eastAsia="Times New Roman" w:hAnsi="Times New Roman" w:cs="Times New Roman"/>
          <w:b/>
          <w:bCs/>
        </w:rPr>
        <w:t>Δοσολογία</w:t>
      </w:r>
    </w:p>
    <w:p w:rsidR="00B2760F" w:rsidRPr="00441B04" w:rsidRDefault="00B2760F" w:rsidP="006B1613">
      <w:pPr>
        <w:jc w:val="both"/>
        <w:rPr>
          <w:bCs/>
          <w:sz w:val="24"/>
          <w:szCs w:val="24"/>
        </w:rPr>
      </w:pPr>
      <w:r w:rsidRPr="00441B04">
        <w:rPr>
          <w:bCs/>
          <w:sz w:val="24"/>
          <w:szCs w:val="24"/>
        </w:rPr>
        <w:t xml:space="preserve">Η μέγιστη ημερήσια δόση </w:t>
      </w:r>
      <w:proofErr w:type="spellStart"/>
      <w:r w:rsidRPr="00441B04">
        <w:rPr>
          <w:bCs/>
          <w:sz w:val="24"/>
          <w:szCs w:val="24"/>
        </w:rPr>
        <w:t>γλυκοσιδών</w:t>
      </w:r>
      <w:proofErr w:type="spellEnd"/>
      <w:r w:rsidRPr="00441B04">
        <w:rPr>
          <w:bCs/>
          <w:sz w:val="24"/>
          <w:szCs w:val="24"/>
        </w:rPr>
        <w:t xml:space="preserve"> </w:t>
      </w:r>
      <w:proofErr w:type="spellStart"/>
      <w:r w:rsidR="00294483" w:rsidRPr="00441B04">
        <w:rPr>
          <w:bCs/>
          <w:sz w:val="24"/>
          <w:szCs w:val="24"/>
        </w:rPr>
        <w:t>υδροξυανθρακενίων</w:t>
      </w:r>
      <w:proofErr w:type="spellEnd"/>
      <w:r w:rsidR="00294483" w:rsidRPr="00441B04">
        <w:rPr>
          <w:bCs/>
          <w:sz w:val="24"/>
          <w:szCs w:val="24"/>
        </w:rPr>
        <w:t xml:space="preserve"> </w:t>
      </w:r>
      <w:r w:rsidRPr="00441B04">
        <w:rPr>
          <w:bCs/>
          <w:sz w:val="24"/>
          <w:szCs w:val="24"/>
        </w:rPr>
        <w:t>είναι 30 mg.</w:t>
      </w:r>
    </w:p>
    <w:p w:rsidR="00B2760F" w:rsidRPr="00441B04" w:rsidRDefault="00B2760F" w:rsidP="00B2760F">
      <w:pPr>
        <w:pStyle w:val="Default"/>
        <w:jc w:val="both"/>
        <w:rPr>
          <w:rFonts w:ascii="Times New Roman" w:hAnsi="Times New Roman" w:cs="Times New Roman"/>
        </w:rPr>
      </w:pPr>
    </w:p>
    <w:p w:rsidR="00B2760F" w:rsidRPr="00441B04" w:rsidRDefault="00B2760F" w:rsidP="006B1613">
      <w:pPr>
        <w:jc w:val="both"/>
        <w:rPr>
          <w:bCs/>
          <w:sz w:val="24"/>
          <w:szCs w:val="24"/>
        </w:rPr>
      </w:pPr>
      <w:r w:rsidRPr="00441B04">
        <w:rPr>
          <w:bCs/>
          <w:sz w:val="24"/>
          <w:szCs w:val="24"/>
        </w:rPr>
        <w:t>Η σωστή ατομική δόση είναι η χαμηλότερη πο</w:t>
      </w:r>
      <w:r w:rsidR="00A44AD8">
        <w:rPr>
          <w:bCs/>
          <w:sz w:val="24"/>
          <w:szCs w:val="24"/>
        </w:rPr>
        <w:t>υ απαιτείται για να προκληθεί μί</w:t>
      </w:r>
      <w:r w:rsidRPr="00441B04">
        <w:rPr>
          <w:bCs/>
          <w:sz w:val="24"/>
          <w:szCs w:val="24"/>
        </w:rPr>
        <w:t>α άνετη, μαλακή κένωση.</w:t>
      </w:r>
    </w:p>
    <w:p w:rsidR="00B2760F" w:rsidRPr="00441B04" w:rsidRDefault="00B2760F" w:rsidP="00B2760F">
      <w:pPr>
        <w:pStyle w:val="Default"/>
        <w:jc w:val="both"/>
        <w:rPr>
          <w:rFonts w:ascii="Times New Roman" w:hAnsi="Times New Roman" w:cs="Times New Roman"/>
          <w:i/>
          <w:color w:val="auto"/>
        </w:rPr>
      </w:pPr>
    </w:p>
    <w:p w:rsidR="00B2760F" w:rsidRPr="00441B04" w:rsidRDefault="00B2760F" w:rsidP="00B2760F">
      <w:pPr>
        <w:pStyle w:val="Default"/>
        <w:jc w:val="both"/>
        <w:rPr>
          <w:rFonts w:ascii="Times New Roman" w:hAnsi="Times New Roman" w:cs="Times New Roman"/>
          <w:color w:val="auto"/>
        </w:rPr>
      </w:pPr>
      <w:r w:rsidRPr="00441B04">
        <w:rPr>
          <w:rFonts w:ascii="Times New Roman" w:hAnsi="Times New Roman" w:cs="Times New Roman"/>
          <w:color w:val="auto"/>
        </w:rPr>
        <w:t>Έφηβοι άνω των 12 ετών, ενήλικες, ηλικιωμένοι: 1-2 δισκία, που λαμβάνοντα</w:t>
      </w:r>
      <w:r w:rsidR="0061077A">
        <w:rPr>
          <w:rFonts w:ascii="Times New Roman" w:hAnsi="Times New Roman" w:cs="Times New Roman"/>
          <w:color w:val="auto"/>
        </w:rPr>
        <w:t>ι μία φορά την ημέρα, το βράδυ.</w:t>
      </w:r>
      <w:r w:rsidRPr="00441B04">
        <w:rPr>
          <w:rFonts w:ascii="Times New Roman" w:hAnsi="Times New Roman" w:cs="Times New Roman"/>
          <w:color w:val="auto"/>
        </w:rPr>
        <w:t xml:space="preserve"> Η λήψη αυτού του φαρμακευτικού προϊόντος το πολύ δύο έως τρεις φορές την εβδομάδα είναι επαρκής.</w:t>
      </w:r>
    </w:p>
    <w:p w:rsidR="00B2760F" w:rsidRPr="00441B04" w:rsidRDefault="00B2760F" w:rsidP="00B2760F">
      <w:pPr>
        <w:pStyle w:val="Default"/>
        <w:jc w:val="both"/>
        <w:rPr>
          <w:rFonts w:ascii="Times New Roman" w:hAnsi="Times New Roman" w:cs="Times New Roman"/>
          <w:color w:val="auto"/>
        </w:rPr>
      </w:pPr>
    </w:p>
    <w:p w:rsidR="00B2760F" w:rsidRPr="00441B04" w:rsidRDefault="00B2760F" w:rsidP="00B2760F">
      <w:pPr>
        <w:pStyle w:val="Default"/>
        <w:jc w:val="both"/>
        <w:rPr>
          <w:rFonts w:ascii="Times New Roman" w:hAnsi="Times New Roman" w:cs="Times New Roman"/>
          <w:color w:val="auto"/>
        </w:rPr>
      </w:pPr>
      <w:r w:rsidRPr="00441B04">
        <w:rPr>
          <w:rFonts w:ascii="Times New Roman" w:hAnsi="Times New Roman" w:cs="Times New Roman"/>
          <w:color w:val="auto"/>
        </w:rPr>
        <w:t>Δε συνιστάται να χρησιμοποιείται σε παιδιά κάτω των 12 ετών (ανατρέξτε στην παράγραφο 4.3. Αντενδείξεις).</w:t>
      </w:r>
    </w:p>
    <w:p w:rsidR="006B1613" w:rsidRPr="00441B04" w:rsidRDefault="006B1613" w:rsidP="006B1613">
      <w:pPr>
        <w:jc w:val="both"/>
        <w:rPr>
          <w:color w:val="000000"/>
          <w:sz w:val="24"/>
          <w:szCs w:val="24"/>
          <w:lang w:eastAsia="ja-JP"/>
        </w:rPr>
      </w:pPr>
    </w:p>
    <w:p w:rsidR="00B2760F" w:rsidRPr="00441B04" w:rsidRDefault="00B2760F" w:rsidP="006B1613">
      <w:pPr>
        <w:jc w:val="both"/>
        <w:rPr>
          <w:sz w:val="24"/>
          <w:szCs w:val="24"/>
        </w:rPr>
      </w:pPr>
      <w:r w:rsidRPr="00441B04">
        <w:rPr>
          <w:sz w:val="24"/>
          <w:szCs w:val="24"/>
        </w:rPr>
        <w:t>Η φαρμακοτεχνική μορφή πρέπει να επιτρέπει μικρότερες δόσεις.</w:t>
      </w:r>
    </w:p>
    <w:p w:rsidR="00B2760F" w:rsidRPr="00441B04" w:rsidRDefault="00B2760F" w:rsidP="00B2760F">
      <w:pPr>
        <w:pStyle w:val="Default"/>
        <w:rPr>
          <w:rFonts w:ascii="Times New Roman" w:hAnsi="Times New Roman" w:cs="Times New Roman"/>
        </w:rPr>
      </w:pPr>
    </w:p>
    <w:p w:rsidR="00B2760F" w:rsidRPr="00441B04" w:rsidRDefault="00B2760F" w:rsidP="00B2760F">
      <w:pPr>
        <w:pStyle w:val="Default"/>
        <w:jc w:val="both"/>
        <w:rPr>
          <w:rFonts w:ascii="Times New Roman" w:eastAsia="Times New Roman" w:hAnsi="Times New Roman" w:cs="Times New Roman"/>
          <w:b/>
          <w:bCs/>
        </w:rPr>
      </w:pPr>
      <w:r w:rsidRPr="00441B04">
        <w:rPr>
          <w:rFonts w:ascii="Times New Roman" w:eastAsia="Times New Roman" w:hAnsi="Times New Roman" w:cs="Times New Roman"/>
          <w:b/>
          <w:bCs/>
        </w:rPr>
        <w:t>Τρόπος χορήγησης</w:t>
      </w:r>
    </w:p>
    <w:p w:rsidR="00B2760F" w:rsidRPr="00441B04" w:rsidRDefault="00B2760F" w:rsidP="00B2760F">
      <w:pPr>
        <w:pStyle w:val="Default"/>
        <w:jc w:val="both"/>
        <w:rPr>
          <w:rFonts w:ascii="Times New Roman" w:hAnsi="Times New Roman" w:cs="Times New Roman"/>
        </w:rPr>
      </w:pPr>
    </w:p>
    <w:p w:rsidR="00B2760F" w:rsidRPr="00441B04" w:rsidRDefault="00B2760F" w:rsidP="00B2760F">
      <w:pPr>
        <w:pStyle w:val="Default"/>
        <w:rPr>
          <w:rFonts w:ascii="Times New Roman" w:eastAsia="Times New Roman" w:hAnsi="Times New Roman" w:cs="Times New Roman"/>
        </w:rPr>
      </w:pPr>
      <w:r w:rsidRPr="00441B04">
        <w:rPr>
          <w:rFonts w:ascii="Times New Roman" w:eastAsia="Times New Roman" w:hAnsi="Times New Roman" w:cs="Times New Roman"/>
        </w:rPr>
        <w:t>Δισ</w:t>
      </w:r>
      <w:r w:rsidR="00245765">
        <w:rPr>
          <w:rFonts w:ascii="Times New Roman" w:eastAsia="Times New Roman" w:hAnsi="Times New Roman" w:cs="Times New Roman"/>
        </w:rPr>
        <w:t xml:space="preserve">κία για χορήγηση από το στόμα. </w:t>
      </w:r>
      <w:r w:rsidRPr="00441B04">
        <w:rPr>
          <w:rFonts w:ascii="Times New Roman" w:eastAsia="Times New Roman" w:hAnsi="Times New Roman" w:cs="Times New Roman"/>
        </w:rPr>
        <w:t xml:space="preserve">Τα επικαλυμμένα δισκία είναι καλύτερα να λαμβάνονται ως εφάπαξ δόση, με ένα ποτήρι νερό, </w:t>
      </w:r>
      <w:r w:rsidRPr="00441B04">
        <w:rPr>
          <w:rFonts w:ascii="Times New Roman" w:hAnsi="Times New Roman" w:cs="Times New Roman"/>
          <w:bCs/>
        </w:rPr>
        <w:t>πριν από την κατάκλιση.</w:t>
      </w:r>
    </w:p>
    <w:p w:rsidR="00B2760F" w:rsidRPr="00441B04" w:rsidRDefault="00B2760F" w:rsidP="00B2760F">
      <w:pPr>
        <w:pStyle w:val="Default"/>
        <w:rPr>
          <w:rFonts w:ascii="Times New Roman" w:hAnsi="Times New Roman" w:cs="Times New Roman"/>
        </w:rPr>
      </w:pPr>
    </w:p>
    <w:p w:rsidR="00B2760F" w:rsidRPr="00441B04" w:rsidRDefault="00B2760F" w:rsidP="00B2760F">
      <w:pPr>
        <w:pStyle w:val="Default"/>
        <w:jc w:val="both"/>
        <w:rPr>
          <w:rFonts w:ascii="Times New Roman" w:eastAsia="Times New Roman" w:hAnsi="Times New Roman" w:cs="Times New Roman"/>
          <w:b/>
          <w:bCs/>
        </w:rPr>
      </w:pPr>
      <w:r w:rsidRPr="00441B04">
        <w:rPr>
          <w:rFonts w:ascii="Times New Roman" w:eastAsia="Times New Roman" w:hAnsi="Times New Roman" w:cs="Times New Roman"/>
          <w:b/>
          <w:bCs/>
        </w:rPr>
        <w:t>Διάρκεια χρήσης</w:t>
      </w:r>
    </w:p>
    <w:p w:rsidR="00B2760F" w:rsidRPr="00441B04" w:rsidRDefault="00B2760F" w:rsidP="00B2760F">
      <w:pPr>
        <w:pStyle w:val="Default"/>
        <w:jc w:val="both"/>
        <w:rPr>
          <w:rFonts w:ascii="Times New Roman" w:eastAsia="Times New Roman" w:hAnsi="Times New Roman" w:cs="Times New Roman"/>
        </w:rPr>
      </w:pPr>
      <w:r w:rsidRPr="00441B04">
        <w:rPr>
          <w:rFonts w:ascii="Times New Roman" w:eastAsia="Times New Roman" w:hAnsi="Times New Roman" w:cs="Times New Roman"/>
        </w:rPr>
        <w:t xml:space="preserve">Η χρήση για </w:t>
      </w:r>
      <w:r w:rsidR="00667A91" w:rsidRPr="00441B04">
        <w:rPr>
          <w:rFonts w:ascii="Times New Roman" w:eastAsia="Times New Roman" w:hAnsi="Times New Roman" w:cs="Times New Roman"/>
        </w:rPr>
        <w:t xml:space="preserve">μεγαλύτερο διάστημα της </w:t>
      </w:r>
      <w:r w:rsidRPr="00441B04">
        <w:rPr>
          <w:rFonts w:ascii="Times New Roman" w:eastAsia="Times New Roman" w:hAnsi="Times New Roman" w:cs="Times New Roman"/>
        </w:rPr>
        <w:t>1 εβδομάδ</w:t>
      </w:r>
      <w:r w:rsidR="00352CAD" w:rsidRPr="00441B04">
        <w:rPr>
          <w:rFonts w:ascii="Times New Roman" w:eastAsia="Times New Roman" w:hAnsi="Times New Roman" w:cs="Times New Roman"/>
        </w:rPr>
        <w:t>α</w:t>
      </w:r>
      <w:r w:rsidR="00667A91" w:rsidRPr="00441B04">
        <w:rPr>
          <w:rFonts w:ascii="Times New Roman" w:eastAsia="Times New Roman" w:hAnsi="Times New Roman" w:cs="Times New Roman"/>
        </w:rPr>
        <w:t>ς</w:t>
      </w:r>
      <w:r w:rsidRPr="00441B04">
        <w:rPr>
          <w:rFonts w:ascii="Times New Roman" w:eastAsia="Times New Roman" w:hAnsi="Times New Roman" w:cs="Times New Roman"/>
        </w:rPr>
        <w:t xml:space="preserve"> απαιτεί ιατρική επίβλεψη. </w:t>
      </w:r>
    </w:p>
    <w:p w:rsidR="00B2760F" w:rsidRPr="00441B04" w:rsidRDefault="00B2760F" w:rsidP="00B2760F">
      <w:pPr>
        <w:pStyle w:val="Default"/>
        <w:jc w:val="both"/>
        <w:rPr>
          <w:rFonts w:ascii="Times New Roman" w:eastAsia="Times New Roman" w:hAnsi="Times New Roman" w:cs="Times New Roman"/>
        </w:rPr>
      </w:pPr>
      <w:r w:rsidRPr="00441B04">
        <w:rPr>
          <w:rFonts w:ascii="Times New Roman" w:eastAsia="Times New Roman" w:hAnsi="Times New Roman" w:cs="Times New Roman"/>
        </w:rPr>
        <w:t xml:space="preserve">Αν τα συμπτώματα επιμένουν κατά τη διάρκεια της χρήσης του φαρμακευτικού προϊόντος, θα πρέπει να ζητηθεί συμβουλή από ένα γιατρό ή φαρμακοποιό. </w:t>
      </w:r>
    </w:p>
    <w:p w:rsidR="00B2760F" w:rsidRPr="00441B04" w:rsidRDefault="00B2760F" w:rsidP="00B2760F">
      <w:pPr>
        <w:pStyle w:val="Default"/>
        <w:rPr>
          <w:rFonts w:ascii="Times New Roman" w:eastAsia="Times New Roman" w:hAnsi="Times New Roman" w:cs="Times New Roman"/>
        </w:rPr>
      </w:pPr>
      <w:r w:rsidRPr="00441B04">
        <w:rPr>
          <w:rFonts w:ascii="Times New Roman" w:eastAsia="Times New Roman" w:hAnsi="Times New Roman" w:cs="Times New Roman"/>
        </w:rPr>
        <w:lastRenderedPageBreak/>
        <w:t>Ανατρέξτε επίσης στην παράγραφο 4.4</w:t>
      </w:r>
      <w:r w:rsidR="00A44AD8">
        <w:rPr>
          <w:rFonts w:ascii="Times New Roman" w:eastAsia="Times New Roman" w:hAnsi="Times New Roman" w:cs="Times New Roman"/>
        </w:rPr>
        <w:t>.</w:t>
      </w:r>
      <w:r w:rsidRPr="00441B04">
        <w:rPr>
          <w:rFonts w:ascii="Times New Roman" w:eastAsia="Times New Roman" w:hAnsi="Times New Roman" w:cs="Times New Roman"/>
        </w:rPr>
        <w:t xml:space="preserve"> Ειδικές προειδοποιήσεις και προφυλάξεις κατά τη χρήση. </w:t>
      </w:r>
    </w:p>
    <w:p w:rsidR="00972A85" w:rsidRPr="00720982" w:rsidRDefault="00972A85" w:rsidP="00972A85">
      <w:pPr>
        <w:pStyle w:val="Text"/>
        <w:rPr>
          <w:lang w:val="el-GR"/>
        </w:rPr>
      </w:pPr>
    </w:p>
    <w:p w:rsidR="00005939" w:rsidRPr="00A44AD8" w:rsidRDefault="00EA106C" w:rsidP="00005939">
      <w:pPr>
        <w:pStyle w:val="2"/>
        <w:rPr>
          <w:lang w:val="el-GR"/>
        </w:rPr>
      </w:pPr>
      <w:bookmarkStart w:id="3" w:name="_Toc192569389"/>
      <w:r w:rsidRPr="00EA106C">
        <w:rPr>
          <w:caps/>
          <w:lang w:val="el-GR"/>
        </w:rPr>
        <w:t>4.3.       Α</w:t>
      </w:r>
      <w:r w:rsidRPr="00EA106C">
        <w:rPr>
          <w:lang w:val="el-GR"/>
        </w:rPr>
        <w:t>ντενδείξεις</w:t>
      </w:r>
      <w:bookmarkEnd w:id="3"/>
    </w:p>
    <w:p w:rsidR="0091085B" w:rsidRPr="0091085B" w:rsidRDefault="0091085B" w:rsidP="0091085B">
      <w:pPr>
        <w:jc w:val="both"/>
        <w:rPr>
          <w:sz w:val="24"/>
          <w:szCs w:val="24"/>
        </w:rPr>
      </w:pPr>
      <w:r w:rsidRPr="0091085B">
        <w:rPr>
          <w:sz w:val="24"/>
          <w:szCs w:val="24"/>
        </w:rPr>
        <w:t>Γνωστή υπερευαισθησία στη δραστική ουσία.</w:t>
      </w:r>
    </w:p>
    <w:p w:rsidR="009B0152" w:rsidRPr="00441B04" w:rsidRDefault="009B0152" w:rsidP="009B0152">
      <w:pPr>
        <w:pStyle w:val="Default"/>
        <w:rPr>
          <w:rFonts w:ascii="Times New Roman" w:eastAsia="Times New Roman" w:hAnsi="Times New Roman" w:cs="Times New Roman"/>
        </w:rPr>
      </w:pPr>
      <w:r w:rsidRPr="00441B04">
        <w:rPr>
          <w:rFonts w:ascii="Times New Roman" w:eastAsia="Times New Roman" w:hAnsi="Times New Roman" w:cs="Times New Roman"/>
        </w:rPr>
        <w:t xml:space="preserve">Περιπτώσεις εντερικής απόφραξης και στένωσης, ατονία, σκωληκοειδίτιδα, φλεγμονώδης νόσος του εντέρου (π.χ. νόσος του </w:t>
      </w:r>
      <w:proofErr w:type="spellStart"/>
      <w:r w:rsidRPr="00441B04">
        <w:rPr>
          <w:rFonts w:ascii="Times New Roman" w:eastAsia="Times New Roman" w:hAnsi="Times New Roman" w:cs="Times New Roman"/>
        </w:rPr>
        <w:t>Crohn</w:t>
      </w:r>
      <w:proofErr w:type="spellEnd"/>
      <w:r w:rsidRPr="00441B04">
        <w:rPr>
          <w:rFonts w:ascii="Times New Roman" w:eastAsia="Times New Roman" w:hAnsi="Times New Roman" w:cs="Times New Roman"/>
        </w:rPr>
        <w:t>, ελκώδης κολίτιδα), κοιλιακό άλγος άγνωστης αιτιολογίας, σοβαρή αφυδάτωση με έλλειψη ύδατος και</w:t>
      </w:r>
      <w:r w:rsidR="0091085B">
        <w:rPr>
          <w:rFonts w:ascii="Times New Roman" w:eastAsia="Times New Roman" w:hAnsi="Times New Roman" w:cs="Times New Roman"/>
        </w:rPr>
        <w:t xml:space="preserve"> </w:t>
      </w:r>
      <w:r w:rsidRPr="00441B04">
        <w:rPr>
          <w:rFonts w:ascii="Times New Roman" w:eastAsia="Times New Roman" w:hAnsi="Times New Roman" w:cs="Times New Roman"/>
        </w:rPr>
        <w:t xml:space="preserve">ηλεκτρολυτών. </w:t>
      </w:r>
    </w:p>
    <w:p w:rsidR="009B0152" w:rsidRPr="00441B04" w:rsidRDefault="009B0152" w:rsidP="009B0152">
      <w:pPr>
        <w:pStyle w:val="Default"/>
        <w:rPr>
          <w:rFonts w:ascii="Times New Roman" w:hAnsi="Times New Roman" w:cs="Times New Roman"/>
        </w:rPr>
      </w:pPr>
    </w:p>
    <w:p w:rsidR="009B0152" w:rsidRPr="004455EC" w:rsidRDefault="009B0152" w:rsidP="009B0152">
      <w:pPr>
        <w:pStyle w:val="Default"/>
        <w:rPr>
          <w:rFonts w:ascii="Times New Roman" w:eastAsia="Times New Roman" w:hAnsi="Times New Roman" w:cs="Times New Roman"/>
        </w:rPr>
      </w:pPr>
      <w:r w:rsidRPr="00441B04">
        <w:rPr>
          <w:rFonts w:ascii="Times New Roman" w:eastAsia="Times New Roman" w:hAnsi="Times New Roman" w:cs="Times New Roman"/>
        </w:rPr>
        <w:t>Παιδιά κάτω των 12 ετών</w:t>
      </w:r>
      <w:r w:rsidR="004455EC">
        <w:rPr>
          <w:rFonts w:ascii="Times New Roman" w:eastAsia="Times New Roman" w:hAnsi="Times New Roman" w:cs="Times New Roman"/>
        </w:rPr>
        <w:t>.</w:t>
      </w:r>
      <w:r w:rsidRPr="004455EC">
        <w:rPr>
          <w:rFonts w:ascii="Times New Roman" w:eastAsia="Times New Roman" w:hAnsi="Times New Roman" w:cs="Times New Roman"/>
        </w:rPr>
        <w:t xml:space="preserve"> </w:t>
      </w:r>
    </w:p>
    <w:p w:rsidR="009B0152" w:rsidRPr="004455EC" w:rsidRDefault="009B0152" w:rsidP="009B0152">
      <w:pPr>
        <w:pStyle w:val="Text"/>
        <w:rPr>
          <w:lang w:val="el-GR"/>
        </w:rPr>
      </w:pPr>
    </w:p>
    <w:p w:rsidR="00F94A67" w:rsidRPr="00720982" w:rsidRDefault="00EA106C" w:rsidP="005A1F33">
      <w:pPr>
        <w:pStyle w:val="2"/>
        <w:numPr>
          <w:ilvl w:val="1"/>
          <w:numId w:val="11"/>
        </w:numPr>
        <w:jc w:val="both"/>
        <w:rPr>
          <w:lang w:val="el-GR"/>
        </w:rPr>
      </w:pPr>
      <w:r w:rsidRPr="001369BB">
        <w:rPr>
          <w:lang w:val="el-GR"/>
        </w:rPr>
        <w:t xml:space="preserve">Ειδικές </w:t>
      </w:r>
      <w:r w:rsidRPr="00EA106C">
        <w:rPr>
          <w:lang w:val="el-GR"/>
        </w:rPr>
        <w:t>προειδοποιήσεις και ιδιαίτερες προφυλάξεις κατά τη χρήση</w:t>
      </w:r>
    </w:p>
    <w:p w:rsidR="00973587" w:rsidRPr="00720982" w:rsidRDefault="00EA106C" w:rsidP="00973587">
      <w:pPr>
        <w:pStyle w:val="Text"/>
        <w:ind w:left="0"/>
        <w:rPr>
          <w:color w:val="000000"/>
          <w:lang w:val="el-GR" w:eastAsia="ja-JP"/>
        </w:rPr>
      </w:pPr>
      <w:r w:rsidRPr="00EA106C">
        <w:rPr>
          <w:color w:val="000000"/>
          <w:lang w:val="el-GR" w:eastAsia="ja-JP"/>
        </w:rPr>
        <w:t>Δεν πρέπει να υπερβαίνεται η συνιστώμενη δόση.</w:t>
      </w:r>
    </w:p>
    <w:p w:rsidR="00973587" w:rsidRPr="00720982" w:rsidRDefault="00EA106C" w:rsidP="00973587">
      <w:pPr>
        <w:pStyle w:val="Text"/>
        <w:ind w:left="0"/>
        <w:rPr>
          <w:color w:val="000000"/>
          <w:lang w:val="el-GR" w:eastAsia="ja-JP"/>
        </w:rPr>
      </w:pPr>
      <w:r w:rsidRPr="00EA106C">
        <w:rPr>
          <w:color w:val="000000"/>
          <w:lang w:val="el-GR" w:eastAsia="ja-JP"/>
        </w:rPr>
        <w:t>Συνιστάται η χαμηλότερη αποτελεσματική δόση για την αποκατάσταση της φυσιολογικής λειτουργίας του εντέρου. Σε περίπτωση που δεν εκδηλωθεί καμία εντερική δραστηριότητα, η δοσολογία μπορεί να αυξηθεί αναλόγως, κάτω από ιατρική επίβλεψη.</w:t>
      </w:r>
    </w:p>
    <w:p w:rsidR="005A1F33" w:rsidRPr="00441B04" w:rsidRDefault="005A1F33" w:rsidP="005A1F33">
      <w:pPr>
        <w:pStyle w:val="Default"/>
        <w:rPr>
          <w:rFonts w:ascii="Times New Roman" w:eastAsia="Times New Roman" w:hAnsi="Times New Roman" w:cs="Times New Roman"/>
        </w:rPr>
      </w:pPr>
      <w:r w:rsidRPr="00441B04">
        <w:rPr>
          <w:rFonts w:ascii="Times New Roman" w:eastAsia="Times New Roman" w:hAnsi="Times New Roman" w:cs="Times New Roman"/>
        </w:rPr>
        <w:t xml:space="preserve">Οι ασθενείς που λαμβάνουν καρδιακούς </w:t>
      </w:r>
      <w:proofErr w:type="spellStart"/>
      <w:r w:rsidRPr="00441B04">
        <w:rPr>
          <w:rFonts w:ascii="Times New Roman" w:eastAsia="Times New Roman" w:hAnsi="Times New Roman" w:cs="Times New Roman"/>
        </w:rPr>
        <w:t>γλυκοσίδες</w:t>
      </w:r>
      <w:proofErr w:type="spellEnd"/>
      <w:r w:rsidRPr="00441B04">
        <w:rPr>
          <w:rFonts w:ascii="Times New Roman" w:eastAsia="Times New Roman" w:hAnsi="Times New Roman" w:cs="Times New Roman"/>
        </w:rPr>
        <w:t xml:space="preserve">, </w:t>
      </w:r>
      <w:proofErr w:type="spellStart"/>
      <w:r w:rsidRPr="00441B04">
        <w:rPr>
          <w:rFonts w:ascii="Times New Roman" w:eastAsia="Times New Roman" w:hAnsi="Times New Roman" w:cs="Times New Roman"/>
        </w:rPr>
        <w:t>αντιαρρυθμικά</w:t>
      </w:r>
      <w:proofErr w:type="spellEnd"/>
      <w:r w:rsidRPr="00441B04">
        <w:rPr>
          <w:rFonts w:ascii="Times New Roman" w:eastAsia="Times New Roman" w:hAnsi="Times New Roman" w:cs="Times New Roman"/>
        </w:rPr>
        <w:t xml:space="preserve"> φαρμακευτικά προϊόντα, φαρμακευτικά προϊόντα που προκαλούν παράταση του QT, διουρητικά, </w:t>
      </w:r>
      <w:proofErr w:type="spellStart"/>
      <w:r w:rsidRPr="00441B04">
        <w:rPr>
          <w:rFonts w:ascii="Times New Roman" w:eastAsia="Times New Roman" w:hAnsi="Times New Roman" w:cs="Times New Roman"/>
        </w:rPr>
        <w:t>αδρενοκορτικοστεροειδή</w:t>
      </w:r>
      <w:proofErr w:type="spellEnd"/>
      <w:r w:rsidRPr="00441B04">
        <w:rPr>
          <w:rFonts w:ascii="Times New Roman" w:eastAsia="Times New Roman" w:hAnsi="Times New Roman" w:cs="Times New Roman"/>
        </w:rPr>
        <w:t xml:space="preserve"> ή </w:t>
      </w:r>
      <w:proofErr w:type="spellStart"/>
      <w:r w:rsidRPr="00441B04">
        <w:rPr>
          <w:rFonts w:ascii="Times New Roman" w:eastAsia="Times New Roman" w:hAnsi="Times New Roman" w:cs="Times New Roman"/>
        </w:rPr>
        <w:t>γλυκύρριζα</w:t>
      </w:r>
      <w:proofErr w:type="spellEnd"/>
      <w:r w:rsidRPr="00441B04">
        <w:rPr>
          <w:rFonts w:ascii="Times New Roman" w:eastAsia="Times New Roman" w:hAnsi="Times New Roman" w:cs="Times New Roman"/>
        </w:rPr>
        <w:t xml:space="preserve"> πρέπει να συμβουλευτούν γιατρό πριν λάβουν παράλληλα τα φύλλα σέννας. </w:t>
      </w:r>
    </w:p>
    <w:p w:rsidR="005A1F33" w:rsidRPr="00441B04" w:rsidRDefault="005A1F33" w:rsidP="005A1F33">
      <w:pPr>
        <w:pStyle w:val="Default"/>
        <w:rPr>
          <w:rFonts w:ascii="Times New Roman" w:hAnsi="Times New Roman" w:cs="Times New Roman"/>
        </w:rPr>
      </w:pPr>
    </w:p>
    <w:p w:rsidR="005A1F33" w:rsidRPr="00441B04" w:rsidRDefault="005A1F33" w:rsidP="005A1F33">
      <w:pPr>
        <w:pStyle w:val="Default"/>
        <w:jc w:val="both"/>
        <w:rPr>
          <w:rFonts w:ascii="Times New Roman" w:eastAsia="Times New Roman" w:hAnsi="Times New Roman" w:cs="Times New Roman"/>
        </w:rPr>
      </w:pPr>
      <w:r w:rsidRPr="00441B04">
        <w:rPr>
          <w:rFonts w:ascii="Times New Roman" w:eastAsia="Times New Roman" w:hAnsi="Times New Roman" w:cs="Times New Roman"/>
        </w:rPr>
        <w:t xml:space="preserve">Όπως όλα τα καθαρτικά, τα φύλλα σέννας δεν θα πρέπει να λαμβάνονται από ασθενείς που υποφέρουν από ενσφήνωση κοπράνων και αδιάγνωστα, οξέα ή επίμονα γαστρεντερικά προβλήματα, όπως κοιλιακό άλγος, ναυτία και έμετος, εκτός εάν η χρήση τους έχει υποδειχθεί από γιατρό, επειδή αυτά τα συμπτώματα μπορεί να αποτελούν σημεία δυνητικής ή υπαρκτής απόφραξης του εντέρου (ειλεός).  </w:t>
      </w:r>
    </w:p>
    <w:p w:rsidR="005A1F33" w:rsidRPr="00441B04" w:rsidRDefault="005A1F33" w:rsidP="005A1F33">
      <w:pPr>
        <w:pStyle w:val="Default"/>
        <w:jc w:val="both"/>
        <w:rPr>
          <w:rFonts w:ascii="Times New Roman" w:hAnsi="Times New Roman" w:cs="Times New Roman"/>
        </w:rPr>
      </w:pPr>
    </w:p>
    <w:p w:rsidR="005A1F33" w:rsidRPr="00441B04" w:rsidRDefault="005A1F33" w:rsidP="005A1F33">
      <w:pPr>
        <w:pStyle w:val="Default"/>
        <w:jc w:val="both"/>
        <w:rPr>
          <w:rFonts w:ascii="Times New Roman" w:eastAsia="Times New Roman" w:hAnsi="Times New Roman" w:cs="Times New Roman"/>
        </w:rPr>
      </w:pPr>
      <w:r w:rsidRPr="00441B04">
        <w:rPr>
          <w:rFonts w:ascii="Times New Roman" w:eastAsia="Times New Roman" w:hAnsi="Times New Roman" w:cs="Times New Roman"/>
        </w:rPr>
        <w:t xml:space="preserve">Αν η χρήση καθαρτικών είναι απαραίτητη σε καθημερινή βάση, θα πρέπει να διερευνηθεί η αιτία της δυσκοιλιότητας. Η μακροχρόνια χρήση καθαρτικών θα πρέπει να αποφεύγεται.  </w:t>
      </w:r>
    </w:p>
    <w:p w:rsidR="005A1F33" w:rsidRPr="00441B04" w:rsidRDefault="005A1F33" w:rsidP="005A1F33">
      <w:pPr>
        <w:pStyle w:val="Default"/>
        <w:rPr>
          <w:rFonts w:ascii="Times New Roman" w:eastAsia="Times New Roman" w:hAnsi="Times New Roman" w:cs="Times New Roman"/>
        </w:rPr>
      </w:pPr>
      <w:r w:rsidRPr="00441B04">
        <w:rPr>
          <w:rFonts w:ascii="Times New Roman" w:eastAsia="Times New Roman" w:hAnsi="Times New Roman" w:cs="Times New Roman"/>
        </w:rPr>
        <w:t>Αν τα διεγερτικά καθαρτικά λα</w:t>
      </w:r>
      <w:r w:rsidR="00623EE6">
        <w:rPr>
          <w:rFonts w:ascii="Times New Roman" w:eastAsia="Times New Roman" w:hAnsi="Times New Roman" w:cs="Times New Roman"/>
        </w:rPr>
        <w:t>μβάνονται για περισσότερο από μί</w:t>
      </w:r>
      <w:r w:rsidRPr="00441B04">
        <w:rPr>
          <w:rFonts w:ascii="Times New Roman" w:eastAsia="Times New Roman" w:hAnsi="Times New Roman" w:cs="Times New Roman"/>
        </w:rPr>
        <w:t xml:space="preserve">α μικρή χρονική περίοδο θεραπείας, μπορεί να οδηγήσουν σε έκπτωση της λειτουργίας του εντέρου και εξάρτηση από τα καθαρτικά. Τα σκευάσματα φύλλων σέννας θα πρέπει να χρησιμοποιούνται μόνο εάν το θεραπευτικό αποτέλεσμα δεν μπορεί να επιτευχθεί με αλλαγή της διατροφής ή με χορήγηση παραγόντων που </w:t>
      </w:r>
      <w:r w:rsidR="00294483">
        <w:rPr>
          <w:rFonts w:ascii="Times New Roman" w:eastAsia="Times New Roman" w:hAnsi="Times New Roman" w:cs="Times New Roman"/>
        </w:rPr>
        <w:t xml:space="preserve">αυξάνουν τον </w:t>
      </w:r>
      <w:r w:rsidRPr="00441B04">
        <w:rPr>
          <w:rFonts w:ascii="Times New Roman" w:eastAsia="Times New Roman" w:hAnsi="Times New Roman" w:cs="Times New Roman"/>
        </w:rPr>
        <w:t>όγκο</w:t>
      </w:r>
      <w:r w:rsidR="00294483">
        <w:rPr>
          <w:rFonts w:ascii="Times New Roman" w:eastAsia="Times New Roman" w:hAnsi="Times New Roman" w:cs="Times New Roman"/>
        </w:rPr>
        <w:t xml:space="preserve"> των κοπράνων στο έντερο</w:t>
      </w:r>
      <w:r w:rsidRPr="00441B04">
        <w:rPr>
          <w:rFonts w:ascii="Times New Roman" w:eastAsia="Times New Roman" w:hAnsi="Times New Roman" w:cs="Times New Roman"/>
        </w:rPr>
        <w:t xml:space="preserve">. </w:t>
      </w:r>
    </w:p>
    <w:p w:rsidR="005A1F33" w:rsidRPr="00441B04" w:rsidRDefault="005A1F33" w:rsidP="005A1F33">
      <w:pPr>
        <w:pStyle w:val="Default"/>
        <w:rPr>
          <w:rFonts w:ascii="Times New Roman" w:hAnsi="Times New Roman" w:cs="Times New Roman"/>
        </w:rPr>
      </w:pPr>
    </w:p>
    <w:p w:rsidR="005A1F33" w:rsidRPr="00441B04" w:rsidRDefault="005A1F33" w:rsidP="005A1F33">
      <w:pPr>
        <w:pStyle w:val="Default"/>
        <w:rPr>
          <w:rFonts w:ascii="Times New Roman" w:eastAsia="Times New Roman" w:hAnsi="Times New Roman" w:cs="Times New Roman"/>
        </w:rPr>
      </w:pPr>
      <w:r w:rsidRPr="00441B04">
        <w:rPr>
          <w:rFonts w:ascii="Times New Roman" w:eastAsia="Times New Roman" w:hAnsi="Times New Roman" w:cs="Times New Roman"/>
        </w:rPr>
        <w:t xml:space="preserve">Όταν τα σκευάσματα φύλλων σέννας χορηγούνται σε ενήλικες με ακράτεια, οι πάνες θα πρέπει να αλλάζονται πιο συχνά για να αποφευχθεί η παρατεταμένη επαφή του δέρματος με τα κόπρανα. </w:t>
      </w:r>
    </w:p>
    <w:p w:rsidR="005A1F33" w:rsidRPr="00441B04" w:rsidRDefault="005A1F33" w:rsidP="005A1F33">
      <w:pPr>
        <w:pStyle w:val="Default"/>
        <w:rPr>
          <w:rFonts w:ascii="Times New Roman" w:hAnsi="Times New Roman" w:cs="Times New Roman"/>
        </w:rPr>
      </w:pPr>
    </w:p>
    <w:p w:rsidR="005A1F33" w:rsidRPr="00A44AD8" w:rsidRDefault="005A1F33" w:rsidP="005A1F33">
      <w:pPr>
        <w:pStyle w:val="Default"/>
        <w:rPr>
          <w:rFonts w:ascii="Times New Roman" w:eastAsia="Times New Roman" w:hAnsi="Times New Roman" w:cs="Times New Roman"/>
        </w:rPr>
      </w:pPr>
      <w:r w:rsidRPr="00441B04">
        <w:rPr>
          <w:rFonts w:ascii="Times New Roman" w:eastAsia="Times New Roman" w:hAnsi="Times New Roman" w:cs="Times New Roman"/>
        </w:rPr>
        <w:t xml:space="preserve">Οι ασθενείς με νεφρικές διαταραχές θα πρέπει να έχουν υπόψη τους την πιθανότητα εμφάνισης διαταραχών στο ισοζύγιο ηλεκτρολυτών. </w:t>
      </w:r>
    </w:p>
    <w:p w:rsidR="00973587" w:rsidRPr="00A44AD8" w:rsidRDefault="00973587" w:rsidP="005A1F33">
      <w:pPr>
        <w:pStyle w:val="Default"/>
        <w:rPr>
          <w:rFonts w:ascii="Times New Roman" w:eastAsia="Times New Roman" w:hAnsi="Times New Roman" w:cs="Times New Roman"/>
        </w:rPr>
      </w:pPr>
    </w:p>
    <w:p w:rsidR="00973587" w:rsidRPr="00720982" w:rsidRDefault="00EA106C" w:rsidP="00973587">
      <w:pPr>
        <w:pStyle w:val="Text"/>
        <w:ind w:left="0"/>
        <w:rPr>
          <w:color w:val="000000"/>
          <w:lang w:val="el-GR" w:eastAsia="ja-JP"/>
        </w:rPr>
      </w:pPr>
      <w:r w:rsidRPr="00EA106C">
        <w:rPr>
          <w:color w:val="000000"/>
          <w:lang w:val="el-GR" w:eastAsia="ja-JP"/>
        </w:rPr>
        <w:t>Η χρήση αυτού του προϊόντος απαιτεί ιατρική επίβλεψη:</w:t>
      </w:r>
    </w:p>
    <w:p w:rsidR="00973587" w:rsidRPr="00720982" w:rsidRDefault="00EA106C" w:rsidP="00973587">
      <w:pPr>
        <w:pStyle w:val="Text"/>
        <w:numPr>
          <w:ilvl w:val="0"/>
          <w:numId w:val="12"/>
        </w:numPr>
        <w:rPr>
          <w:color w:val="000000"/>
          <w:lang w:val="el-GR" w:eastAsia="ja-JP"/>
        </w:rPr>
      </w:pPr>
      <w:r w:rsidRPr="00EA106C">
        <w:rPr>
          <w:color w:val="000000"/>
          <w:lang w:val="el-GR" w:eastAsia="ja-JP"/>
        </w:rPr>
        <w:lastRenderedPageBreak/>
        <w:t>Εάν δεν παρατηρούνται θετικά αποτελέσματα μετά τη θεραπεία.</w:t>
      </w:r>
    </w:p>
    <w:p w:rsidR="00973587" w:rsidRPr="00720982" w:rsidRDefault="00EA106C" w:rsidP="00973587">
      <w:pPr>
        <w:pStyle w:val="Text"/>
        <w:numPr>
          <w:ilvl w:val="0"/>
          <w:numId w:val="12"/>
        </w:numPr>
        <w:rPr>
          <w:color w:val="000000"/>
          <w:lang w:val="el-GR" w:eastAsia="ja-JP"/>
        </w:rPr>
      </w:pPr>
      <w:r w:rsidRPr="00EA106C">
        <w:rPr>
          <w:color w:val="000000"/>
          <w:lang w:val="el-GR" w:eastAsia="ja-JP"/>
        </w:rPr>
        <w:t>Εάν η χρήση υπερβαίνει τη μία εβδομάδα.</w:t>
      </w:r>
    </w:p>
    <w:p w:rsidR="00973587" w:rsidRPr="00720982" w:rsidRDefault="00EA106C" w:rsidP="00973587">
      <w:pPr>
        <w:pStyle w:val="Text"/>
        <w:numPr>
          <w:ilvl w:val="0"/>
          <w:numId w:val="12"/>
        </w:numPr>
        <w:rPr>
          <w:color w:val="000000"/>
          <w:lang w:val="el-GR" w:eastAsia="ja-JP"/>
        </w:rPr>
      </w:pPr>
      <w:r w:rsidRPr="00EA106C">
        <w:rPr>
          <w:color w:val="000000"/>
          <w:lang w:val="el-GR" w:eastAsia="ja-JP"/>
        </w:rPr>
        <w:t>Εάν τα συμπτώματα επιμένουν ή επιδεινώνονται.</w:t>
      </w:r>
    </w:p>
    <w:p w:rsidR="00973587" w:rsidRPr="00720982" w:rsidRDefault="00EA106C" w:rsidP="00973587">
      <w:pPr>
        <w:pStyle w:val="Text"/>
        <w:numPr>
          <w:ilvl w:val="0"/>
          <w:numId w:val="12"/>
        </w:numPr>
        <w:rPr>
          <w:color w:val="000000"/>
          <w:lang w:val="el-GR" w:eastAsia="ja-JP"/>
        </w:rPr>
      </w:pPr>
      <w:r w:rsidRPr="00EA106C">
        <w:rPr>
          <w:color w:val="000000"/>
          <w:lang w:val="el-GR" w:eastAsia="ja-JP"/>
        </w:rPr>
        <w:t>Εάν έχει προηγηθεί λαπαροτομία ή εγχείρηση στην κοιλιακή χώρα</w:t>
      </w:r>
    </w:p>
    <w:p w:rsidR="00973587" w:rsidRPr="00720982" w:rsidRDefault="00EA106C" w:rsidP="00973587">
      <w:pPr>
        <w:pStyle w:val="Text"/>
        <w:numPr>
          <w:ilvl w:val="0"/>
          <w:numId w:val="12"/>
        </w:numPr>
        <w:rPr>
          <w:color w:val="000000"/>
          <w:lang w:val="el-GR" w:eastAsia="ja-JP"/>
        </w:rPr>
      </w:pPr>
      <w:r w:rsidRPr="00EA106C">
        <w:rPr>
          <w:color w:val="000000"/>
          <w:lang w:val="el-GR" w:eastAsia="ja-JP"/>
        </w:rPr>
        <w:t>Εάν εμφανιστούν δερματικό εξάνθημα, ναυτία ή έμετος.</w:t>
      </w:r>
    </w:p>
    <w:p w:rsidR="00973587" w:rsidRPr="00441B04" w:rsidRDefault="00973587" w:rsidP="00973587">
      <w:pPr>
        <w:jc w:val="both"/>
        <w:rPr>
          <w:color w:val="000000"/>
          <w:sz w:val="24"/>
          <w:szCs w:val="24"/>
          <w:lang w:eastAsia="ja-JP"/>
        </w:rPr>
      </w:pPr>
    </w:p>
    <w:p w:rsidR="00973587" w:rsidRPr="00441B04" w:rsidRDefault="00B417A2" w:rsidP="00973587">
      <w:pPr>
        <w:jc w:val="both"/>
        <w:rPr>
          <w:color w:val="000000"/>
          <w:sz w:val="24"/>
          <w:szCs w:val="24"/>
          <w:lang w:eastAsia="ja-JP"/>
        </w:rPr>
      </w:pPr>
      <w:r w:rsidRPr="00441B04">
        <w:rPr>
          <w:color w:val="000000"/>
          <w:sz w:val="24"/>
          <w:szCs w:val="24"/>
          <w:lang w:eastAsia="ja-JP"/>
        </w:rPr>
        <w:t>Πληροφορίες σχετικά με</w:t>
      </w:r>
      <w:r w:rsidR="00973587" w:rsidRPr="00441B04">
        <w:rPr>
          <w:color w:val="000000"/>
          <w:sz w:val="24"/>
          <w:szCs w:val="24"/>
          <w:lang w:eastAsia="ja-JP"/>
        </w:rPr>
        <w:t xml:space="preserve"> τα έκδοχα </w:t>
      </w:r>
    </w:p>
    <w:p w:rsidR="00973587" w:rsidRPr="00441B04" w:rsidRDefault="00973587" w:rsidP="00973587">
      <w:pPr>
        <w:jc w:val="both"/>
        <w:rPr>
          <w:color w:val="000000"/>
          <w:sz w:val="24"/>
          <w:szCs w:val="24"/>
          <w:lang w:eastAsia="ja-JP"/>
        </w:rPr>
      </w:pPr>
    </w:p>
    <w:p w:rsidR="00973587" w:rsidRPr="00441B04" w:rsidRDefault="00973587" w:rsidP="00973587">
      <w:pPr>
        <w:jc w:val="both"/>
        <w:rPr>
          <w:color w:val="000000"/>
          <w:sz w:val="24"/>
          <w:szCs w:val="24"/>
          <w:lang w:eastAsia="ja-JP"/>
        </w:rPr>
      </w:pPr>
      <w:r w:rsidRPr="00441B04">
        <w:rPr>
          <w:color w:val="000000"/>
          <w:sz w:val="24"/>
          <w:szCs w:val="24"/>
          <w:lang w:eastAsia="ja-JP"/>
        </w:rPr>
        <w:t>Αυτό το φαρμακευτικό προϊόν περιέχει:</w:t>
      </w:r>
    </w:p>
    <w:p w:rsidR="00973587" w:rsidRPr="00441B04" w:rsidRDefault="00973587" w:rsidP="00973587">
      <w:pPr>
        <w:numPr>
          <w:ilvl w:val="0"/>
          <w:numId w:val="13"/>
        </w:numPr>
        <w:jc w:val="both"/>
        <w:rPr>
          <w:color w:val="000000"/>
          <w:sz w:val="24"/>
          <w:szCs w:val="24"/>
          <w:lang w:eastAsia="ja-JP"/>
        </w:rPr>
      </w:pPr>
      <w:r w:rsidRPr="00441B04">
        <w:rPr>
          <w:color w:val="000000"/>
          <w:sz w:val="24"/>
          <w:szCs w:val="24"/>
          <w:lang w:eastAsia="ja-JP"/>
        </w:rPr>
        <w:t>Λακτόζη: Ασθενείς με σπάνια κληρονομικά προβλήματα δυσανεξίας της γα</w:t>
      </w:r>
      <w:r w:rsidR="00A44AD8">
        <w:rPr>
          <w:color w:val="000000"/>
          <w:sz w:val="24"/>
          <w:szCs w:val="24"/>
          <w:lang w:eastAsia="ja-JP"/>
        </w:rPr>
        <w:t xml:space="preserve">λακτόζης, ανεπάρκειας της </w:t>
      </w:r>
      <w:proofErr w:type="spellStart"/>
      <w:r w:rsidR="00A44AD8">
        <w:rPr>
          <w:color w:val="000000"/>
          <w:sz w:val="24"/>
          <w:szCs w:val="24"/>
          <w:lang w:eastAsia="ja-JP"/>
        </w:rPr>
        <w:t>Lapp</w:t>
      </w:r>
      <w:proofErr w:type="spellEnd"/>
      <w:r w:rsidR="00A44AD8">
        <w:rPr>
          <w:color w:val="000000"/>
          <w:sz w:val="24"/>
          <w:szCs w:val="24"/>
          <w:lang w:eastAsia="ja-JP"/>
        </w:rPr>
        <w:t xml:space="preserve"> </w:t>
      </w:r>
      <w:proofErr w:type="spellStart"/>
      <w:r w:rsidR="00A44AD8">
        <w:rPr>
          <w:color w:val="000000"/>
          <w:sz w:val="24"/>
          <w:szCs w:val="24"/>
          <w:lang w:eastAsia="ja-JP"/>
        </w:rPr>
        <w:t>λ</w:t>
      </w:r>
      <w:r w:rsidRPr="00441B04">
        <w:rPr>
          <w:color w:val="000000"/>
          <w:sz w:val="24"/>
          <w:szCs w:val="24"/>
          <w:lang w:eastAsia="ja-JP"/>
        </w:rPr>
        <w:t>ακτάσης</w:t>
      </w:r>
      <w:proofErr w:type="spellEnd"/>
      <w:r w:rsidRPr="00441B04">
        <w:rPr>
          <w:color w:val="000000"/>
          <w:sz w:val="24"/>
          <w:szCs w:val="24"/>
          <w:lang w:eastAsia="ja-JP"/>
        </w:rPr>
        <w:t xml:space="preserve"> ή </w:t>
      </w:r>
      <w:proofErr w:type="spellStart"/>
      <w:r w:rsidRPr="00441B04">
        <w:rPr>
          <w:color w:val="000000"/>
          <w:sz w:val="24"/>
          <w:szCs w:val="24"/>
          <w:lang w:eastAsia="ja-JP"/>
        </w:rPr>
        <w:t>δυσαπορρόφησης</w:t>
      </w:r>
      <w:proofErr w:type="spellEnd"/>
      <w:r w:rsidRPr="00441B04">
        <w:rPr>
          <w:color w:val="000000"/>
          <w:sz w:val="24"/>
          <w:szCs w:val="24"/>
          <w:lang w:eastAsia="ja-JP"/>
        </w:rPr>
        <w:t xml:space="preserve"> της γλυκόζης-γαλακτόζης δε συνίσταται να λαμβάνουν το συγκεκριμένο φάρμακο.</w:t>
      </w:r>
    </w:p>
    <w:p w:rsidR="00973587" w:rsidRPr="00441B04" w:rsidRDefault="00973587" w:rsidP="00973587">
      <w:pPr>
        <w:numPr>
          <w:ilvl w:val="0"/>
          <w:numId w:val="13"/>
        </w:numPr>
        <w:jc w:val="both"/>
        <w:rPr>
          <w:color w:val="000000"/>
          <w:sz w:val="24"/>
          <w:szCs w:val="24"/>
          <w:lang w:eastAsia="ja-JP"/>
        </w:rPr>
      </w:pPr>
      <w:r w:rsidRPr="00441B04">
        <w:rPr>
          <w:color w:val="000000"/>
          <w:sz w:val="24"/>
          <w:szCs w:val="24"/>
          <w:lang w:eastAsia="ja-JP"/>
        </w:rPr>
        <w:t xml:space="preserve">Γλυκόζη: Ασθενείς με σπάνια </w:t>
      </w:r>
      <w:proofErr w:type="spellStart"/>
      <w:r w:rsidRPr="00441B04">
        <w:rPr>
          <w:color w:val="000000"/>
          <w:sz w:val="24"/>
          <w:szCs w:val="24"/>
          <w:lang w:eastAsia="ja-JP"/>
        </w:rPr>
        <w:t>δυσαπορρόφηση</w:t>
      </w:r>
      <w:proofErr w:type="spellEnd"/>
      <w:r w:rsidRPr="00441B04">
        <w:rPr>
          <w:color w:val="000000"/>
          <w:sz w:val="24"/>
          <w:szCs w:val="24"/>
          <w:lang w:eastAsia="ja-JP"/>
        </w:rPr>
        <w:t xml:space="preserve"> γλυκόζης-γαλακτόζης δε συνίσταται να λαμβάνουν το συγκεκριμένο φάρμακο.</w:t>
      </w:r>
    </w:p>
    <w:p w:rsidR="00973587" w:rsidRPr="00441B04" w:rsidRDefault="00973587" w:rsidP="00973587">
      <w:pPr>
        <w:numPr>
          <w:ilvl w:val="0"/>
          <w:numId w:val="13"/>
        </w:numPr>
        <w:jc w:val="both"/>
        <w:rPr>
          <w:color w:val="000000"/>
          <w:sz w:val="24"/>
          <w:szCs w:val="24"/>
          <w:lang w:eastAsia="ja-JP"/>
        </w:rPr>
      </w:pPr>
      <w:proofErr w:type="spellStart"/>
      <w:r w:rsidRPr="00441B04">
        <w:rPr>
          <w:color w:val="000000"/>
          <w:sz w:val="24"/>
          <w:szCs w:val="24"/>
          <w:lang w:eastAsia="ja-JP"/>
        </w:rPr>
        <w:t>Σουκρόζη</w:t>
      </w:r>
      <w:proofErr w:type="spellEnd"/>
      <w:r w:rsidRPr="00441B04">
        <w:rPr>
          <w:color w:val="000000"/>
          <w:sz w:val="24"/>
          <w:szCs w:val="24"/>
          <w:lang w:eastAsia="ja-JP"/>
        </w:rPr>
        <w:t xml:space="preserve">: Ασθενείς με σπάνια κληρονομικά προβλήματα δυσανεξίας της φρουκτόζης, </w:t>
      </w:r>
      <w:proofErr w:type="spellStart"/>
      <w:r w:rsidRPr="00441B04">
        <w:rPr>
          <w:color w:val="000000"/>
          <w:sz w:val="24"/>
          <w:szCs w:val="24"/>
          <w:lang w:eastAsia="ja-JP"/>
        </w:rPr>
        <w:t>δυσαπορρόφησης</w:t>
      </w:r>
      <w:proofErr w:type="spellEnd"/>
      <w:r w:rsidRPr="00441B04">
        <w:rPr>
          <w:color w:val="000000"/>
          <w:sz w:val="24"/>
          <w:szCs w:val="24"/>
          <w:lang w:eastAsia="ja-JP"/>
        </w:rPr>
        <w:t xml:space="preserve"> γλυκόζης-γαλακτόζης, ή ανεπάρκειας </w:t>
      </w:r>
      <w:proofErr w:type="spellStart"/>
      <w:r w:rsidRPr="00441B04">
        <w:rPr>
          <w:color w:val="000000"/>
          <w:sz w:val="24"/>
          <w:szCs w:val="24"/>
          <w:lang w:eastAsia="ja-JP"/>
        </w:rPr>
        <w:t>σουκράσης</w:t>
      </w:r>
      <w:proofErr w:type="spellEnd"/>
      <w:r w:rsidRPr="00441B04">
        <w:rPr>
          <w:color w:val="000000"/>
          <w:sz w:val="24"/>
          <w:szCs w:val="24"/>
          <w:lang w:eastAsia="ja-JP"/>
        </w:rPr>
        <w:t>-</w:t>
      </w:r>
      <w:proofErr w:type="spellStart"/>
      <w:r w:rsidRPr="00441B04">
        <w:rPr>
          <w:color w:val="000000"/>
          <w:sz w:val="24"/>
          <w:szCs w:val="24"/>
          <w:lang w:eastAsia="ja-JP"/>
        </w:rPr>
        <w:t>ισομαλτάσης</w:t>
      </w:r>
      <w:proofErr w:type="spellEnd"/>
      <w:r w:rsidRPr="00441B04">
        <w:rPr>
          <w:color w:val="000000"/>
          <w:sz w:val="24"/>
          <w:szCs w:val="24"/>
          <w:lang w:eastAsia="ja-JP"/>
        </w:rPr>
        <w:t xml:space="preserve"> δε συνιστάται να λαμβάνουν το συγκεκριμένο φάρμακο. </w:t>
      </w:r>
    </w:p>
    <w:p w:rsidR="00BC039D" w:rsidRPr="00441B04" w:rsidRDefault="00BC039D">
      <w:pPr>
        <w:rPr>
          <w:sz w:val="24"/>
          <w:szCs w:val="24"/>
        </w:rPr>
      </w:pPr>
    </w:p>
    <w:p w:rsidR="00F94A67" w:rsidRPr="00720982" w:rsidRDefault="00EA106C" w:rsidP="00F94A67">
      <w:pPr>
        <w:pStyle w:val="2"/>
        <w:jc w:val="both"/>
        <w:rPr>
          <w:lang w:val="el-GR"/>
        </w:rPr>
      </w:pPr>
      <w:r w:rsidRPr="00EA106C">
        <w:rPr>
          <w:caps/>
          <w:lang w:val="el-GR"/>
        </w:rPr>
        <w:t>4.5.</w:t>
      </w:r>
      <w:r w:rsidRPr="00EA106C">
        <w:rPr>
          <w:caps/>
          <w:lang w:val="el-GR"/>
        </w:rPr>
        <w:tab/>
      </w:r>
      <w:r w:rsidRPr="00EA106C">
        <w:rPr>
          <w:lang w:val="el-GR"/>
        </w:rPr>
        <w:t>Αλληλεπιδράσεις με άλλα φαρμακευτικά προϊόντα και άλλες μορφές αλληλεπίδρασης</w:t>
      </w:r>
    </w:p>
    <w:p w:rsidR="00B417A2" w:rsidRPr="00441B04" w:rsidRDefault="00B417A2" w:rsidP="00B417A2">
      <w:pPr>
        <w:pStyle w:val="Default"/>
        <w:rPr>
          <w:rFonts w:ascii="Times New Roman" w:hAnsi="Times New Roman" w:cs="Times New Roman"/>
        </w:rPr>
      </w:pPr>
      <w:r w:rsidRPr="00441B04">
        <w:rPr>
          <w:rFonts w:ascii="Times New Roman" w:eastAsia="Times New Roman" w:hAnsi="Times New Roman" w:cs="Times New Roman"/>
        </w:rPr>
        <w:t xml:space="preserve">Η ταυτόχρονη χρήση άλλων φαρμακευτικών προϊόντων που προκαλούν </w:t>
      </w:r>
      <w:proofErr w:type="spellStart"/>
      <w:r w:rsidRPr="00441B04">
        <w:rPr>
          <w:rFonts w:ascii="Times New Roman" w:eastAsia="Times New Roman" w:hAnsi="Times New Roman" w:cs="Times New Roman"/>
        </w:rPr>
        <w:t>υποκαλιαιμία</w:t>
      </w:r>
      <w:proofErr w:type="spellEnd"/>
      <w:r w:rsidRPr="00441B04">
        <w:rPr>
          <w:rFonts w:ascii="Times New Roman" w:eastAsia="Times New Roman" w:hAnsi="Times New Roman" w:cs="Times New Roman"/>
        </w:rPr>
        <w:t xml:space="preserve"> (π.χ. διουρητικά, </w:t>
      </w:r>
      <w:proofErr w:type="spellStart"/>
      <w:r w:rsidRPr="00441B04">
        <w:rPr>
          <w:rFonts w:ascii="Times New Roman" w:eastAsia="Times New Roman" w:hAnsi="Times New Roman" w:cs="Times New Roman"/>
        </w:rPr>
        <w:t>αδρενοκορτικοστεροειδή</w:t>
      </w:r>
      <w:proofErr w:type="spellEnd"/>
      <w:r w:rsidRPr="00441B04">
        <w:rPr>
          <w:rFonts w:ascii="Times New Roman" w:eastAsia="Times New Roman" w:hAnsi="Times New Roman" w:cs="Times New Roman"/>
        </w:rPr>
        <w:t xml:space="preserve"> και </w:t>
      </w:r>
      <w:proofErr w:type="spellStart"/>
      <w:r w:rsidRPr="00441B04">
        <w:rPr>
          <w:rFonts w:ascii="Times New Roman" w:eastAsia="Times New Roman" w:hAnsi="Times New Roman" w:cs="Times New Roman"/>
        </w:rPr>
        <w:t>γλυκύρριζα</w:t>
      </w:r>
      <w:proofErr w:type="spellEnd"/>
      <w:r w:rsidRPr="00441B04">
        <w:rPr>
          <w:rFonts w:ascii="Times New Roman" w:eastAsia="Times New Roman" w:hAnsi="Times New Roman" w:cs="Times New Roman"/>
        </w:rPr>
        <w:t>) μπορεί να ενισχύσει τις διαταραχές στο ισοζύγιο ηλεκτρολυτών</w:t>
      </w:r>
      <w:r w:rsidRPr="00441B04">
        <w:rPr>
          <w:rFonts w:ascii="Times New Roman" w:hAnsi="Times New Roman" w:cs="Times New Roman"/>
        </w:rPr>
        <w:t xml:space="preserve">. </w:t>
      </w:r>
    </w:p>
    <w:p w:rsidR="00D72AE1" w:rsidRPr="00441B04" w:rsidRDefault="00D72AE1" w:rsidP="00D72AE1">
      <w:pPr>
        <w:pStyle w:val="Default"/>
        <w:rPr>
          <w:rFonts w:ascii="Times New Roman" w:eastAsia="Times New Roman" w:hAnsi="Times New Roman" w:cs="Times New Roman"/>
        </w:rPr>
      </w:pPr>
      <w:r w:rsidRPr="00441B04">
        <w:rPr>
          <w:rFonts w:ascii="Times New Roman" w:eastAsia="Times New Roman" w:hAnsi="Times New Roman" w:cs="Times New Roman"/>
        </w:rPr>
        <w:t xml:space="preserve">Η </w:t>
      </w:r>
      <w:proofErr w:type="spellStart"/>
      <w:r w:rsidRPr="00441B04">
        <w:rPr>
          <w:rFonts w:ascii="Times New Roman" w:eastAsia="Times New Roman" w:hAnsi="Times New Roman" w:cs="Times New Roman"/>
        </w:rPr>
        <w:t>υποκαλιαιμία</w:t>
      </w:r>
      <w:proofErr w:type="spellEnd"/>
      <w:r w:rsidRPr="00441B04">
        <w:rPr>
          <w:rFonts w:ascii="Times New Roman" w:eastAsia="Times New Roman" w:hAnsi="Times New Roman" w:cs="Times New Roman"/>
        </w:rPr>
        <w:t xml:space="preserve"> (που προκαλείται από μακροχρόνια κατάχρηση καθαρτικών) ενισχύει τη δράση των καρδιακών </w:t>
      </w:r>
      <w:proofErr w:type="spellStart"/>
      <w:r w:rsidRPr="00441B04">
        <w:rPr>
          <w:rFonts w:ascii="Times New Roman" w:eastAsia="Times New Roman" w:hAnsi="Times New Roman" w:cs="Times New Roman"/>
        </w:rPr>
        <w:t>γλυκοσιδών</w:t>
      </w:r>
      <w:proofErr w:type="spellEnd"/>
      <w:r w:rsidRPr="00441B04">
        <w:rPr>
          <w:rFonts w:ascii="Times New Roman" w:eastAsia="Times New Roman" w:hAnsi="Times New Roman" w:cs="Times New Roman"/>
        </w:rPr>
        <w:t xml:space="preserve"> και αλληλεπιδρά με τα </w:t>
      </w:r>
      <w:proofErr w:type="spellStart"/>
      <w:r w:rsidRPr="00441B04">
        <w:rPr>
          <w:rFonts w:ascii="Times New Roman" w:eastAsia="Times New Roman" w:hAnsi="Times New Roman" w:cs="Times New Roman"/>
        </w:rPr>
        <w:t>αντιαρρυθμικά</w:t>
      </w:r>
      <w:proofErr w:type="spellEnd"/>
      <w:r w:rsidRPr="00441B04">
        <w:rPr>
          <w:rFonts w:ascii="Times New Roman" w:eastAsia="Times New Roman" w:hAnsi="Times New Roman" w:cs="Times New Roman"/>
        </w:rPr>
        <w:t xml:space="preserve"> φαρμακευτικά προϊόντα, με φαρμακευτικά προϊόντα που επάγουν την ανάταξη σε </w:t>
      </w:r>
      <w:proofErr w:type="spellStart"/>
      <w:r w:rsidRPr="00441B04">
        <w:rPr>
          <w:rFonts w:ascii="Times New Roman" w:eastAsia="Times New Roman" w:hAnsi="Times New Roman" w:cs="Times New Roman"/>
        </w:rPr>
        <w:t>φλεβοκομβικό</w:t>
      </w:r>
      <w:proofErr w:type="spellEnd"/>
      <w:r w:rsidRPr="00441B04">
        <w:rPr>
          <w:rFonts w:ascii="Times New Roman" w:eastAsia="Times New Roman" w:hAnsi="Times New Roman" w:cs="Times New Roman"/>
        </w:rPr>
        <w:t xml:space="preserve"> ρυθμό (π.χ. </w:t>
      </w:r>
      <w:proofErr w:type="spellStart"/>
      <w:r w:rsidRPr="00441B04">
        <w:rPr>
          <w:rFonts w:ascii="Times New Roman" w:eastAsia="Times New Roman" w:hAnsi="Times New Roman" w:cs="Times New Roman"/>
        </w:rPr>
        <w:t>κινιδίνη</w:t>
      </w:r>
      <w:proofErr w:type="spellEnd"/>
      <w:r w:rsidRPr="00441B04">
        <w:rPr>
          <w:rFonts w:ascii="Times New Roman" w:eastAsia="Times New Roman" w:hAnsi="Times New Roman" w:cs="Times New Roman"/>
        </w:rPr>
        <w:t>)</w:t>
      </w:r>
      <w:r w:rsidR="00A44AD8">
        <w:rPr>
          <w:rFonts w:ascii="Times New Roman" w:eastAsia="Times New Roman" w:hAnsi="Times New Roman" w:cs="Times New Roman"/>
        </w:rPr>
        <w:t>,</w:t>
      </w:r>
      <w:r w:rsidRPr="00441B04">
        <w:rPr>
          <w:rFonts w:ascii="Times New Roman" w:eastAsia="Times New Roman" w:hAnsi="Times New Roman" w:cs="Times New Roman"/>
        </w:rPr>
        <w:t xml:space="preserve"> καθώς και με φαρμακευτικά προϊόντα που προκαλούν παράταση του QT. </w:t>
      </w:r>
    </w:p>
    <w:p w:rsidR="00976497" w:rsidRPr="00720982" w:rsidRDefault="00976497" w:rsidP="00976497">
      <w:pPr>
        <w:pStyle w:val="Text"/>
        <w:rPr>
          <w:lang w:val="el-GR"/>
        </w:rPr>
      </w:pPr>
    </w:p>
    <w:p w:rsidR="00F94A67" w:rsidRPr="00720982" w:rsidRDefault="00EA106C" w:rsidP="00F94A67">
      <w:pPr>
        <w:pStyle w:val="2"/>
        <w:jc w:val="both"/>
        <w:rPr>
          <w:lang w:val="el-GR"/>
        </w:rPr>
      </w:pPr>
      <w:r w:rsidRPr="00EA106C">
        <w:rPr>
          <w:caps/>
          <w:lang w:val="el-GR"/>
        </w:rPr>
        <w:t>4.6.</w:t>
      </w:r>
      <w:r w:rsidRPr="00EA106C">
        <w:rPr>
          <w:caps/>
          <w:lang w:val="el-GR"/>
        </w:rPr>
        <w:tab/>
      </w:r>
      <w:r w:rsidR="00F94A67" w:rsidRPr="00441B04">
        <w:t>K</w:t>
      </w:r>
      <w:proofErr w:type="spellStart"/>
      <w:r w:rsidRPr="00EA106C">
        <w:rPr>
          <w:lang w:val="el-GR"/>
        </w:rPr>
        <w:t>ύηση</w:t>
      </w:r>
      <w:proofErr w:type="spellEnd"/>
      <w:r w:rsidR="00720982" w:rsidRPr="00533D6D">
        <w:rPr>
          <w:lang w:val="el-GR"/>
        </w:rPr>
        <w:t>,</w:t>
      </w:r>
      <w:r w:rsidRPr="00EA106C">
        <w:rPr>
          <w:lang w:val="el-GR"/>
        </w:rPr>
        <w:t xml:space="preserve"> γαλουχία</w:t>
      </w:r>
      <w:r w:rsidR="00720982" w:rsidRPr="00720982">
        <w:rPr>
          <w:lang w:val="el-GR"/>
        </w:rPr>
        <w:t xml:space="preserve"> και</w:t>
      </w:r>
      <w:r w:rsidR="00720982" w:rsidRPr="00533D6D">
        <w:rPr>
          <w:lang w:val="el-GR"/>
        </w:rPr>
        <w:t xml:space="preserve"> </w:t>
      </w:r>
      <w:r w:rsidR="00720982">
        <w:rPr>
          <w:lang w:val="el-GR"/>
        </w:rPr>
        <w:t>γονιμότητα</w:t>
      </w:r>
    </w:p>
    <w:p w:rsidR="00C21C74" w:rsidRPr="00720982" w:rsidRDefault="00C21C74" w:rsidP="00C21C74">
      <w:pPr>
        <w:pStyle w:val="Default"/>
        <w:jc w:val="both"/>
        <w:rPr>
          <w:rFonts w:ascii="Times New Roman" w:eastAsia="Times New Roman" w:hAnsi="Times New Roman" w:cs="Times New Roman"/>
          <w:b/>
          <w:bCs/>
        </w:rPr>
      </w:pPr>
      <w:r w:rsidRPr="00441B04">
        <w:rPr>
          <w:rFonts w:ascii="Times New Roman" w:eastAsia="Times New Roman" w:hAnsi="Times New Roman" w:cs="Times New Roman"/>
          <w:b/>
          <w:bCs/>
        </w:rPr>
        <w:t>Κύηση</w:t>
      </w:r>
    </w:p>
    <w:p w:rsidR="00C21C74" w:rsidRPr="00441B04" w:rsidRDefault="00C21C74" w:rsidP="003572F1">
      <w:pPr>
        <w:pStyle w:val="Default"/>
        <w:rPr>
          <w:rFonts w:ascii="Times New Roman" w:eastAsia="SimSun" w:hAnsi="Times New Roman" w:cs="Times New Roman"/>
          <w:bCs/>
        </w:rPr>
      </w:pPr>
    </w:p>
    <w:p w:rsidR="00C21C74" w:rsidRPr="00441B04" w:rsidRDefault="00C21C74" w:rsidP="00C21C74">
      <w:pPr>
        <w:pStyle w:val="Default"/>
        <w:jc w:val="both"/>
        <w:rPr>
          <w:rFonts w:ascii="Times New Roman" w:eastAsia="Times New Roman" w:hAnsi="Times New Roman" w:cs="Times New Roman"/>
        </w:rPr>
      </w:pPr>
      <w:r w:rsidRPr="00441B04">
        <w:rPr>
          <w:rFonts w:ascii="Times New Roman" w:eastAsia="Times New Roman" w:hAnsi="Times New Roman" w:cs="Times New Roman"/>
        </w:rPr>
        <w:t xml:space="preserve">Δεν υπάρχουν αναφορές για ανεπιθύμητες ή βλαβερές επιδράσεις κατά τη διάρκεια της κύησης και στο έμβρυο όταν χρησιμοποιείται στις συνιστώμενες δόσεις. </w:t>
      </w:r>
    </w:p>
    <w:p w:rsidR="00C21C74" w:rsidRPr="00441B04" w:rsidRDefault="00C21C74" w:rsidP="00C21C74">
      <w:pPr>
        <w:pStyle w:val="Default"/>
        <w:rPr>
          <w:rFonts w:ascii="Times New Roman" w:eastAsia="SimSun" w:hAnsi="Times New Roman" w:cs="Times New Roman"/>
        </w:rPr>
      </w:pPr>
      <w:r w:rsidRPr="00441B04">
        <w:rPr>
          <w:rFonts w:ascii="Times New Roman" w:eastAsia="SimSun" w:hAnsi="Times New Roman" w:cs="Times New Roman"/>
        </w:rPr>
        <w:t xml:space="preserve">Ωστόσο, με βάση τα πειραματικά δεδομένα που αφορούν </w:t>
      </w:r>
      <w:r w:rsidR="007B3BE9">
        <w:rPr>
          <w:rFonts w:ascii="Times New Roman" w:eastAsia="SimSun" w:hAnsi="Times New Roman" w:cs="Times New Roman"/>
        </w:rPr>
        <w:t>σ</w:t>
      </w:r>
      <w:r w:rsidRPr="00441B04">
        <w:rPr>
          <w:rFonts w:ascii="Times New Roman" w:eastAsia="SimSun" w:hAnsi="Times New Roman" w:cs="Times New Roman"/>
        </w:rPr>
        <w:t xml:space="preserve">το </w:t>
      </w:r>
      <w:proofErr w:type="spellStart"/>
      <w:r w:rsidRPr="00441B04">
        <w:rPr>
          <w:rFonts w:ascii="Times New Roman" w:eastAsia="SimSun" w:hAnsi="Times New Roman" w:cs="Times New Roman"/>
        </w:rPr>
        <w:t>γονοτοξικό</w:t>
      </w:r>
      <w:proofErr w:type="spellEnd"/>
      <w:r w:rsidRPr="00441B04">
        <w:rPr>
          <w:rFonts w:ascii="Times New Roman" w:eastAsia="SimSun" w:hAnsi="Times New Roman" w:cs="Times New Roman"/>
        </w:rPr>
        <w:t xml:space="preserve"> κίνδυνο αρκετών </w:t>
      </w:r>
      <w:proofErr w:type="spellStart"/>
      <w:r w:rsidRPr="00441B04">
        <w:rPr>
          <w:rFonts w:ascii="Times New Roman" w:eastAsia="SimSun" w:hAnsi="Times New Roman" w:cs="Times New Roman"/>
        </w:rPr>
        <w:t>ανθρανοειδών</w:t>
      </w:r>
      <w:proofErr w:type="spellEnd"/>
      <w:r w:rsidRPr="00441B04">
        <w:rPr>
          <w:rFonts w:ascii="Times New Roman" w:eastAsia="SimSun" w:hAnsi="Times New Roman" w:cs="Times New Roman"/>
        </w:rPr>
        <w:t xml:space="preserve">, όπως η </w:t>
      </w:r>
      <w:proofErr w:type="spellStart"/>
      <w:r w:rsidRPr="00441B04">
        <w:rPr>
          <w:rFonts w:ascii="Times New Roman" w:eastAsia="SimSun" w:hAnsi="Times New Roman" w:cs="Times New Roman"/>
        </w:rPr>
        <w:t>εμοδίνη</w:t>
      </w:r>
      <w:proofErr w:type="spellEnd"/>
      <w:r w:rsidRPr="00441B04">
        <w:rPr>
          <w:rFonts w:ascii="Times New Roman" w:eastAsia="SimSun" w:hAnsi="Times New Roman" w:cs="Times New Roman"/>
        </w:rPr>
        <w:t xml:space="preserve"> και η </w:t>
      </w:r>
      <w:proofErr w:type="spellStart"/>
      <w:r w:rsidRPr="00441B04">
        <w:rPr>
          <w:rFonts w:ascii="Times New Roman" w:eastAsia="SimSun" w:hAnsi="Times New Roman" w:cs="Times New Roman"/>
        </w:rPr>
        <w:t>αλοεμοδίνη</w:t>
      </w:r>
      <w:proofErr w:type="spellEnd"/>
      <w:r w:rsidRPr="00441B04">
        <w:rPr>
          <w:rFonts w:ascii="Times New Roman" w:eastAsia="SimSun" w:hAnsi="Times New Roman" w:cs="Times New Roman"/>
        </w:rPr>
        <w:t xml:space="preserve">, δεν συνιστάται η χρήση κατά τη διάρκεια της κύησης. </w:t>
      </w:r>
    </w:p>
    <w:p w:rsidR="00C21C74" w:rsidRPr="00441B04" w:rsidRDefault="00C21C74" w:rsidP="00C21C74">
      <w:pPr>
        <w:pStyle w:val="Default"/>
        <w:rPr>
          <w:rFonts w:ascii="Times New Roman" w:hAnsi="Times New Roman" w:cs="Times New Roman"/>
        </w:rPr>
      </w:pPr>
    </w:p>
    <w:p w:rsidR="00C21C74" w:rsidRPr="00441B04" w:rsidRDefault="00C21C74" w:rsidP="00C21C74">
      <w:pPr>
        <w:pStyle w:val="Default"/>
        <w:jc w:val="both"/>
        <w:rPr>
          <w:rFonts w:ascii="Times New Roman" w:eastAsia="Times New Roman" w:hAnsi="Times New Roman" w:cs="Times New Roman"/>
        </w:rPr>
      </w:pPr>
      <w:r w:rsidRPr="00441B04">
        <w:rPr>
          <w:rFonts w:ascii="Times New Roman" w:eastAsia="Times New Roman" w:hAnsi="Times New Roman" w:cs="Times New Roman"/>
          <w:b/>
          <w:bCs/>
        </w:rPr>
        <w:t>Γαλουχία</w:t>
      </w:r>
    </w:p>
    <w:p w:rsidR="00C21C74" w:rsidRPr="00441B04" w:rsidRDefault="00C21C74" w:rsidP="00C21C74">
      <w:pPr>
        <w:pStyle w:val="Default"/>
        <w:jc w:val="both"/>
        <w:rPr>
          <w:rFonts w:ascii="Times New Roman" w:eastAsia="Times New Roman" w:hAnsi="Times New Roman" w:cs="Times New Roman"/>
        </w:rPr>
      </w:pPr>
      <w:r w:rsidRPr="00441B04">
        <w:rPr>
          <w:rFonts w:ascii="Times New Roman" w:eastAsia="Times New Roman" w:hAnsi="Times New Roman" w:cs="Times New Roman"/>
        </w:rPr>
        <w:t xml:space="preserve">Η χρήση κατά τη διάρκεια της γαλουχίας δε συνιστάται καθώς υπάρχουν ανεπαρκή δεδομένα για την έκκριση των μεταβολιτών στο μητρικό γάλα. </w:t>
      </w:r>
    </w:p>
    <w:p w:rsidR="00C21C74" w:rsidRPr="00441B04" w:rsidRDefault="00C21C74" w:rsidP="00C21C74">
      <w:pPr>
        <w:pStyle w:val="Default"/>
        <w:rPr>
          <w:rFonts w:ascii="Times New Roman" w:eastAsia="Times New Roman" w:hAnsi="Times New Roman" w:cs="Times New Roman"/>
        </w:rPr>
      </w:pPr>
      <w:r w:rsidRPr="00441B04">
        <w:rPr>
          <w:rFonts w:ascii="Times New Roman" w:eastAsia="Times New Roman" w:hAnsi="Times New Roman" w:cs="Times New Roman"/>
        </w:rPr>
        <w:t>Μικρές ποσότητες δραστικών μεταβολιτών (</w:t>
      </w:r>
      <w:proofErr w:type="spellStart"/>
      <w:r w:rsidR="005E6882" w:rsidRPr="00441B04">
        <w:rPr>
          <w:rFonts w:ascii="Times New Roman" w:eastAsia="Times New Roman" w:hAnsi="Times New Roman" w:cs="Times New Roman"/>
        </w:rPr>
        <w:t>ρηίνη</w:t>
      </w:r>
      <w:proofErr w:type="spellEnd"/>
      <w:r w:rsidRPr="00441B04">
        <w:rPr>
          <w:rFonts w:ascii="Times New Roman" w:eastAsia="Times New Roman" w:hAnsi="Times New Roman" w:cs="Times New Roman"/>
        </w:rPr>
        <w:t xml:space="preserve">) εκκρίνονται στο μητρικό γάλα. Δεν έχει αναφερθεί καθαρτική επίδραση στα νεογνά που θηλάζουν. </w:t>
      </w:r>
    </w:p>
    <w:p w:rsidR="00B417A2" w:rsidRPr="00441B04" w:rsidRDefault="00B417A2" w:rsidP="00C21C74">
      <w:pPr>
        <w:pStyle w:val="Default"/>
        <w:rPr>
          <w:rFonts w:ascii="Times New Roman" w:eastAsia="Times New Roman" w:hAnsi="Times New Roman" w:cs="Times New Roman"/>
        </w:rPr>
      </w:pPr>
    </w:p>
    <w:p w:rsidR="00B417A2" w:rsidRPr="00441B04" w:rsidRDefault="00B417A2" w:rsidP="00B417A2">
      <w:pPr>
        <w:rPr>
          <w:b/>
          <w:snapToGrid w:val="0"/>
          <w:sz w:val="24"/>
          <w:szCs w:val="24"/>
        </w:rPr>
      </w:pPr>
      <w:r w:rsidRPr="00441B04">
        <w:rPr>
          <w:b/>
          <w:snapToGrid w:val="0"/>
          <w:sz w:val="24"/>
          <w:szCs w:val="24"/>
        </w:rPr>
        <w:lastRenderedPageBreak/>
        <w:t>Γονιμότητα</w:t>
      </w:r>
    </w:p>
    <w:p w:rsidR="00B417A2" w:rsidRPr="00245765" w:rsidRDefault="00B417A2" w:rsidP="00B417A2">
      <w:pPr>
        <w:rPr>
          <w:snapToGrid w:val="0"/>
          <w:sz w:val="24"/>
          <w:szCs w:val="24"/>
        </w:rPr>
      </w:pPr>
      <w:proofErr w:type="spellStart"/>
      <w:r w:rsidRPr="00245765">
        <w:rPr>
          <w:rStyle w:val="hps"/>
          <w:sz w:val="24"/>
          <w:szCs w:val="24"/>
        </w:rPr>
        <w:t>Προκλινικές</w:t>
      </w:r>
      <w:proofErr w:type="spellEnd"/>
      <w:r w:rsidRPr="00245765">
        <w:rPr>
          <w:rStyle w:val="hps"/>
          <w:sz w:val="24"/>
          <w:szCs w:val="24"/>
        </w:rPr>
        <w:t xml:space="preserve"> μελέτες με</w:t>
      </w:r>
      <w:r w:rsidRPr="00245765">
        <w:rPr>
          <w:sz w:val="24"/>
          <w:szCs w:val="24"/>
        </w:rPr>
        <w:t xml:space="preserve"> </w:t>
      </w:r>
      <w:proofErr w:type="spellStart"/>
      <w:r w:rsidRPr="00245765">
        <w:rPr>
          <w:sz w:val="24"/>
          <w:szCs w:val="24"/>
        </w:rPr>
        <w:t>σεννοσίδες</w:t>
      </w:r>
      <w:proofErr w:type="spellEnd"/>
      <w:r w:rsidRPr="00245765">
        <w:rPr>
          <w:rStyle w:val="hps"/>
          <w:sz w:val="24"/>
          <w:szCs w:val="24"/>
        </w:rPr>
        <w:t xml:space="preserve"> δεν δείχνουν</w:t>
      </w:r>
      <w:r w:rsidRPr="00245765">
        <w:rPr>
          <w:sz w:val="24"/>
          <w:szCs w:val="24"/>
        </w:rPr>
        <w:t xml:space="preserve"> </w:t>
      </w:r>
      <w:r w:rsidRPr="00245765">
        <w:rPr>
          <w:rStyle w:val="hps"/>
          <w:sz w:val="24"/>
          <w:szCs w:val="24"/>
        </w:rPr>
        <w:t>ιδιαίτερο κίνδυνο</w:t>
      </w:r>
      <w:r w:rsidRPr="00245765">
        <w:rPr>
          <w:sz w:val="24"/>
          <w:szCs w:val="24"/>
        </w:rPr>
        <w:t xml:space="preserve"> </w:t>
      </w:r>
      <w:r w:rsidRPr="00245765">
        <w:rPr>
          <w:rStyle w:val="hps"/>
          <w:sz w:val="24"/>
          <w:szCs w:val="24"/>
        </w:rPr>
        <w:t>για τη γονιμότητα</w:t>
      </w:r>
      <w:r w:rsidRPr="00245765">
        <w:rPr>
          <w:sz w:val="24"/>
          <w:szCs w:val="24"/>
        </w:rPr>
        <w:t xml:space="preserve"> </w:t>
      </w:r>
      <w:r w:rsidRPr="00245765">
        <w:rPr>
          <w:rStyle w:val="hps"/>
          <w:sz w:val="24"/>
          <w:szCs w:val="24"/>
        </w:rPr>
        <w:t>σε θεραπευτικές</w:t>
      </w:r>
      <w:r w:rsidRPr="00245765">
        <w:rPr>
          <w:sz w:val="24"/>
          <w:szCs w:val="24"/>
        </w:rPr>
        <w:t xml:space="preserve"> </w:t>
      </w:r>
      <w:r w:rsidRPr="00245765">
        <w:rPr>
          <w:rStyle w:val="hps"/>
          <w:sz w:val="24"/>
          <w:szCs w:val="24"/>
        </w:rPr>
        <w:t>δόσεις</w:t>
      </w:r>
      <w:r w:rsidRPr="00245765">
        <w:rPr>
          <w:sz w:val="24"/>
          <w:szCs w:val="24"/>
        </w:rPr>
        <w:t>.</w:t>
      </w:r>
    </w:p>
    <w:p w:rsidR="00BC039D" w:rsidRPr="00441B04" w:rsidRDefault="00BC039D">
      <w:pPr>
        <w:rPr>
          <w:sz w:val="24"/>
          <w:szCs w:val="24"/>
        </w:rPr>
      </w:pPr>
    </w:p>
    <w:p w:rsidR="00F94A67" w:rsidRPr="00720982" w:rsidRDefault="00EA106C" w:rsidP="00F94A67">
      <w:pPr>
        <w:pStyle w:val="2"/>
        <w:jc w:val="both"/>
        <w:rPr>
          <w:lang w:val="el-GR"/>
        </w:rPr>
      </w:pPr>
      <w:r w:rsidRPr="00EA106C">
        <w:rPr>
          <w:caps/>
          <w:lang w:val="el-GR"/>
        </w:rPr>
        <w:t xml:space="preserve">4.7. </w:t>
      </w:r>
      <w:r w:rsidRPr="00EA106C">
        <w:rPr>
          <w:caps/>
          <w:lang w:val="el-GR"/>
        </w:rPr>
        <w:tab/>
      </w:r>
      <w:r w:rsidRPr="00EA106C">
        <w:rPr>
          <w:lang w:val="el-GR"/>
        </w:rPr>
        <w:t>Επιδράσεις στην ικανότητα οδήγησης και χειρισμού μηχανών</w:t>
      </w:r>
    </w:p>
    <w:p w:rsidR="00F665AE" w:rsidRPr="00F665AE" w:rsidRDefault="00F665AE" w:rsidP="00F665AE">
      <w:pPr>
        <w:jc w:val="both"/>
        <w:rPr>
          <w:noProof/>
          <w:sz w:val="24"/>
          <w:szCs w:val="24"/>
        </w:rPr>
      </w:pPr>
      <w:r w:rsidRPr="00F665AE">
        <w:rPr>
          <w:noProof/>
          <w:sz w:val="24"/>
          <w:szCs w:val="24"/>
        </w:rPr>
        <w:t>Το EX-LAX δεν έχει καμία επίδραση στην ικανότητα οδήγησης και χειρισμού μηχανών.</w:t>
      </w:r>
    </w:p>
    <w:p w:rsidR="00BC039D" w:rsidRPr="00441B04" w:rsidRDefault="00BC039D">
      <w:pPr>
        <w:rPr>
          <w:i/>
          <w:sz w:val="24"/>
          <w:szCs w:val="24"/>
        </w:rPr>
      </w:pPr>
    </w:p>
    <w:p w:rsidR="00F94A67" w:rsidRPr="00720982" w:rsidRDefault="00EA106C" w:rsidP="00F94A67">
      <w:pPr>
        <w:pStyle w:val="2"/>
        <w:jc w:val="both"/>
        <w:rPr>
          <w:lang w:val="el-GR"/>
        </w:rPr>
      </w:pPr>
      <w:r w:rsidRPr="00EA106C">
        <w:rPr>
          <w:caps/>
          <w:lang w:val="el-GR"/>
        </w:rPr>
        <w:t>4.8.</w:t>
      </w:r>
      <w:r w:rsidRPr="00EA106C">
        <w:rPr>
          <w:caps/>
          <w:lang w:val="el-GR"/>
        </w:rPr>
        <w:tab/>
      </w:r>
      <w:r w:rsidRPr="00EA106C">
        <w:rPr>
          <w:lang w:val="el-GR"/>
        </w:rPr>
        <w:t>Ανεπιθύμητες ενέργειες</w:t>
      </w:r>
    </w:p>
    <w:p w:rsidR="00D90925" w:rsidRPr="00720982" w:rsidRDefault="00EA106C" w:rsidP="00D90925">
      <w:pPr>
        <w:pStyle w:val="2"/>
        <w:ind w:left="0" w:firstLine="0"/>
        <w:jc w:val="both"/>
        <w:rPr>
          <w:rStyle w:val="hps"/>
          <w:b w:val="0"/>
          <w:lang w:val="el-GR"/>
        </w:rPr>
      </w:pPr>
      <w:r w:rsidRPr="00EA106C">
        <w:rPr>
          <w:rStyle w:val="hps"/>
          <w:b w:val="0"/>
          <w:lang w:val="el-GR"/>
        </w:rPr>
        <w:t>Μπορεί να εμφανιστούν αντιδράσεις υπερευαισθησίας (κνησμός, κνίδωση, τοπικό ή γενικευμένο εξάνθημα).</w:t>
      </w:r>
    </w:p>
    <w:p w:rsidR="00D90925" w:rsidRPr="0061077A" w:rsidRDefault="00D90925" w:rsidP="00A44AD8">
      <w:pPr>
        <w:pStyle w:val="Default"/>
        <w:spacing w:before="120"/>
        <w:jc w:val="both"/>
        <w:rPr>
          <w:rFonts w:ascii="Times New Roman" w:hAnsi="Times New Roman" w:cs="Times New Roman"/>
          <w:color w:val="auto"/>
        </w:rPr>
      </w:pPr>
      <w:r w:rsidRPr="0061077A">
        <w:rPr>
          <w:rFonts w:ascii="Times New Roman" w:hAnsi="Times New Roman" w:cs="Times New Roman"/>
          <w:color w:val="auto"/>
        </w:rPr>
        <w:t xml:space="preserve">Τα φύλλα σέννας μπορεί να προκαλέσουν κοιλιακό άλγος και σπασμό και δίοδο υγρών κοπράνων, ιδιαίτερα σε ασθενείς με ευερέθιστο κόλον. Ωστόσο, αυτά τα συμπτώματα μπορεί να εμφανιστούν γενικά ως συνέπεια ατομικής </w:t>
      </w:r>
      <w:proofErr w:type="spellStart"/>
      <w:r w:rsidRPr="0061077A">
        <w:rPr>
          <w:rFonts w:ascii="Times New Roman" w:hAnsi="Times New Roman" w:cs="Times New Roman"/>
          <w:color w:val="auto"/>
        </w:rPr>
        <w:t>υπερδοσολογίας</w:t>
      </w:r>
      <w:proofErr w:type="spellEnd"/>
      <w:r w:rsidRPr="0061077A">
        <w:rPr>
          <w:rFonts w:ascii="Times New Roman" w:hAnsi="Times New Roman" w:cs="Times New Roman"/>
          <w:color w:val="auto"/>
        </w:rPr>
        <w:t xml:space="preserve">. Σε τέτοιες περιπτώσεις είναι απαραίτητη η ελάττωση της δόσης. </w:t>
      </w:r>
    </w:p>
    <w:p w:rsidR="00D90925" w:rsidRPr="0082559F" w:rsidRDefault="00D90925" w:rsidP="00A44AD8">
      <w:pPr>
        <w:pStyle w:val="2"/>
        <w:ind w:left="0" w:firstLine="0"/>
        <w:jc w:val="both"/>
        <w:rPr>
          <w:rFonts w:eastAsia="MS Mincho"/>
          <w:b w:val="0"/>
          <w:bCs w:val="0"/>
          <w:color w:val="000000"/>
          <w:lang w:val="el-GR" w:eastAsia="ja-JP"/>
        </w:rPr>
      </w:pPr>
      <w:r w:rsidRPr="0082559F">
        <w:rPr>
          <w:rFonts w:eastAsia="MS Mincho"/>
          <w:b w:val="0"/>
          <w:bCs w:val="0"/>
          <w:color w:val="000000"/>
          <w:lang w:val="el-GR" w:eastAsia="ja-JP"/>
        </w:rPr>
        <w:t>Οι ανεπιθύμητες ενέργειες που παρατίθενται παρακάτω έχουν καταγραφεί από αυθόρμητες αναφορές</w:t>
      </w:r>
      <w:r w:rsidR="0082559F">
        <w:rPr>
          <w:rFonts w:eastAsia="MS Mincho"/>
          <w:b w:val="0"/>
          <w:bCs w:val="0"/>
          <w:color w:val="000000"/>
          <w:lang w:val="el-GR" w:eastAsia="ja-JP"/>
        </w:rPr>
        <w:t>,</w:t>
      </w:r>
      <w:r w:rsidRPr="0082559F">
        <w:rPr>
          <w:rFonts w:eastAsia="MS Mincho"/>
          <w:b w:val="0"/>
          <w:bCs w:val="0"/>
          <w:color w:val="000000"/>
          <w:lang w:val="el-GR" w:eastAsia="ja-JP"/>
        </w:rPr>
        <w:t xml:space="preserve"> μετά την κυκλοφορία του προϊόντος και η εκτίμηση της συχνότητας εμφάνισης τους είναι λιγότερο ακριβής σε σχέση με εκείνη που προκύπτει από τις κλινικές μελέτες.</w:t>
      </w:r>
    </w:p>
    <w:p w:rsidR="00D90925" w:rsidRPr="00720982" w:rsidRDefault="00D90925" w:rsidP="0061077A">
      <w:pPr>
        <w:pStyle w:val="Default"/>
        <w:jc w:val="both"/>
        <w:rPr>
          <w:rFonts w:ascii="Times New Roman" w:hAnsi="Times New Roman" w:cs="Times New Roman"/>
          <w:color w:val="auto"/>
        </w:rPr>
      </w:pPr>
      <w:r w:rsidRPr="0061077A">
        <w:rPr>
          <w:rFonts w:ascii="Times New Roman" w:hAnsi="Times New Roman" w:cs="Times New Roman"/>
          <w:color w:val="auto"/>
        </w:rPr>
        <w:t>Άλλες ανεπιθύμητες ενέργειες όπως αφυδάτωση, υπότα</w:t>
      </w:r>
      <w:r w:rsidR="001514DE">
        <w:rPr>
          <w:rFonts w:ascii="Times New Roman" w:hAnsi="Times New Roman" w:cs="Times New Roman"/>
          <w:color w:val="auto"/>
        </w:rPr>
        <w:t>ση, κόπωση, μυ</w:t>
      </w:r>
      <w:r w:rsidR="00F70681">
        <w:rPr>
          <w:rFonts w:ascii="Times New Roman" w:hAnsi="Times New Roman" w:cs="Times New Roman"/>
          <w:color w:val="auto"/>
        </w:rPr>
        <w:t>ϊκή αδυν</w:t>
      </w:r>
      <w:r w:rsidR="001514DE">
        <w:rPr>
          <w:rFonts w:ascii="Times New Roman" w:hAnsi="Times New Roman" w:cs="Times New Roman"/>
          <w:color w:val="auto"/>
        </w:rPr>
        <w:t>αμία</w:t>
      </w:r>
      <w:r w:rsidRPr="0061077A">
        <w:rPr>
          <w:rFonts w:ascii="Times New Roman" w:hAnsi="Times New Roman" w:cs="Times New Roman"/>
          <w:color w:val="auto"/>
        </w:rPr>
        <w:t xml:space="preserve">, στομαχικό άλγος, </w:t>
      </w:r>
      <w:proofErr w:type="spellStart"/>
      <w:r w:rsidRPr="0061077A">
        <w:rPr>
          <w:rFonts w:ascii="Times New Roman" w:hAnsi="Times New Roman" w:cs="Times New Roman"/>
          <w:color w:val="auto"/>
        </w:rPr>
        <w:t>υπονατριαιμία</w:t>
      </w:r>
      <w:proofErr w:type="spellEnd"/>
      <w:r w:rsidRPr="0061077A">
        <w:rPr>
          <w:rFonts w:ascii="Times New Roman" w:hAnsi="Times New Roman" w:cs="Times New Roman"/>
          <w:color w:val="auto"/>
        </w:rPr>
        <w:t xml:space="preserve">, νεφρικές διαταραχές, δευτερεύων </w:t>
      </w:r>
      <w:proofErr w:type="spellStart"/>
      <w:r w:rsidRPr="0061077A">
        <w:rPr>
          <w:rFonts w:ascii="Times New Roman" w:hAnsi="Times New Roman" w:cs="Times New Roman"/>
          <w:color w:val="auto"/>
        </w:rPr>
        <w:t>υπ</w:t>
      </w:r>
      <w:r w:rsidR="00BE33CC">
        <w:rPr>
          <w:rFonts w:ascii="Times New Roman" w:hAnsi="Times New Roman" w:cs="Times New Roman"/>
          <w:color w:val="auto"/>
        </w:rPr>
        <w:t>εραλδοστερονισμός</w:t>
      </w:r>
      <w:proofErr w:type="spellEnd"/>
      <w:r w:rsidR="00BE33CC">
        <w:rPr>
          <w:rFonts w:ascii="Times New Roman" w:hAnsi="Times New Roman" w:cs="Times New Roman"/>
          <w:color w:val="auto"/>
        </w:rPr>
        <w:t xml:space="preserve">, </w:t>
      </w:r>
      <w:proofErr w:type="spellStart"/>
      <w:r w:rsidR="00BE33CC">
        <w:rPr>
          <w:rFonts w:ascii="Times New Roman" w:hAnsi="Times New Roman" w:cs="Times New Roman"/>
          <w:color w:val="auto"/>
        </w:rPr>
        <w:t>υποκαλιαιμία</w:t>
      </w:r>
      <w:proofErr w:type="spellEnd"/>
      <w:r w:rsidRPr="0061077A">
        <w:rPr>
          <w:rFonts w:ascii="Times New Roman" w:hAnsi="Times New Roman" w:cs="Times New Roman"/>
          <w:color w:val="auto"/>
        </w:rPr>
        <w:t xml:space="preserve"> και </w:t>
      </w:r>
      <w:proofErr w:type="spellStart"/>
      <w:r w:rsidRPr="0061077A">
        <w:rPr>
          <w:rFonts w:ascii="Times New Roman" w:hAnsi="Times New Roman" w:cs="Times New Roman"/>
          <w:color w:val="auto"/>
        </w:rPr>
        <w:t>υπομαγνησιαιμία</w:t>
      </w:r>
      <w:proofErr w:type="spellEnd"/>
      <w:r w:rsidRPr="0061077A">
        <w:rPr>
          <w:rFonts w:ascii="Times New Roman" w:hAnsi="Times New Roman" w:cs="Times New Roman"/>
          <w:color w:val="auto"/>
        </w:rPr>
        <w:t>, μειωμένοι ηλεκτρολύτες στο αίμα έχουν επίσης αναφερθεί. Αυτές οι ανεπιθύμητες ενέργειες είναι συνήθως αναστρέψιμες με τη διακοπή του φαρμάκου.</w:t>
      </w:r>
    </w:p>
    <w:p w:rsidR="009F3890" w:rsidRPr="0061077A" w:rsidRDefault="009F3890" w:rsidP="009F3890">
      <w:pPr>
        <w:pStyle w:val="Default"/>
        <w:jc w:val="both"/>
        <w:rPr>
          <w:rFonts w:ascii="Times New Roman" w:hAnsi="Times New Roman" w:cs="Times New Roman"/>
          <w:color w:val="auto"/>
        </w:rPr>
      </w:pPr>
      <w:r w:rsidRPr="0061077A">
        <w:rPr>
          <w:rFonts w:ascii="Times New Roman" w:hAnsi="Times New Roman" w:cs="Times New Roman"/>
          <w:color w:val="auto"/>
        </w:rPr>
        <w:t xml:space="preserve">Η χρόνια χρήση μπορεί να προκαλέσει διαταραχές στο ισοζύγιο ύδατος και το μεταβολισμό των ηλεκτρολυτών και μπορεί να οδηγήσει σε πρωτεϊνουρία και αιματουρία.  </w:t>
      </w:r>
    </w:p>
    <w:p w:rsidR="00D90925" w:rsidRPr="0061077A" w:rsidRDefault="00D90925" w:rsidP="00D90925">
      <w:pPr>
        <w:pStyle w:val="Default"/>
        <w:jc w:val="both"/>
        <w:rPr>
          <w:rFonts w:ascii="Times New Roman" w:hAnsi="Times New Roman" w:cs="Times New Roman"/>
          <w:color w:val="auto"/>
          <w:highlight w:val="magenta"/>
        </w:rPr>
      </w:pPr>
    </w:p>
    <w:p w:rsidR="00D90925" w:rsidRPr="0061077A" w:rsidRDefault="00D90925" w:rsidP="00D90925">
      <w:pPr>
        <w:pStyle w:val="Default"/>
        <w:jc w:val="both"/>
        <w:rPr>
          <w:rFonts w:ascii="Times New Roman" w:hAnsi="Times New Roman" w:cs="Times New Roman"/>
          <w:color w:val="auto"/>
        </w:rPr>
      </w:pPr>
      <w:r w:rsidRPr="0061077A">
        <w:rPr>
          <w:rFonts w:ascii="Times New Roman" w:hAnsi="Times New Roman" w:cs="Times New Roman"/>
          <w:color w:val="auto"/>
        </w:rPr>
        <w:t xml:space="preserve">Υπάρχει επίσης πιθανότητα ανάπτυξης του </w:t>
      </w:r>
      <w:proofErr w:type="spellStart"/>
      <w:r w:rsidRPr="0061077A">
        <w:rPr>
          <w:rFonts w:ascii="Times New Roman" w:hAnsi="Times New Roman" w:cs="Times New Roman"/>
          <w:color w:val="auto"/>
        </w:rPr>
        <w:t>μεγακόλου</w:t>
      </w:r>
      <w:proofErr w:type="spellEnd"/>
      <w:r w:rsidRPr="0061077A">
        <w:rPr>
          <w:rFonts w:ascii="Times New Roman" w:hAnsi="Times New Roman" w:cs="Times New Roman"/>
          <w:color w:val="auto"/>
        </w:rPr>
        <w:t xml:space="preserve">. </w:t>
      </w:r>
    </w:p>
    <w:p w:rsidR="00D90925" w:rsidRPr="0061077A" w:rsidRDefault="00D90925" w:rsidP="00D90925">
      <w:pPr>
        <w:pStyle w:val="Default"/>
        <w:jc w:val="both"/>
        <w:rPr>
          <w:rFonts w:ascii="Times New Roman" w:hAnsi="Times New Roman" w:cs="Times New Roman"/>
          <w:color w:val="auto"/>
        </w:rPr>
      </w:pPr>
      <w:r w:rsidRPr="0061077A">
        <w:rPr>
          <w:rFonts w:ascii="Times New Roman" w:hAnsi="Times New Roman" w:cs="Times New Roman"/>
          <w:color w:val="auto"/>
        </w:rPr>
        <w:t xml:space="preserve">Επιπλέον, η χρόνια χρήση μπορεί να προκαλέσει </w:t>
      </w:r>
      <w:proofErr w:type="spellStart"/>
      <w:r w:rsidRPr="0061077A">
        <w:rPr>
          <w:rFonts w:ascii="Times New Roman" w:hAnsi="Times New Roman" w:cs="Times New Roman"/>
          <w:color w:val="auto"/>
        </w:rPr>
        <w:t>μελάγχρωση</w:t>
      </w:r>
      <w:proofErr w:type="spellEnd"/>
      <w:r w:rsidRPr="0061077A">
        <w:rPr>
          <w:rFonts w:ascii="Times New Roman" w:hAnsi="Times New Roman" w:cs="Times New Roman"/>
          <w:color w:val="auto"/>
        </w:rPr>
        <w:t xml:space="preserve"> του εντερικού βλεννογόνου (εντερική </w:t>
      </w:r>
      <w:proofErr w:type="spellStart"/>
      <w:r w:rsidRPr="0061077A">
        <w:rPr>
          <w:rFonts w:ascii="Times New Roman" w:hAnsi="Times New Roman" w:cs="Times New Roman"/>
          <w:color w:val="auto"/>
        </w:rPr>
        <w:t>ψευδομελάνωση</w:t>
      </w:r>
      <w:proofErr w:type="spellEnd"/>
      <w:r w:rsidRPr="0061077A">
        <w:rPr>
          <w:rFonts w:ascii="Times New Roman" w:hAnsi="Times New Roman" w:cs="Times New Roman"/>
          <w:color w:val="auto"/>
        </w:rPr>
        <w:t xml:space="preserve">), η οποία συνήθως </w:t>
      </w:r>
      <w:r w:rsidR="0082559F" w:rsidRPr="00715D8C">
        <w:rPr>
          <w:rFonts w:ascii="Times New Roman" w:hAnsi="Times New Roman" w:cs="Times New Roman"/>
          <w:color w:val="auto"/>
        </w:rPr>
        <w:t xml:space="preserve">είναι αναστρέψιμη </w:t>
      </w:r>
      <w:r w:rsidRPr="0061077A">
        <w:rPr>
          <w:rFonts w:ascii="Times New Roman" w:hAnsi="Times New Roman" w:cs="Times New Roman"/>
          <w:color w:val="auto"/>
        </w:rPr>
        <w:t xml:space="preserve">όταν ο ασθενής σταματήσει να λαμβάνει το σκεύασμα. </w:t>
      </w:r>
    </w:p>
    <w:p w:rsidR="00D90925" w:rsidRPr="00441B04" w:rsidRDefault="00D90925" w:rsidP="00D90925">
      <w:pPr>
        <w:pStyle w:val="Default"/>
        <w:jc w:val="both"/>
        <w:rPr>
          <w:rFonts w:ascii="Times New Roman" w:eastAsia="Times New Roman" w:hAnsi="Times New Roman" w:cs="Times New Roman"/>
          <w:color w:val="auto"/>
          <w:lang w:eastAsia="en-US"/>
        </w:rPr>
      </w:pPr>
      <w:r w:rsidRPr="0061077A">
        <w:rPr>
          <w:rFonts w:ascii="Times New Roman" w:hAnsi="Times New Roman" w:cs="Times New Roman"/>
          <w:color w:val="auto"/>
        </w:rPr>
        <w:t xml:space="preserve">Κίτρινος ή κόκκινος-καφέ αποχρωματισμός (ανάλογα με το </w:t>
      </w:r>
      <w:r w:rsidRPr="0061077A">
        <w:rPr>
          <w:rFonts w:ascii="Times New Roman" w:hAnsi="Times New Roman" w:cs="Times New Roman"/>
          <w:color w:val="auto"/>
          <w:lang w:val="en-US"/>
        </w:rPr>
        <w:t>pH</w:t>
      </w:r>
      <w:r w:rsidRPr="0061077A">
        <w:rPr>
          <w:rFonts w:ascii="Times New Roman" w:hAnsi="Times New Roman" w:cs="Times New Roman"/>
          <w:color w:val="auto"/>
        </w:rPr>
        <w:t>) των ούρων από τους μεταβολίτες, ο οποίος δεν έχει κλινική σημασία, μπορεί να παρατηρηθεί κατά τη</w:t>
      </w:r>
      <w:r w:rsidRPr="00441B04">
        <w:rPr>
          <w:rFonts w:ascii="Times New Roman" w:hAnsi="Times New Roman" w:cs="Times New Roman"/>
        </w:rPr>
        <w:t xml:space="preserve"> </w:t>
      </w:r>
      <w:r w:rsidRPr="00441B04">
        <w:rPr>
          <w:rFonts w:ascii="Times New Roman" w:eastAsia="Times New Roman" w:hAnsi="Times New Roman" w:cs="Times New Roman"/>
          <w:color w:val="auto"/>
          <w:lang w:eastAsia="en-US"/>
        </w:rPr>
        <w:t>διάρκεια της θεραπείας. Έχε</w:t>
      </w:r>
      <w:r w:rsidR="00B7396A">
        <w:rPr>
          <w:rFonts w:ascii="Times New Roman" w:eastAsia="Times New Roman" w:hAnsi="Times New Roman" w:cs="Times New Roman"/>
          <w:color w:val="auto"/>
          <w:lang w:eastAsia="en-US"/>
        </w:rPr>
        <w:t>ι αναφερθεί εξάρτηση</w:t>
      </w:r>
      <w:r w:rsidRPr="00441B04">
        <w:rPr>
          <w:rFonts w:ascii="Times New Roman" w:eastAsia="Times New Roman" w:hAnsi="Times New Roman" w:cs="Times New Roman"/>
          <w:color w:val="auto"/>
          <w:lang w:eastAsia="en-US"/>
        </w:rPr>
        <w:t xml:space="preserve"> από τα καθαρτικά μετά από χρόνια χρήση. </w:t>
      </w:r>
    </w:p>
    <w:p w:rsidR="00806709" w:rsidRPr="00441B04" w:rsidRDefault="00806709" w:rsidP="00806709">
      <w:pPr>
        <w:pStyle w:val="Default"/>
        <w:rPr>
          <w:rFonts w:ascii="Times New Roman" w:hAnsi="Times New Roman" w:cs="Times New Roman"/>
          <w:b/>
          <w:highlight w:val="yellow"/>
        </w:rPr>
      </w:pPr>
    </w:p>
    <w:p w:rsidR="008E30BC" w:rsidRPr="00225AA2" w:rsidRDefault="008E30BC" w:rsidP="008E30BC">
      <w:pPr>
        <w:jc w:val="both"/>
        <w:rPr>
          <w:b/>
          <w:sz w:val="24"/>
          <w:szCs w:val="24"/>
        </w:rPr>
      </w:pPr>
      <w:r w:rsidRPr="0061077A">
        <w:rPr>
          <w:b/>
          <w:sz w:val="24"/>
          <w:szCs w:val="24"/>
        </w:rPr>
        <w:t>Αναφορά πιθανολογούμενων ανεπιθύμητων ενεργειών</w:t>
      </w:r>
    </w:p>
    <w:p w:rsidR="008E30BC" w:rsidRPr="00441B04" w:rsidRDefault="008E30BC" w:rsidP="0061077A">
      <w:pPr>
        <w:jc w:val="both"/>
        <w:rPr>
          <w:sz w:val="24"/>
          <w:szCs w:val="24"/>
        </w:rPr>
      </w:pPr>
      <w:r w:rsidRPr="00441B04">
        <w:rPr>
          <w:sz w:val="24"/>
          <w:szCs w:val="24"/>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w:t>
      </w:r>
    </w:p>
    <w:p w:rsidR="008E30BC" w:rsidRPr="00441B04" w:rsidRDefault="008E30BC" w:rsidP="0061077A">
      <w:pPr>
        <w:jc w:val="both"/>
        <w:rPr>
          <w:sz w:val="24"/>
          <w:szCs w:val="24"/>
        </w:rPr>
      </w:pPr>
    </w:p>
    <w:p w:rsidR="008E30BC" w:rsidRPr="00441B04" w:rsidRDefault="008E30BC" w:rsidP="008E30BC">
      <w:pPr>
        <w:jc w:val="both"/>
        <w:rPr>
          <w:sz w:val="24"/>
          <w:szCs w:val="24"/>
        </w:rPr>
      </w:pPr>
      <w:r w:rsidRPr="00441B04">
        <w:rPr>
          <w:sz w:val="24"/>
          <w:szCs w:val="24"/>
        </w:rPr>
        <w:lastRenderedPageBreak/>
        <w:t>–</w:t>
      </w:r>
      <w:r w:rsidRPr="00441B04">
        <w:rPr>
          <w:sz w:val="24"/>
          <w:szCs w:val="24"/>
        </w:rPr>
        <w:tab/>
        <w:t xml:space="preserve">στον Εθνικό Οργανισμό Φαρμάκων, Μεσογείων 284, GR-15562 Χολαργός, Αθήνα, </w:t>
      </w:r>
      <w:proofErr w:type="spellStart"/>
      <w:r w:rsidRPr="00441B04">
        <w:rPr>
          <w:sz w:val="24"/>
          <w:szCs w:val="24"/>
        </w:rPr>
        <w:t>Τηλ</w:t>
      </w:r>
      <w:proofErr w:type="spellEnd"/>
      <w:r w:rsidRPr="00441B04">
        <w:rPr>
          <w:sz w:val="24"/>
          <w:szCs w:val="24"/>
        </w:rPr>
        <w:t xml:space="preserve">: + 30 21 32040380/337, Φαξ: + 30 210 6549585, </w:t>
      </w:r>
      <w:proofErr w:type="spellStart"/>
      <w:r w:rsidRPr="00441B04">
        <w:rPr>
          <w:sz w:val="24"/>
          <w:szCs w:val="24"/>
        </w:rPr>
        <w:t>Ιστότοπος</w:t>
      </w:r>
      <w:proofErr w:type="spellEnd"/>
      <w:r w:rsidRPr="00441B04">
        <w:rPr>
          <w:sz w:val="24"/>
          <w:szCs w:val="24"/>
        </w:rPr>
        <w:t>: http://www.</w:t>
      </w:r>
      <w:r w:rsidR="009F3890">
        <w:rPr>
          <w:sz w:val="24"/>
          <w:szCs w:val="24"/>
        </w:rPr>
        <w:t>eof.gr, για την Ελλάδα.</w:t>
      </w:r>
    </w:p>
    <w:p w:rsidR="00F94A67" w:rsidRPr="00720982" w:rsidRDefault="00EA106C" w:rsidP="00F94A67">
      <w:pPr>
        <w:pStyle w:val="2"/>
        <w:jc w:val="both"/>
        <w:rPr>
          <w:caps/>
          <w:lang w:val="el-GR"/>
        </w:rPr>
      </w:pPr>
      <w:r w:rsidRPr="00EA106C">
        <w:rPr>
          <w:caps/>
          <w:lang w:val="el-GR"/>
        </w:rPr>
        <w:t>4.9.</w:t>
      </w:r>
      <w:r w:rsidRPr="00EA106C">
        <w:rPr>
          <w:caps/>
          <w:lang w:val="el-GR"/>
        </w:rPr>
        <w:tab/>
      </w:r>
      <w:proofErr w:type="spellStart"/>
      <w:r w:rsidRPr="00EA106C">
        <w:rPr>
          <w:lang w:val="el-GR"/>
        </w:rPr>
        <w:t>Υπερδοσολογία</w:t>
      </w:r>
      <w:proofErr w:type="spellEnd"/>
      <w:r w:rsidRPr="00EA106C">
        <w:rPr>
          <w:caps/>
          <w:lang w:val="el-GR"/>
        </w:rPr>
        <w:t xml:space="preserve"> </w:t>
      </w:r>
    </w:p>
    <w:p w:rsidR="00BD2D8A" w:rsidRPr="00441B04" w:rsidRDefault="00BD2D8A" w:rsidP="00B7396A">
      <w:pPr>
        <w:pStyle w:val="Default"/>
        <w:jc w:val="both"/>
        <w:rPr>
          <w:rFonts w:ascii="Times New Roman" w:eastAsia="Times New Roman" w:hAnsi="Times New Roman" w:cs="Times New Roman"/>
        </w:rPr>
      </w:pPr>
      <w:r w:rsidRPr="00441B04">
        <w:rPr>
          <w:rFonts w:ascii="Times New Roman" w:eastAsia="Times New Roman" w:hAnsi="Times New Roman" w:cs="Times New Roman"/>
        </w:rPr>
        <w:t xml:space="preserve">Τα κύρια συμπτώματα της </w:t>
      </w:r>
      <w:proofErr w:type="spellStart"/>
      <w:r w:rsidRPr="00441B04">
        <w:rPr>
          <w:rFonts w:ascii="Times New Roman" w:eastAsia="Times New Roman" w:hAnsi="Times New Roman" w:cs="Times New Roman"/>
        </w:rPr>
        <w:t>υπερδοσολογίας</w:t>
      </w:r>
      <w:proofErr w:type="spellEnd"/>
      <w:r w:rsidRPr="00441B04">
        <w:rPr>
          <w:rFonts w:ascii="Times New Roman" w:eastAsia="Times New Roman" w:hAnsi="Times New Roman" w:cs="Times New Roman"/>
        </w:rPr>
        <w:t xml:space="preserve">/κατάχρησης είναι </w:t>
      </w:r>
      <w:proofErr w:type="spellStart"/>
      <w:r w:rsidRPr="00441B04">
        <w:rPr>
          <w:rFonts w:ascii="Times New Roman" w:eastAsia="Times New Roman" w:hAnsi="Times New Roman" w:cs="Times New Roman"/>
        </w:rPr>
        <w:t>συσφικτικό</w:t>
      </w:r>
      <w:proofErr w:type="spellEnd"/>
      <w:r w:rsidRPr="00441B04">
        <w:rPr>
          <w:rFonts w:ascii="Times New Roman" w:eastAsia="Times New Roman" w:hAnsi="Times New Roman" w:cs="Times New Roman"/>
        </w:rPr>
        <w:t xml:space="preserve"> άλγος και σοβαρή διάρροια με συνέπεια απώλεια υγρών και ηλεκτρολυτών που πρέπει να αναπληρωθούν. Ειδικά η διάρροια μπορεί να προκαλέσει έλλειψη καλίου, η οποία μπορεί να οδηγήσει σε καρδιακές διαταραχές και μυϊκή αδυναμία, ειδικά όταν λαμβάνονται ταυτόχρονα καρδιακοί </w:t>
      </w:r>
      <w:proofErr w:type="spellStart"/>
      <w:r w:rsidRPr="00441B04">
        <w:rPr>
          <w:rFonts w:ascii="Times New Roman" w:eastAsia="Times New Roman" w:hAnsi="Times New Roman" w:cs="Times New Roman"/>
        </w:rPr>
        <w:t>γλυκοσίδες</w:t>
      </w:r>
      <w:proofErr w:type="spellEnd"/>
      <w:r w:rsidRPr="00441B04">
        <w:rPr>
          <w:rFonts w:ascii="Times New Roman" w:eastAsia="Times New Roman" w:hAnsi="Times New Roman" w:cs="Times New Roman"/>
        </w:rPr>
        <w:t xml:space="preserve">, διουρητικά, </w:t>
      </w:r>
      <w:proofErr w:type="spellStart"/>
      <w:r w:rsidRPr="00441B04">
        <w:rPr>
          <w:rFonts w:ascii="Times New Roman" w:eastAsia="Times New Roman" w:hAnsi="Times New Roman" w:cs="Times New Roman"/>
        </w:rPr>
        <w:t>αδρενοκορτικοστεροειδή</w:t>
      </w:r>
      <w:proofErr w:type="spellEnd"/>
      <w:r w:rsidRPr="00441B04">
        <w:rPr>
          <w:rFonts w:ascii="Times New Roman" w:eastAsia="Times New Roman" w:hAnsi="Times New Roman" w:cs="Times New Roman"/>
        </w:rPr>
        <w:t xml:space="preserve"> ή </w:t>
      </w:r>
      <w:proofErr w:type="spellStart"/>
      <w:r w:rsidRPr="00441B04">
        <w:rPr>
          <w:rFonts w:ascii="Times New Roman" w:eastAsia="Times New Roman" w:hAnsi="Times New Roman" w:cs="Times New Roman"/>
        </w:rPr>
        <w:t>γλυκύρριζα</w:t>
      </w:r>
      <w:proofErr w:type="spellEnd"/>
      <w:r w:rsidRPr="00441B04">
        <w:rPr>
          <w:rFonts w:ascii="Times New Roman" w:eastAsia="Times New Roman" w:hAnsi="Times New Roman" w:cs="Times New Roman"/>
        </w:rPr>
        <w:t xml:space="preserve">. </w:t>
      </w:r>
    </w:p>
    <w:p w:rsidR="00BD2D8A" w:rsidRPr="00441B04" w:rsidRDefault="00BD2D8A" w:rsidP="00B7396A">
      <w:pPr>
        <w:pStyle w:val="Default"/>
        <w:jc w:val="both"/>
        <w:rPr>
          <w:rFonts w:ascii="Times New Roman" w:eastAsia="Times New Roman" w:hAnsi="Times New Roman" w:cs="Times New Roman"/>
        </w:rPr>
      </w:pPr>
      <w:r w:rsidRPr="00441B04">
        <w:rPr>
          <w:rFonts w:ascii="Times New Roman" w:eastAsia="Times New Roman" w:hAnsi="Times New Roman" w:cs="Times New Roman"/>
        </w:rPr>
        <w:t xml:space="preserve">Η θεραπεία θα πρέπει να είναι υποστηρικτική με επαρκείς ποσότητες ύδατος. Θα πρέπει να παρακολουθούνται οι ηλεκτρολύτες και ειδικότερα το κάλιο. Αυτό είναι ιδιαίτερα σημαντικό στους ηλικιωμένους. </w:t>
      </w:r>
    </w:p>
    <w:p w:rsidR="002859C1" w:rsidRPr="00720982" w:rsidRDefault="00BD2D8A" w:rsidP="00B7396A">
      <w:pPr>
        <w:rPr>
          <w:sz w:val="24"/>
          <w:szCs w:val="24"/>
        </w:rPr>
      </w:pPr>
      <w:r w:rsidRPr="00441B04">
        <w:rPr>
          <w:sz w:val="24"/>
          <w:szCs w:val="24"/>
        </w:rPr>
        <w:t xml:space="preserve">Η χρόνια κατανάλωση υπερβολικών δόσεων φαρμακευτικών προϊόντων που περιέχουν </w:t>
      </w:r>
      <w:proofErr w:type="spellStart"/>
      <w:r w:rsidRPr="00441B04">
        <w:rPr>
          <w:sz w:val="24"/>
          <w:szCs w:val="24"/>
        </w:rPr>
        <w:t>ανθρανοειδή</w:t>
      </w:r>
      <w:proofErr w:type="spellEnd"/>
      <w:r w:rsidRPr="00441B04">
        <w:rPr>
          <w:sz w:val="24"/>
          <w:szCs w:val="24"/>
        </w:rPr>
        <w:t xml:space="preserve"> μπορεί να οδηγήσει σε τοξική ηπατίτιδα.</w:t>
      </w:r>
    </w:p>
    <w:p w:rsidR="00B05703" w:rsidRPr="00720982" w:rsidRDefault="00B05703" w:rsidP="00BD2D8A">
      <w:pPr>
        <w:rPr>
          <w:b/>
          <w:i/>
          <w:sz w:val="24"/>
          <w:szCs w:val="24"/>
        </w:rPr>
      </w:pPr>
    </w:p>
    <w:p w:rsidR="00F94A67" w:rsidRPr="00441B04" w:rsidRDefault="00F94A67" w:rsidP="00F94A67">
      <w:pPr>
        <w:pStyle w:val="1"/>
        <w:numPr>
          <w:ilvl w:val="0"/>
          <w:numId w:val="9"/>
        </w:numPr>
        <w:spacing w:line="260" w:lineRule="exact"/>
        <w:jc w:val="both"/>
        <w:rPr>
          <w:b/>
          <w:i w:val="0"/>
          <w:iCs w:val="0"/>
          <w:color w:val="000000"/>
          <w:sz w:val="24"/>
          <w:szCs w:val="24"/>
        </w:rPr>
      </w:pPr>
      <w:r w:rsidRPr="00441B04">
        <w:rPr>
          <w:b/>
          <w:i w:val="0"/>
          <w:iCs w:val="0"/>
          <w:color w:val="000000"/>
          <w:sz w:val="24"/>
          <w:szCs w:val="24"/>
        </w:rPr>
        <w:t>ΦΑΡΜΑΚΟΛΟΓΙΚΕΣ ΙΔΙΟΤΗΤΕΣ</w:t>
      </w:r>
    </w:p>
    <w:p w:rsidR="00F94A67" w:rsidRPr="00441B04" w:rsidRDefault="00F94A67" w:rsidP="00F94A67">
      <w:pPr>
        <w:pStyle w:val="Text"/>
      </w:pPr>
    </w:p>
    <w:p w:rsidR="00F94A67" w:rsidRPr="00441B04" w:rsidRDefault="00F94A67" w:rsidP="00F94A67">
      <w:pPr>
        <w:pStyle w:val="2"/>
        <w:jc w:val="both"/>
        <w:rPr>
          <w:b w:val="0"/>
        </w:rPr>
      </w:pPr>
      <w:r w:rsidRPr="00441B04">
        <w:rPr>
          <w:caps/>
        </w:rPr>
        <w:t>5.1.</w:t>
      </w:r>
      <w:r w:rsidRPr="00441B04">
        <w:rPr>
          <w:caps/>
        </w:rPr>
        <w:tab/>
      </w:r>
      <w:r w:rsidRPr="00441B04">
        <w:t>Φα</w:t>
      </w:r>
      <w:proofErr w:type="spellStart"/>
      <w:r w:rsidRPr="00441B04">
        <w:t>ρμ</w:t>
      </w:r>
      <w:proofErr w:type="spellEnd"/>
      <w:r w:rsidRPr="00441B04">
        <w:t xml:space="preserve">ακοδυναμικές </w:t>
      </w:r>
      <w:proofErr w:type="spellStart"/>
      <w:r w:rsidRPr="00441B04">
        <w:t>ιδιότητες</w:t>
      </w:r>
      <w:proofErr w:type="spellEnd"/>
    </w:p>
    <w:p w:rsidR="00C84DFE" w:rsidRPr="00441B04" w:rsidRDefault="00C84DFE" w:rsidP="00C84DFE">
      <w:pPr>
        <w:pStyle w:val="Default"/>
        <w:rPr>
          <w:rFonts w:ascii="Times New Roman" w:eastAsia="Times New Roman" w:hAnsi="Times New Roman" w:cs="Times New Roman"/>
        </w:rPr>
      </w:pPr>
      <w:proofErr w:type="spellStart"/>
      <w:r w:rsidRPr="00441B04">
        <w:rPr>
          <w:rFonts w:ascii="Times New Roman" w:eastAsia="Times New Roman" w:hAnsi="Times New Roman" w:cs="Times New Roman"/>
        </w:rPr>
        <w:t>Φαρμακοθεραπευτική</w:t>
      </w:r>
      <w:proofErr w:type="spellEnd"/>
      <w:r w:rsidRPr="00441B04">
        <w:rPr>
          <w:rFonts w:ascii="Times New Roman" w:eastAsia="Times New Roman" w:hAnsi="Times New Roman" w:cs="Times New Roman"/>
        </w:rPr>
        <w:t xml:space="preserve"> κατηγορία: διεγερτικά καθαρτικά</w:t>
      </w:r>
    </w:p>
    <w:p w:rsidR="00C84DFE" w:rsidRPr="00441B04" w:rsidRDefault="00C84DFE" w:rsidP="00C84DFE">
      <w:pPr>
        <w:pStyle w:val="Default"/>
        <w:rPr>
          <w:rFonts w:ascii="Times New Roman" w:eastAsia="Times New Roman" w:hAnsi="Times New Roman" w:cs="Times New Roman"/>
        </w:rPr>
      </w:pPr>
      <w:r w:rsidRPr="00441B04">
        <w:rPr>
          <w:rFonts w:ascii="Times New Roman" w:eastAsia="Times New Roman" w:hAnsi="Times New Roman" w:cs="Times New Roman"/>
        </w:rPr>
        <w:t xml:space="preserve">Κωδικός ATC: A 06 AB </w:t>
      </w:r>
    </w:p>
    <w:p w:rsidR="00C84DFE" w:rsidRPr="00441B04" w:rsidRDefault="00C84DFE" w:rsidP="00C84DFE">
      <w:pPr>
        <w:pStyle w:val="Default"/>
        <w:rPr>
          <w:rFonts w:ascii="Times New Roman" w:hAnsi="Times New Roman" w:cs="Times New Roman"/>
        </w:rPr>
      </w:pPr>
    </w:p>
    <w:p w:rsidR="00C84DFE" w:rsidRPr="00441B04" w:rsidRDefault="00C84DFE" w:rsidP="00C84DFE">
      <w:pPr>
        <w:pStyle w:val="Default"/>
        <w:rPr>
          <w:rFonts w:ascii="Times New Roman" w:eastAsia="Times New Roman" w:hAnsi="Times New Roman" w:cs="Times New Roman"/>
        </w:rPr>
      </w:pPr>
      <w:r w:rsidRPr="00441B04">
        <w:rPr>
          <w:rFonts w:ascii="Times New Roman" w:eastAsia="Times New Roman" w:hAnsi="Times New Roman" w:cs="Times New Roman"/>
        </w:rPr>
        <w:t xml:space="preserve">Τα παράγωγα του 1,8-διυδροξυανθρακενίου έχουν καθαρτική δράση.  Οι β-Ο-συνδεόμενοι </w:t>
      </w:r>
      <w:proofErr w:type="spellStart"/>
      <w:r w:rsidRPr="00441B04">
        <w:rPr>
          <w:rFonts w:ascii="Times New Roman" w:eastAsia="Times New Roman" w:hAnsi="Times New Roman" w:cs="Times New Roman"/>
        </w:rPr>
        <w:t>γλυκοσίδες</w:t>
      </w:r>
      <w:proofErr w:type="spellEnd"/>
      <w:r w:rsidRPr="00441B04">
        <w:rPr>
          <w:rFonts w:ascii="Times New Roman" w:eastAsia="Times New Roman" w:hAnsi="Times New Roman" w:cs="Times New Roman"/>
        </w:rPr>
        <w:t xml:space="preserve"> (</w:t>
      </w:r>
      <w:proofErr w:type="spellStart"/>
      <w:r w:rsidRPr="00441B04">
        <w:rPr>
          <w:rFonts w:ascii="Times New Roman" w:eastAsia="Times New Roman" w:hAnsi="Times New Roman" w:cs="Times New Roman"/>
        </w:rPr>
        <w:t>σεννοσίδες</w:t>
      </w:r>
      <w:proofErr w:type="spellEnd"/>
      <w:r w:rsidRPr="00441B04">
        <w:rPr>
          <w:rFonts w:ascii="Times New Roman" w:eastAsia="Times New Roman" w:hAnsi="Times New Roman" w:cs="Times New Roman"/>
        </w:rPr>
        <w:t xml:space="preserve">) δεν απορροφούνται από το ανώτερο έντερο, αλλά μετατρέπονται από τα βακτήρια του </w:t>
      </w:r>
      <w:proofErr w:type="spellStart"/>
      <w:r w:rsidRPr="00441B04">
        <w:rPr>
          <w:rFonts w:ascii="Times New Roman" w:eastAsia="Times New Roman" w:hAnsi="Times New Roman" w:cs="Times New Roman"/>
        </w:rPr>
        <w:t>παχέος</w:t>
      </w:r>
      <w:proofErr w:type="spellEnd"/>
      <w:r w:rsidRPr="00441B04">
        <w:rPr>
          <w:rFonts w:ascii="Times New Roman" w:eastAsia="Times New Roman" w:hAnsi="Times New Roman" w:cs="Times New Roman"/>
        </w:rPr>
        <w:t xml:space="preserve"> εντέρου σε δραστικό μεταβολίτη (</w:t>
      </w:r>
      <w:proofErr w:type="spellStart"/>
      <w:r w:rsidR="005E6882" w:rsidRPr="00441B04">
        <w:rPr>
          <w:rFonts w:ascii="Times New Roman" w:eastAsia="Times New Roman" w:hAnsi="Times New Roman" w:cs="Times New Roman"/>
        </w:rPr>
        <w:t>ρηίνη</w:t>
      </w:r>
      <w:proofErr w:type="spellEnd"/>
      <w:r w:rsidRPr="00441B04">
        <w:rPr>
          <w:rFonts w:ascii="Times New Roman" w:eastAsia="Times New Roman" w:hAnsi="Times New Roman" w:cs="Times New Roman"/>
        </w:rPr>
        <w:t xml:space="preserve"> </w:t>
      </w:r>
      <w:proofErr w:type="spellStart"/>
      <w:r w:rsidRPr="00441B04">
        <w:rPr>
          <w:rFonts w:ascii="Times New Roman" w:eastAsia="Times New Roman" w:hAnsi="Times New Roman" w:cs="Times New Roman"/>
        </w:rPr>
        <w:t>ανθρόνη</w:t>
      </w:r>
      <w:proofErr w:type="spellEnd"/>
      <w:r w:rsidRPr="00441B04">
        <w:rPr>
          <w:rFonts w:ascii="Times New Roman" w:eastAsia="Times New Roman" w:hAnsi="Times New Roman" w:cs="Times New Roman"/>
        </w:rPr>
        <w:t xml:space="preserve">).  </w:t>
      </w:r>
    </w:p>
    <w:p w:rsidR="00C84DFE" w:rsidRPr="00441B04" w:rsidRDefault="00C84DFE" w:rsidP="00C84DFE">
      <w:pPr>
        <w:pStyle w:val="Default"/>
        <w:rPr>
          <w:rFonts w:ascii="Times New Roman" w:hAnsi="Times New Roman" w:cs="Times New Roman"/>
        </w:rPr>
      </w:pPr>
    </w:p>
    <w:p w:rsidR="00C84DFE" w:rsidRPr="00441B04" w:rsidRDefault="00C84DFE" w:rsidP="00C84DFE">
      <w:pPr>
        <w:pStyle w:val="Default"/>
        <w:rPr>
          <w:rFonts w:ascii="Times New Roman" w:eastAsia="Times New Roman" w:hAnsi="Times New Roman" w:cs="Times New Roman"/>
        </w:rPr>
      </w:pPr>
      <w:r w:rsidRPr="00441B04">
        <w:rPr>
          <w:rFonts w:ascii="Times New Roman" w:eastAsia="Times New Roman" w:hAnsi="Times New Roman" w:cs="Times New Roman"/>
        </w:rPr>
        <w:t xml:space="preserve">Υπάρχουν δύο διαφορετικοί μηχανισμοί δράσης: </w:t>
      </w:r>
    </w:p>
    <w:p w:rsidR="00C84DFE" w:rsidRPr="00441B04" w:rsidRDefault="00C84DFE" w:rsidP="0061077A">
      <w:pPr>
        <w:pStyle w:val="Default"/>
        <w:ind w:left="284" w:hanging="284"/>
        <w:jc w:val="both"/>
        <w:rPr>
          <w:rFonts w:ascii="Times New Roman" w:eastAsia="Times New Roman" w:hAnsi="Times New Roman" w:cs="Times New Roman"/>
        </w:rPr>
      </w:pPr>
      <w:r w:rsidRPr="00441B04">
        <w:rPr>
          <w:rFonts w:ascii="Times New Roman" w:eastAsia="Times New Roman" w:hAnsi="Times New Roman" w:cs="Times New Roman"/>
        </w:rPr>
        <w:t xml:space="preserve">1. διέγερση της κινητικότητας του </w:t>
      </w:r>
      <w:proofErr w:type="spellStart"/>
      <w:r w:rsidRPr="00441B04">
        <w:rPr>
          <w:rFonts w:ascii="Times New Roman" w:eastAsia="Times New Roman" w:hAnsi="Times New Roman" w:cs="Times New Roman"/>
        </w:rPr>
        <w:t>παχέος</w:t>
      </w:r>
      <w:proofErr w:type="spellEnd"/>
      <w:r w:rsidRPr="00441B04">
        <w:rPr>
          <w:rFonts w:ascii="Times New Roman" w:eastAsia="Times New Roman" w:hAnsi="Times New Roman" w:cs="Times New Roman"/>
        </w:rPr>
        <w:t xml:space="preserve"> εντέρου που οδηγεί σε αυξημένη μεταφορά στο κόλον. </w:t>
      </w:r>
    </w:p>
    <w:p w:rsidR="00C84DFE" w:rsidRPr="00441B04" w:rsidRDefault="00C84DFE" w:rsidP="0061077A">
      <w:pPr>
        <w:pStyle w:val="Default"/>
        <w:ind w:left="284" w:hanging="284"/>
        <w:rPr>
          <w:rFonts w:ascii="Times New Roman" w:eastAsia="Times New Roman" w:hAnsi="Times New Roman" w:cs="Times New Roman"/>
        </w:rPr>
      </w:pPr>
      <w:r w:rsidRPr="00441B04">
        <w:rPr>
          <w:rFonts w:ascii="Times New Roman" w:eastAsia="Times New Roman" w:hAnsi="Times New Roman" w:cs="Times New Roman"/>
        </w:rPr>
        <w:t>2. επίδραση στις διαδικασίες έκκρισης από δύο παράλληλους μηχανισμούς, δηλαδή αναστολή της πρόσληψης ύδατος και ηλεκτρολυτών (</w:t>
      </w:r>
      <w:proofErr w:type="spellStart"/>
      <w:r w:rsidRPr="00441B04">
        <w:rPr>
          <w:rFonts w:ascii="Times New Roman" w:eastAsia="Times New Roman" w:hAnsi="Times New Roman" w:cs="Times New Roman"/>
        </w:rPr>
        <w:t>Na</w:t>
      </w:r>
      <w:proofErr w:type="spellEnd"/>
      <w:r w:rsidRPr="00441B04">
        <w:rPr>
          <w:rFonts w:ascii="Times New Roman" w:eastAsia="Times New Roman" w:hAnsi="Times New Roman" w:cs="Times New Roman"/>
          <w:position w:val="8"/>
          <w:vertAlign w:val="superscript"/>
        </w:rPr>
        <w:t>+</w:t>
      </w:r>
      <w:r w:rsidRPr="00441B04">
        <w:rPr>
          <w:rFonts w:ascii="Times New Roman" w:eastAsia="Times New Roman" w:hAnsi="Times New Roman" w:cs="Times New Roman"/>
        </w:rPr>
        <w:t>, Cl</w:t>
      </w:r>
      <w:r w:rsidRPr="00441B04">
        <w:rPr>
          <w:rFonts w:ascii="Times New Roman" w:eastAsia="Times New Roman" w:hAnsi="Times New Roman" w:cs="Times New Roman"/>
          <w:position w:val="8"/>
          <w:vertAlign w:val="superscript"/>
        </w:rPr>
        <w:t>-</w:t>
      </w:r>
      <w:r w:rsidRPr="00441B04">
        <w:rPr>
          <w:rFonts w:ascii="Times New Roman" w:eastAsia="Times New Roman" w:hAnsi="Times New Roman" w:cs="Times New Roman"/>
        </w:rPr>
        <w:t xml:space="preserve">) από τα επιθηλιακά κύτταρα του </w:t>
      </w:r>
      <w:proofErr w:type="spellStart"/>
      <w:r w:rsidRPr="00441B04">
        <w:rPr>
          <w:rFonts w:ascii="Times New Roman" w:eastAsia="Times New Roman" w:hAnsi="Times New Roman" w:cs="Times New Roman"/>
        </w:rPr>
        <w:t>κόλου</w:t>
      </w:r>
      <w:proofErr w:type="spellEnd"/>
      <w:r w:rsidRPr="00441B04">
        <w:rPr>
          <w:rFonts w:ascii="Times New Roman" w:eastAsia="Times New Roman" w:hAnsi="Times New Roman" w:cs="Times New Roman"/>
        </w:rPr>
        <w:t xml:space="preserve"> (</w:t>
      </w:r>
      <w:proofErr w:type="spellStart"/>
      <w:r w:rsidRPr="00441B04">
        <w:rPr>
          <w:rFonts w:ascii="Times New Roman" w:eastAsia="Times New Roman" w:hAnsi="Times New Roman" w:cs="Times New Roman"/>
        </w:rPr>
        <w:t>αντιαπορροφητική</w:t>
      </w:r>
      <w:proofErr w:type="spellEnd"/>
      <w:r w:rsidRPr="00441B04">
        <w:rPr>
          <w:rFonts w:ascii="Times New Roman" w:eastAsia="Times New Roman" w:hAnsi="Times New Roman" w:cs="Times New Roman"/>
        </w:rPr>
        <w:t xml:space="preserve"> δράση) και αύξηση της διαρροής από τις στενές </w:t>
      </w:r>
      <w:proofErr w:type="spellStart"/>
      <w:r w:rsidR="00F13C29" w:rsidRPr="00441B04">
        <w:rPr>
          <w:rFonts w:ascii="Times New Roman" w:eastAsia="Times New Roman" w:hAnsi="Times New Roman" w:cs="Times New Roman"/>
        </w:rPr>
        <w:t>διακυτταρικές</w:t>
      </w:r>
      <w:proofErr w:type="spellEnd"/>
      <w:r w:rsidR="00F13C29" w:rsidRPr="00441B04">
        <w:rPr>
          <w:rFonts w:ascii="Times New Roman" w:eastAsia="Times New Roman" w:hAnsi="Times New Roman" w:cs="Times New Roman"/>
        </w:rPr>
        <w:t xml:space="preserve"> </w:t>
      </w:r>
      <w:r w:rsidRPr="00441B04">
        <w:rPr>
          <w:rFonts w:ascii="Times New Roman" w:eastAsia="Times New Roman" w:hAnsi="Times New Roman" w:cs="Times New Roman"/>
        </w:rPr>
        <w:t xml:space="preserve">συνδέσεις και διέγερση της έκκρισης ύδατος και ηλεκτρολυτών στον αυλό του </w:t>
      </w:r>
      <w:proofErr w:type="spellStart"/>
      <w:r w:rsidRPr="00441B04">
        <w:rPr>
          <w:rFonts w:ascii="Times New Roman" w:eastAsia="Times New Roman" w:hAnsi="Times New Roman" w:cs="Times New Roman"/>
        </w:rPr>
        <w:t>κόλου</w:t>
      </w:r>
      <w:proofErr w:type="spellEnd"/>
      <w:r w:rsidRPr="00441B04">
        <w:rPr>
          <w:rFonts w:ascii="Times New Roman" w:eastAsia="Times New Roman" w:hAnsi="Times New Roman" w:cs="Times New Roman"/>
        </w:rPr>
        <w:t xml:space="preserve"> (</w:t>
      </w:r>
      <w:proofErr w:type="spellStart"/>
      <w:r w:rsidRPr="00441B04">
        <w:rPr>
          <w:rFonts w:ascii="Times New Roman" w:eastAsia="Times New Roman" w:hAnsi="Times New Roman" w:cs="Times New Roman"/>
        </w:rPr>
        <w:t>εκκριταγωγός</w:t>
      </w:r>
      <w:proofErr w:type="spellEnd"/>
      <w:r w:rsidRPr="00441B04">
        <w:rPr>
          <w:rFonts w:ascii="Times New Roman" w:eastAsia="Times New Roman" w:hAnsi="Times New Roman" w:cs="Times New Roman"/>
        </w:rPr>
        <w:t xml:space="preserve"> δράση) που οδηγούν σε αυξημένες συγκεντρώσεις υγρών και ηλεκτρολυτών </w:t>
      </w:r>
      <w:r w:rsidR="00F13C29" w:rsidRPr="00441B04">
        <w:rPr>
          <w:rFonts w:ascii="Times New Roman" w:eastAsia="Times New Roman" w:hAnsi="Times New Roman" w:cs="Times New Roman"/>
        </w:rPr>
        <w:t>εντός αυτού</w:t>
      </w:r>
      <w:r w:rsidRPr="00441B04">
        <w:rPr>
          <w:rFonts w:ascii="Times New Roman" w:eastAsia="Times New Roman" w:hAnsi="Times New Roman" w:cs="Times New Roman"/>
        </w:rPr>
        <w:t xml:space="preserve">.  </w:t>
      </w:r>
    </w:p>
    <w:p w:rsidR="00C84DFE" w:rsidRPr="00441B04" w:rsidRDefault="00C84DFE" w:rsidP="00C84DFE">
      <w:pPr>
        <w:pStyle w:val="Default"/>
        <w:rPr>
          <w:rFonts w:ascii="Times New Roman" w:hAnsi="Times New Roman" w:cs="Times New Roman"/>
        </w:rPr>
      </w:pPr>
    </w:p>
    <w:p w:rsidR="00C84DFE" w:rsidRPr="00441B04" w:rsidRDefault="00C84DFE" w:rsidP="00C84DFE">
      <w:pPr>
        <w:pStyle w:val="Default"/>
        <w:rPr>
          <w:rFonts w:ascii="Times New Roman" w:eastAsia="Times New Roman" w:hAnsi="Times New Roman" w:cs="Times New Roman"/>
        </w:rPr>
      </w:pPr>
      <w:r w:rsidRPr="00441B04">
        <w:rPr>
          <w:rFonts w:ascii="Times New Roman" w:eastAsia="Times New Roman" w:hAnsi="Times New Roman" w:cs="Times New Roman"/>
        </w:rPr>
        <w:t xml:space="preserve">Η αφόδευση συμβαίνει με καθυστέρηση 8-12 ωρών εξαιτίας του χρόνου που χρειάζεται για τη μετακίνηση στο κόλον και το μεταβολισμό σε δραστικό συστατικό. </w:t>
      </w:r>
    </w:p>
    <w:p w:rsidR="00BC039D" w:rsidRPr="00441B04" w:rsidRDefault="00BC039D">
      <w:pPr>
        <w:rPr>
          <w:b/>
          <w:i/>
          <w:sz w:val="24"/>
          <w:szCs w:val="24"/>
        </w:rPr>
      </w:pPr>
    </w:p>
    <w:p w:rsidR="00BC039D" w:rsidRPr="00441B04" w:rsidRDefault="00BC039D">
      <w:pPr>
        <w:rPr>
          <w:b/>
          <w:bCs/>
          <w:sz w:val="24"/>
          <w:szCs w:val="24"/>
        </w:rPr>
      </w:pPr>
      <w:r w:rsidRPr="00441B04">
        <w:rPr>
          <w:b/>
          <w:bCs/>
          <w:sz w:val="24"/>
          <w:szCs w:val="24"/>
        </w:rPr>
        <w:t>5.2</w:t>
      </w:r>
      <w:r w:rsidRPr="00441B04">
        <w:rPr>
          <w:b/>
          <w:bCs/>
          <w:sz w:val="24"/>
          <w:szCs w:val="24"/>
        </w:rPr>
        <w:tab/>
      </w:r>
      <w:proofErr w:type="spellStart"/>
      <w:r w:rsidRPr="00441B04">
        <w:rPr>
          <w:b/>
          <w:bCs/>
          <w:sz w:val="24"/>
          <w:szCs w:val="24"/>
        </w:rPr>
        <w:t>Φαρμακοκινητικές</w:t>
      </w:r>
      <w:proofErr w:type="spellEnd"/>
      <w:r w:rsidRPr="00441B04">
        <w:rPr>
          <w:b/>
          <w:bCs/>
          <w:sz w:val="24"/>
          <w:szCs w:val="24"/>
        </w:rPr>
        <w:t xml:space="preserve"> ιδιότητες</w:t>
      </w:r>
    </w:p>
    <w:p w:rsidR="00C84DFE" w:rsidRPr="00441B04" w:rsidRDefault="00C84DFE" w:rsidP="00C84DFE">
      <w:pPr>
        <w:pStyle w:val="Default"/>
        <w:rPr>
          <w:rFonts w:ascii="Times New Roman" w:eastAsia="Times New Roman" w:hAnsi="Times New Roman" w:cs="Times New Roman"/>
        </w:rPr>
      </w:pPr>
      <w:r w:rsidRPr="00441B04">
        <w:rPr>
          <w:rFonts w:ascii="Times New Roman" w:eastAsia="Times New Roman" w:hAnsi="Times New Roman" w:cs="Times New Roman"/>
        </w:rPr>
        <w:t xml:space="preserve">Οι β-Ο-συνδεόμενοι </w:t>
      </w:r>
      <w:proofErr w:type="spellStart"/>
      <w:r w:rsidRPr="00441B04">
        <w:rPr>
          <w:rFonts w:ascii="Times New Roman" w:eastAsia="Times New Roman" w:hAnsi="Times New Roman" w:cs="Times New Roman"/>
        </w:rPr>
        <w:t>γλυκοσίδες</w:t>
      </w:r>
      <w:proofErr w:type="spellEnd"/>
      <w:r w:rsidRPr="00441B04">
        <w:rPr>
          <w:rFonts w:ascii="Times New Roman" w:eastAsia="Times New Roman" w:hAnsi="Times New Roman" w:cs="Times New Roman"/>
        </w:rPr>
        <w:t xml:space="preserve"> (</w:t>
      </w:r>
      <w:proofErr w:type="spellStart"/>
      <w:r w:rsidRPr="00441B04">
        <w:rPr>
          <w:rFonts w:ascii="Times New Roman" w:eastAsia="Times New Roman" w:hAnsi="Times New Roman" w:cs="Times New Roman"/>
        </w:rPr>
        <w:t>σεννοσίδες</w:t>
      </w:r>
      <w:proofErr w:type="spellEnd"/>
      <w:r w:rsidRPr="00441B04">
        <w:rPr>
          <w:rFonts w:ascii="Times New Roman" w:eastAsia="Times New Roman" w:hAnsi="Times New Roman" w:cs="Times New Roman"/>
        </w:rPr>
        <w:t xml:space="preserve">) δεν απορροφώνται στο ανώτερο έντερο ούτε διασπώνται από τα πεπτικά ένζυμα του ανθρώπου. Μετατρέπονται από τα βακτήρια του </w:t>
      </w:r>
      <w:proofErr w:type="spellStart"/>
      <w:r w:rsidRPr="00441B04">
        <w:rPr>
          <w:rFonts w:ascii="Times New Roman" w:eastAsia="Times New Roman" w:hAnsi="Times New Roman" w:cs="Times New Roman"/>
        </w:rPr>
        <w:t>παχέος</w:t>
      </w:r>
      <w:proofErr w:type="spellEnd"/>
      <w:r w:rsidRPr="00441B04">
        <w:rPr>
          <w:rFonts w:ascii="Times New Roman" w:eastAsia="Times New Roman" w:hAnsi="Times New Roman" w:cs="Times New Roman"/>
        </w:rPr>
        <w:t xml:space="preserve"> εντέρου σε ενεργό μεταβολίτη (</w:t>
      </w:r>
      <w:proofErr w:type="spellStart"/>
      <w:r w:rsidR="005E6882" w:rsidRPr="00441B04">
        <w:rPr>
          <w:rFonts w:ascii="Times New Roman" w:eastAsia="Times New Roman" w:hAnsi="Times New Roman" w:cs="Times New Roman"/>
        </w:rPr>
        <w:t>ρηίνη</w:t>
      </w:r>
      <w:proofErr w:type="spellEnd"/>
      <w:r w:rsidRPr="00441B04">
        <w:rPr>
          <w:rFonts w:ascii="Times New Roman" w:eastAsia="Times New Roman" w:hAnsi="Times New Roman" w:cs="Times New Roman"/>
        </w:rPr>
        <w:t xml:space="preserve"> </w:t>
      </w:r>
      <w:proofErr w:type="spellStart"/>
      <w:r w:rsidRPr="00441B04">
        <w:rPr>
          <w:rFonts w:ascii="Times New Roman" w:eastAsia="Times New Roman" w:hAnsi="Times New Roman" w:cs="Times New Roman"/>
        </w:rPr>
        <w:t>ανθρόνη</w:t>
      </w:r>
      <w:proofErr w:type="spellEnd"/>
      <w:r w:rsidRPr="00441B04">
        <w:rPr>
          <w:rFonts w:ascii="Times New Roman" w:eastAsia="Times New Roman" w:hAnsi="Times New Roman" w:cs="Times New Roman"/>
        </w:rPr>
        <w:t>)</w:t>
      </w:r>
      <w:r w:rsidR="00E876C6" w:rsidRPr="00E876C6">
        <w:rPr>
          <w:rFonts w:ascii="Times New Roman" w:eastAsia="Times New Roman" w:hAnsi="Times New Roman" w:cs="Times New Roman"/>
        </w:rPr>
        <w:t>.</w:t>
      </w:r>
      <w:r w:rsidRPr="00441B04">
        <w:rPr>
          <w:rFonts w:ascii="Times New Roman" w:eastAsia="Times New Roman" w:hAnsi="Times New Roman" w:cs="Times New Roman"/>
        </w:rPr>
        <w:t xml:space="preserve"> Τα άγλυκα απορροφώνται στο ανώτερο έντερο. Πειράματα σε ζώα με </w:t>
      </w:r>
      <w:proofErr w:type="spellStart"/>
      <w:r w:rsidRPr="00441B04">
        <w:rPr>
          <w:rFonts w:ascii="Times New Roman" w:eastAsia="Times New Roman" w:hAnsi="Times New Roman" w:cs="Times New Roman"/>
        </w:rPr>
        <w:t>ραδιοσημασμένη</w:t>
      </w:r>
      <w:proofErr w:type="spellEnd"/>
      <w:r w:rsidRPr="00441B04">
        <w:rPr>
          <w:rFonts w:ascii="Times New Roman" w:eastAsia="Times New Roman" w:hAnsi="Times New Roman" w:cs="Times New Roman"/>
        </w:rPr>
        <w:t xml:space="preserve"> </w:t>
      </w:r>
      <w:proofErr w:type="spellStart"/>
      <w:r w:rsidR="005E6882" w:rsidRPr="00441B04">
        <w:rPr>
          <w:rFonts w:ascii="Times New Roman" w:eastAsia="Times New Roman" w:hAnsi="Times New Roman" w:cs="Times New Roman"/>
        </w:rPr>
        <w:t>ρηίνη</w:t>
      </w:r>
      <w:proofErr w:type="spellEnd"/>
      <w:r w:rsidRPr="00441B04">
        <w:rPr>
          <w:rFonts w:ascii="Times New Roman" w:eastAsia="Times New Roman" w:hAnsi="Times New Roman" w:cs="Times New Roman"/>
        </w:rPr>
        <w:t xml:space="preserve"> </w:t>
      </w:r>
      <w:proofErr w:type="spellStart"/>
      <w:r w:rsidRPr="00441B04">
        <w:rPr>
          <w:rFonts w:ascii="Times New Roman" w:eastAsia="Times New Roman" w:hAnsi="Times New Roman" w:cs="Times New Roman"/>
        </w:rPr>
        <w:t>ανθρόνη</w:t>
      </w:r>
      <w:proofErr w:type="spellEnd"/>
      <w:r w:rsidRPr="00441B04">
        <w:rPr>
          <w:rFonts w:ascii="Times New Roman" w:eastAsia="Times New Roman" w:hAnsi="Times New Roman" w:cs="Times New Roman"/>
        </w:rPr>
        <w:t xml:space="preserve"> που χορηγείται απευθείας στο τυφλό έντερο κατέδειξαν απορρόφηση &lt;10%. Σε επαφή με το οξυγόνο, η </w:t>
      </w:r>
      <w:proofErr w:type="spellStart"/>
      <w:r w:rsidR="005E6882" w:rsidRPr="00441B04">
        <w:rPr>
          <w:rFonts w:ascii="Times New Roman" w:eastAsia="Times New Roman" w:hAnsi="Times New Roman" w:cs="Times New Roman"/>
        </w:rPr>
        <w:t>ρηίνη</w:t>
      </w:r>
      <w:proofErr w:type="spellEnd"/>
      <w:r w:rsidRPr="00441B04">
        <w:rPr>
          <w:rFonts w:ascii="Times New Roman" w:eastAsia="Times New Roman" w:hAnsi="Times New Roman" w:cs="Times New Roman"/>
        </w:rPr>
        <w:t xml:space="preserve"> </w:t>
      </w:r>
      <w:proofErr w:type="spellStart"/>
      <w:r w:rsidRPr="00441B04">
        <w:rPr>
          <w:rFonts w:ascii="Times New Roman" w:eastAsia="Times New Roman" w:hAnsi="Times New Roman" w:cs="Times New Roman"/>
        </w:rPr>
        <w:t>ανθρόνη</w:t>
      </w:r>
      <w:proofErr w:type="spellEnd"/>
      <w:r w:rsidRPr="00441B04">
        <w:rPr>
          <w:rFonts w:ascii="Times New Roman" w:eastAsia="Times New Roman" w:hAnsi="Times New Roman" w:cs="Times New Roman"/>
        </w:rPr>
        <w:t xml:space="preserve"> οξειδώνεται σε </w:t>
      </w:r>
      <w:proofErr w:type="spellStart"/>
      <w:r w:rsidR="005E6882" w:rsidRPr="00441B04">
        <w:rPr>
          <w:rFonts w:ascii="Times New Roman" w:eastAsia="Times New Roman" w:hAnsi="Times New Roman" w:cs="Times New Roman"/>
        </w:rPr>
        <w:t>ρηίνη</w:t>
      </w:r>
      <w:proofErr w:type="spellEnd"/>
      <w:r w:rsidRPr="00441B04">
        <w:rPr>
          <w:rFonts w:ascii="Times New Roman" w:eastAsia="Times New Roman" w:hAnsi="Times New Roman" w:cs="Times New Roman"/>
        </w:rPr>
        <w:t xml:space="preserve"> και </w:t>
      </w:r>
      <w:proofErr w:type="spellStart"/>
      <w:r w:rsidRPr="00441B04">
        <w:rPr>
          <w:rFonts w:ascii="Times New Roman" w:eastAsia="Times New Roman" w:hAnsi="Times New Roman" w:cs="Times New Roman"/>
        </w:rPr>
        <w:t>σεννιδίνες</w:t>
      </w:r>
      <w:proofErr w:type="spellEnd"/>
      <w:r w:rsidRPr="00441B04">
        <w:rPr>
          <w:rFonts w:ascii="Times New Roman" w:eastAsia="Times New Roman" w:hAnsi="Times New Roman" w:cs="Times New Roman"/>
        </w:rPr>
        <w:t xml:space="preserve"> που </w:t>
      </w:r>
      <w:r w:rsidRPr="00441B04">
        <w:rPr>
          <w:rFonts w:ascii="Times New Roman" w:eastAsia="Times New Roman" w:hAnsi="Times New Roman" w:cs="Times New Roman"/>
        </w:rPr>
        <w:lastRenderedPageBreak/>
        <w:t xml:space="preserve">μπορούν να βρεθούν στο αίμα, κυρίως με τη μορφή </w:t>
      </w:r>
      <w:proofErr w:type="spellStart"/>
      <w:r w:rsidRPr="00441B04">
        <w:rPr>
          <w:rFonts w:ascii="Times New Roman" w:eastAsia="Times New Roman" w:hAnsi="Times New Roman" w:cs="Times New Roman"/>
        </w:rPr>
        <w:t>γλυκουρονιδίων</w:t>
      </w:r>
      <w:proofErr w:type="spellEnd"/>
      <w:r w:rsidRPr="00441B04">
        <w:rPr>
          <w:rFonts w:ascii="Times New Roman" w:eastAsia="Times New Roman" w:hAnsi="Times New Roman" w:cs="Times New Roman"/>
        </w:rPr>
        <w:t xml:space="preserve"> και θειικών. Μετά τη χορήγηση </w:t>
      </w:r>
      <w:proofErr w:type="spellStart"/>
      <w:r w:rsidRPr="00441B04">
        <w:rPr>
          <w:rFonts w:ascii="Times New Roman" w:eastAsia="Times New Roman" w:hAnsi="Times New Roman" w:cs="Times New Roman"/>
        </w:rPr>
        <w:t>σεννοσιδών</w:t>
      </w:r>
      <w:proofErr w:type="spellEnd"/>
      <w:r w:rsidRPr="00441B04">
        <w:rPr>
          <w:rFonts w:ascii="Times New Roman" w:eastAsia="Times New Roman" w:hAnsi="Times New Roman" w:cs="Times New Roman"/>
        </w:rPr>
        <w:t xml:space="preserve"> από το στόμα, το 3-6% των μεταβολιτών εκκρίνονται στα ούρα, ενώ ένα μέρος εκκρίνεται στη χολή. </w:t>
      </w:r>
    </w:p>
    <w:p w:rsidR="00C84DFE" w:rsidRPr="00441B04" w:rsidRDefault="00C84DFE" w:rsidP="00C84DFE">
      <w:pPr>
        <w:pStyle w:val="Default"/>
        <w:rPr>
          <w:rFonts w:ascii="Times New Roman" w:hAnsi="Times New Roman" w:cs="Times New Roman"/>
        </w:rPr>
      </w:pPr>
    </w:p>
    <w:p w:rsidR="004F1D3D" w:rsidRPr="00441B04" w:rsidRDefault="00C84DFE" w:rsidP="00622879">
      <w:pPr>
        <w:rPr>
          <w:sz w:val="24"/>
          <w:szCs w:val="24"/>
        </w:rPr>
      </w:pPr>
      <w:r w:rsidRPr="00441B04">
        <w:rPr>
          <w:sz w:val="24"/>
          <w:szCs w:val="24"/>
        </w:rPr>
        <w:t xml:space="preserve">Οι περισσότεροι </w:t>
      </w:r>
      <w:proofErr w:type="spellStart"/>
      <w:r w:rsidRPr="00441B04">
        <w:rPr>
          <w:sz w:val="24"/>
          <w:szCs w:val="24"/>
        </w:rPr>
        <w:t>σεννοσίδες</w:t>
      </w:r>
      <w:proofErr w:type="spellEnd"/>
      <w:r w:rsidRPr="00441B04">
        <w:rPr>
          <w:sz w:val="24"/>
          <w:szCs w:val="24"/>
        </w:rPr>
        <w:t xml:space="preserve"> (περίπου 90%) εκκρίνονται στα κόπρανα ως πολυμερή (</w:t>
      </w:r>
      <w:proofErr w:type="spellStart"/>
      <w:r w:rsidRPr="00441B04">
        <w:rPr>
          <w:sz w:val="24"/>
          <w:szCs w:val="24"/>
        </w:rPr>
        <w:t>πολυκινόνες</w:t>
      </w:r>
      <w:proofErr w:type="spellEnd"/>
      <w:r w:rsidRPr="00441B04">
        <w:rPr>
          <w:sz w:val="24"/>
          <w:szCs w:val="24"/>
        </w:rPr>
        <w:t xml:space="preserve">) μαζί με το 2-6% των μη μεταβολισμένων </w:t>
      </w:r>
      <w:proofErr w:type="spellStart"/>
      <w:r w:rsidRPr="00441B04">
        <w:rPr>
          <w:sz w:val="24"/>
          <w:szCs w:val="24"/>
        </w:rPr>
        <w:t>σεννοσιδών</w:t>
      </w:r>
      <w:proofErr w:type="spellEnd"/>
      <w:r w:rsidRPr="00441B04">
        <w:rPr>
          <w:sz w:val="24"/>
          <w:szCs w:val="24"/>
        </w:rPr>
        <w:t xml:space="preserve">, </w:t>
      </w:r>
      <w:proofErr w:type="spellStart"/>
      <w:r w:rsidRPr="00441B04">
        <w:rPr>
          <w:sz w:val="24"/>
          <w:szCs w:val="24"/>
        </w:rPr>
        <w:t>σεννιδινών</w:t>
      </w:r>
      <w:proofErr w:type="spellEnd"/>
      <w:r w:rsidRPr="00441B04">
        <w:rPr>
          <w:sz w:val="24"/>
          <w:szCs w:val="24"/>
        </w:rPr>
        <w:t xml:space="preserve">, </w:t>
      </w:r>
      <w:proofErr w:type="spellStart"/>
      <w:r w:rsidR="005E6882" w:rsidRPr="00441B04">
        <w:rPr>
          <w:sz w:val="24"/>
          <w:szCs w:val="24"/>
        </w:rPr>
        <w:t>ρηίνη</w:t>
      </w:r>
      <w:r w:rsidRPr="00441B04">
        <w:rPr>
          <w:sz w:val="24"/>
          <w:szCs w:val="24"/>
        </w:rPr>
        <w:t>ς</w:t>
      </w:r>
      <w:proofErr w:type="spellEnd"/>
      <w:r w:rsidRPr="00441B04">
        <w:rPr>
          <w:sz w:val="24"/>
          <w:szCs w:val="24"/>
        </w:rPr>
        <w:t xml:space="preserve"> </w:t>
      </w:r>
      <w:proofErr w:type="spellStart"/>
      <w:r w:rsidRPr="00441B04">
        <w:rPr>
          <w:sz w:val="24"/>
          <w:szCs w:val="24"/>
        </w:rPr>
        <w:t>ανθρόνης</w:t>
      </w:r>
      <w:proofErr w:type="spellEnd"/>
      <w:r w:rsidRPr="00441B04">
        <w:rPr>
          <w:sz w:val="24"/>
          <w:szCs w:val="24"/>
        </w:rPr>
        <w:t xml:space="preserve"> και </w:t>
      </w:r>
      <w:proofErr w:type="spellStart"/>
      <w:r w:rsidR="005E6882" w:rsidRPr="00441B04">
        <w:rPr>
          <w:sz w:val="24"/>
          <w:szCs w:val="24"/>
        </w:rPr>
        <w:t>ρηίνη</w:t>
      </w:r>
      <w:r w:rsidRPr="00441B04">
        <w:rPr>
          <w:sz w:val="24"/>
          <w:szCs w:val="24"/>
        </w:rPr>
        <w:t>ς</w:t>
      </w:r>
      <w:proofErr w:type="spellEnd"/>
      <w:r w:rsidRPr="00441B04">
        <w:rPr>
          <w:sz w:val="24"/>
          <w:szCs w:val="24"/>
        </w:rPr>
        <w:t xml:space="preserve">. Σε μελέτες </w:t>
      </w:r>
      <w:proofErr w:type="spellStart"/>
      <w:r w:rsidRPr="00441B04">
        <w:rPr>
          <w:sz w:val="24"/>
          <w:szCs w:val="24"/>
        </w:rPr>
        <w:t>φαρμακοκινητικής</w:t>
      </w:r>
      <w:proofErr w:type="spellEnd"/>
      <w:r w:rsidRPr="00441B04">
        <w:rPr>
          <w:sz w:val="24"/>
          <w:szCs w:val="24"/>
        </w:rPr>
        <w:t xml:space="preserve"> σε ανθρώπους με σκόνη από περικάρπιο σέννας (20 mg </w:t>
      </w:r>
      <w:proofErr w:type="spellStart"/>
      <w:r w:rsidRPr="00441B04">
        <w:rPr>
          <w:sz w:val="24"/>
          <w:szCs w:val="24"/>
        </w:rPr>
        <w:t>σεννοσιδών</w:t>
      </w:r>
      <w:proofErr w:type="spellEnd"/>
      <w:r w:rsidRPr="00441B04">
        <w:rPr>
          <w:sz w:val="24"/>
          <w:szCs w:val="24"/>
        </w:rPr>
        <w:t xml:space="preserve">) που χορηγήθηκε από το στόμα για 7 ημέρες, η μέγιστη δόση </w:t>
      </w:r>
      <w:proofErr w:type="spellStart"/>
      <w:r w:rsidR="005E6882" w:rsidRPr="00441B04">
        <w:rPr>
          <w:sz w:val="24"/>
          <w:szCs w:val="24"/>
        </w:rPr>
        <w:t>ρηίνη</w:t>
      </w:r>
      <w:r w:rsidRPr="00441B04">
        <w:rPr>
          <w:sz w:val="24"/>
          <w:szCs w:val="24"/>
        </w:rPr>
        <w:t>ς</w:t>
      </w:r>
      <w:proofErr w:type="spellEnd"/>
      <w:r w:rsidRPr="00441B04">
        <w:rPr>
          <w:sz w:val="24"/>
          <w:szCs w:val="24"/>
        </w:rPr>
        <w:t xml:space="preserve"> στο αίμα ήταν 100</w:t>
      </w:r>
      <w:r w:rsidR="00B7396A">
        <w:rPr>
          <w:sz w:val="24"/>
          <w:szCs w:val="24"/>
        </w:rPr>
        <w:t xml:space="preserve"> </w:t>
      </w:r>
      <w:proofErr w:type="spellStart"/>
      <w:r w:rsidR="00B7396A">
        <w:rPr>
          <w:sz w:val="24"/>
          <w:szCs w:val="24"/>
        </w:rPr>
        <w:t>ng</w:t>
      </w:r>
      <w:proofErr w:type="spellEnd"/>
      <w:r w:rsidR="00B7396A">
        <w:rPr>
          <w:sz w:val="24"/>
          <w:szCs w:val="24"/>
        </w:rPr>
        <w:t xml:space="preserve">/ml. </w:t>
      </w:r>
      <w:r w:rsidRPr="00441B04">
        <w:rPr>
          <w:sz w:val="24"/>
          <w:szCs w:val="24"/>
        </w:rPr>
        <w:t xml:space="preserve">Δεν παρατηρήθηκε συσσώρευση </w:t>
      </w:r>
      <w:proofErr w:type="spellStart"/>
      <w:r w:rsidR="005E6882" w:rsidRPr="00441B04">
        <w:rPr>
          <w:sz w:val="24"/>
          <w:szCs w:val="24"/>
        </w:rPr>
        <w:t>ρηίνη</w:t>
      </w:r>
      <w:r w:rsidRPr="00441B04">
        <w:rPr>
          <w:sz w:val="24"/>
          <w:szCs w:val="24"/>
        </w:rPr>
        <w:t>ς</w:t>
      </w:r>
      <w:proofErr w:type="spellEnd"/>
      <w:r w:rsidRPr="00441B04">
        <w:rPr>
          <w:sz w:val="24"/>
          <w:szCs w:val="24"/>
        </w:rPr>
        <w:t xml:space="preserve">. Οι ενεργοί μεταβολίτες, π.χ. η </w:t>
      </w:r>
      <w:proofErr w:type="spellStart"/>
      <w:r w:rsidR="005E6882" w:rsidRPr="00441B04">
        <w:rPr>
          <w:sz w:val="24"/>
          <w:szCs w:val="24"/>
        </w:rPr>
        <w:t>ρηίνη</w:t>
      </w:r>
      <w:proofErr w:type="spellEnd"/>
      <w:r w:rsidRPr="00441B04">
        <w:rPr>
          <w:sz w:val="24"/>
          <w:szCs w:val="24"/>
        </w:rPr>
        <w:t xml:space="preserve">, περνούν σε μικρές ποσότητες στο μητρικό γάλα. Πειράματα σε ζώα έδειξαν ότι η δίοδος της </w:t>
      </w:r>
      <w:proofErr w:type="spellStart"/>
      <w:r w:rsidR="005E6882" w:rsidRPr="00441B04">
        <w:rPr>
          <w:sz w:val="24"/>
          <w:szCs w:val="24"/>
        </w:rPr>
        <w:t>ρηίνη</w:t>
      </w:r>
      <w:r w:rsidRPr="00441B04">
        <w:rPr>
          <w:sz w:val="24"/>
          <w:szCs w:val="24"/>
        </w:rPr>
        <w:t>ς</w:t>
      </w:r>
      <w:proofErr w:type="spellEnd"/>
      <w:r w:rsidRPr="00441B04">
        <w:rPr>
          <w:sz w:val="24"/>
          <w:szCs w:val="24"/>
        </w:rPr>
        <w:t xml:space="preserve"> </w:t>
      </w:r>
      <w:bookmarkStart w:id="4" w:name="_Toc315660229"/>
      <w:bookmarkStart w:id="5" w:name="_Toc469800210"/>
      <w:r w:rsidR="00622879" w:rsidRPr="00441B04">
        <w:rPr>
          <w:sz w:val="24"/>
          <w:szCs w:val="24"/>
        </w:rPr>
        <w:t xml:space="preserve">από τον πλακούντα είναι μικρή. </w:t>
      </w:r>
    </w:p>
    <w:p w:rsidR="00BC039D" w:rsidRPr="0061077A" w:rsidRDefault="00BC039D">
      <w:pPr>
        <w:pStyle w:val="2"/>
        <w:rPr>
          <w:lang w:val="el-GR"/>
        </w:rPr>
      </w:pPr>
      <w:r w:rsidRPr="0061077A">
        <w:rPr>
          <w:lang w:val="el-GR"/>
        </w:rPr>
        <w:t>5.3.</w:t>
      </w:r>
      <w:r w:rsidRPr="0061077A">
        <w:rPr>
          <w:lang w:val="el-GR"/>
        </w:rPr>
        <w:tab/>
      </w:r>
      <w:bookmarkEnd w:id="4"/>
      <w:bookmarkEnd w:id="5"/>
      <w:proofErr w:type="spellStart"/>
      <w:r w:rsidRPr="0061077A">
        <w:rPr>
          <w:lang w:val="el-GR"/>
        </w:rPr>
        <w:t>Προκλινικά</w:t>
      </w:r>
      <w:proofErr w:type="spellEnd"/>
      <w:r w:rsidRPr="0061077A">
        <w:rPr>
          <w:lang w:val="el-GR"/>
        </w:rPr>
        <w:t xml:space="preserve"> δεδομένα ασφαλείας</w:t>
      </w:r>
    </w:p>
    <w:p w:rsidR="004F1D3D" w:rsidRPr="00441B04" w:rsidRDefault="004F1D3D" w:rsidP="004F1D3D">
      <w:pPr>
        <w:pStyle w:val="Default"/>
        <w:jc w:val="both"/>
        <w:rPr>
          <w:rFonts w:ascii="Times New Roman" w:eastAsia="Times New Roman" w:hAnsi="Times New Roman" w:cs="Times New Roman"/>
        </w:rPr>
      </w:pPr>
      <w:r w:rsidRPr="00441B04">
        <w:rPr>
          <w:rFonts w:ascii="Times New Roman" w:eastAsia="Times New Roman" w:hAnsi="Times New Roman" w:cs="Times New Roman"/>
        </w:rPr>
        <w:t xml:space="preserve">Δεν υπάρχουν νέες, συστηματικές </w:t>
      </w:r>
      <w:proofErr w:type="spellStart"/>
      <w:r w:rsidRPr="00441B04">
        <w:rPr>
          <w:rFonts w:ascii="Times New Roman" w:eastAsia="Times New Roman" w:hAnsi="Times New Roman" w:cs="Times New Roman"/>
        </w:rPr>
        <w:t>προκλινικές</w:t>
      </w:r>
      <w:proofErr w:type="spellEnd"/>
      <w:r w:rsidRPr="00441B04">
        <w:rPr>
          <w:rFonts w:ascii="Times New Roman" w:eastAsia="Times New Roman" w:hAnsi="Times New Roman" w:cs="Times New Roman"/>
        </w:rPr>
        <w:t xml:space="preserve"> δοκιμασίες για τα φύλλα ή</w:t>
      </w:r>
      <w:r w:rsidR="0061077A">
        <w:rPr>
          <w:rFonts w:ascii="Times New Roman" w:eastAsia="Times New Roman" w:hAnsi="Times New Roman" w:cs="Times New Roman"/>
        </w:rPr>
        <w:t xml:space="preserve"> τα παρασκευάσματα της σέννας. </w:t>
      </w:r>
      <w:r w:rsidRPr="00441B04">
        <w:rPr>
          <w:rFonts w:ascii="Times New Roman" w:eastAsia="Times New Roman" w:hAnsi="Times New Roman" w:cs="Times New Roman"/>
        </w:rPr>
        <w:t xml:space="preserve">Τα δεδομένα προέρχονται από μελέτες με περικάρπια σέννας. Επειδή το εύρος των συστατικών των φύλλων και του καρπού της σέννας είναι συγκρίσιμο, τα δεδομένα αυτά μπορούν να ισχύσουν και για τα φύλλα της σέννας. Τα περισσότερα δεδομένα αναφέρονται σε εκχυλίσματα από περικάρπια σέννας που περιέχουν 1,4 έως 3,5% </w:t>
      </w:r>
      <w:proofErr w:type="spellStart"/>
      <w:r w:rsidRPr="00441B04">
        <w:rPr>
          <w:rFonts w:ascii="Times New Roman" w:eastAsia="Times New Roman" w:hAnsi="Times New Roman" w:cs="Times New Roman"/>
        </w:rPr>
        <w:t>ανθρανοειδών</w:t>
      </w:r>
      <w:proofErr w:type="spellEnd"/>
      <w:r w:rsidRPr="00441B04">
        <w:rPr>
          <w:rFonts w:ascii="Times New Roman" w:eastAsia="Times New Roman" w:hAnsi="Times New Roman" w:cs="Times New Roman"/>
        </w:rPr>
        <w:t xml:space="preserve">, που αντιστοιχούν σε 0,9% έως 2,3% δυνητικής </w:t>
      </w:r>
      <w:proofErr w:type="spellStart"/>
      <w:r w:rsidR="005E6882" w:rsidRPr="00441B04">
        <w:rPr>
          <w:rFonts w:ascii="Times New Roman" w:eastAsia="Times New Roman" w:hAnsi="Times New Roman" w:cs="Times New Roman"/>
        </w:rPr>
        <w:t>ρηίνη</w:t>
      </w:r>
      <w:r w:rsidRPr="00441B04">
        <w:rPr>
          <w:rFonts w:ascii="Times New Roman" w:eastAsia="Times New Roman" w:hAnsi="Times New Roman" w:cs="Times New Roman"/>
        </w:rPr>
        <w:t>ς</w:t>
      </w:r>
      <w:proofErr w:type="spellEnd"/>
      <w:r w:rsidRPr="00441B04">
        <w:rPr>
          <w:rFonts w:ascii="Times New Roman" w:eastAsia="Times New Roman" w:hAnsi="Times New Roman" w:cs="Times New Roman"/>
        </w:rPr>
        <w:t xml:space="preserve">, 0,05 έως 0,15% δυνητικής </w:t>
      </w:r>
      <w:proofErr w:type="spellStart"/>
      <w:r w:rsidRPr="00441B04">
        <w:rPr>
          <w:rFonts w:ascii="Times New Roman" w:eastAsia="Times New Roman" w:hAnsi="Times New Roman" w:cs="Times New Roman"/>
        </w:rPr>
        <w:t>αλοεμοδίνης</w:t>
      </w:r>
      <w:proofErr w:type="spellEnd"/>
      <w:r w:rsidRPr="00441B04">
        <w:rPr>
          <w:rFonts w:ascii="Times New Roman" w:eastAsia="Times New Roman" w:hAnsi="Times New Roman" w:cs="Times New Roman"/>
        </w:rPr>
        <w:t xml:space="preserve"> και 0,001 έως 0,006% δυνητικής </w:t>
      </w:r>
      <w:proofErr w:type="spellStart"/>
      <w:r w:rsidRPr="00441B04">
        <w:rPr>
          <w:rFonts w:ascii="Times New Roman" w:eastAsia="Times New Roman" w:hAnsi="Times New Roman" w:cs="Times New Roman"/>
        </w:rPr>
        <w:t>εμοδίνης</w:t>
      </w:r>
      <w:proofErr w:type="spellEnd"/>
      <w:r w:rsidRPr="00441B04">
        <w:rPr>
          <w:rFonts w:ascii="Times New Roman" w:eastAsia="Times New Roman" w:hAnsi="Times New Roman" w:cs="Times New Roman"/>
        </w:rPr>
        <w:t xml:space="preserve"> ή απομονωμένων δραστικών συστατικών π.χ. </w:t>
      </w:r>
      <w:proofErr w:type="spellStart"/>
      <w:r w:rsidR="005E6882" w:rsidRPr="00441B04">
        <w:rPr>
          <w:rFonts w:ascii="Times New Roman" w:eastAsia="Times New Roman" w:hAnsi="Times New Roman" w:cs="Times New Roman"/>
        </w:rPr>
        <w:t>ρηίνη</w:t>
      </w:r>
      <w:r w:rsidRPr="00441B04">
        <w:rPr>
          <w:rFonts w:ascii="Times New Roman" w:eastAsia="Times New Roman" w:hAnsi="Times New Roman" w:cs="Times New Roman"/>
        </w:rPr>
        <w:t>ς</w:t>
      </w:r>
      <w:proofErr w:type="spellEnd"/>
      <w:r w:rsidRPr="00441B04">
        <w:rPr>
          <w:rFonts w:ascii="Times New Roman" w:eastAsia="Times New Roman" w:hAnsi="Times New Roman" w:cs="Times New Roman"/>
        </w:rPr>
        <w:t xml:space="preserve"> ή </w:t>
      </w:r>
      <w:proofErr w:type="spellStart"/>
      <w:r w:rsidRPr="00441B04">
        <w:rPr>
          <w:rFonts w:ascii="Times New Roman" w:eastAsia="Times New Roman" w:hAnsi="Times New Roman" w:cs="Times New Roman"/>
        </w:rPr>
        <w:t>σεννοσιδών</w:t>
      </w:r>
      <w:proofErr w:type="spellEnd"/>
      <w:r w:rsidRPr="00441B04">
        <w:rPr>
          <w:rFonts w:ascii="Times New Roman" w:eastAsia="Times New Roman" w:hAnsi="Times New Roman" w:cs="Times New Roman"/>
        </w:rPr>
        <w:t xml:space="preserve"> Α και Β. Η οξεία τοξικότητα των περικαρπίων σέννας, των ειδικών εκχυλισμάτων τους, καθώς και των </w:t>
      </w:r>
      <w:proofErr w:type="spellStart"/>
      <w:r w:rsidRPr="00441B04">
        <w:rPr>
          <w:rFonts w:ascii="Times New Roman" w:eastAsia="Times New Roman" w:hAnsi="Times New Roman" w:cs="Times New Roman"/>
        </w:rPr>
        <w:t>σεννοσιδών</w:t>
      </w:r>
      <w:proofErr w:type="spellEnd"/>
      <w:r w:rsidRPr="00441B04">
        <w:rPr>
          <w:rFonts w:ascii="Times New Roman" w:eastAsia="Times New Roman" w:hAnsi="Times New Roman" w:cs="Times New Roman"/>
        </w:rPr>
        <w:t xml:space="preserve"> σε αρουραίους και ποντικούς ήταν χαμηλή μετά από χορήγηση από το στόμα.   </w:t>
      </w:r>
    </w:p>
    <w:p w:rsidR="004F1D3D" w:rsidRPr="00441B04" w:rsidRDefault="004F1D3D" w:rsidP="004F1D3D">
      <w:pPr>
        <w:pStyle w:val="Default"/>
        <w:jc w:val="both"/>
        <w:rPr>
          <w:rFonts w:ascii="Times New Roman" w:eastAsia="Times New Roman" w:hAnsi="Times New Roman" w:cs="Times New Roman"/>
        </w:rPr>
      </w:pPr>
      <w:r w:rsidRPr="00441B04">
        <w:rPr>
          <w:rFonts w:ascii="Times New Roman" w:eastAsia="Times New Roman" w:hAnsi="Times New Roman" w:cs="Times New Roman"/>
        </w:rPr>
        <w:t xml:space="preserve">Με βάση τα αποτελέσματα ερευνών με παρεντερική εφαρμογή σε ποντικούς, τα εκχυλίσματα φαίνεται ότι παρουσιάζουν υψηλότερη τοξικότητα </w:t>
      </w:r>
      <w:proofErr w:type="spellStart"/>
      <w:r w:rsidRPr="00441B04">
        <w:rPr>
          <w:rFonts w:ascii="Times New Roman" w:eastAsia="Times New Roman" w:hAnsi="Times New Roman" w:cs="Times New Roman"/>
        </w:rPr>
        <w:t>απ’ότι</w:t>
      </w:r>
      <w:proofErr w:type="spellEnd"/>
      <w:r w:rsidRPr="00441B04">
        <w:rPr>
          <w:rFonts w:ascii="Times New Roman" w:eastAsia="Times New Roman" w:hAnsi="Times New Roman" w:cs="Times New Roman"/>
        </w:rPr>
        <w:t xml:space="preserve"> οι καθαροί </w:t>
      </w:r>
      <w:proofErr w:type="spellStart"/>
      <w:r w:rsidRPr="00441B04">
        <w:rPr>
          <w:rFonts w:ascii="Times New Roman" w:eastAsia="Times New Roman" w:hAnsi="Times New Roman" w:cs="Times New Roman"/>
        </w:rPr>
        <w:t>γλυκοσίδες</w:t>
      </w:r>
      <w:proofErr w:type="spellEnd"/>
      <w:r w:rsidRPr="00441B04">
        <w:rPr>
          <w:rFonts w:ascii="Times New Roman" w:eastAsia="Times New Roman" w:hAnsi="Times New Roman" w:cs="Times New Roman"/>
        </w:rPr>
        <w:t xml:space="preserve">, πιθανώς εξαιτίας της περιεκτικότητάς τους σε άγλυκα. </w:t>
      </w:r>
    </w:p>
    <w:p w:rsidR="00BC039D" w:rsidRPr="00441B04" w:rsidRDefault="004F1D3D" w:rsidP="004F1D3D">
      <w:pPr>
        <w:rPr>
          <w:b/>
          <w:i/>
          <w:sz w:val="24"/>
          <w:szCs w:val="24"/>
        </w:rPr>
      </w:pPr>
      <w:r w:rsidRPr="00441B04">
        <w:rPr>
          <w:sz w:val="24"/>
          <w:szCs w:val="24"/>
        </w:rPr>
        <w:t xml:space="preserve">Σε μία μελέτη διάρκειας 90 ημερών σε αρουραίους, χορηγήθηκαν περικάρπια σέννας σε επίπεδα δόσεων από 100 </w:t>
      </w:r>
      <w:r w:rsidRPr="00441B04">
        <w:rPr>
          <w:sz w:val="24"/>
          <w:szCs w:val="24"/>
          <w:lang w:val="en-US"/>
        </w:rPr>
        <w:t>mg</w:t>
      </w:r>
      <w:r w:rsidRPr="00441B04">
        <w:rPr>
          <w:sz w:val="24"/>
          <w:szCs w:val="24"/>
        </w:rPr>
        <w:t>/</w:t>
      </w:r>
      <w:r w:rsidRPr="00441B04">
        <w:rPr>
          <w:sz w:val="24"/>
          <w:szCs w:val="24"/>
          <w:lang w:val="en-US"/>
        </w:rPr>
        <w:t>kg</w:t>
      </w:r>
      <w:r w:rsidRPr="00441B04">
        <w:rPr>
          <w:sz w:val="24"/>
          <w:szCs w:val="24"/>
        </w:rPr>
        <w:t xml:space="preserve"> έως 1.500</w:t>
      </w:r>
      <w:r w:rsidRPr="00441B04">
        <w:rPr>
          <w:sz w:val="24"/>
          <w:szCs w:val="24"/>
          <w:lang w:val="en-US"/>
        </w:rPr>
        <w:t>mg</w:t>
      </w:r>
      <w:r w:rsidRPr="00441B04">
        <w:rPr>
          <w:sz w:val="24"/>
          <w:szCs w:val="24"/>
        </w:rPr>
        <w:t>/</w:t>
      </w:r>
      <w:r w:rsidRPr="00441B04">
        <w:rPr>
          <w:sz w:val="24"/>
          <w:szCs w:val="24"/>
          <w:lang w:val="en-US"/>
        </w:rPr>
        <w:t>kg</w:t>
      </w:r>
      <w:r w:rsidRPr="00441B04">
        <w:rPr>
          <w:sz w:val="24"/>
          <w:szCs w:val="24"/>
        </w:rPr>
        <w:t xml:space="preserve">. Το υπό διερεύνηση φάρμακο περιείχε 1,83% </w:t>
      </w:r>
      <w:proofErr w:type="spellStart"/>
      <w:r w:rsidRPr="00441B04">
        <w:rPr>
          <w:sz w:val="24"/>
          <w:szCs w:val="24"/>
        </w:rPr>
        <w:t>σεννοσίδες</w:t>
      </w:r>
      <w:proofErr w:type="spellEnd"/>
      <w:r w:rsidRPr="00441B04">
        <w:rPr>
          <w:sz w:val="24"/>
          <w:szCs w:val="24"/>
        </w:rPr>
        <w:t xml:space="preserve"> Α-Δ, 1,6% δυνητική </w:t>
      </w:r>
      <w:proofErr w:type="spellStart"/>
      <w:r w:rsidR="005E6882" w:rsidRPr="00441B04">
        <w:rPr>
          <w:sz w:val="24"/>
          <w:szCs w:val="24"/>
        </w:rPr>
        <w:t>ρηίνη</w:t>
      </w:r>
      <w:proofErr w:type="spellEnd"/>
      <w:r w:rsidRPr="00441B04">
        <w:rPr>
          <w:sz w:val="24"/>
          <w:szCs w:val="24"/>
        </w:rPr>
        <w:t xml:space="preserve">, 0,11% δυνητική </w:t>
      </w:r>
      <w:proofErr w:type="spellStart"/>
      <w:r w:rsidRPr="00441B04">
        <w:rPr>
          <w:sz w:val="24"/>
          <w:szCs w:val="24"/>
        </w:rPr>
        <w:t>αλοεμοδίν</w:t>
      </w:r>
      <w:r w:rsidR="0061077A">
        <w:rPr>
          <w:sz w:val="24"/>
          <w:szCs w:val="24"/>
        </w:rPr>
        <w:t>η</w:t>
      </w:r>
      <w:proofErr w:type="spellEnd"/>
      <w:r w:rsidR="0061077A">
        <w:rPr>
          <w:sz w:val="24"/>
          <w:szCs w:val="24"/>
        </w:rPr>
        <w:t xml:space="preserve"> και 0,014% δυνητική </w:t>
      </w:r>
      <w:proofErr w:type="spellStart"/>
      <w:r w:rsidR="0061077A">
        <w:rPr>
          <w:sz w:val="24"/>
          <w:szCs w:val="24"/>
        </w:rPr>
        <w:t>εμοδίνη</w:t>
      </w:r>
      <w:proofErr w:type="spellEnd"/>
      <w:r w:rsidR="0061077A">
        <w:rPr>
          <w:sz w:val="24"/>
          <w:szCs w:val="24"/>
        </w:rPr>
        <w:t xml:space="preserve">. </w:t>
      </w:r>
      <w:r w:rsidRPr="00441B04">
        <w:rPr>
          <w:sz w:val="24"/>
          <w:szCs w:val="24"/>
        </w:rPr>
        <w:t xml:space="preserve">Σε όλες τις ομάδες βρέθηκε επιθηλιακή υπερπλασία του </w:t>
      </w:r>
      <w:proofErr w:type="spellStart"/>
      <w:r w:rsidRPr="00441B04">
        <w:rPr>
          <w:sz w:val="24"/>
          <w:szCs w:val="24"/>
        </w:rPr>
        <w:t>παχέος</w:t>
      </w:r>
      <w:proofErr w:type="spellEnd"/>
      <w:r w:rsidRPr="00441B04">
        <w:rPr>
          <w:sz w:val="24"/>
          <w:szCs w:val="24"/>
        </w:rPr>
        <w:t xml:space="preserve"> εντέρου μικρού βαθμού, η οποία ήταν αναστρέψιμη στις 8 εβδομάδες της περιόδου ανάρρωσης. Οι </w:t>
      </w:r>
      <w:proofErr w:type="spellStart"/>
      <w:r w:rsidRPr="00441B04">
        <w:rPr>
          <w:sz w:val="24"/>
          <w:szCs w:val="24"/>
        </w:rPr>
        <w:t>υπερπλαστικές</w:t>
      </w:r>
      <w:proofErr w:type="spellEnd"/>
      <w:r w:rsidRPr="00441B04">
        <w:rPr>
          <w:sz w:val="24"/>
          <w:szCs w:val="24"/>
        </w:rPr>
        <w:t xml:space="preserve"> βλάβες του επιθηλίου του πρόσθιου στομάχου ήταν επίσης αναστρέψιμες. Παρατηρήθηκε επίσης </w:t>
      </w:r>
      <w:proofErr w:type="spellStart"/>
      <w:r w:rsidRPr="00441B04">
        <w:rPr>
          <w:sz w:val="24"/>
          <w:szCs w:val="24"/>
        </w:rPr>
        <w:t>δοσοεξαρτώμενη</w:t>
      </w:r>
      <w:proofErr w:type="spellEnd"/>
      <w:r w:rsidRPr="00441B04">
        <w:rPr>
          <w:sz w:val="24"/>
          <w:szCs w:val="24"/>
        </w:rPr>
        <w:t xml:space="preserve"> σωληνώδης </w:t>
      </w:r>
      <w:proofErr w:type="spellStart"/>
      <w:r w:rsidRPr="00441B04">
        <w:rPr>
          <w:sz w:val="24"/>
          <w:szCs w:val="24"/>
        </w:rPr>
        <w:t>βασεοφιλία</w:t>
      </w:r>
      <w:proofErr w:type="spellEnd"/>
      <w:r w:rsidRPr="00441B04">
        <w:rPr>
          <w:sz w:val="24"/>
          <w:szCs w:val="24"/>
        </w:rPr>
        <w:t xml:space="preserve"> και επιθηλιακή υπερπλασία των νεφρών με δόση ίση ή μεγαλύτερη από 300 mg/</w:t>
      </w:r>
      <w:proofErr w:type="spellStart"/>
      <w:r w:rsidRPr="00441B04">
        <w:rPr>
          <w:sz w:val="24"/>
          <w:szCs w:val="24"/>
        </w:rPr>
        <w:t>kg</w:t>
      </w:r>
      <w:proofErr w:type="spellEnd"/>
      <w:r w:rsidRPr="00441B04">
        <w:rPr>
          <w:sz w:val="24"/>
          <w:szCs w:val="24"/>
        </w:rPr>
        <w:t xml:space="preserve"> την ημέρα, χωρίς επίδραση στη λειτουργία.  Αυτές οι αλλαγές ήταν επίσης αναστρέψιμες.</w:t>
      </w:r>
    </w:p>
    <w:p w:rsidR="00F94A67" w:rsidRPr="00720982" w:rsidRDefault="00F94A67" w:rsidP="00F94A67">
      <w:pPr>
        <w:jc w:val="both"/>
        <w:rPr>
          <w:sz w:val="24"/>
          <w:szCs w:val="24"/>
        </w:rPr>
      </w:pPr>
    </w:p>
    <w:p w:rsidR="004F1D3D" w:rsidRPr="00720982" w:rsidRDefault="004F1D3D" w:rsidP="00F94A67">
      <w:pPr>
        <w:jc w:val="both"/>
        <w:rPr>
          <w:sz w:val="24"/>
          <w:szCs w:val="24"/>
        </w:rPr>
      </w:pPr>
      <w:r w:rsidRPr="00441B04">
        <w:rPr>
          <w:sz w:val="24"/>
          <w:szCs w:val="24"/>
        </w:rPr>
        <w:t xml:space="preserve">Συσσώρευση καφέ χρωστικής στα σωληνάρια οδήγησε σε σκούρο χρωματισμό της επιφάνειας των νεφρών, η οποία και παρέμενε σε μικρότερο βαθμό μετά την περίοδο ανάρρωσης. Δεν παρατηρήθηκαν αλλαγές στο νευρικό πλέγμα του </w:t>
      </w:r>
      <w:proofErr w:type="spellStart"/>
      <w:r w:rsidRPr="00441B04">
        <w:rPr>
          <w:sz w:val="24"/>
          <w:szCs w:val="24"/>
        </w:rPr>
        <w:t>κόλου</w:t>
      </w:r>
      <w:proofErr w:type="spellEnd"/>
      <w:r w:rsidRPr="00441B04">
        <w:rPr>
          <w:sz w:val="24"/>
          <w:szCs w:val="24"/>
        </w:rPr>
        <w:t xml:space="preserve">. Σε αυτή τη μελέτη δε μπόρεσε να ληφθεί επίπεδο μη παρατηρούμενης επίδρασης (NOEL).  </w:t>
      </w:r>
    </w:p>
    <w:p w:rsidR="004F1D3D" w:rsidRPr="00992F28" w:rsidRDefault="004F1D3D" w:rsidP="004F1D3D">
      <w:pPr>
        <w:pStyle w:val="Default"/>
        <w:jc w:val="both"/>
        <w:rPr>
          <w:rFonts w:ascii="Times New Roman" w:eastAsia="Times New Roman" w:hAnsi="Times New Roman" w:cs="Times New Roman"/>
        </w:rPr>
      </w:pPr>
      <w:r w:rsidRPr="00441B04">
        <w:rPr>
          <w:rFonts w:ascii="Times New Roman" w:eastAsia="Times New Roman" w:hAnsi="Times New Roman" w:cs="Times New Roman"/>
        </w:rPr>
        <w:t xml:space="preserve">Μία μελέτη διάρκειας 104 εβδομάδων σε αρουραίους και των δύο </w:t>
      </w:r>
      <w:r w:rsidRPr="00225AA2">
        <w:rPr>
          <w:rFonts w:ascii="Times New Roman" w:eastAsia="Times New Roman" w:hAnsi="Times New Roman" w:cs="Times New Roman"/>
        </w:rPr>
        <w:t>φύλ</w:t>
      </w:r>
      <w:r w:rsidR="00B7396A" w:rsidRPr="00225AA2">
        <w:rPr>
          <w:rFonts w:ascii="Times New Roman" w:eastAsia="Times New Roman" w:hAnsi="Times New Roman" w:cs="Times New Roman"/>
        </w:rPr>
        <w:t>λ</w:t>
      </w:r>
      <w:r w:rsidRPr="00225AA2">
        <w:rPr>
          <w:rFonts w:ascii="Times New Roman" w:eastAsia="Times New Roman" w:hAnsi="Times New Roman" w:cs="Times New Roman"/>
        </w:rPr>
        <w:t>ων</w:t>
      </w:r>
      <w:r w:rsidRPr="00441B04">
        <w:rPr>
          <w:rFonts w:ascii="Times New Roman" w:eastAsia="Times New Roman" w:hAnsi="Times New Roman" w:cs="Times New Roman"/>
        </w:rPr>
        <w:t xml:space="preserve"> δεν κατέδειξε καρκινογόνο επίδραση με το ίδιο παρασκεύασμα περικαρπίων σέννας σε δόσεις από το στόμα έως 300 mg/</w:t>
      </w:r>
      <w:proofErr w:type="spellStart"/>
      <w:r w:rsidRPr="00441B04">
        <w:rPr>
          <w:rFonts w:ascii="Times New Roman" w:eastAsia="Times New Roman" w:hAnsi="Times New Roman" w:cs="Times New Roman"/>
        </w:rPr>
        <w:t>kg</w:t>
      </w:r>
      <w:proofErr w:type="spellEnd"/>
      <w:r w:rsidR="00992F28" w:rsidRPr="00992F28">
        <w:rPr>
          <w:rFonts w:ascii="Times New Roman" w:eastAsia="Times New Roman" w:hAnsi="Times New Roman" w:cs="Times New Roman"/>
        </w:rPr>
        <w:t>.</w:t>
      </w:r>
    </w:p>
    <w:p w:rsidR="004F1D3D" w:rsidRPr="00441B04" w:rsidRDefault="004F1D3D" w:rsidP="004F1D3D">
      <w:pPr>
        <w:pStyle w:val="Default"/>
        <w:jc w:val="both"/>
        <w:rPr>
          <w:rFonts w:ascii="Times New Roman" w:eastAsia="Times New Roman" w:hAnsi="Times New Roman" w:cs="Times New Roman"/>
        </w:rPr>
      </w:pPr>
      <w:r w:rsidRPr="00441B04">
        <w:rPr>
          <w:rFonts w:ascii="Times New Roman" w:eastAsia="Times New Roman" w:hAnsi="Times New Roman" w:cs="Times New Roman"/>
        </w:rPr>
        <w:t xml:space="preserve">Επιπλέον ένα καθορισμένο εκχύλισμα σέννας που χορηγήθηκε από το στόμα για 2 έτη δεν ήταν καρκινογόνο σε αρσενικούς ή θηλυκούς αρουραίους. Το εκχύλισμα που μελετήθηκε περιείχε περίπου 40,8% </w:t>
      </w:r>
      <w:proofErr w:type="spellStart"/>
      <w:r w:rsidRPr="00441B04">
        <w:rPr>
          <w:rFonts w:ascii="Times New Roman" w:eastAsia="Times New Roman" w:hAnsi="Times New Roman" w:cs="Times New Roman"/>
        </w:rPr>
        <w:t>ανθρανοειδή</w:t>
      </w:r>
      <w:proofErr w:type="spellEnd"/>
      <w:r w:rsidRPr="00441B04">
        <w:rPr>
          <w:rFonts w:ascii="Times New Roman" w:eastAsia="Times New Roman" w:hAnsi="Times New Roman" w:cs="Times New Roman"/>
        </w:rPr>
        <w:t xml:space="preserve">, από τα οποία το 35% ήταν </w:t>
      </w:r>
      <w:proofErr w:type="spellStart"/>
      <w:r w:rsidRPr="00441B04">
        <w:rPr>
          <w:rFonts w:ascii="Times New Roman" w:eastAsia="Times New Roman" w:hAnsi="Times New Roman" w:cs="Times New Roman"/>
        </w:rPr>
        <w:t>σεννοσίδες</w:t>
      </w:r>
      <w:proofErr w:type="spellEnd"/>
      <w:r w:rsidRPr="00441B04">
        <w:rPr>
          <w:rFonts w:ascii="Times New Roman" w:eastAsia="Times New Roman" w:hAnsi="Times New Roman" w:cs="Times New Roman"/>
        </w:rPr>
        <w:t xml:space="preserve">, που αντιστοιχούν περίπου σε 25,2% δυνητικής </w:t>
      </w:r>
      <w:proofErr w:type="spellStart"/>
      <w:r w:rsidR="005E6882" w:rsidRPr="00441B04">
        <w:rPr>
          <w:rFonts w:ascii="Times New Roman" w:eastAsia="Times New Roman" w:hAnsi="Times New Roman" w:cs="Times New Roman"/>
        </w:rPr>
        <w:t>ρηίνη</w:t>
      </w:r>
      <w:r w:rsidRPr="00441B04">
        <w:rPr>
          <w:rFonts w:ascii="Times New Roman" w:eastAsia="Times New Roman" w:hAnsi="Times New Roman" w:cs="Times New Roman"/>
        </w:rPr>
        <w:t>ς</w:t>
      </w:r>
      <w:proofErr w:type="spellEnd"/>
      <w:r w:rsidRPr="00441B04">
        <w:rPr>
          <w:rFonts w:ascii="Times New Roman" w:eastAsia="Times New Roman" w:hAnsi="Times New Roman" w:cs="Times New Roman"/>
        </w:rPr>
        <w:t xml:space="preserve">, 2,3% δυνητικής </w:t>
      </w:r>
      <w:proofErr w:type="spellStart"/>
      <w:r w:rsidRPr="00441B04">
        <w:rPr>
          <w:rFonts w:ascii="Times New Roman" w:eastAsia="Times New Roman" w:hAnsi="Times New Roman" w:cs="Times New Roman"/>
        </w:rPr>
        <w:lastRenderedPageBreak/>
        <w:t>αλοεμοδίνης</w:t>
      </w:r>
      <w:proofErr w:type="spellEnd"/>
      <w:r w:rsidRPr="00441B04">
        <w:rPr>
          <w:rFonts w:ascii="Times New Roman" w:eastAsia="Times New Roman" w:hAnsi="Times New Roman" w:cs="Times New Roman"/>
        </w:rPr>
        <w:t xml:space="preserve"> και 0,007% δυνητικής </w:t>
      </w:r>
      <w:proofErr w:type="spellStart"/>
      <w:r w:rsidRPr="00441B04">
        <w:rPr>
          <w:rFonts w:ascii="Times New Roman" w:eastAsia="Times New Roman" w:hAnsi="Times New Roman" w:cs="Times New Roman"/>
        </w:rPr>
        <w:t>εμοδίνης</w:t>
      </w:r>
      <w:proofErr w:type="spellEnd"/>
      <w:r w:rsidRPr="00441B04">
        <w:rPr>
          <w:rFonts w:ascii="Times New Roman" w:eastAsia="Times New Roman" w:hAnsi="Times New Roman" w:cs="Times New Roman"/>
        </w:rPr>
        <w:t xml:space="preserve">, καθώς και σε 142 </w:t>
      </w:r>
      <w:proofErr w:type="spellStart"/>
      <w:r w:rsidRPr="00441B04">
        <w:rPr>
          <w:rFonts w:ascii="Times New Roman" w:eastAsia="Times New Roman" w:hAnsi="Times New Roman" w:cs="Times New Roman"/>
        </w:rPr>
        <w:t>ppm</w:t>
      </w:r>
      <w:proofErr w:type="spellEnd"/>
      <w:r w:rsidRPr="00441B04">
        <w:rPr>
          <w:rFonts w:ascii="Times New Roman" w:eastAsia="Times New Roman" w:hAnsi="Times New Roman" w:cs="Times New Roman"/>
        </w:rPr>
        <w:t xml:space="preserve"> ελεύθερης </w:t>
      </w:r>
      <w:proofErr w:type="spellStart"/>
      <w:r w:rsidRPr="00441B04">
        <w:rPr>
          <w:rFonts w:ascii="Times New Roman" w:eastAsia="Times New Roman" w:hAnsi="Times New Roman" w:cs="Times New Roman"/>
        </w:rPr>
        <w:t>αλοεμοδίνης</w:t>
      </w:r>
      <w:proofErr w:type="spellEnd"/>
      <w:r w:rsidRPr="00441B04">
        <w:rPr>
          <w:rFonts w:ascii="Times New Roman" w:eastAsia="Times New Roman" w:hAnsi="Times New Roman" w:cs="Times New Roman"/>
        </w:rPr>
        <w:t xml:space="preserve"> και 9 </w:t>
      </w:r>
      <w:proofErr w:type="spellStart"/>
      <w:r w:rsidRPr="00441B04">
        <w:rPr>
          <w:rFonts w:ascii="Times New Roman" w:eastAsia="Times New Roman" w:hAnsi="Times New Roman" w:cs="Times New Roman"/>
        </w:rPr>
        <w:t>ppm</w:t>
      </w:r>
      <w:proofErr w:type="spellEnd"/>
      <w:r w:rsidRPr="00441B04">
        <w:rPr>
          <w:rFonts w:ascii="Times New Roman" w:eastAsia="Times New Roman" w:hAnsi="Times New Roman" w:cs="Times New Roman"/>
        </w:rPr>
        <w:t xml:space="preserve"> ελεύθερης </w:t>
      </w:r>
      <w:proofErr w:type="spellStart"/>
      <w:r w:rsidRPr="00441B04">
        <w:rPr>
          <w:rFonts w:ascii="Times New Roman" w:eastAsia="Times New Roman" w:hAnsi="Times New Roman" w:cs="Times New Roman"/>
        </w:rPr>
        <w:t>εμοδίνης</w:t>
      </w:r>
      <w:proofErr w:type="spellEnd"/>
      <w:r w:rsidRPr="00441B04">
        <w:rPr>
          <w:rFonts w:ascii="Times New Roman" w:eastAsia="Times New Roman" w:hAnsi="Times New Roman" w:cs="Times New Roman"/>
        </w:rPr>
        <w:t xml:space="preserve">. </w:t>
      </w:r>
    </w:p>
    <w:p w:rsidR="004F1D3D" w:rsidRPr="00441B04" w:rsidRDefault="004F1D3D" w:rsidP="004F1D3D">
      <w:pPr>
        <w:pStyle w:val="Default"/>
        <w:rPr>
          <w:rFonts w:ascii="Times New Roman" w:eastAsia="Times New Roman" w:hAnsi="Times New Roman" w:cs="Times New Roman"/>
        </w:rPr>
      </w:pPr>
      <w:r w:rsidRPr="00441B04">
        <w:rPr>
          <w:rFonts w:ascii="Times New Roman" w:eastAsia="Times New Roman" w:hAnsi="Times New Roman" w:cs="Times New Roman"/>
        </w:rPr>
        <w:t xml:space="preserve">Περαιτέρω μελέτες διάρκειας 2 ετών σε αρσενικούς και θηλυκούς αρουραίους και ποντικούς με </w:t>
      </w:r>
      <w:proofErr w:type="spellStart"/>
      <w:r w:rsidRPr="00441B04">
        <w:rPr>
          <w:rFonts w:ascii="Times New Roman" w:eastAsia="Times New Roman" w:hAnsi="Times New Roman" w:cs="Times New Roman"/>
        </w:rPr>
        <w:t>εμοδίνη</w:t>
      </w:r>
      <w:proofErr w:type="spellEnd"/>
      <w:r w:rsidRPr="00441B04">
        <w:rPr>
          <w:rFonts w:ascii="Times New Roman" w:eastAsia="Times New Roman" w:hAnsi="Times New Roman" w:cs="Times New Roman"/>
        </w:rPr>
        <w:t xml:space="preserve"> δεν κατέδειξαν καρκινογόνο δράση στους αρσενικούς αρουραίους και στους θηλυκούς ποντικούς, ενώ κατέδειξαν διφορούμενα αποτελέσματα στους θηλυκούς αρουραίους και τους αρσενικούς ποντικούς. </w:t>
      </w:r>
    </w:p>
    <w:p w:rsidR="004F1D3D" w:rsidRPr="00441B04" w:rsidRDefault="004F1D3D" w:rsidP="004F1D3D">
      <w:pPr>
        <w:pStyle w:val="Default"/>
        <w:rPr>
          <w:rFonts w:ascii="Times New Roman" w:eastAsia="Times New Roman" w:hAnsi="Times New Roman" w:cs="Times New Roman"/>
        </w:rPr>
      </w:pPr>
      <w:r w:rsidRPr="00441B04">
        <w:rPr>
          <w:rFonts w:ascii="Times New Roman" w:eastAsia="Times New Roman" w:hAnsi="Times New Roman" w:cs="Times New Roman"/>
        </w:rPr>
        <w:t xml:space="preserve">Οι </w:t>
      </w:r>
      <w:proofErr w:type="spellStart"/>
      <w:r w:rsidRPr="00441B04">
        <w:rPr>
          <w:rFonts w:ascii="Times New Roman" w:eastAsia="Times New Roman" w:hAnsi="Times New Roman" w:cs="Times New Roman"/>
        </w:rPr>
        <w:t>σεννοσίδες</w:t>
      </w:r>
      <w:proofErr w:type="spellEnd"/>
      <w:r w:rsidRPr="00441B04">
        <w:rPr>
          <w:rFonts w:ascii="Times New Roman" w:eastAsia="Times New Roman" w:hAnsi="Times New Roman" w:cs="Times New Roman"/>
        </w:rPr>
        <w:t xml:space="preserve"> δεν επέδειξαν ειδική τοξικότητα όταν εξετάστηκαν σε δόσεις έως 500 mg/</w:t>
      </w:r>
      <w:proofErr w:type="spellStart"/>
      <w:r w:rsidRPr="00441B04">
        <w:rPr>
          <w:rFonts w:ascii="Times New Roman" w:eastAsia="Times New Roman" w:hAnsi="Times New Roman" w:cs="Times New Roman"/>
        </w:rPr>
        <w:t>kg</w:t>
      </w:r>
      <w:proofErr w:type="spellEnd"/>
      <w:r w:rsidRPr="00441B04">
        <w:rPr>
          <w:rFonts w:ascii="Times New Roman" w:eastAsia="Times New Roman" w:hAnsi="Times New Roman" w:cs="Times New Roman"/>
        </w:rPr>
        <w:t xml:space="preserve"> σε σκύλους για 4 εβδομάδες και έως 100 mg/</w:t>
      </w:r>
      <w:proofErr w:type="spellStart"/>
      <w:r w:rsidRPr="00441B04">
        <w:rPr>
          <w:rFonts w:ascii="Times New Roman" w:eastAsia="Times New Roman" w:hAnsi="Times New Roman" w:cs="Times New Roman"/>
        </w:rPr>
        <w:t>kg</w:t>
      </w:r>
      <w:proofErr w:type="spellEnd"/>
      <w:r w:rsidRPr="00441B04">
        <w:rPr>
          <w:rFonts w:ascii="Times New Roman" w:eastAsia="Times New Roman" w:hAnsi="Times New Roman" w:cs="Times New Roman"/>
        </w:rPr>
        <w:t xml:space="preserve"> σε αρουραίους για 6 μήνες.  </w:t>
      </w:r>
    </w:p>
    <w:p w:rsidR="004F1D3D" w:rsidRPr="00441B04" w:rsidRDefault="004F1D3D" w:rsidP="004F1D3D">
      <w:pPr>
        <w:pStyle w:val="Default"/>
        <w:rPr>
          <w:rFonts w:ascii="Times New Roman" w:eastAsia="Times New Roman" w:hAnsi="Times New Roman" w:cs="Times New Roman"/>
        </w:rPr>
      </w:pPr>
      <w:r w:rsidRPr="00441B04">
        <w:rPr>
          <w:rFonts w:ascii="Times New Roman" w:eastAsia="Times New Roman" w:hAnsi="Times New Roman" w:cs="Times New Roman"/>
        </w:rPr>
        <w:t xml:space="preserve">Δεν υπήρχαν ενδείξεις για θανατηφόρο δράση στο έμβρυο, τερατογόνο ή </w:t>
      </w:r>
      <w:proofErr w:type="spellStart"/>
      <w:r w:rsidRPr="00441B04">
        <w:rPr>
          <w:rFonts w:ascii="Times New Roman" w:eastAsia="Times New Roman" w:hAnsi="Times New Roman" w:cs="Times New Roman"/>
        </w:rPr>
        <w:t>εμβρυοτοξική</w:t>
      </w:r>
      <w:proofErr w:type="spellEnd"/>
      <w:r w:rsidRPr="00441B04">
        <w:rPr>
          <w:rFonts w:ascii="Times New Roman" w:eastAsia="Times New Roman" w:hAnsi="Times New Roman" w:cs="Times New Roman"/>
        </w:rPr>
        <w:t xml:space="preserve"> δράση στους αρουραίους ή τα κουνέλια μετά από θεραπεία με </w:t>
      </w:r>
      <w:proofErr w:type="spellStart"/>
      <w:r w:rsidRPr="00441B04">
        <w:rPr>
          <w:rFonts w:ascii="Times New Roman" w:eastAsia="Times New Roman" w:hAnsi="Times New Roman" w:cs="Times New Roman"/>
        </w:rPr>
        <w:t>σεννοσίδες</w:t>
      </w:r>
      <w:proofErr w:type="spellEnd"/>
      <w:r w:rsidRPr="00441B04">
        <w:rPr>
          <w:rFonts w:ascii="Times New Roman" w:eastAsia="Times New Roman" w:hAnsi="Times New Roman" w:cs="Times New Roman"/>
        </w:rPr>
        <w:t xml:space="preserve"> από το στόμα. Επιπλέον, δεν υπήρχε επίδραση στη μεταγεννητική ανάπτυξη των νεαρών αρουραίων, στη συμπεριφορά ανατροφής των μητέρων ή στη γονιμότητα των αρσενικών και των θηλυκών αρουραίων. Δεν είναι διαθέσιμα δεδομένα για τα φυτικά παρασκευάσματα. </w:t>
      </w:r>
    </w:p>
    <w:p w:rsidR="004F1D3D" w:rsidRPr="00441B04" w:rsidRDefault="004F1D3D" w:rsidP="004F1D3D">
      <w:pPr>
        <w:pStyle w:val="Default"/>
        <w:rPr>
          <w:rFonts w:ascii="Times New Roman" w:eastAsia="Times New Roman" w:hAnsi="Times New Roman" w:cs="Times New Roman"/>
        </w:rPr>
      </w:pPr>
      <w:r w:rsidRPr="00441B04">
        <w:rPr>
          <w:rFonts w:ascii="Times New Roman" w:eastAsia="Times New Roman" w:hAnsi="Times New Roman" w:cs="Times New Roman"/>
        </w:rPr>
        <w:t xml:space="preserve">Ένα εκχύλισμα και η </w:t>
      </w:r>
      <w:proofErr w:type="spellStart"/>
      <w:r w:rsidRPr="00441B04">
        <w:rPr>
          <w:rFonts w:ascii="Times New Roman" w:eastAsia="Times New Roman" w:hAnsi="Times New Roman" w:cs="Times New Roman"/>
        </w:rPr>
        <w:t>αλοεμοδίνη</w:t>
      </w:r>
      <w:proofErr w:type="spellEnd"/>
      <w:r w:rsidRPr="00441B04">
        <w:rPr>
          <w:rFonts w:ascii="Times New Roman" w:eastAsia="Times New Roman" w:hAnsi="Times New Roman" w:cs="Times New Roman"/>
        </w:rPr>
        <w:t xml:space="preserve"> ήταν </w:t>
      </w:r>
      <w:proofErr w:type="spellStart"/>
      <w:r w:rsidRPr="00441B04">
        <w:rPr>
          <w:rFonts w:ascii="Times New Roman" w:eastAsia="Times New Roman" w:hAnsi="Times New Roman" w:cs="Times New Roman"/>
        </w:rPr>
        <w:t>μεταλλαξιογόνα</w:t>
      </w:r>
      <w:proofErr w:type="spellEnd"/>
      <w:r w:rsidRPr="00441B04">
        <w:rPr>
          <w:rFonts w:ascii="Times New Roman" w:eastAsia="Times New Roman" w:hAnsi="Times New Roman" w:cs="Times New Roman"/>
        </w:rPr>
        <w:t xml:space="preserve"> σε </w:t>
      </w:r>
      <w:r w:rsidRPr="00441B04">
        <w:rPr>
          <w:rFonts w:ascii="Times New Roman" w:eastAsia="Times New Roman" w:hAnsi="Times New Roman" w:cs="Times New Roman"/>
          <w:i/>
          <w:iCs/>
        </w:rPr>
        <w:t xml:space="preserve">in </w:t>
      </w:r>
      <w:proofErr w:type="spellStart"/>
      <w:r w:rsidRPr="00441B04">
        <w:rPr>
          <w:rFonts w:ascii="Times New Roman" w:eastAsia="Times New Roman" w:hAnsi="Times New Roman" w:cs="Times New Roman"/>
          <w:i/>
          <w:iCs/>
        </w:rPr>
        <w:t>vitro</w:t>
      </w:r>
      <w:proofErr w:type="spellEnd"/>
      <w:r w:rsidRPr="00441B04">
        <w:rPr>
          <w:rFonts w:ascii="Times New Roman" w:eastAsia="Times New Roman" w:hAnsi="Times New Roman" w:cs="Times New Roman"/>
        </w:rPr>
        <w:t xml:space="preserve"> ελέγχους, ενώ οι </w:t>
      </w:r>
      <w:proofErr w:type="spellStart"/>
      <w:r w:rsidRPr="00441B04">
        <w:rPr>
          <w:rFonts w:ascii="Times New Roman" w:eastAsia="Times New Roman" w:hAnsi="Times New Roman" w:cs="Times New Roman"/>
        </w:rPr>
        <w:t>σεννοσίδες</w:t>
      </w:r>
      <w:proofErr w:type="spellEnd"/>
      <w:r w:rsidRPr="00441B04">
        <w:rPr>
          <w:rFonts w:ascii="Times New Roman" w:eastAsia="Times New Roman" w:hAnsi="Times New Roman" w:cs="Times New Roman"/>
        </w:rPr>
        <w:t xml:space="preserve"> Α, Β και η </w:t>
      </w:r>
      <w:proofErr w:type="spellStart"/>
      <w:r w:rsidR="005E6882" w:rsidRPr="00441B04">
        <w:rPr>
          <w:rFonts w:ascii="Times New Roman" w:eastAsia="Times New Roman" w:hAnsi="Times New Roman" w:cs="Times New Roman"/>
        </w:rPr>
        <w:t>ρηίνη</w:t>
      </w:r>
      <w:proofErr w:type="spellEnd"/>
      <w:r w:rsidRPr="00441B04">
        <w:rPr>
          <w:rFonts w:ascii="Times New Roman" w:eastAsia="Times New Roman" w:hAnsi="Times New Roman" w:cs="Times New Roman"/>
        </w:rPr>
        <w:t xml:space="preserve"> έδωσαν αρνητικά αποτελέσματα. Οι εκτενείς </w:t>
      </w:r>
      <w:r w:rsidRPr="00441B04">
        <w:rPr>
          <w:rFonts w:ascii="Times New Roman" w:eastAsia="Times New Roman" w:hAnsi="Times New Roman" w:cs="Times New Roman"/>
          <w:i/>
          <w:iCs/>
        </w:rPr>
        <w:t xml:space="preserve">in </w:t>
      </w:r>
      <w:proofErr w:type="spellStart"/>
      <w:r w:rsidRPr="00441B04">
        <w:rPr>
          <w:rFonts w:ascii="Times New Roman" w:eastAsia="Times New Roman" w:hAnsi="Times New Roman" w:cs="Times New Roman"/>
          <w:i/>
          <w:iCs/>
        </w:rPr>
        <w:t>vivo</w:t>
      </w:r>
      <w:proofErr w:type="spellEnd"/>
      <w:r w:rsidRPr="00441B04">
        <w:rPr>
          <w:rFonts w:ascii="Times New Roman" w:eastAsia="Times New Roman" w:hAnsi="Times New Roman" w:cs="Times New Roman"/>
          <w:i/>
          <w:iCs/>
        </w:rPr>
        <w:t xml:space="preserve"> </w:t>
      </w:r>
      <w:r w:rsidRPr="00441B04">
        <w:rPr>
          <w:rFonts w:ascii="Times New Roman" w:eastAsia="Times New Roman" w:hAnsi="Times New Roman" w:cs="Times New Roman"/>
        </w:rPr>
        <w:t xml:space="preserve">δοκιμασίες ενός καθορισμένου εκχυλίσματος περικαρπίων σέννας ήταν αρνητικές.  </w:t>
      </w:r>
    </w:p>
    <w:p w:rsidR="004F1D3D" w:rsidRPr="00720982" w:rsidRDefault="004F1D3D" w:rsidP="004F1D3D">
      <w:pPr>
        <w:jc w:val="both"/>
        <w:rPr>
          <w:sz w:val="24"/>
          <w:szCs w:val="24"/>
        </w:rPr>
      </w:pPr>
      <w:r w:rsidRPr="00441B04">
        <w:rPr>
          <w:sz w:val="24"/>
          <w:szCs w:val="24"/>
        </w:rPr>
        <w:t xml:space="preserve">Η χρήση καθαρτικών ως παράγοντας κινδύνου για </w:t>
      </w:r>
      <w:proofErr w:type="spellStart"/>
      <w:r w:rsidRPr="00441B04">
        <w:rPr>
          <w:sz w:val="24"/>
          <w:szCs w:val="24"/>
        </w:rPr>
        <w:t>ορθοκολικό</w:t>
      </w:r>
      <w:proofErr w:type="spellEnd"/>
      <w:r w:rsidRPr="00441B04">
        <w:rPr>
          <w:sz w:val="24"/>
          <w:szCs w:val="24"/>
        </w:rPr>
        <w:t xml:space="preserve"> καρκίνο (CRC) διερευνήθηκε </w:t>
      </w:r>
      <w:r w:rsidR="00294483">
        <w:rPr>
          <w:sz w:val="24"/>
          <w:szCs w:val="24"/>
        </w:rPr>
        <w:t xml:space="preserve">σε ορισμένες κλινικές μελέτες. </w:t>
      </w:r>
      <w:r w:rsidRPr="00441B04">
        <w:rPr>
          <w:sz w:val="24"/>
          <w:szCs w:val="24"/>
        </w:rPr>
        <w:t xml:space="preserve">Ορισμένες μελέτες κατέδειξαν κίνδυνο για CRC που σχετίζεται με τη χρήση καθαρτικών που περιέχουν ανθρακινόνες, ενώ ορισμένες άλλες μελέτες δεν κατέδειξαν τέτοιο κίνδυνο. Ωστόσο, καταδείχθηκε επίσης κίνδυνος για δυσκοιλιότητα </w:t>
      </w:r>
      <w:r w:rsidR="005E3557">
        <w:rPr>
          <w:sz w:val="24"/>
          <w:szCs w:val="24"/>
        </w:rPr>
        <w:t xml:space="preserve">αυτά </w:t>
      </w:r>
      <w:r w:rsidRPr="00441B04">
        <w:rPr>
          <w:sz w:val="24"/>
          <w:szCs w:val="24"/>
        </w:rPr>
        <w:t>καθαυτή και τις υποκείμενες διατροφικές συνήθειες.</w:t>
      </w:r>
    </w:p>
    <w:p w:rsidR="004F1D3D" w:rsidRPr="00720982" w:rsidRDefault="004F1D3D" w:rsidP="004F1D3D">
      <w:pPr>
        <w:jc w:val="both"/>
        <w:rPr>
          <w:sz w:val="24"/>
          <w:szCs w:val="24"/>
        </w:rPr>
      </w:pPr>
      <w:r w:rsidRPr="00441B04">
        <w:rPr>
          <w:sz w:val="24"/>
          <w:szCs w:val="24"/>
        </w:rPr>
        <w:t>Απαιτούνται περαιτέρω έρευνες για την οριστική αξιολόγηση του κινδύνου καρκινογένεσης.</w:t>
      </w:r>
    </w:p>
    <w:p w:rsidR="00596762" w:rsidRPr="00441B04" w:rsidRDefault="00596762" w:rsidP="00F94A67">
      <w:pPr>
        <w:pStyle w:val="1"/>
        <w:rPr>
          <w:b/>
          <w:i w:val="0"/>
          <w:caps/>
          <w:sz w:val="24"/>
          <w:szCs w:val="24"/>
        </w:rPr>
      </w:pPr>
    </w:p>
    <w:p w:rsidR="00F94A67" w:rsidRPr="00441B04" w:rsidRDefault="00F94A67" w:rsidP="00F94A67">
      <w:pPr>
        <w:pStyle w:val="1"/>
        <w:rPr>
          <w:b/>
          <w:i w:val="0"/>
          <w:iCs w:val="0"/>
          <w:color w:val="000000"/>
          <w:sz w:val="24"/>
          <w:szCs w:val="24"/>
        </w:rPr>
      </w:pPr>
      <w:r w:rsidRPr="00441B04">
        <w:rPr>
          <w:b/>
          <w:i w:val="0"/>
          <w:caps/>
          <w:sz w:val="24"/>
          <w:szCs w:val="24"/>
        </w:rPr>
        <w:t>6.</w:t>
      </w:r>
      <w:r w:rsidRPr="00441B04">
        <w:rPr>
          <w:b/>
          <w:i w:val="0"/>
          <w:iCs w:val="0"/>
          <w:color w:val="000000"/>
          <w:sz w:val="24"/>
          <w:szCs w:val="24"/>
        </w:rPr>
        <w:tab/>
        <w:t xml:space="preserve">ΦΑΡΜΑΚΕΥΤΙΚΕΣ ΠΛΗΡΟΦΟΡΙΕΣ  </w:t>
      </w:r>
    </w:p>
    <w:p w:rsidR="00F94A67" w:rsidRPr="00441B04" w:rsidRDefault="00F94A67" w:rsidP="00F94A67">
      <w:pPr>
        <w:pStyle w:val="Text"/>
      </w:pPr>
    </w:p>
    <w:p w:rsidR="00F94A67" w:rsidRPr="00441B04" w:rsidRDefault="00F94A67" w:rsidP="00F94A67">
      <w:pPr>
        <w:pStyle w:val="2"/>
        <w:keepLines w:val="0"/>
        <w:numPr>
          <w:ilvl w:val="1"/>
          <w:numId w:val="10"/>
        </w:numPr>
        <w:spacing w:before="0" w:after="0" w:line="260" w:lineRule="exact"/>
        <w:jc w:val="both"/>
        <w:rPr>
          <w:caps/>
          <w:lang w:val="en-US"/>
        </w:rPr>
      </w:pPr>
      <w:r w:rsidRPr="00441B04">
        <w:t>Κα</w:t>
      </w:r>
      <w:proofErr w:type="spellStart"/>
      <w:r w:rsidRPr="00441B04">
        <w:t>τάλογος</w:t>
      </w:r>
      <w:proofErr w:type="spellEnd"/>
      <w:r w:rsidRPr="00441B04">
        <w:t xml:space="preserve"> </w:t>
      </w:r>
      <w:proofErr w:type="spellStart"/>
      <w:r w:rsidRPr="00441B04">
        <w:t>εκδόχων</w:t>
      </w:r>
      <w:proofErr w:type="spellEnd"/>
      <w:r w:rsidRPr="00441B04">
        <w:rPr>
          <w:caps/>
        </w:rPr>
        <w:t xml:space="preserve"> </w:t>
      </w:r>
    </w:p>
    <w:p w:rsidR="00806709" w:rsidRPr="00441B04" w:rsidRDefault="00806709" w:rsidP="00806709">
      <w:pPr>
        <w:ind w:left="284"/>
        <w:jc w:val="both"/>
        <w:rPr>
          <w:sz w:val="24"/>
          <w:szCs w:val="24"/>
          <w:lang w:val="en-US"/>
        </w:rPr>
      </w:pPr>
      <w:r w:rsidRPr="00441B04">
        <w:rPr>
          <w:sz w:val="24"/>
          <w:szCs w:val="24"/>
        </w:rPr>
        <w:t>Πυρήνας</w:t>
      </w:r>
      <w:r w:rsidRPr="00441B04">
        <w:rPr>
          <w:sz w:val="24"/>
          <w:szCs w:val="24"/>
          <w:lang w:val="en-US"/>
        </w:rPr>
        <w:t xml:space="preserve"> </w:t>
      </w:r>
      <w:r w:rsidRPr="00441B04">
        <w:rPr>
          <w:sz w:val="24"/>
          <w:szCs w:val="24"/>
        </w:rPr>
        <w:t>δισκίου</w:t>
      </w:r>
      <w:r w:rsidRPr="00441B04">
        <w:rPr>
          <w:sz w:val="24"/>
          <w:szCs w:val="24"/>
          <w:lang w:val="en-US"/>
        </w:rPr>
        <w:t xml:space="preserve">: </w:t>
      </w:r>
      <w:proofErr w:type="spellStart"/>
      <w:r w:rsidR="00EA106C" w:rsidRPr="00EA106C">
        <w:rPr>
          <w:sz w:val="24"/>
          <w:szCs w:val="24"/>
          <w:lang w:val="en-US"/>
        </w:rPr>
        <w:t>gelatine</w:t>
      </w:r>
      <w:proofErr w:type="spellEnd"/>
      <w:r w:rsidRPr="00441B04">
        <w:rPr>
          <w:sz w:val="24"/>
          <w:szCs w:val="24"/>
          <w:lang w:val="en-US"/>
        </w:rPr>
        <w:t xml:space="preserve">, </w:t>
      </w:r>
      <w:r w:rsidR="00EA106C" w:rsidRPr="00EA106C">
        <w:rPr>
          <w:sz w:val="24"/>
          <w:szCs w:val="24"/>
          <w:lang w:val="en-US"/>
        </w:rPr>
        <w:t>stearic</w:t>
      </w:r>
      <w:r w:rsidRPr="00441B04">
        <w:rPr>
          <w:sz w:val="24"/>
          <w:szCs w:val="24"/>
          <w:lang w:val="en-US"/>
        </w:rPr>
        <w:t xml:space="preserve"> </w:t>
      </w:r>
      <w:r w:rsidR="00EA106C" w:rsidRPr="00EA106C">
        <w:rPr>
          <w:sz w:val="24"/>
          <w:szCs w:val="24"/>
          <w:lang w:val="en-US"/>
        </w:rPr>
        <w:t>acid</w:t>
      </w:r>
      <w:r w:rsidRPr="00441B04">
        <w:rPr>
          <w:sz w:val="24"/>
          <w:szCs w:val="24"/>
          <w:lang w:val="en-US"/>
        </w:rPr>
        <w:t xml:space="preserve">, </w:t>
      </w:r>
      <w:r w:rsidR="00EA106C" w:rsidRPr="00EA106C">
        <w:rPr>
          <w:sz w:val="24"/>
          <w:szCs w:val="24"/>
          <w:lang w:val="en-US"/>
        </w:rPr>
        <w:t>glucose</w:t>
      </w:r>
      <w:r w:rsidRPr="00441B04">
        <w:rPr>
          <w:sz w:val="24"/>
          <w:szCs w:val="24"/>
          <w:lang w:val="en-US"/>
        </w:rPr>
        <w:t xml:space="preserve"> anhydrous, </w:t>
      </w:r>
      <w:r w:rsidR="00EA106C" w:rsidRPr="00EA106C">
        <w:rPr>
          <w:sz w:val="24"/>
          <w:szCs w:val="24"/>
          <w:lang w:val="en-US"/>
        </w:rPr>
        <w:t>talc</w:t>
      </w:r>
      <w:r w:rsidRPr="00441B04">
        <w:rPr>
          <w:sz w:val="24"/>
          <w:szCs w:val="24"/>
          <w:lang w:val="en-US"/>
        </w:rPr>
        <w:t xml:space="preserve">, </w:t>
      </w:r>
      <w:r w:rsidR="00EA106C" w:rsidRPr="00EA106C">
        <w:rPr>
          <w:sz w:val="24"/>
          <w:szCs w:val="24"/>
          <w:lang w:val="en-US"/>
        </w:rPr>
        <w:t>maize</w:t>
      </w:r>
      <w:r w:rsidRPr="00441B04">
        <w:rPr>
          <w:sz w:val="24"/>
          <w:szCs w:val="24"/>
          <w:lang w:val="en-US"/>
        </w:rPr>
        <w:t xml:space="preserve"> </w:t>
      </w:r>
      <w:r w:rsidR="00EA106C" w:rsidRPr="00EA106C">
        <w:rPr>
          <w:sz w:val="24"/>
          <w:szCs w:val="24"/>
          <w:lang w:val="en-US"/>
        </w:rPr>
        <w:t>starch</w:t>
      </w:r>
      <w:r w:rsidRPr="00441B04">
        <w:rPr>
          <w:sz w:val="24"/>
          <w:szCs w:val="24"/>
          <w:lang w:val="en-US"/>
        </w:rPr>
        <w:t xml:space="preserve">, </w:t>
      </w:r>
      <w:r w:rsidR="00EA106C" w:rsidRPr="00EA106C">
        <w:rPr>
          <w:sz w:val="24"/>
          <w:szCs w:val="24"/>
          <w:lang w:val="en-US"/>
        </w:rPr>
        <w:t>lactose</w:t>
      </w:r>
      <w:r w:rsidRPr="00441B04">
        <w:rPr>
          <w:sz w:val="24"/>
          <w:szCs w:val="24"/>
          <w:lang w:val="en-US"/>
        </w:rPr>
        <w:t xml:space="preserve"> </w:t>
      </w:r>
      <w:r w:rsidR="00EA106C" w:rsidRPr="00EA106C">
        <w:rPr>
          <w:sz w:val="24"/>
          <w:szCs w:val="24"/>
          <w:lang w:val="en-US"/>
        </w:rPr>
        <w:t>monohydrate</w:t>
      </w:r>
    </w:p>
    <w:p w:rsidR="00806709" w:rsidRPr="00441B04" w:rsidRDefault="00806709" w:rsidP="00806709">
      <w:pPr>
        <w:ind w:left="284"/>
        <w:jc w:val="both"/>
        <w:rPr>
          <w:sz w:val="24"/>
          <w:szCs w:val="24"/>
          <w:lang w:val="en-US"/>
        </w:rPr>
      </w:pPr>
      <w:r w:rsidRPr="00441B04">
        <w:rPr>
          <w:sz w:val="24"/>
          <w:szCs w:val="24"/>
        </w:rPr>
        <w:t>Επικάλυψη</w:t>
      </w:r>
      <w:r w:rsidRPr="00441B04">
        <w:rPr>
          <w:sz w:val="24"/>
          <w:szCs w:val="24"/>
          <w:lang w:val="en-US"/>
        </w:rPr>
        <w:t xml:space="preserve"> </w:t>
      </w:r>
      <w:r w:rsidRPr="00441B04">
        <w:rPr>
          <w:sz w:val="24"/>
          <w:szCs w:val="24"/>
        </w:rPr>
        <w:t>δισκίου</w:t>
      </w:r>
      <w:r w:rsidRPr="00441B04">
        <w:rPr>
          <w:sz w:val="24"/>
          <w:szCs w:val="24"/>
          <w:lang w:val="en-US"/>
        </w:rPr>
        <w:t xml:space="preserve">: </w:t>
      </w:r>
      <w:r w:rsidR="00EA106C" w:rsidRPr="00EA106C">
        <w:rPr>
          <w:sz w:val="24"/>
          <w:szCs w:val="24"/>
          <w:lang w:val="en-US"/>
        </w:rPr>
        <w:t>iron</w:t>
      </w:r>
      <w:r w:rsidRPr="00441B04">
        <w:rPr>
          <w:sz w:val="24"/>
          <w:szCs w:val="24"/>
          <w:lang w:val="en-US"/>
        </w:rPr>
        <w:t xml:space="preserve"> oxide pigment red (E172), </w:t>
      </w:r>
      <w:r w:rsidR="00EA106C" w:rsidRPr="00EA106C">
        <w:rPr>
          <w:sz w:val="24"/>
          <w:szCs w:val="24"/>
          <w:lang w:val="en-US"/>
        </w:rPr>
        <w:t>silica</w:t>
      </w:r>
      <w:r w:rsidRPr="00441B04">
        <w:rPr>
          <w:sz w:val="24"/>
          <w:szCs w:val="24"/>
          <w:lang w:val="en-US"/>
        </w:rPr>
        <w:t xml:space="preserve"> </w:t>
      </w:r>
      <w:r w:rsidR="00EA106C" w:rsidRPr="00EA106C">
        <w:rPr>
          <w:sz w:val="24"/>
          <w:szCs w:val="24"/>
          <w:lang w:val="en-US"/>
        </w:rPr>
        <w:t>colloidal</w:t>
      </w:r>
      <w:r w:rsidRPr="00441B04">
        <w:rPr>
          <w:sz w:val="24"/>
          <w:szCs w:val="24"/>
          <w:lang w:val="en-US"/>
        </w:rPr>
        <w:t xml:space="preserve"> </w:t>
      </w:r>
      <w:r w:rsidR="00EA106C" w:rsidRPr="00EA106C">
        <w:rPr>
          <w:sz w:val="24"/>
          <w:szCs w:val="24"/>
          <w:lang w:val="en-US"/>
        </w:rPr>
        <w:t>anhydrous</w:t>
      </w:r>
      <w:r w:rsidRPr="00441B04">
        <w:rPr>
          <w:sz w:val="24"/>
          <w:szCs w:val="24"/>
          <w:lang w:val="en-US"/>
        </w:rPr>
        <w:t xml:space="preserve">, </w:t>
      </w:r>
      <w:r w:rsidR="00EA106C" w:rsidRPr="00EA106C">
        <w:rPr>
          <w:sz w:val="24"/>
          <w:szCs w:val="24"/>
          <w:lang w:val="en-US"/>
        </w:rPr>
        <w:t>titanium</w:t>
      </w:r>
      <w:r w:rsidRPr="00441B04">
        <w:rPr>
          <w:sz w:val="24"/>
          <w:szCs w:val="24"/>
          <w:lang w:val="en-US"/>
        </w:rPr>
        <w:t xml:space="preserve"> </w:t>
      </w:r>
      <w:r w:rsidR="00EA106C" w:rsidRPr="00EA106C">
        <w:rPr>
          <w:sz w:val="24"/>
          <w:szCs w:val="24"/>
          <w:lang w:val="en-US"/>
        </w:rPr>
        <w:t>dioxide</w:t>
      </w:r>
      <w:r w:rsidRPr="00441B04">
        <w:rPr>
          <w:sz w:val="24"/>
          <w:szCs w:val="24"/>
          <w:lang w:val="en-US"/>
        </w:rPr>
        <w:t xml:space="preserve"> (</w:t>
      </w:r>
      <w:r w:rsidR="00EA106C" w:rsidRPr="00EA106C">
        <w:rPr>
          <w:sz w:val="24"/>
          <w:szCs w:val="24"/>
          <w:lang w:val="en-US"/>
        </w:rPr>
        <w:t>E</w:t>
      </w:r>
      <w:r w:rsidRPr="00441B04">
        <w:rPr>
          <w:sz w:val="24"/>
          <w:szCs w:val="24"/>
          <w:lang w:val="en-US"/>
        </w:rPr>
        <w:t xml:space="preserve">171), </w:t>
      </w:r>
      <w:r w:rsidR="00EA106C" w:rsidRPr="00EA106C">
        <w:rPr>
          <w:sz w:val="24"/>
          <w:szCs w:val="24"/>
          <w:lang w:val="en-US"/>
        </w:rPr>
        <w:t>acid</w:t>
      </w:r>
      <w:r w:rsidRPr="00441B04">
        <w:rPr>
          <w:sz w:val="24"/>
          <w:szCs w:val="24"/>
          <w:lang w:val="en-US"/>
        </w:rPr>
        <w:t>-</w:t>
      </w:r>
      <w:r w:rsidR="00EA106C" w:rsidRPr="00EA106C">
        <w:rPr>
          <w:sz w:val="24"/>
          <w:szCs w:val="24"/>
          <w:lang w:val="en-US"/>
        </w:rPr>
        <w:t>colloidal</w:t>
      </w:r>
      <w:r w:rsidRPr="00441B04">
        <w:rPr>
          <w:sz w:val="24"/>
          <w:szCs w:val="24"/>
          <w:lang w:val="en-US"/>
        </w:rPr>
        <w:t xml:space="preserve">, </w:t>
      </w:r>
      <w:r w:rsidR="00EA106C" w:rsidRPr="00EA106C">
        <w:rPr>
          <w:sz w:val="24"/>
          <w:szCs w:val="24"/>
          <w:lang w:val="en-US"/>
        </w:rPr>
        <w:t>acacia</w:t>
      </w:r>
      <w:r w:rsidRPr="00441B04">
        <w:rPr>
          <w:sz w:val="24"/>
          <w:szCs w:val="24"/>
          <w:lang w:val="en-US"/>
        </w:rPr>
        <w:t xml:space="preserve">, </w:t>
      </w:r>
      <w:r w:rsidR="00EA106C" w:rsidRPr="00EA106C">
        <w:rPr>
          <w:sz w:val="24"/>
          <w:szCs w:val="24"/>
          <w:lang w:val="en-US"/>
        </w:rPr>
        <w:t>talc</w:t>
      </w:r>
      <w:r w:rsidRPr="00441B04">
        <w:rPr>
          <w:sz w:val="24"/>
          <w:szCs w:val="24"/>
          <w:lang w:val="en-US"/>
        </w:rPr>
        <w:t xml:space="preserve">, </w:t>
      </w:r>
      <w:r w:rsidR="00EA106C" w:rsidRPr="00EA106C">
        <w:rPr>
          <w:sz w:val="24"/>
          <w:szCs w:val="24"/>
          <w:lang w:val="en-US"/>
        </w:rPr>
        <w:t>sucrose</w:t>
      </w:r>
      <w:r w:rsidRPr="00441B04">
        <w:rPr>
          <w:sz w:val="24"/>
          <w:szCs w:val="24"/>
          <w:lang w:val="en-US"/>
        </w:rPr>
        <w:t xml:space="preserve">, </w:t>
      </w:r>
      <w:r w:rsidR="00EA106C" w:rsidRPr="00EA106C">
        <w:rPr>
          <w:sz w:val="24"/>
          <w:szCs w:val="24"/>
          <w:lang w:val="en-US"/>
        </w:rPr>
        <w:t>carnauba</w:t>
      </w:r>
      <w:r w:rsidRPr="00441B04">
        <w:rPr>
          <w:sz w:val="24"/>
          <w:szCs w:val="24"/>
          <w:lang w:val="en-US"/>
        </w:rPr>
        <w:t xml:space="preserve"> </w:t>
      </w:r>
      <w:r w:rsidR="00EA106C" w:rsidRPr="00EA106C">
        <w:rPr>
          <w:sz w:val="24"/>
          <w:szCs w:val="24"/>
          <w:lang w:val="en-US"/>
        </w:rPr>
        <w:t>wax</w:t>
      </w:r>
      <w:r w:rsidRPr="00441B04">
        <w:rPr>
          <w:sz w:val="24"/>
          <w:szCs w:val="24"/>
          <w:lang w:val="en-US"/>
        </w:rPr>
        <w:t xml:space="preserve"> </w:t>
      </w:r>
      <w:r w:rsidR="00EA106C" w:rsidRPr="00EA106C">
        <w:rPr>
          <w:sz w:val="24"/>
          <w:szCs w:val="24"/>
          <w:lang w:val="en-US"/>
        </w:rPr>
        <w:t>powder</w:t>
      </w:r>
      <w:r w:rsidRPr="00441B04">
        <w:rPr>
          <w:sz w:val="24"/>
          <w:szCs w:val="24"/>
          <w:lang w:val="en-US"/>
        </w:rPr>
        <w:t>.</w:t>
      </w:r>
    </w:p>
    <w:p w:rsidR="00005939" w:rsidRPr="00441B04" w:rsidRDefault="00005939" w:rsidP="00005939">
      <w:pPr>
        <w:pStyle w:val="Text"/>
        <w:rPr>
          <w:lang w:val="en-US"/>
        </w:rPr>
      </w:pPr>
    </w:p>
    <w:p w:rsidR="00BC039D" w:rsidRPr="00441B04" w:rsidRDefault="00BC039D" w:rsidP="00F94A67">
      <w:pPr>
        <w:numPr>
          <w:ilvl w:val="1"/>
          <w:numId w:val="7"/>
        </w:numPr>
        <w:rPr>
          <w:b/>
          <w:sz w:val="24"/>
          <w:szCs w:val="24"/>
        </w:rPr>
      </w:pPr>
      <w:r w:rsidRPr="00441B04">
        <w:rPr>
          <w:b/>
          <w:sz w:val="24"/>
          <w:szCs w:val="24"/>
        </w:rPr>
        <w:t>Ασυμβατότητες</w:t>
      </w:r>
    </w:p>
    <w:p w:rsidR="00645B90" w:rsidRPr="00C01452" w:rsidRDefault="00C01452" w:rsidP="00645B90">
      <w:pPr>
        <w:ind w:left="284"/>
        <w:jc w:val="both"/>
        <w:rPr>
          <w:sz w:val="24"/>
          <w:szCs w:val="24"/>
          <w:lang w:val="en-US"/>
        </w:rPr>
      </w:pPr>
      <w:r>
        <w:rPr>
          <w:sz w:val="24"/>
          <w:szCs w:val="24"/>
        </w:rPr>
        <w:t>Καμία</w:t>
      </w:r>
      <w:r w:rsidR="0005370A">
        <w:rPr>
          <w:sz w:val="24"/>
          <w:szCs w:val="24"/>
        </w:rPr>
        <w:t xml:space="preserve"> γνωστή</w:t>
      </w:r>
    </w:p>
    <w:p w:rsidR="00005939" w:rsidRPr="00441B04" w:rsidRDefault="00005939">
      <w:pPr>
        <w:rPr>
          <w:sz w:val="24"/>
          <w:szCs w:val="24"/>
          <w:lang w:val="en-US"/>
        </w:rPr>
      </w:pPr>
    </w:p>
    <w:p w:rsidR="00BC039D" w:rsidRPr="00441B04" w:rsidRDefault="00BC039D">
      <w:pPr>
        <w:rPr>
          <w:sz w:val="24"/>
          <w:szCs w:val="24"/>
        </w:rPr>
      </w:pPr>
      <w:r w:rsidRPr="00441B04">
        <w:rPr>
          <w:sz w:val="24"/>
          <w:szCs w:val="24"/>
        </w:rPr>
        <w:t xml:space="preserve">               </w:t>
      </w:r>
    </w:p>
    <w:p w:rsidR="00BC039D" w:rsidRPr="00441B04" w:rsidRDefault="00BC039D">
      <w:pPr>
        <w:rPr>
          <w:b/>
          <w:sz w:val="24"/>
          <w:szCs w:val="24"/>
        </w:rPr>
      </w:pPr>
      <w:r w:rsidRPr="00441B04">
        <w:rPr>
          <w:b/>
          <w:sz w:val="24"/>
          <w:szCs w:val="24"/>
        </w:rPr>
        <w:t>6.3</w:t>
      </w:r>
      <w:r w:rsidR="00B7396A">
        <w:rPr>
          <w:b/>
          <w:sz w:val="24"/>
          <w:szCs w:val="24"/>
        </w:rPr>
        <w:t>.</w:t>
      </w:r>
      <w:r w:rsidRPr="00441B04">
        <w:rPr>
          <w:b/>
          <w:sz w:val="24"/>
          <w:szCs w:val="24"/>
        </w:rPr>
        <w:tab/>
        <w:t>Χρόνος ζωής</w:t>
      </w:r>
    </w:p>
    <w:p w:rsidR="00491FEE" w:rsidRPr="00441B04" w:rsidRDefault="00491FEE" w:rsidP="00491FEE">
      <w:pPr>
        <w:ind w:left="284"/>
        <w:jc w:val="both"/>
        <w:rPr>
          <w:sz w:val="24"/>
          <w:szCs w:val="24"/>
        </w:rPr>
      </w:pPr>
      <w:r w:rsidRPr="00441B04">
        <w:rPr>
          <w:sz w:val="24"/>
          <w:szCs w:val="24"/>
        </w:rPr>
        <w:t>5 χρόνια</w:t>
      </w:r>
    </w:p>
    <w:p w:rsidR="00005939" w:rsidRPr="00441B04" w:rsidRDefault="00005939">
      <w:pPr>
        <w:ind w:left="720"/>
        <w:rPr>
          <w:sz w:val="24"/>
          <w:szCs w:val="24"/>
        </w:rPr>
      </w:pPr>
    </w:p>
    <w:p w:rsidR="00BC039D" w:rsidRPr="00441B04" w:rsidRDefault="00BC039D">
      <w:pPr>
        <w:rPr>
          <w:b/>
          <w:sz w:val="24"/>
          <w:szCs w:val="24"/>
        </w:rPr>
      </w:pPr>
      <w:r w:rsidRPr="00441B04">
        <w:rPr>
          <w:b/>
          <w:sz w:val="24"/>
          <w:szCs w:val="24"/>
        </w:rPr>
        <w:t>6.4</w:t>
      </w:r>
      <w:r w:rsidR="00B7396A">
        <w:rPr>
          <w:b/>
          <w:sz w:val="24"/>
          <w:szCs w:val="24"/>
        </w:rPr>
        <w:t>.</w:t>
      </w:r>
      <w:r w:rsidRPr="00441B04">
        <w:rPr>
          <w:b/>
          <w:sz w:val="24"/>
          <w:szCs w:val="24"/>
        </w:rPr>
        <w:tab/>
        <w:t>Ιδιαίτερες προφυλάξεις κατά τη φύλαξη του προϊόντος</w:t>
      </w:r>
    </w:p>
    <w:p w:rsidR="00BC039D" w:rsidRPr="00441B04" w:rsidRDefault="00BC039D">
      <w:pPr>
        <w:rPr>
          <w:sz w:val="24"/>
          <w:szCs w:val="24"/>
        </w:rPr>
      </w:pPr>
      <w:r w:rsidRPr="00441B04">
        <w:rPr>
          <w:sz w:val="24"/>
          <w:szCs w:val="24"/>
        </w:rPr>
        <w:t xml:space="preserve">            </w:t>
      </w:r>
    </w:p>
    <w:p w:rsidR="00491FEE" w:rsidRPr="00441B04" w:rsidRDefault="0005370A" w:rsidP="00491FEE">
      <w:pPr>
        <w:ind w:left="284"/>
        <w:jc w:val="both"/>
        <w:rPr>
          <w:sz w:val="24"/>
          <w:szCs w:val="24"/>
        </w:rPr>
      </w:pPr>
      <w:r>
        <w:rPr>
          <w:sz w:val="24"/>
          <w:szCs w:val="24"/>
        </w:rPr>
        <w:t>Καμ</w:t>
      </w:r>
      <w:r w:rsidR="00491FEE" w:rsidRPr="00441B04">
        <w:rPr>
          <w:sz w:val="24"/>
          <w:szCs w:val="24"/>
        </w:rPr>
        <w:t>ία</w:t>
      </w:r>
    </w:p>
    <w:p w:rsidR="00005939" w:rsidRPr="00441B04" w:rsidRDefault="00005939">
      <w:pPr>
        <w:rPr>
          <w:sz w:val="24"/>
          <w:szCs w:val="24"/>
        </w:rPr>
      </w:pPr>
    </w:p>
    <w:p w:rsidR="00BC039D" w:rsidRPr="00441B04" w:rsidRDefault="00BC039D">
      <w:pPr>
        <w:numPr>
          <w:ilvl w:val="1"/>
          <w:numId w:val="8"/>
        </w:numPr>
        <w:rPr>
          <w:b/>
          <w:sz w:val="24"/>
          <w:szCs w:val="24"/>
        </w:rPr>
      </w:pPr>
      <w:r w:rsidRPr="00441B04">
        <w:rPr>
          <w:b/>
          <w:sz w:val="24"/>
          <w:szCs w:val="24"/>
        </w:rPr>
        <w:t>Φύση και συστατικά του περιέκτη :</w:t>
      </w:r>
    </w:p>
    <w:p w:rsidR="00491FEE" w:rsidRPr="00441B04" w:rsidRDefault="00491FEE" w:rsidP="00491FEE">
      <w:pPr>
        <w:ind w:left="284"/>
        <w:jc w:val="both"/>
        <w:rPr>
          <w:sz w:val="24"/>
          <w:szCs w:val="24"/>
        </w:rPr>
      </w:pPr>
      <w:r w:rsidRPr="00441B04">
        <w:rPr>
          <w:sz w:val="24"/>
          <w:szCs w:val="24"/>
        </w:rPr>
        <w:t>Τα δισκία EX-LAX 12</w:t>
      </w:r>
      <w:r w:rsidR="006572EA">
        <w:rPr>
          <w:sz w:val="24"/>
          <w:szCs w:val="24"/>
        </w:rPr>
        <w:t xml:space="preserve"> </w:t>
      </w:r>
      <w:r w:rsidRPr="00441B04">
        <w:rPr>
          <w:sz w:val="24"/>
          <w:szCs w:val="24"/>
        </w:rPr>
        <w:t xml:space="preserve">mg συσκευάζονται σε </w:t>
      </w:r>
      <w:r w:rsidRPr="00441B04">
        <w:rPr>
          <w:sz w:val="24"/>
          <w:szCs w:val="24"/>
          <w:lang w:val="en-US"/>
        </w:rPr>
        <w:t>blister</w:t>
      </w:r>
      <w:r w:rsidR="00B7396A">
        <w:rPr>
          <w:sz w:val="24"/>
          <w:szCs w:val="24"/>
        </w:rPr>
        <w:t xml:space="preserve"> AL/PVC </w:t>
      </w:r>
      <w:r w:rsidRPr="00441B04">
        <w:rPr>
          <w:sz w:val="24"/>
          <w:szCs w:val="24"/>
        </w:rPr>
        <w:t xml:space="preserve">σε κουτί που περιέχει 2 </w:t>
      </w:r>
      <w:r w:rsidRPr="00441B04">
        <w:rPr>
          <w:sz w:val="24"/>
          <w:szCs w:val="24"/>
          <w:lang w:val="en-US"/>
        </w:rPr>
        <w:t>Blister</w:t>
      </w:r>
      <w:r w:rsidR="00B7396A">
        <w:rPr>
          <w:sz w:val="24"/>
          <w:szCs w:val="24"/>
        </w:rPr>
        <w:t xml:space="preserve"> </w:t>
      </w:r>
      <w:r w:rsidR="00E84DC6" w:rsidRPr="00441B04">
        <w:rPr>
          <w:sz w:val="24"/>
          <w:szCs w:val="24"/>
        </w:rPr>
        <w:t>(</w:t>
      </w:r>
      <w:r w:rsidRPr="00441B04">
        <w:rPr>
          <w:sz w:val="24"/>
          <w:szCs w:val="24"/>
        </w:rPr>
        <w:t>20 δισκία)</w:t>
      </w:r>
    </w:p>
    <w:p w:rsidR="00005939" w:rsidRPr="008D22FA" w:rsidRDefault="00005939">
      <w:pPr>
        <w:rPr>
          <w:b/>
          <w:sz w:val="24"/>
          <w:szCs w:val="24"/>
        </w:rPr>
      </w:pPr>
    </w:p>
    <w:p w:rsidR="00BC039D" w:rsidRPr="00441B04" w:rsidRDefault="00BC039D">
      <w:pPr>
        <w:rPr>
          <w:b/>
          <w:sz w:val="24"/>
          <w:szCs w:val="24"/>
        </w:rPr>
      </w:pPr>
      <w:r w:rsidRPr="00441B04">
        <w:rPr>
          <w:b/>
          <w:sz w:val="24"/>
          <w:szCs w:val="24"/>
        </w:rPr>
        <w:lastRenderedPageBreak/>
        <w:t>6.6</w:t>
      </w:r>
      <w:r w:rsidRPr="00441B04">
        <w:rPr>
          <w:b/>
          <w:sz w:val="24"/>
          <w:szCs w:val="24"/>
        </w:rPr>
        <w:tab/>
        <w:t>Οδηγίες χρήσης/χειρισμού :</w:t>
      </w:r>
    </w:p>
    <w:p w:rsidR="004D3B51" w:rsidRPr="00441B04" w:rsidRDefault="004D3B51" w:rsidP="004D3B51">
      <w:pPr>
        <w:ind w:left="284"/>
        <w:jc w:val="both"/>
        <w:rPr>
          <w:sz w:val="24"/>
          <w:szCs w:val="24"/>
        </w:rPr>
      </w:pPr>
      <w:r w:rsidRPr="00441B04">
        <w:rPr>
          <w:sz w:val="24"/>
          <w:szCs w:val="24"/>
        </w:rPr>
        <w:t>Καμία</w:t>
      </w:r>
    </w:p>
    <w:p w:rsidR="004D3B51" w:rsidRPr="0009748E" w:rsidRDefault="004D3B51">
      <w:pPr>
        <w:ind w:left="709"/>
        <w:rPr>
          <w:sz w:val="24"/>
          <w:szCs w:val="24"/>
        </w:rPr>
      </w:pPr>
    </w:p>
    <w:p w:rsidR="00F94A67" w:rsidRPr="0009748E" w:rsidRDefault="00EA106C" w:rsidP="00F94A67">
      <w:pPr>
        <w:jc w:val="both"/>
        <w:rPr>
          <w:b/>
          <w:color w:val="000000"/>
          <w:sz w:val="24"/>
          <w:szCs w:val="24"/>
        </w:rPr>
      </w:pPr>
      <w:r w:rsidRPr="0009748E">
        <w:rPr>
          <w:b/>
          <w:color w:val="000000"/>
          <w:sz w:val="24"/>
          <w:szCs w:val="24"/>
        </w:rPr>
        <w:t xml:space="preserve">7.             </w:t>
      </w:r>
      <w:r w:rsidR="00F94A67" w:rsidRPr="00441B04">
        <w:rPr>
          <w:b/>
          <w:caps/>
          <w:color w:val="000000"/>
          <w:sz w:val="24"/>
          <w:szCs w:val="24"/>
        </w:rPr>
        <w:t>Κάτοχος</w:t>
      </w:r>
      <w:r w:rsidRPr="0009748E">
        <w:rPr>
          <w:b/>
          <w:caps/>
          <w:color w:val="000000"/>
          <w:sz w:val="24"/>
          <w:szCs w:val="24"/>
        </w:rPr>
        <w:t xml:space="preserve">  </w:t>
      </w:r>
      <w:r w:rsidR="00F94A67" w:rsidRPr="00441B04">
        <w:rPr>
          <w:b/>
          <w:caps/>
          <w:color w:val="000000"/>
          <w:sz w:val="24"/>
          <w:szCs w:val="24"/>
        </w:rPr>
        <w:t>αδείας</w:t>
      </w:r>
      <w:r w:rsidRPr="0009748E">
        <w:rPr>
          <w:b/>
          <w:caps/>
          <w:color w:val="000000"/>
          <w:sz w:val="24"/>
          <w:szCs w:val="24"/>
        </w:rPr>
        <w:t xml:space="preserve">  </w:t>
      </w:r>
      <w:r w:rsidR="00F94A67" w:rsidRPr="00441B04">
        <w:rPr>
          <w:b/>
          <w:caps/>
          <w:color w:val="000000"/>
          <w:sz w:val="24"/>
          <w:szCs w:val="24"/>
        </w:rPr>
        <w:t>κυκλοφορίας</w:t>
      </w:r>
    </w:p>
    <w:p w:rsidR="00BC039D" w:rsidRPr="0009748E" w:rsidRDefault="00EA106C">
      <w:pPr>
        <w:rPr>
          <w:sz w:val="24"/>
          <w:szCs w:val="24"/>
        </w:rPr>
      </w:pPr>
      <w:r w:rsidRPr="0009748E">
        <w:rPr>
          <w:sz w:val="24"/>
          <w:szCs w:val="24"/>
        </w:rPr>
        <w:t xml:space="preserve">                 </w:t>
      </w:r>
      <w:r w:rsidR="00BC039D" w:rsidRPr="00441B04">
        <w:rPr>
          <w:sz w:val="24"/>
          <w:szCs w:val="24"/>
          <w:lang w:val="en-US"/>
        </w:rPr>
        <w:t>Novartis</w:t>
      </w:r>
      <w:r w:rsidRPr="0009748E">
        <w:rPr>
          <w:sz w:val="24"/>
          <w:szCs w:val="24"/>
        </w:rPr>
        <w:t xml:space="preserve"> </w:t>
      </w:r>
      <w:r w:rsidR="00BC039D" w:rsidRPr="00441B04">
        <w:rPr>
          <w:sz w:val="24"/>
          <w:szCs w:val="24"/>
          <w:lang w:val="en-US"/>
        </w:rPr>
        <w:t>Hellas</w:t>
      </w:r>
      <w:r w:rsidRPr="0009748E">
        <w:rPr>
          <w:sz w:val="24"/>
          <w:szCs w:val="24"/>
        </w:rPr>
        <w:t xml:space="preserve"> </w:t>
      </w:r>
      <w:r w:rsidR="00BC039D" w:rsidRPr="00441B04">
        <w:rPr>
          <w:sz w:val="24"/>
          <w:szCs w:val="24"/>
          <w:lang w:val="en-US"/>
        </w:rPr>
        <w:t>AEBE</w:t>
      </w:r>
    </w:p>
    <w:p w:rsidR="00BC039D" w:rsidRPr="00441B04" w:rsidRDefault="00EA106C">
      <w:pPr>
        <w:rPr>
          <w:sz w:val="24"/>
          <w:szCs w:val="24"/>
        </w:rPr>
      </w:pPr>
      <w:r w:rsidRPr="0009748E">
        <w:rPr>
          <w:sz w:val="24"/>
          <w:szCs w:val="24"/>
        </w:rPr>
        <w:t xml:space="preserve">                </w:t>
      </w:r>
      <w:r w:rsidR="00BC039D" w:rsidRPr="0009748E">
        <w:rPr>
          <w:sz w:val="24"/>
          <w:szCs w:val="24"/>
        </w:rPr>
        <w:t>12</w:t>
      </w:r>
      <w:proofErr w:type="gramStart"/>
      <w:r w:rsidR="00BC039D" w:rsidRPr="00441B04">
        <w:rPr>
          <w:sz w:val="24"/>
          <w:szCs w:val="24"/>
          <w:lang w:val="en-US"/>
        </w:rPr>
        <w:t>o</w:t>
      </w:r>
      <w:proofErr w:type="gramEnd"/>
      <w:r w:rsidR="00BC039D" w:rsidRPr="0009748E">
        <w:rPr>
          <w:sz w:val="24"/>
          <w:szCs w:val="24"/>
        </w:rPr>
        <w:t xml:space="preserve"> </w:t>
      </w:r>
      <w:proofErr w:type="gramStart"/>
      <w:r w:rsidR="00BC039D" w:rsidRPr="00441B04">
        <w:rPr>
          <w:sz w:val="24"/>
          <w:szCs w:val="24"/>
        </w:rPr>
        <w:t>χλμ</w:t>
      </w:r>
      <w:proofErr w:type="gramEnd"/>
      <w:r w:rsidR="00BC039D" w:rsidRPr="0009748E">
        <w:rPr>
          <w:sz w:val="24"/>
          <w:szCs w:val="24"/>
        </w:rPr>
        <w:t xml:space="preserve">. </w:t>
      </w:r>
      <w:r w:rsidR="00BC039D" w:rsidRPr="00441B04">
        <w:rPr>
          <w:sz w:val="24"/>
          <w:szCs w:val="24"/>
        </w:rPr>
        <w:t>Εθνικής οδού Νο1</w:t>
      </w:r>
    </w:p>
    <w:p w:rsidR="00BC039D" w:rsidRPr="00441B04" w:rsidRDefault="00BC039D">
      <w:pPr>
        <w:rPr>
          <w:sz w:val="24"/>
          <w:szCs w:val="24"/>
        </w:rPr>
      </w:pPr>
      <w:r w:rsidRPr="00441B04">
        <w:rPr>
          <w:sz w:val="24"/>
          <w:szCs w:val="24"/>
        </w:rPr>
        <w:t xml:space="preserve">   </w:t>
      </w:r>
      <w:r w:rsidR="00294483">
        <w:rPr>
          <w:sz w:val="24"/>
          <w:szCs w:val="24"/>
        </w:rPr>
        <w:t xml:space="preserve">             14451 Μεταμόρφωση </w:t>
      </w:r>
      <w:r w:rsidRPr="00441B04">
        <w:rPr>
          <w:sz w:val="24"/>
          <w:szCs w:val="24"/>
        </w:rPr>
        <w:t>Αθήνα</w:t>
      </w:r>
    </w:p>
    <w:p w:rsidR="00BC039D" w:rsidRPr="00441B04" w:rsidRDefault="00BC039D">
      <w:pPr>
        <w:rPr>
          <w:sz w:val="24"/>
          <w:szCs w:val="24"/>
        </w:rPr>
      </w:pPr>
      <w:r w:rsidRPr="00441B04">
        <w:rPr>
          <w:sz w:val="24"/>
          <w:szCs w:val="24"/>
        </w:rPr>
        <w:t xml:space="preserve">      </w:t>
      </w:r>
    </w:p>
    <w:p w:rsidR="00F94A67" w:rsidRPr="00441B04" w:rsidRDefault="00F94A67" w:rsidP="00F94A67">
      <w:pPr>
        <w:jc w:val="both"/>
        <w:rPr>
          <w:b/>
          <w:color w:val="000000"/>
          <w:sz w:val="24"/>
          <w:szCs w:val="24"/>
        </w:rPr>
      </w:pPr>
      <w:r w:rsidRPr="00441B04">
        <w:rPr>
          <w:b/>
          <w:color w:val="000000"/>
          <w:sz w:val="24"/>
          <w:szCs w:val="24"/>
        </w:rPr>
        <w:t>8.           ΑΡΙΘΜΟΣ(ΟΙ) ΑΔΕΙΑΣ ΚΥΚΛΟΦΟΡΙΑΣ</w:t>
      </w:r>
    </w:p>
    <w:p w:rsidR="00F94A67" w:rsidRPr="00533D6D" w:rsidRDefault="00F94A67" w:rsidP="00F94A67">
      <w:pPr>
        <w:jc w:val="both"/>
        <w:rPr>
          <w:color w:val="000000"/>
          <w:sz w:val="24"/>
          <w:szCs w:val="24"/>
        </w:rPr>
      </w:pPr>
    </w:p>
    <w:p w:rsidR="00806709" w:rsidRPr="00441B04" w:rsidRDefault="00CC396B" w:rsidP="00806709">
      <w:pPr>
        <w:jc w:val="both"/>
        <w:rPr>
          <w:sz w:val="24"/>
          <w:szCs w:val="24"/>
        </w:rPr>
      </w:pPr>
      <w:r w:rsidRPr="00533D6D">
        <w:rPr>
          <w:sz w:val="24"/>
          <w:szCs w:val="24"/>
        </w:rPr>
        <w:t xml:space="preserve">               </w:t>
      </w:r>
      <w:r w:rsidR="00806709" w:rsidRPr="00441B04">
        <w:rPr>
          <w:sz w:val="24"/>
          <w:szCs w:val="24"/>
        </w:rPr>
        <w:t>7410/27-1-2009</w:t>
      </w:r>
    </w:p>
    <w:p w:rsidR="00005939" w:rsidRPr="00533D6D" w:rsidRDefault="00005939" w:rsidP="00F94A67">
      <w:pPr>
        <w:jc w:val="both"/>
        <w:rPr>
          <w:sz w:val="24"/>
          <w:szCs w:val="24"/>
        </w:rPr>
      </w:pPr>
    </w:p>
    <w:p w:rsidR="00F94A67" w:rsidRPr="00441B04" w:rsidRDefault="00F94A67" w:rsidP="00F94A67">
      <w:pPr>
        <w:rPr>
          <w:b/>
          <w:color w:val="000000"/>
          <w:sz w:val="24"/>
          <w:szCs w:val="24"/>
        </w:rPr>
      </w:pPr>
      <w:r w:rsidRPr="00441B04">
        <w:rPr>
          <w:b/>
          <w:color w:val="000000"/>
          <w:sz w:val="24"/>
          <w:szCs w:val="24"/>
        </w:rPr>
        <w:t>9.          ΗΜΕΡΟΜΗΝΙΑ ΠΡΩΤΗΣ ΕΓΚΡΙΣΗΣ / ΑΝΑΝΕΩΣΗΣ ΤΗΣ ΑΔΕΙΑΣ</w:t>
      </w:r>
    </w:p>
    <w:p w:rsidR="003C4CD1" w:rsidRPr="00441B04" w:rsidRDefault="00F94A67" w:rsidP="003C4CD1">
      <w:pPr>
        <w:ind w:left="284"/>
        <w:jc w:val="both"/>
        <w:rPr>
          <w:sz w:val="24"/>
          <w:szCs w:val="24"/>
        </w:rPr>
      </w:pPr>
      <w:r w:rsidRPr="00441B04">
        <w:rPr>
          <w:color w:val="000000"/>
          <w:sz w:val="24"/>
          <w:szCs w:val="24"/>
        </w:rPr>
        <w:t xml:space="preserve"> </w:t>
      </w:r>
      <w:r w:rsidR="003C4CD1" w:rsidRPr="00441B04">
        <w:rPr>
          <w:sz w:val="24"/>
          <w:szCs w:val="24"/>
        </w:rPr>
        <w:t xml:space="preserve"> </w:t>
      </w:r>
      <w:r w:rsidR="00EA106C" w:rsidRPr="00EA106C">
        <w:rPr>
          <w:sz w:val="24"/>
          <w:szCs w:val="24"/>
        </w:rPr>
        <w:t xml:space="preserve">        </w:t>
      </w:r>
      <w:r w:rsidR="003C4CD1" w:rsidRPr="00441B04">
        <w:rPr>
          <w:sz w:val="24"/>
          <w:szCs w:val="24"/>
        </w:rPr>
        <w:t>5651/24.5.94</w:t>
      </w:r>
    </w:p>
    <w:p w:rsidR="00F94A67" w:rsidRPr="00441B04" w:rsidRDefault="00F94A67" w:rsidP="00F94A67">
      <w:pPr>
        <w:rPr>
          <w:b/>
          <w:color w:val="000000"/>
          <w:sz w:val="24"/>
          <w:szCs w:val="24"/>
        </w:rPr>
      </w:pPr>
    </w:p>
    <w:p w:rsidR="00F94A67" w:rsidRPr="00441B04" w:rsidRDefault="00F94A67" w:rsidP="00F94A67">
      <w:pPr>
        <w:rPr>
          <w:b/>
          <w:color w:val="000000"/>
          <w:sz w:val="24"/>
          <w:szCs w:val="24"/>
        </w:rPr>
      </w:pPr>
      <w:r w:rsidRPr="00441B04">
        <w:rPr>
          <w:b/>
          <w:color w:val="000000"/>
          <w:sz w:val="24"/>
          <w:szCs w:val="24"/>
        </w:rPr>
        <w:t>10.      ΗΜΕΡΟΜΗΝΙΑ ΑΝΑΘΕΩΡΗΣΗΣ ΤΟΥ ΚΕΙΜΕΝΟΥ</w:t>
      </w:r>
    </w:p>
    <w:p w:rsidR="00016013" w:rsidRDefault="00B308E4" w:rsidP="00F94A67">
      <w:pPr>
        <w:tabs>
          <w:tab w:val="left" w:pos="709"/>
        </w:tabs>
        <w:rPr>
          <w:lang w:val="en-US"/>
        </w:rPr>
      </w:pPr>
      <w:r>
        <w:t xml:space="preserve">     </w:t>
      </w:r>
      <w:r w:rsidR="00016013">
        <w:rPr>
          <w:lang w:val="en-US"/>
        </w:rPr>
        <w:t xml:space="preserve">     </w:t>
      </w:r>
    </w:p>
    <w:sectPr w:rsidR="00016013" w:rsidSect="00146E37">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776" w:rsidRDefault="00766776">
      <w:r>
        <w:separator/>
      </w:r>
    </w:p>
  </w:endnote>
  <w:endnote w:type="continuationSeparator" w:id="0">
    <w:p w:rsidR="00766776" w:rsidRDefault="0076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523967"/>
      <w:docPartObj>
        <w:docPartGallery w:val="Page Numbers (Bottom of Page)"/>
        <w:docPartUnique/>
      </w:docPartObj>
    </w:sdtPr>
    <w:sdtContent>
      <w:p w:rsidR="005379B8" w:rsidRDefault="005379B8">
        <w:pPr>
          <w:pStyle w:val="a5"/>
          <w:jc w:val="center"/>
        </w:pPr>
        <w:r>
          <w:fldChar w:fldCharType="begin"/>
        </w:r>
        <w:r>
          <w:instrText>PAGE   \* MERGEFORMAT</w:instrText>
        </w:r>
        <w:r>
          <w:fldChar w:fldCharType="separate"/>
        </w:r>
        <w:r w:rsidRPr="005379B8">
          <w:rPr>
            <w:noProof/>
            <w:lang w:val="el-GR"/>
          </w:rPr>
          <w:t>1</w:t>
        </w:r>
        <w:r>
          <w:fldChar w:fldCharType="end"/>
        </w:r>
      </w:p>
    </w:sdtContent>
  </w:sdt>
  <w:p w:rsidR="005379B8" w:rsidRDefault="005379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776" w:rsidRDefault="00766776">
      <w:r>
        <w:separator/>
      </w:r>
    </w:p>
  </w:footnote>
  <w:footnote w:type="continuationSeparator" w:id="0">
    <w:p w:rsidR="00766776" w:rsidRDefault="00766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183" w:rsidRDefault="00034183">
    <w:pPr>
      <w:pStyle w:val="a6"/>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BD0"/>
    <w:multiLevelType w:val="hybridMultilevel"/>
    <w:tmpl w:val="5F36F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662602"/>
    <w:multiLevelType w:val="singleLevel"/>
    <w:tmpl w:val="B43E487C"/>
    <w:lvl w:ilvl="0">
      <w:start w:val="3"/>
      <w:numFmt w:val="decimal"/>
      <w:lvlText w:val="%1."/>
      <w:lvlJc w:val="left"/>
      <w:pPr>
        <w:tabs>
          <w:tab w:val="num" w:pos="705"/>
        </w:tabs>
        <w:ind w:left="705" w:hanging="705"/>
      </w:pPr>
      <w:rPr>
        <w:rFonts w:hint="default"/>
      </w:rPr>
    </w:lvl>
  </w:abstractNum>
  <w:abstractNum w:abstractNumId="2">
    <w:nsid w:val="1E3E784B"/>
    <w:multiLevelType w:val="multilevel"/>
    <w:tmpl w:val="61B02A7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4CE2ED4"/>
    <w:multiLevelType w:val="singleLevel"/>
    <w:tmpl w:val="04070007"/>
    <w:lvl w:ilvl="0">
      <w:start w:val="1"/>
      <w:numFmt w:val="bullet"/>
      <w:lvlText w:val="-"/>
      <w:lvlJc w:val="left"/>
      <w:pPr>
        <w:tabs>
          <w:tab w:val="num" w:pos="360"/>
        </w:tabs>
        <w:ind w:left="360" w:hanging="360"/>
      </w:pPr>
      <w:rPr>
        <w:sz w:val="16"/>
      </w:rPr>
    </w:lvl>
  </w:abstractNum>
  <w:abstractNum w:abstractNumId="4">
    <w:nsid w:val="305736BA"/>
    <w:multiLevelType w:val="multilevel"/>
    <w:tmpl w:val="77CE948A"/>
    <w:lvl w:ilvl="0">
      <w:start w:val="4"/>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1"/>
      <w:numFmt w:val="upperLetter"/>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BE03996"/>
    <w:multiLevelType w:val="multilevel"/>
    <w:tmpl w:val="2F7E56FE"/>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8B457E6"/>
    <w:multiLevelType w:val="singleLevel"/>
    <w:tmpl w:val="D8D2911A"/>
    <w:lvl w:ilvl="0">
      <w:start w:val="4"/>
      <w:numFmt w:val="bullet"/>
      <w:lvlText w:val=""/>
      <w:lvlJc w:val="left"/>
      <w:pPr>
        <w:tabs>
          <w:tab w:val="num" w:pos="1436"/>
        </w:tabs>
        <w:ind w:left="1436" w:hanging="585"/>
      </w:pPr>
      <w:rPr>
        <w:rFonts w:ascii="Wingdings" w:hAnsi="Wingdings" w:hint="default"/>
      </w:rPr>
    </w:lvl>
  </w:abstractNum>
  <w:abstractNum w:abstractNumId="7">
    <w:nsid w:val="51045305"/>
    <w:multiLevelType w:val="singleLevel"/>
    <w:tmpl w:val="51549B7A"/>
    <w:lvl w:ilvl="0">
      <w:start w:val="5"/>
      <w:numFmt w:val="decimal"/>
      <w:lvlText w:val="%1."/>
      <w:lvlJc w:val="left"/>
      <w:pPr>
        <w:tabs>
          <w:tab w:val="num" w:pos="855"/>
        </w:tabs>
        <w:ind w:left="855" w:hanging="855"/>
      </w:pPr>
      <w:rPr>
        <w:rFonts w:hint="default"/>
      </w:rPr>
    </w:lvl>
  </w:abstractNum>
  <w:abstractNum w:abstractNumId="8">
    <w:nsid w:val="588228F5"/>
    <w:multiLevelType w:val="multilevel"/>
    <w:tmpl w:val="DB62DD3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FF21DFA"/>
    <w:multiLevelType w:val="hybridMultilevel"/>
    <w:tmpl w:val="7FBE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D0C280F"/>
    <w:multiLevelType w:val="multilevel"/>
    <w:tmpl w:val="FEAE25EA"/>
    <w:lvl w:ilvl="0">
      <w:start w:val="6"/>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F0A2BA0"/>
    <w:multiLevelType w:val="multilevel"/>
    <w:tmpl w:val="C7441AEC"/>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730270C7"/>
    <w:multiLevelType w:val="multilevel"/>
    <w:tmpl w:val="C3284ED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5"/>
  </w:num>
  <w:num w:numId="3">
    <w:abstractNumId w:val="12"/>
  </w:num>
  <w:num w:numId="4">
    <w:abstractNumId w:val="1"/>
  </w:num>
  <w:num w:numId="5">
    <w:abstractNumId w:val="3"/>
  </w:num>
  <w:num w:numId="6">
    <w:abstractNumId w:val="6"/>
  </w:num>
  <w:num w:numId="7">
    <w:abstractNumId w:val="2"/>
  </w:num>
  <w:num w:numId="8">
    <w:abstractNumId w:val="11"/>
  </w:num>
  <w:num w:numId="9">
    <w:abstractNumId w:val="7"/>
  </w:num>
  <w:num w:numId="10">
    <w:abstractNumId w:val="10"/>
  </w:num>
  <w:num w:numId="11">
    <w:abstractNumId w:val="4"/>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D32"/>
    <w:rsid w:val="00005939"/>
    <w:rsid w:val="00012209"/>
    <w:rsid w:val="000152EA"/>
    <w:rsid w:val="00016013"/>
    <w:rsid w:val="00034183"/>
    <w:rsid w:val="00044593"/>
    <w:rsid w:val="0005370A"/>
    <w:rsid w:val="00071984"/>
    <w:rsid w:val="0009748E"/>
    <w:rsid w:val="000C5EEF"/>
    <w:rsid w:val="000E2AC8"/>
    <w:rsid w:val="000E3D01"/>
    <w:rsid w:val="00102AE8"/>
    <w:rsid w:val="00110EF7"/>
    <w:rsid w:val="001369BB"/>
    <w:rsid w:val="00146E37"/>
    <w:rsid w:val="001514DE"/>
    <w:rsid w:val="00164BBE"/>
    <w:rsid w:val="0016608E"/>
    <w:rsid w:val="001A7DB6"/>
    <w:rsid w:val="002006A3"/>
    <w:rsid w:val="00206D32"/>
    <w:rsid w:val="002154BF"/>
    <w:rsid w:val="00225AA2"/>
    <w:rsid w:val="0023643D"/>
    <w:rsid w:val="00244505"/>
    <w:rsid w:val="00245765"/>
    <w:rsid w:val="00280A00"/>
    <w:rsid w:val="002859C1"/>
    <w:rsid w:val="00293D49"/>
    <w:rsid w:val="00294483"/>
    <w:rsid w:val="002B3778"/>
    <w:rsid w:val="002C27FD"/>
    <w:rsid w:val="002C6930"/>
    <w:rsid w:val="002D2728"/>
    <w:rsid w:val="00302DDB"/>
    <w:rsid w:val="003176F1"/>
    <w:rsid w:val="00335758"/>
    <w:rsid w:val="00352CAD"/>
    <w:rsid w:val="003572F1"/>
    <w:rsid w:val="003657BC"/>
    <w:rsid w:val="00386347"/>
    <w:rsid w:val="003902E1"/>
    <w:rsid w:val="003923F7"/>
    <w:rsid w:val="00396AD1"/>
    <w:rsid w:val="003A3EBE"/>
    <w:rsid w:val="003C46FB"/>
    <w:rsid w:val="003C4CD1"/>
    <w:rsid w:val="003D0449"/>
    <w:rsid w:val="003D1842"/>
    <w:rsid w:val="003E07F0"/>
    <w:rsid w:val="003F482C"/>
    <w:rsid w:val="00441B04"/>
    <w:rsid w:val="004455EC"/>
    <w:rsid w:val="00446E5E"/>
    <w:rsid w:val="004645E9"/>
    <w:rsid w:val="00466DCB"/>
    <w:rsid w:val="00474607"/>
    <w:rsid w:val="00483C2E"/>
    <w:rsid w:val="00487921"/>
    <w:rsid w:val="00491FEE"/>
    <w:rsid w:val="004A4750"/>
    <w:rsid w:val="004B2C33"/>
    <w:rsid w:val="004B5C50"/>
    <w:rsid w:val="004D3B51"/>
    <w:rsid w:val="004D7466"/>
    <w:rsid w:val="004E061E"/>
    <w:rsid w:val="004E2CEF"/>
    <w:rsid w:val="004F1D3D"/>
    <w:rsid w:val="004F47E5"/>
    <w:rsid w:val="00510953"/>
    <w:rsid w:val="00511DF6"/>
    <w:rsid w:val="005132FC"/>
    <w:rsid w:val="00533D6D"/>
    <w:rsid w:val="005379B8"/>
    <w:rsid w:val="0056043A"/>
    <w:rsid w:val="00564938"/>
    <w:rsid w:val="00596762"/>
    <w:rsid w:val="005A1F33"/>
    <w:rsid w:val="005C1D5F"/>
    <w:rsid w:val="005E3557"/>
    <w:rsid w:val="005E6882"/>
    <w:rsid w:val="0061077A"/>
    <w:rsid w:val="00622879"/>
    <w:rsid w:val="00623EE6"/>
    <w:rsid w:val="00635E22"/>
    <w:rsid w:val="00645B90"/>
    <w:rsid w:val="006572EA"/>
    <w:rsid w:val="00667A91"/>
    <w:rsid w:val="006B1613"/>
    <w:rsid w:val="006B5056"/>
    <w:rsid w:val="006E01D7"/>
    <w:rsid w:val="00702638"/>
    <w:rsid w:val="00715D8C"/>
    <w:rsid w:val="00720982"/>
    <w:rsid w:val="00736CF8"/>
    <w:rsid w:val="00743775"/>
    <w:rsid w:val="0074715C"/>
    <w:rsid w:val="00755413"/>
    <w:rsid w:val="00766776"/>
    <w:rsid w:val="00777A2E"/>
    <w:rsid w:val="007A0BF3"/>
    <w:rsid w:val="007B3BE9"/>
    <w:rsid w:val="007E17CE"/>
    <w:rsid w:val="007F3ACE"/>
    <w:rsid w:val="00806709"/>
    <w:rsid w:val="00812E20"/>
    <w:rsid w:val="0082559F"/>
    <w:rsid w:val="00827C08"/>
    <w:rsid w:val="00842AAC"/>
    <w:rsid w:val="008B2B82"/>
    <w:rsid w:val="008D22FA"/>
    <w:rsid w:val="008E30BC"/>
    <w:rsid w:val="008F0B96"/>
    <w:rsid w:val="008F1431"/>
    <w:rsid w:val="00904774"/>
    <w:rsid w:val="0091085B"/>
    <w:rsid w:val="00912725"/>
    <w:rsid w:val="00932C73"/>
    <w:rsid w:val="00940296"/>
    <w:rsid w:val="009405AE"/>
    <w:rsid w:val="00965327"/>
    <w:rsid w:val="00972A85"/>
    <w:rsid w:val="00973061"/>
    <w:rsid w:val="00973587"/>
    <w:rsid w:val="00976497"/>
    <w:rsid w:val="00992F28"/>
    <w:rsid w:val="0099771C"/>
    <w:rsid w:val="009B0152"/>
    <w:rsid w:val="009F3890"/>
    <w:rsid w:val="00A20879"/>
    <w:rsid w:val="00A36875"/>
    <w:rsid w:val="00A44AD8"/>
    <w:rsid w:val="00A54C99"/>
    <w:rsid w:val="00A75B71"/>
    <w:rsid w:val="00A81482"/>
    <w:rsid w:val="00AB0EE4"/>
    <w:rsid w:val="00AF426C"/>
    <w:rsid w:val="00B05703"/>
    <w:rsid w:val="00B121ED"/>
    <w:rsid w:val="00B2760F"/>
    <w:rsid w:val="00B308E4"/>
    <w:rsid w:val="00B417A2"/>
    <w:rsid w:val="00B7396A"/>
    <w:rsid w:val="00B77D1E"/>
    <w:rsid w:val="00B81DCF"/>
    <w:rsid w:val="00B822E0"/>
    <w:rsid w:val="00BC039D"/>
    <w:rsid w:val="00BC20D6"/>
    <w:rsid w:val="00BD0A1A"/>
    <w:rsid w:val="00BD2D8A"/>
    <w:rsid w:val="00BE33CC"/>
    <w:rsid w:val="00BE3D68"/>
    <w:rsid w:val="00C01452"/>
    <w:rsid w:val="00C21C74"/>
    <w:rsid w:val="00C452B2"/>
    <w:rsid w:val="00C74D86"/>
    <w:rsid w:val="00C84DFE"/>
    <w:rsid w:val="00CC396B"/>
    <w:rsid w:val="00CD4D37"/>
    <w:rsid w:val="00CE6353"/>
    <w:rsid w:val="00CF61E4"/>
    <w:rsid w:val="00CF7706"/>
    <w:rsid w:val="00D12686"/>
    <w:rsid w:val="00D1419F"/>
    <w:rsid w:val="00D20CB0"/>
    <w:rsid w:val="00D72AE1"/>
    <w:rsid w:val="00D90925"/>
    <w:rsid w:val="00DC6D72"/>
    <w:rsid w:val="00DE7596"/>
    <w:rsid w:val="00DE7CB9"/>
    <w:rsid w:val="00E0396E"/>
    <w:rsid w:val="00E04B83"/>
    <w:rsid w:val="00E324C5"/>
    <w:rsid w:val="00E37AAF"/>
    <w:rsid w:val="00E84DC6"/>
    <w:rsid w:val="00E85142"/>
    <w:rsid w:val="00E876C6"/>
    <w:rsid w:val="00E93F8F"/>
    <w:rsid w:val="00EA106C"/>
    <w:rsid w:val="00EA2144"/>
    <w:rsid w:val="00EB43BF"/>
    <w:rsid w:val="00EE097C"/>
    <w:rsid w:val="00F13C29"/>
    <w:rsid w:val="00F13F7D"/>
    <w:rsid w:val="00F33023"/>
    <w:rsid w:val="00F65C6F"/>
    <w:rsid w:val="00F665AE"/>
    <w:rsid w:val="00F70681"/>
    <w:rsid w:val="00F83894"/>
    <w:rsid w:val="00F94A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E37"/>
  </w:style>
  <w:style w:type="paragraph" w:styleId="1">
    <w:name w:val="heading 1"/>
    <w:basedOn w:val="a"/>
    <w:next w:val="a"/>
    <w:qFormat/>
    <w:rsid w:val="00146E37"/>
    <w:pPr>
      <w:keepNext/>
      <w:outlineLvl w:val="0"/>
    </w:pPr>
    <w:rPr>
      <w:i/>
      <w:iCs/>
    </w:rPr>
  </w:style>
  <w:style w:type="paragraph" w:styleId="2">
    <w:name w:val="heading 2"/>
    <w:basedOn w:val="a"/>
    <w:next w:val="Text"/>
    <w:link w:val="2Char"/>
    <w:uiPriority w:val="9"/>
    <w:qFormat/>
    <w:rsid w:val="00146E37"/>
    <w:pPr>
      <w:keepNext/>
      <w:keepLines/>
      <w:spacing w:before="240" w:after="120"/>
      <w:ind w:left="851" w:hanging="851"/>
      <w:outlineLvl w:val="1"/>
    </w:pPr>
    <w:rPr>
      <w:b/>
      <w:bCs/>
      <w:sz w:val="24"/>
      <w:szCs w:val="24"/>
      <w:lang w:val="en-GB"/>
    </w:rPr>
  </w:style>
  <w:style w:type="paragraph" w:styleId="6">
    <w:name w:val="heading 6"/>
    <w:basedOn w:val="a"/>
    <w:next w:val="a"/>
    <w:qFormat/>
    <w:rsid w:val="0000593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link w:val="TextChar"/>
    <w:rsid w:val="00146E37"/>
    <w:pPr>
      <w:spacing w:after="60"/>
      <w:ind w:left="851"/>
      <w:jc w:val="both"/>
    </w:pPr>
    <w:rPr>
      <w:sz w:val="24"/>
      <w:szCs w:val="24"/>
      <w:lang w:val="en-GB" w:eastAsia="en-US"/>
    </w:rPr>
  </w:style>
  <w:style w:type="paragraph" w:styleId="a3">
    <w:name w:val="Normal Indent"/>
    <w:rsid w:val="00146E37"/>
    <w:pPr>
      <w:spacing w:before="120" w:after="120"/>
      <w:ind w:left="851"/>
      <w:jc w:val="both"/>
    </w:pPr>
    <w:rPr>
      <w:sz w:val="24"/>
      <w:szCs w:val="24"/>
      <w:lang w:val="en-GB" w:eastAsia="en-US"/>
    </w:rPr>
  </w:style>
  <w:style w:type="paragraph" w:customStyle="1" w:styleId="NormalBold">
    <w:name w:val="Normal Bold"/>
    <w:basedOn w:val="a3"/>
    <w:rsid w:val="00146E37"/>
    <w:pPr>
      <w:spacing w:before="0" w:after="0"/>
      <w:jc w:val="left"/>
    </w:pPr>
    <w:rPr>
      <w:b/>
      <w:bCs/>
      <w:lang w:val="en-US"/>
    </w:rPr>
  </w:style>
  <w:style w:type="paragraph" w:styleId="a4">
    <w:name w:val="Body Text Indent"/>
    <w:basedOn w:val="a"/>
    <w:rsid w:val="00146E37"/>
    <w:pPr>
      <w:ind w:left="794"/>
    </w:pPr>
  </w:style>
  <w:style w:type="paragraph" w:styleId="20">
    <w:name w:val="Body Text Indent 2"/>
    <w:basedOn w:val="a"/>
    <w:rsid w:val="00146E37"/>
    <w:pPr>
      <w:tabs>
        <w:tab w:val="left" w:pos="7020"/>
      </w:tabs>
      <w:ind w:left="720"/>
    </w:pPr>
    <w:rPr>
      <w:i/>
      <w:iCs/>
    </w:rPr>
  </w:style>
  <w:style w:type="paragraph" w:customStyle="1" w:styleId="Nottoc-headings">
    <w:name w:val="Not toc-headings"/>
    <w:basedOn w:val="a"/>
    <w:next w:val="Text"/>
    <w:rsid w:val="00F94A67"/>
    <w:pPr>
      <w:keepNext/>
      <w:keepLines/>
      <w:spacing w:before="240" w:after="60"/>
      <w:ind w:left="1701" w:hanging="1701"/>
    </w:pPr>
    <w:rPr>
      <w:rFonts w:ascii="Arial" w:hAnsi="Arial"/>
      <w:b/>
      <w:sz w:val="22"/>
    </w:rPr>
  </w:style>
  <w:style w:type="character" w:customStyle="1" w:styleId="TextChar">
    <w:name w:val="Text Char"/>
    <w:link w:val="Text"/>
    <w:rsid w:val="00F94A67"/>
    <w:rPr>
      <w:sz w:val="24"/>
      <w:szCs w:val="24"/>
      <w:lang w:val="en-GB" w:eastAsia="en-US" w:bidi="ar-SA"/>
    </w:rPr>
  </w:style>
  <w:style w:type="paragraph" w:customStyle="1" w:styleId="Table">
    <w:name w:val="Table"/>
    <w:basedOn w:val="Nottoc-headings"/>
    <w:link w:val="TableChar"/>
    <w:rsid w:val="00005939"/>
    <w:pPr>
      <w:keepNext w:val="0"/>
      <w:tabs>
        <w:tab w:val="left" w:pos="284"/>
      </w:tabs>
      <w:spacing w:before="40" w:after="20"/>
      <w:ind w:left="0" w:firstLine="0"/>
    </w:pPr>
    <w:rPr>
      <w:rFonts w:eastAsia="MS Mincho"/>
      <w:b w:val="0"/>
      <w:sz w:val="20"/>
      <w:szCs w:val="24"/>
      <w:lang w:val="en-US" w:eastAsia="en-US"/>
    </w:rPr>
  </w:style>
  <w:style w:type="character" w:customStyle="1" w:styleId="TableChar">
    <w:name w:val="Table Char"/>
    <w:link w:val="Table"/>
    <w:rsid w:val="00005939"/>
    <w:rPr>
      <w:rFonts w:ascii="Arial" w:eastAsia="MS Mincho" w:hAnsi="Arial"/>
      <w:szCs w:val="24"/>
      <w:lang w:val="en-US" w:eastAsia="en-US" w:bidi="ar-SA"/>
    </w:rPr>
  </w:style>
  <w:style w:type="paragraph" w:styleId="a5">
    <w:name w:val="footer"/>
    <w:basedOn w:val="a"/>
    <w:link w:val="Char"/>
    <w:uiPriority w:val="99"/>
    <w:rsid w:val="003C46FB"/>
    <w:pPr>
      <w:tabs>
        <w:tab w:val="center" w:pos="4819"/>
        <w:tab w:val="right" w:pos="9071"/>
      </w:tabs>
    </w:pPr>
    <w:rPr>
      <w:sz w:val="24"/>
      <w:lang w:val="de-DE" w:eastAsia="de-DE"/>
    </w:rPr>
  </w:style>
  <w:style w:type="paragraph" w:customStyle="1" w:styleId="Default">
    <w:name w:val="Default"/>
    <w:rsid w:val="003C46FB"/>
    <w:pPr>
      <w:autoSpaceDE w:val="0"/>
      <w:autoSpaceDN w:val="0"/>
      <w:adjustRightInd w:val="0"/>
    </w:pPr>
    <w:rPr>
      <w:rFonts w:ascii="Arial" w:eastAsia="MS Mincho" w:hAnsi="Arial" w:cs="Arial"/>
      <w:color w:val="000000"/>
      <w:sz w:val="24"/>
      <w:szCs w:val="24"/>
      <w:lang w:eastAsia="ja-JP"/>
    </w:rPr>
  </w:style>
  <w:style w:type="character" w:customStyle="1" w:styleId="tw4winMark">
    <w:name w:val="tw4winMark"/>
    <w:rsid w:val="005A1F33"/>
    <w:rPr>
      <w:rFonts w:ascii="Courier New" w:hAnsi="Courier New" w:cs="Courier New"/>
      <w:vanish/>
      <w:color w:val="800080"/>
      <w:sz w:val="24"/>
      <w:vertAlign w:val="subscript"/>
    </w:rPr>
  </w:style>
  <w:style w:type="paragraph" w:styleId="a6">
    <w:name w:val="header"/>
    <w:basedOn w:val="a"/>
    <w:rsid w:val="003572F1"/>
    <w:pPr>
      <w:tabs>
        <w:tab w:val="center" w:pos="4153"/>
        <w:tab w:val="right" w:pos="8306"/>
      </w:tabs>
    </w:pPr>
  </w:style>
  <w:style w:type="character" w:customStyle="1" w:styleId="Char">
    <w:name w:val="Υποσέλιδο Char"/>
    <w:link w:val="a5"/>
    <w:uiPriority w:val="99"/>
    <w:locked/>
    <w:rsid w:val="00B417A2"/>
    <w:rPr>
      <w:sz w:val="24"/>
      <w:lang w:val="de-DE" w:eastAsia="de-DE"/>
    </w:rPr>
  </w:style>
  <w:style w:type="paragraph" w:styleId="a7">
    <w:name w:val="Balloon Text"/>
    <w:basedOn w:val="a"/>
    <w:link w:val="Char0"/>
    <w:uiPriority w:val="99"/>
    <w:semiHidden/>
    <w:unhideWhenUsed/>
    <w:rsid w:val="00B417A2"/>
    <w:rPr>
      <w:rFonts w:ascii="Tahoma" w:hAnsi="Tahoma"/>
      <w:sz w:val="16"/>
      <w:szCs w:val="16"/>
      <w:lang w:val="en-GB"/>
    </w:rPr>
  </w:style>
  <w:style w:type="character" w:customStyle="1" w:styleId="Char0">
    <w:name w:val="Κείμενο πλαισίου Char"/>
    <w:link w:val="a7"/>
    <w:uiPriority w:val="99"/>
    <w:semiHidden/>
    <w:rsid w:val="00B417A2"/>
    <w:rPr>
      <w:rFonts w:ascii="Tahoma" w:hAnsi="Tahoma" w:cs="Tahoma"/>
      <w:sz w:val="16"/>
      <w:szCs w:val="16"/>
      <w:lang w:val="en-GB"/>
    </w:rPr>
  </w:style>
  <w:style w:type="character" w:customStyle="1" w:styleId="hps">
    <w:name w:val="hps"/>
    <w:rsid w:val="00B417A2"/>
  </w:style>
  <w:style w:type="character" w:customStyle="1" w:styleId="2Char">
    <w:name w:val="Επικεφαλίδα 2 Char"/>
    <w:link w:val="2"/>
    <w:uiPriority w:val="9"/>
    <w:locked/>
    <w:rsid w:val="00044593"/>
    <w:rPr>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E37"/>
  </w:style>
  <w:style w:type="paragraph" w:styleId="1">
    <w:name w:val="heading 1"/>
    <w:basedOn w:val="a"/>
    <w:next w:val="a"/>
    <w:qFormat/>
    <w:rsid w:val="00146E37"/>
    <w:pPr>
      <w:keepNext/>
      <w:outlineLvl w:val="0"/>
    </w:pPr>
    <w:rPr>
      <w:i/>
      <w:iCs/>
    </w:rPr>
  </w:style>
  <w:style w:type="paragraph" w:styleId="2">
    <w:name w:val="heading 2"/>
    <w:basedOn w:val="a"/>
    <w:next w:val="Text"/>
    <w:link w:val="2Char"/>
    <w:uiPriority w:val="9"/>
    <w:qFormat/>
    <w:rsid w:val="00146E37"/>
    <w:pPr>
      <w:keepNext/>
      <w:keepLines/>
      <w:spacing w:before="240" w:after="120"/>
      <w:ind w:left="851" w:hanging="851"/>
      <w:outlineLvl w:val="1"/>
    </w:pPr>
    <w:rPr>
      <w:b/>
      <w:bCs/>
      <w:sz w:val="24"/>
      <w:szCs w:val="24"/>
      <w:lang w:val="en-GB"/>
    </w:rPr>
  </w:style>
  <w:style w:type="paragraph" w:styleId="6">
    <w:name w:val="heading 6"/>
    <w:basedOn w:val="a"/>
    <w:next w:val="a"/>
    <w:qFormat/>
    <w:rsid w:val="0000593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link w:val="TextChar"/>
    <w:rsid w:val="00146E37"/>
    <w:pPr>
      <w:spacing w:after="60"/>
      <w:ind w:left="851"/>
      <w:jc w:val="both"/>
    </w:pPr>
    <w:rPr>
      <w:sz w:val="24"/>
      <w:szCs w:val="24"/>
      <w:lang w:val="en-GB" w:eastAsia="en-US"/>
    </w:rPr>
  </w:style>
  <w:style w:type="paragraph" w:styleId="a3">
    <w:name w:val="Normal Indent"/>
    <w:rsid w:val="00146E37"/>
    <w:pPr>
      <w:spacing w:before="120" w:after="120"/>
      <w:ind w:left="851"/>
      <w:jc w:val="both"/>
    </w:pPr>
    <w:rPr>
      <w:sz w:val="24"/>
      <w:szCs w:val="24"/>
      <w:lang w:val="en-GB" w:eastAsia="en-US"/>
    </w:rPr>
  </w:style>
  <w:style w:type="paragraph" w:customStyle="1" w:styleId="NormalBold">
    <w:name w:val="Normal Bold"/>
    <w:basedOn w:val="a3"/>
    <w:rsid w:val="00146E37"/>
    <w:pPr>
      <w:spacing w:before="0" w:after="0"/>
      <w:jc w:val="left"/>
    </w:pPr>
    <w:rPr>
      <w:b/>
      <w:bCs/>
      <w:lang w:val="en-US"/>
    </w:rPr>
  </w:style>
  <w:style w:type="paragraph" w:styleId="a4">
    <w:name w:val="Body Text Indent"/>
    <w:basedOn w:val="a"/>
    <w:rsid w:val="00146E37"/>
    <w:pPr>
      <w:ind w:left="794"/>
    </w:pPr>
  </w:style>
  <w:style w:type="paragraph" w:styleId="20">
    <w:name w:val="Body Text Indent 2"/>
    <w:basedOn w:val="a"/>
    <w:rsid w:val="00146E37"/>
    <w:pPr>
      <w:tabs>
        <w:tab w:val="left" w:pos="7020"/>
      </w:tabs>
      <w:ind w:left="720"/>
    </w:pPr>
    <w:rPr>
      <w:i/>
      <w:iCs/>
    </w:rPr>
  </w:style>
  <w:style w:type="paragraph" w:customStyle="1" w:styleId="Nottoc-headings">
    <w:name w:val="Not toc-headings"/>
    <w:basedOn w:val="a"/>
    <w:next w:val="Text"/>
    <w:rsid w:val="00F94A67"/>
    <w:pPr>
      <w:keepNext/>
      <w:keepLines/>
      <w:spacing w:before="240" w:after="60"/>
      <w:ind w:left="1701" w:hanging="1701"/>
    </w:pPr>
    <w:rPr>
      <w:rFonts w:ascii="Arial" w:hAnsi="Arial"/>
      <w:b/>
      <w:sz w:val="22"/>
    </w:rPr>
  </w:style>
  <w:style w:type="character" w:customStyle="1" w:styleId="TextChar">
    <w:name w:val="Text Char"/>
    <w:link w:val="Text"/>
    <w:rsid w:val="00F94A67"/>
    <w:rPr>
      <w:sz w:val="24"/>
      <w:szCs w:val="24"/>
      <w:lang w:val="en-GB" w:eastAsia="en-US" w:bidi="ar-SA"/>
    </w:rPr>
  </w:style>
  <w:style w:type="paragraph" w:customStyle="1" w:styleId="Table">
    <w:name w:val="Table"/>
    <w:basedOn w:val="Nottoc-headings"/>
    <w:link w:val="TableChar"/>
    <w:rsid w:val="00005939"/>
    <w:pPr>
      <w:keepNext w:val="0"/>
      <w:tabs>
        <w:tab w:val="left" w:pos="284"/>
      </w:tabs>
      <w:spacing w:before="40" w:after="20"/>
      <w:ind w:left="0" w:firstLine="0"/>
    </w:pPr>
    <w:rPr>
      <w:rFonts w:eastAsia="MS Mincho"/>
      <w:b w:val="0"/>
      <w:sz w:val="20"/>
      <w:szCs w:val="24"/>
      <w:lang w:val="en-US" w:eastAsia="en-US"/>
    </w:rPr>
  </w:style>
  <w:style w:type="character" w:customStyle="1" w:styleId="TableChar">
    <w:name w:val="Table Char"/>
    <w:link w:val="Table"/>
    <w:rsid w:val="00005939"/>
    <w:rPr>
      <w:rFonts w:ascii="Arial" w:eastAsia="MS Mincho" w:hAnsi="Arial"/>
      <w:szCs w:val="24"/>
      <w:lang w:val="en-US" w:eastAsia="en-US" w:bidi="ar-SA"/>
    </w:rPr>
  </w:style>
  <w:style w:type="paragraph" w:styleId="a5">
    <w:name w:val="footer"/>
    <w:basedOn w:val="a"/>
    <w:link w:val="Char"/>
    <w:uiPriority w:val="99"/>
    <w:rsid w:val="003C46FB"/>
    <w:pPr>
      <w:tabs>
        <w:tab w:val="center" w:pos="4819"/>
        <w:tab w:val="right" w:pos="9071"/>
      </w:tabs>
    </w:pPr>
    <w:rPr>
      <w:sz w:val="24"/>
      <w:lang w:val="de-DE" w:eastAsia="de-DE"/>
    </w:rPr>
  </w:style>
  <w:style w:type="paragraph" w:customStyle="1" w:styleId="Default">
    <w:name w:val="Default"/>
    <w:rsid w:val="003C46FB"/>
    <w:pPr>
      <w:autoSpaceDE w:val="0"/>
      <w:autoSpaceDN w:val="0"/>
      <w:adjustRightInd w:val="0"/>
    </w:pPr>
    <w:rPr>
      <w:rFonts w:ascii="Arial" w:eastAsia="MS Mincho" w:hAnsi="Arial" w:cs="Arial"/>
      <w:color w:val="000000"/>
      <w:sz w:val="24"/>
      <w:szCs w:val="24"/>
      <w:lang w:eastAsia="ja-JP"/>
    </w:rPr>
  </w:style>
  <w:style w:type="character" w:customStyle="1" w:styleId="tw4winMark">
    <w:name w:val="tw4winMark"/>
    <w:rsid w:val="005A1F33"/>
    <w:rPr>
      <w:rFonts w:ascii="Courier New" w:hAnsi="Courier New" w:cs="Courier New"/>
      <w:vanish/>
      <w:color w:val="800080"/>
      <w:sz w:val="24"/>
      <w:vertAlign w:val="subscript"/>
    </w:rPr>
  </w:style>
  <w:style w:type="paragraph" w:styleId="a6">
    <w:name w:val="header"/>
    <w:basedOn w:val="a"/>
    <w:rsid w:val="003572F1"/>
    <w:pPr>
      <w:tabs>
        <w:tab w:val="center" w:pos="4153"/>
        <w:tab w:val="right" w:pos="8306"/>
      </w:tabs>
    </w:pPr>
  </w:style>
  <w:style w:type="character" w:customStyle="1" w:styleId="Char">
    <w:name w:val="Υποσέλιδο Char"/>
    <w:link w:val="a5"/>
    <w:uiPriority w:val="99"/>
    <w:locked/>
    <w:rsid w:val="00B417A2"/>
    <w:rPr>
      <w:sz w:val="24"/>
      <w:lang w:val="de-DE" w:eastAsia="de-DE"/>
    </w:rPr>
  </w:style>
  <w:style w:type="paragraph" w:styleId="a7">
    <w:name w:val="Balloon Text"/>
    <w:basedOn w:val="a"/>
    <w:link w:val="Char0"/>
    <w:uiPriority w:val="99"/>
    <w:semiHidden/>
    <w:unhideWhenUsed/>
    <w:rsid w:val="00B417A2"/>
    <w:rPr>
      <w:rFonts w:ascii="Tahoma" w:hAnsi="Tahoma"/>
      <w:sz w:val="16"/>
      <w:szCs w:val="16"/>
      <w:lang w:val="en-GB"/>
    </w:rPr>
  </w:style>
  <w:style w:type="character" w:customStyle="1" w:styleId="Char0">
    <w:name w:val="Κείμενο πλαισίου Char"/>
    <w:link w:val="a7"/>
    <w:uiPriority w:val="99"/>
    <w:semiHidden/>
    <w:rsid w:val="00B417A2"/>
    <w:rPr>
      <w:rFonts w:ascii="Tahoma" w:hAnsi="Tahoma" w:cs="Tahoma"/>
      <w:sz w:val="16"/>
      <w:szCs w:val="16"/>
      <w:lang w:val="en-GB"/>
    </w:rPr>
  </w:style>
  <w:style w:type="character" w:customStyle="1" w:styleId="hps">
    <w:name w:val="hps"/>
    <w:rsid w:val="00B417A2"/>
  </w:style>
  <w:style w:type="character" w:customStyle="1" w:styleId="2Char">
    <w:name w:val="Επικεφαλίδα 2 Char"/>
    <w:link w:val="2"/>
    <w:uiPriority w:val="9"/>
    <w:locked/>
    <w:rsid w:val="00044593"/>
    <w:rPr>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9</Pages>
  <Words>2656</Words>
  <Characters>14348</Characters>
  <Application>Microsoft Office Word</Application>
  <DocSecurity>0</DocSecurity>
  <Lines>119</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ΠΕΡΙΛΗΨΗ ΧΑΡΑΚΤΗΡΙΣΤΙΚΩΝ ΤΟΥ ΠΡΟΪΟΝΤΟΣ (SmPC)</vt:lpstr>
      <vt:lpstr>ΠΕΡΙΛΗΨΗ ΧΑΡΑΚΤΗΡΙΣΤΙΚΩΝ ΤΟΥ ΠΡΟΪΟΝΤΟΣ (SmPC)</vt:lpstr>
    </vt:vector>
  </TitlesOfParts>
  <Company>Novartis</Company>
  <LinksUpToDate>false</LinksUpToDate>
  <CharactersWithSpaces>16971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ΧΑΡΑΚΤΗΡΙΣΤΙΚΩΝ ΤΟΥ ΠΡΟΪΟΝΤΟΣ (SmPC)</dc:title>
  <dc:creator>CHRISTINE HATZIDAKI</dc:creator>
  <cp:lastModifiedBy>user244</cp:lastModifiedBy>
  <cp:revision>46</cp:revision>
  <cp:lastPrinted>2015-09-22T08:19:00Z</cp:lastPrinted>
  <dcterms:created xsi:type="dcterms:W3CDTF">2015-09-21T13:09:00Z</dcterms:created>
  <dcterms:modified xsi:type="dcterms:W3CDTF">2016-06-14T07:18:00Z</dcterms:modified>
</cp:coreProperties>
</file>