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06" w:rsidRPr="00B20C0D" w:rsidRDefault="00582906" w:rsidP="00582906">
      <w:pPr>
        <w:jc w:val="both"/>
        <w:rPr>
          <w:i/>
        </w:rPr>
      </w:pPr>
      <w:bookmarkStart w:id="0" w:name="_GoBack"/>
      <w:bookmarkEnd w:id="0"/>
    </w:p>
    <w:p w:rsidR="00582906" w:rsidRPr="00B20C0D" w:rsidRDefault="00582906" w:rsidP="00582906">
      <w:pPr>
        <w:jc w:val="both"/>
        <w:rPr>
          <w:lang w:val="el-GR"/>
        </w:rPr>
      </w:pPr>
    </w:p>
    <w:p w:rsidR="00582906" w:rsidRPr="00B20C0D" w:rsidRDefault="00582906" w:rsidP="00582906">
      <w:pPr>
        <w:pStyle w:val="NormalText"/>
        <w:jc w:val="both"/>
        <w:rPr>
          <w:szCs w:val="24"/>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both"/>
        <w:rPr>
          <w:lang w:val="el-GR"/>
        </w:rPr>
      </w:pPr>
    </w:p>
    <w:p w:rsidR="00582906" w:rsidRPr="00B20C0D" w:rsidRDefault="00582906" w:rsidP="00582906">
      <w:pPr>
        <w:jc w:val="center"/>
        <w:rPr>
          <w:b/>
          <w:lang w:val="el-GR"/>
        </w:rPr>
      </w:pPr>
      <w:r w:rsidRPr="00B20C0D">
        <w:rPr>
          <w:b/>
          <w:lang w:val="el-GR"/>
        </w:rPr>
        <w:t>ΠΑΡΑΡΤΗΜΑ I</w:t>
      </w:r>
    </w:p>
    <w:p w:rsidR="00582906" w:rsidRPr="00B20C0D" w:rsidRDefault="00582906" w:rsidP="00582906">
      <w:pPr>
        <w:jc w:val="center"/>
        <w:rPr>
          <w:b/>
          <w:lang w:val="el-GR"/>
        </w:rPr>
      </w:pPr>
    </w:p>
    <w:p w:rsidR="00582906" w:rsidRPr="00B20C0D" w:rsidRDefault="00582906" w:rsidP="00582906">
      <w:pPr>
        <w:jc w:val="center"/>
        <w:rPr>
          <w:b/>
          <w:lang w:val="el-GR"/>
        </w:rPr>
      </w:pPr>
      <w:r w:rsidRPr="00B20C0D">
        <w:rPr>
          <w:b/>
          <w:lang w:val="el-GR"/>
        </w:rPr>
        <w:t>ΠΕΡΙΛΗΨΗ ΧΑΡΑΚΤΗΡΙΣΤΙΚΩΝ ΤΟΥ ΠΡΟΪΟΝΤΟΣ</w:t>
      </w:r>
    </w:p>
    <w:p w:rsidR="00582906" w:rsidRPr="00B20C0D" w:rsidRDefault="00582906" w:rsidP="00582906">
      <w:pPr>
        <w:tabs>
          <w:tab w:val="left" w:pos="-1440"/>
          <w:tab w:val="left" w:pos="-720"/>
        </w:tabs>
        <w:jc w:val="both"/>
        <w:rPr>
          <w:lang w:val="el-GR"/>
        </w:rPr>
      </w:pPr>
    </w:p>
    <w:p w:rsidR="00582906" w:rsidRPr="00B20C0D" w:rsidRDefault="00582906" w:rsidP="00582906">
      <w:pPr>
        <w:pStyle w:val="a5"/>
        <w:jc w:val="both"/>
        <w:rPr>
          <w:szCs w:val="24"/>
          <w:lang w:val="el-GR"/>
        </w:rPr>
      </w:pPr>
      <w:r w:rsidRPr="00B20C0D">
        <w:rPr>
          <w:szCs w:val="24"/>
          <w:lang w:val="el-GR"/>
        </w:rPr>
        <w:br w:type="page"/>
      </w:r>
      <w:r w:rsidRPr="00B20C0D">
        <w:rPr>
          <w:szCs w:val="24"/>
          <w:lang w:val="el-GR"/>
        </w:rPr>
        <w:lastRenderedPageBreak/>
        <w:t>1.</w:t>
      </w:r>
      <w:r w:rsidRPr="00B20C0D">
        <w:rPr>
          <w:szCs w:val="24"/>
          <w:lang w:val="el-GR"/>
        </w:rPr>
        <w:tab/>
        <w:t>ΟΝΟΜΑΣΙΑ ΤΟΥ ΦΑΡΜΑΚΕΥΤΙΚΟΥ ΠΡΟΪΟΝΤΟΣ</w:t>
      </w:r>
    </w:p>
    <w:p w:rsidR="00582906" w:rsidRPr="00B20C0D" w:rsidRDefault="00582906" w:rsidP="00582906">
      <w:pPr>
        <w:jc w:val="both"/>
        <w:rPr>
          <w:b/>
          <w:lang w:val="el-GR"/>
        </w:rPr>
      </w:pPr>
    </w:p>
    <w:p w:rsidR="00582906" w:rsidRPr="00B20C0D" w:rsidRDefault="00582906" w:rsidP="00582906">
      <w:pPr>
        <w:ind w:left="720"/>
        <w:jc w:val="both"/>
        <w:rPr>
          <w:lang w:val="el-GR"/>
        </w:rPr>
      </w:pPr>
      <w:proofErr w:type="spellStart"/>
      <w:r w:rsidRPr="00B20C0D">
        <w:rPr>
          <w:lang w:val="el-GR"/>
        </w:rPr>
        <w:t>Hexvix</w:t>
      </w:r>
      <w:proofErr w:type="spellEnd"/>
      <w:r w:rsidRPr="00B20C0D">
        <w:rPr>
          <w:lang w:val="el-GR"/>
        </w:rPr>
        <w:t xml:space="preserve"> 85 </w:t>
      </w:r>
      <w:proofErr w:type="spellStart"/>
      <w:r w:rsidRPr="00B20C0D">
        <w:rPr>
          <w:lang w:val="el-GR"/>
        </w:rPr>
        <w:t>mg</w:t>
      </w:r>
      <w:proofErr w:type="spellEnd"/>
      <w:r w:rsidRPr="00B20C0D">
        <w:rPr>
          <w:lang w:val="el-GR"/>
        </w:rPr>
        <w:t xml:space="preserve">, </w:t>
      </w:r>
      <w:proofErr w:type="spellStart"/>
      <w:r w:rsidRPr="00B20C0D">
        <w:rPr>
          <w:lang w:val="el-GR"/>
        </w:rPr>
        <w:t>κόνις</w:t>
      </w:r>
      <w:proofErr w:type="spellEnd"/>
      <w:r w:rsidRPr="00B20C0D">
        <w:rPr>
          <w:lang w:val="el-GR"/>
        </w:rPr>
        <w:t xml:space="preserve"> και διαλύτης για διάλυμα για </w:t>
      </w:r>
      <w:proofErr w:type="spellStart"/>
      <w:r w:rsidRPr="00B20C0D">
        <w:rPr>
          <w:lang w:val="el-GR"/>
        </w:rPr>
        <w:t>ενδοκυστική</w:t>
      </w:r>
      <w:proofErr w:type="spellEnd"/>
      <w:r w:rsidRPr="00B20C0D">
        <w:rPr>
          <w:lang w:val="el-GR"/>
        </w:rPr>
        <w:t xml:space="preserve">  χρήση </w:t>
      </w:r>
    </w:p>
    <w:p w:rsidR="00582906" w:rsidRPr="00B20C0D" w:rsidRDefault="00582906" w:rsidP="00582906">
      <w:pPr>
        <w:ind w:left="720"/>
        <w:jc w:val="both"/>
        <w:rPr>
          <w:lang w:val="el-GR"/>
        </w:rPr>
      </w:pPr>
    </w:p>
    <w:p w:rsidR="00582906" w:rsidRPr="00B20C0D" w:rsidRDefault="00582906" w:rsidP="00582906">
      <w:pPr>
        <w:tabs>
          <w:tab w:val="left" w:pos="720"/>
        </w:tabs>
        <w:ind w:left="720" w:hanging="720"/>
        <w:jc w:val="both"/>
        <w:rPr>
          <w:b/>
          <w:lang w:val="el-GR"/>
        </w:rPr>
      </w:pPr>
      <w:r w:rsidRPr="00B20C0D">
        <w:rPr>
          <w:b/>
          <w:lang w:val="el-GR"/>
        </w:rPr>
        <w:t>2.</w:t>
      </w:r>
      <w:r w:rsidRPr="00B20C0D">
        <w:rPr>
          <w:b/>
          <w:lang w:val="el-GR"/>
        </w:rPr>
        <w:tab/>
        <w:t>ΠΟΙΟΤΙΚΗ ΚΑΙ ΠΟΣΟΤΙΚΗ ΣΥΝΘΕΣΗ</w:t>
      </w:r>
    </w:p>
    <w:p w:rsidR="00582906" w:rsidRPr="00B20C0D" w:rsidRDefault="00582906" w:rsidP="00582906">
      <w:pPr>
        <w:ind w:left="720" w:hanging="720"/>
        <w:jc w:val="both"/>
        <w:rPr>
          <w:lang w:val="el-GR"/>
        </w:rPr>
      </w:pPr>
    </w:p>
    <w:p w:rsidR="00582906" w:rsidRPr="00B20C0D" w:rsidRDefault="00582906" w:rsidP="00582906">
      <w:pPr>
        <w:ind w:left="720"/>
        <w:jc w:val="both"/>
        <w:rPr>
          <w:lang w:val="el-GR"/>
        </w:rPr>
      </w:pPr>
      <w:r w:rsidRPr="00B20C0D">
        <w:rPr>
          <w:lang w:val="el-GR"/>
        </w:rPr>
        <w:t xml:space="preserve">Κάθε φιαλίδιο περιέχει 85 </w:t>
      </w:r>
      <w:r w:rsidRPr="00B20C0D">
        <w:t>mg</w:t>
      </w:r>
      <w:r w:rsidRPr="00B20C0D">
        <w:rPr>
          <w:lang w:val="el-GR"/>
        </w:rPr>
        <w:t xml:space="preserve"> σκόνης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 που αντιστοιχεί σε</w:t>
      </w:r>
      <w:r>
        <w:rPr>
          <w:lang w:val="el-GR"/>
        </w:rPr>
        <w:t xml:space="preserve"> </w:t>
      </w:r>
      <w:r w:rsidRPr="00B20C0D">
        <w:rPr>
          <w:lang w:val="el-GR"/>
        </w:rPr>
        <w:t xml:space="preserve">100 </w:t>
      </w:r>
      <w:r w:rsidRPr="00B20C0D">
        <w:t>mg</w:t>
      </w:r>
      <w:r w:rsidRPr="00B20C0D">
        <w:rPr>
          <w:lang w:val="el-GR"/>
        </w:rPr>
        <w:t xml:space="preserve"> </w:t>
      </w:r>
      <w:r>
        <w:rPr>
          <w:lang w:val="el-GR"/>
        </w:rPr>
        <w:t xml:space="preserve">υδροχλωρικού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w:t>
      </w:r>
    </w:p>
    <w:p w:rsidR="00582906" w:rsidRPr="00B20C0D" w:rsidRDefault="00582906" w:rsidP="00582906">
      <w:pPr>
        <w:jc w:val="both"/>
        <w:rPr>
          <w:lang w:val="el-GR"/>
        </w:rPr>
      </w:pPr>
    </w:p>
    <w:p w:rsidR="00582906" w:rsidRPr="00B20C0D" w:rsidRDefault="00582906" w:rsidP="00582906">
      <w:pPr>
        <w:ind w:left="720"/>
        <w:jc w:val="both"/>
        <w:rPr>
          <w:lang w:val="el-GR"/>
        </w:rPr>
      </w:pPr>
      <w:r w:rsidRPr="00B20C0D">
        <w:rPr>
          <w:lang w:val="el-GR"/>
        </w:rPr>
        <w:t xml:space="preserve">Μετά την ανασύσταση σε 50 </w:t>
      </w:r>
      <w:r w:rsidRPr="00B20C0D">
        <w:t>ml</w:t>
      </w:r>
      <w:r w:rsidRPr="00B20C0D">
        <w:rPr>
          <w:lang w:val="el-GR"/>
        </w:rPr>
        <w:t xml:space="preserve"> διαλ</w:t>
      </w:r>
      <w:r>
        <w:rPr>
          <w:lang w:val="el-GR"/>
        </w:rPr>
        <w:t>ύτη</w:t>
      </w:r>
      <w:r w:rsidRPr="00B20C0D">
        <w:rPr>
          <w:lang w:val="el-GR"/>
        </w:rPr>
        <w:t xml:space="preserve">, το 1 </w:t>
      </w:r>
      <w:r w:rsidRPr="00B20C0D">
        <w:t>ml</w:t>
      </w:r>
      <w:r w:rsidRPr="00B20C0D">
        <w:rPr>
          <w:lang w:val="el-GR"/>
        </w:rPr>
        <w:t xml:space="preserve"> του διαλύματος περιέχει 1</w:t>
      </w:r>
      <w:r>
        <w:rPr>
          <w:lang w:val="el-GR"/>
        </w:rPr>
        <w:t>,</w:t>
      </w:r>
      <w:r w:rsidRPr="00B20C0D">
        <w:rPr>
          <w:lang w:val="el-GR"/>
        </w:rPr>
        <w:t xml:space="preserve">7 </w:t>
      </w:r>
      <w:r w:rsidRPr="00B20C0D">
        <w:t>mg</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w:t>
      </w:r>
      <w:r>
        <w:rPr>
          <w:lang w:val="el-GR"/>
        </w:rPr>
        <w:t xml:space="preserve"> </w:t>
      </w:r>
      <w:r w:rsidRPr="00B20C0D">
        <w:rPr>
          <w:lang w:val="el-GR"/>
        </w:rPr>
        <w:t xml:space="preserve">που αντιστοιχεί σε 8 </w:t>
      </w:r>
      <w:proofErr w:type="spellStart"/>
      <w:r w:rsidRPr="00B20C0D">
        <w:t>mmol</w:t>
      </w:r>
      <w:proofErr w:type="spellEnd"/>
      <w:r w:rsidRPr="00B20C0D">
        <w:rPr>
          <w:lang w:val="el-GR"/>
        </w:rPr>
        <w:t>/</w:t>
      </w:r>
      <w:r w:rsidRPr="00B20C0D">
        <w:t>l</w:t>
      </w:r>
      <w:r w:rsidRPr="00B20C0D">
        <w:rPr>
          <w:lang w:val="el-GR"/>
        </w:rPr>
        <w:t xml:space="preserve"> διαλύματος </w:t>
      </w:r>
      <w:proofErr w:type="spellStart"/>
      <w:r w:rsidRPr="00B20C0D">
        <w:rPr>
          <w:lang w:val="el-GR"/>
        </w:rPr>
        <w:t>εξαμινο</w:t>
      </w:r>
      <w:proofErr w:type="spellEnd"/>
      <w:r w:rsidRPr="00B20C0D">
        <w:rPr>
          <w:lang w:val="el-GR"/>
        </w:rPr>
        <w:t>-</w:t>
      </w:r>
      <w:r>
        <w:rPr>
          <w:lang w:val="el-GR"/>
        </w:rPr>
        <w:t xml:space="preserve"> </w:t>
      </w:r>
      <w:proofErr w:type="spellStart"/>
      <w:r w:rsidRPr="00B20C0D">
        <w:rPr>
          <w:lang w:val="el-GR"/>
        </w:rPr>
        <w:t>λεβουλινικού</w:t>
      </w:r>
      <w:proofErr w:type="spellEnd"/>
      <w:r w:rsidRPr="00B20C0D">
        <w:rPr>
          <w:lang w:val="el-GR"/>
        </w:rPr>
        <w:t xml:space="preserve"> οξέος.</w:t>
      </w:r>
    </w:p>
    <w:p w:rsidR="00582906" w:rsidRPr="00B20C0D" w:rsidRDefault="00582906" w:rsidP="00582906">
      <w:pPr>
        <w:jc w:val="both"/>
        <w:rPr>
          <w:lang w:val="el-GR"/>
        </w:rPr>
      </w:pPr>
    </w:p>
    <w:p w:rsidR="00582906" w:rsidRPr="00B20C0D" w:rsidRDefault="00582906" w:rsidP="00582906">
      <w:pPr>
        <w:jc w:val="both"/>
        <w:rPr>
          <w:lang w:val="el-GR"/>
        </w:rPr>
      </w:pPr>
      <w:r w:rsidRPr="00B20C0D">
        <w:rPr>
          <w:lang w:val="el-GR"/>
        </w:rPr>
        <w:tab/>
        <w:t xml:space="preserve">Για τον πλήρη κατάλογο των εκδόχων, βλ. </w:t>
      </w:r>
      <w:r>
        <w:rPr>
          <w:lang w:val="el-GR"/>
        </w:rPr>
        <w:t>παράγραφο</w:t>
      </w:r>
      <w:r w:rsidRPr="00B20C0D">
        <w:rPr>
          <w:lang w:val="el-GR"/>
        </w:rPr>
        <w:t xml:space="preserve"> 6.1.       </w:t>
      </w:r>
    </w:p>
    <w:p w:rsidR="00582906" w:rsidRPr="00B20C0D" w:rsidRDefault="00582906" w:rsidP="00582906">
      <w:pPr>
        <w:ind w:left="709" w:hanging="709"/>
        <w:jc w:val="both"/>
        <w:rPr>
          <w:rFonts w:eastAsia="Times New Roman"/>
          <w:lang w:val="el-GR"/>
        </w:rPr>
      </w:pPr>
    </w:p>
    <w:p w:rsidR="00582906" w:rsidRPr="00B20C0D" w:rsidRDefault="00582906" w:rsidP="00582906">
      <w:pPr>
        <w:jc w:val="both"/>
        <w:rPr>
          <w:b/>
          <w:lang w:val="el-GR"/>
        </w:rPr>
      </w:pPr>
    </w:p>
    <w:p w:rsidR="00582906" w:rsidRPr="00B20C0D" w:rsidRDefault="00582906" w:rsidP="00582906">
      <w:pPr>
        <w:ind w:left="720" w:hanging="720"/>
        <w:jc w:val="both"/>
        <w:rPr>
          <w:b/>
          <w:lang w:val="el-GR"/>
        </w:rPr>
      </w:pPr>
      <w:r w:rsidRPr="00B20C0D">
        <w:rPr>
          <w:b/>
          <w:lang w:val="el-GR"/>
        </w:rPr>
        <w:t>3.</w:t>
      </w:r>
      <w:r w:rsidRPr="00B20C0D">
        <w:rPr>
          <w:b/>
          <w:lang w:val="el-GR"/>
        </w:rPr>
        <w:tab/>
        <w:t>ΦΑΡΜΑΚΟΤΕΧΝΙΚΗ ΜΟΡΦΗ</w:t>
      </w:r>
    </w:p>
    <w:p w:rsidR="00582906" w:rsidRPr="00B20C0D" w:rsidRDefault="00582906" w:rsidP="00582906">
      <w:pPr>
        <w:ind w:left="720" w:hanging="720"/>
        <w:jc w:val="both"/>
        <w:rPr>
          <w:lang w:val="el-GR"/>
        </w:rPr>
      </w:pPr>
      <w:r w:rsidRPr="00B20C0D">
        <w:rPr>
          <w:lang w:val="el-GR"/>
        </w:rPr>
        <w:tab/>
      </w:r>
    </w:p>
    <w:p w:rsidR="00582906" w:rsidRPr="00B20C0D" w:rsidRDefault="00582906" w:rsidP="00582906">
      <w:pPr>
        <w:ind w:left="720" w:hanging="720"/>
        <w:jc w:val="both"/>
        <w:rPr>
          <w:lang w:val="el-GR"/>
        </w:rPr>
      </w:pPr>
      <w:r w:rsidRPr="00B20C0D">
        <w:rPr>
          <w:lang w:val="el-GR"/>
        </w:rPr>
        <w:tab/>
      </w:r>
      <w:proofErr w:type="spellStart"/>
      <w:r w:rsidRPr="00B20C0D">
        <w:rPr>
          <w:lang w:val="el-GR"/>
        </w:rPr>
        <w:t>Κόνις</w:t>
      </w:r>
      <w:proofErr w:type="spellEnd"/>
      <w:r w:rsidRPr="00B20C0D">
        <w:rPr>
          <w:lang w:val="el-GR"/>
        </w:rPr>
        <w:t xml:space="preserve"> και διαλύτης για διάλυμα για </w:t>
      </w:r>
      <w:proofErr w:type="spellStart"/>
      <w:r w:rsidRPr="00B20C0D">
        <w:rPr>
          <w:lang w:val="el-GR"/>
        </w:rPr>
        <w:t>ενδοκυστική</w:t>
      </w:r>
      <w:proofErr w:type="spellEnd"/>
      <w:r w:rsidRPr="00B20C0D">
        <w:rPr>
          <w:lang w:val="el-GR"/>
        </w:rPr>
        <w:t xml:space="preserve">  χρήση. </w:t>
      </w:r>
    </w:p>
    <w:p w:rsidR="00582906" w:rsidRPr="00B20C0D" w:rsidRDefault="00582906" w:rsidP="00582906">
      <w:pPr>
        <w:ind w:left="720" w:hanging="720"/>
        <w:jc w:val="both"/>
        <w:rPr>
          <w:lang w:val="el-GR"/>
        </w:rPr>
      </w:pPr>
    </w:p>
    <w:p w:rsidR="00582906" w:rsidRPr="00B20C0D" w:rsidRDefault="00582906" w:rsidP="00582906">
      <w:pPr>
        <w:jc w:val="both"/>
        <w:rPr>
          <w:lang w:val="el-GR"/>
        </w:rPr>
      </w:pPr>
      <w:r w:rsidRPr="00B20C0D">
        <w:rPr>
          <w:lang w:val="el-GR"/>
        </w:rPr>
        <w:tab/>
      </w:r>
      <w:proofErr w:type="spellStart"/>
      <w:r w:rsidRPr="00B20C0D">
        <w:rPr>
          <w:lang w:val="el-GR"/>
        </w:rPr>
        <w:t>Κόνις</w:t>
      </w:r>
      <w:proofErr w:type="spellEnd"/>
      <w:r w:rsidRPr="00B20C0D">
        <w:rPr>
          <w:lang w:val="el-GR"/>
        </w:rPr>
        <w:t>: λευκή έως σχεδόν λευκή  ή υποκίτρινη</w:t>
      </w:r>
    </w:p>
    <w:p w:rsidR="00582906" w:rsidRPr="00B20C0D" w:rsidRDefault="00582906" w:rsidP="00582906">
      <w:pPr>
        <w:jc w:val="both"/>
        <w:rPr>
          <w:lang w:val="el-GR"/>
        </w:rPr>
      </w:pPr>
    </w:p>
    <w:p w:rsidR="00582906" w:rsidRPr="00B20C0D" w:rsidRDefault="00582906" w:rsidP="00582906">
      <w:pPr>
        <w:ind w:left="720" w:hanging="720"/>
        <w:jc w:val="both"/>
        <w:rPr>
          <w:lang w:val="el-GR"/>
        </w:rPr>
      </w:pPr>
      <w:r w:rsidRPr="00B20C0D">
        <w:rPr>
          <w:lang w:val="el-GR"/>
        </w:rPr>
        <w:tab/>
        <w:t xml:space="preserve">Διαλυτής: διαυγές, άχρωμο διάλυμα </w:t>
      </w:r>
    </w:p>
    <w:p w:rsidR="00582906" w:rsidRPr="00B20C0D" w:rsidRDefault="00582906" w:rsidP="00582906">
      <w:pPr>
        <w:ind w:left="720" w:hanging="720"/>
        <w:jc w:val="both"/>
        <w:rPr>
          <w:lang w:val="el-GR"/>
        </w:rPr>
      </w:pPr>
      <w:r w:rsidRPr="00B20C0D">
        <w:rPr>
          <w:lang w:val="el-GR"/>
        </w:rPr>
        <w:tab/>
      </w:r>
      <w:r w:rsidRPr="00B20C0D">
        <w:rPr>
          <w:lang w:val="el-GR"/>
        </w:rPr>
        <w:tab/>
      </w:r>
    </w:p>
    <w:p w:rsidR="00582906" w:rsidRPr="00B20C0D" w:rsidRDefault="00582906" w:rsidP="00582906">
      <w:pPr>
        <w:ind w:left="720" w:hanging="720"/>
        <w:jc w:val="both"/>
        <w:rPr>
          <w:lang w:val="el-GR"/>
        </w:rPr>
      </w:pPr>
    </w:p>
    <w:p w:rsidR="00582906" w:rsidRPr="00B20C0D" w:rsidRDefault="00582906" w:rsidP="00582906">
      <w:pPr>
        <w:jc w:val="both"/>
        <w:rPr>
          <w:b/>
          <w:lang w:val="el-GR"/>
        </w:rPr>
      </w:pPr>
      <w:r w:rsidRPr="00B20C0D">
        <w:rPr>
          <w:b/>
          <w:lang w:val="el-GR"/>
        </w:rPr>
        <w:t>4.</w:t>
      </w:r>
      <w:r w:rsidRPr="00B20C0D">
        <w:rPr>
          <w:b/>
          <w:lang w:val="el-GR"/>
        </w:rPr>
        <w:tab/>
        <w:t>ΚΛΙΝΙΚΕΣ ΠΛΗΡΟΦΟΡΙΕΣ</w:t>
      </w:r>
    </w:p>
    <w:p w:rsidR="00582906" w:rsidRPr="00B20C0D" w:rsidRDefault="00582906" w:rsidP="00582906">
      <w:pPr>
        <w:jc w:val="both"/>
        <w:rPr>
          <w:b/>
          <w:lang w:val="el-GR"/>
        </w:rPr>
      </w:pPr>
    </w:p>
    <w:p w:rsidR="00582906" w:rsidRPr="00B20C0D" w:rsidRDefault="00582906" w:rsidP="00582906">
      <w:pPr>
        <w:jc w:val="both"/>
        <w:rPr>
          <w:b/>
          <w:lang w:val="el-GR"/>
        </w:rPr>
      </w:pPr>
      <w:r w:rsidRPr="00B20C0D">
        <w:rPr>
          <w:b/>
          <w:lang w:val="el-GR"/>
        </w:rPr>
        <w:t>4.1</w:t>
      </w:r>
      <w:r w:rsidRPr="00B20C0D">
        <w:rPr>
          <w:b/>
          <w:lang w:val="el-GR"/>
        </w:rPr>
        <w:tab/>
        <w:t>Θεραπευτικές ενδείξεις</w:t>
      </w:r>
    </w:p>
    <w:p w:rsidR="00582906" w:rsidRPr="00B20C0D" w:rsidRDefault="00582906" w:rsidP="00582906">
      <w:pPr>
        <w:ind w:left="720"/>
        <w:jc w:val="both"/>
        <w:rPr>
          <w:lang w:val="el-GR"/>
        </w:rPr>
      </w:pPr>
    </w:p>
    <w:p w:rsidR="00582906" w:rsidRPr="00B20C0D" w:rsidRDefault="00582906" w:rsidP="00582906">
      <w:pPr>
        <w:pStyle w:val="2"/>
        <w:jc w:val="both"/>
        <w:rPr>
          <w:szCs w:val="24"/>
          <w:lang w:val="el-GR"/>
        </w:rPr>
      </w:pPr>
      <w:r w:rsidRPr="00B20C0D">
        <w:rPr>
          <w:szCs w:val="24"/>
          <w:lang w:val="el-GR"/>
        </w:rPr>
        <w:t xml:space="preserve">Αυτό το φαρμακευτικό προϊόν προορίζεται μόνο για διαγνωστική χρήση. </w:t>
      </w:r>
    </w:p>
    <w:p w:rsidR="00582906" w:rsidRPr="00B20C0D" w:rsidRDefault="00582906" w:rsidP="00582906">
      <w:pPr>
        <w:ind w:left="720"/>
        <w:jc w:val="both"/>
        <w:rPr>
          <w:strike/>
          <w:lang w:val="el-GR"/>
        </w:rPr>
      </w:pPr>
    </w:p>
    <w:p w:rsidR="00582906" w:rsidRPr="00B20C0D" w:rsidRDefault="00582906" w:rsidP="00582906">
      <w:pPr>
        <w:tabs>
          <w:tab w:val="left" w:pos="720"/>
        </w:tabs>
        <w:ind w:left="720"/>
        <w:jc w:val="both"/>
        <w:rPr>
          <w:lang w:val="el-GR"/>
        </w:rPr>
      </w:pPr>
      <w:r w:rsidRPr="00B20C0D">
        <w:rPr>
          <w:lang w:val="el-GR"/>
        </w:rPr>
        <w:t xml:space="preserve">Η φθορίζουσα κυστεοσκόπηση </w:t>
      </w:r>
      <w:proofErr w:type="spellStart"/>
      <w:r w:rsidRPr="00B20C0D">
        <w:t>Hexvix</w:t>
      </w:r>
      <w:proofErr w:type="spellEnd"/>
      <w:r w:rsidRPr="00B20C0D">
        <w:rPr>
          <w:lang w:val="el-GR"/>
        </w:rPr>
        <w:t xml:space="preserve"> με μπλε φως ενδείκνυται ως συμπληρωματική της βασικής κυστεοσκόπησης λευκού φωτός ώστε να συμβάλλει στη διάγνωση και τη διαχείριση του καρκίνου της ουροδόχου κύστης σε ασθενείς με γνωστό ή υψηλή πιθανότητα για καρκίνο της ουροδόχου κύστης. Βλέπε </w:t>
      </w:r>
      <w:r>
        <w:rPr>
          <w:lang w:val="el-GR"/>
        </w:rPr>
        <w:t>παράγραφο</w:t>
      </w:r>
      <w:r w:rsidRPr="00B20C0D">
        <w:rPr>
          <w:lang w:val="el-GR"/>
        </w:rPr>
        <w:t xml:space="preserve"> 5.1. </w:t>
      </w:r>
    </w:p>
    <w:p w:rsidR="00582906" w:rsidRPr="00B20C0D" w:rsidRDefault="00582906" w:rsidP="00582906">
      <w:pPr>
        <w:jc w:val="both"/>
        <w:rPr>
          <w:rFonts w:eastAsia="Times New Roman"/>
          <w:lang w:val="el-GR"/>
        </w:rPr>
      </w:pPr>
    </w:p>
    <w:p w:rsidR="00582906" w:rsidRPr="00B20C0D" w:rsidRDefault="00582906" w:rsidP="00582906">
      <w:pPr>
        <w:ind w:left="720"/>
        <w:jc w:val="both"/>
        <w:rPr>
          <w:rFonts w:eastAsia="Arial Unicode MS"/>
          <w:vanish/>
          <w:lang w:val="el-GR"/>
        </w:rPr>
      </w:pPr>
    </w:p>
    <w:p w:rsidR="00582906" w:rsidRPr="00B20C0D" w:rsidRDefault="00582906" w:rsidP="00582906">
      <w:pPr>
        <w:ind w:left="720"/>
        <w:jc w:val="both"/>
        <w:rPr>
          <w:rFonts w:eastAsia="Arial Unicode MS"/>
          <w:vanish/>
          <w:lang w:val="el-GR"/>
        </w:rPr>
      </w:pPr>
    </w:p>
    <w:p w:rsidR="00582906" w:rsidRPr="00B20C0D" w:rsidRDefault="00582906" w:rsidP="00582906">
      <w:pPr>
        <w:jc w:val="both"/>
        <w:rPr>
          <w:b/>
          <w:lang w:val="el-GR"/>
        </w:rPr>
      </w:pPr>
      <w:r w:rsidRPr="00B20C0D">
        <w:rPr>
          <w:b/>
          <w:lang w:val="el-GR"/>
        </w:rPr>
        <w:t>4.2</w:t>
      </w:r>
      <w:r w:rsidRPr="00B20C0D">
        <w:rPr>
          <w:b/>
          <w:lang w:val="el-GR"/>
        </w:rPr>
        <w:tab/>
        <w:t>Δοσολογία και τρόπος χορήγησης</w:t>
      </w:r>
    </w:p>
    <w:p w:rsidR="00582906" w:rsidRPr="00B20C0D" w:rsidRDefault="00582906" w:rsidP="00582906">
      <w:pPr>
        <w:tabs>
          <w:tab w:val="left" w:pos="1635"/>
        </w:tabs>
        <w:jc w:val="both"/>
        <w:rPr>
          <w:lang w:val="el-GR"/>
        </w:rPr>
      </w:pPr>
      <w:r w:rsidRPr="00B20C0D">
        <w:rPr>
          <w:lang w:val="el-GR"/>
        </w:rPr>
        <w:tab/>
      </w:r>
    </w:p>
    <w:p w:rsidR="00582906" w:rsidRPr="00B20C0D" w:rsidRDefault="00582906" w:rsidP="00582906">
      <w:pPr>
        <w:ind w:left="720"/>
        <w:jc w:val="both"/>
        <w:rPr>
          <w:b/>
          <w:lang w:val="el-GR"/>
        </w:rPr>
      </w:pPr>
      <w:r w:rsidRPr="00B20C0D">
        <w:rPr>
          <w:lang w:val="el-GR"/>
        </w:rPr>
        <w:t xml:space="preserve">Η κυστεοσκόπηση με </w:t>
      </w:r>
      <w:proofErr w:type="spellStart"/>
      <w:r w:rsidRPr="00B20C0D">
        <w:t>Hexvix</w:t>
      </w:r>
      <w:proofErr w:type="spellEnd"/>
      <w:r w:rsidRPr="00B20C0D">
        <w:rPr>
          <w:lang w:val="el-GR"/>
        </w:rPr>
        <w:t xml:space="preserve"> πρέπει να γίνεται από εξειδικευμένο ιατρικό προσωπικό που έχει ειδικά εκπαιδευτεί στην κυστεοσκόπηση με </w:t>
      </w:r>
      <w:proofErr w:type="spellStart"/>
      <w:r w:rsidRPr="00B20C0D">
        <w:t>Hexvix</w:t>
      </w:r>
      <w:proofErr w:type="spellEnd"/>
      <w:r w:rsidRPr="00B20C0D">
        <w:rPr>
          <w:lang w:val="el-GR"/>
        </w:rPr>
        <w:t>. Η κύστη πρέπει να κενωθεί πριν την έγχυση.</w:t>
      </w:r>
    </w:p>
    <w:p w:rsidR="00582906" w:rsidRPr="00B20C0D" w:rsidRDefault="00582906" w:rsidP="00582906">
      <w:pPr>
        <w:jc w:val="both"/>
        <w:rPr>
          <w:lang w:val="el-GR"/>
        </w:rPr>
      </w:pPr>
    </w:p>
    <w:p w:rsidR="00582906" w:rsidRPr="00B20C0D" w:rsidRDefault="00582906" w:rsidP="00582906">
      <w:pPr>
        <w:ind w:left="720"/>
        <w:jc w:val="both"/>
        <w:rPr>
          <w:b/>
          <w:lang w:val="el-GR"/>
        </w:rPr>
      </w:pPr>
      <w:r w:rsidRPr="00B20C0D">
        <w:rPr>
          <w:b/>
          <w:lang w:val="el-GR"/>
        </w:rPr>
        <w:t>Ενήλικες (συμπεριλαμβανομένων των ηλικιωμένων):</w:t>
      </w:r>
    </w:p>
    <w:p w:rsidR="00582906" w:rsidRPr="00B20C0D" w:rsidRDefault="00582906" w:rsidP="00582906">
      <w:pPr>
        <w:numPr>
          <w:ilvl w:val="12"/>
          <w:numId w:val="0"/>
        </w:numPr>
        <w:ind w:left="720"/>
        <w:jc w:val="both"/>
        <w:rPr>
          <w:lang w:val="el-GR"/>
        </w:rPr>
      </w:pPr>
      <w:r w:rsidRPr="00B20C0D">
        <w:rPr>
          <w:lang w:val="el-GR"/>
        </w:rPr>
        <w:t xml:space="preserve">50 ml του 8 </w:t>
      </w:r>
      <w:proofErr w:type="spellStart"/>
      <w:r w:rsidRPr="00B20C0D">
        <w:rPr>
          <w:lang w:val="el-GR"/>
        </w:rPr>
        <w:t>mmol</w:t>
      </w:r>
      <w:proofErr w:type="spellEnd"/>
      <w:r w:rsidRPr="00B20C0D">
        <w:rPr>
          <w:lang w:val="el-GR"/>
        </w:rPr>
        <w:t>/l ανασυσταθέντος διαλύματος (βλ</w:t>
      </w:r>
      <w:r>
        <w:rPr>
          <w:lang w:val="el-GR"/>
        </w:rPr>
        <w:t>έπε</w:t>
      </w:r>
      <w:r w:rsidRPr="00B20C0D">
        <w:rPr>
          <w:lang w:val="el-GR"/>
        </w:rPr>
        <w:t xml:space="preserve"> </w:t>
      </w:r>
      <w:r>
        <w:rPr>
          <w:lang w:val="el-GR"/>
        </w:rPr>
        <w:t>παράγραφο</w:t>
      </w:r>
      <w:r w:rsidRPr="00B20C0D">
        <w:rPr>
          <w:lang w:val="el-GR"/>
        </w:rPr>
        <w:t xml:space="preserve"> 6.6) εγχέονται στην ουροδόχο κύστη μέσω ενός καθετήρα.</w:t>
      </w:r>
      <w:r>
        <w:rPr>
          <w:lang w:val="el-GR"/>
        </w:rPr>
        <w:t xml:space="preserve"> </w:t>
      </w:r>
      <w:r w:rsidRPr="00B20C0D">
        <w:rPr>
          <w:lang w:val="el-GR"/>
        </w:rPr>
        <w:t xml:space="preserve">Ο ασθενής πρέπει να κρατήσει το υγρό για περίπου 60 λεπτά. </w:t>
      </w:r>
    </w:p>
    <w:p w:rsidR="00582906" w:rsidRPr="00B20C0D" w:rsidRDefault="00582906" w:rsidP="00582906">
      <w:pPr>
        <w:numPr>
          <w:ilvl w:val="12"/>
          <w:numId w:val="0"/>
        </w:numPr>
        <w:ind w:left="720"/>
        <w:jc w:val="both"/>
        <w:rPr>
          <w:lang w:val="el-GR"/>
        </w:rPr>
      </w:pPr>
      <w:r w:rsidRPr="00B20C0D">
        <w:rPr>
          <w:lang w:val="el-GR"/>
        </w:rPr>
        <w:t xml:space="preserve">Μετά την κένωση της κύστης, η </w:t>
      </w:r>
      <w:proofErr w:type="spellStart"/>
      <w:r w:rsidRPr="00B20C0D">
        <w:rPr>
          <w:lang w:val="el-GR"/>
        </w:rPr>
        <w:t>κυστεοσκοπική</w:t>
      </w:r>
      <w:proofErr w:type="spellEnd"/>
      <w:r w:rsidRPr="00B20C0D">
        <w:rPr>
          <w:lang w:val="el-GR"/>
        </w:rPr>
        <w:t xml:space="preserve"> εξέταση με φθορισμό μπλε φωτός  πρέπει να γίνει εντός περίπου 60 λεπτών. Η </w:t>
      </w:r>
      <w:proofErr w:type="spellStart"/>
      <w:r w:rsidRPr="00B20C0D">
        <w:rPr>
          <w:lang w:val="el-GR"/>
        </w:rPr>
        <w:t>κυστεοσκοπική</w:t>
      </w:r>
      <w:proofErr w:type="spellEnd"/>
      <w:r w:rsidRPr="00B20C0D">
        <w:rPr>
          <w:lang w:val="el-GR"/>
        </w:rPr>
        <w:t xml:space="preserve"> εξέταση </w:t>
      </w:r>
      <w:r w:rsidRPr="00B20C0D">
        <w:rPr>
          <w:lang w:val="el-GR"/>
        </w:rPr>
        <w:lastRenderedPageBreak/>
        <w:t xml:space="preserve">δεν θα πρέπει να εκτελείται περισσότερο από 3 ώρες μετά την έγχυση του </w:t>
      </w:r>
      <w:proofErr w:type="spellStart"/>
      <w:r w:rsidRPr="00B20C0D">
        <w:rPr>
          <w:lang w:val="el-GR"/>
        </w:rPr>
        <w:t>Hexvix</w:t>
      </w:r>
      <w:proofErr w:type="spellEnd"/>
      <w:r w:rsidRPr="00B20C0D">
        <w:rPr>
          <w:lang w:val="el-GR"/>
        </w:rPr>
        <w:t xml:space="preserve"> μέσα στην κύστη.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Επίσης, αν ο χρόνος διατήρησης στην κύστη είναι σημαντικά μικρότερος από μία ώρα, η εξέταση θα πρέπει να αρχίσει το νωρίτερο μετά από 60 λεπτά. Δεν έχει προσδιοριστεί ελάχιστος χρόνος διατήρησης για τον οποίο η εξέταση δεν παρέχει πληροφορίες.</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Για βέλτιστη απεικόνιση συνιστάται να εξετάζεται και να χαρτογραφείται ολόκληρη η κύστη με τη χρήση τόσο λευκού όσο και μπλε φωτός πριν από την έναρξη κάθε χειρουργικής πράξης. Οι βιοψίες όλων των χαρτογραφημένων αλλοιώσεων θα πρέπει κανονικά να λαμβάνονται κάτω από λευκό φως και η πλήρης </w:t>
      </w:r>
      <w:proofErr w:type="spellStart"/>
      <w:r w:rsidRPr="00B20C0D">
        <w:rPr>
          <w:lang w:val="el-GR"/>
        </w:rPr>
        <w:t>εκτομή</w:t>
      </w:r>
      <w:proofErr w:type="spellEnd"/>
      <w:r w:rsidRPr="00B20C0D">
        <w:rPr>
          <w:lang w:val="el-GR"/>
        </w:rPr>
        <w:t xml:space="preserve"> θα πρέπει να επιβεβαιώνεται με μετάβαση σε μπλε φως.</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Πρέπει να χρησιμοποιείται μόνο </w:t>
      </w:r>
      <w:proofErr w:type="spellStart"/>
      <w:r w:rsidRPr="00B20C0D">
        <w:rPr>
          <w:lang w:val="el-GR"/>
        </w:rPr>
        <w:t>κυστεοσκοπικός</w:t>
      </w:r>
      <w:proofErr w:type="spellEnd"/>
      <w:r w:rsidRPr="00B20C0D">
        <w:rPr>
          <w:lang w:val="el-GR"/>
        </w:rPr>
        <w:t xml:space="preserve"> εξοπλισμός με σήμανση CE, ο οποίος θα διαθέτει τα απαραίτητα φίλτρα ώστε να επιτρέπει τόσο την κυστεοσκόπηση με λευκό φως, όσο και την κυστεοσκόπηση με φθορισμό μπλε φωτός (μήκος κύματος 380–450 </w:t>
      </w:r>
      <w:proofErr w:type="spellStart"/>
      <w:r w:rsidRPr="00B20C0D">
        <w:rPr>
          <w:lang w:val="el-GR"/>
        </w:rPr>
        <w:t>nm</w:t>
      </w:r>
      <w:proofErr w:type="spellEnd"/>
      <w:r w:rsidRPr="00B20C0D">
        <w:rPr>
          <w:lang w:val="el-GR"/>
        </w:rPr>
        <w:t>).</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Η δοσολογία φωτός που δίδεται κατά τη κυστεοσκόπηση ποικίλει. Η συνήθης ολική δόση φωτός (λευκού και φθορισμού μπλε φωτός) κυμαίνεται μεταξύ 180 και 360 </w:t>
      </w:r>
      <w:r w:rsidRPr="00B20C0D">
        <w:rPr>
          <w:lang w:eastAsia="zh-CN"/>
        </w:rPr>
        <w:t>J</w:t>
      </w:r>
      <w:r w:rsidRPr="00B20C0D">
        <w:rPr>
          <w:lang w:val="el-GR" w:eastAsia="zh-CN"/>
        </w:rPr>
        <w:t xml:space="preserve"> σε ένταση 0.25</w:t>
      </w:r>
      <w:proofErr w:type="spellStart"/>
      <w:r w:rsidRPr="00B20C0D">
        <w:rPr>
          <w:lang w:eastAsia="zh-CN"/>
        </w:rPr>
        <w:t>mW</w:t>
      </w:r>
      <w:proofErr w:type="spellEnd"/>
      <w:r w:rsidRPr="00B20C0D">
        <w:rPr>
          <w:lang w:val="el-GR" w:eastAsia="zh-CN"/>
        </w:rPr>
        <w:t>/</w:t>
      </w:r>
      <w:r w:rsidRPr="00B20C0D">
        <w:rPr>
          <w:lang w:eastAsia="zh-CN"/>
        </w:rPr>
        <w:t>cm</w:t>
      </w:r>
      <w:r w:rsidRPr="00B20C0D">
        <w:rPr>
          <w:vertAlign w:val="superscript"/>
          <w:lang w:val="el-GR" w:eastAsia="zh-CN"/>
        </w:rPr>
        <w:t>2</w:t>
      </w:r>
      <w:r w:rsidRPr="00B20C0D">
        <w:rPr>
          <w:lang w:val="el-GR"/>
        </w:rPr>
        <w:t>.</w:t>
      </w:r>
    </w:p>
    <w:p w:rsidR="00582906" w:rsidRPr="00B20C0D" w:rsidRDefault="00582906" w:rsidP="00582906">
      <w:pPr>
        <w:pStyle w:val="1"/>
        <w:jc w:val="both"/>
        <w:rPr>
          <w:szCs w:val="24"/>
          <w:lang w:val="el-GR"/>
        </w:rPr>
      </w:pPr>
    </w:p>
    <w:p w:rsidR="00582906" w:rsidRPr="00B20C0D" w:rsidRDefault="00582906" w:rsidP="00582906">
      <w:pPr>
        <w:pStyle w:val="1"/>
        <w:jc w:val="both"/>
        <w:rPr>
          <w:szCs w:val="24"/>
          <w:lang w:val="el-GR"/>
        </w:rPr>
      </w:pPr>
      <w:r w:rsidRPr="00B20C0D">
        <w:rPr>
          <w:szCs w:val="24"/>
          <w:lang w:val="el-GR"/>
        </w:rPr>
        <w:t>Παιδιά και έφηβοι:</w:t>
      </w:r>
    </w:p>
    <w:p w:rsidR="00582906" w:rsidRPr="00B20C0D" w:rsidRDefault="00582906" w:rsidP="00582906">
      <w:pPr>
        <w:ind w:left="720"/>
        <w:jc w:val="both"/>
        <w:rPr>
          <w:lang w:val="el-GR"/>
        </w:rPr>
      </w:pPr>
      <w:r w:rsidRPr="00B20C0D">
        <w:rPr>
          <w:lang w:val="el-GR"/>
        </w:rPr>
        <w:t>Δεν υπάρχει εμπειρία από χρήση σε ασθενείς με ηλικία μικρότερη των 18 ετών.</w:t>
      </w:r>
    </w:p>
    <w:p w:rsidR="00582906" w:rsidRPr="00582906" w:rsidRDefault="00582906" w:rsidP="00582906">
      <w:pPr>
        <w:ind w:left="720"/>
        <w:jc w:val="both"/>
        <w:rPr>
          <w:lang w:val="el-GR"/>
        </w:rPr>
      </w:pPr>
    </w:p>
    <w:p w:rsidR="00582906" w:rsidRPr="00B20C0D" w:rsidRDefault="00582906" w:rsidP="00582906">
      <w:pPr>
        <w:jc w:val="both"/>
        <w:rPr>
          <w:b/>
          <w:lang w:val="el-GR"/>
        </w:rPr>
      </w:pPr>
      <w:r w:rsidRPr="00B20C0D">
        <w:rPr>
          <w:b/>
          <w:lang w:val="el-GR"/>
        </w:rPr>
        <w:t>4.3</w:t>
      </w:r>
      <w:r w:rsidRPr="00B20C0D">
        <w:rPr>
          <w:b/>
          <w:lang w:val="el-GR"/>
        </w:rPr>
        <w:tab/>
        <w:t>Αντενδείξεις</w:t>
      </w:r>
    </w:p>
    <w:p w:rsidR="00582906" w:rsidRPr="00B20C0D" w:rsidRDefault="00582906" w:rsidP="00582906">
      <w:pPr>
        <w:jc w:val="both"/>
        <w:rPr>
          <w:lang w:val="el-GR"/>
        </w:rPr>
      </w:pPr>
    </w:p>
    <w:p w:rsidR="00582906" w:rsidRPr="00B20C0D" w:rsidRDefault="00582906" w:rsidP="00582906">
      <w:pPr>
        <w:ind w:left="720"/>
        <w:jc w:val="both"/>
        <w:rPr>
          <w:lang w:val="el-GR"/>
        </w:rPr>
      </w:pPr>
      <w:r w:rsidRPr="00B20C0D">
        <w:rPr>
          <w:lang w:val="el-GR"/>
        </w:rPr>
        <w:t xml:space="preserve">Υπερευαισθησία στη δραστική ουσία ή σε οποιοδήποτε από τα έκδοχα που αναφέρονται στην παράγραφο 6.1. </w:t>
      </w:r>
    </w:p>
    <w:p w:rsidR="00582906" w:rsidRPr="00B20C0D" w:rsidRDefault="00582906" w:rsidP="00582906">
      <w:pPr>
        <w:ind w:left="720"/>
        <w:jc w:val="both"/>
        <w:rPr>
          <w:lang w:val="el-GR"/>
        </w:rPr>
      </w:pPr>
      <w:proofErr w:type="spellStart"/>
      <w:r w:rsidRPr="00B20C0D">
        <w:rPr>
          <w:lang w:val="el-GR"/>
        </w:rPr>
        <w:t>Πορφυρία</w:t>
      </w:r>
      <w:proofErr w:type="spellEnd"/>
      <w:r w:rsidRPr="00B20C0D">
        <w:rPr>
          <w:lang w:val="el-GR"/>
        </w:rPr>
        <w:t>.</w:t>
      </w:r>
    </w:p>
    <w:p w:rsidR="00582906" w:rsidRPr="00B20C0D" w:rsidRDefault="00582906" w:rsidP="00582906">
      <w:pPr>
        <w:jc w:val="both"/>
        <w:rPr>
          <w:lang w:val="el-GR"/>
        </w:rPr>
      </w:pPr>
    </w:p>
    <w:p w:rsidR="00582906" w:rsidRPr="00B20C0D" w:rsidRDefault="00582906" w:rsidP="00582906">
      <w:pPr>
        <w:tabs>
          <w:tab w:val="left" w:pos="720"/>
        </w:tabs>
        <w:jc w:val="both"/>
        <w:rPr>
          <w:b/>
          <w:lang w:val="el-GR"/>
        </w:rPr>
      </w:pPr>
      <w:r w:rsidRPr="00B20C0D">
        <w:rPr>
          <w:b/>
          <w:lang w:val="el-GR"/>
        </w:rPr>
        <w:t>4.4</w:t>
      </w:r>
      <w:r w:rsidRPr="00B20C0D">
        <w:rPr>
          <w:b/>
          <w:lang w:val="el-GR"/>
        </w:rPr>
        <w:tab/>
        <w:t>Ειδικές προειδοποιήσεις και ιδιαίτερες προφυλάξεις κατά τη χρήση</w:t>
      </w:r>
    </w:p>
    <w:p w:rsidR="00582906" w:rsidRPr="00582906" w:rsidRDefault="00582906" w:rsidP="00582906">
      <w:pPr>
        <w:jc w:val="both"/>
        <w:rPr>
          <w:lang w:val="el-GR"/>
        </w:rPr>
      </w:pPr>
    </w:p>
    <w:p w:rsidR="00582906" w:rsidRDefault="00582906" w:rsidP="00582906">
      <w:pPr>
        <w:ind w:left="720"/>
        <w:jc w:val="both"/>
        <w:rPr>
          <w:rFonts w:eastAsia="Times New Roman"/>
          <w:lang w:val="el-GR"/>
        </w:rPr>
      </w:pPr>
      <w:r w:rsidRPr="00B20C0D">
        <w:rPr>
          <w:lang w:val="el-GR"/>
        </w:rPr>
        <w:t xml:space="preserve">Πρέπει πάντοτε να λαμβάνουμε υπόψη την πιθανότητα υπερευαισθησίας συμπεριλαμβανομένων </w:t>
      </w:r>
      <w:proofErr w:type="spellStart"/>
      <w:r w:rsidRPr="00B20C0D">
        <w:rPr>
          <w:lang w:val="el-GR"/>
        </w:rPr>
        <w:t>αναφυλακτικών</w:t>
      </w:r>
      <w:proofErr w:type="spellEnd"/>
      <w:r w:rsidRPr="00B20C0D">
        <w:rPr>
          <w:lang w:val="el-GR"/>
        </w:rPr>
        <w:t>/</w:t>
      </w:r>
      <w:proofErr w:type="spellStart"/>
      <w:r w:rsidRPr="00B20C0D">
        <w:rPr>
          <w:lang w:val="el-GR"/>
        </w:rPr>
        <w:t>αναφυλακτοειδών</w:t>
      </w:r>
      <w:proofErr w:type="spellEnd"/>
      <w:r w:rsidRPr="00B20C0D">
        <w:rPr>
          <w:lang w:val="el-GR"/>
        </w:rPr>
        <w:t xml:space="preserve"> αντιδράσεων (βλέπε </w:t>
      </w:r>
      <w:r>
        <w:rPr>
          <w:lang w:val="el-GR"/>
        </w:rPr>
        <w:t>παράγραφο</w:t>
      </w:r>
      <w:r w:rsidRPr="00B20C0D" w:rsidDel="00F33064">
        <w:rPr>
          <w:lang w:val="el-GR"/>
        </w:rPr>
        <w:t xml:space="preserve"> </w:t>
      </w:r>
      <w:r w:rsidRPr="00B20C0D">
        <w:rPr>
          <w:lang w:val="el-GR"/>
        </w:rPr>
        <w:t>4</w:t>
      </w:r>
      <w:r>
        <w:rPr>
          <w:lang w:val="el-GR"/>
        </w:rPr>
        <w:t>.</w:t>
      </w:r>
      <w:r w:rsidRPr="00B20C0D">
        <w:rPr>
          <w:lang w:val="el-GR"/>
        </w:rPr>
        <w:t>8). Εξειδικευμένος εξοπλισμός για την υποστήριξη ζωής πρέπει να είναι άμεσα διαθέσιμος.</w:t>
      </w:r>
      <w:r w:rsidRPr="00B20C0D">
        <w:rPr>
          <w:rFonts w:eastAsia="Times New Roman"/>
          <w:lang w:val="el-GR"/>
        </w:rPr>
        <w:t xml:space="preserve"> </w:t>
      </w:r>
    </w:p>
    <w:p w:rsidR="00582906" w:rsidRPr="00B20C0D" w:rsidRDefault="00582906" w:rsidP="00582906">
      <w:pPr>
        <w:ind w:left="720"/>
        <w:jc w:val="both"/>
        <w:rPr>
          <w:rFonts w:eastAsia="Times New Roman"/>
          <w:lang w:val="el-GR"/>
        </w:rPr>
      </w:pPr>
    </w:p>
    <w:p w:rsidR="00582906" w:rsidRPr="00B20C0D" w:rsidRDefault="00582906" w:rsidP="00582906">
      <w:pPr>
        <w:ind w:left="720"/>
        <w:jc w:val="both"/>
        <w:rPr>
          <w:rFonts w:eastAsia="Times New Roman"/>
          <w:lang w:val="el-GR"/>
        </w:rPr>
      </w:pPr>
      <w:proofErr w:type="gramStart"/>
      <w:r w:rsidRPr="00B20C0D">
        <w:rPr>
          <w:rFonts w:eastAsia="Times New Roman"/>
        </w:rPr>
        <w:t>H</w:t>
      </w:r>
      <w:r w:rsidRPr="00B20C0D">
        <w:rPr>
          <w:rFonts w:eastAsia="Times New Roman"/>
          <w:lang w:val="el-GR"/>
        </w:rPr>
        <w:t xml:space="preserve"> εμπειρία με επαναλαμβανόμενη χρήση του </w:t>
      </w:r>
      <w:proofErr w:type="spellStart"/>
      <w:r w:rsidRPr="00B20C0D">
        <w:rPr>
          <w:rFonts w:eastAsia="Times New Roman"/>
          <w:lang w:val="el-GR"/>
        </w:rPr>
        <w:t>Hexvix</w:t>
      </w:r>
      <w:proofErr w:type="spellEnd"/>
      <w:r w:rsidRPr="00B20C0D">
        <w:rPr>
          <w:rFonts w:eastAsia="Times New Roman"/>
          <w:lang w:val="el-GR"/>
        </w:rPr>
        <w:t xml:space="preserve"> μετά την κυκλοφορία του στην αγορά δεν δείχνει ότι υπάρχει κάποιος κίνδυνος όταν χρησιμοποιείται για την παρακολούθηση ασθενών με καρκίνο της ουροδόχου κύστης, ωστόσο δεν έχουν διεξαχθεί ειδικές μελέτες.</w:t>
      </w:r>
      <w:proofErr w:type="gramEnd"/>
    </w:p>
    <w:p w:rsidR="00582906" w:rsidRPr="00582906" w:rsidRDefault="00582906" w:rsidP="00582906">
      <w:pPr>
        <w:ind w:left="720"/>
        <w:jc w:val="both"/>
        <w:rPr>
          <w:lang w:val="el-GR"/>
        </w:rPr>
      </w:pPr>
    </w:p>
    <w:p w:rsidR="00582906" w:rsidRPr="00B20C0D" w:rsidRDefault="00582906" w:rsidP="00582906">
      <w:pPr>
        <w:ind w:left="720"/>
        <w:jc w:val="both"/>
        <w:rPr>
          <w:lang w:val="el-GR"/>
        </w:rPr>
      </w:pPr>
      <w:r>
        <w:rPr>
          <w:lang w:val="el-GR"/>
        </w:rPr>
        <w:t>Το</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ό</w:t>
      </w:r>
      <w:proofErr w:type="spellEnd"/>
      <w:r w:rsidRPr="00B20C0D">
        <w:rPr>
          <w:lang w:val="el-GR"/>
        </w:rPr>
        <w:t xml:space="preserve"> οξ</w:t>
      </w:r>
      <w:r>
        <w:rPr>
          <w:lang w:val="el-GR"/>
        </w:rPr>
        <w:t>ύ</w:t>
      </w:r>
      <w:r w:rsidRPr="00B20C0D">
        <w:rPr>
          <w:lang w:val="el-GR"/>
        </w:rPr>
        <w:t xml:space="preserve"> δεν πρέπει να χρησιμοποιείται σε ασθενείς υψηλού κινδύνου για φλεγμονή της ουροδόχου κύστης όπως μετά από θεραπεία με </w:t>
      </w:r>
      <w:r w:rsidRPr="00B20C0D">
        <w:t>BCG</w:t>
      </w:r>
      <w:r w:rsidRPr="00B20C0D">
        <w:rPr>
          <w:lang w:val="el-GR"/>
        </w:rPr>
        <w:t xml:space="preserve">, ή σοβαρή ή μέτρια </w:t>
      </w:r>
      <w:proofErr w:type="spellStart"/>
      <w:r w:rsidRPr="00B20C0D">
        <w:rPr>
          <w:lang w:val="el-GR"/>
        </w:rPr>
        <w:t>πυοσφαιρινουρία</w:t>
      </w:r>
      <w:proofErr w:type="spellEnd"/>
      <w:r w:rsidRPr="00B20C0D">
        <w:rPr>
          <w:lang w:val="el-GR"/>
        </w:rPr>
        <w:t xml:space="preserve">. Διάχυτη φλεγμονή της κύστης θα πρέπει να αποκλείεται πριν την χορήγηση του προϊόντος. Η </w:t>
      </w:r>
      <w:r w:rsidRPr="00B20C0D">
        <w:rPr>
          <w:lang w:val="el-GR"/>
        </w:rPr>
        <w:lastRenderedPageBreak/>
        <w:t xml:space="preserve">φλεγμονή μπορεί να οδηγήσει σε αύξηση της </w:t>
      </w:r>
      <w:proofErr w:type="spellStart"/>
      <w:r w:rsidRPr="00B20C0D">
        <w:rPr>
          <w:lang w:val="el-GR"/>
        </w:rPr>
        <w:t>πορφυρίνης</w:t>
      </w:r>
      <w:proofErr w:type="spellEnd"/>
      <w:r w:rsidRPr="00B20C0D">
        <w:rPr>
          <w:lang w:val="el-GR"/>
        </w:rPr>
        <w:t xml:space="preserve">  και να αυξήσει τον κίνδυνο της τοξικότητας στο πεδίο του φωτός και ψευδή φθορισμό.</w:t>
      </w:r>
    </w:p>
    <w:p w:rsidR="00582906" w:rsidRPr="00B20C0D" w:rsidRDefault="00582906" w:rsidP="00582906">
      <w:pPr>
        <w:jc w:val="both"/>
        <w:rPr>
          <w:lang w:val="el-GR"/>
        </w:rPr>
      </w:pPr>
      <w:r w:rsidRPr="00B20C0D">
        <w:rPr>
          <w:lang w:val="el-GR"/>
        </w:rPr>
        <w:t xml:space="preserve"> </w:t>
      </w:r>
    </w:p>
    <w:p w:rsidR="00582906" w:rsidRPr="00B20C0D" w:rsidRDefault="00582906" w:rsidP="00582906">
      <w:pPr>
        <w:ind w:left="720"/>
        <w:jc w:val="both"/>
        <w:rPr>
          <w:lang w:val="el-GR"/>
        </w:rPr>
      </w:pPr>
      <w:r w:rsidRPr="00B20C0D">
        <w:rPr>
          <w:lang w:val="el-GR"/>
        </w:rPr>
        <w:t>Εάν μία εκτεταμένη φλεγμονή γίνει αντιληπτή κατά τον έλεγχο με τον λευκό φως τότε πρέπει να αποφεύγεται έλεγχος με μπλε φως.</w:t>
      </w:r>
    </w:p>
    <w:p w:rsidR="00582906" w:rsidRPr="00B20C0D" w:rsidRDefault="00582906" w:rsidP="00582906">
      <w:pPr>
        <w:ind w:left="709"/>
        <w:jc w:val="both"/>
        <w:rPr>
          <w:b/>
          <w:lang w:val="el-GR"/>
        </w:rPr>
      </w:pPr>
      <w:r w:rsidRPr="00B20C0D">
        <w:rPr>
          <w:b/>
          <w:lang w:val="el-GR"/>
        </w:rPr>
        <w:tab/>
      </w:r>
      <w:r w:rsidRPr="00B20C0D">
        <w:rPr>
          <w:lang w:val="el-GR"/>
        </w:rPr>
        <w:t xml:space="preserve">Υπάρχει αυξημένος κίνδυνος λανθασμένου φθορισμού στην περιοχή της τομής σε ασθενείς που έχουν υποβληθεί πρόσφατα σε χειρουργική επέμβαση στην ουροδόχο κύστη. </w:t>
      </w:r>
    </w:p>
    <w:p w:rsidR="00582906" w:rsidRPr="00582906" w:rsidRDefault="00582906" w:rsidP="00582906">
      <w:pPr>
        <w:jc w:val="both"/>
        <w:rPr>
          <w:b/>
          <w:lang w:val="el-GR"/>
        </w:rPr>
      </w:pPr>
    </w:p>
    <w:p w:rsidR="00582906" w:rsidRPr="00B20C0D" w:rsidRDefault="00582906" w:rsidP="00582906">
      <w:pPr>
        <w:pStyle w:val="a4"/>
        <w:jc w:val="both"/>
        <w:rPr>
          <w:szCs w:val="24"/>
          <w:lang w:val="el-GR"/>
        </w:rPr>
      </w:pPr>
      <w:r w:rsidRPr="00B20C0D">
        <w:rPr>
          <w:szCs w:val="24"/>
          <w:lang w:val="el-GR"/>
        </w:rPr>
        <w:t>4.5</w:t>
      </w:r>
      <w:r w:rsidRPr="00B20C0D">
        <w:rPr>
          <w:szCs w:val="24"/>
          <w:lang w:val="el-GR"/>
        </w:rPr>
        <w:tab/>
        <w:t>Αλληλεπιδράσεις με άλλα φαρμακευτικά προϊόντα και άλλες μορφές αλληλεπίδρασης</w:t>
      </w:r>
    </w:p>
    <w:p w:rsidR="00582906" w:rsidRPr="00B20C0D" w:rsidRDefault="00582906" w:rsidP="00582906">
      <w:pPr>
        <w:tabs>
          <w:tab w:val="left" w:pos="720"/>
        </w:tabs>
        <w:ind w:left="720"/>
        <w:jc w:val="both"/>
        <w:rPr>
          <w:lang w:val="el-GR"/>
        </w:rPr>
      </w:pPr>
    </w:p>
    <w:p w:rsidR="00582906" w:rsidRPr="00B20C0D" w:rsidRDefault="00582906" w:rsidP="00582906">
      <w:pPr>
        <w:tabs>
          <w:tab w:val="left" w:pos="720"/>
        </w:tabs>
        <w:ind w:left="720"/>
        <w:jc w:val="both"/>
        <w:rPr>
          <w:lang w:val="el-GR"/>
        </w:rPr>
      </w:pPr>
      <w:r w:rsidRPr="00B20C0D">
        <w:rPr>
          <w:lang w:val="el-GR"/>
        </w:rPr>
        <w:t>Δεν έχουν γίνει ειδικές μελέτες αλληλεπιδράσεων με τ</w:t>
      </w:r>
      <w:r>
        <w:rPr>
          <w:lang w:val="el-GR"/>
        </w:rPr>
        <w:t>ο</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ό</w:t>
      </w:r>
      <w:proofErr w:type="spellEnd"/>
      <w:r w:rsidRPr="00B20C0D">
        <w:rPr>
          <w:lang w:val="el-GR"/>
        </w:rPr>
        <w:t xml:space="preserve"> οξ</w:t>
      </w:r>
      <w:r>
        <w:rPr>
          <w:lang w:val="el-GR"/>
        </w:rPr>
        <w:t>ύ</w:t>
      </w:r>
      <w:r w:rsidRPr="00B20C0D">
        <w:rPr>
          <w:lang w:val="el-GR"/>
        </w:rPr>
        <w:t xml:space="preserve">. </w:t>
      </w:r>
    </w:p>
    <w:p w:rsidR="00582906" w:rsidRPr="00B20C0D" w:rsidRDefault="00582906" w:rsidP="00582906">
      <w:pPr>
        <w:ind w:left="720"/>
        <w:jc w:val="both"/>
        <w:rPr>
          <w:lang w:val="el-GR"/>
        </w:rPr>
      </w:pPr>
    </w:p>
    <w:p w:rsidR="00582906" w:rsidRPr="00B20C0D" w:rsidRDefault="00582906" w:rsidP="00582906">
      <w:pPr>
        <w:ind w:left="720" w:hanging="720"/>
        <w:jc w:val="both"/>
        <w:rPr>
          <w:b/>
          <w:lang w:val="el-GR"/>
        </w:rPr>
      </w:pPr>
      <w:r w:rsidRPr="00B20C0D">
        <w:rPr>
          <w:b/>
          <w:lang w:val="el-GR"/>
        </w:rPr>
        <w:t>4.6</w:t>
      </w:r>
      <w:r w:rsidRPr="00B20C0D">
        <w:rPr>
          <w:b/>
          <w:lang w:val="el-GR"/>
        </w:rPr>
        <w:tab/>
        <w:t>Γονιμότητα, κύηση και γαλουχία</w:t>
      </w:r>
    </w:p>
    <w:p w:rsidR="00582906" w:rsidRPr="00B20C0D" w:rsidRDefault="00582906" w:rsidP="00582906">
      <w:pPr>
        <w:ind w:left="720" w:hanging="720"/>
        <w:jc w:val="both"/>
        <w:rPr>
          <w:i/>
          <w:lang w:val="el-GR"/>
        </w:rPr>
      </w:pPr>
      <w:r w:rsidRPr="00B20C0D">
        <w:rPr>
          <w:lang w:val="el-GR"/>
        </w:rPr>
        <w:tab/>
      </w:r>
    </w:p>
    <w:p w:rsidR="00582906" w:rsidRPr="00B20C0D" w:rsidRDefault="00582906" w:rsidP="00582906">
      <w:pPr>
        <w:ind w:firstLine="720"/>
        <w:jc w:val="both"/>
        <w:rPr>
          <w:u w:val="single"/>
          <w:lang w:val="el-GR"/>
        </w:rPr>
      </w:pPr>
      <w:r w:rsidRPr="00B20C0D">
        <w:rPr>
          <w:u w:val="single"/>
          <w:lang w:val="el-GR"/>
        </w:rPr>
        <w:t>Κύηση</w:t>
      </w:r>
    </w:p>
    <w:p w:rsidR="00582906" w:rsidRPr="00B20C0D" w:rsidRDefault="00582906" w:rsidP="00582906">
      <w:pPr>
        <w:ind w:left="720"/>
        <w:jc w:val="both"/>
        <w:rPr>
          <w:lang w:val="el-GR"/>
        </w:rPr>
      </w:pPr>
      <w:r w:rsidRPr="00B20C0D">
        <w:rPr>
          <w:lang w:val="el-GR"/>
        </w:rPr>
        <w:t xml:space="preserve">Δεν υπάρχουν ή είναι περιορισμένα τα δεδομένα σχετικά με τη χρήση του </w:t>
      </w:r>
      <w:proofErr w:type="spellStart"/>
      <w:r>
        <w:rPr>
          <w:lang w:val="el-GR"/>
        </w:rPr>
        <w:t>εξαμινο</w:t>
      </w:r>
      <w:proofErr w:type="spellEnd"/>
      <w:r>
        <w:rPr>
          <w:lang w:val="el-GR"/>
        </w:rPr>
        <w:t>-</w:t>
      </w:r>
      <w:proofErr w:type="spellStart"/>
      <w:r>
        <w:rPr>
          <w:lang w:val="el-GR"/>
        </w:rPr>
        <w:t>λεβουλινικού</w:t>
      </w:r>
      <w:proofErr w:type="spellEnd"/>
      <w:r>
        <w:rPr>
          <w:lang w:val="el-GR"/>
        </w:rPr>
        <w:t xml:space="preserve"> οξέος</w:t>
      </w:r>
      <w:r w:rsidRPr="00B20C0D">
        <w:rPr>
          <w:lang w:val="el-GR"/>
        </w:rPr>
        <w:t xml:space="preserve"> σε έγκυες γυναίκες. Μελέτες σε ζώα δεν καταδεικνύουν άμεσες ή έμμεσες επιβλαβείς επιδράσεις όσον αφορά την τοξικότητα στην αναπαραγωγική ικανότητα (βλ. παράγραφο 5.3). Ως προληπτικό μέτρο, είναι προτιμότερο να αποφεύγεται η χρήση του </w:t>
      </w:r>
      <w:proofErr w:type="spellStart"/>
      <w:r w:rsidRPr="00B20C0D">
        <w:rPr>
          <w:lang w:val="el-GR"/>
        </w:rPr>
        <w:t>Hexvix</w:t>
      </w:r>
      <w:proofErr w:type="spellEnd"/>
      <w:r w:rsidRPr="00B20C0D">
        <w:rPr>
          <w:lang w:val="el-GR"/>
        </w:rPr>
        <w:t xml:space="preserve"> κατά τη διάρκεια της κύησης.</w:t>
      </w:r>
    </w:p>
    <w:p w:rsidR="00582906" w:rsidRPr="00B20C0D" w:rsidRDefault="00582906" w:rsidP="00582906">
      <w:pPr>
        <w:ind w:left="720"/>
        <w:jc w:val="both"/>
        <w:rPr>
          <w:lang w:val="el-GR"/>
        </w:rPr>
      </w:pPr>
    </w:p>
    <w:p w:rsidR="00582906" w:rsidRPr="00B20C0D" w:rsidRDefault="00582906" w:rsidP="00582906">
      <w:pPr>
        <w:ind w:left="720"/>
        <w:jc w:val="both"/>
        <w:rPr>
          <w:u w:val="single"/>
          <w:lang w:val="el-GR"/>
        </w:rPr>
      </w:pPr>
      <w:r w:rsidRPr="00B20C0D">
        <w:rPr>
          <w:u w:val="single"/>
          <w:lang w:val="el-GR"/>
        </w:rPr>
        <w:t>Γαλουχία</w:t>
      </w:r>
    </w:p>
    <w:p w:rsidR="00582906" w:rsidRPr="00B20C0D" w:rsidRDefault="00582906" w:rsidP="00582906">
      <w:pPr>
        <w:ind w:left="720"/>
        <w:jc w:val="both"/>
        <w:rPr>
          <w:lang w:val="el-GR"/>
        </w:rPr>
      </w:pPr>
      <w:r w:rsidRPr="00B20C0D">
        <w:rPr>
          <w:lang w:val="el-GR"/>
        </w:rPr>
        <w:t xml:space="preserve">Είναι άγνωστο αν το </w:t>
      </w:r>
      <w:proofErr w:type="spellStart"/>
      <w:r>
        <w:rPr>
          <w:lang w:val="el-GR"/>
        </w:rPr>
        <w:t>εξαμινο</w:t>
      </w:r>
      <w:proofErr w:type="spellEnd"/>
      <w:r>
        <w:rPr>
          <w:lang w:val="el-GR"/>
        </w:rPr>
        <w:t>-</w:t>
      </w:r>
      <w:proofErr w:type="spellStart"/>
      <w:r>
        <w:rPr>
          <w:lang w:val="el-GR"/>
        </w:rPr>
        <w:t>λεβουλινικό</w:t>
      </w:r>
      <w:proofErr w:type="spellEnd"/>
      <w:r>
        <w:rPr>
          <w:lang w:val="el-GR"/>
        </w:rPr>
        <w:t xml:space="preserve"> οξύ</w:t>
      </w:r>
      <w:r w:rsidRPr="00B20C0D">
        <w:rPr>
          <w:lang w:val="el-GR"/>
        </w:rPr>
        <w:t xml:space="preserve"> ή οι μεταβολίτες του απεκκρίνονται στο ανθρώπινο γάλα. Δεν μπορεί να αποκλειστεί ο κίνδυνος για τα νεογνά/βρέφη. Ο θηλασμός πρέπει να διακοπεί κατά τη διάρκεια της θεραπείας με </w:t>
      </w:r>
      <w:proofErr w:type="spellStart"/>
      <w:r w:rsidRPr="00B20C0D">
        <w:rPr>
          <w:lang w:val="el-GR"/>
        </w:rPr>
        <w:t>Hexvix</w:t>
      </w:r>
      <w:proofErr w:type="spellEnd"/>
      <w:r w:rsidRPr="00B20C0D">
        <w:rPr>
          <w:lang w:val="el-GR"/>
        </w:rPr>
        <w:t>.</w:t>
      </w:r>
    </w:p>
    <w:p w:rsidR="00582906" w:rsidRPr="00B20C0D" w:rsidRDefault="00582906" w:rsidP="00582906">
      <w:pPr>
        <w:ind w:left="720"/>
        <w:jc w:val="both"/>
        <w:rPr>
          <w:lang w:val="el-GR"/>
        </w:rPr>
      </w:pPr>
      <w:r>
        <w:rPr>
          <w:lang w:val="el-GR"/>
        </w:rPr>
        <w:t xml:space="preserve"> </w:t>
      </w:r>
    </w:p>
    <w:p w:rsidR="00582906" w:rsidRPr="00B20C0D" w:rsidRDefault="00582906" w:rsidP="00582906">
      <w:pPr>
        <w:ind w:left="720"/>
        <w:jc w:val="both"/>
        <w:rPr>
          <w:lang w:val="el-GR"/>
        </w:rPr>
      </w:pPr>
      <w:r w:rsidRPr="00B20C0D">
        <w:rPr>
          <w:u w:val="single"/>
          <w:lang w:val="el-GR"/>
        </w:rPr>
        <w:t>Γονιμότητα</w:t>
      </w:r>
      <w:r w:rsidRPr="00B20C0D">
        <w:rPr>
          <w:lang w:val="el-GR"/>
        </w:rPr>
        <w:br/>
        <w:t>Μελέτες σε ζώα δεν δείχνουν επιδράσεις στη γονιμότητα των γυναικών (βλ</w:t>
      </w:r>
      <w:r>
        <w:rPr>
          <w:lang w:val="el-GR"/>
        </w:rPr>
        <w:t xml:space="preserve">έπε </w:t>
      </w:r>
      <w:r w:rsidRPr="00B20C0D">
        <w:rPr>
          <w:lang w:val="el-GR"/>
        </w:rPr>
        <w:t>παράγραφο 5.3). Η ανδρική γονιμότητα δεν έχει μελετηθεί σε ζώα</w:t>
      </w:r>
      <w:r>
        <w:rPr>
          <w:lang w:val="el-GR"/>
        </w:rPr>
        <w:t>.</w:t>
      </w:r>
      <w:r w:rsidRPr="00B20C0D">
        <w:rPr>
          <w:lang w:val="el-GR"/>
        </w:rPr>
        <w:t xml:space="preserve"> </w:t>
      </w:r>
    </w:p>
    <w:p w:rsidR="00582906" w:rsidRPr="00B20C0D" w:rsidRDefault="00582906" w:rsidP="00582906">
      <w:pPr>
        <w:jc w:val="both"/>
        <w:rPr>
          <w:lang w:val="el-GR"/>
        </w:rPr>
      </w:pPr>
    </w:p>
    <w:p w:rsidR="00582906" w:rsidRPr="00B20C0D" w:rsidRDefault="00582906" w:rsidP="00582906">
      <w:pPr>
        <w:ind w:left="720" w:hanging="720"/>
        <w:jc w:val="both"/>
        <w:rPr>
          <w:b/>
          <w:lang w:val="el-GR"/>
        </w:rPr>
      </w:pPr>
      <w:r w:rsidRPr="00B20C0D">
        <w:rPr>
          <w:b/>
          <w:lang w:val="el-GR"/>
        </w:rPr>
        <w:t>4.7</w:t>
      </w:r>
      <w:r w:rsidRPr="00B20C0D">
        <w:rPr>
          <w:b/>
          <w:lang w:val="el-GR"/>
        </w:rPr>
        <w:tab/>
        <w:t>Επιδράσεις στην ικανότητα οδήγησης και χειρισμού μηχανών</w:t>
      </w:r>
    </w:p>
    <w:p w:rsidR="00582906" w:rsidRPr="00B20C0D" w:rsidRDefault="00582906" w:rsidP="00582906">
      <w:pPr>
        <w:ind w:firstLine="720"/>
        <w:jc w:val="both"/>
        <w:rPr>
          <w:lang w:val="el-GR"/>
        </w:rPr>
      </w:pPr>
    </w:p>
    <w:p w:rsidR="00582906" w:rsidRPr="00B20C0D" w:rsidRDefault="00582906" w:rsidP="00582906">
      <w:pPr>
        <w:ind w:left="720"/>
        <w:jc w:val="both"/>
        <w:rPr>
          <w:lang w:val="el-GR"/>
        </w:rPr>
      </w:pPr>
      <w:r w:rsidRPr="00B20C0D">
        <w:rPr>
          <w:lang w:val="el-GR"/>
        </w:rPr>
        <w:t>Δεν έχουν πραγματοποιηθεί μελέτες σχετικά με τις επιδράσεις στην ικανότητα οδήγησης και χειρισμού μηχανημάτων.</w:t>
      </w:r>
    </w:p>
    <w:p w:rsidR="00582906" w:rsidRPr="00B20C0D" w:rsidRDefault="00582906" w:rsidP="00582906">
      <w:pPr>
        <w:ind w:left="720"/>
        <w:jc w:val="both"/>
        <w:rPr>
          <w:lang w:val="el-GR"/>
        </w:rPr>
      </w:pPr>
    </w:p>
    <w:p w:rsidR="00582906" w:rsidRPr="00B20C0D" w:rsidRDefault="00582906" w:rsidP="00582906">
      <w:pPr>
        <w:keepNext/>
        <w:jc w:val="both"/>
        <w:rPr>
          <w:b/>
          <w:lang w:val="el-GR"/>
        </w:rPr>
      </w:pPr>
      <w:r w:rsidRPr="00B20C0D">
        <w:rPr>
          <w:b/>
          <w:lang w:val="el-GR"/>
        </w:rPr>
        <w:t>4.8</w:t>
      </w:r>
      <w:r w:rsidRPr="00B20C0D">
        <w:rPr>
          <w:b/>
          <w:lang w:val="el-GR"/>
        </w:rPr>
        <w:tab/>
        <w:t xml:space="preserve">Ανεπιθύμητες ενέργειες </w:t>
      </w:r>
    </w:p>
    <w:p w:rsidR="00582906" w:rsidRPr="00B20C0D" w:rsidRDefault="00582906" w:rsidP="00582906">
      <w:pPr>
        <w:keepNext/>
        <w:jc w:val="both"/>
        <w:rPr>
          <w:lang w:val="el-GR"/>
        </w:rPr>
      </w:pPr>
    </w:p>
    <w:p w:rsidR="00582906" w:rsidRPr="00B20C0D" w:rsidRDefault="00582906" w:rsidP="00582906">
      <w:pPr>
        <w:ind w:left="720"/>
        <w:jc w:val="both"/>
        <w:rPr>
          <w:lang w:val="el-GR"/>
        </w:rPr>
      </w:pPr>
      <w:r w:rsidRPr="00B20C0D">
        <w:rPr>
          <w:lang w:val="el-GR"/>
        </w:rPr>
        <w:t xml:space="preserve">Οι περισσότερες από τις ανεπιθύμητες ενέργειες που έχουν αναφερθεί ήταν παροδικές και ήπιες ή μέτριας έντασης. Οι πιο συχνά αναφερόμενες ανεπιθύμητες ενέργειες </w:t>
      </w:r>
      <w:r w:rsidRPr="00B20C0D">
        <w:rPr>
          <w:u w:val="single"/>
          <w:lang w:val="el-GR"/>
        </w:rPr>
        <w:t>από κλινικές μελέτες</w:t>
      </w:r>
      <w:r w:rsidRPr="00B20C0D">
        <w:rPr>
          <w:lang w:val="el-GR"/>
        </w:rPr>
        <w:t xml:space="preserve"> ήταν ο σπασμός της ουροδόχου κύστης στο 2,4% των ασθενών, δυσουρία στο 1,8%, πόνος στην ουροδόχο κύστη στο 1,7% και αιματουρία στο 1,7% των ασθενών. Οι ανεπιθύμητες ενέργειες που αναφέρθηκαν ήταν αναμενόμενες, με βάση την υπάρχουσα εμπειρία από την κλασική κυστεοσκόπηση και των τεχνικών της </w:t>
      </w:r>
      <w:proofErr w:type="spellStart"/>
      <w:r w:rsidRPr="00B20C0D">
        <w:rPr>
          <w:lang w:val="el-GR"/>
        </w:rPr>
        <w:t>διουρηθρικής</w:t>
      </w:r>
      <w:proofErr w:type="spellEnd"/>
      <w:r w:rsidRPr="00B20C0D">
        <w:rPr>
          <w:lang w:val="el-GR"/>
        </w:rPr>
        <w:t xml:space="preserve"> </w:t>
      </w:r>
      <w:proofErr w:type="spellStart"/>
      <w:r w:rsidRPr="00B20C0D">
        <w:rPr>
          <w:lang w:val="el-GR"/>
        </w:rPr>
        <w:t>εκτομής</w:t>
      </w:r>
      <w:proofErr w:type="spellEnd"/>
      <w:r w:rsidRPr="00B20C0D">
        <w:rPr>
          <w:lang w:val="el-GR"/>
        </w:rPr>
        <w:t xml:space="preserve"> εκ της ουροδόχου κύστης (TURB).</w:t>
      </w:r>
    </w:p>
    <w:p w:rsidR="00582906" w:rsidRPr="00B20C0D" w:rsidRDefault="00582906" w:rsidP="00582906">
      <w:pPr>
        <w:ind w:left="720"/>
        <w:jc w:val="both"/>
        <w:rPr>
          <w:lang w:val="el-GR"/>
        </w:rPr>
      </w:pPr>
      <w:r w:rsidRPr="00B20C0D">
        <w:rPr>
          <w:lang w:val="el-GR"/>
        </w:rPr>
        <w:lastRenderedPageBreak/>
        <w:t>Ο παρακάτω πίνακας περιλαμβάνει ανεπιθύμητες ενέργειες από κλινικές μελέτες και άλλες αναφορές. Οι ανεπιθύμητες ενέργειες κατηγοριοποιούνται ανά ανατομικό σύστημα του ανθρώπινου οργανισμού ακολουθώντας την παρακάτω αναλογία:</w:t>
      </w:r>
    </w:p>
    <w:p w:rsidR="00582906" w:rsidRPr="00B20C0D" w:rsidRDefault="00582906" w:rsidP="00582906">
      <w:pPr>
        <w:ind w:left="720"/>
        <w:jc w:val="both"/>
        <w:rPr>
          <w:lang w:val="el-GR"/>
        </w:rPr>
      </w:pPr>
      <w:r w:rsidRPr="00B20C0D">
        <w:rPr>
          <w:lang w:val="el-GR"/>
        </w:rPr>
        <w:t>Πολύ συχνές: (&gt;1/10), συχνές (&gt;1/100 έως &lt;1/10), μη συχνές (&gt;1/1,000 έως &lt;1/100), σπάνιες (&gt;1/10,000 έως &lt;1/1,000), πολύ σπάνιες (&lt;1/10,000), άγνωστες (δεν μπορούν να εκτιμηθούν από τα διαθέσιμα στοιχεία).</w:t>
      </w:r>
    </w:p>
    <w:p w:rsidR="00582906" w:rsidRPr="00B20C0D" w:rsidRDefault="00582906" w:rsidP="00582906">
      <w:pPr>
        <w:jc w:val="both"/>
        <w:rPr>
          <w:b/>
          <w:lang w:val="el-G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449"/>
        <w:gridCol w:w="3351"/>
      </w:tblGrid>
      <w:tr w:rsidR="00582906" w:rsidRPr="00B20C0D" w:rsidTr="00B20C0D">
        <w:trPr>
          <w:cantSplit/>
        </w:trPr>
        <w:tc>
          <w:tcPr>
            <w:tcW w:w="3371" w:type="dxa"/>
          </w:tcPr>
          <w:p w:rsidR="00582906" w:rsidRPr="00B20C0D" w:rsidRDefault="00582906" w:rsidP="00B20C0D">
            <w:pPr>
              <w:jc w:val="both"/>
              <w:rPr>
                <w:b/>
                <w:lang w:val="el-GR"/>
              </w:rPr>
            </w:pPr>
            <w:r w:rsidRPr="00B20C0D">
              <w:rPr>
                <w:b/>
                <w:lang w:val="el-GR"/>
              </w:rPr>
              <w:t>Οργανικό σύστημα (</w:t>
            </w:r>
            <w:proofErr w:type="spellStart"/>
            <w:r w:rsidRPr="00B20C0D">
              <w:rPr>
                <w:b/>
                <w:lang w:val="el-GR"/>
              </w:rPr>
              <w:t>MedDRA</w:t>
            </w:r>
            <w:proofErr w:type="spellEnd"/>
            <w:r w:rsidRPr="00B20C0D">
              <w:rPr>
                <w:b/>
                <w:lang w:val="el-GR"/>
              </w:rPr>
              <w:t>)</w:t>
            </w:r>
          </w:p>
          <w:p w:rsidR="00582906" w:rsidRPr="00B20C0D" w:rsidRDefault="00582906" w:rsidP="00B20C0D">
            <w:pPr>
              <w:jc w:val="both"/>
              <w:rPr>
                <w:b/>
                <w:lang w:val="el-GR"/>
              </w:rPr>
            </w:pPr>
          </w:p>
        </w:tc>
        <w:tc>
          <w:tcPr>
            <w:tcW w:w="1449" w:type="dxa"/>
          </w:tcPr>
          <w:p w:rsidR="00582906" w:rsidRPr="00B20C0D" w:rsidRDefault="00582906" w:rsidP="00B20C0D">
            <w:pPr>
              <w:jc w:val="both"/>
              <w:rPr>
                <w:b/>
                <w:lang w:val="el-GR"/>
              </w:rPr>
            </w:pPr>
            <w:r w:rsidRPr="00B20C0D">
              <w:rPr>
                <w:b/>
                <w:lang w:val="el-GR"/>
              </w:rPr>
              <w:t>Συχνότητα*</w:t>
            </w:r>
          </w:p>
        </w:tc>
        <w:tc>
          <w:tcPr>
            <w:tcW w:w="3351" w:type="dxa"/>
          </w:tcPr>
          <w:p w:rsidR="00582906" w:rsidRPr="00B20C0D" w:rsidRDefault="00582906" w:rsidP="00B20C0D">
            <w:pPr>
              <w:jc w:val="both"/>
              <w:rPr>
                <w:b/>
                <w:lang w:val="el-GR"/>
              </w:rPr>
            </w:pPr>
            <w:r w:rsidRPr="00B20C0D">
              <w:rPr>
                <w:b/>
                <w:lang w:val="el-GR"/>
              </w:rPr>
              <w:t>Συμβάν</w:t>
            </w:r>
          </w:p>
        </w:tc>
      </w:tr>
      <w:tr w:rsidR="00582906" w:rsidRPr="00B20C0D" w:rsidTr="00B20C0D">
        <w:trPr>
          <w:cantSplit/>
        </w:trPr>
        <w:tc>
          <w:tcPr>
            <w:tcW w:w="3371" w:type="dxa"/>
          </w:tcPr>
          <w:p w:rsidR="00582906" w:rsidRPr="00B20C0D" w:rsidRDefault="00582906" w:rsidP="00B20C0D">
            <w:pPr>
              <w:pStyle w:val="a3"/>
              <w:rPr>
                <w:sz w:val="24"/>
                <w:szCs w:val="24"/>
                <w:lang w:val="el-GR"/>
              </w:rPr>
            </w:pPr>
            <w:r w:rsidRPr="00B20C0D">
              <w:rPr>
                <w:sz w:val="24"/>
                <w:szCs w:val="24"/>
                <w:lang w:val="el-GR"/>
              </w:rPr>
              <w:t>Μολύνσεις και λοιμώξεις</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582906">
            <w:pPr>
              <w:rPr>
                <w:lang w:val="el-GR"/>
              </w:rPr>
            </w:pPr>
            <w:r w:rsidRPr="00B20C0D">
              <w:rPr>
                <w:lang w:val="el-GR"/>
              </w:rPr>
              <w:t>Κυστίτ</w:t>
            </w:r>
            <w:r>
              <w:rPr>
                <w:lang w:val="el-GR"/>
              </w:rPr>
              <w:t>ιδα</w:t>
            </w:r>
            <w:r w:rsidRPr="00B20C0D">
              <w:rPr>
                <w:lang w:val="el-GR"/>
              </w:rPr>
              <w:t>, σήψη, ουρολοίμωξη</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Αιματολογικές και λεμφικές διαταραχές</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sidRPr="00B20C0D">
              <w:rPr>
                <w:lang w:val="el-GR"/>
              </w:rPr>
              <w:t>Αύξηση των λευκών αιμοσφαιρίων, αναιμία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Ανοσοποιητικό σύστημα</w:t>
            </w:r>
          </w:p>
        </w:tc>
        <w:tc>
          <w:tcPr>
            <w:tcW w:w="1449" w:type="dxa"/>
          </w:tcPr>
          <w:p w:rsidR="00582906" w:rsidRPr="00B20C0D" w:rsidRDefault="00582906" w:rsidP="00B20C0D">
            <w:pPr>
              <w:jc w:val="both"/>
              <w:rPr>
                <w:lang w:val="el-GR"/>
              </w:rPr>
            </w:pPr>
            <w:r w:rsidRPr="00B20C0D">
              <w:rPr>
                <w:lang w:val="el-GR"/>
              </w:rPr>
              <w:t xml:space="preserve">Άγνωστες </w:t>
            </w:r>
          </w:p>
        </w:tc>
        <w:tc>
          <w:tcPr>
            <w:tcW w:w="3351" w:type="dxa"/>
          </w:tcPr>
          <w:p w:rsidR="00582906" w:rsidRPr="00B20C0D" w:rsidRDefault="00582906" w:rsidP="00B20C0D">
            <w:pPr>
              <w:rPr>
                <w:lang w:val="el-GR"/>
              </w:rPr>
            </w:pPr>
            <w:proofErr w:type="spellStart"/>
            <w:r w:rsidRPr="00B20C0D">
              <w:rPr>
                <w:lang w:val="el-GR"/>
              </w:rPr>
              <w:t>Αναφυλακτοειδές</w:t>
            </w:r>
            <w:proofErr w:type="spellEnd"/>
            <w:r w:rsidRPr="00B20C0D">
              <w:rPr>
                <w:lang w:val="el-GR"/>
              </w:rPr>
              <w:t xml:space="preserve"> σοκ</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Διαταραχές στο μεταβολισμό και τη διατροφή</w:t>
            </w:r>
          </w:p>
        </w:tc>
        <w:tc>
          <w:tcPr>
            <w:tcW w:w="1449" w:type="dxa"/>
          </w:tcPr>
          <w:p w:rsidR="00582906" w:rsidRPr="00B20C0D" w:rsidRDefault="00582906" w:rsidP="00B20C0D">
            <w:pPr>
              <w:jc w:val="both"/>
              <w:rPr>
                <w:lang w:val="el-GR"/>
              </w:rPr>
            </w:pPr>
            <w:r w:rsidRPr="00B20C0D">
              <w:rPr>
                <w:lang w:val="el-GR"/>
              </w:rPr>
              <w:t xml:space="preserve">Άγνωστες </w:t>
            </w:r>
          </w:p>
        </w:tc>
        <w:tc>
          <w:tcPr>
            <w:tcW w:w="3351" w:type="dxa"/>
          </w:tcPr>
          <w:p w:rsidR="00582906" w:rsidRPr="00B20C0D" w:rsidRDefault="00582906" w:rsidP="00B20C0D">
            <w:pPr>
              <w:rPr>
                <w:lang w:val="el-GR"/>
              </w:rPr>
            </w:pPr>
            <w:r>
              <w:rPr>
                <w:lang w:val="el-GR"/>
              </w:rPr>
              <w:t>Ουρική αρθρίτιδα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Ψυχιατρικές διαταραχές</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sidRPr="00B20C0D">
              <w:rPr>
                <w:lang w:val="el-GR"/>
              </w:rPr>
              <w:t>Αϋπνία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Διαταραχές του νευρικού συστήματος</w:t>
            </w:r>
          </w:p>
        </w:tc>
        <w:tc>
          <w:tcPr>
            <w:tcW w:w="1449" w:type="dxa"/>
          </w:tcPr>
          <w:p w:rsidR="00582906" w:rsidRPr="00B20C0D" w:rsidRDefault="00582906" w:rsidP="00B20C0D">
            <w:pPr>
              <w:jc w:val="both"/>
              <w:rPr>
                <w:lang w:val="el-GR"/>
              </w:rPr>
            </w:pPr>
            <w:r w:rsidRPr="00B20C0D">
              <w:rPr>
                <w:lang w:val="el-GR"/>
              </w:rPr>
              <w:t>Συχνές</w:t>
            </w:r>
          </w:p>
          <w:p w:rsidR="00582906" w:rsidRPr="00B20C0D" w:rsidRDefault="00582906" w:rsidP="00B20C0D">
            <w:pPr>
              <w:jc w:val="both"/>
            </w:pPr>
          </w:p>
        </w:tc>
        <w:tc>
          <w:tcPr>
            <w:tcW w:w="3351" w:type="dxa"/>
          </w:tcPr>
          <w:p w:rsidR="00582906" w:rsidRPr="00B20C0D" w:rsidRDefault="00582906" w:rsidP="00B20C0D">
            <w:pPr>
              <w:rPr>
                <w:lang w:val="el-GR"/>
              </w:rPr>
            </w:pPr>
            <w:r w:rsidRPr="00B20C0D">
              <w:rPr>
                <w:lang w:val="el-GR"/>
              </w:rPr>
              <w:t>Κεφαλαλγία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Γαστρεντερικές διαταραχές</w:t>
            </w:r>
          </w:p>
        </w:tc>
        <w:tc>
          <w:tcPr>
            <w:tcW w:w="1449" w:type="dxa"/>
          </w:tcPr>
          <w:p w:rsidR="00582906" w:rsidRPr="00B20C0D" w:rsidRDefault="00582906" w:rsidP="00B20C0D">
            <w:pPr>
              <w:jc w:val="both"/>
              <w:rPr>
                <w:lang w:val="el-GR"/>
              </w:rPr>
            </w:pPr>
            <w:r w:rsidRPr="00B20C0D">
              <w:rPr>
                <w:lang w:val="el-GR"/>
              </w:rPr>
              <w:t>Συχνές</w:t>
            </w:r>
          </w:p>
        </w:tc>
        <w:tc>
          <w:tcPr>
            <w:tcW w:w="3351" w:type="dxa"/>
          </w:tcPr>
          <w:p w:rsidR="00582906" w:rsidRPr="00B20C0D" w:rsidRDefault="00582906" w:rsidP="00B20C0D">
            <w:pPr>
              <w:rPr>
                <w:lang w:val="el-GR"/>
              </w:rPr>
            </w:pPr>
            <w:r w:rsidRPr="00B20C0D">
              <w:rPr>
                <w:lang w:val="el-GR"/>
              </w:rPr>
              <w:t>Ναυτία, εμετός, δυσκοιλιότητα, διάρροια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 xml:space="preserve">Ηπατικές διαταραχές </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Pr>
                <w:lang w:val="el-GR"/>
              </w:rPr>
              <w:t>Αύξηση</w:t>
            </w:r>
            <w:r w:rsidRPr="00B20C0D">
              <w:rPr>
                <w:lang w:val="el-GR"/>
              </w:rPr>
              <w:t xml:space="preserve"> </w:t>
            </w:r>
            <w:proofErr w:type="spellStart"/>
            <w:r w:rsidRPr="00B20C0D">
              <w:rPr>
                <w:lang w:val="el-GR"/>
              </w:rPr>
              <w:t>χολερεθρίνης</w:t>
            </w:r>
            <w:proofErr w:type="spellEnd"/>
            <w:r w:rsidRPr="00B20C0D">
              <w:rPr>
                <w:lang w:val="el-GR"/>
              </w:rPr>
              <w:t xml:space="preserve"> ορού, αύξηση ηπατικών ενζύμων</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 xml:space="preserve">Δερματικές και υποδόριες διαταραχές </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sidRPr="00B20C0D">
              <w:rPr>
                <w:lang w:val="el-GR"/>
              </w:rPr>
              <w:t>Εξάνθημα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 xml:space="preserve">Διαταραχές του </w:t>
            </w:r>
            <w:proofErr w:type="spellStart"/>
            <w:r w:rsidRPr="00B20C0D">
              <w:rPr>
                <w:lang w:val="el-GR"/>
              </w:rPr>
              <w:t>μυοσκελετικού</w:t>
            </w:r>
            <w:proofErr w:type="spellEnd"/>
            <w:r w:rsidRPr="00B20C0D">
              <w:rPr>
                <w:lang w:val="el-GR"/>
              </w:rPr>
              <w:t xml:space="preserve"> συστήματος και του συνδετικού ιστού</w:t>
            </w:r>
          </w:p>
          <w:p w:rsidR="00582906" w:rsidRPr="00B20C0D" w:rsidRDefault="00582906" w:rsidP="00B20C0D">
            <w:pPr>
              <w:rPr>
                <w:lang w:val="el-GR"/>
              </w:rPr>
            </w:pP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sidRPr="00B20C0D">
              <w:rPr>
                <w:lang w:val="el-GR"/>
              </w:rPr>
              <w:t>Πόνος στην πλάτη</w:t>
            </w:r>
          </w:p>
        </w:tc>
      </w:tr>
      <w:tr w:rsidR="00582906" w:rsidRPr="00B20C0D" w:rsidTr="00B20C0D">
        <w:trPr>
          <w:cantSplit/>
        </w:trPr>
        <w:tc>
          <w:tcPr>
            <w:tcW w:w="3371" w:type="dxa"/>
            <w:vMerge w:val="restart"/>
          </w:tcPr>
          <w:p w:rsidR="00582906" w:rsidRPr="00B20C0D" w:rsidRDefault="00582906" w:rsidP="00B20C0D">
            <w:pPr>
              <w:rPr>
                <w:lang w:val="el-GR"/>
              </w:rPr>
            </w:pPr>
            <w:r w:rsidRPr="00B20C0D">
              <w:rPr>
                <w:lang w:val="el-GR"/>
              </w:rPr>
              <w:t xml:space="preserve">Διαταραχές των νεφρών και της ουροδόχου κύστης </w:t>
            </w:r>
          </w:p>
        </w:tc>
        <w:tc>
          <w:tcPr>
            <w:tcW w:w="1449" w:type="dxa"/>
          </w:tcPr>
          <w:p w:rsidR="00582906" w:rsidRPr="00B20C0D" w:rsidRDefault="00582906" w:rsidP="00B20C0D">
            <w:pPr>
              <w:jc w:val="both"/>
              <w:rPr>
                <w:lang w:val="el-GR"/>
              </w:rPr>
            </w:pPr>
            <w:r w:rsidRPr="00B20C0D">
              <w:rPr>
                <w:lang w:val="el-GR"/>
              </w:rPr>
              <w:t>Συχνές</w:t>
            </w:r>
            <w:r w:rsidRPr="00B20C0D" w:rsidDel="00B53524">
              <w:rPr>
                <w:lang w:val="el-GR"/>
              </w:rPr>
              <w:t xml:space="preserve"> </w:t>
            </w:r>
          </w:p>
        </w:tc>
        <w:tc>
          <w:tcPr>
            <w:tcW w:w="3351" w:type="dxa"/>
          </w:tcPr>
          <w:p w:rsidR="00582906" w:rsidRPr="00B20C0D" w:rsidRDefault="00582906" w:rsidP="00B20C0D">
            <w:pPr>
              <w:rPr>
                <w:lang w:val="el-GR"/>
              </w:rPr>
            </w:pPr>
            <w:r w:rsidRPr="00B20C0D">
              <w:rPr>
                <w:lang w:val="el-GR"/>
              </w:rPr>
              <w:t>Σπασμός ουροδόχου κύστης,, πόνος της ουροδόχου κύστης,  δυσουρία, κατακράτηση ούρων, αιματουρία</w:t>
            </w:r>
          </w:p>
        </w:tc>
      </w:tr>
      <w:tr w:rsidR="00582906" w:rsidRPr="00B20C0D" w:rsidTr="00B20C0D">
        <w:trPr>
          <w:cantSplit/>
        </w:trPr>
        <w:tc>
          <w:tcPr>
            <w:tcW w:w="3371" w:type="dxa"/>
            <w:vMerge/>
          </w:tcPr>
          <w:p w:rsidR="00582906" w:rsidRPr="00B20C0D" w:rsidRDefault="00582906" w:rsidP="00B20C0D">
            <w:pPr>
              <w:rPr>
                <w:lang w:val="el-GR"/>
              </w:rPr>
            </w:pP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sidRPr="00B20C0D">
              <w:rPr>
                <w:lang w:val="el-GR"/>
              </w:rPr>
              <w:t xml:space="preserve">Πόνος στην ουρήθρα, συχνουρία, </w:t>
            </w:r>
            <w:proofErr w:type="spellStart"/>
            <w:r w:rsidRPr="00B20C0D">
              <w:rPr>
                <w:lang w:val="el-GR"/>
              </w:rPr>
              <w:t>έπειξη</w:t>
            </w:r>
            <w:proofErr w:type="spellEnd"/>
            <w:r w:rsidRPr="00B20C0D">
              <w:rPr>
                <w:lang w:val="el-GR"/>
              </w:rPr>
              <w:t xml:space="preserve"> για ούρηση, διαταραχές του ουροποιητικού</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Διαταραχές του αναπαραγωγικού συστήματος και του μαστού</w:t>
            </w:r>
          </w:p>
        </w:tc>
        <w:tc>
          <w:tcPr>
            <w:tcW w:w="1449" w:type="dxa"/>
          </w:tcPr>
          <w:p w:rsidR="00582906" w:rsidRPr="00B20C0D" w:rsidRDefault="00582906" w:rsidP="00B20C0D">
            <w:pPr>
              <w:jc w:val="both"/>
              <w:rPr>
                <w:lang w:val="el-GR"/>
              </w:rPr>
            </w:pPr>
            <w:r w:rsidRPr="00B20C0D">
              <w:rPr>
                <w:lang w:val="el-GR"/>
              </w:rPr>
              <w:t>Μη Συχνές</w:t>
            </w:r>
          </w:p>
          <w:p w:rsidR="00582906" w:rsidRPr="00B20C0D" w:rsidRDefault="00582906" w:rsidP="00B20C0D">
            <w:pPr>
              <w:jc w:val="both"/>
              <w:rPr>
                <w:lang w:val="el-GR"/>
              </w:rPr>
            </w:pPr>
          </w:p>
        </w:tc>
        <w:tc>
          <w:tcPr>
            <w:tcW w:w="3351" w:type="dxa"/>
          </w:tcPr>
          <w:p w:rsidR="00582906" w:rsidRPr="00B20C0D" w:rsidRDefault="00582906" w:rsidP="00B20C0D">
            <w:pPr>
              <w:rPr>
                <w:lang w:val="el-GR"/>
              </w:rPr>
            </w:pPr>
            <w:r>
              <w:rPr>
                <w:lang w:val="el-GR"/>
              </w:rPr>
              <w:t>Βαλανίτιδα</w:t>
            </w:r>
          </w:p>
        </w:tc>
      </w:tr>
      <w:tr w:rsidR="00582906" w:rsidRPr="00B20C0D" w:rsidTr="00B20C0D">
        <w:trPr>
          <w:cantSplit/>
        </w:trPr>
        <w:tc>
          <w:tcPr>
            <w:tcW w:w="3371" w:type="dxa"/>
          </w:tcPr>
          <w:p w:rsidR="00582906" w:rsidRPr="00B20C0D" w:rsidRDefault="00582906" w:rsidP="00B20C0D">
            <w:pPr>
              <w:rPr>
                <w:lang w:val="el-GR"/>
              </w:rPr>
            </w:pPr>
            <w:r w:rsidRPr="00B20C0D">
              <w:rPr>
                <w:lang w:val="el-GR"/>
              </w:rPr>
              <w:t>Γενικές διαταραχές και καταστάσεις στη θέση χορήγησης</w:t>
            </w:r>
          </w:p>
        </w:tc>
        <w:tc>
          <w:tcPr>
            <w:tcW w:w="1449" w:type="dxa"/>
          </w:tcPr>
          <w:p w:rsidR="00582906" w:rsidRPr="00B20C0D" w:rsidRDefault="00582906" w:rsidP="00B20C0D">
            <w:pPr>
              <w:jc w:val="both"/>
              <w:rPr>
                <w:lang w:val="el-GR"/>
              </w:rPr>
            </w:pPr>
            <w:r w:rsidRPr="00B20C0D">
              <w:rPr>
                <w:lang w:val="el-GR"/>
              </w:rPr>
              <w:t>Συχνές</w:t>
            </w:r>
          </w:p>
        </w:tc>
        <w:tc>
          <w:tcPr>
            <w:tcW w:w="3351" w:type="dxa"/>
          </w:tcPr>
          <w:p w:rsidR="00582906" w:rsidRPr="00B20C0D" w:rsidRDefault="00582906" w:rsidP="00B20C0D">
            <w:pPr>
              <w:rPr>
                <w:lang w:val="el-GR"/>
              </w:rPr>
            </w:pPr>
            <w:proofErr w:type="spellStart"/>
            <w:r w:rsidRPr="00B20C0D">
              <w:rPr>
                <w:lang w:val="el-GR"/>
              </w:rPr>
              <w:t>Πυρεξία</w:t>
            </w:r>
            <w:proofErr w:type="spellEnd"/>
          </w:p>
        </w:tc>
      </w:tr>
      <w:tr w:rsidR="00582906" w:rsidRPr="00B20C0D" w:rsidTr="00B20C0D">
        <w:trPr>
          <w:cantSplit/>
        </w:trPr>
        <w:tc>
          <w:tcPr>
            <w:tcW w:w="3371" w:type="dxa"/>
            <w:vMerge w:val="restart"/>
          </w:tcPr>
          <w:p w:rsidR="00582906" w:rsidRPr="00B20C0D" w:rsidRDefault="00582906" w:rsidP="00B20C0D">
            <w:pPr>
              <w:rPr>
                <w:lang w:val="el-GR"/>
              </w:rPr>
            </w:pPr>
            <w:r w:rsidRPr="00B20C0D">
              <w:rPr>
                <w:lang w:val="el-GR"/>
              </w:rPr>
              <w:t>Τραυματισμός, δηλητηρίαση και επιπλοκές θεραπευτικών χειρισμών</w:t>
            </w:r>
          </w:p>
        </w:tc>
        <w:tc>
          <w:tcPr>
            <w:tcW w:w="1449" w:type="dxa"/>
          </w:tcPr>
          <w:p w:rsidR="00582906" w:rsidRPr="00B20C0D" w:rsidRDefault="00582906" w:rsidP="00B20C0D">
            <w:pPr>
              <w:jc w:val="both"/>
              <w:rPr>
                <w:lang w:val="el-GR"/>
              </w:rPr>
            </w:pPr>
            <w:r w:rsidRPr="00B20C0D">
              <w:rPr>
                <w:lang w:val="el-GR"/>
              </w:rPr>
              <w:t>Συχνές</w:t>
            </w:r>
          </w:p>
          <w:p w:rsidR="00582906" w:rsidRPr="00B20C0D" w:rsidRDefault="00582906" w:rsidP="00B20C0D">
            <w:pPr>
              <w:jc w:val="both"/>
              <w:rPr>
                <w:strike/>
                <w:lang w:val="el-GR"/>
              </w:rPr>
            </w:pPr>
          </w:p>
        </w:tc>
        <w:tc>
          <w:tcPr>
            <w:tcW w:w="3351" w:type="dxa"/>
          </w:tcPr>
          <w:p w:rsidR="00582906" w:rsidRPr="00B20C0D" w:rsidRDefault="00582906" w:rsidP="00B20C0D">
            <w:pPr>
              <w:rPr>
                <w:lang w:val="el-GR"/>
              </w:rPr>
            </w:pPr>
            <w:r w:rsidRPr="00B20C0D">
              <w:rPr>
                <w:lang w:val="el-GR"/>
              </w:rPr>
              <w:t>Πόνος μετά  την ιατρική πράξη</w:t>
            </w:r>
          </w:p>
        </w:tc>
      </w:tr>
      <w:tr w:rsidR="00582906" w:rsidRPr="00B20C0D" w:rsidTr="00B20C0D">
        <w:trPr>
          <w:cantSplit/>
        </w:trPr>
        <w:tc>
          <w:tcPr>
            <w:tcW w:w="3371" w:type="dxa"/>
            <w:vMerge/>
          </w:tcPr>
          <w:p w:rsidR="00582906" w:rsidRPr="00B20C0D" w:rsidRDefault="00582906" w:rsidP="00B20C0D">
            <w:pPr>
              <w:jc w:val="both"/>
              <w:rPr>
                <w:lang w:val="el-GR"/>
              </w:rPr>
            </w:pPr>
          </w:p>
        </w:tc>
        <w:tc>
          <w:tcPr>
            <w:tcW w:w="1449" w:type="dxa"/>
          </w:tcPr>
          <w:p w:rsidR="00582906" w:rsidRPr="00B20C0D" w:rsidRDefault="00582906" w:rsidP="00B20C0D">
            <w:pPr>
              <w:jc w:val="both"/>
              <w:rPr>
                <w:lang w:val="el-GR"/>
              </w:rPr>
            </w:pPr>
            <w:r w:rsidRPr="00B20C0D">
              <w:rPr>
                <w:lang w:val="el-GR"/>
              </w:rPr>
              <w:t>Μη Συχνές</w:t>
            </w:r>
          </w:p>
        </w:tc>
        <w:tc>
          <w:tcPr>
            <w:tcW w:w="3351" w:type="dxa"/>
          </w:tcPr>
          <w:p w:rsidR="00582906" w:rsidRPr="00B20C0D" w:rsidRDefault="00582906" w:rsidP="00B20C0D">
            <w:pPr>
              <w:rPr>
                <w:lang w:val="el-GR"/>
              </w:rPr>
            </w:pPr>
            <w:r w:rsidRPr="00B20C0D">
              <w:rPr>
                <w:lang w:val="el-GR"/>
              </w:rPr>
              <w:t>Μετεγχειρητικός πυρετός</w:t>
            </w:r>
          </w:p>
        </w:tc>
      </w:tr>
    </w:tbl>
    <w:p w:rsidR="00582906" w:rsidRPr="00B20C0D" w:rsidRDefault="00582906" w:rsidP="00582906">
      <w:pPr>
        <w:pStyle w:val="3"/>
        <w:jc w:val="both"/>
        <w:rPr>
          <w:szCs w:val="24"/>
          <w:lang w:val="el-GR"/>
        </w:rPr>
      </w:pPr>
    </w:p>
    <w:p w:rsidR="00582906" w:rsidRPr="00B20C0D" w:rsidRDefault="00582906" w:rsidP="00582906">
      <w:pPr>
        <w:ind w:left="720"/>
        <w:jc w:val="both"/>
        <w:rPr>
          <w:color w:val="FF0000"/>
          <w:u w:val="single"/>
          <w:lang w:val="el-GR"/>
        </w:rPr>
      </w:pPr>
      <w:r w:rsidRPr="00B20C0D">
        <w:rPr>
          <w:color w:val="FF0000"/>
          <w:u w:val="single"/>
          <w:lang w:val="el-GR"/>
        </w:rPr>
        <w:lastRenderedPageBreak/>
        <w:t>Αναφορά πιθανολογούμενων ανεπιθύμητων ενεργειών</w:t>
      </w:r>
    </w:p>
    <w:p w:rsidR="00582906" w:rsidRPr="00B20C0D" w:rsidRDefault="00582906" w:rsidP="00582906">
      <w:pPr>
        <w:ind w:left="720"/>
        <w:jc w:val="both"/>
        <w:rPr>
          <w:color w:val="FF0000"/>
          <w:lang w:val="el-GR"/>
        </w:rPr>
      </w:pPr>
      <w:r w:rsidRPr="00B20C0D">
        <w:rPr>
          <w:color w:val="FF0000"/>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582906" w:rsidRPr="00B20C0D" w:rsidRDefault="00582906" w:rsidP="00582906">
      <w:pPr>
        <w:ind w:left="720"/>
        <w:jc w:val="both"/>
        <w:rPr>
          <w:color w:val="FF0000"/>
          <w:lang w:val="el-GR"/>
        </w:rPr>
      </w:pPr>
      <w:r w:rsidRPr="00B20C0D">
        <w:rPr>
          <w:color w:val="FF0000"/>
          <w:lang w:val="el-GR"/>
        </w:rPr>
        <w:t xml:space="preserve">Ελλάδα: Εθνικός Οργανισμός Φαρμάκων, Μεσογείων 284, GR-15562 Χολαργός, Αθήνα. </w:t>
      </w:r>
      <w:proofErr w:type="spellStart"/>
      <w:r w:rsidRPr="00B20C0D">
        <w:rPr>
          <w:color w:val="FF0000"/>
          <w:lang w:val="el-GR"/>
        </w:rPr>
        <w:t>Τηλ</w:t>
      </w:r>
      <w:proofErr w:type="spellEnd"/>
      <w:r w:rsidRPr="00B20C0D">
        <w:rPr>
          <w:color w:val="FF0000"/>
          <w:lang w:val="el-GR"/>
        </w:rPr>
        <w:t xml:space="preserve">: +30 21 32040380/337, Φαξ:+30 21 06549585, </w:t>
      </w:r>
      <w:proofErr w:type="spellStart"/>
      <w:r w:rsidRPr="00B20C0D">
        <w:rPr>
          <w:color w:val="FF0000"/>
          <w:lang w:val="el-GR"/>
        </w:rPr>
        <w:t>Ιστότοπος</w:t>
      </w:r>
      <w:proofErr w:type="spellEnd"/>
      <w:r w:rsidRPr="00B20C0D">
        <w:rPr>
          <w:color w:val="FF0000"/>
          <w:lang w:val="el-GR"/>
        </w:rPr>
        <w:t>: http://www.eof.gr</w:t>
      </w:r>
    </w:p>
    <w:p w:rsidR="00582906" w:rsidRPr="00B20C0D" w:rsidRDefault="00582906" w:rsidP="00582906">
      <w:pPr>
        <w:ind w:left="720"/>
        <w:jc w:val="both"/>
        <w:rPr>
          <w:color w:val="FF0000"/>
          <w:lang w:val="el-GR"/>
        </w:rPr>
      </w:pPr>
      <w:r w:rsidRPr="00B20C0D">
        <w:rPr>
          <w:color w:val="FF0000"/>
          <w:lang w:val="el-GR"/>
        </w:rPr>
        <w:t xml:space="preserve">Κύπρος: Φαρμακευτικές Υπηρεσίες, Υπουργείο Υγείας, 1475 Λευκωσία. Φαξ: + 357 22608649, </w:t>
      </w:r>
      <w:proofErr w:type="spellStart"/>
      <w:r w:rsidRPr="00B20C0D">
        <w:rPr>
          <w:color w:val="FF0000"/>
          <w:lang w:val="el-GR"/>
        </w:rPr>
        <w:t>Ιστότοπος</w:t>
      </w:r>
      <w:proofErr w:type="spellEnd"/>
      <w:r w:rsidRPr="00B20C0D">
        <w:rPr>
          <w:color w:val="FF0000"/>
          <w:lang w:val="el-GR"/>
        </w:rPr>
        <w:t xml:space="preserve">: </w:t>
      </w:r>
      <w:proofErr w:type="spellStart"/>
      <w:r w:rsidRPr="00B20C0D">
        <w:rPr>
          <w:color w:val="FF0000"/>
          <w:lang w:val="el-GR"/>
        </w:rPr>
        <w:t>www.moh.gov.cy</w:t>
      </w:r>
      <w:proofErr w:type="spellEnd"/>
      <w:r w:rsidRPr="00B20C0D">
        <w:rPr>
          <w:color w:val="FF0000"/>
          <w:lang w:val="el-GR"/>
        </w:rPr>
        <w:t>/</w:t>
      </w:r>
      <w:proofErr w:type="spellStart"/>
      <w:r w:rsidRPr="00B20C0D">
        <w:rPr>
          <w:color w:val="FF0000"/>
          <w:lang w:val="el-GR"/>
        </w:rPr>
        <w:t>phs</w:t>
      </w:r>
      <w:proofErr w:type="spellEnd"/>
    </w:p>
    <w:p w:rsidR="00582906" w:rsidRPr="00B20C0D" w:rsidRDefault="00582906" w:rsidP="00582906">
      <w:pPr>
        <w:rPr>
          <w:szCs w:val="22"/>
          <w:lang w:val="el-GR"/>
        </w:rPr>
      </w:pPr>
    </w:p>
    <w:p w:rsidR="00582906" w:rsidRPr="00B20C0D" w:rsidRDefault="00582906" w:rsidP="00582906">
      <w:pPr>
        <w:jc w:val="both"/>
        <w:rPr>
          <w:b/>
          <w:lang w:val="el-GR"/>
        </w:rPr>
      </w:pPr>
      <w:r w:rsidRPr="00B20C0D">
        <w:rPr>
          <w:b/>
          <w:lang w:val="el-GR"/>
        </w:rPr>
        <w:t>4.9</w:t>
      </w:r>
      <w:r w:rsidRPr="00B20C0D">
        <w:rPr>
          <w:b/>
          <w:lang w:val="el-GR"/>
        </w:rPr>
        <w:tab/>
      </w:r>
      <w:bookmarkStart w:id="1" w:name="OLE_LINK2"/>
      <w:proofErr w:type="spellStart"/>
      <w:r w:rsidRPr="00B20C0D">
        <w:rPr>
          <w:b/>
          <w:lang w:val="el-GR"/>
        </w:rPr>
        <w:t>Υπερδοσολογία</w:t>
      </w:r>
      <w:proofErr w:type="spellEnd"/>
      <w:r w:rsidRPr="00B20C0D">
        <w:rPr>
          <w:b/>
          <w:lang w:val="el-GR"/>
        </w:rPr>
        <w:t xml:space="preserve">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Δεν έχει αναφερθεί καμία περίπτωση </w:t>
      </w:r>
      <w:proofErr w:type="spellStart"/>
      <w:r w:rsidRPr="00B20C0D">
        <w:rPr>
          <w:lang w:val="el-GR"/>
        </w:rPr>
        <w:t>υπερδοσολογίας</w:t>
      </w:r>
      <w:proofErr w:type="spellEnd"/>
      <w:r w:rsidRPr="00B20C0D">
        <w:rPr>
          <w:lang w:val="el-GR"/>
        </w:rPr>
        <w:t xml:space="preserve">.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Δεν έχουν αναφερθεί ανεπιθύμητες ενέργειες για παρατεταμένους χρόνους έγχυσης που υπερέβαιναν τα 180 λεπτά (3πλάσιος χρόνος έγχυσης από το συνιστώμενο), σε μία περίπτωση 343 λεπτά. Δεν έχουν αναφερθεί ανεπιθύμητες ενέργειες στις μελέτες προσδιορισμού δόσης όπου χρησιμοποιήθηκε η διπλάσια συγκέντρωση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 από τη συνιστώμενη.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Δεν υπάρχει εμπειρία από υψηλότερη ένταση φωτός από τη συνιστώμενη ή από παρατεταμένη έκθεση στην ακτινοβολία φωτός.</w:t>
      </w:r>
    </w:p>
    <w:bookmarkEnd w:id="1"/>
    <w:p w:rsidR="00582906" w:rsidRPr="00B20C0D" w:rsidRDefault="00582906" w:rsidP="00582906">
      <w:pPr>
        <w:ind w:left="720"/>
        <w:jc w:val="both"/>
        <w:rPr>
          <w:b/>
          <w:lang w:val="el-GR"/>
        </w:rPr>
      </w:pPr>
    </w:p>
    <w:p w:rsidR="00582906" w:rsidRPr="00B20C0D" w:rsidRDefault="00582906" w:rsidP="00582906">
      <w:pPr>
        <w:jc w:val="both"/>
        <w:rPr>
          <w:b/>
          <w:lang w:val="el-GR"/>
        </w:rPr>
      </w:pPr>
      <w:r w:rsidRPr="00B20C0D">
        <w:rPr>
          <w:b/>
          <w:lang w:val="el-GR"/>
        </w:rPr>
        <w:t>5.</w:t>
      </w:r>
      <w:r w:rsidRPr="00B20C0D">
        <w:rPr>
          <w:b/>
          <w:lang w:val="el-GR"/>
        </w:rPr>
        <w:tab/>
        <w:t>ΦΑΡΜΑΚΟΛΟΓΙΚΕΣ ΙΔΙΟΤΗΤΕΣ</w:t>
      </w:r>
    </w:p>
    <w:p w:rsidR="00582906" w:rsidRPr="00B20C0D" w:rsidRDefault="00582906" w:rsidP="00582906">
      <w:pPr>
        <w:jc w:val="both"/>
        <w:rPr>
          <w:b/>
          <w:lang w:val="el-GR"/>
        </w:rPr>
      </w:pPr>
    </w:p>
    <w:p w:rsidR="00582906" w:rsidRPr="00B20C0D" w:rsidRDefault="00582906" w:rsidP="00582906">
      <w:pPr>
        <w:jc w:val="both"/>
        <w:rPr>
          <w:b/>
          <w:lang w:val="el-GR"/>
        </w:rPr>
      </w:pPr>
      <w:r w:rsidRPr="00B20C0D">
        <w:rPr>
          <w:b/>
          <w:lang w:val="el-GR"/>
        </w:rPr>
        <w:t>5.1</w:t>
      </w:r>
      <w:r w:rsidRPr="00B20C0D">
        <w:rPr>
          <w:b/>
          <w:lang w:val="el-GR"/>
        </w:rPr>
        <w:tab/>
        <w:t>Φαρμακοδυναμικές ιδιότητες</w:t>
      </w:r>
    </w:p>
    <w:p w:rsidR="00582906" w:rsidRPr="00B20C0D" w:rsidRDefault="00582906" w:rsidP="00582906">
      <w:pPr>
        <w:jc w:val="both"/>
        <w:rPr>
          <w:lang w:val="el-GR"/>
        </w:rPr>
      </w:pPr>
      <w:r w:rsidRPr="00B20C0D">
        <w:rPr>
          <w:lang w:val="el-GR"/>
        </w:rPr>
        <w:tab/>
      </w:r>
    </w:p>
    <w:p w:rsidR="00582906" w:rsidRPr="00B20C0D" w:rsidRDefault="00582906" w:rsidP="00582906">
      <w:pPr>
        <w:ind w:left="709"/>
        <w:jc w:val="both"/>
        <w:rPr>
          <w:u w:val="single"/>
          <w:lang w:val="el-GR"/>
        </w:rPr>
      </w:pPr>
      <w:proofErr w:type="spellStart"/>
      <w:r w:rsidRPr="00B20C0D">
        <w:rPr>
          <w:lang w:val="el-GR"/>
        </w:rPr>
        <w:t>Φαρμακοθεραπευτική</w:t>
      </w:r>
      <w:proofErr w:type="spellEnd"/>
      <w:r w:rsidRPr="00B20C0D">
        <w:rPr>
          <w:lang w:val="el-GR"/>
        </w:rPr>
        <w:t xml:space="preserve"> κατηγορία: Άλλοι διαγνωστικοί παράγοντες, κωδικός ATC: V04CX</w:t>
      </w:r>
      <w:r w:rsidRPr="00B20C0D">
        <w:rPr>
          <w:u w:val="single"/>
          <w:lang w:val="el-GR"/>
        </w:rPr>
        <w:br/>
      </w:r>
    </w:p>
    <w:p w:rsidR="00582906" w:rsidRPr="00B20C0D" w:rsidRDefault="00582906" w:rsidP="00582906">
      <w:pPr>
        <w:ind w:left="709"/>
        <w:jc w:val="both"/>
        <w:rPr>
          <w:lang w:val="el-GR"/>
        </w:rPr>
      </w:pPr>
      <w:r w:rsidRPr="00B20C0D">
        <w:rPr>
          <w:iCs/>
          <w:lang w:val="el-GR"/>
        </w:rPr>
        <w:t xml:space="preserve">Μελέτες </w:t>
      </w:r>
      <w:proofErr w:type="spellStart"/>
      <w:r w:rsidRPr="00B20C0D">
        <w:rPr>
          <w:i/>
          <w:lang w:val="el-GR"/>
        </w:rPr>
        <w:t>in</w:t>
      </w:r>
      <w:proofErr w:type="spellEnd"/>
      <w:r w:rsidRPr="00B20C0D">
        <w:rPr>
          <w:i/>
          <w:lang w:val="el-GR"/>
        </w:rPr>
        <w:t xml:space="preserve"> </w:t>
      </w:r>
      <w:proofErr w:type="spellStart"/>
      <w:r w:rsidRPr="00B20C0D">
        <w:rPr>
          <w:i/>
          <w:lang w:val="el-GR"/>
        </w:rPr>
        <w:t>vitro</w:t>
      </w:r>
      <w:proofErr w:type="spellEnd"/>
      <w:r w:rsidRPr="00B20C0D">
        <w:rPr>
          <w:lang w:val="el-GR"/>
        </w:rPr>
        <w:t xml:space="preserve"> έχουν δείξει σημαντική αύξηση στο φθορισμό της </w:t>
      </w:r>
      <w:proofErr w:type="spellStart"/>
      <w:r w:rsidRPr="00B20C0D">
        <w:rPr>
          <w:lang w:val="el-GR"/>
        </w:rPr>
        <w:t>πορφυρίνης</w:t>
      </w:r>
      <w:proofErr w:type="spellEnd"/>
      <w:r w:rsidRPr="00B20C0D">
        <w:rPr>
          <w:lang w:val="el-GR"/>
        </w:rPr>
        <w:t xml:space="preserve"> σε κακοήθες </w:t>
      </w:r>
      <w:proofErr w:type="spellStart"/>
      <w:r w:rsidRPr="00B20C0D">
        <w:rPr>
          <w:lang w:val="el-GR"/>
        </w:rPr>
        <w:t>ουροθήλιο</w:t>
      </w:r>
      <w:proofErr w:type="spellEnd"/>
      <w:r w:rsidRPr="00B20C0D">
        <w:rPr>
          <w:lang w:val="el-GR"/>
        </w:rPr>
        <w:t xml:space="preserve"> μετά από έκθεση σε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ό</w:t>
      </w:r>
      <w:proofErr w:type="spellEnd"/>
      <w:r w:rsidRPr="00B20C0D">
        <w:rPr>
          <w:lang w:val="el-GR"/>
        </w:rPr>
        <w:t xml:space="preserve"> οξ</w:t>
      </w:r>
      <w:r>
        <w:rPr>
          <w:lang w:val="el-GR"/>
        </w:rPr>
        <w:t>ύ</w:t>
      </w:r>
      <w:r w:rsidRPr="00B20C0D">
        <w:rPr>
          <w:lang w:val="el-GR"/>
        </w:rPr>
        <w:t xml:space="preserve">. </w:t>
      </w:r>
    </w:p>
    <w:p w:rsidR="00582906" w:rsidRPr="00B20C0D" w:rsidRDefault="00582906" w:rsidP="00582906">
      <w:pPr>
        <w:ind w:left="720"/>
        <w:jc w:val="both"/>
        <w:rPr>
          <w:i/>
          <w:lang w:val="el-GR"/>
        </w:rPr>
      </w:pPr>
    </w:p>
    <w:p w:rsidR="00582906" w:rsidRPr="00B20C0D" w:rsidRDefault="00582906" w:rsidP="00582906">
      <w:pPr>
        <w:ind w:left="720"/>
        <w:jc w:val="both"/>
        <w:rPr>
          <w:lang w:val="el-GR"/>
        </w:rPr>
      </w:pPr>
      <w:r w:rsidRPr="00B20C0D">
        <w:rPr>
          <w:lang w:val="el-GR"/>
        </w:rPr>
        <w:t xml:space="preserve">Σε ανθρώπους, έχει καταδειχθεί με το </w:t>
      </w:r>
      <w:proofErr w:type="spellStart"/>
      <w:r w:rsidRPr="00B20C0D">
        <w:rPr>
          <w:lang w:val="el-GR"/>
        </w:rPr>
        <w:t>Hexvix</w:t>
      </w:r>
      <w:proofErr w:type="spellEnd"/>
      <w:r w:rsidRPr="00B20C0D">
        <w:rPr>
          <w:lang w:val="el-GR"/>
        </w:rPr>
        <w:t xml:space="preserve"> υψηλότερος βαθμός συγκέντρωσης </w:t>
      </w:r>
      <w:proofErr w:type="spellStart"/>
      <w:r w:rsidRPr="00B20C0D">
        <w:rPr>
          <w:lang w:val="el-GR"/>
        </w:rPr>
        <w:t>πορφυρινών</w:t>
      </w:r>
      <w:proofErr w:type="spellEnd"/>
      <w:r w:rsidRPr="00B20C0D">
        <w:rPr>
          <w:lang w:val="el-GR"/>
        </w:rPr>
        <w:t xml:space="preserve"> σε περιοχές με βλάβες σε σύγκριση με το φυσιολογικό </w:t>
      </w:r>
      <w:proofErr w:type="spellStart"/>
      <w:r w:rsidRPr="00B20C0D">
        <w:rPr>
          <w:lang w:val="el-GR"/>
        </w:rPr>
        <w:t>ουροθήλιο</w:t>
      </w:r>
      <w:proofErr w:type="spellEnd"/>
      <w:r w:rsidRPr="00B20C0D">
        <w:rPr>
          <w:lang w:val="el-GR"/>
        </w:rPr>
        <w:t xml:space="preserve">. Μετά από την έγχυση του </w:t>
      </w:r>
      <w:proofErr w:type="spellStart"/>
      <w:r w:rsidRPr="00B20C0D">
        <w:rPr>
          <w:lang w:val="el-GR"/>
        </w:rPr>
        <w:t>ανασυσταμένου</w:t>
      </w:r>
      <w:proofErr w:type="spellEnd"/>
      <w:r w:rsidRPr="00B20C0D">
        <w:rPr>
          <w:lang w:val="el-GR"/>
        </w:rPr>
        <w:t xml:space="preserve"> διαλύματος για 1 ώρα και την ακόλουθη έκθεση σε ακτινοβολία φθορισμού μπλε φωτός, οι όγκοι είναι άμεσα ορατοί με φθορισμό.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Κλινικές μελέτες που χρησιμοποίησαν </w:t>
      </w:r>
      <w:proofErr w:type="spellStart"/>
      <w:r w:rsidRPr="00B20C0D">
        <w:t>Hexvix</w:t>
      </w:r>
      <w:proofErr w:type="spellEnd"/>
      <w:r w:rsidRPr="00B20C0D">
        <w:rPr>
          <w:lang w:val="el-GR"/>
        </w:rPr>
        <w:t xml:space="preserve"> και συμπεριλάμβαναν 1</w:t>
      </w:r>
      <w:r w:rsidR="00111B1C">
        <w:rPr>
          <w:lang w:val="el-GR"/>
        </w:rPr>
        <w:t>.</w:t>
      </w:r>
      <w:r w:rsidRPr="00B20C0D">
        <w:rPr>
          <w:lang w:val="el-GR"/>
        </w:rPr>
        <w:t>072 ασθενείς με γνωστό καρκίνο της κύστης ή με μεγάλη πιθανότητα καρκίνου της κύστης,  οι οποίοι υποβληθήκαν σε κυστεοσκόπηση με λευκό φως και ακολούθησε κυστεοσκόπηση με μπλε φθορισμό και βιοψία.</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lastRenderedPageBreak/>
        <w:t>Στις κλινικές μελέτες οι ασθενείς είχαν γνωστό ή ύποπτο καρκίνο της κύστης από κυστεοσκόπηση ή θετική κυτταρολογική των ούρων.</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Σε μελέτες σε ασθενείς με αυξημένο κίνδυνο για </w:t>
      </w:r>
      <w:r w:rsidRPr="00B20C0D">
        <w:t>CIS</w:t>
      </w:r>
      <w:r w:rsidRPr="00B20C0D">
        <w:rPr>
          <w:lang w:val="el-GR"/>
        </w:rPr>
        <w:t xml:space="preserve"> (</w:t>
      </w:r>
      <w:r w:rsidRPr="00B20C0D">
        <w:t>Carcinoma</w:t>
      </w:r>
      <w:r w:rsidRPr="00B20C0D">
        <w:rPr>
          <w:lang w:val="el-GR"/>
        </w:rPr>
        <w:t xml:space="preserve"> </w:t>
      </w:r>
      <w:r w:rsidRPr="00B20C0D">
        <w:t>In</w:t>
      </w:r>
      <w:r w:rsidRPr="00B20C0D">
        <w:rPr>
          <w:lang w:val="el-GR"/>
        </w:rPr>
        <w:t xml:space="preserve"> </w:t>
      </w:r>
      <w:r w:rsidRPr="00B20C0D">
        <w:t>Situ</w:t>
      </w:r>
      <w:r w:rsidRPr="00B20C0D">
        <w:rPr>
          <w:lang w:val="el-GR"/>
        </w:rPr>
        <w:t xml:space="preserve">), σημαντικά περισσότερες </w:t>
      </w:r>
      <w:r w:rsidRPr="00B20C0D">
        <w:t>CIS</w:t>
      </w:r>
      <w:r w:rsidRPr="00B20C0D">
        <w:rPr>
          <w:lang w:val="el-GR"/>
        </w:rPr>
        <w:t xml:space="preserve"> και </w:t>
      </w:r>
      <w:proofErr w:type="spellStart"/>
      <w:r w:rsidRPr="00B20C0D">
        <w:rPr>
          <w:lang w:val="el-GR"/>
        </w:rPr>
        <w:t>θηλωματώδεις</w:t>
      </w:r>
      <w:proofErr w:type="spellEnd"/>
      <w:r w:rsidRPr="00B20C0D">
        <w:rPr>
          <w:lang w:val="el-GR"/>
        </w:rPr>
        <w:t xml:space="preserve"> αλλοιώσεις ανακαλύφθηκαν μετά την κυστεοσκόπηση με μπλε φως σε σύγκριση με τον συνήθη λευκό φως. Το ποσοστό ανακάλυψης για </w:t>
      </w:r>
      <w:r w:rsidRPr="00B20C0D">
        <w:t>CIS</w:t>
      </w:r>
      <w:r w:rsidRPr="00B20C0D">
        <w:rPr>
          <w:lang w:val="el-GR"/>
        </w:rPr>
        <w:t xml:space="preserve"> με κυστεοσκόπηση λευκού φωτός ήταν 49.5% ενώ στην κυστεοσκόπηση με το μπλε φως 95.0% και το ποσοστό ανακάλυψης για </w:t>
      </w:r>
      <w:proofErr w:type="spellStart"/>
      <w:r w:rsidRPr="00B20C0D">
        <w:rPr>
          <w:lang w:val="el-GR"/>
        </w:rPr>
        <w:t>θηλωματώδεις</w:t>
      </w:r>
      <w:proofErr w:type="spellEnd"/>
      <w:r w:rsidRPr="00B20C0D">
        <w:rPr>
          <w:lang w:val="el-GR"/>
        </w:rPr>
        <w:t xml:space="preserve"> αλλοιώσεις κυμαίνεται μεταξύ 85.4% και 94.3% για το λευκό φως και μεταξύ 90.6% και 100 % για την κυστεοσκόπηση με το μπλε φως.</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Μια από τις παραπάνω μελέτες σχεδιάστηκε για να ερευνήσει την επίδραση της διαχείρισης του ασθενούς σύμφωνα με τις συστάσεις της Ευρωπαϊκής  Ουρολογικής Εταιρίας στην θεραπεία του επιφανειακού καρκίνου της κύστης.</w:t>
      </w:r>
      <w:r>
        <w:rPr>
          <w:lang w:val="el-GR"/>
        </w:rPr>
        <w:t xml:space="preserve"> </w:t>
      </w:r>
      <w:r w:rsidRPr="00B20C0D">
        <w:rPr>
          <w:lang w:val="el-GR"/>
        </w:rPr>
        <w:t>Στο 17% των ασθενών, τα ευρήματα μετά την κυστεοσκόπηση με μπλε φθορισ</w:t>
      </w:r>
      <w:r w:rsidRPr="00B20C0D">
        <w:rPr>
          <w:lang w:val="el-GR" w:eastAsia="zh-CN"/>
        </w:rPr>
        <w:t>μ</w:t>
      </w:r>
      <w:r w:rsidRPr="00B20C0D">
        <w:rPr>
          <w:lang w:val="el-GR"/>
        </w:rPr>
        <w:t xml:space="preserve">ό οδήγησαν σε πιο πλήρη θεραπεία και στο 5.5% των ασθενών σε λιγότερο πλήρη θεραπεία με την χρήση μόνο του μπλε φθορισμού στην κυστεοσκόπηση. Αιτία για πιο πλήρη θεραπεία αποτέλεσε η βελτιωμένη την ανίχνευση του όγκου σε σύγκριση με την κλασική κυστεοσκόπηση και συμπεριελάμβανε περισσότερες </w:t>
      </w:r>
      <w:proofErr w:type="spellStart"/>
      <w:r w:rsidRPr="00B20C0D">
        <w:t>pTa</w:t>
      </w:r>
      <w:proofErr w:type="spellEnd"/>
      <w:r w:rsidRPr="00B20C0D">
        <w:rPr>
          <w:lang w:val="el-GR"/>
        </w:rPr>
        <w:t xml:space="preserve"> αλλοιώσεις (20% των ασθενών), περισσότερες </w:t>
      </w:r>
      <w:r w:rsidRPr="00B20C0D">
        <w:t>CIS</w:t>
      </w:r>
      <w:r w:rsidRPr="00B20C0D">
        <w:rPr>
          <w:lang w:val="el-GR"/>
        </w:rPr>
        <w:t xml:space="preserve"> αλλοιώσεις (14%), και περσότερες </w:t>
      </w:r>
      <w:proofErr w:type="spellStart"/>
      <w:r w:rsidRPr="00B20C0D">
        <w:t>pT</w:t>
      </w:r>
      <w:proofErr w:type="spellEnd"/>
      <w:r w:rsidRPr="00B20C0D">
        <w:rPr>
          <w:lang w:val="el-GR"/>
        </w:rPr>
        <w:t xml:space="preserve">1 αλλοιώσεις (11% ) οι οποίες ανιχνεύθηκαν μόνον στην κυστεοσκόπηση με </w:t>
      </w:r>
      <w:proofErr w:type="spellStart"/>
      <w:r w:rsidRPr="00B20C0D">
        <w:t>Hexvix</w:t>
      </w:r>
      <w:proofErr w:type="spellEnd"/>
      <w:r w:rsidRPr="00B20C0D">
        <w:rPr>
          <w:lang w:val="el-GR"/>
        </w:rPr>
        <w:t>.</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Μία τυχαιοποιημένη συγκριτική μελέτη ως προς το λευκό φως διεξήχθη σε ασθενείς με </w:t>
      </w:r>
      <w:proofErr w:type="spellStart"/>
      <w:r w:rsidRPr="00B20C0D">
        <w:rPr>
          <w:lang w:val="el-GR"/>
        </w:rPr>
        <w:t>θηλώδεις</w:t>
      </w:r>
      <w:proofErr w:type="spellEnd"/>
      <w:r w:rsidRPr="00B20C0D">
        <w:rPr>
          <w:lang w:val="el-GR"/>
        </w:rPr>
        <w:t xml:space="preserve"> όγκους και αυξημένο κίνδυνο υποτροπής. Μία σύγκριση μεταξύ των ασθενών έδειξε ότι το 16,4% (47/286) των ασθενών με αλλοιώσεις pTa/pT1 είχαν επιπρόσθετες τέτοιες αλλοιώσεις οι οποίες ανιχνεύθηκαν μόνο με κυστεοσκόπηση μπλε φωτός με </w:t>
      </w:r>
      <w:proofErr w:type="spellStart"/>
      <w:r w:rsidRPr="00B20C0D">
        <w:rPr>
          <w:lang w:val="el-GR"/>
        </w:rPr>
        <w:t>Hexvix</w:t>
      </w:r>
      <w:proofErr w:type="spellEnd"/>
      <w:r w:rsidRPr="00B20C0D">
        <w:rPr>
          <w:lang w:val="el-GR"/>
        </w:rPr>
        <w:t xml:space="preserve">. Οι ασθενείς με αλλοιώσεις pTa/pT1 παρακολουθήθηκαν για 9 μήνες μετά την κυστεοσκόπηση και το ποσοστό των ασθενών με υποτροπή ήταν χαμηλότερο στην ομάδα </w:t>
      </w:r>
      <w:proofErr w:type="spellStart"/>
      <w:r w:rsidRPr="00B20C0D">
        <w:rPr>
          <w:lang w:val="el-GR"/>
        </w:rPr>
        <w:t>Hexvix</w:t>
      </w:r>
      <w:proofErr w:type="spellEnd"/>
      <w:r w:rsidRPr="00B20C0D">
        <w:rPr>
          <w:lang w:val="el-GR"/>
        </w:rPr>
        <w:t xml:space="preserve"> (47%, 128/271) από </w:t>
      </w:r>
      <w:proofErr w:type="spellStart"/>
      <w:r w:rsidRPr="00B20C0D">
        <w:rPr>
          <w:lang w:val="el-GR"/>
        </w:rPr>
        <w:t>ό,τι</w:t>
      </w:r>
      <w:proofErr w:type="spellEnd"/>
      <w:r w:rsidRPr="00B20C0D">
        <w:rPr>
          <w:lang w:val="el-GR"/>
        </w:rPr>
        <w:t xml:space="preserve"> στην ομάδα κυστεοσκόπησης μόνο λευκού φωτός (56,1%, 157/280) στον πληθυσμό ΙΤΤ, όπου όλοι οι ασθενείς με ελλιπή στοιχεία θεωρήθηκε ότι είχαν υποτροπή.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Ο αριθμός των ασθενών με ελλιπή στοιχεία στη μελέτη ήταν πολύ υψηλός (56/128 και 59/157, στις ομάδες </w:t>
      </w:r>
      <w:proofErr w:type="spellStart"/>
      <w:r w:rsidRPr="00B20C0D">
        <w:rPr>
          <w:lang w:val="el-GR"/>
        </w:rPr>
        <w:t>Hexvix</w:t>
      </w:r>
      <w:proofErr w:type="spellEnd"/>
      <w:r w:rsidRPr="00B20C0D">
        <w:rPr>
          <w:lang w:val="el-GR"/>
        </w:rPr>
        <w:t xml:space="preserve"> και ελέγχου αντιστοίχως) ώστε η διαφορά να θεωρηθεί στατιστικώς σημαντική (</w:t>
      </w:r>
      <w:r w:rsidRPr="00B20C0D">
        <w:t>p</w:t>
      </w:r>
      <w:r w:rsidRPr="00B20C0D">
        <w:rPr>
          <w:lang w:val="el-GR"/>
        </w:rPr>
        <w:t xml:space="preserve"> = 0,03 - 0,06 ανάλογα με τους τρόπους χειρισμού των ελλιπών στοιχείων).</w:t>
      </w:r>
    </w:p>
    <w:p w:rsidR="00582906" w:rsidRPr="00582906"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Περαιτέρω πληροφορίες παρακολούθησης λήφθηκαν για το 86% των συμμετεχόντων. Η διάμεση παρακολούθηση στις ομάδες λευκού φωτός και </w:t>
      </w:r>
      <w:proofErr w:type="spellStart"/>
      <w:r w:rsidRPr="00B20C0D">
        <w:rPr>
          <w:lang w:val="el-GR"/>
        </w:rPr>
        <w:t>Hexvix</w:t>
      </w:r>
      <w:proofErr w:type="spellEnd"/>
      <w:r w:rsidRPr="00B20C0D">
        <w:rPr>
          <w:lang w:val="el-GR"/>
        </w:rPr>
        <w:t xml:space="preserve"> ήταν 53 και 55 μήνες αντίστοιχα. Οι ασθενείς στην ομάδα </w:t>
      </w:r>
      <w:proofErr w:type="spellStart"/>
      <w:r w:rsidRPr="00B20C0D">
        <w:rPr>
          <w:lang w:val="el-GR"/>
        </w:rPr>
        <w:t>Hexvix</w:t>
      </w:r>
      <w:proofErr w:type="spellEnd"/>
      <w:r w:rsidRPr="00B20C0D">
        <w:rPr>
          <w:lang w:val="el-GR"/>
        </w:rPr>
        <w:t xml:space="preserve"> είχαν ένα μεγαλύτερο διάμεσο</w:t>
      </w:r>
      <w:r>
        <w:rPr>
          <w:lang w:val="el-GR"/>
        </w:rPr>
        <w:t xml:space="preserve"> </w:t>
      </w:r>
      <w:r w:rsidRPr="00B20C0D">
        <w:rPr>
          <w:lang w:val="el-GR"/>
        </w:rPr>
        <w:t xml:space="preserve">διάστημα 7 μηνών ως την υποτροπή (16 μήνες στην ομάδα </w:t>
      </w:r>
      <w:proofErr w:type="spellStart"/>
      <w:r w:rsidRPr="00B20C0D">
        <w:rPr>
          <w:lang w:val="el-GR"/>
        </w:rPr>
        <w:t>Hexvix</w:t>
      </w:r>
      <w:proofErr w:type="spellEnd"/>
      <w:r w:rsidRPr="00B20C0D">
        <w:rPr>
          <w:lang w:val="el-GR"/>
        </w:rPr>
        <w:t xml:space="preserve"> έναντι 9 μήνες στην ομάδα του λευκού φωτός, </w:t>
      </w:r>
      <w:r w:rsidRPr="00B20C0D">
        <w:t>p</w:t>
      </w:r>
      <w:r w:rsidRPr="00B20C0D">
        <w:rPr>
          <w:lang w:val="el-GR"/>
        </w:rPr>
        <w:t>=0.04-0.06 ανάλογα με το χειρισμό των ελλιπών στοιχείων και των θανάτων).</w:t>
      </w:r>
    </w:p>
    <w:p w:rsidR="00582906" w:rsidRPr="00B20C0D" w:rsidRDefault="00582906" w:rsidP="00582906">
      <w:pPr>
        <w:ind w:left="11"/>
        <w:jc w:val="both"/>
        <w:rPr>
          <w:rFonts w:eastAsia="Times New Roman"/>
          <w:lang w:val="el-GR"/>
        </w:rPr>
      </w:pPr>
    </w:p>
    <w:p w:rsidR="00582906" w:rsidRPr="00B20C0D" w:rsidRDefault="00582906" w:rsidP="00582906">
      <w:pPr>
        <w:ind w:left="720"/>
        <w:jc w:val="both"/>
        <w:rPr>
          <w:lang w:val="el-GR"/>
        </w:rPr>
      </w:pPr>
      <w:r w:rsidRPr="00B20C0D">
        <w:rPr>
          <w:lang w:val="el-GR"/>
        </w:rPr>
        <w:t xml:space="preserve">Το συνολικό ποσοστό ανίχνευσης ψευδώς θετικών αλλοιώσεων αυξήθηκε μετά την κυστεοσκόπηση με μπλε φως, 17,3% για την κυστεοσκόπηση με λευκό φως και 21,9% για την κυστεοσκόπηση με το μπλε φως. </w:t>
      </w:r>
    </w:p>
    <w:p w:rsidR="00582906" w:rsidRPr="00B20C0D" w:rsidRDefault="00582906" w:rsidP="00582906">
      <w:pPr>
        <w:ind w:left="720"/>
        <w:jc w:val="both"/>
        <w:rPr>
          <w:lang w:val="el-GR"/>
        </w:rPr>
      </w:pPr>
    </w:p>
    <w:p w:rsidR="00582906" w:rsidRPr="00B20C0D" w:rsidRDefault="00582906" w:rsidP="00582906">
      <w:pPr>
        <w:ind w:left="720"/>
        <w:jc w:val="both"/>
        <w:rPr>
          <w:i/>
          <w:lang w:val="el-GR"/>
        </w:rPr>
      </w:pPr>
      <w:r w:rsidRPr="00B20C0D">
        <w:rPr>
          <w:u w:val="single"/>
          <w:lang w:val="el-GR"/>
        </w:rPr>
        <w:t>Μηχανισμός Δράσης:</w:t>
      </w:r>
    </w:p>
    <w:p w:rsidR="00582906" w:rsidRPr="00B20C0D" w:rsidRDefault="00582906" w:rsidP="00582906">
      <w:pPr>
        <w:ind w:left="720"/>
        <w:jc w:val="both"/>
        <w:rPr>
          <w:lang w:val="el-GR"/>
        </w:rPr>
      </w:pPr>
      <w:r w:rsidRPr="00B20C0D">
        <w:rPr>
          <w:lang w:val="el-GR"/>
        </w:rPr>
        <w:t xml:space="preserve">Μετά την </w:t>
      </w:r>
      <w:proofErr w:type="spellStart"/>
      <w:r w:rsidRPr="00B20C0D">
        <w:rPr>
          <w:lang w:val="el-GR"/>
        </w:rPr>
        <w:t>ενδοκυστική</w:t>
      </w:r>
      <w:proofErr w:type="spellEnd"/>
      <w:r w:rsidRPr="00B20C0D">
        <w:rPr>
          <w:lang w:val="el-GR"/>
        </w:rPr>
        <w:t xml:space="preserve"> έγχυση τ</w:t>
      </w:r>
      <w:r>
        <w:rPr>
          <w:lang w:val="el-GR"/>
        </w:rPr>
        <w:t>ου</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 οι </w:t>
      </w:r>
      <w:proofErr w:type="spellStart"/>
      <w:r w:rsidRPr="00B20C0D">
        <w:rPr>
          <w:lang w:val="el-GR"/>
        </w:rPr>
        <w:t>πορφυρίνες</w:t>
      </w:r>
      <w:proofErr w:type="spellEnd"/>
      <w:r w:rsidRPr="00B20C0D">
        <w:rPr>
          <w:lang w:val="el-GR"/>
        </w:rPr>
        <w:t xml:space="preserve"> συγκεντρώνονται ενδοκυτταρικά στις βλάβες που υπάρχουν στα τοιχώματα της ουροδόχου κύστης. Οι ενδοκυττάριες </w:t>
      </w:r>
      <w:proofErr w:type="spellStart"/>
      <w:r w:rsidRPr="00B20C0D">
        <w:rPr>
          <w:lang w:val="el-GR"/>
        </w:rPr>
        <w:t>πορφυρίνες</w:t>
      </w:r>
      <w:proofErr w:type="spellEnd"/>
      <w:r w:rsidRPr="00B20C0D">
        <w:rPr>
          <w:lang w:val="el-GR"/>
        </w:rPr>
        <w:t xml:space="preserve"> (συμπεριλαμβανομένης της </w:t>
      </w:r>
      <w:proofErr w:type="spellStart"/>
      <w:r w:rsidRPr="00B20C0D">
        <w:rPr>
          <w:lang w:val="el-GR"/>
        </w:rPr>
        <w:t>PpIX</w:t>
      </w:r>
      <w:proofErr w:type="spellEnd"/>
      <w:r w:rsidRPr="00B20C0D">
        <w:rPr>
          <w:lang w:val="el-GR"/>
        </w:rPr>
        <w:t xml:space="preserve">) είναι </w:t>
      </w:r>
      <w:proofErr w:type="spellStart"/>
      <w:r w:rsidRPr="00B20C0D">
        <w:rPr>
          <w:lang w:val="el-GR"/>
        </w:rPr>
        <w:t>φωτοδραστικές</w:t>
      </w:r>
      <w:proofErr w:type="spellEnd"/>
      <w:r w:rsidRPr="00B20C0D">
        <w:rPr>
          <w:lang w:val="el-GR"/>
        </w:rPr>
        <w:t xml:space="preserve">, φθορίζουσες ουσίες που εκπέμπουν ερυθρό φως υπό διέγερση με ακτινοβολία μπλε φθορισμού. Συνεπώς, οι </w:t>
      </w:r>
      <w:proofErr w:type="spellStart"/>
      <w:r w:rsidRPr="00B20C0D">
        <w:rPr>
          <w:lang w:val="el-GR"/>
        </w:rPr>
        <w:t>προκαρκινικές</w:t>
      </w:r>
      <w:proofErr w:type="spellEnd"/>
      <w:r w:rsidRPr="00B20C0D">
        <w:rPr>
          <w:lang w:val="el-GR"/>
        </w:rPr>
        <w:t xml:space="preserve"> και οι καρκινικές βλάβες θα ακτινοβολούν ερυθρά σε μπλε υπόβαθρο. Ψευδής φθορισμός μπορεί να παρατηρηθεί σε φλεγμονή.  </w:t>
      </w:r>
    </w:p>
    <w:p w:rsidR="00582906" w:rsidRPr="00582906" w:rsidRDefault="00582906" w:rsidP="00582906">
      <w:pPr>
        <w:jc w:val="both"/>
        <w:rPr>
          <w:lang w:val="el-GR"/>
        </w:rPr>
      </w:pPr>
    </w:p>
    <w:p w:rsidR="00582906" w:rsidRPr="00B20C0D" w:rsidRDefault="00582906" w:rsidP="00582906">
      <w:pPr>
        <w:ind w:left="720" w:hanging="720"/>
        <w:jc w:val="both"/>
        <w:rPr>
          <w:b/>
          <w:lang w:val="el-GR"/>
        </w:rPr>
      </w:pPr>
      <w:r w:rsidRPr="00B20C0D">
        <w:rPr>
          <w:b/>
          <w:lang w:val="el-GR"/>
        </w:rPr>
        <w:t>5.2</w:t>
      </w:r>
      <w:r w:rsidRPr="00B20C0D">
        <w:rPr>
          <w:b/>
          <w:lang w:val="el-GR"/>
        </w:rPr>
        <w:tab/>
      </w:r>
      <w:proofErr w:type="spellStart"/>
      <w:r w:rsidRPr="00B20C0D">
        <w:rPr>
          <w:b/>
          <w:lang w:val="el-GR"/>
        </w:rPr>
        <w:t>Φαρμακοκινητικές</w:t>
      </w:r>
      <w:proofErr w:type="spellEnd"/>
      <w:r w:rsidRPr="00B20C0D">
        <w:rPr>
          <w:b/>
          <w:lang w:val="el-GR"/>
        </w:rPr>
        <w:t xml:space="preserve"> ιδιότητες</w:t>
      </w:r>
    </w:p>
    <w:p w:rsidR="00582906" w:rsidRPr="00B20C0D" w:rsidRDefault="00582906" w:rsidP="00582906">
      <w:pPr>
        <w:jc w:val="both"/>
        <w:rPr>
          <w:lang w:val="el-GR"/>
        </w:rPr>
      </w:pPr>
    </w:p>
    <w:p w:rsidR="00582906" w:rsidRPr="00B20C0D" w:rsidRDefault="00582906" w:rsidP="00582906">
      <w:pPr>
        <w:ind w:left="709"/>
        <w:jc w:val="both"/>
        <w:rPr>
          <w:lang w:val="el-GR"/>
        </w:rPr>
      </w:pPr>
      <w:r w:rsidRPr="00B20C0D">
        <w:rPr>
          <w:i/>
          <w:lang w:val="el-GR"/>
        </w:rPr>
        <w:tab/>
      </w:r>
      <w:proofErr w:type="spellStart"/>
      <w:r w:rsidRPr="00B20C0D">
        <w:rPr>
          <w:i/>
          <w:lang w:val="el-GR"/>
        </w:rPr>
        <w:t>In</w:t>
      </w:r>
      <w:proofErr w:type="spellEnd"/>
      <w:r w:rsidRPr="00B20C0D">
        <w:rPr>
          <w:i/>
          <w:lang w:val="el-GR"/>
        </w:rPr>
        <w:t xml:space="preserve"> </w:t>
      </w:r>
      <w:proofErr w:type="spellStart"/>
      <w:r w:rsidRPr="00B20C0D">
        <w:rPr>
          <w:i/>
          <w:lang w:val="el-GR"/>
        </w:rPr>
        <w:t>viv</w:t>
      </w:r>
      <w:r w:rsidRPr="00B20C0D">
        <w:rPr>
          <w:lang w:val="el-GR"/>
        </w:rPr>
        <w:t>o</w:t>
      </w:r>
      <w:proofErr w:type="spellEnd"/>
      <w:r w:rsidRPr="00B20C0D">
        <w:rPr>
          <w:lang w:val="el-GR"/>
        </w:rPr>
        <w:t xml:space="preserve"> μελέτες </w:t>
      </w:r>
      <w:proofErr w:type="spellStart"/>
      <w:r w:rsidRPr="00B20C0D">
        <w:rPr>
          <w:lang w:val="el-GR"/>
        </w:rPr>
        <w:t>αυτοραδιογραφίας</w:t>
      </w:r>
      <w:proofErr w:type="spellEnd"/>
      <w:r w:rsidRPr="00B20C0D">
        <w:rPr>
          <w:lang w:val="el-GR"/>
        </w:rPr>
        <w:t xml:space="preserve"> σε αρουραίους μετά από </w:t>
      </w:r>
      <w:proofErr w:type="spellStart"/>
      <w:r w:rsidRPr="00B20C0D">
        <w:rPr>
          <w:lang w:val="el-GR"/>
        </w:rPr>
        <w:t>ενδοκυστική</w:t>
      </w:r>
      <w:proofErr w:type="spellEnd"/>
      <w:r w:rsidRPr="00B20C0D">
        <w:rPr>
          <w:lang w:val="el-GR"/>
        </w:rPr>
        <w:t xml:space="preserve"> χορήγηση έδειξαν υψηλές συγκεντρώσεις </w:t>
      </w:r>
      <w:proofErr w:type="spellStart"/>
      <w:r w:rsidRPr="00B20C0D">
        <w:rPr>
          <w:lang w:val="el-GR"/>
        </w:rPr>
        <w:t>εξαμινο</w:t>
      </w:r>
      <w:proofErr w:type="spellEnd"/>
      <w:r w:rsidRPr="00B20C0D">
        <w:rPr>
          <w:lang w:val="el-GR"/>
        </w:rPr>
        <w:t>-</w:t>
      </w:r>
      <w:proofErr w:type="spellStart"/>
      <w:r w:rsidRPr="00B20C0D">
        <w:rPr>
          <w:lang w:val="el-GR"/>
        </w:rPr>
        <w:t>λεβουλινικού</w:t>
      </w:r>
      <w:proofErr w:type="spellEnd"/>
      <w:r w:rsidRPr="00B20C0D">
        <w:rPr>
          <w:lang w:val="el-GR"/>
        </w:rPr>
        <w:t xml:space="preserve"> οξέος στο τοίχωμα της ουροδόχου κύστης.  </w:t>
      </w:r>
    </w:p>
    <w:p w:rsidR="00582906" w:rsidRPr="00B20C0D" w:rsidRDefault="00582906" w:rsidP="00582906">
      <w:pPr>
        <w:ind w:left="709"/>
        <w:jc w:val="both"/>
        <w:rPr>
          <w:lang w:val="el-GR"/>
        </w:rPr>
      </w:pPr>
    </w:p>
    <w:p w:rsidR="00582906" w:rsidRPr="00B20C0D" w:rsidRDefault="00582906" w:rsidP="00582906">
      <w:pPr>
        <w:pStyle w:val="3"/>
        <w:jc w:val="both"/>
        <w:rPr>
          <w:szCs w:val="24"/>
          <w:lang w:val="el-GR"/>
        </w:rPr>
      </w:pPr>
      <w:r w:rsidRPr="00B20C0D">
        <w:rPr>
          <w:szCs w:val="24"/>
          <w:lang w:val="el-GR"/>
        </w:rPr>
        <w:t xml:space="preserve">Μετά από </w:t>
      </w:r>
      <w:proofErr w:type="spellStart"/>
      <w:r w:rsidRPr="00B20C0D">
        <w:rPr>
          <w:szCs w:val="24"/>
          <w:lang w:val="el-GR"/>
        </w:rPr>
        <w:t>ενδοκυστική</w:t>
      </w:r>
      <w:proofErr w:type="spellEnd"/>
      <w:r w:rsidRPr="00B20C0D">
        <w:rPr>
          <w:szCs w:val="24"/>
          <w:lang w:val="el-GR"/>
        </w:rPr>
        <w:t xml:space="preserve"> έγχυση </w:t>
      </w:r>
      <w:proofErr w:type="spellStart"/>
      <w:r w:rsidRPr="00B20C0D">
        <w:rPr>
          <w:szCs w:val="24"/>
          <w:lang w:val="el-GR"/>
        </w:rPr>
        <w:t>ραδιοσεσημασμένης</w:t>
      </w:r>
      <w:proofErr w:type="spellEnd"/>
      <w:r w:rsidRPr="00B20C0D">
        <w:rPr>
          <w:szCs w:val="24"/>
          <w:lang w:val="el-GR"/>
        </w:rPr>
        <w:t xml:space="preserve"> </w:t>
      </w:r>
      <w:proofErr w:type="spellStart"/>
      <w:r w:rsidRPr="00B20C0D">
        <w:rPr>
          <w:szCs w:val="24"/>
          <w:lang w:val="el-GR"/>
        </w:rPr>
        <w:t>εξαμινο</w:t>
      </w:r>
      <w:proofErr w:type="spellEnd"/>
      <w:r w:rsidRPr="00B20C0D">
        <w:rPr>
          <w:szCs w:val="24"/>
          <w:lang w:val="el-GR"/>
        </w:rPr>
        <w:t>-</w:t>
      </w:r>
      <w:proofErr w:type="spellStart"/>
      <w:r w:rsidRPr="00B20C0D">
        <w:rPr>
          <w:szCs w:val="24"/>
          <w:lang w:val="el-GR"/>
        </w:rPr>
        <w:t>λεβουλινικού</w:t>
      </w:r>
      <w:proofErr w:type="spellEnd"/>
      <w:r w:rsidRPr="00B20C0D">
        <w:rPr>
          <w:szCs w:val="24"/>
          <w:lang w:val="el-GR"/>
        </w:rPr>
        <w:t xml:space="preserve"> οξέος  σε υγιείς εθελοντές, η συστηματική βιοδιαθεσιμότητα της συνολικής ραδιενέργειας ήταν περίπου 5-10%.</w:t>
      </w:r>
    </w:p>
    <w:p w:rsidR="00582906" w:rsidRPr="00B20C0D" w:rsidRDefault="00582906" w:rsidP="00582906">
      <w:pPr>
        <w:ind w:left="720" w:hanging="720"/>
        <w:jc w:val="both"/>
        <w:rPr>
          <w:b/>
          <w:lang w:val="el-GR"/>
        </w:rPr>
      </w:pPr>
    </w:p>
    <w:p w:rsidR="00582906" w:rsidRPr="00B20C0D" w:rsidRDefault="00582906" w:rsidP="00582906">
      <w:pPr>
        <w:ind w:left="720" w:hanging="720"/>
        <w:jc w:val="both"/>
        <w:rPr>
          <w:b/>
          <w:lang w:val="el-GR"/>
        </w:rPr>
      </w:pPr>
      <w:r w:rsidRPr="00B20C0D">
        <w:rPr>
          <w:b/>
          <w:lang w:val="el-GR"/>
        </w:rPr>
        <w:t>5.3</w:t>
      </w:r>
      <w:r w:rsidRPr="00B20C0D">
        <w:rPr>
          <w:b/>
          <w:lang w:val="el-GR"/>
        </w:rPr>
        <w:tab/>
      </w:r>
      <w:proofErr w:type="spellStart"/>
      <w:r w:rsidRPr="00B20C0D">
        <w:rPr>
          <w:b/>
          <w:lang w:val="el-GR"/>
        </w:rPr>
        <w:t>Προκλινικά</w:t>
      </w:r>
      <w:proofErr w:type="spellEnd"/>
      <w:r w:rsidRPr="00B20C0D">
        <w:rPr>
          <w:b/>
          <w:lang w:val="el-GR"/>
        </w:rPr>
        <w:t xml:space="preserve"> δεδομένα για την ασφάλεια</w:t>
      </w:r>
    </w:p>
    <w:p w:rsidR="00582906" w:rsidRPr="00B20C0D" w:rsidRDefault="00582906" w:rsidP="00582906">
      <w:pPr>
        <w:pStyle w:val="NormalText"/>
        <w:jc w:val="both"/>
        <w:rPr>
          <w:szCs w:val="24"/>
          <w:lang w:val="el-GR"/>
        </w:rPr>
      </w:pPr>
    </w:p>
    <w:p w:rsidR="00582906" w:rsidRPr="00B20C0D" w:rsidRDefault="00582906" w:rsidP="00582906">
      <w:pPr>
        <w:pStyle w:val="NormalText"/>
        <w:ind w:left="720"/>
        <w:jc w:val="both"/>
        <w:rPr>
          <w:szCs w:val="24"/>
          <w:lang w:val="el-GR"/>
        </w:rPr>
      </w:pPr>
      <w:r w:rsidRPr="00B20C0D">
        <w:rPr>
          <w:szCs w:val="24"/>
          <w:lang w:val="el-GR"/>
        </w:rPr>
        <w:t xml:space="preserve">Μελέτες σε αρουραίους και σκύλους δεν έδειξαν κίνδυνο για συστηματική τοξικότητα. </w:t>
      </w:r>
    </w:p>
    <w:p w:rsidR="00582906" w:rsidRPr="00B20C0D" w:rsidRDefault="00582906" w:rsidP="00582906">
      <w:pPr>
        <w:jc w:val="both"/>
        <w:rPr>
          <w:strike/>
          <w:lang w:val="el-GR"/>
        </w:rPr>
      </w:pPr>
    </w:p>
    <w:p w:rsidR="00582906" w:rsidRPr="00B20C0D" w:rsidRDefault="00582906" w:rsidP="00582906">
      <w:pPr>
        <w:ind w:left="720"/>
        <w:jc w:val="both"/>
        <w:rPr>
          <w:lang w:val="el-GR"/>
        </w:rPr>
      </w:pPr>
      <w:r w:rsidRPr="00B20C0D">
        <w:rPr>
          <w:lang w:val="el-GR"/>
        </w:rPr>
        <w:t xml:space="preserve">Σε αρουραίους και σκυλιά πραγματοποιήθηκαν μελέτες </w:t>
      </w:r>
      <w:proofErr w:type="spellStart"/>
      <w:r w:rsidRPr="00B20C0D">
        <w:rPr>
          <w:lang w:val="el-GR"/>
        </w:rPr>
        <w:t>ενδοκυστικής</w:t>
      </w:r>
      <w:proofErr w:type="spellEnd"/>
      <w:r w:rsidRPr="00B20C0D">
        <w:rPr>
          <w:lang w:val="el-GR"/>
        </w:rPr>
        <w:t xml:space="preserve"> ανεκτικότητας διάρκειας επτά ημερών χωρίς έκθεση σε φως. Η μελέτη σε </w:t>
      </w:r>
      <w:r w:rsidRPr="00B20C0D">
        <w:rPr>
          <w:lang w:val="el-GR"/>
        </w:rPr>
        <w:tab/>
        <w:t>αρουραίους</w:t>
      </w:r>
      <w:r>
        <w:rPr>
          <w:lang w:val="el-GR"/>
        </w:rPr>
        <w:t xml:space="preserve"> </w:t>
      </w:r>
      <w:r w:rsidRPr="00B20C0D">
        <w:rPr>
          <w:lang w:val="el-GR"/>
        </w:rPr>
        <w:t>έδειξε</w:t>
      </w:r>
      <w:r>
        <w:rPr>
          <w:lang w:val="el-GR"/>
        </w:rPr>
        <w:t xml:space="preserve"> </w:t>
      </w:r>
      <w:r w:rsidRPr="00B20C0D">
        <w:rPr>
          <w:lang w:val="el-GR"/>
        </w:rPr>
        <w:t xml:space="preserve">περιπτώσεις </w:t>
      </w:r>
      <w:proofErr w:type="spellStart"/>
      <w:r w:rsidRPr="00B20C0D">
        <w:rPr>
          <w:lang w:val="el-GR"/>
        </w:rPr>
        <w:t>λευκοκυττάρωσης</w:t>
      </w:r>
      <w:proofErr w:type="spellEnd"/>
      <w:r w:rsidRPr="00B20C0D">
        <w:rPr>
          <w:lang w:val="el-GR"/>
        </w:rPr>
        <w:t xml:space="preserve"> που υποδήλωνε μια προ-φλεγμονώδη δράση </w:t>
      </w:r>
      <w:r>
        <w:rPr>
          <w:lang w:val="el-GR"/>
        </w:rPr>
        <w:t>του</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ού</w:t>
      </w:r>
      <w:proofErr w:type="spellEnd"/>
      <w:r w:rsidRPr="00B20C0D">
        <w:rPr>
          <w:lang w:val="el-GR"/>
        </w:rPr>
        <w:t xml:space="preserve"> οξ</w:t>
      </w:r>
      <w:r>
        <w:rPr>
          <w:lang w:val="el-GR"/>
        </w:rPr>
        <w:t>έος.</w:t>
      </w:r>
      <w:r w:rsidRPr="00B20C0D">
        <w:rPr>
          <w:lang w:val="el-GR"/>
        </w:rPr>
        <w:t xml:space="preserve"> Παρατηρήθηκαν </w:t>
      </w:r>
      <w:r>
        <w:rPr>
          <w:lang w:val="el-GR"/>
        </w:rPr>
        <w:t xml:space="preserve">επίσης </w:t>
      </w:r>
      <w:r w:rsidRPr="00B20C0D">
        <w:rPr>
          <w:lang w:val="el-GR"/>
        </w:rPr>
        <w:t xml:space="preserve">περιπτώσεις </w:t>
      </w:r>
      <w:proofErr w:type="spellStart"/>
      <w:r w:rsidRPr="00B20C0D">
        <w:rPr>
          <w:lang w:val="el-GR"/>
        </w:rPr>
        <w:t>αζωθαιμίας</w:t>
      </w:r>
      <w:proofErr w:type="spellEnd"/>
      <w:r w:rsidRPr="00B20C0D">
        <w:rPr>
          <w:lang w:val="el-GR"/>
        </w:rPr>
        <w:t xml:space="preserve"> ερυθράς χρώσεως των ούρων και απώλειας βάρους. Σκύλοι στους οποίους χορηγήθηκε </w:t>
      </w:r>
      <w:r>
        <w:rPr>
          <w:lang w:val="el-GR"/>
        </w:rPr>
        <w:t>το</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ό</w:t>
      </w:r>
      <w:proofErr w:type="spellEnd"/>
      <w:r w:rsidRPr="00B20C0D">
        <w:rPr>
          <w:lang w:val="el-GR"/>
        </w:rPr>
        <w:t xml:space="preserve"> οξ</w:t>
      </w:r>
      <w:r>
        <w:rPr>
          <w:lang w:val="el-GR"/>
        </w:rPr>
        <w:t>ύ</w:t>
      </w:r>
      <w:r w:rsidRPr="00B20C0D">
        <w:rPr>
          <w:lang w:val="el-GR"/>
        </w:rPr>
        <w:t xml:space="preserve"> παρουσίασαν μια οριακή</w:t>
      </w:r>
      <w:r>
        <w:rPr>
          <w:lang w:val="el-GR"/>
        </w:rPr>
        <w:t xml:space="preserve"> </w:t>
      </w:r>
      <w:r w:rsidRPr="00B20C0D">
        <w:rPr>
          <w:lang w:val="el-GR"/>
        </w:rPr>
        <w:t>αύξηση της συχνότητας και της σοβαρότητας παροδικής κυτταρικής υπερπλασίας</w:t>
      </w:r>
      <w:r>
        <w:rPr>
          <w:lang w:val="el-GR"/>
        </w:rPr>
        <w:t xml:space="preserve"> </w:t>
      </w:r>
      <w:r w:rsidRPr="00B20C0D">
        <w:rPr>
          <w:lang w:val="el-GR"/>
        </w:rPr>
        <w:t xml:space="preserve">και </w:t>
      </w:r>
      <w:proofErr w:type="spellStart"/>
      <w:r w:rsidRPr="00B20C0D">
        <w:rPr>
          <w:lang w:val="el-GR"/>
        </w:rPr>
        <w:t>βασεοφιλίας</w:t>
      </w:r>
      <w:proofErr w:type="spellEnd"/>
      <w:r w:rsidRPr="00B20C0D">
        <w:rPr>
          <w:lang w:val="el-GR"/>
        </w:rPr>
        <w:t xml:space="preserve"> του επιθηλίου της ουροδόχου κύστης. </w:t>
      </w:r>
    </w:p>
    <w:p w:rsidR="00582906" w:rsidRPr="00B20C0D" w:rsidRDefault="00582906" w:rsidP="00582906">
      <w:pPr>
        <w:ind w:left="720"/>
        <w:jc w:val="both"/>
        <w:rPr>
          <w:strike/>
          <w:lang w:val="el-GR"/>
        </w:rPr>
      </w:pPr>
    </w:p>
    <w:p w:rsidR="00582906" w:rsidRPr="00B20C0D" w:rsidRDefault="00582906" w:rsidP="00582906">
      <w:pPr>
        <w:ind w:left="720"/>
        <w:jc w:val="both"/>
        <w:rPr>
          <w:lang w:val="el-GR"/>
        </w:rPr>
      </w:pPr>
      <w:r w:rsidRPr="00B20C0D">
        <w:rPr>
          <w:lang w:val="el-GR"/>
        </w:rPr>
        <w:t xml:space="preserve">Η τοπική δοκιμασία λεμφαδένων σε ποντίκια έδειξε ότι το </w:t>
      </w:r>
      <w:proofErr w:type="spellStart"/>
      <w:r>
        <w:rPr>
          <w:lang w:val="el-GR"/>
        </w:rPr>
        <w:t>εξαμινο</w:t>
      </w:r>
      <w:proofErr w:type="spellEnd"/>
      <w:r>
        <w:rPr>
          <w:lang w:val="el-GR"/>
        </w:rPr>
        <w:t>-</w:t>
      </w:r>
      <w:proofErr w:type="spellStart"/>
      <w:r>
        <w:rPr>
          <w:lang w:val="el-GR"/>
        </w:rPr>
        <w:t>λεβουλινικό</w:t>
      </w:r>
      <w:proofErr w:type="spellEnd"/>
      <w:r>
        <w:rPr>
          <w:lang w:val="el-GR"/>
        </w:rPr>
        <w:t xml:space="preserve"> οξύ </w:t>
      </w:r>
      <w:r w:rsidRPr="00B20C0D">
        <w:rPr>
          <w:lang w:val="el-GR"/>
        </w:rPr>
        <w:t>μπορεί να προκαλέσει ευαισθητοποίηση του δέρματος.</w:t>
      </w:r>
    </w:p>
    <w:p w:rsidR="00582906" w:rsidRPr="00B20C0D" w:rsidRDefault="00582906" w:rsidP="00582906">
      <w:pPr>
        <w:jc w:val="both"/>
        <w:rPr>
          <w:lang w:val="el-GR"/>
        </w:rPr>
      </w:pPr>
    </w:p>
    <w:p w:rsidR="00582906" w:rsidRPr="00B20C0D" w:rsidRDefault="00582906" w:rsidP="00582906">
      <w:pPr>
        <w:ind w:left="720"/>
        <w:jc w:val="both"/>
        <w:rPr>
          <w:lang w:val="el-GR"/>
        </w:rPr>
      </w:pPr>
      <w:r w:rsidRPr="00B20C0D">
        <w:rPr>
          <w:lang w:val="el-GR"/>
        </w:rPr>
        <w:t xml:space="preserve">Η πιθανότητα για </w:t>
      </w:r>
      <w:proofErr w:type="spellStart"/>
      <w:r w:rsidRPr="00B20C0D">
        <w:rPr>
          <w:lang w:val="el-GR"/>
        </w:rPr>
        <w:t>γονοτοξικότητα</w:t>
      </w:r>
      <w:proofErr w:type="spellEnd"/>
      <w:r w:rsidRPr="00B20C0D">
        <w:rPr>
          <w:lang w:val="el-GR"/>
        </w:rPr>
        <w:t xml:space="preserve"> διερευνήθηκε </w:t>
      </w:r>
      <w:proofErr w:type="spellStart"/>
      <w:r w:rsidRPr="00B20C0D">
        <w:rPr>
          <w:i/>
          <w:lang w:val="el-GR"/>
        </w:rPr>
        <w:t>in</w:t>
      </w:r>
      <w:proofErr w:type="spellEnd"/>
      <w:r w:rsidRPr="00B20C0D">
        <w:rPr>
          <w:i/>
          <w:lang w:val="el-GR"/>
        </w:rPr>
        <w:t xml:space="preserve"> </w:t>
      </w:r>
      <w:proofErr w:type="spellStart"/>
      <w:r w:rsidRPr="00B20C0D">
        <w:rPr>
          <w:i/>
          <w:lang w:val="el-GR"/>
        </w:rPr>
        <w:t>vitro</w:t>
      </w:r>
      <w:proofErr w:type="spellEnd"/>
      <w:r w:rsidRPr="00B20C0D">
        <w:rPr>
          <w:lang w:val="el-GR"/>
        </w:rPr>
        <w:t xml:space="preserve"> σε </w:t>
      </w:r>
      <w:proofErr w:type="spellStart"/>
      <w:r w:rsidRPr="00B20C0D">
        <w:rPr>
          <w:lang w:val="el-GR"/>
        </w:rPr>
        <w:t>προκαρυωτικά</w:t>
      </w:r>
      <w:proofErr w:type="spellEnd"/>
      <w:r w:rsidRPr="00B20C0D">
        <w:rPr>
          <w:lang w:val="el-GR"/>
        </w:rPr>
        <w:t xml:space="preserve"> και </w:t>
      </w:r>
      <w:proofErr w:type="spellStart"/>
      <w:r w:rsidRPr="00B20C0D">
        <w:rPr>
          <w:lang w:val="el-GR"/>
        </w:rPr>
        <w:t>ευκαρυωτικά</w:t>
      </w:r>
      <w:proofErr w:type="spellEnd"/>
      <w:r w:rsidRPr="00B20C0D">
        <w:rPr>
          <w:lang w:val="el-GR"/>
        </w:rPr>
        <w:t xml:space="preserve"> κύτταρα, παρουσία και απουσία </w:t>
      </w:r>
      <w:proofErr w:type="spellStart"/>
      <w:r w:rsidRPr="00B20C0D">
        <w:rPr>
          <w:lang w:val="el-GR"/>
        </w:rPr>
        <w:t>φωτοενεργοποιητικής</w:t>
      </w:r>
      <w:proofErr w:type="spellEnd"/>
      <w:r w:rsidRPr="00B20C0D">
        <w:rPr>
          <w:lang w:val="el-GR"/>
        </w:rPr>
        <w:t xml:space="preserve"> ακτινοβολίας και </w:t>
      </w:r>
      <w:proofErr w:type="spellStart"/>
      <w:r w:rsidRPr="00B20C0D">
        <w:rPr>
          <w:i/>
          <w:iCs/>
          <w:lang w:val="el-GR"/>
        </w:rPr>
        <w:t>in</w:t>
      </w:r>
      <w:proofErr w:type="spellEnd"/>
      <w:r w:rsidRPr="00B20C0D">
        <w:rPr>
          <w:i/>
          <w:iCs/>
          <w:lang w:val="el-GR"/>
        </w:rPr>
        <w:t xml:space="preserve"> </w:t>
      </w:r>
      <w:proofErr w:type="spellStart"/>
      <w:r w:rsidRPr="00B20C0D">
        <w:rPr>
          <w:i/>
          <w:iCs/>
          <w:lang w:val="el-GR"/>
        </w:rPr>
        <w:t>vivo</w:t>
      </w:r>
      <w:proofErr w:type="spellEnd"/>
      <w:r w:rsidRPr="00B20C0D">
        <w:rPr>
          <w:lang w:val="el-GR"/>
        </w:rPr>
        <w:t xml:space="preserve">.  Όλες οι μελέτες για πιθανή πρόκληση </w:t>
      </w:r>
      <w:proofErr w:type="spellStart"/>
      <w:r w:rsidRPr="00B20C0D">
        <w:rPr>
          <w:lang w:val="el-GR"/>
        </w:rPr>
        <w:t>γονοτοξικότητας</w:t>
      </w:r>
      <w:proofErr w:type="spellEnd"/>
      <w:r w:rsidRPr="00B20C0D">
        <w:rPr>
          <w:lang w:val="el-GR"/>
        </w:rPr>
        <w:t xml:space="preserve"> ήταν αρνητικές (έλεγχος </w:t>
      </w:r>
      <w:proofErr w:type="spellStart"/>
      <w:r w:rsidRPr="00B20C0D">
        <w:rPr>
          <w:lang w:val="el-GR"/>
        </w:rPr>
        <w:t>Ames</w:t>
      </w:r>
      <w:proofErr w:type="spellEnd"/>
      <w:r w:rsidRPr="00B20C0D">
        <w:rPr>
          <w:lang w:val="el-GR"/>
        </w:rPr>
        <w:t xml:space="preserve">, προσδιορισμός TK, </w:t>
      </w:r>
      <w:proofErr w:type="spellStart"/>
      <w:r w:rsidRPr="00B20C0D">
        <w:rPr>
          <w:i/>
          <w:iCs/>
          <w:lang w:val="el-GR"/>
        </w:rPr>
        <w:t>in</w:t>
      </w:r>
      <w:proofErr w:type="spellEnd"/>
      <w:r w:rsidRPr="00B20C0D">
        <w:rPr>
          <w:i/>
          <w:iCs/>
          <w:lang w:val="el-GR"/>
        </w:rPr>
        <w:t xml:space="preserve"> </w:t>
      </w:r>
      <w:proofErr w:type="spellStart"/>
      <w:r w:rsidRPr="00B20C0D">
        <w:rPr>
          <w:i/>
          <w:iCs/>
          <w:lang w:val="el-GR"/>
        </w:rPr>
        <w:t>vivo</w:t>
      </w:r>
      <w:proofErr w:type="spellEnd"/>
      <w:r w:rsidRPr="00B20C0D">
        <w:rPr>
          <w:i/>
          <w:iCs/>
          <w:lang w:val="el-GR"/>
        </w:rPr>
        <w:t xml:space="preserve"> </w:t>
      </w:r>
      <w:proofErr w:type="spellStart"/>
      <w:r w:rsidRPr="00B20C0D">
        <w:rPr>
          <w:lang w:val="el-GR"/>
        </w:rPr>
        <w:t>μικροπυρηνικό</w:t>
      </w:r>
      <w:proofErr w:type="spellEnd"/>
      <w:r w:rsidRPr="00B20C0D">
        <w:rPr>
          <w:lang w:val="el-GR"/>
        </w:rPr>
        <w:t xml:space="preserve"> κυτταρικό μοντέλο, </w:t>
      </w:r>
      <w:proofErr w:type="spellStart"/>
      <w:r w:rsidRPr="00B20C0D">
        <w:rPr>
          <w:lang w:val="el-GR"/>
        </w:rPr>
        <w:t>χρωμοσωμικές</w:t>
      </w:r>
      <w:proofErr w:type="spellEnd"/>
      <w:r w:rsidRPr="00B20C0D">
        <w:rPr>
          <w:lang w:val="el-GR"/>
        </w:rPr>
        <w:t xml:space="preserve"> εκτροπές σε CHO κύτταρα και προσδιορισμός </w:t>
      </w:r>
      <w:proofErr w:type="spellStart"/>
      <w:r w:rsidRPr="00B20C0D">
        <w:rPr>
          <w:lang w:val="el-GR"/>
        </w:rPr>
        <w:t>Comet</w:t>
      </w:r>
      <w:proofErr w:type="spellEnd"/>
      <w:r w:rsidRPr="00B20C0D">
        <w:rPr>
          <w:lang w:val="el-GR"/>
        </w:rPr>
        <w:t xml:space="preserve"> σε δείγματα ουροδόχου κύστης σκύλου από μελέτη τοπικής ανεκτικότητας με διέγερση με μπλε φως).  </w:t>
      </w:r>
    </w:p>
    <w:p w:rsidR="00582906" w:rsidRPr="00B20C0D" w:rsidRDefault="00582906" w:rsidP="00582906">
      <w:pPr>
        <w:ind w:left="720"/>
        <w:jc w:val="both"/>
        <w:rPr>
          <w:lang w:val="el-GR"/>
        </w:rPr>
      </w:pPr>
    </w:p>
    <w:p w:rsidR="00582906" w:rsidRPr="00B20C0D" w:rsidRDefault="00582906" w:rsidP="00582906">
      <w:pPr>
        <w:ind w:left="720"/>
        <w:jc w:val="both"/>
        <w:rPr>
          <w:lang w:val="el-GR"/>
        </w:rPr>
      </w:pPr>
      <w:r w:rsidRPr="00B20C0D">
        <w:rPr>
          <w:lang w:val="el-GR"/>
        </w:rPr>
        <w:t xml:space="preserve">Αναπαραγωγική τοξικότητα έχει ερευνηθεί σε αρουραίους και κουνέλια. Οι επιπτώσεις στην εμβρυϊκή θνησιμότητα, το σωματικό βάρος του εμβρύου, καθώς και στις ανωμαλίες και τις παραλλαγές του εμβρύου, </w:t>
      </w:r>
      <w:r w:rsidRPr="00B20C0D">
        <w:rPr>
          <w:lang w:val="el-GR"/>
        </w:rPr>
        <w:lastRenderedPageBreak/>
        <w:t>συμπεριλαμβανομένων των σκελετικών παραμέτρων οστεοποίησης δεν έδειξαν καμία προφανή επίδραση της θεραπείας. Δεν υπήρξαν επιδράσεις στη γονιμότητα των γυναικών και στην πρώιμη εμβρυϊκή ανάπτυξη, κατά τη διερεύνηση σε αρουραίους.</w:t>
      </w:r>
    </w:p>
    <w:p w:rsidR="00582906" w:rsidRPr="00B20C0D" w:rsidRDefault="00582906" w:rsidP="00582906">
      <w:pPr>
        <w:pStyle w:val="NormalText"/>
        <w:ind w:left="720"/>
        <w:jc w:val="both"/>
        <w:rPr>
          <w:szCs w:val="24"/>
          <w:lang w:val="el-GR"/>
        </w:rPr>
      </w:pPr>
      <w:r w:rsidRPr="00B20C0D">
        <w:rPr>
          <w:szCs w:val="24"/>
          <w:lang w:val="el-GR"/>
        </w:rPr>
        <w:t xml:space="preserve">Δεν έχουν γίνει μελέτες καρκινογένεσης με </w:t>
      </w:r>
      <w:proofErr w:type="spellStart"/>
      <w:r w:rsidRPr="00B20C0D">
        <w:rPr>
          <w:szCs w:val="24"/>
          <w:lang w:val="el-GR"/>
        </w:rPr>
        <w:t>εξαμινο</w:t>
      </w:r>
      <w:proofErr w:type="spellEnd"/>
      <w:r w:rsidRPr="00B20C0D">
        <w:rPr>
          <w:szCs w:val="24"/>
          <w:lang w:val="el-GR"/>
        </w:rPr>
        <w:t>-</w:t>
      </w:r>
      <w:proofErr w:type="spellStart"/>
      <w:r w:rsidRPr="00B20C0D">
        <w:rPr>
          <w:szCs w:val="24"/>
          <w:lang w:val="el-GR"/>
        </w:rPr>
        <w:t>λεβουλινικ</w:t>
      </w:r>
      <w:r>
        <w:rPr>
          <w:szCs w:val="24"/>
          <w:lang w:val="el-GR"/>
        </w:rPr>
        <w:t>ό</w:t>
      </w:r>
      <w:proofErr w:type="spellEnd"/>
      <w:r w:rsidRPr="00B20C0D">
        <w:rPr>
          <w:szCs w:val="24"/>
          <w:lang w:val="el-GR"/>
        </w:rPr>
        <w:t xml:space="preserve"> οξ</w:t>
      </w:r>
      <w:r>
        <w:rPr>
          <w:szCs w:val="24"/>
          <w:lang w:val="el-GR"/>
        </w:rPr>
        <w:t>ύ</w:t>
      </w:r>
      <w:r w:rsidRPr="00B20C0D">
        <w:rPr>
          <w:szCs w:val="24"/>
          <w:lang w:val="el-GR"/>
        </w:rPr>
        <w:t>.</w:t>
      </w:r>
    </w:p>
    <w:p w:rsidR="00582906" w:rsidRPr="00B20C0D" w:rsidRDefault="00582906" w:rsidP="00582906">
      <w:pPr>
        <w:pStyle w:val="NormalText"/>
        <w:ind w:left="720"/>
        <w:jc w:val="both"/>
        <w:rPr>
          <w:szCs w:val="24"/>
          <w:lang w:val="el-GR"/>
        </w:rPr>
      </w:pPr>
    </w:p>
    <w:p w:rsidR="00582906" w:rsidRPr="00B20C0D" w:rsidRDefault="00582906" w:rsidP="00582906">
      <w:pPr>
        <w:jc w:val="both"/>
        <w:rPr>
          <w:b/>
          <w:lang w:val="el-GR"/>
        </w:rPr>
      </w:pPr>
      <w:r w:rsidRPr="00B20C0D">
        <w:rPr>
          <w:b/>
          <w:lang w:val="el-GR"/>
        </w:rPr>
        <w:t>6.</w:t>
      </w:r>
      <w:r w:rsidRPr="00B20C0D">
        <w:rPr>
          <w:b/>
          <w:lang w:val="el-GR"/>
        </w:rPr>
        <w:tab/>
        <w:t>ΦΑΡΜΑΚΕΥΤΙΚΕΣ ΠΛΗΡΟΦΟΡΙΕΣ</w:t>
      </w:r>
    </w:p>
    <w:p w:rsidR="00582906" w:rsidRPr="00B20C0D" w:rsidRDefault="00582906" w:rsidP="00582906">
      <w:pPr>
        <w:jc w:val="both"/>
        <w:rPr>
          <w:b/>
          <w:lang w:val="el-GR"/>
        </w:rPr>
      </w:pPr>
    </w:p>
    <w:p w:rsidR="00582906" w:rsidRPr="00B20C0D" w:rsidRDefault="00582906" w:rsidP="00582906">
      <w:pPr>
        <w:jc w:val="both"/>
        <w:rPr>
          <w:b/>
          <w:lang w:val="el-GR"/>
        </w:rPr>
      </w:pPr>
      <w:r w:rsidRPr="00B20C0D">
        <w:rPr>
          <w:b/>
          <w:lang w:val="el-GR"/>
        </w:rPr>
        <w:t>6.1</w:t>
      </w:r>
      <w:r w:rsidRPr="00B20C0D">
        <w:rPr>
          <w:b/>
          <w:lang w:val="el-GR"/>
        </w:rPr>
        <w:tab/>
        <w:t xml:space="preserve">Κατάλογος εκδόχων </w:t>
      </w:r>
    </w:p>
    <w:p w:rsidR="00582906" w:rsidRPr="00B20C0D" w:rsidRDefault="00582906" w:rsidP="00582906">
      <w:pPr>
        <w:ind w:left="720"/>
        <w:jc w:val="both"/>
        <w:rPr>
          <w:lang w:val="el-GR"/>
        </w:rPr>
      </w:pPr>
    </w:p>
    <w:p w:rsidR="00582906" w:rsidRPr="00B20C0D" w:rsidRDefault="00582906" w:rsidP="00582906">
      <w:pPr>
        <w:ind w:left="720"/>
        <w:jc w:val="both"/>
        <w:rPr>
          <w:b/>
          <w:lang w:val="el-GR"/>
        </w:rPr>
      </w:pPr>
      <w:proofErr w:type="spellStart"/>
      <w:r w:rsidRPr="00B20C0D">
        <w:rPr>
          <w:b/>
          <w:lang w:val="el-GR"/>
        </w:rPr>
        <w:t>Κόνις</w:t>
      </w:r>
      <w:proofErr w:type="spellEnd"/>
      <w:r w:rsidRPr="00B20C0D">
        <w:rPr>
          <w:b/>
          <w:lang w:val="el-GR"/>
        </w:rPr>
        <w:t>:</w:t>
      </w:r>
    </w:p>
    <w:p w:rsidR="00582906" w:rsidRPr="00B20C0D" w:rsidRDefault="00582906" w:rsidP="00582906">
      <w:pPr>
        <w:ind w:left="720"/>
        <w:jc w:val="both"/>
        <w:rPr>
          <w:lang w:val="el-GR"/>
        </w:rPr>
      </w:pPr>
      <w:r w:rsidRPr="00B20C0D">
        <w:rPr>
          <w:lang w:val="el-GR"/>
        </w:rPr>
        <w:t>Δεν υπάρχουν</w:t>
      </w:r>
    </w:p>
    <w:p w:rsidR="00582906" w:rsidRPr="00B20C0D" w:rsidRDefault="00582906" w:rsidP="00582906">
      <w:pPr>
        <w:ind w:left="720"/>
        <w:jc w:val="both"/>
        <w:rPr>
          <w:lang w:val="el-GR"/>
        </w:rPr>
      </w:pPr>
    </w:p>
    <w:p w:rsidR="00582906" w:rsidRPr="00B20C0D" w:rsidRDefault="00582906" w:rsidP="00582906">
      <w:pPr>
        <w:ind w:left="720"/>
        <w:jc w:val="both"/>
        <w:rPr>
          <w:b/>
          <w:lang w:val="el-GR"/>
        </w:rPr>
      </w:pPr>
      <w:r w:rsidRPr="00B20C0D">
        <w:rPr>
          <w:b/>
          <w:lang w:val="el-GR"/>
        </w:rPr>
        <w:t xml:space="preserve">Διαλύτης για το </w:t>
      </w:r>
      <w:proofErr w:type="spellStart"/>
      <w:r w:rsidRPr="00B20C0D">
        <w:rPr>
          <w:b/>
          <w:lang w:val="el-GR"/>
        </w:rPr>
        <w:t>Hexvix</w:t>
      </w:r>
      <w:proofErr w:type="spellEnd"/>
      <w:r w:rsidRPr="00B20C0D">
        <w:rPr>
          <w:b/>
          <w:lang w:val="el-GR"/>
        </w:rPr>
        <w:t>:</w:t>
      </w:r>
    </w:p>
    <w:p w:rsidR="00582906" w:rsidRPr="00B20C0D" w:rsidRDefault="00582906" w:rsidP="00582906">
      <w:pPr>
        <w:keepNext/>
        <w:keepLines/>
        <w:jc w:val="both"/>
        <w:rPr>
          <w:lang w:val="el-GR"/>
        </w:rPr>
      </w:pPr>
      <w:r w:rsidRPr="00B20C0D">
        <w:rPr>
          <w:lang w:val="el-GR"/>
        </w:rPr>
        <w:t xml:space="preserve">           Φωσφορικό Νάτριο</w:t>
      </w:r>
    </w:p>
    <w:p w:rsidR="00582906" w:rsidRPr="00B20C0D" w:rsidRDefault="00582906" w:rsidP="00582906">
      <w:pPr>
        <w:keepNext/>
        <w:keepLines/>
        <w:jc w:val="both"/>
        <w:rPr>
          <w:lang w:val="el-GR"/>
        </w:rPr>
      </w:pPr>
      <w:r w:rsidRPr="00B20C0D">
        <w:rPr>
          <w:lang w:val="el-GR"/>
        </w:rPr>
        <w:t xml:space="preserve">           </w:t>
      </w:r>
      <w:proofErr w:type="spellStart"/>
      <w:r w:rsidRPr="00B20C0D">
        <w:rPr>
          <w:lang w:val="el-GR"/>
        </w:rPr>
        <w:t>Διφωσφορικό</w:t>
      </w:r>
      <w:proofErr w:type="spellEnd"/>
      <w:r w:rsidRPr="00B20C0D">
        <w:rPr>
          <w:lang w:val="el-GR"/>
        </w:rPr>
        <w:t xml:space="preserve"> Κάλιο</w:t>
      </w:r>
    </w:p>
    <w:p w:rsidR="00582906" w:rsidRPr="00B20C0D" w:rsidRDefault="00582906" w:rsidP="00582906">
      <w:pPr>
        <w:keepNext/>
        <w:keepLines/>
        <w:ind w:firstLine="720"/>
        <w:jc w:val="both"/>
        <w:rPr>
          <w:lang w:val="el-GR"/>
        </w:rPr>
      </w:pPr>
      <w:r w:rsidRPr="00B20C0D">
        <w:rPr>
          <w:lang w:val="el-GR"/>
        </w:rPr>
        <w:t>Χλωριούχο Νάτριο</w:t>
      </w:r>
    </w:p>
    <w:p w:rsidR="00582906" w:rsidRPr="00B20C0D" w:rsidRDefault="00582906" w:rsidP="00582906">
      <w:pPr>
        <w:keepNext/>
        <w:keepLines/>
        <w:ind w:firstLine="720"/>
        <w:jc w:val="both"/>
        <w:rPr>
          <w:lang w:val="el-GR"/>
        </w:rPr>
      </w:pPr>
      <w:r w:rsidRPr="00B20C0D">
        <w:rPr>
          <w:lang w:val="el-GR"/>
        </w:rPr>
        <w:t xml:space="preserve">Υδροχλωρικό οξύ </w:t>
      </w:r>
    </w:p>
    <w:p w:rsidR="00582906" w:rsidRPr="00B20C0D" w:rsidRDefault="00582906" w:rsidP="00582906">
      <w:pPr>
        <w:keepNext/>
        <w:keepLines/>
        <w:ind w:left="720"/>
        <w:jc w:val="both"/>
        <w:rPr>
          <w:lang w:val="el-GR"/>
        </w:rPr>
      </w:pPr>
      <w:r w:rsidRPr="00B20C0D">
        <w:rPr>
          <w:lang w:val="el-GR"/>
        </w:rPr>
        <w:t>Υδροξείδιο του Νατρίου</w:t>
      </w:r>
    </w:p>
    <w:p w:rsidR="00582906" w:rsidRPr="00B20C0D" w:rsidRDefault="00582906" w:rsidP="00582906">
      <w:pPr>
        <w:keepNext/>
        <w:keepLines/>
        <w:ind w:firstLine="720"/>
        <w:jc w:val="both"/>
        <w:rPr>
          <w:lang w:val="el-GR"/>
        </w:rPr>
      </w:pPr>
      <w:r w:rsidRPr="00B20C0D">
        <w:rPr>
          <w:lang w:val="el-GR"/>
        </w:rPr>
        <w:t xml:space="preserve">Ενέσιμο ύδωρ </w:t>
      </w:r>
    </w:p>
    <w:p w:rsidR="00582906" w:rsidRPr="00B20C0D" w:rsidRDefault="00582906" w:rsidP="00582906">
      <w:pPr>
        <w:ind w:left="720"/>
        <w:jc w:val="both"/>
        <w:rPr>
          <w:lang w:val="el-GR"/>
        </w:rPr>
      </w:pPr>
    </w:p>
    <w:p w:rsidR="00582906" w:rsidRPr="00B20C0D" w:rsidRDefault="00582906" w:rsidP="00582906">
      <w:pPr>
        <w:numPr>
          <w:ilvl w:val="0"/>
          <w:numId w:val="1"/>
        </w:numPr>
        <w:jc w:val="both"/>
        <w:rPr>
          <w:b/>
          <w:lang w:val="el-GR"/>
        </w:rPr>
      </w:pPr>
      <w:r w:rsidRPr="00B20C0D">
        <w:rPr>
          <w:b/>
          <w:lang w:val="el-GR"/>
        </w:rPr>
        <w:t xml:space="preserve"> </w:t>
      </w:r>
      <w:r w:rsidRPr="00B20C0D">
        <w:rPr>
          <w:b/>
          <w:lang w:val="el-GR"/>
        </w:rPr>
        <w:tab/>
        <w:t>Ασυμβατότητες</w:t>
      </w:r>
    </w:p>
    <w:p w:rsidR="00582906" w:rsidRPr="00B20C0D" w:rsidRDefault="00582906" w:rsidP="00582906">
      <w:pPr>
        <w:ind w:left="709" w:firstLine="11"/>
        <w:jc w:val="both"/>
        <w:rPr>
          <w:lang w:val="el-GR"/>
        </w:rPr>
      </w:pPr>
    </w:p>
    <w:p w:rsidR="00582906" w:rsidRPr="00B20C0D" w:rsidRDefault="00582906" w:rsidP="00582906">
      <w:pPr>
        <w:ind w:left="720"/>
        <w:jc w:val="both"/>
        <w:rPr>
          <w:lang w:val="el-GR"/>
        </w:rPr>
      </w:pPr>
      <w:r w:rsidRPr="00B20C0D">
        <w:rPr>
          <w:lang w:val="el-GR"/>
        </w:rPr>
        <w:t xml:space="preserve">Αυτό το φαρμακευτικό προϊόν δεν πρέπει να αναμιγνύεται με άλλα φαρμακευτικά προϊόντα. </w:t>
      </w:r>
    </w:p>
    <w:p w:rsidR="00582906" w:rsidRPr="00B20C0D" w:rsidRDefault="00582906" w:rsidP="00582906">
      <w:pPr>
        <w:ind w:left="720"/>
        <w:jc w:val="both"/>
        <w:rPr>
          <w:lang w:val="el-GR"/>
        </w:rPr>
      </w:pPr>
    </w:p>
    <w:p w:rsidR="00582906" w:rsidRPr="00B20C0D" w:rsidRDefault="00582906" w:rsidP="00582906">
      <w:pPr>
        <w:ind w:left="720" w:hanging="720"/>
        <w:jc w:val="both"/>
        <w:rPr>
          <w:b/>
          <w:lang w:val="el-GR"/>
        </w:rPr>
      </w:pPr>
      <w:r w:rsidRPr="00B20C0D">
        <w:rPr>
          <w:b/>
          <w:lang w:val="el-GR"/>
        </w:rPr>
        <w:t>6.3</w:t>
      </w:r>
      <w:r w:rsidRPr="00B20C0D">
        <w:rPr>
          <w:b/>
          <w:lang w:val="el-GR"/>
        </w:rPr>
        <w:tab/>
        <w:t>Διάρκεια ζωής</w:t>
      </w:r>
    </w:p>
    <w:p w:rsidR="00582906" w:rsidRPr="00B20C0D" w:rsidRDefault="00582906" w:rsidP="00582906">
      <w:pPr>
        <w:ind w:left="709" w:hanging="709"/>
        <w:jc w:val="both"/>
        <w:rPr>
          <w:lang w:val="el-GR"/>
        </w:rPr>
      </w:pPr>
      <w:r w:rsidRPr="00B20C0D">
        <w:rPr>
          <w:lang w:val="el-GR"/>
        </w:rPr>
        <w:tab/>
      </w:r>
    </w:p>
    <w:p w:rsidR="00582906" w:rsidRPr="00B20C0D" w:rsidRDefault="00582906" w:rsidP="00582906">
      <w:pPr>
        <w:pStyle w:val="2"/>
        <w:jc w:val="both"/>
        <w:rPr>
          <w:szCs w:val="24"/>
          <w:lang w:val="el-GR"/>
        </w:rPr>
      </w:pPr>
      <w:r w:rsidRPr="00B20C0D">
        <w:rPr>
          <w:szCs w:val="24"/>
          <w:lang w:val="el-GR"/>
        </w:rPr>
        <w:t>3 χρόνια</w:t>
      </w:r>
    </w:p>
    <w:p w:rsidR="00582906" w:rsidRPr="00B20C0D" w:rsidRDefault="00582906" w:rsidP="00582906">
      <w:pPr>
        <w:jc w:val="both"/>
        <w:rPr>
          <w:strike/>
          <w:lang w:val="el-GR"/>
        </w:rPr>
      </w:pPr>
    </w:p>
    <w:p w:rsidR="00582906" w:rsidRPr="00B20C0D" w:rsidRDefault="00582906" w:rsidP="00582906">
      <w:pPr>
        <w:ind w:left="709"/>
        <w:jc w:val="both"/>
        <w:rPr>
          <w:strike/>
          <w:lang w:val="el-GR"/>
        </w:rPr>
      </w:pPr>
      <w:r w:rsidRPr="00B20C0D">
        <w:rPr>
          <w:lang w:val="el-GR"/>
        </w:rPr>
        <w:t xml:space="preserve">Μετά την διάλυσή του η χημική και φυσική σταθερότητα του διαλύματος είναι ασφαλής για 2 ώρες όταν φυλάσσεται σε θερμοκρασία 2°C-8°C. Από μικροβιολογικής άποψης, το προϊόν πρέπει να χρησιμοποιείται αμέσως. Εάν δεν χρησιμοποιηθεί αμέσως, </w:t>
      </w:r>
      <w:r w:rsidRPr="00B20C0D">
        <w:t>o</w:t>
      </w:r>
      <w:r w:rsidRPr="00B20C0D">
        <w:rPr>
          <w:lang w:val="el-GR"/>
        </w:rPr>
        <w:t xml:space="preserve"> χρόνος που μεσολαβεί και οι συνθήκες φύλαξης κατά τη χρήση αποτελούν ευθύνη του χρήστη και δεν πρέπει να είναι μεγαλύτερος από 2 ώρες σε θερμοκρασία 2-8</w:t>
      </w:r>
      <w:r w:rsidRPr="00B20C0D">
        <w:rPr>
          <w:vertAlign w:val="superscript"/>
        </w:rPr>
        <w:t>o</w:t>
      </w:r>
      <w:r w:rsidRPr="00B20C0D">
        <w:rPr>
          <w:lang w:val="el-GR"/>
        </w:rPr>
        <w:t xml:space="preserve"> </w:t>
      </w:r>
      <w:r w:rsidRPr="00B20C0D">
        <w:t>C</w:t>
      </w:r>
      <w:r w:rsidRPr="00B20C0D">
        <w:rPr>
          <w:lang w:val="el-GR"/>
        </w:rPr>
        <w:t xml:space="preserve"> .</w:t>
      </w:r>
    </w:p>
    <w:p w:rsidR="00582906" w:rsidRPr="00B20C0D" w:rsidRDefault="00582906" w:rsidP="00582906">
      <w:pPr>
        <w:ind w:left="709" w:hanging="709"/>
        <w:jc w:val="both"/>
        <w:rPr>
          <w:lang w:val="el-GR"/>
        </w:rPr>
      </w:pPr>
    </w:p>
    <w:p w:rsidR="00582906" w:rsidRPr="00B20C0D" w:rsidRDefault="00582906" w:rsidP="00582906">
      <w:pPr>
        <w:jc w:val="both"/>
        <w:rPr>
          <w:b/>
          <w:lang w:val="el-GR"/>
        </w:rPr>
      </w:pPr>
      <w:r w:rsidRPr="00B20C0D">
        <w:rPr>
          <w:b/>
          <w:lang w:val="el-GR"/>
        </w:rPr>
        <w:t>6.4</w:t>
      </w:r>
      <w:r w:rsidRPr="00B20C0D">
        <w:rPr>
          <w:b/>
          <w:lang w:val="el-GR"/>
        </w:rPr>
        <w:tab/>
        <w:t>Ιδιαίτερες προφυλάξεις κατά τη φύλαξη του προϊόντος</w:t>
      </w:r>
    </w:p>
    <w:p w:rsidR="00582906" w:rsidRPr="00B20C0D" w:rsidRDefault="00582906" w:rsidP="00582906">
      <w:pPr>
        <w:ind w:left="709" w:firstLine="11"/>
        <w:jc w:val="both"/>
        <w:rPr>
          <w:lang w:val="el-GR"/>
        </w:rPr>
      </w:pPr>
    </w:p>
    <w:p w:rsidR="00582906" w:rsidRPr="00B20C0D" w:rsidRDefault="00582906" w:rsidP="00582906">
      <w:pPr>
        <w:ind w:left="709" w:firstLine="11"/>
        <w:jc w:val="both"/>
        <w:rPr>
          <w:lang w:val="el-GR"/>
        </w:rPr>
      </w:pPr>
      <w:r w:rsidRPr="00B20C0D">
        <w:rPr>
          <w:lang w:val="el-GR"/>
        </w:rPr>
        <w:t>Αυτό το προϊόν δεν απαιτεί ειδικές συνθήκες φύλαξης</w:t>
      </w:r>
      <w:r>
        <w:rPr>
          <w:lang w:val="el-GR"/>
        </w:rPr>
        <w:t>.</w:t>
      </w:r>
    </w:p>
    <w:p w:rsidR="00582906" w:rsidRPr="00B20C0D" w:rsidRDefault="00582906" w:rsidP="00582906">
      <w:pPr>
        <w:ind w:left="709" w:firstLine="11"/>
        <w:jc w:val="both"/>
        <w:rPr>
          <w:lang w:val="el-GR"/>
        </w:rPr>
      </w:pPr>
    </w:p>
    <w:p w:rsidR="00582906" w:rsidRPr="00B20C0D" w:rsidRDefault="00582906" w:rsidP="00582906">
      <w:pPr>
        <w:ind w:left="709" w:firstLine="11"/>
        <w:jc w:val="both"/>
        <w:rPr>
          <w:lang w:val="el-GR"/>
        </w:rPr>
      </w:pPr>
      <w:r w:rsidRPr="00B20C0D">
        <w:rPr>
          <w:lang w:val="el-GR"/>
        </w:rPr>
        <w:t>Διάλυμα (μετά την ανασύσταση): (βλ</w:t>
      </w:r>
      <w:r w:rsidR="00111B1C">
        <w:rPr>
          <w:lang w:val="el-GR"/>
        </w:rPr>
        <w:t>έπε παράγραφο</w:t>
      </w:r>
      <w:r w:rsidRPr="00B20C0D">
        <w:rPr>
          <w:lang w:val="el-GR"/>
        </w:rPr>
        <w:t xml:space="preserve"> 6.3)</w:t>
      </w:r>
    </w:p>
    <w:p w:rsidR="00582906" w:rsidRPr="00B20C0D" w:rsidRDefault="00582906" w:rsidP="00582906">
      <w:pPr>
        <w:ind w:left="709" w:firstLine="11"/>
        <w:jc w:val="both"/>
        <w:rPr>
          <w:lang w:val="el-GR"/>
        </w:rPr>
      </w:pPr>
    </w:p>
    <w:p w:rsidR="00582906" w:rsidRPr="00B20C0D" w:rsidRDefault="00582906" w:rsidP="00582906">
      <w:pPr>
        <w:ind w:left="709" w:firstLine="11"/>
        <w:jc w:val="both"/>
        <w:rPr>
          <w:lang w:val="el-GR"/>
        </w:rPr>
      </w:pPr>
    </w:p>
    <w:p w:rsidR="00582906" w:rsidRPr="00B20C0D" w:rsidRDefault="00582906" w:rsidP="00582906">
      <w:pPr>
        <w:keepNext/>
        <w:ind w:left="706" w:hanging="706"/>
        <w:jc w:val="both"/>
        <w:rPr>
          <w:b/>
          <w:lang w:val="el-GR"/>
        </w:rPr>
      </w:pPr>
      <w:r w:rsidRPr="00B20C0D">
        <w:rPr>
          <w:b/>
          <w:lang w:val="el-GR"/>
        </w:rPr>
        <w:t>6.5</w:t>
      </w:r>
      <w:r w:rsidRPr="00B20C0D">
        <w:rPr>
          <w:b/>
          <w:lang w:val="el-GR"/>
        </w:rPr>
        <w:tab/>
        <w:t xml:space="preserve">Φύση και συστατικά του </w:t>
      </w:r>
      <w:proofErr w:type="spellStart"/>
      <w:r w:rsidRPr="00B20C0D">
        <w:rPr>
          <w:b/>
          <w:lang w:val="el-GR"/>
        </w:rPr>
        <w:t>περιέκτη</w:t>
      </w:r>
      <w:proofErr w:type="spellEnd"/>
    </w:p>
    <w:p w:rsidR="00582906" w:rsidRPr="00B20C0D" w:rsidRDefault="00582906" w:rsidP="00582906">
      <w:pPr>
        <w:keepNext/>
        <w:ind w:left="706" w:hanging="706"/>
        <w:jc w:val="both"/>
        <w:rPr>
          <w:lang w:val="el-GR"/>
        </w:rPr>
      </w:pPr>
      <w:r w:rsidRPr="00B20C0D">
        <w:rPr>
          <w:lang w:val="el-GR"/>
        </w:rPr>
        <w:tab/>
      </w:r>
    </w:p>
    <w:p w:rsidR="00582906" w:rsidRPr="00B20C0D" w:rsidRDefault="00582906" w:rsidP="00582906">
      <w:pPr>
        <w:ind w:left="709" w:hanging="709"/>
        <w:jc w:val="both"/>
        <w:rPr>
          <w:lang w:val="el-GR"/>
        </w:rPr>
      </w:pPr>
      <w:r w:rsidRPr="00B20C0D">
        <w:rPr>
          <w:b/>
          <w:lang w:val="el-GR"/>
        </w:rPr>
        <w:tab/>
      </w:r>
      <w:r w:rsidRPr="00B20C0D">
        <w:rPr>
          <w:lang w:val="el-GR"/>
        </w:rPr>
        <w:t xml:space="preserve">Συσκευασία του ενός τύπου Ι άχρωμου γυάλινου φιαλιδίου των 10 </w:t>
      </w:r>
      <w:r w:rsidRPr="00B20C0D">
        <w:t>ml</w:t>
      </w:r>
      <w:r w:rsidRPr="00B20C0D">
        <w:rPr>
          <w:lang w:val="el-GR"/>
        </w:rPr>
        <w:t xml:space="preserve"> με πώμα από ελαστικό </w:t>
      </w:r>
      <w:proofErr w:type="spellStart"/>
      <w:r w:rsidRPr="00B20C0D">
        <w:rPr>
          <w:lang w:val="el-GR"/>
        </w:rPr>
        <w:t>βουτύλιο</w:t>
      </w:r>
      <w:proofErr w:type="spellEnd"/>
      <w:r w:rsidRPr="00B20C0D">
        <w:rPr>
          <w:lang w:val="el-GR"/>
        </w:rPr>
        <w:t xml:space="preserve"> που περιέχει </w:t>
      </w:r>
      <w:proofErr w:type="spellStart"/>
      <w:r w:rsidRPr="00B20C0D">
        <w:rPr>
          <w:lang w:val="el-GR"/>
        </w:rPr>
        <w:t>κόνι</w:t>
      </w:r>
      <w:r w:rsidR="00111B1C">
        <w:rPr>
          <w:lang w:val="el-GR"/>
        </w:rPr>
        <w:t>ν</w:t>
      </w:r>
      <w:proofErr w:type="spellEnd"/>
      <w:r w:rsidRPr="00B20C0D">
        <w:rPr>
          <w:lang w:val="el-GR"/>
        </w:rPr>
        <w:t xml:space="preserve"> και ένα φιαλίδιο πολυπροπυλενίου των 50 </w:t>
      </w:r>
      <w:r w:rsidRPr="00B20C0D">
        <w:t>ml</w:t>
      </w:r>
      <w:r w:rsidRPr="00B20C0D">
        <w:rPr>
          <w:lang w:val="el-GR"/>
        </w:rPr>
        <w:t xml:space="preserve"> που περιέχει διαλύτη. </w:t>
      </w:r>
    </w:p>
    <w:p w:rsidR="00582906" w:rsidRPr="00B20C0D" w:rsidRDefault="00582906" w:rsidP="00582906">
      <w:pPr>
        <w:jc w:val="both"/>
        <w:rPr>
          <w:lang w:val="el-GR"/>
        </w:rPr>
      </w:pPr>
    </w:p>
    <w:p w:rsidR="00582906" w:rsidRPr="00B20C0D" w:rsidRDefault="00582906" w:rsidP="00582906">
      <w:pPr>
        <w:ind w:left="720" w:hanging="720"/>
        <w:jc w:val="both"/>
        <w:rPr>
          <w:b/>
          <w:lang w:val="el-GR"/>
        </w:rPr>
      </w:pPr>
      <w:r w:rsidRPr="00B20C0D">
        <w:rPr>
          <w:b/>
          <w:lang w:val="el-GR"/>
        </w:rPr>
        <w:t>6.6</w:t>
      </w:r>
      <w:r w:rsidRPr="00B20C0D">
        <w:rPr>
          <w:b/>
          <w:lang w:val="el-GR"/>
        </w:rPr>
        <w:tab/>
        <w:t>Ειδικές προφυλάξεις απόρριψης και άλλοι χειρισμοί</w:t>
      </w:r>
    </w:p>
    <w:p w:rsidR="00582906" w:rsidRPr="00B20C0D" w:rsidRDefault="00582906" w:rsidP="00582906">
      <w:pPr>
        <w:ind w:left="720" w:hanging="720"/>
        <w:jc w:val="both"/>
        <w:rPr>
          <w:b/>
          <w:lang w:val="el-GR"/>
        </w:rPr>
      </w:pPr>
    </w:p>
    <w:p w:rsidR="00582906" w:rsidRPr="00B20C0D" w:rsidRDefault="00582906" w:rsidP="00111B1C">
      <w:pPr>
        <w:ind w:left="720" w:hanging="720"/>
        <w:jc w:val="both"/>
        <w:rPr>
          <w:lang w:val="el-GR"/>
        </w:rPr>
      </w:pPr>
      <w:r w:rsidRPr="00B20C0D">
        <w:rPr>
          <w:lang w:val="el-GR"/>
        </w:rPr>
        <w:tab/>
        <w:t>Δεν υπάρχουν ειδικές απαιτήσεις για την απόρριψη.</w:t>
      </w:r>
    </w:p>
    <w:p w:rsidR="00582906" w:rsidRPr="00B20C0D" w:rsidRDefault="00582906" w:rsidP="00582906">
      <w:pPr>
        <w:jc w:val="both"/>
        <w:rPr>
          <w:lang w:val="el-GR"/>
        </w:rPr>
      </w:pPr>
    </w:p>
    <w:p w:rsidR="00582906" w:rsidRPr="00B20C0D" w:rsidRDefault="00582906" w:rsidP="00582906">
      <w:pPr>
        <w:ind w:left="720"/>
        <w:jc w:val="both"/>
        <w:rPr>
          <w:lang w:val="el-GR"/>
        </w:rPr>
      </w:pPr>
      <w:r>
        <w:rPr>
          <w:lang w:val="el-GR"/>
        </w:rPr>
        <w:t>Το</w:t>
      </w:r>
      <w:r w:rsidRPr="00B20C0D">
        <w:rPr>
          <w:lang w:val="el-GR"/>
        </w:rPr>
        <w:t xml:space="preserve"> </w:t>
      </w:r>
      <w:proofErr w:type="spellStart"/>
      <w:r w:rsidRPr="00B20C0D">
        <w:rPr>
          <w:lang w:val="el-GR"/>
        </w:rPr>
        <w:t>εξαμινο</w:t>
      </w:r>
      <w:proofErr w:type="spellEnd"/>
      <w:r w:rsidRPr="00B20C0D">
        <w:rPr>
          <w:lang w:val="el-GR"/>
        </w:rPr>
        <w:t>-</w:t>
      </w:r>
      <w:proofErr w:type="spellStart"/>
      <w:r w:rsidRPr="00B20C0D">
        <w:rPr>
          <w:lang w:val="el-GR"/>
        </w:rPr>
        <w:t>λεβουλινικ</w:t>
      </w:r>
      <w:r>
        <w:rPr>
          <w:lang w:val="el-GR"/>
        </w:rPr>
        <w:t>ό</w:t>
      </w:r>
      <w:proofErr w:type="spellEnd"/>
      <w:r w:rsidRPr="00B20C0D">
        <w:rPr>
          <w:lang w:val="el-GR"/>
        </w:rPr>
        <w:t xml:space="preserve"> οξ</w:t>
      </w:r>
      <w:r>
        <w:rPr>
          <w:lang w:val="el-GR"/>
        </w:rPr>
        <w:t>ύ</w:t>
      </w:r>
      <w:r w:rsidRPr="00B20C0D">
        <w:rPr>
          <w:lang w:val="el-GR"/>
        </w:rPr>
        <w:t xml:space="preserve"> μπορεί να προκαλέσει ευαισθητοποίηση κατά την επαφή με το δέρμα.</w:t>
      </w:r>
    </w:p>
    <w:p w:rsidR="00582906" w:rsidRPr="00B20C0D" w:rsidRDefault="00582906" w:rsidP="00582906">
      <w:pPr>
        <w:ind w:left="720"/>
        <w:jc w:val="both"/>
        <w:rPr>
          <w:lang w:val="el-GR"/>
        </w:rPr>
      </w:pPr>
    </w:p>
    <w:p w:rsidR="00582906" w:rsidRPr="00B20C0D" w:rsidRDefault="00582906" w:rsidP="00582906">
      <w:pPr>
        <w:ind w:left="720" w:hanging="11"/>
        <w:jc w:val="both"/>
        <w:rPr>
          <w:u w:val="single"/>
          <w:lang w:val="el-GR"/>
        </w:rPr>
      </w:pPr>
      <w:r w:rsidRPr="00B20C0D">
        <w:rPr>
          <w:u w:val="single"/>
          <w:lang w:val="el-GR"/>
        </w:rPr>
        <w:t>Οδηγίες χειρισμού για το φαρμακοποιό ή άλλους επαγγελματίες υγείας:</w:t>
      </w:r>
    </w:p>
    <w:p w:rsidR="00582906" w:rsidRPr="00B20C0D" w:rsidRDefault="00582906" w:rsidP="00582906">
      <w:pPr>
        <w:ind w:left="720" w:hanging="720"/>
        <w:jc w:val="both"/>
        <w:rPr>
          <w:lang w:val="el-GR"/>
        </w:rPr>
      </w:pPr>
    </w:p>
    <w:p w:rsidR="00582906" w:rsidRPr="00B20C0D" w:rsidRDefault="00582906" w:rsidP="00582906">
      <w:pPr>
        <w:ind w:left="720"/>
        <w:jc w:val="both"/>
        <w:rPr>
          <w:lang w:val="el-GR"/>
        </w:rPr>
      </w:pPr>
      <w:r w:rsidRPr="00B20C0D">
        <w:rPr>
          <w:lang w:val="el-GR"/>
        </w:rPr>
        <w:t xml:space="preserve">Όλα τα βήματα πρέπει να εκτελούνται με αποστειρωμένο εξοπλισμό και υπό άσηπτες συνθήκες. </w:t>
      </w:r>
    </w:p>
    <w:p w:rsidR="00582906" w:rsidRPr="00B20C0D" w:rsidRDefault="00582906" w:rsidP="00582906">
      <w:pPr>
        <w:ind w:left="360"/>
        <w:jc w:val="both"/>
        <w:rPr>
          <w:lang w:val="el-GR"/>
        </w:rPr>
      </w:pPr>
    </w:p>
    <w:p w:rsidR="00582906" w:rsidRPr="00B20C0D" w:rsidRDefault="00582906" w:rsidP="00582906">
      <w:pPr>
        <w:numPr>
          <w:ilvl w:val="0"/>
          <w:numId w:val="2"/>
        </w:numPr>
        <w:jc w:val="both"/>
        <w:rPr>
          <w:lang w:val="el-GR"/>
        </w:rPr>
      </w:pPr>
      <w:r w:rsidRPr="00B20C0D">
        <w:rPr>
          <w:lang w:val="el-GR"/>
        </w:rPr>
        <w:t xml:space="preserve">Αναρροφήστε 50,0 ml του διαλύτη για το </w:t>
      </w:r>
      <w:proofErr w:type="spellStart"/>
      <w:r w:rsidRPr="00B20C0D">
        <w:rPr>
          <w:lang w:val="el-GR"/>
        </w:rPr>
        <w:t>Hexvix</w:t>
      </w:r>
      <w:proofErr w:type="spellEnd"/>
      <w:r w:rsidRPr="00B20C0D">
        <w:rPr>
          <w:lang w:val="el-GR"/>
        </w:rPr>
        <w:t xml:space="preserve"> μέσα σε μία αποστειρωμένη σύριγγα 50 ml.</w:t>
      </w:r>
    </w:p>
    <w:p w:rsidR="00582906" w:rsidRPr="00B20C0D" w:rsidRDefault="00582906" w:rsidP="00582906">
      <w:pPr>
        <w:numPr>
          <w:ilvl w:val="0"/>
          <w:numId w:val="2"/>
        </w:numPr>
        <w:jc w:val="both"/>
        <w:rPr>
          <w:lang w:val="el-GR"/>
        </w:rPr>
      </w:pPr>
      <w:proofErr w:type="spellStart"/>
      <w:r w:rsidRPr="00B20C0D">
        <w:rPr>
          <w:lang w:val="el-GR"/>
        </w:rPr>
        <w:t>Ενέστε</w:t>
      </w:r>
      <w:proofErr w:type="spellEnd"/>
      <w:r w:rsidRPr="00B20C0D">
        <w:rPr>
          <w:lang w:val="el-GR"/>
        </w:rPr>
        <w:t xml:space="preserve"> περίπου 10 ml από αυτό τον διαλύτη στο φιαλίδιο με την </w:t>
      </w:r>
      <w:proofErr w:type="spellStart"/>
      <w:r w:rsidRPr="00B20C0D">
        <w:rPr>
          <w:lang w:val="el-GR"/>
        </w:rPr>
        <w:t>κόνι</w:t>
      </w:r>
      <w:r w:rsidR="00111B1C">
        <w:rPr>
          <w:lang w:val="el-GR"/>
        </w:rPr>
        <w:t>ν</w:t>
      </w:r>
      <w:proofErr w:type="spellEnd"/>
      <w:r w:rsidRPr="00B20C0D">
        <w:rPr>
          <w:lang w:val="el-GR"/>
        </w:rPr>
        <w:t xml:space="preserve"> του </w:t>
      </w:r>
      <w:proofErr w:type="spellStart"/>
      <w:r w:rsidRPr="00B20C0D">
        <w:rPr>
          <w:lang w:val="el-GR"/>
        </w:rPr>
        <w:t>Hexvix</w:t>
      </w:r>
      <w:proofErr w:type="spellEnd"/>
      <w:r w:rsidRPr="00B20C0D">
        <w:rPr>
          <w:lang w:val="el-GR"/>
        </w:rPr>
        <w:t xml:space="preserve">. </w:t>
      </w:r>
    </w:p>
    <w:p w:rsidR="00582906" w:rsidRPr="00B20C0D" w:rsidRDefault="00582906" w:rsidP="00582906">
      <w:pPr>
        <w:numPr>
          <w:ilvl w:val="0"/>
          <w:numId w:val="2"/>
        </w:numPr>
        <w:jc w:val="both"/>
        <w:rPr>
          <w:lang w:val="el-GR"/>
        </w:rPr>
      </w:pPr>
      <w:r w:rsidRPr="00B20C0D">
        <w:rPr>
          <w:lang w:val="el-GR"/>
        </w:rPr>
        <w:t xml:space="preserve">Χωρίς να αποσύρετε τη βελόνα από το φιαλίδιο, κρατήστε το φιαλίδιο της </w:t>
      </w:r>
      <w:proofErr w:type="spellStart"/>
      <w:r w:rsidRPr="00B20C0D">
        <w:rPr>
          <w:lang w:val="el-GR"/>
        </w:rPr>
        <w:t>κόνεως</w:t>
      </w:r>
      <w:proofErr w:type="spellEnd"/>
      <w:r w:rsidRPr="00B20C0D">
        <w:rPr>
          <w:lang w:val="el-GR"/>
        </w:rPr>
        <w:t xml:space="preserve"> και τη σύριγγα με σταθερή λαβή και ανακινήστε ήπια ώστε να βεβαιωθείτε ότι θα διαλυθεί πλήρως. </w:t>
      </w:r>
    </w:p>
    <w:p w:rsidR="00582906" w:rsidRPr="00B20C0D" w:rsidRDefault="00582906" w:rsidP="00582906">
      <w:pPr>
        <w:numPr>
          <w:ilvl w:val="0"/>
          <w:numId w:val="2"/>
        </w:numPr>
        <w:jc w:val="both"/>
        <w:rPr>
          <w:lang w:val="el-GR"/>
        </w:rPr>
      </w:pPr>
      <w:r w:rsidRPr="00B20C0D">
        <w:rPr>
          <w:lang w:val="el-GR"/>
        </w:rPr>
        <w:t xml:space="preserve">Αναρροφήστε όλο το διάλυμα από το φιαλίδιο </w:t>
      </w:r>
      <w:proofErr w:type="spellStart"/>
      <w:r w:rsidRPr="00B20C0D">
        <w:rPr>
          <w:lang w:val="el-GR"/>
        </w:rPr>
        <w:t>κόνεως</w:t>
      </w:r>
      <w:proofErr w:type="spellEnd"/>
      <w:r w:rsidRPr="00B20C0D">
        <w:rPr>
          <w:lang w:val="el-GR"/>
        </w:rPr>
        <w:t xml:space="preserve"> πίσω στη σύριγγα. </w:t>
      </w:r>
    </w:p>
    <w:p w:rsidR="00582906" w:rsidRPr="00B20C0D" w:rsidRDefault="00582906" w:rsidP="00582906">
      <w:pPr>
        <w:numPr>
          <w:ilvl w:val="0"/>
          <w:numId w:val="2"/>
        </w:numPr>
        <w:jc w:val="both"/>
        <w:rPr>
          <w:lang w:val="el-GR"/>
        </w:rPr>
      </w:pPr>
      <w:r w:rsidRPr="00B20C0D">
        <w:rPr>
          <w:lang w:val="el-GR"/>
        </w:rPr>
        <w:t xml:space="preserve">Το </w:t>
      </w:r>
      <w:proofErr w:type="spellStart"/>
      <w:r w:rsidRPr="00B20C0D">
        <w:rPr>
          <w:lang w:val="el-GR"/>
        </w:rPr>
        <w:t>Hexvix</w:t>
      </w:r>
      <w:proofErr w:type="spellEnd"/>
      <w:r w:rsidRPr="00B20C0D">
        <w:rPr>
          <w:lang w:val="el-GR"/>
        </w:rPr>
        <w:t xml:space="preserve"> είναι τώρα ανασυσταθέν και έτοιμο για χρήση.</w:t>
      </w:r>
      <w:r>
        <w:rPr>
          <w:lang w:val="el-GR"/>
        </w:rPr>
        <w:t xml:space="preserve"> </w:t>
      </w:r>
      <w:r w:rsidRPr="00B20C0D">
        <w:rPr>
          <w:lang w:val="el-GR"/>
        </w:rPr>
        <w:t xml:space="preserve">Η εμφάνιση του ανασυσταθέντος διαλύματος είναι διαυγής έως </w:t>
      </w:r>
      <w:r w:rsidRPr="00B20C0D">
        <w:rPr>
          <w:bCs/>
          <w:lang w:val="el-GR"/>
        </w:rPr>
        <w:t xml:space="preserve">ελαφρώς </w:t>
      </w:r>
      <w:proofErr w:type="spellStart"/>
      <w:r w:rsidRPr="00B20C0D">
        <w:rPr>
          <w:bCs/>
          <w:lang w:val="el-GR"/>
        </w:rPr>
        <w:t>οπάλινη</w:t>
      </w:r>
      <w:proofErr w:type="spellEnd"/>
      <w:r w:rsidRPr="00B20C0D">
        <w:rPr>
          <w:lang w:val="el-GR"/>
        </w:rPr>
        <w:t xml:space="preserve"> και άχρωμη έως υποκίτρινη. </w:t>
      </w:r>
    </w:p>
    <w:p w:rsidR="00582906" w:rsidRPr="00B20C0D" w:rsidRDefault="00582906" w:rsidP="00582906">
      <w:pPr>
        <w:pStyle w:val="NormalText"/>
        <w:jc w:val="both"/>
        <w:rPr>
          <w:szCs w:val="24"/>
          <w:lang w:val="el-GR"/>
        </w:rPr>
      </w:pPr>
    </w:p>
    <w:p w:rsidR="00582906" w:rsidRPr="00B20C0D" w:rsidRDefault="00582906" w:rsidP="00582906">
      <w:pPr>
        <w:ind w:left="709" w:hanging="709"/>
        <w:jc w:val="both"/>
        <w:rPr>
          <w:lang w:val="el-GR"/>
        </w:rPr>
      </w:pPr>
      <w:r w:rsidRPr="00B20C0D">
        <w:rPr>
          <w:lang w:val="el-GR"/>
        </w:rPr>
        <w:tab/>
        <w:t xml:space="preserve">Μόνο για μια χρήση. Οποιαδήποτε ποσότητα μη χρησιμοποιημένου προϊόντος πρέπει να απορρίπτεται. </w:t>
      </w:r>
    </w:p>
    <w:p w:rsidR="00582906" w:rsidRPr="00B20C0D" w:rsidRDefault="00582906" w:rsidP="00582906">
      <w:pPr>
        <w:jc w:val="both"/>
        <w:rPr>
          <w:lang w:val="el-GR"/>
        </w:rPr>
      </w:pPr>
    </w:p>
    <w:p w:rsidR="00582906" w:rsidRPr="00B20C0D" w:rsidRDefault="00582906" w:rsidP="00582906">
      <w:pPr>
        <w:ind w:left="709" w:hanging="709"/>
        <w:jc w:val="both"/>
        <w:rPr>
          <w:b/>
          <w:lang w:val="el-GR"/>
        </w:rPr>
      </w:pPr>
      <w:r w:rsidRPr="00B20C0D">
        <w:rPr>
          <w:b/>
          <w:lang w:val="el-GR"/>
        </w:rPr>
        <w:t>7.</w:t>
      </w:r>
      <w:r w:rsidRPr="00B20C0D">
        <w:rPr>
          <w:b/>
          <w:lang w:val="el-GR"/>
        </w:rPr>
        <w:tab/>
        <w:t>ΚΑΤΟΧΟΣ ΤΗΣ ΑΔΕΙΑΣ ΚΥΚΛΟΦΟΡΙΑΣ</w:t>
      </w:r>
    </w:p>
    <w:p w:rsidR="00582906" w:rsidRPr="00B20C0D" w:rsidRDefault="00582906" w:rsidP="00582906">
      <w:pPr>
        <w:ind w:left="709" w:hanging="709"/>
        <w:jc w:val="both"/>
        <w:rPr>
          <w:b/>
          <w:lang w:val="el-GR"/>
        </w:rPr>
      </w:pPr>
      <w:r w:rsidRPr="00B20C0D">
        <w:rPr>
          <w:b/>
          <w:lang w:val="el-GR"/>
        </w:rPr>
        <w:tab/>
      </w:r>
    </w:p>
    <w:p w:rsidR="00582906" w:rsidRPr="00B20C0D" w:rsidRDefault="00582906" w:rsidP="00582906">
      <w:pPr>
        <w:ind w:left="720" w:hanging="11"/>
        <w:jc w:val="both"/>
        <w:rPr>
          <w:b/>
          <w:lang w:val="el-GR"/>
        </w:rPr>
      </w:pPr>
      <w:r w:rsidRPr="00B20C0D">
        <w:rPr>
          <w:b/>
          <w:lang w:val="el-GR"/>
        </w:rPr>
        <w:tab/>
        <w:t>ΕΛΛΑΔΑ – ΚΥΠΡΟΣ</w:t>
      </w:r>
    </w:p>
    <w:p w:rsidR="00582906" w:rsidRPr="00B20C0D" w:rsidRDefault="00582906" w:rsidP="00582906">
      <w:pPr>
        <w:ind w:left="720" w:hanging="11"/>
        <w:jc w:val="both"/>
        <w:rPr>
          <w:b/>
          <w:lang w:val="el-GR"/>
        </w:rPr>
      </w:pPr>
      <w:r w:rsidRPr="00B20C0D">
        <w:rPr>
          <w:b/>
        </w:rPr>
        <w:t>IPSEN</w:t>
      </w:r>
      <w:r w:rsidRPr="00B20C0D">
        <w:rPr>
          <w:b/>
          <w:lang w:val="el-GR"/>
        </w:rPr>
        <w:t xml:space="preserve"> ΕΠΕ</w:t>
      </w:r>
    </w:p>
    <w:p w:rsidR="00582906" w:rsidRPr="00B20C0D" w:rsidRDefault="00582906" w:rsidP="00582906">
      <w:pPr>
        <w:ind w:left="720" w:hanging="11"/>
        <w:jc w:val="both"/>
        <w:rPr>
          <w:b/>
          <w:lang w:val="el-GR"/>
        </w:rPr>
      </w:pPr>
      <w:r w:rsidRPr="00B20C0D">
        <w:rPr>
          <w:b/>
          <w:lang w:val="el-GR"/>
        </w:rPr>
        <w:t xml:space="preserve">Αγ. Δημητρίου 63, </w:t>
      </w:r>
      <w:proofErr w:type="spellStart"/>
      <w:r w:rsidRPr="00B20C0D">
        <w:rPr>
          <w:b/>
          <w:lang w:val="el-GR"/>
        </w:rPr>
        <w:t>Άλιμος</w:t>
      </w:r>
      <w:proofErr w:type="spellEnd"/>
      <w:r w:rsidRPr="00B20C0D">
        <w:rPr>
          <w:b/>
          <w:lang w:val="el-GR"/>
        </w:rPr>
        <w:t>,</w:t>
      </w:r>
    </w:p>
    <w:p w:rsidR="00582906" w:rsidRPr="00B20C0D" w:rsidRDefault="00582906" w:rsidP="00582906">
      <w:pPr>
        <w:ind w:left="720" w:hanging="11"/>
        <w:jc w:val="both"/>
        <w:rPr>
          <w:b/>
          <w:lang w:val="el-GR"/>
        </w:rPr>
      </w:pPr>
      <w:r w:rsidRPr="00B20C0D">
        <w:rPr>
          <w:b/>
          <w:lang w:val="el-GR"/>
        </w:rPr>
        <w:t>174 56, Αθήνα, Ελλάδα.</w:t>
      </w:r>
    </w:p>
    <w:p w:rsidR="00582906" w:rsidRPr="00B20C0D" w:rsidRDefault="00582906" w:rsidP="00582906">
      <w:pPr>
        <w:ind w:left="720" w:hanging="11"/>
        <w:jc w:val="both"/>
        <w:rPr>
          <w:b/>
          <w:lang w:val="el-GR"/>
        </w:rPr>
      </w:pPr>
      <w:proofErr w:type="spellStart"/>
      <w:r w:rsidRPr="00B20C0D">
        <w:rPr>
          <w:b/>
          <w:lang w:val="el-GR"/>
        </w:rPr>
        <w:t>Τηλ</w:t>
      </w:r>
      <w:proofErr w:type="spellEnd"/>
      <w:r w:rsidRPr="00B20C0D">
        <w:rPr>
          <w:b/>
          <w:lang w:val="el-GR"/>
        </w:rPr>
        <w:t>. +30-210-9858930</w:t>
      </w:r>
    </w:p>
    <w:p w:rsidR="00582906" w:rsidRPr="00B20C0D" w:rsidRDefault="00582906" w:rsidP="00582906">
      <w:pPr>
        <w:ind w:left="720" w:hanging="11"/>
        <w:jc w:val="both"/>
        <w:rPr>
          <w:b/>
          <w:lang w:val="el-GR" w:eastAsia="zh-CN"/>
        </w:rPr>
      </w:pPr>
    </w:p>
    <w:p w:rsidR="00582906" w:rsidRPr="00B20C0D" w:rsidRDefault="00582906" w:rsidP="00582906">
      <w:pPr>
        <w:ind w:left="709" w:hanging="709"/>
        <w:jc w:val="both"/>
        <w:rPr>
          <w:b/>
          <w:lang w:val="el-GR"/>
        </w:rPr>
      </w:pPr>
      <w:r w:rsidRPr="00B20C0D">
        <w:rPr>
          <w:b/>
          <w:lang w:val="el-GR"/>
        </w:rPr>
        <w:t>8.</w:t>
      </w:r>
      <w:r w:rsidRPr="00B20C0D">
        <w:rPr>
          <w:b/>
          <w:lang w:val="el-GR"/>
        </w:rPr>
        <w:tab/>
        <w:t>ΑΡΙΘΜΟΣ(ΟΙ) ΑΔΕΙΑΣ ΚΥΚΛΟΦΟΡΙΑΣ</w:t>
      </w:r>
    </w:p>
    <w:p w:rsidR="00582906" w:rsidRPr="00B20C0D" w:rsidRDefault="00582906" w:rsidP="00582906">
      <w:pPr>
        <w:ind w:left="709" w:hanging="709"/>
        <w:jc w:val="both"/>
        <w:rPr>
          <w:b/>
          <w:lang w:val="el-GR"/>
        </w:rPr>
      </w:pPr>
    </w:p>
    <w:p w:rsidR="00582906" w:rsidRPr="00582906" w:rsidRDefault="00582906" w:rsidP="00582906">
      <w:pPr>
        <w:ind w:left="709" w:hanging="709"/>
        <w:jc w:val="both"/>
        <w:rPr>
          <w:lang w:val="el-GR" w:eastAsia="zh-CN"/>
        </w:rPr>
      </w:pPr>
      <w:r w:rsidRPr="00B20C0D">
        <w:rPr>
          <w:b/>
          <w:lang w:val="el-GR"/>
        </w:rPr>
        <w:tab/>
      </w:r>
      <w:r w:rsidRPr="00B20C0D">
        <w:rPr>
          <w:lang w:val="el-GR"/>
        </w:rPr>
        <w:t xml:space="preserve">ΕΛΛΑΔΑ </w:t>
      </w:r>
      <w:r w:rsidRPr="00B20C0D">
        <w:rPr>
          <w:lang w:val="el-GR" w:eastAsia="zh-CN"/>
        </w:rPr>
        <w:t xml:space="preserve">: </w:t>
      </w:r>
      <w:r w:rsidR="00240774">
        <w:rPr>
          <w:lang w:eastAsia="zh-CN"/>
        </w:rPr>
        <w:t>11786</w:t>
      </w:r>
      <w:r w:rsidRPr="00B20C0D">
        <w:rPr>
          <w:lang w:val="el-GR" w:eastAsia="zh-CN"/>
        </w:rPr>
        <w:t xml:space="preserve"> </w:t>
      </w:r>
      <w:r w:rsidRPr="00582906">
        <w:rPr>
          <w:lang w:val="el-GR" w:eastAsia="zh-CN"/>
        </w:rPr>
        <w:t xml:space="preserve"> </w:t>
      </w:r>
    </w:p>
    <w:p w:rsidR="00582906" w:rsidRPr="00B20C0D" w:rsidRDefault="00582906" w:rsidP="00582906">
      <w:pPr>
        <w:ind w:left="709" w:hanging="709"/>
        <w:jc w:val="both"/>
        <w:rPr>
          <w:lang w:val="el-GR" w:eastAsia="zh-CN"/>
        </w:rPr>
      </w:pPr>
      <w:r w:rsidRPr="00B20C0D">
        <w:rPr>
          <w:lang w:val="el-GR" w:eastAsia="zh-CN"/>
        </w:rPr>
        <w:tab/>
        <w:t>ΚΥΠΡΟΣ : 19760</w:t>
      </w:r>
    </w:p>
    <w:p w:rsidR="00582906" w:rsidRPr="00B20C0D" w:rsidRDefault="00582906" w:rsidP="00582906">
      <w:pPr>
        <w:ind w:left="709" w:hanging="709"/>
        <w:jc w:val="both"/>
        <w:rPr>
          <w:lang w:val="el-GR"/>
        </w:rPr>
      </w:pPr>
    </w:p>
    <w:p w:rsidR="00582906" w:rsidRPr="00B20C0D" w:rsidRDefault="00582906" w:rsidP="00582906">
      <w:pPr>
        <w:ind w:left="709" w:hanging="709"/>
        <w:jc w:val="both"/>
        <w:rPr>
          <w:b/>
          <w:lang w:val="el-GR"/>
        </w:rPr>
      </w:pPr>
      <w:r w:rsidRPr="00B20C0D">
        <w:rPr>
          <w:b/>
          <w:lang w:val="el-GR"/>
        </w:rPr>
        <w:t>9.</w:t>
      </w:r>
      <w:r w:rsidRPr="00B20C0D">
        <w:rPr>
          <w:b/>
          <w:lang w:val="el-GR"/>
        </w:rPr>
        <w:tab/>
        <w:t>ΗΜΕΡΟΜΗΝΙΑ ΠΡΩΤΗΣ ΕΓΚΡΙΣΗΣ / ΑΝΑΝΕΩΣΗΣ ΤΗΣ ΑΔΕΙΑΣ</w:t>
      </w:r>
    </w:p>
    <w:p w:rsidR="00582906" w:rsidRPr="00B20C0D" w:rsidRDefault="00582906" w:rsidP="00582906">
      <w:pPr>
        <w:ind w:left="709" w:hanging="709"/>
        <w:jc w:val="both"/>
        <w:rPr>
          <w:lang w:val="el-GR"/>
        </w:rPr>
      </w:pPr>
      <w:r w:rsidRPr="00B20C0D">
        <w:rPr>
          <w:lang w:val="el-GR"/>
        </w:rPr>
        <w:tab/>
        <w:t xml:space="preserve"> </w:t>
      </w:r>
    </w:p>
    <w:p w:rsidR="00582906" w:rsidRPr="00B20C0D" w:rsidRDefault="00582906" w:rsidP="00582906">
      <w:pPr>
        <w:ind w:left="709" w:hanging="709"/>
        <w:jc w:val="both"/>
        <w:rPr>
          <w:lang w:val="el-GR"/>
        </w:rPr>
      </w:pPr>
      <w:r w:rsidRPr="00B20C0D">
        <w:rPr>
          <w:lang w:val="el-GR"/>
        </w:rPr>
        <w:tab/>
        <w:t>Ημερομηνία πρώτης έγκρισης: 17 Σεπτεμβρίου 2004.</w:t>
      </w:r>
    </w:p>
    <w:p w:rsidR="00582906" w:rsidRPr="00B20C0D" w:rsidRDefault="00582906" w:rsidP="00582906">
      <w:pPr>
        <w:ind w:left="709" w:hanging="709"/>
        <w:jc w:val="both"/>
        <w:rPr>
          <w:lang w:val="el-GR"/>
        </w:rPr>
      </w:pPr>
    </w:p>
    <w:p w:rsidR="00582906" w:rsidRPr="00B20C0D" w:rsidRDefault="00582906" w:rsidP="00582906">
      <w:pPr>
        <w:ind w:left="709" w:hanging="709"/>
        <w:jc w:val="both"/>
        <w:rPr>
          <w:b/>
          <w:lang w:val="el-GR"/>
        </w:rPr>
      </w:pPr>
      <w:r w:rsidRPr="00B20C0D">
        <w:rPr>
          <w:b/>
          <w:lang w:val="el-GR"/>
        </w:rPr>
        <w:t>10.</w:t>
      </w:r>
      <w:r w:rsidRPr="00B20C0D">
        <w:rPr>
          <w:b/>
          <w:lang w:val="el-GR"/>
        </w:rPr>
        <w:tab/>
        <w:t>ΗΜΕΡΟΜΗΝΙΑ ΑΝΑΘΕΩΡΗΣΗΣ ΤΟΥ ΚΕΙΜΕΝΟΥ</w:t>
      </w:r>
    </w:p>
    <w:p w:rsidR="00582906" w:rsidRPr="00B20C0D" w:rsidRDefault="00582906" w:rsidP="00582906">
      <w:pPr>
        <w:ind w:left="709" w:hanging="709"/>
        <w:jc w:val="both"/>
        <w:rPr>
          <w:lang w:val="el-GR"/>
        </w:rPr>
      </w:pPr>
      <w:r w:rsidRPr="00B20C0D">
        <w:rPr>
          <w:lang w:val="el-GR"/>
        </w:rPr>
        <w:tab/>
      </w:r>
    </w:p>
    <w:p w:rsidR="00582906" w:rsidRPr="00011B26" w:rsidRDefault="00582906" w:rsidP="00582906">
      <w:pPr>
        <w:ind w:left="709" w:hanging="709"/>
        <w:jc w:val="both"/>
        <w:rPr>
          <w:lang w:eastAsia="zh-CN"/>
        </w:rPr>
      </w:pPr>
      <w:r w:rsidRPr="00B20C0D">
        <w:rPr>
          <w:lang w:val="el-GR"/>
        </w:rPr>
        <w:t xml:space="preserve"> </w:t>
      </w:r>
      <w:r w:rsidRPr="00011B26">
        <w:rPr>
          <w:b/>
          <w:lang w:val="el-GR"/>
        </w:rPr>
        <w:tab/>
      </w:r>
      <w:r w:rsidRPr="00011B26">
        <w:rPr>
          <w:lang w:val="el-GR"/>
        </w:rPr>
        <w:t xml:space="preserve">ΕΛΛΑΔΑ </w:t>
      </w:r>
      <w:r w:rsidRPr="00011B26">
        <w:rPr>
          <w:lang w:val="el-GR" w:eastAsia="zh-CN"/>
        </w:rPr>
        <w:t xml:space="preserve">:  </w:t>
      </w:r>
      <w:r>
        <w:rPr>
          <w:lang w:val="el-GR" w:eastAsia="zh-CN"/>
        </w:rPr>
        <w:t>4</w:t>
      </w:r>
      <w:r>
        <w:rPr>
          <w:lang w:eastAsia="zh-CN"/>
        </w:rPr>
        <w:t>/</w:t>
      </w:r>
      <w:r>
        <w:rPr>
          <w:lang w:val="el-GR" w:eastAsia="zh-CN"/>
        </w:rPr>
        <w:t>7</w:t>
      </w:r>
      <w:r>
        <w:rPr>
          <w:lang w:eastAsia="zh-CN"/>
        </w:rPr>
        <w:t>/201</w:t>
      </w:r>
      <w:r>
        <w:rPr>
          <w:lang w:val="el-GR" w:eastAsia="zh-CN"/>
        </w:rPr>
        <w:t>6</w:t>
      </w:r>
      <w:r>
        <w:rPr>
          <w:lang w:eastAsia="zh-CN"/>
        </w:rPr>
        <w:t xml:space="preserve"> </w:t>
      </w:r>
    </w:p>
    <w:p w:rsidR="004D52A5" w:rsidRDefault="00582906" w:rsidP="00111B1C">
      <w:pPr>
        <w:ind w:left="709" w:hanging="709"/>
        <w:jc w:val="both"/>
      </w:pPr>
      <w:r w:rsidRPr="00011B26">
        <w:rPr>
          <w:lang w:val="el-GR" w:eastAsia="zh-CN"/>
        </w:rPr>
        <w:tab/>
        <w:t xml:space="preserve">ΚΥΠΡΟΣ : </w:t>
      </w:r>
      <w:r>
        <w:rPr>
          <w:lang w:eastAsia="zh-CN"/>
        </w:rPr>
        <w:t xml:space="preserve"> </w:t>
      </w:r>
      <w:r w:rsidRPr="00230644">
        <w:rPr>
          <w:lang w:eastAsia="zh-CN"/>
        </w:rPr>
        <w:t>4/4/2014</w:t>
      </w:r>
    </w:p>
    <w:sectPr w:rsidR="004D52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BCB"/>
    <w:multiLevelType w:val="singleLevel"/>
    <w:tmpl w:val="DD34D830"/>
    <w:lvl w:ilvl="0">
      <w:start w:val="2"/>
      <w:numFmt w:val="decimal"/>
      <w:lvlText w:val="6.%1 "/>
      <w:legacy w:legacy="1" w:legacySpace="0" w:legacyIndent="283"/>
      <w:lvlJc w:val="left"/>
      <w:pPr>
        <w:ind w:left="283" w:hanging="283"/>
      </w:pPr>
      <w:rPr>
        <w:b/>
        <w:sz w:val="24"/>
      </w:rPr>
    </w:lvl>
  </w:abstractNum>
  <w:abstractNum w:abstractNumId="1">
    <w:nsid w:val="59C5129A"/>
    <w:multiLevelType w:val="multilevel"/>
    <w:tmpl w:val="A778354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6"/>
    <w:rsid w:val="00111B1C"/>
    <w:rsid w:val="00240774"/>
    <w:rsid w:val="00403498"/>
    <w:rsid w:val="00520928"/>
    <w:rsid w:val="00582906"/>
    <w:rsid w:val="0059544C"/>
    <w:rsid w:val="005A6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06"/>
    <w:pPr>
      <w:spacing w:after="0" w:line="240" w:lineRule="auto"/>
    </w:pPr>
    <w:rPr>
      <w:rFonts w:ascii="Times New Roman" w:eastAsia="SimSun" w:hAnsi="Times New Roman" w:cs="Times New Roman"/>
      <w:sz w:val="24"/>
      <w:szCs w:val="24"/>
      <w:lang w:val="en-US"/>
    </w:rPr>
  </w:style>
  <w:style w:type="paragraph" w:styleId="1">
    <w:name w:val="heading 1"/>
    <w:basedOn w:val="a"/>
    <w:next w:val="a"/>
    <w:link w:val="1Char"/>
    <w:qFormat/>
    <w:rsid w:val="00582906"/>
    <w:pPr>
      <w:keepNext/>
      <w:ind w:left="720"/>
      <w:outlineLvl w:val="0"/>
    </w:pPr>
    <w:rPr>
      <w:b/>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2906"/>
    <w:rPr>
      <w:rFonts w:ascii="Times New Roman" w:eastAsia="SimSun" w:hAnsi="Times New Roman" w:cs="Times New Roman"/>
      <w:b/>
      <w:sz w:val="24"/>
      <w:szCs w:val="20"/>
      <w:lang w:val="en-AU"/>
    </w:rPr>
  </w:style>
  <w:style w:type="paragraph" w:styleId="a3">
    <w:name w:val="footer"/>
    <w:basedOn w:val="a"/>
    <w:link w:val="Char"/>
    <w:rsid w:val="00582906"/>
    <w:pPr>
      <w:tabs>
        <w:tab w:val="center" w:pos="4153"/>
        <w:tab w:val="right" w:pos="8306"/>
      </w:tabs>
    </w:pPr>
    <w:rPr>
      <w:sz w:val="22"/>
      <w:szCs w:val="20"/>
      <w:lang w:val="en-AU"/>
    </w:rPr>
  </w:style>
  <w:style w:type="character" w:customStyle="1" w:styleId="Char">
    <w:name w:val="Υποσέλιδο Char"/>
    <w:basedOn w:val="a0"/>
    <w:link w:val="a3"/>
    <w:rsid w:val="00582906"/>
    <w:rPr>
      <w:rFonts w:ascii="Times New Roman" w:eastAsia="SimSun" w:hAnsi="Times New Roman" w:cs="Times New Roman"/>
      <w:szCs w:val="20"/>
      <w:lang w:val="en-AU"/>
    </w:rPr>
  </w:style>
  <w:style w:type="paragraph" w:styleId="a4">
    <w:name w:val="Body Text Indent"/>
    <w:basedOn w:val="a"/>
    <w:link w:val="Char0"/>
    <w:rsid w:val="00582906"/>
    <w:pPr>
      <w:tabs>
        <w:tab w:val="left" w:pos="720"/>
      </w:tabs>
      <w:ind w:left="720" w:hanging="720"/>
    </w:pPr>
    <w:rPr>
      <w:b/>
      <w:szCs w:val="20"/>
      <w:lang w:val="en-AU"/>
    </w:rPr>
  </w:style>
  <w:style w:type="character" w:customStyle="1" w:styleId="Char0">
    <w:name w:val="Σώμα κείμενου με εσοχή Char"/>
    <w:basedOn w:val="a0"/>
    <w:link w:val="a4"/>
    <w:rsid w:val="00582906"/>
    <w:rPr>
      <w:rFonts w:ascii="Times New Roman" w:eastAsia="SimSun" w:hAnsi="Times New Roman" w:cs="Times New Roman"/>
      <w:b/>
      <w:sz w:val="24"/>
      <w:szCs w:val="20"/>
      <w:lang w:val="en-AU"/>
    </w:rPr>
  </w:style>
  <w:style w:type="paragraph" w:styleId="2">
    <w:name w:val="Body Text Indent 2"/>
    <w:basedOn w:val="a"/>
    <w:link w:val="2Char"/>
    <w:rsid w:val="00582906"/>
    <w:pPr>
      <w:ind w:left="720"/>
    </w:pPr>
    <w:rPr>
      <w:szCs w:val="20"/>
      <w:lang w:val="en-AU"/>
    </w:rPr>
  </w:style>
  <w:style w:type="character" w:customStyle="1" w:styleId="2Char">
    <w:name w:val="Σώμα κείμενου με εσοχή 2 Char"/>
    <w:basedOn w:val="a0"/>
    <w:link w:val="2"/>
    <w:rsid w:val="00582906"/>
    <w:rPr>
      <w:rFonts w:ascii="Times New Roman" w:eastAsia="SimSun" w:hAnsi="Times New Roman" w:cs="Times New Roman"/>
      <w:sz w:val="24"/>
      <w:szCs w:val="20"/>
      <w:lang w:val="en-AU"/>
    </w:rPr>
  </w:style>
  <w:style w:type="paragraph" w:styleId="a5">
    <w:name w:val="Title"/>
    <w:basedOn w:val="a"/>
    <w:link w:val="Char1"/>
    <w:qFormat/>
    <w:rsid w:val="00582906"/>
    <w:pPr>
      <w:jc w:val="center"/>
    </w:pPr>
    <w:rPr>
      <w:b/>
      <w:szCs w:val="20"/>
      <w:lang w:val="en-AU"/>
    </w:rPr>
  </w:style>
  <w:style w:type="character" w:customStyle="1" w:styleId="Char1">
    <w:name w:val="Τίτλος Char"/>
    <w:basedOn w:val="a0"/>
    <w:link w:val="a5"/>
    <w:rsid w:val="00582906"/>
    <w:rPr>
      <w:rFonts w:ascii="Times New Roman" w:eastAsia="SimSun" w:hAnsi="Times New Roman" w:cs="Times New Roman"/>
      <w:b/>
      <w:sz w:val="24"/>
      <w:szCs w:val="20"/>
      <w:lang w:val="en-AU"/>
    </w:rPr>
  </w:style>
  <w:style w:type="paragraph" w:styleId="3">
    <w:name w:val="Body Text Indent 3"/>
    <w:basedOn w:val="a"/>
    <w:link w:val="3Char"/>
    <w:rsid w:val="00582906"/>
    <w:pPr>
      <w:ind w:left="709"/>
    </w:pPr>
    <w:rPr>
      <w:szCs w:val="20"/>
      <w:lang w:val="en-AU"/>
    </w:rPr>
  </w:style>
  <w:style w:type="character" w:customStyle="1" w:styleId="3Char">
    <w:name w:val="Σώμα κείμενου με εσοχή 3 Char"/>
    <w:basedOn w:val="a0"/>
    <w:link w:val="3"/>
    <w:rsid w:val="00582906"/>
    <w:rPr>
      <w:rFonts w:ascii="Times New Roman" w:eastAsia="SimSun" w:hAnsi="Times New Roman" w:cs="Times New Roman"/>
      <w:sz w:val="24"/>
      <w:szCs w:val="20"/>
      <w:lang w:val="en-AU"/>
    </w:rPr>
  </w:style>
  <w:style w:type="paragraph" w:customStyle="1" w:styleId="NormalText">
    <w:name w:val="Normal Text"/>
    <w:basedOn w:val="a"/>
    <w:rsid w:val="00582906"/>
    <w:pPr>
      <w:spacing w:before="120" w:after="60"/>
    </w:pPr>
    <w:rPr>
      <w:szCs w:val="20"/>
    </w:rPr>
  </w:style>
  <w:style w:type="paragraph" w:styleId="a6">
    <w:name w:val="Balloon Text"/>
    <w:basedOn w:val="a"/>
    <w:link w:val="Char2"/>
    <w:uiPriority w:val="99"/>
    <w:semiHidden/>
    <w:unhideWhenUsed/>
    <w:rsid w:val="005A6AD8"/>
    <w:rPr>
      <w:rFonts w:ascii="Tahoma" w:hAnsi="Tahoma" w:cs="Tahoma"/>
      <w:sz w:val="16"/>
      <w:szCs w:val="16"/>
    </w:rPr>
  </w:style>
  <w:style w:type="character" w:customStyle="1" w:styleId="Char2">
    <w:name w:val="Κείμενο πλαισίου Char"/>
    <w:basedOn w:val="a0"/>
    <w:link w:val="a6"/>
    <w:uiPriority w:val="99"/>
    <w:semiHidden/>
    <w:rsid w:val="005A6AD8"/>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06"/>
    <w:pPr>
      <w:spacing w:after="0" w:line="240" w:lineRule="auto"/>
    </w:pPr>
    <w:rPr>
      <w:rFonts w:ascii="Times New Roman" w:eastAsia="SimSun" w:hAnsi="Times New Roman" w:cs="Times New Roman"/>
      <w:sz w:val="24"/>
      <w:szCs w:val="24"/>
      <w:lang w:val="en-US"/>
    </w:rPr>
  </w:style>
  <w:style w:type="paragraph" w:styleId="1">
    <w:name w:val="heading 1"/>
    <w:basedOn w:val="a"/>
    <w:next w:val="a"/>
    <w:link w:val="1Char"/>
    <w:qFormat/>
    <w:rsid w:val="00582906"/>
    <w:pPr>
      <w:keepNext/>
      <w:ind w:left="720"/>
      <w:outlineLvl w:val="0"/>
    </w:pPr>
    <w:rPr>
      <w:b/>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2906"/>
    <w:rPr>
      <w:rFonts w:ascii="Times New Roman" w:eastAsia="SimSun" w:hAnsi="Times New Roman" w:cs="Times New Roman"/>
      <w:b/>
      <w:sz w:val="24"/>
      <w:szCs w:val="20"/>
      <w:lang w:val="en-AU"/>
    </w:rPr>
  </w:style>
  <w:style w:type="paragraph" w:styleId="a3">
    <w:name w:val="footer"/>
    <w:basedOn w:val="a"/>
    <w:link w:val="Char"/>
    <w:rsid w:val="00582906"/>
    <w:pPr>
      <w:tabs>
        <w:tab w:val="center" w:pos="4153"/>
        <w:tab w:val="right" w:pos="8306"/>
      </w:tabs>
    </w:pPr>
    <w:rPr>
      <w:sz w:val="22"/>
      <w:szCs w:val="20"/>
      <w:lang w:val="en-AU"/>
    </w:rPr>
  </w:style>
  <w:style w:type="character" w:customStyle="1" w:styleId="Char">
    <w:name w:val="Υποσέλιδο Char"/>
    <w:basedOn w:val="a0"/>
    <w:link w:val="a3"/>
    <w:rsid w:val="00582906"/>
    <w:rPr>
      <w:rFonts w:ascii="Times New Roman" w:eastAsia="SimSun" w:hAnsi="Times New Roman" w:cs="Times New Roman"/>
      <w:szCs w:val="20"/>
      <w:lang w:val="en-AU"/>
    </w:rPr>
  </w:style>
  <w:style w:type="paragraph" w:styleId="a4">
    <w:name w:val="Body Text Indent"/>
    <w:basedOn w:val="a"/>
    <w:link w:val="Char0"/>
    <w:rsid w:val="00582906"/>
    <w:pPr>
      <w:tabs>
        <w:tab w:val="left" w:pos="720"/>
      </w:tabs>
      <w:ind w:left="720" w:hanging="720"/>
    </w:pPr>
    <w:rPr>
      <w:b/>
      <w:szCs w:val="20"/>
      <w:lang w:val="en-AU"/>
    </w:rPr>
  </w:style>
  <w:style w:type="character" w:customStyle="1" w:styleId="Char0">
    <w:name w:val="Σώμα κείμενου με εσοχή Char"/>
    <w:basedOn w:val="a0"/>
    <w:link w:val="a4"/>
    <w:rsid w:val="00582906"/>
    <w:rPr>
      <w:rFonts w:ascii="Times New Roman" w:eastAsia="SimSun" w:hAnsi="Times New Roman" w:cs="Times New Roman"/>
      <w:b/>
      <w:sz w:val="24"/>
      <w:szCs w:val="20"/>
      <w:lang w:val="en-AU"/>
    </w:rPr>
  </w:style>
  <w:style w:type="paragraph" w:styleId="2">
    <w:name w:val="Body Text Indent 2"/>
    <w:basedOn w:val="a"/>
    <w:link w:val="2Char"/>
    <w:rsid w:val="00582906"/>
    <w:pPr>
      <w:ind w:left="720"/>
    </w:pPr>
    <w:rPr>
      <w:szCs w:val="20"/>
      <w:lang w:val="en-AU"/>
    </w:rPr>
  </w:style>
  <w:style w:type="character" w:customStyle="1" w:styleId="2Char">
    <w:name w:val="Σώμα κείμενου με εσοχή 2 Char"/>
    <w:basedOn w:val="a0"/>
    <w:link w:val="2"/>
    <w:rsid w:val="00582906"/>
    <w:rPr>
      <w:rFonts w:ascii="Times New Roman" w:eastAsia="SimSun" w:hAnsi="Times New Roman" w:cs="Times New Roman"/>
      <w:sz w:val="24"/>
      <w:szCs w:val="20"/>
      <w:lang w:val="en-AU"/>
    </w:rPr>
  </w:style>
  <w:style w:type="paragraph" w:styleId="a5">
    <w:name w:val="Title"/>
    <w:basedOn w:val="a"/>
    <w:link w:val="Char1"/>
    <w:qFormat/>
    <w:rsid w:val="00582906"/>
    <w:pPr>
      <w:jc w:val="center"/>
    </w:pPr>
    <w:rPr>
      <w:b/>
      <w:szCs w:val="20"/>
      <w:lang w:val="en-AU"/>
    </w:rPr>
  </w:style>
  <w:style w:type="character" w:customStyle="1" w:styleId="Char1">
    <w:name w:val="Τίτλος Char"/>
    <w:basedOn w:val="a0"/>
    <w:link w:val="a5"/>
    <w:rsid w:val="00582906"/>
    <w:rPr>
      <w:rFonts w:ascii="Times New Roman" w:eastAsia="SimSun" w:hAnsi="Times New Roman" w:cs="Times New Roman"/>
      <w:b/>
      <w:sz w:val="24"/>
      <w:szCs w:val="20"/>
      <w:lang w:val="en-AU"/>
    </w:rPr>
  </w:style>
  <w:style w:type="paragraph" w:styleId="3">
    <w:name w:val="Body Text Indent 3"/>
    <w:basedOn w:val="a"/>
    <w:link w:val="3Char"/>
    <w:rsid w:val="00582906"/>
    <w:pPr>
      <w:ind w:left="709"/>
    </w:pPr>
    <w:rPr>
      <w:szCs w:val="20"/>
      <w:lang w:val="en-AU"/>
    </w:rPr>
  </w:style>
  <w:style w:type="character" w:customStyle="1" w:styleId="3Char">
    <w:name w:val="Σώμα κείμενου με εσοχή 3 Char"/>
    <w:basedOn w:val="a0"/>
    <w:link w:val="3"/>
    <w:rsid w:val="00582906"/>
    <w:rPr>
      <w:rFonts w:ascii="Times New Roman" w:eastAsia="SimSun" w:hAnsi="Times New Roman" w:cs="Times New Roman"/>
      <w:sz w:val="24"/>
      <w:szCs w:val="20"/>
      <w:lang w:val="en-AU"/>
    </w:rPr>
  </w:style>
  <w:style w:type="paragraph" w:customStyle="1" w:styleId="NormalText">
    <w:name w:val="Normal Text"/>
    <w:basedOn w:val="a"/>
    <w:rsid w:val="00582906"/>
    <w:pPr>
      <w:spacing w:before="120" w:after="60"/>
    </w:pPr>
    <w:rPr>
      <w:szCs w:val="20"/>
    </w:rPr>
  </w:style>
  <w:style w:type="paragraph" w:styleId="a6">
    <w:name w:val="Balloon Text"/>
    <w:basedOn w:val="a"/>
    <w:link w:val="Char2"/>
    <w:uiPriority w:val="99"/>
    <w:semiHidden/>
    <w:unhideWhenUsed/>
    <w:rsid w:val="005A6AD8"/>
    <w:rPr>
      <w:rFonts w:ascii="Tahoma" w:hAnsi="Tahoma" w:cs="Tahoma"/>
      <w:sz w:val="16"/>
      <w:szCs w:val="16"/>
    </w:rPr>
  </w:style>
  <w:style w:type="character" w:customStyle="1" w:styleId="Char2">
    <w:name w:val="Κείμενο πλαισίου Char"/>
    <w:basedOn w:val="a0"/>
    <w:link w:val="a6"/>
    <w:uiPriority w:val="99"/>
    <w:semiHidden/>
    <w:rsid w:val="005A6AD8"/>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2811</Words>
  <Characters>15185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vgkogkozotou</dc:creator>
  <cp:lastModifiedBy>ΜΑΥΡΗΣ ΚΩΝΣΤΑΝΤΙΝΟΣ</cp:lastModifiedBy>
  <cp:revision>2</cp:revision>
  <cp:lastPrinted>2016-10-31T09:25:00Z</cp:lastPrinted>
  <dcterms:created xsi:type="dcterms:W3CDTF">2016-10-31T09:26:00Z</dcterms:created>
  <dcterms:modified xsi:type="dcterms:W3CDTF">2016-10-31T09:26:00Z</dcterms:modified>
</cp:coreProperties>
</file>