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71" w:rsidRPr="005D5A9F" w:rsidRDefault="002B7471" w:rsidP="00E40E76">
      <w:pPr>
        <w:rPr>
          <w:b/>
          <w:lang w:val="el-GR"/>
        </w:rPr>
      </w:pPr>
      <w:r w:rsidRPr="005D5A9F">
        <w:rPr>
          <w:b/>
          <w:lang w:val="el-GR"/>
        </w:rPr>
        <w:t>1.</w:t>
      </w:r>
      <w:r w:rsidRPr="005D5A9F">
        <w:rPr>
          <w:b/>
          <w:lang w:val="el-GR"/>
        </w:rPr>
        <w:tab/>
        <w:t xml:space="preserve">ΕΜΠΟΡΙΚΗ ΟΝΟΜΑΣΙΑ ΤΟΥ ΦΑΡΜΑΚΕΥΤΙΚΟΥ ΠΡΟΪΟΝΤΟΣ </w:t>
      </w:r>
    </w:p>
    <w:p w:rsidR="002B7471" w:rsidRPr="005D5A9F" w:rsidRDefault="002B7471" w:rsidP="002B7471">
      <w:pPr>
        <w:jc w:val="both"/>
        <w:rPr>
          <w:lang w:val="el-GR"/>
        </w:rPr>
      </w:pPr>
      <w:proofErr w:type="spellStart"/>
      <w:r w:rsidRPr="005D5A9F">
        <w:t>Infanrix</w:t>
      </w:r>
      <w:proofErr w:type="spellEnd"/>
      <w:r w:rsidRPr="005D5A9F">
        <w:rPr>
          <w:lang w:val="el-GR"/>
        </w:rPr>
        <w:t xml:space="preserve"> </w:t>
      </w:r>
      <w:r w:rsidRPr="005D5A9F">
        <w:t>Tetra</w:t>
      </w:r>
      <w:r w:rsidRPr="005D5A9F">
        <w:rPr>
          <w:lang w:val="el-GR"/>
        </w:rPr>
        <w:t>, ενέσιμο εναιώρημα σε προγεμισμένη σύριγγα</w:t>
      </w:r>
    </w:p>
    <w:p w:rsidR="002B7471" w:rsidRPr="005D5A9F" w:rsidRDefault="002B7471" w:rsidP="002B7471">
      <w:pPr>
        <w:jc w:val="both"/>
        <w:rPr>
          <w:lang w:val="el-GR"/>
        </w:rPr>
      </w:pPr>
      <w:r w:rsidRPr="005D5A9F">
        <w:rPr>
          <w:lang w:val="el-GR"/>
        </w:rPr>
        <w:t>Εμβόλιο (προσροφημένο) διφθερίτιδας, τετάνου, κοκκύτη (ακυτταρικό συστατικό) και πολιομυελίτιδας (αδρανοποιημένης).</w:t>
      </w:r>
    </w:p>
    <w:p w:rsidR="002B7471" w:rsidRPr="005D5A9F" w:rsidRDefault="002B7471" w:rsidP="002B7471">
      <w:pPr>
        <w:jc w:val="both"/>
        <w:rPr>
          <w:b/>
          <w:u w:val="single"/>
          <w:lang w:val="el-GR"/>
        </w:rPr>
      </w:pPr>
    </w:p>
    <w:p w:rsidR="002B7471" w:rsidRPr="00E40E76" w:rsidRDefault="002B7471" w:rsidP="00E40E76">
      <w:pPr>
        <w:jc w:val="both"/>
        <w:rPr>
          <w:b/>
          <w:lang w:val="el-GR"/>
        </w:rPr>
      </w:pPr>
      <w:r w:rsidRPr="005D5A9F">
        <w:rPr>
          <w:b/>
          <w:lang w:val="el-GR"/>
        </w:rPr>
        <w:t>2.</w:t>
      </w:r>
      <w:r w:rsidRPr="005D5A9F">
        <w:rPr>
          <w:b/>
          <w:lang w:val="el-GR"/>
        </w:rPr>
        <w:tab/>
        <w:t>ΠΟΙΟΤΙΚΗ ΚΑΙ ΠΟΣΟΤΙΚΗ ΣΥΝΘΕΣΗ</w:t>
      </w:r>
    </w:p>
    <w:p w:rsidR="002B7471" w:rsidRPr="002B7471" w:rsidRDefault="002B7471" w:rsidP="002B7471">
      <w:pPr>
        <w:rPr>
          <w:lang w:val="el-GR"/>
        </w:rPr>
      </w:pPr>
      <w:r w:rsidRPr="005D5A9F">
        <w:rPr>
          <w:lang w:val="el-GR"/>
        </w:rPr>
        <w:t>Μία δόση (0</w:t>
      </w:r>
      <w:r w:rsidR="004B001F" w:rsidRPr="003703B5">
        <w:rPr>
          <w:lang w:val="el-GR"/>
        </w:rPr>
        <w:t>,</w:t>
      </w:r>
      <w:r w:rsidRPr="005D5A9F">
        <w:rPr>
          <w:lang w:val="el-GR"/>
        </w:rPr>
        <w:t xml:space="preserve">5 </w:t>
      </w:r>
      <w:r w:rsidRPr="005D5A9F">
        <w:t>ml</w:t>
      </w:r>
      <w:r w:rsidRPr="005D5A9F">
        <w:rPr>
          <w:lang w:val="el-GR"/>
        </w:rPr>
        <w:t>) περιέχει</w:t>
      </w:r>
      <w:r w:rsidRPr="002B7471">
        <w:rPr>
          <w:lang w:val="el-GR"/>
        </w:rPr>
        <w:t>:</w:t>
      </w:r>
    </w:p>
    <w:p w:rsidR="002B7471" w:rsidRPr="005D5A9F" w:rsidRDefault="002B7471" w:rsidP="002B7471">
      <w:pPr>
        <w:rPr>
          <w:lang w:val="el-GR"/>
        </w:rPr>
      </w:pPr>
    </w:p>
    <w:p w:rsidR="002B7471" w:rsidRPr="005D5A9F" w:rsidRDefault="002B7471" w:rsidP="002B7471">
      <w:pPr>
        <w:tabs>
          <w:tab w:val="right" w:pos="7938"/>
        </w:tabs>
        <w:jc w:val="both"/>
        <w:rPr>
          <w:lang w:val="el-GR"/>
        </w:rPr>
      </w:pPr>
      <w:r w:rsidRPr="005D5A9F">
        <w:rPr>
          <w:lang w:val="el-GR"/>
        </w:rPr>
        <w:t>Τοξοειδές της διφθερίτιδας</w:t>
      </w:r>
      <w:r w:rsidRPr="005D5A9F">
        <w:rPr>
          <w:b/>
          <w:vertAlign w:val="superscript"/>
          <w:lang w:val="el-GR"/>
        </w:rPr>
        <w:t>1</w:t>
      </w:r>
      <w:r w:rsidRPr="005D5A9F">
        <w:rPr>
          <w:lang w:val="el-GR"/>
        </w:rPr>
        <w:tab/>
        <w:t xml:space="preserve">όχι λιγότερο από 30 </w:t>
      </w:r>
      <w:r w:rsidRPr="005D5A9F">
        <w:t>IU</w:t>
      </w:r>
    </w:p>
    <w:p w:rsidR="002B7471" w:rsidRPr="005D5A9F" w:rsidRDefault="002B7471" w:rsidP="002B7471">
      <w:pPr>
        <w:tabs>
          <w:tab w:val="right" w:pos="7938"/>
        </w:tabs>
        <w:jc w:val="both"/>
        <w:rPr>
          <w:lang w:val="el-GR"/>
        </w:rPr>
      </w:pPr>
      <w:r w:rsidRPr="005D5A9F">
        <w:rPr>
          <w:lang w:val="el-GR"/>
        </w:rPr>
        <w:t>Τοξοειδές του τετάνου</w:t>
      </w:r>
      <w:r w:rsidRPr="005D5A9F">
        <w:rPr>
          <w:b/>
          <w:vertAlign w:val="superscript"/>
          <w:lang w:val="el-GR"/>
        </w:rPr>
        <w:t>1</w:t>
      </w:r>
      <w:r w:rsidRPr="005D5A9F">
        <w:rPr>
          <w:lang w:val="el-GR"/>
        </w:rPr>
        <w:tab/>
        <w:t xml:space="preserve">όχι λιγότερο από 40 </w:t>
      </w:r>
      <w:r w:rsidRPr="005D5A9F">
        <w:t>IU</w:t>
      </w:r>
    </w:p>
    <w:p w:rsidR="002B7471" w:rsidRPr="005D5A9F" w:rsidRDefault="002B7471" w:rsidP="002B7471">
      <w:pPr>
        <w:tabs>
          <w:tab w:val="right" w:pos="7938"/>
        </w:tabs>
        <w:jc w:val="both"/>
        <w:rPr>
          <w:lang w:val="el-GR"/>
        </w:rPr>
      </w:pPr>
      <w:r w:rsidRPr="005D5A9F">
        <w:rPr>
          <w:lang w:val="el-GR"/>
        </w:rPr>
        <w:t xml:space="preserve">Αντιγόνα </w:t>
      </w:r>
      <w:proofErr w:type="spellStart"/>
      <w:r w:rsidRPr="005D5A9F">
        <w:rPr>
          <w:i/>
        </w:rPr>
        <w:t>Bordetella</w:t>
      </w:r>
      <w:proofErr w:type="spellEnd"/>
      <w:r w:rsidRPr="005D5A9F">
        <w:rPr>
          <w:i/>
          <w:lang w:val="el-GR"/>
        </w:rPr>
        <w:t xml:space="preserve"> </w:t>
      </w:r>
      <w:proofErr w:type="spellStart"/>
      <w:r w:rsidRPr="005D5A9F">
        <w:rPr>
          <w:i/>
        </w:rPr>
        <w:t>pertussis</w:t>
      </w:r>
      <w:proofErr w:type="spellEnd"/>
    </w:p>
    <w:p w:rsidR="002B7471" w:rsidRPr="005D5A9F" w:rsidRDefault="002B7471" w:rsidP="002B7471">
      <w:pPr>
        <w:tabs>
          <w:tab w:val="left" w:pos="284"/>
          <w:tab w:val="right" w:pos="7938"/>
        </w:tabs>
        <w:jc w:val="both"/>
        <w:rPr>
          <w:lang w:val="el-GR"/>
        </w:rPr>
      </w:pPr>
      <w:r w:rsidRPr="005D5A9F">
        <w:rPr>
          <w:lang w:val="el-GR"/>
        </w:rPr>
        <w:tab/>
        <w:t>Τοξοειδές του κοκκύτη</w:t>
      </w:r>
      <w:r w:rsidRPr="005D5A9F">
        <w:rPr>
          <w:b/>
          <w:vertAlign w:val="superscript"/>
          <w:lang w:val="el-GR"/>
        </w:rPr>
        <w:t>1</w:t>
      </w:r>
      <w:r w:rsidRPr="005D5A9F">
        <w:rPr>
          <w:lang w:val="el-GR"/>
        </w:rPr>
        <w:tab/>
        <w:t>25 μικρογραμμάρια</w:t>
      </w:r>
    </w:p>
    <w:p w:rsidR="002B7471" w:rsidRPr="005D5A9F" w:rsidRDefault="002B7471" w:rsidP="002B7471">
      <w:pPr>
        <w:tabs>
          <w:tab w:val="left" w:pos="284"/>
          <w:tab w:val="right" w:pos="7938"/>
        </w:tabs>
        <w:jc w:val="both"/>
        <w:rPr>
          <w:lang w:val="el-GR"/>
        </w:rPr>
      </w:pPr>
      <w:r w:rsidRPr="005D5A9F">
        <w:rPr>
          <w:lang w:val="el-GR"/>
        </w:rPr>
        <w:tab/>
        <w:t>Νηματοειδή Αιματοσυγκολλητίνη</w:t>
      </w:r>
      <w:r w:rsidRPr="005D5A9F">
        <w:rPr>
          <w:b/>
          <w:vertAlign w:val="superscript"/>
          <w:lang w:val="el-GR"/>
        </w:rPr>
        <w:t>1</w:t>
      </w:r>
      <w:r w:rsidRPr="005D5A9F">
        <w:rPr>
          <w:lang w:val="el-GR"/>
        </w:rPr>
        <w:tab/>
        <w:t>25 μικρογραμμάρια</w:t>
      </w:r>
    </w:p>
    <w:p w:rsidR="002B7471" w:rsidRPr="005D5A9F" w:rsidRDefault="002B7471" w:rsidP="002B7471">
      <w:pPr>
        <w:tabs>
          <w:tab w:val="left" w:pos="284"/>
          <w:tab w:val="right" w:pos="7938"/>
        </w:tabs>
        <w:jc w:val="both"/>
        <w:rPr>
          <w:lang w:val="el-GR"/>
        </w:rPr>
      </w:pPr>
      <w:r w:rsidRPr="005D5A9F">
        <w:rPr>
          <w:lang w:val="el-GR"/>
        </w:rPr>
        <w:tab/>
        <w:t>Περτακτίνη</w:t>
      </w:r>
      <w:r w:rsidRPr="005D5A9F">
        <w:rPr>
          <w:b/>
          <w:vertAlign w:val="superscript"/>
          <w:lang w:val="el-GR"/>
        </w:rPr>
        <w:t>1</w:t>
      </w:r>
      <w:r w:rsidRPr="005D5A9F">
        <w:rPr>
          <w:lang w:val="el-GR"/>
        </w:rPr>
        <w:tab/>
        <w:t>8 μικρογραμμάρια</w:t>
      </w:r>
    </w:p>
    <w:p w:rsidR="002B7471" w:rsidRPr="005D5A9F" w:rsidRDefault="002B7471" w:rsidP="002B7471">
      <w:pPr>
        <w:pStyle w:val="2"/>
        <w:tabs>
          <w:tab w:val="right" w:pos="9072"/>
        </w:tabs>
        <w:rPr>
          <w:b w:val="0"/>
          <w:i/>
          <w:lang w:val="el-GR"/>
        </w:rPr>
      </w:pPr>
    </w:p>
    <w:p w:rsidR="002B7471" w:rsidRPr="005D5A9F" w:rsidRDefault="002B7471" w:rsidP="002B7471">
      <w:pPr>
        <w:rPr>
          <w:lang w:val="el-GR"/>
        </w:rPr>
      </w:pPr>
      <w:r w:rsidRPr="005D5A9F">
        <w:rPr>
          <w:lang w:val="el-GR"/>
        </w:rPr>
        <w:t>Ιός της πολυομυελίτιδας (αδρανοποιημένος)</w:t>
      </w:r>
      <w:r w:rsidRPr="005D5A9F">
        <w:rPr>
          <w:vertAlign w:val="superscript"/>
          <w:lang w:val="el-GR"/>
        </w:rPr>
        <w:t>2</w:t>
      </w:r>
    </w:p>
    <w:p w:rsidR="002B7471" w:rsidRPr="005D5A9F" w:rsidRDefault="002B7471" w:rsidP="002B7471">
      <w:pPr>
        <w:tabs>
          <w:tab w:val="right" w:pos="7938"/>
        </w:tabs>
        <w:ind w:firstLine="284"/>
        <w:jc w:val="both"/>
        <w:rPr>
          <w:lang w:val="el-GR"/>
        </w:rPr>
      </w:pPr>
      <w:r w:rsidRPr="005D5A9F">
        <w:rPr>
          <w:lang w:val="el-GR"/>
        </w:rPr>
        <w:t xml:space="preserve">τύπος 1 (στέλεχος </w:t>
      </w:r>
      <w:r w:rsidRPr="005D5A9F">
        <w:t>Mahoney</w:t>
      </w:r>
      <w:r w:rsidRPr="005D5A9F">
        <w:rPr>
          <w:lang w:val="el-GR"/>
        </w:rPr>
        <w:t>)</w:t>
      </w:r>
      <w:r w:rsidRPr="005D5A9F">
        <w:rPr>
          <w:lang w:val="el-GR"/>
        </w:rPr>
        <w:tab/>
        <w:t xml:space="preserve">40 </w:t>
      </w:r>
      <w:r w:rsidRPr="005D5A9F">
        <w:t>D</w:t>
      </w:r>
      <w:r w:rsidRPr="005D5A9F">
        <w:rPr>
          <w:lang w:val="el-GR"/>
        </w:rPr>
        <w:t xml:space="preserve"> αντιγονικές μονάδες</w:t>
      </w:r>
    </w:p>
    <w:p w:rsidR="002B7471" w:rsidRPr="005D5A9F" w:rsidRDefault="002B7471" w:rsidP="002B7471">
      <w:pPr>
        <w:tabs>
          <w:tab w:val="right" w:pos="7938"/>
        </w:tabs>
        <w:ind w:firstLine="284"/>
        <w:jc w:val="both"/>
        <w:rPr>
          <w:lang w:val="el-GR"/>
        </w:rPr>
      </w:pPr>
      <w:r w:rsidRPr="005D5A9F">
        <w:rPr>
          <w:lang w:val="el-GR"/>
        </w:rPr>
        <w:t xml:space="preserve">τύπος 2 (στέλεχος </w:t>
      </w:r>
      <w:r w:rsidRPr="005D5A9F">
        <w:t>MEF</w:t>
      </w:r>
      <w:r w:rsidRPr="005D5A9F">
        <w:rPr>
          <w:lang w:val="el-GR"/>
        </w:rPr>
        <w:t>-1)</w:t>
      </w:r>
      <w:r w:rsidRPr="005D5A9F">
        <w:rPr>
          <w:lang w:val="el-GR"/>
        </w:rPr>
        <w:tab/>
        <w:t xml:space="preserve">8 </w:t>
      </w:r>
      <w:r w:rsidRPr="005D5A9F">
        <w:t>D</w:t>
      </w:r>
      <w:r w:rsidRPr="005D5A9F">
        <w:rPr>
          <w:lang w:val="el-GR"/>
        </w:rPr>
        <w:t xml:space="preserve"> αντιγονικές μονάδες</w:t>
      </w:r>
    </w:p>
    <w:p w:rsidR="002B7471" w:rsidRPr="005D5A9F" w:rsidRDefault="002B7471" w:rsidP="002B7471">
      <w:pPr>
        <w:tabs>
          <w:tab w:val="right" w:pos="7938"/>
        </w:tabs>
        <w:ind w:firstLine="284"/>
        <w:jc w:val="both"/>
        <w:rPr>
          <w:lang w:val="el-GR"/>
        </w:rPr>
      </w:pPr>
      <w:r w:rsidRPr="005D5A9F">
        <w:rPr>
          <w:lang w:val="el-GR"/>
        </w:rPr>
        <w:t xml:space="preserve">τύπος 3 (στέλεχος </w:t>
      </w:r>
      <w:proofErr w:type="spellStart"/>
      <w:r w:rsidRPr="005D5A9F">
        <w:t>Saukett</w:t>
      </w:r>
      <w:proofErr w:type="spellEnd"/>
      <w:r w:rsidRPr="005D5A9F">
        <w:rPr>
          <w:lang w:val="el-GR"/>
        </w:rPr>
        <w:t>)</w:t>
      </w:r>
      <w:r w:rsidRPr="005D5A9F">
        <w:rPr>
          <w:lang w:val="el-GR"/>
        </w:rPr>
        <w:tab/>
        <w:t xml:space="preserve">32 </w:t>
      </w:r>
      <w:r w:rsidRPr="005D5A9F">
        <w:t>D</w:t>
      </w:r>
      <w:r w:rsidRPr="005D5A9F">
        <w:rPr>
          <w:lang w:val="el-GR"/>
        </w:rPr>
        <w:t xml:space="preserve"> αντιγονικές μονάδες</w:t>
      </w:r>
    </w:p>
    <w:p w:rsidR="002B7471" w:rsidRPr="005D5A9F" w:rsidRDefault="002B7471" w:rsidP="002B7471">
      <w:pPr>
        <w:tabs>
          <w:tab w:val="right" w:pos="7938"/>
        </w:tabs>
        <w:jc w:val="both"/>
        <w:rPr>
          <w:highlight w:val="yellow"/>
          <w:lang w:val="el-GR"/>
        </w:rPr>
      </w:pPr>
    </w:p>
    <w:p w:rsidR="002B7471" w:rsidRPr="005D5A9F" w:rsidRDefault="002B7471" w:rsidP="002B7471">
      <w:pPr>
        <w:tabs>
          <w:tab w:val="right" w:pos="7938"/>
        </w:tabs>
        <w:jc w:val="both"/>
        <w:rPr>
          <w:lang w:val="el-GR"/>
        </w:rPr>
      </w:pPr>
      <w:r w:rsidRPr="005D5A9F">
        <w:rPr>
          <w:b/>
          <w:vertAlign w:val="superscript"/>
          <w:lang w:val="el-GR"/>
        </w:rPr>
        <w:t>1</w:t>
      </w:r>
      <w:r w:rsidRPr="005D5A9F">
        <w:rPr>
          <w:lang w:val="el-GR"/>
        </w:rPr>
        <w:t xml:space="preserve"> προσροφημένο σε ένυδρο οξείδιο του αργιλίου</w:t>
      </w:r>
      <w:r w:rsidRPr="005D5A9F">
        <w:rPr>
          <w:lang w:val="el-GR"/>
        </w:rPr>
        <w:tab/>
        <w:t xml:space="preserve">0.5 </w:t>
      </w:r>
      <w:r w:rsidRPr="005D5A9F">
        <w:t>mg</w:t>
      </w:r>
      <w:r w:rsidRPr="005D5A9F">
        <w:rPr>
          <w:lang w:val="el-GR"/>
        </w:rPr>
        <w:t xml:space="preserve"> </w:t>
      </w:r>
      <w:r w:rsidRPr="005D5A9F">
        <w:t>Al</w:t>
      </w:r>
      <w:r w:rsidRPr="005D5A9F">
        <w:rPr>
          <w:vertAlign w:val="superscript"/>
          <w:lang w:val="el-GR"/>
        </w:rPr>
        <w:t>3+</w:t>
      </w:r>
    </w:p>
    <w:p w:rsidR="002B7471" w:rsidRPr="005D5A9F" w:rsidRDefault="002B7471" w:rsidP="002B7471">
      <w:pPr>
        <w:ind w:right="33"/>
        <w:jc w:val="both"/>
        <w:rPr>
          <w:b/>
          <w:lang w:val="el-GR"/>
        </w:rPr>
      </w:pPr>
      <w:r w:rsidRPr="005D5A9F">
        <w:rPr>
          <w:vertAlign w:val="superscript"/>
          <w:lang w:val="el-GR"/>
        </w:rPr>
        <w:t>2</w:t>
      </w:r>
      <w:r w:rsidRPr="005D5A9F">
        <w:rPr>
          <w:lang w:val="el-GR"/>
        </w:rPr>
        <w:t xml:space="preserve"> καλλιεργούμενος σε κύτταρα </w:t>
      </w:r>
      <w:smartTag w:uri="schemas-GSKSiteLocations-com/fourthcoffee" w:element="flavor">
        <w:r w:rsidRPr="005D5A9F">
          <w:t>VER</w:t>
        </w:r>
      </w:smartTag>
      <w:r w:rsidRPr="005D5A9F">
        <w:t>O</w:t>
      </w:r>
    </w:p>
    <w:p w:rsidR="002B7471" w:rsidRPr="005D5A9F" w:rsidRDefault="002B7471" w:rsidP="002B7471">
      <w:pPr>
        <w:rPr>
          <w:lang w:val="el-GR"/>
        </w:rPr>
      </w:pPr>
    </w:p>
    <w:p w:rsidR="002B7471" w:rsidRPr="005D5A9F" w:rsidRDefault="002B7471" w:rsidP="002B7471">
      <w:pPr>
        <w:ind w:left="34" w:right="1672"/>
        <w:rPr>
          <w:lang w:val="el-GR"/>
        </w:rPr>
      </w:pPr>
      <w:r w:rsidRPr="005D5A9F">
        <w:rPr>
          <w:noProof/>
          <w:lang w:val="el-GR"/>
        </w:rPr>
        <w:t>Για τον πλήρη κατάλογο των εκδόχων</w:t>
      </w:r>
      <w:r w:rsidRPr="005D5A9F">
        <w:rPr>
          <w:lang w:val="el-GR"/>
        </w:rPr>
        <w:t xml:space="preserve"> βλ. παράγραφο 6.1.</w:t>
      </w:r>
    </w:p>
    <w:p w:rsidR="002B7471" w:rsidRPr="005D5A9F" w:rsidRDefault="002B7471" w:rsidP="002B7471">
      <w:pPr>
        <w:jc w:val="both"/>
        <w:rPr>
          <w:lang w:val="el-GR"/>
        </w:rPr>
      </w:pPr>
    </w:p>
    <w:p w:rsidR="002B7471" w:rsidRPr="00E40E76" w:rsidRDefault="002B7471" w:rsidP="002B7471">
      <w:pPr>
        <w:jc w:val="both"/>
        <w:rPr>
          <w:b/>
          <w:lang w:val="el-GR"/>
        </w:rPr>
      </w:pPr>
      <w:r w:rsidRPr="005D5A9F">
        <w:rPr>
          <w:b/>
          <w:lang w:val="el-GR"/>
        </w:rPr>
        <w:t>3.</w:t>
      </w:r>
      <w:r w:rsidRPr="005D5A9F">
        <w:rPr>
          <w:b/>
          <w:lang w:val="el-GR"/>
        </w:rPr>
        <w:tab/>
        <w:t>ΦΑΡΜΑΚΟΤΕΧΝΙΚΗ ΜΟΡΦΗ</w:t>
      </w:r>
    </w:p>
    <w:p w:rsidR="002B7471" w:rsidRPr="005D5A9F" w:rsidRDefault="002B7471" w:rsidP="002B7471">
      <w:pPr>
        <w:jc w:val="both"/>
        <w:rPr>
          <w:b/>
          <w:lang w:val="el-GR"/>
        </w:rPr>
      </w:pPr>
      <w:r w:rsidRPr="005D5A9F">
        <w:rPr>
          <w:lang w:val="el-GR"/>
        </w:rPr>
        <w:t>Ενέσιμο εναιώρημα σε προγεμισμένη σύριγγα.</w:t>
      </w:r>
    </w:p>
    <w:p w:rsidR="002B7471" w:rsidRPr="005D5A9F" w:rsidRDefault="002B7471" w:rsidP="002B7471">
      <w:pPr>
        <w:jc w:val="both"/>
        <w:rPr>
          <w:lang w:val="el-GR"/>
        </w:rPr>
      </w:pPr>
      <w:proofErr w:type="gramStart"/>
      <w:r w:rsidRPr="005D5A9F">
        <w:t>To</w:t>
      </w:r>
      <w:r w:rsidRPr="005D5A9F">
        <w:rPr>
          <w:lang w:val="el-GR"/>
        </w:rPr>
        <w:t xml:space="preserve"> </w:t>
      </w:r>
      <w:proofErr w:type="spellStart"/>
      <w:r w:rsidRPr="005D5A9F">
        <w:t>Infanrix</w:t>
      </w:r>
      <w:proofErr w:type="spellEnd"/>
      <w:r w:rsidRPr="005D5A9F">
        <w:rPr>
          <w:lang w:val="el-GR"/>
        </w:rPr>
        <w:t xml:space="preserve"> </w:t>
      </w:r>
      <w:r w:rsidRPr="005D5A9F">
        <w:t>Tetra</w:t>
      </w:r>
      <w:r w:rsidRPr="005D5A9F">
        <w:rPr>
          <w:lang w:val="el-GR"/>
        </w:rPr>
        <w:t xml:space="preserve"> είναι ένα θολό λευκό εναιώρημα.</w:t>
      </w:r>
      <w:proofErr w:type="gramEnd"/>
    </w:p>
    <w:p w:rsidR="002B7471" w:rsidRPr="005D5A9F" w:rsidRDefault="002B7471" w:rsidP="002B7471">
      <w:pPr>
        <w:jc w:val="both"/>
        <w:rPr>
          <w:b/>
          <w:u w:val="single"/>
          <w:lang w:val="el-GR"/>
        </w:rPr>
      </w:pPr>
    </w:p>
    <w:p w:rsidR="002B7471" w:rsidRPr="005D5A9F" w:rsidRDefault="002B7471" w:rsidP="002B7471">
      <w:pPr>
        <w:jc w:val="both"/>
        <w:rPr>
          <w:b/>
          <w:lang w:val="el-GR"/>
        </w:rPr>
      </w:pPr>
      <w:r w:rsidRPr="005D5A9F">
        <w:rPr>
          <w:b/>
          <w:lang w:val="el-GR"/>
        </w:rPr>
        <w:t>4.</w:t>
      </w:r>
      <w:r w:rsidRPr="005D5A9F">
        <w:rPr>
          <w:b/>
          <w:lang w:val="el-GR"/>
        </w:rPr>
        <w:tab/>
        <w:t>ΚΛΙΝΙΚ</w:t>
      </w:r>
      <w:r>
        <w:rPr>
          <w:b/>
          <w:lang w:val="el-GR"/>
        </w:rPr>
        <w:t>ΕΣ</w:t>
      </w:r>
      <w:r w:rsidRPr="005D5A9F">
        <w:rPr>
          <w:b/>
          <w:lang w:val="el-GR"/>
        </w:rPr>
        <w:t xml:space="preserve"> </w:t>
      </w:r>
      <w:r>
        <w:rPr>
          <w:b/>
          <w:lang w:val="el-GR"/>
        </w:rPr>
        <w:t>ΠΛΗΡΟΦΟΡΙΕΣ</w:t>
      </w:r>
    </w:p>
    <w:p w:rsidR="002B7471" w:rsidRPr="00E40E76" w:rsidRDefault="002B7471" w:rsidP="002B7471">
      <w:pPr>
        <w:jc w:val="both"/>
        <w:rPr>
          <w:b/>
          <w:lang w:val="el-GR"/>
        </w:rPr>
      </w:pPr>
      <w:r w:rsidRPr="005D5A9F">
        <w:rPr>
          <w:b/>
          <w:lang w:val="el-GR"/>
        </w:rPr>
        <w:t>4.1</w:t>
      </w:r>
      <w:r w:rsidRPr="005D5A9F">
        <w:rPr>
          <w:b/>
          <w:lang w:val="el-GR"/>
        </w:rPr>
        <w:tab/>
        <w:t xml:space="preserve">Θεραπευτικές </w:t>
      </w:r>
      <w:r>
        <w:rPr>
          <w:b/>
          <w:lang w:val="el-GR"/>
        </w:rPr>
        <w:t>ε</w:t>
      </w:r>
      <w:r w:rsidRPr="005D5A9F">
        <w:rPr>
          <w:b/>
          <w:lang w:val="el-GR"/>
        </w:rPr>
        <w:t>νδείξεις</w:t>
      </w:r>
    </w:p>
    <w:p w:rsidR="002B7471" w:rsidRPr="00E40E76" w:rsidRDefault="002B7471" w:rsidP="002B7471">
      <w:pPr>
        <w:jc w:val="both"/>
        <w:rPr>
          <w:lang w:val="el-GR"/>
        </w:rPr>
      </w:pPr>
      <w:r w:rsidRPr="005D5A9F">
        <w:rPr>
          <w:lang w:val="el-GR"/>
        </w:rPr>
        <w:t>Το εμβόλιο αυτό ενδείκνυται για τον αναμνηστικό εμβολιασμό έναντι της διφθερίτιδας, του τετάνου, του κοκκύτη και της πολιομυελίτιδας</w:t>
      </w:r>
      <w:r>
        <w:rPr>
          <w:lang w:val="el-GR"/>
        </w:rPr>
        <w:t xml:space="preserve"> ατόμων</w:t>
      </w:r>
      <w:r w:rsidRPr="005D5A9F">
        <w:rPr>
          <w:lang w:val="el-GR"/>
        </w:rPr>
        <w:t xml:space="preserve"> από την ηλικία 16 μηνών μέχρι και 13 ετών περιλαμβανομένων εκείνων που έλαβαν τη</w:t>
      </w:r>
      <w:r>
        <w:rPr>
          <w:lang w:val="el-GR"/>
        </w:rPr>
        <w:t xml:space="preserve"> </w:t>
      </w:r>
      <w:r w:rsidRPr="005D5A9F">
        <w:rPr>
          <w:lang w:val="el-GR"/>
        </w:rPr>
        <w:t xml:space="preserve">σειρά των αρχικών εμβολιασμών έναντι αυτών των </w:t>
      </w:r>
      <w:r>
        <w:rPr>
          <w:lang w:val="el-GR"/>
        </w:rPr>
        <w:t>νοσημάτων</w:t>
      </w:r>
      <w:r w:rsidRPr="005D5A9F">
        <w:rPr>
          <w:lang w:val="el-GR"/>
        </w:rPr>
        <w:t>.</w:t>
      </w:r>
    </w:p>
    <w:p w:rsidR="002B7471" w:rsidRPr="005D5A9F" w:rsidRDefault="002B7471" w:rsidP="002B7471">
      <w:pPr>
        <w:ind w:right="-1"/>
        <w:jc w:val="both"/>
        <w:rPr>
          <w:lang w:val="el-GR"/>
        </w:rPr>
      </w:pPr>
      <w:r w:rsidRPr="005D5A9F">
        <w:rPr>
          <w:lang w:val="el-GR"/>
        </w:rPr>
        <w:t xml:space="preserve">Η χορήγηση του </w:t>
      </w:r>
      <w:proofErr w:type="spellStart"/>
      <w:r w:rsidRPr="005D5A9F">
        <w:t>Infanrix</w:t>
      </w:r>
      <w:proofErr w:type="spellEnd"/>
      <w:r w:rsidRPr="005D5A9F">
        <w:rPr>
          <w:lang w:val="el-GR"/>
        </w:rPr>
        <w:t xml:space="preserve"> </w:t>
      </w:r>
      <w:r w:rsidRPr="005D5A9F">
        <w:t>Tetra</w:t>
      </w:r>
      <w:r w:rsidRPr="005D5A9F">
        <w:rPr>
          <w:lang w:val="el-GR"/>
        </w:rPr>
        <w:t xml:space="preserve"> πρέπει να βασίζεται στις επίσημες συστάσεις.</w:t>
      </w:r>
    </w:p>
    <w:p w:rsidR="002B7471" w:rsidRPr="005D5A9F" w:rsidRDefault="002B7471" w:rsidP="002B7471">
      <w:pPr>
        <w:jc w:val="both"/>
        <w:rPr>
          <w:lang w:val="el-GR"/>
        </w:rPr>
      </w:pPr>
    </w:p>
    <w:p w:rsidR="002B7471" w:rsidRPr="00E40E76" w:rsidRDefault="002B7471" w:rsidP="002B7471">
      <w:pPr>
        <w:jc w:val="both"/>
        <w:rPr>
          <w:u w:val="single"/>
          <w:lang w:val="el-GR"/>
        </w:rPr>
      </w:pPr>
      <w:r w:rsidRPr="005D5A9F">
        <w:rPr>
          <w:b/>
          <w:lang w:val="el-GR"/>
        </w:rPr>
        <w:t>4.2</w:t>
      </w:r>
      <w:r w:rsidRPr="005D5A9F">
        <w:rPr>
          <w:b/>
          <w:lang w:val="el-GR"/>
        </w:rPr>
        <w:tab/>
        <w:t>Δοσολογία και τρόπος χορήγησης</w:t>
      </w:r>
      <w:r w:rsidRPr="005D5A9F">
        <w:rPr>
          <w:u w:val="single"/>
          <w:lang w:val="el-GR"/>
        </w:rPr>
        <w:t>:</w:t>
      </w:r>
    </w:p>
    <w:p w:rsidR="002B7471" w:rsidRPr="00E40E76" w:rsidRDefault="002B7471" w:rsidP="002B7471">
      <w:pPr>
        <w:jc w:val="both"/>
        <w:rPr>
          <w:b/>
          <w:lang w:val="el-GR"/>
        </w:rPr>
      </w:pPr>
      <w:r w:rsidRPr="005D5A9F">
        <w:rPr>
          <w:b/>
          <w:lang w:val="el-GR"/>
        </w:rPr>
        <w:t>Δοσολογία</w:t>
      </w:r>
    </w:p>
    <w:p w:rsidR="002B7471" w:rsidRPr="005D5A9F" w:rsidRDefault="002B7471" w:rsidP="002B7471">
      <w:pPr>
        <w:jc w:val="both"/>
        <w:rPr>
          <w:lang w:val="el-GR"/>
        </w:rPr>
      </w:pPr>
      <w:r w:rsidRPr="005D5A9F">
        <w:rPr>
          <w:lang w:val="el-GR"/>
        </w:rPr>
        <w:t xml:space="preserve">Πρέπει να χορηγείται μία μονή δόση 0.5 </w:t>
      </w:r>
      <w:r w:rsidRPr="005D5A9F">
        <w:t>ml</w:t>
      </w:r>
      <w:r w:rsidRPr="005D5A9F">
        <w:rPr>
          <w:lang w:val="el-GR"/>
        </w:rPr>
        <w:t>.</w:t>
      </w:r>
      <w:r w:rsidRPr="005D5A9F">
        <w:rPr>
          <w:highlight w:val="yellow"/>
          <w:lang w:val="el-GR"/>
        </w:rPr>
        <w:br/>
      </w:r>
      <w:r w:rsidRPr="005D5A9F">
        <w:rPr>
          <w:lang w:val="el-GR"/>
        </w:rPr>
        <w:t xml:space="preserve">Το </w:t>
      </w:r>
      <w:proofErr w:type="spellStart"/>
      <w:r w:rsidRPr="005D5A9F">
        <w:t>Infanrix</w:t>
      </w:r>
      <w:proofErr w:type="spellEnd"/>
      <w:r w:rsidRPr="005D5A9F">
        <w:rPr>
          <w:lang w:val="el-GR"/>
        </w:rPr>
        <w:t xml:space="preserve"> </w:t>
      </w:r>
      <w:r w:rsidRPr="005D5A9F">
        <w:t>Tetra</w:t>
      </w:r>
      <w:r w:rsidRPr="005D5A9F">
        <w:rPr>
          <w:lang w:val="el-GR"/>
        </w:rPr>
        <w:t xml:space="preserve"> μπορεί να χορηγείται σε άτομα που έχουν προηγουμένως λάβει εμβόλια που περιέχουν ολοκυτταρικό ή ακυτταρικό κοκκύτη και από του στόματος εμβόλια με ζώντα εξασθενημένο ή ενέσιμα εμβόλια με αδρανοποιημένο ιο της πολιομυελίτιδας. (βλέπε επίσης 4.8 και 5.1).</w:t>
      </w:r>
    </w:p>
    <w:p w:rsidR="002B7471" w:rsidRPr="005D5A9F" w:rsidRDefault="002B7471" w:rsidP="002B7471">
      <w:pPr>
        <w:jc w:val="both"/>
        <w:rPr>
          <w:lang w:val="el-GR"/>
        </w:rPr>
      </w:pPr>
    </w:p>
    <w:p w:rsidR="002B7471" w:rsidRPr="002B7471" w:rsidRDefault="002B7471" w:rsidP="002B7471">
      <w:pPr>
        <w:jc w:val="both"/>
        <w:rPr>
          <w:b/>
          <w:lang w:val="el-GR"/>
        </w:rPr>
      </w:pPr>
      <w:r w:rsidRPr="005D5A9F">
        <w:rPr>
          <w:b/>
          <w:lang w:val="el-GR"/>
        </w:rPr>
        <w:t>Τρόπος χορήγησης</w:t>
      </w:r>
    </w:p>
    <w:p w:rsidR="002B7471" w:rsidRPr="005D5A9F" w:rsidRDefault="002B7471" w:rsidP="002B7471">
      <w:pPr>
        <w:jc w:val="both"/>
        <w:rPr>
          <w:lang w:val="el-GR"/>
        </w:rPr>
      </w:pPr>
      <w:r w:rsidRPr="005D5A9F">
        <w:rPr>
          <w:lang w:val="el-GR"/>
        </w:rPr>
        <w:t>Το εμβόλιο προορίζεται για ενδομυϊκή ένεση συνήθως στο δελτοειδή μυ. Ωστόσο σε πολύ νεαρά άτομα μπορεί να χρησιμοποιείται το προσθιοπλάγιο τμήμα του μηρού εάν προτιμάται.</w:t>
      </w:r>
    </w:p>
    <w:p w:rsidR="002B7471" w:rsidRPr="005D5A9F" w:rsidRDefault="002B7471" w:rsidP="002B7471">
      <w:pPr>
        <w:ind w:right="-1"/>
        <w:jc w:val="both"/>
        <w:rPr>
          <w:lang w:val="el-GR"/>
        </w:rPr>
      </w:pPr>
      <w:r w:rsidRPr="005D5A9F">
        <w:rPr>
          <w:lang w:val="el-GR"/>
        </w:rPr>
        <w:t xml:space="preserve">Να μη χορηγείται ενδοαγγειακά. </w:t>
      </w:r>
    </w:p>
    <w:p w:rsidR="002B7471" w:rsidRPr="005D5A9F" w:rsidRDefault="002B7471" w:rsidP="002B7471">
      <w:pPr>
        <w:jc w:val="both"/>
        <w:rPr>
          <w:lang w:val="el-GR"/>
        </w:rPr>
      </w:pPr>
    </w:p>
    <w:p w:rsidR="002B7471" w:rsidRPr="00E40E76" w:rsidRDefault="002B7471" w:rsidP="002B7471">
      <w:pPr>
        <w:jc w:val="both"/>
        <w:rPr>
          <w:b/>
          <w:lang w:val="el-GR"/>
        </w:rPr>
      </w:pPr>
      <w:r w:rsidRPr="005D5A9F">
        <w:rPr>
          <w:b/>
          <w:lang w:val="el-GR"/>
        </w:rPr>
        <w:t>4.3</w:t>
      </w:r>
      <w:r w:rsidRPr="005D5A9F">
        <w:rPr>
          <w:b/>
          <w:lang w:val="el-GR"/>
        </w:rPr>
        <w:tab/>
        <w:t>Αντενδείξεις</w:t>
      </w:r>
    </w:p>
    <w:p w:rsidR="002B7471" w:rsidRPr="005D5A9F" w:rsidRDefault="002B7471" w:rsidP="002B7471">
      <w:pPr>
        <w:jc w:val="both"/>
        <w:rPr>
          <w:lang w:val="el-GR"/>
        </w:rPr>
      </w:pPr>
      <w:r w:rsidRPr="005D5A9F">
        <w:rPr>
          <w:noProof/>
          <w:lang w:val="el-GR"/>
        </w:rPr>
        <w:t xml:space="preserve">Υπερευαισθησία στις δραστικές ουσίες ή σε κάποιο από τα έκδοχα ή τη νεομυκίνη </w:t>
      </w:r>
      <w:r w:rsidRPr="005D5A9F">
        <w:rPr>
          <w:lang w:val="el-GR"/>
        </w:rPr>
        <w:t>την πολυμιξίνη, ή τη φορμαλδεΰδη</w:t>
      </w:r>
      <w:r w:rsidR="00BD68F3" w:rsidRPr="00BD68F3">
        <w:rPr>
          <w:lang w:val="el-GR"/>
        </w:rPr>
        <w:t>.</w:t>
      </w:r>
      <w:r w:rsidRPr="005D5A9F">
        <w:rPr>
          <w:lang w:val="el-GR"/>
        </w:rPr>
        <w:t xml:space="preserve"> </w:t>
      </w:r>
    </w:p>
    <w:p w:rsidR="002B7471" w:rsidRPr="005D5A9F" w:rsidRDefault="002B7471" w:rsidP="002B7471">
      <w:pPr>
        <w:jc w:val="both"/>
        <w:rPr>
          <w:lang w:val="el-GR"/>
        </w:rPr>
      </w:pPr>
      <w:r w:rsidRPr="005D5A9F">
        <w:rPr>
          <w:lang w:val="el-GR"/>
        </w:rPr>
        <w:t>Υπερευαισθησία μετά από προηγούμενη χορήγηση εμβολίων διφθερίτιδας, τετάνου, κοκκύτη ή πολιομυελίτιδας.</w:t>
      </w:r>
    </w:p>
    <w:p w:rsidR="002B7471" w:rsidRPr="005D5A9F" w:rsidRDefault="002B7471" w:rsidP="002B7471">
      <w:pPr>
        <w:jc w:val="both"/>
        <w:rPr>
          <w:b/>
          <w:highlight w:val="yellow"/>
          <w:lang w:val="el-GR"/>
        </w:rPr>
      </w:pPr>
    </w:p>
    <w:p w:rsidR="002B7471" w:rsidRPr="00E40E76" w:rsidRDefault="002B7471" w:rsidP="00E40E76">
      <w:pPr>
        <w:jc w:val="both"/>
        <w:rPr>
          <w:strike/>
          <w:lang w:val="el-GR"/>
        </w:rPr>
      </w:pPr>
      <w:proofErr w:type="gramStart"/>
      <w:r w:rsidRPr="005D5A9F">
        <w:lastRenderedPageBreak/>
        <w:t>To</w:t>
      </w:r>
      <w:r w:rsidRPr="005D5A9F">
        <w:rPr>
          <w:lang w:val="el-GR"/>
        </w:rPr>
        <w:t xml:space="preserve"> </w:t>
      </w:r>
      <w:proofErr w:type="spellStart"/>
      <w:r w:rsidRPr="005D5A9F">
        <w:t>Infanrix</w:t>
      </w:r>
      <w:proofErr w:type="spellEnd"/>
      <w:r w:rsidRPr="005D5A9F">
        <w:rPr>
          <w:lang w:val="el-GR"/>
        </w:rPr>
        <w:t xml:space="preserve"> </w:t>
      </w:r>
      <w:r w:rsidRPr="005D5A9F">
        <w:t>Tetra</w:t>
      </w:r>
      <w:r w:rsidRPr="005D5A9F">
        <w:rPr>
          <w:lang w:val="el-GR"/>
        </w:rPr>
        <w:t xml:space="preserve"> αντενδείκνυται εάν ένα παιδί έχει παρουσιάσει εγκεφαλοπάθεια αγνώστου αιτιολογίας που εμφανίσθηκε εντός 7 ημερών μετά από προηγούμενο εμβολιασμό με εμβόλιο κοκκύτη.</w:t>
      </w:r>
      <w:proofErr w:type="gramEnd"/>
      <w:r w:rsidRPr="005D5A9F">
        <w:rPr>
          <w:lang w:val="el-GR"/>
        </w:rPr>
        <w:t xml:space="preserve"> Σε αυτές τις περιπτώσεις ο εμβολιασμός με εμβόλιο κοκκύτη θα πρέπει να διακοπεί και ο εμβολιασμός θα πρέπει να συνεχιστεί με εμβόλια διφθερίτιδας-τετάνου και πολιομυελίτιδας.</w:t>
      </w:r>
    </w:p>
    <w:p w:rsidR="002B7471" w:rsidRPr="005D5A9F" w:rsidRDefault="002B7471" w:rsidP="002B7471">
      <w:pPr>
        <w:jc w:val="both"/>
        <w:rPr>
          <w:lang w:val="el-GR"/>
        </w:rPr>
      </w:pPr>
      <w:r w:rsidRPr="005D5A9F">
        <w:rPr>
          <w:lang w:val="el-GR"/>
        </w:rPr>
        <w:t xml:space="preserve">Όπως και με άλλα εμβόλια, η χορήγηση του </w:t>
      </w:r>
      <w:proofErr w:type="spellStart"/>
      <w:r w:rsidRPr="005D5A9F">
        <w:t>Infanrix</w:t>
      </w:r>
      <w:proofErr w:type="spellEnd"/>
      <w:r w:rsidRPr="005D5A9F">
        <w:rPr>
          <w:lang w:val="el-GR"/>
        </w:rPr>
        <w:t xml:space="preserve"> </w:t>
      </w:r>
      <w:r w:rsidRPr="005D5A9F">
        <w:rPr>
          <w:lang w:val="en-US"/>
        </w:rPr>
        <w:t>Tetra</w:t>
      </w:r>
      <w:r w:rsidRPr="005D5A9F">
        <w:rPr>
          <w:lang w:val="el-GR"/>
        </w:rPr>
        <w:t xml:space="preserve"> θα πρέπει να αναβληθεί σε άτομα που υποφέρουν από οξεία, σοβαρή, εμπύρετη νόσο. Η παρουσία ελαφριάς λοίμωξης δεν αποτελεί αντένδειξη.</w:t>
      </w:r>
    </w:p>
    <w:p w:rsidR="002B7471" w:rsidRPr="005D5A9F" w:rsidRDefault="002B7471" w:rsidP="002B7471">
      <w:pPr>
        <w:jc w:val="both"/>
        <w:rPr>
          <w:lang w:val="el-GR"/>
        </w:rPr>
      </w:pPr>
    </w:p>
    <w:p w:rsidR="002B7471" w:rsidRPr="00E40E76" w:rsidRDefault="002B7471" w:rsidP="002B7471">
      <w:pPr>
        <w:jc w:val="both"/>
        <w:rPr>
          <w:b/>
          <w:lang w:val="el-GR"/>
        </w:rPr>
      </w:pPr>
      <w:r w:rsidRPr="005D5A9F">
        <w:rPr>
          <w:b/>
          <w:lang w:val="el-GR"/>
        </w:rPr>
        <w:t>4.4</w:t>
      </w:r>
      <w:r w:rsidRPr="005D5A9F">
        <w:rPr>
          <w:b/>
          <w:lang w:val="el-GR"/>
        </w:rPr>
        <w:tab/>
        <w:t>Ειδικές προειδοποιήσεις και προφυλάξεις κατά τη χρήση</w:t>
      </w:r>
    </w:p>
    <w:p w:rsidR="002B7471" w:rsidRPr="00E40E76" w:rsidRDefault="002B7471" w:rsidP="00E40E76">
      <w:pPr>
        <w:jc w:val="both"/>
        <w:rPr>
          <w:lang w:val="el-GR"/>
        </w:rPr>
      </w:pPr>
      <w:r w:rsidRPr="005D5A9F">
        <w:rPr>
          <w:lang w:val="el-GR"/>
        </w:rPr>
        <w:t>Όπως συμβαίνει με όλα τα ενέσιμα εμβόλια, θα πρέπει να είναι πάντα άμεσα διαθέσιμη ιατρική θεραπεία και επίβλεψη, για την περίπτωση σπάνιων αναφυλακτικών αντιδράσεων μετά την χορήγηση του εμβολίου.</w:t>
      </w:r>
    </w:p>
    <w:p w:rsidR="002B7471" w:rsidRPr="00E40E76" w:rsidRDefault="002B7471" w:rsidP="00E40E76">
      <w:pPr>
        <w:jc w:val="both"/>
        <w:rPr>
          <w:lang w:val="el-GR"/>
        </w:rPr>
      </w:pPr>
      <w:r w:rsidRPr="005D5A9F">
        <w:rPr>
          <w:lang w:val="el-GR"/>
        </w:rPr>
        <w:t>Πριν τον εμβολιασμό, πρέπει να λαμβάνεται  το ιστορικό (ειδικά σε ότι έχει σχέση με προηγούμενο εμβολιασμό και πιθανή εμφάνιση ανεπιθύμητων ενεργειών). Οικογενειακό ιστορικό σπασμών ή οικογενειακό ιστορικό Συνδρόμου Αιφνίδιου Θανάτου Νεογνών (</w:t>
      </w:r>
      <w:r w:rsidRPr="005D5A9F">
        <w:t>SIDS</w:t>
      </w:r>
      <w:r w:rsidRPr="005D5A9F">
        <w:rPr>
          <w:lang w:val="el-GR"/>
        </w:rPr>
        <w:t>), δεν αποτελούν αντενδείξεις.</w:t>
      </w:r>
    </w:p>
    <w:p w:rsidR="002B7471" w:rsidRPr="005D5A9F" w:rsidRDefault="002B7471" w:rsidP="002B7471">
      <w:pPr>
        <w:jc w:val="both"/>
        <w:rPr>
          <w:lang w:val="el-GR"/>
        </w:rPr>
      </w:pPr>
      <w:r w:rsidRPr="005D5A9F">
        <w:rPr>
          <w:lang w:val="el-GR"/>
        </w:rPr>
        <w:t>Εάν είναι γνωστό ότι κάποια από τις ακόλουθες καταστάσεις έχει εμφανισθεί σε χρονική συσχέτιση με τη λήψη εμβολίου κατά του κοκκύτη η απόφαση για τη χορήγηση επιπλέον δόσεων εμβολίου κατά του κοκκύτη θα πρέπει να εξετασθεί σοβαρά.</w:t>
      </w:r>
    </w:p>
    <w:p w:rsidR="002B7471" w:rsidRPr="005D5A9F" w:rsidRDefault="002B7471" w:rsidP="002B7471">
      <w:pPr>
        <w:numPr>
          <w:ilvl w:val="0"/>
          <w:numId w:val="35"/>
        </w:numPr>
        <w:tabs>
          <w:tab w:val="clear" w:pos="567"/>
        </w:tabs>
        <w:jc w:val="both"/>
        <w:rPr>
          <w:lang w:val="el-GR"/>
        </w:rPr>
      </w:pPr>
      <w:r w:rsidRPr="005D5A9F">
        <w:rPr>
          <w:lang w:val="el-GR"/>
        </w:rPr>
        <w:t xml:space="preserve">θερμοκρασία </w:t>
      </w:r>
      <w:r w:rsidRPr="005D5A9F">
        <w:sym w:font="Symbol" w:char="F0B3"/>
      </w:r>
      <w:r w:rsidRPr="005D5A9F">
        <w:rPr>
          <w:lang w:val="el-GR"/>
        </w:rPr>
        <w:t xml:space="preserve"> 40,0° </w:t>
      </w:r>
      <w:r w:rsidRPr="005D5A9F">
        <w:t>C</w:t>
      </w:r>
      <w:r w:rsidRPr="005D5A9F">
        <w:rPr>
          <w:lang w:val="el-GR"/>
        </w:rPr>
        <w:t xml:space="preserve"> εντός 48 ωρών, μη οφειλόμενη σε άλλη αιτία που να μπορεί να εντοπισθεί</w:t>
      </w:r>
    </w:p>
    <w:p w:rsidR="002B7471" w:rsidRPr="005D5A9F" w:rsidRDefault="002B7471" w:rsidP="002B7471">
      <w:pPr>
        <w:numPr>
          <w:ilvl w:val="0"/>
          <w:numId w:val="35"/>
        </w:numPr>
        <w:tabs>
          <w:tab w:val="clear" w:pos="567"/>
        </w:tabs>
        <w:jc w:val="both"/>
        <w:rPr>
          <w:lang w:val="el-GR"/>
        </w:rPr>
      </w:pPr>
      <w:r w:rsidRPr="005D5A9F">
        <w:rPr>
          <w:lang w:val="el-GR"/>
        </w:rPr>
        <w:t xml:space="preserve">καταπληξία ή κατάσταση που να μοιάζει με </w:t>
      </w:r>
      <w:r w:rsidRPr="005D5A9F">
        <w:t>shock</w:t>
      </w:r>
      <w:r w:rsidRPr="005D5A9F">
        <w:rPr>
          <w:lang w:val="el-GR"/>
        </w:rPr>
        <w:t xml:space="preserve"> (υποτονικό-υποαντιδραστικό επεισόδιο) εντός 48 ωρών από τον εμβολιασμό</w:t>
      </w:r>
    </w:p>
    <w:p w:rsidR="002B7471" w:rsidRPr="005D5A9F" w:rsidRDefault="002B7471" w:rsidP="002B7471">
      <w:pPr>
        <w:numPr>
          <w:ilvl w:val="0"/>
          <w:numId w:val="35"/>
        </w:numPr>
        <w:tabs>
          <w:tab w:val="clear" w:pos="567"/>
        </w:tabs>
        <w:jc w:val="both"/>
        <w:rPr>
          <w:lang w:val="el-GR"/>
        </w:rPr>
      </w:pPr>
      <w:r w:rsidRPr="005D5A9F">
        <w:rPr>
          <w:lang w:val="el-GR"/>
        </w:rPr>
        <w:t xml:space="preserve">επίμονο, ακατάπαυστο κλάμα, διαρκείας </w:t>
      </w:r>
      <w:r w:rsidRPr="005D5A9F">
        <w:sym w:font="Symbol" w:char="F0B3"/>
      </w:r>
      <w:r w:rsidRPr="005D5A9F">
        <w:rPr>
          <w:lang w:val="el-GR"/>
        </w:rPr>
        <w:t xml:space="preserve"> 3 ωρών, το οποίο εμφανίζεται εντός 48 ωρών από τον εμβολιασμό</w:t>
      </w:r>
    </w:p>
    <w:p w:rsidR="002B7471" w:rsidRPr="005D5A9F" w:rsidRDefault="002B7471" w:rsidP="002B7471">
      <w:pPr>
        <w:numPr>
          <w:ilvl w:val="0"/>
          <w:numId w:val="35"/>
        </w:numPr>
        <w:tabs>
          <w:tab w:val="clear" w:pos="567"/>
        </w:tabs>
        <w:jc w:val="both"/>
        <w:rPr>
          <w:lang w:val="el-GR"/>
        </w:rPr>
      </w:pPr>
      <w:r w:rsidRPr="005D5A9F">
        <w:rPr>
          <w:lang w:val="el-GR"/>
        </w:rPr>
        <w:t>σπασμοί με ή χωρίς πυρετό, που εμφανίζονται εντός 3 ημερών από τον εμβολιασμό</w:t>
      </w:r>
    </w:p>
    <w:p w:rsidR="002B7471" w:rsidRPr="005D5A9F" w:rsidRDefault="002B7471" w:rsidP="002B7471">
      <w:pPr>
        <w:ind w:left="34" w:right="33"/>
        <w:jc w:val="both"/>
        <w:rPr>
          <w:highlight w:val="yellow"/>
          <w:lang w:val="el-GR"/>
        </w:rPr>
      </w:pPr>
    </w:p>
    <w:p w:rsidR="002B7471" w:rsidRPr="00E40E76" w:rsidRDefault="002B7471" w:rsidP="00E40E76">
      <w:pPr>
        <w:jc w:val="both"/>
        <w:rPr>
          <w:lang w:val="el-GR"/>
        </w:rPr>
      </w:pPr>
      <w:r w:rsidRPr="005D5A9F">
        <w:rPr>
          <w:lang w:val="el-GR"/>
        </w:rPr>
        <w:t>Μπορεί να υπάρξουν περιστάσεις, όπως μία υψηλή συχνότητα κοκκύτη, οπότε τα δυνητικά οφέλη αντιρροπούν τους πιθανούς κινδύνους.</w:t>
      </w:r>
    </w:p>
    <w:p w:rsidR="002B7471" w:rsidRPr="005D5A9F" w:rsidRDefault="002B7471" w:rsidP="002B7471">
      <w:pPr>
        <w:jc w:val="both"/>
        <w:rPr>
          <w:lang w:val="el-GR"/>
        </w:rPr>
      </w:pPr>
      <w:r w:rsidRPr="005D5A9F">
        <w:rPr>
          <w:lang w:val="el-GR"/>
        </w:rPr>
        <w:t xml:space="preserve">Όπως με οποιονδήποτε εμβολιασμό, ο κίνδυνος έναντι του οφέλους </w:t>
      </w:r>
      <w:r>
        <w:rPr>
          <w:lang w:val="el-GR"/>
        </w:rPr>
        <w:t xml:space="preserve">της ανοσοποίησης </w:t>
      </w:r>
      <w:r w:rsidRPr="005D5A9F">
        <w:rPr>
          <w:lang w:val="el-GR"/>
        </w:rPr>
        <w:t xml:space="preserve">με </w:t>
      </w:r>
      <w:proofErr w:type="spellStart"/>
      <w:r w:rsidRPr="005D5A9F">
        <w:t>Infanrix</w:t>
      </w:r>
      <w:proofErr w:type="spellEnd"/>
      <w:r w:rsidRPr="005D5A9F">
        <w:rPr>
          <w:lang w:val="el-GR"/>
        </w:rPr>
        <w:t xml:space="preserve"> </w:t>
      </w:r>
      <w:r w:rsidRPr="005D5A9F">
        <w:t>Tetra</w:t>
      </w:r>
      <w:r w:rsidRPr="005D5A9F">
        <w:rPr>
          <w:lang w:val="el-GR"/>
        </w:rPr>
        <w:t xml:space="preserve"> ή η αναβολή </w:t>
      </w:r>
      <w:r>
        <w:rPr>
          <w:lang w:val="el-GR"/>
        </w:rPr>
        <w:t xml:space="preserve">αυτού του εμβολιασμού </w:t>
      </w:r>
      <w:r w:rsidRPr="005D5A9F">
        <w:rPr>
          <w:lang w:val="el-GR"/>
        </w:rPr>
        <w:t xml:space="preserve">θα πρέπει να ζυγιστεί προσεκτικά σε ένα νήπιο ή σε ένα παιδί που πάσχει από μια </w:t>
      </w:r>
      <w:r>
        <w:rPr>
          <w:lang w:val="el-GR"/>
        </w:rPr>
        <w:t xml:space="preserve">προσφάτου ενάρξεως ή επιδεινούμενη  </w:t>
      </w:r>
      <w:r w:rsidRPr="005D5A9F">
        <w:rPr>
          <w:lang w:val="el-GR"/>
        </w:rPr>
        <w:t>σοβαρή νευρολογική διαταραχή.</w:t>
      </w:r>
    </w:p>
    <w:p w:rsidR="002B7471" w:rsidRPr="00E40E76" w:rsidRDefault="002B7471" w:rsidP="00E40E76">
      <w:pPr>
        <w:jc w:val="both"/>
        <w:rPr>
          <w:lang w:val="el-GR"/>
        </w:rPr>
      </w:pPr>
      <w:r w:rsidRPr="005D5A9F">
        <w:rPr>
          <w:lang w:val="el-GR"/>
        </w:rPr>
        <w:t xml:space="preserve">Το </w:t>
      </w:r>
      <w:proofErr w:type="spellStart"/>
      <w:r w:rsidRPr="005D5A9F">
        <w:t>Infanrix</w:t>
      </w:r>
      <w:proofErr w:type="spellEnd"/>
      <w:r w:rsidRPr="005D5A9F">
        <w:rPr>
          <w:lang w:val="el-GR"/>
        </w:rPr>
        <w:t xml:space="preserve"> </w:t>
      </w:r>
      <w:r w:rsidRPr="005D5A9F">
        <w:t>Tetra</w:t>
      </w:r>
      <w:r w:rsidRPr="005D5A9F">
        <w:rPr>
          <w:lang w:val="el-GR"/>
        </w:rPr>
        <w:t xml:space="preserve"> πρέπει να χορηγείται με προσοχή σε άτομα με θρομβοπενία ή με αιμορραγική διαταραχή, επειδή μπορεί να συμβεί αιμορραγία μετά την ενδομυϊκή χορήγηση σ' αυτά τα άτομα.</w:t>
      </w:r>
    </w:p>
    <w:p w:rsidR="002B7471" w:rsidRPr="00E40E76" w:rsidRDefault="002B7471" w:rsidP="00E40E76">
      <w:pPr>
        <w:jc w:val="both"/>
        <w:rPr>
          <w:lang w:val="el-GR"/>
        </w:rPr>
      </w:pPr>
      <w:r w:rsidRPr="005D5A9F">
        <w:rPr>
          <w:lang w:val="el-GR"/>
        </w:rPr>
        <w:t xml:space="preserve">Η λοίμωξη από </w:t>
      </w:r>
      <w:r w:rsidRPr="005D5A9F">
        <w:t>HIV</w:t>
      </w:r>
      <w:r w:rsidRPr="005D5A9F">
        <w:rPr>
          <w:lang w:val="el-GR"/>
        </w:rPr>
        <w:t xml:space="preserve"> δεν θεωρείται αντένδειξη. Η αναμενόμενη ανοσολογική ανταπόκριση μπορεί να μην επιτευχθεί μετά από εμβολιασμό ανοσοκατασταλμένων ασθενών.</w:t>
      </w:r>
    </w:p>
    <w:p w:rsidR="002B7471" w:rsidRPr="00E40E76" w:rsidRDefault="002B7471" w:rsidP="00E40E76">
      <w:pPr>
        <w:ind w:left="34" w:right="33"/>
        <w:jc w:val="both"/>
        <w:rPr>
          <w:highlight w:val="yellow"/>
          <w:lang w:val="el-GR"/>
        </w:rPr>
      </w:pPr>
      <w:r w:rsidRPr="005D5A9F">
        <w:rPr>
          <w:lang w:val="el-GR"/>
        </w:rPr>
        <w:t>Σε παιδιά υπό ανοσοκατασταλτική θεραπεία (θεραπεία με κορτικοειδή, αντιμιτωτική χημειοθεραπεία, κλπ), συνιστάται η αναβολή του εμβολιασμού μέχρι το τέλος της θεραπείας.</w:t>
      </w:r>
    </w:p>
    <w:p w:rsidR="002B7471" w:rsidRPr="003703B5" w:rsidRDefault="002B7471" w:rsidP="00E40E76">
      <w:pPr>
        <w:ind w:left="34" w:right="33"/>
        <w:jc w:val="both"/>
        <w:rPr>
          <w:lang w:val="el-GR"/>
        </w:rPr>
      </w:pPr>
      <w:r w:rsidRPr="005D5A9F">
        <w:rPr>
          <w:lang w:val="el-GR"/>
        </w:rPr>
        <w:t xml:space="preserve">Το </w:t>
      </w:r>
      <w:proofErr w:type="spellStart"/>
      <w:r w:rsidRPr="005D5A9F">
        <w:t>Infanrix</w:t>
      </w:r>
      <w:proofErr w:type="spellEnd"/>
      <w:r w:rsidRPr="005D5A9F">
        <w:rPr>
          <w:lang w:val="el-GR"/>
        </w:rPr>
        <w:t xml:space="preserve"> </w:t>
      </w:r>
      <w:r w:rsidRPr="005D5A9F">
        <w:t>Tetra</w:t>
      </w:r>
      <w:r w:rsidRPr="005D5A9F">
        <w:rPr>
          <w:lang w:val="el-GR"/>
        </w:rPr>
        <w:t xml:space="preserve"> δεν πρέπει σε καμία περίπτ</w:t>
      </w:r>
      <w:r w:rsidR="00E40E76">
        <w:rPr>
          <w:lang w:val="el-GR"/>
        </w:rPr>
        <w:t>ωση να χορηγείται ενδοαγγειακώς.</w:t>
      </w:r>
    </w:p>
    <w:p w:rsidR="00B3766F" w:rsidRPr="003703B5" w:rsidRDefault="00A12AFE" w:rsidP="003703B5">
      <w:pPr>
        <w:jc w:val="both"/>
        <w:rPr>
          <w:lang w:val="el-GR"/>
        </w:rPr>
      </w:pPr>
      <w:r w:rsidRPr="003703B5">
        <w:rPr>
          <w:lang w:val="el-GR"/>
        </w:rPr>
        <w:t>Συγκο</w:t>
      </w:r>
      <w:r>
        <w:rPr>
          <w:lang w:val="el-GR"/>
        </w:rPr>
        <w:t>π</w:t>
      </w:r>
      <w:r w:rsidRPr="003703B5">
        <w:rPr>
          <w:lang w:val="el-GR"/>
        </w:rPr>
        <w:t>ικό επεισόδιο (λιποθυμία) μπορεί να συμβεί μετά ή ακόμη και πριν από κάθε εμβολιασμό, ειδικά σε εφήβους, ως ψυχογενής αντίδραση στην ένεση με βελόνα. Αυτό μπορεί να συνοδεύεται από νευρολογική σημειολογία όπως παροδική διαταραχή στην όραση, παραισθησία και τονικοκλωνικούς σπασμούς του άκρου κατά την ανάνηψη. Είναι πολύ σημαντικό να λαμβάνουν χώρα διαδικασίες προς αποφυγή τραυματισμού από λιποθυμίες.</w:t>
      </w:r>
    </w:p>
    <w:p w:rsidR="00B3766F" w:rsidRPr="00383E3C" w:rsidRDefault="00B3766F" w:rsidP="002B7471">
      <w:pPr>
        <w:jc w:val="both"/>
        <w:rPr>
          <w:lang w:val="el-GR"/>
        </w:rPr>
      </w:pPr>
    </w:p>
    <w:p w:rsidR="002B7471" w:rsidRPr="00E40E76" w:rsidRDefault="002B7471" w:rsidP="002B7471">
      <w:pPr>
        <w:jc w:val="both"/>
        <w:rPr>
          <w:b/>
          <w:lang w:val="el-GR"/>
        </w:rPr>
      </w:pPr>
      <w:r w:rsidRPr="005D5A9F">
        <w:rPr>
          <w:b/>
          <w:lang w:val="el-GR"/>
        </w:rPr>
        <w:t>4.5</w:t>
      </w:r>
      <w:r w:rsidRPr="005D5A9F">
        <w:rPr>
          <w:b/>
          <w:lang w:val="el-GR"/>
        </w:rPr>
        <w:tab/>
        <w:t>Αλληλεπίδραση με άλλα φάρμακα και άλλες μορφές αλληλεπίδρασης</w:t>
      </w:r>
    </w:p>
    <w:p w:rsidR="002B7471" w:rsidRPr="005D5A9F" w:rsidRDefault="002B7471" w:rsidP="00E40E76">
      <w:pPr>
        <w:jc w:val="both"/>
        <w:rPr>
          <w:highlight w:val="yellow"/>
          <w:lang w:val="el-GR"/>
        </w:rPr>
      </w:pPr>
      <w:r w:rsidRPr="005D5A9F">
        <w:rPr>
          <w:lang w:val="el-GR"/>
        </w:rPr>
        <w:t xml:space="preserve">Το </w:t>
      </w:r>
      <w:proofErr w:type="spellStart"/>
      <w:r w:rsidRPr="005D5A9F">
        <w:t>Infanrix</w:t>
      </w:r>
      <w:proofErr w:type="spellEnd"/>
      <w:r w:rsidRPr="005D5A9F">
        <w:rPr>
          <w:lang w:val="el-GR"/>
        </w:rPr>
        <w:t xml:space="preserve"> </w:t>
      </w:r>
      <w:r w:rsidRPr="005D5A9F">
        <w:t>Tetra</w:t>
      </w:r>
      <w:r w:rsidRPr="005D5A9F">
        <w:rPr>
          <w:lang w:val="el-GR"/>
        </w:rPr>
        <w:t xml:space="preserve"> έχει χορηγηθεί ταυτόχρονα με εμβόλιο ιλαράς-ερυθράς-παρωτίτιδας ή με εμβόλιο </w:t>
      </w:r>
      <w:proofErr w:type="spellStart"/>
      <w:r w:rsidRPr="005D5A9F">
        <w:rPr>
          <w:lang w:val="en-US"/>
        </w:rPr>
        <w:t>Hib</w:t>
      </w:r>
      <w:proofErr w:type="spellEnd"/>
      <w:r w:rsidRPr="005D5A9F">
        <w:rPr>
          <w:lang w:val="el-GR"/>
        </w:rPr>
        <w:t xml:space="preserve"> σε κλινικές μελέτες. Τα διαθέσιμα στοιχεία δεν υποδεικνύουν οποιαδήποτε κλινικά σχετιζόμενη αλληλεπίδραση στην αντισωματική ανταπόκριση  σε κάθε ένα αντιγόνο ατομικά.</w:t>
      </w:r>
    </w:p>
    <w:p w:rsidR="002B7471" w:rsidRPr="005D5A9F" w:rsidRDefault="002B7471" w:rsidP="002B7471">
      <w:pPr>
        <w:ind w:left="34" w:right="33"/>
        <w:jc w:val="both"/>
        <w:rPr>
          <w:lang w:val="el-GR"/>
        </w:rPr>
      </w:pPr>
      <w:r w:rsidRPr="005D5A9F">
        <w:rPr>
          <w:lang w:val="el-GR"/>
        </w:rPr>
        <w:t xml:space="preserve">Δεν έχουν διεξαχθεί μελέτες αλληλεπίδρασης με άλλα εμβόλια, βιολογικά προϊόντα ή φάρμακα. Ωστόσο σύμφωνα με τις αποδεκτές οδηγίες ανοσοποίησης, καθώς το </w:t>
      </w:r>
      <w:proofErr w:type="spellStart"/>
      <w:r w:rsidRPr="005D5A9F">
        <w:t>Infanrix</w:t>
      </w:r>
      <w:proofErr w:type="spellEnd"/>
      <w:r w:rsidRPr="005D5A9F">
        <w:rPr>
          <w:lang w:val="el-GR"/>
        </w:rPr>
        <w:t xml:space="preserve"> </w:t>
      </w:r>
      <w:r w:rsidRPr="005D5A9F">
        <w:t>Tetra</w:t>
      </w:r>
      <w:r w:rsidRPr="005D5A9F">
        <w:rPr>
          <w:lang w:val="el-GR"/>
        </w:rPr>
        <w:t xml:space="preserve"> είναι αδρανοποιημένο προϊόν, θεωρητικά δεν υπάρχει λόγος να μη συγχορηγείται με άλλα εμβόλια ή ανοσοσφαιρίνες, σε διαφορετικά σημεία.</w:t>
      </w:r>
    </w:p>
    <w:p w:rsidR="002B7471" w:rsidRPr="005D5A9F" w:rsidRDefault="002B7471" w:rsidP="002B7471">
      <w:pPr>
        <w:ind w:left="34" w:right="33"/>
        <w:jc w:val="both"/>
        <w:rPr>
          <w:highlight w:val="yellow"/>
          <w:lang w:val="el-GR"/>
        </w:rPr>
      </w:pPr>
    </w:p>
    <w:p w:rsidR="002B7471" w:rsidRPr="005D5A9F" w:rsidRDefault="002B7471" w:rsidP="002B7471">
      <w:pPr>
        <w:ind w:left="34" w:right="33"/>
        <w:jc w:val="both"/>
        <w:rPr>
          <w:lang w:val="el-GR"/>
        </w:rPr>
      </w:pPr>
      <w:r w:rsidRPr="005D5A9F">
        <w:rPr>
          <w:lang w:val="el-GR"/>
        </w:rPr>
        <w:t>Όπως με άλλα εμβόλια μπορεί να αναμένεται ότι σε ασθενείς που λαμβάνουν ανοσοκατασταλτική θεραπεία, ή σε ασθενείς με ανοσοανεπάρκεια, μπορεί να μην επιτευχθεί επαρκής ανοσολογική ανταπόκριση σε ένα ή περισσότερα αντιγόνα του εμβολίου.</w:t>
      </w:r>
    </w:p>
    <w:p w:rsidR="002B7471" w:rsidRPr="005D5A9F" w:rsidRDefault="002B7471" w:rsidP="002B7471">
      <w:pPr>
        <w:jc w:val="both"/>
        <w:rPr>
          <w:lang w:val="el-GR"/>
        </w:rPr>
      </w:pPr>
    </w:p>
    <w:p w:rsidR="002B7471" w:rsidRPr="005D5A9F" w:rsidRDefault="002B7471" w:rsidP="002B7471">
      <w:pPr>
        <w:jc w:val="both"/>
        <w:rPr>
          <w:lang w:val="el-GR"/>
        </w:rPr>
      </w:pPr>
      <w:r w:rsidRPr="005D5A9F">
        <w:rPr>
          <w:b/>
          <w:lang w:val="el-GR"/>
        </w:rPr>
        <w:t>4.6</w:t>
      </w:r>
      <w:r w:rsidRPr="005D5A9F">
        <w:rPr>
          <w:b/>
          <w:lang w:val="el-GR"/>
        </w:rPr>
        <w:tab/>
        <w:t>Κύηση και γαλουχία</w:t>
      </w:r>
    </w:p>
    <w:p w:rsidR="002B7471" w:rsidRPr="005D5A9F" w:rsidRDefault="002B7471" w:rsidP="002B7471">
      <w:pPr>
        <w:jc w:val="both"/>
        <w:rPr>
          <w:lang w:val="el-GR"/>
        </w:rPr>
      </w:pPr>
      <w:r w:rsidRPr="005D5A9F">
        <w:rPr>
          <w:lang w:val="el-GR"/>
        </w:rPr>
        <w:lastRenderedPageBreak/>
        <w:t xml:space="preserve">Αναμένεται ότι το </w:t>
      </w:r>
      <w:proofErr w:type="spellStart"/>
      <w:r w:rsidRPr="005D5A9F">
        <w:t>Infanrix</w:t>
      </w:r>
      <w:proofErr w:type="spellEnd"/>
      <w:r w:rsidRPr="005D5A9F">
        <w:rPr>
          <w:lang w:val="el-GR"/>
        </w:rPr>
        <w:t xml:space="preserve"> </w:t>
      </w:r>
      <w:r w:rsidRPr="005D5A9F">
        <w:t>Tetra</w:t>
      </w:r>
      <w:r w:rsidRPr="005D5A9F">
        <w:rPr>
          <w:lang w:val="el-GR"/>
        </w:rPr>
        <w:t xml:space="preserve"> μόνο σπάνια θα χορηγείται σε άτομα αναπαραγωγικής ηλικίας. Επαρκή στοιχεία για τη χρήση του </w:t>
      </w:r>
      <w:proofErr w:type="spellStart"/>
      <w:r w:rsidRPr="005D5A9F">
        <w:t>Infanrix</w:t>
      </w:r>
      <w:proofErr w:type="spellEnd"/>
      <w:r w:rsidRPr="005D5A9F">
        <w:rPr>
          <w:lang w:val="el-GR"/>
        </w:rPr>
        <w:t xml:space="preserve"> </w:t>
      </w:r>
      <w:r w:rsidRPr="005D5A9F">
        <w:t>Tetra</w:t>
      </w:r>
      <w:r w:rsidRPr="005D5A9F">
        <w:rPr>
          <w:lang w:val="el-GR"/>
        </w:rPr>
        <w:t xml:space="preserve"> κατά τη διάρκεια της εγκυμοσύνης και της γαλουχίας δεν είναι διαθέσιμα και μελέτες σε πειραματόζωα σε τοξικολογία της αναπαραγωγής δεν έχουν διεξαχθεί. Επομένως η χρήση αυτού του συνδυασμένου εμβολίου δεν συνιστάται κατά τη διάρκεια της εγκυμοσύνης. Είναι προτιμότερο να αποφεύγεται η χρήση αυτού του εμβολίου κατά τη διάρκεια της γαλουχίας.</w:t>
      </w:r>
    </w:p>
    <w:p w:rsidR="002B7471" w:rsidRPr="005D5A9F" w:rsidRDefault="002B7471" w:rsidP="002B7471">
      <w:pPr>
        <w:jc w:val="both"/>
        <w:rPr>
          <w:lang w:val="el-GR"/>
        </w:rPr>
      </w:pPr>
    </w:p>
    <w:p w:rsidR="002B7471" w:rsidRPr="005D5A9F" w:rsidRDefault="002B7471" w:rsidP="002B7471">
      <w:pPr>
        <w:jc w:val="both"/>
        <w:rPr>
          <w:lang w:val="el-GR"/>
        </w:rPr>
      </w:pPr>
      <w:r w:rsidRPr="005D5A9F">
        <w:rPr>
          <w:b/>
          <w:lang w:val="el-GR"/>
        </w:rPr>
        <w:t>4.7</w:t>
      </w:r>
      <w:r w:rsidRPr="005D5A9F">
        <w:rPr>
          <w:b/>
          <w:lang w:val="el-GR"/>
        </w:rPr>
        <w:tab/>
        <w:t>Επίδραση στην ικανότητα οδήγησης και χειρισμού μηχαν</w:t>
      </w:r>
      <w:r>
        <w:rPr>
          <w:b/>
          <w:lang w:val="el-GR"/>
        </w:rPr>
        <w:t>ών</w:t>
      </w:r>
    </w:p>
    <w:p w:rsidR="002B7471" w:rsidRPr="005D5A9F" w:rsidRDefault="002B7471" w:rsidP="002B7471">
      <w:pPr>
        <w:jc w:val="both"/>
        <w:rPr>
          <w:lang w:val="el-GR"/>
        </w:rPr>
      </w:pPr>
      <w:r w:rsidRPr="005D5A9F">
        <w:rPr>
          <w:lang w:val="el-GR"/>
        </w:rPr>
        <w:t xml:space="preserve">Αναμένεται ότι το </w:t>
      </w:r>
      <w:proofErr w:type="spellStart"/>
      <w:r w:rsidRPr="005D5A9F">
        <w:t>Infanrix</w:t>
      </w:r>
      <w:proofErr w:type="spellEnd"/>
      <w:r w:rsidRPr="005D5A9F">
        <w:rPr>
          <w:lang w:val="el-GR"/>
        </w:rPr>
        <w:t xml:space="preserve"> </w:t>
      </w:r>
      <w:r w:rsidRPr="005D5A9F">
        <w:t>Tetra</w:t>
      </w:r>
      <w:r w:rsidRPr="005D5A9F">
        <w:rPr>
          <w:lang w:val="el-GR"/>
        </w:rPr>
        <w:t xml:space="preserve"> μόνο σπάνια θα χορηγείται σε άτομα που θα οδηγούν ή χειρίζονται μηχανές. Ωστόσο η υπνηλία που αναφέρθηκε συχνά μετά τον εμβολιασμό μπορεί παροδικά να επηρεάσει την οδήγηση ή τον χειρισμό μηχανών.</w:t>
      </w:r>
    </w:p>
    <w:p w:rsidR="002B7471" w:rsidRPr="005D5A9F" w:rsidRDefault="002B7471" w:rsidP="002B7471">
      <w:pPr>
        <w:jc w:val="both"/>
        <w:rPr>
          <w:lang w:val="el-GR"/>
        </w:rPr>
      </w:pPr>
    </w:p>
    <w:p w:rsidR="002B7471" w:rsidRPr="005D5A9F" w:rsidRDefault="002B7471" w:rsidP="002B7471">
      <w:pPr>
        <w:jc w:val="both"/>
        <w:rPr>
          <w:lang w:val="el-GR"/>
        </w:rPr>
      </w:pPr>
      <w:r w:rsidRPr="005D5A9F">
        <w:rPr>
          <w:b/>
          <w:lang w:val="el-GR"/>
        </w:rPr>
        <w:t>4.8</w:t>
      </w:r>
      <w:r w:rsidRPr="005D5A9F">
        <w:rPr>
          <w:b/>
          <w:lang w:val="el-GR"/>
        </w:rPr>
        <w:tab/>
        <w:t xml:space="preserve">Ανεπιθύμητες </w:t>
      </w:r>
      <w:r>
        <w:rPr>
          <w:b/>
          <w:lang w:val="el-GR"/>
        </w:rPr>
        <w:t>ε</w:t>
      </w:r>
      <w:r w:rsidRPr="005D5A9F">
        <w:rPr>
          <w:b/>
          <w:lang w:val="el-GR"/>
        </w:rPr>
        <w:t>νέργειες</w:t>
      </w:r>
    </w:p>
    <w:p w:rsidR="002B7471" w:rsidRPr="00E40E76" w:rsidRDefault="002B7471" w:rsidP="002B7471">
      <w:pPr>
        <w:numPr>
          <w:ilvl w:val="0"/>
          <w:numId w:val="53"/>
        </w:numPr>
        <w:ind w:hanging="720"/>
        <w:jc w:val="both"/>
        <w:rPr>
          <w:lang w:val="el-GR"/>
        </w:rPr>
      </w:pPr>
      <w:r w:rsidRPr="005D5A9F">
        <w:rPr>
          <w:lang w:val="el-GR"/>
        </w:rPr>
        <w:t>Κλινικές μελέτες:</w:t>
      </w:r>
    </w:p>
    <w:p w:rsidR="002B7471" w:rsidRPr="002A6126" w:rsidRDefault="002B7471" w:rsidP="002B7471">
      <w:pPr>
        <w:rPr>
          <w:lang w:val="el-GR"/>
        </w:rPr>
      </w:pPr>
      <w:r>
        <w:rPr>
          <w:lang w:val="el-GR"/>
        </w:rPr>
        <w:t>Το</w:t>
      </w:r>
      <w:r w:rsidRPr="002A6126">
        <w:rPr>
          <w:lang w:val="el-GR"/>
        </w:rPr>
        <w:t xml:space="preserve"> </w:t>
      </w:r>
      <w:r>
        <w:rPr>
          <w:lang w:val="el-GR"/>
        </w:rPr>
        <w:t>προφίλ</w:t>
      </w:r>
      <w:r w:rsidRPr="002A6126">
        <w:rPr>
          <w:lang w:val="el-GR"/>
        </w:rPr>
        <w:t xml:space="preserve"> </w:t>
      </w:r>
      <w:r>
        <w:rPr>
          <w:lang w:val="el-GR"/>
        </w:rPr>
        <w:t>ασφαλείας</w:t>
      </w:r>
      <w:r w:rsidRPr="002A6126">
        <w:rPr>
          <w:lang w:val="el-GR"/>
        </w:rPr>
        <w:t xml:space="preserve"> </w:t>
      </w:r>
      <w:r>
        <w:rPr>
          <w:lang w:val="el-GR"/>
        </w:rPr>
        <w:t>που</w:t>
      </w:r>
      <w:r w:rsidRPr="002A6126">
        <w:rPr>
          <w:lang w:val="el-GR"/>
        </w:rPr>
        <w:t xml:space="preserve"> </w:t>
      </w:r>
      <w:r>
        <w:rPr>
          <w:lang w:val="el-GR"/>
        </w:rPr>
        <w:t>παρατίθεται</w:t>
      </w:r>
      <w:r w:rsidRPr="002A6126">
        <w:rPr>
          <w:lang w:val="el-GR"/>
        </w:rPr>
        <w:t xml:space="preserve"> </w:t>
      </w:r>
      <w:r>
        <w:rPr>
          <w:lang w:val="el-GR"/>
        </w:rPr>
        <w:t>κατωτέρω</w:t>
      </w:r>
      <w:r w:rsidRPr="002A6126">
        <w:rPr>
          <w:lang w:val="el-GR"/>
        </w:rPr>
        <w:t xml:space="preserve"> </w:t>
      </w:r>
      <w:r>
        <w:rPr>
          <w:lang w:val="el-GR"/>
        </w:rPr>
        <w:t>βασίζεται</w:t>
      </w:r>
      <w:r w:rsidRPr="002A6126">
        <w:rPr>
          <w:lang w:val="el-GR"/>
        </w:rPr>
        <w:t xml:space="preserve"> </w:t>
      </w:r>
      <w:r>
        <w:rPr>
          <w:lang w:val="el-GR"/>
        </w:rPr>
        <w:t>σε</w:t>
      </w:r>
      <w:r w:rsidRPr="002A6126">
        <w:rPr>
          <w:lang w:val="el-GR"/>
        </w:rPr>
        <w:t xml:space="preserve"> </w:t>
      </w:r>
      <w:r>
        <w:rPr>
          <w:lang w:val="el-GR"/>
        </w:rPr>
        <w:t>στοιχεία</w:t>
      </w:r>
      <w:r w:rsidRPr="002A6126">
        <w:rPr>
          <w:lang w:val="el-GR"/>
        </w:rPr>
        <w:t xml:space="preserve"> </w:t>
      </w:r>
      <w:r>
        <w:rPr>
          <w:lang w:val="el-GR"/>
        </w:rPr>
        <w:t>από περισσότερα από 2200 άτομα.</w:t>
      </w:r>
    </w:p>
    <w:p w:rsidR="002B7471" w:rsidRPr="002A6126" w:rsidRDefault="002B7471" w:rsidP="002B7471">
      <w:pPr>
        <w:rPr>
          <w:lang w:val="el-GR"/>
        </w:rPr>
      </w:pPr>
      <w:r>
        <w:rPr>
          <w:lang w:val="el-GR"/>
        </w:rPr>
        <w:t>Όπως</w:t>
      </w:r>
      <w:r w:rsidRPr="002A6126">
        <w:rPr>
          <w:lang w:val="el-GR"/>
        </w:rPr>
        <w:t xml:space="preserve"> </w:t>
      </w:r>
      <w:r>
        <w:rPr>
          <w:lang w:val="el-GR"/>
        </w:rPr>
        <w:t>παρατηρήθηκε</w:t>
      </w:r>
      <w:r w:rsidRPr="002A6126">
        <w:rPr>
          <w:lang w:val="el-GR"/>
        </w:rPr>
        <w:t xml:space="preserve"> </w:t>
      </w:r>
      <w:r>
        <w:rPr>
          <w:lang w:val="el-GR"/>
        </w:rPr>
        <w:t>για</w:t>
      </w:r>
      <w:r w:rsidRPr="002A6126">
        <w:rPr>
          <w:lang w:val="el-GR"/>
        </w:rPr>
        <w:t xml:space="preserve"> </w:t>
      </w:r>
      <w:r>
        <w:rPr>
          <w:lang w:val="el-GR"/>
        </w:rPr>
        <w:t>το</w:t>
      </w:r>
      <w:r w:rsidRPr="002A6126">
        <w:rPr>
          <w:lang w:val="el-GR"/>
        </w:rPr>
        <w:t xml:space="preserve"> </w:t>
      </w:r>
      <w:proofErr w:type="spellStart"/>
      <w:r>
        <w:t>D</w:t>
      </w:r>
      <w:r w:rsidRPr="00C65936">
        <w:t>TPa</w:t>
      </w:r>
      <w:proofErr w:type="spellEnd"/>
      <w:r w:rsidRPr="002A6126">
        <w:rPr>
          <w:lang w:val="el-GR"/>
        </w:rPr>
        <w:t xml:space="preserve"> </w:t>
      </w:r>
      <w:r>
        <w:rPr>
          <w:lang w:val="el-GR"/>
        </w:rPr>
        <w:t>και</w:t>
      </w:r>
      <w:r w:rsidRPr="002A6126">
        <w:rPr>
          <w:lang w:val="el-GR"/>
        </w:rPr>
        <w:t xml:space="preserve"> </w:t>
      </w:r>
      <w:r>
        <w:rPr>
          <w:lang w:val="el-GR"/>
        </w:rPr>
        <w:t>τους</w:t>
      </w:r>
      <w:r w:rsidRPr="002A6126">
        <w:rPr>
          <w:lang w:val="el-GR"/>
        </w:rPr>
        <w:t xml:space="preserve"> </w:t>
      </w:r>
      <w:r>
        <w:rPr>
          <w:lang w:val="el-GR"/>
        </w:rPr>
        <w:t>συνδυασμούς</w:t>
      </w:r>
      <w:r w:rsidRPr="002A6126">
        <w:rPr>
          <w:lang w:val="el-GR"/>
        </w:rPr>
        <w:t xml:space="preserve"> </w:t>
      </w:r>
      <w:r>
        <w:rPr>
          <w:lang w:val="el-GR"/>
        </w:rPr>
        <w:t>που</w:t>
      </w:r>
      <w:r w:rsidRPr="002A6126">
        <w:rPr>
          <w:lang w:val="el-GR"/>
        </w:rPr>
        <w:t xml:space="preserve"> </w:t>
      </w:r>
      <w:r>
        <w:rPr>
          <w:lang w:val="el-GR"/>
        </w:rPr>
        <w:t>περιέχουν</w:t>
      </w:r>
      <w:r w:rsidRPr="002A6126">
        <w:rPr>
          <w:lang w:val="el-GR"/>
        </w:rPr>
        <w:t xml:space="preserve"> </w:t>
      </w:r>
      <w:proofErr w:type="spellStart"/>
      <w:r w:rsidRPr="00C65936">
        <w:t>DTPa</w:t>
      </w:r>
      <w:proofErr w:type="spellEnd"/>
      <w:r w:rsidRPr="002A6126">
        <w:rPr>
          <w:lang w:val="el-GR"/>
        </w:rPr>
        <w:t xml:space="preserve">, </w:t>
      </w:r>
      <w:r>
        <w:rPr>
          <w:lang w:val="el-GR"/>
        </w:rPr>
        <w:t>μια</w:t>
      </w:r>
      <w:r w:rsidRPr="002A6126">
        <w:rPr>
          <w:lang w:val="el-GR"/>
        </w:rPr>
        <w:t xml:space="preserve"> </w:t>
      </w:r>
      <w:r>
        <w:rPr>
          <w:lang w:val="el-GR"/>
        </w:rPr>
        <w:t>αύξηση</w:t>
      </w:r>
      <w:r w:rsidRPr="002A6126">
        <w:rPr>
          <w:lang w:val="el-GR"/>
        </w:rPr>
        <w:t xml:space="preserve"> </w:t>
      </w:r>
      <w:r>
        <w:rPr>
          <w:lang w:val="el-GR"/>
        </w:rPr>
        <w:t>στην</w:t>
      </w:r>
      <w:r w:rsidRPr="002A6126">
        <w:rPr>
          <w:lang w:val="el-GR"/>
        </w:rPr>
        <w:t xml:space="preserve"> </w:t>
      </w:r>
      <w:r>
        <w:rPr>
          <w:lang w:val="el-GR"/>
        </w:rPr>
        <w:t>τοπική</w:t>
      </w:r>
      <w:r w:rsidRPr="002A6126">
        <w:rPr>
          <w:lang w:val="el-GR"/>
        </w:rPr>
        <w:t xml:space="preserve"> </w:t>
      </w:r>
      <w:r>
        <w:rPr>
          <w:lang w:val="el-GR"/>
        </w:rPr>
        <w:t xml:space="preserve">αντιδραστικότητα και τον πυρετό παρατηρήθηκε μετά τον αναμνηστικό εμβολιασμό με το </w:t>
      </w:r>
      <w:proofErr w:type="spellStart"/>
      <w:r w:rsidRPr="00C65936">
        <w:t>InfanrixTetra</w:t>
      </w:r>
      <w:proofErr w:type="spellEnd"/>
      <w:r w:rsidRPr="002A6126">
        <w:rPr>
          <w:lang w:val="el-GR"/>
        </w:rPr>
        <w:t xml:space="preserve"> </w:t>
      </w:r>
      <w:r>
        <w:rPr>
          <w:lang w:val="el-GR"/>
        </w:rPr>
        <w:t>αναφορικά με το αρχικό σχήμα</w:t>
      </w:r>
      <w:r w:rsidRPr="002A6126">
        <w:rPr>
          <w:lang w:val="el-GR"/>
        </w:rPr>
        <w:t>.</w:t>
      </w:r>
    </w:p>
    <w:p w:rsidR="002B7471" w:rsidRPr="002A6126" w:rsidRDefault="002B7471" w:rsidP="002B7471">
      <w:pPr>
        <w:ind w:right="33"/>
        <w:jc w:val="both"/>
        <w:rPr>
          <w:b/>
          <w:highlight w:val="yellow"/>
          <w:lang w:val="el-GR"/>
        </w:rPr>
      </w:pPr>
    </w:p>
    <w:p w:rsidR="002B7471" w:rsidRPr="005D5A9F" w:rsidRDefault="002B7471" w:rsidP="002B7471">
      <w:pPr>
        <w:ind w:right="33"/>
        <w:jc w:val="both"/>
        <w:rPr>
          <w:lang w:val="el-GR"/>
        </w:rPr>
      </w:pPr>
      <w:r w:rsidRPr="005D5A9F">
        <w:rPr>
          <w:lang w:val="el-GR"/>
        </w:rPr>
        <w:t xml:space="preserve">Οι συχνότητες </w:t>
      </w:r>
      <w:r>
        <w:rPr>
          <w:lang w:val="el-GR"/>
        </w:rPr>
        <w:t xml:space="preserve">ανά δόση </w:t>
      </w:r>
      <w:r w:rsidRPr="005D5A9F">
        <w:rPr>
          <w:lang w:val="el-GR"/>
        </w:rPr>
        <w:t>ορίσθηκαν ως εξής</w:t>
      </w:r>
    </w:p>
    <w:p w:rsidR="002B7471" w:rsidRPr="005D5A9F" w:rsidRDefault="002B7471" w:rsidP="002B7471">
      <w:pPr>
        <w:ind w:right="33"/>
        <w:jc w:val="both"/>
        <w:rPr>
          <w:lang w:val="el-GR"/>
        </w:rPr>
      </w:pPr>
    </w:p>
    <w:p w:rsidR="00035145" w:rsidRPr="003703B5" w:rsidRDefault="002B7471" w:rsidP="002B7471">
      <w:pPr>
        <w:tabs>
          <w:tab w:val="clear" w:pos="567"/>
          <w:tab w:val="left" w:pos="1560"/>
        </w:tabs>
        <w:rPr>
          <w:lang w:val="el-GR"/>
        </w:rPr>
      </w:pPr>
      <w:r w:rsidRPr="00110A45">
        <w:rPr>
          <w:lang w:val="el-GR"/>
        </w:rPr>
        <w:t>Πολύ συχνές:</w:t>
      </w:r>
      <w:r w:rsidRPr="00110A45">
        <w:rPr>
          <w:lang w:val="el-GR"/>
        </w:rPr>
        <w:tab/>
        <w:t>(≥ 1/10)</w:t>
      </w:r>
    </w:p>
    <w:p w:rsidR="002B7471" w:rsidRPr="00110A45" w:rsidRDefault="002B7471" w:rsidP="002B7471">
      <w:pPr>
        <w:tabs>
          <w:tab w:val="clear" w:pos="567"/>
          <w:tab w:val="left" w:pos="1560"/>
        </w:tabs>
        <w:rPr>
          <w:lang w:val="el-GR"/>
        </w:rPr>
      </w:pPr>
      <w:r w:rsidRPr="00110A45">
        <w:rPr>
          <w:lang w:val="el-GR"/>
        </w:rPr>
        <w:t>Συχνές:</w:t>
      </w:r>
      <w:r w:rsidRPr="00110A45">
        <w:rPr>
          <w:lang w:val="el-GR"/>
        </w:rPr>
        <w:tab/>
        <w:t xml:space="preserve">(≥1/100 </w:t>
      </w:r>
      <w:r w:rsidRPr="00110A45">
        <w:t>to</w:t>
      </w:r>
      <w:r w:rsidRPr="00110A45">
        <w:rPr>
          <w:lang w:val="el-GR"/>
        </w:rPr>
        <w:t xml:space="preserve"> &lt;1/10)</w:t>
      </w:r>
    </w:p>
    <w:p w:rsidR="002B7471" w:rsidRPr="00110A45" w:rsidRDefault="002B7471" w:rsidP="002B7471">
      <w:pPr>
        <w:tabs>
          <w:tab w:val="clear" w:pos="567"/>
          <w:tab w:val="left" w:pos="1560"/>
        </w:tabs>
        <w:rPr>
          <w:lang w:val="el-GR"/>
        </w:rPr>
      </w:pPr>
      <w:r w:rsidRPr="00110A45">
        <w:rPr>
          <w:lang w:val="el-GR"/>
        </w:rPr>
        <w:t>Όχι συχνές:</w:t>
      </w:r>
      <w:r w:rsidRPr="00110A45">
        <w:rPr>
          <w:lang w:val="el-GR"/>
        </w:rPr>
        <w:tab/>
        <w:t>(≥1/1</w:t>
      </w:r>
      <w:r w:rsidRPr="002B7471">
        <w:rPr>
          <w:lang w:val="el-GR"/>
        </w:rPr>
        <w:t>.</w:t>
      </w:r>
      <w:r w:rsidRPr="00110A45">
        <w:rPr>
          <w:lang w:val="el-GR"/>
        </w:rPr>
        <w:t xml:space="preserve">000 </w:t>
      </w:r>
      <w:r w:rsidRPr="00110A45">
        <w:t>to</w:t>
      </w:r>
      <w:r w:rsidRPr="00110A45">
        <w:rPr>
          <w:lang w:val="el-GR"/>
        </w:rPr>
        <w:t xml:space="preserve"> &lt;1/100)</w:t>
      </w:r>
    </w:p>
    <w:p w:rsidR="002B7471" w:rsidRPr="003703B5" w:rsidRDefault="002B7471" w:rsidP="002B7471">
      <w:pPr>
        <w:tabs>
          <w:tab w:val="clear" w:pos="567"/>
          <w:tab w:val="left" w:pos="1560"/>
        </w:tabs>
        <w:rPr>
          <w:lang w:val="el-GR"/>
        </w:rPr>
      </w:pPr>
      <w:r w:rsidRPr="00110A45">
        <w:rPr>
          <w:lang w:val="el-GR"/>
        </w:rPr>
        <w:t>Σπάνιες:</w:t>
      </w:r>
      <w:r w:rsidRPr="00110A45">
        <w:rPr>
          <w:lang w:val="el-GR"/>
        </w:rPr>
        <w:tab/>
      </w:r>
      <w:r w:rsidRPr="002B7471">
        <w:rPr>
          <w:lang w:val="el-GR"/>
        </w:rPr>
        <w:t xml:space="preserve">(≥1/10.000 </w:t>
      </w:r>
      <w:r w:rsidRPr="00110A45">
        <w:t>to</w:t>
      </w:r>
      <w:r w:rsidRPr="002B7471">
        <w:rPr>
          <w:lang w:val="el-GR"/>
        </w:rPr>
        <w:t xml:space="preserve"> &lt;1/1.000)</w:t>
      </w:r>
    </w:p>
    <w:p w:rsidR="00BD68F3" w:rsidRPr="00BD68F3" w:rsidRDefault="00BD68F3" w:rsidP="002B7471">
      <w:pPr>
        <w:tabs>
          <w:tab w:val="clear" w:pos="567"/>
          <w:tab w:val="left" w:pos="1560"/>
        </w:tabs>
        <w:rPr>
          <w:lang w:val="el-GR"/>
        </w:rPr>
      </w:pPr>
      <w:r>
        <w:rPr>
          <w:lang w:val="el-GR"/>
        </w:rPr>
        <w:t>Πολύ σπάνιες</w:t>
      </w:r>
      <w:r>
        <w:rPr>
          <w:lang w:val="el-GR"/>
        </w:rPr>
        <w:tab/>
        <w:t>(1</w:t>
      </w:r>
      <w:r w:rsidRPr="002B7471">
        <w:rPr>
          <w:lang w:val="el-GR"/>
        </w:rPr>
        <w:t>&lt;</w:t>
      </w:r>
      <w:r>
        <w:rPr>
          <w:lang w:val="el-GR"/>
        </w:rPr>
        <w:t xml:space="preserve"> 10.000)</w:t>
      </w:r>
    </w:p>
    <w:p w:rsidR="002B7471" w:rsidRDefault="002B7471" w:rsidP="002B7471">
      <w:pPr>
        <w:ind w:right="33"/>
        <w:jc w:val="both"/>
        <w:rPr>
          <w:i/>
          <w:lang w:val="el-GR"/>
        </w:rPr>
      </w:pPr>
    </w:p>
    <w:p w:rsidR="002B7471" w:rsidRPr="00110A45" w:rsidRDefault="002B7471" w:rsidP="002B7471">
      <w:pPr>
        <w:ind w:right="33"/>
        <w:jc w:val="both"/>
        <w:rPr>
          <w:lang w:val="el-GR"/>
        </w:rPr>
      </w:pPr>
      <w:r>
        <w:rPr>
          <w:lang w:val="el-GR"/>
        </w:rPr>
        <w:t>Εντός κάθε κατηγοριοποίησης ανά συχνότητα, οι ανεπιθύμητες ενέργειες παρατίθενται κατά σειρά φθίνουσας σοβαρότητας.</w:t>
      </w:r>
    </w:p>
    <w:p w:rsidR="002B7471" w:rsidRPr="005D5A9F" w:rsidRDefault="002B7471" w:rsidP="002B7471">
      <w:pPr>
        <w:tabs>
          <w:tab w:val="clear" w:pos="567"/>
        </w:tabs>
        <w:rPr>
          <w:u w:val="single"/>
          <w:lang w:val="el-GR"/>
        </w:rPr>
      </w:pPr>
    </w:p>
    <w:p w:rsidR="002B7471" w:rsidRPr="005D5A9F" w:rsidRDefault="002B7471" w:rsidP="002B7471">
      <w:pPr>
        <w:tabs>
          <w:tab w:val="clear" w:pos="567"/>
        </w:tabs>
        <w:rPr>
          <w:u w:val="single"/>
          <w:lang w:val="el-GR"/>
        </w:rPr>
      </w:pPr>
      <w:r w:rsidRPr="005D5A9F">
        <w:rPr>
          <w:noProof/>
          <w:u w:val="single"/>
          <w:lang w:val="el-GR"/>
        </w:rPr>
        <w:t>Διαταραχές του αιμοποιητικού και του λεμφικού συστήματος</w:t>
      </w:r>
      <w:r w:rsidRPr="005D5A9F">
        <w:rPr>
          <w:u w:val="single"/>
          <w:lang w:val="el-GR"/>
        </w:rPr>
        <w:t xml:space="preserve"> </w:t>
      </w:r>
    </w:p>
    <w:p w:rsidR="002B7471" w:rsidRPr="005D5A9F" w:rsidRDefault="002B7471" w:rsidP="002B7471">
      <w:pPr>
        <w:tabs>
          <w:tab w:val="clear" w:pos="567"/>
        </w:tabs>
        <w:rPr>
          <w:lang w:val="el-GR"/>
        </w:rPr>
      </w:pPr>
      <w:r>
        <w:rPr>
          <w:lang w:val="el-GR"/>
        </w:rPr>
        <w:t>Σπάνιες</w:t>
      </w:r>
      <w:r w:rsidRPr="005D5A9F">
        <w:rPr>
          <w:lang w:val="el-GR"/>
        </w:rPr>
        <w:t>: λεμφαδενοπάθεια</w:t>
      </w:r>
    </w:p>
    <w:p w:rsidR="002B7471" w:rsidRDefault="002B7471" w:rsidP="002B7471">
      <w:pPr>
        <w:tabs>
          <w:tab w:val="clear" w:pos="567"/>
        </w:tabs>
        <w:rPr>
          <w:u w:val="single"/>
          <w:lang w:val="el-GR"/>
        </w:rPr>
      </w:pPr>
    </w:p>
    <w:p w:rsidR="002B7471" w:rsidRPr="005D5A9F" w:rsidRDefault="002B7471" w:rsidP="002B7471">
      <w:pPr>
        <w:pStyle w:val="ad"/>
        <w:jc w:val="left"/>
        <w:rPr>
          <w:b w:val="0"/>
          <w:noProof/>
          <w:u w:val="single"/>
          <w:lang w:val="el-GR"/>
        </w:rPr>
      </w:pPr>
      <w:r w:rsidRPr="005D5A9F">
        <w:rPr>
          <w:b w:val="0"/>
          <w:noProof/>
          <w:u w:val="single"/>
          <w:lang w:val="el-GR"/>
        </w:rPr>
        <w:t>Διαταραχές του νευρικού συστήματος</w:t>
      </w:r>
    </w:p>
    <w:p w:rsidR="002B7471" w:rsidRPr="005D5A9F" w:rsidRDefault="002B7471" w:rsidP="002B7471">
      <w:pPr>
        <w:ind w:right="140"/>
        <w:rPr>
          <w:u w:val="single"/>
          <w:lang w:val="el-GR"/>
        </w:rPr>
      </w:pPr>
      <w:r w:rsidRPr="005D5A9F">
        <w:rPr>
          <w:lang w:val="el-GR"/>
        </w:rPr>
        <w:t>Πολύ συχνές: υπνηλία</w:t>
      </w:r>
      <w:r>
        <w:rPr>
          <w:lang w:val="el-GR"/>
        </w:rPr>
        <w:t>,</w:t>
      </w:r>
      <w:r w:rsidRPr="005D5A9F">
        <w:rPr>
          <w:lang w:val="el-GR"/>
        </w:rPr>
        <w:t xml:space="preserve"> κεφαλαλγία</w:t>
      </w:r>
      <w:r>
        <w:rPr>
          <w:lang w:val="el-GR"/>
        </w:rPr>
        <w:t xml:space="preserve"> (εύρος ηλικίας 6-13 ετών)</w:t>
      </w:r>
    </w:p>
    <w:p w:rsidR="002B7471" w:rsidRPr="005D5A9F" w:rsidRDefault="002B7471" w:rsidP="002B7471">
      <w:pPr>
        <w:tabs>
          <w:tab w:val="clear" w:pos="567"/>
        </w:tabs>
        <w:rPr>
          <w:u w:val="single"/>
          <w:lang w:val="el-GR"/>
        </w:rPr>
      </w:pPr>
    </w:p>
    <w:p w:rsidR="002B7471" w:rsidRPr="005D5A9F" w:rsidRDefault="002B7471" w:rsidP="002B7471">
      <w:pPr>
        <w:pStyle w:val="ad"/>
        <w:jc w:val="left"/>
        <w:rPr>
          <w:b w:val="0"/>
          <w:noProof/>
          <w:u w:val="single"/>
          <w:lang w:val="el-GR"/>
        </w:rPr>
      </w:pPr>
      <w:r w:rsidRPr="005D5A9F">
        <w:rPr>
          <w:b w:val="0"/>
          <w:noProof/>
          <w:u w:val="single"/>
          <w:lang w:val="el-GR"/>
        </w:rPr>
        <w:t>Διαταραχές του αναπνευστικού συστήματος, του θώρακα και του μεσοθωρακίου</w:t>
      </w:r>
    </w:p>
    <w:p w:rsidR="002B7471" w:rsidRPr="001B4F2B" w:rsidRDefault="002B7471" w:rsidP="002B7471">
      <w:pPr>
        <w:tabs>
          <w:tab w:val="clear" w:pos="567"/>
        </w:tabs>
        <w:rPr>
          <w:lang w:val="el-GR"/>
        </w:rPr>
      </w:pPr>
      <w:r w:rsidRPr="001B4F2B">
        <w:rPr>
          <w:lang w:val="el-GR"/>
        </w:rPr>
        <w:t>Σπάνιες: βρογχίτιδα</w:t>
      </w:r>
      <w:r w:rsidRPr="001B4F2B">
        <w:rPr>
          <w:vertAlign w:val="superscript"/>
          <w:lang w:val="el-GR"/>
        </w:rPr>
        <w:t>1</w:t>
      </w:r>
      <w:r w:rsidRPr="001B4F2B">
        <w:rPr>
          <w:lang w:val="el-GR"/>
        </w:rPr>
        <w:t>, βήχας</w:t>
      </w:r>
      <w:r w:rsidRPr="001B4F2B">
        <w:rPr>
          <w:vertAlign w:val="superscript"/>
          <w:lang w:val="el-GR"/>
        </w:rPr>
        <w:t>1</w:t>
      </w:r>
    </w:p>
    <w:p w:rsidR="002B7471" w:rsidRPr="005D5A9F" w:rsidRDefault="002B7471" w:rsidP="002B7471">
      <w:pPr>
        <w:tabs>
          <w:tab w:val="clear" w:pos="567"/>
        </w:tabs>
        <w:rPr>
          <w:u w:val="single"/>
          <w:lang w:val="el-GR"/>
        </w:rPr>
      </w:pPr>
    </w:p>
    <w:p w:rsidR="002B7471" w:rsidRPr="005D5A9F" w:rsidRDefault="002B7471" w:rsidP="002B7471">
      <w:pPr>
        <w:pStyle w:val="ad"/>
        <w:jc w:val="left"/>
        <w:rPr>
          <w:b w:val="0"/>
          <w:noProof/>
          <w:u w:val="single"/>
          <w:lang w:val="el-GR"/>
        </w:rPr>
      </w:pPr>
      <w:r w:rsidRPr="005D5A9F">
        <w:rPr>
          <w:b w:val="0"/>
          <w:noProof/>
          <w:u w:val="single"/>
          <w:lang w:val="el-GR"/>
        </w:rPr>
        <w:t>Διαταραχές του γαστρεντερικού συστήματος</w:t>
      </w:r>
    </w:p>
    <w:p w:rsidR="002B7471" w:rsidRPr="005D5A9F" w:rsidRDefault="002B7471" w:rsidP="002B7471">
      <w:pPr>
        <w:ind w:right="140"/>
        <w:rPr>
          <w:lang w:val="el-GR"/>
        </w:rPr>
      </w:pPr>
      <w:r w:rsidRPr="005D5A9F">
        <w:rPr>
          <w:lang w:val="el-GR"/>
        </w:rPr>
        <w:t xml:space="preserve">Συχνές: </w:t>
      </w:r>
      <w:r w:rsidRPr="00110A45">
        <w:rPr>
          <w:lang w:val="el-GR"/>
        </w:rPr>
        <w:t xml:space="preserve"> </w:t>
      </w:r>
      <w:r w:rsidRPr="005D5A9F">
        <w:rPr>
          <w:lang w:val="el-GR"/>
        </w:rPr>
        <w:t>διάρροια</w:t>
      </w:r>
      <w:r>
        <w:rPr>
          <w:lang w:val="el-GR"/>
        </w:rPr>
        <w:t>,</w:t>
      </w:r>
      <w:r w:rsidRPr="005D5A9F">
        <w:rPr>
          <w:lang w:val="el-GR"/>
        </w:rPr>
        <w:t xml:space="preserve"> έμετος</w:t>
      </w:r>
      <w:r>
        <w:rPr>
          <w:lang w:val="el-GR"/>
        </w:rPr>
        <w:t>,</w:t>
      </w:r>
      <w:r w:rsidRPr="005D5A9F">
        <w:rPr>
          <w:lang w:val="el-GR"/>
        </w:rPr>
        <w:t xml:space="preserve"> ναυτία </w:t>
      </w:r>
    </w:p>
    <w:p w:rsidR="002B7471" w:rsidRPr="005D5A9F" w:rsidRDefault="002B7471" w:rsidP="002B7471">
      <w:pPr>
        <w:ind w:right="140"/>
        <w:rPr>
          <w:u w:val="single"/>
          <w:lang w:val="el-GR"/>
        </w:rPr>
      </w:pPr>
    </w:p>
    <w:p w:rsidR="002B7471" w:rsidRPr="005D5A9F" w:rsidRDefault="002B7471" w:rsidP="002B7471">
      <w:pPr>
        <w:pStyle w:val="ad"/>
        <w:jc w:val="left"/>
        <w:rPr>
          <w:b w:val="0"/>
          <w:noProof/>
          <w:u w:val="single"/>
          <w:lang w:val="el-GR"/>
        </w:rPr>
      </w:pPr>
      <w:r w:rsidRPr="005D5A9F">
        <w:rPr>
          <w:b w:val="0"/>
          <w:noProof/>
          <w:u w:val="single"/>
          <w:lang w:val="el-GR"/>
        </w:rPr>
        <w:t>Διαταραχές του δέρματος και του υποδόριου ιστού</w:t>
      </w:r>
    </w:p>
    <w:p w:rsidR="002B7471" w:rsidRPr="005D5A9F" w:rsidRDefault="002B7471" w:rsidP="002B7471">
      <w:pPr>
        <w:ind w:right="140"/>
        <w:rPr>
          <w:lang w:val="el-GR"/>
        </w:rPr>
      </w:pPr>
      <w:r w:rsidRPr="005D5A9F">
        <w:rPr>
          <w:lang w:val="el-GR"/>
        </w:rPr>
        <w:t xml:space="preserve">Όχι συχνές: </w:t>
      </w:r>
      <w:r>
        <w:rPr>
          <w:lang w:val="el-GR"/>
        </w:rPr>
        <w:t xml:space="preserve">δερματική αλλεργία, </w:t>
      </w:r>
      <w:r w:rsidRPr="005D5A9F">
        <w:rPr>
          <w:lang w:val="el-GR"/>
        </w:rPr>
        <w:t>εξάνθημα</w:t>
      </w:r>
      <w:r w:rsidRPr="00110A45">
        <w:rPr>
          <w:vertAlign w:val="superscript"/>
          <w:lang w:val="el-GR"/>
        </w:rPr>
        <w:t>1</w:t>
      </w:r>
    </w:p>
    <w:p w:rsidR="002B7471" w:rsidRPr="005D5A9F" w:rsidRDefault="002B7471" w:rsidP="002B7471">
      <w:pPr>
        <w:ind w:right="140"/>
        <w:rPr>
          <w:lang w:val="el-GR"/>
        </w:rPr>
      </w:pPr>
      <w:r w:rsidRPr="005D5A9F">
        <w:rPr>
          <w:lang w:val="el-GR"/>
        </w:rPr>
        <w:t>Σπάνιες: κνησμός</w:t>
      </w:r>
      <w:r>
        <w:rPr>
          <w:lang w:val="el-GR"/>
        </w:rPr>
        <w:t>, κνίδωση</w:t>
      </w:r>
    </w:p>
    <w:p w:rsidR="002B7471" w:rsidRDefault="002B7471" w:rsidP="002B7471">
      <w:pPr>
        <w:ind w:right="140"/>
        <w:rPr>
          <w:u w:val="single"/>
          <w:lang w:val="el-GR"/>
        </w:rPr>
      </w:pPr>
    </w:p>
    <w:p w:rsidR="002B7471" w:rsidRPr="001B4F2B" w:rsidRDefault="002B7471" w:rsidP="002B7471">
      <w:pPr>
        <w:ind w:right="140"/>
        <w:rPr>
          <w:u w:val="single"/>
          <w:lang w:val="el-GR"/>
        </w:rPr>
      </w:pPr>
      <w:r w:rsidRPr="001B4F2B">
        <w:rPr>
          <w:u w:val="single"/>
          <w:lang w:val="el-GR"/>
        </w:rPr>
        <w:t xml:space="preserve">Διαταραχές του μεταβολισμού και της θρέψης </w:t>
      </w:r>
    </w:p>
    <w:p w:rsidR="002B7471" w:rsidRPr="00110A45" w:rsidRDefault="002B7471" w:rsidP="002B7471">
      <w:pPr>
        <w:ind w:right="140"/>
        <w:rPr>
          <w:lang w:val="el-GR"/>
        </w:rPr>
      </w:pPr>
      <w:r w:rsidRPr="00110A45">
        <w:rPr>
          <w:lang w:val="el-GR"/>
        </w:rPr>
        <w:t>Πολύ συχνές: απώλεια της όρεξης</w:t>
      </w:r>
    </w:p>
    <w:p w:rsidR="002B7471" w:rsidRPr="005D5A9F" w:rsidRDefault="002B7471" w:rsidP="002B7471">
      <w:pPr>
        <w:ind w:right="140"/>
        <w:rPr>
          <w:u w:val="single"/>
          <w:lang w:val="el-GR"/>
        </w:rPr>
      </w:pPr>
    </w:p>
    <w:p w:rsidR="002B7471" w:rsidRPr="005D5A9F" w:rsidRDefault="002B7471" w:rsidP="002B7471">
      <w:pPr>
        <w:pStyle w:val="ab"/>
        <w:rPr>
          <w:rFonts w:ascii="Times New Roman" w:hAnsi="Times New Roman" w:cs="Times New Roman"/>
          <w:noProof/>
          <w:u w:val="single"/>
          <w:lang w:val="el-GR"/>
        </w:rPr>
      </w:pPr>
      <w:r w:rsidRPr="005D5A9F">
        <w:rPr>
          <w:rFonts w:ascii="Times New Roman" w:hAnsi="Times New Roman" w:cs="Times New Roman"/>
          <w:noProof/>
          <w:u w:val="single"/>
          <w:lang w:val="el-GR"/>
        </w:rPr>
        <w:t xml:space="preserve">Γενικές διαταραχές και καταστάσεις της οδού χορήγησης </w:t>
      </w:r>
    </w:p>
    <w:p w:rsidR="002B7471" w:rsidRPr="005D5A9F" w:rsidRDefault="002B7471" w:rsidP="002B7471">
      <w:pPr>
        <w:tabs>
          <w:tab w:val="clear" w:pos="567"/>
        </w:tabs>
        <w:ind w:right="33"/>
        <w:rPr>
          <w:lang w:val="el-GR"/>
        </w:rPr>
      </w:pPr>
      <w:r w:rsidRPr="00110A45">
        <w:rPr>
          <w:lang w:val="el-GR"/>
        </w:rPr>
        <w:t>Πολύ συχνές: πυρετός ≥38</w:t>
      </w:r>
      <w:r w:rsidRPr="002B7471">
        <w:rPr>
          <w:lang w:val="el-GR"/>
        </w:rPr>
        <w:t>,</w:t>
      </w:r>
      <w:r w:rsidRPr="00110A45">
        <w:rPr>
          <w:lang w:val="el-GR"/>
        </w:rPr>
        <w:t>0°</w:t>
      </w:r>
      <w:r w:rsidRPr="00110A45">
        <w:t>C</w:t>
      </w:r>
      <w:r w:rsidRPr="00110A45">
        <w:rPr>
          <w:lang w:val="el-GR"/>
        </w:rPr>
        <w:t>,</w:t>
      </w:r>
      <w:r>
        <w:rPr>
          <w:lang w:val="el-GR"/>
        </w:rPr>
        <w:t xml:space="preserve"> </w:t>
      </w:r>
      <w:r w:rsidRPr="00110A45">
        <w:rPr>
          <w:lang w:val="el-GR"/>
        </w:rPr>
        <w:t xml:space="preserve">πόνος, ερυθρότητα και οίδημα στο σημείο της ένεσης*, </w:t>
      </w:r>
    </w:p>
    <w:p w:rsidR="002B7471" w:rsidRPr="005D5A9F" w:rsidRDefault="002B7471" w:rsidP="002B7471">
      <w:pPr>
        <w:tabs>
          <w:tab w:val="clear" w:pos="567"/>
        </w:tabs>
        <w:ind w:right="33"/>
        <w:rPr>
          <w:lang w:val="el-GR"/>
        </w:rPr>
      </w:pPr>
      <w:r w:rsidRPr="005D5A9F">
        <w:rPr>
          <w:lang w:val="el-GR"/>
        </w:rPr>
        <w:t xml:space="preserve">Συχνές: </w:t>
      </w:r>
      <w:r w:rsidRPr="00110A45">
        <w:rPr>
          <w:lang w:val="el-GR"/>
        </w:rPr>
        <w:t xml:space="preserve">πυρετός </w:t>
      </w:r>
      <w:r>
        <w:rPr>
          <w:lang w:val="el-GR"/>
        </w:rPr>
        <w:t>≥39,5</w:t>
      </w:r>
      <w:r w:rsidRPr="00110A45">
        <w:rPr>
          <w:lang w:val="el-GR"/>
        </w:rPr>
        <w:t>°</w:t>
      </w:r>
      <w:r w:rsidRPr="00110A45">
        <w:t>C</w:t>
      </w:r>
      <w:r w:rsidRPr="00110A45">
        <w:rPr>
          <w:lang w:val="el-GR"/>
        </w:rPr>
        <w:t>,</w:t>
      </w:r>
      <w:r>
        <w:rPr>
          <w:lang w:val="el-GR"/>
        </w:rPr>
        <w:t xml:space="preserve"> κακουχία, αντιδράσεις στη θέση ένεσης περιλαμβανομένης της σκληρίας, </w:t>
      </w:r>
      <w:r w:rsidRPr="005D5A9F">
        <w:rPr>
          <w:lang w:val="el-GR"/>
        </w:rPr>
        <w:t>αίσθημα αδυναμίας</w:t>
      </w:r>
    </w:p>
    <w:p w:rsidR="002B7471" w:rsidRPr="005C72F0" w:rsidRDefault="002B7471" w:rsidP="002B7471">
      <w:pPr>
        <w:tabs>
          <w:tab w:val="clear" w:pos="567"/>
        </w:tabs>
        <w:ind w:right="33"/>
        <w:rPr>
          <w:lang w:val="el-GR"/>
        </w:rPr>
      </w:pPr>
    </w:p>
    <w:p w:rsidR="002B7471" w:rsidRPr="001B4F2B" w:rsidRDefault="002B7471" w:rsidP="002B7471">
      <w:pPr>
        <w:tabs>
          <w:tab w:val="clear" w:pos="567"/>
        </w:tabs>
        <w:ind w:right="33"/>
        <w:rPr>
          <w:u w:val="single"/>
          <w:lang w:val="el-GR"/>
        </w:rPr>
      </w:pPr>
      <w:r w:rsidRPr="001B4F2B">
        <w:rPr>
          <w:u w:val="single"/>
          <w:lang w:val="el-GR"/>
        </w:rPr>
        <w:t>Ψυχιατρικές διαταραχές</w:t>
      </w:r>
    </w:p>
    <w:p w:rsidR="002B7471" w:rsidRPr="005C72F0" w:rsidRDefault="002B7471" w:rsidP="002B7471">
      <w:pPr>
        <w:tabs>
          <w:tab w:val="clear" w:pos="567"/>
        </w:tabs>
        <w:ind w:right="33"/>
        <w:rPr>
          <w:lang w:val="el-GR"/>
        </w:rPr>
      </w:pPr>
      <w:r w:rsidRPr="005C72F0">
        <w:rPr>
          <w:lang w:val="el-GR"/>
        </w:rPr>
        <w:t>Πολύ συχνές: ασυνήθιστο κλάμα</w:t>
      </w:r>
      <w:r>
        <w:rPr>
          <w:lang w:val="el-GR"/>
        </w:rPr>
        <w:t xml:space="preserve">, </w:t>
      </w:r>
      <w:r w:rsidRPr="005C72F0">
        <w:rPr>
          <w:lang w:val="el-GR"/>
        </w:rPr>
        <w:t xml:space="preserve">ευερεθιστότητα, ανησυχία </w:t>
      </w:r>
    </w:p>
    <w:p w:rsidR="002B7471" w:rsidRPr="005D5A9F" w:rsidRDefault="002B7471" w:rsidP="002B7471">
      <w:pPr>
        <w:tabs>
          <w:tab w:val="left" w:pos="3075"/>
        </w:tabs>
        <w:ind w:right="33"/>
        <w:jc w:val="both"/>
        <w:rPr>
          <w:b/>
          <w:lang w:val="el-GR"/>
        </w:rPr>
      </w:pPr>
      <w:r w:rsidRPr="005D5A9F">
        <w:rPr>
          <w:b/>
          <w:lang w:val="el-GR"/>
        </w:rPr>
        <w:lastRenderedPageBreak/>
        <w:tab/>
      </w:r>
    </w:p>
    <w:p w:rsidR="002B7471" w:rsidRPr="005D5A9F" w:rsidRDefault="002B7471" w:rsidP="002B7471">
      <w:pPr>
        <w:jc w:val="both"/>
        <w:rPr>
          <w:highlight w:val="yellow"/>
          <w:lang w:val="el-GR"/>
        </w:rPr>
      </w:pPr>
      <w:r w:rsidRPr="005D5A9F">
        <w:rPr>
          <w:lang w:val="el-GR"/>
        </w:rPr>
        <w:t xml:space="preserve">* Υπάρχει πληροφορία για εκτεταμένο οίδημα του άκρου που γίνεται η ένεση (οριζόμενο ως οίδημα με διάμετρο &gt; 50 </w:t>
      </w:r>
      <w:r w:rsidRPr="005D5A9F">
        <w:t>mm</w:t>
      </w:r>
      <w:r w:rsidRPr="005D5A9F">
        <w:rPr>
          <w:lang w:val="el-GR"/>
        </w:rPr>
        <w:t xml:space="preserve">, εμφανές διάχυτο οίδημα ή εμφανής αύξηση της περιφέρειας του σημείου της ένεσης) μετά τη χορήγηση </w:t>
      </w:r>
      <w:proofErr w:type="spellStart"/>
      <w:r w:rsidRPr="005D5A9F">
        <w:t>Infanrix</w:t>
      </w:r>
      <w:proofErr w:type="spellEnd"/>
      <w:r w:rsidRPr="005D5A9F">
        <w:rPr>
          <w:lang w:val="el-GR"/>
        </w:rPr>
        <w:t xml:space="preserve"> </w:t>
      </w:r>
      <w:r w:rsidRPr="005D5A9F">
        <w:t>Tetra</w:t>
      </w:r>
      <w:r w:rsidRPr="005D5A9F">
        <w:rPr>
          <w:lang w:val="el-GR"/>
        </w:rPr>
        <w:t xml:space="preserve"> σε δύο κλινικές μελέτες. Όταν το </w:t>
      </w:r>
      <w:proofErr w:type="spellStart"/>
      <w:r w:rsidRPr="005D5A9F">
        <w:t>Infanrix</w:t>
      </w:r>
      <w:proofErr w:type="spellEnd"/>
      <w:r w:rsidRPr="005D5A9F">
        <w:rPr>
          <w:lang w:val="el-GR"/>
        </w:rPr>
        <w:t xml:space="preserve"> </w:t>
      </w:r>
      <w:r w:rsidRPr="005D5A9F">
        <w:t>Tetra</w:t>
      </w:r>
      <w:r w:rsidRPr="005D5A9F">
        <w:rPr>
          <w:lang w:val="el-GR"/>
        </w:rPr>
        <w:t xml:space="preserve">  χορηγήθηκε είτε ως τέταρτη δόση, ή ως πέμπτη δόση </w:t>
      </w:r>
      <w:proofErr w:type="spellStart"/>
      <w:r w:rsidRPr="005D5A9F">
        <w:t>DTPa</w:t>
      </w:r>
      <w:proofErr w:type="spellEnd"/>
      <w:r w:rsidRPr="005D5A9F">
        <w:rPr>
          <w:lang w:val="el-GR"/>
        </w:rPr>
        <w:t xml:space="preserve"> σε παιδιά ηλικίας 4-6 ετών, εκτεταμένο οίδημα στο σημείο της ένεσης αναφέρθηκε με συχνότητα 13% και 25% αντίστοιχα. Οι συχνότερες αντιδράσεις ήταν μεγάλο τοπικό οίδημα (διάμετρος &gt; 50 </w:t>
      </w:r>
      <w:r w:rsidRPr="005D5A9F">
        <w:t>mm</w:t>
      </w:r>
      <w:r w:rsidRPr="005D5A9F">
        <w:rPr>
          <w:lang w:val="el-GR"/>
        </w:rPr>
        <w:t>) εμφανιζόμενο γύρω από το σημείο της ένεσης. Ένα μικρότερο ποσοστό παιδιών (3% και 6% αντίστοιχα) παρουσιάζει διάχυτο οίδημα του άκρου που γίνεται η ένεση, μερικές φορές περιλαμβανομένης της παρακείμενης άρθρωσης. Γενικά, αυτές οι αντιδράσεις άρχισαν εντός 48 ωρών από τον εμβολιασμό και εξαλείφθηκαν αυθόρμητα κατά μέσο όρο εντός 4 ημερών χωρίς συνέπεια.</w:t>
      </w:r>
    </w:p>
    <w:p w:rsidR="002B7471" w:rsidRPr="005D5A9F" w:rsidRDefault="002B7471" w:rsidP="002B7471">
      <w:pPr>
        <w:jc w:val="both"/>
        <w:rPr>
          <w:highlight w:val="yellow"/>
          <w:lang w:val="el-GR"/>
        </w:rPr>
      </w:pPr>
    </w:p>
    <w:p w:rsidR="002B7471" w:rsidRPr="00E40E76" w:rsidRDefault="002B7471" w:rsidP="002B7471">
      <w:pPr>
        <w:numPr>
          <w:ilvl w:val="0"/>
          <w:numId w:val="53"/>
        </w:numPr>
        <w:ind w:hanging="720"/>
        <w:jc w:val="both"/>
        <w:rPr>
          <w:lang w:val="el-GR"/>
        </w:rPr>
      </w:pPr>
      <w:r w:rsidRPr="005D5A9F">
        <w:rPr>
          <w:lang w:val="el-GR"/>
        </w:rPr>
        <w:t>Μετά την κυκλοφορία του εμβολίου</w:t>
      </w:r>
      <w:r>
        <w:rPr>
          <w:lang w:val="el-GR"/>
        </w:rPr>
        <w:t>:</w:t>
      </w:r>
    </w:p>
    <w:p w:rsidR="002B7471" w:rsidRPr="005D5A9F" w:rsidRDefault="002B7471" w:rsidP="002B7471">
      <w:pPr>
        <w:tabs>
          <w:tab w:val="clear" w:pos="567"/>
        </w:tabs>
        <w:rPr>
          <w:u w:val="single"/>
          <w:lang w:val="el-GR"/>
        </w:rPr>
      </w:pPr>
      <w:r w:rsidRPr="005D5A9F">
        <w:rPr>
          <w:noProof/>
          <w:u w:val="single"/>
          <w:lang w:val="el-GR"/>
        </w:rPr>
        <w:t>Διαταραχές του αιμοποιητικού και του λεμφικού συστήματος</w:t>
      </w:r>
      <w:r w:rsidRPr="005D5A9F">
        <w:rPr>
          <w:u w:val="single"/>
          <w:lang w:val="el-GR"/>
        </w:rPr>
        <w:t xml:space="preserve"> </w:t>
      </w:r>
    </w:p>
    <w:p w:rsidR="002B7471" w:rsidRPr="005D5A9F" w:rsidRDefault="002B7471" w:rsidP="002B7471">
      <w:pPr>
        <w:tabs>
          <w:tab w:val="clear" w:pos="567"/>
        </w:tabs>
        <w:rPr>
          <w:lang w:val="el-GR"/>
        </w:rPr>
      </w:pPr>
      <w:r>
        <w:rPr>
          <w:lang w:val="el-GR"/>
        </w:rPr>
        <w:t>Θρομοβοπενία</w:t>
      </w:r>
      <w:r w:rsidRPr="005C72F0">
        <w:rPr>
          <w:vertAlign w:val="superscript"/>
          <w:lang w:val="el-GR"/>
        </w:rPr>
        <w:t>2</w:t>
      </w:r>
    </w:p>
    <w:p w:rsidR="002B7471" w:rsidRPr="005D5A9F" w:rsidRDefault="002B7471" w:rsidP="002B7471">
      <w:pPr>
        <w:tabs>
          <w:tab w:val="clear" w:pos="567"/>
        </w:tabs>
        <w:ind w:right="33"/>
        <w:jc w:val="both"/>
        <w:rPr>
          <w:lang w:val="el-GR"/>
        </w:rPr>
      </w:pPr>
    </w:p>
    <w:p w:rsidR="002B7471" w:rsidRPr="005D5A9F" w:rsidRDefault="002B7471" w:rsidP="002B7471">
      <w:pPr>
        <w:pStyle w:val="ad"/>
        <w:jc w:val="left"/>
        <w:rPr>
          <w:b w:val="0"/>
          <w:noProof/>
          <w:u w:val="single"/>
          <w:lang w:val="el-GR"/>
        </w:rPr>
      </w:pPr>
      <w:r w:rsidRPr="005D5A9F">
        <w:rPr>
          <w:b w:val="0"/>
          <w:noProof/>
          <w:u w:val="single"/>
          <w:lang w:val="el-GR"/>
        </w:rPr>
        <w:t>Διαταραχές του νευρικού συστήματος</w:t>
      </w:r>
    </w:p>
    <w:p w:rsidR="002B7471" w:rsidRPr="005D5A9F" w:rsidRDefault="002B7471" w:rsidP="002B7471">
      <w:pPr>
        <w:ind w:right="140"/>
        <w:rPr>
          <w:lang w:val="el-GR"/>
        </w:rPr>
      </w:pPr>
      <w:r>
        <w:rPr>
          <w:lang w:val="el-GR"/>
        </w:rPr>
        <w:t>Κ</w:t>
      </w:r>
      <w:r w:rsidRPr="005D5A9F">
        <w:rPr>
          <w:lang w:val="el-GR"/>
        </w:rPr>
        <w:t>αταπληξία ή κατάσταση που μοιάζει με καταπληξία (επεισόδιο υποτονίας- υποαντιδραστικότητας)</w:t>
      </w:r>
      <w:r>
        <w:rPr>
          <w:lang w:val="el-GR"/>
        </w:rPr>
        <w:t>, σπασμούς (με ή χωρίς πυρετό) εντός 2 έως 3 ημερών από τον εμβολιασμό</w:t>
      </w:r>
    </w:p>
    <w:p w:rsidR="002B7471" w:rsidRDefault="002B7471" w:rsidP="002B7471">
      <w:pPr>
        <w:tabs>
          <w:tab w:val="clear" w:pos="567"/>
        </w:tabs>
        <w:ind w:right="33"/>
        <w:jc w:val="both"/>
        <w:rPr>
          <w:lang w:val="el-GR"/>
        </w:rPr>
      </w:pPr>
    </w:p>
    <w:p w:rsidR="002B7471" w:rsidRPr="005D5A9F" w:rsidRDefault="002B7471" w:rsidP="002B7471">
      <w:pPr>
        <w:pStyle w:val="ad"/>
        <w:jc w:val="left"/>
        <w:rPr>
          <w:b w:val="0"/>
          <w:noProof/>
          <w:u w:val="single"/>
          <w:lang w:val="el-GR"/>
        </w:rPr>
      </w:pPr>
      <w:r w:rsidRPr="005D5A9F">
        <w:rPr>
          <w:b w:val="0"/>
          <w:noProof/>
          <w:u w:val="single"/>
          <w:lang w:val="el-GR"/>
        </w:rPr>
        <w:t>Διαταραχές του αναπνευστικού συστήματος, του θώρακα και του μεσοθωρακίου</w:t>
      </w:r>
    </w:p>
    <w:p w:rsidR="002B7471" w:rsidRDefault="002B7471" w:rsidP="002B7471">
      <w:pPr>
        <w:tabs>
          <w:tab w:val="clear" w:pos="567"/>
        </w:tabs>
        <w:ind w:right="33"/>
        <w:jc w:val="both"/>
        <w:rPr>
          <w:lang w:val="el-GR"/>
        </w:rPr>
      </w:pPr>
      <w:r>
        <w:rPr>
          <w:lang w:val="el-GR"/>
        </w:rPr>
        <w:t>Άπνοια</w:t>
      </w:r>
      <w:r w:rsidRPr="005C72F0">
        <w:rPr>
          <w:vertAlign w:val="superscript"/>
          <w:lang w:val="el-GR"/>
        </w:rPr>
        <w:t>1</w:t>
      </w:r>
    </w:p>
    <w:p w:rsidR="002B7471" w:rsidRPr="005D5A9F" w:rsidRDefault="002B7471" w:rsidP="002B7471">
      <w:pPr>
        <w:tabs>
          <w:tab w:val="clear" w:pos="567"/>
        </w:tabs>
        <w:ind w:right="33"/>
        <w:jc w:val="both"/>
        <w:rPr>
          <w:lang w:val="el-GR"/>
        </w:rPr>
      </w:pPr>
    </w:p>
    <w:p w:rsidR="002B7471" w:rsidRPr="005D5A9F" w:rsidRDefault="002B7471" w:rsidP="002B7471">
      <w:pPr>
        <w:pStyle w:val="ad"/>
        <w:jc w:val="left"/>
        <w:rPr>
          <w:b w:val="0"/>
          <w:noProof/>
          <w:u w:val="single"/>
          <w:lang w:val="el-GR"/>
        </w:rPr>
      </w:pPr>
      <w:r w:rsidRPr="005D5A9F">
        <w:rPr>
          <w:b w:val="0"/>
          <w:noProof/>
          <w:u w:val="single"/>
          <w:lang w:val="el-GR"/>
        </w:rPr>
        <w:t>Διαταραχές του δέρματος και του υποδόριου ιστού</w:t>
      </w:r>
    </w:p>
    <w:p w:rsidR="002B7471" w:rsidRPr="005C72F0" w:rsidRDefault="002B7471" w:rsidP="002B7471">
      <w:pPr>
        <w:jc w:val="both"/>
        <w:rPr>
          <w:lang w:val="el-GR"/>
        </w:rPr>
      </w:pPr>
      <w:r>
        <w:rPr>
          <w:lang w:val="el-GR"/>
        </w:rPr>
        <w:t>Αγγειονευρωτικό οίδημα</w:t>
      </w:r>
      <w:r w:rsidRPr="005C72F0">
        <w:rPr>
          <w:vertAlign w:val="superscript"/>
          <w:lang w:val="el-GR"/>
        </w:rPr>
        <w:t>1</w:t>
      </w:r>
    </w:p>
    <w:p w:rsidR="002B7471" w:rsidRDefault="002B7471" w:rsidP="002B7471">
      <w:pPr>
        <w:jc w:val="both"/>
        <w:rPr>
          <w:lang w:val="el-GR"/>
        </w:rPr>
      </w:pPr>
    </w:p>
    <w:p w:rsidR="002B7471" w:rsidRPr="005D5A9F" w:rsidRDefault="002B7471" w:rsidP="002B7471">
      <w:pPr>
        <w:pStyle w:val="ab"/>
        <w:rPr>
          <w:rFonts w:ascii="Times New Roman" w:hAnsi="Times New Roman" w:cs="Times New Roman"/>
          <w:noProof/>
          <w:u w:val="single"/>
          <w:lang w:val="el-GR"/>
        </w:rPr>
      </w:pPr>
      <w:r w:rsidRPr="005D5A9F">
        <w:rPr>
          <w:rFonts w:ascii="Times New Roman" w:hAnsi="Times New Roman" w:cs="Times New Roman"/>
          <w:noProof/>
          <w:u w:val="single"/>
          <w:lang w:val="el-GR"/>
        </w:rPr>
        <w:t xml:space="preserve">Γενικές διαταραχές και καταστάσεις της οδού χορήγησης </w:t>
      </w:r>
    </w:p>
    <w:p w:rsidR="002B7471" w:rsidRDefault="002B7471" w:rsidP="002B7471">
      <w:pPr>
        <w:tabs>
          <w:tab w:val="clear" w:pos="567"/>
        </w:tabs>
        <w:ind w:right="33"/>
        <w:rPr>
          <w:lang w:val="el-GR"/>
        </w:rPr>
      </w:pPr>
      <w:r>
        <w:rPr>
          <w:lang w:val="el-GR"/>
        </w:rPr>
        <w:t>Φυσαλίδες στη θέση ένεσης</w:t>
      </w:r>
    </w:p>
    <w:p w:rsidR="002B7471" w:rsidRDefault="002B7471" w:rsidP="002B7471">
      <w:pPr>
        <w:tabs>
          <w:tab w:val="clear" w:pos="567"/>
        </w:tabs>
        <w:ind w:right="33"/>
        <w:rPr>
          <w:lang w:val="el-GR"/>
        </w:rPr>
      </w:pPr>
    </w:p>
    <w:p w:rsidR="002B7471" w:rsidRPr="005D5A9F" w:rsidRDefault="002B7471" w:rsidP="002B7471">
      <w:pPr>
        <w:tabs>
          <w:tab w:val="clear" w:pos="567"/>
        </w:tabs>
        <w:rPr>
          <w:lang w:val="el-GR"/>
        </w:rPr>
      </w:pPr>
      <w:r w:rsidRPr="005D5A9F">
        <w:rPr>
          <w:u w:val="single"/>
          <w:lang w:val="el-GR"/>
        </w:rPr>
        <w:t>Διαταραχές του ανοσοποιητικού συστήματος</w:t>
      </w:r>
    </w:p>
    <w:p w:rsidR="002B7471" w:rsidRPr="005D5A9F" w:rsidRDefault="002B7471" w:rsidP="002B7471">
      <w:pPr>
        <w:tabs>
          <w:tab w:val="clear" w:pos="567"/>
        </w:tabs>
        <w:ind w:right="33"/>
        <w:jc w:val="both"/>
        <w:rPr>
          <w:lang w:val="el-GR"/>
        </w:rPr>
      </w:pPr>
      <w:r w:rsidRPr="005D5A9F">
        <w:rPr>
          <w:lang w:val="el-GR"/>
        </w:rPr>
        <w:t xml:space="preserve">Αλλεργικές αντιδράσεις περιλαμβανομένων των </w:t>
      </w:r>
      <w:r>
        <w:rPr>
          <w:lang w:val="el-GR"/>
        </w:rPr>
        <w:t>αναφυλακτικών</w:t>
      </w:r>
      <w:r w:rsidRPr="004F78B8">
        <w:rPr>
          <w:vertAlign w:val="superscript"/>
          <w:lang w:val="el-GR"/>
        </w:rPr>
        <w:t>1</w:t>
      </w:r>
      <w:r>
        <w:rPr>
          <w:lang w:val="el-GR"/>
        </w:rPr>
        <w:t xml:space="preserve"> και </w:t>
      </w:r>
      <w:r w:rsidRPr="005D5A9F">
        <w:rPr>
          <w:lang w:val="el-GR"/>
        </w:rPr>
        <w:t>αναφυλακτοειδών αντιδράσεων</w:t>
      </w:r>
    </w:p>
    <w:p w:rsidR="002B7471" w:rsidRDefault="002B7471" w:rsidP="002B7471">
      <w:pPr>
        <w:tabs>
          <w:tab w:val="clear" w:pos="567"/>
        </w:tabs>
        <w:ind w:right="33"/>
        <w:rPr>
          <w:lang w:val="el-GR"/>
        </w:rPr>
      </w:pPr>
    </w:p>
    <w:p w:rsidR="002B7471" w:rsidRPr="004F78B8" w:rsidRDefault="002B7471" w:rsidP="002B7471">
      <w:pPr>
        <w:tabs>
          <w:tab w:val="clear" w:pos="567"/>
        </w:tabs>
        <w:ind w:right="33"/>
        <w:rPr>
          <w:lang w:val="el-GR"/>
        </w:rPr>
      </w:pPr>
      <w:r w:rsidRPr="004F78B8">
        <w:rPr>
          <w:vertAlign w:val="superscript"/>
          <w:lang w:val="el-GR"/>
        </w:rPr>
        <w:t>1</w:t>
      </w:r>
      <w:r>
        <w:rPr>
          <w:lang w:val="el-GR"/>
        </w:rPr>
        <w:t xml:space="preserve">αναφέρθηκαν με τα εμβόλια της </w:t>
      </w:r>
      <w:r>
        <w:t>GSK</w:t>
      </w:r>
      <w:r w:rsidRPr="004F78B8">
        <w:rPr>
          <w:lang w:val="el-GR"/>
        </w:rPr>
        <w:t xml:space="preserve"> </w:t>
      </w:r>
      <w:r>
        <w:rPr>
          <w:lang w:val="el-GR"/>
        </w:rPr>
        <w:t xml:space="preserve">τα οποία περιέχουν </w:t>
      </w:r>
      <w:proofErr w:type="spellStart"/>
      <w:r>
        <w:t>DTPa</w:t>
      </w:r>
      <w:proofErr w:type="spellEnd"/>
    </w:p>
    <w:p w:rsidR="002B7471" w:rsidRPr="004F78B8" w:rsidRDefault="002B7471" w:rsidP="002B7471">
      <w:pPr>
        <w:tabs>
          <w:tab w:val="clear" w:pos="567"/>
        </w:tabs>
        <w:ind w:right="33"/>
        <w:rPr>
          <w:lang w:val="el-GR"/>
        </w:rPr>
      </w:pPr>
      <w:r w:rsidRPr="004F78B8">
        <w:rPr>
          <w:vertAlign w:val="superscript"/>
          <w:lang w:val="el-GR"/>
        </w:rPr>
        <w:t>2</w:t>
      </w:r>
      <w:r>
        <w:rPr>
          <w:lang w:val="el-GR"/>
        </w:rPr>
        <w:t xml:space="preserve">αναφέρθηκαν με τα εμβόλια έναντι </w:t>
      </w:r>
      <w:r>
        <w:t>D</w:t>
      </w:r>
      <w:r w:rsidRPr="004F78B8">
        <w:rPr>
          <w:lang w:val="el-GR"/>
        </w:rPr>
        <w:t xml:space="preserve"> </w:t>
      </w:r>
      <w:r>
        <w:rPr>
          <w:lang w:val="el-GR"/>
        </w:rPr>
        <w:t xml:space="preserve">και </w:t>
      </w:r>
      <w:r>
        <w:t>T</w:t>
      </w:r>
      <w:r w:rsidRPr="004F78B8">
        <w:rPr>
          <w:lang w:val="el-GR"/>
        </w:rPr>
        <w:t xml:space="preserve"> </w:t>
      </w:r>
    </w:p>
    <w:p w:rsidR="002B7471" w:rsidRPr="005C72F0" w:rsidRDefault="002B7471" w:rsidP="002B7471">
      <w:pPr>
        <w:jc w:val="both"/>
        <w:rPr>
          <w:lang w:val="el-GR"/>
        </w:rPr>
      </w:pPr>
    </w:p>
    <w:p w:rsidR="002B7471" w:rsidRPr="00E40E76" w:rsidRDefault="002B7471" w:rsidP="002B7471">
      <w:pPr>
        <w:numPr>
          <w:ilvl w:val="1"/>
          <w:numId w:val="50"/>
        </w:numPr>
        <w:tabs>
          <w:tab w:val="clear" w:pos="567"/>
        </w:tabs>
        <w:jc w:val="both"/>
        <w:rPr>
          <w:b/>
        </w:rPr>
      </w:pPr>
      <w:proofErr w:type="spellStart"/>
      <w:r w:rsidRPr="005D5A9F">
        <w:rPr>
          <w:b/>
        </w:rPr>
        <w:t>Υπερδοσολογία</w:t>
      </w:r>
      <w:proofErr w:type="spellEnd"/>
    </w:p>
    <w:p w:rsidR="002B7471" w:rsidRDefault="002B7471" w:rsidP="002B7471">
      <w:pPr>
        <w:jc w:val="both"/>
        <w:rPr>
          <w:lang w:val="el-GR"/>
        </w:rPr>
      </w:pPr>
      <w:r>
        <w:rPr>
          <w:lang w:val="el-GR"/>
        </w:rPr>
        <w:t xml:space="preserve">Έχουν αναφερθεί περιπτώσεις υπερδοσολογίας μετά την κυκλοφορία. Οι ανεπιθύμητες ενέργειες, όταν αναφέρθηκαν δεν ήταν ειδικές αλλά παρόμοιες με τις ανεπιθύμητες ενέργειες οι οποίες αναφέρθηκαν με τη συνήθη χορήγηση των εμβολίων. </w:t>
      </w:r>
    </w:p>
    <w:p w:rsidR="002B7471" w:rsidRPr="005D5A9F" w:rsidRDefault="002B7471" w:rsidP="002B7471">
      <w:pPr>
        <w:jc w:val="both"/>
        <w:rPr>
          <w:lang w:val="el-GR"/>
        </w:rPr>
      </w:pPr>
    </w:p>
    <w:p w:rsidR="002B7471" w:rsidRPr="005D5A9F" w:rsidRDefault="002B7471" w:rsidP="002B7471">
      <w:pPr>
        <w:jc w:val="both"/>
        <w:rPr>
          <w:b/>
          <w:lang w:val="el-GR"/>
        </w:rPr>
      </w:pPr>
      <w:r w:rsidRPr="005D5A9F">
        <w:rPr>
          <w:b/>
          <w:lang w:val="el-GR"/>
        </w:rPr>
        <w:t>5.</w:t>
      </w:r>
      <w:r w:rsidRPr="005D5A9F">
        <w:rPr>
          <w:b/>
          <w:lang w:val="el-GR"/>
        </w:rPr>
        <w:tab/>
        <w:t>ΦΑΡΜΑΚΟΛΟΓΙΚΕΣ ΙΔΙΟΤΗΤΕΣ</w:t>
      </w:r>
    </w:p>
    <w:p w:rsidR="002B7471" w:rsidRPr="005D5A9F" w:rsidRDefault="002B7471" w:rsidP="002B7471">
      <w:pPr>
        <w:rPr>
          <w:lang w:val="el-GR"/>
        </w:rPr>
      </w:pPr>
      <w:r w:rsidRPr="005D5A9F">
        <w:rPr>
          <w:noProof/>
          <w:lang w:val="el-GR"/>
        </w:rPr>
        <w:t xml:space="preserve">Φαρμακοθεραπευτική κατηγορία: </w:t>
      </w:r>
      <w:r w:rsidRPr="005D5A9F">
        <w:rPr>
          <w:lang w:val="el-GR"/>
        </w:rPr>
        <w:t>Συνδυασμένα εμβόλια ιών και βακτηριδίων</w:t>
      </w:r>
    </w:p>
    <w:p w:rsidR="002B7471" w:rsidRPr="005D5A9F" w:rsidRDefault="002B7471" w:rsidP="002B7471">
      <w:pPr>
        <w:ind w:right="33"/>
        <w:jc w:val="both"/>
        <w:rPr>
          <w:lang w:val="el-GR"/>
        </w:rPr>
      </w:pPr>
      <w:r w:rsidRPr="005D5A9F">
        <w:rPr>
          <w:lang w:val="el-GR"/>
        </w:rPr>
        <w:t xml:space="preserve">Κωδικός </w:t>
      </w:r>
      <w:r w:rsidRPr="005D5A9F">
        <w:t>ATC </w:t>
      </w:r>
      <w:r w:rsidRPr="005D5A9F">
        <w:rPr>
          <w:lang w:val="el-GR"/>
        </w:rPr>
        <w:t xml:space="preserve">: </w:t>
      </w:r>
      <w:r w:rsidRPr="005D5A9F">
        <w:t>J</w:t>
      </w:r>
      <w:r w:rsidRPr="005D5A9F">
        <w:rPr>
          <w:lang w:val="el-GR"/>
        </w:rPr>
        <w:t xml:space="preserve">07 </w:t>
      </w:r>
      <w:r w:rsidRPr="005D5A9F">
        <w:t>CA</w:t>
      </w:r>
      <w:r w:rsidRPr="005D5A9F">
        <w:rPr>
          <w:lang w:val="el-GR"/>
        </w:rPr>
        <w:t>02</w:t>
      </w:r>
    </w:p>
    <w:p w:rsidR="002B7471" w:rsidRPr="005D5A9F" w:rsidRDefault="002B7471" w:rsidP="002B7471">
      <w:pPr>
        <w:jc w:val="both"/>
        <w:rPr>
          <w:b/>
          <w:lang w:val="el-GR"/>
        </w:rPr>
      </w:pPr>
    </w:p>
    <w:p w:rsidR="002B7471" w:rsidRPr="005D5A9F" w:rsidRDefault="002B7471" w:rsidP="002B7471">
      <w:pPr>
        <w:jc w:val="both"/>
        <w:rPr>
          <w:b/>
          <w:lang w:val="el-GR"/>
        </w:rPr>
      </w:pPr>
      <w:r w:rsidRPr="005D5A9F">
        <w:rPr>
          <w:b/>
          <w:lang w:val="el-GR"/>
        </w:rPr>
        <w:t>5.1</w:t>
      </w:r>
      <w:r w:rsidRPr="005D5A9F">
        <w:rPr>
          <w:b/>
          <w:lang w:val="el-GR"/>
        </w:rPr>
        <w:tab/>
        <w:t>Φαρμακοδυναμικές ιδιότητες</w:t>
      </w:r>
    </w:p>
    <w:p w:rsidR="002B7471" w:rsidRPr="005D5A9F" w:rsidRDefault="002B7471" w:rsidP="002B7471">
      <w:pPr>
        <w:jc w:val="both"/>
        <w:rPr>
          <w:lang w:val="el-GR"/>
        </w:rPr>
      </w:pPr>
      <w:r w:rsidRPr="005D5A9F">
        <w:rPr>
          <w:lang w:val="el-GR"/>
        </w:rPr>
        <w:t xml:space="preserve">Η ανοσολογική ανταπόκριση μετά από αναμνηστικό εμβολιασμό με </w:t>
      </w:r>
      <w:proofErr w:type="spellStart"/>
      <w:r w:rsidRPr="005D5A9F">
        <w:t>Infanrix</w:t>
      </w:r>
      <w:proofErr w:type="spellEnd"/>
      <w:r w:rsidRPr="005D5A9F">
        <w:rPr>
          <w:lang w:val="el-GR"/>
        </w:rPr>
        <w:t xml:space="preserve"> </w:t>
      </w:r>
      <w:r w:rsidRPr="005D5A9F">
        <w:t>Tetra</w:t>
      </w:r>
      <w:r w:rsidRPr="005D5A9F">
        <w:rPr>
          <w:lang w:val="el-GR"/>
        </w:rPr>
        <w:t xml:space="preserve"> αξιολογήθηκε σε 917 εμβολιασθέντες. Η ανοσολογική ανταπόκριση που παρατηρήθηκε ήταν ανεξάρτητη από τον αριθμό των δόσεων και τον τύπο των εμβολίων που είχαν χορηγηθεί προηγουμένως (</w:t>
      </w:r>
      <w:proofErr w:type="spellStart"/>
      <w:r w:rsidRPr="005D5A9F">
        <w:t>DTPw</w:t>
      </w:r>
      <w:proofErr w:type="spellEnd"/>
      <w:r w:rsidRPr="005D5A9F">
        <w:rPr>
          <w:lang w:val="el-GR"/>
        </w:rPr>
        <w:t xml:space="preserve"> ή </w:t>
      </w:r>
      <w:proofErr w:type="spellStart"/>
      <w:r w:rsidRPr="005D5A9F">
        <w:t>DTPa</w:t>
      </w:r>
      <w:proofErr w:type="spellEnd"/>
      <w:r w:rsidRPr="005D5A9F">
        <w:rPr>
          <w:lang w:val="el-GR"/>
        </w:rPr>
        <w:t xml:space="preserve">, </w:t>
      </w:r>
      <w:r w:rsidRPr="005D5A9F">
        <w:t>OPV</w:t>
      </w:r>
      <w:r w:rsidRPr="005D5A9F">
        <w:rPr>
          <w:lang w:val="el-GR"/>
        </w:rPr>
        <w:t xml:space="preserve"> ή </w:t>
      </w:r>
      <w:r w:rsidRPr="005D5A9F">
        <w:t>IPV</w:t>
      </w:r>
      <w:r w:rsidRPr="005D5A9F">
        <w:rPr>
          <w:lang w:val="el-GR"/>
        </w:rPr>
        <w:t xml:space="preserve">) όπως φαίνεται στους παρακάτω πίνακες. </w:t>
      </w:r>
    </w:p>
    <w:p w:rsidR="002B7471" w:rsidRPr="005D5A9F" w:rsidRDefault="002B7471" w:rsidP="002B7471">
      <w:pPr>
        <w:jc w:val="both"/>
        <w:rPr>
          <w:highlight w:val="yellow"/>
          <w:lang w:val="el-GR"/>
        </w:rPr>
      </w:pPr>
    </w:p>
    <w:p w:rsidR="002B7471" w:rsidRPr="005D5A9F" w:rsidRDefault="002B7471" w:rsidP="002B7471">
      <w:pPr>
        <w:pStyle w:val="a3"/>
        <w:jc w:val="both"/>
        <w:rPr>
          <w:lang w:val="el-GR"/>
        </w:rPr>
      </w:pPr>
      <w:r w:rsidRPr="005D5A9F">
        <w:rPr>
          <w:lang w:val="el-GR"/>
        </w:rPr>
        <w:t>Ένα μήνα μετά τον εμβολιασμό παιδιών ηλικίας 15 - 26 μηνών, οι ανοσολογικές ανταποκρίσεις ήταν οι ακόλουθες:</w:t>
      </w:r>
    </w:p>
    <w:tbl>
      <w:tblPr>
        <w:tblpPr w:leftFromText="180" w:rightFromText="180" w:vertAnchor="text" w:horzAnchor="margin" w:tblpY="1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268"/>
        <w:gridCol w:w="2126"/>
        <w:gridCol w:w="2551"/>
      </w:tblGrid>
      <w:tr w:rsidR="002B7471" w:rsidRPr="00C21F22" w:rsidTr="00B1603F">
        <w:trPr>
          <w:cantSplit/>
        </w:trPr>
        <w:tc>
          <w:tcPr>
            <w:tcW w:w="2235" w:type="dxa"/>
            <w:tcBorders>
              <w:top w:val="single" w:sz="4" w:space="0" w:color="auto"/>
              <w:bottom w:val="single" w:sz="4" w:space="0" w:color="auto"/>
            </w:tcBorders>
          </w:tcPr>
          <w:p w:rsidR="002B7471" w:rsidRPr="005D5A9F" w:rsidRDefault="002B7471" w:rsidP="00B1603F">
            <w:pPr>
              <w:jc w:val="both"/>
              <w:rPr>
                <w:sz w:val="20"/>
                <w:lang w:val="el-GR"/>
              </w:rPr>
            </w:pPr>
          </w:p>
          <w:p w:rsidR="002B7471" w:rsidRPr="005D5A9F" w:rsidRDefault="002B7471" w:rsidP="00B1603F">
            <w:pPr>
              <w:jc w:val="both"/>
              <w:rPr>
                <w:sz w:val="20"/>
                <w:lang w:val="el-GR"/>
              </w:rPr>
            </w:pPr>
          </w:p>
          <w:p w:rsidR="002B7471" w:rsidRPr="005D5A9F" w:rsidRDefault="002B7471" w:rsidP="00B1603F">
            <w:pPr>
              <w:jc w:val="both"/>
              <w:rPr>
                <w:sz w:val="20"/>
                <w:lang w:val="el-GR"/>
              </w:rPr>
            </w:pPr>
          </w:p>
          <w:p w:rsidR="002B7471" w:rsidRPr="005D5A9F" w:rsidRDefault="002B7471" w:rsidP="00B1603F">
            <w:pPr>
              <w:jc w:val="both"/>
              <w:rPr>
                <w:sz w:val="20"/>
                <w:lang w:val="el-GR"/>
              </w:rPr>
            </w:pPr>
          </w:p>
          <w:p w:rsidR="002B7471" w:rsidRPr="005D5A9F" w:rsidRDefault="002B7471" w:rsidP="00B1603F">
            <w:pPr>
              <w:jc w:val="both"/>
              <w:rPr>
                <w:sz w:val="20"/>
              </w:rPr>
            </w:pPr>
            <w:proofErr w:type="spellStart"/>
            <w:r w:rsidRPr="005D5A9F">
              <w:rPr>
                <w:sz w:val="20"/>
              </w:rPr>
              <w:t>Αντιγόνο</w:t>
            </w:r>
            <w:proofErr w:type="spellEnd"/>
          </w:p>
        </w:tc>
        <w:tc>
          <w:tcPr>
            <w:tcW w:w="2268" w:type="dxa"/>
            <w:tcBorders>
              <w:top w:val="single" w:sz="4" w:space="0" w:color="auto"/>
              <w:bottom w:val="single" w:sz="4" w:space="0" w:color="auto"/>
            </w:tcBorders>
          </w:tcPr>
          <w:p w:rsidR="002B7471" w:rsidRPr="005D5A9F" w:rsidRDefault="002B7471" w:rsidP="00B1603F">
            <w:pPr>
              <w:rPr>
                <w:sz w:val="20"/>
                <w:lang w:val="el-GR"/>
              </w:rPr>
            </w:pPr>
            <w:r w:rsidRPr="005D5A9F">
              <w:rPr>
                <w:sz w:val="20"/>
                <w:lang w:val="el-GR"/>
              </w:rPr>
              <w:t>Προηγούμενο ιστορικό/σχήμα εμβολιασμού</w:t>
            </w:r>
          </w:p>
          <w:p w:rsidR="002B7471" w:rsidRPr="005D5A9F" w:rsidRDefault="002B7471" w:rsidP="00B1603F">
            <w:pPr>
              <w:rPr>
                <w:sz w:val="20"/>
                <w:lang w:val="nl-NL"/>
              </w:rPr>
            </w:pPr>
            <w:r w:rsidRPr="005D5A9F">
              <w:rPr>
                <w:sz w:val="20"/>
                <w:lang w:val="nl-NL"/>
              </w:rPr>
              <w:t xml:space="preserve">(N </w:t>
            </w:r>
            <w:r w:rsidRPr="005D5A9F">
              <w:rPr>
                <w:sz w:val="20"/>
                <w:lang w:val="el-GR"/>
              </w:rPr>
              <w:t>άτομα)</w:t>
            </w:r>
          </w:p>
        </w:tc>
        <w:tc>
          <w:tcPr>
            <w:tcW w:w="2126" w:type="dxa"/>
            <w:tcBorders>
              <w:top w:val="single" w:sz="4" w:space="0" w:color="auto"/>
              <w:bottom w:val="single" w:sz="4" w:space="0" w:color="auto"/>
            </w:tcBorders>
          </w:tcPr>
          <w:p w:rsidR="002B7471" w:rsidRPr="005D5A9F" w:rsidRDefault="002B7471" w:rsidP="00B1603F">
            <w:pPr>
              <w:rPr>
                <w:sz w:val="20"/>
                <w:lang w:val="el-GR"/>
              </w:rPr>
            </w:pPr>
            <w:r w:rsidRPr="005D5A9F">
              <w:rPr>
                <w:sz w:val="20"/>
                <w:lang w:val="el-GR"/>
              </w:rPr>
              <w:t xml:space="preserve">3 δόσεις </w:t>
            </w:r>
            <w:proofErr w:type="spellStart"/>
            <w:r w:rsidRPr="005D5A9F">
              <w:rPr>
                <w:sz w:val="20"/>
              </w:rPr>
              <w:t>DTPw</w:t>
            </w:r>
            <w:proofErr w:type="spellEnd"/>
            <w:r w:rsidRPr="005D5A9F">
              <w:rPr>
                <w:sz w:val="20"/>
                <w:lang w:val="el-GR"/>
              </w:rPr>
              <w:t xml:space="preserve"> + </w:t>
            </w:r>
            <w:r w:rsidRPr="005D5A9F">
              <w:rPr>
                <w:sz w:val="20"/>
              </w:rPr>
              <w:t>IPV</w:t>
            </w:r>
          </w:p>
          <w:p w:rsidR="002B7471" w:rsidRPr="005D5A9F" w:rsidRDefault="002B7471" w:rsidP="00B1603F">
            <w:pPr>
              <w:rPr>
                <w:sz w:val="20"/>
                <w:lang w:val="el-GR"/>
              </w:rPr>
            </w:pPr>
            <w:r w:rsidRPr="005D5A9F">
              <w:rPr>
                <w:sz w:val="20"/>
                <w:lang w:val="el-GR"/>
              </w:rPr>
              <w:t>2, 3, 4 μήνες</w:t>
            </w:r>
          </w:p>
          <w:p w:rsidR="002B7471" w:rsidRPr="005D5A9F" w:rsidRDefault="002B7471" w:rsidP="00B1603F">
            <w:pPr>
              <w:rPr>
                <w:sz w:val="20"/>
                <w:lang w:val="el-GR"/>
              </w:rPr>
            </w:pPr>
            <w:r w:rsidRPr="005D5A9F">
              <w:rPr>
                <w:sz w:val="20"/>
                <w:lang w:val="el-GR"/>
              </w:rPr>
              <w:t>(</w:t>
            </w:r>
            <w:r w:rsidRPr="005D5A9F">
              <w:rPr>
                <w:sz w:val="20"/>
              </w:rPr>
              <w:t>N</w:t>
            </w:r>
            <w:r w:rsidRPr="005D5A9F">
              <w:rPr>
                <w:sz w:val="20"/>
                <w:lang w:val="el-GR"/>
              </w:rPr>
              <w:t xml:space="preserve"> = 37)</w:t>
            </w:r>
          </w:p>
        </w:tc>
        <w:tc>
          <w:tcPr>
            <w:tcW w:w="2551" w:type="dxa"/>
            <w:tcBorders>
              <w:top w:val="single" w:sz="4" w:space="0" w:color="auto"/>
              <w:bottom w:val="single" w:sz="4" w:space="0" w:color="auto"/>
            </w:tcBorders>
          </w:tcPr>
          <w:p w:rsidR="002B7471" w:rsidRPr="005D5A9F" w:rsidRDefault="002B7471" w:rsidP="00B1603F">
            <w:pPr>
              <w:rPr>
                <w:sz w:val="20"/>
                <w:lang w:val="nl-NL"/>
              </w:rPr>
            </w:pPr>
            <w:r w:rsidRPr="005D5A9F">
              <w:rPr>
                <w:sz w:val="20"/>
                <w:lang w:val="nl-NL"/>
              </w:rPr>
              <w:t xml:space="preserve">3 </w:t>
            </w:r>
            <w:r w:rsidRPr="005D5A9F">
              <w:rPr>
                <w:sz w:val="20"/>
                <w:lang w:val="el-GR"/>
              </w:rPr>
              <w:t xml:space="preserve">δόσεις </w:t>
            </w:r>
            <w:r w:rsidRPr="005D5A9F">
              <w:rPr>
                <w:sz w:val="20"/>
                <w:lang w:val="nl-NL"/>
              </w:rPr>
              <w:t>DTPa + IPV</w:t>
            </w:r>
          </w:p>
          <w:p w:rsidR="002B7471" w:rsidRPr="005D5A9F" w:rsidRDefault="002B7471" w:rsidP="00B1603F">
            <w:pPr>
              <w:rPr>
                <w:sz w:val="20"/>
                <w:lang w:val="nl-NL"/>
              </w:rPr>
            </w:pPr>
            <w:r w:rsidRPr="005D5A9F">
              <w:rPr>
                <w:sz w:val="20"/>
                <w:lang w:val="nl-NL"/>
              </w:rPr>
              <w:t xml:space="preserve">2, 3, 4 / 2, 4, 6 / 3, 4, 5 </w:t>
            </w:r>
            <w:r w:rsidRPr="005D5A9F">
              <w:rPr>
                <w:sz w:val="20"/>
                <w:lang w:val="el-GR"/>
              </w:rPr>
              <w:t>ή</w:t>
            </w:r>
            <w:r w:rsidRPr="005D5A9F">
              <w:rPr>
                <w:sz w:val="20"/>
                <w:lang w:val="nl-NL"/>
              </w:rPr>
              <w:t xml:space="preserve"> 3, 4.5, 6 </w:t>
            </w:r>
            <w:r w:rsidRPr="005D5A9F">
              <w:rPr>
                <w:sz w:val="20"/>
                <w:lang w:val="el-GR"/>
              </w:rPr>
              <w:t>μήνες</w:t>
            </w:r>
          </w:p>
          <w:p w:rsidR="002B7471" w:rsidRPr="005D5A9F" w:rsidRDefault="002B7471" w:rsidP="00B1603F">
            <w:pPr>
              <w:rPr>
                <w:sz w:val="20"/>
                <w:lang w:val="el-GR"/>
              </w:rPr>
            </w:pPr>
            <w:r w:rsidRPr="005D5A9F">
              <w:rPr>
                <w:sz w:val="20"/>
                <w:lang w:val="el-GR"/>
              </w:rPr>
              <w:t>(</w:t>
            </w:r>
            <w:r w:rsidRPr="005D5A9F">
              <w:rPr>
                <w:sz w:val="20"/>
              </w:rPr>
              <w:t>N</w:t>
            </w:r>
            <w:r w:rsidRPr="005D5A9F">
              <w:rPr>
                <w:sz w:val="20"/>
                <w:lang w:val="el-GR"/>
              </w:rPr>
              <w:t xml:space="preserve"> = 252)</w:t>
            </w:r>
          </w:p>
        </w:tc>
      </w:tr>
      <w:tr w:rsidR="002B7471" w:rsidRPr="005D5A9F" w:rsidTr="00B1603F">
        <w:trPr>
          <w:cantSplit/>
        </w:trPr>
        <w:tc>
          <w:tcPr>
            <w:tcW w:w="2235" w:type="dxa"/>
            <w:tcBorders>
              <w:top w:val="single" w:sz="4" w:space="0" w:color="auto"/>
              <w:bottom w:val="single" w:sz="4" w:space="0" w:color="auto"/>
            </w:tcBorders>
          </w:tcPr>
          <w:p w:rsidR="002B7471" w:rsidRPr="005D5A9F" w:rsidRDefault="002B7471" w:rsidP="00B1603F">
            <w:pPr>
              <w:jc w:val="both"/>
              <w:rPr>
                <w:sz w:val="20"/>
              </w:rPr>
            </w:pPr>
            <w:proofErr w:type="spellStart"/>
            <w:r w:rsidRPr="005D5A9F">
              <w:rPr>
                <w:sz w:val="20"/>
              </w:rPr>
              <w:lastRenderedPageBreak/>
              <w:t>Διφθερίτιδα</w:t>
            </w:r>
            <w:proofErr w:type="spellEnd"/>
          </w:p>
        </w:tc>
        <w:tc>
          <w:tcPr>
            <w:tcW w:w="2268" w:type="dxa"/>
            <w:tcBorders>
              <w:top w:val="single" w:sz="4" w:space="0" w:color="auto"/>
              <w:bottom w:val="nil"/>
            </w:tcBorders>
          </w:tcPr>
          <w:p w:rsidR="002B7471" w:rsidRPr="005D5A9F" w:rsidRDefault="002B7471" w:rsidP="00B1603F">
            <w:pPr>
              <w:rPr>
                <w:sz w:val="20"/>
                <w:highlight w:val="yellow"/>
                <w:lang w:val="el-GR"/>
              </w:rPr>
            </w:pPr>
            <w:r w:rsidRPr="005D5A9F">
              <w:rPr>
                <w:sz w:val="20"/>
                <w:lang w:val="el-GR"/>
              </w:rPr>
              <w:t xml:space="preserve">% εμβολιασθέντων με τίτλους </w:t>
            </w:r>
            <w:r w:rsidRPr="005D5A9F">
              <w:rPr>
                <w:sz w:val="20"/>
              </w:rPr>
              <w:sym w:font="Symbol" w:char="F0B3"/>
            </w:r>
            <w:r w:rsidRPr="005D5A9F">
              <w:rPr>
                <w:sz w:val="20"/>
                <w:lang w:val="el-GR"/>
              </w:rPr>
              <w:t xml:space="preserve"> 0.1 </w:t>
            </w:r>
            <w:r w:rsidRPr="005D5A9F">
              <w:rPr>
                <w:sz w:val="20"/>
              </w:rPr>
              <w:t>IU</w:t>
            </w:r>
            <w:r w:rsidRPr="005D5A9F">
              <w:rPr>
                <w:sz w:val="20"/>
                <w:lang w:val="el-GR"/>
              </w:rPr>
              <w:t>/</w:t>
            </w:r>
            <w:r w:rsidRPr="005D5A9F">
              <w:rPr>
                <w:sz w:val="20"/>
              </w:rPr>
              <w:t>ml</w:t>
            </w:r>
            <w:r w:rsidRPr="005D5A9F">
              <w:rPr>
                <w:sz w:val="20"/>
                <w:lang w:val="el-GR"/>
              </w:rPr>
              <w:t xml:space="preserve"> με </w:t>
            </w:r>
            <w:r w:rsidRPr="005D5A9F">
              <w:rPr>
                <w:sz w:val="20"/>
              </w:rPr>
              <w:t>ELISA</w:t>
            </w:r>
            <w:r w:rsidRPr="005D5A9F">
              <w:rPr>
                <w:sz w:val="20"/>
                <w:lang w:val="el-GR"/>
              </w:rPr>
              <w:t>*</w:t>
            </w:r>
          </w:p>
        </w:tc>
        <w:tc>
          <w:tcPr>
            <w:tcW w:w="2126" w:type="dxa"/>
            <w:tcBorders>
              <w:top w:val="single" w:sz="4" w:space="0" w:color="auto"/>
              <w:bottom w:val="nil"/>
            </w:tcBorders>
          </w:tcPr>
          <w:p w:rsidR="002B7471" w:rsidRPr="005D5A9F" w:rsidRDefault="002B7471" w:rsidP="00B1603F">
            <w:pPr>
              <w:jc w:val="both"/>
              <w:rPr>
                <w:sz w:val="20"/>
              </w:rPr>
            </w:pPr>
            <w:r w:rsidRPr="005D5A9F">
              <w:rPr>
                <w:sz w:val="20"/>
              </w:rPr>
              <w:t>100</w:t>
            </w:r>
          </w:p>
        </w:tc>
        <w:tc>
          <w:tcPr>
            <w:tcW w:w="2551" w:type="dxa"/>
            <w:tcBorders>
              <w:top w:val="single" w:sz="4" w:space="0" w:color="auto"/>
              <w:bottom w:val="nil"/>
            </w:tcBorders>
          </w:tcPr>
          <w:p w:rsidR="002B7471" w:rsidRPr="005D5A9F" w:rsidRDefault="002B7471" w:rsidP="002B7471">
            <w:pPr>
              <w:jc w:val="both"/>
              <w:rPr>
                <w:sz w:val="20"/>
              </w:rPr>
            </w:pPr>
            <w:r w:rsidRPr="005D5A9F">
              <w:rPr>
                <w:sz w:val="20"/>
              </w:rPr>
              <w:t>99</w:t>
            </w:r>
            <w:r>
              <w:rPr>
                <w:sz w:val="20"/>
              </w:rPr>
              <w:t>,</w:t>
            </w:r>
            <w:r w:rsidRPr="005D5A9F">
              <w:rPr>
                <w:sz w:val="20"/>
              </w:rPr>
              <w:t>6</w:t>
            </w:r>
          </w:p>
        </w:tc>
      </w:tr>
      <w:tr w:rsidR="002B7471" w:rsidRPr="005D5A9F" w:rsidTr="00B1603F">
        <w:trPr>
          <w:cantSplit/>
        </w:trPr>
        <w:tc>
          <w:tcPr>
            <w:tcW w:w="2235" w:type="dxa"/>
            <w:tcBorders>
              <w:top w:val="single" w:sz="4" w:space="0" w:color="auto"/>
            </w:tcBorders>
          </w:tcPr>
          <w:p w:rsidR="002B7471" w:rsidRPr="005D5A9F" w:rsidRDefault="002B7471" w:rsidP="00B1603F">
            <w:pPr>
              <w:jc w:val="both"/>
              <w:rPr>
                <w:sz w:val="20"/>
              </w:rPr>
            </w:pPr>
            <w:proofErr w:type="spellStart"/>
            <w:r w:rsidRPr="005D5A9F">
              <w:rPr>
                <w:sz w:val="20"/>
              </w:rPr>
              <w:t>Τέτανος</w:t>
            </w:r>
            <w:proofErr w:type="spellEnd"/>
          </w:p>
        </w:tc>
        <w:tc>
          <w:tcPr>
            <w:tcW w:w="2268" w:type="dxa"/>
          </w:tcPr>
          <w:p w:rsidR="002B7471" w:rsidRPr="005D5A9F" w:rsidRDefault="002B7471" w:rsidP="00B1603F">
            <w:pPr>
              <w:rPr>
                <w:sz w:val="20"/>
                <w:highlight w:val="yellow"/>
                <w:lang w:val="el-GR"/>
              </w:rPr>
            </w:pPr>
            <w:r w:rsidRPr="005D5A9F">
              <w:rPr>
                <w:sz w:val="20"/>
                <w:lang w:val="el-GR"/>
              </w:rPr>
              <w:t xml:space="preserve">% εμβολιασθέντων με τίτλους </w:t>
            </w:r>
            <w:r w:rsidRPr="005D5A9F">
              <w:rPr>
                <w:sz w:val="20"/>
              </w:rPr>
              <w:sym w:font="Symbol" w:char="F0B3"/>
            </w:r>
            <w:r w:rsidRPr="005D5A9F">
              <w:rPr>
                <w:sz w:val="20"/>
                <w:lang w:val="el-GR"/>
              </w:rPr>
              <w:t xml:space="preserve"> 0.1 </w:t>
            </w:r>
            <w:r w:rsidRPr="005D5A9F">
              <w:rPr>
                <w:sz w:val="20"/>
              </w:rPr>
              <w:t>IU</w:t>
            </w:r>
            <w:r w:rsidRPr="005D5A9F">
              <w:rPr>
                <w:sz w:val="20"/>
                <w:lang w:val="el-GR"/>
              </w:rPr>
              <w:t>/</w:t>
            </w:r>
            <w:r w:rsidRPr="005D5A9F">
              <w:rPr>
                <w:sz w:val="20"/>
              </w:rPr>
              <w:t>ml</w:t>
            </w:r>
            <w:r w:rsidRPr="005D5A9F">
              <w:rPr>
                <w:sz w:val="20"/>
                <w:lang w:val="el-GR"/>
              </w:rPr>
              <w:t xml:space="preserve"> με </w:t>
            </w:r>
            <w:r w:rsidRPr="005D5A9F">
              <w:rPr>
                <w:sz w:val="20"/>
              </w:rPr>
              <w:t>ELISA</w:t>
            </w:r>
            <w:r w:rsidRPr="005D5A9F">
              <w:rPr>
                <w:sz w:val="20"/>
                <w:lang w:val="el-GR"/>
              </w:rPr>
              <w:t>*</w:t>
            </w:r>
          </w:p>
        </w:tc>
        <w:tc>
          <w:tcPr>
            <w:tcW w:w="2126" w:type="dxa"/>
          </w:tcPr>
          <w:p w:rsidR="002B7471" w:rsidRPr="005D5A9F" w:rsidRDefault="002B7471" w:rsidP="00B1603F">
            <w:pPr>
              <w:jc w:val="both"/>
              <w:rPr>
                <w:sz w:val="20"/>
                <w:lang w:val="fr-FR"/>
              </w:rPr>
            </w:pPr>
            <w:r w:rsidRPr="005D5A9F">
              <w:rPr>
                <w:sz w:val="20"/>
                <w:lang w:val="fr-FR"/>
              </w:rPr>
              <w:t>100</w:t>
            </w:r>
          </w:p>
        </w:tc>
        <w:tc>
          <w:tcPr>
            <w:tcW w:w="2551" w:type="dxa"/>
          </w:tcPr>
          <w:p w:rsidR="002B7471" w:rsidRPr="005D5A9F" w:rsidRDefault="002B7471" w:rsidP="00B1603F">
            <w:pPr>
              <w:jc w:val="both"/>
              <w:rPr>
                <w:sz w:val="20"/>
                <w:lang w:val="fr-FR"/>
              </w:rPr>
            </w:pPr>
            <w:r w:rsidRPr="005D5A9F">
              <w:rPr>
                <w:sz w:val="20"/>
                <w:lang w:val="fr-FR"/>
              </w:rPr>
              <w:t>100</w:t>
            </w:r>
          </w:p>
        </w:tc>
      </w:tr>
      <w:tr w:rsidR="002B7471" w:rsidRPr="005D5A9F" w:rsidTr="00B1603F">
        <w:trPr>
          <w:cantSplit/>
        </w:trPr>
        <w:tc>
          <w:tcPr>
            <w:tcW w:w="2235" w:type="dxa"/>
          </w:tcPr>
          <w:p w:rsidR="002B7471" w:rsidRPr="005D5A9F" w:rsidRDefault="002B7471" w:rsidP="00B1603F">
            <w:pPr>
              <w:jc w:val="both"/>
              <w:rPr>
                <w:sz w:val="20"/>
                <w:u w:val="single"/>
                <w:lang w:val="el-GR"/>
              </w:rPr>
            </w:pPr>
            <w:r w:rsidRPr="005D5A9F">
              <w:rPr>
                <w:sz w:val="20"/>
                <w:u w:val="single"/>
                <w:lang w:val="el-GR"/>
              </w:rPr>
              <w:t>Κοκκύτης</w:t>
            </w:r>
          </w:p>
          <w:p w:rsidR="002B7471" w:rsidRPr="005D5A9F" w:rsidRDefault="002B7471" w:rsidP="00B1603F">
            <w:pPr>
              <w:jc w:val="both"/>
              <w:rPr>
                <w:sz w:val="20"/>
                <w:lang w:val="el-GR"/>
              </w:rPr>
            </w:pPr>
            <w:r w:rsidRPr="005D5A9F">
              <w:rPr>
                <w:sz w:val="20"/>
                <w:lang w:val="el-GR"/>
              </w:rPr>
              <w:t xml:space="preserve">Τοξοειδές </w:t>
            </w:r>
          </w:p>
          <w:p w:rsidR="002B7471" w:rsidRPr="005D5A9F" w:rsidRDefault="002B7471" w:rsidP="00B1603F">
            <w:pPr>
              <w:tabs>
                <w:tab w:val="left" w:pos="284"/>
                <w:tab w:val="right" w:pos="7938"/>
              </w:tabs>
              <w:jc w:val="both"/>
              <w:rPr>
                <w:sz w:val="20"/>
                <w:lang w:val="el-GR"/>
              </w:rPr>
            </w:pPr>
            <w:r w:rsidRPr="005D5A9F">
              <w:rPr>
                <w:sz w:val="20"/>
                <w:lang w:val="el-GR"/>
              </w:rPr>
              <w:t>Νηματοειδή</w:t>
            </w:r>
            <w:r w:rsidR="00BD68F3">
              <w:rPr>
                <w:sz w:val="20"/>
                <w:lang w:val="el-GR"/>
              </w:rPr>
              <w:t>ς</w:t>
            </w:r>
            <w:r w:rsidRPr="005D5A9F">
              <w:rPr>
                <w:sz w:val="20"/>
                <w:lang w:val="el-GR"/>
              </w:rPr>
              <w:t xml:space="preserve"> Αιματοσυγκολλητίνη</w:t>
            </w:r>
          </w:p>
          <w:p w:rsidR="002B7471" w:rsidRPr="005D5A9F" w:rsidRDefault="002B7471" w:rsidP="00B1603F">
            <w:pPr>
              <w:jc w:val="both"/>
              <w:rPr>
                <w:sz w:val="20"/>
                <w:highlight w:val="yellow"/>
                <w:lang w:val="el-GR"/>
              </w:rPr>
            </w:pPr>
            <w:r w:rsidRPr="005D5A9F">
              <w:rPr>
                <w:sz w:val="20"/>
                <w:lang w:val="el-GR"/>
              </w:rPr>
              <w:t>Περτακτίνη</w:t>
            </w:r>
          </w:p>
        </w:tc>
        <w:tc>
          <w:tcPr>
            <w:tcW w:w="2268" w:type="dxa"/>
          </w:tcPr>
          <w:p w:rsidR="002B7471" w:rsidRPr="005D5A9F" w:rsidRDefault="002B7471" w:rsidP="00B1603F">
            <w:pPr>
              <w:rPr>
                <w:sz w:val="20"/>
                <w:highlight w:val="yellow"/>
                <w:lang w:val="el-GR"/>
              </w:rPr>
            </w:pPr>
          </w:p>
          <w:p w:rsidR="002B7471" w:rsidRPr="005D5A9F" w:rsidRDefault="002B7471" w:rsidP="00B1603F">
            <w:pPr>
              <w:rPr>
                <w:sz w:val="20"/>
                <w:highlight w:val="yellow"/>
                <w:lang w:val="el-GR"/>
              </w:rPr>
            </w:pPr>
            <w:r w:rsidRPr="005D5A9F">
              <w:rPr>
                <w:sz w:val="20"/>
                <w:lang w:val="el-GR"/>
              </w:rPr>
              <w:t xml:space="preserve">% εμβολιασθέντων με τίτλους </w:t>
            </w:r>
            <w:r w:rsidRPr="005D5A9F">
              <w:rPr>
                <w:sz w:val="20"/>
              </w:rPr>
              <w:sym w:font="Symbol" w:char="F0B3"/>
            </w:r>
            <w:r w:rsidRPr="005D5A9F">
              <w:rPr>
                <w:sz w:val="20"/>
                <w:lang w:val="el-GR"/>
              </w:rPr>
              <w:t xml:space="preserve"> 5 </w:t>
            </w:r>
            <w:r w:rsidRPr="005D5A9F">
              <w:rPr>
                <w:sz w:val="20"/>
              </w:rPr>
              <w:t>EL</w:t>
            </w:r>
            <w:r w:rsidRPr="005D5A9F">
              <w:rPr>
                <w:sz w:val="20"/>
                <w:lang w:val="el-GR"/>
              </w:rPr>
              <w:t>.</w:t>
            </w:r>
            <w:r w:rsidRPr="005D5A9F">
              <w:rPr>
                <w:sz w:val="20"/>
              </w:rPr>
              <w:t>U</w:t>
            </w:r>
            <w:r w:rsidRPr="005D5A9F">
              <w:rPr>
                <w:sz w:val="20"/>
                <w:lang w:val="el-GR"/>
              </w:rPr>
              <w:t>/</w:t>
            </w:r>
            <w:r w:rsidRPr="005D5A9F">
              <w:rPr>
                <w:sz w:val="20"/>
              </w:rPr>
              <w:t>ml</w:t>
            </w:r>
            <w:r w:rsidRPr="005D5A9F">
              <w:rPr>
                <w:sz w:val="20"/>
                <w:lang w:val="el-GR"/>
              </w:rPr>
              <w:t xml:space="preserve"> με </w:t>
            </w:r>
            <w:r w:rsidRPr="005D5A9F">
              <w:rPr>
                <w:sz w:val="20"/>
              </w:rPr>
              <w:t>ELISA</w:t>
            </w:r>
          </w:p>
        </w:tc>
        <w:tc>
          <w:tcPr>
            <w:tcW w:w="2126" w:type="dxa"/>
          </w:tcPr>
          <w:p w:rsidR="002B7471" w:rsidRPr="005D5A9F" w:rsidRDefault="002B7471" w:rsidP="00B1603F">
            <w:pPr>
              <w:jc w:val="both"/>
              <w:rPr>
                <w:sz w:val="20"/>
                <w:lang w:val="el-GR"/>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c>
          <w:tcPr>
            <w:tcW w:w="2551" w:type="dxa"/>
          </w:tcPr>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r>
      <w:tr w:rsidR="002B7471" w:rsidRPr="005D5A9F" w:rsidTr="00B1603F">
        <w:trPr>
          <w:cantSplit/>
        </w:trPr>
        <w:tc>
          <w:tcPr>
            <w:tcW w:w="2235" w:type="dxa"/>
          </w:tcPr>
          <w:p w:rsidR="002B7471" w:rsidRPr="005D5A9F" w:rsidRDefault="002B7471" w:rsidP="00B1603F">
            <w:pPr>
              <w:jc w:val="both"/>
              <w:rPr>
                <w:sz w:val="20"/>
                <w:u w:val="single"/>
              </w:rPr>
            </w:pPr>
            <w:proofErr w:type="spellStart"/>
            <w:r w:rsidRPr="005D5A9F">
              <w:rPr>
                <w:sz w:val="20"/>
                <w:u w:val="single"/>
              </w:rPr>
              <w:t>Πολιομυελίτιδα</w:t>
            </w:r>
            <w:proofErr w:type="spellEnd"/>
          </w:p>
          <w:p w:rsidR="002B7471" w:rsidRPr="005D5A9F" w:rsidRDefault="002B7471" w:rsidP="00B1603F">
            <w:pPr>
              <w:jc w:val="both"/>
              <w:rPr>
                <w:sz w:val="20"/>
              </w:rPr>
            </w:pPr>
            <w:proofErr w:type="spellStart"/>
            <w:r w:rsidRPr="005D5A9F">
              <w:rPr>
                <w:sz w:val="20"/>
              </w:rPr>
              <w:t>τύπος</w:t>
            </w:r>
            <w:proofErr w:type="spellEnd"/>
            <w:r w:rsidRPr="005D5A9F">
              <w:rPr>
                <w:sz w:val="20"/>
              </w:rPr>
              <w:t xml:space="preserve"> 1</w:t>
            </w:r>
          </w:p>
          <w:p w:rsidR="002B7471" w:rsidRPr="005D5A9F" w:rsidRDefault="002B7471" w:rsidP="00B1603F">
            <w:pPr>
              <w:jc w:val="both"/>
              <w:rPr>
                <w:sz w:val="20"/>
              </w:rPr>
            </w:pPr>
            <w:proofErr w:type="spellStart"/>
            <w:r w:rsidRPr="005D5A9F">
              <w:rPr>
                <w:sz w:val="20"/>
              </w:rPr>
              <w:t>τύπος</w:t>
            </w:r>
            <w:proofErr w:type="spellEnd"/>
            <w:r w:rsidRPr="005D5A9F">
              <w:rPr>
                <w:sz w:val="20"/>
              </w:rPr>
              <w:t xml:space="preserve"> 2</w:t>
            </w:r>
          </w:p>
          <w:p w:rsidR="002B7471" w:rsidRPr="005D5A9F" w:rsidRDefault="002B7471" w:rsidP="00B1603F">
            <w:pPr>
              <w:jc w:val="both"/>
              <w:rPr>
                <w:sz w:val="20"/>
              </w:rPr>
            </w:pPr>
            <w:proofErr w:type="spellStart"/>
            <w:r w:rsidRPr="005D5A9F">
              <w:rPr>
                <w:sz w:val="20"/>
              </w:rPr>
              <w:t>τύπος</w:t>
            </w:r>
            <w:proofErr w:type="spellEnd"/>
            <w:r w:rsidRPr="005D5A9F">
              <w:rPr>
                <w:sz w:val="20"/>
              </w:rPr>
              <w:t xml:space="preserve"> 3</w:t>
            </w:r>
          </w:p>
        </w:tc>
        <w:tc>
          <w:tcPr>
            <w:tcW w:w="2268" w:type="dxa"/>
          </w:tcPr>
          <w:p w:rsidR="002B7471" w:rsidRPr="005D5A9F" w:rsidRDefault="002B7471" w:rsidP="00B1603F">
            <w:pPr>
              <w:rPr>
                <w:sz w:val="20"/>
                <w:lang w:val="el-GR"/>
              </w:rPr>
            </w:pPr>
          </w:p>
          <w:p w:rsidR="002B7471" w:rsidRPr="005D5A9F" w:rsidRDefault="002B7471" w:rsidP="00B1603F">
            <w:pPr>
              <w:rPr>
                <w:sz w:val="20"/>
                <w:lang w:val="el-GR"/>
              </w:rPr>
            </w:pPr>
            <w:r w:rsidRPr="005D5A9F">
              <w:rPr>
                <w:sz w:val="20"/>
                <w:lang w:val="el-GR"/>
              </w:rPr>
              <w:t xml:space="preserve">% εμβολιασθέντων με τίτλους </w:t>
            </w:r>
            <w:r w:rsidRPr="005D5A9F">
              <w:rPr>
                <w:sz w:val="20"/>
              </w:rPr>
              <w:sym w:font="Symbol" w:char="F0B3"/>
            </w:r>
            <w:r w:rsidRPr="005D5A9F">
              <w:rPr>
                <w:sz w:val="20"/>
                <w:lang w:val="el-GR"/>
              </w:rPr>
              <w:t xml:space="preserve"> 8 με ουδετεροποίηση*</w:t>
            </w:r>
          </w:p>
        </w:tc>
        <w:tc>
          <w:tcPr>
            <w:tcW w:w="2126" w:type="dxa"/>
          </w:tcPr>
          <w:p w:rsidR="002B7471" w:rsidRPr="005D5A9F" w:rsidRDefault="002B7471" w:rsidP="00B1603F">
            <w:pPr>
              <w:jc w:val="both"/>
              <w:rPr>
                <w:sz w:val="20"/>
                <w:lang w:val="el-GR"/>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c>
          <w:tcPr>
            <w:tcW w:w="2551" w:type="dxa"/>
          </w:tcPr>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r>
    </w:tbl>
    <w:p w:rsidR="002B7471" w:rsidRPr="00BD68F3" w:rsidRDefault="002B7471" w:rsidP="00BD68F3">
      <w:pPr>
        <w:jc w:val="both"/>
        <w:rPr>
          <w:lang w:val="el-GR"/>
        </w:rPr>
      </w:pPr>
      <w:r w:rsidRPr="00BD68F3">
        <w:rPr>
          <w:lang w:val="el-GR"/>
        </w:rPr>
        <w:t>* Τα επίπεδα αυτά θεωρήθηκαν προστατευτικά</w:t>
      </w:r>
    </w:p>
    <w:p w:rsidR="002B7471" w:rsidRPr="00BD68F3" w:rsidRDefault="002B7471" w:rsidP="002B7471">
      <w:pPr>
        <w:jc w:val="both"/>
        <w:rPr>
          <w:highlight w:val="yellow"/>
          <w:lang w:val="el-GR"/>
        </w:rPr>
      </w:pPr>
    </w:p>
    <w:p w:rsidR="002B7471" w:rsidRPr="005D5A9F" w:rsidRDefault="002B7471" w:rsidP="002B7471">
      <w:pPr>
        <w:pStyle w:val="a3"/>
        <w:jc w:val="both"/>
        <w:rPr>
          <w:lang w:val="el-GR"/>
        </w:rPr>
      </w:pPr>
      <w:r w:rsidRPr="005D5A9F">
        <w:rPr>
          <w:lang w:val="el-GR"/>
        </w:rPr>
        <w:t>Ένα μήνα μετά τον εμβολιασμό παιδιών ηλικίας 4 - 7 ετών, οι ανοσολογικές ανταποκρίσεις ήταν οι ακόλουθες:</w:t>
      </w:r>
    </w:p>
    <w:p w:rsidR="002B7471" w:rsidRPr="005D5A9F" w:rsidRDefault="002B7471" w:rsidP="002B7471">
      <w:pPr>
        <w:jc w:val="both"/>
        <w:rPr>
          <w:highlight w:val="yellow"/>
          <w:lang w:val="el-GR"/>
        </w:rPr>
      </w:pPr>
    </w:p>
    <w:tbl>
      <w:tblPr>
        <w:tblW w:w="9831"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1"/>
        <w:gridCol w:w="2057"/>
        <w:gridCol w:w="1490"/>
        <w:gridCol w:w="1276"/>
        <w:gridCol w:w="1559"/>
        <w:gridCol w:w="1418"/>
      </w:tblGrid>
      <w:tr w:rsidR="002B7471" w:rsidRPr="005D5A9F" w:rsidTr="00B1603F">
        <w:trPr>
          <w:cantSplit/>
          <w:jc w:val="center"/>
        </w:trPr>
        <w:tc>
          <w:tcPr>
            <w:tcW w:w="2031" w:type="dxa"/>
            <w:tcBorders>
              <w:top w:val="single" w:sz="4" w:space="0" w:color="auto"/>
              <w:bottom w:val="single" w:sz="4" w:space="0" w:color="auto"/>
            </w:tcBorders>
          </w:tcPr>
          <w:p w:rsidR="002B7471" w:rsidRPr="005D5A9F" w:rsidRDefault="002B7471" w:rsidP="00B1603F">
            <w:pPr>
              <w:jc w:val="both"/>
              <w:rPr>
                <w:sz w:val="20"/>
                <w:lang w:val="el-GR"/>
              </w:rPr>
            </w:pPr>
          </w:p>
          <w:p w:rsidR="002B7471" w:rsidRPr="005D5A9F" w:rsidRDefault="002B7471" w:rsidP="00B1603F">
            <w:pPr>
              <w:jc w:val="both"/>
              <w:rPr>
                <w:sz w:val="20"/>
                <w:lang w:val="el-GR"/>
              </w:rPr>
            </w:pPr>
          </w:p>
          <w:p w:rsidR="002B7471" w:rsidRPr="005D5A9F" w:rsidRDefault="002B7471" w:rsidP="00B1603F">
            <w:pPr>
              <w:jc w:val="both"/>
              <w:rPr>
                <w:sz w:val="20"/>
                <w:lang w:val="el-GR"/>
              </w:rPr>
            </w:pPr>
          </w:p>
          <w:p w:rsidR="002B7471" w:rsidRPr="005D5A9F" w:rsidRDefault="002B7471" w:rsidP="00B1603F">
            <w:pPr>
              <w:jc w:val="both"/>
              <w:rPr>
                <w:sz w:val="20"/>
                <w:lang w:val="el-GR"/>
              </w:rPr>
            </w:pPr>
          </w:p>
          <w:p w:rsidR="002B7471" w:rsidRPr="005D5A9F" w:rsidRDefault="002B7471" w:rsidP="00B1603F">
            <w:pPr>
              <w:jc w:val="both"/>
              <w:rPr>
                <w:sz w:val="20"/>
                <w:lang w:val="el-GR"/>
              </w:rPr>
            </w:pPr>
          </w:p>
          <w:p w:rsidR="002B7471" w:rsidRPr="005D5A9F" w:rsidRDefault="002B7471" w:rsidP="00B1603F">
            <w:pPr>
              <w:jc w:val="both"/>
              <w:rPr>
                <w:sz w:val="20"/>
              </w:rPr>
            </w:pPr>
            <w:proofErr w:type="spellStart"/>
            <w:r w:rsidRPr="005D5A9F">
              <w:rPr>
                <w:sz w:val="20"/>
              </w:rPr>
              <w:t>Αντιγόνο</w:t>
            </w:r>
            <w:proofErr w:type="spellEnd"/>
          </w:p>
        </w:tc>
        <w:tc>
          <w:tcPr>
            <w:tcW w:w="2057" w:type="dxa"/>
            <w:tcBorders>
              <w:top w:val="single" w:sz="4" w:space="0" w:color="auto"/>
              <w:bottom w:val="single" w:sz="4" w:space="0" w:color="auto"/>
            </w:tcBorders>
          </w:tcPr>
          <w:p w:rsidR="002B7471" w:rsidRPr="005D5A9F" w:rsidRDefault="002B7471" w:rsidP="00B1603F">
            <w:pPr>
              <w:rPr>
                <w:sz w:val="20"/>
                <w:lang w:val="el-GR"/>
              </w:rPr>
            </w:pPr>
            <w:r w:rsidRPr="005D5A9F">
              <w:rPr>
                <w:sz w:val="20"/>
                <w:lang w:val="el-GR"/>
              </w:rPr>
              <w:t>Προηγούμενο ιστορικό/σχήμα εμβολιασμού</w:t>
            </w:r>
          </w:p>
          <w:p w:rsidR="002B7471" w:rsidRPr="005D5A9F" w:rsidRDefault="002B7471" w:rsidP="00B1603F">
            <w:pPr>
              <w:rPr>
                <w:sz w:val="20"/>
                <w:highlight w:val="yellow"/>
                <w:lang w:val="nl-NL"/>
              </w:rPr>
            </w:pPr>
            <w:r w:rsidRPr="005D5A9F">
              <w:rPr>
                <w:sz w:val="20"/>
                <w:lang w:val="nl-NL"/>
              </w:rPr>
              <w:t xml:space="preserve">(N </w:t>
            </w:r>
            <w:r w:rsidRPr="005D5A9F">
              <w:rPr>
                <w:sz w:val="20"/>
                <w:lang w:val="el-GR"/>
              </w:rPr>
              <w:t>άτομα)</w:t>
            </w:r>
          </w:p>
        </w:tc>
        <w:tc>
          <w:tcPr>
            <w:tcW w:w="1490" w:type="dxa"/>
            <w:tcBorders>
              <w:top w:val="single" w:sz="4" w:space="0" w:color="auto"/>
              <w:bottom w:val="single" w:sz="4" w:space="0" w:color="auto"/>
            </w:tcBorders>
          </w:tcPr>
          <w:p w:rsidR="002B7471" w:rsidRPr="005D5A9F" w:rsidRDefault="002B7471" w:rsidP="00B1603F">
            <w:pPr>
              <w:rPr>
                <w:sz w:val="20"/>
                <w:lang w:val="el-GR"/>
              </w:rPr>
            </w:pPr>
            <w:r w:rsidRPr="005D5A9F">
              <w:rPr>
                <w:sz w:val="20"/>
                <w:lang w:val="el-GR"/>
              </w:rPr>
              <w:t xml:space="preserve">3 δόσεις </w:t>
            </w:r>
          </w:p>
          <w:p w:rsidR="002B7471" w:rsidRPr="005D5A9F" w:rsidRDefault="002B7471" w:rsidP="00B1603F">
            <w:pPr>
              <w:rPr>
                <w:sz w:val="20"/>
                <w:lang w:val="el-GR"/>
              </w:rPr>
            </w:pPr>
            <w:proofErr w:type="spellStart"/>
            <w:r w:rsidRPr="005D5A9F">
              <w:rPr>
                <w:sz w:val="20"/>
              </w:rPr>
              <w:t>DTPw</w:t>
            </w:r>
            <w:proofErr w:type="spellEnd"/>
            <w:r w:rsidRPr="005D5A9F">
              <w:rPr>
                <w:sz w:val="20"/>
                <w:lang w:val="el-GR"/>
              </w:rPr>
              <w:t xml:space="preserve"> + </w:t>
            </w:r>
            <w:r w:rsidRPr="005D5A9F">
              <w:rPr>
                <w:sz w:val="20"/>
              </w:rPr>
              <w:t>IPV</w:t>
            </w:r>
          </w:p>
          <w:p w:rsidR="002B7471" w:rsidRPr="005D5A9F" w:rsidRDefault="002B7471" w:rsidP="00B1603F">
            <w:pPr>
              <w:rPr>
                <w:sz w:val="20"/>
                <w:lang w:val="el-GR"/>
              </w:rPr>
            </w:pPr>
            <w:r w:rsidRPr="005D5A9F">
              <w:rPr>
                <w:sz w:val="20"/>
                <w:lang w:val="el-GR"/>
              </w:rPr>
              <w:t>3, 5, 11 μήνες</w:t>
            </w:r>
          </w:p>
          <w:p w:rsidR="002B7471" w:rsidRPr="005D5A9F" w:rsidRDefault="002B7471" w:rsidP="00B1603F">
            <w:pPr>
              <w:rPr>
                <w:sz w:val="20"/>
                <w:lang w:val="el-GR"/>
              </w:rPr>
            </w:pPr>
            <w:r w:rsidRPr="005D5A9F">
              <w:rPr>
                <w:sz w:val="20"/>
                <w:lang w:val="el-GR"/>
              </w:rPr>
              <w:t>(</w:t>
            </w:r>
            <w:r w:rsidRPr="005D5A9F">
              <w:rPr>
                <w:sz w:val="20"/>
              </w:rPr>
              <w:t>N</w:t>
            </w:r>
            <w:r w:rsidRPr="005D5A9F">
              <w:rPr>
                <w:sz w:val="20"/>
                <w:lang w:val="el-GR"/>
              </w:rPr>
              <w:t xml:space="preserve"> = 128)</w:t>
            </w:r>
          </w:p>
        </w:tc>
        <w:tc>
          <w:tcPr>
            <w:tcW w:w="1276" w:type="dxa"/>
            <w:tcBorders>
              <w:top w:val="single" w:sz="4" w:space="0" w:color="auto"/>
              <w:bottom w:val="single" w:sz="4" w:space="0" w:color="auto"/>
            </w:tcBorders>
          </w:tcPr>
          <w:p w:rsidR="002B7471" w:rsidRPr="005D5A9F" w:rsidRDefault="002B7471" w:rsidP="00B1603F">
            <w:pPr>
              <w:rPr>
                <w:sz w:val="20"/>
                <w:lang w:val="nl-NL"/>
              </w:rPr>
            </w:pPr>
            <w:r w:rsidRPr="005D5A9F">
              <w:rPr>
                <w:sz w:val="20"/>
                <w:lang w:val="nl-NL"/>
              </w:rPr>
              <w:t xml:space="preserve">3 </w:t>
            </w:r>
            <w:r w:rsidRPr="005D5A9F">
              <w:rPr>
                <w:sz w:val="20"/>
                <w:lang w:val="el-GR"/>
              </w:rPr>
              <w:t>δόσεις</w:t>
            </w:r>
            <w:r w:rsidRPr="005D5A9F">
              <w:rPr>
                <w:sz w:val="20"/>
                <w:lang w:val="nl-NL"/>
              </w:rPr>
              <w:t xml:space="preserve"> DTPa + IPV </w:t>
            </w:r>
            <w:r w:rsidRPr="005D5A9F">
              <w:rPr>
                <w:sz w:val="20"/>
                <w:lang w:val="el-GR"/>
              </w:rPr>
              <w:t>ή</w:t>
            </w:r>
            <w:r w:rsidRPr="005D5A9F">
              <w:rPr>
                <w:sz w:val="20"/>
                <w:lang w:val="nl-NL"/>
              </w:rPr>
              <w:t xml:space="preserve"> OPV</w:t>
            </w:r>
          </w:p>
          <w:p w:rsidR="002B7471" w:rsidRPr="005D5A9F" w:rsidRDefault="002B7471" w:rsidP="00B1603F">
            <w:pPr>
              <w:rPr>
                <w:sz w:val="20"/>
                <w:lang w:val="el-GR"/>
              </w:rPr>
            </w:pPr>
            <w:r w:rsidRPr="005D5A9F">
              <w:rPr>
                <w:sz w:val="20"/>
                <w:lang w:val="nl-NL"/>
              </w:rPr>
              <w:t xml:space="preserve">3, 5, 11-12 </w:t>
            </w:r>
            <w:r w:rsidRPr="005D5A9F">
              <w:rPr>
                <w:sz w:val="20"/>
                <w:lang w:val="el-GR"/>
              </w:rPr>
              <w:t>μήνες</w:t>
            </w:r>
          </w:p>
          <w:p w:rsidR="002B7471" w:rsidRPr="005D5A9F" w:rsidRDefault="002B7471" w:rsidP="00B1603F">
            <w:pPr>
              <w:rPr>
                <w:sz w:val="20"/>
              </w:rPr>
            </w:pPr>
            <w:r w:rsidRPr="005D5A9F">
              <w:rPr>
                <w:sz w:val="20"/>
              </w:rPr>
              <w:t>(N = 208)</w:t>
            </w:r>
          </w:p>
        </w:tc>
        <w:tc>
          <w:tcPr>
            <w:tcW w:w="1559" w:type="dxa"/>
            <w:tcBorders>
              <w:top w:val="single" w:sz="4" w:space="0" w:color="auto"/>
              <w:bottom w:val="single" w:sz="4" w:space="0" w:color="auto"/>
            </w:tcBorders>
          </w:tcPr>
          <w:p w:rsidR="002B7471" w:rsidRPr="005D5A9F" w:rsidRDefault="002B7471" w:rsidP="00B1603F">
            <w:pPr>
              <w:rPr>
                <w:sz w:val="20"/>
                <w:lang w:val="el-GR"/>
              </w:rPr>
            </w:pPr>
            <w:r w:rsidRPr="005D5A9F">
              <w:rPr>
                <w:sz w:val="20"/>
                <w:lang w:val="el-GR"/>
              </w:rPr>
              <w:t xml:space="preserve">4 δόσεις </w:t>
            </w:r>
          </w:p>
          <w:p w:rsidR="002B7471" w:rsidRPr="005D5A9F" w:rsidRDefault="002B7471" w:rsidP="00B1603F">
            <w:pPr>
              <w:rPr>
                <w:sz w:val="20"/>
                <w:lang w:val="el-GR"/>
              </w:rPr>
            </w:pPr>
            <w:proofErr w:type="spellStart"/>
            <w:r w:rsidRPr="005D5A9F">
              <w:rPr>
                <w:sz w:val="20"/>
              </w:rPr>
              <w:t>DTPw</w:t>
            </w:r>
            <w:proofErr w:type="spellEnd"/>
            <w:r w:rsidRPr="005D5A9F">
              <w:rPr>
                <w:sz w:val="20"/>
                <w:lang w:val="el-GR"/>
              </w:rPr>
              <w:t xml:space="preserve"> + </w:t>
            </w:r>
            <w:r w:rsidRPr="005D5A9F">
              <w:rPr>
                <w:sz w:val="20"/>
              </w:rPr>
              <w:t>IPV</w:t>
            </w:r>
          </w:p>
          <w:p w:rsidR="002B7471" w:rsidRPr="005D5A9F" w:rsidRDefault="002B7471" w:rsidP="00B1603F">
            <w:pPr>
              <w:rPr>
                <w:sz w:val="20"/>
                <w:lang w:val="el-GR"/>
              </w:rPr>
            </w:pPr>
            <w:r w:rsidRPr="005D5A9F">
              <w:rPr>
                <w:sz w:val="20"/>
                <w:lang w:val="el-GR"/>
              </w:rPr>
              <w:t>2, 3, 4 + 16-18 μήνες</w:t>
            </w:r>
          </w:p>
          <w:p w:rsidR="002B7471" w:rsidRPr="005D5A9F" w:rsidRDefault="002B7471" w:rsidP="00B1603F">
            <w:pPr>
              <w:rPr>
                <w:sz w:val="20"/>
                <w:lang w:val="el-GR"/>
              </w:rPr>
            </w:pPr>
            <w:r w:rsidRPr="005D5A9F">
              <w:rPr>
                <w:sz w:val="20"/>
                <w:lang w:val="el-GR"/>
              </w:rPr>
              <w:t>(</w:t>
            </w:r>
            <w:r w:rsidRPr="005D5A9F">
              <w:rPr>
                <w:sz w:val="20"/>
              </w:rPr>
              <w:t>N</w:t>
            </w:r>
            <w:r w:rsidRPr="005D5A9F">
              <w:rPr>
                <w:sz w:val="20"/>
                <w:lang w:val="el-GR"/>
              </w:rPr>
              <w:t xml:space="preserve"> = 73)</w:t>
            </w:r>
          </w:p>
        </w:tc>
        <w:tc>
          <w:tcPr>
            <w:tcW w:w="1418" w:type="dxa"/>
            <w:tcBorders>
              <w:top w:val="single" w:sz="4" w:space="0" w:color="auto"/>
              <w:bottom w:val="single" w:sz="4" w:space="0" w:color="auto"/>
            </w:tcBorders>
          </w:tcPr>
          <w:p w:rsidR="002B7471" w:rsidRPr="005D5A9F" w:rsidRDefault="002B7471" w:rsidP="00B1603F">
            <w:pPr>
              <w:rPr>
                <w:sz w:val="20"/>
                <w:lang w:val="el-GR"/>
              </w:rPr>
            </w:pPr>
            <w:r w:rsidRPr="005D5A9F">
              <w:rPr>
                <w:sz w:val="20"/>
                <w:lang w:val="el-GR"/>
              </w:rPr>
              <w:t xml:space="preserve">4 δόσεις </w:t>
            </w:r>
            <w:proofErr w:type="spellStart"/>
            <w:r w:rsidRPr="005D5A9F">
              <w:rPr>
                <w:sz w:val="20"/>
              </w:rPr>
              <w:t>DTPa</w:t>
            </w:r>
            <w:proofErr w:type="spellEnd"/>
            <w:r w:rsidRPr="005D5A9F">
              <w:rPr>
                <w:sz w:val="20"/>
                <w:lang w:val="el-GR"/>
              </w:rPr>
              <w:t xml:space="preserve"> +  </w:t>
            </w:r>
            <w:r w:rsidRPr="005D5A9F">
              <w:rPr>
                <w:sz w:val="20"/>
              </w:rPr>
              <w:t>IPV</w:t>
            </w:r>
            <w:r w:rsidRPr="005D5A9F">
              <w:rPr>
                <w:sz w:val="20"/>
                <w:lang w:val="el-GR"/>
              </w:rPr>
              <w:t xml:space="preserve"> ή </w:t>
            </w:r>
            <w:r w:rsidRPr="005D5A9F">
              <w:rPr>
                <w:sz w:val="20"/>
              </w:rPr>
              <w:t>OPV</w:t>
            </w:r>
          </w:p>
          <w:p w:rsidR="002B7471" w:rsidRPr="005D5A9F" w:rsidRDefault="002B7471" w:rsidP="00B1603F">
            <w:pPr>
              <w:rPr>
                <w:sz w:val="20"/>
                <w:lang w:val="el-GR"/>
              </w:rPr>
            </w:pPr>
            <w:r w:rsidRPr="005D5A9F">
              <w:rPr>
                <w:sz w:val="20"/>
                <w:lang w:val="el-GR"/>
              </w:rPr>
              <w:t>2, 4, 6 + 18 μήνες</w:t>
            </w:r>
          </w:p>
          <w:p w:rsidR="002B7471" w:rsidRPr="005D5A9F" w:rsidRDefault="002B7471" w:rsidP="00B1603F">
            <w:pPr>
              <w:rPr>
                <w:sz w:val="20"/>
              </w:rPr>
            </w:pPr>
            <w:r w:rsidRPr="005D5A9F">
              <w:rPr>
                <w:sz w:val="20"/>
              </w:rPr>
              <w:t>(N = 166)</w:t>
            </w:r>
          </w:p>
        </w:tc>
      </w:tr>
      <w:tr w:rsidR="002B7471" w:rsidRPr="005D5A9F" w:rsidTr="00B1603F">
        <w:trPr>
          <w:cantSplit/>
          <w:jc w:val="center"/>
        </w:trPr>
        <w:tc>
          <w:tcPr>
            <w:tcW w:w="2031" w:type="dxa"/>
            <w:tcBorders>
              <w:top w:val="single" w:sz="4" w:space="0" w:color="auto"/>
              <w:bottom w:val="single" w:sz="4" w:space="0" w:color="auto"/>
            </w:tcBorders>
          </w:tcPr>
          <w:p w:rsidR="002B7471" w:rsidRPr="005D5A9F" w:rsidRDefault="002B7471" w:rsidP="00B1603F">
            <w:pPr>
              <w:jc w:val="both"/>
              <w:rPr>
                <w:sz w:val="20"/>
              </w:rPr>
            </w:pPr>
            <w:proofErr w:type="spellStart"/>
            <w:r w:rsidRPr="005D5A9F">
              <w:rPr>
                <w:sz w:val="20"/>
              </w:rPr>
              <w:t>Διφθερίτιδα</w:t>
            </w:r>
            <w:proofErr w:type="spellEnd"/>
          </w:p>
        </w:tc>
        <w:tc>
          <w:tcPr>
            <w:tcW w:w="2057" w:type="dxa"/>
            <w:tcBorders>
              <w:top w:val="single" w:sz="4" w:space="0" w:color="auto"/>
              <w:bottom w:val="nil"/>
            </w:tcBorders>
          </w:tcPr>
          <w:p w:rsidR="002B7471" w:rsidRPr="005D5A9F" w:rsidRDefault="002B7471" w:rsidP="00B1603F">
            <w:pPr>
              <w:rPr>
                <w:sz w:val="20"/>
                <w:highlight w:val="yellow"/>
                <w:lang w:val="el-GR"/>
              </w:rPr>
            </w:pPr>
            <w:r w:rsidRPr="005D5A9F">
              <w:rPr>
                <w:sz w:val="20"/>
                <w:lang w:val="el-GR"/>
              </w:rPr>
              <w:t xml:space="preserve">% εμβολιασθέντων με τίτλους </w:t>
            </w:r>
            <w:r w:rsidRPr="005D5A9F">
              <w:rPr>
                <w:sz w:val="20"/>
              </w:rPr>
              <w:sym w:font="Symbol" w:char="F0B3"/>
            </w:r>
            <w:r w:rsidRPr="005D5A9F">
              <w:rPr>
                <w:sz w:val="20"/>
                <w:lang w:val="el-GR"/>
              </w:rPr>
              <w:t xml:space="preserve"> 0.1 </w:t>
            </w:r>
            <w:r w:rsidRPr="005D5A9F">
              <w:rPr>
                <w:sz w:val="20"/>
              </w:rPr>
              <w:t>IU</w:t>
            </w:r>
            <w:r w:rsidRPr="005D5A9F">
              <w:rPr>
                <w:sz w:val="20"/>
                <w:lang w:val="el-GR"/>
              </w:rPr>
              <w:t>/</w:t>
            </w:r>
            <w:r w:rsidRPr="005D5A9F">
              <w:rPr>
                <w:sz w:val="20"/>
              </w:rPr>
              <w:t>ml</w:t>
            </w:r>
            <w:r w:rsidRPr="005D5A9F">
              <w:rPr>
                <w:sz w:val="20"/>
                <w:lang w:val="el-GR"/>
              </w:rPr>
              <w:t xml:space="preserve"> με </w:t>
            </w:r>
            <w:r w:rsidRPr="005D5A9F">
              <w:rPr>
                <w:sz w:val="20"/>
              </w:rPr>
              <w:t>ELISA</w:t>
            </w:r>
            <w:r w:rsidRPr="005D5A9F">
              <w:rPr>
                <w:sz w:val="20"/>
                <w:lang w:val="el-GR"/>
              </w:rPr>
              <w:t>*</w:t>
            </w:r>
          </w:p>
        </w:tc>
        <w:tc>
          <w:tcPr>
            <w:tcW w:w="1490" w:type="dxa"/>
            <w:tcBorders>
              <w:top w:val="single" w:sz="4" w:space="0" w:color="auto"/>
              <w:bottom w:val="nil"/>
            </w:tcBorders>
          </w:tcPr>
          <w:p w:rsidR="002B7471" w:rsidRPr="005D5A9F" w:rsidRDefault="002B7471" w:rsidP="00B1603F">
            <w:pPr>
              <w:jc w:val="both"/>
              <w:rPr>
                <w:sz w:val="20"/>
              </w:rPr>
            </w:pPr>
            <w:r w:rsidRPr="005D5A9F">
              <w:rPr>
                <w:sz w:val="20"/>
              </w:rPr>
              <w:t>100</w:t>
            </w:r>
          </w:p>
        </w:tc>
        <w:tc>
          <w:tcPr>
            <w:tcW w:w="1276" w:type="dxa"/>
            <w:tcBorders>
              <w:top w:val="single" w:sz="4" w:space="0" w:color="auto"/>
              <w:bottom w:val="nil"/>
            </w:tcBorders>
          </w:tcPr>
          <w:p w:rsidR="002B7471" w:rsidRPr="005D5A9F" w:rsidRDefault="002B7471" w:rsidP="002B7471">
            <w:pPr>
              <w:jc w:val="both"/>
              <w:rPr>
                <w:sz w:val="20"/>
              </w:rPr>
            </w:pPr>
            <w:r w:rsidRPr="005D5A9F">
              <w:rPr>
                <w:sz w:val="20"/>
              </w:rPr>
              <w:t>99</w:t>
            </w:r>
            <w:r>
              <w:rPr>
                <w:sz w:val="20"/>
              </w:rPr>
              <w:t>,</w:t>
            </w:r>
            <w:r w:rsidRPr="005D5A9F">
              <w:rPr>
                <w:sz w:val="20"/>
              </w:rPr>
              <w:t>0</w:t>
            </w:r>
          </w:p>
        </w:tc>
        <w:tc>
          <w:tcPr>
            <w:tcW w:w="1559" w:type="dxa"/>
            <w:tcBorders>
              <w:top w:val="single" w:sz="4" w:space="0" w:color="auto"/>
              <w:bottom w:val="nil"/>
            </w:tcBorders>
          </w:tcPr>
          <w:p w:rsidR="002B7471" w:rsidRPr="005D5A9F" w:rsidRDefault="002B7471" w:rsidP="00B1603F">
            <w:pPr>
              <w:jc w:val="both"/>
              <w:rPr>
                <w:sz w:val="20"/>
              </w:rPr>
            </w:pPr>
            <w:r w:rsidRPr="005D5A9F">
              <w:rPr>
                <w:sz w:val="20"/>
              </w:rPr>
              <w:t>100</w:t>
            </w:r>
          </w:p>
        </w:tc>
        <w:tc>
          <w:tcPr>
            <w:tcW w:w="1418" w:type="dxa"/>
            <w:tcBorders>
              <w:top w:val="single" w:sz="4" w:space="0" w:color="auto"/>
              <w:bottom w:val="nil"/>
            </w:tcBorders>
          </w:tcPr>
          <w:p w:rsidR="002B7471" w:rsidRPr="005D5A9F" w:rsidRDefault="002B7471" w:rsidP="00B1603F">
            <w:pPr>
              <w:jc w:val="both"/>
              <w:rPr>
                <w:sz w:val="20"/>
              </w:rPr>
            </w:pPr>
            <w:r w:rsidRPr="005D5A9F">
              <w:rPr>
                <w:sz w:val="20"/>
              </w:rPr>
              <w:t>100</w:t>
            </w:r>
          </w:p>
        </w:tc>
      </w:tr>
      <w:tr w:rsidR="002B7471" w:rsidRPr="005D5A9F" w:rsidTr="00B1603F">
        <w:trPr>
          <w:cantSplit/>
          <w:jc w:val="center"/>
        </w:trPr>
        <w:tc>
          <w:tcPr>
            <w:tcW w:w="2031" w:type="dxa"/>
            <w:tcBorders>
              <w:top w:val="single" w:sz="4" w:space="0" w:color="auto"/>
            </w:tcBorders>
          </w:tcPr>
          <w:p w:rsidR="002B7471" w:rsidRPr="005D5A9F" w:rsidRDefault="002B7471" w:rsidP="00B1603F">
            <w:pPr>
              <w:jc w:val="both"/>
              <w:rPr>
                <w:sz w:val="20"/>
              </w:rPr>
            </w:pPr>
            <w:proofErr w:type="spellStart"/>
            <w:r w:rsidRPr="005D5A9F">
              <w:rPr>
                <w:sz w:val="20"/>
              </w:rPr>
              <w:t>Τέτανος</w:t>
            </w:r>
            <w:proofErr w:type="spellEnd"/>
          </w:p>
        </w:tc>
        <w:tc>
          <w:tcPr>
            <w:tcW w:w="2057" w:type="dxa"/>
          </w:tcPr>
          <w:p w:rsidR="002B7471" w:rsidRPr="005D5A9F" w:rsidRDefault="002B7471" w:rsidP="00B1603F">
            <w:pPr>
              <w:rPr>
                <w:sz w:val="20"/>
                <w:lang w:val="el-GR"/>
              </w:rPr>
            </w:pPr>
            <w:r w:rsidRPr="005D5A9F">
              <w:rPr>
                <w:sz w:val="20"/>
                <w:lang w:val="el-GR"/>
              </w:rPr>
              <w:t xml:space="preserve">% εμβολιασθέντων με τίτλους </w:t>
            </w:r>
            <w:r w:rsidRPr="005D5A9F">
              <w:rPr>
                <w:sz w:val="20"/>
              </w:rPr>
              <w:sym w:font="Symbol" w:char="F0B3"/>
            </w:r>
            <w:r w:rsidRPr="005D5A9F">
              <w:rPr>
                <w:sz w:val="20"/>
                <w:lang w:val="el-GR"/>
              </w:rPr>
              <w:t xml:space="preserve"> 0.1 </w:t>
            </w:r>
            <w:r w:rsidRPr="005D5A9F">
              <w:rPr>
                <w:sz w:val="20"/>
              </w:rPr>
              <w:t>IU</w:t>
            </w:r>
            <w:r w:rsidRPr="005D5A9F">
              <w:rPr>
                <w:sz w:val="20"/>
                <w:lang w:val="el-GR"/>
              </w:rPr>
              <w:t>/</w:t>
            </w:r>
            <w:r w:rsidRPr="005D5A9F">
              <w:rPr>
                <w:sz w:val="20"/>
              </w:rPr>
              <w:t>ml</w:t>
            </w:r>
            <w:r w:rsidRPr="005D5A9F">
              <w:rPr>
                <w:sz w:val="20"/>
                <w:lang w:val="el-GR"/>
              </w:rPr>
              <w:t xml:space="preserve"> με </w:t>
            </w:r>
            <w:r w:rsidRPr="005D5A9F">
              <w:rPr>
                <w:sz w:val="20"/>
              </w:rPr>
              <w:t>ELISA</w:t>
            </w:r>
            <w:r w:rsidRPr="005D5A9F">
              <w:rPr>
                <w:sz w:val="20"/>
                <w:lang w:val="el-GR"/>
              </w:rPr>
              <w:t>*</w:t>
            </w:r>
          </w:p>
        </w:tc>
        <w:tc>
          <w:tcPr>
            <w:tcW w:w="1490" w:type="dxa"/>
          </w:tcPr>
          <w:p w:rsidR="002B7471" w:rsidRPr="005D5A9F" w:rsidRDefault="002B7471" w:rsidP="00B1603F">
            <w:pPr>
              <w:jc w:val="both"/>
              <w:rPr>
                <w:sz w:val="20"/>
                <w:lang w:val="fr-FR"/>
              </w:rPr>
            </w:pPr>
            <w:r w:rsidRPr="005D5A9F">
              <w:rPr>
                <w:sz w:val="20"/>
                <w:lang w:val="fr-FR"/>
              </w:rPr>
              <w:t>100</w:t>
            </w:r>
          </w:p>
        </w:tc>
        <w:tc>
          <w:tcPr>
            <w:tcW w:w="1276" w:type="dxa"/>
          </w:tcPr>
          <w:p w:rsidR="002B7471" w:rsidRPr="005D5A9F" w:rsidRDefault="002B7471" w:rsidP="00B1603F">
            <w:pPr>
              <w:jc w:val="both"/>
              <w:rPr>
                <w:sz w:val="20"/>
                <w:lang w:val="fr-FR"/>
              </w:rPr>
            </w:pPr>
            <w:r w:rsidRPr="005D5A9F">
              <w:rPr>
                <w:sz w:val="20"/>
                <w:lang w:val="fr-FR"/>
              </w:rPr>
              <w:t>100</w:t>
            </w:r>
          </w:p>
        </w:tc>
        <w:tc>
          <w:tcPr>
            <w:tcW w:w="1559" w:type="dxa"/>
          </w:tcPr>
          <w:p w:rsidR="002B7471" w:rsidRPr="005D5A9F" w:rsidRDefault="002B7471" w:rsidP="00B1603F">
            <w:pPr>
              <w:jc w:val="both"/>
              <w:rPr>
                <w:sz w:val="20"/>
                <w:lang w:val="fr-FR"/>
              </w:rPr>
            </w:pPr>
            <w:r w:rsidRPr="005D5A9F">
              <w:rPr>
                <w:sz w:val="20"/>
                <w:lang w:val="fr-FR"/>
              </w:rPr>
              <w:t>100</w:t>
            </w:r>
          </w:p>
        </w:tc>
        <w:tc>
          <w:tcPr>
            <w:tcW w:w="1418" w:type="dxa"/>
          </w:tcPr>
          <w:p w:rsidR="002B7471" w:rsidRPr="005D5A9F" w:rsidRDefault="002B7471" w:rsidP="00B1603F">
            <w:pPr>
              <w:jc w:val="both"/>
              <w:rPr>
                <w:sz w:val="20"/>
                <w:lang w:val="fr-FR"/>
              </w:rPr>
            </w:pPr>
            <w:r w:rsidRPr="005D5A9F">
              <w:rPr>
                <w:sz w:val="20"/>
                <w:lang w:val="fr-FR"/>
              </w:rPr>
              <w:t>100</w:t>
            </w:r>
          </w:p>
        </w:tc>
      </w:tr>
      <w:tr w:rsidR="002B7471" w:rsidRPr="005D5A9F" w:rsidTr="00B1603F">
        <w:trPr>
          <w:cantSplit/>
          <w:jc w:val="center"/>
        </w:trPr>
        <w:tc>
          <w:tcPr>
            <w:tcW w:w="2031" w:type="dxa"/>
          </w:tcPr>
          <w:p w:rsidR="002B7471" w:rsidRPr="005D5A9F" w:rsidRDefault="002B7471" w:rsidP="00B1603F">
            <w:pPr>
              <w:jc w:val="both"/>
              <w:rPr>
                <w:sz w:val="20"/>
                <w:u w:val="single"/>
                <w:lang w:val="el-GR"/>
              </w:rPr>
            </w:pPr>
            <w:r w:rsidRPr="005D5A9F">
              <w:rPr>
                <w:sz w:val="20"/>
                <w:u w:val="single"/>
                <w:lang w:val="el-GR"/>
              </w:rPr>
              <w:t>Κοκκύτης</w:t>
            </w:r>
          </w:p>
          <w:p w:rsidR="002B7471" w:rsidRPr="005D5A9F" w:rsidRDefault="002B7471" w:rsidP="00B1603F">
            <w:pPr>
              <w:jc w:val="both"/>
              <w:rPr>
                <w:sz w:val="20"/>
                <w:lang w:val="el-GR"/>
              </w:rPr>
            </w:pPr>
            <w:r w:rsidRPr="005D5A9F">
              <w:rPr>
                <w:sz w:val="20"/>
                <w:lang w:val="el-GR"/>
              </w:rPr>
              <w:t xml:space="preserve">Τοξοειδές </w:t>
            </w:r>
          </w:p>
          <w:p w:rsidR="002B7471" w:rsidRPr="005D5A9F" w:rsidRDefault="002B7471" w:rsidP="00B1603F">
            <w:pPr>
              <w:tabs>
                <w:tab w:val="left" w:pos="284"/>
                <w:tab w:val="right" w:pos="7938"/>
              </w:tabs>
              <w:jc w:val="both"/>
              <w:rPr>
                <w:sz w:val="20"/>
                <w:lang w:val="el-GR"/>
              </w:rPr>
            </w:pPr>
            <w:r w:rsidRPr="005D5A9F">
              <w:rPr>
                <w:sz w:val="20"/>
                <w:lang w:val="el-GR"/>
              </w:rPr>
              <w:t>Νηματοειδή</w:t>
            </w:r>
            <w:r w:rsidR="00BD68F3">
              <w:rPr>
                <w:sz w:val="20"/>
                <w:lang w:val="el-GR"/>
              </w:rPr>
              <w:t>ς</w:t>
            </w:r>
            <w:r w:rsidRPr="005D5A9F">
              <w:rPr>
                <w:sz w:val="20"/>
                <w:lang w:val="el-GR"/>
              </w:rPr>
              <w:t xml:space="preserve"> Αιματοσυγκολλητίνη</w:t>
            </w:r>
          </w:p>
          <w:p w:rsidR="002B7471" w:rsidRPr="005D5A9F" w:rsidRDefault="002B7471" w:rsidP="00B1603F">
            <w:pPr>
              <w:jc w:val="both"/>
              <w:rPr>
                <w:sz w:val="20"/>
                <w:highlight w:val="yellow"/>
                <w:lang w:val="el-GR"/>
              </w:rPr>
            </w:pPr>
            <w:r w:rsidRPr="005D5A9F">
              <w:rPr>
                <w:sz w:val="20"/>
                <w:lang w:val="el-GR"/>
              </w:rPr>
              <w:t>Περτακτίνη</w:t>
            </w:r>
          </w:p>
        </w:tc>
        <w:tc>
          <w:tcPr>
            <w:tcW w:w="2057" w:type="dxa"/>
          </w:tcPr>
          <w:p w:rsidR="002B7471" w:rsidRPr="005D5A9F" w:rsidRDefault="002B7471" w:rsidP="00B1603F">
            <w:pPr>
              <w:rPr>
                <w:sz w:val="20"/>
                <w:lang w:val="el-GR"/>
              </w:rPr>
            </w:pPr>
          </w:p>
          <w:p w:rsidR="002B7471" w:rsidRPr="005D5A9F" w:rsidRDefault="002B7471" w:rsidP="00B1603F">
            <w:pPr>
              <w:rPr>
                <w:sz w:val="20"/>
                <w:lang w:val="el-GR"/>
              </w:rPr>
            </w:pPr>
            <w:r w:rsidRPr="005D5A9F">
              <w:rPr>
                <w:sz w:val="20"/>
                <w:lang w:val="el-GR"/>
              </w:rPr>
              <w:t xml:space="preserve">% εμβολιασθέντων με τίτλους </w:t>
            </w:r>
            <w:r w:rsidRPr="005D5A9F">
              <w:rPr>
                <w:sz w:val="20"/>
              </w:rPr>
              <w:sym w:font="Symbol" w:char="F0B3"/>
            </w:r>
            <w:r w:rsidRPr="005D5A9F">
              <w:rPr>
                <w:sz w:val="20"/>
                <w:lang w:val="el-GR"/>
              </w:rPr>
              <w:t xml:space="preserve"> 5 </w:t>
            </w:r>
            <w:r w:rsidRPr="005D5A9F">
              <w:rPr>
                <w:sz w:val="20"/>
              </w:rPr>
              <w:t>EL</w:t>
            </w:r>
            <w:r w:rsidRPr="005D5A9F">
              <w:rPr>
                <w:sz w:val="20"/>
                <w:lang w:val="el-GR"/>
              </w:rPr>
              <w:t>.</w:t>
            </w:r>
            <w:r w:rsidRPr="005D5A9F">
              <w:rPr>
                <w:sz w:val="20"/>
              </w:rPr>
              <w:t>U</w:t>
            </w:r>
            <w:r w:rsidRPr="005D5A9F">
              <w:rPr>
                <w:sz w:val="20"/>
                <w:lang w:val="el-GR"/>
              </w:rPr>
              <w:t>/</w:t>
            </w:r>
            <w:r w:rsidRPr="005D5A9F">
              <w:rPr>
                <w:sz w:val="20"/>
              </w:rPr>
              <w:t>ml</w:t>
            </w:r>
            <w:r w:rsidRPr="005D5A9F">
              <w:rPr>
                <w:sz w:val="20"/>
                <w:lang w:val="el-GR"/>
              </w:rPr>
              <w:t xml:space="preserve"> με </w:t>
            </w:r>
            <w:r w:rsidRPr="005D5A9F">
              <w:rPr>
                <w:sz w:val="20"/>
              </w:rPr>
              <w:t>ELISA</w:t>
            </w:r>
          </w:p>
        </w:tc>
        <w:tc>
          <w:tcPr>
            <w:tcW w:w="1490" w:type="dxa"/>
          </w:tcPr>
          <w:p w:rsidR="002B7471" w:rsidRPr="005D5A9F" w:rsidRDefault="002B7471" w:rsidP="00B1603F">
            <w:pPr>
              <w:jc w:val="both"/>
              <w:rPr>
                <w:sz w:val="20"/>
                <w:lang w:val="el-GR"/>
              </w:rPr>
            </w:pPr>
          </w:p>
          <w:p w:rsidR="002B7471" w:rsidRPr="005D5A9F" w:rsidRDefault="002B7471" w:rsidP="00B1603F">
            <w:pPr>
              <w:jc w:val="both"/>
              <w:rPr>
                <w:sz w:val="20"/>
              </w:rPr>
            </w:pPr>
            <w:r w:rsidRPr="005D5A9F">
              <w:rPr>
                <w:sz w:val="20"/>
              </w:rPr>
              <w:t>98</w:t>
            </w:r>
            <w:r>
              <w:rPr>
                <w:sz w:val="20"/>
              </w:rPr>
              <w:t>,</w:t>
            </w:r>
            <w:r w:rsidRPr="005D5A9F">
              <w:rPr>
                <w:sz w:val="20"/>
              </w:rPr>
              <w:t>3</w:t>
            </w:r>
          </w:p>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c>
          <w:tcPr>
            <w:tcW w:w="1276" w:type="dxa"/>
          </w:tcPr>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c>
          <w:tcPr>
            <w:tcW w:w="1559" w:type="dxa"/>
          </w:tcPr>
          <w:p w:rsidR="002B7471" w:rsidRPr="005D5A9F" w:rsidRDefault="002B7471" w:rsidP="00B1603F">
            <w:pPr>
              <w:jc w:val="both"/>
              <w:rPr>
                <w:sz w:val="20"/>
              </w:rPr>
            </w:pPr>
          </w:p>
          <w:p w:rsidR="002B7471" w:rsidRPr="005D5A9F" w:rsidRDefault="002B7471" w:rsidP="00B1603F">
            <w:pPr>
              <w:jc w:val="both"/>
              <w:rPr>
                <w:sz w:val="20"/>
              </w:rPr>
            </w:pPr>
            <w:r w:rsidRPr="005D5A9F">
              <w:rPr>
                <w:sz w:val="20"/>
              </w:rPr>
              <w:t>95</w:t>
            </w:r>
            <w:r>
              <w:rPr>
                <w:sz w:val="20"/>
              </w:rPr>
              <w:t>,</w:t>
            </w:r>
            <w:r w:rsidRPr="005D5A9F">
              <w:rPr>
                <w:sz w:val="20"/>
              </w:rPr>
              <w:t>5</w:t>
            </w:r>
          </w:p>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c>
          <w:tcPr>
            <w:tcW w:w="1418" w:type="dxa"/>
          </w:tcPr>
          <w:p w:rsidR="002B7471" w:rsidRPr="005D5A9F" w:rsidRDefault="002B7471" w:rsidP="00B1603F">
            <w:pPr>
              <w:jc w:val="both"/>
              <w:rPr>
                <w:sz w:val="20"/>
              </w:rPr>
            </w:pPr>
          </w:p>
          <w:p w:rsidR="002B7471" w:rsidRPr="005D5A9F" w:rsidRDefault="002B7471" w:rsidP="00B1603F">
            <w:pPr>
              <w:jc w:val="both"/>
              <w:rPr>
                <w:sz w:val="20"/>
              </w:rPr>
            </w:pPr>
            <w:r w:rsidRPr="005D5A9F">
              <w:rPr>
                <w:sz w:val="20"/>
              </w:rPr>
              <w:t>99</w:t>
            </w:r>
            <w:r>
              <w:rPr>
                <w:sz w:val="20"/>
              </w:rPr>
              <w:t>,</w:t>
            </w:r>
            <w:r w:rsidRPr="005D5A9F">
              <w:rPr>
                <w:sz w:val="20"/>
              </w:rPr>
              <w:t>4</w:t>
            </w:r>
          </w:p>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r>
      <w:tr w:rsidR="002B7471" w:rsidRPr="005D5A9F" w:rsidTr="00B1603F">
        <w:trPr>
          <w:cantSplit/>
          <w:jc w:val="center"/>
        </w:trPr>
        <w:tc>
          <w:tcPr>
            <w:tcW w:w="2031" w:type="dxa"/>
          </w:tcPr>
          <w:p w:rsidR="002B7471" w:rsidRPr="005D5A9F" w:rsidRDefault="002B7471" w:rsidP="00B1603F">
            <w:pPr>
              <w:jc w:val="both"/>
              <w:rPr>
                <w:sz w:val="20"/>
                <w:u w:val="single"/>
              </w:rPr>
            </w:pPr>
            <w:proofErr w:type="spellStart"/>
            <w:r w:rsidRPr="005D5A9F">
              <w:rPr>
                <w:sz w:val="20"/>
                <w:u w:val="single"/>
              </w:rPr>
              <w:t>Πολιομυελίτιδα</w:t>
            </w:r>
            <w:proofErr w:type="spellEnd"/>
          </w:p>
          <w:p w:rsidR="002B7471" w:rsidRPr="005D5A9F" w:rsidRDefault="002B7471" w:rsidP="00B1603F">
            <w:pPr>
              <w:jc w:val="both"/>
              <w:rPr>
                <w:sz w:val="20"/>
              </w:rPr>
            </w:pPr>
            <w:proofErr w:type="spellStart"/>
            <w:r w:rsidRPr="005D5A9F">
              <w:rPr>
                <w:sz w:val="20"/>
              </w:rPr>
              <w:t>τύπος</w:t>
            </w:r>
            <w:proofErr w:type="spellEnd"/>
            <w:r w:rsidRPr="005D5A9F">
              <w:rPr>
                <w:sz w:val="20"/>
              </w:rPr>
              <w:t xml:space="preserve"> 1</w:t>
            </w:r>
          </w:p>
          <w:p w:rsidR="002B7471" w:rsidRPr="005D5A9F" w:rsidRDefault="002B7471" w:rsidP="00B1603F">
            <w:pPr>
              <w:jc w:val="both"/>
              <w:rPr>
                <w:sz w:val="20"/>
              </w:rPr>
            </w:pPr>
            <w:proofErr w:type="spellStart"/>
            <w:r w:rsidRPr="005D5A9F">
              <w:rPr>
                <w:sz w:val="20"/>
              </w:rPr>
              <w:t>τύπος</w:t>
            </w:r>
            <w:proofErr w:type="spellEnd"/>
            <w:r w:rsidRPr="005D5A9F">
              <w:rPr>
                <w:sz w:val="20"/>
              </w:rPr>
              <w:t xml:space="preserve"> 2</w:t>
            </w:r>
          </w:p>
          <w:p w:rsidR="002B7471" w:rsidRPr="005D5A9F" w:rsidRDefault="002B7471" w:rsidP="00B1603F">
            <w:pPr>
              <w:jc w:val="both"/>
              <w:rPr>
                <w:sz w:val="20"/>
              </w:rPr>
            </w:pPr>
            <w:proofErr w:type="spellStart"/>
            <w:r w:rsidRPr="005D5A9F">
              <w:rPr>
                <w:sz w:val="20"/>
              </w:rPr>
              <w:t>τύπος</w:t>
            </w:r>
            <w:proofErr w:type="spellEnd"/>
            <w:r w:rsidRPr="005D5A9F">
              <w:rPr>
                <w:sz w:val="20"/>
              </w:rPr>
              <w:t xml:space="preserve"> 3</w:t>
            </w:r>
          </w:p>
        </w:tc>
        <w:tc>
          <w:tcPr>
            <w:tcW w:w="2057" w:type="dxa"/>
          </w:tcPr>
          <w:p w:rsidR="002B7471" w:rsidRPr="005D5A9F" w:rsidRDefault="002B7471" w:rsidP="00B1603F">
            <w:pPr>
              <w:rPr>
                <w:sz w:val="20"/>
                <w:lang w:val="el-GR"/>
              </w:rPr>
            </w:pPr>
          </w:p>
          <w:p w:rsidR="002B7471" w:rsidRPr="005D5A9F" w:rsidRDefault="002B7471" w:rsidP="00B1603F">
            <w:pPr>
              <w:rPr>
                <w:sz w:val="20"/>
                <w:lang w:val="el-GR"/>
              </w:rPr>
            </w:pPr>
            <w:r w:rsidRPr="005D5A9F">
              <w:rPr>
                <w:sz w:val="20"/>
                <w:lang w:val="el-GR"/>
              </w:rPr>
              <w:t xml:space="preserve">% εμβολιασθέντων με τίτλους </w:t>
            </w:r>
            <w:r w:rsidRPr="005D5A9F">
              <w:rPr>
                <w:sz w:val="20"/>
              </w:rPr>
              <w:sym w:font="Symbol" w:char="F0B3"/>
            </w:r>
            <w:r w:rsidRPr="005D5A9F">
              <w:rPr>
                <w:sz w:val="20"/>
                <w:lang w:val="el-GR"/>
              </w:rPr>
              <w:t xml:space="preserve"> 8 με ουδετεροποίηση*</w:t>
            </w:r>
          </w:p>
        </w:tc>
        <w:tc>
          <w:tcPr>
            <w:tcW w:w="1490" w:type="dxa"/>
          </w:tcPr>
          <w:p w:rsidR="002B7471" w:rsidRPr="005D5A9F" w:rsidRDefault="002B7471" w:rsidP="00B1603F">
            <w:pPr>
              <w:jc w:val="both"/>
              <w:rPr>
                <w:sz w:val="20"/>
                <w:lang w:val="el-GR"/>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c>
          <w:tcPr>
            <w:tcW w:w="1276" w:type="dxa"/>
          </w:tcPr>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p w:rsidR="002B7471" w:rsidRPr="005D5A9F" w:rsidRDefault="002B7471" w:rsidP="002B7471">
            <w:pPr>
              <w:jc w:val="both"/>
              <w:rPr>
                <w:sz w:val="20"/>
              </w:rPr>
            </w:pPr>
            <w:r w:rsidRPr="005D5A9F">
              <w:rPr>
                <w:sz w:val="20"/>
              </w:rPr>
              <w:t>99</w:t>
            </w:r>
            <w:r>
              <w:rPr>
                <w:sz w:val="20"/>
              </w:rPr>
              <w:t>,</w:t>
            </w:r>
            <w:r w:rsidRPr="005D5A9F">
              <w:rPr>
                <w:sz w:val="20"/>
              </w:rPr>
              <w:t>5</w:t>
            </w:r>
          </w:p>
        </w:tc>
        <w:tc>
          <w:tcPr>
            <w:tcW w:w="1559" w:type="dxa"/>
          </w:tcPr>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c>
          <w:tcPr>
            <w:tcW w:w="1418" w:type="dxa"/>
          </w:tcPr>
          <w:p w:rsidR="002B7471" w:rsidRPr="005D5A9F" w:rsidRDefault="002B7471" w:rsidP="00B1603F">
            <w:pPr>
              <w:jc w:val="both"/>
              <w:rPr>
                <w:sz w:val="20"/>
              </w:rPr>
            </w:pP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p w:rsidR="002B7471" w:rsidRPr="005D5A9F" w:rsidRDefault="002B7471" w:rsidP="00B1603F">
            <w:pPr>
              <w:jc w:val="both"/>
              <w:rPr>
                <w:sz w:val="20"/>
              </w:rPr>
            </w:pPr>
            <w:r w:rsidRPr="005D5A9F">
              <w:rPr>
                <w:sz w:val="20"/>
              </w:rPr>
              <w:t>100</w:t>
            </w:r>
          </w:p>
        </w:tc>
      </w:tr>
    </w:tbl>
    <w:p w:rsidR="002B7471" w:rsidRPr="005D5A9F" w:rsidRDefault="002B7471" w:rsidP="002B7471">
      <w:pPr>
        <w:tabs>
          <w:tab w:val="clear" w:pos="567"/>
          <w:tab w:val="left" w:pos="-567"/>
        </w:tabs>
        <w:jc w:val="both"/>
        <w:rPr>
          <w:highlight w:val="yellow"/>
        </w:rPr>
      </w:pPr>
      <w:r w:rsidRPr="005D5A9F">
        <w:t xml:space="preserve">* </w:t>
      </w:r>
      <w:proofErr w:type="spellStart"/>
      <w:r w:rsidRPr="005D5A9F">
        <w:t>Τα</w:t>
      </w:r>
      <w:proofErr w:type="spellEnd"/>
      <w:r w:rsidRPr="005D5A9F">
        <w:t xml:space="preserve"> </w:t>
      </w:r>
      <w:proofErr w:type="spellStart"/>
      <w:r w:rsidRPr="005D5A9F">
        <w:t>επίπεδα</w:t>
      </w:r>
      <w:proofErr w:type="spellEnd"/>
      <w:r w:rsidRPr="005D5A9F">
        <w:t xml:space="preserve"> </w:t>
      </w:r>
      <w:proofErr w:type="spellStart"/>
      <w:r w:rsidRPr="005D5A9F">
        <w:t>αυτά</w:t>
      </w:r>
      <w:proofErr w:type="spellEnd"/>
      <w:r w:rsidRPr="005D5A9F">
        <w:t xml:space="preserve"> </w:t>
      </w:r>
      <w:proofErr w:type="spellStart"/>
      <w:r w:rsidRPr="005D5A9F">
        <w:t>θεωρήθηκαν</w:t>
      </w:r>
      <w:proofErr w:type="spellEnd"/>
      <w:r w:rsidRPr="005D5A9F">
        <w:t xml:space="preserve"> </w:t>
      </w:r>
      <w:proofErr w:type="spellStart"/>
      <w:r w:rsidRPr="005D5A9F">
        <w:t>προστατευτικά</w:t>
      </w:r>
      <w:proofErr w:type="spellEnd"/>
    </w:p>
    <w:p w:rsidR="002B7471" w:rsidRPr="005D5A9F" w:rsidRDefault="002B7471" w:rsidP="002B7471">
      <w:pPr>
        <w:jc w:val="both"/>
        <w:rPr>
          <w:highlight w:val="yellow"/>
        </w:rPr>
      </w:pPr>
    </w:p>
    <w:p w:rsidR="002B7471" w:rsidRPr="005D5A9F" w:rsidRDefault="002B7471" w:rsidP="002B7471">
      <w:pPr>
        <w:pStyle w:val="a3"/>
        <w:jc w:val="both"/>
        <w:rPr>
          <w:lang w:val="el-GR"/>
        </w:rPr>
      </w:pPr>
      <w:r w:rsidRPr="005D5A9F">
        <w:rPr>
          <w:lang w:val="el-GR"/>
        </w:rPr>
        <w:t>Ένα μήνα μετά τον εμβολιασμό παιδιών/εφήβων ηλικίας 10 - 13 ετών, οι ανοσολογικές ανταποκρίσεις ήταν οι ακόλουθες:</w:t>
      </w:r>
    </w:p>
    <w:p w:rsidR="002B7471" w:rsidRPr="005D5A9F" w:rsidRDefault="002B7471" w:rsidP="002B7471">
      <w:pPr>
        <w:jc w:val="both"/>
        <w:rPr>
          <w:highlight w:val="yellow"/>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77"/>
        <w:gridCol w:w="2792"/>
        <w:gridCol w:w="3608"/>
      </w:tblGrid>
      <w:tr w:rsidR="002B7471" w:rsidRPr="005D5A9F" w:rsidTr="00BD68F3">
        <w:trPr>
          <w:cantSplit/>
          <w:jc w:val="center"/>
        </w:trPr>
        <w:tc>
          <w:tcPr>
            <w:tcW w:w="2277" w:type="dxa"/>
            <w:tcBorders>
              <w:top w:val="single" w:sz="4" w:space="0" w:color="auto"/>
              <w:bottom w:val="single" w:sz="4" w:space="0" w:color="auto"/>
            </w:tcBorders>
          </w:tcPr>
          <w:p w:rsidR="002B7471" w:rsidRPr="005D5A9F" w:rsidRDefault="002B7471" w:rsidP="00B1603F">
            <w:pPr>
              <w:jc w:val="both"/>
              <w:rPr>
                <w:highlight w:val="yellow"/>
                <w:lang w:val="el-GR"/>
              </w:rPr>
            </w:pPr>
          </w:p>
          <w:p w:rsidR="002B7471" w:rsidRPr="005D5A9F" w:rsidRDefault="002B7471" w:rsidP="00B1603F">
            <w:pPr>
              <w:jc w:val="both"/>
              <w:rPr>
                <w:highlight w:val="yellow"/>
                <w:lang w:val="el-GR"/>
              </w:rPr>
            </w:pPr>
          </w:p>
          <w:p w:rsidR="002B7471" w:rsidRPr="005D5A9F" w:rsidRDefault="002B7471" w:rsidP="00B1603F">
            <w:pPr>
              <w:jc w:val="both"/>
              <w:rPr>
                <w:highlight w:val="yellow"/>
                <w:lang w:val="el-GR"/>
              </w:rPr>
            </w:pPr>
          </w:p>
          <w:p w:rsidR="002B7471" w:rsidRPr="005D5A9F" w:rsidRDefault="002B7471" w:rsidP="00B1603F">
            <w:pPr>
              <w:jc w:val="both"/>
              <w:rPr>
                <w:highlight w:val="yellow"/>
              </w:rPr>
            </w:pPr>
            <w:proofErr w:type="spellStart"/>
            <w:r w:rsidRPr="005D5A9F">
              <w:t>Αντιγόνο</w:t>
            </w:r>
            <w:proofErr w:type="spellEnd"/>
          </w:p>
        </w:tc>
        <w:tc>
          <w:tcPr>
            <w:tcW w:w="2792" w:type="dxa"/>
            <w:tcBorders>
              <w:top w:val="single" w:sz="4" w:space="0" w:color="auto"/>
              <w:bottom w:val="single" w:sz="4" w:space="0" w:color="auto"/>
            </w:tcBorders>
          </w:tcPr>
          <w:p w:rsidR="002B7471" w:rsidRPr="005D5A9F" w:rsidRDefault="002B7471" w:rsidP="00B1603F">
            <w:pPr>
              <w:rPr>
                <w:lang w:val="el-GR"/>
              </w:rPr>
            </w:pPr>
            <w:r w:rsidRPr="005D5A9F">
              <w:rPr>
                <w:lang w:val="el-GR"/>
              </w:rPr>
              <w:t>Προηγούμενο ιστορικό/σχήμα εμβολιασμού</w:t>
            </w:r>
          </w:p>
          <w:p w:rsidR="002B7471" w:rsidRPr="005D5A9F" w:rsidRDefault="002B7471" w:rsidP="00B1603F">
            <w:pPr>
              <w:rPr>
                <w:highlight w:val="yellow"/>
                <w:lang w:val="nl-NL"/>
              </w:rPr>
            </w:pPr>
            <w:r w:rsidRPr="005D5A9F">
              <w:rPr>
                <w:lang w:val="nl-NL"/>
              </w:rPr>
              <w:t xml:space="preserve">(N </w:t>
            </w:r>
            <w:r w:rsidRPr="005D5A9F">
              <w:rPr>
                <w:lang w:val="el-GR"/>
              </w:rPr>
              <w:t>άτομα)</w:t>
            </w:r>
          </w:p>
        </w:tc>
        <w:tc>
          <w:tcPr>
            <w:tcW w:w="3608" w:type="dxa"/>
            <w:tcBorders>
              <w:top w:val="single" w:sz="4" w:space="0" w:color="auto"/>
              <w:bottom w:val="single" w:sz="4" w:space="0" w:color="auto"/>
            </w:tcBorders>
          </w:tcPr>
          <w:p w:rsidR="002B7471" w:rsidRPr="005D5A9F" w:rsidRDefault="002B7471" w:rsidP="00B1603F">
            <w:pPr>
              <w:rPr>
                <w:lang w:val="nl-NL"/>
              </w:rPr>
            </w:pPr>
            <w:r w:rsidRPr="005D5A9F">
              <w:rPr>
                <w:lang w:val="nl-NL"/>
              </w:rPr>
              <w:t xml:space="preserve">4 </w:t>
            </w:r>
            <w:r w:rsidRPr="005D5A9F">
              <w:rPr>
                <w:lang w:val="el-GR"/>
              </w:rPr>
              <w:t>δόσεις</w:t>
            </w:r>
            <w:r w:rsidRPr="005D5A9F">
              <w:rPr>
                <w:lang w:val="nl-NL"/>
              </w:rPr>
              <w:t xml:space="preserve"> DTPw+IPV </w:t>
            </w:r>
            <w:r w:rsidRPr="005D5A9F">
              <w:rPr>
                <w:lang w:val="el-GR"/>
              </w:rPr>
              <w:t>στους</w:t>
            </w:r>
            <w:r w:rsidRPr="005D5A9F">
              <w:rPr>
                <w:lang w:val="nl-NL"/>
              </w:rPr>
              <w:t xml:space="preserve"> 2, 3, 4 + 16-18 </w:t>
            </w:r>
            <w:r w:rsidRPr="005D5A9F">
              <w:rPr>
                <w:lang w:val="el-GR"/>
              </w:rPr>
              <w:t>μήνες</w:t>
            </w:r>
            <w:r w:rsidRPr="005D5A9F">
              <w:rPr>
                <w:lang w:val="nl-NL"/>
              </w:rPr>
              <w:t xml:space="preserve"> + 1 </w:t>
            </w:r>
            <w:r w:rsidRPr="005D5A9F">
              <w:rPr>
                <w:lang w:val="el-GR"/>
              </w:rPr>
              <w:t>δόση</w:t>
            </w:r>
            <w:r w:rsidRPr="005D5A9F">
              <w:rPr>
                <w:lang w:val="nl-NL"/>
              </w:rPr>
              <w:t xml:space="preserve"> DT-IPV </w:t>
            </w:r>
            <w:r w:rsidRPr="005D5A9F">
              <w:rPr>
                <w:lang w:val="el-GR"/>
              </w:rPr>
              <w:t>στα</w:t>
            </w:r>
            <w:r w:rsidRPr="005D5A9F">
              <w:rPr>
                <w:lang w:val="nl-NL"/>
              </w:rPr>
              <w:t xml:space="preserve"> 5-6 </w:t>
            </w:r>
            <w:r w:rsidRPr="005D5A9F">
              <w:rPr>
                <w:lang w:val="el-GR"/>
              </w:rPr>
              <w:t>έτη</w:t>
            </w:r>
          </w:p>
          <w:p w:rsidR="002B7471" w:rsidRPr="005D5A9F" w:rsidRDefault="002B7471" w:rsidP="00B1603F">
            <w:pPr>
              <w:rPr>
                <w:highlight w:val="yellow"/>
              </w:rPr>
            </w:pPr>
            <w:r w:rsidRPr="005D5A9F">
              <w:t>(N = 53)</w:t>
            </w:r>
          </w:p>
        </w:tc>
      </w:tr>
      <w:tr w:rsidR="002B7471" w:rsidRPr="005D5A9F" w:rsidTr="00BD68F3">
        <w:trPr>
          <w:cantSplit/>
          <w:jc w:val="center"/>
        </w:trPr>
        <w:tc>
          <w:tcPr>
            <w:tcW w:w="2277" w:type="dxa"/>
            <w:tcBorders>
              <w:top w:val="single" w:sz="4" w:space="0" w:color="auto"/>
              <w:bottom w:val="single" w:sz="4" w:space="0" w:color="auto"/>
              <w:right w:val="single" w:sz="4" w:space="0" w:color="auto"/>
            </w:tcBorders>
          </w:tcPr>
          <w:p w:rsidR="002B7471" w:rsidRPr="005D5A9F" w:rsidRDefault="002B7471" w:rsidP="00B1603F">
            <w:pPr>
              <w:jc w:val="both"/>
            </w:pPr>
            <w:proofErr w:type="spellStart"/>
            <w:r w:rsidRPr="005D5A9F">
              <w:t>Διφθερίτιδα</w:t>
            </w:r>
            <w:proofErr w:type="spellEnd"/>
          </w:p>
        </w:tc>
        <w:tc>
          <w:tcPr>
            <w:tcW w:w="2792" w:type="dxa"/>
            <w:tcBorders>
              <w:top w:val="single" w:sz="4" w:space="0" w:color="auto"/>
              <w:left w:val="single" w:sz="4" w:space="0" w:color="auto"/>
              <w:bottom w:val="single" w:sz="4" w:space="0" w:color="auto"/>
              <w:right w:val="single" w:sz="4" w:space="0" w:color="auto"/>
            </w:tcBorders>
          </w:tcPr>
          <w:p w:rsidR="002B7471" w:rsidRPr="005D5A9F" w:rsidRDefault="002B7471" w:rsidP="00B1603F">
            <w:pPr>
              <w:rPr>
                <w:lang w:val="el-GR"/>
              </w:rPr>
            </w:pPr>
            <w:r w:rsidRPr="005D5A9F">
              <w:rPr>
                <w:lang w:val="el-GR"/>
              </w:rPr>
              <w:t xml:space="preserve">% εμβολιασθέντων με τίτλους </w:t>
            </w:r>
            <w:r w:rsidRPr="005D5A9F">
              <w:sym w:font="Symbol" w:char="F0B3"/>
            </w:r>
            <w:r w:rsidRPr="005D5A9F">
              <w:rPr>
                <w:lang w:val="el-GR"/>
              </w:rPr>
              <w:t xml:space="preserve"> 0.1 </w:t>
            </w:r>
            <w:r w:rsidRPr="005D5A9F">
              <w:t>IU</w:t>
            </w:r>
            <w:r w:rsidRPr="005D5A9F">
              <w:rPr>
                <w:lang w:val="el-GR"/>
              </w:rPr>
              <w:t>/</w:t>
            </w:r>
            <w:r w:rsidRPr="005D5A9F">
              <w:t>ml</w:t>
            </w:r>
            <w:r w:rsidRPr="005D5A9F">
              <w:rPr>
                <w:lang w:val="el-GR"/>
              </w:rPr>
              <w:t xml:space="preserve"> με </w:t>
            </w:r>
            <w:r w:rsidRPr="005D5A9F">
              <w:t>ELISA</w:t>
            </w:r>
            <w:r w:rsidRPr="005D5A9F">
              <w:rPr>
                <w:lang w:val="el-GR"/>
              </w:rPr>
              <w:t>*</w:t>
            </w:r>
          </w:p>
        </w:tc>
        <w:tc>
          <w:tcPr>
            <w:tcW w:w="3608" w:type="dxa"/>
            <w:tcBorders>
              <w:top w:val="single" w:sz="4" w:space="0" w:color="auto"/>
              <w:left w:val="single" w:sz="4" w:space="0" w:color="auto"/>
              <w:bottom w:val="single" w:sz="4" w:space="0" w:color="auto"/>
              <w:right w:val="single" w:sz="4" w:space="0" w:color="auto"/>
            </w:tcBorders>
          </w:tcPr>
          <w:p w:rsidR="002B7471" w:rsidRPr="005D5A9F" w:rsidRDefault="002B7471" w:rsidP="00B1603F">
            <w:pPr>
              <w:jc w:val="both"/>
            </w:pPr>
            <w:r w:rsidRPr="005D5A9F">
              <w:t>100</w:t>
            </w:r>
          </w:p>
        </w:tc>
      </w:tr>
      <w:tr w:rsidR="002B7471" w:rsidRPr="005D5A9F" w:rsidTr="00BD68F3">
        <w:trPr>
          <w:cantSplit/>
          <w:jc w:val="center"/>
        </w:trPr>
        <w:tc>
          <w:tcPr>
            <w:tcW w:w="2277" w:type="dxa"/>
            <w:tcBorders>
              <w:top w:val="single" w:sz="4" w:space="0" w:color="auto"/>
            </w:tcBorders>
          </w:tcPr>
          <w:p w:rsidR="002B7471" w:rsidRPr="005D5A9F" w:rsidRDefault="002B7471" w:rsidP="00B1603F">
            <w:pPr>
              <w:jc w:val="both"/>
            </w:pPr>
            <w:proofErr w:type="spellStart"/>
            <w:r w:rsidRPr="005D5A9F">
              <w:t>Τέτανος</w:t>
            </w:r>
            <w:proofErr w:type="spellEnd"/>
          </w:p>
        </w:tc>
        <w:tc>
          <w:tcPr>
            <w:tcW w:w="2792" w:type="dxa"/>
            <w:tcBorders>
              <w:top w:val="single" w:sz="4" w:space="0" w:color="auto"/>
            </w:tcBorders>
          </w:tcPr>
          <w:p w:rsidR="002B7471" w:rsidRPr="005D5A9F" w:rsidRDefault="002B7471" w:rsidP="00B1603F">
            <w:pPr>
              <w:rPr>
                <w:lang w:val="el-GR"/>
              </w:rPr>
            </w:pPr>
            <w:r w:rsidRPr="005D5A9F">
              <w:rPr>
                <w:lang w:val="el-GR"/>
              </w:rPr>
              <w:t xml:space="preserve">% εμβολιασθέντων με τίτλους </w:t>
            </w:r>
            <w:r w:rsidRPr="005D5A9F">
              <w:sym w:font="Symbol" w:char="F0B3"/>
            </w:r>
            <w:r w:rsidRPr="005D5A9F">
              <w:rPr>
                <w:lang w:val="el-GR"/>
              </w:rPr>
              <w:t xml:space="preserve"> 0.1 </w:t>
            </w:r>
            <w:r w:rsidRPr="005D5A9F">
              <w:t>IU</w:t>
            </w:r>
            <w:r w:rsidRPr="005D5A9F">
              <w:rPr>
                <w:lang w:val="el-GR"/>
              </w:rPr>
              <w:t>/</w:t>
            </w:r>
            <w:r w:rsidRPr="005D5A9F">
              <w:t>ml</w:t>
            </w:r>
            <w:r w:rsidRPr="005D5A9F">
              <w:rPr>
                <w:lang w:val="el-GR"/>
              </w:rPr>
              <w:t xml:space="preserve"> με </w:t>
            </w:r>
            <w:r w:rsidRPr="005D5A9F">
              <w:t>ELISA</w:t>
            </w:r>
            <w:r w:rsidRPr="005D5A9F">
              <w:rPr>
                <w:lang w:val="el-GR"/>
              </w:rPr>
              <w:t>*</w:t>
            </w:r>
          </w:p>
        </w:tc>
        <w:tc>
          <w:tcPr>
            <w:tcW w:w="3608" w:type="dxa"/>
            <w:tcBorders>
              <w:top w:val="single" w:sz="4" w:space="0" w:color="auto"/>
            </w:tcBorders>
          </w:tcPr>
          <w:p w:rsidR="002B7471" w:rsidRPr="005D5A9F" w:rsidRDefault="002B7471" w:rsidP="00B1603F">
            <w:pPr>
              <w:jc w:val="both"/>
              <w:rPr>
                <w:lang w:val="fr-FR"/>
              </w:rPr>
            </w:pPr>
            <w:r w:rsidRPr="005D5A9F">
              <w:rPr>
                <w:lang w:val="fr-FR"/>
              </w:rPr>
              <w:t>100</w:t>
            </w:r>
          </w:p>
        </w:tc>
      </w:tr>
      <w:tr w:rsidR="002B7471" w:rsidRPr="005D5A9F" w:rsidTr="00B1603F">
        <w:trPr>
          <w:cantSplit/>
          <w:jc w:val="center"/>
        </w:trPr>
        <w:tc>
          <w:tcPr>
            <w:tcW w:w="2277" w:type="dxa"/>
          </w:tcPr>
          <w:p w:rsidR="002B7471" w:rsidRPr="005D5A9F" w:rsidRDefault="002B7471" w:rsidP="00B1603F">
            <w:pPr>
              <w:jc w:val="both"/>
              <w:rPr>
                <w:u w:val="single"/>
                <w:lang w:val="el-GR"/>
              </w:rPr>
            </w:pPr>
            <w:r w:rsidRPr="005D5A9F">
              <w:rPr>
                <w:u w:val="single"/>
                <w:lang w:val="el-GR"/>
              </w:rPr>
              <w:lastRenderedPageBreak/>
              <w:t>Κοκκύτης</w:t>
            </w:r>
          </w:p>
          <w:p w:rsidR="002B7471" w:rsidRPr="005D5A9F" w:rsidRDefault="002B7471" w:rsidP="00B1603F">
            <w:pPr>
              <w:jc w:val="both"/>
              <w:rPr>
                <w:lang w:val="el-GR"/>
              </w:rPr>
            </w:pPr>
            <w:r w:rsidRPr="005D5A9F">
              <w:rPr>
                <w:lang w:val="el-GR"/>
              </w:rPr>
              <w:t xml:space="preserve">Τοξοειδές </w:t>
            </w:r>
          </w:p>
          <w:p w:rsidR="002B7471" w:rsidRPr="005D5A9F" w:rsidRDefault="002B7471" w:rsidP="00B1603F">
            <w:pPr>
              <w:tabs>
                <w:tab w:val="left" w:pos="284"/>
                <w:tab w:val="right" w:pos="7938"/>
              </w:tabs>
              <w:jc w:val="both"/>
              <w:rPr>
                <w:lang w:val="el-GR"/>
              </w:rPr>
            </w:pPr>
            <w:r w:rsidRPr="005D5A9F">
              <w:rPr>
                <w:lang w:val="el-GR"/>
              </w:rPr>
              <w:t>Νηματοειδή</w:t>
            </w:r>
            <w:r w:rsidR="00BD68F3">
              <w:rPr>
                <w:lang w:val="el-GR"/>
              </w:rPr>
              <w:t>ς</w:t>
            </w:r>
            <w:r w:rsidRPr="005D5A9F">
              <w:rPr>
                <w:lang w:val="el-GR"/>
              </w:rPr>
              <w:t xml:space="preserve"> Αιματοσυγκολλητίνη</w:t>
            </w:r>
          </w:p>
          <w:p w:rsidR="002B7471" w:rsidRPr="005D5A9F" w:rsidRDefault="002B7471" w:rsidP="00B1603F">
            <w:pPr>
              <w:jc w:val="both"/>
              <w:rPr>
                <w:lang w:val="el-GR"/>
              </w:rPr>
            </w:pPr>
            <w:r w:rsidRPr="005D5A9F">
              <w:rPr>
                <w:lang w:val="el-GR"/>
              </w:rPr>
              <w:t>Περτακτίνη</w:t>
            </w:r>
          </w:p>
        </w:tc>
        <w:tc>
          <w:tcPr>
            <w:tcW w:w="2792" w:type="dxa"/>
          </w:tcPr>
          <w:p w:rsidR="002B7471" w:rsidRPr="005D5A9F" w:rsidRDefault="002B7471" w:rsidP="00B1603F">
            <w:pPr>
              <w:rPr>
                <w:lang w:val="el-GR"/>
              </w:rPr>
            </w:pPr>
          </w:p>
          <w:p w:rsidR="002B7471" w:rsidRPr="005D5A9F" w:rsidRDefault="002B7471" w:rsidP="00B1603F">
            <w:pPr>
              <w:rPr>
                <w:lang w:val="el-GR"/>
              </w:rPr>
            </w:pPr>
            <w:r w:rsidRPr="005D5A9F">
              <w:rPr>
                <w:lang w:val="el-GR"/>
              </w:rPr>
              <w:t xml:space="preserve">% εμβολιασθέντων με τίτλους </w:t>
            </w:r>
            <w:r w:rsidRPr="005D5A9F">
              <w:sym w:font="Symbol" w:char="F0B3"/>
            </w:r>
            <w:r w:rsidRPr="005D5A9F">
              <w:rPr>
                <w:lang w:val="el-GR"/>
              </w:rPr>
              <w:t xml:space="preserve"> 5 </w:t>
            </w:r>
            <w:r w:rsidRPr="005D5A9F">
              <w:t>EL</w:t>
            </w:r>
            <w:r w:rsidRPr="005D5A9F">
              <w:rPr>
                <w:lang w:val="el-GR"/>
              </w:rPr>
              <w:t>.</w:t>
            </w:r>
            <w:r w:rsidRPr="005D5A9F">
              <w:t>U</w:t>
            </w:r>
            <w:r w:rsidRPr="005D5A9F">
              <w:rPr>
                <w:lang w:val="el-GR"/>
              </w:rPr>
              <w:t>/</w:t>
            </w:r>
            <w:r w:rsidRPr="005D5A9F">
              <w:t>ml</w:t>
            </w:r>
            <w:r w:rsidRPr="005D5A9F">
              <w:rPr>
                <w:lang w:val="el-GR"/>
              </w:rPr>
              <w:t xml:space="preserve"> με </w:t>
            </w:r>
            <w:r w:rsidRPr="005D5A9F">
              <w:t>ELISA</w:t>
            </w:r>
          </w:p>
        </w:tc>
        <w:tc>
          <w:tcPr>
            <w:tcW w:w="3608" w:type="dxa"/>
          </w:tcPr>
          <w:p w:rsidR="002B7471" w:rsidRPr="005D5A9F" w:rsidRDefault="002B7471" w:rsidP="00B1603F">
            <w:pPr>
              <w:jc w:val="both"/>
              <w:rPr>
                <w:lang w:val="el-GR"/>
              </w:rPr>
            </w:pPr>
          </w:p>
          <w:p w:rsidR="002B7471" w:rsidRPr="005D5A9F" w:rsidRDefault="002B7471" w:rsidP="00B1603F">
            <w:pPr>
              <w:jc w:val="both"/>
            </w:pPr>
            <w:r w:rsidRPr="005D5A9F">
              <w:t>100</w:t>
            </w:r>
          </w:p>
          <w:p w:rsidR="002B7471" w:rsidRPr="005D5A9F" w:rsidRDefault="002B7471" w:rsidP="00B1603F">
            <w:pPr>
              <w:jc w:val="both"/>
            </w:pPr>
          </w:p>
          <w:p w:rsidR="002B7471" w:rsidRPr="005D5A9F" w:rsidRDefault="002B7471" w:rsidP="00B1603F">
            <w:pPr>
              <w:jc w:val="both"/>
            </w:pPr>
            <w:r w:rsidRPr="005D5A9F">
              <w:t>100</w:t>
            </w:r>
          </w:p>
          <w:p w:rsidR="002B7471" w:rsidRPr="005D5A9F" w:rsidRDefault="002B7471" w:rsidP="00B1603F">
            <w:pPr>
              <w:jc w:val="both"/>
            </w:pPr>
            <w:r w:rsidRPr="005D5A9F">
              <w:t>100</w:t>
            </w:r>
          </w:p>
        </w:tc>
      </w:tr>
      <w:tr w:rsidR="002B7471" w:rsidRPr="005D5A9F" w:rsidTr="00B1603F">
        <w:trPr>
          <w:cantSplit/>
          <w:jc w:val="center"/>
        </w:trPr>
        <w:tc>
          <w:tcPr>
            <w:tcW w:w="2277" w:type="dxa"/>
          </w:tcPr>
          <w:p w:rsidR="002B7471" w:rsidRPr="005D5A9F" w:rsidRDefault="002B7471" w:rsidP="00B1603F">
            <w:pPr>
              <w:jc w:val="both"/>
              <w:rPr>
                <w:u w:val="single"/>
              </w:rPr>
            </w:pPr>
            <w:proofErr w:type="spellStart"/>
            <w:r w:rsidRPr="005D5A9F">
              <w:rPr>
                <w:u w:val="single"/>
              </w:rPr>
              <w:t>Πολιομυελίτιδα</w:t>
            </w:r>
            <w:proofErr w:type="spellEnd"/>
          </w:p>
          <w:p w:rsidR="002B7471" w:rsidRPr="005D5A9F" w:rsidRDefault="002B7471" w:rsidP="00B1603F">
            <w:pPr>
              <w:jc w:val="both"/>
            </w:pPr>
            <w:proofErr w:type="spellStart"/>
            <w:r w:rsidRPr="005D5A9F">
              <w:t>τύπος</w:t>
            </w:r>
            <w:proofErr w:type="spellEnd"/>
            <w:r w:rsidRPr="005D5A9F">
              <w:t xml:space="preserve"> 1</w:t>
            </w:r>
          </w:p>
          <w:p w:rsidR="002B7471" w:rsidRPr="005D5A9F" w:rsidRDefault="002B7471" w:rsidP="00B1603F">
            <w:pPr>
              <w:jc w:val="both"/>
            </w:pPr>
            <w:proofErr w:type="spellStart"/>
            <w:r w:rsidRPr="005D5A9F">
              <w:t>τύπος</w:t>
            </w:r>
            <w:proofErr w:type="spellEnd"/>
            <w:r w:rsidRPr="005D5A9F">
              <w:t xml:space="preserve"> 2</w:t>
            </w:r>
          </w:p>
          <w:p w:rsidR="002B7471" w:rsidRPr="005D5A9F" w:rsidRDefault="002B7471" w:rsidP="00B1603F">
            <w:pPr>
              <w:jc w:val="both"/>
              <w:rPr>
                <w:highlight w:val="yellow"/>
              </w:rPr>
            </w:pPr>
            <w:proofErr w:type="spellStart"/>
            <w:r w:rsidRPr="005D5A9F">
              <w:t>τύπος</w:t>
            </w:r>
            <w:proofErr w:type="spellEnd"/>
            <w:r w:rsidRPr="005D5A9F">
              <w:t xml:space="preserve"> 3</w:t>
            </w:r>
          </w:p>
        </w:tc>
        <w:tc>
          <w:tcPr>
            <w:tcW w:w="2792" w:type="dxa"/>
          </w:tcPr>
          <w:p w:rsidR="002B7471" w:rsidRPr="005D5A9F" w:rsidRDefault="002B7471" w:rsidP="00B1603F">
            <w:pPr>
              <w:rPr>
                <w:lang w:val="el-GR"/>
              </w:rPr>
            </w:pPr>
          </w:p>
          <w:p w:rsidR="002B7471" w:rsidRPr="005D5A9F" w:rsidRDefault="002B7471" w:rsidP="00B1603F">
            <w:pPr>
              <w:rPr>
                <w:lang w:val="el-GR"/>
              </w:rPr>
            </w:pPr>
            <w:r w:rsidRPr="005D5A9F">
              <w:rPr>
                <w:lang w:val="el-GR"/>
              </w:rPr>
              <w:t xml:space="preserve">% εμβολιασθέντων με τίτλους </w:t>
            </w:r>
            <w:r w:rsidRPr="005D5A9F">
              <w:sym w:font="Symbol" w:char="F0B3"/>
            </w:r>
            <w:r w:rsidRPr="005D5A9F">
              <w:rPr>
                <w:lang w:val="el-GR"/>
              </w:rPr>
              <w:t xml:space="preserve"> 8 μέσω ουδετεροποίησης*</w:t>
            </w:r>
          </w:p>
        </w:tc>
        <w:tc>
          <w:tcPr>
            <w:tcW w:w="3608" w:type="dxa"/>
          </w:tcPr>
          <w:p w:rsidR="002B7471" w:rsidRPr="005D5A9F" w:rsidRDefault="002B7471" w:rsidP="00B1603F">
            <w:pPr>
              <w:jc w:val="both"/>
              <w:rPr>
                <w:lang w:val="el-GR"/>
              </w:rPr>
            </w:pPr>
          </w:p>
          <w:p w:rsidR="002B7471" w:rsidRPr="005D5A9F" w:rsidRDefault="002B7471" w:rsidP="00B1603F">
            <w:pPr>
              <w:jc w:val="both"/>
            </w:pPr>
            <w:r w:rsidRPr="005D5A9F">
              <w:t>100</w:t>
            </w:r>
          </w:p>
          <w:p w:rsidR="002B7471" w:rsidRPr="005D5A9F" w:rsidRDefault="002B7471" w:rsidP="00B1603F">
            <w:pPr>
              <w:jc w:val="both"/>
            </w:pPr>
            <w:r w:rsidRPr="005D5A9F">
              <w:t>100</w:t>
            </w:r>
          </w:p>
          <w:p w:rsidR="002B7471" w:rsidRPr="005D5A9F" w:rsidRDefault="002B7471" w:rsidP="00B1603F">
            <w:pPr>
              <w:jc w:val="both"/>
            </w:pPr>
            <w:r w:rsidRPr="005D5A9F">
              <w:t>100</w:t>
            </w:r>
          </w:p>
        </w:tc>
      </w:tr>
    </w:tbl>
    <w:p w:rsidR="002B7471" w:rsidRPr="005D5A9F" w:rsidRDefault="002B7471" w:rsidP="002B7471">
      <w:pPr>
        <w:ind w:left="426"/>
        <w:jc w:val="both"/>
        <w:rPr>
          <w:highlight w:val="yellow"/>
        </w:rPr>
      </w:pPr>
      <w:r w:rsidRPr="005D5A9F">
        <w:t xml:space="preserve">* </w:t>
      </w:r>
      <w:proofErr w:type="spellStart"/>
      <w:r w:rsidRPr="005D5A9F">
        <w:t>Τα</w:t>
      </w:r>
      <w:proofErr w:type="spellEnd"/>
      <w:r w:rsidRPr="005D5A9F">
        <w:t xml:space="preserve"> </w:t>
      </w:r>
      <w:proofErr w:type="spellStart"/>
      <w:r w:rsidRPr="005D5A9F">
        <w:t>επίπεδα</w:t>
      </w:r>
      <w:proofErr w:type="spellEnd"/>
      <w:r w:rsidRPr="005D5A9F">
        <w:t xml:space="preserve"> </w:t>
      </w:r>
      <w:proofErr w:type="spellStart"/>
      <w:r w:rsidRPr="005D5A9F">
        <w:t>αυτά</w:t>
      </w:r>
      <w:proofErr w:type="spellEnd"/>
      <w:r w:rsidRPr="005D5A9F">
        <w:t xml:space="preserve"> </w:t>
      </w:r>
      <w:proofErr w:type="spellStart"/>
      <w:r w:rsidRPr="005D5A9F">
        <w:t>θεωρήθηκαν</w:t>
      </w:r>
      <w:proofErr w:type="spellEnd"/>
      <w:r w:rsidRPr="005D5A9F">
        <w:t xml:space="preserve"> </w:t>
      </w:r>
      <w:proofErr w:type="spellStart"/>
      <w:r w:rsidRPr="005D5A9F">
        <w:t>προστατευτικά</w:t>
      </w:r>
      <w:proofErr w:type="spellEnd"/>
    </w:p>
    <w:p w:rsidR="002B7471" w:rsidRPr="005D5A9F" w:rsidRDefault="002B7471" w:rsidP="002B7471">
      <w:pPr>
        <w:jc w:val="both"/>
        <w:rPr>
          <w:highlight w:val="yellow"/>
        </w:rPr>
      </w:pPr>
    </w:p>
    <w:p w:rsidR="002B7471" w:rsidRPr="00E40E76" w:rsidRDefault="002B7471" w:rsidP="002B7471">
      <w:pPr>
        <w:jc w:val="both"/>
        <w:rPr>
          <w:lang w:val="el-GR"/>
        </w:rPr>
      </w:pPr>
      <w:r w:rsidRPr="005D5A9F">
        <w:rPr>
          <w:lang w:val="el-GR"/>
        </w:rPr>
        <w:t xml:space="preserve">Μετά τον εμβολιασμό </w:t>
      </w:r>
      <w:r w:rsidRPr="005D5A9F">
        <w:sym w:font="Symbol" w:char="F0B3"/>
      </w:r>
      <w:r w:rsidRPr="005D5A9F">
        <w:rPr>
          <w:lang w:val="el-GR"/>
        </w:rPr>
        <w:t xml:space="preserve"> 99% όλων των ατόμων είχαν προστατευτικά επίπεδα αντισωμάτων έναντι  της διφθερίτιδας, του τετάνου και των τριών τύπων πολιομυελίτιδας.</w:t>
      </w:r>
    </w:p>
    <w:p w:rsidR="002B7471" w:rsidRPr="005D5A9F" w:rsidRDefault="002B7471" w:rsidP="002B7471">
      <w:pPr>
        <w:jc w:val="both"/>
        <w:rPr>
          <w:lang w:val="el-GR"/>
        </w:rPr>
      </w:pPr>
      <w:r w:rsidRPr="005D5A9F">
        <w:rPr>
          <w:lang w:val="el-GR"/>
        </w:rPr>
        <w:t>Δεν έχει ορισθεί ορολογική συσχέτιση της προστασίας για τα αντιγόνα του κοκκύτη. Οι τίτλοι αντισωμάτων στα τρία συστατικά του κοκκύτη ήταν σε όλες τις περιπτώσεις υψηλότεροι από αυτούς που παρατηρήθηκαν μετά από αρχικό εμβολιασμό με το παιδιατρικό συνδυασμένο ακκυταρικό εμβόλιο κοκκύτη (</w:t>
      </w:r>
      <w:proofErr w:type="spellStart"/>
      <w:r w:rsidRPr="005D5A9F">
        <w:t>DTPa</w:t>
      </w:r>
      <w:proofErr w:type="spellEnd"/>
      <w:r w:rsidRPr="005D5A9F">
        <w:rPr>
          <w:lang w:val="el-GR"/>
        </w:rPr>
        <w:t xml:space="preserve">, </w:t>
      </w:r>
      <w:proofErr w:type="spellStart"/>
      <w:r w:rsidRPr="005D5A9F">
        <w:rPr>
          <w:i/>
        </w:rPr>
        <w:t>Infanrix</w:t>
      </w:r>
      <w:proofErr w:type="spellEnd"/>
      <w:r w:rsidRPr="005D5A9F">
        <w:rPr>
          <w:lang w:val="el-GR"/>
        </w:rPr>
        <w:t xml:space="preserve">™), η αποτελεσματικότητα του οποίου αποδείχθηκε σε μια μελέτη αποτελεσματικότητας σε νοικοκυριά. Βάση αυτών των συγκρίσεων μπορεί επομένως να αναμένεται ότι το </w:t>
      </w:r>
      <w:proofErr w:type="spellStart"/>
      <w:r w:rsidRPr="005D5A9F">
        <w:rPr>
          <w:lang w:val="en-US"/>
        </w:rPr>
        <w:t>Infanrix</w:t>
      </w:r>
      <w:proofErr w:type="spellEnd"/>
      <w:r w:rsidRPr="005D5A9F">
        <w:rPr>
          <w:lang w:val="el-GR"/>
        </w:rPr>
        <w:t xml:space="preserve"> </w:t>
      </w:r>
      <w:r w:rsidRPr="005D5A9F">
        <w:t>Tetra</w:t>
      </w:r>
      <w:r w:rsidRPr="005D5A9F">
        <w:rPr>
          <w:lang w:val="el-GR"/>
        </w:rPr>
        <w:t xml:space="preserve"> θα παρέχει προστασία έναντι του κοκκύτη αν και ο βαθμός και η διάρκεια της προστασίας που παρέχονται από το εμβόλιο δεν έχουν υπολογισθεί.</w:t>
      </w:r>
    </w:p>
    <w:p w:rsidR="002B7471" w:rsidRPr="005D5A9F" w:rsidRDefault="002B7471" w:rsidP="002B7471">
      <w:pPr>
        <w:jc w:val="both"/>
        <w:rPr>
          <w:lang w:val="el-GR"/>
        </w:rPr>
      </w:pPr>
    </w:p>
    <w:p w:rsidR="002B7471" w:rsidRPr="00E40E76" w:rsidRDefault="002B7471" w:rsidP="002B7471">
      <w:pPr>
        <w:jc w:val="both"/>
        <w:rPr>
          <w:b/>
          <w:lang w:val="el-GR"/>
        </w:rPr>
      </w:pPr>
      <w:r w:rsidRPr="005D5A9F">
        <w:rPr>
          <w:b/>
          <w:lang w:val="el-GR"/>
        </w:rPr>
        <w:t>5.2</w:t>
      </w:r>
      <w:r w:rsidRPr="005D5A9F">
        <w:rPr>
          <w:b/>
          <w:lang w:val="el-GR"/>
        </w:rPr>
        <w:tab/>
        <w:t>Φαρμακοκινητικές ιδιότητες</w:t>
      </w:r>
    </w:p>
    <w:p w:rsidR="002B7471" w:rsidRPr="005D5A9F" w:rsidRDefault="002B7471" w:rsidP="002B7471">
      <w:pPr>
        <w:jc w:val="both"/>
        <w:rPr>
          <w:lang w:val="el-GR"/>
        </w:rPr>
      </w:pPr>
      <w:r w:rsidRPr="005D5A9F">
        <w:rPr>
          <w:lang w:val="el-GR"/>
        </w:rPr>
        <w:t>Για τα εμβόλια δεν απαιτείται αξιολόγηση των φαρμακοκινητικών ιδιοτήτων.</w:t>
      </w:r>
    </w:p>
    <w:p w:rsidR="002B7471" w:rsidRPr="005D5A9F" w:rsidRDefault="002B7471" w:rsidP="002B7471">
      <w:pPr>
        <w:jc w:val="both"/>
        <w:rPr>
          <w:lang w:val="el-GR"/>
        </w:rPr>
      </w:pPr>
    </w:p>
    <w:p w:rsidR="002B7471" w:rsidRPr="00E40E76" w:rsidRDefault="002B7471" w:rsidP="00E40E76">
      <w:pPr>
        <w:jc w:val="both"/>
        <w:rPr>
          <w:b/>
          <w:lang w:val="el-GR"/>
        </w:rPr>
      </w:pPr>
      <w:r w:rsidRPr="005D5A9F">
        <w:rPr>
          <w:b/>
          <w:lang w:val="el-GR"/>
        </w:rPr>
        <w:t>5.3</w:t>
      </w:r>
      <w:r w:rsidRPr="005D5A9F">
        <w:rPr>
          <w:b/>
          <w:lang w:val="el-GR"/>
        </w:rPr>
        <w:tab/>
        <w:t>Προκλινικά δεδομένα για την ασφάλεια</w:t>
      </w:r>
    </w:p>
    <w:p w:rsidR="002B7471" w:rsidRPr="005D5A9F" w:rsidRDefault="002B7471" w:rsidP="002B7471">
      <w:pPr>
        <w:jc w:val="both"/>
        <w:rPr>
          <w:lang w:val="el-GR"/>
        </w:rPr>
      </w:pPr>
      <w:r w:rsidRPr="005D5A9F">
        <w:rPr>
          <w:lang w:val="el-GR"/>
        </w:rPr>
        <w:t>Μη κλινικά στοιχεία καταδεικνύουν ότι τα συστατικά δεν παρουσιάζουν ιδιαίτερο κίνδυνο για τους ανθρώπους βάσει συμβατικών μελετών ασφάλειας, ειδικής τοξικότητας και συμβατότητας και συμβατότητας των εκδόχων.</w:t>
      </w:r>
    </w:p>
    <w:p w:rsidR="002B7471" w:rsidRPr="005D5A9F" w:rsidRDefault="002B7471" w:rsidP="002B7471">
      <w:pPr>
        <w:jc w:val="both"/>
        <w:rPr>
          <w:lang w:val="el-GR"/>
        </w:rPr>
      </w:pPr>
    </w:p>
    <w:p w:rsidR="002B7471" w:rsidRPr="005D5A9F" w:rsidRDefault="002B7471" w:rsidP="00E40E76">
      <w:pPr>
        <w:tabs>
          <w:tab w:val="left" w:pos="426"/>
        </w:tabs>
        <w:jc w:val="both"/>
        <w:rPr>
          <w:b/>
          <w:lang w:val="el-GR"/>
        </w:rPr>
      </w:pPr>
      <w:r w:rsidRPr="005D5A9F">
        <w:rPr>
          <w:b/>
          <w:lang w:val="el-GR"/>
        </w:rPr>
        <w:t>6.</w:t>
      </w:r>
      <w:r w:rsidRPr="005D5A9F">
        <w:rPr>
          <w:b/>
          <w:lang w:val="el-GR"/>
        </w:rPr>
        <w:tab/>
        <w:t xml:space="preserve"> </w:t>
      </w:r>
      <w:r w:rsidRPr="005D5A9F">
        <w:rPr>
          <w:b/>
          <w:lang w:val="el-GR"/>
        </w:rPr>
        <w:tab/>
        <w:t>ΦΑΡΜΑΚΕΥΤΙΚ</w:t>
      </w:r>
      <w:r>
        <w:rPr>
          <w:b/>
          <w:lang w:val="el-GR"/>
        </w:rPr>
        <w:t>ΕΣ</w:t>
      </w:r>
      <w:r w:rsidRPr="005D5A9F">
        <w:rPr>
          <w:b/>
          <w:lang w:val="el-GR"/>
        </w:rPr>
        <w:t xml:space="preserve"> </w:t>
      </w:r>
      <w:r>
        <w:rPr>
          <w:b/>
          <w:lang w:val="el-GR"/>
        </w:rPr>
        <w:t>ΠΛΗΡΟΦΟΡΙΕΣ</w:t>
      </w:r>
    </w:p>
    <w:p w:rsidR="002B7471" w:rsidRPr="005D5A9F" w:rsidRDefault="002B7471" w:rsidP="002B7471">
      <w:pPr>
        <w:jc w:val="both"/>
        <w:rPr>
          <w:b/>
          <w:lang w:val="el-GR"/>
        </w:rPr>
      </w:pPr>
      <w:r w:rsidRPr="005D5A9F">
        <w:rPr>
          <w:b/>
          <w:lang w:val="el-GR"/>
        </w:rPr>
        <w:t>6.1</w:t>
      </w:r>
      <w:r w:rsidRPr="005D5A9F">
        <w:rPr>
          <w:b/>
          <w:lang w:val="el-GR"/>
        </w:rPr>
        <w:tab/>
        <w:t>Κατάλογος εκδόχων</w:t>
      </w:r>
    </w:p>
    <w:p w:rsidR="002B7471" w:rsidRPr="005D5A9F" w:rsidRDefault="002B7471" w:rsidP="002B7471">
      <w:pPr>
        <w:jc w:val="both"/>
        <w:rPr>
          <w:lang w:val="el-GR"/>
        </w:rPr>
      </w:pPr>
      <w:r w:rsidRPr="005D5A9F">
        <w:rPr>
          <w:lang w:val="el-GR"/>
        </w:rPr>
        <w:t xml:space="preserve">Χλωριούχο νάτριο </w:t>
      </w:r>
    </w:p>
    <w:p w:rsidR="002B7471" w:rsidRPr="005D5A9F" w:rsidRDefault="002B7471" w:rsidP="002B7471">
      <w:pPr>
        <w:jc w:val="both"/>
        <w:rPr>
          <w:lang w:val="el-GR"/>
        </w:rPr>
      </w:pPr>
      <w:r w:rsidRPr="005D5A9F">
        <w:rPr>
          <w:lang w:val="el-GR"/>
        </w:rPr>
        <w:t xml:space="preserve">Μέσον 199 (περιέχει κυρίως αμινοξέα, μεταλλικά άλατα, βιταμίνες) </w:t>
      </w:r>
    </w:p>
    <w:p w:rsidR="002B7471" w:rsidRPr="005D5A9F" w:rsidRDefault="0037213B" w:rsidP="002B7471">
      <w:pPr>
        <w:jc w:val="both"/>
        <w:rPr>
          <w:lang w:val="el-GR"/>
        </w:rPr>
      </w:pPr>
      <w:r>
        <w:rPr>
          <w:lang w:val="el-GR"/>
        </w:rPr>
        <w:t>Ύ</w:t>
      </w:r>
      <w:r w:rsidR="002B7471" w:rsidRPr="005D5A9F">
        <w:rPr>
          <w:lang w:val="el-GR"/>
        </w:rPr>
        <w:t>δωρ</w:t>
      </w:r>
      <w:r>
        <w:rPr>
          <w:lang w:val="el-GR"/>
        </w:rPr>
        <w:t xml:space="preserve"> για ενέσιμα</w:t>
      </w:r>
    </w:p>
    <w:p w:rsidR="002B7471" w:rsidRPr="005D5A9F" w:rsidRDefault="002B7471" w:rsidP="002B7471">
      <w:pPr>
        <w:jc w:val="both"/>
        <w:rPr>
          <w:lang w:val="el-GR"/>
        </w:rPr>
      </w:pPr>
    </w:p>
    <w:p w:rsidR="002B7471" w:rsidRPr="005D5A9F" w:rsidRDefault="002B7471" w:rsidP="002B7471">
      <w:pPr>
        <w:jc w:val="both"/>
        <w:rPr>
          <w:lang w:val="el-GR"/>
        </w:rPr>
      </w:pPr>
      <w:r w:rsidRPr="005D5A9F">
        <w:rPr>
          <w:lang w:val="el-GR"/>
        </w:rPr>
        <w:t>Για τα ανοσοενισχυτικά βλέπε παράγραφο 2</w:t>
      </w:r>
    </w:p>
    <w:p w:rsidR="002B7471" w:rsidRPr="005D5A9F" w:rsidRDefault="002B7471" w:rsidP="002B7471">
      <w:pPr>
        <w:jc w:val="both"/>
        <w:rPr>
          <w:lang w:val="el-GR"/>
        </w:rPr>
      </w:pPr>
    </w:p>
    <w:p w:rsidR="002B7471" w:rsidRPr="00E40E76" w:rsidRDefault="002B7471" w:rsidP="002B7471">
      <w:pPr>
        <w:jc w:val="both"/>
        <w:rPr>
          <w:b/>
          <w:lang w:val="el-GR"/>
        </w:rPr>
      </w:pPr>
      <w:r w:rsidRPr="005D5A9F">
        <w:rPr>
          <w:b/>
          <w:lang w:val="el-GR"/>
        </w:rPr>
        <w:t>6.2</w:t>
      </w:r>
      <w:r w:rsidRPr="005D5A9F">
        <w:rPr>
          <w:b/>
          <w:lang w:val="el-GR"/>
        </w:rPr>
        <w:tab/>
        <w:t>Ασυμβατότητες</w:t>
      </w:r>
    </w:p>
    <w:p w:rsidR="002B7471" w:rsidRPr="005D5A9F" w:rsidRDefault="002B7471" w:rsidP="002B7471">
      <w:pPr>
        <w:ind w:right="33"/>
        <w:rPr>
          <w:lang w:val="el-GR"/>
        </w:rPr>
      </w:pPr>
      <w:r w:rsidRPr="005D5A9F">
        <w:rPr>
          <w:lang w:val="el-GR"/>
        </w:rPr>
        <w:t>Απουσία μελετών συμβατότητας αυτό το φαρμακευτικό προϊόν δεν πρέπει να αναμιγνύεται με άλλα φαρμακευτικά προϊόντα</w:t>
      </w:r>
    </w:p>
    <w:p w:rsidR="002B7471" w:rsidRPr="005D5A9F" w:rsidRDefault="002B7471" w:rsidP="002B7471">
      <w:pPr>
        <w:jc w:val="both"/>
        <w:rPr>
          <w:lang w:val="el-GR"/>
        </w:rPr>
      </w:pPr>
    </w:p>
    <w:p w:rsidR="002B7471" w:rsidRPr="00E40E76" w:rsidRDefault="002B7471" w:rsidP="002B7471">
      <w:pPr>
        <w:jc w:val="both"/>
        <w:rPr>
          <w:b/>
          <w:lang w:val="el-GR"/>
        </w:rPr>
      </w:pPr>
      <w:r w:rsidRPr="005D5A9F">
        <w:rPr>
          <w:b/>
          <w:lang w:val="el-GR"/>
        </w:rPr>
        <w:t>6.3</w:t>
      </w:r>
      <w:r w:rsidRPr="005D5A9F">
        <w:rPr>
          <w:b/>
          <w:lang w:val="el-GR"/>
        </w:rPr>
        <w:tab/>
        <w:t>Διάρκεια ζωής</w:t>
      </w:r>
    </w:p>
    <w:p w:rsidR="002B7471" w:rsidRPr="005D5A9F" w:rsidRDefault="002B7471" w:rsidP="002B7471">
      <w:pPr>
        <w:jc w:val="both"/>
        <w:rPr>
          <w:lang w:val="el-GR"/>
        </w:rPr>
      </w:pPr>
      <w:r w:rsidRPr="005D5A9F">
        <w:rPr>
          <w:lang w:val="el-GR"/>
        </w:rPr>
        <w:t>3 χρόνια</w:t>
      </w:r>
    </w:p>
    <w:p w:rsidR="002B7471" w:rsidRDefault="002B7471" w:rsidP="002B7471">
      <w:pPr>
        <w:jc w:val="both"/>
        <w:rPr>
          <w:lang w:val="el-GR"/>
        </w:rPr>
      </w:pPr>
    </w:p>
    <w:p w:rsidR="00E40E76" w:rsidRPr="005D5A9F" w:rsidRDefault="00E40E76" w:rsidP="002B7471">
      <w:pPr>
        <w:jc w:val="both"/>
        <w:rPr>
          <w:lang w:val="el-GR"/>
        </w:rPr>
      </w:pPr>
    </w:p>
    <w:p w:rsidR="002B7471" w:rsidRPr="005D5A9F" w:rsidRDefault="002B7471" w:rsidP="002B7471">
      <w:pPr>
        <w:jc w:val="both"/>
        <w:rPr>
          <w:b/>
          <w:lang w:val="el-GR"/>
        </w:rPr>
      </w:pPr>
      <w:r w:rsidRPr="005D5A9F">
        <w:rPr>
          <w:b/>
          <w:lang w:val="el-GR"/>
        </w:rPr>
        <w:t>6.4</w:t>
      </w:r>
      <w:r w:rsidRPr="005D5A9F">
        <w:rPr>
          <w:b/>
          <w:lang w:val="el-GR"/>
        </w:rPr>
        <w:tab/>
        <w:t>Ιδιαίτερες προφυλάξεις κατά τη φύλαξη του προϊόντος</w:t>
      </w:r>
    </w:p>
    <w:p w:rsidR="002B7471" w:rsidRPr="005D5A9F" w:rsidRDefault="002B7471" w:rsidP="002B7471">
      <w:pPr>
        <w:jc w:val="both"/>
        <w:rPr>
          <w:lang w:val="el-GR"/>
        </w:rPr>
      </w:pPr>
      <w:r w:rsidRPr="005D5A9F">
        <w:rPr>
          <w:lang w:val="el-GR"/>
        </w:rPr>
        <w:t>Φυλάσσεται σε ψυγείο (2</w:t>
      </w:r>
      <w:r w:rsidRPr="005D5A9F">
        <w:rPr>
          <w:vertAlign w:val="superscript"/>
          <w:lang w:val="el-GR"/>
        </w:rPr>
        <w:t>ο</w:t>
      </w:r>
      <w:r w:rsidRPr="005D5A9F">
        <w:t>C</w:t>
      </w:r>
      <w:r w:rsidRPr="005D5A9F">
        <w:rPr>
          <w:lang w:val="el-GR"/>
        </w:rPr>
        <w:t xml:space="preserve"> - 8</w:t>
      </w:r>
      <w:r w:rsidRPr="005D5A9F">
        <w:rPr>
          <w:vertAlign w:val="superscript"/>
          <w:lang w:val="el-GR"/>
        </w:rPr>
        <w:t>ο</w:t>
      </w:r>
      <w:r w:rsidRPr="005D5A9F">
        <w:t>C</w:t>
      </w:r>
      <w:r w:rsidRPr="005D5A9F">
        <w:rPr>
          <w:lang w:val="el-GR"/>
        </w:rPr>
        <w:t xml:space="preserve">). </w:t>
      </w:r>
    </w:p>
    <w:p w:rsidR="002B7471" w:rsidRPr="005D5A9F" w:rsidRDefault="002B7471" w:rsidP="00E40E76">
      <w:pPr>
        <w:jc w:val="both"/>
        <w:rPr>
          <w:lang w:val="el-GR"/>
        </w:rPr>
      </w:pPr>
      <w:r w:rsidRPr="005D5A9F">
        <w:rPr>
          <w:lang w:val="el-GR"/>
        </w:rPr>
        <w:t>Να μην καταψύχεται.</w:t>
      </w:r>
    </w:p>
    <w:p w:rsidR="002B7471" w:rsidRPr="005D5A9F" w:rsidRDefault="002B7471" w:rsidP="002B7471">
      <w:pPr>
        <w:pStyle w:val="ab"/>
        <w:tabs>
          <w:tab w:val="clear" w:pos="4153"/>
          <w:tab w:val="clear" w:pos="8306"/>
        </w:tabs>
        <w:jc w:val="both"/>
        <w:rPr>
          <w:rFonts w:ascii="Times New Roman" w:hAnsi="Times New Roman" w:cs="Times New Roman"/>
          <w:lang w:val="el-GR"/>
        </w:rPr>
      </w:pPr>
      <w:r w:rsidRPr="005D5A9F">
        <w:rPr>
          <w:rFonts w:ascii="Times New Roman" w:hAnsi="Times New Roman" w:cs="Times New Roman"/>
          <w:lang w:val="el-GR"/>
        </w:rPr>
        <w:t>Να φυλάσσεται στην αρχική συσκευασία, ώστε να προστατεύεται από το φως.</w:t>
      </w:r>
    </w:p>
    <w:p w:rsidR="002B7471" w:rsidRPr="005D5A9F" w:rsidRDefault="002B7471" w:rsidP="002B7471">
      <w:pPr>
        <w:ind w:right="33"/>
        <w:jc w:val="both"/>
        <w:rPr>
          <w:highlight w:val="yellow"/>
          <w:lang w:val="el-GR"/>
        </w:rPr>
      </w:pPr>
    </w:p>
    <w:p w:rsidR="002B7471" w:rsidRPr="00E40E76" w:rsidRDefault="002B7471" w:rsidP="002B7471">
      <w:pPr>
        <w:jc w:val="both"/>
        <w:rPr>
          <w:b/>
          <w:lang w:val="el-GR"/>
        </w:rPr>
      </w:pPr>
      <w:r w:rsidRPr="005D5A9F">
        <w:rPr>
          <w:b/>
          <w:lang w:val="el-GR"/>
        </w:rPr>
        <w:t>6.5</w:t>
      </w:r>
      <w:r w:rsidRPr="005D5A9F">
        <w:rPr>
          <w:b/>
          <w:lang w:val="el-GR"/>
        </w:rPr>
        <w:tab/>
        <w:t>Φύση και συστατικά του περιέκτη</w:t>
      </w:r>
    </w:p>
    <w:p w:rsidR="002B7471" w:rsidRPr="005D5A9F" w:rsidRDefault="002B7471" w:rsidP="002B7471">
      <w:pPr>
        <w:jc w:val="both"/>
        <w:rPr>
          <w:lang w:val="el-GR"/>
        </w:rPr>
      </w:pPr>
      <w:r w:rsidRPr="005D5A9F">
        <w:rPr>
          <w:lang w:val="el-GR"/>
        </w:rPr>
        <w:t>0</w:t>
      </w:r>
      <w:r w:rsidRPr="002B7471">
        <w:rPr>
          <w:lang w:val="el-GR"/>
        </w:rPr>
        <w:t>,</w:t>
      </w:r>
      <w:r w:rsidRPr="005D5A9F">
        <w:rPr>
          <w:lang w:val="el-GR"/>
        </w:rPr>
        <w:t xml:space="preserve">5 </w:t>
      </w:r>
      <w:r w:rsidRPr="005D5A9F">
        <w:t>ml</w:t>
      </w:r>
      <w:r w:rsidRPr="005D5A9F">
        <w:rPr>
          <w:lang w:val="el-GR"/>
        </w:rPr>
        <w:t xml:space="preserve"> ενέσιμου εναιωρήματος σε μία προγεμισμένη σύριγγ</w:t>
      </w:r>
      <w:r w:rsidR="0037213B">
        <w:rPr>
          <w:lang w:val="el-GR"/>
        </w:rPr>
        <w:t>α (γυαλί τύπου Ι) με πώμα (βουτύ</w:t>
      </w:r>
      <w:r w:rsidRPr="005D5A9F">
        <w:rPr>
          <w:lang w:val="el-GR"/>
        </w:rPr>
        <w:t>λιο) - συσκευασίες 1 ή 10 με ή χωρίς βελόνες.</w:t>
      </w:r>
    </w:p>
    <w:p w:rsidR="002B7471" w:rsidRPr="005D5A9F" w:rsidRDefault="002B7471" w:rsidP="002B7471">
      <w:pPr>
        <w:rPr>
          <w:lang w:val="el-GR"/>
        </w:rPr>
      </w:pPr>
      <w:r w:rsidRPr="005D5A9F">
        <w:rPr>
          <w:lang w:val="el-GR"/>
        </w:rPr>
        <w:t>Μπορεί να μη κυκλοφορούν όλες οι συσκευασίες</w:t>
      </w:r>
    </w:p>
    <w:p w:rsidR="002B7471" w:rsidRPr="005D5A9F" w:rsidRDefault="002B7471" w:rsidP="002B7471">
      <w:pPr>
        <w:jc w:val="both"/>
        <w:rPr>
          <w:lang w:val="el-GR"/>
        </w:rPr>
      </w:pPr>
    </w:p>
    <w:p w:rsidR="002B7471" w:rsidRPr="00E40E76" w:rsidRDefault="002B7471" w:rsidP="002B7471">
      <w:pPr>
        <w:jc w:val="both"/>
        <w:rPr>
          <w:b/>
          <w:lang w:val="el-GR"/>
        </w:rPr>
      </w:pPr>
      <w:r w:rsidRPr="005D5A9F">
        <w:rPr>
          <w:b/>
          <w:lang w:val="el-GR"/>
        </w:rPr>
        <w:t>6.6</w:t>
      </w:r>
      <w:r w:rsidRPr="005D5A9F">
        <w:rPr>
          <w:b/>
          <w:lang w:val="el-GR"/>
        </w:rPr>
        <w:tab/>
      </w:r>
      <w:r w:rsidRPr="005D5A9F">
        <w:rPr>
          <w:b/>
          <w:noProof/>
          <w:lang w:val="el-GR"/>
        </w:rPr>
        <w:t>Ιδιαίτερες προφυλάξεις απόρριψης</w:t>
      </w:r>
      <w:r>
        <w:rPr>
          <w:b/>
          <w:noProof/>
          <w:lang w:val="el-GR"/>
        </w:rPr>
        <w:t xml:space="preserve"> και άλλος χειρισμός</w:t>
      </w:r>
    </w:p>
    <w:p w:rsidR="002B7471" w:rsidRPr="005D5A9F" w:rsidRDefault="002B7471" w:rsidP="002B7471">
      <w:pPr>
        <w:jc w:val="both"/>
        <w:rPr>
          <w:lang w:val="el-GR"/>
        </w:rPr>
      </w:pPr>
      <w:r w:rsidRPr="005D5A9F">
        <w:rPr>
          <w:lang w:val="el-GR"/>
        </w:rPr>
        <w:lastRenderedPageBreak/>
        <w:t>Κατά τη φύλαξη, ένα λευκό ίζημα με διαυγές υπερκείμενο υγρό μπορεί να παρατηρηθεί. Κάτι τέτοιο δεν αποτελεί σημείο κακής ποιότητας του εμβολίου.</w:t>
      </w:r>
    </w:p>
    <w:p w:rsidR="002B7471" w:rsidRPr="005D5A9F" w:rsidRDefault="002B7471" w:rsidP="002B7471">
      <w:pPr>
        <w:jc w:val="both"/>
        <w:rPr>
          <w:lang w:val="el-GR"/>
        </w:rPr>
      </w:pPr>
      <w:r w:rsidRPr="005D5A9F">
        <w:rPr>
          <w:lang w:val="el-GR"/>
        </w:rPr>
        <w:t xml:space="preserve">Η σύριγγα πρέπει να ανακινείται καλά μέχρις ότου ληφθεί ένα ομογενές θολό λευκό εναιώρημα. </w:t>
      </w:r>
    </w:p>
    <w:p w:rsidR="002B7471" w:rsidRPr="00E40E76" w:rsidRDefault="002B7471" w:rsidP="00E40E76">
      <w:pPr>
        <w:jc w:val="both"/>
        <w:rPr>
          <w:lang w:val="el-GR"/>
        </w:rPr>
      </w:pPr>
      <w:r w:rsidRPr="005D5A9F">
        <w:rPr>
          <w:lang w:val="el-GR"/>
        </w:rPr>
        <w:t>Το εναιώρημα πρέπει να ελέγχεται οπτικά για ύπαρξη τυχόν ξένων σωματιδίων ύλης και/ή διαφοροποίησης της φυσικής του κατάστασης. Στην περίπτωση που παρατηρηθεί οποιοδήποτε από αυτά, πετάξτε το εμβόλιο.</w:t>
      </w:r>
    </w:p>
    <w:p w:rsidR="002B7471" w:rsidRPr="005D5A9F" w:rsidRDefault="002B7471" w:rsidP="002B7471">
      <w:pPr>
        <w:jc w:val="both"/>
        <w:rPr>
          <w:lang w:val="el-GR"/>
        </w:rPr>
      </w:pPr>
      <w:r w:rsidRPr="005D5A9F">
        <w:rPr>
          <w:lang w:val="el-GR"/>
        </w:rPr>
        <w:t>Κάθε μη χρησιμοποιημένο προϊόν ή τα υπολείμματα πρέπει να απορρίπτονται σύμφωνα με τις τοπικές συστάσεις.</w:t>
      </w:r>
    </w:p>
    <w:p w:rsidR="002B7471" w:rsidRPr="003703B5" w:rsidRDefault="002B7471" w:rsidP="002B7471">
      <w:pPr>
        <w:jc w:val="both"/>
        <w:rPr>
          <w:lang w:val="el-GR"/>
        </w:rPr>
      </w:pPr>
    </w:p>
    <w:p w:rsidR="002B7471" w:rsidRPr="00E40E76" w:rsidRDefault="002B7471" w:rsidP="00E40E76">
      <w:pPr>
        <w:jc w:val="both"/>
        <w:rPr>
          <w:b/>
          <w:lang w:val="el-GR"/>
        </w:rPr>
      </w:pPr>
      <w:r w:rsidRPr="005D5A9F">
        <w:rPr>
          <w:b/>
          <w:lang w:val="el-GR"/>
        </w:rPr>
        <w:t>7</w:t>
      </w:r>
      <w:r w:rsidRPr="003703B5">
        <w:rPr>
          <w:b/>
          <w:lang w:val="el-GR"/>
        </w:rPr>
        <w:t>.</w:t>
      </w:r>
      <w:r w:rsidRPr="005D5A9F">
        <w:rPr>
          <w:b/>
          <w:lang w:val="el-GR"/>
        </w:rPr>
        <w:tab/>
      </w:r>
      <w:r>
        <w:rPr>
          <w:b/>
          <w:lang w:val="el-GR"/>
        </w:rPr>
        <w:t>ΚΑΤΟΧΟΣ ΑΔΕΙΑΣ ΚΥΚΛΟΦΟΡΙΑΣ</w:t>
      </w:r>
    </w:p>
    <w:p w:rsidR="002B7471" w:rsidRPr="00E40E76" w:rsidRDefault="002B7471" w:rsidP="002B7471">
      <w:pPr>
        <w:jc w:val="both"/>
        <w:rPr>
          <w:lang w:val="el-GR"/>
        </w:rPr>
      </w:pPr>
      <w:r w:rsidRPr="005D5A9F">
        <w:rPr>
          <w:lang w:val="el-GR"/>
        </w:rPr>
        <w:t>Δικαιούχος</w:t>
      </w:r>
      <w:r w:rsidRPr="00E40E76">
        <w:rPr>
          <w:lang w:val="el-GR"/>
        </w:rPr>
        <w:t xml:space="preserve"> </w:t>
      </w:r>
      <w:r w:rsidRPr="005D5A9F">
        <w:rPr>
          <w:lang w:val="el-GR"/>
        </w:rPr>
        <w:t>Σήματος</w:t>
      </w:r>
      <w:r w:rsidRPr="00E40E76">
        <w:rPr>
          <w:lang w:val="el-GR"/>
        </w:rPr>
        <w:t xml:space="preserve">: </w:t>
      </w:r>
      <w:r w:rsidRPr="005D5A9F">
        <w:rPr>
          <w:lang w:val="en-US"/>
        </w:rPr>
        <w:t>SmithKline</w:t>
      </w:r>
      <w:r w:rsidRPr="00E40E76">
        <w:rPr>
          <w:lang w:val="el-GR"/>
        </w:rPr>
        <w:t xml:space="preserve"> </w:t>
      </w:r>
      <w:r w:rsidRPr="005D5A9F">
        <w:rPr>
          <w:lang w:val="en-US"/>
        </w:rPr>
        <w:t>Beecham</w:t>
      </w:r>
      <w:r w:rsidRPr="00E40E76">
        <w:rPr>
          <w:lang w:val="el-GR"/>
        </w:rPr>
        <w:t xml:space="preserve"> </w:t>
      </w:r>
      <w:r w:rsidRPr="005D5A9F">
        <w:rPr>
          <w:lang w:val="en-US"/>
        </w:rPr>
        <w:t>Plc</w:t>
      </w:r>
      <w:r w:rsidRPr="00E40E76">
        <w:rPr>
          <w:lang w:val="el-GR"/>
        </w:rPr>
        <w:t xml:space="preserve">, </w:t>
      </w:r>
      <w:r w:rsidRPr="005D5A9F">
        <w:t>England</w:t>
      </w:r>
    </w:p>
    <w:p w:rsidR="002B7471" w:rsidRPr="005D5A9F" w:rsidRDefault="002B7471" w:rsidP="002B7471">
      <w:pPr>
        <w:jc w:val="both"/>
        <w:rPr>
          <w:lang w:val="el-GR"/>
        </w:rPr>
      </w:pPr>
      <w:r w:rsidRPr="005D5A9F">
        <w:rPr>
          <w:lang w:val="el-GR"/>
        </w:rPr>
        <w:t>Υπεύθυνος Κυκλοφορίας στην Ελλάδα:</w:t>
      </w:r>
    </w:p>
    <w:p w:rsidR="002B7471" w:rsidRPr="005D5A9F" w:rsidRDefault="002B7471" w:rsidP="002B7471">
      <w:pPr>
        <w:jc w:val="both"/>
        <w:rPr>
          <w:lang w:val="el-GR"/>
        </w:rPr>
      </w:pPr>
      <w:r w:rsidRPr="005D5A9F">
        <w:rPr>
          <w:lang w:val="en-US"/>
        </w:rPr>
        <w:t>GlaxoSmithKline</w:t>
      </w:r>
      <w:r w:rsidRPr="005D5A9F">
        <w:rPr>
          <w:lang w:val="el-GR"/>
        </w:rPr>
        <w:t xml:space="preserve"> </w:t>
      </w:r>
      <w:r w:rsidRPr="005D5A9F">
        <w:rPr>
          <w:lang w:val="en-US"/>
        </w:rPr>
        <w:t>A</w:t>
      </w:r>
      <w:r w:rsidRPr="005D5A9F">
        <w:rPr>
          <w:lang w:val="el-GR"/>
        </w:rPr>
        <w:t>.</w:t>
      </w:r>
      <w:r w:rsidRPr="005D5A9F">
        <w:rPr>
          <w:lang w:val="en-US"/>
        </w:rPr>
        <w:t>E</w:t>
      </w:r>
      <w:r w:rsidRPr="005D5A9F">
        <w:rPr>
          <w:lang w:val="el-GR"/>
        </w:rPr>
        <w:t>.</w:t>
      </w:r>
      <w:r w:rsidRPr="005D5A9F">
        <w:rPr>
          <w:lang w:val="en-US"/>
        </w:rPr>
        <w:t>B</w:t>
      </w:r>
      <w:r w:rsidRPr="005D5A9F">
        <w:rPr>
          <w:lang w:val="el-GR"/>
        </w:rPr>
        <w:t>.</w:t>
      </w:r>
      <w:r w:rsidRPr="005D5A9F">
        <w:rPr>
          <w:lang w:val="en-US"/>
        </w:rPr>
        <w:t>E</w:t>
      </w:r>
      <w:r w:rsidRPr="005D5A9F">
        <w:rPr>
          <w:lang w:val="el-GR"/>
        </w:rPr>
        <w:t xml:space="preserve"> </w:t>
      </w:r>
    </w:p>
    <w:p w:rsidR="002B7471" w:rsidRPr="005D5A9F" w:rsidRDefault="002B7471" w:rsidP="002B7471">
      <w:pPr>
        <w:jc w:val="both"/>
        <w:rPr>
          <w:lang w:val="el-GR"/>
        </w:rPr>
      </w:pPr>
      <w:r w:rsidRPr="005D5A9F">
        <w:rPr>
          <w:lang w:val="el-GR"/>
        </w:rPr>
        <w:t xml:space="preserve">Λεωφ. Κηφισίας 266 </w:t>
      </w:r>
    </w:p>
    <w:p w:rsidR="002B7471" w:rsidRPr="005D5A9F" w:rsidRDefault="002B7471" w:rsidP="002B7471">
      <w:pPr>
        <w:jc w:val="both"/>
        <w:rPr>
          <w:lang w:val="el-GR"/>
        </w:rPr>
      </w:pPr>
      <w:r w:rsidRPr="005D5A9F">
        <w:rPr>
          <w:lang w:val="el-GR"/>
        </w:rPr>
        <w:t>152 32 Χαλάνδρι</w:t>
      </w:r>
    </w:p>
    <w:p w:rsidR="002B7471" w:rsidRPr="005D5A9F" w:rsidRDefault="002B7471" w:rsidP="002B7471">
      <w:pPr>
        <w:jc w:val="both"/>
        <w:rPr>
          <w:lang w:val="el-GR"/>
        </w:rPr>
      </w:pPr>
      <w:r w:rsidRPr="005D5A9F">
        <w:rPr>
          <w:lang w:val="el-GR"/>
        </w:rPr>
        <w:t>Αθήνα</w:t>
      </w:r>
    </w:p>
    <w:p w:rsidR="002B7471" w:rsidRPr="005D5A9F" w:rsidRDefault="002B7471" w:rsidP="002B7471">
      <w:pPr>
        <w:jc w:val="both"/>
        <w:rPr>
          <w:lang w:val="el-GR"/>
        </w:rPr>
      </w:pPr>
      <w:r w:rsidRPr="005D5A9F">
        <w:rPr>
          <w:lang w:val="el-GR"/>
        </w:rPr>
        <w:t>Τηλ: 210 6882100</w:t>
      </w:r>
    </w:p>
    <w:p w:rsidR="002B7471" w:rsidRPr="005D5A9F" w:rsidRDefault="002B7471" w:rsidP="002B7471">
      <w:pPr>
        <w:jc w:val="both"/>
        <w:rPr>
          <w:lang w:val="el-GR"/>
        </w:rPr>
      </w:pPr>
    </w:p>
    <w:p w:rsidR="002B7471" w:rsidRPr="005D5A9F" w:rsidRDefault="002B7471" w:rsidP="002B7471">
      <w:pPr>
        <w:jc w:val="both"/>
        <w:rPr>
          <w:b/>
          <w:lang w:val="el-GR"/>
        </w:rPr>
      </w:pPr>
      <w:r w:rsidRPr="003703B5">
        <w:rPr>
          <w:b/>
          <w:lang w:val="el-GR"/>
        </w:rPr>
        <w:t>8</w:t>
      </w:r>
      <w:r w:rsidRPr="005D5A9F">
        <w:rPr>
          <w:b/>
          <w:lang w:val="el-GR"/>
        </w:rPr>
        <w:t>.</w:t>
      </w:r>
      <w:r w:rsidRPr="005D5A9F">
        <w:rPr>
          <w:b/>
          <w:lang w:val="el-GR"/>
        </w:rPr>
        <w:tab/>
        <w:t>ΑΡΙΘΜΟΣ ΑΔΕΙΑΣ ΚΥΚΛΟΦΟΡΙΑΣ</w:t>
      </w:r>
    </w:p>
    <w:p w:rsidR="002B7471" w:rsidRPr="005D5A9F" w:rsidRDefault="002B7471" w:rsidP="002B7471">
      <w:pPr>
        <w:jc w:val="both"/>
        <w:rPr>
          <w:lang w:val="el-GR"/>
        </w:rPr>
      </w:pPr>
      <w:r w:rsidRPr="005D5A9F">
        <w:rPr>
          <w:b/>
          <w:lang w:val="el-GR"/>
        </w:rPr>
        <w:t>Κωδικός ιδιοσκευάσματος</w:t>
      </w:r>
      <w:r w:rsidRPr="005D5A9F">
        <w:rPr>
          <w:lang w:val="el-GR"/>
        </w:rPr>
        <w:t xml:space="preserve">: </w:t>
      </w:r>
    </w:p>
    <w:p w:rsidR="002B7471" w:rsidRPr="005D5A9F" w:rsidRDefault="002B7471" w:rsidP="002B7471">
      <w:pPr>
        <w:jc w:val="both"/>
        <w:rPr>
          <w:lang w:val="el-GR"/>
        </w:rPr>
      </w:pPr>
    </w:p>
    <w:p w:rsidR="002B7471" w:rsidRPr="00E40E76" w:rsidRDefault="002B7471" w:rsidP="00E40E76">
      <w:pPr>
        <w:rPr>
          <w:noProof/>
          <w:lang w:val="el-GR"/>
        </w:rPr>
      </w:pPr>
      <w:r w:rsidRPr="003703B5">
        <w:rPr>
          <w:b/>
          <w:lang w:val="el-GR"/>
        </w:rPr>
        <w:t>9</w:t>
      </w:r>
      <w:r w:rsidRPr="005D5A9F">
        <w:rPr>
          <w:b/>
          <w:lang w:val="el-GR"/>
        </w:rPr>
        <w:t>.</w:t>
      </w:r>
      <w:r w:rsidRPr="005D5A9F">
        <w:rPr>
          <w:b/>
          <w:lang w:val="el-GR"/>
        </w:rPr>
        <w:tab/>
      </w:r>
      <w:r w:rsidRPr="005D5A9F">
        <w:rPr>
          <w:b/>
          <w:noProof/>
          <w:lang w:val="el-GR"/>
        </w:rPr>
        <w:t>ΑΡΙΘΜΟΣ(ΟΙ) ΑΔΕΙΑΣ ΚΥΚΛΟΦΟΡΙΑΣ</w:t>
      </w:r>
    </w:p>
    <w:p w:rsidR="002B7471" w:rsidRPr="005D5A9F" w:rsidRDefault="002B7471" w:rsidP="002B7471">
      <w:pPr>
        <w:jc w:val="both"/>
        <w:rPr>
          <w:b/>
          <w:lang w:val="el-GR"/>
        </w:rPr>
      </w:pPr>
    </w:p>
    <w:p w:rsidR="002B7471" w:rsidRPr="005D5A9F" w:rsidRDefault="002B7471" w:rsidP="002B7471">
      <w:pPr>
        <w:jc w:val="both"/>
        <w:rPr>
          <w:b/>
          <w:lang w:val="el-GR"/>
        </w:rPr>
      </w:pPr>
      <w:r w:rsidRPr="003703B5">
        <w:rPr>
          <w:b/>
          <w:lang w:val="el-GR"/>
        </w:rPr>
        <w:t>10</w:t>
      </w:r>
      <w:r w:rsidRPr="005D5A9F">
        <w:rPr>
          <w:b/>
          <w:lang w:val="el-GR"/>
        </w:rPr>
        <w:t>.</w:t>
      </w:r>
      <w:r w:rsidRPr="005D5A9F">
        <w:rPr>
          <w:b/>
          <w:lang w:val="el-GR"/>
        </w:rPr>
        <w:tab/>
        <w:t xml:space="preserve">ΗΜΕΡΟΜΗΝΙΑ ΠΡΩΤΗΣ </w:t>
      </w:r>
      <w:r w:rsidRPr="005D5A9F">
        <w:rPr>
          <w:b/>
          <w:noProof/>
          <w:lang w:val="el-GR"/>
        </w:rPr>
        <w:t xml:space="preserve">ΕΓΚΡΙΣΗΣ / ΑΝΑΝΕΩΣΗΣ ΤΗΣ </w:t>
      </w:r>
      <w:r w:rsidRPr="005D5A9F">
        <w:rPr>
          <w:b/>
          <w:lang w:val="el-GR"/>
        </w:rPr>
        <w:t>ΑΔΕΙΑΣ</w:t>
      </w:r>
    </w:p>
    <w:p w:rsidR="002B7471" w:rsidRPr="005D5A9F" w:rsidRDefault="002B7471" w:rsidP="002B7471">
      <w:pPr>
        <w:jc w:val="both"/>
        <w:rPr>
          <w:lang w:val="el-GR"/>
        </w:rPr>
      </w:pPr>
    </w:p>
    <w:p w:rsidR="002B7471" w:rsidRPr="005D5A9F" w:rsidRDefault="002B7471" w:rsidP="002B7471">
      <w:pPr>
        <w:rPr>
          <w:b/>
          <w:noProof/>
          <w:lang w:val="el-GR"/>
        </w:rPr>
      </w:pPr>
      <w:r w:rsidRPr="005D5A9F">
        <w:rPr>
          <w:b/>
          <w:noProof/>
          <w:lang w:val="el-GR"/>
        </w:rPr>
        <w:t>1</w:t>
      </w:r>
      <w:r>
        <w:rPr>
          <w:b/>
          <w:noProof/>
          <w:lang w:val="en-US"/>
        </w:rPr>
        <w:t>1</w:t>
      </w:r>
      <w:r w:rsidRPr="005D5A9F">
        <w:rPr>
          <w:b/>
          <w:noProof/>
          <w:lang w:val="el-GR"/>
        </w:rPr>
        <w:t>.</w:t>
      </w:r>
      <w:r w:rsidRPr="005D5A9F">
        <w:rPr>
          <w:b/>
          <w:noProof/>
          <w:lang w:val="el-GR"/>
        </w:rPr>
        <w:tab/>
        <w:t>ΗΜΕΡΟΜΗΝΙΑ ΑΝΑΘΕΩΡΗΣΗΣ ΤΟΥ ΚΕΙΜΕΝΟΥ</w:t>
      </w:r>
    </w:p>
    <w:p w:rsidR="002B7471" w:rsidRPr="005D5A9F" w:rsidRDefault="002B7471" w:rsidP="002B7471">
      <w:pPr>
        <w:jc w:val="both"/>
        <w:rPr>
          <w:lang w:val="el-GR"/>
        </w:rPr>
      </w:pPr>
    </w:p>
    <w:p w:rsidR="002B7471" w:rsidRPr="005D5A9F" w:rsidRDefault="002B7471" w:rsidP="002B7471">
      <w:pPr>
        <w:jc w:val="both"/>
        <w:rPr>
          <w:lang w:val="el-GR"/>
        </w:rPr>
      </w:pPr>
    </w:p>
    <w:p w:rsidR="002B7471" w:rsidRPr="005D5A9F" w:rsidRDefault="002B7471" w:rsidP="002B7471">
      <w:pPr>
        <w:jc w:val="both"/>
        <w:rPr>
          <w:lang w:val="el-GR"/>
        </w:rPr>
      </w:pPr>
    </w:p>
    <w:p w:rsidR="002B7471" w:rsidRPr="005D5A9F" w:rsidRDefault="002B7471" w:rsidP="002B7471">
      <w:pPr>
        <w:jc w:val="both"/>
        <w:rPr>
          <w:lang w:val="el-GR"/>
        </w:rPr>
      </w:pPr>
    </w:p>
    <w:p w:rsidR="00D30C50" w:rsidRDefault="00D30C50"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l-GR"/>
        </w:rPr>
      </w:pPr>
    </w:p>
    <w:p w:rsidR="00743963" w:rsidRDefault="00743963"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Default="00C21F22" w:rsidP="00B3766F">
      <w:pPr>
        <w:rPr>
          <w:lang w:val="en-US"/>
        </w:rPr>
      </w:pPr>
    </w:p>
    <w:p w:rsidR="00C21F22" w:rsidRPr="00C21F22" w:rsidRDefault="00C21F22" w:rsidP="00B3766F">
      <w:pPr>
        <w:rPr>
          <w:lang w:val="en-US"/>
        </w:rPr>
      </w:pPr>
    </w:p>
    <w:p w:rsidR="00743963" w:rsidRDefault="00743963" w:rsidP="00B3766F">
      <w:pPr>
        <w:rPr>
          <w:lang w:val="el-GR"/>
        </w:rPr>
      </w:pPr>
    </w:p>
    <w:sectPr w:rsidR="00743963" w:rsidSect="008327CC">
      <w:headerReference w:type="default" r:id="rId8"/>
      <w:footerReference w:type="default" r:id="rId9"/>
      <w:pgSz w:w="11907" w:h="16840" w:code="9"/>
      <w:pgMar w:top="1418" w:right="1418" w:bottom="851" w:left="1418" w:header="737" w:footer="73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BC" w:rsidRDefault="008864BC">
      <w:r>
        <w:separator/>
      </w:r>
    </w:p>
  </w:endnote>
  <w:endnote w:type="continuationSeparator" w:id="0">
    <w:p w:rsidR="008864BC" w:rsidRDefault="008864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A5" w:rsidRDefault="002B7DA5">
    <w:pPr>
      <w:pStyle w:val="a8"/>
      <w:rPr>
        <w:rStyle w:val="ac"/>
      </w:rPr>
    </w:pPr>
    <w:r>
      <w:tab/>
    </w:r>
    <w:r>
      <w:tab/>
    </w:r>
    <w:r w:rsidR="00F15377">
      <w:rPr>
        <w:rStyle w:val="ac"/>
      </w:rPr>
      <w:fldChar w:fldCharType="begin"/>
    </w:r>
    <w:r>
      <w:rPr>
        <w:rStyle w:val="ac"/>
      </w:rPr>
      <w:instrText xml:space="preserve"> PAGE </w:instrText>
    </w:r>
    <w:r w:rsidR="00F15377">
      <w:rPr>
        <w:rStyle w:val="ac"/>
      </w:rPr>
      <w:fldChar w:fldCharType="separate"/>
    </w:r>
    <w:r w:rsidR="00D907FF">
      <w:rPr>
        <w:rStyle w:val="ac"/>
        <w:noProof/>
      </w:rPr>
      <w:t>7</w:t>
    </w:r>
    <w:r w:rsidR="00F15377">
      <w:rPr>
        <w:rStyle w:val="a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BC" w:rsidRDefault="008864BC">
      <w:r>
        <w:separator/>
      </w:r>
    </w:p>
  </w:footnote>
  <w:footnote w:type="continuationSeparator" w:id="0">
    <w:p w:rsidR="008864BC" w:rsidRDefault="008864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A5" w:rsidRDefault="002B7D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24433C"/>
    <w:lvl w:ilvl="0">
      <w:numFmt w:val="decimal"/>
      <w:lvlText w:val="*"/>
      <w:lvlJc w:val="left"/>
    </w:lvl>
  </w:abstractNum>
  <w:abstractNum w:abstractNumId="1">
    <w:nsid w:val="01596732"/>
    <w:multiLevelType w:val="multilevel"/>
    <w:tmpl w:val="FFFFFFFF"/>
    <w:lvl w:ilvl="0">
      <w:start w:val="1"/>
      <w:numFmt w:val="bullet"/>
      <w:lvlText w:val=""/>
      <w:lvlJc w:val="left"/>
      <w:pPr>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E250D0"/>
    <w:multiLevelType w:val="multilevel"/>
    <w:tmpl w:val="EF66B60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9A654CF"/>
    <w:multiLevelType w:val="hybridMultilevel"/>
    <w:tmpl w:val="80D274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AE9499D"/>
    <w:multiLevelType w:val="multilevel"/>
    <w:tmpl w:val="9454EE18"/>
    <w:lvl w:ilvl="0">
      <w:start w:val="1"/>
      <w:numFmt w:val="bullet"/>
      <w:lvlText w:val=""/>
      <w:lvlJc w:val="left"/>
      <w:pPr>
        <w:tabs>
          <w:tab w:val="num" w:pos="360"/>
        </w:tabs>
        <w:ind w:left="284" w:hanging="284"/>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0001AC"/>
    <w:multiLevelType w:val="singleLevel"/>
    <w:tmpl w:val="08090017"/>
    <w:lvl w:ilvl="0">
      <w:start w:val="3"/>
      <w:numFmt w:val="lowerLetter"/>
      <w:lvlText w:val="%1)"/>
      <w:lvlJc w:val="left"/>
      <w:pPr>
        <w:tabs>
          <w:tab w:val="num" w:pos="360"/>
        </w:tabs>
        <w:ind w:left="360" w:hanging="360"/>
      </w:pPr>
      <w:rPr>
        <w:rFonts w:hint="default"/>
        <w:b w:val="0"/>
        <w:u w:val="none"/>
      </w:rPr>
    </w:lvl>
  </w:abstractNum>
  <w:abstractNum w:abstractNumId="6">
    <w:nsid w:val="0F932F60"/>
    <w:multiLevelType w:val="multilevel"/>
    <w:tmpl w:val="1D3874C4"/>
    <w:lvl w:ilvl="0">
      <w:start w:val="4"/>
      <w:numFmt w:val="bullet"/>
      <w:lvlText w:val="-"/>
      <w:lvlJc w:val="left"/>
      <w:pPr>
        <w:tabs>
          <w:tab w:val="num" w:pos="644"/>
        </w:tabs>
        <w:ind w:left="64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D23A4"/>
    <w:multiLevelType w:val="multilevel"/>
    <w:tmpl w:val="0646E5A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EE14E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196D337F"/>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10">
    <w:nsid w:val="1A847CF1"/>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11">
    <w:nsid w:val="1DDC3A49"/>
    <w:multiLevelType w:val="hybridMultilevel"/>
    <w:tmpl w:val="E98E98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4311F4"/>
    <w:multiLevelType w:val="singleLevel"/>
    <w:tmpl w:val="B226E8E0"/>
    <w:lvl w:ilvl="0">
      <w:numFmt w:val="bullet"/>
      <w:lvlText w:val="-"/>
      <w:lvlJc w:val="left"/>
      <w:pPr>
        <w:ind w:left="360" w:hanging="360"/>
      </w:pPr>
      <w:rPr>
        <w:rFonts w:ascii="Arial" w:eastAsia="Times New Roman" w:hAnsi="Arial" w:hint="default"/>
        <w:color w:val="auto"/>
      </w:rPr>
    </w:lvl>
  </w:abstractNum>
  <w:abstractNum w:abstractNumId="13">
    <w:nsid w:val="1F6225C1"/>
    <w:multiLevelType w:val="singleLevel"/>
    <w:tmpl w:val="D8D61024"/>
    <w:lvl w:ilvl="0">
      <w:start w:val="1"/>
      <w:numFmt w:val="bullet"/>
      <w:lvlText w:val=""/>
      <w:lvlJc w:val="left"/>
      <w:pPr>
        <w:tabs>
          <w:tab w:val="num" w:pos="360"/>
        </w:tabs>
        <w:ind w:left="284" w:hanging="284"/>
      </w:pPr>
      <w:rPr>
        <w:rFonts w:ascii="Symbol" w:hAnsi="Symbol" w:hint="default"/>
      </w:rPr>
    </w:lvl>
  </w:abstractNum>
  <w:abstractNum w:abstractNumId="14">
    <w:nsid w:val="20080EB5"/>
    <w:multiLevelType w:val="hybridMultilevel"/>
    <w:tmpl w:val="BF04A69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5">
    <w:nsid w:val="203C503C"/>
    <w:multiLevelType w:val="singleLevel"/>
    <w:tmpl w:val="A22043B2"/>
    <w:lvl w:ilvl="0">
      <w:start w:val="2"/>
      <w:numFmt w:val="bullet"/>
      <w:lvlText w:val="-"/>
      <w:lvlJc w:val="left"/>
      <w:pPr>
        <w:tabs>
          <w:tab w:val="num" w:pos="360"/>
        </w:tabs>
        <w:ind w:left="360" w:hanging="360"/>
      </w:pPr>
      <w:rPr>
        <w:rFonts w:hint="default"/>
      </w:rPr>
    </w:lvl>
  </w:abstractNum>
  <w:abstractNum w:abstractNumId="16">
    <w:nsid w:val="20657BDA"/>
    <w:multiLevelType w:val="multilevel"/>
    <w:tmpl w:val="9A5C2850"/>
    <w:lvl w:ilvl="0">
      <w:start w:val="1"/>
      <w:numFmt w:val="bullet"/>
      <w:lvlText w:val=""/>
      <w:lvlJc w:val="left"/>
      <w:pPr>
        <w:tabs>
          <w:tab w:val="num" w:pos="360"/>
        </w:tabs>
        <w:ind w:left="284" w:hanging="284"/>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1462E7F"/>
    <w:multiLevelType w:val="multilevel"/>
    <w:tmpl w:val="1D3874C4"/>
    <w:lvl w:ilvl="0">
      <w:start w:val="4"/>
      <w:numFmt w:val="bullet"/>
      <w:lvlText w:val="-"/>
      <w:lvlJc w:val="left"/>
      <w:pPr>
        <w:tabs>
          <w:tab w:val="num" w:pos="644"/>
        </w:tabs>
        <w:ind w:left="64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3ED7B7A"/>
    <w:multiLevelType w:val="hybridMultilevel"/>
    <w:tmpl w:val="78CA38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D13710A"/>
    <w:multiLevelType w:val="hybridMultilevel"/>
    <w:tmpl w:val="64DEF85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DE57011"/>
    <w:multiLevelType w:val="singleLevel"/>
    <w:tmpl w:val="08090017"/>
    <w:lvl w:ilvl="0">
      <w:start w:val="3"/>
      <w:numFmt w:val="lowerLetter"/>
      <w:lvlText w:val="%1)"/>
      <w:lvlJc w:val="left"/>
      <w:pPr>
        <w:tabs>
          <w:tab w:val="num" w:pos="360"/>
        </w:tabs>
        <w:ind w:left="360" w:hanging="360"/>
      </w:pPr>
      <w:rPr>
        <w:rFonts w:hint="default"/>
        <w:b w:val="0"/>
      </w:rPr>
    </w:lvl>
  </w:abstractNum>
  <w:abstractNum w:abstractNumId="21">
    <w:nsid w:val="2FD949E7"/>
    <w:multiLevelType w:val="multilevel"/>
    <w:tmpl w:val="AD94862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035190D"/>
    <w:multiLevelType w:val="multilevel"/>
    <w:tmpl w:val="6EA66680"/>
    <w:lvl w:ilvl="0">
      <w:start w:val="1"/>
      <w:numFmt w:val="bullet"/>
      <w:pStyle w:val="listbull"/>
      <w:lvlText w:val=""/>
      <w:lvlJc w:val="left"/>
      <w:pPr>
        <w:tabs>
          <w:tab w:val="num" w:pos="432"/>
        </w:tabs>
        <w:ind w:left="432" w:hanging="432"/>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B41995"/>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24">
    <w:nsid w:val="332C4C5C"/>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25">
    <w:nsid w:val="337C6AB1"/>
    <w:multiLevelType w:val="multilevel"/>
    <w:tmpl w:val="05503E76"/>
    <w:lvl w:ilvl="0">
      <w:start w:val="6"/>
      <w:numFmt w:val="decimal"/>
      <w:lvlText w:val="%1."/>
      <w:lvlJc w:val="left"/>
      <w:pPr>
        <w:tabs>
          <w:tab w:val="num" w:pos="360"/>
        </w:tabs>
        <w:ind w:left="360" w:hanging="360"/>
      </w:pPr>
      <w:rPr>
        <w:rFonts w:hint="default"/>
        <w:u w:val="single"/>
      </w:rPr>
    </w:lvl>
    <w:lvl w:ilvl="1">
      <w:start w:val="4"/>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337E3266"/>
    <w:multiLevelType w:val="hybridMultilevel"/>
    <w:tmpl w:val="5E86BE96"/>
    <w:lvl w:ilvl="0" w:tplc="BBD2FC16">
      <w:start w:val="1"/>
      <w:numFmt w:val="bullet"/>
      <w:lvlText w:val="-"/>
      <w:lvlJc w:val="left"/>
      <w:pPr>
        <w:ind w:left="720" w:hanging="360"/>
      </w:pPr>
      <w:rPr>
        <w:rFonts w:ascii="Times New Roman" w:eastAsia="SimSu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40972D2"/>
    <w:multiLevelType w:val="multilevel"/>
    <w:tmpl w:val="9A5C2850"/>
    <w:lvl w:ilvl="0">
      <w:start w:val="1"/>
      <w:numFmt w:val="bullet"/>
      <w:lvlText w:val=""/>
      <w:lvlJc w:val="left"/>
      <w:pPr>
        <w:tabs>
          <w:tab w:val="num" w:pos="360"/>
        </w:tabs>
        <w:ind w:left="284" w:hanging="284"/>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D03A88"/>
    <w:multiLevelType w:val="singleLevel"/>
    <w:tmpl w:val="52285A9E"/>
    <w:lvl w:ilvl="0">
      <w:start w:val="3"/>
      <w:numFmt w:val="decimal"/>
      <w:lvlText w:val="%1."/>
      <w:lvlJc w:val="left"/>
      <w:pPr>
        <w:tabs>
          <w:tab w:val="num" w:pos="720"/>
        </w:tabs>
        <w:ind w:left="720" w:hanging="720"/>
      </w:pPr>
      <w:rPr>
        <w:rFonts w:hint="default"/>
      </w:rPr>
    </w:lvl>
  </w:abstractNum>
  <w:abstractNum w:abstractNumId="29">
    <w:nsid w:val="37FF61A4"/>
    <w:multiLevelType w:val="hybridMultilevel"/>
    <w:tmpl w:val="4E5A3484"/>
    <w:lvl w:ilvl="0" w:tplc="B226E8E0">
      <w:numFmt w:val="bullet"/>
      <w:lvlText w:val="-"/>
      <w:lvlJc w:val="left"/>
      <w:pPr>
        <w:tabs>
          <w:tab w:val="num" w:pos="1287"/>
        </w:tabs>
        <w:ind w:left="1287" w:hanging="360"/>
      </w:pPr>
      <w:rPr>
        <w:rFonts w:ascii="Arial" w:eastAsia="Times New Roman" w:hAnsi="Arial" w:hint="default"/>
        <w:color w:val="auto"/>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Symbol" w:hAnsi="Symbol" w:cs="Symbol"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Symbol" w:hAnsi="Symbol" w:cs="Symbol"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30">
    <w:nsid w:val="3DA52BE0"/>
    <w:multiLevelType w:val="singleLevel"/>
    <w:tmpl w:val="9454EE18"/>
    <w:lvl w:ilvl="0">
      <w:start w:val="1"/>
      <w:numFmt w:val="bullet"/>
      <w:lvlText w:val=""/>
      <w:lvlJc w:val="left"/>
      <w:pPr>
        <w:tabs>
          <w:tab w:val="num" w:pos="360"/>
        </w:tabs>
        <w:ind w:left="284" w:hanging="284"/>
      </w:pPr>
      <w:rPr>
        <w:rFonts w:ascii="Symbol" w:hAnsi="Symbol" w:hint="default"/>
      </w:rPr>
    </w:lvl>
  </w:abstractNum>
  <w:abstractNum w:abstractNumId="31">
    <w:nsid w:val="3E975A94"/>
    <w:multiLevelType w:val="multilevel"/>
    <w:tmpl w:val="63147098"/>
    <w:lvl w:ilvl="0">
      <w:start w:val="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1A5157D"/>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33">
    <w:nsid w:val="422541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43401EC0"/>
    <w:multiLevelType w:val="multi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5C433C4"/>
    <w:multiLevelType w:val="multilevel"/>
    <w:tmpl w:val="69E84BD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7070D8A"/>
    <w:multiLevelType w:val="hybridMultilevel"/>
    <w:tmpl w:val="250CA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466AF6"/>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38">
    <w:nsid w:val="50A34095"/>
    <w:multiLevelType w:val="multilevel"/>
    <w:tmpl w:val="9A5C2850"/>
    <w:lvl w:ilvl="0">
      <w:start w:val="1"/>
      <w:numFmt w:val="bullet"/>
      <w:lvlText w:val=""/>
      <w:lvlJc w:val="left"/>
      <w:pPr>
        <w:tabs>
          <w:tab w:val="num" w:pos="360"/>
        </w:tabs>
        <w:ind w:left="284" w:hanging="284"/>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25F3EC1"/>
    <w:multiLevelType w:val="multilevel"/>
    <w:tmpl w:val="779C3D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3E41B62"/>
    <w:multiLevelType w:val="multilevel"/>
    <w:tmpl w:val="785E112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AB5BF4"/>
    <w:multiLevelType w:val="singleLevel"/>
    <w:tmpl w:val="6118523E"/>
    <w:lvl w:ilvl="0">
      <w:start w:val="1"/>
      <w:numFmt w:val="bullet"/>
      <w:lvlText w:val=""/>
      <w:lvlJc w:val="left"/>
      <w:pPr>
        <w:tabs>
          <w:tab w:val="num" w:pos="360"/>
        </w:tabs>
        <w:ind w:left="360" w:hanging="360"/>
      </w:pPr>
      <w:rPr>
        <w:rFonts w:ascii="Symbol" w:hAnsi="Symbol" w:hint="default"/>
      </w:rPr>
    </w:lvl>
  </w:abstractNum>
  <w:abstractNum w:abstractNumId="42">
    <w:nsid w:val="55DC2FE1"/>
    <w:multiLevelType w:val="hybridMultilevel"/>
    <w:tmpl w:val="2AD47E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58237B4A"/>
    <w:multiLevelType w:val="hybridMultilevel"/>
    <w:tmpl w:val="B8CC1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5C90444F"/>
    <w:multiLevelType w:val="hybridMultilevel"/>
    <w:tmpl w:val="AC7A32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5DE27F72"/>
    <w:multiLevelType w:val="hybridMultilevel"/>
    <w:tmpl w:val="156E6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5FAF1872"/>
    <w:multiLevelType w:val="hybridMultilevel"/>
    <w:tmpl w:val="FA08D1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61473102"/>
    <w:multiLevelType w:val="singleLevel"/>
    <w:tmpl w:val="87B49B68"/>
    <w:lvl w:ilvl="0">
      <w:start w:val="1"/>
      <w:numFmt w:val="lowerLetter"/>
      <w:lvlText w:val="%1)"/>
      <w:lvlJc w:val="left"/>
      <w:pPr>
        <w:tabs>
          <w:tab w:val="num" w:pos="360"/>
        </w:tabs>
        <w:ind w:left="360" w:hanging="360"/>
      </w:pPr>
      <w:rPr>
        <w:rFonts w:hint="default"/>
      </w:rPr>
    </w:lvl>
  </w:abstractNum>
  <w:abstractNum w:abstractNumId="48">
    <w:nsid w:val="62942509"/>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49">
    <w:nsid w:val="632C67D4"/>
    <w:multiLevelType w:val="multilevel"/>
    <w:tmpl w:val="E06E6258"/>
    <w:lvl w:ilvl="0">
      <w:start w:val="4"/>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6395218E"/>
    <w:multiLevelType w:val="hybridMultilevel"/>
    <w:tmpl w:val="0C600820"/>
    <w:lvl w:ilvl="0" w:tplc="EE0A762A">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1">
    <w:nsid w:val="654262EE"/>
    <w:multiLevelType w:val="hybridMultilevel"/>
    <w:tmpl w:val="52AA94B8"/>
    <w:lvl w:ilvl="0" w:tplc="4B603A9E">
      <w:start w:val="1"/>
      <w:numFmt w:val="bullet"/>
      <w:lvlText w:val="-"/>
      <w:lvlJc w:val="left"/>
      <w:pPr>
        <w:ind w:left="1123" w:hanging="360"/>
      </w:pPr>
      <w:rPr>
        <w:rFonts w:ascii="Times New Roman" w:eastAsia="SimSun" w:hAnsi="Times New Roman" w:cs="Times New Roman" w:hint="default"/>
      </w:rPr>
    </w:lvl>
    <w:lvl w:ilvl="1" w:tplc="04080003" w:tentative="1">
      <w:start w:val="1"/>
      <w:numFmt w:val="bullet"/>
      <w:lvlText w:val="o"/>
      <w:lvlJc w:val="left"/>
      <w:pPr>
        <w:ind w:left="1843" w:hanging="360"/>
      </w:pPr>
      <w:rPr>
        <w:rFonts w:ascii="Courier New" w:hAnsi="Courier New" w:cs="Courier New" w:hint="default"/>
      </w:rPr>
    </w:lvl>
    <w:lvl w:ilvl="2" w:tplc="04080005" w:tentative="1">
      <w:start w:val="1"/>
      <w:numFmt w:val="bullet"/>
      <w:lvlText w:val=""/>
      <w:lvlJc w:val="left"/>
      <w:pPr>
        <w:ind w:left="2563" w:hanging="360"/>
      </w:pPr>
      <w:rPr>
        <w:rFonts w:ascii="Wingdings" w:hAnsi="Wingdings" w:hint="default"/>
      </w:rPr>
    </w:lvl>
    <w:lvl w:ilvl="3" w:tplc="04080001" w:tentative="1">
      <w:start w:val="1"/>
      <w:numFmt w:val="bullet"/>
      <w:lvlText w:val=""/>
      <w:lvlJc w:val="left"/>
      <w:pPr>
        <w:ind w:left="3283" w:hanging="360"/>
      </w:pPr>
      <w:rPr>
        <w:rFonts w:ascii="Symbol" w:hAnsi="Symbol" w:hint="default"/>
      </w:rPr>
    </w:lvl>
    <w:lvl w:ilvl="4" w:tplc="04080003" w:tentative="1">
      <w:start w:val="1"/>
      <w:numFmt w:val="bullet"/>
      <w:lvlText w:val="o"/>
      <w:lvlJc w:val="left"/>
      <w:pPr>
        <w:ind w:left="4003" w:hanging="360"/>
      </w:pPr>
      <w:rPr>
        <w:rFonts w:ascii="Courier New" w:hAnsi="Courier New" w:cs="Courier New" w:hint="default"/>
      </w:rPr>
    </w:lvl>
    <w:lvl w:ilvl="5" w:tplc="04080005" w:tentative="1">
      <w:start w:val="1"/>
      <w:numFmt w:val="bullet"/>
      <w:lvlText w:val=""/>
      <w:lvlJc w:val="left"/>
      <w:pPr>
        <w:ind w:left="4723" w:hanging="360"/>
      </w:pPr>
      <w:rPr>
        <w:rFonts w:ascii="Wingdings" w:hAnsi="Wingdings" w:hint="default"/>
      </w:rPr>
    </w:lvl>
    <w:lvl w:ilvl="6" w:tplc="04080001" w:tentative="1">
      <w:start w:val="1"/>
      <w:numFmt w:val="bullet"/>
      <w:lvlText w:val=""/>
      <w:lvlJc w:val="left"/>
      <w:pPr>
        <w:ind w:left="5443" w:hanging="360"/>
      </w:pPr>
      <w:rPr>
        <w:rFonts w:ascii="Symbol" w:hAnsi="Symbol" w:hint="default"/>
      </w:rPr>
    </w:lvl>
    <w:lvl w:ilvl="7" w:tplc="04080003" w:tentative="1">
      <w:start w:val="1"/>
      <w:numFmt w:val="bullet"/>
      <w:lvlText w:val="o"/>
      <w:lvlJc w:val="left"/>
      <w:pPr>
        <w:ind w:left="6163" w:hanging="360"/>
      </w:pPr>
      <w:rPr>
        <w:rFonts w:ascii="Courier New" w:hAnsi="Courier New" w:cs="Courier New" w:hint="default"/>
      </w:rPr>
    </w:lvl>
    <w:lvl w:ilvl="8" w:tplc="04080005" w:tentative="1">
      <w:start w:val="1"/>
      <w:numFmt w:val="bullet"/>
      <w:lvlText w:val=""/>
      <w:lvlJc w:val="left"/>
      <w:pPr>
        <w:ind w:left="6883" w:hanging="360"/>
      </w:pPr>
      <w:rPr>
        <w:rFonts w:ascii="Wingdings" w:hAnsi="Wingdings" w:hint="default"/>
      </w:rPr>
    </w:lvl>
  </w:abstractNum>
  <w:abstractNum w:abstractNumId="52">
    <w:nsid w:val="67EB7455"/>
    <w:multiLevelType w:val="singleLevel"/>
    <w:tmpl w:val="6118523E"/>
    <w:lvl w:ilvl="0">
      <w:start w:val="1"/>
      <w:numFmt w:val="bullet"/>
      <w:lvlText w:val=""/>
      <w:lvlJc w:val="left"/>
      <w:pPr>
        <w:tabs>
          <w:tab w:val="num" w:pos="360"/>
        </w:tabs>
        <w:ind w:left="360" w:hanging="360"/>
      </w:pPr>
      <w:rPr>
        <w:rFonts w:ascii="Symbol" w:hAnsi="Symbol" w:hint="default"/>
      </w:rPr>
    </w:lvl>
  </w:abstractNum>
  <w:abstractNum w:abstractNumId="53">
    <w:nsid w:val="6A520A2F"/>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9F1285"/>
    <w:multiLevelType w:val="singleLevel"/>
    <w:tmpl w:val="3880E102"/>
    <w:lvl w:ilvl="0">
      <w:start w:val="1"/>
      <w:numFmt w:val="decimal"/>
      <w:lvlText w:val="%1."/>
      <w:lvlJc w:val="left"/>
      <w:pPr>
        <w:tabs>
          <w:tab w:val="num" w:pos="360"/>
        </w:tabs>
        <w:ind w:left="360" w:hanging="360"/>
      </w:pPr>
      <w:rPr>
        <w:rFonts w:hint="default"/>
        <w:u w:val="single"/>
      </w:rPr>
    </w:lvl>
  </w:abstractNum>
  <w:abstractNum w:abstractNumId="55">
    <w:nsid w:val="6AAC15DC"/>
    <w:multiLevelType w:val="hybridMultilevel"/>
    <w:tmpl w:val="ECAAF038"/>
    <w:lvl w:ilvl="0" w:tplc="1292CFFE">
      <w:start w:val="1"/>
      <w:numFmt w:val="bullet"/>
      <w:lvlText w:val="-"/>
      <w:lvlJc w:val="left"/>
      <w:pPr>
        <w:ind w:left="1451" w:hanging="360"/>
      </w:pPr>
      <w:rPr>
        <w:rFonts w:ascii="Times New Roman" w:eastAsia="SimSun" w:hAnsi="Times New Roman" w:cs="Times New Roman" w:hint="default"/>
      </w:rPr>
    </w:lvl>
    <w:lvl w:ilvl="1" w:tplc="04080003" w:tentative="1">
      <w:start w:val="1"/>
      <w:numFmt w:val="bullet"/>
      <w:lvlText w:val="o"/>
      <w:lvlJc w:val="left"/>
      <w:pPr>
        <w:ind w:left="2171" w:hanging="360"/>
      </w:pPr>
      <w:rPr>
        <w:rFonts w:ascii="Courier New" w:hAnsi="Courier New" w:cs="Courier New" w:hint="default"/>
      </w:rPr>
    </w:lvl>
    <w:lvl w:ilvl="2" w:tplc="04080005" w:tentative="1">
      <w:start w:val="1"/>
      <w:numFmt w:val="bullet"/>
      <w:lvlText w:val=""/>
      <w:lvlJc w:val="left"/>
      <w:pPr>
        <w:ind w:left="2891" w:hanging="360"/>
      </w:pPr>
      <w:rPr>
        <w:rFonts w:ascii="Wingdings" w:hAnsi="Wingdings" w:hint="default"/>
      </w:rPr>
    </w:lvl>
    <w:lvl w:ilvl="3" w:tplc="04080001" w:tentative="1">
      <w:start w:val="1"/>
      <w:numFmt w:val="bullet"/>
      <w:lvlText w:val=""/>
      <w:lvlJc w:val="left"/>
      <w:pPr>
        <w:ind w:left="3611" w:hanging="360"/>
      </w:pPr>
      <w:rPr>
        <w:rFonts w:ascii="Symbol" w:hAnsi="Symbol" w:hint="default"/>
      </w:rPr>
    </w:lvl>
    <w:lvl w:ilvl="4" w:tplc="04080003" w:tentative="1">
      <w:start w:val="1"/>
      <w:numFmt w:val="bullet"/>
      <w:lvlText w:val="o"/>
      <w:lvlJc w:val="left"/>
      <w:pPr>
        <w:ind w:left="4331" w:hanging="360"/>
      </w:pPr>
      <w:rPr>
        <w:rFonts w:ascii="Courier New" w:hAnsi="Courier New" w:cs="Courier New" w:hint="default"/>
      </w:rPr>
    </w:lvl>
    <w:lvl w:ilvl="5" w:tplc="04080005" w:tentative="1">
      <w:start w:val="1"/>
      <w:numFmt w:val="bullet"/>
      <w:lvlText w:val=""/>
      <w:lvlJc w:val="left"/>
      <w:pPr>
        <w:ind w:left="5051" w:hanging="360"/>
      </w:pPr>
      <w:rPr>
        <w:rFonts w:ascii="Wingdings" w:hAnsi="Wingdings" w:hint="default"/>
      </w:rPr>
    </w:lvl>
    <w:lvl w:ilvl="6" w:tplc="04080001" w:tentative="1">
      <w:start w:val="1"/>
      <w:numFmt w:val="bullet"/>
      <w:lvlText w:val=""/>
      <w:lvlJc w:val="left"/>
      <w:pPr>
        <w:ind w:left="5771" w:hanging="360"/>
      </w:pPr>
      <w:rPr>
        <w:rFonts w:ascii="Symbol" w:hAnsi="Symbol" w:hint="default"/>
      </w:rPr>
    </w:lvl>
    <w:lvl w:ilvl="7" w:tplc="04080003" w:tentative="1">
      <w:start w:val="1"/>
      <w:numFmt w:val="bullet"/>
      <w:lvlText w:val="o"/>
      <w:lvlJc w:val="left"/>
      <w:pPr>
        <w:ind w:left="6491" w:hanging="360"/>
      </w:pPr>
      <w:rPr>
        <w:rFonts w:ascii="Courier New" w:hAnsi="Courier New" w:cs="Courier New" w:hint="default"/>
      </w:rPr>
    </w:lvl>
    <w:lvl w:ilvl="8" w:tplc="04080005" w:tentative="1">
      <w:start w:val="1"/>
      <w:numFmt w:val="bullet"/>
      <w:lvlText w:val=""/>
      <w:lvlJc w:val="left"/>
      <w:pPr>
        <w:ind w:left="7211" w:hanging="360"/>
      </w:pPr>
      <w:rPr>
        <w:rFonts w:ascii="Wingdings" w:hAnsi="Wingdings" w:hint="default"/>
      </w:rPr>
    </w:lvl>
  </w:abstractNum>
  <w:abstractNum w:abstractNumId="56">
    <w:nsid w:val="6B9210BF"/>
    <w:multiLevelType w:val="singleLevel"/>
    <w:tmpl w:val="52561E2E"/>
    <w:lvl w:ilvl="0">
      <w:start w:val="1"/>
      <w:numFmt w:val="bullet"/>
      <w:lvlText w:val=""/>
      <w:lvlJc w:val="left"/>
      <w:pPr>
        <w:tabs>
          <w:tab w:val="num" w:pos="360"/>
        </w:tabs>
        <w:ind w:left="284" w:hanging="284"/>
      </w:pPr>
      <w:rPr>
        <w:rFonts w:ascii="Symbol" w:hAnsi="Symbol" w:hint="default"/>
      </w:rPr>
    </w:lvl>
  </w:abstractNum>
  <w:abstractNum w:abstractNumId="57">
    <w:nsid w:val="6EA915B5"/>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58">
    <w:nsid w:val="73A70F2F"/>
    <w:multiLevelType w:val="singleLevel"/>
    <w:tmpl w:val="6A98AA1A"/>
    <w:lvl w:ilvl="0">
      <w:start w:val="1"/>
      <w:numFmt w:val="bullet"/>
      <w:lvlText w:val=""/>
      <w:lvlJc w:val="left"/>
      <w:pPr>
        <w:tabs>
          <w:tab w:val="num" w:pos="360"/>
        </w:tabs>
        <w:ind w:left="360" w:hanging="360"/>
      </w:pPr>
      <w:rPr>
        <w:rFonts w:ascii="Symbol" w:hAnsi="Symbol" w:hint="default"/>
        <w:vertAlign w:val="baseline"/>
      </w:rPr>
    </w:lvl>
  </w:abstractNum>
  <w:abstractNum w:abstractNumId="59">
    <w:nsid w:val="74F9396A"/>
    <w:multiLevelType w:val="singleLevel"/>
    <w:tmpl w:val="9454EE18"/>
    <w:lvl w:ilvl="0">
      <w:start w:val="1"/>
      <w:numFmt w:val="bullet"/>
      <w:lvlText w:val=""/>
      <w:lvlJc w:val="left"/>
      <w:pPr>
        <w:tabs>
          <w:tab w:val="num" w:pos="360"/>
        </w:tabs>
        <w:ind w:left="284" w:hanging="284"/>
      </w:pPr>
      <w:rPr>
        <w:rFonts w:ascii="Symbol" w:hAnsi="Symbol" w:hint="default"/>
      </w:rPr>
    </w:lvl>
  </w:abstractNum>
  <w:abstractNum w:abstractNumId="60">
    <w:nsid w:val="77A13EEF"/>
    <w:multiLevelType w:val="multilevel"/>
    <w:tmpl w:val="2D08F92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95F1388"/>
    <w:multiLevelType w:val="multilevel"/>
    <w:tmpl w:val="1D3874C4"/>
    <w:lvl w:ilvl="0">
      <w:start w:val="4"/>
      <w:numFmt w:val="bullet"/>
      <w:lvlText w:val="-"/>
      <w:lvlJc w:val="left"/>
      <w:pPr>
        <w:tabs>
          <w:tab w:val="num" w:pos="644"/>
        </w:tabs>
        <w:ind w:left="644"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A6C5081"/>
    <w:multiLevelType w:val="hybridMultilevel"/>
    <w:tmpl w:val="618A4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B280652"/>
    <w:multiLevelType w:val="multilevel"/>
    <w:tmpl w:val="682CDA1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7BEA14AA"/>
    <w:multiLevelType w:val="multilevel"/>
    <w:tmpl w:val="0444E47C"/>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40"/>
  </w:num>
  <w:num w:numId="2">
    <w:abstractNumId w:val="34"/>
  </w:num>
  <w:num w:numId="3">
    <w:abstractNumId w:val="22"/>
  </w:num>
  <w:num w:numId="4">
    <w:abstractNumId w:val="1"/>
  </w:num>
  <w:num w:numId="5">
    <w:abstractNumId w:val="61"/>
  </w:num>
  <w:num w:numId="6">
    <w:abstractNumId w:val="53"/>
  </w:num>
  <w:num w:numId="7">
    <w:abstractNumId w:val="6"/>
  </w:num>
  <w:num w:numId="8">
    <w:abstractNumId w:val="7"/>
  </w:num>
  <w:num w:numId="9">
    <w:abstractNumId w:val="17"/>
  </w:num>
  <w:num w:numId="10">
    <w:abstractNumId w:val="4"/>
  </w:num>
  <w:num w:numId="11">
    <w:abstractNumId w:val="38"/>
  </w:num>
  <w:num w:numId="12">
    <w:abstractNumId w:val="16"/>
  </w:num>
  <w:num w:numId="13">
    <w:abstractNumId w:val="27"/>
  </w:num>
  <w:num w:numId="14">
    <w:abstractNumId w:val="29"/>
  </w:num>
  <w:num w:numId="15">
    <w:abstractNumId w:val="0"/>
    <w:lvlOverride w:ilvl="0">
      <w:lvl w:ilvl="0">
        <w:start w:val="1"/>
        <w:numFmt w:val="bullet"/>
        <w:lvlText w:val="-"/>
        <w:legacy w:legacy="1" w:legacySpace="0" w:legacyIndent="360"/>
        <w:lvlJc w:val="left"/>
        <w:pPr>
          <w:ind w:left="360" w:hanging="360"/>
        </w:pPr>
      </w:lvl>
    </w:lvlOverride>
  </w:num>
  <w:num w:numId="16">
    <w:abstractNumId w:val="19"/>
  </w:num>
  <w:num w:numId="17">
    <w:abstractNumId w:val="58"/>
  </w:num>
  <w:num w:numId="18">
    <w:abstractNumId w:val="23"/>
  </w:num>
  <w:num w:numId="19">
    <w:abstractNumId w:val="9"/>
  </w:num>
  <w:num w:numId="20">
    <w:abstractNumId w:val="32"/>
  </w:num>
  <w:num w:numId="21">
    <w:abstractNumId w:val="10"/>
  </w:num>
  <w:num w:numId="22">
    <w:abstractNumId w:val="13"/>
  </w:num>
  <w:num w:numId="23">
    <w:abstractNumId w:val="56"/>
  </w:num>
  <w:num w:numId="24">
    <w:abstractNumId w:val="48"/>
  </w:num>
  <w:num w:numId="25">
    <w:abstractNumId w:val="37"/>
  </w:num>
  <w:num w:numId="26">
    <w:abstractNumId w:val="24"/>
  </w:num>
  <w:num w:numId="27">
    <w:abstractNumId w:val="12"/>
  </w:num>
  <w:num w:numId="28">
    <w:abstractNumId w:val="57"/>
  </w:num>
  <w:num w:numId="29">
    <w:abstractNumId w:val="0"/>
    <w:lvlOverride w:ilvl="0">
      <w:lvl w:ilvl="0">
        <w:start w:val="1"/>
        <w:numFmt w:val="bullet"/>
        <w:lvlText w:val=""/>
        <w:legacy w:legacy="1" w:legacySpace="0" w:legacyIndent="283"/>
        <w:lvlJc w:val="left"/>
        <w:pPr>
          <w:ind w:left="283" w:hanging="283"/>
        </w:pPr>
        <w:rPr>
          <w:rFonts w:ascii="Symbol" w:hAnsi="Symbol" w:hint="default"/>
          <w:lang w:val="el-GR"/>
        </w:rPr>
      </w:lvl>
    </w:lvlOverride>
  </w:num>
  <w:num w:numId="30">
    <w:abstractNumId w:val="59"/>
  </w:num>
  <w:num w:numId="31">
    <w:abstractNumId w:val="30"/>
  </w:num>
  <w:num w:numId="32">
    <w:abstractNumId w:val="14"/>
  </w:num>
  <w:num w:numId="33">
    <w:abstractNumId w:val="8"/>
  </w:num>
  <w:num w:numId="34">
    <w:abstractNumId w:val="2"/>
  </w:num>
  <w:num w:numId="35">
    <w:abstractNumId w:val="41"/>
  </w:num>
  <w:num w:numId="36">
    <w:abstractNumId w:val="64"/>
  </w:num>
  <w:num w:numId="37">
    <w:abstractNumId w:val="47"/>
  </w:num>
  <w:num w:numId="38">
    <w:abstractNumId w:val="28"/>
  </w:num>
  <w:num w:numId="39">
    <w:abstractNumId w:val="52"/>
  </w:num>
  <w:num w:numId="40">
    <w:abstractNumId w:val="63"/>
  </w:num>
  <w:num w:numId="41">
    <w:abstractNumId w:val="39"/>
  </w:num>
  <w:num w:numId="42">
    <w:abstractNumId w:val="20"/>
  </w:num>
  <w:num w:numId="43">
    <w:abstractNumId w:val="5"/>
  </w:num>
  <w:num w:numId="44">
    <w:abstractNumId w:val="35"/>
  </w:num>
  <w:num w:numId="45">
    <w:abstractNumId w:val="49"/>
  </w:num>
  <w:num w:numId="46">
    <w:abstractNumId w:val="25"/>
  </w:num>
  <w:num w:numId="47">
    <w:abstractNumId w:val="33"/>
  </w:num>
  <w:num w:numId="48">
    <w:abstractNumId w:val="54"/>
  </w:num>
  <w:num w:numId="49">
    <w:abstractNumId w:val="15"/>
  </w:num>
  <w:num w:numId="50">
    <w:abstractNumId w:val="31"/>
  </w:num>
  <w:num w:numId="51">
    <w:abstractNumId w:val="60"/>
  </w:num>
  <w:num w:numId="52">
    <w:abstractNumId w:val="21"/>
  </w:num>
  <w:num w:numId="53">
    <w:abstractNumId w:val="44"/>
  </w:num>
  <w:num w:numId="54">
    <w:abstractNumId w:val="50"/>
  </w:num>
  <w:num w:numId="55">
    <w:abstractNumId w:val="18"/>
  </w:num>
  <w:num w:numId="56">
    <w:abstractNumId w:val="3"/>
  </w:num>
  <w:num w:numId="57">
    <w:abstractNumId w:val="42"/>
  </w:num>
  <w:num w:numId="58">
    <w:abstractNumId w:val="36"/>
  </w:num>
  <w:num w:numId="59">
    <w:abstractNumId w:val="55"/>
  </w:num>
  <w:num w:numId="60">
    <w:abstractNumId w:val="51"/>
  </w:num>
  <w:num w:numId="61">
    <w:abstractNumId w:val="26"/>
  </w:num>
  <w:num w:numId="62">
    <w:abstractNumId w:val="46"/>
  </w:num>
  <w:num w:numId="63">
    <w:abstractNumId w:val="62"/>
  </w:num>
  <w:num w:numId="64">
    <w:abstractNumId w:val="43"/>
  </w:num>
  <w:num w:numId="65">
    <w:abstractNumId w:val="11"/>
  </w:num>
  <w:num w:numId="66">
    <w:abstractNumId w:val="4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useFELayout/>
  </w:compat>
  <w:rsids>
    <w:rsidRoot w:val="00322106"/>
    <w:rsid w:val="00001C75"/>
    <w:rsid w:val="00013BDA"/>
    <w:rsid w:val="000172D4"/>
    <w:rsid w:val="000227E7"/>
    <w:rsid w:val="00024A7F"/>
    <w:rsid w:val="00026847"/>
    <w:rsid w:val="00030F08"/>
    <w:rsid w:val="0003184D"/>
    <w:rsid w:val="00035145"/>
    <w:rsid w:val="00042599"/>
    <w:rsid w:val="00044679"/>
    <w:rsid w:val="000501C5"/>
    <w:rsid w:val="00054E27"/>
    <w:rsid w:val="00056FD0"/>
    <w:rsid w:val="00062A2C"/>
    <w:rsid w:val="00063276"/>
    <w:rsid w:val="000646CF"/>
    <w:rsid w:val="000664B3"/>
    <w:rsid w:val="000720AA"/>
    <w:rsid w:val="00075125"/>
    <w:rsid w:val="000938AC"/>
    <w:rsid w:val="000A0CDA"/>
    <w:rsid w:val="000A1694"/>
    <w:rsid w:val="000A2D47"/>
    <w:rsid w:val="000B6EA5"/>
    <w:rsid w:val="000C0C90"/>
    <w:rsid w:val="000D376A"/>
    <w:rsid w:val="000E07BB"/>
    <w:rsid w:val="001004BF"/>
    <w:rsid w:val="001276B2"/>
    <w:rsid w:val="001365FB"/>
    <w:rsid w:val="00140AB8"/>
    <w:rsid w:val="00144C8D"/>
    <w:rsid w:val="00171C97"/>
    <w:rsid w:val="0018429E"/>
    <w:rsid w:val="001B3832"/>
    <w:rsid w:val="001D0564"/>
    <w:rsid w:val="001D3651"/>
    <w:rsid w:val="001E7E5F"/>
    <w:rsid w:val="001F32AF"/>
    <w:rsid w:val="001F5896"/>
    <w:rsid w:val="00201BEF"/>
    <w:rsid w:val="00206B4F"/>
    <w:rsid w:val="002143BA"/>
    <w:rsid w:val="00216237"/>
    <w:rsid w:val="0021788F"/>
    <w:rsid w:val="00243F67"/>
    <w:rsid w:val="002501F7"/>
    <w:rsid w:val="00252F26"/>
    <w:rsid w:val="00266334"/>
    <w:rsid w:val="00266D3A"/>
    <w:rsid w:val="00270CE5"/>
    <w:rsid w:val="00275F9F"/>
    <w:rsid w:val="00284E65"/>
    <w:rsid w:val="002853F8"/>
    <w:rsid w:val="002A125C"/>
    <w:rsid w:val="002A33F6"/>
    <w:rsid w:val="002A7CF1"/>
    <w:rsid w:val="002B7471"/>
    <w:rsid w:val="002B7DA5"/>
    <w:rsid w:val="002F01E8"/>
    <w:rsid w:val="002F17B6"/>
    <w:rsid w:val="002F432D"/>
    <w:rsid w:val="002F4BD4"/>
    <w:rsid w:val="00304687"/>
    <w:rsid w:val="00314629"/>
    <w:rsid w:val="003168FF"/>
    <w:rsid w:val="00322106"/>
    <w:rsid w:val="00325C76"/>
    <w:rsid w:val="00347E83"/>
    <w:rsid w:val="00351F95"/>
    <w:rsid w:val="003703B5"/>
    <w:rsid w:val="0037213B"/>
    <w:rsid w:val="00383E3C"/>
    <w:rsid w:val="003850DF"/>
    <w:rsid w:val="00387D12"/>
    <w:rsid w:val="00391154"/>
    <w:rsid w:val="003940A4"/>
    <w:rsid w:val="00395B5D"/>
    <w:rsid w:val="00396D86"/>
    <w:rsid w:val="003974E4"/>
    <w:rsid w:val="003A34E3"/>
    <w:rsid w:val="003A59BF"/>
    <w:rsid w:val="003A6F10"/>
    <w:rsid w:val="003B3742"/>
    <w:rsid w:val="003C25E3"/>
    <w:rsid w:val="003F1E09"/>
    <w:rsid w:val="003F7535"/>
    <w:rsid w:val="004075ED"/>
    <w:rsid w:val="004167FC"/>
    <w:rsid w:val="00423C7E"/>
    <w:rsid w:val="00425CB4"/>
    <w:rsid w:val="00427E6F"/>
    <w:rsid w:val="00431D32"/>
    <w:rsid w:val="00433C4C"/>
    <w:rsid w:val="00444479"/>
    <w:rsid w:val="00445F05"/>
    <w:rsid w:val="00461415"/>
    <w:rsid w:val="00467FC6"/>
    <w:rsid w:val="00475989"/>
    <w:rsid w:val="0048099A"/>
    <w:rsid w:val="004A0237"/>
    <w:rsid w:val="004B001F"/>
    <w:rsid w:val="004B6BF8"/>
    <w:rsid w:val="004E3BA8"/>
    <w:rsid w:val="004E5E01"/>
    <w:rsid w:val="004F414A"/>
    <w:rsid w:val="00500D5C"/>
    <w:rsid w:val="00516921"/>
    <w:rsid w:val="00524EBA"/>
    <w:rsid w:val="005366EB"/>
    <w:rsid w:val="00537AAE"/>
    <w:rsid w:val="00574CFD"/>
    <w:rsid w:val="005820EE"/>
    <w:rsid w:val="00591957"/>
    <w:rsid w:val="005A144F"/>
    <w:rsid w:val="005A26CE"/>
    <w:rsid w:val="005B0882"/>
    <w:rsid w:val="005B5A92"/>
    <w:rsid w:val="005B70FD"/>
    <w:rsid w:val="005B7AB8"/>
    <w:rsid w:val="005C771D"/>
    <w:rsid w:val="005D2A5C"/>
    <w:rsid w:val="005E3908"/>
    <w:rsid w:val="005E434E"/>
    <w:rsid w:val="005E50E3"/>
    <w:rsid w:val="00603B79"/>
    <w:rsid w:val="00613086"/>
    <w:rsid w:val="00613BF4"/>
    <w:rsid w:val="00623D48"/>
    <w:rsid w:val="00624358"/>
    <w:rsid w:val="00626654"/>
    <w:rsid w:val="006267D3"/>
    <w:rsid w:val="00636B8B"/>
    <w:rsid w:val="00637945"/>
    <w:rsid w:val="0064121B"/>
    <w:rsid w:val="00652224"/>
    <w:rsid w:val="00656675"/>
    <w:rsid w:val="006652BE"/>
    <w:rsid w:val="006B07DD"/>
    <w:rsid w:val="006B13EC"/>
    <w:rsid w:val="006B7454"/>
    <w:rsid w:val="006C3B39"/>
    <w:rsid w:val="006D0A93"/>
    <w:rsid w:val="006F3054"/>
    <w:rsid w:val="006F3DC8"/>
    <w:rsid w:val="0072506D"/>
    <w:rsid w:val="00734E27"/>
    <w:rsid w:val="00743963"/>
    <w:rsid w:val="00747833"/>
    <w:rsid w:val="00755FAF"/>
    <w:rsid w:val="00764080"/>
    <w:rsid w:val="007657AB"/>
    <w:rsid w:val="00767429"/>
    <w:rsid w:val="00771667"/>
    <w:rsid w:val="00775A68"/>
    <w:rsid w:val="007869BF"/>
    <w:rsid w:val="00792E6F"/>
    <w:rsid w:val="007A123E"/>
    <w:rsid w:val="007A3ED1"/>
    <w:rsid w:val="007A4025"/>
    <w:rsid w:val="007A6FAF"/>
    <w:rsid w:val="007B5232"/>
    <w:rsid w:val="007C3806"/>
    <w:rsid w:val="007C710B"/>
    <w:rsid w:val="007D11D2"/>
    <w:rsid w:val="008062F2"/>
    <w:rsid w:val="00807E51"/>
    <w:rsid w:val="00811A73"/>
    <w:rsid w:val="00813F72"/>
    <w:rsid w:val="008327CC"/>
    <w:rsid w:val="0084625C"/>
    <w:rsid w:val="00853178"/>
    <w:rsid w:val="008616CC"/>
    <w:rsid w:val="00867300"/>
    <w:rsid w:val="00867EAB"/>
    <w:rsid w:val="008864BC"/>
    <w:rsid w:val="008B2150"/>
    <w:rsid w:val="008B4122"/>
    <w:rsid w:val="008C2AA6"/>
    <w:rsid w:val="008E5610"/>
    <w:rsid w:val="00914668"/>
    <w:rsid w:val="00925B34"/>
    <w:rsid w:val="00934692"/>
    <w:rsid w:val="00937427"/>
    <w:rsid w:val="009406F6"/>
    <w:rsid w:val="009407C9"/>
    <w:rsid w:val="0094673E"/>
    <w:rsid w:val="00947315"/>
    <w:rsid w:val="00984E3A"/>
    <w:rsid w:val="00985434"/>
    <w:rsid w:val="00995E2C"/>
    <w:rsid w:val="009C3E1A"/>
    <w:rsid w:val="009D2273"/>
    <w:rsid w:val="009E0219"/>
    <w:rsid w:val="009F4F0B"/>
    <w:rsid w:val="00A009F0"/>
    <w:rsid w:val="00A04E26"/>
    <w:rsid w:val="00A12AFE"/>
    <w:rsid w:val="00A14D50"/>
    <w:rsid w:val="00A16B72"/>
    <w:rsid w:val="00A409E9"/>
    <w:rsid w:val="00A447ED"/>
    <w:rsid w:val="00A51809"/>
    <w:rsid w:val="00A56ACC"/>
    <w:rsid w:val="00A74F47"/>
    <w:rsid w:val="00A8207A"/>
    <w:rsid w:val="00A84DC3"/>
    <w:rsid w:val="00A863A0"/>
    <w:rsid w:val="00AA32D8"/>
    <w:rsid w:val="00AA3D7C"/>
    <w:rsid w:val="00AB166E"/>
    <w:rsid w:val="00AB2B26"/>
    <w:rsid w:val="00AB43F2"/>
    <w:rsid w:val="00AB44B3"/>
    <w:rsid w:val="00AB56F0"/>
    <w:rsid w:val="00AB5849"/>
    <w:rsid w:val="00AC1B0E"/>
    <w:rsid w:val="00AC51F6"/>
    <w:rsid w:val="00AD2EE9"/>
    <w:rsid w:val="00AE59AB"/>
    <w:rsid w:val="00AF3AC8"/>
    <w:rsid w:val="00B01D1C"/>
    <w:rsid w:val="00B03E59"/>
    <w:rsid w:val="00B06343"/>
    <w:rsid w:val="00B149F5"/>
    <w:rsid w:val="00B14E23"/>
    <w:rsid w:val="00B1603F"/>
    <w:rsid w:val="00B30836"/>
    <w:rsid w:val="00B30A9A"/>
    <w:rsid w:val="00B34D1D"/>
    <w:rsid w:val="00B3766F"/>
    <w:rsid w:val="00B4318E"/>
    <w:rsid w:val="00B4786D"/>
    <w:rsid w:val="00B61EFE"/>
    <w:rsid w:val="00B63831"/>
    <w:rsid w:val="00B8256C"/>
    <w:rsid w:val="00B835C1"/>
    <w:rsid w:val="00B87A5C"/>
    <w:rsid w:val="00B96618"/>
    <w:rsid w:val="00BB4E00"/>
    <w:rsid w:val="00BC05B1"/>
    <w:rsid w:val="00BD68F3"/>
    <w:rsid w:val="00BE03E9"/>
    <w:rsid w:val="00BE175D"/>
    <w:rsid w:val="00BF23BC"/>
    <w:rsid w:val="00BF61D1"/>
    <w:rsid w:val="00C16C97"/>
    <w:rsid w:val="00C21F22"/>
    <w:rsid w:val="00C24665"/>
    <w:rsid w:val="00C31B48"/>
    <w:rsid w:val="00C31C5F"/>
    <w:rsid w:val="00C3280F"/>
    <w:rsid w:val="00C373D4"/>
    <w:rsid w:val="00C778B3"/>
    <w:rsid w:val="00C852F2"/>
    <w:rsid w:val="00C86F4C"/>
    <w:rsid w:val="00C9058A"/>
    <w:rsid w:val="00C91F0E"/>
    <w:rsid w:val="00C9753E"/>
    <w:rsid w:val="00CA01A8"/>
    <w:rsid w:val="00CA17D8"/>
    <w:rsid w:val="00CB44F8"/>
    <w:rsid w:val="00CB4BC2"/>
    <w:rsid w:val="00CC38F9"/>
    <w:rsid w:val="00CD1340"/>
    <w:rsid w:val="00CD671E"/>
    <w:rsid w:val="00CE38F2"/>
    <w:rsid w:val="00CE5623"/>
    <w:rsid w:val="00CF34A5"/>
    <w:rsid w:val="00D04210"/>
    <w:rsid w:val="00D21ABE"/>
    <w:rsid w:val="00D253CE"/>
    <w:rsid w:val="00D30C50"/>
    <w:rsid w:val="00D44C90"/>
    <w:rsid w:val="00D65156"/>
    <w:rsid w:val="00D907FF"/>
    <w:rsid w:val="00DA2C7D"/>
    <w:rsid w:val="00DC231D"/>
    <w:rsid w:val="00DD7AFF"/>
    <w:rsid w:val="00DF58C2"/>
    <w:rsid w:val="00E01621"/>
    <w:rsid w:val="00E137F3"/>
    <w:rsid w:val="00E272BB"/>
    <w:rsid w:val="00E40E76"/>
    <w:rsid w:val="00E64797"/>
    <w:rsid w:val="00E65588"/>
    <w:rsid w:val="00E678D0"/>
    <w:rsid w:val="00E76074"/>
    <w:rsid w:val="00E77421"/>
    <w:rsid w:val="00E90619"/>
    <w:rsid w:val="00E92E29"/>
    <w:rsid w:val="00EA2BA8"/>
    <w:rsid w:val="00EA59DF"/>
    <w:rsid w:val="00EB583A"/>
    <w:rsid w:val="00EB59FC"/>
    <w:rsid w:val="00ED4BB8"/>
    <w:rsid w:val="00EE5E8D"/>
    <w:rsid w:val="00EF1D17"/>
    <w:rsid w:val="00F01C48"/>
    <w:rsid w:val="00F15377"/>
    <w:rsid w:val="00F34735"/>
    <w:rsid w:val="00F606E6"/>
    <w:rsid w:val="00F719F9"/>
    <w:rsid w:val="00F831A0"/>
    <w:rsid w:val="00F85717"/>
    <w:rsid w:val="00F86C86"/>
    <w:rsid w:val="00F903DB"/>
    <w:rsid w:val="00F94015"/>
    <w:rsid w:val="00FE355A"/>
    <w:rsid w:val="00FE4E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schemas-GSKSiteLocations-com/fourthcoffee" w:name="flavo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7CC"/>
    <w:pPr>
      <w:tabs>
        <w:tab w:val="left" w:pos="567"/>
      </w:tabs>
    </w:pPr>
    <w:rPr>
      <w:snapToGrid w:val="0"/>
      <w:sz w:val="22"/>
      <w:szCs w:val="22"/>
      <w:lang w:val="en-GB"/>
    </w:rPr>
  </w:style>
  <w:style w:type="paragraph" w:styleId="1">
    <w:name w:val="heading 1"/>
    <w:basedOn w:val="a"/>
    <w:next w:val="a"/>
    <w:qFormat/>
    <w:rsid w:val="008327CC"/>
    <w:pPr>
      <w:ind w:left="357" w:hanging="357"/>
      <w:jc w:val="center"/>
      <w:outlineLvl w:val="0"/>
    </w:pPr>
    <w:rPr>
      <w:b/>
      <w:bCs/>
      <w:caps/>
      <w:lang w:val="en-US"/>
    </w:rPr>
  </w:style>
  <w:style w:type="paragraph" w:styleId="2">
    <w:name w:val="heading 2"/>
    <w:basedOn w:val="a"/>
    <w:next w:val="a"/>
    <w:qFormat/>
    <w:rsid w:val="008327CC"/>
    <w:pPr>
      <w:keepNext/>
      <w:ind w:left="567" w:right="567" w:hanging="567"/>
      <w:outlineLvl w:val="1"/>
    </w:pPr>
    <w:rPr>
      <w:b/>
      <w:bCs/>
      <w:caps/>
    </w:rPr>
  </w:style>
  <w:style w:type="paragraph" w:styleId="3">
    <w:name w:val="heading 3"/>
    <w:basedOn w:val="a"/>
    <w:next w:val="a"/>
    <w:qFormat/>
    <w:rsid w:val="008327CC"/>
    <w:pPr>
      <w:keepNext/>
      <w:keepLines/>
      <w:ind w:right="567"/>
      <w:outlineLvl w:val="2"/>
    </w:pPr>
    <w:rPr>
      <w:b/>
      <w:bCs/>
      <w:kern w:val="28"/>
      <w:lang w:val="en-US"/>
    </w:rPr>
  </w:style>
  <w:style w:type="paragraph" w:styleId="4">
    <w:name w:val="heading 4"/>
    <w:basedOn w:val="a"/>
    <w:next w:val="a"/>
    <w:qFormat/>
    <w:rsid w:val="008327CC"/>
    <w:pPr>
      <w:keepNext/>
      <w:jc w:val="both"/>
      <w:outlineLvl w:val="3"/>
    </w:pPr>
    <w:rPr>
      <w:b/>
      <w:bCs/>
      <w:noProof/>
      <w:lang w:val="el-GR"/>
    </w:rPr>
  </w:style>
  <w:style w:type="paragraph" w:styleId="5">
    <w:name w:val="heading 5"/>
    <w:basedOn w:val="a"/>
    <w:next w:val="a"/>
    <w:qFormat/>
    <w:rsid w:val="008327CC"/>
    <w:pPr>
      <w:keepNext/>
      <w:jc w:val="both"/>
      <w:outlineLvl w:val="4"/>
    </w:pPr>
    <w:rPr>
      <w:noProof/>
      <w:lang w:val="el-GR"/>
    </w:rPr>
  </w:style>
  <w:style w:type="paragraph" w:styleId="6">
    <w:name w:val="heading 6"/>
    <w:basedOn w:val="a"/>
    <w:next w:val="a"/>
    <w:qFormat/>
    <w:rsid w:val="008327CC"/>
    <w:pPr>
      <w:keepNext/>
      <w:tabs>
        <w:tab w:val="left" w:pos="-720"/>
        <w:tab w:val="left" w:pos="4536"/>
      </w:tabs>
      <w:suppressAutoHyphens/>
      <w:outlineLvl w:val="5"/>
    </w:pPr>
    <w:rPr>
      <w:i/>
      <w:iCs/>
    </w:rPr>
  </w:style>
  <w:style w:type="paragraph" w:styleId="7">
    <w:name w:val="heading 7"/>
    <w:basedOn w:val="a"/>
    <w:next w:val="a"/>
    <w:qFormat/>
    <w:rsid w:val="008327CC"/>
    <w:pPr>
      <w:keepNext/>
      <w:tabs>
        <w:tab w:val="left" w:pos="-720"/>
        <w:tab w:val="left" w:pos="4536"/>
      </w:tabs>
      <w:suppressAutoHyphens/>
      <w:jc w:val="both"/>
      <w:outlineLvl w:val="6"/>
    </w:pPr>
    <w:rPr>
      <w:i/>
      <w:iCs/>
    </w:rPr>
  </w:style>
  <w:style w:type="paragraph" w:styleId="8">
    <w:name w:val="heading 8"/>
    <w:basedOn w:val="a"/>
    <w:next w:val="a"/>
    <w:qFormat/>
    <w:rsid w:val="008327CC"/>
    <w:pPr>
      <w:keepNext/>
      <w:ind w:left="567" w:hanging="567"/>
      <w:jc w:val="both"/>
      <w:outlineLvl w:val="7"/>
    </w:pPr>
    <w:rPr>
      <w:b/>
      <w:bCs/>
      <w:i/>
      <w:iCs/>
    </w:rPr>
  </w:style>
  <w:style w:type="paragraph" w:styleId="9">
    <w:name w:val="heading 9"/>
    <w:basedOn w:val="a"/>
    <w:next w:val="a"/>
    <w:qFormat/>
    <w:rsid w:val="008327CC"/>
    <w:pPr>
      <w:keepNext/>
      <w:jc w:val="both"/>
      <w:outlineLvl w:val="8"/>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27CC"/>
    <w:pPr>
      <w:spacing w:line="260" w:lineRule="exact"/>
    </w:pPr>
    <w:rPr>
      <w:b/>
      <w:bCs/>
      <w:i/>
      <w:iCs/>
    </w:rPr>
  </w:style>
  <w:style w:type="paragraph" w:styleId="a4">
    <w:name w:val="Body Text Indent"/>
    <w:basedOn w:val="a"/>
    <w:rsid w:val="008327CC"/>
    <w:pPr>
      <w:ind w:left="567"/>
    </w:pPr>
  </w:style>
  <w:style w:type="paragraph" w:styleId="30">
    <w:name w:val="Body Text 3"/>
    <w:basedOn w:val="a"/>
    <w:rsid w:val="008327CC"/>
    <w:pPr>
      <w:spacing w:line="260" w:lineRule="exact"/>
      <w:jc w:val="both"/>
    </w:pPr>
    <w:rPr>
      <w:b/>
      <w:bCs/>
      <w:i/>
      <w:iCs/>
    </w:rPr>
  </w:style>
  <w:style w:type="paragraph" w:styleId="20">
    <w:name w:val="Body Text Indent 2"/>
    <w:basedOn w:val="a"/>
    <w:rsid w:val="008327CC"/>
    <w:pPr>
      <w:ind w:left="284"/>
    </w:pPr>
  </w:style>
  <w:style w:type="character" w:styleId="a5">
    <w:name w:val="annotation reference"/>
    <w:semiHidden/>
    <w:rsid w:val="008327CC"/>
    <w:rPr>
      <w:sz w:val="16"/>
      <w:szCs w:val="16"/>
    </w:rPr>
  </w:style>
  <w:style w:type="paragraph" w:styleId="a6">
    <w:name w:val="Document Map"/>
    <w:basedOn w:val="a"/>
    <w:semiHidden/>
    <w:rsid w:val="008327CC"/>
    <w:pPr>
      <w:shd w:val="clear" w:color="auto" w:fill="000080"/>
    </w:pPr>
  </w:style>
  <w:style w:type="paragraph" w:styleId="a7">
    <w:name w:val="endnote text"/>
    <w:aliases w:val="notes,Endnote Text 1"/>
    <w:basedOn w:val="a"/>
    <w:semiHidden/>
    <w:rsid w:val="008327CC"/>
  </w:style>
  <w:style w:type="paragraph" w:styleId="a8">
    <w:name w:val="footer"/>
    <w:basedOn w:val="a"/>
    <w:rsid w:val="008327CC"/>
    <w:pPr>
      <w:tabs>
        <w:tab w:val="center" w:pos="4536"/>
        <w:tab w:val="center" w:pos="8930"/>
      </w:tabs>
    </w:pPr>
    <w:rPr>
      <w:rFonts w:ascii="Helvetica" w:hAnsi="Helvetica" w:cs="Helvetica"/>
      <w:sz w:val="16"/>
      <w:szCs w:val="16"/>
    </w:rPr>
  </w:style>
  <w:style w:type="character" w:styleId="a9">
    <w:name w:val="footnote reference"/>
    <w:semiHidden/>
    <w:rsid w:val="008327CC"/>
    <w:rPr>
      <w:vertAlign w:val="superscript"/>
    </w:rPr>
  </w:style>
  <w:style w:type="paragraph" w:styleId="aa">
    <w:name w:val="footnote text"/>
    <w:basedOn w:val="a"/>
    <w:semiHidden/>
    <w:rsid w:val="008327CC"/>
    <w:pPr>
      <w:spacing w:line="260" w:lineRule="exact"/>
    </w:pPr>
  </w:style>
  <w:style w:type="paragraph" w:styleId="ab">
    <w:name w:val="header"/>
    <w:basedOn w:val="a"/>
    <w:rsid w:val="008327CC"/>
    <w:pPr>
      <w:tabs>
        <w:tab w:val="center" w:pos="4153"/>
        <w:tab w:val="right" w:pos="8306"/>
      </w:tabs>
    </w:pPr>
    <w:rPr>
      <w:rFonts w:ascii="Helvetica" w:hAnsi="Helvetica" w:cs="Helvetica"/>
    </w:rPr>
  </w:style>
  <w:style w:type="character" w:customStyle="1" w:styleId="LegalNed">
    <w:name w:val="Legal (Ned)"/>
    <w:rsid w:val="008327CC"/>
    <w:rPr>
      <w:rFonts w:ascii="Times New Roman" w:hAnsi="Times New Roman" w:cs="Times New Roman"/>
      <w:sz w:val="20"/>
      <w:szCs w:val="20"/>
    </w:rPr>
  </w:style>
  <w:style w:type="paragraph" w:customStyle="1" w:styleId="NormalBox">
    <w:name w:val="Normal Box"/>
    <w:basedOn w:val="a"/>
    <w:next w:val="a"/>
    <w:rsid w:val="008327CC"/>
    <w:pPr>
      <w:pBdr>
        <w:top w:val="single" w:sz="4" w:space="1" w:color="auto"/>
        <w:left w:val="single" w:sz="4" w:space="4" w:color="auto"/>
        <w:bottom w:val="single" w:sz="4" w:space="1" w:color="auto"/>
        <w:right w:val="single" w:sz="4" w:space="4" w:color="auto"/>
      </w:pBdr>
      <w:ind w:left="567" w:hanging="567"/>
    </w:pPr>
    <w:rPr>
      <w:b/>
      <w:bCs/>
      <w:caps/>
      <w:lang w:val="en-US"/>
    </w:rPr>
  </w:style>
  <w:style w:type="paragraph" w:customStyle="1" w:styleId="Style1">
    <w:name w:val="Style1"/>
    <w:basedOn w:val="NormalBox"/>
    <w:rsid w:val="008327CC"/>
    <w:pPr>
      <w:ind w:left="0" w:firstLine="0"/>
    </w:pPr>
  </w:style>
  <w:style w:type="paragraph" w:customStyle="1" w:styleId="NormalBox2">
    <w:name w:val="Normal Box 2"/>
    <w:basedOn w:val="Style1"/>
    <w:rsid w:val="008327CC"/>
  </w:style>
  <w:style w:type="paragraph" w:customStyle="1" w:styleId="NormalCountry">
    <w:name w:val="Normal Country"/>
    <w:basedOn w:val="a"/>
    <w:rsid w:val="008327CC"/>
    <w:rPr>
      <w:b/>
      <w:bCs/>
    </w:rPr>
  </w:style>
  <w:style w:type="character" w:styleId="ac">
    <w:name w:val="page number"/>
    <w:basedOn w:val="a0"/>
    <w:rsid w:val="008327CC"/>
  </w:style>
  <w:style w:type="paragraph" w:customStyle="1" w:styleId="SS">
    <w:name w:val="SS"/>
    <w:basedOn w:val="a"/>
    <w:rsid w:val="008327CC"/>
    <w:pPr>
      <w:tabs>
        <w:tab w:val="clear" w:pos="567"/>
        <w:tab w:val="left" w:pos="1134"/>
        <w:tab w:val="left" w:pos="1702"/>
        <w:tab w:val="left" w:pos="1985"/>
        <w:tab w:val="left" w:pos="2977"/>
      </w:tabs>
    </w:pPr>
    <w:rPr>
      <w:rFonts w:ascii="Helvetica" w:hAnsi="Helvetica" w:cs="Helvetica"/>
      <w:b/>
      <w:bCs/>
      <w:position w:val="6"/>
    </w:rPr>
  </w:style>
  <w:style w:type="paragraph" w:customStyle="1" w:styleId="Text">
    <w:name w:val="Text"/>
    <w:aliases w:val="Graphic"/>
    <w:basedOn w:val="a"/>
    <w:rsid w:val="008327CC"/>
    <w:pPr>
      <w:tabs>
        <w:tab w:val="clear" w:pos="567"/>
      </w:tabs>
      <w:spacing w:line="312" w:lineRule="exact"/>
    </w:pPr>
    <w:rPr>
      <w:sz w:val="24"/>
      <w:szCs w:val="24"/>
    </w:rPr>
  </w:style>
  <w:style w:type="paragraph" w:customStyle="1" w:styleId="listbull">
    <w:name w:val="list:bull"/>
    <w:basedOn w:val="listalpha"/>
    <w:rsid w:val="008327CC"/>
    <w:pPr>
      <w:numPr>
        <w:numId w:val="3"/>
      </w:numPr>
    </w:pPr>
  </w:style>
  <w:style w:type="paragraph" w:customStyle="1" w:styleId="listalpha">
    <w:name w:val="list:alpha"/>
    <w:basedOn w:val="a"/>
    <w:rsid w:val="008327CC"/>
    <w:pPr>
      <w:tabs>
        <w:tab w:val="clear" w:pos="567"/>
      </w:tabs>
      <w:spacing w:after="120"/>
      <w:ind w:left="432" w:hanging="432"/>
    </w:pPr>
    <w:rPr>
      <w:sz w:val="24"/>
      <w:szCs w:val="24"/>
    </w:rPr>
  </w:style>
  <w:style w:type="paragraph" w:customStyle="1" w:styleId="listindentbull">
    <w:name w:val="list:indent bull"/>
    <w:rsid w:val="008327CC"/>
    <w:pPr>
      <w:numPr>
        <w:numId w:val="2"/>
      </w:numPr>
      <w:spacing w:after="120"/>
    </w:pPr>
    <w:rPr>
      <w:snapToGrid w:val="0"/>
      <w:sz w:val="24"/>
      <w:szCs w:val="24"/>
      <w:lang w:val="en-GB"/>
    </w:rPr>
  </w:style>
  <w:style w:type="paragraph" w:customStyle="1" w:styleId="tabletextNS">
    <w:name w:val="table:textNS"/>
    <w:basedOn w:val="tabletext"/>
    <w:rsid w:val="008327CC"/>
    <w:pPr>
      <w:spacing w:before="0" w:after="0"/>
    </w:pPr>
  </w:style>
  <w:style w:type="paragraph" w:customStyle="1" w:styleId="tabletext">
    <w:name w:val="table:text"/>
    <w:basedOn w:val="a"/>
    <w:rsid w:val="008327CC"/>
    <w:pPr>
      <w:tabs>
        <w:tab w:val="clear" w:pos="567"/>
      </w:tabs>
      <w:spacing w:before="120" w:after="120"/>
    </w:pPr>
    <w:rPr>
      <w:sz w:val="24"/>
      <w:szCs w:val="24"/>
    </w:rPr>
  </w:style>
  <w:style w:type="paragraph" w:styleId="ad">
    <w:name w:val="Title"/>
    <w:basedOn w:val="a"/>
    <w:qFormat/>
    <w:rsid w:val="008327CC"/>
    <w:pPr>
      <w:tabs>
        <w:tab w:val="clear" w:pos="567"/>
      </w:tabs>
      <w:jc w:val="center"/>
    </w:pPr>
    <w:rPr>
      <w:b/>
      <w:bCs/>
    </w:rPr>
  </w:style>
  <w:style w:type="paragraph" w:styleId="ae">
    <w:name w:val="Balloon Text"/>
    <w:basedOn w:val="a"/>
    <w:semiHidden/>
    <w:rsid w:val="008327CC"/>
    <w:rPr>
      <w:sz w:val="16"/>
      <w:szCs w:val="16"/>
    </w:rPr>
  </w:style>
  <w:style w:type="character" w:styleId="-">
    <w:name w:val="Hyperlink"/>
    <w:rsid w:val="008327CC"/>
    <w:rPr>
      <w:color w:val="0000FF"/>
      <w:u w:val="single"/>
    </w:rPr>
  </w:style>
  <w:style w:type="paragraph" w:styleId="af">
    <w:name w:val="annotation text"/>
    <w:basedOn w:val="a"/>
    <w:semiHidden/>
    <w:rsid w:val="008327CC"/>
    <w:rPr>
      <w:sz w:val="20"/>
      <w:szCs w:val="20"/>
    </w:rPr>
  </w:style>
  <w:style w:type="paragraph" w:styleId="af0">
    <w:name w:val="annotation subject"/>
    <w:basedOn w:val="af"/>
    <w:next w:val="af"/>
    <w:semiHidden/>
    <w:rsid w:val="008327CC"/>
    <w:rPr>
      <w:b/>
      <w:bCs/>
    </w:rPr>
  </w:style>
  <w:style w:type="paragraph" w:styleId="21">
    <w:name w:val="Body Text 2"/>
    <w:basedOn w:val="a"/>
    <w:rsid w:val="00201BEF"/>
    <w:pPr>
      <w:spacing w:after="120" w:line="480" w:lineRule="auto"/>
    </w:pPr>
  </w:style>
  <w:style w:type="character" w:customStyle="1" w:styleId="tw4winMark">
    <w:name w:val="tw4winMark"/>
    <w:rsid w:val="008327CC"/>
    <w:rPr>
      <w:rFonts w:ascii="Courier New" w:hAnsi="Courier New" w:cs="Courier New"/>
      <w:vanish/>
      <w:color w:val="800080"/>
      <w:sz w:val="24"/>
      <w:szCs w:val="24"/>
      <w:vertAlign w:val="subscript"/>
    </w:rPr>
  </w:style>
  <w:style w:type="character" w:customStyle="1" w:styleId="tw4winPopup">
    <w:name w:val="tw4winPopup"/>
    <w:rsid w:val="008327CC"/>
    <w:rPr>
      <w:rFonts w:ascii="Courier New" w:hAnsi="Courier New" w:cs="Courier New"/>
      <w:noProof/>
      <w:color w:val="008000"/>
    </w:rPr>
  </w:style>
  <w:style w:type="character" w:customStyle="1" w:styleId="tw4winError">
    <w:name w:val="tw4winError"/>
    <w:rsid w:val="008327CC"/>
    <w:rPr>
      <w:rFonts w:ascii="Courier New" w:hAnsi="Courier New" w:cs="Courier New"/>
      <w:color w:val="00FF00"/>
      <w:sz w:val="40"/>
      <w:szCs w:val="40"/>
    </w:rPr>
  </w:style>
  <w:style w:type="character" w:customStyle="1" w:styleId="tw4winTerm">
    <w:name w:val="tw4winTerm"/>
    <w:rsid w:val="008327CC"/>
    <w:rPr>
      <w:color w:val="0000FF"/>
    </w:rPr>
  </w:style>
  <w:style w:type="character" w:customStyle="1" w:styleId="tw4winJump">
    <w:name w:val="tw4winJump"/>
    <w:rsid w:val="008327CC"/>
    <w:rPr>
      <w:rFonts w:ascii="Courier New" w:hAnsi="Courier New" w:cs="Courier New"/>
      <w:noProof/>
      <w:color w:val="008080"/>
    </w:rPr>
  </w:style>
  <w:style w:type="character" w:customStyle="1" w:styleId="tw4winExternal">
    <w:name w:val="tw4winExternal"/>
    <w:rsid w:val="008327CC"/>
    <w:rPr>
      <w:rFonts w:ascii="Courier New" w:hAnsi="Courier New" w:cs="Courier New"/>
      <w:noProof/>
      <w:color w:val="808080"/>
    </w:rPr>
  </w:style>
  <w:style w:type="character" w:customStyle="1" w:styleId="tw4winInternal">
    <w:name w:val="tw4winInternal"/>
    <w:rsid w:val="008327CC"/>
    <w:rPr>
      <w:rFonts w:ascii="Courier New" w:hAnsi="Courier New" w:cs="Courier New"/>
      <w:noProof/>
      <w:color w:val="FF0000"/>
    </w:rPr>
  </w:style>
  <w:style w:type="character" w:customStyle="1" w:styleId="DONOTTRANSLATE">
    <w:name w:val="DO_NOT_TRANSLATE"/>
    <w:rsid w:val="008327CC"/>
    <w:rPr>
      <w:rFonts w:ascii="Courier New" w:hAnsi="Courier New" w:cs="Courier New"/>
      <w:noProof/>
      <w:color w:val="800000"/>
    </w:rPr>
  </w:style>
  <w:style w:type="table" w:styleId="af1">
    <w:name w:val="Table Grid"/>
    <w:basedOn w:val="a1"/>
    <w:rsid w:val="008062F2"/>
    <w:pPr>
      <w:tabs>
        <w:tab w:val="left" w:pos="56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0319362">
      <w:bodyDiv w:val="1"/>
      <w:marLeft w:val="0"/>
      <w:marRight w:val="0"/>
      <w:marTop w:val="0"/>
      <w:marBottom w:val="0"/>
      <w:divBdr>
        <w:top w:val="none" w:sz="0" w:space="0" w:color="auto"/>
        <w:left w:val="none" w:sz="0" w:space="0" w:color="auto"/>
        <w:bottom w:val="none" w:sz="0" w:space="0" w:color="auto"/>
        <w:right w:val="none" w:sz="0" w:space="0" w:color="auto"/>
      </w:divBdr>
    </w:div>
    <w:div w:id="1292439824">
      <w:bodyDiv w:val="1"/>
      <w:marLeft w:val="0"/>
      <w:marRight w:val="0"/>
      <w:marTop w:val="0"/>
      <w:marBottom w:val="0"/>
      <w:divBdr>
        <w:top w:val="none" w:sz="0" w:space="0" w:color="auto"/>
        <w:left w:val="none" w:sz="0" w:space="0" w:color="auto"/>
        <w:bottom w:val="none" w:sz="0" w:space="0" w:color="auto"/>
        <w:right w:val="none" w:sz="0" w:space="0" w:color="auto"/>
      </w:divBdr>
    </w:div>
    <w:div w:id="1541553496">
      <w:bodyDiv w:val="1"/>
      <w:marLeft w:val="0"/>
      <w:marRight w:val="0"/>
      <w:marTop w:val="0"/>
      <w:marBottom w:val="0"/>
      <w:divBdr>
        <w:top w:val="none" w:sz="0" w:space="0" w:color="auto"/>
        <w:left w:val="none" w:sz="0" w:space="0" w:color="auto"/>
        <w:bottom w:val="none" w:sz="0" w:space="0" w:color="auto"/>
        <w:right w:val="none" w:sz="0" w:space="0" w:color="auto"/>
      </w:divBdr>
    </w:div>
    <w:div w:id="205765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C627-9BE2-41CB-8CF8-13CB2CF2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2519</Words>
  <Characters>13607</Characters>
  <Application>Microsoft Office Word</Application>
  <DocSecurity>0</DocSecurity>
  <Lines>113</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DRAFT Version 1(date 22/3/95)</vt:lpstr>
      <vt:lpstr>DRAFT Version 1(date 22/3/95)</vt:lpstr>
    </vt:vector>
  </TitlesOfParts>
  <Company>SmithKline Beecham Biologicals</Company>
  <LinksUpToDate>false</LinksUpToDate>
  <CharactersWithSpaces>16094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Version 1(date 22/3/95)</dc:title>
  <dc:creator>STUURMAN Johanna</dc:creator>
  <cp:lastModifiedBy>user146</cp:lastModifiedBy>
  <cp:revision>10</cp:revision>
  <cp:lastPrinted>2013-07-24T09:56:00Z</cp:lastPrinted>
  <dcterms:created xsi:type="dcterms:W3CDTF">2013-07-24T10:02:00Z</dcterms:created>
  <dcterms:modified xsi:type="dcterms:W3CDTF">2013-09-27T11:08:00Z</dcterms:modified>
</cp:coreProperties>
</file>