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047A">
      <w:pPr>
        <w:pStyle w:val="Propertystatement"/>
        <w:tabs>
          <w:tab w:val="clear" w:pos="2268"/>
        </w:tabs>
        <w:spacing w:before="0"/>
        <w:rPr>
          <w:rFonts w:ascii="Times New Roman" w:hAnsi="Times New Roman" w:cs="Times New Roman"/>
          <w:b/>
          <w:sz w:val="22"/>
          <w:lang w:val="el-GR"/>
        </w:rPr>
      </w:pPr>
      <w:r w:rsidRPr="00B968F8">
        <w:rPr>
          <w:rFonts w:ascii="Times New Roman" w:hAnsi="Times New Roman" w:cs="Times New Roman"/>
          <w:b/>
          <w:sz w:val="22"/>
          <w:lang w:val="el-GR"/>
        </w:rPr>
        <w:t>ΠΕΡΙΛΗΨΗ ΤΩΝ ΧΑΡΑΚΤΗΡΙΣΤΙΚΩΝ ΤΟΥ ΠΡΟΪΟΝΤΟΣ</w:t>
      </w:r>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1.</w:t>
      </w:r>
      <w:r w:rsidRPr="00B968F8">
        <w:rPr>
          <w:rFonts w:ascii="Times New Roman" w:hAnsi="Times New Roman" w:cs="Times New Roman"/>
          <w:sz w:val="22"/>
          <w:lang w:val="el-GR"/>
        </w:rPr>
        <w:tab/>
        <w:t>ΟΝΟΜΑΣΙΑ ΤΟΥ ΦΑΡΜΑΚΕΥΤΙΚΟΥ ΠΡΟΪΟΝΤΟΣ</w:t>
      </w:r>
    </w:p>
    <w:p w:rsidR="0020047A" w:rsidRPr="00B968F8" w:rsidRDefault="0020047A">
      <w:pPr>
        <w:pStyle w:val="Text"/>
        <w:rPr>
          <w:sz w:val="22"/>
          <w:lang w:val="el-GR"/>
        </w:rPr>
      </w:pPr>
      <w:r w:rsidRPr="00B968F8">
        <w:rPr>
          <w:sz w:val="22"/>
          <w:lang w:val="el-GR"/>
        </w:rPr>
        <w:t xml:space="preserve">REMODULIN, 10 mg/ml διάλυμα για έγχυση </w:t>
      </w:r>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2.</w:t>
      </w:r>
      <w:r w:rsidRPr="00B968F8">
        <w:rPr>
          <w:rFonts w:ascii="Times New Roman" w:hAnsi="Times New Roman" w:cs="Times New Roman"/>
          <w:sz w:val="22"/>
          <w:lang w:val="el-GR"/>
        </w:rPr>
        <w:tab/>
        <w:t>ΠΟΙΟΤΙΚΗ ΚΑΙ ΠΟΣΟΤΙΚΗ ΣΥΝΘΕΣΗ</w:t>
      </w:r>
    </w:p>
    <w:p w:rsidR="00287B16" w:rsidRPr="00500FC2" w:rsidRDefault="00E25CEB" w:rsidP="00B968F8">
      <w:pPr>
        <w:pStyle w:val="Text"/>
        <w:spacing w:before="0"/>
        <w:rPr>
          <w:sz w:val="22"/>
          <w:szCs w:val="22"/>
          <w:lang w:val="el-GR"/>
          <w:rPrChange w:id="0" w:author="Συντάκτης">
            <w:rPr>
              <w:sz w:val="22"/>
              <w:szCs w:val="22"/>
            </w:rPr>
          </w:rPrChange>
        </w:rPr>
      </w:pPr>
      <w:r w:rsidRPr="00B968F8">
        <w:rPr>
          <w:sz w:val="22"/>
          <w:szCs w:val="22"/>
          <w:lang w:val="el-GR"/>
        </w:rPr>
        <w:t xml:space="preserve"> </w:t>
      </w:r>
    </w:p>
    <w:p w:rsidR="00E25CEB" w:rsidRPr="00500FC2" w:rsidRDefault="00E25CEB" w:rsidP="00B968F8">
      <w:pPr>
        <w:pStyle w:val="Text"/>
        <w:spacing w:before="0"/>
        <w:rPr>
          <w:sz w:val="22"/>
          <w:szCs w:val="22"/>
          <w:lang w:val="el-GR"/>
          <w:rPrChange w:id="1" w:author="Συντάκτης">
            <w:rPr>
              <w:sz w:val="22"/>
              <w:szCs w:val="22"/>
            </w:rPr>
          </w:rPrChange>
        </w:rPr>
      </w:pPr>
      <w:r w:rsidRPr="00B968F8">
        <w:rPr>
          <w:sz w:val="22"/>
          <w:szCs w:val="22"/>
          <w:lang w:val="el-GR"/>
        </w:rPr>
        <w:t xml:space="preserve">Κάθε </w:t>
      </w:r>
      <w:r w:rsidRPr="00B968F8">
        <w:rPr>
          <w:sz w:val="22"/>
          <w:szCs w:val="22"/>
          <w:lang w:val="en-US"/>
        </w:rPr>
        <w:t>ml</w:t>
      </w:r>
      <w:r w:rsidRPr="00B968F8">
        <w:rPr>
          <w:sz w:val="22"/>
          <w:szCs w:val="22"/>
          <w:lang w:val="el-GR"/>
        </w:rPr>
        <w:t xml:space="preserve"> περιέχει 10 </w:t>
      </w:r>
      <w:r w:rsidRPr="00B968F8">
        <w:rPr>
          <w:sz w:val="22"/>
          <w:szCs w:val="22"/>
          <w:lang w:val="en-US"/>
        </w:rPr>
        <w:t>mg</w:t>
      </w:r>
      <w:r w:rsidRPr="00B968F8">
        <w:rPr>
          <w:sz w:val="22"/>
          <w:szCs w:val="22"/>
          <w:lang w:val="el-GR"/>
        </w:rPr>
        <w:t xml:space="preserve"> τρεπροστινίλης, σε μορφή νατριούχου τρεπροστινίλης.</w:t>
      </w:r>
    </w:p>
    <w:p w:rsidR="00880F3D" w:rsidRPr="00500FC2" w:rsidRDefault="00880F3D" w:rsidP="00B968F8">
      <w:pPr>
        <w:pStyle w:val="Text"/>
        <w:spacing w:before="0"/>
        <w:rPr>
          <w:sz w:val="22"/>
          <w:szCs w:val="22"/>
          <w:lang w:val="el-GR"/>
          <w:rPrChange w:id="2" w:author="Συντάκτης">
            <w:rPr>
              <w:sz w:val="22"/>
              <w:szCs w:val="22"/>
            </w:rPr>
          </w:rPrChange>
        </w:rPr>
      </w:pPr>
    </w:p>
    <w:p w:rsidR="00E25CEB" w:rsidRPr="00B968F8" w:rsidRDefault="00E25CEB" w:rsidP="00B968F8">
      <w:pPr>
        <w:pStyle w:val="Text"/>
        <w:spacing w:before="0"/>
        <w:rPr>
          <w:sz w:val="22"/>
          <w:szCs w:val="22"/>
          <w:lang w:val="el-GR"/>
        </w:rPr>
      </w:pPr>
      <w:r w:rsidRPr="00B968F8">
        <w:rPr>
          <w:sz w:val="22"/>
          <w:szCs w:val="22"/>
          <w:lang w:val="el-GR"/>
        </w:rPr>
        <w:t xml:space="preserve">Κάθε φιαλίδιο 20 </w:t>
      </w:r>
      <w:r w:rsidRPr="00B968F8">
        <w:rPr>
          <w:sz w:val="22"/>
          <w:szCs w:val="22"/>
          <w:lang w:val="en-US"/>
        </w:rPr>
        <w:t>ml</w:t>
      </w:r>
      <w:r w:rsidRPr="00B968F8">
        <w:rPr>
          <w:sz w:val="22"/>
          <w:szCs w:val="22"/>
          <w:lang w:val="el-GR"/>
        </w:rPr>
        <w:t xml:space="preserve"> διαλύματος περιέχει 200 </w:t>
      </w:r>
      <w:r w:rsidRPr="00B968F8">
        <w:rPr>
          <w:sz w:val="22"/>
          <w:szCs w:val="22"/>
          <w:lang w:val="en-US"/>
        </w:rPr>
        <w:t>mg</w:t>
      </w:r>
      <w:r w:rsidRPr="00B968F8">
        <w:rPr>
          <w:sz w:val="22"/>
          <w:szCs w:val="22"/>
          <w:lang w:val="el-GR"/>
        </w:rPr>
        <w:t xml:space="preserve"> τρεπροστινίλης  (νατριούχο άλας που σχηματίζεται </w:t>
      </w:r>
      <w:r w:rsidRPr="00B968F8">
        <w:rPr>
          <w:i/>
          <w:sz w:val="22"/>
          <w:szCs w:val="22"/>
          <w:lang w:val="en-US"/>
        </w:rPr>
        <w:t>in</w:t>
      </w:r>
      <w:r w:rsidRPr="00B968F8">
        <w:rPr>
          <w:i/>
          <w:sz w:val="22"/>
          <w:szCs w:val="22"/>
          <w:lang w:val="el-GR"/>
        </w:rPr>
        <w:t xml:space="preserve"> </w:t>
      </w:r>
      <w:r w:rsidRPr="00B968F8">
        <w:rPr>
          <w:i/>
          <w:sz w:val="22"/>
          <w:szCs w:val="22"/>
          <w:lang w:val="en-US"/>
        </w:rPr>
        <w:t>situ</w:t>
      </w:r>
      <w:r w:rsidRPr="00B968F8">
        <w:rPr>
          <w:i/>
          <w:sz w:val="22"/>
          <w:szCs w:val="22"/>
          <w:lang w:val="el-GR"/>
        </w:rPr>
        <w:t xml:space="preserve"> </w:t>
      </w:r>
      <w:r w:rsidRPr="00B968F8">
        <w:rPr>
          <w:sz w:val="22"/>
          <w:szCs w:val="22"/>
          <w:lang w:val="el-GR"/>
        </w:rPr>
        <w:t>κατά τη διάρκεια της παρασκευής του τελικού προϊόντος).</w:t>
      </w:r>
    </w:p>
    <w:p w:rsidR="00880F3D" w:rsidRPr="00500FC2" w:rsidRDefault="00880F3D" w:rsidP="00B968F8">
      <w:pPr>
        <w:pStyle w:val="Text"/>
        <w:spacing w:before="0"/>
        <w:rPr>
          <w:sz w:val="22"/>
          <w:szCs w:val="22"/>
          <w:lang w:val="el-GR"/>
          <w:rPrChange w:id="3" w:author="Συντάκτης">
            <w:rPr>
              <w:sz w:val="22"/>
              <w:szCs w:val="22"/>
            </w:rPr>
          </w:rPrChange>
        </w:rPr>
      </w:pPr>
    </w:p>
    <w:p w:rsidR="00E25CEB" w:rsidRPr="00B968F8" w:rsidRDefault="00E25CEB" w:rsidP="00B968F8">
      <w:pPr>
        <w:pStyle w:val="Text"/>
        <w:spacing w:before="0"/>
        <w:rPr>
          <w:sz w:val="22"/>
          <w:szCs w:val="22"/>
          <w:lang w:val="el-GR"/>
        </w:rPr>
      </w:pPr>
      <w:r w:rsidRPr="00B968F8">
        <w:rPr>
          <w:sz w:val="22"/>
          <w:szCs w:val="22"/>
          <w:lang w:val="el-GR"/>
        </w:rPr>
        <w:t>Έκδοχα</w:t>
      </w:r>
    </w:p>
    <w:p w:rsidR="00E25CEB" w:rsidRPr="00B968F8" w:rsidRDefault="00E25CEB" w:rsidP="00B968F8">
      <w:pPr>
        <w:pStyle w:val="Text"/>
        <w:spacing w:before="0"/>
        <w:rPr>
          <w:sz w:val="22"/>
          <w:szCs w:val="22"/>
          <w:lang w:val="el-GR"/>
        </w:rPr>
      </w:pPr>
      <w:r w:rsidRPr="00B968F8">
        <w:rPr>
          <w:sz w:val="22"/>
          <w:szCs w:val="22"/>
          <w:lang w:val="el-GR"/>
        </w:rPr>
        <w:t xml:space="preserve">Νάτριο: 55,1 </w:t>
      </w:r>
      <w:r w:rsidRPr="00B968F8">
        <w:rPr>
          <w:sz w:val="22"/>
          <w:szCs w:val="22"/>
          <w:lang w:val="en-US"/>
        </w:rPr>
        <w:t>mg</w:t>
      </w:r>
      <w:r w:rsidRPr="00B968F8">
        <w:rPr>
          <w:sz w:val="22"/>
          <w:szCs w:val="22"/>
          <w:lang w:val="el-GR"/>
        </w:rPr>
        <w:t xml:space="preserve"> ανά φιαλίδιο 20 </w:t>
      </w:r>
      <w:r w:rsidRPr="00B968F8">
        <w:rPr>
          <w:sz w:val="22"/>
          <w:szCs w:val="22"/>
          <w:lang w:val="en-US"/>
        </w:rPr>
        <w:t>ml</w:t>
      </w:r>
    </w:p>
    <w:p w:rsidR="0020047A" w:rsidRPr="00B968F8" w:rsidRDefault="0020047A" w:rsidP="00B968F8">
      <w:pPr>
        <w:pStyle w:val="Text"/>
        <w:spacing w:before="0"/>
        <w:rPr>
          <w:sz w:val="22"/>
          <w:lang w:val="el-GR"/>
        </w:rPr>
      </w:pPr>
      <w:r w:rsidRPr="00B968F8">
        <w:rPr>
          <w:sz w:val="22"/>
          <w:lang w:val="el-GR"/>
        </w:rPr>
        <w:t xml:space="preserve">Για </w:t>
      </w:r>
      <w:r w:rsidR="00E25CEB" w:rsidRPr="00B968F8">
        <w:rPr>
          <w:sz w:val="22"/>
          <w:szCs w:val="22"/>
          <w:lang w:val="el-GR"/>
        </w:rPr>
        <w:t>μια πλήρη λίστα εκδόχων,</w:t>
      </w:r>
      <w:r w:rsidRPr="00B968F8">
        <w:rPr>
          <w:sz w:val="22"/>
          <w:lang w:val="el-GR"/>
        </w:rPr>
        <w:t xml:space="preserve"> δείτε την παράγραφο 6.1.</w:t>
      </w:r>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3.</w:t>
      </w:r>
      <w:r w:rsidRPr="00B968F8">
        <w:rPr>
          <w:rFonts w:ascii="Times New Roman" w:hAnsi="Times New Roman" w:cs="Times New Roman"/>
          <w:sz w:val="22"/>
          <w:lang w:val="el-GR"/>
        </w:rPr>
        <w:tab/>
        <w:t>ΦΑΡΜΑΚΟΤΕΧΝΙΚΗ ΜΟΡΦΗ</w:t>
      </w:r>
    </w:p>
    <w:p w:rsidR="0020047A" w:rsidRPr="00B968F8" w:rsidRDefault="0020047A">
      <w:pPr>
        <w:pStyle w:val="Text"/>
        <w:rPr>
          <w:sz w:val="22"/>
          <w:lang w:val="el-GR"/>
        </w:rPr>
      </w:pPr>
      <w:r w:rsidRPr="00B968F8">
        <w:rPr>
          <w:sz w:val="22"/>
          <w:lang w:val="el-GR"/>
        </w:rPr>
        <w:t xml:space="preserve">Διάλυμα για έγχυση (για υποδόρια </w:t>
      </w:r>
      <w:r w:rsidR="00DB593F" w:rsidRPr="00B968F8">
        <w:rPr>
          <w:sz w:val="22"/>
          <w:lang w:val="el-GR"/>
        </w:rPr>
        <w:t xml:space="preserve">ή ενδοφλέβια </w:t>
      </w:r>
      <w:r w:rsidRPr="00B968F8">
        <w:rPr>
          <w:sz w:val="22"/>
          <w:lang w:val="el-GR"/>
        </w:rPr>
        <w:t>χρήση).</w:t>
      </w:r>
    </w:p>
    <w:p w:rsidR="0020047A" w:rsidRPr="00B968F8" w:rsidRDefault="0020047A">
      <w:pPr>
        <w:pStyle w:val="Text"/>
        <w:rPr>
          <w:sz w:val="22"/>
          <w:lang w:val="el-GR"/>
        </w:rPr>
      </w:pPr>
      <w:r w:rsidRPr="00B968F8">
        <w:rPr>
          <w:sz w:val="22"/>
          <w:lang w:val="el-GR"/>
        </w:rPr>
        <w:t>Διαυγές άχρωμο έως ελαφρώς κίτρινο διάλυμα.</w:t>
      </w:r>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4.</w:t>
      </w:r>
      <w:r w:rsidRPr="00B968F8">
        <w:rPr>
          <w:rFonts w:ascii="Times New Roman" w:hAnsi="Times New Roman" w:cs="Times New Roman"/>
          <w:sz w:val="22"/>
          <w:lang w:val="el-GR"/>
        </w:rPr>
        <w:tab/>
        <w:t>ΚΛΙΝΙΚΕΣ ΠΛΗΡΟΦΟΡΙΕΣ</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4.1.</w:t>
      </w:r>
      <w:r w:rsidRPr="00B968F8">
        <w:rPr>
          <w:rFonts w:ascii="Times New Roman" w:hAnsi="Times New Roman" w:cs="Times New Roman"/>
          <w:sz w:val="22"/>
          <w:lang w:val="el-GR"/>
        </w:rPr>
        <w:tab/>
        <w:t>Θεραπευτικές ενδείξεις</w:t>
      </w:r>
    </w:p>
    <w:p w:rsidR="0020047A" w:rsidRPr="00B968F8" w:rsidRDefault="0020047A">
      <w:pPr>
        <w:pStyle w:val="Text"/>
        <w:rPr>
          <w:sz w:val="22"/>
          <w:lang w:val="el-GR"/>
        </w:rPr>
      </w:pPr>
      <w:r w:rsidRPr="00B968F8">
        <w:rPr>
          <w:sz w:val="22"/>
          <w:lang w:val="el-GR"/>
        </w:rPr>
        <w:t xml:space="preserve">Θεραπεία της </w:t>
      </w:r>
      <w:r w:rsidR="00E25CEB" w:rsidRPr="00B968F8">
        <w:rPr>
          <w:sz w:val="22"/>
          <w:szCs w:val="22"/>
          <w:lang w:val="el-GR"/>
        </w:rPr>
        <w:t xml:space="preserve">ιδιοπαθούς ή </w:t>
      </w:r>
      <w:r w:rsidR="00DB593F" w:rsidRPr="00B968F8">
        <w:rPr>
          <w:sz w:val="22"/>
          <w:lang w:val="el-GR"/>
        </w:rPr>
        <w:t>κληρονομήσιμη</w:t>
      </w:r>
      <w:r w:rsidR="008254EA" w:rsidRPr="00B968F8">
        <w:rPr>
          <w:sz w:val="22"/>
          <w:lang w:val="el-GR"/>
        </w:rPr>
        <w:t>ς</w:t>
      </w:r>
      <w:r w:rsidR="00DB593F" w:rsidRPr="00B968F8">
        <w:rPr>
          <w:sz w:val="22"/>
          <w:lang w:val="el-GR"/>
        </w:rPr>
        <w:t xml:space="preserve"> </w:t>
      </w:r>
      <w:r w:rsidRPr="00B968F8">
        <w:rPr>
          <w:sz w:val="22"/>
          <w:lang w:val="el-GR"/>
        </w:rPr>
        <w:t xml:space="preserve">πνευμονικής αρτηριακής υπέρτασης (ΠΑΥ) για τη βελτίωση της ανοχής στη σωματική άσκηση και των συμπτωμάτων της νόσου, σε ασθενείς που κατατάσσονται στην </w:t>
      </w:r>
      <w:r w:rsidR="00DB593F" w:rsidRPr="00B968F8">
        <w:rPr>
          <w:sz w:val="22"/>
          <w:lang w:val="el-GR"/>
        </w:rPr>
        <w:t xml:space="preserve">λειτουργική </w:t>
      </w:r>
      <w:r w:rsidRPr="00B968F8">
        <w:rPr>
          <w:sz w:val="22"/>
          <w:lang w:val="el-GR"/>
        </w:rPr>
        <w:t>τάξη ΙΙΙ σύμφωνα με την ταξινόμηση της Καρδιολογικής Εταιρείας της Νέας Υόρκης (NYHA).</w:t>
      </w:r>
    </w:p>
    <w:p w:rsidR="0020047A" w:rsidRPr="00B968F8" w:rsidRDefault="0020047A">
      <w:pPr>
        <w:pStyle w:val="2"/>
        <w:numPr>
          <w:ilvl w:val="1"/>
          <w:numId w:val="2"/>
        </w:numPr>
        <w:jc w:val="both"/>
        <w:rPr>
          <w:rFonts w:ascii="Times New Roman" w:hAnsi="Times New Roman" w:cs="Times New Roman"/>
          <w:sz w:val="22"/>
          <w:lang w:val="el-GR"/>
        </w:rPr>
      </w:pPr>
      <w:r w:rsidRPr="00B968F8">
        <w:rPr>
          <w:rFonts w:ascii="Times New Roman" w:hAnsi="Times New Roman" w:cs="Times New Roman"/>
          <w:sz w:val="22"/>
          <w:lang w:val="el-GR"/>
        </w:rPr>
        <w:t>Δοσολογία και τρόπος χορήγησης</w:t>
      </w:r>
    </w:p>
    <w:p w:rsidR="0020047A" w:rsidRPr="00B968F8" w:rsidRDefault="0020047A">
      <w:pPr>
        <w:pStyle w:val="Text"/>
        <w:rPr>
          <w:sz w:val="22"/>
          <w:lang w:val="el-GR"/>
        </w:rPr>
      </w:pPr>
      <w:r w:rsidRPr="00B968F8">
        <w:rPr>
          <w:sz w:val="22"/>
          <w:lang w:val="el-GR"/>
        </w:rPr>
        <w:t xml:space="preserve">Το REMODULIN χορηγείται μέσω συνεχούς υποδόριας </w:t>
      </w:r>
      <w:r w:rsidR="00DB593F" w:rsidRPr="00B968F8">
        <w:rPr>
          <w:sz w:val="22"/>
          <w:lang w:val="el-GR"/>
        </w:rPr>
        <w:t xml:space="preserve">ή ενδοφλέβιας </w:t>
      </w:r>
      <w:r w:rsidRPr="00B968F8">
        <w:rPr>
          <w:sz w:val="22"/>
          <w:lang w:val="el-GR"/>
        </w:rPr>
        <w:t>έγχυσης.</w:t>
      </w:r>
      <w:r w:rsidR="00DB593F" w:rsidRPr="00B968F8">
        <w:rPr>
          <w:sz w:val="22"/>
          <w:lang w:val="el-GR"/>
        </w:rPr>
        <w:t xml:space="preserve"> Λόγω των κινδύνων που συσχετίζονται με τους μόνιμους κεντρικούς φλεβικούς καθετήρες χρόνιας χρήσης, που περιλαμβάνουν σοβαρές αιματογενείς λοιμώξεις, η υποδόρια έγχυση (μη αραιωμένη) είναι ο προτιμώμενος τρόπος χορήγησης και η συνεχής ενδοφλέβια έγχυση θα πρέπει να περιορίζεται σε ασθενείς που έχουν σταθεροποιηθεί με υποδόρια έγχυση της τρεπροστινίλης οι οποίοι έχουν αναπτύξει δυσανεξία στην υποδόρια οδό χορήγησης και όταν οι κίνδυνοι αυτοί θεωρούνται αποδεκτοί για αυτούς τους ασθενείς.</w:t>
      </w:r>
    </w:p>
    <w:p w:rsidR="0020047A" w:rsidRPr="00B968F8" w:rsidRDefault="0020047A">
      <w:pPr>
        <w:pStyle w:val="Text"/>
        <w:rPr>
          <w:sz w:val="22"/>
          <w:lang w:val="el-GR"/>
        </w:rPr>
      </w:pPr>
      <w:r w:rsidRPr="00B968F8">
        <w:rPr>
          <w:sz w:val="22"/>
          <w:lang w:val="el-GR"/>
        </w:rPr>
        <w:t>Η θεραπεία θα πρέπει να εφαρμόζεται και να παρακολουθείται αποκλειστικά από κλινικούς ιατρούς με εμπειρία στη θεραπεία της πνευμονικής υπέρτασης.</w:t>
      </w:r>
    </w:p>
    <w:p w:rsidR="0020047A" w:rsidRPr="00B968F8" w:rsidRDefault="0020047A" w:rsidP="00067B9C">
      <w:pPr>
        <w:pStyle w:val="Text"/>
        <w:keepNext/>
        <w:keepLines/>
        <w:rPr>
          <w:sz w:val="22"/>
          <w:lang w:val="el-GR"/>
        </w:rPr>
      </w:pPr>
      <w:r w:rsidRPr="00B968F8">
        <w:rPr>
          <w:b/>
          <w:sz w:val="22"/>
          <w:u w:val="single"/>
          <w:lang w:val="el-GR"/>
        </w:rPr>
        <w:t xml:space="preserve">Σε ενήλικες: </w:t>
      </w:r>
    </w:p>
    <w:p w:rsidR="0020047A" w:rsidRPr="00B968F8" w:rsidRDefault="0020047A" w:rsidP="00067B9C">
      <w:pPr>
        <w:pStyle w:val="Text"/>
        <w:keepNext/>
        <w:keepLines/>
        <w:rPr>
          <w:sz w:val="22"/>
          <w:lang w:val="el-GR"/>
        </w:rPr>
      </w:pPr>
      <w:r w:rsidRPr="00B968F8">
        <w:rPr>
          <w:sz w:val="22"/>
          <w:u w:val="single"/>
          <w:lang w:val="el-GR"/>
        </w:rPr>
        <w:t>Έναρξη θεραπείας σε ασθενείς για τους οποίους η θεραπεία με προστακυκλίνη είναι νέα</w:t>
      </w:r>
      <w:r w:rsidRPr="00B968F8">
        <w:rPr>
          <w:sz w:val="22"/>
          <w:lang w:val="el-GR"/>
        </w:rPr>
        <w:t>:</w:t>
      </w:r>
    </w:p>
    <w:p w:rsidR="0020047A" w:rsidRPr="00B968F8" w:rsidRDefault="0020047A">
      <w:pPr>
        <w:pStyle w:val="Text"/>
        <w:rPr>
          <w:sz w:val="22"/>
          <w:lang w:val="el-GR"/>
        </w:rPr>
      </w:pPr>
      <w:r w:rsidRPr="00B968F8">
        <w:rPr>
          <w:sz w:val="22"/>
          <w:lang w:val="el-GR"/>
        </w:rPr>
        <w:t>Η θεραπεία θα πρέπει να ξεκινά υπό στενή ιατρική επίβλεψη, σε ιατρικές εγκαταστάσεις που έχουν τη δυνατότητα παροχής εντατικής θεραπείας.</w:t>
      </w:r>
    </w:p>
    <w:p w:rsidR="0020047A" w:rsidRPr="00B968F8" w:rsidRDefault="0020047A">
      <w:pPr>
        <w:pStyle w:val="Text"/>
        <w:rPr>
          <w:sz w:val="22"/>
          <w:lang w:val="el-GR"/>
        </w:rPr>
      </w:pPr>
      <w:r w:rsidRPr="00B968F8">
        <w:rPr>
          <w:sz w:val="22"/>
          <w:lang w:val="el-GR"/>
        </w:rPr>
        <w:t>Ο συνιστώμενος αρχικός ρυθμός έγχυσης είναι 1,25 ng/kg/λεπτό. Εάν αυτή η αρχική δόση δεν είναι καλώς ανεκτή, ο ρυθμός έγχυσης θα πρέπει να μειωθεί σε 0,625 ng/kg/λεπτό.</w:t>
      </w:r>
    </w:p>
    <w:p w:rsidR="0020047A" w:rsidRPr="00B968F8" w:rsidRDefault="0020047A" w:rsidP="00067B9C">
      <w:pPr>
        <w:pStyle w:val="Text"/>
        <w:keepNext/>
        <w:keepLines/>
        <w:rPr>
          <w:b/>
          <w:sz w:val="22"/>
          <w:lang w:val="el-GR"/>
        </w:rPr>
      </w:pPr>
      <w:r w:rsidRPr="00B968F8">
        <w:rPr>
          <w:sz w:val="22"/>
          <w:u w:val="single"/>
          <w:lang w:val="el-GR"/>
        </w:rPr>
        <w:lastRenderedPageBreak/>
        <w:t>Ρύθμιση της δοσολογίας</w:t>
      </w:r>
      <w:r w:rsidRPr="00B968F8">
        <w:rPr>
          <w:sz w:val="22"/>
          <w:lang w:val="el-GR"/>
        </w:rPr>
        <w:t>:</w:t>
      </w:r>
    </w:p>
    <w:p w:rsidR="0020047A" w:rsidRPr="00B968F8" w:rsidRDefault="0020047A">
      <w:pPr>
        <w:pStyle w:val="Text"/>
        <w:rPr>
          <w:sz w:val="22"/>
          <w:lang w:val="el-GR"/>
        </w:rPr>
      </w:pPr>
      <w:r w:rsidRPr="00B968F8">
        <w:rPr>
          <w:sz w:val="22"/>
          <w:lang w:val="el-GR"/>
        </w:rPr>
        <w:t>Ο ρυθμός έγχυσης θα πρέπει να αυξάνεται υπό ιατρική επίβλεψη με βαθμιαία αύξηση κατά 1,25 ng/kg/λεπτό ανά εβδομάδα για τις πρώτες τέσσερις εβδομάδες θεραπείας και, στη συνέχεια, σε βήματα των 2,5 ng/kg/λεπτό ανά εβδομάδα.</w:t>
      </w:r>
    </w:p>
    <w:p w:rsidR="0020047A" w:rsidRPr="00B968F8" w:rsidRDefault="0020047A">
      <w:pPr>
        <w:pStyle w:val="Text"/>
        <w:rPr>
          <w:sz w:val="22"/>
          <w:lang w:val="el-GR"/>
        </w:rPr>
      </w:pPr>
      <w:r w:rsidRPr="00B968F8">
        <w:rPr>
          <w:sz w:val="22"/>
          <w:lang w:val="el-GR"/>
        </w:rPr>
        <w:t xml:space="preserve">Η δόση θα πρέπει να προσαρμόζεται σε ατομική βάση και υπό ιατρική επίβλεψη, προκειμένου να επιτευχθεί μια δόση συντήρησης με την οποία τα συμπτώματα θα βελτιωθούν και η οποία θα είναι ανεκτή από τον ασθενή. </w:t>
      </w:r>
    </w:p>
    <w:p w:rsidR="0020047A" w:rsidRPr="00B968F8" w:rsidRDefault="0020047A">
      <w:pPr>
        <w:pStyle w:val="Text"/>
        <w:rPr>
          <w:sz w:val="22"/>
          <w:lang w:val="el-GR"/>
        </w:rPr>
      </w:pPr>
      <w:r w:rsidRPr="00B968F8">
        <w:rPr>
          <w:sz w:val="22"/>
          <w:lang w:val="el-GR"/>
        </w:rPr>
        <w:t>Η αποτελεσματικότητα στο κύριο τμήμα των κλινικών δοκιμών, διάρκειας 12 εβδομάδων, μπόρεσε να διατηρηθεί μόνον εφόσον η δόση αυξανόταν 3-4 φορές το μήνα κατά μέσον όρο. Ο στόχος των συνεχών ρυθμίσεων της δόσης με την πάροδο του χρόνου είναι να προσδιοριστεί η δόση στην οποία τα συμπτώματα της πνευμονικής αρτηριακής υπέρτασης παρουσιάζουν βελτίωση, ελαχιστοποιώντας συγχρόνως τις υπερβολικές φαρμακολογικές επιδράσεις του Remodulin.</w:t>
      </w:r>
    </w:p>
    <w:p w:rsidR="0020047A" w:rsidRPr="00B968F8" w:rsidRDefault="0020047A">
      <w:pPr>
        <w:pStyle w:val="Text"/>
        <w:rPr>
          <w:sz w:val="22"/>
          <w:lang w:val="el-GR"/>
        </w:rPr>
      </w:pPr>
      <w:r w:rsidRPr="00B968F8">
        <w:rPr>
          <w:sz w:val="22"/>
          <w:lang w:val="el-GR"/>
        </w:rPr>
        <w:t>Οι ανεπιθύμητες ενέργειες, όπως π.χ. ερυθρίαση, κεφαλαλγία, υπόταση, ναυτία, έμετος και διάρροια, εξαρτώνται συνήθως από τη χορηγούμενη δόση τρεπροστινίλης. Οι ανεπιθύμητες ενέργειες ενδέχεται να εξαφανιστούν καθώς προχωρά η θεραπεία, στην περίπτωση όμως που επιμένουν ή καταστούν αφόρητες για τον ασθενή, ο ρυθμός έγχυσης θα πρέπει να μειωθεί προκειμένου να ελαττωθεί η έντασή τους.</w:t>
      </w:r>
    </w:p>
    <w:p w:rsidR="0020047A" w:rsidRPr="00B968F8" w:rsidRDefault="0020047A">
      <w:pPr>
        <w:pStyle w:val="Text"/>
        <w:rPr>
          <w:sz w:val="22"/>
          <w:lang w:val="el-GR"/>
        </w:rPr>
      </w:pPr>
      <w:r w:rsidRPr="00B968F8">
        <w:rPr>
          <w:sz w:val="22"/>
          <w:lang w:val="el-GR"/>
        </w:rPr>
        <w:t xml:space="preserve">Κατά τη διάρκεια των φάσεων παρακολούθησης των κλινικών δοκιμών, η μέση δόση που επιτεύχθηκε μετά από 12 μήνες ήταν 26 </w:t>
      </w:r>
      <w:r w:rsidRPr="00B968F8">
        <w:rPr>
          <w:sz w:val="22"/>
          <w:lang w:val="en-US"/>
        </w:rPr>
        <w:t>ng</w:t>
      </w:r>
      <w:r w:rsidRPr="00B968F8">
        <w:rPr>
          <w:sz w:val="22"/>
          <w:lang w:val="el-GR"/>
        </w:rPr>
        <w:t>/</w:t>
      </w:r>
      <w:r w:rsidRPr="00B968F8">
        <w:rPr>
          <w:sz w:val="22"/>
          <w:lang w:val="en-US"/>
        </w:rPr>
        <w:t>kg</w:t>
      </w:r>
      <w:r w:rsidRPr="00B968F8">
        <w:rPr>
          <w:sz w:val="22"/>
          <w:lang w:val="el-GR"/>
        </w:rPr>
        <w:t xml:space="preserve">/λεπτό, μετά από 24 μήνες ήταν 36 </w:t>
      </w:r>
      <w:r w:rsidRPr="00B968F8">
        <w:rPr>
          <w:sz w:val="22"/>
          <w:lang w:val="en-US"/>
        </w:rPr>
        <w:t>ng</w:t>
      </w:r>
      <w:r w:rsidRPr="00B968F8">
        <w:rPr>
          <w:sz w:val="22"/>
          <w:lang w:val="el-GR"/>
        </w:rPr>
        <w:t>/</w:t>
      </w:r>
      <w:r w:rsidRPr="00B968F8">
        <w:rPr>
          <w:sz w:val="22"/>
          <w:lang w:val="en-US"/>
        </w:rPr>
        <w:t>kg</w:t>
      </w:r>
      <w:r w:rsidRPr="00B968F8">
        <w:rPr>
          <w:sz w:val="22"/>
          <w:lang w:val="el-GR"/>
        </w:rPr>
        <w:t xml:space="preserve">/λεπτό και μετά από 48 μήνες ήταν 42 </w:t>
      </w:r>
      <w:r w:rsidRPr="00B968F8">
        <w:rPr>
          <w:sz w:val="22"/>
          <w:lang w:val="en-US"/>
        </w:rPr>
        <w:t>ng</w:t>
      </w:r>
      <w:r w:rsidRPr="00B968F8">
        <w:rPr>
          <w:sz w:val="22"/>
          <w:lang w:val="el-GR"/>
        </w:rPr>
        <w:t>/</w:t>
      </w:r>
      <w:r w:rsidRPr="00B968F8">
        <w:rPr>
          <w:sz w:val="22"/>
          <w:lang w:val="en-US"/>
        </w:rPr>
        <w:t>kg</w:t>
      </w:r>
      <w:r w:rsidRPr="00B968F8">
        <w:rPr>
          <w:sz w:val="22"/>
          <w:lang w:val="el-GR"/>
        </w:rPr>
        <w:t>/λεπτό.Για παχύσαρκους ασθενείς (οι οποίοι ζυγίζουν &gt; 30% περισσότερο από το ιδανικό σωματικό βάρος), η αρχική δόση και οι περαιτέρω σταδιακές αυξήσεις της δόσης θα πρέπει να βασίζονται στο ιδανικό σωματικό βάρος.</w:t>
      </w:r>
    </w:p>
    <w:p w:rsidR="00DB593F" w:rsidRPr="00B968F8" w:rsidRDefault="00DB593F" w:rsidP="008C3724">
      <w:pPr>
        <w:pStyle w:val="Text"/>
        <w:rPr>
          <w:sz w:val="22"/>
          <w:lang w:val="el-GR"/>
        </w:rPr>
      </w:pPr>
    </w:p>
    <w:p w:rsidR="00DB593F" w:rsidRPr="00B968F8" w:rsidRDefault="00DB593F" w:rsidP="008C3724">
      <w:pPr>
        <w:pStyle w:val="Heading4Paratext"/>
        <w:ind w:left="0"/>
        <w:jc w:val="both"/>
        <w:rPr>
          <w:lang w:val="el-GR"/>
        </w:rPr>
      </w:pPr>
      <w:r w:rsidRPr="00B968F8">
        <w:rPr>
          <w:sz w:val="22"/>
          <w:lang w:val="el-GR"/>
        </w:rPr>
        <w:t xml:space="preserve">Η απότομη διακοπή ή η αιφνίδια σημαντική μείωση της δόσης του </w:t>
      </w:r>
      <w:r w:rsidRPr="00B968F8">
        <w:rPr>
          <w:sz w:val="22"/>
          <w:lang w:val="en-US"/>
        </w:rPr>
        <w:t>REMODULIN</w:t>
      </w:r>
      <w:r w:rsidRPr="00B968F8">
        <w:rPr>
          <w:sz w:val="22"/>
          <w:lang w:val="el-GR"/>
        </w:rPr>
        <w:t xml:space="preserve"> πιθανόν να προκαλέσουν φαινόμενο αναπήδησης (</w:t>
      </w:r>
      <w:r w:rsidRPr="00B968F8">
        <w:rPr>
          <w:sz w:val="22"/>
          <w:lang w:val="en-US"/>
        </w:rPr>
        <w:t>rebound</w:t>
      </w:r>
      <w:r w:rsidRPr="00B968F8">
        <w:rPr>
          <w:sz w:val="22"/>
          <w:lang w:val="el-GR"/>
        </w:rPr>
        <w:t xml:space="preserve">) της πνευμονικής αρτηριακής υπέρτασης.  Κατά συνέπεια συνιστάται να αποφεύγεται η διακοπή της θεραπείας του </w:t>
      </w:r>
      <w:r w:rsidRPr="00B968F8">
        <w:rPr>
          <w:sz w:val="22"/>
          <w:lang w:val="en-US"/>
        </w:rPr>
        <w:t>REMODULIN</w:t>
      </w:r>
      <w:r w:rsidRPr="00B968F8">
        <w:rPr>
          <w:sz w:val="22"/>
          <w:lang w:val="el-GR"/>
        </w:rPr>
        <w:t xml:space="preserve"> και να πραγματοποιείται επανέναρξη της έγχυσης το συντομότερο δυνατόν μετά από απότομη τυχαία μείωση της δόσης ή διακοπή.  Η βέλτιστη στρατηγική για επανέναρξη της έγχυσης του </w:t>
      </w:r>
      <w:r w:rsidRPr="00B968F8">
        <w:rPr>
          <w:sz w:val="22"/>
          <w:lang w:val="en-US"/>
        </w:rPr>
        <w:t>REMODULIN</w:t>
      </w:r>
      <w:r w:rsidRPr="00B968F8">
        <w:rPr>
          <w:sz w:val="22"/>
          <w:lang w:val="el-GR"/>
        </w:rPr>
        <w:t xml:space="preserve"> πρέπει να προσδιορίζεται κατά περίπτωση από εξειδικευμένο ιατρικό προσωπικό.  Στις περισσότερες περιπτώσεις, μετά από διακοπή κάποιων ωρών, μπορεί να πραγματοποιηθεί επανέναρξη του </w:t>
      </w:r>
      <w:r w:rsidRPr="00B968F8">
        <w:rPr>
          <w:sz w:val="22"/>
          <w:lang w:val="en-US"/>
        </w:rPr>
        <w:t>REMODULIN</w:t>
      </w:r>
      <w:r w:rsidRPr="00B968F8">
        <w:rPr>
          <w:sz w:val="22"/>
          <w:lang w:val="el-GR"/>
        </w:rPr>
        <w:t xml:space="preserve"> χρησιμοποιώντας τον ίδιο ρυθμό δόσης. Σε περίπτωση διακοπής με μεγαλύτερη διάρκεια ενδέχεται να απαιτείται εκ νέου τιτλοποίηση της δόσης του REMODULIN.</w:t>
      </w:r>
    </w:p>
    <w:p w:rsidR="00DB593F" w:rsidRPr="00B968F8" w:rsidRDefault="00DB593F" w:rsidP="008C3724">
      <w:pPr>
        <w:pStyle w:val="Text"/>
        <w:rPr>
          <w:sz w:val="22"/>
          <w:lang w:val="el-GR"/>
        </w:rPr>
      </w:pPr>
    </w:p>
    <w:p w:rsidR="0020047A" w:rsidRPr="00B968F8" w:rsidRDefault="0020047A" w:rsidP="00067B9C">
      <w:pPr>
        <w:pStyle w:val="Text"/>
        <w:keepNext/>
        <w:keepLines/>
        <w:rPr>
          <w:b/>
          <w:sz w:val="22"/>
          <w:u w:val="single"/>
          <w:lang w:val="el-GR"/>
        </w:rPr>
      </w:pPr>
      <w:r w:rsidRPr="00B968F8">
        <w:rPr>
          <w:b/>
          <w:sz w:val="22"/>
          <w:u w:val="single"/>
          <w:lang w:val="el-GR"/>
        </w:rPr>
        <w:t>Σε ηλικιωμένους ασθενείς</w:t>
      </w:r>
    </w:p>
    <w:p w:rsidR="0020047A" w:rsidRPr="00B968F8" w:rsidRDefault="0020047A">
      <w:pPr>
        <w:pStyle w:val="Text"/>
        <w:rPr>
          <w:sz w:val="22"/>
          <w:lang w:val="el-GR"/>
        </w:rPr>
      </w:pPr>
      <w:r w:rsidRPr="00B968F8">
        <w:rPr>
          <w:sz w:val="22"/>
          <w:lang w:val="el-GR"/>
        </w:rPr>
        <w:t>Οι κλινικές μελέτες του Remodulin δεν περιλάμβαναν επαρκή αριθμό ασθενών ηλικίας άνω των 65 ετών, προκειμένου να προσδιοριστεί εάν αυτή η ομάδα ανταποκρίνεται διαφορετικά σε σχέση με τους νεότερους ασθενείς. Σε μια πληθυσμιακή ανάλυση φαρμακοκινητικής, η κάθαρση της τρεπροστινίλης από το πλάσμα ήταν μειωμένη κατά 20%.  Σε γενικές γραμμές, η επιλογή δόσης για κάποιον ηλικιωμένο ασθενή θα πρέπει να γίνεται με προσοχή, δεδομένου ότι πολύ συχνά η ηπατική, η νεφρική ή η καρδιακή λειτουργία είναι μειωμένες, και να λαμβάνεται υπόψη τυχόν συνυπάρχουσα ασθένεια ή άλλη φαρμακευτική αγωγή.</w:t>
      </w:r>
    </w:p>
    <w:p w:rsidR="0020047A" w:rsidRPr="00B968F8" w:rsidRDefault="0020047A" w:rsidP="00067B9C">
      <w:pPr>
        <w:pStyle w:val="Text"/>
        <w:keepNext/>
        <w:keepLines/>
        <w:rPr>
          <w:b/>
          <w:sz w:val="22"/>
          <w:u w:val="single"/>
          <w:lang w:val="el-GR"/>
        </w:rPr>
      </w:pPr>
      <w:r w:rsidRPr="00B968F8">
        <w:rPr>
          <w:b/>
          <w:sz w:val="22"/>
          <w:u w:val="single"/>
          <w:lang w:val="el-GR"/>
        </w:rPr>
        <w:t xml:space="preserve">Σε παιδιά και εφήβους </w:t>
      </w:r>
    </w:p>
    <w:p w:rsidR="0020047A" w:rsidRPr="00B968F8" w:rsidRDefault="0020047A">
      <w:pPr>
        <w:pStyle w:val="Text"/>
        <w:rPr>
          <w:sz w:val="22"/>
          <w:lang w:val="el-GR"/>
        </w:rPr>
      </w:pPr>
      <w:r w:rsidRPr="00B968F8">
        <w:rPr>
          <w:sz w:val="22"/>
          <w:lang w:val="el-GR"/>
        </w:rPr>
        <w:t>Υπάρχουν ελάχιστα στοιχεία για ασθενείς ηλικίας κάτω των 18 ετών. Τα στοιχεία από τις διαθέσιμες κλινικές δοκιμές δεν επιτρέπουν να διαπιστωθεί κατά πόσο η ασφάλεια και η αποτελεσματικότητα του συνιστώμενου δοσολογικού σχήματος για τους ενήλικες μπορεί να επεκταθεί και σε παιδιά ή εφήβους.</w:t>
      </w:r>
    </w:p>
    <w:p w:rsidR="0020047A" w:rsidRPr="00B968F8" w:rsidRDefault="0020047A" w:rsidP="00067B9C">
      <w:pPr>
        <w:pStyle w:val="Text"/>
        <w:keepNext/>
        <w:keepLines/>
        <w:rPr>
          <w:sz w:val="22"/>
          <w:u w:val="single"/>
          <w:lang w:val="el-GR"/>
        </w:rPr>
      </w:pPr>
      <w:r w:rsidRPr="00B968F8">
        <w:rPr>
          <w:b/>
          <w:sz w:val="22"/>
          <w:u w:val="single"/>
          <w:lang w:val="el-GR"/>
        </w:rPr>
        <w:lastRenderedPageBreak/>
        <w:t>Πληθυσμοί υπό ιδιαίτερο κίνδυνο</w:t>
      </w:r>
    </w:p>
    <w:p w:rsidR="0020047A" w:rsidRPr="00B968F8" w:rsidRDefault="0020047A" w:rsidP="00067B9C">
      <w:pPr>
        <w:pStyle w:val="Text"/>
        <w:keepNext/>
        <w:keepLines/>
        <w:rPr>
          <w:sz w:val="22"/>
          <w:u w:val="single"/>
          <w:lang w:val="el-GR"/>
        </w:rPr>
      </w:pPr>
      <w:r w:rsidRPr="00B968F8">
        <w:rPr>
          <w:sz w:val="22"/>
          <w:u w:val="single"/>
          <w:lang w:val="el-GR"/>
        </w:rPr>
        <w:t>Ηπατική βλάβη</w:t>
      </w:r>
    </w:p>
    <w:p w:rsidR="0020047A" w:rsidRPr="00B968F8" w:rsidRDefault="0020047A">
      <w:pPr>
        <w:pStyle w:val="Text"/>
        <w:rPr>
          <w:sz w:val="22"/>
          <w:lang w:val="el-GR"/>
        </w:rPr>
      </w:pPr>
      <w:r w:rsidRPr="00B968F8">
        <w:rPr>
          <w:sz w:val="22"/>
          <w:lang w:val="el-GR"/>
        </w:rPr>
        <w:t>Η έκθεση της τρεπροστινίλης στο πλάσμα (εμβαδόν κάτω από την καμπύλη</w:t>
      </w:r>
      <w:r w:rsidR="00DB593F" w:rsidRPr="00B968F8">
        <w:rPr>
          <w:sz w:val="22"/>
          <w:lang w:val="el-GR"/>
        </w:rPr>
        <w:t xml:space="preserve"> συγκέντρωσης πλάσματος - χρόνου ή </w:t>
      </w:r>
      <w:r w:rsidRPr="00B968F8">
        <w:rPr>
          <w:sz w:val="22"/>
          <w:lang w:val="el-GR"/>
        </w:rPr>
        <w:t xml:space="preserve">AUC) αυξάνεται κατά 260% έως 510% σε περιπτώσεις ήπιας έως μέτριας ηπατικής ανεπάρκειας, τάξης Α και Β αντίστοιχα κατά Child-Pugh. Η κάθαρση της τρεπροστινίλης είναι μειωμένη έως και 80% σε ασθενείς με ήπια έως μέτρια ηπατική βλάβη. Για το λόγο αυτό, κατά τη θεραπεία ασθενών με ηπατική βλάβη συνιστάται ιδιαίτερη προσοχή, καθώς υπάρχει κίνδυνος αύξησης της συστηματικής έκθεσης η οποία πιθανόν να μειώσει την </w:t>
      </w:r>
      <w:r w:rsidR="00DB593F" w:rsidRPr="00B968F8">
        <w:rPr>
          <w:sz w:val="22"/>
          <w:lang w:val="el-GR"/>
        </w:rPr>
        <w:t xml:space="preserve">ανεκτικότητα </w:t>
      </w:r>
      <w:r w:rsidRPr="00B968F8">
        <w:rPr>
          <w:sz w:val="22"/>
          <w:lang w:val="el-GR"/>
        </w:rPr>
        <w:t>και να οδηγήσει σε αύξηση των δοσοεξαρτώμενων ανεπιθύμητων ενεργειών.</w:t>
      </w:r>
    </w:p>
    <w:p w:rsidR="0020047A" w:rsidRPr="00B968F8" w:rsidRDefault="0020047A">
      <w:pPr>
        <w:pStyle w:val="Text"/>
        <w:rPr>
          <w:sz w:val="22"/>
          <w:lang w:val="el-GR"/>
        </w:rPr>
      </w:pPr>
      <w:r w:rsidRPr="00B968F8">
        <w:rPr>
          <w:sz w:val="22"/>
          <w:lang w:val="el-GR"/>
        </w:rPr>
        <w:t>Η αρχική δόση Remodulin θα πρέπει να μειωθεί σε 0,625 ng/kg/λεπτό και οι σταδιακές αυξήσεις δόσης θα πρέπει να γίνονται με προσοχή.</w:t>
      </w:r>
    </w:p>
    <w:p w:rsidR="0020047A" w:rsidRPr="00B968F8" w:rsidRDefault="0020047A" w:rsidP="00067B9C">
      <w:pPr>
        <w:pStyle w:val="Text"/>
        <w:keepNext/>
        <w:keepLines/>
        <w:rPr>
          <w:sz w:val="22"/>
          <w:u w:val="single"/>
          <w:lang w:val="el-GR"/>
        </w:rPr>
      </w:pPr>
      <w:r w:rsidRPr="00B968F8">
        <w:rPr>
          <w:sz w:val="22"/>
          <w:u w:val="single"/>
          <w:lang w:val="el-GR"/>
        </w:rPr>
        <w:t>Νεφρική βλάβη</w:t>
      </w:r>
    </w:p>
    <w:p w:rsidR="0020047A" w:rsidRPr="00B968F8" w:rsidRDefault="0020047A">
      <w:pPr>
        <w:pStyle w:val="Text"/>
        <w:rPr>
          <w:sz w:val="22"/>
          <w:lang w:val="el-GR"/>
        </w:rPr>
      </w:pPr>
      <w:r w:rsidRPr="00B968F8">
        <w:rPr>
          <w:sz w:val="22"/>
          <w:lang w:val="el-GR"/>
        </w:rPr>
        <w:t>Καθώς δεν έχουν διεξαχθεί κλινικές μελέτες σε ασθενείς με νεφρική βλάβη, δεν υπάρχουν καθιερωμένες συστάσεις για τη θεραπεία ασθενών με νεφρική βλάβη. Καθώς η τρεπροστινίλη και οι μεταβολίτες της απεκκρίνονται κυρίως μέσω των ούρων, συνιστάται ιδιαίτερη προσοχή κατά τη θεραπεία ασθενών με νεφρική βλάβη προκειμένου να αποφευχθούν οι επιβλαβείς συνέπειες που σχετίζονται με πιθανή αύξηση της συστηματικής έκθεσης.</w:t>
      </w:r>
    </w:p>
    <w:p w:rsidR="0020047A" w:rsidRPr="00B968F8" w:rsidRDefault="0020047A" w:rsidP="00067B9C">
      <w:pPr>
        <w:pStyle w:val="Text"/>
        <w:keepNext/>
        <w:keepLines/>
        <w:rPr>
          <w:sz w:val="22"/>
          <w:u w:val="single"/>
          <w:lang w:val="el-GR"/>
        </w:rPr>
      </w:pPr>
      <w:r w:rsidRPr="00B968F8">
        <w:rPr>
          <w:b/>
          <w:sz w:val="22"/>
          <w:u w:val="single"/>
          <w:lang w:val="el-GR"/>
        </w:rPr>
        <w:t>Μέθοδος μετάβασης σε θεραπεία με ενδοφλέβια εποπροστενόλη</w:t>
      </w:r>
    </w:p>
    <w:p w:rsidR="0020047A" w:rsidRPr="00B968F8" w:rsidRDefault="0020047A">
      <w:pPr>
        <w:pStyle w:val="Text"/>
        <w:rPr>
          <w:sz w:val="22"/>
          <w:lang w:val="el-GR"/>
        </w:rPr>
      </w:pPr>
      <w:r w:rsidRPr="00B968F8">
        <w:rPr>
          <w:sz w:val="22"/>
          <w:lang w:val="el-GR"/>
        </w:rPr>
        <w:t>Σε περίπτωση που απαιτείται μετάβαση σε θεραπεία με ενδοφλέβια εποπροστενόλη, η μεταβατική φάση θα πρέπει να διεξάγεται υπό στενή ιατρική επίβλεψη. Για σκοπούς καθοδήγησης, θα ήταν ίσως χρήσιμο να αναφερθεί το παρακάτω συνιστώμενο θεραπευτικό σχήμα μετάβασης: Οι εγχύσεις τρεπροστινίλης θα πρέπει αρχικά να μειωθούν σταδιακά κατά 2,5 ng/kg/λεπτό. Μετά από τουλάχιστον μία ώρα χορήγησης της νέας δόσης τρεπροστινίλης, μπορεί να αρχίσει η θεραπεία με εποπροστενόλη, με μέγιστη αρχική δόση 2 ng/kg/λεπτό. Η δόση της τρεπροστινίλης θα πρέπει κατόπιν να μειώνεται ανά διαδοχικά διαστήματα 2 ωρών τουλάχιστον και, ταυτόχρονα, να αυξάνεται σταδιακά η δόση της εποπροστενόλης, αφού η αρχική δόση διατηρηθεί για μία ώρα τουλάχιστον.</w:t>
      </w:r>
    </w:p>
    <w:p w:rsidR="0020047A" w:rsidRPr="00B968F8" w:rsidRDefault="0020047A" w:rsidP="00067B9C">
      <w:pPr>
        <w:pStyle w:val="Text"/>
        <w:keepNext/>
        <w:keepLines/>
        <w:rPr>
          <w:b/>
          <w:sz w:val="22"/>
          <w:u w:val="single"/>
          <w:lang w:val="el-GR"/>
        </w:rPr>
      </w:pPr>
      <w:r w:rsidRPr="00B968F8">
        <w:rPr>
          <w:b/>
          <w:sz w:val="22"/>
          <w:u w:val="single"/>
          <w:lang w:val="el-GR"/>
        </w:rPr>
        <w:t xml:space="preserve">Μέθοδος χορήγησης: </w:t>
      </w:r>
    </w:p>
    <w:p w:rsidR="00B154F1" w:rsidRPr="00500FC2" w:rsidRDefault="00B154F1" w:rsidP="00DB593F">
      <w:pPr>
        <w:pStyle w:val="Text"/>
        <w:spacing w:before="0"/>
        <w:rPr>
          <w:b/>
          <w:sz w:val="22"/>
          <w:u w:val="single"/>
          <w:lang w:val="el-GR"/>
          <w:rPrChange w:id="4" w:author="Συντάκτης">
            <w:rPr>
              <w:b/>
              <w:sz w:val="22"/>
              <w:u w:val="single"/>
            </w:rPr>
          </w:rPrChange>
        </w:rPr>
      </w:pPr>
    </w:p>
    <w:p w:rsidR="00DB593F" w:rsidRPr="00B968F8" w:rsidRDefault="00DB593F" w:rsidP="00DB593F">
      <w:pPr>
        <w:pStyle w:val="Text"/>
        <w:spacing w:before="0"/>
        <w:rPr>
          <w:lang w:val="el-GR"/>
        </w:rPr>
      </w:pPr>
      <w:r w:rsidRPr="00B968F8">
        <w:rPr>
          <w:b/>
          <w:sz w:val="22"/>
          <w:u w:val="single"/>
          <w:lang w:val="el-GR"/>
        </w:rPr>
        <w:t>Χορήγηση μέσω συνεχούς υποδόριας έγχυσης</w:t>
      </w:r>
      <w:r w:rsidRPr="00B968F8">
        <w:rPr>
          <w:b/>
          <w:i/>
          <w:sz w:val="22"/>
          <w:u w:val="single"/>
          <w:lang w:val="el-GR"/>
        </w:rPr>
        <w:t xml:space="preserve"> </w:t>
      </w:r>
    </w:p>
    <w:p w:rsidR="00B154F1" w:rsidRPr="00500FC2" w:rsidRDefault="00B154F1">
      <w:pPr>
        <w:pStyle w:val="Text"/>
        <w:rPr>
          <w:sz w:val="22"/>
          <w:lang w:val="el-GR"/>
          <w:rPrChange w:id="5" w:author="Συντάκτης">
            <w:rPr>
              <w:sz w:val="22"/>
            </w:rPr>
          </w:rPrChange>
        </w:rPr>
      </w:pPr>
    </w:p>
    <w:p w:rsidR="0020047A" w:rsidRPr="00B968F8" w:rsidRDefault="0020047A">
      <w:pPr>
        <w:pStyle w:val="Text"/>
        <w:rPr>
          <w:sz w:val="22"/>
          <w:lang w:val="el-GR"/>
        </w:rPr>
      </w:pPr>
      <w:r w:rsidRPr="00B968F8">
        <w:rPr>
          <w:sz w:val="22"/>
          <w:lang w:val="el-GR"/>
        </w:rPr>
        <w:t xml:space="preserve">Το REMODULIN χορηγείται μέσω συνεχούς υποδόριας έγχυσης διαμέσου ενός υποδόριου καθετήρα, με χρήση μιας φορητής αντλίας έγχυσης για περιπατητικούς ασθενείς. </w:t>
      </w:r>
    </w:p>
    <w:p w:rsidR="0020047A" w:rsidRPr="00B968F8" w:rsidRDefault="0020047A">
      <w:pPr>
        <w:pStyle w:val="Text"/>
        <w:rPr>
          <w:sz w:val="22"/>
          <w:lang w:val="el-GR"/>
        </w:rPr>
      </w:pPr>
      <w:r w:rsidRPr="00B968F8">
        <w:rPr>
          <w:sz w:val="22"/>
          <w:lang w:val="el-GR"/>
        </w:rPr>
        <w:t>Προκειμένου να αποφευχθούν πιθανές διακοπές στη χορήγηση του φαρμάκου, ο ασθενής θα πρέπει να διαθέτει πρόσβαση σε μια εφεδρική αντλία έγχυσης και σετ υποδόριας έγχυσης, για την περίπτωση τυχαίας δυσλειτουργίας του εξοπλισμού χορήγησης.</w:t>
      </w:r>
    </w:p>
    <w:p w:rsidR="0020047A" w:rsidRPr="00B968F8" w:rsidRDefault="0020047A">
      <w:pPr>
        <w:pStyle w:val="Text"/>
        <w:rPr>
          <w:sz w:val="22"/>
          <w:lang w:val="el-GR"/>
        </w:rPr>
      </w:pPr>
      <w:r w:rsidRPr="00B968F8">
        <w:rPr>
          <w:sz w:val="22"/>
          <w:lang w:val="el-GR"/>
        </w:rPr>
        <w:t xml:space="preserve">Η φορητή αντλία έγχυσης που θα χρησιμοποιηθεί για τη χορήγηση του </w:t>
      </w:r>
      <w:r w:rsidR="00DB593F" w:rsidRPr="00B968F8">
        <w:rPr>
          <w:sz w:val="22"/>
          <w:lang w:val="el-GR"/>
        </w:rPr>
        <w:t xml:space="preserve">μη αραιωμένου </w:t>
      </w:r>
      <w:r w:rsidRPr="00B968F8">
        <w:rPr>
          <w:sz w:val="22"/>
          <w:lang w:val="el-GR"/>
        </w:rPr>
        <w:t xml:space="preserve">REMODULIN </w:t>
      </w:r>
      <w:r w:rsidR="00DB593F" w:rsidRPr="00B968F8">
        <w:rPr>
          <w:sz w:val="22"/>
          <w:lang w:val="el-GR"/>
        </w:rPr>
        <w:t xml:space="preserve">με υποδόρια έγχυση </w:t>
      </w:r>
      <w:r w:rsidRPr="00B968F8">
        <w:rPr>
          <w:sz w:val="22"/>
          <w:lang w:val="el-GR"/>
        </w:rPr>
        <w:t xml:space="preserve">θα πρέπει: </w:t>
      </w:r>
    </w:p>
    <w:p w:rsidR="0020047A" w:rsidRPr="00B968F8" w:rsidRDefault="0020047A">
      <w:pPr>
        <w:pStyle w:val="Text"/>
        <w:rPr>
          <w:sz w:val="22"/>
          <w:lang w:val="el-GR"/>
        </w:rPr>
      </w:pPr>
      <w:r w:rsidRPr="00B968F8">
        <w:rPr>
          <w:sz w:val="22"/>
          <w:lang w:val="el-GR"/>
        </w:rPr>
        <w:t>1) να είναι μικρή και ελαφριά</w:t>
      </w:r>
    </w:p>
    <w:p w:rsidR="0020047A" w:rsidRPr="00B968F8" w:rsidRDefault="0020047A">
      <w:pPr>
        <w:pStyle w:val="Text"/>
        <w:rPr>
          <w:sz w:val="22"/>
          <w:lang w:val="el-GR"/>
        </w:rPr>
      </w:pPr>
      <w:r w:rsidRPr="00B968F8">
        <w:rPr>
          <w:sz w:val="22"/>
          <w:lang w:val="el-GR"/>
        </w:rPr>
        <w:t>2) να έχει τη δυνατότητα ρύθμισης των ρυθμών έγχυσης σε βήματα των 0,002 ml/ώρα περίπου</w:t>
      </w:r>
    </w:p>
    <w:p w:rsidR="0020047A" w:rsidRPr="00B968F8" w:rsidRDefault="0020047A">
      <w:pPr>
        <w:pStyle w:val="Text"/>
        <w:rPr>
          <w:sz w:val="22"/>
          <w:lang w:val="el-GR"/>
        </w:rPr>
      </w:pPr>
      <w:r w:rsidRPr="00B968F8">
        <w:rPr>
          <w:sz w:val="22"/>
          <w:lang w:val="el-GR"/>
        </w:rPr>
        <w:t>3) να διαθέτει συναγερμούς απόφραξης, χαμηλής ισχύος μπαταρίας, σφάλματος προγραμματισμού και δυσλειτουργίας του κινητήρα</w:t>
      </w:r>
    </w:p>
    <w:p w:rsidR="0020047A" w:rsidRPr="00B968F8" w:rsidRDefault="0020047A">
      <w:pPr>
        <w:pStyle w:val="Text"/>
        <w:rPr>
          <w:sz w:val="22"/>
          <w:lang w:val="el-GR"/>
        </w:rPr>
      </w:pPr>
      <w:r w:rsidRPr="00B968F8">
        <w:rPr>
          <w:sz w:val="22"/>
          <w:lang w:val="el-GR"/>
        </w:rPr>
        <w:t xml:space="preserve">4) να έχει ακρίβεια +/- 6% ως προς τον προγραμματισμένο ρυθμό χορήγησης </w:t>
      </w:r>
    </w:p>
    <w:p w:rsidR="0020047A" w:rsidRPr="00B968F8" w:rsidRDefault="0020047A">
      <w:pPr>
        <w:pStyle w:val="Text"/>
        <w:rPr>
          <w:sz w:val="22"/>
          <w:lang w:val="el-GR"/>
        </w:rPr>
      </w:pPr>
      <w:r w:rsidRPr="00B968F8">
        <w:rPr>
          <w:sz w:val="22"/>
          <w:lang w:val="el-GR"/>
        </w:rPr>
        <w:t>5) να λειτουργεί μέσω θετικής πίεσης (συνεχούς ή παλμικής).</w:t>
      </w:r>
    </w:p>
    <w:p w:rsidR="0020047A" w:rsidRPr="00B968F8" w:rsidRDefault="0020047A">
      <w:pPr>
        <w:pStyle w:val="Text"/>
        <w:rPr>
          <w:sz w:val="22"/>
          <w:lang w:val="el-GR"/>
        </w:rPr>
      </w:pPr>
      <w:r w:rsidRPr="00B968F8">
        <w:rPr>
          <w:sz w:val="22"/>
          <w:lang w:val="el-GR"/>
        </w:rPr>
        <w:t>Η δεξαμενή θα πρέπει να είναι κατασκευασμένη από πολυβινυλοχλωρίδιο, πολυπροπυλένιο ή γυαλί.</w:t>
      </w:r>
    </w:p>
    <w:p w:rsidR="0020047A" w:rsidRPr="00B968F8" w:rsidRDefault="0020047A">
      <w:pPr>
        <w:pStyle w:val="Text"/>
        <w:rPr>
          <w:sz w:val="22"/>
          <w:lang w:val="el-GR"/>
        </w:rPr>
      </w:pPr>
      <w:r w:rsidRPr="00B968F8">
        <w:rPr>
          <w:sz w:val="22"/>
          <w:lang w:val="el-GR"/>
        </w:rPr>
        <w:lastRenderedPageBreak/>
        <w:t>Οι ασθενείς θα πρέπει να εκπαιδεύονται σχολαστικά στη χρήση και τον προγραμματισμό της αντλίας, καθώς και στη σύνδεση και τη φροντίδα της συσκευής ορού.</w:t>
      </w:r>
    </w:p>
    <w:p w:rsidR="0020047A" w:rsidRPr="00B968F8" w:rsidRDefault="0020047A">
      <w:pPr>
        <w:pStyle w:val="Text"/>
        <w:rPr>
          <w:sz w:val="22"/>
          <w:lang w:val="el-GR"/>
        </w:rPr>
      </w:pPr>
      <w:r w:rsidRPr="00B968F8">
        <w:rPr>
          <w:sz w:val="22"/>
          <w:lang w:val="el-GR"/>
        </w:rPr>
        <w:t xml:space="preserve">Η έκπλυση της γραμμής έγχυσης ενόσω αυτή είναι συνδεμένη με τον ασθενή ενδέχεται να οδηγήσει σε ακούσια υπερδοσολογία.Οι ρυθμοί έγχυσης </w:t>
      </w:r>
      <w:r w:rsidRPr="00B968F8">
        <w:rPr>
          <w:sz w:val="22"/>
          <w:lang w:val="el-GR"/>
        </w:rPr>
        <w:sym w:font="Symbol" w:char="F0D1"/>
      </w:r>
      <w:r w:rsidRPr="00B968F8">
        <w:rPr>
          <w:sz w:val="22"/>
          <w:lang w:val="el-GR"/>
        </w:rPr>
        <w:t xml:space="preserve"> (ml/ώρα) υπολογίζονται χρησιμοποιώντας τον παρακάτω τύπο:</w:t>
      </w:r>
    </w:p>
    <w:p w:rsidR="0020047A" w:rsidRPr="00B968F8" w:rsidRDefault="0020047A">
      <w:pPr>
        <w:pStyle w:val="Text"/>
        <w:pBdr>
          <w:top w:val="single" w:sz="4" w:space="1" w:color="auto"/>
          <w:left w:val="single" w:sz="4" w:space="4" w:color="auto"/>
          <w:bottom w:val="single" w:sz="4" w:space="1" w:color="auto"/>
          <w:right w:val="single" w:sz="4" w:space="4" w:color="auto"/>
        </w:pBdr>
        <w:rPr>
          <w:sz w:val="22"/>
          <w:lang w:val="el-GR"/>
        </w:rPr>
      </w:pPr>
      <w:r w:rsidRPr="00B968F8">
        <w:rPr>
          <w:sz w:val="22"/>
        </w:rPr>
        <w:sym w:font="Symbol" w:char="F0D1"/>
      </w:r>
      <w:r w:rsidRPr="00B968F8">
        <w:rPr>
          <w:sz w:val="22"/>
          <w:lang w:val="el-GR"/>
        </w:rPr>
        <w:t xml:space="preserve"> (ml/ώρα) = D (ng/kg/λεπτό) x W (kg) x [0,00006/συγκέντρωση REMODULIN (mg/ml)]</w:t>
      </w:r>
    </w:p>
    <w:p w:rsidR="0020047A" w:rsidRPr="00B968F8" w:rsidRDefault="0020047A">
      <w:pPr>
        <w:pStyle w:val="Text"/>
        <w:jc w:val="left"/>
        <w:rPr>
          <w:sz w:val="22"/>
          <w:lang w:val="el-GR"/>
        </w:rPr>
      </w:pPr>
      <w:r w:rsidRPr="00B968F8">
        <w:rPr>
          <w:sz w:val="22"/>
          <w:lang w:val="el-GR"/>
        </w:rPr>
        <w:t>D = συνταγογραφημένη δόση σε ng/kg/λεπτό</w:t>
      </w:r>
    </w:p>
    <w:p w:rsidR="0020047A" w:rsidRPr="00B968F8" w:rsidRDefault="0020047A">
      <w:pPr>
        <w:pStyle w:val="Text"/>
        <w:jc w:val="left"/>
        <w:rPr>
          <w:sz w:val="22"/>
          <w:lang w:val="el-GR"/>
        </w:rPr>
      </w:pPr>
      <w:r w:rsidRPr="00B968F8">
        <w:rPr>
          <w:sz w:val="22"/>
          <w:lang w:val="el-GR"/>
        </w:rPr>
        <w:t>W = σωματικό βάρος του ασθενούς σε kg</w:t>
      </w:r>
    </w:p>
    <w:p w:rsidR="0020047A" w:rsidRPr="00B968F8" w:rsidRDefault="0020047A" w:rsidP="006F56F4">
      <w:pPr>
        <w:pStyle w:val="Text"/>
        <w:spacing w:before="0"/>
        <w:rPr>
          <w:sz w:val="22"/>
          <w:lang w:val="el-GR"/>
        </w:rPr>
      </w:pPr>
    </w:p>
    <w:p w:rsidR="0020047A" w:rsidRPr="00B968F8" w:rsidRDefault="0020047A">
      <w:pPr>
        <w:pStyle w:val="Text"/>
        <w:rPr>
          <w:sz w:val="22"/>
          <w:lang w:val="el-GR"/>
        </w:rPr>
      </w:pPr>
      <w:r w:rsidRPr="00B968F8">
        <w:rPr>
          <w:sz w:val="22"/>
          <w:lang w:val="el-GR"/>
        </w:rPr>
        <w:t>Το REMODULIN διατίθεται σε συγκεντρώσεις των 1, 2,5, 5 και 10 mg/ml.</w:t>
      </w:r>
    </w:p>
    <w:p w:rsidR="006F56F4" w:rsidRPr="00500FC2" w:rsidRDefault="006F56F4">
      <w:pPr>
        <w:pStyle w:val="Text"/>
        <w:spacing w:before="0"/>
        <w:rPr>
          <w:sz w:val="22"/>
          <w:u w:val="single"/>
          <w:lang w:val="el-GR"/>
          <w:rPrChange w:id="6" w:author="Συντάκτης">
            <w:rPr>
              <w:sz w:val="22"/>
              <w:u w:val="single"/>
            </w:rPr>
          </w:rPrChange>
        </w:rPr>
      </w:pPr>
    </w:p>
    <w:p w:rsidR="0020047A" w:rsidRPr="00B968F8" w:rsidRDefault="0020047A">
      <w:pPr>
        <w:pStyle w:val="Web"/>
        <w:spacing w:before="0" w:after="0"/>
        <w:rPr>
          <w:sz w:val="22"/>
        </w:rPr>
      </w:pPr>
      <w:r w:rsidRPr="00B968F8">
        <w:rPr>
          <w:sz w:val="22"/>
          <w:lang w:val="el-GR"/>
        </w:rPr>
        <w:t xml:space="preserve">Για υποδόρια έγχυση, το </w:t>
      </w:r>
      <w:r w:rsidRPr="00B968F8">
        <w:rPr>
          <w:sz w:val="22"/>
        </w:rPr>
        <w:t>REMODULIN</w:t>
      </w:r>
      <w:r w:rsidRPr="00B968F8">
        <w:rPr>
          <w:sz w:val="22"/>
          <w:lang w:val="el-GR"/>
        </w:rPr>
        <w:t xml:space="preserve"> </w:t>
      </w:r>
      <w:r w:rsidRPr="00B968F8">
        <w:rPr>
          <w:b/>
          <w:sz w:val="22"/>
          <w:lang w:val="el-GR"/>
        </w:rPr>
        <w:t xml:space="preserve">χορηγείται χωρίς περαιτέρω αραίωση </w:t>
      </w:r>
      <w:r w:rsidRPr="00B968F8">
        <w:rPr>
          <w:sz w:val="22"/>
          <w:lang w:val="el-GR"/>
        </w:rPr>
        <w:t>με υπολογιζόμενο ρυθμό υποδόριας έγχυσης (</w:t>
      </w:r>
      <w:r w:rsidRPr="00B968F8">
        <w:rPr>
          <w:sz w:val="22"/>
        </w:rPr>
        <w:t>mL</w:t>
      </w:r>
      <w:r w:rsidRPr="00B968F8">
        <w:rPr>
          <w:sz w:val="22"/>
          <w:lang w:val="el-GR"/>
        </w:rPr>
        <w:t>/ώρα) με βάση τη Δόση του ασθενούς (</w:t>
      </w:r>
      <w:r w:rsidRPr="00B968F8">
        <w:rPr>
          <w:sz w:val="22"/>
        </w:rPr>
        <w:t>ng</w:t>
      </w:r>
      <w:r w:rsidRPr="00B968F8">
        <w:rPr>
          <w:sz w:val="22"/>
          <w:lang w:val="el-GR"/>
        </w:rPr>
        <w:t>/</w:t>
      </w:r>
      <w:r w:rsidRPr="00B968F8">
        <w:rPr>
          <w:sz w:val="22"/>
        </w:rPr>
        <w:t>kg</w:t>
      </w:r>
      <w:r w:rsidRPr="00B968F8">
        <w:rPr>
          <w:sz w:val="22"/>
          <w:lang w:val="el-GR"/>
        </w:rPr>
        <w:t xml:space="preserve">/λεπτό), το Βάρος (χλγρ - </w:t>
      </w:r>
      <w:r w:rsidRPr="00B968F8">
        <w:rPr>
          <w:sz w:val="22"/>
        </w:rPr>
        <w:t>kg</w:t>
      </w:r>
      <w:r w:rsidRPr="00B968F8">
        <w:rPr>
          <w:sz w:val="22"/>
          <w:lang w:val="el-GR"/>
        </w:rPr>
        <w:t>), και την Περιεκτικότητα του Φιαλιδίου (</w:t>
      </w:r>
      <w:r w:rsidRPr="00B968F8">
        <w:rPr>
          <w:sz w:val="22"/>
        </w:rPr>
        <w:t>mg</w:t>
      </w:r>
      <w:r w:rsidRPr="00B968F8">
        <w:rPr>
          <w:sz w:val="22"/>
          <w:lang w:val="el-GR"/>
        </w:rPr>
        <w:t>/</w:t>
      </w:r>
      <w:r w:rsidRPr="00B968F8">
        <w:rPr>
          <w:sz w:val="22"/>
        </w:rPr>
        <w:t>mL</w:t>
      </w:r>
      <w:r w:rsidRPr="00B968F8">
        <w:rPr>
          <w:sz w:val="22"/>
          <w:lang w:val="el-GR"/>
        </w:rPr>
        <w:t xml:space="preserve">) του </w:t>
      </w:r>
      <w:r w:rsidRPr="00B968F8">
        <w:rPr>
          <w:sz w:val="22"/>
        </w:rPr>
        <w:t>REMODULIN</w:t>
      </w:r>
      <w:r w:rsidRPr="00B968F8">
        <w:rPr>
          <w:sz w:val="22"/>
          <w:lang w:val="el-GR"/>
        </w:rPr>
        <w:t xml:space="preserve"> που χρησιμοποιείται. Κατά τη χρήση, μπορεί να χορηγηθεί ένα δοχείο (σύριγγα) αδιάλυτου </w:t>
      </w:r>
      <w:r w:rsidRPr="00B968F8">
        <w:rPr>
          <w:sz w:val="22"/>
        </w:rPr>
        <w:t>REM</w:t>
      </w:r>
      <w:r w:rsidRPr="00B968F8">
        <w:rPr>
          <w:sz w:val="22"/>
          <w:lang w:val="en-GB"/>
        </w:rPr>
        <w:t>OD</w:t>
      </w:r>
      <w:r w:rsidRPr="00B968F8">
        <w:rPr>
          <w:sz w:val="22"/>
        </w:rPr>
        <w:t>ULIN</w:t>
      </w:r>
      <w:r w:rsidRPr="00B968F8">
        <w:rPr>
          <w:sz w:val="22"/>
          <w:lang w:val="el-GR"/>
        </w:rPr>
        <w:t xml:space="preserve"> για έως 72 ώρες σε 37</w:t>
      </w:r>
      <w:r w:rsidRPr="00B968F8">
        <w:rPr>
          <w:sz w:val="22"/>
        </w:rPr>
        <w:sym w:font="Symbol" w:char="F0B0"/>
      </w:r>
      <w:r w:rsidRPr="00B968F8">
        <w:rPr>
          <w:sz w:val="22"/>
        </w:rPr>
        <w:t>C</w:t>
      </w:r>
      <w:r w:rsidRPr="00B968F8">
        <w:rPr>
          <w:sz w:val="22"/>
          <w:lang w:val="el-GR"/>
        </w:rPr>
        <w:t>.  Ο ρυθμός υποδόριας χορήγησης υπολογίζεται χρησιμοποιώντας τον παρακάτω τύπο</w:t>
      </w:r>
      <w:r w:rsidRPr="00B968F8">
        <w:rPr>
          <w:sz w:val="22"/>
        </w:rPr>
        <w:t>:</w:t>
      </w:r>
    </w:p>
    <w:p w:rsidR="0020047A" w:rsidRPr="00B968F8" w:rsidRDefault="0020047A">
      <w:pPr>
        <w:pStyle w:val="Web"/>
        <w:spacing w:before="0" w:after="0"/>
        <w:rPr>
          <w:sz w:val="22"/>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1"/>
        <w:gridCol w:w="450"/>
        <w:gridCol w:w="1249"/>
        <w:gridCol w:w="270"/>
        <w:gridCol w:w="900"/>
        <w:gridCol w:w="270"/>
        <w:gridCol w:w="1080"/>
      </w:tblGrid>
      <w:tr w:rsidR="0020047A" w:rsidRPr="00B968F8">
        <w:trPr>
          <w:cantSplit/>
          <w:trHeight w:val="495"/>
        </w:trPr>
        <w:tc>
          <w:tcPr>
            <w:tcW w:w="1721" w:type="dxa"/>
            <w:vMerge w:val="restart"/>
            <w:tcBorders>
              <w:top w:val="nil"/>
              <w:left w:val="nil"/>
              <w:bottom w:val="nil"/>
              <w:right w:val="nil"/>
            </w:tcBorders>
            <w:vAlign w:val="center"/>
          </w:tcPr>
          <w:p w:rsidR="0020047A" w:rsidRPr="00500FC2" w:rsidRDefault="0020047A">
            <w:pPr>
              <w:pStyle w:val="Web"/>
              <w:spacing w:before="0" w:after="0"/>
              <w:jc w:val="center"/>
              <w:rPr>
                <w:sz w:val="22"/>
                <w:lang w:val="el-GR"/>
                <w:rPrChange w:id="7" w:author="Συντάκτης">
                  <w:rPr>
                    <w:sz w:val="22"/>
                  </w:rPr>
                </w:rPrChange>
              </w:rPr>
            </w:pPr>
            <w:r w:rsidRPr="00B968F8">
              <w:rPr>
                <w:b/>
                <w:sz w:val="22"/>
                <w:lang w:val="el-GR"/>
              </w:rPr>
              <w:t>Ρυθμός υποδόριας χορήγησης</w:t>
            </w:r>
            <w:r w:rsidRPr="00500FC2">
              <w:rPr>
                <w:b/>
                <w:sz w:val="22"/>
                <w:lang w:val="el-GR"/>
                <w:rPrChange w:id="8" w:author="Συντάκτης">
                  <w:rPr>
                    <w:b/>
                    <w:sz w:val="22"/>
                  </w:rPr>
                </w:rPrChange>
              </w:rPr>
              <w:t xml:space="preserve"> </w:t>
            </w:r>
            <w:r w:rsidRPr="00500FC2">
              <w:rPr>
                <w:sz w:val="22"/>
                <w:lang w:val="el-GR"/>
                <w:rPrChange w:id="9" w:author="Συντάκτης">
                  <w:rPr>
                    <w:sz w:val="22"/>
                  </w:rPr>
                </w:rPrChange>
              </w:rPr>
              <w:t>(</w:t>
            </w:r>
            <w:r w:rsidRPr="00B968F8">
              <w:rPr>
                <w:sz w:val="22"/>
              </w:rPr>
              <w:t>mL</w:t>
            </w:r>
            <w:r w:rsidRPr="00500FC2">
              <w:rPr>
                <w:sz w:val="22"/>
                <w:lang w:val="el-GR"/>
                <w:rPrChange w:id="10" w:author="Συντάκτης">
                  <w:rPr>
                    <w:sz w:val="22"/>
                  </w:rPr>
                </w:rPrChange>
              </w:rPr>
              <w:t>/</w:t>
            </w:r>
            <w:r w:rsidRPr="00B968F8">
              <w:rPr>
                <w:sz w:val="22"/>
                <w:lang w:val="el-GR"/>
              </w:rPr>
              <w:t xml:space="preserve"> ώρα</w:t>
            </w:r>
            <w:r w:rsidRPr="00500FC2">
              <w:rPr>
                <w:sz w:val="22"/>
                <w:lang w:val="el-GR"/>
                <w:rPrChange w:id="11" w:author="Συντάκτης">
                  <w:rPr>
                    <w:sz w:val="22"/>
                  </w:rPr>
                </w:rPrChange>
              </w:rPr>
              <w:t>)</w:t>
            </w:r>
          </w:p>
        </w:tc>
        <w:tc>
          <w:tcPr>
            <w:tcW w:w="450" w:type="dxa"/>
            <w:vMerge w:val="restart"/>
            <w:tcBorders>
              <w:top w:val="nil"/>
              <w:left w:val="nil"/>
              <w:bottom w:val="nil"/>
              <w:right w:val="nil"/>
            </w:tcBorders>
            <w:vAlign w:val="center"/>
          </w:tcPr>
          <w:p w:rsidR="0020047A" w:rsidRPr="00B968F8" w:rsidRDefault="0020047A">
            <w:pPr>
              <w:pStyle w:val="Web"/>
              <w:spacing w:before="0" w:after="0"/>
              <w:jc w:val="center"/>
              <w:rPr>
                <w:sz w:val="22"/>
              </w:rPr>
            </w:pPr>
            <w:r w:rsidRPr="00B968F8">
              <w:rPr>
                <w:b/>
                <w:sz w:val="22"/>
              </w:rPr>
              <w:t>=</w:t>
            </w:r>
          </w:p>
        </w:tc>
        <w:tc>
          <w:tcPr>
            <w:tcW w:w="1249" w:type="dxa"/>
            <w:tcBorders>
              <w:top w:val="nil"/>
              <w:left w:val="nil"/>
              <w:bottom w:val="single" w:sz="12" w:space="0" w:color="auto"/>
              <w:right w:val="nil"/>
            </w:tcBorders>
            <w:vAlign w:val="center"/>
          </w:tcPr>
          <w:p w:rsidR="0020047A" w:rsidRPr="00B968F8" w:rsidRDefault="0020047A">
            <w:pPr>
              <w:pStyle w:val="Web"/>
              <w:spacing w:before="0" w:after="0"/>
              <w:jc w:val="center"/>
              <w:rPr>
                <w:sz w:val="22"/>
              </w:rPr>
            </w:pPr>
            <w:r w:rsidRPr="00B968F8">
              <w:rPr>
                <w:b/>
                <w:sz w:val="22"/>
                <w:lang w:val="el-GR"/>
              </w:rPr>
              <w:t>Δόση</w:t>
            </w:r>
            <w:r w:rsidRPr="00B968F8">
              <w:rPr>
                <w:b/>
                <w:sz w:val="22"/>
              </w:rPr>
              <w:t xml:space="preserve"> </w:t>
            </w:r>
            <w:r w:rsidRPr="00B968F8">
              <w:rPr>
                <w:sz w:val="22"/>
              </w:rPr>
              <w:t>(ng/kg/</w:t>
            </w:r>
            <w:r w:rsidRPr="00B968F8">
              <w:rPr>
                <w:sz w:val="22"/>
                <w:lang w:val="el-GR"/>
              </w:rPr>
              <w:t>λεπ</w:t>
            </w:r>
            <w:r w:rsidRPr="00B968F8">
              <w:rPr>
                <w:sz w:val="22"/>
              </w:rPr>
              <w:t>)</w:t>
            </w:r>
          </w:p>
        </w:tc>
        <w:tc>
          <w:tcPr>
            <w:tcW w:w="270" w:type="dxa"/>
            <w:tcBorders>
              <w:top w:val="nil"/>
              <w:left w:val="nil"/>
              <w:bottom w:val="single" w:sz="12" w:space="0" w:color="auto"/>
              <w:right w:val="nil"/>
            </w:tcBorders>
            <w:vAlign w:val="center"/>
          </w:tcPr>
          <w:p w:rsidR="0020047A" w:rsidRPr="00B968F8" w:rsidRDefault="0020047A">
            <w:pPr>
              <w:pStyle w:val="Web"/>
              <w:spacing w:before="0" w:after="0"/>
              <w:jc w:val="center"/>
              <w:rPr>
                <w:sz w:val="22"/>
              </w:rPr>
            </w:pPr>
            <w:r w:rsidRPr="00B968F8">
              <w:rPr>
                <w:b/>
                <w:sz w:val="22"/>
              </w:rPr>
              <w:t>x</w:t>
            </w:r>
          </w:p>
        </w:tc>
        <w:tc>
          <w:tcPr>
            <w:tcW w:w="900" w:type="dxa"/>
            <w:tcBorders>
              <w:top w:val="nil"/>
              <w:left w:val="nil"/>
              <w:bottom w:val="single" w:sz="12" w:space="0" w:color="auto"/>
              <w:right w:val="nil"/>
            </w:tcBorders>
            <w:vAlign w:val="center"/>
          </w:tcPr>
          <w:p w:rsidR="0020047A" w:rsidRPr="00B968F8" w:rsidRDefault="0020047A">
            <w:pPr>
              <w:pStyle w:val="Web"/>
              <w:spacing w:before="0" w:after="0"/>
              <w:jc w:val="center"/>
              <w:rPr>
                <w:sz w:val="22"/>
              </w:rPr>
            </w:pPr>
            <w:r w:rsidRPr="00B968F8">
              <w:rPr>
                <w:b/>
                <w:sz w:val="22"/>
                <w:lang w:val="el-GR"/>
              </w:rPr>
              <w:t>Βάρος</w:t>
            </w:r>
            <w:r w:rsidRPr="00B968F8">
              <w:rPr>
                <w:b/>
                <w:sz w:val="22"/>
              </w:rPr>
              <w:t xml:space="preserve"> </w:t>
            </w:r>
            <w:r w:rsidRPr="00B968F8">
              <w:rPr>
                <w:sz w:val="22"/>
              </w:rPr>
              <w:t>(kg)</w:t>
            </w:r>
          </w:p>
        </w:tc>
        <w:tc>
          <w:tcPr>
            <w:tcW w:w="270" w:type="dxa"/>
            <w:tcBorders>
              <w:top w:val="nil"/>
              <w:left w:val="nil"/>
              <w:bottom w:val="single" w:sz="12" w:space="0" w:color="auto"/>
              <w:right w:val="nil"/>
            </w:tcBorders>
            <w:vAlign w:val="center"/>
          </w:tcPr>
          <w:p w:rsidR="0020047A" w:rsidRPr="00B968F8" w:rsidRDefault="0020047A">
            <w:pPr>
              <w:pStyle w:val="Web"/>
              <w:spacing w:before="0" w:after="0"/>
              <w:jc w:val="center"/>
              <w:rPr>
                <w:sz w:val="22"/>
              </w:rPr>
            </w:pPr>
            <w:r w:rsidRPr="00B968F8">
              <w:rPr>
                <w:b/>
                <w:sz w:val="22"/>
              </w:rPr>
              <w:t>x</w:t>
            </w:r>
          </w:p>
        </w:tc>
        <w:tc>
          <w:tcPr>
            <w:tcW w:w="1080" w:type="dxa"/>
            <w:tcBorders>
              <w:top w:val="nil"/>
              <w:left w:val="nil"/>
              <w:bottom w:val="single" w:sz="12" w:space="0" w:color="auto"/>
              <w:right w:val="nil"/>
            </w:tcBorders>
            <w:vAlign w:val="center"/>
          </w:tcPr>
          <w:p w:rsidR="0020047A" w:rsidRPr="00B968F8" w:rsidRDefault="0020047A">
            <w:pPr>
              <w:pStyle w:val="Web"/>
              <w:widowControl w:val="0"/>
              <w:spacing w:before="0" w:after="0"/>
              <w:jc w:val="center"/>
              <w:rPr>
                <w:b/>
                <w:sz w:val="22"/>
              </w:rPr>
            </w:pPr>
            <w:r w:rsidRPr="00B968F8">
              <w:rPr>
                <w:b/>
                <w:sz w:val="22"/>
              </w:rPr>
              <w:t>0</w:t>
            </w:r>
            <w:r w:rsidRPr="00B968F8">
              <w:rPr>
                <w:b/>
                <w:sz w:val="22"/>
                <w:lang w:val="el-GR"/>
              </w:rPr>
              <w:t>,</w:t>
            </w:r>
            <w:r w:rsidRPr="00B968F8">
              <w:rPr>
                <w:b/>
                <w:sz w:val="22"/>
              </w:rPr>
              <w:t>00006*</w:t>
            </w:r>
          </w:p>
        </w:tc>
      </w:tr>
      <w:tr w:rsidR="0020047A" w:rsidRPr="00B968F8">
        <w:trPr>
          <w:cantSplit/>
          <w:trHeight w:val="495"/>
        </w:trPr>
        <w:tc>
          <w:tcPr>
            <w:tcW w:w="1721" w:type="dxa"/>
            <w:vMerge/>
            <w:tcBorders>
              <w:top w:val="nil"/>
              <w:left w:val="nil"/>
              <w:bottom w:val="nil"/>
              <w:right w:val="nil"/>
            </w:tcBorders>
            <w:vAlign w:val="center"/>
          </w:tcPr>
          <w:p w:rsidR="0020047A" w:rsidRPr="00B968F8" w:rsidRDefault="0020047A">
            <w:pPr>
              <w:pStyle w:val="Web"/>
              <w:spacing w:before="0" w:after="0"/>
              <w:jc w:val="center"/>
              <w:rPr>
                <w:b/>
                <w:sz w:val="22"/>
              </w:rPr>
            </w:pPr>
          </w:p>
        </w:tc>
        <w:tc>
          <w:tcPr>
            <w:tcW w:w="450" w:type="dxa"/>
            <w:vMerge/>
            <w:tcBorders>
              <w:top w:val="nil"/>
              <w:left w:val="nil"/>
              <w:bottom w:val="nil"/>
              <w:right w:val="nil"/>
            </w:tcBorders>
            <w:vAlign w:val="center"/>
          </w:tcPr>
          <w:p w:rsidR="0020047A" w:rsidRPr="00B968F8" w:rsidRDefault="0020047A">
            <w:pPr>
              <w:pStyle w:val="Web"/>
              <w:spacing w:before="0" w:after="0"/>
              <w:jc w:val="center"/>
              <w:rPr>
                <w:b/>
                <w:sz w:val="22"/>
              </w:rPr>
            </w:pPr>
          </w:p>
        </w:tc>
        <w:tc>
          <w:tcPr>
            <w:tcW w:w="3769" w:type="dxa"/>
            <w:gridSpan w:val="5"/>
            <w:tcBorders>
              <w:top w:val="single" w:sz="12" w:space="0" w:color="auto"/>
              <w:left w:val="nil"/>
              <w:bottom w:val="nil"/>
              <w:right w:val="nil"/>
            </w:tcBorders>
            <w:vAlign w:val="center"/>
          </w:tcPr>
          <w:p w:rsidR="0020047A" w:rsidRPr="00500FC2" w:rsidRDefault="0020047A">
            <w:pPr>
              <w:pStyle w:val="Web"/>
              <w:widowControl w:val="0"/>
              <w:spacing w:before="0" w:after="0"/>
              <w:jc w:val="center"/>
              <w:rPr>
                <w:sz w:val="22"/>
                <w:lang w:val="el-GR"/>
                <w:rPrChange w:id="12" w:author="Συντάκτης">
                  <w:rPr>
                    <w:sz w:val="22"/>
                  </w:rPr>
                </w:rPrChange>
              </w:rPr>
            </w:pPr>
            <w:r w:rsidRPr="00B968F8">
              <w:rPr>
                <w:b/>
                <w:sz w:val="22"/>
                <w:lang w:val="el-GR"/>
              </w:rPr>
              <w:t xml:space="preserve">Περιεκτικότητα φιαλιδίου </w:t>
            </w:r>
            <w:r w:rsidRPr="00B968F8">
              <w:rPr>
                <w:b/>
                <w:sz w:val="22"/>
              </w:rPr>
              <w:t>REMODULIN</w:t>
            </w:r>
            <w:r w:rsidRPr="00500FC2">
              <w:rPr>
                <w:b/>
                <w:sz w:val="22"/>
                <w:lang w:val="el-GR"/>
                <w:rPrChange w:id="13" w:author="Συντάκτης">
                  <w:rPr>
                    <w:b/>
                    <w:sz w:val="22"/>
                  </w:rPr>
                </w:rPrChange>
              </w:rPr>
              <w:t xml:space="preserve"> </w:t>
            </w:r>
            <w:r w:rsidRPr="00500FC2">
              <w:rPr>
                <w:b/>
                <w:sz w:val="22"/>
                <w:lang w:val="el-GR"/>
                <w:rPrChange w:id="14" w:author="Συντάκτης">
                  <w:rPr>
                    <w:b/>
                    <w:sz w:val="22"/>
                  </w:rPr>
                </w:rPrChange>
              </w:rPr>
              <w:br/>
            </w:r>
            <w:r w:rsidRPr="00500FC2">
              <w:rPr>
                <w:sz w:val="22"/>
                <w:lang w:val="el-GR"/>
                <w:rPrChange w:id="15" w:author="Συντάκτης">
                  <w:rPr>
                    <w:sz w:val="22"/>
                  </w:rPr>
                </w:rPrChange>
              </w:rPr>
              <w:t>(</w:t>
            </w:r>
            <w:r w:rsidRPr="00B968F8">
              <w:rPr>
                <w:sz w:val="22"/>
              </w:rPr>
              <w:t>mg</w:t>
            </w:r>
            <w:r w:rsidRPr="00500FC2">
              <w:rPr>
                <w:sz w:val="22"/>
                <w:lang w:val="el-GR"/>
                <w:rPrChange w:id="16" w:author="Συντάκτης">
                  <w:rPr>
                    <w:sz w:val="22"/>
                  </w:rPr>
                </w:rPrChange>
              </w:rPr>
              <w:t>/</w:t>
            </w:r>
            <w:r w:rsidRPr="00B968F8">
              <w:rPr>
                <w:sz w:val="22"/>
              </w:rPr>
              <w:t>mL</w:t>
            </w:r>
            <w:r w:rsidRPr="00500FC2">
              <w:rPr>
                <w:sz w:val="22"/>
                <w:lang w:val="el-GR"/>
                <w:rPrChange w:id="17" w:author="Συντάκτης">
                  <w:rPr>
                    <w:sz w:val="22"/>
                  </w:rPr>
                </w:rPrChange>
              </w:rPr>
              <w:t>)</w:t>
            </w:r>
          </w:p>
        </w:tc>
      </w:tr>
    </w:tbl>
    <w:p w:rsidR="0020047A" w:rsidRPr="00500FC2" w:rsidRDefault="0020047A" w:rsidP="006F56F4">
      <w:pPr>
        <w:pStyle w:val="Web"/>
        <w:spacing w:before="120" w:after="0"/>
        <w:rPr>
          <w:i/>
          <w:sz w:val="22"/>
          <w:lang w:val="el-GR"/>
        </w:rPr>
      </w:pPr>
      <w:r w:rsidRPr="00500FC2">
        <w:rPr>
          <w:i/>
          <w:sz w:val="22"/>
          <w:lang w:val="el-GR"/>
        </w:rPr>
        <w:t>*</w:t>
      </w:r>
      <w:r w:rsidRPr="00B968F8">
        <w:rPr>
          <w:i/>
          <w:sz w:val="22"/>
          <w:lang w:val="el-GR"/>
        </w:rPr>
        <w:t>Παράγοντας μετατροπής</w:t>
      </w:r>
      <w:r w:rsidRPr="00500FC2">
        <w:rPr>
          <w:i/>
          <w:sz w:val="22"/>
          <w:lang w:val="el-GR"/>
        </w:rPr>
        <w:t xml:space="preserve"> 0</w:t>
      </w:r>
      <w:r w:rsidRPr="00B968F8">
        <w:rPr>
          <w:i/>
          <w:sz w:val="22"/>
          <w:lang w:val="el-GR"/>
        </w:rPr>
        <w:t>,</w:t>
      </w:r>
      <w:r w:rsidRPr="00500FC2">
        <w:rPr>
          <w:i/>
          <w:sz w:val="22"/>
          <w:lang w:val="el-GR"/>
        </w:rPr>
        <w:t xml:space="preserve">00006 = 60 </w:t>
      </w:r>
      <w:r w:rsidRPr="00B968F8">
        <w:rPr>
          <w:i/>
          <w:sz w:val="22"/>
          <w:lang w:val="el-GR"/>
        </w:rPr>
        <w:t>λεπ/ώρα</w:t>
      </w:r>
      <w:r w:rsidRPr="00500FC2">
        <w:rPr>
          <w:i/>
          <w:sz w:val="22"/>
          <w:lang w:val="el-GR"/>
        </w:rPr>
        <w:t xml:space="preserve"> </w:t>
      </w:r>
      <w:r w:rsidRPr="00B968F8">
        <w:rPr>
          <w:i/>
          <w:sz w:val="22"/>
        </w:rPr>
        <w:t>x</w:t>
      </w:r>
      <w:r w:rsidRPr="00500FC2">
        <w:rPr>
          <w:i/>
          <w:sz w:val="22"/>
          <w:lang w:val="el-GR"/>
        </w:rPr>
        <w:t xml:space="preserve"> 0</w:t>
      </w:r>
      <w:r w:rsidRPr="00B968F8">
        <w:rPr>
          <w:i/>
          <w:sz w:val="22"/>
          <w:lang w:val="el-GR"/>
        </w:rPr>
        <w:t>,</w:t>
      </w:r>
      <w:r w:rsidRPr="00500FC2">
        <w:rPr>
          <w:i/>
          <w:sz w:val="22"/>
          <w:lang w:val="el-GR"/>
        </w:rPr>
        <w:t xml:space="preserve">000001 </w:t>
      </w:r>
      <w:r w:rsidRPr="00B968F8">
        <w:rPr>
          <w:i/>
          <w:sz w:val="22"/>
        </w:rPr>
        <w:t>mg</w:t>
      </w:r>
      <w:r w:rsidRPr="00500FC2">
        <w:rPr>
          <w:i/>
          <w:sz w:val="22"/>
          <w:lang w:val="el-GR"/>
        </w:rPr>
        <w:t>/</w:t>
      </w:r>
      <w:r w:rsidRPr="00B968F8">
        <w:rPr>
          <w:i/>
          <w:sz w:val="22"/>
        </w:rPr>
        <w:t>ng</w:t>
      </w:r>
    </w:p>
    <w:p w:rsidR="0020047A" w:rsidRPr="00500FC2" w:rsidRDefault="0020047A">
      <w:pPr>
        <w:pStyle w:val="Web"/>
        <w:spacing w:before="0" w:after="0"/>
        <w:rPr>
          <w:sz w:val="22"/>
          <w:lang w:val="el-GR"/>
        </w:rPr>
      </w:pPr>
    </w:p>
    <w:p w:rsidR="0020047A" w:rsidRPr="00500FC2" w:rsidRDefault="0020047A" w:rsidP="006F56F4">
      <w:pPr>
        <w:pStyle w:val="Web"/>
        <w:keepNext/>
        <w:spacing w:before="0" w:after="0"/>
        <w:rPr>
          <w:sz w:val="22"/>
          <w:lang w:val="el-GR"/>
          <w:rPrChange w:id="18" w:author="Συντάκτης">
            <w:rPr>
              <w:sz w:val="22"/>
            </w:rPr>
          </w:rPrChange>
        </w:rPr>
      </w:pPr>
      <w:r w:rsidRPr="00B968F8">
        <w:rPr>
          <w:sz w:val="22"/>
          <w:lang w:val="el-GR"/>
        </w:rPr>
        <w:t>Παραδείγματα υπολογισμών για</w:t>
      </w:r>
      <w:r w:rsidRPr="00500FC2">
        <w:rPr>
          <w:sz w:val="22"/>
          <w:lang w:val="el-GR"/>
          <w:rPrChange w:id="19" w:author="Συντάκτης">
            <w:rPr>
              <w:sz w:val="22"/>
            </w:rPr>
          </w:rPrChange>
        </w:rPr>
        <w:t xml:space="preserve"> </w:t>
      </w:r>
      <w:r w:rsidRPr="00B968F8">
        <w:rPr>
          <w:b/>
          <w:i/>
          <w:sz w:val="22"/>
          <w:lang w:val="el-GR"/>
        </w:rPr>
        <w:t>Υποδόρια Έγχυση</w:t>
      </w:r>
      <w:r w:rsidRPr="00B968F8">
        <w:rPr>
          <w:sz w:val="22"/>
          <w:lang w:val="el-GR"/>
        </w:rPr>
        <w:t xml:space="preserve"> έχουν ως εξής</w:t>
      </w:r>
      <w:r w:rsidRPr="00500FC2">
        <w:rPr>
          <w:sz w:val="22"/>
          <w:lang w:val="el-GR"/>
          <w:rPrChange w:id="20" w:author="Συντάκτης">
            <w:rPr>
              <w:sz w:val="22"/>
            </w:rPr>
          </w:rPrChange>
        </w:rPr>
        <w:t>:</w:t>
      </w:r>
    </w:p>
    <w:p w:rsidR="0020047A" w:rsidRPr="00500FC2" w:rsidRDefault="0020047A" w:rsidP="006F56F4">
      <w:pPr>
        <w:pStyle w:val="Web"/>
        <w:keepNext/>
        <w:spacing w:before="0" w:after="0"/>
        <w:rPr>
          <w:b/>
          <w:sz w:val="22"/>
          <w:u w:val="single"/>
          <w:lang w:val="el-GR"/>
          <w:rPrChange w:id="21" w:author="Συντάκτης">
            <w:rPr>
              <w:b/>
              <w:sz w:val="22"/>
              <w:u w:val="single"/>
            </w:rPr>
          </w:rPrChange>
        </w:rPr>
      </w:pPr>
    </w:p>
    <w:p w:rsidR="0020047A" w:rsidRPr="00500FC2" w:rsidRDefault="0020047A">
      <w:pPr>
        <w:pStyle w:val="Web"/>
        <w:spacing w:before="0" w:after="0"/>
        <w:rPr>
          <w:b/>
          <w:sz w:val="22"/>
          <w:lang w:val="el-GR"/>
          <w:rPrChange w:id="22" w:author="Συντάκτης">
            <w:rPr>
              <w:b/>
              <w:sz w:val="22"/>
            </w:rPr>
          </w:rPrChange>
        </w:rPr>
      </w:pPr>
      <w:r w:rsidRPr="00B968F8">
        <w:rPr>
          <w:b/>
          <w:sz w:val="22"/>
          <w:u w:val="single"/>
          <w:lang w:val="el-GR"/>
        </w:rPr>
        <w:t>Παράδειγμα</w:t>
      </w:r>
      <w:r w:rsidRPr="00500FC2">
        <w:rPr>
          <w:b/>
          <w:sz w:val="22"/>
          <w:u w:val="single"/>
          <w:lang w:val="el-GR"/>
          <w:rPrChange w:id="23" w:author="Συντάκτης">
            <w:rPr>
              <w:b/>
              <w:sz w:val="22"/>
              <w:u w:val="single"/>
            </w:rPr>
          </w:rPrChange>
        </w:rPr>
        <w:t xml:space="preserve"> 1</w:t>
      </w:r>
      <w:r w:rsidRPr="00500FC2">
        <w:rPr>
          <w:b/>
          <w:sz w:val="22"/>
          <w:lang w:val="el-GR"/>
          <w:rPrChange w:id="24" w:author="Συντάκτης">
            <w:rPr>
              <w:b/>
              <w:sz w:val="22"/>
            </w:rPr>
          </w:rPrChange>
        </w:rPr>
        <w:t>:</w:t>
      </w:r>
    </w:p>
    <w:p w:rsidR="0020047A" w:rsidRPr="00B968F8" w:rsidRDefault="0020047A">
      <w:pPr>
        <w:pStyle w:val="Web"/>
        <w:spacing w:before="0" w:after="0"/>
        <w:rPr>
          <w:sz w:val="22"/>
          <w:lang w:val="el-GR"/>
        </w:rPr>
      </w:pPr>
      <w:r w:rsidRPr="00B968F8">
        <w:rPr>
          <w:sz w:val="22"/>
          <w:lang w:val="el-GR"/>
        </w:rPr>
        <w:t>Για ένα άτομο</w:t>
      </w:r>
      <w:r w:rsidRPr="00500FC2">
        <w:rPr>
          <w:sz w:val="22"/>
          <w:lang w:val="el-GR"/>
          <w:rPrChange w:id="25" w:author="Συντάκτης">
            <w:rPr>
              <w:sz w:val="22"/>
            </w:rPr>
          </w:rPrChange>
        </w:rPr>
        <w:t xml:space="preserve"> 60 </w:t>
      </w:r>
      <w:r w:rsidRPr="00B968F8">
        <w:rPr>
          <w:sz w:val="22"/>
          <w:lang w:val="el-GR"/>
        </w:rPr>
        <w:t xml:space="preserve">χλγρ στη συνιστώμενη αρχική δόση </w:t>
      </w:r>
      <w:r w:rsidRPr="00500FC2">
        <w:rPr>
          <w:sz w:val="22"/>
          <w:lang w:val="el-GR"/>
          <w:rPrChange w:id="26" w:author="Συντάκτης">
            <w:rPr>
              <w:sz w:val="22"/>
            </w:rPr>
          </w:rPrChange>
        </w:rPr>
        <w:t>1</w:t>
      </w:r>
      <w:r w:rsidRPr="00B968F8">
        <w:rPr>
          <w:sz w:val="22"/>
          <w:lang w:val="el-GR"/>
        </w:rPr>
        <w:t>,</w:t>
      </w:r>
      <w:r w:rsidRPr="00500FC2">
        <w:rPr>
          <w:sz w:val="22"/>
          <w:lang w:val="el-GR"/>
          <w:rPrChange w:id="27" w:author="Συντάκτης">
            <w:rPr>
              <w:sz w:val="22"/>
            </w:rPr>
          </w:rPrChange>
        </w:rPr>
        <w:t xml:space="preserve">25 </w:t>
      </w:r>
      <w:r w:rsidRPr="00B968F8">
        <w:rPr>
          <w:sz w:val="22"/>
        </w:rPr>
        <w:t>ng</w:t>
      </w:r>
      <w:r w:rsidRPr="00500FC2">
        <w:rPr>
          <w:sz w:val="22"/>
          <w:lang w:val="el-GR"/>
          <w:rPrChange w:id="28" w:author="Συντάκτης">
            <w:rPr>
              <w:sz w:val="22"/>
            </w:rPr>
          </w:rPrChange>
        </w:rPr>
        <w:t>/</w:t>
      </w:r>
      <w:r w:rsidRPr="00B968F8">
        <w:rPr>
          <w:sz w:val="22"/>
        </w:rPr>
        <w:t>kg</w:t>
      </w:r>
      <w:r w:rsidRPr="00500FC2">
        <w:rPr>
          <w:sz w:val="22"/>
          <w:lang w:val="el-GR"/>
          <w:rPrChange w:id="29" w:author="Συντάκτης">
            <w:rPr>
              <w:sz w:val="22"/>
            </w:rPr>
          </w:rPrChange>
        </w:rPr>
        <w:t>/</w:t>
      </w:r>
      <w:r w:rsidRPr="00B968F8">
        <w:rPr>
          <w:sz w:val="22"/>
          <w:lang w:val="el-GR"/>
        </w:rPr>
        <w:t>λεπτό</w:t>
      </w:r>
      <w:r w:rsidRPr="00500FC2">
        <w:rPr>
          <w:sz w:val="22"/>
          <w:lang w:val="el-GR"/>
          <w:rPrChange w:id="30" w:author="Συντάκτης">
            <w:rPr>
              <w:sz w:val="22"/>
            </w:rPr>
          </w:rPrChange>
        </w:rPr>
        <w:t xml:space="preserve"> </w:t>
      </w:r>
      <w:r w:rsidRPr="00B968F8">
        <w:rPr>
          <w:sz w:val="22"/>
          <w:lang w:val="el-GR"/>
        </w:rPr>
        <w:t xml:space="preserve">χρησιμοποιώντας </w:t>
      </w:r>
      <w:r w:rsidRPr="00500FC2">
        <w:rPr>
          <w:sz w:val="22"/>
          <w:lang w:val="el-GR"/>
          <w:rPrChange w:id="31" w:author="Συντάκτης">
            <w:rPr>
              <w:sz w:val="22"/>
            </w:rPr>
          </w:rPrChange>
        </w:rPr>
        <w:t xml:space="preserve">1 </w:t>
      </w:r>
      <w:r w:rsidRPr="00B968F8">
        <w:rPr>
          <w:sz w:val="22"/>
        </w:rPr>
        <w:t>mg</w:t>
      </w:r>
      <w:r w:rsidRPr="00500FC2">
        <w:rPr>
          <w:sz w:val="22"/>
          <w:lang w:val="el-GR"/>
          <w:rPrChange w:id="32" w:author="Συντάκτης">
            <w:rPr>
              <w:sz w:val="22"/>
            </w:rPr>
          </w:rPrChange>
        </w:rPr>
        <w:t>/</w:t>
      </w:r>
      <w:r w:rsidRPr="00B968F8">
        <w:rPr>
          <w:sz w:val="22"/>
        </w:rPr>
        <w:t>mL</w:t>
      </w:r>
      <w:r w:rsidRPr="00500FC2">
        <w:rPr>
          <w:sz w:val="22"/>
          <w:lang w:val="el-GR"/>
          <w:rPrChange w:id="33" w:author="Συντάκτης">
            <w:rPr>
              <w:sz w:val="22"/>
            </w:rPr>
          </w:rPrChange>
        </w:rPr>
        <w:t xml:space="preserve"> </w:t>
      </w:r>
      <w:r w:rsidRPr="00B968F8">
        <w:rPr>
          <w:sz w:val="22"/>
          <w:lang w:val="el-GR"/>
        </w:rPr>
        <w:t>Περιεκτικότητα Φιαλιδίου</w:t>
      </w:r>
      <w:r w:rsidRPr="00500FC2">
        <w:rPr>
          <w:sz w:val="22"/>
          <w:lang w:val="el-GR"/>
          <w:rPrChange w:id="34" w:author="Συντάκτης">
            <w:rPr>
              <w:sz w:val="22"/>
            </w:rPr>
          </w:rPrChange>
        </w:rPr>
        <w:t xml:space="preserve"> </w:t>
      </w:r>
      <w:r w:rsidRPr="00B968F8">
        <w:rPr>
          <w:sz w:val="22"/>
        </w:rPr>
        <w:t>REM</w:t>
      </w:r>
      <w:r w:rsidRPr="00B968F8">
        <w:rPr>
          <w:sz w:val="22"/>
          <w:lang w:val="en-GB"/>
        </w:rPr>
        <w:t>OD</w:t>
      </w:r>
      <w:r w:rsidRPr="00B968F8">
        <w:rPr>
          <w:sz w:val="22"/>
        </w:rPr>
        <w:t>ULIN</w:t>
      </w:r>
      <w:r w:rsidRPr="00B968F8">
        <w:rPr>
          <w:sz w:val="22"/>
          <w:lang w:val="el-GR"/>
        </w:rPr>
        <w:t>, ο ρυθμός έγχυσης υπολογίζεται ως εξής</w:t>
      </w:r>
      <w:r w:rsidRPr="00500FC2">
        <w:rPr>
          <w:sz w:val="22"/>
          <w:lang w:val="el-GR"/>
          <w:rPrChange w:id="35" w:author="Συντάκτης">
            <w:rPr>
              <w:sz w:val="22"/>
            </w:rPr>
          </w:rPrChange>
        </w:rPr>
        <w:t>:</w:t>
      </w:r>
    </w:p>
    <w:p w:rsidR="0020047A" w:rsidRPr="00500FC2" w:rsidRDefault="0020047A">
      <w:pPr>
        <w:pStyle w:val="Web"/>
        <w:spacing w:before="0" w:after="0"/>
        <w:rPr>
          <w:sz w:val="22"/>
          <w:lang w:val="el-GR"/>
          <w:rPrChange w:id="36" w:author="Συντάκτης">
            <w:rPr>
              <w:sz w:val="22"/>
            </w:rPr>
          </w:rPrChang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60"/>
        <w:gridCol w:w="1800"/>
        <w:gridCol w:w="360"/>
        <w:gridCol w:w="900"/>
        <w:gridCol w:w="360"/>
        <w:gridCol w:w="990"/>
        <w:gridCol w:w="1530"/>
      </w:tblGrid>
      <w:tr w:rsidR="0020047A" w:rsidRPr="00B968F8">
        <w:trPr>
          <w:cantSplit/>
          <w:trHeight w:val="495"/>
        </w:trPr>
        <w:tc>
          <w:tcPr>
            <w:tcW w:w="1530" w:type="dxa"/>
            <w:vMerge w:val="restart"/>
            <w:tcBorders>
              <w:top w:val="nil"/>
              <w:left w:val="nil"/>
              <w:bottom w:val="nil"/>
              <w:right w:val="nil"/>
            </w:tcBorders>
            <w:vAlign w:val="center"/>
          </w:tcPr>
          <w:p w:rsidR="0020047A" w:rsidRPr="00500FC2" w:rsidRDefault="0020047A">
            <w:pPr>
              <w:pStyle w:val="Web"/>
              <w:spacing w:before="0" w:after="0"/>
              <w:jc w:val="center"/>
              <w:rPr>
                <w:sz w:val="22"/>
                <w:lang w:val="el-GR"/>
                <w:rPrChange w:id="37" w:author="Συντάκτης">
                  <w:rPr>
                    <w:sz w:val="22"/>
                  </w:rPr>
                </w:rPrChange>
              </w:rPr>
            </w:pPr>
            <w:r w:rsidRPr="00B968F8">
              <w:rPr>
                <w:b/>
                <w:sz w:val="22"/>
                <w:lang w:val="el-GR"/>
              </w:rPr>
              <w:t>Ρυθμός Υποδόριας Έγχυσης</w:t>
            </w:r>
            <w:r w:rsidRPr="00500FC2">
              <w:rPr>
                <w:b/>
                <w:sz w:val="22"/>
                <w:lang w:val="el-GR"/>
                <w:rPrChange w:id="38" w:author="Συντάκτης">
                  <w:rPr>
                    <w:b/>
                    <w:sz w:val="22"/>
                  </w:rPr>
                </w:rPrChange>
              </w:rPr>
              <w:t xml:space="preserve"> </w:t>
            </w:r>
            <w:r w:rsidRPr="00500FC2">
              <w:rPr>
                <w:sz w:val="22"/>
                <w:lang w:val="el-GR"/>
                <w:rPrChange w:id="39" w:author="Συντάκτης">
                  <w:rPr>
                    <w:sz w:val="22"/>
                  </w:rPr>
                </w:rPrChange>
              </w:rPr>
              <w:t>(</w:t>
            </w:r>
            <w:r w:rsidRPr="00B968F8">
              <w:rPr>
                <w:sz w:val="22"/>
              </w:rPr>
              <w:t>mL</w:t>
            </w:r>
            <w:r w:rsidRPr="00500FC2">
              <w:rPr>
                <w:sz w:val="22"/>
                <w:lang w:val="el-GR"/>
                <w:rPrChange w:id="40" w:author="Συντάκτης">
                  <w:rPr>
                    <w:sz w:val="22"/>
                  </w:rPr>
                </w:rPrChange>
              </w:rPr>
              <w:t>/</w:t>
            </w:r>
            <w:r w:rsidRPr="00B968F8">
              <w:rPr>
                <w:sz w:val="22"/>
                <w:lang w:val="el-GR"/>
              </w:rPr>
              <w:t xml:space="preserve"> ώρα</w:t>
            </w:r>
            <w:r w:rsidRPr="00500FC2">
              <w:rPr>
                <w:sz w:val="22"/>
                <w:lang w:val="el-GR"/>
                <w:rPrChange w:id="41" w:author="Συντάκτης">
                  <w:rPr>
                    <w:sz w:val="22"/>
                  </w:rPr>
                </w:rPrChange>
              </w:rPr>
              <w:t>)</w:t>
            </w:r>
          </w:p>
        </w:tc>
        <w:tc>
          <w:tcPr>
            <w:tcW w:w="360" w:type="dxa"/>
            <w:vMerge w:val="restart"/>
            <w:tcBorders>
              <w:top w:val="nil"/>
              <w:left w:val="nil"/>
              <w:bottom w:val="nil"/>
              <w:right w:val="nil"/>
            </w:tcBorders>
            <w:vAlign w:val="center"/>
          </w:tcPr>
          <w:p w:rsidR="0020047A" w:rsidRPr="00B968F8" w:rsidRDefault="0020047A">
            <w:pPr>
              <w:pStyle w:val="Web"/>
              <w:spacing w:before="0" w:after="0"/>
              <w:rPr>
                <w:b/>
                <w:sz w:val="22"/>
              </w:rPr>
            </w:pPr>
            <w:r w:rsidRPr="00B968F8">
              <w:rPr>
                <w:b/>
                <w:sz w:val="22"/>
              </w:rPr>
              <w:t>=</w:t>
            </w:r>
          </w:p>
        </w:tc>
        <w:tc>
          <w:tcPr>
            <w:tcW w:w="180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lang w:val="el-GR"/>
              </w:rPr>
            </w:pPr>
            <w:r w:rsidRPr="00B968F8">
              <w:rPr>
                <w:b/>
                <w:sz w:val="22"/>
              </w:rPr>
              <w:t>1</w:t>
            </w:r>
            <w:r w:rsidRPr="00B968F8">
              <w:rPr>
                <w:b/>
                <w:sz w:val="22"/>
                <w:lang w:val="el-GR"/>
              </w:rPr>
              <w:t>,</w:t>
            </w:r>
            <w:r w:rsidRPr="00B968F8">
              <w:rPr>
                <w:b/>
                <w:sz w:val="22"/>
              </w:rPr>
              <w:t xml:space="preserve">25 </w:t>
            </w:r>
            <w:r w:rsidRPr="00B968F8">
              <w:rPr>
                <w:sz w:val="22"/>
              </w:rPr>
              <w:t>ng/kg/</w:t>
            </w:r>
            <w:r w:rsidRPr="00B968F8">
              <w:rPr>
                <w:sz w:val="22"/>
                <w:lang w:val="el-GR"/>
              </w:rPr>
              <w:t>λεπτό</w:t>
            </w:r>
          </w:p>
        </w:tc>
        <w:tc>
          <w:tcPr>
            <w:tcW w:w="36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rPr>
            </w:pPr>
            <w:r w:rsidRPr="00B968F8">
              <w:rPr>
                <w:b/>
                <w:sz w:val="22"/>
              </w:rPr>
              <w:t>x</w:t>
            </w:r>
          </w:p>
        </w:tc>
        <w:tc>
          <w:tcPr>
            <w:tcW w:w="90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rPr>
            </w:pPr>
            <w:r w:rsidRPr="00B968F8">
              <w:rPr>
                <w:b/>
                <w:sz w:val="22"/>
              </w:rPr>
              <w:t xml:space="preserve">60 </w:t>
            </w:r>
            <w:r w:rsidRPr="00B968F8">
              <w:rPr>
                <w:sz w:val="22"/>
              </w:rPr>
              <w:t>kg</w:t>
            </w:r>
          </w:p>
        </w:tc>
        <w:tc>
          <w:tcPr>
            <w:tcW w:w="36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rPr>
            </w:pPr>
            <w:r w:rsidRPr="00B968F8">
              <w:rPr>
                <w:b/>
                <w:sz w:val="22"/>
              </w:rPr>
              <w:t>x</w:t>
            </w:r>
          </w:p>
        </w:tc>
        <w:tc>
          <w:tcPr>
            <w:tcW w:w="990" w:type="dxa"/>
            <w:tcBorders>
              <w:top w:val="nil"/>
              <w:left w:val="nil"/>
              <w:bottom w:val="single" w:sz="12" w:space="0" w:color="auto"/>
              <w:right w:val="nil"/>
            </w:tcBorders>
            <w:vAlign w:val="bottom"/>
          </w:tcPr>
          <w:p w:rsidR="0020047A" w:rsidRPr="00B968F8" w:rsidRDefault="0020047A">
            <w:pPr>
              <w:pStyle w:val="Web"/>
              <w:widowControl w:val="0"/>
              <w:spacing w:before="0" w:after="0"/>
              <w:jc w:val="center"/>
              <w:rPr>
                <w:b/>
                <w:sz w:val="22"/>
              </w:rPr>
            </w:pPr>
            <w:r w:rsidRPr="00B968F8">
              <w:rPr>
                <w:b/>
                <w:sz w:val="22"/>
              </w:rPr>
              <w:t>0</w:t>
            </w:r>
            <w:r w:rsidRPr="00B968F8">
              <w:rPr>
                <w:b/>
                <w:sz w:val="22"/>
                <w:lang w:val="el-GR"/>
              </w:rPr>
              <w:t>,</w:t>
            </w:r>
            <w:r w:rsidRPr="00B968F8">
              <w:rPr>
                <w:b/>
                <w:sz w:val="22"/>
              </w:rPr>
              <w:t>00006</w:t>
            </w:r>
          </w:p>
        </w:tc>
        <w:tc>
          <w:tcPr>
            <w:tcW w:w="1530" w:type="dxa"/>
            <w:vMerge w:val="restart"/>
            <w:tcBorders>
              <w:top w:val="nil"/>
              <w:left w:val="nil"/>
              <w:bottom w:val="nil"/>
              <w:right w:val="nil"/>
            </w:tcBorders>
            <w:vAlign w:val="center"/>
          </w:tcPr>
          <w:p w:rsidR="0020047A" w:rsidRPr="00B968F8" w:rsidRDefault="0020047A">
            <w:pPr>
              <w:pStyle w:val="Web"/>
              <w:widowControl w:val="0"/>
              <w:spacing w:before="0" w:after="0"/>
              <w:jc w:val="center"/>
              <w:rPr>
                <w:b/>
                <w:sz w:val="22"/>
                <w:lang w:val="el-GR"/>
              </w:rPr>
            </w:pPr>
            <w:r w:rsidRPr="00B968F8">
              <w:rPr>
                <w:b/>
                <w:sz w:val="22"/>
              </w:rPr>
              <w:t>=  0</w:t>
            </w:r>
            <w:r w:rsidRPr="00B968F8">
              <w:rPr>
                <w:b/>
                <w:sz w:val="22"/>
                <w:lang w:val="el-GR"/>
              </w:rPr>
              <w:t>,</w:t>
            </w:r>
            <w:r w:rsidRPr="00B968F8">
              <w:rPr>
                <w:b/>
                <w:sz w:val="22"/>
              </w:rPr>
              <w:t xml:space="preserve">005 </w:t>
            </w:r>
            <w:r w:rsidRPr="00B968F8">
              <w:rPr>
                <w:sz w:val="22"/>
              </w:rPr>
              <w:t>mL/</w:t>
            </w:r>
            <w:r w:rsidRPr="00B968F8">
              <w:rPr>
                <w:sz w:val="22"/>
                <w:lang w:val="el-GR"/>
              </w:rPr>
              <w:t xml:space="preserve"> ώρα</w:t>
            </w:r>
          </w:p>
        </w:tc>
      </w:tr>
      <w:tr w:rsidR="0020047A" w:rsidRPr="00B968F8">
        <w:trPr>
          <w:cantSplit/>
          <w:trHeight w:val="495"/>
        </w:trPr>
        <w:tc>
          <w:tcPr>
            <w:tcW w:w="1530" w:type="dxa"/>
            <w:vMerge/>
            <w:tcBorders>
              <w:top w:val="nil"/>
              <w:left w:val="nil"/>
              <w:bottom w:val="nil"/>
              <w:right w:val="nil"/>
            </w:tcBorders>
            <w:vAlign w:val="center"/>
          </w:tcPr>
          <w:p w:rsidR="0020047A" w:rsidRPr="00B968F8" w:rsidRDefault="0020047A">
            <w:pPr>
              <w:pStyle w:val="Web"/>
              <w:spacing w:before="0" w:after="0"/>
              <w:jc w:val="center"/>
              <w:rPr>
                <w:b/>
                <w:sz w:val="22"/>
              </w:rPr>
            </w:pPr>
          </w:p>
        </w:tc>
        <w:tc>
          <w:tcPr>
            <w:tcW w:w="360" w:type="dxa"/>
            <w:vMerge/>
            <w:tcBorders>
              <w:top w:val="nil"/>
              <w:left w:val="nil"/>
              <w:bottom w:val="nil"/>
              <w:right w:val="nil"/>
            </w:tcBorders>
          </w:tcPr>
          <w:p w:rsidR="0020047A" w:rsidRPr="00B968F8" w:rsidRDefault="0020047A">
            <w:pPr>
              <w:pStyle w:val="Web"/>
              <w:spacing w:before="0" w:after="0"/>
              <w:rPr>
                <w:b/>
                <w:sz w:val="22"/>
              </w:rPr>
            </w:pPr>
          </w:p>
        </w:tc>
        <w:tc>
          <w:tcPr>
            <w:tcW w:w="4410" w:type="dxa"/>
            <w:gridSpan w:val="5"/>
            <w:tcBorders>
              <w:top w:val="single" w:sz="12" w:space="0" w:color="auto"/>
              <w:left w:val="nil"/>
              <w:bottom w:val="nil"/>
              <w:right w:val="nil"/>
            </w:tcBorders>
          </w:tcPr>
          <w:p w:rsidR="0020047A" w:rsidRPr="00B968F8" w:rsidRDefault="0020047A">
            <w:pPr>
              <w:pStyle w:val="Web"/>
              <w:widowControl w:val="0"/>
              <w:spacing w:before="0" w:after="0"/>
              <w:jc w:val="center"/>
              <w:rPr>
                <w:sz w:val="22"/>
              </w:rPr>
            </w:pPr>
            <w:r w:rsidRPr="00B968F8">
              <w:rPr>
                <w:b/>
                <w:sz w:val="22"/>
              </w:rPr>
              <w:t xml:space="preserve">1 </w:t>
            </w:r>
            <w:r w:rsidRPr="00B968F8">
              <w:rPr>
                <w:sz w:val="22"/>
              </w:rPr>
              <w:t>mg/mL</w:t>
            </w:r>
          </w:p>
          <w:p w:rsidR="0020047A" w:rsidRPr="00B968F8" w:rsidRDefault="0020047A">
            <w:pPr>
              <w:pStyle w:val="Web"/>
              <w:widowControl w:val="0"/>
              <w:spacing w:before="0" w:after="0"/>
              <w:jc w:val="center"/>
              <w:rPr>
                <w:b/>
                <w:sz w:val="22"/>
              </w:rPr>
            </w:pPr>
          </w:p>
        </w:tc>
        <w:tc>
          <w:tcPr>
            <w:tcW w:w="1530" w:type="dxa"/>
            <w:vMerge/>
            <w:tcBorders>
              <w:top w:val="nil"/>
              <w:left w:val="nil"/>
              <w:bottom w:val="nil"/>
              <w:right w:val="nil"/>
            </w:tcBorders>
          </w:tcPr>
          <w:p w:rsidR="0020047A" w:rsidRPr="00B968F8" w:rsidRDefault="0020047A">
            <w:pPr>
              <w:pStyle w:val="Web"/>
              <w:widowControl w:val="0"/>
              <w:spacing w:before="0" w:after="0"/>
              <w:jc w:val="center"/>
              <w:rPr>
                <w:b/>
                <w:sz w:val="22"/>
              </w:rPr>
            </w:pPr>
          </w:p>
        </w:tc>
      </w:tr>
    </w:tbl>
    <w:p w:rsidR="0020047A" w:rsidRPr="00B968F8" w:rsidRDefault="0020047A">
      <w:pPr>
        <w:pStyle w:val="Web"/>
        <w:spacing w:before="0" w:after="0"/>
        <w:rPr>
          <w:sz w:val="22"/>
        </w:rPr>
      </w:pPr>
    </w:p>
    <w:p w:rsidR="0020047A" w:rsidRPr="00B968F8" w:rsidRDefault="0020047A">
      <w:pPr>
        <w:pStyle w:val="Web"/>
        <w:spacing w:before="0" w:after="0"/>
        <w:rPr>
          <w:sz w:val="22"/>
          <w:lang w:val="el-GR"/>
        </w:rPr>
      </w:pPr>
      <w:r w:rsidRPr="00B968F8">
        <w:rPr>
          <w:b/>
          <w:sz w:val="22"/>
          <w:u w:val="single"/>
          <w:lang w:val="el-GR"/>
        </w:rPr>
        <w:t>Παράδειγμα</w:t>
      </w:r>
      <w:r w:rsidRPr="00B968F8">
        <w:rPr>
          <w:b/>
          <w:sz w:val="22"/>
          <w:u w:val="single"/>
        </w:rPr>
        <w:t xml:space="preserve"> 2</w:t>
      </w:r>
      <w:r w:rsidRPr="00B968F8">
        <w:rPr>
          <w:b/>
          <w:sz w:val="22"/>
        </w:rPr>
        <w:t>:</w:t>
      </w:r>
      <w:r w:rsidRPr="00B968F8">
        <w:rPr>
          <w:b/>
          <w:sz w:val="22"/>
          <w:lang w:val="el-GR"/>
        </w:rPr>
        <w:t xml:space="preserve"> </w:t>
      </w:r>
    </w:p>
    <w:p w:rsidR="0020047A" w:rsidRPr="00B968F8" w:rsidRDefault="0020047A">
      <w:pPr>
        <w:pStyle w:val="Web"/>
        <w:spacing w:before="0" w:after="0"/>
        <w:rPr>
          <w:sz w:val="22"/>
          <w:lang w:val="el-GR"/>
        </w:rPr>
      </w:pPr>
      <w:r w:rsidRPr="00B968F8">
        <w:rPr>
          <w:sz w:val="22"/>
          <w:lang w:val="el-GR"/>
        </w:rPr>
        <w:t xml:space="preserve">Για ένα άτομο 65 χλγρ στη δόση 40 </w:t>
      </w:r>
      <w:r w:rsidRPr="00B968F8">
        <w:rPr>
          <w:sz w:val="22"/>
        </w:rPr>
        <w:t>ng</w:t>
      </w:r>
      <w:r w:rsidRPr="00B968F8">
        <w:rPr>
          <w:sz w:val="22"/>
          <w:lang w:val="el-GR"/>
        </w:rPr>
        <w:t>/</w:t>
      </w:r>
      <w:r w:rsidRPr="00B968F8">
        <w:rPr>
          <w:sz w:val="22"/>
        </w:rPr>
        <w:t>kg</w:t>
      </w:r>
      <w:r w:rsidRPr="00B968F8">
        <w:rPr>
          <w:sz w:val="22"/>
          <w:lang w:val="el-GR"/>
        </w:rPr>
        <w:t xml:space="preserve">/λεπτό χρησιμοποιώντας 5 </w:t>
      </w:r>
      <w:r w:rsidRPr="00B968F8">
        <w:rPr>
          <w:sz w:val="22"/>
        </w:rPr>
        <w:t>mg</w:t>
      </w:r>
      <w:r w:rsidRPr="00B968F8">
        <w:rPr>
          <w:sz w:val="22"/>
          <w:lang w:val="el-GR"/>
        </w:rPr>
        <w:t>/</w:t>
      </w:r>
      <w:r w:rsidRPr="00B968F8">
        <w:rPr>
          <w:sz w:val="22"/>
        </w:rPr>
        <w:t>mL</w:t>
      </w:r>
      <w:r w:rsidRPr="00B968F8">
        <w:rPr>
          <w:sz w:val="22"/>
          <w:lang w:val="el-GR"/>
        </w:rPr>
        <w:t xml:space="preserve"> Περιεκτικότητα Φιαλιδίου </w:t>
      </w:r>
      <w:r w:rsidRPr="00B968F8">
        <w:rPr>
          <w:sz w:val="22"/>
        </w:rPr>
        <w:t>REMODULIN</w:t>
      </w:r>
      <w:r w:rsidRPr="00B968F8">
        <w:rPr>
          <w:sz w:val="22"/>
          <w:lang w:val="el-GR"/>
        </w:rPr>
        <w:t>, ο ρυθμός έγχυσης υπολογίζεται ως εξής:</w:t>
      </w:r>
    </w:p>
    <w:p w:rsidR="0020047A" w:rsidRPr="00B968F8" w:rsidRDefault="0020047A">
      <w:pPr>
        <w:pStyle w:val="Web"/>
        <w:spacing w:before="0" w:after="0"/>
        <w:rPr>
          <w:sz w:val="22"/>
          <w:lang w:val="el-G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60"/>
        <w:gridCol w:w="1800"/>
        <w:gridCol w:w="360"/>
        <w:gridCol w:w="900"/>
        <w:gridCol w:w="360"/>
        <w:gridCol w:w="990"/>
        <w:gridCol w:w="1530"/>
      </w:tblGrid>
      <w:tr w:rsidR="0020047A" w:rsidRPr="00B968F8">
        <w:trPr>
          <w:cantSplit/>
          <w:trHeight w:val="495"/>
        </w:trPr>
        <w:tc>
          <w:tcPr>
            <w:tcW w:w="1530" w:type="dxa"/>
            <w:vMerge w:val="restart"/>
            <w:tcBorders>
              <w:top w:val="nil"/>
              <w:left w:val="nil"/>
              <w:bottom w:val="nil"/>
              <w:right w:val="nil"/>
            </w:tcBorders>
            <w:vAlign w:val="center"/>
          </w:tcPr>
          <w:p w:rsidR="0020047A" w:rsidRPr="00B968F8" w:rsidRDefault="0020047A">
            <w:pPr>
              <w:pStyle w:val="Web"/>
              <w:spacing w:before="0" w:after="0"/>
              <w:jc w:val="center"/>
              <w:rPr>
                <w:sz w:val="22"/>
                <w:lang w:val="el-GR"/>
              </w:rPr>
            </w:pPr>
            <w:r w:rsidRPr="00B968F8">
              <w:rPr>
                <w:b/>
                <w:sz w:val="22"/>
                <w:lang w:val="el-GR"/>
              </w:rPr>
              <w:t xml:space="preserve">Ρυθμός Υποδόριας Έγχυσης </w:t>
            </w:r>
            <w:r w:rsidRPr="00B968F8">
              <w:rPr>
                <w:sz w:val="22"/>
                <w:lang w:val="el-GR"/>
              </w:rPr>
              <w:t>(</w:t>
            </w:r>
            <w:r w:rsidRPr="00B968F8">
              <w:rPr>
                <w:sz w:val="22"/>
              </w:rPr>
              <w:t>mL</w:t>
            </w:r>
            <w:r w:rsidRPr="00B968F8">
              <w:rPr>
                <w:sz w:val="22"/>
                <w:lang w:val="el-GR"/>
              </w:rPr>
              <w:t>/ ώρα)</w:t>
            </w:r>
          </w:p>
        </w:tc>
        <w:tc>
          <w:tcPr>
            <w:tcW w:w="360" w:type="dxa"/>
            <w:vMerge w:val="restart"/>
            <w:tcBorders>
              <w:top w:val="nil"/>
              <w:left w:val="nil"/>
              <w:bottom w:val="nil"/>
              <w:right w:val="nil"/>
            </w:tcBorders>
            <w:vAlign w:val="center"/>
          </w:tcPr>
          <w:p w:rsidR="0020047A" w:rsidRPr="00B968F8" w:rsidRDefault="0020047A">
            <w:pPr>
              <w:pStyle w:val="Web"/>
              <w:spacing w:before="0" w:after="0"/>
              <w:rPr>
                <w:b/>
                <w:sz w:val="22"/>
              </w:rPr>
            </w:pPr>
            <w:r w:rsidRPr="00B968F8">
              <w:rPr>
                <w:b/>
                <w:sz w:val="22"/>
              </w:rPr>
              <w:t>=</w:t>
            </w:r>
          </w:p>
        </w:tc>
        <w:tc>
          <w:tcPr>
            <w:tcW w:w="180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lang w:val="el-GR"/>
              </w:rPr>
            </w:pPr>
            <w:r w:rsidRPr="00B968F8">
              <w:rPr>
                <w:b/>
                <w:sz w:val="22"/>
              </w:rPr>
              <w:t xml:space="preserve">40 </w:t>
            </w:r>
            <w:r w:rsidRPr="00B968F8">
              <w:rPr>
                <w:sz w:val="22"/>
              </w:rPr>
              <w:t>ng/kg/</w:t>
            </w:r>
            <w:r w:rsidRPr="00B968F8">
              <w:rPr>
                <w:sz w:val="22"/>
                <w:lang w:val="el-GR"/>
              </w:rPr>
              <w:t>λεπτό</w:t>
            </w:r>
          </w:p>
        </w:tc>
        <w:tc>
          <w:tcPr>
            <w:tcW w:w="36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rPr>
            </w:pPr>
            <w:r w:rsidRPr="00B968F8">
              <w:rPr>
                <w:b/>
                <w:sz w:val="22"/>
              </w:rPr>
              <w:t>x</w:t>
            </w:r>
          </w:p>
        </w:tc>
        <w:tc>
          <w:tcPr>
            <w:tcW w:w="90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rPr>
            </w:pPr>
            <w:r w:rsidRPr="00B968F8">
              <w:rPr>
                <w:b/>
                <w:sz w:val="22"/>
              </w:rPr>
              <w:t xml:space="preserve">65 </w:t>
            </w:r>
            <w:r w:rsidRPr="00B968F8">
              <w:rPr>
                <w:sz w:val="22"/>
              </w:rPr>
              <w:t>kg</w:t>
            </w:r>
          </w:p>
        </w:tc>
        <w:tc>
          <w:tcPr>
            <w:tcW w:w="360" w:type="dxa"/>
            <w:tcBorders>
              <w:top w:val="nil"/>
              <w:left w:val="nil"/>
              <w:bottom w:val="single" w:sz="12" w:space="0" w:color="auto"/>
              <w:right w:val="nil"/>
            </w:tcBorders>
            <w:vAlign w:val="bottom"/>
          </w:tcPr>
          <w:p w:rsidR="0020047A" w:rsidRPr="00B968F8" w:rsidRDefault="0020047A">
            <w:pPr>
              <w:pStyle w:val="Web"/>
              <w:spacing w:before="0" w:after="0"/>
              <w:jc w:val="center"/>
              <w:rPr>
                <w:sz w:val="22"/>
              </w:rPr>
            </w:pPr>
            <w:r w:rsidRPr="00B968F8">
              <w:rPr>
                <w:b/>
                <w:sz w:val="22"/>
              </w:rPr>
              <w:t>x</w:t>
            </w:r>
          </w:p>
        </w:tc>
        <w:tc>
          <w:tcPr>
            <w:tcW w:w="990" w:type="dxa"/>
            <w:tcBorders>
              <w:top w:val="nil"/>
              <w:left w:val="nil"/>
              <w:bottom w:val="single" w:sz="12" w:space="0" w:color="auto"/>
              <w:right w:val="nil"/>
            </w:tcBorders>
            <w:vAlign w:val="bottom"/>
          </w:tcPr>
          <w:p w:rsidR="0020047A" w:rsidRPr="00B968F8" w:rsidRDefault="0020047A">
            <w:pPr>
              <w:pStyle w:val="Web"/>
              <w:widowControl w:val="0"/>
              <w:spacing w:before="0" w:after="0"/>
              <w:jc w:val="center"/>
              <w:rPr>
                <w:b/>
                <w:sz w:val="22"/>
              </w:rPr>
            </w:pPr>
            <w:r w:rsidRPr="00B968F8">
              <w:rPr>
                <w:b/>
                <w:sz w:val="22"/>
              </w:rPr>
              <w:t>0</w:t>
            </w:r>
            <w:r w:rsidRPr="00B968F8">
              <w:rPr>
                <w:b/>
                <w:sz w:val="22"/>
                <w:lang w:val="el-GR"/>
              </w:rPr>
              <w:t>,</w:t>
            </w:r>
            <w:r w:rsidRPr="00B968F8">
              <w:rPr>
                <w:b/>
                <w:sz w:val="22"/>
              </w:rPr>
              <w:t>00006</w:t>
            </w:r>
          </w:p>
        </w:tc>
        <w:tc>
          <w:tcPr>
            <w:tcW w:w="1530" w:type="dxa"/>
            <w:vMerge w:val="restart"/>
            <w:tcBorders>
              <w:top w:val="nil"/>
              <w:left w:val="nil"/>
              <w:bottom w:val="nil"/>
              <w:right w:val="nil"/>
            </w:tcBorders>
            <w:vAlign w:val="center"/>
          </w:tcPr>
          <w:p w:rsidR="0020047A" w:rsidRPr="00B968F8" w:rsidRDefault="0020047A">
            <w:pPr>
              <w:pStyle w:val="Web"/>
              <w:widowControl w:val="0"/>
              <w:spacing w:before="0" w:after="0"/>
              <w:jc w:val="center"/>
              <w:rPr>
                <w:b/>
                <w:sz w:val="22"/>
              </w:rPr>
            </w:pPr>
            <w:r w:rsidRPr="00B968F8">
              <w:rPr>
                <w:b/>
                <w:sz w:val="22"/>
              </w:rPr>
              <w:t>=  0</w:t>
            </w:r>
            <w:r w:rsidRPr="00B968F8">
              <w:rPr>
                <w:b/>
                <w:sz w:val="22"/>
                <w:lang w:val="el-GR"/>
              </w:rPr>
              <w:t>,</w:t>
            </w:r>
            <w:r w:rsidRPr="00B968F8">
              <w:rPr>
                <w:b/>
                <w:sz w:val="22"/>
              </w:rPr>
              <w:t xml:space="preserve">031 </w:t>
            </w:r>
            <w:r w:rsidRPr="00B968F8">
              <w:rPr>
                <w:sz w:val="22"/>
              </w:rPr>
              <w:t>mL/</w:t>
            </w:r>
            <w:r w:rsidRPr="00B968F8">
              <w:rPr>
                <w:sz w:val="22"/>
                <w:lang w:val="el-GR"/>
              </w:rPr>
              <w:t xml:space="preserve"> ώρα</w:t>
            </w:r>
          </w:p>
        </w:tc>
      </w:tr>
      <w:tr w:rsidR="0020047A" w:rsidRPr="00B968F8">
        <w:trPr>
          <w:cantSplit/>
          <w:trHeight w:val="495"/>
        </w:trPr>
        <w:tc>
          <w:tcPr>
            <w:tcW w:w="1530" w:type="dxa"/>
            <w:vMerge/>
            <w:tcBorders>
              <w:top w:val="nil"/>
              <w:left w:val="nil"/>
              <w:bottom w:val="nil"/>
              <w:right w:val="nil"/>
            </w:tcBorders>
            <w:vAlign w:val="center"/>
          </w:tcPr>
          <w:p w:rsidR="0020047A" w:rsidRPr="00B968F8" w:rsidRDefault="0020047A">
            <w:pPr>
              <w:pStyle w:val="Web"/>
              <w:spacing w:before="0" w:after="0"/>
              <w:jc w:val="center"/>
              <w:rPr>
                <w:b/>
                <w:sz w:val="22"/>
              </w:rPr>
            </w:pPr>
          </w:p>
        </w:tc>
        <w:tc>
          <w:tcPr>
            <w:tcW w:w="360" w:type="dxa"/>
            <w:vMerge/>
            <w:tcBorders>
              <w:top w:val="nil"/>
              <w:left w:val="nil"/>
              <w:bottom w:val="nil"/>
              <w:right w:val="nil"/>
            </w:tcBorders>
          </w:tcPr>
          <w:p w:rsidR="0020047A" w:rsidRPr="00B968F8" w:rsidRDefault="0020047A">
            <w:pPr>
              <w:pStyle w:val="Web"/>
              <w:spacing w:before="0" w:after="0"/>
              <w:rPr>
                <w:b/>
                <w:sz w:val="22"/>
              </w:rPr>
            </w:pPr>
          </w:p>
        </w:tc>
        <w:tc>
          <w:tcPr>
            <w:tcW w:w="4410" w:type="dxa"/>
            <w:gridSpan w:val="5"/>
            <w:tcBorders>
              <w:top w:val="single" w:sz="12" w:space="0" w:color="auto"/>
              <w:left w:val="nil"/>
              <w:bottom w:val="nil"/>
              <w:right w:val="nil"/>
            </w:tcBorders>
          </w:tcPr>
          <w:p w:rsidR="0020047A" w:rsidRPr="00B968F8" w:rsidRDefault="0020047A">
            <w:pPr>
              <w:pStyle w:val="Web"/>
              <w:widowControl w:val="0"/>
              <w:spacing w:before="0" w:after="0"/>
              <w:jc w:val="center"/>
              <w:rPr>
                <w:sz w:val="22"/>
              </w:rPr>
            </w:pPr>
            <w:r w:rsidRPr="00B968F8">
              <w:rPr>
                <w:b/>
                <w:sz w:val="22"/>
              </w:rPr>
              <w:t xml:space="preserve">5 </w:t>
            </w:r>
            <w:r w:rsidRPr="00B968F8">
              <w:rPr>
                <w:sz w:val="22"/>
              </w:rPr>
              <w:t>mg/mL</w:t>
            </w:r>
          </w:p>
          <w:p w:rsidR="0020047A" w:rsidRPr="00B968F8" w:rsidRDefault="0020047A">
            <w:pPr>
              <w:pStyle w:val="Web"/>
              <w:widowControl w:val="0"/>
              <w:spacing w:before="0" w:after="0"/>
              <w:jc w:val="center"/>
              <w:rPr>
                <w:sz w:val="22"/>
              </w:rPr>
            </w:pPr>
          </w:p>
          <w:p w:rsidR="0020047A" w:rsidRPr="00B968F8" w:rsidRDefault="0020047A">
            <w:pPr>
              <w:pStyle w:val="Web"/>
              <w:widowControl w:val="0"/>
              <w:spacing w:before="0" w:after="0"/>
              <w:rPr>
                <w:b/>
                <w:sz w:val="22"/>
              </w:rPr>
            </w:pPr>
          </w:p>
        </w:tc>
        <w:tc>
          <w:tcPr>
            <w:tcW w:w="1530" w:type="dxa"/>
            <w:vMerge/>
            <w:tcBorders>
              <w:top w:val="nil"/>
              <w:left w:val="nil"/>
              <w:bottom w:val="nil"/>
              <w:right w:val="nil"/>
            </w:tcBorders>
          </w:tcPr>
          <w:p w:rsidR="0020047A" w:rsidRPr="00B968F8" w:rsidRDefault="0020047A">
            <w:pPr>
              <w:pStyle w:val="Web"/>
              <w:widowControl w:val="0"/>
              <w:spacing w:before="0" w:after="0"/>
              <w:jc w:val="center"/>
              <w:rPr>
                <w:b/>
                <w:sz w:val="22"/>
              </w:rPr>
            </w:pPr>
          </w:p>
        </w:tc>
      </w:tr>
    </w:tbl>
    <w:p w:rsidR="0020047A" w:rsidRPr="00B968F8" w:rsidRDefault="0020047A">
      <w:pPr>
        <w:pStyle w:val="Text"/>
        <w:rPr>
          <w:sz w:val="22"/>
          <w:lang w:val="el-GR"/>
        </w:rPr>
      </w:pPr>
      <w:r w:rsidRPr="00B968F8">
        <w:rPr>
          <w:sz w:val="22"/>
          <w:lang w:val="el-GR"/>
        </w:rPr>
        <w:t xml:space="preserve">Στον πίνακα 1 παρέχονται οδηγίες για τους ρυθμούς </w:t>
      </w:r>
      <w:r w:rsidRPr="00B968F8">
        <w:rPr>
          <w:b/>
          <w:bCs/>
          <w:sz w:val="22"/>
          <w:lang w:val="el-GR"/>
        </w:rPr>
        <w:t>υποδόριας</w:t>
      </w:r>
      <w:r w:rsidRPr="00B968F8">
        <w:rPr>
          <w:sz w:val="22"/>
          <w:lang w:val="el-GR"/>
        </w:rPr>
        <w:t xml:space="preserve"> έγχυσης του REMODULIN του 10 mg/ml σε ασθενείς με διαφορετικά σωματικά βάρη, που αντιστοιχούν σε δόσεις έως και 155 ng/kg/λεπτό.</w:t>
      </w:r>
    </w:p>
    <w:p w:rsidR="0020047A" w:rsidRPr="00B968F8" w:rsidRDefault="0020047A">
      <w:pPr>
        <w:pStyle w:val="Text"/>
        <w:rPr>
          <w:sz w:val="22"/>
          <w:lang w:val="el-GR"/>
        </w:rPr>
      </w:pPr>
    </w:p>
    <w:p w:rsidR="0020047A" w:rsidRPr="00B968F8" w:rsidRDefault="0020047A" w:rsidP="00B968F8">
      <w:pPr>
        <w:pageBreakBefore/>
        <w:jc w:val="both"/>
        <w:rPr>
          <w:b/>
          <w:sz w:val="22"/>
          <w:lang w:val="el-GR"/>
        </w:rPr>
      </w:pPr>
      <w:r w:rsidRPr="00B968F8">
        <w:rPr>
          <w:b/>
          <w:sz w:val="22"/>
          <w:lang w:val="el-GR"/>
        </w:rPr>
        <w:lastRenderedPageBreak/>
        <w:t>Πίνακας 1</w:t>
      </w:r>
    </w:p>
    <w:tbl>
      <w:tblPr>
        <w:tblW w:w="0" w:type="auto"/>
        <w:tblInd w:w="-108" w:type="dxa"/>
        <w:tblLayout w:type="fixed"/>
        <w:tblCellMar>
          <w:left w:w="0" w:type="dxa"/>
          <w:right w:w="0" w:type="dxa"/>
        </w:tblCellMar>
        <w:tblLook w:val="0000"/>
      </w:tblPr>
      <w:tblGrid>
        <w:gridCol w:w="18"/>
        <w:gridCol w:w="918"/>
        <w:gridCol w:w="36"/>
        <w:gridCol w:w="580"/>
        <w:gridCol w:w="33"/>
        <w:gridCol w:w="584"/>
        <w:gridCol w:w="30"/>
        <w:gridCol w:w="586"/>
        <w:gridCol w:w="27"/>
        <w:gridCol w:w="590"/>
        <w:gridCol w:w="24"/>
        <w:gridCol w:w="592"/>
        <w:gridCol w:w="22"/>
        <w:gridCol w:w="595"/>
        <w:gridCol w:w="18"/>
        <w:gridCol w:w="598"/>
        <w:gridCol w:w="16"/>
        <w:gridCol w:w="601"/>
        <w:gridCol w:w="13"/>
        <w:gridCol w:w="603"/>
        <w:gridCol w:w="10"/>
        <w:gridCol w:w="607"/>
        <w:gridCol w:w="7"/>
        <w:gridCol w:w="614"/>
        <w:gridCol w:w="622"/>
        <w:gridCol w:w="616"/>
        <w:gridCol w:w="617"/>
      </w:tblGrid>
      <w:tr w:rsidR="0020047A" w:rsidRPr="00B968F8">
        <w:trPr>
          <w:trHeight w:val="20"/>
        </w:trPr>
        <w:tc>
          <w:tcPr>
            <w:tcW w:w="9563" w:type="dxa"/>
            <w:gridSpan w:val="27"/>
            <w:vAlign w:val="bottom"/>
          </w:tcPr>
          <w:p w:rsidR="0020047A" w:rsidRPr="00B968F8" w:rsidRDefault="0020047A">
            <w:pPr>
              <w:jc w:val="center"/>
              <w:rPr>
                <w:b/>
                <w:sz w:val="20"/>
                <w:lang w:val="el-GR"/>
              </w:rPr>
            </w:pPr>
            <w:r w:rsidRPr="00B968F8">
              <w:rPr>
                <w:b/>
                <w:sz w:val="20"/>
                <w:lang w:val="el-GR"/>
              </w:rPr>
              <w:t>Ρυθμίσεις ρυθμού έγχυσης της αντλίας υποδόριας έγχυσης (ml/h) για το REMODULIN</w:t>
            </w:r>
          </w:p>
          <w:p w:rsidR="0020047A" w:rsidRPr="00B968F8" w:rsidRDefault="0020047A">
            <w:pPr>
              <w:jc w:val="center"/>
              <w:rPr>
                <w:sz w:val="20"/>
                <w:lang w:val="el-GR"/>
              </w:rPr>
            </w:pPr>
            <w:r w:rsidRPr="00B968F8">
              <w:rPr>
                <w:b/>
                <w:sz w:val="20"/>
                <w:lang w:val="el-GR"/>
              </w:rPr>
              <w:t>με συγκέντρωση τρεπροστινίλης 10</w:t>
            </w:r>
            <w:r w:rsidR="00067B9C" w:rsidRPr="00B968F8">
              <w:rPr>
                <w:b/>
                <w:sz w:val="20"/>
                <w:lang w:val="en-GB"/>
              </w:rPr>
              <w:t> </w:t>
            </w:r>
            <w:r w:rsidRPr="00B968F8">
              <w:rPr>
                <w:b/>
                <w:sz w:val="20"/>
                <w:lang w:val="el-GR"/>
              </w:rPr>
              <w:t xml:space="preserve">mg/ml </w:t>
            </w:r>
          </w:p>
        </w:tc>
      </w:tr>
      <w:tr w:rsidR="0020047A" w:rsidRPr="00B968F8">
        <w:trPr>
          <w:trHeight w:val="20"/>
        </w:trPr>
        <w:tc>
          <w:tcPr>
            <w:tcW w:w="9563" w:type="dxa"/>
            <w:gridSpan w:val="27"/>
            <w:vAlign w:val="bottom"/>
          </w:tcPr>
          <w:p w:rsidR="0020047A" w:rsidRPr="00B968F8" w:rsidRDefault="0020047A">
            <w:pPr>
              <w:jc w:val="both"/>
              <w:rPr>
                <w:sz w:val="20"/>
                <w:lang w:val="el-GR"/>
              </w:rPr>
            </w:pPr>
          </w:p>
        </w:tc>
      </w:tr>
      <w:tr w:rsidR="0020047A" w:rsidRPr="00B968F8">
        <w:trPr>
          <w:trHeight w:val="20"/>
        </w:trPr>
        <w:tc>
          <w:tcPr>
            <w:tcW w:w="9563" w:type="dxa"/>
            <w:gridSpan w:val="27"/>
            <w:vAlign w:val="bottom"/>
          </w:tcPr>
          <w:p w:rsidR="0020047A" w:rsidRPr="00B968F8" w:rsidRDefault="0020047A">
            <w:pPr>
              <w:jc w:val="center"/>
              <w:rPr>
                <w:sz w:val="20"/>
                <w:lang w:val="el-GR"/>
              </w:rPr>
            </w:pPr>
            <w:r w:rsidRPr="00B968F8">
              <w:rPr>
                <w:b/>
                <w:sz w:val="20"/>
                <w:lang w:val="el-GR"/>
              </w:rPr>
              <w:t>Βάρος ασθενούς (kg)</w:t>
            </w:r>
          </w:p>
        </w:tc>
      </w:tr>
      <w:tr w:rsidR="0020047A" w:rsidRPr="00B968F8">
        <w:trPr>
          <w:gridBefore w:val="1"/>
          <w:wBefore w:w="13" w:type="dxa"/>
          <w:trHeight w:val="20"/>
        </w:trPr>
        <w:tc>
          <w:tcPr>
            <w:tcW w:w="954" w:type="dxa"/>
            <w:gridSpan w:val="2"/>
            <w:tcBorders>
              <w:top w:val="single" w:sz="8" w:space="0" w:color="auto"/>
              <w:left w:val="single" w:sz="8" w:space="0" w:color="auto"/>
              <w:bottom w:val="single" w:sz="4" w:space="0" w:color="auto"/>
              <w:right w:val="single" w:sz="4" w:space="0" w:color="auto"/>
            </w:tcBorders>
            <w:vAlign w:val="bottom"/>
          </w:tcPr>
          <w:p w:rsidR="0020047A" w:rsidRPr="00B968F8" w:rsidRDefault="0020047A">
            <w:pPr>
              <w:jc w:val="both"/>
              <w:rPr>
                <w:rFonts w:eastAsia="Arial Unicode MS"/>
                <w:b/>
                <w:sz w:val="16"/>
              </w:rPr>
            </w:pPr>
            <w:r w:rsidRPr="00B968F8">
              <w:rPr>
                <w:b/>
                <w:sz w:val="16"/>
                <w:lang w:val="el-GR"/>
              </w:rPr>
              <w:t>Δόση</w:t>
            </w:r>
            <w:r w:rsidRPr="00B968F8">
              <w:rPr>
                <w:b/>
                <w:sz w:val="16"/>
              </w:rPr>
              <w:t xml:space="preserve"> (ng/kg/</w:t>
            </w:r>
            <w:r w:rsidRPr="00B968F8">
              <w:rPr>
                <w:b/>
                <w:sz w:val="16"/>
                <w:lang w:val="el-GR"/>
              </w:rPr>
              <w:t>λεπτό</w:t>
            </w:r>
            <w:r w:rsidRPr="00B968F8">
              <w:rPr>
                <w:b/>
                <w:sz w:val="16"/>
              </w:rPr>
              <w:t>)</w:t>
            </w:r>
          </w:p>
        </w:tc>
        <w:tc>
          <w:tcPr>
            <w:tcW w:w="613"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35</w:t>
            </w:r>
          </w:p>
        </w:tc>
        <w:tc>
          <w:tcPr>
            <w:tcW w:w="614"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40</w:t>
            </w:r>
          </w:p>
        </w:tc>
        <w:tc>
          <w:tcPr>
            <w:tcW w:w="613"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45</w:t>
            </w:r>
          </w:p>
        </w:tc>
        <w:tc>
          <w:tcPr>
            <w:tcW w:w="614"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50</w:t>
            </w:r>
          </w:p>
        </w:tc>
        <w:tc>
          <w:tcPr>
            <w:tcW w:w="614"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55</w:t>
            </w:r>
          </w:p>
        </w:tc>
        <w:tc>
          <w:tcPr>
            <w:tcW w:w="613"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60</w:t>
            </w:r>
          </w:p>
        </w:tc>
        <w:tc>
          <w:tcPr>
            <w:tcW w:w="614"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65</w:t>
            </w:r>
          </w:p>
        </w:tc>
        <w:tc>
          <w:tcPr>
            <w:tcW w:w="614"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70</w:t>
            </w:r>
          </w:p>
        </w:tc>
        <w:tc>
          <w:tcPr>
            <w:tcW w:w="613"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75</w:t>
            </w:r>
          </w:p>
        </w:tc>
        <w:tc>
          <w:tcPr>
            <w:tcW w:w="614" w:type="dxa"/>
            <w:gridSpan w:val="2"/>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80</w:t>
            </w:r>
          </w:p>
        </w:tc>
        <w:tc>
          <w:tcPr>
            <w:tcW w:w="614" w:type="dxa"/>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85</w:t>
            </w:r>
          </w:p>
        </w:tc>
        <w:tc>
          <w:tcPr>
            <w:tcW w:w="613" w:type="dxa"/>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90</w:t>
            </w:r>
          </w:p>
        </w:tc>
        <w:tc>
          <w:tcPr>
            <w:tcW w:w="616" w:type="dxa"/>
            <w:tcBorders>
              <w:top w:val="single" w:sz="8" w:space="0" w:color="auto"/>
              <w:left w:val="nil"/>
              <w:bottom w:val="single" w:sz="4" w:space="0" w:color="auto"/>
              <w:right w:val="nil"/>
            </w:tcBorders>
            <w:vAlign w:val="bottom"/>
          </w:tcPr>
          <w:p w:rsidR="0020047A" w:rsidRPr="00B968F8" w:rsidRDefault="0020047A">
            <w:pPr>
              <w:jc w:val="both"/>
              <w:rPr>
                <w:rFonts w:eastAsia="Arial Unicode MS"/>
                <w:b/>
                <w:sz w:val="16"/>
              </w:rPr>
            </w:pPr>
            <w:r w:rsidRPr="00B968F8">
              <w:rPr>
                <w:b/>
                <w:sz w:val="16"/>
              </w:rPr>
              <w:t>95</w:t>
            </w:r>
          </w:p>
        </w:tc>
        <w:tc>
          <w:tcPr>
            <w:tcW w:w="617" w:type="dxa"/>
            <w:tcBorders>
              <w:top w:val="single" w:sz="8" w:space="0" w:color="auto"/>
              <w:left w:val="nil"/>
              <w:bottom w:val="single" w:sz="4" w:space="0" w:color="auto"/>
              <w:right w:val="single" w:sz="8" w:space="0" w:color="auto"/>
            </w:tcBorders>
            <w:vAlign w:val="bottom"/>
          </w:tcPr>
          <w:p w:rsidR="0020047A" w:rsidRPr="00B968F8" w:rsidRDefault="0020047A">
            <w:pPr>
              <w:jc w:val="both"/>
              <w:rPr>
                <w:rFonts w:eastAsia="Arial Unicode MS"/>
                <w:b/>
                <w:sz w:val="16"/>
              </w:rPr>
            </w:pPr>
            <w:r w:rsidRPr="00B968F8">
              <w:rPr>
                <w:b/>
                <w:sz w:val="16"/>
              </w:rPr>
              <w:t>100</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50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0.014</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0.021</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0.026</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0.030</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rFonts w:eastAsia="Arial Unicode MS"/>
                <w:b/>
                <w:sz w:val="16"/>
              </w:rPr>
              <w:t>55</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0.012</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0.013</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0.015</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0.017</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0.018</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0.020</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0.021</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0.023</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0.025</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0.026</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0.028</w:t>
            </w:r>
          </w:p>
        </w:tc>
        <w:tc>
          <w:tcPr>
            <w:tcW w:w="622" w:type="dxa"/>
            <w:tcBorders>
              <w:top w:val="nil"/>
              <w:left w:val="nil"/>
              <w:right w:val="nil"/>
            </w:tcBorders>
            <w:vAlign w:val="bottom"/>
          </w:tcPr>
          <w:p w:rsidR="0020047A" w:rsidRPr="00B968F8" w:rsidRDefault="0020047A">
            <w:pPr>
              <w:jc w:val="center"/>
              <w:rPr>
                <w:rFonts w:eastAsia="Arial Unicode MS"/>
                <w:sz w:val="16"/>
              </w:rPr>
            </w:pPr>
            <w:r w:rsidRPr="00B968F8">
              <w:rPr>
                <w:sz w:val="16"/>
              </w:rPr>
              <w:t>0.030</w:t>
            </w:r>
          </w:p>
        </w:tc>
        <w:tc>
          <w:tcPr>
            <w:tcW w:w="616" w:type="dxa"/>
            <w:tcBorders>
              <w:top w:val="nil"/>
              <w:left w:val="nil"/>
              <w:right w:val="nil"/>
            </w:tcBorders>
            <w:vAlign w:val="bottom"/>
          </w:tcPr>
          <w:p w:rsidR="0020047A" w:rsidRPr="00B968F8" w:rsidRDefault="0020047A">
            <w:pPr>
              <w:jc w:val="center"/>
              <w:rPr>
                <w:rFonts w:eastAsia="Arial Unicode MS"/>
                <w:sz w:val="16"/>
              </w:rPr>
            </w:pPr>
            <w:r w:rsidRPr="00B968F8">
              <w:rPr>
                <w:sz w:val="16"/>
              </w:rPr>
              <w:t>0.031</w:t>
            </w:r>
          </w:p>
        </w:tc>
        <w:tc>
          <w:tcPr>
            <w:tcW w:w="617" w:type="dxa"/>
            <w:tcBorders>
              <w:top w:val="nil"/>
              <w:left w:val="nil"/>
              <w:right w:val="single" w:sz="8" w:space="0" w:color="auto"/>
            </w:tcBorders>
            <w:shd w:val="clear" w:color="auto" w:fill="C0C0C0"/>
            <w:vAlign w:val="bottom"/>
          </w:tcPr>
          <w:p w:rsidR="0020047A" w:rsidRPr="00B968F8" w:rsidRDefault="0020047A">
            <w:pPr>
              <w:jc w:val="center"/>
              <w:rPr>
                <w:rFonts w:eastAsia="Arial Unicode MS"/>
                <w:sz w:val="16"/>
              </w:rPr>
            </w:pPr>
            <w:r w:rsidRPr="00B968F8">
              <w:rPr>
                <w:sz w:val="16"/>
              </w:rPr>
              <w:t>0.033</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60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0.031</w:t>
            </w:r>
          </w:p>
        </w:tc>
        <w:tc>
          <w:tcPr>
            <w:tcW w:w="622" w:type="dxa"/>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0.032</w:t>
            </w:r>
          </w:p>
        </w:tc>
        <w:tc>
          <w:tcPr>
            <w:tcW w:w="616" w:type="dxa"/>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0.034</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0.036</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rFonts w:eastAsia="Arial Unicode MS"/>
                <w:b/>
                <w:sz w:val="16"/>
              </w:rPr>
              <w:t>65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0.014</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0.031</w:t>
            </w:r>
          </w:p>
        </w:tc>
        <w:tc>
          <w:tcPr>
            <w:tcW w:w="616"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0.033</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0.035</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0.037</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0.039</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70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0.021</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0.032</w:t>
            </w:r>
          </w:p>
        </w:tc>
        <w:tc>
          <w:tcPr>
            <w:tcW w:w="617"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0.040</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0.042</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75</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0.016</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0.018</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0.020</w:t>
            </w:r>
          </w:p>
        </w:tc>
        <w:tc>
          <w:tcPr>
            <w:tcW w:w="617"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0.023</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0.032</w:t>
            </w:r>
          </w:p>
        </w:tc>
        <w:tc>
          <w:tcPr>
            <w:tcW w:w="616"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0.034</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0.041</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0.045</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rFonts w:eastAsia="Arial Unicode MS"/>
                <w:b/>
                <w:sz w:val="16"/>
              </w:rPr>
              <w:t>80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0.022</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0.031</w:t>
            </w:r>
          </w:p>
        </w:tc>
        <w:tc>
          <w:tcPr>
            <w:tcW w:w="617"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0.041</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0.046</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0.048</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85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0.020</w:t>
            </w:r>
          </w:p>
        </w:tc>
        <w:tc>
          <w:tcPr>
            <w:tcW w:w="616" w:type="dxa"/>
            <w:gridSpan w:val="2"/>
            <w:tcBorders>
              <w:top w:val="nil"/>
              <w:left w:val="nil"/>
              <w:right w:val="nil"/>
            </w:tcBorders>
            <w:vAlign w:val="bottom"/>
          </w:tcPr>
          <w:p w:rsidR="0020047A" w:rsidRPr="00B968F8" w:rsidRDefault="0020047A">
            <w:pPr>
              <w:jc w:val="center"/>
              <w:rPr>
                <w:rFonts w:eastAsia="Arial Unicode MS"/>
                <w:sz w:val="16"/>
              </w:rPr>
            </w:pPr>
            <w:r w:rsidRPr="00B968F8">
              <w:rPr>
                <w:sz w:val="16"/>
              </w:rPr>
              <w:t>0.023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0.031</w:t>
            </w:r>
          </w:p>
        </w:tc>
        <w:tc>
          <w:tcPr>
            <w:tcW w:w="616"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0.041</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0.046</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0.048</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0.051</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90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0.019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0.024</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0.046</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0.049</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0.051</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0.054</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95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0.031</w:t>
            </w:r>
          </w:p>
        </w:tc>
        <w:tc>
          <w:tcPr>
            <w:tcW w:w="617"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0.048</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0.051</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0.054</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0.057</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100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0.030</w:t>
            </w:r>
          </w:p>
        </w:tc>
        <w:tc>
          <w:tcPr>
            <w:tcW w:w="616"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0.051</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0.054</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0.057</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0.060</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105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0.022</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0.054</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0.057</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0.060</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0.063</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110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0.030</w:t>
            </w:r>
          </w:p>
        </w:tc>
        <w:tc>
          <w:tcPr>
            <w:tcW w:w="617"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0.056</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0.059</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0.063</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0.066</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115</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0.024</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0.028</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0.031</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0.035</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0.038</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0.041</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0.045</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0.048</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0.052</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0.055</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0.059</w:t>
            </w:r>
          </w:p>
        </w:tc>
        <w:tc>
          <w:tcPr>
            <w:tcW w:w="622" w:type="dxa"/>
            <w:tcBorders>
              <w:top w:val="nil"/>
              <w:left w:val="nil"/>
              <w:bottom w:val="nil"/>
              <w:right w:val="nil"/>
            </w:tcBorders>
            <w:vAlign w:val="bottom"/>
          </w:tcPr>
          <w:p w:rsidR="0020047A" w:rsidRPr="00B968F8" w:rsidRDefault="0020047A">
            <w:pPr>
              <w:jc w:val="center"/>
              <w:rPr>
                <w:sz w:val="16"/>
              </w:rPr>
            </w:pPr>
            <w:r w:rsidRPr="00B968F8">
              <w:rPr>
                <w:sz w:val="16"/>
              </w:rPr>
              <w:t>0.062</w:t>
            </w:r>
          </w:p>
        </w:tc>
        <w:tc>
          <w:tcPr>
            <w:tcW w:w="616" w:type="dxa"/>
            <w:tcBorders>
              <w:top w:val="nil"/>
              <w:left w:val="nil"/>
              <w:bottom w:val="nil"/>
              <w:right w:val="nil"/>
            </w:tcBorders>
            <w:vAlign w:val="bottom"/>
          </w:tcPr>
          <w:p w:rsidR="0020047A" w:rsidRPr="00B968F8" w:rsidRDefault="0020047A">
            <w:pPr>
              <w:jc w:val="center"/>
              <w:rPr>
                <w:sz w:val="16"/>
              </w:rPr>
            </w:pPr>
            <w:r w:rsidRPr="00B968F8">
              <w:rPr>
                <w:sz w:val="16"/>
              </w:rPr>
              <w:t>0.066</w:t>
            </w:r>
          </w:p>
        </w:tc>
        <w:tc>
          <w:tcPr>
            <w:tcW w:w="617" w:type="dxa"/>
            <w:tcBorders>
              <w:top w:val="nil"/>
              <w:left w:val="nil"/>
              <w:bottom w:val="nil"/>
              <w:right w:val="single" w:sz="8" w:space="0" w:color="auto"/>
            </w:tcBorders>
            <w:vAlign w:val="bottom"/>
          </w:tcPr>
          <w:p w:rsidR="0020047A" w:rsidRPr="00B968F8" w:rsidRDefault="0020047A">
            <w:pPr>
              <w:jc w:val="center"/>
              <w:rPr>
                <w:sz w:val="16"/>
              </w:rPr>
            </w:pPr>
            <w:r w:rsidRPr="00B968F8">
              <w:rPr>
                <w:sz w:val="16"/>
              </w:rPr>
              <w:t>0.069</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120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0.032</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0.054</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0.058</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0.061</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0.065</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0.068</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0.072</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125</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0.026</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0.030</w:t>
            </w:r>
          </w:p>
        </w:tc>
        <w:tc>
          <w:tcPr>
            <w:tcW w:w="616" w:type="dxa"/>
            <w:gridSpan w:val="2"/>
            <w:tcBorders>
              <w:top w:val="nil"/>
              <w:left w:val="nil"/>
              <w:bottom w:val="nil"/>
              <w:right w:val="nil"/>
            </w:tcBorders>
            <w:shd w:val="clear" w:color="auto" w:fill="C0C0C0"/>
            <w:vAlign w:val="bottom"/>
          </w:tcPr>
          <w:p w:rsidR="0020047A" w:rsidRPr="00B968F8" w:rsidRDefault="0020047A">
            <w:pPr>
              <w:jc w:val="center"/>
              <w:rPr>
                <w:sz w:val="16"/>
              </w:rPr>
            </w:pPr>
            <w:r w:rsidRPr="00B968F8">
              <w:rPr>
                <w:sz w:val="16"/>
              </w:rPr>
              <w:t>0.034</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0.038</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0.041</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0.045</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0.049</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0.053</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0.056</w:t>
            </w:r>
          </w:p>
        </w:tc>
        <w:tc>
          <w:tcPr>
            <w:tcW w:w="617" w:type="dxa"/>
            <w:gridSpan w:val="2"/>
            <w:tcBorders>
              <w:top w:val="nil"/>
              <w:left w:val="nil"/>
              <w:bottom w:val="nil"/>
              <w:right w:val="nil"/>
            </w:tcBorders>
            <w:vAlign w:val="bottom"/>
          </w:tcPr>
          <w:p w:rsidR="0020047A" w:rsidRPr="00B968F8" w:rsidRDefault="0020047A">
            <w:pPr>
              <w:jc w:val="center"/>
              <w:rPr>
                <w:sz w:val="16"/>
              </w:rPr>
            </w:pPr>
            <w:r w:rsidRPr="00B968F8">
              <w:rPr>
                <w:sz w:val="16"/>
              </w:rPr>
              <w:t>0.060</w:t>
            </w:r>
          </w:p>
        </w:tc>
        <w:tc>
          <w:tcPr>
            <w:tcW w:w="616" w:type="dxa"/>
            <w:gridSpan w:val="2"/>
            <w:tcBorders>
              <w:top w:val="nil"/>
              <w:left w:val="nil"/>
              <w:bottom w:val="nil"/>
              <w:right w:val="nil"/>
            </w:tcBorders>
            <w:vAlign w:val="bottom"/>
          </w:tcPr>
          <w:p w:rsidR="0020047A" w:rsidRPr="00B968F8" w:rsidRDefault="0020047A">
            <w:pPr>
              <w:jc w:val="center"/>
              <w:rPr>
                <w:sz w:val="16"/>
              </w:rPr>
            </w:pPr>
            <w:r w:rsidRPr="00B968F8">
              <w:rPr>
                <w:sz w:val="16"/>
              </w:rPr>
              <w:t>0.064</w:t>
            </w:r>
          </w:p>
        </w:tc>
        <w:tc>
          <w:tcPr>
            <w:tcW w:w="622" w:type="dxa"/>
            <w:tcBorders>
              <w:top w:val="nil"/>
              <w:left w:val="nil"/>
              <w:bottom w:val="nil"/>
              <w:right w:val="nil"/>
            </w:tcBorders>
            <w:vAlign w:val="bottom"/>
          </w:tcPr>
          <w:p w:rsidR="0020047A" w:rsidRPr="00B968F8" w:rsidRDefault="0020047A">
            <w:pPr>
              <w:jc w:val="center"/>
              <w:rPr>
                <w:sz w:val="16"/>
              </w:rPr>
            </w:pPr>
            <w:r w:rsidRPr="00B968F8">
              <w:rPr>
                <w:sz w:val="16"/>
              </w:rPr>
              <w:t>0.068</w:t>
            </w:r>
          </w:p>
        </w:tc>
        <w:tc>
          <w:tcPr>
            <w:tcW w:w="616" w:type="dxa"/>
            <w:tcBorders>
              <w:top w:val="nil"/>
              <w:left w:val="nil"/>
              <w:bottom w:val="nil"/>
              <w:right w:val="nil"/>
            </w:tcBorders>
            <w:vAlign w:val="bottom"/>
          </w:tcPr>
          <w:p w:rsidR="0020047A" w:rsidRPr="00B968F8" w:rsidRDefault="0020047A">
            <w:pPr>
              <w:jc w:val="center"/>
              <w:rPr>
                <w:sz w:val="16"/>
              </w:rPr>
            </w:pPr>
            <w:r w:rsidRPr="00B968F8">
              <w:rPr>
                <w:sz w:val="16"/>
              </w:rPr>
              <w:t>0.071</w:t>
            </w:r>
          </w:p>
        </w:tc>
        <w:tc>
          <w:tcPr>
            <w:tcW w:w="617" w:type="dxa"/>
            <w:tcBorders>
              <w:top w:val="nil"/>
              <w:left w:val="nil"/>
              <w:bottom w:val="nil"/>
              <w:right w:val="single" w:sz="8" w:space="0" w:color="auto"/>
            </w:tcBorders>
            <w:vAlign w:val="bottom"/>
          </w:tcPr>
          <w:p w:rsidR="0020047A" w:rsidRPr="00B968F8" w:rsidRDefault="0020047A">
            <w:pPr>
              <w:jc w:val="center"/>
              <w:rPr>
                <w:sz w:val="16"/>
              </w:rPr>
            </w:pPr>
            <w:r w:rsidRPr="00B968F8">
              <w:rPr>
                <w:sz w:val="16"/>
              </w:rPr>
              <w:t>0.075</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130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0.031</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0.066</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0.070</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0.074</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0.078</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135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0.028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0.032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0.036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0.041</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0.053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0.057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0.069</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0.073</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0.077</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rFonts w:eastAsia="Arial Unicode MS"/>
                <w:sz w:val="16"/>
              </w:rPr>
              <w:t>0.081</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140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0.029</w:t>
            </w:r>
          </w:p>
        </w:tc>
        <w:tc>
          <w:tcPr>
            <w:tcW w:w="617"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sz w:val="16"/>
              </w:rPr>
              <w:t>0.034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0.046</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0.059</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0.071</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0.076</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0.080</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0.084</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145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0.030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0.035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0.039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0.052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0.057</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0.061</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0.065</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0.074</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0,078</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0.083</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rFonts w:eastAsia="Arial Unicode MS"/>
                <w:sz w:val="16"/>
              </w:rPr>
              <w:t>0.087</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b/>
                <w:sz w:val="16"/>
              </w:rPr>
            </w:pPr>
            <w:r w:rsidRPr="00B968F8">
              <w:rPr>
                <w:b/>
                <w:sz w:val="16"/>
              </w:rPr>
              <w:t>150</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0.032</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0.036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0.045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0.059</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0.063</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0.068</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0.072</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0.077</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0.081</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sz w:val="16"/>
              </w:rPr>
              <w:t>0.086</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sz w:val="16"/>
              </w:rPr>
              <w:t>0.090</w:t>
            </w:r>
          </w:p>
        </w:tc>
      </w:tr>
      <w:tr w:rsidR="0020047A" w:rsidRPr="00B968F8">
        <w:trPr>
          <w:gridBefore w:val="1"/>
          <w:wBefore w:w="13" w:type="dxa"/>
          <w:trHeight w:val="20"/>
        </w:trPr>
        <w:tc>
          <w:tcPr>
            <w:tcW w:w="914" w:type="dxa"/>
            <w:tcBorders>
              <w:top w:val="nil"/>
              <w:left w:val="single" w:sz="8" w:space="0" w:color="auto"/>
              <w:bottom w:val="nil"/>
              <w:right w:val="single" w:sz="4" w:space="0" w:color="auto"/>
            </w:tcBorders>
            <w:vAlign w:val="bottom"/>
          </w:tcPr>
          <w:p w:rsidR="0020047A" w:rsidRPr="00B968F8" w:rsidRDefault="0020047A">
            <w:pPr>
              <w:jc w:val="center"/>
              <w:rPr>
                <w:rFonts w:eastAsia="Arial Unicode MS"/>
                <w:b/>
                <w:sz w:val="16"/>
              </w:rPr>
            </w:pPr>
            <w:r w:rsidRPr="00B968F8">
              <w:rPr>
                <w:b/>
                <w:sz w:val="16"/>
              </w:rPr>
              <w:t>155</w:t>
            </w:r>
          </w:p>
        </w:tc>
        <w:tc>
          <w:tcPr>
            <w:tcW w:w="616" w:type="dxa"/>
            <w:gridSpan w:val="2"/>
            <w:tcBorders>
              <w:top w:val="nil"/>
              <w:left w:val="nil"/>
              <w:bottom w:val="nil"/>
              <w:right w:val="nil"/>
            </w:tcBorders>
            <w:shd w:val="clear" w:color="auto" w:fill="C0C0C0"/>
            <w:vAlign w:val="bottom"/>
          </w:tcPr>
          <w:p w:rsidR="0020047A" w:rsidRPr="00B968F8" w:rsidRDefault="0020047A">
            <w:pPr>
              <w:jc w:val="center"/>
              <w:rPr>
                <w:rFonts w:eastAsia="Arial Unicode MS"/>
                <w:sz w:val="16"/>
              </w:rPr>
            </w:pPr>
            <w:r w:rsidRPr="00B968F8">
              <w:rPr>
                <w:rFonts w:eastAsia="Arial Unicode MS"/>
                <w:sz w:val="16"/>
              </w:rPr>
              <w:t>0.033</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0.037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0.042</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0.047</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0.051</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0.056</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0.065</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0.070</w:t>
            </w:r>
          </w:p>
        </w:tc>
        <w:tc>
          <w:tcPr>
            <w:tcW w:w="617"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0.074</w:t>
            </w:r>
          </w:p>
        </w:tc>
        <w:tc>
          <w:tcPr>
            <w:tcW w:w="616" w:type="dxa"/>
            <w:gridSpan w:val="2"/>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0.079</w:t>
            </w:r>
          </w:p>
        </w:tc>
        <w:tc>
          <w:tcPr>
            <w:tcW w:w="622" w:type="dxa"/>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0.084</w:t>
            </w:r>
          </w:p>
        </w:tc>
        <w:tc>
          <w:tcPr>
            <w:tcW w:w="616" w:type="dxa"/>
            <w:tcBorders>
              <w:top w:val="nil"/>
              <w:left w:val="nil"/>
              <w:bottom w:val="nil"/>
              <w:right w:val="nil"/>
            </w:tcBorders>
            <w:vAlign w:val="bottom"/>
          </w:tcPr>
          <w:p w:rsidR="0020047A" w:rsidRPr="00B968F8" w:rsidRDefault="0020047A">
            <w:pPr>
              <w:jc w:val="center"/>
              <w:rPr>
                <w:rFonts w:eastAsia="Arial Unicode MS"/>
                <w:sz w:val="16"/>
              </w:rPr>
            </w:pPr>
            <w:r w:rsidRPr="00B968F8">
              <w:rPr>
                <w:rFonts w:eastAsia="Arial Unicode MS"/>
                <w:sz w:val="16"/>
              </w:rPr>
              <w:t>0.088</w:t>
            </w:r>
          </w:p>
        </w:tc>
        <w:tc>
          <w:tcPr>
            <w:tcW w:w="617" w:type="dxa"/>
            <w:tcBorders>
              <w:top w:val="nil"/>
              <w:left w:val="nil"/>
              <w:bottom w:val="nil"/>
              <w:right w:val="single" w:sz="8" w:space="0" w:color="auto"/>
            </w:tcBorders>
            <w:vAlign w:val="bottom"/>
          </w:tcPr>
          <w:p w:rsidR="0020047A" w:rsidRPr="00B968F8" w:rsidRDefault="0020047A">
            <w:pPr>
              <w:jc w:val="center"/>
              <w:rPr>
                <w:rFonts w:eastAsia="Arial Unicode MS"/>
                <w:sz w:val="16"/>
              </w:rPr>
            </w:pPr>
            <w:r w:rsidRPr="00B968F8">
              <w:rPr>
                <w:rFonts w:eastAsia="Arial Unicode MS"/>
                <w:sz w:val="16"/>
              </w:rPr>
              <w:t>0.093</w:t>
            </w:r>
          </w:p>
        </w:tc>
      </w:tr>
      <w:tr w:rsidR="0020047A" w:rsidRPr="00B968F8">
        <w:trPr>
          <w:gridBefore w:val="1"/>
          <w:wBefore w:w="18" w:type="dxa"/>
          <w:trHeight w:val="20"/>
        </w:trPr>
        <w:tc>
          <w:tcPr>
            <w:tcW w:w="918" w:type="dxa"/>
            <w:vAlign w:val="bottom"/>
          </w:tcPr>
          <w:p w:rsidR="0020047A" w:rsidRPr="00B968F8" w:rsidRDefault="0020047A">
            <w:pPr>
              <w:jc w:val="both"/>
              <w:rPr>
                <w:b/>
                <w:sz w:val="22"/>
              </w:rPr>
            </w:pPr>
          </w:p>
        </w:tc>
        <w:tc>
          <w:tcPr>
            <w:tcW w:w="8627" w:type="dxa"/>
            <w:gridSpan w:val="25"/>
            <w:vAlign w:val="bottom"/>
          </w:tcPr>
          <w:p w:rsidR="0020047A" w:rsidRPr="00B968F8" w:rsidRDefault="0020047A">
            <w:pPr>
              <w:jc w:val="both"/>
              <w:rPr>
                <w:b/>
                <w:sz w:val="22"/>
              </w:rPr>
            </w:pPr>
          </w:p>
        </w:tc>
      </w:tr>
      <w:tr w:rsidR="0020047A" w:rsidRPr="00B968F8">
        <w:trPr>
          <w:gridBefore w:val="1"/>
          <w:wBefore w:w="18" w:type="dxa"/>
          <w:trHeight w:val="20"/>
        </w:trPr>
        <w:tc>
          <w:tcPr>
            <w:tcW w:w="918" w:type="dxa"/>
            <w:vAlign w:val="bottom"/>
          </w:tcPr>
          <w:p w:rsidR="0020047A" w:rsidRPr="00B968F8" w:rsidRDefault="0020047A">
            <w:pPr>
              <w:jc w:val="both"/>
              <w:rPr>
                <w:b/>
                <w:sz w:val="20"/>
              </w:rPr>
            </w:pPr>
          </w:p>
        </w:tc>
        <w:tc>
          <w:tcPr>
            <w:tcW w:w="8627" w:type="dxa"/>
            <w:gridSpan w:val="25"/>
            <w:vAlign w:val="bottom"/>
          </w:tcPr>
          <w:p w:rsidR="0020047A" w:rsidRPr="00B968F8" w:rsidRDefault="0020047A">
            <w:pPr>
              <w:jc w:val="both"/>
              <w:rPr>
                <w:sz w:val="20"/>
                <w:lang w:val="el-GR"/>
              </w:rPr>
            </w:pPr>
            <w:r w:rsidRPr="00B968F8">
              <w:rPr>
                <w:b/>
                <w:sz w:val="20"/>
                <w:lang w:val="el-GR"/>
              </w:rPr>
              <w:t>Οι σκιασμένες περιοχές υποδεικνύουν τον υψηλότερο ρυθμό έγχυσης που επιτυγχάνεται με μία σύριγγα η οποία αλλάζεται κάθε τρεις ημέρες</w:t>
            </w:r>
          </w:p>
        </w:tc>
      </w:tr>
    </w:tbl>
    <w:p w:rsidR="0020047A" w:rsidRPr="00B968F8" w:rsidRDefault="0020047A">
      <w:pPr>
        <w:jc w:val="both"/>
        <w:rPr>
          <w:b/>
          <w:sz w:val="22"/>
          <w:lang w:val="el-GR"/>
        </w:rPr>
      </w:pPr>
    </w:p>
    <w:p w:rsidR="00DB593F" w:rsidRPr="00B968F8" w:rsidRDefault="00DB593F" w:rsidP="00DB593F">
      <w:pPr>
        <w:pStyle w:val="Text"/>
        <w:spacing w:before="0"/>
        <w:rPr>
          <w:b/>
          <w:sz w:val="22"/>
          <w:u w:val="single"/>
          <w:lang w:val="el-GR"/>
        </w:rPr>
      </w:pPr>
      <w:r w:rsidRPr="00B968F8">
        <w:rPr>
          <w:b/>
          <w:sz w:val="22"/>
          <w:u w:val="single"/>
          <w:lang w:val="el-GR"/>
        </w:rPr>
        <w:t>Χορήγηση μέσω συνεχούς ενδοφλέβιας έγχυσης</w:t>
      </w:r>
    </w:p>
    <w:p w:rsidR="00DB593F" w:rsidRPr="00B968F8" w:rsidRDefault="00DB593F" w:rsidP="00DB593F">
      <w:pPr>
        <w:pStyle w:val="Web"/>
        <w:spacing w:before="0" w:after="0"/>
        <w:jc w:val="both"/>
        <w:rPr>
          <w:b/>
          <w:sz w:val="22"/>
          <w:lang w:val="el-GR"/>
        </w:rPr>
      </w:pPr>
    </w:p>
    <w:p w:rsidR="00DB593F" w:rsidRPr="00B968F8" w:rsidRDefault="00DB593F" w:rsidP="00DB593F">
      <w:pPr>
        <w:pStyle w:val="Text"/>
        <w:spacing w:before="0"/>
        <w:rPr>
          <w:lang w:val="el-GR"/>
        </w:rPr>
      </w:pPr>
      <w:r w:rsidRPr="00B968F8">
        <w:rPr>
          <w:sz w:val="22"/>
          <w:lang w:val="el-GR"/>
        </w:rPr>
        <w:t>Το REMODULIN χορηγείται μέσω συνεχούς ενδοφλέβιας έγχυσης διαμέσου ενός κεντρικού φλεβικού καθετήρα με χρήση μιας φορητής αντλίας έγχυσης για περιπατητικούς ασθενείς.  Επίσης, μπορεί να χορηγηθεί προσωρινά μέσω ενός περιφερικού φλεβικού σωληνίσκου, που τοποθετείται κατά προτίμηση σε μια μεγάλη φλέβα.  Η χρήση της περιφερικής έγχυσης για περισσότερες από λίγες ώρες μπορεί να συσχετίζεται με αυξημένο κίνδυνο θρομβοφλεβίτιδας (ανατρέξτε στην ενότητα 4.8).</w:t>
      </w:r>
    </w:p>
    <w:p w:rsidR="00DB593F" w:rsidRPr="00B968F8" w:rsidRDefault="00DB593F" w:rsidP="00DB593F">
      <w:pPr>
        <w:pStyle w:val="Text"/>
        <w:spacing w:before="0"/>
        <w:rPr>
          <w:sz w:val="22"/>
          <w:u w:val="single"/>
          <w:lang w:val="el-GR"/>
        </w:rPr>
      </w:pPr>
    </w:p>
    <w:p w:rsidR="00DB593F" w:rsidRPr="00B968F8" w:rsidRDefault="00DB593F" w:rsidP="00DB593F">
      <w:pPr>
        <w:pStyle w:val="Text"/>
        <w:spacing w:before="0"/>
        <w:rPr>
          <w:sz w:val="22"/>
          <w:lang w:val="el-GR"/>
        </w:rPr>
      </w:pPr>
      <w:r w:rsidRPr="00B968F8">
        <w:rPr>
          <w:sz w:val="22"/>
          <w:lang w:val="el-GR"/>
        </w:rPr>
        <w:t>Προκειμένου να αποφευχθούν πιθανές διακοπές στη χορήγηση του φαρμάκου, ο ασθενής θα πρέπει να διαθέτει πρόσβαση σε μια εφεδρική αντλία έγχυσης και σετ έγχυσης, για την περίπτωση δυσλειτουργίας του εξοπλισμού χορήγησης.</w:t>
      </w:r>
    </w:p>
    <w:p w:rsidR="00DB593F" w:rsidRPr="00B968F8" w:rsidRDefault="00DB593F" w:rsidP="00DB593F">
      <w:pPr>
        <w:pStyle w:val="Text"/>
        <w:spacing w:before="0"/>
        <w:rPr>
          <w:sz w:val="22"/>
          <w:lang w:val="el-GR"/>
        </w:rPr>
      </w:pPr>
    </w:p>
    <w:p w:rsidR="00DB593F" w:rsidRPr="00B968F8" w:rsidRDefault="00DB593F" w:rsidP="00DB593F">
      <w:pPr>
        <w:pStyle w:val="Web"/>
        <w:spacing w:before="0" w:after="0"/>
        <w:jc w:val="both"/>
        <w:rPr>
          <w:sz w:val="22"/>
          <w:lang w:val="el-GR"/>
        </w:rPr>
      </w:pPr>
      <w:r w:rsidRPr="00B968F8">
        <w:rPr>
          <w:sz w:val="22"/>
          <w:lang w:val="el-GR"/>
        </w:rPr>
        <w:t>Γενικά, η φορητή αντλία έγχυσης που θα χρησιμοποιηθεί για την ενδοφλέβια χορήγηση του αραιωμένου REMODULIN θα πρέπει:</w:t>
      </w:r>
    </w:p>
    <w:p w:rsidR="00DB593F" w:rsidRPr="00B968F8" w:rsidRDefault="00DB593F" w:rsidP="00DB593F">
      <w:pPr>
        <w:pStyle w:val="Web"/>
        <w:spacing w:before="0" w:after="0"/>
        <w:jc w:val="both"/>
        <w:rPr>
          <w:sz w:val="22"/>
          <w:lang w:val="el-GR"/>
        </w:rPr>
      </w:pPr>
    </w:p>
    <w:p w:rsidR="00DB593F" w:rsidRPr="00B968F8" w:rsidRDefault="00DB593F" w:rsidP="00DB593F">
      <w:pPr>
        <w:pStyle w:val="Web"/>
        <w:spacing w:before="0" w:after="0"/>
        <w:jc w:val="both"/>
        <w:rPr>
          <w:lang w:val="el-GR"/>
        </w:rPr>
      </w:pPr>
      <w:r w:rsidRPr="00B968F8">
        <w:rPr>
          <w:sz w:val="22"/>
          <w:lang w:val="el-GR"/>
        </w:rPr>
        <w:t xml:space="preserve">1) να είναι μικρή και ελαφριά </w:t>
      </w:r>
    </w:p>
    <w:p w:rsidR="00DB593F" w:rsidRPr="00B968F8" w:rsidRDefault="00DB593F" w:rsidP="00DB593F">
      <w:pPr>
        <w:pStyle w:val="Web"/>
        <w:spacing w:before="0" w:after="0"/>
        <w:jc w:val="both"/>
        <w:rPr>
          <w:lang w:val="el-GR"/>
        </w:rPr>
      </w:pPr>
      <w:r w:rsidRPr="00B968F8">
        <w:rPr>
          <w:sz w:val="22"/>
          <w:lang w:val="el-GR"/>
        </w:rPr>
        <w:t xml:space="preserve">2) να έχει τη δυνατότητα ρύθμισης των ρυθμών έγχυσης σε βήματα των 0,05 </w:t>
      </w:r>
      <w:r w:rsidRPr="00B968F8">
        <w:rPr>
          <w:sz w:val="22"/>
        </w:rPr>
        <w:t>ml</w:t>
      </w:r>
      <w:r w:rsidRPr="00B968F8">
        <w:rPr>
          <w:sz w:val="22"/>
          <w:lang w:val="el-GR"/>
        </w:rPr>
        <w:t xml:space="preserve">/ώρα περίπου.  Ο συνήθης ρυθμός ροής θα πρέπει να κυμαίνεται μεταξύ 0,4 </w:t>
      </w:r>
      <w:r w:rsidRPr="00B968F8">
        <w:rPr>
          <w:sz w:val="22"/>
        </w:rPr>
        <w:t>ml</w:t>
      </w:r>
      <w:r w:rsidRPr="00B968F8">
        <w:rPr>
          <w:sz w:val="22"/>
          <w:lang w:val="el-GR"/>
        </w:rPr>
        <w:t xml:space="preserve"> και 2 </w:t>
      </w:r>
      <w:r w:rsidRPr="00B968F8">
        <w:rPr>
          <w:sz w:val="22"/>
        </w:rPr>
        <w:t>ml</w:t>
      </w:r>
      <w:r w:rsidRPr="00B968F8">
        <w:rPr>
          <w:sz w:val="22"/>
          <w:lang w:val="el-GR"/>
        </w:rPr>
        <w:t xml:space="preserve"> ανά ώρα.</w:t>
      </w:r>
    </w:p>
    <w:p w:rsidR="00DB593F" w:rsidRPr="00B968F8" w:rsidRDefault="00DB593F" w:rsidP="00DB593F">
      <w:pPr>
        <w:pStyle w:val="Web"/>
        <w:spacing w:before="0" w:after="0"/>
        <w:jc w:val="both"/>
        <w:rPr>
          <w:sz w:val="22"/>
          <w:lang w:val="el-GR"/>
        </w:rPr>
      </w:pPr>
      <w:r w:rsidRPr="00B968F8">
        <w:rPr>
          <w:sz w:val="22"/>
          <w:lang w:val="el-GR"/>
        </w:rPr>
        <w:t>3) να διαθέτει συναγερμούς απόφραξης/μη χορήγησης, χαμηλής ισχύος μπαταρίας, σφάλματος προγραμματισμού και δυσλειτουργίας του κινητήρα</w:t>
      </w:r>
    </w:p>
    <w:p w:rsidR="00DB593F" w:rsidRPr="00B968F8" w:rsidRDefault="00DB593F" w:rsidP="00DB593F">
      <w:pPr>
        <w:pStyle w:val="Web"/>
        <w:spacing w:before="0" w:after="0"/>
        <w:jc w:val="both"/>
        <w:rPr>
          <w:sz w:val="22"/>
          <w:lang w:val="el-GR"/>
        </w:rPr>
      </w:pPr>
      <w:r w:rsidRPr="00B968F8">
        <w:rPr>
          <w:sz w:val="22"/>
          <w:lang w:val="el-GR"/>
        </w:rPr>
        <w:t>4) να έχει ακρίβεια ±6% ή μεγαλύτερη ως προς την ωριαία δόση</w:t>
      </w:r>
    </w:p>
    <w:p w:rsidR="00DB593F" w:rsidRPr="00B968F8" w:rsidRDefault="00DB593F" w:rsidP="00DB593F">
      <w:pPr>
        <w:pStyle w:val="Web"/>
        <w:spacing w:before="0" w:after="0"/>
        <w:jc w:val="both"/>
        <w:rPr>
          <w:lang w:val="el-GR"/>
        </w:rPr>
      </w:pPr>
      <w:r w:rsidRPr="00B968F8">
        <w:rPr>
          <w:sz w:val="22"/>
          <w:lang w:val="el-GR"/>
        </w:rPr>
        <w:t xml:space="preserve">5) να λειτουργεί μέσω θετικής πίεσης.  Η δεξαμενή θα πρέπει να είναι κατασκευασμένη από πολυβινυλοχλωρίδιο, πολυπροπυλένιο ή γυαλί. </w:t>
      </w:r>
    </w:p>
    <w:p w:rsidR="00DB593F" w:rsidRPr="00B968F8" w:rsidRDefault="00DB593F" w:rsidP="00DB593F">
      <w:pPr>
        <w:pStyle w:val="Text"/>
        <w:spacing w:before="0"/>
        <w:rPr>
          <w:sz w:val="22"/>
          <w:u w:val="single"/>
          <w:lang w:val="el-GR"/>
        </w:rPr>
      </w:pPr>
    </w:p>
    <w:p w:rsidR="00DB593F" w:rsidRPr="00B968F8" w:rsidRDefault="00DB593F" w:rsidP="00B968F8">
      <w:pPr>
        <w:pStyle w:val="Web"/>
        <w:pageBreakBefore/>
        <w:spacing w:before="0" w:after="0"/>
        <w:jc w:val="both"/>
        <w:rPr>
          <w:lang w:val="el-GR"/>
        </w:rPr>
      </w:pPr>
      <w:r w:rsidRPr="00B968F8">
        <w:rPr>
          <w:b/>
          <w:sz w:val="22"/>
          <w:lang w:val="el-GR"/>
        </w:rPr>
        <w:lastRenderedPageBreak/>
        <w:t>Το REMODULIN</w:t>
      </w:r>
      <w:r w:rsidRPr="00B968F8">
        <w:rPr>
          <w:sz w:val="22"/>
          <w:lang w:val="el-GR"/>
        </w:rPr>
        <w:t xml:space="preserve"> </w:t>
      </w:r>
      <w:r w:rsidRPr="00B968F8">
        <w:rPr>
          <w:b/>
          <w:sz w:val="22"/>
          <w:lang w:val="el-GR"/>
        </w:rPr>
        <w:t xml:space="preserve">θα πρέπει να αραιώνεται με Αποστειρωμένο νερό για έγχυση ή Έγχυση χλωριούχου νατρίου 0,9% (βάρος/όγκος) </w:t>
      </w:r>
      <w:r w:rsidRPr="00B968F8">
        <w:rPr>
          <w:sz w:val="22"/>
          <w:lang w:val="el-GR"/>
        </w:rPr>
        <w:t xml:space="preserve">και να χορηγείται ενδοφλέβια με συνεχή έγχυση, μέσω ενός χειρουργικά τοποθετημένου μόνιμου κεντρικού φλεβικού καθετήρα ή προσωρινά μέσω ενός περιφερικού φλεβικού σωληνίσκου με χρήση αντλίας έγχυσης που είναι σχεδιασμένη για ενδοφλέβια χορήγηση φαρμάκου. </w:t>
      </w:r>
    </w:p>
    <w:p w:rsidR="00DB593F" w:rsidRPr="00B968F8" w:rsidRDefault="00DB593F" w:rsidP="00DB593F">
      <w:pPr>
        <w:pStyle w:val="Text"/>
        <w:spacing w:before="0"/>
        <w:rPr>
          <w:sz w:val="22"/>
          <w:u w:val="single"/>
          <w:lang w:val="el-GR"/>
        </w:rPr>
      </w:pPr>
    </w:p>
    <w:p w:rsidR="00DB593F" w:rsidRPr="00B968F8" w:rsidRDefault="00DB593F" w:rsidP="00DB593F">
      <w:pPr>
        <w:pStyle w:val="Web"/>
        <w:spacing w:before="0" w:after="0"/>
        <w:jc w:val="both"/>
        <w:rPr>
          <w:lang w:val="el-GR"/>
        </w:rPr>
      </w:pPr>
      <w:r w:rsidRPr="00B968F8">
        <w:rPr>
          <w:sz w:val="22"/>
          <w:lang w:val="el-GR"/>
        </w:rPr>
        <w:t xml:space="preserve">Εάν χρησιμοποιείται κατάλληλη αντλία και δεξαμενή έγχυσης, θα πρέπει να επιλεγεί πρώτα ένας προκαθορισμένος ρυθμός ενδοφλέβιας έγχυσης ώστε να επιτρέπεται η επιθυμητή χρονική διάρκεια έγχυσης.  Η μέγιστη διάρκεια χρήσης του αραιωμένου REMODULIN δεν θα πρέπει να υπερβαίνει τις 24 ώρες (ανατρέξτε στην ενότητα 6.3).  </w:t>
      </w:r>
    </w:p>
    <w:p w:rsidR="00DB593F" w:rsidRPr="00B968F8" w:rsidRDefault="00DB593F" w:rsidP="00DB593F">
      <w:pPr>
        <w:pStyle w:val="Web"/>
        <w:spacing w:before="0" w:after="0"/>
        <w:jc w:val="both"/>
        <w:rPr>
          <w:sz w:val="22"/>
          <w:lang w:val="el-GR"/>
        </w:rPr>
      </w:pPr>
    </w:p>
    <w:p w:rsidR="00DB593F" w:rsidRPr="00B968F8" w:rsidRDefault="00DB593F" w:rsidP="00DB593F">
      <w:pPr>
        <w:pStyle w:val="Web"/>
        <w:spacing w:before="0" w:after="0"/>
        <w:jc w:val="both"/>
        <w:rPr>
          <w:lang w:val="el-GR"/>
        </w:rPr>
      </w:pPr>
      <w:r w:rsidRPr="00B968F8">
        <w:rPr>
          <w:sz w:val="22"/>
          <w:lang w:val="el-GR"/>
        </w:rPr>
        <w:t xml:space="preserve">Οι συνήθεις δεξαμενές συστημάτων ενδοφλέβιας έγχυσης διαθέτουν όγκους 20, 50 ή 100 ml.  Μετά τον προσδιορισμό του απαιτούμενου Ρυθμού ενδοφλέβιας έγχυσης (ml/ώρα) και της Δόσης του ασθενούς (ng/kg/λεπτό) καθώς και το Βάρος (kg), μπορεί να υπολογιστεί η </w:t>
      </w:r>
      <w:r w:rsidRPr="00B968F8">
        <w:rPr>
          <w:sz w:val="22"/>
          <w:u w:val="single"/>
          <w:lang w:val="el-GR"/>
        </w:rPr>
        <w:t>Συγκέντρωση αραιωμένης ενδοφλέβιας χορήγησης του REMODULIN</w:t>
      </w:r>
      <w:r w:rsidRPr="00B968F8">
        <w:rPr>
          <w:sz w:val="22"/>
          <w:lang w:val="el-GR"/>
        </w:rPr>
        <w:t xml:space="preserve"> (mg/ml) χρησιμοποιώντας τον παρακάτω τύπο:</w:t>
      </w:r>
    </w:p>
    <w:p w:rsidR="00DB593F" w:rsidRPr="00B968F8" w:rsidRDefault="00DB593F" w:rsidP="00DB593F">
      <w:pPr>
        <w:pStyle w:val="Web"/>
        <w:spacing w:before="0" w:after="0"/>
        <w:rPr>
          <w:sz w:val="22"/>
          <w:lang w:val="el-GR"/>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360"/>
        <w:gridCol w:w="1320"/>
        <w:gridCol w:w="360"/>
        <w:gridCol w:w="1200"/>
        <w:gridCol w:w="360"/>
        <w:gridCol w:w="3000"/>
      </w:tblGrid>
      <w:tr w:rsidR="00DB593F" w:rsidRPr="00B968F8">
        <w:trPr>
          <w:cantSplit/>
          <w:trHeight w:val="738"/>
        </w:trPr>
        <w:tc>
          <w:tcPr>
            <w:tcW w:w="1770" w:type="dxa"/>
            <w:vMerge w:val="restart"/>
            <w:tcBorders>
              <w:top w:val="nil"/>
              <w:left w:val="nil"/>
              <w:bottom w:val="nil"/>
              <w:right w:val="nil"/>
            </w:tcBorders>
            <w:vAlign w:val="center"/>
          </w:tcPr>
          <w:p w:rsidR="00DB593F" w:rsidRPr="00B968F8" w:rsidRDefault="00DB593F" w:rsidP="002C7B28">
            <w:pPr>
              <w:pStyle w:val="Web"/>
              <w:spacing w:before="0" w:after="0"/>
              <w:jc w:val="center"/>
              <w:rPr>
                <w:b/>
                <w:sz w:val="22"/>
                <w:u w:val="single"/>
                <w:lang w:val="el-GR"/>
              </w:rPr>
            </w:pPr>
            <w:r w:rsidRPr="00B968F8">
              <w:rPr>
                <w:b/>
                <w:sz w:val="22"/>
                <w:u w:val="single"/>
                <w:lang w:val="el-GR"/>
              </w:rPr>
              <w:t>Βήμα 1</w:t>
            </w:r>
          </w:p>
          <w:p w:rsidR="00DB593F" w:rsidRPr="00B968F8" w:rsidRDefault="00DB593F" w:rsidP="002C7B28">
            <w:pPr>
              <w:pStyle w:val="Web"/>
              <w:spacing w:before="0" w:after="0"/>
              <w:jc w:val="center"/>
              <w:rPr>
                <w:lang w:val="el-GR"/>
              </w:rPr>
            </w:pPr>
            <w:r w:rsidRPr="00B968F8">
              <w:rPr>
                <w:b/>
                <w:sz w:val="22"/>
                <w:lang w:val="el-GR"/>
              </w:rPr>
              <w:t xml:space="preserve">Συγκέντρωση αραιωμένης ενδοφλέβιας χορήγησης του REMODULIN </w:t>
            </w:r>
            <w:r w:rsidRPr="00B968F8">
              <w:rPr>
                <w:b/>
                <w:sz w:val="22"/>
                <w:lang w:val="el-GR"/>
              </w:rPr>
              <w:br/>
            </w:r>
            <w:r w:rsidRPr="00B968F8">
              <w:rPr>
                <w:sz w:val="22"/>
                <w:lang w:val="el-GR"/>
              </w:rPr>
              <w:t>(mg/ml)</w:t>
            </w:r>
          </w:p>
        </w:tc>
        <w:tc>
          <w:tcPr>
            <w:tcW w:w="360" w:type="dxa"/>
            <w:vMerge w:val="restart"/>
            <w:tcBorders>
              <w:top w:val="nil"/>
              <w:left w:val="nil"/>
              <w:bottom w:val="nil"/>
              <w:right w:val="nil"/>
            </w:tcBorders>
            <w:vAlign w:val="center"/>
          </w:tcPr>
          <w:p w:rsidR="00DB593F" w:rsidRPr="00B968F8" w:rsidRDefault="00DB593F" w:rsidP="002C7B28">
            <w:pPr>
              <w:pStyle w:val="Web"/>
              <w:spacing w:before="0" w:after="0"/>
              <w:jc w:val="center"/>
              <w:rPr>
                <w:sz w:val="22"/>
              </w:rPr>
            </w:pPr>
            <w:r w:rsidRPr="00B968F8">
              <w:rPr>
                <w:b/>
                <w:sz w:val="22"/>
              </w:rPr>
              <w:t>=</w:t>
            </w:r>
          </w:p>
        </w:tc>
        <w:tc>
          <w:tcPr>
            <w:tcW w:w="1320" w:type="dxa"/>
            <w:tcBorders>
              <w:top w:val="nil"/>
              <w:left w:val="nil"/>
              <w:bottom w:val="single" w:sz="12" w:space="0" w:color="auto"/>
              <w:right w:val="nil"/>
            </w:tcBorders>
            <w:vAlign w:val="center"/>
          </w:tcPr>
          <w:p w:rsidR="00DB593F" w:rsidRPr="00B968F8" w:rsidRDefault="00DB593F" w:rsidP="002C7B28">
            <w:pPr>
              <w:pStyle w:val="Web"/>
              <w:spacing w:before="0" w:after="0"/>
              <w:jc w:val="center"/>
            </w:pPr>
            <w:r w:rsidRPr="00B968F8">
              <w:rPr>
                <w:b/>
                <w:sz w:val="22"/>
                <w:lang w:val="el-GR"/>
              </w:rPr>
              <w:t xml:space="preserve">Δόση </w:t>
            </w:r>
            <w:r w:rsidRPr="00B968F8">
              <w:rPr>
                <w:sz w:val="22"/>
              </w:rPr>
              <w:t>(ng/kg/</w:t>
            </w:r>
            <w:r w:rsidRPr="00B968F8">
              <w:rPr>
                <w:sz w:val="22"/>
                <w:lang w:val="el-GR"/>
              </w:rPr>
              <w:t>λεπτό</w:t>
            </w:r>
            <w:r w:rsidRPr="00B968F8">
              <w:rPr>
                <w:sz w:val="22"/>
              </w:rPr>
              <w:t>)</w:t>
            </w:r>
          </w:p>
        </w:tc>
        <w:tc>
          <w:tcPr>
            <w:tcW w:w="360" w:type="dxa"/>
            <w:tcBorders>
              <w:top w:val="nil"/>
              <w:left w:val="nil"/>
              <w:bottom w:val="single" w:sz="12" w:space="0" w:color="auto"/>
              <w:right w:val="nil"/>
            </w:tcBorders>
            <w:vAlign w:val="center"/>
          </w:tcPr>
          <w:p w:rsidR="00DB593F" w:rsidRPr="00B968F8" w:rsidRDefault="00DB593F" w:rsidP="002C7B28">
            <w:pPr>
              <w:pStyle w:val="Web"/>
              <w:spacing w:before="0" w:after="0"/>
              <w:jc w:val="center"/>
              <w:rPr>
                <w:lang w:val="el-GR"/>
              </w:rPr>
            </w:pPr>
            <w:r w:rsidRPr="00B968F8">
              <w:rPr>
                <w:b/>
                <w:sz w:val="22"/>
                <w:lang w:val="el-GR"/>
              </w:rPr>
              <w:t>x</w:t>
            </w:r>
          </w:p>
        </w:tc>
        <w:tc>
          <w:tcPr>
            <w:tcW w:w="1200" w:type="dxa"/>
            <w:tcBorders>
              <w:top w:val="nil"/>
              <w:left w:val="nil"/>
              <w:bottom w:val="single" w:sz="12" w:space="0" w:color="auto"/>
              <w:right w:val="nil"/>
            </w:tcBorders>
            <w:vAlign w:val="center"/>
          </w:tcPr>
          <w:p w:rsidR="00DB593F" w:rsidRPr="00B968F8" w:rsidRDefault="00DB593F" w:rsidP="002C7B28">
            <w:pPr>
              <w:pStyle w:val="Web"/>
              <w:spacing w:before="0" w:after="0"/>
              <w:jc w:val="center"/>
              <w:rPr>
                <w:lang w:val="el-GR"/>
              </w:rPr>
            </w:pPr>
            <w:r w:rsidRPr="00B968F8">
              <w:rPr>
                <w:b/>
                <w:sz w:val="22"/>
                <w:lang w:val="el-GR"/>
              </w:rPr>
              <w:t>Βάρος</w:t>
            </w:r>
            <w:r w:rsidRPr="00B968F8">
              <w:rPr>
                <w:b/>
                <w:sz w:val="22"/>
                <w:lang w:val="el-GR"/>
              </w:rPr>
              <w:br/>
            </w:r>
            <w:r w:rsidRPr="00B968F8">
              <w:rPr>
                <w:sz w:val="22"/>
                <w:lang w:val="el-GR"/>
              </w:rPr>
              <w:t>(kg)</w:t>
            </w:r>
          </w:p>
        </w:tc>
        <w:tc>
          <w:tcPr>
            <w:tcW w:w="360" w:type="dxa"/>
            <w:tcBorders>
              <w:top w:val="nil"/>
              <w:left w:val="nil"/>
              <w:bottom w:val="single" w:sz="12" w:space="0" w:color="auto"/>
              <w:right w:val="nil"/>
            </w:tcBorders>
            <w:vAlign w:val="center"/>
          </w:tcPr>
          <w:p w:rsidR="00DB593F" w:rsidRPr="00B968F8" w:rsidRDefault="00DB593F" w:rsidP="002C7B28">
            <w:pPr>
              <w:pStyle w:val="Web"/>
              <w:spacing w:before="0" w:after="0"/>
              <w:jc w:val="center"/>
              <w:rPr>
                <w:lang w:val="el-GR"/>
              </w:rPr>
            </w:pPr>
            <w:r w:rsidRPr="00B968F8">
              <w:rPr>
                <w:b/>
                <w:sz w:val="22"/>
                <w:lang w:val="el-GR"/>
              </w:rPr>
              <w:t>x</w:t>
            </w:r>
          </w:p>
        </w:tc>
        <w:tc>
          <w:tcPr>
            <w:tcW w:w="3000" w:type="dxa"/>
            <w:tcBorders>
              <w:top w:val="nil"/>
              <w:left w:val="nil"/>
              <w:bottom w:val="single" w:sz="12" w:space="0" w:color="auto"/>
              <w:right w:val="nil"/>
            </w:tcBorders>
            <w:vAlign w:val="center"/>
          </w:tcPr>
          <w:p w:rsidR="00DB593F" w:rsidRPr="00B968F8" w:rsidRDefault="00DB593F" w:rsidP="002C7B28">
            <w:pPr>
              <w:pStyle w:val="Web"/>
              <w:spacing w:before="0" w:after="0"/>
              <w:jc w:val="center"/>
              <w:rPr>
                <w:b/>
                <w:sz w:val="22"/>
              </w:rPr>
            </w:pPr>
            <w:r w:rsidRPr="00B968F8">
              <w:rPr>
                <w:b/>
                <w:sz w:val="22"/>
              </w:rPr>
              <w:t>0.00006</w:t>
            </w:r>
          </w:p>
        </w:tc>
      </w:tr>
      <w:tr w:rsidR="00DB593F" w:rsidRPr="00B968F8">
        <w:trPr>
          <w:cantSplit/>
          <w:trHeight w:val="457"/>
        </w:trPr>
        <w:tc>
          <w:tcPr>
            <w:tcW w:w="1770" w:type="dxa"/>
            <w:vMerge/>
            <w:tcBorders>
              <w:top w:val="nil"/>
              <w:left w:val="nil"/>
              <w:bottom w:val="nil"/>
              <w:right w:val="nil"/>
            </w:tcBorders>
            <w:vAlign w:val="center"/>
          </w:tcPr>
          <w:p w:rsidR="00DB593F" w:rsidRPr="00B968F8" w:rsidRDefault="00DB593F" w:rsidP="002C7B28">
            <w:pPr>
              <w:rPr>
                <w:lang w:val="en-US"/>
              </w:rPr>
            </w:pPr>
          </w:p>
        </w:tc>
        <w:tc>
          <w:tcPr>
            <w:tcW w:w="360" w:type="dxa"/>
            <w:vMerge/>
            <w:tcBorders>
              <w:top w:val="nil"/>
              <w:left w:val="nil"/>
              <w:bottom w:val="nil"/>
              <w:right w:val="nil"/>
            </w:tcBorders>
            <w:vAlign w:val="center"/>
          </w:tcPr>
          <w:p w:rsidR="00DB593F" w:rsidRPr="00B968F8" w:rsidRDefault="00DB593F" w:rsidP="002C7B28">
            <w:pPr>
              <w:rPr>
                <w:lang w:val="en-US"/>
              </w:rPr>
            </w:pPr>
          </w:p>
        </w:tc>
        <w:tc>
          <w:tcPr>
            <w:tcW w:w="6240" w:type="dxa"/>
            <w:gridSpan w:val="5"/>
            <w:tcBorders>
              <w:top w:val="single" w:sz="12" w:space="0" w:color="auto"/>
              <w:left w:val="nil"/>
              <w:bottom w:val="nil"/>
              <w:right w:val="nil"/>
            </w:tcBorders>
            <w:vAlign w:val="center"/>
          </w:tcPr>
          <w:p w:rsidR="00DB593F" w:rsidRPr="00B968F8" w:rsidRDefault="00DB593F" w:rsidP="002C7B28">
            <w:pPr>
              <w:pStyle w:val="Web"/>
              <w:spacing w:before="0" w:after="0"/>
              <w:jc w:val="center"/>
              <w:rPr>
                <w:lang w:val="el-GR"/>
              </w:rPr>
            </w:pPr>
            <w:r w:rsidRPr="00B968F8">
              <w:rPr>
                <w:b/>
                <w:sz w:val="22"/>
                <w:lang w:val="el-GR"/>
              </w:rPr>
              <w:t>Ρυθμός ενδοφλέβιας έγχυσης</w:t>
            </w:r>
            <w:r w:rsidRPr="00B968F8">
              <w:rPr>
                <w:b/>
                <w:sz w:val="22"/>
                <w:lang w:val="el-GR"/>
              </w:rPr>
              <w:br/>
            </w:r>
            <w:r w:rsidRPr="00B968F8">
              <w:rPr>
                <w:sz w:val="22"/>
                <w:lang w:val="el-GR"/>
              </w:rPr>
              <w:t>(</w:t>
            </w:r>
            <w:r w:rsidRPr="00B968F8">
              <w:rPr>
                <w:sz w:val="22"/>
              </w:rPr>
              <w:t>ml</w:t>
            </w:r>
            <w:r w:rsidRPr="00B968F8">
              <w:rPr>
                <w:sz w:val="22"/>
                <w:lang w:val="el-GR"/>
              </w:rPr>
              <w:t>/ώρα)</w:t>
            </w:r>
          </w:p>
        </w:tc>
      </w:tr>
    </w:tbl>
    <w:p w:rsidR="00DB593F" w:rsidRPr="00B968F8" w:rsidRDefault="00DB593F" w:rsidP="00DB593F">
      <w:pPr>
        <w:pStyle w:val="Web"/>
        <w:spacing w:before="0" w:after="0"/>
        <w:ind w:left="6480" w:hanging="6480"/>
        <w:rPr>
          <w:b/>
          <w:sz w:val="22"/>
          <w:lang w:val="el-GR"/>
        </w:rPr>
      </w:pPr>
    </w:p>
    <w:p w:rsidR="00DB593F" w:rsidRPr="00B968F8" w:rsidRDefault="00DB593F" w:rsidP="00DB593F">
      <w:pPr>
        <w:pStyle w:val="Web"/>
        <w:spacing w:before="0" w:after="0"/>
        <w:jc w:val="both"/>
        <w:rPr>
          <w:sz w:val="22"/>
          <w:lang w:val="el-GR"/>
        </w:rPr>
      </w:pPr>
      <w:r w:rsidRPr="00B968F8">
        <w:rPr>
          <w:sz w:val="22"/>
          <w:lang w:val="el-GR"/>
        </w:rPr>
        <w:t xml:space="preserve">Ο όγκος του </w:t>
      </w:r>
      <w:r w:rsidRPr="00B968F8">
        <w:rPr>
          <w:sz w:val="22"/>
        </w:rPr>
        <w:t>REMODULIN</w:t>
      </w:r>
      <w:r w:rsidRPr="00B968F8">
        <w:rPr>
          <w:sz w:val="22"/>
          <w:lang w:val="el-GR"/>
        </w:rPr>
        <w:t xml:space="preserve"> που απαιτείται για να προκύψει η απαιτούμενη Συγκέντρωση αραιωμένης ενδοφλέβιας χορήγησης του </w:t>
      </w:r>
      <w:r w:rsidRPr="00B968F8">
        <w:rPr>
          <w:sz w:val="22"/>
        </w:rPr>
        <w:t>REMODULIN</w:t>
      </w:r>
      <w:r w:rsidRPr="00B968F8">
        <w:rPr>
          <w:sz w:val="22"/>
          <w:lang w:val="el-GR"/>
        </w:rPr>
        <w:t xml:space="preserve"> για το συγκεκριμένο μέγεθος δεξαμενής μπορεί να υπολογιστεί στη συνέχεια χρησιμοποιώντας τον παρακάτω τύπο:</w:t>
      </w:r>
    </w:p>
    <w:p w:rsidR="00DB593F" w:rsidRPr="00B968F8" w:rsidRDefault="00DB593F" w:rsidP="00DB593F">
      <w:pPr>
        <w:pStyle w:val="Web"/>
        <w:spacing w:before="0" w:after="0"/>
        <w:ind w:left="6480" w:hanging="6480"/>
        <w:rPr>
          <w:b/>
          <w:sz w:val="22"/>
          <w:highlight w:val="yellow"/>
          <w:lang w:val="el-GR"/>
        </w:rPr>
      </w:pPr>
    </w:p>
    <w:tbl>
      <w:tblPr>
        <w:tblW w:w="0" w:type="auto"/>
        <w:tblInd w:w="708" w:type="dxa"/>
        <w:tblLayout w:type="fixed"/>
        <w:tblLook w:val="01E0"/>
      </w:tblPr>
      <w:tblGrid>
        <w:gridCol w:w="1800"/>
        <w:gridCol w:w="360"/>
        <w:gridCol w:w="2178"/>
        <w:gridCol w:w="342"/>
        <w:gridCol w:w="3150"/>
      </w:tblGrid>
      <w:tr w:rsidR="00DB593F" w:rsidRPr="00B968F8">
        <w:trPr>
          <w:cantSplit/>
          <w:trHeight w:val="990"/>
        </w:trPr>
        <w:tc>
          <w:tcPr>
            <w:tcW w:w="1800" w:type="dxa"/>
            <w:vMerge w:val="restart"/>
            <w:vAlign w:val="center"/>
          </w:tcPr>
          <w:p w:rsidR="00DB593F" w:rsidRPr="00B968F8" w:rsidRDefault="00DB593F" w:rsidP="002C7B28">
            <w:pPr>
              <w:pStyle w:val="Web"/>
              <w:spacing w:before="0" w:after="0"/>
              <w:jc w:val="center"/>
              <w:rPr>
                <w:b/>
                <w:sz w:val="22"/>
                <w:lang w:val="el-GR"/>
              </w:rPr>
            </w:pPr>
          </w:p>
          <w:p w:rsidR="00DB593F" w:rsidRPr="00B968F8" w:rsidRDefault="00DB593F" w:rsidP="002C7B28">
            <w:pPr>
              <w:pStyle w:val="Web"/>
              <w:spacing w:before="0" w:after="0"/>
              <w:jc w:val="center"/>
              <w:rPr>
                <w:b/>
                <w:sz w:val="22"/>
                <w:u w:val="single"/>
                <w:lang w:val="el-GR"/>
              </w:rPr>
            </w:pPr>
            <w:r w:rsidRPr="00B968F8">
              <w:rPr>
                <w:b/>
                <w:sz w:val="22"/>
                <w:u w:val="single"/>
                <w:lang w:val="el-GR"/>
              </w:rPr>
              <w:t>Βήμα 2</w:t>
            </w:r>
          </w:p>
          <w:p w:rsidR="00DB593F" w:rsidRPr="00B968F8" w:rsidRDefault="00DB593F" w:rsidP="002C7B28">
            <w:pPr>
              <w:pStyle w:val="Web"/>
              <w:spacing w:before="0" w:after="0"/>
              <w:jc w:val="center"/>
              <w:rPr>
                <w:lang w:val="el-GR"/>
              </w:rPr>
            </w:pPr>
            <w:r w:rsidRPr="00B968F8">
              <w:rPr>
                <w:b/>
                <w:sz w:val="22"/>
                <w:lang w:val="el-GR"/>
              </w:rPr>
              <w:t xml:space="preserve">Ποσότητα του </w:t>
            </w:r>
            <w:r w:rsidRPr="00B968F8">
              <w:rPr>
                <w:b/>
                <w:sz w:val="22"/>
              </w:rPr>
              <w:t>REMODULIN</w:t>
            </w:r>
            <w:r w:rsidRPr="00B968F8">
              <w:rPr>
                <w:b/>
                <w:sz w:val="22"/>
                <w:lang w:val="el-GR"/>
              </w:rPr>
              <w:t xml:space="preserve"> </w:t>
            </w:r>
            <w:r w:rsidRPr="00B968F8">
              <w:rPr>
                <w:b/>
                <w:sz w:val="22"/>
                <w:lang w:val="el-GR"/>
              </w:rPr>
              <w:br/>
            </w:r>
            <w:r w:rsidRPr="00B968F8">
              <w:rPr>
                <w:sz w:val="22"/>
                <w:lang w:val="el-GR"/>
              </w:rPr>
              <w:t>(</w:t>
            </w:r>
            <w:r w:rsidRPr="00B968F8">
              <w:rPr>
                <w:sz w:val="22"/>
              </w:rPr>
              <w:t>ml</w:t>
            </w:r>
            <w:r w:rsidRPr="00B968F8">
              <w:rPr>
                <w:sz w:val="22"/>
                <w:lang w:val="el-GR"/>
              </w:rPr>
              <w:t>)</w:t>
            </w:r>
          </w:p>
        </w:tc>
        <w:tc>
          <w:tcPr>
            <w:tcW w:w="360" w:type="dxa"/>
            <w:vMerge w:val="restart"/>
            <w:vAlign w:val="center"/>
          </w:tcPr>
          <w:p w:rsidR="00DB593F" w:rsidRPr="00B968F8" w:rsidRDefault="00DB593F" w:rsidP="002C7B28">
            <w:pPr>
              <w:pStyle w:val="Web"/>
              <w:spacing w:before="0" w:after="0"/>
              <w:rPr>
                <w:b/>
                <w:sz w:val="22"/>
              </w:rPr>
            </w:pPr>
            <w:r w:rsidRPr="00B968F8">
              <w:rPr>
                <w:b/>
                <w:sz w:val="22"/>
              </w:rPr>
              <w:t>=</w:t>
            </w:r>
          </w:p>
        </w:tc>
        <w:tc>
          <w:tcPr>
            <w:tcW w:w="2178" w:type="dxa"/>
            <w:tcBorders>
              <w:top w:val="nil"/>
              <w:left w:val="nil"/>
              <w:bottom w:val="single" w:sz="12" w:space="0" w:color="auto"/>
              <w:right w:val="nil"/>
            </w:tcBorders>
            <w:vAlign w:val="bottom"/>
          </w:tcPr>
          <w:p w:rsidR="00DB593F" w:rsidRPr="00B968F8" w:rsidRDefault="00DB593F" w:rsidP="002C7B28">
            <w:pPr>
              <w:pStyle w:val="Web"/>
              <w:spacing w:before="0" w:after="0"/>
              <w:jc w:val="center"/>
              <w:rPr>
                <w:lang w:val="el-GR"/>
              </w:rPr>
            </w:pPr>
            <w:r w:rsidRPr="00B968F8">
              <w:rPr>
                <w:b/>
                <w:sz w:val="22"/>
                <w:lang w:val="el-GR"/>
              </w:rPr>
              <w:t xml:space="preserve">Συγκέντρωση αραιωμένης ενδοφλέβιας χορήγησης του </w:t>
            </w:r>
            <w:r w:rsidRPr="00B968F8">
              <w:rPr>
                <w:b/>
                <w:sz w:val="22"/>
              </w:rPr>
              <w:t>REMODULIN</w:t>
            </w:r>
            <w:r w:rsidRPr="00B968F8">
              <w:rPr>
                <w:b/>
                <w:sz w:val="22"/>
                <w:lang w:val="el-GR"/>
              </w:rPr>
              <w:t xml:space="preserve"> </w:t>
            </w:r>
            <w:r w:rsidRPr="00B968F8">
              <w:rPr>
                <w:b/>
                <w:sz w:val="22"/>
                <w:lang w:val="el-GR"/>
              </w:rPr>
              <w:br/>
            </w:r>
            <w:r w:rsidRPr="00B968F8">
              <w:rPr>
                <w:sz w:val="22"/>
                <w:lang w:val="el-GR"/>
              </w:rPr>
              <w:t>(</w:t>
            </w:r>
            <w:r w:rsidRPr="00B968F8">
              <w:rPr>
                <w:sz w:val="22"/>
              </w:rPr>
              <w:t>mg</w:t>
            </w:r>
            <w:r w:rsidRPr="00B968F8">
              <w:rPr>
                <w:sz w:val="22"/>
                <w:lang w:val="el-GR"/>
              </w:rPr>
              <w:t>/</w:t>
            </w:r>
            <w:r w:rsidRPr="00B968F8">
              <w:rPr>
                <w:sz w:val="22"/>
              </w:rPr>
              <w:t>ml</w:t>
            </w:r>
            <w:r w:rsidRPr="00B968F8">
              <w:rPr>
                <w:sz w:val="22"/>
                <w:lang w:val="el-GR"/>
              </w:rPr>
              <w:t>)</w:t>
            </w:r>
          </w:p>
        </w:tc>
        <w:tc>
          <w:tcPr>
            <w:tcW w:w="342" w:type="dxa"/>
            <w:vMerge w:val="restart"/>
            <w:vAlign w:val="center"/>
          </w:tcPr>
          <w:p w:rsidR="00DB593F" w:rsidRPr="00B968F8" w:rsidRDefault="00DB593F" w:rsidP="002C7B28">
            <w:pPr>
              <w:pStyle w:val="Web"/>
              <w:spacing w:before="0" w:after="0"/>
              <w:jc w:val="center"/>
              <w:rPr>
                <w:lang w:val="el-GR"/>
              </w:rPr>
            </w:pPr>
            <w:r w:rsidRPr="00B968F8">
              <w:rPr>
                <w:b/>
                <w:sz w:val="22"/>
                <w:lang w:val="el-GR"/>
              </w:rPr>
              <w:t>x</w:t>
            </w:r>
          </w:p>
        </w:tc>
        <w:tc>
          <w:tcPr>
            <w:tcW w:w="3150" w:type="dxa"/>
            <w:vMerge w:val="restart"/>
            <w:vAlign w:val="center"/>
          </w:tcPr>
          <w:p w:rsidR="00DB593F" w:rsidRPr="00B968F8" w:rsidRDefault="00DB593F" w:rsidP="002C7B28">
            <w:pPr>
              <w:pStyle w:val="Web"/>
              <w:spacing w:before="0" w:after="0"/>
              <w:jc w:val="center"/>
              <w:rPr>
                <w:lang w:val="el-GR"/>
              </w:rPr>
            </w:pPr>
            <w:r w:rsidRPr="00B968F8">
              <w:rPr>
                <w:b/>
                <w:sz w:val="22"/>
                <w:lang w:val="el-GR"/>
              </w:rPr>
              <w:t xml:space="preserve">Συνολικός όγκος αραιωμένου διαλύματος REMODULIN στη </w:t>
            </w:r>
            <w:r w:rsidRPr="00B968F8">
              <w:rPr>
                <w:b/>
                <w:sz w:val="22"/>
                <w:lang w:val="el-GR"/>
              </w:rPr>
              <w:br/>
              <w:t>δεξαμενή</w:t>
            </w:r>
            <w:r w:rsidRPr="00B968F8">
              <w:rPr>
                <w:b/>
                <w:sz w:val="22"/>
                <w:lang w:val="el-GR"/>
              </w:rPr>
              <w:br/>
            </w:r>
            <w:r w:rsidRPr="00B968F8">
              <w:rPr>
                <w:sz w:val="22"/>
                <w:lang w:val="el-GR"/>
              </w:rPr>
              <w:t>(ml)</w:t>
            </w:r>
          </w:p>
        </w:tc>
      </w:tr>
      <w:tr w:rsidR="00DB593F" w:rsidRPr="00B968F8">
        <w:trPr>
          <w:cantSplit/>
          <w:trHeight w:val="494"/>
        </w:trPr>
        <w:tc>
          <w:tcPr>
            <w:tcW w:w="1800" w:type="dxa"/>
            <w:vMerge/>
            <w:vAlign w:val="center"/>
          </w:tcPr>
          <w:p w:rsidR="00DB593F" w:rsidRPr="00B968F8" w:rsidRDefault="00DB593F" w:rsidP="002C7B28">
            <w:pPr>
              <w:rPr>
                <w:b/>
                <w:lang w:val="el-GR"/>
              </w:rPr>
            </w:pPr>
          </w:p>
        </w:tc>
        <w:tc>
          <w:tcPr>
            <w:tcW w:w="360" w:type="dxa"/>
            <w:vMerge/>
            <w:vAlign w:val="center"/>
          </w:tcPr>
          <w:p w:rsidR="00DB593F" w:rsidRPr="00B968F8" w:rsidRDefault="00DB593F" w:rsidP="002C7B28">
            <w:pPr>
              <w:rPr>
                <w:b/>
                <w:lang w:val="el-GR"/>
              </w:rPr>
            </w:pPr>
          </w:p>
        </w:tc>
        <w:tc>
          <w:tcPr>
            <w:tcW w:w="2178" w:type="dxa"/>
            <w:tcBorders>
              <w:top w:val="single" w:sz="12" w:space="0" w:color="auto"/>
              <w:left w:val="nil"/>
              <w:bottom w:val="nil"/>
              <w:right w:val="nil"/>
            </w:tcBorders>
          </w:tcPr>
          <w:p w:rsidR="00DB593F" w:rsidRPr="00B968F8" w:rsidRDefault="00DB593F" w:rsidP="002C7B28">
            <w:pPr>
              <w:pStyle w:val="Web"/>
              <w:spacing w:before="0" w:after="0"/>
              <w:jc w:val="center"/>
              <w:rPr>
                <w:lang w:val="el-GR"/>
              </w:rPr>
            </w:pPr>
            <w:r w:rsidRPr="00B968F8">
              <w:rPr>
                <w:b/>
                <w:sz w:val="22"/>
                <w:lang w:val="el-GR"/>
              </w:rPr>
              <w:t xml:space="preserve">Περιεκτικότητα φιαλιδίου REMODULIN </w:t>
            </w:r>
            <w:r w:rsidRPr="00B968F8">
              <w:rPr>
                <w:b/>
                <w:sz w:val="22"/>
                <w:lang w:val="el-GR"/>
              </w:rPr>
              <w:br/>
            </w:r>
            <w:r w:rsidRPr="00B968F8">
              <w:rPr>
                <w:sz w:val="22"/>
                <w:lang w:val="el-GR"/>
              </w:rPr>
              <w:t>(mg/mL)</w:t>
            </w:r>
          </w:p>
        </w:tc>
        <w:tc>
          <w:tcPr>
            <w:tcW w:w="342" w:type="dxa"/>
            <w:vMerge/>
            <w:vAlign w:val="center"/>
          </w:tcPr>
          <w:p w:rsidR="00DB593F" w:rsidRPr="00B968F8" w:rsidRDefault="00DB593F" w:rsidP="002C7B28">
            <w:pPr>
              <w:rPr>
                <w:b/>
                <w:lang w:val="el-GR"/>
              </w:rPr>
            </w:pPr>
          </w:p>
        </w:tc>
        <w:tc>
          <w:tcPr>
            <w:tcW w:w="3150" w:type="dxa"/>
            <w:vMerge/>
            <w:vAlign w:val="center"/>
          </w:tcPr>
          <w:p w:rsidR="00DB593F" w:rsidRPr="00B968F8" w:rsidRDefault="00DB593F" w:rsidP="002C7B28">
            <w:pPr>
              <w:rPr>
                <w:b/>
                <w:lang w:val="el-GR"/>
              </w:rPr>
            </w:pPr>
          </w:p>
        </w:tc>
      </w:tr>
    </w:tbl>
    <w:p w:rsidR="00DB593F" w:rsidRPr="00B968F8" w:rsidRDefault="00DB593F" w:rsidP="00DB593F">
      <w:pPr>
        <w:pStyle w:val="Web"/>
        <w:spacing w:before="0" w:after="0"/>
        <w:ind w:left="6480" w:hanging="6480"/>
        <w:rPr>
          <w:b/>
          <w:sz w:val="22"/>
          <w:lang w:val="el-GR"/>
        </w:rPr>
      </w:pPr>
    </w:p>
    <w:p w:rsidR="00DB593F" w:rsidRPr="00B968F8" w:rsidRDefault="00DB593F" w:rsidP="00DB593F">
      <w:pPr>
        <w:pStyle w:val="Web"/>
        <w:spacing w:before="0" w:after="0"/>
        <w:jc w:val="both"/>
        <w:rPr>
          <w:sz w:val="22"/>
          <w:lang w:val="el-GR"/>
        </w:rPr>
      </w:pPr>
      <w:r w:rsidRPr="00B968F8">
        <w:rPr>
          <w:sz w:val="22"/>
          <w:lang w:val="el-GR"/>
        </w:rPr>
        <w:t>Στη συνέχεια, ο όγκος του REMODULIN που έχει υπολογιστεί προστίθεται στη δεξαμενή μαζί με επαρκή όγκο αραιωτικού (Αποστειρωμένο νερό για έγχυση ή Έγχυση χλωριούχου νατρίου 0,9%) ώστε να επιτευχθεί ο επιθυμητός συνολικός όγκος στη δεξαμενή.</w:t>
      </w:r>
    </w:p>
    <w:p w:rsidR="00DB593F" w:rsidRPr="00B968F8" w:rsidRDefault="00DB593F" w:rsidP="00DB593F">
      <w:pPr>
        <w:pStyle w:val="Web"/>
        <w:spacing w:before="0" w:after="0"/>
        <w:jc w:val="both"/>
        <w:rPr>
          <w:sz w:val="22"/>
          <w:lang w:val="el-GR"/>
        </w:rPr>
      </w:pPr>
      <w:r w:rsidRPr="00B968F8">
        <w:rPr>
          <w:sz w:val="22"/>
          <w:lang w:val="el-GR"/>
        </w:rPr>
        <w:t xml:space="preserve"> </w:t>
      </w:r>
    </w:p>
    <w:p w:rsidR="00DB593F" w:rsidRPr="00B968F8" w:rsidRDefault="00DB593F" w:rsidP="00DB593F">
      <w:pPr>
        <w:pStyle w:val="Web"/>
        <w:spacing w:before="0" w:after="0"/>
        <w:jc w:val="both"/>
        <w:rPr>
          <w:sz w:val="22"/>
          <w:lang w:val="el-GR"/>
        </w:rPr>
      </w:pPr>
      <w:r w:rsidRPr="00B968F8">
        <w:rPr>
          <w:sz w:val="22"/>
          <w:lang w:val="el-GR"/>
        </w:rPr>
        <w:t xml:space="preserve">Παραδείγματα υπολογισμού για </w:t>
      </w:r>
      <w:r w:rsidRPr="00B968F8">
        <w:rPr>
          <w:b/>
          <w:i/>
          <w:sz w:val="22"/>
          <w:lang w:val="el-GR"/>
        </w:rPr>
        <w:t xml:space="preserve">Ενδοφλέβια έγχυση </w:t>
      </w:r>
      <w:r w:rsidRPr="00B968F8">
        <w:rPr>
          <w:sz w:val="22"/>
          <w:lang w:val="el-GR"/>
        </w:rPr>
        <w:t>περιλαμβάνουν τα ακόλουθα:</w:t>
      </w:r>
    </w:p>
    <w:p w:rsidR="00DB593F" w:rsidRPr="00B968F8" w:rsidRDefault="00DB593F" w:rsidP="00DB593F">
      <w:pPr>
        <w:pStyle w:val="Web"/>
        <w:spacing w:before="0" w:after="0"/>
        <w:jc w:val="both"/>
        <w:rPr>
          <w:b/>
          <w:sz w:val="22"/>
          <w:u w:val="single"/>
          <w:lang w:val="el-GR"/>
        </w:rPr>
      </w:pPr>
    </w:p>
    <w:p w:rsidR="00DB593F" w:rsidRPr="00B968F8" w:rsidRDefault="00DB593F" w:rsidP="00DB593F">
      <w:pPr>
        <w:pStyle w:val="Web"/>
        <w:spacing w:before="0" w:after="0"/>
        <w:jc w:val="both"/>
        <w:rPr>
          <w:b/>
          <w:sz w:val="22"/>
          <w:lang w:val="el-GR"/>
        </w:rPr>
      </w:pPr>
      <w:r w:rsidRPr="00B968F8">
        <w:rPr>
          <w:b/>
          <w:sz w:val="22"/>
          <w:u w:val="single"/>
          <w:lang w:val="el-GR"/>
        </w:rPr>
        <w:t>Παράδειγμα 3</w:t>
      </w:r>
      <w:r w:rsidRPr="00B968F8">
        <w:rPr>
          <w:b/>
          <w:sz w:val="22"/>
          <w:lang w:val="el-GR"/>
        </w:rPr>
        <w:t>:</w:t>
      </w:r>
    </w:p>
    <w:p w:rsidR="00DB593F" w:rsidRPr="00B968F8" w:rsidRDefault="00DB593F" w:rsidP="00DB593F">
      <w:pPr>
        <w:pStyle w:val="Web"/>
        <w:spacing w:before="0" w:after="0"/>
        <w:jc w:val="both"/>
        <w:rPr>
          <w:sz w:val="22"/>
          <w:lang w:val="el-GR"/>
        </w:rPr>
      </w:pPr>
      <w:r w:rsidRPr="00B968F8">
        <w:rPr>
          <w:sz w:val="22"/>
          <w:lang w:val="el-GR"/>
        </w:rPr>
        <w:t xml:space="preserve">Για ένα άτομο που ζυγίζει </w:t>
      </w:r>
      <w:smartTag w:uri="urn:schemas-microsoft-com:office:smarttags" w:element="metricconverter">
        <w:smartTagPr>
          <w:attr w:name="ProductID" w:val="60 kg"/>
        </w:smartTagPr>
        <w:r w:rsidRPr="00B968F8">
          <w:rPr>
            <w:sz w:val="22"/>
            <w:lang w:val="el-GR"/>
          </w:rPr>
          <w:t>60 kg</w:t>
        </w:r>
      </w:smartTag>
      <w:r w:rsidRPr="00B968F8">
        <w:rPr>
          <w:sz w:val="22"/>
          <w:lang w:val="el-GR"/>
        </w:rPr>
        <w:t xml:space="preserve"> με δόση 5 ng/kg/λεπτό, με προκαθορισμένο ρυθμό ενδοφλέβιας έγχυσης 1 ml/ώρα και μια δεξαμενή 50 ml, η Συγκέντρωση αραιωμένου ενδοφλέβιου διαλύματος του REMODULIN θα πρέπει να υπολογιστεί ως εξής:</w:t>
      </w:r>
    </w:p>
    <w:p w:rsidR="00DB593F" w:rsidRPr="00B968F8" w:rsidRDefault="00DB593F" w:rsidP="00DB593F">
      <w:pPr>
        <w:pStyle w:val="Web"/>
        <w:spacing w:before="0" w:after="0"/>
        <w:jc w:val="both"/>
        <w:rPr>
          <w:sz w:val="22"/>
          <w:lang w:val="el-G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4"/>
        <w:gridCol w:w="386"/>
        <w:gridCol w:w="1650"/>
        <w:gridCol w:w="360"/>
        <w:gridCol w:w="900"/>
        <w:gridCol w:w="360"/>
        <w:gridCol w:w="990"/>
        <w:gridCol w:w="1980"/>
      </w:tblGrid>
      <w:tr w:rsidR="00DB593F" w:rsidRPr="00B968F8">
        <w:trPr>
          <w:cantSplit/>
          <w:trHeight w:val="558"/>
        </w:trPr>
        <w:tc>
          <w:tcPr>
            <w:tcW w:w="1654" w:type="dxa"/>
            <w:vMerge w:val="restart"/>
            <w:tcBorders>
              <w:top w:val="nil"/>
              <w:left w:val="nil"/>
              <w:bottom w:val="nil"/>
              <w:right w:val="nil"/>
            </w:tcBorders>
            <w:vAlign w:val="center"/>
          </w:tcPr>
          <w:p w:rsidR="00DB593F" w:rsidRPr="00B968F8" w:rsidRDefault="00DB593F" w:rsidP="002C7B28">
            <w:pPr>
              <w:pStyle w:val="Web"/>
              <w:keepNext/>
              <w:spacing w:before="0" w:after="0"/>
              <w:jc w:val="center"/>
              <w:rPr>
                <w:b/>
                <w:sz w:val="22"/>
                <w:u w:val="single"/>
                <w:lang w:val="el-GR"/>
              </w:rPr>
            </w:pPr>
            <w:r w:rsidRPr="00B968F8">
              <w:rPr>
                <w:b/>
                <w:sz w:val="22"/>
                <w:u w:val="single"/>
                <w:lang w:val="el-GR"/>
              </w:rPr>
              <w:lastRenderedPageBreak/>
              <w:t>Βήμα 1</w:t>
            </w:r>
          </w:p>
          <w:p w:rsidR="00DB593F" w:rsidRPr="00B968F8" w:rsidRDefault="00DB593F" w:rsidP="002C7B28">
            <w:pPr>
              <w:pStyle w:val="Web"/>
              <w:keepNext/>
              <w:spacing w:before="0" w:after="0"/>
              <w:jc w:val="center"/>
              <w:rPr>
                <w:lang w:val="el-GR"/>
              </w:rPr>
            </w:pPr>
            <w:r w:rsidRPr="00B968F8">
              <w:rPr>
                <w:b/>
                <w:sz w:val="22"/>
                <w:lang w:val="el-GR"/>
              </w:rPr>
              <w:t xml:space="preserve">Συγκέντρωση αραιωμένης ενδοφλέβιας χορήγησης του REMODULIN </w:t>
            </w:r>
            <w:r w:rsidRPr="00B968F8">
              <w:rPr>
                <w:b/>
                <w:sz w:val="22"/>
                <w:lang w:val="el-GR"/>
              </w:rPr>
              <w:br/>
            </w:r>
            <w:r w:rsidRPr="00B968F8">
              <w:rPr>
                <w:sz w:val="22"/>
                <w:lang w:val="el-GR"/>
              </w:rPr>
              <w:t>(mg/ml)</w:t>
            </w:r>
          </w:p>
        </w:tc>
        <w:tc>
          <w:tcPr>
            <w:tcW w:w="386" w:type="dxa"/>
            <w:vMerge w:val="restart"/>
            <w:tcBorders>
              <w:top w:val="nil"/>
              <w:left w:val="nil"/>
              <w:bottom w:val="nil"/>
              <w:right w:val="nil"/>
            </w:tcBorders>
            <w:vAlign w:val="center"/>
          </w:tcPr>
          <w:p w:rsidR="00DB593F" w:rsidRPr="00B968F8" w:rsidRDefault="00DB593F" w:rsidP="002C7B28">
            <w:pPr>
              <w:pStyle w:val="Web"/>
              <w:keepNext/>
              <w:spacing w:before="0" w:after="0"/>
              <w:rPr>
                <w:b/>
                <w:sz w:val="22"/>
              </w:rPr>
            </w:pPr>
            <w:r w:rsidRPr="00B968F8">
              <w:rPr>
                <w:b/>
                <w:sz w:val="22"/>
              </w:rPr>
              <w:t>=</w:t>
            </w:r>
          </w:p>
        </w:tc>
        <w:tc>
          <w:tcPr>
            <w:tcW w:w="1650" w:type="dxa"/>
            <w:tcBorders>
              <w:top w:val="nil"/>
              <w:left w:val="nil"/>
              <w:bottom w:val="single" w:sz="12" w:space="0" w:color="auto"/>
              <w:right w:val="nil"/>
            </w:tcBorders>
            <w:vAlign w:val="bottom"/>
          </w:tcPr>
          <w:p w:rsidR="00DB593F" w:rsidRPr="00B968F8" w:rsidRDefault="00DB593F" w:rsidP="002C7B28">
            <w:pPr>
              <w:pStyle w:val="Web"/>
              <w:keepNext/>
              <w:spacing w:before="0" w:after="0"/>
              <w:jc w:val="center"/>
            </w:pPr>
            <w:r w:rsidRPr="00B968F8">
              <w:rPr>
                <w:b/>
                <w:sz w:val="22"/>
              </w:rPr>
              <w:t xml:space="preserve">5 </w:t>
            </w:r>
            <w:r w:rsidRPr="00B968F8">
              <w:rPr>
                <w:sz w:val="22"/>
              </w:rPr>
              <w:t>ng/kg/</w:t>
            </w:r>
            <w:r w:rsidRPr="00B968F8">
              <w:rPr>
                <w:sz w:val="22"/>
                <w:lang w:val="el-GR"/>
              </w:rPr>
              <w:t>λεπτό</w:t>
            </w:r>
          </w:p>
        </w:tc>
        <w:tc>
          <w:tcPr>
            <w:tcW w:w="360" w:type="dxa"/>
            <w:tcBorders>
              <w:top w:val="nil"/>
              <w:left w:val="nil"/>
              <w:bottom w:val="single" w:sz="12" w:space="0" w:color="auto"/>
              <w:right w:val="nil"/>
            </w:tcBorders>
            <w:vAlign w:val="bottom"/>
          </w:tcPr>
          <w:p w:rsidR="00DB593F" w:rsidRPr="00B968F8" w:rsidRDefault="00DB593F" w:rsidP="002C7B28">
            <w:pPr>
              <w:pStyle w:val="Web"/>
              <w:keepNext/>
              <w:spacing w:before="0" w:after="0"/>
              <w:jc w:val="center"/>
              <w:rPr>
                <w:lang w:val="el-GR"/>
              </w:rPr>
            </w:pPr>
            <w:r w:rsidRPr="00B968F8">
              <w:rPr>
                <w:b/>
                <w:sz w:val="22"/>
                <w:lang w:val="el-GR"/>
              </w:rPr>
              <w:t>x</w:t>
            </w:r>
          </w:p>
        </w:tc>
        <w:tc>
          <w:tcPr>
            <w:tcW w:w="900" w:type="dxa"/>
            <w:tcBorders>
              <w:top w:val="nil"/>
              <w:left w:val="nil"/>
              <w:bottom w:val="single" w:sz="12" w:space="0" w:color="auto"/>
              <w:right w:val="nil"/>
            </w:tcBorders>
            <w:vAlign w:val="bottom"/>
          </w:tcPr>
          <w:p w:rsidR="00DB593F" w:rsidRPr="00B968F8" w:rsidRDefault="00DB593F" w:rsidP="002C7B28">
            <w:pPr>
              <w:pStyle w:val="Web"/>
              <w:keepNext/>
              <w:spacing w:before="0" w:after="0"/>
              <w:jc w:val="center"/>
              <w:rPr>
                <w:lang w:val="el-GR"/>
              </w:rPr>
            </w:pPr>
            <w:smartTag w:uri="urn:schemas-microsoft-com:office:smarttags" w:element="metricconverter">
              <w:smartTagPr>
                <w:attr w:name="ProductID" w:val="60 kg"/>
              </w:smartTagPr>
              <w:r w:rsidRPr="00B968F8">
                <w:rPr>
                  <w:sz w:val="22"/>
                  <w:lang w:val="el-GR"/>
                </w:rPr>
                <w:t>60 kg</w:t>
              </w:r>
            </w:smartTag>
          </w:p>
        </w:tc>
        <w:tc>
          <w:tcPr>
            <w:tcW w:w="360" w:type="dxa"/>
            <w:tcBorders>
              <w:top w:val="nil"/>
              <w:left w:val="nil"/>
              <w:bottom w:val="single" w:sz="12" w:space="0" w:color="auto"/>
              <w:right w:val="nil"/>
            </w:tcBorders>
            <w:vAlign w:val="bottom"/>
          </w:tcPr>
          <w:p w:rsidR="00DB593F" w:rsidRPr="00B968F8" w:rsidRDefault="00DB593F" w:rsidP="002C7B28">
            <w:pPr>
              <w:pStyle w:val="Web"/>
              <w:keepNext/>
              <w:spacing w:before="0" w:after="0"/>
              <w:jc w:val="center"/>
              <w:rPr>
                <w:lang w:val="el-GR"/>
              </w:rPr>
            </w:pPr>
            <w:r w:rsidRPr="00B968F8">
              <w:rPr>
                <w:b/>
                <w:sz w:val="22"/>
                <w:lang w:val="el-GR"/>
              </w:rPr>
              <w:t>x</w:t>
            </w:r>
          </w:p>
        </w:tc>
        <w:tc>
          <w:tcPr>
            <w:tcW w:w="990" w:type="dxa"/>
            <w:tcBorders>
              <w:top w:val="nil"/>
              <w:left w:val="nil"/>
              <w:bottom w:val="single" w:sz="12" w:space="0" w:color="auto"/>
              <w:right w:val="nil"/>
            </w:tcBorders>
            <w:vAlign w:val="bottom"/>
          </w:tcPr>
          <w:p w:rsidR="00DB593F" w:rsidRPr="00B968F8" w:rsidRDefault="00DB593F" w:rsidP="002C7B28">
            <w:pPr>
              <w:pStyle w:val="Web"/>
              <w:keepNext/>
              <w:widowControl w:val="0"/>
              <w:spacing w:before="0" w:after="0"/>
              <w:jc w:val="center"/>
              <w:rPr>
                <w:b/>
                <w:sz w:val="22"/>
              </w:rPr>
            </w:pPr>
            <w:r w:rsidRPr="00B968F8">
              <w:rPr>
                <w:b/>
                <w:sz w:val="22"/>
              </w:rPr>
              <w:t>0.00006</w:t>
            </w:r>
          </w:p>
        </w:tc>
        <w:tc>
          <w:tcPr>
            <w:tcW w:w="1980" w:type="dxa"/>
            <w:vMerge w:val="restart"/>
            <w:tcBorders>
              <w:top w:val="nil"/>
              <w:left w:val="nil"/>
              <w:bottom w:val="nil"/>
              <w:right w:val="nil"/>
            </w:tcBorders>
            <w:vAlign w:val="center"/>
          </w:tcPr>
          <w:p w:rsidR="00DB593F" w:rsidRPr="00B968F8" w:rsidRDefault="00DB593F" w:rsidP="002C7B28">
            <w:pPr>
              <w:pStyle w:val="Web"/>
              <w:keepNext/>
              <w:widowControl w:val="0"/>
              <w:spacing w:before="0" w:after="0"/>
              <w:jc w:val="center"/>
              <w:rPr>
                <w:sz w:val="22"/>
              </w:rPr>
            </w:pPr>
            <w:r w:rsidRPr="00B968F8">
              <w:rPr>
                <w:sz w:val="22"/>
              </w:rPr>
              <w:t>=  0.018 mg/ml</w:t>
            </w:r>
          </w:p>
          <w:p w:rsidR="00DB593F" w:rsidRPr="00B968F8" w:rsidRDefault="00DB593F" w:rsidP="002C7B28">
            <w:pPr>
              <w:pStyle w:val="Web"/>
              <w:keepNext/>
              <w:widowControl w:val="0"/>
              <w:spacing w:before="0" w:after="0"/>
              <w:jc w:val="center"/>
            </w:pPr>
            <w:r w:rsidRPr="00B968F8">
              <w:rPr>
                <w:sz w:val="22"/>
              </w:rPr>
              <w:t>(18,000 ng/ml)</w:t>
            </w:r>
          </w:p>
        </w:tc>
      </w:tr>
      <w:tr w:rsidR="00DB593F" w:rsidRPr="00B968F8">
        <w:trPr>
          <w:cantSplit/>
          <w:trHeight w:val="495"/>
        </w:trPr>
        <w:tc>
          <w:tcPr>
            <w:tcW w:w="1654" w:type="dxa"/>
            <w:vMerge/>
            <w:tcBorders>
              <w:top w:val="nil"/>
              <w:left w:val="nil"/>
              <w:bottom w:val="nil"/>
              <w:right w:val="nil"/>
            </w:tcBorders>
            <w:vAlign w:val="center"/>
          </w:tcPr>
          <w:p w:rsidR="00DB593F" w:rsidRPr="00B968F8" w:rsidRDefault="00DB593F" w:rsidP="002C7B28">
            <w:pPr>
              <w:rPr>
                <w:sz w:val="22"/>
                <w:lang w:val="en-US"/>
              </w:rPr>
            </w:pPr>
          </w:p>
        </w:tc>
        <w:tc>
          <w:tcPr>
            <w:tcW w:w="386" w:type="dxa"/>
            <w:vMerge/>
            <w:tcBorders>
              <w:top w:val="nil"/>
              <w:left w:val="nil"/>
              <w:bottom w:val="nil"/>
              <w:right w:val="nil"/>
            </w:tcBorders>
            <w:vAlign w:val="center"/>
          </w:tcPr>
          <w:p w:rsidR="00DB593F" w:rsidRPr="00B968F8" w:rsidRDefault="00DB593F" w:rsidP="002C7B28">
            <w:pPr>
              <w:rPr>
                <w:b/>
                <w:sz w:val="22"/>
                <w:lang w:val="en-US"/>
              </w:rPr>
            </w:pPr>
          </w:p>
        </w:tc>
        <w:tc>
          <w:tcPr>
            <w:tcW w:w="4260" w:type="dxa"/>
            <w:gridSpan w:val="5"/>
            <w:tcBorders>
              <w:top w:val="single" w:sz="12" w:space="0" w:color="auto"/>
              <w:left w:val="nil"/>
              <w:bottom w:val="nil"/>
              <w:right w:val="nil"/>
            </w:tcBorders>
          </w:tcPr>
          <w:p w:rsidR="00DB593F" w:rsidRPr="00B968F8" w:rsidRDefault="00DB593F" w:rsidP="002C7B28">
            <w:pPr>
              <w:pStyle w:val="Web"/>
              <w:keepNext/>
              <w:widowControl w:val="0"/>
              <w:spacing w:before="0" w:after="0"/>
              <w:jc w:val="center"/>
              <w:rPr>
                <w:lang w:val="el-GR"/>
              </w:rPr>
            </w:pPr>
            <w:r w:rsidRPr="00B968F8">
              <w:rPr>
                <w:b/>
                <w:sz w:val="22"/>
                <w:lang w:val="el-GR"/>
              </w:rPr>
              <w:t xml:space="preserve">1 </w:t>
            </w:r>
            <w:r w:rsidRPr="00B968F8">
              <w:rPr>
                <w:sz w:val="22"/>
                <w:lang w:val="el-GR"/>
              </w:rPr>
              <w:t>ml/ώρα</w:t>
            </w:r>
          </w:p>
        </w:tc>
        <w:tc>
          <w:tcPr>
            <w:tcW w:w="1980" w:type="dxa"/>
            <w:vMerge/>
            <w:tcBorders>
              <w:top w:val="nil"/>
              <w:left w:val="nil"/>
              <w:bottom w:val="nil"/>
              <w:right w:val="nil"/>
            </w:tcBorders>
            <w:vAlign w:val="center"/>
          </w:tcPr>
          <w:p w:rsidR="00DB593F" w:rsidRPr="00B968F8" w:rsidRDefault="00DB593F" w:rsidP="002C7B28">
            <w:pPr>
              <w:rPr>
                <w:b/>
                <w:sz w:val="22"/>
                <w:lang w:val="en-US"/>
              </w:rPr>
            </w:pPr>
          </w:p>
        </w:tc>
      </w:tr>
    </w:tbl>
    <w:p w:rsidR="00DB593F" w:rsidRPr="00B968F8" w:rsidRDefault="00DB593F" w:rsidP="00DB593F">
      <w:pPr>
        <w:pStyle w:val="Web"/>
        <w:spacing w:before="0" w:after="0"/>
        <w:rPr>
          <w:sz w:val="22"/>
        </w:rPr>
      </w:pPr>
    </w:p>
    <w:p w:rsidR="00DB593F" w:rsidRPr="00B968F8" w:rsidRDefault="00DB593F" w:rsidP="00DB593F">
      <w:pPr>
        <w:pStyle w:val="Web"/>
        <w:keepNext/>
        <w:spacing w:before="0" w:after="0"/>
        <w:ind w:left="720"/>
        <w:jc w:val="both"/>
        <w:rPr>
          <w:sz w:val="22"/>
          <w:lang w:val="el-GR"/>
        </w:rPr>
      </w:pPr>
      <w:r w:rsidRPr="00B968F8">
        <w:rPr>
          <w:sz w:val="22"/>
          <w:lang w:val="el-GR"/>
        </w:rPr>
        <w:t xml:space="preserve">Ο Όγκος του </w:t>
      </w:r>
      <w:r w:rsidRPr="00B968F8">
        <w:rPr>
          <w:sz w:val="22"/>
        </w:rPr>
        <w:t>REMODULIN</w:t>
      </w:r>
      <w:r w:rsidRPr="00B968F8">
        <w:rPr>
          <w:sz w:val="22"/>
          <w:lang w:val="el-GR"/>
        </w:rPr>
        <w:t xml:space="preserve"> (χρησιμοποιώντας Περιεκτικότητα φιαλιδίου 1 </w:t>
      </w:r>
      <w:r w:rsidRPr="00B968F8">
        <w:rPr>
          <w:sz w:val="22"/>
        </w:rPr>
        <w:t>mg</w:t>
      </w:r>
      <w:r w:rsidRPr="00B968F8">
        <w:rPr>
          <w:sz w:val="22"/>
          <w:lang w:val="el-GR"/>
        </w:rPr>
        <w:t>/</w:t>
      </w:r>
      <w:r w:rsidRPr="00B968F8">
        <w:rPr>
          <w:sz w:val="22"/>
        </w:rPr>
        <w:t>ml</w:t>
      </w:r>
      <w:r w:rsidRPr="00B968F8">
        <w:rPr>
          <w:sz w:val="22"/>
          <w:lang w:val="el-GR"/>
        </w:rPr>
        <w:t xml:space="preserve">) που απαιτείται για συνολική Συγκέντρωση αραιωμένου </w:t>
      </w:r>
      <w:r w:rsidRPr="00B968F8">
        <w:rPr>
          <w:sz w:val="22"/>
        </w:rPr>
        <w:t>REMODULIN</w:t>
      </w:r>
      <w:r w:rsidRPr="00B968F8">
        <w:rPr>
          <w:sz w:val="22"/>
          <w:lang w:val="el-GR"/>
        </w:rPr>
        <w:t xml:space="preserve"> 0.018 </w:t>
      </w:r>
      <w:r w:rsidRPr="00B968F8">
        <w:rPr>
          <w:sz w:val="22"/>
        </w:rPr>
        <w:t>mg</w:t>
      </w:r>
      <w:r w:rsidRPr="00B968F8">
        <w:rPr>
          <w:sz w:val="22"/>
          <w:lang w:val="el-GR"/>
        </w:rPr>
        <w:t>/</w:t>
      </w:r>
      <w:r w:rsidRPr="00B968F8">
        <w:rPr>
          <w:sz w:val="22"/>
        </w:rPr>
        <w:t>ml</w:t>
      </w:r>
      <w:r w:rsidRPr="00B968F8">
        <w:rPr>
          <w:sz w:val="22"/>
          <w:lang w:val="el-GR"/>
        </w:rPr>
        <w:t xml:space="preserve"> και συνολικό όγκο 50 </w:t>
      </w:r>
      <w:r w:rsidRPr="00B968F8">
        <w:rPr>
          <w:sz w:val="22"/>
        </w:rPr>
        <w:t>ml</w:t>
      </w:r>
      <w:r w:rsidRPr="00B968F8">
        <w:rPr>
          <w:sz w:val="22"/>
          <w:lang w:val="el-GR"/>
        </w:rPr>
        <w:t xml:space="preserve"> θα πρέπει να υπολογιστεί ως εξής:</w:t>
      </w:r>
    </w:p>
    <w:p w:rsidR="00DB593F" w:rsidRPr="00B968F8" w:rsidRDefault="00DB593F" w:rsidP="00DB593F">
      <w:pPr>
        <w:pStyle w:val="Web"/>
        <w:keepNext/>
        <w:spacing w:before="0" w:after="0"/>
        <w:ind w:left="720"/>
        <w:rPr>
          <w:sz w:val="22"/>
          <w:lang w:val="el-GR"/>
        </w:rPr>
      </w:pPr>
    </w:p>
    <w:tbl>
      <w:tblPr>
        <w:tblW w:w="0" w:type="auto"/>
        <w:tblInd w:w="918" w:type="dxa"/>
        <w:tblLayout w:type="fixed"/>
        <w:tblLook w:val="01E0"/>
      </w:tblPr>
      <w:tblGrid>
        <w:gridCol w:w="2430"/>
        <w:gridCol w:w="372"/>
        <w:gridCol w:w="1860"/>
        <w:gridCol w:w="2448"/>
      </w:tblGrid>
      <w:tr w:rsidR="00DB593F" w:rsidRPr="00B968F8">
        <w:trPr>
          <w:cantSplit/>
          <w:trHeight w:val="503"/>
        </w:trPr>
        <w:tc>
          <w:tcPr>
            <w:tcW w:w="2430" w:type="dxa"/>
            <w:vMerge w:val="restart"/>
            <w:vAlign w:val="center"/>
          </w:tcPr>
          <w:p w:rsidR="00DB593F" w:rsidRPr="00B968F8" w:rsidRDefault="00DB593F" w:rsidP="002C7B28">
            <w:pPr>
              <w:keepNext/>
              <w:jc w:val="center"/>
              <w:rPr>
                <w:b/>
                <w:sz w:val="22"/>
                <w:u w:val="single"/>
                <w:lang w:val="el-GR"/>
              </w:rPr>
            </w:pPr>
            <w:r w:rsidRPr="00B968F8">
              <w:rPr>
                <w:b/>
                <w:sz w:val="22"/>
                <w:u w:val="single"/>
                <w:lang w:val="el-GR"/>
              </w:rPr>
              <w:t>Βήμα 2</w:t>
            </w:r>
          </w:p>
          <w:p w:rsidR="00DB593F" w:rsidRPr="00B968F8" w:rsidRDefault="00DB593F" w:rsidP="002C7B28">
            <w:pPr>
              <w:keepNext/>
              <w:jc w:val="center"/>
              <w:rPr>
                <w:lang w:val="el-GR"/>
              </w:rPr>
            </w:pPr>
            <w:r w:rsidRPr="00B968F8">
              <w:rPr>
                <w:b/>
                <w:sz w:val="22"/>
                <w:lang w:val="el-GR"/>
              </w:rPr>
              <w:t xml:space="preserve">Ποσότητα του </w:t>
            </w:r>
            <w:r w:rsidRPr="00B968F8">
              <w:rPr>
                <w:b/>
                <w:sz w:val="22"/>
                <w:lang w:val="en-US"/>
              </w:rPr>
              <w:t>REMODULIN</w:t>
            </w:r>
            <w:r w:rsidRPr="00B968F8">
              <w:rPr>
                <w:b/>
                <w:sz w:val="22"/>
                <w:lang w:val="el-GR"/>
              </w:rPr>
              <w:t xml:space="preserve"> </w:t>
            </w:r>
            <w:r w:rsidRPr="00B968F8">
              <w:rPr>
                <w:b/>
                <w:sz w:val="22"/>
                <w:lang w:val="el-GR"/>
              </w:rPr>
              <w:br/>
            </w:r>
            <w:r w:rsidRPr="00B968F8">
              <w:rPr>
                <w:sz w:val="22"/>
                <w:lang w:val="el-GR"/>
              </w:rPr>
              <w:t>(</w:t>
            </w:r>
            <w:r w:rsidRPr="00B968F8">
              <w:rPr>
                <w:sz w:val="22"/>
                <w:lang w:val="en-US"/>
              </w:rPr>
              <w:t>ml</w:t>
            </w:r>
            <w:r w:rsidRPr="00B968F8">
              <w:rPr>
                <w:sz w:val="22"/>
                <w:lang w:val="el-GR"/>
              </w:rPr>
              <w:t>)</w:t>
            </w:r>
          </w:p>
        </w:tc>
        <w:tc>
          <w:tcPr>
            <w:tcW w:w="372" w:type="dxa"/>
            <w:vMerge w:val="restart"/>
            <w:vAlign w:val="center"/>
          </w:tcPr>
          <w:p w:rsidR="00DB593F" w:rsidRPr="00B968F8" w:rsidRDefault="00DB593F" w:rsidP="002C7B28">
            <w:pPr>
              <w:keepNext/>
              <w:rPr>
                <w:sz w:val="22"/>
              </w:rPr>
            </w:pPr>
            <w:r w:rsidRPr="00B968F8">
              <w:rPr>
                <w:sz w:val="22"/>
              </w:rPr>
              <w:t>=</w:t>
            </w:r>
          </w:p>
        </w:tc>
        <w:tc>
          <w:tcPr>
            <w:tcW w:w="1860" w:type="dxa"/>
            <w:tcBorders>
              <w:top w:val="nil"/>
              <w:left w:val="nil"/>
              <w:bottom w:val="single" w:sz="12" w:space="0" w:color="auto"/>
              <w:right w:val="nil"/>
            </w:tcBorders>
            <w:vAlign w:val="bottom"/>
          </w:tcPr>
          <w:p w:rsidR="00DB593F" w:rsidRPr="00B968F8" w:rsidRDefault="00DB593F" w:rsidP="002C7B28">
            <w:pPr>
              <w:keepNext/>
              <w:jc w:val="center"/>
            </w:pPr>
            <w:r w:rsidRPr="00B968F8">
              <w:rPr>
                <w:sz w:val="22"/>
              </w:rPr>
              <w:t>0.018 mg/ml</w:t>
            </w:r>
          </w:p>
        </w:tc>
        <w:tc>
          <w:tcPr>
            <w:tcW w:w="2448" w:type="dxa"/>
            <w:vMerge w:val="restart"/>
            <w:vAlign w:val="center"/>
          </w:tcPr>
          <w:p w:rsidR="00DB593F" w:rsidRPr="00B968F8" w:rsidRDefault="00DB593F" w:rsidP="002C7B28">
            <w:pPr>
              <w:keepNext/>
              <w:jc w:val="center"/>
            </w:pPr>
            <w:r w:rsidRPr="00B968F8">
              <w:rPr>
                <w:sz w:val="22"/>
              </w:rPr>
              <w:t xml:space="preserve">x  </w:t>
            </w:r>
            <w:r w:rsidRPr="00B968F8">
              <w:rPr>
                <w:b/>
                <w:sz w:val="22"/>
              </w:rPr>
              <w:t>50</w:t>
            </w:r>
            <w:r w:rsidRPr="00B968F8">
              <w:rPr>
                <w:sz w:val="22"/>
              </w:rPr>
              <w:t xml:space="preserve"> ml  =  </w:t>
            </w:r>
            <w:r w:rsidRPr="00B968F8">
              <w:rPr>
                <w:b/>
                <w:sz w:val="22"/>
              </w:rPr>
              <w:t>0,9</w:t>
            </w:r>
            <w:r w:rsidRPr="00B968F8">
              <w:rPr>
                <w:sz w:val="22"/>
              </w:rPr>
              <w:t xml:space="preserve"> ml</w:t>
            </w:r>
          </w:p>
        </w:tc>
      </w:tr>
      <w:tr w:rsidR="00DB593F" w:rsidRPr="00B968F8">
        <w:trPr>
          <w:cantSplit/>
        </w:trPr>
        <w:tc>
          <w:tcPr>
            <w:tcW w:w="2430" w:type="dxa"/>
            <w:vMerge/>
            <w:vAlign w:val="center"/>
          </w:tcPr>
          <w:p w:rsidR="00DB593F" w:rsidRPr="00B968F8" w:rsidRDefault="00DB593F" w:rsidP="002C7B28">
            <w:pPr>
              <w:rPr>
                <w:sz w:val="22"/>
              </w:rPr>
            </w:pPr>
          </w:p>
        </w:tc>
        <w:tc>
          <w:tcPr>
            <w:tcW w:w="372" w:type="dxa"/>
            <w:vMerge/>
            <w:vAlign w:val="center"/>
          </w:tcPr>
          <w:p w:rsidR="00DB593F" w:rsidRPr="00B968F8" w:rsidRDefault="00DB593F" w:rsidP="002C7B28">
            <w:pPr>
              <w:rPr>
                <w:sz w:val="22"/>
              </w:rPr>
            </w:pPr>
          </w:p>
        </w:tc>
        <w:tc>
          <w:tcPr>
            <w:tcW w:w="1860" w:type="dxa"/>
            <w:tcBorders>
              <w:top w:val="single" w:sz="12" w:space="0" w:color="auto"/>
              <w:left w:val="nil"/>
              <w:bottom w:val="nil"/>
              <w:right w:val="nil"/>
            </w:tcBorders>
          </w:tcPr>
          <w:p w:rsidR="00DB593F" w:rsidRPr="00B968F8" w:rsidRDefault="00DB593F" w:rsidP="002C7B28">
            <w:pPr>
              <w:keepNext/>
              <w:jc w:val="center"/>
            </w:pPr>
            <w:r w:rsidRPr="00B968F8">
              <w:rPr>
                <w:sz w:val="22"/>
              </w:rPr>
              <w:t>1 mg/ml</w:t>
            </w:r>
          </w:p>
        </w:tc>
        <w:tc>
          <w:tcPr>
            <w:tcW w:w="2448" w:type="dxa"/>
            <w:vMerge/>
            <w:vAlign w:val="center"/>
          </w:tcPr>
          <w:p w:rsidR="00DB593F" w:rsidRPr="00B968F8" w:rsidRDefault="00DB593F" w:rsidP="002C7B28">
            <w:pPr>
              <w:rPr>
                <w:sz w:val="22"/>
              </w:rPr>
            </w:pPr>
          </w:p>
        </w:tc>
      </w:tr>
    </w:tbl>
    <w:p w:rsidR="00DB593F" w:rsidRPr="00B968F8" w:rsidRDefault="00DB593F" w:rsidP="00DB593F">
      <w:pPr>
        <w:pStyle w:val="Web"/>
        <w:keepNext/>
        <w:spacing w:before="0" w:after="0"/>
        <w:ind w:left="720"/>
        <w:rPr>
          <w:sz w:val="22"/>
        </w:rPr>
      </w:pPr>
    </w:p>
    <w:p w:rsidR="00DB593F" w:rsidRPr="00B968F8" w:rsidRDefault="00DB593F" w:rsidP="00DB593F">
      <w:pPr>
        <w:pStyle w:val="Web"/>
        <w:keepNext/>
        <w:spacing w:before="0" w:after="0"/>
        <w:ind w:left="720"/>
        <w:jc w:val="both"/>
        <w:rPr>
          <w:lang w:val="el-GR"/>
        </w:rPr>
      </w:pPr>
      <w:r w:rsidRPr="00B968F8">
        <w:rPr>
          <w:sz w:val="22"/>
          <w:lang w:val="el-GR"/>
        </w:rPr>
        <w:t xml:space="preserve">Η Συγκέντρωση αραιωμένης ενδοφλέβιας χορήγησης του </w:t>
      </w:r>
      <w:r w:rsidRPr="00B968F8">
        <w:rPr>
          <w:sz w:val="22"/>
        </w:rPr>
        <w:t>REMODULIN</w:t>
      </w:r>
      <w:r w:rsidRPr="00B968F8">
        <w:rPr>
          <w:sz w:val="22"/>
          <w:lang w:val="el-GR"/>
        </w:rPr>
        <w:t xml:space="preserve"> για το άτομο του Παραδείγματος 3 θα πρέπει, συνεπώς, να παρασκευαστεί με την προσθήκη 0.9 </w:t>
      </w:r>
      <w:r w:rsidRPr="00B968F8">
        <w:rPr>
          <w:sz w:val="22"/>
        </w:rPr>
        <w:t>ml</w:t>
      </w:r>
      <w:r w:rsidRPr="00B968F8">
        <w:rPr>
          <w:sz w:val="22"/>
          <w:lang w:val="el-GR"/>
        </w:rPr>
        <w:t xml:space="preserve"> του </w:t>
      </w:r>
      <w:r w:rsidRPr="00B968F8">
        <w:rPr>
          <w:sz w:val="22"/>
        </w:rPr>
        <w:t>REMODULIN</w:t>
      </w:r>
      <w:r w:rsidRPr="00B968F8">
        <w:rPr>
          <w:sz w:val="22"/>
          <w:lang w:val="el-GR"/>
        </w:rPr>
        <w:t xml:space="preserve"> 1 </w:t>
      </w:r>
      <w:r w:rsidRPr="00B968F8">
        <w:rPr>
          <w:sz w:val="22"/>
        </w:rPr>
        <w:t>mg</w:t>
      </w:r>
      <w:r w:rsidRPr="00B968F8">
        <w:rPr>
          <w:sz w:val="22"/>
          <w:lang w:val="el-GR"/>
        </w:rPr>
        <w:t>/</w:t>
      </w:r>
      <w:r w:rsidRPr="00B968F8">
        <w:rPr>
          <w:sz w:val="22"/>
        </w:rPr>
        <w:t>ml</w:t>
      </w:r>
      <w:r w:rsidRPr="00B968F8">
        <w:rPr>
          <w:sz w:val="22"/>
          <w:lang w:val="el-GR"/>
        </w:rPr>
        <w:t xml:space="preserve"> σε κατάλληλη δεξαμενή μαζί με επαρκή όγκο αραιωτικού ώστε να επιτευχθεί συνολικός όγκος 50 </w:t>
      </w:r>
      <w:r w:rsidRPr="00B968F8">
        <w:rPr>
          <w:sz w:val="22"/>
        </w:rPr>
        <w:t>ml</w:t>
      </w:r>
      <w:r w:rsidRPr="00B968F8">
        <w:rPr>
          <w:sz w:val="22"/>
          <w:lang w:val="el-GR"/>
        </w:rPr>
        <w:t xml:space="preserve"> στη δεξαμενή.  Για αυτό το παράδειγμα, ο ρυθμός ροής της αντλίας θα πρέπει να ρυθμιστεί σε 1 </w:t>
      </w:r>
      <w:r w:rsidRPr="00B968F8">
        <w:rPr>
          <w:sz w:val="22"/>
        </w:rPr>
        <w:t>ml</w:t>
      </w:r>
      <w:r w:rsidRPr="00B968F8">
        <w:rPr>
          <w:sz w:val="22"/>
          <w:lang w:val="el-GR"/>
        </w:rPr>
        <w:t>/ώρα.</w:t>
      </w:r>
    </w:p>
    <w:p w:rsidR="00DB593F" w:rsidRPr="00B968F8" w:rsidRDefault="00DB593F" w:rsidP="00DB593F">
      <w:pPr>
        <w:pStyle w:val="Web"/>
        <w:spacing w:before="0" w:after="0"/>
        <w:ind w:left="720"/>
        <w:rPr>
          <w:b/>
          <w:sz w:val="22"/>
          <w:u w:val="single"/>
          <w:lang w:val="el-GR"/>
        </w:rPr>
      </w:pPr>
    </w:p>
    <w:p w:rsidR="00DB593F" w:rsidRPr="00B968F8" w:rsidRDefault="00DB593F" w:rsidP="00DB593F">
      <w:pPr>
        <w:pStyle w:val="Web"/>
        <w:spacing w:before="0" w:after="0"/>
        <w:jc w:val="both"/>
        <w:rPr>
          <w:sz w:val="22"/>
          <w:lang w:val="el-GR"/>
        </w:rPr>
      </w:pPr>
      <w:r w:rsidRPr="00B968F8">
        <w:rPr>
          <w:b/>
          <w:sz w:val="22"/>
          <w:u w:val="single"/>
          <w:lang w:val="el-GR"/>
        </w:rPr>
        <w:t>Παράδειγμα 4</w:t>
      </w:r>
      <w:r w:rsidRPr="00B968F8">
        <w:rPr>
          <w:b/>
          <w:sz w:val="22"/>
          <w:lang w:val="el-GR"/>
        </w:rPr>
        <w:t>:</w:t>
      </w:r>
    </w:p>
    <w:p w:rsidR="00DB593F" w:rsidRPr="00B968F8" w:rsidRDefault="00DB593F" w:rsidP="00DB593F">
      <w:pPr>
        <w:pStyle w:val="Web"/>
        <w:spacing w:before="0" w:after="0"/>
        <w:jc w:val="both"/>
        <w:rPr>
          <w:sz w:val="22"/>
          <w:lang w:val="el-GR"/>
        </w:rPr>
      </w:pPr>
      <w:r w:rsidRPr="00B968F8">
        <w:rPr>
          <w:sz w:val="22"/>
          <w:lang w:val="el-GR"/>
        </w:rPr>
        <w:t xml:space="preserve">Για ένα άτομο που ζυγίζει </w:t>
      </w:r>
      <w:smartTag w:uri="urn:schemas-microsoft-com:office:smarttags" w:element="metricconverter">
        <w:smartTagPr>
          <w:attr w:name="ProductID" w:val="75 kg"/>
        </w:smartTagPr>
        <w:r w:rsidRPr="00B968F8">
          <w:rPr>
            <w:sz w:val="22"/>
            <w:lang w:val="el-GR"/>
          </w:rPr>
          <w:t xml:space="preserve">75 </w:t>
        </w:r>
        <w:r w:rsidRPr="00B968F8">
          <w:rPr>
            <w:sz w:val="22"/>
          </w:rPr>
          <w:t>kg</w:t>
        </w:r>
      </w:smartTag>
      <w:r w:rsidRPr="00B968F8">
        <w:rPr>
          <w:sz w:val="22"/>
          <w:lang w:val="el-GR"/>
        </w:rPr>
        <w:t xml:space="preserve"> με δόση 30 </w:t>
      </w:r>
      <w:r w:rsidRPr="00B968F8">
        <w:rPr>
          <w:sz w:val="22"/>
        </w:rPr>
        <w:t>ng</w:t>
      </w:r>
      <w:r w:rsidRPr="00B968F8">
        <w:rPr>
          <w:sz w:val="22"/>
          <w:lang w:val="el-GR"/>
        </w:rPr>
        <w:t>/</w:t>
      </w:r>
      <w:r w:rsidRPr="00B968F8">
        <w:rPr>
          <w:sz w:val="22"/>
        </w:rPr>
        <w:t>kg</w:t>
      </w:r>
      <w:r w:rsidRPr="00B968F8">
        <w:rPr>
          <w:sz w:val="22"/>
          <w:lang w:val="el-GR"/>
        </w:rPr>
        <w:t xml:space="preserve">/λεπτό, με προκαθορισμένο ρυθμό ενδοφλέβιας έγχυσης 2 </w:t>
      </w:r>
      <w:r w:rsidRPr="00B968F8">
        <w:rPr>
          <w:sz w:val="22"/>
        </w:rPr>
        <w:t>ml</w:t>
      </w:r>
      <w:r w:rsidRPr="00B968F8">
        <w:rPr>
          <w:sz w:val="22"/>
          <w:lang w:val="el-GR"/>
        </w:rPr>
        <w:t xml:space="preserve">/ώρα και μια δεξαμενή 100 </w:t>
      </w:r>
      <w:r w:rsidRPr="00B968F8">
        <w:rPr>
          <w:sz w:val="22"/>
        </w:rPr>
        <w:t>ml</w:t>
      </w:r>
      <w:r w:rsidRPr="00B968F8">
        <w:rPr>
          <w:sz w:val="22"/>
          <w:lang w:val="el-GR"/>
        </w:rPr>
        <w:t xml:space="preserve">, η Συγκέντρωση αραιωμένου ενδοφλέβιου διαλύματος του </w:t>
      </w:r>
      <w:r w:rsidRPr="00B968F8">
        <w:rPr>
          <w:sz w:val="22"/>
        </w:rPr>
        <w:t>REMODULIN</w:t>
      </w:r>
      <w:r w:rsidRPr="00B968F8">
        <w:rPr>
          <w:sz w:val="22"/>
          <w:lang w:val="el-GR"/>
        </w:rPr>
        <w:t xml:space="preserve"> θα πρέπει να υπολογιστεί ως εξής:</w:t>
      </w:r>
    </w:p>
    <w:p w:rsidR="00DB593F" w:rsidRPr="00B968F8" w:rsidRDefault="00DB593F" w:rsidP="00DB593F">
      <w:pPr>
        <w:pStyle w:val="Web"/>
        <w:spacing w:before="0" w:after="0"/>
        <w:rPr>
          <w:sz w:val="22"/>
          <w:lang w:val="el-GR"/>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438"/>
        <w:gridCol w:w="2190"/>
        <w:gridCol w:w="438"/>
        <w:gridCol w:w="1095"/>
        <w:gridCol w:w="438"/>
        <w:gridCol w:w="980"/>
        <w:gridCol w:w="1800"/>
      </w:tblGrid>
      <w:tr w:rsidR="00DB593F" w:rsidRPr="00B968F8">
        <w:trPr>
          <w:cantSplit/>
          <w:trHeight w:val="531"/>
          <w:jc w:val="center"/>
        </w:trPr>
        <w:tc>
          <w:tcPr>
            <w:tcW w:w="1861" w:type="dxa"/>
            <w:vMerge w:val="restart"/>
            <w:tcBorders>
              <w:top w:val="nil"/>
              <w:left w:val="nil"/>
              <w:bottom w:val="nil"/>
              <w:right w:val="nil"/>
            </w:tcBorders>
            <w:vAlign w:val="center"/>
          </w:tcPr>
          <w:p w:rsidR="00DB593F" w:rsidRPr="00B968F8" w:rsidRDefault="00DB593F" w:rsidP="002C7B28">
            <w:pPr>
              <w:pStyle w:val="Web"/>
              <w:spacing w:before="0" w:after="0"/>
              <w:jc w:val="center"/>
              <w:rPr>
                <w:b/>
                <w:sz w:val="22"/>
                <w:u w:val="single"/>
                <w:lang w:val="el-GR"/>
              </w:rPr>
            </w:pPr>
            <w:r w:rsidRPr="00B968F8">
              <w:rPr>
                <w:b/>
                <w:sz w:val="22"/>
                <w:u w:val="single"/>
                <w:lang w:val="el-GR"/>
              </w:rPr>
              <w:t>Βήμα 1</w:t>
            </w:r>
          </w:p>
          <w:p w:rsidR="00DB593F" w:rsidRPr="00B968F8" w:rsidRDefault="00DB593F" w:rsidP="002C7B28">
            <w:pPr>
              <w:pStyle w:val="Web"/>
              <w:spacing w:before="0" w:after="0"/>
              <w:jc w:val="center"/>
              <w:rPr>
                <w:lang w:val="el-GR"/>
              </w:rPr>
            </w:pPr>
            <w:r w:rsidRPr="00B968F8">
              <w:rPr>
                <w:b/>
                <w:sz w:val="22"/>
                <w:lang w:val="el-GR"/>
              </w:rPr>
              <w:t xml:space="preserve">Συγκέντρωση αραιωμένης ενδοφλέβιας χορήγησης του </w:t>
            </w:r>
            <w:r w:rsidRPr="00B968F8">
              <w:rPr>
                <w:b/>
                <w:sz w:val="22"/>
              </w:rPr>
              <w:t>REMODULIN</w:t>
            </w:r>
            <w:r w:rsidRPr="00B968F8">
              <w:rPr>
                <w:b/>
                <w:sz w:val="22"/>
                <w:lang w:val="el-GR"/>
              </w:rPr>
              <w:t xml:space="preserve"> </w:t>
            </w:r>
            <w:r w:rsidRPr="00B968F8">
              <w:rPr>
                <w:b/>
                <w:sz w:val="22"/>
                <w:lang w:val="el-GR"/>
              </w:rPr>
              <w:br/>
            </w:r>
            <w:r w:rsidRPr="00B968F8">
              <w:rPr>
                <w:sz w:val="22"/>
                <w:lang w:val="el-GR"/>
              </w:rPr>
              <w:t>(</w:t>
            </w:r>
            <w:r w:rsidRPr="00B968F8">
              <w:rPr>
                <w:sz w:val="22"/>
              </w:rPr>
              <w:t>mg</w:t>
            </w:r>
            <w:r w:rsidRPr="00B968F8">
              <w:rPr>
                <w:sz w:val="22"/>
                <w:lang w:val="el-GR"/>
              </w:rPr>
              <w:t>/</w:t>
            </w:r>
            <w:r w:rsidRPr="00B968F8">
              <w:rPr>
                <w:sz w:val="22"/>
              </w:rPr>
              <w:t>ml</w:t>
            </w:r>
            <w:r w:rsidRPr="00B968F8">
              <w:rPr>
                <w:sz w:val="22"/>
                <w:lang w:val="el-GR"/>
              </w:rPr>
              <w:t>)</w:t>
            </w:r>
          </w:p>
        </w:tc>
        <w:tc>
          <w:tcPr>
            <w:tcW w:w="438" w:type="dxa"/>
            <w:vMerge w:val="restart"/>
            <w:tcBorders>
              <w:top w:val="nil"/>
              <w:left w:val="nil"/>
              <w:bottom w:val="nil"/>
              <w:right w:val="nil"/>
            </w:tcBorders>
            <w:vAlign w:val="center"/>
          </w:tcPr>
          <w:p w:rsidR="00DB593F" w:rsidRPr="00B968F8" w:rsidRDefault="00DB593F" w:rsidP="002C7B28">
            <w:pPr>
              <w:pStyle w:val="Web"/>
              <w:spacing w:before="0" w:after="0"/>
              <w:rPr>
                <w:b/>
                <w:sz w:val="22"/>
              </w:rPr>
            </w:pPr>
            <w:r w:rsidRPr="00B968F8">
              <w:rPr>
                <w:b/>
                <w:sz w:val="22"/>
              </w:rPr>
              <w:t>=</w:t>
            </w:r>
          </w:p>
        </w:tc>
        <w:tc>
          <w:tcPr>
            <w:tcW w:w="2190" w:type="dxa"/>
            <w:tcBorders>
              <w:top w:val="nil"/>
              <w:left w:val="nil"/>
              <w:bottom w:val="single" w:sz="12" w:space="0" w:color="auto"/>
              <w:right w:val="nil"/>
            </w:tcBorders>
            <w:vAlign w:val="bottom"/>
          </w:tcPr>
          <w:p w:rsidR="00DB593F" w:rsidRPr="00B968F8" w:rsidRDefault="00DB593F" w:rsidP="002C7B28">
            <w:pPr>
              <w:pStyle w:val="Web"/>
              <w:spacing w:before="0" w:after="0"/>
              <w:jc w:val="center"/>
            </w:pPr>
            <w:r w:rsidRPr="00B968F8">
              <w:rPr>
                <w:b/>
                <w:sz w:val="22"/>
              </w:rPr>
              <w:t>30 ng/kg</w:t>
            </w:r>
            <w:r w:rsidRPr="00B968F8">
              <w:rPr>
                <w:sz w:val="22"/>
              </w:rPr>
              <w:t>/</w:t>
            </w:r>
            <w:r w:rsidRPr="00B968F8">
              <w:rPr>
                <w:sz w:val="22"/>
                <w:lang w:val="el-GR"/>
              </w:rPr>
              <w:t>λεπτό</w:t>
            </w:r>
          </w:p>
        </w:tc>
        <w:tc>
          <w:tcPr>
            <w:tcW w:w="438" w:type="dxa"/>
            <w:tcBorders>
              <w:top w:val="nil"/>
              <w:left w:val="nil"/>
              <w:bottom w:val="single" w:sz="12" w:space="0" w:color="auto"/>
              <w:right w:val="nil"/>
            </w:tcBorders>
            <w:vAlign w:val="bottom"/>
          </w:tcPr>
          <w:p w:rsidR="00DB593F" w:rsidRPr="00B968F8" w:rsidRDefault="00DB593F" w:rsidP="002C7B28">
            <w:pPr>
              <w:pStyle w:val="Web"/>
              <w:spacing w:before="0" w:after="0"/>
              <w:jc w:val="center"/>
              <w:rPr>
                <w:lang w:val="el-GR"/>
              </w:rPr>
            </w:pPr>
            <w:r w:rsidRPr="00B968F8">
              <w:rPr>
                <w:b/>
                <w:sz w:val="22"/>
                <w:lang w:val="el-GR"/>
              </w:rPr>
              <w:t>x</w:t>
            </w:r>
          </w:p>
        </w:tc>
        <w:tc>
          <w:tcPr>
            <w:tcW w:w="1095" w:type="dxa"/>
            <w:tcBorders>
              <w:top w:val="nil"/>
              <w:left w:val="nil"/>
              <w:bottom w:val="single" w:sz="12" w:space="0" w:color="auto"/>
              <w:right w:val="nil"/>
            </w:tcBorders>
            <w:vAlign w:val="bottom"/>
          </w:tcPr>
          <w:p w:rsidR="00DB593F" w:rsidRPr="00B968F8" w:rsidRDefault="00DB593F" w:rsidP="002C7B28">
            <w:pPr>
              <w:pStyle w:val="Web"/>
              <w:spacing w:before="0" w:after="0"/>
              <w:jc w:val="center"/>
              <w:rPr>
                <w:lang w:val="el-GR"/>
              </w:rPr>
            </w:pPr>
            <w:smartTag w:uri="urn:schemas-microsoft-com:office:smarttags" w:element="metricconverter">
              <w:smartTagPr>
                <w:attr w:name="ProductID" w:val="75 kg"/>
              </w:smartTagPr>
              <w:r w:rsidRPr="00B968F8">
                <w:rPr>
                  <w:sz w:val="22"/>
                  <w:lang w:val="el-GR"/>
                </w:rPr>
                <w:t>75 kg</w:t>
              </w:r>
            </w:smartTag>
          </w:p>
        </w:tc>
        <w:tc>
          <w:tcPr>
            <w:tcW w:w="438" w:type="dxa"/>
            <w:tcBorders>
              <w:top w:val="nil"/>
              <w:left w:val="nil"/>
              <w:bottom w:val="single" w:sz="12" w:space="0" w:color="auto"/>
              <w:right w:val="nil"/>
            </w:tcBorders>
            <w:vAlign w:val="bottom"/>
          </w:tcPr>
          <w:p w:rsidR="00DB593F" w:rsidRPr="00B968F8" w:rsidRDefault="00DB593F" w:rsidP="002C7B28">
            <w:pPr>
              <w:pStyle w:val="Web"/>
              <w:spacing w:before="0" w:after="0"/>
              <w:jc w:val="center"/>
              <w:rPr>
                <w:lang w:val="el-GR"/>
              </w:rPr>
            </w:pPr>
            <w:r w:rsidRPr="00B968F8">
              <w:rPr>
                <w:b/>
                <w:sz w:val="22"/>
                <w:lang w:val="el-GR"/>
              </w:rPr>
              <w:t>x</w:t>
            </w:r>
          </w:p>
        </w:tc>
        <w:tc>
          <w:tcPr>
            <w:tcW w:w="980" w:type="dxa"/>
            <w:tcBorders>
              <w:top w:val="nil"/>
              <w:left w:val="nil"/>
              <w:bottom w:val="single" w:sz="12" w:space="0" w:color="auto"/>
              <w:right w:val="nil"/>
            </w:tcBorders>
            <w:vAlign w:val="bottom"/>
          </w:tcPr>
          <w:p w:rsidR="00DB593F" w:rsidRPr="00B968F8" w:rsidRDefault="00DB593F" w:rsidP="002C7B28">
            <w:pPr>
              <w:pStyle w:val="Web"/>
              <w:widowControl w:val="0"/>
              <w:spacing w:before="0" w:after="0"/>
              <w:jc w:val="center"/>
              <w:rPr>
                <w:b/>
                <w:sz w:val="22"/>
              </w:rPr>
            </w:pPr>
            <w:r w:rsidRPr="00B968F8">
              <w:rPr>
                <w:b/>
                <w:sz w:val="22"/>
              </w:rPr>
              <w:t>0.00006</w:t>
            </w:r>
          </w:p>
        </w:tc>
        <w:tc>
          <w:tcPr>
            <w:tcW w:w="1800" w:type="dxa"/>
            <w:vMerge w:val="restart"/>
            <w:tcBorders>
              <w:top w:val="nil"/>
              <w:left w:val="nil"/>
              <w:bottom w:val="nil"/>
              <w:right w:val="nil"/>
            </w:tcBorders>
            <w:vAlign w:val="center"/>
          </w:tcPr>
          <w:p w:rsidR="00DB593F" w:rsidRPr="00B968F8" w:rsidRDefault="00DB593F" w:rsidP="002C7B28">
            <w:pPr>
              <w:pStyle w:val="Web"/>
              <w:widowControl w:val="0"/>
              <w:spacing w:before="0" w:after="0"/>
              <w:jc w:val="center"/>
              <w:rPr>
                <w:sz w:val="22"/>
              </w:rPr>
            </w:pPr>
            <w:r w:rsidRPr="00B968F8">
              <w:rPr>
                <w:sz w:val="22"/>
              </w:rPr>
              <w:t>=  0,0675 mg/ml</w:t>
            </w:r>
          </w:p>
          <w:p w:rsidR="00DB593F" w:rsidRPr="00B968F8" w:rsidRDefault="00DB593F" w:rsidP="002C7B28">
            <w:pPr>
              <w:pStyle w:val="Web"/>
              <w:widowControl w:val="0"/>
              <w:spacing w:before="0" w:after="0"/>
              <w:jc w:val="center"/>
            </w:pPr>
            <w:r w:rsidRPr="00B968F8">
              <w:rPr>
                <w:sz w:val="22"/>
              </w:rPr>
              <w:t>(67.500 ng/ml)</w:t>
            </w:r>
          </w:p>
        </w:tc>
      </w:tr>
      <w:tr w:rsidR="00DB593F" w:rsidRPr="00B968F8">
        <w:trPr>
          <w:cantSplit/>
          <w:trHeight w:val="471"/>
          <w:jc w:val="center"/>
        </w:trPr>
        <w:tc>
          <w:tcPr>
            <w:tcW w:w="1861" w:type="dxa"/>
            <w:vMerge/>
            <w:tcBorders>
              <w:top w:val="nil"/>
              <w:left w:val="nil"/>
              <w:bottom w:val="nil"/>
              <w:right w:val="nil"/>
            </w:tcBorders>
            <w:vAlign w:val="center"/>
          </w:tcPr>
          <w:p w:rsidR="00DB593F" w:rsidRPr="00B968F8" w:rsidRDefault="00DB593F" w:rsidP="002C7B28">
            <w:pPr>
              <w:rPr>
                <w:sz w:val="22"/>
                <w:lang w:val="en-US"/>
              </w:rPr>
            </w:pPr>
          </w:p>
        </w:tc>
        <w:tc>
          <w:tcPr>
            <w:tcW w:w="438" w:type="dxa"/>
            <w:vMerge/>
            <w:tcBorders>
              <w:top w:val="nil"/>
              <w:left w:val="nil"/>
              <w:bottom w:val="nil"/>
              <w:right w:val="nil"/>
            </w:tcBorders>
            <w:vAlign w:val="center"/>
          </w:tcPr>
          <w:p w:rsidR="00DB593F" w:rsidRPr="00B968F8" w:rsidRDefault="00DB593F" w:rsidP="002C7B28">
            <w:pPr>
              <w:rPr>
                <w:b/>
                <w:sz w:val="22"/>
                <w:lang w:val="en-US"/>
              </w:rPr>
            </w:pPr>
          </w:p>
        </w:tc>
        <w:tc>
          <w:tcPr>
            <w:tcW w:w="5141" w:type="dxa"/>
            <w:gridSpan w:val="5"/>
            <w:tcBorders>
              <w:top w:val="single" w:sz="12" w:space="0" w:color="auto"/>
              <w:left w:val="nil"/>
              <w:bottom w:val="nil"/>
              <w:right w:val="nil"/>
            </w:tcBorders>
          </w:tcPr>
          <w:p w:rsidR="00DB593F" w:rsidRPr="00B968F8" w:rsidRDefault="00DB593F" w:rsidP="002C7B28">
            <w:pPr>
              <w:pStyle w:val="Web"/>
              <w:widowControl w:val="0"/>
              <w:spacing w:before="0" w:after="0"/>
              <w:jc w:val="center"/>
              <w:rPr>
                <w:lang w:val="el-GR"/>
              </w:rPr>
            </w:pPr>
            <w:r w:rsidRPr="00B968F8">
              <w:rPr>
                <w:b/>
                <w:sz w:val="22"/>
                <w:lang w:val="el-GR"/>
              </w:rPr>
              <w:t>2 ml</w:t>
            </w:r>
            <w:r w:rsidRPr="00B968F8">
              <w:rPr>
                <w:sz w:val="22"/>
                <w:lang w:val="el-GR"/>
              </w:rPr>
              <w:t>/ώρα</w:t>
            </w:r>
          </w:p>
        </w:tc>
        <w:tc>
          <w:tcPr>
            <w:tcW w:w="1800" w:type="dxa"/>
            <w:vMerge/>
            <w:tcBorders>
              <w:top w:val="nil"/>
              <w:left w:val="nil"/>
              <w:bottom w:val="nil"/>
              <w:right w:val="nil"/>
            </w:tcBorders>
            <w:vAlign w:val="center"/>
          </w:tcPr>
          <w:p w:rsidR="00DB593F" w:rsidRPr="00B968F8" w:rsidRDefault="00DB593F" w:rsidP="002C7B28">
            <w:pPr>
              <w:rPr>
                <w:b/>
                <w:sz w:val="22"/>
                <w:lang w:val="en-US"/>
              </w:rPr>
            </w:pPr>
          </w:p>
        </w:tc>
      </w:tr>
    </w:tbl>
    <w:p w:rsidR="00DB593F" w:rsidRPr="00B968F8" w:rsidRDefault="00DB593F" w:rsidP="00DB593F">
      <w:pPr>
        <w:ind w:left="720"/>
        <w:rPr>
          <w:sz w:val="22"/>
        </w:rPr>
      </w:pPr>
    </w:p>
    <w:p w:rsidR="00DB593F" w:rsidRPr="00B968F8" w:rsidRDefault="00DB593F" w:rsidP="00DB593F">
      <w:pPr>
        <w:ind w:left="720"/>
        <w:jc w:val="both"/>
        <w:rPr>
          <w:sz w:val="22"/>
          <w:lang w:val="el-GR"/>
        </w:rPr>
      </w:pPr>
      <w:r w:rsidRPr="00B968F8">
        <w:rPr>
          <w:sz w:val="22"/>
          <w:lang w:val="el-GR"/>
        </w:rPr>
        <w:t xml:space="preserve">Ο Όγκος του </w:t>
      </w:r>
      <w:r w:rsidRPr="00B968F8">
        <w:rPr>
          <w:sz w:val="22"/>
        </w:rPr>
        <w:t>REMODULIN</w:t>
      </w:r>
      <w:r w:rsidRPr="00B968F8">
        <w:rPr>
          <w:sz w:val="22"/>
          <w:lang w:val="el-GR"/>
        </w:rPr>
        <w:t xml:space="preserve"> (χρησιμοποιώντας Περιεκτικότητα φιαλιδίου 2.5</w:t>
      </w:r>
      <w:r w:rsidR="00B968F8">
        <w:rPr>
          <w:sz w:val="22"/>
          <w:lang w:val="en-GB"/>
        </w:rPr>
        <w:t> </w:t>
      </w:r>
      <w:r w:rsidRPr="00B968F8">
        <w:rPr>
          <w:sz w:val="22"/>
        </w:rPr>
        <w:t>mg</w:t>
      </w:r>
      <w:r w:rsidRPr="00B968F8">
        <w:rPr>
          <w:sz w:val="22"/>
          <w:lang w:val="el-GR"/>
        </w:rPr>
        <w:t>/</w:t>
      </w:r>
      <w:r w:rsidRPr="00B968F8">
        <w:rPr>
          <w:sz w:val="22"/>
        </w:rPr>
        <w:t>ml</w:t>
      </w:r>
      <w:r w:rsidRPr="00B968F8">
        <w:rPr>
          <w:sz w:val="22"/>
          <w:lang w:val="el-GR"/>
        </w:rPr>
        <w:t xml:space="preserve">) που απαιτείται για συνολική Συγκέντρωση αραιωμένου </w:t>
      </w:r>
      <w:r w:rsidRPr="00B968F8">
        <w:rPr>
          <w:sz w:val="22"/>
        </w:rPr>
        <w:t>REMODULIN</w:t>
      </w:r>
      <w:r w:rsidRPr="00B968F8">
        <w:rPr>
          <w:sz w:val="22"/>
          <w:lang w:val="el-GR"/>
        </w:rPr>
        <w:t xml:space="preserve"> 0.0675 </w:t>
      </w:r>
      <w:r w:rsidRPr="00B968F8">
        <w:rPr>
          <w:sz w:val="22"/>
        </w:rPr>
        <w:t>mg</w:t>
      </w:r>
      <w:r w:rsidRPr="00B968F8">
        <w:rPr>
          <w:sz w:val="22"/>
          <w:lang w:val="el-GR"/>
        </w:rPr>
        <w:t>/</w:t>
      </w:r>
      <w:r w:rsidRPr="00B968F8">
        <w:rPr>
          <w:sz w:val="22"/>
        </w:rPr>
        <w:t>ml</w:t>
      </w:r>
      <w:r w:rsidRPr="00B968F8">
        <w:rPr>
          <w:sz w:val="22"/>
          <w:lang w:val="el-GR"/>
        </w:rPr>
        <w:t xml:space="preserve"> και συνολικό όγκο 100 </w:t>
      </w:r>
      <w:r w:rsidRPr="00B968F8">
        <w:rPr>
          <w:sz w:val="22"/>
        </w:rPr>
        <w:t>ml</w:t>
      </w:r>
      <w:r w:rsidRPr="00B968F8">
        <w:rPr>
          <w:sz w:val="22"/>
          <w:lang w:val="el-GR"/>
        </w:rPr>
        <w:t xml:space="preserve"> θα πρέπει να υπολογιστεί ως εξής:</w:t>
      </w:r>
    </w:p>
    <w:p w:rsidR="00DB593F" w:rsidRPr="00B968F8" w:rsidRDefault="00DB593F" w:rsidP="00DB593F">
      <w:pPr>
        <w:ind w:left="720"/>
        <w:rPr>
          <w:sz w:val="22"/>
          <w:lang w:val="el-GR"/>
        </w:rPr>
      </w:pPr>
    </w:p>
    <w:tbl>
      <w:tblPr>
        <w:tblW w:w="0" w:type="auto"/>
        <w:jc w:val="center"/>
        <w:tblInd w:w="918" w:type="dxa"/>
        <w:tblLayout w:type="fixed"/>
        <w:tblLook w:val="01E0"/>
      </w:tblPr>
      <w:tblGrid>
        <w:gridCol w:w="2430"/>
        <w:gridCol w:w="372"/>
        <w:gridCol w:w="1860"/>
        <w:gridCol w:w="2448"/>
      </w:tblGrid>
      <w:tr w:rsidR="00DB593F" w:rsidRPr="00B968F8">
        <w:trPr>
          <w:cantSplit/>
          <w:trHeight w:val="503"/>
          <w:jc w:val="center"/>
        </w:trPr>
        <w:tc>
          <w:tcPr>
            <w:tcW w:w="2430" w:type="dxa"/>
            <w:vMerge w:val="restart"/>
            <w:vAlign w:val="center"/>
          </w:tcPr>
          <w:p w:rsidR="00DB593F" w:rsidRPr="00B968F8" w:rsidRDefault="00DB593F" w:rsidP="002C7B28">
            <w:pPr>
              <w:jc w:val="center"/>
              <w:rPr>
                <w:b/>
                <w:sz w:val="22"/>
                <w:u w:val="single"/>
                <w:lang w:val="el-GR"/>
              </w:rPr>
            </w:pPr>
            <w:r w:rsidRPr="00B968F8">
              <w:rPr>
                <w:b/>
                <w:sz w:val="22"/>
                <w:u w:val="single"/>
                <w:lang w:val="el-GR"/>
              </w:rPr>
              <w:t>Βήμα 2</w:t>
            </w:r>
          </w:p>
          <w:p w:rsidR="00DB593F" w:rsidRPr="00B968F8" w:rsidRDefault="00DB593F" w:rsidP="002C7B28">
            <w:pPr>
              <w:jc w:val="center"/>
              <w:rPr>
                <w:lang w:val="el-GR"/>
              </w:rPr>
            </w:pPr>
            <w:r w:rsidRPr="00B968F8">
              <w:rPr>
                <w:b/>
                <w:sz w:val="22"/>
                <w:lang w:val="el-GR"/>
              </w:rPr>
              <w:t xml:space="preserve">Ποσότητα του </w:t>
            </w:r>
            <w:r w:rsidRPr="00B968F8">
              <w:rPr>
                <w:b/>
                <w:sz w:val="22"/>
                <w:lang w:val="en-GB"/>
              </w:rPr>
              <w:t>REMODULIN</w:t>
            </w:r>
            <w:r w:rsidRPr="00B968F8">
              <w:rPr>
                <w:b/>
                <w:sz w:val="22"/>
                <w:lang w:val="el-GR"/>
              </w:rPr>
              <w:t xml:space="preserve"> </w:t>
            </w:r>
            <w:r w:rsidRPr="00B968F8">
              <w:rPr>
                <w:b/>
                <w:sz w:val="22"/>
                <w:lang w:val="el-GR"/>
              </w:rPr>
              <w:br/>
            </w:r>
            <w:r w:rsidRPr="00B968F8">
              <w:rPr>
                <w:sz w:val="22"/>
                <w:lang w:val="el-GR"/>
              </w:rPr>
              <w:t>(</w:t>
            </w:r>
            <w:r w:rsidRPr="00B968F8">
              <w:rPr>
                <w:sz w:val="22"/>
                <w:lang w:val="en-GB"/>
              </w:rPr>
              <w:t>ml</w:t>
            </w:r>
            <w:r w:rsidRPr="00B968F8">
              <w:rPr>
                <w:sz w:val="22"/>
                <w:lang w:val="el-GR"/>
              </w:rPr>
              <w:t>)</w:t>
            </w:r>
          </w:p>
        </w:tc>
        <w:tc>
          <w:tcPr>
            <w:tcW w:w="372" w:type="dxa"/>
            <w:vMerge w:val="restart"/>
            <w:vAlign w:val="center"/>
          </w:tcPr>
          <w:p w:rsidR="00DB593F" w:rsidRPr="00B968F8" w:rsidRDefault="00DB593F" w:rsidP="002C7B28">
            <w:pPr>
              <w:rPr>
                <w:sz w:val="22"/>
              </w:rPr>
            </w:pPr>
            <w:r w:rsidRPr="00B968F8">
              <w:rPr>
                <w:sz w:val="22"/>
              </w:rPr>
              <w:t>=</w:t>
            </w:r>
          </w:p>
        </w:tc>
        <w:tc>
          <w:tcPr>
            <w:tcW w:w="1860" w:type="dxa"/>
            <w:tcBorders>
              <w:top w:val="nil"/>
              <w:left w:val="nil"/>
              <w:bottom w:val="single" w:sz="12" w:space="0" w:color="auto"/>
              <w:right w:val="nil"/>
            </w:tcBorders>
            <w:vAlign w:val="bottom"/>
          </w:tcPr>
          <w:p w:rsidR="00DB593F" w:rsidRPr="00B968F8" w:rsidRDefault="00DB593F" w:rsidP="002C7B28">
            <w:pPr>
              <w:jc w:val="center"/>
            </w:pPr>
            <w:r w:rsidRPr="00B968F8">
              <w:rPr>
                <w:sz w:val="22"/>
              </w:rPr>
              <w:t>0.0675 mg/ml</w:t>
            </w:r>
          </w:p>
        </w:tc>
        <w:tc>
          <w:tcPr>
            <w:tcW w:w="2448" w:type="dxa"/>
            <w:vMerge w:val="restart"/>
            <w:vAlign w:val="center"/>
          </w:tcPr>
          <w:p w:rsidR="00DB593F" w:rsidRPr="00B968F8" w:rsidRDefault="00DB593F" w:rsidP="002C7B28">
            <w:r w:rsidRPr="00B968F8">
              <w:rPr>
                <w:sz w:val="22"/>
              </w:rPr>
              <w:t xml:space="preserve">x  </w:t>
            </w:r>
            <w:r w:rsidRPr="00B968F8">
              <w:rPr>
                <w:b/>
                <w:sz w:val="22"/>
              </w:rPr>
              <w:t>100 ml</w:t>
            </w:r>
            <w:r w:rsidRPr="00B968F8">
              <w:rPr>
                <w:sz w:val="22"/>
              </w:rPr>
              <w:t xml:space="preserve">  =  </w:t>
            </w:r>
            <w:r w:rsidRPr="00B968F8">
              <w:rPr>
                <w:b/>
                <w:sz w:val="22"/>
              </w:rPr>
              <w:t>2,7 ml</w:t>
            </w:r>
          </w:p>
        </w:tc>
      </w:tr>
      <w:tr w:rsidR="00DB593F" w:rsidRPr="00B968F8">
        <w:trPr>
          <w:cantSplit/>
          <w:jc w:val="center"/>
        </w:trPr>
        <w:tc>
          <w:tcPr>
            <w:tcW w:w="2430" w:type="dxa"/>
            <w:vMerge/>
            <w:vAlign w:val="center"/>
          </w:tcPr>
          <w:p w:rsidR="00DB593F" w:rsidRPr="00B968F8" w:rsidRDefault="00DB593F" w:rsidP="002C7B28"/>
        </w:tc>
        <w:tc>
          <w:tcPr>
            <w:tcW w:w="372" w:type="dxa"/>
            <w:vMerge/>
            <w:vAlign w:val="center"/>
          </w:tcPr>
          <w:p w:rsidR="00DB593F" w:rsidRPr="00B968F8" w:rsidRDefault="00DB593F" w:rsidP="002C7B28"/>
        </w:tc>
        <w:tc>
          <w:tcPr>
            <w:tcW w:w="1860" w:type="dxa"/>
            <w:tcBorders>
              <w:top w:val="single" w:sz="12" w:space="0" w:color="auto"/>
              <w:left w:val="nil"/>
              <w:bottom w:val="nil"/>
              <w:right w:val="nil"/>
            </w:tcBorders>
          </w:tcPr>
          <w:p w:rsidR="00DB593F" w:rsidRPr="00B968F8" w:rsidRDefault="00DB593F" w:rsidP="002C7B28">
            <w:pPr>
              <w:jc w:val="center"/>
            </w:pPr>
            <w:r w:rsidRPr="00B968F8">
              <w:t>2,5 mg/ml</w:t>
            </w:r>
          </w:p>
        </w:tc>
        <w:tc>
          <w:tcPr>
            <w:tcW w:w="2448" w:type="dxa"/>
            <w:vMerge/>
            <w:vAlign w:val="center"/>
          </w:tcPr>
          <w:p w:rsidR="00DB593F" w:rsidRPr="00B968F8" w:rsidRDefault="00DB593F" w:rsidP="002C7B28"/>
        </w:tc>
      </w:tr>
    </w:tbl>
    <w:p w:rsidR="00DB593F" w:rsidRPr="00B968F8" w:rsidRDefault="00DB593F" w:rsidP="00DB593F">
      <w:pPr>
        <w:ind w:left="720"/>
      </w:pPr>
    </w:p>
    <w:p w:rsidR="00DB593F" w:rsidRPr="00B968F8" w:rsidRDefault="00DB593F" w:rsidP="00DB593F">
      <w:pPr>
        <w:jc w:val="both"/>
        <w:rPr>
          <w:lang w:val="el-GR"/>
        </w:rPr>
      </w:pPr>
      <w:r w:rsidRPr="00B968F8">
        <w:rPr>
          <w:sz w:val="22"/>
          <w:lang w:val="el-GR"/>
        </w:rPr>
        <w:t xml:space="preserve">Η Συγκέντρωση αραιωμένης ενδοφλέβιας χορήγησης του </w:t>
      </w:r>
      <w:r w:rsidRPr="00B968F8">
        <w:rPr>
          <w:sz w:val="22"/>
        </w:rPr>
        <w:t>REMODULIN</w:t>
      </w:r>
      <w:r w:rsidRPr="00B968F8">
        <w:rPr>
          <w:sz w:val="22"/>
          <w:lang w:val="el-GR"/>
        </w:rPr>
        <w:t xml:space="preserve"> για το άτομο του Παραδείγματος 4 θα πρέπει, συνεπώς, να παρασκευαστεί με την προσθήκη 2.7 </w:t>
      </w:r>
      <w:r w:rsidRPr="00B968F8">
        <w:rPr>
          <w:sz w:val="22"/>
        </w:rPr>
        <w:t>ml</w:t>
      </w:r>
      <w:r w:rsidRPr="00B968F8">
        <w:rPr>
          <w:sz w:val="22"/>
          <w:lang w:val="el-GR"/>
        </w:rPr>
        <w:t xml:space="preserve"> του </w:t>
      </w:r>
      <w:r w:rsidRPr="00B968F8">
        <w:rPr>
          <w:sz w:val="22"/>
        </w:rPr>
        <w:t>REMODULIN</w:t>
      </w:r>
      <w:r w:rsidRPr="00B968F8">
        <w:rPr>
          <w:sz w:val="22"/>
          <w:lang w:val="el-GR"/>
        </w:rPr>
        <w:t xml:space="preserve"> 2.5 </w:t>
      </w:r>
      <w:r w:rsidRPr="00B968F8">
        <w:rPr>
          <w:sz w:val="22"/>
        </w:rPr>
        <w:t>mg</w:t>
      </w:r>
      <w:r w:rsidRPr="00B968F8">
        <w:rPr>
          <w:sz w:val="22"/>
          <w:lang w:val="el-GR"/>
        </w:rPr>
        <w:t>/</w:t>
      </w:r>
      <w:r w:rsidRPr="00B968F8">
        <w:rPr>
          <w:sz w:val="22"/>
        </w:rPr>
        <w:t>ml</w:t>
      </w:r>
      <w:r w:rsidRPr="00B968F8">
        <w:rPr>
          <w:sz w:val="22"/>
          <w:lang w:val="el-GR"/>
        </w:rPr>
        <w:t xml:space="preserve"> σε κατάλληλη δεξαμενή μαζί με επαρκή όγκο αραιωτικού ώστε να επιτευχθεί συνολικός όγκος 100 </w:t>
      </w:r>
      <w:r w:rsidRPr="00B968F8">
        <w:rPr>
          <w:sz w:val="22"/>
        </w:rPr>
        <w:t>ml</w:t>
      </w:r>
      <w:r w:rsidRPr="00B968F8">
        <w:rPr>
          <w:sz w:val="22"/>
          <w:lang w:val="el-GR"/>
        </w:rPr>
        <w:t xml:space="preserve"> στη δεξαμενή.  Για αυτό το παράδειγμα, ο ρυθμός ροής της αντλίας θα πρέπει να ρυθμιστεί σε 2 </w:t>
      </w:r>
      <w:r w:rsidRPr="00B968F8">
        <w:rPr>
          <w:sz w:val="22"/>
        </w:rPr>
        <w:t>ml</w:t>
      </w:r>
      <w:r w:rsidRPr="00B968F8">
        <w:rPr>
          <w:sz w:val="22"/>
          <w:lang w:val="el-GR"/>
        </w:rPr>
        <w:t>/ώρα.</w:t>
      </w:r>
    </w:p>
    <w:p w:rsidR="00DB593F" w:rsidRPr="00B968F8" w:rsidRDefault="00DB593F" w:rsidP="00DB593F">
      <w:pPr>
        <w:ind w:left="720"/>
        <w:jc w:val="both"/>
        <w:rPr>
          <w:sz w:val="22"/>
          <w:lang w:val="el-GR"/>
        </w:rPr>
      </w:pPr>
    </w:p>
    <w:p w:rsidR="00B154F1" w:rsidRDefault="00B154F1" w:rsidP="00B968F8">
      <w:pPr>
        <w:pageBreakBefore/>
        <w:jc w:val="both"/>
        <w:rPr>
          <w:sz w:val="22"/>
          <w:lang w:val="en-GB"/>
        </w:rPr>
      </w:pPr>
      <w:r w:rsidRPr="00B968F8">
        <w:rPr>
          <w:sz w:val="22"/>
          <w:lang w:val="el-GR"/>
        </w:rPr>
        <w:lastRenderedPageBreak/>
        <w:t xml:space="preserve">Στον Πίνακα 2 παρέχονται οδηγίες για το </w:t>
      </w:r>
      <w:r w:rsidRPr="00B968F8">
        <w:rPr>
          <w:sz w:val="22"/>
        </w:rPr>
        <w:t>REMODULIN</w:t>
      </w:r>
      <w:r w:rsidRPr="00B968F8">
        <w:rPr>
          <w:sz w:val="22"/>
          <w:lang w:val="el-GR"/>
        </w:rPr>
        <w:t xml:space="preserve"> 10 </w:t>
      </w:r>
      <w:r w:rsidRPr="00B968F8">
        <w:rPr>
          <w:sz w:val="22"/>
        </w:rPr>
        <w:t>mg</w:t>
      </w:r>
      <w:r w:rsidRPr="00B968F8">
        <w:rPr>
          <w:sz w:val="22"/>
          <w:lang w:val="el-GR"/>
        </w:rPr>
        <w:t xml:space="preserve"> για τον όγκο (</w:t>
      </w:r>
      <w:r w:rsidRPr="00B968F8">
        <w:rPr>
          <w:sz w:val="22"/>
        </w:rPr>
        <w:t>mL</w:t>
      </w:r>
      <w:r w:rsidRPr="00B968F8">
        <w:rPr>
          <w:sz w:val="22"/>
          <w:lang w:val="el-GR"/>
        </w:rPr>
        <w:t xml:space="preserve">) του </w:t>
      </w:r>
      <w:r w:rsidRPr="00B968F8">
        <w:rPr>
          <w:sz w:val="22"/>
        </w:rPr>
        <w:t>REMODULIN</w:t>
      </w:r>
      <w:r w:rsidRPr="00B968F8">
        <w:rPr>
          <w:sz w:val="22"/>
          <w:lang w:val="el-GR"/>
        </w:rPr>
        <w:t xml:space="preserve"> που πρέπει να αραιωθεί σε δεξαμενές 20 </w:t>
      </w:r>
      <w:r w:rsidRPr="00B968F8">
        <w:rPr>
          <w:sz w:val="22"/>
        </w:rPr>
        <w:t>mL</w:t>
      </w:r>
      <w:r w:rsidRPr="00B968F8">
        <w:rPr>
          <w:sz w:val="22"/>
          <w:lang w:val="el-GR"/>
        </w:rPr>
        <w:t xml:space="preserve">, 50 </w:t>
      </w:r>
      <w:r w:rsidRPr="00B968F8">
        <w:rPr>
          <w:sz w:val="22"/>
        </w:rPr>
        <w:t>mL</w:t>
      </w:r>
      <w:r w:rsidRPr="00B968F8">
        <w:rPr>
          <w:sz w:val="22"/>
          <w:lang w:val="el-GR"/>
        </w:rPr>
        <w:t xml:space="preserve"> ή 100 </w:t>
      </w:r>
      <w:r w:rsidRPr="00B968F8">
        <w:rPr>
          <w:sz w:val="22"/>
        </w:rPr>
        <w:t>mL</w:t>
      </w:r>
      <w:r w:rsidRPr="00B968F8">
        <w:rPr>
          <w:sz w:val="22"/>
          <w:lang w:val="el-GR"/>
        </w:rPr>
        <w:t xml:space="preserve"> (ρυθμοί έγχυσης 0,4, 1 ή 2 </w:t>
      </w:r>
      <w:r w:rsidRPr="00B968F8">
        <w:rPr>
          <w:sz w:val="22"/>
        </w:rPr>
        <w:t>mL</w:t>
      </w:r>
      <w:r w:rsidRPr="00B968F8">
        <w:rPr>
          <w:sz w:val="22"/>
          <w:lang w:val="el-GR"/>
        </w:rPr>
        <w:t xml:space="preserve">/ώρα, αντίστοιχα) για ασθενείς με διαφορετικό βάρος σώματος που αντιστοιχεί σε δόσεις μέχρι 100 </w:t>
      </w:r>
      <w:r w:rsidRPr="00B968F8">
        <w:rPr>
          <w:sz w:val="22"/>
        </w:rPr>
        <w:t>ng</w:t>
      </w:r>
      <w:r w:rsidRPr="00B968F8">
        <w:rPr>
          <w:sz w:val="22"/>
          <w:lang w:val="el-GR"/>
        </w:rPr>
        <w:t>/</w:t>
      </w:r>
      <w:r w:rsidRPr="00B968F8">
        <w:rPr>
          <w:sz w:val="22"/>
        </w:rPr>
        <w:t>kg</w:t>
      </w:r>
      <w:r w:rsidRPr="00B968F8">
        <w:rPr>
          <w:sz w:val="22"/>
          <w:lang w:val="el-GR"/>
        </w:rPr>
        <w:t>/λεπτό.</w:t>
      </w:r>
    </w:p>
    <w:p w:rsidR="00B968F8" w:rsidRPr="00B968F8" w:rsidRDefault="00B968F8" w:rsidP="00B968F8">
      <w:pPr>
        <w:jc w:val="both"/>
        <w:rPr>
          <w:sz w:val="22"/>
          <w:lang w:val="en-GB"/>
        </w:rPr>
      </w:pPr>
    </w:p>
    <w:p w:rsidR="00DB593F" w:rsidRPr="00B968F8" w:rsidRDefault="00DB593F" w:rsidP="00DB593F">
      <w:pPr>
        <w:jc w:val="both"/>
        <w:rPr>
          <w:b/>
        </w:rPr>
      </w:pPr>
      <w:r w:rsidRPr="00B968F8">
        <w:rPr>
          <w:b/>
        </w:rPr>
        <w:t>Πίνακας 2</w:t>
      </w:r>
    </w:p>
    <w:p w:rsidR="00DB593F" w:rsidRPr="00B968F8" w:rsidRDefault="00DB593F" w:rsidP="00DB593F">
      <w:pPr>
        <w:jc w:val="both"/>
        <w:rPr>
          <w:b/>
        </w:rPr>
      </w:pPr>
    </w:p>
    <w:tbl>
      <w:tblPr>
        <w:tblW w:w="9855" w:type="dxa"/>
        <w:tblInd w:w="93" w:type="dxa"/>
        <w:tblBorders>
          <w:left w:val="single" w:sz="8" w:space="0" w:color="auto"/>
          <w:bottom w:val="single" w:sz="8" w:space="0" w:color="auto"/>
          <w:right w:val="single" w:sz="8" w:space="0" w:color="auto"/>
        </w:tblBorders>
        <w:tblLayout w:type="fixed"/>
        <w:tblLook w:val="0000"/>
      </w:tblPr>
      <w:tblGrid>
        <w:gridCol w:w="717"/>
        <w:gridCol w:w="570"/>
        <w:gridCol w:w="570"/>
        <w:gridCol w:w="570"/>
        <w:gridCol w:w="571"/>
        <w:gridCol w:w="571"/>
        <w:gridCol w:w="571"/>
        <w:gridCol w:w="571"/>
        <w:gridCol w:w="571"/>
        <w:gridCol w:w="571"/>
        <w:gridCol w:w="571"/>
        <w:gridCol w:w="571"/>
        <w:gridCol w:w="571"/>
        <w:gridCol w:w="571"/>
        <w:gridCol w:w="571"/>
        <w:gridCol w:w="571"/>
        <w:gridCol w:w="576"/>
      </w:tblGrid>
      <w:tr w:rsidR="00DB593F" w:rsidRPr="00B968F8">
        <w:trPr>
          <w:trHeight w:val="270"/>
        </w:trPr>
        <w:tc>
          <w:tcPr>
            <w:tcW w:w="9855" w:type="dxa"/>
            <w:gridSpan w:val="17"/>
            <w:tcBorders>
              <w:top w:val="single" w:sz="8" w:space="0" w:color="auto"/>
              <w:bottom w:val="single" w:sz="8" w:space="0" w:color="auto"/>
            </w:tcBorders>
            <w:noWrap/>
            <w:vAlign w:val="center"/>
          </w:tcPr>
          <w:p w:rsidR="00DB593F" w:rsidRPr="00B968F8" w:rsidRDefault="00DB593F" w:rsidP="002C7B28">
            <w:pPr>
              <w:keepNext/>
              <w:keepLines/>
              <w:jc w:val="center"/>
              <w:rPr>
                <w:b/>
                <w:sz w:val="20"/>
                <w:lang w:val="el-GR"/>
              </w:rPr>
            </w:pPr>
            <w:r w:rsidRPr="00B968F8">
              <w:rPr>
                <w:b/>
                <w:sz w:val="20"/>
                <w:lang w:val="el-GR"/>
              </w:rPr>
              <w:t>Όγκος (</w:t>
            </w:r>
            <w:r w:rsidRPr="00B968F8">
              <w:rPr>
                <w:b/>
                <w:sz w:val="20"/>
              </w:rPr>
              <w:t>mL</w:t>
            </w:r>
            <w:r w:rsidRPr="00B968F8">
              <w:rPr>
                <w:b/>
                <w:sz w:val="20"/>
                <w:lang w:val="el-GR"/>
              </w:rPr>
              <w:t xml:space="preserve">) του </w:t>
            </w:r>
            <w:r w:rsidRPr="00B968F8">
              <w:rPr>
                <w:b/>
                <w:sz w:val="20"/>
              </w:rPr>
              <w:t>REMODULIN</w:t>
            </w:r>
            <w:r w:rsidRPr="00B968F8">
              <w:rPr>
                <w:b/>
                <w:sz w:val="20"/>
                <w:lang w:val="el-GR"/>
              </w:rPr>
              <w:t xml:space="preserve"> 10 </w:t>
            </w:r>
            <w:r w:rsidRPr="00B968F8">
              <w:rPr>
                <w:b/>
                <w:sz w:val="20"/>
              </w:rPr>
              <w:t>mg</w:t>
            </w:r>
            <w:r w:rsidRPr="00B968F8">
              <w:rPr>
                <w:b/>
                <w:sz w:val="20"/>
                <w:lang w:val="el-GR"/>
              </w:rPr>
              <w:t>/</w:t>
            </w:r>
            <w:r w:rsidRPr="00B968F8">
              <w:rPr>
                <w:b/>
                <w:sz w:val="20"/>
              </w:rPr>
              <w:t>ml</w:t>
            </w:r>
            <w:r w:rsidRPr="00B968F8">
              <w:rPr>
                <w:b/>
                <w:sz w:val="20"/>
                <w:lang w:val="el-GR"/>
              </w:rPr>
              <w:t>/</w:t>
            </w:r>
            <w:r w:rsidRPr="00B968F8">
              <w:rPr>
                <w:b/>
                <w:sz w:val="20"/>
              </w:rPr>
              <w:t>mL</w:t>
            </w:r>
            <w:r w:rsidRPr="00B968F8">
              <w:rPr>
                <w:b/>
                <w:sz w:val="20"/>
                <w:lang w:val="el-GR"/>
              </w:rPr>
              <w:t xml:space="preserve"> που θα αραιωθεί σε κασέτες ή σύριγγες</w:t>
            </w:r>
          </w:p>
          <w:p w:rsidR="00DB593F" w:rsidRPr="00B968F8" w:rsidRDefault="00DB593F" w:rsidP="002C7B28">
            <w:pPr>
              <w:keepNext/>
              <w:keepLines/>
              <w:spacing w:line="160" w:lineRule="atLeast"/>
              <w:jc w:val="center"/>
              <w:rPr>
                <w:lang w:val="el-GR"/>
              </w:rPr>
            </w:pPr>
            <w:r w:rsidRPr="00B968F8">
              <w:rPr>
                <w:b/>
                <w:sz w:val="20"/>
                <w:lang w:val="el-GR"/>
              </w:rPr>
              <w:t xml:space="preserve">20 </w:t>
            </w:r>
            <w:r w:rsidRPr="00B968F8">
              <w:rPr>
                <w:b/>
                <w:sz w:val="20"/>
              </w:rPr>
              <w:t>ml</w:t>
            </w:r>
            <w:r w:rsidRPr="00B968F8">
              <w:rPr>
                <w:b/>
                <w:sz w:val="20"/>
                <w:lang w:val="el-GR"/>
              </w:rPr>
              <w:t xml:space="preserve"> (ρυθμός έγχυσης 0,4 </w:t>
            </w:r>
            <w:r w:rsidRPr="00B968F8">
              <w:rPr>
                <w:b/>
                <w:sz w:val="20"/>
              </w:rPr>
              <w:t>ml</w:t>
            </w:r>
            <w:r w:rsidRPr="00B968F8">
              <w:rPr>
                <w:b/>
                <w:sz w:val="20"/>
                <w:lang w:val="el-GR"/>
              </w:rPr>
              <w:t xml:space="preserve">/ώρα), 50 </w:t>
            </w:r>
            <w:r w:rsidRPr="00B968F8">
              <w:rPr>
                <w:b/>
                <w:sz w:val="20"/>
              </w:rPr>
              <w:t>ml</w:t>
            </w:r>
            <w:r w:rsidRPr="00B968F8">
              <w:rPr>
                <w:b/>
                <w:sz w:val="20"/>
                <w:lang w:val="el-GR"/>
              </w:rPr>
              <w:t xml:space="preserve"> (ρυθμός έγχυσης 1 </w:t>
            </w:r>
            <w:r w:rsidRPr="00B968F8">
              <w:rPr>
                <w:b/>
                <w:sz w:val="20"/>
              </w:rPr>
              <w:t>ml</w:t>
            </w:r>
            <w:r w:rsidRPr="00B968F8">
              <w:rPr>
                <w:b/>
                <w:sz w:val="20"/>
                <w:lang w:val="el-GR"/>
              </w:rPr>
              <w:t xml:space="preserve">/ώρα), κασέτα 100 </w:t>
            </w:r>
            <w:r w:rsidRPr="00B968F8">
              <w:rPr>
                <w:b/>
                <w:sz w:val="20"/>
              </w:rPr>
              <w:t>ml</w:t>
            </w:r>
            <w:r w:rsidRPr="00B968F8">
              <w:rPr>
                <w:b/>
                <w:sz w:val="20"/>
                <w:lang w:val="el-GR"/>
              </w:rPr>
              <w:t xml:space="preserve"> (ρυθμός έγχυσης 2 </w:t>
            </w:r>
            <w:r w:rsidRPr="00B968F8">
              <w:rPr>
                <w:b/>
                <w:sz w:val="20"/>
              </w:rPr>
              <w:t>ml</w:t>
            </w:r>
            <w:r w:rsidRPr="00B968F8">
              <w:rPr>
                <w:b/>
                <w:sz w:val="20"/>
                <w:lang w:val="el-GR"/>
              </w:rPr>
              <w:t>/ώρα)</w:t>
            </w:r>
          </w:p>
        </w:tc>
      </w:tr>
      <w:tr w:rsidR="00DB593F" w:rsidRPr="00B968F8">
        <w:tblPrEx>
          <w:tblBorders>
            <w:left w:val="none" w:sz="0" w:space="0" w:color="auto"/>
            <w:bottom w:val="none" w:sz="0" w:space="0" w:color="auto"/>
            <w:right w:val="none" w:sz="0" w:space="0" w:color="auto"/>
          </w:tblBorders>
        </w:tblPrEx>
        <w:trPr>
          <w:trHeight w:val="270"/>
        </w:trPr>
        <w:tc>
          <w:tcPr>
            <w:tcW w:w="717" w:type="dxa"/>
            <w:vMerge w:val="restart"/>
            <w:tcBorders>
              <w:top w:val="single" w:sz="8" w:space="0" w:color="auto"/>
              <w:left w:val="single" w:sz="8" w:space="0" w:color="auto"/>
              <w:right w:val="single" w:sz="8" w:space="0" w:color="auto"/>
            </w:tcBorders>
            <w:noWrap/>
            <w:vAlign w:val="center"/>
          </w:tcPr>
          <w:p w:rsidR="00DB593F" w:rsidRPr="00B968F8" w:rsidRDefault="00DB593F" w:rsidP="002C7B28">
            <w:pPr>
              <w:jc w:val="center"/>
              <w:rPr>
                <w:b/>
                <w:sz w:val="16"/>
              </w:rPr>
            </w:pPr>
            <w:r w:rsidRPr="00B968F8">
              <w:rPr>
                <w:b/>
                <w:sz w:val="16"/>
              </w:rPr>
              <w:t>Δόση</w:t>
            </w:r>
          </w:p>
          <w:p w:rsidR="00DB593F" w:rsidRPr="00B968F8" w:rsidRDefault="00DB593F" w:rsidP="002C7B28">
            <w:pPr>
              <w:jc w:val="center"/>
              <w:rPr>
                <w:b/>
                <w:sz w:val="16"/>
              </w:rPr>
            </w:pPr>
            <w:r w:rsidRPr="00B968F8">
              <w:rPr>
                <w:b/>
                <w:sz w:val="16"/>
              </w:rPr>
              <w:t>(ng/kg/</w:t>
            </w:r>
          </w:p>
          <w:p w:rsidR="00DB593F" w:rsidRPr="00B968F8" w:rsidRDefault="00DB593F" w:rsidP="002C7B28">
            <w:pPr>
              <w:jc w:val="center"/>
            </w:pPr>
            <w:r w:rsidRPr="00B968F8">
              <w:rPr>
                <w:b/>
                <w:sz w:val="16"/>
              </w:rPr>
              <w:t>λεπτό)</w:t>
            </w:r>
          </w:p>
        </w:tc>
        <w:tc>
          <w:tcPr>
            <w:tcW w:w="9138" w:type="dxa"/>
            <w:gridSpan w:val="16"/>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pPr>
            <w:r w:rsidRPr="00B968F8">
              <w:rPr>
                <w:b/>
                <w:sz w:val="20"/>
              </w:rPr>
              <w:t>Βάρος ασθενούς (kg)</w:t>
            </w:r>
          </w:p>
        </w:tc>
      </w:tr>
      <w:tr w:rsidR="00DB593F" w:rsidRPr="00B968F8">
        <w:tblPrEx>
          <w:tblBorders>
            <w:left w:val="none" w:sz="0" w:space="0" w:color="auto"/>
            <w:bottom w:val="none" w:sz="0" w:space="0" w:color="auto"/>
            <w:right w:val="none" w:sz="0" w:space="0" w:color="auto"/>
          </w:tblBorders>
        </w:tblPrEx>
        <w:trPr>
          <w:trHeight w:val="270"/>
        </w:trPr>
        <w:tc>
          <w:tcPr>
            <w:tcW w:w="717" w:type="dxa"/>
            <w:vMerge/>
            <w:tcBorders>
              <w:left w:val="single" w:sz="8" w:space="0" w:color="auto"/>
              <w:bottom w:val="single" w:sz="8" w:space="0" w:color="auto"/>
              <w:right w:val="single" w:sz="8" w:space="0" w:color="auto"/>
            </w:tcBorders>
            <w:noWrap/>
            <w:vAlign w:val="center"/>
          </w:tcPr>
          <w:p w:rsidR="00DB593F" w:rsidRPr="00B968F8" w:rsidRDefault="00DB593F" w:rsidP="002C7B28">
            <w:pPr>
              <w:jc w:val="center"/>
              <w:rPr>
                <w:b/>
                <w:sz w:val="16"/>
              </w:rPr>
            </w:pPr>
          </w:p>
        </w:tc>
        <w:tc>
          <w:tcPr>
            <w:tcW w:w="570"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25</w:t>
            </w:r>
          </w:p>
        </w:tc>
        <w:tc>
          <w:tcPr>
            <w:tcW w:w="570"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30</w:t>
            </w:r>
          </w:p>
        </w:tc>
        <w:tc>
          <w:tcPr>
            <w:tcW w:w="570"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35</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40</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45</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50</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55</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60</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65</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70</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75</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80</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85</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90</w:t>
            </w:r>
          </w:p>
        </w:tc>
        <w:tc>
          <w:tcPr>
            <w:tcW w:w="571"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95</w:t>
            </w:r>
          </w:p>
        </w:tc>
        <w:tc>
          <w:tcPr>
            <w:tcW w:w="576" w:type="dxa"/>
            <w:tcBorders>
              <w:top w:val="single" w:sz="8" w:space="0" w:color="auto"/>
              <w:left w:val="nil"/>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100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50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0.375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0.450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0.525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1.425</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1.500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55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0.413</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0.495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0.578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0.743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0.908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0.990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1.073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1.155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1.238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1.403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1.485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1.568</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1.650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60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0.450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0.540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0.630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0.810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0.990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1.170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1.530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1.710</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1.800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65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0.488</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0.585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0.683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0.878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1.073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1.170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1.268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1.365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1.463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1.658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1.755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1.853</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1.950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70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0.525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0.630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0.735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0.945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1.155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1.365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1.470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1.785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1.890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1.995</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2.100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75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0.563</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0.675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0.788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1.013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1.238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1.463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1.688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1.800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1.913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2.025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2.138</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2.250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80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0.600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0.720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1.800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1.920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2.040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2.160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2.280</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2.400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85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0.638</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0.765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0.893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1.148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1.275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1.403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1.530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1.658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1.785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1.913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2.040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2.168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2.295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2.423</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2.550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90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0.675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0.810</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0.945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1.080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1.215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1.350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1.485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1.620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1.755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1.890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2.025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2.160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2.295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2.430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2.565</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2.700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nil"/>
              <w:right w:val="single" w:sz="8" w:space="0" w:color="auto"/>
            </w:tcBorders>
            <w:vAlign w:val="center"/>
          </w:tcPr>
          <w:p w:rsidR="00DB593F" w:rsidRPr="00B968F8" w:rsidRDefault="00DB593F" w:rsidP="002C7B28">
            <w:pPr>
              <w:jc w:val="center"/>
              <w:rPr>
                <w:b/>
                <w:sz w:val="16"/>
              </w:rPr>
            </w:pPr>
            <w:r w:rsidRPr="00B968F8">
              <w:rPr>
                <w:b/>
                <w:sz w:val="16"/>
              </w:rPr>
              <w:t>95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0.713</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0.855</w:t>
            </w:r>
          </w:p>
        </w:tc>
        <w:tc>
          <w:tcPr>
            <w:tcW w:w="570"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0.998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1.140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1.283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1.425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1.568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1.710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1.853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1.995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2.138</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2.280</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2.423</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2.565</w:t>
            </w:r>
          </w:p>
        </w:tc>
        <w:tc>
          <w:tcPr>
            <w:tcW w:w="571" w:type="dxa"/>
            <w:tcBorders>
              <w:top w:val="nil"/>
              <w:left w:val="nil"/>
              <w:bottom w:val="nil"/>
              <w:right w:val="nil"/>
            </w:tcBorders>
            <w:noWrap/>
            <w:vAlign w:val="bottom"/>
          </w:tcPr>
          <w:p w:rsidR="00DB593F" w:rsidRPr="00B968F8" w:rsidRDefault="00DB593F" w:rsidP="002C7B28">
            <w:pPr>
              <w:jc w:val="right"/>
              <w:rPr>
                <w:sz w:val="15"/>
              </w:rPr>
            </w:pPr>
            <w:r w:rsidRPr="00B968F8">
              <w:rPr>
                <w:sz w:val="15"/>
              </w:rPr>
              <w:t>2.708</w:t>
            </w:r>
          </w:p>
        </w:tc>
        <w:tc>
          <w:tcPr>
            <w:tcW w:w="576" w:type="dxa"/>
            <w:tcBorders>
              <w:top w:val="nil"/>
              <w:left w:val="nil"/>
              <w:bottom w:val="nil"/>
              <w:right w:val="single" w:sz="8" w:space="0" w:color="auto"/>
            </w:tcBorders>
            <w:noWrap/>
            <w:vAlign w:val="bottom"/>
          </w:tcPr>
          <w:p w:rsidR="00DB593F" w:rsidRPr="00B968F8" w:rsidRDefault="00DB593F" w:rsidP="002C7B28">
            <w:pPr>
              <w:jc w:val="right"/>
              <w:rPr>
                <w:sz w:val="15"/>
              </w:rPr>
            </w:pPr>
            <w:r w:rsidRPr="00B968F8">
              <w:rPr>
                <w:sz w:val="15"/>
              </w:rPr>
              <w:t>2.850</w:t>
            </w:r>
          </w:p>
        </w:tc>
      </w:tr>
      <w:tr w:rsidR="00DB593F" w:rsidRPr="00B968F8">
        <w:tblPrEx>
          <w:tblBorders>
            <w:left w:val="none" w:sz="0" w:space="0" w:color="auto"/>
            <w:bottom w:val="none" w:sz="0" w:space="0" w:color="auto"/>
            <w:right w:val="none" w:sz="0" w:space="0" w:color="auto"/>
          </w:tblBorders>
        </w:tblPrEx>
        <w:trPr>
          <w:trHeight w:val="255"/>
        </w:trPr>
        <w:tc>
          <w:tcPr>
            <w:tcW w:w="717" w:type="dxa"/>
            <w:tcBorders>
              <w:top w:val="nil"/>
              <w:left w:val="single" w:sz="8" w:space="0" w:color="auto"/>
              <w:bottom w:val="single" w:sz="8" w:space="0" w:color="auto"/>
              <w:right w:val="single" w:sz="8" w:space="0" w:color="auto"/>
            </w:tcBorders>
            <w:vAlign w:val="center"/>
          </w:tcPr>
          <w:p w:rsidR="00DB593F" w:rsidRPr="00B968F8" w:rsidRDefault="00DB593F" w:rsidP="002C7B28">
            <w:pPr>
              <w:jc w:val="center"/>
              <w:rPr>
                <w:b/>
                <w:sz w:val="16"/>
              </w:rPr>
            </w:pPr>
            <w:r w:rsidRPr="00B968F8">
              <w:rPr>
                <w:b/>
                <w:sz w:val="16"/>
              </w:rPr>
              <w:t>100</w:t>
            </w:r>
          </w:p>
        </w:tc>
        <w:tc>
          <w:tcPr>
            <w:tcW w:w="570"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0.750</w:t>
            </w:r>
          </w:p>
        </w:tc>
        <w:tc>
          <w:tcPr>
            <w:tcW w:w="570"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0.900</w:t>
            </w:r>
          </w:p>
        </w:tc>
        <w:tc>
          <w:tcPr>
            <w:tcW w:w="570"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1.050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1.200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1.350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1.500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1.650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1.800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1.950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2.100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2.250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2.400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2.550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2.700</w:t>
            </w:r>
          </w:p>
        </w:tc>
        <w:tc>
          <w:tcPr>
            <w:tcW w:w="571" w:type="dxa"/>
            <w:tcBorders>
              <w:top w:val="nil"/>
              <w:left w:val="nil"/>
              <w:bottom w:val="single" w:sz="8" w:space="0" w:color="auto"/>
              <w:right w:val="nil"/>
            </w:tcBorders>
            <w:noWrap/>
            <w:vAlign w:val="bottom"/>
          </w:tcPr>
          <w:p w:rsidR="00DB593F" w:rsidRPr="00B968F8" w:rsidRDefault="00DB593F" w:rsidP="002C7B28">
            <w:pPr>
              <w:jc w:val="right"/>
              <w:rPr>
                <w:sz w:val="15"/>
              </w:rPr>
            </w:pPr>
            <w:r w:rsidRPr="00B968F8">
              <w:rPr>
                <w:sz w:val="15"/>
              </w:rPr>
              <w:t>2.850</w:t>
            </w:r>
          </w:p>
        </w:tc>
        <w:tc>
          <w:tcPr>
            <w:tcW w:w="576" w:type="dxa"/>
            <w:tcBorders>
              <w:top w:val="nil"/>
              <w:left w:val="nil"/>
              <w:bottom w:val="single" w:sz="8" w:space="0" w:color="auto"/>
              <w:right w:val="single" w:sz="8" w:space="0" w:color="auto"/>
            </w:tcBorders>
            <w:noWrap/>
            <w:vAlign w:val="bottom"/>
          </w:tcPr>
          <w:p w:rsidR="00DB593F" w:rsidRPr="00B968F8" w:rsidRDefault="00DB593F" w:rsidP="002C7B28">
            <w:pPr>
              <w:jc w:val="right"/>
              <w:rPr>
                <w:sz w:val="15"/>
              </w:rPr>
            </w:pPr>
            <w:r w:rsidRPr="00B968F8">
              <w:rPr>
                <w:sz w:val="15"/>
              </w:rPr>
              <w:t>3.000</w:t>
            </w:r>
          </w:p>
        </w:tc>
      </w:tr>
    </w:tbl>
    <w:p w:rsidR="00DB593F" w:rsidRPr="00B968F8" w:rsidRDefault="00DB593F" w:rsidP="00DB593F">
      <w:pPr>
        <w:pStyle w:val="Web"/>
        <w:spacing w:before="0" w:after="0"/>
        <w:jc w:val="both"/>
        <w:rPr>
          <w:b/>
          <w:sz w:val="22"/>
          <w:u w:val="single"/>
        </w:rPr>
      </w:pPr>
    </w:p>
    <w:p w:rsidR="00DB593F" w:rsidRPr="00B968F8" w:rsidRDefault="00DB593F" w:rsidP="00DB593F">
      <w:pPr>
        <w:pStyle w:val="Web"/>
        <w:spacing w:before="0" w:after="0"/>
        <w:jc w:val="both"/>
        <w:rPr>
          <w:b/>
          <w:sz w:val="22"/>
          <w:u w:val="single"/>
          <w:lang w:val="el-GR"/>
        </w:rPr>
      </w:pPr>
      <w:r w:rsidRPr="00B968F8">
        <w:rPr>
          <w:b/>
          <w:sz w:val="22"/>
          <w:u w:val="single"/>
          <w:lang w:val="el-GR"/>
        </w:rPr>
        <w:t>Εκπαίδευση για ασθενείς που λαμβάνουν συνεχή ενδοφλέβια έγχυση</w:t>
      </w:r>
    </w:p>
    <w:p w:rsidR="00DB593F" w:rsidRPr="00B968F8" w:rsidRDefault="00DB593F" w:rsidP="00DB593F">
      <w:pPr>
        <w:pStyle w:val="Web"/>
        <w:spacing w:before="0" w:after="0"/>
        <w:jc w:val="both"/>
        <w:rPr>
          <w:sz w:val="22"/>
          <w:lang w:val="el-GR"/>
        </w:rPr>
      </w:pPr>
      <w:r w:rsidRPr="00B968F8">
        <w:rPr>
          <w:b/>
          <w:sz w:val="22"/>
          <w:u w:val="single"/>
          <w:lang w:val="el-GR"/>
        </w:rPr>
        <w:t xml:space="preserve"> </w:t>
      </w:r>
    </w:p>
    <w:p w:rsidR="00DB593F" w:rsidRPr="00B968F8" w:rsidRDefault="00DB593F" w:rsidP="00DB593F">
      <w:pPr>
        <w:pStyle w:val="Web"/>
        <w:spacing w:before="0" w:after="0"/>
        <w:jc w:val="both"/>
        <w:rPr>
          <w:lang w:val="el-GR"/>
        </w:rPr>
      </w:pPr>
      <w:r w:rsidRPr="00B968F8">
        <w:rPr>
          <w:sz w:val="22"/>
          <w:lang w:val="el-GR"/>
        </w:rPr>
        <w:t xml:space="preserve">Η κλινική ομάδα που είναι υπεύθυνη για τη θεραπεία πρέπει να διασφαλίζει ότι ο ασθενής έχει εκπαιδευτεί πλήρως και είναι ικανός/ή να χρησιμοποιεί την επιλεγμένη συσκευή έγχυσης.  Το χρονικό διάστημα προσωπικής καθοδήγησης και εποπτείας θα πρέπει να συνεχίζεται μέχρι να κριθεί ότι ο ασθενής είναι ικανός να αλλάζει εγχύσεις, να μεταβάλλει τους ρυθμούς ροής / τις δόσεις σύμφωνα με τις οδηγίες και ότι μπορεί να αντιμετωπίζει τους συνήθεις συναγερμούς της συσκευής.  Οι ασθενείς πρέπει να εκπαιδεύονται στην κατάλληλη ασηπτική τεχνική κατά την προετοιμασία της δεξαμενής έγχυσης του </w:t>
      </w:r>
      <w:r w:rsidRPr="00B968F8">
        <w:rPr>
          <w:sz w:val="22"/>
        </w:rPr>
        <w:t>REMODULIN</w:t>
      </w:r>
      <w:r w:rsidRPr="00B968F8">
        <w:rPr>
          <w:sz w:val="22"/>
          <w:lang w:val="el-GR"/>
        </w:rPr>
        <w:t xml:space="preserve"> και την πλήρωση της σωλήνωσης και της σύνδεσης για τη χορήγηση της έγχυσης.  Θα πρέπει να παρέχονται στον ασθενή γραπτές οδηγίες από τον κατασκευαστή της αντλίας ή ειδικά προσαρμοσμένες συμβουλές από τον συνταγογραφούντα ιατρό.  Αυτές οι οδηγίες θα πρέπει να περιλαμβάνουν τις απαιτούμενες ενέργειες της κανονικής χορήγησης φαρμάκου, συμβουλές σχετικά με τη διαχείριση απόφραξης ή άλλων συναγερμών της αντλίας και λεπτομέρειες σχετικά με τα άτομα επικοινωνίας σε περίπτωση έκτακτης ανάγκης. </w:t>
      </w:r>
    </w:p>
    <w:p w:rsidR="00DB593F" w:rsidRPr="00B968F8" w:rsidRDefault="00DB593F" w:rsidP="00DB593F">
      <w:pPr>
        <w:pStyle w:val="Web"/>
        <w:spacing w:before="0" w:after="0"/>
        <w:jc w:val="both"/>
        <w:rPr>
          <w:sz w:val="22"/>
          <w:lang w:val="el-GR"/>
        </w:rPr>
      </w:pPr>
    </w:p>
    <w:p w:rsidR="00DB593F" w:rsidRPr="00B968F8" w:rsidRDefault="00DB593F" w:rsidP="00DB593F">
      <w:pPr>
        <w:pStyle w:val="Web"/>
        <w:keepNext/>
        <w:spacing w:before="0" w:after="0"/>
        <w:jc w:val="both"/>
        <w:rPr>
          <w:b/>
          <w:sz w:val="22"/>
          <w:lang w:val="el-GR"/>
        </w:rPr>
      </w:pPr>
      <w:r w:rsidRPr="00B968F8">
        <w:rPr>
          <w:b/>
          <w:sz w:val="22"/>
          <w:lang w:val="el-GR"/>
        </w:rPr>
        <w:t>Ελαχιστοποίηση του κινδύνου αιματογενών λοιμώξεων που σχετίζονται με τον καθετήρα</w:t>
      </w:r>
    </w:p>
    <w:p w:rsidR="00DB593F" w:rsidRPr="00B968F8" w:rsidRDefault="00DB593F" w:rsidP="00DB593F">
      <w:pPr>
        <w:pStyle w:val="Web"/>
        <w:keepNext/>
        <w:spacing w:before="0" w:after="0"/>
        <w:jc w:val="both"/>
        <w:rPr>
          <w:sz w:val="22"/>
          <w:lang w:val="el-GR"/>
        </w:rPr>
      </w:pPr>
    </w:p>
    <w:p w:rsidR="00DB593F" w:rsidRPr="00B968F8" w:rsidRDefault="00DB593F" w:rsidP="00DB593F">
      <w:pPr>
        <w:pStyle w:val="Web"/>
        <w:spacing w:before="0" w:after="0"/>
        <w:jc w:val="both"/>
        <w:rPr>
          <w:lang w:val="el-GR"/>
        </w:rPr>
      </w:pPr>
      <w:r w:rsidRPr="00B968F8">
        <w:rPr>
          <w:sz w:val="22"/>
          <w:lang w:val="el-GR"/>
        </w:rPr>
        <w:t xml:space="preserve">Πρέπει να δίδεται ιδιαίτερη προσοχή στα ακόλουθα στοιχεία προκειμένου να ελαχιστοποιείται ο κίνδυνος αιματογενών λοιμώξεων που σχετίζονται με τον καθετήρα σε ασθενείς που λαμβάνουν </w:t>
      </w:r>
      <w:r w:rsidRPr="00B968F8">
        <w:rPr>
          <w:sz w:val="22"/>
        </w:rPr>
        <w:t>REMODULIN</w:t>
      </w:r>
      <w:r w:rsidRPr="00B968F8">
        <w:rPr>
          <w:sz w:val="22"/>
          <w:lang w:val="el-GR"/>
        </w:rPr>
        <w:t xml:space="preserve"> μέσω ενδοφλέβιας έγχυσης (ανατρέξτε στην ενότητα 4.4).  Αυτές οι συμβουλές συμμορφώνονται με τις τρέχουσες κατευθυντήριες οδηγίες βέλτιστης πρακτικής για την πρόληψη αιματογενών λοιμώξεων που σχετίζονται με τον καθετήρα και περιλαμβάνουν:</w:t>
      </w:r>
    </w:p>
    <w:p w:rsidR="00DB593F" w:rsidRPr="00B968F8" w:rsidRDefault="00DB593F" w:rsidP="00DB593F">
      <w:pPr>
        <w:jc w:val="both"/>
        <w:rPr>
          <w:u w:val="single"/>
          <w:lang w:val="el-GR"/>
        </w:rPr>
      </w:pPr>
    </w:p>
    <w:p w:rsidR="00DB593F" w:rsidRPr="00B968F8" w:rsidRDefault="00DB593F" w:rsidP="00DB593F">
      <w:pPr>
        <w:pStyle w:val="Text"/>
        <w:spacing w:before="0"/>
        <w:rPr>
          <w:i/>
          <w:sz w:val="22"/>
        </w:rPr>
      </w:pPr>
      <w:r w:rsidRPr="00B968F8">
        <w:rPr>
          <w:i/>
          <w:sz w:val="22"/>
          <w:lang w:val="el-GR"/>
        </w:rPr>
        <w:t>Γενικές αρχές</w:t>
      </w:r>
    </w:p>
    <w:p w:rsidR="00DB593F" w:rsidRPr="00B968F8" w:rsidRDefault="00DB593F" w:rsidP="00DB593F">
      <w:pPr>
        <w:pStyle w:val="Text"/>
        <w:spacing w:before="0"/>
        <w:rPr>
          <w:sz w:val="22"/>
        </w:rPr>
      </w:pPr>
    </w:p>
    <w:p w:rsidR="00DB593F" w:rsidRPr="00B968F8" w:rsidRDefault="00DB593F" w:rsidP="00DB593F">
      <w:pPr>
        <w:pStyle w:val="Text"/>
        <w:numPr>
          <w:ilvl w:val="0"/>
          <w:numId w:val="17"/>
        </w:numPr>
        <w:spacing w:before="0"/>
        <w:rPr>
          <w:sz w:val="22"/>
          <w:lang w:val="el-GR"/>
        </w:rPr>
      </w:pPr>
      <w:r w:rsidRPr="00B968F8">
        <w:rPr>
          <w:sz w:val="22"/>
          <w:lang w:val="el-GR"/>
        </w:rPr>
        <w:t xml:space="preserve">χρήση υποδερμικού κεντρικού φλεβικού καθετήρα (ΚΦΚ) με </w:t>
      </w:r>
      <w:r w:rsidRPr="00B968F8">
        <w:rPr>
          <w:sz w:val="22"/>
        </w:rPr>
        <w:t>cuff</w:t>
      </w:r>
      <w:r w:rsidRPr="00B968F8">
        <w:rPr>
          <w:sz w:val="22"/>
          <w:lang w:val="el-GR"/>
        </w:rPr>
        <w:t xml:space="preserve"> με ελάχιστο αριθμό θυρών.</w:t>
      </w:r>
    </w:p>
    <w:p w:rsidR="00DB593F" w:rsidRPr="00B968F8" w:rsidRDefault="00DB593F" w:rsidP="00DB593F">
      <w:pPr>
        <w:pStyle w:val="Text"/>
        <w:numPr>
          <w:ilvl w:val="0"/>
          <w:numId w:val="17"/>
        </w:numPr>
        <w:spacing w:before="0"/>
        <w:rPr>
          <w:sz w:val="22"/>
          <w:lang w:val="el-GR"/>
        </w:rPr>
      </w:pPr>
      <w:r w:rsidRPr="00B968F8">
        <w:rPr>
          <w:sz w:val="22"/>
          <w:lang w:val="el-GR"/>
        </w:rPr>
        <w:t>εισαγωγή του ΚΦΚ χρησιμοποιώντας τεχνικές στείρου φράγματος.</w:t>
      </w:r>
    </w:p>
    <w:p w:rsidR="00DB593F" w:rsidRPr="00B968F8" w:rsidRDefault="00DB593F" w:rsidP="00DB593F">
      <w:pPr>
        <w:pStyle w:val="Text"/>
        <w:numPr>
          <w:ilvl w:val="0"/>
          <w:numId w:val="17"/>
        </w:numPr>
        <w:spacing w:before="0"/>
        <w:rPr>
          <w:sz w:val="22"/>
          <w:lang w:val="el-GR"/>
        </w:rPr>
      </w:pPr>
      <w:r w:rsidRPr="00B968F8">
        <w:rPr>
          <w:sz w:val="22"/>
          <w:lang w:val="el-GR"/>
        </w:rPr>
        <w:lastRenderedPageBreak/>
        <w:t>χρήση κατάλληλης υγιεινής χεριών και ασηπτικών τεχνικών κατά την εισαγωγή, αντικατάσταση, πρόσβαση, επισκευή του καθετήρα ή κατά την εξέταση ή/και επίδεση της τοποθεσίας εισαγωγής του καθετήρα.</w:t>
      </w:r>
    </w:p>
    <w:p w:rsidR="00DB593F" w:rsidRPr="00B968F8" w:rsidRDefault="00DB593F" w:rsidP="00DB593F">
      <w:pPr>
        <w:pStyle w:val="Text"/>
        <w:numPr>
          <w:ilvl w:val="0"/>
          <w:numId w:val="17"/>
        </w:numPr>
        <w:spacing w:before="0"/>
        <w:rPr>
          <w:sz w:val="22"/>
          <w:lang w:val="el-GR"/>
        </w:rPr>
      </w:pPr>
      <w:r w:rsidRPr="00B968F8">
        <w:rPr>
          <w:sz w:val="22"/>
          <w:lang w:val="el-GR"/>
        </w:rPr>
        <w:t>θα πρέπει να χρησιμοποιείται αποστειρωμένη γάζα (η οποία πρέπει να αντικαθίσταται κάθε δύο μέρες) ή αποστειρωμένος διάφανος ημι-διαπερατός επίδεσμος (ο οποίος πρέπει να αντικαθίσταται τουλάχιστον κάθε επτά ημέρες) για την κάλυψη της τοποθεσίας εισαγωγής του καθετήρα.</w:t>
      </w:r>
    </w:p>
    <w:p w:rsidR="00DB593F" w:rsidRPr="00B968F8" w:rsidRDefault="00DB593F" w:rsidP="00DB593F">
      <w:pPr>
        <w:pStyle w:val="Text"/>
        <w:numPr>
          <w:ilvl w:val="0"/>
          <w:numId w:val="17"/>
        </w:numPr>
        <w:spacing w:before="0"/>
        <w:rPr>
          <w:sz w:val="22"/>
          <w:lang w:val="el-GR"/>
        </w:rPr>
      </w:pPr>
      <w:r w:rsidRPr="00B968F8">
        <w:rPr>
          <w:sz w:val="22"/>
          <w:lang w:val="el-GR"/>
        </w:rPr>
        <w:t>ο επίδεσμος θα πρέπει να αντικαθίσταται εάν υγρανθεί, χαλαρώσει ή λερώσει ή μετά από εξέταση της τοποθεσίας.</w:t>
      </w:r>
    </w:p>
    <w:p w:rsidR="00DB593F" w:rsidRPr="00B968F8" w:rsidRDefault="00DB593F" w:rsidP="00DB593F">
      <w:pPr>
        <w:pStyle w:val="Text"/>
        <w:numPr>
          <w:ilvl w:val="0"/>
          <w:numId w:val="17"/>
        </w:numPr>
        <w:spacing w:before="0"/>
        <w:rPr>
          <w:sz w:val="22"/>
          <w:lang w:val="el-GR"/>
        </w:rPr>
      </w:pPr>
      <w:r w:rsidRPr="00B968F8">
        <w:rPr>
          <w:sz w:val="22"/>
          <w:lang w:val="el-GR"/>
        </w:rPr>
        <w:t>δεν θα πρέπει να εφαρμόζονται τοπικές αντιβιοτικές αλοιφές ή κρέμες επειδή μπορεί να προκαλέσουν μυκητιάσεις και βακτήρια ανθεκτικά στα αντιμικροβιακά.</w:t>
      </w:r>
    </w:p>
    <w:p w:rsidR="00DB593F" w:rsidRPr="00B968F8" w:rsidRDefault="00DB593F" w:rsidP="00DB593F">
      <w:pPr>
        <w:pStyle w:val="Text"/>
        <w:spacing w:before="0"/>
        <w:rPr>
          <w:sz w:val="22"/>
          <w:lang w:val="el-GR"/>
        </w:rPr>
      </w:pPr>
    </w:p>
    <w:p w:rsidR="00DB593F" w:rsidRPr="00B968F8" w:rsidRDefault="00DB593F" w:rsidP="00DB593F">
      <w:pPr>
        <w:pStyle w:val="Text"/>
        <w:spacing w:before="0"/>
        <w:rPr>
          <w:i/>
          <w:sz w:val="22"/>
          <w:lang w:val="el-GR"/>
        </w:rPr>
      </w:pPr>
      <w:r w:rsidRPr="00B968F8">
        <w:rPr>
          <w:i/>
          <w:sz w:val="22"/>
          <w:lang w:val="el-GR"/>
        </w:rPr>
        <w:t xml:space="preserve">Διάρκεια χρήσης του αραιωμένου διαλύματος του </w:t>
      </w:r>
      <w:r w:rsidRPr="00B968F8">
        <w:rPr>
          <w:i/>
          <w:sz w:val="22"/>
        </w:rPr>
        <w:t>REMODULIN</w:t>
      </w:r>
    </w:p>
    <w:p w:rsidR="00DB593F" w:rsidRPr="00B968F8" w:rsidRDefault="00DB593F" w:rsidP="00DB593F">
      <w:pPr>
        <w:pStyle w:val="Text"/>
        <w:spacing w:before="0"/>
        <w:ind w:left="360"/>
        <w:rPr>
          <w:sz w:val="22"/>
          <w:lang w:val="el-GR"/>
        </w:rPr>
      </w:pPr>
    </w:p>
    <w:p w:rsidR="00DB593F" w:rsidRPr="00B968F8" w:rsidRDefault="00DB593F" w:rsidP="00DB593F">
      <w:pPr>
        <w:pStyle w:val="Text"/>
        <w:numPr>
          <w:ilvl w:val="0"/>
          <w:numId w:val="17"/>
        </w:numPr>
        <w:spacing w:before="0"/>
        <w:rPr>
          <w:sz w:val="22"/>
          <w:lang w:val="el-GR"/>
        </w:rPr>
      </w:pPr>
      <w:r w:rsidRPr="00B968F8">
        <w:rPr>
          <w:sz w:val="22"/>
          <w:lang w:val="el-GR"/>
        </w:rPr>
        <w:t>η μέγιστη διάρκεια χρήσης του αραιωμένου προϊόντος δεν θα πρέπει να υπερβαίνει τις 24 ώρες.</w:t>
      </w:r>
    </w:p>
    <w:p w:rsidR="00DB593F" w:rsidRPr="00B968F8" w:rsidRDefault="00DB593F" w:rsidP="00DB593F">
      <w:pPr>
        <w:pStyle w:val="Text"/>
        <w:spacing w:before="0"/>
        <w:rPr>
          <w:sz w:val="22"/>
          <w:lang w:val="el-GR"/>
        </w:rPr>
      </w:pPr>
    </w:p>
    <w:p w:rsidR="00DB593F" w:rsidRPr="00B968F8" w:rsidRDefault="00DB593F" w:rsidP="00DB593F">
      <w:pPr>
        <w:pStyle w:val="Text"/>
        <w:spacing w:before="0"/>
        <w:rPr>
          <w:i/>
          <w:sz w:val="22"/>
          <w:lang w:val="el-GR"/>
        </w:rPr>
      </w:pPr>
      <w:r w:rsidRPr="00B968F8">
        <w:rPr>
          <w:i/>
          <w:sz w:val="22"/>
          <w:lang w:val="el-GR"/>
        </w:rPr>
        <w:t>Χρήση φίλτρου 0,2 μικρών εντός της γραμμής</w:t>
      </w:r>
    </w:p>
    <w:p w:rsidR="00DB593F" w:rsidRPr="00B968F8" w:rsidRDefault="00DB593F" w:rsidP="00DB593F">
      <w:pPr>
        <w:pStyle w:val="Text"/>
        <w:spacing w:before="0"/>
        <w:rPr>
          <w:i/>
          <w:sz w:val="22"/>
          <w:lang w:val="el-GR"/>
        </w:rPr>
      </w:pPr>
    </w:p>
    <w:p w:rsidR="00DB593F" w:rsidRPr="00B968F8" w:rsidRDefault="00DB593F" w:rsidP="00DB593F">
      <w:pPr>
        <w:pStyle w:val="Text"/>
        <w:numPr>
          <w:ilvl w:val="0"/>
          <w:numId w:val="17"/>
        </w:numPr>
        <w:spacing w:before="0"/>
        <w:rPr>
          <w:sz w:val="22"/>
          <w:lang w:val="el-GR"/>
        </w:rPr>
      </w:pPr>
      <w:r w:rsidRPr="00B968F8">
        <w:rPr>
          <w:sz w:val="22"/>
          <w:lang w:val="el-GR"/>
        </w:rPr>
        <w:t>πρέπει να τοποθετείται ένα φίλτρο 0,2 μικρών μεταξύ της σωλήνωσης της έγχυσης και του κόμβου του καθετήρα και να αντικαθίσταται κάθε 24 ώρες κατά το χρόνο αλλαγής της δεξαμενής έγχυσης.</w:t>
      </w:r>
    </w:p>
    <w:p w:rsidR="00DB593F" w:rsidRPr="00B968F8" w:rsidRDefault="00DB593F" w:rsidP="00DB593F">
      <w:pPr>
        <w:pStyle w:val="Text"/>
        <w:spacing w:before="0"/>
        <w:rPr>
          <w:sz w:val="22"/>
          <w:lang w:val="el-GR"/>
        </w:rPr>
      </w:pPr>
    </w:p>
    <w:p w:rsidR="00DB593F" w:rsidRPr="00B968F8" w:rsidRDefault="00DB593F" w:rsidP="00DB593F">
      <w:pPr>
        <w:autoSpaceDE w:val="0"/>
        <w:autoSpaceDN w:val="0"/>
        <w:adjustRightInd w:val="0"/>
        <w:jc w:val="both"/>
        <w:rPr>
          <w:lang w:val="en-US"/>
        </w:rPr>
      </w:pPr>
      <w:r w:rsidRPr="00B968F8">
        <w:rPr>
          <w:sz w:val="22"/>
          <w:lang w:val="el-GR"/>
        </w:rPr>
        <w:t xml:space="preserve">Δύο επιπλέον συστάσεις που είναι δυνητικά σημαντικές για την πρόληψη των υδατομεταφερόμενων </w:t>
      </w:r>
      <w:r w:rsidRPr="00B968F8">
        <w:rPr>
          <w:sz w:val="22"/>
          <w:lang w:val="en-GB"/>
        </w:rPr>
        <w:t>Gram</w:t>
      </w:r>
      <w:r w:rsidRPr="00B968F8">
        <w:rPr>
          <w:sz w:val="22"/>
          <w:lang w:val="el-GR"/>
        </w:rPr>
        <w:t xml:space="preserve"> αρνητικών αιματογενών λοιμώξεων σχετίζονται με τη διαχείριση του κόμβου του καθετήρα.  </w:t>
      </w:r>
      <w:r w:rsidRPr="00B968F8">
        <w:rPr>
          <w:sz w:val="22"/>
        </w:rPr>
        <w:t>Αυτές περιλαμβάνουν τις εξής</w:t>
      </w:r>
      <w:r w:rsidRPr="00B968F8">
        <w:rPr>
          <w:sz w:val="22"/>
          <w:lang w:val="en-GB"/>
        </w:rPr>
        <w:t>:</w:t>
      </w:r>
    </w:p>
    <w:p w:rsidR="00DB593F" w:rsidRPr="00B968F8" w:rsidRDefault="00DB593F" w:rsidP="00DB593F">
      <w:pPr>
        <w:autoSpaceDE w:val="0"/>
        <w:autoSpaceDN w:val="0"/>
        <w:adjustRightInd w:val="0"/>
        <w:jc w:val="both"/>
        <w:rPr>
          <w:sz w:val="22"/>
          <w:lang w:val="en-US"/>
        </w:rPr>
      </w:pPr>
    </w:p>
    <w:p w:rsidR="00DB593F" w:rsidRPr="00B968F8" w:rsidRDefault="00DB593F" w:rsidP="00DB593F">
      <w:pPr>
        <w:pStyle w:val="Text"/>
        <w:spacing w:before="0"/>
        <w:rPr>
          <w:i/>
          <w:sz w:val="22"/>
          <w:lang w:val="el-GR"/>
        </w:rPr>
      </w:pPr>
      <w:r w:rsidRPr="00B968F8">
        <w:rPr>
          <w:i/>
          <w:sz w:val="22"/>
          <w:lang w:val="el-GR"/>
        </w:rPr>
        <w:t>Χρήση συστήματος κλειστού κόμβου διαχωρισμένου διαφράγματος</w:t>
      </w:r>
    </w:p>
    <w:p w:rsidR="00DB593F" w:rsidRPr="00B968F8" w:rsidRDefault="00DB593F" w:rsidP="00DB593F">
      <w:pPr>
        <w:pStyle w:val="Text"/>
        <w:spacing w:before="0"/>
        <w:ind w:left="360"/>
        <w:rPr>
          <w:sz w:val="22"/>
          <w:lang w:val="el-GR"/>
        </w:rPr>
      </w:pPr>
    </w:p>
    <w:p w:rsidR="00DB593F" w:rsidRPr="00B968F8" w:rsidRDefault="00DB593F" w:rsidP="00DB593F">
      <w:pPr>
        <w:pStyle w:val="Text"/>
        <w:numPr>
          <w:ilvl w:val="0"/>
          <w:numId w:val="17"/>
        </w:numPr>
        <w:spacing w:before="0"/>
        <w:rPr>
          <w:lang w:val="el-GR"/>
        </w:rPr>
      </w:pPr>
      <w:r w:rsidRPr="00B968F8">
        <w:rPr>
          <w:sz w:val="22"/>
          <w:lang w:val="el-GR"/>
        </w:rPr>
        <w:t>η χρήση συστήματος κλειστού κόμβου (κατά προτίμηση διαχωρισμένου διαφράγματος αντί για συσκευή μηχανικής βαλβίδας), διασφαλίζει ότι ο αυλός του καθετήρα σφραγίζεται κάθε φορά που αποσυνδέεται το σύστημα έγχυσης.  Αυτό αποτρέπει τον κίνδυνο έκθεσης σε μικροβιακή μόλυνση.</w:t>
      </w:r>
    </w:p>
    <w:p w:rsidR="00DB593F" w:rsidRPr="00B968F8" w:rsidRDefault="00DB593F" w:rsidP="00DB593F">
      <w:pPr>
        <w:pStyle w:val="Text"/>
        <w:numPr>
          <w:ilvl w:val="0"/>
          <w:numId w:val="17"/>
        </w:numPr>
        <w:spacing w:before="0"/>
        <w:rPr>
          <w:sz w:val="22"/>
          <w:lang w:val="el-GR"/>
        </w:rPr>
      </w:pPr>
      <w:r w:rsidRPr="00B968F8">
        <w:rPr>
          <w:sz w:val="22"/>
          <w:lang w:val="el-GR"/>
        </w:rPr>
        <w:t>η συσκευή κλειστού κόμβου διαχωρισμένου διαφράγματος θα πρέπει να αντικαθίσταται κάθε 7 ημέρες.</w:t>
      </w:r>
    </w:p>
    <w:p w:rsidR="00DB593F" w:rsidRPr="00B968F8" w:rsidRDefault="00DB593F" w:rsidP="00DB593F">
      <w:pPr>
        <w:pStyle w:val="Text"/>
        <w:spacing w:before="0"/>
        <w:ind w:left="360"/>
        <w:rPr>
          <w:sz w:val="22"/>
          <w:lang w:val="el-GR"/>
        </w:rPr>
      </w:pPr>
    </w:p>
    <w:p w:rsidR="00DB593F" w:rsidRPr="00B968F8" w:rsidRDefault="00DB593F" w:rsidP="00DB593F">
      <w:pPr>
        <w:pStyle w:val="Text"/>
        <w:spacing w:before="0"/>
        <w:rPr>
          <w:i/>
          <w:sz w:val="22"/>
          <w:lang w:val="el-GR"/>
        </w:rPr>
      </w:pPr>
      <w:r w:rsidRPr="00B968F8">
        <w:rPr>
          <w:i/>
          <w:sz w:val="22"/>
          <w:lang w:val="el-GR"/>
        </w:rPr>
        <w:t>Διασυνδέσεις με ασφάλεια luer του συστήματος έγχυσης</w:t>
      </w:r>
    </w:p>
    <w:p w:rsidR="00DB593F" w:rsidRPr="00B968F8" w:rsidRDefault="00DB593F" w:rsidP="00DB593F">
      <w:pPr>
        <w:pStyle w:val="Text"/>
        <w:spacing w:before="0"/>
        <w:rPr>
          <w:sz w:val="22"/>
          <w:lang w:val="el-GR"/>
        </w:rPr>
      </w:pPr>
    </w:p>
    <w:p w:rsidR="00DB593F" w:rsidRPr="00B968F8" w:rsidRDefault="00DB593F" w:rsidP="00DB593F">
      <w:pPr>
        <w:pStyle w:val="Text"/>
        <w:spacing w:before="0"/>
        <w:rPr>
          <w:lang w:val="el-GR"/>
        </w:rPr>
      </w:pPr>
      <w:r w:rsidRPr="00B968F8">
        <w:rPr>
          <w:sz w:val="22"/>
          <w:lang w:val="el-GR"/>
        </w:rPr>
        <w:t>Ο κίνδυνος μόλυνσης από υδατομεταφερόμενους Gram αρνητικούς οργανισμούς είναι πιθανόν να είναι αυξημένος εάν η διασύνδεση ασφάλειας luer είναι υγρή κατά το χρόνο ανταλλαγής της γραμμής έγχυσης ή του κλειστού κόμβου.  Κατά συνέπεια:</w:t>
      </w:r>
    </w:p>
    <w:p w:rsidR="00DB593F" w:rsidRPr="00B968F8" w:rsidRDefault="00DB593F" w:rsidP="00DB593F">
      <w:pPr>
        <w:pStyle w:val="Text"/>
        <w:spacing w:before="0"/>
        <w:rPr>
          <w:sz w:val="22"/>
          <w:lang w:val="el-GR"/>
        </w:rPr>
      </w:pPr>
    </w:p>
    <w:p w:rsidR="00DB593F" w:rsidRPr="00B968F8" w:rsidRDefault="00DB593F" w:rsidP="00DB593F">
      <w:pPr>
        <w:pStyle w:val="Text"/>
        <w:numPr>
          <w:ilvl w:val="0"/>
          <w:numId w:val="17"/>
        </w:numPr>
        <w:spacing w:before="0"/>
        <w:rPr>
          <w:sz w:val="22"/>
          <w:lang w:val="el-GR"/>
        </w:rPr>
      </w:pPr>
      <w:r w:rsidRPr="00B968F8">
        <w:rPr>
          <w:sz w:val="22"/>
          <w:lang w:val="el-GR"/>
        </w:rPr>
        <w:t>θα πρέπει να αποφεύγεται η κολύμβηση και η βύθιση του συστήματος έγχυσης στην τοποθεσία σύνδεσης με τον κόμβο καθετήρα.</w:t>
      </w:r>
    </w:p>
    <w:p w:rsidR="00DB593F" w:rsidRPr="00B968F8" w:rsidRDefault="00DB593F" w:rsidP="00DB593F">
      <w:pPr>
        <w:pStyle w:val="Text"/>
        <w:numPr>
          <w:ilvl w:val="0"/>
          <w:numId w:val="17"/>
        </w:numPr>
        <w:spacing w:before="0"/>
        <w:rPr>
          <w:sz w:val="22"/>
          <w:lang w:val="el-GR"/>
        </w:rPr>
      </w:pPr>
      <w:r w:rsidRPr="00B968F8">
        <w:rPr>
          <w:sz w:val="22"/>
          <w:lang w:val="el-GR"/>
        </w:rPr>
        <w:t>κατά το χρόνο αντικατάστασης της συσκευής κλειστού κόμβου, δεν θα πρέπει να υπάρχει ορατό νερό στις σπείρες σύνδεσης της ασφάλειας luer.</w:t>
      </w:r>
    </w:p>
    <w:p w:rsidR="00DB593F" w:rsidRPr="00B968F8" w:rsidRDefault="00DB593F" w:rsidP="00DB593F">
      <w:pPr>
        <w:pStyle w:val="Text"/>
        <w:numPr>
          <w:ilvl w:val="0"/>
          <w:numId w:val="17"/>
        </w:numPr>
        <w:spacing w:before="0"/>
        <w:rPr>
          <w:sz w:val="22"/>
          <w:lang w:val="el-GR"/>
        </w:rPr>
      </w:pPr>
      <w:r w:rsidRPr="00B968F8">
        <w:rPr>
          <w:sz w:val="22"/>
          <w:lang w:val="el-GR"/>
        </w:rPr>
        <w:t>η γραμμή έγχυσης θα πρέπει να αποσυνδέεται από τη συσκευή κλειστού κόμβου μόνο μία φορά κάθε 24 ώρες κατά το χρόνο αντικατάστασης.</w:t>
      </w:r>
    </w:p>
    <w:p w:rsidR="00DB593F" w:rsidRPr="00B968F8" w:rsidRDefault="00DB593F">
      <w:pPr>
        <w:jc w:val="both"/>
        <w:rPr>
          <w:b/>
          <w:sz w:val="22"/>
          <w:lang w:val="el-GR"/>
        </w:rPr>
      </w:pPr>
    </w:p>
    <w:p w:rsidR="0020047A" w:rsidRPr="00B968F8" w:rsidRDefault="0020047A">
      <w:pPr>
        <w:pStyle w:val="2"/>
        <w:ind w:left="0" w:firstLine="0"/>
        <w:jc w:val="both"/>
        <w:rPr>
          <w:rFonts w:ascii="Times New Roman" w:hAnsi="Times New Roman" w:cs="Times New Roman"/>
          <w:sz w:val="22"/>
          <w:lang w:val="el-GR"/>
        </w:rPr>
      </w:pPr>
      <w:r w:rsidRPr="00B968F8">
        <w:rPr>
          <w:rFonts w:ascii="Times New Roman" w:hAnsi="Times New Roman" w:cs="Times New Roman"/>
          <w:sz w:val="22"/>
          <w:lang w:val="el-GR"/>
        </w:rPr>
        <w:t>4.3.</w:t>
      </w:r>
      <w:r w:rsidRPr="00B968F8">
        <w:rPr>
          <w:rFonts w:ascii="Times New Roman" w:hAnsi="Times New Roman" w:cs="Times New Roman"/>
          <w:sz w:val="22"/>
          <w:lang w:val="el-GR"/>
        </w:rPr>
        <w:tab/>
        <w:t>Αντενδείξεις</w:t>
      </w:r>
    </w:p>
    <w:p w:rsidR="0020047A" w:rsidRPr="00B968F8" w:rsidRDefault="0020047A">
      <w:pPr>
        <w:pStyle w:val="Text"/>
        <w:numPr>
          <w:ilvl w:val="0"/>
          <w:numId w:val="5"/>
        </w:numPr>
        <w:rPr>
          <w:sz w:val="22"/>
          <w:lang w:val="el-GR"/>
        </w:rPr>
      </w:pPr>
      <w:r w:rsidRPr="00B968F8">
        <w:rPr>
          <w:sz w:val="22"/>
          <w:lang w:val="el-GR"/>
        </w:rPr>
        <w:t>Γνωστή υπερευαισθησία στην τρεπροστινίλη ή σε οποιοδήποτε από τα έκδοχα.</w:t>
      </w:r>
    </w:p>
    <w:p w:rsidR="0020047A" w:rsidRPr="00B968F8" w:rsidRDefault="0020047A">
      <w:pPr>
        <w:pStyle w:val="Text"/>
        <w:numPr>
          <w:ilvl w:val="0"/>
          <w:numId w:val="5"/>
        </w:numPr>
        <w:rPr>
          <w:sz w:val="22"/>
          <w:lang w:val="el-GR"/>
        </w:rPr>
      </w:pPr>
      <w:r w:rsidRPr="00B968F8">
        <w:rPr>
          <w:sz w:val="22"/>
          <w:lang w:val="el-GR"/>
        </w:rPr>
        <w:t>Πνευμονική αρτηριακή υπέρταση σχετιζόμενη με φλεβοαποφρακτική νόσο.</w:t>
      </w:r>
    </w:p>
    <w:p w:rsidR="0020047A" w:rsidRPr="00B968F8" w:rsidRDefault="0020047A">
      <w:pPr>
        <w:pStyle w:val="Text"/>
        <w:numPr>
          <w:ilvl w:val="0"/>
          <w:numId w:val="5"/>
        </w:numPr>
        <w:rPr>
          <w:sz w:val="22"/>
          <w:lang w:val="el-GR"/>
        </w:rPr>
      </w:pPr>
      <w:r w:rsidRPr="00B968F8">
        <w:rPr>
          <w:sz w:val="22"/>
          <w:lang w:val="el-GR"/>
        </w:rPr>
        <w:lastRenderedPageBreak/>
        <w:t>Συμφορητική καρδιακή ανεπάρκεια οφειλόμενη σε σοβαρή δυσλειτουργία της αριστερής κοιλίας.</w:t>
      </w:r>
    </w:p>
    <w:p w:rsidR="0020047A" w:rsidRPr="00B968F8" w:rsidRDefault="0020047A">
      <w:pPr>
        <w:pStyle w:val="Text"/>
        <w:numPr>
          <w:ilvl w:val="0"/>
          <w:numId w:val="5"/>
        </w:numPr>
        <w:rPr>
          <w:sz w:val="22"/>
          <w:lang w:val="el-GR"/>
        </w:rPr>
      </w:pPr>
      <w:r w:rsidRPr="00B968F8">
        <w:rPr>
          <w:sz w:val="22"/>
          <w:lang w:val="el-GR"/>
        </w:rPr>
        <w:t>Σοβαρή ηπατική ανεπάρκεια (Τάξη C κατά Child-Pugh).</w:t>
      </w:r>
    </w:p>
    <w:p w:rsidR="0020047A" w:rsidRPr="00B968F8" w:rsidRDefault="0020047A">
      <w:pPr>
        <w:pStyle w:val="Text"/>
        <w:numPr>
          <w:ilvl w:val="0"/>
          <w:numId w:val="5"/>
        </w:numPr>
        <w:rPr>
          <w:sz w:val="22"/>
          <w:lang w:val="el-GR"/>
        </w:rPr>
      </w:pPr>
      <w:r w:rsidRPr="00B968F8">
        <w:rPr>
          <w:sz w:val="22"/>
          <w:lang w:val="el-GR"/>
        </w:rPr>
        <w:t>Ενεργό γαστρεντερικό έλκος, ενδοκρανιακή αιμορραγία, κάκωση ή άλλη κατάσταση αιμορραγίας.</w:t>
      </w:r>
    </w:p>
    <w:p w:rsidR="0020047A" w:rsidRPr="00B968F8" w:rsidRDefault="0020047A">
      <w:pPr>
        <w:pStyle w:val="Text"/>
        <w:numPr>
          <w:ilvl w:val="0"/>
          <w:numId w:val="5"/>
        </w:numPr>
        <w:rPr>
          <w:sz w:val="22"/>
          <w:lang w:val="el-GR"/>
        </w:rPr>
      </w:pPr>
      <w:r w:rsidRPr="00B968F8">
        <w:rPr>
          <w:sz w:val="22"/>
          <w:lang w:val="el-GR"/>
        </w:rPr>
        <w:t>Συγγενής ή επίκτητη βαλβιδική βλάβη με κλινικά σημαντικ</w:t>
      </w:r>
      <w:r w:rsidR="00DB593F" w:rsidRPr="00B968F8">
        <w:rPr>
          <w:sz w:val="22"/>
          <w:lang w:val="el-GR"/>
        </w:rPr>
        <w:t>ή δυσ</w:t>
      </w:r>
      <w:r w:rsidRPr="00B968F8">
        <w:rPr>
          <w:sz w:val="22"/>
          <w:lang w:val="el-GR"/>
        </w:rPr>
        <w:t>λειτουργία του μυοκαρδίου που δεν συνδέ</w:t>
      </w:r>
      <w:r w:rsidR="00DB593F" w:rsidRPr="00B968F8">
        <w:rPr>
          <w:sz w:val="22"/>
          <w:lang w:val="el-GR"/>
        </w:rPr>
        <w:t>ε</w:t>
      </w:r>
      <w:r w:rsidRPr="00B968F8">
        <w:rPr>
          <w:sz w:val="22"/>
          <w:lang w:val="el-GR"/>
        </w:rPr>
        <w:t>ται με πνευμονική υπέρταση.</w:t>
      </w:r>
    </w:p>
    <w:p w:rsidR="0020047A" w:rsidRPr="00B968F8" w:rsidRDefault="0020047A">
      <w:pPr>
        <w:pStyle w:val="Text"/>
        <w:numPr>
          <w:ilvl w:val="0"/>
          <w:numId w:val="5"/>
        </w:numPr>
        <w:rPr>
          <w:sz w:val="22"/>
          <w:lang w:val="el-GR"/>
        </w:rPr>
      </w:pPr>
      <w:r w:rsidRPr="00B968F8">
        <w:rPr>
          <w:sz w:val="22"/>
          <w:lang w:val="el-GR"/>
        </w:rPr>
        <w:t xml:space="preserve">Σοβαρή στεφανιαία καρδιακή νόσος ή ασταθής στηθάγχη, έμφραγμα του μυοκαρδίου εντός των τελευταίων έξι μηνών, μη αντιρροπούμενη καρδιακή ανεπάρκεια εφόσον δεν βρίσκεται υπό στενή ιατρική παρακολούθηση, σοβαρές αρρυθμίες, αγγειακά εγκεφαλικά επεισόδια (π.χ. παροδική ισχαιμική προσβολή, εγκεφαλικό επεισόδιο) εντός των τελευταίων </w:t>
      </w:r>
      <w:r w:rsidR="00DB593F" w:rsidRPr="00B968F8">
        <w:rPr>
          <w:sz w:val="22"/>
          <w:lang w:val="el-GR"/>
        </w:rPr>
        <w:t xml:space="preserve">τριών </w:t>
      </w:r>
      <w:r w:rsidRPr="00B968F8">
        <w:rPr>
          <w:sz w:val="22"/>
          <w:lang w:val="el-GR"/>
        </w:rPr>
        <w:t>μηνών.</w:t>
      </w:r>
    </w:p>
    <w:p w:rsidR="00B968F8" w:rsidRPr="00B968F8" w:rsidRDefault="00B968F8" w:rsidP="00B968F8">
      <w:pPr>
        <w:pStyle w:val="Text"/>
        <w:rPr>
          <w:sz w:val="22"/>
          <w:lang w:val="el-GR"/>
        </w:rPr>
      </w:pP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4.4.</w:t>
      </w:r>
      <w:r w:rsidRPr="00B968F8">
        <w:rPr>
          <w:rFonts w:ascii="Times New Roman" w:hAnsi="Times New Roman" w:cs="Times New Roman"/>
          <w:sz w:val="22"/>
          <w:lang w:val="el-GR"/>
        </w:rPr>
        <w:tab/>
        <w:t>Ειδικές προειδοποιήσεις και ιδιαίτερες προφυλάξεις κατά τη χρήση</w:t>
      </w:r>
    </w:p>
    <w:p w:rsidR="0020047A" w:rsidRPr="00B968F8" w:rsidRDefault="0020047A">
      <w:pPr>
        <w:pStyle w:val="Text"/>
        <w:rPr>
          <w:sz w:val="22"/>
          <w:lang w:val="el-GR"/>
        </w:rPr>
      </w:pPr>
      <w:r w:rsidRPr="00B968F8">
        <w:rPr>
          <w:sz w:val="22"/>
          <w:lang w:val="el-GR"/>
        </w:rPr>
        <w:t>Προτού αποφασιστεί η έναρξη θεραπείας με REMODULIN, θα πρέπει να ληφθεί υπόψη ότι είναι πολύ πιθανό η συνεχής έγχυση να χρειαστεί να παραταθεί για μεγάλο χρονικό διάστημα. Κατά συνέπεια, θα πρέπει να εξεταστεί προσεκτικά εάν ο ασθενής είναι σε θέση να αποδεχτεί και να αναλάβει την ευθύνη της ύπαρξης ενός μόνιμου καθετήρα και μιας συσκευής έγχυσης.</w:t>
      </w:r>
    </w:p>
    <w:p w:rsidR="0020047A" w:rsidRPr="00B968F8" w:rsidRDefault="0020047A">
      <w:pPr>
        <w:pStyle w:val="Text"/>
        <w:rPr>
          <w:sz w:val="22"/>
          <w:lang w:val="el-GR"/>
        </w:rPr>
      </w:pPr>
      <w:r w:rsidRPr="00B968F8">
        <w:rPr>
          <w:sz w:val="22"/>
          <w:lang w:val="el-GR"/>
        </w:rPr>
        <w:t>Η τρεπροστινίλη είναι ένας ισχυρός πνευμονικός και συστηματικός αγγειοδιασταλτικός παράγοντας. Σε ασθενείς με χαμηλή συστηματική αρτηριακή πίεση, η θεραπεία με τρεπροστινίλη ενδέχεται να αυξήσει τον κίνδυνο συστηματικής υπότασης. Η θεραπεία αυτή δεν συνιστάται για ασθενείς με συστολική αρτηριακή πίεση μικρότερη από 85 mmHg.</w:t>
      </w:r>
    </w:p>
    <w:p w:rsidR="0020047A" w:rsidRPr="00B968F8" w:rsidRDefault="0020047A">
      <w:pPr>
        <w:pStyle w:val="Text"/>
        <w:rPr>
          <w:sz w:val="22"/>
          <w:lang w:val="el-GR"/>
        </w:rPr>
      </w:pPr>
      <w:r w:rsidRPr="00B968F8">
        <w:rPr>
          <w:sz w:val="22"/>
          <w:lang w:val="el-GR"/>
        </w:rPr>
        <w:t>Κατά τη διάρκεια οποιασδήποτε αλλαγής στη δόση, συνιστάται να παρακολουθείται η συστηματική πίεση του αίματος και ο καρδιακός ρυθμός και να δίνονται οδηγίες για διακοπή της έγχυσης εφόσον παρατηρηθούν συμπτώματα υπότασης ή συστολική πίεση αίματος ίση ή μικρότερη από 85</w:t>
      </w:r>
      <w:r w:rsidR="00DB593F" w:rsidRPr="00B968F8">
        <w:rPr>
          <w:sz w:val="22"/>
          <w:lang w:val="el-GR"/>
        </w:rPr>
        <w:t xml:space="preserve"> </w:t>
      </w:r>
      <w:r w:rsidR="00DB593F" w:rsidRPr="00B968F8">
        <w:rPr>
          <w:sz w:val="22"/>
          <w:szCs w:val="22"/>
        </w:rPr>
        <w:t>mmHg</w:t>
      </w:r>
      <w:r w:rsidRPr="00B968F8">
        <w:rPr>
          <w:sz w:val="22"/>
          <w:lang w:val="el-GR"/>
        </w:rPr>
        <w:t>.</w:t>
      </w:r>
    </w:p>
    <w:p w:rsidR="0020047A" w:rsidRPr="00B968F8" w:rsidRDefault="0020047A">
      <w:pPr>
        <w:pStyle w:val="Text"/>
        <w:rPr>
          <w:sz w:val="22"/>
          <w:lang w:val="el-GR"/>
        </w:rPr>
      </w:pPr>
      <w:r w:rsidRPr="00B968F8">
        <w:rPr>
          <w:sz w:val="22"/>
          <w:lang w:val="el-GR"/>
        </w:rPr>
        <w:t>Η απότομη διακοπή ή η αιφνίδια σημαντική μείωση της δόσης του REMODULIN πιθανόν να προκαλέσουν φαινόμενο αναπήδησης (rebound) της πνευμονικής αρτηριακής υπέρτασης</w:t>
      </w:r>
      <w:r w:rsidR="00DB593F" w:rsidRPr="00B968F8">
        <w:rPr>
          <w:sz w:val="22"/>
          <w:lang w:val="el-GR"/>
        </w:rPr>
        <w:t xml:space="preserve"> (ανατρέξτε στην ενότητα 4.2)</w:t>
      </w:r>
      <w:r w:rsidRPr="00B968F8">
        <w:rPr>
          <w:sz w:val="22"/>
          <w:lang w:val="el-GR"/>
        </w:rPr>
        <w:t xml:space="preserve">. </w:t>
      </w:r>
    </w:p>
    <w:p w:rsidR="0020047A" w:rsidRPr="00B968F8" w:rsidRDefault="0020047A">
      <w:pPr>
        <w:pStyle w:val="Text"/>
        <w:rPr>
          <w:sz w:val="22"/>
          <w:lang w:val="el-GR"/>
        </w:rPr>
      </w:pPr>
      <w:r w:rsidRPr="00B968F8">
        <w:rPr>
          <w:sz w:val="22"/>
          <w:lang w:val="el-GR"/>
        </w:rPr>
        <w:t xml:space="preserve">Εάν κάποιος ασθενής υποστεί πνευμονικό οίδημα ενόσω υποβάλλεται σε θεραπεία με REMODULIN, θα πρέπει να εξεταστεί η πιθανότητα συνοδού </w:t>
      </w:r>
      <w:r w:rsidR="00DB593F" w:rsidRPr="00B968F8">
        <w:rPr>
          <w:sz w:val="22"/>
          <w:lang w:val="el-GR"/>
        </w:rPr>
        <w:t xml:space="preserve">πνευμονικής </w:t>
      </w:r>
      <w:r w:rsidRPr="00B968F8">
        <w:rPr>
          <w:sz w:val="22"/>
          <w:lang w:val="el-GR"/>
        </w:rPr>
        <w:t>φλεβοαποφρακτικής νόσου. Η θεραπεία θα πρέπει να διακοπεί.</w:t>
      </w:r>
    </w:p>
    <w:p w:rsidR="0020047A" w:rsidRPr="00B968F8" w:rsidRDefault="0020047A">
      <w:pPr>
        <w:pStyle w:val="Text"/>
        <w:rPr>
          <w:sz w:val="22"/>
          <w:lang w:val="el-GR"/>
        </w:rPr>
      </w:pPr>
      <w:r w:rsidRPr="00B968F8">
        <w:rPr>
          <w:sz w:val="22"/>
          <w:lang w:val="el-GR"/>
        </w:rPr>
        <w:t>Η κάθαρση της τρεπροστινίλης σε παχύσαρκους ασθενείς (με δείκτη μάζας σώματος [BMI] υψηλότερο από 30 kg/m</w:t>
      </w:r>
      <w:r w:rsidRPr="00B968F8">
        <w:rPr>
          <w:sz w:val="22"/>
          <w:vertAlign w:val="superscript"/>
          <w:lang w:val="el-GR"/>
        </w:rPr>
        <w:t>2</w:t>
      </w:r>
      <w:r w:rsidRPr="00B968F8">
        <w:rPr>
          <w:sz w:val="22"/>
          <w:lang w:val="el-GR"/>
        </w:rPr>
        <w:t>) πραγματοποιείται με πιο αργό ρυθμό.</w:t>
      </w:r>
    </w:p>
    <w:p w:rsidR="0020047A" w:rsidRPr="00B968F8" w:rsidRDefault="0020047A">
      <w:pPr>
        <w:pStyle w:val="Text"/>
        <w:rPr>
          <w:sz w:val="22"/>
          <w:lang w:val="el-GR"/>
        </w:rPr>
      </w:pPr>
      <w:r w:rsidRPr="00B968F8">
        <w:rPr>
          <w:sz w:val="22"/>
          <w:lang w:val="el-GR"/>
        </w:rPr>
        <w:t>Τα οφέλη της θεραπείας με υποδόρια χορήγηση REMODULIN σε ασθενείς με πιο σοβαρή πνευμονική αρτηριακή υπέρταση (</w:t>
      </w:r>
      <w:r w:rsidR="00DB593F" w:rsidRPr="00B968F8">
        <w:rPr>
          <w:sz w:val="22"/>
          <w:lang w:val="el-GR"/>
        </w:rPr>
        <w:t xml:space="preserve">λειτουργικής τάξης </w:t>
      </w:r>
      <w:r w:rsidRPr="00B968F8">
        <w:rPr>
          <w:sz w:val="22"/>
          <w:lang w:val="el-GR"/>
        </w:rPr>
        <w:t>IV κατά NYHA) δεν έχουν διαπιστωθεί.</w:t>
      </w:r>
    </w:p>
    <w:p w:rsidR="0020047A" w:rsidRPr="00B968F8" w:rsidRDefault="0020047A">
      <w:pPr>
        <w:pStyle w:val="Text"/>
        <w:rPr>
          <w:sz w:val="22"/>
          <w:lang w:val="el-GR"/>
        </w:rPr>
      </w:pPr>
      <w:r w:rsidRPr="00B968F8">
        <w:rPr>
          <w:sz w:val="22"/>
          <w:lang w:val="el-GR"/>
        </w:rPr>
        <w:t>Ο λόγος αποτελεσματικότητας/ασφάλειας του REMODULIN δεν έχει μελετηθεί στην πνευμονική αρτηριακή υπέρταση που συνοδεύεται από καρδιακή αριστεροδεξιά διαφυγή, πυλαία υπέρταση ή λοίμωξη από τον ιό HIV.</w:t>
      </w:r>
    </w:p>
    <w:p w:rsidR="0020047A" w:rsidRPr="00B968F8" w:rsidRDefault="0020047A">
      <w:pPr>
        <w:pStyle w:val="Text"/>
        <w:rPr>
          <w:sz w:val="22"/>
          <w:lang w:val="el-GR"/>
        </w:rPr>
      </w:pPr>
      <w:r w:rsidRPr="00B968F8">
        <w:rPr>
          <w:sz w:val="22"/>
          <w:lang w:val="el-GR"/>
        </w:rPr>
        <w:t>Η δόση για ασθενείς με μειωμένη ηπατική και νεφρική λειτουργία θα πρέπει να καθορίζεται με προσοχή (ανατρέξτε στην ενότητα 4.2).</w:t>
      </w:r>
    </w:p>
    <w:p w:rsidR="0020047A" w:rsidRPr="00B968F8" w:rsidRDefault="0020047A">
      <w:pPr>
        <w:pStyle w:val="Text"/>
        <w:rPr>
          <w:sz w:val="22"/>
          <w:lang w:val="el-GR"/>
        </w:rPr>
      </w:pPr>
      <w:r w:rsidRPr="00B968F8">
        <w:rPr>
          <w:sz w:val="22"/>
          <w:lang w:val="el-GR"/>
        </w:rPr>
        <w:t>Καθώς η τρεπροστινίλη και οι μεταβολίτες της απεκκρίνονται κυρίως μέσω των ούρων, συνιστάται ιδιαίτερη προσοχή κατά τη θεραπεία ασθενών με νεφρική βλάβη προκειμένου να αποφευχθούν οι επιβλαβείς συνέπειες που σχετίζονται με πιθανή αύξηση της συστηματικής έκθεσης (ανατρέξτε στην ενότητα 4.2).</w:t>
      </w:r>
    </w:p>
    <w:p w:rsidR="0020047A" w:rsidRPr="00B968F8" w:rsidRDefault="0020047A">
      <w:pPr>
        <w:pStyle w:val="Text"/>
        <w:rPr>
          <w:sz w:val="22"/>
          <w:lang w:val="el-GR"/>
        </w:rPr>
      </w:pPr>
      <w:r w:rsidRPr="00B968F8">
        <w:rPr>
          <w:sz w:val="22"/>
          <w:lang w:val="el-GR"/>
        </w:rPr>
        <w:t>Συνιστάται επίσης προσοχή σε περιπτώσεις όπου η τρεπροστινίλη ενδέχεται να αυξήσει τον κίνδυνο αιμορραγίας μέσω της αναστολής της συγκόλλησης των αιμοπεταλίων.</w:t>
      </w:r>
    </w:p>
    <w:p w:rsidR="0020047A" w:rsidRPr="00B968F8" w:rsidRDefault="0020047A">
      <w:pPr>
        <w:pStyle w:val="Text"/>
        <w:rPr>
          <w:sz w:val="22"/>
          <w:lang w:val="el-GR"/>
        </w:rPr>
      </w:pPr>
      <w:r w:rsidRPr="00B968F8">
        <w:rPr>
          <w:sz w:val="22"/>
          <w:lang w:val="el-GR"/>
        </w:rPr>
        <w:lastRenderedPageBreak/>
        <w:t>Ένα φιαλίδιο REMODULIN 10 mg/ml των 20</w:t>
      </w:r>
      <w:r w:rsidR="00B968F8">
        <w:rPr>
          <w:sz w:val="22"/>
        </w:rPr>
        <w:t> </w:t>
      </w:r>
      <w:r w:rsidRPr="00B968F8">
        <w:rPr>
          <w:sz w:val="22"/>
          <w:lang w:val="el-GR"/>
        </w:rPr>
        <w:t>ml περιέχει 55,1</w:t>
      </w:r>
      <w:r w:rsidR="00B968F8">
        <w:rPr>
          <w:sz w:val="22"/>
        </w:rPr>
        <w:t> </w:t>
      </w:r>
      <w:r w:rsidRPr="00B968F8">
        <w:rPr>
          <w:sz w:val="22"/>
          <w:lang w:val="el-GR"/>
        </w:rPr>
        <w:t>mg νατρίου. Αυτό θα πρέπει να λαμβάνεται υπόψη από τους ασθενείς που ακολουθούν δίαιτα με ελεγχόμενη περιεκτικότητα σε νάτριο.</w:t>
      </w:r>
    </w:p>
    <w:p w:rsidR="00DB593F" w:rsidRPr="00B968F8" w:rsidRDefault="00DB593F">
      <w:pPr>
        <w:pStyle w:val="Text"/>
        <w:rPr>
          <w:sz w:val="22"/>
          <w:lang w:val="el-GR"/>
        </w:rPr>
      </w:pPr>
    </w:p>
    <w:p w:rsidR="00DB593F" w:rsidRPr="00B968F8" w:rsidRDefault="00DB593F" w:rsidP="00DB593F">
      <w:pPr>
        <w:pStyle w:val="Text"/>
        <w:spacing w:before="0"/>
        <w:rPr>
          <w:b/>
          <w:sz w:val="22"/>
          <w:lang w:val="el-GR"/>
        </w:rPr>
      </w:pPr>
      <w:r w:rsidRPr="00B968F8">
        <w:rPr>
          <w:b/>
          <w:sz w:val="22"/>
          <w:u w:val="single"/>
          <w:lang w:val="el-GR"/>
        </w:rPr>
        <w:t>Ανεπιθύμητες ενέργειες που αποδίδονται στο Σύστημα ενδοφλέβιας χορήγησης φαρμάκου:</w:t>
      </w:r>
    </w:p>
    <w:p w:rsidR="00DB593F" w:rsidRPr="00B968F8" w:rsidRDefault="00DB593F" w:rsidP="00DB593F">
      <w:pPr>
        <w:pStyle w:val="Text"/>
        <w:spacing w:before="0"/>
        <w:rPr>
          <w:lang w:val="el-GR"/>
        </w:rPr>
      </w:pPr>
      <w:r w:rsidRPr="00B968F8">
        <w:rPr>
          <w:sz w:val="22"/>
          <w:lang w:val="el-GR"/>
        </w:rPr>
        <w:t xml:space="preserve">Έχουν αναφερθεί αιματογενείς λοιμώξεις που σχετίζονται με τον κεντρικό φλεβικό καθετήρα και σήψη σε ασθενείς που λαμβάνουν </w:t>
      </w:r>
      <w:r w:rsidRPr="00B968F8">
        <w:rPr>
          <w:b/>
          <w:sz w:val="22"/>
          <w:lang w:val="el-GR"/>
        </w:rPr>
        <w:t>REMODULIN μέσω ενδοφλέβιας έγχυσης</w:t>
      </w:r>
      <w:r w:rsidRPr="00B968F8">
        <w:rPr>
          <w:sz w:val="22"/>
          <w:lang w:val="el-GR"/>
        </w:rPr>
        <w:t xml:space="preserve">.  Οι παρακάτω κίνδυνοι αποδίδονται στο σύστημα χορήγησης του φαρμάκου.  Σε μια αναδρομική έρευνα του Κέντρου Ελέγχου Νοσημάτων σε επτά κέντρα στις Ηνωμένες Πολιτείες στα οποία χρησιμοποιούνταν το REMODULIN με ενδοφλέβια χορήγηση για τη θεραπεία της ΠΑΥ βρέθηκε ρυθμός επίπτωσης αιματογενών λοιμώξεων σχετιζόμενων με καθετήρες που ανέρχεται σε 1,10 συμβάματα ανά 1000 ημέρες καθετηριασμού.  Οι κλινικοί ιατροί θα πρέπει να γνωρίζουν το εύρος των πιθανών Gram αρνητικών και Gram θετικών οργανισμών που ενδέχεται να μολύνουν ασθενείς με μακροχρόνια χρήση κεντρικών φλεβικών καθετήρων, συνεπώς, η προτιμώμενη μέθοδος χορήγησης του μη αραιωμένου REMODULIN είναι η συνεχής υποδόρια έγχυση.  </w:t>
      </w:r>
    </w:p>
    <w:p w:rsidR="00DB593F" w:rsidRPr="00B968F8" w:rsidRDefault="00DB593F" w:rsidP="00DB593F">
      <w:pPr>
        <w:pStyle w:val="Text"/>
        <w:spacing w:before="0"/>
        <w:rPr>
          <w:sz w:val="22"/>
          <w:lang w:val="el-GR"/>
        </w:rPr>
      </w:pPr>
    </w:p>
    <w:p w:rsidR="00DB593F" w:rsidRPr="00B968F8" w:rsidRDefault="00DB593F" w:rsidP="00DB593F">
      <w:pPr>
        <w:pStyle w:val="Text"/>
        <w:spacing w:before="0"/>
        <w:rPr>
          <w:b/>
          <w:lang w:val="el-GR"/>
        </w:rPr>
      </w:pPr>
      <w:r w:rsidRPr="00B968F8">
        <w:rPr>
          <w:sz w:val="22"/>
          <w:lang w:val="el-GR"/>
        </w:rPr>
        <w:t xml:space="preserve">Η κλινική ομάδα που είναι υπεύθυνη για τη θεραπεία πρέπει να διασφαλίζει ότι ο ασθενής έχει εκπαιδευτεί πλήρως και είναι ικανός/ή να χρησιμοποιεί την επιλεγμένη συσκευή έγχυσης (ανατρέξτε στην ενότητα 4.2).  </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4.5.</w:t>
      </w:r>
      <w:r w:rsidRPr="00B968F8">
        <w:rPr>
          <w:rFonts w:ascii="Times New Roman" w:hAnsi="Times New Roman" w:cs="Times New Roman"/>
          <w:sz w:val="22"/>
          <w:lang w:val="el-GR"/>
        </w:rPr>
        <w:tab/>
        <w:t>Αλληλεπιδράσεις με άλλα φαρμακευτικά προϊόντα και άλλες μορφές αλληλεπίδρασης</w:t>
      </w:r>
    </w:p>
    <w:p w:rsidR="0020047A" w:rsidRPr="00B968F8" w:rsidRDefault="0020047A" w:rsidP="00067B9C">
      <w:pPr>
        <w:pStyle w:val="Text"/>
        <w:keepNext/>
        <w:keepLines/>
        <w:rPr>
          <w:b/>
          <w:i/>
          <w:sz w:val="22"/>
          <w:u w:val="single"/>
          <w:lang w:val="el-GR"/>
        </w:rPr>
      </w:pPr>
      <w:r w:rsidRPr="00B968F8">
        <w:rPr>
          <w:b/>
          <w:i/>
          <w:sz w:val="22"/>
          <w:u w:val="single"/>
          <w:lang w:val="el-GR"/>
        </w:rPr>
        <w:t>Συνδυασμοί που θα πρέπει να εξετάζονται</w:t>
      </w:r>
    </w:p>
    <w:p w:rsidR="0020047A" w:rsidRPr="00B968F8" w:rsidRDefault="0020047A" w:rsidP="00067B9C">
      <w:pPr>
        <w:pStyle w:val="Text"/>
        <w:keepNext/>
        <w:keepLines/>
        <w:rPr>
          <w:b/>
          <w:sz w:val="22"/>
          <w:lang w:val="el-GR"/>
        </w:rPr>
      </w:pPr>
      <w:r w:rsidRPr="00B968F8">
        <w:rPr>
          <w:b/>
          <w:sz w:val="22"/>
          <w:lang w:val="el-GR"/>
        </w:rPr>
        <w:t>+ Διουρητικά, αντιυπερτασικοί παράγοντες ή άλλα αγγειοδιασταλτικά</w:t>
      </w:r>
    </w:p>
    <w:p w:rsidR="0020047A" w:rsidRPr="00B968F8" w:rsidRDefault="0020047A">
      <w:pPr>
        <w:pStyle w:val="Text"/>
        <w:rPr>
          <w:sz w:val="22"/>
          <w:lang w:val="el-GR"/>
        </w:rPr>
      </w:pPr>
      <w:r w:rsidRPr="00B968F8">
        <w:rPr>
          <w:sz w:val="22"/>
          <w:lang w:val="el-GR"/>
        </w:rPr>
        <w:t xml:space="preserve">Η παράλληλη χορήγηση του REMODULIN με διουρητικά, αντιυπερτασικούς παράγοντες ή άλλα αγγειοδιασταλτικά φάρμακα αυξάνει τον κίνδυνο συστηματικής υπότασης. </w:t>
      </w:r>
    </w:p>
    <w:p w:rsidR="0020047A" w:rsidRPr="00B968F8" w:rsidRDefault="0020047A" w:rsidP="00067B9C">
      <w:pPr>
        <w:pStyle w:val="Text"/>
        <w:keepNext/>
        <w:keepLines/>
        <w:rPr>
          <w:b/>
          <w:sz w:val="22"/>
          <w:lang w:val="el-GR"/>
        </w:rPr>
      </w:pPr>
      <w:r w:rsidRPr="00B968F8">
        <w:rPr>
          <w:b/>
          <w:sz w:val="22"/>
          <w:lang w:val="el-GR"/>
        </w:rPr>
        <w:t>+ Αναστολείς της συγκόλλησης των αιμοπεταλίων και αντιπηκτικά</w:t>
      </w:r>
    </w:p>
    <w:p w:rsidR="0020047A" w:rsidRPr="00B968F8" w:rsidRDefault="0020047A">
      <w:pPr>
        <w:pStyle w:val="Text"/>
        <w:rPr>
          <w:sz w:val="22"/>
          <w:lang w:val="el-GR"/>
        </w:rPr>
      </w:pPr>
      <w:r w:rsidRPr="00B968F8">
        <w:rPr>
          <w:sz w:val="22"/>
          <w:lang w:val="el-GR"/>
        </w:rPr>
        <w:t>Η τρεπροστινίλη πιθανόν να αναστείλει την αιμοπεταλιακή λειτουργία. Η ταυτόχρονη χορήγηση του REMODULIN με αναστολείς της συγκόλλησης των αιμοπεταλίων, συμπεριλαμβανομένων των μη στεροειδών αντιφλεγμονωδών φαρμάκων (ΜΣΑΦ), με δότες μονοξειδίου του αζώτου ή με αντιπηκτικά ενδέχεται να αυξήσει τον κίνδυνο αιμορραγίας. Οι ασθενείς που λαμβάνουν αντιπηκτικά θα πρέπει να βρίσκονται υπό συνεχή επίβλεψη, σύμφωνα με τις καθιερωμένες συστάσεις ιατρικής πρακτικής, κατά την παρακολούθηση τέτοιων θεραπευτικών αγωγών. Θα πρέπει να αποφεύγεται η ταυτόχρονη χορήγηση άλλων αναστολέων των αιμοπεταλίων σε ασθενείς που λαμβάνουν αντιπηκτικά. Η συνεχής υποδόρια έγχυση τρεπροστινίλης δεν είχε καμία επίδραση στη φαρμακοδυναμική ή στη φαρμακοκινητική μιας εφάπαξ δόσης (25 mg) βαρφαρίνης. Δεν υπάρχουν διαθέσιμα στοιχεία σχετικά με τις δυνητικές αλληλεπιδράσεις που μπορούν να οδηγήσουν σε αυξημένο κίνδυνο αιμορραγίας εάν η τρεπροστινίλη συνταγογραφηθεί παράλληλα με δότες μονοξειδίου του αζώτου.</w:t>
      </w:r>
    </w:p>
    <w:p w:rsidR="0020047A" w:rsidRPr="00B968F8" w:rsidRDefault="0020047A" w:rsidP="00067B9C">
      <w:pPr>
        <w:pStyle w:val="Text"/>
        <w:keepNext/>
        <w:keepLines/>
        <w:rPr>
          <w:b/>
          <w:sz w:val="22"/>
          <w:lang w:val="el-GR"/>
        </w:rPr>
      </w:pPr>
      <w:r w:rsidRPr="00B968F8">
        <w:rPr>
          <w:b/>
          <w:sz w:val="22"/>
          <w:lang w:val="el-GR"/>
        </w:rPr>
        <w:t>+ Φουροσεμίδη</w:t>
      </w:r>
    </w:p>
    <w:p w:rsidR="0020047A" w:rsidRPr="00B968F8" w:rsidRDefault="0020047A">
      <w:pPr>
        <w:pStyle w:val="Text"/>
        <w:rPr>
          <w:sz w:val="22"/>
          <w:lang w:val="el-GR"/>
        </w:rPr>
      </w:pPr>
      <w:r w:rsidRPr="00B968F8">
        <w:rPr>
          <w:sz w:val="22"/>
          <w:lang w:val="el-GR"/>
        </w:rPr>
        <w:t xml:space="preserve">Η κάθαρση της τρεπροστινίλης από το πλάσμα πιθανόν να είναι ελαφρώς μειωμένη σε ασθενείς υπό θεραπεία με φουροσεμίδη. Η αλληλεπίδραση αυτή οφείλεται πιθανότατα σε ορισμένες μεταβολικές αντιδράσεις που είναι κοινές για τις δύο ενώσεις (σύζευξη γλυκουρονικού οξέος στην καρβοξυλομάδα). </w:t>
      </w:r>
    </w:p>
    <w:p w:rsidR="00B968F8" w:rsidRPr="00B968F8" w:rsidRDefault="0020047A" w:rsidP="00B968F8">
      <w:pPr>
        <w:pStyle w:val="2"/>
        <w:jc w:val="both"/>
        <w:rPr>
          <w:rFonts w:ascii="Times New Roman" w:hAnsi="Times New Roman" w:cs="Times New Roman"/>
          <w:sz w:val="22"/>
        </w:rPr>
      </w:pPr>
      <w:r w:rsidRPr="00B968F8">
        <w:t>4.6.</w:t>
      </w:r>
      <w:r w:rsidRPr="00B968F8">
        <w:tab/>
        <w:t>Κύηση και γαλουχία</w:t>
      </w:r>
    </w:p>
    <w:p w:rsidR="0020047A" w:rsidRPr="00B968F8" w:rsidRDefault="0020047A">
      <w:pPr>
        <w:pStyle w:val="Text"/>
        <w:keepNext/>
        <w:rPr>
          <w:b/>
          <w:i/>
          <w:sz w:val="22"/>
          <w:u w:val="single"/>
          <w:lang w:val="el-GR"/>
        </w:rPr>
      </w:pPr>
      <w:r w:rsidRPr="00B968F8">
        <w:rPr>
          <w:b/>
          <w:i/>
          <w:sz w:val="22"/>
          <w:u w:val="single"/>
          <w:lang w:val="el-GR"/>
        </w:rPr>
        <w:t>Κύηση</w:t>
      </w:r>
    </w:p>
    <w:p w:rsidR="0020047A" w:rsidRPr="00B968F8" w:rsidRDefault="0020047A">
      <w:pPr>
        <w:pStyle w:val="Text"/>
        <w:rPr>
          <w:sz w:val="22"/>
          <w:lang w:val="el-GR"/>
        </w:rPr>
      </w:pPr>
      <w:r w:rsidRPr="00B968F8">
        <w:rPr>
          <w:sz w:val="22"/>
          <w:lang w:val="el-GR"/>
        </w:rPr>
        <w:t>Δεν υπάρχουν διαθέσιμα επαρκή δεδομένα για τη χρήση της τρεπροστινίλης σε εγκύους. Οι μελέτες σε ζώα δεν είναι επαρκείς όσον αφορά τις επιδράσεις στην κύηση (ανατρέξτε στην ενότητα 5.3). Ο πιθανός κίνδυνος για τους ανθρώπους δεν είναι γνωστός. Το Remodulin θα πρέπει να χρησιμοποιείται κατά τη διάρκεια της κύησης μόνον εφόσον το δυνητικό όφελος για τη μητέρα δικαιολογεί τον δυνητικό κίνδυνο για το έμβρυο.</w:t>
      </w:r>
    </w:p>
    <w:p w:rsidR="0020047A" w:rsidRPr="00B968F8" w:rsidRDefault="0020047A" w:rsidP="00067B9C">
      <w:pPr>
        <w:pStyle w:val="Text"/>
        <w:keepNext/>
        <w:keepLines/>
        <w:rPr>
          <w:sz w:val="22"/>
          <w:u w:val="single"/>
          <w:lang w:val="el-GR"/>
        </w:rPr>
      </w:pPr>
      <w:r w:rsidRPr="00B968F8">
        <w:rPr>
          <w:sz w:val="22"/>
          <w:u w:val="single"/>
          <w:lang w:val="el-GR"/>
        </w:rPr>
        <w:lastRenderedPageBreak/>
        <w:t>Γυναίκες με δυνατότητα τεκνοποίησης</w:t>
      </w:r>
    </w:p>
    <w:p w:rsidR="0020047A" w:rsidRPr="00B968F8" w:rsidRDefault="0020047A">
      <w:pPr>
        <w:pStyle w:val="Text"/>
        <w:rPr>
          <w:sz w:val="22"/>
          <w:lang w:val="el-GR"/>
        </w:rPr>
      </w:pPr>
      <w:r w:rsidRPr="00B968F8">
        <w:rPr>
          <w:sz w:val="22"/>
          <w:lang w:val="el-GR"/>
        </w:rPr>
        <w:t>Κατά τη διάρκεια της θεραπείας με REMODULIN συνιστάται η χρήση αντισύλληψης.</w:t>
      </w:r>
    </w:p>
    <w:p w:rsidR="0020047A" w:rsidRPr="00B968F8" w:rsidRDefault="0020047A" w:rsidP="00067B9C">
      <w:pPr>
        <w:pStyle w:val="Text"/>
        <w:keepNext/>
        <w:keepLines/>
        <w:rPr>
          <w:b/>
          <w:i/>
          <w:sz w:val="22"/>
          <w:u w:val="single"/>
          <w:lang w:val="el-GR"/>
        </w:rPr>
      </w:pPr>
      <w:r w:rsidRPr="00B968F8">
        <w:rPr>
          <w:b/>
          <w:i/>
          <w:sz w:val="22"/>
          <w:u w:val="single"/>
          <w:lang w:val="el-GR"/>
        </w:rPr>
        <w:t>Γαλουχία</w:t>
      </w:r>
    </w:p>
    <w:p w:rsidR="0020047A" w:rsidRPr="00B968F8" w:rsidRDefault="0020047A">
      <w:pPr>
        <w:pStyle w:val="Text"/>
        <w:rPr>
          <w:sz w:val="22"/>
          <w:lang w:val="el-GR"/>
        </w:rPr>
      </w:pPr>
      <w:r w:rsidRPr="00B968F8">
        <w:rPr>
          <w:sz w:val="22"/>
          <w:lang w:val="el-GR"/>
        </w:rPr>
        <w:t>Δεν είναι γνωστό εάν η τρεπροστινίλη απεκκρίνεται στο μητρικό γάλα. Συνιστάται στις θηλάζουσες γυναίκες που λαμβάνουν REMODULIN να διακόψουν το θηλασμό.</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4.7.</w:t>
      </w:r>
      <w:r w:rsidRPr="00B968F8">
        <w:rPr>
          <w:rFonts w:ascii="Times New Roman" w:hAnsi="Times New Roman" w:cs="Times New Roman"/>
          <w:sz w:val="22"/>
          <w:lang w:val="el-GR"/>
        </w:rPr>
        <w:tab/>
        <w:t>Επιδράσεις στην ικανότητα οδήγησης και χειρισμού μηχανών</w:t>
      </w:r>
    </w:p>
    <w:p w:rsidR="0020047A" w:rsidRPr="00B968F8" w:rsidRDefault="0020047A">
      <w:pPr>
        <w:pStyle w:val="Text"/>
        <w:rPr>
          <w:sz w:val="22"/>
          <w:lang w:val="el-GR"/>
        </w:rPr>
      </w:pPr>
      <w:r w:rsidRPr="00B968F8">
        <w:rPr>
          <w:sz w:val="22"/>
          <w:lang w:val="el-GR"/>
        </w:rPr>
        <w:t>Η έναρξη της θεραπείας ή η ρύθμιση της δοσολογίας πιθανόν να συνοδεύονται από ανεπιθύμητες ενέργειες, όπως συμπτωματική συστηματική υπόταση ή ζάλη, οι οποίες ενδέχεται να επηρεάσουν την ικανότητα οδήγησης ή χειρισμού μηχανών.</w:t>
      </w:r>
    </w:p>
    <w:p w:rsidR="0020047A" w:rsidRPr="00B968F8" w:rsidRDefault="0020047A" w:rsidP="006F56F4">
      <w:pPr>
        <w:pStyle w:val="2"/>
        <w:ind w:left="850" w:hanging="850"/>
        <w:jc w:val="both"/>
        <w:rPr>
          <w:rFonts w:ascii="Times New Roman" w:hAnsi="Times New Roman" w:cs="Times New Roman"/>
          <w:sz w:val="22"/>
          <w:lang w:val="el-GR"/>
        </w:rPr>
      </w:pPr>
      <w:r w:rsidRPr="00B968F8">
        <w:rPr>
          <w:rFonts w:ascii="Times New Roman" w:hAnsi="Times New Roman" w:cs="Times New Roman"/>
          <w:sz w:val="22"/>
          <w:lang w:val="el-GR"/>
        </w:rPr>
        <w:t>4.8.</w:t>
      </w:r>
      <w:r w:rsidRPr="00B968F8">
        <w:rPr>
          <w:rFonts w:ascii="Times New Roman" w:hAnsi="Times New Roman" w:cs="Times New Roman"/>
          <w:sz w:val="22"/>
          <w:lang w:val="el-GR"/>
        </w:rPr>
        <w:tab/>
        <w:t>Ανεπιθύμητες ενέργειες</w:t>
      </w:r>
    </w:p>
    <w:p w:rsidR="0020047A" w:rsidRPr="00B968F8" w:rsidRDefault="0020047A">
      <w:pPr>
        <w:pStyle w:val="Text"/>
        <w:rPr>
          <w:sz w:val="22"/>
          <w:lang w:val="el-GR"/>
        </w:rPr>
      </w:pPr>
      <w:r w:rsidRPr="00B968F8">
        <w:rPr>
          <w:sz w:val="22"/>
          <w:lang w:val="el-GR"/>
        </w:rPr>
        <w:t>Εκτός από τοπικές επιδράσεις που οφείλονται στη χορήγηση του Remodulin μέσω υποδόριας έγχυσης, όπως π.χ. άλγος και αντίδραση στο σημείο της έγχυσης, οι ανεπιθύμητες αντιδράσεις με το Remodulin σχετίζονται με τις φαρμακολογικές ιδιότητες των προστακυκλινών.</w:t>
      </w:r>
    </w:p>
    <w:p w:rsidR="0020047A" w:rsidRPr="00B968F8" w:rsidRDefault="0020047A">
      <w:pPr>
        <w:pStyle w:val="Text"/>
        <w:rPr>
          <w:sz w:val="22"/>
          <w:lang w:val="el-GR"/>
        </w:rPr>
      </w:pPr>
      <w:r w:rsidRPr="00B968F8">
        <w:rPr>
          <w:sz w:val="22"/>
          <w:lang w:val="el-GR"/>
        </w:rPr>
        <w:t xml:space="preserve">Οι συχνότητες των ανεπιθύμητων συμβάντων που αναφέρονται παρακάτω (πολύ συχνές &gt;10%, συχνές &gt;1 – 10%) βασίζονται σε δεδομένα κλινικών δοκιμών υποδόριας έγχυσης. </w:t>
      </w:r>
    </w:p>
    <w:p w:rsidR="0020047A" w:rsidRPr="00B968F8" w:rsidRDefault="0020047A">
      <w:pPr>
        <w:pStyle w:val="Text"/>
        <w:rPr>
          <w:sz w:val="22"/>
          <w:lang w:val="el-GR"/>
        </w:rPr>
      </w:pPr>
    </w:p>
    <w:p w:rsidR="0020047A" w:rsidRPr="00B968F8" w:rsidRDefault="0020047A">
      <w:pPr>
        <w:pStyle w:val="Text"/>
        <w:rPr>
          <w:sz w:val="22"/>
          <w:lang w:val="el-GR"/>
        </w:rPr>
      </w:pPr>
      <w:r w:rsidRPr="00B968F8">
        <w:rPr>
          <w:sz w:val="22"/>
          <w:lang w:val="el-GR"/>
        </w:rPr>
        <w:t>Διαταραχές του νευρικού συστήματος</w:t>
      </w:r>
    </w:p>
    <w:p w:rsidR="0020047A" w:rsidRPr="00B968F8" w:rsidRDefault="0020047A">
      <w:pPr>
        <w:pStyle w:val="Text"/>
        <w:rPr>
          <w:sz w:val="22"/>
          <w:lang w:val="el-GR"/>
        </w:rPr>
      </w:pPr>
      <w:r w:rsidRPr="00B968F8">
        <w:rPr>
          <w:sz w:val="22"/>
          <w:lang w:val="el-GR"/>
        </w:rPr>
        <w:t>Πολύ συχνές: κεφαλαλγία</w:t>
      </w:r>
    </w:p>
    <w:p w:rsidR="0020047A" w:rsidRPr="00B968F8" w:rsidRDefault="0020047A">
      <w:pPr>
        <w:pStyle w:val="Text"/>
        <w:rPr>
          <w:sz w:val="22"/>
          <w:lang w:val="el-GR"/>
        </w:rPr>
      </w:pPr>
      <w:r w:rsidRPr="00B968F8">
        <w:rPr>
          <w:sz w:val="22"/>
          <w:lang w:val="el-GR"/>
        </w:rPr>
        <w:t>Συχνές: ζάλη</w:t>
      </w:r>
    </w:p>
    <w:p w:rsidR="0020047A" w:rsidRPr="00B968F8" w:rsidRDefault="0020047A">
      <w:pPr>
        <w:pStyle w:val="Text"/>
        <w:rPr>
          <w:sz w:val="22"/>
          <w:lang w:val="el-GR"/>
        </w:rPr>
      </w:pPr>
    </w:p>
    <w:p w:rsidR="0020047A" w:rsidRPr="00B968F8" w:rsidRDefault="0020047A">
      <w:pPr>
        <w:pStyle w:val="Text"/>
        <w:rPr>
          <w:sz w:val="22"/>
          <w:lang w:val="el-GR"/>
        </w:rPr>
      </w:pPr>
      <w:r w:rsidRPr="00B968F8">
        <w:rPr>
          <w:sz w:val="22"/>
          <w:lang w:val="el-GR"/>
        </w:rPr>
        <w:t>Καρδιακές διαταραχές</w:t>
      </w:r>
    </w:p>
    <w:p w:rsidR="0020047A" w:rsidRPr="00B968F8" w:rsidRDefault="0020047A">
      <w:pPr>
        <w:pStyle w:val="Text"/>
        <w:rPr>
          <w:sz w:val="22"/>
          <w:lang w:val="el-GR"/>
        </w:rPr>
      </w:pPr>
      <w:r w:rsidRPr="00B968F8">
        <w:rPr>
          <w:sz w:val="22"/>
          <w:lang w:val="el-GR"/>
        </w:rPr>
        <w:t>Πολύ συχνές: αγγειοδιαστολή</w:t>
      </w:r>
    </w:p>
    <w:p w:rsidR="0020047A" w:rsidRPr="00B968F8" w:rsidRDefault="0020047A">
      <w:pPr>
        <w:pStyle w:val="Text"/>
        <w:rPr>
          <w:sz w:val="22"/>
          <w:lang w:val="el-GR"/>
        </w:rPr>
      </w:pPr>
      <w:r w:rsidRPr="00B968F8">
        <w:rPr>
          <w:sz w:val="22"/>
          <w:lang w:val="el-GR"/>
        </w:rPr>
        <w:t>Συχνές: υπόταση</w:t>
      </w:r>
    </w:p>
    <w:p w:rsidR="0020047A" w:rsidRPr="00B968F8" w:rsidRDefault="0020047A">
      <w:pPr>
        <w:pStyle w:val="Text"/>
        <w:rPr>
          <w:sz w:val="22"/>
          <w:lang w:val="el-GR"/>
        </w:rPr>
      </w:pPr>
    </w:p>
    <w:p w:rsidR="0020047A" w:rsidRPr="00B968F8" w:rsidRDefault="0020047A">
      <w:pPr>
        <w:pStyle w:val="Text"/>
        <w:rPr>
          <w:sz w:val="22"/>
          <w:lang w:val="el-GR"/>
        </w:rPr>
      </w:pPr>
      <w:r w:rsidRPr="00B968F8">
        <w:rPr>
          <w:sz w:val="22"/>
          <w:lang w:val="el-GR"/>
        </w:rPr>
        <w:t>Γαστρεντερικές διαταραχές</w:t>
      </w:r>
    </w:p>
    <w:p w:rsidR="0020047A" w:rsidRPr="00B968F8" w:rsidRDefault="0020047A">
      <w:pPr>
        <w:pStyle w:val="Text"/>
        <w:rPr>
          <w:sz w:val="22"/>
          <w:lang w:val="el-GR"/>
        </w:rPr>
      </w:pPr>
      <w:r w:rsidRPr="00B968F8">
        <w:rPr>
          <w:sz w:val="22"/>
          <w:lang w:val="el-GR"/>
        </w:rPr>
        <w:t>Πολύ συχνές: διάρροια, ναυτία</w:t>
      </w:r>
    </w:p>
    <w:p w:rsidR="0020047A" w:rsidRPr="00B968F8" w:rsidRDefault="0020047A">
      <w:pPr>
        <w:pStyle w:val="Text"/>
        <w:rPr>
          <w:sz w:val="22"/>
          <w:lang w:val="el-GR"/>
        </w:rPr>
      </w:pPr>
    </w:p>
    <w:p w:rsidR="0020047A" w:rsidRPr="00B968F8" w:rsidRDefault="0020047A">
      <w:pPr>
        <w:pStyle w:val="Text"/>
        <w:rPr>
          <w:sz w:val="22"/>
          <w:lang w:val="el-GR"/>
        </w:rPr>
      </w:pPr>
      <w:r w:rsidRPr="00B968F8">
        <w:rPr>
          <w:sz w:val="22"/>
          <w:lang w:val="el-GR"/>
        </w:rPr>
        <w:t>Διαταραχές του δέρματος και του υποδόριου ιστού</w:t>
      </w:r>
    </w:p>
    <w:p w:rsidR="0020047A" w:rsidRPr="00B968F8" w:rsidRDefault="0020047A">
      <w:pPr>
        <w:pStyle w:val="Text"/>
        <w:rPr>
          <w:sz w:val="22"/>
          <w:lang w:val="el-GR"/>
        </w:rPr>
      </w:pPr>
      <w:r w:rsidRPr="00B968F8">
        <w:rPr>
          <w:sz w:val="22"/>
          <w:lang w:val="el-GR"/>
        </w:rPr>
        <w:t>Πολύ συχνές: εξάνθημα</w:t>
      </w:r>
    </w:p>
    <w:p w:rsidR="0020047A" w:rsidRPr="00B968F8" w:rsidRDefault="0020047A">
      <w:pPr>
        <w:pStyle w:val="Text"/>
        <w:rPr>
          <w:sz w:val="22"/>
          <w:lang w:val="el-GR"/>
        </w:rPr>
      </w:pPr>
      <w:r w:rsidRPr="00B968F8">
        <w:rPr>
          <w:sz w:val="22"/>
          <w:lang w:val="el-GR"/>
        </w:rPr>
        <w:t>Συχνές: κνησμός</w:t>
      </w:r>
    </w:p>
    <w:p w:rsidR="0020047A" w:rsidRPr="00B968F8" w:rsidRDefault="0020047A">
      <w:pPr>
        <w:pStyle w:val="Text"/>
        <w:rPr>
          <w:sz w:val="22"/>
          <w:lang w:val="el-GR"/>
        </w:rPr>
      </w:pPr>
    </w:p>
    <w:p w:rsidR="0020047A" w:rsidRPr="00B968F8" w:rsidRDefault="0020047A">
      <w:pPr>
        <w:pStyle w:val="Text"/>
        <w:rPr>
          <w:sz w:val="22"/>
          <w:lang w:val="el-GR"/>
        </w:rPr>
      </w:pPr>
      <w:r w:rsidRPr="00B968F8">
        <w:rPr>
          <w:sz w:val="22"/>
          <w:lang w:val="el-GR"/>
        </w:rPr>
        <w:t>Μυοσκελετικές διαταραχές, διαταραχές του συνδετικού ιστού και των οστών</w:t>
      </w:r>
    </w:p>
    <w:p w:rsidR="0020047A" w:rsidRPr="00B968F8" w:rsidRDefault="0020047A">
      <w:pPr>
        <w:pStyle w:val="Text"/>
        <w:rPr>
          <w:sz w:val="22"/>
          <w:lang w:val="el-GR"/>
        </w:rPr>
      </w:pPr>
      <w:r w:rsidRPr="00B968F8">
        <w:rPr>
          <w:sz w:val="22"/>
          <w:lang w:val="el-GR"/>
        </w:rPr>
        <w:t>Πολύ συχνές: άλγος κάτω σιαγόνας</w:t>
      </w:r>
    </w:p>
    <w:p w:rsidR="0020047A" w:rsidRPr="00B968F8" w:rsidRDefault="0020047A">
      <w:pPr>
        <w:pStyle w:val="Text"/>
        <w:rPr>
          <w:sz w:val="22"/>
          <w:lang w:val="el-GR"/>
        </w:rPr>
      </w:pPr>
    </w:p>
    <w:p w:rsidR="0020047A" w:rsidRPr="00B968F8" w:rsidRDefault="0020047A">
      <w:pPr>
        <w:pStyle w:val="Text"/>
        <w:rPr>
          <w:sz w:val="22"/>
          <w:lang w:val="el-GR"/>
        </w:rPr>
      </w:pPr>
      <w:r w:rsidRPr="00B968F8">
        <w:rPr>
          <w:sz w:val="22"/>
          <w:lang w:val="el-GR"/>
        </w:rPr>
        <w:t>Γενικές διαταραχές και καταστάσεις της οδού χορήγησης</w:t>
      </w:r>
    </w:p>
    <w:p w:rsidR="0020047A" w:rsidRPr="00B968F8" w:rsidRDefault="0020047A">
      <w:pPr>
        <w:pStyle w:val="Text"/>
        <w:rPr>
          <w:sz w:val="22"/>
          <w:lang w:val="el-GR"/>
        </w:rPr>
      </w:pPr>
      <w:r w:rsidRPr="00B968F8">
        <w:rPr>
          <w:sz w:val="22"/>
          <w:lang w:val="el-GR"/>
        </w:rPr>
        <w:t>Πολύ συχνές: άλγος στο σημείο της έγχυσης, αντίδραση στο σημείο της έγχυσης, αιμορραγία ή αιμάτωμα.</w:t>
      </w:r>
    </w:p>
    <w:p w:rsidR="0020047A" w:rsidRPr="00B968F8" w:rsidRDefault="0020047A">
      <w:pPr>
        <w:pStyle w:val="Text"/>
        <w:rPr>
          <w:sz w:val="22"/>
          <w:lang w:val="el-GR"/>
        </w:rPr>
      </w:pPr>
      <w:r w:rsidRPr="00B968F8">
        <w:rPr>
          <w:sz w:val="22"/>
          <w:lang w:val="el-GR"/>
        </w:rPr>
        <w:t>Συχνές: οίδημα</w:t>
      </w:r>
    </w:p>
    <w:p w:rsidR="0020047A" w:rsidRPr="00B968F8" w:rsidRDefault="0020047A">
      <w:pPr>
        <w:pStyle w:val="Text"/>
        <w:rPr>
          <w:sz w:val="22"/>
          <w:lang w:val="el-GR"/>
        </w:rPr>
      </w:pPr>
      <w:r w:rsidRPr="00B968F8">
        <w:rPr>
          <w:sz w:val="22"/>
          <w:lang w:val="el-GR"/>
        </w:rPr>
        <w:lastRenderedPageBreak/>
        <w:t>Τα περιστατικά αιμορραγίας ήταν συχνά, όπως ήταν αναμενόμενο για αυτό τον πληθυσμό ασθενών ο οποίος περιλαμβάνει μεγάλο ποσοστό ασθενών που λαμβάνουν αντιπηκτικά. Λόγω της επίδρασής του στη συγκόλληση των αιμοπεταλίων, το Remodulin ενδέχεται να αυξήσει τον κίνδυνο αιμορραγίας, όπως παρατηρήθηκε από την αυξημένη συχνότητα εμφάνισης περιστατικών ρινορραγίας και γαστρεντερικής αιμορραγίας (συμπεριλαμβανομένης της γαστρεντερικής αιμορραγίας, της πρωκτικής αιμορραγίας, της αιμορραγίας των ούλων και της μέλαινας) σε ελεγχόμενες κλινικές δοκιμές. Υπήρξαν επίσης αναφορές για περιστατικά αιμόπτυσης, αιματέμεσης και αιματουρίας, αλλά αυτά εμφανίστηκαν με την ίδια ή χαμηλότερη συχνότητα από τη συχνότητα που εμφανίστηκαν στην ομάδα εικονικού φαρμάκου.</w:t>
      </w:r>
    </w:p>
    <w:p w:rsidR="0020047A" w:rsidRPr="00B968F8" w:rsidRDefault="0020047A">
      <w:pPr>
        <w:pStyle w:val="Text"/>
        <w:rPr>
          <w:i/>
          <w:sz w:val="22"/>
          <w:lang w:val="el-GR"/>
        </w:rPr>
      </w:pPr>
      <w:r w:rsidRPr="00B968F8">
        <w:rPr>
          <w:i/>
          <w:sz w:val="22"/>
          <w:lang w:val="el-GR"/>
        </w:rPr>
        <w:t>Περιστατικά που παρατηρήθηκαν κατά την κλινική πρακτική</w:t>
      </w:r>
    </w:p>
    <w:p w:rsidR="0020047A" w:rsidRPr="00B968F8" w:rsidRDefault="0020047A">
      <w:pPr>
        <w:pStyle w:val="Text"/>
        <w:rPr>
          <w:sz w:val="22"/>
          <w:lang w:val="el-GR"/>
        </w:rPr>
      </w:pPr>
      <w:r w:rsidRPr="00B968F8">
        <w:rPr>
          <w:sz w:val="22"/>
          <w:lang w:val="el-GR"/>
        </w:rPr>
        <w:t xml:space="preserve">Επιπλέον των ανεπιθύμητων ενεργειών που αναφέρθηκαν από κλινικές δοκιμές, έχουν επίσης ταυτοποιηθεί τα παρακάτω περιστατικά κατά τη χρήση του Remodulin μετά την έγκριση. Επειδή αυτά αναφέρονται επί εθελοντικής βάσεως από πληθυσμό άγνωστου μεγέθους, δεν είναι δυνατό να γίνει υπολογισμός της συχνότητας. Θρομβοφλεβίτιδα σχετιζόμενη με περιφερική ενδοφλέβια έγχυση, </w:t>
      </w:r>
      <w:r w:rsidR="00DB4725" w:rsidRPr="00B968F8">
        <w:rPr>
          <w:sz w:val="22"/>
          <w:lang w:val="el-GR"/>
        </w:rPr>
        <w:t xml:space="preserve">αιματογενής </w:t>
      </w:r>
      <w:r w:rsidRPr="00B968F8">
        <w:rPr>
          <w:sz w:val="22"/>
          <w:lang w:val="el-GR"/>
        </w:rPr>
        <w:t>λοίμωξη σχετιζόμενη με κεντρικό φλεβικό καθετήρα, σήψη, βακτιριαιμία, λοίμωξη του σημείου έγχυσης, σχηματισμός αποστήματος στο σημείο της υποδόριας έγχυσης, θρομβοκυτοπενία, αιμορραγία σχετιζόμενη με το σημείο της έγχυσης, και άλγος οστών.</w:t>
      </w:r>
    </w:p>
    <w:p w:rsidR="0020047A" w:rsidRPr="00B968F8" w:rsidRDefault="0020047A">
      <w:pPr>
        <w:pStyle w:val="Text"/>
        <w:rPr>
          <w:sz w:val="22"/>
          <w:lang w:val="el-GR"/>
        </w:rPr>
      </w:pPr>
      <w:r w:rsidRPr="00B968F8">
        <w:rPr>
          <w:sz w:val="22"/>
          <w:lang w:val="el-GR"/>
        </w:rPr>
        <w:t>Επιπλέον, όχι συχνά έχουν αναφερθεί γενικευμένα εξανθήματα, μερικές φορές κηλιδώδους ή βλατιδώδους μορφής και κυτταρίτιδα.</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4.9.</w:t>
      </w:r>
      <w:r w:rsidRPr="00B968F8">
        <w:rPr>
          <w:rFonts w:ascii="Times New Roman" w:hAnsi="Times New Roman" w:cs="Times New Roman"/>
          <w:sz w:val="22"/>
          <w:lang w:val="el-GR"/>
        </w:rPr>
        <w:tab/>
        <w:t>Υπερδοσολογία</w:t>
      </w:r>
    </w:p>
    <w:p w:rsidR="0020047A" w:rsidRPr="00B968F8" w:rsidRDefault="0020047A">
      <w:pPr>
        <w:pStyle w:val="Text"/>
        <w:rPr>
          <w:sz w:val="22"/>
          <w:lang w:val="el-GR"/>
        </w:rPr>
      </w:pPr>
      <w:r w:rsidRPr="00B968F8">
        <w:rPr>
          <w:sz w:val="22"/>
          <w:lang w:val="el-GR"/>
        </w:rPr>
        <w:t>Τα συμπτώματα υπερδοσολογίας από REMODULIN είναι παρόμοια με τα φαινόμενα που πιθανόν να παρατηρηθούν κατά τον περιορισμό της αύξησης των δόσεων. Σε αυτά συγκαταλέγονται ερυθρίαση, κεφαλαλγία, υπόταση, ναυτία, έμετος και διάρροια. Οι ασθενείς που θα εκδηλώσουν συμπτώματα υπερδοσολογίας θα πρέπει να μειώσουν αμέσως τη δόση τρεπροστινίλης ή να διακόψουν τη λήψη της, ανάλογα με τη σοβαρότητα των συμπτωμάτων, μέχρις ότου εξαλειφθούν τα συμπτώματα υπερδοσολογίας. Η επανέναρξη της θεραπείας θα πρέπει να γίνει με προσοχή κάτω από ιατρικό έλεγχο και οι ασθενείς θα πρέπει να παρακολουθούνται στενά για τυχόν επανεμφάνιση ανεπιθύμητων συμπτωμάτων.</w:t>
      </w:r>
    </w:p>
    <w:p w:rsidR="0020047A" w:rsidRPr="00B968F8" w:rsidRDefault="0020047A">
      <w:pPr>
        <w:pStyle w:val="Text"/>
        <w:rPr>
          <w:sz w:val="22"/>
          <w:lang w:val="el-GR"/>
        </w:rPr>
      </w:pPr>
      <w:r w:rsidRPr="00B968F8">
        <w:rPr>
          <w:sz w:val="22"/>
          <w:lang w:val="el-GR"/>
        </w:rPr>
        <w:t>Δεν υπάρχει γνωστό αντίδοτο.</w:t>
      </w:r>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5.</w:t>
      </w:r>
      <w:r w:rsidRPr="00B968F8">
        <w:rPr>
          <w:rFonts w:ascii="Times New Roman" w:hAnsi="Times New Roman" w:cs="Times New Roman"/>
          <w:sz w:val="22"/>
          <w:lang w:val="el-GR"/>
        </w:rPr>
        <w:tab/>
        <w:t>ΦΑΡΜΑΚΟΛΟΓΙΚΕΣ ΙΔΙΟΤΗΤΕΣ</w:t>
      </w:r>
    </w:p>
    <w:p w:rsidR="0020047A" w:rsidRPr="00B968F8" w:rsidRDefault="0020047A" w:rsidP="00067B9C">
      <w:pPr>
        <w:pStyle w:val="2"/>
        <w:jc w:val="both"/>
        <w:rPr>
          <w:rFonts w:ascii="Times New Roman" w:hAnsi="Times New Roman" w:cs="Times New Roman"/>
          <w:sz w:val="22"/>
          <w:lang w:val="el-GR"/>
        </w:rPr>
      </w:pPr>
      <w:r w:rsidRPr="00B968F8">
        <w:rPr>
          <w:rFonts w:ascii="Times New Roman" w:hAnsi="Times New Roman" w:cs="Times New Roman"/>
          <w:sz w:val="22"/>
          <w:lang w:val="el-GR"/>
        </w:rPr>
        <w:t>5.1.</w:t>
      </w:r>
      <w:r w:rsidRPr="00B968F8">
        <w:rPr>
          <w:rFonts w:ascii="Times New Roman" w:hAnsi="Times New Roman" w:cs="Times New Roman"/>
          <w:sz w:val="22"/>
          <w:lang w:val="el-GR"/>
        </w:rPr>
        <w:tab/>
        <w:t>Φαρμακοδυναμικές ιδιότητες</w:t>
      </w:r>
    </w:p>
    <w:p w:rsidR="0020047A" w:rsidRPr="00B968F8" w:rsidRDefault="0020047A" w:rsidP="00B815E3">
      <w:pPr>
        <w:pStyle w:val="Text"/>
        <w:keepNext/>
        <w:keepLines/>
        <w:jc w:val="left"/>
        <w:rPr>
          <w:sz w:val="22"/>
          <w:lang w:val="el-GR"/>
        </w:rPr>
      </w:pPr>
      <w:r w:rsidRPr="00B968F8">
        <w:rPr>
          <w:sz w:val="22"/>
          <w:lang w:val="el-GR"/>
        </w:rPr>
        <w:t xml:space="preserve">Φαρμακοθεραπευτική ομάδα: ΑΝΑΣΤΟΛΕΙΣ ΤΗΣ ΣΥΓΚΟΛΛΗΣΗΣ ΤΩΝ ΑΙΜΟΠΕΤΑΛΙΩΝ, </w:t>
      </w:r>
      <w:r w:rsidR="002C7B28" w:rsidRPr="00B968F8">
        <w:rPr>
          <w:sz w:val="22"/>
          <w:lang w:val="el-GR"/>
        </w:rPr>
        <w:t>ΕΚΤΟΣ ΑΠΟ ΗΠΑΡΙΝΗ</w:t>
      </w:r>
      <w:r w:rsidRPr="00B968F8">
        <w:rPr>
          <w:sz w:val="22"/>
          <w:lang w:val="el-GR"/>
        </w:rPr>
        <w:br/>
        <w:t xml:space="preserve">Κωδικός </w:t>
      </w:r>
      <w:r w:rsidRPr="00B968F8">
        <w:rPr>
          <w:sz w:val="22"/>
        </w:rPr>
        <w:t>ATC</w:t>
      </w:r>
      <w:r w:rsidRPr="00B968F8">
        <w:rPr>
          <w:sz w:val="22"/>
          <w:lang w:val="el-GR"/>
        </w:rPr>
        <w:t xml:space="preserve">: </w:t>
      </w:r>
      <w:r w:rsidRPr="00B968F8">
        <w:rPr>
          <w:sz w:val="22"/>
        </w:rPr>
        <w:t>B</w:t>
      </w:r>
      <w:r w:rsidRPr="00B968F8">
        <w:rPr>
          <w:sz w:val="22"/>
          <w:lang w:val="el-GR"/>
        </w:rPr>
        <w:t>01</w:t>
      </w:r>
      <w:r w:rsidRPr="00B968F8">
        <w:rPr>
          <w:sz w:val="22"/>
        </w:rPr>
        <w:t>A</w:t>
      </w:r>
      <w:r w:rsidRPr="00B968F8">
        <w:rPr>
          <w:sz w:val="22"/>
          <w:lang w:val="el-GR"/>
        </w:rPr>
        <w:t xml:space="preserve"> </w:t>
      </w:r>
      <w:r w:rsidRPr="00B968F8">
        <w:rPr>
          <w:sz w:val="22"/>
        </w:rPr>
        <w:t>C</w:t>
      </w:r>
      <w:r w:rsidR="00E25CEB" w:rsidRPr="00B968F8">
        <w:rPr>
          <w:sz w:val="22"/>
          <w:lang w:val="el-GR"/>
        </w:rPr>
        <w:t>21</w:t>
      </w:r>
    </w:p>
    <w:p w:rsidR="0020047A" w:rsidRPr="00B968F8" w:rsidRDefault="0020047A" w:rsidP="00067B9C">
      <w:pPr>
        <w:pStyle w:val="Text"/>
        <w:rPr>
          <w:sz w:val="22"/>
        </w:rPr>
      </w:pPr>
      <w:r w:rsidRPr="00B968F8">
        <w:rPr>
          <w:b/>
          <w:bCs/>
          <w:sz w:val="22"/>
          <w:u w:val="single"/>
        </w:rPr>
        <w:t>Μηχανισμός δράσης</w:t>
      </w:r>
      <w:r w:rsidRPr="00B968F8">
        <w:rPr>
          <w:b/>
        </w:rPr>
        <w:t>:</w:t>
      </w:r>
      <w:r w:rsidRPr="00B968F8">
        <w:t xml:space="preserve"> </w:t>
      </w:r>
      <w:r w:rsidRPr="00B968F8">
        <w:rPr>
          <w:sz w:val="22"/>
        </w:rPr>
        <w:t>Η τρεπροστινίλη είναι ένα ανάλογο της προστακυκλίνης.</w:t>
      </w:r>
    </w:p>
    <w:p w:rsidR="0020047A" w:rsidRPr="00500FC2" w:rsidRDefault="0020047A" w:rsidP="00067B9C">
      <w:pPr>
        <w:pStyle w:val="Text"/>
        <w:rPr>
          <w:sz w:val="22"/>
          <w:lang w:val="el-GR"/>
        </w:rPr>
      </w:pPr>
      <w:r w:rsidRPr="00500FC2">
        <w:rPr>
          <w:sz w:val="22"/>
          <w:lang w:val="el-GR"/>
        </w:rPr>
        <w:t xml:space="preserve">Ασκεί άμεση αγγειοδιασταλτική δράση στην πνευμονική και τη συστηματική κυκλοφορία και αναστέλλει τη συγκόλληση των αιμοπεταλίων. </w:t>
      </w:r>
    </w:p>
    <w:p w:rsidR="0020047A" w:rsidRPr="00B968F8" w:rsidRDefault="0020047A" w:rsidP="00067B9C">
      <w:pPr>
        <w:pStyle w:val="Text"/>
        <w:rPr>
          <w:sz w:val="22"/>
        </w:rPr>
      </w:pPr>
      <w:r w:rsidRPr="00500FC2">
        <w:rPr>
          <w:sz w:val="22"/>
          <w:lang w:val="el-GR"/>
        </w:rPr>
        <w:t xml:space="preserve">Στα ζώα, η αγγειοδιασταλτική δράση ελαττώνει το μεταφορτίο της δεξιάς και της αριστερής κοιλίας και αυξάνει την καρδιακή παροχή και τον όγκο παλμού. Η επίδραση της τρεπροστινίλης στην καρδιακή συχνότητα στα ζώα ποικίλλει, ανάλογα με τη δόση. </w:t>
      </w:r>
      <w:r w:rsidRPr="00B968F8">
        <w:rPr>
          <w:sz w:val="22"/>
        </w:rPr>
        <w:t>Δεν έχουν παρατηρηθεί σημαντικές επιδράσεις στην καρδιακή αγωγή.</w:t>
      </w:r>
    </w:p>
    <w:p w:rsidR="0020047A" w:rsidRPr="00B968F8" w:rsidRDefault="0020047A" w:rsidP="00067B9C">
      <w:pPr>
        <w:pStyle w:val="Text"/>
        <w:keepNext/>
        <w:keepLines/>
        <w:rPr>
          <w:b/>
          <w:bCs/>
          <w:sz w:val="22"/>
          <w:u w:val="single"/>
        </w:rPr>
      </w:pPr>
      <w:r w:rsidRPr="00B968F8">
        <w:rPr>
          <w:b/>
          <w:bCs/>
          <w:sz w:val="22"/>
          <w:u w:val="single"/>
        </w:rPr>
        <w:lastRenderedPageBreak/>
        <w:t xml:space="preserve">Στοιχεία για την αποτελεσματικότητα σε ενήλικες με πνευμονική αρτηριακή υπέρταση: </w:t>
      </w:r>
    </w:p>
    <w:p w:rsidR="0020047A" w:rsidRPr="00B968F8" w:rsidRDefault="0020047A" w:rsidP="00067B9C">
      <w:pPr>
        <w:pStyle w:val="Text"/>
        <w:keepNext/>
        <w:keepLines/>
        <w:rPr>
          <w:b/>
          <w:bCs/>
          <w:sz w:val="22"/>
          <w:u w:val="single"/>
        </w:rPr>
      </w:pPr>
      <w:r w:rsidRPr="00B968F8">
        <w:rPr>
          <w:b/>
          <w:bCs/>
          <w:sz w:val="22"/>
          <w:u w:val="single"/>
        </w:rPr>
        <w:t>Μελέτες με υποδόρια χορηγούμενο Remodulin</w:t>
      </w:r>
    </w:p>
    <w:p w:rsidR="0020047A" w:rsidRPr="00B968F8" w:rsidRDefault="0020047A" w:rsidP="00067B9C">
      <w:pPr>
        <w:pStyle w:val="Text"/>
        <w:rPr>
          <w:sz w:val="22"/>
          <w:lang w:val="el-GR"/>
        </w:rPr>
      </w:pPr>
      <w:r w:rsidRPr="00500FC2">
        <w:rPr>
          <w:sz w:val="22"/>
          <w:lang w:val="el-GR"/>
        </w:rPr>
        <w:t xml:space="preserve">Πραγματοποιήθηκαν δύο τυχαιοποιημένες διπλές τυφλές κλινικές δοκιμές φάσης ΙΙΙ με έλεγχο εικονικού φαρμάκου, στις οποίες χορηγήθηκε το </w:t>
      </w:r>
      <w:r w:rsidRPr="00B968F8">
        <w:rPr>
          <w:sz w:val="22"/>
        </w:rPr>
        <w:t>REMODULIN</w:t>
      </w:r>
      <w:r w:rsidRPr="00500FC2">
        <w:rPr>
          <w:sz w:val="22"/>
          <w:lang w:val="el-GR"/>
        </w:rPr>
        <w:t xml:space="preserve"> (τρεπροστινίλη) μέσω υποδόριας συνεχούς έγχυσης σε ασθενείς με σταθερή πνευμονική αρτηριακή υπέρταση. </w:t>
      </w:r>
      <w:r w:rsidRPr="00B968F8">
        <w:rPr>
          <w:sz w:val="22"/>
          <w:lang w:val="el-GR"/>
        </w:rPr>
        <w:t xml:space="preserve">Στις δύο αυτές δοκιμές συμμετείχαν συνολικά 469 ενήλικες: 270 ασθενείς έπασχαν από </w:t>
      </w:r>
      <w:r w:rsidR="002C7B28" w:rsidRPr="00B968F8">
        <w:rPr>
          <w:sz w:val="22"/>
          <w:lang w:val="el-GR"/>
        </w:rPr>
        <w:t xml:space="preserve">ιδιοπαθή ή κληρονομήσιμη </w:t>
      </w:r>
      <w:r w:rsidRPr="00B968F8">
        <w:rPr>
          <w:sz w:val="22"/>
          <w:lang w:val="el-GR"/>
        </w:rPr>
        <w:t xml:space="preserve">πνευμονική </w:t>
      </w:r>
      <w:r w:rsidR="002C7B28" w:rsidRPr="00B968F8">
        <w:rPr>
          <w:sz w:val="22"/>
          <w:lang w:val="el-GR"/>
        </w:rPr>
        <w:t xml:space="preserve">αρτηριακή </w:t>
      </w:r>
      <w:r w:rsidRPr="00B968F8">
        <w:rPr>
          <w:sz w:val="22"/>
          <w:lang w:val="el-GR"/>
        </w:rPr>
        <w:t xml:space="preserve">υπέρταση (ομάδα τρεπροστινίλης = 134 ασθενείς, ομάδα εικονικού φαρμάκου = 136 ασθενείς), 90 ασθενείς έπασχαν από πνευμονική αρτηριακή υπέρταση σχετιζόμενη με νόσο του συνδετικού ιστού (κυρίως σκληρόδερμα) (ομάδα τρεπροστινίλης = 41 ασθενείς, ομάδα εικονικού φαρμάκου = 49 ασθενείς) και 109 ασθενείς έπασχαν από πνευμονική αρτηριακή υπέρταση σχετιζόμενη με συγγενή καρδιοπάθεια με αριστεροδεξιά διαφυγή (τρεπροστινίλη = 58 ασθενείς, εικονικό φάρμακο = 51 ασθενείς). </w:t>
      </w:r>
      <w:r w:rsidRPr="00500FC2">
        <w:rPr>
          <w:sz w:val="22"/>
          <w:lang w:val="el-GR"/>
        </w:rPr>
        <w:t xml:space="preserve">Κατά την έναρξη της θεραπείας, η μέση απόσταση στη δοκιμασία βάδισης 6 λεπτών ήταν 326 + </w:t>
      </w:r>
      <w:smartTag w:uri="urn:schemas-microsoft-com:office:smarttags" w:element="metricconverter">
        <w:smartTagPr>
          <w:attr w:name="ProductID" w:val="5 μέτρα"/>
        </w:smartTagPr>
        <w:r w:rsidRPr="00500FC2">
          <w:rPr>
            <w:sz w:val="22"/>
            <w:lang w:val="el-GR"/>
          </w:rPr>
          <w:t>5 μέτρα</w:t>
        </w:r>
      </w:smartTag>
      <w:r w:rsidRPr="00500FC2">
        <w:rPr>
          <w:sz w:val="22"/>
          <w:lang w:val="el-GR"/>
        </w:rPr>
        <w:t xml:space="preserve"> στην ομάδα που λάμβανε τρεπροστινίλη μέσω υποδόριας έγχυσης και 327 + </w:t>
      </w:r>
      <w:smartTag w:uri="urn:schemas-microsoft-com:office:smarttags" w:element="metricconverter">
        <w:smartTagPr>
          <w:attr w:name="ProductID" w:val="6 μέτρα"/>
        </w:smartTagPr>
        <w:r w:rsidRPr="00500FC2">
          <w:rPr>
            <w:sz w:val="22"/>
            <w:lang w:val="el-GR"/>
          </w:rPr>
          <w:t>6 μέτρα</w:t>
        </w:r>
      </w:smartTag>
      <w:r w:rsidRPr="00500FC2">
        <w:rPr>
          <w:sz w:val="22"/>
          <w:lang w:val="el-GR"/>
        </w:rPr>
        <w:t xml:space="preserve"> στην ομάδα που λάμβανε εικονικό φάρμακο. Η δόση και των δύο συγκρινόμενων θεραπευτικών σχημάτων αυξήθηκε προοδευτικά κατά τη διάρκεια της μελέτης, ανάλογα με τα συμπτώματα της πνευμονικής αρτηριακής υπέρτασης και την κλινική ανοχή. Η μέση δόση που επιτεύχθηκε μετά από 12 εβδομάδες ήταν 9,3 </w:t>
      </w:r>
      <w:r w:rsidRPr="00B968F8">
        <w:rPr>
          <w:sz w:val="22"/>
        </w:rPr>
        <w:t>ng</w:t>
      </w:r>
      <w:r w:rsidRPr="00500FC2">
        <w:rPr>
          <w:sz w:val="22"/>
          <w:lang w:val="el-GR"/>
        </w:rPr>
        <w:t>/</w:t>
      </w:r>
      <w:r w:rsidRPr="00B968F8">
        <w:rPr>
          <w:sz w:val="22"/>
        </w:rPr>
        <w:t>kg</w:t>
      </w:r>
      <w:r w:rsidRPr="00500FC2">
        <w:rPr>
          <w:sz w:val="22"/>
          <w:lang w:val="el-GR"/>
        </w:rPr>
        <w:t xml:space="preserve">/λεπτό στην ομάδα τρεπροστινίλης και 19,1 </w:t>
      </w:r>
      <w:r w:rsidRPr="00B968F8">
        <w:rPr>
          <w:sz w:val="22"/>
        </w:rPr>
        <w:t>ng</w:t>
      </w:r>
      <w:r w:rsidRPr="00500FC2">
        <w:rPr>
          <w:sz w:val="22"/>
          <w:lang w:val="el-GR"/>
        </w:rPr>
        <w:t>/</w:t>
      </w:r>
      <w:r w:rsidRPr="00B968F8">
        <w:rPr>
          <w:sz w:val="22"/>
        </w:rPr>
        <w:t>kg</w:t>
      </w:r>
      <w:r w:rsidRPr="00500FC2">
        <w:rPr>
          <w:sz w:val="22"/>
          <w:lang w:val="el-GR"/>
        </w:rPr>
        <w:t xml:space="preserve">/λεπτό στην ομάδα εικονικού φαρμάκου. Μετά από 12 εβδομάδες θεραπείας, η μέση απόκλιση στη δοκιμασία βάδισης 6 λεπτών σε σύγκριση με την αρχική τιμή, η οποία υπολογίστηκε στο συνολικό πληθυσμό και των δύο δοκιμών, ήταν </w:t>
      </w:r>
      <w:smartTag w:uri="urn:schemas-microsoft-com:office:smarttags" w:element="metricconverter">
        <w:smartTagPr>
          <w:attr w:name="ProductID" w:val="-2 μέτρα"/>
        </w:smartTagPr>
        <w:r w:rsidRPr="00500FC2">
          <w:rPr>
            <w:sz w:val="22"/>
            <w:lang w:val="el-GR"/>
          </w:rPr>
          <w:t>-2 μέτρα</w:t>
        </w:r>
      </w:smartTag>
      <w:r w:rsidRPr="00500FC2">
        <w:rPr>
          <w:sz w:val="22"/>
          <w:lang w:val="el-GR"/>
        </w:rPr>
        <w:t xml:space="preserve"> ± </w:t>
      </w:r>
      <w:smartTag w:uri="urn:schemas-microsoft-com:office:smarttags" w:element="metricconverter">
        <w:smartTagPr>
          <w:attr w:name="ProductID" w:val="6,61 μέτρα"/>
        </w:smartTagPr>
        <w:r w:rsidRPr="00500FC2">
          <w:rPr>
            <w:sz w:val="22"/>
            <w:lang w:val="el-GR"/>
          </w:rPr>
          <w:t>6,61 μέτρα</w:t>
        </w:r>
      </w:smartTag>
      <w:r w:rsidRPr="00500FC2">
        <w:rPr>
          <w:sz w:val="22"/>
          <w:lang w:val="el-GR"/>
        </w:rPr>
        <w:t xml:space="preserve"> στους ασθενείς που λάμβαναν τρεπροστινίλη και –21,8 μέτρα ± </w:t>
      </w:r>
      <w:smartTag w:uri="urn:schemas-microsoft-com:office:smarttags" w:element="metricconverter">
        <w:smartTagPr>
          <w:attr w:name="ProductID" w:val="6,18 μέτρα"/>
        </w:smartTagPr>
        <w:r w:rsidRPr="00500FC2">
          <w:rPr>
            <w:sz w:val="22"/>
            <w:lang w:val="el-GR"/>
          </w:rPr>
          <w:t>6,18 μέτρα</w:t>
        </w:r>
      </w:smartTag>
      <w:r w:rsidRPr="00500FC2">
        <w:rPr>
          <w:sz w:val="22"/>
          <w:lang w:val="el-GR"/>
        </w:rPr>
        <w:t xml:space="preserve"> στην ομάδα εικονικού φαρμάκου. Τα αποτελέσματα αυτά αντιπροσωπεύουν μια μέση θεραπευτική δράση, που υπολογίστηκε από την 6 λεπτη δοκιμασία βάδισης, ίση με </w:t>
      </w:r>
      <w:smartTag w:uri="urn:schemas-microsoft-com:office:smarttags" w:element="metricconverter">
        <w:smartTagPr>
          <w:attr w:name="ProductID" w:val="19,7 μέτρα"/>
        </w:smartTagPr>
        <w:r w:rsidRPr="00500FC2">
          <w:rPr>
            <w:sz w:val="22"/>
            <w:lang w:val="el-GR"/>
          </w:rPr>
          <w:t>19,7 μέτρα</w:t>
        </w:r>
      </w:smartTag>
      <w:r w:rsidRPr="00500FC2">
        <w:rPr>
          <w:sz w:val="22"/>
          <w:lang w:val="el-GR"/>
        </w:rPr>
        <w:t xml:space="preserve"> (</w:t>
      </w:r>
      <w:r w:rsidRPr="00B968F8">
        <w:rPr>
          <w:sz w:val="22"/>
        </w:rPr>
        <w:t>p</w:t>
      </w:r>
      <w:r w:rsidRPr="00500FC2">
        <w:rPr>
          <w:sz w:val="22"/>
          <w:lang w:val="el-GR"/>
        </w:rPr>
        <w:t xml:space="preserve"> = 0,0064) σε σύγκριση με το εικονικό φάρμακο, για το συνολικό πληθυσμό και των δύο δοκιμών. </w:t>
      </w:r>
      <w:r w:rsidRPr="00B968F8">
        <w:rPr>
          <w:sz w:val="22"/>
          <w:lang w:val="el-GR"/>
        </w:rPr>
        <w:t>Η μέση μεταβολή σε σύγκριση με τις αρχικές τιμές των αιμοδυναμικών παραμέτρων (μέση πνευμονική αρτηριακή πίεση (</w:t>
      </w:r>
      <w:r w:rsidRPr="00B968F8">
        <w:rPr>
          <w:sz w:val="22"/>
        </w:rPr>
        <w:t>PAPm</w:t>
      </w:r>
      <w:r w:rsidRPr="00B968F8">
        <w:rPr>
          <w:sz w:val="22"/>
          <w:lang w:val="el-GR"/>
        </w:rPr>
        <w:t>)), της δεξιάς κολπικής πίεσης (</w:t>
      </w:r>
      <w:r w:rsidRPr="00B968F8">
        <w:rPr>
          <w:sz w:val="22"/>
        </w:rPr>
        <w:t>RAP</w:t>
      </w:r>
      <w:r w:rsidRPr="00B968F8">
        <w:rPr>
          <w:sz w:val="22"/>
          <w:lang w:val="el-GR"/>
        </w:rPr>
        <w:t xml:space="preserve">), της πνευμονικής </w:t>
      </w:r>
      <w:r w:rsidR="002C7B28" w:rsidRPr="00B968F8">
        <w:rPr>
          <w:sz w:val="22"/>
          <w:lang w:val="el-GR"/>
        </w:rPr>
        <w:t xml:space="preserve">αγγειακής </w:t>
      </w:r>
      <w:r w:rsidRPr="00B968F8">
        <w:rPr>
          <w:sz w:val="22"/>
          <w:lang w:val="el-GR"/>
        </w:rPr>
        <w:t>αντίστασης (</w:t>
      </w:r>
      <w:r w:rsidRPr="00B968F8">
        <w:rPr>
          <w:sz w:val="22"/>
        </w:rPr>
        <w:t>PVR</w:t>
      </w:r>
      <w:r w:rsidRPr="00B968F8">
        <w:rPr>
          <w:sz w:val="22"/>
          <w:lang w:val="el-GR"/>
        </w:rPr>
        <w:t>), του καρδιακού δείκτη (</w:t>
      </w:r>
      <w:r w:rsidRPr="00B968F8">
        <w:rPr>
          <w:sz w:val="22"/>
        </w:rPr>
        <w:t>CI</w:t>
      </w:r>
      <w:r w:rsidRPr="00B968F8">
        <w:rPr>
          <w:sz w:val="22"/>
          <w:lang w:val="el-GR"/>
        </w:rPr>
        <w:t>) και του φλεβικού κορεσμού οξυγόνου (</w:t>
      </w:r>
      <w:r w:rsidRPr="00B968F8">
        <w:rPr>
          <w:sz w:val="22"/>
        </w:rPr>
        <w:t>SvO</w:t>
      </w:r>
      <w:r w:rsidRPr="00B968F8">
        <w:rPr>
          <w:sz w:val="22"/>
          <w:vertAlign w:val="subscript"/>
          <w:lang w:val="el-GR"/>
        </w:rPr>
        <w:t>2</w:t>
      </w:r>
      <w:r w:rsidRPr="00B968F8">
        <w:rPr>
          <w:sz w:val="22"/>
          <w:lang w:val="el-GR"/>
        </w:rPr>
        <w:t xml:space="preserve">) έδειξαν ότι το </w:t>
      </w:r>
      <w:r w:rsidRPr="00B968F8">
        <w:rPr>
          <w:sz w:val="22"/>
        </w:rPr>
        <w:t>REMODULIN</w:t>
      </w:r>
      <w:r w:rsidRPr="00B968F8">
        <w:rPr>
          <w:sz w:val="22"/>
          <w:lang w:val="el-GR"/>
        </w:rPr>
        <w:t xml:space="preserve"> είναι ανώτερο από το εικονικό φάρμακο. </w:t>
      </w:r>
      <w:r w:rsidRPr="00500FC2">
        <w:rPr>
          <w:sz w:val="22"/>
          <w:lang w:val="el-GR"/>
        </w:rPr>
        <w:t>Η βελτίωση των σημείων και συμπτωμάτων της πνευμονικής υπέρτασης (λιποθυμία, ζάλη, θωρακικό άλγος, κόπωση και δύσπνοια) ήταν στατιστικά σημαντική (</w:t>
      </w:r>
      <w:r w:rsidRPr="00B968F8">
        <w:rPr>
          <w:sz w:val="22"/>
        </w:rPr>
        <w:t>p</w:t>
      </w:r>
      <w:r w:rsidRPr="00500FC2">
        <w:rPr>
          <w:sz w:val="22"/>
          <w:lang w:val="el-GR"/>
        </w:rPr>
        <w:t xml:space="preserve">&lt;0,0001). Επιπλέον, η βαθμολογία δύσπνοιας-κόπωσης και η βαθμολογία δύσπνοιας στην κλίμακα </w:t>
      </w:r>
      <w:r w:rsidRPr="00B968F8">
        <w:rPr>
          <w:sz w:val="22"/>
        </w:rPr>
        <w:t>Borg</w:t>
      </w:r>
      <w:r w:rsidRPr="00500FC2">
        <w:rPr>
          <w:sz w:val="22"/>
          <w:lang w:val="el-GR"/>
        </w:rPr>
        <w:t xml:space="preserve"> βελτιώθηκαν σε ασθενείς που ακολουθούσαν θεραπεία με </w:t>
      </w:r>
      <w:r w:rsidRPr="00B968F8">
        <w:rPr>
          <w:sz w:val="22"/>
        </w:rPr>
        <w:t>REMODULIN</w:t>
      </w:r>
      <w:r w:rsidRPr="00500FC2">
        <w:rPr>
          <w:sz w:val="22"/>
          <w:lang w:val="el-GR"/>
        </w:rPr>
        <w:t xml:space="preserve"> μετά από 12 εβδομάδες (</w:t>
      </w:r>
      <w:r w:rsidRPr="00B968F8">
        <w:rPr>
          <w:sz w:val="22"/>
        </w:rPr>
        <w:t>p</w:t>
      </w:r>
      <w:r w:rsidRPr="00500FC2">
        <w:rPr>
          <w:sz w:val="22"/>
          <w:lang w:val="el-GR"/>
        </w:rPr>
        <w:t xml:space="preserve">&lt;0,0001). </w:t>
      </w:r>
      <w:r w:rsidRPr="00B968F8">
        <w:rPr>
          <w:sz w:val="22"/>
        </w:rPr>
        <w:t xml:space="preserve">Η ανάλυση ενός συνδυασμένου κριτηρίου, το οποίο συσχετίζει τη βελτίωση της ικανότητας άσκησης (δοκιμασία βάδισης 6 λεπτών) κατά 10% τουλάχιστον σε σύγκριση με την αρχική τιμή μετά από 12 εβδομάδες, τη βελτίωση κατά τουλάχιστον μία τάξη κατά NYHA σε σύγκριση με την αρχική τιμή μετά από 12 εβδομάδες και την απουσία επιδείνωσης της πνευμονικής υπέρτασης σε συνδυασμό με τη μη αναφορά θανάτου μέχρι τη 12η εβδομάδα για το συνολικό πληθυσμό και των δύο δοκιμών, έδειξε ότι το ποσοστό των ασθενών που ανταποκρίθηκαν στην τρεπροστινίλη ήταν 15,9% (37/233) ενώ η απόκριση των ασθενών στην ομάδα εικονικού φαρμάκου ήταν 3,4% (8/236). </w:t>
      </w:r>
      <w:r w:rsidRPr="00B968F8">
        <w:rPr>
          <w:sz w:val="22"/>
          <w:lang w:val="el-GR"/>
        </w:rPr>
        <w:t xml:space="preserve">Η ανάλυση υποομάδων του συνολικού πληθυσμού έδειξε μια στατιστικά σημαντική θεραπευτική δράση του </w:t>
      </w:r>
      <w:r w:rsidRPr="00B968F8">
        <w:rPr>
          <w:sz w:val="22"/>
        </w:rPr>
        <w:t>REMODULIN</w:t>
      </w:r>
      <w:r w:rsidRPr="00B968F8">
        <w:rPr>
          <w:sz w:val="22"/>
          <w:lang w:val="el-GR"/>
        </w:rPr>
        <w:t xml:space="preserve"> σε σύγκριση με το εικονικό φάρμακο στη δοκιμασία βάδισης 6 λεπτών, στον υποπληθυσμό των ασθενών με </w:t>
      </w:r>
      <w:r w:rsidR="002C7B28" w:rsidRPr="00B968F8">
        <w:rPr>
          <w:sz w:val="22"/>
          <w:lang w:val="el-GR"/>
        </w:rPr>
        <w:t xml:space="preserve">ιδιοπαθή ή κληρονομήσιμη </w:t>
      </w:r>
      <w:r w:rsidRPr="00B968F8">
        <w:rPr>
          <w:sz w:val="22"/>
          <w:lang w:val="el-GR"/>
        </w:rPr>
        <w:t>πνευμονική αρτηριακή υπέρταση (</w:t>
      </w:r>
      <w:r w:rsidRPr="00B968F8">
        <w:rPr>
          <w:sz w:val="22"/>
        </w:rPr>
        <w:t>p</w:t>
      </w:r>
      <w:r w:rsidRPr="00B968F8">
        <w:rPr>
          <w:sz w:val="22"/>
          <w:lang w:val="el-GR"/>
        </w:rPr>
        <w:t>=0,043), όχι όμως στον υποπληθυσμό των ασθενών με πνευμονική αρτηριακή υπέρταση σχετιζόμενη με σκληρόδερμα ή συγγενή καρδιοπάθεια.</w:t>
      </w:r>
    </w:p>
    <w:p w:rsidR="0020047A" w:rsidRPr="00500FC2" w:rsidRDefault="0020047A" w:rsidP="00067B9C">
      <w:pPr>
        <w:pStyle w:val="Text"/>
        <w:rPr>
          <w:sz w:val="22"/>
          <w:lang w:val="el-GR"/>
        </w:rPr>
      </w:pPr>
      <w:r w:rsidRPr="00500FC2">
        <w:rPr>
          <w:sz w:val="22"/>
          <w:lang w:val="el-GR"/>
        </w:rPr>
        <w:t>Η επίδραση που παρατηρήθηκε στο κύριο τελικό σημείο (δηλαδή η αλλαγή στην απόσταση βάδισης 6 λεπτών μετά από 12 εβδομάδες θεραπείας) ήταν μικρότερη από εκείνη που παρατηρήθηκε σε ιστορικές μεθόδους ελέγχου με βοζεντάνη, ιλοπρόστη και εποπροστενόλη.</w:t>
      </w:r>
    </w:p>
    <w:p w:rsidR="002C7B28" w:rsidRPr="00B968F8" w:rsidRDefault="002C7B28" w:rsidP="002C7B28">
      <w:pPr>
        <w:pStyle w:val="Comment"/>
        <w:keepLines w:val="0"/>
        <w:tabs>
          <w:tab w:val="left" w:pos="3960"/>
        </w:tabs>
        <w:spacing w:before="0"/>
        <w:rPr>
          <w:i w:val="0"/>
          <w:color w:val="auto"/>
          <w:sz w:val="22"/>
          <w:lang w:val="el-GR"/>
        </w:rPr>
      </w:pPr>
    </w:p>
    <w:p w:rsidR="002C7B28" w:rsidRPr="00B968F8" w:rsidRDefault="002C7B28" w:rsidP="002C7B28">
      <w:pPr>
        <w:pStyle w:val="Comment"/>
        <w:keepLines w:val="0"/>
        <w:tabs>
          <w:tab w:val="left" w:pos="3960"/>
        </w:tabs>
        <w:spacing w:before="0"/>
        <w:rPr>
          <w:i w:val="0"/>
          <w:color w:val="auto"/>
          <w:sz w:val="22"/>
          <w:lang w:val="el-GR"/>
        </w:rPr>
      </w:pPr>
      <w:r w:rsidRPr="00B968F8">
        <w:rPr>
          <w:i w:val="0"/>
          <w:color w:val="auto"/>
          <w:sz w:val="22"/>
          <w:lang w:val="el-GR"/>
        </w:rPr>
        <w:t>Δεν έχει διενεργηθεί καμία μελέτη η οποία να συγκρίνει άμεσα την ενδοφλέβια έγχυση του REMODULIN και της εποπροστενόλης.</w:t>
      </w:r>
    </w:p>
    <w:p w:rsidR="0020047A" w:rsidRPr="00B968F8" w:rsidRDefault="0020047A" w:rsidP="00067B9C">
      <w:pPr>
        <w:pStyle w:val="Text"/>
        <w:rPr>
          <w:sz w:val="22"/>
          <w:lang w:val="el-GR"/>
        </w:rPr>
      </w:pPr>
      <w:r w:rsidRPr="00B968F8">
        <w:rPr>
          <w:sz w:val="22"/>
          <w:lang w:val="el-GR"/>
        </w:rPr>
        <w:t xml:space="preserve">Δεν έχει διεξαχθεί ειδική μελέτη για παιδιά με </w:t>
      </w:r>
      <w:r w:rsidR="002C7B28" w:rsidRPr="00B968F8">
        <w:rPr>
          <w:sz w:val="22"/>
          <w:lang w:val="el-GR"/>
        </w:rPr>
        <w:t>ΠΑΥ</w:t>
      </w:r>
      <w:r w:rsidRPr="00B968F8">
        <w:rPr>
          <w:sz w:val="22"/>
          <w:lang w:val="el-GR"/>
        </w:rPr>
        <w:t>.</w:t>
      </w:r>
    </w:p>
    <w:p w:rsidR="0020047A" w:rsidRPr="00B968F8" w:rsidRDefault="0020047A" w:rsidP="00067B9C">
      <w:pPr>
        <w:pStyle w:val="Text"/>
        <w:rPr>
          <w:sz w:val="22"/>
          <w:lang w:val="el-GR"/>
        </w:rPr>
      </w:pPr>
      <w:r w:rsidRPr="00B968F8">
        <w:rPr>
          <w:sz w:val="22"/>
          <w:lang w:val="el-GR"/>
        </w:rPr>
        <w:t xml:space="preserve">Δεν υπάρχουν στοιχεία από κλινικές μελέτες που έχουν διεξαχθεί με δραστικά συγκριτικά φάρμακα, σε ασθενείς με </w:t>
      </w:r>
      <w:r w:rsidR="002C7B28" w:rsidRPr="00B968F8">
        <w:rPr>
          <w:sz w:val="22"/>
          <w:lang w:val="el-GR"/>
        </w:rPr>
        <w:t>ΠΑΥ</w:t>
      </w:r>
      <w:r w:rsidRPr="00B968F8">
        <w:rPr>
          <w:sz w:val="22"/>
          <w:lang w:val="el-GR"/>
        </w:rPr>
        <w:t>.</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lastRenderedPageBreak/>
        <w:t>5.2.</w:t>
      </w:r>
      <w:r w:rsidRPr="00B968F8">
        <w:rPr>
          <w:rFonts w:ascii="Times New Roman" w:hAnsi="Times New Roman" w:cs="Times New Roman"/>
          <w:sz w:val="22"/>
          <w:lang w:val="el-GR"/>
        </w:rPr>
        <w:tab/>
        <w:t>Φαρμακοκινητικές ιδιότητες</w:t>
      </w:r>
    </w:p>
    <w:p w:rsidR="0020047A" w:rsidRPr="00B968F8" w:rsidRDefault="0020047A">
      <w:pPr>
        <w:pStyle w:val="Text"/>
        <w:rPr>
          <w:sz w:val="22"/>
          <w:lang w:val="el-GR"/>
        </w:rPr>
      </w:pPr>
      <w:r w:rsidRPr="00B968F8">
        <w:rPr>
          <w:sz w:val="22"/>
          <w:lang w:val="el-GR"/>
        </w:rPr>
        <w:t xml:space="preserve">Στους ανθρώπους, η συγκέντρωση σταθερής κατάστασης στο πλάσμα επιτυγχάνεται συνήθως εντός 15 έως 18 ωρών από την έναρξη της υποδόριας </w:t>
      </w:r>
      <w:r w:rsidR="002C7B28" w:rsidRPr="00B968F8">
        <w:rPr>
          <w:sz w:val="22"/>
          <w:lang w:val="el-GR"/>
        </w:rPr>
        <w:t xml:space="preserve">ή ενδοφλέβιας </w:t>
      </w:r>
      <w:r w:rsidRPr="00B968F8">
        <w:rPr>
          <w:sz w:val="22"/>
          <w:lang w:val="el-GR"/>
        </w:rPr>
        <w:t xml:space="preserve">έγχυσης της τρεπροστινίλης. Οι συγκεντρώσεις τρεπροστινίλης σε σταθερή κατάσταση στο πλάσμα είναι ανάλογες με τη δόση, σε ρυθμούς έγχυσης 2,5 έως 125 ng/kg/λεπτό. </w:t>
      </w:r>
    </w:p>
    <w:p w:rsidR="0020047A" w:rsidRPr="00B968F8" w:rsidRDefault="0020047A">
      <w:pPr>
        <w:pStyle w:val="Text"/>
        <w:rPr>
          <w:sz w:val="22"/>
          <w:lang w:val="el-GR"/>
        </w:rPr>
      </w:pPr>
      <w:r w:rsidRPr="00B968F8">
        <w:rPr>
          <w:sz w:val="22"/>
          <w:lang w:val="el-GR"/>
        </w:rPr>
        <w:t xml:space="preserve">Από υποδόρια και ενδοφλέβια χορήγηση του </w:t>
      </w:r>
      <w:r w:rsidRPr="00B968F8">
        <w:rPr>
          <w:sz w:val="22"/>
        </w:rPr>
        <w:t>Remodulin</w:t>
      </w:r>
      <w:r w:rsidRPr="00B968F8">
        <w:rPr>
          <w:sz w:val="22"/>
          <w:lang w:val="el-GR"/>
        </w:rPr>
        <w:t xml:space="preserve"> επεδείχθη βιο-ισοδυναμία σε σταθερή κατάσταση  σε δόση 10 ng/kg/λεπτό.</w:t>
      </w:r>
    </w:p>
    <w:p w:rsidR="0020047A" w:rsidRPr="00B968F8" w:rsidRDefault="0020047A">
      <w:pPr>
        <w:pStyle w:val="Text"/>
        <w:rPr>
          <w:sz w:val="22"/>
          <w:lang w:val="el-GR"/>
        </w:rPr>
      </w:pPr>
      <w:r w:rsidRPr="00B968F8">
        <w:rPr>
          <w:sz w:val="22"/>
          <w:lang w:val="el-GR"/>
        </w:rPr>
        <w:t xml:space="preserve">Ο μέσος φαινόμενος χρόνος ημιζωής για την απομάκρυνση μετά από υποδόρια </w:t>
      </w:r>
      <w:r w:rsidR="002C7B28" w:rsidRPr="00B968F8">
        <w:rPr>
          <w:sz w:val="22"/>
          <w:lang w:val="el-GR"/>
        </w:rPr>
        <w:t xml:space="preserve">χορήγηση </w:t>
      </w:r>
      <w:r w:rsidRPr="00B968F8">
        <w:rPr>
          <w:sz w:val="22"/>
          <w:lang w:val="el-GR"/>
        </w:rPr>
        <w:t>κυμάνθηκε από 1,32 έως 1,42 ώρες μετά από εγχύσεις διαρκείας έως και 6 ωρών, 4,61 ώρες μετά από εγχύσεις διαρκείας έως και 72 ωρών και 2,93 ώρες μετά από εγχύσεις διαρκείας τουλάχιστον τριών εβδομάδων. Ο μέσος όγκος κατανομής για την τρεπροστινίλη κυμάνθηκε από 1,11 έως 1,22 l/kg και η κάθαρση από το πλάσμα κυμάνθηκε από 586,2 έως 646,9 ml/kg/ώρα. Η κάθαρση είναι μικρότερη σε παχύσαρκους ασθενείς (BMI &gt; 30 kg/m</w:t>
      </w:r>
      <w:r w:rsidRPr="00B968F8">
        <w:rPr>
          <w:sz w:val="22"/>
          <w:vertAlign w:val="superscript"/>
          <w:lang w:val="el-GR"/>
        </w:rPr>
        <w:t>2</w:t>
      </w:r>
      <w:r w:rsidRPr="00B968F8">
        <w:rPr>
          <w:sz w:val="22"/>
          <w:lang w:val="el-GR"/>
        </w:rPr>
        <w:t>).</w:t>
      </w:r>
    </w:p>
    <w:p w:rsidR="0020047A" w:rsidRPr="00B968F8" w:rsidRDefault="0020047A">
      <w:pPr>
        <w:pStyle w:val="Text"/>
        <w:rPr>
          <w:sz w:val="22"/>
          <w:lang w:val="el-GR"/>
        </w:rPr>
      </w:pPr>
      <w:r w:rsidRPr="00B968F8">
        <w:rPr>
          <w:sz w:val="22"/>
          <w:lang w:val="el-GR"/>
        </w:rPr>
        <w:t>Σε μια μελέτη που διεξήχθη σε υγιείς εθελοντές που έλαβαν ραδιενεργή [</w:t>
      </w:r>
      <w:r w:rsidRPr="00B968F8">
        <w:rPr>
          <w:sz w:val="22"/>
          <w:vertAlign w:val="superscript"/>
          <w:lang w:val="el-GR"/>
        </w:rPr>
        <w:t>14</w:t>
      </w:r>
      <w:r w:rsidRPr="00B968F8">
        <w:rPr>
          <w:sz w:val="22"/>
          <w:lang w:val="el-GR"/>
        </w:rPr>
        <w:t>C] τρεπροστινίλη, το 78,6% και το 13,4% της υποδόριας ραδιενεργής δόσης ανακτήθηκαν στα ούρα και τα κόπρανα αντίστοιχα εντός μιας περιόδου 224 ωρών. Δεν παρατηρήθηκε κάποιος κύριος μεταβολίτης. Ανιχνεύτηκαν πέντε μεταβολίτες στα ούρα, σε ποσοστά που κυμαίνονταν από 10,2% έως 15,5% της χορηγηθείσας δόσης. Αυτοί οι πέντε μεταβολίτες αντιπροσωπεύουν ένα συνολικό ποσοστό 64,4%. Οι τρεις αποτελούν προϊόντα οξείδωσης της 3-υδροξυλοκτυλικής πλευρικής αλυσίδας, ο ένας είναι παράγωγο της σύζευξης με γλυκουρονικό οξύ (γλυκουρονιδική τρεπροστινίλη) και ο τελευταίος δεν έχει ταυτοποιηθεί. Μόνο το 3,7% της δόσης ανακτήθηκε στα ούρα ως αναλλοίωτη μητρική ουσία.</w:t>
      </w:r>
    </w:p>
    <w:p w:rsidR="0020047A" w:rsidRPr="00B968F8" w:rsidRDefault="0020047A">
      <w:pPr>
        <w:pStyle w:val="Text"/>
        <w:rPr>
          <w:sz w:val="22"/>
          <w:lang w:val="el-GR"/>
        </w:rPr>
      </w:pPr>
      <w:r w:rsidRPr="00B968F8">
        <w:rPr>
          <w:sz w:val="22"/>
          <w:lang w:val="el-GR"/>
        </w:rPr>
        <w:t>Σε μια 7ημερη μελέτη φαρμακοκινητικής που διεξήχθη σε 14 υγιείς εθελοντές, οι οποίοι λάμβαναν REMODULIN μέσω υποδόριας έγχυσης σε δόσεις που κυμαίνονταν από 2,5 έως 15 ng/kg/λεπτό , οι συγκεντρώσεις τρεπροστινίλης σε σταθερή κατάσταση στο πλάσμα παρουσίασαν δύο κορυφές (στη 1 π.μ. και στις 10 π.μ.) και δύο ελάχιστα (στις 7 π.μ. και 4 μ.μ.). Οι συγκεντρώσεις κορυφής ήταν περίπου 20% έως 30% υψηλότερες από τις ελάχιστες συγκεντρώσεις.</w:t>
      </w:r>
    </w:p>
    <w:p w:rsidR="0020047A" w:rsidRPr="00B968F8" w:rsidRDefault="0020047A">
      <w:pPr>
        <w:pStyle w:val="Text"/>
        <w:rPr>
          <w:sz w:val="22"/>
          <w:lang w:val="el-GR"/>
        </w:rPr>
      </w:pPr>
      <w:r w:rsidRPr="00B968F8">
        <w:rPr>
          <w:sz w:val="22"/>
          <w:lang w:val="el-GR"/>
        </w:rPr>
        <w:t>Μια μελέτη</w:t>
      </w:r>
      <w:r w:rsidRPr="00B968F8">
        <w:rPr>
          <w:i/>
          <w:sz w:val="22"/>
          <w:lang w:val="el-GR"/>
        </w:rPr>
        <w:t xml:space="preserve"> in vitro </w:t>
      </w:r>
      <w:r w:rsidRPr="00B968F8">
        <w:rPr>
          <w:sz w:val="22"/>
          <w:lang w:val="el-GR"/>
        </w:rPr>
        <w:t>έδειξε ότι η τρεπροστινίλη δεν έχει δράση αναστολής των ισοενζύμων του ανθρώπινου ηπατικού μικροσωμικού κυτοχρώματος P450 (CYP1A2, CYP2C9, CYP2C19, CYP2D6, CYP2E1 και CYP3A).</w:t>
      </w:r>
    </w:p>
    <w:p w:rsidR="0020047A" w:rsidRPr="00B968F8" w:rsidRDefault="0020047A">
      <w:pPr>
        <w:pStyle w:val="Text"/>
        <w:rPr>
          <w:sz w:val="22"/>
          <w:lang w:val="el-GR"/>
        </w:rPr>
      </w:pPr>
      <w:r w:rsidRPr="00B968F8">
        <w:rPr>
          <w:sz w:val="22"/>
          <w:lang w:val="el-GR"/>
        </w:rPr>
        <w:t>Επιπλέον, η χορήγηση τρεπροστινίλης δεν είχε επαγωγική δράση στην ηπατική μικροσωμική πρωτεΐνη, στη συνολική περιεκτικότητα σε κυτόχρωμα (CYP) P 450 ή στη δραστικότητα των ισοενζύμων CYP1A, CYP2B και CYP3A.</w:t>
      </w:r>
    </w:p>
    <w:p w:rsidR="0020047A" w:rsidRPr="00B968F8" w:rsidRDefault="0020047A">
      <w:pPr>
        <w:pStyle w:val="Text"/>
        <w:rPr>
          <w:sz w:val="22"/>
          <w:lang w:val="el-GR"/>
        </w:rPr>
      </w:pPr>
      <w:r w:rsidRPr="00B968F8">
        <w:rPr>
          <w:sz w:val="22"/>
          <w:lang w:val="el-GR"/>
        </w:rPr>
        <w:t>Πραγματοποιήθηκαν μελέτες φαρμακευτικής αλληλεπίδρασης με την παρακεταμόλη (4 g/ημέρα) και τη βαρφαρίνη (25 mg/ημέρα) σε υγιείς εθελοντές. Οι μελέτες αυτές δεν έδειξαν κάποια κλινικά σημαντική επίδραση στη φαρμακοκινητική της τρεπροστινίλης. Μια μελέτη που διεξήχθη με βαρφαρίνη δεν έδειξε να υπάρχει εμφανής φαρμακοδυναμική ή φαρμακοκινητική αλληλεπίδραση μεταξύ τρεπροστινίλης και βαρφαρίνης.</w:t>
      </w:r>
    </w:p>
    <w:p w:rsidR="006F56F4" w:rsidRPr="00B968F8" w:rsidRDefault="006F56F4" w:rsidP="006F56F4">
      <w:pPr>
        <w:keepNext/>
        <w:keepLines/>
        <w:jc w:val="both"/>
        <w:rPr>
          <w:b/>
          <w:sz w:val="22"/>
          <w:u w:val="single"/>
        </w:rPr>
      </w:pPr>
    </w:p>
    <w:p w:rsidR="0020047A" w:rsidRPr="00B968F8" w:rsidRDefault="0020047A" w:rsidP="00067B9C">
      <w:pPr>
        <w:keepNext/>
        <w:keepLines/>
        <w:spacing w:before="120"/>
        <w:jc w:val="both"/>
        <w:rPr>
          <w:b/>
          <w:sz w:val="22"/>
          <w:u w:val="single"/>
          <w:lang w:val="en-GB"/>
        </w:rPr>
      </w:pPr>
      <w:r w:rsidRPr="00B968F8">
        <w:rPr>
          <w:b/>
          <w:sz w:val="22"/>
          <w:u w:val="single"/>
        </w:rPr>
        <w:t>Ειδικοί</w:t>
      </w:r>
      <w:r w:rsidRPr="00B968F8">
        <w:rPr>
          <w:b/>
          <w:sz w:val="22"/>
          <w:u w:val="single"/>
          <w:lang w:val="el-GR"/>
        </w:rPr>
        <w:t xml:space="preserve"> πληθυσ</w:t>
      </w:r>
      <w:r w:rsidRPr="00B968F8">
        <w:rPr>
          <w:b/>
          <w:sz w:val="22"/>
          <w:u w:val="single"/>
        </w:rPr>
        <w:t>μ</w:t>
      </w:r>
      <w:r w:rsidRPr="00B968F8">
        <w:rPr>
          <w:b/>
          <w:sz w:val="22"/>
          <w:u w:val="single"/>
          <w:lang w:val="el-GR"/>
        </w:rPr>
        <w:t>οί</w:t>
      </w:r>
    </w:p>
    <w:p w:rsidR="0020047A" w:rsidRPr="00B968F8" w:rsidRDefault="0020047A" w:rsidP="00067B9C">
      <w:pPr>
        <w:keepNext/>
        <w:keepLines/>
        <w:spacing w:before="120"/>
        <w:jc w:val="both"/>
        <w:rPr>
          <w:sz w:val="22"/>
          <w:u w:val="single"/>
          <w:lang w:val="el-GR"/>
        </w:rPr>
      </w:pPr>
      <w:r w:rsidRPr="00B968F8">
        <w:rPr>
          <w:sz w:val="22"/>
          <w:u w:val="single"/>
          <w:lang w:val="el-GR"/>
        </w:rPr>
        <w:t>Ηπατική</w:t>
      </w:r>
      <w:r w:rsidRPr="00B968F8">
        <w:rPr>
          <w:sz w:val="22"/>
          <w:u w:val="single"/>
        </w:rPr>
        <w:t xml:space="preserve"> ανεπάρκεια: </w:t>
      </w:r>
    </w:p>
    <w:p w:rsidR="0020047A" w:rsidRPr="00B968F8" w:rsidRDefault="0020047A">
      <w:pPr>
        <w:autoSpaceDE w:val="0"/>
        <w:autoSpaceDN w:val="0"/>
        <w:adjustRightInd w:val="0"/>
        <w:rPr>
          <w:sz w:val="22"/>
          <w:lang w:val="el-GR"/>
        </w:rPr>
      </w:pPr>
      <w:r w:rsidRPr="00B968F8">
        <w:rPr>
          <w:sz w:val="22"/>
          <w:lang w:val="el-GR"/>
        </w:rPr>
        <w:t>Σε ασθενείς με πυλαία-πνευμονική υπέρταση και ελαφρά (n=4) ή μέτρια (n=5) ηπατική ανεπάρκεια, το Remodulin σε υποδόρια δόση 10 ng/kg/λεπτό επί 150 λεπτά είχε AUC 0-24</w:t>
      </w:r>
      <w:r w:rsidR="00E25CEB" w:rsidRPr="00B968F8">
        <w:rPr>
          <w:sz w:val="16"/>
          <w:szCs w:val="16"/>
          <w:lang w:val="el-GR"/>
        </w:rPr>
        <w:t xml:space="preserve"> </w:t>
      </w:r>
      <w:r w:rsidR="00E25CEB" w:rsidRPr="00B968F8">
        <w:rPr>
          <w:sz w:val="16"/>
          <w:szCs w:val="16"/>
          <w:lang w:val="en-US"/>
        </w:rPr>
        <w:t>h</w:t>
      </w:r>
      <w:r w:rsidRPr="00B968F8">
        <w:rPr>
          <w:sz w:val="22"/>
          <w:lang w:val="el-GR"/>
        </w:rPr>
        <w:t>, το οποίο ήταν αυξημένο κατά 260% και 510%, αντίστοιχα, σε σύγκριση με υγιή άτομα.</w:t>
      </w:r>
      <w:r w:rsidRPr="00B968F8">
        <w:rPr>
          <w:sz w:val="22"/>
        </w:rPr>
        <w:t xml:space="preserve"> </w:t>
      </w:r>
      <w:r w:rsidRPr="00B968F8">
        <w:rPr>
          <w:sz w:val="22"/>
          <w:lang w:val="el-GR"/>
        </w:rPr>
        <w:t>Η κάθαρση σε ασθενείς με ηπατική ανεπάρκεια ήταν μειωμένη έως και κατά 80% σε σύγκριση με υγιείς ενήλικες (δείτε την ενότητα 4.2).</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5.3.</w:t>
      </w:r>
      <w:r w:rsidRPr="00B968F8">
        <w:rPr>
          <w:rFonts w:ascii="Times New Roman" w:hAnsi="Times New Roman" w:cs="Times New Roman"/>
          <w:sz w:val="22"/>
          <w:lang w:val="el-GR"/>
        </w:rPr>
        <w:tab/>
        <w:t>Προκλινικά δεδομένα για την ασφάλεια</w:t>
      </w:r>
    </w:p>
    <w:p w:rsidR="0020047A" w:rsidRPr="00B968F8" w:rsidRDefault="0020047A">
      <w:pPr>
        <w:pStyle w:val="Text"/>
        <w:rPr>
          <w:sz w:val="22"/>
          <w:lang w:val="el-GR"/>
        </w:rPr>
      </w:pPr>
      <w:r w:rsidRPr="00B968F8">
        <w:rPr>
          <w:sz w:val="22"/>
          <w:lang w:val="el-GR"/>
        </w:rPr>
        <w:t xml:space="preserve">Σε μελέτες 13 και 26 εβδομάδων, συνεχείς υποδόριες εγχύσεις νατριούχου τρεπροστινίλης προκάλεσαν αντιδράσεις στο σημείο της έγχυσης σε επίμυες και σκύλους (οίδημα/ερύθημα, μάζες/διογκώσεις, </w:t>
      </w:r>
      <w:r w:rsidRPr="00B968F8">
        <w:rPr>
          <w:sz w:val="22"/>
          <w:lang w:val="el-GR"/>
        </w:rPr>
        <w:lastRenderedPageBreak/>
        <w:t xml:space="preserve">άλγος/ευαισθησία στο άγγιγμα). </w:t>
      </w:r>
      <w:r w:rsidR="00B968F8">
        <w:rPr>
          <w:sz w:val="22"/>
        </w:rPr>
        <w:t xml:space="preserve"> </w:t>
      </w:r>
      <w:r w:rsidRPr="00B968F8">
        <w:rPr>
          <w:sz w:val="22"/>
          <w:lang w:val="el-GR"/>
        </w:rPr>
        <w:t>Παρατηρήθηκαν σοβαρές κλινικές επιδράσεις σε σκύλους (υποκινητικότητα, έμεση, υδαρή κόπρανα και οίδημα στο σημείο της έγχυσης) και θάνατος (σχετιζόμενος με εντερικό εγκολεασμό και ορθική πρόπτωση) σε ζώα στα οποία χορηγήθηκαν δόσεις ≥300</w:t>
      </w:r>
      <w:r w:rsidR="002C7B28" w:rsidRPr="00B968F8">
        <w:rPr>
          <w:sz w:val="22"/>
          <w:lang w:val="el-GR"/>
        </w:rPr>
        <w:t xml:space="preserve"> </w:t>
      </w:r>
      <w:r w:rsidRPr="00B968F8">
        <w:rPr>
          <w:sz w:val="22"/>
          <w:lang w:val="el-GR"/>
        </w:rPr>
        <w:t>ng/kg/λεπτό.</w:t>
      </w:r>
      <w:r w:rsidRPr="00B968F8">
        <w:rPr>
          <w:noProof/>
          <w:sz w:val="22"/>
          <w:lang w:val="el-GR"/>
        </w:rPr>
        <w:t xml:space="preserve"> </w:t>
      </w:r>
      <w:r w:rsidR="00B968F8" w:rsidRPr="00470A7F">
        <w:rPr>
          <w:noProof/>
          <w:sz w:val="22"/>
          <w:lang w:val="el-GR"/>
        </w:rPr>
        <w:t xml:space="preserve"> </w:t>
      </w:r>
      <w:r w:rsidRPr="00B968F8">
        <w:rPr>
          <w:sz w:val="22"/>
          <w:lang w:val="el-GR"/>
        </w:rPr>
        <w:t>Στα ζώα αυτά, τα μέσα επίπεδα τρεπροστινίλης που μετρήθηκαν σε σταθερή κατάσταση στο πλάσμα ήταν 7,85 ng/ml.</w:t>
      </w:r>
      <w:r w:rsidR="00B968F8" w:rsidRPr="00470A7F">
        <w:rPr>
          <w:sz w:val="22"/>
          <w:lang w:val="el-GR"/>
        </w:rPr>
        <w:t xml:space="preserve"> </w:t>
      </w:r>
      <w:r w:rsidRPr="00B968F8">
        <w:rPr>
          <w:sz w:val="22"/>
          <w:lang w:val="el-GR"/>
        </w:rPr>
        <w:t xml:space="preserve"> Τέτοια επίπεδα στο πλάσμα ενδέχεται να επιτευχθούν σε ανθρώπους που υποβάλλονται σε θεραπεία με Remodulin με ρυθμό έγχυσης &gt;50</w:t>
      </w:r>
      <w:r w:rsidR="002C7B28" w:rsidRPr="00B968F8">
        <w:rPr>
          <w:sz w:val="22"/>
          <w:lang w:val="el-GR"/>
        </w:rPr>
        <w:t xml:space="preserve"> </w:t>
      </w:r>
      <w:r w:rsidRPr="00B968F8">
        <w:rPr>
          <w:sz w:val="22"/>
          <w:lang w:val="el-GR"/>
        </w:rPr>
        <w:t>ng/kg/λεπτό.</w:t>
      </w:r>
    </w:p>
    <w:p w:rsidR="0020047A" w:rsidRPr="00B968F8" w:rsidRDefault="0020047A">
      <w:pPr>
        <w:pStyle w:val="Text"/>
        <w:rPr>
          <w:sz w:val="22"/>
          <w:lang w:val="el-GR"/>
        </w:rPr>
      </w:pPr>
      <w:r w:rsidRPr="00B968F8">
        <w:rPr>
          <w:sz w:val="22"/>
          <w:lang w:val="el-GR"/>
        </w:rPr>
        <w:t>Καθώς δεν έχει αποδειχθεί συνεχής έκθεση σε επαρκή επίπεδα τρεπροστινίλης, για καμία δοσολογία που δοκιμάστηκε σε μελέτες αναπαραγωγής σε επίμυες, αυτές οι μελέτες ενδέχεται να είναι ανεπαρκείς όσον αφορά τις πιθανές επιδράσεις στη γονιμότητα, την προγεννητική και τη μεταγεννητική ανάπτυξη.</w:t>
      </w:r>
    </w:p>
    <w:p w:rsidR="0020047A" w:rsidRPr="00B968F8" w:rsidRDefault="0020047A">
      <w:pPr>
        <w:pStyle w:val="Text"/>
        <w:rPr>
          <w:sz w:val="22"/>
          <w:lang w:val="el-GR"/>
        </w:rPr>
      </w:pPr>
      <w:r w:rsidRPr="00B968F8">
        <w:rPr>
          <w:sz w:val="22"/>
          <w:lang w:val="el-GR"/>
        </w:rPr>
        <w:t xml:space="preserve">Δεν έχουν διεξαχθεί μακροχρόνιες μελέτες σε ζώα για την αξιολόγηση της πιθανής καρκινογόνου δράσης της τρεπροστινίλης. </w:t>
      </w:r>
      <w:r w:rsidRPr="00B968F8">
        <w:rPr>
          <w:i/>
          <w:sz w:val="22"/>
          <w:lang w:val="el-GR"/>
        </w:rPr>
        <w:t xml:space="preserve">In vitro </w:t>
      </w:r>
      <w:r w:rsidRPr="00B968F8">
        <w:rPr>
          <w:sz w:val="22"/>
          <w:lang w:val="el-GR"/>
        </w:rPr>
        <w:t xml:space="preserve">και </w:t>
      </w:r>
      <w:r w:rsidRPr="00B968F8">
        <w:rPr>
          <w:i/>
          <w:sz w:val="22"/>
          <w:lang w:val="el-GR"/>
        </w:rPr>
        <w:t xml:space="preserve">in vivo </w:t>
      </w:r>
      <w:r w:rsidRPr="00B968F8">
        <w:rPr>
          <w:sz w:val="22"/>
          <w:lang w:val="el-GR"/>
        </w:rPr>
        <w:t xml:space="preserve">μελέτες της μεταλλαξιογόνου δράσης κατέδειξαν ότι η τρεπροστινίλη δεν παρουσιάζει μεταλλαξιογόνο δράση ούτε προκαλεί αυξημένη συχνότητα θραύσης χρωμοσωμάτων.  </w:t>
      </w:r>
    </w:p>
    <w:p w:rsidR="0020047A" w:rsidRPr="00B968F8" w:rsidRDefault="0020047A">
      <w:pPr>
        <w:pStyle w:val="Text"/>
        <w:rPr>
          <w:sz w:val="22"/>
          <w:lang w:val="el-GR"/>
        </w:rPr>
      </w:pPr>
      <w:r w:rsidRPr="00B968F8">
        <w:rPr>
          <w:sz w:val="22"/>
          <w:lang w:val="el-GR"/>
        </w:rPr>
        <w:t>Συνοπτικά, τα προκλινικά δεδομένα δεν αποκάλυψαν κάποιον ιδιαίτερο κίνδυνο για τους ανθρώπους με βάση συμβατικές φαρμακολογικές μελέτες ασφάλειας, τοξικότητας επαναλαμβανόμενων δόσεων, γονοτοξικότητας και τοξικότητας στην αναπαραγωγή.</w:t>
      </w:r>
    </w:p>
    <w:p w:rsidR="0020047A" w:rsidRPr="00B968F8" w:rsidRDefault="0020047A">
      <w:pPr>
        <w:pStyle w:val="Text"/>
        <w:rPr>
          <w:sz w:val="22"/>
          <w:lang w:val="el-GR"/>
        </w:rPr>
      </w:pPr>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6.</w:t>
      </w:r>
      <w:r w:rsidRPr="00B968F8">
        <w:rPr>
          <w:rFonts w:ascii="Times New Roman" w:hAnsi="Times New Roman" w:cs="Times New Roman"/>
          <w:sz w:val="22"/>
          <w:lang w:val="el-GR"/>
        </w:rPr>
        <w:tab/>
        <w:t>ΦΑΡΜΑΚΕΥΤΙΚΕΣ ΠΛΗΡΟΦΟΡΙΕΣ</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6.1.</w:t>
      </w:r>
      <w:r w:rsidRPr="00B968F8">
        <w:rPr>
          <w:rFonts w:ascii="Times New Roman" w:hAnsi="Times New Roman" w:cs="Times New Roman"/>
          <w:sz w:val="22"/>
          <w:lang w:val="el-GR"/>
        </w:rPr>
        <w:tab/>
        <w:t>Κατάλογος εκδόχων</w:t>
      </w:r>
    </w:p>
    <w:p w:rsidR="0020047A" w:rsidRPr="00B968F8" w:rsidRDefault="0020047A">
      <w:pPr>
        <w:pStyle w:val="Text"/>
        <w:spacing w:before="0"/>
        <w:rPr>
          <w:sz w:val="22"/>
          <w:lang w:val="el-GR"/>
        </w:rPr>
      </w:pPr>
      <w:r w:rsidRPr="00B968F8">
        <w:rPr>
          <w:sz w:val="22"/>
          <w:lang w:val="el-GR"/>
        </w:rPr>
        <w:t>Κιτρικό νάτριο, υδροχλωρικό οξύ, μετακρεσόλη, υδροξείδιο του νατρίου, χλωριούχο νάτριο, ενέσιμο ύδωρ.</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6.2.</w:t>
      </w:r>
      <w:r w:rsidRPr="00B968F8">
        <w:rPr>
          <w:rFonts w:ascii="Times New Roman" w:hAnsi="Times New Roman" w:cs="Times New Roman"/>
          <w:sz w:val="22"/>
          <w:lang w:val="el-GR"/>
        </w:rPr>
        <w:tab/>
        <w:t>Ασυμβατότητες</w:t>
      </w:r>
    </w:p>
    <w:p w:rsidR="0020047A" w:rsidRPr="00B968F8" w:rsidRDefault="0020047A">
      <w:pPr>
        <w:pStyle w:val="Text"/>
        <w:spacing w:before="0"/>
        <w:rPr>
          <w:sz w:val="22"/>
          <w:lang w:val="el-GR"/>
        </w:rPr>
      </w:pPr>
      <w:r w:rsidRPr="00B968F8">
        <w:rPr>
          <w:sz w:val="22"/>
          <w:lang w:val="el-GR"/>
        </w:rPr>
        <w:t>Απουσία μελετών συμβατότητας, αυτό το φαρμακευτικό προϊόν δεν θα πρέπει να αναμειγνύεται με άλλα φαρμακευτικά προϊόντα</w:t>
      </w:r>
      <w:r w:rsidR="002C7B28" w:rsidRPr="00B968F8">
        <w:rPr>
          <w:sz w:val="22"/>
          <w:lang w:val="el-GR"/>
        </w:rPr>
        <w:t>, εκτός από Αποστειρωμένο νερό για έγχυση ή Έγχυση χλωριούχου νατρίου 0,9% (βάρος/όγκος) (ανατρέξτε στην ενότητα 6.6)</w:t>
      </w:r>
      <w:r w:rsidRPr="00B968F8">
        <w:rPr>
          <w:sz w:val="22"/>
          <w:lang w:val="el-GR"/>
        </w:rPr>
        <w:t>.</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6.3.</w:t>
      </w:r>
      <w:r w:rsidRPr="00B968F8">
        <w:rPr>
          <w:rFonts w:ascii="Times New Roman" w:hAnsi="Times New Roman" w:cs="Times New Roman"/>
          <w:sz w:val="22"/>
          <w:lang w:val="el-GR"/>
        </w:rPr>
        <w:tab/>
        <w:t>Διάρκεια ζωής</w:t>
      </w:r>
    </w:p>
    <w:p w:rsidR="0020047A" w:rsidRPr="00B968F8" w:rsidRDefault="0020047A">
      <w:pPr>
        <w:pStyle w:val="2"/>
        <w:ind w:right="7"/>
        <w:jc w:val="both"/>
        <w:rPr>
          <w:rFonts w:ascii="Times New Roman" w:hAnsi="Times New Roman" w:cs="Times New Roman"/>
          <w:b w:val="0"/>
          <w:sz w:val="22"/>
          <w:lang w:val="el-GR"/>
        </w:rPr>
      </w:pPr>
      <w:r w:rsidRPr="00B968F8">
        <w:rPr>
          <w:rFonts w:ascii="Times New Roman" w:hAnsi="Times New Roman" w:cs="Times New Roman"/>
          <w:b w:val="0"/>
          <w:sz w:val="22"/>
          <w:lang w:val="el-GR"/>
        </w:rPr>
        <w:t xml:space="preserve">Διάρκεια ζωής του φαρμάκου όπως είναι συσκευασμένο για πώληση: </w:t>
      </w:r>
      <w:r w:rsidR="00FA1B59" w:rsidRPr="00B968F8">
        <w:rPr>
          <w:rStyle w:val="TextChar"/>
          <w:rFonts w:ascii="Times New Roman" w:hAnsi="Times New Roman" w:cs="Times New Roman"/>
          <w:b w:val="0"/>
          <w:bCs w:val="0"/>
          <w:sz w:val="22"/>
          <w:lang w:val="el-GR"/>
        </w:rPr>
        <w:t>3 χρόνια</w:t>
      </w:r>
    </w:p>
    <w:p w:rsidR="0020047A" w:rsidRPr="00B968F8" w:rsidRDefault="0020047A">
      <w:pPr>
        <w:pStyle w:val="Text"/>
        <w:rPr>
          <w:sz w:val="22"/>
          <w:lang w:val="el-GR"/>
        </w:rPr>
      </w:pPr>
      <w:r w:rsidRPr="00B968F8">
        <w:rPr>
          <w:sz w:val="22"/>
          <w:lang w:val="el-GR"/>
        </w:rPr>
        <w:t xml:space="preserve">Διάρκεια ζωής </w:t>
      </w:r>
      <w:r w:rsidR="002C7B28" w:rsidRPr="00B968F8">
        <w:rPr>
          <w:sz w:val="22"/>
          <w:lang w:val="el-GR"/>
        </w:rPr>
        <w:t xml:space="preserve">του φιαλιδίου </w:t>
      </w:r>
      <w:r w:rsidRPr="00B968F8">
        <w:rPr>
          <w:sz w:val="22"/>
          <w:lang w:val="el-GR"/>
        </w:rPr>
        <w:t>μετά το αρχικό άνοιγμα: 30 ημέρες</w:t>
      </w:r>
    </w:p>
    <w:p w:rsidR="002C7B28" w:rsidRPr="00B968F8" w:rsidRDefault="002C7B28">
      <w:pPr>
        <w:pStyle w:val="Text"/>
        <w:rPr>
          <w:sz w:val="22"/>
          <w:lang w:val="el-GR"/>
        </w:rPr>
      </w:pPr>
    </w:p>
    <w:p w:rsidR="002C7B28" w:rsidRPr="00B968F8" w:rsidRDefault="002C7B28" w:rsidP="002C7B28">
      <w:pPr>
        <w:pStyle w:val="Text"/>
        <w:keepNext/>
        <w:spacing w:before="0"/>
        <w:rPr>
          <w:i/>
          <w:sz w:val="22"/>
          <w:lang w:val="el-GR"/>
        </w:rPr>
      </w:pPr>
      <w:r w:rsidRPr="00B968F8">
        <w:rPr>
          <w:i/>
          <w:sz w:val="22"/>
          <w:lang w:val="el-GR"/>
        </w:rPr>
        <w:t>Διάρκεια ζωής κατά τη χρήση με συνεχή υποδόρια χορήγηση</w:t>
      </w:r>
    </w:p>
    <w:p w:rsidR="002C7B28" w:rsidRPr="00B968F8" w:rsidRDefault="002C7B28" w:rsidP="002C7B28">
      <w:pPr>
        <w:pStyle w:val="Text"/>
        <w:spacing w:before="0"/>
        <w:rPr>
          <w:sz w:val="22"/>
          <w:lang w:val="el-GR"/>
        </w:rPr>
      </w:pPr>
    </w:p>
    <w:p w:rsidR="002C7B28" w:rsidRPr="00B968F8" w:rsidRDefault="002C7B28" w:rsidP="002C7B28">
      <w:pPr>
        <w:pStyle w:val="Text"/>
        <w:spacing w:before="0"/>
        <w:rPr>
          <w:sz w:val="22"/>
          <w:lang w:val="el-GR"/>
        </w:rPr>
      </w:pPr>
      <w:r w:rsidRPr="00B968F8">
        <w:rPr>
          <w:sz w:val="22"/>
          <w:lang w:val="el-GR"/>
        </w:rPr>
        <w:t xml:space="preserve">Η χημική και φυσική σταθερότητα κατά τη χρήση μίας δεξαμενής (σύριγγα) του μη αραιωμένου </w:t>
      </w:r>
      <w:r w:rsidRPr="00B968F8">
        <w:rPr>
          <w:sz w:val="22"/>
        </w:rPr>
        <w:t>REMODULIN</w:t>
      </w:r>
      <w:r w:rsidRPr="00B968F8">
        <w:rPr>
          <w:sz w:val="22"/>
          <w:lang w:val="el-GR"/>
        </w:rPr>
        <w:t xml:space="preserve"> μέσω υποδόριας χορήγησης έχει καταδειχτεί για χρονικό διάστημα μέχρι 72 ώρες στους </w:t>
      </w:r>
      <w:smartTag w:uri="urn:schemas-microsoft-com:office:smarttags" w:element="metricconverter">
        <w:smartTagPr>
          <w:attr w:name="ProductID" w:val="37ﾰC"/>
        </w:smartTagPr>
        <w:r w:rsidRPr="00B968F8">
          <w:rPr>
            <w:sz w:val="22"/>
            <w:lang w:val="el-GR"/>
          </w:rPr>
          <w:t>37°</w:t>
        </w:r>
        <w:r w:rsidRPr="00B968F8">
          <w:rPr>
            <w:sz w:val="22"/>
          </w:rPr>
          <w:t>C</w:t>
        </w:r>
      </w:smartTag>
      <w:r w:rsidRPr="00B968F8">
        <w:rPr>
          <w:sz w:val="22"/>
          <w:lang w:val="el-GR"/>
        </w:rPr>
        <w:t>.  Άλλοι χρόνοι και συνθήκες φύλαξης κατά τη χρήση αποτελούν ευθύνη του χρήστη.</w:t>
      </w:r>
    </w:p>
    <w:p w:rsidR="002C7B28" w:rsidRPr="00B968F8" w:rsidRDefault="002C7B28" w:rsidP="002C7B28">
      <w:pPr>
        <w:pStyle w:val="Text"/>
        <w:spacing w:before="0"/>
        <w:rPr>
          <w:sz w:val="22"/>
          <w:lang w:val="el-GR"/>
        </w:rPr>
      </w:pPr>
    </w:p>
    <w:p w:rsidR="002C7B28" w:rsidRPr="00B968F8" w:rsidRDefault="002C7B28" w:rsidP="002C7B28">
      <w:pPr>
        <w:pStyle w:val="Text"/>
        <w:spacing w:before="0"/>
        <w:rPr>
          <w:i/>
          <w:sz w:val="22"/>
          <w:lang w:val="el-GR"/>
        </w:rPr>
      </w:pPr>
      <w:r w:rsidRPr="00B968F8">
        <w:rPr>
          <w:i/>
          <w:sz w:val="22"/>
          <w:lang w:val="el-GR"/>
        </w:rPr>
        <w:t>Διάρκεια ζωής κατά τη χρήση με συνεχή ενδοφλέβια χορήγηση</w:t>
      </w:r>
    </w:p>
    <w:p w:rsidR="002C7B28" w:rsidRPr="00B968F8" w:rsidRDefault="002C7B28" w:rsidP="002C7B28">
      <w:pPr>
        <w:pStyle w:val="Text"/>
        <w:spacing w:before="0"/>
        <w:rPr>
          <w:i/>
          <w:sz w:val="22"/>
          <w:lang w:val="el-GR"/>
        </w:rPr>
      </w:pPr>
    </w:p>
    <w:p w:rsidR="000F60AE" w:rsidRPr="00B968F8" w:rsidRDefault="000F60AE" w:rsidP="000F60AE">
      <w:pPr>
        <w:pStyle w:val="Text"/>
        <w:spacing w:before="0"/>
        <w:rPr>
          <w:lang w:val="el-GR"/>
        </w:rPr>
      </w:pPr>
      <w:r w:rsidRPr="00B968F8">
        <w:rPr>
          <w:sz w:val="22"/>
          <w:lang w:val="el-GR"/>
        </w:rPr>
        <w:t xml:space="preserve">Η χημική, φυσική και μικροβιολογική σταθερότητα κατά τη χρήση μίας δεξαμενής (σύριγγα) του αραιωμένου διαλύματος του </w:t>
      </w:r>
      <w:r w:rsidRPr="00B968F8">
        <w:rPr>
          <w:sz w:val="22"/>
        </w:rPr>
        <w:t>REMODULIN</w:t>
      </w:r>
      <w:r w:rsidRPr="00B968F8">
        <w:rPr>
          <w:sz w:val="22"/>
          <w:lang w:val="el-GR"/>
        </w:rPr>
        <w:t xml:space="preserve"> με χορήγηση μέσω ενδοφλέβιας έγχυσης έχει καταδειχτεί για χρονικό διάστημα μέχρι 48 ώρες στους </w:t>
      </w:r>
      <w:smartTag w:uri="urn:schemas-microsoft-com:office:smarttags" w:element="metricconverter">
        <w:smartTagPr>
          <w:attr w:name="ProductID" w:val="37ﾰC"/>
        </w:smartTagPr>
        <w:r w:rsidRPr="00B968F8">
          <w:rPr>
            <w:sz w:val="22"/>
            <w:lang w:val="el-GR"/>
          </w:rPr>
          <w:t>37°</w:t>
        </w:r>
        <w:r w:rsidRPr="00B968F8">
          <w:rPr>
            <w:sz w:val="22"/>
          </w:rPr>
          <w:t>C</w:t>
        </w:r>
      </w:smartTag>
      <w:r w:rsidRPr="00B968F8">
        <w:rPr>
          <w:sz w:val="22"/>
          <w:lang w:val="el-GR"/>
        </w:rPr>
        <w:t xml:space="preserve"> σε χαμηλές συγκεντρώσεις μέχρι 0,004 </w:t>
      </w:r>
      <w:r w:rsidRPr="00B968F8">
        <w:rPr>
          <w:sz w:val="22"/>
        </w:rPr>
        <w:t>mg</w:t>
      </w:r>
      <w:r w:rsidRPr="00B968F8">
        <w:rPr>
          <w:sz w:val="22"/>
          <w:lang w:val="el-GR"/>
        </w:rPr>
        <w:t>/</w:t>
      </w:r>
      <w:r w:rsidRPr="00B968F8">
        <w:rPr>
          <w:sz w:val="22"/>
        </w:rPr>
        <w:t>mL</w:t>
      </w:r>
      <w:r w:rsidRPr="00B968F8">
        <w:rPr>
          <w:sz w:val="22"/>
          <w:lang w:val="el-GR"/>
        </w:rPr>
        <w:t xml:space="preserve"> σε πολυβινυλοχλωρίδιο, πολυπροπυλένιο ή γυαλί.</w:t>
      </w:r>
      <w:r w:rsidRPr="00B968F8">
        <w:rPr>
          <w:sz w:val="22"/>
        </w:rPr>
        <w:t> </w:t>
      </w:r>
      <w:r w:rsidRPr="00B968F8">
        <w:rPr>
          <w:sz w:val="22"/>
          <w:lang w:val="el-GR"/>
        </w:rPr>
        <w:t xml:space="preserve"> Ωστόσο, για να ελαχιστοποιείται ο κίνδυνος λοιμώξεων στην κυκλοφορία του αίματος, η μέγιστη διάρκεια χρήσης του αραιωμένου </w:t>
      </w:r>
      <w:r w:rsidRPr="00B968F8">
        <w:rPr>
          <w:sz w:val="22"/>
        </w:rPr>
        <w:t>REMODULIN</w:t>
      </w:r>
      <w:r w:rsidRPr="00B968F8">
        <w:rPr>
          <w:sz w:val="22"/>
          <w:lang w:val="el-GR"/>
        </w:rPr>
        <w:t xml:space="preserve"> δεν θα πρέπει να υπερβαίνει τις 24 ώρες.  Άλλοι χρόνοι και συνθήκες φύλαξης κατά τη χρήση αποτελούν ευθύνη του χρήστη.</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lastRenderedPageBreak/>
        <w:t>6.4.</w:t>
      </w:r>
      <w:r w:rsidRPr="00B968F8">
        <w:rPr>
          <w:rFonts w:ascii="Times New Roman" w:hAnsi="Times New Roman" w:cs="Times New Roman"/>
          <w:sz w:val="22"/>
          <w:lang w:val="el-GR"/>
        </w:rPr>
        <w:tab/>
        <w:t>Ιδιαίτερες προφυλάξεις κατά τη φύλαξη του προϊόντος</w:t>
      </w:r>
    </w:p>
    <w:p w:rsidR="0020047A" w:rsidRPr="00B968F8" w:rsidRDefault="0020047A">
      <w:pPr>
        <w:pStyle w:val="Text"/>
        <w:rPr>
          <w:sz w:val="22"/>
          <w:lang w:val="el-GR"/>
        </w:rPr>
      </w:pPr>
      <w:r w:rsidRPr="00B968F8">
        <w:rPr>
          <w:sz w:val="22"/>
          <w:lang w:val="el-GR"/>
        </w:rPr>
        <w:t>Μη φυλάσσετε σε θερμοκρασία υψηλότερη των 25°C</w:t>
      </w:r>
      <w:r w:rsidR="002C7B28" w:rsidRPr="00B968F8">
        <w:rPr>
          <w:sz w:val="22"/>
          <w:lang w:val="el-GR"/>
        </w:rPr>
        <w:t xml:space="preserve"> (ανατρέξτε στην ενότητα 6.3 για τους χρόνους και τις συνθήκες φύλαξης κατά τη χρήση)</w:t>
      </w:r>
      <w:r w:rsidRPr="00B968F8">
        <w:rPr>
          <w:sz w:val="22"/>
          <w:lang w:val="el-GR"/>
        </w:rPr>
        <w:t>.</w:t>
      </w:r>
    </w:p>
    <w:p w:rsidR="0020047A" w:rsidRPr="00B968F8" w:rsidRDefault="0020047A">
      <w:pPr>
        <w:pStyle w:val="2"/>
        <w:jc w:val="both"/>
        <w:rPr>
          <w:rFonts w:ascii="Times New Roman" w:hAnsi="Times New Roman" w:cs="Times New Roman"/>
          <w:sz w:val="22"/>
          <w:lang w:val="el-GR"/>
        </w:rPr>
      </w:pPr>
      <w:r w:rsidRPr="00B968F8">
        <w:rPr>
          <w:rFonts w:ascii="Times New Roman" w:hAnsi="Times New Roman" w:cs="Times New Roman"/>
          <w:sz w:val="22"/>
          <w:lang w:val="el-GR"/>
        </w:rPr>
        <w:t>6.5.</w:t>
      </w:r>
      <w:r w:rsidRPr="00B968F8">
        <w:rPr>
          <w:rFonts w:ascii="Times New Roman" w:hAnsi="Times New Roman" w:cs="Times New Roman"/>
          <w:sz w:val="22"/>
          <w:lang w:val="el-GR"/>
        </w:rPr>
        <w:tab/>
        <w:t>Φύση και συστατικά του περιέκτη</w:t>
      </w:r>
    </w:p>
    <w:p w:rsidR="0020047A" w:rsidRPr="00B968F8" w:rsidRDefault="0020047A">
      <w:pPr>
        <w:pStyle w:val="Text"/>
        <w:rPr>
          <w:sz w:val="22"/>
          <w:lang w:val="el-GR"/>
        </w:rPr>
      </w:pPr>
      <w:r w:rsidRPr="00B968F8">
        <w:rPr>
          <w:sz w:val="22"/>
          <w:lang w:val="el-GR"/>
        </w:rPr>
        <w:t>Φιαλίδιο των 20 ml από διαφανή ύαλο τύπου Ι, σφραγισμένο με ελαστικό πώμα επικαλυμμένο με teflon, με κόκκινο καπάκι (χρωματική κωδικοποίηση), σε κουτί του ενός φιαλιδίου.</w:t>
      </w:r>
    </w:p>
    <w:p w:rsidR="0020047A" w:rsidRPr="00B968F8" w:rsidRDefault="0020047A">
      <w:pPr>
        <w:pStyle w:val="2"/>
        <w:ind w:right="7"/>
        <w:jc w:val="both"/>
        <w:rPr>
          <w:rFonts w:ascii="Times New Roman" w:hAnsi="Times New Roman" w:cs="Times New Roman"/>
          <w:sz w:val="22"/>
          <w:lang w:val="el-GR"/>
        </w:rPr>
      </w:pPr>
      <w:r w:rsidRPr="00B968F8">
        <w:rPr>
          <w:rFonts w:ascii="Times New Roman" w:hAnsi="Times New Roman" w:cs="Times New Roman"/>
          <w:sz w:val="22"/>
          <w:lang w:val="el-GR"/>
        </w:rPr>
        <w:t>6.6.</w:t>
      </w:r>
      <w:r w:rsidRPr="00B968F8">
        <w:rPr>
          <w:rFonts w:ascii="Times New Roman" w:hAnsi="Times New Roman" w:cs="Times New Roman"/>
          <w:sz w:val="22"/>
          <w:lang w:val="el-GR"/>
        </w:rPr>
        <w:tab/>
        <w:t>Οδηγίες χρήσης, χειρισμού και απόρριψης</w:t>
      </w:r>
    </w:p>
    <w:p w:rsidR="00B154F1" w:rsidRPr="00B968F8" w:rsidRDefault="00B154F1" w:rsidP="002C7B28">
      <w:pPr>
        <w:pStyle w:val="Text"/>
        <w:spacing w:before="0"/>
        <w:rPr>
          <w:sz w:val="22"/>
        </w:rPr>
      </w:pPr>
    </w:p>
    <w:p w:rsidR="002C7B28" w:rsidRPr="00B968F8" w:rsidRDefault="002C7B28" w:rsidP="002C7B28">
      <w:pPr>
        <w:pStyle w:val="Text"/>
        <w:spacing w:before="0"/>
        <w:rPr>
          <w:sz w:val="22"/>
        </w:rPr>
      </w:pPr>
      <w:r w:rsidRPr="00B968F8">
        <w:rPr>
          <w:sz w:val="22"/>
          <w:lang w:val="el-GR"/>
        </w:rPr>
        <w:t xml:space="preserve">Το </w:t>
      </w:r>
      <w:r w:rsidRPr="00B968F8">
        <w:rPr>
          <w:sz w:val="22"/>
        </w:rPr>
        <w:t>REMODULIN</w:t>
      </w:r>
      <w:r w:rsidRPr="00B968F8">
        <w:rPr>
          <w:sz w:val="22"/>
          <w:lang w:val="el-GR"/>
        </w:rPr>
        <w:t xml:space="preserve"> θα πρέπει να χρησιμοποιείται </w:t>
      </w:r>
      <w:r w:rsidRPr="00B968F8">
        <w:rPr>
          <w:b/>
          <w:sz w:val="22"/>
          <w:lang w:val="el-GR"/>
        </w:rPr>
        <w:t xml:space="preserve">μη αραιωμένο </w:t>
      </w:r>
      <w:r w:rsidRPr="00B968F8">
        <w:rPr>
          <w:sz w:val="22"/>
          <w:lang w:val="el-GR"/>
        </w:rPr>
        <w:t>εάν χορηγείται μέσω συνεχούς υποδόριας έγχυσης.</w:t>
      </w:r>
      <w:r w:rsidR="000F60AE" w:rsidRPr="00B968F8">
        <w:rPr>
          <w:sz w:val="22"/>
        </w:rPr>
        <w:t xml:space="preserve"> </w:t>
      </w:r>
      <w:r w:rsidR="000F60AE" w:rsidRPr="00B968F8">
        <w:rPr>
          <w:sz w:val="22"/>
          <w:lang w:val="el-GR"/>
        </w:rPr>
        <w:t>(ανατρέξτε στην ενότητα 4.2)</w:t>
      </w:r>
      <w:r w:rsidR="000F60AE" w:rsidRPr="00B968F8">
        <w:rPr>
          <w:sz w:val="22"/>
        </w:rPr>
        <w:t>.</w:t>
      </w:r>
    </w:p>
    <w:p w:rsidR="002C7B28" w:rsidRPr="00B968F8" w:rsidRDefault="002C7B28" w:rsidP="002C7B28">
      <w:pPr>
        <w:pStyle w:val="Text"/>
        <w:spacing w:before="0"/>
        <w:rPr>
          <w:sz w:val="22"/>
          <w:lang w:val="el-GR"/>
        </w:rPr>
      </w:pPr>
    </w:p>
    <w:p w:rsidR="002C7B28" w:rsidRPr="00B968F8" w:rsidRDefault="002C7B28" w:rsidP="002C7B28">
      <w:pPr>
        <w:pStyle w:val="Text"/>
        <w:spacing w:before="0"/>
        <w:rPr>
          <w:sz w:val="22"/>
          <w:lang w:val="el-GR"/>
        </w:rPr>
      </w:pPr>
      <w:r w:rsidRPr="00B968F8">
        <w:rPr>
          <w:sz w:val="22"/>
          <w:lang w:val="el-GR"/>
        </w:rPr>
        <w:t xml:space="preserve">Το διάλυμα </w:t>
      </w:r>
      <w:r w:rsidRPr="00B968F8">
        <w:rPr>
          <w:sz w:val="22"/>
        </w:rPr>
        <w:t>REMODULIN</w:t>
      </w:r>
      <w:r w:rsidRPr="00B968F8">
        <w:rPr>
          <w:sz w:val="22"/>
          <w:lang w:val="el-GR"/>
        </w:rPr>
        <w:t xml:space="preserve"> </w:t>
      </w:r>
      <w:r w:rsidRPr="00B968F8">
        <w:rPr>
          <w:b/>
          <w:sz w:val="22"/>
          <w:lang w:val="el-GR"/>
        </w:rPr>
        <w:t xml:space="preserve">θα πρέπει να αραιώνεται </w:t>
      </w:r>
      <w:r w:rsidRPr="00B968F8">
        <w:rPr>
          <w:sz w:val="22"/>
          <w:lang w:val="el-GR"/>
        </w:rPr>
        <w:t>με Αποστειρωμένο νερό για έγχυση ή Έγχυση χλωριούχου νατρίου 0,9% (βάρος/όγκος), εάν χορηγείται μέσω συνεχούς ενδοφλέβιας έγχυσης</w:t>
      </w:r>
      <w:r w:rsidR="000F60AE" w:rsidRPr="00B968F8">
        <w:rPr>
          <w:sz w:val="22"/>
          <w:lang w:val="el-GR"/>
        </w:rPr>
        <w:t xml:space="preserve"> (ανατρέξτε στην ενότητα 4.2).</w:t>
      </w:r>
    </w:p>
    <w:p w:rsidR="002C7B28" w:rsidRPr="00B968F8" w:rsidRDefault="002C7B28" w:rsidP="002C7B28">
      <w:pPr>
        <w:pStyle w:val="Text"/>
        <w:spacing w:before="0"/>
        <w:rPr>
          <w:sz w:val="22"/>
          <w:lang w:val="el-GR"/>
        </w:rPr>
      </w:pPr>
    </w:p>
    <w:p w:rsidR="002C7B28" w:rsidRPr="00B968F8" w:rsidRDefault="002C7B28" w:rsidP="002C7B28">
      <w:pPr>
        <w:pStyle w:val="Text"/>
        <w:spacing w:before="0"/>
        <w:rPr>
          <w:sz w:val="22"/>
          <w:lang w:val="el-GR"/>
        </w:rPr>
      </w:pPr>
      <w:r w:rsidRPr="00B968F8">
        <w:rPr>
          <w:sz w:val="22"/>
          <w:lang w:val="el-GR"/>
        </w:rPr>
        <w:t>Τυχόν μη χρησιμοποιημένη ποσότητα προϊόντος ή τυχόν απόβλητα υλικά θα πρέπει να απορρίπτονται σύμφωνα με τις τοπικές απαιτήσεις.</w:t>
      </w:r>
    </w:p>
    <w:p w:rsidR="0020047A" w:rsidRPr="00B968F8" w:rsidRDefault="0020047A">
      <w:pPr>
        <w:pStyle w:val="1"/>
        <w:ind w:left="850" w:hanging="850"/>
        <w:jc w:val="both"/>
        <w:rPr>
          <w:rFonts w:ascii="Times New Roman" w:hAnsi="Times New Roman" w:cs="Times New Roman"/>
          <w:sz w:val="22"/>
          <w:lang w:val="el-GR"/>
        </w:rPr>
      </w:pPr>
      <w:r w:rsidRPr="00B968F8">
        <w:rPr>
          <w:rFonts w:ascii="Times New Roman" w:hAnsi="Times New Roman" w:cs="Times New Roman"/>
          <w:sz w:val="22"/>
          <w:lang w:val="el-GR"/>
        </w:rPr>
        <w:t>7.</w:t>
      </w:r>
      <w:r w:rsidRPr="00B968F8">
        <w:rPr>
          <w:rFonts w:ascii="Times New Roman" w:hAnsi="Times New Roman" w:cs="Times New Roman"/>
          <w:sz w:val="22"/>
          <w:lang w:val="el-GR"/>
        </w:rPr>
        <w:tab/>
        <w:t>ΚΑΤΟΧΟΣ ΤΗΣ ΑΔΕΙΑΣ ΚΥΚΛΟΦΟΡΙΑΣ</w:t>
      </w:r>
    </w:p>
    <w:p w:rsidR="0020047A" w:rsidRPr="00B968F8" w:rsidRDefault="0020047A">
      <w:pPr>
        <w:pStyle w:val="Text"/>
        <w:spacing w:before="0"/>
        <w:rPr>
          <w:sz w:val="22"/>
          <w:u w:val="single"/>
          <w:lang w:val="el-GR"/>
        </w:rPr>
      </w:pPr>
    </w:p>
    <w:p w:rsidR="0020047A" w:rsidRPr="00B968F8" w:rsidRDefault="0020047A">
      <w:pPr>
        <w:pStyle w:val="Text"/>
        <w:spacing w:before="0"/>
        <w:rPr>
          <w:sz w:val="22"/>
          <w:u w:val="single"/>
          <w:lang w:val="el-GR"/>
        </w:rPr>
      </w:pPr>
      <w:r w:rsidRPr="00B968F8">
        <w:rPr>
          <w:sz w:val="22"/>
          <w:u w:val="single"/>
          <w:lang w:val="el-GR"/>
        </w:rPr>
        <w:t>Ελλάδα</w:t>
      </w:r>
    </w:p>
    <w:p w:rsidR="0020047A" w:rsidRPr="00B968F8" w:rsidRDefault="0020047A">
      <w:pPr>
        <w:pStyle w:val="Text"/>
        <w:spacing w:before="0"/>
        <w:rPr>
          <w:i/>
          <w:sz w:val="22"/>
          <w:lang w:val="el-GR"/>
        </w:rPr>
      </w:pPr>
      <w:r w:rsidRPr="00B968F8">
        <w:rPr>
          <w:i/>
          <w:sz w:val="22"/>
          <w:lang w:val="el-GR"/>
        </w:rPr>
        <w:t>Δικαιούχος σήματος</w:t>
      </w:r>
    </w:p>
    <w:p w:rsidR="0020047A" w:rsidRPr="00B968F8" w:rsidRDefault="0020047A">
      <w:pPr>
        <w:pStyle w:val="Text"/>
        <w:spacing w:before="0"/>
        <w:jc w:val="left"/>
        <w:rPr>
          <w:i/>
          <w:sz w:val="22"/>
          <w:lang w:val="en-US"/>
        </w:rPr>
      </w:pPr>
      <w:r w:rsidRPr="00B968F8">
        <w:rPr>
          <w:sz w:val="22"/>
          <w:lang w:val="en-US"/>
        </w:rPr>
        <w:t xml:space="preserve">UNITED THERAPEUTICS CORPORATION, </w:t>
      </w:r>
      <w:smartTag w:uri="urn:schemas-microsoft-com:office:smarttags" w:element="country-region">
        <w:smartTag w:uri="urn:schemas-microsoft-com:office:smarttags" w:element="place">
          <w:r w:rsidRPr="00B968F8">
            <w:rPr>
              <w:sz w:val="22"/>
              <w:lang w:val="en-US"/>
            </w:rPr>
            <w:t>USA</w:t>
          </w:r>
        </w:smartTag>
      </w:smartTag>
      <w:r w:rsidRPr="00B968F8">
        <w:rPr>
          <w:sz w:val="22"/>
          <w:lang w:val="en-US"/>
        </w:rPr>
        <w:br/>
      </w:r>
      <w:r w:rsidRPr="00B968F8">
        <w:rPr>
          <w:i/>
          <w:sz w:val="22"/>
          <w:lang w:val="el-GR"/>
        </w:rPr>
        <w:t>Υπεύθυνος</w:t>
      </w:r>
      <w:r w:rsidRPr="00B968F8">
        <w:rPr>
          <w:i/>
          <w:sz w:val="22"/>
          <w:lang w:val="en-US"/>
        </w:rPr>
        <w:t xml:space="preserve"> </w:t>
      </w:r>
      <w:r w:rsidRPr="00B968F8">
        <w:rPr>
          <w:i/>
          <w:sz w:val="22"/>
          <w:lang w:val="el-GR"/>
        </w:rPr>
        <w:t>Κυκλοφορίας</w:t>
      </w:r>
    </w:p>
    <w:p w:rsidR="0020047A" w:rsidRPr="00B968F8" w:rsidRDefault="0020047A">
      <w:pPr>
        <w:pStyle w:val="Text"/>
        <w:spacing w:before="0"/>
        <w:jc w:val="left"/>
        <w:rPr>
          <w:sz w:val="22"/>
          <w:lang w:val="el-GR"/>
        </w:rPr>
      </w:pPr>
      <w:r w:rsidRPr="00B968F8">
        <w:rPr>
          <w:sz w:val="22"/>
          <w:lang w:val="it-IT"/>
        </w:rPr>
        <w:t>Ferrer</w:t>
      </w:r>
      <w:r w:rsidRPr="00B968F8">
        <w:rPr>
          <w:sz w:val="22"/>
          <w:lang w:val="el-GR"/>
        </w:rPr>
        <w:t xml:space="preserve"> </w:t>
      </w:r>
      <w:r w:rsidRPr="00B968F8">
        <w:rPr>
          <w:sz w:val="22"/>
          <w:lang w:val="it-IT"/>
        </w:rPr>
        <w:t>Galenica</w:t>
      </w:r>
      <w:r w:rsidRPr="00B968F8">
        <w:rPr>
          <w:sz w:val="22"/>
          <w:lang w:val="el-GR"/>
        </w:rPr>
        <w:t xml:space="preserve"> </w:t>
      </w:r>
      <w:r w:rsidRPr="00B968F8">
        <w:rPr>
          <w:sz w:val="22"/>
          <w:lang w:val="it-IT"/>
        </w:rPr>
        <w:t>AE</w:t>
      </w:r>
    </w:p>
    <w:p w:rsidR="00FA1B59" w:rsidRPr="00B968F8" w:rsidRDefault="00FA1B59" w:rsidP="00FA1B59">
      <w:pPr>
        <w:pStyle w:val="Text"/>
        <w:spacing w:before="0"/>
        <w:jc w:val="left"/>
        <w:rPr>
          <w:sz w:val="22"/>
          <w:lang w:val="el-GR"/>
        </w:rPr>
      </w:pPr>
      <w:r w:rsidRPr="00B968F8">
        <w:rPr>
          <w:sz w:val="22"/>
          <w:lang w:val="el-GR"/>
        </w:rPr>
        <w:t xml:space="preserve">Ελευθερίας 4 </w:t>
      </w:r>
    </w:p>
    <w:p w:rsidR="00FA1B59" w:rsidRPr="00B968F8" w:rsidRDefault="00FA1B59" w:rsidP="00FA1B59">
      <w:pPr>
        <w:pStyle w:val="Text"/>
        <w:spacing w:before="0"/>
        <w:jc w:val="left"/>
        <w:rPr>
          <w:sz w:val="22"/>
          <w:lang w:val="el-GR"/>
        </w:rPr>
      </w:pPr>
      <w:r w:rsidRPr="00B968F8">
        <w:rPr>
          <w:sz w:val="22"/>
          <w:lang w:val="el-GR"/>
        </w:rPr>
        <w:t>145 64 Κηφισιά</w:t>
      </w:r>
    </w:p>
    <w:p w:rsidR="0020047A" w:rsidRPr="00B968F8" w:rsidRDefault="0020047A">
      <w:pPr>
        <w:pStyle w:val="Text"/>
        <w:spacing w:before="0"/>
        <w:jc w:val="left"/>
        <w:rPr>
          <w:dstrike/>
          <w:sz w:val="22"/>
          <w:lang w:val="el-GR"/>
        </w:rPr>
      </w:pPr>
      <w:r w:rsidRPr="00B968F8">
        <w:rPr>
          <w:sz w:val="22"/>
          <w:lang w:val="el-GR"/>
        </w:rPr>
        <w:t>τηλ. 210 52 81 700</w:t>
      </w:r>
    </w:p>
    <w:p w:rsidR="0020047A" w:rsidRPr="00B968F8" w:rsidRDefault="0020047A">
      <w:pPr>
        <w:pStyle w:val="Text"/>
        <w:spacing w:before="0"/>
        <w:jc w:val="left"/>
        <w:rPr>
          <w:sz w:val="22"/>
          <w:u w:val="single"/>
          <w:lang w:val="it-IT"/>
        </w:rPr>
      </w:pPr>
    </w:p>
    <w:p w:rsidR="0020047A" w:rsidRPr="00B968F8" w:rsidRDefault="0020047A">
      <w:pPr>
        <w:pStyle w:val="Text"/>
        <w:spacing w:before="0"/>
        <w:jc w:val="left"/>
        <w:rPr>
          <w:sz w:val="22"/>
          <w:u w:val="single"/>
          <w:lang w:val="el-GR"/>
        </w:rPr>
      </w:pPr>
      <w:r w:rsidRPr="00B968F8">
        <w:rPr>
          <w:sz w:val="22"/>
          <w:u w:val="single"/>
          <w:lang w:val="el-GR"/>
        </w:rPr>
        <w:t>Κύπρος</w:t>
      </w:r>
    </w:p>
    <w:p w:rsidR="0020047A" w:rsidRPr="00B968F8" w:rsidRDefault="0020047A">
      <w:pPr>
        <w:pStyle w:val="Text"/>
        <w:spacing w:before="0"/>
        <w:jc w:val="left"/>
        <w:rPr>
          <w:sz w:val="22"/>
          <w:lang w:val="en-US"/>
        </w:rPr>
      </w:pPr>
      <w:r w:rsidRPr="00B968F8">
        <w:rPr>
          <w:sz w:val="22"/>
          <w:lang w:val="en-US"/>
        </w:rPr>
        <w:t>UNITED THERAPEUTICS EUROPE, Ltd</w:t>
      </w:r>
    </w:p>
    <w:p w:rsidR="00E50780" w:rsidRPr="00B968F8" w:rsidRDefault="00E50780" w:rsidP="00E50780">
      <w:pPr>
        <w:pStyle w:val="Text"/>
        <w:spacing w:before="0"/>
        <w:jc w:val="left"/>
        <w:rPr>
          <w:sz w:val="22"/>
          <w:lang w:val="en-US"/>
        </w:rPr>
      </w:pPr>
      <w:r w:rsidRPr="00B968F8">
        <w:rPr>
          <w:sz w:val="22"/>
          <w:lang w:val="en-US"/>
        </w:rPr>
        <w:t>Unither House</w:t>
      </w:r>
    </w:p>
    <w:p w:rsidR="00E50780" w:rsidRPr="00B968F8" w:rsidRDefault="00E50780" w:rsidP="00E50780">
      <w:pPr>
        <w:pStyle w:val="Text"/>
        <w:spacing w:before="0"/>
        <w:jc w:val="left"/>
        <w:rPr>
          <w:sz w:val="22"/>
          <w:lang w:val="en-US"/>
        </w:rPr>
      </w:pPr>
      <w:r w:rsidRPr="00B968F8">
        <w:rPr>
          <w:sz w:val="22"/>
          <w:lang w:val="en-US"/>
        </w:rPr>
        <w:t xml:space="preserve">Curfew </w:t>
      </w:r>
      <w:smartTag w:uri="urn:schemas-microsoft-com:office:smarttags" w:element="Street">
        <w:smartTag w:uri="urn:schemas-microsoft-com:office:smarttags" w:element="address">
          <w:r w:rsidRPr="00B968F8">
            <w:rPr>
              <w:sz w:val="22"/>
              <w:lang w:val="en-US"/>
            </w:rPr>
            <w:t>Bell Road</w:t>
          </w:r>
        </w:smartTag>
      </w:smartTag>
    </w:p>
    <w:p w:rsidR="00E50780" w:rsidRPr="00B968F8" w:rsidRDefault="00E50780" w:rsidP="00E50780">
      <w:pPr>
        <w:pStyle w:val="Text"/>
        <w:spacing w:before="0"/>
        <w:jc w:val="left"/>
        <w:rPr>
          <w:sz w:val="22"/>
          <w:lang w:val="en-US"/>
        </w:rPr>
      </w:pPr>
      <w:smartTag w:uri="urn:schemas-microsoft-com:office:smarttags" w:element="place">
        <w:r w:rsidRPr="00B968F8">
          <w:rPr>
            <w:sz w:val="22"/>
            <w:lang w:val="en-US"/>
          </w:rPr>
          <w:t>Chertsey</w:t>
        </w:r>
      </w:smartTag>
    </w:p>
    <w:p w:rsidR="00E50780" w:rsidRPr="00B968F8" w:rsidRDefault="00E50780" w:rsidP="00E50780">
      <w:pPr>
        <w:pStyle w:val="Text"/>
        <w:spacing w:before="0"/>
        <w:jc w:val="left"/>
        <w:rPr>
          <w:sz w:val="22"/>
          <w:lang w:val="en-US"/>
        </w:rPr>
      </w:pPr>
      <w:r w:rsidRPr="00B968F8">
        <w:rPr>
          <w:sz w:val="22"/>
          <w:lang w:val="en-US"/>
        </w:rPr>
        <w:t>KT16 9FG</w:t>
      </w:r>
    </w:p>
    <w:p w:rsidR="0020047A" w:rsidRPr="00B968F8" w:rsidRDefault="0020047A">
      <w:pPr>
        <w:pStyle w:val="Text"/>
        <w:spacing w:before="0"/>
        <w:jc w:val="left"/>
        <w:rPr>
          <w:b/>
          <w:dstrike/>
          <w:sz w:val="22"/>
          <w:lang w:val="en-US"/>
        </w:rPr>
      </w:pPr>
      <w:smartTag w:uri="urn:schemas-microsoft-com:office:smarttags" w:element="country-region">
        <w:smartTag w:uri="urn:schemas-microsoft-com:office:smarttags" w:element="place">
          <w:r w:rsidRPr="00B968F8">
            <w:rPr>
              <w:sz w:val="22"/>
              <w:lang w:val="en-US"/>
            </w:rPr>
            <w:t>UNITED KINGDOM</w:t>
          </w:r>
        </w:smartTag>
      </w:smartTag>
    </w:p>
    <w:p w:rsidR="0020047A" w:rsidRPr="00B968F8" w:rsidRDefault="0020047A">
      <w:pPr>
        <w:pStyle w:val="1"/>
        <w:jc w:val="both"/>
        <w:rPr>
          <w:rFonts w:ascii="Times New Roman" w:hAnsi="Times New Roman" w:cs="Times New Roman"/>
          <w:sz w:val="22"/>
          <w:lang w:val="el-GR"/>
        </w:rPr>
      </w:pPr>
      <w:r w:rsidRPr="00B968F8">
        <w:rPr>
          <w:rFonts w:ascii="Times New Roman" w:hAnsi="Times New Roman" w:cs="Times New Roman"/>
          <w:sz w:val="22"/>
          <w:lang w:val="el-GR"/>
        </w:rPr>
        <w:t>8.</w:t>
      </w:r>
      <w:r w:rsidRPr="00B968F8">
        <w:rPr>
          <w:rFonts w:ascii="Times New Roman" w:hAnsi="Times New Roman" w:cs="Times New Roman"/>
          <w:sz w:val="22"/>
          <w:lang w:val="el-GR"/>
        </w:rPr>
        <w:tab/>
        <w:t>ΑΡΙΘΜΟΣ(ΟΙ) ΑΔΕΙΑΣ ΚΥΚΛΟΦΟΡΙΑΣ</w:t>
      </w:r>
    </w:p>
    <w:p w:rsidR="00FA1B59" w:rsidRPr="00B968F8" w:rsidRDefault="00FA1B59" w:rsidP="00FA1B59">
      <w:pPr>
        <w:pStyle w:val="Text"/>
        <w:rPr>
          <w:b/>
          <w:sz w:val="22"/>
          <w:lang w:val="en-US"/>
        </w:rPr>
      </w:pPr>
    </w:p>
    <w:p w:rsidR="0020047A" w:rsidRPr="00470A7F" w:rsidRDefault="0020047A">
      <w:pPr>
        <w:pStyle w:val="1"/>
        <w:ind w:right="7"/>
        <w:jc w:val="both"/>
        <w:rPr>
          <w:rFonts w:ascii="Times New Roman" w:hAnsi="Times New Roman" w:cs="Times New Roman"/>
          <w:sz w:val="22"/>
          <w:lang w:val="el-GR"/>
        </w:rPr>
      </w:pPr>
      <w:r w:rsidRPr="00B968F8">
        <w:rPr>
          <w:rFonts w:ascii="Times New Roman" w:hAnsi="Times New Roman" w:cs="Times New Roman"/>
          <w:sz w:val="22"/>
          <w:lang w:val="el-GR"/>
        </w:rPr>
        <w:t>9.</w:t>
      </w:r>
      <w:r w:rsidRPr="00B968F8">
        <w:rPr>
          <w:rFonts w:ascii="Times New Roman" w:hAnsi="Times New Roman" w:cs="Times New Roman"/>
          <w:sz w:val="22"/>
          <w:lang w:val="el-GR"/>
        </w:rPr>
        <w:tab/>
        <w:t>ΗΜΕΡΟΜΗΝΙΑ ΠΡΩΤΗΣ ΕΓΚΡΙΣΗΣ/ΑΝΑΝΕΩΣΗΣ ΤΗΣ ΑΔΕΙΑΣ</w:t>
      </w:r>
    </w:p>
    <w:p w:rsidR="00FA1B59" w:rsidRPr="00470A7F" w:rsidRDefault="00FA1B59" w:rsidP="00FA1B59">
      <w:pPr>
        <w:spacing w:after="120"/>
        <w:rPr>
          <w:bCs/>
          <w:sz w:val="22"/>
          <w:szCs w:val="22"/>
          <w:lang w:val="el-GR"/>
        </w:rPr>
      </w:pPr>
    </w:p>
    <w:p w:rsidR="0020047A" w:rsidRPr="00B968F8" w:rsidRDefault="0020047A">
      <w:pPr>
        <w:pStyle w:val="1"/>
        <w:numPr>
          <w:ilvl w:val="0"/>
          <w:numId w:val="16"/>
        </w:numPr>
        <w:ind w:right="574"/>
        <w:jc w:val="both"/>
        <w:rPr>
          <w:rFonts w:ascii="Times New Roman" w:hAnsi="Times New Roman" w:cs="Times New Roman"/>
          <w:sz w:val="22"/>
        </w:rPr>
      </w:pPr>
      <w:r w:rsidRPr="00B968F8">
        <w:rPr>
          <w:rFonts w:ascii="Times New Roman" w:hAnsi="Times New Roman" w:cs="Times New Roman"/>
          <w:sz w:val="22"/>
          <w:lang w:val="el-GR"/>
        </w:rPr>
        <w:t>ΗΜΕΡΟΜΗΝΙΑ ΑΝΑΘΕΩΡΗΣΗΣ ΤΟΥ ΚΕΙΜΕΝΟΥ</w:t>
      </w:r>
    </w:p>
    <w:p w:rsidR="0020047A" w:rsidRPr="00B968F8" w:rsidRDefault="0020047A" w:rsidP="00FA1B59">
      <w:pPr>
        <w:pStyle w:val="Text"/>
      </w:pPr>
    </w:p>
    <w:p w:rsidR="00FA1B59" w:rsidRPr="00B968F8" w:rsidRDefault="002C7B28" w:rsidP="00FA1B59">
      <w:pPr>
        <w:pStyle w:val="Text"/>
      </w:pPr>
      <w:r w:rsidRPr="00B968F8">
        <w:rPr>
          <w:sz w:val="22"/>
        </w:rPr>
        <w:t>Δεκέμβριος</w:t>
      </w:r>
      <w:r w:rsidRPr="00B968F8">
        <w:rPr>
          <w:sz w:val="22"/>
          <w:lang w:val="el-GR"/>
        </w:rPr>
        <w:t xml:space="preserve"> 2011</w:t>
      </w:r>
    </w:p>
    <w:sectPr w:rsidR="00FA1B59" w:rsidRPr="00B968F8" w:rsidSect="00B968F8">
      <w:headerReference w:type="default" r:id="rId7"/>
      <w:footerReference w:type="default" r:id="rId8"/>
      <w:pgSz w:w="11907" w:h="16834" w:code="9"/>
      <w:pgMar w:top="1865" w:right="1275" w:bottom="1440" w:left="1440" w:header="113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18" w:rsidRDefault="00B10F18">
      <w:r>
        <w:separator/>
      </w:r>
    </w:p>
  </w:endnote>
  <w:endnote w:type="continuationSeparator" w:id="0">
    <w:p w:rsidR="00B10F18" w:rsidRDefault="00B10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F8" w:rsidRDefault="00B968F8">
    <w:pPr>
      <w:pStyle w:val="a5"/>
      <w:pBdr>
        <w:top w:val="none" w:sz="0" w:space="0" w:color="auto"/>
      </w:pBdr>
      <w:rPr>
        <w:lang w:val="el-GR"/>
      </w:rPr>
    </w:pPr>
    <w:r>
      <w:rPr>
        <w:rStyle w:val="a6"/>
      </w:rPr>
      <w:tab/>
    </w:r>
    <w:r w:rsidR="0048158A">
      <w:rPr>
        <w:rStyle w:val="a6"/>
      </w:rPr>
      <w:fldChar w:fldCharType="begin"/>
    </w:r>
    <w:r>
      <w:rPr>
        <w:rStyle w:val="a6"/>
      </w:rPr>
      <w:instrText xml:space="preserve"> PAGE </w:instrText>
    </w:r>
    <w:r w:rsidR="0048158A">
      <w:rPr>
        <w:rStyle w:val="a6"/>
      </w:rPr>
      <w:fldChar w:fldCharType="separate"/>
    </w:r>
    <w:r w:rsidR="00500FC2">
      <w:rPr>
        <w:rStyle w:val="a6"/>
        <w:noProof/>
      </w:rPr>
      <w:t>1</w:t>
    </w:r>
    <w:r w:rsidR="0048158A">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18" w:rsidRDefault="00B10F18">
      <w:r>
        <w:separator/>
      </w:r>
    </w:p>
  </w:footnote>
  <w:footnote w:type="continuationSeparator" w:id="0">
    <w:p w:rsidR="00B10F18" w:rsidRDefault="00B1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F8" w:rsidRDefault="00B968F8" w:rsidP="006F56F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C68FB"/>
    <w:multiLevelType w:val="multilevel"/>
    <w:tmpl w:val="83E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012BDA"/>
    <w:multiLevelType w:val="hybridMultilevel"/>
    <w:tmpl w:val="32CC4B24"/>
    <w:lvl w:ilvl="0" w:tplc="0594700E">
      <w:start w:val="10"/>
      <w:numFmt w:val="decimal"/>
      <w:lvlText w:val="%1."/>
      <w:lvlJc w:val="left"/>
      <w:pPr>
        <w:tabs>
          <w:tab w:val="num" w:pos="855"/>
        </w:tabs>
        <w:ind w:left="855" w:hanging="855"/>
      </w:pPr>
      <w:rPr>
        <w:rFonts w:hint="default"/>
      </w:rPr>
    </w:lvl>
    <w:lvl w:ilvl="1" w:tplc="4DB44B7A" w:tentative="1">
      <w:start w:val="1"/>
      <w:numFmt w:val="lowerLetter"/>
      <w:lvlText w:val="%2."/>
      <w:lvlJc w:val="left"/>
      <w:pPr>
        <w:tabs>
          <w:tab w:val="num" w:pos="1080"/>
        </w:tabs>
        <w:ind w:left="1080" w:hanging="360"/>
      </w:pPr>
    </w:lvl>
    <w:lvl w:ilvl="2" w:tplc="0D086A1C" w:tentative="1">
      <w:start w:val="1"/>
      <w:numFmt w:val="lowerRoman"/>
      <w:lvlText w:val="%3."/>
      <w:lvlJc w:val="right"/>
      <w:pPr>
        <w:tabs>
          <w:tab w:val="num" w:pos="1800"/>
        </w:tabs>
        <w:ind w:left="1800" w:hanging="180"/>
      </w:pPr>
    </w:lvl>
    <w:lvl w:ilvl="3" w:tplc="51BACB88" w:tentative="1">
      <w:start w:val="1"/>
      <w:numFmt w:val="decimal"/>
      <w:lvlText w:val="%4."/>
      <w:lvlJc w:val="left"/>
      <w:pPr>
        <w:tabs>
          <w:tab w:val="num" w:pos="2520"/>
        </w:tabs>
        <w:ind w:left="2520" w:hanging="360"/>
      </w:pPr>
    </w:lvl>
    <w:lvl w:ilvl="4" w:tplc="BD980904" w:tentative="1">
      <w:start w:val="1"/>
      <w:numFmt w:val="lowerLetter"/>
      <w:lvlText w:val="%5."/>
      <w:lvlJc w:val="left"/>
      <w:pPr>
        <w:tabs>
          <w:tab w:val="num" w:pos="3240"/>
        </w:tabs>
        <w:ind w:left="3240" w:hanging="360"/>
      </w:pPr>
    </w:lvl>
    <w:lvl w:ilvl="5" w:tplc="453A1668" w:tentative="1">
      <w:start w:val="1"/>
      <w:numFmt w:val="lowerRoman"/>
      <w:lvlText w:val="%6."/>
      <w:lvlJc w:val="right"/>
      <w:pPr>
        <w:tabs>
          <w:tab w:val="num" w:pos="3960"/>
        </w:tabs>
        <w:ind w:left="3960" w:hanging="180"/>
      </w:pPr>
    </w:lvl>
    <w:lvl w:ilvl="6" w:tplc="EED86EA4" w:tentative="1">
      <w:start w:val="1"/>
      <w:numFmt w:val="decimal"/>
      <w:lvlText w:val="%7."/>
      <w:lvlJc w:val="left"/>
      <w:pPr>
        <w:tabs>
          <w:tab w:val="num" w:pos="4680"/>
        </w:tabs>
        <w:ind w:left="4680" w:hanging="360"/>
      </w:pPr>
    </w:lvl>
    <w:lvl w:ilvl="7" w:tplc="06DC8B04" w:tentative="1">
      <w:start w:val="1"/>
      <w:numFmt w:val="lowerLetter"/>
      <w:lvlText w:val="%8."/>
      <w:lvlJc w:val="left"/>
      <w:pPr>
        <w:tabs>
          <w:tab w:val="num" w:pos="5400"/>
        </w:tabs>
        <w:ind w:left="5400" w:hanging="360"/>
      </w:pPr>
    </w:lvl>
    <w:lvl w:ilvl="8" w:tplc="9C3876B0" w:tentative="1">
      <w:start w:val="1"/>
      <w:numFmt w:val="lowerRoman"/>
      <w:lvlText w:val="%9."/>
      <w:lvlJc w:val="right"/>
      <w:pPr>
        <w:tabs>
          <w:tab w:val="num" w:pos="6120"/>
        </w:tabs>
        <w:ind w:left="6120" w:hanging="180"/>
      </w:pPr>
    </w:lvl>
  </w:abstractNum>
  <w:abstractNum w:abstractNumId="4">
    <w:nsid w:val="3A9230A4"/>
    <w:multiLevelType w:val="multilevel"/>
    <w:tmpl w:val="8A3A3580"/>
    <w:lvl w:ilvl="0">
      <w:start w:val="5"/>
      <w:numFmt w:val="decimal"/>
      <w:lvlText w:val="%1."/>
      <w:lvlJc w:val="left"/>
      <w:pPr>
        <w:tabs>
          <w:tab w:val="num" w:pos="855"/>
        </w:tabs>
        <w:ind w:left="855" w:hanging="855"/>
      </w:pPr>
      <w:rPr>
        <w:rFonts w:hint="default"/>
        <w:b/>
      </w:rPr>
    </w:lvl>
    <w:lvl w:ilvl="1">
      <w:start w:val="3"/>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2B30D55"/>
    <w:multiLevelType w:val="hybridMultilevel"/>
    <w:tmpl w:val="3102A0BE"/>
    <w:lvl w:ilvl="0" w:tplc="DED2A332">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F9279E"/>
    <w:multiLevelType w:val="hybridMultilevel"/>
    <w:tmpl w:val="35E4DD7C"/>
    <w:lvl w:ilvl="0" w:tplc="98184A34">
      <w:start w:val="7"/>
      <w:numFmt w:val="decimal"/>
      <w:lvlText w:val="%1."/>
      <w:lvlJc w:val="left"/>
      <w:pPr>
        <w:tabs>
          <w:tab w:val="num" w:pos="1215"/>
        </w:tabs>
        <w:ind w:left="1215" w:hanging="855"/>
      </w:pPr>
      <w:rPr>
        <w:rFonts w:hint="default"/>
      </w:rPr>
    </w:lvl>
    <w:lvl w:ilvl="1" w:tplc="243EAC6E" w:tentative="1">
      <w:start w:val="1"/>
      <w:numFmt w:val="lowerLetter"/>
      <w:lvlText w:val="%2."/>
      <w:lvlJc w:val="left"/>
      <w:pPr>
        <w:tabs>
          <w:tab w:val="num" w:pos="1440"/>
        </w:tabs>
        <w:ind w:left="1440" w:hanging="360"/>
      </w:pPr>
    </w:lvl>
    <w:lvl w:ilvl="2" w:tplc="A612A460" w:tentative="1">
      <w:start w:val="1"/>
      <w:numFmt w:val="lowerRoman"/>
      <w:lvlText w:val="%3."/>
      <w:lvlJc w:val="right"/>
      <w:pPr>
        <w:tabs>
          <w:tab w:val="num" w:pos="2160"/>
        </w:tabs>
        <w:ind w:left="2160" w:hanging="180"/>
      </w:pPr>
    </w:lvl>
    <w:lvl w:ilvl="3" w:tplc="70806BF2" w:tentative="1">
      <w:start w:val="1"/>
      <w:numFmt w:val="decimal"/>
      <w:lvlText w:val="%4."/>
      <w:lvlJc w:val="left"/>
      <w:pPr>
        <w:tabs>
          <w:tab w:val="num" w:pos="2880"/>
        </w:tabs>
        <w:ind w:left="2880" w:hanging="360"/>
      </w:pPr>
    </w:lvl>
    <w:lvl w:ilvl="4" w:tplc="C2249B12" w:tentative="1">
      <w:start w:val="1"/>
      <w:numFmt w:val="lowerLetter"/>
      <w:lvlText w:val="%5."/>
      <w:lvlJc w:val="left"/>
      <w:pPr>
        <w:tabs>
          <w:tab w:val="num" w:pos="3600"/>
        </w:tabs>
        <w:ind w:left="3600" w:hanging="360"/>
      </w:pPr>
    </w:lvl>
    <w:lvl w:ilvl="5" w:tplc="7974D240" w:tentative="1">
      <w:start w:val="1"/>
      <w:numFmt w:val="lowerRoman"/>
      <w:lvlText w:val="%6."/>
      <w:lvlJc w:val="right"/>
      <w:pPr>
        <w:tabs>
          <w:tab w:val="num" w:pos="4320"/>
        </w:tabs>
        <w:ind w:left="4320" w:hanging="180"/>
      </w:pPr>
    </w:lvl>
    <w:lvl w:ilvl="6" w:tplc="793A4164" w:tentative="1">
      <w:start w:val="1"/>
      <w:numFmt w:val="decimal"/>
      <w:lvlText w:val="%7."/>
      <w:lvlJc w:val="left"/>
      <w:pPr>
        <w:tabs>
          <w:tab w:val="num" w:pos="5040"/>
        </w:tabs>
        <w:ind w:left="5040" w:hanging="360"/>
      </w:pPr>
    </w:lvl>
    <w:lvl w:ilvl="7" w:tplc="0E122B64" w:tentative="1">
      <w:start w:val="1"/>
      <w:numFmt w:val="lowerLetter"/>
      <w:lvlText w:val="%8."/>
      <w:lvlJc w:val="left"/>
      <w:pPr>
        <w:tabs>
          <w:tab w:val="num" w:pos="5760"/>
        </w:tabs>
        <w:ind w:left="5760" w:hanging="360"/>
      </w:pPr>
    </w:lvl>
    <w:lvl w:ilvl="8" w:tplc="23F49AE8" w:tentative="1">
      <w:start w:val="1"/>
      <w:numFmt w:val="lowerRoman"/>
      <w:lvlText w:val="%9."/>
      <w:lvlJc w:val="right"/>
      <w:pPr>
        <w:tabs>
          <w:tab w:val="num" w:pos="6480"/>
        </w:tabs>
        <w:ind w:left="6480" w:hanging="180"/>
      </w:pPr>
    </w:lvl>
  </w:abstractNum>
  <w:abstractNum w:abstractNumId="7">
    <w:nsid w:val="4D446487"/>
    <w:multiLevelType w:val="multilevel"/>
    <w:tmpl w:val="BF8E310A"/>
    <w:lvl w:ilvl="0">
      <w:start w:val="1"/>
      <w:numFmt w:val="bullet"/>
      <w:lvlText w:val=""/>
      <w:lvlJc w:val="left"/>
      <w:pPr>
        <w:tabs>
          <w:tab w:val="num" w:pos="777"/>
        </w:tabs>
        <w:ind w:left="777"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nsid w:val="51D05F68"/>
    <w:multiLevelType w:val="multilevel"/>
    <w:tmpl w:val="C11A8452"/>
    <w:lvl w:ilvl="0">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594F71B1"/>
    <w:multiLevelType w:val="multilevel"/>
    <w:tmpl w:val="C11A8452"/>
    <w:lvl w:ilvl="0">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0">
    <w:nsid w:val="5CA91118"/>
    <w:multiLevelType w:val="multilevel"/>
    <w:tmpl w:val="E0388A2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C11D37"/>
    <w:multiLevelType w:val="multilevel"/>
    <w:tmpl w:val="E48A0B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9"/>
  </w:num>
  <w:num w:numId="4">
    <w:abstractNumId w:val="8"/>
  </w:num>
  <w:num w:numId="5">
    <w:abstractNumId w:val="11"/>
  </w:num>
  <w:num w:numId="6">
    <w:abstractNumId w:val="7"/>
  </w:num>
  <w:num w:numId="7">
    <w:abstractNumId w:val="1"/>
    <w:lvlOverride w:ilvl="0">
      <w:lvl w:ilvl="0">
        <w:start w:val="1"/>
        <w:numFmt w:val="bullet"/>
        <w:lvlText w:val="-"/>
        <w:lvlJc w:val="left"/>
        <w:pPr>
          <w:ind w:left="360" w:hanging="360"/>
        </w:pPr>
      </w:lvl>
    </w:lvlOverride>
  </w:num>
  <w:num w:numId="8">
    <w:abstractNumId w:val="2"/>
  </w:num>
  <w:num w:numId="9">
    <w:abstractNumId w:val="4"/>
  </w:num>
  <w:num w:numId="10">
    <w:abstractNumId w:val="1"/>
    <w:lvlOverride w:ilvl="0">
      <w:lvl w:ilvl="0">
        <w:start w:val="1"/>
        <w:numFmt w:val="bullet"/>
        <w:lvlText w:val="-"/>
        <w:lvlJc w:val="left"/>
        <w:pPr>
          <w:ind w:left="360" w:hanging="360"/>
        </w:pPr>
      </w:lvl>
    </w:lvlOverride>
  </w:num>
  <w:num w:numId="11">
    <w:abstractNumId w:val="1"/>
    <w:lvlOverride w:ilvl="0">
      <w:lvl w:ilvl="0">
        <w:start w:val="1"/>
        <w:numFmt w:val="bullet"/>
        <w:lvlText w:val="-"/>
        <w:legacy w:legacy="1" w:legacySpace="0" w:legacyIndent="360"/>
        <w:lvlJc w:val="left"/>
        <w:pPr>
          <w:ind w:left="360" w:hanging="360"/>
        </w:pPr>
      </w:lvl>
    </w:lvlOverride>
  </w:num>
  <w:num w:numId="12">
    <w:abstractNumId w:val="6"/>
  </w:num>
  <w:num w:numId="13">
    <w:abstractNumId w:val="11"/>
  </w:num>
  <w:num w:numId="14">
    <w:abstractNumId w:val="1"/>
  </w:num>
  <w:num w:numId="15">
    <w:abstractNumId w:val="1"/>
    <w:lvlOverride w:ilvl="0">
      <w:lvl w:ilvl="0">
        <w:numFmt w:val="bullet"/>
        <w:lvlText w:val=""/>
        <w:legacy w:legacy="1" w:legacySpace="0" w:legacyIndent="283"/>
        <w:lvlJc w:val="left"/>
        <w:pPr>
          <w:ind w:left="283" w:hanging="283"/>
        </w:pPr>
        <w:rPr>
          <w:rFonts w:ascii="Symbol" w:hAnsi="Symbol" w:hint="default"/>
        </w:rPr>
      </w:lvl>
    </w:lvlOverride>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05C82"/>
    <w:rsid w:val="00051CC0"/>
    <w:rsid w:val="00067B9C"/>
    <w:rsid w:val="00070B0B"/>
    <w:rsid w:val="0007464A"/>
    <w:rsid w:val="000A2C97"/>
    <w:rsid w:val="000D5AF5"/>
    <w:rsid w:val="000F60AE"/>
    <w:rsid w:val="001A55DD"/>
    <w:rsid w:val="0020047A"/>
    <w:rsid w:val="002660E0"/>
    <w:rsid w:val="00287B16"/>
    <w:rsid w:val="002C052A"/>
    <w:rsid w:val="002C7B28"/>
    <w:rsid w:val="002F39EF"/>
    <w:rsid w:val="0041288D"/>
    <w:rsid w:val="00470A7F"/>
    <w:rsid w:val="0048158A"/>
    <w:rsid w:val="00500FC2"/>
    <w:rsid w:val="005A1BD8"/>
    <w:rsid w:val="005A6A64"/>
    <w:rsid w:val="005B673D"/>
    <w:rsid w:val="00624235"/>
    <w:rsid w:val="006840AE"/>
    <w:rsid w:val="006957E4"/>
    <w:rsid w:val="006E2F03"/>
    <w:rsid w:val="006F56F4"/>
    <w:rsid w:val="00764AD0"/>
    <w:rsid w:val="007837E0"/>
    <w:rsid w:val="007C7656"/>
    <w:rsid w:val="00802471"/>
    <w:rsid w:val="00823DFC"/>
    <w:rsid w:val="008254EA"/>
    <w:rsid w:val="0087647B"/>
    <w:rsid w:val="00880F3D"/>
    <w:rsid w:val="008A76F8"/>
    <w:rsid w:val="008C3724"/>
    <w:rsid w:val="009032F4"/>
    <w:rsid w:val="00905C82"/>
    <w:rsid w:val="009E6B52"/>
    <w:rsid w:val="00A170BF"/>
    <w:rsid w:val="00A20CBF"/>
    <w:rsid w:val="00B10F18"/>
    <w:rsid w:val="00B154F1"/>
    <w:rsid w:val="00B173B2"/>
    <w:rsid w:val="00B50622"/>
    <w:rsid w:val="00B815E3"/>
    <w:rsid w:val="00B968F8"/>
    <w:rsid w:val="00BA5A9D"/>
    <w:rsid w:val="00BE016F"/>
    <w:rsid w:val="00C73421"/>
    <w:rsid w:val="00C83843"/>
    <w:rsid w:val="00CF0FDE"/>
    <w:rsid w:val="00D2787C"/>
    <w:rsid w:val="00D819AA"/>
    <w:rsid w:val="00DA2DD3"/>
    <w:rsid w:val="00DB4725"/>
    <w:rsid w:val="00DB593F"/>
    <w:rsid w:val="00DE62F9"/>
    <w:rsid w:val="00DF6D9C"/>
    <w:rsid w:val="00E05AA4"/>
    <w:rsid w:val="00E25CEB"/>
    <w:rsid w:val="00E50780"/>
    <w:rsid w:val="00F84E79"/>
    <w:rsid w:val="00FA1B59"/>
    <w:rsid w:val="00FA4AFE"/>
    <w:rsid w:val="00FC1A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58A"/>
    <w:rPr>
      <w:snapToGrid w:val="0"/>
      <w:sz w:val="24"/>
      <w:szCs w:val="24"/>
      <w:lang w:val="fr-FR" w:eastAsia="en-US"/>
    </w:rPr>
  </w:style>
  <w:style w:type="paragraph" w:styleId="1">
    <w:name w:val="heading 1"/>
    <w:basedOn w:val="a"/>
    <w:next w:val="Text"/>
    <w:qFormat/>
    <w:rsid w:val="0048158A"/>
    <w:pPr>
      <w:keepNext/>
      <w:keepLines/>
      <w:spacing w:before="360"/>
      <w:ind w:left="851" w:hanging="851"/>
      <w:outlineLvl w:val="0"/>
    </w:pPr>
    <w:rPr>
      <w:rFonts w:ascii="Arial" w:hAnsi="Arial" w:cs="Arial"/>
      <w:b/>
      <w:bCs/>
      <w:sz w:val="28"/>
      <w:szCs w:val="28"/>
      <w:lang w:val="en-GB"/>
    </w:rPr>
  </w:style>
  <w:style w:type="paragraph" w:styleId="2">
    <w:name w:val="heading 2"/>
    <w:basedOn w:val="a"/>
    <w:next w:val="Text"/>
    <w:qFormat/>
    <w:rsid w:val="0048158A"/>
    <w:pPr>
      <w:keepNext/>
      <w:keepLines/>
      <w:spacing w:before="240"/>
      <w:ind w:left="851" w:hanging="851"/>
      <w:outlineLvl w:val="1"/>
    </w:pPr>
    <w:rPr>
      <w:rFonts w:ascii="Arial" w:hAnsi="Arial" w:cs="Arial"/>
      <w:b/>
      <w:bCs/>
      <w:sz w:val="26"/>
      <w:szCs w:val="26"/>
      <w:lang w:val="en-GB"/>
    </w:rPr>
  </w:style>
  <w:style w:type="paragraph" w:styleId="3">
    <w:name w:val="heading 3"/>
    <w:basedOn w:val="a"/>
    <w:next w:val="a"/>
    <w:qFormat/>
    <w:rsid w:val="0048158A"/>
    <w:pPr>
      <w:keepNext/>
      <w:outlineLvl w:val="2"/>
    </w:pPr>
    <w:rPr>
      <w:b/>
      <w:bCs/>
      <w:sz w:val="20"/>
      <w:szCs w:val="20"/>
      <w:lang w:val="en-GB"/>
    </w:rPr>
  </w:style>
  <w:style w:type="paragraph" w:styleId="4">
    <w:name w:val="heading 4"/>
    <w:basedOn w:val="3"/>
    <w:next w:val="Heading4Paratext"/>
    <w:qFormat/>
    <w:rsid w:val="0048158A"/>
    <w:pPr>
      <w:spacing w:before="240" w:after="60"/>
      <w:outlineLvl w:val="3"/>
    </w:pPr>
    <w:rPr>
      <w:rFonts w:ascii="Arial" w:hAnsi="Arial" w:cs="Arial"/>
      <w:i/>
      <w:iCs/>
      <w:kern w:val="28"/>
      <w:sz w:val="24"/>
      <w:szCs w:val="24"/>
    </w:rPr>
  </w:style>
  <w:style w:type="paragraph" w:styleId="5">
    <w:name w:val="heading 5"/>
    <w:basedOn w:val="4"/>
    <w:next w:val="Heading4Paratext"/>
    <w:qFormat/>
    <w:rsid w:val="0048158A"/>
    <w:pPr>
      <w:outlineLvl w:val="4"/>
    </w:pPr>
    <w:rPr>
      <w:sz w:val="22"/>
      <w:szCs w:val="22"/>
    </w:rPr>
  </w:style>
  <w:style w:type="paragraph" w:styleId="6">
    <w:name w:val="heading 6"/>
    <w:basedOn w:val="a"/>
    <w:next w:val="a"/>
    <w:qFormat/>
    <w:rsid w:val="0048158A"/>
    <w:pPr>
      <w:spacing w:before="240" w:after="60"/>
      <w:outlineLvl w:val="5"/>
    </w:pPr>
    <w:rPr>
      <w:rFonts w:ascii="Arial" w:hAnsi="Arial" w:cs="Arial"/>
      <w:i/>
      <w:iCs/>
      <w:sz w:val="22"/>
      <w:szCs w:val="22"/>
      <w:lang w:val="en-GB"/>
    </w:rPr>
  </w:style>
  <w:style w:type="paragraph" w:styleId="7">
    <w:name w:val="heading 7"/>
    <w:basedOn w:val="a"/>
    <w:next w:val="a"/>
    <w:qFormat/>
    <w:rsid w:val="0048158A"/>
    <w:pPr>
      <w:spacing w:before="240" w:after="60"/>
      <w:outlineLvl w:val="6"/>
    </w:pPr>
    <w:rPr>
      <w:rFonts w:ascii="Arial" w:hAnsi="Arial" w:cs="Arial"/>
      <w:sz w:val="20"/>
      <w:szCs w:val="20"/>
      <w:lang w:val="en-GB"/>
    </w:rPr>
  </w:style>
  <w:style w:type="paragraph" w:styleId="8">
    <w:name w:val="heading 8"/>
    <w:basedOn w:val="a"/>
    <w:next w:val="a"/>
    <w:qFormat/>
    <w:rsid w:val="0048158A"/>
    <w:pPr>
      <w:keepNext/>
      <w:jc w:val="center"/>
      <w:outlineLvl w:val="7"/>
    </w:pPr>
    <w:rPr>
      <w:b/>
      <w:bCs/>
      <w:sz w:val="16"/>
      <w:szCs w:val="16"/>
      <w:lang w:val="en-GB"/>
    </w:rPr>
  </w:style>
  <w:style w:type="paragraph" w:styleId="9">
    <w:name w:val="heading 9"/>
    <w:basedOn w:val="a"/>
    <w:next w:val="a"/>
    <w:qFormat/>
    <w:rsid w:val="0048158A"/>
    <w:pPr>
      <w:spacing w:before="240" w:after="60"/>
      <w:outlineLvl w:val="8"/>
    </w:pPr>
    <w:rPr>
      <w:rFonts w:ascii="Arial" w:hAnsi="Arial" w:cs="Arial"/>
      <w:i/>
      <w:iCs/>
      <w:sz w:val="18"/>
      <w:szCs w:val="1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Char"/>
    <w:rsid w:val="0048158A"/>
    <w:pPr>
      <w:spacing w:before="120"/>
      <w:jc w:val="both"/>
    </w:pPr>
    <w:rPr>
      <w:lang w:val="en-GB"/>
    </w:rPr>
  </w:style>
  <w:style w:type="paragraph" w:customStyle="1" w:styleId="Heading4Paratext">
    <w:name w:val="Heading 4 Paratext"/>
    <w:basedOn w:val="a"/>
    <w:rsid w:val="0048158A"/>
    <w:pPr>
      <w:ind w:left="1134"/>
    </w:pPr>
    <w:rPr>
      <w:lang w:val="en-GB"/>
    </w:rPr>
  </w:style>
  <w:style w:type="paragraph" w:customStyle="1" w:styleId="Figuredansuntableau">
    <w:name w:val="Figure dans un tableau"/>
    <w:basedOn w:val="a"/>
    <w:next w:val="a"/>
    <w:rsid w:val="0048158A"/>
    <w:pPr>
      <w:spacing w:before="120" w:after="120"/>
      <w:jc w:val="center"/>
    </w:pPr>
  </w:style>
  <w:style w:type="paragraph" w:styleId="a3">
    <w:name w:val="Block Text"/>
    <w:aliases w:val="Tableau donnees,Tableau données"/>
    <w:basedOn w:val="a"/>
    <w:next w:val="a"/>
    <w:rsid w:val="0048158A"/>
    <w:pPr>
      <w:spacing w:line="280" w:lineRule="exact"/>
      <w:jc w:val="center"/>
    </w:pPr>
    <w:rPr>
      <w:lang w:val="en-GB"/>
    </w:rPr>
  </w:style>
  <w:style w:type="paragraph" w:styleId="a4">
    <w:name w:val="header"/>
    <w:basedOn w:val="a"/>
    <w:rsid w:val="0048158A"/>
    <w:pPr>
      <w:pBdr>
        <w:bottom w:val="single" w:sz="6" w:space="3" w:color="auto"/>
      </w:pBdr>
      <w:tabs>
        <w:tab w:val="center" w:pos="4153"/>
        <w:tab w:val="right" w:pos="8306"/>
      </w:tabs>
    </w:pPr>
    <w:rPr>
      <w:rFonts w:ascii="Arial" w:hAnsi="Arial" w:cs="Arial"/>
      <w:caps/>
      <w:sz w:val="20"/>
      <w:szCs w:val="20"/>
      <w:lang w:val="en-GB"/>
    </w:rPr>
  </w:style>
  <w:style w:type="paragraph" w:styleId="a5">
    <w:name w:val="footer"/>
    <w:basedOn w:val="a"/>
    <w:rsid w:val="0048158A"/>
    <w:pPr>
      <w:pBdr>
        <w:top w:val="single" w:sz="6" w:space="3" w:color="auto"/>
      </w:pBdr>
      <w:tabs>
        <w:tab w:val="center" w:pos="4153"/>
        <w:tab w:val="right" w:pos="8306"/>
      </w:tabs>
    </w:pPr>
    <w:rPr>
      <w:rFonts w:ascii="Arial" w:hAnsi="Arial" w:cs="Arial"/>
      <w:sz w:val="16"/>
      <w:szCs w:val="16"/>
      <w:lang w:val="en-GB"/>
    </w:rPr>
  </w:style>
  <w:style w:type="character" w:styleId="a6">
    <w:name w:val="page number"/>
    <w:basedOn w:val="a0"/>
    <w:rsid w:val="0048158A"/>
  </w:style>
  <w:style w:type="paragraph" w:customStyle="1" w:styleId="Comment">
    <w:name w:val="Comment"/>
    <w:basedOn w:val="a"/>
    <w:rsid w:val="0048158A"/>
    <w:pPr>
      <w:keepLines/>
      <w:spacing w:before="120"/>
      <w:jc w:val="both"/>
    </w:pPr>
    <w:rPr>
      <w:i/>
      <w:iCs/>
      <w:color w:val="0000FF"/>
      <w:lang w:val="en-GB"/>
    </w:rPr>
  </w:style>
  <w:style w:type="paragraph" w:customStyle="1" w:styleId="Propertystatement">
    <w:name w:val="Propertystatement"/>
    <w:basedOn w:val="a"/>
    <w:rsid w:val="0048158A"/>
    <w:pPr>
      <w:tabs>
        <w:tab w:val="left" w:pos="2268"/>
      </w:tabs>
      <w:spacing w:before="1200"/>
      <w:jc w:val="center"/>
    </w:pPr>
    <w:rPr>
      <w:rFonts w:ascii="Arial" w:hAnsi="Arial" w:cs="Arial"/>
      <w:sz w:val="20"/>
      <w:szCs w:val="20"/>
      <w:lang w:val="en-GB"/>
    </w:rPr>
  </w:style>
  <w:style w:type="paragraph" w:customStyle="1" w:styleId="Table10pLColContents">
    <w:name w:val="Table 10p LCol Contents"/>
    <w:basedOn w:val="a"/>
    <w:rsid w:val="0048158A"/>
    <w:pPr>
      <w:tabs>
        <w:tab w:val="left" w:pos="142"/>
        <w:tab w:val="left" w:pos="284"/>
      </w:tabs>
    </w:pPr>
    <w:rPr>
      <w:rFonts w:ascii="Arial" w:hAnsi="Arial" w:cs="Arial"/>
      <w:sz w:val="20"/>
      <w:szCs w:val="20"/>
      <w:lang w:val="en-GB"/>
    </w:rPr>
  </w:style>
  <w:style w:type="paragraph" w:customStyle="1" w:styleId="Heading3Paratext">
    <w:name w:val="Heading 3 Paratext"/>
    <w:basedOn w:val="a"/>
    <w:rsid w:val="0048158A"/>
    <w:pPr>
      <w:ind w:left="851"/>
    </w:pPr>
    <w:rPr>
      <w:lang w:val="en-GB"/>
    </w:rPr>
  </w:style>
  <w:style w:type="paragraph" w:customStyle="1" w:styleId="Table10pTopRow">
    <w:name w:val="Table 10p Top Row"/>
    <w:basedOn w:val="a"/>
    <w:next w:val="Table10pContents"/>
    <w:rsid w:val="0048158A"/>
    <w:rPr>
      <w:rFonts w:ascii="Arial" w:hAnsi="Arial" w:cs="Arial"/>
      <w:b/>
      <w:bCs/>
      <w:caps/>
      <w:sz w:val="20"/>
      <w:szCs w:val="20"/>
      <w:lang w:val="en-GB"/>
    </w:rPr>
  </w:style>
  <w:style w:type="paragraph" w:customStyle="1" w:styleId="Table10pContents">
    <w:name w:val="Table 10p Contents"/>
    <w:basedOn w:val="a"/>
    <w:rsid w:val="0048158A"/>
    <w:rPr>
      <w:rFonts w:ascii="Arial" w:hAnsi="Arial" w:cs="Arial"/>
      <w:sz w:val="20"/>
      <w:szCs w:val="20"/>
      <w:lang w:val="en-GB"/>
    </w:rPr>
  </w:style>
  <w:style w:type="paragraph" w:styleId="a7">
    <w:name w:val="Body Text"/>
    <w:basedOn w:val="a"/>
    <w:rsid w:val="0048158A"/>
    <w:pPr>
      <w:jc w:val="center"/>
    </w:pPr>
    <w:rPr>
      <w:rFonts w:ascii="Arial" w:hAnsi="Arial" w:cs="Arial"/>
      <w:sz w:val="20"/>
      <w:szCs w:val="20"/>
      <w:lang w:val="en-GB"/>
    </w:rPr>
  </w:style>
  <w:style w:type="paragraph" w:customStyle="1" w:styleId="Heading2Paratext">
    <w:name w:val="Heading 2 Paratext"/>
    <w:basedOn w:val="a"/>
    <w:rsid w:val="0048158A"/>
    <w:pPr>
      <w:ind w:left="567"/>
    </w:pPr>
    <w:rPr>
      <w:lang w:val="en-GB"/>
    </w:rPr>
  </w:style>
  <w:style w:type="paragraph" w:styleId="a8">
    <w:name w:val="annotation text"/>
    <w:basedOn w:val="a"/>
    <w:semiHidden/>
    <w:rsid w:val="0048158A"/>
    <w:rPr>
      <w:sz w:val="20"/>
      <w:szCs w:val="20"/>
      <w:lang w:val="en-GB"/>
    </w:rPr>
  </w:style>
  <w:style w:type="paragraph" w:styleId="a9">
    <w:name w:val="Balloon Text"/>
    <w:basedOn w:val="a"/>
    <w:rsid w:val="0048158A"/>
    <w:rPr>
      <w:sz w:val="16"/>
      <w:szCs w:val="16"/>
    </w:rPr>
  </w:style>
  <w:style w:type="character" w:customStyle="1" w:styleId="tw4winMark">
    <w:name w:val="tw4winMark"/>
    <w:rsid w:val="0048158A"/>
    <w:rPr>
      <w:rFonts w:ascii="Courier New" w:hAnsi="Courier New"/>
      <w:vanish/>
      <w:color w:val="800080"/>
      <w:sz w:val="24"/>
      <w:szCs w:val="24"/>
      <w:vertAlign w:val="subscript"/>
    </w:rPr>
  </w:style>
  <w:style w:type="character" w:customStyle="1" w:styleId="tw4winError">
    <w:name w:val="tw4winError"/>
    <w:rsid w:val="0048158A"/>
    <w:rPr>
      <w:rFonts w:ascii="Courier New" w:hAnsi="Courier New"/>
      <w:color w:val="00FF00"/>
      <w:sz w:val="40"/>
      <w:szCs w:val="40"/>
    </w:rPr>
  </w:style>
  <w:style w:type="character" w:customStyle="1" w:styleId="tw4winTerm">
    <w:name w:val="tw4winTerm"/>
    <w:rsid w:val="0048158A"/>
    <w:rPr>
      <w:color w:val="0000FF"/>
    </w:rPr>
  </w:style>
  <w:style w:type="character" w:customStyle="1" w:styleId="tw4winPopup">
    <w:name w:val="tw4winPopup"/>
    <w:rsid w:val="0048158A"/>
    <w:rPr>
      <w:rFonts w:ascii="Courier New" w:hAnsi="Courier New"/>
      <w:noProof/>
      <w:color w:val="008000"/>
    </w:rPr>
  </w:style>
  <w:style w:type="character" w:customStyle="1" w:styleId="tw4winJump">
    <w:name w:val="tw4winJump"/>
    <w:rsid w:val="0048158A"/>
    <w:rPr>
      <w:rFonts w:ascii="Courier New" w:hAnsi="Courier New"/>
      <w:noProof/>
      <w:color w:val="008080"/>
    </w:rPr>
  </w:style>
  <w:style w:type="character" w:customStyle="1" w:styleId="tw4winExternal">
    <w:name w:val="tw4winExternal"/>
    <w:rsid w:val="0048158A"/>
    <w:rPr>
      <w:rFonts w:ascii="Courier New" w:hAnsi="Courier New"/>
      <w:noProof/>
      <w:color w:val="808080"/>
    </w:rPr>
  </w:style>
  <w:style w:type="character" w:customStyle="1" w:styleId="tw4winInternal">
    <w:name w:val="tw4winInternal"/>
    <w:rsid w:val="0048158A"/>
    <w:rPr>
      <w:rFonts w:ascii="Courier New" w:hAnsi="Courier New"/>
      <w:noProof/>
      <w:color w:val="FF0000"/>
    </w:rPr>
  </w:style>
  <w:style w:type="character" w:customStyle="1" w:styleId="DONOTTRANSLATE">
    <w:name w:val="DO_NOT_TRANSLATE"/>
    <w:rsid w:val="0048158A"/>
    <w:rPr>
      <w:rFonts w:ascii="Courier New" w:hAnsi="Courier New"/>
      <w:noProof/>
      <w:color w:val="800000"/>
    </w:rPr>
  </w:style>
  <w:style w:type="paragraph" w:styleId="30">
    <w:name w:val="Body Text 3"/>
    <w:basedOn w:val="a"/>
    <w:rsid w:val="0048158A"/>
    <w:pPr>
      <w:overflowPunct w:val="0"/>
      <w:autoSpaceDE w:val="0"/>
      <w:autoSpaceDN w:val="0"/>
      <w:adjustRightInd w:val="0"/>
      <w:jc w:val="both"/>
    </w:pPr>
    <w:rPr>
      <w:b/>
      <w:bCs/>
      <w:sz w:val="22"/>
      <w:szCs w:val="22"/>
      <w:lang w:val="el-GR"/>
    </w:rPr>
  </w:style>
  <w:style w:type="character" w:customStyle="1" w:styleId="msoins0">
    <w:name w:val="msoins"/>
    <w:basedOn w:val="a0"/>
    <w:rsid w:val="0048158A"/>
  </w:style>
  <w:style w:type="paragraph" w:styleId="Web">
    <w:name w:val="Normal (Web)"/>
    <w:basedOn w:val="a"/>
    <w:rsid w:val="0048158A"/>
    <w:pPr>
      <w:spacing w:before="100" w:after="100"/>
    </w:pPr>
    <w:rPr>
      <w:snapToGrid/>
      <w:lang w:val="en-US"/>
    </w:rPr>
  </w:style>
  <w:style w:type="character" w:customStyle="1" w:styleId="TextChar">
    <w:name w:val="Text Char"/>
    <w:link w:val="Text"/>
    <w:rsid w:val="00E50780"/>
    <w:rPr>
      <w:snapToGrid w:val="0"/>
      <w:sz w:val="24"/>
      <w:szCs w:val="24"/>
      <w:lang w:val="en-GB" w:eastAsia="en-US" w:bidi="ar-SA"/>
    </w:rPr>
  </w:style>
  <w:style w:type="character" w:styleId="aa">
    <w:name w:val="annotation reference"/>
    <w:semiHidden/>
    <w:rsid w:val="00FA1B59"/>
    <w:rPr>
      <w:sz w:val="16"/>
      <w:szCs w:val="16"/>
    </w:rPr>
  </w:style>
  <w:style w:type="paragraph" w:styleId="ab">
    <w:name w:val="annotation subject"/>
    <w:basedOn w:val="a8"/>
    <w:next w:val="a8"/>
    <w:semiHidden/>
    <w:rsid w:val="00CF0FDE"/>
    <w:rPr>
      <w:b/>
      <w:bCs/>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7445</Words>
  <Characters>40209</Characters>
  <Application>Microsoft Office Word</Application>
  <DocSecurity>0</DocSecurity>
  <PresentationFormat/>
  <Lines>335</Lines>
  <Paragraphs>95</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LinksUpToDate>false</LinksUpToDate>
  <CharactersWithSpaces>47559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
  <cp:lastModifiedBy/>
  <cp:revision>1</cp:revision>
  <dcterms:created xsi:type="dcterms:W3CDTF">2012-11-09T11:49:00Z</dcterms:created>
  <dcterms:modified xsi:type="dcterms:W3CDTF">2013-01-07T09:55:00Z</dcterms:modified>
</cp:coreProperties>
</file>