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11" w:rsidRPr="00E56BAA" w:rsidRDefault="00FB4411" w:rsidP="003261A2">
      <w:pPr>
        <w:pStyle w:val="HEADING1"/>
        <w:spacing w:line="240" w:lineRule="auto"/>
        <w:ind w:left="0" w:right="-483"/>
        <w:jc w:val="center"/>
        <w:rPr>
          <w:rStyle w:val="HEADING2Char"/>
          <w:rFonts w:ascii="Times New Roman" w:hAnsi="Times New Roman" w:cs="Times New Roman"/>
          <w:b/>
          <w:i w:val="0"/>
          <w:iCs/>
          <w:sz w:val="22"/>
          <w:szCs w:val="22"/>
          <w:lang w:val="el-GR"/>
        </w:rPr>
      </w:pPr>
      <w:r w:rsidRPr="00E56BAA">
        <w:rPr>
          <w:rStyle w:val="HEADING2Char"/>
          <w:rFonts w:ascii="Times New Roman" w:hAnsi="Times New Roman" w:cs="Times New Roman"/>
          <w:b/>
          <w:i w:val="0"/>
          <w:iCs/>
          <w:sz w:val="22"/>
          <w:szCs w:val="22"/>
          <w:lang w:val="el-GR"/>
        </w:rPr>
        <w:t>ΠΕΡΙΛΗΨΗ ΤΩΝ ΧΑΡΑΚΤΗΡΙΣΤΙΚΩΝ ΤΟΥ ΠΡΟΪΟΝΤΟΣ</w:t>
      </w:r>
    </w:p>
    <w:p w:rsidR="00B31859" w:rsidRPr="00653B40" w:rsidRDefault="00B31859" w:rsidP="003261A2">
      <w:pPr>
        <w:pStyle w:val="HEADING1"/>
        <w:spacing w:line="240" w:lineRule="auto"/>
        <w:ind w:left="-284" w:right="-483"/>
        <w:jc w:val="center"/>
        <w:rPr>
          <w:rStyle w:val="HEADING2Char"/>
          <w:rFonts w:ascii="Times New Roman" w:hAnsi="Times New Roman" w:cs="Times New Roman"/>
          <w:b/>
          <w:i w:val="0"/>
          <w:iCs/>
          <w:sz w:val="22"/>
          <w:szCs w:val="22"/>
        </w:rPr>
      </w:pPr>
      <w:r w:rsidRPr="00E56BAA">
        <w:rPr>
          <w:rStyle w:val="HEADING2Char"/>
          <w:rFonts w:ascii="Times New Roman" w:hAnsi="Times New Roman" w:cs="Times New Roman"/>
          <w:b/>
          <w:i w:val="0"/>
          <w:iCs/>
          <w:sz w:val="22"/>
          <w:szCs w:val="22"/>
        </w:rPr>
        <w:t>LANZOL</w:t>
      </w:r>
    </w:p>
    <w:p w:rsidR="00FB4411" w:rsidRPr="00653B40" w:rsidRDefault="00FB4411" w:rsidP="003261A2">
      <w:pPr>
        <w:pStyle w:val="HEADING1"/>
        <w:spacing w:line="240" w:lineRule="auto"/>
        <w:ind w:left="-284" w:right="-483"/>
        <w:jc w:val="center"/>
        <w:rPr>
          <w:rStyle w:val="HEADING2Char"/>
          <w:rFonts w:ascii="Times New Roman" w:hAnsi="Times New Roman" w:cs="Times New Roman"/>
          <w:i w:val="0"/>
          <w:iCs/>
          <w:sz w:val="22"/>
          <w:szCs w:val="22"/>
        </w:rPr>
      </w:pPr>
      <w:proofErr w:type="spellStart"/>
      <w:r w:rsidRPr="00E56BAA">
        <w:rPr>
          <w:rStyle w:val="HEADING2Char"/>
          <w:rFonts w:ascii="Times New Roman" w:hAnsi="Times New Roman" w:cs="Times New Roman"/>
          <w:i w:val="0"/>
          <w:iCs/>
          <w:sz w:val="22"/>
          <w:szCs w:val="22"/>
        </w:rPr>
        <w:t>Lansoprazole</w:t>
      </w:r>
      <w:proofErr w:type="spellEnd"/>
      <w:r w:rsidRPr="00653B40">
        <w:rPr>
          <w:rStyle w:val="HEADING2Char"/>
          <w:rFonts w:ascii="Times New Roman" w:hAnsi="Times New Roman" w:cs="Times New Roman"/>
          <w:i w:val="0"/>
          <w:iCs/>
          <w:sz w:val="22"/>
          <w:szCs w:val="22"/>
        </w:rPr>
        <w:t xml:space="preserve">, </w:t>
      </w:r>
      <w:r w:rsidRPr="00E56BAA">
        <w:rPr>
          <w:rStyle w:val="HEADING2Char"/>
          <w:rFonts w:ascii="Times New Roman" w:hAnsi="Times New Roman" w:cs="Times New Roman"/>
          <w:i w:val="0"/>
          <w:iCs/>
          <w:sz w:val="22"/>
          <w:szCs w:val="22"/>
        </w:rPr>
        <w:t>gr</w:t>
      </w:r>
      <w:r w:rsidRPr="00653B40">
        <w:rPr>
          <w:rStyle w:val="HEADING2Char"/>
          <w:rFonts w:ascii="Times New Roman" w:hAnsi="Times New Roman" w:cs="Times New Roman"/>
          <w:i w:val="0"/>
          <w:iCs/>
          <w:sz w:val="22"/>
          <w:szCs w:val="22"/>
        </w:rPr>
        <w:t>.</w:t>
      </w:r>
      <w:r w:rsidRPr="00E56BAA">
        <w:rPr>
          <w:rStyle w:val="HEADING2Char"/>
          <w:rFonts w:ascii="Times New Roman" w:hAnsi="Times New Roman" w:cs="Times New Roman"/>
          <w:i w:val="0"/>
          <w:iCs/>
          <w:sz w:val="22"/>
          <w:szCs w:val="22"/>
        </w:rPr>
        <w:t>cap</w:t>
      </w:r>
      <w:r w:rsidRPr="00653B40">
        <w:rPr>
          <w:rStyle w:val="HEADING2Char"/>
          <w:rFonts w:ascii="Times New Roman" w:hAnsi="Times New Roman" w:cs="Times New Roman"/>
          <w:i w:val="0"/>
          <w:iCs/>
          <w:sz w:val="22"/>
          <w:szCs w:val="22"/>
        </w:rPr>
        <w:t xml:space="preserve"> 30 </w:t>
      </w:r>
      <w:r w:rsidRPr="00E56BAA">
        <w:rPr>
          <w:rStyle w:val="HEADING2Char"/>
          <w:rFonts w:ascii="Times New Roman" w:hAnsi="Times New Roman" w:cs="Times New Roman"/>
          <w:i w:val="0"/>
          <w:iCs/>
          <w:sz w:val="22"/>
          <w:szCs w:val="22"/>
        </w:rPr>
        <w:t>mg</w:t>
      </w:r>
      <w:r w:rsidRPr="00653B40">
        <w:rPr>
          <w:rStyle w:val="HEADING2Char"/>
          <w:rFonts w:ascii="Times New Roman" w:hAnsi="Times New Roman" w:cs="Times New Roman"/>
          <w:i w:val="0"/>
          <w:iCs/>
          <w:sz w:val="22"/>
          <w:szCs w:val="22"/>
        </w:rPr>
        <w:t>/</w:t>
      </w:r>
      <w:r w:rsidRPr="00E56BAA">
        <w:rPr>
          <w:rStyle w:val="HEADING2Char"/>
          <w:rFonts w:ascii="Times New Roman" w:hAnsi="Times New Roman" w:cs="Times New Roman"/>
          <w:i w:val="0"/>
          <w:iCs/>
          <w:sz w:val="22"/>
          <w:szCs w:val="22"/>
        </w:rPr>
        <w:t>cap</w:t>
      </w:r>
    </w:p>
    <w:p w:rsidR="00F43CBA" w:rsidRPr="00653B40" w:rsidRDefault="00F43CBA" w:rsidP="003261A2">
      <w:pPr>
        <w:ind w:left="-284" w:right="-483"/>
        <w:jc w:val="both"/>
        <w:rPr>
          <w:sz w:val="22"/>
          <w:szCs w:val="22"/>
          <w:lang w:val="en-US"/>
        </w:rPr>
      </w:pPr>
    </w:p>
    <w:p w:rsidR="00FD5B0A" w:rsidRPr="00E56BAA" w:rsidRDefault="00FD5B0A" w:rsidP="003261A2">
      <w:pPr>
        <w:numPr>
          <w:ilvl w:val="0"/>
          <w:numId w:val="2"/>
        </w:numPr>
        <w:ind w:left="-284" w:right="-483"/>
        <w:jc w:val="both"/>
        <w:rPr>
          <w:sz w:val="22"/>
          <w:szCs w:val="22"/>
        </w:rPr>
      </w:pPr>
      <w:r w:rsidRPr="00E56BAA">
        <w:rPr>
          <w:b/>
          <w:sz w:val="22"/>
          <w:szCs w:val="22"/>
        </w:rPr>
        <w:t>ΟΝΟΜΑΣΙΑ ΤΟΥ ΦΑΡΜΑΚΕΥΤΙΚΟΥ ΠΡΟΪΟΝΤΟΣ</w:t>
      </w:r>
    </w:p>
    <w:p w:rsidR="00FD5B0A" w:rsidRDefault="001D519D" w:rsidP="003261A2">
      <w:pPr>
        <w:ind w:left="-284" w:right="-483"/>
        <w:jc w:val="both"/>
        <w:rPr>
          <w:sz w:val="22"/>
          <w:szCs w:val="22"/>
          <w:lang w:val="en-US"/>
        </w:rPr>
      </w:pPr>
      <w:r w:rsidRPr="00E56BAA">
        <w:rPr>
          <w:sz w:val="22"/>
          <w:szCs w:val="22"/>
          <w:lang w:val="en-US"/>
        </w:rPr>
        <w:t>L</w:t>
      </w:r>
      <w:r w:rsidRPr="00E56BAA">
        <w:rPr>
          <w:sz w:val="22"/>
          <w:szCs w:val="22"/>
        </w:rPr>
        <w:t>anzol</w:t>
      </w:r>
      <w:r w:rsidR="0013640C" w:rsidRPr="00F14E40">
        <w:rPr>
          <w:sz w:val="22"/>
          <w:szCs w:val="22"/>
        </w:rPr>
        <w:t xml:space="preserve"> </w:t>
      </w:r>
      <w:r w:rsidR="004C7F9C" w:rsidRPr="00F14E40">
        <w:rPr>
          <w:sz w:val="22"/>
          <w:szCs w:val="22"/>
        </w:rPr>
        <w:t>3</w:t>
      </w:r>
      <w:r w:rsidR="004C7F9C" w:rsidRPr="00E56BAA">
        <w:rPr>
          <w:sz w:val="22"/>
          <w:szCs w:val="22"/>
          <w:lang w:val="en-US"/>
        </w:rPr>
        <w:t xml:space="preserve">0mg </w:t>
      </w:r>
      <w:proofErr w:type="spellStart"/>
      <w:r w:rsidR="004C7F9C" w:rsidRPr="00E56BAA">
        <w:rPr>
          <w:sz w:val="22"/>
          <w:szCs w:val="22"/>
          <w:lang w:val="en-US"/>
        </w:rPr>
        <w:t>καψ</w:t>
      </w:r>
      <w:proofErr w:type="spellEnd"/>
      <w:r w:rsidR="004C7F9C" w:rsidRPr="00E56BAA">
        <w:rPr>
          <w:sz w:val="22"/>
          <w:szCs w:val="22"/>
        </w:rPr>
        <w:t>άκια</w:t>
      </w:r>
    </w:p>
    <w:p w:rsidR="003261A2" w:rsidRPr="003261A2" w:rsidRDefault="003261A2" w:rsidP="003261A2">
      <w:pPr>
        <w:ind w:left="-284" w:right="-483"/>
        <w:jc w:val="both"/>
        <w:rPr>
          <w:sz w:val="22"/>
          <w:szCs w:val="22"/>
          <w:lang w:val="en-US"/>
        </w:rPr>
      </w:pPr>
    </w:p>
    <w:p w:rsidR="00FD5B0A" w:rsidRPr="00E56BAA" w:rsidRDefault="00FD5B0A" w:rsidP="003261A2">
      <w:pPr>
        <w:numPr>
          <w:ilvl w:val="0"/>
          <w:numId w:val="2"/>
        </w:numPr>
        <w:ind w:left="-284" w:right="-483"/>
        <w:jc w:val="both"/>
        <w:rPr>
          <w:sz w:val="22"/>
          <w:szCs w:val="22"/>
        </w:rPr>
      </w:pPr>
      <w:r w:rsidRPr="00E56BAA">
        <w:rPr>
          <w:b/>
          <w:sz w:val="22"/>
          <w:szCs w:val="22"/>
        </w:rPr>
        <w:t xml:space="preserve">ΠΟΙΟΤΙΚΗ ΚΑΙ ΠΟΣΟΤΙΚΗ ΣΥΝΘΕΣΗ </w:t>
      </w:r>
    </w:p>
    <w:p w:rsidR="004C7F9C" w:rsidRPr="00E56BAA" w:rsidRDefault="004C7F9C" w:rsidP="003261A2">
      <w:pPr>
        <w:ind w:left="-284" w:right="-483"/>
        <w:jc w:val="both"/>
        <w:rPr>
          <w:sz w:val="22"/>
          <w:szCs w:val="22"/>
        </w:rPr>
      </w:pPr>
      <w:r w:rsidRPr="00E56BAA">
        <w:rPr>
          <w:sz w:val="22"/>
          <w:szCs w:val="22"/>
        </w:rPr>
        <w:t xml:space="preserve">Κάθε καψάκιο περιέχει 30mg </w:t>
      </w:r>
      <w:proofErr w:type="spellStart"/>
      <w:r w:rsidRPr="00E56BAA">
        <w:rPr>
          <w:sz w:val="22"/>
          <w:szCs w:val="22"/>
          <w:lang w:val="en-US"/>
        </w:rPr>
        <w:t>λανσοπραζ</w:t>
      </w:r>
      <w:proofErr w:type="spellEnd"/>
      <w:r w:rsidRPr="00E56BAA">
        <w:rPr>
          <w:sz w:val="22"/>
          <w:szCs w:val="22"/>
        </w:rPr>
        <w:t>όλη</w:t>
      </w:r>
    </w:p>
    <w:p w:rsidR="004C7F9C" w:rsidRPr="00E56BAA" w:rsidRDefault="004C7F9C" w:rsidP="003261A2">
      <w:pPr>
        <w:ind w:left="-284" w:right="-483"/>
        <w:jc w:val="both"/>
        <w:rPr>
          <w:sz w:val="22"/>
          <w:szCs w:val="22"/>
        </w:rPr>
      </w:pPr>
    </w:p>
    <w:p w:rsidR="007E31DA" w:rsidRPr="000172C2" w:rsidRDefault="004C7F9C" w:rsidP="003261A2">
      <w:pPr>
        <w:ind w:left="-284" w:right="-483"/>
        <w:jc w:val="both"/>
        <w:rPr>
          <w:iCs/>
          <w:sz w:val="22"/>
          <w:szCs w:val="22"/>
        </w:rPr>
      </w:pPr>
      <w:r w:rsidRPr="000172C2">
        <w:rPr>
          <w:sz w:val="22"/>
          <w:szCs w:val="22"/>
        </w:rPr>
        <w:t>Έκδοχα:</w:t>
      </w:r>
      <w:r w:rsidR="00B511D6" w:rsidRPr="000172C2">
        <w:rPr>
          <w:b/>
          <w:i/>
          <w:iCs/>
          <w:sz w:val="22"/>
          <w:szCs w:val="22"/>
        </w:rPr>
        <w:t xml:space="preserve"> </w:t>
      </w:r>
      <w:r w:rsidRPr="000172C2">
        <w:rPr>
          <w:iCs/>
          <w:sz w:val="22"/>
          <w:szCs w:val="22"/>
        </w:rPr>
        <w:t>Κάθε καψάκιο 30mg περιέχει</w:t>
      </w:r>
      <w:r w:rsidR="000172C2" w:rsidRPr="000172C2">
        <w:rPr>
          <w:iCs/>
          <w:sz w:val="22"/>
          <w:szCs w:val="22"/>
        </w:rPr>
        <w:t xml:space="preserve"> </w:t>
      </w:r>
      <w:r w:rsidR="001D77E9">
        <w:rPr>
          <w:iCs/>
          <w:sz w:val="22"/>
          <w:szCs w:val="22"/>
        </w:rPr>
        <w:t>141</w:t>
      </w:r>
      <w:r w:rsidR="000172C2" w:rsidRPr="000172C2">
        <w:rPr>
          <w:iCs/>
          <w:sz w:val="22"/>
          <w:szCs w:val="22"/>
        </w:rPr>
        <w:t>,</w:t>
      </w:r>
      <w:r w:rsidR="001D77E9">
        <w:rPr>
          <w:iCs/>
          <w:sz w:val="22"/>
          <w:szCs w:val="22"/>
        </w:rPr>
        <w:t>5</w:t>
      </w:r>
      <w:r w:rsidR="000172C2" w:rsidRPr="000172C2">
        <w:rPr>
          <w:iCs/>
          <w:sz w:val="22"/>
          <w:szCs w:val="22"/>
        </w:rPr>
        <w:t xml:space="preserve"> mg σακχαρόζης.</w:t>
      </w:r>
    </w:p>
    <w:p w:rsidR="007E31DA" w:rsidRPr="00E56BAA" w:rsidRDefault="007E31DA" w:rsidP="003261A2">
      <w:pPr>
        <w:ind w:left="-284" w:right="-483"/>
        <w:jc w:val="both"/>
        <w:rPr>
          <w:iCs/>
          <w:sz w:val="22"/>
          <w:szCs w:val="22"/>
        </w:rPr>
      </w:pPr>
    </w:p>
    <w:p w:rsidR="004D4FD5" w:rsidRPr="00E56BAA" w:rsidRDefault="007E31DA" w:rsidP="003261A2">
      <w:pPr>
        <w:ind w:left="-284" w:right="-483"/>
        <w:jc w:val="both"/>
        <w:rPr>
          <w:b/>
          <w:i/>
          <w:iCs/>
          <w:sz w:val="22"/>
          <w:szCs w:val="22"/>
        </w:rPr>
      </w:pPr>
      <w:r w:rsidRPr="00E56BAA">
        <w:rPr>
          <w:iCs/>
          <w:sz w:val="22"/>
          <w:szCs w:val="22"/>
        </w:rPr>
        <w:t>Για τον πλήρη κατάλογο των εκδόχων, βλ. παράγραφο 6.1</w:t>
      </w:r>
      <w:r w:rsidR="0001653A" w:rsidRPr="00E56BAA">
        <w:rPr>
          <w:iCs/>
          <w:sz w:val="22"/>
          <w:szCs w:val="22"/>
        </w:rPr>
        <w:t>.</w:t>
      </w:r>
      <w:r w:rsidR="004C7F9C" w:rsidRPr="00E56BAA">
        <w:rPr>
          <w:iCs/>
          <w:sz w:val="22"/>
          <w:szCs w:val="22"/>
        </w:rPr>
        <w:t xml:space="preserve"> </w:t>
      </w:r>
    </w:p>
    <w:p w:rsidR="00FD5B0A" w:rsidRPr="00E56BAA" w:rsidRDefault="00FD5B0A" w:rsidP="003261A2">
      <w:pPr>
        <w:ind w:left="-284" w:right="-483"/>
        <w:jc w:val="both"/>
        <w:rPr>
          <w:sz w:val="22"/>
          <w:szCs w:val="22"/>
        </w:rPr>
      </w:pPr>
    </w:p>
    <w:p w:rsidR="00FD5B0A" w:rsidRPr="00E56BAA" w:rsidRDefault="00FD5B0A" w:rsidP="003261A2">
      <w:pPr>
        <w:numPr>
          <w:ilvl w:val="0"/>
          <w:numId w:val="2"/>
        </w:numPr>
        <w:ind w:left="-284" w:right="-483"/>
        <w:jc w:val="both"/>
        <w:rPr>
          <w:sz w:val="22"/>
          <w:szCs w:val="22"/>
        </w:rPr>
      </w:pPr>
      <w:r w:rsidRPr="00E56BAA">
        <w:rPr>
          <w:b/>
          <w:iCs/>
          <w:sz w:val="22"/>
          <w:szCs w:val="22"/>
        </w:rPr>
        <w:t>ΦΑΡΜΑΚΟΤΕΧΝΙΚΗ ΜΟΡΦΗ</w:t>
      </w:r>
    </w:p>
    <w:p w:rsidR="004D4FD5" w:rsidRPr="00E56BAA" w:rsidRDefault="00B511D6" w:rsidP="003261A2">
      <w:pPr>
        <w:ind w:left="-284" w:right="-483"/>
        <w:jc w:val="both"/>
        <w:rPr>
          <w:sz w:val="22"/>
          <w:szCs w:val="22"/>
        </w:rPr>
      </w:pPr>
      <w:r w:rsidRPr="00E56BAA">
        <w:rPr>
          <w:sz w:val="22"/>
          <w:szCs w:val="22"/>
        </w:rPr>
        <w:t>Γαστροανθεκτικό καψάκιο, σκληρό.</w:t>
      </w:r>
      <w:r w:rsidR="0013640C" w:rsidRPr="00E56BAA">
        <w:rPr>
          <w:sz w:val="22"/>
          <w:szCs w:val="22"/>
        </w:rPr>
        <w:t xml:space="preserve"> Κάθε καψάκιο περιέχει λευκά </w:t>
      </w:r>
      <w:r w:rsidR="00F42CB0" w:rsidRPr="00E56BAA">
        <w:rPr>
          <w:sz w:val="22"/>
          <w:szCs w:val="22"/>
        </w:rPr>
        <w:t>έως</w:t>
      </w:r>
      <w:r w:rsidR="0013640C" w:rsidRPr="00E56BAA">
        <w:rPr>
          <w:sz w:val="22"/>
          <w:szCs w:val="22"/>
        </w:rPr>
        <w:t xml:space="preserve"> υπόλευκα εντεροδιαλυτά κοκκία.</w:t>
      </w:r>
    </w:p>
    <w:p w:rsidR="00FD5B0A" w:rsidRPr="00E56BAA" w:rsidRDefault="00FD5B0A" w:rsidP="003261A2">
      <w:pPr>
        <w:ind w:left="-284" w:right="-483"/>
        <w:jc w:val="both"/>
        <w:rPr>
          <w:sz w:val="22"/>
          <w:szCs w:val="22"/>
        </w:rPr>
      </w:pPr>
    </w:p>
    <w:p w:rsidR="004D4FD5" w:rsidRPr="00E56BAA" w:rsidRDefault="00FD5B0A" w:rsidP="003261A2">
      <w:pPr>
        <w:numPr>
          <w:ilvl w:val="0"/>
          <w:numId w:val="2"/>
        </w:numPr>
        <w:ind w:left="-284" w:right="-483"/>
        <w:jc w:val="both"/>
        <w:rPr>
          <w:sz w:val="22"/>
          <w:szCs w:val="22"/>
        </w:rPr>
      </w:pPr>
      <w:r w:rsidRPr="00E56BAA">
        <w:rPr>
          <w:b/>
          <w:sz w:val="22"/>
          <w:szCs w:val="22"/>
        </w:rPr>
        <w:t>ΚΛΙΝΙΚΕΣ ΠΛΗΡΟΦΟΡΙΕΣ</w:t>
      </w:r>
    </w:p>
    <w:p w:rsidR="00FD5B0A" w:rsidRPr="00E56BAA" w:rsidRDefault="00B64323" w:rsidP="003261A2">
      <w:pPr>
        <w:numPr>
          <w:ilvl w:val="0"/>
          <w:numId w:val="3"/>
        </w:numPr>
        <w:ind w:left="-284" w:right="-483"/>
        <w:jc w:val="both"/>
        <w:rPr>
          <w:sz w:val="22"/>
          <w:szCs w:val="22"/>
        </w:rPr>
      </w:pPr>
      <w:r w:rsidRPr="00E56BAA">
        <w:rPr>
          <w:b/>
          <w:sz w:val="22"/>
          <w:szCs w:val="22"/>
        </w:rPr>
        <w:t>Θεραπευτικές ενδείξεις</w:t>
      </w:r>
    </w:p>
    <w:p w:rsidR="004C7F9C" w:rsidRPr="00E56BAA" w:rsidRDefault="00B511D6" w:rsidP="003261A2">
      <w:pPr>
        <w:pStyle w:val="a6"/>
        <w:numPr>
          <w:ilvl w:val="0"/>
          <w:numId w:val="15"/>
        </w:numPr>
        <w:ind w:left="-284" w:right="-483"/>
        <w:jc w:val="both"/>
        <w:rPr>
          <w:sz w:val="22"/>
          <w:szCs w:val="22"/>
        </w:rPr>
      </w:pPr>
      <w:r w:rsidRPr="00E56BAA">
        <w:rPr>
          <w:sz w:val="22"/>
          <w:szCs w:val="22"/>
        </w:rPr>
        <w:t>Θεραπεία του δωδεκαδακτυλικού και γαστρικού έλκους</w:t>
      </w:r>
    </w:p>
    <w:p w:rsidR="004C7F9C" w:rsidRPr="00E56BAA" w:rsidRDefault="004C7F9C" w:rsidP="003261A2">
      <w:pPr>
        <w:pStyle w:val="a6"/>
        <w:numPr>
          <w:ilvl w:val="0"/>
          <w:numId w:val="15"/>
        </w:numPr>
        <w:ind w:left="-284" w:right="-483"/>
        <w:jc w:val="both"/>
        <w:rPr>
          <w:sz w:val="22"/>
          <w:szCs w:val="22"/>
        </w:rPr>
      </w:pPr>
      <w:r w:rsidRPr="00E56BAA">
        <w:rPr>
          <w:sz w:val="22"/>
          <w:szCs w:val="22"/>
        </w:rPr>
        <w:t>Θ</w:t>
      </w:r>
      <w:r w:rsidR="00B511D6" w:rsidRPr="00E56BAA">
        <w:rPr>
          <w:sz w:val="22"/>
          <w:szCs w:val="22"/>
        </w:rPr>
        <w:t>εραπεία οισοφαγίτιδας από παλινδρόμηση</w:t>
      </w:r>
    </w:p>
    <w:p w:rsidR="004C7F9C" w:rsidRPr="00E56BAA" w:rsidRDefault="004C7F9C" w:rsidP="003261A2">
      <w:pPr>
        <w:pStyle w:val="a6"/>
        <w:numPr>
          <w:ilvl w:val="0"/>
          <w:numId w:val="15"/>
        </w:numPr>
        <w:ind w:left="-284" w:right="-483"/>
        <w:jc w:val="both"/>
        <w:rPr>
          <w:sz w:val="22"/>
          <w:szCs w:val="22"/>
        </w:rPr>
      </w:pPr>
      <w:r w:rsidRPr="00E56BAA">
        <w:rPr>
          <w:sz w:val="22"/>
          <w:szCs w:val="22"/>
        </w:rPr>
        <w:t>Π</w:t>
      </w:r>
      <w:r w:rsidR="00B511D6" w:rsidRPr="00E56BAA">
        <w:rPr>
          <w:sz w:val="22"/>
          <w:szCs w:val="22"/>
        </w:rPr>
        <w:t>ροφύλαξη από οισοφαγίτιδα από παλινδρόμηση</w:t>
      </w:r>
    </w:p>
    <w:p w:rsidR="004C7F9C" w:rsidRPr="00E56BAA" w:rsidRDefault="004C7F9C" w:rsidP="003261A2">
      <w:pPr>
        <w:pStyle w:val="a6"/>
        <w:numPr>
          <w:ilvl w:val="0"/>
          <w:numId w:val="15"/>
        </w:numPr>
        <w:ind w:left="-284" w:right="-483"/>
        <w:jc w:val="both"/>
        <w:rPr>
          <w:sz w:val="22"/>
          <w:szCs w:val="22"/>
        </w:rPr>
      </w:pPr>
      <w:r w:rsidRPr="00E56BAA">
        <w:rPr>
          <w:sz w:val="22"/>
          <w:szCs w:val="22"/>
        </w:rPr>
        <w:t>Ε</w:t>
      </w:r>
      <w:r w:rsidR="00B511D6" w:rsidRPr="00E56BAA">
        <w:rPr>
          <w:sz w:val="22"/>
          <w:szCs w:val="22"/>
        </w:rPr>
        <w:t xml:space="preserve">κρίζωση του </w:t>
      </w:r>
      <w:r w:rsidR="00B511D6" w:rsidRPr="00E56BAA">
        <w:rPr>
          <w:i/>
          <w:sz w:val="22"/>
          <w:szCs w:val="22"/>
          <w:lang w:val="en-US"/>
        </w:rPr>
        <w:t>Helicobacter</w:t>
      </w:r>
      <w:r w:rsidR="00B511D6" w:rsidRPr="00E56BAA">
        <w:rPr>
          <w:i/>
          <w:sz w:val="22"/>
          <w:szCs w:val="22"/>
        </w:rPr>
        <w:t xml:space="preserve"> </w:t>
      </w:r>
      <w:r w:rsidR="00B511D6" w:rsidRPr="00E56BAA">
        <w:rPr>
          <w:i/>
          <w:sz w:val="22"/>
          <w:szCs w:val="22"/>
          <w:lang w:val="en-US"/>
        </w:rPr>
        <w:t>pylori</w:t>
      </w:r>
      <w:r w:rsidR="00B511D6" w:rsidRPr="00E56BAA">
        <w:rPr>
          <w:sz w:val="22"/>
          <w:szCs w:val="22"/>
        </w:rPr>
        <w:t xml:space="preserve"> (</w:t>
      </w:r>
      <w:r w:rsidR="00B511D6" w:rsidRPr="00E56BAA">
        <w:rPr>
          <w:i/>
          <w:sz w:val="22"/>
          <w:szCs w:val="22"/>
          <w:lang w:val="en-US"/>
        </w:rPr>
        <w:t>H</w:t>
      </w:r>
      <w:r w:rsidR="00B511D6" w:rsidRPr="00E56BAA">
        <w:rPr>
          <w:i/>
          <w:sz w:val="22"/>
          <w:szCs w:val="22"/>
        </w:rPr>
        <w:t xml:space="preserve">. </w:t>
      </w:r>
      <w:r w:rsidR="00B511D6" w:rsidRPr="00E56BAA">
        <w:rPr>
          <w:i/>
          <w:sz w:val="22"/>
          <w:szCs w:val="22"/>
          <w:lang w:val="en-US"/>
        </w:rPr>
        <w:t>Pylori</w:t>
      </w:r>
      <w:r w:rsidR="00B511D6" w:rsidRPr="00E56BAA">
        <w:rPr>
          <w:sz w:val="22"/>
          <w:szCs w:val="22"/>
        </w:rPr>
        <w:t xml:space="preserve">) με ταυτόχρονη χορήγηση κατάλληλης αντιβιοτικής αγωγής για την θεραπεία των ελκών που σχετίζονται με </w:t>
      </w:r>
      <w:r w:rsidR="00B511D6" w:rsidRPr="00E56BAA">
        <w:rPr>
          <w:i/>
          <w:sz w:val="22"/>
          <w:szCs w:val="22"/>
          <w:lang w:val="en-US"/>
        </w:rPr>
        <w:t>H</w:t>
      </w:r>
      <w:r w:rsidR="00B511D6" w:rsidRPr="00E56BAA">
        <w:rPr>
          <w:i/>
          <w:sz w:val="22"/>
          <w:szCs w:val="22"/>
        </w:rPr>
        <w:t xml:space="preserve">. </w:t>
      </w:r>
      <w:r w:rsidR="00B511D6" w:rsidRPr="00E56BAA">
        <w:rPr>
          <w:i/>
          <w:sz w:val="22"/>
          <w:szCs w:val="22"/>
          <w:lang w:val="en-US"/>
        </w:rPr>
        <w:t>Pylori</w:t>
      </w:r>
    </w:p>
    <w:p w:rsidR="004C7F9C" w:rsidRPr="00E56BAA" w:rsidRDefault="004C7F9C" w:rsidP="003261A2">
      <w:pPr>
        <w:pStyle w:val="a6"/>
        <w:numPr>
          <w:ilvl w:val="0"/>
          <w:numId w:val="15"/>
        </w:numPr>
        <w:ind w:left="-284" w:right="-483"/>
        <w:jc w:val="both"/>
        <w:rPr>
          <w:sz w:val="22"/>
          <w:szCs w:val="22"/>
        </w:rPr>
      </w:pPr>
      <w:r w:rsidRPr="00E56BAA">
        <w:rPr>
          <w:sz w:val="22"/>
          <w:szCs w:val="22"/>
        </w:rPr>
        <w:t>Θ</w:t>
      </w:r>
      <w:r w:rsidR="00B511D6" w:rsidRPr="00E56BAA">
        <w:rPr>
          <w:sz w:val="22"/>
          <w:szCs w:val="22"/>
        </w:rPr>
        <w:t>εραπεία καλοήθους γαστρικού έλκους και δωδεκαδακτυλικού έλκους που σχετίζονται με ΜΣΑΦ σε ασθενείς στους οποίους απαιτείται συνεχής αγωγή με ΜΣΑΦ</w:t>
      </w:r>
    </w:p>
    <w:p w:rsidR="004C7F9C" w:rsidRPr="00E56BAA" w:rsidRDefault="004C7F9C" w:rsidP="003261A2">
      <w:pPr>
        <w:pStyle w:val="a6"/>
        <w:numPr>
          <w:ilvl w:val="0"/>
          <w:numId w:val="15"/>
        </w:numPr>
        <w:ind w:left="-284" w:right="-483"/>
        <w:jc w:val="both"/>
        <w:rPr>
          <w:sz w:val="22"/>
          <w:szCs w:val="22"/>
        </w:rPr>
      </w:pPr>
      <w:r w:rsidRPr="00E56BAA">
        <w:rPr>
          <w:sz w:val="22"/>
          <w:szCs w:val="22"/>
        </w:rPr>
        <w:t>Π</w:t>
      </w:r>
      <w:r w:rsidR="00B511D6" w:rsidRPr="00E56BAA">
        <w:rPr>
          <w:sz w:val="22"/>
          <w:szCs w:val="22"/>
        </w:rPr>
        <w:t xml:space="preserve">ροφύλαξη από γαστρικό έλκος και δωδεκαδακτυλικό έλκος που σχετίζονται με ΜΣΑΦ σε ασθενείς που κινδυνεύουν </w:t>
      </w:r>
      <w:r w:rsidRPr="00E56BAA">
        <w:rPr>
          <w:sz w:val="22"/>
          <w:szCs w:val="22"/>
        </w:rPr>
        <w:t xml:space="preserve">(βλέπε παράγραφο 4.2) </w:t>
      </w:r>
      <w:r w:rsidR="00B511D6" w:rsidRPr="00E56BAA">
        <w:rPr>
          <w:sz w:val="22"/>
          <w:szCs w:val="22"/>
        </w:rPr>
        <w:t>στους οποίους απαιτείται συνεχής θεραπεία</w:t>
      </w:r>
    </w:p>
    <w:p w:rsidR="004C7F9C" w:rsidRPr="00E56BAA" w:rsidRDefault="004C7F9C" w:rsidP="003261A2">
      <w:pPr>
        <w:pStyle w:val="a6"/>
        <w:numPr>
          <w:ilvl w:val="0"/>
          <w:numId w:val="15"/>
        </w:numPr>
        <w:ind w:left="-284" w:right="-483"/>
        <w:jc w:val="both"/>
        <w:rPr>
          <w:sz w:val="22"/>
          <w:szCs w:val="22"/>
        </w:rPr>
      </w:pPr>
      <w:r w:rsidRPr="00E56BAA">
        <w:rPr>
          <w:sz w:val="22"/>
          <w:szCs w:val="22"/>
        </w:rPr>
        <w:t>Σ</w:t>
      </w:r>
      <w:r w:rsidR="00B511D6" w:rsidRPr="00E56BAA">
        <w:rPr>
          <w:sz w:val="22"/>
          <w:szCs w:val="22"/>
        </w:rPr>
        <w:t xml:space="preserve">υμπτωματική γαστροοισοφαγική παλινδρομική νόσος </w:t>
      </w:r>
    </w:p>
    <w:p w:rsidR="004D4FD5" w:rsidRPr="00E56BAA" w:rsidRDefault="00B511D6" w:rsidP="003261A2">
      <w:pPr>
        <w:pStyle w:val="a6"/>
        <w:numPr>
          <w:ilvl w:val="0"/>
          <w:numId w:val="15"/>
        </w:numPr>
        <w:ind w:left="-284" w:right="-483"/>
        <w:jc w:val="both"/>
        <w:rPr>
          <w:sz w:val="22"/>
          <w:szCs w:val="22"/>
        </w:rPr>
      </w:pPr>
      <w:r w:rsidRPr="00E56BAA">
        <w:rPr>
          <w:sz w:val="22"/>
          <w:szCs w:val="22"/>
        </w:rPr>
        <w:t xml:space="preserve">Σύνδρομο </w:t>
      </w:r>
      <w:proofErr w:type="spellStart"/>
      <w:r w:rsidRPr="00E56BAA">
        <w:rPr>
          <w:sz w:val="22"/>
          <w:szCs w:val="22"/>
          <w:lang w:val="en-US"/>
        </w:rPr>
        <w:t>Zollinger</w:t>
      </w:r>
      <w:proofErr w:type="spellEnd"/>
      <w:r w:rsidRPr="00E56BAA">
        <w:rPr>
          <w:sz w:val="22"/>
          <w:szCs w:val="22"/>
        </w:rPr>
        <w:t>-</w:t>
      </w:r>
      <w:r w:rsidRPr="00E56BAA">
        <w:rPr>
          <w:sz w:val="22"/>
          <w:szCs w:val="22"/>
          <w:lang w:val="en-US"/>
        </w:rPr>
        <w:t>Ellison</w:t>
      </w:r>
      <w:r w:rsidRPr="00E56BAA">
        <w:rPr>
          <w:sz w:val="22"/>
          <w:szCs w:val="22"/>
        </w:rPr>
        <w:t>.</w:t>
      </w:r>
      <w:r w:rsidR="00B64323" w:rsidRPr="00E56BAA">
        <w:rPr>
          <w:sz w:val="22"/>
          <w:szCs w:val="22"/>
        </w:rPr>
        <w:t xml:space="preserve"> </w:t>
      </w:r>
    </w:p>
    <w:p w:rsidR="00FD5B0A" w:rsidRPr="00E56BAA" w:rsidRDefault="00FD5B0A" w:rsidP="003261A2">
      <w:pPr>
        <w:ind w:left="-284" w:right="-483"/>
        <w:jc w:val="both"/>
        <w:rPr>
          <w:sz w:val="22"/>
          <w:szCs w:val="22"/>
        </w:rPr>
      </w:pPr>
    </w:p>
    <w:p w:rsidR="00FD5B0A" w:rsidRPr="00E56BAA" w:rsidRDefault="00FD5B0A" w:rsidP="003261A2">
      <w:pPr>
        <w:numPr>
          <w:ilvl w:val="0"/>
          <w:numId w:val="3"/>
        </w:numPr>
        <w:ind w:left="-284" w:right="-483"/>
        <w:jc w:val="both"/>
        <w:rPr>
          <w:sz w:val="22"/>
          <w:szCs w:val="22"/>
        </w:rPr>
      </w:pPr>
      <w:r w:rsidRPr="00E56BAA">
        <w:rPr>
          <w:b/>
          <w:sz w:val="22"/>
          <w:szCs w:val="22"/>
        </w:rPr>
        <w:t xml:space="preserve"> </w:t>
      </w:r>
      <w:r w:rsidR="00B64323" w:rsidRPr="00E56BAA">
        <w:rPr>
          <w:b/>
          <w:sz w:val="22"/>
          <w:szCs w:val="22"/>
        </w:rPr>
        <w:t>Δοσολογία και τρόπος χορήγησης</w:t>
      </w:r>
    </w:p>
    <w:p w:rsidR="0013640C" w:rsidRPr="00E56BAA" w:rsidRDefault="00B511D6" w:rsidP="003261A2">
      <w:pPr>
        <w:ind w:left="-284" w:right="-483"/>
        <w:jc w:val="both"/>
        <w:rPr>
          <w:sz w:val="22"/>
          <w:szCs w:val="22"/>
        </w:rPr>
      </w:pPr>
      <w:r w:rsidRPr="00E56BAA">
        <w:rPr>
          <w:sz w:val="22"/>
          <w:szCs w:val="22"/>
        </w:rPr>
        <w:t xml:space="preserve">Για άριστο αποτέλεσμα, το </w:t>
      </w:r>
      <w:proofErr w:type="spellStart"/>
      <w:r w:rsidRPr="00E56BAA">
        <w:rPr>
          <w:sz w:val="22"/>
          <w:szCs w:val="22"/>
          <w:lang w:val="en-US"/>
        </w:rPr>
        <w:t>L</w:t>
      </w:r>
      <w:r w:rsidR="0001653A" w:rsidRPr="00E56BAA">
        <w:rPr>
          <w:sz w:val="22"/>
          <w:szCs w:val="22"/>
          <w:lang w:val="en-US"/>
        </w:rPr>
        <w:t>anzol</w:t>
      </w:r>
      <w:proofErr w:type="spellEnd"/>
      <w:r w:rsidRPr="00E56BAA">
        <w:rPr>
          <w:sz w:val="22"/>
          <w:szCs w:val="22"/>
        </w:rPr>
        <w:t xml:space="preserve">  πρέπει να λαμβάνεται μία φορά την ημέρα το πρωί, εκτός εάν χρησιμοποιείται για την εκρίζωση του </w:t>
      </w:r>
      <w:r w:rsidRPr="00E56BAA">
        <w:rPr>
          <w:i/>
          <w:sz w:val="22"/>
          <w:szCs w:val="22"/>
          <w:lang w:val="en-US"/>
        </w:rPr>
        <w:t>H</w:t>
      </w:r>
      <w:r w:rsidRPr="00E56BAA">
        <w:rPr>
          <w:i/>
          <w:sz w:val="22"/>
          <w:szCs w:val="22"/>
        </w:rPr>
        <w:t xml:space="preserve">. </w:t>
      </w:r>
      <w:proofErr w:type="gramStart"/>
      <w:r w:rsidRPr="00E56BAA">
        <w:rPr>
          <w:i/>
          <w:sz w:val="22"/>
          <w:szCs w:val="22"/>
          <w:lang w:val="en-US"/>
        </w:rPr>
        <w:t>Pylori</w:t>
      </w:r>
      <w:r w:rsidRPr="00E56BAA">
        <w:rPr>
          <w:sz w:val="22"/>
          <w:szCs w:val="22"/>
        </w:rPr>
        <w:t xml:space="preserve"> </w:t>
      </w:r>
      <w:r w:rsidR="0001653A" w:rsidRPr="00E56BAA">
        <w:rPr>
          <w:sz w:val="22"/>
          <w:szCs w:val="22"/>
        </w:rPr>
        <w:t xml:space="preserve"> </w:t>
      </w:r>
      <w:r w:rsidRPr="00E56BAA">
        <w:rPr>
          <w:sz w:val="22"/>
          <w:szCs w:val="22"/>
        </w:rPr>
        <w:t>όπου</w:t>
      </w:r>
      <w:proofErr w:type="gramEnd"/>
      <w:r w:rsidRPr="00E56BAA">
        <w:rPr>
          <w:sz w:val="22"/>
          <w:szCs w:val="22"/>
        </w:rPr>
        <w:t xml:space="preserve"> η θεραπεία πρέπει να είναι δύο φορές την ημέρα, μία το πρωί και μία το βράδυ. </w:t>
      </w:r>
    </w:p>
    <w:p w:rsidR="0013640C" w:rsidRPr="00E56BAA" w:rsidRDefault="00B511D6" w:rsidP="003261A2">
      <w:pPr>
        <w:ind w:left="-284" w:right="-483"/>
        <w:jc w:val="both"/>
        <w:rPr>
          <w:sz w:val="22"/>
          <w:szCs w:val="22"/>
        </w:rPr>
      </w:pPr>
      <w:r w:rsidRPr="00E56BAA">
        <w:rPr>
          <w:sz w:val="22"/>
          <w:szCs w:val="22"/>
        </w:rPr>
        <w:t xml:space="preserve">Το </w:t>
      </w:r>
      <w:proofErr w:type="spellStart"/>
      <w:r w:rsidRPr="00E56BAA">
        <w:rPr>
          <w:sz w:val="22"/>
          <w:szCs w:val="22"/>
          <w:lang w:val="en-US"/>
        </w:rPr>
        <w:t>L</w:t>
      </w:r>
      <w:r w:rsidR="0001653A" w:rsidRPr="00E56BAA">
        <w:rPr>
          <w:sz w:val="22"/>
          <w:szCs w:val="22"/>
          <w:lang w:val="en-US"/>
        </w:rPr>
        <w:t>anzol</w:t>
      </w:r>
      <w:proofErr w:type="spellEnd"/>
      <w:r w:rsidRPr="00E56BAA">
        <w:rPr>
          <w:sz w:val="22"/>
          <w:szCs w:val="22"/>
        </w:rPr>
        <w:t xml:space="preserve"> πρέπει να λαμβάνεται τουλάχιστον 30 λεπτά πριν από το φαγητό</w:t>
      </w:r>
      <w:r w:rsidR="0013640C" w:rsidRPr="00E56BAA">
        <w:rPr>
          <w:sz w:val="22"/>
          <w:szCs w:val="22"/>
        </w:rPr>
        <w:t xml:space="preserve"> (βλέπε παράγραφο 5.2)</w:t>
      </w:r>
      <w:r w:rsidRPr="00E56BAA">
        <w:rPr>
          <w:sz w:val="22"/>
          <w:szCs w:val="22"/>
        </w:rPr>
        <w:t xml:space="preserve">. Τα καψάκια πρέπει να καταπίνονται ολόκληρα με υγρό. </w:t>
      </w:r>
    </w:p>
    <w:p w:rsidR="0013640C" w:rsidRPr="00E56BAA" w:rsidRDefault="0013640C" w:rsidP="003261A2">
      <w:pPr>
        <w:ind w:left="-284" w:right="-483"/>
        <w:jc w:val="both"/>
        <w:rPr>
          <w:sz w:val="22"/>
          <w:szCs w:val="22"/>
        </w:rPr>
      </w:pPr>
    </w:p>
    <w:p w:rsidR="00FD5B0A" w:rsidRPr="00E56BAA" w:rsidRDefault="00B511D6" w:rsidP="003261A2">
      <w:pPr>
        <w:ind w:left="-284" w:right="-483"/>
        <w:jc w:val="both"/>
        <w:rPr>
          <w:sz w:val="22"/>
          <w:szCs w:val="22"/>
        </w:rPr>
      </w:pPr>
      <w:r w:rsidRPr="00E56BAA">
        <w:rPr>
          <w:sz w:val="22"/>
          <w:szCs w:val="22"/>
        </w:rPr>
        <w:t xml:space="preserve">Για ασθενείς με δυσκολία στην κατάποση, οι μελέτες και η κλινική πρακτική υποδεικνύουν ότι τα καψάκια μπορούν να ανοιχθούν και τα κοκκία να αναμιχθούν με μία μικρή ποσότητα νερού, χυμού μήλου/ντομάτας ή να επιπασθούν πάνω σε μία μικρή ποσότητα μαλακής τροφής (π.χ. γιαούρτι, πουρέ μήλου) για να διευκολυνθεί η χορήγηση. Τα καψάκια μπορούν επίσης να ανοιχθούν και τα κοκκία να αναμιχθούν με 40 </w:t>
      </w:r>
      <w:r w:rsidRPr="00E56BAA">
        <w:rPr>
          <w:sz w:val="22"/>
          <w:szCs w:val="22"/>
          <w:lang w:val="en-US"/>
        </w:rPr>
        <w:t>ml</w:t>
      </w:r>
      <w:r w:rsidRPr="00E56BAA">
        <w:rPr>
          <w:sz w:val="22"/>
          <w:szCs w:val="22"/>
        </w:rPr>
        <w:t xml:space="preserve">  χυμού μήλου για χορήγηση μέσω ρινογαστρικού σωλήνα</w:t>
      </w:r>
      <w:r w:rsidR="0013640C" w:rsidRPr="00E56BAA">
        <w:rPr>
          <w:sz w:val="22"/>
          <w:szCs w:val="22"/>
        </w:rPr>
        <w:t xml:space="preserve"> (βλέπε παράγραφο 5.2)</w:t>
      </w:r>
      <w:r w:rsidRPr="00E56BAA">
        <w:rPr>
          <w:sz w:val="22"/>
          <w:szCs w:val="22"/>
        </w:rPr>
        <w:t xml:space="preserve">. Μετά την προετοιμασία του εναιωρήματος ή μίγματος, το φάρμακο πρέπει να χορηγηθεί αμέσως. </w:t>
      </w:r>
    </w:p>
    <w:p w:rsidR="0013640C" w:rsidRPr="00E56BAA" w:rsidRDefault="0013640C" w:rsidP="003261A2">
      <w:pPr>
        <w:ind w:left="-284" w:right="-483"/>
        <w:jc w:val="both"/>
        <w:rPr>
          <w:sz w:val="22"/>
          <w:szCs w:val="22"/>
        </w:rPr>
      </w:pPr>
    </w:p>
    <w:p w:rsidR="0013640C" w:rsidRPr="00E56BAA" w:rsidRDefault="00B511D6" w:rsidP="003261A2">
      <w:pPr>
        <w:ind w:left="-284" w:right="-483"/>
        <w:jc w:val="both"/>
        <w:rPr>
          <w:sz w:val="22"/>
          <w:szCs w:val="22"/>
        </w:rPr>
      </w:pPr>
      <w:r w:rsidRPr="00E56BAA">
        <w:rPr>
          <w:sz w:val="22"/>
          <w:szCs w:val="22"/>
          <w:u w:val="single"/>
        </w:rPr>
        <w:t>Θεραπεία δωδεκαδακτυλικού έλκους</w:t>
      </w:r>
      <w:r w:rsidRPr="00E56BAA">
        <w:rPr>
          <w:sz w:val="22"/>
          <w:szCs w:val="22"/>
        </w:rPr>
        <w:t>:</w:t>
      </w:r>
      <w:r w:rsidR="00B64323" w:rsidRPr="00E56BAA">
        <w:rPr>
          <w:sz w:val="22"/>
          <w:szCs w:val="22"/>
        </w:rPr>
        <w:t xml:space="preserve"> </w:t>
      </w:r>
    </w:p>
    <w:p w:rsidR="00FD5B0A" w:rsidRPr="00E56BAA" w:rsidRDefault="00B511D6" w:rsidP="003261A2">
      <w:pPr>
        <w:ind w:left="-284" w:right="-483"/>
        <w:jc w:val="both"/>
        <w:rPr>
          <w:sz w:val="22"/>
          <w:szCs w:val="22"/>
        </w:rPr>
      </w:pPr>
      <w:r w:rsidRPr="00E56BAA">
        <w:rPr>
          <w:sz w:val="22"/>
          <w:szCs w:val="22"/>
        </w:rPr>
        <w:t>Η συνιστώμενη δόση είναι 30mg μία φορά την ημέρα για 2 εβδομάδες. Σε ασθενείς που δεν έχει γίνει πλήρης επούλωση μέσα στο διάστημα αυτό, η αγωγή συνεχίζεται με την ίδια δόση για ακόμα δύο εβδομάδες.</w:t>
      </w:r>
      <w:r w:rsidR="003D0CB9" w:rsidRPr="00E56BAA">
        <w:rPr>
          <w:sz w:val="22"/>
          <w:szCs w:val="22"/>
        </w:rPr>
        <w:t xml:space="preserve"> </w:t>
      </w:r>
    </w:p>
    <w:p w:rsidR="0013640C" w:rsidRPr="00E56BAA" w:rsidRDefault="0013640C" w:rsidP="003261A2">
      <w:pPr>
        <w:ind w:left="-284" w:right="-483"/>
        <w:jc w:val="both"/>
        <w:rPr>
          <w:sz w:val="22"/>
          <w:szCs w:val="22"/>
        </w:rPr>
      </w:pPr>
    </w:p>
    <w:p w:rsidR="004D4FD5" w:rsidRPr="00E56BAA" w:rsidRDefault="00B511D6" w:rsidP="003261A2">
      <w:pPr>
        <w:ind w:left="-284" w:right="-483"/>
        <w:jc w:val="both"/>
        <w:rPr>
          <w:sz w:val="22"/>
          <w:szCs w:val="22"/>
        </w:rPr>
      </w:pPr>
      <w:r w:rsidRPr="00E56BAA">
        <w:rPr>
          <w:sz w:val="22"/>
          <w:szCs w:val="22"/>
          <w:u w:val="single"/>
        </w:rPr>
        <w:t xml:space="preserve">Θεραπεία γαστρικού έλκους: </w:t>
      </w:r>
    </w:p>
    <w:p w:rsidR="00FD5B0A" w:rsidRPr="00E56BAA" w:rsidRDefault="00B511D6" w:rsidP="003261A2">
      <w:pPr>
        <w:ind w:left="-284" w:right="-483"/>
        <w:jc w:val="both"/>
        <w:rPr>
          <w:sz w:val="22"/>
          <w:szCs w:val="22"/>
        </w:rPr>
      </w:pPr>
      <w:r w:rsidRPr="00E56BAA">
        <w:rPr>
          <w:sz w:val="22"/>
          <w:szCs w:val="22"/>
        </w:rPr>
        <w:t>Η συνιστώμενη δόση ε</w:t>
      </w:r>
      <w:r w:rsidR="0001653A" w:rsidRPr="00E56BAA">
        <w:rPr>
          <w:sz w:val="22"/>
          <w:szCs w:val="22"/>
        </w:rPr>
        <w:t>ίναι 30mg μία φορά την ημέρα για</w:t>
      </w:r>
      <w:r w:rsidRPr="00E56BAA">
        <w:rPr>
          <w:sz w:val="22"/>
          <w:szCs w:val="22"/>
        </w:rPr>
        <w:t xml:space="preserve"> 4 εβδομάδες. Το έλκος συνήθως επουλώνεται μέσα σε 4 εβδομάδες, αλλά σε ασθενείς που δεν έχει γίνει πλήρης επούλωση μέσα στο διάστημα αυτό, η αγωγή μπορεί να συνεχιστεί με την ίδια δόση για ακόμα 4 εβδομάδες.</w:t>
      </w:r>
      <w:r w:rsidR="00B64323" w:rsidRPr="00E56BAA">
        <w:rPr>
          <w:sz w:val="22"/>
          <w:szCs w:val="22"/>
        </w:rPr>
        <w:t xml:space="preserve"> </w:t>
      </w:r>
    </w:p>
    <w:p w:rsidR="0013640C" w:rsidRPr="00E56BAA" w:rsidRDefault="0013640C" w:rsidP="003261A2">
      <w:pPr>
        <w:ind w:left="-284" w:right="-483"/>
        <w:jc w:val="both"/>
        <w:rPr>
          <w:sz w:val="22"/>
          <w:szCs w:val="22"/>
        </w:rPr>
      </w:pPr>
    </w:p>
    <w:p w:rsidR="0013640C" w:rsidRPr="00E56BAA" w:rsidRDefault="00B511D6" w:rsidP="003261A2">
      <w:pPr>
        <w:ind w:left="-284" w:right="-483"/>
        <w:jc w:val="both"/>
        <w:rPr>
          <w:sz w:val="22"/>
          <w:szCs w:val="22"/>
        </w:rPr>
      </w:pPr>
      <w:r w:rsidRPr="00E56BAA">
        <w:rPr>
          <w:sz w:val="22"/>
          <w:szCs w:val="22"/>
          <w:u w:val="single"/>
        </w:rPr>
        <w:t>Οισοφαγίτιδα από παλινδρόμηση</w:t>
      </w:r>
      <w:r w:rsidRPr="00E56BAA">
        <w:rPr>
          <w:sz w:val="22"/>
          <w:szCs w:val="22"/>
        </w:rPr>
        <w:t xml:space="preserve">: </w:t>
      </w:r>
    </w:p>
    <w:p w:rsidR="00FD5B0A" w:rsidRPr="00E56BAA" w:rsidRDefault="00B511D6" w:rsidP="003261A2">
      <w:pPr>
        <w:ind w:left="-284" w:right="-483"/>
        <w:jc w:val="both"/>
        <w:rPr>
          <w:sz w:val="22"/>
          <w:szCs w:val="22"/>
        </w:rPr>
      </w:pPr>
      <w:r w:rsidRPr="00E56BAA">
        <w:rPr>
          <w:sz w:val="22"/>
          <w:szCs w:val="22"/>
        </w:rPr>
        <w:lastRenderedPageBreak/>
        <w:t>Η συνιστώμενη δόση εί</w:t>
      </w:r>
      <w:r w:rsidR="00335DFD" w:rsidRPr="00E56BAA">
        <w:rPr>
          <w:sz w:val="22"/>
          <w:szCs w:val="22"/>
        </w:rPr>
        <w:t>ναι 30 mg μία φορά την ημέρα για</w:t>
      </w:r>
      <w:r w:rsidRPr="00E56BAA">
        <w:rPr>
          <w:sz w:val="22"/>
          <w:szCs w:val="22"/>
        </w:rPr>
        <w:t xml:space="preserve"> 4 εβδομάδες. Σε ασθενείς που δεν έχει γίνει πλήρης επούλωση μέσα στο διάστημα αυτό, η αγωγή μπορεί να συνεχιστεί με την ίδια δόση για ακόμα 4 εβδομάδες.</w:t>
      </w:r>
      <w:r w:rsidR="00B64323" w:rsidRPr="00E56BAA">
        <w:rPr>
          <w:sz w:val="22"/>
          <w:szCs w:val="22"/>
        </w:rPr>
        <w:t xml:space="preserve"> </w:t>
      </w:r>
    </w:p>
    <w:p w:rsidR="0013640C" w:rsidRPr="00E56BAA" w:rsidRDefault="0013640C" w:rsidP="003261A2">
      <w:pPr>
        <w:ind w:left="-284" w:right="-483"/>
        <w:jc w:val="both"/>
        <w:rPr>
          <w:sz w:val="22"/>
          <w:szCs w:val="22"/>
        </w:rPr>
      </w:pPr>
    </w:p>
    <w:p w:rsidR="0013640C" w:rsidRPr="00E56BAA" w:rsidRDefault="00B511D6" w:rsidP="003261A2">
      <w:pPr>
        <w:ind w:left="-284" w:right="-483"/>
        <w:jc w:val="both"/>
        <w:rPr>
          <w:sz w:val="22"/>
          <w:szCs w:val="22"/>
        </w:rPr>
      </w:pPr>
      <w:r w:rsidRPr="00E56BAA">
        <w:rPr>
          <w:sz w:val="22"/>
          <w:szCs w:val="22"/>
          <w:u w:val="single"/>
        </w:rPr>
        <w:t>Προφύλαξη από οισοφαγίτιδα από παλινδρόμηση</w:t>
      </w:r>
      <w:r w:rsidRPr="00E56BAA">
        <w:rPr>
          <w:sz w:val="22"/>
          <w:szCs w:val="22"/>
        </w:rPr>
        <w:t>:</w:t>
      </w:r>
      <w:r w:rsidR="00B64323" w:rsidRPr="00E56BAA">
        <w:rPr>
          <w:sz w:val="22"/>
          <w:szCs w:val="22"/>
        </w:rPr>
        <w:t xml:space="preserve"> </w:t>
      </w:r>
    </w:p>
    <w:p w:rsidR="00FD5B0A" w:rsidRPr="00E56BAA" w:rsidRDefault="00B511D6" w:rsidP="003261A2">
      <w:pPr>
        <w:ind w:left="-284" w:right="-483"/>
        <w:jc w:val="both"/>
        <w:rPr>
          <w:sz w:val="22"/>
          <w:szCs w:val="22"/>
        </w:rPr>
      </w:pPr>
      <w:r w:rsidRPr="00E56BAA">
        <w:rPr>
          <w:sz w:val="22"/>
          <w:szCs w:val="22"/>
        </w:rPr>
        <w:t xml:space="preserve">15 </w:t>
      </w:r>
      <w:r w:rsidRPr="00E56BAA">
        <w:rPr>
          <w:sz w:val="22"/>
          <w:szCs w:val="22"/>
          <w:lang w:val="en-US"/>
        </w:rPr>
        <w:t>mg</w:t>
      </w:r>
      <w:r w:rsidRPr="00E56BAA">
        <w:rPr>
          <w:sz w:val="22"/>
          <w:szCs w:val="22"/>
        </w:rPr>
        <w:t xml:space="preserve"> μία φορά την ημέρα. Η δόση μπορεί να χρειασθεί να αυξηθεί έως και 30 </w:t>
      </w:r>
      <w:r w:rsidRPr="00E56BAA">
        <w:rPr>
          <w:sz w:val="22"/>
          <w:szCs w:val="22"/>
          <w:lang w:val="en-US"/>
        </w:rPr>
        <w:t>mg</w:t>
      </w:r>
      <w:r w:rsidRPr="00E56BAA">
        <w:rPr>
          <w:sz w:val="22"/>
          <w:szCs w:val="22"/>
        </w:rPr>
        <w:t xml:space="preserve"> την ημέρα.</w:t>
      </w:r>
      <w:r w:rsidR="00B64323" w:rsidRPr="00E56BAA">
        <w:rPr>
          <w:sz w:val="22"/>
          <w:szCs w:val="22"/>
        </w:rPr>
        <w:t xml:space="preserve"> </w:t>
      </w:r>
    </w:p>
    <w:p w:rsidR="0013640C" w:rsidRPr="00E56BAA" w:rsidRDefault="0013640C" w:rsidP="003261A2">
      <w:pPr>
        <w:ind w:left="-284" w:right="-483"/>
        <w:jc w:val="both"/>
        <w:rPr>
          <w:sz w:val="22"/>
          <w:szCs w:val="22"/>
        </w:rPr>
      </w:pPr>
    </w:p>
    <w:p w:rsidR="0013640C" w:rsidRPr="00E56BAA" w:rsidRDefault="00B511D6" w:rsidP="003261A2">
      <w:pPr>
        <w:ind w:left="-284" w:right="-483"/>
        <w:jc w:val="both"/>
        <w:rPr>
          <w:sz w:val="22"/>
          <w:szCs w:val="22"/>
        </w:rPr>
      </w:pPr>
      <w:r w:rsidRPr="00E56BAA">
        <w:rPr>
          <w:sz w:val="22"/>
          <w:szCs w:val="22"/>
          <w:u w:val="single"/>
        </w:rPr>
        <w:t xml:space="preserve">Εκρίζωση του </w:t>
      </w:r>
      <w:r w:rsidRPr="00E56BAA">
        <w:rPr>
          <w:i/>
          <w:sz w:val="22"/>
          <w:szCs w:val="22"/>
          <w:u w:val="single"/>
          <w:lang w:val="en-US"/>
        </w:rPr>
        <w:t>Helicobacter</w:t>
      </w:r>
      <w:r w:rsidRPr="00E56BAA">
        <w:rPr>
          <w:i/>
          <w:sz w:val="22"/>
          <w:szCs w:val="22"/>
          <w:u w:val="single"/>
        </w:rPr>
        <w:t xml:space="preserve"> </w:t>
      </w:r>
      <w:r w:rsidRPr="00E56BAA">
        <w:rPr>
          <w:i/>
          <w:sz w:val="22"/>
          <w:szCs w:val="22"/>
          <w:u w:val="single"/>
          <w:lang w:val="en-US"/>
        </w:rPr>
        <w:t>pylori</w:t>
      </w:r>
      <w:r w:rsidRPr="00E56BAA">
        <w:rPr>
          <w:sz w:val="22"/>
          <w:szCs w:val="22"/>
          <w:u w:val="single"/>
        </w:rPr>
        <w:t>:</w:t>
      </w:r>
      <w:r w:rsidRPr="00E56BAA">
        <w:rPr>
          <w:sz w:val="22"/>
          <w:szCs w:val="22"/>
        </w:rPr>
        <w:t xml:space="preserve"> </w:t>
      </w:r>
    </w:p>
    <w:p w:rsidR="0013640C" w:rsidRPr="00E56BAA" w:rsidRDefault="00B511D6" w:rsidP="003261A2">
      <w:pPr>
        <w:ind w:left="-284" w:right="-483"/>
        <w:jc w:val="both"/>
        <w:rPr>
          <w:sz w:val="22"/>
          <w:szCs w:val="22"/>
        </w:rPr>
      </w:pPr>
      <w:r w:rsidRPr="00E56BAA">
        <w:rPr>
          <w:sz w:val="22"/>
          <w:szCs w:val="22"/>
        </w:rPr>
        <w:t>Όταν επιλέγεται ο κατάλληλος συνδυασμός θεραπείας πρέπει να λαμβάνονται υπόψη οι επίσημες τοπικές συστάσεις σχετικά με τη μικροβιακή αντοχή, τη διάρκεια της θεραπείας (πιο συχνά 7 ημέρες αλλά μερικές φορές έως 14 ημέρες) και την ενδεχόμενη χρήση μικροβιακών φαρμάκων.</w:t>
      </w:r>
      <w:r w:rsidR="00B239A6" w:rsidRPr="00E56BAA">
        <w:rPr>
          <w:sz w:val="22"/>
          <w:szCs w:val="22"/>
        </w:rPr>
        <w:t xml:space="preserve"> </w:t>
      </w:r>
    </w:p>
    <w:p w:rsidR="0013640C" w:rsidRPr="00E56BAA" w:rsidRDefault="00B511D6" w:rsidP="003261A2">
      <w:pPr>
        <w:ind w:left="-284" w:right="-483"/>
        <w:jc w:val="both"/>
        <w:rPr>
          <w:sz w:val="22"/>
          <w:szCs w:val="22"/>
        </w:rPr>
      </w:pPr>
      <w:r w:rsidRPr="00E56BAA">
        <w:rPr>
          <w:sz w:val="22"/>
          <w:szCs w:val="22"/>
        </w:rPr>
        <w:t>Η συν</w:t>
      </w:r>
      <w:r w:rsidR="00B239A6" w:rsidRPr="00E56BAA">
        <w:rPr>
          <w:sz w:val="22"/>
          <w:szCs w:val="22"/>
        </w:rPr>
        <w:t>ι</w:t>
      </w:r>
      <w:r w:rsidRPr="00E56BAA">
        <w:rPr>
          <w:sz w:val="22"/>
          <w:szCs w:val="22"/>
        </w:rPr>
        <w:t xml:space="preserve">στώμενη δόση είναι 30 </w:t>
      </w:r>
      <w:r w:rsidRPr="00E56BAA">
        <w:rPr>
          <w:sz w:val="22"/>
          <w:szCs w:val="22"/>
          <w:lang w:val="en-US"/>
        </w:rPr>
        <w:t>mg</w:t>
      </w:r>
      <w:r w:rsidRPr="00E56BAA">
        <w:rPr>
          <w:sz w:val="22"/>
          <w:szCs w:val="22"/>
        </w:rPr>
        <w:t xml:space="preserve"> </w:t>
      </w:r>
      <w:proofErr w:type="spellStart"/>
      <w:r w:rsidRPr="00E56BAA">
        <w:rPr>
          <w:sz w:val="22"/>
          <w:szCs w:val="22"/>
          <w:lang w:val="en-US"/>
        </w:rPr>
        <w:t>L</w:t>
      </w:r>
      <w:r w:rsidR="00335DFD" w:rsidRPr="00E56BAA">
        <w:rPr>
          <w:sz w:val="22"/>
          <w:szCs w:val="22"/>
          <w:lang w:val="en-US"/>
        </w:rPr>
        <w:t>anzol</w:t>
      </w:r>
      <w:proofErr w:type="spellEnd"/>
      <w:r w:rsidRPr="00E56BAA">
        <w:rPr>
          <w:sz w:val="22"/>
          <w:szCs w:val="22"/>
        </w:rPr>
        <w:t xml:space="preserve"> δύο φορές την ημέρα για 7 ημέρες σε συνδυασμό με ένα</w:t>
      </w:r>
      <w:r w:rsidR="00B17F18" w:rsidRPr="00E56BAA">
        <w:rPr>
          <w:sz w:val="22"/>
          <w:szCs w:val="22"/>
        </w:rPr>
        <w:t xml:space="preserve"> </w:t>
      </w:r>
      <w:r w:rsidRPr="00E56BAA">
        <w:rPr>
          <w:sz w:val="22"/>
          <w:szCs w:val="22"/>
        </w:rPr>
        <w:t xml:space="preserve">από τα παρακάτω: </w:t>
      </w:r>
    </w:p>
    <w:p w:rsidR="0013640C" w:rsidRPr="00E56BAA" w:rsidRDefault="00B511D6" w:rsidP="003261A2">
      <w:pPr>
        <w:ind w:left="-284" w:right="-483"/>
        <w:jc w:val="both"/>
        <w:rPr>
          <w:sz w:val="22"/>
          <w:szCs w:val="22"/>
        </w:rPr>
      </w:pPr>
      <w:r w:rsidRPr="00E56BAA">
        <w:rPr>
          <w:sz w:val="22"/>
          <w:szCs w:val="22"/>
        </w:rPr>
        <w:t xml:space="preserve">κλαριθρομυκίνη 250-500 </w:t>
      </w:r>
      <w:r w:rsidRPr="00E56BAA">
        <w:rPr>
          <w:sz w:val="22"/>
          <w:szCs w:val="22"/>
          <w:lang w:val="en-US"/>
        </w:rPr>
        <w:t>mg</w:t>
      </w:r>
      <w:r w:rsidRPr="00E56BAA">
        <w:rPr>
          <w:sz w:val="22"/>
          <w:szCs w:val="22"/>
        </w:rPr>
        <w:t xml:space="preserve"> δύο φορές την ημέρα + αμοξ</w:t>
      </w:r>
      <w:r w:rsidR="00335DFD" w:rsidRPr="00E56BAA">
        <w:rPr>
          <w:sz w:val="22"/>
          <w:szCs w:val="22"/>
        </w:rPr>
        <w:t>ι</w:t>
      </w:r>
      <w:r w:rsidRPr="00E56BAA">
        <w:rPr>
          <w:sz w:val="22"/>
          <w:szCs w:val="22"/>
        </w:rPr>
        <w:t xml:space="preserve">κιλλίνη 1 </w:t>
      </w:r>
      <w:r w:rsidRPr="00E56BAA">
        <w:rPr>
          <w:sz w:val="22"/>
          <w:szCs w:val="22"/>
          <w:lang w:val="en-US"/>
        </w:rPr>
        <w:t>g</w:t>
      </w:r>
      <w:r w:rsidRPr="00E56BAA">
        <w:rPr>
          <w:sz w:val="22"/>
          <w:szCs w:val="22"/>
        </w:rPr>
        <w:t xml:space="preserve"> δύο φορές την ημέρα</w:t>
      </w:r>
    </w:p>
    <w:p w:rsidR="0013640C" w:rsidRPr="00E56BAA" w:rsidRDefault="00B511D6" w:rsidP="003261A2">
      <w:pPr>
        <w:ind w:left="-284" w:right="-483"/>
        <w:jc w:val="both"/>
        <w:rPr>
          <w:sz w:val="22"/>
          <w:szCs w:val="22"/>
        </w:rPr>
      </w:pPr>
      <w:r w:rsidRPr="00E56BAA">
        <w:rPr>
          <w:sz w:val="22"/>
          <w:szCs w:val="22"/>
        </w:rPr>
        <w:t xml:space="preserve">κλαριθρομυκίνη 250 </w:t>
      </w:r>
      <w:r w:rsidRPr="00E56BAA">
        <w:rPr>
          <w:sz w:val="22"/>
          <w:szCs w:val="22"/>
          <w:lang w:val="en-US"/>
        </w:rPr>
        <w:t>mg</w:t>
      </w:r>
      <w:r w:rsidRPr="00E56BAA">
        <w:rPr>
          <w:sz w:val="22"/>
          <w:szCs w:val="22"/>
        </w:rPr>
        <w:t xml:space="preserve"> δύο φορές την ημέρα + μετρονιδαζόλη 400-500 </w:t>
      </w:r>
      <w:r w:rsidRPr="00E56BAA">
        <w:rPr>
          <w:sz w:val="22"/>
          <w:szCs w:val="22"/>
          <w:lang w:val="en-US"/>
        </w:rPr>
        <w:t>mg</w:t>
      </w:r>
      <w:r w:rsidRPr="00E56BAA">
        <w:rPr>
          <w:sz w:val="22"/>
          <w:szCs w:val="22"/>
        </w:rPr>
        <w:t xml:space="preserve"> δύο φορές την ημέρα.</w:t>
      </w:r>
      <w:r w:rsidR="00B239A6" w:rsidRPr="00E56BAA">
        <w:rPr>
          <w:sz w:val="22"/>
          <w:szCs w:val="22"/>
        </w:rPr>
        <w:t xml:space="preserve"> </w:t>
      </w:r>
    </w:p>
    <w:p w:rsidR="0013640C" w:rsidRPr="00E56BAA" w:rsidRDefault="0013640C" w:rsidP="003261A2">
      <w:pPr>
        <w:ind w:left="-284" w:right="-483"/>
        <w:jc w:val="both"/>
        <w:rPr>
          <w:sz w:val="22"/>
          <w:szCs w:val="22"/>
        </w:rPr>
      </w:pPr>
    </w:p>
    <w:p w:rsidR="0013640C" w:rsidRPr="00E56BAA" w:rsidRDefault="00B511D6" w:rsidP="003261A2">
      <w:pPr>
        <w:ind w:left="-284" w:right="-483"/>
        <w:jc w:val="both"/>
        <w:rPr>
          <w:sz w:val="22"/>
          <w:szCs w:val="22"/>
        </w:rPr>
      </w:pPr>
      <w:r w:rsidRPr="00E56BAA">
        <w:rPr>
          <w:sz w:val="22"/>
          <w:szCs w:val="22"/>
        </w:rPr>
        <w:t xml:space="preserve">Ποσοστά εκρίζωσης του </w:t>
      </w:r>
      <w:r w:rsidRPr="00E56BAA">
        <w:rPr>
          <w:i/>
          <w:sz w:val="22"/>
          <w:szCs w:val="22"/>
          <w:lang w:val="en-US"/>
        </w:rPr>
        <w:t>H</w:t>
      </w:r>
      <w:r w:rsidRPr="00E56BAA">
        <w:rPr>
          <w:i/>
          <w:sz w:val="22"/>
          <w:szCs w:val="22"/>
        </w:rPr>
        <w:t xml:space="preserve">. </w:t>
      </w:r>
      <w:proofErr w:type="gramStart"/>
      <w:r w:rsidRPr="00E56BAA">
        <w:rPr>
          <w:i/>
          <w:sz w:val="22"/>
          <w:szCs w:val="22"/>
          <w:lang w:val="en-US"/>
        </w:rPr>
        <w:t>pylori</w:t>
      </w:r>
      <w:proofErr w:type="gramEnd"/>
      <w:r w:rsidRPr="00E56BAA">
        <w:rPr>
          <w:sz w:val="22"/>
          <w:szCs w:val="22"/>
        </w:rPr>
        <w:t xml:space="preserve"> έως και 90%, επιτυγχάνονται όταν η κλαριθρομυκίνη συνδυάζεται με το </w:t>
      </w:r>
      <w:proofErr w:type="spellStart"/>
      <w:r w:rsidRPr="00E56BAA">
        <w:rPr>
          <w:sz w:val="22"/>
          <w:szCs w:val="22"/>
          <w:lang w:val="en-US"/>
        </w:rPr>
        <w:t>L</w:t>
      </w:r>
      <w:r w:rsidR="00335DFD" w:rsidRPr="00E56BAA">
        <w:rPr>
          <w:sz w:val="22"/>
          <w:szCs w:val="22"/>
          <w:lang w:val="en-US"/>
        </w:rPr>
        <w:t>anzol</w:t>
      </w:r>
      <w:proofErr w:type="spellEnd"/>
      <w:r w:rsidR="00335DFD" w:rsidRPr="00E56BAA">
        <w:rPr>
          <w:sz w:val="22"/>
          <w:szCs w:val="22"/>
        </w:rPr>
        <w:t xml:space="preserve">  και αμοξι</w:t>
      </w:r>
      <w:r w:rsidRPr="00E56BAA">
        <w:rPr>
          <w:sz w:val="22"/>
          <w:szCs w:val="22"/>
        </w:rPr>
        <w:t xml:space="preserve">κιλλίνη ή μετρονιδαζόλη. </w:t>
      </w:r>
    </w:p>
    <w:p w:rsidR="0013640C" w:rsidRPr="00E56BAA" w:rsidRDefault="0013640C" w:rsidP="003261A2">
      <w:pPr>
        <w:ind w:left="-284" w:right="-483"/>
        <w:jc w:val="both"/>
        <w:rPr>
          <w:sz w:val="22"/>
          <w:szCs w:val="22"/>
        </w:rPr>
      </w:pPr>
    </w:p>
    <w:p w:rsidR="0013640C" w:rsidRPr="00E56BAA" w:rsidRDefault="00B511D6" w:rsidP="003261A2">
      <w:pPr>
        <w:ind w:left="-284" w:right="-483"/>
        <w:jc w:val="both"/>
        <w:rPr>
          <w:sz w:val="22"/>
          <w:szCs w:val="22"/>
        </w:rPr>
      </w:pPr>
      <w:r w:rsidRPr="00E56BAA">
        <w:rPr>
          <w:sz w:val="22"/>
          <w:szCs w:val="22"/>
        </w:rPr>
        <w:t>Έξι μήνες μετά από επιτυχή θεραπεία εκρίζωσης, ο κίνδυνος επαναμόλυνσης είναι χαμηλός και επομένως είναι απίθανη η υποτροπή.</w:t>
      </w:r>
      <w:r w:rsidR="00B239A6" w:rsidRPr="00E56BAA">
        <w:rPr>
          <w:sz w:val="22"/>
          <w:szCs w:val="22"/>
        </w:rPr>
        <w:t xml:space="preserve"> </w:t>
      </w:r>
    </w:p>
    <w:p w:rsidR="0013640C" w:rsidRPr="00E56BAA" w:rsidRDefault="0013640C" w:rsidP="003261A2">
      <w:pPr>
        <w:ind w:left="-284" w:right="-483"/>
        <w:jc w:val="both"/>
        <w:rPr>
          <w:sz w:val="22"/>
          <w:szCs w:val="22"/>
        </w:rPr>
      </w:pPr>
    </w:p>
    <w:p w:rsidR="00FD5B0A" w:rsidRPr="00E56BAA" w:rsidRDefault="00B511D6" w:rsidP="003261A2">
      <w:pPr>
        <w:ind w:left="-284" w:right="-483"/>
        <w:jc w:val="both"/>
        <w:rPr>
          <w:sz w:val="22"/>
          <w:szCs w:val="22"/>
        </w:rPr>
      </w:pPr>
      <w:r w:rsidRPr="00E56BAA">
        <w:rPr>
          <w:sz w:val="22"/>
          <w:szCs w:val="22"/>
        </w:rPr>
        <w:t xml:space="preserve">Έχει επίσης εξετασθεί η χρήση ενός σχήματος που περιλαμβάνει λανσοπραζόλη 30 </w:t>
      </w:r>
      <w:r w:rsidRPr="00E56BAA">
        <w:rPr>
          <w:sz w:val="22"/>
          <w:szCs w:val="22"/>
          <w:lang w:val="en-US"/>
        </w:rPr>
        <w:t>mg</w:t>
      </w:r>
      <w:r w:rsidR="00335DFD" w:rsidRPr="00E56BAA">
        <w:rPr>
          <w:sz w:val="22"/>
          <w:szCs w:val="22"/>
        </w:rPr>
        <w:t xml:space="preserve"> δύο φορές την ημέρα, αμοξι</w:t>
      </w:r>
      <w:r w:rsidRPr="00E56BAA">
        <w:rPr>
          <w:sz w:val="22"/>
          <w:szCs w:val="22"/>
        </w:rPr>
        <w:t xml:space="preserve">κιλλίνη 1 </w:t>
      </w:r>
      <w:r w:rsidRPr="00E56BAA">
        <w:rPr>
          <w:sz w:val="22"/>
          <w:szCs w:val="22"/>
          <w:lang w:val="en-US"/>
        </w:rPr>
        <w:t>g</w:t>
      </w:r>
      <w:r w:rsidRPr="00E56BAA">
        <w:rPr>
          <w:sz w:val="22"/>
          <w:szCs w:val="22"/>
        </w:rPr>
        <w:t xml:space="preserve"> δύο φορές την ημέρα και μετρονιδαζόλη 400-500 </w:t>
      </w:r>
      <w:r w:rsidRPr="00E56BAA">
        <w:rPr>
          <w:sz w:val="22"/>
          <w:szCs w:val="22"/>
          <w:lang w:val="en-US"/>
        </w:rPr>
        <w:t>mg</w:t>
      </w:r>
      <w:r w:rsidRPr="00E56BAA">
        <w:rPr>
          <w:sz w:val="22"/>
          <w:szCs w:val="22"/>
        </w:rPr>
        <w:t xml:space="preserve"> δύο φορές την ημέρα.</w:t>
      </w:r>
      <w:r w:rsidR="00B239A6" w:rsidRPr="00E56BAA">
        <w:rPr>
          <w:sz w:val="22"/>
          <w:szCs w:val="22"/>
        </w:rPr>
        <w:t xml:space="preserve"> </w:t>
      </w:r>
      <w:r w:rsidRPr="00E56BAA">
        <w:rPr>
          <w:sz w:val="22"/>
          <w:szCs w:val="22"/>
        </w:rPr>
        <w:t>Χαμηλότερα ποσοστά εκρίζωσης παρατηρήθηκαν με την χρήση αυτού του συνδυασμού παρά με τα σχήματα που περιλαμβάνουν κλαριθρομυκίνη. Αυτό μπορεί να είναι κατάλληλο για εκείνους που δεν μπορούν να λάβουν κλαριθρομυκίνη ως μέρος της θεραπείας εκρίζωσης, όταν τα τοπικά ποσοστά αντοχής στην μετρονιδαζόλη είναι χαμηλά.</w:t>
      </w:r>
      <w:r w:rsidR="00B239A6" w:rsidRPr="00E56BAA">
        <w:rPr>
          <w:sz w:val="22"/>
          <w:szCs w:val="22"/>
        </w:rPr>
        <w:t xml:space="preserve"> </w:t>
      </w:r>
    </w:p>
    <w:p w:rsidR="0013640C" w:rsidRPr="00E56BAA" w:rsidRDefault="0013640C" w:rsidP="003261A2">
      <w:pPr>
        <w:ind w:left="-284" w:right="-483"/>
        <w:jc w:val="both"/>
        <w:rPr>
          <w:sz w:val="22"/>
          <w:szCs w:val="22"/>
        </w:rPr>
      </w:pPr>
    </w:p>
    <w:p w:rsidR="0013640C" w:rsidRPr="00E56BAA" w:rsidRDefault="00B511D6" w:rsidP="003261A2">
      <w:pPr>
        <w:ind w:left="-284" w:right="-483"/>
        <w:jc w:val="both"/>
        <w:rPr>
          <w:sz w:val="22"/>
          <w:szCs w:val="22"/>
          <w:u w:val="single"/>
        </w:rPr>
      </w:pPr>
      <w:r w:rsidRPr="00E56BAA">
        <w:rPr>
          <w:sz w:val="22"/>
          <w:szCs w:val="22"/>
          <w:u w:val="single"/>
        </w:rPr>
        <w:t>Θεραπεία καλοήθους γαστρικού έλκους και δωδεκαδακτυλικού έλκους που σχετίζονται με ΜΣΑΦ σε ασθενείς στους οποίους απαιτείται συνεχής αγωγή με ΜΣΑΦ</w:t>
      </w:r>
      <w:r w:rsidR="00335DFD" w:rsidRPr="00E56BAA">
        <w:rPr>
          <w:sz w:val="22"/>
          <w:szCs w:val="22"/>
          <w:u w:val="single"/>
        </w:rPr>
        <w:t>:</w:t>
      </w:r>
    </w:p>
    <w:p w:rsidR="00FD5B0A" w:rsidRPr="00E56BAA" w:rsidRDefault="00B511D6" w:rsidP="003261A2">
      <w:pPr>
        <w:ind w:left="-284" w:right="-483"/>
        <w:jc w:val="both"/>
        <w:rPr>
          <w:sz w:val="22"/>
          <w:szCs w:val="22"/>
        </w:rPr>
      </w:pPr>
      <w:r w:rsidRPr="00E56BAA">
        <w:rPr>
          <w:sz w:val="22"/>
          <w:szCs w:val="22"/>
        </w:rPr>
        <w:t xml:space="preserve">30 </w:t>
      </w:r>
      <w:r w:rsidRPr="00E56BAA">
        <w:rPr>
          <w:sz w:val="22"/>
          <w:szCs w:val="22"/>
          <w:lang w:val="en-US"/>
        </w:rPr>
        <w:t>mg</w:t>
      </w:r>
      <w:r w:rsidRPr="00E56BAA">
        <w:rPr>
          <w:sz w:val="22"/>
          <w:szCs w:val="22"/>
        </w:rPr>
        <w:t xml:space="preserve"> μία φορά την ημέρα για τέσσερις εβδομάδες. Σε ασθενείς που δεν έχει γίνει πλήρης επούλωση η αγωγή μπορεί να συνεχιστεί για ακόμα </w:t>
      </w:r>
      <w:r w:rsidR="0013640C" w:rsidRPr="00E56BAA">
        <w:rPr>
          <w:sz w:val="22"/>
          <w:szCs w:val="22"/>
        </w:rPr>
        <w:t>τέσσερις</w:t>
      </w:r>
      <w:r w:rsidRPr="00E56BAA">
        <w:rPr>
          <w:sz w:val="22"/>
          <w:szCs w:val="22"/>
        </w:rPr>
        <w:t xml:space="preserve"> εβδομάδες. Σε ασθενείς που κινδυνεύουν </w:t>
      </w:r>
      <w:r w:rsidR="0013640C" w:rsidRPr="00E56BAA">
        <w:rPr>
          <w:sz w:val="22"/>
          <w:szCs w:val="22"/>
        </w:rPr>
        <w:t>ή με</w:t>
      </w:r>
      <w:r w:rsidRPr="00E56BAA">
        <w:rPr>
          <w:sz w:val="22"/>
          <w:szCs w:val="22"/>
        </w:rPr>
        <w:t xml:space="preserve"> έλκη που είναι δύσκολο να επουλωθούν, πρέπει να γίνεται πιθανώς αγωγή για μεγαλύτερο διάστημα και/ή υψηλότερη δόση.</w:t>
      </w:r>
      <w:r w:rsidR="00B239A6" w:rsidRPr="00E56BAA">
        <w:rPr>
          <w:sz w:val="22"/>
          <w:szCs w:val="22"/>
        </w:rPr>
        <w:t xml:space="preserve"> </w:t>
      </w:r>
    </w:p>
    <w:p w:rsidR="001275F0" w:rsidRPr="00E56BAA" w:rsidRDefault="001275F0" w:rsidP="003261A2">
      <w:pPr>
        <w:ind w:left="-284" w:right="-483"/>
        <w:jc w:val="both"/>
        <w:rPr>
          <w:sz w:val="22"/>
          <w:szCs w:val="22"/>
        </w:rPr>
      </w:pPr>
    </w:p>
    <w:p w:rsidR="001275F0" w:rsidRPr="00E56BAA" w:rsidRDefault="00B511D6" w:rsidP="003261A2">
      <w:pPr>
        <w:ind w:left="-284" w:right="-483"/>
        <w:jc w:val="both"/>
        <w:rPr>
          <w:sz w:val="22"/>
          <w:szCs w:val="22"/>
        </w:rPr>
      </w:pPr>
      <w:r w:rsidRPr="00E56BAA">
        <w:rPr>
          <w:sz w:val="22"/>
          <w:szCs w:val="22"/>
          <w:u w:val="single"/>
        </w:rPr>
        <w:t>Προφύλαξη από γαστρικά και δωδεκαδακτυλικά έλκη που σχετίζονται με ΜΣΑΦ σε ασθενείς που κινδυνεύουν (όπως ηλικίας &gt;65 ή με ιστορικό γαστρικού ή δωδεκαδακτυλικού έλκους) στους οποίους απαιτείται παρατεταμένη θεραπεία με ΜΣΑΦ</w:t>
      </w:r>
      <w:r w:rsidRPr="00E56BAA">
        <w:rPr>
          <w:sz w:val="22"/>
          <w:szCs w:val="22"/>
        </w:rPr>
        <w:t>:</w:t>
      </w:r>
      <w:r w:rsidR="00BD5031" w:rsidRPr="00E56BAA">
        <w:rPr>
          <w:sz w:val="22"/>
          <w:szCs w:val="22"/>
        </w:rPr>
        <w:t xml:space="preserve"> </w:t>
      </w:r>
    </w:p>
    <w:p w:rsidR="00FD5B0A" w:rsidRPr="00E56BAA" w:rsidRDefault="00B511D6" w:rsidP="003261A2">
      <w:pPr>
        <w:ind w:left="-284" w:right="-483"/>
        <w:jc w:val="both"/>
        <w:rPr>
          <w:sz w:val="22"/>
          <w:szCs w:val="22"/>
        </w:rPr>
      </w:pPr>
      <w:r w:rsidRPr="00E56BAA">
        <w:rPr>
          <w:sz w:val="22"/>
          <w:szCs w:val="22"/>
        </w:rPr>
        <w:t xml:space="preserve">15 </w:t>
      </w:r>
      <w:r w:rsidRPr="00E56BAA">
        <w:rPr>
          <w:sz w:val="22"/>
          <w:szCs w:val="22"/>
          <w:lang w:val="en-US"/>
        </w:rPr>
        <w:t>mg</w:t>
      </w:r>
      <w:r w:rsidRPr="00E56BAA">
        <w:rPr>
          <w:sz w:val="22"/>
          <w:szCs w:val="22"/>
        </w:rPr>
        <w:t xml:space="preserve"> μία φορά την ημέρα. Εάν η θεραπεία αποτύχει, πρέπει να χρησιμοποιηθεί η δόση των 30 </w:t>
      </w:r>
      <w:r w:rsidRPr="00E56BAA">
        <w:rPr>
          <w:sz w:val="22"/>
          <w:szCs w:val="22"/>
          <w:lang w:val="en-US"/>
        </w:rPr>
        <w:t>mg</w:t>
      </w:r>
      <w:r w:rsidRPr="00E56BAA">
        <w:rPr>
          <w:sz w:val="22"/>
          <w:szCs w:val="22"/>
        </w:rPr>
        <w:t xml:space="preserve"> μία φορά την ημέρα.</w:t>
      </w:r>
      <w:r w:rsidR="00B239A6" w:rsidRPr="00E56BAA">
        <w:rPr>
          <w:sz w:val="22"/>
          <w:szCs w:val="22"/>
        </w:rPr>
        <w:t xml:space="preserve"> </w:t>
      </w:r>
    </w:p>
    <w:p w:rsidR="001275F0" w:rsidRPr="00E56BAA" w:rsidRDefault="001275F0" w:rsidP="003261A2">
      <w:pPr>
        <w:ind w:left="-284" w:right="-483"/>
        <w:jc w:val="both"/>
        <w:rPr>
          <w:sz w:val="22"/>
          <w:szCs w:val="22"/>
        </w:rPr>
      </w:pPr>
    </w:p>
    <w:p w:rsidR="001275F0" w:rsidRPr="00E56BAA" w:rsidRDefault="001275F0" w:rsidP="003261A2">
      <w:pPr>
        <w:ind w:left="-284" w:right="-483"/>
        <w:jc w:val="both"/>
        <w:rPr>
          <w:sz w:val="22"/>
          <w:szCs w:val="22"/>
          <w:u w:val="single"/>
        </w:rPr>
      </w:pPr>
      <w:r w:rsidRPr="00E56BAA">
        <w:rPr>
          <w:sz w:val="22"/>
          <w:szCs w:val="22"/>
          <w:u w:val="single"/>
        </w:rPr>
        <w:t>Συμπτωματική γαστροοισοφαγική παλινδρομική νόσος:</w:t>
      </w:r>
    </w:p>
    <w:p w:rsidR="001275F0" w:rsidRPr="00E56BAA" w:rsidRDefault="001275F0" w:rsidP="003261A2">
      <w:pPr>
        <w:ind w:left="-284" w:right="-483"/>
        <w:jc w:val="both"/>
        <w:rPr>
          <w:sz w:val="22"/>
          <w:szCs w:val="22"/>
        </w:rPr>
      </w:pPr>
      <w:r w:rsidRPr="00E56BAA">
        <w:rPr>
          <w:sz w:val="22"/>
          <w:szCs w:val="22"/>
        </w:rPr>
        <w:t>Η συνιστώμενη δόση είναι 15 mg ή 30 mg την ημέρα. Η ανακούφιση από τα συμπτώματα επιτυγχάνεται γρήγορα. Πρέπει να εξετάζεται η εξατομίκευση της δόσης. Εάν δεν υπάρξει ανακούφιση από τα συμπτώματα μέσα σε 4 εβδομάδες με δόση 30 mg την ημέρα, συνιστώνται περαιτέρω εξετάσεις.</w:t>
      </w:r>
    </w:p>
    <w:p w:rsidR="001275F0" w:rsidRPr="00E56BAA" w:rsidRDefault="001275F0" w:rsidP="003261A2">
      <w:pPr>
        <w:ind w:left="-284" w:right="-483"/>
        <w:jc w:val="both"/>
        <w:rPr>
          <w:sz w:val="22"/>
          <w:szCs w:val="22"/>
        </w:rPr>
      </w:pPr>
    </w:p>
    <w:p w:rsidR="001275F0" w:rsidRPr="00E56BAA" w:rsidRDefault="00B511D6" w:rsidP="003261A2">
      <w:pPr>
        <w:ind w:left="-284" w:right="-483"/>
        <w:jc w:val="both"/>
        <w:rPr>
          <w:sz w:val="22"/>
          <w:szCs w:val="22"/>
        </w:rPr>
      </w:pPr>
      <w:r w:rsidRPr="00E56BAA">
        <w:rPr>
          <w:sz w:val="22"/>
          <w:szCs w:val="22"/>
          <w:u w:val="single"/>
        </w:rPr>
        <w:t xml:space="preserve">Σύνδρομο του </w:t>
      </w:r>
      <w:proofErr w:type="spellStart"/>
      <w:r w:rsidRPr="00E56BAA">
        <w:rPr>
          <w:sz w:val="22"/>
          <w:szCs w:val="22"/>
          <w:u w:val="single"/>
          <w:lang w:val="en-US"/>
        </w:rPr>
        <w:t>Zollinger</w:t>
      </w:r>
      <w:proofErr w:type="spellEnd"/>
      <w:r w:rsidRPr="00E56BAA">
        <w:rPr>
          <w:sz w:val="22"/>
          <w:szCs w:val="22"/>
          <w:u w:val="single"/>
        </w:rPr>
        <w:t>-</w:t>
      </w:r>
      <w:r w:rsidRPr="00E56BAA">
        <w:rPr>
          <w:sz w:val="22"/>
          <w:szCs w:val="22"/>
          <w:u w:val="single"/>
          <w:lang w:val="en-US"/>
        </w:rPr>
        <w:t>Ellison</w:t>
      </w:r>
      <w:r w:rsidRPr="00E56BAA">
        <w:rPr>
          <w:sz w:val="22"/>
          <w:szCs w:val="22"/>
        </w:rPr>
        <w:t>:</w:t>
      </w:r>
      <w:r w:rsidR="00BD5031" w:rsidRPr="00E56BAA">
        <w:rPr>
          <w:sz w:val="22"/>
          <w:szCs w:val="22"/>
        </w:rPr>
        <w:t xml:space="preserve"> </w:t>
      </w:r>
    </w:p>
    <w:p w:rsidR="00FD5B0A" w:rsidRPr="00E56BAA" w:rsidRDefault="00B511D6" w:rsidP="003261A2">
      <w:pPr>
        <w:ind w:left="-284" w:right="-483"/>
        <w:jc w:val="both"/>
        <w:rPr>
          <w:sz w:val="22"/>
          <w:szCs w:val="22"/>
        </w:rPr>
      </w:pPr>
      <w:r w:rsidRPr="00E56BAA">
        <w:rPr>
          <w:sz w:val="22"/>
          <w:szCs w:val="22"/>
        </w:rPr>
        <w:t xml:space="preserve">Η συνιστώμενη δόση είναι 60 </w:t>
      </w:r>
      <w:r w:rsidRPr="00E56BAA">
        <w:rPr>
          <w:sz w:val="22"/>
          <w:szCs w:val="22"/>
          <w:lang w:val="en-US"/>
        </w:rPr>
        <w:t>mg</w:t>
      </w:r>
      <w:r w:rsidRPr="00E56BAA">
        <w:rPr>
          <w:sz w:val="22"/>
          <w:szCs w:val="22"/>
        </w:rPr>
        <w:t xml:space="preserve"> μία φορά την  ημέρα. Η δόση πρέπει να εξατομικεύεται και η αγωγή να συνεχίζεται για όσο διάστημα είναι </w:t>
      </w:r>
      <w:r w:rsidR="00B239A6" w:rsidRPr="00E56BAA">
        <w:rPr>
          <w:sz w:val="22"/>
          <w:szCs w:val="22"/>
        </w:rPr>
        <w:t>απαραίτητο</w:t>
      </w:r>
      <w:r w:rsidRPr="00E56BAA">
        <w:rPr>
          <w:sz w:val="22"/>
          <w:szCs w:val="22"/>
        </w:rPr>
        <w:t>. Έχο</w:t>
      </w:r>
      <w:r w:rsidR="00335DFD" w:rsidRPr="00E56BAA">
        <w:rPr>
          <w:sz w:val="22"/>
          <w:szCs w:val="22"/>
        </w:rPr>
        <w:t>υν χρησιμοποιηθεί δόσεις έως</w:t>
      </w:r>
      <w:r w:rsidRPr="00E56BAA">
        <w:rPr>
          <w:sz w:val="22"/>
          <w:szCs w:val="22"/>
        </w:rPr>
        <w:t xml:space="preserve"> 180 </w:t>
      </w:r>
      <w:r w:rsidRPr="00E56BAA">
        <w:rPr>
          <w:sz w:val="22"/>
          <w:szCs w:val="22"/>
          <w:lang w:val="en-US"/>
        </w:rPr>
        <w:t>mg</w:t>
      </w:r>
      <w:r w:rsidRPr="00E56BAA">
        <w:rPr>
          <w:sz w:val="22"/>
          <w:szCs w:val="22"/>
        </w:rPr>
        <w:t xml:space="preserve">  την ημέρα. Εάν η απαιτούμενη ημερήσια δόση υπερβαίνει τα 120 </w:t>
      </w:r>
      <w:r w:rsidRPr="00E56BAA">
        <w:rPr>
          <w:sz w:val="22"/>
          <w:szCs w:val="22"/>
          <w:lang w:val="en-US"/>
        </w:rPr>
        <w:t>mg</w:t>
      </w:r>
      <w:r w:rsidRPr="00E56BAA">
        <w:rPr>
          <w:sz w:val="22"/>
          <w:szCs w:val="22"/>
        </w:rPr>
        <w:t>, πρέπει να δίδεται σε δύο διαιρεμένες δόσεις.</w:t>
      </w:r>
      <w:r w:rsidR="00BD5031" w:rsidRPr="00E56BAA">
        <w:rPr>
          <w:sz w:val="22"/>
          <w:szCs w:val="22"/>
        </w:rPr>
        <w:t xml:space="preserve"> </w:t>
      </w:r>
    </w:p>
    <w:p w:rsidR="001275F0" w:rsidRPr="00E56BAA" w:rsidRDefault="001275F0" w:rsidP="003261A2">
      <w:pPr>
        <w:ind w:left="-284" w:right="-483"/>
        <w:jc w:val="both"/>
        <w:rPr>
          <w:sz w:val="22"/>
          <w:szCs w:val="22"/>
        </w:rPr>
      </w:pPr>
    </w:p>
    <w:p w:rsidR="001275F0" w:rsidRPr="00E56BAA" w:rsidRDefault="00B511D6" w:rsidP="003261A2">
      <w:pPr>
        <w:ind w:left="-284" w:right="-483"/>
        <w:jc w:val="both"/>
        <w:rPr>
          <w:sz w:val="22"/>
          <w:szCs w:val="22"/>
        </w:rPr>
      </w:pPr>
      <w:r w:rsidRPr="00E56BAA">
        <w:rPr>
          <w:sz w:val="22"/>
          <w:szCs w:val="22"/>
          <w:u w:val="single"/>
        </w:rPr>
        <w:t>Διαταραχή της ηπατικής ή νεφρικής λειτουργίας</w:t>
      </w:r>
      <w:r w:rsidRPr="00E56BAA">
        <w:rPr>
          <w:sz w:val="22"/>
          <w:szCs w:val="22"/>
        </w:rPr>
        <w:t>:</w:t>
      </w:r>
      <w:r w:rsidR="00BD5031" w:rsidRPr="00E56BAA">
        <w:rPr>
          <w:sz w:val="22"/>
          <w:szCs w:val="22"/>
        </w:rPr>
        <w:t xml:space="preserve"> </w:t>
      </w:r>
    </w:p>
    <w:p w:rsidR="001275F0" w:rsidRPr="00E56BAA" w:rsidRDefault="00B511D6" w:rsidP="003261A2">
      <w:pPr>
        <w:ind w:left="-284" w:right="-483"/>
        <w:jc w:val="both"/>
        <w:rPr>
          <w:sz w:val="22"/>
          <w:szCs w:val="22"/>
        </w:rPr>
      </w:pPr>
      <w:r w:rsidRPr="00E56BAA">
        <w:rPr>
          <w:sz w:val="22"/>
          <w:szCs w:val="22"/>
        </w:rPr>
        <w:t>Δεν απαιτείται ρύθμιση της δόσης σε ασθενείς με διαταραχή της νεφρικής λειτουργίας.</w:t>
      </w:r>
      <w:r w:rsidR="00BD5031" w:rsidRPr="00E56BAA">
        <w:rPr>
          <w:sz w:val="22"/>
          <w:szCs w:val="22"/>
        </w:rPr>
        <w:t xml:space="preserve"> </w:t>
      </w:r>
    </w:p>
    <w:p w:rsidR="00FD5B0A" w:rsidRPr="00E56BAA" w:rsidRDefault="00B511D6" w:rsidP="003261A2">
      <w:pPr>
        <w:ind w:left="-284" w:right="-483"/>
        <w:jc w:val="both"/>
        <w:rPr>
          <w:sz w:val="22"/>
          <w:szCs w:val="22"/>
        </w:rPr>
      </w:pPr>
      <w:r w:rsidRPr="00E56BAA">
        <w:rPr>
          <w:sz w:val="22"/>
          <w:szCs w:val="22"/>
        </w:rPr>
        <w:lastRenderedPageBreak/>
        <w:t>Ασθενείς με μέτρια ή σοβαρή ηπατική νόσο πρέπει να παρακολουθούνται τακτικά και συνιστάται μείωση κατά 50% της ημερήσιας δόσης</w:t>
      </w:r>
      <w:r w:rsidR="001275F0" w:rsidRPr="00E56BAA">
        <w:rPr>
          <w:sz w:val="22"/>
          <w:szCs w:val="22"/>
        </w:rPr>
        <w:t xml:space="preserve"> (βλέπε παράγραφο 4.4 και 5.2)</w:t>
      </w:r>
      <w:r w:rsidRPr="00E56BAA">
        <w:rPr>
          <w:sz w:val="22"/>
          <w:szCs w:val="22"/>
        </w:rPr>
        <w:t>.</w:t>
      </w:r>
      <w:r w:rsidR="00BD5031" w:rsidRPr="00E56BAA">
        <w:rPr>
          <w:sz w:val="22"/>
          <w:szCs w:val="22"/>
        </w:rPr>
        <w:t xml:space="preserve"> </w:t>
      </w:r>
    </w:p>
    <w:p w:rsidR="001275F0" w:rsidRPr="00E56BAA" w:rsidRDefault="001275F0" w:rsidP="003261A2">
      <w:pPr>
        <w:ind w:left="-284" w:right="-483"/>
        <w:jc w:val="both"/>
        <w:rPr>
          <w:sz w:val="22"/>
          <w:szCs w:val="22"/>
        </w:rPr>
      </w:pPr>
    </w:p>
    <w:p w:rsidR="001275F0" w:rsidRPr="00E56BAA" w:rsidRDefault="00B511D6" w:rsidP="003261A2">
      <w:pPr>
        <w:ind w:left="-284" w:right="-483"/>
        <w:jc w:val="both"/>
        <w:rPr>
          <w:sz w:val="22"/>
          <w:szCs w:val="22"/>
        </w:rPr>
      </w:pPr>
      <w:r w:rsidRPr="00E56BAA">
        <w:rPr>
          <w:sz w:val="22"/>
          <w:szCs w:val="22"/>
          <w:u w:val="single"/>
        </w:rPr>
        <w:t>Ηλικιωμένοι</w:t>
      </w:r>
      <w:r w:rsidRPr="00E56BAA">
        <w:rPr>
          <w:sz w:val="22"/>
          <w:szCs w:val="22"/>
        </w:rPr>
        <w:t xml:space="preserve">: </w:t>
      </w:r>
    </w:p>
    <w:p w:rsidR="00FD5B0A" w:rsidRPr="00E56BAA" w:rsidRDefault="00B511D6" w:rsidP="003261A2">
      <w:pPr>
        <w:ind w:left="-284" w:right="-483"/>
        <w:jc w:val="both"/>
        <w:rPr>
          <w:sz w:val="22"/>
          <w:szCs w:val="22"/>
        </w:rPr>
      </w:pPr>
      <w:r w:rsidRPr="00E56BAA">
        <w:rPr>
          <w:sz w:val="22"/>
          <w:szCs w:val="22"/>
        </w:rPr>
        <w:t xml:space="preserve">Λόγω της μειωμένης κάθαρσης της λανσοπραζόλης στους ηλικιωμένους μπορεί να απαιτηθεί η ρύθμιση της δόσης με βάση τις ατομικές ανάγκες. Η ημερήσια δόση των 30 </w:t>
      </w:r>
      <w:r w:rsidRPr="00E56BAA">
        <w:rPr>
          <w:sz w:val="22"/>
          <w:szCs w:val="22"/>
          <w:lang w:val="en-US"/>
        </w:rPr>
        <w:t>mg</w:t>
      </w:r>
      <w:r w:rsidRPr="00E56BAA">
        <w:rPr>
          <w:sz w:val="22"/>
          <w:szCs w:val="22"/>
        </w:rPr>
        <w:t xml:space="preserve"> δεν πρέπει να υπερβαίνεται στους ηλικιωμένους εκτός εάν υπάρχουν κλινικές ενδείξεις που το επιβάλλουν. </w:t>
      </w:r>
    </w:p>
    <w:p w:rsidR="001275F0" w:rsidRPr="00E56BAA" w:rsidRDefault="001275F0" w:rsidP="003261A2">
      <w:pPr>
        <w:ind w:left="-284" w:right="-483"/>
        <w:jc w:val="both"/>
        <w:rPr>
          <w:sz w:val="22"/>
          <w:szCs w:val="22"/>
        </w:rPr>
      </w:pPr>
    </w:p>
    <w:p w:rsidR="001275F0" w:rsidRPr="00E56BAA" w:rsidRDefault="00B511D6" w:rsidP="003261A2">
      <w:pPr>
        <w:ind w:left="-284" w:right="-483"/>
        <w:jc w:val="both"/>
        <w:rPr>
          <w:sz w:val="22"/>
          <w:szCs w:val="22"/>
        </w:rPr>
      </w:pPr>
      <w:r w:rsidRPr="00E56BAA">
        <w:rPr>
          <w:sz w:val="22"/>
          <w:szCs w:val="22"/>
          <w:u w:val="single"/>
        </w:rPr>
        <w:t>Παιδιά</w:t>
      </w:r>
      <w:r w:rsidRPr="00E56BAA">
        <w:rPr>
          <w:sz w:val="22"/>
          <w:szCs w:val="22"/>
        </w:rPr>
        <w:t xml:space="preserve">: </w:t>
      </w:r>
    </w:p>
    <w:p w:rsidR="00FD5B0A" w:rsidRPr="00E56BAA" w:rsidRDefault="00B511D6" w:rsidP="003261A2">
      <w:pPr>
        <w:ind w:left="-284" w:right="-483"/>
        <w:jc w:val="both"/>
        <w:rPr>
          <w:sz w:val="22"/>
          <w:szCs w:val="22"/>
        </w:rPr>
      </w:pPr>
      <w:r w:rsidRPr="00E56BAA">
        <w:rPr>
          <w:sz w:val="22"/>
          <w:szCs w:val="22"/>
        </w:rPr>
        <w:t xml:space="preserve">Η χρήση του </w:t>
      </w:r>
      <w:proofErr w:type="spellStart"/>
      <w:r w:rsidRPr="00E56BAA">
        <w:rPr>
          <w:sz w:val="22"/>
          <w:szCs w:val="22"/>
          <w:lang w:val="en-US"/>
        </w:rPr>
        <w:t>L</w:t>
      </w:r>
      <w:r w:rsidR="00335DFD" w:rsidRPr="00E56BAA">
        <w:rPr>
          <w:sz w:val="22"/>
          <w:szCs w:val="22"/>
          <w:lang w:val="en-US"/>
        </w:rPr>
        <w:t>anzol</w:t>
      </w:r>
      <w:proofErr w:type="spellEnd"/>
      <w:r w:rsidRPr="00E56BAA">
        <w:rPr>
          <w:sz w:val="22"/>
          <w:szCs w:val="22"/>
        </w:rPr>
        <w:t xml:space="preserve"> δεν συνιστάται σε παιδιά επειδή τα κλινι</w:t>
      </w:r>
      <w:r w:rsidR="0014270C" w:rsidRPr="00E56BAA">
        <w:rPr>
          <w:sz w:val="22"/>
          <w:szCs w:val="22"/>
        </w:rPr>
        <w:t>κά δεδομένα είναι περιορισμένα</w:t>
      </w:r>
      <w:r w:rsidR="001275F0" w:rsidRPr="00E56BAA">
        <w:rPr>
          <w:sz w:val="22"/>
          <w:szCs w:val="22"/>
        </w:rPr>
        <w:t xml:space="preserve"> (βλέπε επίσης παράγραφο 5.2)</w:t>
      </w:r>
      <w:r w:rsidR="0014270C" w:rsidRPr="00E56BAA">
        <w:rPr>
          <w:sz w:val="22"/>
          <w:szCs w:val="22"/>
        </w:rPr>
        <w:t>.</w:t>
      </w:r>
      <w:r w:rsidR="001275F0" w:rsidRPr="00E56BAA">
        <w:rPr>
          <w:sz w:val="22"/>
          <w:szCs w:val="22"/>
        </w:rPr>
        <w:t xml:space="preserve"> Η θεραπεία μικρών παιδιών ηλικίας κάτω του ενός έτους πρέπει να αποφεύγεται καθώς τα διαθέσιμα δεδομένα δεν έδειξαν ευεργετικά αποτελέσματα στη θεραπεία της γαστρο-οισοφαγικής παλινδρομικής νόσου.</w:t>
      </w:r>
    </w:p>
    <w:p w:rsidR="004D4FD5" w:rsidRPr="00E56BAA" w:rsidRDefault="00B239A6" w:rsidP="003261A2">
      <w:pPr>
        <w:ind w:left="-284" w:right="-483"/>
        <w:jc w:val="both"/>
        <w:rPr>
          <w:sz w:val="22"/>
          <w:szCs w:val="22"/>
        </w:rPr>
      </w:pPr>
      <w:r w:rsidRPr="00E56BAA">
        <w:rPr>
          <w:sz w:val="22"/>
          <w:szCs w:val="22"/>
        </w:rPr>
        <w:t xml:space="preserve"> </w:t>
      </w:r>
    </w:p>
    <w:p w:rsidR="00FD5B0A" w:rsidRPr="00E56BAA" w:rsidRDefault="00FD5B0A" w:rsidP="003261A2">
      <w:pPr>
        <w:numPr>
          <w:ilvl w:val="0"/>
          <w:numId w:val="3"/>
        </w:numPr>
        <w:ind w:left="-284" w:right="-483"/>
        <w:jc w:val="both"/>
        <w:rPr>
          <w:sz w:val="22"/>
          <w:szCs w:val="22"/>
        </w:rPr>
      </w:pPr>
      <w:r w:rsidRPr="00E56BAA">
        <w:rPr>
          <w:b/>
          <w:sz w:val="22"/>
          <w:szCs w:val="22"/>
        </w:rPr>
        <w:t xml:space="preserve"> </w:t>
      </w:r>
      <w:r w:rsidR="00B239A6" w:rsidRPr="00E56BAA">
        <w:rPr>
          <w:b/>
          <w:sz w:val="22"/>
          <w:szCs w:val="22"/>
        </w:rPr>
        <w:t>Αντενδείξεις</w:t>
      </w:r>
    </w:p>
    <w:p w:rsidR="001275F0" w:rsidRPr="00E56BAA" w:rsidRDefault="00B239A6" w:rsidP="003261A2">
      <w:pPr>
        <w:ind w:left="-284" w:right="-483"/>
        <w:jc w:val="both"/>
        <w:rPr>
          <w:sz w:val="22"/>
          <w:szCs w:val="22"/>
        </w:rPr>
      </w:pPr>
      <w:r w:rsidRPr="00E56BAA">
        <w:rPr>
          <w:sz w:val="22"/>
          <w:szCs w:val="22"/>
        </w:rPr>
        <w:t>Υπερευαισθησία</w:t>
      </w:r>
      <w:r w:rsidR="0014270C" w:rsidRPr="00E56BAA">
        <w:rPr>
          <w:sz w:val="22"/>
          <w:szCs w:val="22"/>
        </w:rPr>
        <w:t xml:space="preserve"> στη δραστική ουσία ή σε κάποιο από τα έκδοχα. </w:t>
      </w:r>
    </w:p>
    <w:p w:rsidR="004D4FD5" w:rsidRPr="00E56BAA" w:rsidRDefault="0014270C" w:rsidP="003261A2">
      <w:pPr>
        <w:ind w:left="-284" w:right="-483"/>
        <w:jc w:val="both"/>
        <w:rPr>
          <w:sz w:val="22"/>
          <w:szCs w:val="22"/>
        </w:rPr>
      </w:pPr>
      <w:r w:rsidRPr="00E56BAA">
        <w:rPr>
          <w:sz w:val="22"/>
          <w:szCs w:val="22"/>
        </w:rPr>
        <w:t>Η λανσοπραζόλη δεν πρέπει να χορηγείται με αταζαναβίρη</w:t>
      </w:r>
      <w:r w:rsidR="001275F0" w:rsidRPr="00E56BAA">
        <w:rPr>
          <w:sz w:val="22"/>
          <w:szCs w:val="22"/>
        </w:rPr>
        <w:t xml:space="preserve"> (βλέπε παράγραφο 4.5)</w:t>
      </w:r>
      <w:r w:rsidRPr="00E56BAA">
        <w:rPr>
          <w:sz w:val="22"/>
          <w:szCs w:val="22"/>
        </w:rPr>
        <w:t>.</w:t>
      </w:r>
    </w:p>
    <w:p w:rsidR="00FD5B0A" w:rsidRPr="00E56BAA" w:rsidRDefault="00FD5B0A" w:rsidP="003261A2">
      <w:pPr>
        <w:ind w:left="-284" w:right="-483"/>
        <w:jc w:val="both"/>
        <w:rPr>
          <w:sz w:val="22"/>
          <w:szCs w:val="22"/>
        </w:rPr>
      </w:pPr>
    </w:p>
    <w:p w:rsidR="00FD5B0A" w:rsidRPr="00E56BAA" w:rsidRDefault="00B12C1E" w:rsidP="003261A2">
      <w:pPr>
        <w:numPr>
          <w:ilvl w:val="0"/>
          <w:numId w:val="3"/>
        </w:numPr>
        <w:ind w:left="-284" w:right="-483"/>
        <w:jc w:val="both"/>
        <w:rPr>
          <w:sz w:val="22"/>
          <w:szCs w:val="22"/>
        </w:rPr>
      </w:pPr>
      <w:r w:rsidRPr="00E56BAA">
        <w:rPr>
          <w:sz w:val="22"/>
          <w:szCs w:val="22"/>
        </w:rPr>
        <w:t xml:space="preserve"> </w:t>
      </w:r>
      <w:r w:rsidR="00B239A6" w:rsidRPr="00E56BAA">
        <w:rPr>
          <w:b/>
          <w:sz w:val="22"/>
          <w:szCs w:val="22"/>
        </w:rPr>
        <w:t>Ειδικές προειδοποιήσεις και προφυλάξεις κατά την χρήση</w:t>
      </w:r>
    </w:p>
    <w:p w:rsidR="001275F0" w:rsidRPr="00E56BAA" w:rsidRDefault="00B17F18" w:rsidP="003261A2">
      <w:pPr>
        <w:ind w:left="-284" w:right="-483"/>
        <w:jc w:val="both"/>
        <w:rPr>
          <w:sz w:val="22"/>
          <w:szCs w:val="22"/>
        </w:rPr>
      </w:pPr>
      <w:r w:rsidRPr="00E56BAA">
        <w:rPr>
          <w:sz w:val="22"/>
          <w:szCs w:val="22"/>
        </w:rPr>
        <w:t>Όπως με άλλες θεραπείες κατά του έλκους, η πιθανότητα κακοήθους γαστρικού όγκου πρέπει να αποκλείεται όταν γίνεται θεραπεία γαστρικού έλκους με λανσοπραζόλη επειδή η λανσοπραζόλη μπορεί να καλύψει τα συμπτώματα και να καθυστερήσει τη διάγνωση.</w:t>
      </w:r>
      <w:r w:rsidR="00B239A6" w:rsidRPr="00E56BAA">
        <w:rPr>
          <w:sz w:val="22"/>
          <w:szCs w:val="22"/>
        </w:rPr>
        <w:t xml:space="preserve"> </w:t>
      </w:r>
    </w:p>
    <w:p w:rsidR="001275F0" w:rsidRPr="00E56BAA" w:rsidRDefault="001275F0" w:rsidP="003261A2">
      <w:pPr>
        <w:ind w:left="-284" w:right="-483"/>
        <w:jc w:val="both"/>
        <w:rPr>
          <w:sz w:val="22"/>
          <w:szCs w:val="22"/>
        </w:rPr>
      </w:pPr>
    </w:p>
    <w:p w:rsidR="001275F0" w:rsidRPr="00E56BAA" w:rsidRDefault="00B17F18" w:rsidP="003261A2">
      <w:pPr>
        <w:ind w:left="-284" w:right="-483"/>
        <w:jc w:val="both"/>
        <w:rPr>
          <w:sz w:val="22"/>
          <w:szCs w:val="22"/>
        </w:rPr>
      </w:pPr>
      <w:r w:rsidRPr="00E56BAA">
        <w:rPr>
          <w:sz w:val="22"/>
          <w:szCs w:val="22"/>
        </w:rPr>
        <w:t>Η λανσο</w:t>
      </w:r>
      <w:r w:rsidR="00946F5F" w:rsidRPr="00E56BAA">
        <w:rPr>
          <w:sz w:val="22"/>
          <w:szCs w:val="22"/>
        </w:rPr>
        <w:t>πραζόλη πρέπει να χρησιμοποείται</w:t>
      </w:r>
      <w:r w:rsidRPr="00E56BAA">
        <w:rPr>
          <w:sz w:val="22"/>
          <w:szCs w:val="22"/>
        </w:rPr>
        <w:t xml:space="preserve"> με προσοχή σε ασθενείς με μέτρια έως και σοβαρή ηπατική δυσλειτουργία</w:t>
      </w:r>
      <w:r w:rsidR="00946F5F" w:rsidRPr="00E56BAA">
        <w:rPr>
          <w:sz w:val="22"/>
          <w:szCs w:val="22"/>
        </w:rPr>
        <w:t xml:space="preserve"> (βλέπε παραγράφους</w:t>
      </w:r>
      <w:r w:rsidR="001275F0" w:rsidRPr="00E56BAA">
        <w:rPr>
          <w:sz w:val="22"/>
          <w:szCs w:val="22"/>
        </w:rPr>
        <w:t xml:space="preserve"> 4.4 και 5.2)</w:t>
      </w:r>
      <w:r w:rsidRPr="00E56BAA">
        <w:rPr>
          <w:sz w:val="22"/>
          <w:szCs w:val="22"/>
        </w:rPr>
        <w:t>.</w:t>
      </w:r>
      <w:r w:rsidR="00B239A6" w:rsidRPr="00E56BAA">
        <w:rPr>
          <w:sz w:val="22"/>
          <w:szCs w:val="22"/>
        </w:rPr>
        <w:t xml:space="preserve"> </w:t>
      </w:r>
    </w:p>
    <w:p w:rsidR="001275F0" w:rsidRPr="00E56BAA" w:rsidRDefault="001275F0" w:rsidP="003261A2">
      <w:pPr>
        <w:ind w:left="-284" w:right="-483"/>
        <w:jc w:val="both"/>
        <w:rPr>
          <w:sz w:val="22"/>
          <w:szCs w:val="22"/>
        </w:rPr>
      </w:pPr>
    </w:p>
    <w:p w:rsidR="00E95DE7" w:rsidRPr="00E56BAA" w:rsidRDefault="00B17F18" w:rsidP="003261A2">
      <w:pPr>
        <w:ind w:left="-284" w:right="-483"/>
        <w:jc w:val="both"/>
        <w:rPr>
          <w:sz w:val="22"/>
          <w:szCs w:val="22"/>
        </w:rPr>
      </w:pPr>
      <w:r w:rsidRPr="00E56BAA">
        <w:rPr>
          <w:sz w:val="22"/>
          <w:szCs w:val="22"/>
        </w:rPr>
        <w:t>Η μειωμένη γαστρική οξύτητα εξαιτίας της λανσοπραζόλης αναμένεται να προκαλέσει αύξηση των γαστρικών συγκεντρώσεων των μικροβίων που ανευρίσκονται φυσιολογικά στο γαστρεντερικό σωλήνα. Η θεραπεία με λανσοπραζόλη μπορεί να οδηγήσει σε μια ελαφρά αύξ</w:t>
      </w:r>
      <w:r w:rsidR="00B239A6" w:rsidRPr="00E56BAA">
        <w:rPr>
          <w:sz w:val="22"/>
          <w:szCs w:val="22"/>
        </w:rPr>
        <w:t>η</w:t>
      </w:r>
      <w:r w:rsidRPr="00E56BAA">
        <w:rPr>
          <w:sz w:val="22"/>
          <w:szCs w:val="22"/>
        </w:rPr>
        <w:t xml:space="preserve">ση του κινδύνου λοιμώξεων του γαστρεντερικού όπως από </w:t>
      </w:r>
      <w:r w:rsidRPr="00E56BAA">
        <w:rPr>
          <w:i/>
          <w:sz w:val="22"/>
          <w:szCs w:val="22"/>
          <w:lang w:val="en-US"/>
        </w:rPr>
        <w:t>Salmonella</w:t>
      </w:r>
      <w:r w:rsidRPr="00E56BAA">
        <w:rPr>
          <w:sz w:val="22"/>
          <w:szCs w:val="22"/>
        </w:rPr>
        <w:t xml:space="preserve"> και </w:t>
      </w:r>
      <w:r w:rsidRPr="00E56BAA">
        <w:rPr>
          <w:i/>
          <w:sz w:val="22"/>
          <w:szCs w:val="22"/>
          <w:lang w:val="en-US"/>
        </w:rPr>
        <w:t>Campylobacter</w:t>
      </w:r>
      <w:r w:rsidRPr="00E56BAA">
        <w:rPr>
          <w:sz w:val="22"/>
          <w:szCs w:val="22"/>
        </w:rPr>
        <w:t xml:space="preserve">. </w:t>
      </w:r>
    </w:p>
    <w:p w:rsidR="00E95DE7" w:rsidRPr="00E56BAA" w:rsidRDefault="00E95DE7" w:rsidP="003261A2">
      <w:pPr>
        <w:ind w:left="-284" w:right="-483"/>
        <w:jc w:val="both"/>
        <w:rPr>
          <w:sz w:val="22"/>
          <w:szCs w:val="22"/>
        </w:rPr>
      </w:pPr>
    </w:p>
    <w:p w:rsidR="00E95DE7" w:rsidRPr="00E56BAA" w:rsidRDefault="00B17F18" w:rsidP="003261A2">
      <w:pPr>
        <w:ind w:left="-284" w:right="-483"/>
        <w:jc w:val="both"/>
        <w:rPr>
          <w:sz w:val="22"/>
          <w:szCs w:val="22"/>
        </w:rPr>
      </w:pPr>
      <w:r w:rsidRPr="00E56BAA">
        <w:rPr>
          <w:sz w:val="22"/>
          <w:szCs w:val="22"/>
        </w:rPr>
        <w:t xml:space="preserve">Σε ασθενείς με γαστρο-δωδεκαδακτυλικά έλκη, πρέπει να εξετάζεται η πιθανότητα </w:t>
      </w:r>
      <w:r w:rsidR="00E95DE7" w:rsidRPr="00E56BAA">
        <w:rPr>
          <w:sz w:val="22"/>
          <w:szCs w:val="22"/>
        </w:rPr>
        <w:t>λοίμωξης από</w:t>
      </w:r>
      <w:r w:rsidRPr="00E56BAA">
        <w:rPr>
          <w:sz w:val="22"/>
          <w:szCs w:val="22"/>
        </w:rPr>
        <w:t xml:space="preserve"> </w:t>
      </w:r>
      <w:r w:rsidRPr="00E56BAA">
        <w:rPr>
          <w:i/>
          <w:sz w:val="22"/>
          <w:szCs w:val="22"/>
          <w:lang w:val="en-US"/>
        </w:rPr>
        <w:t>H</w:t>
      </w:r>
      <w:r w:rsidRPr="00E56BAA">
        <w:rPr>
          <w:i/>
          <w:sz w:val="22"/>
          <w:szCs w:val="22"/>
        </w:rPr>
        <w:t xml:space="preserve">. </w:t>
      </w:r>
      <w:proofErr w:type="gramStart"/>
      <w:r w:rsidR="00946F5F" w:rsidRPr="00E56BAA">
        <w:rPr>
          <w:i/>
          <w:sz w:val="22"/>
          <w:szCs w:val="22"/>
          <w:lang w:val="en-US"/>
        </w:rPr>
        <w:t>p</w:t>
      </w:r>
      <w:r w:rsidRPr="00E56BAA">
        <w:rPr>
          <w:i/>
          <w:sz w:val="22"/>
          <w:szCs w:val="22"/>
          <w:lang w:val="en-US"/>
        </w:rPr>
        <w:t>ylori</w:t>
      </w:r>
      <w:proofErr w:type="gramEnd"/>
      <w:r w:rsidR="00B239A6" w:rsidRPr="00E56BAA">
        <w:rPr>
          <w:sz w:val="22"/>
          <w:szCs w:val="22"/>
        </w:rPr>
        <w:t xml:space="preserve"> ως </w:t>
      </w:r>
      <w:r w:rsidR="00E95DE7" w:rsidRPr="00E56BAA">
        <w:rPr>
          <w:sz w:val="22"/>
          <w:szCs w:val="22"/>
        </w:rPr>
        <w:t>αιτιολογικός</w:t>
      </w:r>
      <w:r w:rsidR="00B239A6" w:rsidRPr="00E56BAA">
        <w:rPr>
          <w:sz w:val="22"/>
          <w:szCs w:val="22"/>
        </w:rPr>
        <w:t xml:space="preserve"> παράγοντα</w:t>
      </w:r>
      <w:r w:rsidR="00E95DE7" w:rsidRPr="00E56BAA">
        <w:rPr>
          <w:sz w:val="22"/>
          <w:szCs w:val="22"/>
        </w:rPr>
        <w:t>ς</w:t>
      </w:r>
      <w:r w:rsidRPr="00E56BAA">
        <w:rPr>
          <w:sz w:val="22"/>
          <w:szCs w:val="22"/>
        </w:rPr>
        <w:t xml:space="preserve">. </w:t>
      </w:r>
    </w:p>
    <w:p w:rsidR="00E95DE7" w:rsidRPr="00E56BAA" w:rsidRDefault="00E95DE7" w:rsidP="003261A2">
      <w:pPr>
        <w:ind w:left="-284" w:right="-483"/>
        <w:jc w:val="both"/>
        <w:rPr>
          <w:sz w:val="22"/>
          <w:szCs w:val="22"/>
        </w:rPr>
      </w:pPr>
    </w:p>
    <w:p w:rsidR="00E95DE7" w:rsidRPr="00E56BAA" w:rsidRDefault="00B17F18" w:rsidP="003261A2">
      <w:pPr>
        <w:ind w:left="-284" w:right="-483"/>
        <w:jc w:val="both"/>
        <w:rPr>
          <w:sz w:val="22"/>
          <w:szCs w:val="22"/>
        </w:rPr>
      </w:pPr>
      <w:r w:rsidRPr="00E56BAA">
        <w:rPr>
          <w:sz w:val="22"/>
          <w:szCs w:val="22"/>
        </w:rPr>
        <w:t xml:space="preserve">Εάν η λανσοπραζόλη χρησιμοποιείται σε συνδυασμό με αντιβιοτικά για τη θεραπεία εκρίζωσης του </w:t>
      </w:r>
      <w:r w:rsidRPr="00E56BAA">
        <w:rPr>
          <w:i/>
          <w:sz w:val="22"/>
          <w:szCs w:val="22"/>
          <w:lang w:val="en-US"/>
        </w:rPr>
        <w:t>H</w:t>
      </w:r>
      <w:r w:rsidRPr="00E56BAA">
        <w:rPr>
          <w:i/>
          <w:sz w:val="22"/>
          <w:szCs w:val="22"/>
        </w:rPr>
        <w:t xml:space="preserve">. </w:t>
      </w:r>
      <w:proofErr w:type="gramStart"/>
      <w:r w:rsidRPr="00E56BAA">
        <w:rPr>
          <w:i/>
          <w:sz w:val="22"/>
          <w:szCs w:val="22"/>
          <w:lang w:val="en-US"/>
        </w:rPr>
        <w:t>pylori</w:t>
      </w:r>
      <w:proofErr w:type="gramEnd"/>
      <w:r w:rsidRPr="00E56BAA">
        <w:rPr>
          <w:sz w:val="22"/>
          <w:szCs w:val="22"/>
        </w:rPr>
        <w:t xml:space="preserve">, τότε </w:t>
      </w:r>
      <w:r w:rsidR="00E95DE7" w:rsidRPr="00E56BAA">
        <w:rPr>
          <w:sz w:val="22"/>
          <w:szCs w:val="22"/>
        </w:rPr>
        <w:t>πρέπει</w:t>
      </w:r>
      <w:r w:rsidRPr="00E56BAA">
        <w:rPr>
          <w:sz w:val="22"/>
          <w:szCs w:val="22"/>
        </w:rPr>
        <w:t xml:space="preserve"> να ακολουθούνται οι οδηγίες χρήσης αυτών των αντιβιοτικών.</w:t>
      </w:r>
      <w:r w:rsidR="00B239A6" w:rsidRPr="00E56BAA">
        <w:rPr>
          <w:sz w:val="22"/>
          <w:szCs w:val="22"/>
        </w:rPr>
        <w:t xml:space="preserve"> </w:t>
      </w:r>
    </w:p>
    <w:p w:rsidR="00E95DE7" w:rsidRPr="00E56BAA" w:rsidRDefault="00E95DE7" w:rsidP="003261A2">
      <w:pPr>
        <w:ind w:left="-284" w:right="-483"/>
        <w:jc w:val="both"/>
        <w:rPr>
          <w:sz w:val="22"/>
          <w:szCs w:val="22"/>
        </w:rPr>
      </w:pPr>
    </w:p>
    <w:p w:rsidR="00E95DE7" w:rsidRPr="00E56BAA" w:rsidRDefault="00B17F18" w:rsidP="003261A2">
      <w:pPr>
        <w:ind w:left="-284" w:right="-483"/>
        <w:jc w:val="both"/>
        <w:rPr>
          <w:sz w:val="22"/>
          <w:szCs w:val="22"/>
        </w:rPr>
      </w:pPr>
      <w:r w:rsidRPr="00E56BAA">
        <w:rPr>
          <w:sz w:val="22"/>
          <w:szCs w:val="22"/>
        </w:rPr>
        <w:t xml:space="preserve">Λόγω των περιορισμένων στοιχείων ασφαλείας σε ασθενείς σε θεραπεία συντήρησης για διάστημα μεγαλύτερο του 1 έτους, πρέπει να πραγματοποιείται τακτική επανεξέταση της θεραπείας και προσεκτική </w:t>
      </w:r>
      <w:r w:rsidR="00B239A6" w:rsidRPr="00E56BAA">
        <w:rPr>
          <w:sz w:val="22"/>
          <w:szCs w:val="22"/>
        </w:rPr>
        <w:t>αξιολόγηση</w:t>
      </w:r>
      <w:r w:rsidRPr="00E56BAA">
        <w:rPr>
          <w:sz w:val="22"/>
          <w:szCs w:val="22"/>
        </w:rPr>
        <w:t xml:space="preserve"> του κινδύνου/οφέλους σε αυτούς τους ασθενείς. </w:t>
      </w:r>
    </w:p>
    <w:p w:rsidR="00E95DE7" w:rsidRPr="00E56BAA" w:rsidRDefault="00E95DE7" w:rsidP="003261A2">
      <w:pPr>
        <w:ind w:left="-284" w:right="-483"/>
        <w:jc w:val="both"/>
        <w:rPr>
          <w:sz w:val="22"/>
          <w:szCs w:val="22"/>
        </w:rPr>
      </w:pPr>
    </w:p>
    <w:p w:rsidR="00E95DE7" w:rsidRPr="00E56BAA" w:rsidRDefault="00B17F18" w:rsidP="003261A2">
      <w:pPr>
        <w:ind w:left="-284" w:right="-483"/>
        <w:jc w:val="both"/>
        <w:rPr>
          <w:sz w:val="22"/>
          <w:szCs w:val="22"/>
        </w:rPr>
      </w:pPr>
      <w:r w:rsidRPr="00E56BAA">
        <w:rPr>
          <w:sz w:val="22"/>
          <w:szCs w:val="22"/>
        </w:rPr>
        <w:t>Πολύ σπάνιες περιπτώσεις κολίτιδας έχουν αναφερθεί σε ασθενείς που λαμβάνουν λανσοπραζόλη. Επομένως, στην περίπτωση βαριάς και/ή επίμονης διάρροιας, πρέπει να εξετάζεται η διακοπή της θεραπείας.</w:t>
      </w:r>
      <w:r w:rsidR="00B239A6" w:rsidRPr="00E56BAA">
        <w:rPr>
          <w:sz w:val="22"/>
          <w:szCs w:val="22"/>
        </w:rPr>
        <w:t xml:space="preserve"> </w:t>
      </w:r>
    </w:p>
    <w:p w:rsidR="00E95DE7" w:rsidRPr="00E56BAA" w:rsidRDefault="00E95DE7" w:rsidP="003261A2">
      <w:pPr>
        <w:ind w:left="-284" w:right="-483"/>
        <w:jc w:val="both"/>
        <w:rPr>
          <w:sz w:val="22"/>
          <w:szCs w:val="22"/>
        </w:rPr>
      </w:pPr>
    </w:p>
    <w:p w:rsidR="00E95DE7" w:rsidRPr="00E56BAA" w:rsidRDefault="00B17F18" w:rsidP="003261A2">
      <w:pPr>
        <w:ind w:left="-284" w:right="-483"/>
        <w:jc w:val="both"/>
        <w:rPr>
          <w:sz w:val="22"/>
          <w:szCs w:val="22"/>
        </w:rPr>
      </w:pPr>
      <w:r w:rsidRPr="00E56BAA">
        <w:rPr>
          <w:sz w:val="22"/>
          <w:szCs w:val="22"/>
        </w:rPr>
        <w:t xml:space="preserve">Η αγωγή για την πρόληψη του πεπτικού έλκους σε ασθενείς που απαιτούν συνεχή αγωγή με ΜΣΑΦ πρέπει να περιορίζεται στους ασθενείς υψηλού κινδύνου (π.χ. προηγούμενη αιμορραγία του γαστρεντερικού, διάτρηση ή έλκος, προχωρημένη ηλικία, ταυτόχρονη χρήση φαρμάκων που είναι γνωστό ότι αυξάνουν την πιθανότητα ανεπιθύμητων ενεργειών από το ανώτερο γαστρεντερικό </w:t>
      </w:r>
      <w:r w:rsidR="00E95DE7" w:rsidRPr="00E56BAA">
        <w:rPr>
          <w:sz w:val="22"/>
          <w:szCs w:val="22"/>
        </w:rPr>
        <w:t>[</w:t>
      </w:r>
      <w:r w:rsidRPr="00E56BAA">
        <w:rPr>
          <w:sz w:val="22"/>
          <w:szCs w:val="22"/>
        </w:rPr>
        <w:t>π.χ. κορτικοστεροειδή ή αντιπηκτικά</w:t>
      </w:r>
      <w:r w:rsidR="00E95DE7" w:rsidRPr="00E56BAA">
        <w:rPr>
          <w:sz w:val="22"/>
          <w:szCs w:val="22"/>
        </w:rPr>
        <w:t>]</w:t>
      </w:r>
      <w:r w:rsidRPr="00E56BAA">
        <w:rPr>
          <w:sz w:val="22"/>
          <w:szCs w:val="22"/>
        </w:rPr>
        <w:t>, την παρουσία ενός σημαντικού παράγοντα συν-νοσηρότητας ή παρατεταμένη χρήση ΜΣΑΦ στις μέγιστες συνιστώμενες δόσεις).</w:t>
      </w:r>
      <w:r w:rsidR="00B239A6" w:rsidRPr="00E56BAA">
        <w:rPr>
          <w:sz w:val="22"/>
          <w:szCs w:val="22"/>
        </w:rPr>
        <w:t xml:space="preserve"> </w:t>
      </w:r>
    </w:p>
    <w:p w:rsidR="00E95DE7" w:rsidRPr="00E56BAA" w:rsidRDefault="00E95DE7" w:rsidP="003261A2">
      <w:pPr>
        <w:ind w:left="-284" w:right="-483"/>
        <w:jc w:val="both"/>
        <w:rPr>
          <w:sz w:val="22"/>
          <w:szCs w:val="22"/>
        </w:rPr>
      </w:pPr>
    </w:p>
    <w:p w:rsidR="004D4FD5" w:rsidRPr="00E56BAA" w:rsidRDefault="00B17F18" w:rsidP="003261A2">
      <w:pPr>
        <w:ind w:left="-284" w:right="-483"/>
        <w:jc w:val="both"/>
        <w:rPr>
          <w:i/>
          <w:sz w:val="22"/>
          <w:szCs w:val="22"/>
        </w:rPr>
      </w:pPr>
      <w:r w:rsidRPr="00E56BAA">
        <w:rPr>
          <w:sz w:val="22"/>
          <w:szCs w:val="22"/>
        </w:rPr>
        <w:t xml:space="preserve">Επειδή το </w:t>
      </w:r>
      <w:proofErr w:type="spellStart"/>
      <w:r w:rsidRPr="00E56BAA">
        <w:rPr>
          <w:sz w:val="22"/>
          <w:szCs w:val="22"/>
          <w:lang w:val="en-US"/>
        </w:rPr>
        <w:t>L</w:t>
      </w:r>
      <w:r w:rsidR="00946F5F" w:rsidRPr="00E56BAA">
        <w:rPr>
          <w:sz w:val="22"/>
          <w:szCs w:val="22"/>
          <w:lang w:val="en-US"/>
        </w:rPr>
        <w:t>anzol</w:t>
      </w:r>
      <w:proofErr w:type="spellEnd"/>
      <w:r w:rsidRPr="00E56BAA">
        <w:rPr>
          <w:sz w:val="22"/>
          <w:szCs w:val="22"/>
        </w:rPr>
        <w:t xml:space="preserve"> περιέχει σακχαρόζη, ασθενείς με σπάνια κληρονομικά προβλήματα δυσανεξίας στη φρουκτόζη, δυσαπορρόφησης γλυκόζης-γαλακτόζης ή ανεπάρκειας σουκράσης-ισομαλτάσης δεν πρέπει να παίρνουν αυτό το φάρμακο.</w:t>
      </w:r>
      <w:r w:rsidR="00614E9F" w:rsidRPr="00E56BAA">
        <w:rPr>
          <w:i/>
          <w:sz w:val="22"/>
          <w:szCs w:val="22"/>
        </w:rPr>
        <w:t xml:space="preserve"> </w:t>
      </w:r>
    </w:p>
    <w:p w:rsidR="00FD5B0A" w:rsidRPr="00E56BAA" w:rsidRDefault="00FD5B0A" w:rsidP="003261A2">
      <w:pPr>
        <w:ind w:left="-284" w:right="-483"/>
        <w:jc w:val="both"/>
        <w:rPr>
          <w:sz w:val="22"/>
          <w:szCs w:val="22"/>
        </w:rPr>
      </w:pPr>
    </w:p>
    <w:p w:rsidR="00FD5B0A" w:rsidRPr="00E56BAA" w:rsidRDefault="00FD5B0A" w:rsidP="003261A2">
      <w:pPr>
        <w:numPr>
          <w:ilvl w:val="0"/>
          <w:numId w:val="3"/>
        </w:numPr>
        <w:ind w:left="-284" w:right="-483"/>
        <w:jc w:val="both"/>
        <w:rPr>
          <w:sz w:val="22"/>
          <w:szCs w:val="22"/>
        </w:rPr>
      </w:pPr>
      <w:r w:rsidRPr="00E56BAA">
        <w:rPr>
          <w:b/>
          <w:sz w:val="22"/>
          <w:szCs w:val="22"/>
        </w:rPr>
        <w:lastRenderedPageBreak/>
        <w:t xml:space="preserve"> </w:t>
      </w:r>
      <w:r w:rsidR="00B239A6" w:rsidRPr="00E56BAA">
        <w:rPr>
          <w:b/>
          <w:sz w:val="22"/>
          <w:szCs w:val="22"/>
        </w:rPr>
        <w:t>Αλληλεπιδράσεις με άλλα φάρμακα και άλλες μορφές αλληλεπίδρασης</w:t>
      </w:r>
    </w:p>
    <w:p w:rsidR="00E95DE7" w:rsidRPr="00E56BAA" w:rsidRDefault="00E95DE7" w:rsidP="003261A2">
      <w:pPr>
        <w:ind w:left="-284" w:right="-483"/>
        <w:jc w:val="both"/>
        <w:rPr>
          <w:b/>
          <w:sz w:val="22"/>
          <w:szCs w:val="22"/>
          <w:u w:val="single"/>
        </w:rPr>
      </w:pPr>
    </w:p>
    <w:p w:rsidR="00FD5B0A" w:rsidRPr="00E56BAA" w:rsidRDefault="00614E9F" w:rsidP="003261A2">
      <w:pPr>
        <w:ind w:left="-284" w:right="-483"/>
        <w:jc w:val="both"/>
        <w:rPr>
          <w:b/>
          <w:sz w:val="22"/>
          <w:szCs w:val="22"/>
          <w:u w:val="single"/>
        </w:rPr>
      </w:pPr>
      <w:r w:rsidRPr="00E56BAA">
        <w:rPr>
          <w:b/>
          <w:sz w:val="22"/>
          <w:szCs w:val="22"/>
          <w:u w:val="single"/>
        </w:rPr>
        <w:t>Επιδράσεις της λανσοπραζόλης σε άλλα φάρμακα</w:t>
      </w:r>
    </w:p>
    <w:p w:rsidR="00FD5B0A" w:rsidRPr="00E56BAA" w:rsidRDefault="00FD5B0A" w:rsidP="003261A2">
      <w:pPr>
        <w:ind w:left="-284" w:right="-483"/>
        <w:jc w:val="both"/>
        <w:rPr>
          <w:sz w:val="22"/>
          <w:szCs w:val="22"/>
          <w:u w:val="single"/>
        </w:rPr>
      </w:pPr>
    </w:p>
    <w:p w:rsidR="00FD5B0A" w:rsidRPr="00E56BAA" w:rsidRDefault="00614E9F" w:rsidP="003261A2">
      <w:pPr>
        <w:ind w:left="-284" w:right="-483"/>
        <w:jc w:val="both"/>
        <w:rPr>
          <w:sz w:val="22"/>
          <w:szCs w:val="22"/>
        </w:rPr>
      </w:pPr>
      <w:r w:rsidRPr="00E56BAA">
        <w:rPr>
          <w:b/>
          <w:sz w:val="22"/>
          <w:szCs w:val="22"/>
        </w:rPr>
        <w:t xml:space="preserve">Φαρμακευτικά </w:t>
      </w:r>
      <w:r w:rsidR="00B239A6" w:rsidRPr="00E56BAA">
        <w:rPr>
          <w:b/>
          <w:sz w:val="22"/>
          <w:szCs w:val="22"/>
        </w:rPr>
        <w:t>προϊόντα</w:t>
      </w:r>
      <w:r w:rsidRPr="00E56BAA">
        <w:rPr>
          <w:b/>
          <w:sz w:val="22"/>
          <w:szCs w:val="22"/>
        </w:rPr>
        <w:t xml:space="preserve"> των οποίων η απορρόφηση εξαρτάται από το pH:</w:t>
      </w:r>
      <w:r w:rsidR="00B239A6" w:rsidRPr="00E56BAA">
        <w:rPr>
          <w:sz w:val="22"/>
          <w:szCs w:val="22"/>
        </w:rPr>
        <w:t xml:space="preserve"> </w:t>
      </w:r>
      <w:r w:rsidRPr="00E56BAA">
        <w:rPr>
          <w:sz w:val="22"/>
          <w:szCs w:val="22"/>
        </w:rPr>
        <w:t xml:space="preserve">Η λανσοπραζόλη μπορεί να παρέμβει στην απορρόφηση φαρμάκων για τα οποία το γαστρικό </w:t>
      </w:r>
      <w:r w:rsidRPr="00E56BAA">
        <w:rPr>
          <w:sz w:val="22"/>
          <w:szCs w:val="22"/>
          <w:lang w:val="en-US"/>
        </w:rPr>
        <w:t>pH</w:t>
      </w:r>
      <w:r w:rsidRPr="00E56BAA">
        <w:rPr>
          <w:sz w:val="22"/>
          <w:szCs w:val="22"/>
        </w:rPr>
        <w:t xml:space="preserve"> είναι σημαντικό στη βιοδιαθεσιμότητα.</w:t>
      </w:r>
      <w:r w:rsidR="00B239A6" w:rsidRPr="00E56BAA">
        <w:rPr>
          <w:sz w:val="22"/>
          <w:szCs w:val="22"/>
        </w:rPr>
        <w:t xml:space="preserve"> </w:t>
      </w:r>
    </w:p>
    <w:p w:rsidR="00E95DE7" w:rsidRPr="00E56BAA" w:rsidRDefault="00614E9F" w:rsidP="003261A2">
      <w:pPr>
        <w:ind w:left="-284" w:right="-483"/>
        <w:jc w:val="both"/>
        <w:rPr>
          <w:sz w:val="22"/>
          <w:szCs w:val="22"/>
        </w:rPr>
      </w:pPr>
      <w:r w:rsidRPr="00E56BAA">
        <w:rPr>
          <w:sz w:val="22"/>
          <w:szCs w:val="22"/>
          <w:u w:val="single"/>
        </w:rPr>
        <w:t>Αταζαναβίρη</w:t>
      </w:r>
      <w:r w:rsidRPr="00E56BAA">
        <w:rPr>
          <w:sz w:val="22"/>
          <w:szCs w:val="22"/>
        </w:rPr>
        <w:t>:</w:t>
      </w:r>
      <w:r w:rsidR="00FD5B0A" w:rsidRPr="00E56BAA">
        <w:rPr>
          <w:sz w:val="22"/>
          <w:szCs w:val="22"/>
        </w:rPr>
        <w:t xml:space="preserve"> </w:t>
      </w:r>
    </w:p>
    <w:p w:rsidR="00E95DE7" w:rsidRPr="00E56BAA" w:rsidRDefault="00E95DE7" w:rsidP="003261A2">
      <w:pPr>
        <w:ind w:left="-284" w:right="-483"/>
        <w:jc w:val="both"/>
        <w:rPr>
          <w:sz w:val="22"/>
          <w:szCs w:val="22"/>
        </w:rPr>
      </w:pPr>
      <w:r w:rsidRPr="00E56BAA">
        <w:rPr>
          <w:sz w:val="22"/>
          <w:szCs w:val="22"/>
        </w:rPr>
        <w:t xml:space="preserve">Μια μελέτη έχει δείξει ότι η συγχορήγηση </w:t>
      </w:r>
      <w:r w:rsidR="00614E9F" w:rsidRPr="00E56BAA">
        <w:rPr>
          <w:sz w:val="22"/>
          <w:szCs w:val="22"/>
        </w:rPr>
        <w:t>λανσοπραζόλη</w:t>
      </w:r>
      <w:r w:rsidRPr="00E56BAA">
        <w:rPr>
          <w:sz w:val="22"/>
          <w:szCs w:val="22"/>
        </w:rPr>
        <w:t xml:space="preserve">ς (60 mg μια φορά την ημέρα) με αταζαναβίρη 400 mg σε υγιείς εθελοντές είχε σαν αποτέλεσμα σημαντική μείωση στην έκθεση στην </w:t>
      </w:r>
      <w:r w:rsidR="00946F5F" w:rsidRPr="00E56BAA">
        <w:rPr>
          <w:sz w:val="22"/>
          <w:szCs w:val="22"/>
        </w:rPr>
        <w:t xml:space="preserve">αταζαναβίρη (περίπου 90% μείωση της </w:t>
      </w:r>
      <w:r w:rsidR="00946F5F" w:rsidRPr="00E56BAA">
        <w:rPr>
          <w:sz w:val="22"/>
          <w:szCs w:val="22"/>
          <w:lang w:val="en-US"/>
        </w:rPr>
        <w:t>AUC</w:t>
      </w:r>
      <w:r w:rsidR="00946F5F" w:rsidRPr="00E56BAA">
        <w:rPr>
          <w:sz w:val="22"/>
          <w:szCs w:val="22"/>
        </w:rPr>
        <w:t xml:space="preserve"> και </w:t>
      </w:r>
      <w:proofErr w:type="spellStart"/>
      <w:r w:rsidR="00946F5F" w:rsidRPr="00E56BAA">
        <w:rPr>
          <w:sz w:val="22"/>
          <w:szCs w:val="22"/>
          <w:lang w:val="en-US"/>
        </w:rPr>
        <w:t>Cmax</w:t>
      </w:r>
      <w:proofErr w:type="spellEnd"/>
      <w:r w:rsidR="00946F5F" w:rsidRPr="00E56BAA">
        <w:rPr>
          <w:sz w:val="22"/>
          <w:szCs w:val="22"/>
        </w:rPr>
        <w:t>). Η λανσοπραζόλη δεν πρέπει να συγχορηγείται με αταζαναβίρη (βλέπε πράγραφο 4.3).</w:t>
      </w:r>
    </w:p>
    <w:p w:rsidR="00E95DE7" w:rsidRPr="00E56BAA" w:rsidRDefault="00E95DE7" w:rsidP="003261A2">
      <w:pPr>
        <w:ind w:left="-284" w:right="-483"/>
        <w:jc w:val="both"/>
        <w:rPr>
          <w:sz w:val="22"/>
          <w:szCs w:val="22"/>
        </w:rPr>
      </w:pPr>
    </w:p>
    <w:p w:rsidR="00E95DE7" w:rsidRPr="00E56BAA" w:rsidRDefault="00614E9F" w:rsidP="003261A2">
      <w:pPr>
        <w:ind w:left="-284" w:right="-483"/>
        <w:jc w:val="both"/>
        <w:rPr>
          <w:sz w:val="22"/>
          <w:szCs w:val="22"/>
        </w:rPr>
      </w:pPr>
      <w:r w:rsidRPr="00E56BAA">
        <w:rPr>
          <w:sz w:val="22"/>
          <w:szCs w:val="22"/>
          <w:u w:val="single"/>
        </w:rPr>
        <w:t>Κετοκοναζόλη και ιτρακοναζόλη</w:t>
      </w:r>
      <w:r w:rsidRPr="00E56BAA">
        <w:rPr>
          <w:sz w:val="22"/>
          <w:szCs w:val="22"/>
        </w:rPr>
        <w:t xml:space="preserve">: </w:t>
      </w:r>
    </w:p>
    <w:p w:rsidR="00FD5B0A" w:rsidRPr="00E56BAA" w:rsidRDefault="00614E9F" w:rsidP="003261A2">
      <w:pPr>
        <w:ind w:left="-284" w:right="-483"/>
        <w:jc w:val="both"/>
        <w:rPr>
          <w:b/>
          <w:sz w:val="22"/>
          <w:szCs w:val="22"/>
        </w:rPr>
      </w:pPr>
      <w:r w:rsidRPr="00E56BAA">
        <w:rPr>
          <w:sz w:val="22"/>
          <w:szCs w:val="22"/>
        </w:rPr>
        <w:t>Η απορρόφηση της κετοκοναζόλης και ιτρακοναζόλης από το γαστρεντερικό σωλήνα ενισχύεται από την παρουσία του γαστρικού οξέος. Η χορήγηση της λανσοπραζόλης μπορεί να έχει σαν αποτέλεσμα υπο-θεραπευτικές συγκεντρώσεις της κετοκοναζόλης και ιτρακοναζόλης και ο συνδυασμός πρέπει να αποφεύγεται.</w:t>
      </w:r>
      <w:r w:rsidRPr="00E56BAA">
        <w:rPr>
          <w:b/>
          <w:sz w:val="22"/>
          <w:szCs w:val="22"/>
        </w:rPr>
        <w:t xml:space="preserve"> </w:t>
      </w:r>
    </w:p>
    <w:p w:rsidR="00E95DE7" w:rsidRPr="00E56BAA" w:rsidRDefault="00E95DE7" w:rsidP="003261A2">
      <w:pPr>
        <w:ind w:left="-284" w:right="-483"/>
        <w:jc w:val="both"/>
        <w:rPr>
          <w:b/>
          <w:sz w:val="22"/>
          <w:szCs w:val="22"/>
        </w:rPr>
      </w:pPr>
    </w:p>
    <w:p w:rsidR="00E95DE7" w:rsidRPr="00E56BAA" w:rsidRDefault="00614E9F" w:rsidP="003261A2">
      <w:pPr>
        <w:ind w:left="-284" w:right="-483"/>
        <w:jc w:val="both"/>
        <w:rPr>
          <w:sz w:val="22"/>
          <w:szCs w:val="22"/>
        </w:rPr>
      </w:pPr>
      <w:r w:rsidRPr="00E56BAA">
        <w:rPr>
          <w:sz w:val="22"/>
          <w:szCs w:val="22"/>
          <w:u w:val="single"/>
        </w:rPr>
        <w:t>Διγοξίνη</w:t>
      </w:r>
      <w:r w:rsidRPr="00E56BAA">
        <w:rPr>
          <w:sz w:val="22"/>
          <w:szCs w:val="22"/>
        </w:rPr>
        <w:t>:</w:t>
      </w:r>
      <w:r w:rsidR="00B239A6" w:rsidRPr="00E56BAA">
        <w:rPr>
          <w:sz w:val="22"/>
          <w:szCs w:val="22"/>
        </w:rPr>
        <w:t xml:space="preserve"> </w:t>
      </w:r>
    </w:p>
    <w:p w:rsidR="00FD5B0A" w:rsidRPr="000172C2" w:rsidRDefault="00614E9F" w:rsidP="003261A2">
      <w:pPr>
        <w:ind w:left="-284" w:right="-483"/>
        <w:jc w:val="both"/>
        <w:rPr>
          <w:b/>
          <w:sz w:val="22"/>
          <w:szCs w:val="22"/>
        </w:rPr>
      </w:pPr>
      <w:r w:rsidRPr="00E56BAA">
        <w:rPr>
          <w:sz w:val="22"/>
          <w:szCs w:val="22"/>
        </w:rPr>
        <w:t>Η συγχορήγηση της λανσοπραζόλης και της διγοξίνης μπορεί να οδηγήσει σε αύξηση των επιπέδων της διγοξίνης στο πλάσμα. Για το λόγο αυτό πρέπει να ελέγχονται τα επίπεδα της διγοξίνης στο πλάσμα και αν είναι απαραίτητο να προσαρμόζεται η δόση της διγοξίνης κατά την έναρξη και ολοκλήρωση της αγωγής με λανσοπραζόλη.</w:t>
      </w:r>
      <w:r w:rsidRPr="00E56BAA">
        <w:rPr>
          <w:b/>
          <w:sz w:val="22"/>
          <w:szCs w:val="22"/>
        </w:rPr>
        <w:t xml:space="preserve"> </w:t>
      </w:r>
    </w:p>
    <w:p w:rsidR="004633E9" w:rsidRPr="000172C2" w:rsidRDefault="004633E9" w:rsidP="003261A2">
      <w:pPr>
        <w:ind w:left="-284" w:right="-483"/>
        <w:jc w:val="both"/>
        <w:rPr>
          <w:b/>
          <w:sz w:val="22"/>
          <w:szCs w:val="22"/>
        </w:rPr>
      </w:pPr>
    </w:p>
    <w:p w:rsidR="00FD5B0A" w:rsidRPr="00E56BAA" w:rsidRDefault="00614E9F" w:rsidP="003261A2">
      <w:pPr>
        <w:ind w:left="-284" w:right="-483"/>
        <w:jc w:val="both"/>
        <w:rPr>
          <w:sz w:val="22"/>
          <w:szCs w:val="22"/>
        </w:rPr>
      </w:pPr>
      <w:r w:rsidRPr="00E56BAA">
        <w:rPr>
          <w:b/>
          <w:sz w:val="22"/>
          <w:szCs w:val="22"/>
        </w:rPr>
        <w:t xml:space="preserve">Φαρμακευτικά προϊόντα  που μεταβολίζονται από τα </w:t>
      </w:r>
      <w:r w:rsidRPr="00E56BAA">
        <w:rPr>
          <w:b/>
          <w:sz w:val="22"/>
          <w:szCs w:val="22"/>
          <w:lang w:val="en-US"/>
        </w:rPr>
        <w:t>P</w:t>
      </w:r>
      <w:r w:rsidRPr="00E56BAA">
        <w:rPr>
          <w:b/>
          <w:sz w:val="22"/>
          <w:szCs w:val="22"/>
        </w:rPr>
        <w:t>450 ένζυμα</w:t>
      </w:r>
      <w:r w:rsidRPr="00E56BAA">
        <w:rPr>
          <w:sz w:val="22"/>
          <w:szCs w:val="22"/>
        </w:rPr>
        <w:t xml:space="preserve">: </w:t>
      </w:r>
    </w:p>
    <w:p w:rsidR="009C3C78" w:rsidRPr="00E56BAA" w:rsidRDefault="009C3C78" w:rsidP="003261A2">
      <w:pPr>
        <w:ind w:left="-284" w:right="-483"/>
        <w:jc w:val="both"/>
        <w:rPr>
          <w:sz w:val="22"/>
          <w:szCs w:val="22"/>
        </w:rPr>
      </w:pPr>
      <w:r w:rsidRPr="00E56BAA">
        <w:rPr>
          <w:sz w:val="22"/>
          <w:szCs w:val="22"/>
        </w:rPr>
        <w:t xml:space="preserve">Η λανσοπραζόλη μπορεί να αυξήσει τις συγκεντρώσεις στο πλάσμα φαρμάκων που μεταβοίζονται από το </w:t>
      </w:r>
      <w:r w:rsidRPr="00E56BAA">
        <w:rPr>
          <w:sz w:val="22"/>
          <w:szCs w:val="22"/>
          <w:lang w:val="en-US"/>
        </w:rPr>
        <w:t>CYP</w:t>
      </w:r>
      <w:r w:rsidRPr="00E56BAA">
        <w:rPr>
          <w:sz w:val="22"/>
          <w:szCs w:val="22"/>
        </w:rPr>
        <w:t>3</w:t>
      </w:r>
      <w:r w:rsidRPr="00E56BAA">
        <w:rPr>
          <w:sz w:val="22"/>
          <w:szCs w:val="22"/>
          <w:lang w:val="en-US"/>
        </w:rPr>
        <w:t>A</w:t>
      </w:r>
      <w:r w:rsidRPr="00E56BAA">
        <w:rPr>
          <w:sz w:val="22"/>
          <w:szCs w:val="22"/>
        </w:rPr>
        <w:t>4. Συνίσταται προσοχή όταν η λανσοπραζόλη συνδυάζεται με φάρμακα που μεταβολίζονται από αυτό το ένζυμο και έχουν ένα περιορισμένο θεραπευτικό εύρος.</w:t>
      </w:r>
    </w:p>
    <w:p w:rsidR="009C3C78" w:rsidRPr="00E56BAA" w:rsidRDefault="009C3C78" w:rsidP="003261A2">
      <w:pPr>
        <w:ind w:left="-284" w:right="-483"/>
        <w:jc w:val="both"/>
        <w:rPr>
          <w:sz w:val="22"/>
          <w:szCs w:val="22"/>
          <w:u w:val="single"/>
        </w:rPr>
      </w:pPr>
    </w:p>
    <w:p w:rsidR="009C3C78" w:rsidRPr="00E56BAA" w:rsidRDefault="009C3C78" w:rsidP="003261A2">
      <w:pPr>
        <w:ind w:left="-284" w:right="-483"/>
        <w:jc w:val="both"/>
        <w:rPr>
          <w:sz w:val="22"/>
          <w:szCs w:val="22"/>
          <w:u w:val="single"/>
        </w:rPr>
      </w:pPr>
      <w:r w:rsidRPr="00E56BAA">
        <w:rPr>
          <w:sz w:val="22"/>
          <w:szCs w:val="22"/>
          <w:u w:val="single"/>
        </w:rPr>
        <w:t>Θεοφυλλίνη:</w:t>
      </w:r>
    </w:p>
    <w:p w:rsidR="009C3C78" w:rsidRPr="00E56BAA" w:rsidRDefault="009C3C78" w:rsidP="003261A2">
      <w:pPr>
        <w:ind w:left="-284" w:right="-483"/>
        <w:jc w:val="both"/>
        <w:rPr>
          <w:sz w:val="22"/>
          <w:szCs w:val="22"/>
        </w:rPr>
      </w:pPr>
      <w:r w:rsidRPr="00E56BAA">
        <w:rPr>
          <w:sz w:val="22"/>
          <w:szCs w:val="22"/>
        </w:rPr>
        <w:t>Η λανσοπραζόλη μειώνει τις συγκεντρώσεις της θεοφυλλίνης στο πλάσμα, κάτι που ενδέχεται να μειώσει το αναμενόμενο κλινικό αποτέλεσμα της δόσης. Συνιστάται προσοχή όταν συνδυάζονται τα δύο φάρμακα.</w:t>
      </w:r>
    </w:p>
    <w:p w:rsidR="009C3C78" w:rsidRPr="00E56BAA" w:rsidRDefault="009C3C78" w:rsidP="003261A2">
      <w:pPr>
        <w:ind w:left="-284" w:right="-483"/>
        <w:jc w:val="both"/>
        <w:rPr>
          <w:sz w:val="22"/>
          <w:szCs w:val="22"/>
        </w:rPr>
      </w:pPr>
    </w:p>
    <w:p w:rsidR="009C3C78" w:rsidRPr="00E56BAA" w:rsidRDefault="009C3C78" w:rsidP="003261A2">
      <w:pPr>
        <w:ind w:left="-284" w:right="-483"/>
        <w:jc w:val="both"/>
        <w:rPr>
          <w:sz w:val="22"/>
          <w:szCs w:val="22"/>
          <w:u w:val="single"/>
        </w:rPr>
      </w:pPr>
      <w:r w:rsidRPr="00E56BAA">
        <w:rPr>
          <w:sz w:val="22"/>
          <w:szCs w:val="22"/>
          <w:u w:val="single"/>
        </w:rPr>
        <w:t>Τακρόλιμους:</w:t>
      </w:r>
    </w:p>
    <w:p w:rsidR="009C3C78" w:rsidRPr="00E56BAA" w:rsidRDefault="009C3C78" w:rsidP="003261A2">
      <w:pPr>
        <w:ind w:left="-284" w:right="-483"/>
        <w:jc w:val="both"/>
        <w:rPr>
          <w:sz w:val="22"/>
          <w:szCs w:val="22"/>
        </w:rPr>
      </w:pPr>
      <w:r w:rsidRPr="00E56BAA">
        <w:rPr>
          <w:sz w:val="22"/>
          <w:szCs w:val="22"/>
        </w:rPr>
        <w:t xml:space="preserve">Η συγχορήγηση της λανσοπραζόλης αυξάνει τις συγκεντρώσεις της τακρόλιμους στο πλάσμα (ένα </w:t>
      </w:r>
      <w:r w:rsidRPr="00E56BAA">
        <w:rPr>
          <w:sz w:val="22"/>
          <w:szCs w:val="22"/>
          <w:lang w:val="en-US"/>
        </w:rPr>
        <w:t>CYP</w:t>
      </w:r>
      <w:r w:rsidRPr="00E56BAA">
        <w:rPr>
          <w:sz w:val="22"/>
          <w:szCs w:val="22"/>
        </w:rPr>
        <w:t>3</w:t>
      </w:r>
      <w:r w:rsidRPr="00E56BAA">
        <w:rPr>
          <w:sz w:val="22"/>
          <w:szCs w:val="22"/>
          <w:lang w:val="en-US"/>
        </w:rPr>
        <w:t>A</w:t>
      </w:r>
      <w:r w:rsidRPr="00E56BAA">
        <w:rPr>
          <w:sz w:val="22"/>
          <w:szCs w:val="22"/>
        </w:rPr>
        <w:t xml:space="preserve"> και </w:t>
      </w:r>
      <w:r w:rsidRPr="00E56BAA">
        <w:rPr>
          <w:sz w:val="22"/>
          <w:szCs w:val="22"/>
          <w:lang w:val="en-US"/>
        </w:rPr>
        <w:t>P</w:t>
      </w:r>
      <w:r w:rsidRPr="00E56BAA">
        <w:rPr>
          <w:sz w:val="22"/>
          <w:szCs w:val="22"/>
        </w:rPr>
        <w:t>-</w:t>
      </w:r>
      <w:proofErr w:type="spellStart"/>
      <w:r w:rsidRPr="00E56BAA">
        <w:rPr>
          <w:sz w:val="22"/>
          <w:szCs w:val="22"/>
          <w:lang w:val="en-US"/>
        </w:rPr>
        <w:t>gp</w:t>
      </w:r>
      <w:proofErr w:type="spellEnd"/>
      <w:r w:rsidRPr="00E56BAA">
        <w:rPr>
          <w:sz w:val="22"/>
          <w:szCs w:val="22"/>
        </w:rPr>
        <w:t xml:space="preserve"> υπόστρωμα). Η έκθεση στη λανσοπραζόλη αύξησε τη μέση έκθεση στην τακρόλιμους εώς 81%.</w:t>
      </w:r>
    </w:p>
    <w:p w:rsidR="009C3C78" w:rsidRPr="00E56BAA" w:rsidRDefault="009C3C78" w:rsidP="003261A2">
      <w:pPr>
        <w:ind w:left="-284" w:right="-483"/>
        <w:jc w:val="both"/>
        <w:rPr>
          <w:sz w:val="22"/>
          <w:szCs w:val="22"/>
        </w:rPr>
      </w:pPr>
      <w:r w:rsidRPr="00E56BAA">
        <w:rPr>
          <w:sz w:val="22"/>
          <w:szCs w:val="22"/>
        </w:rPr>
        <w:t>Συνιστάται ο έλεγχος των συγκεντρώσεων της τακρόλιμους στο πλάσμα κατά την έναρξη ή ολοκλήρωση της ταυτόχρονης θεραπείας με λανσοπραζόλη.</w:t>
      </w:r>
    </w:p>
    <w:p w:rsidR="00575508" w:rsidRPr="00E56BAA" w:rsidRDefault="00575508" w:rsidP="003261A2">
      <w:pPr>
        <w:ind w:left="-284" w:right="-483"/>
        <w:jc w:val="both"/>
        <w:rPr>
          <w:sz w:val="22"/>
          <w:szCs w:val="22"/>
        </w:rPr>
      </w:pPr>
    </w:p>
    <w:p w:rsidR="00575508" w:rsidRPr="00E56BAA" w:rsidRDefault="00575508" w:rsidP="003261A2">
      <w:pPr>
        <w:ind w:left="-284" w:right="-483"/>
        <w:jc w:val="both"/>
        <w:rPr>
          <w:b/>
          <w:sz w:val="22"/>
          <w:szCs w:val="22"/>
        </w:rPr>
      </w:pPr>
      <w:r w:rsidRPr="00E56BAA">
        <w:rPr>
          <w:b/>
          <w:sz w:val="22"/>
          <w:szCs w:val="22"/>
        </w:rPr>
        <w:t xml:space="preserve">Φαρμακευτικά προϊόντα που μεταφέρονται από την </w:t>
      </w:r>
      <w:r w:rsidRPr="00E56BAA">
        <w:rPr>
          <w:b/>
          <w:sz w:val="22"/>
          <w:szCs w:val="22"/>
          <w:lang w:val="en-US"/>
        </w:rPr>
        <w:t>P</w:t>
      </w:r>
      <w:r w:rsidRPr="00E56BAA">
        <w:rPr>
          <w:b/>
          <w:sz w:val="22"/>
          <w:szCs w:val="22"/>
        </w:rPr>
        <w:t>-γλυκοπρωτεΐνη:</w:t>
      </w:r>
    </w:p>
    <w:p w:rsidR="00575508" w:rsidRPr="00E56BAA" w:rsidRDefault="00575508" w:rsidP="003261A2">
      <w:pPr>
        <w:ind w:left="-284" w:right="-483"/>
        <w:jc w:val="both"/>
        <w:rPr>
          <w:sz w:val="22"/>
          <w:szCs w:val="22"/>
        </w:rPr>
      </w:pPr>
      <w:r w:rsidRPr="00E56BAA">
        <w:rPr>
          <w:sz w:val="22"/>
          <w:szCs w:val="22"/>
        </w:rPr>
        <w:t xml:space="preserve">Έχει παρατηρηθεί ότι η λανσοπραζόλη αναστέλλει την πρωτεΐνη μεταφοράς, </w:t>
      </w:r>
      <w:r w:rsidRPr="00E56BAA">
        <w:rPr>
          <w:sz w:val="22"/>
          <w:szCs w:val="22"/>
          <w:lang w:val="en-US"/>
        </w:rPr>
        <w:t>P</w:t>
      </w:r>
      <w:r w:rsidRPr="00E56BAA">
        <w:rPr>
          <w:sz w:val="22"/>
          <w:szCs w:val="22"/>
        </w:rPr>
        <w:t>-γλυκοπρωτεΐνη (</w:t>
      </w:r>
      <w:r w:rsidRPr="00E56BAA">
        <w:rPr>
          <w:sz w:val="22"/>
          <w:szCs w:val="22"/>
          <w:lang w:val="en-US"/>
        </w:rPr>
        <w:t>P</w:t>
      </w:r>
      <w:r w:rsidRPr="00E56BAA">
        <w:rPr>
          <w:sz w:val="22"/>
          <w:szCs w:val="22"/>
        </w:rPr>
        <w:t>-</w:t>
      </w:r>
      <w:proofErr w:type="spellStart"/>
      <w:r w:rsidRPr="00E56BAA">
        <w:rPr>
          <w:sz w:val="22"/>
          <w:szCs w:val="22"/>
          <w:lang w:val="en-US"/>
        </w:rPr>
        <w:t>gp</w:t>
      </w:r>
      <w:proofErr w:type="spellEnd"/>
      <w:r w:rsidRPr="00E56BAA">
        <w:rPr>
          <w:sz w:val="22"/>
          <w:szCs w:val="22"/>
        </w:rPr>
        <w:t xml:space="preserve">) </w:t>
      </w:r>
      <w:r w:rsidRPr="00E56BAA">
        <w:rPr>
          <w:i/>
          <w:sz w:val="22"/>
          <w:szCs w:val="22"/>
          <w:lang w:val="en-US"/>
        </w:rPr>
        <w:t>in</w:t>
      </w:r>
      <w:r w:rsidRPr="00E56BAA">
        <w:rPr>
          <w:i/>
          <w:sz w:val="22"/>
          <w:szCs w:val="22"/>
        </w:rPr>
        <w:t xml:space="preserve"> </w:t>
      </w:r>
      <w:r w:rsidRPr="00E56BAA">
        <w:rPr>
          <w:i/>
          <w:sz w:val="22"/>
          <w:szCs w:val="22"/>
          <w:lang w:val="en-US"/>
        </w:rPr>
        <w:t>vitro</w:t>
      </w:r>
      <w:r w:rsidRPr="00E56BAA">
        <w:rPr>
          <w:sz w:val="22"/>
          <w:szCs w:val="22"/>
        </w:rPr>
        <w:t>. Η κλινική σημασία αυτού είναι άγνωστη.</w:t>
      </w:r>
    </w:p>
    <w:p w:rsidR="0005020E" w:rsidRPr="00E56BAA" w:rsidRDefault="0005020E" w:rsidP="003261A2">
      <w:pPr>
        <w:ind w:left="-284" w:right="-483"/>
        <w:jc w:val="both"/>
        <w:rPr>
          <w:sz w:val="22"/>
          <w:szCs w:val="22"/>
        </w:rPr>
      </w:pPr>
    </w:p>
    <w:p w:rsidR="0005020E" w:rsidRPr="00E56BAA" w:rsidRDefault="0005020E" w:rsidP="003261A2">
      <w:pPr>
        <w:ind w:left="-284" w:right="-483"/>
        <w:jc w:val="both"/>
        <w:rPr>
          <w:b/>
          <w:sz w:val="22"/>
          <w:szCs w:val="22"/>
          <w:u w:val="single"/>
        </w:rPr>
      </w:pPr>
      <w:r w:rsidRPr="00E56BAA">
        <w:rPr>
          <w:b/>
          <w:sz w:val="22"/>
          <w:szCs w:val="22"/>
          <w:u w:val="single"/>
        </w:rPr>
        <w:t>Επιδράσεις άλλων φαρμάκων στη λανσοπραζόλη</w:t>
      </w:r>
    </w:p>
    <w:p w:rsidR="0005020E" w:rsidRPr="00E56BAA" w:rsidRDefault="0005020E" w:rsidP="003261A2">
      <w:pPr>
        <w:ind w:left="-284" w:right="-483"/>
        <w:jc w:val="both"/>
        <w:rPr>
          <w:b/>
          <w:sz w:val="22"/>
          <w:szCs w:val="22"/>
          <w:u w:val="single"/>
        </w:rPr>
      </w:pPr>
    </w:p>
    <w:p w:rsidR="00FD5B0A" w:rsidRPr="00E56BAA" w:rsidRDefault="00614E9F" w:rsidP="003261A2">
      <w:pPr>
        <w:ind w:left="-284" w:right="-483"/>
        <w:jc w:val="both"/>
        <w:rPr>
          <w:sz w:val="22"/>
          <w:szCs w:val="22"/>
          <w:u w:val="single"/>
        </w:rPr>
      </w:pPr>
      <w:r w:rsidRPr="00E56BAA">
        <w:rPr>
          <w:b/>
          <w:sz w:val="22"/>
          <w:szCs w:val="22"/>
        </w:rPr>
        <w:t xml:space="preserve">Φάρμακα που αναστέλλουν το </w:t>
      </w:r>
      <w:r w:rsidRPr="00E56BAA">
        <w:rPr>
          <w:b/>
          <w:sz w:val="22"/>
          <w:szCs w:val="22"/>
          <w:lang w:val="en-US"/>
        </w:rPr>
        <w:t>CYP</w:t>
      </w:r>
      <w:r w:rsidRPr="00E56BAA">
        <w:rPr>
          <w:b/>
          <w:sz w:val="22"/>
          <w:szCs w:val="22"/>
        </w:rPr>
        <w:t>2</w:t>
      </w:r>
      <w:r w:rsidRPr="00E56BAA">
        <w:rPr>
          <w:b/>
          <w:sz w:val="22"/>
          <w:szCs w:val="22"/>
          <w:lang w:val="en-US"/>
        </w:rPr>
        <w:t>C</w:t>
      </w:r>
      <w:r w:rsidRPr="00E56BAA">
        <w:rPr>
          <w:b/>
          <w:sz w:val="22"/>
          <w:szCs w:val="22"/>
        </w:rPr>
        <w:t>19</w:t>
      </w:r>
      <w:r w:rsidRPr="00E56BAA">
        <w:rPr>
          <w:sz w:val="22"/>
          <w:szCs w:val="22"/>
        </w:rPr>
        <w:t>:</w:t>
      </w:r>
      <w:r w:rsidR="00992D8B" w:rsidRPr="00E56BAA">
        <w:rPr>
          <w:sz w:val="22"/>
          <w:szCs w:val="22"/>
          <w:u w:val="single"/>
        </w:rPr>
        <w:t xml:space="preserve"> </w:t>
      </w:r>
    </w:p>
    <w:p w:rsidR="00FD5B0A" w:rsidRPr="00E56BAA" w:rsidRDefault="00614E9F" w:rsidP="003261A2">
      <w:pPr>
        <w:ind w:left="-284" w:right="-483"/>
        <w:jc w:val="both"/>
        <w:rPr>
          <w:sz w:val="22"/>
          <w:szCs w:val="22"/>
        </w:rPr>
      </w:pPr>
      <w:r w:rsidRPr="00E56BAA">
        <w:rPr>
          <w:sz w:val="22"/>
          <w:szCs w:val="22"/>
          <w:u w:val="single"/>
        </w:rPr>
        <w:t>Φλουβοξαμίνη</w:t>
      </w:r>
      <w:r w:rsidRPr="00E56BAA">
        <w:rPr>
          <w:sz w:val="22"/>
          <w:szCs w:val="22"/>
        </w:rPr>
        <w:t>:</w:t>
      </w:r>
      <w:r w:rsidR="00992D8B" w:rsidRPr="00E56BAA">
        <w:rPr>
          <w:sz w:val="22"/>
          <w:szCs w:val="22"/>
        </w:rPr>
        <w:t xml:space="preserve"> </w:t>
      </w:r>
      <w:r w:rsidRPr="00E56BAA">
        <w:rPr>
          <w:sz w:val="22"/>
          <w:szCs w:val="22"/>
        </w:rPr>
        <w:t xml:space="preserve">Ίσως χρειασθεί μείωση της </w:t>
      </w:r>
      <w:r w:rsidR="00992D8B" w:rsidRPr="00E56BAA">
        <w:rPr>
          <w:sz w:val="22"/>
          <w:szCs w:val="22"/>
        </w:rPr>
        <w:t>δόσης</w:t>
      </w:r>
      <w:r w:rsidRPr="00E56BAA">
        <w:rPr>
          <w:sz w:val="22"/>
          <w:szCs w:val="22"/>
        </w:rPr>
        <w:t xml:space="preserve"> όταν συνδυάζεται η λανσοπραζόλη με τον αναστολέα </w:t>
      </w:r>
      <w:r w:rsidRPr="00E56BAA">
        <w:rPr>
          <w:sz w:val="22"/>
          <w:szCs w:val="22"/>
          <w:lang w:val="en-US"/>
        </w:rPr>
        <w:t>CYP</w:t>
      </w:r>
      <w:r w:rsidRPr="00E56BAA">
        <w:rPr>
          <w:sz w:val="22"/>
          <w:szCs w:val="22"/>
        </w:rPr>
        <w:t>2</w:t>
      </w:r>
      <w:r w:rsidRPr="00E56BAA">
        <w:rPr>
          <w:sz w:val="22"/>
          <w:szCs w:val="22"/>
          <w:lang w:val="en-US"/>
        </w:rPr>
        <w:t>C</w:t>
      </w:r>
      <w:r w:rsidRPr="00E56BAA">
        <w:rPr>
          <w:sz w:val="22"/>
          <w:szCs w:val="22"/>
        </w:rPr>
        <w:t>19, φλουβοξαμίνη. Οι συγκεντρώσεις της λανσοπραζόλης στο πλάσμα αυξάνονται έως και 4 φορές.</w:t>
      </w:r>
      <w:r w:rsidR="00992D8B" w:rsidRPr="00E56BAA">
        <w:rPr>
          <w:sz w:val="22"/>
          <w:szCs w:val="22"/>
        </w:rPr>
        <w:t xml:space="preserve"> </w:t>
      </w:r>
    </w:p>
    <w:p w:rsidR="00FD5B0A" w:rsidRPr="00E56BAA" w:rsidRDefault="00614E9F" w:rsidP="003261A2">
      <w:pPr>
        <w:ind w:left="-284" w:right="-483"/>
        <w:jc w:val="both"/>
        <w:rPr>
          <w:sz w:val="22"/>
          <w:szCs w:val="22"/>
        </w:rPr>
      </w:pPr>
      <w:r w:rsidRPr="00E56BAA">
        <w:rPr>
          <w:b/>
          <w:sz w:val="22"/>
          <w:szCs w:val="22"/>
        </w:rPr>
        <w:t xml:space="preserve">Φάρμακα που επάγουν τα </w:t>
      </w:r>
      <w:r w:rsidRPr="00E56BAA">
        <w:rPr>
          <w:b/>
          <w:sz w:val="22"/>
          <w:szCs w:val="22"/>
          <w:lang w:val="en-US"/>
        </w:rPr>
        <w:t>CYP</w:t>
      </w:r>
      <w:r w:rsidRPr="00E56BAA">
        <w:rPr>
          <w:b/>
          <w:sz w:val="22"/>
          <w:szCs w:val="22"/>
        </w:rPr>
        <w:t>2</w:t>
      </w:r>
      <w:r w:rsidRPr="00E56BAA">
        <w:rPr>
          <w:b/>
          <w:sz w:val="22"/>
          <w:szCs w:val="22"/>
          <w:lang w:val="en-US"/>
        </w:rPr>
        <w:t>C</w:t>
      </w:r>
      <w:r w:rsidRPr="00E56BAA">
        <w:rPr>
          <w:b/>
          <w:sz w:val="22"/>
          <w:szCs w:val="22"/>
        </w:rPr>
        <w:t xml:space="preserve">19 και </w:t>
      </w:r>
      <w:r w:rsidRPr="00E56BAA">
        <w:rPr>
          <w:b/>
          <w:sz w:val="22"/>
          <w:szCs w:val="22"/>
          <w:lang w:val="en-US"/>
        </w:rPr>
        <w:t>CYP</w:t>
      </w:r>
      <w:r w:rsidRPr="00E56BAA">
        <w:rPr>
          <w:b/>
          <w:sz w:val="22"/>
          <w:szCs w:val="22"/>
        </w:rPr>
        <w:t>3</w:t>
      </w:r>
      <w:r w:rsidRPr="00E56BAA">
        <w:rPr>
          <w:b/>
          <w:sz w:val="22"/>
          <w:szCs w:val="22"/>
          <w:lang w:val="en-US"/>
        </w:rPr>
        <w:t>A</w:t>
      </w:r>
      <w:r w:rsidRPr="00E56BAA">
        <w:rPr>
          <w:b/>
          <w:sz w:val="22"/>
          <w:szCs w:val="22"/>
        </w:rPr>
        <w:t>4</w:t>
      </w:r>
      <w:r w:rsidRPr="00E56BAA">
        <w:rPr>
          <w:sz w:val="22"/>
          <w:szCs w:val="22"/>
        </w:rPr>
        <w:t>:</w:t>
      </w:r>
      <w:r w:rsidR="0010545B" w:rsidRPr="00E56BAA">
        <w:rPr>
          <w:sz w:val="22"/>
          <w:szCs w:val="22"/>
        </w:rPr>
        <w:t xml:space="preserve"> </w:t>
      </w:r>
      <w:r w:rsidRPr="00E56BAA">
        <w:rPr>
          <w:sz w:val="22"/>
          <w:szCs w:val="22"/>
        </w:rPr>
        <w:t xml:space="preserve">Οι επαγωγείς των ενζύμων που επηρεάζουν τα </w:t>
      </w:r>
      <w:r w:rsidRPr="00E56BAA">
        <w:rPr>
          <w:sz w:val="22"/>
          <w:szCs w:val="22"/>
          <w:lang w:val="en-US"/>
        </w:rPr>
        <w:t>CYP</w:t>
      </w:r>
      <w:r w:rsidRPr="00E56BAA">
        <w:rPr>
          <w:sz w:val="22"/>
          <w:szCs w:val="22"/>
        </w:rPr>
        <w:t>2</w:t>
      </w:r>
      <w:r w:rsidRPr="00E56BAA">
        <w:rPr>
          <w:sz w:val="22"/>
          <w:szCs w:val="22"/>
          <w:lang w:val="en-US"/>
        </w:rPr>
        <w:t>C</w:t>
      </w:r>
      <w:r w:rsidRPr="00E56BAA">
        <w:rPr>
          <w:sz w:val="22"/>
          <w:szCs w:val="22"/>
        </w:rPr>
        <w:t xml:space="preserve">19 και </w:t>
      </w:r>
      <w:r w:rsidRPr="00E56BAA">
        <w:rPr>
          <w:sz w:val="22"/>
          <w:szCs w:val="22"/>
          <w:lang w:val="en-US"/>
        </w:rPr>
        <w:t>CYP</w:t>
      </w:r>
      <w:r w:rsidRPr="00E56BAA">
        <w:rPr>
          <w:sz w:val="22"/>
          <w:szCs w:val="22"/>
        </w:rPr>
        <w:t>3</w:t>
      </w:r>
      <w:r w:rsidRPr="00E56BAA">
        <w:rPr>
          <w:sz w:val="22"/>
          <w:szCs w:val="22"/>
          <w:lang w:val="en-US"/>
        </w:rPr>
        <w:t>A</w:t>
      </w:r>
      <w:r w:rsidRPr="00E56BAA">
        <w:rPr>
          <w:sz w:val="22"/>
          <w:szCs w:val="22"/>
        </w:rPr>
        <w:t xml:space="preserve">4 όπως η ριφαμπικίνη και το </w:t>
      </w:r>
      <w:r w:rsidRPr="00E56BAA">
        <w:rPr>
          <w:sz w:val="22"/>
          <w:szCs w:val="22"/>
          <w:lang w:val="en-US"/>
        </w:rPr>
        <w:t>St</w:t>
      </w:r>
      <w:r w:rsidRPr="00E56BAA">
        <w:rPr>
          <w:sz w:val="22"/>
          <w:szCs w:val="22"/>
        </w:rPr>
        <w:t xml:space="preserve"> </w:t>
      </w:r>
      <w:r w:rsidRPr="00E56BAA">
        <w:rPr>
          <w:sz w:val="22"/>
          <w:szCs w:val="22"/>
          <w:lang w:val="en-US"/>
        </w:rPr>
        <w:t>John</w:t>
      </w:r>
      <w:r w:rsidRPr="00E56BAA">
        <w:rPr>
          <w:sz w:val="22"/>
          <w:szCs w:val="22"/>
        </w:rPr>
        <w:t>’</w:t>
      </w:r>
      <w:r w:rsidRPr="00E56BAA">
        <w:rPr>
          <w:sz w:val="22"/>
          <w:szCs w:val="22"/>
          <w:lang w:val="en-US"/>
        </w:rPr>
        <w:t>s</w:t>
      </w:r>
      <w:r w:rsidRPr="00E56BAA">
        <w:rPr>
          <w:sz w:val="22"/>
          <w:szCs w:val="22"/>
        </w:rPr>
        <w:t xml:space="preserve"> </w:t>
      </w:r>
      <w:proofErr w:type="spellStart"/>
      <w:r w:rsidRPr="00E56BAA">
        <w:rPr>
          <w:sz w:val="22"/>
          <w:szCs w:val="22"/>
          <w:lang w:val="en-US"/>
        </w:rPr>
        <w:t>wort</w:t>
      </w:r>
      <w:proofErr w:type="spellEnd"/>
      <w:r w:rsidRPr="00E56BAA">
        <w:rPr>
          <w:sz w:val="22"/>
          <w:szCs w:val="22"/>
        </w:rPr>
        <w:t xml:space="preserve"> (</w:t>
      </w:r>
      <w:proofErr w:type="spellStart"/>
      <w:r w:rsidRPr="00E56BAA">
        <w:rPr>
          <w:sz w:val="22"/>
          <w:szCs w:val="22"/>
          <w:lang w:val="en-US"/>
        </w:rPr>
        <w:t>Hypericum</w:t>
      </w:r>
      <w:proofErr w:type="spellEnd"/>
      <w:r w:rsidRPr="00E56BAA">
        <w:rPr>
          <w:sz w:val="22"/>
          <w:szCs w:val="22"/>
        </w:rPr>
        <w:t xml:space="preserve"> </w:t>
      </w:r>
      <w:proofErr w:type="spellStart"/>
      <w:r w:rsidRPr="00E56BAA">
        <w:rPr>
          <w:sz w:val="22"/>
          <w:szCs w:val="22"/>
          <w:lang w:val="en-US"/>
        </w:rPr>
        <w:t>perforatum</w:t>
      </w:r>
      <w:proofErr w:type="spellEnd"/>
      <w:r w:rsidRPr="00E56BAA">
        <w:rPr>
          <w:sz w:val="22"/>
          <w:szCs w:val="22"/>
        </w:rPr>
        <w:t>) μπορούν να μειώσουν σημαντικά τις συγκεντρώσεις της λανσοπραζόλης στο πλάσμα.</w:t>
      </w:r>
      <w:r w:rsidR="00992D8B" w:rsidRPr="00E56BAA">
        <w:rPr>
          <w:sz w:val="22"/>
          <w:szCs w:val="22"/>
        </w:rPr>
        <w:t xml:space="preserve"> </w:t>
      </w:r>
    </w:p>
    <w:p w:rsidR="004D4FD5" w:rsidRPr="00E56BAA" w:rsidRDefault="00992D8B" w:rsidP="003261A2">
      <w:pPr>
        <w:ind w:left="-284" w:right="-483"/>
        <w:jc w:val="both"/>
        <w:rPr>
          <w:sz w:val="22"/>
          <w:szCs w:val="22"/>
        </w:rPr>
      </w:pPr>
      <w:r w:rsidRPr="00E56BAA">
        <w:rPr>
          <w:b/>
          <w:sz w:val="22"/>
          <w:szCs w:val="22"/>
        </w:rPr>
        <w:lastRenderedPageBreak/>
        <w:t>Άλλα</w:t>
      </w:r>
      <w:r w:rsidRPr="00E56BAA">
        <w:rPr>
          <w:sz w:val="22"/>
          <w:szCs w:val="22"/>
        </w:rPr>
        <w:t xml:space="preserve">: </w:t>
      </w:r>
      <w:r w:rsidR="00614E9F" w:rsidRPr="00E56BAA">
        <w:rPr>
          <w:sz w:val="22"/>
          <w:szCs w:val="22"/>
          <w:u w:val="single"/>
        </w:rPr>
        <w:t>Σουκραλφάτη/Αντιόξινα</w:t>
      </w:r>
      <w:r w:rsidR="00614E9F" w:rsidRPr="00E56BAA">
        <w:rPr>
          <w:sz w:val="22"/>
          <w:szCs w:val="22"/>
        </w:rPr>
        <w:t>:</w:t>
      </w:r>
      <w:r w:rsidRPr="00E56BAA">
        <w:rPr>
          <w:sz w:val="22"/>
          <w:szCs w:val="22"/>
        </w:rPr>
        <w:t xml:space="preserve"> </w:t>
      </w:r>
      <w:r w:rsidR="00614E9F" w:rsidRPr="00E56BAA">
        <w:rPr>
          <w:sz w:val="22"/>
          <w:szCs w:val="22"/>
        </w:rPr>
        <w:t>Η σουκραλφάτη/</w:t>
      </w:r>
      <w:r w:rsidR="00F75757" w:rsidRPr="00E56BAA">
        <w:rPr>
          <w:sz w:val="22"/>
          <w:szCs w:val="22"/>
        </w:rPr>
        <w:t>αντιόξινα μπορεί να μειώσουν τη</w:t>
      </w:r>
      <w:r w:rsidR="00614E9F" w:rsidRPr="00E56BAA">
        <w:rPr>
          <w:sz w:val="22"/>
          <w:szCs w:val="22"/>
        </w:rPr>
        <w:t xml:space="preserve"> βιοδιαθεσιμότητα της λανσοπραζόλης.</w:t>
      </w:r>
      <w:r w:rsidR="00614E9F" w:rsidRPr="00E56BAA">
        <w:rPr>
          <w:b/>
          <w:sz w:val="22"/>
          <w:szCs w:val="22"/>
        </w:rPr>
        <w:t xml:space="preserve"> </w:t>
      </w:r>
      <w:r w:rsidR="00614E9F" w:rsidRPr="00E56BAA">
        <w:rPr>
          <w:sz w:val="22"/>
          <w:szCs w:val="22"/>
        </w:rPr>
        <w:t>Επομένως, η λανσοπραζόλη πρέπει να λαμβάνεται τουλάχιστον 1 ώ</w:t>
      </w:r>
      <w:r w:rsidRPr="00E56BAA">
        <w:rPr>
          <w:sz w:val="22"/>
          <w:szCs w:val="22"/>
        </w:rPr>
        <w:t>ρ</w:t>
      </w:r>
      <w:r w:rsidR="00614E9F" w:rsidRPr="00E56BAA">
        <w:rPr>
          <w:sz w:val="22"/>
          <w:szCs w:val="22"/>
        </w:rPr>
        <w:t>α μετά τη λήψη αυτών των φαρμάκων.</w:t>
      </w:r>
    </w:p>
    <w:p w:rsidR="00F75757" w:rsidRPr="00E56BAA" w:rsidRDefault="00F75757" w:rsidP="003261A2">
      <w:pPr>
        <w:ind w:left="-284" w:right="-483"/>
        <w:jc w:val="both"/>
        <w:rPr>
          <w:sz w:val="22"/>
          <w:szCs w:val="22"/>
        </w:rPr>
      </w:pPr>
    </w:p>
    <w:p w:rsidR="00F75757" w:rsidRPr="00E56BAA" w:rsidRDefault="00F75757" w:rsidP="003261A2">
      <w:pPr>
        <w:ind w:left="-284" w:right="-483"/>
        <w:jc w:val="both"/>
        <w:rPr>
          <w:sz w:val="22"/>
          <w:szCs w:val="22"/>
        </w:rPr>
      </w:pPr>
      <w:r w:rsidRPr="00E56BAA">
        <w:rPr>
          <w:sz w:val="22"/>
          <w:szCs w:val="22"/>
        </w:rPr>
        <w:t>Δεν έχουν δειχθεί κλινικά σημαντικές αλληλεπιδράσεις της λανσοπραζόλης με μη στεροειδή αντιφλεγμονώδη φάρμακα, αν και δεν έχουν διεξαχθεί τυπικές μελέτες αλληλεπίδρασης.</w:t>
      </w:r>
    </w:p>
    <w:p w:rsidR="00FD5B0A" w:rsidRPr="00E56BAA" w:rsidRDefault="00FD5B0A" w:rsidP="003261A2">
      <w:pPr>
        <w:ind w:left="-284" w:right="-483"/>
        <w:jc w:val="both"/>
        <w:rPr>
          <w:sz w:val="22"/>
          <w:szCs w:val="22"/>
        </w:rPr>
      </w:pPr>
    </w:p>
    <w:p w:rsidR="00FD5B0A" w:rsidRPr="00E56BAA" w:rsidRDefault="00992D8B" w:rsidP="003261A2">
      <w:pPr>
        <w:numPr>
          <w:ilvl w:val="0"/>
          <w:numId w:val="3"/>
        </w:numPr>
        <w:ind w:left="-284" w:right="-483"/>
        <w:jc w:val="both"/>
        <w:rPr>
          <w:sz w:val="22"/>
          <w:szCs w:val="22"/>
        </w:rPr>
      </w:pPr>
      <w:r w:rsidRPr="00E56BAA">
        <w:rPr>
          <w:sz w:val="22"/>
          <w:szCs w:val="22"/>
        </w:rPr>
        <w:t xml:space="preserve"> </w:t>
      </w:r>
      <w:r w:rsidRPr="00E56BAA">
        <w:rPr>
          <w:b/>
          <w:sz w:val="22"/>
          <w:szCs w:val="22"/>
        </w:rPr>
        <w:t>Κύηση και γαλουχία</w:t>
      </w:r>
    </w:p>
    <w:p w:rsidR="00FD5B0A" w:rsidRPr="00E56BAA" w:rsidRDefault="001A73CE" w:rsidP="003261A2">
      <w:pPr>
        <w:ind w:left="-284" w:right="-483"/>
        <w:jc w:val="both"/>
        <w:rPr>
          <w:sz w:val="22"/>
          <w:szCs w:val="22"/>
        </w:rPr>
      </w:pPr>
      <w:r w:rsidRPr="00E56BAA">
        <w:rPr>
          <w:sz w:val="22"/>
          <w:szCs w:val="22"/>
          <w:u w:val="single"/>
        </w:rPr>
        <w:t>Κύηση</w:t>
      </w:r>
      <w:r w:rsidRPr="00E56BAA">
        <w:rPr>
          <w:sz w:val="22"/>
          <w:szCs w:val="22"/>
        </w:rPr>
        <w:t xml:space="preserve">: Δεν διατίθενται κλινικά δεδομένα σχετικά με την έκθεση κατά </w:t>
      </w:r>
      <w:r w:rsidR="00343EBC" w:rsidRPr="00E56BAA">
        <w:rPr>
          <w:sz w:val="22"/>
          <w:szCs w:val="22"/>
        </w:rPr>
        <w:t>την εγκυμοσύνη στη λανσοπραζόλη.</w:t>
      </w:r>
      <w:r w:rsidRPr="00E56BAA">
        <w:rPr>
          <w:sz w:val="22"/>
          <w:szCs w:val="22"/>
        </w:rPr>
        <w:t xml:space="preserve"> Μελέτες σε ζώα δεν κατέδειξαν άμεσες ή έμμεσες επικίνδυνες επιπτώσεις στην εγκυμοσύνη, στην ανάπτυξη του εμβρύου, στον τοκετό ή στην μεταγεννητική ανάπτυξη. Συνεπώς, δεν συνιστάται η χρήση της λανσοπραζόλης κατά τη διάρκεια της εγκυμοσύνης.</w:t>
      </w:r>
      <w:r w:rsidR="00992D8B" w:rsidRPr="00E56BAA">
        <w:rPr>
          <w:sz w:val="22"/>
          <w:szCs w:val="22"/>
        </w:rPr>
        <w:t xml:space="preserve"> </w:t>
      </w:r>
    </w:p>
    <w:p w:rsidR="004D4FD5" w:rsidRPr="00E56BAA" w:rsidRDefault="001A73CE" w:rsidP="003261A2">
      <w:pPr>
        <w:ind w:left="-284" w:right="-483"/>
        <w:jc w:val="both"/>
        <w:rPr>
          <w:sz w:val="22"/>
          <w:szCs w:val="22"/>
        </w:rPr>
      </w:pPr>
      <w:r w:rsidRPr="00E56BAA">
        <w:rPr>
          <w:sz w:val="22"/>
          <w:szCs w:val="22"/>
          <w:u w:val="single"/>
        </w:rPr>
        <w:t>Γαλουχία</w:t>
      </w:r>
      <w:r w:rsidRPr="00E56BAA">
        <w:rPr>
          <w:sz w:val="22"/>
          <w:szCs w:val="22"/>
        </w:rPr>
        <w:t>:</w:t>
      </w:r>
      <w:r w:rsidR="00992D8B" w:rsidRPr="00E56BAA">
        <w:rPr>
          <w:sz w:val="22"/>
          <w:szCs w:val="22"/>
        </w:rPr>
        <w:t xml:space="preserve"> </w:t>
      </w:r>
      <w:r w:rsidRPr="00E56BAA">
        <w:rPr>
          <w:sz w:val="22"/>
          <w:szCs w:val="22"/>
        </w:rPr>
        <w:t>Δεν είναι γνωστό εάν η λανσοπραζόλη απεκκρίνεται στο ανθρώπινο μητρικό γάλα. Μελέτες σε ζώα έχουν δείξει ότι η λανσοπραζόλη απεκκρίνεται στο γάλα.</w:t>
      </w:r>
      <w:r w:rsidR="00992D8B" w:rsidRPr="00E56BAA">
        <w:rPr>
          <w:sz w:val="22"/>
          <w:szCs w:val="22"/>
        </w:rPr>
        <w:t xml:space="preserve"> </w:t>
      </w:r>
      <w:r w:rsidRPr="00E56BAA">
        <w:rPr>
          <w:sz w:val="22"/>
          <w:szCs w:val="22"/>
        </w:rPr>
        <w:t>Η απόφαση σχετικά με το αν θα συνεχιστεί/διακοπεί ο θηλασμός ή θα συνεχιστεί/διακοπεί η θεραπεία με λανσοπραζόλη πρέπει να λαμβάνεται εξετάζοντας το όφελος τους θηλασμού για το παιδί και το όφελος της θεραπείας με λανσοπραζόλη για τη μητέρα.</w:t>
      </w:r>
      <w:r w:rsidR="00992D8B" w:rsidRPr="00E56BAA">
        <w:rPr>
          <w:sz w:val="22"/>
          <w:szCs w:val="22"/>
        </w:rPr>
        <w:t xml:space="preserve"> </w:t>
      </w:r>
    </w:p>
    <w:p w:rsidR="00FD5B0A" w:rsidRPr="00E56BAA" w:rsidRDefault="00FD5B0A" w:rsidP="003261A2">
      <w:pPr>
        <w:ind w:left="-284" w:right="-483"/>
        <w:jc w:val="both"/>
        <w:rPr>
          <w:sz w:val="22"/>
          <w:szCs w:val="22"/>
        </w:rPr>
      </w:pPr>
    </w:p>
    <w:p w:rsidR="00FD5B0A" w:rsidRPr="00E56BAA" w:rsidRDefault="00FD5B0A" w:rsidP="003261A2">
      <w:pPr>
        <w:numPr>
          <w:ilvl w:val="0"/>
          <w:numId w:val="3"/>
        </w:numPr>
        <w:ind w:left="-284" w:right="-483"/>
        <w:jc w:val="both"/>
        <w:rPr>
          <w:sz w:val="22"/>
          <w:szCs w:val="22"/>
        </w:rPr>
      </w:pPr>
      <w:r w:rsidRPr="00E56BAA">
        <w:rPr>
          <w:b/>
          <w:sz w:val="22"/>
          <w:szCs w:val="22"/>
        </w:rPr>
        <w:t xml:space="preserve"> </w:t>
      </w:r>
      <w:r w:rsidR="00992D8B" w:rsidRPr="00E56BAA">
        <w:rPr>
          <w:b/>
          <w:sz w:val="22"/>
          <w:szCs w:val="22"/>
        </w:rPr>
        <w:t>Επίδραση στην ικανότητα οδήγησης και χειρισμού</w:t>
      </w:r>
      <w:r w:rsidR="00992D8B" w:rsidRPr="00E56BAA">
        <w:rPr>
          <w:b/>
          <w:i/>
          <w:sz w:val="22"/>
          <w:szCs w:val="22"/>
        </w:rPr>
        <w:t xml:space="preserve"> </w:t>
      </w:r>
      <w:r w:rsidR="00992D8B" w:rsidRPr="00E56BAA">
        <w:rPr>
          <w:b/>
          <w:sz w:val="22"/>
          <w:szCs w:val="22"/>
        </w:rPr>
        <w:t>μηχαν</w:t>
      </w:r>
      <w:r w:rsidR="00175C1C" w:rsidRPr="00E56BAA">
        <w:rPr>
          <w:b/>
          <w:sz w:val="22"/>
          <w:szCs w:val="22"/>
        </w:rPr>
        <w:t>ών</w:t>
      </w:r>
    </w:p>
    <w:p w:rsidR="004D4FD5" w:rsidRPr="00E56BAA" w:rsidRDefault="00500C40" w:rsidP="003261A2">
      <w:pPr>
        <w:ind w:left="-284" w:right="-483"/>
        <w:jc w:val="both"/>
        <w:rPr>
          <w:sz w:val="22"/>
          <w:szCs w:val="22"/>
        </w:rPr>
      </w:pPr>
      <w:r w:rsidRPr="00E56BAA">
        <w:rPr>
          <w:sz w:val="22"/>
          <w:szCs w:val="22"/>
        </w:rPr>
        <w:t>Μπορεί να εμφανιστούν ανεπιθύμητες ενέργειες από το φάρμακο όπως ζάλη, ίλλιγος, διαταραχές της όρασης και υπνηλία</w:t>
      </w:r>
      <w:r w:rsidR="00175C1C" w:rsidRPr="00E56BAA">
        <w:rPr>
          <w:sz w:val="22"/>
          <w:szCs w:val="22"/>
        </w:rPr>
        <w:t xml:space="preserve"> (βλέπε παράγραφο 4.8)</w:t>
      </w:r>
      <w:r w:rsidRPr="00E56BAA">
        <w:rPr>
          <w:sz w:val="22"/>
          <w:szCs w:val="22"/>
        </w:rPr>
        <w:t>.</w:t>
      </w:r>
      <w:r w:rsidR="00992D8B" w:rsidRPr="00E56BAA">
        <w:rPr>
          <w:sz w:val="22"/>
          <w:szCs w:val="22"/>
        </w:rPr>
        <w:t xml:space="preserve"> </w:t>
      </w:r>
      <w:r w:rsidRPr="00E56BAA">
        <w:rPr>
          <w:sz w:val="22"/>
          <w:szCs w:val="22"/>
        </w:rPr>
        <w:t>Κάτω από αυτές τι</w:t>
      </w:r>
      <w:r w:rsidR="00541ED2" w:rsidRPr="00E56BAA">
        <w:rPr>
          <w:sz w:val="22"/>
          <w:szCs w:val="22"/>
        </w:rPr>
        <w:t xml:space="preserve">ς συνθήκες η ικανότητα </w:t>
      </w:r>
      <w:r w:rsidRPr="00E56BAA">
        <w:rPr>
          <w:sz w:val="22"/>
          <w:szCs w:val="22"/>
        </w:rPr>
        <w:t>αντίδρασης μπορεί να μειωθεί.</w:t>
      </w:r>
    </w:p>
    <w:p w:rsidR="00FD5B0A" w:rsidRPr="00E56BAA" w:rsidRDefault="00FD5B0A" w:rsidP="003261A2">
      <w:pPr>
        <w:ind w:left="-284" w:right="-483"/>
        <w:jc w:val="both"/>
        <w:rPr>
          <w:sz w:val="22"/>
          <w:szCs w:val="22"/>
        </w:rPr>
      </w:pPr>
    </w:p>
    <w:p w:rsidR="00FD5B0A" w:rsidRPr="00E56BAA" w:rsidRDefault="003D0CB9" w:rsidP="003261A2">
      <w:pPr>
        <w:numPr>
          <w:ilvl w:val="0"/>
          <w:numId w:val="3"/>
        </w:numPr>
        <w:ind w:left="-284" w:right="-483"/>
        <w:jc w:val="both"/>
        <w:rPr>
          <w:sz w:val="22"/>
          <w:szCs w:val="22"/>
        </w:rPr>
      </w:pPr>
      <w:r w:rsidRPr="00E56BAA">
        <w:rPr>
          <w:sz w:val="22"/>
          <w:szCs w:val="22"/>
        </w:rPr>
        <w:t xml:space="preserve"> </w:t>
      </w:r>
      <w:r w:rsidR="00992D8B" w:rsidRPr="00E56BAA">
        <w:rPr>
          <w:b/>
          <w:sz w:val="22"/>
          <w:szCs w:val="22"/>
        </w:rPr>
        <w:t>Ανεπιθύμητες ενέργειες</w:t>
      </w:r>
    </w:p>
    <w:p w:rsidR="00B83C29" w:rsidRPr="00E56BAA" w:rsidRDefault="00B83C29" w:rsidP="003261A2">
      <w:pPr>
        <w:ind w:left="-284" w:right="-483"/>
        <w:jc w:val="both"/>
        <w:rPr>
          <w:sz w:val="22"/>
          <w:szCs w:val="22"/>
        </w:rPr>
      </w:pPr>
      <w:r w:rsidRPr="00E56BAA">
        <w:rPr>
          <w:sz w:val="22"/>
          <w:szCs w:val="22"/>
        </w:rPr>
        <w:t xml:space="preserve">Οι συχνότητες ορίζονται ως συχνές (&gt;1/100, &lt;1/10), όχι συχνές (&gt;1.000, &lt;1/100), σπάνιες (&gt;1/10.000, &lt;1/1.000), πολύ σπάνιες (&lt;1/10.000). </w:t>
      </w:r>
    </w:p>
    <w:p w:rsidR="00B83C29" w:rsidRPr="00E56BAA" w:rsidRDefault="00B83C29" w:rsidP="003261A2">
      <w:pPr>
        <w:ind w:left="-284" w:right="-483"/>
        <w:jc w:val="both"/>
        <w:rPr>
          <w:sz w:val="22"/>
          <w:szCs w:val="22"/>
        </w:rPr>
      </w:pPr>
    </w:p>
    <w:tbl>
      <w:tblPr>
        <w:tblW w:w="101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043"/>
        <w:gridCol w:w="2047"/>
        <w:gridCol w:w="1827"/>
        <w:gridCol w:w="2195"/>
      </w:tblGrid>
      <w:tr w:rsidR="00734D0C" w:rsidRPr="00E56BAA" w:rsidTr="00093037">
        <w:tc>
          <w:tcPr>
            <w:tcW w:w="2061"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p>
        </w:tc>
        <w:tc>
          <w:tcPr>
            <w:tcW w:w="2043"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b/>
                <w:szCs w:val="22"/>
              </w:rPr>
            </w:pPr>
            <w:r w:rsidRPr="00093037">
              <w:rPr>
                <w:rFonts w:ascii="Times New Roman" w:hAnsi="Times New Roman"/>
                <w:b/>
                <w:szCs w:val="22"/>
              </w:rPr>
              <w:t>Συχνές</w:t>
            </w:r>
          </w:p>
        </w:tc>
        <w:tc>
          <w:tcPr>
            <w:tcW w:w="204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b/>
                <w:szCs w:val="22"/>
              </w:rPr>
            </w:pPr>
            <w:r w:rsidRPr="00093037">
              <w:rPr>
                <w:rFonts w:ascii="Times New Roman" w:hAnsi="Times New Roman"/>
                <w:b/>
                <w:szCs w:val="22"/>
              </w:rPr>
              <w:t>Όχι συχνές</w:t>
            </w:r>
          </w:p>
        </w:tc>
        <w:tc>
          <w:tcPr>
            <w:tcW w:w="182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b/>
                <w:szCs w:val="22"/>
              </w:rPr>
            </w:pPr>
            <w:r w:rsidRPr="00093037">
              <w:rPr>
                <w:rFonts w:ascii="Times New Roman" w:hAnsi="Times New Roman"/>
                <w:b/>
                <w:szCs w:val="22"/>
              </w:rPr>
              <w:t>Σπάνιες</w:t>
            </w:r>
          </w:p>
        </w:tc>
        <w:tc>
          <w:tcPr>
            <w:tcW w:w="2195"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b/>
                <w:szCs w:val="22"/>
              </w:rPr>
            </w:pPr>
            <w:r w:rsidRPr="00093037">
              <w:rPr>
                <w:rFonts w:ascii="Times New Roman" w:hAnsi="Times New Roman"/>
                <w:b/>
                <w:szCs w:val="22"/>
              </w:rPr>
              <w:t>Πολύ σπάνιες</w:t>
            </w:r>
          </w:p>
        </w:tc>
      </w:tr>
      <w:tr w:rsidR="00734D0C" w:rsidRPr="00E56BAA" w:rsidTr="00093037">
        <w:tc>
          <w:tcPr>
            <w:tcW w:w="2061"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t>Διαταραχές του αιμοποιητικού και του λεμφικού συστήματος</w:t>
            </w:r>
          </w:p>
        </w:tc>
        <w:tc>
          <w:tcPr>
            <w:tcW w:w="2043"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204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proofErr w:type="spellStart"/>
            <w:r w:rsidRPr="00093037">
              <w:rPr>
                <w:rFonts w:ascii="Times New Roman" w:hAnsi="Times New Roman"/>
                <w:szCs w:val="22"/>
              </w:rPr>
              <w:t>Θρομβοκυτοπενία</w:t>
            </w:r>
            <w:proofErr w:type="spellEnd"/>
            <w:r w:rsidRPr="00093037">
              <w:rPr>
                <w:rFonts w:ascii="Times New Roman" w:hAnsi="Times New Roman"/>
                <w:szCs w:val="22"/>
              </w:rPr>
              <w:t xml:space="preserve">, </w:t>
            </w:r>
            <w:proofErr w:type="spellStart"/>
            <w:r w:rsidRPr="00093037">
              <w:rPr>
                <w:rFonts w:ascii="Times New Roman" w:hAnsi="Times New Roman"/>
                <w:szCs w:val="22"/>
              </w:rPr>
              <w:t>ηωσινοφιλία</w:t>
            </w:r>
            <w:proofErr w:type="spellEnd"/>
            <w:r w:rsidRPr="00093037">
              <w:rPr>
                <w:rFonts w:ascii="Times New Roman" w:hAnsi="Times New Roman"/>
                <w:szCs w:val="22"/>
              </w:rPr>
              <w:t xml:space="preserve">, </w:t>
            </w:r>
            <w:proofErr w:type="spellStart"/>
            <w:r w:rsidRPr="00093037">
              <w:rPr>
                <w:rFonts w:ascii="Times New Roman" w:hAnsi="Times New Roman"/>
                <w:szCs w:val="22"/>
              </w:rPr>
              <w:t>λευκοπενία</w:t>
            </w:r>
            <w:proofErr w:type="spellEnd"/>
          </w:p>
        </w:tc>
        <w:tc>
          <w:tcPr>
            <w:tcW w:w="182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r w:rsidRPr="00093037">
              <w:rPr>
                <w:rFonts w:ascii="Times New Roman" w:hAnsi="Times New Roman"/>
                <w:szCs w:val="22"/>
              </w:rPr>
              <w:t>Αναιμία</w:t>
            </w:r>
          </w:p>
        </w:tc>
        <w:tc>
          <w:tcPr>
            <w:tcW w:w="2195"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proofErr w:type="spellStart"/>
            <w:r w:rsidRPr="00093037">
              <w:rPr>
                <w:rFonts w:ascii="Times New Roman" w:hAnsi="Times New Roman"/>
                <w:szCs w:val="22"/>
              </w:rPr>
              <w:t>Ακοκκιοκυτταραιμία</w:t>
            </w:r>
            <w:proofErr w:type="spellEnd"/>
            <w:r w:rsidRPr="00093037">
              <w:rPr>
                <w:rFonts w:ascii="Times New Roman" w:hAnsi="Times New Roman"/>
                <w:szCs w:val="22"/>
              </w:rPr>
              <w:t xml:space="preserve">, </w:t>
            </w:r>
            <w:proofErr w:type="spellStart"/>
            <w:r w:rsidRPr="00093037">
              <w:rPr>
                <w:rFonts w:ascii="Times New Roman" w:hAnsi="Times New Roman"/>
                <w:szCs w:val="22"/>
              </w:rPr>
              <w:t>πανκυτοπενία</w:t>
            </w:r>
            <w:proofErr w:type="spellEnd"/>
          </w:p>
        </w:tc>
      </w:tr>
      <w:tr w:rsidR="00734D0C" w:rsidRPr="00E56BAA" w:rsidTr="00093037">
        <w:tc>
          <w:tcPr>
            <w:tcW w:w="2061"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t>Ψυχιατρικές διαταραχές</w:t>
            </w:r>
          </w:p>
        </w:tc>
        <w:tc>
          <w:tcPr>
            <w:tcW w:w="2043"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p>
        </w:tc>
        <w:tc>
          <w:tcPr>
            <w:tcW w:w="204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r w:rsidRPr="00093037">
              <w:rPr>
                <w:rFonts w:ascii="Times New Roman" w:hAnsi="Times New Roman"/>
                <w:szCs w:val="22"/>
              </w:rPr>
              <w:t>Κατάθλιψη</w:t>
            </w:r>
          </w:p>
        </w:tc>
        <w:tc>
          <w:tcPr>
            <w:tcW w:w="182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r w:rsidRPr="00093037">
              <w:rPr>
                <w:rFonts w:ascii="Times New Roman" w:hAnsi="Times New Roman"/>
                <w:szCs w:val="22"/>
              </w:rPr>
              <w:t>Αϋπνία, ψευδαίσθηση, σύγχυση</w:t>
            </w:r>
          </w:p>
        </w:tc>
        <w:tc>
          <w:tcPr>
            <w:tcW w:w="2195"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p>
        </w:tc>
      </w:tr>
      <w:tr w:rsidR="00734D0C" w:rsidRPr="00E56BAA" w:rsidTr="00093037">
        <w:trPr>
          <w:trHeight w:val="1362"/>
        </w:trPr>
        <w:tc>
          <w:tcPr>
            <w:tcW w:w="2061"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t>Διαταραχές του νευρικού συστήματος</w:t>
            </w:r>
          </w:p>
        </w:tc>
        <w:tc>
          <w:tcPr>
            <w:tcW w:w="2043"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r w:rsidRPr="00093037">
              <w:rPr>
                <w:rFonts w:ascii="Times New Roman" w:hAnsi="Times New Roman"/>
                <w:szCs w:val="22"/>
              </w:rPr>
              <w:t>Κεφαλαλγία, ζάλη</w:t>
            </w:r>
          </w:p>
        </w:tc>
        <w:tc>
          <w:tcPr>
            <w:tcW w:w="204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p>
        </w:tc>
        <w:tc>
          <w:tcPr>
            <w:tcW w:w="1827" w:type="dxa"/>
          </w:tcPr>
          <w:p w:rsidR="00B83C29"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Ανησυχία, ίλιγγος, παραισθησία, υπνηλία, τρόμος</w:t>
            </w:r>
          </w:p>
        </w:tc>
        <w:tc>
          <w:tcPr>
            <w:tcW w:w="2195"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r>
      <w:tr w:rsidR="00734D0C" w:rsidRPr="00E56BAA" w:rsidTr="00093037">
        <w:tc>
          <w:tcPr>
            <w:tcW w:w="2061" w:type="dxa"/>
          </w:tcPr>
          <w:p w:rsidR="00B83C29"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b/>
                <w:szCs w:val="22"/>
              </w:rPr>
            </w:pPr>
            <w:r w:rsidRPr="00093037">
              <w:rPr>
                <w:rFonts w:ascii="Times New Roman" w:hAnsi="Times New Roman"/>
                <w:b/>
                <w:szCs w:val="22"/>
                <w:lang w:val="el-GR"/>
              </w:rPr>
              <w:t>Οφθαλμικές διαταραχές</w:t>
            </w:r>
          </w:p>
        </w:tc>
        <w:tc>
          <w:tcPr>
            <w:tcW w:w="2043"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p>
        </w:tc>
        <w:tc>
          <w:tcPr>
            <w:tcW w:w="204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p>
        </w:tc>
        <w:tc>
          <w:tcPr>
            <w:tcW w:w="1827" w:type="dxa"/>
          </w:tcPr>
          <w:p w:rsidR="00B83C29" w:rsidRPr="00093037" w:rsidRDefault="00AB557F" w:rsidP="003261A2">
            <w:pPr>
              <w:pStyle w:val="NORMALSTYLE"/>
              <w:overflowPunct w:val="0"/>
              <w:autoSpaceDE w:val="0"/>
              <w:autoSpaceDN w:val="0"/>
              <w:adjustRightInd w:val="0"/>
              <w:spacing w:line="240" w:lineRule="auto"/>
              <w:textAlignment w:val="baseline"/>
              <w:rPr>
                <w:rFonts w:ascii="Times New Roman" w:hAnsi="Times New Roman"/>
                <w:szCs w:val="22"/>
              </w:rPr>
            </w:pPr>
            <w:r w:rsidRPr="00093037">
              <w:rPr>
                <w:rFonts w:ascii="Times New Roman" w:hAnsi="Times New Roman"/>
                <w:szCs w:val="22"/>
                <w:lang w:val="el-GR"/>
              </w:rPr>
              <w:t>Ο</w:t>
            </w:r>
            <w:proofErr w:type="spellStart"/>
            <w:r w:rsidR="00734D0C" w:rsidRPr="00093037">
              <w:rPr>
                <w:rFonts w:ascii="Times New Roman" w:hAnsi="Times New Roman"/>
                <w:szCs w:val="22"/>
              </w:rPr>
              <w:t>πτικές</w:t>
            </w:r>
            <w:proofErr w:type="spellEnd"/>
            <w:r w:rsidR="00734D0C" w:rsidRPr="00093037">
              <w:rPr>
                <w:rFonts w:ascii="Times New Roman" w:hAnsi="Times New Roman"/>
                <w:szCs w:val="22"/>
              </w:rPr>
              <w:t xml:space="preserve"> </w:t>
            </w:r>
            <w:proofErr w:type="spellStart"/>
            <w:r w:rsidR="00734D0C" w:rsidRPr="00093037">
              <w:rPr>
                <w:rFonts w:ascii="Times New Roman" w:hAnsi="Times New Roman"/>
                <w:szCs w:val="22"/>
              </w:rPr>
              <w:t>διαταραχές</w:t>
            </w:r>
            <w:proofErr w:type="spellEnd"/>
          </w:p>
        </w:tc>
        <w:tc>
          <w:tcPr>
            <w:tcW w:w="2195"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p>
        </w:tc>
      </w:tr>
      <w:tr w:rsidR="00734D0C" w:rsidRPr="00E56BAA" w:rsidTr="00093037">
        <w:tc>
          <w:tcPr>
            <w:tcW w:w="2061" w:type="dxa"/>
          </w:tcPr>
          <w:p w:rsidR="00B83C29"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b/>
                <w:szCs w:val="22"/>
              </w:rPr>
            </w:pPr>
            <w:r w:rsidRPr="00093037">
              <w:rPr>
                <w:rFonts w:ascii="Times New Roman" w:hAnsi="Times New Roman"/>
                <w:b/>
                <w:szCs w:val="22"/>
              </w:rPr>
              <w:t>Διαταραχές του γαστρεντερικού συστήματος</w:t>
            </w:r>
          </w:p>
        </w:tc>
        <w:tc>
          <w:tcPr>
            <w:tcW w:w="2043" w:type="dxa"/>
          </w:tcPr>
          <w:p w:rsidR="00B83C29" w:rsidRPr="00093037" w:rsidRDefault="00AB557F"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Ν</w:t>
            </w:r>
            <w:r w:rsidR="00734D0C" w:rsidRPr="00093037">
              <w:rPr>
                <w:rFonts w:ascii="Times New Roman" w:hAnsi="Times New Roman"/>
                <w:szCs w:val="22"/>
                <w:lang w:val="el-GR"/>
              </w:rPr>
              <w:t>αυτία, διάρροια, στομαχικός πόνος, δυσκοιλιότητα, έμετος, μετεωρισμός, ξηροστομία ή ξηρότητα του φάρυγγα</w:t>
            </w:r>
          </w:p>
        </w:tc>
        <w:tc>
          <w:tcPr>
            <w:tcW w:w="204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1827" w:type="dxa"/>
          </w:tcPr>
          <w:p w:rsidR="00B83C29" w:rsidRPr="00093037" w:rsidRDefault="00AB557F"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γλωσσίτιδα, καντιντία</w:t>
            </w:r>
            <w:r w:rsidR="00734D0C" w:rsidRPr="00093037">
              <w:rPr>
                <w:rFonts w:ascii="Times New Roman" w:hAnsi="Times New Roman"/>
                <w:szCs w:val="22"/>
                <w:lang w:val="el-GR"/>
              </w:rPr>
              <w:t>ση του οισοφάγου, παγκρεατίτιδα, διαταραχές της γεύσης</w:t>
            </w:r>
          </w:p>
        </w:tc>
        <w:tc>
          <w:tcPr>
            <w:tcW w:w="2195" w:type="dxa"/>
          </w:tcPr>
          <w:p w:rsidR="00B83C29" w:rsidRPr="00093037" w:rsidRDefault="00AB557F" w:rsidP="003261A2">
            <w:pPr>
              <w:pStyle w:val="NORMALSTYLE"/>
              <w:overflowPunct w:val="0"/>
              <w:autoSpaceDE w:val="0"/>
              <w:autoSpaceDN w:val="0"/>
              <w:adjustRightInd w:val="0"/>
              <w:spacing w:line="240" w:lineRule="auto"/>
              <w:textAlignment w:val="baseline"/>
              <w:rPr>
                <w:rFonts w:ascii="Times New Roman" w:hAnsi="Times New Roman"/>
                <w:szCs w:val="22"/>
              </w:rPr>
            </w:pPr>
            <w:r w:rsidRPr="00093037">
              <w:rPr>
                <w:rFonts w:ascii="Times New Roman" w:hAnsi="Times New Roman"/>
                <w:szCs w:val="22"/>
                <w:lang w:val="el-GR"/>
              </w:rPr>
              <w:t>Κ</w:t>
            </w:r>
            <w:proofErr w:type="spellStart"/>
            <w:r w:rsidR="00FC6E9D" w:rsidRPr="00093037">
              <w:rPr>
                <w:rFonts w:ascii="Times New Roman" w:hAnsi="Times New Roman"/>
                <w:szCs w:val="22"/>
              </w:rPr>
              <w:t>ολίτιδα</w:t>
            </w:r>
            <w:proofErr w:type="spellEnd"/>
            <w:r w:rsidR="00FC6E9D" w:rsidRPr="00093037">
              <w:rPr>
                <w:rFonts w:ascii="Times New Roman" w:hAnsi="Times New Roman"/>
                <w:szCs w:val="22"/>
              </w:rPr>
              <w:t>,</w:t>
            </w:r>
            <w:r w:rsidR="00FC6E9D" w:rsidRPr="00093037">
              <w:rPr>
                <w:rFonts w:ascii="Times New Roman" w:hAnsi="Times New Roman"/>
                <w:szCs w:val="22"/>
                <w:lang w:val="el-GR"/>
              </w:rPr>
              <w:t xml:space="preserve"> </w:t>
            </w:r>
            <w:proofErr w:type="spellStart"/>
            <w:r w:rsidR="00734D0C" w:rsidRPr="00093037">
              <w:rPr>
                <w:rFonts w:ascii="Times New Roman" w:hAnsi="Times New Roman"/>
                <w:szCs w:val="22"/>
              </w:rPr>
              <w:t>στοματίτιδα</w:t>
            </w:r>
            <w:proofErr w:type="spellEnd"/>
          </w:p>
        </w:tc>
      </w:tr>
      <w:tr w:rsidR="00734D0C" w:rsidRPr="00E56BAA" w:rsidTr="00093037">
        <w:tc>
          <w:tcPr>
            <w:tcW w:w="2061" w:type="dxa"/>
          </w:tcPr>
          <w:p w:rsidR="00B83C29"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t>Διαταραχές του ήπατος και τον χοληφόρων</w:t>
            </w:r>
          </w:p>
        </w:tc>
        <w:tc>
          <w:tcPr>
            <w:tcW w:w="2043" w:type="dxa"/>
          </w:tcPr>
          <w:p w:rsidR="00B83C29"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Αύξηση των επιπέδων των ηπατικών ενζύμων</w:t>
            </w:r>
          </w:p>
        </w:tc>
        <w:tc>
          <w:tcPr>
            <w:tcW w:w="204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1827" w:type="dxa"/>
          </w:tcPr>
          <w:p w:rsidR="00B83C29"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szCs w:val="22"/>
              </w:rPr>
            </w:pPr>
            <w:r w:rsidRPr="00093037">
              <w:rPr>
                <w:rFonts w:ascii="Times New Roman" w:hAnsi="Times New Roman"/>
                <w:szCs w:val="22"/>
              </w:rPr>
              <w:t>Ηπατίτιδα, ίκτερος</w:t>
            </w:r>
          </w:p>
        </w:tc>
        <w:tc>
          <w:tcPr>
            <w:tcW w:w="2195"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rPr>
            </w:pPr>
          </w:p>
        </w:tc>
      </w:tr>
      <w:tr w:rsidR="00FC6E9D" w:rsidRPr="00E56BAA" w:rsidTr="00093037">
        <w:tc>
          <w:tcPr>
            <w:tcW w:w="2061" w:type="dxa"/>
          </w:tcPr>
          <w:p w:rsidR="00734D0C"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t xml:space="preserve">Διαταραχές του δέρματος και του </w:t>
            </w:r>
            <w:r w:rsidRPr="00093037">
              <w:rPr>
                <w:rFonts w:ascii="Times New Roman" w:hAnsi="Times New Roman"/>
                <w:b/>
                <w:szCs w:val="22"/>
                <w:lang w:val="el-GR"/>
              </w:rPr>
              <w:lastRenderedPageBreak/>
              <w:t>υποδόριου ιστού</w:t>
            </w:r>
          </w:p>
        </w:tc>
        <w:tc>
          <w:tcPr>
            <w:tcW w:w="2043" w:type="dxa"/>
          </w:tcPr>
          <w:p w:rsidR="00734D0C"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szCs w:val="22"/>
              </w:rPr>
            </w:pPr>
            <w:proofErr w:type="spellStart"/>
            <w:r w:rsidRPr="00093037">
              <w:rPr>
                <w:rFonts w:ascii="Times New Roman" w:hAnsi="Times New Roman"/>
                <w:szCs w:val="22"/>
              </w:rPr>
              <w:lastRenderedPageBreak/>
              <w:t>κνίδωση</w:t>
            </w:r>
            <w:proofErr w:type="spellEnd"/>
            <w:r w:rsidRPr="00093037">
              <w:rPr>
                <w:rFonts w:ascii="Times New Roman" w:hAnsi="Times New Roman"/>
                <w:szCs w:val="22"/>
              </w:rPr>
              <w:t xml:space="preserve">, </w:t>
            </w:r>
            <w:proofErr w:type="spellStart"/>
            <w:r w:rsidRPr="00093037">
              <w:rPr>
                <w:rFonts w:ascii="Times New Roman" w:hAnsi="Times New Roman"/>
                <w:szCs w:val="22"/>
              </w:rPr>
              <w:t>κνησμός,εξάνθημα</w:t>
            </w:r>
            <w:proofErr w:type="spellEnd"/>
          </w:p>
        </w:tc>
        <w:tc>
          <w:tcPr>
            <w:tcW w:w="2047" w:type="dxa"/>
          </w:tcPr>
          <w:p w:rsidR="00734D0C"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szCs w:val="22"/>
              </w:rPr>
            </w:pPr>
          </w:p>
        </w:tc>
        <w:tc>
          <w:tcPr>
            <w:tcW w:w="1827" w:type="dxa"/>
          </w:tcPr>
          <w:p w:rsidR="00734D0C" w:rsidRPr="00093037" w:rsidRDefault="00734D0C"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 xml:space="preserve">Πετέχειες, πορφύρα, </w:t>
            </w:r>
            <w:r w:rsidRPr="00093037">
              <w:rPr>
                <w:rFonts w:ascii="Times New Roman" w:hAnsi="Times New Roman"/>
                <w:szCs w:val="22"/>
                <w:lang w:val="el-GR"/>
              </w:rPr>
              <w:lastRenderedPageBreak/>
              <w:t>απώλεια μαλλιών, π</w:t>
            </w:r>
            <w:r w:rsidR="00FC6E9D" w:rsidRPr="00093037">
              <w:rPr>
                <w:rFonts w:ascii="Times New Roman" w:hAnsi="Times New Roman"/>
                <w:szCs w:val="22"/>
                <w:lang w:val="el-GR"/>
              </w:rPr>
              <w:t>ολύμορφο ερύθημα</w:t>
            </w:r>
            <w:r w:rsidRPr="00093037">
              <w:rPr>
                <w:rFonts w:ascii="Times New Roman" w:hAnsi="Times New Roman"/>
                <w:szCs w:val="22"/>
                <w:lang w:val="el-GR"/>
              </w:rPr>
              <w:t>, φωτοευαισθησία</w:t>
            </w:r>
          </w:p>
        </w:tc>
        <w:tc>
          <w:tcPr>
            <w:tcW w:w="2195" w:type="dxa"/>
          </w:tcPr>
          <w:p w:rsidR="00734D0C"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lastRenderedPageBreak/>
              <w:t xml:space="preserve">Σύνδρομο </w:t>
            </w:r>
            <w:r w:rsidRPr="00093037">
              <w:rPr>
                <w:rFonts w:ascii="Times New Roman" w:hAnsi="Times New Roman"/>
                <w:szCs w:val="22"/>
                <w:lang w:val="en-US"/>
              </w:rPr>
              <w:t>Stevens</w:t>
            </w:r>
            <w:r w:rsidRPr="00093037">
              <w:rPr>
                <w:rFonts w:ascii="Times New Roman" w:hAnsi="Times New Roman"/>
                <w:szCs w:val="22"/>
                <w:lang w:val="el-GR"/>
              </w:rPr>
              <w:t>-</w:t>
            </w:r>
            <w:r w:rsidRPr="00093037">
              <w:rPr>
                <w:rFonts w:ascii="Times New Roman" w:hAnsi="Times New Roman"/>
                <w:szCs w:val="22"/>
                <w:lang w:val="en-US"/>
              </w:rPr>
              <w:t>Johnson</w:t>
            </w:r>
            <w:r w:rsidRPr="00093037">
              <w:rPr>
                <w:rFonts w:ascii="Times New Roman" w:hAnsi="Times New Roman"/>
                <w:szCs w:val="22"/>
                <w:lang w:val="el-GR"/>
              </w:rPr>
              <w:t xml:space="preserve">, τοξική </w:t>
            </w:r>
            <w:r w:rsidRPr="00093037">
              <w:rPr>
                <w:rFonts w:ascii="Times New Roman" w:hAnsi="Times New Roman"/>
                <w:szCs w:val="22"/>
                <w:lang w:val="el-GR"/>
              </w:rPr>
              <w:lastRenderedPageBreak/>
              <w:t>επιδερμική νεκρόλυση</w:t>
            </w:r>
          </w:p>
        </w:tc>
      </w:tr>
      <w:tr w:rsidR="00734D0C" w:rsidRPr="00E56BAA" w:rsidTr="00093037">
        <w:tc>
          <w:tcPr>
            <w:tcW w:w="2061" w:type="dxa"/>
          </w:tcPr>
          <w:p w:rsidR="00B83C29"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lastRenderedPageBreak/>
              <w:t>Διαταραχές του μυοσκελετικού συστήματος και του συνδετικού ιστού</w:t>
            </w:r>
          </w:p>
        </w:tc>
        <w:tc>
          <w:tcPr>
            <w:tcW w:w="2043"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2047" w:type="dxa"/>
          </w:tcPr>
          <w:p w:rsidR="00B83C29"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Αρθραλγία, μυαλγία</w:t>
            </w:r>
          </w:p>
        </w:tc>
        <w:tc>
          <w:tcPr>
            <w:tcW w:w="1827"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2195" w:type="dxa"/>
          </w:tcPr>
          <w:p w:rsidR="00B83C29" w:rsidRPr="00093037" w:rsidRDefault="00B83C29"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r>
      <w:tr w:rsidR="00FC6E9D" w:rsidRPr="00E56BAA" w:rsidTr="00093037">
        <w:tc>
          <w:tcPr>
            <w:tcW w:w="2061"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t>Διαταραχές των νεφρών και των ουροφόρων οδών</w:t>
            </w:r>
          </w:p>
        </w:tc>
        <w:tc>
          <w:tcPr>
            <w:tcW w:w="2043"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2047"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1827" w:type="dxa"/>
          </w:tcPr>
          <w:p w:rsidR="00FC6E9D" w:rsidRPr="00093037" w:rsidRDefault="00AB557F"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Δ</w:t>
            </w:r>
            <w:r w:rsidR="00FC6E9D" w:rsidRPr="00093037">
              <w:rPr>
                <w:rFonts w:ascii="Times New Roman" w:hAnsi="Times New Roman"/>
                <w:szCs w:val="22"/>
                <w:lang w:val="el-GR"/>
              </w:rPr>
              <w:t>ιάμεση νεφρίτιδα</w:t>
            </w:r>
          </w:p>
        </w:tc>
        <w:tc>
          <w:tcPr>
            <w:tcW w:w="2195"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r>
      <w:tr w:rsidR="00FC6E9D" w:rsidRPr="00E56BAA" w:rsidTr="00093037">
        <w:tc>
          <w:tcPr>
            <w:tcW w:w="2061"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t>Διαταραχές του αναπαραγωγικού συστήματος και του</w:t>
            </w:r>
            <w:r w:rsidRPr="00093037">
              <w:rPr>
                <w:rFonts w:ascii="Times New Roman" w:hAnsi="Times New Roman"/>
                <w:b/>
                <w:szCs w:val="22"/>
                <w:u w:val="single"/>
                <w:lang w:val="el-GR"/>
              </w:rPr>
              <w:t xml:space="preserve"> </w:t>
            </w:r>
            <w:r w:rsidRPr="00093037">
              <w:rPr>
                <w:rFonts w:ascii="Times New Roman" w:hAnsi="Times New Roman"/>
                <w:b/>
                <w:szCs w:val="22"/>
                <w:lang w:val="el-GR"/>
              </w:rPr>
              <w:t>μαστού</w:t>
            </w:r>
          </w:p>
        </w:tc>
        <w:tc>
          <w:tcPr>
            <w:tcW w:w="2043"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2047"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1827" w:type="dxa"/>
          </w:tcPr>
          <w:p w:rsidR="00FC6E9D" w:rsidRPr="00093037" w:rsidRDefault="00AB557F"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Γ</w:t>
            </w:r>
            <w:r w:rsidR="00FC6E9D" w:rsidRPr="00093037">
              <w:rPr>
                <w:rFonts w:ascii="Times New Roman" w:hAnsi="Times New Roman"/>
                <w:szCs w:val="22"/>
                <w:lang w:val="el-GR"/>
              </w:rPr>
              <w:t>υναικομαστία</w:t>
            </w:r>
          </w:p>
        </w:tc>
        <w:tc>
          <w:tcPr>
            <w:tcW w:w="2195"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r>
      <w:tr w:rsidR="00FC6E9D" w:rsidRPr="00E56BAA" w:rsidTr="00093037">
        <w:tc>
          <w:tcPr>
            <w:tcW w:w="2061"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t>Γενικές διαταραχές και καταστάσεις της οδού χορήγησης</w:t>
            </w:r>
          </w:p>
        </w:tc>
        <w:tc>
          <w:tcPr>
            <w:tcW w:w="2043"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Κόπωση</w:t>
            </w:r>
          </w:p>
        </w:tc>
        <w:tc>
          <w:tcPr>
            <w:tcW w:w="2047"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Οίδημα</w:t>
            </w:r>
          </w:p>
        </w:tc>
        <w:tc>
          <w:tcPr>
            <w:tcW w:w="1827"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Πυρετός, υπερίδρωση, αγγειοοίδημα, ανορεξία, ανικανότητα</w:t>
            </w:r>
          </w:p>
        </w:tc>
        <w:tc>
          <w:tcPr>
            <w:tcW w:w="2195" w:type="dxa"/>
          </w:tcPr>
          <w:p w:rsidR="00FC6E9D" w:rsidRPr="00093037" w:rsidRDefault="00AB557F"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Α</w:t>
            </w:r>
            <w:r w:rsidR="00FC6E9D" w:rsidRPr="00093037">
              <w:rPr>
                <w:rFonts w:ascii="Times New Roman" w:hAnsi="Times New Roman"/>
                <w:szCs w:val="22"/>
                <w:lang w:val="el-GR"/>
              </w:rPr>
              <w:t>ναφυλακτικό σοκ</w:t>
            </w:r>
          </w:p>
        </w:tc>
      </w:tr>
      <w:tr w:rsidR="00FC6E9D" w:rsidRPr="00E56BAA" w:rsidTr="00093037">
        <w:tc>
          <w:tcPr>
            <w:tcW w:w="2061"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b/>
                <w:szCs w:val="22"/>
                <w:lang w:val="el-GR"/>
              </w:rPr>
            </w:pPr>
            <w:r w:rsidRPr="00093037">
              <w:rPr>
                <w:rFonts w:ascii="Times New Roman" w:hAnsi="Times New Roman"/>
                <w:b/>
                <w:szCs w:val="22"/>
                <w:lang w:val="el-GR"/>
              </w:rPr>
              <w:t>Παρακλινικές εξετάσεις</w:t>
            </w:r>
          </w:p>
        </w:tc>
        <w:tc>
          <w:tcPr>
            <w:tcW w:w="2043"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2047"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1827" w:type="dxa"/>
          </w:tcPr>
          <w:p w:rsidR="00FC6E9D" w:rsidRPr="00093037" w:rsidRDefault="00FC6E9D"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p>
        </w:tc>
        <w:tc>
          <w:tcPr>
            <w:tcW w:w="2195" w:type="dxa"/>
          </w:tcPr>
          <w:p w:rsidR="00FC6E9D" w:rsidRPr="00093037" w:rsidRDefault="00AB557F" w:rsidP="003261A2">
            <w:pPr>
              <w:pStyle w:val="NORMALSTYLE"/>
              <w:overflowPunct w:val="0"/>
              <w:autoSpaceDE w:val="0"/>
              <w:autoSpaceDN w:val="0"/>
              <w:adjustRightInd w:val="0"/>
              <w:spacing w:line="240" w:lineRule="auto"/>
              <w:textAlignment w:val="baseline"/>
              <w:rPr>
                <w:rFonts w:ascii="Times New Roman" w:hAnsi="Times New Roman"/>
                <w:szCs w:val="22"/>
                <w:lang w:val="el-GR"/>
              </w:rPr>
            </w:pPr>
            <w:r w:rsidRPr="00093037">
              <w:rPr>
                <w:rFonts w:ascii="Times New Roman" w:hAnsi="Times New Roman"/>
                <w:szCs w:val="22"/>
                <w:lang w:val="el-GR"/>
              </w:rPr>
              <w:t>Α</w:t>
            </w:r>
            <w:r w:rsidR="00FC6E9D" w:rsidRPr="00093037">
              <w:rPr>
                <w:rFonts w:ascii="Times New Roman" w:hAnsi="Times New Roman"/>
                <w:szCs w:val="22"/>
                <w:lang w:val="el-GR"/>
              </w:rPr>
              <w:t>ύξηση των επιπέδων της χοληστερόλης και των τριγλυκεριδίων, υπονατριαιμία</w:t>
            </w:r>
          </w:p>
        </w:tc>
      </w:tr>
    </w:tbl>
    <w:p w:rsidR="00FD5B0A" w:rsidRPr="00E56BAA" w:rsidRDefault="00FD5B0A" w:rsidP="003261A2">
      <w:pPr>
        <w:ind w:left="-284" w:right="-483"/>
        <w:jc w:val="both"/>
        <w:rPr>
          <w:sz w:val="22"/>
          <w:szCs w:val="22"/>
        </w:rPr>
      </w:pPr>
    </w:p>
    <w:p w:rsidR="00FD5B0A" w:rsidRPr="00E56BAA" w:rsidRDefault="00FD5B0A" w:rsidP="003261A2">
      <w:pPr>
        <w:numPr>
          <w:ilvl w:val="0"/>
          <w:numId w:val="3"/>
        </w:numPr>
        <w:ind w:left="-284" w:right="-483"/>
        <w:jc w:val="both"/>
        <w:rPr>
          <w:sz w:val="22"/>
          <w:szCs w:val="22"/>
        </w:rPr>
      </w:pPr>
      <w:r w:rsidRPr="00E56BAA">
        <w:rPr>
          <w:b/>
          <w:sz w:val="22"/>
          <w:szCs w:val="22"/>
        </w:rPr>
        <w:t xml:space="preserve"> </w:t>
      </w:r>
      <w:r w:rsidR="00835648" w:rsidRPr="00E56BAA">
        <w:rPr>
          <w:b/>
          <w:sz w:val="22"/>
          <w:szCs w:val="22"/>
        </w:rPr>
        <w:t>Υπερδοσολογία</w:t>
      </w:r>
    </w:p>
    <w:p w:rsidR="00FC6E9D" w:rsidRPr="00E56BAA" w:rsidRDefault="003D0CB9" w:rsidP="003261A2">
      <w:pPr>
        <w:ind w:left="-284" w:right="-483"/>
        <w:jc w:val="both"/>
        <w:rPr>
          <w:sz w:val="22"/>
          <w:szCs w:val="22"/>
        </w:rPr>
      </w:pPr>
      <w:r w:rsidRPr="00E56BAA">
        <w:rPr>
          <w:sz w:val="22"/>
          <w:szCs w:val="22"/>
        </w:rPr>
        <w:t xml:space="preserve">Δεν είναι γνωστές οι επιδράσεις </w:t>
      </w:r>
      <w:r w:rsidR="00FC6E9D" w:rsidRPr="00E56BAA">
        <w:rPr>
          <w:sz w:val="22"/>
          <w:szCs w:val="22"/>
        </w:rPr>
        <w:t xml:space="preserve">υπερδοσολογίας με </w:t>
      </w:r>
      <w:r w:rsidRPr="00E56BAA">
        <w:rPr>
          <w:sz w:val="22"/>
          <w:szCs w:val="22"/>
        </w:rPr>
        <w:t>λα</w:t>
      </w:r>
      <w:r w:rsidR="00541ED2" w:rsidRPr="00E56BAA">
        <w:rPr>
          <w:sz w:val="22"/>
          <w:szCs w:val="22"/>
        </w:rPr>
        <w:t xml:space="preserve">νσοπραζόλη στον άνθρωπο (παρόλο </w:t>
      </w:r>
      <w:r w:rsidRPr="00E56BAA">
        <w:rPr>
          <w:sz w:val="22"/>
          <w:szCs w:val="22"/>
        </w:rPr>
        <w:t xml:space="preserve">που η οξεία τοξικότητα είναι πιθανόν χαμηλή) και συνεπώς δεν μπορεί να δοθούν οδηγίες για την αντιμετώπιση. Ωστόσο, έχουν χορηγηθεί δόσεις έως 180 </w:t>
      </w:r>
      <w:r w:rsidRPr="00E56BAA">
        <w:rPr>
          <w:sz w:val="22"/>
          <w:szCs w:val="22"/>
          <w:lang w:val="en-US"/>
        </w:rPr>
        <w:t>mg</w:t>
      </w:r>
      <w:r w:rsidRPr="00E56BAA">
        <w:rPr>
          <w:sz w:val="22"/>
          <w:szCs w:val="22"/>
        </w:rPr>
        <w:t xml:space="preserve">  λανσοπραζόλης από το στόμα και έως 90 </w:t>
      </w:r>
      <w:r w:rsidRPr="00E56BAA">
        <w:rPr>
          <w:sz w:val="22"/>
          <w:szCs w:val="22"/>
          <w:lang w:val="en-US"/>
        </w:rPr>
        <w:t>mg</w:t>
      </w:r>
      <w:r w:rsidRPr="00E56BAA">
        <w:rPr>
          <w:sz w:val="22"/>
          <w:szCs w:val="22"/>
        </w:rPr>
        <w:t xml:space="preserve">  λανσοπραζόλης ενδοφλεβίως την ημέρα σε δοκιμές χωρίς σημαντικές ανεπιθύμητες ενέργειες</w:t>
      </w:r>
      <w:r w:rsidR="00FC6E9D" w:rsidRPr="00E56BAA">
        <w:rPr>
          <w:sz w:val="22"/>
          <w:szCs w:val="22"/>
        </w:rPr>
        <w:t>.</w:t>
      </w:r>
    </w:p>
    <w:p w:rsidR="00FC6E9D" w:rsidRPr="00E56BAA" w:rsidRDefault="00FC6E9D" w:rsidP="003261A2">
      <w:pPr>
        <w:ind w:left="-284" w:right="-483"/>
        <w:jc w:val="both"/>
        <w:rPr>
          <w:sz w:val="22"/>
          <w:szCs w:val="22"/>
        </w:rPr>
      </w:pPr>
      <w:r w:rsidRPr="00E56BAA">
        <w:rPr>
          <w:sz w:val="22"/>
          <w:szCs w:val="22"/>
        </w:rPr>
        <w:t>Παρακαλούμε αναφερθείτε στην παράγραφο 4.8 για πιθανά συμπτώματα υπερδοσολογίας από λανσοπραζόλη</w:t>
      </w:r>
      <w:r w:rsidR="003D0CB9" w:rsidRPr="00E56BAA">
        <w:rPr>
          <w:sz w:val="22"/>
          <w:szCs w:val="22"/>
        </w:rPr>
        <w:t>.</w:t>
      </w:r>
      <w:r w:rsidR="00835648" w:rsidRPr="00E56BAA">
        <w:rPr>
          <w:sz w:val="22"/>
          <w:szCs w:val="22"/>
        </w:rPr>
        <w:t xml:space="preserve"> </w:t>
      </w:r>
    </w:p>
    <w:p w:rsidR="004D4FD5" w:rsidRPr="00E56BAA" w:rsidRDefault="003D0CB9" w:rsidP="003261A2">
      <w:pPr>
        <w:ind w:left="-284" w:right="-483"/>
        <w:jc w:val="both"/>
        <w:rPr>
          <w:sz w:val="22"/>
          <w:szCs w:val="22"/>
        </w:rPr>
      </w:pPr>
      <w:r w:rsidRPr="00E56BAA">
        <w:rPr>
          <w:sz w:val="22"/>
          <w:szCs w:val="22"/>
        </w:rPr>
        <w:t>Ο ασθενής πρέπει να παρακολουθείται στην περίπτωση ύποπτης υπερδοσολογίας. Η λανσοπραζόλη δεν απο</w:t>
      </w:r>
      <w:r w:rsidR="000C5B1D" w:rsidRPr="00E56BAA">
        <w:rPr>
          <w:sz w:val="22"/>
          <w:szCs w:val="22"/>
        </w:rPr>
        <w:t>μακρύνεται σημαντικά με την αιμ</w:t>
      </w:r>
      <w:r w:rsidRPr="00E56BAA">
        <w:rPr>
          <w:sz w:val="22"/>
          <w:szCs w:val="22"/>
        </w:rPr>
        <w:t>οκάθαρση. Εάν είναι απαραίτητο, συνιστάται πλύση στομάχου, ενεργός άνθρακας και συμπτωματική θεραπεία.</w:t>
      </w:r>
      <w:r w:rsidR="00541ED2" w:rsidRPr="00E56BAA">
        <w:rPr>
          <w:sz w:val="22"/>
          <w:szCs w:val="22"/>
        </w:rPr>
        <w:t xml:space="preserve"> </w:t>
      </w:r>
    </w:p>
    <w:p w:rsidR="00FD5B0A" w:rsidRPr="00E56BAA" w:rsidRDefault="00FD5B0A" w:rsidP="003261A2">
      <w:pPr>
        <w:ind w:left="-284" w:right="-483"/>
        <w:jc w:val="both"/>
        <w:rPr>
          <w:sz w:val="22"/>
          <w:szCs w:val="22"/>
        </w:rPr>
      </w:pPr>
    </w:p>
    <w:p w:rsidR="009C3CDE" w:rsidRPr="00E56BAA" w:rsidRDefault="00FD5B0A" w:rsidP="003261A2">
      <w:pPr>
        <w:numPr>
          <w:ilvl w:val="0"/>
          <w:numId w:val="6"/>
        </w:numPr>
        <w:ind w:left="-284" w:right="-483"/>
        <w:jc w:val="both"/>
        <w:rPr>
          <w:sz w:val="22"/>
          <w:szCs w:val="22"/>
        </w:rPr>
      </w:pPr>
      <w:r w:rsidRPr="00E56BAA">
        <w:rPr>
          <w:b/>
          <w:sz w:val="22"/>
          <w:szCs w:val="22"/>
        </w:rPr>
        <w:t>ΦΑΡΜΑΚΟΛΟΓΙΚΕΣ ΙΔΙΟΤΗΤΕΣ</w:t>
      </w:r>
    </w:p>
    <w:p w:rsidR="00FD5B0A" w:rsidRPr="00E56BAA" w:rsidRDefault="00FD5B0A" w:rsidP="003261A2">
      <w:pPr>
        <w:ind w:left="-284" w:right="-483"/>
        <w:jc w:val="both"/>
        <w:rPr>
          <w:sz w:val="22"/>
          <w:szCs w:val="22"/>
          <w:lang w:val="en-US"/>
        </w:rPr>
      </w:pPr>
    </w:p>
    <w:p w:rsidR="00FD5B0A" w:rsidRPr="00E56BAA" w:rsidRDefault="001D437D" w:rsidP="003261A2">
      <w:pPr>
        <w:pStyle w:val="a6"/>
        <w:numPr>
          <w:ilvl w:val="1"/>
          <w:numId w:val="6"/>
        </w:numPr>
        <w:ind w:left="-567" w:right="-483" w:firstLine="0"/>
        <w:jc w:val="both"/>
        <w:rPr>
          <w:sz w:val="22"/>
          <w:szCs w:val="22"/>
        </w:rPr>
      </w:pPr>
      <w:r w:rsidRPr="00E56BAA">
        <w:rPr>
          <w:b/>
          <w:bCs/>
          <w:iCs/>
          <w:sz w:val="22"/>
          <w:szCs w:val="22"/>
        </w:rPr>
        <w:t>Φαρμακοδυναμικές ιδιότητες</w:t>
      </w:r>
    </w:p>
    <w:p w:rsidR="009C3CDE" w:rsidRPr="00E56BAA" w:rsidRDefault="009C3CDE" w:rsidP="003261A2">
      <w:pPr>
        <w:pStyle w:val="a6"/>
        <w:ind w:left="-284" w:right="-483"/>
        <w:jc w:val="both"/>
        <w:rPr>
          <w:sz w:val="22"/>
          <w:szCs w:val="22"/>
        </w:rPr>
      </w:pPr>
      <w:r w:rsidRPr="00E56BAA">
        <w:rPr>
          <w:bCs/>
          <w:iCs/>
          <w:sz w:val="22"/>
          <w:szCs w:val="22"/>
        </w:rPr>
        <w:t xml:space="preserve">Φαρμακοθεραπευτική κατηγορία: Αναστολείς της αντλίας πρωτονίων, Κωδικός </w:t>
      </w:r>
      <w:r w:rsidRPr="00E56BAA">
        <w:rPr>
          <w:bCs/>
          <w:iCs/>
          <w:sz w:val="22"/>
          <w:szCs w:val="22"/>
          <w:lang w:val="en-US"/>
        </w:rPr>
        <w:t>ATC</w:t>
      </w:r>
      <w:r w:rsidRPr="00E56BAA">
        <w:rPr>
          <w:bCs/>
          <w:iCs/>
          <w:sz w:val="22"/>
          <w:szCs w:val="22"/>
        </w:rPr>
        <w:t xml:space="preserve">: </w:t>
      </w:r>
      <w:r w:rsidRPr="00E56BAA">
        <w:rPr>
          <w:bCs/>
          <w:iCs/>
          <w:sz w:val="22"/>
          <w:szCs w:val="22"/>
          <w:lang w:val="en-US"/>
        </w:rPr>
        <w:t>A</w:t>
      </w:r>
      <w:r w:rsidRPr="00E56BAA">
        <w:rPr>
          <w:bCs/>
          <w:iCs/>
          <w:sz w:val="22"/>
          <w:szCs w:val="22"/>
        </w:rPr>
        <w:t>02</w:t>
      </w:r>
      <w:r w:rsidRPr="00E56BAA">
        <w:rPr>
          <w:bCs/>
          <w:iCs/>
          <w:sz w:val="22"/>
          <w:szCs w:val="22"/>
          <w:lang w:val="en-US"/>
        </w:rPr>
        <w:t>BC</w:t>
      </w:r>
      <w:r w:rsidRPr="00E56BAA">
        <w:rPr>
          <w:bCs/>
          <w:iCs/>
          <w:sz w:val="22"/>
          <w:szCs w:val="22"/>
        </w:rPr>
        <w:t>03</w:t>
      </w:r>
    </w:p>
    <w:p w:rsidR="00FD5B0A" w:rsidRPr="00E56BAA" w:rsidRDefault="0010545B" w:rsidP="003261A2">
      <w:pPr>
        <w:ind w:left="-284" w:right="-483"/>
        <w:jc w:val="both"/>
        <w:rPr>
          <w:bCs/>
          <w:iCs/>
          <w:sz w:val="22"/>
          <w:szCs w:val="22"/>
        </w:rPr>
      </w:pPr>
      <w:r w:rsidRPr="00E56BAA">
        <w:rPr>
          <w:bCs/>
          <w:iCs/>
          <w:sz w:val="22"/>
          <w:szCs w:val="22"/>
        </w:rPr>
        <w:t xml:space="preserve">Η </w:t>
      </w:r>
      <w:r w:rsidR="00541ED2" w:rsidRPr="00E56BAA">
        <w:rPr>
          <w:bCs/>
          <w:iCs/>
          <w:sz w:val="22"/>
          <w:szCs w:val="22"/>
        </w:rPr>
        <w:t>λανσοπραζόλη είναι ένας αναστολέας της γαστρικής αντλίας πρωτονίων. Αναστέλλει το τελικό στάδιο σχηματισμού του γαστρικού οξέος μέσω της αναστολής της δραστηριότητας της Η</w:t>
      </w:r>
      <w:r w:rsidR="00541ED2" w:rsidRPr="00E56BAA">
        <w:rPr>
          <w:bCs/>
          <w:iCs/>
          <w:sz w:val="22"/>
          <w:szCs w:val="22"/>
          <w:vertAlign w:val="superscript"/>
        </w:rPr>
        <w:t>+</w:t>
      </w:r>
      <w:r w:rsidR="00541ED2" w:rsidRPr="00E56BAA">
        <w:rPr>
          <w:bCs/>
          <w:iCs/>
          <w:sz w:val="22"/>
          <w:szCs w:val="22"/>
        </w:rPr>
        <w:t>/Κ</w:t>
      </w:r>
      <w:r w:rsidR="00541ED2" w:rsidRPr="00E56BAA">
        <w:rPr>
          <w:bCs/>
          <w:iCs/>
          <w:sz w:val="22"/>
          <w:szCs w:val="22"/>
          <w:vertAlign w:val="superscript"/>
        </w:rPr>
        <w:t>+</w:t>
      </w:r>
      <w:r w:rsidR="00541ED2" w:rsidRPr="00E56BAA">
        <w:rPr>
          <w:bCs/>
          <w:iCs/>
          <w:sz w:val="22"/>
          <w:szCs w:val="22"/>
        </w:rPr>
        <w:t xml:space="preserve"> Α</w:t>
      </w:r>
      <w:r w:rsidR="00541ED2" w:rsidRPr="00E56BAA">
        <w:rPr>
          <w:bCs/>
          <w:iCs/>
          <w:sz w:val="22"/>
          <w:szCs w:val="22"/>
          <w:lang w:val="en-US"/>
        </w:rPr>
        <w:t>TP</w:t>
      </w:r>
      <w:r w:rsidR="00541ED2" w:rsidRPr="00E56BAA">
        <w:rPr>
          <w:bCs/>
          <w:iCs/>
          <w:sz w:val="22"/>
          <w:szCs w:val="22"/>
        </w:rPr>
        <w:t>άσης των τοιχωματικών κυττάρων του στομάχου. Η αναστολή είναι δοσοεξαρτώμενη και αναστρέψιμη και το αποτέλεσμα αφορά και τη βασική και την μετά από διέγερση έκκριση του γαστρικού οξέος. Η λανσοπραζόλη συγκεντρώνεται στα τοιχωματικά κύτταρα και ενεργοποιείται στο όξινο περιβάλλον τους, όπου στη συνέχεια αντιδρά με την σουλφυδριλική ομάδα της Η</w:t>
      </w:r>
      <w:r w:rsidR="00541ED2" w:rsidRPr="00E56BAA">
        <w:rPr>
          <w:bCs/>
          <w:iCs/>
          <w:sz w:val="22"/>
          <w:szCs w:val="22"/>
          <w:vertAlign w:val="superscript"/>
        </w:rPr>
        <w:t>+</w:t>
      </w:r>
      <w:r w:rsidR="00541ED2" w:rsidRPr="00E56BAA">
        <w:rPr>
          <w:bCs/>
          <w:iCs/>
          <w:sz w:val="22"/>
          <w:szCs w:val="22"/>
        </w:rPr>
        <w:t>/Κ</w:t>
      </w:r>
      <w:r w:rsidR="00541ED2" w:rsidRPr="00E56BAA">
        <w:rPr>
          <w:bCs/>
          <w:iCs/>
          <w:sz w:val="22"/>
          <w:szCs w:val="22"/>
          <w:vertAlign w:val="superscript"/>
        </w:rPr>
        <w:t>+</w:t>
      </w:r>
      <w:r w:rsidR="00541ED2" w:rsidRPr="00E56BAA">
        <w:rPr>
          <w:bCs/>
          <w:iCs/>
          <w:sz w:val="22"/>
          <w:szCs w:val="22"/>
        </w:rPr>
        <w:t xml:space="preserve"> </w:t>
      </w:r>
      <w:r w:rsidR="00541ED2" w:rsidRPr="00E56BAA">
        <w:rPr>
          <w:bCs/>
          <w:iCs/>
          <w:sz w:val="22"/>
          <w:szCs w:val="22"/>
          <w:lang w:val="en-US"/>
        </w:rPr>
        <w:t>ATP</w:t>
      </w:r>
      <w:r w:rsidR="00541ED2" w:rsidRPr="00E56BAA">
        <w:rPr>
          <w:bCs/>
          <w:iCs/>
          <w:sz w:val="22"/>
          <w:szCs w:val="22"/>
        </w:rPr>
        <w:t>άσης προκαλώντας αναστολή της δραστηριότητας του ενζύμου.</w:t>
      </w:r>
    </w:p>
    <w:p w:rsidR="00AB557F" w:rsidRPr="00E56BAA" w:rsidRDefault="00AB557F" w:rsidP="003261A2">
      <w:pPr>
        <w:ind w:left="-284" w:right="-483"/>
        <w:jc w:val="both"/>
        <w:rPr>
          <w:bCs/>
          <w:iCs/>
          <w:sz w:val="22"/>
          <w:szCs w:val="22"/>
        </w:rPr>
      </w:pPr>
    </w:p>
    <w:p w:rsidR="00FD5B0A" w:rsidRPr="00E56BAA" w:rsidRDefault="001D437D" w:rsidP="003261A2">
      <w:pPr>
        <w:ind w:left="-284" w:right="-483"/>
        <w:jc w:val="both"/>
        <w:rPr>
          <w:bCs/>
          <w:iCs/>
          <w:sz w:val="22"/>
          <w:szCs w:val="22"/>
        </w:rPr>
      </w:pPr>
      <w:r w:rsidRPr="00E56BAA">
        <w:rPr>
          <w:bCs/>
          <w:iCs/>
          <w:sz w:val="22"/>
          <w:szCs w:val="22"/>
        </w:rPr>
        <w:t xml:space="preserve"> </w:t>
      </w:r>
      <w:r w:rsidR="00541ED2" w:rsidRPr="00E56BAA">
        <w:rPr>
          <w:bCs/>
          <w:iCs/>
          <w:sz w:val="22"/>
          <w:szCs w:val="22"/>
          <w:u w:val="single"/>
        </w:rPr>
        <w:t>Δράση στην έκκριση του γαστρικού οξέος</w:t>
      </w:r>
      <w:r w:rsidR="00541ED2" w:rsidRPr="00E56BAA">
        <w:rPr>
          <w:bCs/>
          <w:iCs/>
          <w:sz w:val="22"/>
          <w:szCs w:val="22"/>
        </w:rPr>
        <w:t xml:space="preserve">: Η λανσοπραζόλη είναι ένας ειδικός αναστολέας της αντλίας πρωτονίων των τοιχωματικών κυττάρων. Μία εφάπαξ δόση λανσοπραζόλης 30 </w:t>
      </w:r>
      <w:r w:rsidR="00541ED2" w:rsidRPr="00E56BAA">
        <w:rPr>
          <w:bCs/>
          <w:iCs/>
          <w:sz w:val="22"/>
          <w:szCs w:val="22"/>
          <w:lang w:val="en-US"/>
        </w:rPr>
        <w:t>mg</w:t>
      </w:r>
      <w:r w:rsidR="00541ED2" w:rsidRPr="00E56BAA">
        <w:rPr>
          <w:bCs/>
          <w:iCs/>
          <w:sz w:val="22"/>
          <w:szCs w:val="22"/>
        </w:rPr>
        <w:t xml:space="preserve"> από το στόμα αναστέλλει την μετά από διέγερση με πενταγαστρίνη έκκριση του γαστρικού οξέος κατά περίπου 80%. Μετά από επανειλημμένη ημερήσια χορήγηση για επτά ημέρες, επιτυγχάνεται αναστολή της έκκρισης του γαστρικού οξέος γύρω στο 90%. Ανάλογη είναι η δράση της στη βασική έκκριση του γαστρικού οξέος. Μία εφάπαξ δόση 30 </w:t>
      </w:r>
      <w:r w:rsidR="00541ED2" w:rsidRPr="00E56BAA">
        <w:rPr>
          <w:bCs/>
          <w:iCs/>
          <w:sz w:val="22"/>
          <w:szCs w:val="22"/>
          <w:lang w:val="en-US"/>
        </w:rPr>
        <w:t>mg</w:t>
      </w:r>
      <w:r w:rsidR="00541ED2" w:rsidRPr="00E56BAA">
        <w:rPr>
          <w:bCs/>
          <w:iCs/>
          <w:sz w:val="22"/>
          <w:szCs w:val="22"/>
        </w:rPr>
        <w:t xml:space="preserve">  από το στόμα μειώνει την βασική έκκριση κατά περίπου 70% με αποτέλεσμα οι ασθενείς να ανακουφίζονται από τα συμπτώματα αρχίζοντας από την πρώτη κιόλας δόση. </w:t>
      </w:r>
      <w:r w:rsidR="00541ED2" w:rsidRPr="00E56BAA">
        <w:rPr>
          <w:bCs/>
          <w:iCs/>
          <w:sz w:val="22"/>
          <w:szCs w:val="22"/>
        </w:rPr>
        <w:lastRenderedPageBreak/>
        <w:t>Μετά από οκτώ ημέρες επανειλημμένης χορήγησης η μείωση είναι περίπου 85%. Γρήγορη ανακούφιση των</w:t>
      </w:r>
      <w:r w:rsidR="00541ED2" w:rsidRPr="00E56BAA">
        <w:rPr>
          <w:bCs/>
          <w:iCs/>
          <w:color w:val="FF0000"/>
          <w:sz w:val="22"/>
          <w:szCs w:val="22"/>
        </w:rPr>
        <w:t xml:space="preserve"> </w:t>
      </w:r>
      <w:r w:rsidR="00541ED2" w:rsidRPr="00E56BAA">
        <w:rPr>
          <w:bCs/>
          <w:iCs/>
          <w:sz w:val="22"/>
          <w:szCs w:val="22"/>
        </w:rPr>
        <w:t xml:space="preserve">συμπτωμάτων επιτυγχάνεται με ένα καψάκιο (30 </w:t>
      </w:r>
      <w:r w:rsidR="00541ED2" w:rsidRPr="00E56BAA">
        <w:rPr>
          <w:bCs/>
          <w:iCs/>
          <w:sz w:val="22"/>
          <w:szCs w:val="22"/>
          <w:lang w:val="en-US"/>
        </w:rPr>
        <w:t>mg</w:t>
      </w:r>
      <w:r w:rsidR="00541ED2" w:rsidRPr="00E56BAA">
        <w:rPr>
          <w:bCs/>
          <w:iCs/>
          <w:sz w:val="22"/>
          <w:szCs w:val="22"/>
        </w:rPr>
        <w:t xml:space="preserve">) την ημέρα και οι περισσότεροι ασθενείς με δωδεκαδακτυλικό έλκος αναρρώνουν μέσα σε 2 εβδομάδες, οι δε ασθενείς με γαστρικό έλκος και οισοφαγίτιδα από παλινδρόμηση μέσα σε 4 </w:t>
      </w:r>
      <w:r w:rsidRPr="00E56BAA">
        <w:rPr>
          <w:bCs/>
          <w:iCs/>
          <w:sz w:val="22"/>
          <w:szCs w:val="22"/>
        </w:rPr>
        <w:t>εβδομάδες</w:t>
      </w:r>
      <w:r w:rsidR="00541ED2" w:rsidRPr="00E56BAA">
        <w:rPr>
          <w:bCs/>
          <w:iCs/>
          <w:sz w:val="22"/>
          <w:szCs w:val="22"/>
        </w:rPr>
        <w:t xml:space="preserve">. Μειώνοντας τη γαστρική οξύτητα η λανσοπραζόλη δημιουργεί έναν περιβάλλον στο οποίο τα κατάλληλα αντιβιοτικά μπορούν να είναι αποτελεσματικά εναντίον το </w:t>
      </w:r>
      <w:r w:rsidR="00541ED2" w:rsidRPr="00E56BAA">
        <w:rPr>
          <w:bCs/>
          <w:i/>
          <w:iCs/>
          <w:sz w:val="22"/>
          <w:szCs w:val="22"/>
          <w:lang w:val="en-US"/>
        </w:rPr>
        <w:t>H</w:t>
      </w:r>
      <w:r w:rsidR="00541ED2" w:rsidRPr="00E56BAA">
        <w:rPr>
          <w:bCs/>
          <w:i/>
          <w:iCs/>
          <w:sz w:val="22"/>
          <w:szCs w:val="22"/>
        </w:rPr>
        <w:t xml:space="preserve">. </w:t>
      </w:r>
      <w:proofErr w:type="gramStart"/>
      <w:r w:rsidR="001914A2" w:rsidRPr="00E56BAA">
        <w:rPr>
          <w:bCs/>
          <w:i/>
          <w:iCs/>
          <w:sz w:val="22"/>
          <w:szCs w:val="22"/>
          <w:lang w:val="en-US"/>
        </w:rPr>
        <w:t>p</w:t>
      </w:r>
      <w:r w:rsidR="00541ED2" w:rsidRPr="00E56BAA">
        <w:rPr>
          <w:bCs/>
          <w:i/>
          <w:iCs/>
          <w:sz w:val="22"/>
          <w:szCs w:val="22"/>
          <w:lang w:val="en-US"/>
        </w:rPr>
        <w:t>ylori</w:t>
      </w:r>
      <w:proofErr w:type="gramEnd"/>
      <w:r w:rsidR="00541ED2" w:rsidRPr="00E56BAA">
        <w:rPr>
          <w:bCs/>
          <w:iCs/>
          <w:sz w:val="22"/>
          <w:szCs w:val="22"/>
        </w:rPr>
        <w:t>.</w:t>
      </w:r>
    </w:p>
    <w:p w:rsidR="004D4FD5" w:rsidRPr="00E56BAA" w:rsidRDefault="00B1287C" w:rsidP="003261A2">
      <w:pPr>
        <w:ind w:left="-284" w:right="-483"/>
        <w:jc w:val="both"/>
        <w:rPr>
          <w:sz w:val="22"/>
          <w:szCs w:val="22"/>
        </w:rPr>
      </w:pPr>
      <w:r w:rsidRPr="00E56BAA">
        <w:rPr>
          <w:bCs/>
          <w:iCs/>
          <w:sz w:val="22"/>
          <w:szCs w:val="22"/>
        </w:rPr>
        <w:t xml:space="preserve"> </w:t>
      </w:r>
    </w:p>
    <w:p w:rsidR="00FD5B0A" w:rsidRPr="00E56BAA" w:rsidRDefault="00FD5B0A" w:rsidP="003261A2">
      <w:pPr>
        <w:numPr>
          <w:ilvl w:val="0"/>
          <w:numId w:val="8"/>
        </w:numPr>
        <w:ind w:left="-284" w:right="-483"/>
        <w:jc w:val="both"/>
        <w:rPr>
          <w:sz w:val="22"/>
          <w:szCs w:val="22"/>
        </w:rPr>
      </w:pPr>
      <w:r w:rsidRPr="00E56BAA">
        <w:rPr>
          <w:b/>
          <w:bCs/>
          <w:iCs/>
          <w:sz w:val="22"/>
          <w:szCs w:val="22"/>
        </w:rPr>
        <w:t xml:space="preserve"> </w:t>
      </w:r>
      <w:r w:rsidR="001D437D" w:rsidRPr="00E56BAA">
        <w:rPr>
          <w:b/>
          <w:bCs/>
          <w:iCs/>
          <w:sz w:val="22"/>
          <w:szCs w:val="22"/>
        </w:rPr>
        <w:t>Φαρμακοκινητικές</w:t>
      </w:r>
      <w:r w:rsidR="001D437D" w:rsidRPr="00E56BAA">
        <w:rPr>
          <w:b/>
          <w:bCs/>
          <w:i/>
          <w:iCs/>
          <w:sz w:val="22"/>
          <w:szCs w:val="22"/>
        </w:rPr>
        <w:t xml:space="preserve"> </w:t>
      </w:r>
      <w:r w:rsidR="001D437D" w:rsidRPr="00E56BAA">
        <w:rPr>
          <w:b/>
          <w:bCs/>
          <w:iCs/>
          <w:sz w:val="22"/>
          <w:szCs w:val="22"/>
        </w:rPr>
        <w:t>ιδιότητες</w:t>
      </w:r>
    </w:p>
    <w:p w:rsidR="00FD5B0A" w:rsidRPr="00E56BAA" w:rsidRDefault="00B1287C" w:rsidP="003261A2">
      <w:pPr>
        <w:ind w:left="-284" w:right="-483"/>
        <w:jc w:val="both"/>
        <w:rPr>
          <w:bCs/>
          <w:iCs/>
          <w:color w:val="FF0000"/>
          <w:sz w:val="22"/>
          <w:szCs w:val="22"/>
        </w:rPr>
      </w:pPr>
      <w:r w:rsidRPr="00E56BAA">
        <w:rPr>
          <w:bCs/>
          <w:iCs/>
          <w:sz w:val="22"/>
          <w:szCs w:val="22"/>
        </w:rPr>
        <w:t>Η λανσοπραζόλη είναι ρακεμικό μείγμα δύο δραστικών εναντιομερών που βιομετασχηματίζονται στη δραστική μορφή στο όξινο περιβάλλον των τοιχωματικών κυττάρων. Επειδή η λανσοπραζόλη αδρανοποιείται γρήγορα από το γαστρικό οξύ, χορηγείτ</w:t>
      </w:r>
      <w:r w:rsidR="001D437D" w:rsidRPr="00E56BAA">
        <w:rPr>
          <w:bCs/>
          <w:iCs/>
          <w:sz w:val="22"/>
          <w:szCs w:val="22"/>
        </w:rPr>
        <w:t>αι από το στόμα σε εντεροδιαλυτή</w:t>
      </w:r>
      <w:r w:rsidR="00873CD0" w:rsidRPr="00E56BAA">
        <w:rPr>
          <w:bCs/>
          <w:iCs/>
          <w:sz w:val="22"/>
          <w:szCs w:val="22"/>
        </w:rPr>
        <w:t xml:space="preserve"> (ές)</w:t>
      </w:r>
      <w:r w:rsidR="001D437D" w:rsidRPr="00E56BAA">
        <w:rPr>
          <w:bCs/>
          <w:iCs/>
          <w:sz w:val="22"/>
          <w:szCs w:val="22"/>
        </w:rPr>
        <w:t xml:space="preserve"> μορφή</w:t>
      </w:r>
      <w:r w:rsidRPr="00E56BAA">
        <w:rPr>
          <w:bCs/>
          <w:iCs/>
          <w:sz w:val="22"/>
          <w:szCs w:val="22"/>
        </w:rPr>
        <w:t xml:space="preserve"> </w:t>
      </w:r>
      <w:r w:rsidR="00873CD0" w:rsidRPr="00E56BAA">
        <w:rPr>
          <w:bCs/>
          <w:iCs/>
          <w:sz w:val="22"/>
          <w:szCs w:val="22"/>
        </w:rPr>
        <w:t xml:space="preserve">(ές) </w:t>
      </w:r>
      <w:r w:rsidRPr="00E56BAA">
        <w:rPr>
          <w:bCs/>
          <w:iCs/>
          <w:sz w:val="22"/>
          <w:szCs w:val="22"/>
        </w:rPr>
        <w:t>για συστηματική απορρόφηση.</w:t>
      </w:r>
      <w:r w:rsidR="00C56A64" w:rsidRPr="00E56BAA">
        <w:rPr>
          <w:bCs/>
          <w:iCs/>
          <w:color w:val="FF0000"/>
          <w:sz w:val="22"/>
          <w:szCs w:val="22"/>
        </w:rPr>
        <w:t xml:space="preserve"> </w:t>
      </w:r>
    </w:p>
    <w:p w:rsidR="00AB557F" w:rsidRPr="00E56BAA" w:rsidRDefault="00AB557F" w:rsidP="003261A2">
      <w:pPr>
        <w:ind w:left="-284" w:right="-483"/>
        <w:jc w:val="both"/>
        <w:rPr>
          <w:bCs/>
          <w:iCs/>
          <w:color w:val="FF0000"/>
          <w:sz w:val="22"/>
          <w:szCs w:val="22"/>
        </w:rPr>
      </w:pPr>
    </w:p>
    <w:p w:rsidR="00FD5B0A" w:rsidRPr="00E56BAA" w:rsidRDefault="00C56A64" w:rsidP="003261A2">
      <w:pPr>
        <w:ind w:left="-284" w:right="-483"/>
        <w:jc w:val="both"/>
        <w:rPr>
          <w:b/>
          <w:bCs/>
          <w:i/>
          <w:iCs/>
          <w:smallCaps/>
          <w:sz w:val="22"/>
          <w:szCs w:val="22"/>
        </w:rPr>
      </w:pPr>
      <w:r w:rsidRPr="00E56BAA">
        <w:rPr>
          <w:bCs/>
          <w:iCs/>
          <w:sz w:val="22"/>
          <w:szCs w:val="22"/>
          <w:u w:val="single"/>
        </w:rPr>
        <w:t>Απορρόφηση και κατανομή</w:t>
      </w:r>
      <w:r w:rsidR="001D437D" w:rsidRPr="00E56BAA">
        <w:rPr>
          <w:bCs/>
          <w:iCs/>
          <w:sz w:val="22"/>
          <w:szCs w:val="22"/>
        </w:rPr>
        <w:t xml:space="preserve">: </w:t>
      </w:r>
      <w:r w:rsidRPr="00E56BAA">
        <w:rPr>
          <w:bCs/>
          <w:iCs/>
          <w:sz w:val="22"/>
          <w:szCs w:val="22"/>
        </w:rPr>
        <w:t xml:space="preserve">Η λανσοπραζόλη παρουσιάζει υψηλή (80-90%) βιοδιαθεσιμότητα με εφάπαξ δόση. Τα μέγιστα επίπεδα στο πλάσμα εμφανίζονται μέσα σε 1,5 έως 2,0 ώρες. Η λήψη τροφής επιβραδύνει ο ρυθμό απορρόφησης της λανσοπραζόλης και μειώνει τη βιοδιαθεσιμότητα κατά περίπου 50%. Η σύνδεση με τις πρωτεΐνες του πλάσματος είναι 97%. Μελέτες έχουν δείξει ότι τα κοκκία από τα ανοιχτά καψάκια δίνουν </w:t>
      </w:r>
      <w:r w:rsidRPr="00E56BAA">
        <w:rPr>
          <w:bCs/>
          <w:iCs/>
          <w:sz w:val="22"/>
          <w:szCs w:val="22"/>
          <w:lang w:val="en-US"/>
        </w:rPr>
        <w:t>AUC</w:t>
      </w:r>
      <w:r w:rsidRPr="00E56BAA">
        <w:rPr>
          <w:bCs/>
          <w:iCs/>
          <w:sz w:val="22"/>
          <w:szCs w:val="22"/>
        </w:rPr>
        <w:t xml:space="preserve"> ισοδύναμη με εκείνη του ακέραιου καψακίου εάν τα κοκκία διασπαρούν σε μία μικρή ποσότητα χυμού πορτοκαλιού, μήλου ή ντομάτας αναμειγνυόμενη με μια κουταλιά της σούπας πουρέ μήλου ή αχλαδιού ή εάν επιπασθούν σε μια κουταλιά της σούπας γιαουρτιού, πουτίγκας ή τυριού </w:t>
      </w:r>
      <w:r w:rsidRPr="00E56BAA">
        <w:rPr>
          <w:bCs/>
          <w:iCs/>
          <w:sz w:val="22"/>
          <w:szCs w:val="22"/>
          <w:lang w:val="en-US"/>
        </w:rPr>
        <w:t>cottage</w:t>
      </w:r>
      <w:r w:rsidRPr="00E56BAA">
        <w:rPr>
          <w:bCs/>
          <w:iCs/>
          <w:sz w:val="22"/>
          <w:szCs w:val="22"/>
        </w:rPr>
        <w:t xml:space="preserve">. Έχει επίσης δειχθεί ότι ισοδύναμη </w:t>
      </w:r>
      <w:r w:rsidRPr="00E56BAA">
        <w:rPr>
          <w:bCs/>
          <w:iCs/>
          <w:sz w:val="22"/>
          <w:szCs w:val="22"/>
          <w:lang w:val="en-US"/>
        </w:rPr>
        <w:t>AUC</w:t>
      </w:r>
      <w:r w:rsidRPr="00E56BAA">
        <w:rPr>
          <w:bCs/>
          <w:iCs/>
          <w:sz w:val="22"/>
          <w:szCs w:val="22"/>
        </w:rPr>
        <w:t xml:space="preserve">  έχουν τα κοκκία που διασπείρονται σε χυμό μήλου που χορηγείται με ρινογαστρικό σωλήνα.</w:t>
      </w:r>
      <w:r w:rsidRPr="00E56BAA">
        <w:rPr>
          <w:b/>
          <w:bCs/>
          <w:i/>
          <w:iCs/>
          <w:smallCaps/>
          <w:sz w:val="22"/>
          <w:szCs w:val="22"/>
        </w:rPr>
        <w:t xml:space="preserve"> </w:t>
      </w:r>
    </w:p>
    <w:p w:rsidR="00AB557F" w:rsidRPr="00E56BAA" w:rsidRDefault="00AB557F" w:rsidP="003261A2">
      <w:pPr>
        <w:ind w:left="-284" w:right="-483"/>
        <w:jc w:val="both"/>
        <w:rPr>
          <w:b/>
          <w:bCs/>
          <w:i/>
          <w:iCs/>
          <w:smallCaps/>
          <w:sz w:val="22"/>
          <w:szCs w:val="22"/>
        </w:rPr>
      </w:pPr>
    </w:p>
    <w:p w:rsidR="00FD5B0A" w:rsidRPr="00E56BAA" w:rsidRDefault="00C56A64" w:rsidP="003261A2">
      <w:pPr>
        <w:ind w:left="-284" w:right="-483"/>
        <w:jc w:val="both"/>
        <w:rPr>
          <w:bCs/>
          <w:iCs/>
          <w:sz w:val="22"/>
          <w:szCs w:val="22"/>
        </w:rPr>
      </w:pPr>
      <w:r w:rsidRPr="00E56BAA">
        <w:rPr>
          <w:bCs/>
          <w:iCs/>
          <w:sz w:val="22"/>
          <w:szCs w:val="22"/>
          <w:u w:val="single"/>
        </w:rPr>
        <w:t>Μεταβολισμός και αποβολή</w:t>
      </w:r>
      <w:r w:rsidR="0010545B" w:rsidRPr="00E56BAA">
        <w:rPr>
          <w:bCs/>
          <w:iCs/>
          <w:sz w:val="22"/>
          <w:szCs w:val="22"/>
        </w:rPr>
        <w:t>:</w:t>
      </w:r>
      <w:r w:rsidR="001D437D" w:rsidRPr="00E56BAA">
        <w:rPr>
          <w:bCs/>
          <w:iCs/>
          <w:sz w:val="22"/>
          <w:szCs w:val="22"/>
        </w:rPr>
        <w:t xml:space="preserve"> </w:t>
      </w:r>
      <w:r w:rsidRPr="00E56BAA">
        <w:rPr>
          <w:bCs/>
          <w:iCs/>
          <w:sz w:val="22"/>
          <w:szCs w:val="22"/>
        </w:rPr>
        <w:t xml:space="preserve">Η λανσοπραζόλη μεταβολίζεται σε μεγάλο βαθμό στο ήπαρ και οι μεταβολίτες αποβάλλονται και από τους νεφρούς και από τη χολή. Ο μεταβολισμός της λανσοπραζολης καταλύεται κυρίως από το ένζυμο </w:t>
      </w:r>
      <w:r w:rsidRPr="00E56BAA">
        <w:rPr>
          <w:bCs/>
          <w:iCs/>
          <w:sz w:val="22"/>
          <w:szCs w:val="22"/>
          <w:lang w:val="en-US"/>
        </w:rPr>
        <w:t>CYP</w:t>
      </w:r>
      <w:r w:rsidRPr="00E56BAA">
        <w:rPr>
          <w:bCs/>
          <w:iCs/>
          <w:sz w:val="22"/>
          <w:szCs w:val="22"/>
        </w:rPr>
        <w:t>2</w:t>
      </w:r>
      <w:r w:rsidRPr="00E56BAA">
        <w:rPr>
          <w:bCs/>
          <w:iCs/>
          <w:sz w:val="22"/>
          <w:szCs w:val="22"/>
          <w:lang w:val="en-US"/>
        </w:rPr>
        <w:t>C</w:t>
      </w:r>
      <w:r w:rsidRPr="00E56BAA">
        <w:rPr>
          <w:bCs/>
          <w:iCs/>
          <w:sz w:val="22"/>
          <w:szCs w:val="22"/>
        </w:rPr>
        <w:t xml:space="preserve">19. Στο μεταβολισμό συμβάλλει επίσης το ένζυμο </w:t>
      </w:r>
      <w:r w:rsidRPr="00E56BAA">
        <w:rPr>
          <w:bCs/>
          <w:iCs/>
          <w:sz w:val="22"/>
          <w:szCs w:val="22"/>
          <w:lang w:val="en-US"/>
        </w:rPr>
        <w:t>CYP</w:t>
      </w:r>
      <w:r w:rsidRPr="00E56BAA">
        <w:rPr>
          <w:bCs/>
          <w:iCs/>
          <w:sz w:val="22"/>
          <w:szCs w:val="22"/>
        </w:rPr>
        <w:t>3</w:t>
      </w:r>
      <w:r w:rsidRPr="00E56BAA">
        <w:rPr>
          <w:bCs/>
          <w:iCs/>
          <w:sz w:val="22"/>
          <w:szCs w:val="22"/>
          <w:lang w:val="en-US"/>
        </w:rPr>
        <w:t>A</w:t>
      </w:r>
      <w:r w:rsidRPr="00E56BAA">
        <w:rPr>
          <w:bCs/>
          <w:iCs/>
          <w:sz w:val="22"/>
          <w:szCs w:val="22"/>
        </w:rPr>
        <w:t>4. Ο χρόνος ημι-ζωής της αποβολής από το πλάσμα κυμαίνεται από 1 έως 2 ώρες μετά από εφάπαξ ή πολλαπλές  δόσεις σε υγιή άτομα. Δεν υπάρχουν ενδείξεις άθροισης μετά από πολλαπλές δόσεις σε υγιή άτομα. Έχουν ανιχνευθεί στο πλάσμα σουλφονικά, σουλφιδικά και 5-υδροξυλ παράγωγα της λανσοπραζόλης. Οι μεταβολίτες αυτοί έχουν ελάχιστη ή καθόλου αντιεκκριτική δραστηριότητα.</w:t>
      </w:r>
      <w:r w:rsidR="0010545B" w:rsidRPr="00E56BAA">
        <w:rPr>
          <w:bCs/>
          <w:iCs/>
          <w:sz w:val="22"/>
          <w:szCs w:val="22"/>
        </w:rPr>
        <w:t xml:space="preserve"> </w:t>
      </w:r>
      <w:r w:rsidRPr="00E56BAA">
        <w:rPr>
          <w:bCs/>
          <w:iCs/>
          <w:sz w:val="22"/>
          <w:szCs w:val="22"/>
        </w:rPr>
        <w:t xml:space="preserve">Μια μελέτη με </w:t>
      </w:r>
      <w:r w:rsidRPr="00E56BAA">
        <w:rPr>
          <w:bCs/>
          <w:iCs/>
          <w:sz w:val="22"/>
          <w:szCs w:val="22"/>
          <w:vertAlign w:val="superscript"/>
        </w:rPr>
        <w:t>14</w:t>
      </w:r>
      <w:r w:rsidRPr="00E56BAA">
        <w:rPr>
          <w:bCs/>
          <w:iCs/>
          <w:sz w:val="22"/>
          <w:szCs w:val="22"/>
          <w:lang w:val="en-US"/>
        </w:rPr>
        <w:t>C</w:t>
      </w:r>
      <w:r w:rsidRPr="00E56BAA">
        <w:rPr>
          <w:bCs/>
          <w:iCs/>
          <w:sz w:val="22"/>
          <w:szCs w:val="22"/>
        </w:rPr>
        <w:t xml:space="preserve"> σεσημασμένη λανσοπραζόλη έδειξε ότι </w:t>
      </w:r>
      <w:r w:rsidR="00873CD0" w:rsidRPr="00E56BAA">
        <w:rPr>
          <w:bCs/>
          <w:iCs/>
          <w:sz w:val="22"/>
          <w:szCs w:val="22"/>
        </w:rPr>
        <w:t>περίπου το ένα-τρίτο της χορηγη</w:t>
      </w:r>
      <w:r w:rsidRPr="00E56BAA">
        <w:rPr>
          <w:bCs/>
          <w:iCs/>
          <w:sz w:val="22"/>
          <w:szCs w:val="22"/>
        </w:rPr>
        <w:t xml:space="preserve">θείσας ραδιενέργειας αποβλήθηκε στα ούρα και τα δύο-τρίτα στα κόπρανα. </w:t>
      </w:r>
    </w:p>
    <w:p w:rsidR="00AB557F" w:rsidRPr="00E56BAA" w:rsidRDefault="00AB557F" w:rsidP="003261A2">
      <w:pPr>
        <w:ind w:left="-284" w:right="-483"/>
        <w:jc w:val="both"/>
        <w:rPr>
          <w:bCs/>
          <w:iCs/>
          <w:sz w:val="22"/>
          <w:szCs w:val="22"/>
        </w:rPr>
      </w:pPr>
    </w:p>
    <w:p w:rsidR="00FD5B0A" w:rsidRPr="00E56BAA" w:rsidRDefault="00C56A64" w:rsidP="003261A2">
      <w:pPr>
        <w:ind w:left="-284" w:right="-483"/>
        <w:jc w:val="both"/>
        <w:rPr>
          <w:bCs/>
          <w:iCs/>
          <w:sz w:val="22"/>
          <w:szCs w:val="22"/>
        </w:rPr>
      </w:pPr>
      <w:r w:rsidRPr="00E56BAA">
        <w:rPr>
          <w:bCs/>
          <w:iCs/>
          <w:sz w:val="22"/>
          <w:szCs w:val="22"/>
          <w:u w:val="single"/>
        </w:rPr>
        <w:t>Φαρμακοκινητική στους ηλικιωμένους ασθενείς</w:t>
      </w:r>
      <w:r w:rsidR="0010545B" w:rsidRPr="00E56BAA">
        <w:rPr>
          <w:bCs/>
          <w:iCs/>
          <w:sz w:val="22"/>
          <w:szCs w:val="22"/>
        </w:rPr>
        <w:t>:</w:t>
      </w:r>
      <w:r w:rsidRPr="00E56BAA">
        <w:rPr>
          <w:bCs/>
          <w:iCs/>
          <w:sz w:val="22"/>
          <w:szCs w:val="22"/>
        </w:rPr>
        <w:t xml:space="preserve"> Η κάθαρση της λανσοπραζόλης μειώνεται στους ηλικιωμένους, με το χρόνο ημι-ζωής της αποβολής να αυξάνεται περίπου 50% έως 100%. Τα μέγιστα επίπεδα στο πλάσμα δεν αυξήθηκαν στους ηλικιωμένους.</w:t>
      </w:r>
      <w:r w:rsidR="00B613C6" w:rsidRPr="00E56BAA">
        <w:rPr>
          <w:bCs/>
          <w:iCs/>
          <w:sz w:val="22"/>
          <w:szCs w:val="22"/>
        </w:rPr>
        <w:t xml:space="preserve"> </w:t>
      </w:r>
    </w:p>
    <w:p w:rsidR="00AB557F" w:rsidRPr="00E56BAA" w:rsidRDefault="00AB557F" w:rsidP="003261A2">
      <w:pPr>
        <w:ind w:left="-284" w:right="-483"/>
        <w:jc w:val="both"/>
        <w:rPr>
          <w:bCs/>
          <w:iCs/>
          <w:sz w:val="22"/>
          <w:szCs w:val="22"/>
        </w:rPr>
      </w:pPr>
    </w:p>
    <w:p w:rsidR="00FD5B0A" w:rsidRPr="00E56BAA" w:rsidRDefault="00C56A64" w:rsidP="003261A2">
      <w:pPr>
        <w:ind w:left="-284" w:right="-483"/>
        <w:jc w:val="both"/>
        <w:rPr>
          <w:bCs/>
          <w:iCs/>
          <w:sz w:val="22"/>
          <w:szCs w:val="22"/>
        </w:rPr>
      </w:pPr>
      <w:r w:rsidRPr="00E56BAA">
        <w:rPr>
          <w:bCs/>
          <w:iCs/>
          <w:sz w:val="22"/>
          <w:szCs w:val="22"/>
          <w:u w:val="single"/>
        </w:rPr>
        <w:t>Φαρμακοκινητική στους παιδιατρικούς ασθενείς</w:t>
      </w:r>
      <w:r w:rsidR="0010545B" w:rsidRPr="00E56BAA">
        <w:rPr>
          <w:bCs/>
          <w:iCs/>
          <w:sz w:val="22"/>
          <w:szCs w:val="22"/>
        </w:rPr>
        <w:t>:</w:t>
      </w:r>
      <w:r w:rsidRPr="00E56BAA">
        <w:rPr>
          <w:bCs/>
          <w:iCs/>
          <w:sz w:val="22"/>
          <w:szCs w:val="22"/>
        </w:rPr>
        <w:t xml:space="preserve"> Η αξιολόγηση της φαρμακοκινητικής σε παιδιά ηλικίας 1-17 ετών έδειξε παρόμοια έκθεση σε σύγκριση με τους ενήλικες σε δόσεις 15 </w:t>
      </w:r>
      <w:r w:rsidRPr="00E56BAA">
        <w:rPr>
          <w:bCs/>
          <w:iCs/>
          <w:sz w:val="22"/>
          <w:szCs w:val="22"/>
          <w:lang w:val="en-US"/>
        </w:rPr>
        <w:t>mg</w:t>
      </w:r>
      <w:r w:rsidRPr="00E56BAA">
        <w:rPr>
          <w:bCs/>
          <w:iCs/>
          <w:sz w:val="22"/>
          <w:szCs w:val="22"/>
        </w:rPr>
        <w:t xml:space="preserve">  για εκείνα με βάρος κάτω των 30 </w:t>
      </w:r>
      <w:r w:rsidRPr="00E56BAA">
        <w:rPr>
          <w:bCs/>
          <w:iCs/>
          <w:sz w:val="22"/>
          <w:szCs w:val="22"/>
          <w:lang w:val="en-US"/>
        </w:rPr>
        <w:t>Kg</w:t>
      </w:r>
      <w:r w:rsidRPr="00E56BAA">
        <w:rPr>
          <w:bCs/>
          <w:iCs/>
          <w:sz w:val="22"/>
          <w:szCs w:val="22"/>
        </w:rPr>
        <w:t xml:space="preserve">  και 30 </w:t>
      </w:r>
      <w:r w:rsidRPr="00E56BAA">
        <w:rPr>
          <w:bCs/>
          <w:iCs/>
          <w:sz w:val="22"/>
          <w:szCs w:val="22"/>
          <w:lang w:val="en-US"/>
        </w:rPr>
        <w:t>mg</w:t>
      </w:r>
      <w:r w:rsidRPr="00E56BAA">
        <w:rPr>
          <w:bCs/>
          <w:iCs/>
          <w:sz w:val="22"/>
          <w:szCs w:val="22"/>
        </w:rPr>
        <w:t xml:space="preserve">  για εκείνα άνω των 30 </w:t>
      </w:r>
      <w:r w:rsidRPr="00E56BAA">
        <w:rPr>
          <w:bCs/>
          <w:iCs/>
          <w:sz w:val="22"/>
          <w:szCs w:val="22"/>
          <w:lang w:val="en-US"/>
        </w:rPr>
        <w:t>Kg</w:t>
      </w:r>
      <w:r w:rsidRPr="00E56BAA">
        <w:rPr>
          <w:bCs/>
          <w:iCs/>
          <w:sz w:val="22"/>
          <w:szCs w:val="22"/>
        </w:rPr>
        <w:t>. Η έρευνα μιας δόσης 17</w:t>
      </w:r>
      <w:r w:rsidRPr="00E56BAA">
        <w:rPr>
          <w:bCs/>
          <w:iCs/>
          <w:sz w:val="22"/>
          <w:szCs w:val="22"/>
          <w:lang w:val="en-US"/>
        </w:rPr>
        <w:t>mg</w:t>
      </w:r>
      <w:r w:rsidRPr="00E56BAA">
        <w:rPr>
          <w:bCs/>
          <w:iCs/>
          <w:sz w:val="22"/>
          <w:szCs w:val="22"/>
        </w:rPr>
        <w:t>/</w:t>
      </w:r>
      <w:r w:rsidRPr="00E56BAA">
        <w:rPr>
          <w:bCs/>
          <w:iCs/>
          <w:sz w:val="22"/>
          <w:szCs w:val="22"/>
          <w:lang w:val="en-US"/>
        </w:rPr>
        <w:t>m</w:t>
      </w:r>
      <w:r w:rsidRPr="00E56BAA">
        <w:rPr>
          <w:bCs/>
          <w:iCs/>
          <w:sz w:val="22"/>
          <w:szCs w:val="22"/>
          <w:vertAlign w:val="superscript"/>
        </w:rPr>
        <w:t>2</w:t>
      </w:r>
      <w:r w:rsidRPr="00E56BAA">
        <w:rPr>
          <w:bCs/>
          <w:iCs/>
          <w:sz w:val="22"/>
          <w:szCs w:val="22"/>
        </w:rPr>
        <w:t xml:space="preserve"> επιφάνειας σώματος ή  1</w:t>
      </w:r>
      <w:r w:rsidRPr="00E56BAA">
        <w:rPr>
          <w:bCs/>
          <w:iCs/>
          <w:sz w:val="22"/>
          <w:szCs w:val="22"/>
          <w:lang w:val="en-US"/>
        </w:rPr>
        <w:t>mg</w:t>
      </w:r>
      <w:r w:rsidRPr="00E56BAA">
        <w:rPr>
          <w:bCs/>
          <w:iCs/>
          <w:sz w:val="22"/>
          <w:szCs w:val="22"/>
        </w:rPr>
        <w:t>/</w:t>
      </w:r>
      <w:r w:rsidRPr="00E56BAA">
        <w:rPr>
          <w:bCs/>
          <w:iCs/>
          <w:sz w:val="22"/>
          <w:szCs w:val="22"/>
          <w:lang w:val="en-US"/>
        </w:rPr>
        <w:t>Kg</w:t>
      </w:r>
      <w:r w:rsidRPr="00E56BAA">
        <w:rPr>
          <w:bCs/>
          <w:iCs/>
          <w:sz w:val="22"/>
          <w:szCs w:val="22"/>
        </w:rPr>
        <w:t xml:space="preserve"> βάρους σώματος κατέληξε επίσης σε ανάλογη έκθεση της λανσοπραζόλης σε παιδιά ηλικίας 2-3 μηνών έως ενός έτους συγκριτικά με τους ενήλικες.</w:t>
      </w:r>
      <w:r w:rsidR="0010545B" w:rsidRPr="00E56BAA">
        <w:rPr>
          <w:bCs/>
          <w:iCs/>
          <w:sz w:val="22"/>
          <w:szCs w:val="22"/>
        </w:rPr>
        <w:t xml:space="preserve"> </w:t>
      </w:r>
      <w:r w:rsidRPr="00E56BAA">
        <w:rPr>
          <w:bCs/>
          <w:iCs/>
          <w:sz w:val="22"/>
          <w:szCs w:val="22"/>
        </w:rPr>
        <w:t xml:space="preserve">Υψηλότερη έκθεση στη λανσοπραζόλη σε σύγκριση με τους ενήλικες διαπιστώθηκε σε βρέφη ηλικίας κάτω των 2-3 μηνών σε δόσεις 1,0 </w:t>
      </w:r>
      <w:r w:rsidRPr="00E56BAA">
        <w:rPr>
          <w:bCs/>
          <w:iCs/>
          <w:sz w:val="22"/>
          <w:szCs w:val="22"/>
          <w:lang w:val="en-US"/>
        </w:rPr>
        <w:t>mg</w:t>
      </w:r>
      <w:r w:rsidRPr="00E56BAA">
        <w:rPr>
          <w:bCs/>
          <w:iCs/>
          <w:sz w:val="22"/>
          <w:szCs w:val="22"/>
        </w:rPr>
        <w:t>/</w:t>
      </w:r>
      <w:r w:rsidRPr="00E56BAA">
        <w:rPr>
          <w:bCs/>
          <w:iCs/>
          <w:sz w:val="22"/>
          <w:szCs w:val="22"/>
          <w:lang w:val="en-US"/>
        </w:rPr>
        <w:t>Kg</w:t>
      </w:r>
      <w:r w:rsidRPr="00E56BAA">
        <w:rPr>
          <w:bCs/>
          <w:iCs/>
          <w:sz w:val="22"/>
          <w:szCs w:val="22"/>
        </w:rPr>
        <w:t xml:space="preserve">  και 0,5 </w:t>
      </w:r>
      <w:r w:rsidRPr="00E56BAA">
        <w:rPr>
          <w:bCs/>
          <w:iCs/>
          <w:sz w:val="22"/>
          <w:szCs w:val="22"/>
          <w:lang w:val="en-US"/>
        </w:rPr>
        <w:t>mg</w:t>
      </w:r>
      <w:r w:rsidRPr="00E56BAA">
        <w:rPr>
          <w:bCs/>
          <w:iCs/>
          <w:sz w:val="22"/>
          <w:szCs w:val="22"/>
        </w:rPr>
        <w:t>/</w:t>
      </w:r>
      <w:r w:rsidRPr="00E56BAA">
        <w:rPr>
          <w:bCs/>
          <w:iCs/>
          <w:sz w:val="22"/>
          <w:szCs w:val="22"/>
          <w:lang w:val="en-US"/>
        </w:rPr>
        <w:t>Kg</w:t>
      </w:r>
      <w:r w:rsidRPr="00E56BAA">
        <w:rPr>
          <w:bCs/>
          <w:iCs/>
          <w:sz w:val="22"/>
          <w:szCs w:val="22"/>
        </w:rPr>
        <w:t xml:space="preserve"> βάρους σώματος που δόθηκαν εφάπαξ. </w:t>
      </w:r>
    </w:p>
    <w:p w:rsidR="00AB557F" w:rsidRPr="00E56BAA" w:rsidRDefault="00AB557F" w:rsidP="003261A2">
      <w:pPr>
        <w:ind w:left="-284" w:right="-483"/>
        <w:jc w:val="both"/>
        <w:rPr>
          <w:bCs/>
          <w:iCs/>
          <w:sz w:val="22"/>
          <w:szCs w:val="22"/>
        </w:rPr>
      </w:pPr>
    </w:p>
    <w:p w:rsidR="00FD5B0A" w:rsidRPr="00E56BAA" w:rsidRDefault="00C56A64" w:rsidP="003261A2">
      <w:pPr>
        <w:ind w:left="-284" w:right="-483"/>
        <w:jc w:val="both"/>
        <w:rPr>
          <w:bCs/>
          <w:iCs/>
          <w:sz w:val="22"/>
          <w:szCs w:val="22"/>
        </w:rPr>
      </w:pPr>
      <w:r w:rsidRPr="00E56BAA">
        <w:rPr>
          <w:bCs/>
          <w:iCs/>
          <w:sz w:val="22"/>
          <w:szCs w:val="22"/>
          <w:u w:val="single"/>
        </w:rPr>
        <w:t>Φαρμακοκινητική επί ηπατικής ανεπάρκειας</w:t>
      </w:r>
      <w:r w:rsidR="0010545B" w:rsidRPr="00E56BAA">
        <w:rPr>
          <w:bCs/>
          <w:iCs/>
          <w:sz w:val="22"/>
          <w:szCs w:val="22"/>
        </w:rPr>
        <w:t xml:space="preserve">: </w:t>
      </w:r>
      <w:r w:rsidRPr="00E56BAA">
        <w:rPr>
          <w:bCs/>
          <w:iCs/>
          <w:sz w:val="22"/>
          <w:szCs w:val="22"/>
        </w:rPr>
        <w:t xml:space="preserve">Η έκθεση στην λανσοπραζόλη διπλασιάζεται σε ασθενείς με ήπια δυσλειτουργία και αυξάνεται πολύ περισσότερο σε ασθενείς με μέτρια και βαριά ηπατική δυσλειτουργία. </w:t>
      </w:r>
    </w:p>
    <w:p w:rsidR="00AB557F" w:rsidRPr="00E56BAA" w:rsidRDefault="00AB557F" w:rsidP="003261A2">
      <w:pPr>
        <w:ind w:left="-284" w:right="-483"/>
        <w:jc w:val="both"/>
        <w:rPr>
          <w:bCs/>
          <w:iCs/>
          <w:sz w:val="22"/>
          <w:szCs w:val="22"/>
        </w:rPr>
      </w:pPr>
    </w:p>
    <w:p w:rsidR="00472317" w:rsidRPr="00E56BAA" w:rsidRDefault="00C56A64" w:rsidP="003261A2">
      <w:pPr>
        <w:ind w:left="-284" w:right="-483"/>
        <w:jc w:val="both"/>
        <w:rPr>
          <w:bCs/>
          <w:iCs/>
          <w:sz w:val="22"/>
          <w:szCs w:val="22"/>
        </w:rPr>
      </w:pPr>
      <w:r w:rsidRPr="00E56BAA">
        <w:rPr>
          <w:bCs/>
          <w:iCs/>
          <w:sz w:val="22"/>
          <w:szCs w:val="22"/>
          <w:u w:val="single"/>
        </w:rPr>
        <w:t xml:space="preserve">Πτωχοί μεταβολιστές του </w:t>
      </w:r>
      <w:r w:rsidRPr="00E56BAA">
        <w:rPr>
          <w:bCs/>
          <w:iCs/>
          <w:sz w:val="22"/>
          <w:szCs w:val="22"/>
          <w:u w:val="single"/>
          <w:lang w:val="en-US"/>
        </w:rPr>
        <w:t>CYP</w:t>
      </w:r>
      <w:r w:rsidRPr="00E56BAA">
        <w:rPr>
          <w:bCs/>
          <w:iCs/>
          <w:sz w:val="22"/>
          <w:szCs w:val="22"/>
          <w:u w:val="single"/>
        </w:rPr>
        <w:t>2</w:t>
      </w:r>
      <w:r w:rsidRPr="00E56BAA">
        <w:rPr>
          <w:bCs/>
          <w:iCs/>
          <w:sz w:val="22"/>
          <w:szCs w:val="22"/>
          <w:u w:val="single"/>
          <w:lang w:val="en-US"/>
        </w:rPr>
        <w:t>C</w:t>
      </w:r>
      <w:r w:rsidRPr="00E56BAA">
        <w:rPr>
          <w:bCs/>
          <w:iCs/>
          <w:sz w:val="22"/>
          <w:szCs w:val="22"/>
          <w:u w:val="single"/>
        </w:rPr>
        <w:t>19</w:t>
      </w:r>
      <w:r w:rsidR="0010545B" w:rsidRPr="00E56BAA">
        <w:rPr>
          <w:bCs/>
          <w:iCs/>
          <w:sz w:val="22"/>
          <w:szCs w:val="22"/>
          <w:u w:val="single"/>
        </w:rPr>
        <w:t>:</w:t>
      </w:r>
      <w:r w:rsidRPr="00E56BAA">
        <w:rPr>
          <w:bCs/>
          <w:iCs/>
          <w:sz w:val="22"/>
          <w:szCs w:val="22"/>
        </w:rPr>
        <w:t xml:space="preserve"> Το </w:t>
      </w:r>
      <w:r w:rsidRPr="00E56BAA">
        <w:rPr>
          <w:bCs/>
          <w:iCs/>
          <w:sz w:val="22"/>
          <w:szCs w:val="22"/>
          <w:lang w:val="en-US"/>
        </w:rPr>
        <w:t>CYP</w:t>
      </w:r>
      <w:r w:rsidRPr="00E56BAA">
        <w:rPr>
          <w:bCs/>
          <w:iCs/>
          <w:sz w:val="22"/>
          <w:szCs w:val="22"/>
        </w:rPr>
        <w:t>2</w:t>
      </w:r>
      <w:r w:rsidRPr="00E56BAA">
        <w:rPr>
          <w:bCs/>
          <w:iCs/>
          <w:sz w:val="22"/>
          <w:szCs w:val="22"/>
          <w:lang w:val="en-US"/>
        </w:rPr>
        <w:t>C</w:t>
      </w:r>
      <w:r w:rsidRPr="00E56BAA">
        <w:rPr>
          <w:bCs/>
          <w:iCs/>
          <w:sz w:val="22"/>
          <w:szCs w:val="22"/>
        </w:rPr>
        <w:t xml:space="preserve">19 υπόκειται σε γενετικό πολυμορφισμό και το 2-6% του </w:t>
      </w:r>
      <w:r w:rsidR="00B613C6" w:rsidRPr="00E56BAA">
        <w:rPr>
          <w:bCs/>
          <w:iCs/>
          <w:sz w:val="22"/>
          <w:szCs w:val="22"/>
        </w:rPr>
        <w:t>πληθυσμού</w:t>
      </w:r>
      <w:r w:rsidRPr="00E56BAA">
        <w:rPr>
          <w:bCs/>
          <w:iCs/>
          <w:sz w:val="22"/>
          <w:szCs w:val="22"/>
        </w:rPr>
        <w:t>, που ονομάζονται πτωχοί μεταβολιστές, είναι ομοζυγ</w:t>
      </w:r>
      <w:r w:rsidR="00B613C6" w:rsidRPr="00E56BAA">
        <w:rPr>
          <w:bCs/>
          <w:iCs/>
          <w:sz w:val="22"/>
          <w:szCs w:val="22"/>
        </w:rPr>
        <w:t>ώτε</w:t>
      </w:r>
      <w:r w:rsidRPr="00E56BAA">
        <w:rPr>
          <w:bCs/>
          <w:iCs/>
          <w:sz w:val="22"/>
          <w:szCs w:val="22"/>
        </w:rPr>
        <w:t xml:space="preserve">ς του μεταλλαγμένου αλληλόμορφου γονιδίου του </w:t>
      </w:r>
      <w:r w:rsidRPr="00E56BAA">
        <w:rPr>
          <w:bCs/>
          <w:iCs/>
          <w:sz w:val="22"/>
          <w:szCs w:val="22"/>
          <w:lang w:val="en-US"/>
        </w:rPr>
        <w:t>CYP</w:t>
      </w:r>
      <w:r w:rsidRPr="00E56BAA">
        <w:rPr>
          <w:bCs/>
          <w:iCs/>
          <w:sz w:val="22"/>
          <w:szCs w:val="22"/>
        </w:rPr>
        <w:t>2</w:t>
      </w:r>
      <w:r w:rsidRPr="00E56BAA">
        <w:rPr>
          <w:bCs/>
          <w:iCs/>
          <w:sz w:val="22"/>
          <w:szCs w:val="22"/>
          <w:lang w:val="en-US"/>
        </w:rPr>
        <w:t>C</w:t>
      </w:r>
      <w:r w:rsidRPr="00E56BAA">
        <w:rPr>
          <w:bCs/>
          <w:iCs/>
          <w:sz w:val="22"/>
          <w:szCs w:val="22"/>
        </w:rPr>
        <w:t xml:space="preserve">19 και επομένως στερούνται του λειτουργικού ενζύμου </w:t>
      </w:r>
      <w:r w:rsidRPr="00E56BAA">
        <w:rPr>
          <w:bCs/>
          <w:iCs/>
          <w:sz w:val="22"/>
          <w:szCs w:val="22"/>
          <w:lang w:val="en-US"/>
        </w:rPr>
        <w:t>CYP</w:t>
      </w:r>
      <w:r w:rsidRPr="00E56BAA">
        <w:rPr>
          <w:bCs/>
          <w:iCs/>
          <w:sz w:val="22"/>
          <w:szCs w:val="22"/>
        </w:rPr>
        <w:t>2</w:t>
      </w:r>
      <w:r w:rsidRPr="00E56BAA">
        <w:rPr>
          <w:bCs/>
          <w:iCs/>
          <w:sz w:val="22"/>
          <w:szCs w:val="22"/>
          <w:lang w:val="en-US"/>
        </w:rPr>
        <w:t>C</w:t>
      </w:r>
      <w:r w:rsidRPr="00E56BAA">
        <w:rPr>
          <w:bCs/>
          <w:iCs/>
          <w:sz w:val="22"/>
          <w:szCs w:val="22"/>
        </w:rPr>
        <w:t>19. Η έκθεση στη λανσοπραζό</w:t>
      </w:r>
      <w:r w:rsidR="00873CD0" w:rsidRPr="00E56BAA">
        <w:rPr>
          <w:bCs/>
          <w:iCs/>
          <w:sz w:val="22"/>
          <w:szCs w:val="22"/>
        </w:rPr>
        <w:t>λη είναι πολλές φορές υψηλότερη</w:t>
      </w:r>
      <w:r w:rsidRPr="00E56BAA">
        <w:rPr>
          <w:bCs/>
          <w:iCs/>
          <w:sz w:val="22"/>
          <w:szCs w:val="22"/>
        </w:rPr>
        <w:t xml:space="preserve"> στα άτομα αυτά από ότι στους ισχυρούς μεταβολιστές.</w:t>
      </w:r>
      <w:r w:rsidR="00741213" w:rsidRPr="00E56BAA">
        <w:rPr>
          <w:bCs/>
          <w:iCs/>
          <w:sz w:val="22"/>
          <w:szCs w:val="22"/>
        </w:rPr>
        <w:t xml:space="preserve"> </w:t>
      </w:r>
    </w:p>
    <w:p w:rsidR="004B77C0" w:rsidRPr="00E56BAA" w:rsidRDefault="004B77C0" w:rsidP="003261A2">
      <w:pPr>
        <w:ind w:left="-284" w:right="-483"/>
        <w:jc w:val="both"/>
        <w:rPr>
          <w:bCs/>
          <w:iCs/>
          <w:sz w:val="22"/>
          <w:szCs w:val="22"/>
          <w:u w:val="single"/>
        </w:rPr>
      </w:pPr>
    </w:p>
    <w:p w:rsidR="004B77C0" w:rsidRPr="00E56BAA" w:rsidRDefault="004B77C0" w:rsidP="003261A2">
      <w:pPr>
        <w:ind w:left="-567" w:right="-483"/>
        <w:jc w:val="both"/>
        <w:rPr>
          <w:b/>
          <w:bCs/>
          <w:iCs/>
          <w:sz w:val="22"/>
          <w:szCs w:val="22"/>
        </w:rPr>
      </w:pPr>
      <w:r w:rsidRPr="00E56BAA">
        <w:rPr>
          <w:b/>
          <w:bCs/>
          <w:iCs/>
          <w:sz w:val="22"/>
          <w:szCs w:val="22"/>
        </w:rPr>
        <w:t xml:space="preserve">5.3 Προκλινικά δεδομένα για την ασφάλεια </w:t>
      </w:r>
    </w:p>
    <w:p w:rsidR="004B77C0" w:rsidRPr="00E56BAA" w:rsidRDefault="004B77C0" w:rsidP="003261A2">
      <w:pPr>
        <w:ind w:left="-567" w:right="-483"/>
        <w:jc w:val="both"/>
        <w:rPr>
          <w:b/>
          <w:bCs/>
          <w:iCs/>
          <w:sz w:val="22"/>
          <w:szCs w:val="22"/>
        </w:rPr>
      </w:pPr>
    </w:p>
    <w:p w:rsidR="004B77C0" w:rsidRPr="00E56BAA" w:rsidRDefault="004B77C0" w:rsidP="003261A2">
      <w:pPr>
        <w:ind w:left="-284" w:right="-483"/>
        <w:jc w:val="both"/>
        <w:rPr>
          <w:sz w:val="22"/>
          <w:szCs w:val="22"/>
        </w:rPr>
      </w:pPr>
      <w:r w:rsidRPr="00E56BAA">
        <w:rPr>
          <w:sz w:val="22"/>
          <w:szCs w:val="22"/>
        </w:rPr>
        <w:t>Προκλινικά δεδομένα αποκαλύπτουν ότι δεν υπάρχουν ιδιαίτεροι κίνδυνοι για τον άνθρωπο με βάση τις συνηθισμένες μελέτες φαρμακολογικής ασφάλειας, της τοξικότητας μετά από επανειλημμένες δόσεις, της τοξικότητας στην αναπαραγωγή ή της γονοτξικότητας.</w:t>
      </w:r>
    </w:p>
    <w:p w:rsidR="004B77C0" w:rsidRPr="00E56BAA" w:rsidRDefault="004B77C0" w:rsidP="003261A2">
      <w:pPr>
        <w:ind w:left="-284" w:right="-483"/>
        <w:jc w:val="both"/>
        <w:rPr>
          <w:sz w:val="22"/>
          <w:szCs w:val="22"/>
        </w:rPr>
      </w:pPr>
      <w:r w:rsidRPr="00E56BAA">
        <w:rPr>
          <w:sz w:val="22"/>
          <w:szCs w:val="22"/>
        </w:rPr>
        <w:t xml:space="preserve">Σε δύο μελέτες καρκινογένεσης σε αρουραίους, η λανσοπραζόλη προκάλεσε δοσοεξαρτώμενη υπερπλασία των γαστρικών </w:t>
      </w:r>
      <w:r w:rsidRPr="00E56BAA">
        <w:rPr>
          <w:sz w:val="22"/>
          <w:szCs w:val="22"/>
          <w:lang w:val="en-US"/>
        </w:rPr>
        <w:t>ECL</w:t>
      </w:r>
      <w:r w:rsidRPr="00E56BAA">
        <w:rPr>
          <w:sz w:val="22"/>
          <w:szCs w:val="22"/>
        </w:rPr>
        <w:t xml:space="preserve"> κυττάρων και καρκινοειδή </w:t>
      </w:r>
      <w:r w:rsidRPr="00E56BAA">
        <w:rPr>
          <w:sz w:val="22"/>
          <w:szCs w:val="22"/>
          <w:lang w:val="en-US"/>
        </w:rPr>
        <w:t>ECL</w:t>
      </w:r>
      <w:r w:rsidRPr="00E56BAA">
        <w:rPr>
          <w:sz w:val="22"/>
          <w:szCs w:val="22"/>
        </w:rPr>
        <w:t xml:space="preserve"> κύτταρα με συνοδό υπεργαστριναιμία λόγω αναστολής της έκκρισης οξέος.</w:t>
      </w:r>
    </w:p>
    <w:p w:rsidR="00FD5B0A" w:rsidRPr="00E56BAA" w:rsidRDefault="004B77C0" w:rsidP="003261A2">
      <w:pPr>
        <w:ind w:left="-284" w:right="-483"/>
        <w:jc w:val="both"/>
        <w:rPr>
          <w:sz w:val="22"/>
          <w:szCs w:val="22"/>
        </w:rPr>
      </w:pPr>
      <w:r w:rsidRPr="00E56BAA">
        <w:rPr>
          <w:sz w:val="22"/>
          <w:szCs w:val="22"/>
        </w:rPr>
        <w:t xml:space="preserve">Παρατηρήθηκε επίσης εντερική μεταπλασία, όπως υπερπλασά των κυττάρων </w:t>
      </w:r>
      <w:proofErr w:type="spellStart"/>
      <w:r w:rsidRPr="00E56BAA">
        <w:rPr>
          <w:sz w:val="22"/>
          <w:szCs w:val="22"/>
          <w:lang w:val="en-US"/>
        </w:rPr>
        <w:t>Leydig</w:t>
      </w:r>
      <w:proofErr w:type="spellEnd"/>
      <w:r w:rsidRPr="00E56BAA">
        <w:rPr>
          <w:sz w:val="22"/>
          <w:szCs w:val="22"/>
        </w:rPr>
        <w:t xml:space="preserve"> και καλοήθεις όγκοι από κύτταρα  </w:t>
      </w:r>
      <w:proofErr w:type="spellStart"/>
      <w:r w:rsidRPr="00E56BAA">
        <w:rPr>
          <w:sz w:val="22"/>
          <w:szCs w:val="22"/>
          <w:lang w:val="en-US"/>
        </w:rPr>
        <w:t>Leydig</w:t>
      </w:r>
      <w:proofErr w:type="spellEnd"/>
      <w:r w:rsidRPr="00E56BAA">
        <w:rPr>
          <w:sz w:val="22"/>
          <w:szCs w:val="22"/>
        </w:rPr>
        <w:t>. Μετά από 18 μήνες θεραπείας παρατηρήθηκε ατροφία του αμφιβληστροειδούς. Αυτό δεν παρατηρήθηκε σε πιθήκους, σκύλους και ποντίκια.</w:t>
      </w:r>
    </w:p>
    <w:p w:rsidR="004B77C0" w:rsidRPr="00E56BAA" w:rsidRDefault="004B77C0" w:rsidP="003261A2">
      <w:pPr>
        <w:ind w:left="-284" w:right="-483"/>
        <w:jc w:val="both"/>
        <w:rPr>
          <w:sz w:val="22"/>
          <w:szCs w:val="22"/>
        </w:rPr>
      </w:pPr>
      <w:r w:rsidRPr="00E56BAA">
        <w:rPr>
          <w:sz w:val="22"/>
          <w:szCs w:val="22"/>
        </w:rPr>
        <w:t xml:space="preserve">Σε μελέτες καρκινογένεσης σε ποντικούς αναπτύχθηκε δοσεξαρτώμενη υπερπλασία  των γαστρικών </w:t>
      </w:r>
      <w:r w:rsidRPr="00E56BAA">
        <w:rPr>
          <w:sz w:val="22"/>
          <w:szCs w:val="22"/>
          <w:lang w:val="en-US"/>
        </w:rPr>
        <w:t>ECL</w:t>
      </w:r>
      <w:r w:rsidRPr="00E56BAA">
        <w:rPr>
          <w:sz w:val="22"/>
          <w:szCs w:val="22"/>
        </w:rPr>
        <w:t>κυττάρων καθώς και όγκοι ήπατος και αδένωμα του ορχικού δικτύου και η κλινική σημασία των ευρημάτων αυτών είναι άγνωστη.</w:t>
      </w:r>
    </w:p>
    <w:p w:rsidR="004B77C0" w:rsidRPr="00E56BAA" w:rsidRDefault="004B77C0" w:rsidP="003261A2">
      <w:pPr>
        <w:ind w:left="-284" w:right="-483"/>
        <w:jc w:val="both"/>
        <w:rPr>
          <w:sz w:val="22"/>
          <w:szCs w:val="22"/>
        </w:rPr>
      </w:pPr>
    </w:p>
    <w:p w:rsidR="00FD5B0A" w:rsidRPr="00E56BAA" w:rsidRDefault="00FD5B0A" w:rsidP="003261A2">
      <w:pPr>
        <w:numPr>
          <w:ilvl w:val="0"/>
          <w:numId w:val="9"/>
        </w:numPr>
        <w:ind w:left="-284" w:right="-483"/>
        <w:jc w:val="both"/>
        <w:rPr>
          <w:sz w:val="22"/>
          <w:szCs w:val="22"/>
          <w:lang w:val="en-US"/>
        </w:rPr>
      </w:pPr>
      <w:r w:rsidRPr="00E56BAA">
        <w:rPr>
          <w:b/>
          <w:bCs/>
          <w:iCs/>
          <w:sz w:val="22"/>
          <w:szCs w:val="22"/>
        </w:rPr>
        <w:t>ΦΑΡΜΑΚΕΥΤΙΚΕΣ</w:t>
      </w:r>
      <w:r w:rsidRPr="00E56BAA">
        <w:rPr>
          <w:b/>
          <w:bCs/>
          <w:iCs/>
          <w:sz w:val="22"/>
          <w:szCs w:val="22"/>
          <w:lang w:val="en-US"/>
        </w:rPr>
        <w:t xml:space="preserve"> </w:t>
      </w:r>
      <w:r w:rsidRPr="00E56BAA">
        <w:rPr>
          <w:b/>
          <w:bCs/>
          <w:iCs/>
          <w:sz w:val="22"/>
          <w:szCs w:val="22"/>
        </w:rPr>
        <w:t>ΠΛΗΡΟΦΟΡΙΕΣ</w:t>
      </w:r>
      <w:r w:rsidR="00741213" w:rsidRPr="00E56BAA">
        <w:rPr>
          <w:b/>
          <w:bCs/>
          <w:iCs/>
          <w:sz w:val="22"/>
          <w:szCs w:val="22"/>
          <w:lang w:val="en-US"/>
        </w:rPr>
        <w:t xml:space="preserve">: </w:t>
      </w:r>
    </w:p>
    <w:p w:rsidR="00FD5B0A" w:rsidRPr="00E56BAA" w:rsidRDefault="00FD5B0A" w:rsidP="003261A2">
      <w:pPr>
        <w:ind w:left="-644" w:right="-483"/>
        <w:jc w:val="both"/>
        <w:rPr>
          <w:bCs/>
          <w:iCs/>
          <w:sz w:val="22"/>
          <w:szCs w:val="22"/>
          <w:lang w:val="en-US"/>
        </w:rPr>
      </w:pPr>
      <w:r w:rsidRPr="00E56BAA">
        <w:rPr>
          <w:b/>
          <w:bCs/>
          <w:iCs/>
          <w:sz w:val="22"/>
          <w:szCs w:val="22"/>
          <w:lang w:val="en-US"/>
        </w:rPr>
        <w:t xml:space="preserve">6.1 </w:t>
      </w:r>
      <w:r w:rsidR="004B77C0" w:rsidRPr="00E56BAA">
        <w:rPr>
          <w:b/>
          <w:bCs/>
          <w:iCs/>
          <w:sz w:val="22"/>
          <w:szCs w:val="22"/>
        </w:rPr>
        <w:t>Κατάλογος εκδό</w:t>
      </w:r>
      <w:r w:rsidRPr="00E56BAA">
        <w:rPr>
          <w:b/>
          <w:bCs/>
          <w:iCs/>
          <w:sz w:val="22"/>
          <w:szCs w:val="22"/>
        </w:rPr>
        <w:t>χ</w:t>
      </w:r>
      <w:r w:rsidR="004B77C0" w:rsidRPr="00E56BAA">
        <w:rPr>
          <w:b/>
          <w:bCs/>
          <w:iCs/>
          <w:sz w:val="22"/>
          <w:szCs w:val="22"/>
        </w:rPr>
        <w:t>ων</w:t>
      </w:r>
    </w:p>
    <w:p w:rsidR="009F74AF" w:rsidRPr="00E56BAA" w:rsidRDefault="009F74AF" w:rsidP="003261A2">
      <w:pPr>
        <w:ind w:left="-284" w:right="-483"/>
        <w:jc w:val="both"/>
        <w:rPr>
          <w:sz w:val="22"/>
          <w:szCs w:val="22"/>
          <w:lang w:val="en-US"/>
        </w:rPr>
      </w:pPr>
      <w:proofErr w:type="gramStart"/>
      <w:r w:rsidRPr="00E56BAA">
        <w:rPr>
          <w:sz w:val="22"/>
          <w:szCs w:val="22"/>
          <w:lang w:val="en-US"/>
        </w:rPr>
        <w:t xml:space="preserve">Sugar spheres, </w:t>
      </w:r>
      <w:proofErr w:type="spellStart"/>
      <w:r w:rsidRPr="00E56BAA">
        <w:rPr>
          <w:sz w:val="22"/>
          <w:szCs w:val="22"/>
          <w:lang w:val="en-US"/>
        </w:rPr>
        <w:t>Mannitol</w:t>
      </w:r>
      <w:proofErr w:type="spellEnd"/>
      <w:r w:rsidRPr="00E56BAA">
        <w:rPr>
          <w:sz w:val="22"/>
          <w:szCs w:val="22"/>
          <w:lang w:val="en-US"/>
        </w:rPr>
        <w:t xml:space="preserve">, Sodium </w:t>
      </w:r>
      <w:proofErr w:type="spellStart"/>
      <w:r w:rsidRPr="00E56BAA">
        <w:rPr>
          <w:sz w:val="22"/>
          <w:szCs w:val="22"/>
          <w:lang w:val="en-US"/>
        </w:rPr>
        <w:t>lauryl</w:t>
      </w:r>
      <w:proofErr w:type="spellEnd"/>
      <w:r w:rsidRPr="00E56BAA">
        <w:rPr>
          <w:sz w:val="22"/>
          <w:szCs w:val="22"/>
          <w:lang w:val="en-US"/>
        </w:rPr>
        <w:t xml:space="preserve"> </w:t>
      </w:r>
      <w:proofErr w:type="spellStart"/>
      <w:r w:rsidRPr="00E56BAA">
        <w:rPr>
          <w:sz w:val="22"/>
          <w:szCs w:val="22"/>
          <w:lang w:val="en-US"/>
        </w:rPr>
        <w:t>sulphate</w:t>
      </w:r>
      <w:proofErr w:type="spellEnd"/>
      <w:r w:rsidRPr="00E56BAA">
        <w:rPr>
          <w:sz w:val="22"/>
          <w:szCs w:val="22"/>
          <w:lang w:val="en-US"/>
        </w:rPr>
        <w:t xml:space="preserve">, Sucrose, </w:t>
      </w:r>
      <w:proofErr w:type="spellStart"/>
      <w:r w:rsidRPr="00E56BAA">
        <w:rPr>
          <w:sz w:val="22"/>
          <w:szCs w:val="22"/>
          <w:lang w:val="en-US"/>
        </w:rPr>
        <w:t>Povidone</w:t>
      </w:r>
      <w:proofErr w:type="spellEnd"/>
      <w:r w:rsidRPr="00E56BAA">
        <w:rPr>
          <w:sz w:val="22"/>
          <w:szCs w:val="22"/>
          <w:lang w:val="en-US"/>
        </w:rPr>
        <w:t xml:space="preserve"> K-30, Disodium hydrogen orthophosphate (anhydrous), Talc, </w:t>
      </w:r>
      <w:proofErr w:type="spellStart"/>
      <w:r w:rsidRPr="00E56BAA">
        <w:rPr>
          <w:sz w:val="22"/>
          <w:szCs w:val="22"/>
          <w:lang w:val="en-US"/>
        </w:rPr>
        <w:t>Hydroxypropyl</w:t>
      </w:r>
      <w:proofErr w:type="spellEnd"/>
      <w:r w:rsidRPr="00E56BAA">
        <w:rPr>
          <w:sz w:val="22"/>
          <w:szCs w:val="22"/>
          <w:lang w:val="en-US"/>
        </w:rPr>
        <w:t xml:space="preserve"> methylcellulose phthalate (H.P. 55S), Diethyl phthalate, </w:t>
      </w:r>
      <w:r w:rsidR="004633E9" w:rsidRPr="00E56BAA">
        <w:rPr>
          <w:sz w:val="22"/>
          <w:szCs w:val="22"/>
          <w:lang w:val="en-US"/>
        </w:rPr>
        <w:t xml:space="preserve">Titanium dioxide, </w:t>
      </w:r>
      <w:proofErr w:type="spellStart"/>
      <w:r w:rsidR="004633E9" w:rsidRPr="00E56BAA">
        <w:rPr>
          <w:sz w:val="22"/>
          <w:szCs w:val="22"/>
          <w:lang w:val="en-US"/>
        </w:rPr>
        <w:t>Cetyl</w:t>
      </w:r>
      <w:proofErr w:type="spellEnd"/>
      <w:r w:rsidR="004633E9" w:rsidRPr="00E56BAA">
        <w:rPr>
          <w:sz w:val="22"/>
          <w:szCs w:val="22"/>
          <w:lang w:val="en-US"/>
        </w:rPr>
        <w:t xml:space="preserve"> alcohol</w:t>
      </w:r>
      <w:r w:rsidRPr="00E56BAA">
        <w:rPr>
          <w:sz w:val="22"/>
          <w:szCs w:val="22"/>
          <w:lang w:val="en-US"/>
        </w:rPr>
        <w:t>.</w:t>
      </w:r>
      <w:proofErr w:type="gramEnd"/>
    </w:p>
    <w:p w:rsidR="0060134E" w:rsidRPr="00E56BAA" w:rsidRDefault="0060134E" w:rsidP="003261A2">
      <w:pPr>
        <w:ind w:left="-284" w:right="-483"/>
        <w:jc w:val="both"/>
        <w:rPr>
          <w:sz w:val="22"/>
          <w:szCs w:val="22"/>
          <w:lang w:val="en-US"/>
        </w:rPr>
      </w:pPr>
    </w:p>
    <w:p w:rsidR="00C50C76" w:rsidRPr="00E56BAA" w:rsidRDefault="0060134E" w:rsidP="003261A2">
      <w:pPr>
        <w:ind w:left="-284" w:right="-483"/>
        <w:jc w:val="both"/>
        <w:rPr>
          <w:sz w:val="22"/>
          <w:szCs w:val="22"/>
          <w:lang w:val="en-US"/>
        </w:rPr>
      </w:pPr>
      <w:r w:rsidRPr="00E56BAA">
        <w:rPr>
          <w:b/>
          <w:sz w:val="22"/>
          <w:szCs w:val="22"/>
        </w:rPr>
        <w:t>Κενό</w:t>
      </w:r>
      <w:r w:rsidRPr="00E56BAA">
        <w:rPr>
          <w:b/>
          <w:sz w:val="22"/>
          <w:szCs w:val="22"/>
          <w:lang w:val="en-US"/>
        </w:rPr>
        <w:t xml:space="preserve"> </w:t>
      </w:r>
      <w:r w:rsidRPr="00E56BAA">
        <w:rPr>
          <w:b/>
          <w:sz w:val="22"/>
          <w:szCs w:val="22"/>
        </w:rPr>
        <w:t>καψάκιο</w:t>
      </w:r>
      <w:r w:rsidRPr="00E56BAA">
        <w:rPr>
          <w:b/>
          <w:sz w:val="22"/>
          <w:szCs w:val="22"/>
          <w:lang w:val="en-US"/>
        </w:rPr>
        <w:t xml:space="preserve"> </w:t>
      </w:r>
      <w:proofErr w:type="spellStart"/>
      <w:r w:rsidRPr="00E56BAA">
        <w:rPr>
          <w:b/>
          <w:sz w:val="22"/>
          <w:szCs w:val="22"/>
          <w:lang w:val="en-US"/>
        </w:rPr>
        <w:t>Lanzol</w:t>
      </w:r>
      <w:proofErr w:type="spellEnd"/>
      <w:r w:rsidRPr="00E56BAA">
        <w:rPr>
          <w:b/>
          <w:sz w:val="22"/>
          <w:szCs w:val="22"/>
          <w:lang w:val="en-US"/>
        </w:rPr>
        <w:t xml:space="preserve"> 30mg</w:t>
      </w:r>
      <w:r w:rsidR="00C50C76" w:rsidRPr="00E56BAA">
        <w:rPr>
          <w:b/>
          <w:sz w:val="22"/>
          <w:szCs w:val="22"/>
          <w:lang w:val="en-US"/>
        </w:rPr>
        <w:t>:</w:t>
      </w:r>
      <w:r w:rsidR="00C50C76" w:rsidRPr="00E56BAA">
        <w:rPr>
          <w:sz w:val="22"/>
          <w:szCs w:val="22"/>
          <w:lang w:val="en-US" w:eastAsia="en-US"/>
        </w:rPr>
        <w:t xml:space="preserve"> </w:t>
      </w:r>
      <w:proofErr w:type="spellStart"/>
      <w:r w:rsidR="00C50C76" w:rsidRPr="00E56BAA">
        <w:rPr>
          <w:sz w:val="22"/>
          <w:szCs w:val="22"/>
          <w:lang w:val="en-US"/>
        </w:rPr>
        <w:t>Gelatine</w:t>
      </w:r>
      <w:proofErr w:type="spellEnd"/>
      <w:r w:rsidR="00C50C76" w:rsidRPr="00E56BAA">
        <w:rPr>
          <w:sz w:val="22"/>
          <w:szCs w:val="22"/>
          <w:lang w:val="en-US"/>
        </w:rPr>
        <w:t xml:space="preserve">, Titanium dioxide E 171, </w:t>
      </w:r>
      <w:proofErr w:type="spellStart"/>
      <w:r w:rsidR="00C50C76" w:rsidRPr="00E56BAA">
        <w:rPr>
          <w:sz w:val="22"/>
          <w:szCs w:val="22"/>
          <w:lang w:val="en-US"/>
        </w:rPr>
        <w:t>Tartrazine</w:t>
      </w:r>
      <w:proofErr w:type="spellEnd"/>
      <w:r w:rsidR="00C50C76" w:rsidRPr="00E56BAA">
        <w:rPr>
          <w:sz w:val="22"/>
          <w:szCs w:val="22"/>
          <w:lang w:val="en-US"/>
        </w:rPr>
        <w:t xml:space="preserve"> E 102, Erythrosine E 127, patent blue V (E 131).</w:t>
      </w:r>
    </w:p>
    <w:p w:rsidR="00F2552F" w:rsidRPr="00E56BAA" w:rsidRDefault="00F2552F" w:rsidP="003261A2">
      <w:pPr>
        <w:ind w:left="-284" w:right="-483"/>
        <w:jc w:val="both"/>
        <w:rPr>
          <w:sz w:val="22"/>
          <w:szCs w:val="22"/>
          <w:lang w:val="en-US"/>
        </w:rPr>
      </w:pPr>
    </w:p>
    <w:p w:rsidR="00FD5B0A" w:rsidRPr="00E56BAA" w:rsidRDefault="00F2552F" w:rsidP="003261A2">
      <w:pPr>
        <w:ind w:left="-567" w:right="-483"/>
        <w:jc w:val="both"/>
        <w:rPr>
          <w:b/>
          <w:sz w:val="22"/>
          <w:szCs w:val="22"/>
        </w:rPr>
      </w:pPr>
      <w:r w:rsidRPr="00E56BAA">
        <w:rPr>
          <w:b/>
          <w:sz w:val="22"/>
          <w:szCs w:val="22"/>
        </w:rPr>
        <w:t>6.2 Ασυμβατότητες</w:t>
      </w:r>
    </w:p>
    <w:p w:rsidR="00F2552F" w:rsidRPr="00E56BAA" w:rsidRDefault="0060134E" w:rsidP="003261A2">
      <w:pPr>
        <w:tabs>
          <w:tab w:val="left" w:pos="0"/>
        </w:tabs>
        <w:ind w:left="-284" w:right="-483"/>
        <w:jc w:val="both"/>
        <w:rPr>
          <w:sz w:val="22"/>
          <w:szCs w:val="22"/>
        </w:rPr>
      </w:pPr>
      <w:r w:rsidRPr="00E56BAA">
        <w:rPr>
          <w:sz w:val="22"/>
          <w:szCs w:val="22"/>
        </w:rPr>
        <w:t>Δεν εφαρμόζεται.</w:t>
      </w:r>
    </w:p>
    <w:p w:rsidR="00F2552F" w:rsidRPr="00E56BAA" w:rsidRDefault="00F2552F" w:rsidP="003261A2">
      <w:pPr>
        <w:ind w:left="-567"/>
        <w:rPr>
          <w:sz w:val="22"/>
          <w:szCs w:val="22"/>
        </w:rPr>
      </w:pPr>
    </w:p>
    <w:p w:rsidR="00F2552F" w:rsidRPr="00E56BAA" w:rsidRDefault="00F2552F" w:rsidP="003261A2">
      <w:pPr>
        <w:ind w:left="-567" w:right="-483"/>
        <w:jc w:val="both"/>
        <w:rPr>
          <w:b/>
          <w:sz w:val="22"/>
          <w:szCs w:val="22"/>
        </w:rPr>
      </w:pPr>
      <w:r w:rsidRPr="00E56BAA">
        <w:rPr>
          <w:b/>
          <w:sz w:val="22"/>
          <w:szCs w:val="22"/>
        </w:rPr>
        <w:t>6.3 Διάρκεια ζωής</w:t>
      </w:r>
    </w:p>
    <w:p w:rsidR="00F2552F" w:rsidRPr="00E56BAA" w:rsidRDefault="00F2552F" w:rsidP="003261A2">
      <w:pPr>
        <w:ind w:left="-284" w:right="-483"/>
        <w:jc w:val="both"/>
        <w:rPr>
          <w:sz w:val="22"/>
          <w:szCs w:val="22"/>
        </w:rPr>
      </w:pPr>
      <w:r w:rsidRPr="00E56BAA">
        <w:rPr>
          <w:sz w:val="22"/>
          <w:szCs w:val="22"/>
        </w:rPr>
        <w:t xml:space="preserve">36 μήνες. </w:t>
      </w:r>
    </w:p>
    <w:p w:rsidR="00FD5B0A" w:rsidRPr="00E56BAA" w:rsidRDefault="00FD5B0A" w:rsidP="003261A2">
      <w:pPr>
        <w:ind w:left="-284" w:right="-483"/>
        <w:jc w:val="both"/>
        <w:rPr>
          <w:sz w:val="22"/>
          <w:szCs w:val="22"/>
        </w:rPr>
      </w:pPr>
    </w:p>
    <w:p w:rsidR="00FD5B0A" w:rsidRPr="00E56BAA" w:rsidRDefault="00FD5B0A" w:rsidP="003261A2">
      <w:pPr>
        <w:ind w:left="-567" w:right="-483"/>
        <w:jc w:val="both"/>
        <w:rPr>
          <w:b/>
          <w:sz w:val="22"/>
          <w:szCs w:val="22"/>
        </w:rPr>
      </w:pPr>
      <w:r w:rsidRPr="00E56BAA">
        <w:rPr>
          <w:b/>
          <w:sz w:val="22"/>
          <w:szCs w:val="22"/>
        </w:rPr>
        <w:t>6.</w:t>
      </w:r>
      <w:r w:rsidR="00F2552F" w:rsidRPr="00E56BAA">
        <w:rPr>
          <w:b/>
          <w:sz w:val="22"/>
          <w:szCs w:val="22"/>
        </w:rPr>
        <w:t>4</w:t>
      </w:r>
      <w:r w:rsidRPr="00E56BAA">
        <w:rPr>
          <w:b/>
          <w:sz w:val="22"/>
          <w:szCs w:val="22"/>
        </w:rPr>
        <w:t xml:space="preserve"> </w:t>
      </w:r>
      <w:r w:rsidR="00B613C6" w:rsidRPr="00E56BAA">
        <w:rPr>
          <w:b/>
          <w:sz w:val="22"/>
          <w:szCs w:val="22"/>
        </w:rPr>
        <w:t>Ιδιαίτερες προφυλάξεις κατά τη φύλαξη του προϊόντος</w:t>
      </w:r>
    </w:p>
    <w:p w:rsidR="00472317" w:rsidRPr="00E56BAA" w:rsidRDefault="00B613C6" w:rsidP="003261A2">
      <w:pPr>
        <w:ind w:left="-284" w:right="-483"/>
        <w:jc w:val="both"/>
        <w:rPr>
          <w:sz w:val="22"/>
          <w:szCs w:val="22"/>
        </w:rPr>
      </w:pPr>
      <w:r w:rsidRPr="00E56BAA">
        <w:rPr>
          <w:sz w:val="22"/>
          <w:szCs w:val="22"/>
        </w:rPr>
        <w:t>Φυλάσσεται</w:t>
      </w:r>
      <w:r w:rsidR="006159A2" w:rsidRPr="00E56BAA">
        <w:rPr>
          <w:sz w:val="22"/>
          <w:szCs w:val="22"/>
        </w:rPr>
        <w:t xml:space="preserve"> σε θερμοκρασία </w:t>
      </w:r>
      <w:r w:rsidR="0060134E" w:rsidRPr="00E56BAA">
        <w:rPr>
          <w:sz w:val="22"/>
          <w:szCs w:val="22"/>
        </w:rPr>
        <w:t>≤25°</w:t>
      </w:r>
      <w:r w:rsidR="0060134E" w:rsidRPr="00E56BAA">
        <w:rPr>
          <w:sz w:val="22"/>
          <w:szCs w:val="22"/>
          <w:lang w:val="en-US"/>
        </w:rPr>
        <w:t>C</w:t>
      </w:r>
      <w:r w:rsidR="0060134E" w:rsidRPr="00E56BAA">
        <w:rPr>
          <w:sz w:val="22"/>
          <w:szCs w:val="22"/>
        </w:rPr>
        <w:t>.</w:t>
      </w:r>
    </w:p>
    <w:p w:rsidR="00FD5B0A" w:rsidRPr="00E56BAA" w:rsidRDefault="00FD5B0A" w:rsidP="003261A2">
      <w:pPr>
        <w:ind w:right="-483"/>
        <w:jc w:val="both"/>
        <w:rPr>
          <w:b/>
          <w:sz w:val="22"/>
          <w:szCs w:val="22"/>
        </w:rPr>
      </w:pPr>
    </w:p>
    <w:p w:rsidR="00FD5B0A" w:rsidRPr="00E56BAA" w:rsidRDefault="00FD5B0A" w:rsidP="003261A2">
      <w:pPr>
        <w:ind w:left="-567" w:right="-483"/>
        <w:jc w:val="both"/>
        <w:rPr>
          <w:b/>
          <w:sz w:val="22"/>
          <w:szCs w:val="22"/>
        </w:rPr>
      </w:pPr>
      <w:r w:rsidRPr="00E56BAA">
        <w:rPr>
          <w:b/>
          <w:sz w:val="22"/>
          <w:szCs w:val="22"/>
        </w:rPr>
        <w:t>6.</w:t>
      </w:r>
      <w:r w:rsidR="00F2552F" w:rsidRPr="00E56BAA">
        <w:rPr>
          <w:b/>
          <w:sz w:val="22"/>
          <w:szCs w:val="22"/>
        </w:rPr>
        <w:t>5</w:t>
      </w:r>
      <w:r w:rsidRPr="00E56BAA">
        <w:rPr>
          <w:b/>
          <w:sz w:val="22"/>
          <w:szCs w:val="22"/>
        </w:rPr>
        <w:t xml:space="preserve"> </w:t>
      </w:r>
      <w:r w:rsidR="00B613C6" w:rsidRPr="00E56BAA">
        <w:rPr>
          <w:b/>
          <w:sz w:val="22"/>
          <w:szCs w:val="22"/>
        </w:rPr>
        <w:t>Φύση και συστατικά του περιέκτη</w:t>
      </w:r>
    </w:p>
    <w:p w:rsidR="004633E9" w:rsidRDefault="0060134E" w:rsidP="003261A2">
      <w:pPr>
        <w:ind w:left="-284" w:right="-483"/>
        <w:jc w:val="both"/>
        <w:rPr>
          <w:sz w:val="22"/>
          <w:szCs w:val="22"/>
        </w:rPr>
      </w:pPr>
      <w:r w:rsidRPr="00E56BAA">
        <w:rPr>
          <w:sz w:val="22"/>
          <w:szCs w:val="22"/>
        </w:rPr>
        <w:t xml:space="preserve">Κουτιά των </w:t>
      </w:r>
      <w:r w:rsidR="004633E9" w:rsidRPr="00E56BAA">
        <w:rPr>
          <w:sz w:val="22"/>
          <w:szCs w:val="22"/>
        </w:rPr>
        <w:t>14 και 28</w:t>
      </w:r>
      <w:r w:rsidRPr="00E56BAA">
        <w:rPr>
          <w:sz w:val="22"/>
          <w:szCs w:val="22"/>
        </w:rPr>
        <w:t xml:space="preserve"> </w:t>
      </w:r>
      <w:r w:rsidR="004633E9" w:rsidRPr="00E56BAA">
        <w:rPr>
          <w:sz w:val="22"/>
          <w:szCs w:val="22"/>
        </w:rPr>
        <w:t xml:space="preserve">καψακίων </w:t>
      </w:r>
      <w:r w:rsidRPr="00E56BAA">
        <w:rPr>
          <w:sz w:val="22"/>
          <w:szCs w:val="22"/>
        </w:rPr>
        <w:t>(</w:t>
      </w:r>
      <w:r w:rsidR="004633E9" w:rsidRPr="00E56BAA">
        <w:rPr>
          <w:sz w:val="22"/>
          <w:szCs w:val="22"/>
        </w:rPr>
        <w:t>σε συσκευασία blister ή σε πλαστικό φιαλίδιο με αφυγραντικό</w:t>
      </w:r>
      <w:r w:rsidRPr="00E56BAA">
        <w:rPr>
          <w:sz w:val="22"/>
          <w:szCs w:val="22"/>
        </w:rPr>
        <w:t xml:space="preserve">) </w:t>
      </w:r>
      <w:r w:rsidR="00F91BCD">
        <w:rPr>
          <w:sz w:val="22"/>
          <w:szCs w:val="22"/>
        </w:rPr>
        <w:t>και κ</w:t>
      </w:r>
      <w:r w:rsidR="00653B40">
        <w:rPr>
          <w:sz w:val="22"/>
          <w:szCs w:val="22"/>
        </w:rPr>
        <w:t xml:space="preserve">ουτί των 98 καψακίων </w:t>
      </w:r>
      <w:r w:rsidR="0007538F">
        <w:rPr>
          <w:sz w:val="22"/>
          <w:szCs w:val="22"/>
        </w:rPr>
        <w:t>(</w:t>
      </w:r>
      <w:r w:rsidR="00653B40">
        <w:rPr>
          <w:sz w:val="22"/>
          <w:szCs w:val="22"/>
        </w:rPr>
        <w:t xml:space="preserve">νοσοκομειακή </w:t>
      </w:r>
      <w:r w:rsidR="0007538F">
        <w:rPr>
          <w:sz w:val="22"/>
          <w:szCs w:val="22"/>
        </w:rPr>
        <w:t>συσκευασία).</w:t>
      </w:r>
    </w:p>
    <w:p w:rsidR="00653B40" w:rsidRPr="00E56BAA" w:rsidRDefault="00653B40" w:rsidP="003261A2">
      <w:pPr>
        <w:ind w:left="-284" w:right="-483"/>
        <w:jc w:val="both"/>
        <w:rPr>
          <w:sz w:val="22"/>
          <w:szCs w:val="22"/>
        </w:rPr>
      </w:pPr>
    </w:p>
    <w:p w:rsidR="0060134E" w:rsidRPr="00E56BAA" w:rsidRDefault="0060134E" w:rsidP="003261A2">
      <w:pPr>
        <w:ind w:left="-567" w:right="-483"/>
        <w:jc w:val="both"/>
        <w:rPr>
          <w:b/>
          <w:sz w:val="22"/>
          <w:szCs w:val="22"/>
        </w:rPr>
      </w:pPr>
      <w:r w:rsidRPr="00E56BAA">
        <w:rPr>
          <w:b/>
          <w:sz w:val="22"/>
          <w:szCs w:val="22"/>
        </w:rPr>
        <w:t>6.6 Ιδιαίτερες προφυλάξεις απόρριψης</w:t>
      </w:r>
    </w:p>
    <w:p w:rsidR="00FD5B0A" w:rsidRPr="00E56BAA" w:rsidRDefault="0060134E" w:rsidP="003261A2">
      <w:pPr>
        <w:ind w:left="-284" w:right="-483"/>
        <w:jc w:val="both"/>
        <w:rPr>
          <w:sz w:val="22"/>
          <w:szCs w:val="22"/>
        </w:rPr>
      </w:pPr>
      <w:r w:rsidRPr="00E56BAA">
        <w:rPr>
          <w:sz w:val="22"/>
          <w:szCs w:val="22"/>
        </w:rPr>
        <w:t>Καμία ειδική υποχρέωση.</w:t>
      </w:r>
    </w:p>
    <w:p w:rsidR="0060134E" w:rsidRPr="00E56BAA" w:rsidRDefault="0060134E" w:rsidP="003261A2">
      <w:pPr>
        <w:ind w:left="-284" w:right="-483"/>
        <w:jc w:val="both"/>
        <w:rPr>
          <w:sz w:val="22"/>
          <w:szCs w:val="22"/>
        </w:rPr>
      </w:pPr>
    </w:p>
    <w:p w:rsidR="00FD5B0A" w:rsidRPr="00E56BAA" w:rsidRDefault="00FD5B0A" w:rsidP="003261A2">
      <w:pPr>
        <w:numPr>
          <w:ilvl w:val="0"/>
          <w:numId w:val="9"/>
        </w:numPr>
        <w:ind w:left="-284" w:right="-483"/>
        <w:jc w:val="both"/>
        <w:rPr>
          <w:sz w:val="22"/>
          <w:szCs w:val="22"/>
          <w:lang w:val="en-US"/>
        </w:rPr>
      </w:pPr>
      <w:r w:rsidRPr="00E56BAA">
        <w:rPr>
          <w:b/>
          <w:sz w:val="22"/>
          <w:szCs w:val="22"/>
        </w:rPr>
        <w:t>ΥΠΕΥΘΥΝΟΣ</w:t>
      </w:r>
      <w:r w:rsidRPr="00E56BAA">
        <w:rPr>
          <w:b/>
          <w:sz w:val="22"/>
          <w:szCs w:val="22"/>
          <w:lang w:val="en-US"/>
        </w:rPr>
        <w:t xml:space="preserve"> </w:t>
      </w:r>
      <w:r w:rsidRPr="00E56BAA">
        <w:rPr>
          <w:b/>
          <w:sz w:val="22"/>
          <w:szCs w:val="22"/>
        </w:rPr>
        <w:t>ΑΔΕΙΑΣ</w:t>
      </w:r>
      <w:r w:rsidRPr="00E56BAA">
        <w:rPr>
          <w:b/>
          <w:sz w:val="22"/>
          <w:szCs w:val="22"/>
          <w:lang w:val="en-US"/>
        </w:rPr>
        <w:t xml:space="preserve"> </w:t>
      </w:r>
      <w:r w:rsidRPr="00E56BAA">
        <w:rPr>
          <w:b/>
          <w:sz w:val="22"/>
          <w:szCs w:val="22"/>
        </w:rPr>
        <w:t>ΚΥΚΛΟΦΟΡΙΑΣ</w:t>
      </w:r>
    </w:p>
    <w:p w:rsidR="00FD5B0A" w:rsidRPr="00E56BAA" w:rsidRDefault="00FD5B0A" w:rsidP="003261A2">
      <w:pPr>
        <w:ind w:left="-284" w:right="-483"/>
        <w:jc w:val="both"/>
        <w:rPr>
          <w:iCs/>
          <w:sz w:val="22"/>
          <w:szCs w:val="22"/>
          <w:lang w:val="en-US"/>
        </w:rPr>
      </w:pPr>
      <w:proofErr w:type="spellStart"/>
      <w:r w:rsidRPr="00E56BAA">
        <w:rPr>
          <w:iCs/>
          <w:sz w:val="22"/>
          <w:szCs w:val="22"/>
          <w:lang w:val="en-US"/>
        </w:rPr>
        <w:t>Verisfield</w:t>
      </w:r>
      <w:proofErr w:type="spellEnd"/>
      <w:r w:rsidRPr="00E56BAA">
        <w:rPr>
          <w:iCs/>
          <w:sz w:val="22"/>
          <w:szCs w:val="22"/>
          <w:lang w:val="en-US"/>
        </w:rPr>
        <w:t xml:space="preserve"> (UK) Ltd, 41 </w:t>
      </w:r>
      <w:proofErr w:type="spellStart"/>
      <w:r w:rsidRPr="00E56BAA">
        <w:rPr>
          <w:iCs/>
          <w:sz w:val="22"/>
          <w:szCs w:val="22"/>
          <w:lang w:val="en-US"/>
        </w:rPr>
        <w:t>Chalton</w:t>
      </w:r>
      <w:proofErr w:type="spellEnd"/>
      <w:r w:rsidRPr="00E56BAA">
        <w:rPr>
          <w:iCs/>
          <w:sz w:val="22"/>
          <w:szCs w:val="22"/>
          <w:lang w:val="en-US"/>
        </w:rPr>
        <w:t xml:space="preserve"> Street, London, NW1 1JD, UK</w:t>
      </w:r>
    </w:p>
    <w:p w:rsidR="00FD5B0A" w:rsidRPr="00E56BAA" w:rsidRDefault="00FD5B0A" w:rsidP="003261A2">
      <w:pPr>
        <w:ind w:left="-284" w:right="-483"/>
        <w:jc w:val="both"/>
        <w:rPr>
          <w:sz w:val="22"/>
          <w:szCs w:val="22"/>
          <w:lang w:val="en-US"/>
        </w:rPr>
      </w:pPr>
    </w:p>
    <w:p w:rsidR="00FD5B0A" w:rsidRPr="00E56BAA" w:rsidRDefault="00FD5B0A" w:rsidP="003261A2">
      <w:pPr>
        <w:numPr>
          <w:ilvl w:val="0"/>
          <w:numId w:val="9"/>
        </w:numPr>
        <w:ind w:left="-284" w:right="-483"/>
        <w:jc w:val="both"/>
        <w:rPr>
          <w:bCs/>
          <w:iCs/>
          <w:sz w:val="22"/>
          <w:szCs w:val="22"/>
        </w:rPr>
      </w:pPr>
      <w:r w:rsidRPr="00E56BAA">
        <w:rPr>
          <w:b/>
          <w:sz w:val="22"/>
          <w:szCs w:val="22"/>
        </w:rPr>
        <w:t>ΑΡΙΘΜΟΣ ΑΔΕΙΑΣ ΚΥΚΛΟΦΟΡΙΑΣ</w:t>
      </w:r>
      <w:r w:rsidR="0030038E" w:rsidRPr="00E56BAA">
        <w:rPr>
          <w:b/>
          <w:sz w:val="22"/>
          <w:szCs w:val="22"/>
          <w:lang w:val="en-US"/>
        </w:rPr>
        <w:t xml:space="preserve">: </w:t>
      </w:r>
    </w:p>
    <w:p w:rsidR="0030038E" w:rsidRPr="00E56BAA" w:rsidRDefault="0030038E" w:rsidP="003261A2">
      <w:pPr>
        <w:ind w:left="-284" w:right="-483"/>
        <w:jc w:val="both"/>
        <w:rPr>
          <w:bCs/>
          <w:iCs/>
          <w:sz w:val="22"/>
          <w:szCs w:val="22"/>
        </w:rPr>
      </w:pPr>
    </w:p>
    <w:p w:rsidR="006D2EAF" w:rsidRPr="00E56BAA" w:rsidRDefault="0030038E" w:rsidP="003261A2">
      <w:pPr>
        <w:numPr>
          <w:ilvl w:val="0"/>
          <w:numId w:val="9"/>
        </w:numPr>
        <w:ind w:left="-284" w:right="-483"/>
        <w:jc w:val="both"/>
        <w:rPr>
          <w:b/>
          <w:bCs/>
          <w:iCs/>
          <w:sz w:val="22"/>
          <w:szCs w:val="22"/>
        </w:rPr>
      </w:pPr>
      <w:r w:rsidRPr="00E56BAA">
        <w:rPr>
          <w:b/>
          <w:sz w:val="22"/>
          <w:szCs w:val="22"/>
        </w:rPr>
        <w:t xml:space="preserve">ΗΜΕΡΟΜΗΝΙΑ ΠΡΩΤΗΣ ΑΔΕΙΑΣ ΚΥΚΛΟΦΟΡΙΑΣ / ΤΕΛΕΥΤΑΙΑΣ ΑΝΑΝΕΩΣΗΣ: </w:t>
      </w:r>
    </w:p>
    <w:p w:rsidR="004633E9" w:rsidRPr="00E56BAA" w:rsidRDefault="004633E9" w:rsidP="003261A2">
      <w:pPr>
        <w:pStyle w:val="a6"/>
        <w:rPr>
          <w:b/>
          <w:bCs/>
          <w:iCs/>
          <w:sz w:val="22"/>
          <w:szCs w:val="22"/>
        </w:rPr>
      </w:pPr>
    </w:p>
    <w:p w:rsidR="0030038E" w:rsidRPr="00E56BAA" w:rsidRDefault="0030038E" w:rsidP="003261A2">
      <w:pPr>
        <w:numPr>
          <w:ilvl w:val="0"/>
          <w:numId w:val="9"/>
        </w:numPr>
        <w:ind w:left="-284" w:right="-483"/>
        <w:jc w:val="both"/>
        <w:rPr>
          <w:b/>
          <w:bCs/>
          <w:iCs/>
          <w:sz w:val="22"/>
          <w:szCs w:val="22"/>
        </w:rPr>
      </w:pPr>
      <w:r w:rsidRPr="00E56BAA">
        <w:rPr>
          <w:sz w:val="22"/>
          <w:szCs w:val="22"/>
        </w:rPr>
        <w:t xml:space="preserve"> </w:t>
      </w:r>
      <w:r w:rsidRPr="00E56BAA">
        <w:rPr>
          <w:b/>
          <w:sz w:val="22"/>
          <w:szCs w:val="22"/>
        </w:rPr>
        <w:t>ΗΜΕΡΟΜΗΝΙΑ ΠΡΟΣΦΑΤΗΣ ΑΝΑΘΕΩΡΗΣΗΣ ΤΟΥ ΚΕΙΜΕΝΟΥ</w:t>
      </w:r>
    </w:p>
    <w:p w:rsidR="00541ED2" w:rsidRPr="00E56BAA" w:rsidRDefault="00541ED2" w:rsidP="003261A2">
      <w:pPr>
        <w:ind w:left="-284" w:right="-483"/>
        <w:jc w:val="both"/>
        <w:rPr>
          <w:bCs/>
          <w:iCs/>
          <w:sz w:val="22"/>
          <w:szCs w:val="22"/>
        </w:rPr>
      </w:pPr>
    </w:p>
    <w:p w:rsidR="00B511D6" w:rsidRPr="00E56BAA" w:rsidRDefault="00B511D6" w:rsidP="003261A2">
      <w:pPr>
        <w:ind w:left="-284" w:right="-483"/>
        <w:jc w:val="both"/>
        <w:rPr>
          <w:b/>
          <w:sz w:val="22"/>
          <w:szCs w:val="22"/>
        </w:rPr>
      </w:pPr>
    </w:p>
    <w:sectPr w:rsidR="00B511D6" w:rsidRPr="00E56BAA" w:rsidSect="00F2552F">
      <w:pgSz w:w="11906" w:h="16838"/>
      <w:pgMar w:top="1245" w:right="1800" w:bottom="1276" w:left="1560" w:header="708" w:footer="6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E26" w:rsidRDefault="00287E26" w:rsidP="00FB4411">
      <w:r>
        <w:separator/>
      </w:r>
    </w:p>
  </w:endnote>
  <w:endnote w:type="continuationSeparator" w:id="0">
    <w:p w:rsidR="00287E26" w:rsidRDefault="00287E26" w:rsidP="00FB4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E26" w:rsidRDefault="00287E26" w:rsidP="00FB4411">
      <w:r>
        <w:separator/>
      </w:r>
    </w:p>
  </w:footnote>
  <w:footnote w:type="continuationSeparator" w:id="0">
    <w:p w:rsidR="00287E26" w:rsidRDefault="00287E26" w:rsidP="00FB4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5A2"/>
    <w:multiLevelType w:val="hybridMultilevel"/>
    <w:tmpl w:val="35AC5A1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17C700C"/>
    <w:multiLevelType w:val="hybridMultilevel"/>
    <w:tmpl w:val="A776D0D6"/>
    <w:lvl w:ilvl="0" w:tplc="A0CE7318">
      <w:start w:val="5"/>
      <w:numFmt w:val="decimal"/>
      <w:lvlText w:val="%1.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FB05FD9"/>
    <w:multiLevelType w:val="multilevel"/>
    <w:tmpl w:val="5A640E6A"/>
    <w:lvl w:ilvl="0">
      <w:start w:val="6"/>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353573B6"/>
    <w:multiLevelType w:val="hybridMultilevel"/>
    <w:tmpl w:val="9D16E356"/>
    <w:lvl w:ilvl="0" w:tplc="0408000F">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3788128F"/>
    <w:multiLevelType w:val="hybridMultilevel"/>
    <w:tmpl w:val="3E6066A2"/>
    <w:lvl w:ilvl="0" w:tplc="B13272C4">
      <w:start w:val="5"/>
      <w:numFmt w:val="decimal"/>
      <w:lvlText w:val="%1.2"/>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9522DAB"/>
    <w:multiLevelType w:val="hybridMultilevel"/>
    <w:tmpl w:val="657468D6"/>
    <w:lvl w:ilvl="0" w:tplc="9580DFE8">
      <w:start w:val="1"/>
      <w:numFmt w:val="decimal"/>
      <w:lvlText w:val="4.%1"/>
      <w:lvlJc w:val="left"/>
      <w:pPr>
        <w:ind w:left="36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49DE1A15"/>
    <w:multiLevelType w:val="hybridMultilevel"/>
    <w:tmpl w:val="6C00DDBE"/>
    <w:lvl w:ilvl="0" w:tplc="5ECC0E06">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A9629A9"/>
    <w:multiLevelType w:val="hybridMultilevel"/>
    <w:tmpl w:val="C928AD54"/>
    <w:lvl w:ilvl="0" w:tplc="58181CA6">
      <w:start w:val="6"/>
      <w:numFmt w:val="decimal"/>
      <w:lvlText w:val="%1.3"/>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50CA0C4F"/>
    <w:multiLevelType w:val="hybridMultilevel"/>
    <w:tmpl w:val="D2882682"/>
    <w:lvl w:ilvl="0" w:tplc="8A9279B2">
      <w:start w:val="6"/>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5CCA698A"/>
    <w:multiLevelType w:val="multilevel"/>
    <w:tmpl w:val="4C502362"/>
    <w:lvl w:ilvl="0">
      <w:start w:val="5"/>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5D484F66"/>
    <w:multiLevelType w:val="hybridMultilevel"/>
    <w:tmpl w:val="8E2C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FC5E5E"/>
    <w:multiLevelType w:val="hybridMultilevel"/>
    <w:tmpl w:val="F3CED84C"/>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nsid w:val="752B3132"/>
    <w:multiLevelType w:val="hybridMultilevel"/>
    <w:tmpl w:val="C0D42CEA"/>
    <w:lvl w:ilvl="0" w:tplc="33406B52">
      <w:start w:val="6"/>
      <w:numFmt w:val="decimal"/>
      <w:lvlText w:val="%1.2"/>
      <w:lvlJc w:val="left"/>
      <w:pPr>
        <w:ind w:left="360" w:hanging="360"/>
      </w:pPr>
      <w:rPr>
        <w:rFonts w:cs="Times New Roman" w:hint="default"/>
        <w:b/>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76642206"/>
    <w:multiLevelType w:val="hybridMultilevel"/>
    <w:tmpl w:val="F31C3D10"/>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4">
    <w:nsid w:val="7AD87E44"/>
    <w:multiLevelType w:val="hybridMultilevel"/>
    <w:tmpl w:val="8DA2FE1A"/>
    <w:lvl w:ilvl="0" w:tplc="9580DFE8">
      <w:start w:val="1"/>
      <w:numFmt w:val="decimal"/>
      <w:lvlText w:val="4.%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4"/>
  </w:num>
  <w:num w:numId="4">
    <w:abstractNumId w:val="13"/>
  </w:num>
  <w:num w:numId="5">
    <w:abstractNumId w:val="0"/>
  </w:num>
  <w:num w:numId="6">
    <w:abstractNumId w:val="9"/>
  </w:num>
  <w:num w:numId="7">
    <w:abstractNumId w:val="5"/>
  </w:num>
  <w:num w:numId="8">
    <w:abstractNumId w:val="4"/>
  </w:num>
  <w:num w:numId="9">
    <w:abstractNumId w:val="2"/>
  </w:num>
  <w:num w:numId="10">
    <w:abstractNumId w:val="1"/>
  </w:num>
  <w:num w:numId="11">
    <w:abstractNumId w:val="12"/>
  </w:num>
  <w:num w:numId="12">
    <w:abstractNumId w:val="7"/>
  </w:num>
  <w:num w:numId="13">
    <w:abstractNumId w:val="3"/>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02885"/>
    <w:rsid w:val="00005832"/>
    <w:rsid w:val="00011ED3"/>
    <w:rsid w:val="0001653A"/>
    <w:rsid w:val="000172C2"/>
    <w:rsid w:val="00045DB3"/>
    <w:rsid w:val="0005020E"/>
    <w:rsid w:val="00064EBF"/>
    <w:rsid w:val="000720A6"/>
    <w:rsid w:val="000727FA"/>
    <w:rsid w:val="0007538F"/>
    <w:rsid w:val="00093037"/>
    <w:rsid w:val="000C106D"/>
    <w:rsid w:val="000C56C1"/>
    <w:rsid w:val="000C5B1D"/>
    <w:rsid w:val="000E6190"/>
    <w:rsid w:val="0010545B"/>
    <w:rsid w:val="0011721A"/>
    <w:rsid w:val="001275F0"/>
    <w:rsid w:val="0013640C"/>
    <w:rsid w:val="0014270C"/>
    <w:rsid w:val="00171683"/>
    <w:rsid w:val="00175C1C"/>
    <w:rsid w:val="001914A2"/>
    <w:rsid w:val="001A73CE"/>
    <w:rsid w:val="001B7A58"/>
    <w:rsid w:val="001D1971"/>
    <w:rsid w:val="001D437D"/>
    <w:rsid w:val="001D519D"/>
    <w:rsid w:val="001D77E9"/>
    <w:rsid w:val="001E1DF5"/>
    <w:rsid w:val="00202885"/>
    <w:rsid w:val="00222A38"/>
    <w:rsid w:val="00230D46"/>
    <w:rsid w:val="00246F92"/>
    <w:rsid w:val="00261F39"/>
    <w:rsid w:val="00276AD7"/>
    <w:rsid w:val="00287E26"/>
    <w:rsid w:val="00294775"/>
    <w:rsid w:val="0030038E"/>
    <w:rsid w:val="00303EC4"/>
    <w:rsid w:val="0031543D"/>
    <w:rsid w:val="00316533"/>
    <w:rsid w:val="003261A2"/>
    <w:rsid w:val="00335DFD"/>
    <w:rsid w:val="00343EBC"/>
    <w:rsid w:val="00352472"/>
    <w:rsid w:val="003D0CB9"/>
    <w:rsid w:val="003F142E"/>
    <w:rsid w:val="004347A2"/>
    <w:rsid w:val="004633E9"/>
    <w:rsid w:val="00472317"/>
    <w:rsid w:val="004B77C0"/>
    <w:rsid w:val="004C7F9C"/>
    <w:rsid w:val="004D4FD5"/>
    <w:rsid w:val="004E7984"/>
    <w:rsid w:val="00500C40"/>
    <w:rsid w:val="00524D8F"/>
    <w:rsid w:val="0052661F"/>
    <w:rsid w:val="00541ED2"/>
    <w:rsid w:val="0054485F"/>
    <w:rsid w:val="00575508"/>
    <w:rsid w:val="00596912"/>
    <w:rsid w:val="005B4D95"/>
    <w:rsid w:val="0060134E"/>
    <w:rsid w:val="00614E9F"/>
    <w:rsid w:val="006159A2"/>
    <w:rsid w:val="00630A5F"/>
    <w:rsid w:val="00653B40"/>
    <w:rsid w:val="00653D42"/>
    <w:rsid w:val="006A4529"/>
    <w:rsid w:val="006C50E3"/>
    <w:rsid w:val="006D2EAF"/>
    <w:rsid w:val="00734D0C"/>
    <w:rsid w:val="00741213"/>
    <w:rsid w:val="007456D4"/>
    <w:rsid w:val="007A10D7"/>
    <w:rsid w:val="007A3C90"/>
    <w:rsid w:val="007E31DA"/>
    <w:rsid w:val="007F2936"/>
    <w:rsid w:val="00802DAA"/>
    <w:rsid w:val="00835648"/>
    <w:rsid w:val="00873CD0"/>
    <w:rsid w:val="008801FC"/>
    <w:rsid w:val="00946F5F"/>
    <w:rsid w:val="00992D8B"/>
    <w:rsid w:val="009C3C78"/>
    <w:rsid w:val="009C3CDE"/>
    <w:rsid w:val="009F6D53"/>
    <w:rsid w:val="009F74AF"/>
    <w:rsid w:val="00A80F73"/>
    <w:rsid w:val="00A950C3"/>
    <w:rsid w:val="00AB557F"/>
    <w:rsid w:val="00B1287C"/>
    <w:rsid w:val="00B12C1E"/>
    <w:rsid w:val="00B17F18"/>
    <w:rsid w:val="00B239A6"/>
    <w:rsid w:val="00B31859"/>
    <w:rsid w:val="00B40AF5"/>
    <w:rsid w:val="00B511D6"/>
    <w:rsid w:val="00B613C6"/>
    <w:rsid w:val="00B64323"/>
    <w:rsid w:val="00B83C29"/>
    <w:rsid w:val="00BC0F18"/>
    <w:rsid w:val="00BC62C7"/>
    <w:rsid w:val="00BC70D3"/>
    <w:rsid w:val="00BD5031"/>
    <w:rsid w:val="00C44595"/>
    <w:rsid w:val="00C50C76"/>
    <w:rsid w:val="00C56A64"/>
    <w:rsid w:val="00C63784"/>
    <w:rsid w:val="00D5222B"/>
    <w:rsid w:val="00D72630"/>
    <w:rsid w:val="00D9756D"/>
    <w:rsid w:val="00E4055D"/>
    <w:rsid w:val="00E45BBC"/>
    <w:rsid w:val="00E56BAA"/>
    <w:rsid w:val="00E95DE7"/>
    <w:rsid w:val="00F14E40"/>
    <w:rsid w:val="00F2552F"/>
    <w:rsid w:val="00F42CB0"/>
    <w:rsid w:val="00F43A49"/>
    <w:rsid w:val="00F43CBA"/>
    <w:rsid w:val="00F531A9"/>
    <w:rsid w:val="00F75757"/>
    <w:rsid w:val="00F7686B"/>
    <w:rsid w:val="00F91BCD"/>
    <w:rsid w:val="00FB4411"/>
    <w:rsid w:val="00FC66F8"/>
    <w:rsid w:val="00FC6E9D"/>
    <w:rsid w:val="00FD5B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D8F"/>
    <w:rPr>
      <w:sz w:val="24"/>
      <w:szCs w:val="24"/>
    </w:rPr>
  </w:style>
  <w:style w:type="paragraph" w:styleId="1">
    <w:name w:val="heading 1"/>
    <w:basedOn w:val="a"/>
    <w:next w:val="a"/>
    <w:link w:val="1Char"/>
    <w:uiPriority w:val="9"/>
    <w:qFormat/>
    <w:rsid w:val="00B511D6"/>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qFormat/>
    <w:rsid w:val="00B511D6"/>
    <w:pPr>
      <w:keepNext/>
      <w:overflowPunct w:val="0"/>
      <w:autoSpaceDE w:val="0"/>
      <w:autoSpaceDN w:val="0"/>
      <w:adjustRightInd w:val="0"/>
      <w:spacing w:line="360" w:lineRule="auto"/>
      <w:ind w:left="567" w:right="-625"/>
      <w:jc w:val="both"/>
      <w:textAlignment w:val="baseline"/>
      <w:outlineLvl w:val="2"/>
    </w:pPr>
    <w:rPr>
      <w:rFonts w:ascii="Arial" w:hAnsi="Arial" w:cs="Arial"/>
      <w:i/>
      <w:spacing w:val="6"/>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24D8F"/>
    <w:rPr>
      <w:rFonts w:ascii="Cambria" w:eastAsia="Times New Roman" w:hAnsi="Cambria" w:cs="Times New Roman"/>
      <w:b/>
      <w:bCs/>
      <w:kern w:val="32"/>
      <w:sz w:val="32"/>
      <w:szCs w:val="32"/>
    </w:rPr>
  </w:style>
  <w:style w:type="character" w:customStyle="1" w:styleId="3Char">
    <w:name w:val="Επικεφαλίδα 3 Char"/>
    <w:link w:val="3"/>
    <w:uiPriority w:val="9"/>
    <w:semiHidden/>
    <w:rsid w:val="00524D8F"/>
    <w:rPr>
      <w:rFonts w:ascii="Cambria" w:eastAsia="Times New Roman" w:hAnsi="Cambria" w:cs="Times New Roman"/>
      <w:b/>
      <w:bCs/>
      <w:sz w:val="26"/>
      <w:szCs w:val="26"/>
    </w:rPr>
  </w:style>
  <w:style w:type="character" w:customStyle="1" w:styleId="HEADING2Char">
    <w:name w:val="HEADING 2 Char"/>
    <w:rsid w:val="00202885"/>
    <w:rPr>
      <w:rFonts w:ascii="Arial" w:hAnsi="Arial" w:cs="Arial"/>
      <w:b/>
      <w:bCs/>
      <w:i/>
      <w:shadow/>
      <w:sz w:val="36"/>
      <w:szCs w:val="36"/>
      <w:lang w:val="en-US" w:eastAsia="ar-SA" w:bidi="ar-SA"/>
    </w:rPr>
  </w:style>
  <w:style w:type="paragraph" w:customStyle="1" w:styleId="HEADING1">
    <w:name w:val="HEADING 1"/>
    <w:basedOn w:val="a"/>
    <w:rsid w:val="00202885"/>
    <w:pPr>
      <w:suppressAutoHyphens/>
      <w:overflowPunct w:val="0"/>
      <w:autoSpaceDE w:val="0"/>
      <w:spacing w:line="360" w:lineRule="auto"/>
      <w:ind w:left="720"/>
      <w:textAlignment w:val="baseline"/>
    </w:pPr>
    <w:rPr>
      <w:rFonts w:ascii="Arial" w:hAnsi="Arial" w:cs="Arial"/>
      <w:b/>
      <w:shadow/>
      <w:sz w:val="36"/>
      <w:szCs w:val="22"/>
      <w:lang w:val="en-US" w:eastAsia="ar-SA"/>
    </w:rPr>
  </w:style>
  <w:style w:type="table" w:styleId="a3">
    <w:name w:val="Table Grid"/>
    <w:basedOn w:val="a1"/>
    <w:uiPriority w:val="59"/>
    <w:rsid w:val="003D0CB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FB4411"/>
    <w:pPr>
      <w:tabs>
        <w:tab w:val="center" w:pos="4153"/>
        <w:tab w:val="right" w:pos="8306"/>
      </w:tabs>
    </w:pPr>
  </w:style>
  <w:style w:type="character" w:customStyle="1" w:styleId="Char">
    <w:name w:val="Κεφαλίδα Char"/>
    <w:link w:val="a4"/>
    <w:uiPriority w:val="99"/>
    <w:locked/>
    <w:rsid w:val="00FB4411"/>
    <w:rPr>
      <w:rFonts w:cs="Times New Roman"/>
      <w:sz w:val="24"/>
      <w:szCs w:val="24"/>
    </w:rPr>
  </w:style>
  <w:style w:type="paragraph" w:styleId="a5">
    <w:name w:val="footer"/>
    <w:basedOn w:val="a"/>
    <w:link w:val="Char0"/>
    <w:uiPriority w:val="99"/>
    <w:rsid w:val="00FB4411"/>
    <w:pPr>
      <w:tabs>
        <w:tab w:val="center" w:pos="4153"/>
        <w:tab w:val="right" w:pos="8306"/>
      </w:tabs>
    </w:pPr>
  </w:style>
  <w:style w:type="character" w:customStyle="1" w:styleId="Char0">
    <w:name w:val="Υποσέλιδο Char"/>
    <w:link w:val="a5"/>
    <w:uiPriority w:val="99"/>
    <w:locked/>
    <w:rsid w:val="00FB4411"/>
    <w:rPr>
      <w:rFonts w:cs="Times New Roman"/>
      <w:sz w:val="24"/>
      <w:szCs w:val="24"/>
    </w:rPr>
  </w:style>
  <w:style w:type="paragraph" w:customStyle="1" w:styleId="HEADING2">
    <w:name w:val="HEADING 2"/>
    <w:basedOn w:val="a"/>
    <w:rsid w:val="00FD5B0A"/>
    <w:pPr>
      <w:overflowPunct w:val="0"/>
      <w:autoSpaceDE w:val="0"/>
      <w:autoSpaceDN w:val="0"/>
      <w:adjustRightInd w:val="0"/>
      <w:spacing w:line="360" w:lineRule="auto"/>
      <w:jc w:val="center"/>
      <w:textAlignment w:val="baseline"/>
    </w:pPr>
    <w:rPr>
      <w:rFonts w:ascii="Arial" w:hAnsi="Arial" w:cs="Arial"/>
      <w:b/>
      <w:bCs/>
      <w:i/>
      <w:shadow/>
      <w:sz w:val="22"/>
      <w:szCs w:val="36"/>
      <w:lang w:val="en-US"/>
    </w:rPr>
  </w:style>
  <w:style w:type="paragraph" w:styleId="a6">
    <w:name w:val="List Paragraph"/>
    <w:basedOn w:val="a"/>
    <w:uiPriority w:val="34"/>
    <w:qFormat/>
    <w:rsid w:val="0030038E"/>
    <w:pPr>
      <w:ind w:left="720"/>
      <w:contextualSpacing/>
    </w:pPr>
  </w:style>
  <w:style w:type="paragraph" w:customStyle="1" w:styleId="NORMALSTYLE">
    <w:name w:val="NORMAL STYLE"/>
    <w:basedOn w:val="a"/>
    <w:rsid w:val="00734D0C"/>
    <w:pPr>
      <w:spacing w:line="360" w:lineRule="auto"/>
    </w:pPr>
    <w:rPr>
      <w:rFonts w:ascii="Arial" w:hAnsi="Arial"/>
      <w:sz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3599</Words>
  <Characters>19440</Characters>
  <Application>Microsoft Office Word</Application>
  <DocSecurity>0</DocSecurity>
  <Lines>162</Lines>
  <Paragraphs>45</Paragraphs>
  <ScaleCrop>false</ScaleCrop>
  <HeadingPairs>
    <vt:vector size="2" baseType="variant">
      <vt:variant>
        <vt:lpstr>Τίτλος</vt:lpstr>
      </vt:variant>
      <vt:variant>
        <vt:i4>1</vt:i4>
      </vt:variant>
    </vt:vector>
  </HeadingPairs>
  <TitlesOfParts>
    <vt:vector size="1" baseType="lpstr">
      <vt:lpstr>LANZOL-ΕΝΤΥΠΟ (ΣΥΝΕΧΕΣ ΚΕΙΜΕΝΟ)</vt:lpstr>
    </vt:vector>
  </TitlesOfParts>
  <Company>Organisation</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LANZOL-ΕΝΤΥΠΟ (ΣΥΝΕΧΕΣ ΚΕΙΜΕΝΟ)</dc:title>
  <dc:creator>maragou</dc:creator>
  <cp:lastModifiedBy>user146</cp:lastModifiedBy>
  <cp:revision>7</cp:revision>
  <cp:lastPrinted>2013-06-21T06:05:00Z</cp:lastPrinted>
  <dcterms:created xsi:type="dcterms:W3CDTF">2013-06-21T06:04:00Z</dcterms:created>
  <dcterms:modified xsi:type="dcterms:W3CDTF">2013-07-19T06:13:00Z</dcterms:modified>
</cp:coreProperties>
</file>