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93" w:rsidRPr="002518FB" w:rsidRDefault="006D2D93">
      <w:pPr>
        <w:pStyle w:val="Footer"/>
        <w:tabs>
          <w:tab w:val="clear" w:pos="4320"/>
          <w:tab w:val="clear" w:pos="8640"/>
        </w:tabs>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jc w:val="center"/>
        <w:rPr>
          <w:b/>
          <w:sz w:val="22"/>
          <w:lang w:val="el-GR"/>
        </w:rPr>
      </w:pPr>
      <w:r w:rsidRPr="002518FB">
        <w:rPr>
          <w:b/>
          <w:sz w:val="22"/>
          <w:lang w:val="el-GR"/>
        </w:rPr>
        <w:t>ΠΑΡΑΡΤΗΜΑ Ι</w:t>
      </w:r>
    </w:p>
    <w:p w:rsidR="006D2D93" w:rsidRPr="002518FB" w:rsidRDefault="006D2D93">
      <w:pPr>
        <w:jc w:val="center"/>
        <w:rPr>
          <w:b/>
          <w:sz w:val="22"/>
          <w:lang w:val="el-GR"/>
        </w:rPr>
      </w:pPr>
    </w:p>
    <w:p w:rsidR="006D2D93" w:rsidRPr="002518FB" w:rsidRDefault="006D2D93">
      <w:pPr>
        <w:jc w:val="center"/>
        <w:rPr>
          <w:sz w:val="22"/>
          <w:lang w:val="el-GR"/>
        </w:rPr>
      </w:pPr>
      <w:r w:rsidRPr="002518FB">
        <w:rPr>
          <w:b/>
          <w:sz w:val="22"/>
          <w:lang w:val="el-GR"/>
        </w:rPr>
        <w:t>ΠΕΡΙΛΗΨΗ ΤΩΝ ΧΑΡΑΚΤΗΡΙΣΤΙΚΩΝ ΤΟΥ ΠΡΟΪΟΝΤΟΣ</w:t>
      </w:r>
    </w:p>
    <w:p w:rsidR="006D2D93" w:rsidRPr="002518FB" w:rsidRDefault="006D2D93">
      <w:pPr>
        <w:tabs>
          <w:tab w:val="left" w:pos="-1440"/>
          <w:tab w:val="left" w:pos="-720"/>
        </w:tabs>
        <w:jc w:val="center"/>
        <w:rPr>
          <w:sz w:val="22"/>
          <w:lang w:val="el-GR"/>
        </w:rPr>
      </w:pPr>
    </w:p>
    <w:p w:rsidR="006D2D93" w:rsidRPr="002518FB" w:rsidRDefault="006D2D93">
      <w:pPr>
        <w:ind w:left="567" w:hanging="567"/>
        <w:rPr>
          <w:sz w:val="22"/>
          <w:lang w:val="el-GR"/>
        </w:rPr>
      </w:pPr>
      <w:r w:rsidRPr="002518FB">
        <w:rPr>
          <w:b/>
          <w:sz w:val="22"/>
          <w:lang w:val="el-GR"/>
        </w:rPr>
        <w:br w:type="page"/>
      </w:r>
      <w:r w:rsidRPr="002518FB">
        <w:rPr>
          <w:b/>
          <w:sz w:val="22"/>
          <w:lang w:val="el-GR"/>
        </w:rPr>
        <w:lastRenderedPageBreak/>
        <w:t>1.</w:t>
      </w:r>
      <w:r w:rsidRPr="002518FB">
        <w:rPr>
          <w:b/>
          <w:sz w:val="22"/>
          <w:lang w:val="el-GR"/>
        </w:rPr>
        <w:tab/>
        <w:t>ΟΝΟΜΑΣΙΑ ΤΟΥ ΦΑΡΜΑΚΕΥΤΙΚΟΥ ΠΡΟΪΟΝΤΟΣ</w:t>
      </w:r>
    </w:p>
    <w:p w:rsidR="006D2D93" w:rsidRPr="002518FB" w:rsidRDefault="006D2D93">
      <w:pPr>
        <w:rPr>
          <w:sz w:val="22"/>
          <w:lang w:val="el-GR"/>
        </w:rPr>
      </w:pPr>
    </w:p>
    <w:p w:rsidR="006D2D93" w:rsidRPr="002518FB" w:rsidRDefault="0021494E">
      <w:pPr>
        <w:rPr>
          <w:sz w:val="22"/>
          <w:lang w:val="el-GR"/>
        </w:rPr>
      </w:pPr>
      <w:r w:rsidRPr="002518FB">
        <w:rPr>
          <w:sz w:val="22"/>
          <w:lang w:val="el-GR"/>
        </w:rPr>
        <w:t>STRATTERA</w:t>
      </w:r>
      <w:r w:rsidR="006D2D93" w:rsidRPr="002518FB">
        <w:rPr>
          <w:sz w:val="22"/>
          <w:lang w:val="el-GR"/>
        </w:rPr>
        <w:t xml:space="preserve"> 10 </w:t>
      </w:r>
      <w:proofErr w:type="spellStart"/>
      <w:r w:rsidRPr="002518FB">
        <w:rPr>
          <w:sz w:val="22"/>
          <w:lang w:val="el-GR"/>
        </w:rPr>
        <w:t>mg</w:t>
      </w:r>
      <w:proofErr w:type="spellEnd"/>
      <w:r w:rsidR="006D2D93" w:rsidRPr="002518FB">
        <w:rPr>
          <w:sz w:val="22"/>
          <w:lang w:val="el-GR"/>
        </w:rPr>
        <w:t xml:space="preserve">, 18 </w:t>
      </w:r>
      <w:proofErr w:type="spellStart"/>
      <w:r w:rsidRPr="002518FB">
        <w:rPr>
          <w:sz w:val="22"/>
          <w:lang w:val="el-GR"/>
        </w:rPr>
        <w:t>mg</w:t>
      </w:r>
      <w:proofErr w:type="spellEnd"/>
      <w:r w:rsidR="006D2D93" w:rsidRPr="002518FB">
        <w:rPr>
          <w:sz w:val="22"/>
          <w:lang w:val="el-GR"/>
        </w:rPr>
        <w:t xml:space="preserve">, 25 </w:t>
      </w:r>
      <w:proofErr w:type="spellStart"/>
      <w:r w:rsidRPr="002518FB">
        <w:rPr>
          <w:sz w:val="22"/>
          <w:lang w:val="el-GR"/>
        </w:rPr>
        <w:t>mg</w:t>
      </w:r>
      <w:proofErr w:type="spellEnd"/>
      <w:r w:rsidR="006D2D93" w:rsidRPr="002518FB">
        <w:rPr>
          <w:sz w:val="22"/>
          <w:lang w:val="el-GR"/>
        </w:rPr>
        <w:t xml:space="preserve">, 40 </w:t>
      </w:r>
      <w:proofErr w:type="spellStart"/>
      <w:r w:rsidRPr="002518FB">
        <w:rPr>
          <w:sz w:val="22"/>
          <w:lang w:val="el-GR"/>
        </w:rPr>
        <w:t>mg</w:t>
      </w:r>
      <w:proofErr w:type="spellEnd"/>
      <w:r w:rsidR="003B46D5" w:rsidRPr="002518FB">
        <w:rPr>
          <w:sz w:val="22"/>
          <w:lang w:val="el-GR"/>
        </w:rPr>
        <w:t xml:space="preserve">, </w:t>
      </w:r>
      <w:r w:rsidR="006D2D93" w:rsidRPr="002518FB">
        <w:rPr>
          <w:sz w:val="22"/>
          <w:lang w:val="el-GR"/>
        </w:rPr>
        <w:t xml:space="preserve">60 </w:t>
      </w:r>
      <w:proofErr w:type="spellStart"/>
      <w:r w:rsidRPr="002518FB">
        <w:rPr>
          <w:sz w:val="22"/>
          <w:lang w:val="el-GR"/>
        </w:rPr>
        <w:t>mg</w:t>
      </w:r>
      <w:proofErr w:type="spellEnd"/>
      <w:r w:rsidR="003B46D5" w:rsidRPr="002518FB">
        <w:rPr>
          <w:sz w:val="22"/>
          <w:lang w:val="el-GR"/>
        </w:rPr>
        <w:t xml:space="preserve">, 80 </w:t>
      </w:r>
      <w:proofErr w:type="spellStart"/>
      <w:r w:rsidRPr="002518FB">
        <w:rPr>
          <w:sz w:val="22"/>
          <w:lang w:val="el-GR"/>
        </w:rPr>
        <w:t>mg</w:t>
      </w:r>
      <w:proofErr w:type="spellEnd"/>
      <w:r w:rsidR="003B46D5" w:rsidRPr="002518FB">
        <w:rPr>
          <w:sz w:val="22"/>
          <w:lang w:val="el-GR"/>
        </w:rPr>
        <w:t xml:space="preserve"> ή 100 </w:t>
      </w:r>
      <w:proofErr w:type="spellStart"/>
      <w:r w:rsidRPr="002518FB">
        <w:rPr>
          <w:sz w:val="22"/>
          <w:lang w:val="el-GR"/>
        </w:rPr>
        <w:t>mg</w:t>
      </w:r>
      <w:proofErr w:type="spellEnd"/>
      <w:r w:rsidR="003B46D5" w:rsidRPr="002518FB">
        <w:rPr>
          <w:sz w:val="22"/>
          <w:lang w:val="el-GR"/>
        </w:rPr>
        <w:t xml:space="preserve"> </w:t>
      </w:r>
      <w:r w:rsidR="006D2D93" w:rsidRPr="002518FB">
        <w:rPr>
          <w:sz w:val="22"/>
          <w:lang w:val="el-GR"/>
        </w:rPr>
        <w:t>σκλ</w:t>
      </w:r>
      <w:r w:rsidR="0018054B" w:rsidRPr="002518FB">
        <w:rPr>
          <w:sz w:val="22"/>
          <w:lang w:val="el-GR"/>
        </w:rPr>
        <w:t>ηρά καψάκια</w:t>
      </w:r>
      <w:r w:rsidR="006D2D93" w:rsidRPr="002518FB">
        <w:rPr>
          <w:sz w:val="22"/>
          <w:lang w:val="el-GR"/>
        </w:rPr>
        <w:t>.</w:t>
      </w: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ind w:left="567" w:hanging="567"/>
        <w:rPr>
          <w:sz w:val="22"/>
          <w:lang w:val="el-GR"/>
        </w:rPr>
      </w:pPr>
      <w:r w:rsidRPr="002518FB">
        <w:rPr>
          <w:b/>
          <w:sz w:val="22"/>
          <w:lang w:val="el-GR"/>
        </w:rPr>
        <w:t>2.</w:t>
      </w:r>
      <w:r w:rsidRPr="002518FB">
        <w:rPr>
          <w:b/>
          <w:sz w:val="22"/>
          <w:lang w:val="el-GR"/>
        </w:rPr>
        <w:tab/>
        <w:t>ΠΟΙΟΤΙΚΗ ΚΑΙ ΠΟΣΟΤΙΚΗ ΣΥΝΘΕΣΗ</w:t>
      </w:r>
    </w:p>
    <w:p w:rsidR="006D2D93" w:rsidRPr="002518FB" w:rsidRDefault="006D2D93">
      <w:pPr>
        <w:rPr>
          <w:i/>
          <w:sz w:val="22"/>
          <w:lang w:val="el-GR"/>
        </w:rPr>
      </w:pPr>
    </w:p>
    <w:p w:rsidR="006D2D93" w:rsidRPr="002518FB" w:rsidRDefault="006D2D93">
      <w:pPr>
        <w:rPr>
          <w:sz w:val="22"/>
          <w:lang w:val="el-GR"/>
        </w:rPr>
      </w:pPr>
      <w:r w:rsidRPr="002518FB">
        <w:rPr>
          <w:sz w:val="22"/>
          <w:lang w:val="el-GR"/>
        </w:rPr>
        <w:t xml:space="preserve">Κάθε </w:t>
      </w:r>
      <w:r w:rsidR="00524658" w:rsidRPr="002518FB">
        <w:rPr>
          <w:sz w:val="22"/>
          <w:lang w:val="el-GR"/>
        </w:rPr>
        <w:t xml:space="preserve">σκληρό </w:t>
      </w:r>
      <w:r w:rsidRPr="002518FB">
        <w:rPr>
          <w:sz w:val="22"/>
          <w:lang w:val="el-GR"/>
        </w:rPr>
        <w:t>κ</w:t>
      </w:r>
      <w:r w:rsidR="0018054B" w:rsidRPr="002518FB">
        <w:rPr>
          <w:sz w:val="22"/>
          <w:lang w:val="el-GR"/>
        </w:rPr>
        <w:t>αψάκιο</w:t>
      </w:r>
      <w:r w:rsidRPr="002518FB">
        <w:rPr>
          <w:sz w:val="22"/>
          <w:lang w:val="el-GR"/>
        </w:rPr>
        <w:t xml:space="preserve"> </w:t>
      </w:r>
      <w:r w:rsidR="0021494E" w:rsidRPr="002518FB">
        <w:rPr>
          <w:sz w:val="22"/>
          <w:lang w:val="el-GR"/>
        </w:rPr>
        <w:t>STRATTERA</w:t>
      </w:r>
      <w:r w:rsidRPr="002518FB">
        <w:rPr>
          <w:sz w:val="22"/>
          <w:lang w:val="el-GR"/>
        </w:rPr>
        <w:t xml:space="preserve"> περιέχει </w:t>
      </w:r>
      <w:r w:rsidRPr="002518FB">
        <w:rPr>
          <w:sz w:val="22"/>
          <w:szCs w:val="23"/>
          <w:lang w:val="el-GR"/>
        </w:rPr>
        <w:t xml:space="preserve">υδροχλωρική </w:t>
      </w:r>
      <w:proofErr w:type="spellStart"/>
      <w:r w:rsidRPr="002518FB">
        <w:rPr>
          <w:sz w:val="22"/>
          <w:szCs w:val="23"/>
          <w:lang w:val="el-GR"/>
        </w:rPr>
        <w:t>ατομοξετίνη</w:t>
      </w:r>
      <w:proofErr w:type="spellEnd"/>
      <w:r w:rsidRPr="002518FB">
        <w:rPr>
          <w:sz w:val="22"/>
          <w:lang w:val="el-GR"/>
        </w:rPr>
        <w:t xml:space="preserve"> </w:t>
      </w:r>
      <w:r w:rsidR="00524658" w:rsidRPr="002518FB">
        <w:rPr>
          <w:sz w:val="22"/>
          <w:lang w:val="el-GR"/>
        </w:rPr>
        <w:t xml:space="preserve">που </w:t>
      </w:r>
      <w:r w:rsidRPr="002518FB">
        <w:rPr>
          <w:sz w:val="22"/>
          <w:lang w:val="el-GR"/>
        </w:rPr>
        <w:t>ισοδ</w:t>
      </w:r>
      <w:r w:rsidR="00524658" w:rsidRPr="002518FB">
        <w:rPr>
          <w:sz w:val="22"/>
          <w:lang w:val="el-GR"/>
        </w:rPr>
        <w:t>υ</w:t>
      </w:r>
      <w:r w:rsidRPr="002518FB">
        <w:rPr>
          <w:sz w:val="22"/>
          <w:lang w:val="el-GR"/>
        </w:rPr>
        <w:t>ναμ</w:t>
      </w:r>
      <w:r w:rsidR="00524658" w:rsidRPr="002518FB">
        <w:rPr>
          <w:sz w:val="22"/>
          <w:lang w:val="el-GR"/>
        </w:rPr>
        <w:t>εί</w:t>
      </w:r>
      <w:r w:rsidRPr="002518FB">
        <w:rPr>
          <w:sz w:val="22"/>
          <w:lang w:val="el-GR"/>
        </w:rPr>
        <w:t xml:space="preserve"> με 10 </w:t>
      </w:r>
      <w:proofErr w:type="spellStart"/>
      <w:r w:rsidR="0021494E" w:rsidRPr="002518FB">
        <w:rPr>
          <w:sz w:val="22"/>
          <w:lang w:val="el-GR"/>
        </w:rPr>
        <w:t>mg</w:t>
      </w:r>
      <w:proofErr w:type="spellEnd"/>
      <w:r w:rsidRPr="002518FB">
        <w:rPr>
          <w:sz w:val="22"/>
          <w:lang w:val="el-GR"/>
        </w:rPr>
        <w:t xml:space="preserve">, 18 </w:t>
      </w:r>
      <w:proofErr w:type="spellStart"/>
      <w:r w:rsidR="0021494E" w:rsidRPr="002518FB">
        <w:rPr>
          <w:sz w:val="22"/>
          <w:lang w:val="el-GR"/>
        </w:rPr>
        <w:t>mg</w:t>
      </w:r>
      <w:proofErr w:type="spellEnd"/>
      <w:r w:rsidRPr="002518FB">
        <w:rPr>
          <w:sz w:val="22"/>
          <w:lang w:val="el-GR"/>
        </w:rPr>
        <w:t xml:space="preserve">, 25 </w:t>
      </w:r>
      <w:proofErr w:type="spellStart"/>
      <w:r w:rsidR="0021494E" w:rsidRPr="002518FB">
        <w:rPr>
          <w:sz w:val="22"/>
          <w:lang w:val="el-GR"/>
        </w:rPr>
        <w:t>mg</w:t>
      </w:r>
      <w:proofErr w:type="spellEnd"/>
      <w:r w:rsidRPr="002518FB">
        <w:rPr>
          <w:sz w:val="22"/>
          <w:lang w:val="el-GR"/>
        </w:rPr>
        <w:t xml:space="preserve">, 40 </w:t>
      </w:r>
      <w:proofErr w:type="spellStart"/>
      <w:r w:rsidR="0021494E" w:rsidRPr="002518FB">
        <w:rPr>
          <w:sz w:val="22"/>
          <w:lang w:val="el-GR"/>
        </w:rPr>
        <w:t>mg</w:t>
      </w:r>
      <w:proofErr w:type="spellEnd"/>
      <w:r w:rsidR="003B46D5" w:rsidRPr="002518FB">
        <w:rPr>
          <w:sz w:val="22"/>
          <w:lang w:val="el-GR"/>
        </w:rPr>
        <w:t xml:space="preserve">, </w:t>
      </w:r>
      <w:r w:rsidRPr="002518FB">
        <w:rPr>
          <w:sz w:val="22"/>
          <w:lang w:val="el-GR"/>
        </w:rPr>
        <w:t xml:space="preserve">60 </w:t>
      </w:r>
      <w:proofErr w:type="spellStart"/>
      <w:r w:rsidR="0021494E" w:rsidRPr="002518FB">
        <w:rPr>
          <w:sz w:val="22"/>
          <w:lang w:val="el-GR"/>
        </w:rPr>
        <w:t>mg</w:t>
      </w:r>
      <w:proofErr w:type="spellEnd"/>
      <w:r w:rsidR="003B46D5" w:rsidRPr="002518FB">
        <w:rPr>
          <w:sz w:val="22"/>
          <w:lang w:val="el-GR"/>
        </w:rPr>
        <w:t xml:space="preserve">, 80 </w:t>
      </w:r>
      <w:proofErr w:type="spellStart"/>
      <w:r w:rsidR="0021494E" w:rsidRPr="002518FB">
        <w:rPr>
          <w:sz w:val="22"/>
          <w:lang w:val="el-GR"/>
        </w:rPr>
        <w:t>mg</w:t>
      </w:r>
      <w:proofErr w:type="spellEnd"/>
      <w:r w:rsidR="003B46D5" w:rsidRPr="002518FB">
        <w:rPr>
          <w:sz w:val="22"/>
          <w:lang w:val="el-GR"/>
        </w:rPr>
        <w:t xml:space="preserve"> ή 100 </w:t>
      </w:r>
      <w:proofErr w:type="spellStart"/>
      <w:r w:rsidR="0021494E" w:rsidRPr="002518FB">
        <w:rPr>
          <w:sz w:val="22"/>
          <w:lang w:val="el-GR"/>
        </w:rPr>
        <w:t>mg</w:t>
      </w:r>
      <w:proofErr w:type="spellEnd"/>
      <w:r w:rsidRPr="002518FB">
        <w:rPr>
          <w:sz w:val="22"/>
          <w:lang w:val="el-GR"/>
        </w:rPr>
        <w:t xml:space="preserve"> </w:t>
      </w:r>
      <w:proofErr w:type="spellStart"/>
      <w:r w:rsidRPr="002518FB">
        <w:rPr>
          <w:sz w:val="22"/>
          <w:szCs w:val="23"/>
          <w:lang w:val="el-GR"/>
        </w:rPr>
        <w:t>ατομοξετίνη</w:t>
      </w:r>
      <w:r w:rsidRPr="002518FB">
        <w:rPr>
          <w:sz w:val="22"/>
          <w:lang w:val="el-GR"/>
        </w:rPr>
        <w:t>ς</w:t>
      </w:r>
      <w:proofErr w:type="spellEnd"/>
      <w:r w:rsidRPr="002518FB">
        <w:rPr>
          <w:sz w:val="22"/>
          <w:lang w:val="el-GR"/>
        </w:rPr>
        <w:t>.</w:t>
      </w:r>
    </w:p>
    <w:p w:rsidR="00524658" w:rsidRPr="002518FB" w:rsidRDefault="00524658">
      <w:pPr>
        <w:rPr>
          <w:sz w:val="22"/>
          <w:lang w:val="el-GR"/>
        </w:rPr>
      </w:pPr>
    </w:p>
    <w:p w:rsidR="006D2D93" w:rsidRPr="002518FB" w:rsidRDefault="006D2D93">
      <w:pPr>
        <w:rPr>
          <w:sz w:val="22"/>
          <w:lang w:val="el-GR"/>
        </w:rPr>
      </w:pPr>
      <w:r w:rsidRPr="002518FB">
        <w:rPr>
          <w:sz w:val="22"/>
          <w:lang w:val="el-GR"/>
        </w:rPr>
        <w:t xml:space="preserve">Για </w:t>
      </w:r>
      <w:r w:rsidR="00F97952" w:rsidRPr="002518FB">
        <w:rPr>
          <w:sz w:val="22"/>
          <w:lang w:val="el-GR"/>
        </w:rPr>
        <w:t>τον πλήρη κατάλογο των εκδόχων</w:t>
      </w:r>
      <w:r w:rsidRPr="002518FB">
        <w:rPr>
          <w:sz w:val="22"/>
          <w:lang w:val="el-GR"/>
        </w:rPr>
        <w:t>, βλέπε παρ</w:t>
      </w:r>
      <w:r w:rsidR="00F97952" w:rsidRPr="002518FB">
        <w:rPr>
          <w:sz w:val="22"/>
          <w:lang w:val="el-GR"/>
        </w:rPr>
        <w:t>άγραφο</w:t>
      </w:r>
      <w:r w:rsidRPr="002518FB">
        <w:rPr>
          <w:sz w:val="22"/>
          <w:lang w:val="el-GR"/>
        </w:rPr>
        <w:t xml:space="preserve"> 6.1.</w:t>
      </w:r>
    </w:p>
    <w:p w:rsidR="006D2D93" w:rsidRPr="002518FB" w:rsidRDefault="006D2D93">
      <w:pPr>
        <w:rPr>
          <w:sz w:val="22"/>
          <w:lang w:val="el-GR"/>
        </w:rPr>
      </w:pPr>
    </w:p>
    <w:p w:rsidR="006D2D93" w:rsidRPr="002518FB" w:rsidRDefault="006D2D93">
      <w:pPr>
        <w:rPr>
          <w:sz w:val="22"/>
          <w:lang w:val="el-GR"/>
        </w:rPr>
      </w:pPr>
    </w:p>
    <w:p w:rsidR="006D2D93" w:rsidRPr="002518FB" w:rsidRDefault="006D2D93">
      <w:pPr>
        <w:ind w:left="567" w:hanging="567"/>
        <w:rPr>
          <w:caps/>
          <w:sz w:val="22"/>
          <w:lang w:val="el-GR"/>
        </w:rPr>
      </w:pPr>
      <w:r w:rsidRPr="002518FB">
        <w:rPr>
          <w:b/>
          <w:sz w:val="22"/>
          <w:lang w:val="el-GR"/>
        </w:rPr>
        <w:t>3.</w:t>
      </w:r>
      <w:r w:rsidRPr="002518FB">
        <w:rPr>
          <w:b/>
          <w:sz w:val="22"/>
          <w:lang w:val="el-GR"/>
        </w:rPr>
        <w:tab/>
        <w:t>ΦΑΡΜΑΚΟΤΕΧΝΙΚΗ ΜΟΡΦΗ</w:t>
      </w:r>
    </w:p>
    <w:p w:rsidR="006D2D93" w:rsidRPr="002518FB" w:rsidRDefault="006D2D93">
      <w:pPr>
        <w:rPr>
          <w:sz w:val="22"/>
          <w:lang w:val="el-GR"/>
        </w:rPr>
      </w:pPr>
    </w:p>
    <w:p w:rsidR="006D2D93" w:rsidRPr="002518FB" w:rsidRDefault="005D0ECC">
      <w:pPr>
        <w:rPr>
          <w:sz w:val="22"/>
          <w:lang w:val="el-GR"/>
        </w:rPr>
      </w:pPr>
      <w:r w:rsidRPr="002518FB">
        <w:rPr>
          <w:sz w:val="22"/>
          <w:szCs w:val="23"/>
          <w:lang w:val="el-GR"/>
        </w:rPr>
        <w:t>Κ</w:t>
      </w:r>
      <w:r w:rsidR="006341A8" w:rsidRPr="002518FB">
        <w:rPr>
          <w:sz w:val="22"/>
          <w:szCs w:val="23"/>
          <w:lang w:val="el-GR"/>
        </w:rPr>
        <w:t>αψάκια</w:t>
      </w:r>
      <w:r w:rsidRPr="002518FB">
        <w:rPr>
          <w:sz w:val="22"/>
          <w:szCs w:val="23"/>
          <w:lang w:val="el-GR"/>
        </w:rPr>
        <w:t>, σκληρ</w:t>
      </w:r>
      <w:r w:rsidR="006341A8" w:rsidRPr="002518FB">
        <w:rPr>
          <w:sz w:val="22"/>
          <w:szCs w:val="23"/>
          <w:lang w:val="el-GR"/>
        </w:rPr>
        <w:t>ά</w:t>
      </w:r>
    </w:p>
    <w:p w:rsidR="006D2D93" w:rsidRPr="002518FB" w:rsidRDefault="0021494E">
      <w:pPr>
        <w:rPr>
          <w:sz w:val="22"/>
          <w:lang w:val="el-GR"/>
        </w:rPr>
      </w:pPr>
      <w:r w:rsidRPr="002518FB">
        <w:rPr>
          <w:sz w:val="22"/>
          <w:lang w:val="el-GR"/>
        </w:rPr>
        <w:t>STRATTERA</w:t>
      </w:r>
      <w:r w:rsidR="006D2D93" w:rsidRPr="002518FB">
        <w:rPr>
          <w:sz w:val="22"/>
          <w:lang w:val="el-GR"/>
        </w:rPr>
        <w:t xml:space="preserve"> 10 </w:t>
      </w:r>
      <w:proofErr w:type="spellStart"/>
      <w:r w:rsidRPr="002518FB">
        <w:rPr>
          <w:sz w:val="22"/>
          <w:lang w:val="el-GR"/>
        </w:rPr>
        <w:t>mg</w:t>
      </w:r>
      <w:proofErr w:type="spellEnd"/>
      <w:r w:rsidR="00912495" w:rsidRPr="002518FB">
        <w:rPr>
          <w:sz w:val="22"/>
          <w:lang w:val="el-GR"/>
        </w:rPr>
        <w:t xml:space="preserve"> καψάκια:</w:t>
      </w:r>
      <w:r w:rsidR="006D2D93" w:rsidRPr="002518FB">
        <w:rPr>
          <w:sz w:val="22"/>
          <w:lang w:val="el-GR"/>
        </w:rPr>
        <w:t xml:space="preserve"> </w:t>
      </w:r>
      <w:r w:rsidR="00912495" w:rsidRPr="002518FB">
        <w:rPr>
          <w:sz w:val="22"/>
          <w:lang w:val="el-GR"/>
        </w:rPr>
        <w:t xml:space="preserve">σκληρά καψάκια, </w:t>
      </w:r>
      <w:r w:rsidR="00642528" w:rsidRPr="002518FB">
        <w:rPr>
          <w:sz w:val="22"/>
          <w:lang w:val="el-GR"/>
        </w:rPr>
        <w:t xml:space="preserve">αδιαφανούς λευκού </w:t>
      </w:r>
      <w:r w:rsidR="006D2D93" w:rsidRPr="002518FB">
        <w:rPr>
          <w:sz w:val="22"/>
          <w:lang w:val="el-GR"/>
        </w:rPr>
        <w:t>χρώματος</w:t>
      </w:r>
      <w:r w:rsidR="00A65002" w:rsidRPr="002518FB">
        <w:rPr>
          <w:sz w:val="22"/>
          <w:lang w:val="el-GR"/>
        </w:rPr>
        <w:t xml:space="preserve">, </w:t>
      </w:r>
      <w:r w:rsidR="006D2D93" w:rsidRPr="002518FB">
        <w:rPr>
          <w:sz w:val="22"/>
          <w:lang w:val="el-GR"/>
        </w:rPr>
        <w:t>με εκτυπωμένο το “</w:t>
      </w:r>
      <w:proofErr w:type="spellStart"/>
      <w:r w:rsidRPr="002518FB">
        <w:rPr>
          <w:sz w:val="22"/>
          <w:lang w:val="el-GR"/>
        </w:rPr>
        <w:t>Lilly</w:t>
      </w:r>
      <w:proofErr w:type="spellEnd"/>
      <w:r w:rsidR="006D2D93" w:rsidRPr="002518FB">
        <w:rPr>
          <w:sz w:val="22"/>
          <w:lang w:val="el-GR"/>
        </w:rPr>
        <w:t xml:space="preserve"> 3227” και το “10 </w:t>
      </w:r>
      <w:proofErr w:type="spellStart"/>
      <w:r w:rsidRPr="002518FB">
        <w:rPr>
          <w:sz w:val="22"/>
          <w:lang w:val="el-GR"/>
        </w:rPr>
        <w:t>mg</w:t>
      </w:r>
      <w:proofErr w:type="spellEnd"/>
      <w:r w:rsidR="006D2D93" w:rsidRPr="002518FB">
        <w:rPr>
          <w:sz w:val="22"/>
          <w:lang w:val="el-GR"/>
        </w:rPr>
        <w:t>” με μαύρο μελάνι.</w:t>
      </w:r>
    </w:p>
    <w:p w:rsidR="006D2D93" w:rsidRPr="002518FB" w:rsidRDefault="0021494E">
      <w:pPr>
        <w:rPr>
          <w:sz w:val="22"/>
          <w:lang w:val="el-GR"/>
        </w:rPr>
      </w:pPr>
      <w:r w:rsidRPr="002518FB">
        <w:rPr>
          <w:sz w:val="22"/>
          <w:lang w:val="el-GR"/>
        </w:rPr>
        <w:t>STRATTERA</w:t>
      </w:r>
      <w:r w:rsidR="006D2D93" w:rsidRPr="002518FB">
        <w:rPr>
          <w:sz w:val="22"/>
          <w:lang w:val="el-GR"/>
        </w:rPr>
        <w:t xml:space="preserve"> 18 </w:t>
      </w:r>
      <w:proofErr w:type="spellStart"/>
      <w:r w:rsidRPr="002518FB">
        <w:rPr>
          <w:sz w:val="22"/>
          <w:lang w:val="el-GR"/>
        </w:rPr>
        <w:t>mg</w:t>
      </w:r>
      <w:proofErr w:type="spellEnd"/>
      <w:r w:rsidR="00912495" w:rsidRPr="002518FB">
        <w:rPr>
          <w:sz w:val="22"/>
          <w:lang w:val="el-GR"/>
        </w:rPr>
        <w:t xml:space="preserve"> καψάκια: σκληρά καψάκια</w:t>
      </w:r>
      <w:r w:rsidR="00A65002" w:rsidRPr="002518FB">
        <w:rPr>
          <w:sz w:val="22"/>
          <w:lang w:val="el-GR"/>
        </w:rPr>
        <w:t xml:space="preserve">, </w:t>
      </w:r>
      <w:r w:rsidR="00642528" w:rsidRPr="002518FB">
        <w:rPr>
          <w:sz w:val="22"/>
          <w:lang w:val="el-GR"/>
        </w:rPr>
        <w:t xml:space="preserve">χρυσαφί </w:t>
      </w:r>
      <w:r w:rsidR="006D2D93" w:rsidRPr="002518FB">
        <w:rPr>
          <w:sz w:val="22"/>
          <w:lang w:val="el-GR"/>
        </w:rPr>
        <w:t>χρώματος (κάλυμμα) και αδιαφανούς λευκού χρώματος (σώμα), με εκτυπωμένο το “</w:t>
      </w:r>
      <w:proofErr w:type="spellStart"/>
      <w:r w:rsidRPr="002518FB">
        <w:rPr>
          <w:sz w:val="22"/>
          <w:lang w:val="el-GR"/>
        </w:rPr>
        <w:t>Lilly</w:t>
      </w:r>
      <w:proofErr w:type="spellEnd"/>
      <w:r w:rsidR="006D2D93" w:rsidRPr="002518FB">
        <w:rPr>
          <w:sz w:val="22"/>
          <w:lang w:val="el-GR"/>
        </w:rPr>
        <w:t xml:space="preserve"> 3238” και το “18 </w:t>
      </w:r>
      <w:proofErr w:type="spellStart"/>
      <w:r w:rsidRPr="002518FB">
        <w:rPr>
          <w:sz w:val="22"/>
          <w:lang w:val="el-GR"/>
        </w:rPr>
        <w:t>mg</w:t>
      </w:r>
      <w:proofErr w:type="spellEnd"/>
      <w:r w:rsidR="006D2D93" w:rsidRPr="002518FB">
        <w:rPr>
          <w:sz w:val="22"/>
          <w:lang w:val="el-GR"/>
        </w:rPr>
        <w:t>” με μαύρο μελάνι.</w:t>
      </w:r>
    </w:p>
    <w:p w:rsidR="006D2D93" w:rsidRPr="002518FB" w:rsidRDefault="0021494E">
      <w:pPr>
        <w:rPr>
          <w:sz w:val="22"/>
          <w:lang w:val="el-GR"/>
        </w:rPr>
      </w:pPr>
      <w:r w:rsidRPr="002518FB">
        <w:rPr>
          <w:sz w:val="22"/>
          <w:lang w:val="el-GR"/>
        </w:rPr>
        <w:t>STRATTERA</w:t>
      </w:r>
      <w:r w:rsidR="006D2D93" w:rsidRPr="002518FB">
        <w:rPr>
          <w:sz w:val="22"/>
          <w:lang w:val="el-GR"/>
        </w:rPr>
        <w:t xml:space="preserve"> 25 </w:t>
      </w:r>
      <w:proofErr w:type="spellStart"/>
      <w:r w:rsidRPr="002518FB">
        <w:rPr>
          <w:sz w:val="22"/>
          <w:lang w:val="el-GR"/>
        </w:rPr>
        <w:t>mg</w:t>
      </w:r>
      <w:proofErr w:type="spellEnd"/>
      <w:r w:rsidR="00642528" w:rsidRPr="002518FB">
        <w:rPr>
          <w:sz w:val="22"/>
          <w:lang w:val="el-GR"/>
        </w:rPr>
        <w:t xml:space="preserve"> </w:t>
      </w:r>
      <w:r w:rsidR="00A65002" w:rsidRPr="002518FB">
        <w:rPr>
          <w:sz w:val="22"/>
          <w:lang w:val="el-GR"/>
        </w:rPr>
        <w:t>καψάκια: σκληρά καψάκια,</w:t>
      </w:r>
      <w:r w:rsidR="00642528" w:rsidRPr="002518FB">
        <w:rPr>
          <w:sz w:val="22"/>
          <w:lang w:val="el-GR"/>
        </w:rPr>
        <w:t xml:space="preserve"> αδιαφανούς </w:t>
      </w:r>
      <w:r w:rsidR="00A65002" w:rsidRPr="002518FB">
        <w:rPr>
          <w:sz w:val="22"/>
          <w:lang w:val="el-GR"/>
        </w:rPr>
        <w:t>μπλε</w:t>
      </w:r>
      <w:r w:rsidR="00642528" w:rsidRPr="002518FB">
        <w:rPr>
          <w:sz w:val="22"/>
          <w:lang w:val="el-GR"/>
        </w:rPr>
        <w:t xml:space="preserve"> </w:t>
      </w:r>
      <w:r w:rsidR="006D2D93" w:rsidRPr="002518FB">
        <w:rPr>
          <w:sz w:val="22"/>
          <w:lang w:val="el-GR"/>
        </w:rPr>
        <w:t xml:space="preserve">χρώματος </w:t>
      </w:r>
      <w:r w:rsidR="00642528" w:rsidRPr="002518FB">
        <w:rPr>
          <w:sz w:val="22"/>
          <w:lang w:val="el-GR"/>
        </w:rPr>
        <w:t xml:space="preserve">(κάλυμμα) και αδιαφανούς λευκού </w:t>
      </w:r>
      <w:r w:rsidR="006D2D93" w:rsidRPr="002518FB">
        <w:rPr>
          <w:sz w:val="22"/>
          <w:lang w:val="el-GR"/>
        </w:rPr>
        <w:t>χρώματος (σώμα), με εκτυπωμένο το “</w:t>
      </w:r>
      <w:proofErr w:type="spellStart"/>
      <w:r w:rsidRPr="002518FB">
        <w:rPr>
          <w:sz w:val="22"/>
          <w:lang w:val="el-GR"/>
        </w:rPr>
        <w:t>Lilly</w:t>
      </w:r>
      <w:proofErr w:type="spellEnd"/>
      <w:r w:rsidR="006D2D93" w:rsidRPr="002518FB">
        <w:rPr>
          <w:sz w:val="22"/>
          <w:lang w:val="el-GR"/>
        </w:rPr>
        <w:t xml:space="preserve"> 3228” και το “25 </w:t>
      </w:r>
      <w:proofErr w:type="spellStart"/>
      <w:r w:rsidRPr="002518FB">
        <w:rPr>
          <w:sz w:val="22"/>
          <w:lang w:val="el-GR"/>
        </w:rPr>
        <w:t>mg</w:t>
      </w:r>
      <w:proofErr w:type="spellEnd"/>
      <w:r w:rsidR="006D2D93" w:rsidRPr="002518FB">
        <w:rPr>
          <w:sz w:val="22"/>
          <w:lang w:val="el-GR"/>
        </w:rPr>
        <w:t>” με μαύρο μελάνι.</w:t>
      </w:r>
    </w:p>
    <w:p w:rsidR="006D2D93" w:rsidRPr="002518FB" w:rsidRDefault="0021494E">
      <w:pPr>
        <w:rPr>
          <w:sz w:val="22"/>
          <w:lang w:val="el-GR"/>
        </w:rPr>
      </w:pPr>
      <w:r w:rsidRPr="002518FB">
        <w:rPr>
          <w:sz w:val="22"/>
          <w:lang w:val="el-GR"/>
        </w:rPr>
        <w:t>STRATTERA</w:t>
      </w:r>
      <w:r w:rsidR="006D2D93" w:rsidRPr="002518FB">
        <w:rPr>
          <w:sz w:val="22"/>
          <w:lang w:val="el-GR"/>
        </w:rPr>
        <w:t xml:space="preserve"> 40 </w:t>
      </w:r>
      <w:proofErr w:type="spellStart"/>
      <w:r w:rsidRPr="002518FB">
        <w:rPr>
          <w:sz w:val="22"/>
          <w:lang w:val="el-GR"/>
        </w:rPr>
        <w:t>mg</w:t>
      </w:r>
      <w:proofErr w:type="spellEnd"/>
      <w:r w:rsidR="00642528" w:rsidRPr="002518FB">
        <w:rPr>
          <w:sz w:val="22"/>
          <w:lang w:val="el-GR"/>
        </w:rPr>
        <w:t xml:space="preserve"> </w:t>
      </w:r>
      <w:r w:rsidR="00A65002" w:rsidRPr="002518FB">
        <w:rPr>
          <w:sz w:val="22"/>
          <w:lang w:val="el-GR"/>
        </w:rPr>
        <w:t>καψάκια: σκληρά καψάκια,</w:t>
      </w:r>
      <w:r w:rsidR="00642528" w:rsidRPr="002518FB">
        <w:rPr>
          <w:sz w:val="22"/>
          <w:lang w:val="el-GR"/>
        </w:rPr>
        <w:t xml:space="preserve"> αδιαφανούς μπλ</w:t>
      </w:r>
      <w:r w:rsidR="00A65002" w:rsidRPr="002518FB">
        <w:rPr>
          <w:sz w:val="22"/>
          <w:lang w:val="el-GR"/>
        </w:rPr>
        <w:t>ε</w:t>
      </w:r>
      <w:r w:rsidR="00642528" w:rsidRPr="002518FB">
        <w:rPr>
          <w:sz w:val="22"/>
          <w:lang w:val="el-GR"/>
        </w:rPr>
        <w:t xml:space="preserve"> </w:t>
      </w:r>
      <w:r w:rsidR="006D2D93" w:rsidRPr="002518FB">
        <w:rPr>
          <w:sz w:val="22"/>
          <w:lang w:val="el-GR"/>
        </w:rPr>
        <w:t>χρώματος, με εκτυπωμένο το “</w:t>
      </w:r>
      <w:proofErr w:type="spellStart"/>
      <w:r w:rsidRPr="002518FB">
        <w:rPr>
          <w:sz w:val="22"/>
          <w:lang w:val="el-GR"/>
        </w:rPr>
        <w:t>Lilly</w:t>
      </w:r>
      <w:proofErr w:type="spellEnd"/>
      <w:r w:rsidR="006D2D93" w:rsidRPr="002518FB">
        <w:rPr>
          <w:sz w:val="22"/>
          <w:lang w:val="el-GR"/>
        </w:rPr>
        <w:t xml:space="preserve"> 3229” και το “40 </w:t>
      </w:r>
      <w:proofErr w:type="spellStart"/>
      <w:r w:rsidRPr="002518FB">
        <w:rPr>
          <w:sz w:val="22"/>
          <w:lang w:val="el-GR"/>
        </w:rPr>
        <w:t>mg</w:t>
      </w:r>
      <w:proofErr w:type="spellEnd"/>
      <w:r w:rsidR="006D2D93" w:rsidRPr="002518FB">
        <w:rPr>
          <w:sz w:val="22"/>
          <w:lang w:val="el-GR"/>
        </w:rPr>
        <w:t>” με μαύρο μελάνι.</w:t>
      </w:r>
    </w:p>
    <w:p w:rsidR="006D2D93" w:rsidRPr="002518FB" w:rsidRDefault="0021494E">
      <w:pPr>
        <w:rPr>
          <w:sz w:val="22"/>
          <w:lang w:val="el-GR"/>
        </w:rPr>
      </w:pPr>
      <w:r w:rsidRPr="002518FB">
        <w:rPr>
          <w:sz w:val="22"/>
          <w:lang w:val="el-GR"/>
        </w:rPr>
        <w:t>STRATTERA</w:t>
      </w:r>
      <w:r w:rsidR="006D2D93" w:rsidRPr="002518FB">
        <w:rPr>
          <w:sz w:val="22"/>
          <w:lang w:val="el-GR"/>
        </w:rPr>
        <w:t xml:space="preserve"> 60 </w:t>
      </w:r>
      <w:proofErr w:type="spellStart"/>
      <w:r w:rsidRPr="002518FB">
        <w:rPr>
          <w:sz w:val="22"/>
          <w:lang w:val="el-GR"/>
        </w:rPr>
        <w:t>mg</w:t>
      </w:r>
      <w:proofErr w:type="spellEnd"/>
      <w:r w:rsidR="00642528" w:rsidRPr="002518FB">
        <w:rPr>
          <w:sz w:val="22"/>
          <w:lang w:val="el-GR"/>
        </w:rPr>
        <w:t xml:space="preserve"> </w:t>
      </w:r>
      <w:r w:rsidR="00A65002" w:rsidRPr="002518FB">
        <w:rPr>
          <w:sz w:val="22"/>
          <w:lang w:val="el-GR"/>
        </w:rPr>
        <w:t>καψάκια: σκληρά καψάκια,</w:t>
      </w:r>
      <w:r w:rsidR="00642528" w:rsidRPr="002518FB">
        <w:rPr>
          <w:sz w:val="22"/>
          <w:lang w:val="el-GR"/>
        </w:rPr>
        <w:t xml:space="preserve"> αδιαφανούς μπλ</w:t>
      </w:r>
      <w:r w:rsidR="00A65002" w:rsidRPr="002518FB">
        <w:rPr>
          <w:sz w:val="22"/>
          <w:lang w:val="el-GR"/>
        </w:rPr>
        <w:t>ε</w:t>
      </w:r>
      <w:r w:rsidR="00642528" w:rsidRPr="002518FB">
        <w:rPr>
          <w:sz w:val="22"/>
          <w:lang w:val="el-GR"/>
        </w:rPr>
        <w:t xml:space="preserve"> χρώματος (κάλυμμα) και χρυσαφί </w:t>
      </w:r>
      <w:r w:rsidR="006D2D93" w:rsidRPr="002518FB">
        <w:rPr>
          <w:sz w:val="22"/>
          <w:lang w:val="el-GR"/>
        </w:rPr>
        <w:t>χρώματος (σώμα), με εκτυπωμένο το “</w:t>
      </w:r>
      <w:proofErr w:type="spellStart"/>
      <w:r w:rsidRPr="002518FB">
        <w:rPr>
          <w:sz w:val="22"/>
          <w:lang w:val="el-GR"/>
        </w:rPr>
        <w:t>Lilly</w:t>
      </w:r>
      <w:proofErr w:type="spellEnd"/>
      <w:r w:rsidR="006D2D93" w:rsidRPr="002518FB">
        <w:rPr>
          <w:sz w:val="22"/>
          <w:lang w:val="el-GR"/>
        </w:rPr>
        <w:t xml:space="preserve"> 3239” και το “60 </w:t>
      </w:r>
      <w:proofErr w:type="spellStart"/>
      <w:r w:rsidRPr="002518FB">
        <w:rPr>
          <w:sz w:val="22"/>
          <w:lang w:val="el-GR"/>
        </w:rPr>
        <w:t>mg</w:t>
      </w:r>
      <w:proofErr w:type="spellEnd"/>
      <w:r w:rsidR="006D2D93" w:rsidRPr="002518FB">
        <w:rPr>
          <w:sz w:val="22"/>
          <w:lang w:val="el-GR"/>
        </w:rPr>
        <w:t>” με μαύρο μελάνι.</w:t>
      </w:r>
    </w:p>
    <w:p w:rsidR="003B46D5" w:rsidRPr="002518FB" w:rsidRDefault="0021494E" w:rsidP="003B46D5">
      <w:pPr>
        <w:rPr>
          <w:sz w:val="22"/>
          <w:lang w:val="el-GR"/>
        </w:rPr>
      </w:pPr>
      <w:r w:rsidRPr="002518FB">
        <w:rPr>
          <w:sz w:val="22"/>
          <w:lang w:val="el-GR"/>
        </w:rPr>
        <w:t>STRATTERA</w:t>
      </w:r>
      <w:r w:rsidR="003B46D5" w:rsidRPr="002518FB">
        <w:rPr>
          <w:sz w:val="22"/>
          <w:lang w:val="el-GR"/>
        </w:rPr>
        <w:t xml:space="preserve"> 80 </w:t>
      </w:r>
      <w:proofErr w:type="spellStart"/>
      <w:r w:rsidRPr="002518FB">
        <w:rPr>
          <w:sz w:val="22"/>
          <w:lang w:val="el-GR"/>
        </w:rPr>
        <w:t>mg</w:t>
      </w:r>
      <w:proofErr w:type="spellEnd"/>
      <w:r w:rsidR="003B46D5" w:rsidRPr="002518FB">
        <w:rPr>
          <w:sz w:val="22"/>
          <w:lang w:val="el-GR"/>
        </w:rPr>
        <w:t xml:space="preserve"> </w:t>
      </w:r>
      <w:r w:rsidR="00A65002" w:rsidRPr="002518FB">
        <w:rPr>
          <w:sz w:val="22"/>
          <w:lang w:val="el-GR"/>
        </w:rPr>
        <w:t xml:space="preserve">καψάκια: σκληρά καψάκια </w:t>
      </w:r>
      <w:r w:rsidR="003B46D5" w:rsidRPr="002518FB">
        <w:rPr>
          <w:sz w:val="22"/>
          <w:lang w:val="el-GR"/>
        </w:rPr>
        <w:t>αδιαφανούς καφέ</w:t>
      </w:r>
      <w:r w:rsidR="00642528" w:rsidRPr="002518FB">
        <w:rPr>
          <w:sz w:val="22"/>
          <w:lang w:val="el-GR"/>
        </w:rPr>
        <w:t xml:space="preserve"> </w:t>
      </w:r>
      <w:r w:rsidR="003B46D5" w:rsidRPr="002518FB">
        <w:rPr>
          <w:sz w:val="22"/>
          <w:lang w:val="el-GR"/>
        </w:rPr>
        <w:t>χρώματος (κάλυμμα) και λευκού</w:t>
      </w:r>
      <w:r w:rsidR="00642528" w:rsidRPr="002518FB">
        <w:rPr>
          <w:sz w:val="22"/>
          <w:lang w:val="el-GR"/>
        </w:rPr>
        <w:t xml:space="preserve"> </w:t>
      </w:r>
      <w:r w:rsidR="003B46D5" w:rsidRPr="002518FB">
        <w:rPr>
          <w:sz w:val="22"/>
          <w:lang w:val="el-GR"/>
        </w:rPr>
        <w:t>χρώματος (σώμα), με εκτυπωμένο το “</w:t>
      </w:r>
      <w:proofErr w:type="spellStart"/>
      <w:r w:rsidRPr="002518FB">
        <w:rPr>
          <w:sz w:val="22"/>
          <w:lang w:val="el-GR"/>
        </w:rPr>
        <w:t>Lilly</w:t>
      </w:r>
      <w:proofErr w:type="spellEnd"/>
      <w:r w:rsidR="003B46D5" w:rsidRPr="002518FB">
        <w:rPr>
          <w:sz w:val="22"/>
          <w:lang w:val="el-GR"/>
        </w:rPr>
        <w:t xml:space="preserve"> 3250” και το “80 </w:t>
      </w:r>
      <w:proofErr w:type="spellStart"/>
      <w:r w:rsidRPr="002518FB">
        <w:rPr>
          <w:sz w:val="22"/>
          <w:lang w:val="el-GR"/>
        </w:rPr>
        <w:t>mg</w:t>
      </w:r>
      <w:proofErr w:type="spellEnd"/>
      <w:r w:rsidR="003B46D5" w:rsidRPr="002518FB">
        <w:rPr>
          <w:sz w:val="22"/>
          <w:lang w:val="el-GR"/>
        </w:rPr>
        <w:t>” με μαύρο μελάνι.</w:t>
      </w:r>
    </w:p>
    <w:p w:rsidR="003B46D5" w:rsidRPr="002518FB" w:rsidRDefault="0021494E" w:rsidP="003B46D5">
      <w:pPr>
        <w:rPr>
          <w:sz w:val="22"/>
          <w:lang w:val="el-GR"/>
        </w:rPr>
      </w:pPr>
      <w:r w:rsidRPr="002518FB">
        <w:rPr>
          <w:sz w:val="22"/>
          <w:lang w:val="el-GR"/>
        </w:rPr>
        <w:t>STRATTERA</w:t>
      </w:r>
      <w:r w:rsidR="003B46D5" w:rsidRPr="002518FB">
        <w:rPr>
          <w:sz w:val="22"/>
          <w:lang w:val="el-GR"/>
        </w:rPr>
        <w:t xml:space="preserve"> 100 </w:t>
      </w:r>
      <w:proofErr w:type="spellStart"/>
      <w:r w:rsidRPr="002518FB">
        <w:rPr>
          <w:sz w:val="22"/>
          <w:lang w:val="el-GR"/>
        </w:rPr>
        <w:t>mg</w:t>
      </w:r>
      <w:proofErr w:type="spellEnd"/>
      <w:r w:rsidR="003B46D5" w:rsidRPr="002518FB">
        <w:rPr>
          <w:sz w:val="22"/>
          <w:lang w:val="el-GR"/>
        </w:rPr>
        <w:t xml:space="preserve"> </w:t>
      </w:r>
      <w:r w:rsidR="00A65002" w:rsidRPr="002518FB">
        <w:rPr>
          <w:sz w:val="22"/>
          <w:lang w:val="el-GR"/>
        </w:rPr>
        <w:t xml:space="preserve">καψάκια: σκληρά καψάκια </w:t>
      </w:r>
      <w:r w:rsidR="003B46D5" w:rsidRPr="002518FB">
        <w:rPr>
          <w:sz w:val="22"/>
          <w:lang w:val="el-GR"/>
        </w:rPr>
        <w:t>αδιαφανούς καφέ</w:t>
      </w:r>
      <w:r w:rsidR="00642528" w:rsidRPr="002518FB">
        <w:rPr>
          <w:sz w:val="22"/>
          <w:lang w:val="el-GR"/>
        </w:rPr>
        <w:t xml:space="preserve"> </w:t>
      </w:r>
      <w:r w:rsidR="003B46D5" w:rsidRPr="002518FB">
        <w:rPr>
          <w:sz w:val="22"/>
          <w:lang w:val="el-GR"/>
        </w:rPr>
        <w:t>χρώματος, με εκτυπωμένο το “</w:t>
      </w:r>
      <w:proofErr w:type="spellStart"/>
      <w:r w:rsidRPr="002518FB">
        <w:rPr>
          <w:sz w:val="22"/>
          <w:lang w:val="el-GR"/>
        </w:rPr>
        <w:t>Lilly</w:t>
      </w:r>
      <w:proofErr w:type="spellEnd"/>
      <w:r w:rsidR="003B46D5" w:rsidRPr="002518FB">
        <w:rPr>
          <w:sz w:val="22"/>
          <w:lang w:val="el-GR"/>
        </w:rPr>
        <w:t xml:space="preserve"> 3251” και το “100 </w:t>
      </w:r>
      <w:proofErr w:type="spellStart"/>
      <w:r w:rsidRPr="002518FB">
        <w:rPr>
          <w:sz w:val="22"/>
          <w:lang w:val="el-GR"/>
        </w:rPr>
        <w:t>mg</w:t>
      </w:r>
      <w:proofErr w:type="spellEnd"/>
      <w:r w:rsidR="003B46D5" w:rsidRPr="002518FB">
        <w:rPr>
          <w:sz w:val="22"/>
          <w:lang w:val="el-GR"/>
        </w:rPr>
        <w:t>” με μαύρο μελάνι.</w:t>
      </w:r>
    </w:p>
    <w:p w:rsidR="006D2D93" w:rsidRPr="002518FB" w:rsidRDefault="006D2D93">
      <w:pPr>
        <w:tabs>
          <w:tab w:val="left" w:pos="7327"/>
        </w:tabs>
        <w:rPr>
          <w:sz w:val="22"/>
          <w:lang w:val="el-GR"/>
        </w:rPr>
      </w:pPr>
    </w:p>
    <w:p w:rsidR="006D2D93" w:rsidRPr="002518FB" w:rsidRDefault="006D2D93">
      <w:pPr>
        <w:rPr>
          <w:sz w:val="22"/>
          <w:lang w:val="el-GR"/>
        </w:rPr>
      </w:pPr>
    </w:p>
    <w:p w:rsidR="006D2D93" w:rsidRPr="002518FB" w:rsidRDefault="006D2D93">
      <w:pPr>
        <w:rPr>
          <w:sz w:val="22"/>
          <w:szCs w:val="24"/>
          <w:lang w:val="el-GR" w:eastAsia="el-GR"/>
        </w:rPr>
      </w:pPr>
      <w:r w:rsidRPr="002518FB">
        <w:rPr>
          <w:b/>
          <w:caps/>
          <w:sz w:val="22"/>
          <w:lang w:val="el-GR"/>
        </w:rPr>
        <w:t>4.</w:t>
      </w:r>
      <w:r w:rsidRPr="002518FB">
        <w:rPr>
          <w:b/>
          <w:caps/>
          <w:sz w:val="22"/>
          <w:lang w:val="el-GR"/>
        </w:rPr>
        <w:tab/>
      </w:r>
      <w:r w:rsidRPr="002518FB">
        <w:rPr>
          <w:b/>
          <w:sz w:val="22"/>
          <w:lang w:val="el-GR"/>
        </w:rPr>
        <w:t>ΚΛΙΝΙΚΕΣ ΠΛΗΡΟΦΟΡΙΕΣ</w:t>
      </w:r>
    </w:p>
    <w:p w:rsidR="006D2D93" w:rsidRPr="002518FB" w:rsidRDefault="006D2D93">
      <w:pPr>
        <w:rPr>
          <w:b/>
          <w:bCs/>
          <w:sz w:val="22"/>
          <w:szCs w:val="22"/>
          <w:lang w:val="el-GR"/>
        </w:rPr>
      </w:pPr>
    </w:p>
    <w:p w:rsidR="006D2D93" w:rsidRPr="002518FB" w:rsidRDefault="006D2D93">
      <w:pPr>
        <w:ind w:left="567" w:hanging="567"/>
        <w:rPr>
          <w:sz w:val="22"/>
          <w:lang w:val="el-GR"/>
        </w:rPr>
      </w:pPr>
      <w:r w:rsidRPr="002518FB">
        <w:rPr>
          <w:b/>
          <w:bCs/>
          <w:sz w:val="22"/>
          <w:szCs w:val="22"/>
          <w:lang w:val="el-GR"/>
        </w:rPr>
        <w:t>4.1</w:t>
      </w:r>
      <w:r w:rsidRPr="002518FB">
        <w:rPr>
          <w:b/>
          <w:bCs/>
          <w:sz w:val="22"/>
          <w:szCs w:val="22"/>
          <w:lang w:val="el-GR"/>
        </w:rPr>
        <w:tab/>
      </w:r>
      <w:r w:rsidRPr="002518FB">
        <w:rPr>
          <w:b/>
          <w:sz w:val="22"/>
          <w:lang w:val="el-GR"/>
        </w:rPr>
        <w:t>Θεραπευτικές ενδείξεις</w:t>
      </w:r>
    </w:p>
    <w:p w:rsidR="006D2D93" w:rsidRPr="002518FB" w:rsidRDefault="006D2D93">
      <w:pPr>
        <w:rPr>
          <w:sz w:val="22"/>
          <w:lang w:val="el-GR"/>
        </w:rPr>
      </w:pPr>
    </w:p>
    <w:p w:rsidR="006D2D93" w:rsidRPr="002518FB" w:rsidRDefault="006D2D93">
      <w:pPr>
        <w:pStyle w:val="BodyText"/>
        <w:rPr>
          <w:lang w:val="el-GR"/>
        </w:rPr>
      </w:pPr>
      <w:r w:rsidRPr="002518FB">
        <w:rPr>
          <w:lang w:val="el-GR"/>
        </w:rPr>
        <w:t xml:space="preserve">Το </w:t>
      </w:r>
      <w:proofErr w:type="spellStart"/>
      <w:r w:rsidR="0021494E" w:rsidRPr="002518FB">
        <w:rPr>
          <w:lang w:val="el-GR"/>
        </w:rPr>
        <w:t>Strattera</w:t>
      </w:r>
      <w:proofErr w:type="spellEnd"/>
      <w:r w:rsidRPr="002518FB">
        <w:rPr>
          <w:lang w:val="el-GR"/>
        </w:rPr>
        <w:t xml:space="preserve"> </w:t>
      </w:r>
      <w:r w:rsidRPr="002518FB">
        <w:rPr>
          <w:szCs w:val="23"/>
          <w:lang w:val="el-GR"/>
        </w:rPr>
        <w:t xml:space="preserve">ενδείκνυται για τη θεραπεία </w:t>
      </w:r>
      <w:r w:rsidRPr="002518FB">
        <w:rPr>
          <w:lang w:val="el-GR"/>
        </w:rPr>
        <w:t xml:space="preserve">της Διαταραχής </w:t>
      </w:r>
      <w:r w:rsidR="002D4735" w:rsidRPr="002518FB">
        <w:rPr>
          <w:lang w:val="el-GR"/>
        </w:rPr>
        <w:t>Ελλειμματικής</w:t>
      </w:r>
      <w:r w:rsidRPr="002518FB">
        <w:rPr>
          <w:lang w:val="el-GR"/>
        </w:rPr>
        <w:t xml:space="preserve"> Προσοχής</w:t>
      </w:r>
      <w:r w:rsidR="008768F6" w:rsidRPr="002518FB">
        <w:rPr>
          <w:lang w:val="el-GR"/>
        </w:rPr>
        <w:t xml:space="preserve"> </w:t>
      </w:r>
      <w:r w:rsidRPr="002518FB">
        <w:rPr>
          <w:lang w:val="el-GR"/>
        </w:rPr>
        <w:t xml:space="preserve">/ </w:t>
      </w:r>
      <w:proofErr w:type="spellStart"/>
      <w:r w:rsidRPr="002518FB">
        <w:rPr>
          <w:lang w:val="el-GR"/>
        </w:rPr>
        <w:t>Υπερκινητικότητας</w:t>
      </w:r>
      <w:proofErr w:type="spellEnd"/>
      <w:r w:rsidRPr="002518FB">
        <w:rPr>
          <w:lang w:val="el-GR"/>
        </w:rPr>
        <w:t xml:space="preserve"> (ΔΕΠΥ/</w:t>
      </w:r>
      <w:r w:rsidR="0021494E" w:rsidRPr="002518FB">
        <w:rPr>
          <w:lang w:val="el-GR"/>
        </w:rPr>
        <w:t>ADHD</w:t>
      </w:r>
      <w:r w:rsidR="008768F6" w:rsidRPr="002518FB">
        <w:rPr>
          <w:lang w:val="el-GR"/>
        </w:rPr>
        <w:t xml:space="preserve"> </w:t>
      </w:r>
      <w:r w:rsidRPr="002518FB">
        <w:rPr>
          <w:lang w:val="el-GR"/>
        </w:rPr>
        <w:t>-</w:t>
      </w:r>
      <w:r w:rsidR="008768F6" w:rsidRPr="002518FB">
        <w:rPr>
          <w:lang w:val="el-GR"/>
        </w:rPr>
        <w:t xml:space="preserve"> </w:t>
      </w:r>
      <w:proofErr w:type="spellStart"/>
      <w:r w:rsidR="0021494E" w:rsidRPr="002518FB">
        <w:rPr>
          <w:lang w:val="el-GR"/>
        </w:rPr>
        <w:t>Attention</w:t>
      </w:r>
      <w:proofErr w:type="spellEnd"/>
      <w:r w:rsidRPr="002518FB">
        <w:rPr>
          <w:lang w:val="el-GR"/>
        </w:rPr>
        <w:t>-</w:t>
      </w:r>
      <w:proofErr w:type="spellStart"/>
      <w:r w:rsidR="0021494E" w:rsidRPr="002518FB">
        <w:rPr>
          <w:lang w:val="el-GR"/>
        </w:rPr>
        <w:t>Deficit</w:t>
      </w:r>
      <w:proofErr w:type="spellEnd"/>
      <w:r w:rsidRPr="002518FB">
        <w:rPr>
          <w:lang w:val="el-GR"/>
        </w:rPr>
        <w:t>/</w:t>
      </w:r>
      <w:proofErr w:type="spellStart"/>
      <w:r w:rsidR="0021494E" w:rsidRPr="002518FB">
        <w:rPr>
          <w:lang w:val="el-GR"/>
        </w:rPr>
        <w:t>Hyperactivity</w:t>
      </w:r>
      <w:proofErr w:type="spellEnd"/>
      <w:r w:rsidRPr="002518FB">
        <w:rPr>
          <w:lang w:val="el-GR"/>
        </w:rPr>
        <w:t xml:space="preserve"> </w:t>
      </w:r>
      <w:proofErr w:type="spellStart"/>
      <w:r w:rsidR="0021494E" w:rsidRPr="002518FB">
        <w:rPr>
          <w:lang w:val="el-GR"/>
        </w:rPr>
        <w:t>Disorder</w:t>
      </w:r>
      <w:proofErr w:type="spellEnd"/>
      <w:r w:rsidRPr="002518FB">
        <w:rPr>
          <w:lang w:val="el-GR"/>
        </w:rPr>
        <w:t>) σε παιδιά ηλικίας 6 ετών και άνω</w:t>
      </w:r>
      <w:r w:rsidR="00F850DE" w:rsidRPr="002518FB">
        <w:rPr>
          <w:lang w:val="el-GR"/>
        </w:rPr>
        <w:t>,</w:t>
      </w:r>
      <w:r w:rsidRPr="002518FB">
        <w:rPr>
          <w:lang w:val="el-GR"/>
        </w:rPr>
        <w:t xml:space="preserve"> σε εφήβους </w:t>
      </w:r>
      <w:r w:rsidR="00F850DE" w:rsidRPr="002518FB">
        <w:rPr>
          <w:lang w:val="el-GR"/>
        </w:rPr>
        <w:t xml:space="preserve">και σε ενηλίκους </w:t>
      </w:r>
      <w:r w:rsidRPr="002518FB">
        <w:rPr>
          <w:lang w:val="el-GR"/>
        </w:rPr>
        <w:t xml:space="preserve">ασθενείς, ως τμήμα ενός πλήρους θεραπευτικού προγράμματος. </w:t>
      </w:r>
      <w:r w:rsidR="0021494E" w:rsidRPr="002518FB">
        <w:rPr>
          <w:lang w:val="el-GR"/>
        </w:rPr>
        <w:t>H</w:t>
      </w:r>
      <w:r w:rsidR="0065074F" w:rsidRPr="002518FB">
        <w:rPr>
          <w:lang w:val="el-GR"/>
        </w:rPr>
        <w:t xml:space="preserve"> θεραπεία θα πρέπει να ξεκινά υπ</w:t>
      </w:r>
      <w:r w:rsidR="00FA2DBC" w:rsidRPr="002518FB">
        <w:rPr>
          <w:lang w:val="el-GR"/>
        </w:rPr>
        <w:t>ό την επίβλεψη</w:t>
      </w:r>
      <w:r w:rsidR="0065074F" w:rsidRPr="002518FB">
        <w:rPr>
          <w:lang w:val="el-GR"/>
        </w:rPr>
        <w:t xml:space="preserve"> ιατρού </w:t>
      </w:r>
      <w:r w:rsidR="00A43ECC" w:rsidRPr="002518FB">
        <w:rPr>
          <w:lang w:val="el-GR"/>
        </w:rPr>
        <w:t xml:space="preserve">εξειδικευμένου </w:t>
      </w:r>
      <w:r w:rsidR="00FA2DBC" w:rsidRPr="002518FB">
        <w:rPr>
          <w:lang w:val="el-GR"/>
        </w:rPr>
        <w:t>στη θεραπευτική αντιμετώπιση</w:t>
      </w:r>
      <w:r w:rsidR="0065074F" w:rsidRPr="002518FB">
        <w:rPr>
          <w:lang w:val="el-GR"/>
        </w:rPr>
        <w:t xml:space="preserve"> της ΔΕΠΥ</w:t>
      </w:r>
      <w:r w:rsidR="00F850DE" w:rsidRPr="002518FB">
        <w:rPr>
          <w:lang w:val="el-GR"/>
        </w:rPr>
        <w:t>, όπως παιδ</w:t>
      </w:r>
      <w:r w:rsidR="00DD6CE2" w:rsidRPr="002518FB">
        <w:rPr>
          <w:lang w:val="el-GR"/>
        </w:rPr>
        <w:t>ιάτρου</w:t>
      </w:r>
      <w:r w:rsidR="00F850DE" w:rsidRPr="002518FB">
        <w:rPr>
          <w:lang w:val="el-GR"/>
        </w:rPr>
        <w:t>, ψυχίατρ</w:t>
      </w:r>
      <w:r w:rsidR="00DD6CE2" w:rsidRPr="002518FB">
        <w:rPr>
          <w:lang w:val="el-GR"/>
        </w:rPr>
        <w:t>ου</w:t>
      </w:r>
      <w:r w:rsidR="00F850DE" w:rsidRPr="002518FB">
        <w:rPr>
          <w:lang w:val="el-GR"/>
        </w:rPr>
        <w:t xml:space="preserve"> παιδιών/εφήβων ή ψυχίατρ</w:t>
      </w:r>
      <w:r w:rsidR="00DD6CE2" w:rsidRPr="002518FB">
        <w:rPr>
          <w:lang w:val="el-GR"/>
        </w:rPr>
        <w:t>ου ενηλίκων</w:t>
      </w:r>
      <w:r w:rsidR="0065074F" w:rsidRPr="002518FB">
        <w:rPr>
          <w:lang w:val="el-GR"/>
        </w:rPr>
        <w:t xml:space="preserve">. </w:t>
      </w:r>
      <w:r w:rsidRPr="002518FB">
        <w:rPr>
          <w:lang w:val="el-GR"/>
        </w:rPr>
        <w:t xml:space="preserve">Η διάγνωση πρέπει να έχει πραγματοποιηθεί σύμφωνα με τα </w:t>
      </w:r>
      <w:r w:rsidR="00684151" w:rsidRPr="002518FB">
        <w:rPr>
          <w:lang w:val="el-GR"/>
        </w:rPr>
        <w:t>τρέχοντα</w:t>
      </w:r>
      <w:r w:rsidR="00FF2E89" w:rsidRPr="002518FB">
        <w:rPr>
          <w:lang w:val="el-GR"/>
        </w:rPr>
        <w:t xml:space="preserve"> </w:t>
      </w:r>
      <w:r w:rsidRPr="002518FB">
        <w:rPr>
          <w:lang w:val="el-GR"/>
        </w:rPr>
        <w:t xml:space="preserve">κριτήρια </w:t>
      </w:r>
      <w:r w:rsidR="0021494E" w:rsidRPr="002518FB">
        <w:rPr>
          <w:lang w:val="el-GR"/>
        </w:rPr>
        <w:t>DSM</w:t>
      </w:r>
      <w:r w:rsidRPr="002518FB">
        <w:rPr>
          <w:lang w:val="el-GR"/>
        </w:rPr>
        <w:t xml:space="preserve"> ή τις οδηγίες του </w:t>
      </w:r>
      <w:r w:rsidR="0021494E" w:rsidRPr="002518FB">
        <w:rPr>
          <w:lang w:val="el-GR"/>
        </w:rPr>
        <w:t>ICD</w:t>
      </w:r>
      <w:r w:rsidRPr="002518FB">
        <w:rPr>
          <w:lang w:val="el-GR"/>
        </w:rPr>
        <w:t xml:space="preserve">.  </w:t>
      </w:r>
    </w:p>
    <w:p w:rsidR="006D2D93" w:rsidRPr="002518FB" w:rsidRDefault="006D2D93">
      <w:pPr>
        <w:pStyle w:val="BodyText"/>
        <w:rPr>
          <w:lang w:val="el-GR"/>
        </w:rPr>
      </w:pPr>
    </w:p>
    <w:p w:rsidR="00705E6E" w:rsidRPr="002518FB" w:rsidRDefault="00705E6E">
      <w:pPr>
        <w:pStyle w:val="BodyText"/>
        <w:rPr>
          <w:lang w:val="el-GR" w:eastAsia="el-GR"/>
        </w:rPr>
      </w:pPr>
      <w:r w:rsidRPr="002518FB">
        <w:rPr>
          <w:lang w:val="el-GR" w:eastAsia="el-GR"/>
        </w:rPr>
        <w:t>Στους ενήλικες, η παρουσία συμπτωμάτων ΔΕΠΥ που προϋπήρχ</w:t>
      </w:r>
      <w:r w:rsidR="00684151" w:rsidRPr="002518FB">
        <w:rPr>
          <w:lang w:val="el-GR" w:eastAsia="el-GR"/>
        </w:rPr>
        <w:t>αν</w:t>
      </w:r>
      <w:r w:rsidRPr="002518FB">
        <w:rPr>
          <w:lang w:val="el-GR" w:eastAsia="el-GR"/>
        </w:rPr>
        <w:t xml:space="preserve"> στην παιδική ηλικία θα πρέπει να επιβεβαιώνεται. Η </w:t>
      </w:r>
      <w:r w:rsidR="00DD6CE2" w:rsidRPr="002518FB">
        <w:rPr>
          <w:lang w:val="el-GR" w:eastAsia="el-GR"/>
        </w:rPr>
        <w:t>επιβεβαίωση από</w:t>
      </w:r>
      <w:r w:rsidRPr="002518FB">
        <w:rPr>
          <w:lang w:val="el-GR" w:eastAsia="el-GR"/>
        </w:rPr>
        <w:t xml:space="preserve"> τρίτους είναι επιθυμητή και η χορήγηση του </w:t>
      </w:r>
      <w:proofErr w:type="spellStart"/>
      <w:r w:rsidRPr="002518FB">
        <w:rPr>
          <w:lang w:val="el-GR" w:eastAsia="el-GR"/>
        </w:rPr>
        <w:t>Strattera</w:t>
      </w:r>
      <w:proofErr w:type="spellEnd"/>
      <w:r w:rsidRPr="002518FB">
        <w:rPr>
          <w:lang w:val="el-GR" w:eastAsia="el-GR"/>
        </w:rPr>
        <w:t xml:space="preserve"> δεν θα πρέπει να ξεκινά </w:t>
      </w:r>
      <w:r w:rsidR="005B4E96" w:rsidRPr="002518FB">
        <w:rPr>
          <w:lang w:val="el-GR" w:eastAsia="el-GR"/>
        </w:rPr>
        <w:t xml:space="preserve">όταν </w:t>
      </w:r>
      <w:r w:rsidR="00DD6CE2" w:rsidRPr="002518FB">
        <w:rPr>
          <w:lang w:val="el-GR" w:eastAsia="el-GR"/>
        </w:rPr>
        <w:t>είναι αμφίβολη η παρουσία</w:t>
      </w:r>
      <w:r w:rsidRPr="002518FB">
        <w:rPr>
          <w:lang w:val="el-GR" w:eastAsia="el-GR"/>
        </w:rPr>
        <w:t xml:space="preserve"> των συμπτωμάτων της ΔΕΠΥ </w:t>
      </w:r>
      <w:r w:rsidR="00684151" w:rsidRPr="002518FB">
        <w:rPr>
          <w:lang w:val="el-GR" w:eastAsia="el-GR"/>
        </w:rPr>
        <w:t xml:space="preserve">κατά </w:t>
      </w:r>
      <w:r w:rsidRPr="002518FB">
        <w:rPr>
          <w:lang w:val="el-GR" w:eastAsia="el-GR"/>
        </w:rPr>
        <w:t xml:space="preserve">την παιδική ηλικία. Η διάγνωση δεν μπορεί να </w:t>
      </w:r>
      <w:r w:rsidR="00684151" w:rsidRPr="002518FB">
        <w:rPr>
          <w:lang w:val="el-GR" w:eastAsia="el-GR"/>
        </w:rPr>
        <w:t>τεθεί</w:t>
      </w:r>
      <w:r w:rsidRPr="002518FB">
        <w:rPr>
          <w:lang w:val="el-GR" w:eastAsia="el-GR"/>
        </w:rPr>
        <w:t xml:space="preserve"> αποκλειστικά και μόνο με βάση την παρουσία ενός ή περισσότερων συμπτωμάτων της ΔΕΠΥ. Με βάση την κλινική κρίση, οι ασθενείς θα πρέπει να </w:t>
      </w:r>
      <w:r w:rsidR="00684151" w:rsidRPr="002518FB">
        <w:rPr>
          <w:lang w:val="el-GR" w:eastAsia="el-GR"/>
        </w:rPr>
        <w:t>πάσχουν από</w:t>
      </w:r>
      <w:r w:rsidRPr="002518FB">
        <w:rPr>
          <w:lang w:val="el-GR" w:eastAsia="el-GR"/>
        </w:rPr>
        <w:t xml:space="preserve"> ΔΕΠΥ τουλάχιστον μέτριας βαρύτητας, όπως υποδεικνύεται από τουλάχιστον μέτρια διαταραχή της λειτουργικότητας σε 2 ή περισσότερα πεδία (για παράδειγμα, κοινωνική, ακαδημαϊκή ή/και επαγγελματική λειτουργικότητα), η οποία επηρεάζει διάφορες πτυχές της ζωής </w:t>
      </w:r>
      <w:r w:rsidR="008768F6" w:rsidRPr="002518FB">
        <w:rPr>
          <w:lang w:val="el-GR" w:eastAsia="el-GR"/>
        </w:rPr>
        <w:t>ενός</w:t>
      </w:r>
      <w:r w:rsidRPr="002518FB">
        <w:rPr>
          <w:lang w:val="el-GR" w:eastAsia="el-GR"/>
        </w:rPr>
        <w:t xml:space="preserve"> ατόμου.</w:t>
      </w:r>
    </w:p>
    <w:p w:rsidR="00705E6E" w:rsidRPr="002518FB" w:rsidRDefault="00705E6E">
      <w:pPr>
        <w:pStyle w:val="BodyText"/>
        <w:rPr>
          <w:u w:val="single"/>
          <w:lang w:val="el-GR"/>
        </w:rPr>
      </w:pPr>
    </w:p>
    <w:p w:rsidR="006D2D93" w:rsidRPr="002518FB" w:rsidRDefault="006D2D93">
      <w:pPr>
        <w:pStyle w:val="BodyText"/>
        <w:rPr>
          <w:u w:val="single"/>
          <w:lang w:val="el-GR"/>
        </w:rPr>
      </w:pPr>
      <w:r w:rsidRPr="002518FB">
        <w:rPr>
          <w:u w:val="single"/>
          <w:lang w:val="el-GR"/>
        </w:rPr>
        <w:t xml:space="preserve">Επιπλέον πληροφορίες για την ασφαλή χρήση αυτού του προϊόντος: </w:t>
      </w:r>
    </w:p>
    <w:p w:rsidR="002A02AB" w:rsidRPr="002518FB" w:rsidRDefault="002A02AB">
      <w:pPr>
        <w:pStyle w:val="BodyText"/>
        <w:rPr>
          <w:u w:val="single"/>
          <w:lang w:val="el-GR"/>
        </w:rPr>
      </w:pPr>
    </w:p>
    <w:p w:rsidR="006D2D93" w:rsidRPr="002518FB" w:rsidRDefault="007A759A">
      <w:pPr>
        <w:pStyle w:val="BodyText"/>
        <w:rPr>
          <w:lang w:val="el-GR"/>
        </w:rPr>
      </w:pPr>
      <w:r w:rsidRPr="002518FB">
        <w:rPr>
          <w:lang w:val="el-GR"/>
        </w:rPr>
        <w:lastRenderedPageBreak/>
        <w:t>Έ</w:t>
      </w:r>
      <w:r w:rsidR="00131CDE" w:rsidRPr="002518FB">
        <w:rPr>
          <w:lang w:val="el-GR"/>
        </w:rPr>
        <w:t>να</w:t>
      </w:r>
      <w:r w:rsidR="006D2D93" w:rsidRPr="002518FB">
        <w:rPr>
          <w:lang w:val="el-GR"/>
        </w:rPr>
        <w:t xml:space="preserve"> πλήρες θεραπευτικό πρόγραμμα τυπικά περιλαμβάνει ψυχολογικές, εκπαιδευτικές και κοινωνικές παραμέτρους και στοχεύει στη σταθεροποίηση των </w:t>
      </w:r>
      <w:r w:rsidR="001C7110" w:rsidRPr="002518FB">
        <w:rPr>
          <w:lang w:val="el-GR"/>
        </w:rPr>
        <w:t xml:space="preserve">ασθενών </w:t>
      </w:r>
      <w:r w:rsidR="006D2D93" w:rsidRPr="002518FB">
        <w:rPr>
          <w:lang w:val="el-GR"/>
        </w:rPr>
        <w:t xml:space="preserve">που πάσχουν από ένα σύνδρομο διαταραχών συμπεριφοράς που χαρακτηρίζεται από συμπτώματα, μεταξύ των οποίων ενδέχεται να περιλαμβάνονται χρόνιο ιστορικό βραχείας εστίασης της προσοχής, διάσπαση της προσοχής, συναισθηματική αστάθεια, παρορμητικότητα, μέτρια έως βαριά </w:t>
      </w:r>
      <w:proofErr w:type="spellStart"/>
      <w:r w:rsidR="006D2D93" w:rsidRPr="002518FB">
        <w:rPr>
          <w:lang w:val="el-GR"/>
        </w:rPr>
        <w:t>υπερκινητικότητα</w:t>
      </w:r>
      <w:proofErr w:type="spellEnd"/>
      <w:r w:rsidR="006D2D93" w:rsidRPr="002518FB">
        <w:rPr>
          <w:lang w:val="el-GR"/>
        </w:rPr>
        <w:t>, ή</w:t>
      </w:r>
      <w:r w:rsidR="002A02AB" w:rsidRPr="002518FB">
        <w:rPr>
          <w:lang w:val="el-GR"/>
        </w:rPr>
        <w:t xml:space="preserve">σσονα νευρολογικά σημεία και μη </w:t>
      </w:r>
      <w:r w:rsidR="006D2D93" w:rsidRPr="002518FB">
        <w:rPr>
          <w:lang w:val="el-GR"/>
        </w:rPr>
        <w:t xml:space="preserve">φυσιολογικό </w:t>
      </w:r>
      <w:proofErr w:type="spellStart"/>
      <w:r w:rsidR="006D2D93" w:rsidRPr="002518FB">
        <w:rPr>
          <w:lang w:val="el-GR"/>
        </w:rPr>
        <w:t>ηλεκτροεγκεφαλο</w:t>
      </w:r>
      <w:proofErr w:type="spellEnd"/>
      <w:r w:rsidR="006D2D93" w:rsidRPr="002518FB">
        <w:rPr>
          <w:lang w:val="el-GR"/>
        </w:rPr>
        <w:t xml:space="preserve">-γράφημα (ΗΕΓ). Η μάθηση ενδέχεται να έχει επηρεασθεί ή να μην έχει επηρεασθεί. </w:t>
      </w:r>
    </w:p>
    <w:p w:rsidR="006D2D93" w:rsidRPr="002518FB" w:rsidRDefault="006D2D93">
      <w:pPr>
        <w:pStyle w:val="BodyText"/>
        <w:rPr>
          <w:lang w:val="el-GR"/>
        </w:rPr>
      </w:pPr>
    </w:p>
    <w:p w:rsidR="006D2D93" w:rsidRPr="002518FB" w:rsidRDefault="006D2D93">
      <w:pPr>
        <w:pStyle w:val="BodyText"/>
        <w:tabs>
          <w:tab w:val="left" w:pos="2790"/>
        </w:tabs>
        <w:rPr>
          <w:lang w:val="el-GR"/>
        </w:rPr>
      </w:pPr>
      <w:r w:rsidRPr="002518FB">
        <w:rPr>
          <w:lang w:val="el-GR"/>
        </w:rPr>
        <w:t xml:space="preserve">Η φαρμακολογική θεραπεία δεν ενδείκνυται για </w:t>
      </w:r>
      <w:r w:rsidR="001C7110" w:rsidRPr="002518FB">
        <w:rPr>
          <w:lang w:val="el-GR"/>
        </w:rPr>
        <w:t>όλους τους ασθενείς</w:t>
      </w:r>
      <w:r w:rsidRPr="002518FB">
        <w:rPr>
          <w:lang w:val="el-GR"/>
        </w:rPr>
        <w:t xml:space="preserve"> με το σύνδρομο αυτό και η απόφαση της χρήσης του φαρμάκου πρέπει να βασίζεται σε πολύ λεπτομερειακή εκτίμηση της σοβαρότητας των συμπτωμάτων </w:t>
      </w:r>
      <w:r w:rsidR="001C7110" w:rsidRPr="002518FB">
        <w:rPr>
          <w:lang w:val="el-GR"/>
        </w:rPr>
        <w:t xml:space="preserve">και της δυσλειτουργίας </w:t>
      </w:r>
      <w:r w:rsidRPr="002518FB">
        <w:rPr>
          <w:lang w:val="el-GR"/>
        </w:rPr>
        <w:t xml:space="preserve">του </w:t>
      </w:r>
      <w:r w:rsidR="001C7110" w:rsidRPr="002518FB">
        <w:rPr>
          <w:lang w:val="el-GR"/>
        </w:rPr>
        <w:t xml:space="preserve">ασθενούς </w:t>
      </w:r>
      <w:r w:rsidR="00DD6CE2" w:rsidRPr="002518FB">
        <w:rPr>
          <w:lang w:val="el-GR"/>
        </w:rPr>
        <w:t>ανάλογα</w:t>
      </w:r>
      <w:r w:rsidRPr="002518FB">
        <w:rPr>
          <w:lang w:val="el-GR"/>
        </w:rPr>
        <w:t xml:space="preserve"> με την ηλικία του και την επιμονή των συμπτωμάτων.   </w:t>
      </w:r>
    </w:p>
    <w:p w:rsidR="006D2D93" w:rsidRPr="002518FB" w:rsidRDefault="006D2D93">
      <w:pPr>
        <w:rPr>
          <w:sz w:val="22"/>
          <w:lang w:val="el-GR"/>
        </w:rPr>
      </w:pPr>
    </w:p>
    <w:p w:rsidR="006D2D93" w:rsidRPr="002518FB" w:rsidRDefault="006D2D93" w:rsidP="003D57BC">
      <w:pPr>
        <w:tabs>
          <w:tab w:val="left" w:pos="600"/>
        </w:tabs>
        <w:rPr>
          <w:b/>
          <w:bCs/>
          <w:sz w:val="22"/>
          <w:szCs w:val="24"/>
          <w:lang w:val="el-GR" w:eastAsia="el-GR"/>
        </w:rPr>
      </w:pPr>
      <w:r w:rsidRPr="002518FB">
        <w:rPr>
          <w:b/>
          <w:sz w:val="22"/>
          <w:lang w:val="el-GR"/>
        </w:rPr>
        <w:t>4.2</w:t>
      </w:r>
      <w:r w:rsidRPr="002518FB">
        <w:rPr>
          <w:b/>
          <w:sz w:val="22"/>
          <w:lang w:val="el-GR"/>
        </w:rPr>
        <w:tab/>
      </w:r>
      <w:r w:rsidRPr="002518FB">
        <w:rPr>
          <w:b/>
          <w:bCs/>
          <w:sz w:val="22"/>
          <w:lang w:val="el-GR"/>
        </w:rPr>
        <w:t>Δοσολογία και τρόπος χορήγησης</w:t>
      </w:r>
    </w:p>
    <w:p w:rsidR="006D2D93" w:rsidRPr="002518FB" w:rsidRDefault="006D2D93">
      <w:pPr>
        <w:rPr>
          <w:sz w:val="22"/>
          <w:szCs w:val="23"/>
          <w:lang w:val="el-GR"/>
        </w:rPr>
      </w:pPr>
    </w:p>
    <w:p w:rsidR="006D2D93" w:rsidRPr="002518FB" w:rsidRDefault="006D2D93">
      <w:pPr>
        <w:rPr>
          <w:sz w:val="22"/>
          <w:lang w:val="el-GR"/>
        </w:rPr>
      </w:pPr>
      <w:r w:rsidRPr="002518FB">
        <w:rPr>
          <w:sz w:val="22"/>
          <w:szCs w:val="23"/>
          <w:lang w:val="el-GR"/>
        </w:rPr>
        <w:t>Για από του στόματος χρήση</w:t>
      </w:r>
      <w:r w:rsidRPr="002518FB">
        <w:rPr>
          <w:sz w:val="22"/>
          <w:lang w:val="el-GR"/>
        </w:rPr>
        <w:t xml:space="preserve">. Το </w:t>
      </w:r>
      <w:proofErr w:type="spellStart"/>
      <w:r w:rsidR="0021494E" w:rsidRPr="002518FB">
        <w:rPr>
          <w:sz w:val="22"/>
          <w:lang w:val="el-GR"/>
        </w:rPr>
        <w:t>Strattera</w:t>
      </w:r>
      <w:proofErr w:type="spellEnd"/>
      <w:r w:rsidRPr="002518FB">
        <w:rPr>
          <w:sz w:val="22"/>
          <w:lang w:val="el-GR"/>
        </w:rPr>
        <w:t xml:space="preserve"> μπορεί να χορηγηθεί ως μία εφάπαξ ημερήσια δόση το πρωί, με ή χωρίς τη λήψη τροφής. Οι ασθενείς οι οποίοι δεν επιτυγχάνουν ικανοποιητική κλινική ανταπόκριση (ανεκτικότητα </w:t>
      </w:r>
      <w:r w:rsidR="00791A23" w:rsidRPr="002518FB">
        <w:rPr>
          <w:sz w:val="22"/>
          <w:lang w:val="el-GR"/>
        </w:rPr>
        <w:t xml:space="preserve">[π.χ. ναυτία ή υπνηλία] </w:t>
      </w:r>
      <w:r w:rsidRPr="002518FB">
        <w:rPr>
          <w:sz w:val="22"/>
          <w:lang w:val="el-GR"/>
        </w:rPr>
        <w:t xml:space="preserve">ή αποτελεσματικότητα) όταν λαμβάνουν το </w:t>
      </w:r>
      <w:proofErr w:type="spellStart"/>
      <w:r w:rsidR="0021494E" w:rsidRPr="002518FB">
        <w:rPr>
          <w:sz w:val="22"/>
          <w:lang w:val="el-GR"/>
        </w:rPr>
        <w:t>Strattera</w:t>
      </w:r>
      <w:proofErr w:type="spellEnd"/>
      <w:r w:rsidRPr="002518FB">
        <w:rPr>
          <w:sz w:val="22"/>
          <w:lang w:val="el-GR"/>
        </w:rPr>
        <w:t xml:space="preserve"> ως μία εφάπαξ ημερήσια δόση, είναι πιθανόν να ωφεληθούν εάν λαμβάνουν το φάρμακο αυτό δύο φορές ημερησίως σε ίσες διαιρεμένες δόσεις, μία δόση το πρωί και την άλλη δόση αργά το απόγευμα ή νωρίς το βράδυ.</w:t>
      </w:r>
    </w:p>
    <w:p w:rsidR="006D2D93" w:rsidRPr="002518FB" w:rsidRDefault="006D2D93">
      <w:pPr>
        <w:rPr>
          <w:sz w:val="22"/>
          <w:lang w:val="el-GR"/>
        </w:rPr>
      </w:pPr>
    </w:p>
    <w:p w:rsidR="000E1496" w:rsidRPr="002518FB" w:rsidRDefault="006D2D93">
      <w:pPr>
        <w:pStyle w:val="BodyText"/>
        <w:rPr>
          <w:iCs w:val="0"/>
          <w:lang w:val="el-GR"/>
        </w:rPr>
      </w:pPr>
      <w:r w:rsidRPr="002518FB">
        <w:rPr>
          <w:iCs w:val="0"/>
          <w:u w:val="single"/>
          <w:lang w:val="el-GR"/>
        </w:rPr>
        <w:t xml:space="preserve">Δοσολογία σε παιδιά και εφήβους με σωματικό βάρος έως 70 </w:t>
      </w:r>
      <w:proofErr w:type="spellStart"/>
      <w:r w:rsidR="0021494E" w:rsidRPr="002518FB">
        <w:rPr>
          <w:u w:val="single"/>
          <w:lang w:val="el-GR"/>
        </w:rPr>
        <w:t>kg</w:t>
      </w:r>
      <w:proofErr w:type="spellEnd"/>
      <w:r w:rsidRPr="002518FB">
        <w:rPr>
          <w:iCs w:val="0"/>
          <w:lang w:val="el-GR"/>
        </w:rPr>
        <w:t xml:space="preserve">: </w:t>
      </w:r>
    </w:p>
    <w:p w:rsidR="000E1496" w:rsidRPr="002518FB" w:rsidRDefault="000E1496">
      <w:pPr>
        <w:pStyle w:val="BodyText"/>
        <w:rPr>
          <w:iCs w:val="0"/>
          <w:lang w:val="el-GR"/>
        </w:rPr>
      </w:pPr>
    </w:p>
    <w:p w:rsidR="00CF0FE5" w:rsidRPr="002518FB" w:rsidRDefault="006D2D93">
      <w:pPr>
        <w:pStyle w:val="BodyText"/>
        <w:rPr>
          <w:iCs w:val="0"/>
          <w:lang w:val="el-GR"/>
        </w:rPr>
      </w:pPr>
      <w:r w:rsidRPr="002518FB">
        <w:rPr>
          <w:iCs w:val="0"/>
          <w:lang w:val="el-GR"/>
        </w:rPr>
        <w:t xml:space="preserve">Η χορήγηση του </w:t>
      </w:r>
      <w:proofErr w:type="spellStart"/>
      <w:r w:rsidR="000F3434" w:rsidRPr="002518FB">
        <w:rPr>
          <w:lang w:val="el-GR"/>
        </w:rPr>
        <w:t>Strattera</w:t>
      </w:r>
      <w:proofErr w:type="spellEnd"/>
      <w:r w:rsidRPr="002518FB">
        <w:rPr>
          <w:iCs w:val="0"/>
          <w:lang w:val="el-GR"/>
        </w:rPr>
        <w:t xml:space="preserve"> πρέπει να ξεκινά σε μία συνολική ημερήσια δόση περίπου</w:t>
      </w:r>
    </w:p>
    <w:p w:rsidR="00CF0FE5" w:rsidRPr="002518FB" w:rsidRDefault="006D2D93">
      <w:pPr>
        <w:pStyle w:val="BodyText"/>
        <w:rPr>
          <w:bCs w:val="0"/>
          <w:iCs w:val="0"/>
          <w:lang w:val="el-GR"/>
        </w:rPr>
      </w:pPr>
      <w:r w:rsidRPr="002518FB">
        <w:rPr>
          <w:iCs w:val="0"/>
          <w:lang w:val="el-GR"/>
        </w:rPr>
        <w:t xml:space="preserve">0,5 </w:t>
      </w:r>
      <w:proofErr w:type="spellStart"/>
      <w:r w:rsidR="000F3434" w:rsidRPr="002518FB">
        <w:rPr>
          <w:lang w:val="el-GR"/>
        </w:rPr>
        <w:t>mg</w:t>
      </w:r>
      <w:proofErr w:type="spellEnd"/>
      <w:r w:rsidRPr="002518FB">
        <w:rPr>
          <w:iCs w:val="0"/>
          <w:lang w:val="el-GR"/>
        </w:rPr>
        <w:t>/</w:t>
      </w:r>
      <w:proofErr w:type="spellStart"/>
      <w:r w:rsidR="000F3434" w:rsidRPr="002518FB">
        <w:rPr>
          <w:lang w:val="el-GR"/>
        </w:rPr>
        <w:t>kg</w:t>
      </w:r>
      <w:proofErr w:type="spellEnd"/>
      <w:r w:rsidRPr="002518FB">
        <w:rPr>
          <w:iCs w:val="0"/>
          <w:lang w:val="el-GR"/>
        </w:rPr>
        <w:t>. Η αρχική δόση πρέπει να διατηρείται για τουλάχιστον 7 ημέρες πριν από την προοδευτική αύξηση της δοσολογίας ανάλογα με την κλινική ανταπόκριση και ανεκτικότητα του ασθενούς. Η συνιστώμενη δόση συντήρησης είναι περίπου 1,2</w:t>
      </w:r>
      <w:r w:rsidR="000F3434" w:rsidRPr="002518FB">
        <w:rPr>
          <w:lang w:val="el-GR"/>
        </w:rPr>
        <w:t> </w:t>
      </w:r>
      <w:proofErr w:type="spellStart"/>
      <w:r w:rsidR="000F3434" w:rsidRPr="002518FB">
        <w:rPr>
          <w:lang w:val="el-GR"/>
        </w:rPr>
        <w:t>mg</w:t>
      </w:r>
      <w:proofErr w:type="spellEnd"/>
      <w:r w:rsidRPr="002518FB">
        <w:rPr>
          <w:iCs w:val="0"/>
          <w:lang w:val="el-GR"/>
        </w:rPr>
        <w:t>/</w:t>
      </w:r>
      <w:proofErr w:type="spellStart"/>
      <w:r w:rsidR="000F3434" w:rsidRPr="002518FB">
        <w:rPr>
          <w:lang w:val="el-GR"/>
        </w:rPr>
        <w:t>kg</w:t>
      </w:r>
      <w:proofErr w:type="spellEnd"/>
      <w:r w:rsidRPr="002518FB">
        <w:rPr>
          <w:iCs w:val="0"/>
          <w:lang w:val="el-GR"/>
        </w:rPr>
        <w:t xml:space="preserve">/ημερησίως (ανάλογα με το σωματικό βάρος του ασθενούς και τις διαθέσιμες περιεκτικότητες της </w:t>
      </w:r>
      <w:proofErr w:type="spellStart"/>
      <w:r w:rsidRPr="002518FB">
        <w:rPr>
          <w:iCs w:val="0"/>
          <w:lang w:val="el-GR"/>
        </w:rPr>
        <w:t>ατομοξετίνης</w:t>
      </w:r>
      <w:proofErr w:type="spellEnd"/>
      <w:r w:rsidRPr="002518FB">
        <w:rPr>
          <w:iCs w:val="0"/>
          <w:lang w:val="el-GR"/>
        </w:rPr>
        <w:t xml:space="preserve">). </w:t>
      </w:r>
      <w:r w:rsidRPr="002518FB">
        <w:rPr>
          <w:bCs w:val="0"/>
          <w:iCs w:val="0"/>
          <w:lang w:val="el-GR"/>
        </w:rPr>
        <w:t xml:space="preserve">Δεν έχει διαπιστωθεί επιπλέον κλινικό όφελος για δόσεις μεγαλύτερες των </w:t>
      </w:r>
    </w:p>
    <w:p w:rsidR="006D2D93" w:rsidRPr="002518FB" w:rsidRDefault="006D2D93">
      <w:pPr>
        <w:pStyle w:val="BodyText"/>
        <w:rPr>
          <w:bCs w:val="0"/>
          <w:lang w:val="el-GR"/>
        </w:rPr>
      </w:pPr>
      <w:r w:rsidRPr="002518FB">
        <w:rPr>
          <w:bCs w:val="0"/>
          <w:iCs w:val="0"/>
          <w:lang w:val="el-GR"/>
        </w:rPr>
        <w:t xml:space="preserve">1,2 </w:t>
      </w:r>
      <w:proofErr w:type="spellStart"/>
      <w:r w:rsidR="000F3434" w:rsidRPr="002518FB">
        <w:rPr>
          <w:lang w:val="el-GR"/>
        </w:rPr>
        <w:t>mg</w:t>
      </w:r>
      <w:proofErr w:type="spellEnd"/>
      <w:r w:rsidRPr="002518FB">
        <w:rPr>
          <w:bCs w:val="0"/>
          <w:iCs w:val="0"/>
          <w:lang w:val="el-GR"/>
        </w:rPr>
        <w:t>/</w:t>
      </w:r>
      <w:proofErr w:type="spellStart"/>
      <w:r w:rsidR="000F3434" w:rsidRPr="002518FB">
        <w:rPr>
          <w:lang w:val="el-GR"/>
        </w:rPr>
        <w:t>kg</w:t>
      </w:r>
      <w:proofErr w:type="spellEnd"/>
      <w:r w:rsidRPr="002518FB">
        <w:rPr>
          <w:bCs w:val="0"/>
          <w:iCs w:val="0"/>
          <w:lang w:val="el-GR"/>
        </w:rPr>
        <w:t>/</w:t>
      </w:r>
      <w:r w:rsidR="00D816E0" w:rsidRPr="002518FB">
        <w:rPr>
          <w:bCs w:val="0"/>
          <w:iCs w:val="0"/>
          <w:lang w:val="el-GR"/>
        </w:rPr>
        <w:t>ημερησίως</w:t>
      </w:r>
      <w:r w:rsidRPr="002518FB">
        <w:rPr>
          <w:bCs w:val="0"/>
          <w:iCs w:val="0"/>
          <w:lang w:val="el-GR"/>
        </w:rPr>
        <w:t>. Η</w:t>
      </w:r>
      <w:r w:rsidRPr="002518FB">
        <w:rPr>
          <w:bCs w:val="0"/>
          <w:lang w:val="el-GR"/>
        </w:rPr>
        <w:t xml:space="preserve"> ασφάλεια των εφάπαξ δόσεων άνω των 1,8 </w:t>
      </w:r>
      <w:proofErr w:type="spellStart"/>
      <w:r w:rsidR="000F3434" w:rsidRPr="002518FB">
        <w:rPr>
          <w:lang w:val="el-GR"/>
        </w:rPr>
        <w:t>mg</w:t>
      </w:r>
      <w:proofErr w:type="spellEnd"/>
      <w:r w:rsidRPr="002518FB">
        <w:rPr>
          <w:bCs w:val="0"/>
          <w:lang w:val="el-GR"/>
        </w:rPr>
        <w:t>/</w:t>
      </w:r>
      <w:proofErr w:type="spellStart"/>
      <w:r w:rsidR="000F3434" w:rsidRPr="002518FB">
        <w:rPr>
          <w:lang w:val="el-GR"/>
        </w:rPr>
        <w:t>kg</w:t>
      </w:r>
      <w:proofErr w:type="spellEnd"/>
      <w:r w:rsidRPr="002518FB">
        <w:rPr>
          <w:bCs w:val="0"/>
          <w:lang w:val="el-GR"/>
        </w:rPr>
        <w:t>/</w:t>
      </w:r>
      <w:r w:rsidR="00D816E0" w:rsidRPr="002518FB">
        <w:rPr>
          <w:bCs w:val="0"/>
          <w:lang w:val="el-GR"/>
        </w:rPr>
        <w:t>ημερησίως</w:t>
      </w:r>
      <w:r w:rsidRPr="002518FB">
        <w:rPr>
          <w:bCs w:val="0"/>
          <w:lang w:val="el-GR"/>
        </w:rPr>
        <w:t xml:space="preserve"> και των συνολικών ημερησίων δόσεων άνω των 1,8 </w:t>
      </w:r>
      <w:proofErr w:type="spellStart"/>
      <w:r w:rsidR="000F3434" w:rsidRPr="002518FB">
        <w:rPr>
          <w:lang w:val="el-GR"/>
        </w:rPr>
        <w:t>mg</w:t>
      </w:r>
      <w:proofErr w:type="spellEnd"/>
      <w:r w:rsidRPr="002518FB">
        <w:rPr>
          <w:bCs w:val="0"/>
          <w:lang w:val="el-GR"/>
        </w:rPr>
        <w:t>/</w:t>
      </w:r>
      <w:proofErr w:type="spellStart"/>
      <w:r w:rsidR="000F3434" w:rsidRPr="002518FB">
        <w:rPr>
          <w:lang w:val="el-GR"/>
        </w:rPr>
        <w:t>kg</w:t>
      </w:r>
      <w:proofErr w:type="spellEnd"/>
      <w:r w:rsidRPr="002518FB">
        <w:rPr>
          <w:bCs w:val="0"/>
          <w:lang w:val="el-GR"/>
        </w:rPr>
        <w:t xml:space="preserve"> δεν έχει συστηματικά εκτιμηθεί. Σε μερικές περιπτώσεις ίσως είναι δόκιμο να συνεχίζεται η αγωγή στην ενήλικη ζωή.</w:t>
      </w:r>
    </w:p>
    <w:p w:rsidR="006D2D93" w:rsidRPr="002518FB" w:rsidRDefault="006D2D93">
      <w:pPr>
        <w:pStyle w:val="BodyText"/>
        <w:rPr>
          <w:bCs w:val="0"/>
          <w:lang w:val="el-GR"/>
        </w:rPr>
      </w:pPr>
    </w:p>
    <w:p w:rsidR="000E1496" w:rsidRPr="002518FB" w:rsidRDefault="006D2D93">
      <w:pPr>
        <w:pStyle w:val="BodyText"/>
        <w:rPr>
          <w:snapToGrid w:val="0"/>
          <w:lang w:val="el-GR"/>
        </w:rPr>
      </w:pPr>
      <w:r w:rsidRPr="002518FB">
        <w:rPr>
          <w:u w:val="single"/>
          <w:lang w:val="el-GR"/>
        </w:rPr>
        <w:t>Δοσολογία σε παιδιά και εφήβους με σωματικό βάρος</w:t>
      </w:r>
      <w:r w:rsidRPr="002518FB">
        <w:rPr>
          <w:snapToGrid w:val="0"/>
          <w:u w:val="single"/>
          <w:lang w:val="el-GR"/>
        </w:rPr>
        <w:t xml:space="preserve"> άνω των 70 </w:t>
      </w:r>
      <w:proofErr w:type="spellStart"/>
      <w:r w:rsidR="000F3434" w:rsidRPr="002518FB">
        <w:rPr>
          <w:u w:val="single"/>
          <w:lang w:val="el-GR"/>
        </w:rPr>
        <w:t>kg</w:t>
      </w:r>
      <w:proofErr w:type="spellEnd"/>
      <w:r w:rsidRPr="002518FB">
        <w:rPr>
          <w:snapToGrid w:val="0"/>
          <w:u w:val="single"/>
          <w:lang w:val="el-GR"/>
        </w:rPr>
        <w:t>:</w:t>
      </w:r>
      <w:r w:rsidRPr="002518FB">
        <w:rPr>
          <w:snapToGrid w:val="0"/>
          <w:lang w:val="el-GR"/>
        </w:rPr>
        <w:t xml:space="preserve"> </w:t>
      </w:r>
    </w:p>
    <w:p w:rsidR="000E1496" w:rsidRPr="002518FB" w:rsidRDefault="000E1496">
      <w:pPr>
        <w:pStyle w:val="BodyText"/>
        <w:rPr>
          <w:snapToGrid w:val="0"/>
          <w:lang w:val="el-GR"/>
        </w:rPr>
      </w:pPr>
    </w:p>
    <w:p w:rsidR="006D2D93" w:rsidRPr="002518FB" w:rsidRDefault="006D2D93">
      <w:pPr>
        <w:pStyle w:val="BodyText"/>
        <w:rPr>
          <w:lang w:val="el-GR"/>
        </w:rPr>
      </w:pPr>
      <w:r w:rsidRPr="002518FB">
        <w:rPr>
          <w:lang w:val="el-GR"/>
        </w:rPr>
        <w:t xml:space="preserve">Η χορήγηση του </w:t>
      </w:r>
      <w:proofErr w:type="spellStart"/>
      <w:r w:rsidR="000F3434" w:rsidRPr="002518FB">
        <w:rPr>
          <w:lang w:val="el-GR"/>
        </w:rPr>
        <w:t>Strattera</w:t>
      </w:r>
      <w:proofErr w:type="spellEnd"/>
      <w:r w:rsidRPr="002518FB">
        <w:rPr>
          <w:lang w:val="el-GR"/>
        </w:rPr>
        <w:t xml:space="preserve"> πρέπει να ξεκινά με μία συνολική ημερήσια δόση των 40 </w:t>
      </w:r>
      <w:proofErr w:type="spellStart"/>
      <w:r w:rsidR="000F3434" w:rsidRPr="002518FB">
        <w:rPr>
          <w:lang w:val="el-GR"/>
        </w:rPr>
        <w:t>mg</w:t>
      </w:r>
      <w:proofErr w:type="spellEnd"/>
      <w:r w:rsidRPr="002518FB">
        <w:rPr>
          <w:lang w:val="el-GR"/>
        </w:rPr>
        <w:t xml:space="preserve">. Η αρχική δόση πρέπει να διατηρείται για τουλάχιστον 7 ημέρες πριν από την προοδευτική αύξηση της δοσολογίας, ανάλογα με την κλινική ανταπόκριση και ανεκτικότητα του ασθενούς. Η συνιστώμενη δόση συντήρησης είναι 80 </w:t>
      </w:r>
      <w:proofErr w:type="spellStart"/>
      <w:r w:rsidR="000F3434" w:rsidRPr="002518FB">
        <w:rPr>
          <w:lang w:val="el-GR"/>
        </w:rPr>
        <w:t>mg</w:t>
      </w:r>
      <w:proofErr w:type="spellEnd"/>
      <w:r w:rsidRPr="002518FB">
        <w:rPr>
          <w:lang w:val="el-GR"/>
        </w:rPr>
        <w:t xml:space="preserve">. </w:t>
      </w:r>
      <w:r w:rsidRPr="002518FB">
        <w:rPr>
          <w:bCs w:val="0"/>
          <w:lang w:val="el-GR"/>
        </w:rPr>
        <w:t xml:space="preserve">Δεν έχει δειχθεί επιπλέον κλινικό όφελος με χορήγηση δόσεων μεγαλύτερων των 80 </w:t>
      </w:r>
      <w:proofErr w:type="spellStart"/>
      <w:r w:rsidR="000F3434" w:rsidRPr="002518FB">
        <w:rPr>
          <w:lang w:val="el-GR"/>
        </w:rPr>
        <w:t>mg</w:t>
      </w:r>
      <w:proofErr w:type="spellEnd"/>
      <w:r w:rsidRPr="002518FB">
        <w:rPr>
          <w:bCs w:val="0"/>
          <w:lang w:val="el-GR"/>
        </w:rPr>
        <w:t xml:space="preserve">. Η μέγιστη συνιστώμενη συνολική ημερήσια δόση είναι 100 </w:t>
      </w:r>
      <w:proofErr w:type="spellStart"/>
      <w:r w:rsidR="000F3434" w:rsidRPr="002518FB">
        <w:rPr>
          <w:lang w:val="el-GR"/>
        </w:rPr>
        <w:t>mg</w:t>
      </w:r>
      <w:proofErr w:type="spellEnd"/>
      <w:r w:rsidRPr="002518FB">
        <w:rPr>
          <w:bCs w:val="0"/>
          <w:lang w:val="el-GR"/>
        </w:rPr>
        <w:t xml:space="preserve">. </w:t>
      </w:r>
      <w:r w:rsidRPr="002518FB">
        <w:rPr>
          <w:lang w:val="el-GR"/>
        </w:rPr>
        <w:t>Η ασφάλεια των εφάπαξ δόσεων άνω των 120 </w:t>
      </w:r>
      <w:proofErr w:type="spellStart"/>
      <w:r w:rsidR="000F3434" w:rsidRPr="002518FB">
        <w:rPr>
          <w:lang w:val="el-GR"/>
        </w:rPr>
        <w:t>mg</w:t>
      </w:r>
      <w:proofErr w:type="spellEnd"/>
      <w:r w:rsidRPr="002518FB">
        <w:rPr>
          <w:lang w:val="el-GR"/>
        </w:rPr>
        <w:t xml:space="preserve"> και των συνολικών ημερησίων δόσεων άνω των 150 </w:t>
      </w:r>
      <w:proofErr w:type="spellStart"/>
      <w:r w:rsidR="000F3434" w:rsidRPr="002518FB">
        <w:rPr>
          <w:lang w:val="el-GR"/>
        </w:rPr>
        <w:t>mg</w:t>
      </w:r>
      <w:proofErr w:type="spellEnd"/>
      <w:r w:rsidRPr="002518FB">
        <w:rPr>
          <w:lang w:val="el-GR"/>
        </w:rPr>
        <w:t xml:space="preserve"> δεν έχει συστηματικά εκτιμηθεί. </w:t>
      </w:r>
    </w:p>
    <w:p w:rsidR="006D2D93" w:rsidRPr="002518FB" w:rsidRDefault="006D2D93">
      <w:pPr>
        <w:pStyle w:val="BodyText"/>
        <w:rPr>
          <w:lang w:val="el-GR"/>
        </w:rPr>
      </w:pPr>
    </w:p>
    <w:p w:rsidR="001C7AB6" w:rsidRPr="002518FB" w:rsidRDefault="001C7AB6" w:rsidP="001C7AB6">
      <w:pPr>
        <w:pStyle w:val="BodyText"/>
        <w:outlineLvl w:val="0"/>
        <w:rPr>
          <w:snapToGrid w:val="0"/>
          <w:szCs w:val="22"/>
          <w:u w:val="single"/>
          <w:lang w:val="el-GR"/>
        </w:rPr>
      </w:pPr>
      <w:r w:rsidRPr="002518FB">
        <w:rPr>
          <w:u w:val="single"/>
          <w:lang w:val="el-GR" w:eastAsia="el-GR"/>
        </w:rPr>
        <w:t>Δοσολογία Ενηλίκων:</w:t>
      </w:r>
    </w:p>
    <w:p w:rsidR="001C7AB6" w:rsidRPr="002518FB" w:rsidRDefault="001C7AB6" w:rsidP="001C7AB6">
      <w:pPr>
        <w:pStyle w:val="BodyText"/>
        <w:outlineLvl w:val="0"/>
        <w:rPr>
          <w:szCs w:val="22"/>
          <w:lang w:val="el-GR"/>
        </w:rPr>
      </w:pPr>
      <w:r w:rsidRPr="002518FB">
        <w:rPr>
          <w:lang w:val="el-GR" w:eastAsia="el-GR"/>
        </w:rPr>
        <w:t xml:space="preserve">Η χορήγηση του </w:t>
      </w:r>
      <w:proofErr w:type="spellStart"/>
      <w:r w:rsidRPr="002518FB">
        <w:rPr>
          <w:lang w:val="el-GR" w:eastAsia="el-GR"/>
        </w:rPr>
        <w:t>Strattera</w:t>
      </w:r>
      <w:proofErr w:type="spellEnd"/>
      <w:r w:rsidRPr="002518FB">
        <w:rPr>
          <w:lang w:val="el-GR" w:eastAsia="el-GR"/>
        </w:rPr>
        <w:t xml:space="preserve"> θα πρέπει να ξεκινά </w:t>
      </w:r>
      <w:r w:rsidR="00C87EC8" w:rsidRPr="002518FB">
        <w:rPr>
          <w:lang w:val="el-GR" w:eastAsia="el-GR"/>
        </w:rPr>
        <w:t>με</w:t>
      </w:r>
      <w:r w:rsidRPr="002518FB">
        <w:rPr>
          <w:lang w:val="el-GR" w:eastAsia="el-GR"/>
        </w:rPr>
        <w:t xml:space="preserve"> συνολική ημερήσια δόση 40 </w:t>
      </w:r>
      <w:proofErr w:type="spellStart"/>
      <w:r w:rsidRPr="002518FB">
        <w:rPr>
          <w:lang w:val="el-GR" w:eastAsia="el-GR"/>
        </w:rPr>
        <w:t>mg</w:t>
      </w:r>
      <w:proofErr w:type="spellEnd"/>
      <w:r w:rsidRPr="002518FB">
        <w:rPr>
          <w:lang w:val="el-GR" w:eastAsia="el-GR"/>
        </w:rPr>
        <w:t>. Η αρχική δόση θα πρέπει να διατηρείται για τουλάχιστον 7 ημέρες πριν από την αύξηση της δόσης σύμφωνα με την κλινική ανταπόκριση και την ανεκτικότητα. Η συνιστώμενη ημερήσια δόση συντήρησης είναι 80</w:t>
      </w:r>
      <w:r w:rsidR="007335D8" w:rsidRPr="002518FB">
        <w:rPr>
          <w:lang w:val="el-GR" w:eastAsia="el-GR"/>
        </w:rPr>
        <w:t xml:space="preserve"> </w:t>
      </w:r>
      <w:proofErr w:type="spellStart"/>
      <w:r w:rsidRPr="002518FB">
        <w:rPr>
          <w:lang w:val="el-GR" w:eastAsia="el-GR"/>
        </w:rPr>
        <w:t>mg</w:t>
      </w:r>
      <w:proofErr w:type="spellEnd"/>
      <w:r w:rsidRPr="002518FB">
        <w:rPr>
          <w:lang w:val="el-GR" w:eastAsia="el-GR"/>
        </w:rPr>
        <w:t xml:space="preserve"> έως 100</w:t>
      </w:r>
      <w:r w:rsidR="007335D8" w:rsidRPr="002518FB">
        <w:rPr>
          <w:lang w:val="el-GR" w:eastAsia="el-GR"/>
        </w:rPr>
        <w:t xml:space="preserve"> </w:t>
      </w:r>
      <w:proofErr w:type="spellStart"/>
      <w:r w:rsidRPr="002518FB">
        <w:rPr>
          <w:lang w:val="el-GR" w:eastAsia="el-GR"/>
        </w:rPr>
        <w:t>mg</w:t>
      </w:r>
      <w:proofErr w:type="spellEnd"/>
      <w:r w:rsidRPr="002518FB">
        <w:rPr>
          <w:lang w:val="el-GR" w:eastAsia="el-GR"/>
        </w:rPr>
        <w:t xml:space="preserve">. Η μέγιστη συνιστώμενη συνολική ημερήσια δόση είναι 100 </w:t>
      </w:r>
      <w:proofErr w:type="spellStart"/>
      <w:r w:rsidRPr="002518FB">
        <w:rPr>
          <w:lang w:val="el-GR" w:eastAsia="el-GR"/>
        </w:rPr>
        <w:t>mg</w:t>
      </w:r>
      <w:proofErr w:type="spellEnd"/>
      <w:r w:rsidRPr="002518FB">
        <w:rPr>
          <w:lang w:val="el-GR" w:eastAsia="el-GR"/>
        </w:rPr>
        <w:t>. Η ασφάλεια μεμονωμένων δόσεων άνω των 120</w:t>
      </w:r>
      <w:r w:rsidR="007335D8" w:rsidRPr="002518FB">
        <w:rPr>
          <w:lang w:val="el-GR" w:eastAsia="el-GR"/>
        </w:rPr>
        <w:t xml:space="preserve"> </w:t>
      </w:r>
      <w:proofErr w:type="spellStart"/>
      <w:r w:rsidRPr="002518FB">
        <w:rPr>
          <w:lang w:val="el-GR" w:eastAsia="el-GR"/>
        </w:rPr>
        <w:t>mg</w:t>
      </w:r>
      <w:proofErr w:type="spellEnd"/>
      <w:r w:rsidRPr="002518FB">
        <w:rPr>
          <w:lang w:val="el-GR" w:eastAsia="el-GR"/>
        </w:rPr>
        <w:t xml:space="preserve"> και συνολικών ημερήσιων δόσεων άνω των 150</w:t>
      </w:r>
      <w:r w:rsidR="007335D8" w:rsidRPr="002518FB">
        <w:rPr>
          <w:lang w:val="el-GR" w:eastAsia="el-GR"/>
        </w:rPr>
        <w:t xml:space="preserve"> </w:t>
      </w:r>
      <w:proofErr w:type="spellStart"/>
      <w:r w:rsidRPr="002518FB">
        <w:rPr>
          <w:lang w:val="el-GR" w:eastAsia="el-GR"/>
        </w:rPr>
        <w:t>mg</w:t>
      </w:r>
      <w:proofErr w:type="spellEnd"/>
      <w:r w:rsidRPr="002518FB">
        <w:rPr>
          <w:lang w:val="el-GR" w:eastAsia="el-GR"/>
        </w:rPr>
        <w:t xml:space="preserve"> δεν έχει αξιολογηθεί συστηματικά.</w:t>
      </w:r>
    </w:p>
    <w:p w:rsidR="001C7AB6" w:rsidRPr="002518FB" w:rsidRDefault="001C7AB6">
      <w:pPr>
        <w:pStyle w:val="BodyText"/>
        <w:rPr>
          <w:lang w:val="el-GR"/>
        </w:rPr>
      </w:pPr>
    </w:p>
    <w:p w:rsidR="006D2D93" w:rsidRPr="002518FB" w:rsidRDefault="006D2D93">
      <w:pPr>
        <w:rPr>
          <w:sz w:val="22"/>
          <w:u w:val="single"/>
          <w:lang w:val="el-GR"/>
        </w:rPr>
      </w:pPr>
      <w:r w:rsidRPr="002518FB">
        <w:rPr>
          <w:sz w:val="22"/>
          <w:u w:val="single"/>
          <w:lang w:val="el-GR"/>
        </w:rPr>
        <w:t>Επιπλέον πληροφορίες για την ασφαλή χρήση αυτού του προϊόντος:</w:t>
      </w:r>
    </w:p>
    <w:p w:rsidR="006D2D93" w:rsidRPr="002518FB" w:rsidRDefault="006D2D93">
      <w:pPr>
        <w:rPr>
          <w:sz w:val="22"/>
          <w:lang w:val="el-GR"/>
        </w:rPr>
      </w:pPr>
    </w:p>
    <w:p w:rsidR="000D5CBB" w:rsidRPr="002518FB" w:rsidRDefault="009A455C" w:rsidP="00E0111E">
      <w:pPr>
        <w:rPr>
          <w:b/>
          <w:sz w:val="22"/>
          <w:lang w:val="el-GR"/>
        </w:rPr>
      </w:pPr>
      <w:proofErr w:type="spellStart"/>
      <w:r w:rsidRPr="002518FB">
        <w:rPr>
          <w:b/>
          <w:sz w:val="22"/>
          <w:lang w:val="el-GR"/>
        </w:rPr>
        <w:t>Προθεραπευτικός</w:t>
      </w:r>
      <w:proofErr w:type="spellEnd"/>
      <w:r w:rsidRPr="002518FB">
        <w:rPr>
          <w:b/>
          <w:sz w:val="22"/>
          <w:lang w:val="el-GR"/>
        </w:rPr>
        <w:t xml:space="preserve"> έλεγχος</w:t>
      </w:r>
      <w:r w:rsidR="000D5CBB" w:rsidRPr="002518FB">
        <w:rPr>
          <w:b/>
          <w:sz w:val="22"/>
          <w:lang w:val="el-GR"/>
        </w:rPr>
        <w:t>:</w:t>
      </w:r>
    </w:p>
    <w:p w:rsidR="000D5CBB" w:rsidRPr="002518FB" w:rsidRDefault="000D5CBB" w:rsidP="00E0111E">
      <w:pPr>
        <w:rPr>
          <w:sz w:val="22"/>
          <w:lang w:val="el-GR"/>
        </w:rPr>
      </w:pPr>
      <w:r w:rsidRPr="002518FB">
        <w:rPr>
          <w:sz w:val="22"/>
          <w:lang w:val="el-GR"/>
        </w:rPr>
        <w:t xml:space="preserve">Πριν τη </w:t>
      </w:r>
      <w:proofErr w:type="spellStart"/>
      <w:r w:rsidRPr="002518FB">
        <w:rPr>
          <w:sz w:val="22"/>
          <w:lang w:val="el-GR"/>
        </w:rPr>
        <w:t>συνταγογράφηση</w:t>
      </w:r>
      <w:proofErr w:type="spellEnd"/>
      <w:r w:rsidRPr="002518FB">
        <w:rPr>
          <w:sz w:val="22"/>
          <w:lang w:val="el-GR"/>
        </w:rPr>
        <w:t xml:space="preserve"> του προϊόντος </w:t>
      </w:r>
      <w:r w:rsidR="00231BCA" w:rsidRPr="002518FB">
        <w:rPr>
          <w:sz w:val="22"/>
          <w:lang w:val="el-GR"/>
        </w:rPr>
        <w:t>κρίνεται</w:t>
      </w:r>
      <w:r w:rsidRPr="002518FB">
        <w:rPr>
          <w:sz w:val="22"/>
          <w:lang w:val="el-GR"/>
        </w:rPr>
        <w:t xml:space="preserve"> απαραίτητο να ληφθεί κατάλληλο ιατρικό ιστορικό και να διεξαχθεί μία </w:t>
      </w:r>
      <w:r w:rsidR="009A455C" w:rsidRPr="002518FB">
        <w:rPr>
          <w:sz w:val="22"/>
          <w:lang w:val="el-GR"/>
        </w:rPr>
        <w:t xml:space="preserve">αρχική </w:t>
      </w:r>
      <w:r w:rsidRPr="002518FB">
        <w:rPr>
          <w:sz w:val="22"/>
          <w:lang w:val="el-GR"/>
        </w:rPr>
        <w:t xml:space="preserve">αξιολόγηση </w:t>
      </w:r>
      <w:r w:rsidR="00D00871" w:rsidRPr="002518FB">
        <w:rPr>
          <w:sz w:val="22"/>
          <w:lang w:val="el-GR"/>
        </w:rPr>
        <w:t xml:space="preserve">της καρδιαγγειακής κατάστασης του ασθενούς, </w:t>
      </w:r>
      <w:r w:rsidR="00D00871" w:rsidRPr="002518FB">
        <w:rPr>
          <w:sz w:val="22"/>
          <w:lang w:val="el-GR"/>
        </w:rPr>
        <w:lastRenderedPageBreak/>
        <w:t xml:space="preserve">περιλαμβανομένης της αρτηριακής πίεσης και του καρδιακού ρυθμού (βλέπε </w:t>
      </w:r>
      <w:r w:rsidR="009A455C" w:rsidRPr="002518FB">
        <w:rPr>
          <w:sz w:val="22"/>
          <w:lang w:val="el-GR"/>
        </w:rPr>
        <w:t>π</w:t>
      </w:r>
      <w:r w:rsidR="00D00871" w:rsidRPr="002518FB">
        <w:rPr>
          <w:sz w:val="22"/>
          <w:lang w:val="el-GR"/>
        </w:rPr>
        <w:t>αραγράφους 4.3 και 4.4).</w:t>
      </w:r>
    </w:p>
    <w:p w:rsidR="00D00871" w:rsidRPr="002518FB" w:rsidRDefault="00D00871" w:rsidP="00E0111E">
      <w:pPr>
        <w:rPr>
          <w:sz w:val="22"/>
          <w:lang w:val="el-GR"/>
        </w:rPr>
      </w:pPr>
    </w:p>
    <w:p w:rsidR="00D00871" w:rsidRPr="002518FB" w:rsidRDefault="009A455C" w:rsidP="00E0111E">
      <w:pPr>
        <w:rPr>
          <w:b/>
          <w:sz w:val="22"/>
          <w:lang w:val="el-GR"/>
        </w:rPr>
      </w:pPr>
      <w:r w:rsidRPr="002518FB">
        <w:rPr>
          <w:b/>
          <w:sz w:val="22"/>
          <w:lang w:val="el-GR"/>
        </w:rPr>
        <w:t>Παρακολούθηση κατά τη διάρκεια της θεραπείας</w:t>
      </w:r>
      <w:r w:rsidR="00D00871" w:rsidRPr="002518FB">
        <w:rPr>
          <w:b/>
          <w:sz w:val="22"/>
          <w:lang w:val="el-GR"/>
        </w:rPr>
        <w:t>:</w:t>
      </w:r>
    </w:p>
    <w:p w:rsidR="00D00871" w:rsidRPr="002518FB" w:rsidRDefault="00D00871" w:rsidP="00E0111E">
      <w:pPr>
        <w:rPr>
          <w:sz w:val="22"/>
          <w:lang w:val="el-GR"/>
        </w:rPr>
      </w:pPr>
      <w:r w:rsidRPr="002518FB">
        <w:rPr>
          <w:sz w:val="22"/>
          <w:lang w:val="el-GR"/>
        </w:rPr>
        <w:t xml:space="preserve">Η καρδιαγγειακή κατάσταση </w:t>
      </w:r>
      <w:r w:rsidR="00081F7F" w:rsidRPr="002518FB">
        <w:rPr>
          <w:sz w:val="22"/>
          <w:lang w:val="el-GR"/>
        </w:rPr>
        <w:t xml:space="preserve">του ασθενούς </w:t>
      </w:r>
      <w:r w:rsidRPr="002518FB">
        <w:rPr>
          <w:sz w:val="22"/>
          <w:lang w:val="el-GR"/>
        </w:rPr>
        <w:t>θα πρέπει να παρακολουθείται τακτικά</w:t>
      </w:r>
      <w:r w:rsidR="00081F7F" w:rsidRPr="002518FB">
        <w:rPr>
          <w:sz w:val="22"/>
          <w:lang w:val="el-GR"/>
        </w:rPr>
        <w:t>, η</w:t>
      </w:r>
      <w:r w:rsidRPr="002518FB">
        <w:rPr>
          <w:sz w:val="22"/>
          <w:lang w:val="el-GR"/>
        </w:rPr>
        <w:t xml:space="preserve"> αρτηριακ</w:t>
      </w:r>
      <w:r w:rsidR="00081F7F" w:rsidRPr="002518FB">
        <w:rPr>
          <w:sz w:val="22"/>
          <w:lang w:val="el-GR"/>
        </w:rPr>
        <w:t>ή πίεση  και ο</w:t>
      </w:r>
      <w:r w:rsidRPr="002518FB">
        <w:rPr>
          <w:sz w:val="22"/>
          <w:lang w:val="el-GR"/>
        </w:rPr>
        <w:t xml:space="preserve"> σφυγμό</w:t>
      </w:r>
      <w:r w:rsidR="00081F7F" w:rsidRPr="002518FB">
        <w:rPr>
          <w:sz w:val="22"/>
          <w:lang w:val="el-GR"/>
        </w:rPr>
        <w:t>ς</w:t>
      </w:r>
      <w:r w:rsidRPr="002518FB">
        <w:rPr>
          <w:sz w:val="22"/>
          <w:lang w:val="el-GR"/>
        </w:rPr>
        <w:t xml:space="preserve"> να καταγράφονται μετά από κάθε προσαρμογή της δοσολογίας και στη συνέχεια</w:t>
      </w:r>
      <w:r w:rsidR="00081F7F" w:rsidRPr="002518FB">
        <w:rPr>
          <w:sz w:val="22"/>
          <w:lang w:val="el-GR"/>
        </w:rPr>
        <w:t>,</w:t>
      </w:r>
      <w:r w:rsidRPr="002518FB">
        <w:rPr>
          <w:sz w:val="22"/>
          <w:lang w:val="el-GR"/>
        </w:rPr>
        <w:t xml:space="preserve"> τ</w:t>
      </w:r>
      <w:r w:rsidR="009A455C" w:rsidRPr="002518FB">
        <w:rPr>
          <w:sz w:val="22"/>
          <w:lang w:val="el-GR"/>
        </w:rPr>
        <w:t>ουλάχιστον κάθε 6 μήνες</w:t>
      </w:r>
      <w:r w:rsidR="00414D8D" w:rsidRPr="002518FB">
        <w:rPr>
          <w:sz w:val="22"/>
          <w:lang w:val="el-GR"/>
        </w:rPr>
        <w:t xml:space="preserve">. </w:t>
      </w:r>
      <w:r w:rsidR="00414D8D" w:rsidRPr="002518FB">
        <w:rPr>
          <w:sz w:val="22"/>
          <w:szCs w:val="22"/>
          <w:lang w:val="el-GR" w:eastAsia="el-GR"/>
        </w:rPr>
        <w:t>Για παιδιατρικούς ασθενείς, συνιστάται η χρήση ενός διαγράμματος εκατοστιαίας θέσης. Για τους ενήλικες, θα πρέπει να ακολουθούνται οι ισχύουσες κατευθυντήριες οδηγίες αναφοράς για την υπέρταση.</w:t>
      </w:r>
      <w:r w:rsidR="009A455C" w:rsidRPr="002518FB">
        <w:rPr>
          <w:sz w:val="22"/>
          <w:lang w:val="el-GR"/>
        </w:rPr>
        <w:t xml:space="preserve"> (βλέπε π</w:t>
      </w:r>
      <w:r w:rsidRPr="002518FB">
        <w:rPr>
          <w:sz w:val="22"/>
          <w:lang w:val="el-GR"/>
        </w:rPr>
        <w:t>αράγραφο 4.4)</w:t>
      </w:r>
    </w:p>
    <w:p w:rsidR="000D5CBB" w:rsidRPr="002518FB" w:rsidRDefault="000D5CBB">
      <w:pPr>
        <w:rPr>
          <w:sz w:val="22"/>
          <w:lang w:val="el-GR"/>
        </w:rPr>
      </w:pPr>
    </w:p>
    <w:p w:rsidR="00BA7981" w:rsidRPr="002518FB" w:rsidRDefault="00BA7981">
      <w:pPr>
        <w:rPr>
          <w:b/>
          <w:sz w:val="22"/>
          <w:lang w:val="el-GR"/>
        </w:rPr>
      </w:pPr>
      <w:r w:rsidRPr="002518FB">
        <w:rPr>
          <w:b/>
          <w:sz w:val="22"/>
          <w:lang w:val="el-GR"/>
        </w:rPr>
        <w:t>Διακοπή της Θεραπείας</w:t>
      </w:r>
    </w:p>
    <w:p w:rsidR="00CC44AA" w:rsidRPr="002518FB" w:rsidRDefault="006D2D93">
      <w:pPr>
        <w:rPr>
          <w:sz w:val="22"/>
          <w:lang w:val="el-GR"/>
        </w:rPr>
      </w:pPr>
      <w:r w:rsidRPr="002518FB">
        <w:rPr>
          <w:sz w:val="22"/>
          <w:lang w:val="el-GR"/>
        </w:rPr>
        <w:t xml:space="preserve">Στο πλαίσιο των κλινικών μελετών δεν αναφέρθηκαν διακριτά συμπτώματα απόσυρσης. Σε περιπτώσεις έντονων ανεπιθύμητων ενεργειών, η </w:t>
      </w:r>
      <w:proofErr w:type="spellStart"/>
      <w:r w:rsidRPr="002518FB">
        <w:rPr>
          <w:sz w:val="22"/>
          <w:lang w:val="el-GR"/>
        </w:rPr>
        <w:t>ατομοξετίνη</w:t>
      </w:r>
      <w:proofErr w:type="spellEnd"/>
      <w:r w:rsidRPr="002518FB">
        <w:rPr>
          <w:sz w:val="22"/>
          <w:lang w:val="el-GR"/>
        </w:rPr>
        <w:t xml:space="preserve"> μπορεί να διακόπτεται αιφνιδίως, ενώ σε άλλες περιπτώσεις, το φάρμακο αυτό πρέπει να διακόπτεται προοδευτικά σε ένα επαρκές χρονικό διάστημα.  </w:t>
      </w:r>
    </w:p>
    <w:p w:rsidR="00CC44AA" w:rsidRPr="002518FB" w:rsidRDefault="00CC44AA">
      <w:pPr>
        <w:rPr>
          <w:sz w:val="22"/>
          <w:lang w:val="el-GR"/>
        </w:rPr>
      </w:pPr>
    </w:p>
    <w:p w:rsidR="005B22F9" w:rsidRPr="002518FB" w:rsidRDefault="00ED626D" w:rsidP="005B22F9">
      <w:pPr>
        <w:rPr>
          <w:lang w:val="el-GR"/>
        </w:rPr>
      </w:pPr>
      <w:r w:rsidRPr="002518FB">
        <w:rPr>
          <w:rFonts w:eastAsia="Calibri"/>
          <w:sz w:val="22"/>
          <w:lang w:val="el-GR" w:eastAsia="el-GR"/>
        </w:rPr>
        <w:t xml:space="preserve">Η θεραπεία με το </w:t>
      </w:r>
      <w:proofErr w:type="spellStart"/>
      <w:r w:rsidRPr="002518FB">
        <w:rPr>
          <w:rFonts w:eastAsia="Calibri"/>
          <w:sz w:val="22"/>
          <w:lang w:val="el-GR" w:eastAsia="el-GR"/>
        </w:rPr>
        <w:t>Strattera</w:t>
      </w:r>
      <w:proofErr w:type="spellEnd"/>
      <w:r w:rsidRPr="002518FB">
        <w:rPr>
          <w:rFonts w:eastAsia="Calibri"/>
          <w:sz w:val="22"/>
          <w:lang w:val="el-GR" w:eastAsia="el-GR"/>
        </w:rPr>
        <w:t xml:space="preserve"> δεν </w:t>
      </w:r>
      <w:r w:rsidR="00C87EC8" w:rsidRPr="002518FB">
        <w:rPr>
          <w:rFonts w:eastAsia="Calibri"/>
          <w:sz w:val="22"/>
          <w:lang w:val="el-GR" w:eastAsia="el-GR"/>
        </w:rPr>
        <w:t>απαιτείται</w:t>
      </w:r>
      <w:r w:rsidRPr="002518FB">
        <w:rPr>
          <w:rFonts w:eastAsia="Calibri"/>
          <w:sz w:val="22"/>
          <w:lang w:val="el-GR" w:eastAsia="el-GR"/>
        </w:rPr>
        <w:t xml:space="preserve"> να συνεχίζεται επ' αόριστον. Θα πρέπει να πραγματοποιείται επαναξιολόγηση της ανάγκης συνέχισης της θεραπείας </w:t>
      </w:r>
      <w:r w:rsidR="008768F6" w:rsidRPr="002518FB">
        <w:rPr>
          <w:rFonts w:eastAsia="Calibri"/>
          <w:sz w:val="22"/>
          <w:lang w:val="el-GR" w:eastAsia="el-GR"/>
        </w:rPr>
        <w:t xml:space="preserve">πέραν του </w:t>
      </w:r>
      <w:r w:rsidRPr="002518FB">
        <w:rPr>
          <w:rFonts w:eastAsia="Calibri"/>
          <w:sz w:val="22"/>
          <w:lang w:val="el-GR" w:eastAsia="el-GR"/>
        </w:rPr>
        <w:t>1 έτο</w:t>
      </w:r>
      <w:r w:rsidR="008768F6" w:rsidRPr="002518FB">
        <w:rPr>
          <w:rFonts w:eastAsia="Calibri"/>
          <w:sz w:val="22"/>
          <w:lang w:val="el-GR" w:eastAsia="el-GR"/>
        </w:rPr>
        <w:t>υ</w:t>
      </w:r>
      <w:r w:rsidRPr="002518FB">
        <w:rPr>
          <w:rFonts w:eastAsia="Calibri"/>
          <w:sz w:val="22"/>
          <w:lang w:val="el-GR" w:eastAsia="el-GR"/>
        </w:rPr>
        <w:t>ς, ιδιαίτερα όταν ο ασθενής έχει επιτύχει μία σταθερή και ικανοποιητική ανταπόκριση.</w:t>
      </w:r>
    </w:p>
    <w:p w:rsidR="005B22F9" w:rsidRPr="002518FB" w:rsidRDefault="005B22F9">
      <w:pPr>
        <w:rPr>
          <w:sz w:val="22"/>
          <w:lang w:val="el-GR"/>
        </w:rPr>
      </w:pPr>
    </w:p>
    <w:p w:rsidR="006D2D93" w:rsidRPr="002518FB" w:rsidRDefault="006D2D93">
      <w:pPr>
        <w:rPr>
          <w:sz w:val="22"/>
          <w:u w:val="single"/>
          <w:lang w:val="el-GR"/>
        </w:rPr>
      </w:pPr>
      <w:r w:rsidRPr="002518FB">
        <w:rPr>
          <w:sz w:val="22"/>
          <w:u w:val="single"/>
          <w:lang w:val="el-GR"/>
        </w:rPr>
        <w:t>Ειδικοί πληθυσμοί</w:t>
      </w:r>
    </w:p>
    <w:p w:rsidR="006D2D93" w:rsidRPr="002518FB" w:rsidRDefault="006D2D93">
      <w:pPr>
        <w:rPr>
          <w:sz w:val="22"/>
          <w:u w:val="single"/>
          <w:lang w:val="el-GR"/>
        </w:rPr>
      </w:pPr>
    </w:p>
    <w:p w:rsidR="006D2D93" w:rsidRPr="002518FB" w:rsidRDefault="006D2D93">
      <w:pPr>
        <w:pStyle w:val="BodyText"/>
        <w:rPr>
          <w:bCs w:val="0"/>
          <w:iCs w:val="0"/>
          <w:lang w:val="el-GR"/>
        </w:rPr>
      </w:pPr>
      <w:r w:rsidRPr="002518FB">
        <w:rPr>
          <w:bCs w:val="0"/>
          <w:iCs w:val="0"/>
          <w:lang w:val="el-GR"/>
        </w:rPr>
        <w:t xml:space="preserve">Ηπατική Ανεπάρκεια: Σε ασθενείς με μέτρια ηπατική ανεπάρκεια (Κατηγορίας </w:t>
      </w:r>
      <w:r w:rsidR="000F3434" w:rsidRPr="002518FB">
        <w:rPr>
          <w:lang w:val="el-GR"/>
        </w:rPr>
        <w:t>B</w:t>
      </w:r>
      <w:r w:rsidRPr="002518FB">
        <w:rPr>
          <w:bCs w:val="0"/>
          <w:iCs w:val="0"/>
          <w:lang w:val="el-GR"/>
        </w:rPr>
        <w:t xml:space="preserve"> κατά </w:t>
      </w:r>
      <w:proofErr w:type="spellStart"/>
      <w:r w:rsidR="000F3434" w:rsidRPr="002518FB">
        <w:rPr>
          <w:lang w:val="el-GR"/>
        </w:rPr>
        <w:t>Child</w:t>
      </w:r>
      <w:proofErr w:type="spellEnd"/>
      <w:r w:rsidRPr="002518FB">
        <w:rPr>
          <w:bCs w:val="0"/>
          <w:iCs w:val="0"/>
          <w:lang w:val="el-GR"/>
        </w:rPr>
        <w:t>-</w:t>
      </w:r>
      <w:proofErr w:type="spellStart"/>
      <w:r w:rsidR="000F3434" w:rsidRPr="002518FB">
        <w:rPr>
          <w:lang w:val="el-GR"/>
        </w:rPr>
        <w:t>Pugh</w:t>
      </w:r>
      <w:proofErr w:type="spellEnd"/>
      <w:r w:rsidRPr="002518FB">
        <w:rPr>
          <w:bCs w:val="0"/>
          <w:iCs w:val="0"/>
          <w:lang w:val="el-GR"/>
        </w:rPr>
        <w:t>), η αρχική και η στοχευόμενη δόση θα πρέπει να μειωθεί στο 50</w:t>
      </w:r>
      <w:r w:rsidR="00804D7D" w:rsidRPr="002518FB">
        <w:rPr>
          <w:bCs w:val="0"/>
          <w:iCs w:val="0"/>
          <w:lang w:val="el-GR"/>
        </w:rPr>
        <w:t xml:space="preserve"> </w:t>
      </w:r>
      <w:r w:rsidRPr="002518FB">
        <w:rPr>
          <w:bCs w:val="0"/>
          <w:iCs w:val="0"/>
          <w:lang w:val="el-GR"/>
        </w:rPr>
        <w:t xml:space="preserve">% της συνήθους δόσης. Σε ασθενείς με σοβαρή ηπατική ανεπάρκεια (Κατηγορίας </w:t>
      </w:r>
      <w:r w:rsidR="000F3434" w:rsidRPr="002518FB">
        <w:rPr>
          <w:lang w:val="el-GR"/>
        </w:rPr>
        <w:t>C</w:t>
      </w:r>
      <w:r w:rsidRPr="002518FB">
        <w:rPr>
          <w:bCs w:val="0"/>
          <w:iCs w:val="0"/>
          <w:lang w:val="el-GR"/>
        </w:rPr>
        <w:t xml:space="preserve"> κατά </w:t>
      </w:r>
      <w:proofErr w:type="spellStart"/>
      <w:r w:rsidR="000F3434" w:rsidRPr="002518FB">
        <w:rPr>
          <w:lang w:val="el-GR"/>
        </w:rPr>
        <w:t>Child</w:t>
      </w:r>
      <w:proofErr w:type="spellEnd"/>
      <w:r w:rsidRPr="002518FB">
        <w:rPr>
          <w:bCs w:val="0"/>
          <w:iCs w:val="0"/>
          <w:lang w:val="el-GR"/>
        </w:rPr>
        <w:t>-</w:t>
      </w:r>
      <w:proofErr w:type="spellStart"/>
      <w:r w:rsidR="000F3434" w:rsidRPr="002518FB">
        <w:rPr>
          <w:lang w:val="el-GR"/>
        </w:rPr>
        <w:t>Pugh</w:t>
      </w:r>
      <w:proofErr w:type="spellEnd"/>
      <w:r w:rsidRPr="002518FB">
        <w:rPr>
          <w:bCs w:val="0"/>
          <w:iCs w:val="0"/>
          <w:lang w:val="el-GR"/>
        </w:rPr>
        <w:t>), η αρχική και η στοχευόμενη δόση θα πρέπει να μειωθεί στο 25</w:t>
      </w:r>
      <w:r w:rsidR="00804D7D" w:rsidRPr="002518FB">
        <w:rPr>
          <w:bCs w:val="0"/>
          <w:iCs w:val="0"/>
          <w:lang w:val="el-GR"/>
        </w:rPr>
        <w:t xml:space="preserve"> </w:t>
      </w:r>
      <w:r w:rsidRPr="002518FB">
        <w:rPr>
          <w:bCs w:val="0"/>
          <w:iCs w:val="0"/>
          <w:lang w:val="el-GR"/>
        </w:rPr>
        <w:t>% της συνήθους δόσης</w:t>
      </w:r>
      <w:r w:rsidR="00CD18EC" w:rsidRPr="002518FB">
        <w:rPr>
          <w:bCs w:val="0"/>
          <w:iCs w:val="0"/>
          <w:lang w:val="el-GR"/>
        </w:rPr>
        <w:t xml:space="preserve"> (βλέπε παράγραφο 5.2)</w:t>
      </w:r>
      <w:r w:rsidRPr="002518FB">
        <w:rPr>
          <w:bCs w:val="0"/>
          <w:iCs w:val="0"/>
          <w:lang w:val="el-GR"/>
        </w:rPr>
        <w:t>.</w:t>
      </w:r>
    </w:p>
    <w:p w:rsidR="006D2D93" w:rsidRPr="002518FB" w:rsidRDefault="006D2D93">
      <w:pPr>
        <w:pStyle w:val="BodyText"/>
        <w:rPr>
          <w:bCs w:val="0"/>
          <w:iCs w:val="0"/>
          <w:lang w:val="el-GR"/>
        </w:rPr>
      </w:pPr>
    </w:p>
    <w:p w:rsidR="00CD18EC" w:rsidRPr="002518FB" w:rsidRDefault="006D2D93" w:rsidP="00CD18EC">
      <w:pPr>
        <w:pStyle w:val="BodyText"/>
        <w:rPr>
          <w:bCs w:val="0"/>
          <w:iCs w:val="0"/>
          <w:lang w:val="el-GR"/>
        </w:rPr>
      </w:pPr>
      <w:r w:rsidRPr="002518FB">
        <w:rPr>
          <w:lang w:val="el-GR"/>
        </w:rPr>
        <w:t xml:space="preserve">Νεφρική Ανεπάρκεια: οι ασθενείς με νεφρική νόσο τελικού σταδίου είχαν υψηλότερη συστηματική έκθεση στην </w:t>
      </w:r>
      <w:proofErr w:type="spellStart"/>
      <w:r w:rsidRPr="002518FB">
        <w:rPr>
          <w:lang w:val="el-GR"/>
        </w:rPr>
        <w:t>ατομοξετίνη</w:t>
      </w:r>
      <w:proofErr w:type="spellEnd"/>
      <w:r w:rsidRPr="002518FB">
        <w:rPr>
          <w:lang w:val="el-GR"/>
        </w:rPr>
        <w:t xml:space="preserve"> από τους υγιείς εθελοντές (μία αύξηση 65</w:t>
      </w:r>
      <w:r w:rsidR="00804D7D" w:rsidRPr="002518FB">
        <w:rPr>
          <w:lang w:val="el-GR"/>
        </w:rPr>
        <w:t xml:space="preserve"> </w:t>
      </w:r>
      <w:r w:rsidRPr="002518FB">
        <w:rPr>
          <w:lang w:val="el-GR"/>
        </w:rPr>
        <w:t xml:space="preserve">% περίπου), αλλά δεν υπήρχε διαφορά όταν έγινε διόρθωση της έκθεσης για χορηγούμενη δόση ανά </w:t>
      </w:r>
      <w:proofErr w:type="spellStart"/>
      <w:r w:rsidR="000F3434" w:rsidRPr="002518FB">
        <w:rPr>
          <w:lang w:val="el-GR"/>
        </w:rPr>
        <w:t>mg</w:t>
      </w:r>
      <w:proofErr w:type="spellEnd"/>
      <w:r w:rsidRPr="002518FB">
        <w:rPr>
          <w:lang w:val="el-GR"/>
        </w:rPr>
        <w:t>/</w:t>
      </w:r>
      <w:proofErr w:type="spellStart"/>
      <w:r w:rsidR="000F3434" w:rsidRPr="002518FB">
        <w:rPr>
          <w:lang w:val="el-GR"/>
        </w:rPr>
        <w:t>kg</w:t>
      </w:r>
      <w:proofErr w:type="spellEnd"/>
      <w:r w:rsidRPr="002518FB">
        <w:rPr>
          <w:lang w:val="el-GR"/>
        </w:rPr>
        <w:t xml:space="preserve">. Επομένως, το </w:t>
      </w:r>
      <w:proofErr w:type="spellStart"/>
      <w:r w:rsidR="000F3434" w:rsidRPr="002518FB">
        <w:rPr>
          <w:lang w:val="el-GR"/>
        </w:rPr>
        <w:t>Strattera</w:t>
      </w:r>
      <w:proofErr w:type="spellEnd"/>
      <w:r w:rsidRPr="002518FB">
        <w:rPr>
          <w:lang w:val="el-GR"/>
        </w:rPr>
        <w:t xml:space="preserve"> μπορεί να χορηγηθεί σε ασθενείς με ΔΕΠΥ που πάσχουν από νεφρική νόσο τελικού σταδίου ή μικρότερου βαθμού νεφρική ανεπάρκεια με χρήση του συνήθους </w:t>
      </w:r>
      <w:proofErr w:type="spellStart"/>
      <w:r w:rsidRPr="002518FB">
        <w:rPr>
          <w:lang w:val="el-GR"/>
        </w:rPr>
        <w:t>δοσολογικού</w:t>
      </w:r>
      <w:proofErr w:type="spellEnd"/>
      <w:r w:rsidRPr="002518FB">
        <w:rPr>
          <w:lang w:val="el-GR"/>
        </w:rPr>
        <w:t xml:space="preserve"> σχήματος. Η </w:t>
      </w:r>
      <w:proofErr w:type="spellStart"/>
      <w:r w:rsidRPr="002518FB">
        <w:rPr>
          <w:lang w:val="el-GR"/>
        </w:rPr>
        <w:t>ατομοξετίνη</w:t>
      </w:r>
      <w:proofErr w:type="spellEnd"/>
      <w:r w:rsidRPr="002518FB">
        <w:rPr>
          <w:lang w:val="el-GR"/>
        </w:rPr>
        <w:t xml:space="preserve"> είναι πιθανόν να επιδεινώσει την υπέρταση σε ασθενείς με νεφρική νόσο τελικού σταδίου</w:t>
      </w:r>
      <w:r w:rsidR="00CD18EC" w:rsidRPr="002518FB">
        <w:rPr>
          <w:lang w:val="el-GR"/>
        </w:rPr>
        <w:t xml:space="preserve"> </w:t>
      </w:r>
      <w:r w:rsidR="00CD18EC" w:rsidRPr="002518FB">
        <w:rPr>
          <w:bCs w:val="0"/>
          <w:iCs w:val="0"/>
          <w:lang w:val="el-GR"/>
        </w:rPr>
        <w:t>(βλέπε παράγραφο 5.2).</w:t>
      </w:r>
      <w:r w:rsidR="006446B5" w:rsidRPr="002518FB">
        <w:rPr>
          <w:bCs w:val="0"/>
          <w:iCs w:val="0"/>
          <w:lang w:val="el-GR"/>
        </w:rPr>
        <w:t xml:space="preserve">          </w:t>
      </w:r>
    </w:p>
    <w:p w:rsidR="006D2D93" w:rsidRPr="002518FB" w:rsidRDefault="006D2D93">
      <w:pPr>
        <w:rPr>
          <w:sz w:val="22"/>
          <w:lang w:val="el-GR"/>
        </w:rPr>
      </w:pPr>
    </w:p>
    <w:p w:rsidR="00CD18EC" w:rsidRPr="002518FB" w:rsidRDefault="007C1BC7" w:rsidP="00CD18EC">
      <w:pPr>
        <w:rPr>
          <w:sz w:val="22"/>
          <w:lang w:val="el-GR"/>
        </w:rPr>
      </w:pPr>
      <w:r w:rsidRPr="002518FB">
        <w:rPr>
          <w:sz w:val="22"/>
          <w:lang w:val="el-GR"/>
        </w:rPr>
        <w:t>Περίπου 7</w:t>
      </w:r>
      <w:r w:rsidR="00804D7D" w:rsidRPr="002518FB">
        <w:rPr>
          <w:sz w:val="22"/>
          <w:lang w:val="el-GR"/>
        </w:rPr>
        <w:t xml:space="preserve"> </w:t>
      </w:r>
      <w:r w:rsidRPr="002518FB">
        <w:rPr>
          <w:sz w:val="22"/>
          <w:lang w:val="el-GR"/>
        </w:rPr>
        <w:t>% των Καυκασ</w:t>
      </w:r>
      <w:r w:rsidR="00A70EAD" w:rsidRPr="002518FB">
        <w:rPr>
          <w:sz w:val="22"/>
          <w:lang w:val="el-GR"/>
        </w:rPr>
        <w:t>ίων</w:t>
      </w:r>
      <w:r w:rsidR="00CD18EC" w:rsidRPr="002518FB">
        <w:rPr>
          <w:sz w:val="22"/>
          <w:lang w:val="el-GR"/>
        </w:rPr>
        <w:t xml:space="preserve"> έχουν γ</w:t>
      </w:r>
      <w:r w:rsidR="00725692" w:rsidRPr="002518FB">
        <w:rPr>
          <w:sz w:val="22"/>
          <w:lang w:val="el-GR"/>
        </w:rPr>
        <w:t>ονό</w:t>
      </w:r>
      <w:r w:rsidR="00CD18EC" w:rsidRPr="002518FB">
        <w:rPr>
          <w:sz w:val="22"/>
          <w:lang w:val="el-GR"/>
        </w:rPr>
        <w:t>τυπο που αντιστοιχεί σε ένα μη λειτουργικό ένζυμο CYP2D6 (</w:t>
      </w:r>
      <w:r w:rsidR="00032B3F" w:rsidRPr="002518FB">
        <w:rPr>
          <w:sz w:val="22"/>
          <w:lang w:val="el-GR"/>
        </w:rPr>
        <w:t xml:space="preserve">οι </w:t>
      </w:r>
      <w:r w:rsidR="00CD18EC" w:rsidRPr="002518FB">
        <w:rPr>
          <w:sz w:val="22"/>
          <w:lang w:val="el-GR"/>
        </w:rPr>
        <w:t xml:space="preserve">αποκαλούμενοι </w:t>
      </w:r>
      <w:r w:rsidR="00032B3F" w:rsidRPr="002518FB">
        <w:rPr>
          <w:sz w:val="22"/>
          <w:lang w:val="el-GR"/>
        </w:rPr>
        <w:t xml:space="preserve">ως </w:t>
      </w:r>
      <w:r w:rsidR="00A70EAD" w:rsidRPr="002518FB">
        <w:rPr>
          <w:sz w:val="22"/>
          <w:lang w:val="el-GR"/>
        </w:rPr>
        <w:t>CYP2D6 π</w:t>
      </w:r>
      <w:r w:rsidR="00CD18EC" w:rsidRPr="002518FB">
        <w:rPr>
          <w:sz w:val="22"/>
          <w:lang w:val="el-GR"/>
        </w:rPr>
        <w:t>τωχ</w:t>
      </w:r>
      <w:r w:rsidR="00A70EAD" w:rsidRPr="002518FB">
        <w:rPr>
          <w:sz w:val="22"/>
          <w:lang w:val="el-GR"/>
        </w:rPr>
        <w:t xml:space="preserve">οί </w:t>
      </w:r>
      <w:proofErr w:type="spellStart"/>
      <w:r w:rsidR="00A70EAD" w:rsidRPr="002518FB">
        <w:rPr>
          <w:sz w:val="22"/>
          <w:lang w:val="el-GR"/>
        </w:rPr>
        <w:t>μεταβολιστέ</w:t>
      </w:r>
      <w:r w:rsidR="00CD18EC" w:rsidRPr="002518FB">
        <w:rPr>
          <w:sz w:val="22"/>
          <w:lang w:val="el-GR"/>
        </w:rPr>
        <w:t>ς</w:t>
      </w:r>
      <w:proofErr w:type="spellEnd"/>
      <w:r w:rsidR="00CD18EC" w:rsidRPr="002518FB">
        <w:rPr>
          <w:sz w:val="22"/>
          <w:lang w:val="el-GR"/>
        </w:rPr>
        <w:t>). Οι ασθενείς με τον</w:t>
      </w:r>
    </w:p>
    <w:p w:rsidR="00CD18EC" w:rsidRPr="002518FB" w:rsidRDefault="00CD18EC" w:rsidP="00CD18EC">
      <w:pPr>
        <w:rPr>
          <w:sz w:val="22"/>
          <w:lang w:val="el-GR"/>
        </w:rPr>
      </w:pPr>
      <w:r w:rsidRPr="002518FB">
        <w:rPr>
          <w:sz w:val="22"/>
          <w:lang w:val="el-GR"/>
        </w:rPr>
        <w:t>γ</w:t>
      </w:r>
      <w:r w:rsidR="00725692" w:rsidRPr="002518FB">
        <w:rPr>
          <w:sz w:val="22"/>
          <w:lang w:val="el-GR"/>
        </w:rPr>
        <w:t>ον</w:t>
      </w:r>
      <w:r w:rsidRPr="002518FB">
        <w:rPr>
          <w:sz w:val="22"/>
          <w:lang w:val="el-GR"/>
        </w:rPr>
        <w:t>ότυπο</w:t>
      </w:r>
      <w:r w:rsidR="00212DA3" w:rsidRPr="002518FB">
        <w:rPr>
          <w:sz w:val="22"/>
          <w:lang w:val="el-GR"/>
        </w:rPr>
        <w:t xml:space="preserve"> αυτό </w:t>
      </w:r>
      <w:r w:rsidRPr="002518FB">
        <w:rPr>
          <w:sz w:val="22"/>
          <w:lang w:val="el-GR"/>
        </w:rPr>
        <w:t xml:space="preserve">έχουν </w:t>
      </w:r>
      <w:r w:rsidR="00032B3F" w:rsidRPr="002518FB">
        <w:rPr>
          <w:sz w:val="22"/>
          <w:lang w:val="el-GR"/>
        </w:rPr>
        <w:t>αρκετά</w:t>
      </w:r>
      <w:r w:rsidR="007E0503" w:rsidRPr="002518FB">
        <w:rPr>
          <w:sz w:val="22"/>
          <w:lang w:val="el-GR"/>
        </w:rPr>
        <w:t xml:space="preserve"> υψηλότερη </w:t>
      </w:r>
      <w:r w:rsidRPr="002518FB">
        <w:rPr>
          <w:sz w:val="22"/>
          <w:lang w:val="el-GR"/>
        </w:rPr>
        <w:t xml:space="preserve">έκθεση στην </w:t>
      </w:r>
      <w:proofErr w:type="spellStart"/>
      <w:r w:rsidRPr="002518FB">
        <w:rPr>
          <w:sz w:val="22"/>
          <w:lang w:val="el-GR"/>
        </w:rPr>
        <w:t>ατομοξετίνη</w:t>
      </w:r>
      <w:proofErr w:type="spellEnd"/>
      <w:r w:rsidRPr="002518FB">
        <w:rPr>
          <w:sz w:val="22"/>
          <w:lang w:val="el-GR"/>
        </w:rPr>
        <w:t xml:space="preserve"> </w:t>
      </w:r>
      <w:r w:rsidR="007E0503" w:rsidRPr="002518FB">
        <w:rPr>
          <w:sz w:val="22"/>
          <w:lang w:val="el-GR"/>
        </w:rPr>
        <w:t>σε σύγκριση</w:t>
      </w:r>
      <w:r w:rsidRPr="002518FB">
        <w:rPr>
          <w:sz w:val="22"/>
          <w:lang w:val="el-GR"/>
        </w:rPr>
        <w:t xml:space="preserve"> με </w:t>
      </w:r>
      <w:r w:rsidR="00032B3F" w:rsidRPr="002518FB">
        <w:rPr>
          <w:sz w:val="22"/>
          <w:lang w:val="el-GR"/>
        </w:rPr>
        <w:t>εκείνους που έχουν</w:t>
      </w:r>
      <w:r w:rsidRPr="002518FB">
        <w:rPr>
          <w:sz w:val="22"/>
          <w:lang w:val="el-GR"/>
        </w:rPr>
        <w:t xml:space="preserve"> </w:t>
      </w:r>
      <w:r w:rsidR="007C1BC7" w:rsidRPr="002518FB">
        <w:rPr>
          <w:sz w:val="22"/>
          <w:lang w:val="el-GR"/>
        </w:rPr>
        <w:t xml:space="preserve">το </w:t>
      </w:r>
      <w:r w:rsidRPr="002518FB">
        <w:rPr>
          <w:sz w:val="22"/>
          <w:lang w:val="el-GR"/>
        </w:rPr>
        <w:t xml:space="preserve">λειτουργικό ένζυμο. </w:t>
      </w:r>
      <w:r w:rsidR="00A70EAD" w:rsidRPr="002518FB">
        <w:rPr>
          <w:sz w:val="22"/>
          <w:lang w:val="el-GR"/>
        </w:rPr>
        <w:t xml:space="preserve">Οι πτωχοί </w:t>
      </w:r>
      <w:proofErr w:type="spellStart"/>
      <w:r w:rsidR="00A70EAD" w:rsidRPr="002518FB">
        <w:rPr>
          <w:sz w:val="22"/>
          <w:lang w:val="el-GR"/>
        </w:rPr>
        <w:t>μεταβολιστέ</w:t>
      </w:r>
      <w:r w:rsidRPr="002518FB">
        <w:rPr>
          <w:sz w:val="22"/>
          <w:lang w:val="el-GR"/>
        </w:rPr>
        <w:t>ς</w:t>
      </w:r>
      <w:proofErr w:type="spellEnd"/>
      <w:r w:rsidRPr="002518FB">
        <w:rPr>
          <w:sz w:val="22"/>
          <w:lang w:val="el-GR"/>
        </w:rPr>
        <w:t xml:space="preserve"> </w:t>
      </w:r>
      <w:r w:rsidR="007C1BC7" w:rsidRPr="002518FB">
        <w:rPr>
          <w:sz w:val="22"/>
          <w:lang w:val="el-GR"/>
        </w:rPr>
        <w:t>έχουν</w:t>
      </w:r>
      <w:r w:rsidR="007E0503" w:rsidRPr="002518FB">
        <w:rPr>
          <w:sz w:val="22"/>
          <w:lang w:val="el-GR"/>
        </w:rPr>
        <w:t xml:space="preserve"> επομένως </w:t>
      </w:r>
      <w:r w:rsidRPr="002518FB">
        <w:rPr>
          <w:sz w:val="22"/>
          <w:lang w:val="el-GR"/>
        </w:rPr>
        <w:t>μεγαλ</w:t>
      </w:r>
      <w:r w:rsidR="007E0503" w:rsidRPr="002518FB">
        <w:rPr>
          <w:sz w:val="22"/>
          <w:lang w:val="el-GR"/>
        </w:rPr>
        <w:t xml:space="preserve">ύτερο κίνδυνο </w:t>
      </w:r>
      <w:r w:rsidR="007C1BC7" w:rsidRPr="002518FB">
        <w:rPr>
          <w:sz w:val="22"/>
          <w:lang w:val="el-GR"/>
        </w:rPr>
        <w:t>για ανεπιθύμητες ενέργειες</w:t>
      </w:r>
      <w:r w:rsidR="007E0503" w:rsidRPr="002518FB">
        <w:rPr>
          <w:sz w:val="22"/>
          <w:lang w:val="el-GR"/>
        </w:rPr>
        <w:t xml:space="preserve"> </w:t>
      </w:r>
      <w:r w:rsidRPr="002518FB">
        <w:rPr>
          <w:sz w:val="22"/>
          <w:lang w:val="el-GR"/>
        </w:rPr>
        <w:t xml:space="preserve">(βλέπε </w:t>
      </w:r>
      <w:r w:rsidR="00366FC3" w:rsidRPr="002518FB">
        <w:rPr>
          <w:sz w:val="22"/>
          <w:lang w:val="el-GR"/>
        </w:rPr>
        <w:t>παράγραφο</w:t>
      </w:r>
      <w:r w:rsidRPr="002518FB">
        <w:rPr>
          <w:sz w:val="22"/>
          <w:lang w:val="el-GR"/>
        </w:rPr>
        <w:t xml:space="preserve"> 4.8 και 5.2). Για τους ασθενείς με </w:t>
      </w:r>
      <w:r w:rsidR="00A70EAD" w:rsidRPr="002518FB">
        <w:rPr>
          <w:sz w:val="22"/>
          <w:lang w:val="el-GR"/>
        </w:rPr>
        <w:t xml:space="preserve">γνωστό </w:t>
      </w:r>
      <w:r w:rsidRPr="002518FB">
        <w:rPr>
          <w:sz w:val="22"/>
          <w:lang w:val="el-GR"/>
        </w:rPr>
        <w:t>γ</w:t>
      </w:r>
      <w:r w:rsidR="001C212B" w:rsidRPr="002518FB">
        <w:rPr>
          <w:sz w:val="22"/>
          <w:lang w:val="el-GR"/>
        </w:rPr>
        <w:t>ον</w:t>
      </w:r>
      <w:r w:rsidRPr="002518FB">
        <w:rPr>
          <w:sz w:val="22"/>
          <w:lang w:val="el-GR"/>
        </w:rPr>
        <w:t xml:space="preserve">ότυπο </w:t>
      </w:r>
      <w:r w:rsidR="00032B3F" w:rsidRPr="002518FB">
        <w:rPr>
          <w:sz w:val="22"/>
          <w:lang w:val="el-GR"/>
        </w:rPr>
        <w:t xml:space="preserve">πτωχού </w:t>
      </w:r>
      <w:r w:rsidR="00366FC3" w:rsidRPr="002518FB">
        <w:rPr>
          <w:sz w:val="22"/>
          <w:lang w:val="el-GR"/>
        </w:rPr>
        <w:t>μεταβολι</w:t>
      </w:r>
      <w:r w:rsidR="00032B3F" w:rsidRPr="002518FB">
        <w:rPr>
          <w:sz w:val="22"/>
          <w:lang w:val="el-GR"/>
        </w:rPr>
        <w:t>σμού</w:t>
      </w:r>
      <w:r w:rsidRPr="002518FB">
        <w:rPr>
          <w:sz w:val="22"/>
          <w:lang w:val="el-GR"/>
        </w:rPr>
        <w:t xml:space="preserve">, </w:t>
      </w:r>
      <w:r w:rsidR="007C1BC7" w:rsidRPr="002518FB">
        <w:rPr>
          <w:sz w:val="22"/>
          <w:lang w:val="el-GR"/>
        </w:rPr>
        <w:t xml:space="preserve">μπορεί </w:t>
      </w:r>
      <w:r w:rsidR="00A70EAD" w:rsidRPr="002518FB">
        <w:rPr>
          <w:sz w:val="22"/>
          <w:lang w:val="el-GR"/>
        </w:rPr>
        <w:t xml:space="preserve">να </w:t>
      </w:r>
      <w:r w:rsidR="00366FC3" w:rsidRPr="002518FB">
        <w:rPr>
          <w:sz w:val="22"/>
          <w:lang w:val="el-GR"/>
        </w:rPr>
        <w:t xml:space="preserve">εξεταστεί </w:t>
      </w:r>
      <w:r w:rsidR="002F1115" w:rsidRPr="002518FB">
        <w:rPr>
          <w:sz w:val="22"/>
          <w:lang w:val="el-GR"/>
        </w:rPr>
        <w:t xml:space="preserve">η έναρξη με </w:t>
      </w:r>
      <w:r w:rsidR="00366FC3" w:rsidRPr="002518FB">
        <w:rPr>
          <w:sz w:val="22"/>
          <w:lang w:val="el-GR"/>
        </w:rPr>
        <w:t xml:space="preserve">μια </w:t>
      </w:r>
      <w:r w:rsidRPr="002518FB">
        <w:rPr>
          <w:sz w:val="22"/>
          <w:lang w:val="el-GR"/>
        </w:rPr>
        <w:t>χα</w:t>
      </w:r>
      <w:r w:rsidR="00366FC3" w:rsidRPr="002518FB">
        <w:rPr>
          <w:sz w:val="22"/>
          <w:lang w:val="el-GR"/>
        </w:rPr>
        <w:t xml:space="preserve">μηλότερη δόση και μια </w:t>
      </w:r>
      <w:r w:rsidR="00A70EAD" w:rsidRPr="002518FB">
        <w:rPr>
          <w:sz w:val="22"/>
          <w:lang w:val="el-GR"/>
        </w:rPr>
        <w:t xml:space="preserve">βραδύτερη </w:t>
      </w:r>
      <w:proofErr w:type="spellStart"/>
      <w:r w:rsidR="00A70EAD" w:rsidRPr="002518FB">
        <w:rPr>
          <w:sz w:val="22"/>
          <w:lang w:val="el-GR"/>
        </w:rPr>
        <w:t>τιτλο</w:t>
      </w:r>
      <w:r w:rsidR="002F1115" w:rsidRPr="002518FB">
        <w:rPr>
          <w:sz w:val="22"/>
          <w:lang w:val="el-GR"/>
        </w:rPr>
        <w:t>πο</w:t>
      </w:r>
      <w:r w:rsidR="001C212B" w:rsidRPr="002518FB">
        <w:rPr>
          <w:sz w:val="22"/>
          <w:lang w:val="el-GR"/>
        </w:rPr>
        <w:t>ίη</w:t>
      </w:r>
      <w:r w:rsidR="002F1115" w:rsidRPr="002518FB">
        <w:rPr>
          <w:sz w:val="22"/>
          <w:lang w:val="el-GR"/>
        </w:rPr>
        <w:t>ση</w:t>
      </w:r>
      <w:proofErr w:type="spellEnd"/>
      <w:r w:rsidR="00366FC3" w:rsidRPr="002518FB">
        <w:rPr>
          <w:sz w:val="22"/>
          <w:lang w:val="el-GR"/>
        </w:rPr>
        <w:t>.</w:t>
      </w:r>
    </w:p>
    <w:p w:rsidR="006D2D93" w:rsidRPr="002518FB" w:rsidRDefault="006D2D93">
      <w:pPr>
        <w:pStyle w:val="EndnoteText"/>
        <w:tabs>
          <w:tab w:val="clear" w:pos="567"/>
        </w:tabs>
        <w:rPr>
          <w:lang w:val="el-GR"/>
        </w:rPr>
      </w:pPr>
    </w:p>
    <w:p w:rsidR="006D2D93" w:rsidRPr="002518FB" w:rsidRDefault="00182E6E">
      <w:pPr>
        <w:rPr>
          <w:sz w:val="22"/>
          <w:lang w:val="el-GR"/>
        </w:rPr>
      </w:pPr>
      <w:r w:rsidRPr="002518FB">
        <w:rPr>
          <w:i/>
          <w:sz w:val="22"/>
          <w:lang w:val="el-GR"/>
        </w:rPr>
        <w:t>Ηλικιωμένα άτομα:</w:t>
      </w:r>
      <w:r w:rsidRPr="002518FB">
        <w:rPr>
          <w:sz w:val="22"/>
          <w:lang w:val="el-GR"/>
        </w:rPr>
        <w:t xml:space="preserve"> η χρήση της </w:t>
      </w:r>
      <w:proofErr w:type="spellStart"/>
      <w:r w:rsidRPr="002518FB">
        <w:rPr>
          <w:sz w:val="22"/>
          <w:lang w:val="el-GR"/>
        </w:rPr>
        <w:t>ατομοξετίνης</w:t>
      </w:r>
      <w:proofErr w:type="spellEnd"/>
      <w:r w:rsidRPr="002518FB">
        <w:rPr>
          <w:sz w:val="22"/>
          <w:lang w:val="el-GR"/>
        </w:rPr>
        <w:t xml:space="preserve"> σε ασθενείς ηλικίας άνω των 65 ετών δεν έχει αξιολογηθεί συστηματικά</w:t>
      </w:r>
      <w:r w:rsidR="00602AB9" w:rsidRPr="002518FB">
        <w:rPr>
          <w:sz w:val="22"/>
          <w:lang w:val="el-GR"/>
        </w:rPr>
        <w:t>.</w:t>
      </w:r>
    </w:p>
    <w:p w:rsidR="006D2D93" w:rsidRPr="002518FB" w:rsidRDefault="006D2D93">
      <w:pPr>
        <w:rPr>
          <w:sz w:val="22"/>
          <w:lang w:val="el-GR"/>
        </w:rPr>
      </w:pPr>
    </w:p>
    <w:p w:rsidR="0039411A" w:rsidRPr="002518FB" w:rsidRDefault="0039411A" w:rsidP="0039411A">
      <w:pPr>
        <w:rPr>
          <w:b/>
          <w:sz w:val="22"/>
          <w:lang w:val="el-GR"/>
        </w:rPr>
      </w:pPr>
      <w:r w:rsidRPr="002518FB">
        <w:rPr>
          <w:b/>
          <w:sz w:val="22"/>
          <w:lang w:val="el-GR"/>
        </w:rPr>
        <w:t xml:space="preserve">Παιδιά ηλικίας </w:t>
      </w:r>
      <w:r w:rsidR="00956174" w:rsidRPr="002518FB">
        <w:rPr>
          <w:b/>
          <w:sz w:val="22"/>
          <w:lang w:val="el-GR"/>
        </w:rPr>
        <w:t>κάτω</w:t>
      </w:r>
      <w:r w:rsidR="00DD162B" w:rsidRPr="002518FB">
        <w:rPr>
          <w:b/>
          <w:sz w:val="22"/>
          <w:lang w:val="el-GR"/>
        </w:rPr>
        <w:t xml:space="preserve"> των </w:t>
      </w:r>
      <w:r w:rsidR="00956174" w:rsidRPr="002518FB">
        <w:rPr>
          <w:b/>
          <w:sz w:val="22"/>
          <w:lang w:val="el-GR"/>
        </w:rPr>
        <w:t>6</w:t>
      </w:r>
      <w:r w:rsidRPr="002518FB">
        <w:rPr>
          <w:b/>
          <w:sz w:val="22"/>
          <w:lang w:val="el-GR"/>
        </w:rPr>
        <w:t xml:space="preserve"> ετών:</w:t>
      </w:r>
    </w:p>
    <w:p w:rsidR="0039411A" w:rsidRPr="002518FB" w:rsidRDefault="0039411A" w:rsidP="0039411A">
      <w:pPr>
        <w:rPr>
          <w:sz w:val="22"/>
          <w:lang w:val="el-GR"/>
        </w:rPr>
      </w:pPr>
      <w:r w:rsidRPr="002518FB">
        <w:rPr>
          <w:sz w:val="22"/>
          <w:lang w:val="el-GR"/>
        </w:rPr>
        <w:t xml:space="preserve">Η ασφάλεια και η αποτελεσματικότητα του </w:t>
      </w:r>
      <w:proofErr w:type="spellStart"/>
      <w:r w:rsidR="000F3434" w:rsidRPr="002518FB">
        <w:rPr>
          <w:sz w:val="22"/>
          <w:lang w:val="el-GR"/>
        </w:rPr>
        <w:t>Strattera</w:t>
      </w:r>
      <w:proofErr w:type="spellEnd"/>
      <w:r w:rsidRPr="002518FB">
        <w:rPr>
          <w:iCs/>
          <w:sz w:val="22"/>
          <w:lang w:val="el-GR"/>
        </w:rPr>
        <w:t xml:space="preserve"> σε παιδιά ηλικίας</w:t>
      </w:r>
      <w:r w:rsidR="00686F65" w:rsidRPr="002518FB">
        <w:rPr>
          <w:iCs/>
          <w:sz w:val="22"/>
          <w:lang w:val="el-GR"/>
        </w:rPr>
        <w:t xml:space="preserve"> κάτω</w:t>
      </w:r>
      <w:r w:rsidRPr="002518FB">
        <w:rPr>
          <w:iCs/>
          <w:sz w:val="22"/>
          <w:lang w:val="el-GR"/>
        </w:rPr>
        <w:t xml:space="preserve"> των 6 ετών δεν έχουν τεκμηριωθεί. Επομένως, το </w:t>
      </w:r>
      <w:proofErr w:type="spellStart"/>
      <w:r w:rsidR="000F3434" w:rsidRPr="002518FB">
        <w:rPr>
          <w:sz w:val="22"/>
          <w:lang w:val="el-GR"/>
        </w:rPr>
        <w:t>Strattera</w:t>
      </w:r>
      <w:proofErr w:type="spellEnd"/>
      <w:r w:rsidRPr="002518FB">
        <w:rPr>
          <w:iCs/>
          <w:sz w:val="22"/>
          <w:lang w:val="el-GR"/>
        </w:rPr>
        <w:t xml:space="preserve"> δεν πρέπει να χορηγείται σε παιδιά ηλικίας μικρότερης των 6 ετών</w:t>
      </w:r>
      <w:r w:rsidR="003D57BC" w:rsidRPr="002518FB">
        <w:rPr>
          <w:iCs/>
          <w:sz w:val="22"/>
          <w:lang w:val="el-GR"/>
        </w:rPr>
        <w:t xml:space="preserve"> (βλέπε παράγραφο 4.4)</w:t>
      </w:r>
      <w:r w:rsidRPr="002518FB">
        <w:rPr>
          <w:iCs/>
          <w:sz w:val="22"/>
          <w:lang w:val="el-GR"/>
        </w:rPr>
        <w:t>.</w:t>
      </w:r>
    </w:p>
    <w:p w:rsidR="0039411A" w:rsidRPr="002518FB" w:rsidRDefault="0039411A">
      <w:pPr>
        <w:rPr>
          <w:sz w:val="22"/>
          <w:lang w:val="el-GR"/>
        </w:rPr>
      </w:pPr>
    </w:p>
    <w:p w:rsidR="006D2D93" w:rsidRPr="002518FB" w:rsidRDefault="006D2D93">
      <w:pPr>
        <w:ind w:left="567" w:hanging="567"/>
        <w:rPr>
          <w:sz w:val="22"/>
          <w:lang w:val="el-GR"/>
        </w:rPr>
      </w:pPr>
      <w:r w:rsidRPr="002518FB">
        <w:rPr>
          <w:b/>
          <w:sz w:val="22"/>
          <w:lang w:val="el-GR"/>
        </w:rPr>
        <w:t>4.3</w:t>
      </w:r>
      <w:r w:rsidRPr="002518FB">
        <w:rPr>
          <w:b/>
          <w:sz w:val="22"/>
          <w:lang w:val="el-GR"/>
        </w:rPr>
        <w:tab/>
        <w:t>Αντενδείξεις</w:t>
      </w:r>
    </w:p>
    <w:p w:rsidR="006D2D93" w:rsidRPr="002518FB" w:rsidRDefault="006D2D93">
      <w:pPr>
        <w:rPr>
          <w:sz w:val="22"/>
          <w:lang w:val="el-GR"/>
        </w:rPr>
      </w:pPr>
    </w:p>
    <w:p w:rsidR="006D2D93" w:rsidRPr="002518FB" w:rsidRDefault="00973B08">
      <w:pPr>
        <w:rPr>
          <w:sz w:val="22"/>
          <w:lang w:val="el-GR"/>
        </w:rPr>
      </w:pPr>
      <w:r w:rsidRPr="002518FB">
        <w:rPr>
          <w:sz w:val="22"/>
          <w:lang w:val="el-GR"/>
        </w:rPr>
        <w:t xml:space="preserve">Υπερευαισθησία </w:t>
      </w:r>
      <w:r w:rsidR="000A5345" w:rsidRPr="002518FB">
        <w:rPr>
          <w:sz w:val="22"/>
          <w:szCs w:val="22"/>
          <w:lang w:val="el-GR" w:eastAsia="el-GR"/>
        </w:rPr>
        <w:t>στη δραστική ουσία</w:t>
      </w:r>
      <w:r w:rsidRPr="002518FB">
        <w:rPr>
          <w:sz w:val="22"/>
          <w:lang w:val="el-GR"/>
        </w:rPr>
        <w:t xml:space="preserve"> ή σε κάποιο από τα έκδοχα</w:t>
      </w:r>
      <w:r w:rsidR="000A5345" w:rsidRPr="002518FB">
        <w:rPr>
          <w:sz w:val="22"/>
          <w:szCs w:val="22"/>
          <w:lang w:val="el-GR" w:eastAsia="el-GR"/>
        </w:rPr>
        <w:t xml:space="preserve"> που αναφέρονται στην παράγραφο 6.1</w:t>
      </w:r>
      <w:r w:rsidR="006D2D93" w:rsidRPr="002518FB">
        <w:rPr>
          <w:sz w:val="22"/>
          <w:lang w:val="el-GR"/>
        </w:rPr>
        <w:t>.</w:t>
      </w:r>
    </w:p>
    <w:p w:rsidR="000E1496" w:rsidRPr="002518FB" w:rsidRDefault="000E1496">
      <w:pPr>
        <w:rPr>
          <w:sz w:val="22"/>
          <w:lang w:val="el-GR"/>
        </w:rPr>
      </w:pPr>
    </w:p>
    <w:p w:rsidR="006D2D93" w:rsidRPr="002518FB" w:rsidRDefault="006D2D93">
      <w:pPr>
        <w:rPr>
          <w:sz w:val="22"/>
          <w:lang w:val="el-GR"/>
        </w:rPr>
      </w:pPr>
      <w:r w:rsidRPr="002518FB">
        <w:rPr>
          <w:sz w:val="22"/>
          <w:lang w:val="el-GR"/>
        </w:rPr>
        <w:lastRenderedPageBreak/>
        <w:t xml:space="preserve">Η </w:t>
      </w:r>
      <w:proofErr w:type="spellStart"/>
      <w:r w:rsidRPr="002518FB">
        <w:rPr>
          <w:sz w:val="22"/>
          <w:lang w:val="el-GR"/>
        </w:rPr>
        <w:t>ατομοξετίνη</w:t>
      </w:r>
      <w:proofErr w:type="spellEnd"/>
      <w:r w:rsidRPr="002518FB">
        <w:rPr>
          <w:sz w:val="22"/>
          <w:lang w:val="el-GR"/>
        </w:rPr>
        <w:t xml:space="preserve"> δεν πρέπει να χορηγείται σε συνδυασμό με τους αναστολείς της </w:t>
      </w:r>
      <w:proofErr w:type="spellStart"/>
      <w:r w:rsidRPr="002518FB">
        <w:rPr>
          <w:sz w:val="22"/>
          <w:lang w:val="el-GR"/>
        </w:rPr>
        <w:t>μονοαμινοξειδάσης</w:t>
      </w:r>
      <w:proofErr w:type="spellEnd"/>
      <w:r w:rsidRPr="002518FB">
        <w:rPr>
          <w:sz w:val="22"/>
          <w:lang w:val="el-GR"/>
        </w:rPr>
        <w:t xml:space="preserve"> (</w:t>
      </w:r>
      <w:r w:rsidR="000F3434" w:rsidRPr="002518FB">
        <w:rPr>
          <w:sz w:val="22"/>
          <w:lang w:val="el-GR"/>
        </w:rPr>
        <w:t>MAO</w:t>
      </w:r>
      <w:r w:rsidRPr="002518FB">
        <w:rPr>
          <w:sz w:val="22"/>
          <w:lang w:val="el-GR"/>
        </w:rPr>
        <w:t xml:space="preserve">Ι). Η </w:t>
      </w:r>
      <w:proofErr w:type="spellStart"/>
      <w:r w:rsidRPr="002518FB">
        <w:rPr>
          <w:sz w:val="22"/>
          <w:lang w:val="el-GR"/>
        </w:rPr>
        <w:t>ατομοξετίνη</w:t>
      </w:r>
      <w:proofErr w:type="spellEnd"/>
      <w:r w:rsidRPr="002518FB">
        <w:rPr>
          <w:sz w:val="22"/>
          <w:lang w:val="el-GR"/>
        </w:rPr>
        <w:t xml:space="preserve"> δεν πρέπει να χορηγείται πριν την παρέλευση τουλάχιστον 2 εβδομάδων από τη</w:t>
      </w:r>
      <w:r w:rsidR="00210DDF" w:rsidRPr="002518FB">
        <w:rPr>
          <w:sz w:val="22"/>
          <w:lang w:val="el-GR"/>
        </w:rPr>
        <w:t xml:space="preserve"> διακοπή της θεραπείας με οποιο</w:t>
      </w:r>
      <w:r w:rsidRPr="002518FB">
        <w:rPr>
          <w:sz w:val="22"/>
          <w:lang w:val="el-GR"/>
        </w:rPr>
        <w:t xml:space="preserve">δήποτε </w:t>
      </w:r>
      <w:r w:rsidR="000F3434" w:rsidRPr="002518FB">
        <w:rPr>
          <w:sz w:val="22"/>
          <w:lang w:val="el-GR"/>
        </w:rPr>
        <w:t>MAO</w:t>
      </w:r>
      <w:r w:rsidRPr="002518FB">
        <w:rPr>
          <w:sz w:val="22"/>
          <w:lang w:val="el-GR"/>
        </w:rPr>
        <w:t xml:space="preserve">Ι. Η θεραπεία με </w:t>
      </w:r>
      <w:r w:rsidR="000F3434" w:rsidRPr="002518FB">
        <w:rPr>
          <w:sz w:val="22"/>
          <w:lang w:val="el-GR"/>
        </w:rPr>
        <w:t>MAO</w:t>
      </w:r>
      <w:r w:rsidRPr="002518FB">
        <w:rPr>
          <w:sz w:val="22"/>
          <w:lang w:val="el-GR"/>
        </w:rPr>
        <w:t xml:space="preserve">Ι δεν πρέπει να αρχίζει πριν την παρέλευση 2 εβδομάδων μετά τη διακοπή της </w:t>
      </w:r>
      <w:proofErr w:type="spellStart"/>
      <w:r w:rsidRPr="002518FB">
        <w:rPr>
          <w:sz w:val="22"/>
          <w:lang w:val="el-GR"/>
        </w:rPr>
        <w:t>ατομοξετίνης</w:t>
      </w:r>
      <w:proofErr w:type="spellEnd"/>
      <w:r w:rsidRPr="002518FB">
        <w:rPr>
          <w:sz w:val="22"/>
          <w:lang w:val="el-GR"/>
        </w:rPr>
        <w:t>.</w:t>
      </w:r>
    </w:p>
    <w:p w:rsidR="000E1496" w:rsidRPr="002518FB" w:rsidRDefault="000E1496">
      <w:pPr>
        <w:rPr>
          <w:sz w:val="22"/>
          <w:lang w:val="el-GR"/>
        </w:rPr>
      </w:pPr>
    </w:p>
    <w:p w:rsidR="006D2D93" w:rsidRPr="002518FB" w:rsidRDefault="006D2D93">
      <w:pPr>
        <w:rPr>
          <w:sz w:val="22"/>
          <w:lang w:val="el-GR"/>
        </w:rPr>
      </w:pPr>
      <w:r w:rsidRPr="002518FB">
        <w:rPr>
          <w:snapToGrid w:val="0"/>
          <w:sz w:val="22"/>
          <w:lang w:val="el-GR"/>
        </w:rPr>
        <w:t xml:space="preserve">Η </w:t>
      </w:r>
      <w:proofErr w:type="spellStart"/>
      <w:r w:rsidRPr="002518FB">
        <w:rPr>
          <w:sz w:val="22"/>
          <w:lang w:val="el-GR"/>
        </w:rPr>
        <w:t>ατομοξετίνη</w:t>
      </w:r>
      <w:proofErr w:type="spellEnd"/>
      <w:r w:rsidRPr="002518FB">
        <w:rPr>
          <w:sz w:val="22"/>
          <w:lang w:val="el-GR"/>
        </w:rPr>
        <w:t xml:space="preserve"> δεν πρέπει να χορηγείται σε ασθενείς</w:t>
      </w:r>
      <w:r w:rsidRPr="002518FB">
        <w:rPr>
          <w:snapToGrid w:val="0"/>
          <w:sz w:val="22"/>
          <w:lang w:val="el-GR"/>
        </w:rPr>
        <w:t xml:space="preserve"> με γλαύκωμα κλειστής γωνίας, αφού στις κλινικές μελέτες η χρήση της </w:t>
      </w:r>
      <w:proofErr w:type="spellStart"/>
      <w:r w:rsidRPr="002518FB">
        <w:rPr>
          <w:snapToGrid w:val="0"/>
          <w:sz w:val="22"/>
          <w:lang w:val="el-GR"/>
        </w:rPr>
        <w:t>ατομοξετίνης</w:t>
      </w:r>
      <w:proofErr w:type="spellEnd"/>
      <w:r w:rsidRPr="002518FB">
        <w:rPr>
          <w:snapToGrid w:val="0"/>
          <w:sz w:val="22"/>
          <w:lang w:val="el-GR"/>
        </w:rPr>
        <w:t xml:space="preserve"> </w:t>
      </w:r>
      <w:r w:rsidRPr="002518FB">
        <w:rPr>
          <w:sz w:val="22"/>
          <w:lang w:val="el-GR"/>
        </w:rPr>
        <w:t>συσχετίστηκε με έναν αυξημένο κίνδυνο μυδρίασης.</w:t>
      </w:r>
    </w:p>
    <w:p w:rsidR="000B076C" w:rsidRPr="002518FB" w:rsidRDefault="000B076C">
      <w:pPr>
        <w:rPr>
          <w:sz w:val="22"/>
          <w:lang w:val="el-GR"/>
        </w:rPr>
      </w:pPr>
    </w:p>
    <w:p w:rsidR="00462913" w:rsidRPr="002518FB" w:rsidRDefault="000B076C" w:rsidP="00462913">
      <w:pPr>
        <w:rPr>
          <w:sz w:val="22"/>
          <w:lang w:val="el-GR"/>
        </w:rPr>
      </w:pPr>
      <w:r w:rsidRPr="002518FB">
        <w:rPr>
          <w:sz w:val="22"/>
          <w:lang w:val="el-GR"/>
        </w:rPr>
        <w:t xml:space="preserve">Η </w:t>
      </w:r>
      <w:proofErr w:type="spellStart"/>
      <w:r w:rsidRPr="002518FB">
        <w:rPr>
          <w:sz w:val="22"/>
          <w:lang w:val="el-GR"/>
        </w:rPr>
        <w:t>ατομοξετίνη</w:t>
      </w:r>
      <w:proofErr w:type="spellEnd"/>
      <w:r w:rsidRPr="002518FB">
        <w:rPr>
          <w:sz w:val="22"/>
          <w:lang w:val="el-GR"/>
        </w:rPr>
        <w:t xml:space="preserve"> δεν πρέπει να χορηγείται σε ασθενείς με σοβαρές καρδιαγγειακές διαταραχές </w:t>
      </w:r>
      <w:r w:rsidR="00A13CD8" w:rsidRPr="002518FB">
        <w:rPr>
          <w:sz w:val="22"/>
          <w:lang w:val="el-GR"/>
        </w:rPr>
        <w:t>ή διαταραχές των αγγείων του εγκεφάλου</w:t>
      </w:r>
      <w:r w:rsidR="00462913" w:rsidRPr="002518FB">
        <w:rPr>
          <w:sz w:val="22"/>
          <w:lang w:val="el-GR"/>
        </w:rPr>
        <w:t xml:space="preserve"> [Βλέπε 4.4 Ειδικές προειδοποιήσεις και προφυλάξεις κατά τη χρήση - </w:t>
      </w:r>
      <w:r w:rsidR="00462913" w:rsidRPr="002518FB">
        <w:rPr>
          <w:snapToGrid w:val="0"/>
          <w:sz w:val="22"/>
          <w:lang w:val="el-GR"/>
        </w:rPr>
        <w:t xml:space="preserve">Καρδιαγγειακές επιδράσεις]. </w:t>
      </w:r>
      <w:r w:rsidR="00115203" w:rsidRPr="002518FB">
        <w:rPr>
          <w:snapToGrid w:val="0"/>
          <w:sz w:val="22"/>
          <w:lang w:val="el-GR"/>
        </w:rPr>
        <w:t xml:space="preserve">Σοβαρές καρδιαγγειακές διαταραχές μπορεί να περιλαμβάνουν σοβαρή υπέρταση, καρδιακή ανεπάρκεια, αρτηριακή αποφρακτική νόσος, στηθάγχη, </w:t>
      </w:r>
      <w:proofErr w:type="spellStart"/>
      <w:r w:rsidR="00115203" w:rsidRPr="002518FB">
        <w:rPr>
          <w:snapToGrid w:val="0"/>
          <w:sz w:val="22"/>
          <w:lang w:val="el-GR"/>
        </w:rPr>
        <w:t>αιμοδυναμικά</w:t>
      </w:r>
      <w:proofErr w:type="spellEnd"/>
      <w:r w:rsidR="00115203" w:rsidRPr="002518FB">
        <w:rPr>
          <w:snapToGrid w:val="0"/>
          <w:sz w:val="22"/>
          <w:lang w:val="el-GR"/>
        </w:rPr>
        <w:t xml:space="preserve"> σημαντική συγγενή καρδιοπάθεια, </w:t>
      </w:r>
      <w:proofErr w:type="spellStart"/>
      <w:r w:rsidR="00115203" w:rsidRPr="002518FB">
        <w:rPr>
          <w:snapToGrid w:val="0"/>
          <w:sz w:val="22"/>
          <w:lang w:val="el-GR"/>
        </w:rPr>
        <w:t>καρδιομυοπάθεια</w:t>
      </w:r>
      <w:proofErr w:type="spellEnd"/>
      <w:r w:rsidR="00E0516D" w:rsidRPr="002518FB">
        <w:rPr>
          <w:snapToGrid w:val="0"/>
          <w:sz w:val="22"/>
          <w:lang w:val="el-GR"/>
        </w:rPr>
        <w:t xml:space="preserve">, έμφραγμα του μυοκαρδίου, δυνητικά απειλητικές για τη ζωή αρρυθμίες και </w:t>
      </w:r>
      <w:proofErr w:type="spellStart"/>
      <w:r w:rsidR="00A4385A" w:rsidRPr="002518FB">
        <w:rPr>
          <w:snapToGrid w:val="0"/>
          <w:sz w:val="22"/>
          <w:lang w:val="el-GR"/>
        </w:rPr>
        <w:t>διαυλοπάθειες</w:t>
      </w:r>
      <w:proofErr w:type="spellEnd"/>
      <w:r w:rsidR="00E0516D" w:rsidRPr="002518FB">
        <w:rPr>
          <w:snapToGrid w:val="0"/>
          <w:sz w:val="22"/>
          <w:lang w:val="el-GR"/>
        </w:rPr>
        <w:t xml:space="preserve"> (διαταραχές που προκαλούνται από τη δυσλειτουργία των </w:t>
      </w:r>
      <w:r w:rsidR="00A4385A" w:rsidRPr="002518FB">
        <w:rPr>
          <w:snapToGrid w:val="0"/>
          <w:sz w:val="22"/>
          <w:lang w:val="el-GR"/>
        </w:rPr>
        <w:t>διαύλων</w:t>
      </w:r>
      <w:r w:rsidR="00E0516D" w:rsidRPr="002518FB">
        <w:rPr>
          <w:snapToGrid w:val="0"/>
          <w:sz w:val="22"/>
          <w:lang w:val="el-GR"/>
        </w:rPr>
        <w:t xml:space="preserve"> των ιόντων)</w:t>
      </w:r>
      <w:r w:rsidR="00A13CD8" w:rsidRPr="002518FB">
        <w:rPr>
          <w:snapToGrid w:val="0"/>
          <w:sz w:val="22"/>
          <w:lang w:val="el-GR"/>
        </w:rPr>
        <w:t>. Σοβαρές διαταραχές των αγγείων του εγκεφάλου μπορεί να περιλαμβάνουν ανεύρυσμα εγκεφάλου ή εγκεφαλικό επεισόδιο</w:t>
      </w:r>
      <w:r w:rsidR="00E0516D" w:rsidRPr="002518FB">
        <w:rPr>
          <w:snapToGrid w:val="0"/>
          <w:sz w:val="22"/>
          <w:lang w:val="el-GR"/>
        </w:rPr>
        <w:t>.</w:t>
      </w:r>
    </w:p>
    <w:p w:rsidR="006D2D93" w:rsidRPr="002518FB" w:rsidRDefault="006D2D93">
      <w:pPr>
        <w:rPr>
          <w:sz w:val="22"/>
          <w:lang w:val="el-GR"/>
        </w:rPr>
      </w:pPr>
    </w:p>
    <w:p w:rsidR="006B1235" w:rsidRPr="002518FB" w:rsidRDefault="006B1235">
      <w:pPr>
        <w:ind w:left="567" w:hanging="567"/>
        <w:rPr>
          <w:sz w:val="22"/>
          <w:lang w:val="el-GR"/>
        </w:rPr>
      </w:pPr>
      <w:r w:rsidRPr="002518FB">
        <w:rPr>
          <w:sz w:val="22"/>
          <w:lang w:val="el-GR"/>
        </w:rPr>
        <w:t xml:space="preserve">Η </w:t>
      </w:r>
      <w:proofErr w:type="spellStart"/>
      <w:r w:rsidRPr="002518FB">
        <w:rPr>
          <w:sz w:val="22"/>
          <w:lang w:val="el-GR"/>
        </w:rPr>
        <w:t>ατομοξετίνη</w:t>
      </w:r>
      <w:proofErr w:type="spellEnd"/>
      <w:r w:rsidRPr="002518FB">
        <w:rPr>
          <w:sz w:val="22"/>
          <w:lang w:val="el-GR"/>
        </w:rPr>
        <w:t xml:space="preserve"> δεν πρέπει να χορηγείται σε ασθενείς με </w:t>
      </w:r>
      <w:proofErr w:type="spellStart"/>
      <w:r w:rsidRPr="002518FB">
        <w:rPr>
          <w:sz w:val="22"/>
          <w:lang w:val="el-GR"/>
        </w:rPr>
        <w:t>φαιοχρωμοκύττωμα</w:t>
      </w:r>
      <w:proofErr w:type="spellEnd"/>
      <w:r w:rsidRPr="002518FB">
        <w:rPr>
          <w:sz w:val="22"/>
          <w:lang w:val="el-GR"/>
        </w:rPr>
        <w:t xml:space="preserve"> ή ιστορικό</w:t>
      </w:r>
    </w:p>
    <w:p w:rsidR="006B1235" w:rsidRPr="002518FB" w:rsidRDefault="006B1235">
      <w:pPr>
        <w:ind w:left="567" w:hanging="567"/>
        <w:rPr>
          <w:sz w:val="22"/>
          <w:lang w:val="el-GR"/>
        </w:rPr>
      </w:pPr>
      <w:proofErr w:type="spellStart"/>
      <w:r w:rsidRPr="002518FB">
        <w:rPr>
          <w:sz w:val="22"/>
          <w:lang w:val="el-GR"/>
        </w:rPr>
        <w:t>φαιοχρωμοκυττώματος</w:t>
      </w:r>
      <w:proofErr w:type="spellEnd"/>
      <w:r w:rsidRPr="002518FB">
        <w:rPr>
          <w:sz w:val="22"/>
          <w:lang w:val="el-GR"/>
        </w:rPr>
        <w:t xml:space="preserve"> (Βλέπε παράγραφο 4.4 Ειδικές προειδοποιήσεις και προφυλάξεις</w:t>
      </w:r>
    </w:p>
    <w:p w:rsidR="006B1235" w:rsidRPr="002518FB" w:rsidRDefault="006B1235">
      <w:pPr>
        <w:ind w:left="567" w:hanging="567"/>
        <w:rPr>
          <w:sz w:val="22"/>
          <w:lang w:val="el-GR"/>
        </w:rPr>
      </w:pPr>
      <w:r w:rsidRPr="002518FB">
        <w:rPr>
          <w:sz w:val="22"/>
          <w:lang w:val="el-GR"/>
        </w:rPr>
        <w:t xml:space="preserve">κατά τη χρήση - </w:t>
      </w:r>
      <w:r w:rsidRPr="002518FB">
        <w:rPr>
          <w:snapToGrid w:val="0"/>
          <w:sz w:val="22"/>
          <w:lang w:val="el-GR"/>
        </w:rPr>
        <w:t>Καρδιαγγειακές επιδράσεις).</w:t>
      </w:r>
    </w:p>
    <w:p w:rsidR="006B1235" w:rsidRPr="002518FB" w:rsidRDefault="006B1235" w:rsidP="006B1235">
      <w:pPr>
        <w:rPr>
          <w:b/>
          <w:sz w:val="22"/>
          <w:lang w:val="el-GR"/>
        </w:rPr>
      </w:pPr>
    </w:p>
    <w:p w:rsidR="006D2D93" w:rsidRPr="002518FB" w:rsidRDefault="006D2D93">
      <w:pPr>
        <w:ind w:left="567" w:hanging="567"/>
        <w:rPr>
          <w:sz w:val="22"/>
          <w:lang w:val="el-GR"/>
        </w:rPr>
      </w:pPr>
      <w:r w:rsidRPr="002518FB">
        <w:rPr>
          <w:b/>
          <w:sz w:val="22"/>
          <w:lang w:val="el-GR"/>
        </w:rPr>
        <w:t>4.4</w:t>
      </w:r>
      <w:r w:rsidRPr="002518FB">
        <w:rPr>
          <w:b/>
          <w:sz w:val="22"/>
          <w:lang w:val="el-GR"/>
        </w:rPr>
        <w:tab/>
        <w:t>Ειδικές προειδοποιήσεις και προφυλάξεις κατά τη χρήση</w:t>
      </w:r>
    </w:p>
    <w:p w:rsidR="006D2D93" w:rsidRPr="002518FB" w:rsidRDefault="006D2D93">
      <w:pPr>
        <w:rPr>
          <w:sz w:val="22"/>
          <w:lang w:val="el-GR"/>
        </w:rPr>
      </w:pPr>
    </w:p>
    <w:p w:rsidR="00855E6C" w:rsidRPr="002518FB" w:rsidRDefault="00855E6C" w:rsidP="00855E6C">
      <w:pPr>
        <w:rPr>
          <w:snapToGrid w:val="0"/>
          <w:sz w:val="22"/>
          <w:u w:val="single"/>
          <w:lang w:val="el-GR"/>
        </w:rPr>
      </w:pPr>
      <w:r w:rsidRPr="002518FB">
        <w:rPr>
          <w:snapToGrid w:val="0"/>
          <w:sz w:val="22"/>
          <w:u w:val="single"/>
          <w:lang w:val="el-GR"/>
        </w:rPr>
        <w:t>Αυτοκτονική συμπεριφορά</w:t>
      </w:r>
    </w:p>
    <w:p w:rsidR="00855E6C" w:rsidRPr="002518FB" w:rsidRDefault="00855E6C" w:rsidP="00855E6C">
      <w:pPr>
        <w:rPr>
          <w:sz w:val="22"/>
          <w:szCs w:val="22"/>
          <w:lang w:val="el-GR"/>
        </w:rPr>
      </w:pPr>
      <w:r w:rsidRPr="002518FB">
        <w:rPr>
          <w:snapToGrid w:val="0"/>
          <w:sz w:val="22"/>
          <w:lang w:val="el-GR"/>
        </w:rPr>
        <w:t>Η εμφάνιση αυτοκτονικής συμπεριφοράς (απόπειρες αυτοκτονίας και αυτοκτονικός ιδεασμός) αναφέρθηκε σε ασθενείς που λάμβαναν</w:t>
      </w:r>
      <w:r w:rsidR="00A4385A" w:rsidRPr="002518FB">
        <w:rPr>
          <w:snapToGrid w:val="0"/>
          <w:sz w:val="22"/>
          <w:lang w:val="el-GR"/>
        </w:rPr>
        <w:t xml:space="preserve"> αγωγή με </w:t>
      </w:r>
      <w:proofErr w:type="spellStart"/>
      <w:r w:rsidR="00A4385A" w:rsidRPr="002518FB">
        <w:rPr>
          <w:snapToGrid w:val="0"/>
          <w:sz w:val="22"/>
          <w:lang w:val="el-GR"/>
        </w:rPr>
        <w:t>ατομοξετίνη</w:t>
      </w:r>
      <w:proofErr w:type="spellEnd"/>
      <w:r w:rsidR="00A4385A" w:rsidRPr="002518FB">
        <w:rPr>
          <w:snapToGrid w:val="0"/>
          <w:sz w:val="22"/>
          <w:lang w:val="el-GR"/>
        </w:rPr>
        <w:t>. Σε διπλά</w:t>
      </w:r>
      <w:r w:rsidRPr="002518FB">
        <w:rPr>
          <w:snapToGrid w:val="0"/>
          <w:sz w:val="22"/>
          <w:lang w:val="el-GR"/>
        </w:rPr>
        <w:t xml:space="preserve"> τυφλές κλινικές μελέτες, η αυτοκτονική συμπεριφορά δεν ήταν συχνή</w:t>
      </w:r>
      <w:r w:rsidR="00A4385A" w:rsidRPr="002518FB">
        <w:rPr>
          <w:snapToGrid w:val="0"/>
          <w:sz w:val="22"/>
          <w:lang w:val="el-GR"/>
        </w:rPr>
        <w:t>,</w:t>
      </w:r>
      <w:r w:rsidRPr="002518FB">
        <w:rPr>
          <w:snapToGrid w:val="0"/>
          <w:sz w:val="22"/>
          <w:lang w:val="el-GR"/>
        </w:rPr>
        <w:t xml:space="preserve"> αλλά παρατηρήθηκε πιο συχνά ανάμεσα σε παιδιά και εφήβους που λάμβαναν </w:t>
      </w:r>
      <w:proofErr w:type="spellStart"/>
      <w:r w:rsidRPr="002518FB">
        <w:rPr>
          <w:snapToGrid w:val="0"/>
          <w:sz w:val="22"/>
          <w:lang w:val="el-GR"/>
        </w:rPr>
        <w:t>ατομοξετίνη</w:t>
      </w:r>
      <w:proofErr w:type="spellEnd"/>
      <w:r w:rsidRPr="002518FB">
        <w:rPr>
          <w:snapToGrid w:val="0"/>
          <w:sz w:val="22"/>
          <w:lang w:val="el-GR"/>
        </w:rPr>
        <w:t xml:space="preserve"> σε σύγκριση με εκείνα που λάμβαναν εικονικό φάρμακο, τα οποία δεν είχαν παρουσιάσει αντίστοιχα </w:t>
      </w:r>
      <w:proofErr w:type="spellStart"/>
      <w:r w:rsidRPr="002518FB">
        <w:rPr>
          <w:snapToGrid w:val="0"/>
          <w:sz w:val="22"/>
          <w:lang w:val="el-GR"/>
        </w:rPr>
        <w:t>συμβάματα</w:t>
      </w:r>
      <w:proofErr w:type="spellEnd"/>
      <w:r w:rsidRPr="002518FB">
        <w:rPr>
          <w:snapToGrid w:val="0"/>
          <w:sz w:val="22"/>
          <w:lang w:val="el-GR"/>
        </w:rPr>
        <w:t xml:space="preserve">. </w:t>
      </w:r>
      <w:r w:rsidR="0059319B" w:rsidRPr="002518FB">
        <w:rPr>
          <w:rFonts w:eastAsia="Calibri"/>
          <w:sz w:val="22"/>
          <w:lang w:val="el-GR" w:eastAsia="el-GR"/>
        </w:rPr>
        <w:t xml:space="preserve">Σε διπλά τυφλές κλινικές μελέτες </w:t>
      </w:r>
      <w:r w:rsidR="003F6D20" w:rsidRPr="002518FB">
        <w:rPr>
          <w:rFonts w:eastAsia="Calibri"/>
          <w:sz w:val="22"/>
          <w:lang w:val="el-GR" w:eastAsia="el-GR"/>
        </w:rPr>
        <w:t>ενηλίκων</w:t>
      </w:r>
      <w:r w:rsidR="0059319B" w:rsidRPr="002518FB">
        <w:rPr>
          <w:rFonts w:eastAsia="Calibri"/>
          <w:sz w:val="22"/>
          <w:lang w:val="el-GR" w:eastAsia="el-GR"/>
        </w:rPr>
        <w:t xml:space="preserve">, δεν παρατηρήθηκε διαφορά στη συχνότητα αυτοκτονικής συμπεριφοράς μεταξύ της </w:t>
      </w:r>
      <w:proofErr w:type="spellStart"/>
      <w:r w:rsidR="0059319B" w:rsidRPr="002518FB">
        <w:rPr>
          <w:rFonts w:eastAsia="Calibri"/>
          <w:sz w:val="22"/>
          <w:lang w:val="el-GR" w:eastAsia="el-GR"/>
        </w:rPr>
        <w:t>ατομοξετίνης</w:t>
      </w:r>
      <w:proofErr w:type="spellEnd"/>
      <w:r w:rsidR="0059319B" w:rsidRPr="002518FB">
        <w:rPr>
          <w:rFonts w:eastAsia="Calibri"/>
          <w:sz w:val="22"/>
          <w:lang w:val="el-GR" w:eastAsia="el-GR"/>
        </w:rPr>
        <w:t xml:space="preserve"> και του εικονικού φαρμάκου. </w:t>
      </w:r>
      <w:r w:rsidRPr="002518FB">
        <w:rPr>
          <w:snapToGrid w:val="0"/>
          <w:sz w:val="22"/>
          <w:lang w:val="el-GR"/>
        </w:rPr>
        <w:t xml:space="preserve">Οι ασθενείς που θεραπεύονται για τη ΔΕΠΥ πρέπει να παρακολουθούνται με προσοχή </w:t>
      </w:r>
      <w:r w:rsidRPr="002518FB">
        <w:rPr>
          <w:sz w:val="22"/>
          <w:szCs w:val="22"/>
          <w:lang w:val="el-GR"/>
        </w:rPr>
        <w:t>για την εμφάνιση ή επιδείνωση της αυτοκτονικής συμπεριφοράς.</w:t>
      </w:r>
    </w:p>
    <w:p w:rsidR="006D2D93" w:rsidRPr="002518FB" w:rsidRDefault="006D2D93">
      <w:pPr>
        <w:pStyle w:val="BodyText"/>
        <w:rPr>
          <w:bCs w:val="0"/>
          <w:iCs w:val="0"/>
          <w:lang w:val="el-GR"/>
        </w:rPr>
      </w:pPr>
    </w:p>
    <w:p w:rsidR="00E859BF" w:rsidRPr="002518FB" w:rsidRDefault="00E859BF">
      <w:pPr>
        <w:rPr>
          <w:snapToGrid w:val="0"/>
          <w:sz w:val="22"/>
          <w:u w:val="single"/>
          <w:lang w:val="el-GR"/>
        </w:rPr>
      </w:pPr>
      <w:r w:rsidRPr="002518FB">
        <w:rPr>
          <w:snapToGrid w:val="0"/>
          <w:sz w:val="22"/>
          <w:u w:val="single"/>
          <w:lang w:val="el-GR"/>
        </w:rPr>
        <w:t xml:space="preserve">Αιφνίδιος θάνατος </w:t>
      </w:r>
      <w:r w:rsidR="00CF123C" w:rsidRPr="002518FB">
        <w:rPr>
          <w:snapToGrid w:val="0"/>
          <w:sz w:val="22"/>
          <w:u w:val="single"/>
          <w:lang w:val="el-GR"/>
        </w:rPr>
        <w:t xml:space="preserve">σε ασθενείς με </w:t>
      </w:r>
      <w:r w:rsidR="00587B7A" w:rsidRPr="002518FB">
        <w:rPr>
          <w:snapToGrid w:val="0"/>
          <w:sz w:val="22"/>
          <w:u w:val="single"/>
          <w:lang w:val="el-GR"/>
        </w:rPr>
        <w:t>προϋπάρχουσες καρδιακές ανωμαλίες</w:t>
      </w:r>
    </w:p>
    <w:p w:rsidR="00E859BF" w:rsidRPr="002518FB" w:rsidRDefault="00015753">
      <w:pPr>
        <w:rPr>
          <w:snapToGrid w:val="0"/>
          <w:sz w:val="22"/>
          <w:lang w:val="el-GR"/>
        </w:rPr>
      </w:pPr>
      <w:r w:rsidRPr="002518FB">
        <w:rPr>
          <w:snapToGrid w:val="0"/>
          <w:sz w:val="22"/>
          <w:lang w:val="el-GR"/>
        </w:rPr>
        <w:t xml:space="preserve">Σε </w:t>
      </w:r>
      <w:r w:rsidR="00483E4B" w:rsidRPr="002518FB">
        <w:rPr>
          <w:snapToGrid w:val="0"/>
          <w:sz w:val="22"/>
          <w:lang w:val="el-GR"/>
        </w:rPr>
        <w:t>ασθενείς</w:t>
      </w:r>
      <w:r w:rsidRPr="002518FB">
        <w:rPr>
          <w:snapToGrid w:val="0"/>
          <w:sz w:val="22"/>
          <w:lang w:val="el-GR"/>
        </w:rPr>
        <w:t xml:space="preserve"> με ανατομικές καρδιακές ανωμαλίες που λάμβαναν </w:t>
      </w:r>
      <w:proofErr w:type="spellStart"/>
      <w:r w:rsidRPr="002518FB">
        <w:rPr>
          <w:snapToGrid w:val="0"/>
          <w:sz w:val="22"/>
          <w:lang w:val="el-GR"/>
        </w:rPr>
        <w:t>ατομοξετίνη</w:t>
      </w:r>
      <w:proofErr w:type="spellEnd"/>
      <w:r w:rsidRPr="002518FB">
        <w:rPr>
          <w:snapToGrid w:val="0"/>
          <w:sz w:val="22"/>
          <w:lang w:val="el-GR"/>
        </w:rPr>
        <w:t xml:space="preserve"> σε συνήθη δοσολογία έχει αναφερθεί αιφνίδιος θάνατος.</w:t>
      </w:r>
      <w:r w:rsidR="00E50156" w:rsidRPr="002518FB">
        <w:rPr>
          <w:snapToGrid w:val="0"/>
          <w:sz w:val="22"/>
          <w:lang w:val="el-GR"/>
        </w:rPr>
        <w:t xml:space="preserve"> Παρόλο που κάποιες σοβαρές ανατομικές καρδιακές ανωμαλίες από μόνες τους φέρουν αυξημένο κίνδυνο για αιφνίδιο θάνατο, η </w:t>
      </w:r>
      <w:proofErr w:type="spellStart"/>
      <w:r w:rsidR="00E50156" w:rsidRPr="002518FB">
        <w:rPr>
          <w:snapToGrid w:val="0"/>
          <w:sz w:val="22"/>
          <w:lang w:val="el-GR"/>
        </w:rPr>
        <w:t>ατομοξετίνη</w:t>
      </w:r>
      <w:proofErr w:type="spellEnd"/>
      <w:r w:rsidR="00E50156" w:rsidRPr="002518FB">
        <w:rPr>
          <w:snapToGrid w:val="0"/>
          <w:sz w:val="22"/>
          <w:lang w:val="el-GR"/>
        </w:rPr>
        <w:t xml:space="preserve"> θα πρέπει να χρησιμοποιείται με προσοχή σε </w:t>
      </w:r>
      <w:r w:rsidR="00963156" w:rsidRPr="002518FB">
        <w:rPr>
          <w:snapToGrid w:val="0"/>
          <w:sz w:val="22"/>
          <w:lang w:val="el-GR"/>
        </w:rPr>
        <w:t xml:space="preserve">ασθενείς </w:t>
      </w:r>
      <w:r w:rsidR="00E50156" w:rsidRPr="002518FB">
        <w:rPr>
          <w:snapToGrid w:val="0"/>
          <w:sz w:val="22"/>
          <w:lang w:val="el-GR"/>
        </w:rPr>
        <w:t xml:space="preserve">με γνωστές σοβαρές ανατομικές καρδιακές ανωμαλίες και </w:t>
      </w:r>
      <w:r w:rsidR="00487957" w:rsidRPr="002518FB">
        <w:rPr>
          <w:snapToGrid w:val="0"/>
          <w:sz w:val="22"/>
          <w:lang w:val="el-GR"/>
        </w:rPr>
        <w:t>με τη συμβουλή</w:t>
      </w:r>
      <w:r w:rsidR="001045ED" w:rsidRPr="002518FB">
        <w:rPr>
          <w:snapToGrid w:val="0"/>
          <w:sz w:val="22"/>
          <w:lang w:val="el-GR"/>
        </w:rPr>
        <w:t xml:space="preserve"> ειδικού </w:t>
      </w:r>
      <w:r w:rsidR="00EC7674" w:rsidRPr="002518FB">
        <w:rPr>
          <w:snapToGrid w:val="0"/>
          <w:sz w:val="22"/>
          <w:lang w:val="el-GR"/>
        </w:rPr>
        <w:t>καρδιολόγου.</w:t>
      </w:r>
    </w:p>
    <w:p w:rsidR="00E859BF" w:rsidRPr="002518FB" w:rsidRDefault="00E859BF">
      <w:pPr>
        <w:rPr>
          <w:snapToGrid w:val="0"/>
          <w:sz w:val="22"/>
          <w:lang w:val="el-GR"/>
        </w:rPr>
      </w:pPr>
    </w:p>
    <w:p w:rsidR="00E859BF" w:rsidRPr="002518FB" w:rsidRDefault="00E859BF">
      <w:pPr>
        <w:rPr>
          <w:snapToGrid w:val="0"/>
          <w:sz w:val="22"/>
          <w:u w:val="single"/>
          <w:lang w:val="el-GR"/>
        </w:rPr>
      </w:pPr>
      <w:r w:rsidRPr="002518FB">
        <w:rPr>
          <w:snapToGrid w:val="0"/>
          <w:sz w:val="22"/>
          <w:u w:val="single"/>
          <w:lang w:val="el-GR"/>
        </w:rPr>
        <w:t xml:space="preserve">Καρδιαγγειακές </w:t>
      </w:r>
      <w:r w:rsidR="001927CC" w:rsidRPr="002518FB">
        <w:rPr>
          <w:snapToGrid w:val="0"/>
          <w:sz w:val="22"/>
          <w:u w:val="single"/>
          <w:lang w:val="el-GR"/>
        </w:rPr>
        <w:t>επιδράσεις</w:t>
      </w:r>
    </w:p>
    <w:p w:rsidR="00855E6C" w:rsidRPr="002518FB" w:rsidRDefault="000F3434">
      <w:pPr>
        <w:rPr>
          <w:snapToGrid w:val="0"/>
          <w:sz w:val="22"/>
          <w:lang w:val="el-GR"/>
        </w:rPr>
      </w:pPr>
      <w:r w:rsidRPr="002518FB">
        <w:rPr>
          <w:sz w:val="22"/>
          <w:lang w:val="el-GR"/>
        </w:rPr>
        <w:t>H</w:t>
      </w:r>
      <w:r w:rsidR="00855E6C" w:rsidRPr="002518FB">
        <w:rPr>
          <w:snapToGrid w:val="0"/>
          <w:sz w:val="22"/>
          <w:lang w:val="el-GR"/>
        </w:rPr>
        <w:t xml:space="preserve"> χορήγηση της </w:t>
      </w:r>
      <w:proofErr w:type="spellStart"/>
      <w:r w:rsidR="00855E6C" w:rsidRPr="002518FB">
        <w:rPr>
          <w:snapToGrid w:val="0"/>
          <w:sz w:val="22"/>
          <w:lang w:val="el-GR"/>
        </w:rPr>
        <w:t>ατομοξετίνης</w:t>
      </w:r>
      <w:proofErr w:type="spellEnd"/>
      <w:r w:rsidR="00855E6C" w:rsidRPr="002518FB">
        <w:rPr>
          <w:snapToGrid w:val="0"/>
          <w:sz w:val="22"/>
          <w:lang w:val="el-GR"/>
        </w:rPr>
        <w:t xml:space="preserve"> μπορεί να</w:t>
      </w:r>
      <w:r w:rsidR="000A5671" w:rsidRPr="002518FB">
        <w:rPr>
          <w:snapToGrid w:val="0"/>
          <w:sz w:val="22"/>
          <w:lang w:val="el-GR"/>
        </w:rPr>
        <w:t xml:space="preserve"> επηρεάσει τον καρδιακό ρυθμό και την αρτηριακή πίεση.</w:t>
      </w:r>
    </w:p>
    <w:p w:rsidR="00855E6C" w:rsidRPr="002518FB" w:rsidRDefault="00855E6C">
      <w:pPr>
        <w:rPr>
          <w:snapToGrid w:val="0"/>
          <w:sz w:val="22"/>
          <w:lang w:val="el-GR"/>
        </w:rPr>
      </w:pPr>
    </w:p>
    <w:p w:rsidR="000A5671" w:rsidRPr="002518FB" w:rsidRDefault="000A5671">
      <w:pPr>
        <w:rPr>
          <w:snapToGrid w:val="0"/>
          <w:sz w:val="22"/>
          <w:lang w:val="el-GR"/>
        </w:rPr>
      </w:pPr>
      <w:r w:rsidRPr="002518FB">
        <w:rPr>
          <w:snapToGrid w:val="0"/>
          <w:sz w:val="22"/>
          <w:lang w:val="el-GR"/>
        </w:rPr>
        <w:t xml:space="preserve">Οι περισσότεροι </w:t>
      </w:r>
      <w:r w:rsidR="006D2D93" w:rsidRPr="002518FB">
        <w:rPr>
          <w:snapToGrid w:val="0"/>
          <w:sz w:val="22"/>
          <w:lang w:val="el-GR"/>
        </w:rPr>
        <w:t xml:space="preserve">ασθενείς που έλαβαν </w:t>
      </w:r>
      <w:proofErr w:type="spellStart"/>
      <w:r w:rsidR="006D2D93" w:rsidRPr="002518FB">
        <w:rPr>
          <w:sz w:val="22"/>
          <w:lang w:val="el-GR"/>
        </w:rPr>
        <w:t>ατομοξετίνη</w:t>
      </w:r>
      <w:proofErr w:type="spellEnd"/>
      <w:r w:rsidR="006D2D93" w:rsidRPr="002518FB">
        <w:rPr>
          <w:snapToGrid w:val="0"/>
          <w:sz w:val="24"/>
          <w:lang w:val="el-GR"/>
        </w:rPr>
        <w:t xml:space="preserve"> </w:t>
      </w:r>
      <w:r w:rsidR="006D2D93" w:rsidRPr="002518FB">
        <w:rPr>
          <w:snapToGrid w:val="0"/>
          <w:sz w:val="22"/>
          <w:lang w:val="el-GR"/>
        </w:rPr>
        <w:t>εμφάνισαν μία μέτρια αύξηση του καρδιακού ρυθμού (μέση αύξηση</w:t>
      </w:r>
      <w:r w:rsidR="00804D7D" w:rsidRPr="002518FB">
        <w:rPr>
          <w:snapToGrid w:val="0"/>
          <w:sz w:val="22"/>
          <w:lang w:val="el-GR"/>
        </w:rPr>
        <w:t xml:space="preserve"> </w:t>
      </w:r>
      <w:r w:rsidR="006D2D93" w:rsidRPr="002518FB">
        <w:rPr>
          <w:snapToGrid w:val="0"/>
          <w:sz w:val="22"/>
          <w:lang w:val="el-GR"/>
        </w:rPr>
        <w:t>&lt;</w:t>
      </w:r>
      <w:r w:rsidR="00804D7D" w:rsidRPr="002518FB">
        <w:rPr>
          <w:snapToGrid w:val="0"/>
          <w:sz w:val="22"/>
          <w:lang w:val="el-GR"/>
        </w:rPr>
        <w:t xml:space="preserve"> </w:t>
      </w:r>
      <w:r w:rsidR="006D2D93" w:rsidRPr="002518FB">
        <w:rPr>
          <w:snapToGrid w:val="0"/>
          <w:sz w:val="22"/>
          <w:lang w:val="el-GR"/>
        </w:rPr>
        <w:t xml:space="preserve">10 </w:t>
      </w:r>
      <w:proofErr w:type="spellStart"/>
      <w:r w:rsidR="000F3434" w:rsidRPr="002518FB">
        <w:rPr>
          <w:sz w:val="22"/>
          <w:lang w:val="el-GR"/>
        </w:rPr>
        <w:t>bpm</w:t>
      </w:r>
      <w:proofErr w:type="spellEnd"/>
      <w:r w:rsidR="006D2D93" w:rsidRPr="002518FB">
        <w:rPr>
          <w:snapToGrid w:val="0"/>
          <w:sz w:val="22"/>
          <w:lang w:val="el-GR"/>
        </w:rPr>
        <w:t xml:space="preserve">) </w:t>
      </w:r>
      <w:r w:rsidR="00E571B4" w:rsidRPr="002518FB">
        <w:rPr>
          <w:snapToGrid w:val="0"/>
          <w:sz w:val="22"/>
          <w:lang w:val="el-GR"/>
        </w:rPr>
        <w:t>ή/και</w:t>
      </w:r>
      <w:r w:rsidR="006D2D93" w:rsidRPr="002518FB">
        <w:rPr>
          <w:snapToGrid w:val="0"/>
          <w:sz w:val="22"/>
          <w:lang w:val="el-GR"/>
        </w:rPr>
        <w:t xml:space="preserve"> αύξηση της αρτηριακής πίεσης (μέση αύξηση &lt;</w:t>
      </w:r>
      <w:r w:rsidR="00804D7D" w:rsidRPr="002518FB">
        <w:rPr>
          <w:snapToGrid w:val="0"/>
          <w:sz w:val="22"/>
          <w:lang w:val="el-GR"/>
        </w:rPr>
        <w:t xml:space="preserve"> </w:t>
      </w:r>
      <w:r w:rsidR="006D2D93" w:rsidRPr="002518FB">
        <w:rPr>
          <w:snapToGrid w:val="0"/>
          <w:sz w:val="22"/>
          <w:lang w:val="el-GR"/>
        </w:rPr>
        <w:t>5 </w:t>
      </w:r>
      <w:proofErr w:type="spellStart"/>
      <w:r w:rsidR="000F3434" w:rsidRPr="002518FB">
        <w:rPr>
          <w:sz w:val="22"/>
          <w:lang w:val="el-GR"/>
        </w:rPr>
        <w:t>mmHg</w:t>
      </w:r>
      <w:proofErr w:type="spellEnd"/>
      <w:r w:rsidR="006D2D93" w:rsidRPr="002518FB">
        <w:rPr>
          <w:snapToGrid w:val="0"/>
          <w:sz w:val="22"/>
          <w:lang w:val="el-GR"/>
        </w:rPr>
        <w:t xml:space="preserve">) </w:t>
      </w:r>
      <w:r w:rsidR="006D2D93" w:rsidRPr="002518FB">
        <w:rPr>
          <w:sz w:val="22"/>
          <w:lang w:val="el-GR"/>
        </w:rPr>
        <w:t>(βλέπε παρ</w:t>
      </w:r>
      <w:r w:rsidR="0062218A" w:rsidRPr="002518FB">
        <w:rPr>
          <w:sz w:val="22"/>
          <w:lang w:val="el-GR"/>
        </w:rPr>
        <w:t xml:space="preserve">άγραφο </w:t>
      </w:r>
      <w:r w:rsidR="006D2D93" w:rsidRPr="002518FB">
        <w:rPr>
          <w:sz w:val="22"/>
          <w:lang w:val="el-GR"/>
        </w:rPr>
        <w:t>4.8).</w:t>
      </w:r>
      <w:r w:rsidR="006D2D93" w:rsidRPr="002518FB">
        <w:rPr>
          <w:snapToGrid w:val="0"/>
          <w:sz w:val="22"/>
          <w:lang w:val="el-GR"/>
        </w:rPr>
        <w:t xml:space="preserve">  </w:t>
      </w:r>
    </w:p>
    <w:p w:rsidR="000A5671" w:rsidRPr="002518FB" w:rsidRDefault="000A5671">
      <w:pPr>
        <w:rPr>
          <w:snapToGrid w:val="0"/>
          <w:sz w:val="22"/>
          <w:lang w:val="el-GR"/>
        </w:rPr>
      </w:pPr>
    </w:p>
    <w:p w:rsidR="000A5671" w:rsidRPr="002518FB" w:rsidRDefault="00273C9C">
      <w:pPr>
        <w:rPr>
          <w:snapToGrid w:val="0"/>
          <w:sz w:val="22"/>
          <w:lang w:val="el-GR"/>
        </w:rPr>
      </w:pPr>
      <w:r w:rsidRPr="002518FB">
        <w:rPr>
          <w:snapToGrid w:val="0"/>
          <w:sz w:val="22"/>
          <w:lang w:val="el-GR"/>
        </w:rPr>
        <w:t xml:space="preserve">Παρόλα αυτά, </w:t>
      </w:r>
      <w:r w:rsidR="00A42B1D" w:rsidRPr="002518FB">
        <w:rPr>
          <w:snapToGrid w:val="0"/>
          <w:sz w:val="22"/>
          <w:lang w:val="el-GR"/>
        </w:rPr>
        <w:t xml:space="preserve">συνδυασμένα </w:t>
      </w:r>
      <w:r w:rsidRPr="002518FB">
        <w:rPr>
          <w:snapToGrid w:val="0"/>
          <w:sz w:val="22"/>
          <w:lang w:val="el-GR"/>
        </w:rPr>
        <w:t xml:space="preserve">δεδομένα από </w:t>
      </w:r>
      <w:r w:rsidR="00A42B1D" w:rsidRPr="002518FB">
        <w:rPr>
          <w:snapToGrid w:val="0"/>
          <w:sz w:val="22"/>
          <w:lang w:val="el-GR"/>
        </w:rPr>
        <w:t xml:space="preserve">ελεγχόμενες και μη ελεγχόμενες </w:t>
      </w:r>
      <w:r w:rsidRPr="002518FB">
        <w:rPr>
          <w:snapToGrid w:val="0"/>
          <w:sz w:val="22"/>
          <w:lang w:val="el-GR"/>
        </w:rPr>
        <w:t xml:space="preserve">κλινικές μελέτες για τη ΔΕΠΥ έδειξαν ότι περίπου </w:t>
      </w:r>
      <w:r w:rsidR="00C34CEB" w:rsidRPr="002518FB">
        <w:rPr>
          <w:snapToGrid w:val="0"/>
          <w:sz w:val="22"/>
          <w:lang w:val="el-GR"/>
        </w:rPr>
        <w:t>8</w:t>
      </w:r>
      <w:r w:rsidRPr="002518FB">
        <w:rPr>
          <w:snapToGrid w:val="0"/>
          <w:sz w:val="22"/>
          <w:lang w:val="el-GR"/>
        </w:rPr>
        <w:t xml:space="preserve">-12% των παιδιών </w:t>
      </w:r>
      <w:r w:rsidR="00C34CEB" w:rsidRPr="002518FB">
        <w:rPr>
          <w:snapToGrid w:val="0"/>
          <w:sz w:val="22"/>
          <w:lang w:val="el-GR"/>
        </w:rPr>
        <w:t xml:space="preserve">και εφήβων και 6-10% </w:t>
      </w:r>
      <w:r w:rsidRPr="002518FB">
        <w:rPr>
          <w:snapToGrid w:val="0"/>
          <w:sz w:val="22"/>
          <w:lang w:val="el-GR"/>
        </w:rPr>
        <w:t>των ενηλίκων</w:t>
      </w:r>
      <w:r w:rsidR="00C87EC8" w:rsidRPr="002518FB">
        <w:rPr>
          <w:snapToGrid w:val="0"/>
          <w:sz w:val="22"/>
          <w:lang w:val="el-GR"/>
        </w:rPr>
        <w:t>,</w:t>
      </w:r>
      <w:r w:rsidRPr="002518FB">
        <w:rPr>
          <w:snapToGrid w:val="0"/>
          <w:sz w:val="22"/>
          <w:lang w:val="el-GR"/>
        </w:rPr>
        <w:t xml:space="preserve"> </w:t>
      </w:r>
      <w:r w:rsidR="00F2100D" w:rsidRPr="002518FB">
        <w:rPr>
          <w:snapToGrid w:val="0"/>
          <w:sz w:val="22"/>
          <w:lang w:val="el-GR"/>
        </w:rPr>
        <w:t xml:space="preserve">παρουσίασαν </w:t>
      </w:r>
      <w:r w:rsidR="00C87EC8" w:rsidRPr="002518FB">
        <w:rPr>
          <w:snapToGrid w:val="0"/>
          <w:sz w:val="22"/>
          <w:lang w:val="el-GR"/>
        </w:rPr>
        <w:t>σημαντικές μεταβολές</w:t>
      </w:r>
      <w:r w:rsidR="00F2100D" w:rsidRPr="002518FB">
        <w:rPr>
          <w:snapToGrid w:val="0"/>
          <w:sz w:val="22"/>
          <w:lang w:val="el-GR"/>
        </w:rPr>
        <w:t xml:space="preserve"> στον καρδιακό ρυθμό (20 παλμοί ανά λεπτό </w:t>
      </w:r>
      <w:r w:rsidR="00D71C3D" w:rsidRPr="002518FB">
        <w:rPr>
          <w:snapToGrid w:val="0"/>
          <w:sz w:val="22"/>
          <w:lang w:val="el-GR"/>
        </w:rPr>
        <w:t>ή περισσότεροι) και τη</w:t>
      </w:r>
      <w:r w:rsidR="007A466E" w:rsidRPr="002518FB">
        <w:rPr>
          <w:snapToGrid w:val="0"/>
          <w:sz w:val="22"/>
          <w:lang w:val="el-GR"/>
        </w:rPr>
        <w:t>ν</w:t>
      </w:r>
      <w:r w:rsidR="00D71C3D" w:rsidRPr="002518FB">
        <w:rPr>
          <w:snapToGrid w:val="0"/>
          <w:sz w:val="22"/>
          <w:lang w:val="el-GR"/>
        </w:rPr>
        <w:t xml:space="preserve"> αρτηριακή πίεση (15-20 </w:t>
      </w:r>
      <w:r w:rsidR="000F3434" w:rsidRPr="002518FB">
        <w:rPr>
          <w:sz w:val="22"/>
          <w:lang w:val="el-GR"/>
        </w:rPr>
        <w:t>mm</w:t>
      </w:r>
      <w:r w:rsidR="00D71C3D" w:rsidRPr="002518FB">
        <w:rPr>
          <w:snapToGrid w:val="0"/>
          <w:sz w:val="22"/>
          <w:lang w:val="el-GR"/>
        </w:rPr>
        <w:t xml:space="preserve"> </w:t>
      </w:r>
      <w:proofErr w:type="spellStart"/>
      <w:r w:rsidR="000F3434" w:rsidRPr="002518FB">
        <w:rPr>
          <w:sz w:val="22"/>
          <w:lang w:val="el-GR"/>
        </w:rPr>
        <w:t>Hg</w:t>
      </w:r>
      <w:proofErr w:type="spellEnd"/>
      <w:r w:rsidR="00D71C3D" w:rsidRPr="002518FB">
        <w:rPr>
          <w:snapToGrid w:val="0"/>
          <w:sz w:val="22"/>
          <w:lang w:val="el-GR"/>
        </w:rPr>
        <w:t xml:space="preserve"> ή μεγαλύτερη). Η ανάλυση των δεδομένων αυτών των κλινικών μελετών έδειξε </w:t>
      </w:r>
      <w:r w:rsidR="001F00E7" w:rsidRPr="002518FB">
        <w:rPr>
          <w:snapToGrid w:val="0"/>
          <w:sz w:val="22"/>
          <w:lang w:val="el-GR"/>
        </w:rPr>
        <w:t>ότι περίπου 15</w:t>
      </w:r>
      <w:r w:rsidR="00D71C3D" w:rsidRPr="002518FB">
        <w:rPr>
          <w:snapToGrid w:val="0"/>
          <w:sz w:val="22"/>
          <w:lang w:val="el-GR"/>
        </w:rPr>
        <w:t>-</w:t>
      </w:r>
      <w:r w:rsidR="00C34CEB" w:rsidRPr="002518FB">
        <w:rPr>
          <w:snapToGrid w:val="0"/>
          <w:sz w:val="22"/>
          <w:lang w:val="el-GR"/>
        </w:rPr>
        <w:t>26</w:t>
      </w:r>
      <w:r w:rsidR="00D71C3D" w:rsidRPr="002518FB">
        <w:rPr>
          <w:snapToGrid w:val="0"/>
          <w:sz w:val="22"/>
          <w:lang w:val="el-GR"/>
        </w:rPr>
        <w:t xml:space="preserve">% των </w:t>
      </w:r>
      <w:r w:rsidR="00C34CEB" w:rsidRPr="002518FB">
        <w:rPr>
          <w:snapToGrid w:val="0"/>
          <w:sz w:val="22"/>
          <w:lang w:val="el-GR"/>
        </w:rPr>
        <w:t>παιδιών και εφήβων και 27-32% των ενηλίκων</w:t>
      </w:r>
      <w:r w:rsidR="00C87EC8" w:rsidRPr="002518FB">
        <w:rPr>
          <w:snapToGrid w:val="0"/>
          <w:sz w:val="22"/>
          <w:lang w:val="el-GR"/>
        </w:rPr>
        <w:t>,</w:t>
      </w:r>
      <w:r w:rsidR="00D71C3D" w:rsidRPr="002518FB">
        <w:rPr>
          <w:snapToGrid w:val="0"/>
          <w:sz w:val="22"/>
          <w:lang w:val="el-GR"/>
        </w:rPr>
        <w:t xml:space="preserve"> που παρουσιάζουν </w:t>
      </w:r>
      <w:r w:rsidR="00C34CEB" w:rsidRPr="002518FB">
        <w:rPr>
          <w:snapToGrid w:val="0"/>
          <w:sz w:val="22"/>
          <w:lang w:val="el-GR"/>
        </w:rPr>
        <w:t>τέτοιες</w:t>
      </w:r>
      <w:r w:rsidR="00D71C3D" w:rsidRPr="002518FB">
        <w:rPr>
          <w:snapToGrid w:val="0"/>
          <w:sz w:val="22"/>
          <w:lang w:val="el-GR"/>
        </w:rPr>
        <w:t xml:space="preserve"> μεταβολές στην αρτηριακή πίεση και τον καρδιακό ρυθμό κατά τη διάρκεια της θεραπείας με </w:t>
      </w:r>
      <w:proofErr w:type="spellStart"/>
      <w:r w:rsidR="003F6D20" w:rsidRPr="002518FB">
        <w:rPr>
          <w:snapToGrid w:val="0"/>
          <w:sz w:val="22"/>
          <w:lang w:val="el-GR"/>
        </w:rPr>
        <w:t>ατομοξετίνη</w:t>
      </w:r>
      <w:proofErr w:type="spellEnd"/>
      <w:r w:rsidR="00C87EC8" w:rsidRPr="002518FB">
        <w:rPr>
          <w:snapToGrid w:val="0"/>
          <w:sz w:val="22"/>
          <w:lang w:val="el-GR"/>
        </w:rPr>
        <w:t xml:space="preserve">, </w:t>
      </w:r>
      <w:r w:rsidR="000205D5" w:rsidRPr="002518FB">
        <w:rPr>
          <w:snapToGrid w:val="0"/>
          <w:sz w:val="22"/>
          <w:lang w:val="el-GR"/>
        </w:rPr>
        <w:t xml:space="preserve">είχαν </w:t>
      </w:r>
      <w:r w:rsidR="00C87EC8" w:rsidRPr="002518FB">
        <w:rPr>
          <w:snapToGrid w:val="0"/>
          <w:sz w:val="22"/>
          <w:lang w:val="el-GR"/>
        </w:rPr>
        <w:t>εμμένουσες</w:t>
      </w:r>
      <w:r w:rsidR="007A466E" w:rsidRPr="002518FB">
        <w:rPr>
          <w:snapToGrid w:val="0"/>
          <w:sz w:val="22"/>
          <w:lang w:val="el-GR"/>
        </w:rPr>
        <w:t xml:space="preserve"> </w:t>
      </w:r>
      <w:r w:rsidR="00D71C3D" w:rsidRPr="002518FB">
        <w:rPr>
          <w:snapToGrid w:val="0"/>
          <w:sz w:val="22"/>
          <w:lang w:val="el-GR"/>
        </w:rPr>
        <w:t>ή προοδευτικές αυξήσεις.</w:t>
      </w:r>
      <w:r w:rsidR="00C34CEB" w:rsidRPr="002518FB">
        <w:rPr>
          <w:snapToGrid w:val="0"/>
          <w:sz w:val="22"/>
          <w:lang w:val="el-GR"/>
        </w:rPr>
        <w:t xml:space="preserve"> </w:t>
      </w:r>
      <w:r w:rsidR="00727A07" w:rsidRPr="002518FB">
        <w:rPr>
          <w:rFonts w:eastAsia="Calibri"/>
          <w:sz w:val="22"/>
          <w:lang w:val="el-GR" w:eastAsia="el-GR"/>
        </w:rPr>
        <w:t>Οι μακροχρόνι</w:t>
      </w:r>
      <w:r w:rsidR="00C87EC8" w:rsidRPr="002518FB">
        <w:rPr>
          <w:rFonts w:eastAsia="Calibri"/>
          <w:sz w:val="22"/>
          <w:lang w:val="el-GR" w:eastAsia="el-GR"/>
        </w:rPr>
        <w:t>α</w:t>
      </w:r>
      <w:r w:rsidR="00727A07" w:rsidRPr="002518FB">
        <w:rPr>
          <w:rFonts w:eastAsia="Calibri"/>
          <w:sz w:val="22"/>
          <w:lang w:val="el-GR" w:eastAsia="el-GR"/>
        </w:rPr>
        <w:t xml:space="preserve"> </w:t>
      </w:r>
      <w:r w:rsidR="00C87EC8" w:rsidRPr="002518FB">
        <w:rPr>
          <w:rFonts w:eastAsia="Calibri"/>
          <w:sz w:val="22"/>
          <w:lang w:val="el-GR" w:eastAsia="el-GR"/>
        </w:rPr>
        <w:t>εμμένουσες</w:t>
      </w:r>
      <w:r w:rsidR="00727A07" w:rsidRPr="002518FB">
        <w:rPr>
          <w:rFonts w:eastAsia="Calibri"/>
          <w:sz w:val="22"/>
          <w:lang w:val="el-GR" w:eastAsia="el-GR"/>
        </w:rPr>
        <w:t xml:space="preserve"> μεταβολές στην αρτηριακή πίεση μπορούν δυνητικά να </w:t>
      </w:r>
      <w:r w:rsidR="00C87EC8" w:rsidRPr="002518FB">
        <w:rPr>
          <w:rFonts w:eastAsia="Calibri"/>
          <w:sz w:val="22"/>
          <w:lang w:val="el-GR" w:eastAsia="el-GR"/>
        </w:rPr>
        <w:t>συμβάλλουν σε</w:t>
      </w:r>
      <w:r w:rsidR="00727A07" w:rsidRPr="002518FB">
        <w:rPr>
          <w:rFonts w:eastAsia="Calibri"/>
          <w:sz w:val="22"/>
          <w:lang w:val="el-GR" w:eastAsia="el-GR"/>
        </w:rPr>
        <w:t xml:space="preserve"> κλινικές επιπτώσεις, όπως υπερτροφία του μυοκαρδίου.</w:t>
      </w:r>
    </w:p>
    <w:p w:rsidR="00273C9C" w:rsidRPr="002518FB" w:rsidRDefault="00273C9C">
      <w:pPr>
        <w:rPr>
          <w:snapToGrid w:val="0"/>
          <w:sz w:val="22"/>
          <w:lang w:val="el-GR"/>
        </w:rPr>
      </w:pPr>
    </w:p>
    <w:p w:rsidR="00B63A46" w:rsidRPr="002518FB" w:rsidRDefault="00B63A46">
      <w:pPr>
        <w:rPr>
          <w:snapToGrid w:val="0"/>
          <w:sz w:val="22"/>
          <w:lang w:val="el-GR"/>
        </w:rPr>
      </w:pPr>
      <w:r w:rsidRPr="002518FB">
        <w:rPr>
          <w:snapToGrid w:val="0"/>
          <w:sz w:val="22"/>
          <w:lang w:val="el-GR"/>
        </w:rPr>
        <w:lastRenderedPageBreak/>
        <w:t>Ως αποτέλεσμα αυτών των ευρημάτων, οι ασθενείς που</w:t>
      </w:r>
      <w:r w:rsidR="00CD2EB7" w:rsidRPr="002518FB">
        <w:rPr>
          <w:snapToGrid w:val="0"/>
          <w:sz w:val="22"/>
          <w:lang w:val="el-GR"/>
        </w:rPr>
        <w:t xml:space="preserve"> πρόκειται να λάβουν </w:t>
      </w:r>
      <w:r w:rsidRPr="002518FB">
        <w:rPr>
          <w:snapToGrid w:val="0"/>
          <w:sz w:val="22"/>
          <w:lang w:val="el-GR"/>
        </w:rPr>
        <w:t xml:space="preserve">θεραπεία με </w:t>
      </w:r>
      <w:proofErr w:type="spellStart"/>
      <w:r w:rsidRPr="002518FB">
        <w:rPr>
          <w:snapToGrid w:val="0"/>
          <w:sz w:val="22"/>
          <w:lang w:val="el-GR"/>
        </w:rPr>
        <w:t>ατομοξετίνη</w:t>
      </w:r>
      <w:proofErr w:type="spellEnd"/>
      <w:r w:rsidRPr="002518FB">
        <w:rPr>
          <w:snapToGrid w:val="0"/>
          <w:sz w:val="22"/>
          <w:lang w:val="el-GR"/>
        </w:rPr>
        <w:t xml:space="preserve"> θα πρέπει να </w:t>
      </w:r>
      <w:r w:rsidR="00CD2EB7" w:rsidRPr="002518FB">
        <w:rPr>
          <w:snapToGrid w:val="0"/>
          <w:sz w:val="22"/>
          <w:lang w:val="el-GR"/>
        </w:rPr>
        <w:t xml:space="preserve">έχουν ένα </w:t>
      </w:r>
      <w:r w:rsidRPr="002518FB">
        <w:rPr>
          <w:snapToGrid w:val="0"/>
          <w:sz w:val="22"/>
          <w:lang w:val="el-GR"/>
        </w:rPr>
        <w:t>προσεκτικ</w:t>
      </w:r>
      <w:r w:rsidR="00CD2EB7" w:rsidRPr="002518FB">
        <w:rPr>
          <w:snapToGrid w:val="0"/>
          <w:sz w:val="22"/>
          <w:lang w:val="el-GR"/>
        </w:rPr>
        <w:t>ό</w:t>
      </w:r>
      <w:r w:rsidRPr="002518FB">
        <w:rPr>
          <w:snapToGrid w:val="0"/>
          <w:sz w:val="22"/>
          <w:lang w:val="el-GR"/>
        </w:rPr>
        <w:t xml:space="preserve"> ιστ</w:t>
      </w:r>
      <w:r w:rsidR="00B90943" w:rsidRPr="002518FB">
        <w:rPr>
          <w:snapToGrid w:val="0"/>
          <w:sz w:val="22"/>
          <w:lang w:val="el-GR"/>
        </w:rPr>
        <w:t xml:space="preserve">ορικό και να </w:t>
      </w:r>
      <w:r w:rsidR="00CD2EB7" w:rsidRPr="002518FB">
        <w:rPr>
          <w:snapToGrid w:val="0"/>
          <w:sz w:val="22"/>
          <w:lang w:val="el-GR"/>
        </w:rPr>
        <w:t xml:space="preserve">υποβάλλονται σε φυσική εξέταση προκειμένου </w:t>
      </w:r>
      <w:r w:rsidR="000205D5" w:rsidRPr="002518FB">
        <w:rPr>
          <w:snapToGrid w:val="0"/>
          <w:sz w:val="22"/>
          <w:lang w:val="el-GR"/>
        </w:rPr>
        <w:t>να εκτιμηθεί η</w:t>
      </w:r>
      <w:r w:rsidR="00B90943" w:rsidRPr="002518FB">
        <w:rPr>
          <w:snapToGrid w:val="0"/>
          <w:sz w:val="22"/>
          <w:lang w:val="el-GR"/>
        </w:rPr>
        <w:t xml:space="preserve"> </w:t>
      </w:r>
      <w:r w:rsidR="000205D5" w:rsidRPr="002518FB">
        <w:rPr>
          <w:snapToGrid w:val="0"/>
          <w:sz w:val="22"/>
          <w:lang w:val="el-GR"/>
        </w:rPr>
        <w:t xml:space="preserve">ύπαρξη </w:t>
      </w:r>
      <w:r w:rsidR="00B90943" w:rsidRPr="002518FB">
        <w:rPr>
          <w:snapToGrid w:val="0"/>
          <w:sz w:val="22"/>
          <w:lang w:val="el-GR"/>
        </w:rPr>
        <w:t>καρδιακής νόσου</w:t>
      </w:r>
      <w:r w:rsidR="00D55E87" w:rsidRPr="002518FB">
        <w:rPr>
          <w:snapToGrid w:val="0"/>
          <w:sz w:val="22"/>
          <w:lang w:val="el-GR"/>
        </w:rPr>
        <w:t>.</w:t>
      </w:r>
      <w:r w:rsidR="00B90943" w:rsidRPr="002518FB">
        <w:rPr>
          <w:snapToGrid w:val="0"/>
          <w:sz w:val="22"/>
          <w:lang w:val="el-GR"/>
        </w:rPr>
        <w:t xml:space="preserve"> </w:t>
      </w:r>
      <w:r w:rsidR="00D55E87" w:rsidRPr="002518FB">
        <w:rPr>
          <w:snapToGrid w:val="0"/>
          <w:sz w:val="22"/>
          <w:lang w:val="el-GR"/>
        </w:rPr>
        <w:t>Εάν τα αρχικά ευρήματα υποδεικνύουν τέτοιο ιστορικό ή ασθένεια οι ασθενείς</w:t>
      </w:r>
      <w:r w:rsidR="00B90943" w:rsidRPr="002518FB">
        <w:rPr>
          <w:snapToGrid w:val="0"/>
          <w:sz w:val="22"/>
          <w:lang w:val="el-GR"/>
        </w:rPr>
        <w:t xml:space="preserve"> πρέπει να </w:t>
      </w:r>
      <w:r w:rsidR="00D55E87" w:rsidRPr="002518FB">
        <w:rPr>
          <w:snapToGrid w:val="0"/>
          <w:sz w:val="22"/>
          <w:lang w:val="el-GR"/>
        </w:rPr>
        <w:t>υποβάλλονται σε</w:t>
      </w:r>
      <w:r w:rsidR="00B90943" w:rsidRPr="002518FB">
        <w:rPr>
          <w:snapToGrid w:val="0"/>
          <w:sz w:val="22"/>
          <w:lang w:val="el-GR"/>
        </w:rPr>
        <w:t xml:space="preserve"> περαιτέρω καρδιακή εκτίμηση από ειδικό </w:t>
      </w:r>
      <w:r w:rsidR="00CD2EB7" w:rsidRPr="002518FB">
        <w:rPr>
          <w:snapToGrid w:val="0"/>
          <w:sz w:val="22"/>
          <w:lang w:val="el-GR"/>
        </w:rPr>
        <w:t>γ</w:t>
      </w:r>
      <w:r w:rsidR="00B90943" w:rsidRPr="002518FB">
        <w:rPr>
          <w:snapToGrid w:val="0"/>
          <w:sz w:val="22"/>
          <w:lang w:val="el-GR"/>
        </w:rPr>
        <w:t>ιατρό</w:t>
      </w:r>
      <w:r w:rsidR="00D55E87" w:rsidRPr="002518FB">
        <w:rPr>
          <w:snapToGrid w:val="0"/>
          <w:sz w:val="22"/>
          <w:lang w:val="el-GR"/>
        </w:rPr>
        <w:t>.</w:t>
      </w:r>
    </w:p>
    <w:p w:rsidR="00D55E87" w:rsidRPr="002518FB" w:rsidRDefault="00D55E87">
      <w:pPr>
        <w:rPr>
          <w:snapToGrid w:val="0"/>
          <w:sz w:val="22"/>
          <w:lang w:val="el-GR"/>
        </w:rPr>
      </w:pPr>
    </w:p>
    <w:p w:rsidR="00B90943" w:rsidRPr="002518FB" w:rsidRDefault="00B90943">
      <w:pPr>
        <w:rPr>
          <w:snapToGrid w:val="0"/>
          <w:sz w:val="22"/>
          <w:lang w:val="el-GR"/>
        </w:rPr>
      </w:pPr>
      <w:r w:rsidRPr="002518FB">
        <w:rPr>
          <w:snapToGrid w:val="0"/>
          <w:sz w:val="22"/>
          <w:lang w:val="el-GR"/>
        </w:rPr>
        <w:t xml:space="preserve">Συνιστάται να μετριέται και να </w:t>
      </w:r>
      <w:r w:rsidR="00783433" w:rsidRPr="002518FB">
        <w:rPr>
          <w:snapToGrid w:val="0"/>
          <w:sz w:val="22"/>
          <w:lang w:val="el-GR"/>
        </w:rPr>
        <w:t>καταγράφεται</w:t>
      </w:r>
      <w:r w:rsidRPr="002518FB">
        <w:rPr>
          <w:snapToGrid w:val="0"/>
          <w:sz w:val="22"/>
          <w:lang w:val="el-GR"/>
        </w:rPr>
        <w:t xml:space="preserve"> ο καρδιακός ρυθμός και η αρτηριακή πίεση </w:t>
      </w:r>
    </w:p>
    <w:p w:rsidR="00B90943" w:rsidRPr="002518FB" w:rsidRDefault="00B90943">
      <w:pPr>
        <w:rPr>
          <w:snapToGrid w:val="0"/>
          <w:sz w:val="22"/>
          <w:lang w:val="el-GR"/>
        </w:rPr>
      </w:pPr>
      <w:r w:rsidRPr="002518FB">
        <w:rPr>
          <w:snapToGrid w:val="0"/>
          <w:sz w:val="22"/>
          <w:lang w:val="el-GR"/>
        </w:rPr>
        <w:t xml:space="preserve">πριν την έναρξη </w:t>
      </w:r>
      <w:r w:rsidR="00E10F48" w:rsidRPr="002518FB">
        <w:rPr>
          <w:snapToGrid w:val="0"/>
          <w:sz w:val="22"/>
          <w:lang w:val="el-GR"/>
        </w:rPr>
        <w:t>και κατά τη διάρκειά</w:t>
      </w:r>
      <w:r w:rsidRPr="002518FB">
        <w:rPr>
          <w:snapToGrid w:val="0"/>
          <w:sz w:val="22"/>
          <w:lang w:val="el-GR"/>
        </w:rPr>
        <w:t xml:space="preserve"> της</w:t>
      </w:r>
      <w:r w:rsidR="00AC37BB" w:rsidRPr="002518FB">
        <w:rPr>
          <w:snapToGrid w:val="0"/>
          <w:sz w:val="22"/>
          <w:lang w:val="el-GR"/>
        </w:rPr>
        <w:t xml:space="preserve"> θεραπείας, </w:t>
      </w:r>
      <w:r w:rsidR="005A7662" w:rsidRPr="002518FB">
        <w:rPr>
          <w:snapToGrid w:val="0"/>
          <w:sz w:val="22"/>
          <w:lang w:val="el-GR"/>
        </w:rPr>
        <w:t>μετά από κάθε προσαρμογή της δόσης και τουλά</w:t>
      </w:r>
      <w:r w:rsidR="00E10F48" w:rsidRPr="002518FB">
        <w:rPr>
          <w:snapToGrid w:val="0"/>
          <w:sz w:val="22"/>
          <w:lang w:val="el-GR"/>
        </w:rPr>
        <w:t xml:space="preserve">χιστον </w:t>
      </w:r>
      <w:r w:rsidR="005965F9" w:rsidRPr="002518FB">
        <w:rPr>
          <w:snapToGrid w:val="0"/>
          <w:sz w:val="22"/>
          <w:lang w:val="el-GR"/>
        </w:rPr>
        <w:t xml:space="preserve">κάθε </w:t>
      </w:r>
      <w:r w:rsidR="00E10F48" w:rsidRPr="002518FB">
        <w:rPr>
          <w:snapToGrid w:val="0"/>
          <w:sz w:val="22"/>
          <w:lang w:val="el-GR"/>
        </w:rPr>
        <w:t>6 μήνες για την ανίχνευση</w:t>
      </w:r>
      <w:r w:rsidR="005A7662" w:rsidRPr="002518FB">
        <w:rPr>
          <w:snapToGrid w:val="0"/>
          <w:sz w:val="22"/>
          <w:lang w:val="el-GR"/>
        </w:rPr>
        <w:t xml:space="preserve"> </w:t>
      </w:r>
      <w:r w:rsidR="007A466E" w:rsidRPr="002518FB">
        <w:rPr>
          <w:snapToGrid w:val="0"/>
          <w:sz w:val="22"/>
          <w:lang w:val="el-GR"/>
        </w:rPr>
        <w:t xml:space="preserve">πιθανών  κλινικά </w:t>
      </w:r>
      <w:r w:rsidR="005A7662" w:rsidRPr="002518FB">
        <w:rPr>
          <w:snapToGrid w:val="0"/>
          <w:sz w:val="22"/>
          <w:lang w:val="el-GR"/>
        </w:rPr>
        <w:t>σημαντικών αυξήσεων.</w:t>
      </w:r>
      <w:r w:rsidR="00FC0783" w:rsidRPr="002518FB">
        <w:rPr>
          <w:snapToGrid w:val="0"/>
          <w:sz w:val="22"/>
          <w:lang w:val="el-GR"/>
        </w:rPr>
        <w:t xml:space="preserve"> </w:t>
      </w:r>
      <w:r w:rsidR="00656EA9" w:rsidRPr="002518FB">
        <w:rPr>
          <w:rFonts w:eastAsia="Calibri"/>
          <w:sz w:val="22"/>
          <w:lang w:val="el-GR" w:eastAsia="el-GR"/>
        </w:rPr>
        <w:t xml:space="preserve">Για παιδιατρικούς ασθενείς, συνιστάται η χρήση </w:t>
      </w:r>
      <w:r w:rsidR="00656EA9" w:rsidRPr="002518FB">
        <w:rPr>
          <w:rFonts w:eastAsia="Calibri"/>
          <w:sz w:val="22"/>
          <w:szCs w:val="22"/>
          <w:lang w:val="el-GR" w:eastAsia="el-GR"/>
        </w:rPr>
        <w:t>ενός διαγράμματος εκατοστιαίας θέσης</w:t>
      </w:r>
      <w:r w:rsidR="00656EA9" w:rsidRPr="002518FB">
        <w:rPr>
          <w:rFonts w:eastAsia="Calibri"/>
          <w:sz w:val="22"/>
          <w:lang w:val="el-GR" w:eastAsia="el-GR"/>
        </w:rPr>
        <w:t>. Για τους ενήλικες, θα πρέπει να ακολουθούνται οι ισχύουσες κατευθυντήριες οδηγίες αναφοράς για την υπέρταση.</w:t>
      </w:r>
    </w:p>
    <w:p w:rsidR="00B90943" w:rsidRPr="002518FB" w:rsidRDefault="00B90943">
      <w:pPr>
        <w:rPr>
          <w:snapToGrid w:val="0"/>
          <w:sz w:val="22"/>
          <w:lang w:val="el-GR"/>
        </w:rPr>
      </w:pPr>
    </w:p>
    <w:p w:rsidR="00FC0783" w:rsidRPr="002518FB" w:rsidRDefault="00FC0783">
      <w:pPr>
        <w:rPr>
          <w:snapToGrid w:val="0"/>
          <w:sz w:val="22"/>
          <w:lang w:val="el-GR"/>
        </w:rPr>
      </w:pPr>
      <w:r w:rsidRPr="002518FB">
        <w:rPr>
          <w:snapToGrid w:val="0"/>
          <w:sz w:val="22"/>
          <w:lang w:val="el-GR"/>
        </w:rPr>
        <w:t xml:space="preserve">Η </w:t>
      </w:r>
      <w:proofErr w:type="spellStart"/>
      <w:r w:rsidRPr="002518FB">
        <w:rPr>
          <w:snapToGrid w:val="0"/>
          <w:sz w:val="22"/>
          <w:lang w:val="el-GR"/>
        </w:rPr>
        <w:t>ατομοξετίνη</w:t>
      </w:r>
      <w:proofErr w:type="spellEnd"/>
      <w:r w:rsidRPr="002518FB">
        <w:rPr>
          <w:snapToGrid w:val="0"/>
          <w:sz w:val="22"/>
          <w:lang w:val="el-GR"/>
        </w:rPr>
        <w:t xml:space="preserve"> δεν πρέπει να χορηγείται σε ασθενείς με σοβαρές καρδιαγγειακές διαταραχές </w:t>
      </w:r>
      <w:r w:rsidR="00791CC1" w:rsidRPr="002518FB">
        <w:rPr>
          <w:sz w:val="22"/>
          <w:lang w:val="el-GR"/>
        </w:rPr>
        <w:t>ή διαταραχές των αγγείων του εγκεφάλου</w:t>
      </w:r>
      <w:r w:rsidR="00791CC1" w:rsidRPr="002518FB">
        <w:rPr>
          <w:snapToGrid w:val="0"/>
          <w:sz w:val="22"/>
          <w:lang w:val="el-GR"/>
        </w:rPr>
        <w:t xml:space="preserve"> </w:t>
      </w:r>
      <w:r w:rsidRPr="002518FB">
        <w:rPr>
          <w:snapToGrid w:val="0"/>
          <w:sz w:val="22"/>
          <w:lang w:val="el-GR"/>
        </w:rPr>
        <w:t xml:space="preserve">(Βλέπε παράγραφο 4.3 Αντενδείξεις - </w:t>
      </w:r>
      <w:r w:rsidR="00791CC1" w:rsidRPr="002518FB">
        <w:rPr>
          <w:sz w:val="22"/>
          <w:lang w:val="el-GR"/>
        </w:rPr>
        <w:t>Σοβαρές Καρδιαγγειακές Δ</w:t>
      </w:r>
      <w:r w:rsidRPr="002518FB">
        <w:rPr>
          <w:sz w:val="22"/>
          <w:lang w:val="el-GR"/>
        </w:rPr>
        <w:t>ιαταραχές</w:t>
      </w:r>
      <w:r w:rsidR="00791CC1" w:rsidRPr="002518FB">
        <w:rPr>
          <w:sz w:val="22"/>
          <w:lang w:val="el-GR"/>
        </w:rPr>
        <w:t xml:space="preserve"> και Διαταραχές των Αγγείων του Εγκεφάλου</w:t>
      </w:r>
      <w:r w:rsidRPr="002518FB">
        <w:rPr>
          <w:sz w:val="22"/>
          <w:lang w:val="el-GR"/>
        </w:rPr>
        <w:t xml:space="preserve">). </w:t>
      </w:r>
      <w:r w:rsidR="006D2D93" w:rsidRPr="002518FB">
        <w:rPr>
          <w:snapToGrid w:val="0"/>
          <w:sz w:val="22"/>
          <w:lang w:val="el-GR"/>
        </w:rPr>
        <w:t xml:space="preserve">Η </w:t>
      </w:r>
      <w:proofErr w:type="spellStart"/>
      <w:r w:rsidR="006D2D93" w:rsidRPr="002518FB">
        <w:rPr>
          <w:sz w:val="22"/>
          <w:lang w:val="el-GR"/>
        </w:rPr>
        <w:t>ατομοξετίνη</w:t>
      </w:r>
      <w:proofErr w:type="spellEnd"/>
      <w:r w:rsidR="006D2D93" w:rsidRPr="002518FB">
        <w:rPr>
          <w:snapToGrid w:val="0"/>
          <w:sz w:val="24"/>
          <w:lang w:val="el-GR"/>
        </w:rPr>
        <w:t xml:space="preserve"> </w:t>
      </w:r>
      <w:r w:rsidR="006D2D93" w:rsidRPr="002518FB">
        <w:rPr>
          <w:snapToGrid w:val="0"/>
          <w:sz w:val="22"/>
          <w:lang w:val="el-GR"/>
        </w:rPr>
        <w:t xml:space="preserve">πρέπει να χορηγείται με προσοχή σε ασθενείς </w:t>
      </w:r>
      <w:r w:rsidRPr="002518FB">
        <w:rPr>
          <w:snapToGrid w:val="0"/>
          <w:sz w:val="22"/>
          <w:lang w:val="el-GR"/>
        </w:rPr>
        <w:t xml:space="preserve">των οποίων οι </w:t>
      </w:r>
      <w:r w:rsidR="00E71DFD" w:rsidRPr="002518FB">
        <w:rPr>
          <w:snapToGrid w:val="0"/>
          <w:sz w:val="22"/>
          <w:lang w:val="el-GR"/>
        </w:rPr>
        <w:t>υποκείμενες ιατρικές παθήσεις</w:t>
      </w:r>
      <w:r w:rsidRPr="002518FB">
        <w:rPr>
          <w:snapToGrid w:val="0"/>
          <w:sz w:val="22"/>
          <w:lang w:val="el-GR"/>
        </w:rPr>
        <w:t xml:space="preserve"> θα μπορο</w:t>
      </w:r>
      <w:r w:rsidR="00E71DFD" w:rsidRPr="002518FB">
        <w:rPr>
          <w:snapToGrid w:val="0"/>
          <w:sz w:val="22"/>
          <w:lang w:val="el-GR"/>
        </w:rPr>
        <w:t>ύσαν να επιδεινωθούν</w:t>
      </w:r>
      <w:r w:rsidRPr="002518FB">
        <w:rPr>
          <w:snapToGrid w:val="0"/>
          <w:sz w:val="22"/>
          <w:lang w:val="el-GR"/>
        </w:rPr>
        <w:t xml:space="preserve"> από την αύξηση της αρτηριακής πίεσης και του καρδιακού ρυθμού, όπως στους ασθενείς </w:t>
      </w:r>
      <w:r w:rsidR="006D2D93" w:rsidRPr="002518FB">
        <w:rPr>
          <w:snapToGrid w:val="0"/>
          <w:sz w:val="22"/>
          <w:lang w:val="el-GR"/>
        </w:rPr>
        <w:t xml:space="preserve">με υπέρταση, ταχυκαρδία ή καρδιαγγειακή ή αγγειακή εγκεφαλική νόσο. </w:t>
      </w:r>
    </w:p>
    <w:p w:rsidR="00FC0783" w:rsidRPr="002518FB" w:rsidRDefault="00FC0783">
      <w:pPr>
        <w:rPr>
          <w:snapToGrid w:val="0"/>
          <w:sz w:val="22"/>
          <w:lang w:val="el-GR"/>
        </w:rPr>
      </w:pPr>
    </w:p>
    <w:p w:rsidR="00FC0783" w:rsidRPr="002518FB" w:rsidRDefault="00FC0783">
      <w:pPr>
        <w:rPr>
          <w:snapToGrid w:val="0"/>
          <w:sz w:val="22"/>
          <w:lang w:val="el-GR"/>
        </w:rPr>
      </w:pPr>
      <w:r w:rsidRPr="002518FB">
        <w:rPr>
          <w:snapToGrid w:val="0"/>
          <w:sz w:val="22"/>
          <w:lang w:val="el-GR"/>
        </w:rPr>
        <w:t xml:space="preserve">Οι ασθενείς που εμφανίζουν συμπτώματα </w:t>
      </w:r>
      <w:r w:rsidR="009F1235">
        <w:rPr>
          <w:snapToGrid w:val="0"/>
          <w:sz w:val="22"/>
          <w:lang w:val="el-GR"/>
        </w:rPr>
        <w:t xml:space="preserve">όπως αίσθημα παλμών, θωρακικό άλγος κατά την κόπωση, ανεξήγητη συγκοπή, </w:t>
      </w:r>
      <w:proofErr w:type="spellStart"/>
      <w:r w:rsidR="009F1235">
        <w:rPr>
          <w:snapToGrid w:val="0"/>
          <w:sz w:val="22"/>
          <w:lang w:val="el-GR"/>
        </w:rPr>
        <w:t>δύπνοια</w:t>
      </w:r>
      <w:proofErr w:type="spellEnd"/>
      <w:r w:rsidR="009F1235">
        <w:rPr>
          <w:snapToGrid w:val="0"/>
          <w:sz w:val="22"/>
          <w:lang w:val="el-GR"/>
        </w:rPr>
        <w:t xml:space="preserve"> ή άλλα συμπτώματα</w:t>
      </w:r>
      <w:r w:rsidR="009F1235" w:rsidRPr="009F1235">
        <w:rPr>
          <w:snapToGrid w:val="0"/>
          <w:sz w:val="22"/>
          <w:lang w:val="el-GR"/>
        </w:rPr>
        <w:t xml:space="preserve"> </w:t>
      </w:r>
      <w:r w:rsidRPr="002518FB">
        <w:rPr>
          <w:snapToGrid w:val="0"/>
          <w:sz w:val="22"/>
          <w:lang w:val="el-GR"/>
        </w:rPr>
        <w:t xml:space="preserve">που υποδηλώνουν καρδιακή νόσο κατά τη διάρκεια της θεραπείας με </w:t>
      </w:r>
      <w:proofErr w:type="spellStart"/>
      <w:r w:rsidRPr="002518FB">
        <w:rPr>
          <w:snapToGrid w:val="0"/>
          <w:sz w:val="22"/>
          <w:lang w:val="el-GR"/>
        </w:rPr>
        <w:t>ατομοξετίνη</w:t>
      </w:r>
      <w:proofErr w:type="spellEnd"/>
      <w:r w:rsidRPr="002518FB">
        <w:rPr>
          <w:snapToGrid w:val="0"/>
          <w:sz w:val="22"/>
          <w:lang w:val="el-GR"/>
        </w:rPr>
        <w:t xml:space="preserve"> θα πρέπει να υποβληθούν άμεσα σε καρδιακή αξιολόγηση</w:t>
      </w:r>
      <w:r w:rsidR="003F7801" w:rsidRPr="002518FB">
        <w:rPr>
          <w:snapToGrid w:val="0"/>
          <w:sz w:val="22"/>
          <w:lang w:val="el-GR"/>
        </w:rPr>
        <w:t xml:space="preserve"> από ειδικό γιατρό</w:t>
      </w:r>
      <w:r w:rsidRPr="002518FB">
        <w:rPr>
          <w:snapToGrid w:val="0"/>
          <w:sz w:val="22"/>
          <w:lang w:val="el-GR"/>
        </w:rPr>
        <w:t>.</w:t>
      </w:r>
    </w:p>
    <w:p w:rsidR="00FC0783" w:rsidRPr="002518FB" w:rsidRDefault="00FC0783">
      <w:pPr>
        <w:rPr>
          <w:snapToGrid w:val="0"/>
          <w:sz w:val="22"/>
          <w:lang w:val="el-GR"/>
        </w:rPr>
      </w:pPr>
    </w:p>
    <w:p w:rsidR="00FC0783" w:rsidRPr="002518FB" w:rsidRDefault="00B50FB0" w:rsidP="00FC0783">
      <w:pPr>
        <w:rPr>
          <w:snapToGrid w:val="0"/>
          <w:sz w:val="22"/>
          <w:lang w:val="el-GR"/>
        </w:rPr>
      </w:pPr>
      <w:r w:rsidRPr="002518FB">
        <w:rPr>
          <w:snapToGrid w:val="0"/>
          <w:sz w:val="22"/>
          <w:lang w:val="el-GR"/>
        </w:rPr>
        <w:t>Επιπρόσθετα, η</w:t>
      </w:r>
      <w:r w:rsidR="00F2446A" w:rsidRPr="002518FB">
        <w:rPr>
          <w:snapToGrid w:val="0"/>
          <w:sz w:val="22"/>
          <w:lang w:val="el-GR"/>
        </w:rPr>
        <w:t xml:space="preserve"> </w:t>
      </w:r>
      <w:proofErr w:type="spellStart"/>
      <w:r w:rsidR="00F2446A" w:rsidRPr="002518FB">
        <w:rPr>
          <w:snapToGrid w:val="0"/>
          <w:sz w:val="22"/>
          <w:lang w:val="el-GR"/>
        </w:rPr>
        <w:t>ατομοξετίνη</w:t>
      </w:r>
      <w:proofErr w:type="spellEnd"/>
      <w:r w:rsidR="00F2446A" w:rsidRPr="002518FB">
        <w:rPr>
          <w:snapToGrid w:val="0"/>
          <w:sz w:val="22"/>
          <w:lang w:val="el-GR"/>
        </w:rPr>
        <w:t xml:space="preserve"> θα πρέπει να χορηγείται με προσοχή σε ασθενείς με συγγεν</w:t>
      </w:r>
      <w:r w:rsidR="00C1618D" w:rsidRPr="002518FB">
        <w:rPr>
          <w:snapToGrid w:val="0"/>
          <w:sz w:val="22"/>
          <w:lang w:val="el-GR"/>
        </w:rPr>
        <w:t>ή</w:t>
      </w:r>
      <w:r w:rsidR="00F2446A" w:rsidRPr="002518FB">
        <w:rPr>
          <w:snapToGrid w:val="0"/>
          <w:sz w:val="22"/>
          <w:lang w:val="el-GR"/>
        </w:rPr>
        <w:t xml:space="preserve"> ή επίκτητ</w:t>
      </w:r>
      <w:r w:rsidR="00C1618D" w:rsidRPr="002518FB">
        <w:rPr>
          <w:snapToGrid w:val="0"/>
          <w:sz w:val="22"/>
          <w:lang w:val="el-GR"/>
        </w:rPr>
        <w:t>η παράταση του διαστή</w:t>
      </w:r>
      <w:r w:rsidR="00F2446A" w:rsidRPr="002518FB">
        <w:rPr>
          <w:snapToGrid w:val="0"/>
          <w:sz w:val="22"/>
          <w:lang w:val="el-GR"/>
        </w:rPr>
        <w:t>μα</w:t>
      </w:r>
      <w:r w:rsidR="00C1618D" w:rsidRPr="002518FB">
        <w:rPr>
          <w:snapToGrid w:val="0"/>
          <w:sz w:val="22"/>
          <w:lang w:val="el-GR"/>
        </w:rPr>
        <w:t>τος</w:t>
      </w:r>
      <w:r w:rsidR="00F2446A" w:rsidRPr="002518FB">
        <w:rPr>
          <w:snapToGrid w:val="0"/>
          <w:sz w:val="22"/>
          <w:lang w:val="el-GR"/>
        </w:rPr>
        <w:t xml:space="preserve"> </w:t>
      </w:r>
      <w:r w:rsidR="000F3434" w:rsidRPr="002518FB">
        <w:rPr>
          <w:sz w:val="22"/>
          <w:lang w:val="el-GR"/>
        </w:rPr>
        <w:t>QT</w:t>
      </w:r>
      <w:r w:rsidR="00F2446A" w:rsidRPr="002518FB">
        <w:rPr>
          <w:snapToGrid w:val="0"/>
          <w:sz w:val="22"/>
          <w:lang w:val="el-GR"/>
        </w:rPr>
        <w:t xml:space="preserve"> ή με οικογενειακό ιστορικό παράτασης του διαστήματος </w:t>
      </w:r>
      <w:r w:rsidR="000F3434" w:rsidRPr="002518FB">
        <w:rPr>
          <w:sz w:val="22"/>
          <w:lang w:val="el-GR"/>
        </w:rPr>
        <w:t>QT</w:t>
      </w:r>
      <w:r w:rsidR="00F2446A" w:rsidRPr="002518FB">
        <w:rPr>
          <w:snapToGrid w:val="0"/>
          <w:sz w:val="22"/>
          <w:lang w:val="el-GR"/>
        </w:rPr>
        <w:t xml:space="preserve"> (βλέπε παρ</w:t>
      </w:r>
      <w:r w:rsidRPr="002518FB">
        <w:rPr>
          <w:snapToGrid w:val="0"/>
          <w:sz w:val="22"/>
          <w:lang w:val="el-GR"/>
        </w:rPr>
        <w:t>ά</w:t>
      </w:r>
      <w:r w:rsidR="00F2446A" w:rsidRPr="002518FB">
        <w:rPr>
          <w:snapToGrid w:val="0"/>
          <w:sz w:val="22"/>
          <w:lang w:val="el-GR"/>
        </w:rPr>
        <w:t>γρ</w:t>
      </w:r>
      <w:r w:rsidRPr="002518FB">
        <w:rPr>
          <w:snapToGrid w:val="0"/>
          <w:sz w:val="22"/>
          <w:lang w:val="el-GR"/>
        </w:rPr>
        <w:t>α</w:t>
      </w:r>
      <w:r w:rsidR="00F2446A" w:rsidRPr="002518FB">
        <w:rPr>
          <w:snapToGrid w:val="0"/>
          <w:sz w:val="22"/>
          <w:lang w:val="el-GR"/>
        </w:rPr>
        <w:t xml:space="preserve">φο 4.5 και 4.8).    </w:t>
      </w:r>
    </w:p>
    <w:p w:rsidR="003C7DCC" w:rsidRPr="002518FB" w:rsidRDefault="003C7DCC">
      <w:pPr>
        <w:rPr>
          <w:snapToGrid w:val="0"/>
          <w:sz w:val="22"/>
          <w:lang w:val="el-GR"/>
        </w:rPr>
      </w:pPr>
    </w:p>
    <w:p w:rsidR="00B50FB0" w:rsidRPr="002518FB" w:rsidRDefault="00B50FB0">
      <w:pPr>
        <w:rPr>
          <w:snapToGrid w:val="0"/>
          <w:sz w:val="22"/>
          <w:lang w:val="el-GR"/>
        </w:rPr>
      </w:pPr>
      <w:r w:rsidRPr="002518FB">
        <w:rPr>
          <w:snapToGrid w:val="0"/>
          <w:sz w:val="22"/>
          <w:lang w:val="el-GR"/>
        </w:rPr>
        <w:t xml:space="preserve">Έχει επίσης αναφερθεί </w:t>
      </w:r>
      <w:proofErr w:type="spellStart"/>
      <w:r w:rsidRPr="002518FB">
        <w:rPr>
          <w:snapToGrid w:val="0"/>
          <w:sz w:val="22"/>
          <w:lang w:val="el-GR"/>
        </w:rPr>
        <w:t>ορθοστατική</w:t>
      </w:r>
      <w:proofErr w:type="spellEnd"/>
      <w:r w:rsidRPr="002518FB">
        <w:rPr>
          <w:snapToGrid w:val="0"/>
          <w:sz w:val="22"/>
          <w:lang w:val="el-GR"/>
        </w:rPr>
        <w:t xml:space="preserve"> υπόταση. Η </w:t>
      </w:r>
      <w:proofErr w:type="spellStart"/>
      <w:r w:rsidRPr="002518FB">
        <w:rPr>
          <w:snapToGrid w:val="0"/>
          <w:sz w:val="22"/>
          <w:lang w:val="el-GR"/>
        </w:rPr>
        <w:t>ατομοξετίνη</w:t>
      </w:r>
      <w:proofErr w:type="spellEnd"/>
      <w:r w:rsidRPr="002518FB">
        <w:rPr>
          <w:snapToGrid w:val="0"/>
          <w:sz w:val="22"/>
          <w:lang w:val="el-GR"/>
        </w:rPr>
        <w:t xml:space="preserve"> θα πρέπει να χορηγείται με προσοχή σε οποιαδήποτε κατάσταση που προδιαθέτει τους ασθενείς σε υπόταση ή σε καταστάσεις που σχετίζονται με </w:t>
      </w:r>
      <w:r w:rsidR="00F63085" w:rsidRPr="002518FB">
        <w:rPr>
          <w:snapToGrid w:val="0"/>
          <w:sz w:val="22"/>
          <w:lang w:val="el-GR"/>
        </w:rPr>
        <w:t xml:space="preserve">απότομες μεταβολές καρδιακού ρυθμού </w:t>
      </w:r>
      <w:r w:rsidRPr="002518FB">
        <w:rPr>
          <w:snapToGrid w:val="0"/>
          <w:sz w:val="22"/>
          <w:lang w:val="el-GR"/>
        </w:rPr>
        <w:t xml:space="preserve">ή </w:t>
      </w:r>
      <w:r w:rsidR="007823FB" w:rsidRPr="002518FB">
        <w:rPr>
          <w:snapToGrid w:val="0"/>
          <w:sz w:val="22"/>
          <w:lang w:val="el-GR"/>
        </w:rPr>
        <w:t xml:space="preserve">με </w:t>
      </w:r>
      <w:r w:rsidRPr="002518FB">
        <w:rPr>
          <w:snapToGrid w:val="0"/>
          <w:sz w:val="22"/>
          <w:lang w:val="el-GR"/>
        </w:rPr>
        <w:t>μεταβολές της αρτηριακής πίεσης.</w:t>
      </w:r>
    </w:p>
    <w:p w:rsidR="00B50FB0" w:rsidRPr="002518FB" w:rsidRDefault="00B50FB0">
      <w:pPr>
        <w:rPr>
          <w:snapToGrid w:val="0"/>
          <w:sz w:val="22"/>
          <w:lang w:val="el-GR"/>
        </w:rPr>
      </w:pPr>
    </w:p>
    <w:p w:rsidR="003D4E0B" w:rsidRPr="002518FB" w:rsidRDefault="0021494E">
      <w:pPr>
        <w:rPr>
          <w:snapToGrid w:val="0"/>
          <w:sz w:val="22"/>
          <w:szCs w:val="22"/>
          <w:u w:val="single"/>
          <w:lang w:val="el-GR"/>
        </w:rPr>
      </w:pPr>
      <w:proofErr w:type="spellStart"/>
      <w:r w:rsidRPr="002518FB">
        <w:rPr>
          <w:snapToGrid w:val="0"/>
          <w:sz w:val="22"/>
          <w:szCs w:val="22"/>
          <w:u w:val="single"/>
          <w:lang w:val="el-GR"/>
        </w:rPr>
        <w:t>Αγγειοεγκεφαλικές</w:t>
      </w:r>
      <w:proofErr w:type="spellEnd"/>
      <w:r w:rsidRPr="002518FB">
        <w:rPr>
          <w:snapToGrid w:val="0"/>
          <w:sz w:val="22"/>
          <w:szCs w:val="22"/>
          <w:u w:val="single"/>
          <w:lang w:val="el-GR"/>
        </w:rPr>
        <w:t xml:space="preserve"> επιδράσεις</w:t>
      </w:r>
    </w:p>
    <w:p w:rsidR="001B1B16" w:rsidRPr="002518FB" w:rsidRDefault="00486B27">
      <w:pPr>
        <w:rPr>
          <w:rStyle w:val="hps"/>
          <w:sz w:val="22"/>
          <w:szCs w:val="22"/>
          <w:lang w:val="el-GR"/>
        </w:rPr>
      </w:pPr>
      <w:r w:rsidRPr="002518FB">
        <w:rPr>
          <w:rStyle w:val="hps"/>
          <w:sz w:val="22"/>
          <w:szCs w:val="22"/>
          <w:lang w:val="el-GR"/>
        </w:rPr>
        <w:t xml:space="preserve">Οι ασθενείς με επιπρόσθετους παράγοντες κινδύνου για </w:t>
      </w:r>
      <w:proofErr w:type="spellStart"/>
      <w:r w:rsidRPr="002518FB">
        <w:rPr>
          <w:rStyle w:val="hps"/>
          <w:sz w:val="22"/>
          <w:szCs w:val="22"/>
          <w:lang w:val="el-GR"/>
        </w:rPr>
        <w:t>αγγειοεγκεφαλικές</w:t>
      </w:r>
      <w:proofErr w:type="spellEnd"/>
      <w:r w:rsidRPr="002518FB">
        <w:rPr>
          <w:rStyle w:val="hps"/>
          <w:sz w:val="22"/>
          <w:szCs w:val="22"/>
          <w:lang w:val="el-GR"/>
        </w:rPr>
        <w:t xml:space="preserve"> καταστάσεις (όπως με ιστορικό καρδιαγγειακής νόσου, </w:t>
      </w:r>
      <w:proofErr w:type="spellStart"/>
      <w:r w:rsidRPr="002518FB">
        <w:rPr>
          <w:rStyle w:val="hps"/>
          <w:sz w:val="22"/>
          <w:szCs w:val="22"/>
          <w:lang w:val="el-GR"/>
        </w:rPr>
        <w:t>συγχορηγούμενα</w:t>
      </w:r>
      <w:proofErr w:type="spellEnd"/>
      <w:r w:rsidRPr="002518FB">
        <w:rPr>
          <w:rStyle w:val="hps"/>
          <w:sz w:val="22"/>
          <w:szCs w:val="22"/>
          <w:lang w:val="el-GR"/>
        </w:rPr>
        <w:t xml:space="preserve"> φάρμακα που αυξάνουν την αρτηριακή πίεση) θα πρέπει να αξιολογούνται σε κάθε επίσκεψη για νευρολογικά σημεία και συμπτώματα </w:t>
      </w:r>
      <w:r w:rsidR="001E0482" w:rsidRPr="002518FB">
        <w:rPr>
          <w:rStyle w:val="hps"/>
          <w:sz w:val="22"/>
          <w:szCs w:val="22"/>
          <w:lang w:val="el-GR"/>
        </w:rPr>
        <w:t xml:space="preserve">μετά την έναρξη της θεραπείας με </w:t>
      </w:r>
      <w:proofErr w:type="spellStart"/>
      <w:r w:rsidR="001E0482" w:rsidRPr="002518FB">
        <w:rPr>
          <w:rStyle w:val="hps"/>
          <w:sz w:val="22"/>
          <w:szCs w:val="22"/>
          <w:lang w:val="el-GR"/>
        </w:rPr>
        <w:t>ατομοξετίνη</w:t>
      </w:r>
      <w:proofErr w:type="spellEnd"/>
      <w:r w:rsidR="001E0482" w:rsidRPr="002518FB">
        <w:rPr>
          <w:rStyle w:val="hps"/>
          <w:sz w:val="22"/>
          <w:szCs w:val="22"/>
          <w:lang w:val="el-GR"/>
        </w:rPr>
        <w:t>.</w:t>
      </w:r>
    </w:p>
    <w:p w:rsidR="001B1B16" w:rsidRPr="002518FB" w:rsidRDefault="001B1B16">
      <w:pPr>
        <w:rPr>
          <w:rStyle w:val="hps"/>
          <w:rFonts w:ascii="Arial" w:hAnsi="Arial" w:cs="Arial"/>
          <w:sz w:val="19"/>
          <w:szCs w:val="19"/>
          <w:lang w:val="el-GR"/>
        </w:rPr>
      </w:pPr>
    </w:p>
    <w:p w:rsidR="00243E92" w:rsidRPr="002518FB" w:rsidRDefault="00243E92">
      <w:pPr>
        <w:rPr>
          <w:snapToGrid w:val="0"/>
          <w:sz w:val="22"/>
          <w:u w:val="single"/>
          <w:lang w:val="el-GR"/>
        </w:rPr>
      </w:pPr>
      <w:r w:rsidRPr="002518FB">
        <w:rPr>
          <w:snapToGrid w:val="0"/>
          <w:sz w:val="22"/>
          <w:u w:val="single"/>
          <w:lang w:val="el-GR"/>
        </w:rPr>
        <w:t>Ηπατικ</w:t>
      </w:r>
      <w:r w:rsidR="00AE0394" w:rsidRPr="002518FB">
        <w:rPr>
          <w:snapToGrid w:val="0"/>
          <w:sz w:val="22"/>
          <w:u w:val="single"/>
          <w:lang w:val="el-GR"/>
        </w:rPr>
        <w:t>ές επιδράσεις</w:t>
      </w:r>
    </w:p>
    <w:p w:rsidR="006D2D93" w:rsidRPr="002518FB" w:rsidRDefault="006D2D93">
      <w:pPr>
        <w:rPr>
          <w:snapToGrid w:val="0"/>
          <w:sz w:val="22"/>
          <w:lang w:val="el-GR"/>
        </w:rPr>
      </w:pPr>
      <w:r w:rsidRPr="002518FB">
        <w:rPr>
          <w:snapToGrid w:val="0"/>
          <w:sz w:val="22"/>
          <w:lang w:val="el-GR"/>
        </w:rPr>
        <w:t xml:space="preserve">Πολύ σπάνια, </w:t>
      </w:r>
      <w:r w:rsidR="001E0482" w:rsidRPr="002518FB">
        <w:rPr>
          <w:snapToGrid w:val="0"/>
          <w:sz w:val="22"/>
          <w:lang w:val="el-GR"/>
        </w:rPr>
        <w:t xml:space="preserve">αυθόρμητες αναφορές </w:t>
      </w:r>
      <w:r w:rsidRPr="002518FB">
        <w:rPr>
          <w:snapToGrid w:val="0"/>
          <w:sz w:val="22"/>
          <w:lang w:val="el-GR"/>
        </w:rPr>
        <w:t>ηπατικ</w:t>
      </w:r>
      <w:r w:rsidR="001E0482" w:rsidRPr="002518FB">
        <w:rPr>
          <w:snapToGrid w:val="0"/>
          <w:sz w:val="22"/>
          <w:lang w:val="el-GR"/>
        </w:rPr>
        <w:t>ών βλαβών</w:t>
      </w:r>
      <w:r w:rsidRPr="002518FB">
        <w:rPr>
          <w:snapToGrid w:val="0"/>
          <w:sz w:val="22"/>
          <w:lang w:val="el-GR"/>
        </w:rPr>
        <w:t>, εμφανιζόμεν</w:t>
      </w:r>
      <w:r w:rsidR="008E6371" w:rsidRPr="002518FB">
        <w:rPr>
          <w:snapToGrid w:val="0"/>
          <w:sz w:val="22"/>
          <w:lang w:val="el-GR"/>
        </w:rPr>
        <w:t>ες</w:t>
      </w:r>
      <w:r w:rsidRPr="002518FB">
        <w:rPr>
          <w:snapToGrid w:val="0"/>
          <w:sz w:val="22"/>
          <w:lang w:val="el-GR"/>
        </w:rPr>
        <w:t xml:space="preserve"> με αύξηση των ηπατικών ενζύμων και της </w:t>
      </w:r>
      <w:proofErr w:type="spellStart"/>
      <w:r w:rsidRPr="002518FB">
        <w:rPr>
          <w:snapToGrid w:val="0"/>
          <w:sz w:val="22"/>
          <w:lang w:val="el-GR"/>
        </w:rPr>
        <w:t>χολερυθρίνης</w:t>
      </w:r>
      <w:proofErr w:type="spellEnd"/>
      <w:r w:rsidRPr="002518FB">
        <w:rPr>
          <w:snapToGrid w:val="0"/>
          <w:sz w:val="22"/>
          <w:lang w:val="el-GR"/>
        </w:rPr>
        <w:t xml:space="preserve"> με ίκτερο, έχ</w:t>
      </w:r>
      <w:r w:rsidR="001E0482" w:rsidRPr="002518FB">
        <w:rPr>
          <w:snapToGrid w:val="0"/>
          <w:sz w:val="22"/>
          <w:lang w:val="el-GR"/>
        </w:rPr>
        <w:t xml:space="preserve">ουν </w:t>
      </w:r>
      <w:r w:rsidRPr="002518FB">
        <w:rPr>
          <w:snapToGrid w:val="0"/>
          <w:sz w:val="22"/>
          <w:lang w:val="el-GR"/>
        </w:rPr>
        <w:t xml:space="preserve">αναφερθεί. </w:t>
      </w:r>
      <w:r w:rsidR="001E0482" w:rsidRPr="002518FB">
        <w:rPr>
          <w:snapToGrid w:val="0"/>
          <w:sz w:val="22"/>
          <w:lang w:val="el-GR"/>
        </w:rPr>
        <w:t xml:space="preserve">Επίσης πολύ σπάνια, έχει αναφερθεί σοβαρή ηπατική </w:t>
      </w:r>
      <w:r w:rsidR="008E6371" w:rsidRPr="002518FB">
        <w:rPr>
          <w:snapToGrid w:val="0"/>
          <w:sz w:val="22"/>
          <w:lang w:val="el-GR"/>
        </w:rPr>
        <w:t>βλάβη</w:t>
      </w:r>
      <w:r w:rsidR="001E0482" w:rsidRPr="002518FB">
        <w:rPr>
          <w:snapToGrid w:val="0"/>
          <w:sz w:val="22"/>
          <w:lang w:val="el-GR"/>
        </w:rPr>
        <w:t xml:space="preserve">, περιλαμβανομένης της οξείας ηπατικής ανεπάρκειας. Η αγωγή του </w:t>
      </w:r>
      <w:proofErr w:type="spellStart"/>
      <w:r w:rsidR="000F3434" w:rsidRPr="002518FB">
        <w:rPr>
          <w:sz w:val="22"/>
          <w:lang w:val="el-GR"/>
        </w:rPr>
        <w:t>Strattera</w:t>
      </w:r>
      <w:proofErr w:type="spellEnd"/>
      <w:r w:rsidR="001E0482" w:rsidRPr="002518FB">
        <w:rPr>
          <w:snapToGrid w:val="0"/>
          <w:sz w:val="22"/>
          <w:lang w:val="el-GR"/>
        </w:rPr>
        <w:t xml:space="preserve"> θα πρέπει να διακόπτεται </w:t>
      </w:r>
      <w:r w:rsidR="00FC7572" w:rsidRPr="002518FB">
        <w:rPr>
          <w:snapToGrid w:val="0"/>
          <w:sz w:val="22"/>
          <w:lang w:val="el-GR"/>
        </w:rPr>
        <w:t xml:space="preserve">και δεν θα πρέπει να επαναρχίζει </w:t>
      </w:r>
      <w:r w:rsidR="001E0482" w:rsidRPr="002518FB">
        <w:rPr>
          <w:snapToGrid w:val="0"/>
          <w:sz w:val="22"/>
          <w:lang w:val="el-GR"/>
        </w:rPr>
        <w:t>σε ασθενείς με ίκτερο ή εργαστηριακές ενδείξεις ηπατικής βλάβης.</w:t>
      </w:r>
    </w:p>
    <w:p w:rsidR="001E0482" w:rsidRPr="002518FB" w:rsidRDefault="001E0482">
      <w:pPr>
        <w:rPr>
          <w:snapToGrid w:val="0"/>
          <w:sz w:val="22"/>
          <w:lang w:val="el-GR"/>
        </w:rPr>
      </w:pPr>
    </w:p>
    <w:p w:rsidR="00706DE8" w:rsidRPr="002518FB" w:rsidRDefault="00606F7F" w:rsidP="006B31A9">
      <w:pPr>
        <w:rPr>
          <w:sz w:val="22"/>
          <w:szCs w:val="22"/>
          <w:u w:val="single"/>
          <w:lang w:val="el-GR"/>
        </w:rPr>
      </w:pPr>
      <w:proofErr w:type="spellStart"/>
      <w:r w:rsidRPr="002518FB">
        <w:rPr>
          <w:sz w:val="22"/>
          <w:szCs w:val="22"/>
          <w:u w:val="single"/>
          <w:lang w:val="el-GR"/>
        </w:rPr>
        <w:t>Ψυχωσ</w:t>
      </w:r>
      <w:r w:rsidR="002F037B" w:rsidRPr="002518FB">
        <w:rPr>
          <w:sz w:val="22"/>
          <w:szCs w:val="22"/>
          <w:u w:val="single"/>
          <w:lang w:val="el-GR"/>
        </w:rPr>
        <w:t>ικά</w:t>
      </w:r>
      <w:proofErr w:type="spellEnd"/>
      <w:r w:rsidR="002F037B" w:rsidRPr="002518FB">
        <w:rPr>
          <w:sz w:val="22"/>
          <w:szCs w:val="22"/>
          <w:u w:val="single"/>
          <w:lang w:val="el-GR"/>
        </w:rPr>
        <w:t xml:space="preserve"> ή </w:t>
      </w:r>
      <w:r w:rsidR="00F818C0" w:rsidRPr="002518FB">
        <w:rPr>
          <w:sz w:val="22"/>
          <w:szCs w:val="22"/>
          <w:u w:val="single"/>
          <w:lang w:val="el-GR"/>
        </w:rPr>
        <w:t>μανιακά συμπτώματα</w:t>
      </w:r>
    </w:p>
    <w:p w:rsidR="00706DE8" w:rsidRPr="002518FB" w:rsidRDefault="0023229A" w:rsidP="006B31A9">
      <w:pPr>
        <w:rPr>
          <w:sz w:val="22"/>
          <w:szCs w:val="22"/>
          <w:lang w:val="el-GR"/>
        </w:rPr>
      </w:pPr>
      <w:r w:rsidRPr="002518FB">
        <w:rPr>
          <w:sz w:val="22"/>
          <w:szCs w:val="22"/>
          <w:lang w:val="el-GR"/>
        </w:rPr>
        <w:t xml:space="preserve">Επαγόμενα </w:t>
      </w:r>
      <w:r w:rsidR="006C1EE5" w:rsidRPr="002518FB">
        <w:rPr>
          <w:sz w:val="22"/>
          <w:szCs w:val="22"/>
          <w:lang w:val="el-GR"/>
        </w:rPr>
        <w:t>σοβαρ</w:t>
      </w:r>
      <w:r w:rsidRPr="002518FB">
        <w:rPr>
          <w:sz w:val="22"/>
          <w:szCs w:val="22"/>
          <w:lang w:val="el-GR"/>
        </w:rPr>
        <w:t>ά</w:t>
      </w:r>
      <w:r w:rsidR="00C118FC" w:rsidRPr="002518FB">
        <w:rPr>
          <w:sz w:val="22"/>
          <w:szCs w:val="22"/>
          <w:lang w:val="el-GR"/>
        </w:rPr>
        <w:t xml:space="preserve"> </w:t>
      </w:r>
      <w:proofErr w:type="spellStart"/>
      <w:r w:rsidR="00C118FC" w:rsidRPr="002518FB">
        <w:rPr>
          <w:sz w:val="22"/>
          <w:szCs w:val="22"/>
          <w:lang w:val="el-GR"/>
        </w:rPr>
        <w:t>ψ</w:t>
      </w:r>
      <w:r w:rsidR="006C1EE5" w:rsidRPr="002518FB">
        <w:rPr>
          <w:sz w:val="22"/>
          <w:szCs w:val="22"/>
          <w:lang w:val="el-GR"/>
        </w:rPr>
        <w:t>υχωσ</w:t>
      </w:r>
      <w:r w:rsidR="00C118FC" w:rsidRPr="002518FB">
        <w:rPr>
          <w:sz w:val="22"/>
          <w:szCs w:val="22"/>
          <w:lang w:val="el-GR"/>
        </w:rPr>
        <w:t>ικ</w:t>
      </w:r>
      <w:r w:rsidRPr="002518FB">
        <w:rPr>
          <w:sz w:val="22"/>
          <w:szCs w:val="22"/>
          <w:lang w:val="el-GR"/>
        </w:rPr>
        <w:t>ά</w:t>
      </w:r>
      <w:proofErr w:type="spellEnd"/>
      <w:r w:rsidR="00C118FC" w:rsidRPr="002518FB">
        <w:rPr>
          <w:sz w:val="22"/>
          <w:szCs w:val="22"/>
          <w:lang w:val="el-GR"/>
        </w:rPr>
        <w:t xml:space="preserve"> ή μανιακ</w:t>
      </w:r>
      <w:r w:rsidRPr="002518FB">
        <w:rPr>
          <w:sz w:val="22"/>
          <w:szCs w:val="22"/>
          <w:lang w:val="el-GR"/>
        </w:rPr>
        <w:t>ά</w:t>
      </w:r>
      <w:r w:rsidR="00C118FC" w:rsidRPr="002518FB">
        <w:rPr>
          <w:sz w:val="22"/>
          <w:szCs w:val="22"/>
          <w:lang w:val="el-GR"/>
        </w:rPr>
        <w:t xml:space="preserve"> συμπτ</w:t>
      </w:r>
      <w:r w:rsidRPr="002518FB">
        <w:rPr>
          <w:sz w:val="22"/>
          <w:szCs w:val="22"/>
          <w:lang w:val="el-GR"/>
        </w:rPr>
        <w:t>ώματα</w:t>
      </w:r>
      <w:r w:rsidR="00C118FC" w:rsidRPr="002518FB">
        <w:rPr>
          <w:sz w:val="22"/>
          <w:szCs w:val="22"/>
          <w:lang w:val="el-GR"/>
        </w:rPr>
        <w:t>, π.χ., ψευδαισθήσεις, παραληρητικέ</w:t>
      </w:r>
      <w:r w:rsidR="006C1E78" w:rsidRPr="002518FB">
        <w:rPr>
          <w:sz w:val="22"/>
          <w:szCs w:val="22"/>
          <w:lang w:val="el-GR"/>
        </w:rPr>
        <w:t>ς σκέψεις, μανία</w:t>
      </w:r>
      <w:r w:rsidR="00C118FC" w:rsidRPr="002518FB">
        <w:rPr>
          <w:sz w:val="22"/>
          <w:szCs w:val="22"/>
          <w:lang w:val="el-GR"/>
        </w:rPr>
        <w:t xml:space="preserve">, διέγερση σε </w:t>
      </w:r>
      <w:r w:rsidR="003177F1" w:rsidRPr="002518FB">
        <w:rPr>
          <w:sz w:val="22"/>
          <w:szCs w:val="22"/>
          <w:lang w:val="el-GR"/>
        </w:rPr>
        <w:t xml:space="preserve">ασθενείς </w:t>
      </w:r>
      <w:r w:rsidR="00796627" w:rsidRPr="002518FB">
        <w:rPr>
          <w:sz w:val="22"/>
          <w:szCs w:val="22"/>
          <w:lang w:val="el-GR"/>
        </w:rPr>
        <w:t xml:space="preserve">χωρίς προηγούμενο ιστορικό </w:t>
      </w:r>
      <w:proofErr w:type="spellStart"/>
      <w:r w:rsidR="00796627" w:rsidRPr="002518FB">
        <w:rPr>
          <w:sz w:val="22"/>
          <w:szCs w:val="22"/>
          <w:lang w:val="el-GR"/>
        </w:rPr>
        <w:t>ψυχωσ</w:t>
      </w:r>
      <w:r w:rsidR="00C118FC" w:rsidRPr="002518FB">
        <w:rPr>
          <w:sz w:val="22"/>
          <w:szCs w:val="22"/>
          <w:lang w:val="el-GR"/>
        </w:rPr>
        <w:t>ικής</w:t>
      </w:r>
      <w:proofErr w:type="spellEnd"/>
      <w:r w:rsidR="00C118FC" w:rsidRPr="002518FB">
        <w:rPr>
          <w:sz w:val="22"/>
          <w:szCs w:val="22"/>
          <w:lang w:val="el-GR"/>
        </w:rPr>
        <w:t xml:space="preserve"> ασθένειας ή μανίας μπορεί να προκληθ</w:t>
      </w:r>
      <w:r w:rsidR="009C5A8A" w:rsidRPr="002518FB">
        <w:rPr>
          <w:sz w:val="22"/>
          <w:szCs w:val="22"/>
          <w:lang w:val="el-GR"/>
        </w:rPr>
        <w:t>ούν</w:t>
      </w:r>
      <w:r w:rsidR="00C118FC" w:rsidRPr="002518FB">
        <w:rPr>
          <w:sz w:val="22"/>
          <w:szCs w:val="22"/>
          <w:lang w:val="el-GR"/>
        </w:rPr>
        <w:t xml:space="preserve"> από τη χορήγηση της </w:t>
      </w:r>
      <w:proofErr w:type="spellStart"/>
      <w:r w:rsidR="00C118FC" w:rsidRPr="002518FB">
        <w:rPr>
          <w:sz w:val="22"/>
          <w:szCs w:val="22"/>
          <w:lang w:val="el-GR"/>
        </w:rPr>
        <w:t>ατομοξετίνης</w:t>
      </w:r>
      <w:proofErr w:type="spellEnd"/>
      <w:r w:rsidR="00C118FC" w:rsidRPr="002518FB">
        <w:rPr>
          <w:sz w:val="22"/>
          <w:szCs w:val="22"/>
          <w:lang w:val="el-GR"/>
        </w:rPr>
        <w:t xml:space="preserve"> στη συνήθη δοσολογία. Εάν εμφανιστούν τέτοια συμπτώματα, </w:t>
      </w:r>
      <w:r w:rsidR="00617334" w:rsidRPr="002518FB">
        <w:rPr>
          <w:sz w:val="22"/>
          <w:szCs w:val="22"/>
          <w:lang w:val="el-GR"/>
        </w:rPr>
        <w:t xml:space="preserve">θα πρέπει να εξεταστεί ο πιθανός αιτιολογικός </w:t>
      </w:r>
      <w:r w:rsidRPr="002518FB">
        <w:rPr>
          <w:sz w:val="22"/>
          <w:szCs w:val="22"/>
          <w:lang w:val="el-GR"/>
        </w:rPr>
        <w:t>συσχετισμός</w:t>
      </w:r>
      <w:r w:rsidR="00617334" w:rsidRPr="002518FB">
        <w:rPr>
          <w:sz w:val="22"/>
          <w:szCs w:val="22"/>
          <w:lang w:val="el-GR"/>
        </w:rPr>
        <w:t xml:space="preserve"> της </w:t>
      </w:r>
      <w:proofErr w:type="spellStart"/>
      <w:r w:rsidR="00617334" w:rsidRPr="002518FB">
        <w:rPr>
          <w:sz w:val="22"/>
          <w:szCs w:val="22"/>
          <w:lang w:val="el-GR"/>
        </w:rPr>
        <w:t>ατομοξετίνης</w:t>
      </w:r>
      <w:proofErr w:type="spellEnd"/>
      <w:r w:rsidR="00617334" w:rsidRPr="002518FB">
        <w:rPr>
          <w:sz w:val="22"/>
          <w:szCs w:val="22"/>
          <w:lang w:val="el-GR"/>
        </w:rPr>
        <w:t xml:space="preserve"> και θα πρέπει να ληφθεί υπόψη η διακοπή της θεραπείας. Η πιθανότητα το </w:t>
      </w:r>
      <w:proofErr w:type="spellStart"/>
      <w:r w:rsidR="000F3434" w:rsidRPr="002518FB">
        <w:rPr>
          <w:sz w:val="22"/>
          <w:lang w:val="el-GR"/>
        </w:rPr>
        <w:t>Strattera</w:t>
      </w:r>
      <w:proofErr w:type="spellEnd"/>
      <w:r w:rsidR="00617334" w:rsidRPr="002518FB">
        <w:rPr>
          <w:sz w:val="22"/>
          <w:szCs w:val="22"/>
          <w:lang w:val="el-GR"/>
        </w:rPr>
        <w:t xml:space="preserve"> να προκαλέσει την παρόξυνση των προϋπαρχόντων </w:t>
      </w:r>
      <w:proofErr w:type="spellStart"/>
      <w:r w:rsidR="00617334" w:rsidRPr="002518FB">
        <w:rPr>
          <w:sz w:val="22"/>
          <w:szCs w:val="22"/>
          <w:lang w:val="el-GR"/>
        </w:rPr>
        <w:t>ψυχω</w:t>
      </w:r>
      <w:r w:rsidR="008E6371" w:rsidRPr="002518FB">
        <w:rPr>
          <w:sz w:val="22"/>
          <w:szCs w:val="22"/>
          <w:lang w:val="el-GR"/>
        </w:rPr>
        <w:t>σ</w:t>
      </w:r>
      <w:r w:rsidR="00617334" w:rsidRPr="002518FB">
        <w:rPr>
          <w:sz w:val="22"/>
          <w:szCs w:val="22"/>
          <w:lang w:val="el-GR"/>
        </w:rPr>
        <w:t>ικών</w:t>
      </w:r>
      <w:proofErr w:type="spellEnd"/>
      <w:r w:rsidR="00617334" w:rsidRPr="002518FB">
        <w:rPr>
          <w:sz w:val="22"/>
          <w:szCs w:val="22"/>
          <w:lang w:val="el-GR"/>
        </w:rPr>
        <w:t xml:space="preserve"> ή μανιακών συμπτωμάτων δεν μπορεί να αποκλεισθεί. </w:t>
      </w:r>
    </w:p>
    <w:p w:rsidR="00C118FC" w:rsidRPr="002518FB" w:rsidRDefault="00C118FC" w:rsidP="006B31A9">
      <w:pPr>
        <w:rPr>
          <w:snapToGrid w:val="0"/>
          <w:sz w:val="22"/>
          <w:lang w:val="el-GR"/>
        </w:rPr>
      </w:pPr>
    </w:p>
    <w:p w:rsidR="00F93E55" w:rsidRPr="002518FB" w:rsidRDefault="00F93E55" w:rsidP="006B31A9">
      <w:pPr>
        <w:rPr>
          <w:snapToGrid w:val="0"/>
          <w:sz w:val="22"/>
          <w:u w:val="single"/>
          <w:lang w:val="el-GR"/>
        </w:rPr>
      </w:pPr>
      <w:r w:rsidRPr="002518FB">
        <w:rPr>
          <w:snapToGrid w:val="0"/>
          <w:sz w:val="22"/>
          <w:u w:val="single"/>
          <w:lang w:val="el-GR"/>
        </w:rPr>
        <w:t>Επιθετική συμπεριφορά, εχθρική συμπεριφορά ή συναισθηματική αστάθεια</w:t>
      </w:r>
    </w:p>
    <w:p w:rsidR="0099767A" w:rsidRPr="002518FB" w:rsidRDefault="002A40D0" w:rsidP="006B31A9">
      <w:pPr>
        <w:rPr>
          <w:snapToGrid w:val="0"/>
          <w:sz w:val="22"/>
          <w:lang w:val="el-GR"/>
        </w:rPr>
      </w:pPr>
      <w:r w:rsidRPr="002518FB">
        <w:rPr>
          <w:snapToGrid w:val="0"/>
          <w:sz w:val="22"/>
          <w:lang w:val="el-GR"/>
        </w:rPr>
        <w:t>Η εμφάνιση εχθρικής συμπεριφοράς (κυρίως επιθετικότητα,</w:t>
      </w:r>
      <w:r w:rsidR="003B6E6F" w:rsidRPr="002518FB">
        <w:rPr>
          <w:snapToGrid w:val="0"/>
          <w:sz w:val="22"/>
          <w:lang w:val="el-GR"/>
        </w:rPr>
        <w:t xml:space="preserve"> </w:t>
      </w:r>
      <w:proofErr w:type="spellStart"/>
      <w:r w:rsidRPr="002518FB">
        <w:rPr>
          <w:snapToGrid w:val="0"/>
          <w:sz w:val="22"/>
          <w:lang w:val="el-GR"/>
        </w:rPr>
        <w:t>εναντιωτική</w:t>
      </w:r>
      <w:proofErr w:type="spellEnd"/>
      <w:r w:rsidRPr="002518FB">
        <w:rPr>
          <w:snapToGrid w:val="0"/>
          <w:sz w:val="22"/>
          <w:lang w:val="el-GR"/>
        </w:rPr>
        <w:t xml:space="preserve"> συμπεριφορά και θυμός) παρατηρήθηκε με μεγαλύτερη συχνότητα σε κλινικές μελέτες με παιδιά</w:t>
      </w:r>
      <w:r w:rsidR="00DB7BB9" w:rsidRPr="002518FB">
        <w:rPr>
          <w:snapToGrid w:val="0"/>
          <w:sz w:val="22"/>
          <w:lang w:val="el-GR"/>
        </w:rPr>
        <w:t>,</w:t>
      </w:r>
      <w:r w:rsidRPr="002518FB">
        <w:rPr>
          <w:snapToGrid w:val="0"/>
          <w:sz w:val="22"/>
          <w:lang w:val="el-GR"/>
        </w:rPr>
        <w:t xml:space="preserve"> εφήβους </w:t>
      </w:r>
      <w:r w:rsidR="00DB7BB9" w:rsidRPr="002518FB">
        <w:rPr>
          <w:snapToGrid w:val="0"/>
          <w:sz w:val="22"/>
          <w:lang w:val="el-GR"/>
        </w:rPr>
        <w:t xml:space="preserve">και ενήλικες </w:t>
      </w:r>
      <w:r w:rsidRPr="002518FB">
        <w:rPr>
          <w:snapToGrid w:val="0"/>
          <w:sz w:val="22"/>
          <w:lang w:val="el-GR"/>
        </w:rPr>
        <w:t xml:space="preserve">που λάμβαναν </w:t>
      </w:r>
      <w:proofErr w:type="spellStart"/>
      <w:r w:rsidR="000F3434" w:rsidRPr="002518FB">
        <w:rPr>
          <w:sz w:val="22"/>
          <w:lang w:val="el-GR"/>
        </w:rPr>
        <w:t>Strattera</w:t>
      </w:r>
      <w:proofErr w:type="spellEnd"/>
      <w:r w:rsidRPr="002518FB">
        <w:rPr>
          <w:snapToGrid w:val="0"/>
          <w:sz w:val="22"/>
          <w:lang w:val="el-GR"/>
        </w:rPr>
        <w:t xml:space="preserve"> σε σύγκριση με </w:t>
      </w:r>
      <w:r w:rsidR="003F6D20" w:rsidRPr="002518FB">
        <w:rPr>
          <w:snapToGrid w:val="0"/>
          <w:sz w:val="22"/>
          <w:lang w:val="el-GR"/>
        </w:rPr>
        <w:t xml:space="preserve">ασθενείς </w:t>
      </w:r>
      <w:r w:rsidR="00B811F7" w:rsidRPr="002518FB">
        <w:rPr>
          <w:snapToGrid w:val="0"/>
          <w:sz w:val="22"/>
          <w:lang w:val="el-GR"/>
        </w:rPr>
        <w:t xml:space="preserve">που λάμβαναν εικονικό φάρμακο. </w:t>
      </w:r>
      <w:r w:rsidR="00714779" w:rsidRPr="002518FB">
        <w:rPr>
          <w:rFonts w:eastAsia="Calibri"/>
          <w:sz w:val="22"/>
          <w:lang w:val="el-GR" w:eastAsia="el-GR"/>
        </w:rPr>
        <w:t xml:space="preserve">Σε κλινικές μελέτες, </w:t>
      </w:r>
      <w:r w:rsidR="00714779" w:rsidRPr="002518FB">
        <w:rPr>
          <w:rFonts w:eastAsia="Calibri"/>
          <w:sz w:val="22"/>
          <w:lang w:val="el-GR" w:eastAsia="el-GR"/>
        </w:rPr>
        <w:lastRenderedPageBreak/>
        <w:t>σ</w:t>
      </w:r>
      <w:r w:rsidR="00DB7BB9" w:rsidRPr="002518FB">
        <w:rPr>
          <w:rFonts w:eastAsia="Calibri"/>
          <w:sz w:val="22"/>
          <w:lang w:val="el-GR" w:eastAsia="el-GR"/>
        </w:rPr>
        <w:t xml:space="preserve">υναισθηματική αστάθεια παρατηρήθηκε συχνότερα </w:t>
      </w:r>
      <w:r w:rsidR="00714779" w:rsidRPr="002518FB">
        <w:rPr>
          <w:rFonts w:eastAsia="Calibri"/>
          <w:sz w:val="22"/>
          <w:lang w:val="el-GR" w:eastAsia="el-GR"/>
        </w:rPr>
        <w:t>στα</w:t>
      </w:r>
      <w:r w:rsidR="00DB7BB9" w:rsidRPr="002518FB">
        <w:rPr>
          <w:rFonts w:eastAsia="Calibri"/>
          <w:sz w:val="22"/>
          <w:lang w:val="el-GR" w:eastAsia="el-GR"/>
        </w:rPr>
        <w:t xml:space="preserve"> παιδι</w:t>
      </w:r>
      <w:r w:rsidR="00714779" w:rsidRPr="002518FB">
        <w:rPr>
          <w:rFonts w:eastAsia="Calibri"/>
          <w:sz w:val="22"/>
          <w:lang w:val="el-GR" w:eastAsia="el-GR"/>
        </w:rPr>
        <w:t>ά</w:t>
      </w:r>
      <w:r w:rsidR="00DB7BB9" w:rsidRPr="002518FB">
        <w:rPr>
          <w:rFonts w:eastAsia="Calibri"/>
          <w:sz w:val="22"/>
          <w:lang w:val="el-GR" w:eastAsia="el-GR"/>
        </w:rPr>
        <w:t xml:space="preserve"> που λάμβαναν θεραπεία με </w:t>
      </w:r>
      <w:proofErr w:type="spellStart"/>
      <w:r w:rsidR="00DB7BB9" w:rsidRPr="002518FB">
        <w:rPr>
          <w:rFonts w:eastAsia="Calibri"/>
          <w:sz w:val="22"/>
          <w:lang w:val="el-GR" w:eastAsia="el-GR"/>
        </w:rPr>
        <w:t>Strattera</w:t>
      </w:r>
      <w:proofErr w:type="spellEnd"/>
      <w:r w:rsidR="00DB7BB9" w:rsidRPr="002518FB">
        <w:rPr>
          <w:rFonts w:eastAsia="Calibri"/>
          <w:sz w:val="22"/>
          <w:lang w:val="el-GR" w:eastAsia="el-GR"/>
        </w:rPr>
        <w:t xml:space="preserve"> σε σύγκριση με εκείνα που λάμβαναν θεραπεία με εικονικό φάρμακο. </w:t>
      </w:r>
      <w:r w:rsidR="00F93E55" w:rsidRPr="002518FB">
        <w:rPr>
          <w:snapToGrid w:val="0"/>
          <w:sz w:val="22"/>
          <w:lang w:val="el-GR"/>
        </w:rPr>
        <w:t>Οι ασθενείς θα πρέπει να παρακολουθούνται στενά για την εμφάνιση ή την επιδείνωση επιθετικής και εχθρικής συμπεριφοράς ή συναισθηματικής αστάθειας.</w:t>
      </w:r>
    </w:p>
    <w:p w:rsidR="00A0313E" w:rsidRPr="002518FB" w:rsidRDefault="00A0313E" w:rsidP="00A0313E">
      <w:pPr>
        <w:pStyle w:val="BodyText"/>
        <w:rPr>
          <w:bCs w:val="0"/>
          <w:iCs w:val="0"/>
          <w:u w:val="single"/>
          <w:lang w:val="el-GR"/>
        </w:rPr>
      </w:pPr>
    </w:p>
    <w:p w:rsidR="00A0313E" w:rsidRPr="002518FB" w:rsidRDefault="00A0313E" w:rsidP="00A0313E">
      <w:pPr>
        <w:pStyle w:val="BodyText"/>
        <w:rPr>
          <w:bCs w:val="0"/>
          <w:iCs w:val="0"/>
          <w:u w:val="single"/>
          <w:lang w:val="el-GR"/>
        </w:rPr>
      </w:pPr>
      <w:r w:rsidRPr="002518FB">
        <w:rPr>
          <w:bCs w:val="0"/>
          <w:iCs w:val="0"/>
          <w:u w:val="single"/>
          <w:lang w:val="el-GR"/>
        </w:rPr>
        <w:t>Ενδεχόμενες αλλεργικές αντιδράσεις</w:t>
      </w:r>
    </w:p>
    <w:p w:rsidR="00A0313E" w:rsidRPr="002518FB" w:rsidRDefault="00A0313E" w:rsidP="00A0313E">
      <w:pPr>
        <w:pStyle w:val="BodyText"/>
        <w:rPr>
          <w:bCs w:val="0"/>
          <w:iCs w:val="0"/>
          <w:lang w:val="el-GR"/>
        </w:rPr>
      </w:pPr>
      <w:r w:rsidRPr="002518FB">
        <w:rPr>
          <w:bCs w:val="0"/>
          <w:iCs w:val="0"/>
          <w:lang w:val="el-GR"/>
        </w:rPr>
        <w:t xml:space="preserve">Δεν έχουν αναφερθεί συχνά αλλεργικές αντιδράσεις </w:t>
      </w:r>
      <w:r w:rsidR="00C92750" w:rsidRPr="002518FB">
        <w:rPr>
          <w:bCs w:val="0"/>
          <w:iCs w:val="0"/>
          <w:lang w:val="el-GR"/>
        </w:rPr>
        <w:t>που περιλαμβάνουν</w:t>
      </w:r>
      <w:r w:rsidRPr="002518FB">
        <w:rPr>
          <w:bCs w:val="0"/>
          <w:iCs w:val="0"/>
          <w:lang w:val="el-GR"/>
        </w:rPr>
        <w:t xml:space="preserve"> </w:t>
      </w:r>
      <w:proofErr w:type="spellStart"/>
      <w:r w:rsidR="00C92750" w:rsidRPr="002518FB">
        <w:rPr>
          <w:bCs w:val="0"/>
          <w:iCs w:val="0"/>
          <w:lang w:val="el-GR"/>
        </w:rPr>
        <w:t>αναφυλακτικές</w:t>
      </w:r>
      <w:proofErr w:type="spellEnd"/>
      <w:r w:rsidR="00C92750" w:rsidRPr="002518FB">
        <w:rPr>
          <w:bCs w:val="0"/>
          <w:iCs w:val="0"/>
          <w:lang w:val="el-GR"/>
        </w:rPr>
        <w:t xml:space="preserve"> αντιδράσεις, </w:t>
      </w:r>
      <w:r w:rsidRPr="002518FB">
        <w:rPr>
          <w:bCs w:val="0"/>
          <w:iCs w:val="0"/>
          <w:lang w:val="el-GR"/>
        </w:rPr>
        <w:t xml:space="preserve">εξάνθημα, </w:t>
      </w:r>
      <w:proofErr w:type="spellStart"/>
      <w:r w:rsidRPr="002518FB">
        <w:rPr>
          <w:bCs w:val="0"/>
          <w:iCs w:val="0"/>
          <w:lang w:val="el-GR"/>
        </w:rPr>
        <w:t>αγγειονευρωτικό</w:t>
      </w:r>
      <w:proofErr w:type="spellEnd"/>
      <w:r w:rsidRPr="002518FB">
        <w:rPr>
          <w:bCs w:val="0"/>
          <w:iCs w:val="0"/>
          <w:lang w:val="el-GR"/>
        </w:rPr>
        <w:t xml:space="preserve"> οίδημα και κνίδωση σε ασθενείς που </w:t>
      </w:r>
      <w:r w:rsidR="00C92750" w:rsidRPr="002518FB">
        <w:rPr>
          <w:bCs w:val="0"/>
          <w:iCs w:val="0"/>
          <w:lang w:val="el-GR"/>
        </w:rPr>
        <w:t xml:space="preserve">λαμβάνουν </w:t>
      </w:r>
      <w:proofErr w:type="spellStart"/>
      <w:r w:rsidRPr="002518FB">
        <w:rPr>
          <w:lang w:val="el-GR"/>
        </w:rPr>
        <w:t>ατομοξετίνη</w:t>
      </w:r>
      <w:proofErr w:type="spellEnd"/>
      <w:r w:rsidRPr="002518FB">
        <w:rPr>
          <w:bCs w:val="0"/>
          <w:iCs w:val="0"/>
          <w:lang w:val="el-GR"/>
        </w:rPr>
        <w:t xml:space="preserve">. </w:t>
      </w:r>
    </w:p>
    <w:p w:rsidR="00234FD2" w:rsidRPr="002518FB" w:rsidRDefault="00234FD2" w:rsidP="006B31A9">
      <w:pPr>
        <w:rPr>
          <w:snapToGrid w:val="0"/>
          <w:sz w:val="22"/>
          <w:lang w:val="el-GR"/>
        </w:rPr>
      </w:pPr>
    </w:p>
    <w:p w:rsidR="00B76087" w:rsidRPr="002518FB" w:rsidRDefault="00B76087" w:rsidP="006B31A9">
      <w:pPr>
        <w:rPr>
          <w:snapToGrid w:val="0"/>
          <w:sz w:val="22"/>
          <w:u w:val="single"/>
          <w:lang w:val="el-GR"/>
        </w:rPr>
      </w:pPr>
      <w:r w:rsidRPr="002518FB">
        <w:rPr>
          <w:snapToGrid w:val="0"/>
          <w:sz w:val="22"/>
          <w:u w:val="single"/>
          <w:lang w:val="el-GR"/>
        </w:rPr>
        <w:t>Επιληπτικές κρίσεις</w:t>
      </w:r>
    </w:p>
    <w:p w:rsidR="00234FD2" w:rsidRPr="002518FB" w:rsidRDefault="001C212B" w:rsidP="006B31A9">
      <w:pPr>
        <w:rPr>
          <w:snapToGrid w:val="0"/>
          <w:sz w:val="22"/>
          <w:lang w:val="el-GR"/>
        </w:rPr>
      </w:pPr>
      <w:r w:rsidRPr="002518FB">
        <w:rPr>
          <w:snapToGrid w:val="0"/>
          <w:sz w:val="22"/>
          <w:lang w:val="el-GR"/>
        </w:rPr>
        <w:t>Οι επιληπτικές κρίσεις</w:t>
      </w:r>
      <w:r w:rsidR="00234FD2" w:rsidRPr="002518FB">
        <w:rPr>
          <w:snapToGrid w:val="0"/>
          <w:sz w:val="22"/>
          <w:lang w:val="el-GR"/>
        </w:rPr>
        <w:t xml:space="preserve"> είναι ένας</w:t>
      </w:r>
      <w:r w:rsidR="00E50BF1" w:rsidRPr="002518FB">
        <w:rPr>
          <w:snapToGrid w:val="0"/>
          <w:sz w:val="22"/>
          <w:lang w:val="el-GR"/>
        </w:rPr>
        <w:t xml:space="preserve"> δυνητικός κίνδυνος για την</w:t>
      </w:r>
      <w:r w:rsidR="00234FD2" w:rsidRPr="002518FB">
        <w:rPr>
          <w:snapToGrid w:val="0"/>
          <w:sz w:val="22"/>
          <w:lang w:val="el-GR"/>
        </w:rPr>
        <w:t xml:space="preserve"> </w:t>
      </w:r>
      <w:proofErr w:type="spellStart"/>
      <w:r w:rsidR="00234FD2" w:rsidRPr="002518FB">
        <w:rPr>
          <w:snapToGrid w:val="0"/>
          <w:sz w:val="22"/>
          <w:lang w:val="el-GR"/>
        </w:rPr>
        <w:t>ατομοξετίνη</w:t>
      </w:r>
      <w:proofErr w:type="spellEnd"/>
      <w:r w:rsidR="00234FD2" w:rsidRPr="002518FB">
        <w:rPr>
          <w:snapToGrid w:val="0"/>
          <w:sz w:val="22"/>
          <w:lang w:val="el-GR"/>
        </w:rPr>
        <w:t xml:space="preserve">. Η αγωγή με </w:t>
      </w:r>
      <w:proofErr w:type="spellStart"/>
      <w:r w:rsidR="00234FD2" w:rsidRPr="002518FB">
        <w:rPr>
          <w:snapToGrid w:val="0"/>
          <w:sz w:val="22"/>
          <w:lang w:val="el-GR"/>
        </w:rPr>
        <w:t>ατομοξετίνη</w:t>
      </w:r>
      <w:proofErr w:type="spellEnd"/>
      <w:r w:rsidR="00234FD2" w:rsidRPr="002518FB">
        <w:rPr>
          <w:snapToGrid w:val="0"/>
          <w:sz w:val="22"/>
          <w:lang w:val="el-GR"/>
        </w:rPr>
        <w:t xml:space="preserve"> </w:t>
      </w:r>
      <w:r w:rsidR="00E50BF1" w:rsidRPr="002518FB">
        <w:rPr>
          <w:snapToGrid w:val="0"/>
          <w:sz w:val="22"/>
          <w:lang w:val="el-GR"/>
        </w:rPr>
        <w:t>θα πρέπει να ξεκινά με προσοχή σε ασθενείς με ιστορικό επιληπτικών</w:t>
      </w:r>
      <w:r w:rsidR="00B57DA6" w:rsidRPr="002518FB">
        <w:rPr>
          <w:snapToGrid w:val="0"/>
          <w:sz w:val="22"/>
          <w:lang w:val="el-GR"/>
        </w:rPr>
        <w:t xml:space="preserve"> </w:t>
      </w:r>
      <w:r w:rsidRPr="002518FB">
        <w:rPr>
          <w:snapToGrid w:val="0"/>
          <w:sz w:val="22"/>
          <w:lang w:val="el-GR"/>
        </w:rPr>
        <w:t>κρίσεων</w:t>
      </w:r>
      <w:r w:rsidR="00E50BF1" w:rsidRPr="002518FB">
        <w:rPr>
          <w:snapToGrid w:val="0"/>
          <w:sz w:val="22"/>
          <w:lang w:val="el-GR"/>
        </w:rPr>
        <w:t>.</w:t>
      </w:r>
      <w:r w:rsidR="00234FD2" w:rsidRPr="002518FB">
        <w:rPr>
          <w:snapToGrid w:val="0"/>
          <w:sz w:val="22"/>
          <w:lang w:val="el-GR"/>
        </w:rPr>
        <w:t xml:space="preserve"> </w:t>
      </w:r>
      <w:r w:rsidR="00E50BF1" w:rsidRPr="002518FB">
        <w:rPr>
          <w:snapToGrid w:val="0"/>
          <w:sz w:val="22"/>
          <w:lang w:val="el-GR"/>
        </w:rPr>
        <w:t xml:space="preserve">Η διακοπή της </w:t>
      </w:r>
      <w:proofErr w:type="spellStart"/>
      <w:r w:rsidR="00E50BF1" w:rsidRPr="002518FB">
        <w:rPr>
          <w:snapToGrid w:val="0"/>
          <w:sz w:val="22"/>
          <w:lang w:val="el-GR"/>
        </w:rPr>
        <w:t>ατομοξετίνης</w:t>
      </w:r>
      <w:proofErr w:type="spellEnd"/>
      <w:r w:rsidR="00E50BF1" w:rsidRPr="002518FB">
        <w:rPr>
          <w:snapToGrid w:val="0"/>
          <w:sz w:val="22"/>
          <w:lang w:val="el-GR"/>
        </w:rPr>
        <w:t xml:space="preserve"> θα πρέπει να εξετάζεται </w:t>
      </w:r>
      <w:r w:rsidRPr="002518FB">
        <w:rPr>
          <w:snapToGrid w:val="0"/>
          <w:sz w:val="22"/>
          <w:lang w:val="el-GR"/>
        </w:rPr>
        <w:t>σε οποιοδήποτε</w:t>
      </w:r>
      <w:r w:rsidR="00E50BF1" w:rsidRPr="002518FB">
        <w:rPr>
          <w:snapToGrid w:val="0"/>
          <w:sz w:val="22"/>
          <w:lang w:val="el-GR"/>
        </w:rPr>
        <w:t xml:space="preserve"> </w:t>
      </w:r>
      <w:r w:rsidRPr="002518FB">
        <w:rPr>
          <w:snapToGrid w:val="0"/>
          <w:sz w:val="22"/>
          <w:lang w:val="el-GR"/>
        </w:rPr>
        <w:t>ασθενή</w:t>
      </w:r>
      <w:r w:rsidR="00AB3CBE" w:rsidRPr="002518FB">
        <w:rPr>
          <w:snapToGrid w:val="0"/>
          <w:sz w:val="22"/>
          <w:lang w:val="el-GR"/>
        </w:rPr>
        <w:t>,</w:t>
      </w:r>
      <w:r w:rsidRPr="002518FB">
        <w:rPr>
          <w:snapToGrid w:val="0"/>
          <w:sz w:val="22"/>
          <w:lang w:val="el-GR"/>
        </w:rPr>
        <w:t xml:space="preserve"> εμφανίζει </w:t>
      </w:r>
      <w:r w:rsidR="003719C0" w:rsidRPr="002518FB">
        <w:rPr>
          <w:snapToGrid w:val="0"/>
          <w:sz w:val="22"/>
          <w:lang w:val="el-GR"/>
        </w:rPr>
        <w:t xml:space="preserve"> </w:t>
      </w:r>
      <w:r w:rsidR="00B57DA6" w:rsidRPr="002518FB">
        <w:rPr>
          <w:snapToGrid w:val="0"/>
          <w:sz w:val="22"/>
          <w:lang w:val="el-GR"/>
        </w:rPr>
        <w:t>επιληπτικ</w:t>
      </w:r>
      <w:r w:rsidR="003719C0" w:rsidRPr="002518FB">
        <w:rPr>
          <w:snapToGrid w:val="0"/>
          <w:sz w:val="22"/>
          <w:lang w:val="el-GR"/>
        </w:rPr>
        <w:t>ή κρίση</w:t>
      </w:r>
      <w:r w:rsidR="00E50BF1" w:rsidRPr="002518FB">
        <w:rPr>
          <w:snapToGrid w:val="0"/>
          <w:sz w:val="22"/>
          <w:lang w:val="el-GR"/>
        </w:rPr>
        <w:t xml:space="preserve"> ή </w:t>
      </w:r>
      <w:r w:rsidR="00D11F15" w:rsidRPr="002518FB">
        <w:rPr>
          <w:snapToGrid w:val="0"/>
          <w:sz w:val="22"/>
          <w:lang w:val="el-GR"/>
        </w:rPr>
        <w:t xml:space="preserve">εκείνους στους οποίους παρατηρείται </w:t>
      </w:r>
      <w:r w:rsidR="00E50BF1" w:rsidRPr="002518FB">
        <w:rPr>
          <w:snapToGrid w:val="0"/>
          <w:sz w:val="22"/>
          <w:lang w:val="el-GR"/>
        </w:rPr>
        <w:t>αύξηση στη συχν</w:t>
      </w:r>
      <w:r w:rsidR="00B57DA6" w:rsidRPr="002518FB">
        <w:rPr>
          <w:snapToGrid w:val="0"/>
          <w:sz w:val="22"/>
          <w:lang w:val="el-GR"/>
        </w:rPr>
        <w:t xml:space="preserve">ότητα εμφάνισης των </w:t>
      </w:r>
      <w:r w:rsidR="003719C0" w:rsidRPr="002518FB">
        <w:rPr>
          <w:snapToGrid w:val="0"/>
          <w:sz w:val="22"/>
          <w:lang w:val="el-GR"/>
        </w:rPr>
        <w:t>κρίσεων</w:t>
      </w:r>
      <w:r w:rsidR="00E50BF1" w:rsidRPr="002518FB">
        <w:rPr>
          <w:snapToGrid w:val="0"/>
          <w:sz w:val="22"/>
          <w:lang w:val="el-GR"/>
        </w:rPr>
        <w:t xml:space="preserve"> χωρίς να</w:t>
      </w:r>
      <w:r w:rsidR="003719C0" w:rsidRPr="002518FB">
        <w:rPr>
          <w:snapToGrid w:val="0"/>
          <w:sz w:val="22"/>
          <w:lang w:val="el-GR"/>
        </w:rPr>
        <w:t xml:space="preserve"> </w:t>
      </w:r>
      <w:r w:rsidR="00D11F15" w:rsidRPr="002518FB">
        <w:rPr>
          <w:snapToGrid w:val="0"/>
          <w:sz w:val="22"/>
          <w:lang w:val="el-GR"/>
        </w:rPr>
        <w:t>ανιχνεύεται</w:t>
      </w:r>
      <w:r w:rsidR="003719C0" w:rsidRPr="002518FB">
        <w:rPr>
          <w:snapToGrid w:val="0"/>
          <w:sz w:val="22"/>
          <w:lang w:val="el-GR"/>
        </w:rPr>
        <w:t xml:space="preserve"> άλλη αιτιολογία</w:t>
      </w:r>
      <w:r w:rsidR="00E50BF1" w:rsidRPr="002518FB">
        <w:rPr>
          <w:snapToGrid w:val="0"/>
          <w:sz w:val="22"/>
          <w:lang w:val="el-GR"/>
        </w:rPr>
        <w:t>.</w:t>
      </w:r>
    </w:p>
    <w:p w:rsidR="00DD162B" w:rsidRPr="002518FB" w:rsidRDefault="00DD162B" w:rsidP="00DD162B">
      <w:pPr>
        <w:rPr>
          <w:sz w:val="22"/>
          <w:lang w:val="el-GR"/>
        </w:rPr>
      </w:pPr>
    </w:p>
    <w:p w:rsidR="00A0313E" w:rsidRPr="002518FB" w:rsidRDefault="00A0313E" w:rsidP="00A0313E">
      <w:pPr>
        <w:rPr>
          <w:snapToGrid w:val="0"/>
          <w:sz w:val="22"/>
          <w:u w:val="single"/>
          <w:lang w:val="el-GR"/>
        </w:rPr>
      </w:pPr>
      <w:r w:rsidRPr="002518FB">
        <w:rPr>
          <w:snapToGrid w:val="0"/>
          <w:sz w:val="22"/>
          <w:u w:val="single"/>
          <w:lang w:val="el-GR"/>
        </w:rPr>
        <w:t>Αύξηση και ανάπτυξη</w:t>
      </w:r>
    </w:p>
    <w:p w:rsidR="00A0313E" w:rsidRPr="002518FB" w:rsidRDefault="00A0313E" w:rsidP="00A0313E">
      <w:pPr>
        <w:rPr>
          <w:snapToGrid w:val="0"/>
          <w:sz w:val="22"/>
          <w:lang w:val="el-GR"/>
        </w:rPr>
      </w:pPr>
      <w:r w:rsidRPr="002518FB">
        <w:rPr>
          <w:snapToGrid w:val="0"/>
          <w:sz w:val="22"/>
          <w:lang w:val="el-GR"/>
        </w:rPr>
        <w:t xml:space="preserve">Η αύξηση και η ανάπτυξη θα πρέπει να παρακολουθούνται </w:t>
      </w:r>
      <w:r w:rsidR="00FF6F66" w:rsidRPr="002518FB">
        <w:rPr>
          <w:snapToGrid w:val="0"/>
          <w:sz w:val="22"/>
          <w:lang w:val="el-GR"/>
        </w:rPr>
        <w:t xml:space="preserve">στα παιδιά και τους εφήβους </w:t>
      </w:r>
      <w:r w:rsidRPr="002518FB">
        <w:rPr>
          <w:snapToGrid w:val="0"/>
          <w:sz w:val="22"/>
          <w:lang w:val="el-GR"/>
        </w:rPr>
        <w:t xml:space="preserve">κατά τη διάρκεια της θεραπείας με </w:t>
      </w:r>
      <w:proofErr w:type="spellStart"/>
      <w:r w:rsidRPr="002518FB">
        <w:rPr>
          <w:sz w:val="22"/>
          <w:lang w:val="el-GR"/>
        </w:rPr>
        <w:t>ατομοξετίνη</w:t>
      </w:r>
      <w:proofErr w:type="spellEnd"/>
      <w:r w:rsidRPr="002518FB">
        <w:rPr>
          <w:snapToGrid w:val="0"/>
          <w:sz w:val="22"/>
          <w:lang w:val="el-GR"/>
        </w:rPr>
        <w:t xml:space="preserve">. Οι ασθενείς που χρειάζονται μακροχρόνια θεραπεία πρέπει να παρακολουθούνται τακτικά και πρέπει να εξετάζεται το ενδεχόμενο μείωσης της δόσης ή διακοπής της θεραπείας σε </w:t>
      </w:r>
      <w:r w:rsidR="00C978DE" w:rsidRPr="002518FB">
        <w:rPr>
          <w:snapToGrid w:val="0"/>
          <w:sz w:val="22"/>
          <w:lang w:val="el-GR"/>
        </w:rPr>
        <w:t xml:space="preserve">παιδιά και εφήβους </w:t>
      </w:r>
      <w:r w:rsidRPr="002518FB">
        <w:rPr>
          <w:snapToGrid w:val="0"/>
          <w:sz w:val="22"/>
          <w:lang w:val="el-GR"/>
        </w:rPr>
        <w:t>που δεν έχουν ανάπτυξη ή ικανοποιητική αύξηση του σωματικού βάρους.</w:t>
      </w:r>
    </w:p>
    <w:p w:rsidR="00A0313E" w:rsidRPr="002518FB" w:rsidRDefault="00A0313E" w:rsidP="00A0313E">
      <w:pPr>
        <w:rPr>
          <w:snapToGrid w:val="0"/>
          <w:sz w:val="22"/>
          <w:lang w:val="el-GR"/>
        </w:rPr>
      </w:pPr>
    </w:p>
    <w:p w:rsidR="00A0313E" w:rsidRPr="002518FB" w:rsidRDefault="00A0313E" w:rsidP="00A0313E">
      <w:pPr>
        <w:rPr>
          <w:sz w:val="22"/>
          <w:lang w:val="el-GR"/>
        </w:rPr>
      </w:pPr>
      <w:r w:rsidRPr="002518FB">
        <w:rPr>
          <w:snapToGrid w:val="0"/>
          <w:sz w:val="22"/>
          <w:lang w:val="el-GR"/>
        </w:rPr>
        <w:t xml:space="preserve">Τα κλινικά δεδομένα δεν υποδηλώνουν επιβλαβή επίδραση της </w:t>
      </w:r>
      <w:proofErr w:type="spellStart"/>
      <w:r w:rsidRPr="002518FB">
        <w:rPr>
          <w:snapToGrid w:val="0"/>
          <w:sz w:val="22"/>
          <w:lang w:val="el-GR"/>
        </w:rPr>
        <w:t>ατομοξετίνης</w:t>
      </w:r>
      <w:proofErr w:type="spellEnd"/>
      <w:r w:rsidRPr="002518FB">
        <w:rPr>
          <w:snapToGrid w:val="0"/>
          <w:sz w:val="22"/>
          <w:lang w:val="el-GR"/>
        </w:rPr>
        <w:t xml:space="preserve"> στη γνωστική λειτουργία ή στην σεξουαλική ωρίμανση. Εντούτοις, η ποσότητα των διαθέσιμων δεδομένων μακροχρόνιας χορήγησης, είναι περιορισμένα. Επομένως, οι ασθενείς που απαιτούν μακροχρόνια αγωγή θα πρέπει να παρακολουθούνται προσεκτικά.   </w:t>
      </w:r>
    </w:p>
    <w:p w:rsidR="00081152" w:rsidRPr="002518FB" w:rsidRDefault="00081152" w:rsidP="00A0313E">
      <w:pPr>
        <w:rPr>
          <w:sz w:val="22"/>
          <w:lang w:val="el-GR"/>
        </w:rPr>
      </w:pPr>
    </w:p>
    <w:p w:rsidR="00081152" w:rsidRPr="002518FB" w:rsidRDefault="00494A5C" w:rsidP="00081152">
      <w:pPr>
        <w:autoSpaceDE w:val="0"/>
        <w:autoSpaceDN w:val="0"/>
        <w:adjustRightInd w:val="0"/>
        <w:outlineLvl w:val="0"/>
        <w:rPr>
          <w:bCs/>
          <w:sz w:val="22"/>
          <w:szCs w:val="22"/>
          <w:u w:val="single"/>
          <w:lang w:val="el-GR"/>
        </w:rPr>
      </w:pPr>
      <w:r w:rsidRPr="002518FB">
        <w:rPr>
          <w:bCs/>
          <w:sz w:val="22"/>
          <w:szCs w:val="22"/>
          <w:u w:val="single"/>
          <w:lang w:val="el-GR"/>
        </w:rPr>
        <w:t>Νέα</w:t>
      </w:r>
      <w:r w:rsidR="00714779" w:rsidRPr="002518FB">
        <w:rPr>
          <w:bCs/>
          <w:sz w:val="22"/>
          <w:szCs w:val="22"/>
          <w:u w:val="single"/>
          <w:lang w:val="el-GR"/>
        </w:rPr>
        <w:t xml:space="preserve"> </w:t>
      </w:r>
      <w:r w:rsidRPr="002518FB">
        <w:rPr>
          <w:bCs/>
          <w:sz w:val="22"/>
          <w:szCs w:val="22"/>
          <w:u w:val="single"/>
          <w:lang w:val="el-GR"/>
        </w:rPr>
        <w:t>εμφάνιση ή</w:t>
      </w:r>
      <w:r w:rsidR="00081152" w:rsidRPr="002518FB">
        <w:rPr>
          <w:bCs/>
          <w:sz w:val="22"/>
          <w:szCs w:val="22"/>
          <w:u w:val="single"/>
          <w:lang w:val="el-GR"/>
        </w:rPr>
        <w:t xml:space="preserve"> </w:t>
      </w:r>
      <w:r w:rsidRPr="002518FB">
        <w:rPr>
          <w:bCs/>
          <w:sz w:val="22"/>
          <w:szCs w:val="22"/>
          <w:u w:val="single"/>
          <w:lang w:val="el-GR"/>
        </w:rPr>
        <w:t>επιδείνωση</w:t>
      </w:r>
      <w:r w:rsidR="00081152" w:rsidRPr="002518FB">
        <w:rPr>
          <w:bCs/>
          <w:sz w:val="22"/>
          <w:szCs w:val="22"/>
          <w:u w:val="single"/>
          <w:lang w:val="el-GR"/>
        </w:rPr>
        <w:t xml:space="preserve"> </w:t>
      </w:r>
      <w:r w:rsidRPr="002518FB">
        <w:rPr>
          <w:bCs/>
          <w:sz w:val="22"/>
          <w:szCs w:val="22"/>
          <w:u w:val="single"/>
          <w:lang w:val="el-GR"/>
        </w:rPr>
        <w:t xml:space="preserve">Συνυπάρχουσας Κατάθλιψης, Άγχους και </w:t>
      </w:r>
      <w:r w:rsidR="00714779" w:rsidRPr="002518FB">
        <w:rPr>
          <w:bCs/>
          <w:sz w:val="22"/>
          <w:szCs w:val="22"/>
          <w:u w:val="single"/>
          <w:lang w:val="el-GR"/>
        </w:rPr>
        <w:t xml:space="preserve">Ακούσιων </w:t>
      </w:r>
      <w:proofErr w:type="spellStart"/>
      <w:r w:rsidR="00714779" w:rsidRPr="002518FB">
        <w:rPr>
          <w:bCs/>
          <w:sz w:val="22"/>
          <w:szCs w:val="22"/>
          <w:u w:val="single"/>
          <w:lang w:val="el-GR"/>
        </w:rPr>
        <w:t>Μυικών</w:t>
      </w:r>
      <w:proofErr w:type="spellEnd"/>
      <w:r w:rsidR="00714779" w:rsidRPr="002518FB">
        <w:rPr>
          <w:bCs/>
          <w:sz w:val="22"/>
          <w:szCs w:val="22"/>
          <w:u w:val="single"/>
          <w:lang w:val="el-GR"/>
        </w:rPr>
        <w:t xml:space="preserve"> Συσπάσεων (</w:t>
      </w:r>
      <w:r w:rsidRPr="002518FB">
        <w:rPr>
          <w:bCs/>
          <w:sz w:val="22"/>
          <w:szCs w:val="22"/>
          <w:u w:val="single"/>
          <w:lang w:val="el-GR"/>
        </w:rPr>
        <w:t>Τικ</w:t>
      </w:r>
      <w:r w:rsidR="00714779" w:rsidRPr="002518FB">
        <w:rPr>
          <w:bCs/>
          <w:sz w:val="22"/>
          <w:szCs w:val="22"/>
          <w:u w:val="single"/>
          <w:lang w:val="el-GR"/>
        </w:rPr>
        <w:t>)</w:t>
      </w:r>
      <w:r w:rsidRPr="002518FB">
        <w:rPr>
          <w:bCs/>
          <w:sz w:val="22"/>
          <w:szCs w:val="22"/>
          <w:u w:val="single"/>
          <w:lang w:val="el-GR"/>
        </w:rPr>
        <w:t xml:space="preserve"> </w:t>
      </w:r>
    </w:p>
    <w:p w:rsidR="00081152" w:rsidRPr="002518FB" w:rsidRDefault="00081152" w:rsidP="00A0313E">
      <w:pPr>
        <w:rPr>
          <w:snapToGrid w:val="0"/>
          <w:sz w:val="22"/>
          <w:lang w:val="el-GR"/>
        </w:rPr>
      </w:pPr>
      <w:r w:rsidRPr="002518FB">
        <w:rPr>
          <w:snapToGrid w:val="0"/>
          <w:sz w:val="22"/>
          <w:lang w:val="el-GR"/>
        </w:rPr>
        <w:t xml:space="preserve">Σε μία ελεγχόμενη μελέτη </w:t>
      </w:r>
      <w:r w:rsidR="005676C6" w:rsidRPr="002518FB">
        <w:rPr>
          <w:snapToGrid w:val="0"/>
          <w:sz w:val="22"/>
          <w:lang w:val="el-GR"/>
        </w:rPr>
        <w:t>σε</w:t>
      </w:r>
      <w:r w:rsidRPr="002518FB">
        <w:rPr>
          <w:snapToGrid w:val="0"/>
          <w:sz w:val="22"/>
          <w:lang w:val="el-GR"/>
        </w:rPr>
        <w:t xml:space="preserve"> παιδιατρικούς ασθενείς με ΔΕΠΥ και με </w:t>
      </w:r>
      <w:r w:rsidR="00FF0D41" w:rsidRPr="002518FB">
        <w:rPr>
          <w:snapToGrid w:val="0"/>
          <w:sz w:val="22"/>
          <w:lang w:val="el-GR"/>
        </w:rPr>
        <w:t xml:space="preserve">συνυπάρχοντα χρόνια κινητικά τικ ή διαταραχή </w:t>
      </w:r>
      <w:proofErr w:type="spellStart"/>
      <w:r w:rsidR="000F3434" w:rsidRPr="002518FB">
        <w:rPr>
          <w:sz w:val="22"/>
          <w:lang w:val="el-GR"/>
        </w:rPr>
        <w:t>Tourette</w:t>
      </w:r>
      <w:proofErr w:type="spellEnd"/>
      <w:r w:rsidR="00FF0D41" w:rsidRPr="002518FB">
        <w:rPr>
          <w:snapToGrid w:val="0"/>
          <w:sz w:val="22"/>
          <w:lang w:val="el-GR"/>
        </w:rPr>
        <w:t xml:space="preserve">, </w:t>
      </w:r>
      <w:r w:rsidR="00494A5C" w:rsidRPr="002518FB">
        <w:rPr>
          <w:snapToGrid w:val="0"/>
          <w:sz w:val="22"/>
          <w:lang w:val="el-GR"/>
        </w:rPr>
        <w:t xml:space="preserve">οι ασθενείς που έλαβαν θεραπεία με </w:t>
      </w:r>
      <w:proofErr w:type="spellStart"/>
      <w:r w:rsidR="00494A5C" w:rsidRPr="002518FB">
        <w:rPr>
          <w:snapToGrid w:val="0"/>
          <w:sz w:val="22"/>
          <w:lang w:val="el-GR"/>
        </w:rPr>
        <w:t>ατομοξετίνη</w:t>
      </w:r>
      <w:proofErr w:type="spellEnd"/>
      <w:r w:rsidR="00494A5C" w:rsidRPr="002518FB">
        <w:rPr>
          <w:snapToGrid w:val="0"/>
          <w:sz w:val="22"/>
          <w:lang w:val="el-GR"/>
        </w:rPr>
        <w:t xml:space="preserve"> δεν εμφάνισαν επιδείνωση των τικ σε σύγκριση με τους ασθενείς που έλαβαν θεραπεία με εικονικό φάρμακο (</w:t>
      </w:r>
      <w:proofErr w:type="spellStart"/>
      <w:r w:rsidR="000F3434" w:rsidRPr="002518FB">
        <w:rPr>
          <w:sz w:val="22"/>
          <w:lang w:val="el-GR"/>
        </w:rPr>
        <w:t>placebo</w:t>
      </w:r>
      <w:proofErr w:type="spellEnd"/>
      <w:r w:rsidR="00494A5C" w:rsidRPr="002518FB">
        <w:rPr>
          <w:snapToGrid w:val="0"/>
          <w:sz w:val="22"/>
          <w:lang w:val="el-GR"/>
        </w:rPr>
        <w:t xml:space="preserve">). Σε μία ελεγχόμενη μελέτη </w:t>
      </w:r>
      <w:r w:rsidR="005676C6" w:rsidRPr="002518FB">
        <w:rPr>
          <w:snapToGrid w:val="0"/>
          <w:sz w:val="22"/>
          <w:lang w:val="el-GR"/>
        </w:rPr>
        <w:t>σε</w:t>
      </w:r>
      <w:r w:rsidR="00494A5C" w:rsidRPr="002518FB">
        <w:rPr>
          <w:snapToGrid w:val="0"/>
          <w:sz w:val="22"/>
          <w:lang w:val="el-GR"/>
        </w:rPr>
        <w:t xml:space="preserve"> έφηβους ασθενείς με ΔΕΠΥ και συνυπάρχουσα Μείζονα Καταθλιπτική Διαταραχή</w:t>
      </w:r>
      <w:r w:rsidR="005676C6" w:rsidRPr="002518FB">
        <w:rPr>
          <w:snapToGrid w:val="0"/>
          <w:sz w:val="22"/>
          <w:lang w:val="el-GR"/>
        </w:rPr>
        <w:t>,</w:t>
      </w:r>
      <w:r w:rsidR="00494A5C" w:rsidRPr="002518FB">
        <w:rPr>
          <w:snapToGrid w:val="0"/>
          <w:sz w:val="22"/>
          <w:lang w:val="el-GR"/>
        </w:rPr>
        <w:t xml:space="preserve"> οι ασθενείς που έλαβαν θεραπεία με </w:t>
      </w:r>
      <w:proofErr w:type="spellStart"/>
      <w:r w:rsidR="00494A5C" w:rsidRPr="002518FB">
        <w:rPr>
          <w:snapToGrid w:val="0"/>
          <w:sz w:val="22"/>
          <w:lang w:val="el-GR"/>
        </w:rPr>
        <w:t>ατομοξετίνη</w:t>
      </w:r>
      <w:proofErr w:type="spellEnd"/>
      <w:r w:rsidR="00494A5C" w:rsidRPr="002518FB">
        <w:rPr>
          <w:snapToGrid w:val="0"/>
          <w:sz w:val="22"/>
          <w:lang w:val="el-GR"/>
        </w:rPr>
        <w:t xml:space="preserve"> δεν εμφάνισαν επιδείνωση της κατάθλιψης σε σύγκριση με τους ασθενείς που έλαβαν θεραπεία με εικονικό φάρμακο (</w:t>
      </w:r>
      <w:proofErr w:type="spellStart"/>
      <w:r w:rsidR="000F3434" w:rsidRPr="002518FB">
        <w:rPr>
          <w:sz w:val="22"/>
          <w:lang w:val="el-GR"/>
        </w:rPr>
        <w:t>placebo</w:t>
      </w:r>
      <w:proofErr w:type="spellEnd"/>
      <w:r w:rsidR="00494A5C" w:rsidRPr="002518FB">
        <w:rPr>
          <w:snapToGrid w:val="0"/>
          <w:sz w:val="22"/>
          <w:lang w:val="el-GR"/>
        </w:rPr>
        <w:t xml:space="preserve">). Σε δύο ελεγχόμενες μελέτες (μία σε παιδιατρικούς ασθενείς και μία σε ενήλικες ασθενείς) </w:t>
      </w:r>
      <w:r w:rsidR="005676C6" w:rsidRPr="002518FB">
        <w:rPr>
          <w:snapToGrid w:val="0"/>
          <w:sz w:val="22"/>
          <w:lang w:val="el-GR"/>
        </w:rPr>
        <w:t>σε</w:t>
      </w:r>
      <w:r w:rsidR="00494A5C" w:rsidRPr="002518FB">
        <w:rPr>
          <w:snapToGrid w:val="0"/>
          <w:sz w:val="22"/>
          <w:lang w:val="el-GR"/>
        </w:rPr>
        <w:t xml:space="preserve"> ασθενείς με ΔΕΠΥ και συνυπάρχουσες αγχώδης διαταραχές, οι ασθενείς που έλαβαν θεραπεία με </w:t>
      </w:r>
      <w:proofErr w:type="spellStart"/>
      <w:r w:rsidR="00494A5C" w:rsidRPr="002518FB">
        <w:rPr>
          <w:snapToGrid w:val="0"/>
          <w:sz w:val="22"/>
          <w:lang w:val="el-GR"/>
        </w:rPr>
        <w:t>ατομοξετίνη</w:t>
      </w:r>
      <w:proofErr w:type="spellEnd"/>
      <w:r w:rsidR="00494A5C" w:rsidRPr="002518FB">
        <w:rPr>
          <w:snapToGrid w:val="0"/>
          <w:sz w:val="22"/>
          <w:lang w:val="el-GR"/>
        </w:rPr>
        <w:t xml:space="preserve"> δεν εμφάνισαν επιδείνωση του άγχους σε σύγκριση με τους ασθενείς που έλαβαν θεραπεία με εικονικό φάρμακο (</w:t>
      </w:r>
      <w:proofErr w:type="spellStart"/>
      <w:r w:rsidR="000F3434" w:rsidRPr="002518FB">
        <w:rPr>
          <w:sz w:val="22"/>
          <w:lang w:val="el-GR"/>
        </w:rPr>
        <w:t>placebo</w:t>
      </w:r>
      <w:proofErr w:type="spellEnd"/>
      <w:r w:rsidR="00494A5C" w:rsidRPr="002518FB">
        <w:rPr>
          <w:snapToGrid w:val="0"/>
          <w:sz w:val="22"/>
          <w:lang w:val="el-GR"/>
        </w:rPr>
        <w:t>).</w:t>
      </w:r>
    </w:p>
    <w:p w:rsidR="00640D8E" w:rsidRPr="002518FB" w:rsidRDefault="00640D8E" w:rsidP="00640D8E">
      <w:pPr>
        <w:autoSpaceDE w:val="0"/>
        <w:autoSpaceDN w:val="0"/>
        <w:adjustRightInd w:val="0"/>
        <w:outlineLvl w:val="0"/>
        <w:rPr>
          <w:sz w:val="22"/>
          <w:lang w:val="el-GR"/>
        </w:rPr>
      </w:pPr>
    </w:p>
    <w:p w:rsidR="00494A5C" w:rsidRPr="002518FB" w:rsidRDefault="003328E3" w:rsidP="00640D8E">
      <w:pPr>
        <w:autoSpaceDE w:val="0"/>
        <w:autoSpaceDN w:val="0"/>
        <w:adjustRightInd w:val="0"/>
        <w:outlineLvl w:val="0"/>
        <w:rPr>
          <w:sz w:val="22"/>
          <w:lang w:val="el-GR"/>
        </w:rPr>
      </w:pPr>
      <w:r w:rsidRPr="002518FB">
        <w:rPr>
          <w:sz w:val="22"/>
          <w:lang w:val="el-GR"/>
        </w:rPr>
        <w:t xml:space="preserve">Έχουν υπάρξει σπάνιες αναφορές, μετά τη κυκλοφορία του προϊόντος, για το άγχος και την κατάθλιψη ή την καταθλιπτική διάθεση και πολύ σπάνιες αναφορές για τα τικ σε ασθενείς που λαμβάνουν θεραπεία με </w:t>
      </w:r>
      <w:proofErr w:type="spellStart"/>
      <w:r w:rsidRPr="002518FB">
        <w:rPr>
          <w:sz w:val="22"/>
          <w:lang w:val="el-GR"/>
        </w:rPr>
        <w:t>ατομοξετίνη</w:t>
      </w:r>
      <w:proofErr w:type="spellEnd"/>
      <w:r w:rsidRPr="002518FB">
        <w:rPr>
          <w:sz w:val="22"/>
          <w:lang w:val="el-GR"/>
        </w:rPr>
        <w:t xml:space="preserve"> (βλέπε παράγραφο 4.8).</w:t>
      </w:r>
    </w:p>
    <w:p w:rsidR="003328E3" w:rsidRPr="002518FB" w:rsidRDefault="003328E3" w:rsidP="00640D8E">
      <w:pPr>
        <w:autoSpaceDE w:val="0"/>
        <w:autoSpaceDN w:val="0"/>
        <w:adjustRightInd w:val="0"/>
        <w:outlineLvl w:val="0"/>
        <w:rPr>
          <w:sz w:val="22"/>
          <w:lang w:val="el-GR"/>
        </w:rPr>
      </w:pPr>
    </w:p>
    <w:p w:rsidR="003328E3" w:rsidRPr="002518FB" w:rsidRDefault="003328E3" w:rsidP="00640D8E">
      <w:pPr>
        <w:autoSpaceDE w:val="0"/>
        <w:autoSpaceDN w:val="0"/>
        <w:adjustRightInd w:val="0"/>
        <w:outlineLvl w:val="0"/>
        <w:rPr>
          <w:sz w:val="22"/>
          <w:lang w:val="el-GR"/>
        </w:rPr>
      </w:pPr>
      <w:r w:rsidRPr="002518FB">
        <w:rPr>
          <w:sz w:val="22"/>
          <w:lang w:val="el-GR"/>
        </w:rPr>
        <w:t xml:space="preserve">Οι ασθενείς που λαμβάνουν θεραπεία για ΔΕΠΥ με </w:t>
      </w:r>
      <w:proofErr w:type="spellStart"/>
      <w:r w:rsidRPr="002518FB">
        <w:rPr>
          <w:sz w:val="22"/>
          <w:lang w:val="el-GR"/>
        </w:rPr>
        <w:t>ατομοξετίνη</w:t>
      </w:r>
      <w:proofErr w:type="spellEnd"/>
      <w:r w:rsidRPr="002518FB">
        <w:rPr>
          <w:sz w:val="22"/>
          <w:lang w:val="el-GR"/>
        </w:rPr>
        <w:t xml:space="preserve"> θα πρέπει να παρακολουθούνται για την εμφάνιση ή την επιδείνωση συμπτωμάτων άγχους, καταθλιπτικής διάθεσης και κατάθλιψης ή τικ.</w:t>
      </w:r>
    </w:p>
    <w:p w:rsidR="005060E8" w:rsidRPr="002518FB" w:rsidRDefault="005060E8" w:rsidP="00DD162B">
      <w:pPr>
        <w:rPr>
          <w:sz w:val="22"/>
          <w:u w:val="single"/>
          <w:lang w:val="el-GR"/>
        </w:rPr>
      </w:pPr>
    </w:p>
    <w:p w:rsidR="00DD162B" w:rsidRPr="002518FB" w:rsidRDefault="00DD162B" w:rsidP="00DD162B">
      <w:pPr>
        <w:rPr>
          <w:sz w:val="22"/>
          <w:u w:val="single"/>
          <w:lang w:val="el-GR"/>
        </w:rPr>
      </w:pPr>
      <w:r w:rsidRPr="002518FB">
        <w:rPr>
          <w:sz w:val="22"/>
          <w:u w:val="single"/>
          <w:lang w:val="el-GR"/>
        </w:rPr>
        <w:t xml:space="preserve">Παιδιά ηλικίας </w:t>
      </w:r>
      <w:r w:rsidR="000734B7" w:rsidRPr="002518FB">
        <w:rPr>
          <w:sz w:val="22"/>
          <w:u w:val="single"/>
          <w:lang w:val="el-GR"/>
        </w:rPr>
        <w:t>μικρότερης των 6</w:t>
      </w:r>
      <w:r w:rsidRPr="002518FB">
        <w:rPr>
          <w:sz w:val="22"/>
          <w:u w:val="single"/>
          <w:lang w:val="el-GR"/>
        </w:rPr>
        <w:t xml:space="preserve"> ετών</w:t>
      </w:r>
    </w:p>
    <w:p w:rsidR="00DD162B" w:rsidRPr="002518FB" w:rsidRDefault="00DD162B" w:rsidP="00DD162B">
      <w:pPr>
        <w:rPr>
          <w:iCs/>
          <w:sz w:val="22"/>
          <w:lang w:val="el-GR"/>
        </w:rPr>
      </w:pPr>
      <w:r w:rsidRPr="002518FB">
        <w:rPr>
          <w:sz w:val="22"/>
          <w:lang w:val="el-GR"/>
        </w:rPr>
        <w:t xml:space="preserve">Το </w:t>
      </w:r>
      <w:proofErr w:type="spellStart"/>
      <w:r w:rsidR="000F3434" w:rsidRPr="002518FB">
        <w:rPr>
          <w:sz w:val="22"/>
          <w:lang w:val="el-GR"/>
        </w:rPr>
        <w:t>Strattera</w:t>
      </w:r>
      <w:proofErr w:type="spellEnd"/>
      <w:r w:rsidRPr="002518FB">
        <w:rPr>
          <w:iCs/>
          <w:sz w:val="22"/>
          <w:lang w:val="el-GR"/>
        </w:rPr>
        <w:t xml:space="preserve"> δεν πρέπει να χρησιμοποιείται σε ασθ</w:t>
      </w:r>
      <w:r w:rsidR="00A02E0C" w:rsidRPr="002518FB">
        <w:rPr>
          <w:iCs/>
          <w:sz w:val="22"/>
          <w:lang w:val="el-GR"/>
        </w:rPr>
        <w:t>ενείς ηλικίας μικρότερης των 6</w:t>
      </w:r>
      <w:r w:rsidRPr="002518FB">
        <w:rPr>
          <w:iCs/>
          <w:sz w:val="22"/>
          <w:lang w:val="el-GR"/>
        </w:rPr>
        <w:t xml:space="preserve"> ετών καθώς δεν έχει τεκμηριωθεί η ασφάλεια και η αποτελεσματικότητα του σε αυτή την ηλικιακή ομάδα.</w:t>
      </w:r>
    </w:p>
    <w:p w:rsidR="006D2D93" w:rsidRPr="002518FB" w:rsidRDefault="006D2D93">
      <w:pPr>
        <w:rPr>
          <w:sz w:val="22"/>
          <w:lang w:val="el-GR"/>
        </w:rPr>
      </w:pPr>
    </w:p>
    <w:p w:rsidR="00DD162B" w:rsidRPr="002518FB" w:rsidRDefault="00DD162B">
      <w:pPr>
        <w:rPr>
          <w:sz w:val="22"/>
          <w:u w:val="single"/>
          <w:lang w:val="el-GR"/>
        </w:rPr>
      </w:pPr>
      <w:r w:rsidRPr="002518FB">
        <w:rPr>
          <w:sz w:val="22"/>
          <w:u w:val="single"/>
          <w:lang w:val="el-GR"/>
        </w:rPr>
        <w:t>Άλλ</w:t>
      </w:r>
      <w:r w:rsidR="00462D61" w:rsidRPr="002518FB">
        <w:rPr>
          <w:sz w:val="22"/>
          <w:u w:val="single"/>
          <w:lang w:val="el-GR"/>
        </w:rPr>
        <w:t>η θεραπευτική χρήση</w:t>
      </w:r>
    </w:p>
    <w:p w:rsidR="00721752" w:rsidRPr="002518FB" w:rsidRDefault="00721752">
      <w:pPr>
        <w:rPr>
          <w:sz w:val="22"/>
          <w:lang w:val="el-GR"/>
        </w:rPr>
      </w:pPr>
      <w:r w:rsidRPr="002518FB">
        <w:rPr>
          <w:sz w:val="22"/>
          <w:lang w:val="el-GR"/>
        </w:rPr>
        <w:t xml:space="preserve">Το </w:t>
      </w:r>
      <w:proofErr w:type="spellStart"/>
      <w:r w:rsidR="000F3434" w:rsidRPr="002518FB">
        <w:rPr>
          <w:sz w:val="22"/>
          <w:lang w:val="el-GR"/>
        </w:rPr>
        <w:t>Strattera</w:t>
      </w:r>
      <w:proofErr w:type="spellEnd"/>
      <w:r w:rsidRPr="002518FB">
        <w:rPr>
          <w:sz w:val="22"/>
          <w:lang w:val="el-GR"/>
        </w:rPr>
        <w:t xml:space="preserve"> δεν ενδείκνυται για τη θεραπεία σοβαρών καταθλιπτικών επεισο</w:t>
      </w:r>
      <w:r w:rsidR="00E744EE" w:rsidRPr="002518FB">
        <w:rPr>
          <w:sz w:val="22"/>
          <w:lang w:val="el-GR"/>
        </w:rPr>
        <w:t>δ</w:t>
      </w:r>
      <w:r w:rsidRPr="002518FB">
        <w:rPr>
          <w:sz w:val="22"/>
          <w:lang w:val="el-GR"/>
        </w:rPr>
        <w:t xml:space="preserve">ίων </w:t>
      </w:r>
      <w:r w:rsidR="00E571B4" w:rsidRPr="002518FB">
        <w:rPr>
          <w:sz w:val="22"/>
          <w:lang w:val="el-GR"/>
        </w:rPr>
        <w:t>ή/και</w:t>
      </w:r>
      <w:r w:rsidRPr="002518FB">
        <w:rPr>
          <w:sz w:val="22"/>
          <w:lang w:val="el-GR"/>
        </w:rPr>
        <w:t xml:space="preserve"> αγχωδών διαταραχών, δεδομένου ότι τα αποτελέσματα κλινικών </w:t>
      </w:r>
      <w:r w:rsidR="00E744EE" w:rsidRPr="002518FB">
        <w:rPr>
          <w:sz w:val="22"/>
          <w:lang w:val="el-GR"/>
        </w:rPr>
        <w:t xml:space="preserve">δοκιμών που διενεργήθηκαν σε ενηλίκους </w:t>
      </w:r>
      <w:r w:rsidR="00714779" w:rsidRPr="002518FB">
        <w:rPr>
          <w:sz w:val="22"/>
          <w:lang w:val="el-GR"/>
        </w:rPr>
        <w:t xml:space="preserve">με αντίστοιχες παθήσεις και απουσία </w:t>
      </w:r>
      <w:r w:rsidR="00462D61" w:rsidRPr="002518FB">
        <w:rPr>
          <w:sz w:val="22"/>
          <w:lang w:val="el-GR"/>
        </w:rPr>
        <w:t xml:space="preserve">ΔΕΠΥ, </w:t>
      </w:r>
      <w:r w:rsidR="00E744EE" w:rsidRPr="002518FB">
        <w:rPr>
          <w:sz w:val="22"/>
          <w:lang w:val="el-GR"/>
        </w:rPr>
        <w:t xml:space="preserve">δεν έδειξαν αποτελεσματικότητα σε σύγκριση με το εικονικό φάρμακο </w:t>
      </w:r>
      <w:r w:rsidR="00462D61" w:rsidRPr="002518FB">
        <w:rPr>
          <w:sz w:val="22"/>
          <w:lang w:val="el-GR"/>
        </w:rPr>
        <w:t>(βλ</w:t>
      </w:r>
      <w:r w:rsidR="004D6F23" w:rsidRPr="002518FB">
        <w:rPr>
          <w:sz w:val="22"/>
          <w:lang w:val="el-GR"/>
        </w:rPr>
        <w:t>έπε</w:t>
      </w:r>
      <w:r w:rsidR="00462D61" w:rsidRPr="002518FB">
        <w:rPr>
          <w:sz w:val="22"/>
          <w:lang w:val="el-GR"/>
        </w:rPr>
        <w:t xml:space="preserve"> παράγραφο 5.1)</w:t>
      </w:r>
      <w:r w:rsidR="00E744EE" w:rsidRPr="002518FB">
        <w:rPr>
          <w:sz w:val="22"/>
          <w:lang w:val="el-GR"/>
        </w:rPr>
        <w:t>.</w:t>
      </w:r>
    </w:p>
    <w:p w:rsidR="00BF1872" w:rsidRPr="002518FB" w:rsidRDefault="00BF1872">
      <w:pPr>
        <w:rPr>
          <w:sz w:val="22"/>
          <w:lang w:val="el-GR"/>
        </w:rPr>
      </w:pPr>
    </w:p>
    <w:p w:rsidR="006D2D93" w:rsidRPr="002518FB" w:rsidRDefault="006D2D93">
      <w:pPr>
        <w:ind w:left="567" w:right="-340" w:hanging="567"/>
        <w:rPr>
          <w:sz w:val="22"/>
          <w:lang w:val="el-GR"/>
        </w:rPr>
      </w:pPr>
      <w:r w:rsidRPr="002518FB">
        <w:rPr>
          <w:b/>
          <w:sz w:val="22"/>
          <w:lang w:val="el-GR"/>
        </w:rPr>
        <w:t>4.5</w:t>
      </w:r>
      <w:r w:rsidRPr="002518FB">
        <w:rPr>
          <w:b/>
          <w:sz w:val="22"/>
          <w:lang w:val="el-GR"/>
        </w:rPr>
        <w:tab/>
        <w:t>Αλληλεπιδράσεις με άλλα φαρμακευτικά προϊόντα και άλλες μορφές αλληλεπίδρασης</w:t>
      </w:r>
    </w:p>
    <w:p w:rsidR="006D2D93" w:rsidRPr="002518FB" w:rsidRDefault="006D2D93">
      <w:pPr>
        <w:rPr>
          <w:sz w:val="22"/>
          <w:lang w:val="el-GR"/>
        </w:rPr>
      </w:pPr>
    </w:p>
    <w:p w:rsidR="006D2D93" w:rsidRPr="002518FB" w:rsidRDefault="006D2D93">
      <w:pPr>
        <w:rPr>
          <w:sz w:val="22"/>
          <w:lang w:val="el-GR"/>
        </w:rPr>
      </w:pPr>
      <w:r w:rsidRPr="002518FB">
        <w:rPr>
          <w:sz w:val="22"/>
          <w:lang w:val="el-GR"/>
        </w:rPr>
        <w:t xml:space="preserve">Επιδράσεις άλλων φαρμάκων στην </w:t>
      </w:r>
      <w:proofErr w:type="spellStart"/>
      <w:r w:rsidRPr="002518FB">
        <w:rPr>
          <w:sz w:val="22"/>
          <w:lang w:val="el-GR"/>
        </w:rPr>
        <w:t>ατομοξετίνη</w:t>
      </w:r>
      <w:proofErr w:type="spellEnd"/>
      <w:r w:rsidRPr="002518FB">
        <w:rPr>
          <w:sz w:val="22"/>
          <w:lang w:val="el-GR"/>
        </w:rPr>
        <w:t>:</w:t>
      </w:r>
    </w:p>
    <w:p w:rsidR="003620FB" w:rsidRPr="002518FB" w:rsidRDefault="003620FB">
      <w:pPr>
        <w:rPr>
          <w:sz w:val="22"/>
          <w:lang w:val="el-GR"/>
        </w:rPr>
      </w:pPr>
    </w:p>
    <w:p w:rsidR="006D2D93" w:rsidRPr="002518FB" w:rsidRDefault="006D2D93">
      <w:pPr>
        <w:rPr>
          <w:sz w:val="22"/>
          <w:lang w:val="el-GR"/>
        </w:rPr>
      </w:pPr>
      <w:r w:rsidRPr="002518FB">
        <w:rPr>
          <w:sz w:val="22"/>
          <w:lang w:val="el-GR"/>
        </w:rPr>
        <w:t xml:space="preserve">Αναστολείς </w:t>
      </w:r>
      <w:r w:rsidR="000F3434" w:rsidRPr="002518FB">
        <w:rPr>
          <w:sz w:val="22"/>
          <w:lang w:val="el-GR"/>
        </w:rPr>
        <w:t>MAO</w:t>
      </w:r>
      <w:r w:rsidR="005C6B8D" w:rsidRPr="002518FB">
        <w:rPr>
          <w:sz w:val="22"/>
          <w:lang w:val="el-GR"/>
        </w:rPr>
        <w:t>Ι</w:t>
      </w:r>
      <w:r w:rsidRPr="002518FB">
        <w:rPr>
          <w:sz w:val="22"/>
          <w:lang w:val="el-GR"/>
        </w:rPr>
        <w:t xml:space="preserve">: Η </w:t>
      </w:r>
      <w:proofErr w:type="spellStart"/>
      <w:r w:rsidRPr="002518FB">
        <w:rPr>
          <w:sz w:val="22"/>
          <w:lang w:val="el-GR"/>
        </w:rPr>
        <w:t>ατομοξετίνη</w:t>
      </w:r>
      <w:proofErr w:type="spellEnd"/>
      <w:r w:rsidRPr="002518FB">
        <w:rPr>
          <w:sz w:val="22"/>
          <w:lang w:val="el-GR"/>
        </w:rPr>
        <w:t xml:space="preserve"> δεν πρέπει να χορηγείται με </w:t>
      </w:r>
      <w:r w:rsidR="000F3434" w:rsidRPr="002518FB">
        <w:rPr>
          <w:sz w:val="22"/>
          <w:lang w:val="el-GR"/>
        </w:rPr>
        <w:t>MAO</w:t>
      </w:r>
      <w:r w:rsidRPr="002518FB">
        <w:rPr>
          <w:sz w:val="22"/>
          <w:lang w:val="el-GR"/>
        </w:rPr>
        <w:t xml:space="preserve">Ι (βλέπε </w:t>
      </w:r>
      <w:r w:rsidR="0053791C" w:rsidRPr="002518FB">
        <w:rPr>
          <w:sz w:val="22"/>
          <w:lang w:val="el-GR"/>
        </w:rPr>
        <w:t xml:space="preserve">παράγραφο </w:t>
      </w:r>
      <w:r w:rsidRPr="002518FB">
        <w:rPr>
          <w:sz w:val="22"/>
          <w:lang w:val="el-GR"/>
        </w:rPr>
        <w:t>4.3).</w:t>
      </w:r>
    </w:p>
    <w:p w:rsidR="006D2D93" w:rsidRPr="002518FB" w:rsidRDefault="006D2D93">
      <w:pPr>
        <w:pStyle w:val="BodyText"/>
        <w:rPr>
          <w:bCs w:val="0"/>
          <w:iCs w:val="0"/>
          <w:lang w:val="el-GR"/>
        </w:rPr>
      </w:pPr>
    </w:p>
    <w:p w:rsidR="006D2D93" w:rsidRPr="002518FB" w:rsidRDefault="006D2D93" w:rsidP="003645A7">
      <w:pPr>
        <w:rPr>
          <w:sz w:val="22"/>
          <w:lang w:val="el-GR"/>
        </w:rPr>
      </w:pPr>
      <w:r w:rsidRPr="002518FB">
        <w:rPr>
          <w:sz w:val="22"/>
          <w:lang w:val="el-GR"/>
        </w:rPr>
        <w:t xml:space="preserve">Αναστολείς του </w:t>
      </w:r>
      <w:r w:rsidR="000F3434" w:rsidRPr="002518FB">
        <w:rPr>
          <w:sz w:val="22"/>
          <w:lang w:val="el-GR"/>
        </w:rPr>
        <w:t>CYP</w:t>
      </w:r>
      <w:r w:rsidRPr="002518FB">
        <w:rPr>
          <w:sz w:val="22"/>
          <w:lang w:val="el-GR"/>
        </w:rPr>
        <w:t>2</w:t>
      </w:r>
      <w:r w:rsidR="000F3434" w:rsidRPr="002518FB">
        <w:rPr>
          <w:sz w:val="22"/>
          <w:lang w:val="el-GR"/>
        </w:rPr>
        <w:t>D</w:t>
      </w:r>
      <w:r w:rsidRPr="002518FB">
        <w:rPr>
          <w:sz w:val="22"/>
          <w:lang w:val="el-GR"/>
        </w:rPr>
        <w:t>6 (</w:t>
      </w:r>
      <w:proofErr w:type="spellStart"/>
      <w:r w:rsidR="000F3434" w:rsidRPr="002518FB">
        <w:rPr>
          <w:sz w:val="22"/>
          <w:lang w:val="el-GR"/>
        </w:rPr>
        <w:t>SSRIs</w:t>
      </w:r>
      <w:proofErr w:type="spellEnd"/>
      <w:r w:rsidR="0053791C" w:rsidRPr="002518FB">
        <w:rPr>
          <w:sz w:val="22"/>
          <w:lang w:val="el-GR"/>
        </w:rPr>
        <w:t xml:space="preserve"> (</w:t>
      </w:r>
      <w:r w:rsidRPr="002518FB">
        <w:rPr>
          <w:sz w:val="22"/>
          <w:lang w:val="el-GR"/>
        </w:rPr>
        <w:t>π.χ.</w:t>
      </w:r>
      <w:r w:rsidR="00D11F15" w:rsidRPr="002518FB">
        <w:rPr>
          <w:sz w:val="22"/>
          <w:lang w:val="el-GR"/>
        </w:rPr>
        <w:t xml:space="preserve"> </w:t>
      </w:r>
      <w:proofErr w:type="spellStart"/>
      <w:r w:rsidRPr="002518FB">
        <w:rPr>
          <w:sz w:val="22"/>
          <w:lang w:val="el-GR"/>
        </w:rPr>
        <w:t>φλουοξετίνη</w:t>
      </w:r>
      <w:proofErr w:type="spellEnd"/>
      <w:r w:rsidRPr="002518FB">
        <w:rPr>
          <w:sz w:val="22"/>
          <w:lang w:val="el-GR"/>
        </w:rPr>
        <w:t xml:space="preserve">, </w:t>
      </w:r>
      <w:proofErr w:type="spellStart"/>
      <w:r w:rsidRPr="002518FB">
        <w:rPr>
          <w:sz w:val="22"/>
          <w:lang w:val="el-GR"/>
        </w:rPr>
        <w:t>παροξετίνη</w:t>
      </w:r>
      <w:proofErr w:type="spellEnd"/>
      <w:r w:rsidR="00FA00E4" w:rsidRPr="002518FB">
        <w:rPr>
          <w:sz w:val="22"/>
          <w:lang w:val="el-GR"/>
        </w:rPr>
        <w:t>)</w:t>
      </w:r>
      <w:r w:rsidR="00D11F15" w:rsidRPr="002518FB">
        <w:rPr>
          <w:sz w:val="22"/>
          <w:lang w:val="el-GR"/>
        </w:rPr>
        <w:t xml:space="preserve">, </w:t>
      </w:r>
      <w:proofErr w:type="spellStart"/>
      <w:r w:rsidR="00077A4C" w:rsidRPr="002518FB">
        <w:rPr>
          <w:sz w:val="22"/>
          <w:lang w:val="el-GR"/>
        </w:rPr>
        <w:t>κινιδίνη</w:t>
      </w:r>
      <w:proofErr w:type="spellEnd"/>
      <w:r w:rsidR="00077A4C" w:rsidRPr="002518FB">
        <w:rPr>
          <w:sz w:val="22"/>
          <w:lang w:val="el-GR"/>
        </w:rPr>
        <w:t xml:space="preserve">, </w:t>
      </w:r>
      <w:proofErr w:type="spellStart"/>
      <w:r w:rsidR="00077A4C" w:rsidRPr="002518FB">
        <w:rPr>
          <w:sz w:val="22"/>
          <w:lang w:val="el-GR"/>
        </w:rPr>
        <w:t>τερβ</w:t>
      </w:r>
      <w:r w:rsidR="00034B3A" w:rsidRPr="002518FB">
        <w:rPr>
          <w:sz w:val="22"/>
          <w:lang w:val="el-GR"/>
        </w:rPr>
        <w:t>ιναφίνη</w:t>
      </w:r>
      <w:proofErr w:type="spellEnd"/>
      <w:r w:rsidRPr="002518FB">
        <w:rPr>
          <w:sz w:val="22"/>
          <w:lang w:val="el-GR"/>
        </w:rPr>
        <w:t xml:space="preserve">): </w:t>
      </w:r>
      <w:r w:rsidR="00825BC8" w:rsidRPr="002518FB">
        <w:rPr>
          <w:sz w:val="22"/>
          <w:lang w:val="el-GR"/>
        </w:rPr>
        <w:t>Σε</w:t>
      </w:r>
      <w:r w:rsidR="003620FB" w:rsidRPr="002518FB">
        <w:rPr>
          <w:sz w:val="22"/>
          <w:lang w:val="el-GR"/>
        </w:rPr>
        <w:t xml:space="preserve"> ασθενείς που λαμβάνουν αυτά τα φάρμακα, </w:t>
      </w:r>
      <w:r w:rsidR="00C05269" w:rsidRPr="002518FB">
        <w:rPr>
          <w:sz w:val="22"/>
          <w:lang w:val="el-GR"/>
        </w:rPr>
        <w:t xml:space="preserve">η έκθεση στην </w:t>
      </w:r>
      <w:proofErr w:type="spellStart"/>
      <w:r w:rsidR="00C05269" w:rsidRPr="002518FB">
        <w:rPr>
          <w:sz w:val="22"/>
          <w:lang w:val="el-GR"/>
        </w:rPr>
        <w:t>ατομοξετίνη</w:t>
      </w:r>
      <w:proofErr w:type="spellEnd"/>
      <w:r w:rsidR="00C05269" w:rsidRPr="002518FB">
        <w:rPr>
          <w:sz w:val="22"/>
          <w:lang w:val="el-GR"/>
        </w:rPr>
        <w:t xml:space="preserve"> μπορεί να είναι 6- έως 8- φορές μεγαλύτερη και οι </w:t>
      </w:r>
      <w:proofErr w:type="spellStart"/>
      <w:r w:rsidR="000F3434" w:rsidRPr="002518FB">
        <w:rPr>
          <w:sz w:val="22"/>
          <w:lang w:val="el-GR"/>
        </w:rPr>
        <w:t>Css</w:t>
      </w:r>
      <w:proofErr w:type="spellEnd"/>
      <w:r w:rsidR="00C05269" w:rsidRPr="002518FB">
        <w:rPr>
          <w:sz w:val="22"/>
          <w:lang w:val="el-GR"/>
        </w:rPr>
        <w:t xml:space="preserve"> </w:t>
      </w:r>
      <w:proofErr w:type="spellStart"/>
      <w:r w:rsidR="000F3434" w:rsidRPr="002518FB">
        <w:rPr>
          <w:sz w:val="22"/>
          <w:lang w:val="el-GR"/>
        </w:rPr>
        <w:t>max</w:t>
      </w:r>
      <w:proofErr w:type="spellEnd"/>
      <w:r w:rsidR="00C05269" w:rsidRPr="002518FB">
        <w:rPr>
          <w:sz w:val="22"/>
          <w:lang w:val="el-GR"/>
        </w:rPr>
        <w:t xml:space="preserve"> </w:t>
      </w:r>
      <w:r w:rsidR="003645A7" w:rsidRPr="002518FB">
        <w:rPr>
          <w:sz w:val="22"/>
          <w:lang w:val="el-GR"/>
        </w:rPr>
        <w:t xml:space="preserve">3 έως 4 φορές υψηλότερη, γιατί </w:t>
      </w:r>
      <w:r w:rsidRPr="002518FB">
        <w:rPr>
          <w:sz w:val="22"/>
          <w:lang w:val="el-GR"/>
        </w:rPr>
        <w:t xml:space="preserve">μεταβολίζεται μέσω του </w:t>
      </w:r>
      <w:r w:rsidR="000F3434" w:rsidRPr="002518FB">
        <w:rPr>
          <w:sz w:val="22"/>
          <w:lang w:val="el-GR"/>
        </w:rPr>
        <w:t>CYP</w:t>
      </w:r>
      <w:r w:rsidRPr="002518FB">
        <w:rPr>
          <w:sz w:val="22"/>
          <w:lang w:val="el-GR"/>
        </w:rPr>
        <w:t>2</w:t>
      </w:r>
      <w:r w:rsidR="000F3434" w:rsidRPr="002518FB">
        <w:rPr>
          <w:sz w:val="22"/>
          <w:lang w:val="el-GR"/>
        </w:rPr>
        <w:t>D</w:t>
      </w:r>
      <w:r w:rsidRPr="002518FB">
        <w:rPr>
          <w:sz w:val="22"/>
          <w:lang w:val="el-GR"/>
        </w:rPr>
        <w:t>6.</w:t>
      </w:r>
      <w:r w:rsidR="003645A7" w:rsidRPr="002518FB">
        <w:rPr>
          <w:sz w:val="22"/>
          <w:lang w:val="el-GR"/>
        </w:rPr>
        <w:t xml:space="preserve"> </w:t>
      </w:r>
      <w:r w:rsidR="00B33838" w:rsidRPr="002518FB">
        <w:rPr>
          <w:sz w:val="22"/>
          <w:lang w:val="el-GR"/>
        </w:rPr>
        <w:t xml:space="preserve">Σε ασθενείς που </w:t>
      </w:r>
      <w:r w:rsidR="003645A7" w:rsidRPr="002518FB">
        <w:rPr>
          <w:sz w:val="22"/>
          <w:lang w:val="el-GR"/>
        </w:rPr>
        <w:t xml:space="preserve">ήδη </w:t>
      </w:r>
      <w:r w:rsidR="00B33838" w:rsidRPr="002518FB">
        <w:rPr>
          <w:sz w:val="22"/>
          <w:lang w:val="el-GR"/>
        </w:rPr>
        <w:t xml:space="preserve">λαμβάνουν συγχρόνως φάρμακα που αναστέλλουν το </w:t>
      </w:r>
      <w:r w:rsidR="000F3434" w:rsidRPr="002518FB">
        <w:rPr>
          <w:sz w:val="22"/>
          <w:lang w:val="el-GR"/>
        </w:rPr>
        <w:t>CYP</w:t>
      </w:r>
      <w:r w:rsidR="00B33838" w:rsidRPr="002518FB">
        <w:rPr>
          <w:sz w:val="22"/>
          <w:lang w:val="el-GR"/>
        </w:rPr>
        <w:t>2</w:t>
      </w:r>
      <w:r w:rsidR="000F3434" w:rsidRPr="002518FB">
        <w:rPr>
          <w:sz w:val="22"/>
          <w:lang w:val="el-GR"/>
        </w:rPr>
        <w:t>D</w:t>
      </w:r>
      <w:r w:rsidR="00B33838" w:rsidRPr="002518FB">
        <w:rPr>
          <w:sz w:val="22"/>
          <w:lang w:val="el-GR"/>
        </w:rPr>
        <w:t xml:space="preserve">6, </w:t>
      </w:r>
      <w:proofErr w:type="spellStart"/>
      <w:r w:rsidR="004C5992" w:rsidRPr="002518FB">
        <w:rPr>
          <w:sz w:val="22"/>
          <w:lang w:val="el-GR"/>
        </w:rPr>
        <w:t>δοσολογική</w:t>
      </w:r>
      <w:proofErr w:type="spellEnd"/>
      <w:r w:rsidR="004C5992" w:rsidRPr="002518FB">
        <w:rPr>
          <w:sz w:val="22"/>
          <w:lang w:val="el-GR"/>
        </w:rPr>
        <w:t xml:space="preserve"> αναπροσαρμογή και </w:t>
      </w:r>
      <w:r w:rsidR="00B33838" w:rsidRPr="002518FB">
        <w:rPr>
          <w:sz w:val="22"/>
          <w:lang w:val="el-GR"/>
        </w:rPr>
        <w:t xml:space="preserve">βραδύτερη </w:t>
      </w:r>
      <w:proofErr w:type="spellStart"/>
      <w:r w:rsidR="00B33838" w:rsidRPr="002518FB">
        <w:rPr>
          <w:sz w:val="22"/>
          <w:lang w:val="el-GR"/>
        </w:rPr>
        <w:t>τιτλοποίηση</w:t>
      </w:r>
      <w:proofErr w:type="spellEnd"/>
      <w:r w:rsidR="00B33838" w:rsidRPr="002518FB">
        <w:rPr>
          <w:sz w:val="22"/>
          <w:lang w:val="el-GR"/>
        </w:rPr>
        <w:t xml:space="preserve"> </w:t>
      </w:r>
      <w:r w:rsidR="003645A7" w:rsidRPr="002518FB">
        <w:rPr>
          <w:sz w:val="22"/>
          <w:lang w:val="el-GR"/>
        </w:rPr>
        <w:t xml:space="preserve">και τελική χαμηλότερη δοσολογία </w:t>
      </w:r>
      <w:r w:rsidR="00B33838" w:rsidRPr="002518FB">
        <w:rPr>
          <w:sz w:val="22"/>
          <w:lang w:val="el-GR"/>
        </w:rPr>
        <w:t xml:space="preserve">της </w:t>
      </w:r>
      <w:proofErr w:type="spellStart"/>
      <w:r w:rsidR="00B33838" w:rsidRPr="002518FB">
        <w:rPr>
          <w:sz w:val="22"/>
          <w:lang w:val="el-GR"/>
        </w:rPr>
        <w:t>ατομοξετίνης</w:t>
      </w:r>
      <w:proofErr w:type="spellEnd"/>
      <w:r w:rsidR="00B33838" w:rsidRPr="002518FB">
        <w:rPr>
          <w:sz w:val="22"/>
          <w:lang w:val="el-GR"/>
        </w:rPr>
        <w:t xml:space="preserve"> </w:t>
      </w:r>
      <w:r w:rsidR="004C5992" w:rsidRPr="002518FB">
        <w:rPr>
          <w:sz w:val="22"/>
          <w:lang w:val="el-GR"/>
        </w:rPr>
        <w:t>μπορεί να απαιτηθεί</w:t>
      </w:r>
      <w:r w:rsidR="00B33838" w:rsidRPr="002518FB">
        <w:rPr>
          <w:sz w:val="22"/>
          <w:lang w:val="el-GR"/>
        </w:rPr>
        <w:t xml:space="preserve">. Σε περίπτωση </w:t>
      </w:r>
      <w:r w:rsidR="004C5992" w:rsidRPr="002518FB">
        <w:rPr>
          <w:sz w:val="22"/>
          <w:lang w:val="el-GR"/>
        </w:rPr>
        <w:t xml:space="preserve">που </w:t>
      </w:r>
      <w:r w:rsidR="00630C95" w:rsidRPr="002518FB">
        <w:rPr>
          <w:sz w:val="22"/>
          <w:lang w:val="el-GR"/>
        </w:rPr>
        <w:t>ένας</w:t>
      </w:r>
      <w:r w:rsidR="004C5992" w:rsidRPr="002518FB">
        <w:rPr>
          <w:sz w:val="22"/>
          <w:lang w:val="el-GR"/>
        </w:rPr>
        <w:t xml:space="preserve"> αναστολέας του</w:t>
      </w:r>
      <w:r w:rsidR="00B33838" w:rsidRPr="002518FB">
        <w:rPr>
          <w:sz w:val="22"/>
          <w:lang w:val="el-GR"/>
        </w:rPr>
        <w:t xml:space="preserve"> </w:t>
      </w:r>
      <w:r w:rsidR="000F3434" w:rsidRPr="002518FB">
        <w:rPr>
          <w:sz w:val="22"/>
          <w:lang w:val="el-GR"/>
        </w:rPr>
        <w:t>CYP</w:t>
      </w:r>
      <w:r w:rsidR="00B33838" w:rsidRPr="002518FB">
        <w:rPr>
          <w:sz w:val="22"/>
          <w:lang w:val="el-GR"/>
        </w:rPr>
        <w:t>2</w:t>
      </w:r>
      <w:r w:rsidR="000F3434" w:rsidRPr="002518FB">
        <w:rPr>
          <w:sz w:val="22"/>
          <w:lang w:val="el-GR"/>
        </w:rPr>
        <w:t>D</w:t>
      </w:r>
      <w:r w:rsidR="00B33838" w:rsidRPr="002518FB">
        <w:rPr>
          <w:sz w:val="22"/>
          <w:lang w:val="el-GR"/>
        </w:rPr>
        <w:t xml:space="preserve">6 </w:t>
      </w:r>
      <w:proofErr w:type="spellStart"/>
      <w:r w:rsidR="00B33838" w:rsidRPr="002518FB">
        <w:rPr>
          <w:sz w:val="22"/>
          <w:lang w:val="el-GR"/>
        </w:rPr>
        <w:t>συνταγογραφείται</w:t>
      </w:r>
      <w:proofErr w:type="spellEnd"/>
      <w:r w:rsidR="00B33838" w:rsidRPr="002518FB">
        <w:rPr>
          <w:sz w:val="22"/>
          <w:lang w:val="el-GR"/>
        </w:rPr>
        <w:t xml:space="preserve"> ή διακόπτεται μετά </w:t>
      </w:r>
      <w:r w:rsidR="00ED445F" w:rsidRPr="002518FB">
        <w:rPr>
          <w:sz w:val="22"/>
          <w:lang w:val="el-GR"/>
        </w:rPr>
        <w:t xml:space="preserve">τη </w:t>
      </w:r>
      <w:proofErr w:type="spellStart"/>
      <w:r w:rsidR="00B33838" w:rsidRPr="002518FB">
        <w:rPr>
          <w:sz w:val="22"/>
          <w:lang w:val="el-GR"/>
        </w:rPr>
        <w:t>τιτλοποίηση</w:t>
      </w:r>
      <w:proofErr w:type="spellEnd"/>
      <w:r w:rsidR="00B33838" w:rsidRPr="002518FB">
        <w:rPr>
          <w:sz w:val="22"/>
          <w:lang w:val="el-GR"/>
        </w:rPr>
        <w:t xml:space="preserve"> </w:t>
      </w:r>
      <w:r w:rsidR="00E36880" w:rsidRPr="002518FB">
        <w:rPr>
          <w:sz w:val="22"/>
          <w:lang w:val="el-GR"/>
        </w:rPr>
        <w:t>σ</w:t>
      </w:r>
      <w:r w:rsidR="00630C95" w:rsidRPr="002518FB">
        <w:rPr>
          <w:sz w:val="22"/>
          <w:lang w:val="el-GR"/>
        </w:rPr>
        <w:t>τη</w:t>
      </w:r>
      <w:r w:rsidR="00E36880" w:rsidRPr="002518FB">
        <w:rPr>
          <w:sz w:val="22"/>
          <w:lang w:val="el-GR"/>
        </w:rPr>
        <w:t>ν</w:t>
      </w:r>
      <w:r w:rsidR="00B33838" w:rsidRPr="002518FB">
        <w:rPr>
          <w:sz w:val="22"/>
          <w:lang w:val="el-GR"/>
        </w:rPr>
        <w:t xml:space="preserve"> </w:t>
      </w:r>
      <w:r w:rsidR="00E36880" w:rsidRPr="002518FB">
        <w:rPr>
          <w:sz w:val="22"/>
          <w:lang w:val="el-GR"/>
        </w:rPr>
        <w:t>κατάλληλη</w:t>
      </w:r>
      <w:r w:rsidR="00B33838" w:rsidRPr="002518FB">
        <w:rPr>
          <w:sz w:val="22"/>
          <w:lang w:val="el-GR"/>
        </w:rPr>
        <w:t xml:space="preserve"> δόση</w:t>
      </w:r>
      <w:r w:rsidR="00ED445F" w:rsidRPr="002518FB">
        <w:rPr>
          <w:sz w:val="22"/>
          <w:lang w:val="el-GR"/>
        </w:rPr>
        <w:t xml:space="preserve"> της</w:t>
      </w:r>
      <w:r w:rsidR="00B33838" w:rsidRPr="002518FB">
        <w:rPr>
          <w:sz w:val="22"/>
          <w:lang w:val="el-GR"/>
        </w:rPr>
        <w:t xml:space="preserve"> </w:t>
      </w:r>
      <w:proofErr w:type="spellStart"/>
      <w:r w:rsidR="00B33838" w:rsidRPr="002518FB">
        <w:rPr>
          <w:sz w:val="22"/>
          <w:lang w:val="el-GR"/>
        </w:rPr>
        <w:t>ατομοξετίνης</w:t>
      </w:r>
      <w:proofErr w:type="spellEnd"/>
      <w:r w:rsidR="00B33838" w:rsidRPr="002518FB">
        <w:rPr>
          <w:sz w:val="22"/>
          <w:lang w:val="el-GR"/>
        </w:rPr>
        <w:t xml:space="preserve">, </w:t>
      </w:r>
      <w:r w:rsidR="00ED445F" w:rsidRPr="002518FB">
        <w:rPr>
          <w:sz w:val="22"/>
          <w:lang w:val="el-GR"/>
        </w:rPr>
        <w:t>η</w:t>
      </w:r>
      <w:r w:rsidR="00B33838" w:rsidRPr="002518FB">
        <w:rPr>
          <w:sz w:val="22"/>
          <w:lang w:val="el-GR"/>
        </w:rPr>
        <w:t xml:space="preserve"> κλινική ανταπόκριση και </w:t>
      </w:r>
      <w:r w:rsidR="00ED445F" w:rsidRPr="002518FB">
        <w:rPr>
          <w:sz w:val="22"/>
          <w:lang w:val="el-GR"/>
        </w:rPr>
        <w:t>η</w:t>
      </w:r>
      <w:r w:rsidR="00B33838" w:rsidRPr="002518FB">
        <w:rPr>
          <w:sz w:val="22"/>
          <w:lang w:val="el-GR"/>
        </w:rPr>
        <w:t xml:space="preserve"> ανεκτικότητα</w:t>
      </w:r>
      <w:r w:rsidR="00630C95" w:rsidRPr="002518FB">
        <w:rPr>
          <w:sz w:val="22"/>
          <w:lang w:val="el-GR"/>
        </w:rPr>
        <w:t xml:space="preserve"> θα πρέπει να </w:t>
      </w:r>
      <w:r w:rsidR="00ED445F" w:rsidRPr="002518FB">
        <w:rPr>
          <w:sz w:val="22"/>
          <w:lang w:val="el-GR"/>
        </w:rPr>
        <w:t>επανεκτιμώνται για</w:t>
      </w:r>
      <w:r w:rsidR="00B33838" w:rsidRPr="002518FB">
        <w:rPr>
          <w:sz w:val="22"/>
          <w:lang w:val="el-GR"/>
        </w:rPr>
        <w:t xml:space="preserve"> να καθοριστεί </w:t>
      </w:r>
      <w:r w:rsidR="00ED445F" w:rsidRPr="002518FB">
        <w:rPr>
          <w:sz w:val="22"/>
          <w:lang w:val="el-GR"/>
        </w:rPr>
        <w:t xml:space="preserve">εάν απαιτείται </w:t>
      </w:r>
      <w:proofErr w:type="spellStart"/>
      <w:r w:rsidR="00ED445F" w:rsidRPr="002518FB">
        <w:rPr>
          <w:sz w:val="22"/>
          <w:lang w:val="el-GR"/>
        </w:rPr>
        <w:t>δοσολογική</w:t>
      </w:r>
      <w:proofErr w:type="spellEnd"/>
      <w:r w:rsidR="00B33838" w:rsidRPr="002518FB">
        <w:rPr>
          <w:sz w:val="22"/>
          <w:lang w:val="el-GR"/>
        </w:rPr>
        <w:t xml:space="preserve"> </w:t>
      </w:r>
      <w:r w:rsidR="00E36880" w:rsidRPr="002518FB">
        <w:rPr>
          <w:sz w:val="22"/>
          <w:lang w:val="el-GR"/>
        </w:rPr>
        <w:t>αναπροσαρμογή</w:t>
      </w:r>
      <w:r w:rsidR="00B33838" w:rsidRPr="002518FB">
        <w:rPr>
          <w:sz w:val="22"/>
          <w:lang w:val="el-GR"/>
        </w:rPr>
        <w:t xml:space="preserve"> στον συγκεκριμένο ασθενή.</w:t>
      </w:r>
    </w:p>
    <w:p w:rsidR="00D13879" w:rsidRPr="002518FB" w:rsidRDefault="00D13879">
      <w:pPr>
        <w:rPr>
          <w:sz w:val="22"/>
          <w:highlight w:val="green"/>
          <w:lang w:val="el-GR"/>
        </w:rPr>
      </w:pPr>
    </w:p>
    <w:p w:rsidR="00D13879" w:rsidRPr="002518FB" w:rsidRDefault="00D13879" w:rsidP="00D13879">
      <w:pPr>
        <w:rPr>
          <w:sz w:val="22"/>
          <w:lang w:val="el-GR"/>
        </w:rPr>
      </w:pPr>
      <w:r w:rsidRPr="002518FB">
        <w:rPr>
          <w:sz w:val="22"/>
          <w:lang w:val="el-GR"/>
        </w:rPr>
        <w:t xml:space="preserve">Συνιστάται προσοχή όταν </w:t>
      </w:r>
      <w:proofErr w:type="spellStart"/>
      <w:r w:rsidR="00E36880" w:rsidRPr="002518FB">
        <w:rPr>
          <w:sz w:val="22"/>
          <w:lang w:val="el-GR"/>
        </w:rPr>
        <w:t>συγχορηγ</w:t>
      </w:r>
      <w:r w:rsidR="00AB3CBE" w:rsidRPr="002518FB">
        <w:rPr>
          <w:sz w:val="22"/>
          <w:lang w:val="el-GR"/>
        </w:rPr>
        <w:t>εί</w:t>
      </w:r>
      <w:r w:rsidR="00E36880" w:rsidRPr="002518FB">
        <w:rPr>
          <w:sz w:val="22"/>
          <w:lang w:val="el-GR"/>
        </w:rPr>
        <w:t>ται</w:t>
      </w:r>
      <w:proofErr w:type="spellEnd"/>
      <w:r w:rsidRPr="002518FB">
        <w:rPr>
          <w:sz w:val="22"/>
          <w:lang w:val="el-GR"/>
        </w:rPr>
        <w:t xml:space="preserve"> </w:t>
      </w:r>
      <w:r w:rsidR="00AB3CBE" w:rsidRPr="002518FB">
        <w:rPr>
          <w:sz w:val="22"/>
          <w:lang w:val="el-GR"/>
        </w:rPr>
        <w:t xml:space="preserve"> </w:t>
      </w:r>
      <w:proofErr w:type="spellStart"/>
      <w:r w:rsidRPr="002518FB">
        <w:rPr>
          <w:sz w:val="22"/>
          <w:lang w:val="el-GR"/>
        </w:rPr>
        <w:t>ατομοξετίνη</w:t>
      </w:r>
      <w:proofErr w:type="spellEnd"/>
      <w:r w:rsidRPr="002518FB">
        <w:rPr>
          <w:sz w:val="22"/>
          <w:lang w:val="el-GR"/>
        </w:rPr>
        <w:t xml:space="preserve"> με ισχυρούς αναστολείς </w:t>
      </w:r>
      <w:r w:rsidR="00672173" w:rsidRPr="002518FB">
        <w:rPr>
          <w:sz w:val="22"/>
          <w:lang w:val="el-GR"/>
        </w:rPr>
        <w:t>τ</w:t>
      </w:r>
      <w:r w:rsidR="00E36880" w:rsidRPr="002518FB">
        <w:rPr>
          <w:sz w:val="22"/>
          <w:lang w:val="el-GR"/>
        </w:rPr>
        <w:t>ων ενζύμων του</w:t>
      </w:r>
      <w:r w:rsidR="00672173" w:rsidRPr="002518FB">
        <w:rPr>
          <w:sz w:val="22"/>
          <w:lang w:val="el-GR"/>
        </w:rPr>
        <w:t xml:space="preserve"> κυτοχρώματος</w:t>
      </w:r>
      <w:r w:rsidRPr="002518FB">
        <w:rPr>
          <w:sz w:val="22"/>
          <w:lang w:val="el-GR"/>
        </w:rPr>
        <w:t xml:space="preserve"> P450</w:t>
      </w:r>
      <w:r w:rsidR="00672173" w:rsidRPr="002518FB">
        <w:rPr>
          <w:sz w:val="22"/>
          <w:lang w:val="el-GR"/>
        </w:rPr>
        <w:t>,</w:t>
      </w:r>
      <w:r w:rsidRPr="002518FB">
        <w:rPr>
          <w:sz w:val="22"/>
          <w:lang w:val="el-GR"/>
        </w:rPr>
        <w:t xml:space="preserve"> </w:t>
      </w:r>
      <w:r w:rsidR="00E36880" w:rsidRPr="002518FB">
        <w:rPr>
          <w:sz w:val="22"/>
          <w:lang w:val="el-GR"/>
        </w:rPr>
        <w:t>πέραν του</w:t>
      </w:r>
      <w:r w:rsidR="00A7417A" w:rsidRPr="002518FB">
        <w:rPr>
          <w:sz w:val="22"/>
          <w:lang w:val="el-GR"/>
        </w:rPr>
        <w:t xml:space="preserve"> </w:t>
      </w:r>
      <w:r w:rsidRPr="002518FB">
        <w:rPr>
          <w:sz w:val="22"/>
          <w:lang w:val="el-GR"/>
        </w:rPr>
        <w:t>CYP2D6</w:t>
      </w:r>
      <w:r w:rsidR="00943789" w:rsidRPr="002518FB">
        <w:rPr>
          <w:sz w:val="22"/>
          <w:lang w:val="el-GR"/>
        </w:rPr>
        <w:t>,</w:t>
      </w:r>
      <w:r w:rsidRPr="002518FB">
        <w:rPr>
          <w:sz w:val="22"/>
          <w:lang w:val="el-GR"/>
        </w:rPr>
        <w:t xml:space="preserve"> </w:t>
      </w:r>
      <w:r w:rsidR="00E36880" w:rsidRPr="002518FB">
        <w:rPr>
          <w:sz w:val="22"/>
          <w:lang w:val="el-GR"/>
        </w:rPr>
        <w:t xml:space="preserve">σε </w:t>
      </w:r>
      <w:r w:rsidRPr="002518FB">
        <w:rPr>
          <w:sz w:val="22"/>
          <w:lang w:val="el-GR"/>
        </w:rPr>
        <w:t xml:space="preserve">ασθενείς </w:t>
      </w:r>
      <w:r w:rsidR="00E36880" w:rsidRPr="002518FB">
        <w:rPr>
          <w:sz w:val="22"/>
          <w:lang w:val="el-GR"/>
        </w:rPr>
        <w:t xml:space="preserve">οι </w:t>
      </w:r>
      <w:r w:rsidR="00AB3CBE" w:rsidRPr="002518FB">
        <w:rPr>
          <w:sz w:val="22"/>
          <w:lang w:val="el-GR"/>
        </w:rPr>
        <w:t>οποίοι</w:t>
      </w:r>
      <w:r w:rsidR="00E36880" w:rsidRPr="002518FB">
        <w:rPr>
          <w:sz w:val="22"/>
          <w:lang w:val="el-GR"/>
        </w:rPr>
        <w:t xml:space="preserve"> είναι </w:t>
      </w:r>
      <w:r w:rsidRPr="002518FB">
        <w:rPr>
          <w:sz w:val="22"/>
          <w:lang w:val="el-GR"/>
        </w:rPr>
        <w:t>πτωχοί</w:t>
      </w:r>
      <w:r w:rsidR="00E36880" w:rsidRPr="002518FB">
        <w:rPr>
          <w:sz w:val="22"/>
          <w:lang w:val="el-GR"/>
        </w:rPr>
        <w:t xml:space="preserve"> CYP2D6</w:t>
      </w:r>
    </w:p>
    <w:p w:rsidR="00D13879" w:rsidRPr="002518FB" w:rsidRDefault="00D13879" w:rsidP="00D13879">
      <w:pPr>
        <w:rPr>
          <w:sz w:val="22"/>
          <w:lang w:val="el-GR"/>
        </w:rPr>
      </w:pPr>
      <w:proofErr w:type="spellStart"/>
      <w:r w:rsidRPr="002518FB">
        <w:rPr>
          <w:sz w:val="22"/>
          <w:lang w:val="el-GR"/>
        </w:rPr>
        <w:t>μεταβολιστές</w:t>
      </w:r>
      <w:proofErr w:type="spellEnd"/>
      <w:r w:rsidR="00C10F3F" w:rsidRPr="002518FB">
        <w:rPr>
          <w:sz w:val="22"/>
          <w:lang w:val="el-GR"/>
        </w:rPr>
        <w:t>,</w:t>
      </w:r>
      <w:r w:rsidRPr="002518FB">
        <w:rPr>
          <w:sz w:val="22"/>
          <w:lang w:val="el-GR"/>
        </w:rPr>
        <w:t xml:space="preserve"> </w:t>
      </w:r>
      <w:r w:rsidR="00E36880" w:rsidRPr="002518FB">
        <w:rPr>
          <w:sz w:val="22"/>
          <w:lang w:val="el-GR"/>
        </w:rPr>
        <w:t>αφού</w:t>
      </w:r>
      <w:r w:rsidR="00672173" w:rsidRPr="002518FB">
        <w:rPr>
          <w:sz w:val="22"/>
          <w:lang w:val="el-GR"/>
        </w:rPr>
        <w:t xml:space="preserve"> ο κίνδυνος κλινι</w:t>
      </w:r>
      <w:r w:rsidR="00E36880" w:rsidRPr="002518FB">
        <w:rPr>
          <w:sz w:val="22"/>
          <w:lang w:val="el-GR"/>
        </w:rPr>
        <w:t>κά σημαντικών</w:t>
      </w:r>
      <w:r w:rsidR="00672173" w:rsidRPr="002518FB">
        <w:rPr>
          <w:sz w:val="22"/>
          <w:lang w:val="el-GR"/>
        </w:rPr>
        <w:t xml:space="preserve"> </w:t>
      </w:r>
      <w:r w:rsidR="0066304F" w:rsidRPr="002518FB">
        <w:rPr>
          <w:sz w:val="22"/>
          <w:lang w:val="el-GR"/>
        </w:rPr>
        <w:t xml:space="preserve">αυξήσεων </w:t>
      </w:r>
      <w:r w:rsidR="00E36880" w:rsidRPr="002518FB">
        <w:rPr>
          <w:sz w:val="22"/>
          <w:lang w:val="el-GR"/>
        </w:rPr>
        <w:t>στην</w:t>
      </w:r>
      <w:r w:rsidR="00C10F3F" w:rsidRPr="002518FB">
        <w:rPr>
          <w:i/>
          <w:sz w:val="22"/>
          <w:lang w:val="el-GR"/>
        </w:rPr>
        <w:t xml:space="preserve"> </w:t>
      </w:r>
      <w:proofErr w:type="spellStart"/>
      <w:r w:rsidR="00E36880" w:rsidRPr="002518FB">
        <w:rPr>
          <w:i/>
          <w:sz w:val="22"/>
          <w:lang w:val="el-GR"/>
        </w:rPr>
        <w:t>in</w:t>
      </w:r>
      <w:proofErr w:type="spellEnd"/>
      <w:r w:rsidR="00E36880" w:rsidRPr="002518FB">
        <w:rPr>
          <w:i/>
          <w:sz w:val="22"/>
          <w:lang w:val="el-GR"/>
        </w:rPr>
        <w:t xml:space="preserve"> </w:t>
      </w:r>
      <w:proofErr w:type="spellStart"/>
      <w:r w:rsidR="00E36880" w:rsidRPr="002518FB">
        <w:rPr>
          <w:i/>
          <w:sz w:val="22"/>
          <w:lang w:val="el-GR"/>
        </w:rPr>
        <w:t>vivo</w:t>
      </w:r>
      <w:proofErr w:type="spellEnd"/>
      <w:r w:rsidR="00E36880" w:rsidRPr="002518FB">
        <w:rPr>
          <w:i/>
          <w:sz w:val="22"/>
          <w:lang w:val="el-GR"/>
        </w:rPr>
        <w:t xml:space="preserve"> </w:t>
      </w:r>
      <w:r w:rsidR="0066304F" w:rsidRPr="002518FB">
        <w:rPr>
          <w:sz w:val="22"/>
          <w:lang w:val="el-GR"/>
        </w:rPr>
        <w:t xml:space="preserve">έκθεση </w:t>
      </w:r>
      <w:r w:rsidR="00E36880" w:rsidRPr="002518FB">
        <w:rPr>
          <w:sz w:val="22"/>
          <w:lang w:val="el-GR"/>
        </w:rPr>
        <w:t xml:space="preserve">στην </w:t>
      </w:r>
      <w:proofErr w:type="spellStart"/>
      <w:r w:rsidR="0066304F" w:rsidRPr="002518FB">
        <w:rPr>
          <w:sz w:val="22"/>
          <w:lang w:val="el-GR"/>
        </w:rPr>
        <w:t>ατομοξετίνη</w:t>
      </w:r>
      <w:proofErr w:type="spellEnd"/>
      <w:r w:rsidRPr="002518FB">
        <w:rPr>
          <w:sz w:val="22"/>
          <w:lang w:val="el-GR"/>
        </w:rPr>
        <w:t xml:space="preserve"> </w:t>
      </w:r>
      <w:r w:rsidR="00672173" w:rsidRPr="002518FB">
        <w:rPr>
          <w:sz w:val="22"/>
          <w:lang w:val="el-GR"/>
        </w:rPr>
        <w:t>είναι</w:t>
      </w:r>
      <w:r w:rsidRPr="002518FB">
        <w:rPr>
          <w:sz w:val="22"/>
          <w:lang w:val="el-GR"/>
        </w:rPr>
        <w:t xml:space="preserve"> άγνωστος.</w:t>
      </w:r>
      <w:r w:rsidR="006250AF" w:rsidRPr="002518FB">
        <w:rPr>
          <w:sz w:val="22"/>
          <w:lang w:val="el-GR"/>
        </w:rPr>
        <w:t xml:space="preserve">  </w:t>
      </w:r>
    </w:p>
    <w:p w:rsidR="00B33838" w:rsidRPr="002518FB" w:rsidRDefault="00B33838" w:rsidP="00D13879">
      <w:pPr>
        <w:rPr>
          <w:sz w:val="22"/>
          <w:lang w:val="el-GR"/>
        </w:rPr>
      </w:pPr>
    </w:p>
    <w:p w:rsidR="006C0742" w:rsidRPr="002518FB" w:rsidRDefault="0021494E">
      <w:pPr>
        <w:rPr>
          <w:i/>
          <w:sz w:val="22"/>
          <w:lang w:val="el-GR"/>
        </w:rPr>
      </w:pPr>
      <w:proofErr w:type="spellStart"/>
      <w:r w:rsidRPr="002518FB">
        <w:rPr>
          <w:i/>
          <w:sz w:val="22"/>
          <w:lang w:val="el-GR"/>
        </w:rPr>
        <w:t>Σαλβουταμόλη</w:t>
      </w:r>
      <w:proofErr w:type="spellEnd"/>
      <w:r w:rsidRPr="002518FB">
        <w:rPr>
          <w:i/>
          <w:sz w:val="22"/>
          <w:lang w:val="el-GR"/>
        </w:rPr>
        <w:t xml:space="preserve"> (ή άλλοι β</w:t>
      </w:r>
      <w:r w:rsidRPr="002518FB">
        <w:rPr>
          <w:i/>
          <w:sz w:val="22"/>
          <w:vertAlign w:val="subscript"/>
          <w:lang w:val="el-GR"/>
        </w:rPr>
        <w:t>2</w:t>
      </w:r>
      <w:r w:rsidRPr="002518FB">
        <w:rPr>
          <w:i/>
          <w:sz w:val="22"/>
          <w:lang w:val="el-GR"/>
        </w:rPr>
        <w:t xml:space="preserve"> αγωνιστές)</w:t>
      </w:r>
    </w:p>
    <w:p w:rsidR="006C0742" w:rsidRPr="002518FB" w:rsidRDefault="006D2D93">
      <w:pPr>
        <w:rPr>
          <w:sz w:val="22"/>
          <w:lang w:val="el-GR"/>
        </w:rPr>
      </w:pPr>
      <w:r w:rsidRPr="002518FB">
        <w:rPr>
          <w:sz w:val="22"/>
          <w:lang w:val="el-GR"/>
        </w:rPr>
        <w:t xml:space="preserve">Η </w:t>
      </w:r>
      <w:proofErr w:type="spellStart"/>
      <w:r w:rsidRPr="002518FB">
        <w:rPr>
          <w:sz w:val="22"/>
          <w:lang w:val="el-GR"/>
        </w:rPr>
        <w:t>ατομοξετίνη</w:t>
      </w:r>
      <w:proofErr w:type="spellEnd"/>
      <w:r w:rsidRPr="002518FB">
        <w:rPr>
          <w:sz w:val="22"/>
          <w:lang w:val="el-GR"/>
        </w:rPr>
        <w:t xml:space="preserve"> πρέπει να χορηγείται με προσοχή σε ασθενείς υπό θεραπεία με υψηλή δόση </w:t>
      </w:r>
      <w:proofErr w:type="spellStart"/>
      <w:r w:rsidRPr="002518FB">
        <w:rPr>
          <w:sz w:val="22"/>
          <w:lang w:val="el-GR"/>
        </w:rPr>
        <w:t>σαλβουταμόλης</w:t>
      </w:r>
      <w:proofErr w:type="spellEnd"/>
      <w:r w:rsidRPr="002518FB">
        <w:rPr>
          <w:sz w:val="22"/>
          <w:lang w:val="el-GR"/>
        </w:rPr>
        <w:t xml:space="preserve"> που χορηγείται με </w:t>
      </w:r>
      <w:proofErr w:type="spellStart"/>
      <w:r w:rsidRPr="002518FB">
        <w:rPr>
          <w:sz w:val="22"/>
          <w:lang w:val="el-GR"/>
        </w:rPr>
        <w:t>νεφελοποιητή</w:t>
      </w:r>
      <w:proofErr w:type="spellEnd"/>
      <w:r w:rsidRPr="002518FB">
        <w:rPr>
          <w:sz w:val="22"/>
          <w:lang w:val="el-GR"/>
        </w:rPr>
        <w:t xml:space="preserve"> ή συστηματικά </w:t>
      </w:r>
      <w:r w:rsidR="006C0742" w:rsidRPr="002518FB">
        <w:rPr>
          <w:sz w:val="22"/>
          <w:lang w:val="el-GR"/>
        </w:rPr>
        <w:t>(</w:t>
      </w:r>
      <w:r w:rsidRPr="002518FB">
        <w:rPr>
          <w:sz w:val="22"/>
          <w:lang w:val="el-GR"/>
        </w:rPr>
        <w:t>ή άλλους β</w:t>
      </w:r>
      <w:r w:rsidRPr="002518FB">
        <w:rPr>
          <w:sz w:val="22"/>
          <w:vertAlign w:val="subscript"/>
          <w:lang w:val="el-GR"/>
        </w:rPr>
        <w:t>2</w:t>
      </w:r>
      <w:r w:rsidRPr="002518FB">
        <w:rPr>
          <w:sz w:val="22"/>
          <w:lang w:val="el-GR"/>
        </w:rPr>
        <w:t xml:space="preserve"> αγωνιστές</w:t>
      </w:r>
      <w:r w:rsidR="006C0742" w:rsidRPr="002518FB">
        <w:rPr>
          <w:sz w:val="22"/>
          <w:lang w:val="el-GR"/>
        </w:rPr>
        <w:t>)</w:t>
      </w:r>
      <w:r w:rsidRPr="002518FB">
        <w:rPr>
          <w:sz w:val="22"/>
          <w:lang w:val="el-GR"/>
        </w:rPr>
        <w:t xml:space="preserve">, διότι ενδέχεται να ενισχυθεί η δράση της </w:t>
      </w:r>
      <w:proofErr w:type="spellStart"/>
      <w:r w:rsidRPr="002518FB">
        <w:rPr>
          <w:sz w:val="22"/>
          <w:lang w:val="el-GR"/>
        </w:rPr>
        <w:t>σαλβουταμόλης</w:t>
      </w:r>
      <w:proofErr w:type="spellEnd"/>
      <w:r w:rsidRPr="002518FB">
        <w:rPr>
          <w:sz w:val="22"/>
          <w:lang w:val="el-GR"/>
        </w:rPr>
        <w:t xml:space="preserve"> στο καρδιαγγειακό σύστημα.</w:t>
      </w:r>
      <w:r w:rsidR="003342B0" w:rsidRPr="002518FB">
        <w:rPr>
          <w:sz w:val="22"/>
          <w:lang w:val="el-GR"/>
        </w:rPr>
        <w:t xml:space="preserve"> </w:t>
      </w:r>
    </w:p>
    <w:p w:rsidR="006C0742" w:rsidRPr="002518FB" w:rsidRDefault="006C0742">
      <w:pPr>
        <w:rPr>
          <w:sz w:val="22"/>
          <w:lang w:val="el-GR"/>
        </w:rPr>
      </w:pPr>
    </w:p>
    <w:p w:rsidR="006D2D93" w:rsidRPr="002518FB" w:rsidRDefault="006C0742">
      <w:pPr>
        <w:rPr>
          <w:sz w:val="22"/>
          <w:lang w:val="el-GR"/>
        </w:rPr>
      </w:pPr>
      <w:r w:rsidRPr="002518FB">
        <w:rPr>
          <w:sz w:val="22"/>
          <w:lang w:val="el-GR"/>
        </w:rPr>
        <w:t>Σχετικά με α</w:t>
      </w:r>
      <w:r w:rsidR="00CB27ED" w:rsidRPr="002518FB">
        <w:rPr>
          <w:sz w:val="22"/>
          <w:lang w:val="el-GR"/>
        </w:rPr>
        <w:t xml:space="preserve">υτή την αλληλεπίδραση βρέθηκαν αντιφατικά συμπεράσματα. </w:t>
      </w:r>
      <w:r w:rsidR="00903B57" w:rsidRPr="002518FB">
        <w:rPr>
          <w:sz w:val="22"/>
          <w:lang w:val="el-GR"/>
        </w:rPr>
        <w:t xml:space="preserve">Η συστηματική χορήγηση της </w:t>
      </w:r>
      <w:proofErr w:type="spellStart"/>
      <w:r w:rsidR="00903B57" w:rsidRPr="002518FB">
        <w:rPr>
          <w:sz w:val="22"/>
          <w:lang w:val="el-GR"/>
        </w:rPr>
        <w:t>σ</w:t>
      </w:r>
      <w:r w:rsidR="003342B0" w:rsidRPr="002518FB">
        <w:rPr>
          <w:sz w:val="22"/>
          <w:lang w:val="el-GR"/>
        </w:rPr>
        <w:t>αλβουταμόλης</w:t>
      </w:r>
      <w:proofErr w:type="spellEnd"/>
      <w:r w:rsidR="003342B0" w:rsidRPr="002518FB">
        <w:rPr>
          <w:sz w:val="22"/>
          <w:lang w:val="el-GR"/>
        </w:rPr>
        <w:t xml:space="preserve"> (600 </w:t>
      </w:r>
      <w:proofErr w:type="spellStart"/>
      <w:r w:rsidR="003342B0" w:rsidRPr="002518FB">
        <w:rPr>
          <w:sz w:val="22"/>
          <w:lang w:val="el-GR"/>
        </w:rPr>
        <w:t>μ</w:t>
      </w:r>
      <w:r w:rsidR="000F3434" w:rsidRPr="002518FB">
        <w:rPr>
          <w:sz w:val="22"/>
          <w:lang w:val="el-GR"/>
        </w:rPr>
        <w:t>g</w:t>
      </w:r>
      <w:proofErr w:type="spellEnd"/>
      <w:r w:rsidR="003342B0" w:rsidRPr="002518FB">
        <w:rPr>
          <w:sz w:val="22"/>
          <w:lang w:val="el-GR"/>
        </w:rPr>
        <w:t xml:space="preserve"> </w:t>
      </w:r>
      <w:proofErr w:type="spellStart"/>
      <w:r w:rsidR="000F3434" w:rsidRPr="002518FB">
        <w:rPr>
          <w:sz w:val="22"/>
          <w:lang w:val="el-GR"/>
        </w:rPr>
        <w:t>i</w:t>
      </w:r>
      <w:r w:rsidR="003342B0" w:rsidRPr="002518FB">
        <w:rPr>
          <w:sz w:val="22"/>
          <w:lang w:val="el-GR"/>
        </w:rPr>
        <w:t>.</w:t>
      </w:r>
      <w:r w:rsidR="000F3434" w:rsidRPr="002518FB">
        <w:rPr>
          <w:sz w:val="22"/>
          <w:lang w:val="el-GR"/>
        </w:rPr>
        <w:t>v</w:t>
      </w:r>
      <w:proofErr w:type="spellEnd"/>
      <w:r w:rsidR="003342B0" w:rsidRPr="002518FB">
        <w:rPr>
          <w:sz w:val="22"/>
          <w:lang w:val="el-GR"/>
        </w:rPr>
        <w:t xml:space="preserve">. πάνω από 2 ώρες) </w:t>
      </w:r>
      <w:r w:rsidR="00CB27ED" w:rsidRPr="002518FB">
        <w:rPr>
          <w:sz w:val="22"/>
          <w:lang w:val="el-GR"/>
        </w:rPr>
        <w:t xml:space="preserve">σε συνδυασμένη αγωγή με </w:t>
      </w:r>
      <w:proofErr w:type="spellStart"/>
      <w:r w:rsidR="00CB27ED" w:rsidRPr="002518FB">
        <w:rPr>
          <w:sz w:val="22"/>
          <w:lang w:val="el-GR"/>
        </w:rPr>
        <w:t>ατομοξετίνη</w:t>
      </w:r>
      <w:proofErr w:type="spellEnd"/>
      <w:r w:rsidR="00CB27ED" w:rsidRPr="002518FB">
        <w:rPr>
          <w:sz w:val="22"/>
          <w:lang w:val="el-GR"/>
        </w:rPr>
        <w:t xml:space="preserve"> (60 </w:t>
      </w:r>
      <w:proofErr w:type="spellStart"/>
      <w:r w:rsidR="000F3434" w:rsidRPr="002518FB">
        <w:rPr>
          <w:sz w:val="22"/>
          <w:lang w:val="el-GR"/>
        </w:rPr>
        <w:t>mg</w:t>
      </w:r>
      <w:proofErr w:type="spellEnd"/>
      <w:r w:rsidR="00CB27ED" w:rsidRPr="002518FB">
        <w:rPr>
          <w:sz w:val="22"/>
          <w:lang w:val="el-GR"/>
        </w:rPr>
        <w:t xml:space="preserve">  δύο φορές ημερησίως για 5 μέρες) </w:t>
      </w:r>
      <w:r w:rsidR="003342B0" w:rsidRPr="002518FB">
        <w:rPr>
          <w:sz w:val="22"/>
          <w:lang w:val="el-GR"/>
        </w:rPr>
        <w:t xml:space="preserve">προκάλεσε αύξηση του καρδιακού ρυθμού και της αρτηριακής πίεσης. </w:t>
      </w:r>
      <w:r w:rsidR="00CB27ED" w:rsidRPr="002518FB">
        <w:rPr>
          <w:sz w:val="22"/>
          <w:lang w:val="el-GR"/>
        </w:rPr>
        <w:t xml:space="preserve">Τα φαινόμενα αυτά ενισχύθηκαν από την χορήγηση της </w:t>
      </w:r>
      <w:proofErr w:type="spellStart"/>
      <w:r w:rsidR="00CB27ED" w:rsidRPr="002518FB">
        <w:rPr>
          <w:sz w:val="22"/>
          <w:lang w:val="el-GR"/>
        </w:rPr>
        <w:t>ατομοξετίνης</w:t>
      </w:r>
      <w:proofErr w:type="spellEnd"/>
      <w:r w:rsidR="00CB27ED" w:rsidRPr="002518FB">
        <w:rPr>
          <w:sz w:val="22"/>
          <w:lang w:val="el-GR"/>
        </w:rPr>
        <w:t xml:space="preserve"> (60 </w:t>
      </w:r>
      <w:proofErr w:type="spellStart"/>
      <w:r w:rsidR="000F3434" w:rsidRPr="002518FB">
        <w:rPr>
          <w:sz w:val="22"/>
          <w:lang w:val="el-GR"/>
        </w:rPr>
        <w:t>mg</w:t>
      </w:r>
      <w:proofErr w:type="spellEnd"/>
      <w:r w:rsidR="00CB27ED" w:rsidRPr="002518FB">
        <w:rPr>
          <w:sz w:val="22"/>
          <w:lang w:val="el-GR"/>
        </w:rPr>
        <w:t xml:space="preserve"> δύο φορές ημερησίως για 5 ημέρες) και ήταν πιο έντονα μετά από αρχική </w:t>
      </w:r>
      <w:proofErr w:type="spellStart"/>
      <w:r w:rsidR="00CB27ED" w:rsidRPr="002518FB">
        <w:rPr>
          <w:sz w:val="22"/>
          <w:lang w:val="el-GR"/>
        </w:rPr>
        <w:t>συγχορήγηση</w:t>
      </w:r>
      <w:proofErr w:type="spellEnd"/>
      <w:r w:rsidR="00CB27ED" w:rsidRPr="002518FB">
        <w:rPr>
          <w:sz w:val="22"/>
          <w:lang w:val="el-GR"/>
        </w:rPr>
        <w:t xml:space="preserve"> της </w:t>
      </w:r>
      <w:proofErr w:type="spellStart"/>
      <w:r w:rsidR="00CB27ED" w:rsidRPr="002518FB">
        <w:rPr>
          <w:sz w:val="22"/>
          <w:lang w:val="el-GR"/>
        </w:rPr>
        <w:t>σαλβουταμόλης</w:t>
      </w:r>
      <w:proofErr w:type="spellEnd"/>
      <w:r w:rsidR="00CB27ED" w:rsidRPr="002518FB">
        <w:rPr>
          <w:sz w:val="22"/>
          <w:lang w:val="el-GR"/>
        </w:rPr>
        <w:t xml:space="preserve"> και της </w:t>
      </w:r>
      <w:proofErr w:type="spellStart"/>
      <w:r w:rsidR="00CB27ED" w:rsidRPr="002518FB">
        <w:rPr>
          <w:sz w:val="22"/>
          <w:lang w:val="el-GR"/>
        </w:rPr>
        <w:t>ατομοξετίνης</w:t>
      </w:r>
      <w:proofErr w:type="spellEnd"/>
      <w:r w:rsidR="00CB27ED" w:rsidRPr="002518FB">
        <w:rPr>
          <w:sz w:val="22"/>
          <w:lang w:val="el-GR"/>
        </w:rPr>
        <w:t xml:space="preserve"> αλλά επανήλθαν στις αρχικές τιμές μετά από 8 ώρες. Παρόλα αυτά, σε μία ξεχωριστή μελέτη </w:t>
      </w:r>
      <w:r w:rsidR="0057090B" w:rsidRPr="002518FB">
        <w:rPr>
          <w:sz w:val="22"/>
          <w:lang w:val="el-GR"/>
        </w:rPr>
        <w:t xml:space="preserve">οι επιδράσεις στην αρτηριακή πίεση και στον καρδιακό ρυθμό </w:t>
      </w:r>
      <w:r w:rsidR="000C5DC5" w:rsidRPr="002518FB">
        <w:rPr>
          <w:sz w:val="22"/>
          <w:lang w:val="el-GR"/>
        </w:rPr>
        <w:t>της</w:t>
      </w:r>
      <w:r w:rsidR="0057090B" w:rsidRPr="002518FB">
        <w:rPr>
          <w:sz w:val="22"/>
          <w:lang w:val="el-GR"/>
        </w:rPr>
        <w:t xml:space="preserve"> </w:t>
      </w:r>
      <w:r w:rsidR="000C5DC5" w:rsidRPr="002518FB">
        <w:rPr>
          <w:sz w:val="22"/>
          <w:lang w:val="el-GR"/>
        </w:rPr>
        <w:t>συνήθους</w:t>
      </w:r>
      <w:r w:rsidR="0057090B" w:rsidRPr="002518FB">
        <w:rPr>
          <w:sz w:val="22"/>
          <w:lang w:val="el-GR"/>
        </w:rPr>
        <w:t xml:space="preserve"> εισπνεόμενης δόσης </w:t>
      </w:r>
      <w:proofErr w:type="spellStart"/>
      <w:r w:rsidR="0057090B" w:rsidRPr="002518FB">
        <w:rPr>
          <w:sz w:val="22"/>
          <w:lang w:val="el-GR"/>
        </w:rPr>
        <w:t>σαλβουταμόλης</w:t>
      </w:r>
      <w:proofErr w:type="spellEnd"/>
      <w:r w:rsidR="0057090B" w:rsidRPr="002518FB">
        <w:rPr>
          <w:sz w:val="22"/>
          <w:lang w:val="el-GR"/>
        </w:rPr>
        <w:t xml:space="preserve"> (200 </w:t>
      </w:r>
      <w:proofErr w:type="spellStart"/>
      <w:r w:rsidR="0057090B" w:rsidRPr="002518FB">
        <w:rPr>
          <w:sz w:val="22"/>
          <w:lang w:val="el-GR"/>
        </w:rPr>
        <w:t>μ</w:t>
      </w:r>
      <w:r w:rsidR="000F3434" w:rsidRPr="002518FB">
        <w:rPr>
          <w:sz w:val="22"/>
          <w:lang w:val="el-GR"/>
        </w:rPr>
        <w:t>g</w:t>
      </w:r>
      <w:proofErr w:type="spellEnd"/>
      <w:r w:rsidR="0057090B" w:rsidRPr="002518FB">
        <w:rPr>
          <w:sz w:val="22"/>
          <w:lang w:val="el-GR"/>
        </w:rPr>
        <w:t>) δεν</w:t>
      </w:r>
      <w:r w:rsidR="00CB27ED" w:rsidRPr="002518FB">
        <w:rPr>
          <w:sz w:val="22"/>
          <w:lang w:val="el-GR"/>
        </w:rPr>
        <w:t xml:space="preserve"> </w:t>
      </w:r>
      <w:r w:rsidR="0057090B" w:rsidRPr="002518FB">
        <w:rPr>
          <w:sz w:val="22"/>
          <w:lang w:val="el-GR"/>
        </w:rPr>
        <w:t xml:space="preserve">αυξήθηκαν από τη σύντομη περίοδο </w:t>
      </w:r>
      <w:proofErr w:type="spellStart"/>
      <w:r w:rsidR="0057090B" w:rsidRPr="002518FB">
        <w:rPr>
          <w:sz w:val="22"/>
          <w:lang w:val="el-GR"/>
        </w:rPr>
        <w:t>συγχορήγησης</w:t>
      </w:r>
      <w:proofErr w:type="spellEnd"/>
      <w:r w:rsidR="0057090B" w:rsidRPr="002518FB">
        <w:rPr>
          <w:sz w:val="22"/>
          <w:lang w:val="el-GR"/>
        </w:rPr>
        <w:t xml:space="preserve"> με </w:t>
      </w:r>
      <w:proofErr w:type="spellStart"/>
      <w:r w:rsidR="0057090B" w:rsidRPr="002518FB">
        <w:rPr>
          <w:sz w:val="22"/>
          <w:lang w:val="el-GR"/>
        </w:rPr>
        <w:t>ατομοξετίνη</w:t>
      </w:r>
      <w:proofErr w:type="spellEnd"/>
      <w:r w:rsidR="0057090B" w:rsidRPr="002518FB">
        <w:rPr>
          <w:sz w:val="22"/>
          <w:lang w:val="el-GR"/>
        </w:rPr>
        <w:t xml:space="preserve"> (80 </w:t>
      </w:r>
      <w:proofErr w:type="spellStart"/>
      <w:r w:rsidR="000F3434" w:rsidRPr="002518FB">
        <w:rPr>
          <w:sz w:val="22"/>
          <w:lang w:val="el-GR"/>
        </w:rPr>
        <w:t>mg</w:t>
      </w:r>
      <w:proofErr w:type="spellEnd"/>
      <w:r w:rsidR="0057090B" w:rsidRPr="002518FB">
        <w:rPr>
          <w:sz w:val="22"/>
          <w:lang w:val="el-GR"/>
        </w:rPr>
        <w:t xml:space="preserve"> άπαξ ημερησίως για 5 ημέρες)</w:t>
      </w:r>
      <w:r w:rsidR="00BA0801" w:rsidRPr="002518FB">
        <w:rPr>
          <w:sz w:val="22"/>
          <w:lang w:val="el-GR"/>
        </w:rPr>
        <w:t xml:space="preserve"> </w:t>
      </w:r>
      <w:r w:rsidR="00825BC8" w:rsidRPr="002518FB">
        <w:rPr>
          <w:sz w:val="22"/>
          <w:lang w:val="el-GR"/>
        </w:rPr>
        <w:t>σε μία μελέτη με υγιείς</w:t>
      </w:r>
      <w:r w:rsidR="00BA0801" w:rsidRPr="002518FB">
        <w:rPr>
          <w:sz w:val="22"/>
          <w:lang w:val="el-GR"/>
        </w:rPr>
        <w:t xml:space="preserve"> ενήλικες Ασιάτες που ήταν εκτεταμένοι </w:t>
      </w:r>
      <w:proofErr w:type="spellStart"/>
      <w:r w:rsidR="00BA0801" w:rsidRPr="002518FB">
        <w:rPr>
          <w:sz w:val="22"/>
          <w:lang w:val="el-GR"/>
        </w:rPr>
        <w:t>μεταβολιστές</w:t>
      </w:r>
      <w:proofErr w:type="spellEnd"/>
      <w:r w:rsidR="00BA0801" w:rsidRPr="002518FB">
        <w:rPr>
          <w:sz w:val="22"/>
          <w:lang w:val="el-GR"/>
        </w:rPr>
        <w:t xml:space="preserve"> της </w:t>
      </w:r>
      <w:proofErr w:type="spellStart"/>
      <w:r w:rsidR="00BA0801" w:rsidRPr="002518FB">
        <w:rPr>
          <w:sz w:val="22"/>
          <w:lang w:val="el-GR"/>
        </w:rPr>
        <w:t>ατομοξετίνης</w:t>
      </w:r>
      <w:proofErr w:type="spellEnd"/>
      <w:r w:rsidR="00BA0801" w:rsidRPr="002518FB">
        <w:rPr>
          <w:sz w:val="22"/>
          <w:lang w:val="el-GR"/>
        </w:rPr>
        <w:t>.</w:t>
      </w:r>
      <w:r w:rsidR="0057090B" w:rsidRPr="002518FB">
        <w:rPr>
          <w:sz w:val="22"/>
          <w:lang w:val="el-GR"/>
        </w:rPr>
        <w:t xml:space="preserve"> </w:t>
      </w:r>
      <w:r w:rsidR="00BA0801" w:rsidRPr="002518FB">
        <w:rPr>
          <w:sz w:val="22"/>
          <w:lang w:val="el-GR"/>
        </w:rPr>
        <w:t>Παρόμοια ο</w:t>
      </w:r>
      <w:r w:rsidR="0057090B" w:rsidRPr="002518FB">
        <w:rPr>
          <w:sz w:val="22"/>
          <w:lang w:val="el-GR"/>
        </w:rPr>
        <w:t xml:space="preserve"> καρδιακός ρυθμός μετά από πολλαπλές εισπνοές </w:t>
      </w:r>
      <w:proofErr w:type="spellStart"/>
      <w:r w:rsidR="0057090B" w:rsidRPr="002518FB">
        <w:rPr>
          <w:sz w:val="22"/>
          <w:lang w:val="el-GR"/>
        </w:rPr>
        <w:t>σαλβουταμόλης</w:t>
      </w:r>
      <w:proofErr w:type="spellEnd"/>
      <w:r w:rsidR="0057090B" w:rsidRPr="002518FB">
        <w:rPr>
          <w:sz w:val="22"/>
          <w:lang w:val="el-GR"/>
        </w:rPr>
        <w:t xml:space="preserve"> (800 </w:t>
      </w:r>
      <w:proofErr w:type="spellStart"/>
      <w:r w:rsidR="0057090B" w:rsidRPr="002518FB">
        <w:rPr>
          <w:sz w:val="22"/>
          <w:lang w:val="el-GR"/>
        </w:rPr>
        <w:t>μ</w:t>
      </w:r>
      <w:r w:rsidR="000F3434" w:rsidRPr="002518FB">
        <w:rPr>
          <w:sz w:val="22"/>
          <w:lang w:val="el-GR"/>
        </w:rPr>
        <w:t>g</w:t>
      </w:r>
      <w:proofErr w:type="spellEnd"/>
      <w:r w:rsidR="0057090B" w:rsidRPr="002518FB">
        <w:rPr>
          <w:sz w:val="22"/>
          <w:lang w:val="el-GR"/>
        </w:rPr>
        <w:t xml:space="preserve">) ήταν παρόμοιος </w:t>
      </w:r>
      <w:r w:rsidR="00813110" w:rsidRPr="002518FB">
        <w:rPr>
          <w:sz w:val="22"/>
          <w:lang w:val="el-GR"/>
        </w:rPr>
        <w:t xml:space="preserve">είτε με τη χορήγηση είτε όχι </w:t>
      </w:r>
      <w:proofErr w:type="spellStart"/>
      <w:r w:rsidR="0057090B" w:rsidRPr="002518FB">
        <w:rPr>
          <w:sz w:val="22"/>
          <w:lang w:val="el-GR"/>
        </w:rPr>
        <w:t>ατομοξετίνης</w:t>
      </w:r>
      <w:proofErr w:type="spellEnd"/>
      <w:r w:rsidR="0057090B" w:rsidRPr="002518FB">
        <w:rPr>
          <w:sz w:val="22"/>
          <w:lang w:val="el-GR"/>
        </w:rPr>
        <w:t>.</w:t>
      </w:r>
    </w:p>
    <w:p w:rsidR="00647109" w:rsidRPr="002518FB" w:rsidRDefault="00647109">
      <w:pPr>
        <w:rPr>
          <w:sz w:val="22"/>
          <w:lang w:val="el-GR"/>
        </w:rPr>
      </w:pPr>
    </w:p>
    <w:p w:rsidR="00BA0801" w:rsidRPr="002518FB" w:rsidRDefault="00BA0801" w:rsidP="00FC3086">
      <w:pPr>
        <w:rPr>
          <w:sz w:val="22"/>
          <w:lang w:val="el-GR"/>
        </w:rPr>
      </w:pPr>
      <w:r w:rsidRPr="002518FB">
        <w:rPr>
          <w:sz w:val="22"/>
          <w:lang w:val="el-GR"/>
        </w:rPr>
        <w:t xml:space="preserve">Θα πρέπει να δοθεί προσοχή στην παρακολούθηση του καρδιακού ρυθμού και της αρτηριακής πίεσης και οι </w:t>
      </w:r>
      <w:proofErr w:type="spellStart"/>
      <w:r w:rsidRPr="002518FB">
        <w:rPr>
          <w:sz w:val="22"/>
          <w:lang w:val="el-GR"/>
        </w:rPr>
        <w:t>δοσολογικές</w:t>
      </w:r>
      <w:proofErr w:type="spellEnd"/>
      <w:r w:rsidRPr="002518FB">
        <w:rPr>
          <w:sz w:val="22"/>
          <w:lang w:val="el-GR"/>
        </w:rPr>
        <w:t xml:space="preserve"> προσαρμογές μπορεί να δικαιολογηθούν είτε για την </w:t>
      </w:r>
      <w:proofErr w:type="spellStart"/>
      <w:r w:rsidRPr="002518FB">
        <w:rPr>
          <w:sz w:val="22"/>
          <w:lang w:val="el-GR"/>
        </w:rPr>
        <w:t>ατομοξετίνη</w:t>
      </w:r>
      <w:proofErr w:type="spellEnd"/>
      <w:r w:rsidRPr="002518FB">
        <w:rPr>
          <w:sz w:val="22"/>
          <w:lang w:val="el-GR"/>
        </w:rPr>
        <w:t xml:space="preserve"> είτε για τη </w:t>
      </w:r>
      <w:proofErr w:type="spellStart"/>
      <w:r w:rsidRPr="002518FB">
        <w:rPr>
          <w:sz w:val="22"/>
          <w:lang w:val="el-GR"/>
        </w:rPr>
        <w:t>σαλβουταμόλη</w:t>
      </w:r>
      <w:proofErr w:type="spellEnd"/>
      <w:r w:rsidRPr="002518FB">
        <w:rPr>
          <w:sz w:val="22"/>
          <w:lang w:val="el-GR"/>
        </w:rPr>
        <w:t xml:space="preserve"> (ή άλλους β</w:t>
      </w:r>
      <w:r w:rsidRPr="002518FB">
        <w:rPr>
          <w:sz w:val="22"/>
          <w:vertAlign w:val="subscript"/>
          <w:lang w:val="el-GR"/>
        </w:rPr>
        <w:t xml:space="preserve">2 </w:t>
      </w:r>
      <w:r w:rsidRPr="002518FB">
        <w:rPr>
          <w:sz w:val="22"/>
          <w:lang w:val="el-GR"/>
        </w:rPr>
        <w:t xml:space="preserve">αγωνιστές) σε περίπτωση σημαντικής αύξησης του καρδιακού ρυθμού και της αρτηριακής πίεσης κατά τη διάρκεια της </w:t>
      </w:r>
      <w:proofErr w:type="spellStart"/>
      <w:r w:rsidRPr="002518FB">
        <w:rPr>
          <w:sz w:val="22"/>
          <w:lang w:val="el-GR"/>
        </w:rPr>
        <w:t>συγχορήγησης</w:t>
      </w:r>
      <w:proofErr w:type="spellEnd"/>
      <w:r w:rsidRPr="002518FB">
        <w:rPr>
          <w:sz w:val="22"/>
          <w:lang w:val="el-GR"/>
        </w:rPr>
        <w:t xml:space="preserve"> αυτών των φαρμάκων.</w:t>
      </w:r>
    </w:p>
    <w:p w:rsidR="00BA0801" w:rsidRPr="002518FB" w:rsidRDefault="00BA0801" w:rsidP="00FC3086">
      <w:pPr>
        <w:rPr>
          <w:sz w:val="22"/>
          <w:lang w:val="el-GR"/>
        </w:rPr>
      </w:pPr>
    </w:p>
    <w:p w:rsidR="00FC3086" w:rsidRPr="002518FB" w:rsidRDefault="00647109" w:rsidP="00FC3086">
      <w:pPr>
        <w:rPr>
          <w:sz w:val="22"/>
          <w:lang w:val="el-GR"/>
        </w:rPr>
      </w:pPr>
      <w:r w:rsidRPr="002518FB">
        <w:rPr>
          <w:sz w:val="22"/>
          <w:lang w:val="el-GR"/>
        </w:rPr>
        <w:t>Ενδεχόμεν</w:t>
      </w:r>
      <w:r w:rsidR="009D0FA7" w:rsidRPr="002518FB">
        <w:rPr>
          <w:sz w:val="22"/>
          <w:lang w:val="el-GR"/>
        </w:rPr>
        <w:t>ος αυξημένος</w:t>
      </w:r>
      <w:r w:rsidR="004B199C" w:rsidRPr="002518FB">
        <w:rPr>
          <w:sz w:val="22"/>
          <w:lang w:val="el-GR"/>
        </w:rPr>
        <w:t xml:space="preserve"> </w:t>
      </w:r>
      <w:r w:rsidR="009D0FA7" w:rsidRPr="002518FB">
        <w:rPr>
          <w:sz w:val="22"/>
          <w:lang w:val="el-GR"/>
        </w:rPr>
        <w:t>κίνδυνος</w:t>
      </w:r>
      <w:r w:rsidRPr="002518FB">
        <w:rPr>
          <w:sz w:val="22"/>
          <w:lang w:val="el-GR"/>
        </w:rPr>
        <w:t xml:space="preserve"> </w:t>
      </w:r>
      <w:r w:rsidR="009D0FA7" w:rsidRPr="002518FB">
        <w:rPr>
          <w:sz w:val="22"/>
          <w:lang w:val="el-GR"/>
        </w:rPr>
        <w:t>για παράταση</w:t>
      </w:r>
      <w:r w:rsidRPr="002518FB">
        <w:rPr>
          <w:sz w:val="22"/>
          <w:lang w:val="el-GR"/>
        </w:rPr>
        <w:t xml:space="preserve"> του διαστήματος </w:t>
      </w:r>
      <w:r w:rsidR="000F3434" w:rsidRPr="002518FB">
        <w:rPr>
          <w:sz w:val="22"/>
          <w:lang w:val="el-GR"/>
        </w:rPr>
        <w:t>QT</w:t>
      </w:r>
      <w:r w:rsidR="009D0FA7" w:rsidRPr="002518FB">
        <w:rPr>
          <w:sz w:val="22"/>
          <w:lang w:val="el-GR"/>
        </w:rPr>
        <w:t xml:space="preserve"> υφίσταται όταν η </w:t>
      </w:r>
      <w:proofErr w:type="spellStart"/>
      <w:r w:rsidR="009D0FA7" w:rsidRPr="002518FB">
        <w:rPr>
          <w:sz w:val="22"/>
          <w:lang w:val="el-GR"/>
        </w:rPr>
        <w:t>ατομοξετίνη</w:t>
      </w:r>
      <w:proofErr w:type="spellEnd"/>
      <w:r w:rsidR="009D0FA7" w:rsidRPr="002518FB">
        <w:rPr>
          <w:sz w:val="22"/>
          <w:lang w:val="el-GR"/>
        </w:rPr>
        <w:t xml:space="preserve"> </w:t>
      </w:r>
      <w:r w:rsidRPr="002518FB">
        <w:rPr>
          <w:sz w:val="22"/>
          <w:lang w:val="el-GR"/>
        </w:rPr>
        <w:t xml:space="preserve">χορηγείται με </w:t>
      </w:r>
      <w:r w:rsidR="009D0FA7" w:rsidRPr="002518FB">
        <w:rPr>
          <w:sz w:val="22"/>
          <w:lang w:val="el-GR"/>
        </w:rPr>
        <w:t xml:space="preserve">άλλα </w:t>
      </w:r>
      <w:r w:rsidRPr="002518FB">
        <w:rPr>
          <w:sz w:val="22"/>
          <w:lang w:val="el-GR"/>
        </w:rPr>
        <w:t>φάρμακα που π</w:t>
      </w:r>
      <w:r w:rsidR="004B199C" w:rsidRPr="002518FB">
        <w:rPr>
          <w:sz w:val="22"/>
          <w:lang w:val="el-GR"/>
        </w:rPr>
        <w:t xml:space="preserve">ροκαλούν παράταση </w:t>
      </w:r>
      <w:r w:rsidRPr="002518FB">
        <w:rPr>
          <w:sz w:val="22"/>
          <w:lang w:val="el-GR"/>
        </w:rPr>
        <w:t>το</w:t>
      </w:r>
      <w:r w:rsidR="004B199C" w:rsidRPr="002518FB">
        <w:rPr>
          <w:sz w:val="22"/>
          <w:lang w:val="el-GR"/>
        </w:rPr>
        <w:t>υ δια</w:t>
      </w:r>
      <w:r w:rsidRPr="002518FB">
        <w:rPr>
          <w:sz w:val="22"/>
          <w:lang w:val="el-GR"/>
        </w:rPr>
        <w:t>στ</w:t>
      </w:r>
      <w:r w:rsidR="004B199C" w:rsidRPr="002518FB">
        <w:rPr>
          <w:sz w:val="22"/>
          <w:lang w:val="el-GR"/>
        </w:rPr>
        <w:t>ή</w:t>
      </w:r>
      <w:r w:rsidRPr="002518FB">
        <w:rPr>
          <w:sz w:val="22"/>
          <w:lang w:val="el-GR"/>
        </w:rPr>
        <w:t>μα</w:t>
      </w:r>
      <w:r w:rsidR="004B199C" w:rsidRPr="002518FB">
        <w:rPr>
          <w:sz w:val="22"/>
          <w:lang w:val="el-GR"/>
        </w:rPr>
        <w:t>τος</w:t>
      </w:r>
      <w:r w:rsidRPr="002518FB">
        <w:rPr>
          <w:sz w:val="22"/>
          <w:lang w:val="el-GR"/>
        </w:rPr>
        <w:t xml:space="preserve"> </w:t>
      </w:r>
      <w:r w:rsidR="000F3434" w:rsidRPr="002518FB">
        <w:rPr>
          <w:sz w:val="22"/>
          <w:lang w:val="el-GR"/>
        </w:rPr>
        <w:t>QT</w:t>
      </w:r>
      <w:r w:rsidR="009D0FA7" w:rsidRPr="002518FB">
        <w:rPr>
          <w:sz w:val="22"/>
          <w:lang w:val="el-GR"/>
        </w:rPr>
        <w:t xml:space="preserve">, </w:t>
      </w:r>
      <w:r w:rsidRPr="002518FB">
        <w:rPr>
          <w:sz w:val="22"/>
          <w:lang w:val="el-GR"/>
        </w:rPr>
        <w:t xml:space="preserve"> </w:t>
      </w:r>
      <w:r w:rsidR="00FC3086" w:rsidRPr="002518FB">
        <w:rPr>
          <w:sz w:val="22"/>
          <w:lang w:val="el-GR"/>
        </w:rPr>
        <w:t xml:space="preserve">(όπως νευροληπτικά, τάξης ΙΑ και ΙΙΙ </w:t>
      </w:r>
      <w:proofErr w:type="spellStart"/>
      <w:r w:rsidR="00FC3086" w:rsidRPr="002518FB">
        <w:rPr>
          <w:sz w:val="22"/>
          <w:lang w:val="el-GR"/>
        </w:rPr>
        <w:t>αντι</w:t>
      </w:r>
      <w:r w:rsidR="000865EB" w:rsidRPr="002518FB">
        <w:rPr>
          <w:sz w:val="22"/>
          <w:lang w:val="el-GR"/>
        </w:rPr>
        <w:t>α</w:t>
      </w:r>
      <w:r w:rsidR="00FC3086" w:rsidRPr="002518FB">
        <w:rPr>
          <w:sz w:val="22"/>
          <w:lang w:val="el-GR"/>
        </w:rPr>
        <w:t>ρρυθμικά</w:t>
      </w:r>
      <w:proofErr w:type="spellEnd"/>
      <w:r w:rsidR="00FC3086" w:rsidRPr="002518FB">
        <w:rPr>
          <w:sz w:val="22"/>
          <w:lang w:val="el-GR"/>
        </w:rPr>
        <w:t xml:space="preserve">, </w:t>
      </w:r>
      <w:proofErr w:type="spellStart"/>
      <w:r w:rsidR="006F3311" w:rsidRPr="002518FB">
        <w:rPr>
          <w:sz w:val="22"/>
          <w:lang w:val="el-GR"/>
        </w:rPr>
        <w:t>μοξιφλοξασίνη</w:t>
      </w:r>
      <w:proofErr w:type="spellEnd"/>
      <w:r w:rsidR="00FC3086" w:rsidRPr="002518FB">
        <w:rPr>
          <w:sz w:val="22"/>
          <w:lang w:val="el-GR"/>
        </w:rPr>
        <w:t xml:space="preserve">, </w:t>
      </w:r>
      <w:proofErr w:type="spellStart"/>
      <w:r w:rsidR="00FC3086" w:rsidRPr="002518FB">
        <w:rPr>
          <w:sz w:val="22"/>
          <w:lang w:val="el-GR"/>
        </w:rPr>
        <w:t>ερυθρομυκίνη</w:t>
      </w:r>
      <w:proofErr w:type="spellEnd"/>
      <w:r w:rsidR="00FC3086" w:rsidRPr="002518FB">
        <w:rPr>
          <w:sz w:val="22"/>
          <w:lang w:val="el-GR"/>
        </w:rPr>
        <w:t xml:space="preserve">, </w:t>
      </w:r>
      <w:proofErr w:type="spellStart"/>
      <w:r w:rsidR="006F3311" w:rsidRPr="002518FB">
        <w:rPr>
          <w:sz w:val="22"/>
          <w:lang w:val="el-GR"/>
        </w:rPr>
        <w:t>μεθαδόνη</w:t>
      </w:r>
      <w:proofErr w:type="spellEnd"/>
      <w:r w:rsidR="00112F19" w:rsidRPr="002518FB">
        <w:rPr>
          <w:sz w:val="22"/>
          <w:lang w:val="el-GR"/>
        </w:rPr>
        <w:t>,</w:t>
      </w:r>
      <w:r w:rsidR="00FC3086" w:rsidRPr="002518FB">
        <w:rPr>
          <w:sz w:val="22"/>
          <w:lang w:val="el-GR"/>
        </w:rPr>
        <w:t xml:space="preserve"> </w:t>
      </w:r>
      <w:proofErr w:type="spellStart"/>
      <w:r w:rsidR="006F3311" w:rsidRPr="002518FB">
        <w:rPr>
          <w:sz w:val="22"/>
          <w:lang w:val="el-GR"/>
        </w:rPr>
        <w:t>μεφλοκίνη</w:t>
      </w:r>
      <w:proofErr w:type="spellEnd"/>
      <w:r w:rsidR="00FC3086" w:rsidRPr="002518FB">
        <w:rPr>
          <w:sz w:val="22"/>
          <w:lang w:val="el-GR"/>
        </w:rPr>
        <w:t xml:space="preserve">, </w:t>
      </w:r>
      <w:proofErr w:type="spellStart"/>
      <w:r w:rsidR="00FC3086" w:rsidRPr="002518FB">
        <w:rPr>
          <w:sz w:val="22"/>
          <w:lang w:val="el-GR"/>
        </w:rPr>
        <w:t>τρικυκλικά</w:t>
      </w:r>
      <w:proofErr w:type="spellEnd"/>
      <w:r w:rsidR="00FC3086" w:rsidRPr="002518FB">
        <w:rPr>
          <w:sz w:val="22"/>
          <w:lang w:val="el-GR"/>
        </w:rPr>
        <w:t xml:space="preserve"> αντικαταθλιπτικά, </w:t>
      </w:r>
      <w:proofErr w:type="spellStart"/>
      <w:r w:rsidR="00FC3086" w:rsidRPr="002518FB">
        <w:rPr>
          <w:sz w:val="22"/>
          <w:lang w:val="el-GR"/>
        </w:rPr>
        <w:t>λίθιο</w:t>
      </w:r>
      <w:proofErr w:type="spellEnd"/>
      <w:r w:rsidR="00FC3086" w:rsidRPr="002518FB">
        <w:rPr>
          <w:sz w:val="22"/>
          <w:lang w:val="el-GR"/>
        </w:rPr>
        <w:t xml:space="preserve"> ή </w:t>
      </w:r>
      <w:proofErr w:type="spellStart"/>
      <w:r w:rsidR="000865EB" w:rsidRPr="002518FB">
        <w:rPr>
          <w:sz w:val="22"/>
          <w:lang w:val="el-GR"/>
        </w:rPr>
        <w:t>σιζαπρίδη</w:t>
      </w:r>
      <w:proofErr w:type="spellEnd"/>
      <w:r w:rsidR="00FC3086" w:rsidRPr="002518FB">
        <w:rPr>
          <w:sz w:val="22"/>
          <w:lang w:val="el-GR"/>
        </w:rPr>
        <w:t xml:space="preserve">), </w:t>
      </w:r>
      <w:r w:rsidRPr="002518FB">
        <w:rPr>
          <w:sz w:val="22"/>
          <w:lang w:val="el-GR"/>
        </w:rPr>
        <w:t xml:space="preserve">φάρμακα που προκαλούν </w:t>
      </w:r>
      <w:r w:rsidR="000865EB" w:rsidRPr="002518FB">
        <w:rPr>
          <w:sz w:val="22"/>
          <w:lang w:val="el-GR"/>
        </w:rPr>
        <w:t>ηλεκτρολυτικές διαταραχές</w:t>
      </w:r>
      <w:r w:rsidRPr="002518FB">
        <w:rPr>
          <w:sz w:val="22"/>
          <w:lang w:val="el-GR"/>
        </w:rPr>
        <w:t xml:space="preserve"> </w:t>
      </w:r>
      <w:r w:rsidR="000865EB" w:rsidRPr="002518FB">
        <w:rPr>
          <w:sz w:val="22"/>
          <w:lang w:val="el-GR"/>
        </w:rPr>
        <w:t xml:space="preserve">(όπως </w:t>
      </w:r>
      <w:proofErr w:type="spellStart"/>
      <w:r w:rsidR="000865EB" w:rsidRPr="002518FB">
        <w:rPr>
          <w:sz w:val="22"/>
          <w:lang w:val="el-GR"/>
        </w:rPr>
        <w:t>θειαζιδικά</w:t>
      </w:r>
      <w:proofErr w:type="spellEnd"/>
      <w:r w:rsidR="000865EB" w:rsidRPr="002518FB">
        <w:rPr>
          <w:sz w:val="22"/>
          <w:lang w:val="el-GR"/>
        </w:rPr>
        <w:t xml:space="preserve"> διουρητικά) </w:t>
      </w:r>
      <w:r w:rsidR="009D0FA7" w:rsidRPr="002518FB">
        <w:rPr>
          <w:sz w:val="22"/>
          <w:lang w:val="el-GR"/>
        </w:rPr>
        <w:t>και</w:t>
      </w:r>
      <w:r w:rsidR="004B199C" w:rsidRPr="002518FB">
        <w:rPr>
          <w:sz w:val="22"/>
          <w:lang w:val="el-GR"/>
        </w:rPr>
        <w:t xml:space="preserve"> φάρμακα που αναστέλλουν το </w:t>
      </w:r>
      <w:r w:rsidR="000865EB" w:rsidRPr="002518FB">
        <w:rPr>
          <w:sz w:val="22"/>
          <w:lang w:val="el-GR"/>
        </w:rPr>
        <w:t>κυτόχρωμα</w:t>
      </w:r>
      <w:r w:rsidR="00BC33EC" w:rsidRPr="002518FB">
        <w:rPr>
          <w:sz w:val="22"/>
          <w:lang w:val="el-GR"/>
        </w:rPr>
        <w:t xml:space="preserve"> </w:t>
      </w:r>
      <w:r w:rsidR="000F3434" w:rsidRPr="002518FB">
        <w:rPr>
          <w:sz w:val="22"/>
          <w:lang w:val="el-GR"/>
        </w:rPr>
        <w:t>CYP</w:t>
      </w:r>
      <w:r w:rsidR="00BC33EC" w:rsidRPr="002518FB">
        <w:rPr>
          <w:sz w:val="22"/>
          <w:lang w:val="el-GR"/>
        </w:rPr>
        <w:t>2</w:t>
      </w:r>
      <w:r w:rsidR="000F3434" w:rsidRPr="002518FB">
        <w:rPr>
          <w:sz w:val="22"/>
          <w:lang w:val="el-GR"/>
        </w:rPr>
        <w:t>D</w:t>
      </w:r>
      <w:r w:rsidR="00BC33EC" w:rsidRPr="002518FB">
        <w:rPr>
          <w:sz w:val="22"/>
          <w:lang w:val="el-GR"/>
        </w:rPr>
        <w:t>6</w:t>
      </w:r>
      <w:r w:rsidR="00FC3086" w:rsidRPr="002518FB">
        <w:rPr>
          <w:sz w:val="22"/>
          <w:lang w:val="el-GR"/>
        </w:rPr>
        <w:t xml:space="preserve">.  </w:t>
      </w:r>
    </w:p>
    <w:p w:rsidR="00647109" w:rsidRPr="002518FB" w:rsidRDefault="00647109">
      <w:pPr>
        <w:rPr>
          <w:sz w:val="22"/>
          <w:lang w:val="el-GR"/>
        </w:rPr>
      </w:pPr>
      <w:r w:rsidRPr="002518FB">
        <w:rPr>
          <w:sz w:val="22"/>
          <w:lang w:val="el-GR"/>
        </w:rPr>
        <w:t xml:space="preserve">  </w:t>
      </w:r>
    </w:p>
    <w:p w:rsidR="006D2D93" w:rsidRPr="00006638" w:rsidRDefault="00FC3086">
      <w:pPr>
        <w:rPr>
          <w:snapToGrid w:val="0"/>
          <w:sz w:val="22"/>
          <w:lang w:val="el-GR"/>
        </w:rPr>
      </w:pPr>
      <w:r w:rsidRPr="002518FB">
        <w:rPr>
          <w:snapToGrid w:val="0"/>
          <w:sz w:val="22"/>
          <w:lang w:val="el-GR"/>
        </w:rPr>
        <w:t xml:space="preserve">Οι </w:t>
      </w:r>
      <w:r w:rsidR="00246C26" w:rsidRPr="002518FB">
        <w:rPr>
          <w:snapToGrid w:val="0"/>
          <w:sz w:val="22"/>
          <w:lang w:val="el-GR"/>
        </w:rPr>
        <w:t>επιληπτικές</w:t>
      </w:r>
      <w:r w:rsidR="000865EB" w:rsidRPr="002518FB">
        <w:rPr>
          <w:snapToGrid w:val="0"/>
          <w:sz w:val="22"/>
          <w:lang w:val="el-GR"/>
        </w:rPr>
        <w:t xml:space="preserve"> κρίσεις</w:t>
      </w:r>
      <w:r w:rsidRPr="002518FB">
        <w:rPr>
          <w:snapToGrid w:val="0"/>
          <w:sz w:val="22"/>
          <w:lang w:val="el-GR"/>
        </w:rPr>
        <w:t xml:space="preserve"> είναι ένας δυνητικός κίνδυνος για την </w:t>
      </w:r>
      <w:proofErr w:type="spellStart"/>
      <w:r w:rsidRPr="002518FB">
        <w:rPr>
          <w:snapToGrid w:val="0"/>
          <w:sz w:val="22"/>
          <w:lang w:val="el-GR"/>
        </w:rPr>
        <w:t>ατομοξετίνη</w:t>
      </w:r>
      <w:proofErr w:type="spellEnd"/>
      <w:r w:rsidRPr="002518FB">
        <w:rPr>
          <w:snapToGrid w:val="0"/>
          <w:sz w:val="22"/>
          <w:lang w:val="el-GR"/>
        </w:rPr>
        <w:t xml:space="preserve">. Συνιστάται προσοχή όταν η </w:t>
      </w:r>
      <w:proofErr w:type="spellStart"/>
      <w:r w:rsidRPr="002518FB">
        <w:rPr>
          <w:snapToGrid w:val="0"/>
          <w:sz w:val="22"/>
          <w:lang w:val="el-GR"/>
        </w:rPr>
        <w:t>ατομοξετίνη</w:t>
      </w:r>
      <w:proofErr w:type="spellEnd"/>
      <w:r w:rsidRPr="002518FB">
        <w:rPr>
          <w:snapToGrid w:val="0"/>
          <w:sz w:val="22"/>
          <w:lang w:val="el-GR"/>
        </w:rPr>
        <w:t xml:space="preserve"> χορηγείται παράλληλα με φαρμακευτικά προϊόντα τα οποία είναι γνωστό ότι </w:t>
      </w:r>
      <w:r w:rsidR="00246C26" w:rsidRPr="002518FB">
        <w:rPr>
          <w:snapToGrid w:val="0"/>
          <w:sz w:val="22"/>
          <w:lang w:val="el-GR"/>
        </w:rPr>
        <w:t>μειώνουν</w:t>
      </w:r>
      <w:r w:rsidRPr="002518FB">
        <w:rPr>
          <w:snapToGrid w:val="0"/>
          <w:sz w:val="22"/>
          <w:lang w:val="el-GR"/>
        </w:rPr>
        <w:t xml:space="preserve"> </w:t>
      </w:r>
      <w:r w:rsidR="000865EB" w:rsidRPr="002518FB">
        <w:rPr>
          <w:snapToGrid w:val="0"/>
          <w:sz w:val="22"/>
          <w:szCs w:val="22"/>
          <w:lang w:val="el-GR"/>
        </w:rPr>
        <w:t xml:space="preserve">τον ουδό </w:t>
      </w:r>
      <w:r w:rsidRPr="002518FB">
        <w:rPr>
          <w:snapToGrid w:val="0"/>
          <w:sz w:val="22"/>
          <w:szCs w:val="22"/>
          <w:lang w:val="el-GR"/>
        </w:rPr>
        <w:t>επιλη</w:t>
      </w:r>
      <w:r w:rsidR="000865EB" w:rsidRPr="002518FB">
        <w:rPr>
          <w:snapToGrid w:val="0"/>
          <w:sz w:val="22"/>
          <w:szCs w:val="22"/>
          <w:lang w:val="el-GR"/>
        </w:rPr>
        <w:t>πτικών</w:t>
      </w:r>
      <w:r w:rsidR="000865EB" w:rsidRPr="002518FB">
        <w:rPr>
          <w:snapToGrid w:val="0"/>
          <w:sz w:val="22"/>
          <w:lang w:val="el-GR"/>
        </w:rPr>
        <w:t xml:space="preserve"> κρίσεων</w:t>
      </w:r>
      <w:r w:rsidRPr="002518FB">
        <w:rPr>
          <w:snapToGrid w:val="0"/>
          <w:sz w:val="22"/>
          <w:lang w:val="el-GR"/>
        </w:rPr>
        <w:t xml:space="preserve"> (όπως τα </w:t>
      </w:r>
      <w:proofErr w:type="spellStart"/>
      <w:r w:rsidR="00857384" w:rsidRPr="002518FB">
        <w:rPr>
          <w:snapToGrid w:val="0"/>
          <w:sz w:val="22"/>
          <w:lang w:val="el-GR"/>
        </w:rPr>
        <w:t>τρικυκλικά</w:t>
      </w:r>
      <w:proofErr w:type="spellEnd"/>
      <w:r w:rsidR="00006638" w:rsidRPr="00006638">
        <w:rPr>
          <w:snapToGrid w:val="0"/>
          <w:sz w:val="22"/>
          <w:lang w:val="el-GR"/>
        </w:rPr>
        <w:t xml:space="preserve"> </w:t>
      </w:r>
      <w:r w:rsidR="00825BC8" w:rsidRPr="002518FB">
        <w:rPr>
          <w:snapToGrid w:val="0"/>
          <w:sz w:val="22"/>
          <w:lang w:val="el-GR"/>
        </w:rPr>
        <w:t>α</w:t>
      </w:r>
      <w:r w:rsidRPr="002518FB">
        <w:rPr>
          <w:snapToGrid w:val="0"/>
          <w:sz w:val="22"/>
          <w:lang w:val="el-GR"/>
        </w:rPr>
        <w:t>ντικαταθλιπτικά</w:t>
      </w:r>
      <w:r w:rsidR="00857384" w:rsidRPr="002518FB">
        <w:rPr>
          <w:snapToGrid w:val="0"/>
          <w:sz w:val="22"/>
          <w:lang w:val="el-GR"/>
        </w:rPr>
        <w:t xml:space="preserve"> ή οι </w:t>
      </w:r>
      <w:proofErr w:type="spellStart"/>
      <w:r w:rsidR="000F3434" w:rsidRPr="002518FB">
        <w:rPr>
          <w:sz w:val="22"/>
          <w:lang w:val="el-GR"/>
        </w:rPr>
        <w:t>SSRIs</w:t>
      </w:r>
      <w:proofErr w:type="spellEnd"/>
      <w:r w:rsidRPr="002518FB">
        <w:rPr>
          <w:snapToGrid w:val="0"/>
          <w:sz w:val="22"/>
          <w:lang w:val="el-GR"/>
        </w:rPr>
        <w:t xml:space="preserve">, τα νευροληπτικά, </w:t>
      </w:r>
      <w:r w:rsidR="00857384" w:rsidRPr="002518FB">
        <w:rPr>
          <w:snapToGrid w:val="0"/>
          <w:sz w:val="22"/>
          <w:lang w:val="el-GR"/>
        </w:rPr>
        <w:t xml:space="preserve">οι </w:t>
      </w:r>
      <w:proofErr w:type="spellStart"/>
      <w:r w:rsidR="00857384" w:rsidRPr="002518FB">
        <w:rPr>
          <w:snapToGrid w:val="0"/>
          <w:sz w:val="22"/>
          <w:lang w:val="el-GR"/>
        </w:rPr>
        <w:t>φαινοθειαζίνες</w:t>
      </w:r>
      <w:proofErr w:type="spellEnd"/>
      <w:r w:rsidR="00857384" w:rsidRPr="002518FB">
        <w:rPr>
          <w:snapToGrid w:val="0"/>
          <w:sz w:val="22"/>
          <w:lang w:val="el-GR"/>
        </w:rPr>
        <w:t xml:space="preserve"> ή οι </w:t>
      </w:r>
      <w:proofErr w:type="spellStart"/>
      <w:r w:rsidR="00857384" w:rsidRPr="002518FB">
        <w:rPr>
          <w:snapToGrid w:val="0"/>
          <w:sz w:val="22"/>
          <w:lang w:val="el-GR"/>
        </w:rPr>
        <w:t>βουτυροφαινόνες</w:t>
      </w:r>
      <w:proofErr w:type="spellEnd"/>
      <w:r w:rsidR="00857384" w:rsidRPr="002518FB">
        <w:rPr>
          <w:snapToGrid w:val="0"/>
          <w:sz w:val="22"/>
          <w:lang w:val="el-GR"/>
        </w:rPr>
        <w:t xml:space="preserve">, η </w:t>
      </w:r>
      <w:proofErr w:type="spellStart"/>
      <w:r w:rsidR="006F3311" w:rsidRPr="002518FB">
        <w:rPr>
          <w:snapToGrid w:val="0"/>
          <w:sz w:val="22"/>
          <w:lang w:val="el-GR"/>
        </w:rPr>
        <w:t>μεφλοκίνη</w:t>
      </w:r>
      <w:proofErr w:type="spellEnd"/>
      <w:r w:rsidRPr="002518FB">
        <w:rPr>
          <w:snapToGrid w:val="0"/>
          <w:sz w:val="22"/>
          <w:lang w:val="el-GR"/>
        </w:rPr>
        <w:t xml:space="preserve">, </w:t>
      </w:r>
      <w:r w:rsidR="00857384" w:rsidRPr="002518FB">
        <w:rPr>
          <w:snapToGrid w:val="0"/>
          <w:sz w:val="22"/>
          <w:lang w:val="el-GR"/>
        </w:rPr>
        <w:t xml:space="preserve">η </w:t>
      </w:r>
      <w:proofErr w:type="spellStart"/>
      <w:r w:rsidR="00857384" w:rsidRPr="002518FB">
        <w:rPr>
          <w:snapToGrid w:val="0"/>
          <w:sz w:val="22"/>
          <w:lang w:val="el-GR"/>
        </w:rPr>
        <w:t>χλωροκίνη</w:t>
      </w:r>
      <w:proofErr w:type="spellEnd"/>
      <w:r w:rsidR="00857384" w:rsidRPr="002518FB">
        <w:rPr>
          <w:snapToGrid w:val="0"/>
          <w:sz w:val="22"/>
          <w:lang w:val="el-GR"/>
        </w:rPr>
        <w:t xml:space="preserve">, η </w:t>
      </w:r>
      <w:proofErr w:type="spellStart"/>
      <w:r w:rsidR="00CE1C5E" w:rsidRPr="002518FB">
        <w:rPr>
          <w:snapToGrid w:val="0"/>
          <w:sz w:val="22"/>
          <w:lang w:val="el-GR"/>
        </w:rPr>
        <w:t>βουπροπιόνη</w:t>
      </w:r>
      <w:proofErr w:type="spellEnd"/>
      <w:r w:rsidRPr="002518FB">
        <w:rPr>
          <w:snapToGrid w:val="0"/>
          <w:sz w:val="22"/>
          <w:lang w:val="el-GR"/>
        </w:rPr>
        <w:t xml:space="preserve"> ή</w:t>
      </w:r>
      <w:r w:rsidR="006F3311" w:rsidRPr="002518FB">
        <w:rPr>
          <w:snapToGrid w:val="0"/>
          <w:sz w:val="22"/>
          <w:lang w:val="el-GR"/>
        </w:rPr>
        <w:t xml:space="preserve"> </w:t>
      </w:r>
      <w:r w:rsidR="00857384" w:rsidRPr="002518FB">
        <w:rPr>
          <w:snapToGrid w:val="0"/>
          <w:sz w:val="22"/>
          <w:lang w:val="el-GR"/>
        </w:rPr>
        <w:t xml:space="preserve">η </w:t>
      </w:r>
      <w:proofErr w:type="spellStart"/>
      <w:r w:rsidR="006F3311" w:rsidRPr="002518FB">
        <w:rPr>
          <w:snapToGrid w:val="0"/>
          <w:sz w:val="22"/>
          <w:lang w:val="el-GR"/>
        </w:rPr>
        <w:t>τραμαδόλη</w:t>
      </w:r>
      <w:proofErr w:type="spellEnd"/>
      <w:r w:rsidRPr="002518FB">
        <w:rPr>
          <w:snapToGrid w:val="0"/>
          <w:sz w:val="22"/>
          <w:lang w:val="el-GR"/>
        </w:rPr>
        <w:t>). (βλέπε παράγραφο 4.4).</w:t>
      </w:r>
      <w:r w:rsidR="00857384" w:rsidRPr="002518FB">
        <w:rPr>
          <w:snapToGrid w:val="0"/>
          <w:sz w:val="22"/>
          <w:lang w:val="el-GR"/>
        </w:rPr>
        <w:t xml:space="preserve"> Επιπλέον συνιστάται προσοχή όταν διακόπτεται η ταυτόχρονη θεραπεία με </w:t>
      </w:r>
      <w:proofErr w:type="spellStart"/>
      <w:r w:rsidR="00857384" w:rsidRPr="002518FB">
        <w:rPr>
          <w:snapToGrid w:val="0"/>
          <w:sz w:val="22"/>
          <w:lang w:val="el-GR"/>
        </w:rPr>
        <w:t>βενζοδιαζεπίνες</w:t>
      </w:r>
      <w:proofErr w:type="spellEnd"/>
      <w:r w:rsidR="00857384" w:rsidRPr="002518FB">
        <w:rPr>
          <w:snapToGrid w:val="0"/>
          <w:sz w:val="22"/>
          <w:lang w:val="el-GR"/>
        </w:rPr>
        <w:t xml:space="preserve"> εξαιτίας πιθανών </w:t>
      </w:r>
      <w:r w:rsidR="0074215F" w:rsidRPr="002518FB">
        <w:rPr>
          <w:snapToGrid w:val="0"/>
          <w:sz w:val="22"/>
          <w:lang w:val="el-GR"/>
        </w:rPr>
        <w:t>επιληπτικών κρίσεων λόγω απόσυρσης.</w:t>
      </w:r>
    </w:p>
    <w:p w:rsidR="00246C26" w:rsidRPr="002518FB" w:rsidRDefault="00246C26">
      <w:pPr>
        <w:rPr>
          <w:sz w:val="19"/>
          <w:lang w:val="el-GR" w:eastAsia="el-GR"/>
        </w:rPr>
      </w:pPr>
    </w:p>
    <w:p w:rsidR="009A5208" w:rsidRPr="002518FB" w:rsidRDefault="0021494E">
      <w:pPr>
        <w:rPr>
          <w:i/>
          <w:sz w:val="22"/>
          <w:szCs w:val="22"/>
          <w:lang w:val="el-GR" w:eastAsia="el-GR"/>
        </w:rPr>
      </w:pPr>
      <w:proofErr w:type="spellStart"/>
      <w:r w:rsidRPr="002518FB">
        <w:rPr>
          <w:i/>
          <w:sz w:val="22"/>
          <w:szCs w:val="22"/>
          <w:lang w:val="el-GR" w:eastAsia="el-GR"/>
        </w:rPr>
        <w:lastRenderedPageBreak/>
        <w:t>Αντιυπερτασικά</w:t>
      </w:r>
      <w:proofErr w:type="spellEnd"/>
      <w:r w:rsidRPr="002518FB">
        <w:rPr>
          <w:i/>
          <w:sz w:val="22"/>
          <w:szCs w:val="22"/>
          <w:lang w:val="el-GR" w:eastAsia="el-GR"/>
        </w:rPr>
        <w:t xml:space="preserve"> φάρμακα</w:t>
      </w:r>
    </w:p>
    <w:p w:rsidR="009A5208" w:rsidRPr="002518FB" w:rsidRDefault="0070341D">
      <w:pPr>
        <w:rPr>
          <w:sz w:val="22"/>
          <w:szCs w:val="22"/>
          <w:lang w:val="el-GR" w:eastAsia="el-GR"/>
        </w:rPr>
      </w:pPr>
      <w:r w:rsidRPr="002518FB">
        <w:rPr>
          <w:sz w:val="22"/>
          <w:szCs w:val="22"/>
          <w:lang w:val="el-GR" w:eastAsia="el-GR"/>
        </w:rPr>
        <w:t xml:space="preserve">Η χορήγηση της </w:t>
      </w:r>
      <w:proofErr w:type="spellStart"/>
      <w:r w:rsidRPr="002518FB">
        <w:rPr>
          <w:sz w:val="22"/>
          <w:szCs w:val="22"/>
          <w:lang w:val="el-GR" w:eastAsia="el-GR"/>
        </w:rPr>
        <w:t>ατομοξετίνης</w:t>
      </w:r>
      <w:proofErr w:type="spellEnd"/>
      <w:r w:rsidRPr="002518FB">
        <w:rPr>
          <w:sz w:val="22"/>
          <w:szCs w:val="22"/>
          <w:lang w:val="el-GR" w:eastAsia="el-GR"/>
        </w:rPr>
        <w:t xml:space="preserve"> με </w:t>
      </w:r>
      <w:proofErr w:type="spellStart"/>
      <w:r w:rsidRPr="002518FB">
        <w:rPr>
          <w:sz w:val="22"/>
          <w:szCs w:val="22"/>
          <w:lang w:val="el-GR" w:eastAsia="el-GR"/>
        </w:rPr>
        <w:t>αντιυπερτασικά</w:t>
      </w:r>
      <w:proofErr w:type="spellEnd"/>
      <w:r w:rsidRPr="002518FB">
        <w:rPr>
          <w:sz w:val="22"/>
          <w:szCs w:val="22"/>
          <w:lang w:val="el-GR" w:eastAsia="el-GR"/>
        </w:rPr>
        <w:t xml:space="preserve"> φάρμακα θα πρέπει να γίνεται με προσοχή. Λόγω πιθανής αύξησης της αρτηριακής πίεσης, η </w:t>
      </w:r>
      <w:proofErr w:type="spellStart"/>
      <w:r w:rsidRPr="002518FB">
        <w:rPr>
          <w:sz w:val="22"/>
          <w:szCs w:val="22"/>
          <w:lang w:val="el-GR" w:eastAsia="el-GR"/>
        </w:rPr>
        <w:t>ατομοξετίνη</w:t>
      </w:r>
      <w:proofErr w:type="spellEnd"/>
      <w:r w:rsidRPr="002518FB">
        <w:rPr>
          <w:sz w:val="22"/>
          <w:szCs w:val="22"/>
          <w:lang w:val="el-GR" w:eastAsia="el-GR"/>
        </w:rPr>
        <w:t xml:space="preserve"> μπορεί να μειώσει την αποτελεσματικότητα των </w:t>
      </w:r>
      <w:proofErr w:type="spellStart"/>
      <w:r w:rsidRPr="002518FB">
        <w:rPr>
          <w:sz w:val="22"/>
          <w:szCs w:val="22"/>
          <w:lang w:val="el-GR" w:eastAsia="el-GR"/>
        </w:rPr>
        <w:t>αντιυπερτασικών</w:t>
      </w:r>
      <w:proofErr w:type="spellEnd"/>
      <w:r w:rsidRPr="002518FB">
        <w:rPr>
          <w:sz w:val="22"/>
          <w:szCs w:val="22"/>
          <w:lang w:val="el-GR" w:eastAsia="el-GR"/>
        </w:rPr>
        <w:t xml:space="preserve"> φαρμάκων που χρησιμοποιούνται για τη θεραπεία της υπέρτασης. Θα πρέπει να δοθεί προσοχή στην παρακολούθηση της αρτηριακής πίεσης και η επαν</w:t>
      </w:r>
      <w:r w:rsidR="000024F9" w:rsidRPr="002518FB">
        <w:rPr>
          <w:sz w:val="22"/>
          <w:szCs w:val="22"/>
          <w:lang w:val="el-GR" w:eastAsia="el-GR"/>
        </w:rPr>
        <w:t>αξιολόγηση</w:t>
      </w:r>
      <w:r w:rsidRPr="002518FB">
        <w:rPr>
          <w:sz w:val="22"/>
          <w:szCs w:val="22"/>
          <w:lang w:val="el-GR" w:eastAsia="el-GR"/>
        </w:rPr>
        <w:t xml:space="preserve"> της θεραπείας με </w:t>
      </w:r>
      <w:proofErr w:type="spellStart"/>
      <w:r w:rsidRPr="002518FB">
        <w:rPr>
          <w:sz w:val="22"/>
          <w:szCs w:val="22"/>
          <w:lang w:val="el-GR" w:eastAsia="el-GR"/>
        </w:rPr>
        <w:t>ατομοξετίνη</w:t>
      </w:r>
      <w:proofErr w:type="spellEnd"/>
      <w:r w:rsidRPr="002518FB">
        <w:rPr>
          <w:sz w:val="22"/>
          <w:szCs w:val="22"/>
          <w:lang w:val="el-GR" w:eastAsia="el-GR"/>
        </w:rPr>
        <w:t xml:space="preserve"> ή με </w:t>
      </w:r>
      <w:proofErr w:type="spellStart"/>
      <w:r w:rsidRPr="002518FB">
        <w:rPr>
          <w:sz w:val="22"/>
          <w:szCs w:val="22"/>
          <w:lang w:val="el-GR" w:eastAsia="el-GR"/>
        </w:rPr>
        <w:t>αντιυπερτασικά</w:t>
      </w:r>
      <w:proofErr w:type="spellEnd"/>
      <w:r w:rsidRPr="002518FB">
        <w:rPr>
          <w:sz w:val="22"/>
          <w:szCs w:val="22"/>
          <w:lang w:val="el-GR" w:eastAsia="el-GR"/>
        </w:rPr>
        <w:t xml:space="preserve"> φάρμακα μπορεί να δικαιολογηθεί σε περίπτωση σημαντικών μεταβολών της αρτηριακής πίεσης.</w:t>
      </w:r>
    </w:p>
    <w:p w:rsidR="009A5208" w:rsidRPr="002518FB" w:rsidRDefault="009A5208">
      <w:pPr>
        <w:rPr>
          <w:rFonts w:ascii="Arial" w:hAnsi="Arial" w:cs="Arial"/>
          <w:sz w:val="19"/>
          <w:lang w:val="el-GR" w:eastAsia="el-GR"/>
        </w:rPr>
      </w:pPr>
    </w:p>
    <w:p w:rsidR="009A5208" w:rsidRPr="002518FB" w:rsidRDefault="0021494E">
      <w:pPr>
        <w:rPr>
          <w:i/>
          <w:sz w:val="22"/>
          <w:szCs w:val="22"/>
          <w:lang w:val="el-GR" w:eastAsia="el-GR"/>
        </w:rPr>
      </w:pPr>
      <w:proofErr w:type="spellStart"/>
      <w:r w:rsidRPr="002518FB">
        <w:rPr>
          <w:i/>
          <w:sz w:val="22"/>
          <w:szCs w:val="22"/>
          <w:lang w:val="el-GR" w:eastAsia="el-GR"/>
        </w:rPr>
        <w:t>Αγγειοσυσπαστικοί</w:t>
      </w:r>
      <w:proofErr w:type="spellEnd"/>
      <w:r w:rsidRPr="002518FB">
        <w:rPr>
          <w:i/>
          <w:sz w:val="22"/>
          <w:szCs w:val="22"/>
          <w:lang w:val="el-GR" w:eastAsia="el-GR"/>
        </w:rPr>
        <w:t xml:space="preserve"> παράγοντες ή φάρμακα που αυξάνουν την αρτηριακή πίεση</w:t>
      </w:r>
    </w:p>
    <w:p w:rsidR="0071231A" w:rsidRPr="002518FB" w:rsidRDefault="003D58D8">
      <w:pPr>
        <w:rPr>
          <w:sz w:val="22"/>
          <w:szCs w:val="22"/>
          <w:lang w:val="el-GR" w:eastAsia="el-GR"/>
        </w:rPr>
      </w:pPr>
      <w:r w:rsidRPr="002518FB">
        <w:rPr>
          <w:sz w:val="22"/>
          <w:szCs w:val="22"/>
          <w:lang w:val="el-GR" w:eastAsia="el-GR"/>
        </w:rPr>
        <w:t>Λόγω</w:t>
      </w:r>
      <w:r w:rsidR="0071231A" w:rsidRPr="002518FB">
        <w:rPr>
          <w:sz w:val="22"/>
          <w:szCs w:val="22"/>
          <w:lang w:val="el-GR" w:eastAsia="el-GR"/>
        </w:rPr>
        <w:t xml:space="preserve"> των πιθανών αυξήσεων των επιδράσεων της αρτηριακής πίεσης, η χορήγηση της </w:t>
      </w:r>
      <w:proofErr w:type="spellStart"/>
      <w:r w:rsidR="0071231A" w:rsidRPr="002518FB">
        <w:rPr>
          <w:sz w:val="22"/>
          <w:szCs w:val="22"/>
          <w:lang w:val="el-GR" w:eastAsia="el-GR"/>
        </w:rPr>
        <w:t>ατομοξετίνης</w:t>
      </w:r>
      <w:proofErr w:type="spellEnd"/>
      <w:r w:rsidR="0071231A" w:rsidRPr="002518FB">
        <w:rPr>
          <w:sz w:val="22"/>
          <w:szCs w:val="22"/>
          <w:lang w:val="el-GR" w:eastAsia="el-GR"/>
        </w:rPr>
        <w:t xml:space="preserve"> με </w:t>
      </w:r>
      <w:proofErr w:type="spellStart"/>
      <w:r w:rsidR="0071231A" w:rsidRPr="002518FB">
        <w:rPr>
          <w:sz w:val="22"/>
          <w:szCs w:val="22"/>
          <w:lang w:val="el-GR" w:eastAsia="el-GR"/>
        </w:rPr>
        <w:t>αγγειοσυσπαστικούς</w:t>
      </w:r>
      <w:proofErr w:type="spellEnd"/>
      <w:r w:rsidR="0071231A" w:rsidRPr="002518FB">
        <w:rPr>
          <w:sz w:val="22"/>
          <w:szCs w:val="22"/>
          <w:lang w:val="el-GR" w:eastAsia="el-GR"/>
        </w:rPr>
        <w:t xml:space="preserve"> παράγοντες ή άλλα φάρμακα που μπορεί να αυξάνουν την αρτηριακή πίεση θα πρέπει να γίνεται με προσοχή (όπως η </w:t>
      </w:r>
      <w:proofErr w:type="spellStart"/>
      <w:r w:rsidR="0071231A" w:rsidRPr="002518FB">
        <w:rPr>
          <w:sz w:val="22"/>
          <w:szCs w:val="22"/>
          <w:lang w:val="el-GR" w:eastAsia="el-GR"/>
        </w:rPr>
        <w:t>σαλβουταμόλη</w:t>
      </w:r>
      <w:proofErr w:type="spellEnd"/>
      <w:r w:rsidR="0071231A" w:rsidRPr="002518FB">
        <w:rPr>
          <w:sz w:val="22"/>
          <w:szCs w:val="22"/>
          <w:lang w:val="el-GR" w:eastAsia="el-GR"/>
        </w:rPr>
        <w:t>). Συνιστάται προσοχή στην παρακολούθηση της αρτηριακής πίεσης και η επαν</w:t>
      </w:r>
      <w:r w:rsidR="000024F9" w:rsidRPr="002518FB">
        <w:rPr>
          <w:sz w:val="22"/>
          <w:szCs w:val="22"/>
          <w:lang w:val="el-GR" w:eastAsia="el-GR"/>
        </w:rPr>
        <w:t>αξιολόγηση</w:t>
      </w:r>
      <w:r w:rsidR="0071231A" w:rsidRPr="002518FB">
        <w:rPr>
          <w:sz w:val="22"/>
          <w:szCs w:val="22"/>
          <w:lang w:val="el-GR" w:eastAsia="el-GR"/>
        </w:rPr>
        <w:t xml:space="preserve"> της θεραπείας είτε με </w:t>
      </w:r>
      <w:proofErr w:type="spellStart"/>
      <w:r w:rsidR="0071231A" w:rsidRPr="002518FB">
        <w:rPr>
          <w:sz w:val="22"/>
          <w:szCs w:val="22"/>
          <w:lang w:val="el-GR" w:eastAsia="el-GR"/>
        </w:rPr>
        <w:t>ατομοξετίνη</w:t>
      </w:r>
      <w:proofErr w:type="spellEnd"/>
      <w:r w:rsidR="0071231A" w:rsidRPr="002518FB">
        <w:rPr>
          <w:sz w:val="22"/>
          <w:szCs w:val="22"/>
          <w:lang w:val="el-GR" w:eastAsia="el-GR"/>
        </w:rPr>
        <w:t xml:space="preserve"> </w:t>
      </w:r>
      <w:r w:rsidR="001B7831" w:rsidRPr="002518FB">
        <w:rPr>
          <w:sz w:val="22"/>
          <w:szCs w:val="22"/>
          <w:lang w:val="el-GR" w:eastAsia="el-GR"/>
        </w:rPr>
        <w:t>είτε</w:t>
      </w:r>
      <w:r w:rsidR="0071231A" w:rsidRPr="002518FB">
        <w:rPr>
          <w:sz w:val="22"/>
          <w:szCs w:val="22"/>
          <w:lang w:val="el-GR" w:eastAsia="el-GR"/>
        </w:rPr>
        <w:t xml:space="preserve"> με </w:t>
      </w:r>
      <w:proofErr w:type="spellStart"/>
      <w:r w:rsidR="0071231A" w:rsidRPr="002518FB">
        <w:rPr>
          <w:sz w:val="22"/>
          <w:szCs w:val="22"/>
          <w:lang w:val="el-GR" w:eastAsia="el-GR"/>
        </w:rPr>
        <w:t>αγγειοσυσπαστικούς</w:t>
      </w:r>
      <w:proofErr w:type="spellEnd"/>
      <w:r w:rsidR="0071231A" w:rsidRPr="002518FB">
        <w:rPr>
          <w:sz w:val="22"/>
          <w:szCs w:val="22"/>
          <w:lang w:val="el-GR" w:eastAsia="el-GR"/>
        </w:rPr>
        <w:t xml:space="preserve"> παράγοντες μπορεί να δικαιολογηθεί σε περίπτωση σημαντικών μεταβολών στην αρτηριακή πίεση.</w:t>
      </w:r>
    </w:p>
    <w:p w:rsidR="006D2D93" w:rsidRPr="002518FB" w:rsidRDefault="006D2D93">
      <w:pPr>
        <w:rPr>
          <w:sz w:val="22"/>
          <w:lang w:val="el-GR"/>
        </w:rPr>
      </w:pPr>
    </w:p>
    <w:p w:rsidR="00EB1A67" w:rsidRPr="002518FB" w:rsidRDefault="0021494E">
      <w:pPr>
        <w:rPr>
          <w:sz w:val="22"/>
          <w:lang w:val="el-GR"/>
        </w:rPr>
      </w:pPr>
      <w:r w:rsidRPr="002518FB">
        <w:rPr>
          <w:i/>
          <w:sz w:val="22"/>
          <w:lang w:val="el-GR"/>
        </w:rPr>
        <w:t xml:space="preserve">Φάρμακα που Επιδρούν στη </w:t>
      </w:r>
      <w:proofErr w:type="spellStart"/>
      <w:r w:rsidRPr="002518FB">
        <w:rPr>
          <w:i/>
          <w:sz w:val="22"/>
          <w:lang w:val="el-GR"/>
        </w:rPr>
        <w:t>Νοραδρεναλίνη</w:t>
      </w:r>
      <w:proofErr w:type="spellEnd"/>
      <w:r w:rsidR="006D2D93" w:rsidRPr="002518FB">
        <w:rPr>
          <w:sz w:val="22"/>
          <w:lang w:val="el-GR"/>
        </w:rPr>
        <w:t xml:space="preserve"> </w:t>
      </w:r>
    </w:p>
    <w:p w:rsidR="006D2D93" w:rsidRPr="002518FB" w:rsidRDefault="006D2D93">
      <w:pPr>
        <w:rPr>
          <w:sz w:val="22"/>
          <w:lang w:val="el-GR"/>
        </w:rPr>
      </w:pPr>
      <w:r w:rsidRPr="002518FB">
        <w:rPr>
          <w:sz w:val="22"/>
          <w:lang w:val="el-GR"/>
        </w:rPr>
        <w:t xml:space="preserve">Τα φάρμακα που επιδρούν στη </w:t>
      </w:r>
      <w:proofErr w:type="spellStart"/>
      <w:r w:rsidRPr="002518FB">
        <w:rPr>
          <w:sz w:val="22"/>
          <w:lang w:val="el-GR"/>
        </w:rPr>
        <w:t>νοραδρεναλίνη</w:t>
      </w:r>
      <w:proofErr w:type="spellEnd"/>
      <w:r w:rsidRPr="002518FB">
        <w:rPr>
          <w:sz w:val="22"/>
          <w:lang w:val="el-GR"/>
        </w:rPr>
        <w:t xml:space="preserve"> πρέπει να χορηγούνται με προσοχή, όταν </w:t>
      </w:r>
      <w:proofErr w:type="spellStart"/>
      <w:r w:rsidRPr="002518FB">
        <w:rPr>
          <w:sz w:val="22"/>
          <w:lang w:val="el-GR"/>
        </w:rPr>
        <w:t>συγχορηγείται</w:t>
      </w:r>
      <w:proofErr w:type="spellEnd"/>
      <w:r w:rsidRPr="002518FB">
        <w:rPr>
          <w:sz w:val="22"/>
          <w:lang w:val="el-GR"/>
        </w:rPr>
        <w:t xml:space="preserve"> </w:t>
      </w:r>
      <w:proofErr w:type="spellStart"/>
      <w:r w:rsidRPr="002518FB">
        <w:rPr>
          <w:sz w:val="22"/>
          <w:lang w:val="el-GR"/>
        </w:rPr>
        <w:t>ατομοξετίνη</w:t>
      </w:r>
      <w:proofErr w:type="spellEnd"/>
      <w:r w:rsidRPr="002518FB">
        <w:rPr>
          <w:sz w:val="22"/>
          <w:lang w:val="el-GR"/>
        </w:rPr>
        <w:t xml:space="preserve">, διότι υπάρχει πιθανότητα αθροιστικής φαρμακολογικής δράσης ή συνέργειας. Παραδείγματα τέτοιων φαρμάκων είναι τα αντικαταθλιπτικά όπως η </w:t>
      </w:r>
      <w:proofErr w:type="spellStart"/>
      <w:r w:rsidRPr="002518FB">
        <w:rPr>
          <w:sz w:val="22"/>
          <w:lang w:val="el-GR"/>
        </w:rPr>
        <w:t>ιμιπραμίνη</w:t>
      </w:r>
      <w:proofErr w:type="spellEnd"/>
      <w:r w:rsidRPr="002518FB">
        <w:rPr>
          <w:sz w:val="22"/>
          <w:lang w:val="el-GR"/>
        </w:rPr>
        <w:t xml:space="preserve">, η </w:t>
      </w:r>
      <w:proofErr w:type="spellStart"/>
      <w:r w:rsidRPr="002518FB">
        <w:rPr>
          <w:sz w:val="22"/>
          <w:lang w:val="el-GR"/>
        </w:rPr>
        <w:t>βενλαφαξίνη</w:t>
      </w:r>
      <w:proofErr w:type="spellEnd"/>
      <w:r w:rsidRPr="002518FB">
        <w:rPr>
          <w:sz w:val="22"/>
          <w:lang w:val="el-GR"/>
        </w:rPr>
        <w:t xml:space="preserve"> και η </w:t>
      </w:r>
      <w:proofErr w:type="spellStart"/>
      <w:r w:rsidRPr="002518FB">
        <w:rPr>
          <w:sz w:val="22"/>
          <w:lang w:val="el-GR"/>
        </w:rPr>
        <w:t>μιρταζαπίνη</w:t>
      </w:r>
      <w:proofErr w:type="spellEnd"/>
      <w:r w:rsidRPr="002518FB">
        <w:rPr>
          <w:sz w:val="22"/>
          <w:lang w:val="el-GR"/>
        </w:rPr>
        <w:t xml:space="preserve">, ή τα αποσυμφορητικά όπως η </w:t>
      </w:r>
      <w:proofErr w:type="spellStart"/>
      <w:r w:rsidRPr="002518FB">
        <w:rPr>
          <w:sz w:val="22"/>
          <w:lang w:val="el-GR"/>
        </w:rPr>
        <w:t>ψευδοεφεδρίνη</w:t>
      </w:r>
      <w:proofErr w:type="spellEnd"/>
      <w:r w:rsidRPr="002518FB">
        <w:rPr>
          <w:sz w:val="22"/>
          <w:lang w:val="el-GR"/>
        </w:rPr>
        <w:t xml:space="preserve"> ή η </w:t>
      </w:r>
      <w:proofErr w:type="spellStart"/>
      <w:r w:rsidRPr="002518FB">
        <w:rPr>
          <w:sz w:val="22"/>
          <w:lang w:val="el-GR"/>
        </w:rPr>
        <w:t>φαινυλεφρίνη</w:t>
      </w:r>
      <w:proofErr w:type="spellEnd"/>
      <w:r w:rsidRPr="002518FB">
        <w:rPr>
          <w:sz w:val="22"/>
          <w:lang w:val="el-GR"/>
        </w:rPr>
        <w:t>.</w:t>
      </w:r>
    </w:p>
    <w:p w:rsidR="006D2D93" w:rsidRPr="002518FB" w:rsidRDefault="006D2D93">
      <w:pPr>
        <w:rPr>
          <w:sz w:val="22"/>
          <w:lang w:val="el-GR"/>
        </w:rPr>
      </w:pPr>
    </w:p>
    <w:p w:rsidR="00EB1A67" w:rsidRPr="002518FB" w:rsidRDefault="0021494E">
      <w:pPr>
        <w:rPr>
          <w:sz w:val="22"/>
          <w:lang w:val="el-GR"/>
        </w:rPr>
      </w:pPr>
      <w:r w:rsidRPr="002518FB">
        <w:rPr>
          <w:i/>
          <w:sz w:val="22"/>
          <w:lang w:val="el-GR"/>
        </w:rPr>
        <w:t xml:space="preserve">Φάρμακα που Επηρεάζουν το Γαστρικό </w:t>
      </w:r>
      <w:proofErr w:type="spellStart"/>
      <w:r w:rsidRPr="002518FB">
        <w:rPr>
          <w:i/>
          <w:sz w:val="22"/>
          <w:lang w:val="el-GR"/>
        </w:rPr>
        <w:t>pH</w:t>
      </w:r>
      <w:proofErr w:type="spellEnd"/>
      <w:r w:rsidR="006D2D93" w:rsidRPr="002518FB">
        <w:rPr>
          <w:sz w:val="22"/>
          <w:lang w:val="el-GR"/>
        </w:rPr>
        <w:t xml:space="preserve"> </w:t>
      </w:r>
    </w:p>
    <w:p w:rsidR="006D2D93" w:rsidRPr="002518FB" w:rsidRDefault="006D2D93">
      <w:pPr>
        <w:rPr>
          <w:sz w:val="22"/>
          <w:lang w:val="el-GR"/>
        </w:rPr>
      </w:pPr>
      <w:r w:rsidRPr="002518FB">
        <w:rPr>
          <w:sz w:val="22"/>
          <w:lang w:val="el-GR"/>
        </w:rPr>
        <w:t xml:space="preserve">Τα φάρμακα που αυξάνουν το γαστρικό </w:t>
      </w:r>
      <w:proofErr w:type="spellStart"/>
      <w:r w:rsidR="000F3434" w:rsidRPr="002518FB">
        <w:rPr>
          <w:sz w:val="22"/>
          <w:lang w:val="el-GR"/>
        </w:rPr>
        <w:t>pH</w:t>
      </w:r>
      <w:proofErr w:type="spellEnd"/>
      <w:r w:rsidRPr="002518FB">
        <w:rPr>
          <w:sz w:val="22"/>
          <w:lang w:val="el-GR"/>
        </w:rPr>
        <w:t xml:space="preserve"> (υδροξείδιο μαγνησίου/υδροξείδιο αργιλίου, </w:t>
      </w:r>
      <w:proofErr w:type="spellStart"/>
      <w:r w:rsidRPr="002518FB">
        <w:rPr>
          <w:sz w:val="22"/>
          <w:lang w:val="el-GR"/>
        </w:rPr>
        <w:t>ομεπραζόλη</w:t>
      </w:r>
      <w:proofErr w:type="spellEnd"/>
      <w:r w:rsidRPr="002518FB">
        <w:rPr>
          <w:sz w:val="22"/>
          <w:lang w:val="el-GR"/>
        </w:rPr>
        <w:t xml:space="preserve">) δεν είχαν καμία επίδραση στη βιοδιαθεσιμότητα της </w:t>
      </w:r>
      <w:proofErr w:type="spellStart"/>
      <w:r w:rsidRPr="002518FB">
        <w:rPr>
          <w:sz w:val="22"/>
          <w:lang w:val="el-GR"/>
        </w:rPr>
        <w:t>ατομοξετίνης</w:t>
      </w:r>
      <w:proofErr w:type="spellEnd"/>
      <w:r w:rsidRPr="002518FB">
        <w:rPr>
          <w:sz w:val="22"/>
          <w:lang w:val="el-GR"/>
        </w:rPr>
        <w:t>.</w:t>
      </w:r>
    </w:p>
    <w:p w:rsidR="006D2D93" w:rsidRPr="002518FB" w:rsidRDefault="006D2D93">
      <w:pPr>
        <w:rPr>
          <w:sz w:val="22"/>
          <w:lang w:val="el-GR"/>
        </w:rPr>
      </w:pPr>
    </w:p>
    <w:p w:rsidR="00EB1A67" w:rsidRPr="002518FB" w:rsidRDefault="0021494E">
      <w:pPr>
        <w:rPr>
          <w:sz w:val="22"/>
          <w:lang w:val="el-GR"/>
        </w:rPr>
      </w:pPr>
      <w:r w:rsidRPr="002518FB">
        <w:rPr>
          <w:i/>
          <w:sz w:val="22"/>
          <w:lang w:val="el-GR"/>
        </w:rPr>
        <w:t>Φάρμακα με Υψηλή Σύνδεση στις Πρωτεΐνες Πλάσματος</w:t>
      </w:r>
      <w:r w:rsidR="006D2D93" w:rsidRPr="002518FB">
        <w:rPr>
          <w:sz w:val="22"/>
          <w:lang w:val="el-GR"/>
        </w:rPr>
        <w:t xml:space="preserve"> </w:t>
      </w:r>
    </w:p>
    <w:p w:rsidR="006D2D93" w:rsidRPr="002518FB" w:rsidRDefault="006D2D93">
      <w:pPr>
        <w:rPr>
          <w:sz w:val="22"/>
          <w:lang w:val="el-GR"/>
        </w:rPr>
      </w:pPr>
      <w:proofErr w:type="spellStart"/>
      <w:r w:rsidRPr="002518FB">
        <w:rPr>
          <w:i/>
          <w:sz w:val="22"/>
          <w:lang w:val="el-GR"/>
        </w:rPr>
        <w:t>Ι</w:t>
      </w:r>
      <w:r w:rsidR="000F3434" w:rsidRPr="002518FB">
        <w:rPr>
          <w:i/>
          <w:sz w:val="22"/>
          <w:lang w:val="el-GR"/>
        </w:rPr>
        <w:t>n</w:t>
      </w:r>
      <w:proofErr w:type="spellEnd"/>
      <w:r w:rsidRPr="002518FB">
        <w:rPr>
          <w:i/>
          <w:sz w:val="22"/>
          <w:lang w:val="el-GR"/>
        </w:rPr>
        <w:t xml:space="preserve"> </w:t>
      </w:r>
      <w:proofErr w:type="spellStart"/>
      <w:r w:rsidR="000F3434" w:rsidRPr="002518FB">
        <w:rPr>
          <w:i/>
          <w:sz w:val="22"/>
          <w:lang w:val="el-GR"/>
        </w:rPr>
        <w:t>vitro</w:t>
      </w:r>
      <w:proofErr w:type="spellEnd"/>
      <w:r w:rsidRPr="002518FB">
        <w:rPr>
          <w:sz w:val="22"/>
          <w:lang w:val="el-GR"/>
        </w:rPr>
        <w:t xml:space="preserve"> μελέτες εκτόπισης φαρμάκων πραγματοποιήθηκαν με </w:t>
      </w:r>
      <w:proofErr w:type="spellStart"/>
      <w:r w:rsidRPr="002518FB">
        <w:rPr>
          <w:sz w:val="22"/>
          <w:lang w:val="el-GR"/>
        </w:rPr>
        <w:t>ατομοξετίνη</w:t>
      </w:r>
      <w:proofErr w:type="spellEnd"/>
      <w:r w:rsidRPr="002518FB">
        <w:rPr>
          <w:sz w:val="22"/>
          <w:lang w:val="el-GR"/>
        </w:rPr>
        <w:t xml:space="preserve"> και άλλα φάρμακα με υψηλή πρωτεϊνική σύνδεση στις θεραπευτικές συγκεντρώσεις. Η </w:t>
      </w:r>
      <w:proofErr w:type="spellStart"/>
      <w:r w:rsidRPr="002518FB">
        <w:rPr>
          <w:sz w:val="22"/>
          <w:lang w:val="el-GR"/>
        </w:rPr>
        <w:t>βαρφαρίνη</w:t>
      </w:r>
      <w:proofErr w:type="spellEnd"/>
      <w:r w:rsidRPr="002518FB">
        <w:rPr>
          <w:sz w:val="22"/>
          <w:lang w:val="el-GR"/>
        </w:rPr>
        <w:t xml:space="preserve">, το </w:t>
      </w:r>
      <w:proofErr w:type="spellStart"/>
      <w:r w:rsidRPr="002518FB">
        <w:rPr>
          <w:sz w:val="22"/>
          <w:lang w:val="el-GR"/>
        </w:rPr>
        <w:t>ακετυλοσαλικυλικό</w:t>
      </w:r>
      <w:proofErr w:type="spellEnd"/>
      <w:r w:rsidRPr="002518FB">
        <w:rPr>
          <w:sz w:val="22"/>
          <w:lang w:val="el-GR"/>
        </w:rPr>
        <w:t xml:space="preserve"> οξύ, η </w:t>
      </w:r>
      <w:proofErr w:type="spellStart"/>
      <w:r w:rsidRPr="002518FB">
        <w:rPr>
          <w:sz w:val="22"/>
          <w:lang w:val="el-GR"/>
        </w:rPr>
        <w:t>φαινυτοΐνη</w:t>
      </w:r>
      <w:proofErr w:type="spellEnd"/>
      <w:r w:rsidRPr="002518FB">
        <w:rPr>
          <w:sz w:val="22"/>
          <w:lang w:val="el-GR"/>
        </w:rPr>
        <w:t xml:space="preserve"> ή η </w:t>
      </w:r>
      <w:proofErr w:type="spellStart"/>
      <w:r w:rsidRPr="002518FB">
        <w:rPr>
          <w:sz w:val="22"/>
          <w:lang w:val="el-GR"/>
        </w:rPr>
        <w:t>διαζεπάμη</w:t>
      </w:r>
      <w:proofErr w:type="spellEnd"/>
      <w:r w:rsidRPr="002518FB">
        <w:rPr>
          <w:sz w:val="22"/>
          <w:lang w:val="el-GR"/>
        </w:rPr>
        <w:t xml:space="preserve"> δεν επηρέασαν τη σύνδεση της </w:t>
      </w:r>
      <w:proofErr w:type="spellStart"/>
      <w:r w:rsidRPr="002518FB">
        <w:rPr>
          <w:sz w:val="22"/>
          <w:lang w:val="el-GR"/>
        </w:rPr>
        <w:t>ατομοξετίνης</w:t>
      </w:r>
      <w:proofErr w:type="spellEnd"/>
      <w:r w:rsidRPr="002518FB">
        <w:rPr>
          <w:sz w:val="22"/>
          <w:lang w:val="el-GR"/>
        </w:rPr>
        <w:t xml:space="preserve"> με την ανθρώπινη </w:t>
      </w:r>
      <w:proofErr w:type="spellStart"/>
      <w:r w:rsidRPr="002518FB">
        <w:rPr>
          <w:sz w:val="22"/>
          <w:lang w:val="el-GR"/>
        </w:rPr>
        <w:t>λευκωματίνη</w:t>
      </w:r>
      <w:proofErr w:type="spellEnd"/>
      <w:r w:rsidRPr="002518FB">
        <w:rPr>
          <w:sz w:val="22"/>
          <w:lang w:val="el-GR"/>
        </w:rPr>
        <w:t xml:space="preserve">. Ομοίως, η </w:t>
      </w:r>
      <w:proofErr w:type="spellStart"/>
      <w:r w:rsidRPr="002518FB">
        <w:rPr>
          <w:sz w:val="22"/>
          <w:lang w:val="el-GR"/>
        </w:rPr>
        <w:t>ατομοξετίνη</w:t>
      </w:r>
      <w:proofErr w:type="spellEnd"/>
      <w:r w:rsidRPr="002518FB">
        <w:rPr>
          <w:sz w:val="22"/>
          <w:lang w:val="el-GR"/>
        </w:rPr>
        <w:t xml:space="preserve"> δεν επηρέασε τη σύνδεση αυτών των φαρμακευτικών ουσιών με την ανθρώπινη </w:t>
      </w:r>
      <w:proofErr w:type="spellStart"/>
      <w:r w:rsidRPr="002518FB">
        <w:rPr>
          <w:sz w:val="22"/>
          <w:lang w:val="el-GR"/>
        </w:rPr>
        <w:t>λευκωματίνη</w:t>
      </w:r>
      <w:proofErr w:type="spellEnd"/>
      <w:r w:rsidRPr="002518FB">
        <w:rPr>
          <w:sz w:val="22"/>
          <w:lang w:val="el-GR"/>
        </w:rPr>
        <w:t>.</w:t>
      </w:r>
    </w:p>
    <w:p w:rsidR="00AD481A" w:rsidRPr="002518FB" w:rsidRDefault="00AD481A">
      <w:pPr>
        <w:rPr>
          <w:sz w:val="22"/>
          <w:lang w:val="el-GR"/>
        </w:rPr>
      </w:pPr>
    </w:p>
    <w:p w:rsidR="006D2D93" w:rsidRPr="002518FB" w:rsidRDefault="006D2D93" w:rsidP="00AD481A">
      <w:pPr>
        <w:tabs>
          <w:tab w:val="left" w:pos="600"/>
        </w:tabs>
        <w:rPr>
          <w:sz w:val="22"/>
          <w:lang w:val="el-GR"/>
        </w:rPr>
      </w:pPr>
      <w:r w:rsidRPr="002518FB">
        <w:rPr>
          <w:b/>
          <w:sz w:val="22"/>
          <w:lang w:val="el-GR"/>
        </w:rPr>
        <w:t>4.6</w:t>
      </w:r>
      <w:r w:rsidRPr="002518FB">
        <w:rPr>
          <w:b/>
          <w:sz w:val="22"/>
          <w:lang w:val="el-GR"/>
        </w:rPr>
        <w:tab/>
        <w:t>Κύηση και γαλουχία</w:t>
      </w:r>
    </w:p>
    <w:p w:rsidR="006D2D93" w:rsidRPr="002518FB" w:rsidRDefault="006D2D93">
      <w:pPr>
        <w:rPr>
          <w:sz w:val="22"/>
          <w:lang w:val="el-GR"/>
        </w:rPr>
      </w:pPr>
    </w:p>
    <w:p w:rsidR="00123256" w:rsidRPr="002518FB" w:rsidRDefault="00123256">
      <w:pPr>
        <w:rPr>
          <w:i/>
          <w:sz w:val="22"/>
          <w:szCs w:val="22"/>
          <w:lang w:val="el-GR"/>
        </w:rPr>
      </w:pPr>
      <w:r w:rsidRPr="002518FB">
        <w:rPr>
          <w:i/>
          <w:sz w:val="22"/>
          <w:szCs w:val="22"/>
          <w:lang w:val="el-GR"/>
        </w:rPr>
        <w:t>Εγκυμοσύνη</w:t>
      </w:r>
    </w:p>
    <w:p w:rsidR="000F3434" w:rsidRPr="002518FB" w:rsidRDefault="00123256" w:rsidP="000F3434">
      <w:pPr>
        <w:rPr>
          <w:szCs w:val="22"/>
          <w:lang w:val="el-GR"/>
        </w:rPr>
      </w:pPr>
      <w:r w:rsidRPr="002518FB">
        <w:rPr>
          <w:rFonts w:eastAsia="Calibri"/>
          <w:sz w:val="22"/>
          <w:szCs w:val="22"/>
          <w:lang w:val="el-GR" w:eastAsia="el-GR"/>
        </w:rPr>
        <w:t>Μελέτες</w:t>
      </w:r>
      <w:r w:rsidR="000F3434" w:rsidRPr="002518FB">
        <w:rPr>
          <w:rFonts w:eastAsia="Calibri"/>
          <w:sz w:val="22"/>
          <w:szCs w:val="22"/>
          <w:lang w:val="el-GR"/>
        </w:rPr>
        <w:t xml:space="preserve"> σε ζώα δεν </w:t>
      </w:r>
      <w:r w:rsidR="00714779" w:rsidRPr="002518FB">
        <w:rPr>
          <w:bCs/>
          <w:iCs/>
          <w:sz w:val="22"/>
          <w:szCs w:val="22"/>
          <w:lang w:val="el-GR"/>
        </w:rPr>
        <w:t>υποδεικνύουν,</w:t>
      </w:r>
      <w:r w:rsidRPr="002518FB">
        <w:rPr>
          <w:rFonts w:eastAsia="Calibri"/>
          <w:sz w:val="22"/>
          <w:szCs w:val="22"/>
          <w:lang w:val="el-GR" w:eastAsia="el-GR"/>
        </w:rPr>
        <w:t xml:space="preserve"> σε γενικές γραμμές</w:t>
      </w:r>
      <w:r w:rsidR="00714779" w:rsidRPr="002518FB">
        <w:rPr>
          <w:rFonts w:eastAsia="Calibri"/>
          <w:sz w:val="22"/>
          <w:szCs w:val="22"/>
          <w:lang w:val="el-GR" w:eastAsia="el-GR"/>
        </w:rPr>
        <w:t>.</w:t>
      </w:r>
      <w:r w:rsidR="000F3434" w:rsidRPr="002518FB">
        <w:rPr>
          <w:rFonts w:eastAsia="Calibri"/>
          <w:sz w:val="22"/>
          <w:szCs w:val="22"/>
          <w:lang w:val="el-GR"/>
        </w:rPr>
        <w:t xml:space="preserve"> άμεσες επιβλαβείς επιδράσεις</w:t>
      </w:r>
      <w:r w:rsidRPr="002518FB">
        <w:rPr>
          <w:rFonts w:eastAsia="Calibri"/>
          <w:sz w:val="22"/>
          <w:szCs w:val="22"/>
          <w:lang w:val="el-GR" w:eastAsia="el-GR"/>
        </w:rPr>
        <w:t xml:space="preserve"> </w:t>
      </w:r>
      <w:r w:rsidR="00714779" w:rsidRPr="002518FB">
        <w:rPr>
          <w:rFonts w:eastAsia="Calibri"/>
          <w:sz w:val="22"/>
          <w:szCs w:val="22"/>
          <w:lang w:val="el-GR" w:eastAsia="el-GR"/>
        </w:rPr>
        <w:t>αναφορικά</w:t>
      </w:r>
      <w:r w:rsidRPr="002518FB">
        <w:rPr>
          <w:rFonts w:eastAsia="Calibri"/>
          <w:sz w:val="22"/>
          <w:szCs w:val="22"/>
          <w:lang w:val="el-GR" w:eastAsia="el-GR"/>
        </w:rPr>
        <w:t xml:space="preserve"> με την εγκυμοσύνη,</w:t>
      </w:r>
      <w:r w:rsidR="000F3434" w:rsidRPr="002518FB">
        <w:rPr>
          <w:rFonts w:eastAsia="Calibri"/>
          <w:sz w:val="22"/>
          <w:szCs w:val="22"/>
          <w:lang w:val="el-GR"/>
        </w:rPr>
        <w:t xml:space="preserve"> την ανάπτυξη</w:t>
      </w:r>
      <w:r w:rsidRPr="002518FB">
        <w:rPr>
          <w:rFonts w:eastAsia="Calibri"/>
          <w:sz w:val="22"/>
          <w:szCs w:val="22"/>
          <w:lang w:val="el-GR" w:eastAsia="el-GR"/>
        </w:rPr>
        <w:t xml:space="preserve"> του εμβρύου</w:t>
      </w:r>
      <w:r w:rsidR="000F3434" w:rsidRPr="002518FB">
        <w:rPr>
          <w:rFonts w:eastAsia="Calibri"/>
          <w:sz w:val="22"/>
          <w:szCs w:val="22"/>
          <w:lang w:val="el-GR"/>
        </w:rPr>
        <w:t>, τον τοκετό ή τη μεταγεννητική ανάπτυξη (βλέπε παράγραφο 5.3).</w:t>
      </w:r>
      <w:r w:rsidRPr="002518FB">
        <w:rPr>
          <w:rFonts w:eastAsia="Calibri"/>
          <w:sz w:val="22"/>
          <w:szCs w:val="22"/>
          <w:lang w:val="el-GR" w:eastAsia="el-GR"/>
        </w:rPr>
        <w:t xml:space="preserve">  </w:t>
      </w:r>
      <w:r w:rsidR="006D2D93" w:rsidRPr="002518FB">
        <w:rPr>
          <w:sz w:val="22"/>
          <w:szCs w:val="22"/>
          <w:lang w:val="el-GR"/>
        </w:rPr>
        <w:t xml:space="preserve">Για την </w:t>
      </w:r>
      <w:proofErr w:type="spellStart"/>
      <w:r w:rsidR="006D2D93" w:rsidRPr="002518FB">
        <w:rPr>
          <w:sz w:val="22"/>
          <w:szCs w:val="22"/>
          <w:lang w:val="el-GR"/>
        </w:rPr>
        <w:t>ατομοξετίνη</w:t>
      </w:r>
      <w:proofErr w:type="spellEnd"/>
      <w:r w:rsidRPr="002518FB">
        <w:rPr>
          <w:sz w:val="22"/>
          <w:szCs w:val="22"/>
          <w:lang w:val="el-GR"/>
        </w:rPr>
        <w:t>,</w:t>
      </w:r>
      <w:r w:rsidR="006D2D93" w:rsidRPr="002518FB">
        <w:rPr>
          <w:sz w:val="22"/>
          <w:szCs w:val="22"/>
          <w:lang w:val="el-GR"/>
        </w:rPr>
        <w:t xml:space="preserve"> </w:t>
      </w:r>
      <w:r w:rsidRPr="002518FB">
        <w:rPr>
          <w:sz w:val="22"/>
          <w:szCs w:val="22"/>
          <w:lang w:val="el-GR"/>
        </w:rPr>
        <w:t xml:space="preserve">τα </w:t>
      </w:r>
      <w:r w:rsidR="006D2D93" w:rsidRPr="002518FB">
        <w:rPr>
          <w:sz w:val="22"/>
          <w:szCs w:val="22"/>
          <w:lang w:val="el-GR"/>
        </w:rPr>
        <w:t>κλινικά δεδομένα έκθεσης σε περιπτώσεις εγκυμοσύνης</w:t>
      </w:r>
      <w:r w:rsidRPr="002518FB">
        <w:rPr>
          <w:sz w:val="22"/>
          <w:szCs w:val="22"/>
          <w:lang w:val="el-GR"/>
        </w:rPr>
        <w:t xml:space="preserve"> είναι περιορισμένα</w:t>
      </w:r>
      <w:r w:rsidR="006D2D93" w:rsidRPr="002518FB">
        <w:rPr>
          <w:sz w:val="22"/>
          <w:szCs w:val="22"/>
          <w:lang w:val="el-GR"/>
        </w:rPr>
        <w:t>.</w:t>
      </w:r>
      <w:r w:rsidRPr="002518FB">
        <w:rPr>
          <w:sz w:val="22"/>
          <w:szCs w:val="22"/>
          <w:lang w:val="el-GR"/>
        </w:rPr>
        <w:t xml:space="preserve"> </w:t>
      </w:r>
      <w:r w:rsidRPr="002518FB">
        <w:rPr>
          <w:rFonts w:eastAsia="Calibri"/>
          <w:sz w:val="22"/>
          <w:szCs w:val="22"/>
          <w:lang w:val="el-GR" w:eastAsia="el-GR"/>
        </w:rPr>
        <w:t xml:space="preserve">Τα δεδομένα αυτά είναι ανεπαρκή για να υποδείξουν είτε σχέση είτε απουσία σχέσης μεταξύ της </w:t>
      </w:r>
      <w:proofErr w:type="spellStart"/>
      <w:r w:rsidRPr="002518FB">
        <w:rPr>
          <w:rFonts w:eastAsia="Calibri"/>
          <w:sz w:val="22"/>
          <w:szCs w:val="22"/>
          <w:lang w:val="el-GR" w:eastAsia="el-GR"/>
        </w:rPr>
        <w:t>ατομοξετίνης</w:t>
      </w:r>
      <w:proofErr w:type="spellEnd"/>
      <w:r w:rsidRPr="002518FB">
        <w:rPr>
          <w:rFonts w:eastAsia="Calibri"/>
          <w:sz w:val="22"/>
          <w:szCs w:val="22"/>
          <w:lang w:val="el-GR" w:eastAsia="el-GR"/>
        </w:rPr>
        <w:t xml:space="preserve"> και των ανεπιθύμητων εκβάσεων εγκυμοσύνης ή/και θηλασμού.</w:t>
      </w:r>
      <w:r w:rsidR="000F3434" w:rsidRPr="002518FB">
        <w:rPr>
          <w:sz w:val="22"/>
          <w:szCs w:val="22"/>
          <w:lang w:val="el-GR"/>
        </w:rPr>
        <w:t xml:space="preserve"> Η </w:t>
      </w:r>
      <w:proofErr w:type="spellStart"/>
      <w:r w:rsidR="000F3434" w:rsidRPr="002518FB">
        <w:rPr>
          <w:sz w:val="22"/>
          <w:szCs w:val="22"/>
          <w:lang w:val="el-GR"/>
        </w:rPr>
        <w:t>ατομοξετίνη</w:t>
      </w:r>
      <w:proofErr w:type="spellEnd"/>
      <w:r w:rsidR="000F3434" w:rsidRPr="002518FB">
        <w:rPr>
          <w:sz w:val="22"/>
          <w:szCs w:val="22"/>
          <w:lang w:val="el-GR"/>
        </w:rPr>
        <w:t xml:space="preserve"> δεν πρέπει να χορηγείται κατά τη διάρκεια της κύησης, παρά μόνο εάν το ενδεχόμενο όφελος (για τη μητέρα) δικαιολογεί </w:t>
      </w:r>
      <w:r w:rsidR="006D2D93" w:rsidRPr="002518FB">
        <w:rPr>
          <w:sz w:val="22"/>
          <w:szCs w:val="22"/>
          <w:lang w:val="el-GR"/>
        </w:rPr>
        <w:t>το</w:t>
      </w:r>
      <w:r w:rsidR="00C25C5E" w:rsidRPr="002518FB">
        <w:rPr>
          <w:sz w:val="22"/>
          <w:szCs w:val="22"/>
          <w:lang w:val="el-GR"/>
        </w:rPr>
        <w:t>ν</w:t>
      </w:r>
      <w:r w:rsidR="000F3434" w:rsidRPr="002518FB">
        <w:rPr>
          <w:sz w:val="22"/>
          <w:szCs w:val="22"/>
          <w:lang w:val="el-GR"/>
        </w:rPr>
        <w:t xml:space="preserve"> πιθανό κίνδυνο για το έμβρυο.</w:t>
      </w:r>
    </w:p>
    <w:p w:rsidR="008E6C9B" w:rsidRPr="002518FB" w:rsidRDefault="008E6C9B">
      <w:pPr>
        <w:rPr>
          <w:sz w:val="22"/>
          <w:lang w:val="el-GR"/>
        </w:rPr>
      </w:pPr>
    </w:p>
    <w:p w:rsidR="005773E3" w:rsidRPr="002518FB" w:rsidRDefault="005773E3">
      <w:pPr>
        <w:rPr>
          <w:i/>
          <w:sz w:val="22"/>
          <w:lang w:val="el-GR"/>
        </w:rPr>
      </w:pPr>
      <w:r w:rsidRPr="002518FB">
        <w:rPr>
          <w:i/>
          <w:sz w:val="22"/>
          <w:lang w:val="el-GR"/>
        </w:rPr>
        <w:t>Θηλασμός</w:t>
      </w:r>
    </w:p>
    <w:p w:rsidR="006D2D93" w:rsidRPr="002518FB" w:rsidRDefault="006D2D93">
      <w:pPr>
        <w:rPr>
          <w:sz w:val="22"/>
          <w:lang w:val="el-GR"/>
        </w:rPr>
      </w:pPr>
      <w:r w:rsidRPr="002518FB">
        <w:rPr>
          <w:sz w:val="22"/>
          <w:lang w:val="el-GR"/>
        </w:rPr>
        <w:t xml:space="preserve">Η </w:t>
      </w:r>
      <w:proofErr w:type="spellStart"/>
      <w:r w:rsidRPr="002518FB">
        <w:rPr>
          <w:sz w:val="22"/>
          <w:lang w:val="el-GR"/>
        </w:rPr>
        <w:t>ατομοξετίνη</w:t>
      </w:r>
      <w:proofErr w:type="spellEnd"/>
      <w:r w:rsidRPr="002518FB">
        <w:rPr>
          <w:sz w:val="22"/>
          <w:lang w:val="el-GR"/>
        </w:rPr>
        <w:t xml:space="preserve"> </w:t>
      </w:r>
      <w:r w:rsidR="00E571B4" w:rsidRPr="002518FB">
        <w:rPr>
          <w:sz w:val="22"/>
          <w:szCs w:val="23"/>
          <w:lang w:val="el-GR"/>
        </w:rPr>
        <w:t>ή/και</w:t>
      </w:r>
      <w:r w:rsidRPr="002518FB">
        <w:rPr>
          <w:sz w:val="22"/>
          <w:szCs w:val="23"/>
          <w:lang w:val="el-GR"/>
        </w:rPr>
        <w:t xml:space="preserve"> οι μεταβολίτες της </w:t>
      </w:r>
      <w:r w:rsidRPr="002518FB">
        <w:rPr>
          <w:rFonts w:ascii="TimesNewRoman" w:hAnsi="TimesNewRoman"/>
          <w:sz w:val="22"/>
          <w:szCs w:val="22"/>
          <w:lang w:val="el-GR"/>
        </w:rPr>
        <w:t>απεκκρίνονται στο μητρικό γάλα</w:t>
      </w:r>
      <w:r w:rsidRPr="002518FB">
        <w:rPr>
          <w:szCs w:val="23"/>
          <w:lang w:val="el-GR"/>
        </w:rPr>
        <w:t xml:space="preserve"> </w:t>
      </w:r>
      <w:r w:rsidRPr="002518FB">
        <w:rPr>
          <w:sz w:val="22"/>
          <w:szCs w:val="23"/>
          <w:lang w:val="el-GR"/>
        </w:rPr>
        <w:t>αρουραίων</w:t>
      </w:r>
      <w:r w:rsidRPr="002518FB">
        <w:rPr>
          <w:sz w:val="22"/>
          <w:lang w:val="el-GR"/>
        </w:rPr>
        <w:t xml:space="preserve">. Δεν είναι γνωστό εάν η </w:t>
      </w:r>
      <w:proofErr w:type="spellStart"/>
      <w:r w:rsidRPr="002518FB">
        <w:rPr>
          <w:sz w:val="22"/>
          <w:lang w:val="el-GR"/>
        </w:rPr>
        <w:t>ατομοξετίνη</w:t>
      </w:r>
      <w:proofErr w:type="spellEnd"/>
      <w:r w:rsidRPr="002518FB">
        <w:rPr>
          <w:sz w:val="22"/>
          <w:lang w:val="el-GR"/>
        </w:rPr>
        <w:t xml:space="preserve"> </w:t>
      </w:r>
      <w:r w:rsidRPr="002518FB">
        <w:rPr>
          <w:rFonts w:ascii="TimesNewRoman" w:hAnsi="TimesNewRoman"/>
          <w:sz w:val="22"/>
          <w:szCs w:val="22"/>
          <w:lang w:val="el-GR"/>
        </w:rPr>
        <w:t>απεκκρίνεται στο ανθρώπινο γάλα</w:t>
      </w:r>
      <w:r w:rsidRPr="002518FB">
        <w:rPr>
          <w:sz w:val="22"/>
          <w:lang w:val="el-GR"/>
        </w:rPr>
        <w:t xml:space="preserve">. Λόγω της έλλειψης δεδομένων, η χορήγηση της </w:t>
      </w:r>
      <w:proofErr w:type="spellStart"/>
      <w:r w:rsidRPr="002518FB">
        <w:rPr>
          <w:sz w:val="22"/>
          <w:lang w:val="el-GR"/>
        </w:rPr>
        <w:t>ατομοξετίνης</w:t>
      </w:r>
      <w:proofErr w:type="spellEnd"/>
      <w:r w:rsidRPr="002518FB">
        <w:rPr>
          <w:sz w:val="22"/>
          <w:lang w:val="el-GR"/>
        </w:rPr>
        <w:t xml:space="preserve"> θα πρέπει να αποφεύγεται κατά τη διάρκεια της γαλουχίας.</w:t>
      </w:r>
    </w:p>
    <w:p w:rsidR="006D2D93" w:rsidRPr="002518FB" w:rsidRDefault="006D2D93">
      <w:pPr>
        <w:rPr>
          <w:sz w:val="22"/>
          <w:lang w:val="el-GR"/>
        </w:rPr>
      </w:pPr>
    </w:p>
    <w:p w:rsidR="006D2D93" w:rsidRPr="002518FB" w:rsidRDefault="006D2D93">
      <w:pPr>
        <w:ind w:left="567" w:hanging="567"/>
        <w:rPr>
          <w:sz w:val="22"/>
          <w:lang w:val="el-GR"/>
        </w:rPr>
      </w:pPr>
      <w:r w:rsidRPr="002518FB">
        <w:rPr>
          <w:b/>
          <w:sz w:val="22"/>
          <w:lang w:val="el-GR"/>
        </w:rPr>
        <w:t>4.7</w:t>
      </w:r>
      <w:r w:rsidRPr="002518FB">
        <w:rPr>
          <w:b/>
          <w:sz w:val="22"/>
          <w:lang w:val="el-GR"/>
        </w:rPr>
        <w:tab/>
        <w:t>Επιδράσεις στην ικανότητα οδήγησης και χειρισμού μηχανών</w:t>
      </w:r>
    </w:p>
    <w:p w:rsidR="006D2D93" w:rsidRPr="002518FB" w:rsidRDefault="006D2D93">
      <w:pPr>
        <w:rPr>
          <w:sz w:val="22"/>
          <w:lang w:val="el-GR"/>
        </w:rPr>
      </w:pPr>
    </w:p>
    <w:p w:rsidR="006D2D93" w:rsidRPr="002518FB" w:rsidRDefault="009B1CCC">
      <w:pPr>
        <w:rPr>
          <w:sz w:val="22"/>
          <w:lang w:val="el-GR"/>
        </w:rPr>
      </w:pPr>
      <w:r w:rsidRPr="002518FB">
        <w:rPr>
          <w:sz w:val="22"/>
          <w:lang w:val="el-GR"/>
        </w:rPr>
        <w:t>Τα δεδομένα σχετικά με τις</w:t>
      </w:r>
      <w:r w:rsidR="006D2D93" w:rsidRPr="002518FB">
        <w:rPr>
          <w:sz w:val="22"/>
          <w:lang w:val="el-GR"/>
        </w:rPr>
        <w:t xml:space="preserve"> επιδράσεις στην ικανότητα οδήγησης και χειρισμού μηχανών</w:t>
      </w:r>
      <w:r w:rsidRPr="002518FB">
        <w:rPr>
          <w:sz w:val="22"/>
          <w:lang w:val="el-GR"/>
        </w:rPr>
        <w:t xml:space="preserve"> είναι περιορισμένα</w:t>
      </w:r>
      <w:r w:rsidR="006D2D93" w:rsidRPr="002518FB">
        <w:rPr>
          <w:sz w:val="22"/>
          <w:lang w:val="el-GR"/>
        </w:rPr>
        <w:t xml:space="preserve">. Η </w:t>
      </w:r>
      <w:proofErr w:type="spellStart"/>
      <w:r w:rsidR="006D2D93" w:rsidRPr="002518FB">
        <w:rPr>
          <w:sz w:val="22"/>
          <w:lang w:val="el-GR"/>
        </w:rPr>
        <w:t>ατομοξετίνη</w:t>
      </w:r>
      <w:proofErr w:type="spellEnd"/>
      <w:r w:rsidR="006D2D93" w:rsidRPr="002518FB">
        <w:rPr>
          <w:sz w:val="22"/>
          <w:lang w:val="el-GR"/>
        </w:rPr>
        <w:t xml:space="preserve"> </w:t>
      </w:r>
      <w:r w:rsidRPr="002518FB">
        <w:rPr>
          <w:sz w:val="22"/>
          <w:lang w:val="el-GR"/>
        </w:rPr>
        <w:t xml:space="preserve">έχει συσχετιστεί </w:t>
      </w:r>
      <w:r w:rsidR="006D2D93" w:rsidRPr="002518FB">
        <w:rPr>
          <w:sz w:val="22"/>
          <w:lang w:val="el-GR"/>
        </w:rPr>
        <w:t>με αυξημένα ποσοστά εμφάνισης κόπωσης</w:t>
      </w:r>
      <w:r w:rsidRPr="002518FB">
        <w:rPr>
          <w:sz w:val="22"/>
          <w:lang w:val="el-GR"/>
        </w:rPr>
        <w:t>, υπνηλίας και ζάλης</w:t>
      </w:r>
      <w:r w:rsidR="006D2D93" w:rsidRPr="002518FB">
        <w:rPr>
          <w:sz w:val="22"/>
          <w:lang w:val="el-GR"/>
        </w:rPr>
        <w:t xml:space="preserve"> συγκριτικά με το εικονικό φάρμακο</w:t>
      </w:r>
      <w:r w:rsidRPr="002518FB">
        <w:rPr>
          <w:sz w:val="22"/>
          <w:lang w:val="el-GR"/>
        </w:rPr>
        <w:t xml:space="preserve"> σε παιδιατρικούς και ενηλίκους ασθενείς</w:t>
      </w:r>
      <w:r w:rsidR="006D2D93" w:rsidRPr="002518FB">
        <w:rPr>
          <w:sz w:val="22"/>
          <w:lang w:val="el-GR"/>
        </w:rPr>
        <w:t>.</w:t>
      </w:r>
      <w:r w:rsidR="006D2D93" w:rsidRPr="002518FB">
        <w:rPr>
          <w:i/>
          <w:iCs/>
          <w:sz w:val="22"/>
          <w:lang w:val="el-GR"/>
        </w:rPr>
        <w:t xml:space="preserve"> </w:t>
      </w:r>
      <w:r w:rsidR="006D2D93" w:rsidRPr="002518FB">
        <w:rPr>
          <w:sz w:val="22"/>
          <w:lang w:val="el-GR"/>
        </w:rPr>
        <w:t xml:space="preserve">Οι ασθενείς πρέπει να συμβουλεύονται να είναι προσεκτικοί όταν οδηγούν αυτοκίνητο ή όταν χειρίζονται επικίνδυνα μηχανήματα, έως ότου βεβαιωθούν επαρκώς ότι η απόδοσή τους δεν επηρεάζεται από την </w:t>
      </w:r>
      <w:proofErr w:type="spellStart"/>
      <w:r w:rsidR="006D2D93" w:rsidRPr="002518FB">
        <w:rPr>
          <w:sz w:val="22"/>
          <w:lang w:val="el-GR"/>
        </w:rPr>
        <w:t>ατομοξετίνη</w:t>
      </w:r>
      <w:proofErr w:type="spellEnd"/>
      <w:r w:rsidR="006D2D93" w:rsidRPr="002518FB">
        <w:rPr>
          <w:sz w:val="22"/>
          <w:lang w:val="el-GR"/>
        </w:rPr>
        <w:t>.</w:t>
      </w:r>
    </w:p>
    <w:p w:rsidR="006D2D93" w:rsidRPr="002518FB" w:rsidRDefault="006D2D93">
      <w:pPr>
        <w:numPr>
          <w:ilvl w:val="1"/>
          <w:numId w:val="4"/>
        </w:numPr>
        <w:rPr>
          <w:b/>
          <w:sz w:val="22"/>
          <w:lang w:val="el-GR"/>
        </w:rPr>
      </w:pPr>
      <w:r w:rsidRPr="002518FB">
        <w:rPr>
          <w:b/>
          <w:sz w:val="22"/>
          <w:lang w:val="el-GR"/>
        </w:rPr>
        <w:lastRenderedPageBreak/>
        <w:t>Ανεπιθύμητες ενέργειες</w:t>
      </w:r>
    </w:p>
    <w:p w:rsidR="006D2D93" w:rsidRPr="002518FB" w:rsidRDefault="006D2D93">
      <w:pPr>
        <w:ind w:left="567" w:hanging="567"/>
        <w:rPr>
          <w:sz w:val="22"/>
          <w:u w:val="single"/>
          <w:lang w:val="el-GR"/>
        </w:rPr>
      </w:pPr>
    </w:p>
    <w:p w:rsidR="006D2D93" w:rsidRPr="002518FB" w:rsidRDefault="006D2D93">
      <w:pPr>
        <w:ind w:left="567" w:hanging="567"/>
        <w:rPr>
          <w:sz w:val="22"/>
          <w:lang w:val="el-GR"/>
        </w:rPr>
      </w:pPr>
      <w:r w:rsidRPr="002518FB">
        <w:rPr>
          <w:sz w:val="22"/>
          <w:u w:val="single"/>
          <w:lang w:val="el-GR"/>
        </w:rPr>
        <w:t>Παιδιά και έφηβοι</w:t>
      </w:r>
      <w:r w:rsidRPr="002518FB">
        <w:rPr>
          <w:sz w:val="22"/>
          <w:lang w:val="el-GR"/>
        </w:rPr>
        <w:t xml:space="preserve">: </w:t>
      </w:r>
    </w:p>
    <w:p w:rsidR="006D2D93" w:rsidRPr="002518FB" w:rsidRDefault="009449AC">
      <w:pPr>
        <w:rPr>
          <w:strike/>
          <w:sz w:val="22"/>
          <w:lang w:val="el-GR"/>
        </w:rPr>
      </w:pPr>
      <w:r w:rsidRPr="002518FB">
        <w:rPr>
          <w:sz w:val="22"/>
          <w:lang w:val="el-GR"/>
        </w:rPr>
        <w:t>Σε ελεγχόμενες με εικονικό φάρμακο (</w:t>
      </w:r>
      <w:proofErr w:type="spellStart"/>
      <w:r w:rsidR="000F3434" w:rsidRPr="002518FB">
        <w:rPr>
          <w:sz w:val="22"/>
          <w:lang w:val="el-GR"/>
        </w:rPr>
        <w:t>placebo</w:t>
      </w:r>
      <w:proofErr w:type="spellEnd"/>
      <w:r w:rsidRPr="002518FB">
        <w:rPr>
          <w:sz w:val="22"/>
          <w:lang w:val="el-GR"/>
        </w:rPr>
        <w:t xml:space="preserve">) </w:t>
      </w:r>
      <w:r w:rsidR="00D65812" w:rsidRPr="002518FB">
        <w:rPr>
          <w:sz w:val="22"/>
          <w:lang w:val="el-GR"/>
        </w:rPr>
        <w:t xml:space="preserve">παιδιατρικές κλινικές μελέτες </w:t>
      </w:r>
      <w:r w:rsidRPr="002518FB">
        <w:rPr>
          <w:sz w:val="22"/>
          <w:lang w:val="el-GR"/>
        </w:rPr>
        <w:t>η κεφαλαλγία, το κ</w:t>
      </w:r>
      <w:r w:rsidR="006D2D93" w:rsidRPr="002518FB">
        <w:rPr>
          <w:sz w:val="22"/>
          <w:lang w:val="el-GR"/>
        </w:rPr>
        <w:t>οιλιακό άλγος</w:t>
      </w:r>
      <w:r w:rsidRPr="002518FB">
        <w:rPr>
          <w:sz w:val="22"/>
          <w:vertAlign w:val="superscript"/>
          <w:lang w:val="el-GR"/>
        </w:rPr>
        <w:t>1</w:t>
      </w:r>
      <w:r w:rsidR="006D2D93" w:rsidRPr="002518FB">
        <w:rPr>
          <w:sz w:val="22"/>
          <w:lang w:val="el-GR"/>
        </w:rPr>
        <w:t xml:space="preserve"> και μειωμένη όρεξη είναι οι ανεπιθύμητες ενέργειες που συσχετίστηκαν πιο συχνά με την </w:t>
      </w:r>
      <w:proofErr w:type="spellStart"/>
      <w:r w:rsidR="006D2D93" w:rsidRPr="002518FB">
        <w:rPr>
          <w:sz w:val="22"/>
          <w:lang w:val="el-GR"/>
        </w:rPr>
        <w:t>ατομοξετίνη</w:t>
      </w:r>
      <w:proofErr w:type="spellEnd"/>
      <w:r w:rsidR="006D2D93" w:rsidRPr="002518FB">
        <w:rPr>
          <w:sz w:val="22"/>
          <w:lang w:val="el-GR"/>
        </w:rPr>
        <w:t xml:space="preserve"> και αναφέρονται περίπου από </w:t>
      </w:r>
      <w:r w:rsidRPr="002518FB">
        <w:rPr>
          <w:sz w:val="22"/>
          <w:lang w:val="el-GR"/>
        </w:rPr>
        <w:t>19</w:t>
      </w:r>
      <w:r w:rsidR="00F73E18" w:rsidRPr="002518FB">
        <w:rPr>
          <w:sz w:val="22"/>
          <w:lang w:val="el-GR"/>
        </w:rPr>
        <w:t xml:space="preserve"> </w:t>
      </w:r>
      <w:r w:rsidRPr="002518FB">
        <w:rPr>
          <w:sz w:val="22"/>
          <w:lang w:val="el-GR"/>
        </w:rPr>
        <w:t xml:space="preserve">%, </w:t>
      </w:r>
      <w:r w:rsidR="006D2D93" w:rsidRPr="002518FB">
        <w:rPr>
          <w:sz w:val="22"/>
          <w:lang w:val="el-GR"/>
        </w:rPr>
        <w:t>18</w:t>
      </w:r>
      <w:r w:rsidR="00F73E18" w:rsidRPr="002518FB">
        <w:rPr>
          <w:sz w:val="22"/>
          <w:lang w:val="el-GR"/>
        </w:rPr>
        <w:t xml:space="preserve"> </w:t>
      </w:r>
      <w:r w:rsidR="006D2D93" w:rsidRPr="002518FB">
        <w:rPr>
          <w:sz w:val="22"/>
          <w:lang w:val="el-GR"/>
        </w:rPr>
        <w:t>% και 16</w:t>
      </w:r>
      <w:r w:rsidR="00F73E18" w:rsidRPr="002518FB">
        <w:rPr>
          <w:sz w:val="22"/>
          <w:lang w:val="el-GR"/>
        </w:rPr>
        <w:t xml:space="preserve"> </w:t>
      </w:r>
      <w:r w:rsidR="006D2D93" w:rsidRPr="002518FB">
        <w:rPr>
          <w:sz w:val="22"/>
          <w:lang w:val="el-GR"/>
        </w:rPr>
        <w:t xml:space="preserve">% των ασθενών, αντίστοιχα, αλλά σπανίως οδήγησαν σε διακοπή του φαρμάκου (ποσοστά διακοπής της αγωγής είναι </w:t>
      </w:r>
      <w:r w:rsidR="006606EB" w:rsidRPr="002518FB">
        <w:rPr>
          <w:sz w:val="22"/>
          <w:lang w:val="el-GR"/>
        </w:rPr>
        <w:t>0</w:t>
      </w:r>
      <w:r w:rsidR="00CF0FE5" w:rsidRPr="002518FB">
        <w:rPr>
          <w:sz w:val="22"/>
          <w:lang w:val="el-GR"/>
        </w:rPr>
        <w:t>,</w:t>
      </w:r>
      <w:r w:rsidR="006606EB" w:rsidRPr="002518FB">
        <w:rPr>
          <w:sz w:val="22"/>
          <w:lang w:val="el-GR"/>
        </w:rPr>
        <w:t>1</w:t>
      </w:r>
      <w:r w:rsidR="00F73E18" w:rsidRPr="002518FB">
        <w:rPr>
          <w:sz w:val="22"/>
          <w:lang w:val="el-GR"/>
        </w:rPr>
        <w:t xml:space="preserve"> </w:t>
      </w:r>
      <w:r w:rsidR="006606EB" w:rsidRPr="002518FB">
        <w:rPr>
          <w:sz w:val="22"/>
          <w:lang w:val="el-GR"/>
        </w:rPr>
        <w:t xml:space="preserve">% για την κεφαλαλγία, </w:t>
      </w:r>
      <w:r w:rsidR="006D2D93" w:rsidRPr="002518FB">
        <w:rPr>
          <w:sz w:val="22"/>
          <w:lang w:val="el-GR"/>
        </w:rPr>
        <w:t>0</w:t>
      </w:r>
      <w:r w:rsidR="00CF0FE5" w:rsidRPr="002518FB">
        <w:rPr>
          <w:sz w:val="22"/>
          <w:lang w:val="el-GR"/>
        </w:rPr>
        <w:t>,</w:t>
      </w:r>
      <w:r w:rsidR="006606EB" w:rsidRPr="002518FB">
        <w:rPr>
          <w:sz w:val="22"/>
          <w:lang w:val="el-GR"/>
        </w:rPr>
        <w:t>2</w:t>
      </w:r>
      <w:r w:rsidR="00F73E18" w:rsidRPr="002518FB">
        <w:rPr>
          <w:sz w:val="22"/>
          <w:lang w:val="el-GR"/>
        </w:rPr>
        <w:t xml:space="preserve"> </w:t>
      </w:r>
      <w:r w:rsidR="006D2D93" w:rsidRPr="002518FB">
        <w:rPr>
          <w:sz w:val="22"/>
          <w:lang w:val="el-GR"/>
        </w:rPr>
        <w:t>% για το κοιλιακό άλγος και 0</w:t>
      </w:r>
      <w:r w:rsidR="00CF0FE5" w:rsidRPr="002518FB">
        <w:rPr>
          <w:sz w:val="22"/>
          <w:lang w:val="el-GR"/>
        </w:rPr>
        <w:t>,</w:t>
      </w:r>
      <w:r w:rsidR="006D2D93" w:rsidRPr="002518FB">
        <w:rPr>
          <w:sz w:val="22"/>
          <w:lang w:val="el-GR"/>
        </w:rPr>
        <w:t>0</w:t>
      </w:r>
      <w:r w:rsidR="00F73E18" w:rsidRPr="002518FB">
        <w:rPr>
          <w:sz w:val="22"/>
          <w:lang w:val="el-GR"/>
        </w:rPr>
        <w:t xml:space="preserve"> </w:t>
      </w:r>
      <w:r w:rsidR="006D2D93" w:rsidRPr="002518FB">
        <w:rPr>
          <w:sz w:val="22"/>
          <w:lang w:val="el-GR"/>
        </w:rPr>
        <w:t xml:space="preserve">% για τη μειωμένη όρεξη). </w:t>
      </w:r>
      <w:r w:rsidR="00551767" w:rsidRPr="002518FB">
        <w:rPr>
          <w:sz w:val="22"/>
          <w:lang w:val="el-GR"/>
        </w:rPr>
        <w:t xml:space="preserve">Το κοιλιακό άλγος και η μειωμένη όρεξη </w:t>
      </w:r>
      <w:r w:rsidR="006D2D93" w:rsidRPr="002518FB">
        <w:rPr>
          <w:sz w:val="22"/>
          <w:lang w:val="el-GR"/>
        </w:rPr>
        <w:t>είναι συνήθως παροδικές.</w:t>
      </w:r>
      <w:r w:rsidR="006D2D93" w:rsidRPr="002518FB">
        <w:rPr>
          <w:strike/>
          <w:sz w:val="22"/>
          <w:lang w:val="el-GR"/>
        </w:rPr>
        <w:t xml:space="preserve">  </w:t>
      </w:r>
    </w:p>
    <w:p w:rsidR="001B5EA8" w:rsidRPr="002518FB" w:rsidRDefault="001B5EA8">
      <w:pPr>
        <w:rPr>
          <w:sz w:val="22"/>
          <w:lang w:val="el-GR"/>
        </w:rPr>
      </w:pPr>
    </w:p>
    <w:p w:rsidR="006D2D93" w:rsidRPr="002518FB" w:rsidRDefault="006D2D93">
      <w:pPr>
        <w:rPr>
          <w:sz w:val="22"/>
          <w:lang w:val="el-GR"/>
        </w:rPr>
      </w:pPr>
      <w:r w:rsidRPr="002518FB">
        <w:rPr>
          <w:sz w:val="22"/>
          <w:lang w:val="el-GR"/>
        </w:rPr>
        <w:t xml:space="preserve">Σε συσχετισμό με τη μειωμένη όρεξη, ορισμένοι ασθενείς </w:t>
      </w:r>
      <w:r w:rsidR="00E334B1" w:rsidRPr="002518FB">
        <w:rPr>
          <w:sz w:val="22"/>
          <w:lang w:val="el-GR"/>
        </w:rPr>
        <w:t xml:space="preserve">παρουσίασαν καθυστερημένη ανάπτυξη </w:t>
      </w:r>
      <w:r w:rsidRPr="002518FB">
        <w:rPr>
          <w:sz w:val="22"/>
          <w:lang w:val="el-GR"/>
        </w:rPr>
        <w:t xml:space="preserve">στην έναρξη της θεραπείας </w:t>
      </w:r>
      <w:r w:rsidR="00E334B1" w:rsidRPr="002518FB">
        <w:rPr>
          <w:sz w:val="22"/>
          <w:lang w:val="el-GR"/>
        </w:rPr>
        <w:t xml:space="preserve">τόσο </w:t>
      </w:r>
      <w:r w:rsidR="00533059" w:rsidRPr="002518FB">
        <w:rPr>
          <w:sz w:val="22"/>
          <w:lang w:val="el-GR"/>
        </w:rPr>
        <w:t>σ</w:t>
      </w:r>
      <w:r w:rsidR="00E334B1" w:rsidRPr="002518FB">
        <w:rPr>
          <w:sz w:val="22"/>
          <w:lang w:val="el-GR"/>
        </w:rPr>
        <w:t xml:space="preserve">την αύξηση </w:t>
      </w:r>
      <w:r w:rsidR="00EB218C" w:rsidRPr="002518FB">
        <w:rPr>
          <w:sz w:val="22"/>
          <w:lang w:val="el-GR"/>
        </w:rPr>
        <w:t xml:space="preserve">του </w:t>
      </w:r>
      <w:r w:rsidR="00E334B1" w:rsidRPr="002518FB">
        <w:rPr>
          <w:sz w:val="22"/>
          <w:lang w:val="el-GR"/>
        </w:rPr>
        <w:t xml:space="preserve">σωματικού βάρους όσο και </w:t>
      </w:r>
      <w:r w:rsidR="00533059" w:rsidRPr="002518FB">
        <w:rPr>
          <w:sz w:val="22"/>
          <w:lang w:val="el-GR"/>
        </w:rPr>
        <w:t>σ</w:t>
      </w:r>
      <w:r w:rsidR="00E334B1" w:rsidRPr="002518FB">
        <w:rPr>
          <w:sz w:val="22"/>
          <w:lang w:val="el-GR"/>
        </w:rPr>
        <w:t>την αύξηση ύψους</w:t>
      </w:r>
      <w:r w:rsidRPr="002518FB">
        <w:rPr>
          <w:sz w:val="22"/>
          <w:lang w:val="el-GR"/>
        </w:rPr>
        <w:t xml:space="preserve">. </w:t>
      </w:r>
      <w:r w:rsidR="00E334B1" w:rsidRPr="002518FB">
        <w:rPr>
          <w:sz w:val="22"/>
          <w:lang w:val="el-GR"/>
        </w:rPr>
        <w:t>Κατά μέσο όρο, μ</w:t>
      </w:r>
      <w:r w:rsidRPr="002518FB">
        <w:rPr>
          <w:sz w:val="22"/>
          <w:lang w:val="el-GR"/>
        </w:rPr>
        <w:t>ετά από μία αρχική μείωση του σωματικού βάρους</w:t>
      </w:r>
      <w:r w:rsidR="00E334B1" w:rsidRPr="002518FB">
        <w:rPr>
          <w:sz w:val="22"/>
          <w:lang w:val="el-GR"/>
        </w:rPr>
        <w:t xml:space="preserve"> και </w:t>
      </w:r>
      <w:r w:rsidR="00465879">
        <w:rPr>
          <w:sz w:val="22"/>
          <w:lang w:val="el-GR"/>
        </w:rPr>
        <w:t xml:space="preserve">αύξηση </w:t>
      </w:r>
      <w:r w:rsidR="00EB218C" w:rsidRPr="002518FB">
        <w:rPr>
          <w:sz w:val="22"/>
          <w:lang w:val="el-GR"/>
        </w:rPr>
        <w:t xml:space="preserve">του </w:t>
      </w:r>
      <w:r w:rsidR="00E334B1" w:rsidRPr="002518FB">
        <w:rPr>
          <w:sz w:val="22"/>
          <w:lang w:val="el-GR"/>
        </w:rPr>
        <w:t>ύψους</w:t>
      </w:r>
      <w:r w:rsidRPr="002518FB">
        <w:rPr>
          <w:sz w:val="22"/>
          <w:lang w:val="el-GR"/>
        </w:rPr>
        <w:t xml:space="preserve">, οι ασθενείς που έλαβαν </w:t>
      </w:r>
      <w:proofErr w:type="spellStart"/>
      <w:r w:rsidRPr="002518FB">
        <w:rPr>
          <w:sz w:val="22"/>
          <w:lang w:val="el-GR"/>
        </w:rPr>
        <w:t>ατομοξετίνη</w:t>
      </w:r>
      <w:proofErr w:type="spellEnd"/>
      <w:r w:rsidRPr="002518FB">
        <w:rPr>
          <w:sz w:val="22"/>
          <w:lang w:val="el-GR"/>
        </w:rPr>
        <w:t xml:space="preserve"> </w:t>
      </w:r>
      <w:r w:rsidR="00E334B1" w:rsidRPr="002518FB">
        <w:rPr>
          <w:sz w:val="22"/>
          <w:lang w:val="el-GR"/>
        </w:rPr>
        <w:t xml:space="preserve">ανέκτησαν </w:t>
      </w:r>
      <w:r w:rsidR="003F6D20" w:rsidRPr="002518FB">
        <w:rPr>
          <w:sz w:val="22"/>
          <w:lang w:val="el-GR"/>
        </w:rPr>
        <w:t>το μέσο</w:t>
      </w:r>
      <w:r w:rsidRPr="002518FB">
        <w:rPr>
          <w:sz w:val="22"/>
          <w:lang w:val="el-GR"/>
        </w:rPr>
        <w:t xml:space="preserve"> </w:t>
      </w:r>
      <w:r w:rsidR="003F6D20" w:rsidRPr="002518FB">
        <w:rPr>
          <w:sz w:val="22"/>
          <w:lang w:val="el-GR"/>
        </w:rPr>
        <w:t xml:space="preserve">σωματικό </w:t>
      </w:r>
      <w:r w:rsidRPr="002518FB">
        <w:rPr>
          <w:sz w:val="22"/>
          <w:lang w:val="el-GR"/>
        </w:rPr>
        <w:t xml:space="preserve">βάρος </w:t>
      </w:r>
      <w:r w:rsidR="00E334B1" w:rsidRPr="002518FB">
        <w:rPr>
          <w:sz w:val="22"/>
          <w:lang w:val="el-GR"/>
        </w:rPr>
        <w:t xml:space="preserve">και ύψος όπως προβλέπεται </w:t>
      </w:r>
      <w:r w:rsidR="008B6E61" w:rsidRPr="002518FB">
        <w:rPr>
          <w:sz w:val="22"/>
          <w:lang w:val="el-GR"/>
        </w:rPr>
        <w:t xml:space="preserve">από τα αρχικά ομαδικά δεδομένα </w:t>
      </w:r>
      <w:r w:rsidRPr="002518FB">
        <w:rPr>
          <w:sz w:val="22"/>
          <w:lang w:val="el-GR"/>
        </w:rPr>
        <w:t>τη</w:t>
      </w:r>
      <w:r w:rsidR="00C66030" w:rsidRPr="002518FB">
        <w:rPr>
          <w:sz w:val="22"/>
          <w:lang w:val="el-GR"/>
        </w:rPr>
        <w:t>ς</w:t>
      </w:r>
      <w:r w:rsidRPr="002518FB">
        <w:rPr>
          <w:sz w:val="22"/>
          <w:lang w:val="el-GR"/>
        </w:rPr>
        <w:t xml:space="preserve"> μακροχρόνια</w:t>
      </w:r>
      <w:r w:rsidR="00C66030" w:rsidRPr="002518FB">
        <w:rPr>
          <w:sz w:val="22"/>
          <w:lang w:val="el-GR"/>
        </w:rPr>
        <w:t>ς</w:t>
      </w:r>
      <w:r w:rsidRPr="002518FB">
        <w:rPr>
          <w:sz w:val="22"/>
          <w:lang w:val="el-GR"/>
        </w:rPr>
        <w:t xml:space="preserve"> θεραπεία</w:t>
      </w:r>
      <w:r w:rsidR="00C66030" w:rsidRPr="002518FB">
        <w:rPr>
          <w:sz w:val="22"/>
          <w:lang w:val="el-GR"/>
        </w:rPr>
        <w:t>ς</w:t>
      </w:r>
      <w:r w:rsidRPr="002518FB">
        <w:rPr>
          <w:sz w:val="22"/>
          <w:lang w:val="el-GR"/>
        </w:rPr>
        <w:t xml:space="preserve">. </w:t>
      </w:r>
    </w:p>
    <w:p w:rsidR="00E334B1" w:rsidRPr="002518FB" w:rsidRDefault="00E334B1" w:rsidP="00E334B1">
      <w:pPr>
        <w:rPr>
          <w:szCs w:val="22"/>
          <w:lang w:val="el-GR"/>
        </w:rPr>
      </w:pPr>
    </w:p>
    <w:p w:rsidR="006D2D93" w:rsidRPr="002518FB" w:rsidRDefault="006D2D93">
      <w:pPr>
        <w:pStyle w:val="BodyText"/>
        <w:rPr>
          <w:bCs w:val="0"/>
          <w:iCs w:val="0"/>
          <w:lang w:val="el-GR"/>
        </w:rPr>
      </w:pPr>
      <w:r w:rsidRPr="002518FB">
        <w:rPr>
          <w:bCs w:val="0"/>
          <w:iCs w:val="0"/>
          <w:lang w:val="el-GR"/>
        </w:rPr>
        <w:t>Ναυτία</w:t>
      </w:r>
      <w:r w:rsidR="00D65812" w:rsidRPr="002518FB">
        <w:rPr>
          <w:bCs w:val="0"/>
          <w:iCs w:val="0"/>
          <w:lang w:val="el-GR"/>
        </w:rPr>
        <w:t>,</w:t>
      </w:r>
      <w:r w:rsidRPr="002518FB">
        <w:rPr>
          <w:bCs w:val="0"/>
          <w:iCs w:val="0"/>
          <w:lang w:val="el-GR"/>
        </w:rPr>
        <w:t xml:space="preserve"> έμετος</w:t>
      </w:r>
      <w:r w:rsidR="00D65812" w:rsidRPr="002518FB">
        <w:rPr>
          <w:bCs w:val="0"/>
          <w:iCs w:val="0"/>
          <w:lang w:val="el-GR"/>
        </w:rPr>
        <w:t xml:space="preserve"> και η υπνηλία</w:t>
      </w:r>
      <w:r w:rsidR="00D65812" w:rsidRPr="002518FB">
        <w:rPr>
          <w:bCs w:val="0"/>
          <w:iCs w:val="0"/>
          <w:vertAlign w:val="superscript"/>
          <w:lang w:val="el-GR"/>
        </w:rPr>
        <w:t>2</w:t>
      </w:r>
      <w:r w:rsidRPr="002518FB">
        <w:rPr>
          <w:bCs w:val="0"/>
          <w:iCs w:val="0"/>
          <w:lang w:val="el-GR"/>
        </w:rPr>
        <w:t xml:space="preserve"> μπορεί να εκδηλωθούν σε ποσοστό περίπου </w:t>
      </w:r>
      <w:r w:rsidR="00D65812" w:rsidRPr="002518FB">
        <w:rPr>
          <w:bCs w:val="0"/>
          <w:iCs w:val="0"/>
          <w:lang w:val="el-GR"/>
        </w:rPr>
        <w:t>10</w:t>
      </w:r>
      <w:r w:rsidR="00F73E18" w:rsidRPr="002518FB">
        <w:rPr>
          <w:bCs w:val="0"/>
          <w:iCs w:val="0"/>
          <w:lang w:val="el-GR"/>
        </w:rPr>
        <w:t xml:space="preserve"> </w:t>
      </w:r>
      <w:r w:rsidRPr="002518FB">
        <w:rPr>
          <w:bCs w:val="0"/>
          <w:iCs w:val="0"/>
          <w:lang w:val="el-GR"/>
        </w:rPr>
        <w:t xml:space="preserve">% </w:t>
      </w:r>
      <w:r w:rsidR="00D65812" w:rsidRPr="002518FB">
        <w:rPr>
          <w:bCs w:val="0"/>
          <w:iCs w:val="0"/>
          <w:lang w:val="el-GR"/>
        </w:rPr>
        <w:t xml:space="preserve">έως </w:t>
      </w:r>
      <w:r w:rsidRPr="002518FB">
        <w:rPr>
          <w:bCs w:val="0"/>
          <w:iCs w:val="0"/>
          <w:lang w:val="el-GR"/>
        </w:rPr>
        <w:t>11</w:t>
      </w:r>
      <w:r w:rsidR="00F73E18" w:rsidRPr="002518FB">
        <w:rPr>
          <w:bCs w:val="0"/>
          <w:iCs w:val="0"/>
          <w:lang w:val="el-GR"/>
        </w:rPr>
        <w:t xml:space="preserve"> </w:t>
      </w:r>
      <w:r w:rsidRPr="002518FB">
        <w:rPr>
          <w:bCs w:val="0"/>
          <w:iCs w:val="0"/>
          <w:lang w:val="el-GR"/>
        </w:rPr>
        <w:t xml:space="preserve">% </w:t>
      </w:r>
      <w:r w:rsidRPr="002518FB">
        <w:rPr>
          <w:lang w:val="el-GR"/>
        </w:rPr>
        <w:t xml:space="preserve">των ασθενών, </w:t>
      </w:r>
      <w:r w:rsidRPr="002518FB">
        <w:rPr>
          <w:bCs w:val="0"/>
          <w:iCs w:val="0"/>
          <w:lang w:val="el-GR"/>
        </w:rPr>
        <w:t xml:space="preserve">ιδιαίτερα κατά τη διάρκεια του πρώτου μήνα της θεραπείας. Ωστόσο, τα </w:t>
      </w:r>
      <w:proofErr w:type="spellStart"/>
      <w:r w:rsidRPr="002518FB">
        <w:rPr>
          <w:bCs w:val="0"/>
          <w:iCs w:val="0"/>
          <w:lang w:val="el-GR"/>
        </w:rPr>
        <w:t>συμβάματα</w:t>
      </w:r>
      <w:proofErr w:type="spellEnd"/>
      <w:r w:rsidRPr="002518FB">
        <w:rPr>
          <w:bCs w:val="0"/>
          <w:iCs w:val="0"/>
          <w:lang w:val="el-GR"/>
        </w:rPr>
        <w:t xml:space="preserve"> αυτά ήταν συνήθως ήπιας έως μέτριας βαρύτητας και παροδικά, ενώ δεν επέφεραν σημαντικό αριθμό διακοπής της θεραπευτ</w:t>
      </w:r>
      <w:r w:rsidR="00F73E18" w:rsidRPr="002518FB">
        <w:rPr>
          <w:bCs w:val="0"/>
          <w:iCs w:val="0"/>
          <w:lang w:val="el-GR"/>
        </w:rPr>
        <w:t>ικής αγωγής (ποσοστ</w:t>
      </w:r>
      <w:r w:rsidR="00D65812" w:rsidRPr="002518FB">
        <w:rPr>
          <w:bCs w:val="0"/>
          <w:iCs w:val="0"/>
          <w:lang w:val="el-GR"/>
        </w:rPr>
        <w:t>ά</w:t>
      </w:r>
      <w:r w:rsidR="00F73E18" w:rsidRPr="002518FB">
        <w:rPr>
          <w:bCs w:val="0"/>
          <w:iCs w:val="0"/>
          <w:lang w:val="el-GR"/>
        </w:rPr>
        <w:t xml:space="preserve"> διακοπής </w:t>
      </w:r>
      <w:r w:rsidR="000F3434" w:rsidRPr="002518FB">
        <w:rPr>
          <w:lang w:val="el-GR"/>
        </w:rPr>
        <w:sym w:font="Symbol" w:char="F0A3"/>
      </w:r>
      <w:r w:rsidR="006A7C4C" w:rsidRPr="002518FB">
        <w:rPr>
          <w:szCs w:val="22"/>
          <w:lang w:val="el-GR"/>
        </w:rPr>
        <w:t xml:space="preserve"> </w:t>
      </w:r>
      <w:r w:rsidR="00F73E18" w:rsidRPr="002518FB">
        <w:rPr>
          <w:bCs w:val="0"/>
          <w:iCs w:val="0"/>
          <w:lang w:val="el-GR"/>
        </w:rPr>
        <w:t>0</w:t>
      </w:r>
      <w:r w:rsidR="00CF0FE5" w:rsidRPr="002518FB">
        <w:rPr>
          <w:bCs w:val="0"/>
          <w:iCs w:val="0"/>
          <w:lang w:val="el-GR"/>
        </w:rPr>
        <w:t>,</w:t>
      </w:r>
      <w:r w:rsidRPr="002518FB">
        <w:rPr>
          <w:bCs w:val="0"/>
          <w:iCs w:val="0"/>
          <w:lang w:val="el-GR"/>
        </w:rPr>
        <w:t>5</w:t>
      </w:r>
      <w:r w:rsidR="00F73E18" w:rsidRPr="002518FB">
        <w:rPr>
          <w:bCs w:val="0"/>
          <w:iCs w:val="0"/>
          <w:lang w:val="el-GR"/>
        </w:rPr>
        <w:t xml:space="preserve"> </w:t>
      </w:r>
      <w:r w:rsidRPr="002518FB">
        <w:rPr>
          <w:bCs w:val="0"/>
          <w:iCs w:val="0"/>
          <w:lang w:val="el-GR"/>
        </w:rPr>
        <w:t xml:space="preserve">%). </w:t>
      </w:r>
    </w:p>
    <w:p w:rsidR="006D2D93" w:rsidRPr="002518FB" w:rsidRDefault="006D2D93">
      <w:pPr>
        <w:rPr>
          <w:sz w:val="22"/>
          <w:lang w:val="el-GR"/>
        </w:rPr>
      </w:pPr>
    </w:p>
    <w:p w:rsidR="006F6C51" w:rsidRPr="002518FB" w:rsidRDefault="000672DC" w:rsidP="000672DC">
      <w:pPr>
        <w:rPr>
          <w:sz w:val="22"/>
          <w:lang w:val="el-GR"/>
        </w:rPr>
      </w:pPr>
      <w:r w:rsidRPr="002518FB">
        <w:rPr>
          <w:sz w:val="22"/>
          <w:lang w:val="el-GR"/>
        </w:rPr>
        <w:t xml:space="preserve">Τόσο </w:t>
      </w:r>
      <w:r w:rsidR="006A7C4C" w:rsidRPr="002518FB">
        <w:rPr>
          <w:sz w:val="22"/>
          <w:lang w:val="el-GR"/>
        </w:rPr>
        <w:t>στις</w:t>
      </w:r>
      <w:r w:rsidR="006D2D93" w:rsidRPr="002518FB">
        <w:rPr>
          <w:sz w:val="22"/>
          <w:lang w:val="el-GR"/>
        </w:rPr>
        <w:t xml:space="preserve"> παιδιατρικές </w:t>
      </w:r>
      <w:r w:rsidRPr="002518FB">
        <w:rPr>
          <w:sz w:val="22"/>
          <w:lang w:val="el-GR"/>
        </w:rPr>
        <w:t xml:space="preserve">όσο </w:t>
      </w:r>
      <w:r w:rsidR="006A7C4C" w:rsidRPr="002518FB">
        <w:rPr>
          <w:sz w:val="22"/>
          <w:lang w:val="el-GR"/>
        </w:rPr>
        <w:t xml:space="preserve">και στις εφηβικές </w:t>
      </w:r>
      <w:r w:rsidR="006D2D93" w:rsidRPr="002518FB">
        <w:rPr>
          <w:sz w:val="22"/>
          <w:lang w:val="el-GR"/>
        </w:rPr>
        <w:t>ελεγχόμενες με εικονικό φάρμακο κλινικές μελέτες,</w:t>
      </w:r>
      <w:r w:rsidRPr="002518FB">
        <w:rPr>
          <w:sz w:val="22"/>
          <w:lang w:val="el-GR"/>
        </w:rPr>
        <w:t xml:space="preserve"> </w:t>
      </w:r>
      <w:r w:rsidR="006D2D93" w:rsidRPr="002518FB">
        <w:rPr>
          <w:sz w:val="22"/>
          <w:lang w:val="el-GR"/>
        </w:rPr>
        <w:t xml:space="preserve">οι ασθενείς που έλαβαν </w:t>
      </w:r>
      <w:proofErr w:type="spellStart"/>
      <w:r w:rsidR="006D2D93" w:rsidRPr="002518FB">
        <w:rPr>
          <w:sz w:val="22"/>
          <w:lang w:val="el-GR"/>
        </w:rPr>
        <w:t>ατομοξετίνη</w:t>
      </w:r>
      <w:proofErr w:type="spellEnd"/>
      <w:r w:rsidR="006D2D93" w:rsidRPr="002518FB">
        <w:rPr>
          <w:sz w:val="22"/>
          <w:lang w:val="el-GR"/>
        </w:rPr>
        <w:t xml:space="preserve"> παρουσίασαν αύξηση </w:t>
      </w:r>
      <w:r w:rsidR="00215F16" w:rsidRPr="002518FB">
        <w:rPr>
          <w:sz w:val="22"/>
          <w:lang w:val="el-GR"/>
        </w:rPr>
        <w:t>του</w:t>
      </w:r>
      <w:r w:rsidR="006D2D93" w:rsidRPr="002518FB">
        <w:rPr>
          <w:sz w:val="22"/>
          <w:lang w:val="el-GR"/>
        </w:rPr>
        <w:t xml:space="preserve"> καρδιακ</w:t>
      </w:r>
      <w:r w:rsidR="00215F16" w:rsidRPr="002518FB">
        <w:rPr>
          <w:sz w:val="22"/>
          <w:lang w:val="el-GR"/>
        </w:rPr>
        <w:t>ού</w:t>
      </w:r>
      <w:r w:rsidR="006D2D93" w:rsidRPr="002518FB">
        <w:rPr>
          <w:sz w:val="22"/>
          <w:lang w:val="el-GR"/>
        </w:rPr>
        <w:t xml:space="preserve"> </w:t>
      </w:r>
      <w:r w:rsidR="00215F16" w:rsidRPr="002518FB">
        <w:rPr>
          <w:sz w:val="22"/>
          <w:lang w:val="el-GR"/>
        </w:rPr>
        <w:t>ρυθμού</w:t>
      </w:r>
      <w:r w:rsidR="006A7C4C" w:rsidRPr="002518FB">
        <w:rPr>
          <w:sz w:val="22"/>
          <w:lang w:val="el-GR"/>
        </w:rPr>
        <w:t>,</w:t>
      </w:r>
      <w:r w:rsidR="006D2D93" w:rsidRPr="002518FB">
        <w:rPr>
          <w:sz w:val="22"/>
          <w:lang w:val="el-GR"/>
        </w:rPr>
        <w:t xml:space="preserve"> </w:t>
      </w:r>
      <w:r w:rsidR="006F6C51" w:rsidRPr="002518FB">
        <w:rPr>
          <w:sz w:val="22"/>
          <w:lang w:val="el-GR"/>
        </w:rPr>
        <w:t>της</w:t>
      </w:r>
      <w:r w:rsidRPr="002518FB">
        <w:rPr>
          <w:sz w:val="22"/>
          <w:lang w:val="el-GR"/>
        </w:rPr>
        <w:t xml:space="preserve"> </w:t>
      </w:r>
      <w:r w:rsidR="006D2D93" w:rsidRPr="002518FB">
        <w:rPr>
          <w:sz w:val="22"/>
          <w:lang w:val="el-GR"/>
        </w:rPr>
        <w:t>συστολικής και της διαστολικής αρτηριακής πίεσης</w:t>
      </w:r>
      <w:r w:rsidR="006A7C4C" w:rsidRPr="002518FB">
        <w:rPr>
          <w:sz w:val="22"/>
          <w:lang w:val="el-GR"/>
        </w:rPr>
        <w:t xml:space="preserve"> (βλέπε παράγραφο 4.4</w:t>
      </w:r>
      <w:r w:rsidR="006F6C51" w:rsidRPr="002518FB">
        <w:rPr>
          <w:sz w:val="22"/>
          <w:lang w:val="el-GR"/>
        </w:rPr>
        <w:t>).</w:t>
      </w:r>
    </w:p>
    <w:p w:rsidR="006A7C4C" w:rsidRPr="002518FB" w:rsidRDefault="006A7C4C">
      <w:pPr>
        <w:rPr>
          <w:sz w:val="22"/>
          <w:lang w:val="el-GR"/>
        </w:rPr>
      </w:pPr>
    </w:p>
    <w:p w:rsidR="00D65812" w:rsidRPr="002518FB" w:rsidRDefault="006D2D93">
      <w:pPr>
        <w:rPr>
          <w:sz w:val="22"/>
          <w:lang w:val="el-GR"/>
        </w:rPr>
      </w:pPr>
      <w:r w:rsidRPr="002518FB">
        <w:rPr>
          <w:sz w:val="22"/>
          <w:lang w:val="el-GR"/>
        </w:rPr>
        <w:t xml:space="preserve">Λόγω της επίδρασης στον </w:t>
      </w:r>
      <w:proofErr w:type="spellStart"/>
      <w:r w:rsidRPr="002518FB">
        <w:rPr>
          <w:sz w:val="22"/>
          <w:lang w:val="el-GR"/>
        </w:rPr>
        <w:t>νοραδρενεργικό</w:t>
      </w:r>
      <w:proofErr w:type="spellEnd"/>
      <w:r w:rsidRPr="002518FB">
        <w:rPr>
          <w:sz w:val="22"/>
          <w:lang w:val="el-GR"/>
        </w:rPr>
        <w:t xml:space="preserve"> τόνο έχει αναφερθεί </w:t>
      </w:r>
      <w:proofErr w:type="spellStart"/>
      <w:r w:rsidRPr="002518FB">
        <w:rPr>
          <w:sz w:val="22"/>
          <w:lang w:val="el-GR"/>
        </w:rPr>
        <w:t>ορθοστατική</w:t>
      </w:r>
      <w:proofErr w:type="spellEnd"/>
      <w:r w:rsidRPr="002518FB">
        <w:rPr>
          <w:sz w:val="22"/>
          <w:lang w:val="el-GR"/>
        </w:rPr>
        <w:t xml:space="preserve"> υπότ</w:t>
      </w:r>
      <w:r w:rsidR="00D65812" w:rsidRPr="002518FB">
        <w:rPr>
          <w:sz w:val="22"/>
          <w:lang w:val="el-GR"/>
        </w:rPr>
        <w:t xml:space="preserve">αση </w:t>
      </w:r>
    </w:p>
    <w:p w:rsidR="006D2D93" w:rsidRPr="002518FB" w:rsidRDefault="00CF0FE5">
      <w:pPr>
        <w:rPr>
          <w:sz w:val="22"/>
          <w:lang w:val="el-GR"/>
        </w:rPr>
      </w:pPr>
      <w:r w:rsidRPr="002518FB">
        <w:rPr>
          <w:sz w:val="22"/>
          <w:lang w:val="el-GR"/>
        </w:rPr>
        <w:t>(0,</w:t>
      </w:r>
      <w:r w:rsidR="006D2D93" w:rsidRPr="002518FB">
        <w:rPr>
          <w:sz w:val="22"/>
          <w:lang w:val="el-GR"/>
        </w:rPr>
        <w:t>2</w:t>
      </w:r>
      <w:r w:rsidR="00D65812" w:rsidRPr="002518FB">
        <w:rPr>
          <w:sz w:val="22"/>
          <w:lang w:val="el-GR"/>
        </w:rPr>
        <w:t xml:space="preserve"> </w:t>
      </w:r>
      <w:r w:rsidR="006D2D93" w:rsidRPr="002518FB">
        <w:rPr>
          <w:sz w:val="22"/>
          <w:lang w:val="el-GR"/>
        </w:rPr>
        <w:t>%</w:t>
      </w:r>
      <w:r w:rsidRPr="002518FB">
        <w:rPr>
          <w:sz w:val="22"/>
          <w:lang w:val="el-GR"/>
        </w:rPr>
        <w:t>) και λιποθυμικό επεισόδιο (0,</w:t>
      </w:r>
      <w:r w:rsidR="006D2D93" w:rsidRPr="002518FB">
        <w:rPr>
          <w:sz w:val="22"/>
          <w:lang w:val="el-GR"/>
        </w:rPr>
        <w:t>8</w:t>
      </w:r>
      <w:r w:rsidR="00D65812" w:rsidRPr="002518FB">
        <w:rPr>
          <w:sz w:val="22"/>
          <w:lang w:val="el-GR"/>
        </w:rPr>
        <w:t xml:space="preserve"> </w:t>
      </w:r>
      <w:r w:rsidR="006D2D93" w:rsidRPr="002518FB">
        <w:rPr>
          <w:sz w:val="22"/>
          <w:lang w:val="el-GR"/>
        </w:rPr>
        <w:t xml:space="preserve">%) σε ασθενείς που έλαβαν </w:t>
      </w:r>
      <w:proofErr w:type="spellStart"/>
      <w:r w:rsidR="006D2D93" w:rsidRPr="002518FB">
        <w:rPr>
          <w:sz w:val="22"/>
          <w:lang w:val="el-GR"/>
        </w:rPr>
        <w:t>ατομοξετίνη</w:t>
      </w:r>
      <w:proofErr w:type="spellEnd"/>
      <w:r w:rsidR="006D2D93" w:rsidRPr="002518FB">
        <w:rPr>
          <w:sz w:val="22"/>
          <w:lang w:val="el-GR"/>
        </w:rPr>
        <w:t xml:space="preserve">. Η </w:t>
      </w:r>
      <w:proofErr w:type="spellStart"/>
      <w:r w:rsidR="006D2D93" w:rsidRPr="002518FB">
        <w:rPr>
          <w:sz w:val="22"/>
          <w:lang w:val="el-GR"/>
        </w:rPr>
        <w:t>ατομοξετίνη</w:t>
      </w:r>
      <w:proofErr w:type="spellEnd"/>
      <w:r w:rsidR="006D2D93" w:rsidRPr="002518FB">
        <w:rPr>
          <w:sz w:val="22"/>
          <w:lang w:val="el-GR"/>
        </w:rPr>
        <w:t xml:space="preserve"> πρέπει να χορηγείται με προσοχή σε οποιαδήποτε κατάσταση που ενδέχεται να προδιαθέτει για εμφάνιση υπότασης.</w:t>
      </w:r>
    </w:p>
    <w:p w:rsidR="006D2D93" w:rsidRPr="002518FB" w:rsidRDefault="006D2D93">
      <w:pPr>
        <w:rPr>
          <w:iCs/>
          <w:snapToGrid w:val="0"/>
          <w:sz w:val="22"/>
          <w:lang w:val="el-GR"/>
        </w:rPr>
      </w:pPr>
    </w:p>
    <w:p w:rsidR="00D73CB1" w:rsidRPr="002518FB" w:rsidRDefault="00D73CB1" w:rsidP="00D73CB1">
      <w:pPr>
        <w:pStyle w:val="BodyText"/>
        <w:rPr>
          <w:bCs w:val="0"/>
          <w:iCs w:val="0"/>
          <w:lang w:val="el-GR"/>
        </w:rPr>
      </w:pPr>
      <w:r w:rsidRPr="002518FB">
        <w:rPr>
          <w:bCs w:val="0"/>
          <w:iCs w:val="0"/>
          <w:lang w:val="el-GR"/>
        </w:rPr>
        <w:t>Ο ακόλουθος πίνακας ανεπιθύμητων ενεργειών βασίζεται στην αναφορά ανεπιθύμητων ενεργειών και στις εργαστηριακές έρευνες από κλινικές μελέτες καθώς και στις αυθόρμητες αναφορές</w:t>
      </w:r>
      <w:r w:rsidR="00714779" w:rsidRPr="002518FB">
        <w:rPr>
          <w:bCs w:val="0"/>
          <w:iCs w:val="0"/>
          <w:lang w:val="el-GR"/>
        </w:rPr>
        <w:t>,</w:t>
      </w:r>
      <w:r w:rsidRPr="002518FB">
        <w:rPr>
          <w:bCs w:val="0"/>
          <w:iCs w:val="0"/>
          <w:lang w:val="el-GR"/>
        </w:rPr>
        <w:t xml:space="preserve"> </w:t>
      </w:r>
      <w:r w:rsidR="008635BC" w:rsidRPr="002518FB">
        <w:rPr>
          <w:bCs w:val="0"/>
          <w:iCs w:val="0"/>
          <w:lang w:val="el-GR"/>
        </w:rPr>
        <w:t>μετά την κυκλοφορία του προϊόντος</w:t>
      </w:r>
      <w:r w:rsidR="00714779" w:rsidRPr="002518FB">
        <w:rPr>
          <w:bCs w:val="0"/>
          <w:iCs w:val="0"/>
          <w:lang w:val="el-GR"/>
        </w:rPr>
        <w:t>,</w:t>
      </w:r>
      <w:r w:rsidR="008635BC" w:rsidRPr="002518FB">
        <w:rPr>
          <w:bCs w:val="0"/>
          <w:iCs w:val="0"/>
          <w:lang w:val="el-GR"/>
        </w:rPr>
        <w:t xml:space="preserve"> </w:t>
      </w:r>
      <w:r w:rsidRPr="002518FB">
        <w:rPr>
          <w:bCs w:val="0"/>
          <w:iCs w:val="0"/>
          <w:lang w:val="el-GR"/>
        </w:rPr>
        <w:t>από παιδιά</w:t>
      </w:r>
      <w:r w:rsidR="008635BC" w:rsidRPr="002518FB">
        <w:rPr>
          <w:bCs w:val="0"/>
          <w:iCs w:val="0"/>
          <w:lang w:val="el-GR"/>
        </w:rPr>
        <w:t xml:space="preserve"> και </w:t>
      </w:r>
      <w:r w:rsidRPr="002518FB">
        <w:rPr>
          <w:bCs w:val="0"/>
          <w:iCs w:val="0"/>
          <w:lang w:val="el-GR"/>
        </w:rPr>
        <w:t>εφήβους:</w:t>
      </w:r>
    </w:p>
    <w:p w:rsidR="00D73CB1" w:rsidRPr="002518FB" w:rsidRDefault="00D73CB1" w:rsidP="00D73CB1">
      <w:pPr>
        <w:pStyle w:val="BodyText"/>
        <w:rPr>
          <w:bCs w:val="0"/>
          <w:iCs w:val="0"/>
          <w:lang w:val="el-GR"/>
        </w:rPr>
      </w:pPr>
    </w:p>
    <w:p w:rsidR="00D73CB1" w:rsidRPr="002518FB" w:rsidRDefault="00D73CB1" w:rsidP="00D73CB1">
      <w:pPr>
        <w:pStyle w:val="BodyText"/>
        <w:rPr>
          <w:bCs w:val="0"/>
          <w:i/>
          <w:iCs w:val="0"/>
          <w:u w:val="single"/>
          <w:lang w:val="el-GR"/>
        </w:rPr>
      </w:pPr>
      <w:r w:rsidRPr="002518FB">
        <w:rPr>
          <w:bCs w:val="0"/>
          <w:i/>
          <w:iCs w:val="0"/>
          <w:u w:val="single"/>
          <w:lang w:val="el-GR"/>
        </w:rPr>
        <w:t>Πίνακας: Ανεπιθύμητες Ενέργειες</w:t>
      </w:r>
    </w:p>
    <w:p w:rsidR="00E87812" w:rsidRPr="002518FB" w:rsidRDefault="00435429" w:rsidP="00651FF2">
      <w:pPr>
        <w:pStyle w:val="BodyText"/>
        <w:rPr>
          <w:lang w:val="el-GR"/>
        </w:rPr>
      </w:pPr>
      <w:r w:rsidRPr="002518FB">
        <w:rPr>
          <w:lang w:val="el-GR"/>
        </w:rPr>
        <w:t xml:space="preserve">Εκτίμηση </w:t>
      </w:r>
      <w:r w:rsidR="00D73CB1" w:rsidRPr="002518FB">
        <w:rPr>
          <w:lang w:val="el-GR"/>
        </w:rPr>
        <w:t xml:space="preserve">συχνότητας: Πολύ συχνές </w:t>
      </w:r>
      <w:r w:rsidR="008E4F86" w:rsidRPr="002518FB">
        <w:rPr>
          <w:lang w:val="el-GR"/>
        </w:rPr>
        <w:t>(</w:t>
      </w:r>
      <w:r w:rsidR="000F3434" w:rsidRPr="002518FB">
        <w:rPr>
          <w:lang w:val="el-GR"/>
        </w:rPr>
        <w:sym w:font="Symbol" w:char="F0B3"/>
      </w:r>
      <w:r w:rsidR="00104A5B" w:rsidRPr="002518FB">
        <w:rPr>
          <w:lang w:val="el-GR"/>
        </w:rPr>
        <w:t xml:space="preserve"> </w:t>
      </w:r>
      <w:r w:rsidR="008E4F86" w:rsidRPr="002518FB">
        <w:rPr>
          <w:lang w:val="el-GR"/>
        </w:rPr>
        <w:t>1</w:t>
      </w:r>
      <w:r w:rsidR="00104A5B" w:rsidRPr="002518FB">
        <w:rPr>
          <w:lang w:val="el-GR"/>
        </w:rPr>
        <w:t>/10</w:t>
      </w:r>
      <w:r w:rsidR="008E4F86" w:rsidRPr="002518FB">
        <w:rPr>
          <w:lang w:val="el-GR"/>
        </w:rPr>
        <w:t>), συχνές (</w:t>
      </w:r>
      <w:r w:rsidR="000F3434" w:rsidRPr="002518FB">
        <w:rPr>
          <w:lang w:val="el-GR"/>
        </w:rPr>
        <w:sym w:font="Symbol" w:char="F0B3"/>
      </w:r>
      <w:r w:rsidR="00104A5B" w:rsidRPr="002518FB">
        <w:rPr>
          <w:lang w:val="el-GR"/>
        </w:rPr>
        <w:t xml:space="preserve"> </w:t>
      </w:r>
      <w:r w:rsidR="008E4F86" w:rsidRPr="002518FB">
        <w:rPr>
          <w:lang w:val="el-GR"/>
        </w:rPr>
        <w:t>1</w:t>
      </w:r>
      <w:r w:rsidR="00104A5B" w:rsidRPr="002518FB">
        <w:rPr>
          <w:lang w:val="el-GR"/>
        </w:rPr>
        <w:t>/100</w:t>
      </w:r>
      <w:r w:rsidR="008E4F86" w:rsidRPr="002518FB">
        <w:rPr>
          <w:lang w:val="el-GR"/>
        </w:rPr>
        <w:t xml:space="preserve"> </w:t>
      </w:r>
      <w:r w:rsidR="00104A5B" w:rsidRPr="002518FB">
        <w:rPr>
          <w:lang w:val="el-GR"/>
        </w:rPr>
        <w:t>έως</w:t>
      </w:r>
      <w:r w:rsidR="008E4F86" w:rsidRPr="002518FB">
        <w:rPr>
          <w:lang w:val="el-GR"/>
        </w:rPr>
        <w:t xml:space="preserve"> </w:t>
      </w:r>
      <w:r w:rsidR="000F3434" w:rsidRPr="002518FB">
        <w:rPr>
          <w:lang w:val="el-GR"/>
        </w:rPr>
        <w:sym w:font="Symbol" w:char="F03C"/>
      </w:r>
      <w:r w:rsidR="00104A5B" w:rsidRPr="002518FB">
        <w:rPr>
          <w:lang w:val="el-GR"/>
        </w:rPr>
        <w:t xml:space="preserve"> </w:t>
      </w:r>
      <w:r w:rsidR="008E4F86" w:rsidRPr="002518FB">
        <w:rPr>
          <w:lang w:val="el-GR"/>
        </w:rPr>
        <w:t>1</w:t>
      </w:r>
      <w:r w:rsidR="00104A5B" w:rsidRPr="002518FB">
        <w:rPr>
          <w:lang w:val="el-GR"/>
        </w:rPr>
        <w:t>/10</w:t>
      </w:r>
      <w:r w:rsidR="008E4F86" w:rsidRPr="002518FB">
        <w:rPr>
          <w:lang w:val="el-GR"/>
        </w:rPr>
        <w:t xml:space="preserve">), </w:t>
      </w:r>
      <w:r w:rsidR="00104A5B" w:rsidRPr="002518FB">
        <w:rPr>
          <w:lang w:val="el-GR"/>
        </w:rPr>
        <w:t xml:space="preserve">όχι </w:t>
      </w:r>
      <w:r w:rsidR="008E4F86" w:rsidRPr="002518FB">
        <w:rPr>
          <w:lang w:val="el-GR"/>
        </w:rPr>
        <w:t xml:space="preserve">συχνές </w:t>
      </w:r>
    </w:p>
    <w:p w:rsidR="006D2D93" w:rsidRPr="002518FB" w:rsidRDefault="008E4F86" w:rsidP="00651FF2">
      <w:pPr>
        <w:pStyle w:val="BodyText"/>
        <w:rPr>
          <w:lang w:val="el-GR"/>
        </w:rPr>
      </w:pPr>
      <w:r w:rsidRPr="002518FB">
        <w:rPr>
          <w:lang w:val="el-GR"/>
        </w:rPr>
        <w:t>(</w:t>
      </w:r>
      <w:r w:rsidR="000F3434" w:rsidRPr="002518FB">
        <w:rPr>
          <w:lang w:val="el-GR"/>
        </w:rPr>
        <w:sym w:font="Symbol" w:char="F0B3"/>
      </w:r>
      <w:r w:rsidR="00104A5B" w:rsidRPr="002518FB">
        <w:rPr>
          <w:lang w:val="el-GR"/>
        </w:rPr>
        <w:t xml:space="preserve"> 1/1.000 έως</w:t>
      </w:r>
      <w:r w:rsidRPr="002518FB">
        <w:rPr>
          <w:lang w:val="el-GR"/>
        </w:rPr>
        <w:t xml:space="preserve"> </w:t>
      </w:r>
      <w:r w:rsidR="000F3434" w:rsidRPr="002518FB">
        <w:rPr>
          <w:lang w:val="el-GR"/>
        </w:rPr>
        <w:sym w:font="Symbol" w:char="F03C"/>
      </w:r>
      <w:r w:rsidR="00104A5B" w:rsidRPr="002518FB">
        <w:rPr>
          <w:lang w:val="el-GR"/>
        </w:rPr>
        <w:t xml:space="preserve"> </w:t>
      </w:r>
      <w:r w:rsidRPr="002518FB">
        <w:rPr>
          <w:lang w:val="el-GR"/>
        </w:rPr>
        <w:t>1</w:t>
      </w:r>
      <w:r w:rsidR="00104A5B" w:rsidRPr="002518FB">
        <w:rPr>
          <w:lang w:val="el-GR"/>
        </w:rPr>
        <w:t>/100</w:t>
      </w:r>
      <w:r w:rsidRPr="002518FB">
        <w:rPr>
          <w:lang w:val="el-GR"/>
        </w:rPr>
        <w:t>), σπάνιες (</w:t>
      </w:r>
      <w:r w:rsidR="000F3434" w:rsidRPr="002518FB">
        <w:rPr>
          <w:lang w:val="el-GR"/>
        </w:rPr>
        <w:sym w:font="Symbol" w:char="F0B3"/>
      </w:r>
      <w:r w:rsidR="00104A5B" w:rsidRPr="002518FB">
        <w:rPr>
          <w:lang w:val="el-GR"/>
        </w:rPr>
        <w:t xml:space="preserve"> 1/10.000 έως</w:t>
      </w:r>
      <w:r w:rsidRPr="002518FB">
        <w:rPr>
          <w:lang w:val="el-GR"/>
        </w:rPr>
        <w:t xml:space="preserve"> </w:t>
      </w:r>
      <w:r w:rsidR="000F3434" w:rsidRPr="002518FB">
        <w:rPr>
          <w:lang w:val="el-GR"/>
        </w:rPr>
        <w:sym w:font="Symbol" w:char="F03C"/>
      </w:r>
      <w:r w:rsidR="00104A5B" w:rsidRPr="002518FB">
        <w:rPr>
          <w:lang w:val="el-GR"/>
        </w:rPr>
        <w:t xml:space="preserve"> 1/1.000</w:t>
      </w:r>
      <w:r w:rsidRPr="002518FB">
        <w:rPr>
          <w:lang w:val="el-GR"/>
        </w:rPr>
        <w:t>), πολύ σπάνιες (&lt;</w:t>
      </w:r>
      <w:r w:rsidR="00104A5B" w:rsidRPr="002518FB">
        <w:rPr>
          <w:lang w:val="el-GR"/>
        </w:rPr>
        <w:t xml:space="preserve"> 1/10.000</w:t>
      </w:r>
      <w:r w:rsidRPr="002518FB">
        <w:rPr>
          <w:lang w:val="el-GR"/>
        </w:rPr>
        <w:t>)</w:t>
      </w:r>
      <w:r w:rsidR="00104A5B" w:rsidRPr="002518FB">
        <w:rPr>
          <w:lang w:val="el-GR"/>
        </w:rPr>
        <w:t xml:space="preserve">. </w:t>
      </w:r>
    </w:p>
    <w:p w:rsidR="003D58D8" w:rsidRPr="002518FB" w:rsidRDefault="003D58D8" w:rsidP="00651FF2">
      <w:pPr>
        <w:pStyle w:val="BodyText"/>
        <w:rPr>
          <w:lang w:val="el-GR"/>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1365"/>
        <w:gridCol w:w="1751"/>
        <w:gridCol w:w="2338"/>
        <w:gridCol w:w="2392"/>
      </w:tblGrid>
      <w:tr w:rsidR="00E2519F" w:rsidRPr="002518FB" w:rsidTr="009F1235">
        <w:tc>
          <w:tcPr>
            <w:tcW w:w="959" w:type="pct"/>
          </w:tcPr>
          <w:p w:rsidR="00771DB5" w:rsidRPr="002518FB" w:rsidRDefault="00CC5839" w:rsidP="00B94BDC">
            <w:pPr>
              <w:pStyle w:val="mdTblEntryC"/>
              <w:rPr>
                <w:b/>
                <w:sz w:val="22"/>
                <w:szCs w:val="22"/>
                <w:lang w:val="el-GR"/>
              </w:rPr>
            </w:pPr>
            <w:r w:rsidRPr="002518FB">
              <w:rPr>
                <w:b/>
                <w:sz w:val="22"/>
                <w:szCs w:val="22"/>
                <w:lang w:val="el-GR"/>
              </w:rPr>
              <w:lastRenderedPageBreak/>
              <w:t>Κατηγορία Οργανικ</w:t>
            </w:r>
            <w:r w:rsidR="00A05E78" w:rsidRPr="002518FB">
              <w:rPr>
                <w:b/>
                <w:sz w:val="22"/>
                <w:szCs w:val="22"/>
                <w:lang w:val="el-GR"/>
              </w:rPr>
              <w:t>ού</w:t>
            </w:r>
            <w:r w:rsidRPr="002518FB">
              <w:rPr>
                <w:b/>
                <w:sz w:val="22"/>
                <w:szCs w:val="22"/>
                <w:lang w:val="el-GR"/>
              </w:rPr>
              <w:t xml:space="preserve"> Σ</w:t>
            </w:r>
            <w:r w:rsidR="00E03A6E" w:rsidRPr="002518FB">
              <w:rPr>
                <w:b/>
                <w:sz w:val="22"/>
                <w:szCs w:val="22"/>
                <w:lang w:val="el-GR"/>
              </w:rPr>
              <w:t>υ</w:t>
            </w:r>
            <w:r w:rsidRPr="002518FB">
              <w:rPr>
                <w:b/>
                <w:sz w:val="22"/>
                <w:szCs w:val="22"/>
                <w:lang w:val="el-GR"/>
              </w:rPr>
              <w:t>στ</w:t>
            </w:r>
            <w:r w:rsidR="00E03A6E" w:rsidRPr="002518FB">
              <w:rPr>
                <w:b/>
                <w:sz w:val="22"/>
                <w:szCs w:val="22"/>
                <w:lang w:val="el-GR"/>
              </w:rPr>
              <w:t>ή</w:t>
            </w:r>
            <w:r w:rsidRPr="002518FB">
              <w:rPr>
                <w:b/>
                <w:sz w:val="22"/>
                <w:szCs w:val="22"/>
                <w:lang w:val="el-GR"/>
              </w:rPr>
              <w:t>μα</w:t>
            </w:r>
            <w:r w:rsidR="00A05E78" w:rsidRPr="002518FB">
              <w:rPr>
                <w:b/>
                <w:sz w:val="22"/>
                <w:szCs w:val="22"/>
                <w:lang w:val="el-GR"/>
              </w:rPr>
              <w:t>τος</w:t>
            </w:r>
          </w:p>
        </w:tc>
        <w:tc>
          <w:tcPr>
            <w:tcW w:w="703" w:type="pct"/>
          </w:tcPr>
          <w:p w:rsidR="0075450A" w:rsidRPr="002518FB" w:rsidRDefault="0075450A" w:rsidP="00B94BDC">
            <w:pPr>
              <w:pStyle w:val="mdTblEntryC"/>
              <w:rPr>
                <w:b/>
                <w:bCs/>
                <w:sz w:val="22"/>
                <w:szCs w:val="22"/>
                <w:lang w:val="el-GR"/>
              </w:rPr>
            </w:pPr>
            <w:r w:rsidRPr="002518FB">
              <w:rPr>
                <w:b/>
                <w:bCs/>
                <w:sz w:val="22"/>
                <w:szCs w:val="22"/>
                <w:lang w:val="el-GR"/>
              </w:rPr>
              <w:t xml:space="preserve">Πολύ </w:t>
            </w:r>
          </w:p>
          <w:p w:rsidR="00771DB5" w:rsidRPr="002518FB" w:rsidRDefault="006235AA" w:rsidP="00B94BDC">
            <w:pPr>
              <w:pStyle w:val="mdTblEntryC"/>
              <w:rPr>
                <w:b/>
                <w:bCs/>
                <w:sz w:val="22"/>
                <w:szCs w:val="22"/>
                <w:lang w:val="el-GR"/>
              </w:rPr>
            </w:pPr>
            <w:r w:rsidRPr="002518FB">
              <w:rPr>
                <w:b/>
                <w:bCs/>
                <w:sz w:val="22"/>
                <w:szCs w:val="22"/>
                <w:lang w:val="el-GR"/>
              </w:rPr>
              <w:t>Σ</w:t>
            </w:r>
            <w:r w:rsidR="0075450A" w:rsidRPr="002518FB">
              <w:rPr>
                <w:b/>
                <w:bCs/>
                <w:sz w:val="22"/>
                <w:szCs w:val="22"/>
                <w:lang w:val="el-GR"/>
              </w:rPr>
              <w:t>υχν</w:t>
            </w:r>
            <w:r w:rsidR="00AE5075" w:rsidRPr="002518FB">
              <w:rPr>
                <w:b/>
                <w:bCs/>
                <w:sz w:val="22"/>
                <w:szCs w:val="22"/>
                <w:lang w:val="el-GR"/>
              </w:rPr>
              <w:t>ές</w:t>
            </w:r>
          </w:p>
          <w:p w:rsidR="00AD65FB" w:rsidRPr="002518FB" w:rsidRDefault="00AD65FB" w:rsidP="00B94BDC">
            <w:pPr>
              <w:pStyle w:val="mdTblEntryC"/>
              <w:rPr>
                <w:b/>
                <w:bCs/>
                <w:sz w:val="22"/>
                <w:szCs w:val="22"/>
                <w:lang w:val="el-GR"/>
              </w:rPr>
            </w:pPr>
            <w:r w:rsidRPr="002518FB">
              <w:rPr>
                <w:szCs w:val="22"/>
                <w:lang w:val="el-GR"/>
              </w:rPr>
              <w:sym w:font="Symbol" w:char="F0B3"/>
            </w:r>
            <w:r w:rsidRPr="002518FB">
              <w:rPr>
                <w:szCs w:val="22"/>
                <w:lang w:val="el-GR"/>
              </w:rPr>
              <w:t>1/10</w:t>
            </w:r>
          </w:p>
        </w:tc>
        <w:tc>
          <w:tcPr>
            <w:tcW w:w="902" w:type="pct"/>
          </w:tcPr>
          <w:p w:rsidR="00771DB5" w:rsidRPr="002518FB" w:rsidRDefault="0075450A" w:rsidP="00B94BDC">
            <w:pPr>
              <w:pStyle w:val="mdTblEntryC"/>
              <w:rPr>
                <w:b/>
                <w:bCs/>
                <w:sz w:val="22"/>
                <w:szCs w:val="22"/>
                <w:lang w:val="el-GR"/>
              </w:rPr>
            </w:pPr>
            <w:r w:rsidRPr="002518FB">
              <w:rPr>
                <w:b/>
                <w:bCs/>
                <w:sz w:val="22"/>
                <w:szCs w:val="22"/>
                <w:lang w:val="el-GR"/>
              </w:rPr>
              <w:t>Συχν</w:t>
            </w:r>
            <w:r w:rsidR="00AE5075" w:rsidRPr="002518FB">
              <w:rPr>
                <w:b/>
                <w:bCs/>
                <w:sz w:val="22"/>
                <w:szCs w:val="22"/>
                <w:lang w:val="el-GR"/>
              </w:rPr>
              <w:t>ές</w:t>
            </w:r>
          </w:p>
          <w:p w:rsidR="00AD65FB" w:rsidRPr="002518FB" w:rsidRDefault="00AD65FB" w:rsidP="00AD65FB">
            <w:pPr>
              <w:pStyle w:val="mdTblEntryC"/>
              <w:rPr>
                <w:b/>
                <w:bCs/>
                <w:sz w:val="22"/>
                <w:szCs w:val="22"/>
                <w:lang w:val="el-GR"/>
              </w:rPr>
            </w:pPr>
            <w:r w:rsidRPr="002518FB">
              <w:rPr>
                <w:szCs w:val="22"/>
                <w:lang w:val="el-GR"/>
              </w:rPr>
              <w:sym w:font="Symbol" w:char="F0B3"/>
            </w:r>
            <w:r w:rsidRPr="002518FB">
              <w:rPr>
                <w:szCs w:val="22"/>
                <w:lang w:val="el-GR"/>
              </w:rPr>
              <w:t>1/100 έως &lt;1/10</w:t>
            </w:r>
          </w:p>
        </w:tc>
        <w:tc>
          <w:tcPr>
            <w:tcW w:w="1204" w:type="pct"/>
          </w:tcPr>
          <w:p w:rsidR="00771DB5" w:rsidRPr="002518FB" w:rsidRDefault="00A05E78" w:rsidP="00B94BDC">
            <w:pPr>
              <w:pStyle w:val="mdTblEntryC"/>
              <w:rPr>
                <w:b/>
                <w:bCs/>
                <w:sz w:val="22"/>
                <w:szCs w:val="22"/>
                <w:lang w:val="el-GR"/>
              </w:rPr>
            </w:pPr>
            <w:r w:rsidRPr="002518FB">
              <w:rPr>
                <w:b/>
                <w:bCs/>
                <w:sz w:val="22"/>
                <w:szCs w:val="22"/>
                <w:lang w:val="el-GR"/>
              </w:rPr>
              <w:t xml:space="preserve">Όχι </w:t>
            </w:r>
            <w:r w:rsidR="0075450A" w:rsidRPr="002518FB">
              <w:rPr>
                <w:b/>
                <w:bCs/>
                <w:sz w:val="22"/>
                <w:szCs w:val="22"/>
                <w:lang w:val="el-GR"/>
              </w:rPr>
              <w:t>συχν</w:t>
            </w:r>
            <w:r w:rsidR="00AE5075" w:rsidRPr="002518FB">
              <w:rPr>
                <w:b/>
                <w:bCs/>
                <w:sz w:val="22"/>
                <w:szCs w:val="22"/>
                <w:lang w:val="el-GR"/>
              </w:rPr>
              <w:t>ές</w:t>
            </w:r>
          </w:p>
          <w:p w:rsidR="00053E87" w:rsidRPr="002518FB" w:rsidRDefault="00053E87" w:rsidP="001A4B70">
            <w:pPr>
              <w:pStyle w:val="mdTblEntryC"/>
              <w:rPr>
                <w:b/>
                <w:bCs/>
                <w:sz w:val="22"/>
                <w:szCs w:val="22"/>
                <w:lang w:val="el-GR"/>
              </w:rPr>
            </w:pPr>
            <w:r w:rsidRPr="002518FB">
              <w:rPr>
                <w:szCs w:val="22"/>
                <w:lang w:val="el-GR"/>
              </w:rPr>
              <w:sym w:font="Symbol" w:char="F0B3"/>
            </w:r>
            <w:r w:rsidRPr="002518FB">
              <w:rPr>
                <w:szCs w:val="22"/>
                <w:lang w:val="el-GR"/>
              </w:rPr>
              <w:t>1/1</w:t>
            </w:r>
            <w:r w:rsidR="001A4B70" w:rsidRPr="002518FB">
              <w:rPr>
                <w:szCs w:val="22"/>
                <w:lang w:val="el-GR"/>
              </w:rPr>
              <w:t>.</w:t>
            </w:r>
            <w:r w:rsidRPr="002518FB">
              <w:rPr>
                <w:szCs w:val="22"/>
                <w:lang w:val="el-GR"/>
              </w:rPr>
              <w:t>000 έως &lt;1/100</w:t>
            </w:r>
          </w:p>
        </w:tc>
        <w:tc>
          <w:tcPr>
            <w:tcW w:w="1232" w:type="pct"/>
          </w:tcPr>
          <w:p w:rsidR="00053E87" w:rsidRPr="002518FB" w:rsidRDefault="00053E87" w:rsidP="00053E87">
            <w:pPr>
              <w:pStyle w:val="mdTblEntryC"/>
              <w:spacing w:line="240" w:lineRule="auto"/>
              <w:rPr>
                <w:b/>
                <w:bCs/>
                <w:sz w:val="22"/>
                <w:szCs w:val="22"/>
                <w:lang w:val="el-GR"/>
              </w:rPr>
            </w:pPr>
            <w:r w:rsidRPr="002518FB">
              <w:rPr>
                <w:b/>
                <w:bCs/>
                <w:sz w:val="22"/>
                <w:szCs w:val="22"/>
                <w:lang w:val="el-GR"/>
              </w:rPr>
              <w:t>Σπάνιες</w:t>
            </w:r>
          </w:p>
          <w:p w:rsidR="00771DB5" w:rsidRPr="002518FB" w:rsidRDefault="00053E87" w:rsidP="00B94BDC">
            <w:pPr>
              <w:pStyle w:val="mdTblEntryC"/>
              <w:jc w:val="left"/>
              <w:rPr>
                <w:b/>
                <w:bCs/>
                <w:sz w:val="22"/>
                <w:szCs w:val="22"/>
                <w:lang w:val="el-GR"/>
              </w:rPr>
            </w:pPr>
            <w:r w:rsidRPr="002518FB">
              <w:rPr>
                <w:szCs w:val="22"/>
                <w:lang w:val="el-GR"/>
              </w:rPr>
              <w:sym w:font="Symbol" w:char="F0B3"/>
            </w:r>
            <w:r w:rsidRPr="002518FB">
              <w:rPr>
                <w:szCs w:val="22"/>
                <w:lang w:val="el-GR"/>
              </w:rPr>
              <w:t>1/10</w:t>
            </w:r>
            <w:r w:rsidR="001A4B70" w:rsidRPr="002518FB">
              <w:rPr>
                <w:szCs w:val="22"/>
                <w:lang w:val="el-GR"/>
              </w:rPr>
              <w:t>.</w:t>
            </w:r>
            <w:r w:rsidRPr="002518FB">
              <w:rPr>
                <w:szCs w:val="22"/>
                <w:lang w:val="el-GR"/>
              </w:rPr>
              <w:t>000 έως &lt;1/1</w:t>
            </w:r>
            <w:r w:rsidR="001A4B70" w:rsidRPr="002518FB">
              <w:rPr>
                <w:szCs w:val="22"/>
                <w:lang w:val="el-GR"/>
              </w:rPr>
              <w:t>.</w:t>
            </w:r>
            <w:r w:rsidRPr="002518FB">
              <w:rPr>
                <w:szCs w:val="22"/>
                <w:lang w:val="el-GR"/>
              </w:rPr>
              <w:t>000</w:t>
            </w:r>
          </w:p>
        </w:tc>
      </w:tr>
      <w:tr w:rsidR="00E2519F" w:rsidRPr="002518FB" w:rsidTr="009F1235">
        <w:tc>
          <w:tcPr>
            <w:tcW w:w="959" w:type="pct"/>
          </w:tcPr>
          <w:p w:rsidR="00771DB5" w:rsidRPr="002518FB" w:rsidRDefault="000A1C9C" w:rsidP="00B94BDC">
            <w:pPr>
              <w:pStyle w:val="mdTblEntryL"/>
              <w:rPr>
                <w:b/>
                <w:sz w:val="22"/>
                <w:szCs w:val="22"/>
                <w:lang w:val="el-GR"/>
              </w:rPr>
            </w:pPr>
            <w:r w:rsidRPr="002518FB">
              <w:rPr>
                <w:b/>
                <w:sz w:val="22"/>
                <w:szCs w:val="22"/>
                <w:lang w:val="el-GR"/>
              </w:rPr>
              <w:t xml:space="preserve">Διαταραχές του Μεταβολισμού και της Θρέψης </w:t>
            </w:r>
          </w:p>
        </w:tc>
        <w:tc>
          <w:tcPr>
            <w:tcW w:w="703" w:type="pct"/>
          </w:tcPr>
          <w:p w:rsidR="00771DB5" w:rsidRPr="002518FB" w:rsidRDefault="004F7F44" w:rsidP="00B94BDC">
            <w:pPr>
              <w:pStyle w:val="mdTblEntryL"/>
              <w:rPr>
                <w:sz w:val="22"/>
                <w:szCs w:val="22"/>
                <w:lang w:val="el-GR"/>
              </w:rPr>
            </w:pPr>
            <w:r w:rsidRPr="002518FB">
              <w:rPr>
                <w:sz w:val="22"/>
                <w:szCs w:val="22"/>
                <w:lang w:val="el-GR"/>
              </w:rPr>
              <w:t>Μειωμένη όρεξη</w:t>
            </w:r>
          </w:p>
        </w:tc>
        <w:tc>
          <w:tcPr>
            <w:tcW w:w="902" w:type="pct"/>
          </w:tcPr>
          <w:p w:rsidR="00771DB5" w:rsidRPr="002518FB" w:rsidRDefault="000F3434" w:rsidP="00B94BDC">
            <w:pPr>
              <w:pStyle w:val="mdTblEntryL"/>
              <w:rPr>
                <w:sz w:val="22"/>
                <w:szCs w:val="22"/>
                <w:lang w:val="el-GR"/>
              </w:rPr>
            </w:pPr>
            <w:proofErr w:type="spellStart"/>
            <w:r w:rsidRPr="002518FB">
              <w:rPr>
                <w:sz w:val="22"/>
                <w:lang w:val="el-GR"/>
              </w:rPr>
              <w:t>A</w:t>
            </w:r>
            <w:r w:rsidR="00903B57" w:rsidRPr="002518FB">
              <w:rPr>
                <w:sz w:val="22"/>
                <w:szCs w:val="22"/>
                <w:lang w:val="el-GR"/>
              </w:rPr>
              <w:t>νο</w:t>
            </w:r>
            <w:r w:rsidR="004F7F44" w:rsidRPr="002518FB">
              <w:rPr>
                <w:sz w:val="22"/>
                <w:szCs w:val="22"/>
                <w:lang w:val="el-GR"/>
              </w:rPr>
              <w:t>ρεξία</w:t>
            </w:r>
            <w:proofErr w:type="spellEnd"/>
            <w:r w:rsidRPr="002518FB">
              <w:rPr>
                <w:sz w:val="22"/>
                <w:lang w:val="el-GR"/>
              </w:rPr>
              <w:t xml:space="preserve"> (</w:t>
            </w:r>
            <w:r w:rsidR="004F7F44" w:rsidRPr="002518FB">
              <w:rPr>
                <w:sz w:val="22"/>
                <w:szCs w:val="22"/>
                <w:lang w:val="el-GR"/>
              </w:rPr>
              <w:t>απώλεια</w:t>
            </w:r>
            <w:r w:rsidRPr="002518FB">
              <w:rPr>
                <w:sz w:val="22"/>
                <w:lang w:val="el-GR"/>
              </w:rPr>
              <w:t xml:space="preserve"> </w:t>
            </w:r>
            <w:r w:rsidR="004F7F44" w:rsidRPr="002518FB">
              <w:rPr>
                <w:sz w:val="22"/>
                <w:szCs w:val="22"/>
                <w:lang w:val="el-GR"/>
              </w:rPr>
              <w:t>όρεξης</w:t>
            </w:r>
            <w:r w:rsidRPr="002518FB">
              <w:rPr>
                <w:sz w:val="22"/>
                <w:lang w:val="el-GR"/>
              </w:rPr>
              <w:t>)</w:t>
            </w:r>
          </w:p>
        </w:tc>
        <w:tc>
          <w:tcPr>
            <w:tcW w:w="1204" w:type="pct"/>
          </w:tcPr>
          <w:p w:rsidR="00771DB5" w:rsidRPr="002518FB" w:rsidRDefault="00771DB5" w:rsidP="00B94BDC">
            <w:pPr>
              <w:pStyle w:val="mdTblEntryL"/>
              <w:rPr>
                <w:sz w:val="22"/>
                <w:lang w:val="el-GR"/>
              </w:rPr>
            </w:pPr>
          </w:p>
        </w:tc>
        <w:tc>
          <w:tcPr>
            <w:tcW w:w="1232" w:type="pct"/>
          </w:tcPr>
          <w:p w:rsidR="00771DB5" w:rsidRPr="002518FB" w:rsidRDefault="00771DB5" w:rsidP="00B94BDC">
            <w:pPr>
              <w:pStyle w:val="Style1"/>
              <w:tabs>
                <w:tab w:val="left" w:pos="0"/>
                <w:tab w:val="left" w:pos="567"/>
                <w:tab w:val="left" w:pos="720"/>
                <w:tab w:val="left" w:pos="1440"/>
                <w:tab w:val="left" w:pos="2160"/>
                <w:tab w:val="left" w:pos="2880"/>
                <w:tab w:val="left" w:pos="3600"/>
                <w:tab w:val="left" w:pos="4320"/>
              </w:tabs>
              <w:adjustRightInd w:val="0"/>
              <w:spacing w:line="240" w:lineRule="atLeast"/>
              <w:rPr>
                <w:rFonts w:ascii="Times New Roman" w:hAnsi="Times New Roman"/>
                <w:lang w:val="el-GR"/>
              </w:rPr>
            </w:pPr>
          </w:p>
          <w:p w:rsidR="00771DB5" w:rsidRPr="002518FB" w:rsidRDefault="00771DB5" w:rsidP="00B94BDC">
            <w:pPr>
              <w:pStyle w:val="mdTblEntryL"/>
              <w:rPr>
                <w:sz w:val="22"/>
                <w:lang w:val="el-GR"/>
              </w:rPr>
            </w:pPr>
          </w:p>
        </w:tc>
      </w:tr>
      <w:tr w:rsidR="00E2519F" w:rsidRPr="002518FB" w:rsidTr="009F1235">
        <w:tc>
          <w:tcPr>
            <w:tcW w:w="959" w:type="pct"/>
          </w:tcPr>
          <w:p w:rsidR="00633D16" w:rsidRPr="002518FB" w:rsidRDefault="00633D16" w:rsidP="00B94BDC">
            <w:pPr>
              <w:pStyle w:val="mdTblEntryL"/>
              <w:rPr>
                <w:b/>
                <w:sz w:val="22"/>
                <w:szCs w:val="22"/>
                <w:lang w:val="el-GR"/>
              </w:rPr>
            </w:pPr>
            <w:r w:rsidRPr="002518FB">
              <w:rPr>
                <w:b/>
                <w:sz w:val="22"/>
                <w:szCs w:val="22"/>
                <w:lang w:val="el-GR"/>
              </w:rPr>
              <w:t>Ψυχιατρικές</w:t>
            </w:r>
          </w:p>
          <w:p w:rsidR="00771DB5" w:rsidRPr="002518FB" w:rsidRDefault="00532AFF" w:rsidP="00B94BDC">
            <w:pPr>
              <w:pStyle w:val="mdTblEntryL"/>
              <w:rPr>
                <w:b/>
                <w:sz w:val="22"/>
                <w:lang w:val="el-GR"/>
              </w:rPr>
            </w:pPr>
            <w:r w:rsidRPr="002518FB">
              <w:rPr>
                <w:b/>
                <w:sz w:val="22"/>
                <w:szCs w:val="22"/>
                <w:lang w:val="el-GR"/>
              </w:rPr>
              <w:t xml:space="preserve">Διαταραχές </w:t>
            </w:r>
          </w:p>
        </w:tc>
        <w:tc>
          <w:tcPr>
            <w:tcW w:w="703" w:type="pct"/>
          </w:tcPr>
          <w:p w:rsidR="00771DB5" w:rsidRPr="002518FB" w:rsidRDefault="00771DB5" w:rsidP="00B94BDC">
            <w:pPr>
              <w:pStyle w:val="mdTblEntryL"/>
              <w:rPr>
                <w:sz w:val="22"/>
                <w:lang w:val="el-GR"/>
              </w:rPr>
            </w:pPr>
          </w:p>
        </w:tc>
        <w:tc>
          <w:tcPr>
            <w:tcW w:w="902" w:type="pct"/>
          </w:tcPr>
          <w:p w:rsidR="00771DB5" w:rsidRPr="002518FB" w:rsidRDefault="00676E80" w:rsidP="00171781">
            <w:pPr>
              <w:pStyle w:val="mdTblEntryL"/>
              <w:rPr>
                <w:sz w:val="22"/>
                <w:szCs w:val="22"/>
                <w:lang w:val="el-GR"/>
              </w:rPr>
            </w:pPr>
            <w:r w:rsidRPr="002518FB">
              <w:rPr>
                <w:sz w:val="22"/>
                <w:szCs w:val="22"/>
                <w:lang w:val="el-GR"/>
              </w:rPr>
              <w:t>Ε</w:t>
            </w:r>
            <w:r w:rsidR="001559DF" w:rsidRPr="002518FB">
              <w:rPr>
                <w:sz w:val="22"/>
                <w:szCs w:val="22"/>
                <w:lang w:val="el-GR"/>
              </w:rPr>
              <w:t>υερεθιστότητα, διακυμάνσεις της συναισθηματικής διάθεσης</w:t>
            </w:r>
            <w:r w:rsidRPr="002518FB">
              <w:rPr>
                <w:sz w:val="22"/>
                <w:szCs w:val="22"/>
                <w:lang w:val="el-GR"/>
              </w:rPr>
              <w:t>, αϋπνία</w:t>
            </w:r>
            <w:r w:rsidRPr="002518FB">
              <w:rPr>
                <w:sz w:val="22"/>
                <w:szCs w:val="22"/>
                <w:vertAlign w:val="superscript"/>
                <w:lang w:val="el-GR"/>
              </w:rPr>
              <w:t>3</w:t>
            </w:r>
            <w:r w:rsidR="00F33653" w:rsidRPr="002518FB">
              <w:rPr>
                <w:sz w:val="22"/>
                <w:szCs w:val="22"/>
                <w:lang w:val="el-GR"/>
              </w:rPr>
              <w:t>, διέγερση*, άγχος, κατάθλιψη και καταθλιπτική διάθεση*, τικ *.</w:t>
            </w:r>
          </w:p>
        </w:tc>
        <w:tc>
          <w:tcPr>
            <w:tcW w:w="1204" w:type="pct"/>
          </w:tcPr>
          <w:p w:rsidR="00771DB5" w:rsidRPr="002518FB" w:rsidRDefault="00C27720" w:rsidP="00B94BDC">
            <w:pPr>
              <w:pStyle w:val="mdTblEntryL"/>
              <w:rPr>
                <w:sz w:val="22"/>
                <w:szCs w:val="22"/>
                <w:lang w:val="el-GR"/>
              </w:rPr>
            </w:pPr>
            <w:r w:rsidRPr="002518FB">
              <w:rPr>
                <w:sz w:val="22"/>
                <w:szCs w:val="22"/>
                <w:lang w:val="el-GR"/>
              </w:rPr>
              <w:t xml:space="preserve">Αυτοκτονικά </w:t>
            </w:r>
            <w:proofErr w:type="spellStart"/>
            <w:r w:rsidRPr="002518FB">
              <w:rPr>
                <w:sz w:val="22"/>
                <w:szCs w:val="22"/>
                <w:lang w:val="el-GR"/>
              </w:rPr>
              <w:t>συμβάματα</w:t>
            </w:r>
            <w:proofErr w:type="spellEnd"/>
            <w:r w:rsidRPr="002518FB">
              <w:rPr>
                <w:sz w:val="22"/>
                <w:szCs w:val="22"/>
                <w:lang w:val="el-GR"/>
              </w:rPr>
              <w:t>,   επιθετικότητα, εχθρότητα, συναισθηματική αστάθεια*</w:t>
            </w:r>
            <w:r w:rsidR="00903B57" w:rsidRPr="002518FB">
              <w:rPr>
                <w:sz w:val="22"/>
                <w:szCs w:val="22"/>
                <w:lang w:val="el-GR"/>
              </w:rPr>
              <w:t>,</w:t>
            </w:r>
          </w:p>
          <w:p w:rsidR="00676E80" w:rsidRPr="002518FB" w:rsidRDefault="00F33653" w:rsidP="00893886">
            <w:pPr>
              <w:pStyle w:val="mdTblEntryL"/>
              <w:rPr>
                <w:sz w:val="22"/>
                <w:szCs w:val="22"/>
                <w:lang w:val="el-GR"/>
              </w:rPr>
            </w:pPr>
            <w:r w:rsidRPr="002518FB">
              <w:rPr>
                <w:sz w:val="22"/>
                <w:szCs w:val="22"/>
                <w:lang w:val="el-GR"/>
              </w:rPr>
              <w:t xml:space="preserve">Ψύχωση (συμπεριλαμβανομένων </w:t>
            </w:r>
            <w:r w:rsidR="00072E56" w:rsidRPr="002518FB">
              <w:rPr>
                <w:sz w:val="22"/>
                <w:szCs w:val="22"/>
                <w:lang w:val="el-GR"/>
              </w:rPr>
              <w:t xml:space="preserve">των </w:t>
            </w:r>
            <w:r w:rsidR="00893886" w:rsidRPr="002518FB">
              <w:rPr>
                <w:sz w:val="22"/>
                <w:szCs w:val="22"/>
                <w:lang w:val="el-GR"/>
              </w:rPr>
              <w:t>ψευδαισθήσεων</w:t>
            </w:r>
            <w:r w:rsidRPr="002518FB">
              <w:rPr>
                <w:sz w:val="22"/>
                <w:szCs w:val="22"/>
                <w:lang w:val="el-GR"/>
              </w:rPr>
              <w:t>)*.</w:t>
            </w:r>
          </w:p>
        </w:tc>
        <w:tc>
          <w:tcPr>
            <w:tcW w:w="1232" w:type="pct"/>
          </w:tcPr>
          <w:p w:rsidR="003D58D8" w:rsidRPr="002518FB" w:rsidRDefault="003D58D8" w:rsidP="00B94BDC">
            <w:pPr>
              <w:pStyle w:val="mdTblEntryL"/>
              <w:rPr>
                <w:sz w:val="22"/>
                <w:szCs w:val="22"/>
                <w:lang w:val="el-GR"/>
              </w:rPr>
            </w:pPr>
          </w:p>
        </w:tc>
      </w:tr>
      <w:tr w:rsidR="00E2519F" w:rsidRPr="00006638" w:rsidTr="009F1235">
        <w:tc>
          <w:tcPr>
            <w:tcW w:w="959" w:type="pct"/>
          </w:tcPr>
          <w:p w:rsidR="00771DB5" w:rsidRPr="002518FB" w:rsidRDefault="0025265D" w:rsidP="00B94BDC">
            <w:pPr>
              <w:pStyle w:val="mdTblEntryL"/>
              <w:rPr>
                <w:b/>
                <w:sz w:val="22"/>
                <w:szCs w:val="22"/>
                <w:lang w:val="el-GR"/>
              </w:rPr>
            </w:pPr>
            <w:r w:rsidRPr="002518FB">
              <w:rPr>
                <w:b/>
                <w:sz w:val="22"/>
                <w:szCs w:val="22"/>
                <w:lang w:val="el-GR"/>
              </w:rPr>
              <w:t>Διαταραχές του Νευρικού Συστήματος</w:t>
            </w:r>
          </w:p>
        </w:tc>
        <w:tc>
          <w:tcPr>
            <w:tcW w:w="703" w:type="pct"/>
          </w:tcPr>
          <w:p w:rsidR="00771DB5" w:rsidRPr="002518FB" w:rsidRDefault="00CE19E9" w:rsidP="00B94BDC">
            <w:pPr>
              <w:pStyle w:val="mdTblEntryL"/>
              <w:rPr>
                <w:sz w:val="22"/>
                <w:szCs w:val="22"/>
                <w:lang w:val="el-GR"/>
              </w:rPr>
            </w:pPr>
            <w:r w:rsidRPr="002518FB">
              <w:rPr>
                <w:sz w:val="22"/>
                <w:szCs w:val="22"/>
                <w:lang w:val="el-GR"/>
              </w:rPr>
              <w:t>Κεφαλαλγία, υπνηλία</w:t>
            </w:r>
            <w:r w:rsidRPr="002518FB">
              <w:rPr>
                <w:sz w:val="22"/>
                <w:szCs w:val="22"/>
                <w:vertAlign w:val="superscript"/>
                <w:lang w:val="el-GR"/>
              </w:rPr>
              <w:t>2</w:t>
            </w:r>
            <w:r w:rsidRPr="002518FB">
              <w:rPr>
                <w:sz w:val="22"/>
                <w:szCs w:val="22"/>
                <w:lang w:val="el-GR"/>
              </w:rPr>
              <w:t xml:space="preserve">  </w:t>
            </w:r>
          </w:p>
        </w:tc>
        <w:tc>
          <w:tcPr>
            <w:tcW w:w="902" w:type="pct"/>
          </w:tcPr>
          <w:p w:rsidR="0025265D" w:rsidRPr="002518FB" w:rsidRDefault="0025265D" w:rsidP="00B94BDC">
            <w:pPr>
              <w:pStyle w:val="mdTblEntryL"/>
              <w:rPr>
                <w:sz w:val="22"/>
                <w:szCs w:val="22"/>
                <w:lang w:val="el-GR"/>
              </w:rPr>
            </w:pPr>
            <w:r w:rsidRPr="002518FB">
              <w:rPr>
                <w:sz w:val="22"/>
                <w:szCs w:val="22"/>
                <w:lang w:val="el-GR"/>
              </w:rPr>
              <w:t>Ζάλη</w:t>
            </w:r>
          </w:p>
          <w:p w:rsidR="00771DB5" w:rsidRPr="002518FB" w:rsidRDefault="00771DB5" w:rsidP="00B94BDC">
            <w:pPr>
              <w:pStyle w:val="mdTblEntryL"/>
              <w:rPr>
                <w:sz w:val="22"/>
                <w:lang w:val="el-GR"/>
              </w:rPr>
            </w:pPr>
          </w:p>
        </w:tc>
        <w:tc>
          <w:tcPr>
            <w:tcW w:w="1204" w:type="pct"/>
          </w:tcPr>
          <w:p w:rsidR="00771DB5" w:rsidRPr="002518FB" w:rsidRDefault="00CE19E9" w:rsidP="00BF32DF">
            <w:pPr>
              <w:pStyle w:val="mdTblEntryL"/>
              <w:rPr>
                <w:sz w:val="22"/>
                <w:szCs w:val="22"/>
                <w:lang w:val="el-GR"/>
              </w:rPr>
            </w:pPr>
            <w:r w:rsidRPr="002518FB">
              <w:rPr>
                <w:sz w:val="22"/>
                <w:szCs w:val="22"/>
                <w:lang w:val="el-GR"/>
              </w:rPr>
              <w:t>Συγκοπή, τρόμος, ημικρανία</w:t>
            </w:r>
            <w:r w:rsidR="00F33653" w:rsidRPr="002518FB">
              <w:rPr>
                <w:sz w:val="22"/>
                <w:szCs w:val="22"/>
                <w:lang w:val="el-GR"/>
              </w:rPr>
              <w:t xml:space="preserve">, </w:t>
            </w:r>
            <w:r w:rsidR="00F33653" w:rsidRPr="002518FB">
              <w:rPr>
                <w:sz w:val="22"/>
                <w:szCs w:val="22"/>
                <w:lang w:val="el-GR" w:eastAsia="el-GR"/>
              </w:rPr>
              <w:t>παραισθησία*,</w:t>
            </w:r>
            <w:r w:rsidR="00F33653" w:rsidRPr="002518FB">
              <w:rPr>
                <w:sz w:val="22"/>
                <w:szCs w:val="22"/>
                <w:vertAlign w:val="superscript"/>
                <w:lang w:val="el-GR" w:eastAsia="el-GR"/>
              </w:rPr>
              <w:t xml:space="preserve"> </w:t>
            </w:r>
            <w:r w:rsidR="00F33653" w:rsidRPr="002518FB">
              <w:rPr>
                <w:sz w:val="22"/>
                <w:szCs w:val="22"/>
                <w:lang w:val="el-GR" w:eastAsia="el-GR"/>
              </w:rPr>
              <w:t>υπαισθησία*, Επιληπτικ</w:t>
            </w:r>
            <w:r w:rsidR="00BF32DF" w:rsidRPr="002518FB">
              <w:rPr>
                <w:sz w:val="22"/>
                <w:szCs w:val="22"/>
                <w:lang w:val="el-GR" w:eastAsia="el-GR"/>
              </w:rPr>
              <w:t>οί σπασμοί</w:t>
            </w:r>
            <w:r w:rsidR="00F33653" w:rsidRPr="002518FB">
              <w:rPr>
                <w:sz w:val="22"/>
                <w:szCs w:val="22"/>
                <w:lang w:val="el-GR" w:eastAsia="el-GR"/>
              </w:rPr>
              <w:t>**.</w:t>
            </w:r>
          </w:p>
        </w:tc>
        <w:tc>
          <w:tcPr>
            <w:tcW w:w="1232" w:type="pct"/>
          </w:tcPr>
          <w:p w:rsidR="003D58D8" w:rsidRPr="002518FB" w:rsidRDefault="003D58D8" w:rsidP="00B94BDC">
            <w:pPr>
              <w:pStyle w:val="mdTblEntryL"/>
              <w:rPr>
                <w:sz w:val="22"/>
                <w:szCs w:val="22"/>
                <w:lang w:val="el-GR"/>
              </w:rPr>
            </w:pPr>
          </w:p>
        </w:tc>
      </w:tr>
      <w:tr w:rsidR="00E2519F" w:rsidRPr="002518FB" w:rsidTr="009F1235">
        <w:tc>
          <w:tcPr>
            <w:tcW w:w="959" w:type="pct"/>
          </w:tcPr>
          <w:p w:rsidR="00771DB5" w:rsidRPr="002518FB" w:rsidRDefault="0025265D" w:rsidP="00B94BDC">
            <w:pPr>
              <w:pStyle w:val="mdTblEntryL"/>
              <w:rPr>
                <w:b/>
                <w:sz w:val="22"/>
                <w:szCs w:val="22"/>
                <w:lang w:val="el-GR"/>
              </w:rPr>
            </w:pPr>
            <w:r w:rsidRPr="002518FB">
              <w:rPr>
                <w:b/>
                <w:sz w:val="22"/>
                <w:szCs w:val="22"/>
                <w:lang w:val="el-GR"/>
              </w:rPr>
              <w:t>Ο</w:t>
            </w:r>
            <w:r w:rsidR="00F77170" w:rsidRPr="002518FB">
              <w:rPr>
                <w:b/>
                <w:sz w:val="22"/>
                <w:szCs w:val="22"/>
                <w:lang w:val="el-GR"/>
              </w:rPr>
              <w:t>φθαλμικές Διαταραχές</w:t>
            </w:r>
          </w:p>
        </w:tc>
        <w:tc>
          <w:tcPr>
            <w:tcW w:w="703" w:type="pct"/>
          </w:tcPr>
          <w:p w:rsidR="00771DB5" w:rsidRPr="002518FB" w:rsidRDefault="00771DB5" w:rsidP="00B94BDC">
            <w:pPr>
              <w:pStyle w:val="mdTblEntryL"/>
              <w:rPr>
                <w:sz w:val="22"/>
                <w:lang w:val="el-GR"/>
              </w:rPr>
            </w:pPr>
          </w:p>
        </w:tc>
        <w:tc>
          <w:tcPr>
            <w:tcW w:w="902" w:type="pct"/>
          </w:tcPr>
          <w:p w:rsidR="00771DB5" w:rsidRPr="002518FB" w:rsidRDefault="00BF32DF" w:rsidP="00B94BDC">
            <w:pPr>
              <w:pStyle w:val="mdTblEntryL"/>
              <w:rPr>
                <w:sz w:val="22"/>
                <w:lang w:val="el-GR"/>
              </w:rPr>
            </w:pPr>
            <w:proofErr w:type="spellStart"/>
            <w:r w:rsidRPr="002518FB">
              <w:rPr>
                <w:sz w:val="22"/>
                <w:szCs w:val="22"/>
                <w:lang w:val="el-GR"/>
              </w:rPr>
              <w:t>Mυδρίαση</w:t>
            </w:r>
            <w:proofErr w:type="spellEnd"/>
          </w:p>
        </w:tc>
        <w:tc>
          <w:tcPr>
            <w:tcW w:w="1204" w:type="pct"/>
          </w:tcPr>
          <w:p w:rsidR="00771DB5" w:rsidRPr="002518FB" w:rsidRDefault="00771DB5" w:rsidP="00B94BDC">
            <w:pPr>
              <w:pStyle w:val="mdTblEntryL"/>
              <w:rPr>
                <w:sz w:val="22"/>
                <w:szCs w:val="22"/>
                <w:lang w:val="el-GR"/>
              </w:rPr>
            </w:pPr>
          </w:p>
        </w:tc>
        <w:tc>
          <w:tcPr>
            <w:tcW w:w="1232" w:type="pct"/>
          </w:tcPr>
          <w:p w:rsidR="00771DB5" w:rsidRPr="002518FB" w:rsidRDefault="00771DB5" w:rsidP="00B94BDC">
            <w:pPr>
              <w:pStyle w:val="mdTblEntryL"/>
              <w:rPr>
                <w:sz w:val="22"/>
                <w:lang w:val="el-GR"/>
              </w:rPr>
            </w:pPr>
          </w:p>
        </w:tc>
      </w:tr>
      <w:tr w:rsidR="00E2519F" w:rsidRPr="00006638" w:rsidTr="009F1235">
        <w:tc>
          <w:tcPr>
            <w:tcW w:w="959" w:type="pct"/>
          </w:tcPr>
          <w:p w:rsidR="00771DB5" w:rsidRPr="002518FB" w:rsidRDefault="00F77170" w:rsidP="00B94BDC">
            <w:pPr>
              <w:pStyle w:val="mdTblEntryL"/>
              <w:rPr>
                <w:b/>
                <w:sz w:val="22"/>
                <w:szCs w:val="22"/>
                <w:lang w:val="el-GR"/>
              </w:rPr>
            </w:pPr>
            <w:r w:rsidRPr="002518FB">
              <w:rPr>
                <w:b/>
                <w:sz w:val="22"/>
                <w:szCs w:val="22"/>
                <w:lang w:val="el-GR"/>
              </w:rPr>
              <w:t>Καρδιακές Διαταραχές</w:t>
            </w:r>
          </w:p>
        </w:tc>
        <w:tc>
          <w:tcPr>
            <w:tcW w:w="703" w:type="pct"/>
          </w:tcPr>
          <w:p w:rsidR="00771DB5" w:rsidRPr="002518FB" w:rsidRDefault="00771DB5" w:rsidP="00B94BDC">
            <w:pPr>
              <w:pStyle w:val="mdTblEntryL"/>
              <w:rPr>
                <w:sz w:val="22"/>
                <w:lang w:val="el-GR"/>
              </w:rPr>
            </w:pPr>
          </w:p>
        </w:tc>
        <w:tc>
          <w:tcPr>
            <w:tcW w:w="902" w:type="pct"/>
          </w:tcPr>
          <w:p w:rsidR="00771DB5" w:rsidRPr="002518FB" w:rsidRDefault="00771DB5" w:rsidP="00B94BDC">
            <w:pPr>
              <w:pStyle w:val="mdTblEntryL"/>
              <w:rPr>
                <w:sz w:val="22"/>
                <w:lang w:val="el-GR"/>
              </w:rPr>
            </w:pPr>
          </w:p>
        </w:tc>
        <w:tc>
          <w:tcPr>
            <w:tcW w:w="1204" w:type="pct"/>
          </w:tcPr>
          <w:p w:rsidR="00771DB5" w:rsidRPr="002518FB" w:rsidRDefault="00F77170" w:rsidP="00714779">
            <w:pPr>
              <w:pStyle w:val="mdTblEntryL"/>
              <w:rPr>
                <w:sz w:val="22"/>
                <w:szCs w:val="22"/>
                <w:lang w:val="el-GR"/>
              </w:rPr>
            </w:pPr>
            <w:r w:rsidRPr="002518FB">
              <w:rPr>
                <w:sz w:val="22"/>
                <w:szCs w:val="22"/>
                <w:lang w:val="el-GR"/>
              </w:rPr>
              <w:t xml:space="preserve">Αίσθημα παλμών, </w:t>
            </w:r>
            <w:proofErr w:type="spellStart"/>
            <w:r w:rsidRPr="002518FB">
              <w:rPr>
                <w:sz w:val="22"/>
                <w:szCs w:val="22"/>
                <w:lang w:val="el-GR"/>
              </w:rPr>
              <w:t>φλεβοκομβική</w:t>
            </w:r>
            <w:proofErr w:type="spellEnd"/>
            <w:r w:rsidRPr="002518FB">
              <w:rPr>
                <w:sz w:val="22"/>
                <w:szCs w:val="22"/>
                <w:lang w:val="el-GR"/>
              </w:rPr>
              <w:t xml:space="preserve"> ταχυκαρδία</w:t>
            </w:r>
            <w:r w:rsidR="00BF32DF" w:rsidRPr="002518FB">
              <w:rPr>
                <w:sz w:val="22"/>
                <w:szCs w:val="22"/>
                <w:lang w:val="el-GR"/>
              </w:rPr>
              <w:t xml:space="preserve">, </w:t>
            </w:r>
            <w:r w:rsidR="00714779" w:rsidRPr="002518FB">
              <w:rPr>
                <w:sz w:val="22"/>
                <w:szCs w:val="22"/>
                <w:lang w:val="el-GR"/>
              </w:rPr>
              <w:t>παράταση διαστήματος</w:t>
            </w:r>
            <w:r w:rsidR="00BF32DF" w:rsidRPr="002518FB">
              <w:rPr>
                <w:sz w:val="22"/>
                <w:szCs w:val="22"/>
                <w:lang w:val="el-GR"/>
              </w:rPr>
              <w:t xml:space="preserve"> QT</w:t>
            </w:r>
            <w:r w:rsidR="00BF32DF" w:rsidRPr="002518FB">
              <w:rPr>
                <w:sz w:val="22"/>
                <w:szCs w:val="22"/>
                <w:vertAlign w:val="superscript"/>
                <w:lang w:val="el-GR"/>
              </w:rPr>
              <w:t xml:space="preserve"> </w:t>
            </w:r>
            <w:r w:rsidR="00BF32DF" w:rsidRPr="002518FB">
              <w:rPr>
                <w:sz w:val="22"/>
                <w:szCs w:val="22"/>
                <w:lang w:val="el-GR"/>
              </w:rPr>
              <w:t>**.</w:t>
            </w:r>
            <w:r w:rsidRPr="002518FB">
              <w:rPr>
                <w:sz w:val="22"/>
                <w:szCs w:val="22"/>
                <w:lang w:val="el-GR"/>
              </w:rPr>
              <w:t xml:space="preserve"> </w:t>
            </w:r>
          </w:p>
        </w:tc>
        <w:tc>
          <w:tcPr>
            <w:tcW w:w="1232" w:type="pct"/>
          </w:tcPr>
          <w:p w:rsidR="00771DB5" w:rsidRPr="002518FB" w:rsidRDefault="00771DB5" w:rsidP="00B94BDC">
            <w:pPr>
              <w:pStyle w:val="mdTblEntryL"/>
              <w:rPr>
                <w:sz w:val="22"/>
                <w:szCs w:val="22"/>
                <w:lang w:val="el-GR"/>
              </w:rPr>
            </w:pPr>
          </w:p>
        </w:tc>
      </w:tr>
      <w:tr w:rsidR="00E2519F" w:rsidRPr="002518FB" w:rsidTr="009F1235">
        <w:tc>
          <w:tcPr>
            <w:tcW w:w="959" w:type="pct"/>
          </w:tcPr>
          <w:p w:rsidR="00771DB5" w:rsidRPr="002518FB" w:rsidRDefault="00EC708A" w:rsidP="00B94BDC">
            <w:pPr>
              <w:pStyle w:val="mdTblEntryL"/>
              <w:rPr>
                <w:b/>
                <w:sz w:val="22"/>
                <w:szCs w:val="22"/>
                <w:lang w:val="el-GR"/>
              </w:rPr>
            </w:pPr>
            <w:r w:rsidRPr="002518FB">
              <w:rPr>
                <w:b/>
                <w:sz w:val="22"/>
                <w:szCs w:val="22"/>
                <w:lang w:val="el-GR"/>
              </w:rPr>
              <w:t>Αγγειακές Διαταραχές</w:t>
            </w:r>
          </w:p>
        </w:tc>
        <w:tc>
          <w:tcPr>
            <w:tcW w:w="703" w:type="pct"/>
          </w:tcPr>
          <w:p w:rsidR="00771DB5" w:rsidRPr="002518FB" w:rsidRDefault="00771DB5" w:rsidP="00B94BDC">
            <w:pPr>
              <w:pStyle w:val="mdTblEntryL"/>
              <w:rPr>
                <w:sz w:val="22"/>
                <w:lang w:val="el-GR"/>
              </w:rPr>
            </w:pPr>
          </w:p>
        </w:tc>
        <w:tc>
          <w:tcPr>
            <w:tcW w:w="902" w:type="pct"/>
          </w:tcPr>
          <w:p w:rsidR="00771DB5" w:rsidRPr="002518FB" w:rsidRDefault="00771DB5" w:rsidP="00B94BDC">
            <w:pPr>
              <w:pStyle w:val="mdTblEntryL"/>
              <w:rPr>
                <w:sz w:val="22"/>
                <w:lang w:val="el-GR"/>
              </w:rPr>
            </w:pPr>
          </w:p>
        </w:tc>
        <w:tc>
          <w:tcPr>
            <w:tcW w:w="1204" w:type="pct"/>
          </w:tcPr>
          <w:p w:rsidR="00771DB5" w:rsidRPr="002518FB" w:rsidRDefault="00771DB5" w:rsidP="00B94BDC">
            <w:pPr>
              <w:pStyle w:val="mdTblEntryL"/>
              <w:rPr>
                <w:sz w:val="22"/>
                <w:lang w:val="el-GR"/>
              </w:rPr>
            </w:pPr>
          </w:p>
        </w:tc>
        <w:tc>
          <w:tcPr>
            <w:tcW w:w="1232" w:type="pct"/>
          </w:tcPr>
          <w:p w:rsidR="00771DB5" w:rsidRPr="002518FB" w:rsidRDefault="00AC2A4E" w:rsidP="00B94BDC">
            <w:pPr>
              <w:pStyle w:val="mdTblEntryL"/>
              <w:rPr>
                <w:sz w:val="22"/>
                <w:szCs w:val="22"/>
                <w:lang w:val="el-GR"/>
              </w:rPr>
            </w:pPr>
            <w:r w:rsidRPr="002518FB">
              <w:rPr>
                <w:sz w:val="22"/>
                <w:szCs w:val="22"/>
                <w:lang w:val="el-GR"/>
              </w:rPr>
              <w:t xml:space="preserve">Φαινόμενο </w:t>
            </w:r>
            <w:proofErr w:type="spellStart"/>
            <w:r w:rsidR="000F3434" w:rsidRPr="002518FB">
              <w:rPr>
                <w:sz w:val="22"/>
                <w:lang w:val="el-GR"/>
              </w:rPr>
              <w:t>Raynaud</w:t>
            </w:r>
            <w:proofErr w:type="spellEnd"/>
          </w:p>
        </w:tc>
      </w:tr>
      <w:tr w:rsidR="009F1235" w:rsidRPr="002518FB" w:rsidTr="009F1235">
        <w:tc>
          <w:tcPr>
            <w:tcW w:w="959" w:type="pct"/>
          </w:tcPr>
          <w:p w:rsidR="009F1235" w:rsidRPr="002518FB" w:rsidRDefault="009F1235" w:rsidP="00326B74">
            <w:pPr>
              <w:pStyle w:val="mdTblEntryL"/>
              <w:rPr>
                <w:b/>
                <w:sz w:val="22"/>
                <w:szCs w:val="22"/>
                <w:lang w:val="el-GR"/>
              </w:rPr>
            </w:pPr>
            <w:r w:rsidRPr="000339BB">
              <w:rPr>
                <w:b/>
                <w:noProof/>
                <w:sz w:val="22"/>
                <w:lang w:val="el-GR"/>
              </w:rPr>
              <w:t>Διαταραχές του αναπνευστικού συστήματος,του θώρακα και του μεσοθωράκιου</w:t>
            </w:r>
          </w:p>
        </w:tc>
        <w:tc>
          <w:tcPr>
            <w:tcW w:w="703" w:type="pct"/>
          </w:tcPr>
          <w:p w:rsidR="009F1235" w:rsidRPr="002518FB" w:rsidRDefault="009F1235" w:rsidP="00B94BDC">
            <w:pPr>
              <w:pStyle w:val="mdTblEntryL"/>
              <w:rPr>
                <w:sz w:val="22"/>
                <w:szCs w:val="22"/>
                <w:lang w:val="el-GR"/>
              </w:rPr>
            </w:pPr>
          </w:p>
        </w:tc>
        <w:tc>
          <w:tcPr>
            <w:tcW w:w="902" w:type="pct"/>
          </w:tcPr>
          <w:p w:rsidR="009F1235" w:rsidRPr="002518FB" w:rsidRDefault="009F1235" w:rsidP="00B94BDC">
            <w:pPr>
              <w:pStyle w:val="mdTblEntryL"/>
              <w:rPr>
                <w:sz w:val="22"/>
                <w:szCs w:val="22"/>
                <w:lang w:val="el-GR"/>
              </w:rPr>
            </w:pPr>
          </w:p>
        </w:tc>
        <w:tc>
          <w:tcPr>
            <w:tcW w:w="1204" w:type="pct"/>
          </w:tcPr>
          <w:p w:rsidR="009F1235" w:rsidRPr="002518FB" w:rsidRDefault="009F1235" w:rsidP="00B94BDC">
            <w:pPr>
              <w:pStyle w:val="mdTblEntryL"/>
              <w:rPr>
                <w:sz w:val="22"/>
                <w:lang w:val="el-GR"/>
              </w:rPr>
            </w:pPr>
            <w:r>
              <w:rPr>
                <w:sz w:val="22"/>
                <w:lang w:val="el-GR"/>
              </w:rPr>
              <w:t>Δύσπνοια (βλέπε παράγραφο 4.4)</w:t>
            </w:r>
          </w:p>
        </w:tc>
        <w:tc>
          <w:tcPr>
            <w:tcW w:w="1232" w:type="pct"/>
          </w:tcPr>
          <w:p w:rsidR="009F1235" w:rsidRPr="002518FB" w:rsidRDefault="009F1235" w:rsidP="00B94BDC">
            <w:pPr>
              <w:pStyle w:val="mdTblEntryL"/>
              <w:rPr>
                <w:sz w:val="22"/>
                <w:lang w:val="el-GR"/>
              </w:rPr>
            </w:pPr>
          </w:p>
        </w:tc>
      </w:tr>
      <w:tr w:rsidR="009F1235" w:rsidRPr="002518FB" w:rsidTr="009F1235">
        <w:tc>
          <w:tcPr>
            <w:tcW w:w="959" w:type="pct"/>
          </w:tcPr>
          <w:p w:rsidR="009F1235" w:rsidRPr="002518FB" w:rsidRDefault="009F1235" w:rsidP="00326B74">
            <w:pPr>
              <w:pStyle w:val="mdTblEntryL"/>
              <w:rPr>
                <w:b/>
                <w:sz w:val="22"/>
                <w:szCs w:val="22"/>
                <w:lang w:val="el-GR"/>
              </w:rPr>
            </w:pPr>
            <w:r w:rsidRPr="002518FB">
              <w:rPr>
                <w:b/>
                <w:sz w:val="22"/>
                <w:szCs w:val="22"/>
                <w:lang w:val="el-GR"/>
              </w:rPr>
              <w:t>Διαταραχές Γαστρεντερικού Συστήματος</w:t>
            </w:r>
          </w:p>
        </w:tc>
        <w:tc>
          <w:tcPr>
            <w:tcW w:w="703" w:type="pct"/>
          </w:tcPr>
          <w:p w:rsidR="009F1235" w:rsidRPr="002518FB" w:rsidRDefault="009F1235" w:rsidP="00B94BDC">
            <w:pPr>
              <w:pStyle w:val="mdTblEntryL"/>
              <w:rPr>
                <w:sz w:val="22"/>
                <w:szCs w:val="22"/>
                <w:lang w:val="el-GR"/>
              </w:rPr>
            </w:pPr>
            <w:r w:rsidRPr="002518FB">
              <w:rPr>
                <w:sz w:val="22"/>
                <w:szCs w:val="22"/>
                <w:lang w:val="el-GR"/>
              </w:rPr>
              <w:t>Κοιλιακό άλγος</w:t>
            </w:r>
            <w:r w:rsidRPr="002518FB">
              <w:rPr>
                <w:sz w:val="22"/>
                <w:szCs w:val="22"/>
                <w:vertAlign w:val="superscript"/>
                <w:lang w:val="el-GR"/>
              </w:rPr>
              <w:t>1</w:t>
            </w:r>
            <w:r w:rsidRPr="002518FB">
              <w:rPr>
                <w:sz w:val="22"/>
                <w:lang w:val="el-GR"/>
              </w:rPr>
              <w:t xml:space="preserve">, </w:t>
            </w:r>
            <w:r w:rsidRPr="002518FB">
              <w:rPr>
                <w:sz w:val="22"/>
                <w:szCs w:val="22"/>
                <w:lang w:val="el-GR"/>
              </w:rPr>
              <w:t>έμετος, ναυτία</w:t>
            </w:r>
          </w:p>
        </w:tc>
        <w:tc>
          <w:tcPr>
            <w:tcW w:w="902" w:type="pct"/>
          </w:tcPr>
          <w:p w:rsidR="009F1235" w:rsidRPr="002518FB" w:rsidRDefault="009F1235" w:rsidP="00B94BDC">
            <w:pPr>
              <w:pStyle w:val="mdTblEntryL"/>
              <w:rPr>
                <w:sz w:val="22"/>
                <w:lang w:val="el-GR"/>
              </w:rPr>
            </w:pPr>
            <w:r w:rsidRPr="002518FB">
              <w:rPr>
                <w:sz w:val="22"/>
                <w:szCs w:val="22"/>
                <w:lang w:val="el-GR"/>
              </w:rPr>
              <w:t>Δυσκοιλιότητα</w:t>
            </w:r>
            <w:r w:rsidRPr="002518FB">
              <w:rPr>
                <w:sz w:val="22"/>
                <w:lang w:val="el-GR"/>
              </w:rPr>
              <w:t xml:space="preserve">, </w:t>
            </w:r>
            <w:r w:rsidRPr="002518FB">
              <w:rPr>
                <w:sz w:val="22"/>
                <w:szCs w:val="22"/>
                <w:lang w:val="el-GR"/>
              </w:rPr>
              <w:t>δυσπεψία</w:t>
            </w:r>
          </w:p>
        </w:tc>
        <w:tc>
          <w:tcPr>
            <w:tcW w:w="1204" w:type="pct"/>
          </w:tcPr>
          <w:p w:rsidR="009F1235" w:rsidRPr="002518FB" w:rsidRDefault="009F1235" w:rsidP="00B94BDC">
            <w:pPr>
              <w:pStyle w:val="mdTblEntryL"/>
              <w:rPr>
                <w:sz w:val="22"/>
                <w:lang w:val="el-GR"/>
              </w:rPr>
            </w:pPr>
          </w:p>
        </w:tc>
        <w:tc>
          <w:tcPr>
            <w:tcW w:w="1232" w:type="pct"/>
          </w:tcPr>
          <w:p w:rsidR="009F1235" w:rsidRPr="002518FB" w:rsidRDefault="009F1235" w:rsidP="00B94BDC">
            <w:pPr>
              <w:pStyle w:val="mdTblEntryL"/>
              <w:rPr>
                <w:sz w:val="22"/>
                <w:lang w:val="el-GR"/>
              </w:rPr>
            </w:pPr>
          </w:p>
        </w:tc>
      </w:tr>
      <w:tr w:rsidR="009F1235" w:rsidRPr="00006638" w:rsidTr="009F1235">
        <w:tc>
          <w:tcPr>
            <w:tcW w:w="959" w:type="pct"/>
          </w:tcPr>
          <w:p w:rsidR="009F1235" w:rsidRPr="002518FB" w:rsidRDefault="009F1235" w:rsidP="00B94BDC">
            <w:pPr>
              <w:pStyle w:val="mdTblEntryL"/>
              <w:rPr>
                <w:b/>
                <w:sz w:val="22"/>
                <w:szCs w:val="22"/>
                <w:lang w:val="el-GR"/>
              </w:rPr>
            </w:pPr>
            <w:r w:rsidRPr="002518FB">
              <w:rPr>
                <w:b/>
                <w:sz w:val="22"/>
                <w:szCs w:val="22"/>
                <w:lang w:val="el-GR"/>
              </w:rPr>
              <w:t>Διαταραχές του Ήπατος και των Χοληφόρων</w:t>
            </w:r>
          </w:p>
        </w:tc>
        <w:tc>
          <w:tcPr>
            <w:tcW w:w="703" w:type="pct"/>
          </w:tcPr>
          <w:p w:rsidR="009F1235" w:rsidRPr="002518FB" w:rsidRDefault="009F1235" w:rsidP="00B94BDC">
            <w:pPr>
              <w:pStyle w:val="mdTblEntryL"/>
              <w:rPr>
                <w:sz w:val="22"/>
                <w:szCs w:val="22"/>
                <w:lang w:val="el-GR"/>
              </w:rPr>
            </w:pPr>
          </w:p>
        </w:tc>
        <w:tc>
          <w:tcPr>
            <w:tcW w:w="902" w:type="pct"/>
          </w:tcPr>
          <w:p w:rsidR="009F1235" w:rsidRPr="002518FB" w:rsidRDefault="009F1235" w:rsidP="00B94BDC">
            <w:pPr>
              <w:pStyle w:val="mdTblEntryL"/>
              <w:rPr>
                <w:sz w:val="22"/>
                <w:szCs w:val="22"/>
                <w:lang w:val="el-GR"/>
              </w:rPr>
            </w:pPr>
          </w:p>
        </w:tc>
        <w:tc>
          <w:tcPr>
            <w:tcW w:w="1204" w:type="pct"/>
          </w:tcPr>
          <w:p w:rsidR="009F1235" w:rsidRPr="002518FB" w:rsidRDefault="009F1235" w:rsidP="00B94BDC">
            <w:pPr>
              <w:pStyle w:val="mdTblEntryL"/>
              <w:rPr>
                <w:sz w:val="22"/>
                <w:szCs w:val="22"/>
                <w:lang w:val="el-GR"/>
              </w:rPr>
            </w:pPr>
            <w:r w:rsidRPr="002518FB">
              <w:rPr>
                <w:sz w:val="22"/>
                <w:szCs w:val="22"/>
                <w:lang w:val="el-GR" w:eastAsia="el-GR"/>
              </w:rPr>
              <w:t xml:space="preserve">Αυξημένη </w:t>
            </w:r>
            <w:proofErr w:type="spellStart"/>
            <w:r w:rsidRPr="002518FB">
              <w:rPr>
                <w:sz w:val="22"/>
                <w:szCs w:val="22"/>
                <w:lang w:val="el-GR" w:eastAsia="el-GR"/>
              </w:rPr>
              <w:t>χολερυθρίνη</w:t>
            </w:r>
            <w:proofErr w:type="spellEnd"/>
            <w:r w:rsidRPr="002518FB">
              <w:rPr>
                <w:sz w:val="22"/>
                <w:szCs w:val="22"/>
                <w:lang w:val="el-GR" w:eastAsia="el-GR"/>
              </w:rPr>
              <w:t xml:space="preserve"> αίματος*.</w:t>
            </w:r>
          </w:p>
        </w:tc>
        <w:tc>
          <w:tcPr>
            <w:tcW w:w="1232" w:type="pct"/>
          </w:tcPr>
          <w:p w:rsidR="009F1235" w:rsidRPr="002518FB" w:rsidRDefault="009F1235" w:rsidP="00B94BDC">
            <w:pPr>
              <w:rPr>
                <w:sz w:val="22"/>
                <w:szCs w:val="22"/>
                <w:lang w:val="el-GR"/>
              </w:rPr>
            </w:pPr>
            <w:r w:rsidRPr="002518FB">
              <w:rPr>
                <w:sz w:val="22"/>
                <w:szCs w:val="22"/>
                <w:lang w:val="el-GR"/>
              </w:rPr>
              <w:t>Μη φυσιολογικές/αυξημένες τιμές ηπατικών δοκιμασιών, ίκτερος, ηπατίτιδα, ηπατική βλάβη, οξεία ηπατική ανεπάρκεια*.</w:t>
            </w:r>
          </w:p>
          <w:p w:rsidR="009F1235" w:rsidRPr="002518FB" w:rsidRDefault="009F1235" w:rsidP="00B94BDC">
            <w:pPr>
              <w:pStyle w:val="mdTblEntryL"/>
              <w:rPr>
                <w:sz w:val="22"/>
                <w:szCs w:val="22"/>
                <w:lang w:val="el-GR"/>
              </w:rPr>
            </w:pPr>
          </w:p>
        </w:tc>
      </w:tr>
      <w:tr w:rsidR="009F1235" w:rsidRPr="002518FB" w:rsidTr="009F1235">
        <w:tc>
          <w:tcPr>
            <w:tcW w:w="959" w:type="pct"/>
          </w:tcPr>
          <w:p w:rsidR="009F1235" w:rsidRPr="002518FB" w:rsidRDefault="009F1235" w:rsidP="00B94BDC">
            <w:pPr>
              <w:pStyle w:val="mdTblEntryL"/>
              <w:rPr>
                <w:b/>
                <w:sz w:val="22"/>
                <w:szCs w:val="22"/>
                <w:lang w:val="el-GR"/>
              </w:rPr>
            </w:pPr>
            <w:r w:rsidRPr="002518FB">
              <w:rPr>
                <w:b/>
                <w:sz w:val="22"/>
                <w:szCs w:val="22"/>
                <w:lang w:val="el-GR"/>
              </w:rPr>
              <w:t>Διαταραχές του Δέρματος και του Υποδόριου Ιστού</w:t>
            </w:r>
          </w:p>
        </w:tc>
        <w:tc>
          <w:tcPr>
            <w:tcW w:w="703" w:type="pct"/>
          </w:tcPr>
          <w:p w:rsidR="009F1235" w:rsidRPr="002518FB" w:rsidRDefault="009F1235" w:rsidP="00B94BDC">
            <w:pPr>
              <w:pStyle w:val="mdTblEntryL"/>
              <w:rPr>
                <w:sz w:val="22"/>
                <w:szCs w:val="22"/>
                <w:lang w:val="el-GR"/>
              </w:rPr>
            </w:pPr>
          </w:p>
        </w:tc>
        <w:tc>
          <w:tcPr>
            <w:tcW w:w="902" w:type="pct"/>
          </w:tcPr>
          <w:p w:rsidR="009F1235" w:rsidRPr="002518FB" w:rsidRDefault="009F1235" w:rsidP="00B94BDC">
            <w:pPr>
              <w:pStyle w:val="mdTblEntryL"/>
              <w:rPr>
                <w:sz w:val="22"/>
                <w:szCs w:val="22"/>
                <w:lang w:val="el-GR"/>
              </w:rPr>
            </w:pPr>
            <w:r w:rsidRPr="002518FB">
              <w:rPr>
                <w:sz w:val="22"/>
                <w:szCs w:val="22"/>
                <w:lang w:val="el-GR"/>
              </w:rPr>
              <w:t>Δερματίτιδα</w:t>
            </w:r>
            <w:r w:rsidRPr="002518FB">
              <w:rPr>
                <w:sz w:val="22"/>
                <w:lang w:val="el-GR"/>
              </w:rPr>
              <w:t xml:space="preserve">, </w:t>
            </w:r>
            <w:r w:rsidRPr="002518FB">
              <w:rPr>
                <w:sz w:val="22"/>
                <w:szCs w:val="22"/>
                <w:lang w:val="el-GR"/>
              </w:rPr>
              <w:t>κνησμός, εξάνθημα.</w:t>
            </w:r>
          </w:p>
        </w:tc>
        <w:tc>
          <w:tcPr>
            <w:tcW w:w="1204" w:type="pct"/>
          </w:tcPr>
          <w:p w:rsidR="009F1235" w:rsidRPr="002518FB" w:rsidRDefault="009F1235" w:rsidP="00B94BDC">
            <w:pPr>
              <w:pStyle w:val="mdTblEntryL"/>
              <w:rPr>
                <w:sz w:val="22"/>
                <w:szCs w:val="22"/>
                <w:lang w:val="el-GR"/>
              </w:rPr>
            </w:pPr>
            <w:r w:rsidRPr="002518FB">
              <w:rPr>
                <w:sz w:val="22"/>
                <w:szCs w:val="22"/>
                <w:lang w:val="el-GR"/>
              </w:rPr>
              <w:t>Αυξημένη εφίδρωση, αλλεργικές αντιδράσεις.</w:t>
            </w:r>
          </w:p>
        </w:tc>
        <w:tc>
          <w:tcPr>
            <w:tcW w:w="1232" w:type="pct"/>
          </w:tcPr>
          <w:p w:rsidR="009F1235" w:rsidRPr="002518FB" w:rsidRDefault="009F1235" w:rsidP="00B94BDC">
            <w:pPr>
              <w:pStyle w:val="mdTblEntryL"/>
              <w:rPr>
                <w:sz w:val="22"/>
                <w:szCs w:val="22"/>
                <w:lang w:val="el-GR"/>
              </w:rPr>
            </w:pPr>
            <w:r w:rsidRPr="002518FB">
              <w:rPr>
                <w:sz w:val="22"/>
                <w:szCs w:val="22"/>
                <w:lang w:val="el-GR"/>
              </w:rPr>
              <w:t xml:space="preserve"> </w:t>
            </w:r>
          </w:p>
        </w:tc>
      </w:tr>
      <w:tr w:rsidR="009F1235" w:rsidRPr="00006638" w:rsidTr="009F1235">
        <w:tc>
          <w:tcPr>
            <w:tcW w:w="959" w:type="pct"/>
          </w:tcPr>
          <w:p w:rsidR="009F1235" w:rsidRPr="002518FB" w:rsidRDefault="009F1235" w:rsidP="00B94BDC">
            <w:pPr>
              <w:pStyle w:val="mdTblEntryL"/>
              <w:rPr>
                <w:b/>
                <w:sz w:val="22"/>
                <w:szCs w:val="22"/>
                <w:lang w:val="el-GR"/>
              </w:rPr>
            </w:pPr>
            <w:r w:rsidRPr="002518FB">
              <w:rPr>
                <w:b/>
                <w:sz w:val="22"/>
                <w:szCs w:val="22"/>
                <w:lang w:val="el-GR"/>
              </w:rPr>
              <w:t>Διαταραχές των νεφρών και των ουροφόρων οδών</w:t>
            </w:r>
          </w:p>
        </w:tc>
        <w:tc>
          <w:tcPr>
            <w:tcW w:w="703" w:type="pct"/>
          </w:tcPr>
          <w:p w:rsidR="009F1235" w:rsidRPr="002518FB" w:rsidRDefault="009F1235" w:rsidP="00B94BDC">
            <w:pPr>
              <w:pStyle w:val="mdTblEntryL"/>
              <w:rPr>
                <w:sz w:val="22"/>
                <w:szCs w:val="22"/>
                <w:lang w:val="el-GR"/>
              </w:rPr>
            </w:pPr>
          </w:p>
        </w:tc>
        <w:tc>
          <w:tcPr>
            <w:tcW w:w="902" w:type="pct"/>
          </w:tcPr>
          <w:p w:rsidR="009F1235" w:rsidRPr="002518FB" w:rsidRDefault="009F1235" w:rsidP="00B94BDC">
            <w:pPr>
              <w:pStyle w:val="mdTblEntryL"/>
              <w:rPr>
                <w:sz w:val="22"/>
                <w:szCs w:val="22"/>
                <w:lang w:val="el-GR"/>
              </w:rPr>
            </w:pPr>
          </w:p>
        </w:tc>
        <w:tc>
          <w:tcPr>
            <w:tcW w:w="1204" w:type="pct"/>
          </w:tcPr>
          <w:p w:rsidR="009F1235" w:rsidRPr="002518FB" w:rsidRDefault="009F1235" w:rsidP="00B94BDC">
            <w:pPr>
              <w:pStyle w:val="mdTblEntryL"/>
              <w:rPr>
                <w:sz w:val="22"/>
                <w:szCs w:val="22"/>
                <w:lang w:val="el-GR"/>
              </w:rPr>
            </w:pPr>
          </w:p>
        </w:tc>
        <w:tc>
          <w:tcPr>
            <w:tcW w:w="1232" w:type="pct"/>
          </w:tcPr>
          <w:p w:rsidR="009F1235" w:rsidRPr="002518FB" w:rsidRDefault="009F1235" w:rsidP="00B94BDC">
            <w:pPr>
              <w:pStyle w:val="mdTblEntryL"/>
              <w:rPr>
                <w:sz w:val="22"/>
                <w:szCs w:val="22"/>
                <w:lang w:val="el-GR"/>
              </w:rPr>
            </w:pPr>
            <w:r w:rsidRPr="002518FB">
              <w:rPr>
                <w:sz w:val="22"/>
                <w:szCs w:val="22"/>
                <w:lang w:val="el-GR"/>
              </w:rPr>
              <w:t>Δυσκολία στην ούρηση, κατακράτηση ούρων</w:t>
            </w:r>
          </w:p>
        </w:tc>
      </w:tr>
      <w:tr w:rsidR="009F1235" w:rsidRPr="00006638" w:rsidTr="009F1235">
        <w:tc>
          <w:tcPr>
            <w:tcW w:w="959" w:type="pct"/>
          </w:tcPr>
          <w:p w:rsidR="009F1235" w:rsidRPr="002518FB" w:rsidRDefault="009F1235" w:rsidP="00CB1673">
            <w:pPr>
              <w:pStyle w:val="Text"/>
              <w:tabs>
                <w:tab w:val="left" w:pos="567"/>
              </w:tabs>
              <w:spacing w:before="0" w:after="0" w:line="240" w:lineRule="auto"/>
              <w:ind w:left="0" w:right="0" w:firstLine="0"/>
              <w:rPr>
                <w:b/>
                <w:color w:val="auto"/>
                <w:sz w:val="22"/>
                <w:lang w:val="el-GR"/>
              </w:rPr>
            </w:pPr>
            <w:r w:rsidRPr="002518FB">
              <w:rPr>
                <w:b/>
                <w:color w:val="auto"/>
                <w:sz w:val="22"/>
                <w:lang w:val="el-GR"/>
              </w:rPr>
              <w:t xml:space="preserve">Διαταραχές του </w:t>
            </w:r>
            <w:r w:rsidRPr="002518FB">
              <w:rPr>
                <w:b/>
                <w:color w:val="auto"/>
                <w:sz w:val="22"/>
                <w:lang w:val="el-GR"/>
              </w:rPr>
              <w:lastRenderedPageBreak/>
              <w:t>Αναπαραγωγικού Συστήματος και του Μαστού</w:t>
            </w:r>
          </w:p>
          <w:p w:rsidR="009F1235" w:rsidRPr="002518FB" w:rsidRDefault="009F1235" w:rsidP="00B94BDC">
            <w:pPr>
              <w:pStyle w:val="mdTblEntryL"/>
              <w:rPr>
                <w:b/>
                <w:sz w:val="22"/>
                <w:szCs w:val="22"/>
                <w:lang w:val="el-GR"/>
              </w:rPr>
            </w:pPr>
          </w:p>
        </w:tc>
        <w:tc>
          <w:tcPr>
            <w:tcW w:w="703" w:type="pct"/>
          </w:tcPr>
          <w:p w:rsidR="009F1235" w:rsidRPr="002518FB" w:rsidRDefault="009F1235" w:rsidP="00B94BDC">
            <w:pPr>
              <w:pStyle w:val="mdTblEntryL"/>
              <w:rPr>
                <w:sz w:val="22"/>
                <w:szCs w:val="22"/>
                <w:lang w:val="el-GR"/>
              </w:rPr>
            </w:pPr>
          </w:p>
        </w:tc>
        <w:tc>
          <w:tcPr>
            <w:tcW w:w="902" w:type="pct"/>
          </w:tcPr>
          <w:p w:rsidR="009F1235" w:rsidRPr="002518FB" w:rsidRDefault="009F1235" w:rsidP="00B94BDC">
            <w:pPr>
              <w:pStyle w:val="mdTblEntryL"/>
              <w:rPr>
                <w:sz w:val="22"/>
                <w:szCs w:val="22"/>
                <w:lang w:val="el-GR"/>
              </w:rPr>
            </w:pPr>
          </w:p>
        </w:tc>
        <w:tc>
          <w:tcPr>
            <w:tcW w:w="1204" w:type="pct"/>
          </w:tcPr>
          <w:p w:rsidR="009F1235" w:rsidRPr="002518FB" w:rsidRDefault="009F1235" w:rsidP="00B94BDC">
            <w:pPr>
              <w:pStyle w:val="mdTblEntryL"/>
              <w:rPr>
                <w:sz w:val="22"/>
                <w:szCs w:val="22"/>
                <w:lang w:val="el-GR"/>
              </w:rPr>
            </w:pPr>
          </w:p>
        </w:tc>
        <w:tc>
          <w:tcPr>
            <w:tcW w:w="1232" w:type="pct"/>
          </w:tcPr>
          <w:p w:rsidR="009F1235" w:rsidRPr="002518FB" w:rsidRDefault="009F1235" w:rsidP="00B94BDC">
            <w:pPr>
              <w:pStyle w:val="mdTblEntryL"/>
              <w:rPr>
                <w:sz w:val="22"/>
                <w:szCs w:val="22"/>
                <w:lang w:val="el-GR"/>
              </w:rPr>
            </w:pPr>
            <w:r w:rsidRPr="002518FB">
              <w:rPr>
                <w:sz w:val="22"/>
                <w:szCs w:val="22"/>
                <w:lang w:val="el-GR"/>
              </w:rPr>
              <w:t xml:space="preserve">Πριαπισμός, άλγος στο </w:t>
            </w:r>
            <w:r w:rsidRPr="002518FB">
              <w:rPr>
                <w:sz w:val="22"/>
                <w:szCs w:val="22"/>
                <w:lang w:val="el-GR"/>
              </w:rPr>
              <w:lastRenderedPageBreak/>
              <w:t>γενετικό σύστημα των αρρένων</w:t>
            </w:r>
          </w:p>
        </w:tc>
      </w:tr>
      <w:tr w:rsidR="009F1235" w:rsidRPr="002518FB" w:rsidTr="009F1235">
        <w:tc>
          <w:tcPr>
            <w:tcW w:w="959" w:type="pct"/>
          </w:tcPr>
          <w:p w:rsidR="009F1235" w:rsidRPr="002518FB" w:rsidRDefault="009F1235" w:rsidP="00B94BDC">
            <w:pPr>
              <w:pStyle w:val="mdTblEntryL"/>
              <w:rPr>
                <w:b/>
                <w:sz w:val="22"/>
                <w:szCs w:val="22"/>
                <w:lang w:val="el-GR"/>
              </w:rPr>
            </w:pPr>
            <w:r w:rsidRPr="002518FB">
              <w:rPr>
                <w:b/>
                <w:sz w:val="22"/>
                <w:szCs w:val="22"/>
                <w:lang w:val="el-GR"/>
              </w:rPr>
              <w:lastRenderedPageBreak/>
              <w:t xml:space="preserve">Γενικές Διαταραχές και Καταστάσεις της Οδού Χορήγησης </w:t>
            </w:r>
          </w:p>
        </w:tc>
        <w:tc>
          <w:tcPr>
            <w:tcW w:w="703" w:type="pct"/>
          </w:tcPr>
          <w:p w:rsidR="009F1235" w:rsidRPr="002518FB" w:rsidRDefault="009F1235" w:rsidP="00B94BDC">
            <w:pPr>
              <w:pStyle w:val="mdTblEntryL"/>
              <w:rPr>
                <w:sz w:val="22"/>
                <w:szCs w:val="22"/>
                <w:lang w:val="el-GR"/>
              </w:rPr>
            </w:pPr>
          </w:p>
        </w:tc>
        <w:tc>
          <w:tcPr>
            <w:tcW w:w="902" w:type="pct"/>
          </w:tcPr>
          <w:p w:rsidR="009F1235" w:rsidRPr="002518FB" w:rsidRDefault="009F1235" w:rsidP="00B94BDC">
            <w:pPr>
              <w:pStyle w:val="mdTblEntryL"/>
              <w:rPr>
                <w:sz w:val="22"/>
                <w:szCs w:val="22"/>
                <w:lang w:val="el-GR"/>
              </w:rPr>
            </w:pPr>
            <w:r w:rsidRPr="002518FB">
              <w:rPr>
                <w:sz w:val="22"/>
                <w:szCs w:val="22"/>
                <w:lang w:val="el-GR"/>
              </w:rPr>
              <w:t>Κόπωση, λήθαργος</w:t>
            </w:r>
          </w:p>
          <w:p w:rsidR="009F1235" w:rsidRPr="002518FB" w:rsidRDefault="009F1235" w:rsidP="00B94BDC">
            <w:pPr>
              <w:pStyle w:val="mdTblEntryL"/>
              <w:rPr>
                <w:sz w:val="22"/>
                <w:lang w:val="el-GR"/>
              </w:rPr>
            </w:pPr>
            <w:r>
              <w:rPr>
                <w:sz w:val="22"/>
                <w:szCs w:val="22"/>
                <w:lang w:val="el-GR"/>
              </w:rPr>
              <w:t>Θωρακικό άλγος (βλέπε παράγραφο 4.4</w:t>
            </w:r>
          </w:p>
          <w:p w:rsidR="009F1235" w:rsidRPr="002518FB" w:rsidRDefault="009F1235" w:rsidP="00B94BDC">
            <w:pPr>
              <w:pStyle w:val="mdTblEntryL"/>
              <w:rPr>
                <w:sz w:val="22"/>
                <w:lang w:val="el-GR"/>
              </w:rPr>
            </w:pPr>
          </w:p>
          <w:p w:rsidR="009F1235" w:rsidRPr="002518FB" w:rsidRDefault="009F1235" w:rsidP="00B94BDC">
            <w:pPr>
              <w:pStyle w:val="mdTblEntryL"/>
              <w:rPr>
                <w:sz w:val="22"/>
                <w:lang w:val="el-GR"/>
              </w:rPr>
            </w:pPr>
          </w:p>
        </w:tc>
        <w:tc>
          <w:tcPr>
            <w:tcW w:w="1204" w:type="pct"/>
          </w:tcPr>
          <w:p w:rsidR="009F1235" w:rsidRPr="002518FB" w:rsidRDefault="009F1235" w:rsidP="00B94BDC">
            <w:pPr>
              <w:pStyle w:val="mdTblEntryL"/>
              <w:rPr>
                <w:sz w:val="22"/>
                <w:lang w:val="el-GR"/>
              </w:rPr>
            </w:pPr>
            <w:r w:rsidRPr="002518FB">
              <w:rPr>
                <w:sz w:val="22"/>
                <w:szCs w:val="22"/>
                <w:lang w:val="el-GR"/>
              </w:rPr>
              <w:t>Εξασθένηση</w:t>
            </w:r>
          </w:p>
        </w:tc>
        <w:tc>
          <w:tcPr>
            <w:tcW w:w="1232" w:type="pct"/>
          </w:tcPr>
          <w:p w:rsidR="009F1235" w:rsidRPr="002518FB" w:rsidRDefault="009F1235" w:rsidP="00B94BDC">
            <w:pPr>
              <w:pStyle w:val="mdTblEntryL"/>
              <w:rPr>
                <w:sz w:val="22"/>
                <w:lang w:val="el-GR"/>
              </w:rPr>
            </w:pPr>
          </w:p>
        </w:tc>
      </w:tr>
      <w:tr w:rsidR="009F1235" w:rsidRPr="002518FB" w:rsidTr="009F1235">
        <w:tc>
          <w:tcPr>
            <w:tcW w:w="959" w:type="pct"/>
          </w:tcPr>
          <w:p w:rsidR="009F1235" w:rsidRPr="002518FB" w:rsidRDefault="009F1235" w:rsidP="00B94BDC">
            <w:pPr>
              <w:pStyle w:val="mdTblEntryL"/>
              <w:rPr>
                <w:b/>
                <w:sz w:val="22"/>
                <w:szCs w:val="22"/>
                <w:lang w:val="el-GR"/>
              </w:rPr>
            </w:pPr>
            <w:proofErr w:type="spellStart"/>
            <w:r w:rsidRPr="002518FB">
              <w:rPr>
                <w:b/>
                <w:sz w:val="22"/>
                <w:szCs w:val="22"/>
                <w:lang w:val="el-GR"/>
              </w:rPr>
              <w:t>Παρακλινικές</w:t>
            </w:r>
            <w:proofErr w:type="spellEnd"/>
            <w:r w:rsidRPr="002518FB">
              <w:rPr>
                <w:b/>
                <w:sz w:val="22"/>
                <w:szCs w:val="22"/>
                <w:lang w:val="el-GR"/>
              </w:rPr>
              <w:t xml:space="preserve"> Εξετάσεις</w:t>
            </w:r>
          </w:p>
        </w:tc>
        <w:tc>
          <w:tcPr>
            <w:tcW w:w="703" w:type="pct"/>
          </w:tcPr>
          <w:p w:rsidR="009F1235" w:rsidRPr="002518FB" w:rsidRDefault="009F1235" w:rsidP="00B94BDC">
            <w:pPr>
              <w:pStyle w:val="mdTblEntryL"/>
              <w:rPr>
                <w:sz w:val="22"/>
                <w:szCs w:val="22"/>
                <w:lang w:val="el-GR"/>
              </w:rPr>
            </w:pPr>
            <w:r w:rsidRPr="002518FB">
              <w:rPr>
                <w:sz w:val="22"/>
                <w:szCs w:val="22"/>
                <w:lang w:val="el-GR"/>
              </w:rPr>
              <w:t>Αρτηριακή πίεση αυξημένη</w:t>
            </w:r>
            <w:r w:rsidRPr="002518FB">
              <w:rPr>
                <w:sz w:val="22"/>
                <w:szCs w:val="22"/>
                <w:vertAlign w:val="superscript"/>
                <w:lang w:val="el-GR"/>
              </w:rPr>
              <w:t>4</w:t>
            </w:r>
            <w:r w:rsidRPr="002518FB">
              <w:rPr>
                <w:sz w:val="22"/>
                <w:szCs w:val="22"/>
                <w:lang w:val="el-GR"/>
              </w:rPr>
              <w:t>, Καρδιακός ρυθμός αυξημένος</w:t>
            </w:r>
            <w:r w:rsidRPr="002518FB">
              <w:rPr>
                <w:sz w:val="22"/>
                <w:szCs w:val="22"/>
                <w:vertAlign w:val="superscript"/>
                <w:lang w:val="el-GR"/>
              </w:rPr>
              <w:t>4</w:t>
            </w:r>
            <w:r w:rsidRPr="002518FB">
              <w:rPr>
                <w:sz w:val="22"/>
                <w:szCs w:val="22"/>
                <w:lang w:val="el-GR"/>
              </w:rPr>
              <w:t xml:space="preserve"> </w:t>
            </w:r>
          </w:p>
        </w:tc>
        <w:tc>
          <w:tcPr>
            <w:tcW w:w="902" w:type="pct"/>
          </w:tcPr>
          <w:p w:rsidR="009F1235" w:rsidRPr="002518FB" w:rsidRDefault="009F1235" w:rsidP="003E0572">
            <w:pPr>
              <w:pStyle w:val="mdTblEntryL"/>
              <w:rPr>
                <w:sz w:val="22"/>
                <w:szCs w:val="22"/>
                <w:lang w:val="el-GR"/>
              </w:rPr>
            </w:pPr>
            <w:r w:rsidRPr="002518FB">
              <w:rPr>
                <w:sz w:val="22"/>
                <w:szCs w:val="22"/>
                <w:lang w:val="el-GR"/>
              </w:rPr>
              <w:t>Σωματικό βάρος μειωμένο</w:t>
            </w:r>
          </w:p>
        </w:tc>
        <w:tc>
          <w:tcPr>
            <w:tcW w:w="1204" w:type="pct"/>
          </w:tcPr>
          <w:p w:rsidR="009F1235" w:rsidRPr="002518FB" w:rsidRDefault="009F1235" w:rsidP="00B94BDC">
            <w:pPr>
              <w:pStyle w:val="mdTblEntryL"/>
              <w:rPr>
                <w:sz w:val="22"/>
                <w:szCs w:val="22"/>
                <w:lang w:val="el-GR"/>
              </w:rPr>
            </w:pPr>
          </w:p>
        </w:tc>
        <w:tc>
          <w:tcPr>
            <w:tcW w:w="1232" w:type="pct"/>
          </w:tcPr>
          <w:p w:rsidR="009F1235" w:rsidRPr="002518FB" w:rsidRDefault="009F1235" w:rsidP="00B94BDC">
            <w:pPr>
              <w:pStyle w:val="mdTblEntryL"/>
              <w:rPr>
                <w:sz w:val="22"/>
                <w:szCs w:val="22"/>
                <w:lang w:val="el-GR"/>
              </w:rPr>
            </w:pPr>
          </w:p>
        </w:tc>
      </w:tr>
    </w:tbl>
    <w:p w:rsidR="00B95BC7" w:rsidRPr="002518FB" w:rsidRDefault="00B95BC7" w:rsidP="00771DB5">
      <w:pPr>
        <w:rPr>
          <w:vertAlign w:val="superscript"/>
          <w:lang w:val="el-GR"/>
        </w:rPr>
      </w:pPr>
    </w:p>
    <w:p w:rsidR="00771DB5" w:rsidRPr="002518FB" w:rsidRDefault="004C1D09" w:rsidP="00771DB5">
      <w:pPr>
        <w:rPr>
          <w:sz w:val="22"/>
          <w:szCs w:val="22"/>
          <w:lang w:val="el-GR"/>
        </w:rPr>
      </w:pPr>
      <w:r w:rsidRPr="002518FB">
        <w:rPr>
          <w:vertAlign w:val="superscript"/>
          <w:lang w:val="el-GR"/>
        </w:rPr>
        <w:t xml:space="preserve">1 </w:t>
      </w:r>
      <w:r w:rsidR="00B272ED" w:rsidRPr="002518FB">
        <w:rPr>
          <w:sz w:val="22"/>
          <w:szCs w:val="22"/>
          <w:lang w:val="el-GR"/>
        </w:rPr>
        <w:t xml:space="preserve">Επίσης </w:t>
      </w:r>
      <w:r w:rsidRPr="002518FB">
        <w:rPr>
          <w:sz w:val="22"/>
          <w:szCs w:val="22"/>
          <w:lang w:val="el-GR"/>
        </w:rPr>
        <w:t xml:space="preserve">περιλαμβάνει άλγος άνω κοιλιακής χώρας, δυσφορία του στομάχου, κοιλιακή δυσφορία και </w:t>
      </w:r>
      <w:proofErr w:type="spellStart"/>
      <w:r w:rsidRPr="002518FB">
        <w:rPr>
          <w:sz w:val="22"/>
          <w:szCs w:val="22"/>
          <w:lang w:val="el-GR"/>
        </w:rPr>
        <w:t>επιγαστρική</w:t>
      </w:r>
      <w:proofErr w:type="spellEnd"/>
      <w:r w:rsidRPr="002518FB">
        <w:rPr>
          <w:sz w:val="22"/>
          <w:szCs w:val="22"/>
          <w:lang w:val="el-GR"/>
        </w:rPr>
        <w:t xml:space="preserve"> δυσφορία.</w:t>
      </w:r>
    </w:p>
    <w:p w:rsidR="0093754F" w:rsidRPr="002518FB" w:rsidRDefault="0093754F" w:rsidP="00771DB5">
      <w:pPr>
        <w:rPr>
          <w:sz w:val="22"/>
          <w:szCs w:val="22"/>
          <w:lang w:val="el-GR"/>
        </w:rPr>
      </w:pPr>
      <w:r w:rsidRPr="002518FB">
        <w:rPr>
          <w:vertAlign w:val="superscript"/>
          <w:lang w:val="el-GR"/>
        </w:rPr>
        <w:t xml:space="preserve">2 </w:t>
      </w:r>
      <w:r w:rsidRPr="002518FB">
        <w:rPr>
          <w:sz w:val="22"/>
          <w:szCs w:val="22"/>
          <w:lang w:val="el-GR"/>
        </w:rPr>
        <w:t>Επίσης περιλαμβάνει καταστολή</w:t>
      </w:r>
    </w:p>
    <w:p w:rsidR="00533F72" w:rsidRPr="002518FB" w:rsidRDefault="0093754F" w:rsidP="00533F72">
      <w:pPr>
        <w:rPr>
          <w:sz w:val="22"/>
          <w:lang w:val="el-GR"/>
        </w:rPr>
      </w:pPr>
      <w:r w:rsidRPr="002518FB">
        <w:rPr>
          <w:vertAlign w:val="superscript"/>
          <w:lang w:val="el-GR"/>
        </w:rPr>
        <w:t xml:space="preserve">3 </w:t>
      </w:r>
      <w:r w:rsidR="00E64D6C" w:rsidRPr="002518FB">
        <w:rPr>
          <w:sz w:val="22"/>
          <w:szCs w:val="22"/>
          <w:lang w:val="el-GR"/>
        </w:rPr>
        <w:t>Π</w:t>
      </w:r>
      <w:r w:rsidRPr="002518FB">
        <w:rPr>
          <w:sz w:val="22"/>
          <w:szCs w:val="22"/>
          <w:lang w:val="el-GR"/>
        </w:rPr>
        <w:t>εριλαμβάνει αρχική</w:t>
      </w:r>
      <w:r w:rsidR="00E64D6C" w:rsidRPr="002518FB">
        <w:rPr>
          <w:sz w:val="22"/>
          <w:szCs w:val="22"/>
          <w:lang w:val="el-GR"/>
        </w:rPr>
        <w:t>,</w:t>
      </w:r>
      <w:r w:rsidRPr="002518FB">
        <w:rPr>
          <w:sz w:val="22"/>
          <w:szCs w:val="22"/>
          <w:lang w:val="el-GR"/>
        </w:rPr>
        <w:t xml:space="preserve"> </w:t>
      </w:r>
      <w:r w:rsidR="00533F72" w:rsidRPr="002518FB">
        <w:rPr>
          <w:sz w:val="22"/>
          <w:lang w:val="el-GR"/>
        </w:rPr>
        <w:t xml:space="preserve">ενδιάμεση </w:t>
      </w:r>
      <w:r w:rsidR="00E64D6C" w:rsidRPr="002518FB">
        <w:rPr>
          <w:sz w:val="22"/>
          <w:lang w:val="el-GR"/>
        </w:rPr>
        <w:t xml:space="preserve">και τελική </w:t>
      </w:r>
      <w:r w:rsidR="00533F72" w:rsidRPr="002518FB">
        <w:rPr>
          <w:sz w:val="22"/>
          <w:lang w:val="el-GR"/>
        </w:rPr>
        <w:t>αϋπνία</w:t>
      </w:r>
      <w:r w:rsidR="00ED7B34" w:rsidRPr="002518FB">
        <w:rPr>
          <w:sz w:val="22"/>
          <w:lang w:val="el-GR"/>
        </w:rPr>
        <w:t xml:space="preserve"> (πολύ πρωινή αφύπνιση)</w:t>
      </w:r>
    </w:p>
    <w:p w:rsidR="00B95BC7" w:rsidRPr="002518FB" w:rsidRDefault="00B95BC7" w:rsidP="00533F72">
      <w:pPr>
        <w:rPr>
          <w:sz w:val="22"/>
          <w:lang w:val="el-GR"/>
        </w:rPr>
      </w:pPr>
      <w:r w:rsidRPr="002518FB">
        <w:rPr>
          <w:sz w:val="22"/>
          <w:vertAlign w:val="superscript"/>
          <w:lang w:val="el-GR"/>
        </w:rPr>
        <w:t>4</w:t>
      </w:r>
      <w:r w:rsidRPr="002518FB">
        <w:rPr>
          <w:sz w:val="22"/>
          <w:lang w:val="el-GR"/>
        </w:rPr>
        <w:t xml:space="preserve"> Τα ευρήματα </w:t>
      </w:r>
      <w:r w:rsidR="000024F9" w:rsidRPr="002518FB">
        <w:rPr>
          <w:sz w:val="22"/>
          <w:lang w:val="el-GR"/>
        </w:rPr>
        <w:t>σχετικά με τον</w:t>
      </w:r>
      <w:r w:rsidRPr="002518FB">
        <w:rPr>
          <w:sz w:val="22"/>
          <w:lang w:val="el-GR"/>
        </w:rPr>
        <w:t xml:space="preserve"> καρδιακ</w:t>
      </w:r>
      <w:r w:rsidR="000024F9" w:rsidRPr="002518FB">
        <w:rPr>
          <w:sz w:val="22"/>
          <w:lang w:val="el-GR"/>
        </w:rPr>
        <w:t>ό</w:t>
      </w:r>
      <w:r w:rsidRPr="002518FB">
        <w:rPr>
          <w:sz w:val="22"/>
          <w:lang w:val="el-GR"/>
        </w:rPr>
        <w:t xml:space="preserve"> ρυθμ</w:t>
      </w:r>
      <w:r w:rsidR="000024F9" w:rsidRPr="002518FB">
        <w:rPr>
          <w:sz w:val="22"/>
          <w:lang w:val="el-GR"/>
        </w:rPr>
        <w:t>ό</w:t>
      </w:r>
      <w:r w:rsidRPr="002518FB">
        <w:rPr>
          <w:sz w:val="22"/>
          <w:lang w:val="el-GR"/>
        </w:rPr>
        <w:t xml:space="preserve"> και </w:t>
      </w:r>
      <w:r w:rsidR="000024F9" w:rsidRPr="002518FB">
        <w:rPr>
          <w:sz w:val="22"/>
          <w:lang w:val="el-GR"/>
        </w:rPr>
        <w:t>την</w:t>
      </w:r>
      <w:r w:rsidRPr="002518FB">
        <w:rPr>
          <w:sz w:val="22"/>
          <w:lang w:val="el-GR"/>
        </w:rPr>
        <w:t xml:space="preserve"> αρτηριακή πίεση βασίζονται σε μέτρηση ζωτικών σημείων.</w:t>
      </w:r>
    </w:p>
    <w:p w:rsidR="00771DB5" w:rsidRPr="002518FB" w:rsidRDefault="00B95BC7" w:rsidP="00771DB5">
      <w:pPr>
        <w:jc w:val="both"/>
        <w:rPr>
          <w:sz w:val="22"/>
          <w:szCs w:val="22"/>
          <w:lang w:val="el-GR"/>
        </w:rPr>
      </w:pPr>
      <w:r w:rsidRPr="002518FB">
        <w:rPr>
          <w:sz w:val="22"/>
          <w:lang w:val="el-GR"/>
        </w:rPr>
        <w:t xml:space="preserve"> </w:t>
      </w:r>
      <w:r w:rsidR="000F3434" w:rsidRPr="002518FB">
        <w:rPr>
          <w:sz w:val="22"/>
          <w:lang w:val="el-GR"/>
        </w:rPr>
        <w:t>*</w:t>
      </w:r>
      <w:r w:rsidR="000F3434" w:rsidRPr="002518FB">
        <w:rPr>
          <w:sz w:val="22"/>
          <w:lang w:val="el-GR"/>
        </w:rPr>
        <w:tab/>
      </w:r>
      <w:r w:rsidR="0050055D" w:rsidRPr="002518FB">
        <w:rPr>
          <w:sz w:val="22"/>
          <w:szCs w:val="22"/>
          <w:lang w:val="el-GR"/>
        </w:rPr>
        <w:t>Βλέπε παράγραφο</w:t>
      </w:r>
      <w:r w:rsidR="00771DB5" w:rsidRPr="002518FB">
        <w:rPr>
          <w:sz w:val="22"/>
          <w:szCs w:val="22"/>
          <w:lang w:val="el-GR"/>
        </w:rPr>
        <w:t xml:space="preserve"> 4.4 </w:t>
      </w:r>
    </w:p>
    <w:p w:rsidR="00771DB5" w:rsidRPr="002518FB" w:rsidRDefault="0050055D" w:rsidP="00771DB5">
      <w:pPr>
        <w:jc w:val="both"/>
        <w:rPr>
          <w:sz w:val="22"/>
          <w:szCs w:val="22"/>
          <w:lang w:val="el-GR"/>
        </w:rPr>
      </w:pPr>
      <w:r w:rsidRPr="002518FB">
        <w:rPr>
          <w:sz w:val="22"/>
          <w:szCs w:val="22"/>
          <w:lang w:val="el-GR"/>
        </w:rPr>
        <w:t>**</w:t>
      </w:r>
      <w:r w:rsidRPr="002518FB">
        <w:rPr>
          <w:sz w:val="22"/>
          <w:szCs w:val="22"/>
          <w:lang w:val="el-GR"/>
        </w:rPr>
        <w:tab/>
        <w:t>Βλέπε παράγραφο</w:t>
      </w:r>
      <w:r w:rsidR="00771DB5" w:rsidRPr="002518FB">
        <w:rPr>
          <w:sz w:val="22"/>
          <w:szCs w:val="22"/>
          <w:lang w:val="el-GR"/>
        </w:rPr>
        <w:t xml:space="preserve"> 4.4 </w:t>
      </w:r>
      <w:r w:rsidRPr="002518FB">
        <w:rPr>
          <w:sz w:val="22"/>
          <w:szCs w:val="22"/>
          <w:lang w:val="el-GR"/>
        </w:rPr>
        <w:t>και παράγραφο</w:t>
      </w:r>
      <w:r w:rsidR="00771DB5" w:rsidRPr="002518FB">
        <w:rPr>
          <w:sz w:val="22"/>
          <w:szCs w:val="22"/>
          <w:lang w:val="el-GR"/>
        </w:rPr>
        <w:t xml:space="preserve"> 4.5</w:t>
      </w:r>
    </w:p>
    <w:p w:rsidR="00CA0420" w:rsidRPr="002518FB" w:rsidRDefault="00CA0420">
      <w:pPr>
        <w:ind w:left="567" w:hanging="567"/>
        <w:rPr>
          <w:sz w:val="22"/>
          <w:lang w:val="el-GR"/>
        </w:rPr>
      </w:pPr>
    </w:p>
    <w:p w:rsidR="006D2D93" w:rsidRPr="002518FB" w:rsidRDefault="00B17350">
      <w:pPr>
        <w:ind w:left="567" w:hanging="567"/>
        <w:rPr>
          <w:sz w:val="22"/>
          <w:u w:val="single"/>
          <w:lang w:val="el-GR"/>
        </w:rPr>
      </w:pPr>
      <w:r w:rsidRPr="002518FB">
        <w:rPr>
          <w:sz w:val="22"/>
          <w:u w:val="single"/>
          <w:lang w:val="el-GR"/>
        </w:rPr>
        <w:t xml:space="preserve">Πτωχός </w:t>
      </w:r>
      <w:r w:rsidR="000F3434" w:rsidRPr="002518FB">
        <w:rPr>
          <w:sz w:val="22"/>
          <w:u w:val="single"/>
          <w:lang w:val="el-GR"/>
        </w:rPr>
        <w:t>CYP</w:t>
      </w:r>
      <w:r w:rsidR="00CA0420" w:rsidRPr="002518FB">
        <w:rPr>
          <w:sz w:val="22"/>
          <w:u w:val="single"/>
          <w:lang w:val="el-GR"/>
        </w:rPr>
        <w:t>2</w:t>
      </w:r>
      <w:r w:rsidR="000F3434" w:rsidRPr="002518FB">
        <w:rPr>
          <w:sz w:val="22"/>
          <w:u w:val="single"/>
          <w:lang w:val="el-GR"/>
        </w:rPr>
        <w:t>D</w:t>
      </w:r>
      <w:r w:rsidR="00CA0420" w:rsidRPr="002518FB">
        <w:rPr>
          <w:sz w:val="22"/>
          <w:u w:val="single"/>
          <w:lang w:val="el-GR"/>
        </w:rPr>
        <w:t>6 μεταβολ</w:t>
      </w:r>
      <w:r w:rsidR="006F7705" w:rsidRPr="002518FB">
        <w:rPr>
          <w:sz w:val="22"/>
          <w:u w:val="single"/>
          <w:lang w:val="el-GR"/>
        </w:rPr>
        <w:t>ισ</w:t>
      </w:r>
      <w:r w:rsidRPr="002518FB">
        <w:rPr>
          <w:sz w:val="22"/>
          <w:u w:val="single"/>
          <w:lang w:val="el-GR"/>
        </w:rPr>
        <w:t>μός</w:t>
      </w:r>
      <w:r w:rsidR="00CA0420" w:rsidRPr="002518FB">
        <w:rPr>
          <w:sz w:val="22"/>
          <w:u w:val="single"/>
          <w:lang w:val="el-GR"/>
        </w:rPr>
        <w:t xml:space="preserve"> (ΠΜ)</w:t>
      </w:r>
    </w:p>
    <w:p w:rsidR="006D2D93" w:rsidRPr="002518FB" w:rsidRDefault="006D2D93">
      <w:pPr>
        <w:rPr>
          <w:sz w:val="22"/>
          <w:lang w:val="el-GR"/>
        </w:rPr>
      </w:pPr>
      <w:r w:rsidRPr="002518FB">
        <w:rPr>
          <w:sz w:val="22"/>
          <w:lang w:val="el-GR"/>
        </w:rPr>
        <w:t>Οι ακόλουθες ανεπιθύμητες ενέργειες εκδηλώθηκαν σε ποσοστό τουλάχιστον 2</w:t>
      </w:r>
      <w:r w:rsidR="00B716CF" w:rsidRPr="002518FB">
        <w:rPr>
          <w:sz w:val="22"/>
          <w:lang w:val="el-GR"/>
        </w:rPr>
        <w:t xml:space="preserve"> </w:t>
      </w:r>
      <w:r w:rsidRPr="002518FB">
        <w:rPr>
          <w:sz w:val="22"/>
          <w:lang w:val="el-GR"/>
        </w:rPr>
        <w:t xml:space="preserve">% των ασθενών </w:t>
      </w:r>
      <w:r w:rsidR="00B17350" w:rsidRPr="002518FB">
        <w:rPr>
          <w:sz w:val="22"/>
          <w:lang w:val="el-GR"/>
        </w:rPr>
        <w:t xml:space="preserve">με πτωχό </w:t>
      </w:r>
      <w:r w:rsidR="000F3434" w:rsidRPr="002518FB">
        <w:rPr>
          <w:sz w:val="22"/>
          <w:lang w:val="el-GR"/>
        </w:rPr>
        <w:t>CYP</w:t>
      </w:r>
      <w:r w:rsidRPr="002518FB">
        <w:rPr>
          <w:sz w:val="22"/>
          <w:lang w:val="el-GR"/>
        </w:rPr>
        <w:t>2</w:t>
      </w:r>
      <w:r w:rsidR="000F3434" w:rsidRPr="002518FB">
        <w:rPr>
          <w:sz w:val="22"/>
          <w:lang w:val="el-GR"/>
        </w:rPr>
        <w:t>D</w:t>
      </w:r>
      <w:r w:rsidRPr="002518FB">
        <w:rPr>
          <w:sz w:val="22"/>
          <w:lang w:val="el-GR"/>
        </w:rPr>
        <w:t>6 μεταβολισ</w:t>
      </w:r>
      <w:r w:rsidR="00B17350" w:rsidRPr="002518FB">
        <w:rPr>
          <w:sz w:val="22"/>
          <w:lang w:val="el-GR"/>
        </w:rPr>
        <w:t>μό</w:t>
      </w:r>
      <w:r w:rsidRPr="002518FB">
        <w:rPr>
          <w:sz w:val="22"/>
          <w:lang w:val="el-GR"/>
        </w:rPr>
        <w:t xml:space="preserve"> (ΠΜ) και είχαν στατιστικά σημαντικά μεγαλύτερη συχνότητα </w:t>
      </w:r>
      <w:r w:rsidR="00B17350" w:rsidRPr="002518FB">
        <w:rPr>
          <w:sz w:val="22"/>
          <w:lang w:val="el-GR"/>
        </w:rPr>
        <w:t>σε αυτούς τους ασθενείς</w:t>
      </w:r>
      <w:r w:rsidRPr="002518FB">
        <w:rPr>
          <w:sz w:val="22"/>
          <w:lang w:val="el-GR"/>
        </w:rPr>
        <w:t xml:space="preserve">, σε σύγκριση με τους </w:t>
      </w:r>
      <w:r w:rsidR="00B17350" w:rsidRPr="002518FB">
        <w:rPr>
          <w:sz w:val="22"/>
          <w:lang w:val="el-GR"/>
        </w:rPr>
        <w:t xml:space="preserve">ασθενείς με εκτεταμένο </w:t>
      </w:r>
      <w:r w:rsidR="000F3434" w:rsidRPr="002518FB">
        <w:rPr>
          <w:sz w:val="22"/>
          <w:lang w:val="el-GR"/>
        </w:rPr>
        <w:t>CYP</w:t>
      </w:r>
      <w:r w:rsidRPr="002518FB">
        <w:rPr>
          <w:sz w:val="22"/>
          <w:lang w:val="el-GR"/>
        </w:rPr>
        <w:t>2</w:t>
      </w:r>
      <w:r w:rsidR="000F3434" w:rsidRPr="002518FB">
        <w:rPr>
          <w:sz w:val="22"/>
          <w:lang w:val="el-GR"/>
        </w:rPr>
        <w:t>D</w:t>
      </w:r>
      <w:r w:rsidRPr="002518FB">
        <w:rPr>
          <w:sz w:val="22"/>
          <w:lang w:val="el-GR"/>
        </w:rPr>
        <w:t>6 μεταβο</w:t>
      </w:r>
      <w:r w:rsidR="00804D7D" w:rsidRPr="002518FB">
        <w:rPr>
          <w:sz w:val="22"/>
          <w:lang w:val="el-GR"/>
        </w:rPr>
        <w:t>λισ</w:t>
      </w:r>
      <w:r w:rsidR="00B17350" w:rsidRPr="002518FB">
        <w:rPr>
          <w:sz w:val="22"/>
          <w:lang w:val="el-GR"/>
        </w:rPr>
        <w:t>μό</w:t>
      </w:r>
      <w:r w:rsidR="00804D7D" w:rsidRPr="002518FB">
        <w:rPr>
          <w:sz w:val="22"/>
          <w:lang w:val="el-GR"/>
        </w:rPr>
        <w:t xml:space="preserve"> (ΕΜ): μειωμένη όρεξη (24</w:t>
      </w:r>
      <w:r w:rsidR="00CF0FE5" w:rsidRPr="002518FB">
        <w:rPr>
          <w:sz w:val="22"/>
          <w:lang w:val="el-GR"/>
        </w:rPr>
        <w:t>,</w:t>
      </w:r>
      <w:r w:rsidRPr="002518FB">
        <w:rPr>
          <w:sz w:val="22"/>
          <w:lang w:val="el-GR"/>
        </w:rPr>
        <w:t>1</w:t>
      </w:r>
      <w:r w:rsidR="00804D7D" w:rsidRPr="002518FB">
        <w:rPr>
          <w:sz w:val="22"/>
          <w:lang w:val="el-GR"/>
        </w:rPr>
        <w:t xml:space="preserve"> </w:t>
      </w:r>
      <w:r w:rsidRPr="002518FB">
        <w:rPr>
          <w:sz w:val="22"/>
          <w:lang w:val="el-GR"/>
        </w:rPr>
        <w:t>% των Π</w:t>
      </w:r>
      <w:r w:rsidR="000F3434" w:rsidRPr="002518FB">
        <w:rPr>
          <w:sz w:val="22"/>
          <w:lang w:val="el-GR"/>
        </w:rPr>
        <w:t>M</w:t>
      </w:r>
      <w:r w:rsidR="00804D7D" w:rsidRPr="002518FB">
        <w:rPr>
          <w:sz w:val="22"/>
          <w:lang w:val="el-GR"/>
        </w:rPr>
        <w:t>, 17</w:t>
      </w:r>
      <w:r w:rsidR="00CF0FE5" w:rsidRPr="002518FB">
        <w:rPr>
          <w:sz w:val="22"/>
          <w:lang w:val="el-GR"/>
        </w:rPr>
        <w:t>,</w:t>
      </w:r>
      <w:r w:rsidRPr="002518FB">
        <w:rPr>
          <w:sz w:val="22"/>
          <w:lang w:val="el-GR"/>
        </w:rPr>
        <w:t>0</w:t>
      </w:r>
      <w:r w:rsidR="00804D7D" w:rsidRPr="002518FB">
        <w:rPr>
          <w:sz w:val="22"/>
          <w:lang w:val="el-GR"/>
        </w:rPr>
        <w:t xml:space="preserve"> </w:t>
      </w:r>
      <w:r w:rsidRPr="002518FB">
        <w:rPr>
          <w:sz w:val="22"/>
          <w:lang w:val="el-GR"/>
        </w:rPr>
        <w:t xml:space="preserve">% των </w:t>
      </w:r>
      <w:r w:rsidR="000F3434" w:rsidRPr="002518FB">
        <w:rPr>
          <w:sz w:val="22"/>
          <w:lang w:val="el-GR"/>
        </w:rPr>
        <w:t>EM</w:t>
      </w:r>
      <w:r w:rsidRPr="002518FB">
        <w:rPr>
          <w:sz w:val="22"/>
          <w:lang w:val="el-GR"/>
        </w:rPr>
        <w:t xml:space="preserve">), αϋπνία </w:t>
      </w:r>
      <w:r w:rsidR="00DD7F2C" w:rsidRPr="002518FB">
        <w:rPr>
          <w:sz w:val="22"/>
          <w:lang w:val="el-GR"/>
        </w:rPr>
        <w:t xml:space="preserve">στο σύνολο της (περιλαμβάνει αϋπνία, </w:t>
      </w:r>
      <w:r w:rsidRPr="002518FB">
        <w:rPr>
          <w:sz w:val="22"/>
          <w:lang w:val="el-GR"/>
        </w:rPr>
        <w:t>ενδιάμεση αϋπνία</w:t>
      </w:r>
      <w:r w:rsidR="00DD7F2C" w:rsidRPr="002518FB">
        <w:rPr>
          <w:sz w:val="22"/>
          <w:lang w:val="el-GR"/>
        </w:rPr>
        <w:t xml:space="preserve"> και αρχική αϋπνία, 14</w:t>
      </w:r>
      <w:r w:rsidR="00397A55" w:rsidRPr="002518FB">
        <w:rPr>
          <w:sz w:val="22"/>
          <w:lang w:val="el-GR"/>
        </w:rPr>
        <w:t>,</w:t>
      </w:r>
      <w:r w:rsidR="00DD7F2C" w:rsidRPr="002518FB">
        <w:rPr>
          <w:sz w:val="22"/>
          <w:lang w:val="el-GR"/>
        </w:rPr>
        <w:t>9% των ΠΜ, 9</w:t>
      </w:r>
      <w:r w:rsidR="00CF0FE5" w:rsidRPr="002518FB">
        <w:rPr>
          <w:sz w:val="22"/>
          <w:lang w:val="el-GR"/>
        </w:rPr>
        <w:t>,</w:t>
      </w:r>
      <w:r w:rsidR="00DD7F2C" w:rsidRPr="002518FB">
        <w:rPr>
          <w:sz w:val="22"/>
          <w:lang w:val="el-GR"/>
        </w:rPr>
        <w:t xml:space="preserve">7 % των ΕΜ), κατάθλιψη στο σύνολο </w:t>
      </w:r>
      <w:r w:rsidR="00CF0FE5" w:rsidRPr="002518FB">
        <w:rPr>
          <w:sz w:val="22"/>
          <w:lang w:val="el-GR"/>
        </w:rPr>
        <w:t xml:space="preserve">της </w:t>
      </w:r>
      <w:r w:rsidR="00DD7F2C" w:rsidRPr="002518FB">
        <w:rPr>
          <w:sz w:val="22"/>
          <w:lang w:val="el-GR"/>
        </w:rPr>
        <w:t xml:space="preserve">(περιλαμβάνει κατάθλιψη, μείζων κατάθλιψη, </w:t>
      </w:r>
      <w:r w:rsidRPr="002518FB">
        <w:rPr>
          <w:sz w:val="22"/>
          <w:lang w:val="el-GR"/>
        </w:rPr>
        <w:t xml:space="preserve"> </w:t>
      </w:r>
      <w:r w:rsidR="00DD7F2C" w:rsidRPr="002518FB">
        <w:rPr>
          <w:sz w:val="22"/>
          <w:lang w:val="el-GR"/>
        </w:rPr>
        <w:t>σύμπτωμα κατάθλιψης, καταθλιπτική διάθεση και δυσφορία, 6</w:t>
      </w:r>
      <w:r w:rsidR="00CF0FE5" w:rsidRPr="002518FB">
        <w:rPr>
          <w:sz w:val="22"/>
          <w:lang w:val="el-GR"/>
        </w:rPr>
        <w:t>,</w:t>
      </w:r>
      <w:r w:rsidR="00DD7F2C" w:rsidRPr="002518FB">
        <w:rPr>
          <w:sz w:val="22"/>
          <w:lang w:val="el-GR"/>
        </w:rPr>
        <w:t>5 % των ΠΜ και 4</w:t>
      </w:r>
      <w:r w:rsidR="00CF0FE5" w:rsidRPr="002518FB">
        <w:rPr>
          <w:sz w:val="22"/>
          <w:lang w:val="el-GR"/>
        </w:rPr>
        <w:t>,</w:t>
      </w:r>
      <w:r w:rsidR="00DD7F2C" w:rsidRPr="002518FB">
        <w:rPr>
          <w:sz w:val="22"/>
          <w:lang w:val="el-GR"/>
        </w:rPr>
        <w:t>1 % των ΕΜ), μείωση βάρους (7</w:t>
      </w:r>
      <w:r w:rsidR="00CF0FE5" w:rsidRPr="002518FB">
        <w:rPr>
          <w:sz w:val="22"/>
          <w:lang w:val="el-GR"/>
        </w:rPr>
        <w:t>,</w:t>
      </w:r>
      <w:r w:rsidR="00DD7F2C" w:rsidRPr="002518FB">
        <w:rPr>
          <w:sz w:val="22"/>
          <w:lang w:val="el-GR"/>
        </w:rPr>
        <w:t>3 % των ΠΜ , 4</w:t>
      </w:r>
      <w:r w:rsidR="00CF0FE5" w:rsidRPr="002518FB">
        <w:rPr>
          <w:sz w:val="22"/>
          <w:lang w:val="el-GR"/>
        </w:rPr>
        <w:t>,</w:t>
      </w:r>
      <w:r w:rsidR="00DD7F2C" w:rsidRPr="002518FB">
        <w:rPr>
          <w:sz w:val="22"/>
          <w:lang w:val="el-GR"/>
        </w:rPr>
        <w:t>4 % των ΕΜ), δυσκοιλιότητα 6</w:t>
      </w:r>
      <w:r w:rsidR="00CF0FE5" w:rsidRPr="002518FB">
        <w:rPr>
          <w:sz w:val="22"/>
          <w:lang w:val="el-GR"/>
        </w:rPr>
        <w:t>,</w:t>
      </w:r>
      <w:r w:rsidR="00DD7F2C" w:rsidRPr="002518FB">
        <w:rPr>
          <w:sz w:val="22"/>
          <w:lang w:val="el-GR"/>
        </w:rPr>
        <w:t>8% των ΠΜ, 4</w:t>
      </w:r>
      <w:r w:rsidR="00CF0FE5" w:rsidRPr="002518FB">
        <w:rPr>
          <w:sz w:val="22"/>
          <w:lang w:val="el-GR"/>
        </w:rPr>
        <w:t>,</w:t>
      </w:r>
      <w:r w:rsidR="00DD7F2C" w:rsidRPr="002518FB">
        <w:rPr>
          <w:sz w:val="22"/>
          <w:lang w:val="el-GR"/>
        </w:rPr>
        <w:t>3% των ΕΜ), τρόμος (4</w:t>
      </w:r>
      <w:r w:rsidR="00CF0FE5" w:rsidRPr="002518FB">
        <w:rPr>
          <w:sz w:val="22"/>
          <w:lang w:val="el-GR"/>
        </w:rPr>
        <w:t>,</w:t>
      </w:r>
      <w:r w:rsidR="00DD7F2C" w:rsidRPr="002518FB">
        <w:rPr>
          <w:sz w:val="22"/>
          <w:lang w:val="el-GR"/>
        </w:rPr>
        <w:t>5 % των ΠΜ, 0</w:t>
      </w:r>
      <w:r w:rsidR="00CF0FE5" w:rsidRPr="002518FB">
        <w:rPr>
          <w:sz w:val="22"/>
          <w:lang w:val="el-GR"/>
        </w:rPr>
        <w:t>,</w:t>
      </w:r>
      <w:r w:rsidR="00DD7F2C" w:rsidRPr="002518FB">
        <w:rPr>
          <w:sz w:val="22"/>
          <w:lang w:val="el-GR"/>
        </w:rPr>
        <w:t>9 %</w:t>
      </w:r>
      <w:r w:rsidR="006D2467" w:rsidRPr="002518FB">
        <w:rPr>
          <w:sz w:val="22"/>
          <w:lang w:val="el-GR"/>
        </w:rPr>
        <w:t xml:space="preserve"> των ΕΜ), καταστολή (3</w:t>
      </w:r>
      <w:r w:rsidR="00CF0FE5" w:rsidRPr="002518FB">
        <w:rPr>
          <w:sz w:val="22"/>
          <w:lang w:val="el-GR"/>
        </w:rPr>
        <w:t>,</w:t>
      </w:r>
      <w:r w:rsidR="006D2467" w:rsidRPr="002518FB">
        <w:rPr>
          <w:sz w:val="22"/>
          <w:lang w:val="el-GR"/>
        </w:rPr>
        <w:t>9 % των ΠΜ. 2</w:t>
      </w:r>
      <w:r w:rsidR="00CF0FE5" w:rsidRPr="002518FB">
        <w:rPr>
          <w:sz w:val="22"/>
          <w:lang w:val="el-GR"/>
        </w:rPr>
        <w:t>,</w:t>
      </w:r>
      <w:r w:rsidR="006D2467" w:rsidRPr="002518FB">
        <w:rPr>
          <w:sz w:val="22"/>
          <w:lang w:val="el-GR"/>
        </w:rPr>
        <w:t>1 % των ΕΜ)</w:t>
      </w:r>
      <w:r w:rsidR="00DD7F2C" w:rsidRPr="002518FB">
        <w:rPr>
          <w:sz w:val="22"/>
          <w:lang w:val="el-GR"/>
        </w:rPr>
        <w:t xml:space="preserve"> </w:t>
      </w:r>
      <w:r w:rsidR="006D2467" w:rsidRPr="002518FB">
        <w:rPr>
          <w:sz w:val="22"/>
          <w:lang w:val="el-GR"/>
        </w:rPr>
        <w:t>εκδορά (3</w:t>
      </w:r>
      <w:r w:rsidR="00CF0FE5" w:rsidRPr="002518FB">
        <w:rPr>
          <w:sz w:val="22"/>
          <w:lang w:val="el-GR"/>
        </w:rPr>
        <w:t>,</w:t>
      </w:r>
      <w:r w:rsidR="006D2467" w:rsidRPr="002518FB">
        <w:rPr>
          <w:sz w:val="22"/>
          <w:lang w:val="el-GR"/>
        </w:rPr>
        <w:t>9 % των ΠΜ, 1</w:t>
      </w:r>
      <w:r w:rsidR="00CF0FE5" w:rsidRPr="002518FB">
        <w:rPr>
          <w:sz w:val="22"/>
          <w:lang w:val="el-GR"/>
        </w:rPr>
        <w:t>,</w:t>
      </w:r>
      <w:r w:rsidR="006D2467" w:rsidRPr="002518FB">
        <w:rPr>
          <w:sz w:val="22"/>
          <w:lang w:val="el-GR"/>
        </w:rPr>
        <w:t xml:space="preserve">7 % των ΕΜ), </w:t>
      </w:r>
      <w:r w:rsidRPr="002518FB">
        <w:rPr>
          <w:sz w:val="22"/>
          <w:lang w:val="el-GR"/>
        </w:rPr>
        <w:t>ενούρηση (3,0</w:t>
      </w:r>
      <w:r w:rsidR="00CF0FE5" w:rsidRPr="002518FB">
        <w:rPr>
          <w:sz w:val="22"/>
          <w:lang w:val="el-GR"/>
        </w:rPr>
        <w:t xml:space="preserve"> </w:t>
      </w:r>
      <w:r w:rsidRPr="002518FB">
        <w:rPr>
          <w:sz w:val="22"/>
          <w:lang w:val="el-GR"/>
        </w:rPr>
        <w:t>% των Π</w:t>
      </w:r>
      <w:r w:rsidR="000F3434" w:rsidRPr="002518FB">
        <w:rPr>
          <w:sz w:val="22"/>
          <w:lang w:val="el-GR"/>
        </w:rPr>
        <w:t>M</w:t>
      </w:r>
      <w:r w:rsidRPr="002518FB">
        <w:rPr>
          <w:sz w:val="22"/>
          <w:lang w:val="el-GR"/>
        </w:rPr>
        <w:t>, 1,2</w:t>
      </w:r>
      <w:r w:rsidR="00CF0FE5" w:rsidRPr="002518FB">
        <w:rPr>
          <w:sz w:val="22"/>
          <w:lang w:val="el-GR"/>
        </w:rPr>
        <w:t xml:space="preserve"> </w:t>
      </w:r>
      <w:r w:rsidRPr="002518FB">
        <w:rPr>
          <w:sz w:val="22"/>
          <w:lang w:val="el-GR"/>
        </w:rPr>
        <w:t xml:space="preserve">% των </w:t>
      </w:r>
      <w:r w:rsidR="000F3434" w:rsidRPr="002518FB">
        <w:rPr>
          <w:sz w:val="22"/>
          <w:lang w:val="el-GR"/>
        </w:rPr>
        <w:t>EM</w:t>
      </w:r>
      <w:r w:rsidRPr="002518FB">
        <w:rPr>
          <w:sz w:val="22"/>
          <w:lang w:val="el-GR"/>
        </w:rPr>
        <w:t>), επιπεφυκίτιδα (</w:t>
      </w:r>
      <w:r w:rsidR="006D2467" w:rsidRPr="002518FB">
        <w:rPr>
          <w:sz w:val="22"/>
          <w:lang w:val="el-GR"/>
        </w:rPr>
        <w:t>2</w:t>
      </w:r>
      <w:r w:rsidR="00CF0FE5" w:rsidRPr="002518FB">
        <w:rPr>
          <w:sz w:val="22"/>
          <w:lang w:val="el-GR"/>
        </w:rPr>
        <w:t>,</w:t>
      </w:r>
      <w:r w:rsidR="006D2467" w:rsidRPr="002518FB">
        <w:rPr>
          <w:sz w:val="22"/>
          <w:lang w:val="el-GR"/>
        </w:rPr>
        <w:t xml:space="preserve">5 </w:t>
      </w:r>
      <w:r w:rsidRPr="002518FB">
        <w:rPr>
          <w:sz w:val="22"/>
          <w:lang w:val="el-GR"/>
        </w:rPr>
        <w:t>% των Π</w:t>
      </w:r>
      <w:r w:rsidR="000F3434" w:rsidRPr="002518FB">
        <w:rPr>
          <w:sz w:val="22"/>
          <w:lang w:val="el-GR"/>
        </w:rPr>
        <w:t>M</w:t>
      </w:r>
      <w:r w:rsidRPr="002518FB">
        <w:rPr>
          <w:sz w:val="22"/>
          <w:lang w:val="el-GR"/>
        </w:rPr>
        <w:t>, 1</w:t>
      </w:r>
      <w:r w:rsidR="00CF0FE5" w:rsidRPr="002518FB">
        <w:rPr>
          <w:sz w:val="22"/>
          <w:lang w:val="el-GR"/>
        </w:rPr>
        <w:t>,</w:t>
      </w:r>
      <w:r w:rsidR="006D2467" w:rsidRPr="002518FB">
        <w:rPr>
          <w:sz w:val="22"/>
          <w:lang w:val="el-GR"/>
        </w:rPr>
        <w:t xml:space="preserve">2 </w:t>
      </w:r>
      <w:r w:rsidRPr="002518FB">
        <w:rPr>
          <w:sz w:val="22"/>
          <w:lang w:val="el-GR"/>
        </w:rPr>
        <w:t xml:space="preserve">% των </w:t>
      </w:r>
      <w:r w:rsidR="000F3434" w:rsidRPr="002518FB">
        <w:rPr>
          <w:sz w:val="22"/>
          <w:lang w:val="el-GR"/>
        </w:rPr>
        <w:t>EM</w:t>
      </w:r>
      <w:r w:rsidRPr="002518FB">
        <w:rPr>
          <w:sz w:val="22"/>
          <w:lang w:val="el-GR"/>
        </w:rPr>
        <w:t>), λιποθυμικό επεισόδιο (2</w:t>
      </w:r>
      <w:r w:rsidR="00CF0FE5" w:rsidRPr="002518FB">
        <w:rPr>
          <w:sz w:val="22"/>
          <w:lang w:val="el-GR"/>
        </w:rPr>
        <w:t>,</w:t>
      </w:r>
      <w:r w:rsidR="006D2467" w:rsidRPr="002518FB">
        <w:rPr>
          <w:sz w:val="22"/>
          <w:lang w:val="el-GR"/>
        </w:rPr>
        <w:t xml:space="preserve">5 </w:t>
      </w:r>
      <w:r w:rsidRPr="002518FB">
        <w:rPr>
          <w:sz w:val="22"/>
          <w:lang w:val="el-GR"/>
        </w:rPr>
        <w:t>% των Π</w:t>
      </w:r>
      <w:r w:rsidR="000F3434" w:rsidRPr="002518FB">
        <w:rPr>
          <w:sz w:val="22"/>
          <w:lang w:val="el-GR"/>
        </w:rPr>
        <w:t>M</w:t>
      </w:r>
      <w:r w:rsidRPr="002518FB">
        <w:rPr>
          <w:sz w:val="22"/>
          <w:lang w:val="el-GR"/>
        </w:rPr>
        <w:t>, 0</w:t>
      </w:r>
      <w:r w:rsidR="00CF0FE5" w:rsidRPr="002518FB">
        <w:rPr>
          <w:sz w:val="22"/>
          <w:lang w:val="el-GR"/>
        </w:rPr>
        <w:t>,</w:t>
      </w:r>
      <w:r w:rsidRPr="002518FB">
        <w:rPr>
          <w:sz w:val="22"/>
          <w:lang w:val="el-GR"/>
        </w:rPr>
        <w:t>7</w:t>
      </w:r>
      <w:r w:rsidR="006D2467" w:rsidRPr="002518FB">
        <w:rPr>
          <w:sz w:val="22"/>
          <w:lang w:val="el-GR"/>
        </w:rPr>
        <w:t xml:space="preserve"> </w:t>
      </w:r>
      <w:r w:rsidRPr="002518FB">
        <w:rPr>
          <w:sz w:val="22"/>
          <w:lang w:val="el-GR"/>
        </w:rPr>
        <w:t xml:space="preserve">% των </w:t>
      </w:r>
      <w:r w:rsidR="000F3434" w:rsidRPr="002518FB">
        <w:rPr>
          <w:sz w:val="22"/>
          <w:lang w:val="el-GR"/>
        </w:rPr>
        <w:t>EM</w:t>
      </w:r>
      <w:r w:rsidRPr="002518FB">
        <w:rPr>
          <w:sz w:val="22"/>
          <w:lang w:val="el-GR"/>
        </w:rPr>
        <w:t xml:space="preserve">), </w:t>
      </w:r>
      <w:r w:rsidR="006D2467" w:rsidRPr="002518FB">
        <w:rPr>
          <w:sz w:val="22"/>
          <w:lang w:val="el-GR"/>
        </w:rPr>
        <w:t xml:space="preserve">πολύ </w:t>
      </w:r>
      <w:r w:rsidR="007F6B6D" w:rsidRPr="002518FB">
        <w:rPr>
          <w:sz w:val="22"/>
          <w:lang w:val="el-GR"/>
        </w:rPr>
        <w:t>πρωινή</w:t>
      </w:r>
      <w:r w:rsidR="006D2467" w:rsidRPr="002518FB">
        <w:rPr>
          <w:sz w:val="22"/>
          <w:lang w:val="el-GR"/>
        </w:rPr>
        <w:t xml:space="preserve"> αφύπνιση (2</w:t>
      </w:r>
      <w:r w:rsidR="00CF0FE5" w:rsidRPr="002518FB">
        <w:rPr>
          <w:sz w:val="22"/>
          <w:lang w:val="el-GR"/>
        </w:rPr>
        <w:t>,</w:t>
      </w:r>
      <w:r w:rsidR="006D2467" w:rsidRPr="002518FB">
        <w:rPr>
          <w:sz w:val="22"/>
          <w:lang w:val="el-GR"/>
        </w:rPr>
        <w:t>3 % των ΠΜ και 0</w:t>
      </w:r>
      <w:r w:rsidR="00CF0FE5" w:rsidRPr="002518FB">
        <w:rPr>
          <w:sz w:val="22"/>
          <w:lang w:val="el-GR"/>
        </w:rPr>
        <w:t>,</w:t>
      </w:r>
      <w:r w:rsidR="006D2467" w:rsidRPr="002518FB">
        <w:rPr>
          <w:sz w:val="22"/>
          <w:lang w:val="el-GR"/>
        </w:rPr>
        <w:t xml:space="preserve">8 % των ΕΜ), </w:t>
      </w:r>
      <w:r w:rsidRPr="002518FB">
        <w:rPr>
          <w:sz w:val="22"/>
          <w:lang w:val="el-GR"/>
        </w:rPr>
        <w:t>μυδρίαση (2</w:t>
      </w:r>
      <w:r w:rsidR="00CF0FE5" w:rsidRPr="002518FB">
        <w:rPr>
          <w:sz w:val="22"/>
          <w:lang w:val="el-GR"/>
        </w:rPr>
        <w:t>,</w:t>
      </w:r>
      <w:r w:rsidR="006D2467" w:rsidRPr="002518FB">
        <w:rPr>
          <w:sz w:val="22"/>
          <w:lang w:val="el-GR"/>
        </w:rPr>
        <w:t xml:space="preserve">0 </w:t>
      </w:r>
      <w:r w:rsidRPr="002518FB">
        <w:rPr>
          <w:sz w:val="22"/>
          <w:lang w:val="el-GR"/>
        </w:rPr>
        <w:t>% των Π</w:t>
      </w:r>
      <w:r w:rsidR="000F3434" w:rsidRPr="002518FB">
        <w:rPr>
          <w:sz w:val="22"/>
          <w:lang w:val="el-GR"/>
        </w:rPr>
        <w:t>M</w:t>
      </w:r>
      <w:r w:rsidRPr="002518FB">
        <w:rPr>
          <w:sz w:val="22"/>
          <w:lang w:val="el-GR"/>
        </w:rPr>
        <w:t>, 0</w:t>
      </w:r>
      <w:r w:rsidR="00CF0FE5" w:rsidRPr="002518FB">
        <w:rPr>
          <w:sz w:val="22"/>
          <w:lang w:val="el-GR"/>
        </w:rPr>
        <w:t>,</w:t>
      </w:r>
      <w:r w:rsidR="006D2467" w:rsidRPr="002518FB">
        <w:rPr>
          <w:sz w:val="22"/>
          <w:lang w:val="el-GR"/>
        </w:rPr>
        <w:t xml:space="preserve">6 </w:t>
      </w:r>
      <w:r w:rsidRPr="002518FB">
        <w:rPr>
          <w:sz w:val="22"/>
          <w:lang w:val="el-GR"/>
        </w:rPr>
        <w:t xml:space="preserve">% των </w:t>
      </w:r>
      <w:r w:rsidR="000F3434" w:rsidRPr="002518FB">
        <w:rPr>
          <w:sz w:val="22"/>
          <w:lang w:val="el-GR"/>
        </w:rPr>
        <w:t>EM</w:t>
      </w:r>
      <w:r w:rsidRPr="002518FB">
        <w:rPr>
          <w:sz w:val="22"/>
          <w:lang w:val="el-GR"/>
        </w:rPr>
        <w:t>).  Οι ακόλουθες ανεπιθύμητες ενέργειες δεν πληρούσαν τα ανωτέρω κριτήρια</w:t>
      </w:r>
      <w:r w:rsidR="006D2467" w:rsidRPr="002518FB">
        <w:rPr>
          <w:sz w:val="22"/>
          <w:lang w:val="el-GR"/>
        </w:rPr>
        <w:t xml:space="preserve"> αλλά αξιοσημείωτα είναι</w:t>
      </w:r>
      <w:r w:rsidRPr="002518FB">
        <w:rPr>
          <w:sz w:val="22"/>
          <w:lang w:val="el-GR"/>
        </w:rPr>
        <w:t xml:space="preserve">: </w:t>
      </w:r>
      <w:r w:rsidR="006D2467" w:rsidRPr="002518FB">
        <w:rPr>
          <w:sz w:val="22"/>
          <w:lang w:val="el-GR"/>
        </w:rPr>
        <w:t>η γενικευμένη αγχώδης διαταραχή</w:t>
      </w:r>
      <w:r w:rsidRPr="002518FB">
        <w:rPr>
          <w:sz w:val="22"/>
          <w:lang w:val="el-GR"/>
        </w:rPr>
        <w:t xml:space="preserve"> (</w:t>
      </w:r>
      <w:r w:rsidR="006D2467" w:rsidRPr="002518FB">
        <w:rPr>
          <w:sz w:val="22"/>
          <w:lang w:val="el-GR"/>
        </w:rPr>
        <w:t>0</w:t>
      </w:r>
      <w:r w:rsidR="00CF0FE5" w:rsidRPr="002518FB">
        <w:rPr>
          <w:sz w:val="22"/>
          <w:lang w:val="el-GR"/>
        </w:rPr>
        <w:t>,</w:t>
      </w:r>
      <w:r w:rsidR="006D2467" w:rsidRPr="002518FB">
        <w:rPr>
          <w:sz w:val="22"/>
          <w:lang w:val="el-GR"/>
        </w:rPr>
        <w:t xml:space="preserve">8 </w:t>
      </w:r>
      <w:r w:rsidRPr="002518FB">
        <w:rPr>
          <w:sz w:val="22"/>
          <w:lang w:val="el-GR"/>
        </w:rPr>
        <w:t>% των Π</w:t>
      </w:r>
      <w:r w:rsidR="000F3434" w:rsidRPr="002518FB">
        <w:rPr>
          <w:sz w:val="22"/>
          <w:lang w:val="el-GR"/>
        </w:rPr>
        <w:t>M</w:t>
      </w:r>
      <w:r w:rsidRPr="002518FB">
        <w:rPr>
          <w:sz w:val="22"/>
          <w:lang w:val="el-GR"/>
        </w:rPr>
        <w:t xml:space="preserve">, </w:t>
      </w:r>
      <w:r w:rsidR="006D2467" w:rsidRPr="002518FB">
        <w:rPr>
          <w:sz w:val="22"/>
          <w:lang w:val="el-GR"/>
        </w:rPr>
        <w:t>0</w:t>
      </w:r>
      <w:r w:rsidR="00CF0FE5" w:rsidRPr="002518FB">
        <w:rPr>
          <w:sz w:val="22"/>
          <w:lang w:val="el-GR"/>
        </w:rPr>
        <w:t>,</w:t>
      </w:r>
      <w:r w:rsidR="006D2467" w:rsidRPr="002518FB">
        <w:rPr>
          <w:sz w:val="22"/>
          <w:lang w:val="el-GR"/>
        </w:rPr>
        <w:t xml:space="preserve">1 </w:t>
      </w:r>
      <w:r w:rsidRPr="002518FB">
        <w:rPr>
          <w:sz w:val="22"/>
          <w:lang w:val="el-GR"/>
        </w:rPr>
        <w:t xml:space="preserve">% των </w:t>
      </w:r>
      <w:r w:rsidR="000F3434" w:rsidRPr="002518FB">
        <w:rPr>
          <w:sz w:val="22"/>
          <w:lang w:val="el-GR"/>
        </w:rPr>
        <w:t>EM</w:t>
      </w:r>
      <w:r w:rsidRPr="002518FB">
        <w:rPr>
          <w:sz w:val="22"/>
          <w:lang w:val="el-GR"/>
        </w:rPr>
        <w:t>). Επιπλέον, σε κλινικές μελέτες διάρκειας έως 10 εβδομάδων, η απώλεια βάρους ήταν περισσότερο έκδ</w:t>
      </w:r>
      <w:r w:rsidR="00804D7D" w:rsidRPr="002518FB">
        <w:rPr>
          <w:sz w:val="22"/>
          <w:lang w:val="el-GR"/>
        </w:rPr>
        <w:t>ηλη σε ΠΜ ασθενείς (μέση τιμή 0</w:t>
      </w:r>
      <w:r w:rsidR="00B03903" w:rsidRPr="002518FB">
        <w:rPr>
          <w:sz w:val="22"/>
          <w:lang w:val="el-GR"/>
        </w:rPr>
        <w:t>,</w:t>
      </w:r>
      <w:r w:rsidRPr="002518FB">
        <w:rPr>
          <w:sz w:val="22"/>
          <w:lang w:val="el-GR"/>
        </w:rPr>
        <w:t xml:space="preserve">6 </w:t>
      </w:r>
      <w:proofErr w:type="spellStart"/>
      <w:r w:rsidR="000F3434" w:rsidRPr="002518FB">
        <w:rPr>
          <w:sz w:val="22"/>
          <w:lang w:val="el-GR"/>
        </w:rPr>
        <w:t>kg</w:t>
      </w:r>
      <w:proofErr w:type="spellEnd"/>
      <w:r w:rsidR="00804D7D" w:rsidRPr="002518FB">
        <w:rPr>
          <w:sz w:val="22"/>
          <w:lang w:val="el-GR"/>
        </w:rPr>
        <w:t xml:space="preserve"> σε ΕΜ και 1</w:t>
      </w:r>
      <w:r w:rsidR="00B03903" w:rsidRPr="002518FB">
        <w:rPr>
          <w:sz w:val="22"/>
          <w:lang w:val="el-GR"/>
        </w:rPr>
        <w:t>,</w:t>
      </w:r>
      <w:r w:rsidRPr="002518FB">
        <w:rPr>
          <w:sz w:val="22"/>
          <w:lang w:val="el-GR"/>
        </w:rPr>
        <w:t xml:space="preserve">1 </w:t>
      </w:r>
      <w:proofErr w:type="spellStart"/>
      <w:r w:rsidR="000F3434" w:rsidRPr="002518FB">
        <w:rPr>
          <w:sz w:val="22"/>
          <w:lang w:val="el-GR"/>
        </w:rPr>
        <w:t>kg</w:t>
      </w:r>
      <w:proofErr w:type="spellEnd"/>
      <w:r w:rsidRPr="002518FB">
        <w:rPr>
          <w:sz w:val="22"/>
          <w:lang w:val="el-GR"/>
        </w:rPr>
        <w:t xml:space="preserve"> σε ΠΜ).</w:t>
      </w:r>
    </w:p>
    <w:p w:rsidR="006D2D93" w:rsidRPr="002518FB" w:rsidRDefault="006D2D93">
      <w:pPr>
        <w:ind w:left="567" w:hanging="567"/>
        <w:rPr>
          <w:sz w:val="22"/>
          <w:u w:val="single"/>
          <w:lang w:val="el-GR"/>
        </w:rPr>
      </w:pPr>
    </w:p>
    <w:p w:rsidR="006D2D93" w:rsidRPr="002518FB" w:rsidRDefault="006D2D93">
      <w:pPr>
        <w:ind w:left="567" w:hanging="567"/>
        <w:rPr>
          <w:sz w:val="22"/>
          <w:u w:val="single"/>
          <w:lang w:val="el-GR"/>
        </w:rPr>
      </w:pPr>
      <w:r w:rsidRPr="002518FB">
        <w:rPr>
          <w:sz w:val="22"/>
          <w:u w:val="single"/>
          <w:lang w:val="el-GR"/>
        </w:rPr>
        <w:t>Ενήλικες:</w:t>
      </w:r>
    </w:p>
    <w:p w:rsidR="00E03A6E" w:rsidRPr="002518FB" w:rsidRDefault="002F42DB" w:rsidP="00315032">
      <w:pPr>
        <w:pStyle w:val="BodyText"/>
        <w:spacing w:after="120"/>
        <w:rPr>
          <w:lang w:val="el-GR"/>
        </w:rPr>
      </w:pPr>
      <w:r w:rsidRPr="002518FB">
        <w:rPr>
          <w:lang w:val="el-GR"/>
        </w:rPr>
        <w:t xml:space="preserve">Στις κλινικές μελέτες </w:t>
      </w:r>
      <w:r w:rsidR="00362620" w:rsidRPr="002518FB">
        <w:rPr>
          <w:lang w:val="el-GR"/>
        </w:rPr>
        <w:t>ενηλίκων με ΔΕΠΥ</w:t>
      </w:r>
      <w:r w:rsidRPr="002518FB">
        <w:rPr>
          <w:lang w:val="el-GR"/>
        </w:rPr>
        <w:t>, η υψηλότερη συχνότητα εμφάνισης ανεπιθύμητων ενεργειών</w:t>
      </w:r>
      <w:r w:rsidR="00362620" w:rsidRPr="002518FB">
        <w:rPr>
          <w:lang w:val="el-GR"/>
        </w:rPr>
        <w:t>,</w:t>
      </w:r>
      <w:r w:rsidRPr="002518FB">
        <w:rPr>
          <w:lang w:val="el-GR"/>
        </w:rPr>
        <w:t xml:space="preserve"> κατά τη διάρκεια της θεραπείας με </w:t>
      </w:r>
      <w:proofErr w:type="spellStart"/>
      <w:r w:rsidRPr="002518FB">
        <w:rPr>
          <w:lang w:val="el-GR"/>
        </w:rPr>
        <w:t>ατομοξετίνη</w:t>
      </w:r>
      <w:proofErr w:type="spellEnd"/>
      <w:r w:rsidR="00362620" w:rsidRPr="002518FB">
        <w:rPr>
          <w:lang w:val="el-GR"/>
        </w:rPr>
        <w:t>, αφορούσε στο</w:t>
      </w:r>
      <w:r w:rsidRPr="002518FB">
        <w:rPr>
          <w:lang w:val="el-GR"/>
        </w:rPr>
        <w:t xml:space="preserve"> γαστρεντερικό</w:t>
      </w:r>
      <w:r w:rsidR="00362620" w:rsidRPr="002518FB">
        <w:rPr>
          <w:lang w:val="el-GR"/>
        </w:rPr>
        <w:t xml:space="preserve"> και</w:t>
      </w:r>
      <w:r w:rsidRPr="002518FB">
        <w:rPr>
          <w:lang w:val="el-GR"/>
        </w:rPr>
        <w:t xml:space="preserve"> </w:t>
      </w:r>
      <w:r w:rsidR="00362620" w:rsidRPr="002518FB">
        <w:rPr>
          <w:lang w:val="el-GR"/>
        </w:rPr>
        <w:t xml:space="preserve">το </w:t>
      </w:r>
      <w:r w:rsidRPr="002518FB">
        <w:rPr>
          <w:lang w:val="el-GR"/>
        </w:rPr>
        <w:t>νευρικό σύστημα και</w:t>
      </w:r>
      <w:r w:rsidR="00362620" w:rsidRPr="002518FB">
        <w:rPr>
          <w:lang w:val="el-GR"/>
        </w:rPr>
        <w:t xml:space="preserve"> τις </w:t>
      </w:r>
      <w:r w:rsidRPr="002518FB">
        <w:rPr>
          <w:lang w:val="el-GR"/>
        </w:rPr>
        <w:t>ψυχιατρικές διαταραχές. Οι συχνότερες ανεπιθύμητες ενέργειες (</w:t>
      </w:r>
      <w:r w:rsidRPr="002518FB">
        <w:rPr>
          <w:cs/>
          <w:lang w:val="el-GR"/>
        </w:rPr>
        <w:t>≥</w:t>
      </w:r>
      <w:r w:rsidRPr="002518FB">
        <w:rPr>
          <w:lang w:val="el-GR"/>
        </w:rPr>
        <w:t xml:space="preserve">5%) που αναφέρθηκαν ήταν μειωμένη όρεξη (14,9%), αϋπνία (11,3%), κεφαλαλγία (16,3%), ξηροστομία (18,4%) και ναυτία (26,7%).  Η πλειοψηφία αυτών των ανεπιθύμητων ενεργειών ήταν ήπιας ή μέτριας βαρύτητας </w:t>
      </w:r>
      <w:r w:rsidR="00362620" w:rsidRPr="002518FB">
        <w:rPr>
          <w:lang w:val="el-GR"/>
        </w:rPr>
        <w:t>ενώ</w:t>
      </w:r>
      <w:r w:rsidRPr="002518FB">
        <w:rPr>
          <w:lang w:val="el-GR"/>
        </w:rPr>
        <w:t xml:space="preserve"> οι ανεπιθύμητες ενέργειες που αναφέρθηκαν</w:t>
      </w:r>
      <w:r w:rsidR="009666A2" w:rsidRPr="002518FB">
        <w:rPr>
          <w:lang w:val="el-GR"/>
        </w:rPr>
        <w:t xml:space="preserve"> </w:t>
      </w:r>
      <w:r w:rsidR="00167D0B" w:rsidRPr="002518FB">
        <w:rPr>
          <w:lang w:val="el-GR"/>
        </w:rPr>
        <w:t>με μεγαλύτερη συχνότητα</w:t>
      </w:r>
      <w:r w:rsidRPr="002518FB">
        <w:rPr>
          <w:lang w:val="el-GR"/>
        </w:rPr>
        <w:t xml:space="preserve"> ως βαριάς μορφής ήταν η ναυτία, η αϋπνία, η κόπωση και η κεφαλαλγία.</w:t>
      </w:r>
      <w:r w:rsidR="006D2D93" w:rsidRPr="002518FB">
        <w:rPr>
          <w:lang w:val="el-GR"/>
        </w:rPr>
        <w:t xml:space="preserve"> Αιτιάσεις κατακράτησης ούρων ή δυσκολίας στην έναρξη της ούρησης σε ενήλικες ασθενείς θα πρέπει να θεωρούνται δυνητικά σχετιζόμενες με την </w:t>
      </w:r>
      <w:proofErr w:type="spellStart"/>
      <w:r w:rsidR="006D2D93" w:rsidRPr="002518FB">
        <w:rPr>
          <w:lang w:val="el-GR"/>
        </w:rPr>
        <w:t>ατομοξετίνη</w:t>
      </w:r>
      <w:proofErr w:type="spellEnd"/>
      <w:r w:rsidR="006D2D93" w:rsidRPr="002518FB">
        <w:rPr>
          <w:lang w:val="el-GR"/>
        </w:rPr>
        <w:t>.</w:t>
      </w:r>
    </w:p>
    <w:p w:rsidR="001B2B12" w:rsidRPr="002518FB" w:rsidRDefault="00D442D9" w:rsidP="00CC6FFC">
      <w:pPr>
        <w:pStyle w:val="BodyText"/>
        <w:spacing w:after="120"/>
        <w:rPr>
          <w:bCs w:val="0"/>
          <w:iCs w:val="0"/>
          <w:lang w:val="el-GR"/>
        </w:rPr>
      </w:pPr>
      <w:r w:rsidRPr="002518FB">
        <w:rPr>
          <w:bCs w:val="0"/>
          <w:iCs w:val="0"/>
          <w:lang w:val="el-GR"/>
        </w:rPr>
        <w:lastRenderedPageBreak/>
        <w:t xml:space="preserve">Ο ακόλουθος πίνακας ανεπιθύμητων ενεργειών βασίζεται στην αναφορά ανεπιθύμητων ενεργειών και στις εργαστηριακές έρευνες από κλινικές μελέτες καθώς και στις αυθόρμητες αναφορές </w:t>
      </w:r>
      <w:r w:rsidR="00BE235F" w:rsidRPr="002518FB">
        <w:rPr>
          <w:bCs w:val="0"/>
          <w:iCs w:val="0"/>
          <w:lang w:val="el-GR"/>
        </w:rPr>
        <w:t xml:space="preserve">μετά την κυκλοφορία του προϊόντος </w:t>
      </w:r>
      <w:r w:rsidRPr="002518FB">
        <w:rPr>
          <w:bCs w:val="0"/>
          <w:iCs w:val="0"/>
          <w:lang w:val="el-GR"/>
        </w:rPr>
        <w:t>από ενήλικες</w:t>
      </w:r>
      <w:r w:rsidR="00414676" w:rsidRPr="002518FB">
        <w:rPr>
          <w:bCs w:val="0"/>
          <w:iCs w:val="0"/>
          <w:lang w:val="el-GR"/>
        </w:rPr>
        <w:t>.</w:t>
      </w:r>
    </w:p>
    <w:p w:rsidR="00D442D9" w:rsidRPr="002518FB" w:rsidRDefault="00D442D9" w:rsidP="00D442D9">
      <w:pPr>
        <w:pStyle w:val="BodyText"/>
        <w:rPr>
          <w:bCs w:val="0"/>
          <w:i/>
          <w:iCs w:val="0"/>
          <w:u w:val="single"/>
          <w:lang w:val="el-GR"/>
        </w:rPr>
      </w:pPr>
      <w:r w:rsidRPr="002518FB">
        <w:rPr>
          <w:bCs w:val="0"/>
          <w:i/>
          <w:iCs w:val="0"/>
          <w:u w:val="single"/>
          <w:lang w:val="el-GR"/>
        </w:rPr>
        <w:t>Πίνακας: Ανεπιθύμητες Ενέργειες</w:t>
      </w:r>
    </w:p>
    <w:p w:rsidR="0097771F" w:rsidRPr="002518FB" w:rsidRDefault="00D442D9" w:rsidP="0097771F">
      <w:pPr>
        <w:pStyle w:val="BodyText"/>
        <w:rPr>
          <w:lang w:val="el-GR"/>
        </w:rPr>
      </w:pPr>
      <w:r w:rsidRPr="002518FB">
        <w:rPr>
          <w:lang w:val="el-GR"/>
        </w:rPr>
        <w:t>Μέτρηση συχνότητας: Πολύ συχνές (</w:t>
      </w:r>
      <w:r w:rsidR="000F3434" w:rsidRPr="002518FB">
        <w:rPr>
          <w:lang w:val="el-GR"/>
        </w:rPr>
        <w:sym w:font="Symbol" w:char="F0B3"/>
      </w:r>
      <w:r w:rsidR="007F6B6D" w:rsidRPr="002518FB">
        <w:rPr>
          <w:lang w:val="el-GR"/>
        </w:rPr>
        <w:t xml:space="preserve"> </w:t>
      </w:r>
      <w:r w:rsidRPr="002518FB">
        <w:rPr>
          <w:lang w:val="el-GR"/>
        </w:rPr>
        <w:t>1</w:t>
      </w:r>
      <w:r w:rsidR="007F6B6D" w:rsidRPr="002518FB">
        <w:rPr>
          <w:lang w:val="el-GR"/>
        </w:rPr>
        <w:t>/10</w:t>
      </w:r>
      <w:r w:rsidRPr="002518FB">
        <w:rPr>
          <w:lang w:val="el-GR"/>
        </w:rPr>
        <w:t>), συχνές (</w:t>
      </w:r>
      <w:r w:rsidR="000F3434" w:rsidRPr="002518FB">
        <w:rPr>
          <w:lang w:val="el-GR"/>
        </w:rPr>
        <w:sym w:font="Symbol" w:char="F0B3"/>
      </w:r>
      <w:r w:rsidR="007F6B6D" w:rsidRPr="002518FB">
        <w:rPr>
          <w:lang w:val="el-GR"/>
        </w:rPr>
        <w:t xml:space="preserve"> </w:t>
      </w:r>
      <w:r w:rsidRPr="002518FB">
        <w:rPr>
          <w:lang w:val="el-GR"/>
        </w:rPr>
        <w:t>1</w:t>
      </w:r>
      <w:r w:rsidR="007F6B6D" w:rsidRPr="002518FB">
        <w:rPr>
          <w:lang w:val="el-GR"/>
        </w:rPr>
        <w:t>/100</w:t>
      </w:r>
      <w:r w:rsidRPr="002518FB">
        <w:rPr>
          <w:lang w:val="el-GR"/>
        </w:rPr>
        <w:t xml:space="preserve"> </w:t>
      </w:r>
      <w:r w:rsidR="007F6B6D" w:rsidRPr="002518FB">
        <w:rPr>
          <w:lang w:val="el-GR"/>
        </w:rPr>
        <w:t>έως</w:t>
      </w:r>
      <w:r w:rsidRPr="002518FB">
        <w:rPr>
          <w:lang w:val="el-GR"/>
        </w:rPr>
        <w:t xml:space="preserve"> </w:t>
      </w:r>
      <w:r w:rsidR="000F3434" w:rsidRPr="002518FB">
        <w:rPr>
          <w:lang w:val="el-GR"/>
        </w:rPr>
        <w:sym w:font="Symbol" w:char="F03C"/>
      </w:r>
      <w:r w:rsidR="007F6B6D" w:rsidRPr="002518FB">
        <w:rPr>
          <w:lang w:val="el-GR"/>
        </w:rPr>
        <w:t xml:space="preserve"> </w:t>
      </w:r>
      <w:r w:rsidRPr="002518FB">
        <w:rPr>
          <w:lang w:val="el-GR"/>
        </w:rPr>
        <w:t>1</w:t>
      </w:r>
      <w:r w:rsidR="007F6B6D" w:rsidRPr="002518FB">
        <w:rPr>
          <w:lang w:val="el-GR"/>
        </w:rPr>
        <w:t>/10)</w:t>
      </w:r>
      <w:r w:rsidRPr="002518FB">
        <w:rPr>
          <w:lang w:val="el-GR"/>
        </w:rPr>
        <w:t xml:space="preserve">, </w:t>
      </w:r>
      <w:r w:rsidR="007F6B6D" w:rsidRPr="002518FB">
        <w:rPr>
          <w:lang w:val="el-GR"/>
        </w:rPr>
        <w:t xml:space="preserve">όχι </w:t>
      </w:r>
      <w:r w:rsidRPr="002518FB">
        <w:rPr>
          <w:lang w:val="el-GR"/>
        </w:rPr>
        <w:t>συχνές (</w:t>
      </w:r>
      <w:r w:rsidR="000F3434" w:rsidRPr="002518FB">
        <w:rPr>
          <w:lang w:val="el-GR"/>
        </w:rPr>
        <w:sym w:font="Symbol" w:char="F0B3"/>
      </w:r>
      <w:r w:rsidR="007F6B6D" w:rsidRPr="002518FB">
        <w:rPr>
          <w:lang w:val="el-GR"/>
        </w:rPr>
        <w:t xml:space="preserve"> 1/1.000 έως &lt;1/100)</w:t>
      </w:r>
      <w:r w:rsidRPr="002518FB">
        <w:rPr>
          <w:lang w:val="el-GR"/>
        </w:rPr>
        <w:t>, σπάνιες (</w:t>
      </w:r>
      <w:r w:rsidR="000F3434" w:rsidRPr="002518FB">
        <w:rPr>
          <w:lang w:val="el-GR"/>
        </w:rPr>
        <w:sym w:font="Symbol" w:char="F0B3"/>
      </w:r>
      <w:r w:rsidR="007F6B6D" w:rsidRPr="002518FB">
        <w:rPr>
          <w:lang w:val="el-GR"/>
        </w:rPr>
        <w:t xml:space="preserve"> 1/10.000 έως &lt; 1/1.000)</w:t>
      </w:r>
      <w:r w:rsidRPr="002518FB">
        <w:rPr>
          <w:lang w:val="el-GR"/>
        </w:rPr>
        <w:t>, πολύ σπάνιες (&lt;</w:t>
      </w:r>
      <w:r w:rsidR="007F6B6D" w:rsidRPr="002518FB">
        <w:rPr>
          <w:lang w:val="el-GR"/>
        </w:rPr>
        <w:t xml:space="preserve"> 1/10.000</w:t>
      </w:r>
      <w:r w:rsidRPr="002518FB">
        <w:rPr>
          <w:lang w:val="el-GR"/>
        </w:rPr>
        <w:t>)</w:t>
      </w:r>
      <w:r w:rsidR="0097771F" w:rsidRPr="002518FB">
        <w:rPr>
          <w:lang w:val="el-GR"/>
        </w:rPr>
        <w:t xml:space="preserve">. </w:t>
      </w:r>
    </w:p>
    <w:p w:rsidR="00D442D9" w:rsidRPr="002518FB" w:rsidRDefault="00D442D9" w:rsidP="0097771F">
      <w:pPr>
        <w:pStyle w:val="BodyText"/>
        <w:rPr>
          <w:bCs w:val="0"/>
          <w:iCs w:val="0"/>
          <w:lang w:val="el-GR"/>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1405"/>
        <w:gridCol w:w="2296"/>
        <w:gridCol w:w="1745"/>
        <w:gridCol w:w="2391"/>
      </w:tblGrid>
      <w:tr w:rsidR="00D442D9" w:rsidRPr="002518FB" w:rsidTr="009F1235">
        <w:tc>
          <w:tcPr>
            <w:tcW w:w="998" w:type="pct"/>
          </w:tcPr>
          <w:p w:rsidR="00D442D9" w:rsidRPr="002518FB" w:rsidRDefault="00CD47E3" w:rsidP="00B94BDC">
            <w:pPr>
              <w:pStyle w:val="mdTblEntryC"/>
              <w:rPr>
                <w:b/>
                <w:sz w:val="22"/>
                <w:szCs w:val="22"/>
                <w:lang w:val="el-GR"/>
              </w:rPr>
            </w:pPr>
            <w:r w:rsidRPr="002518FB">
              <w:rPr>
                <w:b/>
                <w:sz w:val="22"/>
                <w:szCs w:val="22"/>
                <w:lang w:val="el-GR"/>
              </w:rPr>
              <w:t>Κατηγορία Οργανικού Σ</w:t>
            </w:r>
            <w:r w:rsidR="00E03A6E" w:rsidRPr="002518FB">
              <w:rPr>
                <w:b/>
                <w:sz w:val="22"/>
                <w:szCs w:val="22"/>
                <w:lang w:val="el-GR"/>
              </w:rPr>
              <w:t>υ</w:t>
            </w:r>
            <w:r w:rsidRPr="002518FB">
              <w:rPr>
                <w:b/>
                <w:sz w:val="22"/>
                <w:szCs w:val="22"/>
                <w:lang w:val="el-GR"/>
              </w:rPr>
              <w:t>στ</w:t>
            </w:r>
            <w:r w:rsidR="00E03A6E" w:rsidRPr="002518FB">
              <w:rPr>
                <w:b/>
                <w:sz w:val="22"/>
                <w:szCs w:val="22"/>
                <w:lang w:val="el-GR"/>
              </w:rPr>
              <w:t>ή</w:t>
            </w:r>
            <w:r w:rsidRPr="002518FB">
              <w:rPr>
                <w:b/>
                <w:sz w:val="22"/>
                <w:szCs w:val="22"/>
                <w:lang w:val="el-GR"/>
              </w:rPr>
              <w:t>ματος</w:t>
            </w:r>
          </w:p>
        </w:tc>
        <w:tc>
          <w:tcPr>
            <w:tcW w:w="718" w:type="pct"/>
          </w:tcPr>
          <w:p w:rsidR="00D442D9" w:rsidRPr="002518FB" w:rsidRDefault="00D442D9" w:rsidP="00B94BDC">
            <w:pPr>
              <w:pStyle w:val="mdTblEntryC"/>
              <w:rPr>
                <w:b/>
                <w:bCs/>
                <w:sz w:val="22"/>
                <w:szCs w:val="22"/>
                <w:lang w:val="el-GR"/>
              </w:rPr>
            </w:pPr>
            <w:r w:rsidRPr="002518FB">
              <w:rPr>
                <w:b/>
                <w:bCs/>
                <w:sz w:val="22"/>
                <w:szCs w:val="22"/>
                <w:lang w:val="el-GR"/>
              </w:rPr>
              <w:t xml:space="preserve">Πολύ </w:t>
            </w:r>
          </w:p>
          <w:p w:rsidR="00D442D9" w:rsidRPr="002518FB" w:rsidRDefault="00D442D9" w:rsidP="00B94BDC">
            <w:pPr>
              <w:pStyle w:val="mdTblEntryC"/>
              <w:rPr>
                <w:b/>
                <w:bCs/>
                <w:sz w:val="22"/>
                <w:szCs w:val="22"/>
                <w:lang w:val="el-GR"/>
              </w:rPr>
            </w:pPr>
            <w:r w:rsidRPr="002518FB">
              <w:rPr>
                <w:b/>
                <w:bCs/>
                <w:sz w:val="22"/>
                <w:szCs w:val="22"/>
                <w:lang w:val="el-GR"/>
              </w:rPr>
              <w:t>Συχν</w:t>
            </w:r>
            <w:r w:rsidR="00A17D93" w:rsidRPr="002518FB">
              <w:rPr>
                <w:b/>
                <w:bCs/>
                <w:sz w:val="22"/>
                <w:szCs w:val="22"/>
                <w:lang w:val="el-GR"/>
              </w:rPr>
              <w:t>ές</w:t>
            </w:r>
          </w:p>
          <w:p w:rsidR="0083660E" w:rsidRPr="002518FB" w:rsidRDefault="0083660E" w:rsidP="00B94BDC">
            <w:pPr>
              <w:pStyle w:val="mdTblEntryC"/>
              <w:rPr>
                <w:lang w:val="el-GR"/>
              </w:rPr>
            </w:pPr>
            <w:r w:rsidRPr="002518FB">
              <w:rPr>
                <w:bCs/>
                <w:lang w:val="el-GR"/>
              </w:rPr>
              <w:sym w:font="Symbol" w:char="F0B3"/>
            </w:r>
            <w:r w:rsidRPr="002518FB">
              <w:rPr>
                <w:bCs/>
                <w:lang w:val="el-GR"/>
              </w:rPr>
              <w:t>1/10</w:t>
            </w:r>
          </w:p>
        </w:tc>
        <w:tc>
          <w:tcPr>
            <w:tcW w:w="1173" w:type="pct"/>
          </w:tcPr>
          <w:p w:rsidR="00D442D9" w:rsidRPr="002518FB" w:rsidRDefault="00D442D9" w:rsidP="00B94BDC">
            <w:pPr>
              <w:pStyle w:val="mdTblEntryC"/>
              <w:rPr>
                <w:b/>
                <w:bCs/>
                <w:sz w:val="22"/>
                <w:szCs w:val="22"/>
                <w:lang w:val="el-GR"/>
              </w:rPr>
            </w:pPr>
            <w:r w:rsidRPr="002518FB">
              <w:rPr>
                <w:b/>
                <w:bCs/>
                <w:sz w:val="22"/>
                <w:szCs w:val="22"/>
                <w:lang w:val="el-GR"/>
              </w:rPr>
              <w:t>Συχν</w:t>
            </w:r>
            <w:r w:rsidR="00A17D93" w:rsidRPr="002518FB">
              <w:rPr>
                <w:b/>
                <w:bCs/>
                <w:sz w:val="22"/>
                <w:szCs w:val="22"/>
                <w:lang w:val="el-GR"/>
              </w:rPr>
              <w:t>ές</w:t>
            </w:r>
          </w:p>
          <w:p w:rsidR="0083660E" w:rsidRPr="002518FB" w:rsidRDefault="0083660E" w:rsidP="0083660E">
            <w:pPr>
              <w:pStyle w:val="mdTblEntryC"/>
              <w:rPr>
                <w:b/>
                <w:bCs/>
                <w:sz w:val="22"/>
                <w:szCs w:val="22"/>
                <w:lang w:val="el-GR"/>
              </w:rPr>
            </w:pPr>
            <w:r w:rsidRPr="002518FB">
              <w:rPr>
                <w:szCs w:val="22"/>
                <w:lang w:val="el-GR"/>
              </w:rPr>
              <w:sym w:font="Symbol" w:char="F0B3"/>
            </w:r>
            <w:r w:rsidRPr="002518FB">
              <w:rPr>
                <w:szCs w:val="22"/>
                <w:lang w:val="el-GR"/>
              </w:rPr>
              <w:t>1/100 έως &lt;1/10</w:t>
            </w:r>
          </w:p>
        </w:tc>
        <w:tc>
          <w:tcPr>
            <w:tcW w:w="891" w:type="pct"/>
          </w:tcPr>
          <w:p w:rsidR="00D442D9" w:rsidRPr="002518FB" w:rsidRDefault="00383FBC" w:rsidP="00B94BDC">
            <w:pPr>
              <w:pStyle w:val="mdTblEntryC"/>
              <w:rPr>
                <w:b/>
                <w:bCs/>
                <w:sz w:val="22"/>
                <w:szCs w:val="22"/>
                <w:lang w:val="el-GR"/>
              </w:rPr>
            </w:pPr>
            <w:r w:rsidRPr="002518FB">
              <w:rPr>
                <w:b/>
                <w:bCs/>
                <w:sz w:val="22"/>
                <w:szCs w:val="22"/>
                <w:lang w:val="el-GR"/>
              </w:rPr>
              <w:t xml:space="preserve">Όχι </w:t>
            </w:r>
            <w:r w:rsidR="00D442D9" w:rsidRPr="002518FB">
              <w:rPr>
                <w:b/>
                <w:bCs/>
                <w:sz w:val="22"/>
                <w:szCs w:val="22"/>
                <w:lang w:val="el-GR"/>
              </w:rPr>
              <w:t>συχν</w:t>
            </w:r>
            <w:r w:rsidR="00A17D93" w:rsidRPr="002518FB">
              <w:rPr>
                <w:b/>
                <w:bCs/>
                <w:sz w:val="22"/>
                <w:szCs w:val="22"/>
                <w:lang w:val="el-GR"/>
              </w:rPr>
              <w:t>ές</w:t>
            </w:r>
          </w:p>
          <w:p w:rsidR="0083660E" w:rsidRPr="002518FB" w:rsidRDefault="0083660E" w:rsidP="0083660E">
            <w:pPr>
              <w:pStyle w:val="mdTblEntryC"/>
              <w:rPr>
                <w:b/>
                <w:bCs/>
                <w:sz w:val="22"/>
                <w:szCs w:val="22"/>
                <w:lang w:val="el-GR"/>
              </w:rPr>
            </w:pPr>
            <w:r w:rsidRPr="002518FB">
              <w:rPr>
                <w:szCs w:val="22"/>
                <w:lang w:val="el-GR"/>
              </w:rPr>
              <w:sym w:font="Symbol" w:char="F0B3"/>
            </w:r>
            <w:r w:rsidRPr="002518FB">
              <w:rPr>
                <w:szCs w:val="22"/>
                <w:lang w:val="el-GR"/>
              </w:rPr>
              <w:t>1/1.000 έως &lt;1/100</w:t>
            </w:r>
          </w:p>
        </w:tc>
        <w:tc>
          <w:tcPr>
            <w:tcW w:w="1221" w:type="pct"/>
          </w:tcPr>
          <w:p w:rsidR="0083660E" w:rsidRPr="002518FB" w:rsidRDefault="0083660E" w:rsidP="0083660E">
            <w:pPr>
              <w:pStyle w:val="mdTblEntryC"/>
              <w:spacing w:line="240" w:lineRule="auto"/>
              <w:rPr>
                <w:b/>
                <w:bCs/>
                <w:sz w:val="22"/>
                <w:szCs w:val="22"/>
                <w:lang w:val="el-GR"/>
              </w:rPr>
            </w:pPr>
            <w:r w:rsidRPr="002518FB">
              <w:rPr>
                <w:b/>
                <w:bCs/>
                <w:sz w:val="22"/>
                <w:szCs w:val="22"/>
                <w:lang w:val="el-GR"/>
              </w:rPr>
              <w:t>Σπάνιες</w:t>
            </w:r>
          </w:p>
          <w:p w:rsidR="00D442D9" w:rsidRPr="002518FB" w:rsidRDefault="0083660E" w:rsidP="00E03A6E">
            <w:pPr>
              <w:pStyle w:val="mdTblEntryC"/>
              <w:rPr>
                <w:b/>
                <w:bCs/>
                <w:sz w:val="22"/>
                <w:szCs w:val="22"/>
                <w:lang w:val="el-GR"/>
              </w:rPr>
            </w:pPr>
            <w:r w:rsidRPr="002518FB">
              <w:rPr>
                <w:szCs w:val="22"/>
                <w:lang w:val="el-GR"/>
              </w:rPr>
              <w:sym w:font="Symbol" w:char="F0B3"/>
            </w:r>
            <w:r w:rsidRPr="002518FB">
              <w:rPr>
                <w:szCs w:val="22"/>
                <w:lang w:val="el-GR"/>
              </w:rPr>
              <w:t>1/10.000 έως &lt;1/1.000</w:t>
            </w:r>
          </w:p>
        </w:tc>
      </w:tr>
      <w:tr w:rsidR="00D442D9" w:rsidRPr="002518FB" w:rsidTr="009F1235">
        <w:tc>
          <w:tcPr>
            <w:tcW w:w="998" w:type="pct"/>
          </w:tcPr>
          <w:p w:rsidR="00D442D9" w:rsidRPr="002518FB" w:rsidRDefault="00D442D9" w:rsidP="00B94BDC">
            <w:pPr>
              <w:pStyle w:val="mdTblEntryL"/>
              <w:rPr>
                <w:b/>
                <w:sz w:val="22"/>
                <w:szCs w:val="22"/>
                <w:lang w:val="el-GR"/>
              </w:rPr>
            </w:pPr>
            <w:r w:rsidRPr="002518FB">
              <w:rPr>
                <w:b/>
                <w:sz w:val="22"/>
                <w:szCs w:val="22"/>
                <w:lang w:val="el-GR"/>
              </w:rPr>
              <w:t xml:space="preserve">Διαταραχές του Μεταβολισμού και της Θρέψης </w:t>
            </w:r>
          </w:p>
        </w:tc>
        <w:tc>
          <w:tcPr>
            <w:tcW w:w="718" w:type="pct"/>
          </w:tcPr>
          <w:p w:rsidR="00D442D9" w:rsidRPr="002518FB" w:rsidRDefault="00D442D9" w:rsidP="00B94BDC">
            <w:pPr>
              <w:pStyle w:val="mdTblEntryL"/>
              <w:rPr>
                <w:sz w:val="22"/>
                <w:szCs w:val="22"/>
                <w:lang w:val="el-GR"/>
              </w:rPr>
            </w:pPr>
            <w:r w:rsidRPr="002518FB">
              <w:rPr>
                <w:sz w:val="22"/>
                <w:szCs w:val="22"/>
                <w:lang w:val="el-GR"/>
              </w:rPr>
              <w:t>Μειωμένη όρεξη</w:t>
            </w:r>
          </w:p>
        </w:tc>
        <w:tc>
          <w:tcPr>
            <w:tcW w:w="1173" w:type="pct"/>
          </w:tcPr>
          <w:p w:rsidR="00D442D9" w:rsidRPr="002518FB" w:rsidRDefault="00D442D9" w:rsidP="00B94BDC">
            <w:pPr>
              <w:pStyle w:val="mdTblEntryL"/>
              <w:rPr>
                <w:sz w:val="22"/>
                <w:lang w:val="el-GR"/>
              </w:rPr>
            </w:pPr>
          </w:p>
        </w:tc>
        <w:tc>
          <w:tcPr>
            <w:tcW w:w="891" w:type="pct"/>
          </w:tcPr>
          <w:p w:rsidR="00D442D9" w:rsidRPr="002518FB" w:rsidRDefault="00D442D9" w:rsidP="00B94BDC">
            <w:pPr>
              <w:pStyle w:val="mdTblEntryL"/>
              <w:rPr>
                <w:sz w:val="22"/>
                <w:lang w:val="el-GR"/>
              </w:rPr>
            </w:pPr>
          </w:p>
        </w:tc>
        <w:tc>
          <w:tcPr>
            <w:tcW w:w="1221" w:type="pct"/>
          </w:tcPr>
          <w:p w:rsidR="00D442D9" w:rsidRPr="002518FB" w:rsidRDefault="00D442D9" w:rsidP="00B94BDC">
            <w:pPr>
              <w:pStyle w:val="Style1"/>
              <w:tabs>
                <w:tab w:val="left" w:pos="0"/>
                <w:tab w:val="left" w:pos="567"/>
                <w:tab w:val="left" w:pos="720"/>
                <w:tab w:val="left" w:pos="1440"/>
                <w:tab w:val="left" w:pos="2160"/>
                <w:tab w:val="left" w:pos="2880"/>
                <w:tab w:val="left" w:pos="3600"/>
                <w:tab w:val="left" w:pos="4320"/>
              </w:tabs>
              <w:adjustRightInd w:val="0"/>
              <w:spacing w:line="240" w:lineRule="atLeast"/>
              <w:rPr>
                <w:rFonts w:ascii="Times New Roman" w:hAnsi="Times New Roman"/>
                <w:lang w:val="el-GR"/>
              </w:rPr>
            </w:pPr>
          </w:p>
          <w:p w:rsidR="00D442D9" w:rsidRPr="002518FB" w:rsidRDefault="00D442D9" w:rsidP="00B94BDC">
            <w:pPr>
              <w:pStyle w:val="mdTblEntryL"/>
              <w:rPr>
                <w:sz w:val="22"/>
                <w:lang w:val="el-GR"/>
              </w:rPr>
            </w:pPr>
          </w:p>
        </w:tc>
      </w:tr>
      <w:tr w:rsidR="00D442D9" w:rsidRPr="00006638" w:rsidTr="009F1235">
        <w:tc>
          <w:tcPr>
            <w:tcW w:w="998" w:type="pct"/>
          </w:tcPr>
          <w:p w:rsidR="00633D16" w:rsidRPr="002518FB" w:rsidRDefault="00633D16" w:rsidP="00B94BDC">
            <w:pPr>
              <w:pStyle w:val="mdTblEntryL"/>
              <w:rPr>
                <w:b/>
                <w:sz w:val="22"/>
                <w:szCs w:val="22"/>
                <w:lang w:val="el-GR"/>
              </w:rPr>
            </w:pPr>
            <w:r w:rsidRPr="002518FB">
              <w:rPr>
                <w:b/>
                <w:sz w:val="22"/>
                <w:szCs w:val="22"/>
                <w:lang w:val="el-GR"/>
              </w:rPr>
              <w:t>Ψυχιατρικές</w:t>
            </w:r>
          </w:p>
          <w:p w:rsidR="00D442D9" w:rsidRPr="002518FB" w:rsidRDefault="00BB7301" w:rsidP="00B94BDC">
            <w:pPr>
              <w:pStyle w:val="mdTblEntryL"/>
              <w:rPr>
                <w:b/>
                <w:sz w:val="22"/>
                <w:lang w:val="el-GR"/>
              </w:rPr>
            </w:pPr>
            <w:r w:rsidRPr="002518FB">
              <w:rPr>
                <w:b/>
                <w:sz w:val="22"/>
                <w:szCs w:val="22"/>
                <w:lang w:val="el-GR"/>
              </w:rPr>
              <w:t xml:space="preserve">Διαταραχές </w:t>
            </w:r>
          </w:p>
        </w:tc>
        <w:tc>
          <w:tcPr>
            <w:tcW w:w="718" w:type="pct"/>
          </w:tcPr>
          <w:p w:rsidR="00D442D9" w:rsidRPr="002518FB" w:rsidRDefault="00CD47E3" w:rsidP="00B94BDC">
            <w:pPr>
              <w:pStyle w:val="mdTblEntryL"/>
              <w:rPr>
                <w:sz w:val="22"/>
                <w:szCs w:val="22"/>
                <w:lang w:val="el-GR"/>
              </w:rPr>
            </w:pPr>
            <w:r w:rsidRPr="002518FB">
              <w:rPr>
                <w:sz w:val="22"/>
                <w:szCs w:val="22"/>
                <w:lang w:val="el-GR"/>
              </w:rPr>
              <w:t>Αϋπνία</w:t>
            </w:r>
            <w:r w:rsidRPr="002518FB">
              <w:rPr>
                <w:sz w:val="22"/>
                <w:szCs w:val="22"/>
                <w:vertAlign w:val="superscript"/>
                <w:lang w:val="el-GR"/>
              </w:rPr>
              <w:t>2</w:t>
            </w:r>
          </w:p>
        </w:tc>
        <w:tc>
          <w:tcPr>
            <w:tcW w:w="1173" w:type="pct"/>
          </w:tcPr>
          <w:p w:rsidR="007E6662" w:rsidRPr="002518FB" w:rsidRDefault="004B6C4D" w:rsidP="007E6662">
            <w:pPr>
              <w:pStyle w:val="mdTblEntryL"/>
              <w:rPr>
                <w:sz w:val="22"/>
                <w:szCs w:val="22"/>
                <w:lang w:val="el-GR"/>
              </w:rPr>
            </w:pPr>
            <w:r w:rsidRPr="002518FB">
              <w:rPr>
                <w:sz w:val="22"/>
                <w:szCs w:val="22"/>
                <w:lang w:val="el-GR"/>
              </w:rPr>
              <w:t xml:space="preserve">Διέγερση*, </w:t>
            </w:r>
            <w:r w:rsidRPr="002518FB">
              <w:rPr>
                <w:sz w:val="22"/>
                <w:lang w:val="el-GR"/>
              </w:rPr>
              <w:t xml:space="preserve">μειωμένη </w:t>
            </w:r>
            <w:r w:rsidR="00CD47E3" w:rsidRPr="002518FB">
              <w:rPr>
                <w:sz w:val="22"/>
                <w:lang w:val="el-GR"/>
              </w:rPr>
              <w:t>γ</w:t>
            </w:r>
            <w:r w:rsidR="00763A29" w:rsidRPr="002518FB">
              <w:rPr>
                <w:sz w:val="22"/>
                <w:lang w:val="el-GR"/>
              </w:rPr>
              <w:t>ενετήσια ορμή, διαταραχή ύπνου</w:t>
            </w:r>
            <w:r w:rsidR="007E6662" w:rsidRPr="002518FB">
              <w:rPr>
                <w:sz w:val="22"/>
                <w:lang w:val="el-GR"/>
              </w:rPr>
              <w:t xml:space="preserve">, </w:t>
            </w:r>
            <w:r w:rsidR="007E6662" w:rsidRPr="002518FB">
              <w:rPr>
                <w:sz w:val="22"/>
                <w:szCs w:val="22"/>
                <w:lang w:val="el-GR"/>
              </w:rPr>
              <w:t>κατάθλιψη και καταθλιπτική διάθεση*</w:t>
            </w:r>
            <w:r w:rsidR="007F2992" w:rsidRPr="002518FB">
              <w:rPr>
                <w:sz w:val="22"/>
                <w:szCs w:val="22"/>
                <w:lang w:val="el-GR"/>
              </w:rPr>
              <w:t>,</w:t>
            </w:r>
          </w:p>
          <w:p w:rsidR="00D442D9" w:rsidRPr="002518FB" w:rsidRDefault="007E6662" w:rsidP="007E6662">
            <w:pPr>
              <w:pStyle w:val="mdTblEntryL"/>
              <w:rPr>
                <w:sz w:val="22"/>
                <w:szCs w:val="22"/>
                <w:lang w:val="el-GR"/>
              </w:rPr>
            </w:pPr>
            <w:r w:rsidRPr="002518FB">
              <w:rPr>
                <w:sz w:val="22"/>
                <w:szCs w:val="22"/>
                <w:lang w:val="el-GR"/>
              </w:rPr>
              <w:t>άγχος.</w:t>
            </w:r>
          </w:p>
        </w:tc>
        <w:tc>
          <w:tcPr>
            <w:tcW w:w="891" w:type="pct"/>
          </w:tcPr>
          <w:p w:rsidR="00D442D9" w:rsidRPr="002518FB" w:rsidRDefault="003710BF" w:rsidP="003710BF">
            <w:pPr>
              <w:pStyle w:val="mdTblEntryL"/>
              <w:rPr>
                <w:sz w:val="22"/>
                <w:szCs w:val="22"/>
                <w:lang w:val="el-GR"/>
              </w:rPr>
            </w:pPr>
            <w:r w:rsidRPr="002518FB">
              <w:rPr>
                <w:sz w:val="22"/>
                <w:szCs w:val="22"/>
                <w:lang w:val="el-GR"/>
              </w:rPr>
              <w:t xml:space="preserve">Αυτοκτονικά </w:t>
            </w:r>
            <w:proofErr w:type="spellStart"/>
            <w:r w:rsidRPr="002518FB">
              <w:rPr>
                <w:sz w:val="22"/>
                <w:szCs w:val="22"/>
                <w:lang w:val="el-GR"/>
              </w:rPr>
              <w:t>συμβάματα</w:t>
            </w:r>
            <w:proofErr w:type="spellEnd"/>
            <w:r w:rsidRPr="002518FB">
              <w:rPr>
                <w:sz w:val="22"/>
                <w:szCs w:val="22"/>
                <w:lang w:val="el-GR"/>
              </w:rPr>
              <w:t xml:space="preserve">*, επιθετικότητα, εχθρότητα και συναισθηματική αστάθεια*, </w:t>
            </w:r>
            <w:r w:rsidRPr="002518FB">
              <w:rPr>
                <w:sz w:val="22"/>
                <w:szCs w:val="22"/>
                <w:lang w:val="el-GR" w:eastAsia="el-GR"/>
              </w:rPr>
              <w:t>νευρικότητα, τικ*.</w:t>
            </w:r>
          </w:p>
        </w:tc>
        <w:tc>
          <w:tcPr>
            <w:tcW w:w="1221" w:type="pct"/>
          </w:tcPr>
          <w:p w:rsidR="00D312C3" w:rsidRPr="002518FB" w:rsidRDefault="000642B7" w:rsidP="000642B7">
            <w:pPr>
              <w:pStyle w:val="mdTblEntryL"/>
              <w:rPr>
                <w:sz w:val="22"/>
                <w:szCs w:val="22"/>
                <w:lang w:val="el-GR"/>
              </w:rPr>
            </w:pPr>
            <w:r w:rsidRPr="002518FB">
              <w:rPr>
                <w:sz w:val="22"/>
                <w:szCs w:val="22"/>
                <w:lang w:val="el-GR"/>
              </w:rPr>
              <w:t>Ψ</w:t>
            </w:r>
            <w:r w:rsidR="00CD47E3" w:rsidRPr="002518FB">
              <w:rPr>
                <w:sz w:val="22"/>
                <w:szCs w:val="22"/>
                <w:lang w:val="el-GR"/>
              </w:rPr>
              <w:t>ύχωση (περιλαμβανομένων και των ψευδαισθήσεων)*</w:t>
            </w:r>
            <w:r w:rsidRPr="002518FB">
              <w:rPr>
                <w:sz w:val="22"/>
                <w:szCs w:val="22"/>
                <w:lang w:val="el-GR"/>
              </w:rPr>
              <w:t>.</w:t>
            </w:r>
          </w:p>
        </w:tc>
      </w:tr>
      <w:tr w:rsidR="00D442D9" w:rsidRPr="002518FB" w:rsidTr="009F1235">
        <w:tc>
          <w:tcPr>
            <w:tcW w:w="998" w:type="pct"/>
          </w:tcPr>
          <w:p w:rsidR="00D442D9" w:rsidRPr="002518FB" w:rsidRDefault="00D442D9" w:rsidP="00B94BDC">
            <w:pPr>
              <w:pStyle w:val="mdTblEntryL"/>
              <w:rPr>
                <w:b/>
                <w:sz w:val="22"/>
                <w:szCs w:val="22"/>
                <w:lang w:val="el-GR"/>
              </w:rPr>
            </w:pPr>
            <w:r w:rsidRPr="002518FB">
              <w:rPr>
                <w:b/>
                <w:sz w:val="22"/>
                <w:szCs w:val="22"/>
                <w:lang w:val="el-GR"/>
              </w:rPr>
              <w:t>Διαταραχές του Νευρικού Συστήματος</w:t>
            </w:r>
          </w:p>
        </w:tc>
        <w:tc>
          <w:tcPr>
            <w:tcW w:w="718" w:type="pct"/>
          </w:tcPr>
          <w:p w:rsidR="00D442D9" w:rsidRPr="002518FB" w:rsidRDefault="000F37E9" w:rsidP="00B70123">
            <w:pPr>
              <w:pStyle w:val="Text"/>
              <w:tabs>
                <w:tab w:val="left" w:pos="567"/>
                <w:tab w:val="center" w:pos="4320"/>
                <w:tab w:val="right" w:pos="8640"/>
              </w:tabs>
              <w:spacing w:before="0" w:after="0" w:line="240" w:lineRule="auto"/>
              <w:ind w:left="0" w:right="0" w:firstLine="0"/>
              <w:rPr>
                <w:color w:val="auto"/>
                <w:sz w:val="22"/>
                <w:lang w:val="el-GR"/>
              </w:rPr>
            </w:pPr>
            <w:r w:rsidRPr="002518FB">
              <w:rPr>
                <w:color w:val="auto"/>
                <w:sz w:val="22"/>
                <w:lang w:val="el-GR"/>
              </w:rPr>
              <w:t>Κεφαλαλγία.</w:t>
            </w:r>
          </w:p>
        </w:tc>
        <w:tc>
          <w:tcPr>
            <w:tcW w:w="1173" w:type="pct"/>
          </w:tcPr>
          <w:p w:rsidR="00D442D9" w:rsidRPr="002518FB" w:rsidRDefault="00BE3AD9" w:rsidP="000F37E9">
            <w:pPr>
              <w:pStyle w:val="mdTblEntryL"/>
              <w:rPr>
                <w:sz w:val="22"/>
                <w:szCs w:val="22"/>
                <w:lang w:val="el-GR"/>
              </w:rPr>
            </w:pPr>
            <w:r w:rsidRPr="002518FB">
              <w:rPr>
                <w:sz w:val="22"/>
                <w:lang w:val="el-GR"/>
              </w:rPr>
              <w:t xml:space="preserve">Ζάλη, </w:t>
            </w:r>
            <w:proofErr w:type="spellStart"/>
            <w:r w:rsidR="000F37E9" w:rsidRPr="002518FB">
              <w:rPr>
                <w:sz w:val="22"/>
                <w:lang w:val="el-GR"/>
              </w:rPr>
              <w:t>δυσγευσία</w:t>
            </w:r>
            <w:proofErr w:type="spellEnd"/>
            <w:r w:rsidR="00B70123" w:rsidRPr="002518FB">
              <w:rPr>
                <w:sz w:val="22"/>
                <w:lang w:val="el-GR"/>
              </w:rPr>
              <w:t xml:space="preserve">, παραισθησία, </w:t>
            </w:r>
            <w:r w:rsidR="000F37E9" w:rsidRPr="002518FB">
              <w:rPr>
                <w:sz w:val="22"/>
                <w:szCs w:val="22"/>
                <w:lang w:val="el-GR" w:eastAsia="el-GR"/>
              </w:rPr>
              <w:t xml:space="preserve">υπνηλία (συμπεριλαμβανομένης καταστολής), </w:t>
            </w:r>
            <w:r w:rsidR="00B70123" w:rsidRPr="002518FB">
              <w:rPr>
                <w:sz w:val="22"/>
                <w:lang w:val="el-GR"/>
              </w:rPr>
              <w:t>τρόμος</w:t>
            </w:r>
            <w:r w:rsidR="000F37E9" w:rsidRPr="002518FB">
              <w:rPr>
                <w:sz w:val="22"/>
                <w:lang w:val="el-GR"/>
              </w:rPr>
              <w:t>.</w:t>
            </w:r>
          </w:p>
        </w:tc>
        <w:tc>
          <w:tcPr>
            <w:tcW w:w="891" w:type="pct"/>
          </w:tcPr>
          <w:p w:rsidR="00D442D9" w:rsidRPr="002518FB" w:rsidRDefault="00314FD2" w:rsidP="00B94BDC">
            <w:pPr>
              <w:pStyle w:val="mdTblEntryL"/>
              <w:rPr>
                <w:sz w:val="22"/>
                <w:szCs w:val="22"/>
                <w:lang w:val="el-GR"/>
              </w:rPr>
            </w:pPr>
            <w:r w:rsidRPr="002518FB">
              <w:rPr>
                <w:sz w:val="22"/>
                <w:szCs w:val="22"/>
                <w:lang w:val="el-GR"/>
              </w:rPr>
              <w:t>Συγκοπή, ημικρανία</w:t>
            </w:r>
            <w:r w:rsidR="0053518A" w:rsidRPr="002518FB">
              <w:rPr>
                <w:sz w:val="22"/>
                <w:szCs w:val="22"/>
                <w:lang w:val="el-GR"/>
              </w:rPr>
              <w:t>, υπαισθησία*.</w:t>
            </w:r>
          </w:p>
        </w:tc>
        <w:tc>
          <w:tcPr>
            <w:tcW w:w="1221" w:type="pct"/>
          </w:tcPr>
          <w:p w:rsidR="00D312C3" w:rsidRPr="002518FB" w:rsidRDefault="00D442D9" w:rsidP="003A6B97">
            <w:pPr>
              <w:pStyle w:val="mdTblEntryL"/>
              <w:rPr>
                <w:sz w:val="22"/>
                <w:szCs w:val="22"/>
                <w:lang w:val="el-GR"/>
              </w:rPr>
            </w:pPr>
            <w:r w:rsidRPr="002518FB">
              <w:rPr>
                <w:sz w:val="22"/>
                <w:szCs w:val="22"/>
                <w:lang w:val="el-GR"/>
              </w:rPr>
              <w:t>Επιληπτικοί σπασμοί*</w:t>
            </w:r>
            <w:r w:rsidR="00315032" w:rsidRPr="002518FB">
              <w:rPr>
                <w:sz w:val="22"/>
                <w:szCs w:val="22"/>
                <w:lang w:val="el-GR"/>
              </w:rPr>
              <w:t>*</w:t>
            </w:r>
            <w:r w:rsidR="003A6B97" w:rsidRPr="002518FB">
              <w:rPr>
                <w:sz w:val="22"/>
                <w:szCs w:val="22"/>
                <w:lang w:val="el-GR"/>
              </w:rPr>
              <w:t>.</w:t>
            </w:r>
          </w:p>
        </w:tc>
      </w:tr>
      <w:tr w:rsidR="00D442D9" w:rsidRPr="002518FB" w:rsidTr="009F1235">
        <w:tc>
          <w:tcPr>
            <w:tcW w:w="998" w:type="pct"/>
          </w:tcPr>
          <w:p w:rsidR="00D442D9" w:rsidRPr="002518FB" w:rsidRDefault="00D442D9" w:rsidP="00B94BDC">
            <w:pPr>
              <w:pStyle w:val="mdTblEntryL"/>
              <w:rPr>
                <w:b/>
                <w:sz w:val="22"/>
                <w:szCs w:val="22"/>
                <w:lang w:val="el-GR"/>
              </w:rPr>
            </w:pPr>
            <w:r w:rsidRPr="002518FB">
              <w:rPr>
                <w:b/>
                <w:sz w:val="22"/>
                <w:szCs w:val="22"/>
                <w:lang w:val="el-GR"/>
              </w:rPr>
              <w:t>Καρδιακές Διαταραχές</w:t>
            </w:r>
          </w:p>
        </w:tc>
        <w:tc>
          <w:tcPr>
            <w:tcW w:w="718" w:type="pct"/>
          </w:tcPr>
          <w:p w:rsidR="00D442D9" w:rsidRPr="002518FB" w:rsidRDefault="00D442D9" w:rsidP="00B94BDC">
            <w:pPr>
              <w:pStyle w:val="mdTblEntryL"/>
              <w:rPr>
                <w:sz w:val="22"/>
                <w:lang w:val="el-GR"/>
              </w:rPr>
            </w:pPr>
          </w:p>
        </w:tc>
        <w:tc>
          <w:tcPr>
            <w:tcW w:w="1173" w:type="pct"/>
          </w:tcPr>
          <w:p w:rsidR="00826AF0" w:rsidRPr="002518FB" w:rsidRDefault="00826AF0" w:rsidP="00B94BDC">
            <w:pPr>
              <w:pStyle w:val="mdTblEntryL"/>
              <w:rPr>
                <w:sz w:val="22"/>
                <w:szCs w:val="22"/>
                <w:lang w:val="el-GR"/>
              </w:rPr>
            </w:pPr>
            <w:r w:rsidRPr="002518FB">
              <w:rPr>
                <w:sz w:val="22"/>
                <w:szCs w:val="22"/>
                <w:lang w:val="el-GR"/>
              </w:rPr>
              <w:t xml:space="preserve">Αίσθημα </w:t>
            </w:r>
            <w:proofErr w:type="spellStart"/>
            <w:r w:rsidRPr="002518FB">
              <w:rPr>
                <w:sz w:val="22"/>
                <w:szCs w:val="22"/>
                <w:lang w:val="el-GR"/>
              </w:rPr>
              <w:t>προκάρδιων</w:t>
            </w:r>
            <w:proofErr w:type="spellEnd"/>
            <w:r w:rsidRPr="002518FB">
              <w:rPr>
                <w:sz w:val="22"/>
                <w:szCs w:val="22"/>
                <w:lang w:val="el-GR"/>
              </w:rPr>
              <w:t xml:space="preserve"> παλμών, </w:t>
            </w:r>
          </w:p>
          <w:p w:rsidR="00D442D9" w:rsidRPr="002518FB" w:rsidRDefault="00826AF0" w:rsidP="00B94BDC">
            <w:pPr>
              <w:pStyle w:val="mdTblEntryL"/>
              <w:rPr>
                <w:sz w:val="22"/>
                <w:szCs w:val="22"/>
                <w:lang w:val="el-GR"/>
              </w:rPr>
            </w:pPr>
            <w:r w:rsidRPr="002518FB">
              <w:rPr>
                <w:sz w:val="22"/>
                <w:szCs w:val="22"/>
                <w:lang w:val="el-GR"/>
              </w:rPr>
              <w:t>ταχυκαρδία</w:t>
            </w:r>
          </w:p>
        </w:tc>
        <w:tc>
          <w:tcPr>
            <w:tcW w:w="891" w:type="pct"/>
          </w:tcPr>
          <w:p w:rsidR="00354B00" w:rsidRPr="002518FB" w:rsidRDefault="00362620" w:rsidP="00354B00">
            <w:pPr>
              <w:pStyle w:val="mdTblEntryL"/>
              <w:rPr>
                <w:sz w:val="22"/>
                <w:szCs w:val="22"/>
                <w:lang w:val="el-GR"/>
              </w:rPr>
            </w:pPr>
            <w:r w:rsidRPr="002518FB">
              <w:rPr>
                <w:sz w:val="22"/>
                <w:szCs w:val="22"/>
                <w:lang w:val="el-GR"/>
              </w:rPr>
              <w:t>Παράταση διαστήματος</w:t>
            </w:r>
          </w:p>
          <w:p w:rsidR="00D442D9" w:rsidRPr="002518FB" w:rsidRDefault="00354B00" w:rsidP="00354B00">
            <w:pPr>
              <w:pStyle w:val="mdTblEntryL"/>
              <w:rPr>
                <w:sz w:val="22"/>
                <w:szCs w:val="22"/>
                <w:lang w:val="el-GR"/>
              </w:rPr>
            </w:pPr>
            <w:r w:rsidRPr="002518FB">
              <w:rPr>
                <w:sz w:val="22"/>
                <w:szCs w:val="22"/>
                <w:lang w:val="el-GR"/>
              </w:rPr>
              <w:t>QT**.</w:t>
            </w:r>
          </w:p>
        </w:tc>
        <w:tc>
          <w:tcPr>
            <w:tcW w:w="1221" w:type="pct"/>
          </w:tcPr>
          <w:p w:rsidR="005670CF" w:rsidRPr="002518FB" w:rsidRDefault="005670CF" w:rsidP="00B94BDC">
            <w:pPr>
              <w:pStyle w:val="mdTblEntryL"/>
              <w:rPr>
                <w:sz w:val="22"/>
                <w:szCs w:val="22"/>
                <w:lang w:val="el-GR"/>
              </w:rPr>
            </w:pPr>
          </w:p>
          <w:p w:rsidR="00D442D9" w:rsidRPr="002518FB" w:rsidRDefault="00D442D9" w:rsidP="00B94BDC">
            <w:pPr>
              <w:pStyle w:val="mdTblEntryL"/>
              <w:rPr>
                <w:sz w:val="22"/>
                <w:szCs w:val="22"/>
                <w:lang w:val="el-GR"/>
              </w:rPr>
            </w:pPr>
          </w:p>
        </w:tc>
      </w:tr>
      <w:tr w:rsidR="00D442D9" w:rsidRPr="002518FB" w:rsidTr="009F1235">
        <w:tc>
          <w:tcPr>
            <w:tcW w:w="998" w:type="pct"/>
          </w:tcPr>
          <w:p w:rsidR="00D442D9" w:rsidRPr="002518FB" w:rsidRDefault="00D442D9" w:rsidP="00B94BDC">
            <w:pPr>
              <w:pStyle w:val="mdTblEntryL"/>
              <w:rPr>
                <w:b/>
                <w:sz w:val="22"/>
                <w:szCs w:val="22"/>
                <w:lang w:val="el-GR"/>
              </w:rPr>
            </w:pPr>
            <w:r w:rsidRPr="002518FB">
              <w:rPr>
                <w:b/>
                <w:sz w:val="22"/>
                <w:szCs w:val="22"/>
                <w:lang w:val="el-GR"/>
              </w:rPr>
              <w:t>Αγγειακές Διαταραχές</w:t>
            </w:r>
          </w:p>
        </w:tc>
        <w:tc>
          <w:tcPr>
            <w:tcW w:w="718" w:type="pct"/>
          </w:tcPr>
          <w:p w:rsidR="00D442D9" w:rsidRPr="002518FB" w:rsidRDefault="00D442D9" w:rsidP="00B94BDC">
            <w:pPr>
              <w:pStyle w:val="mdTblEntryL"/>
              <w:rPr>
                <w:sz w:val="22"/>
                <w:lang w:val="el-GR"/>
              </w:rPr>
            </w:pPr>
          </w:p>
        </w:tc>
        <w:tc>
          <w:tcPr>
            <w:tcW w:w="1173" w:type="pct"/>
          </w:tcPr>
          <w:p w:rsidR="00ED1A15" w:rsidRPr="002518FB" w:rsidRDefault="00ED1A15" w:rsidP="00ED1A15">
            <w:pPr>
              <w:pStyle w:val="Text"/>
              <w:tabs>
                <w:tab w:val="left" w:pos="567"/>
              </w:tabs>
              <w:spacing w:before="0" w:after="0" w:line="240" w:lineRule="auto"/>
              <w:ind w:left="0" w:right="0" w:firstLine="0"/>
              <w:rPr>
                <w:bCs/>
                <w:color w:val="auto"/>
                <w:sz w:val="22"/>
                <w:lang w:val="el-GR"/>
              </w:rPr>
            </w:pPr>
            <w:r w:rsidRPr="002518FB">
              <w:rPr>
                <w:bCs/>
                <w:color w:val="auto"/>
                <w:sz w:val="22"/>
                <w:lang w:val="el-GR"/>
              </w:rPr>
              <w:t>Εξάψεις</w:t>
            </w:r>
          </w:p>
          <w:p w:rsidR="00D442D9" w:rsidRPr="002518FB" w:rsidRDefault="00D442D9" w:rsidP="00ED1A15">
            <w:pPr>
              <w:pStyle w:val="mdTblEntryL"/>
              <w:rPr>
                <w:sz w:val="22"/>
                <w:lang w:val="el-GR"/>
              </w:rPr>
            </w:pPr>
          </w:p>
        </w:tc>
        <w:tc>
          <w:tcPr>
            <w:tcW w:w="891" w:type="pct"/>
          </w:tcPr>
          <w:p w:rsidR="00D442D9" w:rsidRPr="002518FB" w:rsidRDefault="00ED1A15" w:rsidP="00ED1A15">
            <w:pPr>
              <w:pStyle w:val="mdTblEntryL"/>
              <w:rPr>
                <w:sz w:val="22"/>
                <w:lang w:val="el-GR"/>
              </w:rPr>
            </w:pPr>
            <w:r w:rsidRPr="002518FB">
              <w:rPr>
                <w:iCs/>
                <w:sz w:val="22"/>
                <w:lang w:val="el-GR"/>
              </w:rPr>
              <w:t>Ψυχρότητα στα άκρα</w:t>
            </w:r>
          </w:p>
        </w:tc>
        <w:tc>
          <w:tcPr>
            <w:tcW w:w="1221" w:type="pct"/>
          </w:tcPr>
          <w:p w:rsidR="00D442D9" w:rsidRPr="002518FB" w:rsidRDefault="00D442D9" w:rsidP="00E31FD3">
            <w:pPr>
              <w:pStyle w:val="mdTblEntryL"/>
              <w:rPr>
                <w:sz w:val="22"/>
                <w:lang w:val="el-GR"/>
              </w:rPr>
            </w:pPr>
            <w:r w:rsidRPr="002518FB">
              <w:rPr>
                <w:sz w:val="22"/>
                <w:szCs w:val="22"/>
                <w:lang w:val="el-GR"/>
              </w:rPr>
              <w:t xml:space="preserve">Φαινόμενο </w:t>
            </w:r>
            <w:proofErr w:type="spellStart"/>
            <w:r w:rsidRPr="002518FB">
              <w:rPr>
                <w:sz w:val="22"/>
                <w:szCs w:val="22"/>
                <w:lang w:val="el-GR"/>
              </w:rPr>
              <w:t>Raynaud</w:t>
            </w:r>
            <w:proofErr w:type="spellEnd"/>
          </w:p>
        </w:tc>
      </w:tr>
      <w:tr w:rsidR="009F1235" w:rsidRPr="009F1235" w:rsidTr="009F1235">
        <w:tc>
          <w:tcPr>
            <w:tcW w:w="998" w:type="pct"/>
          </w:tcPr>
          <w:p w:rsidR="009F1235" w:rsidRPr="002518FB" w:rsidRDefault="009F1235" w:rsidP="00B94BDC">
            <w:pPr>
              <w:pStyle w:val="mdTblEntryL"/>
              <w:rPr>
                <w:b/>
                <w:sz w:val="22"/>
                <w:szCs w:val="22"/>
                <w:lang w:val="el-GR"/>
              </w:rPr>
            </w:pPr>
            <w:r w:rsidRPr="000339BB">
              <w:rPr>
                <w:b/>
                <w:noProof/>
                <w:sz w:val="22"/>
                <w:lang w:val="el-GR"/>
              </w:rPr>
              <w:t>Διαταραχές του αναπνευστικού συστήματος,του θώρακα και του μεσοθωράκιου</w:t>
            </w:r>
          </w:p>
        </w:tc>
        <w:tc>
          <w:tcPr>
            <w:tcW w:w="718" w:type="pct"/>
          </w:tcPr>
          <w:p w:rsidR="009F1235" w:rsidRPr="002518FB" w:rsidRDefault="009F1235" w:rsidP="004B0193">
            <w:pPr>
              <w:pStyle w:val="mdTblEntryL"/>
              <w:rPr>
                <w:sz w:val="22"/>
                <w:lang w:val="el-GR"/>
              </w:rPr>
            </w:pPr>
          </w:p>
        </w:tc>
        <w:tc>
          <w:tcPr>
            <w:tcW w:w="1173" w:type="pct"/>
          </w:tcPr>
          <w:p w:rsidR="009F1235" w:rsidRPr="002518FB" w:rsidRDefault="009F1235" w:rsidP="004B0193">
            <w:pPr>
              <w:pStyle w:val="mdTblEntryL"/>
              <w:rPr>
                <w:sz w:val="22"/>
                <w:lang w:val="el-GR"/>
              </w:rPr>
            </w:pPr>
          </w:p>
        </w:tc>
        <w:tc>
          <w:tcPr>
            <w:tcW w:w="891" w:type="pct"/>
          </w:tcPr>
          <w:p w:rsidR="009F1235" w:rsidRPr="002518FB" w:rsidRDefault="009F1235" w:rsidP="00B94BDC">
            <w:pPr>
              <w:pStyle w:val="mdTblEntryL"/>
              <w:rPr>
                <w:sz w:val="22"/>
                <w:szCs w:val="22"/>
                <w:lang w:val="el-GR"/>
              </w:rPr>
            </w:pPr>
            <w:r>
              <w:rPr>
                <w:sz w:val="22"/>
                <w:lang w:val="el-GR"/>
              </w:rPr>
              <w:t>Δύσπνοια (βλέπε παράγραφο 4.4)</w:t>
            </w:r>
          </w:p>
        </w:tc>
        <w:tc>
          <w:tcPr>
            <w:tcW w:w="1221" w:type="pct"/>
          </w:tcPr>
          <w:p w:rsidR="009F1235" w:rsidRPr="002518FB" w:rsidRDefault="009F1235" w:rsidP="00B94BDC">
            <w:pPr>
              <w:pStyle w:val="mdTblEntryL"/>
              <w:rPr>
                <w:sz w:val="22"/>
                <w:szCs w:val="22"/>
                <w:lang w:val="el-GR"/>
              </w:rPr>
            </w:pPr>
          </w:p>
        </w:tc>
      </w:tr>
      <w:tr w:rsidR="009F1235" w:rsidRPr="00006638" w:rsidTr="009F1235">
        <w:tc>
          <w:tcPr>
            <w:tcW w:w="998" w:type="pct"/>
          </w:tcPr>
          <w:p w:rsidR="009F1235" w:rsidRPr="002518FB" w:rsidRDefault="009F1235" w:rsidP="00B94BDC">
            <w:pPr>
              <w:pStyle w:val="mdTblEntryL"/>
              <w:rPr>
                <w:b/>
                <w:sz w:val="22"/>
                <w:szCs w:val="22"/>
                <w:lang w:val="el-GR"/>
              </w:rPr>
            </w:pPr>
            <w:r w:rsidRPr="002518FB">
              <w:rPr>
                <w:b/>
                <w:sz w:val="22"/>
                <w:szCs w:val="22"/>
                <w:lang w:val="el-GR"/>
              </w:rPr>
              <w:t>Διαταραχές Γαστρεντερικού Συστήματος</w:t>
            </w:r>
          </w:p>
        </w:tc>
        <w:tc>
          <w:tcPr>
            <w:tcW w:w="718" w:type="pct"/>
          </w:tcPr>
          <w:p w:rsidR="009F1235" w:rsidRPr="002518FB" w:rsidRDefault="009F1235" w:rsidP="004B0193">
            <w:pPr>
              <w:pStyle w:val="mdTblEntryL"/>
              <w:rPr>
                <w:sz w:val="22"/>
                <w:lang w:val="el-GR"/>
              </w:rPr>
            </w:pPr>
            <w:r w:rsidRPr="002518FB">
              <w:rPr>
                <w:sz w:val="22"/>
                <w:lang w:val="el-GR"/>
              </w:rPr>
              <w:t>Ξηροστομία, Ναυτία</w:t>
            </w:r>
          </w:p>
        </w:tc>
        <w:tc>
          <w:tcPr>
            <w:tcW w:w="1173" w:type="pct"/>
          </w:tcPr>
          <w:p w:rsidR="009F1235" w:rsidRPr="002518FB" w:rsidRDefault="009F1235" w:rsidP="004B0193">
            <w:pPr>
              <w:pStyle w:val="mdTblEntryL"/>
              <w:rPr>
                <w:sz w:val="22"/>
                <w:lang w:val="el-GR"/>
              </w:rPr>
            </w:pPr>
            <w:r w:rsidRPr="002518FB">
              <w:rPr>
                <w:sz w:val="22"/>
                <w:lang w:val="el-GR"/>
              </w:rPr>
              <w:t>Κοιλιακό άλγος</w:t>
            </w:r>
            <w:r w:rsidRPr="002518FB">
              <w:rPr>
                <w:sz w:val="22"/>
                <w:vertAlign w:val="superscript"/>
                <w:lang w:val="el-GR"/>
              </w:rPr>
              <w:t>1</w:t>
            </w:r>
            <w:r w:rsidRPr="002518FB">
              <w:rPr>
                <w:sz w:val="22"/>
                <w:lang w:val="el-GR"/>
              </w:rPr>
              <w:t>, δυσκοιλιότητα,</w:t>
            </w:r>
          </w:p>
          <w:p w:rsidR="009F1235" w:rsidRPr="002518FB" w:rsidRDefault="009F1235" w:rsidP="004B0193">
            <w:pPr>
              <w:pStyle w:val="mdTblEntryL"/>
              <w:rPr>
                <w:sz w:val="22"/>
                <w:szCs w:val="22"/>
                <w:lang w:val="el-GR"/>
              </w:rPr>
            </w:pPr>
            <w:r w:rsidRPr="002518FB">
              <w:rPr>
                <w:sz w:val="22"/>
                <w:lang w:val="el-GR"/>
              </w:rPr>
              <w:t>δυσπεψία, μετεωρισμός, έμετος.</w:t>
            </w:r>
          </w:p>
        </w:tc>
        <w:tc>
          <w:tcPr>
            <w:tcW w:w="891" w:type="pct"/>
          </w:tcPr>
          <w:p w:rsidR="009F1235" w:rsidRPr="002518FB" w:rsidRDefault="009F1235" w:rsidP="00B94BDC">
            <w:pPr>
              <w:pStyle w:val="mdTblEntryL"/>
              <w:rPr>
                <w:sz w:val="22"/>
                <w:szCs w:val="22"/>
                <w:lang w:val="el-GR"/>
              </w:rPr>
            </w:pPr>
          </w:p>
        </w:tc>
        <w:tc>
          <w:tcPr>
            <w:tcW w:w="1221" w:type="pct"/>
          </w:tcPr>
          <w:p w:rsidR="009F1235" w:rsidRPr="002518FB" w:rsidRDefault="009F1235" w:rsidP="00B94BDC">
            <w:pPr>
              <w:pStyle w:val="mdTblEntryL"/>
              <w:rPr>
                <w:sz w:val="22"/>
                <w:szCs w:val="22"/>
                <w:lang w:val="el-GR"/>
              </w:rPr>
            </w:pPr>
          </w:p>
        </w:tc>
      </w:tr>
      <w:tr w:rsidR="009F1235" w:rsidRPr="00006638" w:rsidTr="009F1235">
        <w:tc>
          <w:tcPr>
            <w:tcW w:w="998" w:type="pct"/>
          </w:tcPr>
          <w:p w:rsidR="009F1235" w:rsidRPr="002518FB" w:rsidRDefault="009F1235" w:rsidP="00B94BDC">
            <w:pPr>
              <w:pStyle w:val="mdTblEntryL"/>
              <w:rPr>
                <w:b/>
                <w:sz w:val="22"/>
                <w:szCs w:val="22"/>
                <w:lang w:val="el-GR"/>
              </w:rPr>
            </w:pPr>
            <w:r w:rsidRPr="002518FB">
              <w:rPr>
                <w:b/>
                <w:sz w:val="22"/>
                <w:szCs w:val="22"/>
                <w:lang w:val="el-GR"/>
              </w:rPr>
              <w:t>Διαταραχές του Ήπατος και των Χοληφόρων</w:t>
            </w:r>
          </w:p>
        </w:tc>
        <w:tc>
          <w:tcPr>
            <w:tcW w:w="718" w:type="pct"/>
          </w:tcPr>
          <w:p w:rsidR="009F1235" w:rsidRPr="002518FB" w:rsidRDefault="009F1235" w:rsidP="00B94BDC">
            <w:pPr>
              <w:pStyle w:val="mdTblEntryL"/>
              <w:rPr>
                <w:sz w:val="22"/>
                <w:szCs w:val="22"/>
                <w:lang w:val="el-GR"/>
              </w:rPr>
            </w:pPr>
          </w:p>
        </w:tc>
        <w:tc>
          <w:tcPr>
            <w:tcW w:w="1173" w:type="pct"/>
          </w:tcPr>
          <w:p w:rsidR="009F1235" w:rsidRPr="002518FB" w:rsidRDefault="009F1235" w:rsidP="00B94BDC">
            <w:pPr>
              <w:pStyle w:val="mdTblEntryL"/>
              <w:rPr>
                <w:sz w:val="22"/>
                <w:szCs w:val="22"/>
                <w:lang w:val="el-GR"/>
              </w:rPr>
            </w:pPr>
          </w:p>
        </w:tc>
        <w:tc>
          <w:tcPr>
            <w:tcW w:w="891" w:type="pct"/>
          </w:tcPr>
          <w:p w:rsidR="009F1235" w:rsidRPr="002518FB" w:rsidRDefault="009F1235" w:rsidP="00B94BDC">
            <w:pPr>
              <w:pStyle w:val="mdTblEntryL"/>
              <w:rPr>
                <w:sz w:val="22"/>
                <w:szCs w:val="22"/>
                <w:lang w:val="el-GR"/>
              </w:rPr>
            </w:pPr>
          </w:p>
        </w:tc>
        <w:tc>
          <w:tcPr>
            <w:tcW w:w="1221" w:type="pct"/>
          </w:tcPr>
          <w:p w:rsidR="009F1235" w:rsidRPr="002518FB" w:rsidRDefault="009F1235" w:rsidP="00B94BDC">
            <w:pPr>
              <w:rPr>
                <w:sz w:val="22"/>
                <w:szCs w:val="22"/>
                <w:lang w:val="el-GR"/>
              </w:rPr>
            </w:pPr>
            <w:r w:rsidRPr="002518FB">
              <w:rPr>
                <w:sz w:val="22"/>
                <w:szCs w:val="22"/>
                <w:lang w:val="el-GR"/>
              </w:rPr>
              <w:t xml:space="preserve">Μη φυσιολογικές/αυξημένες τιμές ηπατικών δοκιμασιών, ίκτερος, ηπατίτιδα,  ηπατική βλάβη, οξεία ηπατική ανεπάρκεια, </w:t>
            </w:r>
            <w:proofErr w:type="spellStart"/>
            <w:r w:rsidRPr="002518FB">
              <w:rPr>
                <w:sz w:val="22"/>
                <w:szCs w:val="22"/>
                <w:lang w:val="el-GR"/>
              </w:rPr>
              <w:t>χολερυθρίνη</w:t>
            </w:r>
            <w:proofErr w:type="spellEnd"/>
            <w:r w:rsidRPr="002518FB">
              <w:rPr>
                <w:sz w:val="22"/>
                <w:szCs w:val="22"/>
                <w:lang w:val="el-GR"/>
              </w:rPr>
              <w:t xml:space="preserve"> αίματος αυξημένη*.</w:t>
            </w:r>
          </w:p>
          <w:p w:rsidR="009F1235" w:rsidRPr="002518FB" w:rsidRDefault="009F1235" w:rsidP="00B94BDC">
            <w:pPr>
              <w:pStyle w:val="mdTblEntryL"/>
              <w:rPr>
                <w:sz w:val="22"/>
                <w:szCs w:val="22"/>
                <w:lang w:val="el-GR"/>
              </w:rPr>
            </w:pPr>
          </w:p>
        </w:tc>
      </w:tr>
      <w:tr w:rsidR="009F1235" w:rsidRPr="002518FB" w:rsidTr="009F1235">
        <w:trPr>
          <w:trHeight w:val="1122"/>
        </w:trPr>
        <w:tc>
          <w:tcPr>
            <w:tcW w:w="998" w:type="pct"/>
          </w:tcPr>
          <w:p w:rsidR="009F1235" w:rsidRPr="002518FB" w:rsidRDefault="009F1235" w:rsidP="00B94BDC">
            <w:pPr>
              <w:pStyle w:val="mdTblEntryL"/>
              <w:rPr>
                <w:b/>
                <w:sz w:val="22"/>
                <w:szCs w:val="22"/>
                <w:lang w:val="el-GR"/>
              </w:rPr>
            </w:pPr>
            <w:r w:rsidRPr="002518FB">
              <w:rPr>
                <w:b/>
                <w:sz w:val="22"/>
                <w:szCs w:val="22"/>
                <w:lang w:val="el-GR"/>
              </w:rPr>
              <w:t>Διαταραχές του Δέρματος και του Υποδόριου Ιστού</w:t>
            </w:r>
          </w:p>
        </w:tc>
        <w:tc>
          <w:tcPr>
            <w:tcW w:w="718" w:type="pct"/>
          </w:tcPr>
          <w:p w:rsidR="009F1235" w:rsidRPr="002518FB" w:rsidRDefault="009F1235" w:rsidP="00B94BDC">
            <w:pPr>
              <w:pStyle w:val="mdTblEntryL"/>
              <w:rPr>
                <w:sz w:val="22"/>
                <w:szCs w:val="22"/>
                <w:lang w:val="el-GR"/>
              </w:rPr>
            </w:pPr>
          </w:p>
        </w:tc>
        <w:tc>
          <w:tcPr>
            <w:tcW w:w="1173" w:type="pct"/>
          </w:tcPr>
          <w:p w:rsidR="009F1235" w:rsidRPr="002518FB" w:rsidRDefault="009F1235" w:rsidP="00B94BDC">
            <w:pPr>
              <w:pStyle w:val="mdTblEntryL"/>
              <w:rPr>
                <w:sz w:val="22"/>
                <w:lang w:val="el-GR"/>
              </w:rPr>
            </w:pPr>
            <w:r w:rsidRPr="002518FB">
              <w:rPr>
                <w:sz w:val="22"/>
                <w:lang w:val="el-GR"/>
              </w:rPr>
              <w:t>Δερματίτιδα,</w:t>
            </w:r>
          </w:p>
          <w:p w:rsidR="009F1235" w:rsidRPr="002518FB" w:rsidRDefault="009F1235" w:rsidP="00B94BDC">
            <w:pPr>
              <w:pStyle w:val="mdTblEntryL"/>
              <w:rPr>
                <w:sz w:val="22"/>
                <w:szCs w:val="22"/>
                <w:lang w:val="el-GR"/>
              </w:rPr>
            </w:pPr>
            <w:r w:rsidRPr="002518FB">
              <w:rPr>
                <w:sz w:val="22"/>
                <w:lang w:val="el-GR"/>
              </w:rPr>
              <w:t>αυξημένη εφίδρωση, εξάνθημα.</w:t>
            </w:r>
          </w:p>
        </w:tc>
        <w:tc>
          <w:tcPr>
            <w:tcW w:w="891" w:type="pct"/>
          </w:tcPr>
          <w:p w:rsidR="009F1235" w:rsidRPr="002518FB" w:rsidRDefault="009F1235" w:rsidP="00B94BDC">
            <w:pPr>
              <w:pStyle w:val="mdTblEntryL"/>
              <w:rPr>
                <w:sz w:val="22"/>
                <w:szCs w:val="22"/>
                <w:lang w:val="el-GR"/>
              </w:rPr>
            </w:pPr>
            <w:r w:rsidRPr="002518FB">
              <w:rPr>
                <w:sz w:val="22"/>
                <w:szCs w:val="22"/>
                <w:lang w:val="el-GR"/>
              </w:rPr>
              <w:t>Αλλεργικές αντιδράσεις</w:t>
            </w:r>
            <w:r w:rsidRPr="002518FB">
              <w:rPr>
                <w:sz w:val="22"/>
                <w:szCs w:val="22"/>
                <w:vertAlign w:val="superscript"/>
                <w:lang w:val="el-GR"/>
              </w:rPr>
              <w:t>4</w:t>
            </w:r>
            <w:r w:rsidRPr="002518FB">
              <w:rPr>
                <w:sz w:val="22"/>
                <w:szCs w:val="22"/>
                <w:lang w:val="el-GR"/>
              </w:rPr>
              <w:t xml:space="preserve">, </w:t>
            </w:r>
            <w:r w:rsidRPr="002518FB">
              <w:rPr>
                <w:sz w:val="22"/>
                <w:szCs w:val="22"/>
                <w:lang w:val="el-GR" w:eastAsia="el-GR"/>
              </w:rPr>
              <w:t>κνησμός, κνίδωση.</w:t>
            </w:r>
          </w:p>
        </w:tc>
        <w:tc>
          <w:tcPr>
            <w:tcW w:w="1221" w:type="pct"/>
          </w:tcPr>
          <w:p w:rsidR="009F1235" w:rsidRPr="002518FB" w:rsidRDefault="009F1235" w:rsidP="00B94BDC">
            <w:pPr>
              <w:pStyle w:val="mdTblEntryL"/>
              <w:rPr>
                <w:sz w:val="22"/>
                <w:szCs w:val="22"/>
                <w:lang w:val="el-GR"/>
              </w:rPr>
            </w:pPr>
            <w:r w:rsidRPr="002518FB">
              <w:rPr>
                <w:sz w:val="22"/>
                <w:szCs w:val="22"/>
                <w:lang w:val="el-GR"/>
              </w:rPr>
              <w:t xml:space="preserve"> </w:t>
            </w:r>
          </w:p>
        </w:tc>
      </w:tr>
      <w:tr w:rsidR="009F1235" w:rsidRPr="002518FB" w:rsidTr="009F1235">
        <w:tc>
          <w:tcPr>
            <w:tcW w:w="998" w:type="pct"/>
          </w:tcPr>
          <w:p w:rsidR="009F1235" w:rsidRPr="002518FB" w:rsidRDefault="009F1235" w:rsidP="00BB7301">
            <w:pPr>
              <w:pStyle w:val="Text"/>
              <w:tabs>
                <w:tab w:val="left" w:pos="567"/>
              </w:tabs>
              <w:spacing w:before="0" w:after="0" w:line="240" w:lineRule="auto"/>
              <w:ind w:left="0" w:right="0" w:firstLine="0"/>
              <w:rPr>
                <w:b/>
                <w:color w:val="auto"/>
                <w:sz w:val="22"/>
                <w:lang w:val="el-GR"/>
              </w:rPr>
            </w:pPr>
            <w:r w:rsidRPr="002518FB">
              <w:rPr>
                <w:b/>
                <w:color w:val="auto"/>
                <w:sz w:val="22"/>
                <w:szCs w:val="22"/>
                <w:lang w:val="el-GR" w:eastAsia="el-GR"/>
              </w:rPr>
              <w:t xml:space="preserve">Διαταραχές του </w:t>
            </w:r>
            <w:proofErr w:type="spellStart"/>
            <w:r w:rsidRPr="002518FB">
              <w:rPr>
                <w:b/>
                <w:color w:val="auto"/>
                <w:sz w:val="22"/>
                <w:szCs w:val="22"/>
                <w:lang w:val="el-GR" w:eastAsia="el-GR"/>
              </w:rPr>
              <w:t>μυοσκελετικού</w:t>
            </w:r>
            <w:proofErr w:type="spellEnd"/>
            <w:r w:rsidRPr="002518FB">
              <w:rPr>
                <w:b/>
                <w:color w:val="auto"/>
                <w:sz w:val="22"/>
                <w:szCs w:val="22"/>
                <w:lang w:val="el-GR" w:eastAsia="el-GR"/>
              </w:rPr>
              <w:t xml:space="preserve"> </w:t>
            </w:r>
            <w:r w:rsidRPr="002518FB">
              <w:rPr>
                <w:b/>
                <w:color w:val="auto"/>
                <w:sz w:val="22"/>
                <w:szCs w:val="22"/>
                <w:lang w:val="el-GR" w:eastAsia="el-GR"/>
              </w:rPr>
              <w:lastRenderedPageBreak/>
              <w:t>συστήματος και του συνδετικού ιστού</w:t>
            </w:r>
          </w:p>
        </w:tc>
        <w:tc>
          <w:tcPr>
            <w:tcW w:w="718" w:type="pct"/>
          </w:tcPr>
          <w:p w:rsidR="009F1235" w:rsidRPr="002518FB" w:rsidRDefault="009F1235" w:rsidP="00B94BDC">
            <w:pPr>
              <w:pStyle w:val="mdTblEntryL"/>
              <w:rPr>
                <w:sz w:val="22"/>
                <w:szCs w:val="22"/>
                <w:lang w:val="el-GR"/>
              </w:rPr>
            </w:pPr>
          </w:p>
        </w:tc>
        <w:tc>
          <w:tcPr>
            <w:tcW w:w="1173" w:type="pct"/>
          </w:tcPr>
          <w:p w:rsidR="009F1235" w:rsidRPr="002518FB" w:rsidRDefault="009F1235" w:rsidP="00BB7301">
            <w:pPr>
              <w:pStyle w:val="mdTblEntryL"/>
              <w:rPr>
                <w:iCs/>
                <w:sz w:val="22"/>
                <w:lang w:val="el-GR"/>
              </w:rPr>
            </w:pPr>
          </w:p>
        </w:tc>
        <w:tc>
          <w:tcPr>
            <w:tcW w:w="891" w:type="pct"/>
          </w:tcPr>
          <w:p w:rsidR="009F1235" w:rsidRPr="002518FB" w:rsidRDefault="009F1235" w:rsidP="00B94BDC">
            <w:pPr>
              <w:pStyle w:val="mdTblEntryL"/>
              <w:rPr>
                <w:sz w:val="22"/>
                <w:szCs w:val="22"/>
                <w:lang w:val="el-GR"/>
              </w:rPr>
            </w:pPr>
            <w:r w:rsidRPr="002518FB">
              <w:rPr>
                <w:sz w:val="22"/>
                <w:szCs w:val="22"/>
                <w:lang w:val="el-GR" w:eastAsia="el-GR"/>
              </w:rPr>
              <w:t>Μυϊκοί σπασμοί.</w:t>
            </w:r>
          </w:p>
        </w:tc>
        <w:tc>
          <w:tcPr>
            <w:tcW w:w="1221" w:type="pct"/>
          </w:tcPr>
          <w:p w:rsidR="009F1235" w:rsidRPr="002518FB" w:rsidRDefault="009F1235" w:rsidP="00B94BDC">
            <w:pPr>
              <w:pStyle w:val="mdTblEntryL"/>
              <w:rPr>
                <w:sz w:val="22"/>
                <w:szCs w:val="22"/>
                <w:lang w:val="el-GR"/>
              </w:rPr>
            </w:pPr>
          </w:p>
        </w:tc>
      </w:tr>
      <w:tr w:rsidR="009F1235" w:rsidRPr="002518FB" w:rsidTr="009F1235">
        <w:tc>
          <w:tcPr>
            <w:tcW w:w="998" w:type="pct"/>
          </w:tcPr>
          <w:p w:rsidR="009F1235" w:rsidRPr="002518FB" w:rsidRDefault="009F1235" w:rsidP="00BB7301">
            <w:pPr>
              <w:pStyle w:val="Text"/>
              <w:tabs>
                <w:tab w:val="left" w:pos="567"/>
              </w:tabs>
              <w:spacing w:before="0" w:after="0" w:line="240" w:lineRule="auto"/>
              <w:ind w:left="0" w:right="0" w:firstLine="0"/>
              <w:rPr>
                <w:b/>
                <w:color w:val="auto"/>
                <w:sz w:val="22"/>
                <w:lang w:val="el-GR"/>
              </w:rPr>
            </w:pPr>
            <w:r w:rsidRPr="002518FB">
              <w:rPr>
                <w:b/>
                <w:color w:val="auto"/>
                <w:sz w:val="22"/>
                <w:lang w:val="el-GR"/>
              </w:rPr>
              <w:lastRenderedPageBreak/>
              <w:t>Διαταραχές των Νεφρών και των Ουροφόρων Οδών</w:t>
            </w:r>
          </w:p>
          <w:p w:rsidR="009F1235" w:rsidRPr="002518FB" w:rsidRDefault="009F1235" w:rsidP="00BB7301">
            <w:pPr>
              <w:pStyle w:val="mdTblEntryL"/>
              <w:rPr>
                <w:b/>
                <w:sz w:val="22"/>
                <w:szCs w:val="22"/>
                <w:lang w:val="el-GR"/>
              </w:rPr>
            </w:pPr>
          </w:p>
        </w:tc>
        <w:tc>
          <w:tcPr>
            <w:tcW w:w="718" w:type="pct"/>
          </w:tcPr>
          <w:p w:rsidR="009F1235" w:rsidRPr="002518FB" w:rsidRDefault="009F1235" w:rsidP="00B94BDC">
            <w:pPr>
              <w:pStyle w:val="mdTblEntryL"/>
              <w:rPr>
                <w:sz w:val="22"/>
                <w:szCs w:val="22"/>
                <w:lang w:val="el-GR"/>
              </w:rPr>
            </w:pPr>
          </w:p>
        </w:tc>
        <w:tc>
          <w:tcPr>
            <w:tcW w:w="1173" w:type="pct"/>
          </w:tcPr>
          <w:p w:rsidR="009F1235" w:rsidRPr="002518FB" w:rsidRDefault="009F1235" w:rsidP="00BB7301">
            <w:pPr>
              <w:pStyle w:val="mdTblEntryL"/>
              <w:rPr>
                <w:sz w:val="22"/>
                <w:szCs w:val="22"/>
                <w:lang w:val="el-GR"/>
              </w:rPr>
            </w:pPr>
            <w:r w:rsidRPr="002518FB">
              <w:rPr>
                <w:iCs/>
                <w:sz w:val="22"/>
                <w:lang w:val="el-GR"/>
              </w:rPr>
              <w:t xml:space="preserve">Δυσουρία, </w:t>
            </w:r>
            <w:r w:rsidRPr="002518FB">
              <w:rPr>
                <w:sz w:val="22"/>
                <w:szCs w:val="22"/>
                <w:lang w:val="el-GR" w:eastAsia="el-GR"/>
              </w:rPr>
              <w:t xml:space="preserve">συχνουρία, </w:t>
            </w:r>
            <w:r w:rsidRPr="002518FB">
              <w:rPr>
                <w:iCs/>
                <w:sz w:val="22"/>
                <w:lang w:val="el-GR"/>
              </w:rPr>
              <w:t>δυσκολία στην ούρηση, κατακράτηση ούρων.</w:t>
            </w:r>
          </w:p>
        </w:tc>
        <w:tc>
          <w:tcPr>
            <w:tcW w:w="891" w:type="pct"/>
          </w:tcPr>
          <w:p w:rsidR="009F1235" w:rsidRPr="002518FB" w:rsidRDefault="009F1235" w:rsidP="00B94BDC">
            <w:pPr>
              <w:pStyle w:val="mdTblEntryL"/>
              <w:rPr>
                <w:sz w:val="22"/>
                <w:szCs w:val="22"/>
                <w:lang w:val="el-GR"/>
              </w:rPr>
            </w:pPr>
            <w:r w:rsidRPr="002518FB">
              <w:rPr>
                <w:sz w:val="22"/>
                <w:szCs w:val="22"/>
                <w:lang w:val="el-GR" w:eastAsia="el-GR"/>
              </w:rPr>
              <w:t>Επιτακτική ούρηση</w:t>
            </w:r>
          </w:p>
        </w:tc>
        <w:tc>
          <w:tcPr>
            <w:tcW w:w="1221" w:type="pct"/>
          </w:tcPr>
          <w:p w:rsidR="009F1235" w:rsidRPr="002518FB" w:rsidRDefault="009F1235" w:rsidP="00B94BDC">
            <w:pPr>
              <w:pStyle w:val="mdTblEntryL"/>
              <w:rPr>
                <w:sz w:val="22"/>
                <w:szCs w:val="22"/>
                <w:lang w:val="el-GR"/>
              </w:rPr>
            </w:pPr>
          </w:p>
        </w:tc>
      </w:tr>
      <w:tr w:rsidR="009F1235" w:rsidRPr="002518FB" w:rsidTr="009F1235">
        <w:tc>
          <w:tcPr>
            <w:tcW w:w="998" w:type="pct"/>
          </w:tcPr>
          <w:p w:rsidR="009F1235" w:rsidRPr="002518FB" w:rsidRDefault="009F1235" w:rsidP="00836A15">
            <w:pPr>
              <w:pStyle w:val="Text"/>
              <w:tabs>
                <w:tab w:val="left" w:pos="567"/>
              </w:tabs>
              <w:spacing w:before="0" w:after="0" w:line="240" w:lineRule="auto"/>
              <w:ind w:left="0" w:right="0" w:firstLine="0"/>
              <w:rPr>
                <w:b/>
                <w:color w:val="auto"/>
                <w:sz w:val="22"/>
                <w:lang w:val="el-GR"/>
              </w:rPr>
            </w:pPr>
            <w:r w:rsidRPr="002518FB">
              <w:rPr>
                <w:b/>
                <w:color w:val="auto"/>
                <w:sz w:val="22"/>
                <w:lang w:val="el-GR"/>
              </w:rPr>
              <w:t>Διαταραχές του Αναπαραγωγικού Συστήματος και του Μαστού</w:t>
            </w:r>
          </w:p>
          <w:p w:rsidR="009F1235" w:rsidRPr="002518FB" w:rsidRDefault="009F1235" w:rsidP="00836A15">
            <w:pPr>
              <w:pStyle w:val="mdTblEntryL"/>
              <w:rPr>
                <w:b/>
                <w:sz w:val="22"/>
                <w:szCs w:val="22"/>
                <w:lang w:val="el-GR"/>
              </w:rPr>
            </w:pPr>
          </w:p>
        </w:tc>
        <w:tc>
          <w:tcPr>
            <w:tcW w:w="718" w:type="pct"/>
          </w:tcPr>
          <w:p w:rsidR="009F1235" w:rsidRPr="002518FB" w:rsidRDefault="009F1235" w:rsidP="00B94BDC">
            <w:pPr>
              <w:pStyle w:val="mdTblEntryL"/>
              <w:rPr>
                <w:sz w:val="22"/>
                <w:szCs w:val="22"/>
                <w:lang w:val="el-GR"/>
              </w:rPr>
            </w:pPr>
          </w:p>
        </w:tc>
        <w:tc>
          <w:tcPr>
            <w:tcW w:w="1173" w:type="pct"/>
          </w:tcPr>
          <w:p w:rsidR="009F1235" w:rsidRPr="002518FB" w:rsidRDefault="009F1235" w:rsidP="00FC0DD6">
            <w:pPr>
              <w:pStyle w:val="mdTblEntryL"/>
              <w:rPr>
                <w:sz w:val="22"/>
                <w:szCs w:val="22"/>
                <w:lang w:val="el-GR"/>
              </w:rPr>
            </w:pPr>
            <w:r w:rsidRPr="002518FB">
              <w:rPr>
                <w:iCs/>
                <w:sz w:val="22"/>
                <w:lang w:val="el-GR"/>
              </w:rPr>
              <w:t xml:space="preserve">Δυσμηνόρροια, διαταραχές εκσπερμάτισης, στυτική δυσλειτουργία, προστατίτιδα, </w:t>
            </w:r>
            <w:r w:rsidRPr="002518FB">
              <w:rPr>
                <w:sz w:val="22"/>
                <w:szCs w:val="22"/>
                <w:lang w:val="el-GR"/>
              </w:rPr>
              <w:t>άλγος στο γενετικό σύστημα των αρρένων.</w:t>
            </w:r>
          </w:p>
        </w:tc>
        <w:tc>
          <w:tcPr>
            <w:tcW w:w="891" w:type="pct"/>
          </w:tcPr>
          <w:p w:rsidR="009F1235" w:rsidRPr="002518FB" w:rsidRDefault="009F1235" w:rsidP="00FC0DD6">
            <w:pPr>
              <w:pStyle w:val="mdTblEntryL"/>
              <w:rPr>
                <w:iCs/>
                <w:sz w:val="22"/>
                <w:lang w:val="el-GR"/>
              </w:rPr>
            </w:pPr>
            <w:r w:rsidRPr="002518FB">
              <w:rPr>
                <w:sz w:val="22"/>
                <w:szCs w:val="22"/>
                <w:lang w:val="el-GR"/>
              </w:rPr>
              <w:t>Αποτυχία εκσπερμάτισης,</w:t>
            </w:r>
          </w:p>
          <w:p w:rsidR="009F1235" w:rsidRPr="002518FB" w:rsidRDefault="009F1235" w:rsidP="00362620">
            <w:pPr>
              <w:pStyle w:val="mdTblEntryL"/>
              <w:rPr>
                <w:sz w:val="22"/>
                <w:szCs w:val="22"/>
                <w:lang w:val="el-GR"/>
              </w:rPr>
            </w:pPr>
            <w:r w:rsidRPr="002518FB">
              <w:rPr>
                <w:iCs/>
                <w:sz w:val="22"/>
                <w:lang w:val="el-GR"/>
              </w:rPr>
              <w:t>διαταραχές εμμηνορρυσίας, επίδραση στον οργασμό.</w:t>
            </w:r>
          </w:p>
        </w:tc>
        <w:tc>
          <w:tcPr>
            <w:tcW w:w="1221" w:type="pct"/>
          </w:tcPr>
          <w:p w:rsidR="009F1235" w:rsidRPr="002518FB" w:rsidRDefault="009F1235" w:rsidP="00B94BDC">
            <w:pPr>
              <w:pStyle w:val="mdTblEntryL"/>
              <w:rPr>
                <w:sz w:val="22"/>
                <w:szCs w:val="22"/>
                <w:lang w:val="el-GR"/>
              </w:rPr>
            </w:pPr>
            <w:r w:rsidRPr="002518FB">
              <w:rPr>
                <w:sz w:val="22"/>
                <w:szCs w:val="22"/>
                <w:lang w:val="el-GR"/>
              </w:rPr>
              <w:t>Πριαπισμός.</w:t>
            </w:r>
          </w:p>
        </w:tc>
      </w:tr>
      <w:tr w:rsidR="009F1235" w:rsidRPr="00006638" w:rsidTr="009F1235">
        <w:tc>
          <w:tcPr>
            <w:tcW w:w="998" w:type="pct"/>
          </w:tcPr>
          <w:p w:rsidR="009F1235" w:rsidRPr="002518FB" w:rsidRDefault="009F1235" w:rsidP="00B94BDC">
            <w:pPr>
              <w:pStyle w:val="mdTblEntryL"/>
              <w:rPr>
                <w:b/>
                <w:sz w:val="22"/>
                <w:szCs w:val="22"/>
                <w:lang w:val="el-GR"/>
              </w:rPr>
            </w:pPr>
            <w:r w:rsidRPr="002518FB">
              <w:rPr>
                <w:b/>
                <w:sz w:val="22"/>
                <w:szCs w:val="22"/>
                <w:lang w:val="el-GR"/>
              </w:rPr>
              <w:t xml:space="preserve">Γενικές Διαταραχές και Καταστάσεις της Οδού Χορήγησης </w:t>
            </w:r>
          </w:p>
        </w:tc>
        <w:tc>
          <w:tcPr>
            <w:tcW w:w="718" w:type="pct"/>
          </w:tcPr>
          <w:p w:rsidR="009F1235" w:rsidRPr="002518FB" w:rsidRDefault="009F1235" w:rsidP="00B94BDC">
            <w:pPr>
              <w:pStyle w:val="mdTblEntryL"/>
              <w:rPr>
                <w:sz w:val="22"/>
                <w:szCs w:val="22"/>
                <w:lang w:val="el-GR"/>
              </w:rPr>
            </w:pPr>
          </w:p>
        </w:tc>
        <w:tc>
          <w:tcPr>
            <w:tcW w:w="1173" w:type="pct"/>
          </w:tcPr>
          <w:p w:rsidR="009F1235" w:rsidRPr="002518FB" w:rsidRDefault="009F1235" w:rsidP="00B94BDC">
            <w:pPr>
              <w:pStyle w:val="mdTblEntryL"/>
              <w:rPr>
                <w:iCs/>
                <w:sz w:val="22"/>
                <w:lang w:val="el-GR"/>
              </w:rPr>
            </w:pPr>
            <w:r w:rsidRPr="002518FB">
              <w:rPr>
                <w:sz w:val="22"/>
                <w:szCs w:val="22"/>
                <w:lang w:val="el-GR"/>
              </w:rPr>
              <w:t>Εξασθένηση, κόπωση,</w:t>
            </w:r>
            <w:r w:rsidRPr="002518FB">
              <w:rPr>
                <w:iCs/>
                <w:sz w:val="22"/>
                <w:lang w:val="el-GR"/>
              </w:rPr>
              <w:t xml:space="preserve"> λήθαργος, </w:t>
            </w:r>
          </w:p>
          <w:p w:rsidR="009F1235" w:rsidRPr="002518FB" w:rsidRDefault="009F1235" w:rsidP="00B94BDC">
            <w:pPr>
              <w:pStyle w:val="mdTblEntryL"/>
              <w:rPr>
                <w:sz w:val="22"/>
                <w:szCs w:val="22"/>
                <w:lang w:val="el-GR"/>
              </w:rPr>
            </w:pPr>
            <w:r w:rsidRPr="002518FB">
              <w:rPr>
                <w:iCs/>
                <w:sz w:val="22"/>
                <w:lang w:val="el-GR"/>
              </w:rPr>
              <w:t xml:space="preserve">ρίγη, </w:t>
            </w:r>
            <w:r w:rsidRPr="002518FB">
              <w:rPr>
                <w:sz w:val="22"/>
                <w:szCs w:val="22"/>
                <w:lang w:val="el-GR" w:eastAsia="el-GR"/>
              </w:rPr>
              <w:t>νευρικότητα, ευερεθιστότητα, δίψα.</w:t>
            </w:r>
          </w:p>
          <w:p w:rsidR="009F1235" w:rsidRPr="002518FB" w:rsidRDefault="009F1235" w:rsidP="00B94BDC">
            <w:pPr>
              <w:pStyle w:val="mdTblEntryL"/>
              <w:rPr>
                <w:sz w:val="22"/>
                <w:szCs w:val="22"/>
                <w:lang w:val="el-GR"/>
              </w:rPr>
            </w:pPr>
          </w:p>
        </w:tc>
        <w:tc>
          <w:tcPr>
            <w:tcW w:w="891" w:type="pct"/>
          </w:tcPr>
          <w:p w:rsidR="009F1235" w:rsidRPr="009F1235" w:rsidRDefault="009F1235" w:rsidP="00B94BDC">
            <w:pPr>
              <w:pStyle w:val="mdTblEntryL"/>
              <w:rPr>
                <w:sz w:val="22"/>
                <w:szCs w:val="22"/>
                <w:lang w:val="el-GR" w:eastAsia="el-GR"/>
              </w:rPr>
            </w:pPr>
            <w:r w:rsidRPr="002518FB">
              <w:rPr>
                <w:sz w:val="22"/>
                <w:szCs w:val="22"/>
                <w:lang w:val="el-GR" w:eastAsia="el-GR"/>
              </w:rPr>
              <w:t>Αίσθημα ψυχρού</w:t>
            </w:r>
          </w:p>
          <w:p w:rsidR="009F1235" w:rsidRPr="00006638" w:rsidRDefault="009F1235" w:rsidP="00B94BDC">
            <w:pPr>
              <w:pStyle w:val="mdTblEntryL"/>
              <w:rPr>
                <w:sz w:val="22"/>
                <w:szCs w:val="22"/>
                <w:lang w:val="el-GR"/>
              </w:rPr>
            </w:pPr>
            <w:r>
              <w:rPr>
                <w:sz w:val="22"/>
                <w:szCs w:val="22"/>
                <w:lang w:val="el-GR"/>
              </w:rPr>
              <w:t>Θωρακικό άλγος (βλέπε παράγραφο 4.4</w:t>
            </w:r>
            <w:r w:rsidRPr="00006638">
              <w:rPr>
                <w:sz w:val="22"/>
                <w:szCs w:val="22"/>
                <w:lang w:val="el-GR"/>
              </w:rPr>
              <w:t>)</w:t>
            </w:r>
          </w:p>
        </w:tc>
        <w:tc>
          <w:tcPr>
            <w:tcW w:w="1221" w:type="pct"/>
          </w:tcPr>
          <w:p w:rsidR="009F1235" w:rsidRPr="002518FB" w:rsidRDefault="009F1235" w:rsidP="00B94BDC">
            <w:pPr>
              <w:pStyle w:val="mdTblEntryL"/>
              <w:rPr>
                <w:sz w:val="22"/>
                <w:szCs w:val="22"/>
                <w:lang w:val="el-GR"/>
              </w:rPr>
            </w:pPr>
          </w:p>
        </w:tc>
      </w:tr>
      <w:tr w:rsidR="009F1235" w:rsidRPr="002518FB" w:rsidTr="009F1235">
        <w:tc>
          <w:tcPr>
            <w:tcW w:w="998" w:type="pct"/>
          </w:tcPr>
          <w:p w:rsidR="009F1235" w:rsidRPr="002518FB" w:rsidRDefault="009F1235" w:rsidP="00B94BDC">
            <w:pPr>
              <w:pStyle w:val="mdTblEntryL"/>
              <w:rPr>
                <w:b/>
                <w:sz w:val="22"/>
                <w:szCs w:val="22"/>
                <w:lang w:val="el-GR"/>
              </w:rPr>
            </w:pPr>
            <w:proofErr w:type="spellStart"/>
            <w:r w:rsidRPr="002518FB">
              <w:rPr>
                <w:b/>
                <w:sz w:val="22"/>
                <w:szCs w:val="22"/>
                <w:lang w:val="el-GR"/>
              </w:rPr>
              <w:t>Παρακλινικές</w:t>
            </w:r>
            <w:proofErr w:type="spellEnd"/>
            <w:r w:rsidRPr="002518FB">
              <w:rPr>
                <w:b/>
                <w:sz w:val="22"/>
                <w:szCs w:val="22"/>
                <w:lang w:val="el-GR"/>
              </w:rPr>
              <w:t xml:space="preserve"> Εξετάσεις</w:t>
            </w:r>
          </w:p>
        </w:tc>
        <w:tc>
          <w:tcPr>
            <w:tcW w:w="718" w:type="pct"/>
          </w:tcPr>
          <w:p w:rsidR="009F1235" w:rsidRPr="002518FB" w:rsidRDefault="009F1235" w:rsidP="009219D1">
            <w:pPr>
              <w:pStyle w:val="mdTblEntryL"/>
              <w:rPr>
                <w:sz w:val="22"/>
                <w:szCs w:val="22"/>
                <w:lang w:val="el-GR"/>
              </w:rPr>
            </w:pPr>
            <w:r w:rsidRPr="002518FB">
              <w:rPr>
                <w:sz w:val="22"/>
                <w:szCs w:val="22"/>
                <w:lang w:val="el-GR"/>
              </w:rPr>
              <w:t>Αρτηριακή πίεση αυξημένη</w:t>
            </w:r>
            <w:r w:rsidRPr="002518FB">
              <w:rPr>
                <w:sz w:val="22"/>
                <w:szCs w:val="22"/>
                <w:vertAlign w:val="superscript"/>
                <w:lang w:val="el-GR"/>
              </w:rPr>
              <w:t>3</w:t>
            </w:r>
            <w:r w:rsidRPr="002518FB">
              <w:rPr>
                <w:sz w:val="22"/>
                <w:szCs w:val="22"/>
                <w:lang w:val="el-GR"/>
              </w:rPr>
              <w:t>, Καρδιακός ρυθμός αυξημένος</w:t>
            </w:r>
            <w:r w:rsidRPr="002518FB">
              <w:rPr>
                <w:sz w:val="22"/>
                <w:szCs w:val="22"/>
                <w:vertAlign w:val="superscript"/>
                <w:lang w:val="el-GR"/>
              </w:rPr>
              <w:t>3</w:t>
            </w:r>
          </w:p>
        </w:tc>
        <w:tc>
          <w:tcPr>
            <w:tcW w:w="1173" w:type="pct"/>
          </w:tcPr>
          <w:p w:rsidR="009F1235" w:rsidRPr="002518FB" w:rsidRDefault="009F1235" w:rsidP="00B94BDC">
            <w:pPr>
              <w:pStyle w:val="mdTblEntryL"/>
              <w:rPr>
                <w:sz w:val="22"/>
                <w:szCs w:val="22"/>
                <w:lang w:val="el-GR"/>
              </w:rPr>
            </w:pPr>
            <w:r w:rsidRPr="002518FB">
              <w:rPr>
                <w:sz w:val="22"/>
                <w:szCs w:val="22"/>
                <w:lang w:val="el-GR"/>
              </w:rPr>
              <w:t>Σωματικό βάρος μειωμένο</w:t>
            </w:r>
          </w:p>
        </w:tc>
        <w:tc>
          <w:tcPr>
            <w:tcW w:w="891" w:type="pct"/>
          </w:tcPr>
          <w:p w:rsidR="009F1235" w:rsidRPr="002518FB" w:rsidRDefault="009F1235" w:rsidP="00B94BDC">
            <w:pPr>
              <w:pStyle w:val="mdTblEntryL"/>
              <w:rPr>
                <w:sz w:val="22"/>
                <w:szCs w:val="22"/>
                <w:lang w:val="el-GR"/>
              </w:rPr>
            </w:pPr>
          </w:p>
        </w:tc>
        <w:tc>
          <w:tcPr>
            <w:tcW w:w="1221" w:type="pct"/>
          </w:tcPr>
          <w:p w:rsidR="009F1235" w:rsidRPr="002518FB" w:rsidRDefault="009F1235" w:rsidP="00B94BDC">
            <w:pPr>
              <w:pStyle w:val="mdTblEntryL"/>
              <w:rPr>
                <w:sz w:val="22"/>
                <w:szCs w:val="22"/>
                <w:lang w:val="el-GR"/>
              </w:rPr>
            </w:pPr>
          </w:p>
        </w:tc>
      </w:tr>
    </w:tbl>
    <w:p w:rsidR="00024E22" w:rsidRPr="002518FB" w:rsidRDefault="00024E22" w:rsidP="00D442D9">
      <w:pPr>
        <w:rPr>
          <w:sz w:val="22"/>
          <w:szCs w:val="22"/>
          <w:lang w:val="el-GR"/>
        </w:rPr>
      </w:pPr>
      <w:r w:rsidRPr="002518FB">
        <w:rPr>
          <w:vertAlign w:val="superscript"/>
          <w:lang w:val="el-GR"/>
        </w:rPr>
        <w:t xml:space="preserve">1 </w:t>
      </w:r>
      <w:r w:rsidRPr="002518FB">
        <w:rPr>
          <w:sz w:val="22"/>
          <w:szCs w:val="22"/>
          <w:lang w:val="el-GR"/>
        </w:rPr>
        <w:t>Επίσης</w:t>
      </w:r>
      <w:r w:rsidR="004503EE" w:rsidRPr="002518FB">
        <w:rPr>
          <w:sz w:val="22"/>
          <w:szCs w:val="22"/>
          <w:lang w:val="el-GR"/>
        </w:rPr>
        <w:t xml:space="preserve"> </w:t>
      </w:r>
      <w:r w:rsidR="00392EB8" w:rsidRPr="002518FB">
        <w:rPr>
          <w:sz w:val="22"/>
          <w:szCs w:val="22"/>
          <w:lang w:val="el-GR"/>
        </w:rPr>
        <w:t>περιλαμβάνει</w:t>
      </w:r>
      <w:r w:rsidRPr="002518FB">
        <w:rPr>
          <w:sz w:val="22"/>
          <w:szCs w:val="22"/>
          <w:lang w:val="el-GR"/>
        </w:rPr>
        <w:t xml:space="preserve"> άλγος άνω κοιλιακής χώρας, δυσφορία του στομάχου, κοιλιακή δυσφορία και </w:t>
      </w:r>
      <w:proofErr w:type="spellStart"/>
      <w:r w:rsidRPr="002518FB">
        <w:rPr>
          <w:sz w:val="22"/>
          <w:szCs w:val="22"/>
          <w:lang w:val="el-GR"/>
        </w:rPr>
        <w:t>επιγαστρική</w:t>
      </w:r>
      <w:proofErr w:type="spellEnd"/>
      <w:r w:rsidRPr="002518FB">
        <w:rPr>
          <w:sz w:val="22"/>
          <w:szCs w:val="22"/>
          <w:lang w:val="el-GR"/>
        </w:rPr>
        <w:t xml:space="preserve"> δυσφορία.</w:t>
      </w:r>
    </w:p>
    <w:p w:rsidR="00D442D9" w:rsidRPr="002518FB" w:rsidRDefault="00024E22" w:rsidP="00D442D9">
      <w:pPr>
        <w:rPr>
          <w:sz w:val="22"/>
          <w:lang w:val="el-GR"/>
        </w:rPr>
      </w:pPr>
      <w:r w:rsidRPr="002518FB">
        <w:rPr>
          <w:vertAlign w:val="superscript"/>
          <w:lang w:val="el-GR"/>
        </w:rPr>
        <w:t xml:space="preserve">2 </w:t>
      </w:r>
      <w:r w:rsidRPr="002518FB">
        <w:rPr>
          <w:sz w:val="22"/>
          <w:szCs w:val="22"/>
          <w:lang w:val="el-GR"/>
        </w:rPr>
        <w:t>Επίσης περιλαμβάνει αρχική αϋπνία</w:t>
      </w:r>
      <w:r w:rsidR="0051720F" w:rsidRPr="002518FB">
        <w:rPr>
          <w:sz w:val="22"/>
          <w:szCs w:val="22"/>
          <w:lang w:val="el-GR"/>
        </w:rPr>
        <w:t>,</w:t>
      </w:r>
      <w:r w:rsidRPr="002518FB">
        <w:rPr>
          <w:sz w:val="22"/>
          <w:szCs w:val="22"/>
          <w:lang w:val="el-GR"/>
        </w:rPr>
        <w:t xml:space="preserve"> </w:t>
      </w:r>
      <w:r w:rsidRPr="002518FB">
        <w:rPr>
          <w:sz w:val="22"/>
          <w:lang w:val="el-GR"/>
        </w:rPr>
        <w:t>ενδιάμεση αϋπνία</w:t>
      </w:r>
      <w:r w:rsidR="0051720F" w:rsidRPr="002518FB">
        <w:rPr>
          <w:sz w:val="22"/>
          <w:lang w:val="el-GR"/>
        </w:rPr>
        <w:t xml:space="preserve"> και τελική αϋπνία (πολύ πρωινή αφύπνιση).</w:t>
      </w:r>
    </w:p>
    <w:p w:rsidR="00502900" w:rsidRPr="002518FB" w:rsidRDefault="00502900" w:rsidP="00D442D9">
      <w:pPr>
        <w:rPr>
          <w:sz w:val="22"/>
          <w:lang w:val="el-GR"/>
        </w:rPr>
      </w:pPr>
      <w:r w:rsidRPr="002518FB">
        <w:rPr>
          <w:sz w:val="22"/>
          <w:vertAlign w:val="superscript"/>
          <w:lang w:val="el-GR"/>
        </w:rPr>
        <w:t>3</w:t>
      </w:r>
      <w:r w:rsidRPr="002518FB">
        <w:rPr>
          <w:sz w:val="22"/>
          <w:lang w:val="el-GR"/>
        </w:rPr>
        <w:t xml:space="preserve"> </w:t>
      </w:r>
      <w:r w:rsidR="000024F9" w:rsidRPr="002518FB">
        <w:rPr>
          <w:sz w:val="22"/>
          <w:lang w:val="el-GR"/>
        </w:rPr>
        <w:t>Τα ευρήματα σχετικά με τον καρδιακό ρυθμό και την αρτηριακή πίεση</w:t>
      </w:r>
      <w:r w:rsidRPr="002518FB">
        <w:rPr>
          <w:sz w:val="22"/>
          <w:lang w:val="el-GR"/>
        </w:rPr>
        <w:t xml:space="preserve"> βασίζονται σε μέτρηση ζωτικών σημείων.</w:t>
      </w:r>
    </w:p>
    <w:p w:rsidR="003371A2" w:rsidRPr="002518FB" w:rsidRDefault="003371A2" w:rsidP="00D442D9">
      <w:pPr>
        <w:rPr>
          <w:sz w:val="22"/>
          <w:lang w:val="el-GR"/>
        </w:rPr>
      </w:pPr>
      <w:r w:rsidRPr="002518FB">
        <w:rPr>
          <w:sz w:val="22"/>
          <w:vertAlign w:val="superscript"/>
          <w:lang w:val="el-GR"/>
        </w:rPr>
        <w:t>4</w:t>
      </w:r>
      <w:r w:rsidRPr="002518FB">
        <w:rPr>
          <w:sz w:val="22"/>
          <w:lang w:val="el-GR"/>
        </w:rPr>
        <w:t xml:space="preserve"> </w:t>
      </w:r>
      <w:r w:rsidRPr="002518FB">
        <w:rPr>
          <w:sz w:val="22"/>
          <w:szCs w:val="22"/>
          <w:lang w:val="el-GR" w:eastAsia="el-GR"/>
        </w:rPr>
        <w:t xml:space="preserve">Περιλαμβάνει </w:t>
      </w:r>
      <w:proofErr w:type="spellStart"/>
      <w:r w:rsidRPr="002518FB">
        <w:rPr>
          <w:sz w:val="22"/>
          <w:szCs w:val="22"/>
          <w:lang w:val="el-GR" w:eastAsia="el-GR"/>
        </w:rPr>
        <w:t>αναφυλακτικές</w:t>
      </w:r>
      <w:proofErr w:type="spellEnd"/>
      <w:r w:rsidRPr="002518FB">
        <w:rPr>
          <w:sz w:val="22"/>
          <w:szCs w:val="22"/>
          <w:lang w:val="el-GR" w:eastAsia="el-GR"/>
        </w:rPr>
        <w:t xml:space="preserve"> αντιδράσεις και </w:t>
      </w:r>
      <w:proofErr w:type="spellStart"/>
      <w:r w:rsidRPr="002518FB">
        <w:rPr>
          <w:sz w:val="22"/>
          <w:szCs w:val="22"/>
          <w:lang w:val="el-GR" w:eastAsia="el-GR"/>
        </w:rPr>
        <w:t>αγγειονευρωτικό</w:t>
      </w:r>
      <w:proofErr w:type="spellEnd"/>
      <w:r w:rsidRPr="002518FB">
        <w:rPr>
          <w:sz w:val="22"/>
          <w:szCs w:val="22"/>
          <w:lang w:val="el-GR" w:eastAsia="el-GR"/>
        </w:rPr>
        <w:t xml:space="preserve"> οίδημα.</w:t>
      </w:r>
    </w:p>
    <w:p w:rsidR="00D442D9" w:rsidRPr="002518FB" w:rsidRDefault="00D442D9" w:rsidP="00D442D9">
      <w:pPr>
        <w:jc w:val="both"/>
        <w:rPr>
          <w:sz w:val="22"/>
          <w:szCs w:val="22"/>
          <w:lang w:val="el-GR"/>
        </w:rPr>
      </w:pPr>
      <w:r w:rsidRPr="002518FB">
        <w:rPr>
          <w:sz w:val="22"/>
          <w:szCs w:val="22"/>
          <w:lang w:val="el-GR"/>
        </w:rPr>
        <w:t>*</w:t>
      </w:r>
      <w:r w:rsidRPr="002518FB">
        <w:rPr>
          <w:sz w:val="22"/>
          <w:szCs w:val="22"/>
          <w:lang w:val="el-GR"/>
        </w:rPr>
        <w:tab/>
        <w:t xml:space="preserve">Βλέπε παράγραφο 4.4 </w:t>
      </w:r>
    </w:p>
    <w:p w:rsidR="00D442D9" w:rsidRPr="002518FB" w:rsidRDefault="00D442D9" w:rsidP="00D442D9">
      <w:pPr>
        <w:jc w:val="both"/>
        <w:rPr>
          <w:sz w:val="22"/>
          <w:szCs w:val="22"/>
          <w:lang w:val="el-GR"/>
        </w:rPr>
      </w:pPr>
      <w:r w:rsidRPr="002518FB">
        <w:rPr>
          <w:sz w:val="22"/>
          <w:szCs w:val="22"/>
          <w:lang w:val="el-GR"/>
        </w:rPr>
        <w:t>**</w:t>
      </w:r>
      <w:r w:rsidRPr="002518FB">
        <w:rPr>
          <w:sz w:val="22"/>
          <w:szCs w:val="22"/>
          <w:lang w:val="el-GR"/>
        </w:rPr>
        <w:tab/>
        <w:t>Βλέπε παράγραφο 4.4 και παράγραφο 4.5</w:t>
      </w:r>
    </w:p>
    <w:p w:rsidR="006D2D93" w:rsidRPr="002518FB" w:rsidRDefault="006D2D93">
      <w:pPr>
        <w:ind w:left="567" w:hanging="567"/>
        <w:rPr>
          <w:sz w:val="22"/>
          <w:lang w:val="el-GR"/>
        </w:rPr>
      </w:pPr>
    </w:p>
    <w:p w:rsidR="00591D84" w:rsidRPr="002518FB" w:rsidRDefault="00EB1A67" w:rsidP="00591D84">
      <w:pPr>
        <w:ind w:left="567" w:hanging="567"/>
        <w:rPr>
          <w:sz w:val="22"/>
          <w:u w:val="single"/>
          <w:lang w:val="el-GR"/>
        </w:rPr>
      </w:pPr>
      <w:r w:rsidRPr="002518FB">
        <w:rPr>
          <w:sz w:val="22"/>
          <w:u w:val="single"/>
          <w:lang w:val="el-GR"/>
        </w:rPr>
        <w:t xml:space="preserve">Πτωχός </w:t>
      </w:r>
      <w:r w:rsidR="00591D84" w:rsidRPr="002518FB">
        <w:rPr>
          <w:sz w:val="22"/>
          <w:u w:val="single"/>
          <w:lang w:val="el-GR"/>
        </w:rPr>
        <w:t>CYP2D6 μεταβολισ</w:t>
      </w:r>
      <w:r w:rsidRPr="002518FB">
        <w:rPr>
          <w:sz w:val="22"/>
          <w:u w:val="single"/>
          <w:lang w:val="el-GR"/>
        </w:rPr>
        <w:t>μός</w:t>
      </w:r>
      <w:r w:rsidR="00591D84" w:rsidRPr="002518FB">
        <w:rPr>
          <w:sz w:val="22"/>
          <w:u w:val="single"/>
          <w:lang w:val="el-GR"/>
        </w:rPr>
        <w:t xml:space="preserve"> (ΠΜ)</w:t>
      </w:r>
    </w:p>
    <w:p w:rsidR="00966EFE" w:rsidRPr="002518FB" w:rsidRDefault="00060775" w:rsidP="00591D84">
      <w:pPr>
        <w:rPr>
          <w:bCs/>
          <w:iCs/>
          <w:sz w:val="22"/>
          <w:lang w:val="el-GR"/>
        </w:rPr>
      </w:pPr>
      <w:r w:rsidRPr="002518FB">
        <w:rPr>
          <w:sz w:val="22"/>
          <w:lang w:val="el-GR"/>
        </w:rPr>
        <w:t>Οι ακόλουθες ανεπιθύμητες ενέργειες εκδηλώθηκαν σε ποσοστό τουλάχιστον 2% των ασθενών</w:t>
      </w:r>
      <w:r w:rsidR="00F32FA2" w:rsidRPr="002518FB">
        <w:rPr>
          <w:sz w:val="22"/>
          <w:lang w:val="el-GR"/>
        </w:rPr>
        <w:t>, με πτωχό CYP2D6 μεταβολισμό</w:t>
      </w:r>
      <w:r w:rsidRPr="002518FB">
        <w:rPr>
          <w:sz w:val="22"/>
          <w:lang w:val="el-GR"/>
        </w:rPr>
        <w:t xml:space="preserve"> (ΠΜ) και είχαν στατιστικά σημαντικά μεγαλύτερη συχνότητα </w:t>
      </w:r>
      <w:r w:rsidR="00F32FA2" w:rsidRPr="002518FB">
        <w:rPr>
          <w:sz w:val="22"/>
          <w:lang w:val="el-GR"/>
        </w:rPr>
        <w:t>σε αυτούς τους ασθενείς</w:t>
      </w:r>
      <w:r w:rsidRPr="002518FB">
        <w:rPr>
          <w:sz w:val="22"/>
          <w:lang w:val="el-GR"/>
        </w:rPr>
        <w:t xml:space="preserve">, σε σύγκριση με τους </w:t>
      </w:r>
      <w:r w:rsidR="00F32FA2" w:rsidRPr="002518FB">
        <w:rPr>
          <w:sz w:val="22"/>
          <w:lang w:val="el-GR"/>
        </w:rPr>
        <w:t xml:space="preserve">ασθενείς με </w:t>
      </w:r>
      <w:r w:rsidRPr="002518FB">
        <w:rPr>
          <w:sz w:val="22"/>
          <w:lang w:val="el-GR"/>
        </w:rPr>
        <w:t xml:space="preserve">εκτεταμένο </w:t>
      </w:r>
      <w:r w:rsidR="00F32FA2" w:rsidRPr="002518FB">
        <w:rPr>
          <w:sz w:val="22"/>
          <w:lang w:val="el-GR"/>
        </w:rPr>
        <w:t xml:space="preserve">CYP2D6 </w:t>
      </w:r>
      <w:r w:rsidRPr="002518FB">
        <w:rPr>
          <w:sz w:val="22"/>
          <w:lang w:val="el-GR"/>
        </w:rPr>
        <w:t>μεταβολισ</w:t>
      </w:r>
      <w:r w:rsidR="00F32FA2" w:rsidRPr="002518FB">
        <w:rPr>
          <w:sz w:val="22"/>
          <w:lang w:val="el-GR"/>
        </w:rPr>
        <w:t>μό</w:t>
      </w:r>
      <w:r w:rsidRPr="002518FB">
        <w:rPr>
          <w:sz w:val="22"/>
          <w:lang w:val="el-GR"/>
        </w:rPr>
        <w:t xml:space="preserve"> (ΕΜ): </w:t>
      </w:r>
      <w:r w:rsidR="00591D84" w:rsidRPr="002518FB">
        <w:rPr>
          <w:bCs/>
          <w:iCs/>
          <w:sz w:val="22"/>
          <w:lang w:val="el-GR"/>
        </w:rPr>
        <w:t xml:space="preserve">θολή όραση (3,9% των </w:t>
      </w:r>
      <w:r w:rsidR="00DD7AC6" w:rsidRPr="002518FB">
        <w:rPr>
          <w:bCs/>
          <w:iCs/>
          <w:sz w:val="22"/>
          <w:lang w:val="el-GR"/>
        </w:rPr>
        <w:t>ΠΜ</w:t>
      </w:r>
      <w:r w:rsidR="00591D84" w:rsidRPr="002518FB">
        <w:rPr>
          <w:bCs/>
          <w:iCs/>
          <w:sz w:val="22"/>
          <w:lang w:val="el-GR"/>
        </w:rPr>
        <w:t xml:space="preserve">, 1,3% των EM), ξηροστομία (34,5% </w:t>
      </w:r>
      <w:r w:rsidR="00C5652C" w:rsidRPr="002518FB">
        <w:rPr>
          <w:bCs/>
          <w:iCs/>
          <w:sz w:val="22"/>
          <w:lang w:val="el-GR"/>
        </w:rPr>
        <w:t>των ΠΜ</w:t>
      </w:r>
      <w:r w:rsidR="00591D84" w:rsidRPr="002518FB">
        <w:rPr>
          <w:bCs/>
          <w:iCs/>
          <w:sz w:val="22"/>
          <w:lang w:val="el-GR"/>
        </w:rPr>
        <w:t xml:space="preserve">, 17,4% </w:t>
      </w:r>
      <w:r w:rsidR="00C5652C" w:rsidRPr="002518FB">
        <w:rPr>
          <w:bCs/>
          <w:iCs/>
          <w:sz w:val="22"/>
          <w:lang w:val="el-GR"/>
        </w:rPr>
        <w:t>των EM</w:t>
      </w:r>
      <w:r w:rsidR="00591D84" w:rsidRPr="002518FB">
        <w:rPr>
          <w:bCs/>
          <w:iCs/>
          <w:sz w:val="22"/>
          <w:lang w:val="el-GR"/>
        </w:rPr>
        <w:t xml:space="preserve">), δυσκοιλιότητα (11,3% </w:t>
      </w:r>
      <w:r w:rsidR="00C5652C" w:rsidRPr="002518FB">
        <w:rPr>
          <w:bCs/>
          <w:iCs/>
          <w:sz w:val="22"/>
          <w:lang w:val="el-GR"/>
        </w:rPr>
        <w:t>των ΠΜ</w:t>
      </w:r>
      <w:r w:rsidR="00591D84" w:rsidRPr="002518FB">
        <w:rPr>
          <w:bCs/>
          <w:iCs/>
          <w:sz w:val="22"/>
          <w:lang w:val="el-GR"/>
        </w:rPr>
        <w:t xml:space="preserve">, 6,7% </w:t>
      </w:r>
      <w:r w:rsidR="00C5652C" w:rsidRPr="002518FB">
        <w:rPr>
          <w:bCs/>
          <w:iCs/>
          <w:sz w:val="22"/>
          <w:lang w:val="el-GR"/>
        </w:rPr>
        <w:t>των EM</w:t>
      </w:r>
      <w:r w:rsidR="00591D84" w:rsidRPr="002518FB">
        <w:rPr>
          <w:bCs/>
          <w:iCs/>
          <w:sz w:val="22"/>
          <w:lang w:val="el-GR"/>
        </w:rPr>
        <w:t xml:space="preserve">), νευρικότητα (4,9% </w:t>
      </w:r>
      <w:r w:rsidR="00C5652C" w:rsidRPr="002518FB">
        <w:rPr>
          <w:bCs/>
          <w:iCs/>
          <w:sz w:val="22"/>
          <w:lang w:val="el-GR"/>
        </w:rPr>
        <w:t>των ΠΜ</w:t>
      </w:r>
      <w:r w:rsidR="00591D84" w:rsidRPr="002518FB">
        <w:rPr>
          <w:bCs/>
          <w:iCs/>
          <w:sz w:val="22"/>
          <w:lang w:val="el-GR"/>
        </w:rPr>
        <w:t xml:space="preserve">, 1,9% </w:t>
      </w:r>
      <w:r w:rsidR="00C5652C" w:rsidRPr="002518FB">
        <w:rPr>
          <w:bCs/>
          <w:iCs/>
          <w:sz w:val="22"/>
          <w:lang w:val="el-GR"/>
        </w:rPr>
        <w:t>των EM</w:t>
      </w:r>
      <w:r w:rsidR="00591D84" w:rsidRPr="002518FB">
        <w:rPr>
          <w:bCs/>
          <w:iCs/>
          <w:sz w:val="22"/>
          <w:lang w:val="el-GR"/>
        </w:rPr>
        <w:t xml:space="preserve">), μειωμένη όρεξη (23,2% </w:t>
      </w:r>
      <w:r w:rsidR="00C5652C" w:rsidRPr="002518FB">
        <w:rPr>
          <w:bCs/>
          <w:iCs/>
          <w:sz w:val="22"/>
          <w:lang w:val="el-GR"/>
        </w:rPr>
        <w:t>των ΠΜ</w:t>
      </w:r>
      <w:r w:rsidR="00591D84" w:rsidRPr="002518FB">
        <w:rPr>
          <w:bCs/>
          <w:iCs/>
          <w:sz w:val="22"/>
          <w:lang w:val="el-GR"/>
        </w:rPr>
        <w:t xml:space="preserve">, 14,7% </w:t>
      </w:r>
      <w:r w:rsidR="00C5652C" w:rsidRPr="002518FB">
        <w:rPr>
          <w:bCs/>
          <w:iCs/>
          <w:sz w:val="22"/>
          <w:lang w:val="el-GR"/>
        </w:rPr>
        <w:t>των EM</w:t>
      </w:r>
      <w:r w:rsidR="00591D84" w:rsidRPr="002518FB">
        <w:rPr>
          <w:bCs/>
          <w:iCs/>
          <w:sz w:val="22"/>
          <w:lang w:val="el-GR"/>
        </w:rPr>
        <w:t xml:space="preserve">), </w:t>
      </w:r>
      <w:proofErr w:type="spellStart"/>
      <w:r w:rsidR="00591D84" w:rsidRPr="002518FB">
        <w:rPr>
          <w:bCs/>
          <w:iCs/>
          <w:sz w:val="22"/>
          <w:lang w:val="el-GR"/>
        </w:rPr>
        <w:t>λειομύωμα</w:t>
      </w:r>
      <w:proofErr w:type="spellEnd"/>
      <w:r w:rsidR="00591D84" w:rsidRPr="002518FB">
        <w:rPr>
          <w:bCs/>
          <w:iCs/>
          <w:sz w:val="22"/>
          <w:lang w:val="el-GR"/>
        </w:rPr>
        <w:t xml:space="preserve"> μήτρας (2,3% </w:t>
      </w:r>
      <w:r w:rsidR="00C5652C" w:rsidRPr="002518FB">
        <w:rPr>
          <w:bCs/>
          <w:iCs/>
          <w:sz w:val="22"/>
          <w:lang w:val="el-GR"/>
        </w:rPr>
        <w:t>των ΠΜ</w:t>
      </w:r>
      <w:r w:rsidR="00591D84" w:rsidRPr="002518FB">
        <w:rPr>
          <w:bCs/>
          <w:iCs/>
          <w:sz w:val="22"/>
          <w:lang w:val="el-GR"/>
        </w:rPr>
        <w:t xml:space="preserve">, 0,1% </w:t>
      </w:r>
      <w:r w:rsidR="00C5652C" w:rsidRPr="002518FB">
        <w:rPr>
          <w:bCs/>
          <w:iCs/>
          <w:sz w:val="22"/>
          <w:lang w:val="el-GR"/>
        </w:rPr>
        <w:t>των EM</w:t>
      </w:r>
      <w:r w:rsidR="00591D84" w:rsidRPr="002518FB">
        <w:rPr>
          <w:bCs/>
          <w:iCs/>
          <w:sz w:val="22"/>
          <w:lang w:val="el-GR"/>
        </w:rPr>
        <w:t xml:space="preserve">), τρόμος (5,4% </w:t>
      </w:r>
      <w:r w:rsidR="00C5652C" w:rsidRPr="002518FB">
        <w:rPr>
          <w:bCs/>
          <w:iCs/>
          <w:sz w:val="22"/>
          <w:lang w:val="el-GR"/>
        </w:rPr>
        <w:t>των ΠΜ</w:t>
      </w:r>
      <w:r w:rsidR="00591D84" w:rsidRPr="002518FB">
        <w:rPr>
          <w:bCs/>
          <w:iCs/>
          <w:sz w:val="22"/>
          <w:lang w:val="el-GR"/>
        </w:rPr>
        <w:t xml:space="preserve">, 1,2% </w:t>
      </w:r>
      <w:r w:rsidR="00C5652C" w:rsidRPr="002518FB">
        <w:rPr>
          <w:bCs/>
          <w:iCs/>
          <w:sz w:val="22"/>
          <w:lang w:val="el-GR"/>
        </w:rPr>
        <w:t>των EM</w:t>
      </w:r>
      <w:r w:rsidR="00591D84" w:rsidRPr="002518FB">
        <w:rPr>
          <w:bCs/>
          <w:iCs/>
          <w:sz w:val="22"/>
          <w:lang w:val="el-GR"/>
        </w:rPr>
        <w:t xml:space="preserve">), αϋπνία (19,2% </w:t>
      </w:r>
      <w:r w:rsidR="00C5652C" w:rsidRPr="002518FB">
        <w:rPr>
          <w:bCs/>
          <w:iCs/>
          <w:sz w:val="22"/>
          <w:lang w:val="el-GR"/>
        </w:rPr>
        <w:t>των ΠΜ</w:t>
      </w:r>
      <w:r w:rsidR="00591D84" w:rsidRPr="002518FB">
        <w:rPr>
          <w:bCs/>
          <w:iCs/>
          <w:sz w:val="22"/>
          <w:lang w:val="el-GR"/>
        </w:rPr>
        <w:t xml:space="preserve">, 11,3% </w:t>
      </w:r>
      <w:r w:rsidR="00C5652C" w:rsidRPr="002518FB">
        <w:rPr>
          <w:bCs/>
          <w:iCs/>
          <w:sz w:val="22"/>
          <w:lang w:val="el-GR"/>
        </w:rPr>
        <w:t>των EM</w:t>
      </w:r>
      <w:r w:rsidR="00591D84" w:rsidRPr="002518FB">
        <w:rPr>
          <w:bCs/>
          <w:iCs/>
          <w:sz w:val="22"/>
          <w:lang w:val="el-GR"/>
        </w:rPr>
        <w:t xml:space="preserve">), διαταραχές ύπνου (6,9% </w:t>
      </w:r>
      <w:r w:rsidR="00C5652C" w:rsidRPr="002518FB">
        <w:rPr>
          <w:bCs/>
          <w:iCs/>
          <w:sz w:val="22"/>
          <w:lang w:val="el-GR"/>
        </w:rPr>
        <w:t>των ΠΜ</w:t>
      </w:r>
      <w:r w:rsidR="00591D84" w:rsidRPr="002518FB">
        <w:rPr>
          <w:bCs/>
          <w:iCs/>
          <w:sz w:val="22"/>
          <w:lang w:val="el-GR"/>
        </w:rPr>
        <w:t xml:space="preserve">, 3,4% </w:t>
      </w:r>
      <w:r w:rsidR="00C5652C" w:rsidRPr="002518FB">
        <w:rPr>
          <w:bCs/>
          <w:iCs/>
          <w:sz w:val="22"/>
          <w:lang w:val="el-GR"/>
        </w:rPr>
        <w:t>των EM</w:t>
      </w:r>
      <w:r w:rsidR="00591D84" w:rsidRPr="002518FB">
        <w:rPr>
          <w:bCs/>
          <w:iCs/>
          <w:sz w:val="22"/>
          <w:lang w:val="el-GR"/>
        </w:rPr>
        <w:t xml:space="preserve">), </w:t>
      </w:r>
      <w:r w:rsidR="00591D84" w:rsidRPr="002518FB">
        <w:rPr>
          <w:sz w:val="22"/>
          <w:lang w:val="el-GR"/>
        </w:rPr>
        <w:t>ενδιάμεση</w:t>
      </w:r>
      <w:r w:rsidR="00591D84" w:rsidRPr="002518FB">
        <w:rPr>
          <w:bCs/>
          <w:iCs/>
          <w:sz w:val="22"/>
          <w:lang w:val="el-GR"/>
        </w:rPr>
        <w:t xml:space="preserve"> αϋπνία (5,4% </w:t>
      </w:r>
      <w:r w:rsidR="00C5652C" w:rsidRPr="002518FB">
        <w:rPr>
          <w:bCs/>
          <w:iCs/>
          <w:sz w:val="22"/>
          <w:lang w:val="el-GR"/>
        </w:rPr>
        <w:t>των ΠΜ</w:t>
      </w:r>
      <w:r w:rsidR="00591D84" w:rsidRPr="002518FB">
        <w:rPr>
          <w:bCs/>
          <w:iCs/>
          <w:sz w:val="22"/>
          <w:lang w:val="el-GR"/>
        </w:rPr>
        <w:t xml:space="preserve">, 2,7% </w:t>
      </w:r>
      <w:r w:rsidR="00C5652C" w:rsidRPr="002518FB">
        <w:rPr>
          <w:bCs/>
          <w:iCs/>
          <w:sz w:val="22"/>
          <w:lang w:val="el-GR"/>
        </w:rPr>
        <w:t>των EM</w:t>
      </w:r>
      <w:r w:rsidR="00591D84" w:rsidRPr="002518FB">
        <w:rPr>
          <w:bCs/>
          <w:iCs/>
          <w:sz w:val="22"/>
          <w:lang w:val="el-GR"/>
        </w:rPr>
        <w:t xml:space="preserve">), τελική αϋπνία (3% </w:t>
      </w:r>
      <w:r w:rsidR="00C5652C" w:rsidRPr="002518FB">
        <w:rPr>
          <w:bCs/>
          <w:iCs/>
          <w:sz w:val="22"/>
          <w:lang w:val="el-GR"/>
        </w:rPr>
        <w:t>των ΠΜ</w:t>
      </w:r>
      <w:r w:rsidR="00591D84" w:rsidRPr="002518FB">
        <w:rPr>
          <w:bCs/>
          <w:iCs/>
          <w:sz w:val="22"/>
          <w:lang w:val="el-GR"/>
        </w:rPr>
        <w:t xml:space="preserve">, 0,9% </w:t>
      </w:r>
      <w:r w:rsidR="00C5652C" w:rsidRPr="002518FB">
        <w:rPr>
          <w:bCs/>
          <w:iCs/>
          <w:sz w:val="22"/>
          <w:lang w:val="el-GR"/>
        </w:rPr>
        <w:t>των EM</w:t>
      </w:r>
      <w:r w:rsidR="00591D84" w:rsidRPr="002518FB">
        <w:rPr>
          <w:bCs/>
          <w:iCs/>
          <w:sz w:val="22"/>
          <w:lang w:val="el-GR"/>
        </w:rPr>
        <w:t xml:space="preserve">), κατακράτηση ούρων (5,9% </w:t>
      </w:r>
      <w:r w:rsidR="00C5652C" w:rsidRPr="002518FB">
        <w:rPr>
          <w:bCs/>
          <w:iCs/>
          <w:sz w:val="22"/>
          <w:lang w:val="el-GR"/>
        </w:rPr>
        <w:t>των ΠΜ</w:t>
      </w:r>
      <w:r w:rsidR="00591D84" w:rsidRPr="002518FB">
        <w:rPr>
          <w:bCs/>
          <w:iCs/>
          <w:sz w:val="22"/>
          <w:lang w:val="el-GR"/>
        </w:rPr>
        <w:t xml:space="preserve">, 1,2% </w:t>
      </w:r>
      <w:r w:rsidR="00C5652C" w:rsidRPr="002518FB">
        <w:rPr>
          <w:bCs/>
          <w:iCs/>
          <w:sz w:val="22"/>
          <w:lang w:val="el-GR"/>
        </w:rPr>
        <w:t>των EM</w:t>
      </w:r>
      <w:r w:rsidR="00591D84" w:rsidRPr="002518FB">
        <w:rPr>
          <w:bCs/>
          <w:iCs/>
          <w:sz w:val="22"/>
          <w:lang w:val="el-GR"/>
        </w:rPr>
        <w:t xml:space="preserve">), στυτική δυσλειτουργία (20,9% </w:t>
      </w:r>
      <w:r w:rsidR="00C5652C" w:rsidRPr="002518FB">
        <w:rPr>
          <w:bCs/>
          <w:iCs/>
          <w:sz w:val="22"/>
          <w:lang w:val="el-GR"/>
        </w:rPr>
        <w:t>των ΠΜ</w:t>
      </w:r>
      <w:r w:rsidR="00591D84" w:rsidRPr="002518FB">
        <w:rPr>
          <w:bCs/>
          <w:iCs/>
          <w:sz w:val="22"/>
          <w:lang w:val="el-GR"/>
        </w:rPr>
        <w:t xml:space="preserve">, 8,9% </w:t>
      </w:r>
      <w:r w:rsidR="00C5652C" w:rsidRPr="002518FB">
        <w:rPr>
          <w:bCs/>
          <w:iCs/>
          <w:sz w:val="22"/>
          <w:lang w:val="el-GR"/>
        </w:rPr>
        <w:t>των EM</w:t>
      </w:r>
      <w:r w:rsidR="00591D84" w:rsidRPr="002518FB">
        <w:rPr>
          <w:bCs/>
          <w:iCs/>
          <w:sz w:val="22"/>
          <w:lang w:val="el-GR"/>
        </w:rPr>
        <w:t xml:space="preserve">), διαταραχή εκσπερμάτισης (6,1% </w:t>
      </w:r>
      <w:r w:rsidR="00C5652C" w:rsidRPr="002518FB">
        <w:rPr>
          <w:bCs/>
          <w:iCs/>
          <w:sz w:val="22"/>
          <w:lang w:val="el-GR"/>
        </w:rPr>
        <w:t>των ΠΜ</w:t>
      </w:r>
      <w:r w:rsidR="00591D84" w:rsidRPr="002518FB">
        <w:rPr>
          <w:bCs/>
          <w:iCs/>
          <w:sz w:val="22"/>
          <w:lang w:val="el-GR"/>
        </w:rPr>
        <w:t xml:space="preserve">, 2,2% </w:t>
      </w:r>
      <w:r w:rsidR="00C5652C" w:rsidRPr="002518FB">
        <w:rPr>
          <w:bCs/>
          <w:iCs/>
          <w:sz w:val="22"/>
          <w:lang w:val="el-GR"/>
        </w:rPr>
        <w:t>των EM</w:t>
      </w:r>
      <w:r w:rsidR="00591D84" w:rsidRPr="002518FB">
        <w:rPr>
          <w:bCs/>
          <w:iCs/>
          <w:sz w:val="22"/>
          <w:lang w:val="el-GR"/>
        </w:rPr>
        <w:t xml:space="preserve">), υπερίδρωση (14,8% </w:t>
      </w:r>
      <w:r w:rsidR="00C5652C" w:rsidRPr="002518FB">
        <w:rPr>
          <w:bCs/>
          <w:iCs/>
          <w:sz w:val="22"/>
          <w:lang w:val="el-GR"/>
        </w:rPr>
        <w:t>των ΠΜ</w:t>
      </w:r>
      <w:r w:rsidR="00591D84" w:rsidRPr="002518FB">
        <w:rPr>
          <w:bCs/>
          <w:iCs/>
          <w:sz w:val="22"/>
          <w:lang w:val="el-GR"/>
        </w:rPr>
        <w:t xml:space="preserve">, 6,8% </w:t>
      </w:r>
      <w:r w:rsidR="00C5652C" w:rsidRPr="002518FB">
        <w:rPr>
          <w:bCs/>
          <w:iCs/>
          <w:sz w:val="22"/>
          <w:lang w:val="el-GR"/>
        </w:rPr>
        <w:t>των EM</w:t>
      </w:r>
      <w:r w:rsidR="00591D84" w:rsidRPr="002518FB">
        <w:rPr>
          <w:bCs/>
          <w:iCs/>
          <w:sz w:val="22"/>
          <w:lang w:val="el-GR"/>
        </w:rPr>
        <w:t xml:space="preserve">), περιφερική ψυχρότητα (3% </w:t>
      </w:r>
      <w:r w:rsidR="00C5652C" w:rsidRPr="002518FB">
        <w:rPr>
          <w:bCs/>
          <w:iCs/>
          <w:sz w:val="22"/>
          <w:lang w:val="el-GR"/>
        </w:rPr>
        <w:t>των ΠΜ</w:t>
      </w:r>
      <w:r w:rsidR="00591D84" w:rsidRPr="002518FB">
        <w:rPr>
          <w:bCs/>
          <w:iCs/>
          <w:sz w:val="22"/>
          <w:lang w:val="el-GR"/>
        </w:rPr>
        <w:t xml:space="preserve">, 0,5% </w:t>
      </w:r>
      <w:r w:rsidR="00C5652C" w:rsidRPr="002518FB">
        <w:rPr>
          <w:bCs/>
          <w:iCs/>
          <w:sz w:val="22"/>
          <w:lang w:val="el-GR"/>
        </w:rPr>
        <w:t>των EM</w:t>
      </w:r>
      <w:r w:rsidR="00591D84" w:rsidRPr="002518FB">
        <w:rPr>
          <w:bCs/>
          <w:iCs/>
          <w:sz w:val="22"/>
          <w:lang w:val="el-GR"/>
        </w:rPr>
        <w:t>).</w:t>
      </w:r>
    </w:p>
    <w:p w:rsidR="00C5652C" w:rsidRPr="002518FB" w:rsidRDefault="00C5652C" w:rsidP="00591D84">
      <w:pPr>
        <w:rPr>
          <w:bCs/>
          <w:iCs/>
          <w:sz w:val="22"/>
          <w:lang w:val="el-GR"/>
        </w:rPr>
      </w:pPr>
    </w:p>
    <w:p w:rsidR="00F32FA2" w:rsidRPr="002518FB" w:rsidRDefault="0021494E" w:rsidP="00F32FA2">
      <w:pPr>
        <w:autoSpaceDE w:val="0"/>
        <w:autoSpaceDN w:val="0"/>
        <w:adjustRightInd w:val="0"/>
        <w:jc w:val="both"/>
        <w:rPr>
          <w:sz w:val="22"/>
          <w:szCs w:val="22"/>
          <w:u w:val="single"/>
          <w:lang w:val="el-GR"/>
        </w:rPr>
      </w:pPr>
      <w:r w:rsidRPr="002518FB">
        <w:rPr>
          <w:noProof/>
          <w:sz w:val="22"/>
          <w:szCs w:val="22"/>
          <w:u w:val="single"/>
          <w:lang w:val="el-GR"/>
        </w:rPr>
        <w:t>Αναφορά πιθανολογούμενων ανεπιθύμητων ενεργειών</w:t>
      </w:r>
    </w:p>
    <w:p w:rsidR="002E48C8" w:rsidRPr="002518FB" w:rsidRDefault="0021494E" w:rsidP="002E48C8">
      <w:pPr>
        <w:pStyle w:val="BodyText"/>
        <w:rPr>
          <w:szCs w:val="22"/>
          <w:lang w:val="el-GR"/>
        </w:rPr>
      </w:pPr>
      <w:r w:rsidRPr="002518FB">
        <w:rPr>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2518FB">
        <w:rPr>
          <w:noProof/>
          <w:szCs w:val="22"/>
          <w:lang w:val="el-GR"/>
        </w:rPr>
        <w:t>.</w:t>
      </w:r>
      <w:r w:rsidRPr="002518FB">
        <w:rPr>
          <w:szCs w:val="22"/>
          <w:lang w:val="el-GR"/>
        </w:rPr>
        <w:t xml:space="preserve"> Επιτρέπει τη συνεχή παρακολούθηση της σχέσης οφέλους-κινδύνου του φαρμακευτικού προϊόντος</w:t>
      </w:r>
      <w:r w:rsidRPr="002518FB">
        <w:rPr>
          <w:noProof/>
          <w:szCs w:val="22"/>
          <w:lang w:val="el-GR"/>
        </w:rPr>
        <w:t>.</w:t>
      </w:r>
      <w:r w:rsidRPr="002518FB">
        <w:rPr>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sidRPr="002518FB">
        <w:rPr>
          <w:szCs w:val="22"/>
          <w:highlight w:val="lightGray"/>
          <w:lang w:val="el-GR"/>
        </w:rPr>
        <w:t xml:space="preserve">μέσω του εθνικού συστήματος αναφοράς που αναγράφεται στο </w:t>
      </w:r>
      <w:hyperlink r:id="rId10" w:history="1">
        <w:r w:rsidRPr="002518FB">
          <w:rPr>
            <w:rStyle w:val="Hyperlink"/>
            <w:rFonts w:ascii="Times New Roman" w:hAnsi="Times New Roman" w:cs="Times New Roman"/>
            <w:color w:val="auto"/>
            <w:sz w:val="22"/>
            <w:szCs w:val="22"/>
            <w:highlight w:val="lightGray"/>
            <w:lang w:val="el-GR"/>
          </w:rPr>
          <w:t xml:space="preserve">Παράρτημα </w:t>
        </w:r>
        <w:r w:rsidR="00F32FA2" w:rsidRPr="002518FB">
          <w:rPr>
            <w:rStyle w:val="Hyperlink"/>
            <w:rFonts w:ascii="Times New Roman" w:hAnsi="Times New Roman" w:cs="Times New Roman"/>
            <w:color w:val="auto"/>
            <w:sz w:val="22"/>
            <w:szCs w:val="22"/>
            <w:highlight w:val="lightGray"/>
          </w:rPr>
          <w:t>V</w:t>
        </w:r>
      </w:hyperlink>
      <w:r w:rsidR="002E48C8" w:rsidRPr="002518FB">
        <w:rPr>
          <w:highlight w:val="lightGray"/>
          <w:lang w:val="el-GR" w:eastAsia="el-GR"/>
        </w:rPr>
        <w:t>.</w:t>
      </w:r>
    </w:p>
    <w:p w:rsidR="00C5652C" w:rsidRPr="002518FB" w:rsidRDefault="00C5652C" w:rsidP="00591D84">
      <w:pPr>
        <w:rPr>
          <w:sz w:val="22"/>
          <w:lang w:val="el-GR"/>
        </w:rPr>
      </w:pPr>
    </w:p>
    <w:p w:rsidR="006D2D93" w:rsidRPr="002518FB" w:rsidRDefault="006D2D93">
      <w:pPr>
        <w:ind w:left="567" w:hanging="567"/>
        <w:rPr>
          <w:sz w:val="22"/>
          <w:lang w:val="el-GR"/>
        </w:rPr>
      </w:pPr>
      <w:r w:rsidRPr="002518FB">
        <w:rPr>
          <w:b/>
          <w:sz w:val="22"/>
          <w:lang w:val="el-GR"/>
        </w:rPr>
        <w:t>4.9</w:t>
      </w:r>
      <w:r w:rsidRPr="002518FB">
        <w:rPr>
          <w:b/>
          <w:sz w:val="22"/>
          <w:lang w:val="el-GR"/>
        </w:rPr>
        <w:tab/>
      </w:r>
      <w:proofErr w:type="spellStart"/>
      <w:r w:rsidRPr="002518FB">
        <w:rPr>
          <w:b/>
          <w:sz w:val="22"/>
          <w:lang w:val="el-GR"/>
        </w:rPr>
        <w:t>Υπερδοσολογία</w:t>
      </w:r>
      <w:proofErr w:type="spellEnd"/>
    </w:p>
    <w:p w:rsidR="006D2D93" w:rsidRPr="002518FB" w:rsidRDefault="006D2D93">
      <w:pPr>
        <w:autoSpaceDE w:val="0"/>
        <w:autoSpaceDN w:val="0"/>
        <w:adjustRightInd w:val="0"/>
        <w:spacing w:line="240" w:lineRule="atLeast"/>
        <w:rPr>
          <w:sz w:val="22"/>
          <w:u w:val="single"/>
          <w:lang w:val="el-GR"/>
        </w:rPr>
      </w:pPr>
    </w:p>
    <w:p w:rsidR="006D2D93" w:rsidRPr="002518FB" w:rsidRDefault="006D2D93">
      <w:pPr>
        <w:autoSpaceDE w:val="0"/>
        <w:autoSpaceDN w:val="0"/>
        <w:adjustRightInd w:val="0"/>
        <w:spacing w:line="240" w:lineRule="atLeast"/>
        <w:rPr>
          <w:sz w:val="22"/>
          <w:u w:val="single"/>
          <w:lang w:val="el-GR"/>
        </w:rPr>
      </w:pPr>
      <w:r w:rsidRPr="002518FB">
        <w:rPr>
          <w:sz w:val="22"/>
          <w:u w:val="single"/>
          <w:lang w:val="el-GR"/>
        </w:rPr>
        <w:lastRenderedPageBreak/>
        <w:t>Σημεία και συμπτώματα:</w:t>
      </w:r>
    </w:p>
    <w:p w:rsidR="006D2D93" w:rsidRPr="002518FB" w:rsidRDefault="006D2D93">
      <w:pPr>
        <w:autoSpaceDE w:val="0"/>
        <w:autoSpaceDN w:val="0"/>
        <w:adjustRightInd w:val="0"/>
        <w:spacing w:line="240" w:lineRule="atLeast"/>
        <w:rPr>
          <w:sz w:val="22"/>
          <w:lang w:val="el-GR"/>
        </w:rPr>
      </w:pPr>
      <w:r w:rsidRPr="002518FB">
        <w:rPr>
          <w:sz w:val="22"/>
          <w:lang w:val="el-GR"/>
        </w:rPr>
        <w:t>Μετά την κυκλοφορία του φαρμάκου, έχουν αναφερθεί περιπτώσεις μη</w:t>
      </w:r>
      <w:r w:rsidR="00C46700" w:rsidRPr="002518FB">
        <w:rPr>
          <w:sz w:val="22"/>
          <w:lang w:val="el-GR"/>
        </w:rPr>
        <w:t xml:space="preserve"> </w:t>
      </w:r>
      <w:r w:rsidRPr="002518FB">
        <w:rPr>
          <w:sz w:val="22"/>
          <w:lang w:val="el-GR"/>
        </w:rPr>
        <w:t xml:space="preserve">μοιραίας έκβασης οξέων και χρόνιων </w:t>
      </w:r>
      <w:proofErr w:type="spellStart"/>
      <w:r w:rsidRPr="002518FB">
        <w:rPr>
          <w:sz w:val="22"/>
          <w:lang w:val="el-GR"/>
        </w:rPr>
        <w:t>υπερδοσολογιών</w:t>
      </w:r>
      <w:proofErr w:type="spellEnd"/>
      <w:r w:rsidRPr="002518FB">
        <w:rPr>
          <w:sz w:val="22"/>
          <w:lang w:val="el-GR"/>
        </w:rPr>
        <w:t xml:space="preserve"> της </w:t>
      </w:r>
      <w:proofErr w:type="spellStart"/>
      <w:r w:rsidRPr="002518FB">
        <w:rPr>
          <w:sz w:val="22"/>
          <w:szCs w:val="22"/>
          <w:lang w:val="el-GR"/>
        </w:rPr>
        <w:t>ατομοξετίνης</w:t>
      </w:r>
      <w:proofErr w:type="spellEnd"/>
      <w:r w:rsidR="00192E8C" w:rsidRPr="002518FB">
        <w:rPr>
          <w:sz w:val="22"/>
          <w:szCs w:val="22"/>
          <w:lang w:val="el-GR"/>
        </w:rPr>
        <w:t xml:space="preserve"> μόνης</w:t>
      </w:r>
      <w:r w:rsidRPr="002518FB">
        <w:rPr>
          <w:sz w:val="22"/>
          <w:lang w:val="el-GR"/>
        </w:rPr>
        <w:t xml:space="preserve">. Τα πιο συχνά αναφερόμενα </w:t>
      </w:r>
      <w:proofErr w:type="spellStart"/>
      <w:r w:rsidRPr="002518FB">
        <w:rPr>
          <w:sz w:val="22"/>
          <w:lang w:val="el-GR"/>
        </w:rPr>
        <w:t>συμβάματα</w:t>
      </w:r>
      <w:proofErr w:type="spellEnd"/>
      <w:r w:rsidRPr="002518FB">
        <w:rPr>
          <w:sz w:val="22"/>
          <w:lang w:val="el-GR"/>
        </w:rPr>
        <w:t xml:space="preserve"> που συνοδεύουν την οξεία και χρόνια </w:t>
      </w:r>
      <w:proofErr w:type="spellStart"/>
      <w:r w:rsidRPr="002518FB">
        <w:rPr>
          <w:sz w:val="22"/>
          <w:lang w:val="el-GR"/>
        </w:rPr>
        <w:t>υπερδοσολογία</w:t>
      </w:r>
      <w:proofErr w:type="spellEnd"/>
      <w:r w:rsidRPr="002518FB">
        <w:rPr>
          <w:sz w:val="22"/>
          <w:lang w:val="el-GR"/>
        </w:rPr>
        <w:t xml:space="preserve"> ήταν </w:t>
      </w:r>
      <w:r w:rsidR="00392EB8" w:rsidRPr="002518FB">
        <w:rPr>
          <w:sz w:val="22"/>
          <w:lang w:val="el-GR"/>
        </w:rPr>
        <w:t>γαστρεντερικά</w:t>
      </w:r>
      <w:r w:rsidR="006439C8" w:rsidRPr="002518FB">
        <w:rPr>
          <w:sz w:val="22"/>
          <w:lang w:val="el-GR"/>
        </w:rPr>
        <w:t xml:space="preserve"> συμπτώματα, </w:t>
      </w:r>
      <w:r w:rsidRPr="002518FB">
        <w:rPr>
          <w:sz w:val="22"/>
          <w:lang w:val="el-GR"/>
        </w:rPr>
        <w:t xml:space="preserve">υπνηλία, </w:t>
      </w:r>
      <w:r w:rsidR="006439C8" w:rsidRPr="002518FB">
        <w:rPr>
          <w:sz w:val="22"/>
          <w:lang w:val="el-GR"/>
        </w:rPr>
        <w:t xml:space="preserve">ζάλη, τρόμος και </w:t>
      </w:r>
      <w:r w:rsidRPr="002518FB">
        <w:rPr>
          <w:sz w:val="22"/>
          <w:lang w:val="el-GR"/>
        </w:rPr>
        <w:t xml:space="preserve">διαταραγμένη συμπεριφορά. </w:t>
      </w:r>
      <w:r w:rsidR="006439C8" w:rsidRPr="002518FB">
        <w:rPr>
          <w:sz w:val="22"/>
          <w:lang w:val="el-GR"/>
        </w:rPr>
        <w:t xml:space="preserve">Επίσης αναφέρθηκαν υπερδραστηριότητα και διέγερση. </w:t>
      </w:r>
      <w:r w:rsidRPr="002518FB">
        <w:rPr>
          <w:sz w:val="22"/>
          <w:lang w:val="el-GR"/>
        </w:rPr>
        <w:t xml:space="preserve">Σημεία και συμπτώματα συμβατά με ήπια έως μέτρια ενεργοποίηση του συμπαθητικού νευρικού συστήματος (π.χ. </w:t>
      </w:r>
      <w:r w:rsidR="006439C8" w:rsidRPr="002518FB">
        <w:rPr>
          <w:sz w:val="22"/>
          <w:lang w:val="el-GR"/>
        </w:rPr>
        <w:t xml:space="preserve">ταχυκαρδία, αυξημένη αρτηριακή πίεση, </w:t>
      </w:r>
      <w:r w:rsidRPr="002518FB">
        <w:rPr>
          <w:sz w:val="22"/>
          <w:lang w:val="el-GR"/>
        </w:rPr>
        <w:t>μυδρίαση</w:t>
      </w:r>
      <w:r w:rsidR="006439C8" w:rsidRPr="002518FB">
        <w:rPr>
          <w:sz w:val="22"/>
          <w:lang w:val="el-GR"/>
        </w:rPr>
        <w:t xml:space="preserve"> και </w:t>
      </w:r>
      <w:r w:rsidRPr="002518FB">
        <w:rPr>
          <w:sz w:val="22"/>
          <w:lang w:val="el-GR"/>
        </w:rPr>
        <w:t xml:space="preserve">ξηροστομία) </w:t>
      </w:r>
      <w:r w:rsidR="003D6666" w:rsidRPr="002518FB">
        <w:rPr>
          <w:sz w:val="22"/>
          <w:lang w:val="el-GR"/>
        </w:rPr>
        <w:t>είχαν</w:t>
      </w:r>
      <w:r w:rsidRPr="002518FB">
        <w:rPr>
          <w:sz w:val="22"/>
          <w:lang w:val="el-GR"/>
        </w:rPr>
        <w:t xml:space="preserve"> επίσης παρατηρηθεί</w:t>
      </w:r>
      <w:r w:rsidR="003D6666" w:rsidRPr="002518FB">
        <w:rPr>
          <w:sz w:val="22"/>
          <w:lang w:val="el-GR"/>
        </w:rPr>
        <w:t xml:space="preserve"> και αναφορές κνησμού και εξανθημάτων είχαν ληφθεί</w:t>
      </w:r>
      <w:r w:rsidRPr="002518FB">
        <w:rPr>
          <w:sz w:val="22"/>
          <w:lang w:val="el-GR"/>
        </w:rPr>
        <w:t xml:space="preserve">. </w:t>
      </w:r>
      <w:r w:rsidR="006439C8" w:rsidRPr="002518FB">
        <w:rPr>
          <w:sz w:val="22"/>
          <w:lang w:val="el-GR"/>
        </w:rPr>
        <w:t xml:space="preserve">Τα περισσότερα από τα </w:t>
      </w:r>
      <w:proofErr w:type="spellStart"/>
      <w:r w:rsidR="006439C8" w:rsidRPr="002518FB">
        <w:rPr>
          <w:sz w:val="22"/>
          <w:lang w:val="el-GR"/>
        </w:rPr>
        <w:t>συμβάματα</w:t>
      </w:r>
      <w:proofErr w:type="spellEnd"/>
      <w:r w:rsidR="006439C8" w:rsidRPr="002518FB">
        <w:rPr>
          <w:sz w:val="22"/>
          <w:lang w:val="el-GR"/>
        </w:rPr>
        <w:t xml:space="preserve"> αυτά ήταν ήπιας έως μέτριας βαρύτητας. </w:t>
      </w:r>
      <w:r w:rsidR="00E1498E" w:rsidRPr="002518FB">
        <w:rPr>
          <w:sz w:val="22"/>
          <w:lang w:val="el-GR"/>
        </w:rPr>
        <w:t>Επ</w:t>
      </w:r>
      <w:r w:rsidR="00B627EF" w:rsidRPr="002518FB">
        <w:rPr>
          <w:sz w:val="22"/>
          <w:lang w:val="el-GR"/>
        </w:rPr>
        <w:t>ιληπτικές κρίσεις</w:t>
      </w:r>
      <w:r w:rsidR="003D6666" w:rsidRPr="002518FB">
        <w:rPr>
          <w:sz w:val="22"/>
          <w:lang w:val="el-GR"/>
        </w:rPr>
        <w:t xml:space="preserve"> και πολύ σπάνια παράταση </w:t>
      </w:r>
      <w:r w:rsidR="00E1498E" w:rsidRPr="002518FB">
        <w:rPr>
          <w:sz w:val="22"/>
          <w:lang w:val="el-GR"/>
        </w:rPr>
        <w:t xml:space="preserve">του διαστήματος </w:t>
      </w:r>
      <w:r w:rsidR="000F3434" w:rsidRPr="002518FB">
        <w:rPr>
          <w:sz w:val="22"/>
          <w:lang w:val="el-GR"/>
        </w:rPr>
        <w:t>QT</w:t>
      </w:r>
      <w:r w:rsidR="00E1498E" w:rsidRPr="002518FB">
        <w:rPr>
          <w:sz w:val="22"/>
          <w:lang w:val="el-GR"/>
        </w:rPr>
        <w:t xml:space="preserve"> έχουν αναφερθεί σε μερικές περιπτώσεις </w:t>
      </w:r>
      <w:proofErr w:type="spellStart"/>
      <w:r w:rsidR="00E1498E" w:rsidRPr="002518FB">
        <w:rPr>
          <w:sz w:val="22"/>
          <w:lang w:val="el-GR"/>
        </w:rPr>
        <w:t>υπερδοσολ</w:t>
      </w:r>
      <w:r w:rsidR="007A030D" w:rsidRPr="002518FB">
        <w:rPr>
          <w:sz w:val="22"/>
          <w:lang w:val="el-GR"/>
        </w:rPr>
        <w:t>ογίας</w:t>
      </w:r>
      <w:proofErr w:type="spellEnd"/>
      <w:r w:rsidR="00E1498E" w:rsidRPr="002518FB">
        <w:rPr>
          <w:sz w:val="22"/>
          <w:lang w:val="el-GR"/>
        </w:rPr>
        <w:t xml:space="preserve"> με </w:t>
      </w:r>
      <w:proofErr w:type="spellStart"/>
      <w:r w:rsidR="00E1498E" w:rsidRPr="002518FB">
        <w:rPr>
          <w:sz w:val="22"/>
          <w:lang w:val="el-GR"/>
        </w:rPr>
        <w:t>ατομοξετίνη</w:t>
      </w:r>
      <w:proofErr w:type="spellEnd"/>
      <w:r w:rsidR="00B627EF" w:rsidRPr="002518FB">
        <w:rPr>
          <w:sz w:val="22"/>
          <w:lang w:val="el-GR"/>
        </w:rPr>
        <w:t xml:space="preserve">. Επίσης, έχουν υπάρξει αναφορές μοιραίας έκβασης, οξέων </w:t>
      </w:r>
      <w:proofErr w:type="spellStart"/>
      <w:r w:rsidR="00B627EF" w:rsidRPr="002518FB">
        <w:rPr>
          <w:sz w:val="22"/>
          <w:lang w:val="el-GR"/>
        </w:rPr>
        <w:t>υπερδοσολογιών</w:t>
      </w:r>
      <w:proofErr w:type="spellEnd"/>
      <w:r w:rsidR="00B627EF" w:rsidRPr="002518FB">
        <w:rPr>
          <w:sz w:val="22"/>
          <w:lang w:val="el-GR"/>
        </w:rPr>
        <w:t xml:space="preserve"> που περιλάμβ</w:t>
      </w:r>
      <w:r w:rsidR="00192E8C" w:rsidRPr="002518FB">
        <w:rPr>
          <w:sz w:val="22"/>
          <w:lang w:val="el-GR"/>
        </w:rPr>
        <w:t>α</w:t>
      </w:r>
      <w:r w:rsidR="00B627EF" w:rsidRPr="002518FB">
        <w:rPr>
          <w:sz w:val="22"/>
          <w:lang w:val="el-GR"/>
        </w:rPr>
        <w:t xml:space="preserve">ναν </w:t>
      </w:r>
      <w:r w:rsidR="00192E8C" w:rsidRPr="002518FB">
        <w:rPr>
          <w:sz w:val="22"/>
          <w:lang w:val="el-GR"/>
        </w:rPr>
        <w:t xml:space="preserve">μικτή λήψη </w:t>
      </w:r>
      <w:proofErr w:type="spellStart"/>
      <w:r w:rsidR="00B627EF" w:rsidRPr="002518FB">
        <w:rPr>
          <w:sz w:val="22"/>
          <w:lang w:val="el-GR"/>
        </w:rPr>
        <w:t>ατομοξετίνη</w:t>
      </w:r>
      <w:r w:rsidR="00192E8C" w:rsidRPr="002518FB">
        <w:rPr>
          <w:sz w:val="22"/>
          <w:lang w:val="el-GR"/>
        </w:rPr>
        <w:t>ς</w:t>
      </w:r>
      <w:proofErr w:type="spellEnd"/>
      <w:r w:rsidR="00B627EF" w:rsidRPr="002518FB">
        <w:rPr>
          <w:sz w:val="22"/>
          <w:lang w:val="el-GR"/>
        </w:rPr>
        <w:t xml:space="preserve"> </w:t>
      </w:r>
      <w:r w:rsidR="00192E8C" w:rsidRPr="002518FB">
        <w:rPr>
          <w:sz w:val="22"/>
          <w:lang w:val="el-GR"/>
        </w:rPr>
        <w:t>με</w:t>
      </w:r>
      <w:r w:rsidR="00B627EF" w:rsidRPr="002518FB">
        <w:rPr>
          <w:sz w:val="22"/>
          <w:lang w:val="el-GR"/>
        </w:rPr>
        <w:t xml:space="preserve"> τουλάχιστον ένα άλλο φάρμακο.</w:t>
      </w:r>
      <w:r w:rsidRPr="002518FB">
        <w:rPr>
          <w:sz w:val="22"/>
          <w:lang w:val="el-GR"/>
        </w:rPr>
        <w:t xml:space="preserve"> </w:t>
      </w:r>
    </w:p>
    <w:p w:rsidR="00CC03A8" w:rsidRPr="002518FB" w:rsidRDefault="00CC03A8">
      <w:pPr>
        <w:autoSpaceDE w:val="0"/>
        <w:autoSpaceDN w:val="0"/>
        <w:adjustRightInd w:val="0"/>
        <w:spacing w:line="240" w:lineRule="atLeast"/>
        <w:rPr>
          <w:sz w:val="22"/>
          <w:lang w:val="el-GR"/>
        </w:rPr>
      </w:pPr>
    </w:p>
    <w:p w:rsidR="00CC03A8" w:rsidRPr="002518FB" w:rsidRDefault="00CC03A8" w:rsidP="00CC03A8">
      <w:pPr>
        <w:autoSpaceDE w:val="0"/>
        <w:autoSpaceDN w:val="0"/>
        <w:adjustRightInd w:val="0"/>
        <w:spacing w:line="240" w:lineRule="atLeast"/>
        <w:rPr>
          <w:sz w:val="22"/>
          <w:lang w:val="el-GR"/>
        </w:rPr>
      </w:pPr>
      <w:r w:rsidRPr="002518FB">
        <w:rPr>
          <w:sz w:val="22"/>
          <w:szCs w:val="22"/>
          <w:lang w:val="el-GR"/>
        </w:rPr>
        <w:t xml:space="preserve">Υπάρχει περιορισμένη κλινική εμπειρία από </w:t>
      </w:r>
      <w:proofErr w:type="spellStart"/>
      <w:r w:rsidR="007A030D" w:rsidRPr="002518FB">
        <w:rPr>
          <w:sz w:val="22"/>
          <w:szCs w:val="22"/>
          <w:lang w:val="el-GR"/>
        </w:rPr>
        <w:t>υπερδοσολογία</w:t>
      </w:r>
      <w:proofErr w:type="spellEnd"/>
      <w:r w:rsidR="007A030D" w:rsidRPr="002518FB">
        <w:rPr>
          <w:sz w:val="22"/>
          <w:szCs w:val="22"/>
          <w:lang w:val="el-GR"/>
        </w:rPr>
        <w:t xml:space="preserve"> </w:t>
      </w:r>
      <w:proofErr w:type="spellStart"/>
      <w:r w:rsidRPr="002518FB">
        <w:rPr>
          <w:sz w:val="22"/>
          <w:szCs w:val="22"/>
          <w:lang w:val="el-GR"/>
        </w:rPr>
        <w:t>ατομοξετίνης</w:t>
      </w:r>
      <w:proofErr w:type="spellEnd"/>
      <w:r w:rsidRPr="002518FB">
        <w:rPr>
          <w:sz w:val="22"/>
          <w:szCs w:val="22"/>
          <w:lang w:val="el-GR"/>
        </w:rPr>
        <w:t>. Μ</w:t>
      </w:r>
      <w:r w:rsidRPr="002518FB">
        <w:rPr>
          <w:sz w:val="22"/>
          <w:lang w:val="el-GR"/>
        </w:rPr>
        <w:t xml:space="preserve">οιραίες εκβάσεις </w:t>
      </w:r>
      <w:r w:rsidR="00E1498E" w:rsidRPr="002518FB">
        <w:rPr>
          <w:sz w:val="22"/>
          <w:lang w:val="el-GR"/>
        </w:rPr>
        <w:t xml:space="preserve">από </w:t>
      </w:r>
      <w:proofErr w:type="spellStart"/>
      <w:r w:rsidR="00E1498E" w:rsidRPr="002518FB">
        <w:rPr>
          <w:sz w:val="22"/>
          <w:lang w:val="el-GR"/>
        </w:rPr>
        <w:t>υπερδοσολ</w:t>
      </w:r>
      <w:r w:rsidR="007A030D" w:rsidRPr="002518FB">
        <w:rPr>
          <w:sz w:val="22"/>
          <w:lang w:val="el-GR"/>
        </w:rPr>
        <w:t>ογία</w:t>
      </w:r>
      <w:proofErr w:type="spellEnd"/>
      <w:r w:rsidR="00E1498E" w:rsidRPr="002518FB">
        <w:rPr>
          <w:sz w:val="22"/>
          <w:lang w:val="el-GR"/>
        </w:rPr>
        <w:t xml:space="preserve"> </w:t>
      </w:r>
      <w:r w:rsidRPr="002518FB">
        <w:rPr>
          <w:sz w:val="22"/>
          <w:lang w:val="el-GR"/>
        </w:rPr>
        <w:t>δεν έχουν αναφερθεί στις κλινικές μελέτες.</w:t>
      </w:r>
    </w:p>
    <w:p w:rsidR="00EB1A67" w:rsidRPr="00006638" w:rsidRDefault="00EB1A67" w:rsidP="00006638">
      <w:pPr>
        <w:autoSpaceDE w:val="0"/>
        <w:autoSpaceDN w:val="0"/>
        <w:adjustRightInd w:val="0"/>
        <w:spacing w:line="240" w:lineRule="atLeast"/>
        <w:rPr>
          <w:sz w:val="22"/>
          <w:lang w:val="en-US"/>
        </w:rPr>
      </w:pPr>
    </w:p>
    <w:p w:rsidR="006D2D93" w:rsidRPr="002518FB" w:rsidRDefault="006D2D93">
      <w:pPr>
        <w:pStyle w:val="BodyTextIndent"/>
        <w:autoSpaceDE w:val="0"/>
        <w:autoSpaceDN w:val="0"/>
        <w:adjustRightInd w:val="0"/>
        <w:snapToGrid/>
        <w:spacing w:before="0" w:after="0" w:line="240" w:lineRule="atLeast"/>
        <w:ind w:left="0"/>
        <w:rPr>
          <w:color w:val="auto"/>
          <w:sz w:val="22"/>
          <w:lang w:val="el-GR"/>
        </w:rPr>
      </w:pPr>
      <w:r w:rsidRPr="002518FB">
        <w:rPr>
          <w:color w:val="auto"/>
          <w:sz w:val="22"/>
          <w:u w:val="single"/>
          <w:lang w:val="el-GR"/>
        </w:rPr>
        <w:t xml:space="preserve">Αντιμετώπιση της </w:t>
      </w:r>
      <w:proofErr w:type="spellStart"/>
      <w:r w:rsidRPr="002518FB">
        <w:rPr>
          <w:color w:val="auto"/>
          <w:sz w:val="22"/>
          <w:u w:val="single"/>
          <w:lang w:val="el-GR"/>
        </w:rPr>
        <w:t>Υπερδοσολ</w:t>
      </w:r>
      <w:r w:rsidR="00D57898" w:rsidRPr="002518FB">
        <w:rPr>
          <w:color w:val="auto"/>
          <w:sz w:val="22"/>
          <w:u w:val="single"/>
          <w:lang w:val="el-GR"/>
        </w:rPr>
        <w:t>ογίας</w:t>
      </w:r>
      <w:proofErr w:type="spellEnd"/>
      <w:r w:rsidRPr="002518FB">
        <w:rPr>
          <w:color w:val="auto"/>
          <w:sz w:val="22"/>
          <w:u w:val="single"/>
          <w:lang w:val="el-GR"/>
        </w:rPr>
        <w:t>:</w:t>
      </w:r>
    </w:p>
    <w:p w:rsidR="006D2D93" w:rsidRPr="002518FB" w:rsidRDefault="006D2D93">
      <w:pPr>
        <w:pStyle w:val="BodyTextIndent"/>
        <w:autoSpaceDE w:val="0"/>
        <w:autoSpaceDN w:val="0"/>
        <w:adjustRightInd w:val="0"/>
        <w:snapToGrid/>
        <w:spacing w:before="0" w:after="0" w:line="240" w:lineRule="atLeast"/>
        <w:ind w:left="0"/>
        <w:rPr>
          <w:color w:val="auto"/>
          <w:sz w:val="22"/>
          <w:lang w:val="el-GR"/>
        </w:rPr>
      </w:pPr>
      <w:r w:rsidRPr="002518FB">
        <w:rPr>
          <w:color w:val="auto"/>
          <w:sz w:val="22"/>
          <w:lang w:val="el-GR"/>
        </w:rPr>
        <w:t xml:space="preserve">Η βατότητα των αεροφόρων οδών πρέπει να εξασφαλίζεται. </w:t>
      </w:r>
      <w:r w:rsidR="00727938" w:rsidRPr="002518FB">
        <w:rPr>
          <w:color w:val="auto"/>
          <w:sz w:val="22"/>
          <w:lang w:val="el-GR"/>
        </w:rPr>
        <w:t xml:space="preserve">Ο ενεργός άνθρακας μπορεί να αποδειχθεί χρήσιμος για τον περιορισμό της απορρόφησης του φαρμάκου </w:t>
      </w:r>
      <w:r w:rsidR="00794573" w:rsidRPr="002518FB">
        <w:rPr>
          <w:color w:val="auto"/>
          <w:sz w:val="22"/>
          <w:lang w:val="el-GR"/>
        </w:rPr>
        <w:t>στη περίπτωση που ο ασθενής</w:t>
      </w:r>
      <w:r w:rsidR="0033261E" w:rsidRPr="002518FB">
        <w:rPr>
          <w:color w:val="auto"/>
          <w:sz w:val="22"/>
          <w:lang w:val="el-GR"/>
        </w:rPr>
        <w:t xml:space="preserve"> προσέρχεται στον ειδικό </w:t>
      </w:r>
      <w:r w:rsidR="00727938" w:rsidRPr="002518FB">
        <w:rPr>
          <w:color w:val="auto"/>
          <w:sz w:val="22"/>
          <w:lang w:val="el-GR"/>
        </w:rPr>
        <w:t xml:space="preserve">μέσα σε μια </w:t>
      </w:r>
      <w:r w:rsidR="00A071A2" w:rsidRPr="002518FB">
        <w:rPr>
          <w:color w:val="auto"/>
          <w:sz w:val="22"/>
          <w:lang w:val="el-GR"/>
        </w:rPr>
        <w:t>ώρα</w:t>
      </w:r>
      <w:r w:rsidR="00794573" w:rsidRPr="002518FB">
        <w:rPr>
          <w:color w:val="auto"/>
          <w:sz w:val="22"/>
          <w:lang w:val="el-GR"/>
        </w:rPr>
        <w:t xml:space="preserve"> από την </w:t>
      </w:r>
      <w:r w:rsidR="0033261E" w:rsidRPr="002518FB">
        <w:rPr>
          <w:color w:val="auto"/>
          <w:sz w:val="22"/>
          <w:lang w:val="el-GR"/>
        </w:rPr>
        <w:t>λήψη</w:t>
      </w:r>
      <w:r w:rsidR="00A071A2" w:rsidRPr="002518FB">
        <w:rPr>
          <w:color w:val="auto"/>
          <w:sz w:val="22"/>
          <w:lang w:val="el-GR"/>
        </w:rPr>
        <w:t xml:space="preserve"> . </w:t>
      </w:r>
      <w:r w:rsidRPr="002518FB">
        <w:rPr>
          <w:color w:val="auto"/>
          <w:sz w:val="22"/>
          <w:lang w:val="el-GR"/>
        </w:rPr>
        <w:t>Συνιστάται η παρακολούθηση των καρδιακών και ζωτικών σημείων, σε συνδυασμό με τα κατάλληλα μέτρα συμπτωματικής και υποστηρικτικής αντιμετώπισης.</w:t>
      </w:r>
      <w:r w:rsidR="00A071A2" w:rsidRPr="002518FB">
        <w:rPr>
          <w:color w:val="auto"/>
          <w:sz w:val="22"/>
          <w:lang w:val="el-GR"/>
        </w:rPr>
        <w:t xml:space="preserve"> Ο ασθενής </w:t>
      </w:r>
      <w:r w:rsidR="00672173" w:rsidRPr="002518FB">
        <w:rPr>
          <w:color w:val="auto"/>
          <w:sz w:val="22"/>
          <w:lang w:val="el-GR"/>
        </w:rPr>
        <w:t xml:space="preserve">θα </w:t>
      </w:r>
      <w:r w:rsidR="00A071A2" w:rsidRPr="002518FB">
        <w:rPr>
          <w:color w:val="auto"/>
          <w:sz w:val="22"/>
          <w:lang w:val="el-GR"/>
        </w:rPr>
        <w:t>πρέπει να παρακολουθείται για τουλάχιστον 6 ώρες</w:t>
      </w:r>
      <w:r w:rsidRPr="002518FB">
        <w:rPr>
          <w:color w:val="auto"/>
          <w:sz w:val="22"/>
          <w:lang w:val="el-GR"/>
        </w:rPr>
        <w:t>.</w:t>
      </w:r>
      <w:r w:rsidR="003B54E5" w:rsidRPr="002518FB">
        <w:rPr>
          <w:color w:val="auto"/>
          <w:sz w:val="22"/>
          <w:lang w:val="el-GR"/>
        </w:rPr>
        <w:t xml:space="preserve"> </w:t>
      </w:r>
      <w:r w:rsidRPr="002518FB">
        <w:rPr>
          <w:color w:val="auto"/>
          <w:sz w:val="22"/>
          <w:lang w:val="el-GR"/>
        </w:rPr>
        <w:t xml:space="preserve">Επειδή η </w:t>
      </w:r>
      <w:proofErr w:type="spellStart"/>
      <w:r w:rsidRPr="002518FB">
        <w:rPr>
          <w:color w:val="auto"/>
          <w:sz w:val="22"/>
          <w:szCs w:val="22"/>
          <w:lang w:val="el-GR"/>
        </w:rPr>
        <w:t>ατομοξετίνη</w:t>
      </w:r>
      <w:proofErr w:type="spellEnd"/>
      <w:r w:rsidRPr="002518FB">
        <w:rPr>
          <w:color w:val="auto"/>
          <w:sz w:val="22"/>
          <w:szCs w:val="22"/>
          <w:lang w:val="el-GR"/>
        </w:rPr>
        <w:t xml:space="preserve"> συνδέεται σημαντικά με τις πρωτεΐνες πλάσματος</w:t>
      </w:r>
      <w:r w:rsidRPr="002518FB">
        <w:rPr>
          <w:color w:val="auto"/>
          <w:sz w:val="22"/>
          <w:lang w:val="el-GR"/>
        </w:rPr>
        <w:t xml:space="preserve">, η </w:t>
      </w:r>
      <w:proofErr w:type="spellStart"/>
      <w:r w:rsidRPr="002518FB">
        <w:rPr>
          <w:color w:val="auto"/>
          <w:sz w:val="22"/>
          <w:lang w:val="el-GR"/>
        </w:rPr>
        <w:t>αιμοδιύλιση</w:t>
      </w:r>
      <w:proofErr w:type="spellEnd"/>
      <w:r w:rsidRPr="002518FB">
        <w:rPr>
          <w:color w:val="auto"/>
          <w:sz w:val="22"/>
          <w:lang w:val="el-GR"/>
        </w:rPr>
        <w:t xml:space="preserve"> δεν αναμένεται να έχει ωφέλιμο αποτέλεσμα στην αντιμετώπιση της </w:t>
      </w:r>
      <w:proofErr w:type="spellStart"/>
      <w:r w:rsidRPr="002518FB">
        <w:rPr>
          <w:color w:val="auto"/>
          <w:sz w:val="22"/>
          <w:lang w:val="el-GR"/>
        </w:rPr>
        <w:t>υπερδοσολογίας</w:t>
      </w:r>
      <w:proofErr w:type="spellEnd"/>
      <w:r w:rsidRPr="002518FB">
        <w:rPr>
          <w:color w:val="auto"/>
          <w:sz w:val="22"/>
          <w:lang w:val="el-GR"/>
        </w:rPr>
        <w:t>.</w:t>
      </w:r>
    </w:p>
    <w:p w:rsidR="002A1C2E" w:rsidRPr="002518FB" w:rsidRDefault="002A1C2E">
      <w:pPr>
        <w:rPr>
          <w:sz w:val="22"/>
          <w:lang w:val="el-GR"/>
        </w:rPr>
      </w:pPr>
    </w:p>
    <w:p w:rsidR="0032014B" w:rsidRPr="002518FB" w:rsidRDefault="0032014B">
      <w:pPr>
        <w:rPr>
          <w:sz w:val="22"/>
          <w:lang w:val="el-GR"/>
        </w:rPr>
      </w:pPr>
    </w:p>
    <w:p w:rsidR="006D2D93" w:rsidRPr="002518FB" w:rsidRDefault="006D2D93">
      <w:pPr>
        <w:rPr>
          <w:sz w:val="22"/>
          <w:szCs w:val="24"/>
          <w:lang w:val="el-GR" w:eastAsia="el-GR"/>
        </w:rPr>
      </w:pPr>
      <w:r w:rsidRPr="002518FB">
        <w:rPr>
          <w:b/>
          <w:sz w:val="22"/>
          <w:lang w:val="el-GR"/>
        </w:rPr>
        <w:t>5.</w:t>
      </w:r>
      <w:r w:rsidRPr="002518FB">
        <w:rPr>
          <w:b/>
          <w:sz w:val="22"/>
          <w:lang w:val="el-GR"/>
        </w:rPr>
        <w:tab/>
        <w:t>ΦΑΡΜΑΚΟΛΟΓΙΚΕΣ ΙΔΙΟΤΗΤΕΣ</w:t>
      </w:r>
    </w:p>
    <w:p w:rsidR="006D2D93" w:rsidRPr="002518FB" w:rsidRDefault="006D2D93">
      <w:pPr>
        <w:rPr>
          <w:sz w:val="22"/>
          <w:szCs w:val="22"/>
          <w:lang w:val="el-GR"/>
        </w:rPr>
      </w:pPr>
    </w:p>
    <w:p w:rsidR="006D2D93" w:rsidRPr="002518FB" w:rsidRDefault="006D2D93">
      <w:pPr>
        <w:ind w:left="567" w:hanging="567"/>
        <w:rPr>
          <w:sz w:val="22"/>
          <w:lang w:val="el-GR"/>
        </w:rPr>
      </w:pPr>
      <w:r w:rsidRPr="002518FB">
        <w:rPr>
          <w:b/>
          <w:bCs/>
          <w:sz w:val="22"/>
          <w:szCs w:val="22"/>
          <w:lang w:val="el-GR"/>
        </w:rPr>
        <w:t>5.1</w:t>
      </w:r>
      <w:r w:rsidRPr="002518FB">
        <w:rPr>
          <w:b/>
          <w:bCs/>
          <w:sz w:val="22"/>
          <w:szCs w:val="22"/>
          <w:lang w:val="el-GR"/>
        </w:rPr>
        <w:tab/>
      </w:r>
      <w:r w:rsidRPr="002518FB">
        <w:rPr>
          <w:b/>
          <w:bCs/>
          <w:sz w:val="22"/>
          <w:lang w:val="el-GR"/>
        </w:rPr>
        <w:t>Φαρμακοδυναμικές ιδιότητες</w:t>
      </w:r>
    </w:p>
    <w:p w:rsidR="006D2D93" w:rsidRPr="002518FB" w:rsidRDefault="006D2D93">
      <w:pPr>
        <w:pStyle w:val="BodyText"/>
        <w:rPr>
          <w:strike/>
          <w:lang w:val="el-GR"/>
        </w:rPr>
      </w:pPr>
    </w:p>
    <w:p w:rsidR="002A1C2E" w:rsidRPr="002518FB" w:rsidRDefault="006D2D93">
      <w:pPr>
        <w:rPr>
          <w:sz w:val="22"/>
          <w:lang w:val="el-GR"/>
        </w:rPr>
      </w:pPr>
      <w:proofErr w:type="spellStart"/>
      <w:r w:rsidRPr="002518FB">
        <w:rPr>
          <w:sz w:val="22"/>
          <w:lang w:val="el-GR"/>
        </w:rPr>
        <w:t>Φαρμακοθεραπευτική</w:t>
      </w:r>
      <w:proofErr w:type="spellEnd"/>
      <w:r w:rsidRPr="002518FB">
        <w:rPr>
          <w:sz w:val="22"/>
          <w:lang w:val="el-GR"/>
        </w:rPr>
        <w:t xml:space="preserve"> κατηγορία: </w:t>
      </w:r>
      <w:r w:rsidR="008974D2" w:rsidRPr="002518FB">
        <w:rPr>
          <w:sz w:val="22"/>
          <w:lang w:val="el-GR"/>
        </w:rPr>
        <w:t>Κ</w:t>
      </w:r>
      <w:r w:rsidRPr="002518FB">
        <w:rPr>
          <w:sz w:val="22"/>
          <w:lang w:val="el-GR"/>
        </w:rPr>
        <w:t xml:space="preserve">εντρικά δρώντα συμπαθητικομιμητικά φάρμακα. </w:t>
      </w:r>
    </w:p>
    <w:p w:rsidR="006D2D93" w:rsidRPr="002518FB" w:rsidRDefault="005307FF">
      <w:pPr>
        <w:rPr>
          <w:sz w:val="22"/>
          <w:lang w:val="el-GR"/>
        </w:rPr>
      </w:pPr>
      <w:r w:rsidRPr="002518FB">
        <w:rPr>
          <w:sz w:val="22"/>
          <w:lang w:val="el-GR"/>
        </w:rPr>
        <w:t>κ</w:t>
      </w:r>
      <w:r w:rsidR="006D2D93" w:rsidRPr="002518FB">
        <w:rPr>
          <w:sz w:val="22"/>
          <w:lang w:val="el-GR"/>
        </w:rPr>
        <w:t xml:space="preserve">ωδικός </w:t>
      </w:r>
      <w:r w:rsidR="000F3434" w:rsidRPr="002518FB">
        <w:rPr>
          <w:sz w:val="22"/>
          <w:lang w:val="el-GR"/>
        </w:rPr>
        <w:t>ATC</w:t>
      </w:r>
      <w:r w:rsidR="006D2D93" w:rsidRPr="002518FB">
        <w:rPr>
          <w:sz w:val="22"/>
          <w:lang w:val="el-GR"/>
        </w:rPr>
        <w:t xml:space="preserve">: </w:t>
      </w:r>
      <w:r w:rsidR="000F3434" w:rsidRPr="002518FB">
        <w:rPr>
          <w:sz w:val="22"/>
          <w:lang w:val="el-GR"/>
        </w:rPr>
        <w:t>N</w:t>
      </w:r>
      <w:r w:rsidR="006D2D93" w:rsidRPr="002518FB">
        <w:rPr>
          <w:sz w:val="22"/>
          <w:lang w:val="el-GR"/>
        </w:rPr>
        <w:t>06</w:t>
      </w:r>
      <w:r w:rsidR="000F3434" w:rsidRPr="002518FB">
        <w:rPr>
          <w:sz w:val="22"/>
          <w:lang w:val="el-GR"/>
        </w:rPr>
        <w:t>BA</w:t>
      </w:r>
      <w:r w:rsidR="006D2D93" w:rsidRPr="002518FB">
        <w:rPr>
          <w:sz w:val="22"/>
          <w:lang w:val="el-GR"/>
        </w:rPr>
        <w:t>9.</w:t>
      </w:r>
    </w:p>
    <w:p w:rsidR="006D2D93" w:rsidRPr="002518FB" w:rsidRDefault="006D2D93">
      <w:pPr>
        <w:rPr>
          <w:sz w:val="22"/>
          <w:lang w:val="el-GR"/>
        </w:rPr>
      </w:pPr>
    </w:p>
    <w:p w:rsidR="002E48C8" w:rsidRPr="002518FB" w:rsidRDefault="002E48C8" w:rsidP="002E48C8">
      <w:pPr>
        <w:rPr>
          <w:u w:val="single"/>
          <w:lang w:val="el-GR"/>
        </w:rPr>
      </w:pPr>
      <w:r w:rsidRPr="002518FB">
        <w:rPr>
          <w:sz w:val="22"/>
          <w:szCs w:val="22"/>
          <w:u w:val="single"/>
          <w:lang w:val="el-GR" w:eastAsia="el-GR"/>
        </w:rPr>
        <w:t>Μηχανισμός δράσης και φαρμακοδυναμικές επιδράσεις</w:t>
      </w:r>
    </w:p>
    <w:p w:rsidR="002E48C8" w:rsidRPr="002518FB" w:rsidRDefault="002E48C8">
      <w:pPr>
        <w:rPr>
          <w:sz w:val="22"/>
          <w:lang w:val="el-GR"/>
        </w:rPr>
      </w:pPr>
    </w:p>
    <w:p w:rsidR="00804D7D" w:rsidRPr="002518FB" w:rsidRDefault="006D2D93">
      <w:pPr>
        <w:rPr>
          <w:sz w:val="22"/>
          <w:lang w:val="el-GR"/>
        </w:rPr>
      </w:pPr>
      <w:r w:rsidRPr="002518FB">
        <w:rPr>
          <w:sz w:val="22"/>
          <w:lang w:val="el-GR"/>
        </w:rPr>
        <w:t xml:space="preserve">Η </w:t>
      </w:r>
      <w:proofErr w:type="spellStart"/>
      <w:r w:rsidRPr="002518FB">
        <w:rPr>
          <w:sz w:val="22"/>
          <w:szCs w:val="22"/>
          <w:lang w:val="el-GR"/>
        </w:rPr>
        <w:t>ατομοξετίνη</w:t>
      </w:r>
      <w:proofErr w:type="spellEnd"/>
      <w:r w:rsidRPr="002518FB">
        <w:rPr>
          <w:sz w:val="22"/>
          <w:szCs w:val="22"/>
          <w:lang w:val="el-GR"/>
        </w:rPr>
        <w:t xml:space="preserve"> είναι ένας ιδιαίτερα εκλεκτικός και ισχυρός αναστολέας των αντλιών </w:t>
      </w:r>
      <w:proofErr w:type="spellStart"/>
      <w:r w:rsidRPr="002518FB">
        <w:rPr>
          <w:sz w:val="22"/>
          <w:szCs w:val="22"/>
          <w:lang w:val="el-GR"/>
        </w:rPr>
        <w:t>επαναπρόσληψης</w:t>
      </w:r>
      <w:proofErr w:type="spellEnd"/>
      <w:r w:rsidRPr="002518FB">
        <w:rPr>
          <w:sz w:val="22"/>
          <w:szCs w:val="22"/>
          <w:lang w:val="el-GR"/>
        </w:rPr>
        <w:t xml:space="preserve"> της </w:t>
      </w:r>
      <w:proofErr w:type="spellStart"/>
      <w:r w:rsidRPr="002518FB">
        <w:rPr>
          <w:sz w:val="22"/>
          <w:szCs w:val="22"/>
          <w:lang w:val="el-GR"/>
        </w:rPr>
        <w:t>νοραδρεναλίνης</w:t>
      </w:r>
      <w:proofErr w:type="spellEnd"/>
      <w:r w:rsidRPr="002518FB">
        <w:rPr>
          <w:sz w:val="22"/>
          <w:szCs w:val="22"/>
          <w:lang w:val="el-GR"/>
        </w:rPr>
        <w:t xml:space="preserve"> του </w:t>
      </w:r>
      <w:proofErr w:type="spellStart"/>
      <w:r w:rsidRPr="002518FB">
        <w:rPr>
          <w:sz w:val="22"/>
          <w:szCs w:val="22"/>
          <w:lang w:val="el-GR"/>
        </w:rPr>
        <w:t>προσυναπτικού</w:t>
      </w:r>
      <w:proofErr w:type="spellEnd"/>
      <w:r w:rsidRPr="002518FB">
        <w:rPr>
          <w:sz w:val="22"/>
          <w:szCs w:val="22"/>
          <w:lang w:val="el-GR"/>
        </w:rPr>
        <w:t xml:space="preserve"> νευρώνα</w:t>
      </w:r>
      <w:r w:rsidRPr="002518FB">
        <w:rPr>
          <w:sz w:val="22"/>
          <w:lang w:val="el-GR"/>
        </w:rPr>
        <w:t xml:space="preserve"> που θεωρείται ότι αποτελεί το μηχανισμό δράσης της, χωρίς να επηρεάζει άμεσα τις αντλίες </w:t>
      </w:r>
      <w:proofErr w:type="spellStart"/>
      <w:r w:rsidRPr="002518FB">
        <w:rPr>
          <w:sz w:val="22"/>
          <w:lang w:val="el-GR"/>
        </w:rPr>
        <w:t>επαναπρόσληψης</w:t>
      </w:r>
      <w:proofErr w:type="spellEnd"/>
      <w:r w:rsidRPr="002518FB">
        <w:rPr>
          <w:sz w:val="22"/>
          <w:lang w:val="el-GR"/>
        </w:rPr>
        <w:t xml:space="preserve"> της </w:t>
      </w:r>
      <w:proofErr w:type="spellStart"/>
      <w:r w:rsidRPr="002518FB">
        <w:rPr>
          <w:sz w:val="22"/>
          <w:lang w:val="el-GR"/>
        </w:rPr>
        <w:t>σεροτονίνης</w:t>
      </w:r>
      <w:proofErr w:type="spellEnd"/>
      <w:r w:rsidRPr="002518FB">
        <w:rPr>
          <w:sz w:val="22"/>
          <w:lang w:val="el-GR"/>
        </w:rPr>
        <w:t xml:space="preserve"> ή της </w:t>
      </w:r>
      <w:proofErr w:type="spellStart"/>
      <w:r w:rsidRPr="002518FB">
        <w:rPr>
          <w:sz w:val="22"/>
          <w:lang w:val="el-GR"/>
        </w:rPr>
        <w:t>ντοπαμίνης</w:t>
      </w:r>
      <w:proofErr w:type="spellEnd"/>
      <w:r w:rsidRPr="002518FB">
        <w:rPr>
          <w:sz w:val="22"/>
          <w:lang w:val="el-GR"/>
        </w:rPr>
        <w:t xml:space="preserve">. Η </w:t>
      </w:r>
      <w:proofErr w:type="spellStart"/>
      <w:r w:rsidRPr="002518FB">
        <w:rPr>
          <w:sz w:val="22"/>
          <w:szCs w:val="22"/>
          <w:lang w:val="el-GR"/>
        </w:rPr>
        <w:t>ατομοξετίνη</w:t>
      </w:r>
      <w:proofErr w:type="spellEnd"/>
      <w:r w:rsidRPr="002518FB">
        <w:rPr>
          <w:sz w:val="22"/>
          <w:lang w:val="el-GR"/>
        </w:rPr>
        <w:t xml:space="preserve"> έχει ελάχιστη χημική συγγένεια για άλλους </w:t>
      </w:r>
      <w:proofErr w:type="spellStart"/>
      <w:r w:rsidRPr="002518FB">
        <w:rPr>
          <w:sz w:val="22"/>
          <w:lang w:val="el-GR"/>
        </w:rPr>
        <w:t>νοραδρενεργικούς</w:t>
      </w:r>
      <w:proofErr w:type="spellEnd"/>
      <w:r w:rsidRPr="002518FB">
        <w:rPr>
          <w:sz w:val="22"/>
          <w:lang w:val="el-GR"/>
        </w:rPr>
        <w:t xml:space="preserve"> υποδοχείς ή για άλλες </w:t>
      </w:r>
      <w:proofErr w:type="spellStart"/>
      <w:r w:rsidRPr="002518FB">
        <w:rPr>
          <w:sz w:val="22"/>
          <w:lang w:val="el-GR"/>
        </w:rPr>
        <w:t>νευροδιαβιβαστικές</w:t>
      </w:r>
      <w:proofErr w:type="spellEnd"/>
      <w:r w:rsidRPr="002518FB">
        <w:rPr>
          <w:sz w:val="22"/>
          <w:lang w:val="el-GR"/>
        </w:rPr>
        <w:t xml:space="preserve"> αντλίες ή υποδοχείς. Η </w:t>
      </w:r>
      <w:proofErr w:type="spellStart"/>
      <w:r w:rsidRPr="002518FB">
        <w:rPr>
          <w:sz w:val="22"/>
          <w:szCs w:val="22"/>
          <w:lang w:val="el-GR"/>
        </w:rPr>
        <w:t>ατομοξετίνη</w:t>
      </w:r>
      <w:proofErr w:type="spellEnd"/>
      <w:r w:rsidRPr="002518FB">
        <w:rPr>
          <w:sz w:val="22"/>
          <w:lang w:val="el-GR"/>
        </w:rPr>
        <w:t xml:space="preserve"> έχει δύο κύριους οξειδωτικούς μεταβολίτες: την 4-υδροξυατομοξετίνη και την </w:t>
      </w:r>
      <w:r w:rsidR="000F3434" w:rsidRPr="002518FB">
        <w:rPr>
          <w:sz w:val="22"/>
          <w:lang w:val="el-GR"/>
        </w:rPr>
        <w:t>N</w:t>
      </w:r>
      <w:r w:rsidRPr="002518FB">
        <w:rPr>
          <w:sz w:val="22"/>
          <w:lang w:val="el-GR"/>
        </w:rPr>
        <w:t>-</w:t>
      </w:r>
      <w:proofErr w:type="spellStart"/>
      <w:r w:rsidRPr="002518FB">
        <w:rPr>
          <w:sz w:val="22"/>
          <w:lang w:val="el-GR"/>
        </w:rPr>
        <w:t>δεσμεθυλ</w:t>
      </w:r>
      <w:r w:rsidRPr="002518FB">
        <w:rPr>
          <w:sz w:val="22"/>
          <w:szCs w:val="22"/>
          <w:lang w:val="el-GR"/>
        </w:rPr>
        <w:t>ατομοξετίνη</w:t>
      </w:r>
      <w:proofErr w:type="spellEnd"/>
      <w:r w:rsidRPr="002518FB">
        <w:rPr>
          <w:sz w:val="22"/>
          <w:lang w:val="el-GR"/>
        </w:rPr>
        <w:t xml:space="preserve">. Η 4-υδροξυατομοξετίνη είναι ισοδύναμη με την </w:t>
      </w:r>
      <w:proofErr w:type="spellStart"/>
      <w:r w:rsidRPr="002518FB">
        <w:rPr>
          <w:sz w:val="22"/>
          <w:szCs w:val="22"/>
          <w:lang w:val="el-GR"/>
        </w:rPr>
        <w:t>ατομοξετίνη</w:t>
      </w:r>
      <w:proofErr w:type="spellEnd"/>
      <w:r w:rsidRPr="002518FB">
        <w:rPr>
          <w:sz w:val="22"/>
          <w:szCs w:val="22"/>
          <w:lang w:val="el-GR"/>
        </w:rPr>
        <w:t xml:space="preserve"> ως προς την αναστολή των</w:t>
      </w:r>
      <w:r w:rsidRPr="002518FB">
        <w:rPr>
          <w:sz w:val="22"/>
          <w:lang w:val="el-GR"/>
        </w:rPr>
        <w:t xml:space="preserve"> </w:t>
      </w:r>
      <w:r w:rsidRPr="002518FB">
        <w:rPr>
          <w:sz w:val="22"/>
          <w:szCs w:val="22"/>
          <w:lang w:val="el-GR"/>
        </w:rPr>
        <w:t xml:space="preserve">αντλιών </w:t>
      </w:r>
      <w:proofErr w:type="spellStart"/>
      <w:r w:rsidRPr="002518FB">
        <w:rPr>
          <w:sz w:val="22"/>
          <w:szCs w:val="22"/>
          <w:lang w:val="el-GR"/>
        </w:rPr>
        <w:t>επαναπρόσληψης</w:t>
      </w:r>
      <w:proofErr w:type="spellEnd"/>
      <w:r w:rsidRPr="002518FB">
        <w:rPr>
          <w:sz w:val="22"/>
          <w:szCs w:val="22"/>
          <w:lang w:val="el-GR"/>
        </w:rPr>
        <w:t xml:space="preserve"> της </w:t>
      </w:r>
      <w:proofErr w:type="spellStart"/>
      <w:r w:rsidRPr="002518FB">
        <w:rPr>
          <w:sz w:val="22"/>
          <w:szCs w:val="22"/>
          <w:lang w:val="el-GR"/>
        </w:rPr>
        <w:t>νοραδρεναλίνης</w:t>
      </w:r>
      <w:proofErr w:type="spellEnd"/>
      <w:r w:rsidRPr="002518FB">
        <w:rPr>
          <w:sz w:val="22"/>
          <w:lang w:val="el-GR"/>
        </w:rPr>
        <w:t xml:space="preserve"> αλλά, αντίθετα από την </w:t>
      </w:r>
      <w:proofErr w:type="spellStart"/>
      <w:r w:rsidRPr="002518FB">
        <w:rPr>
          <w:sz w:val="22"/>
          <w:lang w:val="el-GR"/>
        </w:rPr>
        <w:t>ατομοξετίνη</w:t>
      </w:r>
      <w:proofErr w:type="spellEnd"/>
      <w:r w:rsidRPr="002518FB">
        <w:rPr>
          <w:sz w:val="22"/>
          <w:lang w:val="el-GR"/>
        </w:rPr>
        <w:t xml:space="preserve">, ο μεταβολίτης αυτός εμφανίζει επίσης κάποια ανασταλτική δραστηριότητα στην αντλία </w:t>
      </w:r>
      <w:proofErr w:type="spellStart"/>
      <w:r w:rsidRPr="002518FB">
        <w:rPr>
          <w:sz w:val="22"/>
          <w:lang w:val="el-GR"/>
        </w:rPr>
        <w:t>επαναπρόσληψης</w:t>
      </w:r>
      <w:proofErr w:type="spellEnd"/>
      <w:r w:rsidRPr="002518FB">
        <w:rPr>
          <w:sz w:val="22"/>
          <w:lang w:val="el-GR"/>
        </w:rPr>
        <w:t xml:space="preserve"> της </w:t>
      </w:r>
      <w:proofErr w:type="spellStart"/>
      <w:r w:rsidRPr="002518FB">
        <w:rPr>
          <w:sz w:val="22"/>
          <w:lang w:val="el-GR"/>
        </w:rPr>
        <w:t>σεροτονίνης</w:t>
      </w:r>
      <w:proofErr w:type="spellEnd"/>
      <w:r w:rsidRPr="002518FB">
        <w:rPr>
          <w:sz w:val="22"/>
          <w:lang w:val="el-GR"/>
        </w:rPr>
        <w:t xml:space="preserve">. Εντούτοις, οποιαδήποτε επίδραση στην αντλία αυτή είναι πιθανό να είναι ελάχιστη, αφού το μεγαλύτερο μέρος της </w:t>
      </w:r>
    </w:p>
    <w:p w:rsidR="006D2D93" w:rsidRPr="002518FB" w:rsidRDefault="006D2D93">
      <w:pPr>
        <w:rPr>
          <w:sz w:val="22"/>
          <w:lang w:val="el-GR"/>
        </w:rPr>
      </w:pPr>
      <w:r w:rsidRPr="002518FB">
        <w:rPr>
          <w:sz w:val="22"/>
          <w:lang w:val="el-GR"/>
        </w:rPr>
        <w:t>4-υδροξυατομοξετίνης περαιτέρω μεταβολίζεται έτσι ώστε να κυκλοφορεί στο πλάσμα, σε πολύ μικρότερες συγκεντρώσεις (1</w:t>
      </w:r>
      <w:r w:rsidR="00804D7D" w:rsidRPr="002518FB">
        <w:rPr>
          <w:sz w:val="22"/>
          <w:lang w:val="el-GR"/>
        </w:rPr>
        <w:t xml:space="preserve"> </w:t>
      </w:r>
      <w:r w:rsidRPr="002518FB">
        <w:rPr>
          <w:sz w:val="22"/>
          <w:lang w:val="el-GR"/>
        </w:rPr>
        <w:t xml:space="preserve">% της συγκέντρωσης της </w:t>
      </w:r>
      <w:proofErr w:type="spellStart"/>
      <w:r w:rsidRPr="002518FB">
        <w:rPr>
          <w:sz w:val="22"/>
          <w:lang w:val="el-GR"/>
        </w:rPr>
        <w:t>ατομοξετίνης</w:t>
      </w:r>
      <w:proofErr w:type="spellEnd"/>
      <w:r w:rsidRPr="002518FB">
        <w:rPr>
          <w:sz w:val="22"/>
          <w:lang w:val="el-GR"/>
        </w:rPr>
        <w:t xml:space="preserve"> σε </w:t>
      </w:r>
      <w:r w:rsidR="00B52C1B" w:rsidRPr="002518FB">
        <w:rPr>
          <w:sz w:val="22"/>
          <w:lang w:val="el-GR"/>
        </w:rPr>
        <w:t>εκτε</w:t>
      </w:r>
      <w:r w:rsidR="00387F0D" w:rsidRPr="002518FB">
        <w:rPr>
          <w:sz w:val="22"/>
          <w:lang w:val="el-GR"/>
        </w:rPr>
        <w:t>ταμένους</w:t>
      </w:r>
      <w:r w:rsidR="00FA2251" w:rsidRPr="002518FB">
        <w:rPr>
          <w:sz w:val="22"/>
          <w:lang w:val="el-GR"/>
        </w:rPr>
        <w:t xml:space="preserve"> </w:t>
      </w:r>
      <w:proofErr w:type="spellStart"/>
      <w:r w:rsidR="00FA2251" w:rsidRPr="002518FB">
        <w:rPr>
          <w:sz w:val="22"/>
          <w:lang w:val="el-GR"/>
        </w:rPr>
        <w:t>μεταβολ</w:t>
      </w:r>
      <w:r w:rsidR="00983A12" w:rsidRPr="002518FB">
        <w:rPr>
          <w:sz w:val="22"/>
          <w:lang w:val="el-GR"/>
        </w:rPr>
        <w:t>ι</w:t>
      </w:r>
      <w:r w:rsidR="00B52C1B" w:rsidRPr="002518FB">
        <w:rPr>
          <w:sz w:val="22"/>
          <w:lang w:val="el-GR"/>
        </w:rPr>
        <w:t>σ</w:t>
      </w:r>
      <w:r w:rsidR="00FA2251" w:rsidRPr="002518FB">
        <w:rPr>
          <w:sz w:val="22"/>
          <w:lang w:val="el-GR"/>
        </w:rPr>
        <w:t>τ</w:t>
      </w:r>
      <w:r w:rsidR="00983A12" w:rsidRPr="002518FB">
        <w:rPr>
          <w:sz w:val="22"/>
          <w:lang w:val="el-GR"/>
        </w:rPr>
        <w:t>έ</w:t>
      </w:r>
      <w:r w:rsidR="00FA2251" w:rsidRPr="002518FB">
        <w:rPr>
          <w:sz w:val="22"/>
          <w:lang w:val="el-GR"/>
        </w:rPr>
        <w:t>ς</w:t>
      </w:r>
      <w:proofErr w:type="spellEnd"/>
      <w:r w:rsidR="00FA2251" w:rsidRPr="002518FB">
        <w:rPr>
          <w:sz w:val="22"/>
          <w:lang w:val="el-GR"/>
        </w:rPr>
        <w:t xml:space="preserve"> </w:t>
      </w:r>
      <w:r w:rsidR="00804D7D" w:rsidRPr="002518FB">
        <w:rPr>
          <w:sz w:val="22"/>
          <w:lang w:val="el-GR"/>
        </w:rPr>
        <w:t>και 0</w:t>
      </w:r>
      <w:r w:rsidR="00834E0F" w:rsidRPr="002518FB">
        <w:rPr>
          <w:sz w:val="22"/>
          <w:lang w:val="el-GR"/>
        </w:rPr>
        <w:t>,</w:t>
      </w:r>
      <w:r w:rsidRPr="002518FB">
        <w:rPr>
          <w:sz w:val="22"/>
          <w:lang w:val="el-GR"/>
        </w:rPr>
        <w:t>1</w:t>
      </w:r>
      <w:r w:rsidR="00804D7D" w:rsidRPr="002518FB">
        <w:rPr>
          <w:sz w:val="22"/>
          <w:lang w:val="el-GR"/>
        </w:rPr>
        <w:t xml:space="preserve"> </w:t>
      </w:r>
      <w:r w:rsidRPr="002518FB">
        <w:rPr>
          <w:sz w:val="22"/>
          <w:lang w:val="el-GR"/>
        </w:rPr>
        <w:t xml:space="preserve">% </w:t>
      </w:r>
      <w:r w:rsidR="001519D8" w:rsidRPr="002518FB">
        <w:rPr>
          <w:sz w:val="22"/>
          <w:lang w:val="el-GR"/>
        </w:rPr>
        <w:t xml:space="preserve">της συγκέντρωσης της </w:t>
      </w:r>
      <w:proofErr w:type="spellStart"/>
      <w:r w:rsidR="001519D8" w:rsidRPr="002518FB">
        <w:rPr>
          <w:sz w:val="22"/>
          <w:lang w:val="el-GR"/>
        </w:rPr>
        <w:t>ατομοξετίνης</w:t>
      </w:r>
      <w:proofErr w:type="spellEnd"/>
      <w:r w:rsidR="001519D8" w:rsidRPr="002518FB">
        <w:rPr>
          <w:sz w:val="22"/>
          <w:lang w:val="el-GR"/>
        </w:rPr>
        <w:t xml:space="preserve"> </w:t>
      </w:r>
      <w:r w:rsidRPr="002518FB">
        <w:rPr>
          <w:sz w:val="22"/>
          <w:lang w:val="el-GR"/>
        </w:rPr>
        <w:t xml:space="preserve">σε </w:t>
      </w:r>
      <w:r w:rsidR="00FA2251" w:rsidRPr="002518FB">
        <w:rPr>
          <w:sz w:val="22"/>
          <w:lang w:val="el-GR"/>
        </w:rPr>
        <w:t xml:space="preserve">πτωχούς </w:t>
      </w:r>
      <w:proofErr w:type="spellStart"/>
      <w:r w:rsidR="00FA2251" w:rsidRPr="002518FB">
        <w:rPr>
          <w:sz w:val="22"/>
          <w:lang w:val="el-GR"/>
        </w:rPr>
        <w:t>μεταβολ</w:t>
      </w:r>
      <w:r w:rsidR="00983A12" w:rsidRPr="002518FB">
        <w:rPr>
          <w:sz w:val="22"/>
          <w:lang w:val="el-GR"/>
        </w:rPr>
        <w:t>ι</w:t>
      </w:r>
      <w:r w:rsidR="00B52C1B" w:rsidRPr="002518FB">
        <w:rPr>
          <w:sz w:val="22"/>
          <w:lang w:val="el-GR"/>
        </w:rPr>
        <w:t>σ</w:t>
      </w:r>
      <w:r w:rsidR="00FA2251" w:rsidRPr="002518FB">
        <w:rPr>
          <w:sz w:val="22"/>
          <w:lang w:val="el-GR"/>
        </w:rPr>
        <w:t>τ</w:t>
      </w:r>
      <w:r w:rsidR="00983A12" w:rsidRPr="002518FB">
        <w:rPr>
          <w:sz w:val="22"/>
          <w:lang w:val="el-GR"/>
        </w:rPr>
        <w:t>έ</w:t>
      </w:r>
      <w:r w:rsidR="00FA2251" w:rsidRPr="002518FB">
        <w:rPr>
          <w:sz w:val="22"/>
          <w:lang w:val="el-GR"/>
        </w:rPr>
        <w:t>ς</w:t>
      </w:r>
      <w:proofErr w:type="spellEnd"/>
      <w:r w:rsidRPr="002518FB">
        <w:rPr>
          <w:sz w:val="22"/>
          <w:lang w:val="el-GR"/>
        </w:rPr>
        <w:t xml:space="preserve">). Η </w:t>
      </w:r>
      <w:r w:rsidR="000F3434" w:rsidRPr="002518FB">
        <w:rPr>
          <w:sz w:val="22"/>
          <w:lang w:val="el-GR"/>
        </w:rPr>
        <w:t>N</w:t>
      </w:r>
      <w:r w:rsidRPr="002518FB">
        <w:rPr>
          <w:sz w:val="22"/>
          <w:lang w:val="el-GR"/>
        </w:rPr>
        <w:t>-δεσμεθυλ</w:t>
      </w:r>
      <w:r w:rsidRPr="002518FB">
        <w:rPr>
          <w:sz w:val="22"/>
          <w:szCs w:val="22"/>
          <w:lang w:val="el-GR"/>
        </w:rPr>
        <w:t>ατομοξετίνη</w:t>
      </w:r>
      <w:r w:rsidRPr="002518FB">
        <w:rPr>
          <w:sz w:val="22"/>
          <w:lang w:val="el-GR"/>
        </w:rPr>
        <w:t xml:space="preserve"> έχει ουσιαστικά μικρότερη φαρμακολογική δραστικότητα σε σύγκριση με την </w:t>
      </w:r>
      <w:proofErr w:type="spellStart"/>
      <w:r w:rsidRPr="002518FB">
        <w:rPr>
          <w:sz w:val="22"/>
          <w:szCs w:val="22"/>
          <w:lang w:val="el-GR"/>
        </w:rPr>
        <w:t>ατομοξετίνη</w:t>
      </w:r>
      <w:proofErr w:type="spellEnd"/>
      <w:r w:rsidRPr="002518FB">
        <w:rPr>
          <w:sz w:val="22"/>
          <w:lang w:val="el-GR"/>
        </w:rPr>
        <w:t>. Κυκλοφορεί στο πλάσμα σε χαμηλότερες συγκεντρώσεις στα άτομα με εκτενή μεταβολισμό και σε συγκρίσιμες συγκεντρώσεις με την μητρική ουσία στα άτομα με ανεπαρκή μεταβολισμό σε σταθερή κατάσταση.</w:t>
      </w:r>
    </w:p>
    <w:p w:rsidR="006D2D93" w:rsidRPr="002518FB" w:rsidRDefault="006D2D93">
      <w:pPr>
        <w:rPr>
          <w:sz w:val="22"/>
          <w:lang w:val="el-GR"/>
        </w:rPr>
      </w:pPr>
    </w:p>
    <w:p w:rsidR="006D2D93" w:rsidRPr="002518FB" w:rsidRDefault="006D2D93">
      <w:pPr>
        <w:rPr>
          <w:sz w:val="22"/>
          <w:lang w:val="el-GR"/>
        </w:rPr>
      </w:pPr>
      <w:r w:rsidRPr="002518FB">
        <w:rPr>
          <w:sz w:val="22"/>
          <w:lang w:val="el-GR"/>
        </w:rPr>
        <w:t xml:space="preserve">Η </w:t>
      </w:r>
      <w:proofErr w:type="spellStart"/>
      <w:r w:rsidRPr="002518FB">
        <w:rPr>
          <w:sz w:val="22"/>
          <w:szCs w:val="22"/>
          <w:lang w:val="el-GR"/>
        </w:rPr>
        <w:t>ατομοξετίνη</w:t>
      </w:r>
      <w:proofErr w:type="spellEnd"/>
      <w:r w:rsidRPr="002518FB">
        <w:rPr>
          <w:sz w:val="22"/>
          <w:szCs w:val="22"/>
          <w:lang w:val="el-GR"/>
        </w:rPr>
        <w:t xml:space="preserve"> δεν είναι ένα </w:t>
      </w:r>
      <w:r w:rsidRPr="002518FB">
        <w:rPr>
          <w:sz w:val="22"/>
          <w:lang w:val="el-GR"/>
        </w:rPr>
        <w:t>ψυχοδιεγερτικό και δεν είνα</w:t>
      </w:r>
      <w:r w:rsidR="00804D7D" w:rsidRPr="002518FB">
        <w:rPr>
          <w:sz w:val="22"/>
          <w:lang w:val="el-GR"/>
        </w:rPr>
        <w:t xml:space="preserve">ι ένα παράγωγο αμφεταμίνης. </w:t>
      </w:r>
      <w:r w:rsidRPr="002518FB">
        <w:rPr>
          <w:sz w:val="22"/>
          <w:lang w:val="el-GR"/>
        </w:rPr>
        <w:t xml:space="preserve">Σε μία τυχαιοποιημένης κατανομής διπλή-τυφλή ελεγχόμενη με εικονικό φάρμακο κλινική μελέτη, ενδεχόμενης κατάχρησης σε ενήλικες ασθενείς, κατά την οποία συγκρίθηκαν οι επιδράσεις της </w:t>
      </w:r>
      <w:proofErr w:type="spellStart"/>
      <w:r w:rsidRPr="002518FB">
        <w:rPr>
          <w:sz w:val="22"/>
          <w:szCs w:val="22"/>
          <w:lang w:val="el-GR"/>
        </w:rPr>
        <w:lastRenderedPageBreak/>
        <w:t>ατομοξετίνης</w:t>
      </w:r>
      <w:proofErr w:type="spellEnd"/>
      <w:r w:rsidRPr="002518FB">
        <w:rPr>
          <w:sz w:val="22"/>
          <w:szCs w:val="22"/>
          <w:lang w:val="el-GR"/>
        </w:rPr>
        <w:t xml:space="preserve"> και του</w:t>
      </w:r>
      <w:r w:rsidRPr="002518FB">
        <w:rPr>
          <w:sz w:val="22"/>
          <w:lang w:val="el-GR"/>
        </w:rPr>
        <w:t xml:space="preserve"> εικονικού φάρμακου, η </w:t>
      </w:r>
      <w:proofErr w:type="spellStart"/>
      <w:r w:rsidRPr="002518FB">
        <w:rPr>
          <w:sz w:val="22"/>
          <w:szCs w:val="22"/>
          <w:lang w:val="el-GR"/>
        </w:rPr>
        <w:t>ατομοξετίνη</w:t>
      </w:r>
      <w:proofErr w:type="spellEnd"/>
      <w:r w:rsidRPr="002518FB">
        <w:rPr>
          <w:sz w:val="22"/>
          <w:szCs w:val="22"/>
          <w:lang w:val="el-GR"/>
        </w:rPr>
        <w:t xml:space="preserve"> δεν συσχετίστηκε με ανταπόκριση που να δηλώνει</w:t>
      </w:r>
      <w:r w:rsidRPr="002518FB">
        <w:rPr>
          <w:sz w:val="22"/>
          <w:lang w:val="el-GR"/>
        </w:rPr>
        <w:t xml:space="preserve"> διεγερτικές ή </w:t>
      </w:r>
      <w:proofErr w:type="spellStart"/>
      <w:r w:rsidRPr="002518FB">
        <w:rPr>
          <w:sz w:val="22"/>
          <w:lang w:val="el-GR"/>
        </w:rPr>
        <w:t>ευφοριογόνες</w:t>
      </w:r>
      <w:proofErr w:type="spellEnd"/>
      <w:r w:rsidRPr="002518FB">
        <w:rPr>
          <w:sz w:val="22"/>
          <w:lang w:val="el-GR"/>
        </w:rPr>
        <w:t xml:space="preserve"> ιδιότητες.  </w:t>
      </w:r>
    </w:p>
    <w:p w:rsidR="006D2D93" w:rsidRPr="002518FB" w:rsidRDefault="006D2D93">
      <w:pPr>
        <w:rPr>
          <w:sz w:val="22"/>
          <w:lang w:val="el-GR"/>
        </w:rPr>
      </w:pPr>
    </w:p>
    <w:p w:rsidR="002E48C8" w:rsidRPr="002518FB" w:rsidRDefault="002E48C8" w:rsidP="002E48C8">
      <w:pPr>
        <w:rPr>
          <w:u w:val="single"/>
          <w:lang w:val="el-GR"/>
        </w:rPr>
      </w:pPr>
      <w:r w:rsidRPr="002518FB">
        <w:rPr>
          <w:sz w:val="22"/>
          <w:szCs w:val="22"/>
          <w:u w:val="single"/>
          <w:lang w:val="el-GR" w:eastAsia="el-GR"/>
        </w:rPr>
        <w:t>Κλινική αποτελεσματικότητα και ασφάλεια</w:t>
      </w:r>
    </w:p>
    <w:p w:rsidR="002E48C8" w:rsidRPr="002518FB" w:rsidRDefault="002E48C8" w:rsidP="002E48C8">
      <w:pPr>
        <w:rPr>
          <w:u w:val="single"/>
          <w:lang w:val="el-GR"/>
        </w:rPr>
      </w:pPr>
      <w:r w:rsidRPr="002518FB">
        <w:rPr>
          <w:sz w:val="22"/>
          <w:szCs w:val="22"/>
          <w:u w:val="single"/>
          <w:lang w:val="el-GR" w:eastAsia="el-GR"/>
        </w:rPr>
        <w:t>Παιδιατρικός Πληθυσμός</w:t>
      </w:r>
    </w:p>
    <w:p w:rsidR="006D2D93" w:rsidRPr="002518FB" w:rsidRDefault="006D2D93">
      <w:pPr>
        <w:rPr>
          <w:bCs/>
          <w:iCs/>
          <w:sz w:val="22"/>
          <w:highlight w:val="green"/>
          <w:lang w:val="el-GR"/>
        </w:rPr>
      </w:pPr>
      <w:r w:rsidRPr="002518FB">
        <w:rPr>
          <w:bCs/>
          <w:iCs/>
          <w:sz w:val="22"/>
          <w:lang w:val="el-GR"/>
        </w:rPr>
        <w:t xml:space="preserve">Το </w:t>
      </w:r>
      <w:proofErr w:type="spellStart"/>
      <w:r w:rsidR="000F3434" w:rsidRPr="002518FB">
        <w:rPr>
          <w:sz w:val="22"/>
          <w:lang w:val="el-GR"/>
        </w:rPr>
        <w:t>Strattera</w:t>
      </w:r>
      <w:proofErr w:type="spellEnd"/>
      <w:r w:rsidRPr="002518FB">
        <w:rPr>
          <w:bCs/>
          <w:iCs/>
          <w:sz w:val="22"/>
          <w:lang w:val="el-GR"/>
        </w:rPr>
        <w:t xml:space="preserve"> έχει αξιολογηθεί σε κλινικές μελέτες </w:t>
      </w:r>
      <w:r w:rsidR="004E6953" w:rsidRPr="002518FB">
        <w:rPr>
          <w:bCs/>
          <w:iCs/>
          <w:sz w:val="22"/>
          <w:lang w:val="el-GR"/>
        </w:rPr>
        <w:t xml:space="preserve">με </w:t>
      </w:r>
      <w:r w:rsidRPr="002518FB">
        <w:rPr>
          <w:bCs/>
          <w:iCs/>
          <w:sz w:val="22"/>
          <w:lang w:val="el-GR"/>
        </w:rPr>
        <w:t xml:space="preserve">πάνω από </w:t>
      </w:r>
      <w:r w:rsidR="004E6953" w:rsidRPr="002518FB">
        <w:rPr>
          <w:bCs/>
          <w:iCs/>
          <w:sz w:val="22"/>
          <w:lang w:val="el-GR"/>
        </w:rPr>
        <w:t>5</w:t>
      </w:r>
      <w:r w:rsidRPr="002518FB">
        <w:rPr>
          <w:bCs/>
          <w:iCs/>
          <w:sz w:val="22"/>
          <w:lang w:val="el-GR"/>
        </w:rPr>
        <w:t xml:space="preserve">.000 παιδιά και εφήβους με ΔΕΠΥ. Η αποτελεσματικότητα του </w:t>
      </w:r>
      <w:proofErr w:type="spellStart"/>
      <w:r w:rsidR="000F3434" w:rsidRPr="002518FB">
        <w:rPr>
          <w:sz w:val="22"/>
          <w:lang w:val="el-GR"/>
        </w:rPr>
        <w:t>Strattera</w:t>
      </w:r>
      <w:proofErr w:type="spellEnd"/>
      <w:r w:rsidRPr="002518FB">
        <w:rPr>
          <w:bCs/>
          <w:iCs/>
          <w:sz w:val="22"/>
          <w:lang w:val="el-GR"/>
        </w:rPr>
        <w:t xml:space="preserve"> στην οξεία φάση θεραπείας της ΔΕΠΥ </w:t>
      </w:r>
      <w:r w:rsidR="00834E0F" w:rsidRPr="002518FB">
        <w:rPr>
          <w:bCs/>
          <w:iCs/>
          <w:sz w:val="22"/>
          <w:lang w:val="el-GR"/>
        </w:rPr>
        <w:t xml:space="preserve">αρχικά </w:t>
      </w:r>
      <w:r w:rsidRPr="002518FB">
        <w:rPr>
          <w:bCs/>
          <w:iCs/>
          <w:sz w:val="22"/>
          <w:lang w:val="el-GR"/>
        </w:rPr>
        <w:t xml:space="preserve">αποδείχθηκε σε έξι τυχαιοποιημένης κατανομής διπλές-τυφλές ελεγχόμενες με εικονικό φάρμακο κλινικές μελέτες διάρκειας έξι έως εννέα εβδομάδων. Τα σημεία και συμπτώματα της ΔΕΠΥ αξιολογήθηκαν με μία σύγκριση της μέσης μεταβολής από την αρχική έως την τελική εκτίμηση για τους ασθενείς που έλαβαν </w:t>
      </w:r>
      <w:proofErr w:type="spellStart"/>
      <w:r w:rsidR="000F3434" w:rsidRPr="002518FB">
        <w:rPr>
          <w:sz w:val="22"/>
          <w:lang w:val="el-GR"/>
        </w:rPr>
        <w:t>Strattera</w:t>
      </w:r>
      <w:proofErr w:type="spellEnd"/>
      <w:r w:rsidRPr="002518FB">
        <w:rPr>
          <w:bCs/>
          <w:iCs/>
          <w:sz w:val="22"/>
          <w:lang w:val="el-GR"/>
        </w:rPr>
        <w:t xml:space="preserve"> και εκείνους που έλαβαν εικονικό φάρμακο. Σε καθεμία από τις έξι κλινικές μελέτες, η </w:t>
      </w:r>
      <w:proofErr w:type="spellStart"/>
      <w:r w:rsidRPr="002518FB">
        <w:rPr>
          <w:sz w:val="22"/>
          <w:szCs w:val="22"/>
          <w:lang w:val="el-GR"/>
        </w:rPr>
        <w:t>ατομοξετίνη</w:t>
      </w:r>
      <w:proofErr w:type="spellEnd"/>
      <w:r w:rsidRPr="002518FB">
        <w:rPr>
          <w:sz w:val="22"/>
          <w:szCs w:val="22"/>
          <w:lang w:val="el-GR"/>
        </w:rPr>
        <w:t xml:space="preserve"> </w:t>
      </w:r>
      <w:r w:rsidRPr="002518FB">
        <w:rPr>
          <w:bCs/>
          <w:iCs/>
          <w:sz w:val="22"/>
          <w:lang w:val="el-GR"/>
        </w:rPr>
        <w:t xml:space="preserve">εμφάνισε στατιστικά σημαντική υπεροχή από το εικονικό φάρμακο αναφορικά με τη μείωση των σημείων και των συμπτωμάτων της ΔΕΠΥ.  </w:t>
      </w:r>
    </w:p>
    <w:p w:rsidR="006D2D93" w:rsidRPr="002518FB" w:rsidRDefault="006D2D93">
      <w:pPr>
        <w:pStyle w:val="BodyText"/>
        <w:autoSpaceDE w:val="0"/>
        <w:autoSpaceDN w:val="0"/>
        <w:adjustRightInd w:val="0"/>
        <w:spacing w:line="240" w:lineRule="atLeast"/>
        <w:rPr>
          <w:highlight w:val="green"/>
          <w:lang w:val="el-GR"/>
        </w:rPr>
      </w:pPr>
    </w:p>
    <w:p w:rsidR="006D2D93" w:rsidRPr="002518FB" w:rsidRDefault="006D2D93">
      <w:pPr>
        <w:pStyle w:val="BodyText"/>
        <w:autoSpaceDE w:val="0"/>
        <w:autoSpaceDN w:val="0"/>
        <w:adjustRightInd w:val="0"/>
        <w:spacing w:line="240" w:lineRule="atLeast"/>
        <w:rPr>
          <w:bCs w:val="0"/>
          <w:iCs w:val="0"/>
          <w:lang w:val="el-GR"/>
        </w:rPr>
      </w:pPr>
      <w:r w:rsidRPr="002518FB">
        <w:rPr>
          <w:lang w:val="el-GR"/>
        </w:rPr>
        <w:t xml:space="preserve">Επίσης, η </w:t>
      </w:r>
      <w:r w:rsidRPr="002518FB">
        <w:rPr>
          <w:bCs w:val="0"/>
          <w:iCs w:val="0"/>
          <w:lang w:val="el-GR"/>
        </w:rPr>
        <w:t xml:space="preserve">αποτελεσματικότητα </w:t>
      </w:r>
      <w:r w:rsidRPr="002518FB">
        <w:rPr>
          <w:lang w:val="el-GR"/>
        </w:rPr>
        <w:t xml:space="preserve">της </w:t>
      </w:r>
      <w:proofErr w:type="spellStart"/>
      <w:r w:rsidRPr="002518FB">
        <w:rPr>
          <w:szCs w:val="22"/>
          <w:lang w:val="el-GR"/>
        </w:rPr>
        <w:t>ατομοξετίνης</w:t>
      </w:r>
      <w:proofErr w:type="spellEnd"/>
      <w:r w:rsidRPr="002518FB">
        <w:rPr>
          <w:szCs w:val="22"/>
          <w:lang w:val="el-GR"/>
        </w:rPr>
        <w:t xml:space="preserve"> στη διατήρηση της ανταπόκρισης των συμπτωμάτων αποδείχθηκε σε μία </w:t>
      </w:r>
      <w:r w:rsidRPr="002518FB">
        <w:rPr>
          <w:lang w:val="el-GR"/>
        </w:rPr>
        <w:t>ελεγχόμενη με εικονικό φάρμακο κλινική μελέτη, διάρκειας ενός (1) έτους, με περισσότερ</w:t>
      </w:r>
      <w:r w:rsidR="002E48C8" w:rsidRPr="002518FB">
        <w:rPr>
          <w:lang w:val="el-GR"/>
        </w:rPr>
        <w:t>α</w:t>
      </w:r>
      <w:r w:rsidRPr="002518FB">
        <w:rPr>
          <w:lang w:val="el-GR"/>
        </w:rPr>
        <w:t xml:space="preserve"> από 400 </w:t>
      </w:r>
      <w:r w:rsidR="002E48C8" w:rsidRPr="002518FB">
        <w:rPr>
          <w:lang w:val="el-GR"/>
        </w:rPr>
        <w:t>παιδιά και εφήβους</w:t>
      </w:r>
      <w:r w:rsidRPr="002518FB">
        <w:rPr>
          <w:lang w:val="el-GR"/>
        </w:rPr>
        <w:t>, η οποία διεξήχθη κυρίως στην Ευρώπη (περίπου 3 μηνών ανοικτή οξείας φάσης αγωγή και κατόπιν διάρκειας 9 μηνών διπλή-τυφλή ελεγχόμενη με εικονικό φάρμακο θεραπεία συντήρησης</w:t>
      </w:r>
      <w:r w:rsidRPr="002518FB">
        <w:rPr>
          <w:bCs w:val="0"/>
          <w:iCs w:val="0"/>
          <w:lang w:val="el-GR"/>
        </w:rPr>
        <w:t>). Το ποσοστό των ασθενών που υποτροπίασαν μετά α</w:t>
      </w:r>
      <w:r w:rsidR="00804D7D" w:rsidRPr="002518FB">
        <w:rPr>
          <w:bCs w:val="0"/>
          <w:iCs w:val="0"/>
          <w:lang w:val="el-GR"/>
        </w:rPr>
        <w:t>πό 1 χρόνο ήταν 18</w:t>
      </w:r>
      <w:r w:rsidR="00B03903" w:rsidRPr="002518FB">
        <w:rPr>
          <w:bCs w:val="0"/>
          <w:iCs w:val="0"/>
          <w:lang w:val="el-GR"/>
        </w:rPr>
        <w:t>,</w:t>
      </w:r>
      <w:r w:rsidRPr="002518FB">
        <w:rPr>
          <w:bCs w:val="0"/>
          <w:iCs w:val="0"/>
          <w:lang w:val="el-GR"/>
        </w:rPr>
        <w:t>7</w:t>
      </w:r>
      <w:r w:rsidR="00804D7D" w:rsidRPr="002518FB">
        <w:rPr>
          <w:bCs w:val="0"/>
          <w:iCs w:val="0"/>
          <w:lang w:val="el-GR"/>
        </w:rPr>
        <w:t xml:space="preserve"> % και 31</w:t>
      </w:r>
      <w:r w:rsidR="00B03903" w:rsidRPr="002518FB">
        <w:rPr>
          <w:bCs w:val="0"/>
          <w:iCs w:val="0"/>
          <w:lang w:val="el-GR"/>
        </w:rPr>
        <w:t>,</w:t>
      </w:r>
      <w:r w:rsidRPr="002518FB">
        <w:rPr>
          <w:bCs w:val="0"/>
          <w:iCs w:val="0"/>
          <w:lang w:val="el-GR"/>
        </w:rPr>
        <w:t>4</w:t>
      </w:r>
      <w:r w:rsidR="00804D7D" w:rsidRPr="002518FB">
        <w:rPr>
          <w:bCs w:val="0"/>
          <w:iCs w:val="0"/>
          <w:lang w:val="el-GR"/>
        </w:rPr>
        <w:t xml:space="preserve"> </w:t>
      </w:r>
      <w:r w:rsidRPr="002518FB">
        <w:rPr>
          <w:bCs w:val="0"/>
          <w:iCs w:val="0"/>
          <w:lang w:val="el-GR"/>
        </w:rPr>
        <w:t>% (</w:t>
      </w:r>
      <w:proofErr w:type="spellStart"/>
      <w:r w:rsidRPr="002518FB">
        <w:rPr>
          <w:szCs w:val="22"/>
          <w:lang w:val="el-GR"/>
        </w:rPr>
        <w:t>ατομοξετίνη</w:t>
      </w:r>
      <w:proofErr w:type="spellEnd"/>
      <w:r w:rsidRPr="002518FB">
        <w:rPr>
          <w:szCs w:val="22"/>
          <w:lang w:val="el-GR"/>
        </w:rPr>
        <w:t xml:space="preserve"> και εικονικό φάρμακο</w:t>
      </w:r>
      <w:r w:rsidRPr="002518FB">
        <w:rPr>
          <w:bCs w:val="0"/>
          <w:iCs w:val="0"/>
          <w:lang w:val="el-GR"/>
        </w:rPr>
        <w:t xml:space="preserve">, αντίστοιχα). Μετά από 1 χρόνο θεραπείας με </w:t>
      </w:r>
      <w:proofErr w:type="spellStart"/>
      <w:r w:rsidRPr="002518FB">
        <w:rPr>
          <w:szCs w:val="22"/>
          <w:lang w:val="el-GR"/>
        </w:rPr>
        <w:t>ατομοξετίνη</w:t>
      </w:r>
      <w:proofErr w:type="spellEnd"/>
      <w:r w:rsidRPr="002518FB">
        <w:rPr>
          <w:bCs w:val="0"/>
          <w:iCs w:val="0"/>
          <w:lang w:val="el-GR"/>
        </w:rPr>
        <w:t xml:space="preserve">, οι ασθενείς που συνέχισαν την </w:t>
      </w:r>
      <w:proofErr w:type="spellStart"/>
      <w:r w:rsidRPr="002518FB">
        <w:rPr>
          <w:szCs w:val="22"/>
          <w:lang w:val="el-GR"/>
        </w:rPr>
        <w:t>ατομοξετίνη</w:t>
      </w:r>
      <w:proofErr w:type="spellEnd"/>
      <w:r w:rsidRPr="002518FB">
        <w:rPr>
          <w:szCs w:val="22"/>
          <w:lang w:val="el-GR"/>
        </w:rPr>
        <w:t xml:space="preserve"> για επιπλέον 6 μήνες είχαν μικρότερη πιθανότητα υποτροπής ή μερικής</w:t>
      </w:r>
      <w:r w:rsidRPr="002518FB">
        <w:rPr>
          <w:bCs w:val="0"/>
          <w:iCs w:val="0"/>
          <w:lang w:val="el-GR"/>
        </w:rPr>
        <w:t xml:space="preserve"> επαν</w:t>
      </w:r>
      <w:r w:rsidRPr="002518FB">
        <w:rPr>
          <w:szCs w:val="22"/>
          <w:lang w:val="el-GR"/>
        </w:rPr>
        <w:t xml:space="preserve">εμφάνισης </w:t>
      </w:r>
      <w:r w:rsidRPr="002518FB">
        <w:rPr>
          <w:bCs w:val="0"/>
          <w:iCs w:val="0"/>
          <w:lang w:val="el-GR"/>
        </w:rPr>
        <w:t>συμπτωμάτων σε σύγκριση με τους ασθενείς που διέκοψαν τη θεραπεία με δραστική ουσία και μεταφέρθηκαν σε εικονικό φάρμακο (2</w:t>
      </w:r>
      <w:r w:rsidR="00804D7D" w:rsidRPr="002518FB">
        <w:rPr>
          <w:bCs w:val="0"/>
          <w:iCs w:val="0"/>
          <w:lang w:val="el-GR"/>
        </w:rPr>
        <w:t xml:space="preserve"> </w:t>
      </w:r>
      <w:r w:rsidRPr="002518FB">
        <w:rPr>
          <w:bCs w:val="0"/>
          <w:iCs w:val="0"/>
          <w:lang w:val="el-GR"/>
        </w:rPr>
        <w:t>% έναντι 12</w:t>
      </w:r>
      <w:r w:rsidR="00804D7D" w:rsidRPr="002518FB">
        <w:rPr>
          <w:bCs w:val="0"/>
          <w:iCs w:val="0"/>
          <w:lang w:val="el-GR"/>
        </w:rPr>
        <w:t xml:space="preserve"> </w:t>
      </w:r>
      <w:r w:rsidRPr="002518FB">
        <w:rPr>
          <w:bCs w:val="0"/>
          <w:iCs w:val="0"/>
          <w:lang w:val="el-GR"/>
        </w:rPr>
        <w:t xml:space="preserve">%, αντίστοιχα). Για παιδιά και εφήβους, η περιοδική επανεκτίμηση του οφέλους της συνεχιζόμενης αγωγής κατά τη διάρκεια της μακροχρόνιας χορήγησης θα πρέπει να επανεκτιμάται. </w:t>
      </w:r>
    </w:p>
    <w:p w:rsidR="006D2D93" w:rsidRPr="002518FB" w:rsidRDefault="006D2D93">
      <w:pPr>
        <w:pStyle w:val="BodyText"/>
        <w:autoSpaceDE w:val="0"/>
        <w:autoSpaceDN w:val="0"/>
        <w:adjustRightInd w:val="0"/>
        <w:spacing w:line="240" w:lineRule="atLeast"/>
        <w:rPr>
          <w:bCs w:val="0"/>
          <w:iCs w:val="0"/>
          <w:highlight w:val="green"/>
          <w:lang w:val="el-GR"/>
        </w:rPr>
      </w:pPr>
    </w:p>
    <w:p w:rsidR="006D2D93" w:rsidRPr="002518FB" w:rsidRDefault="006D2D93">
      <w:pPr>
        <w:pStyle w:val="BodyText"/>
        <w:autoSpaceDE w:val="0"/>
        <w:autoSpaceDN w:val="0"/>
        <w:adjustRightInd w:val="0"/>
        <w:spacing w:line="240" w:lineRule="atLeast"/>
        <w:rPr>
          <w:highlight w:val="green"/>
          <w:lang w:val="el-GR"/>
        </w:rPr>
      </w:pPr>
      <w:r w:rsidRPr="002518FB">
        <w:rPr>
          <w:lang w:val="el-GR"/>
        </w:rPr>
        <w:t xml:space="preserve">Το </w:t>
      </w:r>
      <w:proofErr w:type="spellStart"/>
      <w:r w:rsidR="000F3434" w:rsidRPr="002518FB">
        <w:rPr>
          <w:lang w:val="el-GR"/>
        </w:rPr>
        <w:t>Strattera</w:t>
      </w:r>
      <w:proofErr w:type="spellEnd"/>
      <w:r w:rsidRPr="002518FB">
        <w:rPr>
          <w:lang w:val="el-GR"/>
        </w:rPr>
        <w:t xml:space="preserve"> ήταν αποτελεσματικό ως μία εφάπαξ ημερήσια δόση καθώς και σε δύο ίσες διαιρεμένες δόσεις που χορηγούνται μία το πρωί και μία αργά το απόγευμα ή νωρίς το βράδυ. Το </w:t>
      </w:r>
      <w:proofErr w:type="spellStart"/>
      <w:r w:rsidR="000F3434" w:rsidRPr="002518FB">
        <w:rPr>
          <w:lang w:val="el-GR"/>
        </w:rPr>
        <w:t>Strattera</w:t>
      </w:r>
      <w:proofErr w:type="spellEnd"/>
      <w:r w:rsidRPr="002518FB">
        <w:rPr>
          <w:lang w:val="el-GR"/>
        </w:rPr>
        <w:t xml:space="preserve"> χορηγούμενο μία φορά ημερησίως εμφάνισε στατιστικά σημαντικά μεγαλύτερη μείωση στη βαρύτητα των συμπτωμάτων της ΔΕΠΥ σε σύγκριση με το εικονικό φάρμακο σύμφωνα με την κρίση των γονέων και δασκάλων.</w:t>
      </w:r>
    </w:p>
    <w:p w:rsidR="00C7591F" w:rsidRPr="002518FB" w:rsidRDefault="00C7591F">
      <w:pPr>
        <w:rPr>
          <w:sz w:val="22"/>
          <w:lang w:val="el-GR"/>
        </w:rPr>
      </w:pPr>
    </w:p>
    <w:p w:rsidR="00C027E1" w:rsidRPr="002518FB" w:rsidRDefault="00C027E1" w:rsidP="00C027E1">
      <w:pPr>
        <w:pStyle w:val="BodyText"/>
        <w:rPr>
          <w:szCs w:val="22"/>
          <w:lang w:val="el-GR"/>
        </w:rPr>
      </w:pPr>
      <w:r w:rsidRPr="002518FB">
        <w:rPr>
          <w:lang w:val="el-GR" w:eastAsia="el-GR"/>
        </w:rPr>
        <w:t xml:space="preserve">Ο Ευρωπαϊκός Οργανισμός Φαρμάκων έχει δώσει απαλλαγή από την υποχρέωση υποβολής των αποτελεσμάτων των μελετών με το </w:t>
      </w:r>
      <w:proofErr w:type="spellStart"/>
      <w:r w:rsidRPr="002518FB">
        <w:rPr>
          <w:lang w:val="el-GR" w:eastAsia="el-GR"/>
        </w:rPr>
        <w:t>Strattera</w:t>
      </w:r>
      <w:proofErr w:type="spellEnd"/>
      <w:r w:rsidRPr="002518FB">
        <w:rPr>
          <w:lang w:val="el-GR" w:eastAsia="el-GR"/>
        </w:rPr>
        <w:t xml:space="preserve"> σε μία υποκατηγορία του παιδιατρικού πληθυσμού </w:t>
      </w:r>
      <w:r w:rsidR="00E71216" w:rsidRPr="002518FB">
        <w:rPr>
          <w:lang w:val="el-GR" w:eastAsia="el-GR"/>
        </w:rPr>
        <w:t xml:space="preserve">- </w:t>
      </w:r>
      <w:r w:rsidRPr="002518FB">
        <w:rPr>
          <w:lang w:val="el-GR" w:eastAsia="el-GR"/>
        </w:rPr>
        <w:t>ηλικίας 4 έως 6 ετών</w:t>
      </w:r>
      <w:r w:rsidR="00E71216" w:rsidRPr="002518FB">
        <w:rPr>
          <w:lang w:val="el-GR" w:eastAsia="el-GR"/>
        </w:rPr>
        <w:t xml:space="preserve"> -</w:t>
      </w:r>
      <w:r w:rsidRPr="002518FB">
        <w:rPr>
          <w:lang w:val="el-GR" w:eastAsia="el-GR"/>
        </w:rPr>
        <w:t xml:space="preserve"> στη θεραπεία της ΔΕΠΥ (βλ</w:t>
      </w:r>
      <w:r w:rsidR="004D6F23" w:rsidRPr="002518FB">
        <w:rPr>
          <w:lang w:val="el-GR" w:eastAsia="el-GR"/>
        </w:rPr>
        <w:t>έπε</w:t>
      </w:r>
      <w:r w:rsidRPr="002518FB">
        <w:rPr>
          <w:lang w:val="el-GR" w:eastAsia="el-GR"/>
        </w:rPr>
        <w:t xml:space="preserve"> παράγραφο 4.2 για πληροφορίες σχετικά με την παιδιατρική χρήση)</w:t>
      </w:r>
    </w:p>
    <w:p w:rsidR="006D2D93" w:rsidRPr="002518FB" w:rsidRDefault="006D2D93">
      <w:pPr>
        <w:rPr>
          <w:sz w:val="22"/>
          <w:lang w:val="el-GR"/>
        </w:rPr>
      </w:pPr>
    </w:p>
    <w:p w:rsidR="003B7CF9" w:rsidRPr="002518FB" w:rsidRDefault="00EB1A67">
      <w:pPr>
        <w:rPr>
          <w:sz w:val="22"/>
          <w:lang w:val="el-GR"/>
        </w:rPr>
      </w:pPr>
      <w:r w:rsidRPr="002518FB">
        <w:rPr>
          <w:i/>
          <w:sz w:val="22"/>
          <w:lang w:val="el-GR"/>
        </w:rPr>
        <w:t>Σ</w:t>
      </w:r>
      <w:r w:rsidR="0021494E" w:rsidRPr="002518FB">
        <w:rPr>
          <w:i/>
          <w:sz w:val="22"/>
          <w:lang w:val="el-GR"/>
        </w:rPr>
        <w:t>υγκριτικές μελέτες</w:t>
      </w:r>
      <w:r w:rsidRPr="002518FB">
        <w:rPr>
          <w:i/>
          <w:sz w:val="22"/>
          <w:lang w:val="el-GR"/>
        </w:rPr>
        <w:t xml:space="preserve"> με ενεργό φάρμακο</w:t>
      </w:r>
    </w:p>
    <w:p w:rsidR="003B7CF9" w:rsidRPr="002518FB" w:rsidRDefault="003B7CF9">
      <w:pPr>
        <w:rPr>
          <w:sz w:val="22"/>
          <w:lang w:val="el-GR"/>
        </w:rPr>
      </w:pPr>
      <w:r w:rsidRPr="002518FB">
        <w:rPr>
          <w:sz w:val="22"/>
          <w:lang w:val="el-GR"/>
        </w:rPr>
        <w:t xml:space="preserve">Σε μια τυχαιοποιημένη, </w:t>
      </w:r>
      <w:r w:rsidR="009850E2" w:rsidRPr="002518FB">
        <w:rPr>
          <w:sz w:val="22"/>
          <w:lang w:val="el-GR"/>
        </w:rPr>
        <w:t>διπλά</w:t>
      </w:r>
      <w:r w:rsidRPr="002518FB">
        <w:rPr>
          <w:sz w:val="22"/>
          <w:lang w:val="el-GR"/>
        </w:rPr>
        <w:t>-τυφλή</w:t>
      </w:r>
      <w:r w:rsidR="00E01D4A" w:rsidRPr="002518FB">
        <w:rPr>
          <w:sz w:val="22"/>
          <w:lang w:val="el-GR"/>
        </w:rPr>
        <w:t>,</w:t>
      </w:r>
      <w:r w:rsidRPr="002518FB">
        <w:rPr>
          <w:sz w:val="22"/>
          <w:lang w:val="el-GR"/>
        </w:rPr>
        <w:t xml:space="preserve"> </w:t>
      </w:r>
      <w:r w:rsidR="00F21C26" w:rsidRPr="002518FB">
        <w:rPr>
          <w:sz w:val="22"/>
          <w:lang w:val="el-GR"/>
        </w:rPr>
        <w:t>σε παράλληλες ομάδες, παιδιατρική μελέτη διάρκειας 6 εβδομάδων</w:t>
      </w:r>
      <w:r w:rsidR="00890B82" w:rsidRPr="002518FB">
        <w:rPr>
          <w:sz w:val="22"/>
          <w:lang w:val="el-GR"/>
        </w:rPr>
        <w:t xml:space="preserve"> </w:t>
      </w:r>
      <w:r w:rsidR="0084546E" w:rsidRPr="002518FB">
        <w:rPr>
          <w:sz w:val="22"/>
          <w:lang w:val="el-GR"/>
        </w:rPr>
        <w:t xml:space="preserve">για την εξέταση </w:t>
      </w:r>
      <w:r w:rsidR="00890B82" w:rsidRPr="002518FB">
        <w:rPr>
          <w:sz w:val="22"/>
          <w:lang w:val="el-GR"/>
        </w:rPr>
        <w:t xml:space="preserve">της μη κατωτερότητας της </w:t>
      </w:r>
      <w:proofErr w:type="spellStart"/>
      <w:r w:rsidR="00890B82" w:rsidRPr="002518FB">
        <w:rPr>
          <w:sz w:val="22"/>
          <w:lang w:val="el-GR"/>
        </w:rPr>
        <w:t>ατομοξετίνης</w:t>
      </w:r>
      <w:proofErr w:type="spellEnd"/>
      <w:r w:rsidR="0084546E" w:rsidRPr="002518FB">
        <w:rPr>
          <w:sz w:val="22"/>
          <w:lang w:val="el-GR"/>
        </w:rPr>
        <w:t xml:space="preserve"> σε σύγκριση με τη </w:t>
      </w:r>
      <w:proofErr w:type="spellStart"/>
      <w:r w:rsidR="0084546E" w:rsidRPr="002518FB">
        <w:rPr>
          <w:sz w:val="22"/>
          <w:lang w:val="el-GR"/>
        </w:rPr>
        <w:t>μεθυλφαινιδάτη</w:t>
      </w:r>
      <w:proofErr w:type="spellEnd"/>
      <w:r w:rsidR="0084546E" w:rsidRPr="002518FB">
        <w:rPr>
          <w:sz w:val="22"/>
          <w:lang w:val="el-GR"/>
        </w:rPr>
        <w:t xml:space="preserve"> </w:t>
      </w:r>
      <w:r w:rsidR="00890B82" w:rsidRPr="002518FB">
        <w:rPr>
          <w:sz w:val="22"/>
          <w:lang w:val="el-GR"/>
        </w:rPr>
        <w:t xml:space="preserve">παρατεταμένης αποδέσμευσης, </w:t>
      </w:r>
      <w:r w:rsidR="0084546E" w:rsidRPr="002518FB">
        <w:rPr>
          <w:sz w:val="22"/>
          <w:lang w:val="el-GR"/>
        </w:rPr>
        <w:t xml:space="preserve">ο συγκριτικός παράγοντας </w:t>
      </w:r>
      <w:r w:rsidR="00D74C0A" w:rsidRPr="002518FB">
        <w:rPr>
          <w:sz w:val="22"/>
          <w:lang w:val="el-GR"/>
        </w:rPr>
        <w:t xml:space="preserve">αποδείχθηκε ότι σχετίζεται με ανώτερα ποσοστά ανταπόκρισης σε σύγκριση με την </w:t>
      </w:r>
      <w:proofErr w:type="spellStart"/>
      <w:r w:rsidR="00D74C0A" w:rsidRPr="002518FB">
        <w:rPr>
          <w:sz w:val="22"/>
          <w:lang w:val="el-GR"/>
        </w:rPr>
        <w:t>ατομοξετίνη</w:t>
      </w:r>
      <w:proofErr w:type="spellEnd"/>
      <w:r w:rsidR="00D74C0A" w:rsidRPr="002518FB">
        <w:rPr>
          <w:sz w:val="22"/>
          <w:lang w:val="el-GR"/>
        </w:rPr>
        <w:t xml:space="preserve">. Το ποσοστό των ασθενών που </w:t>
      </w:r>
      <w:r w:rsidR="0084546E" w:rsidRPr="002518FB">
        <w:rPr>
          <w:sz w:val="22"/>
          <w:lang w:val="el-GR"/>
        </w:rPr>
        <w:t xml:space="preserve">ανταποκρίθηκαν </w:t>
      </w:r>
      <w:r w:rsidR="00D74C0A" w:rsidRPr="002518FB">
        <w:rPr>
          <w:sz w:val="22"/>
          <w:lang w:val="el-GR"/>
        </w:rPr>
        <w:t>ήταν 23,5% (</w:t>
      </w:r>
      <w:proofErr w:type="spellStart"/>
      <w:r w:rsidR="000F3434" w:rsidRPr="002518FB">
        <w:rPr>
          <w:sz w:val="22"/>
          <w:lang w:val="el-GR"/>
        </w:rPr>
        <w:t>placebo</w:t>
      </w:r>
      <w:proofErr w:type="spellEnd"/>
      <w:r w:rsidR="00D74C0A" w:rsidRPr="002518FB">
        <w:rPr>
          <w:sz w:val="22"/>
          <w:lang w:val="el-GR"/>
        </w:rPr>
        <w:t>), 44,6% (</w:t>
      </w:r>
      <w:proofErr w:type="spellStart"/>
      <w:r w:rsidR="00D74C0A" w:rsidRPr="002518FB">
        <w:rPr>
          <w:sz w:val="22"/>
          <w:lang w:val="el-GR"/>
        </w:rPr>
        <w:t>ατομοξετίνη</w:t>
      </w:r>
      <w:proofErr w:type="spellEnd"/>
      <w:r w:rsidR="00D74C0A" w:rsidRPr="002518FB">
        <w:rPr>
          <w:sz w:val="22"/>
          <w:lang w:val="el-GR"/>
        </w:rPr>
        <w:t>) και 56,4% (</w:t>
      </w:r>
      <w:proofErr w:type="spellStart"/>
      <w:r w:rsidR="00D74C0A" w:rsidRPr="002518FB">
        <w:rPr>
          <w:sz w:val="22"/>
          <w:lang w:val="el-GR"/>
        </w:rPr>
        <w:t>μεθυλφαι</w:t>
      </w:r>
      <w:r w:rsidR="0084546E" w:rsidRPr="002518FB">
        <w:rPr>
          <w:sz w:val="22"/>
          <w:lang w:val="el-GR"/>
        </w:rPr>
        <w:t>νι</w:t>
      </w:r>
      <w:r w:rsidR="00D74C0A" w:rsidRPr="002518FB">
        <w:rPr>
          <w:sz w:val="22"/>
          <w:lang w:val="el-GR"/>
        </w:rPr>
        <w:t>δάτη</w:t>
      </w:r>
      <w:proofErr w:type="spellEnd"/>
      <w:r w:rsidR="00D74C0A" w:rsidRPr="002518FB">
        <w:rPr>
          <w:sz w:val="22"/>
          <w:lang w:val="el-GR"/>
        </w:rPr>
        <w:t xml:space="preserve">). Τόσο η </w:t>
      </w:r>
      <w:proofErr w:type="spellStart"/>
      <w:r w:rsidR="00D74C0A" w:rsidRPr="002518FB">
        <w:rPr>
          <w:sz w:val="22"/>
          <w:lang w:val="el-GR"/>
        </w:rPr>
        <w:t>ατομοξετίνη</w:t>
      </w:r>
      <w:proofErr w:type="spellEnd"/>
      <w:r w:rsidR="00D74C0A" w:rsidRPr="002518FB">
        <w:rPr>
          <w:sz w:val="22"/>
          <w:lang w:val="el-GR"/>
        </w:rPr>
        <w:t xml:space="preserve"> όσο και </w:t>
      </w:r>
      <w:r w:rsidR="0084546E" w:rsidRPr="002518FB">
        <w:rPr>
          <w:sz w:val="22"/>
          <w:lang w:val="el-GR"/>
        </w:rPr>
        <w:t>ο συγκριτικός παράγοντας</w:t>
      </w:r>
      <w:r w:rsidR="00D74C0A" w:rsidRPr="002518FB">
        <w:rPr>
          <w:sz w:val="22"/>
          <w:lang w:val="el-GR"/>
        </w:rPr>
        <w:t xml:space="preserve"> </w:t>
      </w:r>
      <w:r w:rsidR="0084546E" w:rsidRPr="002518FB">
        <w:rPr>
          <w:sz w:val="22"/>
          <w:lang w:val="el-GR"/>
        </w:rPr>
        <w:t>ήταν στατιστικά ανώτεροι</w:t>
      </w:r>
      <w:r w:rsidR="00D74C0A" w:rsidRPr="002518FB">
        <w:rPr>
          <w:sz w:val="22"/>
          <w:lang w:val="el-GR"/>
        </w:rPr>
        <w:t xml:space="preserve"> έναντι του εικονικού φαρμάκου και η </w:t>
      </w:r>
      <w:proofErr w:type="spellStart"/>
      <w:r w:rsidR="00D74C0A" w:rsidRPr="002518FB">
        <w:rPr>
          <w:sz w:val="22"/>
          <w:lang w:val="el-GR"/>
        </w:rPr>
        <w:t>μεθυλφαι</w:t>
      </w:r>
      <w:r w:rsidR="0084546E" w:rsidRPr="002518FB">
        <w:rPr>
          <w:sz w:val="22"/>
          <w:lang w:val="el-GR"/>
        </w:rPr>
        <w:t>νι</w:t>
      </w:r>
      <w:r w:rsidR="00D74C0A" w:rsidRPr="002518FB">
        <w:rPr>
          <w:sz w:val="22"/>
          <w:lang w:val="el-GR"/>
        </w:rPr>
        <w:t>δάτη</w:t>
      </w:r>
      <w:proofErr w:type="spellEnd"/>
      <w:r w:rsidR="00D74C0A" w:rsidRPr="002518FB">
        <w:rPr>
          <w:sz w:val="22"/>
          <w:lang w:val="el-GR"/>
        </w:rPr>
        <w:t xml:space="preserve"> ήταν στατιστικά ανώτερη έναντι της </w:t>
      </w:r>
      <w:proofErr w:type="spellStart"/>
      <w:r w:rsidR="00D74C0A" w:rsidRPr="002518FB">
        <w:rPr>
          <w:sz w:val="22"/>
          <w:lang w:val="el-GR"/>
        </w:rPr>
        <w:t>ατομοξετίνης</w:t>
      </w:r>
      <w:proofErr w:type="spellEnd"/>
      <w:r w:rsidR="00D74C0A" w:rsidRPr="002518FB">
        <w:rPr>
          <w:sz w:val="22"/>
          <w:lang w:val="el-GR"/>
        </w:rPr>
        <w:t xml:space="preserve"> (</w:t>
      </w:r>
      <w:r w:rsidR="000F3434" w:rsidRPr="002518FB">
        <w:rPr>
          <w:sz w:val="22"/>
          <w:lang w:val="el-GR"/>
        </w:rPr>
        <w:t>p</w:t>
      </w:r>
      <w:r w:rsidR="00D74C0A" w:rsidRPr="002518FB">
        <w:rPr>
          <w:sz w:val="22"/>
          <w:lang w:val="el-GR"/>
        </w:rPr>
        <w:t xml:space="preserve">=0,016). Παρόλα αυτά, αυτή η μελέτη δεν περιλάμβανε τους ασθενείς </w:t>
      </w:r>
      <w:r w:rsidR="006D3EF3" w:rsidRPr="002518FB">
        <w:rPr>
          <w:sz w:val="22"/>
          <w:lang w:val="el-GR"/>
        </w:rPr>
        <w:t>που δεν ανταποκρίθηκαν.</w:t>
      </w:r>
    </w:p>
    <w:p w:rsidR="003B7CF9" w:rsidRPr="002518FB" w:rsidRDefault="003B7CF9">
      <w:pPr>
        <w:rPr>
          <w:sz w:val="22"/>
          <w:lang w:val="el-GR"/>
        </w:rPr>
      </w:pPr>
    </w:p>
    <w:p w:rsidR="007B2713" w:rsidRPr="002518FB" w:rsidRDefault="007B2713" w:rsidP="007B2713">
      <w:pPr>
        <w:spacing w:line="276" w:lineRule="auto"/>
        <w:rPr>
          <w:rFonts w:eastAsia="Calibri"/>
          <w:bCs/>
          <w:iCs/>
          <w:sz w:val="22"/>
          <w:szCs w:val="22"/>
          <w:u w:val="single"/>
          <w:lang w:val="el-GR" w:eastAsia="el-GR"/>
        </w:rPr>
      </w:pPr>
      <w:r w:rsidRPr="002518FB">
        <w:rPr>
          <w:rFonts w:eastAsia="Calibri"/>
          <w:sz w:val="22"/>
          <w:u w:val="single"/>
          <w:lang w:val="el-GR" w:eastAsia="el-GR"/>
        </w:rPr>
        <w:t>Ενήλικος πληθυσμός</w:t>
      </w:r>
    </w:p>
    <w:p w:rsidR="00DF01E1" w:rsidRPr="00006638" w:rsidRDefault="007B2713" w:rsidP="00006638">
      <w:pPr>
        <w:tabs>
          <w:tab w:val="left" w:pos="10080"/>
        </w:tabs>
        <w:spacing w:line="276" w:lineRule="auto"/>
        <w:ind w:right="252"/>
        <w:rPr>
          <w:rFonts w:eastAsia="Calibri"/>
          <w:sz w:val="22"/>
          <w:szCs w:val="22"/>
          <w:lang w:val="el-GR" w:eastAsia="el-GR"/>
        </w:rPr>
      </w:pPr>
      <w:r w:rsidRPr="002518FB">
        <w:rPr>
          <w:rFonts w:eastAsia="Calibri"/>
          <w:sz w:val="22"/>
          <w:lang w:val="el-GR" w:eastAsia="el-GR"/>
        </w:rPr>
        <w:t xml:space="preserve">Το </w:t>
      </w:r>
      <w:proofErr w:type="spellStart"/>
      <w:r w:rsidRPr="002518FB">
        <w:rPr>
          <w:rFonts w:eastAsia="Calibri"/>
          <w:sz w:val="22"/>
          <w:lang w:val="el-GR" w:eastAsia="el-GR"/>
        </w:rPr>
        <w:t>Strattera</w:t>
      </w:r>
      <w:proofErr w:type="spellEnd"/>
      <w:r w:rsidR="0047216D" w:rsidRPr="002518FB">
        <w:rPr>
          <w:rFonts w:eastAsia="Calibri"/>
          <w:sz w:val="22"/>
          <w:lang w:val="el-GR" w:eastAsia="el-GR"/>
        </w:rPr>
        <w:t>, στο πλαί</w:t>
      </w:r>
      <w:r w:rsidR="005B4E96" w:rsidRPr="002518FB">
        <w:rPr>
          <w:rFonts w:eastAsia="Calibri"/>
          <w:sz w:val="22"/>
          <w:lang w:val="el-GR" w:eastAsia="el-GR"/>
        </w:rPr>
        <w:t>σι</w:t>
      </w:r>
      <w:r w:rsidR="0047216D" w:rsidRPr="002518FB">
        <w:rPr>
          <w:rFonts w:eastAsia="Calibri"/>
          <w:sz w:val="22"/>
          <w:lang w:val="el-GR" w:eastAsia="el-GR"/>
        </w:rPr>
        <w:t xml:space="preserve">ο δοκιμών, </w:t>
      </w:r>
      <w:r w:rsidRPr="002518FB">
        <w:rPr>
          <w:rFonts w:eastAsia="Calibri"/>
          <w:sz w:val="22"/>
          <w:lang w:val="el-GR" w:eastAsia="el-GR"/>
        </w:rPr>
        <w:t xml:space="preserve">έχει μελετηθεί σε περισσότερους από 4800 ενήλικες που πληρούσαν τα διαγνωστικά κριτήρια DSM-IV για τη ΔΕΠΥ.  Η </w:t>
      </w:r>
      <w:r w:rsidR="0047216D" w:rsidRPr="002518FB">
        <w:rPr>
          <w:rFonts w:eastAsia="Calibri"/>
          <w:sz w:val="22"/>
          <w:lang w:val="el-GR" w:eastAsia="el-GR"/>
        </w:rPr>
        <w:t>άμεση</w:t>
      </w:r>
      <w:r w:rsidRPr="002518FB">
        <w:rPr>
          <w:rFonts w:eastAsia="Calibri"/>
          <w:sz w:val="22"/>
          <w:lang w:val="el-GR" w:eastAsia="el-GR"/>
        </w:rPr>
        <w:t xml:space="preserve"> αποτελεσματικότητα του </w:t>
      </w:r>
      <w:proofErr w:type="spellStart"/>
      <w:r w:rsidRPr="002518FB">
        <w:rPr>
          <w:rFonts w:eastAsia="Calibri"/>
          <w:sz w:val="22"/>
          <w:lang w:val="el-GR" w:eastAsia="el-GR"/>
        </w:rPr>
        <w:t>Strattera</w:t>
      </w:r>
      <w:proofErr w:type="spellEnd"/>
      <w:r w:rsidRPr="002518FB">
        <w:rPr>
          <w:rFonts w:eastAsia="Calibri"/>
          <w:sz w:val="22"/>
          <w:lang w:val="el-GR" w:eastAsia="el-GR"/>
        </w:rPr>
        <w:t xml:space="preserve"> στη θεραπεία των ενηλίκων </w:t>
      </w:r>
      <w:r w:rsidR="00090D63" w:rsidRPr="002518FB">
        <w:rPr>
          <w:rFonts w:eastAsia="Calibri"/>
          <w:sz w:val="22"/>
          <w:lang w:val="el-GR" w:eastAsia="el-GR"/>
        </w:rPr>
        <w:t>βασίστηκε</w:t>
      </w:r>
      <w:r w:rsidRPr="002518FB">
        <w:rPr>
          <w:rFonts w:eastAsia="Calibri"/>
          <w:sz w:val="22"/>
          <w:lang w:val="el-GR" w:eastAsia="el-GR"/>
        </w:rPr>
        <w:t xml:space="preserve"> σε έξι τυχαιοποιημένες, διπλά τυφλές, ελεγχόμενες με εικονικό φάρμακο μελέτες διάρκειας δέκα έως δεκαέξι εβδομάδων. Τα σημεία και τα συμπτώματα της ΔΕΠΥ αξιολογήθηκαν μέσω σύγκρισης της μέσης μεταβολής από την έναρξη της μελέτης έως το </w:t>
      </w:r>
      <w:r w:rsidR="00103F2F" w:rsidRPr="002518FB">
        <w:rPr>
          <w:rFonts w:eastAsia="Calibri"/>
          <w:sz w:val="22"/>
          <w:lang w:val="el-GR" w:eastAsia="el-GR"/>
        </w:rPr>
        <w:t>καταληκτικό</w:t>
      </w:r>
      <w:r w:rsidRPr="002518FB">
        <w:rPr>
          <w:rFonts w:eastAsia="Calibri"/>
          <w:sz w:val="22"/>
          <w:lang w:val="el-GR" w:eastAsia="el-GR"/>
        </w:rPr>
        <w:t xml:space="preserve"> σημείο για τους ασθενείς που λάμβαναν θεραπεία με </w:t>
      </w:r>
      <w:proofErr w:type="spellStart"/>
      <w:r w:rsidRPr="002518FB">
        <w:rPr>
          <w:rFonts w:eastAsia="Calibri"/>
          <w:sz w:val="22"/>
          <w:lang w:val="el-GR" w:eastAsia="el-GR"/>
        </w:rPr>
        <w:t>ατομοξετίνη</w:t>
      </w:r>
      <w:proofErr w:type="spellEnd"/>
      <w:r w:rsidRPr="002518FB">
        <w:rPr>
          <w:rFonts w:eastAsia="Calibri"/>
          <w:sz w:val="22"/>
          <w:lang w:val="el-GR" w:eastAsia="el-GR"/>
        </w:rPr>
        <w:t xml:space="preserve"> και τους ασθενείς που λάμβαναν θεραπεία με εικονικό φάρμακο. Σε καθεμία από τις έξι μελέτες, η </w:t>
      </w:r>
      <w:proofErr w:type="spellStart"/>
      <w:r w:rsidRPr="002518FB">
        <w:rPr>
          <w:rFonts w:eastAsia="Calibri"/>
          <w:sz w:val="22"/>
          <w:lang w:val="el-GR" w:eastAsia="el-GR"/>
        </w:rPr>
        <w:t>ατομοξετίνη</w:t>
      </w:r>
      <w:proofErr w:type="spellEnd"/>
      <w:r w:rsidRPr="002518FB">
        <w:rPr>
          <w:rFonts w:eastAsia="Calibri"/>
          <w:sz w:val="22"/>
          <w:lang w:val="el-GR" w:eastAsia="el-GR"/>
        </w:rPr>
        <w:t xml:space="preserve"> ήταν στατιστικά σημαντικά </w:t>
      </w:r>
      <w:r w:rsidR="005B4E96" w:rsidRPr="002518FB">
        <w:rPr>
          <w:rFonts w:eastAsia="Calibri"/>
          <w:sz w:val="22"/>
          <w:lang w:val="el-GR" w:eastAsia="el-GR"/>
        </w:rPr>
        <w:t>υπέρτερη</w:t>
      </w:r>
      <w:r w:rsidRPr="002518FB">
        <w:rPr>
          <w:rFonts w:eastAsia="Calibri"/>
          <w:sz w:val="22"/>
          <w:lang w:val="el-GR" w:eastAsia="el-GR"/>
        </w:rPr>
        <w:t xml:space="preserve"> </w:t>
      </w:r>
      <w:r w:rsidR="005B4E96" w:rsidRPr="002518FB">
        <w:rPr>
          <w:rFonts w:eastAsia="Calibri"/>
          <w:sz w:val="22"/>
          <w:lang w:val="el-GR" w:eastAsia="el-GR"/>
        </w:rPr>
        <w:t>του</w:t>
      </w:r>
      <w:r w:rsidRPr="002518FB">
        <w:rPr>
          <w:rFonts w:eastAsia="Calibri"/>
          <w:sz w:val="22"/>
          <w:lang w:val="el-GR" w:eastAsia="el-GR"/>
        </w:rPr>
        <w:t xml:space="preserve"> εικονικ</w:t>
      </w:r>
      <w:r w:rsidR="005B4E96" w:rsidRPr="002518FB">
        <w:rPr>
          <w:rFonts w:eastAsia="Calibri"/>
          <w:sz w:val="22"/>
          <w:lang w:val="el-GR" w:eastAsia="el-GR"/>
        </w:rPr>
        <w:t>ού</w:t>
      </w:r>
      <w:r w:rsidRPr="002518FB">
        <w:rPr>
          <w:rFonts w:eastAsia="Calibri"/>
          <w:sz w:val="22"/>
          <w:lang w:val="el-GR" w:eastAsia="el-GR"/>
        </w:rPr>
        <w:t xml:space="preserve"> φ</w:t>
      </w:r>
      <w:r w:rsidR="005B4E96" w:rsidRPr="002518FB">
        <w:rPr>
          <w:rFonts w:eastAsia="Calibri"/>
          <w:sz w:val="22"/>
          <w:lang w:val="el-GR" w:eastAsia="el-GR"/>
        </w:rPr>
        <w:t>αρμάκου,</w:t>
      </w:r>
      <w:r w:rsidRPr="002518FB">
        <w:rPr>
          <w:rFonts w:eastAsia="Calibri"/>
          <w:sz w:val="22"/>
          <w:lang w:val="el-GR" w:eastAsia="el-GR"/>
        </w:rPr>
        <w:t xml:space="preserve"> στη μείωση των </w:t>
      </w:r>
      <w:r w:rsidRPr="002518FB">
        <w:rPr>
          <w:rFonts w:eastAsia="Calibri"/>
          <w:sz w:val="22"/>
          <w:lang w:val="el-GR" w:eastAsia="el-GR"/>
        </w:rPr>
        <w:lastRenderedPageBreak/>
        <w:t xml:space="preserve">σημείων και συμπτωμάτων της ΔΕΠΥ (Πίνακας Χ). Οι ασθενείς που λάμβαναν θεραπεία με </w:t>
      </w:r>
      <w:proofErr w:type="spellStart"/>
      <w:r w:rsidRPr="002518FB">
        <w:rPr>
          <w:rFonts w:eastAsia="Calibri"/>
          <w:sz w:val="22"/>
          <w:lang w:val="el-GR" w:eastAsia="el-GR"/>
        </w:rPr>
        <w:t>ατομοξετίνη</w:t>
      </w:r>
      <w:proofErr w:type="spellEnd"/>
      <w:r w:rsidRPr="002518FB">
        <w:rPr>
          <w:rFonts w:eastAsia="Calibri"/>
          <w:sz w:val="22"/>
          <w:lang w:val="el-GR" w:eastAsia="el-GR"/>
        </w:rPr>
        <w:t xml:space="preserve"> εμφάνισαν στατιστικά σημαντικά μεγαλύτερες βελτιώσεις στη </w:t>
      </w:r>
      <w:r w:rsidR="008A25B6" w:rsidRPr="002518FB">
        <w:rPr>
          <w:rFonts w:eastAsia="Calibri"/>
          <w:sz w:val="22"/>
          <w:lang w:val="el-GR" w:eastAsia="el-GR"/>
        </w:rPr>
        <w:t xml:space="preserve">συνολική </w:t>
      </w:r>
      <w:r w:rsidRPr="002518FB">
        <w:rPr>
          <w:rFonts w:eastAsia="Calibri"/>
          <w:sz w:val="22"/>
          <w:lang w:val="el-GR" w:eastAsia="el-GR"/>
        </w:rPr>
        <w:t>κλινική εντύπωση ως προς τη βαρύτητα (CGI-S)</w:t>
      </w:r>
      <w:r w:rsidR="00103F2F" w:rsidRPr="002518FB">
        <w:rPr>
          <w:rFonts w:eastAsia="Calibri"/>
          <w:sz w:val="22"/>
          <w:lang w:val="el-GR" w:eastAsia="el-GR"/>
        </w:rPr>
        <w:t>,</w:t>
      </w:r>
      <w:r w:rsidRPr="002518FB">
        <w:rPr>
          <w:rFonts w:eastAsia="Calibri"/>
          <w:sz w:val="22"/>
          <w:lang w:val="el-GR" w:eastAsia="el-GR"/>
        </w:rPr>
        <w:t xml:space="preserve"> </w:t>
      </w:r>
      <w:r w:rsidR="008A25B6" w:rsidRPr="002518FB">
        <w:rPr>
          <w:rFonts w:eastAsia="Calibri"/>
          <w:sz w:val="22"/>
          <w:lang w:val="el-GR" w:eastAsia="el-GR"/>
        </w:rPr>
        <w:t>στο</w:t>
      </w:r>
      <w:r w:rsidRPr="002518FB">
        <w:rPr>
          <w:rFonts w:eastAsia="Calibri"/>
          <w:sz w:val="22"/>
          <w:lang w:val="el-GR" w:eastAsia="el-GR"/>
        </w:rPr>
        <w:t xml:space="preserve"> </w:t>
      </w:r>
      <w:r w:rsidR="008A25B6" w:rsidRPr="002518FB">
        <w:rPr>
          <w:rFonts w:eastAsia="Calibri"/>
          <w:sz w:val="22"/>
          <w:lang w:val="el-GR" w:eastAsia="el-GR"/>
        </w:rPr>
        <w:t>καταληκτικό</w:t>
      </w:r>
      <w:r w:rsidRPr="002518FB">
        <w:rPr>
          <w:rFonts w:eastAsia="Calibri"/>
          <w:sz w:val="22"/>
          <w:lang w:val="el-GR" w:eastAsia="el-GR"/>
        </w:rPr>
        <w:t xml:space="preserve"> σημείο</w:t>
      </w:r>
      <w:r w:rsidR="008A25B6" w:rsidRPr="002518FB">
        <w:rPr>
          <w:rFonts w:eastAsia="Calibri"/>
          <w:sz w:val="22"/>
          <w:lang w:val="el-GR" w:eastAsia="el-GR"/>
        </w:rPr>
        <w:t>,</w:t>
      </w:r>
      <w:r w:rsidRPr="002518FB">
        <w:rPr>
          <w:rFonts w:eastAsia="Calibri"/>
          <w:sz w:val="22"/>
          <w:lang w:val="el-GR" w:eastAsia="el-GR"/>
        </w:rPr>
        <w:t xml:space="preserve"> σε σύγκριση με τους ασθενείς που λάμβαναν θεραπεία με εικονικό φάρμακο και στις 6 μελέτες </w:t>
      </w:r>
      <w:r w:rsidR="008A25B6" w:rsidRPr="002518FB">
        <w:rPr>
          <w:rFonts w:eastAsia="Calibri"/>
          <w:sz w:val="22"/>
          <w:lang w:val="el-GR" w:eastAsia="el-GR"/>
        </w:rPr>
        <w:t>άμεσης</w:t>
      </w:r>
      <w:r w:rsidRPr="002518FB">
        <w:rPr>
          <w:rFonts w:eastAsia="Calibri"/>
          <w:sz w:val="22"/>
          <w:lang w:val="el-GR" w:eastAsia="el-GR"/>
        </w:rPr>
        <w:t xml:space="preserve"> αποτελεσματικότητας, </w:t>
      </w:r>
      <w:r w:rsidR="00E71216" w:rsidRPr="002518FB">
        <w:rPr>
          <w:rFonts w:eastAsia="Calibri"/>
          <w:sz w:val="22"/>
          <w:lang w:val="el-GR" w:eastAsia="el-GR"/>
        </w:rPr>
        <w:t xml:space="preserve">καθώς </w:t>
      </w:r>
      <w:r w:rsidRPr="002518FB">
        <w:rPr>
          <w:rFonts w:eastAsia="Calibri"/>
          <w:sz w:val="22"/>
          <w:lang w:val="el-GR" w:eastAsia="el-GR"/>
        </w:rPr>
        <w:t>και στατιστικά σημαντικά μεγαλύτερες βελτιώσεις στη σχετιζόμενη με τη ΔΕΠΥ λειτουργικότητα</w:t>
      </w:r>
      <w:r w:rsidR="008A25B6" w:rsidRPr="002518FB">
        <w:rPr>
          <w:rFonts w:eastAsia="Calibri"/>
          <w:sz w:val="22"/>
          <w:lang w:val="el-GR" w:eastAsia="el-GR"/>
        </w:rPr>
        <w:t>,</w:t>
      </w:r>
      <w:r w:rsidRPr="002518FB">
        <w:rPr>
          <w:rFonts w:eastAsia="Calibri"/>
          <w:sz w:val="22"/>
          <w:lang w:val="el-GR" w:eastAsia="el-GR"/>
        </w:rPr>
        <w:t xml:space="preserve"> στις 3 μελέτες </w:t>
      </w:r>
      <w:r w:rsidR="008A25B6" w:rsidRPr="002518FB">
        <w:rPr>
          <w:rFonts w:eastAsia="Calibri"/>
          <w:sz w:val="22"/>
          <w:lang w:val="el-GR" w:eastAsia="el-GR"/>
        </w:rPr>
        <w:t>άμεσης</w:t>
      </w:r>
      <w:r w:rsidRPr="002518FB">
        <w:rPr>
          <w:rFonts w:eastAsia="Calibri"/>
          <w:sz w:val="22"/>
          <w:lang w:val="el-GR" w:eastAsia="el-GR"/>
        </w:rPr>
        <w:t xml:space="preserve"> αποτελεσματικότητας στις οποίες αξιολογήθηκε η συγκεκριμένη παράμετρος (Πίνακας Χ). Η μακροχρόνια αποτελεσματικότητα επιβεβαιώθηκε σε 2 ελεγχόμενες με εικονικό φάρμακο μελέτες διάρκειας έξι μηνών αλλά δεν καταδείχθηκε σε μία τρίτη μελέτη (Πίνακας Χ). </w:t>
      </w:r>
    </w:p>
    <w:p w:rsidR="00006638" w:rsidRPr="00006638" w:rsidRDefault="00006638" w:rsidP="00006638">
      <w:pPr>
        <w:tabs>
          <w:tab w:val="left" w:pos="10080"/>
        </w:tabs>
        <w:spacing w:line="276" w:lineRule="auto"/>
        <w:ind w:right="252"/>
        <w:rPr>
          <w:rFonts w:eastAsia="Calibri"/>
          <w:sz w:val="22"/>
          <w:szCs w:val="22"/>
          <w:lang w:val="el-GR" w:eastAsia="el-GR"/>
        </w:rPr>
      </w:pPr>
    </w:p>
    <w:p w:rsidR="007B2713" w:rsidRPr="002518FB" w:rsidRDefault="007B2713" w:rsidP="007B2713">
      <w:pPr>
        <w:spacing w:after="200" w:line="276" w:lineRule="auto"/>
        <w:ind w:left="1418" w:hanging="1418"/>
        <w:rPr>
          <w:rFonts w:eastAsia="Calibri"/>
          <w:b/>
          <w:bCs/>
          <w:sz w:val="22"/>
          <w:szCs w:val="22"/>
          <w:lang w:val="el-GR" w:eastAsia="el-GR"/>
        </w:rPr>
      </w:pPr>
      <w:r w:rsidRPr="002518FB">
        <w:rPr>
          <w:rFonts w:eastAsia="Calibri"/>
          <w:b/>
          <w:sz w:val="22"/>
          <w:lang w:val="el-GR" w:eastAsia="el-GR"/>
        </w:rPr>
        <w:t>Πίνακας X</w:t>
      </w:r>
      <w:r w:rsidRPr="002518FB">
        <w:rPr>
          <w:rFonts w:eastAsia="Calibri"/>
          <w:b/>
          <w:sz w:val="22"/>
          <w:lang w:val="el-GR" w:eastAsia="el-GR"/>
        </w:rPr>
        <w:tab/>
        <w:t>Μέση Μεταβολή στις Παραμέτρους Αποτελεσματικότητας για τις Ελεγχόμενες με Εικονικό Φάρμακο Μελέτες</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167"/>
        <w:gridCol w:w="891"/>
        <w:gridCol w:w="1112"/>
        <w:gridCol w:w="1006"/>
        <w:gridCol w:w="1112"/>
        <w:gridCol w:w="1006"/>
        <w:gridCol w:w="1112"/>
        <w:gridCol w:w="1006"/>
      </w:tblGrid>
      <w:tr w:rsidR="007B2713" w:rsidRPr="00006638" w:rsidTr="003E3A62">
        <w:trPr>
          <w:trHeight w:val="278"/>
        </w:trPr>
        <w:tc>
          <w:tcPr>
            <w:tcW w:w="828" w:type="dxa"/>
            <w:tcBorders>
              <w:bottom w:val="nil"/>
              <w:right w:val="nil"/>
            </w:tcBorders>
            <w:shd w:val="clear" w:color="auto" w:fill="auto"/>
            <w:vAlign w:val="center"/>
          </w:tcPr>
          <w:p w:rsidR="007B2713" w:rsidRPr="002518FB" w:rsidRDefault="007B2713" w:rsidP="007B2713">
            <w:pPr>
              <w:keepLines/>
              <w:spacing w:line="259" w:lineRule="atLeast"/>
              <w:rPr>
                <w:rFonts w:eastAsia="Calibri"/>
                <w:b/>
                <w:lang w:val="el-GR" w:eastAsia="el-GR"/>
              </w:rPr>
            </w:pPr>
          </w:p>
        </w:tc>
        <w:tc>
          <w:tcPr>
            <w:tcW w:w="1170" w:type="dxa"/>
            <w:tcBorders>
              <w:left w:val="nil"/>
              <w:bottom w:val="nil"/>
              <w:right w:val="single" w:sz="4" w:space="0" w:color="auto"/>
            </w:tcBorders>
            <w:shd w:val="clear" w:color="auto" w:fill="auto"/>
            <w:vAlign w:val="center"/>
          </w:tcPr>
          <w:p w:rsidR="007B2713" w:rsidRPr="002518FB" w:rsidRDefault="007B2713" w:rsidP="007B2713">
            <w:pPr>
              <w:keepLines/>
              <w:spacing w:line="259" w:lineRule="atLeast"/>
              <w:rPr>
                <w:rFonts w:eastAsia="Calibri"/>
                <w:b/>
                <w:lang w:val="el-GR" w:eastAsia="el-GR"/>
              </w:rPr>
            </w:pPr>
          </w:p>
        </w:tc>
        <w:tc>
          <w:tcPr>
            <w:tcW w:w="7380" w:type="dxa"/>
            <w:gridSpan w:val="7"/>
            <w:tcBorders>
              <w:left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jc w:val="center"/>
              <w:textAlignment w:val="baseline"/>
              <w:outlineLvl w:val="1"/>
              <w:rPr>
                <w:rFonts w:eastAsia="Calibri"/>
                <w:b/>
                <w:lang w:val="el-GR" w:eastAsia="el-GR"/>
              </w:rPr>
            </w:pPr>
            <w:r w:rsidRPr="002518FB">
              <w:rPr>
                <w:rFonts w:eastAsia="Calibri"/>
                <w:b/>
                <w:lang w:val="el-GR" w:eastAsia="el-GR"/>
              </w:rPr>
              <w:t>Μεταβολές από την Έναρξη της Μελέτης σε Ασθενείς με Τουλάχιστον Μία Τιμή Μετά την Έναρξη της Μελέτης (LOCF)</w:t>
            </w:r>
          </w:p>
        </w:tc>
      </w:tr>
      <w:tr w:rsidR="007B2713" w:rsidRPr="002518FB" w:rsidTr="003E3A62">
        <w:trPr>
          <w:trHeight w:val="321"/>
        </w:trPr>
        <w:tc>
          <w:tcPr>
            <w:tcW w:w="828" w:type="dxa"/>
            <w:tcBorders>
              <w:top w:val="nil"/>
              <w:bottom w:val="single" w:sz="4" w:space="0" w:color="auto"/>
              <w:right w:val="nil"/>
            </w:tcBorders>
            <w:shd w:val="clear" w:color="auto" w:fill="auto"/>
            <w:vAlign w:val="center"/>
          </w:tcPr>
          <w:p w:rsidR="007B2713" w:rsidRPr="002518FB" w:rsidRDefault="007B2713" w:rsidP="007B2713">
            <w:pPr>
              <w:keepLines/>
              <w:spacing w:line="259" w:lineRule="atLeast"/>
              <w:rPr>
                <w:rFonts w:eastAsia="Calibri"/>
                <w:b/>
                <w:lang w:val="el-GR" w:eastAsia="el-GR"/>
              </w:rPr>
            </w:pPr>
          </w:p>
        </w:tc>
        <w:tc>
          <w:tcPr>
            <w:tcW w:w="1170" w:type="dxa"/>
            <w:tcBorders>
              <w:top w:val="nil"/>
              <w:left w:val="nil"/>
              <w:bottom w:val="single" w:sz="4" w:space="0" w:color="auto"/>
              <w:right w:val="single" w:sz="4" w:space="0" w:color="auto"/>
            </w:tcBorders>
            <w:shd w:val="clear" w:color="auto" w:fill="auto"/>
            <w:vAlign w:val="center"/>
          </w:tcPr>
          <w:p w:rsidR="007B2713" w:rsidRPr="002518FB" w:rsidRDefault="007B2713" w:rsidP="007B2713">
            <w:pPr>
              <w:keepLines/>
              <w:spacing w:line="259" w:lineRule="atLeast"/>
              <w:rPr>
                <w:rFonts w:eastAsia="Calibri"/>
                <w:b/>
                <w:lang w:val="el-GR" w:eastAsia="el-GR"/>
              </w:rPr>
            </w:pPr>
          </w:p>
        </w:tc>
        <w:tc>
          <w:tcPr>
            <w:tcW w:w="990" w:type="dxa"/>
            <w:tcBorders>
              <w:top w:val="single" w:sz="4" w:space="0" w:color="auto"/>
              <w:left w:val="single" w:sz="4" w:space="0" w:color="auto"/>
              <w:bottom w:val="nil"/>
            </w:tcBorders>
            <w:shd w:val="clear" w:color="auto" w:fill="auto"/>
            <w:vAlign w:val="center"/>
          </w:tcPr>
          <w:p w:rsidR="007B2713" w:rsidRPr="002518FB" w:rsidRDefault="007B2713" w:rsidP="007B2713">
            <w:pPr>
              <w:keepLines/>
              <w:spacing w:line="259" w:lineRule="atLeast"/>
              <w:rPr>
                <w:rFonts w:eastAsia="Calibri"/>
                <w:b/>
                <w:lang w:val="el-GR" w:eastAsia="el-GR"/>
              </w:rPr>
            </w:pPr>
          </w:p>
        </w:tc>
        <w:tc>
          <w:tcPr>
            <w:tcW w:w="2130" w:type="dxa"/>
            <w:gridSpan w:val="2"/>
            <w:tcBorders>
              <w:top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jc w:val="center"/>
              <w:textAlignment w:val="baseline"/>
              <w:outlineLvl w:val="1"/>
              <w:rPr>
                <w:rFonts w:eastAsia="Calibri"/>
                <w:b/>
                <w:lang w:val="en-US" w:eastAsia="el-GR"/>
              </w:rPr>
            </w:pPr>
            <w:proofErr w:type="spellStart"/>
            <w:r w:rsidRPr="002518FB">
              <w:rPr>
                <w:rFonts w:eastAsia="Calibri"/>
                <w:b/>
                <w:lang w:val="en-US" w:eastAsia="el-GR"/>
              </w:rPr>
              <w:t>CAARS-Inv:SV</w:t>
            </w:r>
            <w:proofErr w:type="spellEnd"/>
            <w:r w:rsidRPr="002518FB">
              <w:rPr>
                <w:rFonts w:eastAsia="Calibri"/>
                <w:b/>
                <w:lang w:val="en-US" w:eastAsia="el-GR"/>
              </w:rPr>
              <w:t xml:space="preserve"> </w:t>
            </w:r>
            <w:r w:rsidRPr="002518FB">
              <w:rPr>
                <w:rFonts w:eastAsia="Calibri"/>
                <w:b/>
                <w:lang w:val="el-GR" w:eastAsia="el-GR"/>
              </w:rPr>
              <w:t>ή</w:t>
            </w:r>
            <w:r w:rsidRPr="002518FB">
              <w:rPr>
                <w:rFonts w:eastAsia="Calibri"/>
                <w:b/>
                <w:lang w:val="en-US" w:eastAsia="el-GR"/>
              </w:rPr>
              <w:t xml:space="preserve"> AISRS</w:t>
            </w:r>
            <w:r w:rsidRPr="002518FB">
              <w:rPr>
                <w:rFonts w:eastAsia="Calibri"/>
                <w:vertAlign w:val="superscript"/>
                <w:lang w:val="el-GR" w:eastAsia="el-GR"/>
              </w:rPr>
              <w:t>α</w:t>
            </w:r>
          </w:p>
        </w:tc>
        <w:tc>
          <w:tcPr>
            <w:tcW w:w="2130" w:type="dxa"/>
            <w:gridSpan w:val="2"/>
            <w:tcBorders>
              <w:top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jc w:val="center"/>
              <w:textAlignment w:val="baseline"/>
              <w:outlineLvl w:val="1"/>
              <w:rPr>
                <w:rFonts w:eastAsia="Calibri"/>
                <w:b/>
                <w:lang w:val="el-GR" w:eastAsia="el-GR"/>
              </w:rPr>
            </w:pPr>
            <w:r w:rsidRPr="002518FB">
              <w:rPr>
                <w:rFonts w:eastAsia="Calibri"/>
                <w:b/>
                <w:lang w:val="el-GR" w:eastAsia="el-GR"/>
              </w:rPr>
              <w:t>CGI-S</w:t>
            </w:r>
          </w:p>
        </w:tc>
        <w:tc>
          <w:tcPr>
            <w:tcW w:w="2130" w:type="dxa"/>
            <w:gridSpan w:val="2"/>
            <w:tcBorders>
              <w:top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jc w:val="center"/>
              <w:textAlignment w:val="baseline"/>
              <w:outlineLvl w:val="1"/>
              <w:rPr>
                <w:rFonts w:eastAsia="Calibri"/>
                <w:b/>
                <w:lang w:val="el-GR" w:eastAsia="el-GR"/>
              </w:rPr>
            </w:pPr>
            <w:proofErr w:type="spellStart"/>
            <w:r w:rsidRPr="002518FB">
              <w:rPr>
                <w:rFonts w:eastAsia="Calibri"/>
                <w:b/>
                <w:lang w:val="el-GR" w:eastAsia="el-GR"/>
              </w:rPr>
              <w:t>AAQoL</w:t>
            </w:r>
            <w:proofErr w:type="spellEnd"/>
          </w:p>
        </w:tc>
      </w:tr>
      <w:tr w:rsidR="007B2713" w:rsidRPr="002518FB" w:rsidTr="003E3A62">
        <w:trPr>
          <w:trHeight w:val="548"/>
        </w:trPr>
        <w:tc>
          <w:tcPr>
            <w:tcW w:w="828" w:type="dxa"/>
            <w:tcBorders>
              <w:top w:val="single" w:sz="4" w:space="0" w:color="auto"/>
              <w:bottom w:val="single" w:sz="4" w:space="0" w:color="auto"/>
            </w:tcBorders>
            <w:shd w:val="clear" w:color="auto" w:fill="auto"/>
            <w:vAlign w:val="center"/>
          </w:tcPr>
          <w:p w:rsidR="007B2713" w:rsidRPr="002518FB" w:rsidRDefault="007B2713" w:rsidP="007B2713">
            <w:pPr>
              <w:keepLines/>
              <w:spacing w:line="259" w:lineRule="atLeast"/>
              <w:rPr>
                <w:rFonts w:eastAsia="Calibri"/>
                <w:b/>
                <w:lang w:val="el-GR" w:eastAsia="el-GR"/>
              </w:rPr>
            </w:pPr>
            <w:r w:rsidRPr="002518FB">
              <w:rPr>
                <w:rFonts w:eastAsia="Calibri"/>
                <w:b/>
                <w:lang w:val="el-GR" w:eastAsia="el-GR"/>
              </w:rPr>
              <w:t>Μελέτη</w:t>
            </w:r>
          </w:p>
        </w:tc>
        <w:tc>
          <w:tcPr>
            <w:tcW w:w="1170" w:type="dxa"/>
            <w:tcBorders>
              <w:top w:val="single" w:sz="4" w:space="0" w:color="auto"/>
              <w:bottom w:val="single" w:sz="4" w:space="0" w:color="auto"/>
            </w:tcBorders>
            <w:shd w:val="clear" w:color="auto" w:fill="auto"/>
            <w:vAlign w:val="center"/>
          </w:tcPr>
          <w:p w:rsidR="007B2713" w:rsidRPr="002518FB" w:rsidRDefault="007B2713" w:rsidP="007B2713">
            <w:pPr>
              <w:keepLines/>
              <w:spacing w:line="259" w:lineRule="atLeast"/>
              <w:rPr>
                <w:rFonts w:eastAsia="Calibri"/>
                <w:b/>
                <w:lang w:val="el-GR" w:eastAsia="el-GR"/>
              </w:rPr>
            </w:pPr>
            <w:r w:rsidRPr="002518FB">
              <w:rPr>
                <w:rFonts w:eastAsia="Calibri"/>
                <w:b/>
                <w:lang w:val="el-GR" w:eastAsia="el-GR"/>
              </w:rPr>
              <w:t>Θεραπεία</w:t>
            </w:r>
          </w:p>
        </w:tc>
        <w:tc>
          <w:tcPr>
            <w:tcW w:w="990" w:type="dxa"/>
            <w:tcBorders>
              <w:top w:val="nil"/>
              <w:bottom w:val="single" w:sz="4" w:space="0" w:color="auto"/>
            </w:tcBorders>
            <w:shd w:val="clear" w:color="auto" w:fill="auto"/>
            <w:vAlign w:val="center"/>
          </w:tcPr>
          <w:p w:rsidR="007B2713" w:rsidRPr="002518FB" w:rsidRDefault="007B2713" w:rsidP="007B2713">
            <w:pPr>
              <w:keepLines/>
              <w:spacing w:line="259" w:lineRule="atLeast"/>
              <w:jc w:val="center"/>
              <w:rPr>
                <w:rFonts w:eastAsia="Calibri"/>
                <w:b/>
                <w:lang w:val="el-GR" w:eastAsia="el-GR"/>
              </w:rPr>
            </w:pPr>
            <w:r w:rsidRPr="002518FB">
              <w:rPr>
                <w:rFonts w:eastAsia="Calibri"/>
                <w:b/>
                <w:lang w:val="el-GR" w:eastAsia="el-GR"/>
              </w:rPr>
              <w:t>Ν</w:t>
            </w:r>
          </w:p>
        </w:tc>
        <w:tc>
          <w:tcPr>
            <w:tcW w:w="1065" w:type="dxa"/>
            <w:tcBorders>
              <w:top w:val="nil"/>
              <w:bottom w:val="single" w:sz="4" w:space="0" w:color="auto"/>
            </w:tcBorders>
            <w:shd w:val="clear" w:color="auto" w:fill="auto"/>
            <w:vAlign w:val="center"/>
          </w:tcPr>
          <w:p w:rsidR="007B2713" w:rsidRPr="002518FB" w:rsidRDefault="007B2713" w:rsidP="007B2713">
            <w:pPr>
              <w:keepLines/>
              <w:spacing w:line="259" w:lineRule="atLeast"/>
              <w:rPr>
                <w:rFonts w:eastAsia="Calibri"/>
                <w:b/>
                <w:lang w:val="el-GR" w:eastAsia="el-GR"/>
              </w:rPr>
            </w:pPr>
            <w:r w:rsidRPr="002518FB">
              <w:rPr>
                <w:rFonts w:eastAsia="Calibri"/>
                <w:b/>
                <w:lang w:val="el-GR" w:eastAsia="el-GR"/>
              </w:rPr>
              <w:t xml:space="preserve">Μέση Μεταβολή </w:t>
            </w:r>
          </w:p>
        </w:tc>
        <w:tc>
          <w:tcPr>
            <w:tcW w:w="1065" w:type="dxa"/>
            <w:tcBorders>
              <w:top w:val="nil"/>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textAlignment w:val="baseline"/>
              <w:outlineLvl w:val="1"/>
              <w:rPr>
                <w:rFonts w:eastAsia="Calibri"/>
                <w:b/>
                <w:lang w:val="el-GR" w:eastAsia="el-GR"/>
              </w:rPr>
            </w:pPr>
            <w:r w:rsidRPr="002518FB">
              <w:rPr>
                <w:rFonts w:eastAsia="Calibri"/>
                <w:b/>
                <w:lang w:val="el-GR" w:eastAsia="el-GR"/>
              </w:rPr>
              <w:t xml:space="preserve">τιμή p </w:t>
            </w:r>
          </w:p>
        </w:tc>
        <w:tc>
          <w:tcPr>
            <w:tcW w:w="1065" w:type="dxa"/>
            <w:tcBorders>
              <w:top w:val="nil"/>
              <w:bottom w:val="single" w:sz="4" w:space="0" w:color="auto"/>
            </w:tcBorders>
            <w:shd w:val="clear" w:color="auto" w:fill="auto"/>
            <w:vAlign w:val="center"/>
          </w:tcPr>
          <w:p w:rsidR="007B2713" w:rsidRPr="002518FB" w:rsidRDefault="007B2713" w:rsidP="007B2713">
            <w:pPr>
              <w:keepLines/>
              <w:spacing w:line="259" w:lineRule="atLeast"/>
              <w:rPr>
                <w:rFonts w:eastAsia="Calibri"/>
                <w:b/>
                <w:lang w:val="el-GR" w:eastAsia="el-GR"/>
              </w:rPr>
            </w:pPr>
            <w:r w:rsidRPr="002518FB">
              <w:rPr>
                <w:rFonts w:eastAsia="Calibri"/>
                <w:b/>
                <w:lang w:val="el-GR" w:eastAsia="el-GR"/>
              </w:rPr>
              <w:t>Μέση Μεταβολή</w:t>
            </w:r>
          </w:p>
        </w:tc>
        <w:tc>
          <w:tcPr>
            <w:tcW w:w="1065" w:type="dxa"/>
            <w:tcBorders>
              <w:top w:val="nil"/>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textAlignment w:val="baseline"/>
              <w:outlineLvl w:val="1"/>
              <w:rPr>
                <w:rFonts w:eastAsia="Calibri"/>
                <w:b/>
                <w:lang w:val="el-GR" w:eastAsia="el-GR"/>
              </w:rPr>
            </w:pPr>
            <w:r w:rsidRPr="002518FB">
              <w:rPr>
                <w:rFonts w:eastAsia="Calibri"/>
                <w:b/>
                <w:lang w:val="el-GR" w:eastAsia="el-GR"/>
              </w:rPr>
              <w:t xml:space="preserve">τιμή p </w:t>
            </w:r>
          </w:p>
        </w:tc>
        <w:tc>
          <w:tcPr>
            <w:tcW w:w="1065" w:type="dxa"/>
            <w:tcBorders>
              <w:top w:val="nil"/>
              <w:bottom w:val="single" w:sz="4" w:space="0" w:color="auto"/>
            </w:tcBorders>
            <w:shd w:val="clear" w:color="auto" w:fill="auto"/>
            <w:vAlign w:val="center"/>
          </w:tcPr>
          <w:p w:rsidR="007B2713" w:rsidRPr="002518FB" w:rsidRDefault="007B2713" w:rsidP="007B2713">
            <w:pPr>
              <w:keepLines/>
              <w:spacing w:line="259" w:lineRule="atLeast"/>
              <w:rPr>
                <w:rFonts w:eastAsia="Calibri"/>
                <w:b/>
                <w:lang w:val="el-GR" w:eastAsia="el-GR"/>
              </w:rPr>
            </w:pPr>
            <w:r w:rsidRPr="002518FB">
              <w:rPr>
                <w:rFonts w:eastAsia="Calibri"/>
                <w:b/>
                <w:lang w:val="el-GR" w:eastAsia="el-GR"/>
              </w:rPr>
              <w:t xml:space="preserve">Μέση Μεταβολή </w:t>
            </w:r>
          </w:p>
        </w:tc>
        <w:tc>
          <w:tcPr>
            <w:tcW w:w="1065" w:type="dxa"/>
            <w:tcBorders>
              <w:top w:val="nil"/>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textAlignment w:val="baseline"/>
              <w:outlineLvl w:val="1"/>
              <w:rPr>
                <w:rFonts w:eastAsia="Calibri"/>
                <w:b/>
                <w:lang w:val="el-GR" w:eastAsia="el-GR"/>
              </w:rPr>
            </w:pPr>
            <w:r w:rsidRPr="002518FB">
              <w:rPr>
                <w:rFonts w:eastAsia="Calibri"/>
                <w:b/>
                <w:lang w:val="el-GR" w:eastAsia="el-GR"/>
              </w:rPr>
              <w:t xml:space="preserve">τιμή p </w:t>
            </w:r>
          </w:p>
        </w:tc>
      </w:tr>
      <w:tr w:rsidR="007B2713" w:rsidRPr="002518FB" w:rsidTr="003E3A62">
        <w:tc>
          <w:tcPr>
            <w:tcW w:w="1998" w:type="dxa"/>
            <w:gridSpan w:val="2"/>
            <w:tcBorders>
              <w:top w:val="single" w:sz="4" w:space="0" w:color="auto"/>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r w:rsidRPr="002518FB">
              <w:rPr>
                <w:rFonts w:eastAsia="Calibri"/>
                <w:b/>
                <w:lang w:val="el-GR" w:eastAsia="el-GR"/>
              </w:rPr>
              <w:t>Μελέτες Οξείας Αποτελεσματικότητας</w:t>
            </w:r>
          </w:p>
        </w:tc>
        <w:tc>
          <w:tcPr>
            <w:tcW w:w="99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065" w:type="dxa"/>
            <w:tcBorders>
              <w:top w:val="single" w:sz="4" w:space="0" w:color="auto"/>
              <w:left w:val="nil"/>
            </w:tcBorders>
            <w:shd w:val="clear" w:color="auto" w:fill="auto"/>
          </w:tcPr>
          <w:p w:rsidR="007B2713" w:rsidRPr="002518FB" w:rsidRDefault="007B2713" w:rsidP="007B2713">
            <w:pPr>
              <w:keepLines/>
              <w:spacing w:line="259" w:lineRule="atLeast"/>
              <w:jc w:val="center"/>
              <w:rPr>
                <w:rFonts w:eastAsia="Calibri"/>
                <w:lang w:val="el-GR" w:eastAsia="el-GR"/>
              </w:rPr>
            </w:pPr>
          </w:p>
        </w:tc>
      </w:tr>
      <w:tr w:rsidR="007B2713" w:rsidRPr="002518FB" w:rsidTr="003E3A62">
        <w:tc>
          <w:tcPr>
            <w:tcW w:w="828" w:type="dxa"/>
            <w:tcBorders>
              <w:top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LYAA</w:t>
            </w:r>
          </w:p>
          <w:p w:rsidR="007B2713" w:rsidRPr="002518FB" w:rsidRDefault="007B2713" w:rsidP="007B2713">
            <w:pPr>
              <w:keepLines/>
              <w:spacing w:line="259" w:lineRule="atLeast"/>
              <w:rPr>
                <w:rFonts w:eastAsia="Calibri"/>
                <w:lang w:val="el-GR" w:eastAsia="el-GR"/>
              </w:rPr>
            </w:pPr>
          </w:p>
        </w:tc>
        <w:tc>
          <w:tcPr>
            <w:tcW w:w="1170" w:type="dxa"/>
            <w:tcBorders>
              <w:top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tcBorders>
              <w:top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133</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134</w:t>
            </w:r>
          </w:p>
        </w:tc>
        <w:tc>
          <w:tcPr>
            <w:tcW w:w="1065" w:type="dxa"/>
            <w:tcBorders>
              <w:top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-9,5</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-6,0</w:t>
            </w:r>
          </w:p>
        </w:tc>
        <w:tc>
          <w:tcPr>
            <w:tcW w:w="1065" w:type="dxa"/>
            <w:tcBorders>
              <w:top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0,006</w:t>
            </w:r>
          </w:p>
        </w:tc>
        <w:tc>
          <w:tcPr>
            <w:tcW w:w="1065" w:type="dxa"/>
            <w:tcBorders>
              <w:top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-0,8</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-0,4</w:t>
            </w:r>
          </w:p>
        </w:tc>
        <w:tc>
          <w:tcPr>
            <w:tcW w:w="1065" w:type="dxa"/>
            <w:tcBorders>
              <w:top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0,011</w:t>
            </w:r>
          </w:p>
        </w:tc>
        <w:tc>
          <w:tcPr>
            <w:tcW w:w="1065" w:type="dxa"/>
            <w:tcBorders>
              <w:top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c>
          <w:tcPr>
            <w:tcW w:w="1065" w:type="dxa"/>
            <w:tcBorders>
              <w:top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r>
      <w:tr w:rsidR="007B2713" w:rsidRPr="002518FB" w:rsidTr="003E3A62">
        <w:tc>
          <w:tcPr>
            <w:tcW w:w="828"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LYAO</w:t>
            </w:r>
          </w:p>
          <w:p w:rsidR="007B2713" w:rsidRPr="002518FB" w:rsidRDefault="007B2713" w:rsidP="007B2713">
            <w:pPr>
              <w:keepLines/>
              <w:spacing w:line="259" w:lineRule="atLeast"/>
              <w:rPr>
                <w:rFonts w:eastAsia="Calibri"/>
                <w:lang w:val="el-GR" w:eastAsia="el-GR"/>
              </w:rPr>
            </w:pPr>
          </w:p>
        </w:tc>
        <w:tc>
          <w:tcPr>
            <w:tcW w:w="1170"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124</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124</w:t>
            </w:r>
          </w:p>
        </w:tc>
        <w:tc>
          <w:tcPr>
            <w:tcW w:w="1065"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-10.5</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-6.7</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0,002</w:t>
            </w:r>
          </w:p>
        </w:tc>
        <w:tc>
          <w:tcPr>
            <w:tcW w:w="1065" w:type="dxa"/>
            <w:shd w:val="clear" w:color="auto" w:fill="auto"/>
          </w:tcPr>
          <w:p w:rsidR="007B2713" w:rsidRPr="002518FB" w:rsidRDefault="007B2713" w:rsidP="007B2713">
            <w:pPr>
              <w:keepLines/>
              <w:tabs>
                <w:tab w:val="left" w:pos="732"/>
              </w:tabs>
              <w:spacing w:line="259" w:lineRule="atLeast"/>
              <w:ind w:left="2304" w:hanging="2304"/>
              <w:jc w:val="center"/>
              <w:rPr>
                <w:rFonts w:eastAsia="Calibri"/>
                <w:lang w:val="el-GR" w:eastAsia="el-GR"/>
              </w:rPr>
            </w:pPr>
            <w:r w:rsidRPr="002518FB">
              <w:rPr>
                <w:rFonts w:eastAsia="Calibri"/>
                <w:lang w:val="el-GR" w:eastAsia="el-GR"/>
              </w:rPr>
              <w:t>-0,9</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-0,5</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0,002</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r>
      <w:tr w:rsidR="007B2713" w:rsidRPr="002518FB" w:rsidTr="003E3A62">
        <w:tc>
          <w:tcPr>
            <w:tcW w:w="828"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LYBY</w:t>
            </w:r>
          </w:p>
        </w:tc>
        <w:tc>
          <w:tcPr>
            <w:tcW w:w="1170"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72</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75</w:t>
            </w:r>
          </w:p>
        </w:tc>
        <w:tc>
          <w:tcPr>
            <w:tcW w:w="1065"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-13,6</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-8,3</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0,007</w:t>
            </w:r>
          </w:p>
        </w:tc>
        <w:tc>
          <w:tcPr>
            <w:tcW w:w="1065" w:type="dxa"/>
            <w:shd w:val="clear" w:color="auto" w:fill="auto"/>
          </w:tcPr>
          <w:p w:rsidR="007B2713" w:rsidRPr="002518FB" w:rsidRDefault="007B2713" w:rsidP="007B2713">
            <w:pPr>
              <w:keepLines/>
              <w:tabs>
                <w:tab w:val="left" w:pos="732"/>
              </w:tabs>
              <w:spacing w:line="259" w:lineRule="atLeast"/>
              <w:ind w:left="2304" w:hanging="2304"/>
              <w:jc w:val="center"/>
              <w:rPr>
                <w:rFonts w:eastAsia="Calibri"/>
                <w:lang w:val="el-GR" w:eastAsia="el-GR"/>
              </w:rPr>
            </w:pPr>
            <w:r w:rsidRPr="002518FB">
              <w:rPr>
                <w:rFonts w:eastAsia="Calibri"/>
                <w:lang w:val="el-GR" w:eastAsia="el-GR"/>
              </w:rPr>
              <w:t>-1,0</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-0,7</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0,048</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r>
      <w:tr w:rsidR="007B2713" w:rsidRPr="002518FB" w:rsidTr="003E3A62">
        <w:tc>
          <w:tcPr>
            <w:tcW w:w="828"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LYDQ</w:t>
            </w:r>
          </w:p>
          <w:p w:rsidR="007B2713" w:rsidRPr="002518FB" w:rsidRDefault="007B2713" w:rsidP="007B2713">
            <w:pPr>
              <w:keepLines/>
              <w:spacing w:line="259" w:lineRule="atLeast"/>
              <w:rPr>
                <w:rFonts w:eastAsia="Calibri"/>
                <w:lang w:val="el-GR" w:eastAsia="el-GR"/>
              </w:rPr>
            </w:pPr>
          </w:p>
        </w:tc>
        <w:tc>
          <w:tcPr>
            <w:tcW w:w="1170"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171</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158</w:t>
            </w:r>
          </w:p>
        </w:tc>
        <w:tc>
          <w:tcPr>
            <w:tcW w:w="1065" w:type="dxa"/>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-8,7</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-5,6</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1065" w:type="dxa"/>
            <w:shd w:val="clear" w:color="auto" w:fill="auto"/>
          </w:tcPr>
          <w:p w:rsidR="007B2713" w:rsidRPr="002518FB" w:rsidRDefault="007B2713" w:rsidP="007B2713">
            <w:pPr>
              <w:keepLines/>
              <w:tabs>
                <w:tab w:val="left" w:pos="612"/>
              </w:tabs>
              <w:spacing w:line="259" w:lineRule="atLeast"/>
              <w:ind w:left="2304" w:hanging="2304"/>
              <w:jc w:val="center"/>
              <w:rPr>
                <w:rFonts w:eastAsia="Calibri"/>
                <w:lang w:val="el-GR" w:eastAsia="el-GR"/>
              </w:rPr>
            </w:pPr>
            <w:r w:rsidRPr="002518FB">
              <w:rPr>
                <w:rFonts w:eastAsia="Calibri"/>
                <w:lang w:val="el-GR" w:eastAsia="el-GR"/>
              </w:rPr>
              <w:t>-0,8</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-0,6</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0,022</w:t>
            </w:r>
          </w:p>
        </w:tc>
        <w:tc>
          <w:tcPr>
            <w:tcW w:w="1065" w:type="dxa"/>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14,9</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11,1</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0,030</w:t>
            </w:r>
          </w:p>
        </w:tc>
      </w:tr>
      <w:tr w:rsidR="007B2713" w:rsidRPr="002518FB" w:rsidTr="003E3A62">
        <w:tc>
          <w:tcPr>
            <w:tcW w:w="828" w:type="dxa"/>
            <w:tcBorders>
              <w:bottom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LYDZ</w:t>
            </w:r>
          </w:p>
          <w:p w:rsidR="007B2713" w:rsidRPr="002518FB" w:rsidRDefault="007B2713" w:rsidP="007B2713">
            <w:pPr>
              <w:keepLines/>
              <w:spacing w:line="259" w:lineRule="atLeast"/>
              <w:rPr>
                <w:rFonts w:eastAsia="Calibri"/>
                <w:lang w:val="el-GR" w:eastAsia="el-GR"/>
              </w:rPr>
            </w:pPr>
          </w:p>
        </w:tc>
        <w:tc>
          <w:tcPr>
            <w:tcW w:w="1170" w:type="dxa"/>
            <w:tcBorders>
              <w:bottom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tcBorders>
              <w:bottom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192</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198</w:t>
            </w:r>
          </w:p>
        </w:tc>
        <w:tc>
          <w:tcPr>
            <w:tcW w:w="1065" w:type="dxa"/>
            <w:tcBorders>
              <w:bottom w:val="single" w:sz="4" w:space="0" w:color="auto"/>
            </w:tcBorders>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-10,7</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-7,2</w:t>
            </w:r>
          </w:p>
        </w:tc>
        <w:tc>
          <w:tcPr>
            <w:tcW w:w="1065"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1065" w:type="dxa"/>
            <w:tcBorders>
              <w:bottom w:val="single" w:sz="4" w:space="0" w:color="auto"/>
            </w:tcBorders>
            <w:shd w:val="clear" w:color="auto" w:fill="auto"/>
          </w:tcPr>
          <w:p w:rsidR="007B2713" w:rsidRPr="002518FB" w:rsidRDefault="007B2713" w:rsidP="007B2713">
            <w:pPr>
              <w:keepLines/>
              <w:tabs>
                <w:tab w:val="left" w:pos="612"/>
              </w:tabs>
              <w:spacing w:line="259" w:lineRule="atLeast"/>
              <w:ind w:left="2304" w:hanging="2304"/>
              <w:jc w:val="center"/>
              <w:rPr>
                <w:rFonts w:eastAsia="Calibri"/>
                <w:lang w:val="el-GR" w:eastAsia="el-GR"/>
              </w:rPr>
            </w:pPr>
            <w:r w:rsidRPr="002518FB">
              <w:rPr>
                <w:rFonts w:eastAsia="Calibri"/>
                <w:lang w:val="el-GR" w:eastAsia="el-GR"/>
              </w:rPr>
              <w:t>-1,1</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-0,7</w:t>
            </w:r>
          </w:p>
        </w:tc>
        <w:tc>
          <w:tcPr>
            <w:tcW w:w="1065"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1065" w:type="dxa"/>
            <w:tcBorders>
              <w:bottom w:val="single" w:sz="4" w:space="0" w:color="auto"/>
            </w:tcBorders>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15,8</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11,0</w:t>
            </w:r>
          </w:p>
        </w:tc>
        <w:tc>
          <w:tcPr>
            <w:tcW w:w="1065"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0,005</w:t>
            </w:r>
          </w:p>
        </w:tc>
      </w:tr>
      <w:tr w:rsidR="007B2713" w:rsidRPr="002518FB" w:rsidTr="003E3A62">
        <w:tc>
          <w:tcPr>
            <w:tcW w:w="828" w:type="dxa"/>
            <w:tcBorders>
              <w:bottom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LYEE</w:t>
            </w:r>
          </w:p>
          <w:p w:rsidR="007B2713" w:rsidRPr="002518FB" w:rsidRDefault="007B2713" w:rsidP="007B2713">
            <w:pPr>
              <w:keepLines/>
              <w:spacing w:line="259" w:lineRule="atLeast"/>
              <w:rPr>
                <w:rFonts w:eastAsia="Calibri"/>
                <w:lang w:val="el-GR" w:eastAsia="el-GR"/>
              </w:rPr>
            </w:pPr>
          </w:p>
        </w:tc>
        <w:tc>
          <w:tcPr>
            <w:tcW w:w="1170" w:type="dxa"/>
            <w:tcBorders>
              <w:bottom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tcBorders>
              <w:bottom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191</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195</w:t>
            </w:r>
          </w:p>
        </w:tc>
        <w:tc>
          <w:tcPr>
            <w:tcW w:w="1065" w:type="dxa"/>
            <w:tcBorders>
              <w:bottom w:val="single" w:sz="4" w:space="0" w:color="auto"/>
            </w:tcBorders>
            <w:shd w:val="clear" w:color="auto" w:fill="auto"/>
          </w:tcPr>
          <w:p w:rsidR="007B2713" w:rsidRPr="002518FB" w:rsidRDefault="007B2713" w:rsidP="007B2713">
            <w:pPr>
              <w:keepLines/>
              <w:tabs>
                <w:tab w:val="left" w:pos="782"/>
              </w:tabs>
              <w:spacing w:line="259" w:lineRule="atLeast"/>
              <w:jc w:val="center"/>
              <w:rPr>
                <w:rFonts w:eastAsia="Calibri"/>
                <w:lang w:val="el-GR" w:eastAsia="el-GR"/>
              </w:rPr>
            </w:pPr>
            <w:r w:rsidRPr="002518FB">
              <w:rPr>
                <w:rFonts w:eastAsia="Calibri"/>
                <w:lang w:val="el-GR" w:eastAsia="el-GR"/>
              </w:rPr>
              <w:t>-14,3</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-8,8</w:t>
            </w:r>
          </w:p>
        </w:tc>
        <w:tc>
          <w:tcPr>
            <w:tcW w:w="1065"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1065" w:type="dxa"/>
            <w:tcBorders>
              <w:bottom w:val="single" w:sz="4" w:space="0" w:color="auto"/>
            </w:tcBorders>
            <w:shd w:val="clear" w:color="auto" w:fill="auto"/>
          </w:tcPr>
          <w:p w:rsidR="007B2713" w:rsidRPr="002518FB" w:rsidRDefault="007B2713" w:rsidP="007B2713">
            <w:pPr>
              <w:keepLines/>
              <w:tabs>
                <w:tab w:val="left" w:pos="782"/>
              </w:tabs>
              <w:spacing w:line="259" w:lineRule="atLeast"/>
              <w:jc w:val="center"/>
              <w:rPr>
                <w:rFonts w:eastAsia="Calibri"/>
                <w:lang w:val="el-GR" w:eastAsia="el-GR"/>
              </w:rPr>
            </w:pPr>
            <w:r w:rsidRPr="002518FB">
              <w:rPr>
                <w:rFonts w:eastAsia="Calibri"/>
                <w:lang w:val="el-GR" w:eastAsia="el-GR"/>
              </w:rPr>
              <w:t>-1,3</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-0,8</w:t>
            </w:r>
          </w:p>
        </w:tc>
        <w:tc>
          <w:tcPr>
            <w:tcW w:w="1065"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1065" w:type="dxa"/>
            <w:tcBorders>
              <w:bottom w:val="single" w:sz="4" w:space="0" w:color="auto"/>
            </w:tcBorders>
            <w:shd w:val="clear" w:color="auto" w:fill="auto"/>
          </w:tcPr>
          <w:p w:rsidR="007B2713" w:rsidRPr="002518FB" w:rsidRDefault="007B2713" w:rsidP="007B2713">
            <w:pPr>
              <w:keepLines/>
              <w:tabs>
                <w:tab w:val="left" w:pos="782"/>
              </w:tabs>
              <w:spacing w:line="259" w:lineRule="atLeast"/>
              <w:jc w:val="center"/>
              <w:rPr>
                <w:rFonts w:eastAsia="Calibri"/>
                <w:lang w:val="el-GR" w:eastAsia="el-GR"/>
              </w:rPr>
            </w:pPr>
            <w:r w:rsidRPr="002518FB">
              <w:rPr>
                <w:rFonts w:eastAsia="Calibri"/>
                <w:lang w:val="el-GR" w:eastAsia="el-GR"/>
              </w:rPr>
              <w:t>12,83</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8,20</w:t>
            </w:r>
          </w:p>
        </w:tc>
        <w:tc>
          <w:tcPr>
            <w:tcW w:w="1065"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r>
      <w:tr w:rsidR="007B2713" w:rsidRPr="002518FB" w:rsidTr="003E3A62">
        <w:tc>
          <w:tcPr>
            <w:tcW w:w="1998" w:type="dxa"/>
            <w:gridSpan w:val="2"/>
            <w:tcBorders>
              <w:top w:val="single" w:sz="4" w:space="0" w:color="auto"/>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r w:rsidRPr="002518FB">
              <w:rPr>
                <w:rFonts w:eastAsia="Calibri"/>
                <w:b/>
                <w:lang w:val="el-GR" w:eastAsia="el-GR"/>
              </w:rPr>
              <w:t>Μελέτες Μακροχρόνιας Αποτελεσματικότητας</w:t>
            </w:r>
          </w:p>
        </w:tc>
        <w:tc>
          <w:tcPr>
            <w:tcW w:w="99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065"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065" w:type="dxa"/>
            <w:tcBorders>
              <w:top w:val="single" w:sz="4" w:space="0" w:color="auto"/>
              <w:left w:val="nil"/>
            </w:tcBorders>
            <w:shd w:val="clear" w:color="auto" w:fill="auto"/>
          </w:tcPr>
          <w:p w:rsidR="007B2713" w:rsidRPr="002518FB" w:rsidRDefault="007B2713" w:rsidP="007B2713">
            <w:pPr>
              <w:keepLines/>
              <w:spacing w:line="259" w:lineRule="atLeast"/>
              <w:jc w:val="center"/>
              <w:rPr>
                <w:rFonts w:eastAsia="Calibri"/>
                <w:lang w:val="el-GR" w:eastAsia="el-GR"/>
              </w:rPr>
            </w:pPr>
          </w:p>
        </w:tc>
      </w:tr>
      <w:tr w:rsidR="007B2713" w:rsidRPr="002518FB" w:rsidTr="003E3A62">
        <w:tc>
          <w:tcPr>
            <w:tcW w:w="828" w:type="dxa"/>
            <w:tcBorders>
              <w:top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LYBV</w:t>
            </w:r>
          </w:p>
        </w:tc>
        <w:tc>
          <w:tcPr>
            <w:tcW w:w="1170" w:type="dxa"/>
            <w:tcBorders>
              <w:top w:val="single" w:sz="4" w:space="0" w:color="auto"/>
            </w:tcBorders>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tcBorders>
              <w:top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185</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109</w:t>
            </w:r>
          </w:p>
        </w:tc>
        <w:tc>
          <w:tcPr>
            <w:tcW w:w="1065" w:type="dxa"/>
            <w:tcBorders>
              <w:top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-11,6</w:t>
            </w:r>
          </w:p>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-11,5</w:t>
            </w:r>
          </w:p>
        </w:tc>
        <w:tc>
          <w:tcPr>
            <w:tcW w:w="1065" w:type="dxa"/>
            <w:tcBorders>
              <w:top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0,412</w:t>
            </w:r>
          </w:p>
        </w:tc>
        <w:tc>
          <w:tcPr>
            <w:tcW w:w="1065" w:type="dxa"/>
            <w:tcBorders>
              <w:top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-1,0</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-0,9</w:t>
            </w:r>
          </w:p>
        </w:tc>
        <w:tc>
          <w:tcPr>
            <w:tcW w:w="1065" w:type="dxa"/>
            <w:tcBorders>
              <w:top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0,173</w:t>
            </w:r>
          </w:p>
        </w:tc>
        <w:tc>
          <w:tcPr>
            <w:tcW w:w="1065" w:type="dxa"/>
            <w:tcBorders>
              <w:top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13,90</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11,18</w:t>
            </w:r>
          </w:p>
        </w:tc>
        <w:tc>
          <w:tcPr>
            <w:tcW w:w="1065" w:type="dxa"/>
            <w:tcBorders>
              <w:top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0,045</w:t>
            </w:r>
          </w:p>
        </w:tc>
      </w:tr>
      <w:tr w:rsidR="007B2713" w:rsidRPr="002518FB" w:rsidTr="003E3A62">
        <w:tc>
          <w:tcPr>
            <w:tcW w:w="828"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LYCU</w:t>
            </w:r>
          </w:p>
        </w:tc>
        <w:tc>
          <w:tcPr>
            <w:tcW w:w="1170"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214</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216</w:t>
            </w:r>
          </w:p>
        </w:tc>
        <w:tc>
          <w:tcPr>
            <w:tcW w:w="1065" w:type="dxa"/>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-13,2</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-10,2</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0,005</w:t>
            </w:r>
          </w:p>
        </w:tc>
        <w:tc>
          <w:tcPr>
            <w:tcW w:w="1065"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-1,2</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-0,9</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0,001</w:t>
            </w:r>
          </w:p>
        </w:tc>
        <w:tc>
          <w:tcPr>
            <w:tcW w:w="1065"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13,14</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8,62</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0,004</w:t>
            </w:r>
          </w:p>
        </w:tc>
      </w:tr>
      <w:tr w:rsidR="007B2713" w:rsidRPr="002518FB" w:rsidTr="003E3A62">
        <w:tc>
          <w:tcPr>
            <w:tcW w:w="828"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LYCW</w:t>
            </w:r>
          </w:p>
        </w:tc>
        <w:tc>
          <w:tcPr>
            <w:tcW w:w="1170" w:type="dxa"/>
            <w:shd w:val="clear" w:color="auto" w:fill="auto"/>
          </w:tcPr>
          <w:p w:rsidR="007B2713" w:rsidRPr="002518FB" w:rsidRDefault="007B2713" w:rsidP="007B2713">
            <w:pPr>
              <w:keepLines/>
              <w:spacing w:line="259" w:lineRule="atLeas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rPr>
                <w:rFonts w:eastAsia="Calibri"/>
                <w:lang w:val="el-GR" w:eastAsia="el-GR"/>
              </w:rPr>
            </w:pPr>
            <w:r w:rsidRPr="002518FB">
              <w:rPr>
                <w:rFonts w:eastAsia="Calibri"/>
                <w:lang w:val="el-GR" w:eastAsia="el-GR"/>
              </w:rPr>
              <w:t>PBO</w:t>
            </w:r>
          </w:p>
        </w:tc>
        <w:tc>
          <w:tcPr>
            <w:tcW w:w="990" w:type="dxa"/>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r w:rsidRPr="002518FB">
              <w:rPr>
                <w:rFonts w:eastAsia="Calibri"/>
                <w:lang w:val="el-GR" w:eastAsia="el-GR"/>
              </w:rPr>
              <w:t>113</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120</w:t>
            </w:r>
          </w:p>
        </w:tc>
        <w:tc>
          <w:tcPr>
            <w:tcW w:w="1065" w:type="dxa"/>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-14,3</w:t>
            </w:r>
          </w:p>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-8,3</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1065" w:type="dxa"/>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-1,2</w:t>
            </w:r>
          </w:p>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-0,7</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c>
          <w:tcPr>
            <w:tcW w:w="1065"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w:t>
            </w:r>
          </w:p>
        </w:tc>
      </w:tr>
    </w:tbl>
    <w:p w:rsidR="007B2713" w:rsidRPr="002518FB" w:rsidRDefault="007B2713" w:rsidP="007B2713">
      <w:pPr>
        <w:spacing w:line="276" w:lineRule="auto"/>
        <w:ind w:firstLine="14"/>
        <w:rPr>
          <w:rFonts w:eastAsia="Calibri"/>
          <w:lang w:val="el-GR" w:eastAsia="el-GR"/>
        </w:rPr>
      </w:pPr>
      <w:r w:rsidRPr="002518FB">
        <w:rPr>
          <w:rFonts w:eastAsia="Calibri"/>
          <w:lang w:val="el-GR" w:eastAsia="el-GR"/>
        </w:rPr>
        <w:t xml:space="preserve">Συντομογραφίες:  </w:t>
      </w:r>
      <w:proofErr w:type="spellStart"/>
      <w:r w:rsidRPr="002518FB">
        <w:rPr>
          <w:rFonts w:eastAsia="Calibri"/>
          <w:lang w:val="el-GR" w:eastAsia="el-GR"/>
        </w:rPr>
        <w:t>AAQoL</w:t>
      </w:r>
      <w:proofErr w:type="spellEnd"/>
      <w:r w:rsidRPr="002518FB">
        <w:rPr>
          <w:rFonts w:eastAsia="Calibri"/>
          <w:lang w:val="el-GR" w:eastAsia="el-GR"/>
        </w:rPr>
        <w:t xml:space="preserve"> = Συνολική Βαθμολογία Ποιότητας Ζωής στη ΔΕΠΥ Ενηλίκων, AISRS = Συνολική Βαθμολογία Κλίμακας Αξιολόγησης Συμπτωμάτων από τον Ερευνητή στη ΔΕΠΥ Ενηλίκων, ATX = </w:t>
      </w:r>
      <w:proofErr w:type="spellStart"/>
      <w:r w:rsidRPr="002518FB">
        <w:rPr>
          <w:rFonts w:eastAsia="Calibri"/>
          <w:lang w:val="el-GR" w:eastAsia="el-GR"/>
        </w:rPr>
        <w:t>ατομοξετίνη</w:t>
      </w:r>
      <w:proofErr w:type="spellEnd"/>
      <w:r w:rsidRPr="002518FB">
        <w:rPr>
          <w:rFonts w:eastAsia="Calibri"/>
          <w:lang w:val="el-GR" w:eastAsia="el-GR"/>
        </w:rPr>
        <w:t xml:space="preserve">, </w:t>
      </w:r>
      <w:proofErr w:type="spellStart"/>
      <w:r w:rsidRPr="002518FB">
        <w:rPr>
          <w:rFonts w:eastAsia="Calibri"/>
          <w:lang w:val="el-GR" w:eastAsia="el-GR"/>
        </w:rPr>
        <w:t>CAARS</w:t>
      </w:r>
      <w:r w:rsidRPr="002518FB">
        <w:rPr>
          <w:rFonts w:eastAsia="Calibri"/>
          <w:lang w:val="el-GR" w:eastAsia="el-GR"/>
        </w:rPr>
        <w:noBreakHyphen/>
        <w:t>Inv:SV</w:t>
      </w:r>
      <w:proofErr w:type="spellEnd"/>
      <w:r w:rsidRPr="002518FB">
        <w:rPr>
          <w:rFonts w:eastAsia="Calibri"/>
          <w:lang w:val="el-GR" w:eastAsia="el-GR"/>
        </w:rPr>
        <w:t xml:space="preserve"> = Κλίμακα Αξιολόγησης </w:t>
      </w:r>
      <w:proofErr w:type="spellStart"/>
      <w:r w:rsidRPr="002518FB">
        <w:rPr>
          <w:rFonts w:eastAsia="Calibri"/>
          <w:lang w:val="el-GR" w:eastAsia="el-GR"/>
        </w:rPr>
        <w:t>Conners</w:t>
      </w:r>
      <w:proofErr w:type="spellEnd"/>
      <w:r w:rsidRPr="002518FB">
        <w:rPr>
          <w:rFonts w:eastAsia="Calibri"/>
          <w:lang w:val="el-GR" w:eastAsia="el-GR"/>
        </w:rPr>
        <w:t xml:space="preserve"> στη ΔΕΠΥ Ενηλίκων, Αξιολογούμενη από τον Ερευνητή, έκδοση διαγνωστικού ελέγχου, Συνολική Βαθμολογία Συμπτωμάτων ΔΕΠΥ, CGI-S = </w:t>
      </w:r>
      <w:r w:rsidR="008A25B6" w:rsidRPr="002518FB">
        <w:rPr>
          <w:rFonts w:eastAsia="Calibri"/>
          <w:lang w:val="el-GR" w:eastAsia="el-GR"/>
        </w:rPr>
        <w:t xml:space="preserve">Συνολική </w:t>
      </w:r>
      <w:r w:rsidRPr="002518FB">
        <w:rPr>
          <w:rFonts w:eastAsia="Calibri"/>
          <w:lang w:val="el-GR" w:eastAsia="el-GR"/>
        </w:rPr>
        <w:t>Κλινική Εντύπωση ως προς τη Βαρύτητα, LOCF = μεταφορά τελευταίας παρατήρησης, PBO = εικονικό φάρμακο.</w:t>
      </w:r>
    </w:p>
    <w:p w:rsidR="007B2713" w:rsidRPr="002518FB" w:rsidRDefault="007B2713" w:rsidP="007B2713">
      <w:pPr>
        <w:spacing w:line="276" w:lineRule="auto"/>
        <w:ind w:left="270" w:hanging="270"/>
        <w:rPr>
          <w:rFonts w:eastAsia="Calibri"/>
          <w:lang w:val="el-GR" w:eastAsia="el-GR"/>
        </w:rPr>
      </w:pPr>
      <w:r w:rsidRPr="002518FB">
        <w:rPr>
          <w:rFonts w:eastAsia="Calibri"/>
          <w:lang w:val="el-GR" w:eastAsia="el-GR"/>
        </w:rPr>
        <w:t>α  Κλίμακες συμπτωμάτων ΔΕΠΥ. Τα αποτελέσματα που παρουσιάζονται για τη Μελέτη LYBY είναι της κλίμακας AISRS ενώ τα αποτελέσματα για όλες τις άλλες μελέτες είναι της κλίμακας CAARS-</w:t>
      </w:r>
      <w:proofErr w:type="spellStart"/>
      <w:r w:rsidRPr="002518FB">
        <w:rPr>
          <w:rFonts w:eastAsia="Calibri"/>
          <w:lang w:val="el-GR" w:eastAsia="el-GR"/>
        </w:rPr>
        <w:t>Inv:SV</w:t>
      </w:r>
      <w:proofErr w:type="spellEnd"/>
      <w:r w:rsidRPr="002518FB">
        <w:rPr>
          <w:rFonts w:eastAsia="Calibri"/>
          <w:lang w:val="el-GR" w:eastAsia="el-GR"/>
        </w:rPr>
        <w:t>.</w:t>
      </w:r>
    </w:p>
    <w:p w:rsidR="007B2713" w:rsidRPr="002518FB" w:rsidRDefault="007B2713" w:rsidP="007B2713">
      <w:pPr>
        <w:spacing w:line="252" w:lineRule="auto"/>
        <w:ind w:left="720"/>
        <w:rPr>
          <w:rFonts w:eastAsia="Calibri"/>
          <w:sz w:val="22"/>
          <w:szCs w:val="22"/>
          <w:lang w:val="el-GR" w:eastAsia="el-GR"/>
        </w:rPr>
      </w:pPr>
    </w:p>
    <w:p w:rsidR="007B2713" w:rsidRPr="002518FB" w:rsidRDefault="007B2713" w:rsidP="007B2713">
      <w:pPr>
        <w:spacing w:after="200" w:line="252" w:lineRule="auto"/>
        <w:rPr>
          <w:rFonts w:eastAsia="Calibri"/>
          <w:sz w:val="22"/>
          <w:szCs w:val="22"/>
          <w:lang w:val="el-GR" w:eastAsia="el-GR"/>
        </w:rPr>
      </w:pPr>
      <w:r w:rsidRPr="002518FB">
        <w:rPr>
          <w:rFonts w:eastAsia="Calibri"/>
          <w:sz w:val="22"/>
          <w:lang w:val="el-GR" w:eastAsia="el-GR"/>
        </w:rPr>
        <w:t xml:space="preserve">Στις αναλύσεις ευαισθησίας με τη χρήση της μεθόδου μεταφοράς της </w:t>
      </w:r>
      <w:r w:rsidR="00103F2F" w:rsidRPr="002518FB">
        <w:rPr>
          <w:rFonts w:eastAsia="Calibri"/>
          <w:sz w:val="22"/>
          <w:lang w:val="el-GR" w:eastAsia="el-GR"/>
        </w:rPr>
        <w:t xml:space="preserve">αρχικής </w:t>
      </w:r>
      <w:r w:rsidRPr="002518FB">
        <w:rPr>
          <w:rFonts w:eastAsia="Calibri"/>
          <w:sz w:val="22"/>
          <w:lang w:val="el-GR" w:eastAsia="el-GR"/>
        </w:rPr>
        <w:t>παρατήρησης</w:t>
      </w:r>
      <w:r w:rsidR="00103F2F" w:rsidRPr="002518FB">
        <w:rPr>
          <w:rFonts w:eastAsia="Calibri"/>
          <w:sz w:val="22"/>
          <w:lang w:val="el-GR" w:eastAsia="el-GR"/>
        </w:rPr>
        <w:t>,</w:t>
      </w:r>
      <w:r w:rsidRPr="002518FB">
        <w:rPr>
          <w:rFonts w:eastAsia="Calibri"/>
          <w:sz w:val="22"/>
          <w:lang w:val="el-GR" w:eastAsia="el-GR"/>
        </w:rPr>
        <w:t xml:space="preserve"> για ασθενείς χωρίς μέτρηση μετά την έναρξη της μελέτης (δηλ. όλοι οι ασθενείς που έλαβαν θεραπεία), τα αποτελέσματα ήταν σύμφωνα με τα αποτελέσματα που παρουσιάζονται στον Πίνακα Χ.</w:t>
      </w:r>
    </w:p>
    <w:p w:rsidR="00DF01E1" w:rsidRPr="00006638" w:rsidRDefault="007B2713" w:rsidP="00006638">
      <w:pPr>
        <w:spacing w:after="200" w:line="252" w:lineRule="auto"/>
        <w:rPr>
          <w:rFonts w:eastAsia="Calibri"/>
          <w:sz w:val="22"/>
          <w:szCs w:val="22"/>
          <w:lang w:val="el-GR" w:eastAsia="el-GR"/>
        </w:rPr>
      </w:pPr>
      <w:r w:rsidRPr="002518FB">
        <w:rPr>
          <w:rFonts w:eastAsia="Calibri"/>
          <w:sz w:val="22"/>
          <w:lang w:val="el-GR" w:eastAsia="el-GR"/>
        </w:rPr>
        <w:lastRenderedPageBreak/>
        <w:t xml:space="preserve">Στις αναλύσεις της κλινικά σημαντικής ανταπόκρισης και στις 6 μελέτες </w:t>
      </w:r>
      <w:r w:rsidR="00103F2F" w:rsidRPr="002518FB">
        <w:rPr>
          <w:rFonts w:eastAsia="Calibri"/>
          <w:sz w:val="22"/>
          <w:lang w:val="el-GR" w:eastAsia="el-GR"/>
        </w:rPr>
        <w:t>άμεσης</w:t>
      </w:r>
      <w:r w:rsidRPr="002518FB">
        <w:rPr>
          <w:rFonts w:eastAsia="Calibri"/>
          <w:sz w:val="22"/>
          <w:lang w:val="el-GR" w:eastAsia="el-GR"/>
        </w:rPr>
        <w:t xml:space="preserve"> αποτελεσματικότητας, καθώς και στις δύο επιτυχημένες μελέτες μακροχρόνιας αποτελεσματικότητας, με τη χρήση διάφορων "a </w:t>
      </w:r>
      <w:proofErr w:type="spellStart"/>
      <w:r w:rsidRPr="002518FB">
        <w:rPr>
          <w:rFonts w:eastAsia="Calibri"/>
          <w:sz w:val="22"/>
          <w:lang w:val="el-GR" w:eastAsia="el-GR"/>
        </w:rPr>
        <w:t>priori</w:t>
      </w:r>
      <w:proofErr w:type="spellEnd"/>
      <w:r w:rsidRPr="002518FB">
        <w:rPr>
          <w:rFonts w:eastAsia="Calibri"/>
          <w:sz w:val="22"/>
          <w:lang w:val="el-GR" w:eastAsia="el-GR"/>
        </w:rPr>
        <w:t>" και "</w:t>
      </w:r>
      <w:proofErr w:type="spellStart"/>
      <w:r w:rsidRPr="002518FB">
        <w:rPr>
          <w:rFonts w:eastAsia="Calibri"/>
          <w:sz w:val="22"/>
          <w:lang w:val="el-GR" w:eastAsia="el-GR"/>
        </w:rPr>
        <w:t>post</w:t>
      </w:r>
      <w:proofErr w:type="spellEnd"/>
      <w:r w:rsidRPr="002518FB">
        <w:rPr>
          <w:rFonts w:eastAsia="Calibri"/>
          <w:sz w:val="22"/>
          <w:lang w:val="el-GR" w:eastAsia="el-GR"/>
        </w:rPr>
        <w:t xml:space="preserve"> </w:t>
      </w:r>
      <w:proofErr w:type="spellStart"/>
      <w:r w:rsidRPr="002518FB">
        <w:rPr>
          <w:rFonts w:eastAsia="Calibri"/>
          <w:sz w:val="22"/>
          <w:lang w:val="el-GR" w:eastAsia="el-GR"/>
        </w:rPr>
        <w:t>hoc</w:t>
      </w:r>
      <w:proofErr w:type="spellEnd"/>
      <w:r w:rsidRPr="002518FB">
        <w:rPr>
          <w:rFonts w:eastAsia="Calibri"/>
          <w:sz w:val="22"/>
          <w:lang w:val="el-GR" w:eastAsia="el-GR"/>
        </w:rPr>
        <w:t xml:space="preserve">" ορισμών, οι ασθενείς που λάμβαναν θεραπεία με </w:t>
      </w:r>
      <w:proofErr w:type="spellStart"/>
      <w:r w:rsidRPr="002518FB">
        <w:rPr>
          <w:rFonts w:eastAsia="Calibri"/>
          <w:sz w:val="22"/>
          <w:lang w:val="el-GR" w:eastAsia="el-GR"/>
        </w:rPr>
        <w:t>ατομοξετίνη</w:t>
      </w:r>
      <w:proofErr w:type="spellEnd"/>
      <w:r w:rsidRPr="002518FB">
        <w:rPr>
          <w:rFonts w:eastAsia="Calibri"/>
          <w:sz w:val="22"/>
          <w:lang w:val="el-GR" w:eastAsia="el-GR"/>
        </w:rPr>
        <w:t xml:space="preserve"> εμφάνισαν </w:t>
      </w:r>
      <w:r w:rsidR="00103F2F" w:rsidRPr="002518FB">
        <w:rPr>
          <w:rFonts w:eastAsia="Calibri"/>
          <w:sz w:val="22"/>
          <w:lang w:val="el-GR" w:eastAsia="el-GR"/>
        </w:rPr>
        <w:t xml:space="preserve">συστηματικά </w:t>
      </w:r>
      <w:r w:rsidRPr="002518FB">
        <w:rPr>
          <w:rFonts w:eastAsia="Calibri"/>
          <w:sz w:val="22"/>
          <w:lang w:val="el-GR" w:eastAsia="el-GR"/>
        </w:rPr>
        <w:t>στατιστικά σημαντικά υψηλότερα ποσοστά ανταπόκρισης σε σύγκριση με τους ασθενείς που λάμβαναν θεραπεία με εικονικό φάρμακο (Πίνακας Y).</w:t>
      </w:r>
    </w:p>
    <w:p w:rsidR="007B2713" w:rsidRPr="002518FB" w:rsidRDefault="007B2713" w:rsidP="007B2713">
      <w:pPr>
        <w:spacing w:after="200" w:line="276" w:lineRule="auto"/>
        <w:ind w:left="1418" w:hanging="1418"/>
        <w:rPr>
          <w:rFonts w:eastAsia="Calibri"/>
          <w:b/>
          <w:bCs/>
          <w:sz w:val="22"/>
          <w:szCs w:val="22"/>
          <w:lang w:val="el-GR" w:eastAsia="el-GR"/>
        </w:rPr>
      </w:pPr>
      <w:r w:rsidRPr="002518FB">
        <w:rPr>
          <w:rFonts w:eastAsia="Calibri"/>
          <w:b/>
          <w:sz w:val="22"/>
          <w:lang w:val="el-GR" w:eastAsia="el-GR"/>
        </w:rPr>
        <w:t>Πίνακας Y</w:t>
      </w:r>
      <w:r w:rsidRPr="002518FB">
        <w:rPr>
          <w:rFonts w:eastAsia="Calibri"/>
          <w:b/>
          <w:sz w:val="22"/>
          <w:lang w:val="el-GR" w:eastAsia="el-GR"/>
        </w:rPr>
        <w:tab/>
        <w:t>Αριθμός (n) και Ποσοστό Ασθενών που Πληρούν τα Κριτήρια Ανταπόκρισης στις Συγκεντρωτικές Ελεγχόμενες με Εικονικό Φάρμακο Μελέτες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986"/>
        <w:gridCol w:w="900"/>
        <w:gridCol w:w="1380"/>
        <w:gridCol w:w="1140"/>
        <w:gridCol w:w="990"/>
        <w:gridCol w:w="1290"/>
        <w:gridCol w:w="1140"/>
      </w:tblGrid>
      <w:tr w:rsidR="007B2713" w:rsidRPr="00006638" w:rsidTr="003E3A62">
        <w:trPr>
          <w:trHeight w:val="321"/>
        </w:trPr>
        <w:tc>
          <w:tcPr>
            <w:tcW w:w="2808" w:type="dxa"/>
            <w:gridSpan w:val="2"/>
            <w:tcBorders>
              <w:top w:val="single" w:sz="4" w:space="0" w:color="auto"/>
              <w:bottom w:val="nil"/>
              <w:right w:val="single" w:sz="4" w:space="0" w:color="auto"/>
            </w:tcBorders>
            <w:shd w:val="clear" w:color="auto" w:fill="auto"/>
            <w:vAlign w:val="bottom"/>
          </w:tcPr>
          <w:p w:rsidR="007B2713" w:rsidRPr="002518FB" w:rsidRDefault="007B2713" w:rsidP="007B2713">
            <w:pPr>
              <w:keepLines/>
              <w:spacing w:line="259" w:lineRule="atLeast"/>
              <w:rPr>
                <w:rFonts w:eastAsia="Calibri"/>
                <w:b/>
                <w:lang w:val="el-GR" w:eastAsia="el-GR"/>
              </w:rPr>
            </w:pPr>
          </w:p>
        </w:tc>
        <w:tc>
          <w:tcPr>
            <w:tcW w:w="3420" w:type="dxa"/>
            <w:gridSpan w:val="3"/>
            <w:tcBorders>
              <w:top w:val="single" w:sz="4" w:space="0" w:color="auto"/>
              <w:left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jc w:val="center"/>
              <w:textAlignment w:val="baseline"/>
              <w:outlineLvl w:val="1"/>
              <w:rPr>
                <w:rFonts w:eastAsia="Calibri"/>
                <w:b/>
                <w:lang w:val="el-GR" w:eastAsia="el-GR"/>
              </w:rPr>
            </w:pPr>
            <w:r w:rsidRPr="002518FB">
              <w:rPr>
                <w:rFonts w:eastAsia="Calibri"/>
                <w:b/>
                <w:lang w:val="el-GR" w:eastAsia="el-GR"/>
              </w:rPr>
              <w:t>Ανταπόκριση που Ορίζεται ως</w:t>
            </w:r>
          </w:p>
          <w:p w:rsidR="007B2713" w:rsidRPr="002518FB" w:rsidRDefault="007B2713" w:rsidP="007B2713">
            <w:pPr>
              <w:keepNext/>
              <w:keepLines/>
              <w:adjustRightInd w:val="0"/>
              <w:snapToGrid w:val="0"/>
              <w:spacing w:line="259" w:lineRule="atLeast"/>
              <w:ind w:left="174"/>
              <w:jc w:val="center"/>
              <w:textAlignment w:val="baseline"/>
              <w:outlineLvl w:val="1"/>
              <w:rPr>
                <w:rFonts w:eastAsia="Calibri"/>
                <w:b/>
                <w:lang w:val="el-GR" w:eastAsia="el-GR"/>
              </w:rPr>
            </w:pPr>
            <w:r w:rsidRPr="002518FB">
              <w:rPr>
                <w:rFonts w:eastAsia="Calibri"/>
                <w:b/>
                <w:lang w:val="el-GR" w:eastAsia="el-GR"/>
              </w:rPr>
              <w:t>Βελτίωση κατά τουλάχιστον 1 βαθμό στην CGI-S</w:t>
            </w:r>
          </w:p>
        </w:tc>
        <w:tc>
          <w:tcPr>
            <w:tcW w:w="3420" w:type="dxa"/>
            <w:gridSpan w:val="3"/>
            <w:tcBorders>
              <w:top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174"/>
              <w:jc w:val="center"/>
              <w:textAlignment w:val="baseline"/>
              <w:outlineLvl w:val="1"/>
              <w:rPr>
                <w:rFonts w:eastAsia="Calibri"/>
                <w:b/>
                <w:lang w:val="el-GR" w:eastAsia="el-GR"/>
              </w:rPr>
            </w:pPr>
            <w:r w:rsidRPr="002518FB">
              <w:rPr>
                <w:rFonts w:eastAsia="Calibri"/>
                <w:b/>
                <w:lang w:val="el-GR" w:eastAsia="el-GR"/>
              </w:rPr>
              <w:t>Ανταπόκριση που Ορίζεται ως</w:t>
            </w:r>
          </w:p>
          <w:p w:rsidR="007B2713" w:rsidRPr="002518FB" w:rsidRDefault="007B2713" w:rsidP="007B2713">
            <w:pPr>
              <w:keepNext/>
              <w:keepLines/>
              <w:adjustRightInd w:val="0"/>
              <w:snapToGrid w:val="0"/>
              <w:spacing w:line="259" w:lineRule="atLeast"/>
              <w:ind w:left="174"/>
              <w:jc w:val="center"/>
              <w:textAlignment w:val="baseline"/>
              <w:outlineLvl w:val="1"/>
              <w:rPr>
                <w:rFonts w:eastAsia="Calibri"/>
                <w:b/>
                <w:lang w:val="el-GR" w:eastAsia="el-GR"/>
              </w:rPr>
            </w:pPr>
            <w:r w:rsidRPr="002518FB">
              <w:rPr>
                <w:rFonts w:eastAsia="Calibri"/>
                <w:b/>
                <w:lang w:val="el-GR" w:eastAsia="el-GR"/>
              </w:rPr>
              <w:t xml:space="preserve">Βελτίωση κατά 40% στην CAARS-Inv:SV κατά το Τελικό Σημείο </w:t>
            </w:r>
          </w:p>
        </w:tc>
      </w:tr>
      <w:tr w:rsidR="007B2713" w:rsidRPr="002518FB" w:rsidTr="003E3A62">
        <w:trPr>
          <w:trHeight w:val="296"/>
        </w:trPr>
        <w:tc>
          <w:tcPr>
            <w:tcW w:w="822" w:type="dxa"/>
            <w:tcBorders>
              <w:top w:val="nil"/>
              <w:bottom w:val="single" w:sz="4" w:space="0" w:color="auto"/>
              <w:right w:val="nil"/>
            </w:tcBorders>
            <w:shd w:val="clear" w:color="auto" w:fill="auto"/>
            <w:vAlign w:val="center"/>
          </w:tcPr>
          <w:p w:rsidR="007B2713" w:rsidRPr="002518FB" w:rsidRDefault="007B2713" w:rsidP="007B2713">
            <w:pPr>
              <w:keepLines/>
              <w:spacing w:line="259" w:lineRule="atLeast"/>
              <w:rPr>
                <w:rFonts w:eastAsia="Calibri"/>
                <w:b/>
                <w:lang w:val="el-GR" w:eastAsia="el-GR"/>
              </w:rPr>
            </w:pPr>
            <w:r w:rsidRPr="002518FB">
              <w:rPr>
                <w:rFonts w:eastAsia="Calibri"/>
                <w:b/>
                <w:lang w:val="el-GR" w:eastAsia="el-GR"/>
              </w:rPr>
              <w:t>Ομάδα</w:t>
            </w:r>
          </w:p>
        </w:tc>
        <w:tc>
          <w:tcPr>
            <w:tcW w:w="1986" w:type="dxa"/>
            <w:tcBorders>
              <w:top w:val="nil"/>
              <w:left w:val="nil"/>
              <w:bottom w:val="single" w:sz="4" w:space="0" w:color="auto"/>
            </w:tcBorders>
            <w:shd w:val="clear" w:color="auto" w:fill="auto"/>
            <w:vAlign w:val="center"/>
          </w:tcPr>
          <w:p w:rsidR="007B2713" w:rsidRPr="002518FB" w:rsidRDefault="007B2713" w:rsidP="007B2713">
            <w:pPr>
              <w:keepLines/>
              <w:spacing w:line="259" w:lineRule="atLeast"/>
              <w:jc w:val="right"/>
              <w:rPr>
                <w:rFonts w:eastAsia="Calibri"/>
                <w:b/>
                <w:lang w:val="el-GR" w:eastAsia="el-GR"/>
              </w:rPr>
            </w:pPr>
            <w:r w:rsidRPr="002518FB">
              <w:rPr>
                <w:rFonts w:eastAsia="Calibri"/>
                <w:b/>
                <w:lang w:val="el-GR" w:eastAsia="el-GR"/>
              </w:rPr>
              <w:t>Θεραπεία</w:t>
            </w:r>
          </w:p>
        </w:tc>
        <w:tc>
          <w:tcPr>
            <w:tcW w:w="900" w:type="dxa"/>
            <w:tcBorders>
              <w:top w:val="single" w:sz="4" w:space="0" w:color="auto"/>
              <w:bottom w:val="single" w:sz="4" w:space="0" w:color="auto"/>
            </w:tcBorders>
            <w:shd w:val="clear" w:color="auto" w:fill="auto"/>
            <w:vAlign w:val="center"/>
          </w:tcPr>
          <w:p w:rsidR="007B2713" w:rsidRPr="002518FB" w:rsidRDefault="007B2713" w:rsidP="007B2713">
            <w:pPr>
              <w:keepLines/>
              <w:spacing w:line="259" w:lineRule="atLeast"/>
              <w:jc w:val="center"/>
              <w:rPr>
                <w:rFonts w:eastAsia="Calibri"/>
                <w:b/>
                <w:lang w:val="el-GR" w:eastAsia="el-GR"/>
              </w:rPr>
            </w:pPr>
            <w:r w:rsidRPr="002518FB">
              <w:rPr>
                <w:rFonts w:eastAsia="Calibri"/>
                <w:b/>
                <w:lang w:val="el-GR" w:eastAsia="el-GR"/>
              </w:rPr>
              <w:t>Ν</w:t>
            </w:r>
          </w:p>
        </w:tc>
        <w:tc>
          <w:tcPr>
            <w:tcW w:w="1380" w:type="dxa"/>
            <w:tcBorders>
              <w:top w:val="single" w:sz="4" w:space="0" w:color="auto"/>
              <w:bottom w:val="single" w:sz="4" w:space="0" w:color="auto"/>
            </w:tcBorders>
            <w:shd w:val="clear" w:color="auto" w:fill="auto"/>
            <w:vAlign w:val="center"/>
          </w:tcPr>
          <w:p w:rsidR="007B2713" w:rsidRPr="002518FB" w:rsidRDefault="007B2713" w:rsidP="007B2713">
            <w:pPr>
              <w:keepLines/>
              <w:spacing w:line="259" w:lineRule="atLeast"/>
              <w:jc w:val="center"/>
              <w:rPr>
                <w:rFonts w:eastAsia="Calibri"/>
                <w:b/>
                <w:lang w:val="el-GR" w:eastAsia="el-GR"/>
              </w:rPr>
            </w:pPr>
            <w:r w:rsidRPr="002518FB">
              <w:rPr>
                <w:rFonts w:eastAsia="Calibri"/>
                <w:b/>
                <w:lang w:val="el-GR" w:eastAsia="el-GR"/>
              </w:rPr>
              <w:t>n (%)</w:t>
            </w:r>
          </w:p>
        </w:tc>
        <w:tc>
          <w:tcPr>
            <w:tcW w:w="1140" w:type="dxa"/>
            <w:tcBorders>
              <w:top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ind w:left="42"/>
              <w:jc w:val="center"/>
              <w:textAlignment w:val="baseline"/>
              <w:outlineLvl w:val="1"/>
              <w:rPr>
                <w:rFonts w:eastAsia="Calibri"/>
                <w:b/>
                <w:lang w:val="el-GR" w:eastAsia="el-GR"/>
              </w:rPr>
            </w:pPr>
            <w:r w:rsidRPr="002518FB">
              <w:rPr>
                <w:rFonts w:eastAsia="Calibri"/>
                <w:b/>
                <w:lang w:val="el-GR" w:eastAsia="el-GR"/>
              </w:rPr>
              <w:t>τιμή p</w:t>
            </w:r>
          </w:p>
        </w:tc>
        <w:tc>
          <w:tcPr>
            <w:tcW w:w="990" w:type="dxa"/>
            <w:tcBorders>
              <w:top w:val="single" w:sz="4" w:space="0" w:color="auto"/>
              <w:bottom w:val="single" w:sz="4" w:space="0" w:color="auto"/>
            </w:tcBorders>
            <w:shd w:val="clear" w:color="auto" w:fill="auto"/>
            <w:vAlign w:val="center"/>
          </w:tcPr>
          <w:p w:rsidR="007B2713" w:rsidRPr="002518FB" w:rsidRDefault="007B2713" w:rsidP="007B2713">
            <w:pPr>
              <w:keepLines/>
              <w:spacing w:line="259" w:lineRule="atLeast"/>
              <w:jc w:val="center"/>
              <w:rPr>
                <w:rFonts w:eastAsia="Calibri"/>
                <w:b/>
                <w:lang w:val="el-GR" w:eastAsia="el-GR"/>
              </w:rPr>
            </w:pPr>
            <w:r w:rsidRPr="002518FB">
              <w:rPr>
                <w:rFonts w:eastAsia="Calibri"/>
                <w:b/>
                <w:lang w:val="el-GR" w:eastAsia="el-GR"/>
              </w:rPr>
              <w:t>Ν</w:t>
            </w:r>
          </w:p>
        </w:tc>
        <w:tc>
          <w:tcPr>
            <w:tcW w:w="1290" w:type="dxa"/>
            <w:tcBorders>
              <w:top w:val="single" w:sz="4" w:space="0" w:color="auto"/>
              <w:bottom w:val="single" w:sz="4" w:space="0" w:color="auto"/>
            </w:tcBorders>
            <w:shd w:val="clear" w:color="auto" w:fill="auto"/>
            <w:vAlign w:val="center"/>
          </w:tcPr>
          <w:p w:rsidR="007B2713" w:rsidRPr="002518FB" w:rsidRDefault="007B2713" w:rsidP="007B2713">
            <w:pPr>
              <w:keepLines/>
              <w:spacing w:line="259" w:lineRule="atLeast"/>
              <w:jc w:val="center"/>
              <w:rPr>
                <w:rFonts w:eastAsia="Calibri"/>
                <w:b/>
                <w:lang w:val="el-GR" w:eastAsia="el-GR"/>
              </w:rPr>
            </w:pPr>
            <w:r w:rsidRPr="002518FB">
              <w:rPr>
                <w:rFonts w:eastAsia="Calibri"/>
                <w:b/>
                <w:lang w:val="el-GR" w:eastAsia="el-GR"/>
              </w:rPr>
              <w:t>n (%)</w:t>
            </w:r>
          </w:p>
        </w:tc>
        <w:tc>
          <w:tcPr>
            <w:tcW w:w="1140" w:type="dxa"/>
            <w:tcBorders>
              <w:top w:val="single" w:sz="4" w:space="0" w:color="auto"/>
              <w:bottom w:val="single" w:sz="4" w:space="0" w:color="auto"/>
            </w:tcBorders>
            <w:shd w:val="clear" w:color="auto" w:fill="auto"/>
            <w:vAlign w:val="center"/>
          </w:tcPr>
          <w:p w:rsidR="007B2713" w:rsidRPr="002518FB" w:rsidRDefault="007B2713" w:rsidP="007B2713">
            <w:pPr>
              <w:keepNext/>
              <w:keepLines/>
              <w:adjustRightInd w:val="0"/>
              <w:snapToGrid w:val="0"/>
              <w:spacing w:line="259" w:lineRule="atLeast"/>
              <w:jc w:val="center"/>
              <w:textAlignment w:val="baseline"/>
              <w:outlineLvl w:val="1"/>
              <w:rPr>
                <w:rFonts w:eastAsia="Calibri"/>
                <w:b/>
                <w:lang w:val="el-GR" w:eastAsia="el-GR"/>
              </w:rPr>
            </w:pPr>
            <w:r w:rsidRPr="002518FB">
              <w:rPr>
                <w:rFonts w:eastAsia="Calibri"/>
                <w:b/>
                <w:lang w:val="el-GR" w:eastAsia="el-GR"/>
              </w:rPr>
              <w:t>τιμή p</w:t>
            </w:r>
          </w:p>
        </w:tc>
      </w:tr>
      <w:tr w:rsidR="007B2713" w:rsidRPr="002518FB" w:rsidTr="003E3A62">
        <w:tc>
          <w:tcPr>
            <w:tcW w:w="2808" w:type="dxa"/>
            <w:gridSpan w:val="2"/>
            <w:tcBorders>
              <w:top w:val="single" w:sz="4" w:space="0" w:color="auto"/>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r w:rsidRPr="002518FB">
              <w:rPr>
                <w:rFonts w:eastAsia="Calibri"/>
                <w:b/>
                <w:lang w:val="el-GR" w:eastAsia="el-GR"/>
              </w:rPr>
              <w:t xml:space="preserve">Συγκεντρωτικές Μελέτες Οξείας </w:t>
            </w:r>
            <w:proofErr w:type="spellStart"/>
            <w:r w:rsidRPr="002518FB">
              <w:rPr>
                <w:rFonts w:eastAsia="Calibri"/>
                <w:b/>
                <w:lang w:val="el-GR" w:eastAsia="el-GR"/>
              </w:rPr>
              <w:t>Αποτελεσματικότητας</w:t>
            </w:r>
            <w:r w:rsidRPr="002518FB">
              <w:rPr>
                <w:rFonts w:eastAsia="Calibri"/>
                <w:b/>
                <w:vertAlign w:val="superscript"/>
                <w:lang w:val="el-GR" w:eastAsia="el-GR"/>
              </w:rPr>
              <w:t>α</w:t>
            </w:r>
            <w:proofErr w:type="spellEnd"/>
          </w:p>
        </w:tc>
        <w:tc>
          <w:tcPr>
            <w:tcW w:w="90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p>
        </w:tc>
        <w:tc>
          <w:tcPr>
            <w:tcW w:w="138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c>
          <w:tcPr>
            <w:tcW w:w="1140"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99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c>
          <w:tcPr>
            <w:tcW w:w="1290"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140" w:type="dxa"/>
            <w:tcBorders>
              <w:top w:val="single" w:sz="4" w:space="0" w:color="auto"/>
              <w:left w:val="nil"/>
              <w:right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p>
        </w:tc>
      </w:tr>
      <w:tr w:rsidR="007B2713" w:rsidRPr="002518FB" w:rsidTr="003E3A62">
        <w:tc>
          <w:tcPr>
            <w:tcW w:w="822" w:type="dxa"/>
            <w:tcBorders>
              <w:bottom w:val="single" w:sz="4" w:space="0" w:color="auto"/>
              <w:right w:val="nil"/>
            </w:tcBorders>
            <w:shd w:val="clear" w:color="auto" w:fill="auto"/>
          </w:tcPr>
          <w:p w:rsidR="007B2713" w:rsidRPr="002518FB" w:rsidRDefault="007B2713" w:rsidP="007B2713">
            <w:pPr>
              <w:keepLines/>
              <w:spacing w:line="259" w:lineRule="atLeast"/>
              <w:rPr>
                <w:rFonts w:eastAsia="Calibri"/>
                <w:lang w:val="el-GR" w:eastAsia="el-GR"/>
              </w:rPr>
            </w:pPr>
          </w:p>
        </w:tc>
        <w:tc>
          <w:tcPr>
            <w:tcW w:w="1986" w:type="dxa"/>
            <w:tcBorders>
              <w:left w:val="nil"/>
              <w:bottom w:val="single" w:sz="4" w:space="0" w:color="auto"/>
            </w:tcBorders>
            <w:shd w:val="clear" w:color="auto" w:fill="auto"/>
            <w:vAlign w:val="center"/>
          </w:tcPr>
          <w:p w:rsidR="007B2713" w:rsidRPr="002518FB" w:rsidRDefault="007B2713" w:rsidP="007B2713">
            <w:pPr>
              <w:keepLines/>
              <w:spacing w:line="259" w:lineRule="atLeast"/>
              <w:jc w:val="righ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jc w:val="right"/>
              <w:rPr>
                <w:rFonts w:eastAsia="Calibri"/>
                <w:lang w:val="el-GR" w:eastAsia="el-GR"/>
              </w:rPr>
            </w:pPr>
            <w:r w:rsidRPr="002518FB">
              <w:rPr>
                <w:rFonts w:eastAsia="Calibri"/>
                <w:lang w:val="el-GR" w:eastAsia="el-GR"/>
              </w:rPr>
              <w:t>PBO</w:t>
            </w:r>
          </w:p>
        </w:tc>
        <w:tc>
          <w:tcPr>
            <w:tcW w:w="900"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640</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652</w:t>
            </w:r>
          </w:p>
        </w:tc>
        <w:tc>
          <w:tcPr>
            <w:tcW w:w="1380"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401 (62,7%)</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283 (43,4%)</w:t>
            </w:r>
          </w:p>
        </w:tc>
        <w:tc>
          <w:tcPr>
            <w:tcW w:w="1140"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990"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841</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851</w:t>
            </w:r>
          </w:p>
        </w:tc>
        <w:tc>
          <w:tcPr>
            <w:tcW w:w="1290"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347 (41,3%)</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215 (25,3%)</w:t>
            </w:r>
          </w:p>
        </w:tc>
        <w:tc>
          <w:tcPr>
            <w:tcW w:w="1140" w:type="dxa"/>
            <w:tcBorders>
              <w:bottom w:val="single" w:sz="4" w:space="0" w:color="auto"/>
            </w:tcBorders>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r>
      <w:tr w:rsidR="007B2713" w:rsidRPr="002518FB" w:rsidTr="003E3A62">
        <w:tc>
          <w:tcPr>
            <w:tcW w:w="2808" w:type="dxa"/>
            <w:gridSpan w:val="2"/>
            <w:tcBorders>
              <w:top w:val="single" w:sz="4" w:space="0" w:color="auto"/>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r w:rsidRPr="002518FB">
              <w:rPr>
                <w:rFonts w:eastAsia="Calibri"/>
                <w:b/>
                <w:lang w:val="el-GR" w:eastAsia="el-GR"/>
              </w:rPr>
              <w:t xml:space="preserve">Συγκεντρωτικές Μελέτες Μακροχρόνιας </w:t>
            </w:r>
            <w:proofErr w:type="spellStart"/>
            <w:r w:rsidRPr="002518FB">
              <w:rPr>
                <w:rFonts w:eastAsia="Calibri"/>
                <w:b/>
                <w:lang w:val="el-GR" w:eastAsia="el-GR"/>
              </w:rPr>
              <w:t>Αποτελεσματικότητας</w:t>
            </w:r>
            <w:r w:rsidRPr="002518FB">
              <w:rPr>
                <w:rFonts w:eastAsia="Calibri"/>
                <w:b/>
                <w:vertAlign w:val="superscript"/>
                <w:lang w:val="el-GR" w:eastAsia="el-GR"/>
              </w:rPr>
              <w:t>α</w:t>
            </w:r>
            <w:proofErr w:type="spellEnd"/>
          </w:p>
        </w:tc>
        <w:tc>
          <w:tcPr>
            <w:tcW w:w="90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p>
        </w:tc>
        <w:tc>
          <w:tcPr>
            <w:tcW w:w="138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c>
          <w:tcPr>
            <w:tcW w:w="1140"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990" w:type="dxa"/>
            <w:tcBorders>
              <w:top w:val="single" w:sz="4" w:space="0" w:color="auto"/>
              <w:left w:val="nil"/>
              <w:right w:val="nil"/>
            </w:tcBorders>
            <w:shd w:val="clear" w:color="auto" w:fill="auto"/>
          </w:tcPr>
          <w:p w:rsidR="007B2713" w:rsidRPr="002518FB" w:rsidRDefault="007B2713" w:rsidP="007B2713">
            <w:pPr>
              <w:keepLines/>
              <w:spacing w:line="259" w:lineRule="atLeast"/>
              <w:jc w:val="center"/>
              <w:rPr>
                <w:rFonts w:eastAsia="Calibri"/>
                <w:lang w:val="el-GR" w:eastAsia="el-GR"/>
              </w:rPr>
            </w:pPr>
          </w:p>
        </w:tc>
        <w:tc>
          <w:tcPr>
            <w:tcW w:w="1290" w:type="dxa"/>
            <w:tcBorders>
              <w:top w:val="single" w:sz="4" w:space="0" w:color="auto"/>
              <w:left w:val="nil"/>
              <w:right w:val="nil"/>
            </w:tcBorders>
            <w:shd w:val="clear" w:color="auto" w:fill="auto"/>
          </w:tcPr>
          <w:p w:rsidR="007B2713" w:rsidRPr="002518FB" w:rsidRDefault="007B2713" w:rsidP="007B2713">
            <w:pPr>
              <w:keepLines/>
              <w:tabs>
                <w:tab w:val="left" w:pos="732"/>
              </w:tabs>
              <w:spacing w:line="259" w:lineRule="atLeast"/>
              <w:rPr>
                <w:rFonts w:eastAsia="Calibri"/>
                <w:lang w:val="el-GR" w:eastAsia="el-GR"/>
              </w:rPr>
            </w:pPr>
          </w:p>
        </w:tc>
        <w:tc>
          <w:tcPr>
            <w:tcW w:w="1140" w:type="dxa"/>
            <w:tcBorders>
              <w:top w:val="single" w:sz="4" w:space="0" w:color="auto"/>
              <w:left w:val="nil"/>
              <w:right w:val="single" w:sz="4" w:space="0" w:color="auto"/>
            </w:tcBorders>
            <w:shd w:val="clear" w:color="auto" w:fill="auto"/>
          </w:tcPr>
          <w:p w:rsidR="007B2713" w:rsidRPr="002518FB" w:rsidRDefault="007B2713" w:rsidP="007B2713">
            <w:pPr>
              <w:keepLines/>
              <w:tabs>
                <w:tab w:val="left" w:pos="732"/>
              </w:tabs>
              <w:spacing w:line="259" w:lineRule="atLeast"/>
              <w:jc w:val="center"/>
              <w:rPr>
                <w:rFonts w:eastAsia="Calibri"/>
                <w:lang w:val="el-GR" w:eastAsia="el-GR"/>
              </w:rPr>
            </w:pPr>
          </w:p>
        </w:tc>
      </w:tr>
      <w:tr w:rsidR="007B2713" w:rsidRPr="002518FB" w:rsidTr="003E3A62">
        <w:tc>
          <w:tcPr>
            <w:tcW w:w="822" w:type="dxa"/>
            <w:tcBorders>
              <w:right w:val="nil"/>
            </w:tcBorders>
            <w:shd w:val="clear" w:color="auto" w:fill="auto"/>
          </w:tcPr>
          <w:p w:rsidR="007B2713" w:rsidRPr="002518FB" w:rsidRDefault="007B2713" w:rsidP="007B2713">
            <w:pPr>
              <w:keepLines/>
              <w:spacing w:line="259" w:lineRule="atLeast"/>
              <w:rPr>
                <w:rFonts w:eastAsia="Calibri"/>
                <w:lang w:val="el-GR" w:eastAsia="el-GR"/>
              </w:rPr>
            </w:pPr>
          </w:p>
        </w:tc>
        <w:tc>
          <w:tcPr>
            <w:tcW w:w="1986" w:type="dxa"/>
            <w:tcBorders>
              <w:left w:val="nil"/>
            </w:tcBorders>
            <w:shd w:val="clear" w:color="auto" w:fill="auto"/>
            <w:vAlign w:val="center"/>
          </w:tcPr>
          <w:p w:rsidR="007B2713" w:rsidRPr="002518FB" w:rsidRDefault="007B2713" w:rsidP="007B2713">
            <w:pPr>
              <w:keepLines/>
              <w:spacing w:line="259" w:lineRule="atLeast"/>
              <w:jc w:val="right"/>
              <w:rPr>
                <w:rFonts w:eastAsia="Calibri"/>
                <w:lang w:val="el-GR" w:eastAsia="el-GR"/>
              </w:rPr>
            </w:pPr>
            <w:r w:rsidRPr="002518FB">
              <w:rPr>
                <w:rFonts w:eastAsia="Calibri"/>
                <w:lang w:val="el-GR" w:eastAsia="el-GR"/>
              </w:rPr>
              <w:t>ATX</w:t>
            </w:r>
          </w:p>
          <w:p w:rsidR="007B2713" w:rsidRPr="002518FB" w:rsidRDefault="007B2713" w:rsidP="007B2713">
            <w:pPr>
              <w:keepLines/>
              <w:spacing w:line="259" w:lineRule="atLeast"/>
              <w:jc w:val="right"/>
              <w:rPr>
                <w:rFonts w:eastAsia="Calibri"/>
                <w:lang w:val="el-GR" w:eastAsia="el-GR"/>
              </w:rPr>
            </w:pPr>
            <w:r w:rsidRPr="002518FB">
              <w:rPr>
                <w:rFonts w:eastAsia="Calibri"/>
                <w:lang w:val="el-GR" w:eastAsia="el-GR"/>
              </w:rPr>
              <w:t>PBO</w:t>
            </w:r>
          </w:p>
        </w:tc>
        <w:tc>
          <w:tcPr>
            <w:tcW w:w="900" w:type="dxa"/>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758</w:t>
            </w:r>
          </w:p>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611</w:t>
            </w:r>
          </w:p>
        </w:tc>
        <w:tc>
          <w:tcPr>
            <w:tcW w:w="1380"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482 (63,6%)</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301 (49,3%)</w:t>
            </w:r>
          </w:p>
        </w:tc>
        <w:tc>
          <w:tcPr>
            <w:tcW w:w="1140"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c>
          <w:tcPr>
            <w:tcW w:w="990"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663</w:t>
            </w:r>
          </w:p>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557</w:t>
            </w:r>
          </w:p>
        </w:tc>
        <w:tc>
          <w:tcPr>
            <w:tcW w:w="1290" w:type="dxa"/>
            <w:shd w:val="clear" w:color="auto" w:fill="auto"/>
          </w:tcPr>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292 (44,0%)</w:t>
            </w:r>
          </w:p>
          <w:p w:rsidR="007B2713" w:rsidRPr="002518FB" w:rsidRDefault="007B2713" w:rsidP="007B2713">
            <w:pPr>
              <w:keepLines/>
              <w:tabs>
                <w:tab w:val="left" w:pos="612"/>
              </w:tabs>
              <w:spacing w:line="259" w:lineRule="atLeast"/>
              <w:jc w:val="center"/>
              <w:rPr>
                <w:rFonts w:eastAsia="Calibri"/>
                <w:lang w:val="el-GR" w:eastAsia="el-GR"/>
              </w:rPr>
            </w:pPr>
            <w:r w:rsidRPr="002518FB">
              <w:rPr>
                <w:rFonts w:eastAsia="Calibri"/>
                <w:lang w:val="el-GR" w:eastAsia="el-GR"/>
              </w:rPr>
              <w:t>175 (31,4%)</w:t>
            </w:r>
          </w:p>
        </w:tc>
        <w:tc>
          <w:tcPr>
            <w:tcW w:w="1140" w:type="dxa"/>
            <w:shd w:val="clear" w:color="auto" w:fill="auto"/>
          </w:tcPr>
          <w:p w:rsidR="007B2713" w:rsidRPr="002518FB" w:rsidRDefault="007B2713" w:rsidP="007B2713">
            <w:pPr>
              <w:keepLines/>
              <w:spacing w:line="259" w:lineRule="atLeast"/>
              <w:jc w:val="center"/>
              <w:rPr>
                <w:rFonts w:eastAsia="Calibri"/>
                <w:lang w:val="el-GR" w:eastAsia="el-GR"/>
              </w:rPr>
            </w:pPr>
            <w:r w:rsidRPr="002518FB">
              <w:rPr>
                <w:rFonts w:eastAsia="Calibri"/>
                <w:lang w:val="el-GR" w:eastAsia="el-GR"/>
              </w:rPr>
              <w:t>&lt;0,001</w:t>
            </w:r>
          </w:p>
        </w:tc>
      </w:tr>
    </w:tbl>
    <w:p w:rsidR="007B2713" w:rsidRPr="002518FB" w:rsidRDefault="007B2713" w:rsidP="007B2713">
      <w:pPr>
        <w:spacing w:after="200" w:line="276" w:lineRule="auto"/>
        <w:rPr>
          <w:rFonts w:eastAsia="Calibri"/>
          <w:lang w:val="el-GR" w:eastAsia="el-GR"/>
        </w:rPr>
      </w:pPr>
      <w:proofErr w:type="spellStart"/>
      <w:r w:rsidRPr="002518FB">
        <w:rPr>
          <w:rFonts w:eastAsia="Calibri"/>
          <w:b/>
          <w:vertAlign w:val="superscript"/>
          <w:lang w:val="el-GR" w:eastAsia="el-GR"/>
        </w:rPr>
        <w:t>α</w:t>
      </w:r>
      <w:r w:rsidRPr="002518FB">
        <w:rPr>
          <w:rFonts w:eastAsia="Calibri"/>
          <w:lang w:val="el-GR" w:eastAsia="el-GR"/>
        </w:rPr>
        <w:t>Περιλαμβάνει</w:t>
      </w:r>
      <w:proofErr w:type="spellEnd"/>
      <w:r w:rsidRPr="002518FB">
        <w:rPr>
          <w:rFonts w:eastAsia="Calibri"/>
          <w:lang w:val="el-GR" w:eastAsia="el-GR"/>
        </w:rPr>
        <w:t xml:space="preserve"> όλες τις μελέτες του Πίνακα Χ εκτός από τις ακόλουθες: Στην ανάλυση </w:t>
      </w:r>
      <w:r w:rsidR="00103F2F" w:rsidRPr="002518FB">
        <w:rPr>
          <w:rFonts w:eastAsia="Calibri"/>
          <w:lang w:val="el-GR" w:eastAsia="el-GR"/>
        </w:rPr>
        <w:t>άμεσης</w:t>
      </w:r>
      <w:r w:rsidRPr="002518FB">
        <w:rPr>
          <w:rFonts w:eastAsia="Calibri"/>
          <w:lang w:val="el-GR" w:eastAsia="el-GR"/>
        </w:rPr>
        <w:t xml:space="preserve"> ανταπόκρισης </w:t>
      </w:r>
      <w:r w:rsidR="00103F2F" w:rsidRPr="002518FB">
        <w:rPr>
          <w:rFonts w:eastAsia="Calibri"/>
          <w:lang w:val="el-GR" w:eastAsia="el-GR"/>
        </w:rPr>
        <w:t>βάσει</w:t>
      </w:r>
      <w:r w:rsidRPr="002518FB">
        <w:rPr>
          <w:rFonts w:eastAsia="Calibri"/>
          <w:lang w:val="el-GR" w:eastAsia="el-GR"/>
        </w:rPr>
        <w:t xml:space="preserve"> CGI-S δεν περιλαμβάνονται 2 μελέτες σε ασθενείς με </w:t>
      </w:r>
      <w:proofErr w:type="spellStart"/>
      <w:r w:rsidR="00103F2F" w:rsidRPr="002518FB">
        <w:rPr>
          <w:rFonts w:eastAsia="Calibri"/>
          <w:lang w:val="el-GR" w:eastAsia="el-GR"/>
        </w:rPr>
        <w:t>συνοδές</w:t>
      </w:r>
      <w:proofErr w:type="spellEnd"/>
      <w:r w:rsidRPr="002518FB">
        <w:rPr>
          <w:rFonts w:eastAsia="Calibri"/>
          <w:lang w:val="el-GR" w:eastAsia="el-GR"/>
        </w:rPr>
        <w:t xml:space="preserve"> διαταραχές (LYBY, LYDQ). Στην ανάλυση </w:t>
      </w:r>
      <w:r w:rsidR="00103F2F" w:rsidRPr="002518FB">
        <w:rPr>
          <w:rFonts w:eastAsia="Calibri"/>
          <w:lang w:val="el-GR" w:eastAsia="el-GR"/>
        </w:rPr>
        <w:t>άμεσης</w:t>
      </w:r>
      <w:r w:rsidRPr="002518FB">
        <w:rPr>
          <w:rFonts w:eastAsia="Calibri"/>
          <w:lang w:val="el-GR" w:eastAsia="el-GR"/>
        </w:rPr>
        <w:t xml:space="preserve"> ανταπόκρισης </w:t>
      </w:r>
      <w:r w:rsidR="00103F2F" w:rsidRPr="002518FB">
        <w:rPr>
          <w:rFonts w:eastAsia="Calibri"/>
          <w:lang w:val="el-GR" w:eastAsia="el-GR"/>
        </w:rPr>
        <w:t>βάσει</w:t>
      </w:r>
      <w:r w:rsidRPr="002518FB">
        <w:rPr>
          <w:rFonts w:eastAsia="Calibri"/>
          <w:lang w:val="el-GR" w:eastAsia="el-GR"/>
        </w:rPr>
        <w:t xml:space="preserve"> CAARS δεν περιλαμβάνεται 1 μελέτη στην οποία δεν χορηγήθηκε η CAARS (LYBY). </w:t>
      </w:r>
    </w:p>
    <w:p w:rsidR="007B2713" w:rsidRPr="002518FB" w:rsidRDefault="007B2713" w:rsidP="007B2713">
      <w:pPr>
        <w:spacing w:after="200" w:line="252" w:lineRule="auto"/>
        <w:rPr>
          <w:rFonts w:eastAsia="Calibri"/>
          <w:sz w:val="22"/>
          <w:szCs w:val="22"/>
          <w:lang w:val="el-GR" w:eastAsia="el-GR"/>
        </w:rPr>
      </w:pPr>
      <w:r w:rsidRPr="002518FB">
        <w:rPr>
          <w:rFonts w:eastAsia="Calibri"/>
          <w:sz w:val="22"/>
          <w:lang w:val="el-GR" w:eastAsia="el-GR"/>
        </w:rPr>
        <w:t xml:space="preserve">Σε δύο από τις μελέτες </w:t>
      </w:r>
      <w:r w:rsidR="00103F2F" w:rsidRPr="002518FB">
        <w:rPr>
          <w:rFonts w:eastAsia="Calibri"/>
          <w:sz w:val="22"/>
          <w:lang w:val="el-GR" w:eastAsia="el-GR"/>
        </w:rPr>
        <w:t>άμεσης</w:t>
      </w:r>
      <w:r w:rsidRPr="002518FB">
        <w:rPr>
          <w:rFonts w:eastAsia="Calibri"/>
          <w:sz w:val="22"/>
          <w:lang w:val="el-GR" w:eastAsia="el-GR"/>
        </w:rPr>
        <w:t xml:space="preserve"> αποτελεσματικότητας, μελετήθηκαν ασθενείς με ΔΕΠΥ και </w:t>
      </w:r>
      <w:r w:rsidR="008A25B6" w:rsidRPr="002518FB">
        <w:rPr>
          <w:rFonts w:eastAsia="Calibri"/>
          <w:sz w:val="22"/>
          <w:lang w:val="el-GR" w:eastAsia="el-GR"/>
        </w:rPr>
        <w:t>συνοδό</w:t>
      </w:r>
      <w:r w:rsidRPr="002518FB">
        <w:rPr>
          <w:rFonts w:eastAsia="Calibri"/>
          <w:sz w:val="22"/>
          <w:lang w:val="el-GR" w:eastAsia="el-GR"/>
        </w:rPr>
        <w:t xml:space="preserve"> αλκοολισμό ή κοινωνική αγχώδη διαταραχή και τα συμπτώματα της ΔΕΠΥ βελτιώθηκαν και στις δύο μελέτες. Στη μελέτη με </w:t>
      </w:r>
      <w:r w:rsidR="008A25B6" w:rsidRPr="002518FB">
        <w:rPr>
          <w:rFonts w:eastAsia="Calibri"/>
          <w:sz w:val="22"/>
          <w:lang w:val="el-GR" w:eastAsia="el-GR"/>
        </w:rPr>
        <w:t>συνοδό</w:t>
      </w:r>
      <w:r w:rsidRPr="002518FB">
        <w:rPr>
          <w:rFonts w:eastAsia="Calibri"/>
          <w:sz w:val="22"/>
          <w:lang w:val="el-GR" w:eastAsia="el-GR"/>
        </w:rPr>
        <w:t xml:space="preserve"> κατάχρηση αλκοόλ, δεν παρατηρήθηκαν διαφορές μεταξύ της </w:t>
      </w:r>
      <w:proofErr w:type="spellStart"/>
      <w:r w:rsidRPr="002518FB">
        <w:rPr>
          <w:rFonts w:eastAsia="Calibri"/>
          <w:sz w:val="22"/>
          <w:lang w:val="el-GR" w:eastAsia="el-GR"/>
        </w:rPr>
        <w:t>ατομοξετίνης</w:t>
      </w:r>
      <w:proofErr w:type="spellEnd"/>
      <w:r w:rsidRPr="002518FB">
        <w:rPr>
          <w:rFonts w:eastAsia="Calibri"/>
          <w:sz w:val="22"/>
          <w:lang w:val="el-GR" w:eastAsia="el-GR"/>
        </w:rPr>
        <w:t xml:space="preserve"> και του εικονικού φαρμάκου ως προς τις συμπεριφορές κατανάλωσης αλκοόλ. Στη μελέτη με </w:t>
      </w:r>
      <w:r w:rsidR="008A25B6" w:rsidRPr="002518FB">
        <w:rPr>
          <w:rFonts w:eastAsia="Calibri"/>
          <w:sz w:val="22"/>
          <w:lang w:val="el-GR" w:eastAsia="el-GR"/>
        </w:rPr>
        <w:t>συνοδό</w:t>
      </w:r>
      <w:r w:rsidRPr="002518FB">
        <w:rPr>
          <w:rFonts w:eastAsia="Calibri"/>
          <w:sz w:val="22"/>
          <w:lang w:val="el-GR" w:eastAsia="el-GR"/>
        </w:rPr>
        <w:t xml:space="preserve"> άγχος, το </w:t>
      </w:r>
      <w:r w:rsidR="008A25B6" w:rsidRPr="002518FB">
        <w:rPr>
          <w:rFonts w:eastAsia="Calibri"/>
          <w:sz w:val="22"/>
          <w:lang w:val="el-GR" w:eastAsia="el-GR"/>
        </w:rPr>
        <w:t>συνοδό</w:t>
      </w:r>
      <w:r w:rsidRPr="002518FB">
        <w:rPr>
          <w:rFonts w:eastAsia="Calibri"/>
          <w:sz w:val="22"/>
          <w:lang w:val="el-GR" w:eastAsia="el-GR"/>
        </w:rPr>
        <w:t xml:space="preserve"> άγχος δεν επιδεινώθηκε με τη θεραπεία της </w:t>
      </w:r>
      <w:proofErr w:type="spellStart"/>
      <w:r w:rsidRPr="002518FB">
        <w:rPr>
          <w:rFonts w:eastAsia="Calibri"/>
          <w:sz w:val="22"/>
          <w:lang w:val="el-GR" w:eastAsia="el-GR"/>
        </w:rPr>
        <w:t>ατομοξετίνης</w:t>
      </w:r>
      <w:proofErr w:type="spellEnd"/>
      <w:r w:rsidRPr="002518FB">
        <w:rPr>
          <w:rFonts w:eastAsia="Calibri"/>
          <w:sz w:val="22"/>
          <w:lang w:val="el-GR" w:eastAsia="el-GR"/>
        </w:rPr>
        <w:t>.</w:t>
      </w:r>
    </w:p>
    <w:p w:rsidR="007B2713" w:rsidRPr="002518FB" w:rsidRDefault="007B2713" w:rsidP="007B2713">
      <w:pPr>
        <w:spacing w:after="200" w:line="252" w:lineRule="auto"/>
        <w:rPr>
          <w:rFonts w:eastAsia="Calibri"/>
          <w:sz w:val="22"/>
          <w:szCs w:val="22"/>
          <w:lang w:val="el-GR" w:eastAsia="el-GR"/>
        </w:rPr>
      </w:pPr>
      <w:r w:rsidRPr="002518FB">
        <w:rPr>
          <w:rFonts w:eastAsia="Calibri"/>
          <w:sz w:val="22"/>
          <w:lang w:val="el-GR" w:eastAsia="el-GR"/>
        </w:rPr>
        <w:t xml:space="preserve">Η αποτελεσματικότητα της </w:t>
      </w:r>
      <w:proofErr w:type="spellStart"/>
      <w:r w:rsidRPr="002518FB">
        <w:rPr>
          <w:rFonts w:eastAsia="Calibri"/>
          <w:sz w:val="22"/>
          <w:lang w:val="el-GR" w:eastAsia="el-GR"/>
        </w:rPr>
        <w:t>ατομοξετίνης</w:t>
      </w:r>
      <w:proofErr w:type="spellEnd"/>
      <w:r w:rsidRPr="002518FB">
        <w:rPr>
          <w:rFonts w:eastAsia="Calibri"/>
          <w:sz w:val="22"/>
          <w:lang w:val="el-GR" w:eastAsia="el-GR"/>
        </w:rPr>
        <w:t xml:space="preserve"> στη διατήρηση της ανταπόκρισης των συμπτωμάτων καταδείχθηκε σε μία μελέτη όπου μετά από αρχική περίοδο δραστικής θεραπείας 24 εβδομάδων, οι ασθενείς που πληρούσαν τα κριτήρια κλινικά σημαντικής ανταπόκρισης (όπως ορίζεται με βάση τη βελτίωση στις βαθμολογίες τόσο της CAARS-Inv:SV όσο και της CGI-S) </w:t>
      </w:r>
      <w:proofErr w:type="spellStart"/>
      <w:r w:rsidRPr="002518FB">
        <w:rPr>
          <w:rFonts w:eastAsia="Calibri"/>
          <w:sz w:val="22"/>
          <w:lang w:val="el-GR" w:eastAsia="el-GR"/>
        </w:rPr>
        <w:t>τυχαιοποιήθηκαν</w:t>
      </w:r>
      <w:proofErr w:type="spellEnd"/>
      <w:r w:rsidRPr="002518FB">
        <w:rPr>
          <w:rFonts w:eastAsia="Calibri"/>
          <w:sz w:val="22"/>
          <w:lang w:val="el-GR" w:eastAsia="el-GR"/>
        </w:rPr>
        <w:t xml:space="preserve"> για να λάβουν </w:t>
      </w:r>
      <w:proofErr w:type="spellStart"/>
      <w:r w:rsidRPr="002518FB">
        <w:rPr>
          <w:rFonts w:eastAsia="Calibri"/>
          <w:sz w:val="22"/>
          <w:lang w:val="el-GR" w:eastAsia="el-GR"/>
        </w:rPr>
        <w:t>ατομοξετίνη</w:t>
      </w:r>
      <w:proofErr w:type="spellEnd"/>
      <w:r w:rsidRPr="002518FB">
        <w:rPr>
          <w:rFonts w:eastAsia="Calibri"/>
          <w:sz w:val="22"/>
          <w:lang w:val="el-GR" w:eastAsia="el-GR"/>
        </w:rPr>
        <w:t xml:space="preserve"> ή εικονικό φάρμακο για 6 επιπρόσθετους μήνες διπλά τυφλής θεραπείας.  Υψηλότερα ποσοστά ασθενών που λάμβαναν θεραπεία με </w:t>
      </w:r>
      <w:proofErr w:type="spellStart"/>
      <w:r w:rsidRPr="002518FB">
        <w:rPr>
          <w:rFonts w:eastAsia="Calibri"/>
          <w:sz w:val="22"/>
          <w:lang w:val="el-GR" w:eastAsia="el-GR"/>
        </w:rPr>
        <w:t>ατομοξετίνη</w:t>
      </w:r>
      <w:proofErr w:type="spellEnd"/>
      <w:r w:rsidRPr="002518FB">
        <w:rPr>
          <w:rFonts w:eastAsia="Calibri"/>
          <w:sz w:val="22"/>
          <w:lang w:val="el-GR" w:eastAsia="el-GR"/>
        </w:rPr>
        <w:t xml:space="preserve"> από </w:t>
      </w:r>
      <w:proofErr w:type="spellStart"/>
      <w:r w:rsidRPr="002518FB">
        <w:rPr>
          <w:rFonts w:eastAsia="Calibri"/>
          <w:sz w:val="22"/>
          <w:lang w:val="el-GR" w:eastAsia="el-GR"/>
        </w:rPr>
        <w:t>ό,τι</w:t>
      </w:r>
      <w:proofErr w:type="spellEnd"/>
      <w:r w:rsidRPr="002518FB">
        <w:rPr>
          <w:rFonts w:eastAsia="Calibri"/>
          <w:sz w:val="22"/>
          <w:lang w:val="el-GR" w:eastAsia="el-GR"/>
        </w:rPr>
        <w:t xml:space="preserve"> ασθενών που λάμβαναν θεραπεία με εικονικό φάρμακο πληρούσαν τα κριτήρια διατήρησης κλινικά σημαντικής ανταπόκρισης κατά την ολοκλήρωση των 6 μηνών (64,3% έναντι 50,0%, p = 0,001). Οι ασθενείς που λάμβαναν θεραπεία με </w:t>
      </w:r>
      <w:proofErr w:type="spellStart"/>
      <w:r w:rsidRPr="002518FB">
        <w:rPr>
          <w:rFonts w:eastAsia="Calibri"/>
          <w:sz w:val="22"/>
          <w:lang w:val="el-GR" w:eastAsia="el-GR"/>
        </w:rPr>
        <w:t>ατομοξετίνη</w:t>
      </w:r>
      <w:proofErr w:type="spellEnd"/>
      <w:r w:rsidRPr="002518FB">
        <w:rPr>
          <w:rFonts w:eastAsia="Calibri"/>
          <w:sz w:val="22"/>
          <w:lang w:val="el-GR" w:eastAsia="el-GR"/>
        </w:rPr>
        <w:t xml:space="preserve"> </w:t>
      </w:r>
      <w:r w:rsidR="008A25B6" w:rsidRPr="002518FB">
        <w:rPr>
          <w:rFonts w:eastAsia="Calibri"/>
          <w:sz w:val="22"/>
          <w:lang w:val="el-GR" w:eastAsia="el-GR"/>
        </w:rPr>
        <w:t>παρουσίασαν</w:t>
      </w:r>
      <w:r w:rsidRPr="002518FB">
        <w:rPr>
          <w:rFonts w:eastAsia="Calibri"/>
          <w:sz w:val="22"/>
          <w:lang w:val="el-GR" w:eastAsia="el-GR"/>
        </w:rPr>
        <w:t xml:space="preserve"> στατιστικά σημαντικά καλύτερη διατήρηση της λειτουργικότητας από </w:t>
      </w:r>
      <w:proofErr w:type="spellStart"/>
      <w:r w:rsidRPr="002518FB">
        <w:rPr>
          <w:rFonts w:eastAsia="Calibri"/>
          <w:sz w:val="22"/>
          <w:lang w:val="el-GR" w:eastAsia="el-GR"/>
        </w:rPr>
        <w:t>ό,τι</w:t>
      </w:r>
      <w:proofErr w:type="spellEnd"/>
      <w:r w:rsidRPr="002518FB">
        <w:rPr>
          <w:rFonts w:eastAsia="Calibri"/>
          <w:sz w:val="22"/>
          <w:lang w:val="el-GR" w:eastAsia="el-GR"/>
        </w:rPr>
        <w:t xml:space="preserve"> οι ασθενείς που λάμβαναν θεραπεία με εικονικό φάρμακο, όπως καταδείχθηκε από χαμηλότερη μέση μεταβολή στη συνολική βαθμολογία Ποιότητας Ζωής στη ΔΕΠΥ Ενηλίκων (</w:t>
      </w:r>
      <w:proofErr w:type="spellStart"/>
      <w:r w:rsidRPr="002518FB">
        <w:rPr>
          <w:rFonts w:eastAsia="Calibri"/>
          <w:sz w:val="22"/>
          <w:lang w:val="el-GR" w:eastAsia="el-GR"/>
        </w:rPr>
        <w:t>AAQoL</w:t>
      </w:r>
      <w:proofErr w:type="spellEnd"/>
      <w:r w:rsidRPr="002518FB">
        <w:rPr>
          <w:rFonts w:eastAsia="Calibri"/>
          <w:sz w:val="22"/>
          <w:lang w:val="el-GR" w:eastAsia="el-GR"/>
        </w:rPr>
        <w:t>) κατά το χρονικό διάστημα των 3 μηνών (p = 0,003) και κατά το χρονικό διάστημα των 6 μηνών (p = 0,002).</w:t>
      </w:r>
    </w:p>
    <w:p w:rsidR="007B2713" w:rsidRPr="002518FB" w:rsidRDefault="00526C72">
      <w:pPr>
        <w:rPr>
          <w:sz w:val="22"/>
          <w:lang w:val="el-GR"/>
        </w:rPr>
      </w:pPr>
      <w:r w:rsidRPr="002518FB">
        <w:rPr>
          <w:i/>
          <w:sz w:val="22"/>
          <w:szCs w:val="22"/>
          <w:lang w:val="el-GR" w:eastAsia="el-GR"/>
        </w:rPr>
        <w:t xml:space="preserve">Μελέτη QT/QTc </w:t>
      </w:r>
    </w:p>
    <w:p w:rsidR="003B7CF9" w:rsidRPr="002518FB" w:rsidRDefault="006D3EF3">
      <w:pPr>
        <w:rPr>
          <w:sz w:val="22"/>
          <w:lang w:val="el-GR"/>
        </w:rPr>
      </w:pPr>
      <w:r w:rsidRPr="002518FB">
        <w:rPr>
          <w:sz w:val="22"/>
          <w:lang w:val="el-GR"/>
        </w:rPr>
        <w:t xml:space="preserve">Μία λεπτομερής </w:t>
      </w:r>
      <w:r w:rsidR="000F3434" w:rsidRPr="002518FB">
        <w:rPr>
          <w:sz w:val="22"/>
          <w:lang w:val="el-GR"/>
        </w:rPr>
        <w:t>QT</w:t>
      </w:r>
      <w:r w:rsidRPr="002518FB">
        <w:rPr>
          <w:sz w:val="22"/>
          <w:lang w:val="el-GR"/>
        </w:rPr>
        <w:t>/</w:t>
      </w:r>
      <w:r w:rsidR="000F3434" w:rsidRPr="002518FB">
        <w:rPr>
          <w:sz w:val="22"/>
          <w:lang w:val="el-GR"/>
        </w:rPr>
        <w:t>QTc</w:t>
      </w:r>
      <w:r w:rsidRPr="002518FB">
        <w:rPr>
          <w:sz w:val="22"/>
          <w:lang w:val="el-GR"/>
        </w:rPr>
        <w:t xml:space="preserve"> μελέτη, που διεξήχθη σε υγιείς ενήλικες με </w:t>
      </w:r>
      <w:r w:rsidR="000F3434" w:rsidRPr="002518FB">
        <w:rPr>
          <w:sz w:val="22"/>
          <w:lang w:val="el-GR"/>
        </w:rPr>
        <w:t>CYP</w:t>
      </w:r>
      <w:r w:rsidRPr="002518FB">
        <w:rPr>
          <w:sz w:val="22"/>
          <w:lang w:val="el-GR"/>
        </w:rPr>
        <w:t>2</w:t>
      </w:r>
      <w:r w:rsidR="000F3434" w:rsidRPr="002518FB">
        <w:rPr>
          <w:sz w:val="22"/>
          <w:lang w:val="el-GR"/>
        </w:rPr>
        <w:t>D</w:t>
      </w:r>
      <w:r w:rsidRPr="002518FB">
        <w:rPr>
          <w:sz w:val="22"/>
          <w:lang w:val="el-GR"/>
        </w:rPr>
        <w:t xml:space="preserve">6 πτωχούς </w:t>
      </w:r>
      <w:proofErr w:type="spellStart"/>
      <w:r w:rsidRPr="002518FB">
        <w:rPr>
          <w:sz w:val="22"/>
          <w:lang w:val="el-GR"/>
        </w:rPr>
        <w:t>μεταβολιστές</w:t>
      </w:r>
      <w:proofErr w:type="spellEnd"/>
      <w:r w:rsidRPr="002518FB">
        <w:rPr>
          <w:sz w:val="22"/>
          <w:lang w:val="el-GR"/>
        </w:rPr>
        <w:t xml:space="preserve"> (ΠΜ) τα άτομα που έλαβαν δόση 60 </w:t>
      </w:r>
      <w:proofErr w:type="spellStart"/>
      <w:r w:rsidR="000F3434" w:rsidRPr="002518FB">
        <w:rPr>
          <w:sz w:val="22"/>
          <w:lang w:val="el-GR"/>
        </w:rPr>
        <w:t>mg</w:t>
      </w:r>
      <w:proofErr w:type="spellEnd"/>
      <w:r w:rsidRPr="002518FB">
        <w:rPr>
          <w:sz w:val="22"/>
          <w:lang w:val="el-GR"/>
        </w:rPr>
        <w:t xml:space="preserve"> </w:t>
      </w:r>
      <w:proofErr w:type="spellStart"/>
      <w:r w:rsidRPr="002518FB">
        <w:rPr>
          <w:sz w:val="22"/>
          <w:lang w:val="el-GR"/>
        </w:rPr>
        <w:t>ατομοξετίνης</w:t>
      </w:r>
      <w:proofErr w:type="spellEnd"/>
      <w:r w:rsidRPr="002518FB">
        <w:rPr>
          <w:sz w:val="22"/>
          <w:lang w:val="el-GR"/>
        </w:rPr>
        <w:t xml:space="preserve"> </w:t>
      </w:r>
      <w:r w:rsidR="000F3434" w:rsidRPr="002518FB">
        <w:rPr>
          <w:sz w:val="22"/>
          <w:lang w:val="el-GR"/>
        </w:rPr>
        <w:t>BID</w:t>
      </w:r>
      <w:r w:rsidRPr="002518FB">
        <w:rPr>
          <w:sz w:val="22"/>
          <w:lang w:val="el-GR"/>
        </w:rPr>
        <w:t xml:space="preserve">, </w:t>
      </w:r>
      <w:r w:rsidR="0084546E" w:rsidRPr="002518FB">
        <w:rPr>
          <w:sz w:val="22"/>
          <w:lang w:val="el-GR"/>
        </w:rPr>
        <w:t>έδειξε</w:t>
      </w:r>
      <w:r w:rsidRPr="002518FB">
        <w:rPr>
          <w:sz w:val="22"/>
          <w:lang w:val="el-GR"/>
        </w:rPr>
        <w:t xml:space="preserve"> ότι στις μέγιστες αναμενόμενες συγκεντρώσεις η επίδραση της </w:t>
      </w:r>
      <w:proofErr w:type="spellStart"/>
      <w:r w:rsidRPr="002518FB">
        <w:rPr>
          <w:sz w:val="22"/>
          <w:lang w:val="el-GR"/>
        </w:rPr>
        <w:t>ατομοξετίνης</w:t>
      </w:r>
      <w:proofErr w:type="spellEnd"/>
      <w:r w:rsidRPr="002518FB">
        <w:rPr>
          <w:sz w:val="22"/>
          <w:lang w:val="el-GR"/>
        </w:rPr>
        <w:t xml:space="preserve"> στο διάστημα </w:t>
      </w:r>
      <w:proofErr w:type="spellStart"/>
      <w:r w:rsidR="000F3434" w:rsidRPr="002518FB">
        <w:rPr>
          <w:sz w:val="22"/>
          <w:lang w:val="el-GR"/>
        </w:rPr>
        <w:t>QTc</w:t>
      </w:r>
      <w:proofErr w:type="spellEnd"/>
      <w:r w:rsidRPr="002518FB">
        <w:rPr>
          <w:sz w:val="22"/>
          <w:lang w:val="el-GR"/>
        </w:rPr>
        <w:t xml:space="preserve"> δεν διέφερε σημαντικά από αυτή του εικονικού φαρμάκου (</w:t>
      </w:r>
      <w:proofErr w:type="spellStart"/>
      <w:r w:rsidR="000F3434" w:rsidRPr="002518FB">
        <w:rPr>
          <w:sz w:val="22"/>
          <w:lang w:val="el-GR"/>
        </w:rPr>
        <w:t>placebo</w:t>
      </w:r>
      <w:proofErr w:type="spellEnd"/>
      <w:r w:rsidRPr="002518FB">
        <w:rPr>
          <w:sz w:val="22"/>
          <w:lang w:val="el-GR"/>
        </w:rPr>
        <w:t xml:space="preserve">). Υπήρξε μια μικρή αύξηση του </w:t>
      </w:r>
      <w:proofErr w:type="spellStart"/>
      <w:r w:rsidR="000F3434" w:rsidRPr="002518FB">
        <w:rPr>
          <w:sz w:val="22"/>
          <w:lang w:val="el-GR"/>
        </w:rPr>
        <w:t>QTc</w:t>
      </w:r>
      <w:proofErr w:type="spellEnd"/>
      <w:r w:rsidRPr="002518FB">
        <w:rPr>
          <w:sz w:val="22"/>
          <w:lang w:val="el-GR"/>
        </w:rPr>
        <w:t xml:space="preserve"> διαστήματος </w:t>
      </w:r>
      <w:r w:rsidR="00FD0844" w:rsidRPr="002518FB">
        <w:rPr>
          <w:sz w:val="22"/>
          <w:lang w:val="el-GR"/>
        </w:rPr>
        <w:t xml:space="preserve">όταν ήταν αυξημένη </w:t>
      </w:r>
      <w:r w:rsidR="00B219D9" w:rsidRPr="002518FB">
        <w:rPr>
          <w:sz w:val="22"/>
          <w:lang w:val="el-GR"/>
        </w:rPr>
        <w:t xml:space="preserve">η συγκέντρωση της </w:t>
      </w:r>
      <w:proofErr w:type="spellStart"/>
      <w:r w:rsidR="00B219D9" w:rsidRPr="002518FB">
        <w:rPr>
          <w:sz w:val="22"/>
          <w:lang w:val="el-GR"/>
        </w:rPr>
        <w:t>ατομοξετίνης</w:t>
      </w:r>
      <w:proofErr w:type="spellEnd"/>
      <w:r w:rsidR="00B219D9" w:rsidRPr="002518FB">
        <w:rPr>
          <w:sz w:val="22"/>
          <w:lang w:val="el-GR"/>
        </w:rPr>
        <w:t>.</w:t>
      </w:r>
    </w:p>
    <w:p w:rsidR="003B7CF9" w:rsidRPr="002518FB" w:rsidRDefault="003B7CF9">
      <w:pPr>
        <w:rPr>
          <w:sz w:val="22"/>
          <w:lang w:val="el-GR"/>
        </w:rPr>
      </w:pPr>
    </w:p>
    <w:p w:rsidR="00006638" w:rsidRDefault="00006638">
      <w:pPr>
        <w:ind w:left="567" w:hanging="567"/>
        <w:rPr>
          <w:b/>
          <w:sz w:val="22"/>
          <w:lang w:val="en-US"/>
        </w:rPr>
      </w:pPr>
    </w:p>
    <w:p w:rsidR="006D2D93" w:rsidRPr="002518FB" w:rsidRDefault="006D2D93">
      <w:pPr>
        <w:ind w:left="567" w:hanging="567"/>
        <w:rPr>
          <w:sz w:val="22"/>
          <w:lang w:val="el-GR"/>
        </w:rPr>
      </w:pPr>
      <w:r w:rsidRPr="002518FB">
        <w:rPr>
          <w:b/>
          <w:sz w:val="22"/>
          <w:lang w:val="el-GR"/>
        </w:rPr>
        <w:lastRenderedPageBreak/>
        <w:t>5.2</w:t>
      </w:r>
      <w:r w:rsidRPr="002518FB">
        <w:rPr>
          <w:b/>
          <w:sz w:val="22"/>
          <w:lang w:val="el-GR"/>
        </w:rPr>
        <w:tab/>
      </w:r>
      <w:proofErr w:type="spellStart"/>
      <w:r w:rsidRPr="002518FB">
        <w:rPr>
          <w:b/>
          <w:bCs/>
          <w:sz w:val="22"/>
          <w:lang w:val="el-GR"/>
        </w:rPr>
        <w:t>Φαρμακοκινητικές</w:t>
      </w:r>
      <w:proofErr w:type="spellEnd"/>
      <w:r w:rsidRPr="002518FB">
        <w:rPr>
          <w:b/>
          <w:bCs/>
          <w:sz w:val="22"/>
          <w:lang w:val="el-GR"/>
        </w:rPr>
        <w:t xml:space="preserve"> ιδιότητες</w:t>
      </w:r>
    </w:p>
    <w:p w:rsidR="006D2D93" w:rsidRPr="002518FB" w:rsidRDefault="006D2D93">
      <w:pPr>
        <w:rPr>
          <w:sz w:val="22"/>
          <w:lang w:val="el-GR"/>
        </w:rPr>
      </w:pPr>
    </w:p>
    <w:p w:rsidR="006D2D93" w:rsidRPr="002518FB" w:rsidRDefault="006D2D93">
      <w:pPr>
        <w:rPr>
          <w:sz w:val="22"/>
          <w:lang w:val="el-GR"/>
        </w:rPr>
      </w:pPr>
      <w:r w:rsidRPr="002518FB">
        <w:rPr>
          <w:sz w:val="22"/>
          <w:lang w:val="el-GR"/>
        </w:rPr>
        <w:t xml:space="preserve">Η </w:t>
      </w:r>
      <w:proofErr w:type="spellStart"/>
      <w:r w:rsidRPr="002518FB">
        <w:rPr>
          <w:sz w:val="22"/>
          <w:lang w:val="el-GR"/>
        </w:rPr>
        <w:t>φαρμακοκινητική</w:t>
      </w:r>
      <w:proofErr w:type="spellEnd"/>
      <w:r w:rsidRPr="002518FB">
        <w:rPr>
          <w:sz w:val="22"/>
          <w:lang w:val="el-GR"/>
        </w:rPr>
        <w:t xml:space="preserve"> της </w:t>
      </w:r>
      <w:proofErr w:type="spellStart"/>
      <w:r w:rsidRPr="002518FB">
        <w:rPr>
          <w:sz w:val="22"/>
          <w:szCs w:val="22"/>
          <w:lang w:val="el-GR"/>
        </w:rPr>
        <w:t>ατομοξετίνης</w:t>
      </w:r>
      <w:proofErr w:type="spellEnd"/>
      <w:r w:rsidRPr="002518FB">
        <w:rPr>
          <w:sz w:val="22"/>
          <w:szCs w:val="22"/>
          <w:lang w:val="el-GR"/>
        </w:rPr>
        <w:t xml:space="preserve"> σε παιδιά και εφήβους είναι παρόμοια με αυτή των ενηλίκων ασθενών.</w:t>
      </w:r>
      <w:r w:rsidRPr="002518FB">
        <w:rPr>
          <w:sz w:val="22"/>
          <w:lang w:val="el-GR"/>
        </w:rPr>
        <w:t xml:space="preserve"> Η </w:t>
      </w:r>
      <w:proofErr w:type="spellStart"/>
      <w:r w:rsidRPr="002518FB">
        <w:rPr>
          <w:sz w:val="22"/>
          <w:lang w:val="el-GR"/>
        </w:rPr>
        <w:t>φαρμακοκινητική</w:t>
      </w:r>
      <w:proofErr w:type="spellEnd"/>
      <w:r w:rsidRPr="002518FB">
        <w:rPr>
          <w:sz w:val="22"/>
          <w:lang w:val="el-GR"/>
        </w:rPr>
        <w:t xml:space="preserve"> της </w:t>
      </w:r>
      <w:proofErr w:type="spellStart"/>
      <w:r w:rsidRPr="002518FB">
        <w:rPr>
          <w:sz w:val="22"/>
          <w:szCs w:val="22"/>
          <w:lang w:val="el-GR"/>
        </w:rPr>
        <w:t>ατομοξετίνης</w:t>
      </w:r>
      <w:proofErr w:type="spellEnd"/>
      <w:r w:rsidRPr="002518FB">
        <w:rPr>
          <w:sz w:val="22"/>
          <w:szCs w:val="22"/>
          <w:lang w:val="el-GR"/>
        </w:rPr>
        <w:t xml:space="preserve"> </w:t>
      </w:r>
      <w:r w:rsidRPr="002518FB">
        <w:rPr>
          <w:sz w:val="22"/>
          <w:lang w:val="el-GR"/>
        </w:rPr>
        <w:t>δεν έχει αξιολογηθεί σε παιδιά κάτω των 6 ετών.</w:t>
      </w:r>
    </w:p>
    <w:p w:rsidR="006D2D93" w:rsidRPr="002518FB" w:rsidRDefault="006D2D93">
      <w:pPr>
        <w:rPr>
          <w:sz w:val="22"/>
          <w:lang w:val="el-GR"/>
        </w:rPr>
      </w:pPr>
    </w:p>
    <w:p w:rsidR="006D2D93" w:rsidRPr="002518FB" w:rsidRDefault="0021494E">
      <w:pPr>
        <w:rPr>
          <w:sz w:val="22"/>
          <w:lang w:val="el-GR"/>
        </w:rPr>
      </w:pPr>
      <w:r w:rsidRPr="002518FB">
        <w:rPr>
          <w:i/>
          <w:sz w:val="22"/>
          <w:lang w:val="el-GR"/>
        </w:rPr>
        <w:t>Απορρόφηση</w:t>
      </w:r>
      <w:r w:rsidR="006D2D93" w:rsidRPr="002518FB">
        <w:rPr>
          <w:sz w:val="22"/>
          <w:lang w:val="el-GR"/>
        </w:rPr>
        <w:t>: Η</w:t>
      </w:r>
      <w:r w:rsidR="006D2D93" w:rsidRPr="002518FB">
        <w:rPr>
          <w:sz w:val="22"/>
          <w:szCs w:val="22"/>
          <w:lang w:val="el-GR"/>
        </w:rPr>
        <w:t xml:space="preserve"> </w:t>
      </w:r>
      <w:proofErr w:type="spellStart"/>
      <w:r w:rsidR="006D2D93" w:rsidRPr="002518FB">
        <w:rPr>
          <w:sz w:val="22"/>
          <w:szCs w:val="22"/>
          <w:lang w:val="el-GR"/>
        </w:rPr>
        <w:t>ατομοξετίνη</w:t>
      </w:r>
      <w:proofErr w:type="spellEnd"/>
      <w:r w:rsidR="006D2D93" w:rsidRPr="002518FB">
        <w:rPr>
          <w:sz w:val="22"/>
          <w:szCs w:val="22"/>
          <w:lang w:val="el-GR"/>
        </w:rPr>
        <w:t xml:space="preserve"> </w:t>
      </w:r>
      <w:r w:rsidR="006D2D93" w:rsidRPr="002518FB">
        <w:rPr>
          <w:sz w:val="22"/>
          <w:lang w:val="el-GR"/>
        </w:rPr>
        <w:t>απορροφάται γρήγορα και σχεδόν πλήρως, μετά τη χορήγηση από του στόματος, φθάνοντας τη μέση μέγιστη παρατηρούμενη συγκέντρωση πλάσματος (</w:t>
      </w:r>
      <w:r w:rsidR="000F3434" w:rsidRPr="002518FB">
        <w:rPr>
          <w:sz w:val="22"/>
          <w:lang w:val="el-GR"/>
        </w:rPr>
        <w:t>C</w:t>
      </w:r>
      <w:proofErr w:type="spellStart"/>
      <w:r w:rsidR="000F3434" w:rsidRPr="002518FB">
        <w:rPr>
          <w:position w:val="-4"/>
          <w:sz w:val="22"/>
          <w:vertAlign w:val="subscript"/>
          <w:lang w:val="el-GR"/>
        </w:rPr>
        <w:t>max</w:t>
      </w:r>
      <w:proofErr w:type="spellEnd"/>
      <w:r w:rsidR="006D2D93" w:rsidRPr="002518FB">
        <w:rPr>
          <w:sz w:val="22"/>
          <w:lang w:val="el-GR"/>
        </w:rPr>
        <w:t xml:space="preserve">) περίπου σε 1 έως 2 ώρες μετά τη χορήγηση. Η απόλυτη βιοδιαθεσιμότητα της </w:t>
      </w:r>
      <w:proofErr w:type="spellStart"/>
      <w:r w:rsidR="006D2D93" w:rsidRPr="002518FB">
        <w:rPr>
          <w:sz w:val="22"/>
          <w:szCs w:val="22"/>
          <w:lang w:val="el-GR"/>
        </w:rPr>
        <w:t>ατομοξετίνης</w:t>
      </w:r>
      <w:proofErr w:type="spellEnd"/>
      <w:r w:rsidR="006D2D93" w:rsidRPr="002518FB">
        <w:rPr>
          <w:sz w:val="22"/>
          <w:szCs w:val="22"/>
          <w:lang w:val="el-GR"/>
        </w:rPr>
        <w:t>,</w:t>
      </w:r>
      <w:r w:rsidR="006D2D93" w:rsidRPr="002518FB">
        <w:rPr>
          <w:sz w:val="22"/>
          <w:lang w:val="el-GR"/>
        </w:rPr>
        <w:t xml:space="preserve"> μετά την από του στόματος χορήγηση, κυμάνθηκε από 63</w:t>
      </w:r>
      <w:r w:rsidR="00B03903" w:rsidRPr="002518FB">
        <w:rPr>
          <w:sz w:val="22"/>
          <w:lang w:val="el-GR"/>
        </w:rPr>
        <w:t xml:space="preserve"> </w:t>
      </w:r>
      <w:r w:rsidR="006D2D93" w:rsidRPr="002518FB">
        <w:rPr>
          <w:sz w:val="22"/>
          <w:lang w:val="el-GR"/>
        </w:rPr>
        <w:t>% έως 94</w:t>
      </w:r>
      <w:r w:rsidR="00B03903" w:rsidRPr="002518FB">
        <w:rPr>
          <w:sz w:val="22"/>
          <w:lang w:val="el-GR"/>
        </w:rPr>
        <w:t xml:space="preserve"> </w:t>
      </w:r>
      <w:r w:rsidR="006D2D93" w:rsidRPr="002518FB">
        <w:rPr>
          <w:sz w:val="22"/>
          <w:lang w:val="el-GR"/>
        </w:rPr>
        <w:t xml:space="preserve">%, ανάλογα με τις </w:t>
      </w:r>
      <w:proofErr w:type="spellStart"/>
      <w:r w:rsidR="006D2D93" w:rsidRPr="002518FB">
        <w:rPr>
          <w:sz w:val="22"/>
          <w:lang w:val="el-GR"/>
        </w:rPr>
        <w:t>διατομικές</w:t>
      </w:r>
      <w:proofErr w:type="spellEnd"/>
      <w:r w:rsidR="006D2D93" w:rsidRPr="002518FB">
        <w:rPr>
          <w:sz w:val="22"/>
          <w:lang w:val="el-GR"/>
        </w:rPr>
        <w:t xml:space="preserve"> διαφορές, σχετικά με το μεταβολισμό της πρώτης διόδου. Η </w:t>
      </w:r>
      <w:proofErr w:type="spellStart"/>
      <w:r w:rsidR="006D2D93" w:rsidRPr="002518FB">
        <w:rPr>
          <w:sz w:val="22"/>
          <w:szCs w:val="22"/>
          <w:lang w:val="el-GR"/>
        </w:rPr>
        <w:t>ατομοξετίνη</w:t>
      </w:r>
      <w:proofErr w:type="spellEnd"/>
      <w:r w:rsidR="006D2D93" w:rsidRPr="002518FB">
        <w:rPr>
          <w:sz w:val="22"/>
          <w:szCs w:val="22"/>
          <w:lang w:val="el-GR"/>
        </w:rPr>
        <w:t xml:space="preserve"> μπορεί να χορηγηθεί με ή χωρίς τροφή</w:t>
      </w:r>
      <w:r w:rsidR="006D2D93" w:rsidRPr="002518FB">
        <w:rPr>
          <w:sz w:val="22"/>
          <w:lang w:val="el-GR"/>
        </w:rPr>
        <w:t>.</w:t>
      </w:r>
    </w:p>
    <w:p w:rsidR="006D2D93" w:rsidRPr="002518FB" w:rsidRDefault="006D2D93">
      <w:pPr>
        <w:rPr>
          <w:sz w:val="22"/>
          <w:lang w:val="el-GR"/>
        </w:rPr>
      </w:pPr>
    </w:p>
    <w:p w:rsidR="006D2D93" w:rsidRPr="002518FB" w:rsidRDefault="0021494E">
      <w:pPr>
        <w:rPr>
          <w:sz w:val="22"/>
          <w:lang w:val="el-GR"/>
        </w:rPr>
      </w:pPr>
      <w:r w:rsidRPr="002518FB">
        <w:rPr>
          <w:i/>
          <w:sz w:val="22"/>
          <w:lang w:val="el-GR"/>
        </w:rPr>
        <w:t>Κατανομή</w:t>
      </w:r>
      <w:r w:rsidR="006D2D93" w:rsidRPr="002518FB">
        <w:rPr>
          <w:sz w:val="22"/>
          <w:lang w:val="el-GR"/>
        </w:rPr>
        <w:t>: Η</w:t>
      </w:r>
      <w:r w:rsidR="006D2D93" w:rsidRPr="002518FB">
        <w:rPr>
          <w:sz w:val="22"/>
          <w:szCs w:val="22"/>
          <w:lang w:val="el-GR"/>
        </w:rPr>
        <w:t xml:space="preserve"> </w:t>
      </w:r>
      <w:proofErr w:type="spellStart"/>
      <w:r w:rsidR="006D2D93" w:rsidRPr="002518FB">
        <w:rPr>
          <w:sz w:val="22"/>
          <w:szCs w:val="22"/>
          <w:lang w:val="el-GR"/>
        </w:rPr>
        <w:t>ατομοξετίνη</w:t>
      </w:r>
      <w:proofErr w:type="spellEnd"/>
      <w:r w:rsidR="006D2D93" w:rsidRPr="002518FB">
        <w:rPr>
          <w:sz w:val="22"/>
          <w:szCs w:val="22"/>
          <w:lang w:val="el-GR"/>
        </w:rPr>
        <w:t xml:space="preserve"> κατανέμεται εκτενώς και συνδέεται σε μεγάλο βαθμό</w:t>
      </w:r>
      <w:r w:rsidR="006D2D93" w:rsidRPr="002518FB">
        <w:rPr>
          <w:sz w:val="22"/>
          <w:lang w:val="el-GR"/>
        </w:rPr>
        <w:t xml:space="preserve"> (98</w:t>
      </w:r>
      <w:r w:rsidR="001949E4" w:rsidRPr="002518FB">
        <w:rPr>
          <w:sz w:val="22"/>
          <w:lang w:val="el-GR"/>
        </w:rPr>
        <w:t xml:space="preserve"> </w:t>
      </w:r>
      <w:r w:rsidR="006D2D93" w:rsidRPr="002518FB">
        <w:rPr>
          <w:sz w:val="22"/>
          <w:lang w:val="el-GR"/>
        </w:rPr>
        <w:t xml:space="preserve">%) με τις πρωτεΐνες του πλάσματος κυρίως με τη </w:t>
      </w:r>
      <w:proofErr w:type="spellStart"/>
      <w:r w:rsidR="006D2D93" w:rsidRPr="002518FB">
        <w:rPr>
          <w:sz w:val="22"/>
          <w:lang w:val="el-GR"/>
        </w:rPr>
        <w:t>λευκωματίνη</w:t>
      </w:r>
      <w:proofErr w:type="spellEnd"/>
      <w:r w:rsidR="006D2D93" w:rsidRPr="002518FB">
        <w:rPr>
          <w:sz w:val="22"/>
          <w:lang w:val="el-GR"/>
        </w:rPr>
        <w:t>.</w:t>
      </w:r>
    </w:p>
    <w:p w:rsidR="006D2D93" w:rsidRPr="002518FB" w:rsidRDefault="006D2D93">
      <w:pPr>
        <w:rPr>
          <w:sz w:val="22"/>
          <w:lang w:val="el-GR"/>
        </w:rPr>
      </w:pPr>
    </w:p>
    <w:p w:rsidR="006D2D93" w:rsidRPr="002518FB" w:rsidRDefault="0021494E">
      <w:pPr>
        <w:rPr>
          <w:sz w:val="22"/>
          <w:lang w:val="el-GR"/>
        </w:rPr>
      </w:pPr>
      <w:proofErr w:type="spellStart"/>
      <w:r w:rsidRPr="002518FB">
        <w:rPr>
          <w:i/>
          <w:sz w:val="22"/>
          <w:lang w:val="el-GR"/>
        </w:rPr>
        <w:t>Βιομετατροπή</w:t>
      </w:r>
      <w:proofErr w:type="spellEnd"/>
      <w:r w:rsidR="006D2D93" w:rsidRPr="002518FB">
        <w:rPr>
          <w:sz w:val="22"/>
          <w:lang w:val="el-GR"/>
        </w:rPr>
        <w:t>: Η</w:t>
      </w:r>
      <w:r w:rsidR="006D2D93" w:rsidRPr="002518FB">
        <w:rPr>
          <w:sz w:val="22"/>
          <w:szCs w:val="22"/>
          <w:lang w:val="el-GR"/>
        </w:rPr>
        <w:t xml:space="preserve"> </w:t>
      </w:r>
      <w:proofErr w:type="spellStart"/>
      <w:r w:rsidR="006D2D93" w:rsidRPr="002518FB">
        <w:rPr>
          <w:sz w:val="22"/>
          <w:szCs w:val="22"/>
          <w:lang w:val="el-GR"/>
        </w:rPr>
        <w:t>ατομοξετίνη</w:t>
      </w:r>
      <w:proofErr w:type="spellEnd"/>
      <w:r w:rsidR="006D2D93" w:rsidRPr="002518FB">
        <w:rPr>
          <w:sz w:val="22"/>
          <w:szCs w:val="22"/>
          <w:lang w:val="el-GR"/>
        </w:rPr>
        <w:t xml:space="preserve"> </w:t>
      </w:r>
      <w:r w:rsidR="006D2D93" w:rsidRPr="002518FB">
        <w:rPr>
          <w:sz w:val="22"/>
          <w:lang w:val="el-GR"/>
        </w:rPr>
        <w:t xml:space="preserve">υφίσταται </w:t>
      </w:r>
      <w:proofErr w:type="spellStart"/>
      <w:r w:rsidR="006D2D93" w:rsidRPr="002518FB">
        <w:rPr>
          <w:sz w:val="22"/>
          <w:lang w:val="el-GR"/>
        </w:rPr>
        <w:t>βιομετατροπή</w:t>
      </w:r>
      <w:proofErr w:type="spellEnd"/>
      <w:r w:rsidR="006D2D93" w:rsidRPr="002518FB">
        <w:rPr>
          <w:sz w:val="22"/>
          <w:lang w:val="el-GR"/>
        </w:rPr>
        <w:t xml:space="preserve"> κυρίως μέσω της </w:t>
      </w:r>
      <w:proofErr w:type="spellStart"/>
      <w:r w:rsidR="006D2D93" w:rsidRPr="002518FB">
        <w:rPr>
          <w:sz w:val="22"/>
          <w:lang w:val="el-GR"/>
        </w:rPr>
        <w:t>ενζυμικής</w:t>
      </w:r>
      <w:proofErr w:type="spellEnd"/>
      <w:r w:rsidR="006D2D93" w:rsidRPr="002518FB">
        <w:rPr>
          <w:sz w:val="22"/>
          <w:lang w:val="el-GR"/>
        </w:rPr>
        <w:t xml:space="preserve"> οδού του κυτοχρώματος </w:t>
      </w:r>
      <w:r w:rsidR="000F3434" w:rsidRPr="002518FB">
        <w:rPr>
          <w:sz w:val="22"/>
          <w:lang w:val="el-GR"/>
        </w:rPr>
        <w:t>P</w:t>
      </w:r>
      <w:r w:rsidR="006D2D93" w:rsidRPr="002518FB">
        <w:rPr>
          <w:sz w:val="22"/>
          <w:lang w:val="el-GR"/>
        </w:rPr>
        <w:t>450 2</w:t>
      </w:r>
      <w:r w:rsidR="000F3434" w:rsidRPr="002518FB">
        <w:rPr>
          <w:sz w:val="22"/>
          <w:lang w:val="el-GR"/>
        </w:rPr>
        <w:t>D</w:t>
      </w:r>
      <w:r w:rsidR="006D2D93" w:rsidRPr="002518FB">
        <w:rPr>
          <w:sz w:val="22"/>
          <w:lang w:val="el-GR"/>
        </w:rPr>
        <w:t>6 (</w:t>
      </w:r>
      <w:r w:rsidR="000F3434" w:rsidRPr="002518FB">
        <w:rPr>
          <w:sz w:val="22"/>
          <w:lang w:val="el-GR"/>
        </w:rPr>
        <w:t>CYP</w:t>
      </w:r>
      <w:r w:rsidR="006D2D93" w:rsidRPr="002518FB">
        <w:rPr>
          <w:sz w:val="22"/>
          <w:lang w:val="el-GR"/>
        </w:rPr>
        <w:t>2</w:t>
      </w:r>
      <w:r w:rsidR="000F3434" w:rsidRPr="002518FB">
        <w:rPr>
          <w:sz w:val="22"/>
          <w:lang w:val="el-GR"/>
        </w:rPr>
        <w:t>D</w:t>
      </w:r>
      <w:r w:rsidR="006D2D93" w:rsidRPr="002518FB">
        <w:rPr>
          <w:sz w:val="22"/>
          <w:lang w:val="el-GR"/>
        </w:rPr>
        <w:t>6).</w:t>
      </w:r>
      <w:r w:rsidR="00EF52E5" w:rsidRPr="002518FB">
        <w:rPr>
          <w:sz w:val="22"/>
          <w:lang w:val="el-GR"/>
        </w:rPr>
        <w:t xml:space="preserve"> Άτομα με μειωμένη δραστηριότητα</w:t>
      </w:r>
      <w:r w:rsidR="00746F29" w:rsidRPr="002518FB">
        <w:rPr>
          <w:sz w:val="22"/>
          <w:lang w:val="el-GR"/>
        </w:rPr>
        <w:t xml:space="preserve"> της οδού αυτής (</w:t>
      </w:r>
      <w:r w:rsidR="00B52C1B" w:rsidRPr="002518FB">
        <w:rPr>
          <w:sz w:val="22"/>
          <w:lang w:val="el-GR"/>
        </w:rPr>
        <w:t xml:space="preserve">πτωχοί </w:t>
      </w:r>
      <w:proofErr w:type="spellStart"/>
      <w:r w:rsidR="00B52C1B" w:rsidRPr="002518FB">
        <w:rPr>
          <w:sz w:val="22"/>
          <w:lang w:val="el-GR"/>
        </w:rPr>
        <w:t>μεταβολ</w:t>
      </w:r>
      <w:r w:rsidR="00983A12" w:rsidRPr="002518FB">
        <w:rPr>
          <w:sz w:val="22"/>
          <w:lang w:val="el-GR"/>
        </w:rPr>
        <w:t>ι</w:t>
      </w:r>
      <w:r w:rsidR="00B52C1B" w:rsidRPr="002518FB">
        <w:rPr>
          <w:sz w:val="22"/>
          <w:lang w:val="el-GR"/>
        </w:rPr>
        <w:t>στ</w:t>
      </w:r>
      <w:r w:rsidR="00983A12" w:rsidRPr="002518FB">
        <w:rPr>
          <w:sz w:val="22"/>
          <w:lang w:val="el-GR"/>
        </w:rPr>
        <w:t>έ</w:t>
      </w:r>
      <w:r w:rsidR="00B52C1B" w:rsidRPr="002518FB">
        <w:rPr>
          <w:sz w:val="22"/>
          <w:lang w:val="el-GR"/>
        </w:rPr>
        <w:t>ς</w:t>
      </w:r>
      <w:proofErr w:type="spellEnd"/>
      <w:r w:rsidR="00746F29" w:rsidRPr="002518FB">
        <w:rPr>
          <w:sz w:val="22"/>
          <w:lang w:val="el-GR"/>
        </w:rPr>
        <w:t>) αποτελούν περίπου το 7</w:t>
      </w:r>
      <w:r w:rsidR="001949E4" w:rsidRPr="002518FB">
        <w:rPr>
          <w:sz w:val="22"/>
          <w:lang w:val="el-GR"/>
        </w:rPr>
        <w:t xml:space="preserve"> </w:t>
      </w:r>
      <w:r w:rsidR="00746F29" w:rsidRPr="002518FB">
        <w:rPr>
          <w:sz w:val="22"/>
          <w:lang w:val="el-GR"/>
        </w:rPr>
        <w:t xml:space="preserve">% του </w:t>
      </w:r>
      <w:r w:rsidR="00EF52E5" w:rsidRPr="002518FB">
        <w:rPr>
          <w:sz w:val="22"/>
          <w:lang w:val="el-GR"/>
        </w:rPr>
        <w:t>Καυκ</w:t>
      </w:r>
      <w:r w:rsidR="00D04225" w:rsidRPr="002518FB">
        <w:rPr>
          <w:sz w:val="22"/>
          <w:lang w:val="el-GR"/>
        </w:rPr>
        <w:t>ά</w:t>
      </w:r>
      <w:r w:rsidR="00EF52E5" w:rsidRPr="002518FB">
        <w:rPr>
          <w:sz w:val="22"/>
          <w:lang w:val="el-GR"/>
        </w:rPr>
        <w:t>σ</w:t>
      </w:r>
      <w:r w:rsidR="00D04225" w:rsidRPr="002518FB">
        <w:rPr>
          <w:sz w:val="22"/>
          <w:lang w:val="el-GR"/>
        </w:rPr>
        <w:t>ιου πληθυσμού</w:t>
      </w:r>
      <w:r w:rsidR="00EF52E5" w:rsidRPr="002518FB">
        <w:rPr>
          <w:sz w:val="22"/>
          <w:lang w:val="el-GR"/>
        </w:rPr>
        <w:t xml:space="preserve"> </w:t>
      </w:r>
      <w:r w:rsidR="00746F29" w:rsidRPr="002518FB">
        <w:rPr>
          <w:sz w:val="22"/>
          <w:lang w:val="el-GR"/>
        </w:rPr>
        <w:t xml:space="preserve">και έχουν αυξημένες συγκεντρώσεις πλάσματος της </w:t>
      </w:r>
      <w:proofErr w:type="spellStart"/>
      <w:r w:rsidR="00746F29" w:rsidRPr="002518FB">
        <w:rPr>
          <w:sz w:val="22"/>
          <w:lang w:val="el-GR"/>
        </w:rPr>
        <w:t>ατομοξετίνης</w:t>
      </w:r>
      <w:proofErr w:type="spellEnd"/>
      <w:r w:rsidR="00746F29" w:rsidRPr="002518FB">
        <w:rPr>
          <w:sz w:val="22"/>
          <w:lang w:val="el-GR"/>
        </w:rPr>
        <w:t xml:space="preserve"> σε σύγκριση με τ</w:t>
      </w:r>
      <w:r w:rsidR="00EF52E5" w:rsidRPr="002518FB">
        <w:rPr>
          <w:sz w:val="22"/>
          <w:lang w:val="el-GR"/>
        </w:rPr>
        <w:t>α άτομα με κανονική δραστηριότητα</w:t>
      </w:r>
      <w:r w:rsidR="00746F29" w:rsidRPr="002518FB">
        <w:rPr>
          <w:sz w:val="22"/>
          <w:lang w:val="el-GR"/>
        </w:rPr>
        <w:t xml:space="preserve"> (</w:t>
      </w:r>
      <w:r w:rsidR="00387F0D" w:rsidRPr="002518FB">
        <w:rPr>
          <w:sz w:val="22"/>
          <w:lang w:val="el-GR"/>
        </w:rPr>
        <w:t>εκτεταμένους</w:t>
      </w:r>
      <w:r w:rsidR="00B52C1B" w:rsidRPr="002518FB">
        <w:rPr>
          <w:sz w:val="22"/>
          <w:lang w:val="el-GR"/>
        </w:rPr>
        <w:t xml:space="preserve"> </w:t>
      </w:r>
      <w:proofErr w:type="spellStart"/>
      <w:r w:rsidR="00B52C1B" w:rsidRPr="002518FB">
        <w:rPr>
          <w:sz w:val="22"/>
          <w:lang w:val="el-GR"/>
        </w:rPr>
        <w:t>μεταβολιστές</w:t>
      </w:r>
      <w:proofErr w:type="spellEnd"/>
      <w:r w:rsidR="00746F29" w:rsidRPr="002518FB">
        <w:rPr>
          <w:sz w:val="22"/>
          <w:lang w:val="el-GR"/>
        </w:rPr>
        <w:t xml:space="preserve">). Για τους </w:t>
      </w:r>
      <w:r w:rsidR="00B52C1B" w:rsidRPr="002518FB">
        <w:rPr>
          <w:sz w:val="22"/>
          <w:lang w:val="el-GR"/>
        </w:rPr>
        <w:t xml:space="preserve">πτωχούς </w:t>
      </w:r>
      <w:proofErr w:type="spellStart"/>
      <w:r w:rsidR="00B52C1B" w:rsidRPr="002518FB">
        <w:rPr>
          <w:sz w:val="22"/>
          <w:lang w:val="el-GR"/>
        </w:rPr>
        <w:t>μεταβολιστές</w:t>
      </w:r>
      <w:proofErr w:type="spellEnd"/>
      <w:r w:rsidR="00746F29" w:rsidRPr="002518FB">
        <w:rPr>
          <w:sz w:val="22"/>
          <w:lang w:val="el-GR"/>
        </w:rPr>
        <w:t xml:space="preserve"> οι συγκεντρώσεις </w:t>
      </w:r>
      <w:r w:rsidR="000F3434" w:rsidRPr="002518FB">
        <w:rPr>
          <w:sz w:val="22"/>
          <w:lang w:val="el-GR"/>
        </w:rPr>
        <w:t>AUC</w:t>
      </w:r>
      <w:r w:rsidR="00746F29" w:rsidRPr="002518FB">
        <w:rPr>
          <w:sz w:val="22"/>
          <w:lang w:val="el-GR"/>
        </w:rPr>
        <w:t xml:space="preserve"> της </w:t>
      </w:r>
      <w:proofErr w:type="spellStart"/>
      <w:r w:rsidR="00746F29" w:rsidRPr="002518FB">
        <w:rPr>
          <w:sz w:val="22"/>
          <w:lang w:val="el-GR"/>
        </w:rPr>
        <w:t>ατομοξετίνης</w:t>
      </w:r>
      <w:proofErr w:type="spellEnd"/>
      <w:r w:rsidR="00746F29" w:rsidRPr="002518FB">
        <w:rPr>
          <w:sz w:val="22"/>
          <w:lang w:val="el-GR"/>
        </w:rPr>
        <w:t xml:space="preserve"> </w:t>
      </w:r>
      <w:r w:rsidR="00D04225" w:rsidRPr="002518FB">
        <w:rPr>
          <w:sz w:val="22"/>
          <w:lang w:val="el-GR"/>
        </w:rPr>
        <w:t>είναι</w:t>
      </w:r>
      <w:r w:rsidR="00746F29" w:rsidRPr="002518FB">
        <w:rPr>
          <w:sz w:val="22"/>
          <w:lang w:val="el-GR"/>
        </w:rPr>
        <w:t xml:space="preserve"> περίπου 10-πλάσιες </w:t>
      </w:r>
      <w:r w:rsidR="00524D2E" w:rsidRPr="002518FB">
        <w:rPr>
          <w:sz w:val="22"/>
          <w:lang w:val="el-GR"/>
        </w:rPr>
        <w:t xml:space="preserve"> και οι </w:t>
      </w:r>
      <w:proofErr w:type="spellStart"/>
      <w:r w:rsidR="000F3434" w:rsidRPr="002518FB">
        <w:rPr>
          <w:sz w:val="22"/>
          <w:lang w:val="el-GR"/>
        </w:rPr>
        <w:t>Css</w:t>
      </w:r>
      <w:proofErr w:type="spellEnd"/>
      <w:r w:rsidR="00524D2E" w:rsidRPr="002518FB">
        <w:rPr>
          <w:sz w:val="22"/>
          <w:lang w:val="el-GR"/>
        </w:rPr>
        <w:t xml:space="preserve">, </w:t>
      </w:r>
      <w:proofErr w:type="spellStart"/>
      <w:r w:rsidR="000F3434" w:rsidRPr="002518FB">
        <w:rPr>
          <w:sz w:val="22"/>
          <w:lang w:val="el-GR"/>
        </w:rPr>
        <w:t>max</w:t>
      </w:r>
      <w:proofErr w:type="spellEnd"/>
      <w:r w:rsidR="00D04225" w:rsidRPr="002518FB">
        <w:rPr>
          <w:sz w:val="22"/>
          <w:lang w:val="el-GR"/>
        </w:rPr>
        <w:t xml:space="preserve"> είναι</w:t>
      </w:r>
      <w:r w:rsidR="00524D2E" w:rsidRPr="002518FB">
        <w:rPr>
          <w:sz w:val="22"/>
          <w:lang w:val="el-GR"/>
        </w:rPr>
        <w:t xml:space="preserve"> περίπου 5-πλάσιες από </w:t>
      </w:r>
      <w:r w:rsidR="00EF52E5" w:rsidRPr="002518FB">
        <w:rPr>
          <w:sz w:val="22"/>
          <w:lang w:val="el-GR"/>
        </w:rPr>
        <w:t>τις</w:t>
      </w:r>
      <w:r w:rsidR="003D3E54" w:rsidRPr="002518FB">
        <w:rPr>
          <w:sz w:val="22"/>
          <w:lang w:val="el-GR"/>
        </w:rPr>
        <w:t xml:space="preserve"> αντίστοιχες στους</w:t>
      </w:r>
      <w:r w:rsidR="00EF52E5" w:rsidRPr="002518FB">
        <w:rPr>
          <w:sz w:val="22"/>
          <w:lang w:val="el-GR"/>
        </w:rPr>
        <w:t xml:space="preserve"> </w:t>
      </w:r>
      <w:r w:rsidR="00387F0D" w:rsidRPr="002518FB">
        <w:rPr>
          <w:sz w:val="22"/>
          <w:lang w:val="el-GR"/>
        </w:rPr>
        <w:t>εκτεταμένους</w:t>
      </w:r>
      <w:r w:rsidR="00B52C1B" w:rsidRPr="002518FB">
        <w:rPr>
          <w:sz w:val="22"/>
          <w:lang w:val="el-GR"/>
        </w:rPr>
        <w:t xml:space="preserve"> </w:t>
      </w:r>
      <w:proofErr w:type="spellStart"/>
      <w:r w:rsidR="00B52C1B" w:rsidRPr="002518FB">
        <w:rPr>
          <w:sz w:val="22"/>
          <w:lang w:val="el-GR"/>
        </w:rPr>
        <w:t>μεταβολιστές</w:t>
      </w:r>
      <w:proofErr w:type="spellEnd"/>
      <w:r w:rsidR="00524D2E" w:rsidRPr="002518FB">
        <w:rPr>
          <w:sz w:val="22"/>
          <w:lang w:val="el-GR"/>
        </w:rPr>
        <w:t>.</w:t>
      </w:r>
      <w:r w:rsidR="00746F29" w:rsidRPr="002518FB">
        <w:rPr>
          <w:sz w:val="22"/>
          <w:lang w:val="el-GR"/>
        </w:rPr>
        <w:t xml:space="preserve"> </w:t>
      </w:r>
      <w:r w:rsidR="006D2D93" w:rsidRPr="002518FB">
        <w:rPr>
          <w:sz w:val="22"/>
          <w:lang w:val="el-GR"/>
        </w:rPr>
        <w:t>Ο κυριότερος οξειδωτικός μεταβολίτης που σχηματίζεται είναι η 4-υδροξυ</w:t>
      </w:r>
      <w:r w:rsidR="006D2D93" w:rsidRPr="002518FB">
        <w:rPr>
          <w:sz w:val="22"/>
          <w:szCs w:val="22"/>
          <w:lang w:val="el-GR"/>
        </w:rPr>
        <w:t>ατομοξετίνη,</w:t>
      </w:r>
      <w:r w:rsidR="006D2D93" w:rsidRPr="002518FB">
        <w:rPr>
          <w:sz w:val="22"/>
          <w:lang w:val="el-GR"/>
        </w:rPr>
        <w:t xml:space="preserve"> η οποία υποβάλλεται ταχέως σε </w:t>
      </w:r>
      <w:proofErr w:type="spellStart"/>
      <w:r w:rsidR="006D2D93" w:rsidRPr="002518FB">
        <w:rPr>
          <w:sz w:val="22"/>
          <w:lang w:val="el-GR"/>
        </w:rPr>
        <w:t>γλυκουρονιδίωση</w:t>
      </w:r>
      <w:proofErr w:type="spellEnd"/>
      <w:r w:rsidR="006D2D93" w:rsidRPr="002518FB">
        <w:rPr>
          <w:sz w:val="22"/>
          <w:lang w:val="el-GR"/>
        </w:rPr>
        <w:t>. Η 4-υδροξυ</w:t>
      </w:r>
      <w:r w:rsidR="006D2D93" w:rsidRPr="002518FB">
        <w:rPr>
          <w:sz w:val="22"/>
          <w:szCs w:val="22"/>
          <w:lang w:val="el-GR"/>
        </w:rPr>
        <w:t>ατομοξετίνη</w:t>
      </w:r>
      <w:r w:rsidR="006D2D93" w:rsidRPr="002518FB">
        <w:rPr>
          <w:sz w:val="22"/>
          <w:lang w:val="el-GR"/>
        </w:rPr>
        <w:t xml:space="preserve"> είναι ισοδύναμη με την </w:t>
      </w:r>
      <w:proofErr w:type="spellStart"/>
      <w:r w:rsidR="006D2D93" w:rsidRPr="002518FB">
        <w:rPr>
          <w:sz w:val="22"/>
          <w:szCs w:val="22"/>
          <w:lang w:val="el-GR"/>
        </w:rPr>
        <w:t>ατομοξετίνη</w:t>
      </w:r>
      <w:proofErr w:type="spellEnd"/>
      <w:r w:rsidR="006D2D93" w:rsidRPr="002518FB">
        <w:rPr>
          <w:sz w:val="22"/>
          <w:lang w:val="el-GR"/>
        </w:rPr>
        <w:t xml:space="preserve"> αλλά κυκλοφορεί στο πλάσμα σε πολύ χαμηλότερες συγκεντρώσεις. Παρότι η 4-υδροξυ</w:t>
      </w:r>
      <w:r w:rsidR="006D2D93" w:rsidRPr="002518FB">
        <w:rPr>
          <w:sz w:val="22"/>
          <w:szCs w:val="22"/>
          <w:lang w:val="el-GR"/>
        </w:rPr>
        <w:t>ατομοξετίνη</w:t>
      </w:r>
      <w:r w:rsidR="006D2D93" w:rsidRPr="002518FB">
        <w:rPr>
          <w:sz w:val="22"/>
          <w:lang w:val="el-GR"/>
        </w:rPr>
        <w:t xml:space="preserve"> σχηματίζεται κυρίως μέσω του </w:t>
      </w:r>
      <w:r w:rsidR="000F3434" w:rsidRPr="002518FB">
        <w:rPr>
          <w:sz w:val="22"/>
          <w:lang w:val="el-GR"/>
        </w:rPr>
        <w:t>CYP</w:t>
      </w:r>
      <w:r w:rsidR="006D2D93" w:rsidRPr="002518FB">
        <w:rPr>
          <w:sz w:val="22"/>
          <w:lang w:val="el-GR"/>
        </w:rPr>
        <w:t>2</w:t>
      </w:r>
      <w:r w:rsidR="000F3434" w:rsidRPr="002518FB">
        <w:rPr>
          <w:sz w:val="22"/>
          <w:lang w:val="el-GR"/>
        </w:rPr>
        <w:t>D</w:t>
      </w:r>
      <w:r w:rsidR="006D2D93" w:rsidRPr="002518FB">
        <w:rPr>
          <w:sz w:val="22"/>
          <w:lang w:val="el-GR"/>
        </w:rPr>
        <w:t xml:space="preserve">6, στα άτομα με έλλειψη δραστικότητας του </w:t>
      </w:r>
      <w:r w:rsidR="000F3434" w:rsidRPr="002518FB">
        <w:rPr>
          <w:sz w:val="22"/>
          <w:lang w:val="el-GR"/>
        </w:rPr>
        <w:t>CYP</w:t>
      </w:r>
      <w:r w:rsidR="006D2D93" w:rsidRPr="002518FB">
        <w:rPr>
          <w:sz w:val="22"/>
          <w:lang w:val="el-GR"/>
        </w:rPr>
        <w:t>2</w:t>
      </w:r>
      <w:r w:rsidR="000F3434" w:rsidRPr="002518FB">
        <w:rPr>
          <w:sz w:val="22"/>
          <w:lang w:val="el-GR"/>
        </w:rPr>
        <w:t>D</w:t>
      </w:r>
      <w:r w:rsidR="006D2D93" w:rsidRPr="002518FB">
        <w:rPr>
          <w:sz w:val="22"/>
          <w:lang w:val="el-GR"/>
        </w:rPr>
        <w:t>6, η 4-υδροξυ-</w:t>
      </w:r>
      <w:r w:rsidR="006D2D93" w:rsidRPr="002518FB">
        <w:rPr>
          <w:sz w:val="22"/>
          <w:szCs w:val="22"/>
          <w:lang w:val="el-GR"/>
        </w:rPr>
        <w:t>ατομοξετίνη</w:t>
      </w:r>
      <w:r w:rsidR="006D2D93" w:rsidRPr="002518FB">
        <w:rPr>
          <w:sz w:val="22"/>
          <w:lang w:val="el-GR"/>
        </w:rPr>
        <w:t xml:space="preserve"> μπορεί να σχηματιστεί από διάφορα άλλα ένζυμα του κυτοχρώματος </w:t>
      </w:r>
      <w:r w:rsidR="000F3434" w:rsidRPr="002518FB">
        <w:rPr>
          <w:sz w:val="22"/>
          <w:lang w:val="el-GR"/>
        </w:rPr>
        <w:t>P</w:t>
      </w:r>
      <w:r w:rsidR="006D2D93" w:rsidRPr="002518FB">
        <w:rPr>
          <w:sz w:val="22"/>
          <w:lang w:val="el-GR"/>
        </w:rPr>
        <w:t xml:space="preserve">450, αλλά σε βραδύτερο ρυθμό. Η </w:t>
      </w:r>
      <w:proofErr w:type="spellStart"/>
      <w:r w:rsidR="006D2D93" w:rsidRPr="002518FB">
        <w:rPr>
          <w:sz w:val="22"/>
          <w:szCs w:val="22"/>
          <w:lang w:val="el-GR"/>
        </w:rPr>
        <w:t>ατομοξετίνη</w:t>
      </w:r>
      <w:proofErr w:type="spellEnd"/>
      <w:r w:rsidR="006D2D93" w:rsidRPr="002518FB">
        <w:rPr>
          <w:sz w:val="22"/>
          <w:lang w:val="el-GR"/>
        </w:rPr>
        <w:t xml:space="preserve"> δεν προκαλεί αναστολή ούτε επαγωγή του </w:t>
      </w:r>
      <w:r w:rsidR="000F3434" w:rsidRPr="002518FB">
        <w:rPr>
          <w:sz w:val="22"/>
          <w:lang w:val="el-GR"/>
        </w:rPr>
        <w:t>CYP</w:t>
      </w:r>
      <w:r w:rsidR="006D2D93" w:rsidRPr="002518FB">
        <w:rPr>
          <w:sz w:val="22"/>
          <w:lang w:val="el-GR"/>
        </w:rPr>
        <w:t>2</w:t>
      </w:r>
      <w:r w:rsidR="000F3434" w:rsidRPr="002518FB">
        <w:rPr>
          <w:sz w:val="22"/>
          <w:lang w:val="el-GR"/>
        </w:rPr>
        <w:t>D</w:t>
      </w:r>
      <w:r w:rsidR="006D2D93" w:rsidRPr="002518FB">
        <w:rPr>
          <w:sz w:val="22"/>
          <w:lang w:val="el-GR"/>
        </w:rPr>
        <w:t>6 στις συνιστώμενες θεραπευτικές δόσεις.</w:t>
      </w:r>
    </w:p>
    <w:p w:rsidR="006D2D93" w:rsidRPr="002518FB" w:rsidRDefault="006D2D93">
      <w:pPr>
        <w:rPr>
          <w:sz w:val="22"/>
          <w:lang w:val="el-GR"/>
        </w:rPr>
      </w:pPr>
    </w:p>
    <w:p w:rsidR="0053140E" w:rsidRPr="002518FB" w:rsidRDefault="0021494E">
      <w:pPr>
        <w:rPr>
          <w:sz w:val="22"/>
          <w:lang w:val="el-GR"/>
        </w:rPr>
      </w:pPr>
      <w:r w:rsidRPr="002518FB">
        <w:rPr>
          <w:i/>
          <w:sz w:val="22"/>
          <w:lang w:val="el-GR"/>
        </w:rPr>
        <w:t>Ένζυμα του κυτοχρώματος P450</w:t>
      </w:r>
      <w:r w:rsidR="0053140E" w:rsidRPr="002518FB">
        <w:rPr>
          <w:sz w:val="22"/>
          <w:lang w:val="el-GR"/>
        </w:rPr>
        <w:t xml:space="preserve">: Η </w:t>
      </w:r>
      <w:proofErr w:type="spellStart"/>
      <w:r w:rsidR="0053140E" w:rsidRPr="002518FB">
        <w:rPr>
          <w:sz w:val="22"/>
          <w:lang w:val="el-GR"/>
        </w:rPr>
        <w:t>ατομοξετίνη</w:t>
      </w:r>
      <w:proofErr w:type="spellEnd"/>
      <w:r w:rsidR="0053140E" w:rsidRPr="002518FB">
        <w:rPr>
          <w:sz w:val="22"/>
          <w:lang w:val="el-GR"/>
        </w:rPr>
        <w:t xml:space="preserve"> δεν προκάλεσε κλινικά σημαντική αναστολή ή επαγωγή των ενζύμων του κυτοχρώματος </w:t>
      </w:r>
      <w:r w:rsidR="000F3434" w:rsidRPr="002518FB">
        <w:rPr>
          <w:sz w:val="22"/>
          <w:lang w:val="el-GR"/>
        </w:rPr>
        <w:t>P</w:t>
      </w:r>
      <w:r w:rsidR="0053140E" w:rsidRPr="002518FB">
        <w:rPr>
          <w:sz w:val="22"/>
          <w:lang w:val="el-GR"/>
        </w:rPr>
        <w:t xml:space="preserve">450, περιλαμβανομένων και των </w:t>
      </w:r>
      <w:r w:rsidR="000F3434" w:rsidRPr="002518FB">
        <w:rPr>
          <w:sz w:val="22"/>
          <w:lang w:val="el-GR"/>
        </w:rPr>
        <w:t>CYP</w:t>
      </w:r>
      <w:r w:rsidR="0053140E" w:rsidRPr="002518FB">
        <w:rPr>
          <w:sz w:val="22"/>
          <w:lang w:val="el-GR"/>
        </w:rPr>
        <w:t>1</w:t>
      </w:r>
      <w:r w:rsidR="000F3434" w:rsidRPr="002518FB">
        <w:rPr>
          <w:sz w:val="22"/>
          <w:lang w:val="el-GR"/>
        </w:rPr>
        <w:t>A</w:t>
      </w:r>
      <w:r w:rsidR="0053140E" w:rsidRPr="002518FB">
        <w:rPr>
          <w:sz w:val="22"/>
          <w:lang w:val="el-GR"/>
        </w:rPr>
        <w:t xml:space="preserve">2, </w:t>
      </w:r>
      <w:r w:rsidR="000F3434" w:rsidRPr="002518FB">
        <w:rPr>
          <w:sz w:val="22"/>
          <w:lang w:val="el-GR"/>
        </w:rPr>
        <w:t>CYP</w:t>
      </w:r>
      <w:r w:rsidR="0053140E" w:rsidRPr="002518FB">
        <w:rPr>
          <w:sz w:val="22"/>
          <w:lang w:val="el-GR"/>
        </w:rPr>
        <w:t>3</w:t>
      </w:r>
      <w:r w:rsidR="000F3434" w:rsidRPr="002518FB">
        <w:rPr>
          <w:sz w:val="22"/>
          <w:lang w:val="el-GR"/>
        </w:rPr>
        <w:t>A</w:t>
      </w:r>
      <w:r w:rsidR="0053140E" w:rsidRPr="002518FB">
        <w:rPr>
          <w:sz w:val="22"/>
          <w:lang w:val="el-GR"/>
        </w:rPr>
        <w:t xml:space="preserve">, </w:t>
      </w:r>
      <w:r w:rsidR="000F3434" w:rsidRPr="002518FB">
        <w:rPr>
          <w:sz w:val="22"/>
          <w:lang w:val="el-GR"/>
        </w:rPr>
        <w:t>CYP</w:t>
      </w:r>
      <w:r w:rsidR="0053140E" w:rsidRPr="002518FB">
        <w:rPr>
          <w:sz w:val="22"/>
          <w:lang w:val="el-GR"/>
        </w:rPr>
        <w:t>2</w:t>
      </w:r>
      <w:r w:rsidR="000F3434" w:rsidRPr="002518FB">
        <w:rPr>
          <w:sz w:val="22"/>
          <w:lang w:val="el-GR"/>
        </w:rPr>
        <w:t>D</w:t>
      </w:r>
      <w:r w:rsidR="0053140E" w:rsidRPr="002518FB">
        <w:rPr>
          <w:sz w:val="22"/>
          <w:lang w:val="el-GR"/>
        </w:rPr>
        <w:t xml:space="preserve">6 και </w:t>
      </w:r>
      <w:r w:rsidR="000F3434" w:rsidRPr="002518FB">
        <w:rPr>
          <w:sz w:val="22"/>
          <w:lang w:val="el-GR"/>
        </w:rPr>
        <w:t>CYP</w:t>
      </w:r>
      <w:r w:rsidR="0053140E" w:rsidRPr="002518FB">
        <w:rPr>
          <w:sz w:val="22"/>
          <w:lang w:val="el-GR"/>
        </w:rPr>
        <w:t>2</w:t>
      </w:r>
      <w:r w:rsidR="000F3434" w:rsidRPr="002518FB">
        <w:rPr>
          <w:sz w:val="22"/>
          <w:lang w:val="el-GR"/>
        </w:rPr>
        <w:t>C</w:t>
      </w:r>
      <w:r w:rsidR="0053140E" w:rsidRPr="002518FB">
        <w:rPr>
          <w:sz w:val="22"/>
          <w:lang w:val="el-GR"/>
        </w:rPr>
        <w:t>9.</w:t>
      </w:r>
    </w:p>
    <w:p w:rsidR="00505A69" w:rsidRPr="002518FB" w:rsidRDefault="00505A69">
      <w:pPr>
        <w:rPr>
          <w:sz w:val="22"/>
          <w:lang w:val="el-GR"/>
        </w:rPr>
      </w:pPr>
    </w:p>
    <w:p w:rsidR="006D2D93" w:rsidRPr="002518FB" w:rsidRDefault="0021494E">
      <w:pPr>
        <w:rPr>
          <w:sz w:val="22"/>
          <w:lang w:val="el-GR"/>
        </w:rPr>
      </w:pPr>
      <w:r w:rsidRPr="002518FB">
        <w:rPr>
          <w:i/>
          <w:sz w:val="22"/>
          <w:lang w:val="el-GR"/>
        </w:rPr>
        <w:t>Αποβολή</w:t>
      </w:r>
      <w:r w:rsidR="006D2D93" w:rsidRPr="002518FB">
        <w:rPr>
          <w:sz w:val="22"/>
          <w:lang w:val="el-GR"/>
        </w:rPr>
        <w:t xml:space="preserve">: Η μέση </w:t>
      </w:r>
      <w:proofErr w:type="spellStart"/>
      <w:r w:rsidR="006D2D93" w:rsidRPr="002518FB">
        <w:rPr>
          <w:sz w:val="22"/>
          <w:lang w:val="el-GR"/>
        </w:rPr>
        <w:t>ημιπερίοδος</w:t>
      </w:r>
      <w:proofErr w:type="spellEnd"/>
      <w:r w:rsidR="006D2D93" w:rsidRPr="002518FB">
        <w:rPr>
          <w:sz w:val="22"/>
          <w:lang w:val="el-GR"/>
        </w:rPr>
        <w:t xml:space="preserve"> αποβολής της </w:t>
      </w:r>
      <w:proofErr w:type="spellStart"/>
      <w:r w:rsidR="006D2D93" w:rsidRPr="002518FB">
        <w:rPr>
          <w:sz w:val="22"/>
          <w:szCs w:val="22"/>
          <w:lang w:val="el-GR"/>
        </w:rPr>
        <w:t>ατομοξετίνης</w:t>
      </w:r>
      <w:proofErr w:type="spellEnd"/>
      <w:r w:rsidR="006D2D93" w:rsidRPr="002518FB">
        <w:rPr>
          <w:sz w:val="22"/>
          <w:szCs w:val="22"/>
          <w:lang w:val="el-GR"/>
        </w:rPr>
        <w:t>, μετά τη χορήγηση από του στόματος είναι</w:t>
      </w:r>
      <w:r w:rsidR="006D2D93" w:rsidRPr="002518FB">
        <w:rPr>
          <w:sz w:val="22"/>
          <w:lang w:val="el-GR"/>
        </w:rPr>
        <w:t xml:space="preserve"> 3,6 ώρες, στα άτομα με εκτενή μεταβολισμό και 21 ώρες στα άτομα με πτωχό μεταβολισμό. Η </w:t>
      </w:r>
      <w:proofErr w:type="spellStart"/>
      <w:r w:rsidR="006D2D93" w:rsidRPr="002518FB">
        <w:rPr>
          <w:sz w:val="22"/>
          <w:szCs w:val="22"/>
          <w:lang w:val="el-GR"/>
        </w:rPr>
        <w:t>ατομοξετίνη</w:t>
      </w:r>
      <w:proofErr w:type="spellEnd"/>
      <w:r w:rsidR="006D2D93" w:rsidRPr="002518FB">
        <w:rPr>
          <w:sz w:val="22"/>
          <w:lang w:val="el-GR"/>
        </w:rPr>
        <w:t xml:space="preserve"> απεκκρίνεται κυρίως ως 4-υδροξυ</w:t>
      </w:r>
      <w:r w:rsidR="006D2D93" w:rsidRPr="002518FB">
        <w:rPr>
          <w:sz w:val="22"/>
          <w:szCs w:val="22"/>
          <w:lang w:val="el-GR"/>
        </w:rPr>
        <w:t>ατομοξετίνη</w:t>
      </w:r>
      <w:r w:rsidR="006D2D93" w:rsidRPr="002518FB">
        <w:rPr>
          <w:sz w:val="22"/>
          <w:lang w:val="el-GR"/>
        </w:rPr>
        <w:t>-</w:t>
      </w:r>
      <w:r w:rsidR="000F3434" w:rsidRPr="002518FB">
        <w:rPr>
          <w:i/>
          <w:sz w:val="22"/>
          <w:lang w:val="el-GR"/>
        </w:rPr>
        <w:t>O</w:t>
      </w:r>
      <w:r w:rsidR="006D2D93" w:rsidRPr="002518FB">
        <w:rPr>
          <w:sz w:val="22"/>
          <w:lang w:val="el-GR"/>
        </w:rPr>
        <w:t>-γλυκουρονικό, κυρίως στα ούρα.</w:t>
      </w:r>
    </w:p>
    <w:p w:rsidR="000A0092" w:rsidRPr="002518FB" w:rsidRDefault="000A0092" w:rsidP="000A0092">
      <w:pPr>
        <w:rPr>
          <w:sz w:val="22"/>
          <w:lang w:val="el-GR"/>
        </w:rPr>
      </w:pPr>
      <w:r w:rsidRPr="002518FB">
        <w:rPr>
          <w:sz w:val="22"/>
          <w:lang w:val="el-GR"/>
        </w:rPr>
        <w:t xml:space="preserve">Γραμμικότητα/μη-γραμμικότητα: η </w:t>
      </w:r>
      <w:proofErr w:type="spellStart"/>
      <w:r w:rsidRPr="002518FB">
        <w:rPr>
          <w:sz w:val="22"/>
          <w:lang w:val="el-GR"/>
        </w:rPr>
        <w:t>φαρμακοκινητική</w:t>
      </w:r>
      <w:proofErr w:type="spellEnd"/>
      <w:r w:rsidRPr="002518FB">
        <w:rPr>
          <w:sz w:val="22"/>
          <w:lang w:val="el-GR"/>
        </w:rPr>
        <w:t xml:space="preserve"> της</w:t>
      </w:r>
      <w:r w:rsidRPr="002518FB">
        <w:rPr>
          <w:sz w:val="22"/>
          <w:szCs w:val="22"/>
          <w:lang w:val="el-GR"/>
        </w:rPr>
        <w:t xml:space="preserve"> </w:t>
      </w:r>
      <w:proofErr w:type="spellStart"/>
      <w:r w:rsidRPr="002518FB">
        <w:rPr>
          <w:sz w:val="22"/>
          <w:szCs w:val="22"/>
          <w:lang w:val="el-GR"/>
        </w:rPr>
        <w:t>ατομοξετίνης</w:t>
      </w:r>
      <w:proofErr w:type="spellEnd"/>
      <w:r w:rsidRPr="002518FB">
        <w:rPr>
          <w:sz w:val="22"/>
          <w:szCs w:val="22"/>
          <w:lang w:val="el-GR"/>
        </w:rPr>
        <w:t xml:space="preserve"> είναι γραμμική στο </w:t>
      </w:r>
      <w:proofErr w:type="spellStart"/>
      <w:r w:rsidRPr="002518FB">
        <w:rPr>
          <w:sz w:val="22"/>
          <w:szCs w:val="22"/>
          <w:lang w:val="el-GR"/>
        </w:rPr>
        <w:t>δοσολογικό</w:t>
      </w:r>
      <w:proofErr w:type="spellEnd"/>
      <w:r w:rsidRPr="002518FB">
        <w:rPr>
          <w:sz w:val="22"/>
          <w:szCs w:val="22"/>
          <w:lang w:val="el-GR"/>
        </w:rPr>
        <w:t xml:space="preserve"> εύρος που μελετήθηκε τόσο στα άτομα με </w:t>
      </w:r>
      <w:r w:rsidRPr="002518FB">
        <w:rPr>
          <w:sz w:val="22"/>
          <w:lang w:val="el-GR"/>
        </w:rPr>
        <w:t>εκτενή μεταβολισμό όσο και εκείνα με πτωχό μεταβολισμό.</w:t>
      </w:r>
    </w:p>
    <w:p w:rsidR="00A978B8" w:rsidRPr="002518FB" w:rsidRDefault="00A978B8">
      <w:pPr>
        <w:rPr>
          <w:sz w:val="22"/>
          <w:lang w:val="el-GR"/>
        </w:rPr>
      </w:pPr>
    </w:p>
    <w:p w:rsidR="00CE0F0D" w:rsidRPr="002518FB" w:rsidRDefault="00CE0F0D">
      <w:pPr>
        <w:rPr>
          <w:sz w:val="22"/>
          <w:u w:val="single"/>
          <w:lang w:val="el-GR"/>
        </w:rPr>
      </w:pPr>
      <w:r w:rsidRPr="002518FB">
        <w:rPr>
          <w:sz w:val="22"/>
          <w:u w:val="single"/>
          <w:lang w:val="el-GR"/>
        </w:rPr>
        <w:t>Ειδικοί πληθυσμοί.</w:t>
      </w:r>
    </w:p>
    <w:p w:rsidR="00CE0F0D" w:rsidRPr="002518FB" w:rsidRDefault="00CE0F0D">
      <w:pPr>
        <w:rPr>
          <w:sz w:val="22"/>
          <w:lang w:val="el-GR"/>
        </w:rPr>
      </w:pPr>
    </w:p>
    <w:p w:rsidR="00CE0F0D" w:rsidRPr="002518FB" w:rsidRDefault="00CE0F0D" w:rsidP="00CE0F0D">
      <w:pPr>
        <w:rPr>
          <w:sz w:val="22"/>
          <w:lang w:val="el-GR"/>
        </w:rPr>
      </w:pPr>
      <w:r w:rsidRPr="002518FB">
        <w:rPr>
          <w:sz w:val="22"/>
          <w:lang w:val="el-GR"/>
        </w:rPr>
        <w:t xml:space="preserve">Η ηπατική </w:t>
      </w:r>
      <w:r w:rsidR="007B41D0" w:rsidRPr="002518FB">
        <w:rPr>
          <w:sz w:val="22"/>
          <w:lang w:val="el-GR"/>
        </w:rPr>
        <w:t>βλάβη</w:t>
      </w:r>
      <w:r w:rsidRPr="002518FB">
        <w:rPr>
          <w:sz w:val="22"/>
          <w:lang w:val="el-GR"/>
        </w:rPr>
        <w:t xml:space="preserve"> οδηγεί σε μειωμένη </w:t>
      </w:r>
      <w:r w:rsidR="00032BC6" w:rsidRPr="002518FB">
        <w:rPr>
          <w:sz w:val="22"/>
          <w:lang w:val="el-GR"/>
        </w:rPr>
        <w:t>κάθαρση</w:t>
      </w:r>
      <w:r w:rsidRPr="002518FB">
        <w:rPr>
          <w:sz w:val="22"/>
          <w:lang w:val="el-GR"/>
        </w:rPr>
        <w:t xml:space="preserve"> της </w:t>
      </w:r>
      <w:proofErr w:type="spellStart"/>
      <w:r w:rsidRPr="002518FB">
        <w:rPr>
          <w:sz w:val="22"/>
          <w:lang w:val="el-GR"/>
        </w:rPr>
        <w:t>ατομοξετίνης</w:t>
      </w:r>
      <w:proofErr w:type="spellEnd"/>
      <w:r w:rsidRPr="002518FB">
        <w:rPr>
          <w:sz w:val="22"/>
          <w:lang w:val="el-GR"/>
        </w:rPr>
        <w:t xml:space="preserve">, </w:t>
      </w:r>
      <w:r w:rsidR="002F26B5" w:rsidRPr="002518FB">
        <w:rPr>
          <w:sz w:val="22"/>
          <w:lang w:val="el-GR"/>
        </w:rPr>
        <w:t xml:space="preserve">σε </w:t>
      </w:r>
      <w:r w:rsidRPr="002518FB">
        <w:rPr>
          <w:sz w:val="22"/>
          <w:lang w:val="el-GR"/>
        </w:rPr>
        <w:t>αυξ</w:t>
      </w:r>
      <w:r w:rsidR="007B41D0" w:rsidRPr="002518FB">
        <w:rPr>
          <w:sz w:val="22"/>
          <w:lang w:val="el-GR"/>
        </w:rPr>
        <w:t>ημένη</w:t>
      </w:r>
      <w:r w:rsidRPr="002518FB">
        <w:rPr>
          <w:sz w:val="22"/>
          <w:lang w:val="el-GR"/>
        </w:rPr>
        <w:t xml:space="preserve"> έκθεση </w:t>
      </w:r>
      <w:r w:rsidR="002F26B5" w:rsidRPr="002518FB">
        <w:rPr>
          <w:sz w:val="22"/>
          <w:lang w:val="el-GR"/>
        </w:rPr>
        <w:t>σ</w:t>
      </w:r>
      <w:r w:rsidR="00032BC6" w:rsidRPr="002518FB">
        <w:rPr>
          <w:sz w:val="22"/>
          <w:lang w:val="el-GR"/>
        </w:rPr>
        <w:t>την</w:t>
      </w:r>
      <w:r w:rsidR="002F26B5" w:rsidRPr="002518FB">
        <w:rPr>
          <w:sz w:val="22"/>
          <w:lang w:val="el-GR"/>
        </w:rPr>
        <w:t xml:space="preserve"> </w:t>
      </w:r>
      <w:proofErr w:type="spellStart"/>
      <w:r w:rsidR="002F26B5" w:rsidRPr="002518FB">
        <w:rPr>
          <w:sz w:val="22"/>
          <w:lang w:val="el-GR"/>
        </w:rPr>
        <w:t>ατομοξετίνη</w:t>
      </w:r>
      <w:proofErr w:type="spellEnd"/>
      <w:r w:rsidRPr="002518FB">
        <w:rPr>
          <w:sz w:val="22"/>
          <w:lang w:val="el-GR"/>
        </w:rPr>
        <w:t xml:space="preserve"> (</w:t>
      </w:r>
      <w:r w:rsidR="00032BC6" w:rsidRPr="002518FB">
        <w:rPr>
          <w:sz w:val="22"/>
          <w:lang w:val="el-GR"/>
        </w:rPr>
        <w:t xml:space="preserve">η </w:t>
      </w:r>
      <w:r w:rsidRPr="002518FB">
        <w:rPr>
          <w:sz w:val="22"/>
          <w:lang w:val="el-GR"/>
        </w:rPr>
        <w:t xml:space="preserve">AUC </w:t>
      </w:r>
      <w:r w:rsidR="00032BC6" w:rsidRPr="002518FB">
        <w:rPr>
          <w:sz w:val="22"/>
          <w:lang w:val="el-GR"/>
        </w:rPr>
        <w:t xml:space="preserve">αυξάνεται στο </w:t>
      </w:r>
      <w:r w:rsidRPr="002518FB">
        <w:rPr>
          <w:sz w:val="22"/>
          <w:lang w:val="el-GR"/>
        </w:rPr>
        <w:t>2-</w:t>
      </w:r>
      <w:r w:rsidR="00032BC6" w:rsidRPr="002518FB">
        <w:rPr>
          <w:sz w:val="22"/>
          <w:lang w:val="el-GR"/>
        </w:rPr>
        <w:t>πλάσιο</w:t>
      </w:r>
      <w:r w:rsidRPr="002518FB">
        <w:rPr>
          <w:sz w:val="22"/>
          <w:lang w:val="el-GR"/>
        </w:rPr>
        <w:t xml:space="preserve"> στη μέτρια </w:t>
      </w:r>
      <w:r w:rsidR="007B41D0" w:rsidRPr="002518FB">
        <w:rPr>
          <w:sz w:val="22"/>
          <w:lang w:val="el-GR"/>
        </w:rPr>
        <w:t>ηπατική βλάβη</w:t>
      </w:r>
      <w:r w:rsidRPr="002518FB">
        <w:rPr>
          <w:sz w:val="22"/>
          <w:lang w:val="el-GR"/>
        </w:rPr>
        <w:t xml:space="preserve"> και 4-π</w:t>
      </w:r>
      <w:r w:rsidR="00032BC6" w:rsidRPr="002518FB">
        <w:rPr>
          <w:sz w:val="22"/>
          <w:lang w:val="el-GR"/>
        </w:rPr>
        <w:t>λάσια</w:t>
      </w:r>
      <w:r w:rsidRPr="002518FB">
        <w:rPr>
          <w:sz w:val="22"/>
          <w:lang w:val="el-GR"/>
        </w:rPr>
        <w:t xml:space="preserve"> στην</w:t>
      </w:r>
      <w:r w:rsidR="002F26B5" w:rsidRPr="002518FB">
        <w:rPr>
          <w:sz w:val="22"/>
          <w:lang w:val="el-GR"/>
        </w:rPr>
        <w:t xml:space="preserve"> σοβαρή</w:t>
      </w:r>
      <w:r w:rsidRPr="002518FB">
        <w:rPr>
          <w:sz w:val="22"/>
          <w:lang w:val="el-GR"/>
        </w:rPr>
        <w:t xml:space="preserve">), και </w:t>
      </w:r>
      <w:r w:rsidR="002F26B5" w:rsidRPr="002518FB">
        <w:rPr>
          <w:sz w:val="22"/>
          <w:lang w:val="el-GR"/>
        </w:rPr>
        <w:t>σε</w:t>
      </w:r>
      <w:r w:rsidRPr="002518FB">
        <w:rPr>
          <w:sz w:val="22"/>
          <w:lang w:val="el-GR"/>
        </w:rPr>
        <w:t xml:space="preserve"> παρ</w:t>
      </w:r>
      <w:r w:rsidR="008C3123" w:rsidRPr="002518FB">
        <w:rPr>
          <w:sz w:val="22"/>
          <w:lang w:val="el-GR"/>
        </w:rPr>
        <w:t>άταση της</w:t>
      </w:r>
      <w:r w:rsidRPr="002518FB">
        <w:rPr>
          <w:sz w:val="22"/>
          <w:lang w:val="el-GR"/>
        </w:rPr>
        <w:t xml:space="preserve"> ημ</w:t>
      </w:r>
      <w:r w:rsidR="00032BC6" w:rsidRPr="002518FB">
        <w:rPr>
          <w:sz w:val="22"/>
          <w:lang w:val="el-GR"/>
        </w:rPr>
        <w:t>ίσεια</w:t>
      </w:r>
      <w:r w:rsidR="008C3123" w:rsidRPr="002518FB">
        <w:rPr>
          <w:sz w:val="22"/>
          <w:lang w:val="el-GR"/>
        </w:rPr>
        <w:t>ς</w:t>
      </w:r>
      <w:r w:rsidR="00032BC6" w:rsidRPr="002518FB">
        <w:rPr>
          <w:sz w:val="22"/>
          <w:lang w:val="el-GR"/>
        </w:rPr>
        <w:t xml:space="preserve"> </w:t>
      </w:r>
      <w:r w:rsidRPr="002518FB">
        <w:rPr>
          <w:sz w:val="22"/>
          <w:lang w:val="el-GR"/>
        </w:rPr>
        <w:t>ζωή</w:t>
      </w:r>
      <w:r w:rsidR="008C3123" w:rsidRPr="002518FB">
        <w:rPr>
          <w:sz w:val="22"/>
          <w:lang w:val="el-GR"/>
        </w:rPr>
        <w:t>ς</w:t>
      </w:r>
      <w:r w:rsidRPr="002518FB">
        <w:rPr>
          <w:sz w:val="22"/>
          <w:lang w:val="el-GR"/>
        </w:rPr>
        <w:t xml:space="preserve"> </w:t>
      </w:r>
      <w:r w:rsidR="008C3123" w:rsidRPr="002518FB">
        <w:rPr>
          <w:sz w:val="22"/>
          <w:lang w:val="el-GR"/>
        </w:rPr>
        <w:t>της δραστικής ουσίας</w:t>
      </w:r>
      <w:r w:rsidR="00AA7799" w:rsidRPr="002518FB">
        <w:rPr>
          <w:sz w:val="22"/>
          <w:lang w:val="el-GR"/>
        </w:rPr>
        <w:t xml:space="preserve"> σε σύγκριση</w:t>
      </w:r>
      <w:r w:rsidRPr="002518FB">
        <w:rPr>
          <w:sz w:val="22"/>
          <w:lang w:val="el-GR"/>
        </w:rPr>
        <w:t xml:space="preserve"> με τους υγ</w:t>
      </w:r>
      <w:r w:rsidR="00387F0D" w:rsidRPr="002518FB">
        <w:rPr>
          <w:sz w:val="22"/>
          <w:lang w:val="el-GR"/>
        </w:rPr>
        <w:t xml:space="preserve">ιείς </w:t>
      </w:r>
      <w:r w:rsidR="008C3123" w:rsidRPr="002518FB">
        <w:rPr>
          <w:sz w:val="22"/>
          <w:lang w:val="el-GR"/>
        </w:rPr>
        <w:t xml:space="preserve">εθελοντές </w:t>
      </w:r>
      <w:r w:rsidR="00387F0D" w:rsidRPr="002518FB">
        <w:rPr>
          <w:sz w:val="22"/>
          <w:lang w:val="el-GR"/>
        </w:rPr>
        <w:t xml:space="preserve">με τον ίδιο </w:t>
      </w:r>
      <w:r w:rsidRPr="002518FB">
        <w:rPr>
          <w:sz w:val="22"/>
          <w:lang w:val="el-GR"/>
        </w:rPr>
        <w:t>γ</w:t>
      </w:r>
      <w:r w:rsidR="007B41D0" w:rsidRPr="002518FB">
        <w:rPr>
          <w:sz w:val="22"/>
          <w:lang w:val="el-GR"/>
        </w:rPr>
        <w:t>ον</w:t>
      </w:r>
      <w:r w:rsidRPr="002518FB">
        <w:rPr>
          <w:sz w:val="22"/>
          <w:lang w:val="el-GR"/>
        </w:rPr>
        <w:t xml:space="preserve">ότυπο </w:t>
      </w:r>
      <w:r w:rsidR="00AA7799" w:rsidRPr="002518FB">
        <w:rPr>
          <w:sz w:val="22"/>
          <w:lang w:val="el-GR"/>
        </w:rPr>
        <w:t>CYP2D6</w:t>
      </w:r>
      <w:r w:rsidR="008C3123" w:rsidRPr="002518FB">
        <w:rPr>
          <w:sz w:val="22"/>
          <w:lang w:val="el-GR"/>
        </w:rPr>
        <w:t xml:space="preserve"> </w:t>
      </w:r>
      <w:r w:rsidR="008432F0" w:rsidRPr="002518FB">
        <w:rPr>
          <w:sz w:val="22"/>
          <w:lang w:val="el-GR"/>
        </w:rPr>
        <w:t xml:space="preserve">– </w:t>
      </w:r>
      <w:r w:rsidR="008C3123" w:rsidRPr="002518FB">
        <w:rPr>
          <w:sz w:val="22"/>
          <w:lang w:val="el-GR"/>
        </w:rPr>
        <w:t>εκτεταμένο</w:t>
      </w:r>
      <w:r w:rsidR="008432F0" w:rsidRPr="002518FB">
        <w:rPr>
          <w:sz w:val="22"/>
          <w:lang w:val="el-GR"/>
        </w:rPr>
        <w:t xml:space="preserve"> </w:t>
      </w:r>
      <w:proofErr w:type="spellStart"/>
      <w:r w:rsidR="008C3123" w:rsidRPr="002518FB">
        <w:rPr>
          <w:sz w:val="22"/>
          <w:lang w:val="el-GR"/>
        </w:rPr>
        <w:t>μεταβολιστή</w:t>
      </w:r>
      <w:proofErr w:type="spellEnd"/>
      <w:r w:rsidR="00AA7799" w:rsidRPr="002518FB">
        <w:rPr>
          <w:sz w:val="22"/>
          <w:lang w:val="el-GR"/>
        </w:rPr>
        <w:t>. Στους ασθενείς με</w:t>
      </w:r>
      <w:r w:rsidR="008432F0" w:rsidRPr="002518FB">
        <w:rPr>
          <w:sz w:val="22"/>
          <w:lang w:val="el-GR"/>
        </w:rPr>
        <w:t xml:space="preserve"> </w:t>
      </w:r>
      <w:r w:rsidRPr="002518FB">
        <w:rPr>
          <w:sz w:val="22"/>
          <w:lang w:val="el-GR"/>
        </w:rPr>
        <w:t xml:space="preserve">μέτρια έως </w:t>
      </w:r>
      <w:r w:rsidR="008432F0" w:rsidRPr="002518FB">
        <w:rPr>
          <w:sz w:val="22"/>
          <w:lang w:val="el-GR"/>
        </w:rPr>
        <w:t xml:space="preserve">σοβαρή </w:t>
      </w:r>
      <w:r w:rsidRPr="002518FB">
        <w:rPr>
          <w:sz w:val="22"/>
          <w:lang w:val="el-GR"/>
        </w:rPr>
        <w:t xml:space="preserve">ηπατική </w:t>
      </w:r>
      <w:r w:rsidR="007B41D0" w:rsidRPr="002518FB">
        <w:rPr>
          <w:sz w:val="22"/>
          <w:lang w:val="el-GR"/>
        </w:rPr>
        <w:t>βλάβη</w:t>
      </w:r>
      <w:r w:rsidRPr="002518FB">
        <w:rPr>
          <w:sz w:val="22"/>
          <w:lang w:val="el-GR"/>
        </w:rPr>
        <w:t xml:space="preserve"> (</w:t>
      </w:r>
      <w:r w:rsidR="00E139ED" w:rsidRPr="002518FB">
        <w:rPr>
          <w:sz w:val="22"/>
          <w:lang w:val="el-GR"/>
        </w:rPr>
        <w:t xml:space="preserve">Κατηγορίας B και Γ κατά </w:t>
      </w:r>
      <w:proofErr w:type="spellStart"/>
      <w:r w:rsidR="00E139ED" w:rsidRPr="002518FB">
        <w:rPr>
          <w:sz w:val="22"/>
          <w:lang w:val="el-GR"/>
        </w:rPr>
        <w:t>Child</w:t>
      </w:r>
      <w:proofErr w:type="spellEnd"/>
      <w:r w:rsidR="00E139ED" w:rsidRPr="002518FB">
        <w:rPr>
          <w:sz w:val="22"/>
          <w:lang w:val="el-GR"/>
        </w:rPr>
        <w:t>-</w:t>
      </w:r>
      <w:proofErr w:type="spellStart"/>
      <w:r w:rsidR="00E139ED" w:rsidRPr="002518FB">
        <w:rPr>
          <w:sz w:val="22"/>
          <w:lang w:val="el-GR"/>
        </w:rPr>
        <w:t>Pugh</w:t>
      </w:r>
      <w:proofErr w:type="spellEnd"/>
      <w:r w:rsidRPr="002518FB">
        <w:rPr>
          <w:sz w:val="22"/>
          <w:lang w:val="el-GR"/>
        </w:rPr>
        <w:t xml:space="preserve">) </w:t>
      </w:r>
      <w:r w:rsidR="00717DA9" w:rsidRPr="002518FB">
        <w:rPr>
          <w:sz w:val="22"/>
          <w:lang w:val="el-GR"/>
        </w:rPr>
        <w:t xml:space="preserve">η αρχική και </w:t>
      </w:r>
      <w:r w:rsidR="008432F0" w:rsidRPr="002518FB">
        <w:rPr>
          <w:sz w:val="22"/>
          <w:lang w:val="el-GR"/>
        </w:rPr>
        <w:t xml:space="preserve">η </w:t>
      </w:r>
      <w:r w:rsidR="007B41D0" w:rsidRPr="002518FB">
        <w:rPr>
          <w:sz w:val="22"/>
          <w:lang w:val="el-GR"/>
        </w:rPr>
        <w:t>τελικά στοχευόμενη</w:t>
      </w:r>
      <w:r w:rsidR="00717DA9" w:rsidRPr="002518FB">
        <w:rPr>
          <w:sz w:val="22"/>
          <w:lang w:val="el-GR"/>
        </w:rPr>
        <w:t xml:space="preserve"> δόση πρέπει να </w:t>
      </w:r>
      <w:r w:rsidR="007B41D0" w:rsidRPr="002518FB">
        <w:rPr>
          <w:sz w:val="22"/>
          <w:lang w:val="el-GR"/>
        </w:rPr>
        <w:t>αναπροσαρμοστούν</w:t>
      </w:r>
      <w:r w:rsidR="00AA7799" w:rsidRPr="002518FB">
        <w:rPr>
          <w:sz w:val="22"/>
          <w:lang w:val="el-GR"/>
        </w:rPr>
        <w:t xml:space="preserve"> (βλέπε </w:t>
      </w:r>
      <w:r w:rsidRPr="002518FB">
        <w:rPr>
          <w:sz w:val="22"/>
          <w:lang w:val="el-GR"/>
        </w:rPr>
        <w:t>παράγραφο 4.2).</w:t>
      </w:r>
    </w:p>
    <w:p w:rsidR="00CE0F0D" w:rsidRPr="002518FB" w:rsidRDefault="00CE0F0D">
      <w:pPr>
        <w:rPr>
          <w:sz w:val="22"/>
          <w:lang w:val="el-GR"/>
        </w:rPr>
      </w:pPr>
    </w:p>
    <w:p w:rsidR="00CE0F0D" w:rsidRPr="002518FB" w:rsidRDefault="00E43C2E" w:rsidP="00EB3B55">
      <w:pPr>
        <w:rPr>
          <w:sz w:val="22"/>
          <w:lang w:val="el-GR"/>
        </w:rPr>
      </w:pPr>
      <w:r w:rsidRPr="002518FB">
        <w:rPr>
          <w:sz w:val="22"/>
          <w:lang w:val="el-GR"/>
        </w:rPr>
        <w:t xml:space="preserve">Οι μέσες συγκεντρώσεις πλάσματος της </w:t>
      </w:r>
      <w:proofErr w:type="spellStart"/>
      <w:r w:rsidR="00EB3B55" w:rsidRPr="002518FB">
        <w:rPr>
          <w:sz w:val="22"/>
          <w:lang w:val="el-GR"/>
        </w:rPr>
        <w:t>ατομοξετίνη</w:t>
      </w:r>
      <w:r w:rsidRPr="002518FB">
        <w:rPr>
          <w:sz w:val="22"/>
          <w:lang w:val="el-GR"/>
        </w:rPr>
        <w:t>ς</w:t>
      </w:r>
      <w:proofErr w:type="spellEnd"/>
      <w:r w:rsidR="00EB3B55" w:rsidRPr="002518FB">
        <w:rPr>
          <w:sz w:val="22"/>
          <w:lang w:val="el-GR"/>
        </w:rPr>
        <w:t xml:space="preserve"> </w:t>
      </w:r>
      <w:r w:rsidR="00AE4BB2" w:rsidRPr="002518FB">
        <w:rPr>
          <w:sz w:val="22"/>
          <w:lang w:val="el-GR"/>
        </w:rPr>
        <w:t>για τελικ</w:t>
      </w:r>
      <w:r w:rsidR="00FC75DC" w:rsidRPr="002518FB">
        <w:rPr>
          <w:sz w:val="22"/>
          <w:lang w:val="el-GR"/>
        </w:rPr>
        <w:t>ού</w:t>
      </w:r>
      <w:r w:rsidR="00AE4BB2" w:rsidRPr="002518FB">
        <w:rPr>
          <w:sz w:val="22"/>
          <w:lang w:val="el-GR"/>
        </w:rPr>
        <w:t xml:space="preserve"> στ</w:t>
      </w:r>
      <w:r w:rsidR="00FC75DC" w:rsidRPr="002518FB">
        <w:rPr>
          <w:sz w:val="22"/>
          <w:lang w:val="el-GR"/>
        </w:rPr>
        <w:t>α</w:t>
      </w:r>
      <w:r w:rsidR="00AE4BB2" w:rsidRPr="002518FB">
        <w:rPr>
          <w:sz w:val="22"/>
          <w:lang w:val="el-GR"/>
        </w:rPr>
        <w:t>δ</w:t>
      </w:r>
      <w:r w:rsidR="00FC75DC" w:rsidRPr="002518FB">
        <w:rPr>
          <w:sz w:val="22"/>
          <w:lang w:val="el-GR"/>
        </w:rPr>
        <w:t>ίου</w:t>
      </w:r>
      <w:r w:rsidR="00AE4BB2" w:rsidRPr="002518FB">
        <w:rPr>
          <w:sz w:val="22"/>
          <w:lang w:val="el-GR"/>
        </w:rPr>
        <w:t xml:space="preserve"> </w:t>
      </w:r>
      <w:r w:rsidR="00AF0372" w:rsidRPr="002518FB">
        <w:rPr>
          <w:sz w:val="22"/>
          <w:lang w:val="el-GR"/>
        </w:rPr>
        <w:t xml:space="preserve">νεφρική </w:t>
      </w:r>
      <w:r w:rsidR="00FC75DC" w:rsidRPr="002518FB">
        <w:rPr>
          <w:sz w:val="22"/>
          <w:lang w:val="el-GR"/>
        </w:rPr>
        <w:t xml:space="preserve">ανεπάρκεια </w:t>
      </w:r>
      <w:r w:rsidR="00EB3B55" w:rsidRPr="002518FB">
        <w:rPr>
          <w:sz w:val="22"/>
          <w:lang w:val="el-GR"/>
        </w:rPr>
        <w:t>(ESRD) ήταν</w:t>
      </w:r>
      <w:r w:rsidR="00AE4BB2" w:rsidRPr="002518FB">
        <w:rPr>
          <w:sz w:val="22"/>
          <w:lang w:val="el-GR"/>
        </w:rPr>
        <w:t xml:space="preserve"> γενικά υψηλότερες</w:t>
      </w:r>
      <w:r w:rsidR="00EB3B55" w:rsidRPr="002518FB">
        <w:rPr>
          <w:sz w:val="22"/>
          <w:lang w:val="el-GR"/>
        </w:rPr>
        <w:t xml:space="preserve"> από το μέσο όρο </w:t>
      </w:r>
      <w:r w:rsidR="008448D8" w:rsidRPr="002518FB">
        <w:rPr>
          <w:sz w:val="22"/>
          <w:lang w:val="el-GR"/>
        </w:rPr>
        <w:t xml:space="preserve">των υγιών εθελοντών της ομάδας ελέγχου </w:t>
      </w:r>
      <w:r w:rsidR="006A51E8" w:rsidRPr="002518FB">
        <w:rPr>
          <w:sz w:val="22"/>
          <w:lang w:val="el-GR"/>
        </w:rPr>
        <w:t>με</w:t>
      </w:r>
      <w:r w:rsidR="008448D8" w:rsidRPr="002518FB">
        <w:rPr>
          <w:sz w:val="22"/>
          <w:lang w:val="el-GR"/>
        </w:rPr>
        <w:t xml:space="preserve"> αύξηση της</w:t>
      </w:r>
      <w:r w:rsidR="00AE4BB2" w:rsidRPr="002518FB">
        <w:rPr>
          <w:sz w:val="22"/>
          <w:lang w:val="el-GR"/>
        </w:rPr>
        <w:t xml:space="preserve"> </w:t>
      </w:r>
      <w:proofErr w:type="spellStart"/>
      <w:r w:rsidR="00EB3B55" w:rsidRPr="002518FB">
        <w:rPr>
          <w:sz w:val="22"/>
          <w:lang w:val="el-GR"/>
        </w:rPr>
        <w:t>C</w:t>
      </w:r>
      <w:r w:rsidR="00EB3B55" w:rsidRPr="002518FB">
        <w:rPr>
          <w:sz w:val="22"/>
          <w:vertAlign w:val="subscript"/>
          <w:lang w:val="el-GR"/>
        </w:rPr>
        <w:t>max</w:t>
      </w:r>
      <w:proofErr w:type="spellEnd"/>
      <w:r w:rsidR="00EB3B55" w:rsidRPr="002518FB">
        <w:rPr>
          <w:sz w:val="22"/>
          <w:lang w:val="el-GR"/>
        </w:rPr>
        <w:t xml:space="preserve"> (διαφορά 7</w:t>
      </w:r>
      <w:r w:rsidR="001949E4" w:rsidRPr="002518FB">
        <w:rPr>
          <w:sz w:val="22"/>
          <w:lang w:val="el-GR"/>
        </w:rPr>
        <w:t xml:space="preserve"> </w:t>
      </w:r>
      <w:r w:rsidR="00EB3B55" w:rsidRPr="002518FB">
        <w:rPr>
          <w:sz w:val="22"/>
          <w:lang w:val="el-GR"/>
        </w:rPr>
        <w:t xml:space="preserve">%) και </w:t>
      </w:r>
      <w:r w:rsidR="008448D8" w:rsidRPr="002518FB">
        <w:rPr>
          <w:sz w:val="22"/>
          <w:lang w:val="el-GR"/>
        </w:rPr>
        <w:t xml:space="preserve">της </w:t>
      </w:r>
      <w:r w:rsidR="000F3434" w:rsidRPr="002518FB">
        <w:rPr>
          <w:sz w:val="22"/>
          <w:lang w:val="el-GR"/>
        </w:rPr>
        <w:t>AUC</w:t>
      </w:r>
      <w:r w:rsidR="00AE4BB2" w:rsidRPr="002518FB">
        <w:rPr>
          <w:position w:val="-4"/>
          <w:sz w:val="22"/>
          <w:szCs w:val="22"/>
          <w:lang w:val="el-GR"/>
        </w:rPr>
        <w:t>0-</w:t>
      </w:r>
      <w:r w:rsidR="000F3434" w:rsidRPr="002518FB">
        <w:rPr>
          <w:position w:val="-4"/>
          <w:sz w:val="22"/>
          <w:lang w:val="el-GR"/>
        </w:rPr>
        <w:sym w:font="Symbol" w:char="F0A5"/>
      </w:r>
      <w:r w:rsidR="00AE4BB2" w:rsidRPr="002518FB">
        <w:rPr>
          <w:sz w:val="22"/>
          <w:lang w:val="el-GR"/>
        </w:rPr>
        <w:t xml:space="preserve"> </w:t>
      </w:r>
      <w:r w:rsidR="00EB3B55" w:rsidRPr="002518FB">
        <w:rPr>
          <w:sz w:val="22"/>
          <w:lang w:val="el-GR"/>
        </w:rPr>
        <w:t xml:space="preserve">(διαφορά περίπου </w:t>
      </w:r>
      <w:r w:rsidR="00AF0372" w:rsidRPr="002518FB">
        <w:rPr>
          <w:sz w:val="22"/>
          <w:lang w:val="el-GR"/>
        </w:rPr>
        <w:t>65</w:t>
      </w:r>
      <w:r w:rsidR="001949E4" w:rsidRPr="002518FB">
        <w:rPr>
          <w:sz w:val="22"/>
          <w:lang w:val="el-GR"/>
        </w:rPr>
        <w:t xml:space="preserve"> </w:t>
      </w:r>
      <w:r w:rsidR="00AF0372" w:rsidRPr="002518FB">
        <w:rPr>
          <w:sz w:val="22"/>
          <w:lang w:val="el-GR"/>
        </w:rPr>
        <w:t>%)</w:t>
      </w:r>
      <w:r w:rsidR="00AE4BB2" w:rsidRPr="002518FB">
        <w:rPr>
          <w:sz w:val="22"/>
          <w:lang w:val="el-GR"/>
        </w:rPr>
        <w:t xml:space="preserve">. Μετά από </w:t>
      </w:r>
      <w:r w:rsidR="007B41D0" w:rsidRPr="002518FB">
        <w:rPr>
          <w:sz w:val="22"/>
          <w:lang w:val="el-GR"/>
        </w:rPr>
        <w:t>προσαρμογή για το</w:t>
      </w:r>
      <w:r w:rsidR="00AE4BB2" w:rsidRPr="002518FB">
        <w:rPr>
          <w:sz w:val="22"/>
          <w:lang w:val="el-GR"/>
        </w:rPr>
        <w:t xml:space="preserve"> </w:t>
      </w:r>
      <w:r w:rsidR="007B41D0" w:rsidRPr="002518FB">
        <w:rPr>
          <w:sz w:val="22"/>
          <w:lang w:val="el-GR"/>
        </w:rPr>
        <w:t>σωματικό</w:t>
      </w:r>
      <w:r w:rsidR="006A51E8" w:rsidRPr="002518FB">
        <w:rPr>
          <w:sz w:val="22"/>
          <w:lang w:val="el-GR"/>
        </w:rPr>
        <w:t xml:space="preserve"> </w:t>
      </w:r>
      <w:r w:rsidR="00EB3B55" w:rsidRPr="002518FB">
        <w:rPr>
          <w:sz w:val="22"/>
          <w:lang w:val="el-GR"/>
        </w:rPr>
        <w:t>βάρο</w:t>
      </w:r>
      <w:r w:rsidR="007B41D0" w:rsidRPr="002518FB">
        <w:rPr>
          <w:sz w:val="22"/>
          <w:lang w:val="el-GR"/>
        </w:rPr>
        <w:t>ς</w:t>
      </w:r>
      <w:r w:rsidR="00EB3B55" w:rsidRPr="002518FB">
        <w:rPr>
          <w:sz w:val="22"/>
          <w:lang w:val="el-GR"/>
        </w:rPr>
        <w:t>, οι διαφορές μεταξύ των δύο ομάδων</w:t>
      </w:r>
      <w:r w:rsidR="00DF01E1" w:rsidRPr="002518FB">
        <w:rPr>
          <w:sz w:val="22"/>
          <w:lang w:val="el-GR"/>
        </w:rPr>
        <w:t xml:space="preserve"> </w:t>
      </w:r>
      <w:r w:rsidR="00EB3B55" w:rsidRPr="002518FB">
        <w:rPr>
          <w:sz w:val="22"/>
          <w:lang w:val="el-GR"/>
        </w:rPr>
        <w:t>ελαχιστοπο</w:t>
      </w:r>
      <w:r w:rsidR="00AE4BB2" w:rsidRPr="002518FB">
        <w:rPr>
          <w:sz w:val="22"/>
          <w:lang w:val="el-GR"/>
        </w:rPr>
        <w:t>ι</w:t>
      </w:r>
      <w:r w:rsidR="007B41D0" w:rsidRPr="002518FB">
        <w:rPr>
          <w:sz w:val="22"/>
          <w:lang w:val="el-GR"/>
        </w:rPr>
        <w:t>ήθηκαν</w:t>
      </w:r>
      <w:r w:rsidR="00AE4BB2" w:rsidRPr="002518FB">
        <w:rPr>
          <w:sz w:val="22"/>
          <w:lang w:val="el-GR"/>
        </w:rPr>
        <w:t xml:space="preserve">. </w:t>
      </w:r>
      <w:r w:rsidR="0074327E" w:rsidRPr="002518FB">
        <w:rPr>
          <w:sz w:val="22"/>
          <w:lang w:val="el-GR"/>
        </w:rPr>
        <w:t>Η</w:t>
      </w:r>
      <w:r w:rsidR="00AE4BB2" w:rsidRPr="002518FB">
        <w:rPr>
          <w:sz w:val="22"/>
          <w:lang w:val="el-GR"/>
        </w:rPr>
        <w:t xml:space="preserve"> </w:t>
      </w:r>
      <w:proofErr w:type="spellStart"/>
      <w:r w:rsidR="00AE4BB2" w:rsidRPr="002518FB">
        <w:rPr>
          <w:sz w:val="22"/>
          <w:lang w:val="el-GR"/>
        </w:rPr>
        <w:t>φαρμακοκινητικ</w:t>
      </w:r>
      <w:r w:rsidR="0074327E" w:rsidRPr="002518FB">
        <w:rPr>
          <w:sz w:val="22"/>
          <w:lang w:val="el-GR"/>
        </w:rPr>
        <w:t>ή</w:t>
      </w:r>
      <w:proofErr w:type="spellEnd"/>
      <w:r w:rsidR="00AE4BB2" w:rsidRPr="002518FB">
        <w:rPr>
          <w:sz w:val="22"/>
          <w:lang w:val="el-GR"/>
        </w:rPr>
        <w:t xml:space="preserve"> της </w:t>
      </w:r>
      <w:proofErr w:type="spellStart"/>
      <w:r w:rsidR="00AE4BB2" w:rsidRPr="002518FB">
        <w:rPr>
          <w:sz w:val="22"/>
          <w:lang w:val="el-GR"/>
        </w:rPr>
        <w:t>ατομοξετίνης</w:t>
      </w:r>
      <w:proofErr w:type="spellEnd"/>
      <w:r w:rsidR="00AE4BB2" w:rsidRPr="002518FB">
        <w:rPr>
          <w:sz w:val="22"/>
          <w:lang w:val="el-GR"/>
        </w:rPr>
        <w:t xml:space="preserve"> </w:t>
      </w:r>
      <w:r w:rsidR="00EB3B55" w:rsidRPr="002518FB">
        <w:rPr>
          <w:sz w:val="22"/>
          <w:lang w:val="el-GR"/>
        </w:rPr>
        <w:t>και των</w:t>
      </w:r>
      <w:r w:rsidR="00AE4BB2" w:rsidRPr="002518FB">
        <w:rPr>
          <w:sz w:val="22"/>
          <w:lang w:val="el-GR"/>
        </w:rPr>
        <w:t xml:space="preserve"> </w:t>
      </w:r>
      <w:r w:rsidR="00EB3B55" w:rsidRPr="002518FB">
        <w:rPr>
          <w:sz w:val="22"/>
          <w:lang w:val="el-GR"/>
        </w:rPr>
        <w:t xml:space="preserve">μεταβολιτών της στα άτομα με ESRD </w:t>
      </w:r>
      <w:r w:rsidR="0074327E" w:rsidRPr="002518FB">
        <w:rPr>
          <w:sz w:val="22"/>
          <w:lang w:val="el-GR"/>
        </w:rPr>
        <w:t>υποδηλώνει πως</w:t>
      </w:r>
      <w:r w:rsidR="00EB3B55" w:rsidRPr="002518FB">
        <w:rPr>
          <w:sz w:val="22"/>
          <w:lang w:val="el-GR"/>
        </w:rPr>
        <w:t xml:space="preserve"> </w:t>
      </w:r>
      <w:r w:rsidR="0074327E" w:rsidRPr="002518FB">
        <w:rPr>
          <w:sz w:val="22"/>
          <w:lang w:val="el-GR"/>
        </w:rPr>
        <w:t xml:space="preserve">η </w:t>
      </w:r>
      <w:proofErr w:type="spellStart"/>
      <w:r w:rsidR="0074327E" w:rsidRPr="002518FB">
        <w:rPr>
          <w:sz w:val="22"/>
          <w:lang w:val="el-GR"/>
        </w:rPr>
        <w:t>δοσολογική</w:t>
      </w:r>
      <w:proofErr w:type="spellEnd"/>
      <w:r w:rsidR="0074327E" w:rsidRPr="002518FB">
        <w:rPr>
          <w:sz w:val="22"/>
          <w:lang w:val="el-GR"/>
        </w:rPr>
        <w:t xml:space="preserve"> αναπροσαρμογή δεν είναι απαραίτητη</w:t>
      </w:r>
      <w:r w:rsidR="00EB3B55" w:rsidRPr="002518FB">
        <w:rPr>
          <w:sz w:val="22"/>
          <w:lang w:val="el-GR"/>
        </w:rPr>
        <w:t xml:space="preserve"> (βλέπε</w:t>
      </w:r>
      <w:r w:rsidR="0074327E" w:rsidRPr="002518FB">
        <w:rPr>
          <w:sz w:val="22"/>
          <w:lang w:val="el-GR"/>
        </w:rPr>
        <w:t xml:space="preserve"> </w:t>
      </w:r>
      <w:r w:rsidR="00EB3B55" w:rsidRPr="002518FB">
        <w:rPr>
          <w:sz w:val="22"/>
          <w:lang w:val="el-GR"/>
        </w:rPr>
        <w:t>παράγραφο 4.2).</w:t>
      </w:r>
    </w:p>
    <w:p w:rsidR="006D2D93" w:rsidRPr="002518FB" w:rsidRDefault="006D2D93">
      <w:pPr>
        <w:rPr>
          <w:sz w:val="22"/>
          <w:lang w:val="el-GR"/>
        </w:rPr>
      </w:pPr>
    </w:p>
    <w:p w:rsidR="00006638" w:rsidRDefault="00006638">
      <w:pPr>
        <w:ind w:left="567" w:hanging="567"/>
        <w:rPr>
          <w:b/>
          <w:sz w:val="22"/>
          <w:lang w:val="en-US"/>
        </w:rPr>
      </w:pPr>
    </w:p>
    <w:p w:rsidR="00006638" w:rsidRDefault="00006638">
      <w:pPr>
        <w:ind w:left="567" w:hanging="567"/>
        <w:rPr>
          <w:b/>
          <w:sz w:val="22"/>
          <w:lang w:val="en-US"/>
        </w:rPr>
      </w:pPr>
    </w:p>
    <w:p w:rsidR="006D2D93" w:rsidRPr="002518FB" w:rsidRDefault="006D2D93">
      <w:pPr>
        <w:ind w:left="567" w:hanging="567"/>
        <w:rPr>
          <w:sz w:val="22"/>
          <w:lang w:val="el-GR"/>
        </w:rPr>
      </w:pPr>
      <w:r w:rsidRPr="002518FB">
        <w:rPr>
          <w:b/>
          <w:sz w:val="22"/>
          <w:lang w:val="el-GR"/>
        </w:rPr>
        <w:lastRenderedPageBreak/>
        <w:t>5.3</w:t>
      </w:r>
      <w:r w:rsidRPr="002518FB">
        <w:rPr>
          <w:b/>
          <w:sz w:val="22"/>
          <w:lang w:val="el-GR"/>
        </w:rPr>
        <w:tab/>
      </w:r>
      <w:proofErr w:type="spellStart"/>
      <w:r w:rsidRPr="002518FB">
        <w:rPr>
          <w:b/>
          <w:bCs/>
          <w:sz w:val="22"/>
          <w:lang w:val="el-GR"/>
        </w:rPr>
        <w:t>Προκλινικά</w:t>
      </w:r>
      <w:proofErr w:type="spellEnd"/>
      <w:r w:rsidRPr="002518FB">
        <w:rPr>
          <w:b/>
          <w:bCs/>
          <w:sz w:val="22"/>
          <w:lang w:val="el-GR"/>
        </w:rPr>
        <w:t xml:space="preserve"> δεδομένα για την ασφάλεια</w:t>
      </w:r>
    </w:p>
    <w:p w:rsidR="006D2D93" w:rsidRPr="002518FB" w:rsidRDefault="006D2D93">
      <w:pPr>
        <w:rPr>
          <w:sz w:val="22"/>
          <w:lang w:val="el-GR"/>
        </w:rPr>
      </w:pPr>
    </w:p>
    <w:p w:rsidR="006D2D93" w:rsidRPr="002518FB" w:rsidRDefault="006D2D93">
      <w:pPr>
        <w:rPr>
          <w:sz w:val="22"/>
          <w:lang w:val="el-GR"/>
        </w:rPr>
      </w:pPr>
      <w:r w:rsidRPr="002518FB">
        <w:rPr>
          <w:sz w:val="22"/>
          <w:lang w:val="el-GR"/>
        </w:rPr>
        <w:t xml:space="preserve">Τα </w:t>
      </w:r>
      <w:proofErr w:type="spellStart"/>
      <w:r w:rsidRPr="002518FB">
        <w:rPr>
          <w:sz w:val="22"/>
          <w:lang w:val="el-GR"/>
        </w:rPr>
        <w:t>προκλινικά</w:t>
      </w:r>
      <w:proofErr w:type="spellEnd"/>
      <w:r w:rsidRPr="002518FB">
        <w:rPr>
          <w:sz w:val="22"/>
          <w:lang w:val="el-GR"/>
        </w:rPr>
        <w:t xml:space="preserve"> δεδομένα δεν έδειξαν κανέναν ειδικό κίνδυνο για τον άνθρωπο, με βάση τις συνήθεις μελέτες της φαρμακολογικής ασφάλειας, της τοξικότητας των επαναλαμβανόμενων δόσεων, της </w:t>
      </w:r>
      <w:proofErr w:type="spellStart"/>
      <w:r w:rsidRPr="002518FB">
        <w:rPr>
          <w:sz w:val="22"/>
          <w:lang w:val="el-GR"/>
        </w:rPr>
        <w:t>γονιδιοτοξικότητας</w:t>
      </w:r>
      <w:proofErr w:type="spellEnd"/>
      <w:r w:rsidRPr="002518FB">
        <w:rPr>
          <w:sz w:val="22"/>
          <w:lang w:val="el-GR"/>
        </w:rPr>
        <w:t>, της καρκινογένεσης, ή της αναπαραγωγής και ανάπτυξης.</w:t>
      </w:r>
    </w:p>
    <w:p w:rsidR="006D2D93" w:rsidRPr="002518FB" w:rsidRDefault="00826485">
      <w:pPr>
        <w:rPr>
          <w:sz w:val="22"/>
          <w:lang w:val="el-GR"/>
        </w:rPr>
      </w:pPr>
      <w:r w:rsidRPr="002518FB">
        <w:rPr>
          <w:sz w:val="22"/>
          <w:lang w:val="el-GR"/>
        </w:rPr>
        <w:t xml:space="preserve">Λόγω του περιορισμού της </w:t>
      </w:r>
      <w:r w:rsidR="00F74F96" w:rsidRPr="002518FB">
        <w:rPr>
          <w:sz w:val="22"/>
          <w:lang w:val="el-GR"/>
        </w:rPr>
        <w:t xml:space="preserve">χορηγούμενης </w:t>
      </w:r>
      <w:r w:rsidRPr="002518FB">
        <w:rPr>
          <w:sz w:val="22"/>
          <w:lang w:val="el-GR"/>
        </w:rPr>
        <w:t>δόσης</w:t>
      </w:r>
      <w:r w:rsidR="00F74F96" w:rsidRPr="002518FB">
        <w:rPr>
          <w:sz w:val="22"/>
          <w:lang w:val="el-GR"/>
        </w:rPr>
        <w:t xml:space="preserve"> που επιβάλλεται από την κλινική (ή την μέγιστη φαρμακολογικά ανεκτή) ανταπόκριση των </w:t>
      </w:r>
      <w:r w:rsidR="002F26B5" w:rsidRPr="002518FB">
        <w:rPr>
          <w:sz w:val="22"/>
          <w:lang w:val="el-GR"/>
        </w:rPr>
        <w:t>πειραματόζωων</w:t>
      </w:r>
      <w:r w:rsidR="00F74F96" w:rsidRPr="002518FB">
        <w:rPr>
          <w:sz w:val="22"/>
          <w:lang w:val="el-GR"/>
        </w:rPr>
        <w:t xml:space="preserve"> στο φάρμακο σε συνδυασμό με τις μεταβολικές διαφορές </w:t>
      </w:r>
      <w:r w:rsidR="004E0B59" w:rsidRPr="002518FB">
        <w:rPr>
          <w:sz w:val="22"/>
          <w:lang w:val="el-GR"/>
        </w:rPr>
        <w:t xml:space="preserve">μεταξύ </w:t>
      </w:r>
      <w:r w:rsidR="00F74F96" w:rsidRPr="002518FB">
        <w:rPr>
          <w:sz w:val="22"/>
          <w:lang w:val="el-GR"/>
        </w:rPr>
        <w:t>των ειδών, οι μέγιστες ανεκτές δόσεις στα ζ</w:t>
      </w:r>
      <w:r w:rsidR="00242E47" w:rsidRPr="002518FB">
        <w:rPr>
          <w:sz w:val="22"/>
          <w:lang w:val="el-GR"/>
        </w:rPr>
        <w:t>ώ</w:t>
      </w:r>
      <w:r w:rsidR="00F74F96" w:rsidRPr="002518FB">
        <w:rPr>
          <w:sz w:val="22"/>
          <w:lang w:val="el-GR"/>
        </w:rPr>
        <w:t>α που χρησιμοποι</w:t>
      </w:r>
      <w:r w:rsidR="004E0B59" w:rsidRPr="002518FB">
        <w:rPr>
          <w:sz w:val="22"/>
          <w:lang w:val="el-GR"/>
        </w:rPr>
        <w:t xml:space="preserve">ήθηκαν σε </w:t>
      </w:r>
      <w:r w:rsidR="004E0B59" w:rsidRPr="002518FB">
        <w:rPr>
          <w:sz w:val="22"/>
          <w:szCs w:val="24"/>
          <w:lang w:val="el-GR"/>
        </w:rPr>
        <w:t>προ</w:t>
      </w:r>
      <w:r w:rsidR="00F74F96" w:rsidRPr="002518FB">
        <w:rPr>
          <w:sz w:val="22"/>
          <w:szCs w:val="24"/>
          <w:lang w:val="el-GR"/>
        </w:rPr>
        <w:t>-κλινικές</w:t>
      </w:r>
      <w:r w:rsidR="00F74F96" w:rsidRPr="002518FB">
        <w:rPr>
          <w:lang w:val="el-GR"/>
        </w:rPr>
        <w:t xml:space="preserve"> </w:t>
      </w:r>
      <w:r w:rsidR="00F74F96" w:rsidRPr="002518FB">
        <w:rPr>
          <w:sz w:val="22"/>
          <w:lang w:val="el-GR"/>
        </w:rPr>
        <w:t xml:space="preserve">μελέτες </w:t>
      </w:r>
      <w:r w:rsidR="00756468" w:rsidRPr="002518FB">
        <w:rPr>
          <w:sz w:val="22"/>
          <w:lang w:val="el-GR"/>
        </w:rPr>
        <w:t>έδωσαν</w:t>
      </w:r>
      <w:r w:rsidR="00F74F96" w:rsidRPr="002518FB">
        <w:rPr>
          <w:sz w:val="22"/>
          <w:lang w:val="el-GR"/>
        </w:rPr>
        <w:t xml:space="preserve"> δεδομένα έκθεσης σε </w:t>
      </w:r>
      <w:proofErr w:type="spellStart"/>
      <w:r w:rsidR="00F74F96" w:rsidRPr="002518FB">
        <w:rPr>
          <w:sz w:val="22"/>
          <w:lang w:val="el-GR"/>
        </w:rPr>
        <w:t>ατομοξετίνη</w:t>
      </w:r>
      <w:proofErr w:type="spellEnd"/>
      <w:r w:rsidR="00F74F96" w:rsidRPr="002518FB">
        <w:rPr>
          <w:sz w:val="22"/>
          <w:lang w:val="el-GR"/>
        </w:rPr>
        <w:t xml:space="preserve"> παρόμοια ή ελάχιστα ανώτερα από αυτά που παρατηρούνται σε πτωχούς </w:t>
      </w:r>
      <w:proofErr w:type="spellStart"/>
      <w:r w:rsidR="00F74F96" w:rsidRPr="002518FB">
        <w:rPr>
          <w:sz w:val="22"/>
          <w:lang w:val="el-GR"/>
        </w:rPr>
        <w:t>μεταβολιστές</w:t>
      </w:r>
      <w:proofErr w:type="spellEnd"/>
      <w:r w:rsidR="00F74F96" w:rsidRPr="002518FB">
        <w:rPr>
          <w:sz w:val="22"/>
          <w:lang w:val="el-GR"/>
        </w:rPr>
        <w:t xml:space="preserve"> του </w:t>
      </w:r>
      <w:r w:rsidR="000F3434" w:rsidRPr="002518FB">
        <w:rPr>
          <w:sz w:val="22"/>
          <w:lang w:val="el-GR"/>
        </w:rPr>
        <w:t>CYP</w:t>
      </w:r>
      <w:r w:rsidR="00F74F96" w:rsidRPr="002518FB">
        <w:rPr>
          <w:sz w:val="22"/>
          <w:lang w:val="el-GR"/>
        </w:rPr>
        <w:t>2</w:t>
      </w:r>
      <w:r w:rsidR="000F3434" w:rsidRPr="002518FB">
        <w:rPr>
          <w:sz w:val="22"/>
          <w:lang w:val="el-GR"/>
        </w:rPr>
        <w:t>D</w:t>
      </w:r>
      <w:r w:rsidR="00F74F96" w:rsidRPr="002518FB">
        <w:rPr>
          <w:sz w:val="22"/>
          <w:lang w:val="el-GR"/>
        </w:rPr>
        <w:t xml:space="preserve">6 στην μέγιστη συνιστώμενη ημερήσια δόση.     </w:t>
      </w:r>
      <w:r w:rsidRPr="002518FB">
        <w:rPr>
          <w:sz w:val="22"/>
          <w:lang w:val="el-GR"/>
        </w:rPr>
        <w:t xml:space="preserve">  </w:t>
      </w:r>
    </w:p>
    <w:p w:rsidR="00142C98" w:rsidRPr="002518FB" w:rsidRDefault="00142C98">
      <w:pPr>
        <w:pStyle w:val="BodyText2"/>
        <w:rPr>
          <w:color w:val="auto"/>
          <w:lang w:val="el-GR"/>
        </w:rPr>
      </w:pPr>
    </w:p>
    <w:p w:rsidR="006D2D93" w:rsidRPr="002518FB" w:rsidRDefault="006D2D93">
      <w:pPr>
        <w:pStyle w:val="BodyText2"/>
        <w:rPr>
          <w:color w:val="auto"/>
          <w:lang w:val="el-GR"/>
        </w:rPr>
      </w:pPr>
      <w:r w:rsidRPr="002518FB">
        <w:rPr>
          <w:color w:val="auto"/>
          <w:lang w:val="el-GR"/>
        </w:rPr>
        <w:t xml:space="preserve">Μία κλινική μελέτη πραγματοποιήθηκε σε νεαρούς αρουραίους προκειμένου να αξιολογηθούν οι επιδράσεις της </w:t>
      </w:r>
      <w:proofErr w:type="spellStart"/>
      <w:r w:rsidRPr="002518FB">
        <w:rPr>
          <w:color w:val="auto"/>
          <w:szCs w:val="22"/>
          <w:lang w:val="el-GR"/>
        </w:rPr>
        <w:t>ατομοξετίνης</w:t>
      </w:r>
      <w:proofErr w:type="spellEnd"/>
      <w:r w:rsidRPr="002518FB">
        <w:rPr>
          <w:color w:val="auto"/>
          <w:lang w:val="el-GR"/>
        </w:rPr>
        <w:t xml:space="preserve"> στη σωματική, τη </w:t>
      </w:r>
      <w:proofErr w:type="spellStart"/>
      <w:r w:rsidRPr="002518FB">
        <w:rPr>
          <w:color w:val="auto"/>
          <w:lang w:val="el-GR"/>
        </w:rPr>
        <w:t>νευρο</w:t>
      </w:r>
      <w:proofErr w:type="spellEnd"/>
      <w:r w:rsidRPr="002518FB">
        <w:rPr>
          <w:color w:val="auto"/>
          <w:lang w:val="el-GR"/>
        </w:rPr>
        <w:t>-</w:t>
      </w:r>
      <w:proofErr w:type="spellStart"/>
      <w:r w:rsidRPr="002518FB">
        <w:rPr>
          <w:color w:val="auto"/>
          <w:lang w:val="el-GR"/>
        </w:rPr>
        <w:t>συμπεριφορική</w:t>
      </w:r>
      <w:proofErr w:type="spellEnd"/>
      <w:r w:rsidRPr="002518FB">
        <w:rPr>
          <w:color w:val="auto"/>
          <w:lang w:val="el-GR"/>
        </w:rPr>
        <w:t xml:space="preserve"> και τη γενετήσια ανάπτυξη. Παρατηρήθηκαν πολύ μικρές καθυστερήσεις στην έναρξη της βατότητας του κόλπου (σε όλες τις δόσεις) και της αποκάλυψης της βαλάνου (</w:t>
      </w:r>
      <w:r w:rsidR="000F3434" w:rsidRPr="002518FB">
        <w:rPr>
          <w:color w:val="auto"/>
          <w:lang w:val="el-GR"/>
        </w:rPr>
        <w:sym w:font="Symbol" w:char="F0B3"/>
      </w:r>
      <w:r w:rsidR="00B03903" w:rsidRPr="002518FB">
        <w:rPr>
          <w:color w:val="auto"/>
          <w:lang w:val="el-GR"/>
        </w:rPr>
        <w:t xml:space="preserve"> </w:t>
      </w:r>
      <w:r w:rsidRPr="002518FB">
        <w:rPr>
          <w:color w:val="auto"/>
          <w:lang w:val="el-GR"/>
        </w:rPr>
        <w:t>10</w:t>
      </w:r>
      <w:r w:rsidR="000F3434" w:rsidRPr="002518FB">
        <w:rPr>
          <w:color w:val="auto"/>
          <w:lang w:val="el-GR"/>
        </w:rPr>
        <w:t>mg</w:t>
      </w:r>
      <w:r w:rsidRPr="002518FB">
        <w:rPr>
          <w:color w:val="auto"/>
          <w:lang w:val="el-GR"/>
        </w:rPr>
        <w:t>/</w:t>
      </w:r>
      <w:r w:rsidR="000F3434" w:rsidRPr="002518FB">
        <w:rPr>
          <w:color w:val="auto"/>
          <w:lang w:val="el-GR"/>
        </w:rPr>
        <w:t>kg</w:t>
      </w:r>
      <w:r w:rsidRPr="002518FB">
        <w:rPr>
          <w:color w:val="auto"/>
          <w:lang w:val="el-GR"/>
        </w:rPr>
        <w:t>/ημέρα), καθώς και ελάχιστες μειώσεις του βάρους των επιδιδυμίδων και του αριθμού των σπερματοζωαρίων (</w:t>
      </w:r>
      <w:r w:rsidR="000F3434" w:rsidRPr="002518FB">
        <w:rPr>
          <w:color w:val="auto"/>
          <w:lang w:val="el-GR"/>
        </w:rPr>
        <w:sym w:font="Symbol" w:char="F0B3"/>
      </w:r>
      <w:r w:rsidR="00CF0FE5" w:rsidRPr="002518FB">
        <w:rPr>
          <w:color w:val="auto"/>
          <w:lang w:val="el-GR"/>
        </w:rPr>
        <w:t xml:space="preserve"> </w:t>
      </w:r>
      <w:r w:rsidRPr="002518FB">
        <w:rPr>
          <w:color w:val="auto"/>
          <w:lang w:val="el-GR"/>
        </w:rPr>
        <w:t>10</w:t>
      </w:r>
      <w:r w:rsidR="000F3434" w:rsidRPr="002518FB">
        <w:rPr>
          <w:color w:val="auto"/>
          <w:lang w:val="el-GR"/>
        </w:rPr>
        <w:t>mg</w:t>
      </w:r>
      <w:r w:rsidRPr="002518FB">
        <w:rPr>
          <w:color w:val="auto"/>
          <w:lang w:val="el-GR"/>
        </w:rPr>
        <w:t>/</w:t>
      </w:r>
      <w:r w:rsidR="000F3434" w:rsidRPr="002518FB">
        <w:rPr>
          <w:color w:val="auto"/>
          <w:lang w:val="el-GR"/>
        </w:rPr>
        <w:t>kg</w:t>
      </w:r>
      <w:r w:rsidRPr="002518FB">
        <w:rPr>
          <w:color w:val="auto"/>
          <w:lang w:val="el-GR"/>
        </w:rPr>
        <w:t>/ημέρα). Παρόλα αυτά, δεν υπήρξαν επιδράσεις στη γονιμότητα ή την αναπαραγωγική ικανότητα. Δεν είναι γνωστή η σημασία αυτών των ευρημάτων για τον άνθρωπο.</w:t>
      </w:r>
    </w:p>
    <w:p w:rsidR="006D2D93" w:rsidRPr="002518FB" w:rsidRDefault="006D2D93">
      <w:pPr>
        <w:rPr>
          <w:sz w:val="22"/>
          <w:highlight w:val="yellow"/>
          <w:lang w:val="el-GR"/>
        </w:rPr>
      </w:pPr>
    </w:p>
    <w:p w:rsidR="006D2D93" w:rsidRPr="002518FB" w:rsidRDefault="006D2D93">
      <w:pPr>
        <w:pStyle w:val="BodyText2"/>
        <w:rPr>
          <w:color w:val="auto"/>
          <w:lang w:val="el-GR"/>
        </w:rPr>
      </w:pPr>
      <w:r w:rsidRPr="002518FB">
        <w:rPr>
          <w:color w:val="auto"/>
          <w:lang w:val="el-GR"/>
        </w:rPr>
        <w:t xml:space="preserve">Κουνέλια που κυοφορούσαν έλαβαν δόσεις </w:t>
      </w:r>
      <w:proofErr w:type="spellStart"/>
      <w:r w:rsidRPr="002518FB">
        <w:rPr>
          <w:color w:val="auto"/>
          <w:szCs w:val="22"/>
          <w:lang w:val="el-GR"/>
        </w:rPr>
        <w:t>ατομοξετίνης</w:t>
      </w:r>
      <w:proofErr w:type="spellEnd"/>
      <w:r w:rsidRPr="002518FB">
        <w:rPr>
          <w:color w:val="auto"/>
          <w:lang w:val="el-GR"/>
        </w:rPr>
        <w:t xml:space="preserve"> έως και 100 </w:t>
      </w:r>
      <w:proofErr w:type="spellStart"/>
      <w:r w:rsidR="000F3434" w:rsidRPr="002518FB">
        <w:rPr>
          <w:color w:val="auto"/>
          <w:lang w:val="el-GR"/>
        </w:rPr>
        <w:t>mg</w:t>
      </w:r>
      <w:proofErr w:type="spellEnd"/>
      <w:r w:rsidRPr="002518FB">
        <w:rPr>
          <w:color w:val="auto"/>
          <w:lang w:val="el-GR"/>
        </w:rPr>
        <w:t>/</w:t>
      </w:r>
      <w:proofErr w:type="spellStart"/>
      <w:r w:rsidR="000F3434" w:rsidRPr="002518FB">
        <w:rPr>
          <w:color w:val="auto"/>
          <w:lang w:val="el-GR"/>
        </w:rPr>
        <w:t>kg</w:t>
      </w:r>
      <w:proofErr w:type="spellEnd"/>
      <w:r w:rsidRPr="002518FB">
        <w:rPr>
          <w:color w:val="auto"/>
          <w:lang w:val="el-GR"/>
        </w:rPr>
        <w:t>/ημερησίως, μέσω καθετήρα, καθ’</w:t>
      </w:r>
      <w:r w:rsidR="00DE5E6D" w:rsidRPr="002518FB">
        <w:rPr>
          <w:color w:val="auto"/>
          <w:lang w:val="el-GR"/>
        </w:rPr>
        <w:t xml:space="preserve"> </w:t>
      </w:r>
      <w:r w:rsidRPr="002518FB">
        <w:rPr>
          <w:color w:val="auto"/>
          <w:lang w:val="el-GR"/>
        </w:rPr>
        <w:t xml:space="preserve">όλη την περίοδο της οργανογένεσης. Στη δόση αυτή, σε μία (1) από τις 3 μελέτες, παρατηρήθηκε μείωση των ζώντων εμβρύων, αύξηση της πρώιμης </w:t>
      </w:r>
      <w:proofErr w:type="spellStart"/>
      <w:r w:rsidRPr="002518FB">
        <w:rPr>
          <w:color w:val="auto"/>
          <w:lang w:val="el-GR"/>
        </w:rPr>
        <w:t>επαναρρόφησης</w:t>
      </w:r>
      <w:proofErr w:type="spellEnd"/>
      <w:r w:rsidRPr="002518FB">
        <w:rPr>
          <w:color w:val="auto"/>
          <w:lang w:val="el-GR"/>
        </w:rPr>
        <w:t xml:space="preserve">, ελάχιστη αύξηση στην επίπτωση της άτυπης </w:t>
      </w:r>
      <w:proofErr w:type="spellStart"/>
      <w:r w:rsidRPr="002518FB">
        <w:rPr>
          <w:color w:val="auto"/>
          <w:lang w:val="el-GR"/>
        </w:rPr>
        <w:t>έκφυσης</w:t>
      </w:r>
      <w:proofErr w:type="spellEnd"/>
      <w:r w:rsidRPr="002518FB">
        <w:rPr>
          <w:color w:val="auto"/>
          <w:lang w:val="el-GR"/>
        </w:rPr>
        <w:t xml:space="preserve"> της καρωτίδας και απουσία υποκλείδιας αρτηρίας. Τα ευρήματα αυτά παρατηρήθηκαν σε δόσεις που προκάλεσαν ελαφριά τοξικότητα στη μητέρα. Η επίπτωση αυτών των ευρημάτων βρίσκεται εντός του εύρους τιμών που έχουν παρατηρηθεί σε μάρτυρες. Η δόση μηδενικής επίδρασης για τα ευρήματα αυτά ήταν 30 </w:t>
      </w:r>
      <w:proofErr w:type="spellStart"/>
      <w:r w:rsidR="000F3434" w:rsidRPr="002518FB">
        <w:rPr>
          <w:color w:val="auto"/>
          <w:lang w:val="el-GR"/>
        </w:rPr>
        <w:t>mg</w:t>
      </w:r>
      <w:proofErr w:type="spellEnd"/>
      <w:r w:rsidRPr="002518FB">
        <w:rPr>
          <w:color w:val="auto"/>
          <w:lang w:val="el-GR"/>
        </w:rPr>
        <w:t>/</w:t>
      </w:r>
      <w:proofErr w:type="spellStart"/>
      <w:r w:rsidR="000F3434" w:rsidRPr="002518FB">
        <w:rPr>
          <w:color w:val="auto"/>
          <w:lang w:val="el-GR"/>
        </w:rPr>
        <w:t>kg</w:t>
      </w:r>
      <w:proofErr w:type="spellEnd"/>
      <w:r w:rsidRPr="002518FB">
        <w:rPr>
          <w:color w:val="auto"/>
          <w:lang w:val="el-GR"/>
        </w:rPr>
        <w:t>/ημέρα. Η έκθεση (</w:t>
      </w:r>
      <w:r w:rsidR="000F3434" w:rsidRPr="002518FB">
        <w:rPr>
          <w:color w:val="auto"/>
          <w:lang w:val="el-GR"/>
        </w:rPr>
        <w:t>AUC</w:t>
      </w:r>
      <w:r w:rsidRPr="002518FB">
        <w:rPr>
          <w:color w:val="auto"/>
          <w:lang w:val="el-GR"/>
        </w:rPr>
        <w:t xml:space="preserve">), σε μη συζευγμένη </w:t>
      </w:r>
      <w:proofErr w:type="spellStart"/>
      <w:r w:rsidRPr="002518FB">
        <w:rPr>
          <w:color w:val="auto"/>
          <w:szCs w:val="22"/>
          <w:lang w:val="el-GR"/>
        </w:rPr>
        <w:t>ατομοξετίνη</w:t>
      </w:r>
      <w:proofErr w:type="spellEnd"/>
      <w:r w:rsidRPr="002518FB">
        <w:rPr>
          <w:color w:val="auto"/>
          <w:lang w:val="el-GR"/>
        </w:rPr>
        <w:t xml:space="preserve"> στα κουνέλια, σε δόση 100</w:t>
      </w:r>
      <w:r w:rsidR="001949E4" w:rsidRPr="002518FB">
        <w:rPr>
          <w:color w:val="auto"/>
          <w:lang w:val="el-GR"/>
        </w:rPr>
        <w:t xml:space="preserve"> </w:t>
      </w:r>
      <w:proofErr w:type="spellStart"/>
      <w:r w:rsidR="000F3434" w:rsidRPr="002518FB">
        <w:rPr>
          <w:color w:val="auto"/>
          <w:lang w:val="el-GR"/>
        </w:rPr>
        <w:t>mg</w:t>
      </w:r>
      <w:proofErr w:type="spellEnd"/>
      <w:r w:rsidRPr="002518FB">
        <w:rPr>
          <w:color w:val="auto"/>
          <w:lang w:val="el-GR"/>
        </w:rPr>
        <w:t>/</w:t>
      </w:r>
      <w:proofErr w:type="spellStart"/>
      <w:r w:rsidR="000F3434" w:rsidRPr="002518FB">
        <w:rPr>
          <w:color w:val="auto"/>
          <w:lang w:val="el-GR"/>
        </w:rPr>
        <w:t>kg</w:t>
      </w:r>
      <w:proofErr w:type="spellEnd"/>
      <w:r w:rsidRPr="002518FB">
        <w:rPr>
          <w:color w:val="auto"/>
          <w:lang w:val="el-GR"/>
        </w:rPr>
        <w:t>/ημερησίως,</w:t>
      </w:r>
      <w:r w:rsidR="001949E4" w:rsidRPr="002518FB">
        <w:rPr>
          <w:color w:val="auto"/>
          <w:lang w:val="el-GR"/>
        </w:rPr>
        <w:t xml:space="preserve"> ήταν περίπου 3</w:t>
      </w:r>
      <w:r w:rsidR="00B03903" w:rsidRPr="002518FB">
        <w:rPr>
          <w:color w:val="auto"/>
          <w:lang w:val="el-GR"/>
        </w:rPr>
        <w:t>,</w:t>
      </w:r>
      <w:r w:rsidRPr="002518FB">
        <w:rPr>
          <w:color w:val="auto"/>
          <w:lang w:val="el-GR"/>
        </w:rPr>
        <w:t xml:space="preserve">3 φορές μεγαλύτερη (με εκτενή μεταβολισμό μέσω του </w:t>
      </w:r>
      <w:r w:rsidR="000F3434" w:rsidRPr="002518FB">
        <w:rPr>
          <w:color w:val="auto"/>
          <w:lang w:val="el-GR"/>
        </w:rPr>
        <w:t>CYP</w:t>
      </w:r>
      <w:r w:rsidRPr="002518FB">
        <w:rPr>
          <w:color w:val="auto"/>
          <w:lang w:val="el-GR"/>
        </w:rPr>
        <w:t>2</w:t>
      </w:r>
      <w:r w:rsidR="000F3434" w:rsidRPr="002518FB">
        <w:rPr>
          <w:color w:val="auto"/>
          <w:lang w:val="el-GR"/>
        </w:rPr>
        <w:t>D</w:t>
      </w:r>
      <w:r w:rsidR="001949E4" w:rsidRPr="002518FB">
        <w:rPr>
          <w:color w:val="auto"/>
          <w:lang w:val="el-GR"/>
        </w:rPr>
        <w:t>6) και 0</w:t>
      </w:r>
      <w:r w:rsidR="00B03903" w:rsidRPr="002518FB">
        <w:rPr>
          <w:color w:val="auto"/>
          <w:lang w:val="el-GR"/>
        </w:rPr>
        <w:t>,</w:t>
      </w:r>
      <w:r w:rsidRPr="002518FB">
        <w:rPr>
          <w:color w:val="auto"/>
          <w:lang w:val="el-GR"/>
        </w:rPr>
        <w:t xml:space="preserve">4 φορές (με ανεπαρκή μεταβολισμό μέσω του </w:t>
      </w:r>
      <w:r w:rsidR="000F3434" w:rsidRPr="002518FB">
        <w:rPr>
          <w:color w:val="auto"/>
          <w:lang w:val="el-GR"/>
        </w:rPr>
        <w:t>CYP</w:t>
      </w:r>
      <w:r w:rsidRPr="002518FB">
        <w:rPr>
          <w:color w:val="auto"/>
          <w:lang w:val="el-GR"/>
        </w:rPr>
        <w:t>2</w:t>
      </w:r>
      <w:r w:rsidR="000F3434" w:rsidRPr="002518FB">
        <w:rPr>
          <w:color w:val="auto"/>
          <w:lang w:val="el-GR"/>
        </w:rPr>
        <w:t>D</w:t>
      </w:r>
      <w:r w:rsidRPr="002518FB">
        <w:rPr>
          <w:color w:val="auto"/>
          <w:lang w:val="el-GR"/>
        </w:rPr>
        <w:t xml:space="preserve">6) σε σχέση με την έκθεση στη μέγιστη ημερήσια δόση του </w:t>
      </w:r>
      <w:r w:rsidR="001949E4" w:rsidRPr="002518FB">
        <w:rPr>
          <w:color w:val="auto"/>
          <w:lang w:val="el-GR"/>
        </w:rPr>
        <w:t>1</w:t>
      </w:r>
      <w:r w:rsidR="00B03903" w:rsidRPr="002518FB">
        <w:rPr>
          <w:color w:val="auto"/>
          <w:lang w:val="el-GR"/>
        </w:rPr>
        <w:t>,</w:t>
      </w:r>
      <w:r w:rsidRPr="002518FB">
        <w:rPr>
          <w:color w:val="auto"/>
          <w:lang w:val="el-GR"/>
        </w:rPr>
        <w:t>4 </w:t>
      </w:r>
      <w:proofErr w:type="spellStart"/>
      <w:r w:rsidR="000F3434" w:rsidRPr="002518FB">
        <w:rPr>
          <w:color w:val="auto"/>
          <w:lang w:val="el-GR"/>
        </w:rPr>
        <w:t>mg</w:t>
      </w:r>
      <w:proofErr w:type="spellEnd"/>
      <w:r w:rsidRPr="002518FB">
        <w:rPr>
          <w:color w:val="auto"/>
          <w:lang w:val="el-GR"/>
        </w:rPr>
        <w:t>/</w:t>
      </w:r>
      <w:proofErr w:type="spellStart"/>
      <w:r w:rsidR="000F3434" w:rsidRPr="002518FB">
        <w:rPr>
          <w:color w:val="auto"/>
          <w:lang w:val="el-GR"/>
        </w:rPr>
        <w:t>kg</w:t>
      </w:r>
      <w:proofErr w:type="spellEnd"/>
      <w:r w:rsidRPr="002518FB">
        <w:rPr>
          <w:color w:val="auto"/>
          <w:lang w:val="el-GR"/>
        </w:rPr>
        <w:t>/ημερησίως σε ανθρώπους. Τα ευρήματα, σε μία από τις τρείς μελέτες που πραγματοποιήθηκαν σε κουνέλια, ήταν αμφίβολα και η σημασία τους για τον άνθρωπο είναι άγνωστη.</w:t>
      </w:r>
    </w:p>
    <w:p w:rsidR="00D366D4" w:rsidRPr="002518FB" w:rsidRDefault="00D366D4">
      <w:pPr>
        <w:rPr>
          <w:sz w:val="22"/>
          <w:lang w:val="el-GR"/>
        </w:rPr>
      </w:pPr>
    </w:p>
    <w:p w:rsidR="004B739F" w:rsidRPr="002518FB" w:rsidRDefault="004B739F">
      <w:pPr>
        <w:rPr>
          <w:sz w:val="22"/>
          <w:lang w:val="el-GR"/>
        </w:rPr>
      </w:pPr>
    </w:p>
    <w:p w:rsidR="006D2D93" w:rsidRPr="002518FB" w:rsidRDefault="006D2D93">
      <w:pPr>
        <w:rPr>
          <w:sz w:val="22"/>
          <w:szCs w:val="24"/>
          <w:lang w:val="el-GR" w:eastAsia="el-GR"/>
        </w:rPr>
      </w:pPr>
      <w:r w:rsidRPr="002518FB">
        <w:rPr>
          <w:b/>
          <w:sz w:val="22"/>
          <w:lang w:val="el-GR"/>
        </w:rPr>
        <w:t>6.</w:t>
      </w:r>
      <w:r w:rsidRPr="002518FB">
        <w:rPr>
          <w:b/>
          <w:sz w:val="22"/>
          <w:lang w:val="el-GR"/>
        </w:rPr>
        <w:tab/>
        <w:t>ΦΑΡΜΑΚΕΥΤΙΚΕΣ ΠΛΗΡΟΦΟΡΙΕΣ</w:t>
      </w:r>
    </w:p>
    <w:p w:rsidR="006D2D93" w:rsidRPr="002518FB" w:rsidRDefault="006D2D93">
      <w:pPr>
        <w:rPr>
          <w:b/>
          <w:bCs/>
          <w:sz w:val="22"/>
          <w:szCs w:val="22"/>
          <w:lang w:val="el-GR"/>
        </w:rPr>
      </w:pPr>
    </w:p>
    <w:p w:rsidR="006D2D93" w:rsidRPr="002518FB" w:rsidRDefault="006D2D93">
      <w:pPr>
        <w:ind w:left="567" w:hanging="567"/>
        <w:rPr>
          <w:sz w:val="22"/>
          <w:lang w:val="el-GR"/>
        </w:rPr>
      </w:pPr>
      <w:r w:rsidRPr="002518FB">
        <w:rPr>
          <w:b/>
          <w:bCs/>
          <w:sz w:val="22"/>
          <w:szCs w:val="22"/>
          <w:lang w:val="el-GR"/>
        </w:rPr>
        <w:t>6.1</w:t>
      </w:r>
      <w:r w:rsidRPr="002518FB">
        <w:rPr>
          <w:b/>
          <w:bCs/>
          <w:sz w:val="22"/>
          <w:szCs w:val="22"/>
          <w:lang w:val="el-GR"/>
        </w:rPr>
        <w:tab/>
      </w:r>
      <w:r w:rsidRPr="002518FB">
        <w:rPr>
          <w:b/>
          <w:sz w:val="22"/>
          <w:lang w:val="el-GR"/>
        </w:rPr>
        <w:t>Κατάλογος εκδόχων</w:t>
      </w:r>
    </w:p>
    <w:p w:rsidR="006D2D93" w:rsidRPr="002518FB" w:rsidRDefault="006D2D93">
      <w:pPr>
        <w:rPr>
          <w:sz w:val="22"/>
          <w:u w:val="single"/>
          <w:lang w:val="el-GR"/>
        </w:rPr>
      </w:pPr>
    </w:p>
    <w:p w:rsidR="006D2D93" w:rsidRPr="002518FB" w:rsidRDefault="006D2D93">
      <w:pPr>
        <w:rPr>
          <w:sz w:val="22"/>
          <w:lang w:val="el-GR"/>
        </w:rPr>
      </w:pPr>
      <w:r w:rsidRPr="002518FB">
        <w:rPr>
          <w:sz w:val="22"/>
          <w:lang w:val="el-GR"/>
        </w:rPr>
        <w:t xml:space="preserve">Άμυλο, </w:t>
      </w:r>
      <w:proofErr w:type="spellStart"/>
      <w:r w:rsidRPr="002518FB">
        <w:rPr>
          <w:sz w:val="22"/>
          <w:lang w:val="el-GR"/>
        </w:rPr>
        <w:t>προζελατινοποιημένο</w:t>
      </w:r>
      <w:proofErr w:type="spellEnd"/>
      <w:r w:rsidRPr="002518FB">
        <w:rPr>
          <w:sz w:val="22"/>
          <w:lang w:val="el-GR"/>
        </w:rPr>
        <w:t xml:space="preserve"> (αραβοσίτου)</w:t>
      </w:r>
    </w:p>
    <w:p w:rsidR="006D2D93" w:rsidRPr="002518FB" w:rsidRDefault="006D2D93">
      <w:pPr>
        <w:rPr>
          <w:sz w:val="22"/>
          <w:lang w:val="el-GR"/>
        </w:rPr>
      </w:pPr>
      <w:proofErr w:type="spellStart"/>
      <w:r w:rsidRPr="002518FB">
        <w:rPr>
          <w:sz w:val="22"/>
          <w:lang w:val="el-GR"/>
        </w:rPr>
        <w:t>Διμεθικόνη</w:t>
      </w:r>
      <w:proofErr w:type="spellEnd"/>
    </w:p>
    <w:p w:rsidR="006D4DD1" w:rsidRPr="002518FB" w:rsidRDefault="006D4DD1">
      <w:pPr>
        <w:rPr>
          <w:sz w:val="22"/>
          <w:szCs w:val="22"/>
          <w:u w:val="single"/>
          <w:lang w:val="el-GR"/>
        </w:rPr>
      </w:pPr>
    </w:p>
    <w:p w:rsidR="006D2D93" w:rsidRPr="002518FB" w:rsidRDefault="006D2D93">
      <w:pPr>
        <w:rPr>
          <w:sz w:val="22"/>
          <w:u w:val="single"/>
          <w:lang w:val="el-GR"/>
        </w:rPr>
      </w:pPr>
      <w:r w:rsidRPr="002518FB">
        <w:rPr>
          <w:sz w:val="22"/>
          <w:szCs w:val="22"/>
          <w:u w:val="single"/>
          <w:lang w:val="el-GR"/>
        </w:rPr>
        <w:t>Περίβλημα κ</w:t>
      </w:r>
      <w:r w:rsidR="00D21858" w:rsidRPr="002518FB">
        <w:rPr>
          <w:sz w:val="22"/>
          <w:szCs w:val="22"/>
          <w:u w:val="single"/>
          <w:lang w:val="el-GR"/>
        </w:rPr>
        <w:t>αψακίου</w:t>
      </w:r>
      <w:r w:rsidRPr="002518FB">
        <w:rPr>
          <w:sz w:val="22"/>
          <w:u w:val="single"/>
          <w:lang w:val="el-GR"/>
        </w:rPr>
        <w:t>:</w:t>
      </w:r>
    </w:p>
    <w:p w:rsidR="006D2D93" w:rsidRPr="002518FB" w:rsidRDefault="006D2D93">
      <w:pPr>
        <w:rPr>
          <w:sz w:val="22"/>
          <w:lang w:val="el-GR"/>
        </w:rPr>
      </w:pPr>
      <w:proofErr w:type="spellStart"/>
      <w:r w:rsidRPr="002518FB">
        <w:rPr>
          <w:sz w:val="22"/>
          <w:lang w:val="el-GR"/>
        </w:rPr>
        <w:t>Λαουρυλο</w:t>
      </w:r>
      <w:proofErr w:type="spellEnd"/>
      <w:r w:rsidRPr="002518FB">
        <w:rPr>
          <w:sz w:val="22"/>
          <w:lang w:val="el-GR"/>
        </w:rPr>
        <w:t>-θειικό Νάτριο</w:t>
      </w:r>
    </w:p>
    <w:p w:rsidR="006D2D93" w:rsidRPr="002518FB" w:rsidRDefault="006D2D93">
      <w:pPr>
        <w:rPr>
          <w:sz w:val="22"/>
          <w:lang w:val="el-GR"/>
        </w:rPr>
      </w:pPr>
      <w:r w:rsidRPr="002518FB">
        <w:rPr>
          <w:sz w:val="22"/>
          <w:lang w:val="el-GR"/>
        </w:rPr>
        <w:t>Ζελατίνη</w:t>
      </w:r>
    </w:p>
    <w:p w:rsidR="006D2D93" w:rsidRPr="002518FB" w:rsidRDefault="006D2D93">
      <w:pPr>
        <w:pStyle w:val="EndnoteText"/>
        <w:tabs>
          <w:tab w:val="clear" w:pos="567"/>
        </w:tabs>
        <w:rPr>
          <w:lang w:val="el-GR"/>
        </w:rPr>
      </w:pPr>
    </w:p>
    <w:p w:rsidR="006D2D93" w:rsidRPr="002518FB" w:rsidRDefault="0021494E">
      <w:pPr>
        <w:rPr>
          <w:sz w:val="22"/>
          <w:lang w:val="el-GR"/>
        </w:rPr>
      </w:pPr>
      <w:r w:rsidRPr="002518FB">
        <w:rPr>
          <w:sz w:val="22"/>
          <w:u w:val="single"/>
          <w:lang w:val="el-GR"/>
        </w:rPr>
        <w:t>Χρωστικές στο κάλυμμα του</w:t>
      </w:r>
      <w:r w:rsidRPr="002518FB">
        <w:rPr>
          <w:sz w:val="22"/>
          <w:szCs w:val="22"/>
          <w:u w:val="single"/>
          <w:lang w:val="el-GR"/>
        </w:rPr>
        <w:t xml:space="preserve"> καψακίου</w:t>
      </w:r>
      <w:r w:rsidR="006D2D93" w:rsidRPr="002518FB">
        <w:rPr>
          <w:sz w:val="22"/>
          <w:lang w:val="el-GR"/>
        </w:rPr>
        <w:t>:</w:t>
      </w:r>
    </w:p>
    <w:p w:rsidR="006D2D93" w:rsidRPr="002518FB" w:rsidRDefault="006D2D93">
      <w:pPr>
        <w:rPr>
          <w:sz w:val="22"/>
          <w:lang w:val="el-GR"/>
        </w:rPr>
      </w:pPr>
      <w:r w:rsidRPr="002518FB">
        <w:rPr>
          <w:sz w:val="22"/>
          <w:lang w:val="el-GR"/>
        </w:rPr>
        <w:t xml:space="preserve">10 </w:t>
      </w:r>
      <w:proofErr w:type="spellStart"/>
      <w:r w:rsidR="000F3434" w:rsidRPr="002518FB">
        <w:rPr>
          <w:sz w:val="22"/>
          <w:lang w:val="el-GR"/>
        </w:rPr>
        <w:t>mg</w:t>
      </w:r>
      <w:proofErr w:type="spellEnd"/>
      <w:r w:rsidRPr="002518FB">
        <w:rPr>
          <w:sz w:val="22"/>
          <w:lang w:val="el-GR"/>
        </w:rPr>
        <w:t xml:space="preserve">: Τιτανίου Διοξείδιο </w:t>
      </w:r>
      <w:r w:rsidR="000F3434" w:rsidRPr="002518FB">
        <w:rPr>
          <w:sz w:val="22"/>
          <w:lang w:val="el-GR"/>
        </w:rPr>
        <w:t>E</w:t>
      </w:r>
      <w:r w:rsidRPr="002518FB">
        <w:rPr>
          <w:sz w:val="22"/>
          <w:lang w:val="el-GR"/>
        </w:rPr>
        <w:t xml:space="preserve"> 171</w:t>
      </w:r>
    </w:p>
    <w:p w:rsidR="006D2D93" w:rsidRPr="002518FB" w:rsidRDefault="006D2D93">
      <w:pPr>
        <w:rPr>
          <w:sz w:val="22"/>
          <w:lang w:val="el-GR"/>
        </w:rPr>
      </w:pPr>
      <w:r w:rsidRPr="002518FB">
        <w:rPr>
          <w:sz w:val="22"/>
          <w:lang w:val="el-GR"/>
        </w:rPr>
        <w:t xml:space="preserve">18 </w:t>
      </w:r>
      <w:proofErr w:type="spellStart"/>
      <w:r w:rsidR="000F3434" w:rsidRPr="002518FB">
        <w:rPr>
          <w:sz w:val="22"/>
          <w:lang w:val="el-GR"/>
        </w:rPr>
        <w:t>mg</w:t>
      </w:r>
      <w:proofErr w:type="spellEnd"/>
      <w:r w:rsidRPr="002518FB">
        <w:rPr>
          <w:sz w:val="22"/>
          <w:lang w:val="el-GR"/>
        </w:rPr>
        <w:t xml:space="preserve">: Κίτρινο οξείδιο σιδήρου </w:t>
      </w:r>
      <w:r w:rsidR="000F3434" w:rsidRPr="002518FB">
        <w:rPr>
          <w:sz w:val="22"/>
          <w:lang w:val="el-GR"/>
        </w:rPr>
        <w:t>E</w:t>
      </w:r>
      <w:r w:rsidR="001949E4" w:rsidRPr="002518FB">
        <w:rPr>
          <w:sz w:val="22"/>
          <w:lang w:val="el-GR"/>
        </w:rPr>
        <w:t xml:space="preserve"> </w:t>
      </w:r>
      <w:r w:rsidRPr="002518FB">
        <w:rPr>
          <w:sz w:val="22"/>
          <w:lang w:val="el-GR"/>
        </w:rPr>
        <w:t>172</w:t>
      </w:r>
    </w:p>
    <w:p w:rsidR="006D2D93" w:rsidRPr="002518FB" w:rsidRDefault="006D2D93">
      <w:pPr>
        <w:rPr>
          <w:sz w:val="22"/>
          <w:lang w:val="el-GR"/>
        </w:rPr>
      </w:pPr>
      <w:r w:rsidRPr="002518FB">
        <w:rPr>
          <w:sz w:val="22"/>
          <w:lang w:val="el-GR"/>
        </w:rPr>
        <w:t xml:space="preserve">25 </w:t>
      </w:r>
      <w:proofErr w:type="spellStart"/>
      <w:r w:rsidR="000F3434" w:rsidRPr="002518FB">
        <w:rPr>
          <w:sz w:val="22"/>
          <w:lang w:val="el-GR"/>
        </w:rPr>
        <w:t>mg</w:t>
      </w:r>
      <w:proofErr w:type="spellEnd"/>
      <w:r w:rsidRPr="002518FB">
        <w:rPr>
          <w:sz w:val="22"/>
          <w:lang w:val="el-GR"/>
        </w:rPr>
        <w:t xml:space="preserve">, 40 </w:t>
      </w:r>
      <w:proofErr w:type="spellStart"/>
      <w:r w:rsidR="000F3434" w:rsidRPr="002518FB">
        <w:rPr>
          <w:sz w:val="22"/>
          <w:lang w:val="el-GR"/>
        </w:rPr>
        <w:t>mg</w:t>
      </w:r>
      <w:proofErr w:type="spellEnd"/>
      <w:r w:rsidRPr="002518FB">
        <w:rPr>
          <w:sz w:val="22"/>
          <w:lang w:val="el-GR"/>
        </w:rPr>
        <w:t xml:space="preserve"> και 60 </w:t>
      </w:r>
      <w:proofErr w:type="spellStart"/>
      <w:r w:rsidR="000F3434" w:rsidRPr="002518FB">
        <w:rPr>
          <w:sz w:val="22"/>
          <w:lang w:val="el-GR"/>
        </w:rPr>
        <w:t>mg</w:t>
      </w:r>
      <w:proofErr w:type="spellEnd"/>
      <w:r w:rsidRPr="002518FB">
        <w:rPr>
          <w:sz w:val="22"/>
          <w:lang w:val="el-GR"/>
        </w:rPr>
        <w:t xml:space="preserve">: </w:t>
      </w:r>
      <w:r w:rsidR="000F3434" w:rsidRPr="002518FB">
        <w:rPr>
          <w:sz w:val="22"/>
          <w:lang w:val="el-GR"/>
        </w:rPr>
        <w:t>FD</w:t>
      </w:r>
      <w:r w:rsidRPr="002518FB">
        <w:rPr>
          <w:sz w:val="22"/>
          <w:lang w:val="el-GR"/>
        </w:rPr>
        <w:t>&amp;</w:t>
      </w:r>
      <w:r w:rsidR="000F3434" w:rsidRPr="002518FB">
        <w:rPr>
          <w:sz w:val="22"/>
          <w:lang w:val="el-GR"/>
        </w:rPr>
        <w:t>C</w:t>
      </w:r>
      <w:r w:rsidR="001949E4" w:rsidRPr="002518FB">
        <w:rPr>
          <w:sz w:val="22"/>
          <w:lang w:val="el-GR"/>
        </w:rPr>
        <w:t xml:space="preserve"> Μπλε</w:t>
      </w:r>
      <w:r w:rsidRPr="002518FB">
        <w:rPr>
          <w:sz w:val="22"/>
          <w:lang w:val="el-GR"/>
        </w:rPr>
        <w:t xml:space="preserve"> 2 (</w:t>
      </w:r>
      <w:proofErr w:type="spellStart"/>
      <w:r w:rsidRPr="002518FB">
        <w:rPr>
          <w:sz w:val="22"/>
          <w:lang w:val="el-GR"/>
        </w:rPr>
        <w:t>Ινδικοκαρμίνιο</w:t>
      </w:r>
      <w:proofErr w:type="spellEnd"/>
      <w:r w:rsidRPr="002518FB">
        <w:rPr>
          <w:sz w:val="22"/>
          <w:lang w:val="el-GR"/>
        </w:rPr>
        <w:t xml:space="preserve">) </w:t>
      </w:r>
      <w:r w:rsidR="000F3434" w:rsidRPr="002518FB">
        <w:rPr>
          <w:sz w:val="22"/>
          <w:lang w:val="el-GR"/>
        </w:rPr>
        <w:t>E</w:t>
      </w:r>
      <w:r w:rsidRPr="002518FB">
        <w:rPr>
          <w:sz w:val="22"/>
          <w:lang w:val="el-GR"/>
        </w:rPr>
        <w:t xml:space="preserve">132 και Τιτανίου Διοξείδιο </w:t>
      </w:r>
      <w:r w:rsidR="000F3434" w:rsidRPr="002518FB">
        <w:rPr>
          <w:sz w:val="22"/>
          <w:lang w:val="el-GR"/>
        </w:rPr>
        <w:t>E</w:t>
      </w:r>
      <w:r w:rsidRPr="002518FB">
        <w:rPr>
          <w:sz w:val="22"/>
          <w:lang w:val="el-GR"/>
        </w:rPr>
        <w:t xml:space="preserve"> 171 </w:t>
      </w:r>
    </w:p>
    <w:p w:rsidR="00DB1515" w:rsidRPr="002518FB" w:rsidRDefault="00DB1515" w:rsidP="00DB1515">
      <w:pPr>
        <w:rPr>
          <w:strike/>
          <w:sz w:val="22"/>
          <w:lang w:val="el-GR"/>
        </w:rPr>
      </w:pPr>
      <w:r w:rsidRPr="002518FB">
        <w:rPr>
          <w:sz w:val="22"/>
          <w:lang w:val="el-GR"/>
        </w:rPr>
        <w:t xml:space="preserve">80 </w:t>
      </w:r>
      <w:proofErr w:type="spellStart"/>
      <w:r w:rsidR="000F3434" w:rsidRPr="002518FB">
        <w:rPr>
          <w:sz w:val="22"/>
          <w:lang w:val="el-GR"/>
        </w:rPr>
        <w:t>mg</w:t>
      </w:r>
      <w:proofErr w:type="spellEnd"/>
      <w:r w:rsidRPr="002518FB">
        <w:rPr>
          <w:sz w:val="22"/>
          <w:lang w:val="el-GR"/>
        </w:rPr>
        <w:t xml:space="preserve">, 100 </w:t>
      </w:r>
      <w:proofErr w:type="spellStart"/>
      <w:r w:rsidR="000F3434" w:rsidRPr="002518FB">
        <w:rPr>
          <w:sz w:val="22"/>
          <w:lang w:val="el-GR"/>
        </w:rPr>
        <w:t>mg</w:t>
      </w:r>
      <w:proofErr w:type="spellEnd"/>
      <w:r w:rsidRPr="002518FB">
        <w:rPr>
          <w:sz w:val="22"/>
          <w:lang w:val="el-GR"/>
        </w:rPr>
        <w:t>: Κίτρινο οξείδιο σιδήρου Ε</w:t>
      </w:r>
      <w:r w:rsidR="001949E4" w:rsidRPr="002518FB">
        <w:rPr>
          <w:sz w:val="22"/>
          <w:lang w:val="el-GR"/>
        </w:rPr>
        <w:t xml:space="preserve"> </w:t>
      </w:r>
      <w:r w:rsidRPr="002518FB">
        <w:rPr>
          <w:sz w:val="22"/>
          <w:lang w:val="el-GR"/>
        </w:rPr>
        <w:t>172, Κόκκινο οξείδιο σιδήρου Ε</w:t>
      </w:r>
      <w:r w:rsidR="001949E4" w:rsidRPr="002518FB">
        <w:rPr>
          <w:sz w:val="22"/>
          <w:lang w:val="el-GR"/>
        </w:rPr>
        <w:t xml:space="preserve"> </w:t>
      </w:r>
      <w:r w:rsidRPr="002518FB">
        <w:rPr>
          <w:sz w:val="22"/>
          <w:lang w:val="el-GR"/>
        </w:rPr>
        <w:t>172, Τιτανίου Διοξείδιο Ε</w:t>
      </w:r>
      <w:r w:rsidR="00834E0F" w:rsidRPr="002518FB">
        <w:rPr>
          <w:sz w:val="22"/>
          <w:lang w:val="el-GR"/>
        </w:rPr>
        <w:t xml:space="preserve"> </w:t>
      </w:r>
      <w:r w:rsidRPr="002518FB">
        <w:rPr>
          <w:sz w:val="22"/>
          <w:lang w:val="el-GR"/>
        </w:rPr>
        <w:t>171</w:t>
      </w:r>
    </w:p>
    <w:p w:rsidR="006D2D93" w:rsidRPr="002518FB" w:rsidRDefault="006D2D93">
      <w:pPr>
        <w:rPr>
          <w:strike/>
          <w:sz w:val="22"/>
          <w:lang w:val="el-GR"/>
        </w:rPr>
      </w:pPr>
    </w:p>
    <w:p w:rsidR="00505A69" w:rsidRPr="002518FB" w:rsidRDefault="0021494E">
      <w:pPr>
        <w:rPr>
          <w:sz w:val="22"/>
          <w:lang w:val="el-GR"/>
        </w:rPr>
      </w:pPr>
      <w:r w:rsidRPr="002518FB">
        <w:rPr>
          <w:sz w:val="22"/>
          <w:u w:val="single"/>
          <w:lang w:val="el-GR"/>
        </w:rPr>
        <w:t>Χρωστικές στο σώμα του</w:t>
      </w:r>
      <w:r w:rsidRPr="002518FB">
        <w:rPr>
          <w:sz w:val="22"/>
          <w:szCs w:val="22"/>
          <w:u w:val="single"/>
          <w:lang w:val="el-GR"/>
        </w:rPr>
        <w:t xml:space="preserve"> καψακίου</w:t>
      </w:r>
      <w:r w:rsidR="00D21858" w:rsidRPr="002518FB">
        <w:rPr>
          <w:sz w:val="22"/>
          <w:lang w:val="el-GR"/>
        </w:rPr>
        <w:t>:</w:t>
      </w:r>
      <w:r w:rsidR="00DE6268" w:rsidRPr="002518FB">
        <w:rPr>
          <w:sz w:val="22"/>
          <w:lang w:val="el-GR"/>
        </w:rPr>
        <w:t xml:space="preserve"> </w:t>
      </w:r>
    </w:p>
    <w:p w:rsidR="006D2D93" w:rsidRPr="002518FB" w:rsidRDefault="006D2D93">
      <w:pPr>
        <w:rPr>
          <w:sz w:val="22"/>
          <w:lang w:val="el-GR"/>
        </w:rPr>
      </w:pPr>
      <w:r w:rsidRPr="002518FB">
        <w:rPr>
          <w:sz w:val="22"/>
          <w:lang w:val="el-GR"/>
        </w:rPr>
        <w:t xml:space="preserve">60 </w:t>
      </w:r>
      <w:proofErr w:type="spellStart"/>
      <w:r w:rsidR="000F3434" w:rsidRPr="002518FB">
        <w:rPr>
          <w:sz w:val="22"/>
          <w:lang w:val="el-GR"/>
        </w:rPr>
        <w:t>mg</w:t>
      </w:r>
      <w:proofErr w:type="spellEnd"/>
      <w:r w:rsidRPr="002518FB">
        <w:rPr>
          <w:sz w:val="22"/>
          <w:lang w:val="el-GR"/>
        </w:rPr>
        <w:t xml:space="preserve">: Κίτρινο οξείδιο σιδήρου </w:t>
      </w:r>
      <w:r w:rsidR="000F3434" w:rsidRPr="002518FB">
        <w:rPr>
          <w:sz w:val="22"/>
          <w:lang w:val="el-GR"/>
        </w:rPr>
        <w:t>E</w:t>
      </w:r>
      <w:r w:rsidR="001949E4" w:rsidRPr="002518FB">
        <w:rPr>
          <w:sz w:val="22"/>
          <w:lang w:val="el-GR"/>
        </w:rPr>
        <w:t xml:space="preserve"> </w:t>
      </w:r>
      <w:r w:rsidRPr="002518FB">
        <w:rPr>
          <w:sz w:val="22"/>
          <w:lang w:val="el-GR"/>
        </w:rPr>
        <w:t>172</w:t>
      </w:r>
    </w:p>
    <w:p w:rsidR="006D2D93" w:rsidRPr="002518FB" w:rsidRDefault="006D2D93">
      <w:pPr>
        <w:rPr>
          <w:sz w:val="22"/>
          <w:lang w:val="el-GR"/>
        </w:rPr>
      </w:pPr>
      <w:r w:rsidRPr="002518FB">
        <w:rPr>
          <w:sz w:val="22"/>
          <w:lang w:val="el-GR"/>
        </w:rPr>
        <w:t xml:space="preserve">10 </w:t>
      </w:r>
      <w:proofErr w:type="spellStart"/>
      <w:r w:rsidR="000F3434" w:rsidRPr="002518FB">
        <w:rPr>
          <w:sz w:val="22"/>
          <w:lang w:val="el-GR"/>
        </w:rPr>
        <w:t>mg</w:t>
      </w:r>
      <w:proofErr w:type="spellEnd"/>
      <w:r w:rsidRPr="002518FB">
        <w:rPr>
          <w:sz w:val="22"/>
          <w:lang w:val="el-GR"/>
        </w:rPr>
        <w:t xml:space="preserve">, 18 </w:t>
      </w:r>
      <w:proofErr w:type="spellStart"/>
      <w:r w:rsidR="000F3434" w:rsidRPr="002518FB">
        <w:rPr>
          <w:sz w:val="22"/>
          <w:lang w:val="el-GR"/>
        </w:rPr>
        <w:t>mg</w:t>
      </w:r>
      <w:proofErr w:type="spellEnd"/>
      <w:r w:rsidRPr="002518FB">
        <w:rPr>
          <w:sz w:val="22"/>
          <w:lang w:val="el-GR"/>
        </w:rPr>
        <w:t xml:space="preserve"> και 25 </w:t>
      </w:r>
      <w:proofErr w:type="spellStart"/>
      <w:r w:rsidR="000F3434" w:rsidRPr="002518FB">
        <w:rPr>
          <w:sz w:val="22"/>
          <w:lang w:val="el-GR"/>
        </w:rPr>
        <w:t>mg</w:t>
      </w:r>
      <w:proofErr w:type="spellEnd"/>
      <w:r w:rsidR="00DB1515" w:rsidRPr="002518FB">
        <w:rPr>
          <w:sz w:val="22"/>
          <w:lang w:val="el-GR"/>
        </w:rPr>
        <w:t xml:space="preserve"> και 80 </w:t>
      </w:r>
      <w:proofErr w:type="spellStart"/>
      <w:r w:rsidR="000F3434" w:rsidRPr="002518FB">
        <w:rPr>
          <w:sz w:val="22"/>
          <w:lang w:val="el-GR"/>
        </w:rPr>
        <w:t>mg</w:t>
      </w:r>
      <w:proofErr w:type="spellEnd"/>
      <w:r w:rsidRPr="002518FB">
        <w:rPr>
          <w:sz w:val="22"/>
          <w:lang w:val="el-GR"/>
        </w:rPr>
        <w:t xml:space="preserve">: Τιτανίου Διοξείδιο </w:t>
      </w:r>
      <w:r w:rsidR="000F3434" w:rsidRPr="002518FB">
        <w:rPr>
          <w:sz w:val="22"/>
          <w:lang w:val="el-GR"/>
        </w:rPr>
        <w:t>E</w:t>
      </w:r>
      <w:r w:rsidRPr="002518FB">
        <w:rPr>
          <w:sz w:val="22"/>
          <w:lang w:val="el-GR"/>
        </w:rPr>
        <w:t xml:space="preserve"> 171</w:t>
      </w:r>
    </w:p>
    <w:p w:rsidR="006D2D93" w:rsidRPr="002518FB" w:rsidRDefault="006D2D93">
      <w:pPr>
        <w:rPr>
          <w:sz w:val="22"/>
          <w:lang w:val="el-GR"/>
        </w:rPr>
      </w:pPr>
      <w:r w:rsidRPr="002518FB">
        <w:rPr>
          <w:sz w:val="22"/>
          <w:lang w:val="el-GR"/>
        </w:rPr>
        <w:t xml:space="preserve">40 </w:t>
      </w:r>
      <w:proofErr w:type="spellStart"/>
      <w:r w:rsidR="000F3434" w:rsidRPr="002518FB">
        <w:rPr>
          <w:sz w:val="22"/>
          <w:lang w:val="el-GR"/>
        </w:rPr>
        <w:t>mg</w:t>
      </w:r>
      <w:proofErr w:type="spellEnd"/>
      <w:r w:rsidRPr="002518FB">
        <w:rPr>
          <w:sz w:val="22"/>
          <w:lang w:val="el-GR"/>
        </w:rPr>
        <w:t xml:space="preserve">: </w:t>
      </w:r>
      <w:r w:rsidR="000F3434" w:rsidRPr="002518FB">
        <w:rPr>
          <w:sz w:val="22"/>
          <w:lang w:val="el-GR"/>
        </w:rPr>
        <w:t>FD</w:t>
      </w:r>
      <w:r w:rsidRPr="002518FB">
        <w:rPr>
          <w:sz w:val="22"/>
          <w:lang w:val="el-GR"/>
        </w:rPr>
        <w:t>&amp;</w:t>
      </w:r>
      <w:r w:rsidR="000F3434" w:rsidRPr="002518FB">
        <w:rPr>
          <w:sz w:val="22"/>
          <w:lang w:val="el-GR"/>
        </w:rPr>
        <w:t>C</w:t>
      </w:r>
      <w:r w:rsidR="001949E4" w:rsidRPr="002518FB">
        <w:rPr>
          <w:sz w:val="22"/>
          <w:lang w:val="el-GR"/>
        </w:rPr>
        <w:t xml:space="preserve"> Μπλε</w:t>
      </w:r>
      <w:r w:rsidRPr="002518FB">
        <w:rPr>
          <w:sz w:val="22"/>
          <w:lang w:val="el-GR"/>
        </w:rPr>
        <w:t xml:space="preserve"> 2 (</w:t>
      </w:r>
      <w:proofErr w:type="spellStart"/>
      <w:r w:rsidRPr="002518FB">
        <w:rPr>
          <w:sz w:val="22"/>
          <w:lang w:val="el-GR"/>
        </w:rPr>
        <w:t>Ινδικοκαρμίνιο</w:t>
      </w:r>
      <w:proofErr w:type="spellEnd"/>
      <w:r w:rsidRPr="002518FB">
        <w:rPr>
          <w:sz w:val="22"/>
          <w:lang w:val="el-GR"/>
        </w:rPr>
        <w:t xml:space="preserve">) </w:t>
      </w:r>
      <w:r w:rsidR="000F3434" w:rsidRPr="002518FB">
        <w:rPr>
          <w:sz w:val="22"/>
          <w:lang w:val="el-GR"/>
        </w:rPr>
        <w:t>E</w:t>
      </w:r>
      <w:r w:rsidR="001949E4" w:rsidRPr="002518FB">
        <w:rPr>
          <w:sz w:val="22"/>
          <w:lang w:val="el-GR"/>
        </w:rPr>
        <w:t xml:space="preserve"> </w:t>
      </w:r>
      <w:r w:rsidRPr="002518FB">
        <w:rPr>
          <w:sz w:val="22"/>
          <w:lang w:val="el-GR"/>
        </w:rPr>
        <w:t xml:space="preserve">132 και Τιτανίου Διοξείδιο </w:t>
      </w:r>
      <w:r w:rsidR="000F3434" w:rsidRPr="002518FB">
        <w:rPr>
          <w:sz w:val="22"/>
          <w:lang w:val="el-GR"/>
        </w:rPr>
        <w:t>E</w:t>
      </w:r>
      <w:r w:rsidRPr="002518FB">
        <w:rPr>
          <w:sz w:val="22"/>
          <w:lang w:val="el-GR"/>
        </w:rPr>
        <w:t xml:space="preserve"> 171</w:t>
      </w:r>
    </w:p>
    <w:p w:rsidR="001949E4" w:rsidRPr="002518FB" w:rsidRDefault="00DB1515" w:rsidP="00DB1515">
      <w:pPr>
        <w:rPr>
          <w:sz w:val="22"/>
          <w:lang w:val="el-GR"/>
        </w:rPr>
      </w:pPr>
      <w:r w:rsidRPr="002518FB">
        <w:rPr>
          <w:sz w:val="22"/>
          <w:lang w:val="el-GR"/>
        </w:rPr>
        <w:t xml:space="preserve">100 </w:t>
      </w:r>
      <w:proofErr w:type="spellStart"/>
      <w:r w:rsidR="000F3434" w:rsidRPr="002518FB">
        <w:rPr>
          <w:sz w:val="22"/>
          <w:lang w:val="el-GR"/>
        </w:rPr>
        <w:t>mg</w:t>
      </w:r>
      <w:proofErr w:type="spellEnd"/>
      <w:r w:rsidRPr="002518FB">
        <w:rPr>
          <w:sz w:val="22"/>
          <w:lang w:val="el-GR"/>
        </w:rPr>
        <w:t>: Κίτρινο οξείδιο σιδήρου Ε</w:t>
      </w:r>
      <w:r w:rsidR="001949E4" w:rsidRPr="002518FB">
        <w:rPr>
          <w:sz w:val="22"/>
          <w:lang w:val="el-GR"/>
        </w:rPr>
        <w:t xml:space="preserve"> </w:t>
      </w:r>
      <w:r w:rsidRPr="002518FB">
        <w:rPr>
          <w:sz w:val="22"/>
          <w:lang w:val="el-GR"/>
        </w:rPr>
        <w:t>172, Κόκκινο οξείδιο σιδήρου Ε</w:t>
      </w:r>
      <w:r w:rsidR="00D330CC" w:rsidRPr="002518FB">
        <w:rPr>
          <w:sz w:val="22"/>
          <w:lang w:val="el-GR"/>
        </w:rPr>
        <w:t xml:space="preserve"> </w:t>
      </w:r>
      <w:r w:rsidRPr="002518FB">
        <w:rPr>
          <w:sz w:val="22"/>
          <w:lang w:val="el-GR"/>
        </w:rPr>
        <w:t xml:space="preserve">172, Τιτανίου Διοξείδιο </w:t>
      </w:r>
    </w:p>
    <w:p w:rsidR="00DB1515" w:rsidRPr="002518FB" w:rsidRDefault="00DB1515" w:rsidP="00DB1515">
      <w:pPr>
        <w:rPr>
          <w:sz w:val="22"/>
          <w:lang w:val="el-GR"/>
        </w:rPr>
      </w:pPr>
      <w:r w:rsidRPr="002518FB">
        <w:rPr>
          <w:sz w:val="22"/>
          <w:lang w:val="el-GR"/>
        </w:rPr>
        <w:lastRenderedPageBreak/>
        <w:t>Ε</w:t>
      </w:r>
      <w:r w:rsidR="001949E4" w:rsidRPr="002518FB">
        <w:rPr>
          <w:sz w:val="22"/>
          <w:lang w:val="el-GR"/>
        </w:rPr>
        <w:t xml:space="preserve"> </w:t>
      </w:r>
      <w:r w:rsidRPr="002518FB">
        <w:rPr>
          <w:sz w:val="22"/>
          <w:lang w:val="el-GR"/>
        </w:rPr>
        <w:t>171</w:t>
      </w:r>
    </w:p>
    <w:p w:rsidR="006D2D93" w:rsidRPr="002518FB" w:rsidRDefault="006D2D93">
      <w:pPr>
        <w:rPr>
          <w:sz w:val="22"/>
          <w:lang w:val="el-GR"/>
        </w:rPr>
      </w:pPr>
    </w:p>
    <w:p w:rsidR="00505A69" w:rsidRPr="002518FB" w:rsidRDefault="00505A69" w:rsidP="00505A69">
      <w:pPr>
        <w:rPr>
          <w:sz w:val="22"/>
          <w:lang w:val="el-GR"/>
        </w:rPr>
      </w:pPr>
      <w:r w:rsidRPr="002518FB">
        <w:rPr>
          <w:sz w:val="22"/>
          <w:lang w:val="el-GR"/>
        </w:rPr>
        <w:t xml:space="preserve">Βρώσιμο Μαύρο Μελάνι </w:t>
      </w:r>
      <w:r w:rsidR="000F3434" w:rsidRPr="002518FB">
        <w:rPr>
          <w:sz w:val="22"/>
          <w:lang w:val="el-GR"/>
        </w:rPr>
        <w:t>SW</w:t>
      </w:r>
      <w:r w:rsidRPr="002518FB">
        <w:rPr>
          <w:sz w:val="22"/>
          <w:lang w:val="el-GR"/>
        </w:rPr>
        <w:t xml:space="preserve">-9008 (που περιέχει </w:t>
      </w:r>
      <w:proofErr w:type="spellStart"/>
      <w:r w:rsidRPr="002518FB">
        <w:rPr>
          <w:sz w:val="22"/>
          <w:lang w:val="el-GR"/>
        </w:rPr>
        <w:t>Κόμμεα</w:t>
      </w:r>
      <w:proofErr w:type="spellEnd"/>
      <w:r w:rsidRPr="002518FB">
        <w:rPr>
          <w:sz w:val="22"/>
          <w:lang w:val="el-GR"/>
        </w:rPr>
        <w:t xml:space="preserve"> λάκκας και Μαύρο Οξείδιο του Σιδήρου </w:t>
      </w:r>
      <w:r w:rsidR="000F3434" w:rsidRPr="002518FB">
        <w:rPr>
          <w:sz w:val="22"/>
          <w:lang w:val="el-GR"/>
        </w:rPr>
        <w:t>E</w:t>
      </w:r>
      <w:r w:rsidRPr="002518FB">
        <w:rPr>
          <w:sz w:val="22"/>
          <w:lang w:val="el-GR"/>
        </w:rPr>
        <w:t xml:space="preserve">172) ή Βρώσιμο Μαύρο Μελάνι </w:t>
      </w:r>
      <w:r w:rsidR="000F3434" w:rsidRPr="002518FB">
        <w:rPr>
          <w:sz w:val="22"/>
          <w:lang w:val="el-GR"/>
        </w:rPr>
        <w:t>SW</w:t>
      </w:r>
      <w:r w:rsidRPr="002518FB">
        <w:rPr>
          <w:sz w:val="22"/>
          <w:lang w:val="el-GR"/>
        </w:rPr>
        <w:t xml:space="preserve">-9010 (που περιέχει </w:t>
      </w:r>
      <w:proofErr w:type="spellStart"/>
      <w:r w:rsidRPr="002518FB">
        <w:rPr>
          <w:sz w:val="22"/>
          <w:lang w:val="el-GR"/>
        </w:rPr>
        <w:t>Κόμμεα</w:t>
      </w:r>
      <w:proofErr w:type="spellEnd"/>
      <w:r w:rsidRPr="002518FB">
        <w:rPr>
          <w:sz w:val="22"/>
          <w:lang w:val="el-GR"/>
        </w:rPr>
        <w:t xml:space="preserve"> λάκκας και Μαύρο Οξείδιο του Σιδήρου </w:t>
      </w:r>
      <w:r w:rsidR="000F3434" w:rsidRPr="002518FB">
        <w:rPr>
          <w:sz w:val="22"/>
          <w:lang w:val="el-GR"/>
        </w:rPr>
        <w:t>E</w:t>
      </w:r>
      <w:r w:rsidRPr="002518FB">
        <w:rPr>
          <w:sz w:val="22"/>
          <w:lang w:val="el-GR"/>
        </w:rPr>
        <w:t>172).</w:t>
      </w:r>
    </w:p>
    <w:p w:rsidR="00DF01E1" w:rsidRPr="00006638" w:rsidRDefault="00DF01E1">
      <w:pPr>
        <w:rPr>
          <w:sz w:val="22"/>
          <w:lang w:val="en-US"/>
        </w:rPr>
      </w:pPr>
      <w:bookmarkStart w:id="0" w:name="_GoBack"/>
      <w:bookmarkEnd w:id="0"/>
    </w:p>
    <w:p w:rsidR="006D2D93" w:rsidRPr="002518FB" w:rsidRDefault="006D2D93">
      <w:pPr>
        <w:rPr>
          <w:sz w:val="22"/>
          <w:szCs w:val="24"/>
          <w:lang w:val="el-GR" w:eastAsia="el-GR"/>
        </w:rPr>
      </w:pPr>
      <w:r w:rsidRPr="002518FB">
        <w:rPr>
          <w:b/>
          <w:sz w:val="22"/>
          <w:lang w:val="el-GR"/>
        </w:rPr>
        <w:t>6.2</w:t>
      </w:r>
      <w:r w:rsidRPr="002518FB">
        <w:rPr>
          <w:b/>
          <w:sz w:val="22"/>
          <w:lang w:val="el-GR"/>
        </w:rPr>
        <w:tab/>
        <w:t>Ασυμβατότητες</w:t>
      </w:r>
    </w:p>
    <w:p w:rsidR="006D2D93" w:rsidRPr="002518FB" w:rsidRDefault="006D2D93">
      <w:pPr>
        <w:rPr>
          <w:sz w:val="22"/>
          <w:szCs w:val="23"/>
          <w:lang w:val="el-GR"/>
        </w:rPr>
      </w:pPr>
    </w:p>
    <w:p w:rsidR="00CF0FE5" w:rsidRPr="002518FB" w:rsidRDefault="00CF0FE5" w:rsidP="00CF0FE5">
      <w:pPr>
        <w:pStyle w:val="Style1"/>
        <w:tabs>
          <w:tab w:val="left" w:pos="567"/>
        </w:tabs>
        <w:autoSpaceDE/>
        <w:rPr>
          <w:rFonts w:ascii="Times New Roman" w:hAnsi="Times New Roman"/>
          <w:lang w:val="el-GR"/>
        </w:rPr>
      </w:pPr>
      <w:r w:rsidRPr="002518FB">
        <w:rPr>
          <w:rFonts w:ascii="Times New Roman" w:hAnsi="Times New Roman"/>
          <w:lang w:val="el-GR"/>
        </w:rPr>
        <w:t xml:space="preserve">Δεν εφαρμόζεται  </w:t>
      </w:r>
    </w:p>
    <w:p w:rsidR="006D2D93" w:rsidRPr="002518FB" w:rsidRDefault="006D2D93">
      <w:pPr>
        <w:rPr>
          <w:sz w:val="22"/>
          <w:lang w:val="el-GR"/>
        </w:rPr>
      </w:pPr>
    </w:p>
    <w:p w:rsidR="006D2D93" w:rsidRPr="002518FB" w:rsidRDefault="006D2D93">
      <w:pPr>
        <w:ind w:left="567" w:hanging="567"/>
        <w:rPr>
          <w:sz w:val="22"/>
          <w:lang w:val="el-GR"/>
        </w:rPr>
      </w:pPr>
      <w:r w:rsidRPr="002518FB">
        <w:rPr>
          <w:b/>
          <w:sz w:val="22"/>
          <w:lang w:val="el-GR"/>
        </w:rPr>
        <w:t>6.3</w:t>
      </w:r>
      <w:r w:rsidRPr="002518FB">
        <w:rPr>
          <w:b/>
          <w:sz w:val="22"/>
          <w:lang w:val="el-GR"/>
        </w:rPr>
        <w:tab/>
        <w:t>Διάρκεια ζωής</w:t>
      </w:r>
    </w:p>
    <w:p w:rsidR="006D2D93" w:rsidRPr="002518FB" w:rsidRDefault="006D2D93">
      <w:pPr>
        <w:rPr>
          <w:sz w:val="22"/>
          <w:lang w:val="el-GR"/>
        </w:rPr>
      </w:pPr>
    </w:p>
    <w:p w:rsidR="006D2D93" w:rsidRPr="002518FB" w:rsidRDefault="006D2D93">
      <w:pPr>
        <w:rPr>
          <w:sz w:val="22"/>
          <w:lang w:val="el-GR"/>
        </w:rPr>
      </w:pPr>
      <w:r w:rsidRPr="002518FB">
        <w:rPr>
          <w:sz w:val="22"/>
          <w:lang w:val="el-GR"/>
        </w:rPr>
        <w:t xml:space="preserve">3 έτη.  </w:t>
      </w:r>
    </w:p>
    <w:p w:rsidR="006D2D93" w:rsidRPr="002518FB" w:rsidRDefault="006D2D93">
      <w:pPr>
        <w:rPr>
          <w:sz w:val="22"/>
          <w:lang w:val="el-GR"/>
        </w:rPr>
      </w:pPr>
    </w:p>
    <w:p w:rsidR="006D2D93" w:rsidRPr="002518FB" w:rsidRDefault="006D2D93">
      <w:pPr>
        <w:ind w:left="567" w:hanging="567"/>
        <w:rPr>
          <w:sz w:val="22"/>
          <w:lang w:val="el-GR"/>
        </w:rPr>
      </w:pPr>
      <w:r w:rsidRPr="002518FB">
        <w:rPr>
          <w:b/>
          <w:sz w:val="22"/>
          <w:lang w:val="el-GR"/>
        </w:rPr>
        <w:t>6.4</w:t>
      </w:r>
      <w:r w:rsidRPr="002518FB">
        <w:rPr>
          <w:b/>
          <w:sz w:val="22"/>
          <w:lang w:val="el-GR"/>
        </w:rPr>
        <w:tab/>
        <w:t>Ιδιαίτερες προφυλάξεις κατά τη φύλαξη του προϊόντος</w:t>
      </w:r>
    </w:p>
    <w:p w:rsidR="006D2D93" w:rsidRPr="002518FB" w:rsidRDefault="006D2D93">
      <w:pPr>
        <w:rPr>
          <w:sz w:val="22"/>
          <w:lang w:val="el-GR"/>
        </w:rPr>
      </w:pPr>
    </w:p>
    <w:p w:rsidR="006D2D93" w:rsidRPr="002518FB" w:rsidRDefault="00D21858">
      <w:pPr>
        <w:rPr>
          <w:sz w:val="22"/>
          <w:szCs w:val="22"/>
          <w:lang w:val="el-GR"/>
        </w:rPr>
      </w:pPr>
      <w:r w:rsidRPr="002518FB">
        <w:rPr>
          <w:sz w:val="22"/>
          <w:szCs w:val="22"/>
          <w:lang w:val="el-GR"/>
        </w:rPr>
        <w:t xml:space="preserve">Το φαρμακευτικό αυτό προϊόν δεν απαιτεί ιδιαίτερες συνθήκες φύλαξης. </w:t>
      </w:r>
    </w:p>
    <w:p w:rsidR="00D21858" w:rsidRPr="002518FB" w:rsidRDefault="00D21858">
      <w:pPr>
        <w:rPr>
          <w:sz w:val="22"/>
          <w:lang w:val="el-GR"/>
        </w:rPr>
      </w:pPr>
    </w:p>
    <w:p w:rsidR="006D2D93" w:rsidRPr="002518FB" w:rsidRDefault="006D2D93">
      <w:pPr>
        <w:numPr>
          <w:ilvl w:val="1"/>
          <w:numId w:val="3"/>
        </w:numPr>
        <w:rPr>
          <w:b/>
          <w:sz w:val="22"/>
          <w:lang w:val="el-GR"/>
        </w:rPr>
      </w:pPr>
      <w:r w:rsidRPr="002518FB">
        <w:rPr>
          <w:b/>
          <w:sz w:val="22"/>
          <w:lang w:val="el-GR"/>
        </w:rPr>
        <w:t xml:space="preserve">Φύση και συστατικά του </w:t>
      </w:r>
      <w:proofErr w:type="spellStart"/>
      <w:r w:rsidRPr="002518FB">
        <w:rPr>
          <w:b/>
          <w:sz w:val="22"/>
          <w:lang w:val="el-GR"/>
        </w:rPr>
        <w:t>περιέκτη</w:t>
      </w:r>
      <w:proofErr w:type="spellEnd"/>
    </w:p>
    <w:p w:rsidR="006D2D93" w:rsidRPr="002518FB" w:rsidRDefault="006D2D93">
      <w:pPr>
        <w:rPr>
          <w:sz w:val="22"/>
          <w:lang w:val="el-GR"/>
        </w:rPr>
      </w:pPr>
    </w:p>
    <w:p w:rsidR="006D2D93" w:rsidRPr="002518FB" w:rsidRDefault="006D2D93">
      <w:pPr>
        <w:rPr>
          <w:sz w:val="22"/>
          <w:lang w:val="el-GR"/>
        </w:rPr>
      </w:pPr>
      <w:r w:rsidRPr="002518FB">
        <w:rPr>
          <w:sz w:val="22"/>
          <w:szCs w:val="22"/>
          <w:lang w:val="el-GR"/>
        </w:rPr>
        <w:t>Κυψέλη (</w:t>
      </w:r>
      <w:proofErr w:type="spellStart"/>
      <w:r w:rsidR="000F3434" w:rsidRPr="002518FB">
        <w:rPr>
          <w:sz w:val="22"/>
          <w:lang w:val="el-GR"/>
        </w:rPr>
        <w:t>Blister</w:t>
      </w:r>
      <w:proofErr w:type="spellEnd"/>
      <w:r w:rsidRPr="002518FB">
        <w:rPr>
          <w:sz w:val="22"/>
          <w:szCs w:val="22"/>
          <w:lang w:val="el-GR"/>
        </w:rPr>
        <w:t xml:space="preserve">) από </w:t>
      </w:r>
      <w:proofErr w:type="spellStart"/>
      <w:r w:rsidRPr="002518FB">
        <w:rPr>
          <w:sz w:val="22"/>
          <w:szCs w:val="22"/>
          <w:lang w:val="el-GR"/>
        </w:rPr>
        <w:t>Πολυβινυλοχλωρίδιο</w:t>
      </w:r>
      <w:proofErr w:type="spellEnd"/>
      <w:r w:rsidRPr="002518FB">
        <w:rPr>
          <w:sz w:val="22"/>
          <w:szCs w:val="22"/>
          <w:lang w:val="el-GR"/>
        </w:rPr>
        <w:t xml:space="preserve"> </w:t>
      </w:r>
      <w:r w:rsidRPr="002518FB">
        <w:rPr>
          <w:sz w:val="22"/>
          <w:lang w:val="el-GR"/>
        </w:rPr>
        <w:t>(</w:t>
      </w:r>
      <w:r w:rsidR="000F3434" w:rsidRPr="002518FB">
        <w:rPr>
          <w:sz w:val="22"/>
          <w:lang w:val="el-GR"/>
        </w:rPr>
        <w:t>PVC</w:t>
      </w:r>
      <w:r w:rsidRPr="002518FB">
        <w:rPr>
          <w:sz w:val="22"/>
          <w:lang w:val="el-GR"/>
        </w:rPr>
        <w:t>)/</w:t>
      </w:r>
      <w:proofErr w:type="spellStart"/>
      <w:r w:rsidRPr="002518FB">
        <w:rPr>
          <w:sz w:val="22"/>
          <w:lang w:val="el-GR"/>
        </w:rPr>
        <w:t>Πολυαιθυλένι</w:t>
      </w:r>
      <w:proofErr w:type="spellEnd"/>
      <w:r w:rsidRPr="002518FB">
        <w:rPr>
          <w:sz w:val="22"/>
          <w:lang w:val="el-GR"/>
        </w:rPr>
        <w:t>ο (</w:t>
      </w:r>
      <w:r w:rsidR="000F3434" w:rsidRPr="002518FB">
        <w:rPr>
          <w:sz w:val="22"/>
          <w:lang w:val="el-GR"/>
        </w:rPr>
        <w:t>PE</w:t>
      </w:r>
      <w:r w:rsidRPr="002518FB">
        <w:rPr>
          <w:sz w:val="22"/>
          <w:lang w:val="el-GR"/>
        </w:rPr>
        <w:t xml:space="preserve">)/ </w:t>
      </w:r>
      <w:proofErr w:type="spellStart"/>
      <w:r w:rsidRPr="002518FB">
        <w:rPr>
          <w:sz w:val="22"/>
          <w:lang w:val="el-GR"/>
        </w:rPr>
        <w:t>Πολυχλωροτριφθοροαιθυλένιο</w:t>
      </w:r>
      <w:proofErr w:type="spellEnd"/>
      <w:r w:rsidRPr="002518FB">
        <w:rPr>
          <w:sz w:val="22"/>
          <w:lang w:val="el-GR"/>
        </w:rPr>
        <w:t xml:space="preserve"> (</w:t>
      </w:r>
      <w:r w:rsidR="000F3434" w:rsidRPr="002518FB">
        <w:rPr>
          <w:sz w:val="22"/>
          <w:lang w:val="el-GR"/>
        </w:rPr>
        <w:t>PCTFE</w:t>
      </w:r>
      <w:r w:rsidRPr="002518FB">
        <w:rPr>
          <w:sz w:val="22"/>
          <w:lang w:val="el-GR"/>
        </w:rPr>
        <w:t xml:space="preserve">), </w:t>
      </w:r>
      <w:r w:rsidRPr="002518FB">
        <w:rPr>
          <w:sz w:val="22"/>
          <w:szCs w:val="22"/>
          <w:lang w:val="el-GR"/>
        </w:rPr>
        <w:t>σφραγισμένη με φύλλο αλουμινίου</w:t>
      </w:r>
      <w:r w:rsidRPr="002518FB">
        <w:rPr>
          <w:sz w:val="22"/>
          <w:lang w:val="el-GR"/>
        </w:rPr>
        <w:t>.</w:t>
      </w:r>
    </w:p>
    <w:p w:rsidR="006D2D93" w:rsidRPr="002518FB" w:rsidRDefault="006D2D93">
      <w:pPr>
        <w:rPr>
          <w:sz w:val="22"/>
          <w:lang w:val="el-GR"/>
        </w:rPr>
      </w:pPr>
      <w:r w:rsidRPr="002518FB">
        <w:rPr>
          <w:sz w:val="22"/>
          <w:szCs w:val="23"/>
          <w:lang w:val="el-GR"/>
        </w:rPr>
        <w:t xml:space="preserve">Διαθέσιμες συσκευασίες που περιέχουν </w:t>
      </w:r>
      <w:r w:rsidRPr="002518FB">
        <w:rPr>
          <w:sz w:val="22"/>
          <w:lang w:val="el-GR"/>
        </w:rPr>
        <w:t xml:space="preserve">7, 14, 28 και 56 </w:t>
      </w:r>
      <w:r w:rsidR="00DE6268" w:rsidRPr="002518FB">
        <w:rPr>
          <w:sz w:val="22"/>
          <w:lang w:val="el-GR"/>
        </w:rPr>
        <w:t>καψάκια</w:t>
      </w:r>
      <w:r w:rsidRPr="002518FB">
        <w:rPr>
          <w:sz w:val="22"/>
          <w:lang w:val="el-GR"/>
        </w:rPr>
        <w:t>.</w:t>
      </w:r>
      <w:r w:rsidR="005029B5" w:rsidRPr="002518FB">
        <w:rPr>
          <w:sz w:val="22"/>
          <w:lang w:val="el-GR"/>
        </w:rPr>
        <w:t xml:space="preserve"> </w:t>
      </w:r>
      <w:r w:rsidRPr="002518FB">
        <w:rPr>
          <w:sz w:val="22"/>
          <w:lang w:val="el-GR"/>
        </w:rPr>
        <w:t xml:space="preserve">Μπορεί </w:t>
      </w:r>
      <w:r w:rsidRPr="002518FB">
        <w:rPr>
          <w:sz w:val="22"/>
          <w:szCs w:val="23"/>
          <w:lang w:val="el-GR"/>
        </w:rPr>
        <w:t>να μην κυκλοφορούν όλες οι συσκευασίες</w:t>
      </w:r>
      <w:r w:rsidRPr="002518FB">
        <w:rPr>
          <w:sz w:val="22"/>
          <w:lang w:val="el-GR"/>
        </w:rPr>
        <w:t>.</w:t>
      </w:r>
    </w:p>
    <w:p w:rsidR="00D330CC" w:rsidRPr="002518FB" w:rsidRDefault="00D330CC">
      <w:pPr>
        <w:rPr>
          <w:sz w:val="22"/>
          <w:lang w:val="el-GR"/>
        </w:rPr>
      </w:pPr>
    </w:p>
    <w:p w:rsidR="00E75102" w:rsidRPr="002518FB" w:rsidRDefault="006D2D93" w:rsidP="00B03903">
      <w:pPr>
        <w:rPr>
          <w:sz w:val="22"/>
          <w:lang w:val="el-GR"/>
        </w:rPr>
      </w:pPr>
      <w:r w:rsidRPr="002518FB">
        <w:rPr>
          <w:b/>
          <w:sz w:val="22"/>
          <w:lang w:val="el-GR"/>
        </w:rPr>
        <w:t>6.6</w:t>
      </w:r>
      <w:r w:rsidRPr="002518FB">
        <w:rPr>
          <w:b/>
          <w:sz w:val="22"/>
          <w:lang w:val="el-GR"/>
        </w:rPr>
        <w:tab/>
      </w:r>
      <w:r w:rsidR="00946373" w:rsidRPr="002518FB">
        <w:rPr>
          <w:b/>
          <w:sz w:val="22"/>
          <w:lang w:val="el-GR"/>
        </w:rPr>
        <w:t>Ιδιαίτερες προφυλάξεις απόρριψης</w:t>
      </w:r>
      <w:r w:rsidR="005D1308" w:rsidRPr="002518FB">
        <w:rPr>
          <w:b/>
          <w:sz w:val="22"/>
          <w:lang w:val="el-GR"/>
        </w:rPr>
        <w:t xml:space="preserve"> και άλλος χειρισμός</w:t>
      </w:r>
      <w:r w:rsidR="00E75102" w:rsidRPr="002518FB">
        <w:rPr>
          <w:b/>
          <w:sz w:val="22"/>
          <w:lang w:val="el-GR"/>
        </w:rPr>
        <w:t xml:space="preserve"> </w:t>
      </w:r>
    </w:p>
    <w:p w:rsidR="00E75102" w:rsidRPr="002518FB" w:rsidRDefault="00E75102">
      <w:pPr>
        <w:rPr>
          <w:sz w:val="22"/>
          <w:lang w:val="el-GR"/>
        </w:rPr>
      </w:pPr>
    </w:p>
    <w:p w:rsidR="006D2D93" w:rsidRPr="002518FB" w:rsidRDefault="00241A9F">
      <w:pPr>
        <w:rPr>
          <w:sz w:val="22"/>
          <w:lang w:val="el-GR"/>
        </w:rPr>
      </w:pPr>
      <w:r w:rsidRPr="002518FB">
        <w:rPr>
          <w:sz w:val="22"/>
          <w:lang w:val="el-GR"/>
        </w:rPr>
        <w:t xml:space="preserve">Τα καψάκια </w:t>
      </w:r>
      <w:r w:rsidR="00946373" w:rsidRPr="002518FB">
        <w:rPr>
          <w:sz w:val="22"/>
          <w:lang w:val="el-GR"/>
        </w:rPr>
        <w:t xml:space="preserve">δεν </w:t>
      </w:r>
      <w:r w:rsidR="00447449" w:rsidRPr="002518FB">
        <w:rPr>
          <w:sz w:val="22"/>
          <w:lang w:val="el-GR"/>
        </w:rPr>
        <w:t xml:space="preserve">θα </w:t>
      </w:r>
      <w:r w:rsidR="00946373" w:rsidRPr="002518FB">
        <w:rPr>
          <w:sz w:val="22"/>
          <w:lang w:val="el-GR"/>
        </w:rPr>
        <w:t xml:space="preserve">πρέπει να </w:t>
      </w:r>
      <w:r w:rsidR="00447449" w:rsidRPr="002518FB">
        <w:rPr>
          <w:sz w:val="22"/>
          <w:lang w:val="el-GR"/>
        </w:rPr>
        <w:t>διανο</w:t>
      </w:r>
      <w:r w:rsidR="00B63839" w:rsidRPr="002518FB">
        <w:rPr>
          <w:sz w:val="22"/>
          <w:lang w:val="el-GR"/>
        </w:rPr>
        <w:t>ίγονται</w:t>
      </w:r>
      <w:r w:rsidR="007E462B" w:rsidRPr="002518FB">
        <w:rPr>
          <w:sz w:val="22"/>
          <w:lang w:val="el-GR"/>
        </w:rPr>
        <w:t xml:space="preserve">. Η </w:t>
      </w:r>
      <w:proofErr w:type="spellStart"/>
      <w:r w:rsidR="007E462B" w:rsidRPr="002518FB">
        <w:rPr>
          <w:sz w:val="22"/>
          <w:lang w:val="el-GR"/>
        </w:rPr>
        <w:t>ατομοξετίνη</w:t>
      </w:r>
      <w:proofErr w:type="spellEnd"/>
      <w:r w:rsidR="007E462B" w:rsidRPr="002518FB">
        <w:rPr>
          <w:sz w:val="22"/>
          <w:lang w:val="el-GR"/>
        </w:rPr>
        <w:t xml:space="preserve"> </w:t>
      </w:r>
      <w:r w:rsidR="00B63839" w:rsidRPr="002518FB">
        <w:rPr>
          <w:sz w:val="22"/>
          <w:lang w:val="el-GR"/>
        </w:rPr>
        <w:t xml:space="preserve">είναι </w:t>
      </w:r>
      <w:r w:rsidR="007E462B" w:rsidRPr="002518FB">
        <w:rPr>
          <w:sz w:val="22"/>
          <w:lang w:val="el-GR"/>
        </w:rPr>
        <w:t>ερεθ</w:t>
      </w:r>
      <w:r w:rsidR="00B63839" w:rsidRPr="002518FB">
        <w:rPr>
          <w:sz w:val="22"/>
          <w:lang w:val="el-GR"/>
        </w:rPr>
        <w:t>ιστική για</w:t>
      </w:r>
      <w:r w:rsidR="007E462B" w:rsidRPr="002518FB">
        <w:rPr>
          <w:sz w:val="22"/>
          <w:lang w:val="el-GR"/>
        </w:rPr>
        <w:t xml:space="preserve"> τα μάτια. Σε περίπτωση που το περιεχόμενο των κ</w:t>
      </w:r>
      <w:r w:rsidR="00D330CC" w:rsidRPr="002518FB">
        <w:rPr>
          <w:sz w:val="22"/>
          <w:lang w:val="el-GR"/>
        </w:rPr>
        <w:t>αψακίων</w:t>
      </w:r>
      <w:r w:rsidR="007E462B" w:rsidRPr="002518FB">
        <w:rPr>
          <w:sz w:val="22"/>
          <w:lang w:val="el-GR"/>
        </w:rPr>
        <w:t xml:space="preserve"> έρθει σε επαφή με τ</w:t>
      </w:r>
      <w:r w:rsidR="00064883" w:rsidRPr="002518FB">
        <w:rPr>
          <w:sz w:val="22"/>
          <w:lang w:val="el-GR"/>
        </w:rPr>
        <w:t>ο</w:t>
      </w:r>
      <w:r w:rsidR="007E462B" w:rsidRPr="002518FB">
        <w:rPr>
          <w:sz w:val="22"/>
          <w:lang w:val="el-GR"/>
        </w:rPr>
        <w:t xml:space="preserve"> μάτι, </w:t>
      </w:r>
      <w:r w:rsidR="00064883" w:rsidRPr="002518FB">
        <w:rPr>
          <w:sz w:val="22"/>
          <w:lang w:val="el-GR"/>
        </w:rPr>
        <w:t>αυτό θα πρέπει να πλυθεί</w:t>
      </w:r>
      <w:r w:rsidR="007E462B" w:rsidRPr="002518FB">
        <w:rPr>
          <w:sz w:val="22"/>
          <w:lang w:val="el-GR"/>
        </w:rPr>
        <w:t xml:space="preserve"> με άφθονο νερό και να </w:t>
      </w:r>
      <w:r w:rsidR="00064883" w:rsidRPr="002518FB">
        <w:rPr>
          <w:sz w:val="22"/>
          <w:lang w:val="el-GR"/>
        </w:rPr>
        <w:t>αναζητηθεί ιατρική συμβουλή</w:t>
      </w:r>
      <w:r w:rsidR="007E462B" w:rsidRPr="002518FB">
        <w:rPr>
          <w:sz w:val="22"/>
          <w:lang w:val="el-GR"/>
        </w:rPr>
        <w:t>.</w:t>
      </w:r>
      <w:r w:rsidR="00064883" w:rsidRPr="002518FB">
        <w:rPr>
          <w:sz w:val="22"/>
          <w:lang w:val="el-GR"/>
        </w:rPr>
        <w:t xml:space="preserve"> </w:t>
      </w:r>
      <w:r w:rsidR="00E17E6D" w:rsidRPr="002518FB">
        <w:rPr>
          <w:sz w:val="22"/>
          <w:lang w:val="el-GR"/>
        </w:rPr>
        <w:t>Τα χέρια σας</w:t>
      </w:r>
      <w:r w:rsidR="00B63839" w:rsidRPr="002518FB">
        <w:rPr>
          <w:sz w:val="22"/>
          <w:lang w:val="el-GR"/>
        </w:rPr>
        <w:t xml:space="preserve"> και οποιαδήποτε άλλη </w:t>
      </w:r>
      <w:r w:rsidR="00E17E6D" w:rsidRPr="002518FB">
        <w:rPr>
          <w:sz w:val="22"/>
          <w:lang w:val="el-GR"/>
        </w:rPr>
        <w:t xml:space="preserve">επιφάνεια </w:t>
      </w:r>
      <w:r w:rsidR="00064883" w:rsidRPr="002518FB">
        <w:rPr>
          <w:sz w:val="22"/>
          <w:lang w:val="el-GR"/>
        </w:rPr>
        <w:t xml:space="preserve">που </w:t>
      </w:r>
      <w:r w:rsidR="00B63839" w:rsidRPr="002518FB">
        <w:rPr>
          <w:sz w:val="22"/>
          <w:lang w:val="el-GR"/>
        </w:rPr>
        <w:t xml:space="preserve">ήρθε σε επαφή με το φάρμακο </w:t>
      </w:r>
      <w:r w:rsidR="00E17E6D" w:rsidRPr="002518FB">
        <w:rPr>
          <w:sz w:val="22"/>
          <w:lang w:val="el-GR"/>
        </w:rPr>
        <w:t>θα πρ</w:t>
      </w:r>
      <w:r w:rsidR="00B63839" w:rsidRPr="002518FB">
        <w:rPr>
          <w:sz w:val="22"/>
          <w:lang w:val="el-GR"/>
        </w:rPr>
        <w:t>έπει να πλ</w:t>
      </w:r>
      <w:r w:rsidR="00064883" w:rsidRPr="002518FB">
        <w:rPr>
          <w:sz w:val="22"/>
          <w:lang w:val="el-GR"/>
        </w:rPr>
        <w:t>υθούν</w:t>
      </w:r>
      <w:r w:rsidR="00E17E6D" w:rsidRPr="002518FB">
        <w:rPr>
          <w:sz w:val="22"/>
          <w:lang w:val="el-GR"/>
        </w:rPr>
        <w:t xml:space="preserve"> </w:t>
      </w:r>
      <w:r w:rsidR="00B63839" w:rsidRPr="002518FB">
        <w:rPr>
          <w:sz w:val="22"/>
          <w:lang w:val="el-GR"/>
        </w:rPr>
        <w:t>το συντομότερο δυνατόν</w:t>
      </w:r>
      <w:r w:rsidR="00E17E6D" w:rsidRPr="002518FB">
        <w:rPr>
          <w:sz w:val="22"/>
          <w:lang w:val="el-GR"/>
        </w:rPr>
        <w:t>.</w:t>
      </w:r>
      <w:r w:rsidR="007E462B" w:rsidRPr="002518FB">
        <w:rPr>
          <w:sz w:val="22"/>
          <w:lang w:val="el-GR"/>
        </w:rPr>
        <w:t xml:space="preserve"> </w:t>
      </w:r>
    </w:p>
    <w:p w:rsidR="006D2D93" w:rsidRPr="002518FB" w:rsidRDefault="006D2D93">
      <w:pPr>
        <w:rPr>
          <w:sz w:val="22"/>
          <w:lang w:val="el-GR"/>
        </w:rPr>
      </w:pPr>
    </w:p>
    <w:p w:rsidR="005D1308" w:rsidRPr="002518FB" w:rsidRDefault="005D1308">
      <w:pPr>
        <w:rPr>
          <w:sz w:val="22"/>
          <w:lang w:val="el-GR"/>
        </w:rPr>
      </w:pPr>
    </w:p>
    <w:p w:rsidR="006D2D93" w:rsidRPr="002518FB" w:rsidRDefault="006D2D93">
      <w:pPr>
        <w:ind w:left="567" w:hanging="567"/>
        <w:rPr>
          <w:sz w:val="22"/>
          <w:lang w:val="el-GR"/>
        </w:rPr>
      </w:pPr>
      <w:r w:rsidRPr="002518FB">
        <w:rPr>
          <w:b/>
          <w:sz w:val="22"/>
          <w:lang w:val="el-GR"/>
        </w:rPr>
        <w:t>7.</w:t>
      </w:r>
      <w:r w:rsidRPr="002518FB">
        <w:rPr>
          <w:b/>
          <w:sz w:val="22"/>
          <w:lang w:val="el-GR"/>
        </w:rPr>
        <w:tab/>
        <w:t>ΚΑΤΟΧΟΣ ΤΗΣ ΑΔΕΙΑΣ ΚΥΚΛΟΦΟΡΙΑΣ</w:t>
      </w:r>
    </w:p>
    <w:p w:rsidR="006D2D93" w:rsidRPr="002518FB" w:rsidRDefault="006D2D93">
      <w:pPr>
        <w:rPr>
          <w:sz w:val="22"/>
          <w:lang w:val="el-GR"/>
        </w:rPr>
      </w:pPr>
    </w:p>
    <w:p w:rsidR="00364454" w:rsidRPr="002518FB" w:rsidRDefault="00364454" w:rsidP="00364454">
      <w:pPr>
        <w:rPr>
          <w:b/>
          <w:sz w:val="22"/>
          <w:szCs w:val="22"/>
          <w:lang w:val="el-GR"/>
        </w:rPr>
      </w:pPr>
      <w:r w:rsidRPr="002518FB">
        <w:rPr>
          <w:b/>
          <w:sz w:val="22"/>
          <w:szCs w:val="22"/>
          <w:lang w:val="el-GR"/>
        </w:rPr>
        <w:t xml:space="preserve">Φ Α Ρ Μ Α Σ Ε Ρ Β – Λ Ι Λ </w:t>
      </w:r>
      <w:proofErr w:type="spellStart"/>
      <w:r w:rsidRPr="002518FB">
        <w:rPr>
          <w:b/>
          <w:sz w:val="22"/>
          <w:szCs w:val="22"/>
          <w:lang w:val="el-GR"/>
        </w:rPr>
        <w:t>Λ</w:t>
      </w:r>
      <w:proofErr w:type="spellEnd"/>
      <w:r w:rsidRPr="002518FB">
        <w:rPr>
          <w:b/>
          <w:sz w:val="22"/>
          <w:szCs w:val="22"/>
          <w:lang w:val="el-GR"/>
        </w:rPr>
        <w:t xml:space="preserve"> Υ  Α. Ε. Β. Ε </w:t>
      </w:r>
    </w:p>
    <w:p w:rsidR="00364454" w:rsidRPr="002518FB" w:rsidRDefault="00364454" w:rsidP="00364454">
      <w:pPr>
        <w:rPr>
          <w:sz w:val="22"/>
          <w:szCs w:val="22"/>
          <w:lang w:val="el-GR"/>
        </w:rPr>
      </w:pPr>
      <w:r w:rsidRPr="002518FB">
        <w:rPr>
          <w:sz w:val="22"/>
          <w:szCs w:val="22"/>
          <w:lang w:val="el-GR"/>
        </w:rPr>
        <w:t>ΕΔΡΑ: 15</w:t>
      </w:r>
      <w:r w:rsidRPr="002518FB">
        <w:rPr>
          <w:sz w:val="22"/>
          <w:szCs w:val="22"/>
          <w:vertAlign w:val="superscript"/>
          <w:lang w:val="el-GR"/>
        </w:rPr>
        <w:t>ο</w:t>
      </w:r>
      <w:r w:rsidRPr="002518FB">
        <w:rPr>
          <w:sz w:val="22"/>
          <w:szCs w:val="22"/>
          <w:lang w:val="el-GR"/>
        </w:rPr>
        <w:t xml:space="preserve"> </w:t>
      </w:r>
      <w:proofErr w:type="spellStart"/>
      <w:r w:rsidRPr="002518FB">
        <w:rPr>
          <w:sz w:val="22"/>
          <w:szCs w:val="22"/>
          <w:lang w:val="el-GR"/>
        </w:rPr>
        <w:t>χλμ</w:t>
      </w:r>
      <w:proofErr w:type="spellEnd"/>
      <w:r w:rsidRPr="002518FB">
        <w:rPr>
          <w:sz w:val="22"/>
          <w:szCs w:val="22"/>
          <w:lang w:val="el-GR"/>
        </w:rPr>
        <w:t xml:space="preserve">. Εθν. Οδού Αθηνών-Λαμίας, 145 64 Κηφισιά ▪ Τ. Θ 51288 </w:t>
      </w:r>
      <w:bookmarkStart w:id="1" w:name="OLE_LINK3"/>
      <w:bookmarkStart w:id="2" w:name="OLE_LINK4"/>
      <w:r w:rsidRPr="002518FB">
        <w:rPr>
          <w:sz w:val="22"/>
          <w:szCs w:val="22"/>
          <w:lang w:val="el-GR"/>
        </w:rPr>
        <w:t xml:space="preserve">▪ </w:t>
      </w:r>
      <w:bookmarkEnd w:id="1"/>
      <w:bookmarkEnd w:id="2"/>
    </w:p>
    <w:p w:rsidR="000A1866" w:rsidRPr="002518FB" w:rsidRDefault="00364454" w:rsidP="00364454">
      <w:pPr>
        <w:rPr>
          <w:sz w:val="22"/>
          <w:szCs w:val="22"/>
          <w:lang w:val="el-GR"/>
        </w:rPr>
      </w:pPr>
      <w:r w:rsidRPr="002518FB">
        <w:rPr>
          <w:sz w:val="22"/>
          <w:szCs w:val="22"/>
          <w:lang w:val="el-GR"/>
        </w:rPr>
        <w:t>ΤΗΛ</w:t>
      </w:r>
      <w:r w:rsidR="000F3434" w:rsidRPr="002518FB">
        <w:rPr>
          <w:sz w:val="22"/>
          <w:lang w:val="el-GR"/>
        </w:rPr>
        <w:t xml:space="preserve">: </w:t>
      </w:r>
      <w:r w:rsidR="009F1235" w:rsidRPr="009F1235">
        <w:rPr>
          <w:sz w:val="22"/>
          <w:lang w:val="el-GR"/>
        </w:rPr>
        <w:t xml:space="preserve">+30 </w:t>
      </w:r>
      <w:r w:rsidR="000F3434" w:rsidRPr="002518FB">
        <w:rPr>
          <w:sz w:val="22"/>
          <w:lang w:val="el-GR"/>
        </w:rPr>
        <w:t xml:space="preserve">210 6294 600 </w:t>
      </w:r>
    </w:p>
    <w:p w:rsidR="00364454" w:rsidRPr="002518FB" w:rsidRDefault="00364454" w:rsidP="00364454">
      <w:pPr>
        <w:rPr>
          <w:sz w:val="22"/>
          <w:szCs w:val="22"/>
          <w:lang w:val="el-GR"/>
        </w:rPr>
      </w:pPr>
      <w:r w:rsidRPr="002518FB">
        <w:rPr>
          <w:sz w:val="22"/>
          <w:szCs w:val="22"/>
          <w:lang w:val="el-GR"/>
        </w:rPr>
        <w:t xml:space="preserve">ΓΡΑΦΕΙΟ ΘΕΣ/ΚΗΣ: </w:t>
      </w:r>
      <w:proofErr w:type="spellStart"/>
      <w:r w:rsidRPr="002518FB">
        <w:rPr>
          <w:sz w:val="22"/>
          <w:szCs w:val="22"/>
          <w:lang w:val="el-GR"/>
        </w:rPr>
        <w:t>Αδριανουπόλεως</w:t>
      </w:r>
      <w:proofErr w:type="spellEnd"/>
      <w:r w:rsidRPr="002518FB">
        <w:rPr>
          <w:sz w:val="22"/>
          <w:szCs w:val="22"/>
          <w:lang w:val="el-GR"/>
        </w:rPr>
        <w:t xml:space="preserve"> 24, 55133 Καλαμαριά ▪ ΤΗΛ: </w:t>
      </w:r>
      <w:r w:rsidR="009F1235" w:rsidRPr="009F1235">
        <w:rPr>
          <w:sz w:val="22"/>
          <w:szCs w:val="22"/>
          <w:lang w:val="el-GR"/>
        </w:rPr>
        <w:t xml:space="preserve">+30 </w:t>
      </w:r>
      <w:r w:rsidRPr="002518FB">
        <w:rPr>
          <w:sz w:val="22"/>
          <w:szCs w:val="22"/>
          <w:lang w:val="el-GR"/>
        </w:rPr>
        <w:t>2310 480160</w:t>
      </w:r>
    </w:p>
    <w:p w:rsidR="006D2D93" w:rsidRPr="002518FB" w:rsidRDefault="006D2D93">
      <w:pPr>
        <w:rPr>
          <w:sz w:val="22"/>
          <w:lang w:val="el-GR"/>
        </w:rPr>
      </w:pPr>
    </w:p>
    <w:p w:rsidR="00201F07" w:rsidRPr="002518FB" w:rsidRDefault="00201F07">
      <w:pPr>
        <w:rPr>
          <w:sz w:val="22"/>
          <w:lang w:val="el-GR"/>
        </w:rPr>
      </w:pPr>
    </w:p>
    <w:p w:rsidR="006D2D93" w:rsidRPr="002518FB" w:rsidRDefault="006D2D93">
      <w:pPr>
        <w:ind w:left="567" w:hanging="567"/>
        <w:rPr>
          <w:b/>
          <w:sz w:val="22"/>
          <w:lang w:val="el-GR"/>
        </w:rPr>
      </w:pPr>
      <w:r w:rsidRPr="002518FB">
        <w:rPr>
          <w:b/>
          <w:sz w:val="22"/>
          <w:lang w:val="el-GR"/>
        </w:rPr>
        <w:t>8.</w:t>
      </w:r>
      <w:r w:rsidRPr="002518FB">
        <w:rPr>
          <w:b/>
          <w:sz w:val="22"/>
          <w:lang w:val="el-GR"/>
        </w:rPr>
        <w:tab/>
        <w:t>ΑΡΙΘΜΟΙ ΑΔΕΙΑΣ ΚΥΚΛΟΦΟΡΙΑΣ</w:t>
      </w:r>
    </w:p>
    <w:p w:rsidR="006D2D93" w:rsidRPr="002518FB" w:rsidRDefault="006D2D93">
      <w:pPr>
        <w:rPr>
          <w:sz w:val="22"/>
          <w:lang w:val="el-GR"/>
        </w:rPr>
      </w:pPr>
    </w:p>
    <w:p w:rsidR="00DD360A" w:rsidRPr="002518FB" w:rsidRDefault="000F3434">
      <w:pPr>
        <w:rPr>
          <w:sz w:val="22"/>
          <w:lang w:val="el-GR"/>
        </w:rPr>
      </w:pPr>
      <w:r w:rsidRPr="002518FB">
        <w:rPr>
          <w:sz w:val="22"/>
          <w:lang w:val="el-GR"/>
        </w:rPr>
        <w:t>STRATTERA</w:t>
      </w:r>
      <w:r w:rsidR="00201F07" w:rsidRPr="002518FB">
        <w:rPr>
          <w:sz w:val="22"/>
          <w:lang w:val="el-GR"/>
        </w:rPr>
        <w:t xml:space="preserve"> καψάκιο σκληρό 10 </w:t>
      </w:r>
      <w:proofErr w:type="spellStart"/>
      <w:r w:rsidRPr="002518FB">
        <w:rPr>
          <w:sz w:val="22"/>
          <w:lang w:val="el-GR"/>
        </w:rPr>
        <w:t>mg</w:t>
      </w:r>
      <w:proofErr w:type="spellEnd"/>
      <w:r w:rsidR="00201F07" w:rsidRPr="002518FB">
        <w:rPr>
          <w:sz w:val="22"/>
          <w:lang w:val="el-GR"/>
        </w:rPr>
        <w:t xml:space="preserve">: </w:t>
      </w:r>
    </w:p>
    <w:p w:rsidR="00201F07" w:rsidRPr="002518FB" w:rsidRDefault="000F3434">
      <w:pPr>
        <w:rPr>
          <w:sz w:val="22"/>
          <w:lang w:val="el-GR"/>
        </w:rPr>
      </w:pPr>
      <w:r w:rsidRPr="002518FB">
        <w:rPr>
          <w:sz w:val="22"/>
          <w:lang w:val="el-GR"/>
        </w:rPr>
        <w:t>STRATTERA</w:t>
      </w:r>
      <w:r w:rsidR="00201F07" w:rsidRPr="002518FB">
        <w:rPr>
          <w:sz w:val="22"/>
          <w:lang w:val="el-GR"/>
        </w:rPr>
        <w:t xml:space="preserve"> καψάκιο σκληρό 18 </w:t>
      </w:r>
      <w:proofErr w:type="spellStart"/>
      <w:r w:rsidRPr="002518FB">
        <w:rPr>
          <w:sz w:val="22"/>
          <w:lang w:val="el-GR"/>
        </w:rPr>
        <w:t>mg</w:t>
      </w:r>
      <w:proofErr w:type="spellEnd"/>
      <w:r w:rsidR="00201F07" w:rsidRPr="002518FB">
        <w:rPr>
          <w:sz w:val="22"/>
          <w:lang w:val="el-GR"/>
        </w:rPr>
        <w:t xml:space="preserve">: </w:t>
      </w:r>
    </w:p>
    <w:p w:rsidR="00201F07" w:rsidRPr="002518FB" w:rsidRDefault="000F3434">
      <w:pPr>
        <w:rPr>
          <w:sz w:val="22"/>
          <w:lang w:val="el-GR"/>
        </w:rPr>
      </w:pPr>
      <w:r w:rsidRPr="002518FB">
        <w:rPr>
          <w:sz w:val="22"/>
          <w:lang w:val="el-GR"/>
        </w:rPr>
        <w:t>STRATTERA</w:t>
      </w:r>
      <w:r w:rsidR="00201F07" w:rsidRPr="002518FB">
        <w:rPr>
          <w:sz w:val="22"/>
          <w:lang w:val="el-GR"/>
        </w:rPr>
        <w:t xml:space="preserve"> καψάκιο σκληρό 25 </w:t>
      </w:r>
      <w:proofErr w:type="spellStart"/>
      <w:r w:rsidRPr="002518FB">
        <w:rPr>
          <w:sz w:val="22"/>
          <w:lang w:val="el-GR"/>
        </w:rPr>
        <w:t>mg</w:t>
      </w:r>
      <w:proofErr w:type="spellEnd"/>
      <w:r w:rsidR="00201F07" w:rsidRPr="002518FB">
        <w:rPr>
          <w:sz w:val="22"/>
          <w:lang w:val="el-GR"/>
        </w:rPr>
        <w:t xml:space="preserve">:  </w:t>
      </w:r>
    </w:p>
    <w:p w:rsidR="00201F07" w:rsidRPr="002518FB" w:rsidRDefault="000F3434">
      <w:pPr>
        <w:rPr>
          <w:sz w:val="22"/>
          <w:lang w:val="el-GR"/>
        </w:rPr>
      </w:pPr>
      <w:r w:rsidRPr="002518FB">
        <w:rPr>
          <w:sz w:val="22"/>
          <w:lang w:val="el-GR"/>
        </w:rPr>
        <w:t>STRATTERA</w:t>
      </w:r>
      <w:r w:rsidR="00201F07" w:rsidRPr="002518FB">
        <w:rPr>
          <w:sz w:val="22"/>
          <w:lang w:val="el-GR"/>
        </w:rPr>
        <w:t xml:space="preserve"> καψάκιο σκληρό 40 </w:t>
      </w:r>
      <w:proofErr w:type="spellStart"/>
      <w:r w:rsidRPr="002518FB">
        <w:rPr>
          <w:sz w:val="22"/>
          <w:lang w:val="el-GR"/>
        </w:rPr>
        <w:t>mg</w:t>
      </w:r>
      <w:proofErr w:type="spellEnd"/>
      <w:r w:rsidR="00201F07" w:rsidRPr="002518FB">
        <w:rPr>
          <w:sz w:val="22"/>
          <w:lang w:val="el-GR"/>
        </w:rPr>
        <w:t xml:space="preserve">:  </w:t>
      </w:r>
    </w:p>
    <w:p w:rsidR="00201F07" w:rsidRPr="002518FB" w:rsidRDefault="000F3434">
      <w:pPr>
        <w:rPr>
          <w:sz w:val="22"/>
          <w:lang w:val="el-GR"/>
        </w:rPr>
      </w:pPr>
      <w:r w:rsidRPr="002518FB">
        <w:rPr>
          <w:sz w:val="22"/>
          <w:lang w:val="el-GR"/>
        </w:rPr>
        <w:t>STRATTERA</w:t>
      </w:r>
      <w:r w:rsidR="00201F07" w:rsidRPr="002518FB">
        <w:rPr>
          <w:sz w:val="22"/>
          <w:lang w:val="el-GR"/>
        </w:rPr>
        <w:t xml:space="preserve"> καψάκιο σκληρό 60 </w:t>
      </w:r>
      <w:proofErr w:type="spellStart"/>
      <w:r w:rsidRPr="002518FB">
        <w:rPr>
          <w:sz w:val="22"/>
          <w:lang w:val="el-GR"/>
        </w:rPr>
        <w:t>mg</w:t>
      </w:r>
      <w:proofErr w:type="spellEnd"/>
      <w:r w:rsidR="00201F07" w:rsidRPr="002518FB">
        <w:rPr>
          <w:sz w:val="22"/>
          <w:lang w:val="el-GR"/>
        </w:rPr>
        <w:t xml:space="preserve">:  </w:t>
      </w:r>
    </w:p>
    <w:p w:rsidR="0005621F" w:rsidRPr="002518FB" w:rsidRDefault="000F3434" w:rsidP="00DB1515">
      <w:pPr>
        <w:rPr>
          <w:sz w:val="22"/>
          <w:lang w:val="el-GR"/>
        </w:rPr>
      </w:pPr>
      <w:r w:rsidRPr="002518FB">
        <w:rPr>
          <w:sz w:val="22"/>
          <w:lang w:val="el-GR"/>
        </w:rPr>
        <w:t>STRATTERA</w:t>
      </w:r>
      <w:r w:rsidR="00DB1515" w:rsidRPr="002518FB">
        <w:rPr>
          <w:sz w:val="22"/>
          <w:lang w:val="el-GR"/>
        </w:rPr>
        <w:t xml:space="preserve"> </w:t>
      </w:r>
      <w:r w:rsidR="0005621F" w:rsidRPr="002518FB">
        <w:rPr>
          <w:sz w:val="22"/>
          <w:lang w:val="el-GR"/>
        </w:rPr>
        <w:t xml:space="preserve">καψάκιο σκληρό 80 </w:t>
      </w:r>
      <w:proofErr w:type="spellStart"/>
      <w:r w:rsidRPr="002518FB">
        <w:rPr>
          <w:sz w:val="22"/>
          <w:lang w:val="el-GR"/>
        </w:rPr>
        <w:t>mg</w:t>
      </w:r>
      <w:proofErr w:type="spellEnd"/>
      <w:r w:rsidR="0005621F" w:rsidRPr="002518FB">
        <w:rPr>
          <w:sz w:val="22"/>
          <w:lang w:val="el-GR"/>
        </w:rPr>
        <w:t xml:space="preserve">:  </w:t>
      </w:r>
    </w:p>
    <w:p w:rsidR="00DB1515" w:rsidRPr="002518FB" w:rsidRDefault="000F3434" w:rsidP="00DB1515">
      <w:pPr>
        <w:rPr>
          <w:sz w:val="22"/>
          <w:lang w:val="el-GR"/>
        </w:rPr>
      </w:pPr>
      <w:r w:rsidRPr="002518FB">
        <w:rPr>
          <w:sz w:val="22"/>
          <w:lang w:val="el-GR"/>
        </w:rPr>
        <w:t>STRATTERA</w:t>
      </w:r>
      <w:r w:rsidR="00DB1515" w:rsidRPr="002518FB">
        <w:rPr>
          <w:sz w:val="22"/>
          <w:lang w:val="el-GR"/>
        </w:rPr>
        <w:t xml:space="preserve"> </w:t>
      </w:r>
      <w:r w:rsidR="0005621F" w:rsidRPr="002518FB">
        <w:rPr>
          <w:sz w:val="22"/>
          <w:lang w:val="el-GR"/>
        </w:rPr>
        <w:t xml:space="preserve">καψάκιο σκληρό 100 </w:t>
      </w:r>
      <w:proofErr w:type="spellStart"/>
      <w:r w:rsidRPr="002518FB">
        <w:rPr>
          <w:sz w:val="22"/>
          <w:lang w:val="el-GR"/>
        </w:rPr>
        <w:t>mg</w:t>
      </w:r>
      <w:proofErr w:type="spellEnd"/>
      <w:r w:rsidR="0005621F" w:rsidRPr="002518FB">
        <w:rPr>
          <w:sz w:val="22"/>
          <w:lang w:val="el-GR"/>
        </w:rPr>
        <w:t xml:space="preserve">:  </w:t>
      </w:r>
    </w:p>
    <w:p w:rsidR="00201F07" w:rsidRPr="002518FB" w:rsidRDefault="00201F07">
      <w:pPr>
        <w:rPr>
          <w:sz w:val="22"/>
          <w:lang w:val="el-GR"/>
        </w:rPr>
      </w:pPr>
    </w:p>
    <w:p w:rsidR="006D2D93" w:rsidRPr="002518FB" w:rsidRDefault="006D2D93">
      <w:pPr>
        <w:rPr>
          <w:sz w:val="22"/>
          <w:lang w:val="el-GR"/>
        </w:rPr>
      </w:pPr>
    </w:p>
    <w:p w:rsidR="006D2D93" w:rsidRPr="002518FB" w:rsidRDefault="006D2D93">
      <w:pPr>
        <w:ind w:left="567" w:hanging="567"/>
        <w:rPr>
          <w:sz w:val="22"/>
          <w:lang w:val="el-GR"/>
        </w:rPr>
      </w:pPr>
      <w:r w:rsidRPr="002518FB">
        <w:rPr>
          <w:b/>
          <w:sz w:val="22"/>
          <w:lang w:val="el-GR"/>
        </w:rPr>
        <w:t>9.</w:t>
      </w:r>
      <w:r w:rsidRPr="002518FB">
        <w:rPr>
          <w:b/>
          <w:sz w:val="22"/>
          <w:lang w:val="el-GR"/>
        </w:rPr>
        <w:tab/>
        <w:t>ΗΜΕΡΟΜΗΝΙΑ ΠΡΩΤΗΣ ΕΓΚΡΙΣΗΣ / ΑΝΑΝΕΩΣΗΣ ΤΗΣ ΑΔΕΙΑΣ</w:t>
      </w:r>
    </w:p>
    <w:p w:rsidR="006D2D93" w:rsidRPr="002518FB" w:rsidRDefault="006D2D93">
      <w:pPr>
        <w:rPr>
          <w:sz w:val="22"/>
          <w:lang w:val="el-GR"/>
        </w:rPr>
      </w:pPr>
    </w:p>
    <w:p w:rsidR="00201F07" w:rsidRPr="002518FB" w:rsidRDefault="00EC368B">
      <w:pPr>
        <w:rPr>
          <w:sz w:val="22"/>
          <w:szCs w:val="22"/>
          <w:lang w:val="el-GR"/>
        </w:rPr>
      </w:pPr>
      <w:r w:rsidRPr="002518FB">
        <w:rPr>
          <w:sz w:val="22"/>
          <w:szCs w:val="22"/>
          <w:lang w:val="el-GR"/>
        </w:rPr>
        <w:t xml:space="preserve">Ημερομηνία πρώτης έγκρισης: </w:t>
      </w:r>
      <w:r w:rsidR="00201F07" w:rsidRPr="002518FB">
        <w:rPr>
          <w:sz w:val="22"/>
          <w:szCs w:val="22"/>
          <w:lang w:val="el-GR"/>
        </w:rPr>
        <w:t>23 Μαρτίου 2006</w:t>
      </w:r>
    </w:p>
    <w:p w:rsidR="00DD360A" w:rsidRPr="002518FB" w:rsidRDefault="00EC368B" w:rsidP="00DD360A">
      <w:pPr>
        <w:tabs>
          <w:tab w:val="left" w:pos="720"/>
        </w:tabs>
        <w:jc w:val="both"/>
        <w:rPr>
          <w:sz w:val="22"/>
          <w:szCs w:val="22"/>
          <w:lang w:val="el-GR"/>
        </w:rPr>
      </w:pPr>
      <w:r w:rsidRPr="002518FB">
        <w:rPr>
          <w:sz w:val="22"/>
          <w:szCs w:val="22"/>
          <w:lang w:val="el-GR"/>
        </w:rPr>
        <w:t>Ημερομηνία τελευταίας ανανέωσης:</w:t>
      </w:r>
      <w:r w:rsidR="00DD360A" w:rsidRPr="002518FB">
        <w:rPr>
          <w:sz w:val="22"/>
          <w:szCs w:val="22"/>
          <w:lang w:val="el-GR"/>
        </w:rPr>
        <w:t xml:space="preserve"> ΗΗ/ΜΜ/ΕΕΕΕ</w:t>
      </w:r>
    </w:p>
    <w:p w:rsidR="00201F07" w:rsidRPr="002518FB" w:rsidRDefault="00201F07">
      <w:pPr>
        <w:rPr>
          <w:sz w:val="22"/>
          <w:lang w:val="el-GR"/>
        </w:rPr>
      </w:pPr>
    </w:p>
    <w:p w:rsidR="00EC368B" w:rsidRPr="002518FB" w:rsidRDefault="00EC368B">
      <w:pPr>
        <w:rPr>
          <w:sz w:val="22"/>
          <w:lang w:val="el-GR"/>
        </w:rPr>
      </w:pPr>
    </w:p>
    <w:p w:rsidR="006D2D93" w:rsidRPr="002518FB" w:rsidRDefault="006D2D93">
      <w:pPr>
        <w:ind w:left="567" w:hanging="567"/>
        <w:rPr>
          <w:b/>
          <w:sz w:val="22"/>
          <w:lang w:val="el-GR"/>
        </w:rPr>
      </w:pPr>
      <w:r w:rsidRPr="002518FB">
        <w:rPr>
          <w:b/>
          <w:sz w:val="22"/>
          <w:lang w:val="el-GR"/>
        </w:rPr>
        <w:t>10.</w:t>
      </w:r>
      <w:r w:rsidRPr="002518FB">
        <w:rPr>
          <w:b/>
          <w:sz w:val="22"/>
          <w:lang w:val="el-GR"/>
        </w:rPr>
        <w:tab/>
        <w:t>ΗΜΕΡΟΜΗΝΙΑ ΑΝΑΘΕΩΡΗΣΗΣ ΤΟΥ ΚΕΙΜΕΝΟΥ</w:t>
      </w:r>
    </w:p>
    <w:p w:rsidR="006D2D93" w:rsidRPr="002518FB" w:rsidRDefault="006D2D93">
      <w:pPr>
        <w:tabs>
          <w:tab w:val="left" w:pos="567"/>
        </w:tabs>
        <w:spacing w:line="260" w:lineRule="exact"/>
        <w:rPr>
          <w:sz w:val="22"/>
          <w:lang w:val="el-GR"/>
        </w:rPr>
      </w:pPr>
    </w:p>
    <w:p w:rsidR="006D2D93" w:rsidRPr="002518FB" w:rsidRDefault="00EC368B">
      <w:pPr>
        <w:tabs>
          <w:tab w:val="left" w:pos="720"/>
        </w:tabs>
        <w:jc w:val="both"/>
        <w:rPr>
          <w:sz w:val="22"/>
          <w:lang w:val="el-GR"/>
        </w:rPr>
      </w:pPr>
      <w:r w:rsidRPr="002518FB">
        <w:rPr>
          <w:sz w:val="22"/>
          <w:lang w:val="el-GR"/>
        </w:rPr>
        <w:t>ΜΜ/ΕΕΕΕ</w:t>
      </w:r>
    </w:p>
    <w:p w:rsidR="006D2D93" w:rsidRPr="002518FB" w:rsidRDefault="006D2D93">
      <w:pPr>
        <w:tabs>
          <w:tab w:val="left" w:pos="720"/>
        </w:tabs>
        <w:jc w:val="both"/>
        <w:rPr>
          <w:sz w:val="22"/>
          <w:lang w:val="el-GR"/>
        </w:rPr>
      </w:pPr>
    </w:p>
    <w:p w:rsidR="006D2D93" w:rsidRPr="002518FB" w:rsidRDefault="006D2D93" w:rsidP="00DF01E1">
      <w:pPr>
        <w:tabs>
          <w:tab w:val="left" w:pos="720"/>
        </w:tabs>
        <w:jc w:val="both"/>
        <w:rPr>
          <w:sz w:val="22"/>
          <w:lang w:val="el-GR"/>
        </w:rPr>
      </w:pPr>
    </w:p>
    <w:sectPr w:rsidR="006D2D93" w:rsidRPr="002518FB" w:rsidSect="00090D63">
      <w:headerReference w:type="default" r:id="rId11"/>
      <w:footerReference w:type="even" r:id="rId12"/>
      <w:footerReference w:type="default" r:id="rId13"/>
      <w:pgSz w:w="11907" w:h="16840" w:code="9"/>
      <w:pgMar w:top="1134" w:right="1418" w:bottom="1134" w:left="1418"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20" w:rsidRDefault="003F6D20">
      <w:r>
        <w:separator/>
      </w:r>
    </w:p>
  </w:endnote>
  <w:endnote w:type="continuationSeparator" w:id="0">
    <w:p w:rsidR="003F6D20" w:rsidRDefault="003F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20" w:rsidRDefault="00125260" w:rsidP="00223B82">
    <w:pPr>
      <w:pStyle w:val="Footer"/>
      <w:framePr w:wrap="around" w:vAnchor="text" w:hAnchor="margin" w:xAlign="center" w:y="1"/>
      <w:rPr>
        <w:rStyle w:val="PageNumber"/>
      </w:rPr>
    </w:pPr>
    <w:r>
      <w:rPr>
        <w:rStyle w:val="PageNumber"/>
      </w:rPr>
      <w:fldChar w:fldCharType="begin"/>
    </w:r>
    <w:r w:rsidR="003F6D20">
      <w:rPr>
        <w:rStyle w:val="PageNumber"/>
      </w:rPr>
      <w:instrText xml:space="preserve">PAGE  </w:instrText>
    </w:r>
    <w:r>
      <w:rPr>
        <w:rStyle w:val="PageNumber"/>
      </w:rPr>
      <w:fldChar w:fldCharType="end"/>
    </w:r>
  </w:p>
  <w:p w:rsidR="003F6D20" w:rsidRDefault="003F6D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20" w:rsidRPr="00EC368B" w:rsidRDefault="00125260" w:rsidP="00223B82">
    <w:pPr>
      <w:pStyle w:val="Footer"/>
      <w:framePr w:wrap="around" w:vAnchor="text" w:hAnchor="margin" w:xAlign="center" w:y="1"/>
      <w:rPr>
        <w:rStyle w:val="PageNumber"/>
        <w:rFonts w:ascii="Arial" w:hAnsi="Arial" w:cs="Arial"/>
        <w:sz w:val="16"/>
        <w:szCs w:val="16"/>
      </w:rPr>
    </w:pPr>
    <w:r w:rsidRPr="00EC368B">
      <w:rPr>
        <w:rStyle w:val="PageNumber"/>
        <w:rFonts w:ascii="Arial" w:hAnsi="Arial" w:cs="Arial"/>
        <w:sz w:val="16"/>
        <w:szCs w:val="16"/>
      </w:rPr>
      <w:fldChar w:fldCharType="begin"/>
    </w:r>
    <w:r w:rsidR="003F6D20" w:rsidRPr="00EC368B">
      <w:rPr>
        <w:rStyle w:val="PageNumber"/>
        <w:rFonts w:ascii="Arial" w:hAnsi="Arial" w:cs="Arial"/>
        <w:sz w:val="16"/>
        <w:szCs w:val="16"/>
      </w:rPr>
      <w:instrText xml:space="preserve">PAGE  </w:instrText>
    </w:r>
    <w:r w:rsidRPr="00EC368B">
      <w:rPr>
        <w:rStyle w:val="PageNumber"/>
        <w:rFonts w:ascii="Arial" w:hAnsi="Arial" w:cs="Arial"/>
        <w:sz w:val="16"/>
        <w:szCs w:val="16"/>
      </w:rPr>
      <w:fldChar w:fldCharType="separate"/>
    </w:r>
    <w:r w:rsidR="00006638">
      <w:rPr>
        <w:rStyle w:val="PageNumber"/>
        <w:rFonts w:ascii="Arial" w:hAnsi="Arial" w:cs="Arial"/>
        <w:noProof/>
        <w:sz w:val="16"/>
        <w:szCs w:val="16"/>
      </w:rPr>
      <w:t>22</w:t>
    </w:r>
    <w:r w:rsidRPr="00EC368B">
      <w:rPr>
        <w:rStyle w:val="PageNumber"/>
        <w:rFonts w:ascii="Arial" w:hAnsi="Arial" w:cs="Arial"/>
        <w:sz w:val="16"/>
        <w:szCs w:val="16"/>
      </w:rPr>
      <w:fldChar w:fldCharType="end"/>
    </w:r>
  </w:p>
  <w:p w:rsidR="003F6D20" w:rsidRDefault="003F6D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20" w:rsidRDefault="003F6D20">
      <w:r>
        <w:separator/>
      </w:r>
    </w:p>
  </w:footnote>
  <w:footnote w:type="continuationSeparator" w:id="0">
    <w:p w:rsidR="003F6D20" w:rsidRDefault="003F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20" w:rsidRDefault="003F6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53"/>
    <w:multiLevelType w:val="hybridMultilevel"/>
    <w:tmpl w:val="C1902E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466980"/>
    <w:multiLevelType w:val="hybridMultilevel"/>
    <w:tmpl w:val="34DEB2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E76A56"/>
    <w:multiLevelType w:val="singleLevel"/>
    <w:tmpl w:val="572E0CB0"/>
    <w:lvl w:ilvl="0">
      <w:start w:val="1"/>
      <w:numFmt w:val="decimal"/>
      <w:pStyle w:val="Heading2"/>
      <w:lvlText w:val="%1."/>
      <w:lvlJc w:val="left"/>
      <w:pPr>
        <w:tabs>
          <w:tab w:val="num" w:pos="360"/>
        </w:tabs>
        <w:ind w:left="360" w:hanging="360"/>
      </w:pPr>
      <w:rPr>
        <w:rFonts w:ascii="Times New Roman" w:hAnsi="Times New Roman" w:hint="default"/>
        <w:b/>
        <w:i w:val="0"/>
        <w:sz w:val="28"/>
        <w:u w:val="none"/>
      </w:rPr>
    </w:lvl>
  </w:abstractNum>
  <w:abstractNum w:abstractNumId="3">
    <w:nsid w:val="08654676"/>
    <w:multiLevelType w:val="hybridMultilevel"/>
    <w:tmpl w:val="B322B832"/>
    <w:lvl w:ilvl="0" w:tplc="04090001">
      <w:start w:val="1"/>
      <w:numFmt w:val="bullet"/>
      <w:lvlText w:val=""/>
      <w:lvlJc w:val="left"/>
      <w:pPr>
        <w:tabs>
          <w:tab w:val="num" w:pos="797"/>
        </w:tabs>
        <w:ind w:left="79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042839"/>
    <w:multiLevelType w:val="hybridMultilevel"/>
    <w:tmpl w:val="ABAC7508"/>
    <w:lvl w:ilvl="0" w:tplc="C2B2CB38">
      <w:start w:val="1"/>
      <w:numFmt w:val="bullet"/>
      <w:lvlText w:val=""/>
      <w:lvlJc w:val="left"/>
      <w:pPr>
        <w:tabs>
          <w:tab w:val="num" w:pos="720"/>
        </w:tabs>
        <w:ind w:left="720" w:hanging="360"/>
      </w:pPr>
      <w:rPr>
        <w:rFonts w:ascii="Symbol" w:hAnsi="Symbol"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176E8D"/>
    <w:multiLevelType w:val="multilevel"/>
    <w:tmpl w:val="27007268"/>
    <w:lvl w:ilvl="0">
      <w:start w:val="1"/>
      <w:numFmt w:val="decimal"/>
      <w:lvlText w:val="%1"/>
      <w:lvlJc w:val="left"/>
      <w:pPr>
        <w:tabs>
          <w:tab w:val="num" w:pos="432"/>
        </w:tabs>
        <w:ind w:left="432" w:hanging="432"/>
      </w:pPr>
      <w:rPr>
        <w:rFonts w:ascii="Arial" w:hAnsi="Arial" w:hint="default"/>
        <w:b/>
        <w:i w:val="0"/>
        <w:sz w:val="28"/>
        <w:u w:val="none"/>
        <w:effect w:val="no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F60AD3"/>
    <w:multiLevelType w:val="hybridMultilevel"/>
    <w:tmpl w:val="933CD0BE"/>
    <w:lvl w:ilvl="0" w:tplc="C2B2CB38">
      <w:start w:val="1"/>
      <w:numFmt w:val="bullet"/>
      <w:lvlText w:val=""/>
      <w:lvlJc w:val="left"/>
      <w:pPr>
        <w:tabs>
          <w:tab w:val="num" w:pos="720"/>
        </w:tabs>
        <w:ind w:left="720" w:hanging="360"/>
      </w:pPr>
      <w:rPr>
        <w:rFonts w:ascii="Symbol" w:hAnsi="Symbol"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670362"/>
    <w:multiLevelType w:val="hybridMultilevel"/>
    <w:tmpl w:val="D4A68A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092943"/>
    <w:multiLevelType w:val="multilevel"/>
    <w:tmpl w:val="61B8233C"/>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7136DD9"/>
    <w:multiLevelType w:val="hybridMultilevel"/>
    <w:tmpl w:val="ABAC7508"/>
    <w:lvl w:ilvl="0" w:tplc="C2B2CB38">
      <w:start w:val="1"/>
      <w:numFmt w:val="bullet"/>
      <w:lvlText w:val=""/>
      <w:lvlJc w:val="left"/>
      <w:pPr>
        <w:tabs>
          <w:tab w:val="num" w:pos="720"/>
        </w:tabs>
        <w:ind w:left="720" w:hanging="360"/>
      </w:pPr>
      <w:rPr>
        <w:rFonts w:ascii="Symbol" w:hAnsi="Symbol"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EB24B8"/>
    <w:multiLevelType w:val="hybridMultilevel"/>
    <w:tmpl w:val="DEB41A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15279C7"/>
    <w:multiLevelType w:val="hybridMultilevel"/>
    <w:tmpl w:val="757EF9F4"/>
    <w:lvl w:ilvl="0" w:tplc="68FA99F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31B76FE"/>
    <w:multiLevelType w:val="hybridMultilevel"/>
    <w:tmpl w:val="65A4D2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77D10CC"/>
    <w:multiLevelType w:val="hybridMultilevel"/>
    <w:tmpl w:val="933CD0BE"/>
    <w:lvl w:ilvl="0" w:tplc="C2B2CB38">
      <w:start w:val="1"/>
      <w:numFmt w:val="bullet"/>
      <w:lvlText w:val=""/>
      <w:lvlJc w:val="left"/>
      <w:pPr>
        <w:tabs>
          <w:tab w:val="num" w:pos="720"/>
        </w:tabs>
        <w:ind w:left="720" w:hanging="360"/>
      </w:pPr>
      <w:rPr>
        <w:rFonts w:ascii="Symbol" w:hAnsi="Symbol"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730CF2"/>
    <w:multiLevelType w:val="hybridMultilevel"/>
    <w:tmpl w:val="816692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89D4F18"/>
    <w:multiLevelType w:val="hybridMultilevel"/>
    <w:tmpl w:val="30AEF2E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A8C0173"/>
    <w:multiLevelType w:val="hybridMultilevel"/>
    <w:tmpl w:val="757EF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A103A5"/>
    <w:multiLevelType w:val="hybridMultilevel"/>
    <w:tmpl w:val="11682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2E35984"/>
    <w:multiLevelType w:val="hybridMultilevel"/>
    <w:tmpl w:val="E53604CA"/>
    <w:lvl w:ilvl="0" w:tplc="C2B2CB38">
      <w:start w:val="1"/>
      <w:numFmt w:val="bullet"/>
      <w:lvlText w:val=""/>
      <w:lvlJc w:val="left"/>
      <w:pPr>
        <w:tabs>
          <w:tab w:val="num" w:pos="720"/>
        </w:tabs>
        <w:ind w:left="720" w:hanging="360"/>
      </w:pPr>
      <w:rPr>
        <w:rFonts w:ascii="Symbol" w:hAnsi="Symbol"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78301D"/>
    <w:multiLevelType w:val="hybridMultilevel"/>
    <w:tmpl w:val="ABAC7508"/>
    <w:lvl w:ilvl="0" w:tplc="C2B2CB38">
      <w:start w:val="1"/>
      <w:numFmt w:val="bullet"/>
      <w:lvlText w:val=""/>
      <w:lvlJc w:val="left"/>
      <w:pPr>
        <w:tabs>
          <w:tab w:val="num" w:pos="720"/>
        </w:tabs>
        <w:ind w:left="720" w:hanging="360"/>
      </w:pPr>
      <w:rPr>
        <w:rFonts w:ascii="Symbol" w:hAnsi="Symbol"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C356BFE"/>
    <w:multiLevelType w:val="hybridMultilevel"/>
    <w:tmpl w:val="9CC0F3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27656CE"/>
    <w:multiLevelType w:val="hybridMultilevel"/>
    <w:tmpl w:val="BC967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4E24CB4"/>
    <w:multiLevelType w:val="multilevel"/>
    <w:tmpl w:val="B4B8918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2"/>
  </w:num>
  <w:num w:numId="3">
    <w:abstractNumId w:val="8"/>
  </w:num>
  <w:num w:numId="4">
    <w:abstractNumId w:val="22"/>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B1034"/>
    <w:rsid w:val="00001ACE"/>
    <w:rsid w:val="000024F9"/>
    <w:rsid w:val="0000267E"/>
    <w:rsid w:val="00006638"/>
    <w:rsid w:val="00012536"/>
    <w:rsid w:val="00013C87"/>
    <w:rsid w:val="00015753"/>
    <w:rsid w:val="00017515"/>
    <w:rsid w:val="000205D5"/>
    <w:rsid w:val="00022EC6"/>
    <w:rsid w:val="00024E22"/>
    <w:rsid w:val="00024EA3"/>
    <w:rsid w:val="0002695E"/>
    <w:rsid w:val="00032B3F"/>
    <w:rsid w:val="00032BC6"/>
    <w:rsid w:val="00034B3A"/>
    <w:rsid w:val="00044508"/>
    <w:rsid w:val="00053E87"/>
    <w:rsid w:val="000545EF"/>
    <w:rsid w:val="0005621F"/>
    <w:rsid w:val="00060775"/>
    <w:rsid w:val="000612BD"/>
    <w:rsid w:val="00063B33"/>
    <w:rsid w:val="000642B7"/>
    <w:rsid w:val="00064883"/>
    <w:rsid w:val="000668D8"/>
    <w:rsid w:val="000672DC"/>
    <w:rsid w:val="00072767"/>
    <w:rsid w:val="00072E56"/>
    <w:rsid w:val="000734B7"/>
    <w:rsid w:val="000751DA"/>
    <w:rsid w:val="000775F2"/>
    <w:rsid w:val="00077A4C"/>
    <w:rsid w:val="00081152"/>
    <w:rsid w:val="00081F7F"/>
    <w:rsid w:val="00082D2F"/>
    <w:rsid w:val="000836F4"/>
    <w:rsid w:val="0008464F"/>
    <w:rsid w:val="00085FB6"/>
    <w:rsid w:val="000865EB"/>
    <w:rsid w:val="00087818"/>
    <w:rsid w:val="00090D63"/>
    <w:rsid w:val="0009202B"/>
    <w:rsid w:val="000A0092"/>
    <w:rsid w:val="000A1866"/>
    <w:rsid w:val="000A1C9C"/>
    <w:rsid w:val="000A5345"/>
    <w:rsid w:val="000A5671"/>
    <w:rsid w:val="000A6D87"/>
    <w:rsid w:val="000B076C"/>
    <w:rsid w:val="000B2A06"/>
    <w:rsid w:val="000C27EA"/>
    <w:rsid w:val="000C5DC5"/>
    <w:rsid w:val="000C698A"/>
    <w:rsid w:val="000C73FC"/>
    <w:rsid w:val="000D2C8B"/>
    <w:rsid w:val="000D5CBB"/>
    <w:rsid w:val="000E1496"/>
    <w:rsid w:val="000F2B1C"/>
    <w:rsid w:val="000F3434"/>
    <w:rsid w:val="000F37E9"/>
    <w:rsid w:val="000F4036"/>
    <w:rsid w:val="000F7AC5"/>
    <w:rsid w:val="00103F2F"/>
    <w:rsid w:val="001045ED"/>
    <w:rsid w:val="00104A5B"/>
    <w:rsid w:val="001055BA"/>
    <w:rsid w:val="00105771"/>
    <w:rsid w:val="001121C7"/>
    <w:rsid w:val="00112F19"/>
    <w:rsid w:val="00115203"/>
    <w:rsid w:val="001158C8"/>
    <w:rsid w:val="00123256"/>
    <w:rsid w:val="00123F95"/>
    <w:rsid w:val="001243D3"/>
    <w:rsid w:val="001248B1"/>
    <w:rsid w:val="00125260"/>
    <w:rsid w:val="001253F0"/>
    <w:rsid w:val="00130166"/>
    <w:rsid w:val="00131CDE"/>
    <w:rsid w:val="001361AA"/>
    <w:rsid w:val="00142C98"/>
    <w:rsid w:val="00143FBC"/>
    <w:rsid w:val="00146A1D"/>
    <w:rsid w:val="001519D8"/>
    <w:rsid w:val="001559DF"/>
    <w:rsid w:val="00157E55"/>
    <w:rsid w:val="00167D0B"/>
    <w:rsid w:val="001700A6"/>
    <w:rsid w:val="00171781"/>
    <w:rsid w:val="0018054B"/>
    <w:rsid w:val="00180E3F"/>
    <w:rsid w:val="00182E6E"/>
    <w:rsid w:val="00187CA5"/>
    <w:rsid w:val="001924B9"/>
    <w:rsid w:val="001927CC"/>
    <w:rsid w:val="00192E8C"/>
    <w:rsid w:val="001949E4"/>
    <w:rsid w:val="00195480"/>
    <w:rsid w:val="001A1388"/>
    <w:rsid w:val="001A4B70"/>
    <w:rsid w:val="001B1B16"/>
    <w:rsid w:val="001B2875"/>
    <w:rsid w:val="001B2B12"/>
    <w:rsid w:val="001B32AB"/>
    <w:rsid w:val="001B37BC"/>
    <w:rsid w:val="001B58F3"/>
    <w:rsid w:val="001B5EA8"/>
    <w:rsid w:val="001B7831"/>
    <w:rsid w:val="001C1F50"/>
    <w:rsid w:val="001C212B"/>
    <w:rsid w:val="001C5F72"/>
    <w:rsid w:val="001C7110"/>
    <w:rsid w:val="001C7AB6"/>
    <w:rsid w:val="001D019B"/>
    <w:rsid w:val="001D218C"/>
    <w:rsid w:val="001E0482"/>
    <w:rsid w:val="001E3456"/>
    <w:rsid w:val="001F00E7"/>
    <w:rsid w:val="001F203D"/>
    <w:rsid w:val="00200532"/>
    <w:rsid w:val="00201F07"/>
    <w:rsid w:val="00210DDF"/>
    <w:rsid w:val="00212DA3"/>
    <w:rsid w:val="0021494E"/>
    <w:rsid w:val="00215F16"/>
    <w:rsid w:val="002222F2"/>
    <w:rsid w:val="0022263E"/>
    <w:rsid w:val="00222D39"/>
    <w:rsid w:val="00223B82"/>
    <w:rsid w:val="00231BCA"/>
    <w:rsid w:val="0023229A"/>
    <w:rsid w:val="00233C2D"/>
    <w:rsid w:val="00234FD2"/>
    <w:rsid w:val="00241A9F"/>
    <w:rsid w:val="00242E47"/>
    <w:rsid w:val="00243E92"/>
    <w:rsid w:val="00246C26"/>
    <w:rsid w:val="002518FB"/>
    <w:rsid w:val="0025265D"/>
    <w:rsid w:val="00257232"/>
    <w:rsid w:val="002660BF"/>
    <w:rsid w:val="00273C9C"/>
    <w:rsid w:val="00274A64"/>
    <w:rsid w:val="00276256"/>
    <w:rsid w:val="00280E50"/>
    <w:rsid w:val="0028324A"/>
    <w:rsid w:val="00291977"/>
    <w:rsid w:val="00296E6A"/>
    <w:rsid w:val="002A02AB"/>
    <w:rsid w:val="002A1C2E"/>
    <w:rsid w:val="002A40D0"/>
    <w:rsid w:val="002A565B"/>
    <w:rsid w:val="002B06DE"/>
    <w:rsid w:val="002B14B9"/>
    <w:rsid w:val="002B56B4"/>
    <w:rsid w:val="002B5FD5"/>
    <w:rsid w:val="002C2F0C"/>
    <w:rsid w:val="002C6332"/>
    <w:rsid w:val="002D4735"/>
    <w:rsid w:val="002D7560"/>
    <w:rsid w:val="002E149F"/>
    <w:rsid w:val="002E2598"/>
    <w:rsid w:val="002E48C8"/>
    <w:rsid w:val="002E7271"/>
    <w:rsid w:val="002F037B"/>
    <w:rsid w:val="002F1115"/>
    <w:rsid w:val="002F26B5"/>
    <w:rsid w:val="002F42DB"/>
    <w:rsid w:val="002F574B"/>
    <w:rsid w:val="002F7EFD"/>
    <w:rsid w:val="0030392A"/>
    <w:rsid w:val="00311DD9"/>
    <w:rsid w:val="00313A1A"/>
    <w:rsid w:val="00314FD2"/>
    <w:rsid w:val="00315032"/>
    <w:rsid w:val="003177F1"/>
    <w:rsid w:val="0032014B"/>
    <w:rsid w:val="003226BB"/>
    <w:rsid w:val="00322E4B"/>
    <w:rsid w:val="00326B74"/>
    <w:rsid w:val="0033261E"/>
    <w:rsid w:val="003328E3"/>
    <w:rsid w:val="003342B0"/>
    <w:rsid w:val="003371A2"/>
    <w:rsid w:val="00354B00"/>
    <w:rsid w:val="0036080A"/>
    <w:rsid w:val="003620FB"/>
    <w:rsid w:val="00362620"/>
    <w:rsid w:val="003643D9"/>
    <w:rsid w:val="00364454"/>
    <w:rsid w:val="003645A7"/>
    <w:rsid w:val="00366FC3"/>
    <w:rsid w:val="003710BF"/>
    <w:rsid w:val="003719C0"/>
    <w:rsid w:val="00372212"/>
    <w:rsid w:val="00372823"/>
    <w:rsid w:val="00374650"/>
    <w:rsid w:val="003807AA"/>
    <w:rsid w:val="003835D8"/>
    <w:rsid w:val="00383FBC"/>
    <w:rsid w:val="00387B64"/>
    <w:rsid w:val="00387F0D"/>
    <w:rsid w:val="00392EB8"/>
    <w:rsid w:val="0039411A"/>
    <w:rsid w:val="00395C5B"/>
    <w:rsid w:val="00397A55"/>
    <w:rsid w:val="003A474F"/>
    <w:rsid w:val="003A4C1B"/>
    <w:rsid w:val="003A6B97"/>
    <w:rsid w:val="003A6EB6"/>
    <w:rsid w:val="003B2BB3"/>
    <w:rsid w:val="003B46D5"/>
    <w:rsid w:val="003B54E5"/>
    <w:rsid w:val="003B6E6F"/>
    <w:rsid w:val="003B7CF9"/>
    <w:rsid w:val="003B7E41"/>
    <w:rsid w:val="003C0148"/>
    <w:rsid w:val="003C6BFB"/>
    <w:rsid w:val="003C7DCC"/>
    <w:rsid w:val="003D2C0B"/>
    <w:rsid w:val="003D3E54"/>
    <w:rsid w:val="003D4E0B"/>
    <w:rsid w:val="003D57BC"/>
    <w:rsid w:val="003D58D8"/>
    <w:rsid w:val="003D5BE9"/>
    <w:rsid w:val="003D6666"/>
    <w:rsid w:val="003E0572"/>
    <w:rsid w:val="003E3A62"/>
    <w:rsid w:val="003E4BAE"/>
    <w:rsid w:val="003E7991"/>
    <w:rsid w:val="003F28BF"/>
    <w:rsid w:val="003F6D20"/>
    <w:rsid w:val="003F7801"/>
    <w:rsid w:val="00400690"/>
    <w:rsid w:val="00400F5F"/>
    <w:rsid w:val="004012AC"/>
    <w:rsid w:val="00414676"/>
    <w:rsid w:val="00414D8D"/>
    <w:rsid w:val="00416240"/>
    <w:rsid w:val="00433668"/>
    <w:rsid w:val="00435429"/>
    <w:rsid w:val="00437222"/>
    <w:rsid w:val="00443F02"/>
    <w:rsid w:val="00447449"/>
    <w:rsid w:val="004503EE"/>
    <w:rsid w:val="00451865"/>
    <w:rsid w:val="004523D3"/>
    <w:rsid w:val="0045670E"/>
    <w:rsid w:val="00460CDA"/>
    <w:rsid w:val="00462913"/>
    <w:rsid w:val="00462D61"/>
    <w:rsid w:val="00465879"/>
    <w:rsid w:val="0047216D"/>
    <w:rsid w:val="004802C0"/>
    <w:rsid w:val="004811F0"/>
    <w:rsid w:val="004826BE"/>
    <w:rsid w:val="00482AC7"/>
    <w:rsid w:val="00482E30"/>
    <w:rsid w:val="00483E4B"/>
    <w:rsid w:val="00483F3C"/>
    <w:rsid w:val="00486B27"/>
    <w:rsid w:val="00487957"/>
    <w:rsid w:val="00494A5C"/>
    <w:rsid w:val="00496090"/>
    <w:rsid w:val="00496C55"/>
    <w:rsid w:val="00497E8A"/>
    <w:rsid w:val="004A0AFA"/>
    <w:rsid w:val="004B0193"/>
    <w:rsid w:val="004B199C"/>
    <w:rsid w:val="004B56C9"/>
    <w:rsid w:val="004B6C4D"/>
    <w:rsid w:val="004B739F"/>
    <w:rsid w:val="004C033E"/>
    <w:rsid w:val="004C1D09"/>
    <w:rsid w:val="004C5992"/>
    <w:rsid w:val="004D3D40"/>
    <w:rsid w:val="004D6F23"/>
    <w:rsid w:val="004E0B59"/>
    <w:rsid w:val="004E0CA1"/>
    <w:rsid w:val="004E1EA0"/>
    <w:rsid w:val="004E2205"/>
    <w:rsid w:val="004E2AA5"/>
    <w:rsid w:val="004E6953"/>
    <w:rsid w:val="004F6ECA"/>
    <w:rsid w:val="004F7F44"/>
    <w:rsid w:val="0050055D"/>
    <w:rsid w:val="00502900"/>
    <w:rsid w:val="005029B5"/>
    <w:rsid w:val="00503D93"/>
    <w:rsid w:val="00505A69"/>
    <w:rsid w:val="005060E8"/>
    <w:rsid w:val="00514FD2"/>
    <w:rsid w:val="0051720F"/>
    <w:rsid w:val="00524658"/>
    <w:rsid w:val="00524D2E"/>
    <w:rsid w:val="00526C72"/>
    <w:rsid w:val="005307FF"/>
    <w:rsid w:val="0053140E"/>
    <w:rsid w:val="00532AFF"/>
    <w:rsid w:val="00533059"/>
    <w:rsid w:val="00533F72"/>
    <w:rsid w:val="00534CB1"/>
    <w:rsid w:val="0053518A"/>
    <w:rsid w:val="005372F6"/>
    <w:rsid w:val="0053791C"/>
    <w:rsid w:val="0054227A"/>
    <w:rsid w:val="00542731"/>
    <w:rsid w:val="00551767"/>
    <w:rsid w:val="005670CF"/>
    <w:rsid w:val="0056732C"/>
    <w:rsid w:val="005676C6"/>
    <w:rsid w:val="0057090B"/>
    <w:rsid w:val="00573458"/>
    <w:rsid w:val="0057454C"/>
    <w:rsid w:val="00576022"/>
    <w:rsid w:val="005773E3"/>
    <w:rsid w:val="00580302"/>
    <w:rsid w:val="00580B66"/>
    <w:rsid w:val="00581CB9"/>
    <w:rsid w:val="00584773"/>
    <w:rsid w:val="0058593F"/>
    <w:rsid w:val="00587B7A"/>
    <w:rsid w:val="00590140"/>
    <w:rsid w:val="005903F6"/>
    <w:rsid w:val="00590844"/>
    <w:rsid w:val="00591D84"/>
    <w:rsid w:val="00592EAA"/>
    <w:rsid w:val="0059319B"/>
    <w:rsid w:val="00594A18"/>
    <w:rsid w:val="005965F9"/>
    <w:rsid w:val="005A7662"/>
    <w:rsid w:val="005B22F9"/>
    <w:rsid w:val="005B4E96"/>
    <w:rsid w:val="005B6DCD"/>
    <w:rsid w:val="005C2FD5"/>
    <w:rsid w:val="005C6B8D"/>
    <w:rsid w:val="005D0ECC"/>
    <w:rsid w:val="005D1308"/>
    <w:rsid w:val="005D161D"/>
    <w:rsid w:val="005D39C2"/>
    <w:rsid w:val="005D4386"/>
    <w:rsid w:val="005D5279"/>
    <w:rsid w:val="005D71E7"/>
    <w:rsid w:val="005D798C"/>
    <w:rsid w:val="005D7D1F"/>
    <w:rsid w:val="005E584D"/>
    <w:rsid w:val="005F34DD"/>
    <w:rsid w:val="005F419A"/>
    <w:rsid w:val="005F43C7"/>
    <w:rsid w:val="005F478B"/>
    <w:rsid w:val="005F5963"/>
    <w:rsid w:val="005F5975"/>
    <w:rsid w:val="006005E4"/>
    <w:rsid w:val="00600FE7"/>
    <w:rsid w:val="00602AB9"/>
    <w:rsid w:val="006044D2"/>
    <w:rsid w:val="00606756"/>
    <w:rsid w:val="00606F7F"/>
    <w:rsid w:val="00613330"/>
    <w:rsid w:val="00617334"/>
    <w:rsid w:val="0062218A"/>
    <w:rsid w:val="006235AA"/>
    <w:rsid w:val="006235EF"/>
    <w:rsid w:val="006250AF"/>
    <w:rsid w:val="00630C95"/>
    <w:rsid w:val="00633D16"/>
    <w:rsid w:val="006341A8"/>
    <w:rsid w:val="00640D8E"/>
    <w:rsid w:val="00641269"/>
    <w:rsid w:val="00642528"/>
    <w:rsid w:val="00642BE1"/>
    <w:rsid w:val="006439C8"/>
    <w:rsid w:val="006446B5"/>
    <w:rsid w:val="00647109"/>
    <w:rsid w:val="006472E1"/>
    <w:rsid w:val="0065074F"/>
    <w:rsid w:val="00650BC3"/>
    <w:rsid w:val="00651FF2"/>
    <w:rsid w:val="00656EA9"/>
    <w:rsid w:val="006606EB"/>
    <w:rsid w:val="0066304F"/>
    <w:rsid w:val="00665518"/>
    <w:rsid w:val="006713F9"/>
    <w:rsid w:val="00672173"/>
    <w:rsid w:val="006721DB"/>
    <w:rsid w:val="006741A6"/>
    <w:rsid w:val="00676E80"/>
    <w:rsid w:val="006815B8"/>
    <w:rsid w:val="00684087"/>
    <w:rsid w:val="00684151"/>
    <w:rsid w:val="0068464C"/>
    <w:rsid w:val="00686F65"/>
    <w:rsid w:val="006905B0"/>
    <w:rsid w:val="00690D07"/>
    <w:rsid w:val="0069270F"/>
    <w:rsid w:val="006A51E8"/>
    <w:rsid w:val="006A7C4C"/>
    <w:rsid w:val="006B1235"/>
    <w:rsid w:val="006B2F52"/>
    <w:rsid w:val="006B31A9"/>
    <w:rsid w:val="006C0742"/>
    <w:rsid w:val="006C1E78"/>
    <w:rsid w:val="006C1EE5"/>
    <w:rsid w:val="006C71C3"/>
    <w:rsid w:val="006D20FB"/>
    <w:rsid w:val="006D2467"/>
    <w:rsid w:val="006D2D93"/>
    <w:rsid w:val="006D3EF3"/>
    <w:rsid w:val="006D4DD1"/>
    <w:rsid w:val="006E112C"/>
    <w:rsid w:val="006E2617"/>
    <w:rsid w:val="006E6384"/>
    <w:rsid w:val="006F3311"/>
    <w:rsid w:val="006F5E8B"/>
    <w:rsid w:val="006F6C51"/>
    <w:rsid w:val="006F7705"/>
    <w:rsid w:val="006F79B2"/>
    <w:rsid w:val="0070341D"/>
    <w:rsid w:val="00705E6E"/>
    <w:rsid w:val="00706DE8"/>
    <w:rsid w:val="0071231A"/>
    <w:rsid w:val="00712339"/>
    <w:rsid w:val="007139AE"/>
    <w:rsid w:val="00713B5A"/>
    <w:rsid w:val="00714779"/>
    <w:rsid w:val="0071512D"/>
    <w:rsid w:val="00717DA9"/>
    <w:rsid w:val="0072050B"/>
    <w:rsid w:val="00721752"/>
    <w:rsid w:val="0072539F"/>
    <w:rsid w:val="00725692"/>
    <w:rsid w:val="00727938"/>
    <w:rsid w:val="00727A07"/>
    <w:rsid w:val="0073163E"/>
    <w:rsid w:val="007335D8"/>
    <w:rsid w:val="007335EA"/>
    <w:rsid w:val="00734BC9"/>
    <w:rsid w:val="00737406"/>
    <w:rsid w:val="0074215F"/>
    <w:rsid w:val="0074327E"/>
    <w:rsid w:val="007445D4"/>
    <w:rsid w:val="00746F29"/>
    <w:rsid w:val="0075370D"/>
    <w:rsid w:val="0075450A"/>
    <w:rsid w:val="007552E7"/>
    <w:rsid w:val="00755DE7"/>
    <w:rsid w:val="00756468"/>
    <w:rsid w:val="007569BA"/>
    <w:rsid w:val="00757E7D"/>
    <w:rsid w:val="0076034E"/>
    <w:rsid w:val="00760E3F"/>
    <w:rsid w:val="00763A29"/>
    <w:rsid w:val="00763D05"/>
    <w:rsid w:val="00771DB5"/>
    <w:rsid w:val="00771EE2"/>
    <w:rsid w:val="007823FB"/>
    <w:rsid w:val="00783433"/>
    <w:rsid w:val="00784E6E"/>
    <w:rsid w:val="00785B06"/>
    <w:rsid w:val="00791A23"/>
    <w:rsid w:val="00791AC3"/>
    <w:rsid w:val="00791CC1"/>
    <w:rsid w:val="00794573"/>
    <w:rsid w:val="00796627"/>
    <w:rsid w:val="007A030D"/>
    <w:rsid w:val="007A466E"/>
    <w:rsid w:val="007A51B6"/>
    <w:rsid w:val="007A613F"/>
    <w:rsid w:val="007A759A"/>
    <w:rsid w:val="007B20AF"/>
    <w:rsid w:val="007B265A"/>
    <w:rsid w:val="007B2713"/>
    <w:rsid w:val="007B3F90"/>
    <w:rsid w:val="007B41D0"/>
    <w:rsid w:val="007C1BC7"/>
    <w:rsid w:val="007C6012"/>
    <w:rsid w:val="007D4B70"/>
    <w:rsid w:val="007E0503"/>
    <w:rsid w:val="007E44C2"/>
    <w:rsid w:val="007E462B"/>
    <w:rsid w:val="007E6662"/>
    <w:rsid w:val="007F1CB5"/>
    <w:rsid w:val="007F2992"/>
    <w:rsid w:val="007F6B6D"/>
    <w:rsid w:val="00804D7D"/>
    <w:rsid w:val="00807266"/>
    <w:rsid w:val="00813110"/>
    <w:rsid w:val="0081456A"/>
    <w:rsid w:val="00814E6B"/>
    <w:rsid w:val="008230B4"/>
    <w:rsid w:val="00825BC8"/>
    <w:rsid w:val="00826485"/>
    <w:rsid w:val="00826AF0"/>
    <w:rsid w:val="00832A45"/>
    <w:rsid w:val="00833323"/>
    <w:rsid w:val="00834E0F"/>
    <w:rsid w:val="0083660E"/>
    <w:rsid w:val="00836A15"/>
    <w:rsid w:val="008432F0"/>
    <w:rsid w:val="008448D8"/>
    <w:rsid w:val="0084546E"/>
    <w:rsid w:val="00846AE4"/>
    <w:rsid w:val="0085007F"/>
    <w:rsid w:val="00850BB2"/>
    <w:rsid w:val="00855E6C"/>
    <w:rsid w:val="00857384"/>
    <w:rsid w:val="008575CE"/>
    <w:rsid w:val="008604F0"/>
    <w:rsid w:val="008635BC"/>
    <w:rsid w:val="008677B4"/>
    <w:rsid w:val="0087091A"/>
    <w:rsid w:val="00875291"/>
    <w:rsid w:val="008768F6"/>
    <w:rsid w:val="0088035C"/>
    <w:rsid w:val="00884904"/>
    <w:rsid w:val="00890B82"/>
    <w:rsid w:val="00893886"/>
    <w:rsid w:val="008974D2"/>
    <w:rsid w:val="008A232A"/>
    <w:rsid w:val="008A25B6"/>
    <w:rsid w:val="008A2F0A"/>
    <w:rsid w:val="008A4B28"/>
    <w:rsid w:val="008B019D"/>
    <w:rsid w:val="008B0878"/>
    <w:rsid w:val="008B5535"/>
    <w:rsid w:val="008B6E61"/>
    <w:rsid w:val="008C2148"/>
    <w:rsid w:val="008C3123"/>
    <w:rsid w:val="008D611C"/>
    <w:rsid w:val="008E0F40"/>
    <w:rsid w:val="008E1426"/>
    <w:rsid w:val="008E2B97"/>
    <w:rsid w:val="008E4F86"/>
    <w:rsid w:val="008E5D96"/>
    <w:rsid w:val="008E6371"/>
    <w:rsid w:val="008E68AC"/>
    <w:rsid w:val="008E6C9B"/>
    <w:rsid w:val="008F5729"/>
    <w:rsid w:val="00903B57"/>
    <w:rsid w:val="00904A33"/>
    <w:rsid w:val="00912495"/>
    <w:rsid w:val="0091276D"/>
    <w:rsid w:val="009219D1"/>
    <w:rsid w:val="0092716D"/>
    <w:rsid w:val="009271A9"/>
    <w:rsid w:val="00933CE2"/>
    <w:rsid w:val="00935170"/>
    <w:rsid w:val="0093754F"/>
    <w:rsid w:val="009377F2"/>
    <w:rsid w:val="00943789"/>
    <w:rsid w:val="009449AC"/>
    <w:rsid w:val="00946373"/>
    <w:rsid w:val="009508C8"/>
    <w:rsid w:val="00956174"/>
    <w:rsid w:val="0095642A"/>
    <w:rsid w:val="00963156"/>
    <w:rsid w:val="009666A2"/>
    <w:rsid w:val="00966EFE"/>
    <w:rsid w:val="00967126"/>
    <w:rsid w:val="009724A1"/>
    <w:rsid w:val="00973B08"/>
    <w:rsid w:val="009759BA"/>
    <w:rsid w:val="0097771F"/>
    <w:rsid w:val="00980A09"/>
    <w:rsid w:val="00983A12"/>
    <w:rsid w:val="009850E2"/>
    <w:rsid w:val="0098531B"/>
    <w:rsid w:val="00991535"/>
    <w:rsid w:val="0099414B"/>
    <w:rsid w:val="0099767A"/>
    <w:rsid w:val="009A0D82"/>
    <w:rsid w:val="009A455C"/>
    <w:rsid w:val="009A4ABC"/>
    <w:rsid w:val="009A5208"/>
    <w:rsid w:val="009A7148"/>
    <w:rsid w:val="009B1034"/>
    <w:rsid w:val="009B1CCC"/>
    <w:rsid w:val="009B3D98"/>
    <w:rsid w:val="009C5A8A"/>
    <w:rsid w:val="009C6FDF"/>
    <w:rsid w:val="009D0FA7"/>
    <w:rsid w:val="009D4E8B"/>
    <w:rsid w:val="009D73CA"/>
    <w:rsid w:val="009D7E23"/>
    <w:rsid w:val="009E0F1E"/>
    <w:rsid w:val="009E4FA4"/>
    <w:rsid w:val="009E69D3"/>
    <w:rsid w:val="009E6D76"/>
    <w:rsid w:val="009F0C4C"/>
    <w:rsid w:val="009F1235"/>
    <w:rsid w:val="009F1D9E"/>
    <w:rsid w:val="009F6B3A"/>
    <w:rsid w:val="00A02E0C"/>
    <w:rsid w:val="00A0313E"/>
    <w:rsid w:val="00A0381B"/>
    <w:rsid w:val="00A04836"/>
    <w:rsid w:val="00A05E78"/>
    <w:rsid w:val="00A071A2"/>
    <w:rsid w:val="00A12F78"/>
    <w:rsid w:val="00A13CD8"/>
    <w:rsid w:val="00A17D93"/>
    <w:rsid w:val="00A248B3"/>
    <w:rsid w:val="00A24E1B"/>
    <w:rsid w:val="00A2540D"/>
    <w:rsid w:val="00A42B1D"/>
    <w:rsid w:val="00A43859"/>
    <w:rsid w:val="00A4385A"/>
    <w:rsid w:val="00A43ECC"/>
    <w:rsid w:val="00A47808"/>
    <w:rsid w:val="00A5562E"/>
    <w:rsid w:val="00A65002"/>
    <w:rsid w:val="00A654B0"/>
    <w:rsid w:val="00A66E60"/>
    <w:rsid w:val="00A70EAD"/>
    <w:rsid w:val="00A7417A"/>
    <w:rsid w:val="00A76EBE"/>
    <w:rsid w:val="00A81322"/>
    <w:rsid w:val="00A87FD3"/>
    <w:rsid w:val="00A90175"/>
    <w:rsid w:val="00A920A8"/>
    <w:rsid w:val="00A9411A"/>
    <w:rsid w:val="00A978B8"/>
    <w:rsid w:val="00AA27D5"/>
    <w:rsid w:val="00AA2E53"/>
    <w:rsid w:val="00AA44F0"/>
    <w:rsid w:val="00AA5A69"/>
    <w:rsid w:val="00AA7799"/>
    <w:rsid w:val="00AB0050"/>
    <w:rsid w:val="00AB22AA"/>
    <w:rsid w:val="00AB3CBE"/>
    <w:rsid w:val="00AB7B87"/>
    <w:rsid w:val="00AC2A4E"/>
    <w:rsid w:val="00AC37BB"/>
    <w:rsid w:val="00AC51ED"/>
    <w:rsid w:val="00AC5CC2"/>
    <w:rsid w:val="00AD0DD8"/>
    <w:rsid w:val="00AD481A"/>
    <w:rsid w:val="00AD54C5"/>
    <w:rsid w:val="00AD65FB"/>
    <w:rsid w:val="00AD77CF"/>
    <w:rsid w:val="00AE0394"/>
    <w:rsid w:val="00AE051B"/>
    <w:rsid w:val="00AE35D7"/>
    <w:rsid w:val="00AE4BB2"/>
    <w:rsid w:val="00AE4BB7"/>
    <w:rsid w:val="00AE5075"/>
    <w:rsid w:val="00AF0372"/>
    <w:rsid w:val="00AF1A22"/>
    <w:rsid w:val="00AF2608"/>
    <w:rsid w:val="00AF37DA"/>
    <w:rsid w:val="00AF3C96"/>
    <w:rsid w:val="00AF7F44"/>
    <w:rsid w:val="00B005E9"/>
    <w:rsid w:val="00B03903"/>
    <w:rsid w:val="00B07796"/>
    <w:rsid w:val="00B1068D"/>
    <w:rsid w:val="00B16BCB"/>
    <w:rsid w:val="00B17350"/>
    <w:rsid w:val="00B219D9"/>
    <w:rsid w:val="00B25F71"/>
    <w:rsid w:val="00B272ED"/>
    <w:rsid w:val="00B30FD7"/>
    <w:rsid w:val="00B33838"/>
    <w:rsid w:val="00B4054A"/>
    <w:rsid w:val="00B47EEC"/>
    <w:rsid w:val="00B5032D"/>
    <w:rsid w:val="00B50FB0"/>
    <w:rsid w:val="00B52C1B"/>
    <w:rsid w:val="00B57DA6"/>
    <w:rsid w:val="00B627EF"/>
    <w:rsid w:val="00B63839"/>
    <w:rsid w:val="00B63A46"/>
    <w:rsid w:val="00B64702"/>
    <w:rsid w:val="00B70123"/>
    <w:rsid w:val="00B716CF"/>
    <w:rsid w:val="00B72738"/>
    <w:rsid w:val="00B732C2"/>
    <w:rsid w:val="00B73D53"/>
    <w:rsid w:val="00B75A31"/>
    <w:rsid w:val="00B76087"/>
    <w:rsid w:val="00B811F7"/>
    <w:rsid w:val="00B863C5"/>
    <w:rsid w:val="00B87051"/>
    <w:rsid w:val="00B90943"/>
    <w:rsid w:val="00B94BDC"/>
    <w:rsid w:val="00B95BC7"/>
    <w:rsid w:val="00BA0801"/>
    <w:rsid w:val="00BA377D"/>
    <w:rsid w:val="00BA7981"/>
    <w:rsid w:val="00BB11FC"/>
    <w:rsid w:val="00BB7301"/>
    <w:rsid w:val="00BB7A67"/>
    <w:rsid w:val="00BC0FA2"/>
    <w:rsid w:val="00BC33EC"/>
    <w:rsid w:val="00BD21D2"/>
    <w:rsid w:val="00BD43C1"/>
    <w:rsid w:val="00BD4BDB"/>
    <w:rsid w:val="00BD5D5D"/>
    <w:rsid w:val="00BD74BC"/>
    <w:rsid w:val="00BE0A71"/>
    <w:rsid w:val="00BE159E"/>
    <w:rsid w:val="00BE235F"/>
    <w:rsid w:val="00BE3AD9"/>
    <w:rsid w:val="00BF1872"/>
    <w:rsid w:val="00BF1E76"/>
    <w:rsid w:val="00BF242C"/>
    <w:rsid w:val="00BF32DF"/>
    <w:rsid w:val="00BF766E"/>
    <w:rsid w:val="00C01B80"/>
    <w:rsid w:val="00C027E1"/>
    <w:rsid w:val="00C05269"/>
    <w:rsid w:val="00C073BC"/>
    <w:rsid w:val="00C10F3F"/>
    <w:rsid w:val="00C118FC"/>
    <w:rsid w:val="00C1358D"/>
    <w:rsid w:val="00C1618D"/>
    <w:rsid w:val="00C175DF"/>
    <w:rsid w:val="00C25C5E"/>
    <w:rsid w:val="00C27720"/>
    <w:rsid w:val="00C34CEB"/>
    <w:rsid w:val="00C3621F"/>
    <w:rsid w:val="00C46700"/>
    <w:rsid w:val="00C511A2"/>
    <w:rsid w:val="00C51869"/>
    <w:rsid w:val="00C5652C"/>
    <w:rsid w:val="00C567DE"/>
    <w:rsid w:val="00C63C86"/>
    <w:rsid w:val="00C66030"/>
    <w:rsid w:val="00C7591F"/>
    <w:rsid w:val="00C7700C"/>
    <w:rsid w:val="00C8133D"/>
    <w:rsid w:val="00C82CFD"/>
    <w:rsid w:val="00C8539A"/>
    <w:rsid w:val="00C86EFF"/>
    <w:rsid w:val="00C87EC8"/>
    <w:rsid w:val="00C92750"/>
    <w:rsid w:val="00C92D42"/>
    <w:rsid w:val="00C978DE"/>
    <w:rsid w:val="00CA0420"/>
    <w:rsid w:val="00CA396D"/>
    <w:rsid w:val="00CB0180"/>
    <w:rsid w:val="00CB1673"/>
    <w:rsid w:val="00CB27ED"/>
    <w:rsid w:val="00CB3008"/>
    <w:rsid w:val="00CB61D5"/>
    <w:rsid w:val="00CB6576"/>
    <w:rsid w:val="00CC03A8"/>
    <w:rsid w:val="00CC32FE"/>
    <w:rsid w:val="00CC44AA"/>
    <w:rsid w:val="00CC5839"/>
    <w:rsid w:val="00CC6FFC"/>
    <w:rsid w:val="00CD18EC"/>
    <w:rsid w:val="00CD2EB7"/>
    <w:rsid w:val="00CD47E3"/>
    <w:rsid w:val="00CD5256"/>
    <w:rsid w:val="00CE0F0D"/>
    <w:rsid w:val="00CE19E9"/>
    <w:rsid w:val="00CE1C5E"/>
    <w:rsid w:val="00CE2315"/>
    <w:rsid w:val="00CE2CA5"/>
    <w:rsid w:val="00CE65D1"/>
    <w:rsid w:val="00CE718C"/>
    <w:rsid w:val="00CF0FE5"/>
    <w:rsid w:val="00CF123C"/>
    <w:rsid w:val="00CF1673"/>
    <w:rsid w:val="00CF2BE7"/>
    <w:rsid w:val="00CF6D59"/>
    <w:rsid w:val="00CF7E5D"/>
    <w:rsid w:val="00D00871"/>
    <w:rsid w:val="00D04225"/>
    <w:rsid w:val="00D0425D"/>
    <w:rsid w:val="00D112BF"/>
    <w:rsid w:val="00D11F15"/>
    <w:rsid w:val="00D13879"/>
    <w:rsid w:val="00D167D5"/>
    <w:rsid w:val="00D16EB8"/>
    <w:rsid w:val="00D21858"/>
    <w:rsid w:val="00D312C3"/>
    <w:rsid w:val="00D330CC"/>
    <w:rsid w:val="00D366D4"/>
    <w:rsid w:val="00D411C4"/>
    <w:rsid w:val="00D442D9"/>
    <w:rsid w:val="00D51E6A"/>
    <w:rsid w:val="00D55E87"/>
    <w:rsid w:val="00D57898"/>
    <w:rsid w:val="00D624EE"/>
    <w:rsid w:val="00D65812"/>
    <w:rsid w:val="00D70B68"/>
    <w:rsid w:val="00D71ABD"/>
    <w:rsid w:val="00D71C3D"/>
    <w:rsid w:val="00D7398A"/>
    <w:rsid w:val="00D73996"/>
    <w:rsid w:val="00D73CB1"/>
    <w:rsid w:val="00D74180"/>
    <w:rsid w:val="00D74C0A"/>
    <w:rsid w:val="00D756B6"/>
    <w:rsid w:val="00D81284"/>
    <w:rsid w:val="00D816E0"/>
    <w:rsid w:val="00D9717C"/>
    <w:rsid w:val="00DA6DAD"/>
    <w:rsid w:val="00DA7542"/>
    <w:rsid w:val="00DB1515"/>
    <w:rsid w:val="00DB58D3"/>
    <w:rsid w:val="00DB5F1F"/>
    <w:rsid w:val="00DB7BB9"/>
    <w:rsid w:val="00DC0220"/>
    <w:rsid w:val="00DD162B"/>
    <w:rsid w:val="00DD360A"/>
    <w:rsid w:val="00DD68C9"/>
    <w:rsid w:val="00DD6CE2"/>
    <w:rsid w:val="00DD7970"/>
    <w:rsid w:val="00DD7AC6"/>
    <w:rsid w:val="00DD7F2C"/>
    <w:rsid w:val="00DE0250"/>
    <w:rsid w:val="00DE270C"/>
    <w:rsid w:val="00DE5BC4"/>
    <w:rsid w:val="00DE5E6D"/>
    <w:rsid w:val="00DE6268"/>
    <w:rsid w:val="00DF01E1"/>
    <w:rsid w:val="00DF15B6"/>
    <w:rsid w:val="00DF380E"/>
    <w:rsid w:val="00E0111E"/>
    <w:rsid w:val="00E01D4A"/>
    <w:rsid w:val="00E03A6E"/>
    <w:rsid w:val="00E0516D"/>
    <w:rsid w:val="00E10F48"/>
    <w:rsid w:val="00E139ED"/>
    <w:rsid w:val="00E1498E"/>
    <w:rsid w:val="00E15F01"/>
    <w:rsid w:val="00E1684B"/>
    <w:rsid w:val="00E17E6D"/>
    <w:rsid w:val="00E209E7"/>
    <w:rsid w:val="00E22331"/>
    <w:rsid w:val="00E243E9"/>
    <w:rsid w:val="00E2519F"/>
    <w:rsid w:val="00E31FD3"/>
    <w:rsid w:val="00E334B1"/>
    <w:rsid w:val="00E36880"/>
    <w:rsid w:val="00E43C2E"/>
    <w:rsid w:val="00E46381"/>
    <w:rsid w:val="00E50156"/>
    <w:rsid w:val="00E50BF1"/>
    <w:rsid w:val="00E53B7F"/>
    <w:rsid w:val="00E53E50"/>
    <w:rsid w:val="00E571B4"/>
    <w:rsid w:val="00E64D6C"/>
    <w:rsid w:val="00E67681"/>
    <w:rsid w:val="00E71216"/>
    <w:rsid w:val="00E71DFD"/>
    <w:rsid w:val="00E71F72"/>
    <w:rsid w:val="00E744EE"/>
    <w:rsid w:val="00E75102"/>
    <w:rsid w:val="00E754F1"/>
    <w:rsid w:val="00E8395E"/>
    <w:rsid w:val="00E859BF"/>
    <w:rsid w:val="00E87812"/>
    <w:rsid w:val="00E8786A"/>
    <w:rsid w:val="00E903D0"/>
    <w:rsid w:val="00E979EC"/>
    <w:rsid w:val="00EA2F24"/>
    <w:rsid w:val="00EB1876"/>
    <w:rsid w:val="00EB1A67"/>
    <w:rsid w:val="00EB218C"/>
    <w:rsid w:val="00EB3B55"/>
    <w:rsid w:val="00EB78D9"/>
    <w:rsid w:val="00EC368B"/>
    <w:rsid w:val="00EC708A"/>
    <w:rsid w:val="00EC7674"/>
    <w:rsid w:val="00ED1A15"/>
    <w:rsid w:val="00ED3064"/>
    <w:rsid w:val="00ED445F"/>
    <w:rsid w:val="00ED626D"/>
    <w:rsid w:val="00ED7369"/>
    <w:rsid w:val="00ED7B34"/>
    <w:rsid w:val="00EE0949"/>
    <w:rsid w:val="00EE2AE5"/>
    <w:rsid w:val="00EE354F"/>
    <w:rsid w:val="00EE38F6"/>
    <w:rsid w:val="00EE46D7"/>
    <w:rsid w:val="00EE64B5"/>
    <w:rsid w:val="00EF0E19"/>
    <w:rsid w:val="00EF1AAC"/>
    <w:rsid w:val="00EF4766"/>
    <w:rsid w:val="00EF52E5"/>
    <w:rsid w:val="00EF6237"/>
    <w:rsid w:val="00EF6EA1"/>
    <w:rsid w:val="00F01447"/>
    <w:rsid w:val="00F029C8"/>
    <w:rsid w:val="00F03C4E"/>
    <w:rsid w:val="00F07035"/>
    <w:rsid w:val="00F07061"/>
    <w:rsid w:val="00F07255"/>
    <w:rsid w:val="00F122FA"/>
    <w:rsid w:val="00F148DA"/>
    <w:rsid w:val="00F167B9"/>
    <w:rsid w:val="00F170BF"/>
    <w:rsid w:val="00F2100D"/>
    <w:rsid w:val="00F21C26"/>
    <w:rsid w:val="00F22920"/>
    <w:rsid w:val="00F2446A"/>
    <w:rsid w:val="00F32FA2"/>
    <w:rsid w:val="00F33653"/>
    <w:rsid w:val="00F339B9"/>
    <w:rsid w:val="00F468B8"/>
    <w:rsid w:val="00F5517A"/>
    <w:rsid w:val="00F63085"/>
    <w:rsid w:val="00F644E2"/>
    <w:rsid w:val="00F649B1"/>
    <w:rsid w:val="00F65E56"/>
    <w:rsid w:val="00F67906"/>
    <w:rsid w:val="00F7074C"/>
    <w:rsid w:val="00F73744"/>
    <w:rsid w:val="00F73E18"/>
    <w:rsid w:val="00F74F96"/>
    <w:rsid w:val="00F77170"/>
    <w:rsid w:val="00F818C0"/>
    <w:rsid w:val="00F850DE"/>
    <w:rsid w:val="00F85D71"/>
    <w:rsid w:val="00F93E55"/>
    <w:rsid w:val="00F97952"/>
    <w:rsid w:val="00FA00E4"/>
    <w:rsid w:val="00FA2251"/>
    <w:rsid w:val="00FA2DBC"/>
    <w:rsid w:val="00FA3C12"/>
    <w:rsid w:val="00FB446A"/>
    <w:rsid w:val="00FC0783"/>
    <w:rsid w:val="00FC0DD6"/>
    <w:rsid w:val="00FC3086"/>
    <w:rsid w:val="00FC3CA0"/>
    <w:rsid w:val="00FC4861"/>
    <w:rsid w:val="00FC7572"/>
    <w:rsid w:val="00FC75DC"/>
    <w:rsid w:val="00FD0844"/>
    <w:rsid w:val="00FD1035"/>
    <w:rsid w:val="00FD41B5"/>
    <w:rsid w:val="00FD688B"/>
    <w:rsid w:val="00FE1A3C"/>
    <w:rsid w:val="00FF0D41"/>
    <w:rsid w:val="00FF2E89"/>
    <w:rsid w:val="00FF6F66"/>
    <w:rsid w:val="00FF7D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B08"/>
    <w:rPr>
      <w:lang w:val="en-GB" w:eastAsia="en-US"/>
    </w:rPr>
  </w:style>
  <w:style w:type="paragraph" w:styleId="Heading1">
    <w:name w:val="heading 1"/>
    <w:basedOn w:val="Normal"/>
    <w:next w:val="Normal"/>
    <w:qFormat/>
    <w:rsid w:val="00973B08"/>
    <w:pPr>
      <w:keepNext/>
      <w:spacing w:before="120" w:after="120"/>
      <w:ind w:left="619" w:hanging="619"/>
      <w:outlineLvl w:val="0"/>
    </w:pPr>
    <w:rPr>
      <w:rFonts w:eastAsia="Arial Unicode MS"/>
      <w:b/>
      <w:kern w:val="28"/>
      <w:sz w:val="24"/>
      <w:u w:val="single"/>
      <w:lang w:val="en-US"/>
    </w:rPr>
  </w:style>
  <w:style w:type="paragraph" w:styleId="Heading20">
    <w:name w:val="heading 2"/>
    <w:basedOn w:val="Normal"/>
    <w:next w:val="Normal"/>
    <w:qFormat/>
    <w:rsid w:val="00973B08"/>
    <w:pPr>
      <w:keepNext/>
      <w:jc w:val="center"/>
      <w:outlineLvl w:val="1"/>
    </w:pPr>
    <w:rPr>
      <w:b/>
      <w:sz w:val="22"/>
    </w:rPr>
  </w:style>
  <w:style w:type="paragraph" w:styleId="Heading3">
    <w:name w:val="heading 3"/>
    <w:basedOn w:val="Normal"/>
    <w:next w:val="Normal"/>
    <w:qFormat/>
    <w:rsid w:val="00973B08"/>
    <w:pPr>
      <w:keepNext/>
      <w:jc w:val="center"/>
      <w:outlineLvl w:val="2"/>
    </w:pPr>
    <w:rPr>
      <w:color w:val="000000"/>
      <w:sz w:val="22"/>
      <w:lang w:val="en-US"/>
    </w:rPr>
  </w:style>
  <w:style w:type="paragraph" w:styleId="Heading4">
    <w:name w:val="heading 4"/>
    <w:basedOn w:val="Normal"/>
    <w:next w:val="Normal"/>
    <w:qFormat/>
    <w:rsid w:val="00973B08"/>
    <w:pPr>
      <w:keepNext/>
      <w:tabs>
        <w:tab w:val="left" w:pos="567"/>
      </w:tabs>
      <w:spacing w:line="260" w:lineRule="atLeast"/>
      <w:jc w:val="both"/>
      <w:outlineLvl w:val="3"/>
    </w:pPr>
    <w:rPr>
      <w:rFonts w:eastAsia="Arial Unicode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rsid w:val="00973B08"/>
    <w:pPr>
      <w:numPr>
        <w:numId w:val="2"/>
      </w:numPr>
      <w:spacing w:line="360" w:lineRule="auto"/>
      <w:jc w:val="both"/>
    </w:pPr>
    <w:rPr>
      <w:b/>
      <w:sz w:val="28"/>
      <w:u w:val="single"/>
      <w:lang w:val="fr-FR"/>
    </w:rPr>
  </w:style>
  <w:style w:type="paragraph" w:styleId="BodyText">
    <w:name w:val="Body Text"/>
    <w:basedOn w:val="Normal"/>
    <w:link w:val="BodyTextChar"/>
    <w:rsid w:val="00973B08"/>
    <w:rPr>
      <w:bCs/>
      <w:iCs/>
      <w:sz w:val="22"/>
    </w:rPr>
  </w:style>
  <w:style w:type="paragraph" w:customStyle="1" w:styleId="Text">
    <w:name w:val="Text"/>
    <w:basedOn w:val="Normal"/>
    <w:rsid w:val="00973B08"/>
    <w:pPr>
      <w:spacing w:before="14" w:after="144" w:line="300" w:lineRule="atLeast"/>
      <w:ind w:left="720" w:right="360" w:hanging="720"/>
    </w:pPr>
    <w:rPr>
      <w:color w:val="000000"/>
      <w:sz w:val="24"/>
    </w:rPr>
  </w:style>
  <w:style w:type="paragraph" w:styleId="Footer">
    <w:name w:val="footer"/>
    <w:basedOn w:val="Normal"/>
    <w:rsid w:val="00973B08"/>
    <w:pPr>
      <w:tabs>
        <w:tab w:val="center" w:pos="4320"/>
        <w:tab w:val="right" w:pos="8640"/>
      </w:tabs>
    </w:pPr>
  </w:style>
  <w:style w:type="paragraph" w:styleId="BodyTextIndent">
    <w:name w:val="Body Text Indent"/>
    <w:basedOn w:val="Normal"/>
    <w:rsid w:val="00973B08"/>
    <w:pPr>
      <w:snapToGrid w:val="0"/>
      <w:spacing w:before="120" w:after="120"/>
      <w:ind w:left="619"/>
    </w:pPr>
    <w:rPr>
      <w:color w:val="000000"/>
      <w:sz w:val="24"/>
      <w:lang w:val="en-US"/>
    </w:rPr>
  </w:style>
  <w:style w:type="character" w:customStyle="1" w:styleId="Heading1Leader">
    <w:name w:val="Heading1 Leader"/>
    <w:basedOn w:val="DefaultParagraphFont"/>
    <w:rsid w:val="00973B08"/>
    <w:rPr>
      <w:strike w:val="0"/>
      <w:dstrike w:val="0"/>
      <w:u w:val="none"/>
      <w:effect w:val="none"/>
    </w:rPr>
  </w:style>
  <w:style w:type="character" w:customStyle="1" w:styleId="Indexentry">
    <w:name w:val="Index entry"/>
    <w:basedOn w:val="DefaultParagraphFont"/>
    <w:rsid w:val="00973B08"/>
    <w:rPr>
      <w:rFonts w:ascii="Arial" w:hAnsi="Arial"/>
      <w:b/>
      <w:bCs/>
      <w:color w:val="FF0000"/>
    </w:rPr>
  </w:style>
  <w:style w:type="paragraph" w:styleId="Header">
    <w:name w:val="header"/>
    <w:basedOn w:val="Normal"/>
    <w:rsid w:val="00973B08"/>
    <w:pPr>
      <w:tabs>
        <w:tab w:val="center" w:pos="4320"/>
        <w:tab w:val="right" w:pos="8640"/>
      </w:tabs>
    </w:pPr>
  </w:style>
  <w:style w:type="character" w:styleId="PageNumber">
    <w:name w:val="page number"/>
    <w:basedOn w:val="DefaultParagraphFont"/>
    <w:rsid w:val="00973B08"/>
  </w:style>
  <w:style w:type="paragraph" w:styleId="BodyText2">
    <w:name w:val="Body Text 2"/>
    <w:basedOn w:val="Normal"/>
    <w:rsid w:val="00973B08"/>
    <w:rPr>
      <w:color w:val="000000"/>
      <w:sz w:val="22"/>
      <w:lang w:val="en-US"/>
    </w:rPr>
  </w:style>
  <w:style w:type="paragraph" w:styleId="EndnoteText">
    <w:name w:val="endnote text"/>
    <w:basedOn w:val="Normal"/>
    <w:next w:val="Normal"/>
    <w:semiHidden/>
    <w:rsid w:val="00973B08"/>
    <w:pPr>
      <w:tabs>
        <w:tab w:val="left" w:pos="567"/>
      </w:tabs>
    </w:pPr>
    <w:rPr>
      <w:sz w:val="22"/>
    </w:rPr>
  </w:style>
  <w:style w:type="paragraph" w:styleId="BodyText3">
    <w:name w:val="Body Text 3"/>
    <w:basedOn w:val="Normal"/>
    <w:rsid w:val="00973B08"/>
    <w:pPr>
      <w:tabs>
        <w:tab w:val="left" w:pos="720"/>
      </w:tabs>
      <w:ind w:right="-2"/>
      <w:jc w:val="both"/>
    </w:pPr>
    <w:rPr>
      <w:sz w:val="22"/>
    </w:rPr>
  </w:style>
  <w:style w:type="paragraph" w:styleId="BalloonText">
    <w:name w:val="Balloon Text"/>
    <w:basedOn w:val="Normal"/>
    <w:semiHidden/>
    <w:rsid w:val="002E7271"/>
    <w:rPr>
      <w:rFonts w:ascii="Tahoma" w:hAnsi="Tahoma" w:cs="Tahoma"/>
      <w:sz w:val="16"/>
      <w:szCs w:val="16"/>
    </w:rPr>
  </w:style>
  <w:style w:type="paragraph" w:customStyle="1" w:styleId="Style1">
    <w:name w:val="Style1"/>
    <w:basedOn w:val="Normal"/>
    <w:rsid w:val="00771DB5"/>
    <w:pPr>
      <w:autoSpaceDE w:val="0"/>
      <w:autoSpaceDN w:val="0"/>
    </w:pPr>
    <w:rPr>
      <w:rFonts w:ascii="Univers (W1)" w:hAnsi="Univers (W1)"/>
      <w:sz w:val="22"/>
      <w:szCs w:val="22"/>
      <w:lang w:val="en-US"/>
    </w:rPr>
  </w:style>
  <w:style w:type="paragraph" w:customStyle="1" w:styleId="mdTblEntryL">
    <w:name w:val="md_Tbl Entry/L"/>
    <w:basedOn w:val="Normal"/>
    <w:rsid w:val="00771DB5"/>
    <w:pPr>
      <w:keepNext/>
      <w:keepLines/>
      <w:spacing w:line="259" w:lineRule="atLeast"/>
    </w:pPr>
    <w:rPr>
      <w:lang w:val="en-US"/>
    </w:rPr>
  </w:style>
  <w:style w:type="paragraph" w:customStyle="1" w:styleId="mdTblEntryC">
    <w:name w:val="md_Tbl Entry/C"/>
    <w:basedOn w:val="Normal"/>
    <w:rsid w:val="00771DB5"/>
    <w:pPr>
      <w:keepNext/>
      <w:keepLines/>
      <w:spacing w:line="259" w:lineRule="atLeast"/>
      <w:jc w:val="center"/>
    </w:pPr>
    <w:rPr>
      <w:lang w:val="en-US"/>
    </w:rPr>
  </w:style>
  <w:style w:type="paragraph" w:styleId="Caption">
    <w:name w:val="caption"/>
    <w:basedOn w:val="Normal"/>
    <w:next w:val="Normal"/>
    <w:qFormat/>
    <w:rsid w:val="00123F95"/>
    <w:rPr>
      <w:b/>
      <w:bCs/>
    </w:rPr>
  </w:style>
  <w:style w:type="character" w:styleId="CommentReference">
    <w:name w:val="annotation reference"/>
    <w:basedOn w:val="DefaultParagraphFont"/>
    <w:semiHidden/>
    <w:rsid w:val="00123F95"/>
    <w:rPr>
      <w:sz w:val="16"/>
      <w:szCs w:val="16"/>
    </w:rPr>
  </w:style>
  <w:style w:type="paragraph" w:styleId="CommentText">
    <w:name w:val="annotation text"/>
    <w:basedOn w:val="Normal"/>
    <w:semiHidden/>
    <w:rsid w:val="00123F95"/>
  </w:style>
  <w:style w:type="paragraph" w:styleId="CommentSubject">
    <w:name w:val="annotation subject"/>
    <w:basedOn w:val="CommentText"/>
    <w:next w:val="CommentText"/>
    <w:semiHidden/>
    <w:rsid w:val="00123F95"/>
    <w:rPr>
      <w:b/>
      <w:bCs/>
    </w:rPr>
  </w:style>
  <w:style w:type="character" w:styleId="Hyperlink">
    <w:name w:val="Hyperlink"/>
    <w:basedOn w:val="DefaultParagraphFont"/>
    <w:rsid w:val="00594A18"/>
    <w:rPr>
      <w:rFonts w:ascii="Tahoma" w:hAnsi="Tahoma" w:cs="Tahoma" w:hint="default"/>
      <w:i w:val="0"/>
      <w:iCs w:val="0"/>
      <w:color w:val="636466"/>
      <w:sz w:val="17"/>
      <w:szCs w:val="17"/>
      <w:u w:val="single"/>
    </w:rPr>
  </w:style>
  <w:style w:type="character" w:customStyle="1" w:styleId="hps">
    <w:name w:val="hps"/>
    <w:basedOn w:val="DefaultParagraphFont"/>
    <w:rsid w:val="000D5CBB"/>
  </w:style>
  <w:style w:type="character" w:customStyle="1" w:styleId="atn">
    <w:name w:val="atn"/>
    <w:basedOn w:val="DefaultParagraphFont"/>
    <w:rsid w:val="00081152"/>
  </w:style>
  <w:style w:type="character" w:customStyle="1" w:styleId="shorttext">
    <w:name w:val="short_text"/>
    <w:basedOn w:val="DefaultParagraphFont"/>
    <w:rsid w:val="00857384"/>
  </w:style>
  <w:style w:type="paragraph" w:styleId="Revision">
    <w:name w:val="Revision"/>
    <w:hidden/>
    <w:uiPriority w:val="99"/>
    <w:semiHidden/>
    <w:rsid w:val="00AD481A"/>
    <w:rPr>
      <w:lang w:val="en-GB" w:eastAsia="en-US"/>
    </w:rPr>
  </w:style>
  <w:style w:type="character" w:customStyle="1" w:styleId="BodyTextChar">
    <w:name w:val="Body Text Char"/>
    <w:basedOn w:val="DefaultParagraphFont"/>
    <w:link w:val="BodyText"/>
    <w:rsid w:val="00705E6E"/>
    <w:rPr>
      <w:bCs/>
      <w:iCs/>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3777">
      <w:bodyDiv w:val="1"/>
      <w:marLeft w:val="0"/>
      <w:marRight w:val="0"/>
      <w:marTop w:val="0"/>
      <w:marBottom w:val="0"/>
      <w:divBdr>
        <w:top w:val="none" w:sz="0" w:space="0" w:color="auto"/>
        <w:left w:val="none" w:sz="0" w:space="0" w:color="auto"/>
        <w:bottom w:val="none" w:sz="0" w:space="0" w:color="auto"/>
        <w:right w:val="none" w:sz="0" w:space="0" w:color="auto"/>
      </w:divBdr>
    </w:div>
    <w:div w:id="221871077">
      <w:bodyDiv w:val="1"/>
      <w:marLeft w:val="0"/>
      <w:marRight w:val="0"/>
      <w:marTop w:val="0"/>
      <w:marBottom w:val="0"/>
      <w:divBdr>
        <w:top w:val="none" w:sz="0" w:space="0" w:color="auto"/>
        <w:left w:val="none" w:sz="0" w:space="0" w:color="auto"/>
        <w:bottom w:val="none" w:sz="0" w:space="0" w:color="auto"/>
        <w:right w:val="none" w:sz="0" w:space="0" w:color="auto"/>
      </w:divBdr>
      <w:divsChild>
        <w:div w:id="1210385929">
          <w:marLeft w:val="0"/>
          <w:marRight w:val="0"/>
          <w:marTop w:val="0"/>
          <w:marBottom w:val="0"/>
          <w:divBdr>
            <w:top w:val="none" w:sz="0" w:space="0" w:color="auto"/>
            <w:left w:val="none" w:sz="0" w:space="0" w:color="auto"/>
            <w:bottom w:val="none" w:sz="0" w:space="0" w:color="auto"/>
            <w:right w:val="none" w:sz="0" w:space="0" w:color="auto"/>
          </w:divBdr>
          <w:divsChild>
            <w:div w:id="2073843813">
              <w:marLeft w:val="0"/>
              <w:marRight w:val="0"/>
              <w:marTop w:val="0"/>
              <w:marBottom w:val="0"/>
              <w:divBdr>
                <w:top w:val="none" w:sz="0" w:space="0" w:color="auto"/>
                <w:left w:val="none" w:sz="0" w:space="0" w:color="auto"/>
                <w:bottom w:val="none" w:sz="0" w:space="0" w:color="auto"/>
                <w:right w:val="none" w:sz="0" w:space="0" w:color="auto"/>
              </w:divBdr>
              <w:divsChild>
                <w:div w:id="959796753">
                  <w:marLeft w:val="0"/>
                  <w:marRight w:val="0"/>
                  <w:marTop w:val="0"/>
                  <w:marBottom w:val="0"/>
                  <w:divBdr>
                    <w:top w:val="none" w:sz="0" w:space="0" w:color="auto"/>
                    <w:left w:val="none" w:sz="0" w:space="0" w:color="auto"/>
                    <w:bottom w:val="none" w:sz="0" w:space="0" w:color="auto"/>
                    <w:right w:val="none" w:sz="0" w:space="0" w:color="auto"/>
                  </w:divBdr>
                  <w:divsChild>
                    <w:div w:id="1712611693">
                      <w:marLeft w:val="0"/>
                      <w:marRight w:val="0"/>
                      <w:marTop w:val="0"/>
                      <w:marBottom w:val="0"/>
                      <w:divBdr>
                        <w:top w:val="none" w:sz="0" w:space="0" w:color="auto"/>
                        <w:left w:val="none" w:sz="0" w:space="0" w:color="auto"/>
                        <w:bottom w:val="none" w:sz="0" w:space="0" w:color="auto"/>
                        <w:right w:val="none" w:sz="0" w:space="0" w:color="auto"/>
                      </w:divBdr>
                      <w:divsChild>
                        <w:div w:id="732235919">
                          <w:marLeft w:val="0"/>
                          <w:marRight w:val="0"/>
                          <w:marTop w:val="0"/>
                          <w:marBottom w:val="0"/>
                          <w:divBdr>
                            <w:top w:val="none" w:sz="0" w:space="0" w:color="auto"/>
                            <w:left w:val="none" w:sz="0" w:space="0" w:color="auto"/>
                            <w:bottom w:val="none" w:sz="0" w:space="0" w:color="auto"/>
                            <w:right w:val="none" w:sz="0" w:space="0" w:color="auto"/>
                          </w:divBdr>
                          <w:divsChild>
                            <w:div w:id="1538470186">
                              <w:marLeft w:val="0"/>
                              <w:marRight w:val="0"/>
                              <w:marTop w:val="0"/>
                              <w:marBottom w:val="0"/>
                              <w:divBdr>
                                <w:top w:val="none" w:sz="0" w:space="0" w:color="auto"/>
                                <w:left w:val="none" w:sz="0" w:space="0" w:color="auto"/>
                                <w:bottom w:val="none" w:sz="0" w:space="0" w:color="auto"/>
                                <w:right w:val="none" w:sz="0" w:space="0" w:color="auto"/>
                              </w:divBdr>
                              <w:divsChild>
                                <w:div w:id="154999058">
                                  <w:marLeft w:val="0"/>
                                  <w:marRight w:val="0"/>
                                  <w:marTop w:val="0"/>
                                  <w:marBottom w:val="0"/>
                                  <w:divBdr>
                                    <w:top w:val="single" w:sz="4" w:space="0" w:color="F5F5F5"/>
                                    <w:left w:val="single" w:sz="4" w:space="0" w:color="F5F5F5"/>
                                    <w:bottom w:val="single" w:sz="4" w:space="0" w:color="F5F5F5"/>
                                    <w:right w:val="single" w:sz="4" w:space="0" w:color="F5F5F5"/>
                                  </w:divBdr>
                                  <w:divsChild>
                                    <w:div w:id="604194748">
                                      <w:marLeft w:val="0"/>
                                      <w:marRight w:val="0"/>
                                      <w:marTop w:val="0"/>
                                      <w:marBottom w:val="0"/>
                                      <w:divBdr>
                                        <w:top w:val="none" w:sz="0" w:space="0" w:color="auto"/>
                                        <w:left w:val="none" w:sz="0" w:space="0" w:color="auto"/>
                                        <w:bottom w:val="none" w:sz="0" w:space="0" w:color="auto"/>
                                        <w:right w:val="none" w:sz="0" w:space="0" w:color="auto"/>
                                      </w:divBdr>
                                      <w:divsChild>
                                        <w:div w:id="14131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03780">
      <w:bodyDiv w:val="1"/>
      <w:marLeft w:val="0"/>
      <w:marRight w:val="0"/>
      <w:marTop w:val="0"/>
      <w:marBottom w:val="0"/>
      <w:divBdr>
        <w:top w:val="none" w:sz="0" w:space="0" w:color="auto"/>
        <w:left w:val="none" w:sz="0" w:space="0" w:color="auto"/>
        <w:bottom w:val="none" w:sz="0" w:space="0" w:color="auto"/>
        <w:right w:val="none" w:sz="0" w:space="0" w:color="auto"/>
      </w:divBdr>
      <w:divsChild>
        <w:div w:id="1838492105">
          <w:marLeft w:val="0"/>
          <w:marRight w:val="0"/>
          <w:marTop w:val="0"/>
          <w:marBottom w:val="0"/>
          <w:divBdr>
            <w:top w:val="none" w:sz="0" w:space="0" w:color="auto"/>
            <w:left w:val="none" w:sz="0" w:space="0" w:color="auto"/>
            <w:bottom w:val="none" w:sz="0" w:space="0" w:color="auto"/>
            <w:right w:val="none" w:sz="0" w:space="0" w:color="auto"/>
          </w:divBdr>
          <w:divsChild>
            <w:div w:id="1122042086">
              <w:marLeft w:val="0"/>
              <w:marRight w:val="0"/>
              <w:marTop w:val="0"/>
              <w:marBottom w:val="0"/>
              <w:divBdr>
                <w:top w:val="none" w:sz="0" w:space="0" w:color="auto"/>
                <w:left w:val="none" w:sz="0" w:space="0" w:color="auto"/>
                <w:bottom w:val="none" w:sz="0" w:space="0" w:color="auto"/>
                <w:right w:val="none" w:sz="0" w:space="0" w:color="auto"/>
              </w:divBdr>
              <w:divsChild>
                <w:div w:id="420296509">
                  <w:marLeft w:val="0"/>
                  <w:marRight w:val="0"/>
                  <w:marTop w:val="0"/>
                  <w:marBottom w:val="0"/>
                  <w:divBdr>
                    <w:top w:val="none" w:sz="0" w:space="0" w:color="auto"/>
                    <w:left w:val="none" w:sz="0" w:space="0" w:color="auto"/>
                    <w:bottom w:val="none" w:sz="0" w:space="0" w:color="auto"/>
                    <w:right w:val="none" w:sz="0" w:space="0" w:color="auto"/>
                  </w:divBdr>
                  <w:divsChild>
                    <w:div w:id="2036270338">
                      <w:marLeft w:val="0"/>
                      <w:marRight w:val="0"/>
                      <w:marTop w:val="0"/>
                      <w:marBottom w:val="0"/>
                      <w:divBdr>
                        <w:top w:val="none" w:sz="0" w:space="0" w:color="auto"/>
                        <w:left w:val="none" w:sz="0" w:space="0" w:color="auto"/>
                        <w:bottom w:val="none" w:sz="0" w:space="0" w:color="auto"/>
                        <w:right w:val="none" w:sz="0" w:space="0" w:color="auto"/>
                      </w:divBdr>
                      <w:divsChild>
                        <w:div w:id="1862746670">
                          <w:marLeft w:val="0"/>
                          <w:marRight w:val="0"/>
                          <w:marTop w:val="0"/>
                          <w:marBottom w:val="0"/>
                          <w:divBdr>
                            <w:top w:val="none" w:sz="0" w:space="0" w:color="auto"/>
                            <w:left w:val="none" w:sz="0" w:space="0" w:color="auto"/>
                            <w:bottom w:val="none" w:sz="0" w:space="0" w:color="auto"/>
                            <w:right w:val="none" w:sz="0" w:space="0" w:color="auto"/>
                          </w:divBdr>
                          <w:divsChild>
                            <w:div w:id="1110900809">
                              <w:marLeft w:val="0"/>
                              <w:marRight w:val="0"/>
                              <w:marTop w:val="0"/>
                              <w:marBottom w:val="0"/>
                              <w:divBdr>
                                <w:top w:val="none" w:sz="0" w:space="0" w:color="auto"/>
                                <w:left w:val="none" w:sz="0" w:space="0" w:color="auto"/>
                                <w:bottom w:val="none" w:sz="0" w:space="0" w:color="auto"/>
                                <w:right w:val="none" w:sz="0" w:space="0" w:color="auto"/>
                              </w:divBdr>
                              <w:divsChild>
                                <w:div w:id="1932811816">
                                  <w:marLeft w:val="0"/>
                                  <w:marRight w:val="0"/>
                                  <w:marTop w:val="0"/>
                                  <w:marBottom w:val="0"/>
                                  <w:divBdr>
                                    <w:top w:val="single" w:sz="4" w:space="0" w:color="F5F5F5"/>
                                    <w:left w:val="single" w:sz="4" w:space="0" w:color="F5F5F5"/>
                                    <w:bottom w:val="single" w:sz="4" w:space="0" w:color="F5F5F5"/>
                                    <w:right w:val="single" w:sz="4" w:space="0" w:color="F5F5F5"/>
                                  </w:divBdr>
                                  <w:divsChild>
                                    <w:div w:id="1966697215">
                                      <w:marLeft w:val="0"/>
                                      <w:marRight w:val="0"/>
                                      <w:marTop w:val="0"/>
                                      <w:marBottom w:val="0"/>
                                      <w:divBdr>
                                        <w:top w:val="none" w:sz="0" w:space="0" w:color="auto"/>
                                        <w:left w:val="none" w:sz="0" w:space="0" w:color="auto"/>
                                        <w:bottom w:val="none" w:sz="0" w:space="0" w:color="auto"/>
                                        <w:right w:val="none" w:sz="0" w:space="0" w:color="auto"/>
                                      </w:divBdr>
                                      <w:divsChild>
                                        <w:div w:id="7691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833215">
      <w:bodyDiv w:val="1"/>
      <w:marLeft w:val="0"/>
      <w:marRight w:val="0"/>
      <w:marTop w:val="0"/>
      <w:marBottom w:val="0"/>
      <w:divBdr>
        <w:top w:val="none" w:sz="0" w:space="0" w:color="auto"/>
        <w:left w:val="none" w:sz="0" w:space="0" w:color="auto"/>
        <w:bottom w:val="none" w:sz="0" w:space="0" w:color="auto"/>
        <w:right w:val="none" w:sz="0" w:space="0" w:color="auto"/>
      </w:divBdr>
      <w:divsChild>
        <w:div w:id="1849783618">
          <w:marLeft w:val="0"/>
          <w:marRight w:val="0"/>
          <w:marTop w:val="0"/>
          <w:marBottom w:val="0"/>
          <w:divBdr>
            <w:top w:val="none" w:sz="0" w:space="0" w:color="auto"/>
            <w:left w:val="none" w:sz="0" w:space="0" w:color="auto"/>
            <w:bottom w:val="none" w:sz="0" w:space="0" w:color="auto"/>
            <w:right w:val="none" w:sz="0" w:space="0" w:color="auto"/>
          </w:divBdr>
          <w:divsChild>
            <w:div w:id="1825390362">
              <w:marLeft w:val="0"/>
              <w:marRight w:val="0"/>
              <w:marTop w:val="0"/>
              <w:marBottom w:val="0"/>
              <w:divBdr>
                <w:top w:val="none" w:sz="0" w:space="0" w:color="auto"/>
                <w:left w:val="none" w:sz="0" w:space="0" w:color="auto"/>
                <w:bottom w:val="none" w:sz="0" w:space="0" w:color="auto"/>
                <w:right w:val="none" w:sz="0" w:space="0" w:color="auto"/>
              </w:divBdr>
              <w:divsChild>
                <w:div w:id="872956328">
                  <w:marLeft w:val="0"/>
                  <w:marRight w:val="0"/>
                  <w:marTop w:val="0"/>
                  <w:marBottom w:val="0"/>
                  <w:divBdr>
                    <w:top w:val="none" w:sz="0" w:space="0" w:color="auto"/>
                    <w:left w:val="none" w:sz="0" w:space="0" w:color="auto"/>
                    <w:bottom w:val="none" w:sz="0" w:space="0" w:color="auto"/>
                    <w:right w:val="none" w:sz="0" w:space="0" w:color="auto"/>
                  </w:divBdr>
                  <w:divsChild>
                    <w:div w:id="1214149261">
                      <w:marLeft w:val="0"/>
                      <w:marRight w:val="0"/>
                      <w:marTop w:val="0"/>
                      <w:marBottom w:val="0"/>
                      <w:divBdr>
                        <w:top w:val="none" w:sz="0" w:space="0" w:color="auto"/>
                        <w:left w:val="none" w:sz="0" w:space="0" w:color="auto"/>
                        <w:bottom w:val="none" w:sz="0" w:space="0" w:color="auto"/>
                        <w:right w:val="none" w:sz="0" w:space="0" w:color="auto"/>
                      </w:divBdr>
                      <w:divsChild>
                        <w:div w:id="1201475750">
                          <w:marLeft w:val="0"/>
                          <w:marRight w:val="0"/>
                          <w:marTop w:val="0"/>
                          <w:marBottom w:val="0"/>
                          <w:divBdr>
                            <w:top w:val="none" w:sz="0" w:space="0" w:color="auto"/>
                            <w:left w:val="none" w:sz="0" w:space="0" w:color="auto"/>
                            <w:bottom w:val="none" w:sz="0" w:space="0" w:color="auto"/>
                            <w:right w:val="none" w:sz="0" w:space="0" w:color="auto"/>
                          </w:divBdr>
                          <w:divsChild>
                            <w:div w:id="820393089">
                              <w:marLeft w:val="0"/>
                              <w:marRight w:val="0"/>
                              <w:marTop w:val="0"/>
                              <w:marBottom w:val="0"/>
                              <w:divBdr>
                                <w:top w:val="none" w:sz="0" w:space="0" w:color="auto"/>
                                <w:left w:val="none" w:sz="0" w:space="0" w:color="auto"/>
                                <w:bottom w:val="none" w:sz="0" w:space="0" w:color="auto"/>
                                <w:right w:val="none" w:sz="0" w:space="0" w:color="auto"/>
                              </w:divBdr>
                              <w:divsChild>
                                <w:div w:id="1899432692">
                                  <w:marLeft w:val="0"/>
                                  <w:marRight w:val="0"/>
                                  <w:marTop w:val="0"/>
                                  <w:marBottom w:val="0"/>
                                  <w:divBdr>
                                    <w:top w:val="single" w:sz="4" w:space="0" w:color="F5F5F5"/>
                                    <w:left w:val="single" w:sz="4" w:space="0" w:color="F5F5F5"/>
                                    <w:bottom w:val="single" w:sz="4" w:space="0" w:color="F5F5F5"/>
                                    <w:right w:val="single" w:sz="4" w:space="0" w:color="F5F5F5"/>
                                  </w:divBdr>
                                  <w:divsChild>
                                    <w:div w:id="456338585">
                                      <w:marLeft w:val="0"/>
                                      <w:marRight w:val="0"/>
                                      <w:marTop w:val="0"/>
                                      <w:marBottom w:val="0"/>
                                      <w:divBdr>
                                        <w:top w:val="none" w:sz="0" w:space="0" w:color="auto"/>
                                        <w:left w:val="none" w:sz="0" w:space="0" w:color="auto"/>
                                        <w:bottom w:val="none" w:sz="0" w:space="0" w:color="auto"/>
                                        <w:right w:val="none" w:sz="0" w:space="0" w:color="auto"/>
                                      </w:divBdr>
                                      <w:divsChild>
                                        <w:div w:id="1612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60423">
      <w:bodyDiv w:val="1"/>
      <w:marLeft w:val="0"/>
      <w:marRight w:val="0"/>
      <w:marTop w:val="0"/>
      <w:marBottom w:val="0"/>
      <w:divBdr>
        <w:top w:val="none" w:sz="0" w:space="0" w:color="auto"/>
        <w:left w:val="none" w:sz="0" w:space="0" w:color="auto"/>
        <w:bottom w:val="none" w:sz="0" w:space="0" w:color="auto"/>
        <w:right w:val="none" w:sz="0" w:space="0" w:color="auto"/>
      </w:divBdr>
      <w:divsChild>
        <w:div w:id="1009211766">
          <w:marLeft w:val="0"/>
          <w:marRight w:val="0"/>
          <w:marTop w:val="0"/>
          <w:marBottom w:val="0"/>
          <w:divBdr>
            <w:top w:val="none" w:sz="0" w:space="0" w:color="auto"/>
            <w:left w:val="none" w:sz="0" w:space="0" w:color="auto"/>
            <w:bottom w:val="none" w:sz="0" w:space="0" w:color="auto"/>
            <w:right w:val="none" w:sz="0" w:space="0" w:color="auto"/>
          </w:divBdr>
          <w:divsChild>
            <w:div w:id="235668111">
              <w:marLeft w:val="0"/>
              <w:marRight w:val="0"/>
              <w:marTop w:val="0"/>
              <w:marBottom w:val="0"/>
              <w:divBdr>
                <w:top w:val="none" w:sz="0" w:space="0" w:color="auto"/>
                <w:left w:val="none" w:sz="0" w:space="0" w:color="auto"/>
                <w:bottom w:val="none" w:sz="0" w:space="0" w:color="auto"/>
                <w:right w:val="none" w:sz="0" w:space="0" w:color="auto"/>
              </w:divBdr>
              <w:divsChild>
                <w:div w:id="1827934156">
                  <w:marLeft w:val="0"/>
                  <w:marRight w:val="0"/>
                  <w:marTop w:val="0"/>
                  <w:marBottom w:val="0"/>
                  <w:divBdr>
                    <w:top w:val="none" w:sz="0" w:space="0" w:color="auto"/>
                    <w:left w:val="none" w:sz="0" w:space="0" w:color="auto"/>
                    <w:bottom w:val="none" w:sz="0" w:space="0" w:color="auto"/>
                    <w:right w:val="none" w:sz="0" w:space="0" w:color="auto"/>
                  </w:divBdr>
                  <w:divsChild>
                    <w:div w:id="749237142">
                      <w:marLeft w:val="0"/>
                      <w:marRight w:val="0"/>
                      <w:marTop w:val="0"/>
                      <w:marBottom w:val="0"/>
                      <w:divBdr>
                        <w:top w:val="none" w:sz="0" w:space="0" w:color="auto"/>
                        <w:left w:val="none" w:sz="0" w:space="0" w:color="auto"/>
                        <w:bottom w:val="none" w:sz="0" w:space="0" w:color="auto"/>
                        <w:right w:val="none" w:sz="0" w:space="0" w:color="auto"/>
                      </w:divBdr>
                      <w:divsChild>
                        <w:div w:id="1311596662">
                          <w:marLeft w:val="0"/>
                          <w:marRight w:val="0"/>
                          <w:marTop w:val="0"/>
                          <w:marBottom w:val="0"/>
                          <w:divBdr>
                            <w:top w:val="none" w:sz="0" w:space="0" w:color="auto"/>
                            <w:left w:val="none" w:sz="0" w:space="0" w:color="auto"/>
                            <w:bottom w:val="none" w:sz="0" w:space="0" w:color="auto"/>
                            <w:right w:val="none" w:sz="0" w:space="0" w:color="auto"/>
                          </w:divBdr>
                          <w:divsChild>
                            <w:div w:id="1195191484">
                              <w:marLeft w:val="0"/>
                              <w:marRight w:val="0"/>
                              <w:marTop w:val="0"/>
                              <w:marBottom w:val="0"/>
                              <w:divBdr>
                                <w:top w:val="none" w:sz="0" w:space="0" w:color="auto"/>
                                <w:left w:val="none" w:sz="0" w:space="0" w:color="auto"/>
                                <w:bottom w:val="none" w:sz="0" w:space="0" w:color="auto"/>
                                <w:right w:val="none" w:sz="0" w:space="0" w:color="auto"/>
                              </w:divBdr>
                              <w:divsChild>
                                <w:div w:id="260995913">
                                  <w:marLeft w:val="0"/>
                                  <w:marRight w:val="0"/>
                                  <w:marTop w:val="0"/>
                                  <w:marBottom w:val="0"/>
                                  <w:divBdr>
                                    <w:top w:val="single" w:sz="4" w:space="0" w:color="F5F5F5"/>
                                    <w:left w:val="single" w:sz="4" w:space="0" w:color="F5F5F5"/>
                                    <w:bottom w:val="single" w:sz="4" w:space="0" w:color="F5F5F5"/>
                                    <w:right w:val="single" w:sz="4" w:space="0" w:color="F5F5F5"/>
                                  </w:divBdr>
                                  <w:divsChild>
                                    <w:div w:id="954680162">
                                      <w:marLeft w:val="0"/>
                                      <w:marRight w:val="0"/>
                                      <w:marTop w:val="0"/>
                                      <w:marBottom w:val="0"/>
                                      <w:divBdr>
                                        <w:top w:val="none" w:sz="0" w:space="0" w:color="auto"/>
                                        <w:left w:val="none" w:sz="0" w:space="0" w:color="auto"/>
                                        <w:bottom w:val="none" w:sz="0" w:space="0" w:color="auto"/>
                                        <w:right w:val="none" w:sz="0" w:space="0" w:color="auto"/>
                                      </w:divBdr>
                                      <w:divsChild>
                                        <w:div w:id="4756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061435">
      <w:bodyDiv w:val="1"/>
      <w:marLeft w:val="0"/>
      <w:marRight w:val="0"/>
      <w:marTop w:val="0"/>
      <w:marBottom w:val="0"/>
      <w:divBdr>
        <w:top w:val="none" w:sz="0" w:space="0" w:color="auto"/>
        <w:left w:val="none" w:sz="0" w:space="0" w:color="auto"/>
        <w:bottom w:val="none" w:sz="0" w:space="0" w:color="auto"/>
        <w:right w:val="none" w:sz="0" w:space="0" w:color="auto"/>
      </w:divBdr>
      <w:divsChild>
        <w:div w:id="1268318569">
          <w:marLeft w:val="0"/>
          <w:marRight w:val="0"/>
          <w:marTop w:val="0"/>
          <w:marBottom w:val="0"/>
          <w:divBdr>
            <w:top w:val="none" w:sz="0" w:space="0" w:color="auto"/>
            <w:left w:val="none" w:sz="0" w:space="0" w:color="auto"/>
            <w:bottom w:val="none" w:sz="0" w:space="0" w:color="auto"/>
            <w:right w:val="none" w:sz="0" w:space="0" w:color="auto"/>
          </w:divBdr>
          <w:divsChild>
            <w:div w:id="951476600">
              <w:marLeft w:val="0"/>
              <w:marRight w:val="0"/>
              <w:marTop w:val="0"/>
              <w:marBottom w:val="0"/>
              <w:divBdr>
                <w:top w:val="none" w:sz="0" w:space="0" w:color="auto"/>
                <w:left w:val="none" w:sz="0" w:space="0" w:color="auto"/>
                <w:bottom w:val="none" w:sz="0" w:space="0" w:color="auto"/>
                <w:right w:val="none" w:sz="0" w:space="0" w:color="auto"/>
              </w:divBdr>
              <w:divsChild>
                <w:div w:id="1222404111">
                  <w:marLeft w:val="0"/>
                  <w:marRight w:val="0"/>
                  <w:marTop w:val="0"/>
                  <w:marBottom w:val="0"/>
                  <w:divBdr>
                    <w:top w:val="none" w:sz="0" w:space="0" w:color="auto"/>
                    <w:left w:val="none" w:sz="0" w:space="0" w:color="auto"/>
                    <w:bottom w:val="none" w:sz="0" w:space="0" w:color="auto"/>
                    <w:right w:val="none" w:sz="0" w:space="0" w:color="auto"/>
                  </w:divBdr>
                  <w:divsChild>
                    <w:div w:id="412163146">
                      <w:marLeft w:val="0"/>
                      <w:marRight w:val="0"/>
                      <w:marTop w:val="0"/>
                      <w:marBottom w:val="0"/>
                      <w:divBdr>
                        <w:top w:val="none" w:sz="0" w:space="0" w:color="auto"/>
                        <w:left w:val="none" w:sz="0" w:space="0" w:color="auto"/>
                        <w:bottom w:val="none" w:sz="0" w:space="0" w:color="auto"/>
                        <w:right w:val="none" w:sz="0" w:space="0" w:color="auto"/>
                      </w:divBdr>
                      <w:divsChild>
                        <w:div w:id="2056394063">
                          <w:marLeft w:val="0"/>
                          <w:marRight w:val="0"/>
                          <w:marTop w:val="0"/>
                          <w:marBottom w:val="0"/>
                          <w:divBdr>
                            <w:top w:val="none" w:sz="0" w:space="0" w:color="auto"/>
                            <w:left w:val="none" w:sz="0" w:space="0" w:color="auto"/>
                            <w:bottom w:val="none" w:sz="0" w:space="0" w:color="auto"/>
                            <w:right w:val="none" w:sz="0" w:space="0" w:color="auto"/>
                          </w:divBdr>
                          <w:divsChild>
                            <w:div w:id="1438596420">
                              <w:marLeft w:val="0"/>
                              <w:marRight w:val="0"/>
                              <w:marTop w:val="0"/>
                              <w:marBottom w:val="0"/>
                              <w:divBdr>
                                <w:top w:val="none" w:sz="0" w:space="0" w:color="auto"/>
                                <w:left w:val="none" w:sz="0" w:space="0" w:color="auto"/>
                                <w:bottom w:val="none" w:sz="0" w:space="0" w:color="auto"/>
                                <w:right w:val="none" w:sz="0" w:space="0" w:color="auto"/>
                              </w:divBdr>
                              <w:divsChild>
                                <w:div w:id="481048152">
                                  <w:marLeft w:val="0"/>
                                  <w:marRight w:val="0"/>
                                  <w:marTop w:val="0"/>
                                  <w:marBottom w:val="0"/>
                                  <w:divBdr>
                                    <w:top w:val="single" w:sz="4" w:space="0" w:color="F5F5F5"/>
                                    <w:left w:val="single" w:sz="4" w:space="0" w:color="F5F5F5"/>
                                    <w:bottom w:val="single" w:sz="4" w:space="0" w:color="F5F5F5"/>
                                    <w:right w:val="single" w:sz="4" w:space="0" w:color="F5F5F5"/>
                                  </w:divBdr>
                                  <w:divsChild>
                                    <w:div w:id="1796017721">
                                      <w:marLeft w:val="0"/>
                                      <w:marRight w:val="0"/>
                                      <w:marTop w:val="0"/>
                                      <w:marBottom w:val="0"/>
                                      <w:divBdr>
                                        <w:top w:val="none" w:sz="0" w:space="0" w:color="auto"/>
                                        <w:left w:val="none" w:sz="0" w:space="0" w:color="auto"/>
                                        <w:bottom w:val="none" w:sz="0" w:space="0" w:color="auto"/>
                                        <w:right w:val="none" w:sz="0" w:space="0" w:color="auto"/>
                                      </w:divBdr>
                                      <w:divsChild>
                                        <w:div w:id="13837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702825">
      <w:bodyDiv w:val="1"/>
      <w:marLeft w:val="0"/>
      <w:marRight w:val="0"/>
      <w:marTop w:val="0"/>
      <w:marBottom w:val="0"/>
      <w:divBdr>
        <w:top w:val="none" w:sz="0" w:space="0" w:color="auto"/>
        <w:left w:val="none" w:sz="0" w:space="0" w:color="auto"/>
        <w:bottom w:val="none" w:sz="0" w:space="0" w:color="auto"/>
        <w:right w:val="none" w:sz="0" w:space="0" w:color="auto"/>
      </w:divBdr>
    </w:div>
    <w:div w:id="519050882">
      <w:bodyDiv w:val="1"/>
      <w:marLeft w:val="0"/>
      <w:marRight w:val="0"/>
      <w:marTop w:val="0"/>
      <w:marBottom w:val="0"/>
      <w:divBdr>
        <w:top w:val="none" w:sz="0" w:space="0" w:color="auto"/>
        <w:left w:val="none" w:sz="0" w:space="0" w:color="auto"/>
        <w:bottom w:val="none" w:sz="0" w:space="0" w:color="auto"/>
        <w:right w:val="none" w:sz="0" w:space="0" w:color="auto"/>
      </w:divBdr>
      <w:divsChild>
        <w:div w:id="464277400">
          <w:marLeft w:val="0"/>
          <w:marRight w:val="0"/>
          <w:marTop w:val="0"/>
          <w:marBottom w:val="0"/>
          <w:divBdr>
            <w:top w:val="none" w:sz="0" w:space="0" w:color="auto"/>
            <w:left w:val="none" w:sz="0" w:space="0" w:color="auto"/>
            <w:bottom w:val="none" w:sz="0" w:space="0" w:color="auto"/>
            <w:right w:val="none" w:sz="0" w:space="0" w:color="auto"/>
          </w:divBdr>
          <w:divsChild>
            <w:div w:id="164789868">
              <w:marLeft w:val="0"/>
              <w:marRight w:val="0"/>
              <w:marTop w:val="0"/>
              <w:marBottom w:val="0"/>
              <w:divBdr>
                <w:top w:val="none" w:sz="0" w:space="0" w:color="auto"/>
                <w:left w:val="none" w:sz="0" w:space="0" w:color="auto"/>
                <w:bottom w:val="none" w:sz="0" w:space="0" w:color="auto"/>
                <w:right w:val="none" w:sz="0" w:space="0" w:color="auto"/>
              </w:divBdr>
              <w:divsChild>
                <w:div w:id="333190546">
                  <w:marLeft w:val="0"/>
                  <w:marRight w:val="0"/>
                  <w:marTop w:val="0"/>
                  <w:marBottom w:val="0"/>
                  <w:divBdr>
                    <w:top w:val="none" w:sz="0" w:space="0" w:color="auto"/>
                    <w:left w:val="none" w:sz="0" w:space="0" w:color="auto"/>
                    <w:bottom w:val="none" w:sz="0" w:space="0" w:color="auto"/>
                    <w:right w:val="none" w:sz="0" w:space="0" w:color="auto"/>
                  </w:divBdr>
                  <w:divsChild>
                    <w:div w:id="1164509421">
                      <w:marLeft w:val="0"/>
                      <w:marRight w:val="0"/>
                      <w:marTop w:val="0"/>
                      <w:marBottom w:val="0"/>
                      <w:divBdr>
                        <w:top w:val="none" w:sz="0" w:space="0" w:color="auto"/>
                        <w:left w:val="none" w:sz="0" w:space="0" w:color="auto"/>
                        <w:bottom w:val="none" w:sz="0" w:space="0" w:color="auto"/>
                        <w:right w:val="none" w:sz="0" w:space="0" w:color="auto"/>
                      </w:divBdr>
                      <w:divsChild>
                        <w:div w:id="2042702696">
                          <w:marLeft w:val="0"/>
                          <w:marRight w:val="0"/>
                          <w:marTop w:val="0"/>
                          <w:marBottom w:val="0"/>
                          <w:divBdr>
                            <w:top w:val="none" w:sz="0" w:space="0" w:color="auto"/>
                            <w:left w:val="none" w:sz="0" w:space="0" w:color="auto"/>
                            <w:bottom w:val="none" w:sz="0" w:space="0" w:color="auto"/>
                            <w:right w:val="none" w:sz="0" w:space="0" w:color="auto"/>
                          </w:divBdr>
                          <w:divsChild>
                            <w:div w:id="1592157588">
                              <w:marLeft w:val="0"/>
                              <w:marRight w:val="0"/>
                              <w:marTop w:val="0"/>
                              <w:marBottom w:val="0"/>
                              <w:divBdr>
                                <w:top w:val="none" w:sz="0" w:space="0" w:color="auto"/>
                                <w:left w:val="none" w:sz="0" w:space="0" w:color="auto"/>
                                <w:bottom w:val="none" w:sz="0" w:space="0" w:color="auto"/>
                                <w:right w:val="none" w:sz="0" w:space="0" w:color="auto"/>
                              </w:divBdr>
                              <w:divsChild>
                                <w:div w:id="1567108382">
                                  <w:marLeft w:val="0"/>
                                  <w:marRight w:val="0"/>
                                  <w:marTop w:val="0"/>
                                  <w:marBottom w:val="0"/>
                                  <w:divBdr>
                                    <w:top w:val="single" w:sz="4" w:space="0" w:color="F5F5F5"/>
                                    <w:left w:val="single" w:sz="4" w:space="0" w:color="F5F5F5"/>
                                    <w:bottom w:val="single" w:sz="4" w:space="0" w:color="F5F5F5"/>
                                    <w:right w:val="single" w:sz="4" w:space="0" w:color="F5F5F5"/>
                                  </w:divBdr>
                                  <w:divsChild>
                                    <w:div w:id="1678312637">
                                      <w:marLeft w:val="0"/>
                                      <w:marRight w:val="0"/>
                                      <w:marTop w:val="0"/>
                                      <w:marBottom w:val="0"/>
                                      <w:divBdr>
                                        <w:top w:val="none" w:sz="0" w:space="0" w:color="auto"/>
                                        <w:left w:val="none" w:sz="0" w:space="0" w:color="auto"/>
                                        <w:bottom w:val="none" w:sz="0" w:space="0" w:color="auto"/>
                                        <w:right w:val="none" w:sz="0" w:space="0" w:color="auto"/>
                                      </w:divBdr>
                                      <w:divsChild>
                                        <w:div w:id="14725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372906">
      <w:bodyDiv w:val="1"/>
      <w:marLeft w:val="0"/>
      <w:marRight w:val="0"/>
      <w:marTop w:val="0"/>
      <w:marBottom w:val="0"/>
      <w:divBdr>
        <w:top w:val="none" w:sz="0" w:space="0" w:color="auto"/>
        <w:left w:val="none" w:sz="0" w:space="0" w:color="auto"/>
        <w:bottom w:val="none" w:sz="0" w:space="0" w:color="auto"/>
        <w:right w:val="none" w:sz="0" w:space="0" w:color="auto"/>
      </w:divBdr>
      <w:divsChild>
        <w:div w:id="1410620383">
          <w:marLeft w:val="0"/>
          <w:marRight w:val="0"/>
          <w:marTop w:val="0"/>
          <w:marBottom w:val="0"/>
          <w:divBdr>
            <w:top w:val="none" w:sz="0" w:space="0" w:color="auto"/>
            <w:left w:val="none" w:sz="0" w:space="0" w:color="auto"/>
            <w:bottom w:val="none" w:sz="0" w:space="0" w:color="auto"/>
            <w:right w:val="none" w:sz="0" w:space="0" w:color="auto"/>
          </w:divBdr>
          <w:divsChild>
            <w:div w:id="283846924">
              <w:marLeft w:val="0"/>
              <w:marRight w:val="0"/>
              <w:marTop w:val="0"/>
              <w:marBottom w:val="0"/>
              <w:divBdr>
                <w:top w:val="none" w:sz="0" w:space="0" w:color="auto"/>
                <w:left w:val="none" w:sz="0" w:space="0" w:color="auto"/>
                <w:bottom w:val="none" w:sz="0" w:space="0" w:color="auto"/>
                <w:right w:val="none" w:sz="0" w:space="0" w:color="auto"/>
              </w:divBdr>
              <w:divsChild>
                <w:div w:id="1201817539">
                  <w:marLeft w:val="0"/>
                  <w:marRight w:val="0"/>
                  <w:marTop w:val="0"/>
                  <w:marBottom w:val="0"/>
                  <w:divBdr>
                    <w:top w:val="none" w:sz="0" w:space="0" w:color="auto"/>
                    <w:left w:val="none" w:sz="0" w:space="0" w:color="auto"/>
                    <w:bottom w:val="none" w:sz="0" w:space="0" w:color="auto"/>
                    <w:right w:val="none" w:sz="0" w:space="0" w:color="auto"/>
                  </w:divBdr>
                  <w:divsChild>
                    <w:div w:id="1689522639">
                      <w:marLeft w:val="0"/>
                      <w:marRight w:val="0"/>
                      <w:marTop w:val="0"/>
                      <w:marBottom w:val="0"/>
                      <w:divBdr>
                        <w:top w:val="none" w:sz="0" w:space="0" w:color="auto"/>
                        <w:left w:val="none" w:sz="0" w:space="0" w:color="auto"/>
                        <w:bottom w:val="none" w:sz="0" w:space="0" w:color="auto"/>
                        <w:right w:val="none" w:sz="0" w:space="0" w:color="auto"/>
                      </w:divBdr>
                      <w:divsChild>
                        <w:div w:id="1312052082">
                          <w:marLeft w:val="0"/>
                          <w:marRight w:val="0"/>
                          <w:marTop w:val="0"/>
                          <w:marBottom w:val="0"/>
                          <w:divBdr>
                            <w:top w:val="none" w:sz="0" w:space="0" w:color="auto"/>
                            <w:left w:val="none" w:sz="0" w:space="0" w:color="auto"/>
                            <w:bottom w:val="none" w:sz="0" w:space="0" w:color="auto"/>
                            <w:right w:val="none" w:sz="0" w:space="0" w:color="auto"/>
                          </w:divBdr>
                          <w:divsChild>
                            <w:div w:id="838155497">
                              <w:marLeft w:val="0"/>
                              <w:marRight w:val="0"/>
                              <w:marTop w:val="0"/>
                              <w:marBottom w:val="0"/>
                              <w:divBdr>
                                <w:top w:val="none" w:sz="0" w:space="0" w:color="auto"/>
                                <w:left w:val="none" w:sz="0" w:space="0" w:color="auto"/>
                                <w:bottom w:val="none" w:sz="0" w:space="0" w:color="auto"/>
                                <w:right w:val="none" w:sz="0" w:space="0" w:color="auto"/>
                              </w:divBdr>
                              <w:divsChild>
                                <w:div w:id="2016489944">
                                  <w:marLeft w:val="0"/>
                                  <w:marRight w:val="0"/>
                                  <w:marTop w:val="0"/>
                                  <w:marBottom w:val="0"/>
                                  <w:divBdr>
                                    <w:top w:val="single" w:sz="4" w:space="0" w:color="F5F5F5"/>
                                    <w:left w:val="single" w:sz="4" w:space="0" w:color="F5F5F5"/>
                                    <w:bottom w:val="single" w:sz="4" w:space="0" w:color="F5F5F5"/>
                                    <w:right w:val="single" w:sz="4" w:space="0" w:color="F5F5F5"/>
                                  </w:divBdr>
                                  <w:divsChild>
                                    <w:div w:id="916406450">
                                      <w:marLeft w:val="0"/>
                                      <w:marRight w:val="0"/>
                                      <w:marTop w:val="0"/>
                                      <w:marBottom w:val="0"/>
                                      <w:divBdr>
                                        <w:top w:val="none" w:sz="0" w:space="0" w:color="auto"/>
                                        <w:left w:val="none" w:sz="0" w:space="0" w:color="auto"/>
                                        <w:bottom w:val="none" w:sz="0" w:space="0" w:color="auto"/>
                                        <w:right w:val="none" w:sz="0" w:space="0" w:color="auto"/>
                                      </w:divBdr>
                                      <w:divsChild>
                                        <w:div w:id="19847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276108">
      <w:bodyDiv w:val="1"/>
      <w:marLeft w:val="0"/>
      <w:marRight w:val="0"/>
      <w:marTop w:val="0"/>
      <w:marBottom w:val="0"/>
      <w:divBdr>
        <w:top w:val="none" w:sz="0" w:space="0" w:color="auto"/>
        <w:left w:val="none" w:sz="0" w:space="0" w:color="auto"/>
        <w:bottom w:val="none" w:sz="0" w:space="0" w:color="auto"/>
        <w:right w:val="none" w:sz="0" w:space="0" w:color="auto"/>
      </w:divBdr>
      <w:divsChild>
        <w:div w:id="1466660113">
          <w:marLeft w:val="0"/>
          <w:marRight w:val="0"/>
          <w:marTop w:val="0"/>
          <w:marBottom w:val="0"/>
          <w:divBdr>
            <w:top w:val="none" w:sz="0" w:space="0" w:color="auto"/>
            <w:left w:val="none" w:sz="0" w:space="0" w:color="auto"/>
            <w:bottom w:val="none" w:sz="0" w:space="0" w:color="auto"/>
            <w:right w:val="none" w:sz="0" w:space="0" w:color="auto"/>
          </w:divBdr>
          <w:divsChild>
            <w:div w:id="149561225">
              <w:marLeft w:val="0"/>
              <w:marRight w:val="0"/>
              <w:marTop w:val="0"/>
              <w:marBottom w:val="0"/>
              <w:divBdr>
                <w:top w:val="none" w:sz="0" w:space="0" w:color="auto"/>
                <w:left w:val="none" w:sz="0" w:space="0" w:color="auto"/>
                <w:bottom w:val="none" w:sz="0" w:space="0" w:color="auto"/>
                <w:right w:val="none" w:sz="0" w:space="0" w:color="auto"/>
              </w:divBdr>
              <w:divsChild>
                <w:div w:id="796995054">
                  <w:marLeft w:val="0"/>
                  <w:marRight w:val="0"/>
                  <w:marTop w:val="0"/>
                  <w:marBottom w:val="0"/>
                  <w:divBdr>
                    <w:top w:val="none" w:sz="0" w:space="0" w:color="auto"/>
                    <w:left w:val="none" w:sz="0" w:space="0" w:color="auto"/>
                    <w:bottom w:val="none" w:sz="0" w:space="0" w:color="auto"/>
                    <w:right w:val="none" w:sz="0" w:space="0" w:color="auto"/>
                  </w:divBdr>
                  <w:divsChild>
                    <w:div w:id="1902209580">
                      <w:marLeft w:val="0"/>
                      <w:marRight w:val="0"/>
                      <w:marTop w:val="0"/>
                      <w:marBottom w:val="0"/>
                      <w:divBdr>
                        <w:top w:val="none" w:sz="0" w:space="0" w:color="auto"/>
                        <w:left w:val="none" w:sz="0" w:space="0" w:color="auto"/>
                        <w:bottom w:val="none" w:sz="0" w:space="0" w:color="auto"/>
                        <w:right w:val="none" w:sz="0" w:space="0" w:color="auto"/>
                      </w:divBdr>
                      <w:divsChild>
                        <w:div w:id="72549766">
                          <w:marLeft w:val="0"/>
                          <w:marRight w:val="0"/>
                          <w:marTop w:val="0"/>
                          <w:marBottom w:val="0"/>
                          <w:divBdr>
                            <w:top w:val="none" w:sz="0" w:space="0" w:color="auto"/>
                            <w:left w:val="none" w:sz="0" w:space="0" w:color="auto"/>
                            <w:bottom w:val="none" w:sz="0" w:space="0" w:color="auto"/>
                            <w:right w:val="none" w:sz="0" w:space="0" w:color="auto"/>
                          </w:divBdr>
                          <w:divsChild>
                            <w:div w:id="750584542">
                              <w:marLeft w:val="0"/>
                              <w:marRight w:val="0"/>
                              <w:marTop w:val="0"/>
                              <w:marBottom w:val="0"/>
                              <w:divBdr>
                                <w:top w:val="none" w:sz="0" w:space="0" w:color="auto"/>
                                <w:left w:val="none" w:sz="0" w:space="0" w:color="auto"/>
                                <w:bottom w:val="none" w:sz="0" w:space="0" w:color="auto"/>
                                <w:right w:val="none" w:sz="0" w:space="0" w:color="auto"/>
                              </w:divBdr>
                              <w:divsChild>
                                <w:div w:id="1674533225">
                                  <w:marLeft w:val="0"/>
                                  <w:marRight w:val="0"/>
                                  <w:marTop w:val="0"/>
                                  <w:marBottom w:val="0"/>
                                  <w:divBdr>
                                    <w:top w:val="single" w:sz="4" w:space="0" w:color="F5F5F5"/>
                                    <w:left w:val="single" w:sz="4" w:space="0" w:color="F5F5F5"/>
                                    <w:bottom w:val="single" w:sz="4" w:space="0" w:color="F5F5F5"/>
                                    <w:right w:val="single" w:sz="4" w:space="0" w:color="F5F5F5"/>
                                  </w:divBdr>
                                  <w:divsChild>
                                    <w:div w:id="1718243016">
                                      <w:marLeft w:val="0"/>
                                      <w:marRight w:val="0"/>
                                      <w:marTop w:val="0"/>
                                      <w:marBottom w:val="0"/>
                                      <w:divBdr>
                                        <w:top w:val="none" w:sz="0" w:space="0" w:color="auto"/>
                                        <w:left w:val="none" w:sz="0" w:space="0" w:color="auto"/>
                                        <w:bottom w:val="none" w:sz="0" w:space="0" w:color="auto"/>
                                        <w:right w:val="none" w:sz="0" w:space="0" w:color="auto"/>
                                      </w:divBdr>
                                      <w:divsChild>
                                        <w:div w:id="1683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982479">
      <w:bodyDiv w:val="1"/>
      <w:marLeft w:val="0"/>
      <w:marRight w:val="0"/>
      <w:marTop w:val="0"/>
      <w:marBottom w:val="0"/>
      <w:divBdr>
        <w:top w:val="none" w:sz="0" w:space="0" w:color="auto"/>
        <w:left w:val="none" w:sz="0" w:space="0" w:color="auto"/>
        <w:bottom w:val="none" w:sz="0" w:space="0" w:color="auto"/>
        <w:right w:val="none" w:sz="0" w:space="0" w:color="auto"/>
      </w:divBdr>
      <w:divsChild>
        <w:div w:id="1407259988">
          <w:marLeft w:val="0"/>
          <w:marRight w:val="0"/>
          <w:marTop w:val="0"/>
          <w:marBottom w:val="0"/>
          <w:divBdr>
            <w:top w:val="none" w:sz="0" w:space="0" w:color="auto"/>
            <w:left w:val="none" w:sz="0" w:space="0" w:color="auto"/>
            <w:bottom w:val="none" w:sz="0" w:space="0" w:color="auto"/>
            <w:right w:val="none" w:sz="0" w:space="0" w:color="auto"/>
          </w:divBdr>
          <w:divsChild>
            <w:div w:id="2146196265">
              <w:marLeft w:val="0"/>
              <w:marRight w:val="0"/>
              <w:marTop w:val="0"/>
              <w:marBottom w:val="0"/>
              <w:divBdr>
                <w:top w:val="none" w:sz="0" w:space="0" w:color="auto"/>
                <w:left w:val="none" w:sz="0" w:space="0" w:color="auto"/>
                <w:bottom w:val="none" w:sz="0" w:space="0" w:color="auto"/>
                <w:right w:val="none" w:sz="0" w:space="0" w:color="auto"/>
              </w:divBdr>
              <w:divsChild>
                <w:div w:id="1427843705">
                  <w:marLeft w:val="0"/>
                  <w:marRight w:val="0"/>
                  <w:marTop w:val="0"/>
                  <w:marBottom w:val="0"/>
                  <w:divBdr>
                    <w:top w:val="none" w:sz="0" w:space="0" w:color="auto"/>
                    <w:left w:val="none" w:sz="0" w:space="0" w:color="auto"/>
                    <w:bottom w:val="none" w:sz="0" w:space="0" w:color="auto"/>
                    <w:right w:val="none" w:sz="0" w:space="0" w:color="auto"/>
                  </w:divBdr>
                  <w:divsChild>
                    <w:div w:id="1168330676">
                      <w:marLeft w:val="0"/>
                      <w:marRight w:val="0"/>
                      <w:marTop w:val="0"/>
                      <w:marBottom w:val="0"/>
                      <w:divBdr>
                        <w:top w:val="none" w:sz="0" w:space="0" w:color="auto"/>
                        <w:left w:val="none" w:sz="0" w:space="0" w:color="auto"/>
                        <w:bottom w:val="none" w:sz="0" w:space="0" w:color="auto"/>
                        <w:right w:val="none" w:sz="0" w:space="0" w:color="auto"/>
                      </w:divBdr>
                      <w:divsChild>
                        <w:div w:id="1937054667">
                          <w:marLeft w:val="0"/>
                          <w:marRight w:val="0"/>
                          <w:marTop w:val="0"/>
                          <w:marBottom w:val="0"/>
                          <w:divBdr>
                            <w:top w:val="none" w:sz="0" w:space="0" w:color="auto"/>
                            <w:left w:val="none" w:sz="0" w:space="0" w:color="auto"/>
                            <w:bottom w:val="none" w:sz="0" w:space="0" w:color="auto"/>
                            <w:right w:val="none" w:sz="0" w:space="0" w:color="auto"/>
                          </w:divBdr>
                          <w:divsChild>
                            <w:div w:id="1149326255">
                              <w:marLeft w:val="0"/>
                              <w:marRight w:val="0"/>
                              <w:marTop w:val="0"/>
                              <w:marBottom w:val="0"/>
                              <w:divBdr>
                                <w:top w:val="none" w:sz="0" w:space="0" w:color="auto"/>
                                <w:left w:val="none" w:sz="0" w:space="0" w:color="auto"/>
                                <w:bottom w:val="none" w:sz="0" w:space="0" w:color="auto"/>
                                <w:right w:val="none" w:sz="0" w:space="0" w:color="auto"/>
                              </w:divBdr>
                              <w:divsChild>
                                <w:div w:id="1475757202">
                                  <w:marLeft w:val="0"/>
                                  <w:marRight w:val="0"/>
                                  <w:marTop w:val="0"/>
                                  <w:marBottom w:val="0"/>
                                  <w:divBdr>
                                    <w:top w:val="single" w:sz="4" w:space="0" w:color="F5F5F5"/>
                                    <w:left w:val="single" w:sz="4" w:space="0" w:color="F5F5F5"/>
                                    <w:bottom w:val="single" w:sz="4" w:space="0" w:color="F5F5F5"/>
                                    <w:right w:val="single" w:sz="4" w:space="0" w:color="F5F5F5"/>
                                  </w:divBdr>
                                  <w:divsChild>
                                    <w:div w:id="370618180">
                                      <w:marLeft w:val="0"/>
                                      <w:marRight w:val="0"/>
                                      <w:marTop w:val="0"/>
                                      <w:marBottom w:val="0"/>
                                      <w:divBdr>
                                        <w:top w:val="none" w:sz="0" w:space="0" w:color="auto"/>
                                        <w:left w:val="none" w:sz="0" w:space="0" w:color="auto"/>
                                        <w:bottom w:val="none" w:sz="0" w:space="0" w:color="auto"/>
                                        <w:right w:val="none" w:sz="0" w:space="0" w:color="auto"/>
                                      </w:divBdr>
                                      <w:divsChild>
                                        <w:div w:id="8957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234019">
      <w:bodyDiv w:val="1"/>
      <w:marLeft w:val="0"/>
      <w:marRight w:val="0"/>
      <w:marTop w:val="0"/>
      <w:marBottom w:val="0"/>
      <w:divBdr>
        <w:top w:val="none" w:sz="0" w:space="0" w:color="auto"/>
        <w:left w:val="none" w:sz="0" w:space="0" w:color="auto"/>
        <w:bottom w:val="none" w:sz="0" w:space="0" w:color="auto"/>
        <w:right w:val="none" w:sz="0" w:space="0" w:color="auto"/>
      </w:divBdr>
      <w:divsChild>
        <w:div w:id="849298265">
          <w:marLeft w:val="0"/>
          <w:marRight w:val="0"/>
          <w:marTop w:val="0"/>
          <w:marBottom w:val="0"/>
          <w:divBdr>
            <w:top w:val="none" w:sz="0" w:space="0" w:color="auto"/>
            <w:left w:val="none" w:sz="0" w:space="0" w:color="auto"/>
            <w:bottom w:val="none" w:sz="0" w:space="0" w:color="auto"/>
            <w:right w:val="none" w:sz="0" w:space="0" w:color="auto"/>
          </w:divBdr>
          <w:divsChild>
            <w:div w:id="578487177">
              <w:marLeft w:val="0"/>
              <w:marRight w:val="0"/>
              <w:marTop w:val="0"/>
              <w:marBottom w:val="0"/>
              <w:divBdr>
                <w:top w:val="none" w:sz="0" w:space="0" w:color="auto"/>
                <w:left w:val="none" w:sz="0" w:space="0" w:color="auto"/>
                <w:bottom w:val="none" w:sz="0" w:space="0" w:color="auto"/>
                <w:right w:val="none" w:sz="0" w:space="0" w:color="auto"/>
              </w:divBdr>
              <w:divsChild>
                <w:div w:id="728109258">
                  <w:marLeft w:val="0"/>
                  <w:marRight w:val="0"/>
                  <w:marTop w:val="0"/>
                  <w:marBottom w:val="0"/>
                  <w:divBdr>
                    <w:top w:val="none" w:sz="0" w:space="0" w:color="auto"/>
                    <w:left w:val="none" w:sz="0" w:space="0" w:color="auto"/>
                    <w:bottom w:val="none" w:sz="0" w:space="0" w:color="auto"/>
                    <w:right w:val="none" w:sz="0" w:space="0" w:color="auto"/>
                  </w:divBdr>
                  <w:divsChild>
                    <w:div w:id="1674869249">
                      <w:marLeft w:val="0"/>
                      <w:marRight w:val="0"/>
                      <w:marTop w:val="0"/>
                      <w:marBottom w:val="0"/>
                      <w:divBdr>
                        <w:top w:val="none" w:sz="0" w:space="0" w:color="auto"/>
                        <w:left w:val="none" w:sz="0" w:space="0" w:color="auto"/>
                        <w:bottom w:val="none" w:sz="0" w:space="0" w:color="auto"/>
                        <w:right w:val="none" w:sz="0" w:space="0" w:color="auto"/>
                      </w:divBdr>
                      <w:divsChild>
                        <w:div w:id="719398807">
                          <w:marLeft w:val="0"/>
                          <w:marRight w:val="0"/>
                          <w:marTop w:val="0"/>
                          <w:marBottom w:val="0"/>
                          <w:divBdr>
                            <w:top w:val="none" w:sz="0" w:space="0" w:color="auto"/>
                            <w:left w:val="none" w:sz="0" w:space="0" w:color="auto"/>
                            <w:bottom w:val="none" w:sz="0" w:space="0" w:color="auto"/>
                            <w:right w:val="none" w:sz="0" w:space="0" w:color="auto"/>
                          </w:divBdr>
                          <w:divsChild>
                            <w:div w:id="102966723">
                              <w:marLeft w:val="0"/>
                              <w:marRight w:val="0"/>
                              <w:marTop w:val="0"/>
                              <w:marBottom w:val="0"/>
                              <w:divBdr>
                                <w:top w:val="none" w:sz="0" w:space="0" w:color="auto"/>
                                <w:left w:val="none" w:sz="0" w:space="0" w:color="auto"/>
                                <w:bottom w:val="none" w:sz="0" w:space="0" w:color="auto"/>
                                <w:right w:val="none" w:sz="0" w:space="0" w:color="auto"/>
                              </w:divBdr>
                              <w:divsChild>
                                <w:div w:id="994920013">
                                  <w:marLeft w:val="0"/>
                                  <w:marRight w:val="0"/>
                                  <w:marTop w:val="0"/>
                                  <w:marBottom w:val="0"/>
                                  <w:divBdr>
                                    <w:top w:val="single" w:sz="4" w:space="0" w:color="F5F5F5"/>
                                    <w:left w:val="single" w:sz="4" w:space="0" w:color="F5F5F5"/>
                                    <w:bottom w:val="single" w:sz="4" w:space="0" w:color="F5F5F5"/>
                                    <w:right w:val="single" w:sz="4" w:space="0" w:color="F5F5F5"/>
                                  </w:divBdr>
                                  <w:divsChild>
                                    <w:div w:id="480924613">
                                      <w:marLeft w:val="0"/>
                                      <w:marRight w:val="0"/>
                                      <w:marTop w:val="0"/>
                                      <w:marBottom w:val="0"/>
                                      <w:divBdr>
                                        <w:top w:val="none" w:sz="0" w:space="0" w:color="auto"/>
                                        <w:left w:val="none" w:sz="0" w:space="0" w:color="auto"/>
                                        <w:bottom w:val="none" w:sz="0" w:space="0" w:color="auto"/>
                                        <w:right w:val="none" w:sz="0" w:space="0" w:color="auto"/>
                                      </w:divBdr>
                                      <w:divsChild>
                                        <w:div w:id="154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824565">
      <w:bodyDiv w:val="1"/>
      <w:marLeft w:val="0"/>
      <w:marRight w:val="0"/>
      <w:marTop w:val="0"/>
      <w:marBottom w:val="0"/>
      <w:divBdr>
        <w:top w:val="none" w:sz="0" w:space="0" w:color="auto"/>
        <w:left w:val="none" w:sz="0" w:space="0" w:color="auto"/>
        <w:bottom w:val="none" w:sz="0" w:space="0" w:color="auto"/>
        <w:right w:val="none" w:sz="0" w:space="0" w:color="auto"/>
      </w:divBdr>
      <w:divsChild>
        <w:div w:id="147981321">
          <w:marLeft w:val="0"/>
          <w:marRight w:val="0"/>
          <w:marTop w:val="0"/>
          <w:marBottom w:val="0"/>
          <w:divBdr>
            <w:top w:val="none" w:sz="0" w:space="0" w:color="auto"/>
            <w:left w:val="none" w:sz="0" w:space="0" w:color="auto"/>
            <w:bottom w:val="none" w:sz="0" w:space="0" w:color="auto"/>
            <w:right w:val="none" w:sz="0" w:space="0" w:color="auto"/>
          </w:divBdr>
          <w:divsChild>
            <w:div w:id="1377923450">
              <w:marLeft w:val="0"/>
              <w:marRight w:val="0"/>
              <w:marTop w:val="0"/>
              <w:marBottom w:val="0"/>
              <w:divBdr>
                <w:top w:val="none" w:sz="0" w:space="0" w:color="auto"/>
                <w:left w:val="none" w:sz="0" w:space="0" w:color="auto"/>
                <w:bottom w:val="none" w:sz="0" w:space="0" w:color="auto"/>
                <w:right w:val="none" w:sz="0" w:space="0" w:color="auto"/>
              </w:divBdr>
              <w:divsChild>
                <w:div w:id="1417241319">
                  <w:marLeft w:val="0"/>
                  <w:marRight w:val="0"/>
                  <w:marTop w:val="0"/>
                  <w:marBottom w:val="0"/>
                  <w:divBdr>
                    <w:top w:val="none" w:sz="0" w:space="0" w:color="auto"/>
                    <w:left w:val="none" w:sz="0" w:space="0" w:color="auto"/>
                    <w:bottom w:val="none" w:sz="0" w:space="0" w:color="auto"/>
                    <w:right w:val="none" w:sz="0" w:space="0" w:color="auto"/>
                  </w:divBdr>
                  <w:divsChild>
                    <w:div w:id="1723870700">
                      <w:marLeft w:val="0"/>
                      <w:marRight w:val="0"/>
                      <w:marTop w:val="0"/>
                      <w:marBottom w:val="0"/>
                      <w:divBdr>
                        <w:top w:val="none" w:sz="0" w:space="0" w:color="auto"/>
                        <w:left w:val="none" w:sz="0" w:space="0" w:color="auto"/>
                        <w:bottom w:val="none" w:sz="0" w:space="0" w:color="auto"/>
                        <w:right w:val="none" w:sz="0" w:space="0" w:color="auto"/>
                      </w:divBdr>
                      <w:divsChild>
                        <w:div w:id="269361617">
                          <w:marLeft w:val="0"/>
                          <w:marRight w:val="0"/>
                          <w:marTop w:val="0"/>
                          <w:marBottom w:val="0"/>
                          <w:divBdr>
                            <w:top w:val="none" w:sz="0" w:space="0" w:color="auto"/>
                            <w:left w:val="none" w:sz="0" w:space="0" w:color="auto"/>
                            <w:bottom w:val="none" w:sz="0" w:space="0" w:color="auto"/>
                            <w:right w:val="none" w:sz="0" w:space="0" w:color="auto"/>
                          </w:divBdr>
                          <w:divsChild>
                            <w:div w:id="2103869379">
                              <w:marLeft w:val="0"/>
                              <w:marRight w:val="0"/>
                              <w:marTop w:val="0"/>
                              <w:marBottom w:val="0"/>
                              <w:divBdr>
                                <w:top w:val="none" w:sz="0" w:space="0" w:color="auto"/>
                                <w:left w:val="none" w:sz="0" w:space="0" w:color="auto"/>
                                <w:bottom w:val="none" w:sz="0" w:space="0" w:color="auto"/>
                                <w:right w:val="none" w:sz="0" w:space="0" w:color="auto"/>
                              </w:divBdr>
                              <w:divsChild>
                                <w:div w:id="829322331">
                                  <w:marLeft w:val="0"/>
                                  <w:marRight w:val="0"/>
                                  <w:marTop w:val="0"/>
                                  <w:marBottom w:val="0"/>
                                  <w:divBdr>
                                    <w:top w:val="single" w:sz="4" w:space="0" w:color="F5F5F5"/>
                                    <w:left w:val="single" w:sz="4" w:space="0" w:color="F5F5F5"/>
                                    <w:bottom w:val="single" w:sz="4" w:space="0" w:color="F5F5F5"/>
                                    <w:right w:val="single" w:sz="4" w:space="0" w:color="F5F5F5"/>
                                  </w:divBdr>
                                  <w:divsChild>
                                    <w:div w:id="487786681">
                                      <w:marLeft w:val="0"/>
                                      <w:marRight w:val="0"/>
                                      <w:marTop w:val="0"/>
                                      <w:marBottom w:val="0"/>
                                      <w:divBdr>
                                        <w:top w:val="none" w:sz="0" w:space="0" w:color="auto"/>
                                        <w:left w:val="none" w:sz="0" w:space="0" w:color="auto"/>
                                        <w:bottom w:val="none" w:sz="0" w:space="0" w:color="auto"/>
                                        <w:right w:val="none" w:sz="0" w:space="0" w:color="auto"/>
                                      </w:divBdr>
                                      <w:divsChild>
                                        <w:div w:id="1075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256815">
      <w:bodyDiv w:val="1"/>
      <w:marLeft w:val="0"/>
      <w:marRight w:val="0"/>
      <w:marTop w:val="0"/>
      <w:marBottom w:val="0"/>
      <w:divBdr>
        <w:top w:val="none" w:sz="0" w:space="0" w:color="auto"/>
        <w:left w:val="none" w:sz="0" w:space="0" w:color="auto"/>
        <w:bottom w:val="none" w:sz="0" w:space="0" w:color="auto"/>
        <w:right w:val="none" w:sz="0" w:space="0" w:color="auto"/>
      </w:divBdr>
      <w:divsChild>
        <w:div w:id="2588426">
          <w:marLeft w:val="0"/>
          <w:marRight w:val="0"/>
          <w:marTop w:val="0"/>
          <w:marBottom w:val="0"/>
          <w:divBdr>
            <w:top w:val="none" w:sz="0" w:space="0" w:color="auto"/>
            <w:left w:val="none" w:sz="0" w:space="0" w:color="auto"/>
            <w:bottom w:val="none" w:sz="0" w:space="0" w:color="auto"/>
            <w:right w:val="none" w:sz="0" w:space="0" w:color="auto"/>
          </w:divBdr>
          <w:divsChild>
            <w:div w:id="918757301">
              <w:marLeft w:val="0"/>
              <w:marRight w:val="0"/>
              <w:marTop w:val="0"/>
              <w:marBottom w:val="0"/>
              <w:divBdr>
                <w:top w:val="none" w:sz="0" w:space="0" w:color="auto"/>
                <w:left w:val="none" w:sz="0" w:space="0" w:color="auto"/>
                <w:bottom w:val="none" w:sz="0" w:space="0" w:color="auto"/>
                <w:right w:val="none" w:sz="0" w:space="0" w:color="auto"/>
              </w:divBdr>
              <w:divsChild>
                <w:div w:id="1041514969">
                  <w:marLeft w:val="0"/>
                  <w:marRight w:val="0"/>
                  <w:marTop w:val="0"/>
                  <w:marBottom w:val="0"/>
                  <w:divBdr>
                    <w:top w:val="none" w:sz="0" w:space="0" w:color="auto"/>
                    <w:left w:val="none" w:sz="0" w:space="0" w:color="auto"/>
                    <w:bottom w:val="none" w:sz="0" w:space="0" w:color="auto"/>
                    <w:right w:val="none" w:sz="0" w:space="0" w:color="auto"/>
                  </w:divBdr>
                  <w:divsChild>
                    <w:div w:id="711881541">
                      <w:marLeft w:val="0"/>
                      <w:marRight w:val="0"/>
                      <w:marTop w:val="0"/>
                      <w:marBottom w:val="0"/>
                      <w:divBdr>
                        <w:top w:val="none" w:sz="0" w:space="0" w:color="auto"/>
                        <w:left w:val="none" w:sz="0" w:space="0" w:color="auto"/>
                        <w:bottom w:val="none" w:sz="0" w:space="0" w:color="auto"/>
                        <w:right w:val="none" w:sz="0" w:space="0" w:color="auto"/>
                      </w:divBdr>
                      <w:divsChild>
                        <w:div w:id="1688679362">
                          <w:marLeft w:val="0"/>
                          <w:marRight w:val="0"/>
                          <w:marTop w:val="0"/>
                          <w:marBottom w:val="0"/>
                          <w:divBdr>
                            <w:top w:val="none" w:sz="0" w:space="0" w:color="auto"/>
                            <w:left w:val="none" w:sz="0" w:space="0" w:color="auto"/>
                            <w:bottom w:val="none" w:sz="0" w:space="0" w:color="auto"/>
                            <w:right w:val="none" w:sz="0" w:space="0" w:color="auto"/>
                          </w:divBdr>
                          <w:divsChild>
                            <w:div w:id="312414832">
                              <w:marLeft w:val="0"/>
                              <w:marRight w:val="0"/>
                              <w:marTop w:val="0"/>
                              <w:marBottom w:val="0"/>
                              <w:divBdr>
                                <w:top w:val="none" w:sz="0" w:space="0" w:color="auto"/>
                                <w:left w:val="none" w:sz="0" w:space="0" w:color="auto"/>
                                <w:bottom w:val="none" w:sz="0" w:space="0" w:color="auto"/>
                                <w:right w:val="none" w:sz="0" w:space="0" w:color="auto"/>
                              </w:divBdr>
                              <w:divsChild>
                                <w:div w:id="1107777319">
                                  <w:marLeft w:val="0"/>
                                  <w:marRight w:val="0"/>
                                  <w:marTop w:val="0"/>
                                  <w:marBottom w:val="0"/>
                                  <w:divBdr>
                                    <w:top w:val="single" w:sz="4" w:space="0" w:color="F5F5F5"/>
                                    <w:left w:val="single" w:sz="4" w:space="0" w:color="F5F5F5"/>
                                    <w:bottom w:val="single" w:sz="4" w:space="0" w:color="F5F5F5"/>
                                    <w:right w:val="single" w:sz="4" w:space="0" w:color="F5F5F5"/>
                                  </w:divBdr>
                                  <w:divsChild>
                                    <w:div w:id="1367028858">
                                      <w:marLeft w:val="0"/>
                                      <w:marRight w:val="0"/>
                                      <w:marTop w:val="0"/>
                                      <w:marBottom w:val="0"/>
                                      <w:divBdr>
                                        <w:top w:val="none" w:sz="0" w:space="0" w:color="auto"/>
                                        <w:left w:val="none" w:sz="0" w:space="0" w:color="auto"/>
                                        <w:bottom w:val="none" w:sz="0" w:space="0" w:color="auto"/>
                                        <w:right w:val="none" w:sz="0" w:space="0" w:color="auto"/>
                                      </w:divBdr>
                                      <w:divsChild>
                                        <w:div w:id="19442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244805">
      <w:bodyDiv w:val="1"/>
      <w:marLeft w:val="0"/>
      <w:marRight w:val="0"/>
      <w:marTop w:val="0"/>
      <w:marBottom w:val="0"/>
      <w:divBdr>
        <w:top w:val="none" w:sz="0" w:space="0" w:color="auto"/>
        <w:left w:val="none" w:sz="0" w:space="0" w:color="auto"/>
        <w:bottom w:val="none" w:sz="0" w:space="0" w:color="auto"/>
        <w:right w:val="none" w:sz="0" w:space="0" w:color="auto"/>
      </w:divBdr>
      <w:divsChild>
        <w:div w:id="610433214">
          <w:marLeft w:val="0"/>
          <w:marRight w:val="0"/>
          <w:marTop w:val="0"/>
          <w:marBottom w:val="0"/>
          <w:divBdr>
            <w:top w:val="none" w:sz="0" w:space="0" w:color="auto"/>
            <w:left w:val="none" w:sz="0" w:space="0" w:color="auto"/>
            <w:bottom w:val="none" w:sz="0" w:space="0" w:color="auto"/>
            <w:right w:val="none" w:sz="0" w:space="0" w:color="auto"/>
          </w:divBdr>
          <w:divsChild>
            <w:div w:id="1906721337">
              <w:marLeft w:val="0"/>
              <w:marRight w:val="0"/>
              <w:marTop w:val="0"/>
              <w:marBottom w:val="0"/>
              <w:divBdr>
                <w:top w:val="none" w:sz="0" w:space="0" w:color="auto"/>
                <w:left w:val="none" w:sz="0" w:space="0" w:color="auto"/>
                <w:bottom w:val="none" w:sz="0" w:space="0" w:color="auto"/>
                <w:right w:val="none" w:sz="0" w:space="0" w:color="auto"/>
              </w:divBdr>
              <w:divsChild>
                <w:div w:id="794493114">
                  <w:marLeft w:val="0"/>
                  <w:marRight w:val="0"/>
                  <w:marTop w:val="0"/>
                  <w:marBottom w:val="0"/>
                  <w:divBdr>
                    <w:top w:val="none" w:sz="0" w:space="0" w:color="auto"/>
                    <w:left w:val="none" w:sz="0" w:space="0" w:color="auto"/>
                    <w:bottom w:val="none" w:sz="0" w:space="0" w:color="auto"/>
                    <w:right w:val="none" w:sz="0" w:space="0" w:color="auto"/>
                  </w:divBdr>
                  <w:divsChild>
                    <w:div w:id="608514613">
                      <w:marLeft w:val="0"/>
                      <w:marRight w:val="0"/>
                      <w:marTop w:val="0"/>
                      <w:marBottom w:val="0"/>
                      <w:divBdr>
                        <w:top w:val="none" w:sz="0" w:space="0" w:color="auto"/>
                        <w:left w:val="none" w:sz="0" w:space="0" w:color="auto"/>
                        <w:bottom w:val="none" w:sz="0" w:space="0" w:color="auto"/>
                        <w:right w:val="none" w:sz="0" w:space="0" w:color="auto"/>
                      </w:divBdr>
                      <w:divsChild>
                        <w:div w:id="613290223">
                          <w:marLeft w:val="0"/>
                          <w:marRight w:val="0"/>
                          <w:marTop w:val="0"/>
                          <w:marBottom w:val="0"/>
                          <w:divBdr>
                            <w:top w:val="none" w:sz="0" w:space="0" w:color="auto"/>
                            <w:left w:val="none" w:sz="0" w:space="0" w:color="auto"/>
                            <w:bottom w:val="none" w:sz="0" w:space="0" w:color="auto"/>
                            <w:right w:val="none" w:sz="0" w:space="0" w:color="auto"/>
                          </w:divBdr>
                          <w:divsChild>
                            <w:div w:id="920404761">
                              <w:marLeft w:val="0"/>
                              <w:marRight w:val="0"/>
                              <w:marTop w:val="0"/>
                              <w:marBottom w:val="0"/>
                              <w:divBdr>
                                <w:top w:val="none" w:sz="0" w:space="0" w:color="auto"/>
                                <w:left w:val="none" w:sz="0" w:space="0" w:color="auto"/>
                                <w:bottom w:val="none" w:sz="0" w:space="0" w:color="auto"/>
                                <w:right w:val="none" w:sz="0" w:space="0" w:color="auto"/>
                              </w:divBdr>
                              <w:divsChild>
                                <w:div w:id="2032415362">
                                  <w:marLeft w:val="0"/>
                                  <w:marRight w:val="0"/>
                                  <w:marTop w:val="0"/>
                                  <w:marBottom w:val="0"/>
                                  <w:divBdr>
                                    <w:top w:val="single" w:sz="4" w:space="0" w:color="F5F5F5"/>
                                    <w:left w:val="single" w:sz="4" w:space="0" w:color="F5F5F5"/>
                                    <w:bottom w:val="single" w:sz="4" w:space="0" w:color="F5F5F5"/>
                                    <w:right w:val="single" w:sz="4" w:space="0" w:color="F5F5F5"/>
                                  </w:divBdr>
                                  <w:divsChild>
                                    <w:div w:id="814838221">
                                      <w:marLeft w:val="0"/>
                                      <w:marRight w:val="0"/>
                                      <w:marTop w:val="0"/>
                                      <w:marBottom w:val="0"/>
                                      <w:divBdr>
                                        <w:top w:val="none" w:sz="0" w:space="0" w:color="auto"/>
                                        <w:left w:val="none" w:sz="0" w:space="0" w:color="auto"/>
                                        <w:bottom w:val="none" w:sz="0" w:space="0" w:color="auto"/>
                                        <w:right w:val="none" w:sz="0" w:space="0" w:color="auto"/>
                                      </w:divBdr>
                                      <w:divsChild>
                                        <w:div w:id="1597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022930">
      <w:bodyDiv w:val="1"/>
      <w:marLeft w:val="0"/>
      <w:marRight w:val="0"/>
      <w:marTop w:val="0"/>
      <w:marBottom w:val="0"/>
      <w:divBdr>
        <w:top w:val="none" w:sz="0" w:space="0" w:color="auto"/>
        <w:left w:val="none" w:sz="0" w:space="0" w:color="auto"/>
        <w:bottom w:val="none" w:sz="0" w:space="0" w:color="auto"/>
        <w:right w:val="none" w:sz="0" w:space="0" w:color="auto"/>
      </w:divBdr>
    </w:div>
    <w:div w:id="1413038908">
      <w:bodyDiv w:val="1"/>
      <w:marLeft w:val="0"/>
      <w:marRight w:val="0"/>
      <w:marTop w:val="0"/>
      <w:marBottom w:val="0"/>
      <w:divBdr>
        <w:top w:val="none" w:sz="0" w:space="0" w:color="auto"/>
        <w:left w:val="none" w:sz="0" w:space="0" w:color="auto"/>
        <w:bottom w:val="none" w:sz="0" w:space="0" w:color="auto"/>
        <w:right w:val="none" w:sz="0" w:space="0" w:color="auto"/>
      </w:divBdr>
      <w:divsChild>
        <w:div w:id="1068915120">
          <w:marLeft w:val="0"/>
          <w:marRight w:val="0"/>
          <w:marTop w:val="0"/>
          <w:marBottom w:val="0"/>
          <w:divBdr>
            <w:top w:val="none" w:sz="0" w:space="0" w:color="auto"/>
            <w:left w:val="none" w:sz="0" w:space="0" w:color="auto"/>
            <w:bottom w:val="none" w:sz="0" w:space="0" w:color="auto"/>
            <w:right w:val="none" w:sz="0" w:space="0" w:color="auto"/>
          </w:divBdr>
          <w:divsChild>
            <w:div w:id="333608830">
              <w:marLeft w:val="0"/>
              <w:marRight w:val="0"/>
              <w:marTop w:val="0"/>
              <w:marBottom w:val="0"/>
              <w:divBdr>
                <w:top w:val="none" w:sz="0" w:space="0" w:color="auto"/>
                <w:left w:val="none" w:sz="0" w:space="0" w:color="auto"/>
                <w:bottom w:val="none" w:sz="0" w:space="0" w:color="auto"/>
                <w:right w:val="none" w:sz="0" w:space="0" w:color="auto"/>
              </w:divBdr>
              <w:divsChild>
                <w:div w:id="1157303501">
                  <w:marLeft w:val="0"/>
                  <w:marRight w:val="0"/>
                  <w:marTop w:val="0"/>
                  <w:marBottom w:val="0"/>
                  <w:divBdr>
                    <w:top w:val="none" w:sz="0" w:space="0" w:color="auto"/>
                    <w:left w:val="none" w:sz="0" w:space="0" w:color="auto"/>
                    <w:bottom w:val="none" w:sz="0" w:space="0" w:color="auto"/>
                    <w:right w:val="none" w:sz="0" w:space="0" w:color="auto"/>
                  </w:divBdr>
                  <w:divsChild>
                    <w:div w:id="5399974">
                      <w:marLeft w:val="0"/>
                      <w:marRight w:val="0"/>
                      <w:marTop w:val="0"/>
                      <w:marBottom w:val="0"/>
                      <w:divBdr>
                        <w:top w:val="none" w:sz="0" w:space="0" w:color="auto"/>
                        <w:left w:val="none" w:sz="0" w:space="0" w:color="auto"/>
                        <w:bottom w:val="none" w:sz="0" w:space="0" w:color="auto"/>
                        <w:right w:val="none" w:sz="0" w:space="0" w:color="auto"/>
                      </w:divBdr>
                      <w:divsChild>
                        <w:div w:id="1209613099">
                          <w:marLeft w:val="0"/>
                          <w:marRight w:val="0"/>
                          <w:marTop w:val="0"/>
                          <w:marBottom w:val="0"/>
                          <w:divBdr>
                            <w:top w:val="none" w:sz="0" w:space="0" w:color="auto"/>
                            <w:left w:val="none" w:sz="0" w:space="0" w:color="auto"/>
                            <w:bottom w:val="none" w:sz="0" w:space="0" w:color="auto"/>
                            <w:right w:val="none" w:sz="0" w:space="0" w:color="auto"/>
                          </w:divBdr>
                          <w:divsChild>
                            <w:div w:id="142436154">
                              <w:marLeft w:val="0"/>
                              <w:marRight w:val="0"/>
                              <w:marTop w:val="0"/>
                              <w:marBottom w:val="0"/>
                              <w:divBdr>
                                <w:top w:val="none" w:sz="0" w:space="0" w:color="auto"/>
                                <w:left w:val="none" w:sz="0" w:space="0" w:color="auto"/>
                                <w:bottom w:val="none" w:sz="0" w:space="0" w:color="auto"/>
                                <w:right w:val="none" w:sz="0" w:space="0" w:color="auto"/>
                              </w:divBdr>
                              <w:divsChild>
                                <w:div w:id="1350719471">
                                  <w:marLeft w:val="0"/>
                                  <w:marRight w:val="0"/>
                                  <w:marTop w:val="0"/>
                                  <w:marBottom w:val="0"/>
                                  <w:divBdr>
                                    <w:top w:val="single" w:sz="4" w:space="0" w:color="F5F5F5"/>
                                    <w:left w:val="single" w:sz="4" w:space="0" w:color="F5F5F5"/>
                                    <w:bottom w:val="single" w:sz="4" w:space="0" w:color="F5F5F5"/>
                                    <w:right w:val="single" w:sz="4" w:space="0" w:color="F5F5F5"/>
                                  </w:divBdr>
                                  <w:divsChild>
                                    <w:div w:id="527570878">
                                      <w:marLeft w:val="0"/>
                                      <w:marRight w:val="0"/>
                                      <w:marTop w:val="0"/>
                                      <w:marBottom w:val="0"/>
                                      <w:divBdr>
                                        <w:top w:val="none" w:sz="0" w:space="0" w:color="auto"/>
                                        <w:left w:val="none" w:sz="0" w:space="0" w:color="auto"/>
                                        <w:bottom w:val="none" w:sz="0" w:space="0" w:color="auto"/>
                                        <w:right w:val="none" w:sz="0" w:space="0" w:color="auto"/>
                                      </w:divBdr>
                                      <w:divsChild>
                                        <w:div w:id="17842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049280">
      <w:bodyDiv w:val="1"/>
      <w:marLeft w:val="0"/>
      <w:marRight w:val="0"/>
      <w:marTop w:val="0"/>
      <w:marBottom w:val="0"/>
      <w:divBdr>
        <w:top w:val="none" w:sz="0" w:space="0" w:color="auto"/>
        <w:left w:val="none" w:sz="0" w:space="0" w:color="auto"/>
        <w:bottom w:val="none" w:sz="0" w:space="0" w:color="auto"/>
        <w:right w:val="none" w:sz="0" w:space="0" w:color="auto"/>
      </w:divBdr>
      <w:divsChild>
        <w:div w:id="827402692">
          <w:marLeft w:val="0"/>
          <w:marRight w:val="0"/>
          <w:marTop w:val="0"/>
          <w:marBottom w:val="0"/>
          <w:divBdr>
            <w:top w:val="none" w:sz="0" w:space="0" w:color="auto"/>
            <w:left w:val="none" w:sz="0" w:space="0" w:color="auto"/>
            <w:bottom w:val="none" w:sz="0" w:space="0" w:color="auto"/>
            <w:right w:val="none" w:sz="0" w:space="0" w:color="auto"/>
          </w:divBdr>
          <w:divsChild>
            <w:div w:id="945112157">
              <w:marLeft w:val="0"/>
              <w:marRight w:val="0"/>
              <w:marTop w:val="0"/>
              <w:marBottom w:val="0"/>
              <w:divBdr>
                <w:top w:val="none" w:sz="0" w:space="0" w:color="auto"/>
                <w:left w:val="none" w:sz="0" w:space="0" w:color="auto"/>
                <w:bottom w:val="none" w:sz="0" w:space="0" w:color="auto"/>
                <w:right w:val="none" w:sz="0" w:space="0" w:color="auto"/>
              </w:divBdr>
              <w:divsChild>
                <w:div w:id="723600420">
                  <w:marLeft w:val="0"/>
                  <w:marRight w:val="0"/>
                  <w:marTop w:val="0"/>
                  <w:marBottom w:val="0"/>
                  <w:divBdr>
                    <w:top w:val="none" w:sz="0" w:space="0" w:color="auto"/>
                    <w:left w:val="none" w:sz="0" w:space="0" w:color="auto"/>
                    <w:bottom w:val="none" w:sz="0" w:space="0" w:color="auto"/>
                    <w:right w:val="none" w:sz="0" w:space="0" w:color="auto"/>
                  </w:divBdr>
                  <w:divsChild>
                    <w:div w:id="1520703411">
                      <w:marLeft w:val="0"/>
                      <w:marRight w:val="0"/>
                      <w:marTop w:val="0"/>
                      <w:marBottom w:val="0"/>
                      <w:divBdr>
                        <w:top w:val="none" w:sz="0" w:space="0" w:color="auto"/>
                        <w:left w:val="none" w:sz="0" w:space="0" w:color="auto"/>
                        <w:bottom w:val="none" w:sz="0" w:space="0" w:color="auto"/>
                        <w:right w:val="none" w:sz="0" w:space="0" w:color="auto"/>
                      </w:divBdr>
                      <w:divsChild>
                        <w:div w:id="1224678648">
                          <w:marLeft w:val="0"/>
                          <w:marRight w:val="0"/>
                          <w:marTop w:val="0"/>
                          <w:marBottom w:val="0"/>
                          <w:divBdr>
                            <w:top w:val="none" w:sz="0" w:space="0" w:color="auto"/>
                            <w:left w:val="none" w:sz="0" w:space="0" w:color="auto"/>
                            <w:bottom w:val="none" w:sz="0" w:space="0" w:color="auto"/>
                            <w:right w:val="none" w:sz="0" w:space="0" w:color="auto"/>
                          </w:divBdr>
                          <w:divsChild>
                            <w:div w:id="1719359372">
                              <w:marLeft w:val="0"/>
                              <w:marRight w:val="0"/>
                              <w:marTop w:val="0"/>
                              <w:marBottom w:val="0"/>
                              <w:divBdr>
                                <w:top w:val="none" w:sz="0" w:space="0" w:color="auto"/>
                                <w:left w:val="none" w:sz="0" w:space="0" w:color="auto"/>
                                <w:bottom w:val="none" w:sz="0" w:space="0" w:color="auto"/>
                                <w:right w:val="none" w:sz="0" w:space="0" w:color="auto"/>
                              </w:divBdr>
                              <w:divsChild>
                                <w:div w:id="964896473">
                                  <w:marLeft w:val="0"/>
                                  <w:marRight w:val="0"/>
                                  <w:marTop w:val="0"/>
                                  <w:marBottom w:val="0"/>
                                  <w:divBdr>
                                    <w:top w:val="single" w:sz="4" w:space="0" w:color="F5F5F5"/>
                                    <w:left w:val="single" w:sz="4" w:space="0" w:color="F5F5F5"/>
                                    <w:bottom w:val="single" w:sz="4" w:space="0" w:color="F5F5F5"/>
                                    <w:right w:val="single" w:sz="4" w:space="0" w:color="F5F5F5"/>
                                  </w:divBdr>
                                  <w:divsChild>
                                    <w:div w:id="1358119275">
                                      <w:marLeft w:val="0"/>
                                      <w:marRight w:val="0"/>
                                      <w:marTop w:val="0"/>
                                      <w:marBottom w:val="0"/>
                                      <w:divBdr>
                                        <w:top w:val="none" w:sz="0" w:space="0" w:color="auto"/>
                                        <w:left w:val="none" w:sz="0" w:space="0" w:color="auto"/>
                                        <w:bottom w:val="none" w:sz="0" w:space="0" w:color="auto"/>
                                        <w:right w:val="none" w:sz="0" w:space="0" w:color="auto"/>
                                      </w:divBdr>
                                      <w:divsChild>
                                        <w:div w:id="1121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050481">
      <w:bodyDiv w:val="1"/>
      <w:marLeft w:val="0"/>
      <w:marRight w:val="0"/>
      <w:marTop w:val="0"/>
      <w:marBottom w:val="0"/>
      <w:divBdr>
        <w:top w:val="none" w:sz="0" w:space="0" w:color="auto"/>
        <w:left w:val="none" w:sz="0" w:space="0" w:color="auto"/>
        <w:bottom w:val="none" w:sz="0" w:space="0" w:color="auto"/>
        <w:right w:val="none" w:sz="0" w:space="0" w:color="auto"/>
      </w:divBdr>
      <w:divsChild>
        <w:div w:id="437214704">
          <w:marLeft w:val="0"/>
          <w:marRight w:val="0"/>
          <w:marTop w:val="0"/>
          <w:marBottom w:val="0"/>
          <w:divBdr>
            <w:top w:val="none" w:sz="0" w:space="0" w:color="auto"/>
            <w:left w:val="none" w:sz="0" w:space="0" w:color="auto"/>
            <w:bottom w:val="none" w:sz="0" w:space="0" w:color="auto"/>
            <w:right w:val="none" w:sz="0" w:space="0" w:color="auto"/>
          </w:divBdr>
          <w:divsChild>
            <w:div w:id="959802469">
              <w:marLeft w:val="0"/>
              <w:marRight w:val="0"/>
              <w:marTop w:val="0"/>
              <w:marBottom w:val="0"/>
              <w:divBdr>
                <w:top w:val="none" w:sz="0" w:space="0" w:color="auto"/>
                <w:left w:val="none" w:sz="0" w:space="0" w:color="auto"/>
                <w:bottom w:val="none" w:sz="0" w:space="0" w:color="auto"/>
                <w:right w:val="none" w:sz="0" w:space="0" w:color="auto"/>
              </w:divBdr>
              <w:divsChild>
                <w:div w:id="1583371355">
                  <w:marLeft w:val="0"/>
                  <w:marRight w:val="0"/>
                  <w:marTop w:val="0"/>
                  <w:marBottom w:val="0"/>
                  <w:divBdr>
                    <w:top w:val="none" w:sz="0" w:space="0" w:color="auto"/>
                    <w:left w:val="none" w:sz="0" w:space="0" w:color="auto"/>
                    <w:bottom w:val="none" w:sz="0" w:space="0" w:color="auto"/>
                    <w:right w:val="none" w:sz="0" w:space="0" w:color="auto"/>
                  </w:divBdr>
                  <w:divsChild>
                    <w:div w:id="402682567">
                      <w:marLeft w:val="0"/>
                      <w:marRight w:val="0"/>
                      <w:marTop w:val="0"/>
                      <w:marBottom w:val="0"/>
                      <w:divBdr>
                        <w:top w:val="none" w:sz="0" w:space="0" w:color="auto"/>
                        <w:left w:val="none" w:sz="0" w:space="0" w:color="auto"/>
                        <w:bottom w:val="none" w:sz="0" w:space="0" w:color="auto"/>
                        <w:right w:val="none" w:sz="0" w:space="0" w:color="auto"/>
                      </w:divBdr>
                      <w:divsChild>
                        <w:div w:id="603995765">
                          <w:marLeft w:val="0"/>
                          <w:marRight w:val="0"/>
                          <w:marTop w:val="0"/>
                          <w:marBottom w:val="0"/>
                          <w:divBdr>
                            <w:top w:val="none" w:sz="0" w:space="0" w:color="auto"/>
                            <w:left w:val="none" w:sz="0" w:space="0" w:color="auto"/>
                            <w:bottom w:val="none" w:sz="0" w:space="0" w:color="auto"/>
                            <w:right w:val="none" w:sz="0" w:space="0" w:color="auto"/>
                          </w:divBdr>
                          <w:divsChild>
                            <w:div w:id="39746736">
                              <w:marLeft w:val="0"/>
                              <w:marRight w:val="0"/>
                              <w:marTop w:val="0"/>
                              <w:marBottom w:val="0"/>
                              <w:divBdr>
                                <w:top w:val="none" w:sz="0" w:space="0" w:color="auto"/>
                                <w:left w:val="none" w:sz="0" w:space="0" w:color="auto"/>
                                <w:bottom w:val="none" w:sz="0" w:space="0" w:color="auto"/>
                                <w:right w:val="none" w:sz="0" w:space="0" w:color="auto"/>
                              </w:divBdr>
                              <w:divsChild>
                                <w:div w:id="487526758">
                                  <w:marLeft w:val="0"/>
                                  <w:marRight w:val="0"/>
                                  <w:marTop w:val="0"/>
                                  <w:marBottom w:val="0"/>
                                  <w:divBdr>
                                    <w:top w:val="none" w:sz="0" w:space="0" w:color="auto"/>
                                    <w:left w:val="none" w:sz="0" w:space="0" w:color="auto"/>
                                    <w:bottom w:val="none" w:sz="0" w:space="0" w:color="auto"/>
                                    <w:right w:val="none" w:sz="0" w:space="0" w:color="auto"/>
                                  </w:divBdr>
                                  <w:divsChild>
                                    <w:div w:id="2055540494">
                                      <w:marLeft w:val="0"/>
                                      <w:marRight w:val="0"/>
                                      <w:marTop w:val="0"/>
                                      <w:marBottom w:val="0"/>
                                      <w:divBdr>
                                        <w:top w:val="single" w:sz="4" w:space="0" w:color="F5F5F5"/>
                                        <w:left w:val="single" w:sz="4" w:space="0" w:color="F5F5F5"/>
                                        <w:bottom w:val="single" w:sz="4" w:space="0" w:color="F5F5F5"/>
                                        <w:right w:val="single" w:sz="4" w:space="0" w:color="F5F5F5"/>
                                      </w:divBdr>
                                      <w:divsChild>
                                        <w:div w:id="501238862">
                                          <w:marLeft w:val="0"/>
                                          <w:marRight w:val="0"/>
                                          <w:marTop w:val="0"/>
                                          <w:marBottom w:val="0"/>
                                          <w:divBdr>
                                            <w:top w:val="none" w:sz="0" w:space="0" w:color="auto"/>
                                            <w:left w:val="none" w:sz="0" w:space="0" w:color="auto"/>
                                            <w:bottom w:val="none" w:sz="0" w:space="0" w:color="auto"/>
                                            <w:right w:val="none" w:sz="0" w:space="0" w:color="auto"/>
                                          </w:divBdr>
                                          <w:divsChild>
                                            <w:div w:id="139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677368">
      <w:bodyDiv w:val="1"/>
      <w:marLeft w:val="0"/>
      <w:marRight w:val="0"/>
      <w:marTop w:val="0"/>
      <w:marBottom w:val="0"/>
      <w:divBdr>
        <w:top w:val="none" w:sz="0" w:space="0" w:color="auto"/>
        <w:left w:val="none" w:sz="0" w:space="0" w:color="auto"/>
        <w:bottom w:val="none" w:sz="0" w:space="0" w:color="auto"/>
        <w:right w:val="none" w:sz="0" w:space="0" w:color="auto"/>
      </w:divBdr>
      <w:divsChild>
        <w:div w:id="1999261711">
          <w:marLeft w:val="0"/>
          <w:marRight w:val="0"/>
          <w:marTop w:val="0"/>
          <w:marBottom w:val="0"/>
          <w:divBdr>
            <w:top w:val="none" w:sz="0" w:space="0" w:color="auto"/>
            <w:left w:val="none" w:sz="0" w:space="0" w:color="auto"/>
            <w:bottom w:val="none" w:sz="0" w:space="0" w:color="auto"/>
            <w:right w:val="none" w:sz="0" w:space="0" w:color="auto"/>
          </w:divBdr>
          <w:divsChild>
            <w:div w:id="1067533897">
              <w:marLeft w:val="0"/>
              <w:marRight w:val="0"/>
              <w:marTop w:val="0"/>
              <w:marBottom w:val="0"/>
              <w:divBdr>
                <w:top w:val="none" w:sz="0" w:space="0" w:color="auto"/>
                <w:left w:val="none" w:sz="0" w:space="0" w:color="auto"/>
                <w:bottom w:val="none" w:sz="0" w:space="0" w:color="auto"/>
                <w:right w:val="none" w:sz="0" w:space="0" w:color="auto"/>
              </w:divBdr>
              <w:divsChild>
                <w:div w:id="312299180">
                  <w:marLeft w:val="0"/>
                  <w:marRight w:val="0"/>
                  <w:marTop w:val="0"/>
                  <w:marBottom w:val="0"/>
                  <w:divBdr>
                    <w:top w:val="none" w:sz="0" w:space="0" w:color="auto"/>
                    <w:left w:val="none" w:sz="0" w:space="0" w:color="auto"/>
                    <w:bottom w:val="none" w:sz="0" w:space="0" w:color="auto"/>
                    <w:right w:val="none" w:sz="0" w:space="0" w:color="auto"/>
                  </w:divBdr>
                  <w:divsChild>
                    <w:div w:id="63797100">
                      <w:marLeft w:val="0"/>
                      <w:marRight w:val="0"/>
                      <w:marTop w:val="0"/>
                      <w:marBottom w:val="0"/>
                      <w:divBdr>
                        <w:top w:val="none" w:sz="0" w:space="0" w:color="auto"/>
                        <w:left w:val="none" w:sz="0" w:space="0" w:color="auto"/>
                        <w:bottom w:val="none" w:sz="0" w:space="0" w:color="auto"/>
                        <w:right w:val="none" w:sz="0" w:space="0" w:color="auto"/>
                      </w:divBdr>
                      <w:divsChild>
                        <w:div w:id="1903368691">
                          <w:marLeft w:val="0"/>
                          <w:marRight w:val="0"/>
                          <w:marTop w:val="0"/>
                          <w:marBottom w:val="0"/>
                          <w:divBdr>
                            <w:top w:val="none" w:sz="0" w:space="0" w:color="auto"/>
                            <w:left w:val="none" w:sz="0" w:space="0" w:color="auto"/>
                            <w:bottom w:val="none" w:sz="0" w:space="0" w:color="auto"/>
                            <w:right w:val="none" w:sz="0" w:space="0" w:color="auto"/>
                          </w:divBdr>
                          <w:divsChild>
                            <w:div w:id="1119686136">
                              <w:marLeft w:val="0"/>
                              <w:marRight w:val="0"/>
                              <w:marTop w:val="0"/>
                              <w:marBottom w:val="0"/>
                              <w:divBdr>
                                <w:top w:val="none" w:sz="0" w:space="0" w:color="auto"/>
                                <w:left w:val="none" w:sz="0" w:space="0" w:color="auto"/>
                                <w:bottom w:val="none" w:sz="0" w:space="0" w:color="auto"/>
                                <w:right w:val="none" w:sz="0" w:space="0" w:color="auto"/>
                              </w:divBdr>
                              <w:divsChild>
                                <w:div w:id="2069453415">
                                  <w:marLeft w:val="0"/>
                                  <w:marRight w:val="0"/>
                                  <w:marTop w:val="0"/>
                                  <w:marBottom w:val="0"/>
                                  <w:divBdr>
                                    <w:top w:val="single" w:sz="4" w:space="0" w:color="F5F5F5"/>
                                    <w:left w:val="single" w:sz="4" w:space="0" w:color="F5F5F5"/>
                                    <w:bottom w:val="single" w:sz="4" w:space="0" w:color="F5F5F5"/>
                                    <w:right w:val="single" w:sz="4" w:space="0" w:color="F5F5F5"/>
                                  </w:divBdr>
                                  <w:divsChild>
                                    <w:div w:id="2008097874">
                                      <w:marLeft w:val="0"/>
                                      <w:marRight w:val="0"/>
                                      <w:marTop w:val="0"/>
                                      <w:marBottom w:val="0"/>
                                      <w:divBdr>
                                        <w:top w:val="none" w:sz="0" w:space="0" w:color="auto"/>
                                        <w:left w:val="none" w:sz="0" w:space="0" w:color="auto"/>
                                        <w:bottom w:val="none" w:sz="0" w:space="0" w:color="auto"/>
                                        <w:right w:val="none" w:sz="0" w:space="0" w:color="auto"/>
                                      </w:divBdr>
                                      <w:divsChild>
                                        <w:div w:id="13004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284870">
      <w:bodyDiv w:val="1"/>
      <w:marLeft w:val="0"/>
      <w:marRight w:val="0"/>
      <w:marTop w:val="0"/>
      <w:marBottom w:val="0"/>
      <w:divBdr>
        <w:top w:val="none" w:sz="0" w:space="0" w:color="auto"/>
        <w:left w:val="none" w:sz="0" w:space="0" w:color="auto"/>
        <w:bottom w:val="none" w:sz="0" w:space="0" w:color="auto"/>
        <w:right w:val="none" w:sz="0" w:space="0" w:color="auto"/>
      </w:divBdr>
      <w:divsChild>
        <w:div w:id="335882422">
          <w:marLeft w:val="0"/>
          <w:marRight w:val="0"/>
          <w:marTop w:val="0"/>
          <w:marBottom w:val="0"/>
          <w:divBdr>
            <w:top w:val="none" w:sz="0" w:space="0" w:color="auto"/>
            <w:left w:val="none" w:sz="0" w:space="0" w:color="auto"/>
            <w:bottom w:val="none" w:sz="0" w:space="0" w:color="auto"/>
            <w:right w:val="none" w:sz="0" w:space="0" w:color="auto"/>
          </w:divBdr>
          <w:divsChild>
            <w:div w:id="264505138">
              <w:marLeft w:val="0"/>
              <w:marRight w:val="0"/>
              <w:marTop w:val="0"/>
              <w:marBottom w:val="0"/>
              <w:divBdr>
                <w:top w:val="none" w:sz="0" w:space="0" w:color="auto"/>
                <w:left w:val="none" w:sz="0" w:space="0" w:color="auto"/>
                <w:bottom w:val="none" w:sz="0" w:space="0" w:color="auto"/>
                <w:right w:val="none" w:sz="0" w:space="0" w:color="auto"/>
              </w:divBdr>
              <w:divsChild>
                <w:div w:id="1506823564">
                  <w:marLeft w:val="0"/>
                  <w:marRight w:val="0"/>
                  <w:marTop w:val="0"/>
                  <w:marBottom w:val="0"/>
                  <w:divBdr>
                    <w:top w:val="none" w:sz="0" w:space="0" w:color="auto"/>
                    <w:left w:val="none" w:sz="0" w:space="0" w:color="auto"/>
                    <w:bottom w:val="none" w:sz="0" w:space="0" w:color="auto"/>
                    <w:right w:val="none" w:sz="0" w:space="0" w:color="auto"/>
                  </w:divBdr>
                  <w:divsChild>
                    <w:div w:id="945116568">
                      <w:marLeft w:val="0"/>
                      <w:marRight w:val="0"/>
                      <w:marTop w:val="0"/>
                      <w:marBottom w:val="0"/>
                      <w:divBdr>
                        <w:top w:val="none" w:sz="0" w:space="0" w:color="auto"/>
                        <w:left w:val="none" w:sz="0" w:space="0" w:color="auto"/>
                        <w:bottom w:val="none" w:sz="0" w:space="0" w:color="auto"/>
                        <w:right w:val="none" w:sz="0" w:space="0" w:color="auto"/>
                      </w:divBdr>
                      <w:divsChild>
                        <w:div w:id="590313158">
                          <w:marLeft w:val="0"/>
                          <w:marRight w:val="0"/>
                          <w:marTop w:val="0"/>
                          <w:marBottom w:val="0"/>
                          <w:divBdr>
                            <w:top w:val="none" w:sz="0" w:space="0" w:color="auto"/>
                            <w:left w:val="none" w:sz="0" w:space="0" w:color="auto"/>
                            <w:bottom w:val="none" w:sz="0" w:space="0" w:color="auto"/>
                            <w:right w:val="none" w:sz="0" w:space="0" w:color="auto"/>
                          </w:divBdr>
                          <w:divsChild>
                            <w:div w:id="1871455836">
                              <w:marLeft w:val="0"/>
                              <w:marRight w:val="0"/>
                              <w:marTop w:val="0"/>
                              <w:marBottom w:val="0"/>
                              <w:divBdr>
                                <w:top w:val="none" w:sz="0" w:space="0" w:color="auto"/>
                                <w:left w:val="none" w:sz="0" w:space="0" w:color="auto"/>
                                <w:bottom w:val="none" w:sz="0" w:space="0" w:color="auto"/>
                                <w:right w:val="none" w:sz="0" w:space="0" w:color="auto"/>
                              </w:divBdr>
                              <w:divsChild>
                                <w:div w:id="1487890309">
                                  <w:marLeft w:val="0"/>
                                  <w:marRight w:val="0"/>
                                  <w:marTop w:val="0"/>
                                  <w:marBottom w:val="0"/>
                                  <w:divBdr>
                                    <w:top w:val="single" w:sz="4" w:space="0" w:color="F5F5F5"/>
                                    <w:left w:val="single" w:sz="4" w:space="0" w:color="F5F5F5"/>
                                    <w:bottom w:val="single" w:sz="4" w:space="0" w:color="F5F5F5"/>
                                    <w:right w:val="single" w:sz="4" w:space="0" w:color="F5F5F5"/>
                                  </w:divBdr>
                                  <w:divsChild>
                                    <w:div w:id="449009312">
                                      <w:marLeft w:val="0"/>
                                      <w:marRight w:val="0"/>
                                      <w:marTop w:val="0"/>
                                      <w:marBottom w:val="0"/>
                                      <w:divBdr>
                                        <w:top w:val="none" w:sz="0" w:space="0" w:color="auto"/>
                                        <w:left w:val="none" w:sz="0" w:space="0" w:color="auto"/>
                                        <w:bottom w:val="none" w:sz="0" w:space="0" w:color="auto"/>
                                        <w:right w:val="none" w:sz="0" w:space="0" w:color="auto"/>
                                      </w:divBdr>
                                      <w:divsChild>
                                        <w:div w:id="15915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360879">
      <w:bodyDiv w:val="1"/>
      <w:marLeft w:val="0"/>
      <w:marRight w:val="0"/>
      <w:marTop w:val="0"/>
      <w:marBottom w:val="0"/>
      <w:divBdr>
        <w:top w:val="none" w:sz="0" w:space="0" w:color="auto"/>
        <w:left w:val="none" w:sz="0" w:space="0" w:color="auto"/>
        <w:bottom w:val="none" w:sz="0" w:space="0" w:color="auto"/>
        <w:right w:val="none" w:sz="0" w:space="0" w:color="auto"/>
      </w:divBdr>
      <w:divsChild>
        <w:div w:id="39474712">
          <w:marLeft w:val="0"/>
          <w:marRight w:val="0"/>
          <w:marTop w:val="0"/>
          <w:marBottom w:val="0"/>
          <w:divBdr>
            <w:top w:val="none" w:sz="0" w:space="0" w:color="auto"/>
            <w:left w:val="none" w:sz="0" w:space="0" w:color="auto"/>
            <w:bottom w:val="none" w:sz="0" w:space="0" w:color="auto"/>
            <w:right w:val="none" w:sz="0" w:space="0" w:color="auto"/>
          </w:divBdr>
          <w:divsChild>
            <w:div w:id="307561686">
              <w:marLeft w:val="0"/>
              <w:marRight w:val="0"/>
              <w:marTop w:val="0"/>
              <w:marBottom w:val="0"/>
              <w:divBdr>
                <w:top w:val="none" w:sz="0" w:space="0" w:color="auto"/>
                <w:left w:val="none" w:sz="0" w:space="0" w:color="auto"/>
                <w:bottom w:val="none" w:sz="0" w:space="0" w:color="auto"/>
                <w:right w:val="none" w:sz="0" w:space="0" w:color="auto"/>
              </w:divBdr>
              <w:divsChild>
                <w:div w:id="1338462698">
                  <w:marLeft w:val="0"/>
                  <w:marRight w:val="0"/>
                  <w:marTop w:val="0"/>
                  <w:marBottom w:val="0"/>
                  <w:divBdr>
                    <w:top w:val="none" w:sz="0" w:space="0" w:color="auto"/>
                    <w:left w:val="none" w:sz="0" w:space="0" w:color="auto"/>
                    <w:bottom w:val="none" w:sz="0" w:space="0" w:color="auto"/>
                    <w:right w:val="none" w:sz="0" w:space="0" w:color="auto"/>
                  </w:divBdr>
                  <w:divsChild>
                    <w:div w:id="875124113">
                      <w:marLeft w:val="0"/>
                      <w:marRight w:val="0"/>
                      <w:marTop w:val="0"/>
                      <w:marBottom w:val="0"/>
                      <w:divBdr>
                        <w:top w:val="none" w:sz="0" w:space="0" w:color="auto"/>
                        <w:left w:val="none" w:sz="0" w:space="0" w:color="auto"/>
                        <w:bottom w:val="none" w:sz="0" w:space="0" w:color="auto"/>
                        <w:right w:val="none" w:sz="0" w:space="0" w:color="auto"/>
                      </w:divBdr>
                      <w:divsChild>
                        <w:div w:id="325134283">
                          <w:marLeft w:val="0"/>
                          <w:marRight w:val="0"/>
                          <w:marTop w:val="0"/>
                          <w:marBottom w:val="0"/>
                          <w:divBdr>
                            <w:top w:val="none" w:sz="0" w:space="0" w:color="auto"/>
                            <w:left w:val="none" w:sz="0" w:space="0" w:color="auto"/>
                            <w:bottom w:val="none" w:sz="0" w:space="0" w:color="auto"/>
                            <w:right w:val="none" w:sz="0" w:space="0" w:color="auto"/>
                          </w:divBdr>
                          <w:divsChild>
                            <w:div w:id="1486623742">
                              <w:marLeft w:val="0"/>
                              <w:marRight w:val="0"/>
                              <w:marTop w:val="0"/>
                              <w:marBottom w:val="0"/>
                              <w:divBdr>
                                <w:top w:val="none" w:sz="0" w:space="0" w:color="auto"/>
                                <w:left w:val="none" w:sz="0" w:space="0" w:color="auto"/>
                                <w:bottom w:val="none" w:sz="0" w:space="0" w:color="auto"/>
                                <w:right w:val="none" w:sz="0" w:space="0" w:color="auto"/>
                              </w:divBdr>
                              <w:divsChild>
                                <w:div w:id="1063602904">
                                  <w:marLeft w:val="0"/>
                                  <w:marRight w:val="0"/>
                                  <w:marTop w:val="0"/>
                                  <w:marBottom w:val="0"/>
                                  <w:divBdr>
                                    <w:top w:val="single" w:sz="4" w:space="0" w:color="F5F5F5"/>
                                    <w:left w:val="single" w:sz="4" w:space="0" w:color="F5F5F5"/>
                                    <w:bottom w:val="single" w:sz="4" w:space="0" w:color="F5F5F5"/>
                                    <w:right w:val="single" w:sz="4" w:space="0" w:color="F5F5F5"/>
                                  </w:divBdr>
                                  <w:divsChild>
                                    <w:div w:id="2054646386">
                                      <w:marLeft w:val="0"/>
                                      <w:marRight w:val="0"/>
                                      <w:marTop w:val="0"/>
                                      <w:marBottom w:val="0"/>
                                      <w:divBdr>
                                        <w:top w:val="none" w:sz="0" w:space="0" w:color="auto"/>
                                        <w:left w:val="none" w:sz="0" w:space="0" w:color="auto"/>
                                        <w:bottom w:val="none" w:sz="0" w:space="0" w:color="auto"/>
                                        <w:right w:val="none" w:sz="0" w:space="0" w:color="auto"/>
                                      </w:divBdr>
                                      <w:divsChild>
                                        <w:div w:id="16302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063330">
      <w:bodyDiv w:val="1"/>
      <w:marLeft w:val="0"/>
      <w:marRight w:val="0"/>
      <w:marTop w:val="0"/>
      <w:marBottom w:val="0"/>
      <w:divBdr>
        <w:top w:val="none" w:sz="0" w:space="0" w:color="auto"/>
        <w:left w:val="none" w:sz="0" w:space="0" w:color="auto"/>
        <w:bottom w:val="none" w:sz="0" w:space="0" w:color="auto"/>
        <w:right w:val="none" w:sz="0" w:space="0" w:color="auto"/>
      </w:divBdr>
      <w:divsChild>
        <w:div w:id="704911902">
          <w:marLeft w:val="0"/>
          <w:marRight w:val="0"/>
          <w:marTop w:val="0"/>
          <w:marBottom w:val="0"/>
          <w:divBdr>
            <w:top w:val="none" w:sz="0" w:space="0" w:color="auto"/>
            <w:left w:val="none" w:sz="0" w:space="0" w:color="auto"/>
            <w:bottom w:val="none" w:sz="0" w:space="0" w:color="auto"/>
            <w:right w:val="none" w:sz="0" w:space="0" w:color="auto"/>
          </w:divBdr>
          <w:divsChild>
            <w:div w:id="591203757">
              <w:marLeft w:val="0"/>
              <w:marRight w:val="0"/>
              <w:marTop w:val="0"/>
              <w:marBottom w:val="0"/>
              <w:divBdr>
                <w:top w:val="none" w:sz="0" w:space="0" w:color="auto"/>
                <w:left w:val="none" w:sz="0" w:space="0" w:color="auto"/>
                <w:bottom w:val="none" w:sz="0" w:space="0" w:color="auto"/>
                <w:right w:val="none" w:sz="0" w:space="0" w:color="auto"/>
              </w:divBdr>
              <w:divsChild>
                <w:div w:id="1036976633">
                  <w:marLeft w:val="0"/>
                  <w:marRight w:val="0"/>
                  <w:marTop w:val="0"/>
                  <w:marBottom w:val="0"/>
                  <w:divBdr>
                    <w:top w:val="none" w:sz="0" w:space="0" w:color="auto"/>
                    <w:left w:val="none" w:sz="0" w:space="0" w:color="auto"/>
                    <w:bottom w:val="none" w:sz="0" w:space="0" w:color="auto"/>
                    <w:right w:val="none" w:sz="0" w:space="0" w:color="auto"/>
                  </w:divBdr>
                  <w:divsChild>
                    <w:div w:id="482897352">
                      <w:marLeft w:val="0"/>
                      <w:marRight w:val="0"/>
                      <w:marTop w:val="0"/>
                      <w:marBottom w:val="0"/>
                      <w:divBdr>
                        <w:top w:val="none" w:sz="0" w:space="0" w:color="auto"/>
                        <w:left w:val="none" w:sz="0" w:space="0" w:color="auto"/>
                        <w:bottom w:val="none" w:sz="0" w:space="0" w:color="auto"/>
                        <w:right w:val="none" w:sz="0" w:space="0" w:color="auto"/>
                      </w:divBdr>
                      <w:divsChild>
                        <w:div w:id="196283010">
                          <w:marLeft w:val="0"/>
                          <w:marRight w:val="0"/>
                          <w:marTop w:val="0"/>
                          <w:marBottom w:val="0"/>
                          <w:divBdr>
                            <w:top w:val="none" w:sz="0" w:space="0" w:color="auto"/>
                            <w:left w:val="none" w:sz="0" w:space="0" w:color="auto"/>
                            <w:bottom w:val="none" w:sz="0" w:space="0" w:color="auto"/>
                            <w:right w:val="none" w:sz="0" w:space="0" w:color="auto"/>
                          </w:divBdr>
                          <w:divsChild>
                            <w:div w:id="344018603">
                              <w:marLeft w:val="0"/>
                              <w:marRight w:val="0"/>
                              <w:marTop w:val="0"/>
                              <w:marBottom w:val="0"/>
                              <w:divBdr>
                                <w:top w:val="none" w:sz="0" w:space="0" w:color="auto"/>
                                <w:left w:val="none" w:sz="0" w:space="0" w:color="auto"/>
                                <w:bottom w:val="none" w:sz="0" w:space="0" w:color="auto"/>
                                <w:right w:val="none" w:sz="0" w:space="0" w:color="auto"/>
                              </w:divBdr>
                              <w:divsChild>
                                <w:div w:id="190189573">
                                  <w:marLeft w:val="0"/>
                                  <w:marRight w:val="0"/>
                                  <w:marTop w:val="0"/>
                                  <w:marBottom w:val="0"/>
                                  <w:divBdr>
                                    <w:top w:val="single" w:sz="4" w:space="0" w:color="F5F5F5"/>
                                    <w:left w:val="single" w:sz="4" w:space="0" w:color="F5F5F5"/>
                                    <w:bottom w:val="single" w:sz="4" w:space="0" w:color="F5F5F5"/>
                                    <w:right w:val="single" w:sz="4" w:space="0" w:color="F5F5F5"/>
                                  </w:divBdr>
                                  <w:divsChild>
                                    <w:div w:id="1767921427">
                                      <w:marLeft w:val="0"/>
                                      <w:marRight w:val="0"/>
                                      <w:marTop w:val="0"/>
                                      <w:marBottom w:val="0"/>
                                      <w:divBdr>
                                        <w:top w:val="none" w:sz="0" w:space="0" w:color="auto"/>
                                        <w:left w:val="none" w:sz="0" w:space="0" w:color="auto"/>
                                        <w:bottom w:val="none" w:sz="0" w:space="0" w:color="auto"/>
                                        <w:right w:val="none" w:sz="0" w:space="0" w:color="auto"/>
                                      </w:divBdr>
                                      <w:divsChild>
                                        <w:div w:id="500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683895">
      <w:bodyDiv w:val="1"/>
      <w:marLeft w:val="0"/>
      <w:marRight w:val="0"/>
      <w:marTop w:val="0"/>
      <w:marBottom w:val="0"/>
      <w:divBdr>
        <w:top w:val="none" w:sz="0" w:space="0" w:color="auto"/>
        <w:left w:val="none" w:sz="0" w:space="0" w:color="auto"/>
        <w:bottom w:val="none" w:sz="0" w:space="0" w:color="auto"/>
        <w:right w:val="none" w:sz="0" w:space="0" w:color="auto"/>
      </w:divBdr>
    </w:div>
    <w:div w:id="2017877045">
      <w:bodyDiv w:val="1"/>
      <w:marLeft w:val="0"/>
      <w:marRight w:val="0"/>
      <w:marTop w:val="0"/>
      <w:marBottom w:val="0"/>
      <w:divBdr>
        <w:top w:val="none" w:sz="0" w:space="0" w:color="auto"/>
        <w:left w:val="none" w:sz="0" w:space="0" w:color="auto"/>
        <w:bottom w:val="none" w:sz="0" w:space="0" w:color="auto"/>
        <w:right w:val="none" w:sz="0" w:space="0" w:color="auto"/>
      </w:divBdr>
      <w:divsChild>
        <w:div w:id="1937514478">
          <w:marLeft w:val="0"/>
          <w:marRight w:val="0"/>
          <w:marTop w:val="0"/>
          <w:marBottom w:val="0"/>
          <w:divBdr>
            <w:top w:val="none" w:sz="0" w:space="0" w:color="auto"/>
            <w:left w:val="none" w:sz="0" w:space="0" w:color="auto"/>
            <w:bottom w:val="none" w:sz="0" w:space="0" w:color="auto"/>
            <w:right w:val="none" w:sz="0" w:space="0" w:color="auto"/>
          </w:divBdr>
          <w:divsChild>
            <w:div w:id="1884824598">
              <w:marLeft w:val="0"/>
              <w:marRight w:val="0"/>
              <w:marTop w:val="0"/>
              <w:marBottom w:val="0"/>
              <w:divBdr>
                <w:top w:val="none" w:sz="0" w:space="0" w:color="auto"/>
                <w:left w:val="none" w:sz="0" w:space="0" w:color="auto"/>
                <w:bottom w:val="none" w:sz="0" w:space="0" w:color="auto"/>
                <w:right w:val="none" w:sz="0" w:space="0" w:color="auto"/>
              </w:divBdr>
              <w:divsChild>
                <w:div w:id="563835641">
                  <w:marLeft w:val="0"/>
                  <w:marRight w:val="0"/>
                  <w:marTop w:val="0"/>
                  <w:marBottom w:val="0"/>
                  <w:divBdr>
                    <w:top w:val="none" w:sz="0" w:space="0" w:color="auto"/>
                    <w:left w:val="none" w:sz="0" w:space="0" w:color="auto"/>
                    <w:bottom w:val="none" w:sz="0" w:space="0" w:color="auto"/>
                    <w:right w:val="none" w:sz="0" w:space="0" w:color="auto"/>
                  </w:divBdr>
                  <w:divsChild>
                    <w:div w:id="681668597">
                      <w:marLeft w:val="0"/>
                      <w:marRight w:val="0"/>
                      <w:marTop w:val="0"/>
                      <w:marBottom w:val="0"/>
                      <w:divBdr>
                        <w:top w:val="none" w:sz="0" w:space="0" w:color="auto"/>
                        <w:left w:val="none" w:sz="0" w:space="0" w:color="auto"/>
                        <w:bottom w:val="none" w:sz="0" w:space="0" w:color="auto"/>
                        <w:right w:val="none" w:sz="0" w:space="0" w:color="auto"/>
                      </w:divBdr>
                      <w:divsChild>
                        <w:div w:id="1657873682">
                          <w:marLeft w:val="0"/>
                          <w:marRight w:val="0"/>
                          <w:marTop w:val="0"/>
                          <w:marBottom w:val="0"/>
                          <w:divBdr>
                            <w:top w:val="none" w:sz="0" w:space="0" w:color="auto"/>
                            <w:left w:val="none" w:sz="0" w:space="0" w:color="auto"/>
                            <w:bottom w:val="none" w:sz="0" w:space="0" w:color="auto"/>
                            <w:right w:val="none" w:sz="0" w:space="0" w:color="auto"/>
                          </w:divBdr>
                          <w:divsChild>
                            <w:div w:id="2005812154">
                              <w:marLeft w:val="0"/>
                              <w:marRight w:val="0"/>
                              <w:marTop w:val="0"/>
                              <w:marBottom w:val="0"/>
                              <w:divBdr>
                                <w:top w:val="none" w:sz="0" w:space="0" w:color="auto"/>
                                <w:left w:val="none" w:sz="0" w:space="0" w:color="auto"/>
                                <w:bottom w:val="none" w:sz="0" w:space="0" w:color="auto"/>
                                <w:right w:val="none" w:sz="0" w:space="0" w:color="auto"/>
                              </w:divBdr>
                              <w:divsChild>
                                <w:div w:id="847449662">
                                  <w:marLeft w:val="0"/>
                                  <w:marRight w:val="0"/>
                                  <w:marTop w:val="0"/>
                                  <w:marBottom w:val="0"/>
                                  <w:divBdr>
                                    <w:top w:val="single" w:sz="4" w:space="0" w:color="F5F5F5"/>
                                    <w:left w:val="single" w:sz="4" w:space="0" w:color="F5F5F5"/>
                                    <w:bottom w:val="single" w:sz="4" w:space="0" w:color="F5F5F5"/>
                                    <w:right w:val="single" w:sz="4" w:space="0" w:color="F5F5F5"/>
                                  </w:divBdr>
                                  <w:divsChild>
                                    <w:div w:id="669450915">
                                      <w:marLeft w:val="0"/>
                                      <w:marRight w:val="0"/>
                                      <w:marTop w:val="0"/>
                                      <w:marBottom w:val="0"/>
                                      <w:divBdr>
                                        <w:top w:val="none" w:sz="0" w:space="0" w:color="auto"/>
                                        <w:left w:val="none" w:sz="0" w:space="0" w:color="auto"/>
                                        <w:bottom w:val="none" w:sz="0" w:space="0" w:color="auto"/>
                                        <w:right w:val="none" w:sz="0" w:space="0" w:color="auto"/>
                                      </w:divBdr>
                                      <w:divsChild>
                                        <w:div w:id="12425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773193">
      <w:bodyDiv w:val="1"/>
      <w:marLeft w:val="0"/>
      <w:marRight w:val="0"/>
      <w:marTop w:val="0"/>
      <w:marBottom w:val="0"/>
      <w:divBdr>
        <w:top w:val="none" w:sz="0" w:space="0" w:color="auto"/>
        <w:left w:val="none" w:sz="0" w:space="0" w:color="auto"/>
        <w:bottom w:val="none" w:sz="0" w:space="0" w:color="auto"/>
        <w:right w:val="none" w:sz="0" w:space="0" w:color="auto"/>
      </w:divBdr>
      <w:divsChild>
        <w:div w:id="163514979">
          <w:marLeft w:val="0"/>
          <w:marRight w:val="0"/>
          <w:marTop w:val="0"/>
          <w:marBottom w:val="0"/>
          <w:divBdr>
            <w:top w:val="none" w:sz="0" w:space="0" w:color="auto"/>
            <w:left w:val="none" w:sz="0" w:space="0" w:color="auto"/>
            <w:bottom w:val="none" w:sz="0" w:space="0" w:color="auto"/>
            <w:right w:val="none" w:sz="0" w:space="0" w:color="auto"/>
          </w:divBdr>
          <w:divsChild>
            <w:div w:id="977564834">
              <w:marLeft w:val="0"/>
              <w:marRight w:val="0"/>
              <w:marTop w:val="0"/>
              <w:marBottom w:val="0"/>
              <w:divBdr>
                <w:top w:val="none" w:sz="0" w:space="0" w:color="auto"/>
                <w:left w:val="none" w:sz="0" w:space="0" w:color="auto"/>
                <w:bottom w:val="none" w:sz="0" w:space="0" w:color="auto"/>
                <w:right w:val="none" w:sz="0" w:space="0" w:color="auto"/>
              </w:divBdr>
              <w:divsChild>
                <w:div w:id="1642924037">
                  <w:marLeft w:val="0"/>
                  <w:marRight w:val="0"/>
                  <w:marTop w:val="0"/>
                  <w:marBottom w:val="0"/>
                  <w:divBdr>
                    <w:top w:val="none" w:sz="0" w:space="0" w:color="auto"/>
                    <w:left w:val="none" w:sz="0" w:space="0" w:color="auto"/>
                    <w:bottom w:val="none" w:sz="0" w:space="0" w:color="auto"/>
                    <w:right w:val="none" w:sz="0" w:space="0" w:color="auto"/>
                  </w:divBdr>
                  <w:divsChild>
                    <w:div w:id="998534751">
                      <w:marLeft w:val="0"/>
                      <w:marRight w:val="0"/>
                      <w:marTop w:val="0"/>
                      <w:marBottom w:val="0"/>
                      <w:divBdr>
                        <w:top w:val="none" w:sz="0" w:space="0" w:color="auto"/>
                        <w:left w:val="none" w:sz="0" w:space="0" w:color="auto"/>
                        <w:bottom w:val="none" w:sz="0" w:space="0" w:color="auto"/>
                        <w:right w:val="none" w:sz="0" w:space="0" w:color="auto"/>
                      </w:divBdr>
                      <w:divsChild>
                        <w:div w:id="1848665560">
                          <w:marLeft w:val="0"/>
                          <w:marRight w:val="0"/>
                          <w:marTop w:val="0"/>
                          <w:marBottom w:val="0"/>
                          <w:divBdr>
                            <w:top w:val="none" w:sz="0" w:space="0" w:color="auto"/>
                            <w:left w:val="none" w:sz="0" w:space="0" w:color="auto"/>
                            <w:bottom w:val="none" w:sz="0" w:space="0" w:color="auto"/>
                            <w:right w:val="none" w:sz="0" w:space="0" w:color="auto"/>
                          </w:divBdr>
                          <w:divsChild>
                            <w:div w:id="850336512">
                              <w:marLeft w:val="0"/>
                              <w:marRight w:val="0"/>
                              <w:marTop w:val="0"/>
                              <w:marBottom w:val="0"/>
                              <w:divBdr>
                                <w:top w:val="none" w:sz="0" w:space="0" w:color="auto"/>
                                <w:left w:val="none" w:sz="0" w:space="0" w:color="auto"/>
                                <w:bottom w:val="none" w:sz="0" w:space="0" w:color="auto"/>
                                <w:right w:val="none" w:sz="0" w:space="0" w:color="auto"/>
                              </w:divBdr>
                              <w:divsChild>
                                <w:div w:id="1853106107">
                                  <w:marLeft w:val="0"/>
                                  <w:marRight w:val="0"/>
                                  <w:marTop w:val="0"/>
                                  <w:marBottom w:val="0"/>
                                  <w:divBdr>
                                    <w:top w:val="single" w:sz="4" w:space="0" w:color="F5F5F5"/>
                                    <w:left w:val="single" w:sz="4" w:space="0" w:color="F5F5F5"/>
                                    <w:bottom w:val="single" w:sz="4" w:space="0" w:color="F5F5F5"/>
                                    <w:right w:val="single" w:sz="4" w:space="0" w:color="F5F5F5"/>
                                  </w:divBdr>
                                  <w:divsChild>
                                    <w:div w:id="2070033284">
                                      <w:marLeft w:val="0"/>
                                      <w:marRight w:val="0"/>
                                      <w:marTop w:val="0"/>
                                      <w:marBottom w:val="0"/>
                                      <w:divBdr>
                                        <w:top w:val="none" w:sz="0" w:space="0" w:color="auto"/>
                                        <w:left w:val="none" w:sz="0" w:space="0" w:color="auto"/>
                                        <w:bottom w:val="none" w:sz="0" w:space="0" w:color="auto"/>
                                        <w:right w:val="none" w:sz="0" w:space="0" w:color="auto"/>
                                      </w:divBdr>
                                      <w:divsChild>
                                        <w:div w:id="2069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840882">
      <w:bodyDiv w:val="1"/>
      <w:marLeft w:val="0"/>
      <w:marRight w:val="0"/>
      <w:marTop w:val="0"/>
      <w:marBottom w:val="0"/>
      <w:divBdr>
        <w:top w:val="none" w:sz="0" w:space="0" w:color="auto"/>
        <w:left w:val="none" w:sz="0" w:space="0" w:color="auto"/>
        <w:bottom w:val="none" w:sz="0" w:space="0" w:color="auto"/>
        <w:right w:val="none" w:sz="0" w:space="0" w:color="auto"/>
      </w:divBdr>
      <w:divsChild>
        <w:div w:id="714354461">
          <w:marLeft w:val="0"/>
          <w:marRight w:val="0"/>
          <w:marTop w:val="0"/>
          <w:marBottom w:val="0"/>
          <w:divBdr>
            <w:top w:val="none" w:sz="0" w:space="0" w:color="auto"/>
            <w:left w:val="none" w:sz="0" w:space="0" w:color="auto"/>
            <w:bottom w:val="none" w:sz="0" w:space="0" w:color="auto"/>
            <w:right w:val="none" w:sz="0" w:space="0" w:color="auto"/>
          </w:divBdr>
          <w:divsChild>
            <w:div w:id="1526824376">
              <w:marLeft w:val="0"/>
              <w:marRight w:val="0"/>
              <w:marTop w:val="0"/>
              <w:marBottom w:val="0"/>
              <w:divBdr>
                <w:top w:val="none" w:sz="0" w:space="0" w:color="auto"/>
                <w:left w:val="none" w:sz="0" w:space="0" w:color="auto"/>
                <w:bottom w:val="none" w:sz="0" w:space="0" w:color="auto"/>
                <w:right w:val="none" w:sz="0" w:space="0" w:color="auto"/>
              </w:divBdr>
              <w:divsChild>
                <w:div w:id="9450418">
                  <w:marLeft w:val="0"/>
                  <w:marRight w:val="0"/>
                  <w:marTop w:val="0"/>
                  <w:marBottom w:val="0"/>
                  <w:divBdr>
                    <w:top w:val="none" w:sz="0" w:space="0" w:color="auto"/>
                    <w:left w:val="none" w:sz="0" w:space="0" w:color="auto"/>
                    <w:bottom w:val="none" w:sz="0" w:space="0" w:color="auto"/>
                    <w:right w:val="none" w:sz="0" w:space="0" w:color="auto"/>
                  </w:divBdr>
                  <w:divsChild>
                    <w:div w:id="166793347">
                      <w:marLeft w:val="0"/>
                      <w:marRight w:val="0"/>
                      <w:marTop w:val="0"/>
                      <w:marBottom w:val="0"/>
                      <w:divBdr>
                        <w:top w:val="none" w:sz="0" w:space="0" w:color="auto"/>
                        <w:left w:val="none" w:sz="0" w:space="0" w:color="auto"/>
                        <w:bottom w:val="none" w:sz="0" w:space="0" w:color="auto"/>
                        <w:right w:val="none" w:sz="0" w:space="0" w:color="auto"/>
                      </w:divBdr>
                      <w:divsChild>
                        <w:div w:id="918827705">
                          <w:marLeft w:val="0"/>
                          <w:marRight w:val="0"/>
                          <w:marTop w:val="0"/>
                          <w:marBottom w:val="0"/>
                          <w:divBdr>
                            <w:top w:val="none" w:sz="0" w:space="0" w:color="auto"/>
                            <w:left w:val="none" w:sz="0" w:space="0" w:color="auto"/>
                            <w:bottom w:val="none" w:sz="0" w:space="0" w:color="auto"/>
                            <w:right w:val="none" w:sz="0" w:space="0" w:color="auto"/>
                          </w:divBdr>
                          <w:divsChild>
                            <w:div w:id="1418406312">
                              <w:marLeft w:val="0"/>
                              <w:marRight w:val="0"/>
                              <w:marTop w:val="0"/>
                              <w:marBottom w:val="0"/>
                              <w:divBdr>
                                <w:top w:val="none" w:sz="0" w:space="0" w:color="auto"/>
                                <w:left w:val="none" w:sz="0" w:space="0" w:color="auto"/>
                                <w:bottom w:val="none" w:sz="0" w:space="0" w:color="auto"/>
                                <w:right w:val="none" w:sz="0" w:space="0" w:color="auto"/>
                              </w:divBdr>
                              <w:divsChild>
                                <w:div w:id="1509981532">
                                  <w:marLeft w:val="0"/>
                                  <w:marRight w:val="0"/>
                                  <w:marTop w:val="0"/>
                                  <w:marBottom w:val="0"/>
                                  <w:divBdr>
                                    <w:top w:val="single" w:sz="4" w:space="0" w:color="F5F5F5"/>
                                    <w:left w:val="single" w:sz="4" w:space="0" w:color="F5F5F5"/>
                                    <w:bottom w:val="single" w:sz="4" w:space="0" w:color="F5F5F5"/>
                                    <w:right w:val="single" w:sz="4" w:space="0" w:color="F5F5F5"/>
                                  </w:divBdr>
                                  <w:divsChild>
                                    <w:div w:id="1557546505">
                                      <w:marLeft w:val="0"/>
                                      <w:marRight w:val="0"/>
                                      <w:marTop w:val="0"/>
                                      <w:marBottom w:val="0"/>
                                      <w:divBdr>
                                        <w:top w:val="none" w:sz="0" w:space="0" w:color="auto"/>
                                        <w:left w:val="none" w:sz="0" w:space="0" w:color="auto"/>
                                        <w:bottom w:val="none" w:sz="0" w:space="0" w:color="auto"/>
                                        <w:right w:val="none" w:sz="0" w:space="0" w:color="auto"/>
                                      </w:divBdr>
                                      <w:divsChild>
                                        <w:div w:id="9648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ma.europa.eu/docs/en_GB/document_library/Template_or_form/2013/03/WC500139752.do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8CE5-0C00-4531-891B-A588AD710DA4}">
  <ds:schemaRefs>
    <ds:schemaRef ds:uri="http://schemas.openxmlformats.org/officeDocument/2006/bibliography"/>
  </ds:schemaRefs>
</ds:datastoreItem>
</file>

<file path=customXml/itemProps2.xml><?xml version="1.0" encoding="utf-8"?>
<ds:datastoreItem xmlns:ds="http://schemas.openxmlformats.org/officeDocument/2006/customXml" ds:itemID="{6B9383A9-65AC-4338-983F-DE7D3EC7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8690</Words>
  <Characters>53246</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SUMMARY OF PRODUCT CHARACTERISTICS</vt:lpstr>
    </vt:vector>
  </TitlesOfParts>
  <Company>Eli Lilly and Company</Company>
  <LinksUpToDate>false</LinksUpToDate>
  <CharactersWithSpaces>61813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PRODUCT CHARACTERISTICS</dc:title>
  <dc:creator>Eli Lilly and Company</dc:creator>
  <cp:lastModifiedBy>ZG02600</cp:lastModifiedBy>
  <cp:revision>7</cp:revision>
  <cp:lastPrinted>2013-06-07T13:06:00Z</cp:lastPrinted>
  <dcterms:created xsi:type="dcterms:W3CDTF">2013-06-13T11:58:00Z</dcterms:created>
  <dcterms:modified xsi:type="dcterms:W3CDTF">2013-12-19T09:24:00Z</dcterms:modified>
</cp:coreProperties>
</file>