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F9" w:rsidRPr="00C06019" w:rsidRDefault="007364F9" w:rsidP="007364F9">
      <w:pPr>
        <w:jc w:val="center"/>
        <w:rPr>
          <w:b/>
          <w:noProof/>
          <w:sz w:val="24"/>
          <w:szCs w:val="24"/>
        </w:rPr>
      </w:pPr>
      <w:r w:rsidRPr="00C06019">
        <w:rPr>
          <w:b/>
          <w:noProof/>
          <w:sz w:val="24"/>
          <w:szCs w:val="24"/>
        </w:rPr>
        <w:t>ΠΕΡΙΛΗΨΗ ΤΩΝ ΧΑΡΑΚΤΗΡΙΣΤΙΚΩΝ ΤΟΥ ΠΡΟΪΟΝΤΟΣ</w:t>
      </w:r>
    </w:p>
    <w:p w:rsidR="004B3B70" w:rsidRPr="00C06019" w:rsidRDefault="004B3B70" w:rsidP="004B3B70">
      <w:pPr>
        <w:tabs>
          <w:tab w:val="left" w:pos="-540"/>
        </w:tabs>
        <w:ind w:left="360" w:right="-134"/>
        <w:jc w:val="center"/>
        <w:rPr>
          <w:b/>
          <w:bCs/>
          <w:szCs w:val="22"/>
        </w:rPr>
      </w:pPr>
      <w:r w:rsidRPr="00C06019">
        <w:rPr>
          <w:b/>
          <w:bCs/>
          <w:szCs w:val="22"/>
        </w:rPr>
        <w:t>Eloxatin</w:t>
      </w:r>
      <w:r w:rsidRPr="00C06019">
        <w:rPr>
          <w:b/>
          <w:sz w:val="18"/>
          <w:szCs w:val="18"/>
          <w:vertAlign w:val="superscript"/>
        </w:rPr>
        <w:t>®</w:t>
      </w:r>
      <w:r w:rsidRPr="00C06019">
        <w:rPr>
          <w:b/>
          <w:bCs/>
          <w:szCs w:val="22"/>
        </w:rPr>
        <w:t xml:space="preserve"> 5 mg/ml πυκνό διάλυμα για παρασκευή διαλύματος προς έγχυση</w:t>
      </w:r>
    </w:p>
    <w:p w:rsidR="007364F9" w:rsidRPr="00C06019" w:rsidRDefault="004B3B70" w:rsidP="004B3B70">
      <w:pPr>
        <w:jc w:val="center"/>
        <w:rPr>
          <w:noProof/>
        </w:rPr>
      </w:pPr>
      <w:r w:rsidRPr="00C06019">
        <w:rPr>
          <w:b/>
          <w:bCs/>
          <w:szCs w:val="22"/>
        </w:rPr>
        <w:t>Οξαλιπλατίνη</w:t>
      </w:r>
    </w:p>
    <w:p w:rsidR="007364F9" w:rsidRPr="00C06019" w:rsidRDefault="007364F9" w:rsidP="007364F9">
      <w:pPr>
        <w:rPr>
          <w:noProof/>
        </w:rPr>
      </w:pPr>
    </w:p>
    <w:p w:rsidR="007364F9" w:rsidRPr="00C06019" w:rsidRDefault="007364F9" w:rsidP="007364F9">
      <w:pPr>
        <w:rPr>
          <w:noProof/>
        </w:rPr>
      </w:pPr>
      <w:r w:rsidRPr="00C06019">
        <w:rPr>
          <w:b/>
          <w:noProof/>
        </w:rPr>
        <w:t>1.</w:t>
      </w:r>
      <w:r w:rsidRPr="00C06019">
        <w:rPr>
          <w:b/>
          <w:noProof/>
        </w:rPr>
        <w:tab/>
        <w:t>ΟΝΟΜΑΣΙΑ ΤΟΥ ΦΑΡΜΑΚΕΥΤΙΚΟΥ ΠΡΟΪΟΝΤΟΣ</w:t>
      </w:r>
    </w:p>
    <w:p w:rsidR="007364F9" w:rsidRPr="00C06019" w:rsidRDefault="007364F9" w:rsidP="007364F9">
      <w:pPr>
        <w:rPr>
          <w:noProof/>
        </w:rPr>
      </w:pPr>
    </w:p>
    <w:p w:rsidR="007364F9" w:rsidRPr="00C06019" w:rsidRDefault="007364F9" w:rsidP="007364F9">
      <w:pPr>
        <w:rPr>
          <w:b/>
        </w:rPr>
      </w:pPr>
      <w:r w:rsidRPr="00C06019">
        <w:rPr>
          <w:b/>
          <w:caps/>
          <w:szCs w:val="22"/>
        </w:rPr>
        <w:t>Eloxatin</w:t>
      </w:r>
      <w:r w:rsidRPr="00C06019">
        <w:t xml:space="preserve"> </w:t>
      </w:r>
      <w:r w:rsidRPr="00C06019">
        <w:rPr>
          <w:b/>
        </w:rPr>
        <w:t>5</w:t>
      </w:r>
      <w:r w:rsidR="00D07E77" w:rsidRPr="00C06019">
        <w:rPr>
          <w:b/>
        </w:rPr>
        <w:t> </w:t>
      </w:r>
      <w:r w:rsidRPr="00C06019">
        <w:rPr>
          <w:b/>
        </w:rPr>
        <w:t>mg/ml</w:t>
      </w:r>
      <w:r w:rsidRPr="00C06019">
        <w:t xml:space="preserve"> πυκνό διάλυμα για παρασκευή διαλύματος προς έγχυση</w:t>
      </w:r>
      <w:r w:rsidRPr="00C06019">
        <w:rPr>
          <w:b/>
        </w:rPr>
        <w:t xml:space="preserve"> </w:t>
      </w:r>
    </w:p>
    <w:p w:rsidR="007364F9" w:rsidRPr="00C06019" w:rsidRDefault="007364F9" w:rsidP="007364F9">
      <w:pPr>
        <w:rPr>
          <w:noProof/>
        </w:rPr>
      </w:pPr>
    </w:p>
    <w:p w:rsidR="007364F9" w:rsidRPr="00C06019" w:rsidRDefault="007364F9" w:rsidP="007364F9">
      <w:pPr>
        <w:rPr>
          <w:noProof/>
        </w:rPr>
      </w:pPr>
    </w:p>
    <w:p w:rsidR="007364F9" w:rsidRPr="00C06019" w:rsidRDefault="007364F9" w:rsidP="007364F9">
      <w:pPr>
        <w:rPr>
          <w:noProof/>
        </w:rPr>
      </w:pPr>
      <w:r w:rsidRPr="00C06019">
        <w:rPr>
          <w:b/>
          <w:noProof/>
        </w:rPr>
        <w:t>2.</w:t>
      </w:r>
      <w:r w:rsidRPr="00C06019">
        <w:rPr>
          <w:b/>
          <w:noProof/>
        </w:rPr>
        <w:tab/>
        <w:t>ΠΟΙΟΤΙΚΗ ΚΑΙ ΠΟΣΟΤΙΚΗ ΣΥΝΘΕΣΗ</w:t>
      </w:r>
    </w:p>
    <w:p w:rsidR="007364F9" w:rsidRPr="00C06019" w:rsidRDefault="007364F9" w:rsidP="007364F9">
      <w:pPr>
        <w:rPr>
          <w:noProof/>
        </w:rPr>
      </w:pPr>
    </w:p>
    <w:p w:rsidR="007364F9" w:rsidRPr="00C06019" w:rsidRDefault="00163153" w:rsidP="007364F9">
      <w:pPr>
        <w:rPr>
          <w:b/>
        </w:rPr>
      </w:pPr>
      <w:r>
        <w:t>1</w:t>
      </w:r>
      <w:r w:rsidRPr="00C06019">
        <w:t xml:space="preserve"> </w:t>
      </w:r>
      <w:r w:rsidR="007364F9" w:rsidRPr="00C06019">
        <w:t xml:space="preserve">ml πυκνού διαλύματος για παρασκευή διαλύματος προς έγχυση περιέχει </w:t>
      </w:r>
      <w:r w:rsidR="007364F9" w:rsidRPr="00C06019">
        <w:rPr>
          <w:szCs w:val="22"/>
        </w:rPr>
        <w:t>5</w:t>
      </w:r>
      <w:r w:rsidR="00D07E77" w:rsidRPr="00C06019">
        <w:rPr>
          <w:szCs w:val="22"/>
        </w:rPr>
        <w:t> </w:t>
      </w:r>
      <w:r w:rsidR="007364F9" w:rsidRPr="00C06019">
        <w:t xml:space="preserve">mg </w:t>
      </w:r>
      <w:r w:rsidR="00FE4282" w:rsidRPr="00CF2967">
        <w:t>οξαλιπλατίνης</w:t>
      </w:r>
      <w:r w:rsidR="007364F9" w:rsidRPr="00C06019">
        <w:t xml:space="preserve">. </w:t>
      </w:r>
    </w:p>
    <w:p w:rsidR="007364F9" w:rsidRPr="00C06019" w:rsidRDefault="007364F9" w:rsidP="007364F9"/>
    <w:p w:rsidR="007364F9" w:rsidRPr="00C06019" w:rsidRDefault="007364F9" w:rsidP="007364F9">
      <w:r w:rsidRPr="00C06019">
        <w:t>Τα 10</w:t>
      </w:r>
      <w:r w:rsidR="00D07E77" w:rsidRPr="00C06019">
        <w:t> </w:t>
      </w:r>
      <w:r w:rsidRPr="00C06019">
        <w:rPr>
          <w:lang w:val="en-US"/>
        </w:rPr>
        <w:t>ml</w:t>
      </w:r>
      <w:r w:rsidRPr="00C06019">
        <w:t xml:space="preserve"> πυκνού διαλύματος για παρασκευή διαλύματος προς έγχυση περιέχουν 50</w:t>
      </w:r>
      <w:r w:rsidR="00D07E77" w:rsidRPr="00C06019">
        <w:t> </w:t>
      </w:r>
      <w:r w:rsidRPr="00C06019">
        <w:rPr>
          <w:lang w:val="en-US"/>
        </w:rPr>
        <w:t>mg</w:t>
      </w:r>
      <w:r w:rsidRPr="00C06019">
        <w:t xml:space="preserve"> </w:t>
      </w:r>
      <w:r w:rsidR="00FE4282" w:rsidRPr="00CF2967">
        <w:t>οξαλιπλατίνης</w:t>
      </w:r>
      <w:r w:rsidRPr="00C06019">
        <w:t>. Τα 20</w:t>
      </w:r>
      <w:r w:rsidR="00D07E77" w:rsidRPr="00C06019">
        <w:t> </w:t>
      </w:r>
      <w:r w:rsidRPr="00C06019">
        <w:rPr>
          <w:lang w:val="en-US"/>
        </w:rPr>
        <w:t>ml</w:t>
      </w:r>
      <w:r w:rsidRPr="00C06019">
        <w:t xml:space="preserve"> πυκνού διαλύματος για παρασκευή διαλύματος προς έγχυση περιέχουν 100</w:t>
      </w:r>
      <w:r w:rsidR="00D07E77" w:rsidRPr="00C06019">
        <w:t> </w:t>
      </w:r>
      <w:r w:rsidRPr="00C06019">
        <w:rPr>
          <w:lang w:val="en-US"/>
        </w:rPr>
        <w:t>mg</w:t>
      </w:r>
      <w:r w:rsidRPr="00C06019">
        <w:t xml:space="preserve"> </w:t>
      </w:r>
      <w:r w:rsidR="00FE4282" w:rsidRPr="00CF2967">
        <w:t>οξαλιπλατίνης</w:t>
      </w:r>
      <w:r w:rsidRPr="00C06019">
        <w:t>.</w:t>
      </w:r>
    </w:p>
    <w:p w:rsidR="007364F9" w:rsidRPr="00C06019" w:rsidRDefault="007364F9" w:rsidP="007364F9">
      <w:r w:rsidRPr="00C06019">
        <w:t>Τα 40</w:t>
      </w:r>
      <w:r w:rsidR="00D07E77" w:rsidRPr="00C06019">
        <w:t> </w:t>
      </w:r>
      <w:r w:rsidRPr="00C06019">
        <w:rPr>
          <w:lang w:val="en-US"/>
        </w:rPr>
        <w:t>ml</w:t>
      </w:r>
      <w:r w:rsidRPr="00C06019">
        <w:t xml:space="preserve"> πυκνού διαλύματος για παρασκευή διαλύματος προς έγχυση περιέχουν 200</w:t>
      </w:r>
      <w:r w:rsidR="00D07E77" w:rsidRPr="00C06019">
        <w:t> </w:t>
      </w:r>
      <w:r w:rsidRPr="00C06019">
        <w:rPr>
          <w:lang w:val="en-US"/>
        </w:rPr>
        <w:t>mg</w:t>
      </w:r>
      <w:r w:rsidRPr="00C06019">
        <w:t xml:space="preserve"> </w:t>
      </w:r>
      <w:r w:rsidR="00FE4282" w:rsidRPr="00CF2967">
        <w:t>οξαλιπλατίνης</w:t>
      </w:r>
      <w:r w:rsidRPr="00C06019">
        <w:t>.</w:t>
      </w:r>
    </w:p>
    <w:p w:rsidR="007364F9" w:rsidRPr="00C06019" w:rsidRDefault="007364F9" w:rsidP="007364F9">
      <w:pPr>
        <w:rPr>
          <w:b/>
        </w:rPr>
      </w:pPr>
    </w:p>
    <w:p w:rsidR="007364F9" w:rsidRPr="00C06019" w:rsidRDefault="007364F9" w:rsidP="007364F9">
      <w:pPr>
        <w:rPr>
          <w:noProof/>
        </w:rPr>
      </w:pPr>
      <w:r w:rsidRPr="00C06019">
        <w:rPr>
          <w:noProof/>
        </w:rPr>
        <w:t>Για τον πλήρη κατάλογο των εκδόχων, βλ. παράγραφο 6.1.</w:t>
      </w:r>
    </w:p>
    <w:p w:rsidR="007364F9" w:rsidRPr="00C06019" w:rsidRDefault="007364F9" w:rsidP="007364F9">
      <w:pPr>
        <w:pStyle w:val="a3"/>
        <w:tabs>
          <w:tab w:val="clear" w:pos="4153"/>
          <w:tab w:val="clear" w:pos="8306"/>
        </w:tabs>
        <w:rPr>
          <w:noProof/>
        </w:rPr>
      </w:pPr>
    </w:p>
    <w:p w:rsidR="007364F9" w:rsidRPr="00C06019" w:rsidRDefault="007364F9" w:rsidP="007364F9">
      <w:pPr>
        <w:rPr>
          <w:noProof/>
        </w:rPr>
      </w:pPr>
    </w:p>
    <w:p w:rsidR="007364F9" w:rsidRPr="00C06019" w:rsidRDefault="007364F9" w:rsidP="007364F9">
      <w:pPr>
        <w:rPr>
          <w:noProof/>
        </w:rPr>
      </w:pPr>
      <w:r w:rsidRPr="00C06019">
        <w:rPr>
          <w:b/>
          <w:noProof/>
        </w:rPr>
        <w:t>3.</w:t>
      </w:r>
      <w:r w:rsidRPr="00C06019">
        <w:rPr>
          <w:b/>
          <w:noProof/>
        </w:rPr>
        <w:tab/>
        <w:t>ΦΑΡΜΑΚΟΤΕΧΝΙΚΗ ΜΟΡΦΗ</w:t>
      </w:r>
    </w:p>
    <w:p w:rsidR="007364F9" w:rsidRPr="00C06019" w:rsidRDefault="007364F9" w:rsidP="007364F9">
      <w:pPr>
        <w:tabs>
          <w:tab w:val="left" w:pos="851"/>
        </w:tabs>
        <w:jc w:val="both"/>
        <w:rPr>
          <w:noProof/>
        </w:rPr>
      </w:pPr>
    </w:p>
    <w:p w:rsidR="007364F9" w:rsidRPr="00C06019" w:rsidRDefault="007364F9" w:rsidP="007364F9">
      <w:pPr>
        <w:tabs>
          <w:tab w:val="left" w:pos="851"/>
        </w:tabs>
        <w:jc w:val="both"/>
      </w:pPr>
      <w:r w:rsidRPr="00C06019">
        <w:t>Πυκνό διάλυμα για παρασκευή διαλύματος προς έγχυση.</w:t>
      </w:r>
    </w:p>
    <w:p w:rsidR="007364F9" w:rsidRPr="00C06019" w:rsidRDefault="007364F9" w:rsidP="007364F9">
      <w:pPr>
        <w:tabs>
          <w:tab w:val="left" w:pos="851"/>
        </w:tabs>
        <w:jc w:val="both"/>
        <w:rPr>
          <w:lang w:eastAsia="fr-FR"/>
        </w:rPr>
      </w:pPr>
      <w:r w:rsidRPr="00C06019">
        <w:t>Διαυγές, άχρωμο υγρό.</w:t>
      </w:r>
    </w:p>
    <w:p w:rsidR="007364F9" w:rsidRPr="00C06019" w:rsidRDefault="007364F9" w:rsidP="007364F9">
      <w:pPr>
        <w:rPr>
          <w:noProof/>
        </w:rPr>
      </w:pPr>
    </w:p>
    <w:p w:rsidR="007364F9" w:rsidRPr="00C06019" w:rsidRDefault="007364F9" w:rsidP="007364F9">
      <w:pPr>
        <w:rPr>
          <w:noProof/>
        </w:rPr>
      </w:pPr>
    </w:p>
    <w:p w:rsidR="007364F9" w:rsidRPr="00C06019" w:rsidRDefault="007364F9" w:rsidP="007364F9">
      <w:pPr>
        <w:rPr>
          <w:noProof/>
        </w:rPr>
      </w:pPr>
      <w:r w:rsidRPr="00C06019">
        <w:rPr>
          <w:b/>
          <w:noProof/>
        </w:rPr>
        <w:t>4.</w:t>
      </w:r>
      <w:r w:rsidRPr="00C06019">
        <w:rPr>
          <w:b/>
          <w:noProof/>
        </w:rPr>
        <w:tab/>
        <w:t>ΚΛΙΝΙΚΕΣ ΠΛΗΡΟΦΟΡΙΕΣ</w:t>
      </w:r>
    </w:p>
    <w:p w:rsidR="007364F9" w:rsidRPr="00C06019" w:rsidRDefault="007364F9" w:rsidP="007364F9">
      <w:pPr>
        <w:rPr>
          <w:noProof/>
        </w:rPr>
      </w:pPr>
    </w:p>
    <w:p w:rsidR="007364F9" w:rsidRPr="00C06019" w:rsidRDefault="007364F9" w:rsidP="007364F9">
      <w:pPr>
        <w:rPr>
          <w:noProof/>
        </w:rPr>
      </w:pPr>
      <w:r w:rsidRPr="00C06019">
        <w:rPr>
          <w:b/>
          <w:noProof/>
        </w:rPr>
        <w:t>4.1</w:t>
      </w:r>
      <w:r w:rsidRPr="00C06019">
        <w:rPr>
          <w:b/>
          <w:noProof/>
        </w:rPr>
        <w:tab/>
        <w:t>Θεραπευτικές ενδείξεις</w:t>
      </w:r>
    </w:p>
    <w:p w:rsidR="007364F9" w:rsidRPr="00C06019" w:rsidRDefault="007364F9" w:rsidP="007364F9">
      <w:pPr>
        <w:rPr>
          <w:noProof/>
        </w:rPr>
      </w:pPr>
    </w:p>
    <w:p w:rsidR="007364F9" w:rsidRPr="001513F9" w:rsidRDefault="007364F9" w:rsidP="007364F9">
      <w:pPr>
        <w:jc w:val="both"/>
        <w:rPr>
          <w:bCs/>
        </w:rPr>
      </w:pPr>
      <w:r w:rsidRPr="00C06019">
        <w:rPr>
          <w:noProof/>
        </w:rPr>
        <w:t xml:space="preserve">Η οξαλιπλατίνη σε συνδυασμό </w:t>
      </w:r>
      <w:r w:rsidRPr="00C06019">
        <w:rPr>
          <w:bCs/>
        </w:rPr>
        <w:t xml:space="preserve">με </w:t>
      </w:r>
      <w:r w:rsidR="00767322" w:rsidRPr="000B008B">
        <w:t>5-φ</w:t>
      </w:r>
      <w:r w:rsidRPr="001513F9">
        <w:t xml:space="preserve">θοριοουρακίλη </w:t>
      </w:r>
      <w:r w:rsidRPr="001513F9">
        <w:rPr>
          <w:bCs/>
        </w:rPr>
        <w:t>(</w:t>
      </w:r>
      <w:r w:rsidR="00767322" w:rsidRPr="001513F9">
        <w:rPr>
          <w:bCs/>
        </w:rPr>
        <w:t>5-</w:t>
      </w:r>
      <w:r w:rsidRPr="001513F9">
        <w:rPr>
          <w:bCs/>
        </w:rPr>
        <w:t xml:space="preserve">FU) </w:t>
      </w:r>
      <w:r w:rsidRPr="001513F9">
        <w:t xml:space="preserve">και </w:t>
      </w:r>
      <w:r w:rsidR="00CC7CA5" w:rsidRPr="001513F9">
        <w:t>φ</w:t>
      </w:r>
      <w:r w:rsidR="004D305B" w:rsidRPr="001513F9">
        <w:t>υ</w:t>
      </w:r>
      <w:r w:rsidR="00CC7CA5" w:rsidRPr="001513F9">
        <w:t>λ</w:t>
      </w:r>
      <w:r w:rsidR="00767322" w:rsidRPr="001513F9">
        <w:t>λ</w:t>
      </w:r>
      <w:r w:rsidRPr="001513F9">
        <w:t>ινικό οξύ</w:t>
      </w:r>
      <w:r w:rsidRPr="001513F9">
        <w:rPr>
          <w:bCs/>
        </w:rPr>
        <w:t xml:space="preserve"> (FA) ενδείκνυται ως:</w:t>
      </w:r>
    </w:p>
    <w:p w:rsidR="007364F9" w:rsidRPr="001513F9" w:rsidRDefault="007364F9" w:rsidP="007364F9">
      <w:pPr>
        <w:rPr>
          <w:bCs/>
        </w:rPr>
      </w:pPr>
    </w:p>
    <w:p w:rsidR="007364F9" w:rsidRPr="001513F9" w:rsidRDefault="007364F9" w:rsidP="007364F9">
      <w:pPr>
        <w:numPr>
          <w:ilvl w:val="0"/>
          <w:numId w:val="26"/>
        </w:numPr>
        <w:tabs>
          <w:tab w:val="num" w:pos="426"/>
        </w:tabs>
        <w:ind w:left="426" w:hanging="426"/>
        <w:rPr>
          <w:noProof/>
        </w:rPr>
      </w:pPr>
      <w:r w:rsidRPr="001513F9">
        <w:rPr>
          <w:bCs/>
        </w:rPr>
        <w:t>Επικουρική θεραπεία του καρκίνου του παχέος εντέρου σταδίου ΙΙΙ (</w:t>
      </w:r>
      <w:r w:rsidR="00CF2967">
        <w:rPr>
          <w:bCs/>
        </w:rPr>
        <w:t>Dukes</w:t>
      </w:r>
      <w:r w:rsidR="00CF2967" w:rsidRPr="00CF2967">
        <w:rPr>
          <w:bCs/>
        </w:rPr>
        <w:t xml:space="preserve">’ </w:t>
      </w:r>
      <w:r w:rsidR="00CF2967" w:rsidRPr="001513F9">
        <w:rPr>
          <w:bCs/>
          <w:lang w:val="en-US"/>
        </w:rPr>
        <w:t>C</w:t>
      </w:r>
      <w:r w:rsidRPr="001513F9">
        <w:rPr>
          <w:bCs/>
        </w:rPr>
        <w:t>) μετά την ολική εκτομή πρωτοπαθούς όγκου</w:t>
      </w:r>
    </w:p>
    <w:p w:rsidR="007364F9" w:rsidRPr="001513F9" w:rsidRDefault="007364F9" w:rsidP="007364F9">
      <w:pPr>
        <w:numPr>
          <w:ilvl w:val="0"/>
          <w:numId w:val="26"/>
        </w:numPr>
        <w:tabs>
          <w:tab w:val="num" w:pos="426"/>
        </w:tabs>
        <w:ind w:left="426" w:hanging="426"/>
        <w:rPr>
          <w:noProof/>
        </w:rPr>
      </w:pPr>
      <w:r w:rsidRPr="001513F9">
        <w:rPr>
          <w:bCs/>
        </w:rPr>
        <w:t>Θεραπεία του μεταστατικού καρκίνου του παχέος εντέρου</w:t>
      </w:r>
      <w:r w:rsidR="00D07E77" w:rsidRPr="001513F9">
        <w:rPr>
          <w:bCs/>
        </w:rPr>
        <w:t xml:space="preserve"> και του ορθού</w:t>
      </w:r>
    </w:p>
    <w:p w:rsidR="007364F9" w:rsidRPr="001513F9" w:rsidRDefault="007364F9" w:rsidP="007364F9">
      <w:pPr>
        <w:rPr>
          <w:noProof/>
        </w:rPr>
      </w:pPr>
    </w:p>
    <w:p w:rsidR="007364F9" w:rsidRPr="001513F9" w:rsidRDefault="007364F9" w:rsidP="007364F9">
      <w:pPr>
        <w:numPr>
          <w:ilvl w:val="1"/>
          <w:numId w:val="18"/>
        </w:numPr>
        <w:rPr>
          <w:b/>
          <w:noProof/>
        </w:rPr>
      </w:pPr>
      <w:r w:rsidRPr="001513F9">
        <w:rPr>
          <w:b/>
          <w:noProof/>
        </w:rPr>
        <w:t>Δοσολογία και τρόπος χορήγησης</w:t>
      </w:r>
    </w:p>
    <w:p w:rsidR="007364F9" w:rsidRPr="001513F9" w:rsidRDefault="007364F9" w:rsidP="007364F9">
      <w:pPr>
        <w:rPr>
          <w:noProof/>
        </w:rPr>
      </w:pPr>
    </w:p>
    <w:p w:rsidR="007364F9" w:rsidRPr="001513F9" w:rsidRDefault="00DB6921" w:rsidP="007364F9">
      <w:pPr>
        <w:rPr>
          <w:noProof/>
        </w:rPr>
      </w:pPr>
      <w:r w:rsidRPr="001513F9">
        <w:rPr>
          <w:noProof/>
          <w:snapToGrid w:val="0"/>
          <w:szCs w:val="22"/>
        </w:rPr>
        <w:t xml:space="preserve">Η παρασκευή ενέσιμων διαλυμάτων κυταροτοξικών παραγόντων πρέπει να πραγματοποιείται από εκπαιδευμένο και ειδικευμένο προσωπικό με γνώση των </w:t>
      </w:r>
      <w:r w:rsidRPr="001513F9">
        <w:rPr>
          <w:snapToGrid w:val="0"/>
          <w:szCs w:val="22"/>
        </w:rPr>
        <w:t xml:space="preserve">φαρμάκων </w:t>
      </w:r>
      <w:r w:rsidRPr="001513F9">
        <w:rPr>
          <w:noProof/>
          <w:snapToGrid w:val="0"/>
          <w:szCs w:val="22"/>
        </w:rPr>
        <w:t xml:space="preserve">που χρησιμοποιούνται, σε συνθήκες που διασφαλίζουν την ακεραιότητα του φαρμακευτικού προϊόντος, την προστασία του περιβάλλοντος και </w:t>
      </w:r>
      <w:r w:rsidRPr="001513F9">
        <w:rPr>
          <w:snapToGrid w:val="0"/>
          <w:szCs w:val="22"/>
        </w:rPr>
        <w:t xml:space="preserve">κυρίως </w:t>
      </w:r>
      <w:r w:rsidRPr="001513F9">
        <w:rPr>
          <w:noProof/>
          <w:snapToGrid w:val="0"/>
          <w:szCs w:val="22"/>
        </w:rPr>
        <w:t>την προστασία του προσωπικού που χειρίζεται τα φάρμακα, σε συμφωνία με τους κανονισμούς του νοσοκομείου. Απαιτείται ένας χώρος παρασκευής αποκλειστικά γι</w:t>
      </w:r>
      <w:r w:rsidR="00463325" w:rsidRPr="001513F9">
        <w:rPr>
          <w:noProof/>
          <w:snapToGrid w:val="0"/>
          <w:szCs w:val="22"/>
        </w:rPr>
        <w:t>´</w:t>
      </w:r>
      <w:r w:rsidRPr="001513F9">
        <w:rPr>
          <w:noProof/>
          <w:snapToGrid w:val="0"/>
          <w:szCs w:val="22"/>
        </w:rPr>
        <w:t xml:space="preserve"> αυτό</w:t>
      </w:r>
      <w:r w:rsidR="00463325" w:rsidRPr="001513F9">
        <w:rPr>
          <w:noProof/>
          <w:snapToGrid w:val="0"/>
          <w:szCs w:val="22"/>
        </w:rPr>
        <w:t>ν</w:t>
      </w:r>
      <w:r w:rsidRPr="001513F9">
        <w:rPr>
          <w:noProof/>
          <w:snapToGrid w:val="0"/>
          <w:szCs w:val="22"/>
        </w:rPr>
        <w:t xml:space="preserve"> το σκοπό. Απαγορεύεται το κάπνισμα, το φαγητό ή το ποτό σε αυτό το χώρο.</w:t>
      </w:r>
    </w:p>
    <w:p w:rsidR="00D07E77" w:rsidRPr="001513F9" w:rsidRDefault="00D07E77" w:rsidP="007364F9">
      <w:pPr>
        <w:jc w:val="both"/>
        <w:rPr>
          <w:bCs/>
          <w:iCs/>
          <w:u w:val="single"/>
        </w:rPr>
      </w:pPr>
    </w:p>
    <w:p w:rsidR="007364F9" w:rsidRPr="001513F9" w:rsidRDefault="007364F9" w:rsidP="007364F9">
      <w:pPr>
        <w:jc w:val="both"/>
        <w:rPr>
          <w:bCs/>
          <w:iCs/>
          <w:u w:val="single"/>
          <w:lang w:eastAsia="fr-FR"/>
        </w:rPr>
      </w:pPr>
      <w:r w:rsidRPr="001513F9">
        <w:rPr>
          <w:bCs/>
          <w:iCs/>
          <w:u w:val="single"/>
        </w:rPr>
        <w:t>Δοσολογία</w:t>
      </w:r>
    </w:p>
    <w:p w:rsidR="007364F9" w:rsidRPr="001513F9" w:rsidRDefault="007364F9" w:rsidP="007364F9">
      <w:pPr>
        <w:ind w:left="770"/>
        <w:jc w:val="both"/>
        <w:rPr>
          <w:lang w:eastAsia="fr-FR"/>
        </w:rPr>
      </w:pPr>
    </w:p>
    <w:p w:rsidR="007364F9" w:rsidRPr="001513F9" w:rsidRDefault="007364F9" w:rsidP="007364F9">
      <w:pPr>
        <w:jc w:val="both"/>
        <w:rPr>
          <w:lang w:eastAsia="fr-FR"/>
        </w:rPr>
      </w:pPr>
      <w:r w:rsidRPr="001513F9">
        <w:t>ΜΟΝΟ ΓΙΑ ΕΝΗΛΙΚΕΣ</w:t>
      </w:r>
    </w:p>
    <w:p w:rsidR="007364F9" w:rsidRPr="001513F9" w:rsidRDefault="007364F9" w:rsidP="007364F9">
      <w:pPr>
        <w:jc w:val="both"/>
      </w:pPr>
    </w:p>
    <w:p w:rsidR="007364F9" w:rsidRPr="001513F9" w:rsidRDefault="007364F9" w:rsidP="007364F9">
      <w:pPr>
        <w:jc w:val="both"/>
      </w:pPr>
      <w:r w:rsidRPr="001513F9">
        <w:t>Η συνιστώμενη δόση οξαλιπλατίνης στην επικουρική θεραπεία είναι 85</w:t>
      </w:r>
      <w:r w:rsidR="00D07E77" w:rsidRPr="001513F9">
        <w:t> </w:t>
      </w:r>
      <w:r w:rsidRPr="001513F9">
        <w:rPr>
          <w:lang w:val="en-US"/>
        </w:rPr>
        <w:t>mg</w:t>
      </w:r>
      <w:r w:rsidRPr="001513F9">
        <w:t>/</w:t>
      </w:r>
      <w:r w:rsidRPr="001513F9">
        <w:rPr>
          <w:lang w:val="en-US"/>
        </w:rPr>
        <w:t>m</w:t>
      </w:r>
      <w:r w:rsidRPr="001513F9">
        <w:rPr>
          <w:vertAlign w:val="superscript"/>
        </w:rPr>
        <w:t>2</w:t>
      </w:r>
      <w:r w:rsidRPr="001513F9">
        <w:t xml:space="preserve"> ενδοφλεβίως επαναλαμβανόμενη κάθε 2 εβδομάδες για 12 κύκλους (6 μήνες).</w:t>
      </w:r>
    </w:p>
    <w:p w:rsidR="007364F9" w:rsidRPr="001513F9" w:rsidRDefault="007364F9" w:rsidP="007364F9">
      <w:pPr>
        <w:jc w:val="both"/>
      </w:pPr>
    </w:p>
    <w:p w:rsidR="007364F9" w:rsidRPr="001513F9" w:rsidRDefault="007364F9" w:rsidP="007364F9">
      <w:pPr>
        <w:jc w:val="both"/>
      </w:pPr>
      <w:r w:rsidRPr="001513F9">
        <w:t xml:space="preserve">Η συνιστώμενη δοσολογία για την οξαλιπλατίνη στην αγωγή του μεταστατικού καρκίνου του παχέος εντέρου </w:t>
      </w:r>
      <w:r w:rsidR="00D07E77" w:rsidRPr="001513F9">
        <w:rPr>
          <w:bCs/>
        </w:rPr>
        <w:t>και του ορθού</w:t>
      </w:r>
      <w:r w:rsidR="00D07E77" w:rsidRPr="001513F9">
        <w:t xml:space="preserve"> </w:t>
      </w:r>
      <w:r w:rsidRPr="001513F9">
        <w:t>είναι 85</w:t>
      </w:r>
      <w:r w:rsidR="00D07E77" w:rsidRPr="001513F9">
        <w:t> </w:t>
      </w:r>
      <w:r w:rsidRPr="001513F9">
        <w:rPr>
          <w:lang w:val="en-GB"/>
        </w:rPr>
        <w:t>mg</w:t>
      </w:r>
      <w:r w:rsidRPr="001513F9">
        <w:t>/</w:t>
      </w:r>
      <w:r w:rsidRPr="001513F9">
        <w:rPr>
          <w:lang w:val="en-GB"/>
        </w:rPr>
        <w:t>m</w:t>
      </w:r>
      <w:r w:rsidRPr="001513F9">
        <w:rPr>
          <w:vertAlign w:val="superscript"/>
        </w:rPr>
        <w:t>2</w:t>
      </w:r>
      <w:r w:rsidRPr="001513F9">
        <w:t xml:space="preserve"> ενδοφλεβίως, επαναλαμβανόμενη κάθε δύο εβδομάδες</w:t>
      </w:r>
      <w:r w:rsidR="000777B2" w:rsidRPr="001513F9">
        <w:rPr>
          <w:szCs w:val="22"/>
        </w:rPr>
        <w:t xml:space="preserve"> έως την εξέλιξη της νόσου ή την εμφάνιση </w:t>
      </w:r>
      <w:r w:rsidR="00767322" w:rsidRPr="001513F9">
        <w:rPr>
          <w:szCs w:val="22"/>
        </w:rPr>
        <w:t>μη-</w:t>
      </w:r>
      <w:r w:rsidR="000777B2" w:rsidRPr="001513F9">
        <w:rPr>
          <w:szCs w:val="22"/>
        </w:rPr>
        <w:t>αποδεκτής τοξικότητας</w:t>
      </w:r>
      <w:r w:rsidRPr="001513F9">
        <w:t>.</w:t>
      </w:r>
    </w:p>
    <w:p w:rsidR="007364F9" w:rsidRPr="001513F9" w:rsidRDefault="007364F9" w:rsidP="007364F9">
      <w:pPr>
        <w:ind w:left="770"/>
        <w:jc w:val="both"/>
        <w:rPr>
          <w:lang w:eastAsia="fr-FR"/>
        </w:rPr>
      </w:pPr>
    </w:p>
    <w:p w:rsidR="007364F9" w:rsidRPr="001513F9" w:rsidRDefault="007364F9" w:rsidP="007364F9">
      <w:pPr>
        <w:jc w:val="both"/>
        <w:rPr>
          <w:lang w:eastAsia="fr-FR"/>
        </w:rPr>
      </w:pPr>
      <w:r w:rsidRPr="001513F9">
        <w:t>Η χορηγούμενη δόση πρέπει να προσαρμόζεται ανάλογα με την ανεκτικότητα (βλ. παράγραφο 4.4).</w:t>
      </w:r>
    </w:p>
    <w:p w:rsidR="007364F9" w:rsidRPr="001513F9" w:rsidRDefault="007364F9" w:rsidP="007364F9">
      <w:pPr>
        <w:jc w:val="both"/>
        <w:rPr>
          <w:b/>
          <w:lang w:eastAsia="fr-FR"/>
        </w:rPr>
      </w:pPr>
    </w:p>
    <w:p w:rsidR="007364F9" w:rsidRPr="001513F9" w:rsidRDefault="007364F9" w:rsidP="007364F9">
      <w:pPr>
        <w:numPr>
          <w:ilvl w:val="12"/>
          <w:numId w:val="0"/>
        </w:numPr>
        <w:jc w:val="both"/>
      </w:pPr>
      <w:r w:rsidRPr="001513F9">
        <w:rPr>
          <w:b/>
        </w:rPr>
        <w:t xml:space="preserve">Η οξαλιπλατίνη πρέπει πάντα να χορηγείται πριν από τις φθοριοπυριμιδίνες, π.χ. </w:t>
      </w:r>
      <w:r w:rsidR="000E7351" w:rsidRPr="001513F9">
        <w:rPr>
          <w:b/>
        </w:rPr>
        <w:t xml:space="preserve">5 </w:t>
      </w:r>
      <w:r w:rsidRPr="001513F9">
        <w:rPr>
          <w:b/>
        </w:rPr>
        <w:t>φθοριοουρακίλη (</w:t>
      </w:r>
      <w:r w:rsidR="00767322" w:rsidRPr="001513F9">
        <w:rPr>
          <w:b/>
        </w:rPr>
        <w:t>5-F</w:t>
      </w:r>
      <w:r w:rsidRPr="001513F9">
        <w:rPr>
          <w:b/>
          <w:lang w:val="en-US"/>
        </w:rPr>
        <w:t>U</w:t>
      </w:r>
      <w:r w:rsidRPr="001513F9">
        <w:rPr>
          <w:b/>
        </w:rPr>
        <w:t xml:space="preserve">). </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 xml:space="preserve">Η οξαλιπλατίνη χορηγείται σε ενδοφλέβια έγχυση διάρκειας 2 έως 6 ωρών σε 250 έως </w:t>
      </w:r>
      <w:r w:rsidR="003122E0" w:rsidRPr="001513F9">
        <w:t>500 </w:t>
      </w:r>
      <w:r w:rsidRPr="001513F9">
        <w:rPr>
          <w:lang w:val="en-GB"/>
        </w:rPr>
        <w:t>ml</w:t>
      </w:r>
      <w:r w:rsidRPr="001513F9">
        <w:t xml:space="preserve"> διαλύματος γλυκόζης 5% (</w:t>
      </w:r>
      <w:r w:rsidR="00D07E77" w:rsidRPr="001513F9">
        <w:t>50 </w:t>
      </w:r>
      <w:r w:rsidRPr="001513F9">
        <w:rPr>
          <w:lang w:val="en-US"/>
        </w:rPr>
        <w:t>mg</w:t>
      </w:r>
      <w:r w:rsidRPr="001513F9">
        <w:t>/</w:t>
      </w:r>
      <w:r w:rsidRPr="001513F9">
        <w:rPr>
          <w:lang w:val="en-US"/>
        </w:rPr>
        <w:t>ml</w:t>
      </w:r>
      <w:r w:rsidRPr="001513F9">
        <w:t>), έτσι ώστε να επιτευχθεί συγκέντρωση μεταξύ 0,2</w:t>
      </w:r>
      <w:r w:rsidR="00D07E77" w:rsidRPr="001513F9">
        <w:t> </w:t>
      </w:r>
      <w:r w:rsidRPr="001513F9">
        <w:rPr>
          <w:lang w:val="en-US"/>
        </w:rPr>
        <w:t>mg</w:t>
      </w:r>
      <w:r w:rsidRPr="001513F9">
        <w:t>/</w:t>
      </w:r>
      <w:r w:rsidRPr="001513F9">
        <w:rPr>
          <w:lang w:val="en-US"/>
        </w:rPr>
        <w:t>ml</w:t>
      </w:r>
      <w:r w:rsidRPr="001513F9">
        <w:t xml:space="preserve"> και 0,70</w:t>
      </w:r>
      <w:r w:rsidR="00D07E77" w:rsidRPr="001513F9">
        <w:t> </w:t>
      </w:r>
      <w:r w:rsidRPr="001513F9">
        <w:rPr>
          <w:lang w:val="en-US"/>
        </w:rPr>
        <w:t>mg</w:t>
      </w:r>
      <w:r w:rsidRPr="001513F9">
        <w:t>/</w:t>
      </w:r>
      <w:r w:rsidRPr="001513F9">
        <w:rPr>
          <w:lang w:val="en-US"/>
        </w:rPr>
        <w:t>ml</w:t>
      </w:r>
      <w:r w:rsidRPr="001513F9">
        <w:t>. Το 0,70</w:t>
      </w:r>
      <w:r w:rsidR="00D07E77" w:rsidRPr="001513F9">
        <w:t> </w:t>
      </w:r>
      <w:r w:rsidRPr="001513F9">
        <w:rPr>
          <w:lang w:val="en-US"/>
        </w:rPr>
        <w:t>mg</w:t>
      </w:r>
      <w:r w:rsidRPr="001513F9">
        <w:t>/</w:t>
      </w:r>
      <w:r w:rsidRPr="001513F9">
        <w:rPr>
          <w:lang w:val="en-US"/>
        </w:rPr>
        <w:t>ml</w:t>
      </w:r>
      <w:r w:rsidRPr="001513F9">
        <w:t xml:space="preserve"> είναι η υψηλότερη συγκέντρωση στην κλινική πρακτική για δόση οξαλιπλατίνης 85</w:t>
      </w:r>
      <w:r w:rsidR="003122E0" w:rsidRPr="001513F9">
        <w:t> </w:t>
      </w:r>
      <w:r w:rsidRPr="001513F9">
        <w:rPr>
          <w:lang w:val="en-US"/>
        </w:rPr>
        <w:t>mg</w:t>
      </w:r>
      <w:r w:rsidRPr="001513F9">
        <w:t>/</w:t>
      </w:r>
      <w:r w:rsidRPr="001513F9">
        <w:rPr>
          <w:lang w:val="en-US"/>
        </w:rPr>
        <w:t>m</w:t>
      </w:r>
      <w:r w:rsidRPr="001513F9">
        <w:rPr>
          <w:vertAlign w:val="superscript"/>
        </w:rPr>
        <w:t>2</w:t>
      </w:r>
      <w:r w:rsidRPr="001513F9">
        <w:t>.</w:t>
      </w:r>
    </w:p>
    <w:p w:rsidR="007364F9" w:rsidRPr="000B008B" w:rsidRDefault="007364F9" w:rsidP="007364F9">
      <w:pPr>
        <w:tabs>
          <w:tab w:val="left" w:pos="709"/>
        </w:tabs>
        <w:jc w:val="both"/>
        <w:rPr>
          <w:lang w:eastAsia="fr-FR"/>
        </w:rPr>
      </w:pPr>
      <w:r w:rsidRPr="001513F9">
        <w:t xml:space="preserve">Η οξαλιπλατίνη έχει χρησιμοποιηθεί κυρίως σε συνδυασμό με σχήματα βασισμένα σε συνεχή έγχυση </w:t>
      </w:r>
      <w:r w:rsidR="00767322" w:rsidRPr="001513F9">
        <w:t>5-φ</w:t>
      </w:r>
      <w:r w:rsidRPr="001513F9">
        <w:t>θοριοουρακίλης (</w:t>
      </w:r>
      <w:r w:rsidR="00767322" w:rsidRPr="001513F9">
        <w:t>5-F</w:t>
      </w:r>
      <w:r w:rsidRPr="001513F9">
        <w:rPr>
          <w:lang w:val="en-US"/>
        </w:rPr>
        <w:t>U</w:t>
      </w:r>
      <w:r w:rsidRPr="001513F9">
        <w:t xml:space="preserve">). Για το θεραπευτικό σχήμα επαναλαμβανόμενων δόσεων ανά δύο εβδομάδες χρησιμοποιήθηκαν σχήματα </w:t>
      </w:r>
      <w:r w:rsidR="00767322" w:rsidRPr="001513F9">
        <w:t>5-φ</w:t>
      </w:r>
      <w:r w:rsidRPr="001513F9">
        <w:t>θοριοουρακίλης (</w:t>
      </w:r>
      <w:r w:rsidR="00767322" w:rsidRPr="001513F9">
        <w:t>5-F</w:t>
      </w:r>
      <w:r w:rsidRPr="001513F9">
        <w:rPr>
          <w:lang w:val="en-US"/>
        </w:rPr>
        <w:t>U</w:t>
      </w:r>
      <w:r w:rsidRPr="001513F9">
        <w:t xml:space="preserve">) που συνδύαζαν </w:t>
      </w:r>
      <w:r w:rsidR="00CF2967">
        <w:t>εφ’ ά</w:t>
      </w:r>
      <w:r w:rsidR="00163153">
        <w:t xml:space="preserve">παξ </w:t>
      </w:r>
      <w:r w:rsidRPr="000B008B">
        <w:t>ταχεία ενδοφλέβια χορήγηση και συνεχή έγχυση.</w:t>
      </w:r>
    </w:p>
    <w:p w:rsidR="007364F9" w:rsidRPr="001513F9" w:rsidRDefault="007364F9" w:rsidP="007364F9">
      <w:pPr>
        <w:jc w:val="both"/>
        <w:rPr>
          <w:lang w:eastAsia="fr-FR"/>
        </w:rPr>
      </w:pPr>
    </w:p>
    <w:p w:rsidR="007364F9" w:rsidRPr="001513F9" w:rsidRDefault="007364F9" w:rsidP="007364F9">
      <w:pPr>
        <w:jc w:val="both"/>
        <w:rPr>
          <w:bCs/>
          <w:iCs/>
          <w:u w:val="single"/>
          <w:lang w:eastAsia="fr-FR"/>
        </w:rPr>
      </w:pPr>
      <w:r w:rsidRPr="001513F9">
        <w:rPr>
          <w:bCs/>
          <w:iCs/>
          <w:u w:val="single"/>
        </w:rPr>
        <w:t xml:space="preserve">Ειδικές κατηγορίες ασθενών </w:t>
      </w:r>
    </w:p>
    <w:p w:rsidR="002A5119" w:rsidRPr="001513F9" w:rsidRDefault="002A5119" w:rsidP="007364F9">
      <w:pPr>
        <w:widowControl/>
        <w:tabs>
          <w:tab w:val="left" w:pos="993"/>
        </w:tabs>
        <w:jc w:val="both"/>
        <w:rPr>
          <w:i/>
          <w:iCs/>
        </w:rPr>
      </w:pPr>
    </w:p>
    <w:p w:rsidR="007364F9" w:rsidRPr="001513F9" w:rsidRDefault="007364F9" w:rsidP="007364F9">
      <w:pPr>
        <w:widowControl/>
        <w:tabs>
          <w:tab w:val="left" w:pos="993"/>
        </w:tabs>
        <w:jc w:val="both"/>
        <w:rPr>
          <w:i/>
          <w:iCs/>
          <w:lang w:eastAsia="fr-FR"/>
        </w:rPr>
      </w:pPr>
      <w:r w:rsidRPr="001513F9">
        <w:rPr>
          <w:i/>
          <w:iCs/>
        </w:rPr>
        <w:t>- Νεφρική δυσλειτουργία</w:t>
      </w:r>
    </w:p>
    <w:p w:rsidR="00463325" w:rsidRPr="001513F9" w:rsidRDefault="00463325" w:rsidP="00463325">
      <w:pPr>
        <w:numPr>
          <w:ilvl w:val="12"/>
          <w:numId w:val="0"/>
        </w:numPr>
        <w:rPr>
          <w:szCs w:val="22"/>
        </w:rPr>
      </w:pPr>
      <w:r w:rsidRPr="001513F9">
        <w:rPr>
          <w:szCs w:val="22"/>
        </w:rPr>
        <w:t>Η οξαλιπλατίνη δεν πρέπει να χορηγείται σε ασθενείς με σοβαρή νεφρική δυσλειτουργία (βλ. παραγράφους 4.3 και 5.2).</w:t>
      </w:r>
    </w:p>
    <w:p w:rsidR="007364F9" w:rsidRPr="001513F9" w:rsidRDefault="00463325" w:rsidP="00463325">
      <w:pPr>
        <w:numPr>
          <w:ilvl w:val="12"/>
          <w:numId w:val="0"/>
        </w:numPr>
        <w:jc w:val="both"/>
        <w:rPr>
          <w:lang w:eastAsia="fr-FR"/>
        </w:rPr>
      </w:pPr>
      <w:r w:rsidRPr="001513F9">
        <w:rPr>
          <w:szCs w:val="22"/>
        </w:rPr>
        <w:t>Σε ασθενείς με ήπια έως μέτρια νεφρική δυσλειτουργία, η συνιστώμενη δόση οξαλιπλατίνης είναι 85</w:t>
      </w:r>
      <w:r w:rsidRPr="001513F9">
        <w:rPr>
          <w:szCs w:val="22"/>
          <w:lang w:val="en-US"/>
        </w:rPr>
        <w:t> </w:t>
      </w:r>
      <w:r w:rsidRPr="001513F9">
        <w:rPr>
          <w:szCs w:val="22"/>
          <w:lang w:val="en-GB"/>
        </w:rPr>
        <w:t>mg</w:t>
      </w:r>
      <w:r w:rsidRPr="001513F9">
        <w:rPr>
          <w:szCs w:val="22"/>
        </w:rPr>
        <w:t>/</w:t>
      </w:r>
      <w:r w:rsidRPr="001513F9">
        <w:rPr>
          <w:szCs w:val="22"/>
          <w:lang w:val="en-GB"/>
        </w:rPr>
        <w:t>m</w:t>
      </w:r>
      <w:r w:rsidRPr="001513F9">
        <w:rPr>
          <w:szCs w:val="22"/>
          <w:vertAlign w:val="superscript"/>
        </w:rPr>
        <w:t>2</w:t>
      </w:r>
      <w:r w:rsidRPr="001513F9">
        <w:rPr>
          <w:szCs w:val="22"/>
        </w:rPr>
        <w:t xml:space="preserve"> (βλ. παραγράφους 4.4 και 5.2).</w:t>
      </w:r>
    </w:p>
    <w:p w:rsidR="007364F9" w:rsidRPr="001513F9" w:rsidRDefault="007364F9" w:rsidP="007364F9">
      <w:pPr>
        <w:widowControl/>
        <w:tabs>
          <w:tab w:val="left" w:pos="993"/>
        </w:tabs>
        <w:jc w:val="both"/>
        <w:rPr>
          <w:iCs/>
        </w:rPr>
      </w:pPr>
    </w:p>
    <w:p w:rsidR="007364F9" w:rsidRPr="001513F9" w:rsidRDefault="007364F9" w:rsidP="007364F9">
      <w:pPr>
        <w:widowControl/>
        <w:tabs>
          <w:tab w:val="left" w:pos="993"/>
        </w:tabs>
        <w:jc w:val="both"/>
        <w:rPr>
          <w:i/>
          <w:lang w:eastAsia="fr-FR"/>
        </w:rPr>
      </w:pPr>
      <w:r w:rsidRPr="001513F9">
        <w:rPr>
          <w:i/>
        </w:rPr>
        <w:t>- Ηπατική ανεπάρκεια</w:t>
      </w:r>
    </w:p>
    <w:p w:rsidR="007364F9" w:rsidRPr="001513F9" w:rsidRDefault="007364F9" w:rsidP="007364F9">
      <w:pPr>
        <w:tabs>
          <w:tab w:val="left" w:pos="993"/>
        </w:tabs>
        <w:jc w:val="both"/>
        <w:rPr>
          <w:lang w:eastAsia="fr-FR"/>
        </w:rPr>
      </w:pPr>
      <w:r w:rsidRPr="001513F9">
        <w:t>Σε μία κλινική μελέτη φάσης Ι που συμπεριέλαβε ασθενείς με διάφορα στάδια ηπατικής δυσλειτουργίας, η συχνότητα και η σοβαρότητα των ηπατοχολικών διαταραχών φαίνεται να σχετίζεται με την εξ</w:t>
      </w:r>
      <w:r w:rsidR="00163153">
        <w:t>ελιγμένη</w:t>
      </w:r>
      <w:r w:rsidRPr="000B008B">
        <w:t xml:space="preserve"> νόσο</w:t>
      </w:r>
      <w:r w:rsidRPr="001513F9">
        <w:t xml:space="preserve"> και με τις </w:t>
      </w:r>
      <w:r w:rsidR="00163153">
        <w:t>παθ</w:t>
      </w:r>
      <w:r w:rsidRPr="000B008B">
        <w:t>ολογικές τιμές των δοκιμασιών ηπατικής λειτουργίας στην έναρξη της θεραπείας. Δεν έγιναν ει</w:t>
      </w:r>
      <w:r w:rsidRPr="001513F9">
        <w:t xml:space="preserve">δικές ρυθμίσεις στη δοσολογία σε ασθενείς με </w:t>
      </w:r>
      <w:r w:rsidR="00767322" w:rsidRPr="001513F9">
        <w:t>μη-</w:t>
      </w:r>
      <w:r w:rsidRPr="001513F9">
        <w:t>φυσιολογικές τιμές των μετρήσεων ηπατικής λειτουργίας κατά την κλινική ανάπτυξη του προϊόντος.</w:t>
      </w:r>
    </w:p>
    <w:p w:rsidR="007364F9" w:rsidRPr="001513F9" w:rsidRDefault="007364F9" w:rsidP="007364F9">
      <w:pPr>
        <w:widowControl/>
        <w:tabs>
          <w:tab w:val="left" w:pos="993"/>
        </w:tabs>
        <w:jc w:val="both"/>
        <w:rPr>
          <w:iCs/>
        </w:rPr>
      </w:pPr>
    </w:p>
    <w:p w:rsidR="007364F9" w:rsidRPr="001513F9" w:rsidRDefault="007364F9" w:rsidP="007364F9">
      <w:pPr>
        <w:widowControl/>
        <w:tabs>
          <w:tab w:val="left" w:pos="993"/>
        </w:tabs>
        <w:jc w:val="both"/>
        <w:rPr>
          <w:i/>
          <w:lang w:eastAsia="fr-FR"/>
        </w:rPr>
      </w:pPr>
      <w:r w:rsidRPr="001513F9">
        <w:rPr>
          <w:i/>
        </w:rPr>
        <w:t>- Ηλικιωμένοι ασθενείς</w:t>
      </w:r>
    </w:p>
    <w:p w:rsidR="007364F9" w:rsidRPr="001513F9" w:rsidRDefault="007364F9" w:rsidP="007364F9">
      <w:pPr>
        <w:tabs>
          <w:tab w:val="left" w:pos="993"/>
        </w:tabs>
        <w:jc w:val="both"/>
      </w:pPr>
      <w:r w:rsidRPr="001513F9">
        <w:t xml:space="preserve">Δεν παρατηρήθηκε αύξηση των περιστατικών σοβαρής τοξικότητας, όταν η οξαλιπλατίνη χορηγήθηκε σε μονοθεραπεία ή σε συνδυασμό με την </w:t>
      </w:r>
      <w:r w:rsidR="00767322" w:rsidRPr="001513F9">
        <w:t>5-φ</w:t>
      </w:r>
      <w:r w:rsidRPr="001513F9">
        <w:t>θοριοουρακίλη (</w:t>
      </w:r>
      <w:r w:rsidR="00767322" w:rsidRPr="001513F9">
        <w:t>5-F</w:t>
      </w:r>
      <w:r w:rsidRPr="001513F9">
        <w:rPr>
          <w:lang w:val="en-US"/>
        </w:rPr>
        <w:t>U</w:t>
      </w:r>
      <w:r w:rsidRPr="001513F9">
        <w:t>) σε ασθενείς ηλικίας άνω των 65 ετών. Επομένως, δεν απαιτείται ειδική προσαρμογή της δοσολογίας για τους ηλικιωμένους ασθενείς.</w:t>
      </w:r>
    </w:p>
    <w:p w:rsidR="007364F9" w:rsidRPr="001513F9" w:rsidRDefault="007364F9" w:rsidP="007364F9">
      <w:pPr>
        <w:tabs>
          <w:tab w:val="left" w:pos="993"/>
        </w:tabs>
        <w:jc w:val="both"/>
      </w:pPr>
    </w:p>
    <w:p w:rsidR="007364F9" w:rsidRPr="001513F9" w:rsidRDefault="007364F9" w:rsidP="007364F9">
      <w:pPr>
        <w:tabs>
          <w:tab w:val="left" w:pos="993"/>
          <w:tab w:val="left" w:pos="9072"/>
        </w:tabs>
        <w:ind w:right="-12"/>
        <w:jc w:val="both"/>
        <w:rPr>
          <w:i/>
          <w:lang w:eastAsia="fr-FR"/>
        </w:rPr>
      </w:pPr>
      <w:bookmarkStart w:id="0" w:name="OLE_LINK1"/>
      <w:bookmarkStart w:id="1" w:name="OLE_LINK2"/>
      <w:r w:rsidRPr="001513F9">
        <w:rPr>
          <w:i/>
          <w:lang w:eastAsia="fr-FR"/>
        </w:rPr>
        <w:t>- Παιδιατρικοί ασθενείς</w:t>
      </w:r>
    </w:p>
    <w:p w:rsidR="007364F9" w:rsidRPr="001513F9" w:rsidRDefault="007364F9" w:rsidP="007364F9">
      <w:pPr>
        <w:tabs>
          <w:tab w:val="left" w:pos="993"/>
          <w:tab w:val="left" w:pos="9072"/>
        </w:tabs>
        <w:ind w:right="-12"/>
        <w:jc w:val="both"/>
        <w:rPr>
          <w:lang w:eastAsia="fr-FR"/>
        </w:rPr>
      </w:pPr>
      <w:r w:rsidRPr="001513F9">
        <w:rPr>
          <w:lang w:eastAsia="fr-FR"/>
        </w:rPr>
        <w:t>Δεν υπάρχει σχετική ένδειξη για χρήση της οξαλιπλατίνης σε παιδιά. Η αποτελεσματικότητα της οξαλιπλατίνης ως μονοθεραπεία σε παιδιατρικούς πληθυσμούς με συμπαγείς όγκους δεν έχει τεκμηριωθεί (βλέπε παράγραφο 5.1).</w:t>
      </w:r>
    </w:p>
    <w:bookmarkEnd w:id="0"/>
    <w:bookmarkEnd w:id="1"/>
    <w:p w:rsidR="007364F9" w:rsidRPr="001513F9" w:rsidRDefault="007364F9" w:rsidP="007364F9">
      <w:pPr>
        <w:ind w:left="714"/>
        <w:jc w:val="both"/>
        <w:rPr>
          <w:u w:val="single"/>
          <w:lang w:eastAsia="fr-FR"/>
        </w:rPr>
      </w:pPr>
    </w:p>
    <w:p w:rsidR="007364F9" w:rsidRPr="001513F9" w:rsidRDefault="007364F9" w:rsidP="00005709">
      <w:pPr>
        <w:jc w:val="both"/>
        <w:rPr>
          <w:bCs/>
          <w:iCs/>
          <w:u w:val="single"/>
          <w:lang w:eastAsia="fr-FR"/>
        </w:rPr>
      </w:pPr>
      <w:r w:rsidRPr="001513F9">
        <w:rPr>
          <w:bCs/>
          <w:iCs/>
          <w:u w:val="single"/>
        </w:rPr>
        <w:t>Τρόπος χορήγησης</w:t>
      </w:r>
    </w:p>
    <w:p w:rsidR="00463325" w:rsidRPr="001513F9" w:rsidRDefault="00463325" w:rsidP="00005709">
      <w:pPr>
        <w:jc w:val="both"/>
      </w:pPr>
    </w:p>
    <w:p w:rsidR="007364F9" w:rsidRPr="001513F9" w:rsidRDefault="007364F9" w:rsidP="00005709">
      <w:pPr>
        <w:jc w:val="both"/>
        <w:rPr>
          <w:lang w:eastAsia="fr-FR"/>
        </w:rPr>
      </w:pPr>
      <w:r w:rsidRPr="001513F9">
        <w:t>Η οξαλιπλατίνη χορηγείται με ενδοφλέβια έγχυση.</w:t>
      </w:r>
    </w:p>
    <w:p w:rsidR="007364F9" w:rsidRPr="001513F9" w:rsidRDefault="007364F9" w:rsidP="007364F9">
      <w:pPr>
        <w:ind w:left="748"/>
        <w:jc w:val="both"/>
        <w:rPr>
          <w:lang w:eastAsia="fr-FR"/>
        </w:rPr>
      </w:pPr>
    </w:p>
    <w:p w:rsidR="007364F9" w:rsidRPr="001513F9" w:rsidRDefault="007364F9" w:rsidP="007364F9">
      <w:pPr>
        <w:jc w:val="both"/>
      </w:pPr>
      <w:r w:rsidRPr="001513F9">
        <w:t>Η χορήγηση της οξαλιπλατίνης δεν απαιτεί περαιτέρω ενυδάτωση.</w:t>
      </w:r>
    </w:p>
    <w:p w:rsidR="007364F9" w:rsidRPr="001513F9" w:rsidRDefault="007364F9" w:rsidP="007364F9">
      <w:pPr>
        <w:jc w:val="both"/>
      </w:pPr>
      <w:r w:rsidRPr="001513F9">
        <w:t>Η οξαλιπλατίνη όταν αραιωθεί σε 250 έως 500</w:t>
      </w:r>
      <w:r w:rsidR="003122E0" w:rsidRPr="001513F9">
        <w:t> </w:t>
      </w:r>
      <w:r w:rsidRPr="001513F9">
        <w:rPr>
          <w:lang w:val="en-GB"/>
        </w:rPr>
        <w:t>ml</w:t>
      </w:r>
      <w:r w:rsidRPr="001513F9">
        <w:t xml:space="preserve"> διαλύματος γλυκόζης 5% (50</w:t>
      </w:r>
      <w:r w:rsidR="003122E0" w:rsidRPr="001513F9">
        <w:t> </w:t>
      </w:r>
      <w:r w:rsidRPr="001513F9">
        <w:rPr>
          <w:lang w:val="en-GB"/>
        </w:rPr>
        <w:t>mg</w:t>
      </w:r>
      <w:r w:rsidRPr="001513F9">
        <w:t>/</w:t>
      </w:r>
      <w:r w:rsidRPr="001513F9">
        <w:rPr>
          <w:lang w:val="en-GB"/>
        </w:rPr>
        <w:t>ml</w:t>
      </w:r>
      <w:r w:rsidRPr="001513F9">
        <w:t>) ώστε να επιτευχθεί μια συγκέντρωση όχι μικρότερη των 0,2</w:t>
      </w:r>
      <w:r w:rsidR="003122E0" w:rsidRPr="001513F9">
        <w:t> </w:t>
      </w:r>
      <w:r w:rsidRPr="001513F9">
        <w:t xml:space="preserve">mg/ml πρέπει να εγχέεται είτε μέσω μιας κεντρικής φλεβικής οδού ή περιφερικής φλέβας σε διάστημα 2 έως 6 ωρών. Η έγχυση της οξαλιπλατίνης πρέπει πάντα να προηγείται εκείνης της </w:t>
      </w:r>
      <w:r w:rsidR="00767322" w:rsidRPr="001513F9">
        <w:t>5-φ</w:t>
      </w:r>
      <w:r w:rsidRPr="001513F9">
        <w:t>θοριοουρακίλης (</w:t>
      </w:r>
      <w:r w:rsidR="00767322" w:rsidRPr="001513F9">
        <w:t>5-F</w:t>
      </w:r>
      <w:r w:rsidRPr="001513F9">
        <w:rPr>
          <w:lang w:val="en-US"/>
        </w:rPr>
        <w:t>U</w:t>
      </w:r>
      <w:r w:rsidRPr="001513F9">
        <w:t>).</w:t>
      </w:r>
    </w:p>
    <w:p w:rsidR="007364F9" w:rsidRPr="001513F9" w:rsidRDefault="007364F9" w:rsidP="007364F9">
      <w:pPr>
        <w:ind w:left="748"/>
        <w:jc w:val="both"/>
        <w:rPr>
          <w:lang w:eastAsia="fr-FR"/>
        </w:rPr>
      </w:pPr>
    </w:p>
    <w:p w:rsidR="007364F9" w:rsidRPr="001513F9" w:rsidRDefault="007364F9" w:rsidP="007364F9">
      <w:pPr>
        <w:jc w:val="both"/>
        <w:rPr>
          <w:lang w:eastAsia="fr-FR"/>
        </w:rPr>
      </w:pPr>
      <w:r w:rsidRPr="001513F9">
        <w:t>Σε περίπτωση εξαγγείωσης, η χορήγηση πρέπει να διακοπεί αμέσως.</w:t>
      </w:r>
    </w:p>
    <w:p w:rsidR="007364F9" w:rsidRPr="001513F9" w:rsidRDefault="007364F9" w:rsidP="007364F9">
      <w:pPr>
        <w:ind w:left="714"/>
        <w:jc w:val="both"/>
        <w:rPr>
          <w:u w:val="single"/>
          <w:lang w:eastAsia="fr-FR"/>
        </w:rPr>
      </w:pPr>
    </w:p>
    <w:p w:rsidR="007364F9" w:rsidRPr="001513F9" w:rsidRDefault="007364F9" w:rsidP="007364F9">
      <w:pPr>
        <w:numPr>
          <w:ilvl w:val="12"/>
          <w:numId w:val="0"/>
        </w:numPr>
        <w:jc w:val="both"/>
        <w:rPr>
          <w:bCs/>
          <w:iCs/>
          <w:u w:val="single"/>
        </w:rPr>
      </w:pPr>
      <w:r w:rsidRPr="001513F9">
        <w:rPr>
          <w:bCs/>
          <w:iCs/>
          <w:u w:val="single"/>
        </w:rPr>
        <w:t>Οδηγίες χρήσης</w:t>
      </w:r>
    </w:p>
    <w:p w:rsidR="00463325" w:rsidRPr="001513F9" w:rsidRDefault="00463325" w:rsidP="007364F9"/>
    <w:p w:rsidR="007364F9" w:rsidRPr="001513F9" w:rsidRDefault="007364F9" w:rsidP="007364F9">
      <w:pPr>
        <w:rPr>
          <w:noProof/>
        </w:rPr>
      </w:pPr>
      <w:r w:rsidRPr="001513F9">
        <w:t>Η οξαλιπλατίνη πρέπει να αραιώνεται πριν τη χρήση. Μόνο διάλυμα αραίωσης γλυκόζης 5% (50</w:t>
      </w:r>
      <w:r w:rsidR="003122E0" w:rsidRPr="001513F9">
        <w:t> </w:t>
      </w:r>
      <w:r w:rsidRPr="001513F9">
        <w:rPr>
          <w:lang w:val="en-US"/>
        </w:rPr>
        <w:t>mg</w:t>
      </w:r>
      <w:r w:rsidRPr="001513F9">
        <w:t>/</w:t>
      </w:r>
      <w:r w:rsidRPr="001513F9">
        <w:rPr>
          <w:lang w:val="en-US"/>
        </w:rPr>
        <w:t>ml</w:t>
      </w:r>
      <w:r w:rsidRPr="001513F9">
        <w:t>) μπορεί να χρησιμοποιηθεί για την αραίωση του πυκνού διαλύματος προς έγχυση (βλ. παράγραφο 6.6).</w:t>
      </w:r>
    </w:p>
    <w:p w:rsidR="007364F9" w:rsidRPr="001513F9" w:rsidRDefault="007364F9" w:rsidP="007364F9">
      <w:pPr>
        <w:rPr>
          <w:noProof/>
        </w:rPr>
      </w:pPr>
    </w:p>
    <w:p w:rsidR="007364F9" w:rsidRPr="001513F9" w:rsidRDefault="007364F9" w:rsidP="007364F9">
      <w:pPr>
        <w:rPr>
          <w:noProof/>
        </w:rPr>
      </w:pPr>
      <w:r w:rsidRPr="001513F9">
        <w:rPr>
          <w:b/>
          <w:noProof/>
        </w:rPr>
        <w:t>4.3</w:t>
      </w:r>
      <w:r w:rsidRPr="001513F9">
        <w:rPr>
          <w:b/>
          <w:noProof/>
        </w:rPr>
        <w:tab/>
        <w:t>Αντενδείξεις</w:t>
      </w:r>
    </w:p>
    <w:p w:rsidR="007364F9" w:rsidRPr="001513F9" w:rsidRDefault="007364F9" w:rsidP="007364F9">
      <w:pPr>
        <w:rPr>
          <w:noProof/>
        </w:rPr>
      </w:pPr>
    </w:p>
    <w:p w:rsidR="007364F9" w:rsidRPr="001513F9" w:rsidRDefault="007364F9" w:rsidP="007364F9">
      <w:pPr>
        <w:numPr>
          <w:ilvl w:val="12"/>
          <w:numId w:val="0"/>
        </w:numPr>
        <w:jc w:val="both"/>
      </w:pPr>
      <w:r w:rsidRPr="001513F9">
        <w:t>Η οξαλιπλατίνη αντενδείκνυται σε:</w:t>
      </w:r>
    </w:p>
    <w:p w:rsidR="007364F9" w:rsidRPr="001513F9" w:rsidRDefault="003E7180" w:rsidP="007364F9">
      <w:pPr>
        <w:widowControl/>
        <w:numPr>
          <w:ilvl w:val="0"/>
          <w:numId w:val="20"/>
        </w:numPr>
        <w:tabs>
          <w:tab w:val="clear" w:pos="1080"/>
          <w:tab w:val="num" w:pos="567"/>
        </w:tabs>
        <w:ind w:left="567" w:hanging="567"/>
        <w:jc w:val="both"/>
      </w:pPr>
      <w:r w:rsidRPr="001513F9">
        <w:t xml:space="preserve">ασθενείς με </w:t>
      </w:r>
      <w:r w:rsidR="00463325" w:rsidRPr="001513F9">
        <w:rPr>
          <w:szCs w:val="22"/>
        </w:rPr>
        <w:t xml:space="preserve">γνωστό ιστορικό </w:t>
      </w:r>
      <w:r w:rsidR="007364F9" w:rsidRPr="001513F9">
        <w:t>υ</w:t>
      </w:r>
      <w:r w:rsidR="00D4546B" w:rsidRPr="001513F9">
        <w:t>περευαισθησία</w:t>
      </w:r>
      <w:r w:rsidR="00463325" w:rsidRPr="001513F9">
        <w:t>ς</w:t>
      </w:r>
      <w:r w:rsidR="00D4546B" w:rsidRPr="001513F9">
        <w:t xml:space="preserve"> στην οξαλιπλατίνη</w:t>
      </w:r>
    </w:p>
    <w:p w:rsidR="007364F9" w:rsidRPr="001513F9" w:rsidRDefault="007364F9" w:rsidP="007364F9">
      <w:pPr>
        <w:widowControl/>
        <w:numPr>
          <w:ilvl w:val="0"/>
          <w:numId w:val="20"/>
        </w:numPr>
        <w:tabs>
          <w:tab w:val="clear" w:pos="1080"/>
          <w:tab w:val="num" w:pos="567"/>
        </w:tabs>
        <w:ind w:hanging="1080"/>
        <w:jc w:val="both"/>
      </w:pPr>
      <w:r w:rsidRPr="001513F9">
        <w:t>γυναίκες σε γαλουχία</w:t>
      </w:r>
    </w:p>
    <w:p w:rsidR="007364F9" w:rsidRPr="001513F9" w:rsidRDefault="007364F9" w:rsidP="007364F9">
      <w:pPr>
        <w:widowControl/>
        <w:numPr>
          <w:ilvl w:val="0"/>
          <w:numId w:val="20"/>
        </w:numPr>
        <w:tabs>
          <w:tab w:val="clear" w:pos="1080"/>
          <w:tab w:val="num" w:pos="567"/>
        </w:tabs>
        <w:ind w:left="567" w:hanging="567"/>
        <w:jc w:val="both"/>
      </w:pPr>
      <w:r w:rsidRPr="001513F9">
        <w:t>ασθενείς που έχουν μυελοκαταστολή πριν τον πρώτο κύκλο θεραπείας, όπως δείχνουν μετρήσεις ουδετερόφιλων &lt;2</w:t>
      </w:r>
      <w:r w:rsidRPr="001513F9">
        <w:rPr>
          <w:lang w:val="en-GB"/>
        </w:rPr>
        <w:t>x</w:t>
      </w:r>
      <w:r w:rsidRPr="001513F9">
        <w:t>10</w:t>
      </w:r>
      <w:r w:rsidRPr="001513F9">
        <w:rPr>
          <w:vertAlign w:val="superscript"/>
        </w:rPr>
        <w:t>9</w:t>
      </w:r>
      <w:r w:rsidRPr="001513F9">
        <w:t>/</w:t>
      </w:r>
      <w:r w:rsidRPr="001513F9">
        <w:rPr>
          <w:lang w:val="en-GB"/>
        </w:rPr>
        <w:t>l</w:t>
      </w:r>
      <w:r w:rsidRPr="001513F9">
        <w:t xml:space="preserve"> και/ή αριθμού αιμοπεταλίων &lt;100</w:t>
      </w:r>
      <w:r w:rsidRPr="001513F9">
        <w:rPr>
          <w:lang w:val="en-GB"/>
        </w:rPr>
        <w:t>x</w:t>
      </w:r>
      <w:r w:rsidRPr="001513F9">
        <w:t>10</w:t>
      </w:r>
      <w:r w:rsidRPr="001513F9">
        <w:rPr>
          <w:vertAlign w:val="superscript"/>
        </w:rPr>
        <w:t>9</w:t>
      </w:r>
      <w:r w:rsidRPr="001513F9">
        <w:t>/</w:t>
      </w:r>
      <w:r w:rsidRPr="001513F9">
        <w:rPr>
          <w:lang w:val="en-GB"/>
        </w:rPr>
        <w:t>l</w:t>
      </w:r>
      <w:r w:rsidR="00D4546B" w:rsidRPr="001513F9">
        <w:t xml:space="preserve"> κατά την έναρξη της θεραπείας</w:t>
      </w:r>
    </w:p>
    <w:p w:rsidR="007364F9" w:rsidRPr="001513F9" w:rsidRDefault="007364F9" w:rsidP="007364F9">
      <w:pPr>
        <w:widowControl/>
        <w:numPr>
          <w:ilvl w:val="0"/>
          <w:numId w:val="20"/>
        </w:numPr>
        <w:tabs>
          <w:tab w:val="clear" w:pos="1080"/>
          <w:tab w:val="num" w:pos="567"/>
        </w:tabs>
        <w:ind w:left="567" w:hanging="567"/>
        <w:jc w:val="both"/>
      </w:pPr>
      <w:r w:rsidRPr="001513F9">
        <w:t>ασθενείς με περιφερική αισθητική νευροπάθεια, με λειτουργικές διαταραχές πριν από την έναρ</w:t>
      </w:r>
      <w:r w:rsidR="00D4546B" w:rsidRPr="001513F9">
        <w:t>ξη του πρώτου κύκλου θεραπείας</w:t>
      </w:r>
    </w:p>
    <w:p w:rsidR="007364F9" w:rsidRPr="001513F9" w:rsidRDefault="007364F9" w:rsidP="00463325">
      <w:pPr>
        <w:widowControl/>
        <w:numPr>
          <w:ilvl w:val="0"/>
          <w:numId w:val="20"/>
        </w:numPr>
        <w:tabs>
          <w:tab w:val="clear" w:pos="1080"/>
          <w:tab w:val="num" w:pos="-1980"/>
          <w:tab w:val="num" w:pos="567"/>
        </w:tabs>
        <w:ind w:left="540" w:hanging="540"/>
        <w:jc w:val="both"/>
      </w:pPr>
      <w:r w:rsidRPr="001513F9">
        <w:t>ασθενείς με σοβαρή νεφρική δυσλειτουργία (κάθαρση κρεατινίνης &lt;30</w:t>
      </w:r>
      <w:r w:rsidR="003122E0" w:rsidRPr="001513F9">
        <w:t> </w:t>
      </w:r>
      <w:r w:rsidRPr="001513F9">
        <w:rPr>
          <w:lang w:val="en-GB"/>
        </w:rPr>
        <w:t>ml</w:t>
      </w:r>
      <w:r w:rsidRPr="001513F9">
        <w:t>/</w:t>
      </w:r>
      <w:r w:rsidRPr="001513F9">
        <w:rPr>
          <w:lang w:val="en-GB"/>
        </w:rPr>
        <w:t>min</w:t>
      </w:r>
      <w:r w:rsidRPr="001513F9">
        <w:t>)</w:t>
      </w:r>
      <w:r w:rsidR="00463325" w:rsidRPr="001513F9">
        <w:rPr>
          <w:szCs w:val="22"/>
        </w:rPr>
        <w:t xml:space="preserve"> (βλ. παράγραφο 5.2)</w:t>
      </w:r>
      <w:r w:rsidRPr="001513F9">
        <w:t>.</w:t>
      </w:r>
    </w:p>
    <w:p w:rsidR="007364F9" w:rsidRPr="001513F9" w:rsidRDefault="007364F9" w:rsidP="007364F9">
      <w:pPr>
        <w:rPr>
          <w:b/>
          <w:noProof/>
        </w:rPr>
      </w:pPr>
    </w:p>
    <w:p w:rsidR="007364F9" w:rsidRPr="001513F9" w:rsidRDefault="007364F9" w:rsidP="007364F9">
      <w:pPr>
        <w:rPr>
          <w:noProof/>
        </w:rPr>
      </w:pPr>
      <w:r w:rsidRPr="001513F9">
        <w:rPr>
          <w:b/>
          <w:noProof/>
        </w:rPr>
        <w:t>4.4</w:t>
      </w:r>
      <w:r w:rsidRPr="001513F9">
        <w:rPr>
          <w:b/>
          <w:noProof/>
        </w:rPr>
        <w:tab/>
        <w:t>Ειδικές προειδοποιήσεις και προφυλάξεις κατά τη χρήση</w:t>
      </w:r>
    </w:p>
    <w:p w:rsidR="007364F9" w:rsidRPr="001513F9" w:rsidRDefault="007364F9" w:rsidP="007364F9">
      <w:pPr>
        <w:rPr>
          <w:noProof/>
        </w:rPr>
      </w:pPr>
    </w:p>
    <w:p w:rsidR="007364F9" w:rsidRPr="001513F9" w:rsidRDefault="007364F9" w:rsidP="007364F9">
      <w:pPr>
        <w:pBdr>
          <w:top w:val="single" w:sz="4" w:space="1" w:color="auto"/>
          <w:left w:val="single" w:sz="4" w:space="2" w:color="auto"/>
          <w:bottom w:val="single" w:sz="4" w:space="1" w:color="auto"/>
          <w:right w:val="single" w:sz="4" w:space="4" w:color="auto"/>
        </w:pBdr>
        <w:jc w:val="both"/>
        <w:rPr>
          <w:lang w:eastAsia="fr-FR"/>
        </w:rPr>
      </w:pPr>
      <w:r w:rsidRPr="001513F9">
        <w:t xml:space="preserve">Η οξαλιπλατίνη πρέπει να χρησιμοποιείται μόνο σε εξειδικευμένα </w:t>
      </w:r>
      <w:r w:rsidR="00463325" w:rsidRPr="001513F9">
        <w:t xml:space="preserve">ογκολογικά </w:t>
      </w:r>
      <w:r w:rsidRPr="001513F9">
        <w:t>τμήματα και</w:t>
      </w:r>
      <w:r w:rsidRPr="001513F9">
        <w:rPr>
          <w:b/>
        </w:rPr>
        <w:t xml:space="preserve"> </w:t>
      </w:r>
      <w:r w:rsidRPr="001513F9">
        <w:t>πρέπει</w:t>
      </w:r>
      <w:r w:rsidRPr="001513F9">
        <w:rPr>
          <w:b/>
        </w:rPr>
        <w:t xml:space="preserve"> </w:t>
      </w:r>
      <w:r w:rsidRPr="001513F9">
        <w:t>να χορηγείται μόνο κάτω από την επίβλεψη έμπειρου ογκολόγου.</w:t>
      </w:r>
    </w:p>
    <w:p w:rsidR="007364F9" w:rsidRPr="001513F9" w:rsidRDefault="007364F9" w:rsidP="007364F9">
      <w:pPr>
        <w:jc w:val="both"/>
        <w:rPr>
          <w:lang w:eastAsia="fr-FR"/>
        </w:rPr>
      </w:pPr>
    </w:p>
    <w:p w:rsidR="00463325" w:rsidRPr="001513F9" w:rsidRDefault="00463325" w:rsidP="00463325">
      <w:pPr>
        <w:rPr>
          <w:i/>
          <w:szCs w:val="22"/>
          <w:u w:val="single"/>
        </w:rPr>
      </w:pPr>
      <w:r w:rsidRPr="001513F9">
        <w:rPr>
          <w:i/>
          <w:szCs w:val="22"/>
          <w:u w:val="single"/>
        </w:rPr>
        <w:t>Νεφρική δυσλειτουργία</w:t>
      </w:r>
    </w:p>
    <w:p w:rsidR="00463325" w:rsidRPr="001513F9" w:rsidRDefault="00463325" w:rsidP="00463325">
      <w:pPr>
        <w:rPr>
          <w:szCs w:val="22"/>
        </w:rPr>
      </w:pPr>
      <w:r w:rsidRPr="001513F9">
        <w:rPr>
          <w:szCs w:val="22"/>
        </w:rPr>
        <w:t xml:space="preserve">Οι ασθενείς με ήπια έως μέτρια νεφρική δυσλειτουργία </w:t>
      </w:r>
      <w:r w:rsidR="00662B85" w:rsidRPr="001513F9">
        <w:rPr>
          <w:szCs w:val="22"/>
        </w:rPr>
        <w:t xml:space="preserve">θα </w:t>
      </w:r>
      <w:r w:rsidRPr="001513F9">
        <w:rPr>
          <w:szCs w:val="22"/>
        </w:rPr>
        <w:t>πρέπει να παρακολουθούνται στενά για ανεπιθύμητες αντιδράσεις ενώ η δόση να προσαρμόζεται ανάλογα με την τοξικότητα (βλ. παράγραφο 5.2).</w:t>
      </w:r>
    </w:p>
    <w:p w:rsidR="007364F9" w:rsidRPr="001513F9" w:rsidRDefault="007364F9" w:rsidP="007364F9">
      <w:pPr>
        <w:ind w:left="714"/>
        <w:jc w:val="both"/>
        <w:rPr>
          <w:lang w:eastAsia="fr-FR"/>
        </w:rPr>
      </w:pPr>
    </w:p>
    <w:p w:rsidR="00463325" w:rsidRPr="001513F9" w:rsidRDefault="00463325" w:rsidP="00463325">
      <w:pPr>
        <w:numPr>
          <w:ilvl w:val="12"/>
          <w:numId w:val="0"/>
        </w:numPr>
        <w:rPr>
          <w:i/>
          <w:szCs w:val="22"/>
          <w:u w:val="single"/>
        </w:rPr>
      </w:pPr>
      <w:r w:rsidRPr="001513F9">
        <w:rPr>
          <w:i/>
          <w:szCs w:val="22"/>
          <w:u w:val="single"/>
        </w:rPr>
        <w:t>Αντιδράσεις υπερευαισθησίας</w:t>
      </w:r>
    </w:p>
    <w:p w:rsidR="00463325" w:rsidRPr="001513F9" w:rsidRDefault="00463325" w:rsidP="00463325">
      <w:pPr>
        <w:numPr>
          <w:ilvl w:val="12"/>
          <w:numId w:val="0"/>
        </w:numPr>
        <w:rPr>
          <w:szCs w:val="22"/>
        </w:rPr>
      </w:pPr>
      <w:r w:rsidRPr="001513F9">
        <w:rPr>
          <w:szCs w:val="22"/>
        </w:rPr>
        <w:t>Ειδική παρακολούθηση πρέπει να εξασφαλίζεται για τους ασθενείς με ιστορικό αλλεργικών εκδηλώσεων σε άλλα προϊόντα που περιέχουν</w:t>
      </w:r>
      <w:r w:rsidR="00662B85" w:rsidRPr="001513F9">
        <w:rPr>
          <w:szCs w:val="22"/>
        </w:rPr>
        <w:t xml:space="preserve"> λευκόχρυσο</w:t>
      </w:r>
      <w:r w:rsidRPr="001513F9">
        <w:rPr>
          <w:szCs w:val="22"/>
        </w:rPr>
        <w:t xml:space="preserve">. Σε περίπτωση εμφάνισης αναφυλακτικών εκδηλώσεων, η έγχυση πρέπει να διακοπεί αμέσως και να αρχίσει κατάλληλη συμπτωματική αγωγή. Η επαναχορήγηση της οξαλιπλατίνης σε αυτούς τους ασθενείς αντενδείκνυται. Διασταυρούμενες αντιδράσεις, μερικές φορές θανατηφόρες, έχουν αναφερθεί με όλα τα παράγωγα </w:t>
      </w:r>
      <w:r w:rsidR="00DC14CA" w:rsidRPr="001513F9">
        <w:rPr>
          <w:szCs w:val="22"/>
        </w:rPr>
        <w:t>λευκοχρύσου</w:t>
      </w:r>
      <w:r w:rsidRPr="001513F9">
        <w:rPr>
          <w:szCs w:val="22"/>
        </w:rPr>
        <w:t>.</w:t>
      </w:r>
    </w:p>
    <w:p w:rsidR="007364F9" w:rsidRPr="001513F9" w:rsidRDefault="007364F9" w:rsidP="007364F9">
      <w:pPr>
        <w:numPr>
          <w:ilvl w:val="12"/>
          <w:numId w:val="0"/>
        </w:numPr>
        <w:ind w:left="60"/>
        <w:jc w:val="both"/>
      </w:pPr>
    </w:p>
    <w:p w:rsidR="007364F9" w:rsidRPr="001513F9" w:rsidRDefault="007364F9" w:rsidP="007364F9">
      <w:pPr>
        <w:numPr>
          <w:ilvl w:val="12"/>
          <w:numId w:val="0"/>
        </w:numPr>
        <w:jc w:val="both"/>
      </w:pPr>
      <w:r w:rsidRPr="001513F9">
        <w:t>Σε περίπτωση εξαγγείωσης της οξαλιπλατίνης, η έγχυση πρέπει να διακόπτεται άμεσα και να αρχίζει η συνήθης, τοπική, συμπτωματική θεραπεία.</w:t>
      </w:r>
    </w:p>
    <w:p w:rsidR="007364F9" w:rsidRPr="001513F9" w:rsidRDefault="007364F9" w:rsidP="007364F9">
      <w:pPr>
        <w:numPr>
          <w:ilvl w:val="12"/>
          <w:numId w:val="0"/>
        </w:numPr>
        <w:ind w:left="60"/>
        <w:jc w:val="both"/>
      </w:pPr>
    </w:p>
    <w:p w:rsidR="00463325" w:rsidRPr="001513F9" w:rsidRDefault="00463325" w:rsidP="00463325">
      <w:pPr>
        <w:numPr>
          <w:ilvl w:val="12"/>
          <w:numId w:val="0"/>
        </w:numPr>
        <w:rPr>
          <w:i/>
          <w:szCs w:val="22"/>
          <w:u w:val="single"/>
        </w:rPr>
      </w:pPr>
      <w:r w:rsidRPr="001513F9">
        <w:rPr>
          <w:i/>
          <w:szCs w:val="22"/>
          <w:u w:val="single"/>
        </w:rPr>
        <w:t>Νευρολογικά συμπτώματα</w:t>
      </w:r>
    </w:p>
    <w:p w:rsidR="007364F9" w:rsidRPr="000B008B" w:rsidRDefault="007364F9" w:rsidP="007364F9">
      <w:pPr>
        <w:numPr>
          <w:ilvl w:val="12"/>
          <w:numId w:val="0"/>
        </w:numPr>
        <w:jc w:val="both"/>
      </w:pPr>
      <w:r w:rsidRPr="001513F9">
        <w:t xml:space="preserve">Η νευρολογική τοξικότητα της οξαλιπλατίνης πρέπει να παρακολουθείται προσεκτικά, ιδιαίτερα εάν συγχορηγείται με άλλα φάρμακα, με </w:t>
      </w:r>
      <w:r w:rsidR="00163153">
        <w:t>ειδικ</w:t>
      </w:r>
      <w:r w:rsidRPr="000B008B">
        <w:t>ή νευρολογική τοξικότητα. Μια νευρολογική εξέταση πρέπει να πραγματοποιείται πριν από κάθε χορήγηση και στη συνέχεια περιοδικά.</w:t>
      </w:r>
    </w:p>
    <w:p w:rsidR="007364F9" w:rsidRPr="001513F9" w:rsidRDefault="007364F9" w:rsidP="007364F9">
      <w:pPr>
        <w:numPr>
          <w:ilvl w:val="12"/>
          <w:numId w:val="0"/>
        </w:numPr>
        <w:tabs>
          <w:tab w:val="left" w:pos="8778"/>
        </w:tabs>
        <w:jc w:val="both"/>
      </w:pPr>
    </w:p>
    <w:p w:rsidR="007364F9" w:rsidRPr="001513F9" w:rsidRDefault="007364F9" w:rsidP="007364F9">
      <w:pPr>
        <w:numPr>
          <w:ilvl w:val="12"/>
          <w:numId w:val="0"/>
        </w:numPr>
        <w:tabs>
          <w:tab w:val="left" w:pos="8778"/>
        </w:tabs>
        <w:jc w:val="both"/>
      </w:pPr>
      <w:r w:rsidRPr="001513F9">
        <w:t>Για ασθενείς που αναπτύσσουν οξεία λαρυγγοφαρυγγική δυσαισθησία (βλ. παράγραφο 4.8), κατά τη διάρκεια ή εντός ωρών μετά από τη δίωρη έγχυση, η επόμενη έγχυση οξαλιπλατίνης πρέπει να χορηγείται σε διάστημα 6 ωρών.</w:t>
      </w:r>
    </w:p>
    <w:p w:rsidR="007364F9" w:rsidRPr="001513F9" w:rsidRDefault="007364F9" w:rsidP="007364F9">
      <w:pPr>
        <w:numPr>
          <w:ilvl w:val="12"/>
          <w:numId w:val="0"/>
        </w:numPr>
        <w:tabs>
          <w:tab w:val="left" w:pos="8778"/>
        </w:tabs>
        <w:jc w:val="both"/>
      </w:pPr>
    </w:p>
    <w:p w:rsidR="00463325" w:rsidRPr="001513F9" w:rsidRDefault="00463325" w:rsidP="00463325">
      <w:pPr>
        <w:pStyle w:val="a6"/>
        <w:pBdr>
          <w:top w:val="none" w:sz="0" w:space="0" w:color="auto"/>
          <w:left w:val="none" w:sz="0" w:space="0" w:color="auto"/>
          <w:bottom w:val="none" w:sz="0" w:space="0" w:color="auto"/>
          <w:right w:val="none" w:sz="0" w:space="0" w:color="auto"/>
        </w:pBdr>
        <w:tabs>
          <w:tab w:val="left" w:pos="9072"/>
        </w:tabs>
        <w:ind w:left="0" w:right="0" w:firstLine="0"/>
        <w:rPr>
          <w:b w:val="0"/>
          <w:sz w:val="22"/>
          <w:szCs w:val="22"/>
          <w:u w:val="single"/>
          <w:lang w:val="el-GR"/>
        </w:rPr>
      </w:pPr>
      <w:r w:rsidRPr="001513F9">
        <w:rPr>
          <w:b w:val="0"/>
          <w:sz w:val="22"/>
          <w:szCs w:val="22"/>
          <w:u w:val="single"/>
          <w:lang w:val="el-GR"/>
        </w:rPr>
        <w:t>Περιφερική νευροπάθεια</w:t>
      </w:r>
    </w:p>
    <w:p w:rsidR="007364F9" w:rsidRPr="000B008B" w:rsidRDefault="007364F9" w:rsidP="007364F9">
      <w:pPr>
        <w:pStyle w:val="a6"/>
        <w:pBdr>
          <w:top w:val="none" w:sz="0" w:space="0" w:color="auto"/>
          <w:left w:val="none" w:sz="0" w:space="0" w:color="auto"/>
          <w:bottom w:val="none" w:sz="0" w:space="0" w:color="auto"/>
          <w:right w:val="none" w:sz="0" w:space="0" w:color="auto"/>
        </w:pBdr>
        <w:tabs>
          <w:tab w:val="left" w:pos="9072"/>
        </w:tabs>
        <w:ind w:left="0" w:right="0" w:firstLine="0"/>
        <w:rPr>
          <w:b w:val="0"/>
          <w:bCs w:val="0"/>
          <w:i w:val="0"/>
          <w:iCs w:val="0"/>
          <w:sz w:val="22"/>
          <w:szCs w:val="22"/>
          <w:lang w:val="el-GR"/>
        </w:rPr>
      </w:pPr>
      <w:r w:rsidRPr="001513F9">
        <w:rPr>
          <w:b w:val="0"/>
          <w:i w:val="0"/>
          <w:sz w:val="22"/>
          <w:szCs w:val="22"/>
          <w:lang w:val="el-GR"/>
        </w:rPr>
        <w:t xml:space="preserve">Εάν εμφανιστούν νευρολογικά συμπτώματα (παραισθησία, δυσαισθησία), η προσαρμογή της δοσολογίας της οξαλιπλατίνης που συνιστάται πρέπει να γίνεται ανάλογα με τη διάρκεια και με τη </w:t>
      </w:r>
      <w:r w:rsidR="00C46AA9">
        <w:rPr>
          <w:b w:val="0"/>
          <w:i w:val="0"/>
          <w:sz w:val="22"/>
          <w:szCs w:val="22"/>
          <w:lang w:val="el-GR"/>
        </w:rPr>
        <w:t>σοβαρό</w:t>
      </w:r>
      <w:r w:rsidRPr="000B008B">
        <w:rPr>
          <w:b w:val="0"/>
          <w:i w:val="0"/>
          <w:sz w:val="22"/>
          <w:szCs w:val="22"/>
          <w:lang w:val="el-GR"/>
        </w:rPr>
        <w:t>τητα αυτών των συμπτωμάτων</w:t>
      </w:r>
      <w:r w:rsidRPr="000B008B">
        <w:rPr>
          <w:b w:val="0"/>
          <w:bCs w:val="0"/>
          <w:i w:val="0"/>
          <w:iCs w:val="0"/>
          <w:sz w:val="22"/>
          <w:szCs w:val="22"/>
          <w:lang w:val="el-GR"/>
        </w:rPr>
        <w:t>:</w:t>
      </w:r>
    </w:p>
    <w:p w:rsidR="00463325" w:rsidRPr="001513F9" w:rsidRDefault="00463325" w:rsidP="007364F9">
      <w:pPr>
        <w:pStyle w:val="a6"/>
        <w:pBdr>
          <w:top w:val="none" w:sz="0" w:space="0" w:color="auto"/>
          <w:left w:val="none" w:sz="0" w:space="0" w:color="auto"/>
          <w:bottom w:val="none" w:sz="0" w:space="0" w:color="auto"/>
          <w:right w:val="none" w:sz="0" w:space="0" w:color="auto"/>
        </w:pBdr>
        <w:tabs>
          <w:tab w:val="left" w:pos="9072"/>
        </w:tabs>
        <w:ind w:left="0" w:right="0" w:firstLine="0"/>
        <w:rPr>
          <w:b w:val="0"/>
          <w:bCs w:val="0"/>
          <w:i w:val="0"/>
          <w:iCs w:val="0"/>
          <w:sz w:val="22"/>
          <w:szCs w:val="22"/>
          <w:lang w:val="el-GR" w:eastAsia="fr-FR"/>
        </w:rPr>
      </w:pPr>
    </w:p>
    <w:p w:rsidR="007364F9" w:rsidRPr="001513F9" w:rsidRDefault="007364F9" w:rsidP="003E7180">
      <w:pPr>
        <w:tabs>
          <w:tab w:val="left" w:pos="567"/>
          <w:tab w:val="left" w:pos="8778"/>
        </w:tabs>
        <w:ind w:left="540" w:hanging="540"/>
        <w:jc w:val="both"/>
      </w:pPr>
      <w:r w:rsidRPr="001513F9">
        <w:t>-</w:t>
      </w:r>
      <w:r w:rsidRPr="001513F9">
        <w:tab/>
        <w:t xml:space="preserve">Εάν τα συμπτώματα διαρκούν περισσότερο από 7 ημέρες και είναι ενοχλητικά, η επόμενη δόση της οξαλιπλατίνης πρέπει να μειωθεί από 85 σε 65 </w:t>
      </w:r>
      <w:r w:rsidRPr="001513F9">
        <w:rPr>
          <w:lang w:val="en-GB"/>
        </w:rPr>
        <w:t>mg</w:t>
      </w:r>
      <w:r w:rsidRPr="001513F9">
        <w:t>/</w:t>
      </w:r>
      <w:r w:rsidRPr="001513F9">
        <w:rPr>
          <w:lang w:val="en-GB"/>
        </w:rPr>
        <w:t>m</w:t>
      </w:r>
      <w:r w:rsidRPr="001513F9">
        <w:rPr>
          <w:vertAlign w:val="superscript"/>
        </w:rPr>
        <w:t>2</w:t>
      </w:r>
      <w:r w:rsidR="003E7180" w:rsidRPr="001513F9">
        <w:t xml:space="preserve"> (θεραπεία </w:t>
      </w:r>
      <w:r w:rsidRPr="001513F9">
        <w:t>μεταστατικού καρκίνου) ή 75</w:t>
      </w:r>
      <w:r w:rsidR="003122E0" w:rsidRPr="001513F9">
        <w:t> </w:t>
      </w:r>
      <w:r w:rsidRPr="001513F9">
        <w:rPr>
          <w:lang w:val="en-GB"/>
        </w:rPr>
        <w:t>mg</w:t>
      </w:r>
      <w:r w:rsidRPr="001513F9">
        <w:t>/</w:t>
      </w:r>
      <w:r w:rsidRPr="001513F9">
        <w:rPr>
          <w:lang w:val="en-GB"/>
        </w:rPr>
        <w:t>m</w:t>
      </w:r>
      <w:r w:rsidRPr="001513F9">
        <w:rPr>
          <w:vertAlign w:val="superscript"/>
        </w:rPr>
        <w:t>2</w:t>
      </w:r>
      <w:r w:rsidRPr="001513F9">
        <w:t xml:space="preserve"> (επικουρική θεραπεία).</w:t>
      </w:r>
    </w:p>
    <w:p w:rsidR="007364F9" w:rsidRPr="001513F9" w:rsidRDefault="007364F9" w:rsidP="007364F9">
      <w:pPr>
        <w:tabs>
          <w:tab w:val="left" w:pos="567"/>
          <w:tab w:val="left" w:pos="8778"/>
        </w:tabs>
        <w:ind w:left="567" w:hanging="567"/>
        <w:jc w:val="both"/>
        <w:rPr>
          <w:szCs w:val="22"/>
        </w:rPr>
      </w:pPr>
      <w:r w:rsidRPr="001513F9">
        <w:rPr>
          <w:szCs w:val="22"/>
        </w:rPr>
        <w:t>-</w:t>
      </w:r>
      <w:r w:rsidRPr="001513F9">
        <w:rPr>
          <w:szCs w:val="22"/>
        </w:rPr>
        <w:tab/>
        <w:t>Εάν η παραισθησία χωρίς λειτουργικές βλάβες διαρκεί μέχρι τον επόμενο κύκλο, η επόμενη δόση της οξαλιπλατίνης πρέπει να μειωθεί από 85 σε 65</w:t>
      </w:r>
      <w:r w:rsidR="003122E0" w:rsidRPr="001513F9">
        <w:rPr>
          <w:szCs w:val="22"/>
        </w:rPr>
        <w:t> </w:t>
      </w:r>
      <w:r w:rsidRPr="001513F9">
        <w:rPr>
          <w:szCs w:val="22"/>
          <w:lang w:val="en-GB"/>
        </w:rPr>
        <w:t>mg</w:t>
      </w:r>
      <w:r w:rsidRPr="001513F9">
        <w:rPr>
          <w:szCs w:val="22"/>
        </w:rPr>
        <w:t>/</w:t>
      </w:r>
      <w:r w:rsidRPr="001513F9">
        <w:rPr>
          <w:szCs w:val="22"/>
          <w:lang w:val="en-GB"/>
        </w:rPr>
        <w:t>m</w:t>
      </w:r>
      <w:r w:rsidRPr="001513F9">
        <w:rPr>
          <w:szCs w:val="22"/>
          <w:vertAlign w:val="superscript"/>
        </w:rPr>
        <w:t>2</w:t>
      </w:r>
      <w:r w:rsidRPr="001513F9">
        <w:rPr>
          <w:szCs w:val="22"/>
        </w:rPr>
        <w:t xml:space="preserve"> </w:t>
      </w:r>
      <w:r w:rsidRPr="001513F9">
        <w:t>(θεραπεία μεταστατικού καρκίνου) ή 75</w:t>
      </w:r>
      <w:r w:rsidR="003122E0" w:rsidRPr="001513F9">
        <w:t> </w:t>
      </w:r>
      <w:r w:rsidRPr="001513F9">
        <w:rPr>
          <w:lang w:val="en-GB"/>
        </w:rPr>
        <w:t>mg</w:t>
      </w:r>
      <w:r w:rsidRPr="001513F9">
        <w:t>/</w:t>
      </w:r>
      <w:r w:rsidRPr="001513F9">
        <w:rPr>
          <w:lang w:val="en-GB"/>
        </w:rPr>
        <w:t>m</w:t>
      </w:r>
      <w:r w:rsidRPr="001513F9">
        <w:rPr>
          <w:vertAlign w:val="superscript"/>
        </w:rPr>
        <w:t>2</w:t>
      </w:r>
      <w:r w:rsidRPr="001513F9">
        <w:t xml:space="preserve"> (επικουρική θεραπεία)</w:t>
      </w:r>
      <w:r w:rsidRPr="001513F9">
        <w:rPr>
          <w:szCs w:val="22"/>
        </w:rPr>
        <w:t>.</w:t>
      </w:r>
    </w:p>
    <w:p w:rsidR="007364F9" w:rsidRPr="001513F9" w:rsidRDefault="007364F9" w:rsidP="007364F9">
      <w:pPr>
        <w:pStyle w:val="BodyTextIndent31"/>
        <w:tabs>
          <w:tab w:val="left" w:pos="8778"/>
        </w:tabs>
        <w:ind w:left="567" w:hanging="567"/>
        <w:rPr>
          <w:sz w:val="22"/>
          <w:szCs w:val="22"/>
          <w:lang w:val="el-GR"/>
        </w:rPr>
      </w:pPr>
      <w:r w:rsidRPr="001513F9">
        <w:rPr>
          <w:sz w:val="22"/>
          <w:szCs w:val="22"/>
          <w:lang w:val="el-GR"/>
        </w:rPr>
        <w:t>-</w:t>
      </w:r>
      <w:r w:rsidRPr="001513F9">
        <w:rPr>
          <w:sz w:val="22"/>
          <w:szCs w:val="22"/>
          <w:lang w:val="el-GR"/>
        </w:rPr>
        <w:tab/>
        <w:t>Εάν η παραισθησία με λειτουργικές βλάβες διαρκεί μέχρι τον επόμενο κύκλο, η χορήγηση της οξαλιπλατίνης πρέπει να διακοπεί.</w:t>
      </w:r>
    </w:p>
    <w:p w:rsidR="007364F9" w:rsidRPr="001513F9" w:rsidRDefault="007364F9" w:rsidP="007364F9">
      <w:pPr>
        <w:tabs>
          <w:tab w:val="left" w:pos="8778"/>
        </w:tabs>
        <w:ind w:left="567" w:hanging="567"/>
        <w:jc w:val="both"/>
        <w:rPr>
          <w:lang w:eastAsia="fr-FR"/>
        </w:rPr>
      </w:pPr>
      <w:r w:rsidRPr="001513F9">
        <w:rPr>
          <w:szCs w:val="22"/>
        </w:rPr>
        <w:t>-</w:t>
      </w:r>
      <w:r w:rsidRPr="001513F9">
        <w:rPr>
          <w:szCs w:val="22"/>
        </w:rPr>
        <w:tab/>
        <w:t>Εάν τα συμπτώματα αυτά βελτιώνονται μετά τη διακοπή της θεραπείας με οξαλιπλατίνη,</w:t>
      </w:r>
      <w:r w:rsidRPr="001513F9">
        <w:t xml:space="preserve"> </w:t>
      </w:r>
      <w:r w:rsidRPr="001513F9">
        <w:lastRenderedPageBreak/>
        <w:t>μπορεί να εξεταστεί πάλι η συνέχιση της θεραπείας.</w:t>
      </w:r>
    </w:p>
    <w:p w:rsidR="007364F9" w:rsidRPr="001513F9" w:rsidRDefault="007364F9" w:rsidP="007364F9">
      <w:pPr>
        <w:numPr>
          <w:ilvl w:val="12"/>
          <w:numId w:val="0"/>
        </w:numPr>
        <w:tabs>
          <w:tab w:val="left" w:pos="8778"/>
        </w:tabs>
        <w:jc w:val="both"/>
      </w:pPr>
    </w:p>
    <w:p w:rsidR="007364F9" w:rsidRPr="001513F9" w:rsidRDefault="007364F9" w:rsidP="007364F9">
      <w:pPr>
        <w:numPr>
          <w:ilvl w:val="12"/>
          <w:numId w:val="0"/>
        </w:numPr>
        <w:tabs>
          <w:tab w:val="left" w:pos="8778"/>
        </w:tabs>
        <w:jc w:val="both"/>
      </w:pPr>
      <w:r w:rsidRPr="001513F9">
        <w:t>Οι ασθενείς θα πρέπει να ενημερωθούν για την πιθανότητα επίμονων συμπτωμάτων περιφερικής αισθητικής νευροπάθειας μετά το τέλος της θεραπείας. Τοπικές, μέτριου βαθμού, παραισθησίες ή παραισθησίες οι οποίες μπορεί να παρεμποδίζουν λειτουργικές δραστηριότητες μπορεί να επιμένουν μέχρι και 3 χρόνια μετά τη διακοπή της αγωγής στην επικουρική θεραπεία.</w:t>
      </w:r>
    </w:p>
    <w:p w:rsidR="007364F9" w:rsidRPr="001513F9" w:rsidRDefault="007364F9" w:rsidP="007364F9">
      <w:pPr>
        <w:numPr>
          <w:ilvl w:val="12"/>
          <w:numId w:val="0"/>
        </w:numPr>
        <w:tabs>
          <w:tab w:val="left" w:pos="8778"/>
        </w:tabs>
        <w:jc w:val="both"/>
      </w:pPr>
    </w:p>
    <w:p w:rsidR="00463325" w:rsidRPr="001513F9" w:rsidRDefault="00463325" w:rsidP="00463325">
      <w:pPr>
        <w:numPr>
          <w:ilvl w:val="12"/>
          <w:numId w:val="0"/>
        </w:numPr>
        <w:tabs>
          <w:tab w:val="left" w:pos="8778"/>
        </w:tabs>
        <w:rPr>
          <w:i/>
          <w:szCs w:val="22"/>
          <w:u w:val="single"/>
        </w:rPr>
      </w:pPr>
      <w:r w:rsidRPr="001513F9">
        <w:rPr>
          <w:i/>
          <w:szCs w:val="22"/>
          <w:u w:val="single"/>
        </w:rPr>
        <w:t>Σύνδρομο αναστρέψιμης οπίσθιας λευκοεγκεφαλοπάθειας (RPLS)</w:t>
      </w:r>
    </w:p>
    <w:p w:rsidR="00463325" w:rsidRPr="001513F9" w:rsidRDefault="00463325" w:rsidP="00463325">
      <w:pPr>
        <w:numPr>
          <w:ilvl w:val="12"/>
          <w:numId w:val="0"/>
        </w:numPr>
        <w:tabs>
          <w:tab w:val="left" w:pos="8778"/>
        </w:tabs>
        <w:rPr>
          <w:szCs w:val="22"/>
        </w:rPr>
      </w:pPr>
      <w:r w:rsidRPr="001513F9">
        <w:rPr>
          <w:szCs w:val="22"/>
        </w:rPr>
        <w:t xml:space="preserve">Περιπτώσεις </w:t>
      </w:r>
      <w:r w:rsidR="00662B85" w:rsidRPr="001513F9">
        <w:rPr>
          <w:szCs w:val="22"/>
        </w:rPr>
        <w:t>Σ</w:t>
      </w:r>
      <w:r w:rsidRPr="001513F9">
        <w:rPr>
          <w:szCs w:val="22"/>
        </w:rPr>
        <w:t xml:space="preserve">υνδρόμου </w:t>
      </w:r>
      <w:r w:rsidR="00662B85" w:rsidRPr="001513F9">
        <w:rPr>
          <w:szCs w:val="22"/>
        </w:rPr>
        <w:t>Α</w:t>
      </w:r>
      <w:r w:rsidRPr="001513F9">
        <w:rPr>
          <w:szCs w:val="22"/>
        </w:rPr>
        <w:t xml:space="preserve">ναστρέψιμης </w:t>
      </w:r>
      <w:r w:rsidR="00662B85" w:rsidRPr="001513F9">
        <w:rPr>
          <w:szCs w:val="22"/>
        </w:rPr>
        <w:t>Ο</w:t>
      </w:r>
      <w:r w:rsidRPr="001513F9">
        <w:rPr>
          <w:szCs w:val="22"/>
        </w:rPr>
        <w:t xml:space="preserve">πίσθιας </w:t>
      </w:r>
      <w:r w:rsidR="00662B85" w:rsidRPr="001513F9">
        <w:rPr>
          <w:szCs w:val="22"/>
        </w:rPr>
        <w:t>Λ</w:t>
      </w:r>
      <w:r w:rsidRPr="001513F9">
        <w:rPr>
          <w:szCs w:val="22"/>
        </w:rPr>
        <w:t xml:space="preserve">ευκοεγκεφαλοπάθειας (ΣΑΟΛ, επίσης γνωστό ως </w:t>
      </w:r>
      <w:r w:rsidR="00662B85" w:rsidRPr="001513F9">
        <w:rPr>
          <w:szCs w:val="22"/>
        </w:rPr>
        <w:t>Σ</w:t>
      </w:r>
      <w:r w:rsidRPr="001513F9">
        <w:rPr>
          <w:szCs w:val="22"/>
        </w:rPr>
        <w:t xml:space="preserve">ύνδρομο </w:t>
      </w:r>
      <w:r w:rsidR="00662B85" w:rsidRPr="001513F9">
        <w:rPr>
          <w:szCs w:val="22"/>
        </w:rPr>
        <w:t>Ο</w:t>
      </w:r>
      <w:r w:rsidRPr="001513F9">
        <w:rPr>
          <w:szCs w:val="22"/>
        </w:rPr>
        <w:t xml:space="preserve">πίσθιας </w:t>
      </w:r>
      <w:r w:rsidR="00662B85" w:rsidRPr="001513F9">
        <w:rPr>
          <w:szCs w:val="22"/>
        </w:rPr>
        <w:t>Α</w:t>
      </w:r>
      <w:r w:rsidRPr="001513F9">
        <w:rPr>
          <w:szCs w:val="22"/>
        </w:rPr>
        <w:t xml:space="preserve">ναστρέψιμης </w:t>
      </w:r>
      <w:r w:rsidR="00662B85" w:rsidRPr="001513F9">
        <w:rPr>
          <w:szCs w:val="22"/>
        </w:rPr>
        <w:t>Ε</w:t>
      </w:r>
      <w:r w:rsidRPr="001513F9">
        <w:rPr>
          <w:szCs w:val="22"/>
        </w:rPr>
        <w:t>γκεφαλοπάθειας [PRES] έχουν αναφερθεί σε ασθενείς που λαμβάνουν οξαλιπλατίνη σε συνδυασμό με χημειοθεραπεία. Το ΣΑΟΛ είναι μια σπάνια, αναστρέψιμη, ταχέως εξελισσόμενη νευρολογική πάθηση που μπορεί να περιλαμβάνει επιληπτικ</w:t>
      </w:r>
      <w:r w:rsidR="00C46AA9">
        <w:rPr>
          <w:szCs w:val="22"/>
        </w:rPr>
        <w:t>ού</w:t>
      </w:r>
      <w:r w:rsidRPr="000B008B">
        <w:rPr>
          <w:szCs w:val="22"/>
        </w:rPr>
        <w:t xml:space="preserve">ς </w:t>
      </w:r>
      <w:r w:rsidR="00C46AA9">
        <w:rPr>
          <w:szCs w:val="22"/>
        </w:rPr>
        <w:t>σπασμούς</w:t>
      </w:r>
      <w:r w:rsidRPr="000B008B">
        <w:rPr>
          <w:szCs w:val="22"/>
        </w:rPr>
        <w:t xml:space="preserve">, υπέρταση, κεφαλαλγία, σύγχυση, τύφλωση και άλλες οπτικές και νευρολογικές διαταραχές (βλ. παράγραφο 4.8). Η διάγνωση του </w:t>
      </w:r>
      <w:r w:rsidRPr="001513F9">
        <w:rPr>
          <w:szCs w:val="22"/>
        </w:rPr>
        <w:t>RPLS βασίζεται στην επιβεβαίωση με την απεικόνιση του εγκεφάλου, κατά προτίμηση με μαγνητική τομογραφία (MRI).</w:t>
      </w:r>
    </w:p>
    <w:p w:rsidR="00463325" w:rsidRPr="001513F9" w:rsidRDefault="00463325" w:rsidP="00463325">
      <w:pPr>
        <w:numPr>
          <w:ilvl w:val="12"/>
          <w:numId w:val="0"/>
        </w:numPr>
        <w:tabs>
          <w:tab w:val="left" w:pos="8778"/>
        </w:tabs>
        <w:rPr>
          <w:szCs w:val="22"/>
        </w:rPr>
      </w:pPr>
    </w:p>
    <w:p w:rsidR="00463325" w:rsidRPr="001513F9" w:rsidRDefault="00463325" w:rsidP="00463325">
      <w:pPr>
        <w:numPr>
          <w:ilvl w:val="12"/>
          <w:numId w:val="0"/>
        </w:numPr>
        <w:tabs>
          <w:tab w:val="left" w:pos="8778"/>
        </w:tabs>
        <w:rPr>
          <w:i/>
          <w:szCs w:val="22"/>
          <w:u w:val="single"/>
        </w:rPr>
      </w:pPr>
      <w:r w:rsidRPr="001513F9">
        <w:rPr>
          <w:i/>
          <w:szCs w:val="22"/>
          <w:u w:val="single"/>
        </w:rPr>
        <w:t>Ναυτία, έμετος, διάρροια, αφυδάτωση και αιματολογικές αλλοιώσεις</w:t>
      </w:r>
    </w:p>
    <w:p w:rsidR="007364F9" w:rsidRPr="001513F9" w:rsidRDefault="007364F9" w:rsidP="007364F9">
      <w:pPr>
        <w:numPr>
          <w:ilvl w:val="12"/>
          <w:numId w:val="0"/>
        </w:numPr>
        <w:tabs>
          <w:tab w:val="left" w:pos="8778"/>
        </w:tabs>
        <w:jc w:val="both"/>
      </w:pPr>
      <w:r w:rsidRPr="001513F9">
        <w:t>Η γαστρεντερική τοξικότητα που εκδηλώνεται με ναυτία και έμετο, απαιτεί προφυλακτική και/ή θεραπευτική αντιεμετική αγωγή (βλ. παράγραφο 4.8).</w:t>
      </w:r>
    </w:p>
    <w:p w:rsidR="007364F9" w:rsidRPr="001513F9" w:rsidRDefault="007364F9" w:rsidP="007364F9">
      <w:pPr>
        <w:numPr>
          <w:ilvl w:val="12"/>
          <w:numId w:val="0"/>
        </w:numPr>
        <w:tabs>
          <w:tab w:val="left" w:pos="8778"/>
        </w:tabs>
        <w:ind w:left="60"/>
        <w:jc w:val="both"/>
      </w:pPr>
    </w:p>
    <w:p w:rsidR="007364F9" w:rsidRPr="001513F9" w:rsidRDefault="007364F9" w:rsidP="007364F9">
      <w:pPr>
        <w:numPr>
          <w:ilvl w:val="12"/>
          <w:numId w:val="0"/>
        </w:numPr>
        <w:jc w:val="both"/>
      </w:pPr>
      <w:r w:rsidRPr="001513F9">
        <w:t xml:space="preserve">Αφυδάτωση, παραλυτικός ειλεός, εντερική απόφραξη, υποκαλιαιμία, μεταβολική οξέωση και νεφρική διαταραχή ενδέχεται να προκληθούν από σοβαρή διάρροια/έμετο, ιδιαίτερα όταν χορηγείται ο συνδυασμός οξαλιπλατίνης και </w:t>
      </w:r>
      <w:r w:rsidR="00767322" w:rsidRPr="001513F9">
        <w:t>5-F</w:t>
      </w:r>
      <w:r w:rsidRPr="001513F9">
        <w:rPr>
          <w:lang w:val="en-US"/>
        </w:rPr>
        <w:t>U</w:t>
      </w:r>
      <w:r w:rsidR="00B40011" w:rsidRPr="001513F9">
        <w:t>.</w:t>
      </w:r>
    </w:p>
    <w:p w:rsidR="00B40011" w:rsidRPr="001513F9" w:rsidRDefault="00B40011" w:rsidP="007364F9">
      <w:pPr>
        <w:numPr>
          <w:ilvl w:val="12"/>
          <w:numId w:val="0"/>
        </w:numPr>
        <w:jc w:val="both"/>
      </w:pPr>
    </w:p>
    <w:p w:rsidR="007364F9" w:rsidRPr="001513F9" w:rsidRDefault="007364F9" w:rsidP="007364F9">
      <w:pPr>
        <w:numPr>
          <w:ilvl w:val="12"/>
          <w:numId w:val="0"/>
        </w:numPr>
        <w:jc w:val="both"/>
      </w:pPr>
      <w:r w:rsidRPr="001513F9">
        <w:t>Εάν εμφανιστεί αιματολογική τοξικότητα (αριθμός ουδετερόφιλων &lt;1,5</w:t>
      </w:r>
      <w:r w:rsidRPr="001513F9">
        <w:rPr>
          <w:lang w:val="en-GB"/>
        </w:rPr>
        <w:t>x</w:t>
      </w:r>
      <w:r w:rsidRPr="001513F9">
        <w:t>10</w:t>
      </w:r>
      <w:r w:rsidRPr="001513F9">
        <w:rPr>
          <w:vertAlign w:val="superscript"/>
        </w:rPr>
        <w:t>9</w:t>
      </w:r>
      <w:r w:rsidRPr="001513F9">
        <w:t>/</w:t>
      </w:r>
      <w:r w:rsidRPr="001513F9">
        <w:rPr>
          <w:lang w:val="en-GB"/>
        </w:rPr>
        <w:t>l</w:t>
      </w:r>
      <w:r w:rsidRPr="001513F9">
        <w:t xml:space="preserve"> ή αριθμός αιμοπεταλίων &lt;50</w:t>
      </w:r>
      <w:r w:rsidRPr="001513F9">
        <w:rPr>
          <w:lang w:val="en-GB"/>
        </w:rPr>
        <w:t>x</w:t>
      </w:r>
      <w:r w:rsidRPr="001513F9">
        <w:t>10</w:t>
      </w:r>
      <w:r w:rsidRPr="001513F9">
        <w:rPr>
          <w:vertAlign w:val="superscript"/>
        </w:rPr>
        <w:t>9</w:t>
      </w:r>
      <w:r w:rsidRPr="001513F9">
        <w:t>/</w:t>
      </w:r>
      <w:r w:rsidRPr="001513F9">
        <w:rPr>
          <w:lang w:val="en-GB"/>
        </w:rPr>
        <w:t>l</w:t>
      </w:r>
      <w:r w:rsidRPr="001513F9">
        <w:t xml:space="preserve">), η χορήγηση του επόμενου κύκλου θεραπείας πρέπει να αναβληθεί μέχρι οι τιμές των αιματολογικών εξετάσεων επανέλθουν σε αποδεκτά επίπεδα. Θα πρέπει να πραγματοποιείται </w:t>
      </w:r>
      <w:r w:rsidR="0019305F" w:rsidRPr="001513F9">
        <w:t>γενική εξέταση αίματος, συμπεριλαμβανομένου του διαφορικού τύπου των λευκοκυττάρων</w:t>
      </w:r>
      <w:r w:rsidRPr="001513F9">
        <w:t xml:space="preserve"> πριν την έναρξη της θεραπείας και πριν από κάθε επόμενο κύκλο θεραπείας.</w:t>
      </w:r>
    </w:p>
    <w:p w:rsidR="007364F9" w:rsidRPr="001513F9" w:rsidRDefault="007364F9" w:rsidP="007364F9">
      <w:pPr>
        <w:numPr>
          <w:ilvl w:val="12"/>
          <w:numId w:val="0"/>
        </w:numPr>
        <w:jc w:val="both"/>
      </w:pPr>
      <w:r w:rsidRPr="000B008B">
        <w:t xml:space="preserve">Οι ασθενείς θα πρέπει να ενημερώνονται </w:t>
      </w:r>
      <w:r w:rsidR="000B008B">
        <w:t xml:space="preserve">επαρκώς </w:t>
      </w:r>
      <w:r w:rsidRPr="000B008B">
        <w:t>για τον κίνδυνο διάρροιας/εμέτου, βλεννογονίτιδας/στοματίτιδας και ουδετεροπενίας μετά από τη χορήγηση οξαλιπλατίνης/</w:t>
      </w:r>
      <w:r w:rsidR="00767322" w:rsidRPr="001513F9">
        <w:t>5-φ</w:t>
      </w:r>
      <w:r w:rsidRPr="001513F9">
        <w:t>θοριοουρακίλης (</w:t>
      </w:r>
      <w:r w:rsidR="00767322" w:rsidRPr="001513F9">
        <w:t>5-F</w:t>
      </w:r>
      <w:r w:rsidRPr="001513F9">
        <w:rPr>
          <w:lang w:val="en-US"/>
        </w:rPr>
        <w:t>U</w:t>
      </w:r>
      <w:r w:rsidRPr="001513F9">
        <w:t xml:space="preserve">), ώστε να επικοινωνούν επειγόντως με το θεράποντα ιατρό τους για την κατάλληλη αντιμετώπισή τους. </w:t>
      </w:r>
    </w:p>
    <w:p w:rsidR="007364F9" w:rsidRPr="000B008B" w:rsidRDefault="007364F9" w:rsidP="007364F9">
      <w:pPr>
        <w:jc w:val="both"/>
        <w:rPr>
          <w:lang w:eastAsia="fr-FR"/>
        </w:rPr>
      </w:pPr>
      <w:r w:rsidRPr="001513F9">
        <w:t xml:space="preserve">Εάν εμφανιστεί βλεννογονίτιδα/στοματίτιδα με ή δίχως ουδετεροπενία, η επόμενη θεραπεία θα πρέπει να καθυστερήσει ωσότου οι καταστάσεις αυτές καταστούν </w:t>
      </w:r>
      <w:r w:rsidR="00F10597" w:rsidRPr="001513F9">
        <w:t>Βαθμ</w:t>
      </w:r>
      <w:r w:rsidRPr="001513F9">
        <w:t xml:space="preserve">ού 1 ή λιγότερο και/ή ο αριθμός των ουδετερόφιλων ανέλθει σε </w:t>
      </w:r>
      <w:r w:rsidRPr="00C06019">
        <w:sym w:font="Symbol" w:char="F0B3"/>
      </w:r>
      <w:r w:rsidRPr="00C06019">
        <w:t>1,5</w:t>
      </w:r>
      <w:r w:rsidRPr="00C06019">
        <w:rPr>
          <w:lang w:val="en-GB"/>
        </w:rPr>
        <w:t>x</w:t>
      </w:r>
      <w:r w:rsidRPr="000B008B">
        <w:t>10</w:t>
      </w:r>
      <w:r w:rsidRPr="000B008B">
        <w:rPr>
          <w:vertAlign w:val="superscript"/>
        </w:rPr>
        <w:t>9</w:t>
      </w:r>
      <w:r w:rsidRPr="000B008B">
        <w:t>/</w:t>
      </w:r>
      <w:r w:rsidRPr="000B008B">
        <w:rPr>
          <w:lang w:val="en-GB"/>
        </w:rPr>
        <w:t>l</w:t>
      </w:r>
      <w:r w:rsidRPr="000B008B">
        <w:t>.</w:t>
      </w:r>
    </w:p>
    <w:p w:rsidR="007364F9" w:rsidRPr="001513F9" w:rsidRDefault="007364F9" w:rsidP="007364F9">
      <w:pPr>
        <w:ind w:left="709"/>
        <w:jc w:val="both"/>
        <w:rPr>
          <w:lang w:eastAsia="fr-FR"/>
        </w:rPr>
      </w:pPr>
    </w:p>
    <w:p w:rsidR="007364F9" w:rsidRPr="001513F9" w:rsidRDefault="007364F9" w:rsidP="007364F9">
      <w:pPr>
        <w:jc w:val="both"/>
        <w:rPr>
          <w:lang w:eastAsia="fr-FR"/>
        </w:rPr>
      </w:pPr>
      <w:r w:rsidRPr="001513F9">
        <w:t xml:space="preserve">Για συγχορήγηση οξαλιπλατίνης με </w:t>
      </w:r>
      <w:r w:rsidR="00767322" w:rsidRPr="001513F9">
        <w:t>5-φ</w:t>
      </w:r>
      <w:r w:rsidRPr="001513F9">
        <w:t>θοριοουρακίλη (</w:t>
      </w:r>
      <w:r w:rsidR="00767322" w:rsidRPr="001513F9">
        <w:t>5-F</w:t>
      </w:r>
      <w:r w:rsidRPr="001513F9">
        <w:rPr>
          <w:lang w:val="en-US"/>
        </w:rPr>
        <w:t>U</w:t>
      </w:r>
      <w:r w:rsidRPr="001513F9">
        <w:t xml:space="preserve">) (με ή χωρίς </w:t>
      </w:r>
      <w:r w:rsidR="00CC7CA5" w:rsidRPr="001513F9">
        <w:t>φ</w:t>
      </w:r>
      <w:r w:rsidR="007B7456" w:rsidRPr="001513F9">
        <w:t>υλ</w:t>
      </w:r>
      <w:r w:rsidR="00CC7CA5" w:rsidRPr="001513F9">
        <w:t>λ</w:t>
      </w:r>
      <w:r w:rsidRPr="001513F9">
        <w:t>ινικό οξύ (</w:t>
      </w:r>
      <w:r w:rsidRPr="001513F9">
        <w:rPr>
          <w:lang w:val="en-US"/>
        </w:rPr>
        <w:t>FA</w:t>
      </w:r>
      <w:r w:rsidRPr="001513F9">
        <w:t xml:space="preserve">)), απαιτούνται οι συνήθεις ρυθμίσεις της δοσολογίας για τις τοξικότητες που αφορούν </w:t>
      </w:r>
      <w:r w:rsidR="00463325" w:rsidRPr="001513F9">
        <w:t>σ</w:t>
      </w:r>
      <w:r w:rsidRPr="001513F9">
        <w:t xml:space="preserve">την </w:t>
      </w:r>
      <w:r w:rsidR="00767322" w:rsidRPr="001513F9">
        <w:t>5-φ</w:t>
      </w:r>
      <w:r w:rsidRPr="001513F9">
        <w:t>θοριοουρακίλη (</w:t>
      </w:r>
      <w:r w:rsidR="00767322" w:rsidRPr="001513F9">
        <w:t>5-F</w:t>
      </w:r>
      <w:r w:rsidRPr="001513F9">
        <w:rPr>
          <w:lang w:val="en-US"/>
        </w:rPr>
        <w:t>U</w:t>
      </w:r>
      <w:r w:rsidRPr="001513F9">
        <w:t>).</w:t>
      </w:r>
    </w:p>
    <w:p w:rsidR="007364F9" w:rsidRPr="000B008B" w:rsidRDefault="007364F9" w:rsidP="007364F9">
      <w:pPr>
        <w:jc w:val="both"/>
      </w:pPr>
      <w:r w:rsidRPr="001513F9">
        <w:t xml:space="preserve">Εάν εμφανιστεί διάρροια </w:t>
      </w:r>
      <w:r w:rsidR="00F10597" w:rsidRPr="001513F9">
        <w:t>Βαθμ</w:t>
      </w:r>
      <w:r w:rsidRPr="001513F9">
        <w:t xml:space="preserve">ού 4, ουδετεροπενία </w:t>
      </w:r>
      <w:r w:rsidR="00F10597" w:rsidRPr="001513F9">
        <w:t>Βαθμ</w:t>
      </w:r>
      <w:r w:rsidRPr="001513F9">
        <w:t>ού 3-4 (αριθμός ουδετερόφιλων &lt;1,0</w:t>
      </w:r>
      <w:r w:rsidRPr="001513F9">
        <w:rPr>
          <w:lang w:val="en-GB"/>
        </w:rPr>
        <w:t>x</w:t>
      </w:r>
      <w:r w:rsidRPr="001513F9">
        <w:t>10</w:t>
      </w:r>
      <w:r w:rsidRPr="001513F9">
        <w:rPr>
          <w:vertAlign w:val="superscript"/>
        </w:rPr>
        <w:t>9</w:t>
      </w:r>
      <w:r w:rsidRPr="001513F9">
        <w:t>/</w:t>
      </w:r>
      <w:r w:rsidRPr="001513F9">
        <w:rPr>
          <w:lang w:val="en-GB"/>
        </w:rPr>
        <w:t>l</w:t>
      </w:r>
      <w:r w:rsidRPr="001513F9">
        <w:t xml:space="preserve">), θρομβοπενία </w:t>
      </w:r>
      <w:r w:rsidR="00F10597" w:rsidRPr="001513F9">
        <w:t>Βαθμ</w:t>
      </w:r>
      <w:r w:rsidRPr="001513F9">
        <w:t>ού 3-4 (αριθμός αιμοπεταλίων &lt;50</w:t>
      </w:r>
      <w:r w:rsidRPr="001513F9">
        <w:rPr>
          <w:lang w:val="en-GB"/>
        </w:rPr>
        <w:t>x</w:t>
      </w:r>
      <w:r w:rsidRPr="001513F9">
        <w:t>10</w:t>
      </w:r>
      <w:r w:rsidRPr="001513F9">
        <w:rPr>
          <w:vertAlign w:val="superscript"/>
        </w:rPr>
        <w:t>9</w:t>
      </w:r>
      <w:r w:rsidRPr="001513F9">
        <w:t>/</w:t>
      </w:r>
      <w:r w:rsidRPr="001513F9">
        <w:rPr>
          <w:lang w:val="en-GB"/>
        </w:rPr>
        <w:t>l</w:t>
      </w:r>
      <w:r w:rsidRPr="001513F9">
        <w:t>), η δόση της οξαλιπλατίνης πρέπει να μειώνεται από 85 σε 65</w:t>
      </w:r>
      <w:r w:rsidR="00DA6F2C" w:rsidRPr="001513F9">
        <w:t> </w:t>
      </w:r>
      <w:r w:rsidRPr="001513F9">
        <w:t>mg/m² (θεραπεία μεταστατικού καρκίνου) ή 75</w:t>
      </w:r>
      <w:r w:rsidR="00DA6F2C" w:rsidRPr="001513F9">
        <w:t> </w:t>
      </w:r>
      <w:r w:rsidRPr="001513F9">
        <w:rPr>
          <w:lang w:val="en-GB"/>
        </w:rPr>
        <w:t>mg</w:t>
      </w:r>
      <w:r w:rsidRPr="001513F9">
        <w:t>/</w:t>
      </w:r>
      <w:r w:rsidRPr="001513F9">
        <w:rPr>
          <w:lang w:val="en-GB"/>
        </w:rPr>
        <w:t>m</w:t>
      </w:r>
      <w:r w:rsidRPr="001513F9">
        <w:rPr>
          <w:vertAlign w:val="superscript"/>
        </w:rPr>
        <w:t>2</w:t>
      </w:r>
      <w:r w:rsidRPr="001513F9">
        <w:t xml:space="preserve"> (επικουρική θεραπεία), επιπροσθέτως με την </w:t>
      </w:r>
      <w:r w:rsidR="000B008B">
        <w:t xml:space="preserve">οποιαδήποτε </w:t>
      </w:r>
      <w:r w:rsidRPr="000B008B">
        <w:t xml:space="preserve">απαιτούμενη ελάττωση της δόσης της </w:t>
      </w:r>
      <w:r w:rsidR="00767322" w:rsidRPr="000B008B">
        <w:t>5-F</w:t>
      </w:r>
      <w:r w:rsidRPr="000B008B">
        <w:rPr>
          <w:lang w:val="en-US"/>
        </w:rPr>
        <w:t>U</w:t>
      </w:r>
      <w:r w:rsidRPr="000B008B">
        <w:t>.</w:t>
      </w:r>
    </w:p>
    <w:p w:rsidR="007364F9" w:rsidRPr="001513F9" w:rsidRDefault="007364F9" w:rsidP="007364F9">
      <w:pPr>
        <w:ind w:left="714"/>
        <w:jc w:val="both"/>
        <w:rPr>
          <w:lang w:eastAsia="fr-FR"/>
        </w:rPr>
      </w:pPr>
    </w:p>
    <w:p w:rsidR="00463325" w:rsidRPr="001513F9" w:rsidRDefault="00F10597" w:rsidP="00463325">
      <w:pPr>
        <w:rPr>
          <w:i/>
          <w:szCs w:val="22"/>
          <w:u w:val="single"/>
        </w:rPr>
      </w:pPr>
      <w:r w:rsidRPr="001513F9">
        <w:rPr>
          <w:i/>
          <w:szCs w:val="22"/>
          <w:u w:val="single"/>
        </w:rPr>
        <w:t>Αναπνευστικό</w:t>
      </w:r>
    </w:p>
    <w:p w:rsidR="007364F9" w:rsidRPr="001513F9" w:rsidRDefault="007364F9" w:rsidP="007364F9">
      <w:r w:rsidRPr="001513F9">
        <w:t xml:space="preserve">Σε περίπτωση αναπνευστικών συμπτωμάτων άγνωστης αιτιολογίας, όπως </w:t>
      </w:r>
      <w:r w:rsidR="00767322" w:rsidRPr="001513F9">
        <w:t>μη-</w:t>
      </w:r>
      <w:r w:rsidRPr="001513F9">
        <w:t xml:space="preserve">παραγωγικός βήχας, δύσπνοια, υποτρίζοντες ρόγχοι ή πνευμονικές διηθήσεις ορατές σε ακτινογραφία, η χορήγηση οξαλιπλατίνης θα πρέπει να διακόπτεται έως ότου οι περαιτέρω λειτουργικές δοκιμασίες των πνευμόνων αποκλείσουν τη διάμεση πνευμονοπάθεια ή την πνευμονική ίνωση (βλέπε παράγραφο 4.8). </w:t>
      </w:r>
    </w:p>
    <w:p w:rsidR="00463325" w:rsidRPr="001513F9" w:rsidRDefault="00463325" w:rsidP="007364F9"/>
    <w:p w:rsidR="00463325" w:rsidRPr="001513F9" w:rsidRDefault="00F10597" w:rsidP="00463325">
      <w:pPr>
        <w:rPr>
          <w:i/>
          <w:szCs w:val="22"/>
          <w:u w:val="single"/>
        </w:rPr>
      </w:pPr>
      <w:r w:rsidRPr="001513F9">
        <w:rPr>
          <w:i/>
          <w:szCs w:val="22"/>
          <w:u w:val="single"/>
        </w:rPr>
        <w:t>Ηπατικό</w:t>
      </w:r>
    </w:p>
    <w:p w:rsidR="007364F9" w:rsidRPr="001513F9" w:rsidRDefault="007364F9" w:rsidP="007364F9">
      <w:pPr>
        <w:rPr>
          <w:noProof/>
        </w:rPr>
      </w:pPr>
      <w:r w:rsidRPr="001513F9">
        <w:t xml:space="preserve">Σε περίπτωση μη-φυσιολογικών αποτελεσμάτων των δοκιμασιών της ηπατικής λειτουργίας ή πυλαίας υπέρτασης, που δε σχετίζεται προφανώς με ηπατικές μεταστάσεις, </w:t>
      </w:r>
      <w:r w:rsidR="007B7456" w:rsidRPr="001513F9">
        <w:t xml:space="preserve">θα πρέπει να εξετάζεται το ενδεχόμενο </w:t>
      </w:r>
      <w:r w:rsidRPr="001513F9">
        <w:t>πολύ σπάνι</w:t>
      </w:r>
      <w:r w:rsidR="007B7456" w:rsidRPr="001513F9">
        <w:t>ων</w:t>
      </w:r>
      <w:r w:rsidRPr="001513F9">
        <w:t xml:space="preserve"> περιπτώσε</w:t>
      </w:r>
      <w:r w:rsidR="007B7456" w:rsidRPr="001513F9">
        <w:t>ων</w:t>
      </w:r>
      <w:r w:rsidRPr="001513F9">
        <w:t xml:space="preserve"> φαρμακο-επαγόμενων ηπατικών αγγειακών διαταραχών.</w:t>
      </w:r>
    </w:p>
    <w:p w:rsidR="007364F9" w:rsidRPr="001513F9" w:rsidRDefault="007364F9" w:rsidP="007364F9">
      <w:pPr>
        <w:rPr>
          <w:noProof/>
        </w:rPr>
      </w:pPr>
    </w:p>
    <w:p w:rsidR="00463325" w:rsidRPr="001513F9" w:rsidRDefault="00463325" w:rsidP="00463325">
      <w:pPr>
        <w:rPr>
          <w:i/>
          <w:noProof/>
          <w:u w:val="single"/>
        </w:rPr>
      </w:pPr>
      <w:r w:rsidRPr="001513F9">
        <w:rPr>
          <w:i/>
          <w:noProof/>
          <w:u w:val="single"/>
        </w:rPr>
        <w:t>Κύηση</w:t>
      </w:r>
    </w:p>
    <w:p w:rsidR="007364F9" w:rsidRPr="001513F9" w:rsidRDefault="007364F9" w:rsidP="007364F9">
      <w:r w:rsidRPr="001513F9">
        <w:rPr>
          <w:noProof/>
        </w:rPr>
        <w:lastRenderedPageBreak/>
        <w:t>Γ</w:t>
      </w:r>
      <w:r w:rsidRPr="001513F9">
        <w:t>ια χρήση σε εγκύους βλ. παράγραφο 4.6.</w:t>
      </w:r>
    </w:p>
    <w:p w:rsidR="007364F9" w:rsidRPr="001513F9" w:rsidRDefault="007364F9" w:rsidP="007364F9"/>
    <w:p w:rsidR="00463325" w:rsidRPr="001513F9" w:rsidRDefault="00463325" w:rsidP="00463325">
      <w:pPr>
        <w:rPr>
          <w:i/>
          <w:noProof/>
          <w:u w:val="single"/>
        </w:rPr>
      </w:pPr>
      <w:r w:rsidRPr="001513F9">
        <w:rPr>
          <w:i/>
          <w:noProof/>
          <w:u w:val="single"/>
        </w:rPr>
        <w:t>Γονιμότητα</w:t>
      </w:r>
    </w:p>
    <w:p w:rsidR="007364F9" w:rsidRPr="001513F9" w:rsidRDefault="007364F9" w:rsidP="007364F9">
      <w:pPr>
        <w:rPr>
          <w:noProof/>
        </w:rPr>
      </w:pPr>
      <w:r w:rsidRPr="001513F9">
        <w:rPr>
          <w:noProof/>
        </w:rPr>
        <w:t>Γονοτοξικότητα παρατηρήθηκε σε προκλινικές μελέτες με οξαλιπλατίνη. Επομένως, συστήνεται σε άνδρες ασθενείς υπό αγωγή με οξαλιπλατίνη να μην αποκτήσουν παιδί κατά τη διάρκεια και έως 6 μήνες μετά την αγωγή και να συμβουλευτούν σχετικά με τη διατήρηση του σπέρματος πριν την αγωγή διότι η οξαλιπλατίνη μπορεί να έχει δράση αντίθετη στη γονιμότητα, η οποία μπορεί να είναι μη-αναστρέψιμη.</w:t>
      </w:r>
    </w:p>
    <w:p w:rsidR="007364F9" w:rsidRPr="001513F9" w:rsidRDefault="007364F9" w:rsidP="007364F9">
      <w:pPr>
        <w:rPr>
          <w:noProof/>
        </w:rPr>
      </w:pPr>
      <w:r w:rsidRPr="001513F9">
        <w:rPr>
          <w:noProof/>
        </w:rPr>
        <w:t xml:space="preserve">Οι γυναίκες δεν πρέπει να μείνουν έγκυες κατά τη διάρκεια της αγωγής με οξαλιπλατίνη και θα πρέπει να χρησιμοποιήσουν μία αποτελεσματική μέθοδο αντισύλληψης (βλ. παράγραφο 4.6). </w:t>
      </w:r>
    </w:p>
    <w:p w:rsidR="007364F9" w:rsidRPr="001513F9" w:rsidRDefault="007364F9" w:rsidP="007364F9">
      <w:pPr>
        <w:rPr>
          <w:noProof/>
        </w:rPr>
      </w:pPr>
    </w:p>
    <w:p w:rsidR="007364F9" w:rsidRPr="001513F9" w:rsidRDefault="007364F9" w:rsidP="007364F9">
      <w:pPr>
        <w:rPr>
          <w:noProof/>
        </w:rPr>
      </w:pPr>
      <w:r w:rsidRPr="001513F9">
        <w:rPr>
          <w:b/>
          <w:noProof/>
        </w:rPr>
        <w:t>4.5</w:t>
      </w:r>
      <w:r w:rsidRPr="001513F9">
        <w:rPr>
          <w:b/>
          <w:noProof/>
        </w:rPr>
        <w:tab/>
        <w:t>Αλληλεπιδράσεις με άλλα φαρμακευτικά προϊόντα και άλλες μορφές αλληλεπίδρασης</w:t>
      </w:r>
    </w:p>
    <w:p w:rsidR="007364F9" w:rsidRPr="001513F9" w:rsidRDefault="007364F9" w:rsidP="007364F9">
      <w:pPr>
        <w:numPr>
          <w:ilvl w:val="12"/>
          <w:numId w:val="0"/>
        </w:numPr>
        <w:jc w:val="both"/>
        <w:rPr>
          <w:szCs w:val="22"/>
        </w:rPr>
      </w:pPr>
    </w:p>
    <w:p w:rsidR="007364F9" w:rsidRPr="001513F9" w:rsidRDefault="007364F9" w:rsidP="007364F9">
      <w:pPr>
        <w:numPr>
          <w:ilvl w:val="12"/>
          <w:numId w:val="0"/>
        </w:numPr>
        <w:jc w:val="both"/>
        <w:rPr>
          <w:szCs w:val="22"/>
        </w:rPr>
      </w:pPr>
      <w:r w:rsidRPr="001513F9">
        <w:rPr>
          <w:szCs w:val="22"/>
        </w:rPr>
        <w:t>Σε ασθενείς που έλαβαν μ</w:t>
      </w:r>
      <w:r w:rsidR="00463325" w:rsidRPr="001513F9">
        <w:rPr>
          <w:szCs w:val="22"/>
        </w:rPr>
        <w:t>ί</w:t>
      </w:r>
      <w:r w:rsidRPr="001513F9">
        <w:rPr>
          <w:szCs w:val="22"/>
        </w:rPr>
        <w:t xml:space="preserve">α εφάπαξ δόση των </w:t>
      </w:r>
      <w:r w:rsidR="00DA6F2C" w:rsidRPr="001513F9">
        <w:rPr>
          <w:szCs w:val="22"/>
        </w:rPr>
        <w:t>85 </w:t>
      </w:r>
      <w:r w:rsidRPr="001513F9">
        <w:rPr>
          <w:szCs w:val="22"/>
          <w:lang w:val="en-GB"/>
        </w:rPr>
        <w:t>mg</w:t>
      </w:r>
      <w:r w:rsidRPr="001513F9">
        <w:rPr>
          <w:szCs w:val="22"/>
        </w:rPr>
        <w:t>/</w:t>
      </w:r>
      <w:r w:rsidRPr="001513F9">
        <w:rPr>
          <w:szCs w:val="22"/>
          <w:lang w:val="en-GB"/>
        </w:rPr>
        <w:t>m</w:t>
      </w:r>
      <w:r w:rsidRPr="001513F9">
        <w:rPr>
          <w:szCs w:val="22"/>
          <w:vertAlign w:val="superscript"/>
        </w:rPr>
        <w:t>2</w:t>
      </w:r>
      <w:r w:rsidRPr="001513F9">
        <w:rPr>
          <w:szCs w:val="22"/>
        </w:rPr>
        <w:t xml:space="preserve"> οξαλιπλατίνης, αμέσως πριν από τη χορήγηση της </w:t>
      </w:r>
      <w:r w:rsidR="00767322" w:rsidRPr="001513F9">
        <w:rPr>
          <w:szCs w:val="22"/>
        </w:rPr>
        <w:t>5-φ</w:t>
      </w:r>
      <w:r w:rsidRPr="001513F9">
        <w:rPr>
          <w:szCs w:val="22"/>
        </w:rPr>
        <w:t xml:space="preserve">θοριοουρακίλης </w:t>
      </w:r>
      <w:r w:rsidRPr="001513F9">
        <w:t>(</w:t>
      </w:r>
      <w:r w:rsidR="00767322" w:rsidRPr="001513F9">
        <w:t>5-F</w:t>
      </w:r>
      <w:r w:rsidRPr="001513F9">
        <w:rPr>
          <w:lang w:val="en-US"/>
        </w:rPr>
        <w:t>U</w:t>
      </w:r>
      <w:r w:rsidRPr="001513F9">
        <w:t>)</w:t>
      </w:r>
      <w:r w:rsidRPr="001513F9">
        <w:rPr>
          <w:szCs w:val="22"/>
        </w:rPr>
        <w:t xml:space="preserve">, δεν παρατηρήθηκε κάποια αλλαγή στο επίπεδο έκθεσης στην </w:t>
      </w:r>
      <w:r w:rsidR="00767322" w:rsidRPr="001513F9">
        <w:rPr>
          <w:szCs w:val="22"/>
        </w:rPr>
        <w:t>5-φ</w:t>
      </w:r>
      <w:r w:rsidRPr="001513F9">
        <w:rPr>
          <w:szCs w:val="22"/>
        </w:rPr>
        <w:t xml:space="preserve">θοριοουρακίλη </w:t>
      </w:r>
      <w:r w:rsidRPr="001513F9">
        <w:t>(</w:t>
      </w:r>
      <w:r w:rsidR="00767322" w:rsidRPr="001513F9">
        <w:t>5-F</w:t>
      </w:r>
      <w:r w:rsidRPr="001513F9">
        <w:rPr>
          <w:lang w:val="en-US"/>
        </w:rPr>
        <w:t>U</w:t>
      </w:r>
      <w:r w:rsidRPr="001513F9">
        <w:t>)</w:t>
      </w:r>
      <w:r w:rsidRPr="001513F9">
        <w:rPr>
          <w:szCs w:val="22"/>
        </w:rPr>
        <w:t>.</w:t>
      </w:r>
    </w:p>
    <w:p w:rsidR="007364F9" w:rsidRPr="000B008B" w:rsidRDefault="007364F9" w:rsidP="007364F9">
      <w:pPr>
        <w:jc w:val="both"/>
        <w:rPr>
          <w:szCs w:val="22"/>
          <w:lang w:eastAsia="fr-FR"/>
        </w:rPr>
      </w:pPr>
      <w:r w:rsidRPr="001513F9">
        <w:rPr>
          <w:i/>
          <w:szCs w:val="22"/>
          <w:lang w:val="en-GB"/>
        </w:rPr>
        <w:t>In</w:t>
      </w:r>
      <w:r w:rsidRPr="001513F9">
        <w:rPr>
          <w:i/>
          <w:szCs w:val="22"/>
        </w:rPr>
        <w:t xml:space="preserve"> </w:t>
      </w:r>
      <w:r w:rsidRPr="001513F9">
        <w:rPr>
          <w:i/>
          <w:szCs w:val="22"/>
          <w:lang w:val="en-GB"/>
        </w:rPr>
        <w:t>vitro</w:t>
      </w:r>
      <w:r w:rsidRPr="001513F9">
        <w:rPr>
          <w:szCs w:val="22"/>
        </w:rPr>
        <w:t xml:space="preserve"> δεν έχει παρατηρηθεί κάποια σημαντική </w:t>
      </w:r>
      <w:r w:rsidR="007B7456" w:rsidRPr="001513F9">
        <w:rPr>
          <w:szCs w:val="22"/>
        </w:rPr>
        <w:t>εκτόπιση</w:t>
      </w:r>
      <w:r w:rsidRPr="001513F9">
        <w:rPr>
          <w:szCs w:val="22"/>
        </w:rPr>
        <w:t xml:space="preserve"> της </w:t>
      </w:r>
      <w:r w:rsidR="000B008B">
        <w:rPr>
          <w:szCs w:val="22"/>
        </w:rPr>
        <w:t xml:space="preserve">συνδεδεμένης </w:t>
      </w:r>
      <w:r w:rsidRPr="000B008B">
        <w:rPr>
          <w:szCs w:val="22"/>
        </w:rPr>
        <w:t xml:space="preserve">  </w:t>
      </w:r>
      <w:r w:rsidR="000B008B">
        <w:rPr>
          <w:szCs w:val="22"/>
        </w:rPr>
        <w:t xml:space="preserve"> με </w:t>
      </w:r>
      <w:r w:rsidRPr="000B008B">
        <w:rPr>
          <w:szCs w:val="22"/>
        </w:rPr>
        <w:t xml:space="preserve">τις πρωτεΐνες του πλάσματος </w:t>
      </w:r>
      <w:r w:rsidR="000B008B" w:rsidRPr="000B008B">
        <w:rPr>
          <w:szCs w:val="22"/>
        </w:rPr>
        <w:t xml:space="preserve">οξαλιπλατίνης </w:t>
      </w:r>
      <w:r w:rsidRPr="000B008B">
        <w:rPr>
          <w:szCs w:val="22"/>
        </w:rPr>
        <w:t>με τις ακόλουθες ουσίες: ερυθρομυκίνη, σαλικυλικά, γρανισετρόνη, πακλιταξέλη και βαλπροϊκό νάτριο.</w:t>
      </w:r>
    </w:p>
    <w:p w:rsidR="007364F9" w:rsidRPr="001513F9" w:rsidRDefault="007364F9" w:rsidP="007364F9">
      <w:pPr>
        <w:rPr>
          <w:noProof/>
        </w:rPr>
      </w:pPr>
    </w:p>
    <w:p w:rsidR="007364F9" w:rsidRPr="001513F9" w:rsidRDefault="007364F9" w:rsidP="007364F9">
      <w:pPr>
        <w:rPr>
          <w:noProof/>
        </w:rPr>
      </w:pPr>
      <w:r w:rsidRPr="001513F9">
        <w:rPr>
          <w:b/>
          <w:noProof/>
        </w:rPr>
        <w:t>4.6</w:t>
      </w:r>
      <w:r w:rsidRPr="001513F9">
        <w:rPr>
          <w:b/>
          <w:noProof/>
        </w:rPr>
        <w:tab/>
        <w:t>Kύηση και γαλουχία</w:t>
      </w:r>
    </w:p>
    <w:p w:rsidR="007364F9" w:rsidRPr="001513F9" w:rsidRDefault="007364F9" w:rsidP="007364F9">
      <w:pPr>
        <w:numPr>
          <w:ilvl w:val="12"/>
          <w:numId w:val="0"/>
        </w:numPr>
        <w:jc w:val="both"/>
        <w:rPr>
          <w:i/>
          <w:noProof/>
        </w:rPr>
      </w:pPr>
    </w:p>
    <w:p w:rsidR="007364F9" w:rsidRPr="009530F7" w:rsidRDefault="007364F9" w:rsidP="007364F9">
      <w:pPr>
        <w:pStyle w:val="31"/>
        <w:ind w:right="0"/>
      </w:pPr>
      <w:r w:rsidRPr="001513F9">
        <w:t xml:space="preserve">Μέχρι σήμερα δεν υπάρχουν διαθέσιμες πληροφορίες για την ασφάλεια της χρήσης της σε εγκύους γυναίκες. Σε μελέτες σε πειραματόζωα παρατηρήθηκε </w:t>
      </w:r>
      <w:r w:rsidR="00EC30E4" w:rsidRPr="001513F9">
        <w:t xml:space="preserve">αναπαραγωγική </w:t>
      </w:r>
      <w:r w:rsidRPr="001513F9">
        <w:t xml:space="preserve">τοξικότητα. Επομένως, η οξαλιπλατίνη δε συστήνεται κατά τη διάρκεια της εγκυμοσύνης και σε γυναίκες σε αναπαραγωγική ηλικία που δεν χρησιμοποιούν αντισυλληπτικά μέτρα. Η χρήση της οξαλιπλατίνης θα πρέπει να </w:t>
      </w:r>
      <w:r w:rsidR="009530F7">
        <w:t>εξετάζεται</w:t>
      </w:r>
      <w:r w:rsidRPr="009530F7">
        <w:t xml:space="preserve"> μόνο μετά από κατάλληλη ενημέρωση της ασθενούς ως προς τους κινδύνους για το έμβρυο και με τη συγκατάθεση της ασθενούς.</w:t>
      </w:r>
    </w:p>
    <w:p w:rsidR="007364F9" w:rsidRPr="001513F9" w:rsidRDefault="007364F9" w:rsidP="007364F9">
      <w:pPr>
        <w:pStyle w:val="31"/>
        <w:ind w:right="0"/>
      </w:pPr>
      <w:r w:rsidRPr="001513F9">
        <w:t>Κατάλληλα αντισυλληπτικά μέτρα θα πρέπει να λαμβάνονται κατά τη διάρκεια και μετά τη διακοπή της αγωγής για 4 μήνες για τις γυναίκες και 6 μήνες για τους άνδρες.</w:t>
      </w:r>
    </w:p>
    <w:p w:rsidR="007364F9" w:rsidRPr="001513F9" w:rsidRDefault="007364F9" w:rsidP="007364F9">
      <w:pPr>
        <w:rPr>
          <w:szCs w:val="22"/>
        </w:rPr>
      </w:pPr>
      <w:r w:rsidRPr="001513F9">
        <w:rPr>
          <w:szCs w:val="22"/>
        </w:rPr>
        <w:t>Δεν έχει μελετηθεί η έκκριση στο μητρικό γάλα. Η γαλουχία αντενδείκνυται κατά τη διάρκεια της θεραπείας με οξαλιπλατίνη.</w:t>
      </w:r>
    </w:p>
    <w:p w:rsidR="007364F9" w:rsidRPr="001513F9" w:rsidRDefault="007364F9" w:rsidP="007364F9">
      <w:pPr>
        <w:rPr>
          <w:noProof/>
        </w:rPr>
      </w:pPr>
      <w:r w:rsidRPr="001513F9">
        <w:rPr>
          <w:noProof/>
        </w:rPr>
        <w:t>Η οξαλιπλατίνη μπορεί να έχει δράση αντίθετη στη γονιμότητα (βλ. παράγραφο 4.4).</w:t>
      </w:r>
    </w:p>
    <w:p w:rsidR="007364F9" w:rsidRPr="001513F9" w:rsidRDefault="007364F9" w:rsidP="007364F9">
      <w:pPr>
        <w:rPr>
          <w:noProof/>
        </w:rPr>
      </w:pPr>
    </w:p>
    <w:p w:rsidR="007364F9" w:rsidRPr="001513F9" w:rsidRDefault="007364F9" w:rsidP="007364F9">
      <w:pPr>
        <w:rPr>
          <w:noProof/>
        </w:rPr>
      </w:pPr>
      <w:r w:rsidRPr="001513F9">
        <w:rPr>
          <w:b/>
          <w:noProof/>
        </w:rPr>
        <w:t>4.7</w:t>
      </w:r>
      <w:r w:rsidRPr="001513F9">
        <w:rPr>
          <w:b/>
          <w:noProof/>
        </w:rPr>
        <w:tab/>
        <w:t>Επιδράσεις στην ικανότητα οδήγησης και χειρισμού μηχανών</w:t>
      </w:r>
    </w:p>
    <w:p w:rsidR="007364F9" w:rsidRPr="001513F9" w:rsidRDefault="007364F9" w:rsidP="007364F9">
      <w:pPr>
        <w:rPr>
          <w:noProof/>
        </w:rPr>
      </w:pPr>
    </w:p>
    <w:p w:rsidR="007364F9" w:rsidRPr="001513F9" w:rsidRDefault="007364F9" w:rsidP="007364F9">
      <w:pPr>
        <w:rPr>
          <w:noProof/>
        </w:rPr>
      </w:pPr>
      <w:r w:rsidRPr="001513F9">
        <w:rPr>
          <w:noProof/>
        </w:rPr>
        <w:t>Δεν έχουν διεξαχθεί μελέτες της επίδρασης στην ικανότητα οδήγησης και χειρισμού μηχανών. Όμως, η αγωγή με οξαλιπλατίνη οδηγεί σε αύξηση του κινδύνου ζάλης, ναυτίας και εμέτου και άλλα νευρολογικά συμπτώματα που επηρεάζουν το βάδισμα και την ισσοροπία και μπορεί να οδηγήσουν σε μικρή ή μέτρια επίδραση στην ικανότητα οδήγησης και χειρισμού μηχανών.</w:t>
      </w:r>
    </w:p>
    <w:p w:rsidR="007364F9" w:rsidRPr="001513F9" w:rsidRDefault="007364F9" w:rsidP="007364F9">
      <w:pPr>
        <w:rPr>
          <w:noProof/>
        </w:rPr>
      </w:pPr>
      <w:r w:rsidRPr="001513F9">
        <w:rPr>
          <w:noProof/>
        </w:rPr>
        <w:t>Ανωμαλίες της όρασης, ιδιαίτερα παροδική απώλεια της όρασης (αναστρέψιμη μετά τη διακοπή της θεραπείας) μπορεί να επηρεάσ</w:t>
      </w:r>
      <w:r w:rsidR="00A41FB1" w:rsidRPr="001513F9">
        <w:rPr>
          <w:noProof/>
        </w:rPr>
        <w:t>ουν</w:t>
      </w:r>
      <w:r w:rsidRPr="001513F9">
        <w:rPr>
          <w:noProof/>
        </w:rPr>
        <w:t xml:space="preserve"> την ικανότητα των ασθενών να οδηγούν και να χειρίζονται μηχανές. Επομένως, οι ασθενείς θα πρέπει να προειδοποιούνται για την πιθανή επίδραση αυτών των συμβαμάτων στην ικανότητα να οδηγούν ή να χειρίζονται μηχανές.</w:t>
      </w:r>
    </w:p>
    <w:p w:rsidR="007364F9" w:rsidRPr="001513F9" w:rsidRDefault="007364F9" w:rsidP="007364F9">
      <w:pPr>
        <w:rPr>
          <w:noProof/>
        </w:rPr>
      </w:pPr>
    </w:p>
    <w:p w:rsidR="007364F9" w:rsidRPr="001513F9" w:rsidRDefault="007364F9" w:rsidP="007364F9">
      <w:pPr>
        <w:rPr>
          <w:noProof/>
        </w:rPr>
      </w:pPr>
      <w:r w:rsidRPr="001513F9">
        <w:rPr>
          <w:b/>
          <w:noProof/>
        </w:rPr>
        <w:t>4.8</w:t>
      </w:r>
      <w:r w:rsidRPr="001513F9">
        <w:rPr>
          <w:b/>
          <w:noProof/>
        </w:rPr>
        <w:tab/>
        <w:t>Ανεπιθύμητες ενέργειες</w:t>
      </w:r>
    </w:p>
    <w:p w:rsidR="007364F9" w:rsidRPr="001513F9" w:rsidRDefault="007364F9" w:rsidP="007364F9">
      <w:pPr>
        <w:rPr>
          <w:noProof/>
        </w:rPr>
      </w:pPr>
    </w:p>
    <w:p w:rsidR="007364F9" w:rsidRPr="001513F9" w:rsidRDefault="007364F9" w:rsidP="007364F9">
      <w:pPr>
        <w:jc w:val="both"/>
        <w:rPr>
          <w:szCs w:val="22"/>
        </w:rPr>
      </w:pPr>
      <w:r w:rsidRPr="001513F9">
        <w:rPr>
          <w:szCs w:val="22"/>
        </w:rPr>
        <w:t xml:space="preserve">Οι πιο συχνές ανεπιθύμητες ενέργειες της οξαλιπλατίνης σε συνδυασμό με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EC30E4" w:rsidRPr="001513F9">
        <w:t>υλ</w:t>
      </w:r>
      <w:r w:rsidR="00CC7CA5" w:rsidRPr="001513F9">
        <w:t>λ</w:t>
      </w:r>
      <w:r w:rsidRPr="001513F9">
        <w:t>ινικό οξύ</w:t>
      </w:r>
      <w:r w:rsidRPr="001513F9">
        <w:rPr>
          <w:bCs/>
        </w:rPr>
        <w:t xml:space="preserve"> (FA)</w:t>
      </w:r>
      <w:r w:rsidRPr="001513F9">
        <w:rPr>
          <w:szCs w:val="22"/>
        </w:rPr>
        <w:t>, ήταν γαστρεντερικές (διάρροια, ναυτία, έμετος και βλεννογονίτιδα), αιματολογικές (ουδετεροπενία, θρομβοπενία) κ</w:t>
      </w:r>
      <w:r w:rsidR="00CF2967">
        <w:rPr>
          <w:szCs w:val="22"/>
        </w:rPr>
        <w:t>αι νευρολογικές (οξεία και δοσο</w:t>
      </w:r>
      <w:r w:rsidRPr="001513F9">
        <w:rPr>
          <w:szCs w:val="22"/>
        </w:rPr>
        <w:t xml:space="preserve">αθροιστική περιφερική αισθητική νευροπάθεια). Συνολικά αυτά τα συμβάματα ήταν περισσότερο συχνά και σοβαρά με τη χορήγηση του συνδυασμού οξαλιπλατίνης και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EC30E4" w:rsidRPr="001513F9">
        <w:t>υλ</w:t>
      </w:r>
      <w:r w:rsidR="00CC7CA5" w:rsidRPr="001513F9">
        <w:t>λ</w:t>
      </w:r>
      <w:r w:rsidRPr="001513F9">
        <w:t>ινικό οξύ</w:t>
      </w:r>
      <w:r w:rsidRPr="001513F9">
        <w:rPr>
          <w:bCs/>
        </w:rPr>
        <w:t xml:space="preserve"> (FA)</w:t>
      </w:r>
      <w:r w:rsidRPr="001513F9">
        <w:rPr>
          <w:szCs w:val="22"/>
        </w:rPr>
        <w:t xml:space="preserve">, σε σύγκριση με τη χορήγηση μόνο του συνδυασμού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EC30E4" w:rsidRPr="001513F9">
        <w:t>υλ</w:t>
      </w:r>
      <w:r w:rsidR="00CC7CA5" w:rsidRPr="001513F9">
        <w:t>λ</w:t>
      </w:r>
      <w:r w:rsidRPr="001513F9">
        <w:t>ινικό οξύ</w:t>
      </w:r>
      <w:r w:rsidRPr="001513F9">
        <w:rPr>
          <w:bCs/>
        </w:rPr>
        <w:t xml:space="preserve"> (FA)</w:t>
      </w:r>
      <w:r w:rsidRPr="001513F9">
        <w:rPr>
          <w:szCs w:val="22"/>
        </w:rPr>
        <w:t>.</w:t>
      </w:r>
    </w:p>
    <w:p w:rsidR="007364F9" w:rsidRPr="001513F9" w:rsidRDefault="007364F9" w:rsidP="007364F9">
      <w:pPr>
        <w:jc w:val="both"/>
        <w:rPr>
          <w:bCs/>
          <w:szCs w:val="22"/>
        </w:rPr>
      </w:pPr>
      <w:r w:rsidRPr="001513F9">
        <w:rPr>
          <w:bCs/>
          <w:szCs w:val="22"/>
        </w:rPr>
        <w:t xml:space="preserve"> </w:t>
      </w:r>
    </w:p>
    <w:p w:rsidR="007364F9" w:rsidRPr="001513F9" w:rsidRDefault="007364F9" w:rsidP="007364F9">
      <w:pPr>
        <w:jc w:val="both"/>
        <w:rPr>
          <w:bCs/>
          <w:szCs w:val="22"/>
        </w:rPr>
      </w:pPr>
      <w:r w:rsidRPr="001513F9">
        <w:rPr>
          <w:bCs/>
          <w:szCs w:val="22"/>
        </w:rPr>
        <w:t xml:space="preserve">Οι συχνότητες που αναφέρονται στον παρακάτω πίνακα προέρχονται από κλινικές μελέτες σε </w:t>
      </w:r>
      <w:r w:rsidRPr="001513F9">
        <w:t>μεταστατική και επικουρική θεραπεία</w:t>
      </w:r>
      <w:r w:rsidRPr="001513F9">
        <w:rPr>
          <w:bCs/>
          <w:szCs w:val="22"/>
        </w:rPr>
        <w:t xml:space="preserve"> (έχοντας συμπεριλάβει 416 και 1108 ασθενείς αντίστοιχα στο θεραπευτικό σκέλος οξαλιπλατίνη +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EC30E4" w:rsidRPr="001513F9">
        <w:t>υλ</w:t>
      </w:r>
      <w:r w:rsidR="00CC7CA5" w:rsidRPr="001513F9">
        <w:t>λ</w:t>
      </w:r>
      <w:r w:rsidRPr="001513F9">
        <w:t>ινικό οξύ</w:t>
      </w:r>
      <w:r w:rsidRPr="001513F9">
        <w:rPr>
          <w:bCs/>
        </w:rPr>
        <w:t xml:space="preserve"> (FA)</w:t>
      </w:r>
      <w:r w:rsidRPr="001513F9">
        <w:rPr>
          <w:bCs/>
          <w:szCs w:val="22"/>
        </w:rPr>
        <w:t xml:space="preserve">) και από την </w:t>
      </w:r>
      <w:r w:rsidRPr="001513F9">
        <w:rPr>
          <w:bCs/>
          <w:szCs w:val="22"/>
        </w:rPr>
        <w:lastRenderedPageBreak/>
        <w:t>εμπειρία μετά την κυκλοφορία.</w:t>
      </w:r>
    </w:p>
    <w:p w:rsidR="007364F9" w:rsidRPr="001513F9" w:rsidRDefault="007364F9" w:rsidP="007364F9">
      <w:pPr>
        <w:jc w:val="both"/>
        <w:rPr>
          <w:bCs/>
          <w:szCs w:val="22"/>
        </w:rPr>
      </w:pPr>
    </w:p>
    <w:p w:rsidR="007364F9" w:rsidRPr="001513F9" w:rsidRDefault="007364F9" w:rsidP="007364F9">
      <w:pPr>
        <w:jc w:val="both"/>
        <w:rPr>
          <w:bCs/>
          <w:szCs w:val="22"/>
        </w:rPr>
      </w:pPr>
      <w:r w:rsidRPr="001513F9">
        <w:rPr>
          <w:bCs/>
          <w:szCs w:val="22"/>
        </w:rPr>
        <w:t xml:space="preserve">Οι συχνότητες που εμφανίζονται σε αυτόν τον πίνακα ορίζονται χρησιμοποιώντας την ακόλουθη σύμβαση: πολύ συχνές (≥1/10), συχνές (≥1/100, &lt;1/10), </w:t>
      </w:r>
      <w:r w:rsidR="00781118" w:rsidRPr="001513F9">
        <w:rPr>
          <w:bCs/>
          <w:szCs w:val="22"/>
        </w:rPr>
        <w:t>ασυνήθεις</w:t>
      </w:r>
      <w:r w:rsidRPr="001513F9">
        <w:rPr>
          <w:bCs/>
          <w:szCs w:val="22"/>
        </w:rPr>
        <w:t xml:space="preserve"> (≥1/1000, &lt;1/100), σπάνιες (≥1/10000, &lt;1/1000), πολύ σπάνιες (&lt;1/10000), </w:t>
      </w:r>
      <w:r w:rsidR="00767322" w:rsidRPr="001513F9">
        <w:rPr>
          <w:bCs/>
          <w:szCs w:val="22"/>
        </w:rPr>
        <w:t>μη-</w:t>
      </w:r>
      <w:r w:rsidR="004353DB" w:rsidRPr="001513F9">
        <w:rPr>
          <w:bCs/>
          <w:szCs w:val="22"/>
        </w:rPr>
        <w:t>γνωστές (δεν μπορούν να εκτιμηθούν με βάση τα διαθέσιμα δεδομένα</w:t>
      </w:r>
      <w:r w:rsidRPr="001513F9">
        <w:rPr>
          <w:bCs/>
          <w:szCs w:val="22"/>
        </w:rPr>
        <w:t>).</w:t>
      </w:r>
    </w:p>
    <w:p w:rsidR="007364F9" w:rsidRPr="001513F9" w:rsidRDefault="007364F9" w:rsidP="007364F9">
      <w:pPr>
        <w:jc w:val="both"/>
        <w:rPr>
          <w:bCs/>
          <w:szCs w:val="22"/>
        </w:rPr>
      </w:pPr>
      <w:r w:rsidRPr="001513F9">
        <w:rPr>
          <w:bCs/>
          <w:szCs w:val="22"/>
        </w:rPr>
        <w:t>Επιπλέον πληροφορίες δίνονται μετά τον πίνακα.</w:t>
      </w:r>
    </w:p>
    <w:p w:rsidR="007364F9" w:rsidRPr="001513F9" w:rsidRDefault="007364F9" w:rsidP="007364F9">
      <w:pPr>
        <w:jc w:val="both"/>
        <w:rPr>
          <w:bCs/>
          <w:szCs w:val="22"/>
        </w:rPr>
      </w:pPr>
      <w:r w:rsidRPr="001513F9">
        <w:rPr>
          <w:bCs/>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37"/>
        <w:gridCol w:w="2062"/>
        <w:gridCol w:w="1643"/>
        <w:gridCol w:w="1966"/>
      </w:tblGrid>
      <w:tr w:rsidR="00A33963" w:rsidRPr="001513F9" w:rsidTr="007364F9">
        <w:trPr>
          <w:tblHeader/>
        </w:trPr>
        <w:tc>
          <w:tcPr>
            <w:tcW w:w="1857" w:type="dxa"/>
            <w:shd w:val="clear" w:color="auto" w:fill="E0E0E0"/>
          </w:tcPr>
          <w:p w:rsidR="007364F9" w:rsidRPr="001513F9" w:rsidRDefault="007364F9" w:rsidP="007364F9">
            <w:pPr>
              <w:keepNext/>
              <w:jc w:val="center"/>
              <w:rPr>
                <w:b/>
              </w:rPr>
            </w:pPr>
            <w:r w:rsidRPr="001513F9">
              <w:rPr>
                <w:b/>
              </w:rPr>
              <w:lastRenderedPageBreak/>
              <w:t>Κατηγορίες οργ</w:t>
            </w:r>
            <w:r w:rsidR="00A33963" w:rsidRPr="001513F9">
              <w:rPr>
                <w:b/>
              </w:rPr>
              <w:t>άνου</w:t>
            </w:r>
            <w:r w:rsidR="00EC30E4" w:rsidRPr="001513F9">
              <w:rPr>
                <w:b/>
              </w:rPr>
              <w:t xml:space="preserve"> </w:t>
            </w:r>
            <w:r w:rsidR="00A33963" w:rsidRPr="001513F9">
              <w:rPr>
                <w:b/>
              </w:rPr>
              <w:t>συστήματος</w:t>
            </w:r>
            <w:r w:rsidRPr="001513F9">
              <w:rPr>
                <w:b/>
              </w:rPr>
              <w:t xml:space="preserve"> κατά MedDRA</w:t>
            </w:r>
          </w:p>
        </w:tc>
        <w:tc>
          <w:tcPr>
            <w:tcW w:w="1937" w:type="dxa"/>
            <w:shd w:val="clear" w:color="auto" w:fill="E0E0E0"/>
          </w:tcPr>
          <w:p w:rsidR="007364F9" w:rsidRPr="001513F9" w:rsidRDefault="007364F9" w:rsidP="007364F9">
            <w:pPr>
              <w:keepNext/>
              <w:jc w:val="center"/>
              <w:rPr>
                <w:b/>
              </w:rPr>
            </w:pPr>
            <w:r w:rsidRPr="001513F9">
              <w:rPr>
                <w:b/>
              </w:rPr>
              <w:t>Πολύ συχνές</w:t>
            </w:r>
          </w:p>
          <w:p w:rsidR="007364F9" w:rsidRPr="001513F9" w:rsidRDefault="007364F9" w:rsidP="007364F9">
            <w:pPr>
              <w:pStyle w:val="aa"/>
              <w:keepNext/>
              <w:overflowPunct w:val="0"/>
              <w:autoSpaceDE w:val="0"/>
              <w:autoSpaceDN w:val="0"/>
              <w:adjustRightInd w:val="0"/>
              <w:spacing w:before="0" w:line="240" w:lineRule="auto"/>
              <w:jc w:val="center"/>
              <w:textAlignment w:val="baseline"/>
              <w:rPr>
                <w:rFonts w:ascii="Times New Roman" w:hAnsi="Times New Roman"/>
                <w:sz w:val="22"/>
                <w:lang w:val="el-GR" w:eastAsia="en-US"/>
              </w:rPr>
            </w:pPr>
          </w:p>
        </w:tc>
        <w:tc>
          <w:tcPr>
            <w:tcW w:w="2066" w:type="dxa"/>
            <w:shd w:val="clear" w:color="auto" w:fill="E0E0E0"/>
          </w:tcPr>
          <w:p w:rsidR="007364F9" w:rsidRPr="001513F9" w:rsidRDefault="007364F9" w:rsidP="007364F9">
            <w:pPr>
              <w:keepNext/>
              <w:jc w:val="center"/>
              <w:rPr>
                <w:b/>
              </w:rPr>
            </w:pPr>
            <w:r w:rsidRPr="001513F9">
              <w:rPr>
                <w:b/>
              </w:rPr>
              <w:t>Συχνές</w:t>
            </w:r>
          </w:p>
          <w:p w:rsidR="007364F9" w:rsidRPr="001513F9" w:rsidRDefault="007364F9" w:rsidP="007364F9">
            <w:pPr>
              <w:keepNext/>
              <w:jc w:val="center"/>
              <w:rPr>
                <w:b/>
              </w:rPr>
            </w:pPr>
          </w:p>
        </w:tc>
        <w:tc>
          <w:tcPr>
            <w:tcW w:w="1643" w:type="dxa"/>
            <w:shd w:val="clear" w:color="auto" w:fill="E0E0E0"/>
          </w:tcPr>
          <w:p w:rsidR="007364F9" w:rsidRPr="001513F9" w:rsidRDefault="00781118" w:rsidP="007364F9">
            <w:pPr>
              <w:keepNext/>
              <w:jc w:val="center"/>
              <w:rPr>
                <w:b/>
              </w:rPr>
            </w:pPr>
            <w:r w:rsidRPr="001513F9">
              <w:rPr>
                <w:b/>
              </w:rPr>
              <w:t>Ασυνήθεις</w:t>
            </w:r>
          </w:p>
          <w:p w:rsidR="007364F9" w:rsidRPr="001513F9" w:rsidRDefault="007364F9" w:rsidP="007364F9">
            <w:pPr>
              <w:keepNext/>
              <w:jc w:val="center"/>
              <w:rPr>
                <w:b/>
              </w:rPr>
            </w:pPr>
          </w:p>
        </w:tc>
        <w:tc>
          <w:tcPr>
            <w:tcW w:w="1961" w:type="dxa"/>
            <w:shd w:val="clear" w:color="auto" w:fill="E0E0E0"/>
          </w:tcPr>
          <w:p w:rsidR="007364F9" w:rsidRPr="001513F9" w:rsidRDefault="007364F9" w:rsidP="007364F9">
            <w:pPr>
              <w:keepNext/>
              <w:jc w:val="center"/>
              <w:rPr>
                <w:b/>
              </w:rPr>
            </w:pPr>
            <w:r w:rsidRPr="001513F9">
              <w:rPr>
                <w:b/>
              </w:rPr>
              <w:t xml:space="preserve">Σπάνιες </w:t>
            </w:r>
            <w:r w:rsidRPr="001513F9">
              <w:rPr>
                <w:b/>
              </w:rPr>
              <w:br/>
            </w:r>
          </w:p>
        </w:tc>
      </w:tr>
      <w:tr w:rsidR="00A33963" w:rsidRPr="001513F9" w:rsidTr="007364F9">
        <w:tc>
          <w:tcPr>
            <w:tcW w:w="1857" w:type="dxa"/>
          </w:tcPr>
          <w:p w:rsidR="007364F9" w:rsidRPr="001513F9" w:rsidRDefault="00A33963" w:rsidP="007364F9">
            <w:pPr>
              <w:rPr>
                <w:b/>
                <w:bCs/>
              </w:rPr>
            </w:pPr>
            <w:r w:rsidRPr="001513F9">
              <w:rPr>
                <w:b/>
                <w:bCs/>
              </w:rPr>
              <w:t>Έρευνες</w:t>
            </w:r>
          </w:p>
        </w:tc>
        <w:tc>
          <w:tcPr>
            <w:tcW w:w="1937" w:type="dxa"/>
          </w:tcPr>
          <w:p w:rsidR="007364F9" w:rsidRPr="001513F9" w:rsidRDefault="007364F9" w:rsidP="007364F9">
            <w:pPr>
              <w:ind w:left="-57"/>
              <w:rPr>
                <w:szCs w:val="22"/>
              </w:rPr>
            </w:pPr>
            <w:r w:rsidRPr="001513F9">
              <w:rPr>
                <w:szCs w:val="22"/>
              </w:rPr>
              <w:t>- Αύξηση ηπατικών ενζύμων</w:t>
            </w:r>
            <w:r w:rsidRPr="001513F9">
              <w:rPr>
                <w:szCs w:val="22"/>
              </w:rPr>
              <w:br/>
              <w:t xml:space="preserve">- Αύξηση αλκαλικής φωσφατάσης αίματος </w:t>
            </w:r>
          </w:p>
          <w:p w:rsidR="007364F9" w:rsidRPr="001513F9" w:rsidRDefault="007364F9" w:rsidP="007364F9">
            <w:pPr>
              <w:rPr>
                <w:szCs w:val="22"/>
              </w:rPr>
            </w:pPr>
            <w:r w:rsidRPr="001513F9">
              <w:rPr>
                <w:szCs w:val="22"/>
              </w:rPr>
              <w:t>- Αύξηση χολερυθρίνης αίματος</w:t>
            </w:r>
            <w:r w:rsidRPr="001513F9">
              <w:rPr>
                <w:szCs w:val="22"/>
              </w:rPr>
              <w:br/>
              <w:t>- Αύξηση γ</w:t>
            </w:r>
            <w:r w:rsidR="00304C60" w:rsidRPr="001513F9">
              <w:rPr>
                <w:szCs w:val="22"/>
              </w:rPr>
              <w:t>αλακτικής αφυδρογονάσης αίματος</w:t>
            </w:r>
          </w:p>
          <w:p w:rsidR="007364F9" w:rsidRPr="001513F9" w:rsidRDefault="007364F9" w:rsidP="007364F9">
            <w:pPr>
              <w:rPr>
                <w:szCs w:val="22"/>
              </w:rPr>
            </w:pPr>
            <w:r w:rsidRPr="001513F9">
              <w:rPr>
                <w:szCs w:val="22"/>
              </w:rPr>
              <w:t xml:space="preserve">- Αύξηση σωματικού βάρους </w:t>
            </w:r>
            <w:r w:rsidRPr="001513F9">
              <w:t>(επικουρική θεραπεία)</w:t>
            </w:r>
            <w:r w:rsidRPr="001513F9">
              <w:rPr>
                <w:szCs w:val="22"/>
              </w:rPr>
              <w:t xml:space="preserve"> </w:t>
            </w:r>
          </w:p>
        </w:tc>
        <w:tc>
          <w:tcPr>
            <w:tcW w:w="2066" w:type="dxa"/>
          </w:tcPr>
          <w:p w:rsidR="007364F9" w:rsidRPr="001513F9" w:rsidRDefault="007364F9" w:rsidP="007364F9">
            <w:pPr>
              <w:ind w:left="-57"/>
              <w:rPr>
                <w:b/>
                <w:szCs w:val="22"/>
              </w:rPr>
            </w:pPr>
            <w:r w:rsidRPr="001513F9">
              <w:rPr>
                <w:szCs w:val="22"/>
              </w:rPr>
              <w:t>- Αύξηση κρεατινίνης αίματος</w:t>
            </w:r>
          </w:p>
          <w:p w:rsidR="007364F9" w:rsidRPr="001513F9" w:rsidRDefault="007364F9" w:rsidP="007364F9">
            <w:pPr>
              <w:rPr>
                <w:szCs w:val="22"/>
              </w:rPr>
            </w:pPr>
            <w:r w:rsidRPr="001513F9">
              <w:rPr>
                <w:szCs w:val="22"/>
              </w:rPr>
              <w:t xml:space="preserve">- Μείωση σωματικού βάρους </w:t>
            </w:r>
            <w:r w:rsidRPr="001513F9">
              <w:t>(θεραπεία μεταστατικού καρκίνου)</w:t>
            </w:r>
          </w:p>
        </w:tc>
        <w:tc>
          <w:tcPr>
            <w:tcW w:w="1643" w:type="dxa"/>
          </w:tcPr>
          <w:p w:rsidR="007364F9" w:rsidRPr="001513F9" w:rsidRDefault="007364F9" w:rsidP="007364F9">
            <w:pPr>
              <w:rPr>
                <w:b/>
                <w:bCs/>
                <w:szCs w:val="16"/>
              </w:rPr>
            </w:pPr>
          </w:p>
        </w:tc>
        <w:tc>
          <w:tcPr>
            <w:tcW w:w="1961" w:type="dxa"/>
          </w:tcPr>
          <w:p w:rsidR="007364F9" w:rsidRPr="001513F9" w:rsidRDefault="007364F9" w:rsidP="007364F9">
            <w:pPr>
              <w:rPr>
                <w:b/>
                <w:bCs/>
                <w:szCs w:val="16"/>
              </w:rPr>
            </w:pPr>
          </w:p>
        </w:tc>
      </w:tr>
      <w:tr w:rsidR="00A33963" w:rsidRPr="001513F9" w:rsidTr="007364F9">
        <w:tc>
          <w:tcPr>
            <w:tcW w:w="1857" w:type="dxa"/>
          </w:tcPr>
          <w:p w:rsidR="007364F9" w:rsidRPr="001513F9" w:rsidRDefault="007364F9" w:rsidP="007364F9">
            <w:r w:rsidRPr="001513F9">
              <w:rPr>
                <w:b/>
                <w:bCs/>
              </w:rPr>
              <w:t>Διαταραχές του αιμοποιητικού και του λεμφικού συστήματος*</w:t>
            </w:r>
          </w:p>
        </w:tc>
        <w:tc>
          <w:tcPr>
            <w:tcW w:w="1937" w:type="dxa"/>
          </w:tcPr>
          <w:p w:rsidR="007364F9" w:rsidRPr="001513F9" w:rsidRDefault="007364F9" w:rsidP="007364F9">
            <w:pPr>
              <w:pStyle w:val="a9"/>
              <w:ind w:left="0" w:firstLine="0"/>
              <w:jc w:val="left"/>
              <w:rPr>
                <w:sz w:val="22"/>
                <w:szCs w:val="22"/>
                <w:lang w:val="el-GR"/>
              </w:rPr>
            </w:pPr>
            <w:r w:rsidRPr="001513F9">
              <w:rPr>
                <w:sz w:val="22"/>
                <w:szCs w:val="22"/>
                <w:lang w:val="el-GR"/>
              </w:rPr>
              <w:t xml:space="preserve">- Αναιμία, </w:t>
            </w:r>
          </w:p>
          <w:p w:rsidR="007364F9" w:rsidRPr="001513F9" w:rsidRDefault="007364F9" w:rsidP="007364F9">
            <w:pPr>
              <w:pStyle w:val="a9"/>
              <w:ind w:left="0" w:firstLine="0"/>
              <w:jc w:val="left"/>
              <w:rPr>
                <w:sz w:val="22"/>
                <w:szCs w:val="22"/>
                <w:lang w:val="el-GR"/>
              </w:rPr>
            </w:pPr>
            <w:r w:rsidRPr="001513F9">
              <w:rPr>
                <w:sz w:val="22"/>
                <w:szCs w:val="22"/>
                <w:lang w:val="el-GR"/>
              </w:rPr>
              <w:t>- Ουδετεροπενία</w:t>
            </w:r>
          </w:p>
          <w:p w:rsidR="007364F9" w:rsidRPr="001513F9" w:rsidRDefault="007364F9" w:rsidP="007364F9">
            <w:pPr>
              <w:pStyle w:val="a9"/>
              <w:ind w:left="0" w:firstLine="0"/>
              <w:rPr>
                <w:sz w:val="22"/>
                <w:szCs w:val="22"/>
                <w:lang w:val="el-GR"/>
              </w:rPr>
            </w:pPr>
            <w:r w:rsidRPr="001513F9">
              <w:rPr>
                <w:sz w:val="22"/>
                <w:szCs w:val="22"/>
                <w:lang w:val="el-GR"/>
              </w:rPr>
              <w:t xml:space="preserve">- Θρομβοπενία </w:t>
            </w:r>
          </w:p>
          <w:p w:rsidR="007364F9" w:rsidRPr="001513F9" w:rsidRDefault="007364F9" w:rsidP="007364F9">
            <w:pPr>
              <w:pStyle w:val="a9"/>
              <w:ind w:left="0" w:firstLine="0"/>
              <w:rPr>
                <w:sz w:val="22"/>
                <w:szCs w:val="22"/>
                <w:lang w:val="el-GR"/>
              </w:rPr>
            </w:pPr>
            <w:r w:rsidRPr="001513F9">
              <w:rPr>
                <w:sz w:val="22"/>
                <w:szCs w:val="22"/>
                <w:lang w:val="el-GR"/>
              </w:rPr>
              <w:t xml:space="preserve">- Λευκοπενία </w:t>
            </w:r>
          </w:p>
          <w:p w:rsidR="007364F9" w:rsidRPr="001513F9" w:rsidRDefault="007364F9" w:rsidP="007364F9">
            <w:r w:rsidRPr="001513F9">
              <w:rPr>
                <w:szCs w:val="22"/>
              </w:rPr>
              <w:t>- Λεμφοπενία</w:t>
            </w:r>
          </w:p>
        </w:tc>
        <w:tc>
          <w:tcPr>
            <w:tcW w:w="2066" w:type="dxa"/>
          </w:tcPr>
          <w:p w:rsidR="007364F9" w:rsidRPr="001513F9" w:rsidRDefault="00A33963" w:rsidP="007364F9">
            <w:r w:rsidRPr="001513F9">
              <w:rPr>
                <w:szCs w:val="22"/>
              </w:rPr>
              <w:t>- Εμπύρετη ουδετεροπενία</w:t>
            </w:r>
          </w:p>
        </w:tc>
        <w:tc>
          <w:tcPr>
            <w:tcW w:w="1643" w:type="dxa"/>
          </w:tcPr>
          <w:p w:rsidR="007364F9" w:rsidRPr="001513F9" w:rsidRDefault="007364F9" w:rsidP="007364F9"/>
        </w:tc>
        <w:tc>
          <w:tcPr>
            <w:tcW w:w="1961" w:type="dxa"/>
          </w:tcPr>
          <w:p w:rsidR="007364F9" w:rsidRPr="001513F9" w:rsidRDefault="007364F9" w:rsidP="007364F9">
            <w:pPr>
              <w:rPr>
                <w:szCs w:val="22"/>
              </w:rPr>
            </w:pPr>
            <w:r w:rsidRPr="001513F9">
              <w:rPr>
                <w:b/>
                <w:bCs/>
                <w:szCs w:val="22"/>
              </w:rPr>
              <w:t xml:space="preserve">- </w:t>
            </w:r>
            <w:r w:rsidRPr="001513F9">
              <w:rPr>
                <w:bCs/>
                <w:szCs w:val="22"/>
              </w:rPr>
              <w:t>Ανοσοαλλεργική</w:t>
            </w:r>
            <w:r w:rsidRPr="001513F9">
              <w:rPr>
                <w:szCs w:val="22"/>
              </w:rPr>
              <w:t xml:space="preserve"> θρομβοπενία </w:t>
            </w:r>
          </w:p>
          <w:p w:rsidR="007364F9" w:rsidRPr="001513F9" w:rsidRDefault="007364F9" w:rsidP="007364F9">
            <w:r w:rsidRPr="001513F9">
              <w:rPr>
                <w:szCs w:val="22"/>
              </w:rPr>
              <w:t>- Αιμολυτική αναιμία</w:t>
            </w:r>
            <w:r w:rsidRPr="001513F9">
              <w:rPr>
                <w:szCs w:val="16"/>
              </w:rPr>
              <w:t xml:space="preserve"> </w:t>
            </w:r>
          </w:p>
        </w:tc>
      </w:tr>
      <w:tr w:rsidR="00A33963" w:rsidRPr="001513F9" w:rsidTr="007364F9">
        <w:tc>
          <w:tcPr>
            <w:tcW w:w="1857" w:type="dxa"/>
          </w:tcPr>
          <w:p w:rsidR="007364F9" w:rsidRPr="001513F9" w:rsidRDefault="007364F9" w:rsidP="007364F9">
            <w:pPr>
              <w:rPr>
                <w:b/>
                <w:bCs/>
              </w:rPr>
            </w:pPr>
            <w:r w:rsidRPr="001513F9">
              <w:rPr>
                <w:b/>
                <w:bCs/>
              </w:rPr>
              <w:t>Διαταραχές του νευρικού συστήματος*</w:t>
            </w:r>
          </w:p>
        </w:tc>
        <w:tc>
          <w:tcPr>
            <w:tcW w:w="1937" w:type="dxa"/>
          </w:tcPr>
          <w:p w:rsidR="007364F9" w:rsidRPr="001513F9" w:rsidRDefault="007364F9" w:rsidP="007364F9">
            <w:r w:rsidRPr="001513F9">
              <w:rPr>
                <w:szCs w:val="16"/>
              </w:rPr>
              <w:t>- Περιφερική αισθητική νευροπάθεια</w:t>
            </w:r>
            <w:r w:rsidRPr="001513F9">
              <w:rPr>
                <w:szCs w:val="16"/>
                <w:lang w:val="en-GB"/>
              </w:rPr>
              <w:t> </w:t>
            </w:r>
          </w:p>
          <w:p w:rsidR="007364F9" w:rsidRPr="001513F9" w:rsidRDefault="007364F9" w:rsidP="007364F9">
            <w:r w:rsidRPr="001513F9">
              <w:t xml:space="preserve">- Διαταραχή αισθητικότητας </w:t>
            </w:r>
            <w:r w:rsidRPr="001513F9">
              <w:br/>
              <w:t>- Δυσγευσία</w:t>
            </w:r>
            <w:r w:rsidRPr="001513F9">
              <w:br/>
            </w:r>
            <w:r w:rsidRPr="001513F9">
              <w:rPr>
                <w:szCs w:val="16"/>
              </w:rPr>
              <w:t>- Κεφαλαλγία</w:t>
            </w:r>
          </w:p>
        </w:tc>
        <w:tc>
          <w:tcPr>
            <w:tcW w:w="2066" w:type="dxa"/>
          </w:tcPr>
          <w:p w:rsidR="007364F9" w:rsidRPr="001513F9" w:rsidRDefault="007364F9" w:rsidP="007364F9">
            <w:r w:rsidRPr="001513F9">
              <w:rPr>
                <w:b/>
                <w:bCs/>
              </w:rPr>
              <w:t xml:space="preserve">- </w:t>
            </w:r>
            <w:r w:rsidRPr="001513F9">
              <w:rPr>
                <w:bCs/>
              </w:rPr>
              <w:t>Ζάλη</w:t>
            </w:r>
            <w:r w:rsidR="00304C60" w:rsidRPr="001513F9">
              <w:br/>
              <w:t>- Κινητική νευρίτιδα</w:t>
            </w:r>
          </w:p>
          <w:p w:rsidR="007364F9" w:rsidRPr="001513F9" w:rsidRDefault="007364F9" w:rsidP="007364F9">
            <w:pPr>
              <w:rPr>
                <w:bCs/>
                <w:szCs w:val="16"/>
              </w:rPr>
            </w:pPr>
            <w:r w:rsidRPr="001513F9">
              <w:rPr>
                <w:szCs w:val="16"/>
              </w:rPr>
              <w:t>- Μηνιγγισμός</w:t>
            </w:r>
          </w:p>
        </w:tc>
        <w:tc>
          <w:tcPr>
            <w:tcW w:w="1643" w:type="dxa"/>
          </w:tcPr>
          <w:p w:rsidR="007364F9" w:rsidRPr="001513F9" w:rsidRDefault="007364F9" w:rsidP="007364F9">
            <w:pPr>
              <w:rPr>
                <w:b/>
                <w:bCs/>
                <w:szCs w:val="16"/>
              </w:rPr>
            </w:pPr>
          </w:p>
        </w:tc>
        <w:tc>
          <w:tcPr>
            <w:tcW w:w="1961" w:type="dxa"/>
          </w:tcPr>
          <w:p w:rsidR="007364F9" w:rsidRPr="001513F9" w:rsidRDefault="007364F9" w:rsidP="007364F9">
            <w:pPr>
              <w:rPr>
                <w:szCs w:val="16"/>
              </w:rPr>
            </w:pPr>
            <w:r w:rsidRPr="001513F9">
              <w:rPr>
                <w:szCs w:val="16"/>
              </w:rPr>
              <w:t>- Δυσα</w:t>
            </w:r>
            <w:r w:rsidR="00A33963" w:rsidRPr="001513F9">
              <w:rPr>
                <w:szCs w:val="16"/>
              </w:rPr>
              <w:t>ρ</w:t>
            </w:r>
            <w:r w:rsidRPr="001513F9">
              <w:rPr>
                <w:szCs w:val="16"/>
              </w:rPr>
              <w:t>θρία</w:t>
            </w:r>
          </w:p>
          <w:p w:rsidR="00A33963" w:rsidRPr="001513F9" w:rsidRDefault="00A33963" w:rsidP="00A33963">
            <w:pPr>
              <w:rPr>
                <w:szCs w:val="22"/>
              </w:rPr>
            </w:pPr>
            <w:r w:rsidRPr="001513F9">
              <w:rPr>
                <w:szCs w:val="22"/>
              </w:rPr>
              <w:t>- Αναστρέψιμη</w:t>
            </w:r>
          </w:p>
          <w:p w:rsidR="00A33963" w:rsidRPr="001513F9" w:rsidRDefault="00CF2967" w:rsidP="00A33963">
            <w:pPr>
              <w:rPr>
                <w:szCs w:val="22"/>
              </w:rPr>
            </w:pPr>
            <w:r w:rsidRPr="001513F9">
              <w:rPr>
                <w:szCs w:val="22"/>
              </w:rPr>
              <w:t>οπίσθια</w:t>
            </w:r>
            <w:r w:rsidR="00A33963" w:rsidRPr="001513F9">
              <w:rPr>
                <w:szCs w:val="22"/>
              </w:rPr>
              <w:t xml:space="preserve"> λευκοεγκε-φαλοπάθεια (RPLS ή PRES) (βλ. παράγραφο 4.4)</w:t>
            </w:r>
          </w:p>
          <w:p w:rsidR="00A33963" w:rsidRPr="001513F9" w:rsidRDefault="00A33963" w:rsidP="007364F9">
            <w:pPr>
              <w:rPr>
                <w:szCs w:val="16"/>
              </w:rPr>
            </w:pPr>
          </w:p>
          <w:p w:rsidR="007364F9" w:rsidRPr="001513F9" w:rsidRDefault="007364F9" w:rsidP="007364F9"/>
        </w:tc>
      </w:tr>
      <w:tr w:rsidR="00A33963" w:rsidRPr="001513F9" w:rsidTr="007364F9">
        <w:tc>
          <w:tcPr>
            <w:tcW w:w="1857" w:type="dxa"/>
          </w:tcPr>
          <w:p w:rsidR="007364F9" w:rsidRPr="001513F9" w:rsidRDefault="007364F9" w:rsidP="007364F9">
            <w:pPr>
              <w:rPr>
                <w:b/>
                <w:bCs/>
              </w:rPr>
            </w:pPr>
            <w:r w:rsidRPr="001513F9">
              <w:rPr>
                <w:b/>
                <w:bCs/>
              </w:rPr>
              <w:t>Οφθαλμικές διαταραχές</w:t>
            </w:r>
          </w:p>
        </w:tc>
        <w:tc>
          <w:tcPr>
            <w:tcW w:w="1937" w:type="dxa"/>
          </w:tcPr>
          <w:p w:rsidR="007364F9" w:rsidRPr="001513F9" w:rsidRDefault="007364F9" w:rsidP="007364F9">
            <w:pPr>
              <w:pStyle w:val="Sprechblasentext"/>
              <w:rPr>
                <w:rFonts w:ascii="Times New Roman" w:hAnsi="Times New Roman" w:cs="Times New Roman"/>
                <w:sz w:val="22"/>
                <w:szCs w:val="24"/>
                <w:lang w:val="en-GB" w:eastAsia="en-US"/>
              </w:rPr>
            </w:pPr>
          </w:p>
        </w:tc>
        <w:tc>
          <w:tcPr>
            <w:tcW w:w="2066" w:type="dxa"/>
          </w:tcPr>
          <w:p w:rsidR="007364F9" w:rsidRPr="001513F9" w:rsidRDefault="007364F9" w:rsidP="007364F9">
            <w:pPr>
              <w:rPr>
                <w:szCs w:val="16"/>
              </w:rPr>
            </w:pPr>
            <w:r w:rsidRPr="001513F9">
              <w:rPr>
                <w:szCs w:val="16"/>
              </w:rPr>
              <w:t>- Επιπεφυκίτιδα </w:t>
            </w:r>
            <w:r w:rsidRPr="001513F9">
              <w:rPr>
                <w:szCs w:val="16"/>
              </w:rPr>
              <w:br/>
              <w:t>- Οπτική διαταραχή</w:t>
            </w:r>
          </w:p>
        </w:tc>
        <w:tc>
          <w:tcPr>
            <w:tcW w:w="1643" w:type="dxa"/>
          </w:tcPr>
          <w:p w:rsidR="007364F9" w:rsidRPr="001513F9" w:rsidRDefault="007364F9" w:rsidP="007364F9">
            <w:pPr>
              <w:rPr>
                <w:b/>
                <w:bCs/>
                <w:szCs w:val="16"/>
                <w:lang w:val="en-GB"/>
              </w:rPr>
            </w:pPr>
          </w:p>
        </w:tc>
        <w:tc>
          <w:tcPr>
            <w:tcW w:w="1961" w:type="dxa"/>
          </w:tcPr>
          <w:p w:rsidR="007364F9" w:rsidRPr="001513F9" w:rsidRDefault="007364F9" w:rsidP="007364F9">
            <w:pPr>
              <w:rPr>
                <w:szCs w:val="22"/>
              </w:rPr>
            </w:pPr>
            <w:r w:rsidRPr="001513F9">
              <w:rPr>
                <w:b/>
                <w:bCs/>
                <w:szCs w:val="22"/>
              </w:rPr>
              <w:t xml:space="preserve">- </w:t>
            </w:r>
            <w:r w:rsidRPr="001513F9">
              <w:rPr>
                <w:szCs w:val="22"/>
              </w:rPr>
              <w:t>Παροδική ελάττωση της οπτικής οξύτητας</w:t>
            </w:r>
          </w:p>
          <w:p w:rsidR="007364F9" w:rsidRPr="001513F9" w:rsidRDefault="007364F9" w:rsidP="007364F9">
            <w:pPr>
              <w:rPr>
                <w:szCs w:val="22"/>
              </w:rPr>
            </w:pPr>
            <w:r w:rsidRPr="001513F9">
              <w:rPr>
                <w:szCs w:val="22"/>
              </w:rPr>
              <w:t xml:space="preserve">- Διαταραχές των οπτικών πεδίων </w:t>
            </w:r>
          </w:p>
          <w:p w:rsidR="007364F9" w:rsidRPr="001513F9" w:rsidRDefault="007364F9" w:rsidP="007364F9">
            <w:pPr>
              <w:rPr>
                <w:szCs w:val="22"/>
              </w:rPr>
            </w:pPr>
            <w:r w:rsidRPr="001513F9">
              <w:rPr>
                <w:szCs w:val="22"/>
              </w:rPr>
              <w:t>- Οπτική νευρίτιδα</w:t>
            </w:r>
          </w:p>
          <w:p w:rsidR="007364F9" w:rsidRPr="001513F9" w:rsidRDefault="007364F9" w:rsidP="007364F9">
            <w:pPr>
              <w:rPr>
                <w:b/>
                <w:bCs/>
                <w:szCs w:val="22"/>
              </w:rPr>
            </w:pPr>
            <w:r w:rsidRPr="001513F9">
              <w:rPr>
                <w:szCs w:val="22"/>
              </w:rPr>
              <w:t>- Παροδική απώλεια όρασης, αναστρέψιμη μετά τη διακοπή της θεραπείας</w:t>
            </w:r>
          </w:p>
        </w:tc>
      </w:tr>
      <w:tr w:rsidR="00A33963" w:rsidRPr="001513F9" w:rsidTr="007364F9">
        <w:tc>
          <w:tcPr>
            <w:tcW w:w="1857" w:type="dxa"/>
          </w:tcPr>
          <w:p w:rsidR="007364F9" w:rsidRPr="001513F9" w:rsidRDefault="007364F9" w:rsidP="007364F9">
            <w:pPr>
              <w:rPr>
                <w:b/>
                <w:bCs/>
              </w:rPr>
            </w:pPr>
            <w:r w:rsidRPr="001513F9">
              <w:rPr>
                <w:b/>
                <w:bCs/>
              </w:rPr>
              <w:t>Διαταραχές του ωτός και του λαβυρίνθου</w:t>
            </w:r>
            <w:r w:rsidRPr="001513F9">
              <w:rPr>
                <w:b/>
                <w:bCs/>
                <w:lang w:val="en-GB"/>
              </w:rPr>
              <w:t> </w:t>
            </w:r>
          </w:p>
        </w:tc>
        <w:tc>
          <w:tcPr>
            <w:tcW w:w="1937" w:type="dxa"/>
          </w:tcPr>
          <w:p w:rsidR="007364F9" w:rsidRPr="001513F9" w:rsidRDefault="007364F9" w:rsidP="007364F9"/>
        </w:tc>
        <w:tc>
          <w:tcPr>
            <w:tcW w:w="2066" w:type="dxa"/>
          </w:tcPr>
          <w:p w:rsidR="007364F9" w:rsidRPr="001513F9" w:rsidRDefault="007364F9" w:rsidP="007364F9">
            <w:pPr>
              <w:rPr>
                <w:b/>
                <w:bCs/>
                <w:szCs w:val="16"/>
              </w:rPr>
            </w:pPr>
          </w:p>
        </w:tc>
        <w:tc>
          <w:tcPr>
            <w:tcW w:w="1643" w:type="dxa"/>
          </w:tcPr>
          <w:p w:rsidR="007364F9" w:rsidRPr="001513F9" w:rsidRDefault="007364F9" w:rsidP="007364F9">
            <w:pPr>
              <w:rPr>
                <w:bCs/>
                <w:szCs w:val="16"/>
              </w:rPr>
            </w:pPr>
            <w:r w:rsidRPr="001513F9">
              <w:rPr>
                <w:bCs/>
                <w:szCs w:val="16"/>
              </w:rPr>
              <w:t>- Ωτοτοξικότητα</w:t>
            </w:r>
            <w:r w:rsidRPr="001513F9">
              <w:rPr>
                <w:szCs w:val="16"/>
              </w:rPr>
              <w:t> </w:t>
            </w:r>
          </w:p>
        </w:tc>
        <w:tc>
          <w:tcPr>
            <w:tcW w:w="1961" w:type="dxa"/>
          </w:tcPr>
          <w:p w:rsidR="007364F9" w:rsidRPr="001513F9" w:rsidRDefault="007364F9" w:rsidP="007364F9">
            <w:pPr>
              <w:rPr>
                <w:szCs w:val="16"/>
              </w:rPr>
            </w:pPr>
            <w:r w:rsidRPr="001513F9">
              <w:rPr>
                <w:b/>
                <w:bCs/>
                <w:szCs w:val="16"/>
              </w:rPr>
              <w:t xml:space="preserve">- </w:t>
            </w:r>
            <w:r w:rsidRPr="001513F9">
              <w:rPr>
                <w:bCs/>
                <w:szCs w:val="16"/>
              </w:rPr>
              <w:t>Κώφωση</w:t>
            </w:r>
          </w:p>
        </w:tc>
      </w:tr>
      <w:tr w:rsidR="00A33963" w:rsidRPr="001513F9" w:rsidTr="007364F9">
        <w:tc>
          <w:tcPr>
            <w:tcW w:w="1856" w:type="dxa"/>
          </w:tcPr>
          <w:p w:rsidR="007364F9" w:rsidRPr="001513F9" w:rsidRDefault="007364F9" w:rsidP="007364F9">
            <w:pPr>
              <w:rPr>
                <w:b/>
                <w:bCs/>
              </w:rPr>
            </w:pPr>
            <w:r w:rsidRPr="001513F9">
              <w:rPr>
                <w:b/>
                <w:bCs/>
              </w:rPr>
              <w:t>Διαταραχές του αναπνευστικού συστήματος, του θώρακα και του μεσοθωρακίου</w:t>
            </w:r>
          </w:p>
        </w:tc>
        <w:tc>
          <w:tcPr>
            <w:tcW w:w="1935" w:type="dxa"/>
          </w:tcPr>
          <w:p w:rsidR="007364F9" w:rsidRPr="001513F9" w:rsidRDefault="007364F9" w:rsidP="007364F9">
            <w:r w:rsidRPr="001513F9">
              <w:rPr>
                <w:b/>
                <w:bCs/>
                <w:szCs w:val="16"/>
              </w:rPr>
              <w:t xml:space="preserve">- </w:t>
            </w:r>
            <w:r w:rsidRPr="001513F9">
              <w:rPr>
                <w:bCs/>
                <w:szCs w:val="16"/>
              </w:rPr>
              <w:t>Δύσπνοια</w:t>
            </w:r>
            <w:r w:rsidRPr="001513F9">
              <w:rPr>
                <w:szCs w:val="16"/>
              </w:rPr>
              <w:t xml:space="preserve">  </w:t>
            </w:r>
          </w:p>
          <w:p w:rsidR="00A33963" w:rsidRPr="001513F9" w:rsidRDefault="007364F9" w:rsidP="007364F9">
            <w:pPr>
              <w:rPr>
                <w:szCs w:val="16"/>
              </w:rPr>
            </w:pPr>
            <w:r w:rsidRPr="001513F9">
              <w:rPr>
                <w:szCs w:val="16"/>
              </w:rPr>
              <w:t>- Βήχας</w:t>
            </w:r>
          </w:p>
          <w:p w:rsidR="007364F9" w:rsidRPr="001513F9" w:rsidRDefault="00A33963" w:rsidP="007364F9">
            <w:r w:rsidRPr="001513F9">
              <w:rPr>
                <w:szCs w:val="22"/>
              </w:rPr>
              <w:t>- Επίσταξη</w:t>
            </w:r>
          </w:p>
        </w:tc>
        <w:tc>
          <w:tcPr>
            <w:tcW w:w="2064" w:type="dxa"/>
          </w:tcPr>
          <w:p w:rsidR="007364F9" w:rsidRPr="001513F9" w:rsidRDefault="007364F9" w:rsidP="007364F9">
            <w:pPr>
              <w:rPr>
                <w:bCs/>
                <w:szCs w:val="16"/>
              </w:rPr>
            </w:pPr>
            <w:r w:rsidRPr="001513F9">
              <w:rPr>
                <w:b/>
                <w:bCs/>
                <w:szCs w:val="16"/>
              </w:rPr>
              <w:t xml:space="preserve">- </w:t>
            </w:r>
            <w:r w:rsidR="00781118" w:rsidRPr="001513F9">
              <w:rPr>
                <w:bCs/>
                <w:szCs w:val="16"/>
              </w:rPr>
              <w:t>Λόξυγκας</w:t>
            </w:r>
          </w:p>
          <w:p w:rsidR="00A33963" w:rsidRPr="001513F9" w:rsidRDefault="00A33963" w:rsidP="007364F9">
            <w:pPr>
              <w:rPr>
                <w:b/>
                <w:bCs/>
                <w:szCs w:val="16"/>
              </w:rPr>
            </w:pPr>
            <w:r w:rsidRPr="001513F9">
              <w:rPr>
                <w:bCs/>
                <w:szCs w:val="22"/>
              </w:rPr>
              <w:t>- Πνευμονική εμβολή</w:t>
            </w:r>
          </w:p>
        </w:tc>
        <w:tc>
          <w:tcPr>
            <w:tcW w:w="1642" w:type="dxa"/>
          </w:tcPr>
          <w:p w:rsidR="007364F9" w:rsidRPr="001513F9" w:rsidRDefault="007364F9" w:rsidP="007364F9">
            <w:pPr>
              <w:rPr>
                <w:b/>
                <w:bCs/>
                <w:szCs w:val="16"/>
              </w:rPr>
            </w:pPr>
          </w:p>
        </w:tc>
        <w:tc>
          <w:tcPr>
            <w:tcW w:w="1967" w:type="dxa"/>
          </w:tcPr>
          <w:p w:rsidR="007364F9" w:rsidRPr="001513F9" w:rsidRDefault="007364F9" w:rsidP="007364F9">
            <w:r w:rsidRPr="001513F9">
              <w:rPr>
                <w:bCs/>
                <w:szCs w:val="16"/>
              </w:rPr>
              <w:t>- Διάμεση πνευμονοπάθεια, μερικές φορές θανατηφόρος</w:t>
            </w:r>
          </w:p>
          <w:p w:rsidR="007364F9" w:rsidRPr="001513F9" w:rsidRDefault="007364F9" w:rsidP="007364F9">
            <w:pPr>
              <w:rPr>
                <w:bCs/>
                <w:szCs w:val="16"/>
              </w:rPr>
            </w:pPr>
            <w:r w:rsidRPr="001513F9">
              <w:rPr>
                <w:bCs/>
                <w:szCs w:val="16"/>
              </w:rPr>
              <w:t>- Πνευμονική ίνωση</w:t>
            </w:r>
            <w:r w:rsidRPr="001513F9">
              <w:rPr>
                <w:szCs w:val="16"/>
              </w:rPr>
              <w:t>**</w:t>
            </w:r>
          </w:p>
        </w:tc>
      </w:tr>
      <w:tr w:rsidR="00A33963" w:rsidRPr="001513F9" w:rsidTr="007364F9">
        <w:tc>
          <w:tcPr>
            <w:tcW w:w="1856" w:type="dxa"/>
          </w:tcPr>
          <w:p w:rsidR="007364F9" w:rsidRPr="001513F9" w:rsidRDefault="007364F9" w:rsidP="007364F9">
            <w:pPr>
              <w:rPr>
                <w:b/>
                <w:bCs/>
              </w:rPr>
            </w:pPr>
            <w:r w:rsidRPr="001513F9">
              <w:rPr>
                <w:b/>
                <w:bCs/>
              </w:rPr>
              <w:t>Διαταραχές του γαστρεντερικού*</w:t>
            </w:r>
          </w:p>
        </w:tc>
        <w:tc>
          <w:tcPr>
            <w:tcW w:w="1935" w:type="dxa"/>
          </w:tcPr>
          <w:p w:rsidR="007364F9" w:rsidRPr="001513F9" w:rsidRDefault="007364F9" w:rsidP="007364F9">
            <w:pPr>
              <w:rPr>
                <w:bCs/>
                <w:szCs w:val="16"/>
              </w:rPr>
            </w:pPr>
            <w:r w:rsidRPr="001513F9">
              <w:rPr>
                <w:bCs/>
              </w:rPr>
              <w:t>- Ναυτία</w:t>
            </w:r>
            <w:r w:rsidRPr="001513F9">
              <w:rPr>
                <w:bCs/>
              </w:rPr>
              <w:br/>
              <w:t>- Διάρροια</w:t>
            </w:r>
            <w:r w:rsidRPr="001513F9">
              <w:rPr>
                <w:bCs/>
                <w:lang w:val="en-GB"/>
              </w:rPr>
              <w:t> </w:t>
            </w:r>
            <w:r w:rsidRPr="001513F9">
              <w:rPr>
                <w:bCs/>
              </w:rPr>
              <w:br/>
            </w:r>
            <w:r w:rsidRPr="001513F9">
              <w:rPr>
                <w:bCs/>
                <w:szCs w:val="16"/>
              </w:rPr>
              <w:t>- Έμετος</w:t>
            </w:r>
            <w:r w:rsidRPr="001513F9">
              <w:rPr>
                <w:bCs/>
              </w:rPr>
              <w:br/>
            </w:r>
            <w:r w:rsidRPr="001513F9">
              <w:rPr>
                <w:bCs/>
                <w:szCs w:val="16"/>
              </w:rPr>
              <w:lastRenderedPageBreak/>
              <w:t>- Στοματίτιδα</w:t>
            </w:r>
            <w:r w:rsidRPr="001513F9">
              <w:rPr>
                <w:bCs/>
              </w:rPr>
              <w:t>/ Βλεννογονίτιδα</w:t>
            </w:r>
            <w:r w:rsidRPr="001513F9">
              <w:rPr>
                <w:bCs/>
              </w:rPr>
              <w:br/>
            </w:r>
            <w:r w:rsidRPr="001513F9">
              <w:rPr>
                <w:bCs/>
                <w:szCs w:val="16"/>
              </w:rPr>
              <w:t>- Κοιλιακό άλγος</w:t>
            </w:r>
          </w:p>
          <w:p w:rsidR="007364F9" w:rsidRPr="001513F9" w:rsidRDefault="007364F9" w:rsidP="007364F9">
            <w:pPr>
              <w:rPr>
                <w:bCs/>
                <w:lang w:val="fr-FR"/>
              </w:rPr>
            </w:pPr>
            <w:r w:rsidRPr="001513F9">
              <w:rPr>
                <w:bCs/>
                <w:szCs w:val="16"/>
                <w:lang w:val="fr-FR"/>
              </w:rPr>
              <w:t xml:space="preserve">- </w:t>
            </w:r>
            <w:r w:rsidRPr="001513F9">
              <w:rPr>
                <w:bCs/>
                <w:szCs w:val="16"/>
              </w:rPr>
              <w:t>Δυσκοιλιότητα</w:t>
            </w:r>
          </w:p>
        </w:tc>
        <w:tc>
          <w:tcPr>
            <w:tcW w:w="2064" w:type="dxa"/>
          </w:tcPr>
          <w:p w:rsidR="007364F9" w:rsidRPr="001513F9" w:rsidRDefault="007364F9" w:rsidP="007364F9">
            <w:pPr>
              <w:rPr>
                <w:bCs/>
                <w:szCs w:val="16"/>
              </w:rPr>
            </w:pPr>
            <w:r w:rsidRPr="001513F9">
              <w:rPr>
                <w:bCs/>
                <w:szCs w:val="16"/>
              </w:rPr>
              <w:lastRenderedPageBreak/>
              <w:t>- Δυσπεψία</w:t>
            </w:r>
            <w:r w:rsidRPr="001513F9">
              <w:rPr>
                <w:bCs/>
                <w:szCs w:val="16"/>
              </w:rPr>
              <w:br/>
              <w:t>- Γαστροοισοφα-γική παλινδρόμηση</w:t>
            </w:r>
          </w:p>
          <w:p w:rsidR="007364F9" w:rsidRPr="001513F9" w:rsidRDefault="007364F9" w:rsidP="007364F9">
            <w:pPr>
              <w:rPr>
                <w:bCs/>
                <w:szCs w:val="16"/>
              </w:rPr>
            </w:pPr>
            <w:r w:rsidRPr="001513F9">
              <w:rPr>
                <w:bCs/>
                <w:szCs w:val="16"/>
              </w:rPr>
              <w:lastRenderedPageBreak/>
              <w:t xml:space="preserve">- Γαστρεντερική αιμορραγία </w:t>
            </w:r>
          </w:p>
          <w:p w:rsidR="007364F9" w:rsidRPr="001513F9" w:rsidRDefault="007364F9" w:rsidP="007364F9">
            <w:pPr>
              <w:rPr>
                <w:bCs/>
                <w:szCs w:val="16"/>
              </w:rPr>
            </w:pPr>
            <w:r w:rsidRPr="001513F9">
              <w:rPr>
                <w:szCs w:val="16"/>
              </w:rPr>
              <w:t>- Αιμορραγία από το ορθό</w:t>
            </w:r>
          </w:p>
        </w:tc>
        <w:tc>
          <w:tcPr>
            <w:tcW w:w="1642" w:type="dxa"/>
          </w:tcPr>
          <w:p w:rsidR="007364F9" w:rsidRPr="001513F9" w:rsidRDefault="007364F9" w:rsidP="007364F9">
            <w:pPr>
              <w:rPr>
                <w:bCs/>
                <w:lang w:val="fr-FR"/>
              </w:rPr>
            </w:pPr>
            <w:r w:rsidRPr="001513F9">
              <w:rPr>
                <w:bCs/>
                <w:szCs w:val="16"/>
                <w:lang w:val="fr-FR"/>
              </w:rPr>
              <w:lastRenderedPageBreak/>
              <w:t xml:space="preserve">- </w:t>
            </w:r>
            <w:r w:rsidRPr="001513F9">
              <w:rPr>
                <w:bCs/>
                <w:szCs w:val="16"/>
              </w:rPr>
              <w:t>Ειλεός</w:t>
            </w:r>
            <w:r w:rsidRPr="001513F9">
              <w:rPr>
                <w:bCs/>
                <w:szCs w:val="16"/>
                <w:lang w:val="fr-FR"/>
              </w:rPr>
              <w:t xml:space="preserve"> </w:t>
            </w:r>
          </w:p>
          <w:p w:rsidR="007364F9" w:rsidRPr="001513F9" w:rsidRDefault="007364F9" w:rsidP="007364F9">
            <w:pPr>
              <w:rPr>
                <w:bCs/>
                <w:szCs w:val="16"/>
              </w:rPr>
            </w:pPr>
            <w:r w:rsidRPr="001513F9">
              <w:rPr>
                <w:bCs/>
                <w:szCs w:val="16"/>
              </w:rPr>
              <w:t>- Εντερική απόφραξη</w:t>
            </w:r>
          </w:p>
        </w:tc>
        <w:tc>
          <w:tcPr>
            <w:tcW w:w="1967" w:type="dxa"/>
          </w:tcPr>
          <w:p w:rsidR="007364F9" w:rsidRPr="001513F9" w:rsidRDefault="00CF2967" w:rsidP="007364F9">
            <w:pPr>
              <w:rPr>
                <w:bCs/>
                <w:i/>
              </w:rPr>
            </w:pPr>
            <w:r>
              <w:rPr>
                <w:bCs/>
              </w:rPr>
              <w:t>- Κολίτιδα περιλαμβανο</w:t>
            </w:r>
            <w:r w:rsidR="007364F9" w:rsidRPr="001513F9">
              <w:rPr>
                <w:bCs/>
              </w:rPr>
              <w:t xml:space="preserve">μένης της διάρροιας από </w:t>
            </w:r>
            <w:r w:rsidR="00A33963" w:rsidRPr="001513F9">
              <w:rPr>
                <w:bCs/>
                <w:lang w:val="en-US"/>
              </w:rPr>
              <w:lastRenderedPageBreak/>
              <w:t>C</w:t>
            </w:r>
            <w:r w:rsidR="007364F9" w:rsidRPr="001513F9">
              <w:rPr>
                <w:bCs/>
                <w:i/>
              </w:rPr>
              <w:t>lostridium difficile</w:t>
            </w:r>
          </w:p>
          <w:p w:rsidR="00A33963" w:rsidRPr="001513F9" w:rsidRDefault="00A33963" w:rsidP="007364F9">
            <w:pPr>
              <w:rPr>
                <w:bCs/>
                <w:szCs w:val="16"/>
                <w:lang w:val="en-US"/>
              </w:rPr>
            </w:pPr>
            <w:r w:rsidRPr="001513F9">
              <w:rPr>
                <w:bCs/>
                <w:szCs w:val="22"/>
              </w:rPr>
              <w:t>-Παγκρεατίτιδα</w:t>
            </w:r>
          </w:p>
        </w:tc>
      </w:tr>
      <w:tr w:rsidR="00A33963" w:rsidRPr="001513F9" w:rsidTr="007364F9">
        <w:tc>
          <w:tcPr>
            <w:tcW w:w="1856"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r w:rsidRPr="001513F9">
              <w:rPr>
                <w:b/>
                <w:bCs/>
                <w:szCs w:val="16"/>
              </w:rPr>
              <w:lastRenderedPageBreak/>
              <w:t xml:space="preserve">Διαταραχές των νεφρών και των ουροφόρων οδών </w:t>
            </w:r>
          </w:p>
        </w:tc>
        <w:tc>
          <w:tcPr>
            <w:tcW w:w="1935"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c>
          <w:tcPr>
            <w:tcW w:w="2064"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Cs/>
                <w:szCs w:val="16"/>
              </w:rPr>
            </w:pPr>
            <w:r w:rsidRPr="001513F9">
              <w:t>- Αιματουρία</w:t>
            </w:r>
            <w:r w:rsidRPr="001513F9">
              <w:rPr>
                <w:lang w:val="en-GB"/>
              </w:rPr>
              <w:t> </w:t>
            </w:r>
            <w:r w:rsidRPr="001513F9">
              <w:br/>
            </w:r>
            <w:r w:rsidRPr="001513F9">
              <w:rPr>
                <w:bCs/>
                <w:szCs w:val="16"/>
              </w:rPr>
              <w:t>- Δυσουρία</w:t>
            </w:r>
            <w:r w:rsidRPr="001513F9">
              <w:rPr>
                <w:bCs/>
              </w:rPr>
              <w:br/>
            </w:r>
            <w:r w:rsidRPr="001513F9">
              <w:rPr>
                <w:bCs/>
                <w:szCs w:val="16"/>
              </w:rPr>
              <w:t xml:space="preserve">- Διαταραχή της συχνότητας </w:t>
            </w:r>
            <w:r w:rsidR="00A33963" w:rsidRPr="001513F9">
              <w:rPr>
                <w:bCs/>
                <w:szCs w:val="16"/>
              </w:rPr>
              <w:t xml:space="preserve"> της </w:t>
            </w:r>
            <w:r w:rsidRPr="001513F9">
              <w:rPr>
                <w:bCs/>
                <w:szCs w:val="16"/>
              </w:rPr>
              <w:t>ούρησης</w:t>
            </w:r>
          </w:p>
        </w:tc>
        <w:tc>
          <w:tcPr>
            <w:tcW w:w="1642"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p>
        </w:tc>
        <w:tc>
          <w:tcPr>
            <w:tcW w:w="1967"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p>
        </w:tc>
      </w:tr>
      <w:tr w:rsidR="00A33963" w:rsidRPr="001513F9" w:rsidTr="007364F9">
        <w:tc>
          <w:tcPr>
            <w:tcW w:w="1856" w:type="dxa"/>
          </w:tcPr>
          <w:p w:rsidR="007364F9" w:rsidRPr="001513F9" w:rsidRDefault="007364F9" w:rsidP="007364F9">
            <w:pPr>
              <w:rPr>
                <w:b/>
                <w:bCs/>
              </w:rPr>
            </w:pPr>
            <w:r w:rsidRPr="001513F9">
              <w:rPr>
                <w:b/>
                <w:bCs/>
              </w:rPr>
              <w:t>Διαταραχές του δέρματος και του υποδόριου ιστού</w:t>
            </w:r>
          </w:p>
        </w:tc>
        <w:tc>
          <w:tcPr>
            <w:tcW w:w="1935" w:type="dxa"/>
          </w:tcPr>
          <w:p w:rsidR="007364F9" w:rsidRPr="001513F9" w:rsidRDefault="007364F9" w:rsidP="007364F9">
            <w:r w:rsidRPr="001513F9">
              <w:rPr>
                <w:bCs/>
                <w:szCs w:val="16"/>
              </w:rPr>
              <w:t>- Δερματική διαταραχή</w:t>
            </w:r>
            <w:r w:rsidRPr="001513F9">
              <w:rPr>
                <w:szCs w:val="16"/>
              </w:rPr>
              <w:t> </w:t>
            </w:r>
          </w:p>
          <w:p w:rsidR="007364F9" w:rsidRPr="001513F9" w:rsidRDefault="007364F9" w:rsidP="007364F9">
            <w:r w:rsidRPr="001513F9">
              <w:rPr>
                <w:szCs w:val="16"/>
              </w:rPr>
              <w:t>- Αλωπεκία </w:t>
            </w:r>
          </w:p>
        </w:tc>
        <w:tc>
          <w:tcPr>
            <w:tcW w:w="2064" w:type="dxa"/>
          </w:tcPr>
          <w:p w:rsidR="007364F9" w:rsidRPr="001513F9" w:rsidRDefault="007364F9" w:rsidP="007364F9">
            <w:pPr>
              <w:pStyle w:val="Sprechblasentext"/>
              <w:overflowPunct w:val="0"/>
              <w:autoSpaceDE w:val="0"/>
              <w:autoSpaceDN w:val="0"/>
              <w:adjustRightInd w:val="0"/>
              <w:textAlignment w:val="baseline"/>
              <w:rPr>
                <w:rFonts w:ascii="Times New Roman" w:hAnsi="Times New Roman" w:cs="Times New Roman"/>
                <w:sz w:val="22"/>
                <w:szCs w:val="20"/>
                <w:lang w:val="el-GR" w:eastAsia="fr-FR"/>
              </w:rPr>
            </w:pPr>
            <w:r w:rsidRPr="001513F9">
              <w:rPr>
                <w:rFonts w:ascii="Times New Roman" w:hAnsi="Times New Roman" w:cs="Times New Roman"/>
                <w:sz w:val="22"/>
                <w:szCs w:val="20"/>
                <w:lang w:val="el-GR" w:eastAsia="fr-FR"/>
              </w:rPr>
              <w:t>- Δερματική αποφολίδωση (π.χ. σύνδρομο χειρός-ποδός)</w:t>
            </w:r>
          </w:p>
          <w:p w:rsidR="007364F9" w:rsidRPr="001513F9" w:rsidRDefault="007364F9" w:rsidP="007364F9">
            <w:r w:rsidRPr="001513F9">
              <w:t>- Ερυθηματώδες εξάνθημα</w:t>
            </w:r>
          </w:p>
          <w:p w:rsidR="007364F9" w:rsidRPr="001513F9" w:rsidRDefault="007364F9" w:rsidP="007364F9">
            <w:r w:rsidRPr="001513F9">
              <w:t>- Εξάνθημα</w:t>
            </w:r>
          </w:p>
          <w:p w:rsidR="007364F9" w:rsidRPr="001513F9" w:rsidRDefault="007364F9" w:rsidP="007364F9">
            <w:r w:rsidRPr="001513F9">
              <w:t>- Αυξημένη εφίδρωση</w:t>
            </w:r>
          </w:p>
          <w:p w:rsidR="007364F9" w:rsidRPr="001513F9" w:rsidRDefault="007364F9" w:rsidP="007364F9">
            <w:pPr>
              <w:rPr>
                <w:b/>
                <w:bCs/>
                <w:szCs w:val="16"/>
              </w:rPr>
            </w:pPr>
            <w:r w:rsidRPr="001513F9">
              <w:t>- Διαταραχές των ονύχων</w:t>
            </w:r>
          </w:p>
        </w:tc>
        <w:tc>
          <w:tcPr>
            <w:tcW w:w="1642" w:type="dxa"/>
          </w:tcPr>
          <w:p w:rsidR="007364F9" w:rsidRPr="001513F9" w:rsidRDefault="007364F9" w:rsidP="007364F9">
            <w:pPr>
              <w:rPr>
                <w:b/>
                <w:bCs/>
                <w:szCs w:val="16"/>
              </w:rPr>
            </w:pPr>
          </w:p>
        </w:tc>
        <w:tc>
          <w:tcPr>
            <w:tcW w:w="1967" w:type="dxa"/>
          </w:tcPr>
          <w:p w:rsidR="007364F9" w:rsidRPr="001513F9" w:rsidRDefault="007364F9" w:rsidP="007364F9">
            <w:pPr>
              <w:rPr>
                <w:b/>
                <w:bCs/>
                <w:szCs w:val="16"/>
              </w:rPr>
            </w:pPr>
          </w:p>
        </w:tc>
      </w:tr>
      <w:tr w:rsidR="00A33963" w:rsidRPr="001513F9" w:rsidTr="007364F9">
        <w:tc>
          <w:tcPr>
            <w:tcW w:w="1856" w:type="dxa"/>
          </w:tcPr>
          <w:p w:rsidR="007364F9" w:rsidRPr="001513F9" w:rsidRDefault="007364F9" w:rsidP="007364F9">
            <w:pPr>
              <w:rPr>
                <w:b/>
                <w:bCs/>
              </w:rPr>
            </w:pPr>
            <w:r w:rsidRPr="001513F9">
              <w:rPr>
                <w:b/>
                <w:bCs/>
              </w:rPr>
              <w:t>Διαταραχές του μυοσκελετικού συστήματος και του συνδετικού ιστού</w:t>
            </w:r>
          </w:p>
        </w:tc>
        <w:tc>
          <w:tcPr>
            <w:tcW w:w="1935" w:type="dxa"/>
          </w:tcPr>
          <w:p w:rsidR="007364F9" w:rsidRPr="001513F9" w:rsidRDefault="007364F9" w:rsidP="007364F9">
            <w:r w:rsidRPr="001513F9">
              <w:rPr>
                <w:szCs w:val="16"/>
              </w:rPr>
              <w:t>- Οσφυαλγία</w:t>
            </w:r>
          </w:p>
        </w:tc>
        <w:tc>
          <w:tcPr>
            <w:tcW w:w="2064" w:type="dxa"/>
          </w:tcPr>
          <w:p w:rsidR="007364F9" w:rsidRPr="001513F9" w:rsidRDefault="007364F9" w:rsidP="007364F9">
            <w:pPr>
              <w:rPr>
                <w:bCs/>
              </w:rPr>
            </w:pPr>
            <w:r w:rsidRPr="001513F9">
              <w:rPr>
                <w:bCs/>
              </w:rPr>
              <w:t>- Αρθραλγία</w:t>
            </w:r>
            <w:r w:rsidRPr="001513F9">
              <w:rPr>
                <w:bCs/>
              </w:rPr>
              <w:br/>
              <w:t>- Σκελετικό άλγος</w:t>
            </w:r>
          </w:p>
        </w:tc>
        <w:tc>
          <w:tcPr>
            <w:tcW w:w="1642" w:type="dxa"/>
          </w:tcPr>
          <w:p w:rsidR="007364F9" w:rsidRPr="001513F9" w:rsidRDefault="007364F9" w:rsidP="007364F9">
            <w:pPr>
              <w:rPr>
                <w:b/>
                <w:bCs/>
                <w:szCs w:val="16"/>
              </w:rPr>
            </w:pPr>
          </w:p>
        </w:tc>
        <w:tc>
          <w:tcPr>
            <w:tcW w:w="1967" w:type="dxa"/>
          </w:tcPr>
          <w:p w:rsidR="007364F9" w:rsidRPr="001513F9" w:rsidRDefault="007364F9" w:rsidP="007364F9">
            <w:pPr>
              <w:rPr>
                <w:b/>
                <w:bCs/>
                <w:szCs w:val="16"/>
              </w:rPr>
            </w:pPr>
          </w:p>
        </w:tc>
      </w:tr>
      <w:tr w:rsidR="00A33963" w:rsidRPr="001513F9" w:rsidTr="007364F9">
        <w:tc>
          <w:tcPr>
            <w:tcW w:w="1856"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rPr>
                <w:b/>
                <w:bCs/>
              </w:rPr>
              <w:t>Διαταραχές του μεταβολισμού και της θρέψης</w:t>
            </w:r>
          </w:p>
        </w:tc>
        <w:tc>
          <w:tcPr>
            <w:tcW w:w="1935"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t>- Ανορεξία</w:t>
            </w:r>
          </w:p>
          <w:p w:rsidR="007364F9" w:rsidRPr="001513F9" w:rsidRDefault="007364F9" w:rsidP="007364F9">
            <w:r w:rsidRPr="001513F9">
              <w:t xml:space="preserve">- </w:t>
            </w:r>
            <w:r w:rsidR="00A33963" w:rsidRPr="001513F9">
              <w:rPr>
                <w:szCs w:val="22"/>
              </w:rPr>
              <w:t>Υπεργλυκαιμία</w:t>
            </w:r>
          </w:p>
          <w:p w:rsidR="007364F9" w:rsidRPr="001513F9" w:rsidRDefault="007364F9" w:rsidP="007364F9">
            <w:r w:rsidRPr="001513F9">
              <w:t xml:space="preserve">- Υποκαλιαιμία </w:t>
            </w:r>
          </w:p>
          <w:p w:rsidR="007364F9" w:rsidRPr="001513F9" w:rsidRDefault="007364F9" w:rsidP="007364F9">
            <w:pPr>
              <w:pStyle w:val="Sprechblasentext"/>
              <w:overflowPunct w:val="0"/>
              <w:autoSpaceDE w:val="0"/>
              <w:autoSpaceDN w:val="0"/>
              <w:adjustRightInd w:val="0"/>
              <w:textAlignment w:val="baseline"/>
              <w:rPr>
                <w:rFonts w:ascii="Times New Roman" w:hAnsi="Times New Roman" w:cs="Times New Roman"/>
                <w:sz w:val="22"/>
                <w:szCs w:val="20"/>
                <w:lang w:val="el-GR" w:eastAsia="fr-FR"/>
              </w:rPr>
            </w:pPr>
            <w:r w:rsidRPr="001513F9">
              <w:rPr>
                <w:rFonts w:ascii="Times New Roman" w:hAnsi="Times New Roman" w:cs="Times New Roman"/>
                <w:sz w:val="22"/>
                <w:lang w:val="el-GR" w:eastAsia="fr-FR"/>
              </w:rPr>
              <w:t xml:space="preserve">- </w:t>
            </w:r>
            <w:proofErr w:type="spellStart"/>
            <w:r w:rsidR="00A33963" w:rsidRPr="001513F9">
              <w:rPr>
                <w:rFonts w:ascii="Times New Roman" w:hAnsi="Times New Roman" w:cs="Times New Roman"/>
                <w:sz w:val="22"/>
                <w:szCs w:val="22"/>
              </w:rPr>
              <w:t>Υπ</w:t>
            </w:r>
            <w:proofErr w:type="spellEnd"/>
            <w:r w:rsidR="00F10597" w:rsidRPr="001513F9">
              <w:rPr>
                <w:rFonts w:ascii="Times New Roman" w:hAnsi="Times New Roman" w:cs="Times New Roman"/>
                <w:sz w:val="22"/>
                <w:szCs w:val="22"/>
                <w:lang w:val="el-GR"/>
              </w:rPr>
              <w:t>Υπερνατριαιμία</w:t>
            </w:r>
          </w:p>
        </w:tc>
        <w:tc>
          <w:tcPr>
            <w:tcW w:w="2064"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rPr>
                <w:b/>
                <w:bCs/>
                <w:szCs w:val="16"/>
              </w:rPr>
              <w:t xml:space="preserve">- </w:t>
            </w:r>
            <w:r w:rsidRPr="001513F9">
              <w:rPr>
                <w:bCs/>
                <w:szCs w:val="16"/>
              </w:rPr>
              <w:t>Αφυδάτωση</w:t>
            </w:r>
            <w:r w:rsidRPr="001513F9">
              <w:rPr>
                <w:szCs w:val="16"/>
              </w:rPr>
              <w:t> </w:t>
            </w:r>
          </w:p>
        </w:tc>
        <w:tc>
          <w:tcPr>
            <w:tcW w:w="1642"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rPr>
                <w:bCs/>
                <w:szCs w:val="16"/>
              </w:rPr>
              <w:t>- Μεταβολική οξέωση</w:t>
            </w:r>
            <w:r w:rsidRPr="001513F9">
              <w:rPr>
                <w:szCs w:val="16"/>
              </w:rPr>
              <w:t> </w:t>
            </w:r>
          </w:p>
        </w:tc>
        <w:tc>
          <w:tcPr>
            <w:tcW w:w="1967"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r>
      <w:tr w:rsidR="00A33963" w:rsidRPr="001513F9" w:rsidTr="007364F9">
        <w:tc>
          <w:tcPr>
            <w:tcW w:w="1856" w:type="dxa"/>
          </w:tcPr>
          <w:p w:rsidR="007364F9" w:rsidRPr="001513F9" w:rsidRDefault="007364F9" w:rsidP="007364F9">
            <w:r w:rsidRPr="001513F9">
              <w:rPr>
                <w:b/>
                <w:bCs/>
                <w:szCs w:val="16"/>
              </w:rPr>
              <w:t>Λοιμώξεις και παρασιτώσεις</w:t>
            </w:r>
            <w:r w:rsidRPr="001513F9">
              <w:rPr>
                <w:b/>
                <w:bCs/>
              </w:rPr>
              <w:t>*</w:t>
            </w:r>
          </w:p>
        </w:tc>
        <w:tc>
          <w:tcPr>
            <w:tcW w:w="1935" w:type="dxa"/>
          </w:tcPr>
          <w:p w:rsidR="007364F9" w:rsidRPr="001513F9" w:rsidRDefault="007364F9" w:rsidP="007364F9">
            <w:r w:rsidRPr="001513F9">
              <w:rPr>
                <w:b/>
                <w:bCs/>
                <w:szCs w:val="16"/>
              </w:rPr>
              <w:t xml:space="preserve">- </w:t>
            </w:r>
            <w:r w:rsidRPr="001513F9">
              <w:rPr>
                <w:bCs/>
                <w:szCs w:val="16"/>
              </w:rPr>
              <w:t>Λοίμωξη</w:t>
            </w:r>
          </w:p>
        </w:tc>
        <w:tc>
          <w:tcPr>
            <w:tcW w:w="2064" w:type="dxa"/>
          </w:tcPr>
          <w:p w:rsidR="007364F9" w:rsidRPr="001513F9" w:rsidRDefault="007364F9" w:rsidP="007364F9">
            <w:pPr>
              <w:ind w:left="-57"/>
            </w:pPr>
            <w:r w:rsidRPr="001513F9">
              <w:t>- Ρινίτιδα</w:t>
            </w:r>
          </w:p>
          <w:p w:rsidR="007364F9" w:rsidRPr="001513F9" w:rsidRDefault="007364F9" w:rsidP="007364F9">
            <w:pPr>
              <w:ind w:left="-57"/>
              <w:rPr>
                <w:szCs w:val="22"/>
              </w:rPr>
            </w:pPr>
            <w:r w:rsidRPr="001513F9">
              <w:t xml:space="preserve">- Λοίμωξη του ανώτερου αναπνευστικού </w:t>
            </w:r>
          </w:p>
          <w:p w:rsidR="007364F9" w:rsidRPr="001513F9" w:rsidRDefault="007364F9" w:rsidP="007364F9">
            <w:pPr>
              <w:ind w:left="-57"/>
              <w:rPr>
                <w:szCs w:val="22"/>
              </w:rPr>
            </w:pPr>
            <w:r w:rsidRPr="001513F9">
              <w:rPr>
                <w:szCs w:val="22"/>
              </w:rPr>
              <w:t xml:space="preserve">- Ουδετεροπενική σήψη </w:t>
            </w:r>
          </w:p>
        </w:tc>
        <w:tc>
          <w:tcPr>
            <w:tcW w:w="1642" w:type="dxa"/>
          </w:tcPr>
          <w:p w:rsidR="007364F9" w:rsidRPr="001513F9" w:rsidRDefault="007364F9" w:rsidP="007364F9"/>
        </w:tc>
        <w:tc>
          <w:tcPr>
            <w:tcW w:w="1967" w:type="dxa"/>
          </w:tcPr>
          <w:p w:rsidR="007364F9" w:rsidRPr="001513F9" w:rsidRDefault="007364F9" w:rsidP="007364F9"/>
        </w:tc>
      </w:tr>
      <w:tr w:rsidR="00A33963" w:rsidRPr="001513F9" w:rsidTr="007364F9">
        <w:tc>
          <w:tcPr>
            <w:tcW w:w="1856"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rPr>
            </w:pPr>
            <w:r w:rsidRPr="001513F9">
              <w:rPr>
                <w:b/>
                <w:bCs/>
              </w:rPr>
              <w:t>Αγγειακές διαταραχές</w:t>
            </w:r>
          </w:p>
        </w:tc>
        <w:tc>
          <w:tcPr>
            <w:tcW w:w="1935"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c>
          <w:tcPr>
            <w:tcW w:w="2064"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szCs w:val="16"/>
              </w:rPr>
            </w:pPr>
            <w:r w:rsidRPr="001513F9">
              <w:t>- Αιμορραγία</w:t>
            </w:r>
            <w:r w:rsidRPr="001513F9">
              <w:br/>
              <w:t>- Έξαψη</w:t>
            </w:r>
            <w:r w:rsidRPr="001513F9">
              <w:br/>
              <w:t>- Εν τω βάθει φλεβική θρόμβωση</w:t>
            </w:r>
            <w:r w:rsidRPr="001513F9">
              <w:br/>
            </w:r>
            <w:r w:rsidRPr="001513F9">
              <w:rPr>
                <w:szCs w:val="16"/>
              </w:rPr>
              <w:t>- Υπέρταση</w:t>
            </w:r>
          </w:p>
        </w:tc>
        <w:tc>
          <w:tcPr>
            <w:tcW w:w="1642"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p>
        </w:tc>
        <w:tc>
          <w:tcPr>
            <w:tcW w:w="1967"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p>
        </w:tc>
      </w:tr>
      <w:tr w:rsidR="00A33963" w:rsidRPr="001513F9" w:rsidTr="007364F9">
        <w:tc>
          <w:tcPr>
            <w:tcW w:w="1856" w:type="dxa"/>
          </w:tcPr>
          <w:p w:rsidR="007364F9" w:rsidRPr="001513F9" w:rsidRDefault="007364F9" w:rsidP="007364F9">
            <w:pPr>
              <w:rPr>
                <w:b/>
                <w:bCs/>
              </w:rPr>
            </w:pPr>
            <w:r w:rsidRPr="001513F9">
              <w:rPr>
                <w:b/>
                <w:bCs/>
              </w:rPr>
              <w:t xml:space="preserve">Γενικές διαταραχές και καταστάσεις της οδού χορήγησης </w:t>
            </w:r>
          </w:p>
        </w:tc>
        <w:tc>
          <w:tcPr>
            <w:tcW w:w="1935" w:type="dxa"/>
          </w:tcPr>
          <w:p w:rsidR="007364F9" w:rsidRPr="001513F9" w:rsidRDefault="007364F9" w:rsidP="007364F9">
            <w:pPr>
              <w:rPr>
                <w:b/>
                <w:bCs/>
              </w:rPr>
            </w:pPr>
            <w:r w:rsidRPr="001513F9">
              <w:rPr>
                <w:bCs/>
                <w:szCs w:val="16"/>
              </w:rPr>
              <w:t>- Κόπωση</w:t>
            </w:r>
            <w:r w:rsidRPr="001513F9">
              <w:rPr>
                <w:bCs/>
                <w:szCs w:val="16"/>
              </w:rPr>
              <w:br/>
              <w:t>- Πυρετός++</w:t>
            </w:r>
            <w:r w:rsidRPr="001513F9">
              <w:rPr>
                <w:bCs/>
                <w:szCs w:val="16"/>
              </w:rPr>
              <w:br/>
              <w:t>- Εξασθένιση</w:t>
            </w:r>
            <w:r w:rsidRPr="001513F9">
              <w:rPr>
                <w:bCs/>
                <w:szCs w:val="16"/>
              </w:rPr>
              <w:br/>
              <w:t>- Άλγος</w:t>
            </w:r>
            <w:r w:rsidRPr="001513F9">
              <w:rPr>
                <w:bCs/>
                <w:szCs w:val="16"/>
              </w:rPr>
              <w:br/>
              <w:t xml:space="preserve">- Αντίδραση </w:t>
            </w:r>
            <w:r w:rsidR="00781DCF" w:rsidRPr="001513F9">
              <w:rPr>
                <w:bCs/>
                <w:szCs w:val="16"/>
              </w:rPr>
              <w:t>σ</w:t>
            </w:r>
            <w:r w:rsidRPr="001513F9">
              <w:rPr>
                <w:bCs/>
                <w:szCs w:val="16"/>
              </w:rPr>
              <w:t>τη</w:t>
            </w:r>
            <w:r w:rsidR="00781DCF" w:rsidRPr="001513F9">
              <w:rPr>
                <w:bCs/>
                <w:szCs w:val="16"/>
              </w:rPr>
              <w:t>ν</w:t>
            </w:r>
            <w:r w:rsidRPr="001513F9">
              <w:rPr>
                <w:bCs/>
                <w:szCs w:val="16"/>
              </w:rPr>
              <w:t xml:space="preserve"> θέση ένεσης+++</w:t>
            </w:r>
          </w:p>
        </w:tc>
        <w:tc>
          <w:tcPr>
            <w:tcW w:w="2064" w:type="dxa"/>
          </w:tcPr>
          <w:p w:rsidR="007364F9" w:rsidRPr="001513F9" w:rsidRDefault="007364F9" w:rsidP="007364F9">
            <w:pPr>
              <w:rPr>
                <w:b/>
                <w:bCs/>
                <w:szCs w:val="16"/>
              </w:rPr>
            </w:pPr>
          </w:p>
        </w:tc>
        <w:tc>
          <w:tcPr>
            <w:tcW w:w="1642" w:type="dxa"/>
          </w:tcPr>
          <w:p w:rsidR="007364F9" w:rsidRPr="001513F9" w:rsidRDefault="007364F9" w:rsidP="007364F9">
            <w:pPr>
              <w:rPr>
                <w:b/>
                <w:bCs/>
                <w:szCs w:val="16"/>
              </w:rPr>
            </w:pPr>
          </w:p>
        </w:tc>
        <w:tc>
          <w:tcPr>
            <w:tcW w:w="1967" w:type="dxa"/>
          </w:tcPr>
          <w:p w:rsidR="007364F9" w:rsidRPr="001513F9" w:rsidRDefault="007364F9" w:rsidP="007364F9">
            <w:pPr>
              <w:rPr>
                <w:b/>
                <w:bCs/>
                <w:szCs w:val="16"/>
              </w:rPr>
            </w:pPr>
          </w:p>
        </w:tc>
      </w:tr>
      <w:tr w:rsidR="00A33963" w:rsidRPr="001513F9" w:rsidTr="007364F9">
        <w:tc>
          <w:tcPr>
            <w:tcW w:w="1856"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rPr>
                <w:b/>
                <w:bCs/>
              </w:rPr>
              <w:t>Διαταραχές του ανοσοποιητικού συστήματος*</w:t>
            </w:r>
          </w:p>
        </w:tc>
        <w:tc>
          <w:tcPr>
            <w:tcW w:w="1935" w:type="dxa"/>
            <w:tcBorders>
              <w:top w:val="single" w:sz="4" w:space="0" w:color="auto"/>
              <w:left w:val="single" w:sz="4" w:space="0" w:color="auto"/>
              <w:bottom w:val="single" w:sz="4" w:space="0" w:color="auto"/>
              <w:right w:val="single" w:sz="4" w:space="0" w:color="auto"/>
            </w:tcBorders>
          </w:tcPr>
          <w:p w:rsidR="007364F9" w:rsidRPr="001513F9" w:rsidRDefault="007364F9" w:rsidP="007364F9">
            <w:r w:rsidRPr="001513F9">
              <w:rPr>
                <w:b/>
                <w:bCs/>
                <w:szCs w:val="16"/>
              </w:rPr>
              <w:t xml:space="preserve">- </w:t>
            </w:r>
            <w:r w:rsidRPr="001513F9">
              <w:rPr>
                <w:bCs/>
                <w:szCs w:val="16"/>
              </w:rPr>
              <w:t>Αλλεργία/ αλλεργική αντίδραση</w:t>
            </w:r>
            <w:r w:rsidRPr="001513F9">
              <w:t>+</w:t>
            </w:r>
          </w:p>
        </w:tc>
        <w:tc>
          <w:tcPr>
            <w:tcW w:w="2064"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c>
          <w:tcPr>
            <w:tcW w:w="1642"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c>
          <w:tcPr>
            <w:tcW w:w="1967"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r>
      <w:tr w:rsidR="00A33963" w:rsidRPr="001513F9" w:rsidTr="007364F9">
        <w:tc>
          <w:tcPr>
            <w:tcW w:w="1856"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rPr>
            </w:pPr>
            <w:r w:rsidRPr="001513F9">
              <w:rPr>
                <w:b/>
                <w:bCs/>
                <w:szCs w:val="16"/>
              </w:rPr>
              <w:t>Ψυχιατρικές διαταραχές </w:t>
            </w:r>
          </w:p>
        </w:tc>
        <w:tc>
          <w:tcPr>
            <w:tcW w:w="1935"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pStyle w:val="Sprechblasentext"/>
              <w:overflowPunct w:val="0"/>
              <w:autoSpaceDE w:val="0"/>
              <w:autoSpaceDN w:val="0"/>
              <w:adjustRightInd w:val="0"/>
              <w:textAlignment w:val="baseline"/>
              <w:rPr>
                <w:rFonts w:ascii="Times New Roman" w:hAnsi="Times New Roman" w:cs="Times New Roman"/>
                <w:sz w:val="22"/>
                <w:szCs w:val="20"/>
                <w:lang w:val="el-GR" w:eastAsia="fr-FR"/>
              </w:rPr>
            </w:pPr>
          </w:p>
        </w:tc>
        <w:tc>
          <w:tcPr>
            <w:tcW w:w="2064"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szCs w:val="16"/>
              </w:rPr>
            </w:pPr>
            <w:r w:rsidRPr="001513F9">
              <w:rPr>
                <w:szCs w:val="16"/>
              </w:rPr>
              <w:t>- Κατάθλιψη </w:t>
            </w:r>
            <w:r w:rsidRPr="001513F9">
              <w:rPr>
                <w:szCs w:val="16"/>
              </w:rPr>
              <w:br/>
              <w:t>- Αϋπν</w:t>
            </w:r>
            <w:r w:rsidR="00DB7490" w:rsidRPr="001513F9">
              <w:rPr>
                <w:szCs w:val="16"/>
              </w:rPr>
              <w:t>ί</w:t>
            </w:r>
            <w:r w:rsidRPr="001513F9">
              <w:rPr>
                <w:szCs w:val="16"/>
              </w:rPr>
              <w:t>α </w:t>
            </w:r>
          </w:p>
        </w:tc>
        <w:tc>
          <w:tcPr>
            <w:tcW w:w="1642" w:type="dxa"/>
            <w:tcBorders>
              <w:top w:val="single" w:sz="4" w:space="0" w:color="auto"/>
              <w:left w:val="single" w:sz="4" w:space="0" w:color="auto"/>
              <w:bottom w:val="single" w:sz="4" w:space="0" w:color="auto"/>
              <w:right w:val="single" w:sz="4" w:space="0" w:color="auto"/>
            </w:tcBorders>
          </w:tcPr>
          <w:p w:rsidR="007364F9" w:rsidRPr="001513F9" w:rsidRDefault="007364F9" w:rsidP="007364F9">
            <w:pPr>
              <w:rPr>
                <w:b/>
                <w:bCs/>
                <w:szCs w:val="16"/>
              </w:rPr>
            </w:pPr>
            <w:r w:rsidRPr="001513F9">
              <w:rPr>
                <w:b/>
                <w:bCs/>
                <w:szCs w:val="16"/>
              </w:rPr>
              <w:t xml:space="preserve">- </w:t>
            </w:r>
            <w:r w:rsidRPr="001513F9">
              <w:rPr>
                <w:bCs/>
                <w:szCs w:val="16"/>
              </w:rPr>
              <w:t>Νευρικότητα</w:t>
            </w:r>
            <w:r w:rsidRPr="001513F9">
              <w:rPr>
                <w:szCs w:val="16"/>
              </w:rPr>
              <w:t> </w:t>
            </w:r>
          </w:p>
        </w:tc>
        <w:tc>
          <w:tcPr>
            <w:tcW w:w="1967" w:type="dxa"/>
            <w:tcBorders>
              <w:top w:val="single" w:sz="4" w:space="0" w:color="auto"/>
              <w:left w:val="single" w:sz="4" w:space="0" w:color="auto"/>
              <w:bottom w:val="single" w:sz="4" w:space="0" w:color="auto"/>
              <w:right w:val="single" w:sz="4" w:space="0" w:color="auto"/>
            </w:tcBorders>
          </w:tcPr>
          <w:p w:rsidR="007364F9" w:rsidRPr="001513F9" w:rsidRDefault="007364F9" w:rsidP="007364F9"/>
        </w:tc>
      </w:tr>
    </w:tbl>
    <w:p w:rsidR="007364F9" w:rsidRPr="001513F9" w:rsidRDefault="007364F9" w:rsidP="007364F9">
      <w:pPr>
        <w:tabs>
          <w:tab w:val="left" w:pos="426"/>
          <w:tab w:val="left" w:pos="993"/>
          <w:tab w:val="left" w:pos="1276"/>
        </w:tabs>
        <w:rPr>
          <w:sz w:val="20"/>
        </w:rPr>
      </w:pPr>
      <w:r w:rsidRPr="001513F9">
        <w:rPr>
          <w:sz w:val="20"/>
        </w:rPr>
        <w:t>*</w:t>
      </w:r>
      <w:r w:rsidRPr="001513F9">
        <w:rPr>
          <w:sz w:val="20"/>
        </w:rPr>
        <w:tab/>
        <w:t xml:space="preserve">Βλέπε λεπτομερή περιγραφή στην παρακάτω </w:t>
      </w:r>
      <w:r w:rsidR="00DB7490" w:rsidRPr="001513F9">
        <w:rPr>
          <w:sz w:val="20"/>
        </w:rPr>
        <w:t>παράγραφο</w:t>
      </w:r>
      <w:r w:rsidR="00304C60" w:rsidRPr="001513F9">
        <w:rPr>
          <w:sz w:val="20"/>
        </w:rPr>
        <w:t>.</w:t>
      </w:r>
    </w:p>
    <w:p w:rsidR="007364F9" w:rsidRPr="001513F9" w:rsidRDefault="007364F9" w:rsidP="007364F9">
      <w:pPr>
        <w:tabs>
          <w:tab w:val="left" w:pos="426"/>
          <w:tab w:val="left" w:pos="993"/>
          <w:tab w:val="left" w:pos="1276"/>
        </w:tabs>
        <w:rPr>
          <w:sz w:val="20"/>
        </w:rPr>
      </w:pPr>
      <w:r w:rsidRPr="001513F9">
        <w:rPr>
          <w:sz w:val="20"/>
        </w:rPr>
        <w:lastRenderedPageBreak/>
        <w:t>**</w:t>
      </w:r>
      <w:r w:rsidRPr="001513F9">
        <w:rPr>
          <w:sz w:val="20"/>
        </w:rPr>
        <w:tab/>
        <w:t xml:space="preserve">Βλέπε </w:t>
      </w:r>
      <w:r w:rsidR="008B6627" w:rsidRPr="001513F9">
        <w:rPr>
          <w:sz w:val="20"/>
        </w:rPr>
        <w:t>παράγραφο</w:t>
      </w:r>
      <w:r w:rsidRPr="001513F9">
        <w:rPr>
          <w:sz w:val="20"/>
        </w:rPr>
        <w:t xml:space="preserve"> 4.4.</w:t>
      </w:r>
    </w:p>
    <w:p w:rsidR="00DB7490" w:rsidRPr="001513F9" w:rsidRDefault="007364F9" w:rsidP="007364F9">
      <w:pPr>
        <w:ind w:left="426" w:hanging="426"/>
        <w:rPr>
          <w:iCs/>
          <w:sz w:val="20"/>
        </w:rPr>
      </w:pPr>
      <w:r w:rsidRPr="001513F9">
        <w:rPr>
          <w:iCs/>
          <w:sz w:val="20"/>
        </w:rPr>
        <w:t>+</w:t>
      </w:r>
      <w:r w:rsidRPr="001513F9">
        <w:rPr>
          <w:iCs/>
          <w:sz w:val="20"/>
        </w:rPr>
        <w:tab/>
      </w:r>
      <w:r w:rsidR="00DB7490" w:rsidRPr="001513F9">
        <w:rPr>
          <w:iCs/>
          <w:sz w:val="20"/>
        </w:rPr>
        <w:t>Πολύ σ</w:t>
      </w:r>
      <w:r w:rsidRPr="001513F9">
        <w:rPr>
          <w:iCs/>
          <w:sz w:val="20"/>
        </w:rPr>
        <w:t xml:space="preserve">υχνές </w:t>
      </w:r>
      <w:r w:rsidR="00DB7490" w:rsidRPr="001513F9">
        <w:rPr>
          <w:iCs/>
          <w:sz w:val="20"/>
        </w:rPr>
        <w:t>αλλεργίες/</w:t>
      </w:r>
      <w:r w:rsidRPr="001513F9">
        <w:rPr>
          <w:iCs/>
          <w:sz w:val="20"/>
        </w:rPr>
        <w:t xml:space="preserve">αλλεργικές αντιδράσεις, </w:t>
      </w:r>
      <w:r w:rsidR="00DB7490" w:rsidRPr="001513F9">
        <w:rPr>
          <w:iCs/>
          <w:sz w:val="20"/>
        </w:rPr>
        <w:t>που εμφανίζονται κυρίως κατά τη διάρκεια της έγχυσης, ορισμένες φορές θανατηφόρες.</w:t>
      </w:r>
    </w:p>
    <w:p w:rsidR="007364F9" w:rsidRPr="001513F9" w:rsidRDefault="00DB7490" w:rsidP="00DB7490">
      <w:pPr>
        <w:ind w:left="426"/>
        <w:rPr>
          <w:iCs/>
          <w:sz w:val="20"/>
        </w:rPr>
      </w:pPr>
      <w:r w:rsidRPr="001513F9">
        <w:rPr>
          <w:iCs/>
          <w:sz w:val="20"/>
        </w:rPr>
        <w:t xml:space="preserve">Συχνές αλλεργικές αντιδράσεις περιλαμβάνουν </w:t>
      </w:r>
      <w:r w:rsidR="007364F9" w:rsidRPr="001513F9">
        <w:rPr>
          <w:iCs/>
          <w:sz w:val="20"/>
        </w:rPr>
        <w:t>δερματικό εξάνθημα</w:t>
      </w:r>
      <w:r w:rsidRPr="001513F9">
        <w:rPr>
          <w:iCs/>
          <w:sz w:val="20"/>
        </w:rPr>
        <w:t>,</w:t>
      </w:r>
      <w:r w:rsidR="00CF2967" w:rsidRPr="00CF2967">
        <w:rPr>
          <w:iCs/>
          <w:sz w:val="20"/>
        </w:rPr>
        <w:t xml:space="preserve"> </w:t>
      </w:r>
      <w:r w:rsidR="007364F9" w:rsidRPr="001513F9">
        <w:rPr>
          <w:iCs/>
          <w:sz w:val="20"/>
        </w:rPr>
        <w:t>(ιδιαίτερα κνίδωση, επιπεφυκίτιδα</w:t>
      </w:r>
      <w:r w:rsidRPr="001513F9">
        <w:rPr>
          <w:iCs/>
          <w:sz w:val="20"/>
        </w:rPr>
        <w:t xml:space="preserve"> και</w:t>
      </w:r>
      <w:r w:rsidR="007364F9" w:rsidRPr="001513F9">
        <w:rPr>
          <w:iCs/>
          <w:sz w:val="20"/>
        </w:rPr>
        <w:t xml:space="preserve"> ρινίτιδα.</w:t>
      </w:r>
      <w:r w:rsidRPr="001513F9">
        <w:rPr>
          <w:iCs/>
          <w:sz w:val="20"/>
        </w:rPr>
        <w:t xml:space="preserve"> </w:t>
      </w:r>
      <w:r w:rsidR="007364F9" w:rsidRPr="001513F9">
        <w:rPr>
          <w:iCs/>
          <w:sz w:val="20"/>
        </w:rPr>
        <w:t xml:space="preserve">Συχνές αναφυλακτικές </w:t>
      </w:r>
      <w:r w:rsidRPr="001513F9">
        <w:rPr>
          <w:iCs/>
          <w:sz w:val="20"/>
        </w:rPr>
        <w:t>ή αναφυλακτ</w:t>
      </w:r>
      <w:r w:rsidR="00F10597" w:rsidRPr="001513F9">
        <w:rPr>
          <w:iCs/>
          <w:sz w:val="20"/>
        </w:rPr>
        <w:t>οειδούς</w:t>
      </w:r>
      <w:r w:rsidRPr="001513F9">
        <w:rPr>
          <w:iCs/>
          <w:sz w:val="20"/>
        </w:rPr>
        <w:t xml:space="preserve"> τύπου αντιδράσεις</w:t>
      </w:r>
      <w:r w:rsidR="007364F9" w:rsidRPr="001513F9">
        <w:rPr>
          <w:iCs/>
          <w:sz w:val="20"/>
        </w:rPr>
        <w:t xml:space="preserve">, </w:t>
      </w:r>
      <w:r w:rsidRPr="001513F9">
        <w:rPr>
          <w:iCs/>
          <w:sz w:val="20"/>
        </w:rPr>
        <w:t>περιλαμβάνουν το</w:t>
      </w:r>
      <w:r w:rsidR="007364F9" w:rsidRPr="001513F9">
        <w:rPr>
          <w:iCs/>
          <w:sz w:val="20"/>
        </w:rPr>
        <w:t xml:space="preserve"> βρογχόσπασμο,</w:t>
      </w:r>
      <w:r w:rsidR="007364F9" w:rsidRPr="001513F9">
        <w:rPr>
          <w:bCs/>
          <w:sz w:val="20"/>
        </w:rPr>
        <w:t xml:space="preserve"> </w:t>
      </w:r>
      <w:r w:rsidR="007364F9" w:rsidRPr="001513F9">
        <w:rPr>
          <w:iCs/>
          <w:sz w:val="20"/>
        </w:rPr>
        <w:t>αγγειοο</w:t>
      </w:r>
      <w:r w:rsidR="008B6627" w:rsidRPr="001513F9">
        <w:rPr>
          <w:iCs/>
          <w:sz w:val="20"/>
        </w:rPr>
        <w:t>ίδημα</w:t>
      </w:r>
      <w:r w:rsidR="007364F9" w:rsidRPr="001513F9">
        <w:rPr>
          <w:iCs/>
          <w:sz w:val="20"/>
        </w:rPr>
        <w:t>, υπόταση</w:t>
      </w:r>
      <w:r w:rsidRPr="001513F9">
        <w:rPr>
          <w:iCs/>
          <w:sz w:val="20"/>
        </w:rPr>
        <w:t>,</w:t>
      </w:r>
      <w:r w:rsidR="007364F9" w:rsidRPr="001513F9">
        <w:rPr>
          <w:iCs/>
          <w:sz w:val="20"/>
        </w:rPr>
        <w:t xml:space="preserve"> </w:t>
      </w:r>
      <w:r w:rsidRPr="001513F9">
        <w:rPr>
          <w:bCs/>
          <w:sz w:val="20"/>
        </w:rPr>
        <w:t>αίσθημα θωρακικού άλγους</w:t>
      </w:r>
      <w:r w:rsidRPr="001513F9">
        <w:rPr>
          <w:iCs/>
          <w:sz w:val="20"/>
        </w:rPr>
        <w:t xml:space="preserve"> </w:t>
      </w:r>
      <w:r w:rsidR="007364F9" w:rsidRPr="001513F9">
        <w:rPr>
          <w:iCs/>
          <w:sz w:val="20"/>
        </w:rPr>
        <w:t>και αναφυλακτικ</w:t>
      </w:r>
      <w:r w:rsidRPr="001513F9">
        <w:rPr>
          <w:iCs/>
          <w:sz w:val="20"/>
        </w:rPr>
        <w:t>ή καταπληξία</w:t>
      </w:r>
      <w:r w:rsidR="007364F9" w:rsidRPr="001513F9">
        <w:rPr>
          <w:iCs/>
          <w:sz w:val="20"/>
        </w:rPr>
        <w:t>.</w:t>
      </w:r>
    </w:p>
    <w:p w:rsidR="007364F9" w:rsidRPr="001513F9" w:rsidRDefault="007364F9" w:rsidP="007364F9">
      <w:pPr>
        <w:ind w:left="426" w:hanging="426"/>
        <w:rPr>
          <w:iCs/>
          <w:sz w:val="20"/>
        </w:rPr>
      </w:pPr>
      <w:r w:rsidRPr="001513F9">
        <w:rPr>
          <w:iCs/>
          <w:sz w:val="20"/>
        </w:rPr>
        <w:t>++</w:t>
      </w:r>
      <w:r w:rsidRPr="001513F9">
        <w:rPr>
          <w:iCs/>
          <w:sz w:val="20"/>
        </w:rPr>
        <w:tab/>
        <w:t>Πολύ συχνές: πυρετός, ρίγη (τρόμος), είτε λοιμώδους αιτιολογίας (συνοδευόμενος ή όχι από εμπύρετη ουδετεροπενία) είτε πιθανώς που οφείλεται σε ανοσολογικό μηχανισμό.</w:t>
      </w:r>
    </w:p>
    <w:p w:rsidR="007364F9" w:rsidRPr="001513F9" w:rsidRDefault="007364F9" w:rsidP="008B6627">
      <w:pPr>
        <w:ind w:left="360" w:hanging="360"/>
        <w:rPr>
          <w:i/>
          <w:u w:val="single"/>
        </w:rPr>
      </w:pPr>
      <w:r w:rsidRPr="001513F9">
        <w:rPr>
          <w:iCs/>
          <w:sz w:val="20"/>
        </w:rPr>
        <w:t>++</w:t>
      </w:r>
      <w:r w:rsidR="008B6627" w:rsidRPr="001513F9">
        <w:rPr>
          <w:sz w:val="20"/>
        </w:rPr>
        <w:t xml:space="preserve">+ </w:t>
      </w:r>
      <w:r w:rsidRPr="001513F9">
        <w:rPr>
          <w:sz w:val="20"/>
        </w:rPr>
        <w:t xml:space="preserve">Αντιδράσεις στη θέση ένεσης περιλαμβανομένων του τοπικού άλγους, </w:t>
      </w:r>
      <w:r w:rsidR="00A057E6" w:rsidRPr="001513F9">
        <w:rPr>
          <w:sz w:val="20"/>
        </w:rPr>
        <w:t xml:space="preserve">της </w:t>
      </w:r>
      <w:r w:rsidRPr="001513F9">
        <w:rPr>
          <w:sz w:val="20"/>
        </w:rPr>
        <w:t xml:space="preserve">ερυθρότητας, </w:t>
      </w:r>
      <w:r w:rsidR="00A057E6" w:rsidRPr="001513F9">
        <w:rPr>
          <w:sz w:val="20"/>
        </w:rPr>
        <w:t xml:space="preserve">του </w:t>
      </w:r>
      <w:r w:rsidRPr="001513F9">
        <w:rPr>
          <w:sz w:val="20"/>
        </w:rPr>
        <w:t xml:space="preserve">οιδήματος και </w:t>
      </w:r>
      <w:r w:rsidR="00A057E6" w:rsidRPr="001513F9">
        <w:rPr>
          <w:sz w:val="20"/>
        </w:rPr>
        <w:t xml:space="preserve">της </w:t>
      </w:r>
      <w:r w:rsidRPr="001513F9">
        <w:rPr>
          <w:sz w:val="20"/>
        </w:rPr>
        <w:t>θρόμβωσης έχουν αναφερθεί. Η εξαγγείωση ενδέχεται επίσης να προκαλέσει τοπικό άλγος και φλεγμονή που μπορεί να είναι σοβαρά και να οδηγήσουν στην εμφάνιση επιπλοκών, συμπεριλαμβανομένης της νέκρωσης, ιδιαίτερα όταν η οξαλιπλατίνη εγχέεται σε περιφερική φλέβα (βλ. παράγραφο 4.4).</w:t>
      </w:r>
      <w:r w:rsidRPr="001513F9">
        <w:rPr>
          <w:i/>
          <w:u w:val="single"/>
        </w:rPr>
        <w:t xml:space="preserve"> </w:t>
      </w:r>
    </w:p>
    <w:p w:rsidR="007364F9" w:rsidRPr="00C06019" w:rsidRDefault="007364F9" w:rsidP="007364F9">
      <w:pPr>
        <w:rPr>
          <w:strike/>
          <w:u w:val="single"/>
        </w:rPr>
      </w:pPr>
    </w:p>
    <w:p w:rsidR="007364F9" w:rsidRPr="00DF7BC6" w:rsidRDefault="007364F9" w:rsidP="007364F9">
      <w:pPr>
        <w:rPr>
          <w:iCs/>
        </w:rPr>
      </w:pPr>
      <w:r w:rsidRPr="000B008B">
        <w:rPr>
          <w:b/>
          <w:u w:val="single"/>
        </w:rPr>
        <w:t>Διαταραχές του αιμοποιητικού και του λεμφικού συστήματο</w:t>
      </w:r>
      <w:r w:rsidRPr="009530F7">
        <w:rPr>
          <w:u w:val="single"/>
        </w:rPr>
        <w:t>ς</w:t>
      </w:r>
    </w:p>
    <w:p w:rsidR="007364F9" w:rsidRPr="001513F9" w:rsidRDefault="007364F9" w:rsidP="007364F9">
      <w:pPr>
        <w:pStyle w:val="Table"/>
        <w:overflowPunct/>
        <w:autoSpaceDE/>
        <w:adjustRightInd/>
        <w:spacing w:before="0"/>
        <w:rPr>
          <w:rFonts w:ascii="Times New Roman" w:hAnsi="Times New Roman"/>
          <w:b/>
          <w:bCs/>
          <w:lang w:val="el-GR"/>
        </w:rPr>
      </w:pPr>
    </w:p>
    <w:p w:rsidR="007364F9" w:rsidRPr="001513F9" w:rsidRDefault="007364F9" w:rsidP="007364F9">
      <w:pPr>
        <w:jc w:val="center"/>
        <w:rPr>
          <w:b/>
          <w:bCs/>
        </w:rPr>
      </w:pPr>
      <w:r w:rsidRPr="001513F9">
        <w:rPr>
          <w:b/>
          <w:bCs/>
        </w:rPr>
        <w:t xml:space="preserve">Συχνότητα εμφάνισης ανά ασθενή (%) και ανά </w:t>
      </w:r>
      <w:r w:rsidR="00F10597" w:rsidRPr="001513F9">
        <w:rPr>
          <w:b/>
          <w:bCs/>
        </w:rPr>
        <w:t>Βαθμ</w:t>
      </w:r>
      <w:r w:rsidRPr="001513F9">
        <w:rPr>
          <w:b/>
          <w:bCs/>
        </w:rPr>
        <w:t>ό</w:t>
      </w:r>
    </w:p>
    <w:tbl>
      <w:tblPr>
        <w:tblpPr w:leftFromText="180" w:rightFromText="180" w:vertAnchor="text" w:horzAnchor="margin" w:tblpXSpec="center" w:tblpY="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950"/>
        <w:gridCol w:w="851"/>
        <w:gridCol w:w="992"/>
        <w:gridCol w:w="992"/>
        <w:gridCol w:w="851"/>
        <w:gridCol w:w="992"/>
        <w:gridCol w:w="992"/>
      </w:tblGrid>
      <w:tr w:rsidR="007364F9" w:rsidRPr="001513F9" w:rsidTr="007364F9">
        <w:trPr>
          <w:cantSplit/>
          <w:trHeight w:val="540"/>
        </w:trPr>
        <w:tc>
          <w:tcPr>
            <w:tcW w:w="1950" w:type="dxa"/>
            <w:tcBorders>
              <w:top w:val="single" w:sz="6" w:space="0" w:color="auto"/>
              <w:left w:val="single" w:sz="6" w:space="0" w:color="auto"/>
              <w:bottom w:val="nil"/>
              <w:right w:val="single" w:sz="6" w:space="0" w:color="auto"/>
            </w:tcBorders>
            <w:shd w:val="clear" w:color="auto" w:fill="auto"/>
          </w:tcPr>
          <w:p w:rsidR="007364F9" w:rsidRPr="001513F9" w:rsidRDefault="007364F9" w:rsidP="007364F9">
            <w:pPr>
              <w:rPr>
                <w:b/>
                <w:lang w:val="it-IT"/>
              </w:rPr>
            </w:pPr>
            <w:r w:rsidRPr="001513F9">
              <w:rPr>
                <w:b/>
              </w:rPr>
              <w:t>Οξαλιπλατίνη</w:t>
            </w:r>
            <w:r w:rsidRPr="001513F9">
              <w:rPr>
                <w:b/>
                <w:lang w:val="it-IT"/>
              </w:rPr>
              <w:t>/</w:t>
            </w:r>
          </w:p>
          <w:p w:rsidR="007364F9" w:rsidRPr="001513F9" w:rsidRDefault="00767322" w:rsidP="007364F9">
            <w:pPr>
              <w:rPr>
                <w:b/>
                <w:lang w:val="it-IT"/>
              </w:rPr>
            </w:pPr>
            <w:r w:rsidRPr="001513F9">
              <w:rPr>
                <w:b/>
                <w:lang w:val="it-IT"/>
              </w:rPr>
              <w:t>5-F</w:t>
            </w:r>
            <w:r w:rsidR="007364F9" w:rsidRPr="001513F9">
              <w:rPr>
                <w:b/>
                <w:lang w:val="it-IT"/>
              </w:rPr>
              <w:t>U/FA</w:t>
            </w:r>
          </w:p>
          <w:p w:rsidR="007364F9" w:rsidRPr="001513F9" w:rsidRDefault="007364F9" w:rsidP="007364F9">
            <w:pPr>
              <w:rPr>
                <w:b/>
                <w:lang w:val="it-IT"/>
              </w:rPr>
            </w:pPr>
            <w:r w:rsidRPr="001513F9">
              <w:rPr>
                <w:b/>
                <w:lang w:val="it-IT"/>
              </w:rPr>
              <w:t>85 mg/m²</w:t>
            </w:r>
          </w:p>
          <w:p w:rsidR="007364F9" w:rsidRPr="001513F9" w:rsidRDefault="007364F9" w:rsidP="007364F9">
            <w:r w:rsidRPr="001513F9">
              <w:t>κάθε 2 εβδομάδες</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30"/>
              <w:jc w:val="center"/>
              <w:rPr>
                <w:b/>
              </w:rPr>
            </w:pPr>
          </w:p>
          <w:p w:rsidR="007364F9" w:rsidRPr="001513F9" w:rsidRDefault="007364F9" w:rsidP="007364F9">
            <w:pPr>
              <w:jc w:val="center"/>
              <w:rPr>
                <w:b/>
                <w:bCs/>
              </w:rPr>
            </w:pPr>
            <w:r w:rsidRPr="001513F9">
              <w:rPr>
                <w:b/>
              </w:rPr>
              <w:t>Θεραπεία μεταστατικού καρκίνου</w:t>
            </w: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30"/>
              <w:jc w:val="center"/>
              <w:rPr>
                <w:b/>
              </w:rPr>
            </w:pPr>
          </w:p>
          <w:p w:rsidR="007364F9" w:rsidRPr="001513F9" w:rsidRDefault="007364F9" w:rsidP="007364F9">
            <w:pPr>
              <w:jc w:val="center"/>
              <w:rPr>
                <w:b/>
              </w:rPr>
            </w:pPr>
            <w:r w:rsidRPr="001513F9">
              <w:rPr>
                <w:b/>
              </w:rPr>
              <w:t>Επικουρική θεραπεία</w:t>
            </w:r>
          </w:p>
        </w:tc>
      </w:tr>
      <w:tr w:rsidR="007364F9" w:rsidRPr="001513F9" w:rsidTr="007364F9">
        <w:trPr>
          <w:cantSplit/>
        </w:trPr>
        <w:tc>
          <w:tcPr>
            <w:tcW w:w="1950" w:type="dxa"/>
            <w:tcBorders>
              <w:top w:val="nil"/>
              <w:left w:val="single" w:sz="6" w:space="0" w:color="auto"/>
              <w:bottom w:val="single" w:sz="6" w:space="0" w:color="auto"/>
              <w:right w:val="single" w:sz="6" w:space="0" w:color="auto"/>
            </w:tcBorders>
            <w:shd w:val="clear" w:color="auto" w:fill="auto"/>
          </w:tcPr>
          <w:p w:rsidR="007364F9" w:rsidRPr="001513F9" w:rsidRDefault="007364F9" w:rsidP="007364F9"/>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110"/>
              <w:jc w:val="center"/>
            </w:pPr>
            <w:r w:rsidRPr="001513F9">
              <w:t xml:space="preserve">Όλοι οι </w:t>
            </w:r>
            <w:r w:rsidR="00F10597" w:rsidRPr="001513F9">
              <w:t>Βαθμ</w:t>
            </w:r>
            <w:r w:rsidRPr="001513F9">
              <w:t>οί</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rPr>
                <w:bCs/>
              </w:rPr>
            </w:pPr>
            <w:r w:rsidRPr="001513F9">
              <w:rPr>
                <w:bCs/>
              </w:rPr>
              <w:t>Βαθμού  3</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rPr>
                <w:smallCaps/>
              </w:rPr>
            </w:pPr>
            <w:r w:rsidRPr="001513F9">
              <w:rPr>
                <w:bCs/>
              </w:rPr>
              <w:t>Βαθμού  4</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110"/>
              <w:jc w:val="center"/>
              <w:rPr>
                <w:smallCaps/>
                <w:szCs w:val="22"/>
              </w:rPr>
            </w:pPr>
            <w:r w:rsidRPr="001513F9">
              <w:t xml:space="preserve">Όλοι οι </w:t>
            </w:r>
            <w:r w:rsidR="00F10597" w:rsidRPr="001513F9">
              <w:t>Βαθμ</w:t>
            </w:r>
            <w:r w:rsidRPr="001513F9">
              <w:t>οί</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rPr>
                <w:bCs/>
              </w:rPr>
              <w:t>Βαθμού</w:t>
            </w:r>
            <w:r w:rsidRPr="001513F9">
              <w:t xml:space="preserve">  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rPr>
                <w:smallCaps/>
              </w:rPr>
            </w:pPr>
            <w:r w:rsidRPr="001513F9">
              <w:rPr>
                <w:bCs/>
              </w:rPr>
              <w:t>Βαθμού  4</w:t>
            </w:r>
          </w:p>
        </w:tc>
      </w:tr>
      <w:tr w:rsidR="007364F9" w:rsidRPr="001513F9" w:rsidTr="007364F9">
        <w:trPr>
          <w:cantSplit/>
        </w:trPr>
        <w:tc>
          <w:tcPr>
            <w:tcW w:w="1950"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rPr>
                <w:bCs/>
                <w:lang w:val="it-IT"/>
              </w:rPr>
            </w:pPr>
            <w:r w:rsidRPr="001513F9">
              <w:rPr>
                <w:bCs/>
              </w:rPr>
              <w:t>Αναιμία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rPr>
                <w:lang w:val="it-IT"/>
              </w:rPr>
            </w:pPr>
            <w:r w:rsidRPr="001513F9">
              <w:rPr>
                <w:lang w:val="it-IT"/>
              </w:rPr>
              <w:t>82</w:t>
            </w:r>
            <w:r w:rsidRPr="001513F9">
              <w:t>,</w:t>
            </w:r>
            <w:r w:rsidRPr="001513F9">
              <w:rPr>
                <w:lang w:val="it-IT"/>
              </w:rPr>
              <w:t>2</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rPr>
                <w:lang w:val="it-IT"/>
              </w:rPr>
            </w:pPr>
            <w:r w:rsidRPr="001513F9">
              <w:rPr>
                <w:lang w:val="it-IT"/>
              </w:rPr>
              <w:t>3</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rPr>
                <w:lang w:val="it-IT"/>
              </w:rPr>
            </w:pPr>
            <w:r w:rsidRPr="001513F9">
              <w:rPr>
                <w:lang w:val="it-IT"/>
              </w:rPr>
              <w:t>&lt;1</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57"/>
              <w:jc w:val="center"/>
              <w:rPr>
                <w:lang w:val="it-IT"/>
              </w:rPr>
            </w:pPr>
            <w:r w:rsidRPr="001513F9">
              <w:rPr>
                <w:lang w:val="it-IT"/>
              </w:rPr>
              <w:t>75</w:t>
            </w:r>
            <w:r w:rsidRPr="001513F9">
              <w:t>,</w:t>
            </w:r>
            <w:r w:rsidRPr="001513F9">
              <w:rPr>
                <w:lang w:val="it-IT"/>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rPr>
                <w:lang w:val="it-IT"/>
              </w:rPr>
            </w:pPr>
            <w:r w:rsidRPr="001513F9">
              <w:rPr>
                <w:lang w:val="it-IT"/>
              </w:rPr>
              <w:t>0</w:t>
            </w:r>
            <w:r w:rsidRPr="001513F9">
              <w:t>,</w:t>
            </w:r>
            <w:r w:rsidRPr="001513F9">
              <w:rPr>
                <w:lang w:val="it-IT"/>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rPr>
                <w:lang w:val="it-IT"/>
              </w:rPr>
            </w:pPr>
            <w:r w:rsidRPr="001513F9">
              <w:rPr>
                <w:lang w:val="it-IT"/>
              </w:rPr>
              <w:t>0</w:t>
            </w:r>
            <w:r w:rsidRPr="001513F9">
              <w:t>,</w:t>
            </w:r>
            <w:r w:rsidRPr="001513F9">
              <w:rPr>
                <w:lang w:val="it-IT"/>
              </w:rPr>
              <w:t>1</w:t>
            </w:r>
          </w:p>
        </w:tc>
      </w:tr>
      <w:tr w:rsidR="007364F9" w:rsidRPr="001513F9" w:rsidTr="007364F9">
        <w:trPr>
          <w:cantSplit/>
        </w:trPr>
        <w:tc>
          <w:tcPr>
            <w:tcW w:w="1950"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rPr>
                <w:bCs/>
                <w:lang w:val="it-IT"/>
              </w:rPr>
            </w:pPr>
            <w:r w:rsidRPr="001513F9">
              <w:rPr>
                <w:bCs/>
              </w:rPr>
              <w:t>Ουδετεροπενία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rPr>
                <w:strike/>
              </w:rPr>
            </w:pPr>
            <w:r w:rsidRPr="001513F9">
              <w:t>71,4</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28</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14</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57"/>
              <w:jc w:val="center"/>
              <w:rPr>
                <w:strike/>
              </w:rPr>
            </w:pPr>
            <w:r w:rsidRPr="001513F9">
              <w:t>78,9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28,8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12,3</w:t>
            </w:r>
          </w:p>
        </w:tc>
      </w:tr>
      <w:tr w:rsidR="007364F9" w:rsidRPr="001513F9" w:rsidTr="007364F9">
        <w:trPr>
          <w:cantSplit/>
        </w:trPr>
        <w:tc>
          <w:tcPr>
            <w:tcW w:w="1950"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rPr>
                <w:bCs/>
              </w:rPr>
            </w:pPr>
            <w:r w:rsidRPr="001513F9">
              <w:rPr>
                <w:bCs/>
              </w:rPr>
              <w:t>Θρομβοπενία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71,6</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4</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&lt;1</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77,4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0,2</w:t>
            </w:r>
          </w:p>
        </w:tc>
      </w:tr>
      <w:tr w:rsidR="007364F9" w:rsidRPr="001513F9" w:rsidTr="007364F9">
        <w:trPr>
          <w:cantSplit/>
        </w:trPr>
        <w:tc>
          <w:tcPr>
            <w:tcW w:w="1950"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rPr>
                <w:bCs/>
                <w:lang w:val="it-IT"/>
              </w:rPr>
            </w:pPr>
            <w:r w:rsidRPr="001513F9">
              <w:rPr>
                <w:bCs/>
              </w:rPr>
              <w:t>Εμπύρετη ουδετεροπενία</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5,0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3,6</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1,4</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0,7</w:t>
            </w:r>
          </w:p>
          <w:p w:rsidR="007364F9" w:rsidRPr="001513F9" w:rsidRDefault="007364F9" w:rsidP="007364F9">
            <w:pPr>
              <w:ind w:left="-57"/>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0,7</w:t>
            </w:r>
          </w:p>
          <w:p w:rsidR="007364F9" w:rsidRPr="001513F9" w:rsidRDefault="007364F9" w:rsidP="007364F9">
            <w:pPr>
              <w:ind w:left="-57"/>
              <w:jc w:val="cente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0,0</w:t>
            </w:r>
          </w:p>
          <w:p w:rsidR="007364F9" w:rsidRPr="001513F9" w:rsidRDefault="007364F9" w:rsidP="007364F9">
            <w:pPr>
              <w:ind w:left="-57"/>
              <w:jc w:val="center"/>
            </w:pPr>
          </w:p>
        </w:tc>
      </w:tr>
      <w:tr w:rsidR="007364F9" w:rsidRPr="001513F9" w:rsidTr="007364F9">
        <w:trPr>
          <w:cantSplit/>
        </w:trPr>
        <w:tc>
          <w:tcPr>
            <w:tcW w:w="1950"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rPr>
                <w:bCs/>
              </w:rPr>
            </w:pPr>
            <w:r w:rsidRPr="001513F9">
              <w:rPr>
                <w:bCs/>
              </w:rPr>
              <w:t>Ουδετεροπενική σήψη</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1,1</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0,7</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7364F9" w:rsidRPr="001513F9" w:rsidRDefault="007364F9" w:rsidP="007364F9">
            <w:pPr>
              <w:ind w:left="-57"/>
              <w:jc w:val="center"/>
            </w:pPr>
            <w:r w:rsidRPr="001513F9">
              <w:t>0,4</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1,1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364F9" w:rsidRPr="001513F9" w:rsidRDefault="007364F9" w:rsidP="007364F9">
            <w:pPr>
              <w:ind w:left="-57"/>
              <w:jc w:val="center"/>
            </w:pPr>
            <w:r w:rsidRPr="001513F9">
              <w:t>0,4</w:t>
            </w:r>
          </w:p>
        </w:tc>
      </w:tr>
    </w:tbl>
    <w:p w:rsidR="007364F9" w:rsidRPr="001513F9" w:rsidRDefault="007364F9" w:rsidP="007364F9">
      <w:pPr>
        <w:jc w:val="center"/>
        <w:rPr>
          <w:b/>
          <w:szCs w:val="24"/>
        </w:rPr>
      </w:pPr>
    </w:p>
    <w:p w:rsidR="007364F9" w:rsidRPr="001513F9" w:rsidRDefault="007364F9" w:rsidP="007364F9">
      <w:pPr>
        <w:pStyle w:val="Table"/>
        <w:spacing w:before="0"/>
        <w:rPr>
          <w:rFonts w:ascii="Times New Roman" w:hAnsi="Times New Roman"/>
          <w:b/>
          <w:sz w:val="22"/>
        </w:rPr>
      </w:pPr>
    </w:p>
    <w:p w:rsidR="007364F9" w:rsidRPr="00C06019" w:rsidRDefault="007364F9" w:rsidP="007364F9">
      <w:pPr>
        <w:pStyle w:val="a7"/>
      </w:pPr>
    </w:p>
    <w:p w:rsidR="007364F9" w:rsidRPr="000B008B" w:rsidRDefault="007364F9" w:rsidP="007364F9">
      <w:pPr>
        <w:pStyle w:val="a7"/>
      </w:pPr>
    </w:p>
    <w:p w:rsidR="007364F9" w:rsidRPr="001513F9" w:rsidRDefault="007364F9" w:rsidP="007364F9">
      <w:pPr>
        <w:pStyle w:val="a7"/>
      </w:pPr>
    </w:p>
    <w:p w:rsidR="007364F9" w:rsidRPr="001513F9" w:rsidRDefault="007364F9" w:rsidP="007364F9">
      <w:pPr>
        <w:pStyle w:val="a7"/>
      </w:pPr>
    </w:p>
    <w:p w:rsidR="007364F9" w:rsidRPr="001513F9" w:rsidRDefault="007364F9" w:rsidP="007364F9">
      <w:pPr>
        <w:pStyle w:val="a7"/>
      </w:pPr>
    </w:p>
    <w:p w:rsidR="007364F9" w:rsidRPr="001513F9" w:rsidRDefault="007364F9" w:rsidP="007364F9"/>
    <w:p w:rsidR="007364F9" w:rsidRPr="001513F9" w:rsidRDefault="007364F9" w:rsidP="007364F9"/>
    <w:p w:rsidR="007364F9" w:rsidRPr="001513F9" w:rsidRDefault="007364F9" w:rsidP="007364F9"/>
    <w:p w:rsidR="007364F9" w:rsidRPr="001513F9" w:rsidRDefault="007364F9" w:rsidP="007364F9"/>
    <w:p w:rsidR="007364F9" w:rsidRPr="001513F9" w:rsidRDefault="007364F9" w:rsidP="007364F9"/>
    <w:p w:rsidR="008B6627" w:rsidRPr="001513F9" w:rsidRDefault="008B6627" w:rsidP="007364F9">
      <w:pPr>
        <w:jc w:val="both"/>
        <w:rPr>
          <w:u w:val="single"/>
        </w:rPr>
      </w:pPr>
    </w:p>
    <w:p w:rsidR="007364F9" w:rsidRPr="00C06019" w:rsidRDefault="007364F9" w:rsidP="007364F9">
      <w:pPr>
        <w:jc w:val="both"/>
        <w:rPr>
          <w:u w:val="single"/>
        </w:rPr>
      </w:pPr>
      <w:r w:rsidRPr="00C06019">
        <w:rPr>
          <w:u w:val="single"/>
        </w:rPr>
        <w:t>Εμπειρία μετά την κυκλοφορία με άγνωστη συχνότητα</w:t>
      </w:r>
    </w:p>
    <w:p w:rsidR="007364F9" w:rsidRPr="000B008B" w:rsidRDefault="007364F9" w:rsidP="007364F9">
      <w:pPr>
        <w:jc w:val="both"/>
      </w:pPr>
      <w:r w:rsidRPr="000B008B">
        <w:t>Αιμολυτικό ουραιμικό σύνδρομο</w:t>
      </w:r>
    </w:p>
    <w:p w:rsidR="007364F9" w:rsidRPr="001513F9" w:rsidRDefault="007364F9" w:rsidP="008F0E1E">
      <w:pPr>
        <w:pStyle w:val="BodyTextIndent21"/>
        <w:ind w:left="0" w:firstLine="0"/>
        <w:rPr>
          <w:strike/>
          <w:sz w:val="22"/>
          <w:szCs w:val="22"/>
          <w:lang w:val="el-GR"/>
        </w:rPr>
      </w:pPr>
    </w:p>
    <w:p w:rsidR="007364F9" w:rsidRPr="001513F9" w:rsidRDefault="007364F9" w:rsidP="007364F9">
      <w:pPr>
        <w:pStyle w:val="a3"/>
        <w:rPr>
          <w:b/>
          <w:u w:val="single"/>
        </w:rPr>
      </w:pPr>
      <w:r w:rsidRPr="001513F9">
        <w:rPr>
          <w:b/>
          <w:u w:val="single"/>
        </w:rPr>
        <w:t>Διαταραχές του ανοσοποιητικού συστήματος</w:t>
      </w:r>
    </w:p>
    <w:p w:rsidR="007364F9" w:rsidRPr="001513F9" w:rsidRDefault="007364F9" w:rsidP="007364F9">
      <w:pPr>
        <w:pStyle w:val="Table"/>
        <w:rPr>
          <w:rFonts w:ascii="Times New Roman" w:hAnsi="Times New Roman"/>
          <w:b/>
          <w:sz w:val="22"/>
          <w:szCs w:val="22"/>
          <w:lang w:val="el-GR"/>
        </w:rPr>
      </w:pPr>
      <w:r w:rsidRPr="001513F9">
        <w:rPr>
          <w:rFonts w:ascii="Times New Roman" w:hAnsi="Times New Roman"/>
          <w:b/>
          <w:sz w:val="22"/>
          <w:szCs w:val="22"/>
          <w:lang w:val="el-GR"/>
        </w:rPr>
        <w:t xml:space="preserve">Συχνότητα εμφάνισης των αλλεργικών αντιδράσεων ανά ασθενή (%) και ανά </w:t>
      </w:r>
      <w:r w:rsidR="00F10597" w:rsidRPr="001513F9">
        <w:rPr>
          <w:rFonts w:ascii="Times New Roman" w:hAnsi="Times New Roman"/>
          <w:b/>
          <w:sz w:val="22"/>
          <w:szCs w:val="22"/>
          <w:lang w:val="el-GR"/>
        </w:rPr>
        <w:t>Βαθμ</w:t>
      </w:r>
      <w:r w:rsidRPr="001513F9">
        <w:rPr>
          <w:rFonts w:ascii="Times New Roman" w:hAnsi="Times New Roman"/>
          <w:b/>
          <w:sz w:val="22"/>
          <w:szCs w:val="22"/>
          <w:lang w:val="el-GR"/>
        </w:rPr>
        <w:t>ό</w:t>
      </w:r>
    </w:p>
    <w:tbl>
      <w:tblPr>
        <w:tblW w:w="0" w:type="auto"/>
        <w:tblInd w:w="1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701"/>
        <w:gridCol w:w="992"/>
        <w:gridCol w:w="992"/>
        <w:gridCol w:w="992"/>
        <w:gridCol w:w="851"/>
        <w:gridCol w:w="992"/>
        <w:gridCol w:w="992"/>
      </w:tblGrid>
      <w:tr w:rsidR="007364F9" w:rsidRPr="001513F9" w:rsidTr="007364F9">
        <w:trPr>
          <w:cantSplit/>
          <w:trHeight w:val="540"/>
        </w:trPr>
        <w:tc>
          <w:tcPr>
            <w:tcW w:w="1701" w:type="dxa"/>
            <w:tcBorders>
              <w:top w:val="single" w:sz="6" w:space="0" w:color="auto"/>
              <w:left w:val="single" w:sz="6" w:space="0" w:color="auto"/>
              <w:bottom w:val="nil"/>
              <w:right w:val="single" w:sz="6" w:space="0" w:color="auto"/>
            </w:tcBorders>
          </w:tcPr>
          <w:p w:rsidR="007364F9" w:rsidRPr="001513F9" w:rsidRDefault="007364F9" w:rsidP="007364F9">
            <w:pPr>
              <w:rPr>
                <w:b/>
              </w:rPr>
            </w:pPr>
            <w:r w:rsidRPr="001513F9">
              <w:rPr>
                <w:b/>
              </w:rPr>
              <w:t xml:space="preserve">Οξαλιπλατίνη/ </w:t>
            </w:r>
            <w:r w:rsidR="00767322" w:rsidRPr="001513F9">
              <w:rPr>
                <w:b/>
              </w:rPr>
              <w:t>5-F</w:t>
            </w:r>
            <w:r w:rsidRPr="001513F9">
              <w:rPr>
                <w:b/>
                <w:lang w:val="en-GB"/>
              </w:rPr>
              <w:t>U</w:t>
            </w:r>
            <w:r w:rsidRPr="001513F9">
              <w:rPr>
                <w:b/>
              </w:rPr>
              <w:t>/</w:t>
            </w:r>
            <w:r w:rsidRPr="001513F9">
              <w:rPr>
                <w:b/>
                <w:lang w:val="en-GB"/>
              </w:rPr>
              <w:t>FA</w:t>
            </w:r>
          </w:p>
          <w:p w:rsidR="007364F9" w:rsidRPr="001513F9" w:rsidRDefault="007364F9" w:rsidP="007364F9">
            <w:r w:rsidRPr="001513F9">
              <w:rPr>
                <w:b/>
              </w:rPr>
              <w:t xml:space="preserve">85 </w:t>
            </w:r>
            <w:r w:rsidRPr="001513F9">
              <w:rPr>
                <w:b/>
                <w:lang w:val="en-GB"/>
              </w:rPr>
              <w:t>mg</w:t>
            </w:r>
            <w:r w:rsidRPr="001513F9">
              <w:rPr>
                <w:b/>
              </w:rPr>
              <w:t>/</w:t>
            </w:r>
            <w:r w:rsidRPr="001513F9">
              <w:rPr>
                <w:b/>
                <w:lang w:val="en-GB"/>
              </w:rPr>
              <w:t>m</w:t>
            </w:r>
            <w:r w:rsidRPr="001513F9">
              <w:rPr>
                <w:b/>
              </w:rPr>
              <w:t xml:space="preserve">² </w:t>
            </w:r>
            <w:r w:rsidRPr="001513F9">
              <w:t>κάθε 2 εβδομάδες</w:t>
            </w:r>
          </w:p>
        </w:tc>
        <w:tc>
          <w:tcPr>
            <w:tcW w:w="2976" w:type="dxa"/>
            <w:gridSpan w:val="3"/>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30"/>
              <w:jc w:val="center"/>
              <w:rPr>
                <w:b/>
              </w:rPr>
            </w:pPr>
          </w:p>
          <w:p w:rsidR="007364F9" w:rsidRPr="001513F9" w:rsidRDefault="007364F9" w:rsidP="007364F9">
            <w:pPr>
              <w:jc w:val="center"/>
            </w:pPr>
            <w:r w:rsidRPr="001513F9">
              <w:rPr>
                <w:b/>
              </w:rPr>
              <w:t>Θεραπεία μεταστατικού καρκίνου</w:t>
            </w:r>
          </w:p>
        </w:tc>
        <w:tc>
          <w:tcPr>
            <w:tcW w:w="2835" w:type="dxa"/>
            <w:gridSpan w:val="3"/>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30"/>
              <w:jc w:val="center"/>
              <w:rPr>
                <w:b/>
              </w:rPr>
            </w:pPr>
          </w:p>
          <w:p w:rsidR="007364F9" w:rsidRPr="001513F9" w:rsidRDefault="007364F9" w:rsidP="007364F9">
            <w:pPr>
              <w:jc w:val="center"/>
            </w:pPr>
            <w:r w:rsidRPr="001513F9">
              <w:rPr>
                <w:b/>
              </w:rPr>
              <w:t>Επικουρική θεραπεία</w:t>
            </w:r>
          </w:p>
        </w:tc>
      </w:tr>
      <w:tr w:rsidR="007364F9" w:rsidRPr="001513F9" w:rsidTr="007364F9">
        <w:trPr>
          <w:cantSplit/>
        </w:trPr>
        <w:tc>
          <w:tcPr>
            <w:tcW w:w="1701" w:type="dxa"/>
            <w:tcBorders>
              <w:top w:val="nil"/>
              <w:left w:val="single" w:sz="6" w:space="0" w:color="auto"/>
              <w:bottom w:val="single" w:sz="6" w:space="0" w:color="auto"/>
              <w:right w:val="single" w:sz="6" w:space="0" w:color="auto"/>
            </w:tcBorders>
          </w:tcPr>
          <w:p w:rsidR="007364F9" w:rsidRPr="001513F9" w:rsidRDefault="007364F9" w:rsidP="007364F9"/>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110"/>
              <w:jc w:val="center"/>
            </w:pPr>
            <w:r w:rsidRPr="001513F9">
              <w:t xml:space="preserve">Όλοι οι </w:t>
            </w:r>
            <w:r w:rsidR="00F10597" w:rsidRPr="001513F9">
              <w:t>Βαθμ</w:t>
            </w:r>
            <w:r w:rsidRPr="001513F9">
              <w:t xml:space="preserve">οί </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Βαθμού 3</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smallCaps/>
              </w:rPr>
            </w:pPr>
            <w:r w:rsidRPr="001513F9">
              <w:rPr>
                <w:bCs/>
              </w:rPr>
              <w:t>Βαθμού 4</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110"/>
              <w:jc w:val="center"/>
            </w:pPr>
            <w:r w:rsidRPr="001513F9">
              <w:t xml:space="preserve">Όλοι οι </w:t>
            </w:r>
            <w:r w:rsidR="00F10597" w:rsidRPr="001513F9">
              <w:t>Βαθμ</w:t>
            </w:r>
            <w:r w:rsidRPr="001513F9">
              <w:t>οί</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jc w:val="center"/>
              <w:rPr>
                <w:bCs/>
              </w:rPr>
            </w:pPr>
            <w:r w:rsidRPr="001513F9">
              <w:rPr>
                <w:bCs/>
              </w:rPr>
              <w:t>Βαθμού 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pPr>
            <w:r w:rsidRPr="001513F9">
              <w:rPr>
                <w:bCs/>
              </w:rPr>
              <w:t>Βαθμού 4</w:t>
            </w:r>
          </w:p>
        </w:tc>
      </w:tr>
      <w:tr w:rsidR="007364F9" w:rsidRPr="001513F9" w:rsidTr="007364F9">
        <w:trPr>
          <w:cantSplit/>
        </w:trPr>
        <w:tc>
          <w:tcPr>
            <w:tcW w:w="1701"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23" w:hanging="34"/>
            </w:pPr>
            <w:r w:rsidRPr="001513F9">
              <w:t>Αλλεργικές αντιδράσεις/ Αλλεργία</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9,1</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1</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&lt;1</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10,3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2,3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0,6</w:t>
            </w:r>
          </w:p>
        </w:tc>
      </w:tr>
    </w:tbl>
    <w:p w:rsidR="007364F9" w:rsidRPr="001513F9" w:rsidRDefault="007364F9" w:rsidP="007364F9">
      <w:pPr>
        <w:pStyle w:val="BodyTextIndent21"/>
        <w:rPr>
          <w:sz w:val="22"/>
          <w:szCs w:val="22"/>
          <w:lang w:val="el-GR"/>
        </w:rPr>
      </w:pPr>
    </w:p>
    <w:p w:rsidR="007364F9" w:rsidRPr="001513F9" w:rsidRDefault="007364F9" w:rsidP="007364F9">
      <w:pPr>
        <w:jc w:val="both"/>
        <w:rPr>
          <w:b/>
          <w:lang w:eastAsia="fr-FR"/>
        </w:rPr>
      </w:pPr>
      <w:r w:rsidRPr="001513F9">
        <w:rPr>
          <w:b/>
          <w:u w:val="single"/>
        </w:rPr>
        <w:t>Διαταραχές του νευρικού συστήματος</w:t>
      </w:r>
    </w:p>
    <w:p w:rsidR="007364F9" w:rsidRPr="001513F9" w:rsidRDefault="007364F9" w:rsidP="007364F9">
      <w:pPr>
        <w:jc w:val="both"/>
        <w:rPr>
          <w:lang w:eastAsia="fr-FR"/>
        </w:rPr>
      </w:pPr>
    </w:p>
    <w:p w:rsidR="007364F9" w:rsidRPr="001513F9" w:rsidRDefault="007364F9" w:rsidP="007364F9">
      <w:pPr>
        <w:numPr>
          <w:ilvl w:val="12"/>
          <w:numId w:val="0"/>
        </w:numPr>
        <w:jc w:val="both"/>
      </w:pPr>
      <w:r w:rsidRPr="001513F9">
        <w:t xml:space="preserve">Η δοσοπεριοριστική τοξικότητα της οξαλιπλατίνης είναι η νευρολογική. Αυτή συνίσταται σε αισθητική περιφερική νευροπάθεια που χαρακτηρίζεται από </w:t>
      </w:r>
      <w:r w:rsidRPr="001513F9">
        <w:rPr>
          <w:szCs w:val="22"/>
        </w:rPr>
        <w:t>δυσαισθησία</w:t>
      </w:r>
      <w:r w:rsidRPr="001513F9">
        <w:t xml:space="preserve"> και/ή παραισθησία των άκρων με ή χωρίς κράμπες, οι οποίες συχνά π</w:t>
      </w:r>
      <w:r w:rsidR="00D50CC9" w:rsidRPr="001513F9">
        <w:t>υροδοτούνται</w:t>
      </w:r>
      <w:r w:rsidRPr="001513F9">
        <w:t xml:space="preserve"> από το κρύο. Τα συμπτώματα αυτά εμφανίζονται έως και στο 95% των ασθενών που υποβάλλονται σε θεραπεία. Η διάρκεια αυτών των συμπτωμάτων που συνήθως υποχωρούν μεταξύ των κύκλων της θεραπείας, αυξάνεται με τον αριθμό των χορηγούμενων κύκλων.</w:t>
      </w:r>
    </w:p>
    <w:p w:rsidR="007364F9" w:rsidRPr="001513F9" w:rsidRDefault="007364F9" w:rsidP="007364F9">
      <w:pPr>
        <w:numPr>
          <w:ilvl w:val="12"/>
          <w:numId w:val="0"/>
        </w:numPr>
        <w:jc w:val="both"/>
      </w:pPr>
    </w:p>
    <w:p w:rsidR="007364F9" w:rsidRPr="001513F9" w:rsidRDefault="007364F9" w:rsidP="007364F9">
      <w:pPr>
        <w:pStyle w:val="30"/>
        <w:pBdr>
          <w:top w:val="none" w:sz="0" w:space="0" w:color="auto"/>
          <w:left w:val="none" w:sz="0" w:space="0" w:color="auto"/>
          <w:bottom w:val="none" w:sz="0" w:space="0" w:color="auto"/>
          <w:right w:val="none" w:sz="0" w:space="0" w:color="auto"/>
        </w:pBdr>
        <w:ind w:left="0" w:firstLine="0"/>
        <w:rPr>
          <w:b w:val="0"/>
          <w:bCs w:val="0"/>
          <w:i w:val="0"/>
          <w:iCs w:val="0"/>
          <w:sz w:val="22"/>
          <w:szCs w:val="22"/>
          <w:lang w:val="el-GR"/>
        </w:rPr>
      </w:pPr>
      <w:r w:rsidRPr="001513F9">
        <w:rPr>
          <w:b w:val="0"/>
          <w:i w:val="0"/>
          <w:sz w:val="22"/>
          <w:szCs w:val="22"/>
          <w:lang w:val="el-GR"/>
        </w:rPr>
        <w:t>Η εμφάνιση πόνου ή/και λειτουργικών διαταραχών είναι ενδείξεις, ανάλογα με τη διάρκεια των συμπτωμάτων, για την αναγκαιότητα προσαρμογής της δοσολογίας ή ακόμα και για τη διακοπή της θεραπείας (βλ. παράγραφο 4.4.).</w:t>
      </w:r>
    </w:p>
    <w:p w:rsidR="007364F9" w:rsidRPr="001513F9" w:rsidRDefault="007364F9" w:rsidP="007364F9">
      <w:pPr>
        <w:jc w:val="both"/>
        <w:rPr>
          <w:lang w:eastAsia="fr-FR"/>
        </w:rPr>
      </w:pPr>
    </w:p>
    <w:p w:rsidR="007364F9" w:rsidRPr="001513F9" w:rsidRDefault="007364F9" w:rsidP="007364F9">
      <w:pPr>
        <w:jc w:val="both"/>
      </w:pPr>
      <w:r w:rsidRPr="00C06019">
        <w:t xml:space="preserve">Οι λειτουργικές διαταραχές </w:t>
      </w:r>
      <w:r w:rsidR="00D32368" w:rsidRPr="00C06019">
        <w:t xml:space="preserve">αυτές </w:t>
      </w:r>
      <w:r w:rsidRPr="00C06019">
        <w:t>συμπεριλαμβάνουν</w:t>
      </w:r>
      <w:r w:rsidRPr="000B008B">
        <w:t xml:space="preserve"> δυσκολίες στην εκτέλεση λεπτών κινήσεων και πιθανόν να προέρχονται από μια διαταραχή της αισθητικότητας. Ο κίνδυνος εμφάνισης </w:t>
      </w:r>
      <w:r w:rsidR="00DF7BC6">
        <w:t>εμμενόντων</w:t>
      </w:r>
      <w:r w:rsidR="00DF7BC6" w:rsidRPr="000B008B">
        <w:t xml:space="preserve"> </w:t>
      </w:r>
      <w:r w:rsidRPr="000B008B">
        <w:t>συμπτωμά</w:t>
      </w:r>
      <w:r w:rsidRPr="001513F9">
        <w:t xml:space="preserve">των για μία αθροιστική δόση των </w:t>
      </w:r>
      <w:r w:rsidR="00D50CC9" w:rsidRPr="001513F9">
        <w:t>850 </w:t>
      </w:r>
      <w:r w:rsidRPr="001513F9">
        <w:rPr>
          <w:lang w:val="en-GB"/>
        </w:rPr>
        <w:t>mg</w:t>
      </w:r>
      <w:r w:rsidRPr="001513F9">
        <w:t>/</w:t>
      </w:r>
      <w:r w:rsidRPr="001513F9">
        <w:rPr>
          <w:lang w:val="en-GB"/>
        </w:rPr>
        <w:t>m</w:t>
      </w:r>
      <w:r w:rsidRPr="001513F9">
        <w:rPr>
          <w:vertAlign w:val="superscript"/>
        </w:rPr>
        <w:t>2</w:t>
      </w:r>
      <w:r w:rsidRPr="001513F9">
        <w:t xml:space="preserve"> (10 κύκλοι) είναι περίπου 10% και 20% είναι για μία αθροιστική δόση των 1</w:t>
      </w:r>
      <w:r w:rsidR="00C97FF0" w:rsidRPr="001513F9">
        <w:t>.</w:t>
      </w:r>
      <w:r w:rsidRPr="001513F9">
        <w:t>020</w:t>
      </w:r>
      <w:r w:rsidR="00D50CC9" w:rsidRPr="001513F9">
        <w:t> </w:t>
      </w:r>
      <w:r w:rsidRPr="001513F9">
        <w:rPr>
          <w:lang w:val="en-GB"/>
        </w:rPr>
        <w:t>mg</w:t>
      </w:r>
      <w:r w:rsidRPr="001513F9">
        <w:t>/</w:t>
      </w:r>
      <w:r w:rsidRPr="001513F9">
        <w:rPr>
          <w:lang w:val="en-GB"/>
        </w:rPr>
        <w:t>m</w:t>
      </w:r>
      <w:r w:rsidRPr="001513F9">
        <w:rPr>
          <w:vertAlign w:val="superscript"/>
        </w:rPr>
        <w:t>2</w:t>
      </w:r>
      <w:r w:rsidRPr="001513F9">
        <w:t xml:space="preserve"> (12 κύκλοι).</w:t>
      </w:r>
    </w:p>
    <w:p w:rsidR="007364F9" w:rsidRPr="001513F9" w:rsidRDefault="007364F9" w:rsidP="007364F9">
      <w:pPr>
        <w:jc w:val="both"/>
      </w:pPr>
      <w:r w:rsidRPr="00C06019">
        <w:t>Στην πλειοψηφία των περιπτώσεων, τα νευρολογικά σημεία και συμπτώματα βελτιώνονται ή ανακτώνται πλήρως όταν διακόπτεται η θεραπεία</w:t>
      </w:r>
      <w:r w:rsidRPr="001513F9">
        <w:t>.</w:t>
      </w:r>
      <w:r w:rsidRPr="00C06019">
        <w:t xml:space="preserve"> Στην επικουρική θεραπεία του καρκίνου του παχέος εντέρου, 6 μήνες μετά τη διακοπή της αγωγής, το </w:t>
      </w:r>
      <w:r w:rsidRPr="000B008B">
        <w:t xml:space="preserve">87% των ασθενών </w:t>
      </w:r>
      <w:r w:rsidR="00D50CC9" w:rsidRPr="009530F7">
        <w:t xml:space="preserve">δεν </w:t>
      </w:r>
      <w:r w:rsidRPr="009530F7">
        <w:t xml:space="preserve">παρουσίασε καθόλου ή </w:t>
      </w:r>
      <w:r w:rsidR="00DF7BC6">
        <w:t xml:space="preserve">παρουσίασε </w:t>
      </w:r>
      <w:r w:rsidRPr="009530F7">
        <w:t>ήπια συμπτώματα. Μετά από 3 χρόνια παρακολούθησης, περίπου 3% των ασθενών παρουσίασε είτε επιμένουσες τ</w:t>
      </w:r>
      <w:r w:rsidRPr="001513F9">
        <w:t xml:space="preserve">οπικές παραισθησίες ήπιας έντασης (2,3%) ή παραισθησίες που μπορεί να παρεμποδίζουν τις λειτουργικές δραστηριότητες (0,5%). </w:t>
      </w:r>
    </w:p>
    <w:p w:rsidR="007364F9" w:rsidRPr="00C06019" w:rsidRDefault="007364F9" w:rsidP="007364F9">
      <w:pPr>
        <w:jc w:val="both"/>
        <w:rPr>
          <w:lang w:eastAsia="fr-FR"/>
        </w:rPr>
      </w:pPr>
    </w:p>
    <w:p w:rsidR="007364F9" w:rsidRPr="001513F9" w:rsidRDefault="007364F9" w:rsidP="007364F9">
      <w:pPr>
        <w:numPr>
          <w:ilvl w:val="12"/>
          <w:numId w:val="0"/>
        </w:numPr>
        <w:jc w:val="both"/>
      </w:pPr>
      <w:r w:rsidRPr="000B008B">
        <w:t>Οξείες νευραισθητικές εκδηλώσεις (βλ. παράγραφο 5.3) έχουν αναφερθεί. Εμφανίζονται εντός λίγων ωρών από τη χορήγηση και συχνά εκδη</w:t>
      </w:r>
      <w:r w:rsidRPr="001513F9">
        <w:t>λώνονται με την έκθεση στο κρύο. Συνήθως εμφανίζονται ως παροδική παραισθησία, δυσαισθησία και υπαισθησία. Το οξύ σύνδρομο φαρυγγολαρυγγικής δυσαισθησίας εμφανίζεται σε 1% έως 2% των ασθενών και χαρακτηρίζεται από υποκειμενικό αίσθημα δυσφαγίας ή δύσπνοιας/αίσθημα πνιγμονής, χωρίς καμία αντικειμενική ένδειξη αναπνευστικής δυσφορίας (</w:t>
      </w:r>
      <w:r w:rsidR="000A5220" w:rsidRPr="001513F9">
        <w:t>ούτε</w:t>
      </w:r>
      <w:r w:rsidRPr="001513F9">
        <w:t xml:space="preserve"> κυάνωση </w:t>
      </w:r>
      <w:r w:rsidR="000A5220" w:rsidRPr="001513F9">
        <w:t>ούτε</w:t>
      </w:r>
      <w:r w:rsidRPr="001513F9">
        <w:t xml:space="preserve"> υποξία) ή </w:t>
      </w:r>
      <w:r w:rsidRPr="00C06019">
        <w:t>λαρυγγόσπασμου ή βρογχόσπασμου (</w:t>
      </w:r>
      <w:r w:rsidRPr="00C06019">
        <w:rPr>
          <w:szCs w:val="22"/>
        </w:rPr>
        <w:t xml:space="preserve">όχι εισπνευστικός ή εκπνευστικός </w:t>
      </w:r>
      <w:r w:rsidRPr="000B008B">
        <w:t xml:space="preserve">συριγμός). Παρόλο που έχουν χορηγηθεί </w:t>
      </w:r>
      <w:r w:rsidR="00F10597" w:rsidRPr="009530F7">
        <w:t>αντιισταμινικά</w:t>
      </w:r>
      <w:r w:rsidRPr="00DF7BC6">
        <w:t xml:space="preserve"> και βρογχοδιασταλ</w:t>
      </w:r>
      <w:r w:rsidRPr="001513F9">
        <w:t>τικά στις περιπτώσεις αυτές, τα συμπτώματα αυτά είναι γρήγορα αναστρέψιμα ακόμα και χωρίς φαρμακευτική αγωγή. Η παράταση του χρόνου έγχυσης βοηθά στη μείωση της συχνότητας εμφάνισης αυτού του συνδρόμου (βλ. παράγραφο 4.4). Περιστασιακά έχουν αναφερθεί άλλα συμπτώματα που περιλαμβάνουν σπασμό της γνάθου/μυ</w:t>
      </w:r>
      <w:r w:rsidR="00C97FF0" w:rsidRPr="001513F9">
        <w:t>ϊ</w:t>
      </w:r>
      <w:r w:rsidRPr="001513F9">
        <w:t>κούς σπασμούς/ακούσιες μυ</w:t>
      </w:r>
      <w:r w:rsidR="00C97FF0" w:rsidRPr="001513F9">
        <w:t>ϊ</w:t>
      </w:r>
      <w:r w:rsidRPr="001513F9">
        <w:t>κές συσπάσεις/μυ</w:t>
      </w:r>
      <w:r w:rsidR="00C97FF0" w:rsidRPr="001513F9">
        <w:t>ϊ</w:t>
      </w:r>
      <w:r w:rsidRPr="001513F9">
        <w:t xml:space="preserve">κές δεσμιδώσεις/μυόκλονο, </w:t>
      </w:r>
      <w:r w:rsidR="00767322" w:rsidRPr="001513F9">
        <w:t>μη-</w:t>
      </w:r>
      <w:r w:rsidRPr="001513F9">
        <w:t>φυσιολογικό συντονισμό/</w:t>
      </w:r>
      <w:r w:rsidR="00767322" w:rsidRPr="001513F9">
        <w:t>μη-</w:t>
      </w:r>
      <w:r w:rsidRPr="001513F9">
        <w:t xml:space="preserve">φυσιολογικό βάδισμα/αταξία/διαταραχές ισορροπίας, αίσθημα σύσφιξης του λαιμού ή του θώρακα/πίεση/δυσφορία/άλγος. Επιπλέον, δυσλειτουργίες κρανιακού νεύρου μπορεί να συσχετίζονται </w:t>
      </w:r>
      <w:r w:rsidR="00C97FF0" w:rsidRPr="001513F9">
        <w:t xml:space="preserve">με τα προαναφερθέντα συμβάματα </w:t>
      </w:r>
      <w:r w:rsidRPr="001513F9">
        <w:t xml:space="preserve">ή ακόμα να εμφανίζονται ως μεμονωμένο περιστατικό όπως πτώση, διπλωπία, αφωνία/δυσφωνία/βράγχος φωνής, που μερικές φορές περιγράφεται ως παράλυση των φωνητικών χορδών, </w:t>
      </w:r>
      <w:r w:rsidR="00767322" w:rsidRPr="001513F9">
        <w:t>μη-</w:t>
      </w:r>
      <w:r w:rsidRPr="001513F9">
        <w:t>φυσιολογική αίσθηση της γλώσσας ή δυσαρθρία, που μερικές φορές περιγράφεται ως αφασία, νευραλγία τριδύμου/ άλγος προσώπου/άλγος οφθαλμού</w:t>
      </w:r>
      <w:r w:rsidR="00C97FF0" w:rsidRPr="001513F9">
        <w:t>,</w:t>
      </w:r>
      <w:r w:rsidRPr="001513F9">
        <w:t xml:space="preserve"> ελάττωση της οπτικής οξύτητας, διαταραχές των οπτικών πεδίων.</w:t>
      </w:r>
    </w:p>
    <w:p w:rsidR="007364F9" w:rsidRPr="001513F9" w:rsidRDefault="007364F9" w:rsidP="007364F9">
      <w:pPr>
        <w:numPr>
          <w:ilvl w:val="12"/>
          <w:numId w:val="0"/>
        </w:numPr>
        <w:jc w:val="both"/>
      </w:pPr>
    </w:p>
    <w:p w:rsidR="007364F9" w:rsidRPr="001513F9" w:rsidRDefault="007364F9" w:rsidP="007364F9">
      <w:pPr>
        <w:pStyle w:val="a8"/>
        <w:ind w:left="0" w:firstLine="0"/>
        <w:rPr>
          <w:b w:val="0"/>
          <w:bCs w:val="0"/>
          <w:i w:val="0"/>
          <w:iCs w:val="0"/>
          <w:sz w:val="22"/>
          <w:lang w:val="el-GR"/>
        </w:rPr>
      </w:pPr>
      <w:r w:rsidRPr="001513F9">
        <w:rPr>
          <w:b w:val="0"/>
          <w:i w:val="0"/>
          <w:sz w:val="22"/>
          <w:lang w:val="el-GR"/>
        </w:rPr>
        <w:t xml:space="preserve">Άλλα νευρολογικά συμπτώματα, όπως η δυσαρθρία, η απώλεια των εν τω βάθει τενόντιων αντανακλαστικών και του σήματος </w:t>
      </w:r>
      <w:proofErr w:type="spellStart"/>
      <w:r w:rsidRPr="001513F9">
        <w:rPr>
          <w:b w:val="0"/>
          <w:i w:val="0"/>
          <w:sz w:val="22"/>
          <w:lang w:val="en-GB"/>
        </w:rPr>
        <w:t>Lhermittes</w:t>
      </w:r>
      <w:proofErr w:type="spellEnd"/>
      <w:r w:rsidRPr="001513F9">
        <w:rPr>
          <w:b w:val="0"/>
          <w:i w:val="0"/>
          <w:sz w:val="22"/>
          <w:lang w:val="el-GR"/>
        </w:rPr>
        <w:t>’</w:t>
      </w:r>
      <w:r w:rsidRPr="001513F9">
        <w:rPr>
          <w:b w:val="0"/>
          <w:i w:val="0"/>
          <w:sz w:val="22"/>
          <w:lang w:val="en-GB"/>
        </w:rPr>
        <w:t>s</w:t>
      </w:r>
      <w:r w:rsidRPr="001513F9">
        <w:rPr>
          <w:b w:val="0"/>
          <w:i w:val="0"/>
          <w:sz w:val="22"/>
          <w:lang w:val="el-GR"/>
        </w:rPr>
        <w:t xml:space="preserve"> έχουν αναφερθεί κατά τη διάρκεια της θεραπείας με οξαλιπλατίνη. Μεμονωμένες περιπτώσεις οπτικής νευρίτιδας έχουν αναφερθεί</w:t>
      </w:r>
      <w:r w:rsidRPr="001513F9">
        <w:rPr>
          <w:b w:val="0"/>
          <w:bCs w:val="0"/>
          <w:i w:val="0"/>
          <w:iCs w:val="0"/>
          <w:sz w:val="22"/>
          <w:lang w:val="el-GR"/>
        </w:rPr>
        <w:t>.</w:t>
      </w:r>
    </w:p>
    <w:p w:rsidR="007364F9" w:rsidRPr="001513F9" w:rsidRDefault="007364F9" w:rsidP="007364F9">
      <w:pPr>
        <w:jc w:val="both"/>
        <w:rPr>
          <w:u w:val="single"/>
        </w:rPr>
      </w:pPr>
      <w:r w:rsidRPr="001513F9">
        <w:rPr>
          <w:u w:val="single"/>
        </w:rPr>
        <w:t>Εμπειρία μετά την κυκλοφορία με άγνωστη συχνότητα</w:t>
      </w:r>
    </w:p>
    <w:p w:rsidR="007364F9" w:rsidRPr="001513F9" w:rsidRDefault="007364F9" w:rsidP="007364F9">
      <w:pPr>
        <w:jc w:val="both"/>
      </w:pPr>
      <w:r w:rsidRPr="001513F9">
        <w:t>Σπασμοί</w:t>
      </w:r>
    </w:p>
    <w:p w:rsidR="007364F9" w:rsidRPr="001513F9" w:rsidRDefault="007364F9" w:rsidP="007364F9">
      <w:pPr>
        <w:jc w:val="both"/>
        <w:rPr>
          <w:u w:val="single"/>
        </w:rPr>
      </w:pPr>
    </w:p>
    <w:p w:rsidR="007364F9" w:rsidRPr="001513F9" w:rsidRDefault="007364F9" w:rsidP="007364F9">
      <w:pPr>
        <w:jc w:val="both"/>
        <w:rPr>
          <w:b/>
          <w:iCs/>
          <w:szCs w:val="22"/>
          <w:u w:val="single"/>
        </w:rPr>
      </w:pPr>
      <w:r w:rsidRPr="001513F9">
        <w:rPr>
          <w:b/>
          <w:iCs/>
          <w:szCs w:val="22"/>
          <w:u w:val="single"/>
        </w:rPr>
        <w:t>Διαταραχές του γαστρεντερικού</w:t>
      </w:r>
    </w:p>
    <w:p w:rsidR="007364F9" w:rsidRPr="001513F9" w:rsidRDefault="007364F9" w:rsidP="007364F9">
      <w:pPr>
        <w:pStyle w:val="Table"/>
        <w:rPr>
          <w:rFonts w:ascii="Times New Roman" w:hAnsi="Times New Roman"/>
          <w:b/>
          <w:sz w:val="22"/>
          <w:szCs w:val="22"/>
          <w:lang w:val="el-GR"/>
        </w:rPr>
      </w:pPr>
      <w:r w:rsidRPr="001513F9">
        <w:rPr>
          <w:rFonts w:ascii="Times New Roman" w:hAnsi="Times New Roman"/>
          <w:b/>
          <w:sz w:val="22"/>
          <w:szCs w:val="22"/>
          <w:lang w:val="el-GR"/>
        </w:rPr>
        <w:t xml:space="preserve">Συχνότητα εμφάνισης ανά ασθενή (%) και ανά </w:t>
      </w:r>
      <w:r w:rsidR="00F10597" w:rsidRPr="001513F9">
        <w:rPr>
          <w:rFonts w:ascii="Times New Roman" w:hAnsi="Times New Roman"/>
          <w:b/>
          <w:sz w:val="22"/>
          <w:szCs w:val="22"/>
          <w:lang w:val="el-GR"/>
        </w:rPr>
        <w:t>Βαθμ</w:t>
      </w:r>
      <w:r w:rsidRPr="001513F9">
        <w:rPr>
          <w:rFonts w:ascii="Times New Roman" w:hAnsi="Times New Roman"/>
          <w:b/>
          <w:sz w:val="22"/>
          <w:szCs w:val="22"/>
          <w:lang w:val="el-GR"/>
        </w:rPr>
        <w:t>ό</w:t>
      </w:r>
    </w:p>
    <w:tbl>
      <w:tblPr>
        <w:tblW w:w="0" w:type="auto"/>
        <w:tblInd w:w="1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701"/>
        <w:gridCol w:w="992"/>
        <w:gridCol w:w="992"/>
        <w:gridCol w:w="992"/>
        <w:gridCol w:w="851"/>
        <w:gridCol w:w="992"/>
        <w:gridCol w:w="992"/>
      </w:tblGrid>
      <w:tr w:rsidR="007364F9" w:rsidRPr="001513F9" w:rsidTr="007364F9">
        <w:trPr>
          <w:cantSplit/>
          <w:trHeight w:val="540"/>
        </w:trPr>
        <w:tc>
          <w:tcPr>
            <w:tcW w:w="1701" w:type="dxa"/>
            <w:tcBorders>
              <w:top w:val="single" w:sz="6" w:space="0" w:color="auto"/>
              <w:left w:val="single" w:sz="6" w:space="0" w:color="auto"/>
              <w:bottom w:val="nil"/>
              <w:right w:val="single" w:sz="6" w:space="0" w:color="auto"/>
            </w:tcBorders>
          </w:tcPr>
          <w:p w:rsidR="007364F9" w:rsidRPr="001513F9" w:rsidRDefault="007364F9" w:rsidP="007364F9">
            <w:pPr>
              <w:rPr>
                <w:b/>
              </w:rPr>
            </w:pPr>
            <w:r w:rsidRPr="001513F9">
              <w:rPr>
                <w:b/>
              </w:rPr>
              <w:t xml:space="preserve">Οξαλιπλατίνη/ </w:t>
            </w:r>
            <w:r w:rsidR="00767322" w:rsidRPr="001513F9">
              <w:rPr>
                <w:b/>
              </w:rPr>
              <w:t>5-F</w:t>
            </w:r>
            <w:r w:rsidRPr="001513F9">
              <w:rPr>
                <w:b/>
                <w:lang w:val="en-GB"/>
              </w:rPr>
              <w:t>U</w:t>
            </w:r>
            <w:r w:rsidRPr="001513F9">
              <w:rPr>
                <w:b/>
              </w:rPr>
              <w:t>/</w:t>
            </w:r>
            <w:r w:rsidRPr="001513F9">
              <w:rPr>
                <w:b/>
                <w:lang w:val="en-GB"/>
              </w:rPr>
              <w:t>FA</w:t>
            </w:r>
          </w:p>
          <w:p w:rsidR="007364F9" w:rsidRPr="001513F9" w:rsidRDefault="007364F9" w:rsidP="007364F9">
            <w:r w:rsidRPr="001513F9">
              <w:rPr>
                <w:b/>
              </w:rPr>
              <w:t>85</w:t>
            </w:r>
            <w:r w:rsidR="000A5220" w:rsidRPr="001513F9">
              <w:rPr>
                <w:b/>
              </w:rPr>
              <w:t> </w:t>
            </w:r>
            <w:r w:rsidRPr="001513F9">
              <w:rPr>
                <w:b/>
                <w:lang w:val="en-GB"/>
              </w:rPr>
              <w:t>mg</w:t>
            </w:r>
            <w:r w:rsidRPr="001513F9">
              <w:rPr>
                <w:b/>
              </w:rPr>
              <w:t>/</w:t>
            </w:r>
            <w:r w:rsidRPr="001513F9">
              <w:rPr>
                <w:b/>
                <w:lang w:val="en-GB"/>
              </w:rPr>
              <w:t>m</w:t>
            </w:r>
            <w:r w:rsidRPr="001513F9">
              <w:rPr>
                <w:b/>
              </w:rPr>
              <w:t xml:space="preserve">² </w:t>
            </w:r>
            <w:r w:rsidRPr="001513F9">
              <w:t>κάθε 2 εβδομάδες</w:t>
            </w:r>
          </w:p>
        </w:tc>
        <w:tc>
          <w:tcPr>
            <w:tcW w:w="2976" w:type="dxa"/>
            <w:gridSpan w:val="3"/>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30"/>
              <w:jc w:val="center"/>
              <w:rPr>
                <w:b/>
              </w:rPr>
            </w:pPr>
          </w:p>
          <w:p w:rsidR="007364F9" w:rsidRPr="001513F9" w:rsidRDefault="007364F9" w:rsidP="007364F9">
            <w:pPr>
              <w:jc w:val="center"/>
            </w:pPr>
            <w:r w:rsidRPr="001513F9">
              <w:rPr>
                <w:b/>
              </w:rPr>
              <w:t>Θεραπεία μεταστατικού καρκίνου</w:t>
            </w:r>
          </w:p>
        </w:tc>
        <w:tc>
          <w:tcPr>
            <w:tcW w:w="2835" w:type="dxa"/>
            <w:gridSpan w:val="3"/>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30"/>
              <w:jc w:val="center"/>
              <w:rPr>
                <w:b/>
              </w:rPr>
            </w:pPr>
          </w:p>
          <w:p w:rsidR="007364F9" w:rsidRPr="001513F9" w:rsidRDefault="007364F9" w:rsidP="007364F9">
            <w:pPr>
              <w:jc w:val="center"/>
            </w:pPr>
            <w:r w:rsidRPr="001513F9">
              <w:rPr>
                <w:b/>
              </w:rPr>
              <w:t>Επικουρική θεραπεία</w:t>
            </w:r>
          </w:p>
        </w:tc>
      </w:tr>
      <w:tr w:rsidR="007364F9" w:rsidRPr="001513F9" w:rsidTr="007364F9">
        <w:trPr>
          <w:cantSplit/>
        </w:trPr>
        <w:tc>
          <w:tcPr>
            <w:tcW w:w="1701" w:type="dxa"/>
            <w:tcBorders>
              <w:top w:val="nil"/>
              <w:left w:val="single" w:sz="6" w:space="0" w:color="auto"/>
              <w:bottom w:val="single" w:sz="6" w:space="0" w:color="auto"/>
              <w:right w:val="single" w:sz="6" w:space="0" w:color="auto"/>
            </w:tcBorders>
          </w:tcPr>
          <w:p w:rsidR="007364F9" w:rsidRPr="001513F9" w:rsidRDefault="007364F9" w:rsidP="007364F9"/>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110"/>
              <w:jc w:val="center"/>
            </w:pPr>
            <w:r w:rsidRPr="001513F9">
              <w:t xml:space="preserve">Όλοι οι </w:t>
            </w:r>
            <w:r w:rsidR="00F10597" w:rsidRPr="001513F9">
              <w:t>Βαθμ</w:t>
            </w:r>
            <w:r w:rsidRPr="001513F9">
              <w:t xml:space="preserve">οί </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Βαθμού 3</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smallCaps/>
              </w:rPr>
            </w:pPr>
            <w:r w:rsidRPr="001513F9">
              <w:rPr>
                <w:bCs/>
              </w:rPr>
              <w:t>Βαθμού 4</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110"/>
              <w:jc w:val="center"/>
            </w:pPr>
            <w:r w:rsidRPr="001513F9">
              <w:t xml:space="preserve">Όλοι οι </w:t>
            </w:r>
            <w:r w:rsidR="00F10597" w:rsidRPr="001513F9">
              <w:t>Βαθμ</w:t>
            </w:r>
            <w:r w:rsidRPr="001513F9">
              <w:t>οί</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jc w:val="center"/>
              <w:rPr>
                <w:bCs/>
              </w:rPr>
            </w:pPr>
            <w:r w:rsidRPr="001513F9">
              <w:rPr>
                <w:bCs/>
              </w:rPr>
              <w:t>Βαθμού 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pPr>
            <w:r w:rsidRPr="001513F9">
              <w:rPr>
                <w:bCs/>
              </w:rPr>
              <w:t>Βαθμού 4</w:t>
            </w:r>
          </w:p>
        </w:tc>
      </w:tr>
      <w:tr w:rsidR="007364F9" w:rsidRPr="001513F9" w:rsidTr="007364F9">
        <w:trPr>
          <w:cantSplit/>
        </w:trPr>
        <w:tc>
          <w:tcPr>
            <w:tcW w:w="1701"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23" w:hanging="34"/>
            </w:pPr>
            <w:r w:rsidRPr="001513F9">
              <w:t>Ναυτία</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69,9</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8</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&lt;1</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73,7</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4,8</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0,3</w:t>
            </w:r>
          </w:p>
        </w:tc>
      </w:tr>
      <w:tr w:rsidR="007364F9" w:rsidRPr="001513F9" w:rsidTr="007364F9">
        <w:trPr>
          <w:cantSplit/>
        </w:trPr>
        <w:tc>
          <w:tcPr>
            <w:tcW w:w="1701"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spacing w:before="40" w:after="40"/>
              <w:ind w:left="-23" w:hanging="34"/>
            </w:pPr>
            <w:r w:rsidRPr="001513F9">
              <w:t xml:space="preserve">Διάρροια </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60,8</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9</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2</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56,3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8,3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2,5</w:t>
            </w:r>
          </w:p>
        </w:tc>
      </w:tr>
      <w:tr w:rsidR="007364F9" w:rsidRPr="001513F9" w:rsidTr="007364F9">
        <w:trPr>
          <w:cantSplit/>
        </w:trPr>
        <w:tc>
          <w:tcPr>
            <w:tcW w:w="1701"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spacing w:before="40" w:after="40"/>
              <w:ind w:left="-23" w:hanging="34"/>
            </w:pPr>
            <w:r w:rsidRPr="001513F9">
              <w:t>Έμετος</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49,0</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6</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1</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47,2</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5,3</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0,5</w:t>
            </w:r>
          </w:p>
        </w:tc>
      </w:tr>
      <w:tr w:rsidR="007364F9" w:rsidRPr="001513F9" w:rsidTr="007364F9">
        <w:trPr>
          <w:cantSplit/>
        </w:trPr>
        <w:tc>
          <w:tcPr>
            <w:tcW w:w="1701"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spacing w:before="40" w:after="40"/>
              <w:ind w:left="-23" w:hanging="34"/>
            </w:pPr>
            <w:r w:rsidRPr="001513F9">
              <w:t>Βλεννογονίτιδα/Στοματίτιδα</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39,9</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4</w:t>
            </w:r>
          </w:p>
        </w:tc>
        <w:tc>
          <w:tcPr>
            <w:tcW w:w="992" w:type="dxa"/>
            <w:tcBorders>
              <w:top w:val="single" w:sz="6" w:space="0" w:color="auto"/>
              <w:left w:val="single" w:sz="6" w:space="0" w:color="auto"/>
              <w:bottom w:val="single" w:sz="6" w:space="0" w:color="auto"/>
              <w:right w:val="single" w:sz="4" w:space="0" w:color="auto"/>
            </w:tcBorders>
          </w:tcPr>
          <w:p w:rsidR="007364F9" w:rsidRPr="001513F9" w:rsidRDefault="007364F9" w:rsidP="007364F9">
            <w:pPr>
              <w:ind w:left="-57"/>
              <w:jc w:val="center"/>
              <w:rPr>
                <w:bCs/>
              </w:rPr>
            </w:pPr>
            <w:r w:rsidRPr="001513F9">
              <w:rPr>
                <w:bCs/>
              </w:rPr>
              <w:t>&lt;1</w:t>
            </w:r>
          </w:p>
        </w:tc>
        <w:tc>
          <w:tcPr>
            <w:tcW w:w="851" w:type="dxa"/>
            <w:tcBorders>
              <w:top w:val="single" w:sz="6" w:space="0" w:color="auto"/>
              <w:left w:val="single" w:sz="4"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42,1</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2,8</w:t>
            </w:r>
          </w:p>
        </w:tc>
        <w:tc>
          <w:tcPr>
            <w:tcW w:w="992" w:type="dxa"/>
            <w:tcBorders>
              <w:top w:val="single" w:sz="6" w:space="0" w:color="auto"/>
              <w:left w:val="single" w:sz="6" w:space="0" w:color="auto"/>
              <w:bottom w:val="single" w:sz="6" w:space="0" w:color="auto"/>
              <w:right w:val="single" w:sz="6" w:space="0" w:color="auto"/>
            </w:tcBorders>
          </w:tcPr>
          <w:p w:rsidR="007364F9" w:rsidRPr="001513F9" w:rsidRDefault="007364F9" w:rsidP="007364F9">
            <w:pPr>
              <w:ind w:left="-57"/>
              <w:jc w:val="center"/>
              <w:rPr>
                <w:bCs/>
              </w:rPr>
            </w:pPr>
            <w:r w:rsidRPr="001513F9">
              <w:rPr>
                <w:bCs/>
              </w:rPr>
              <w:t>0,1</w:t>
            </w:r>
          </w:p>
        </w:tc>
      </w:tr>
    </w:tbl>
    <w:p w:rsidR="007364F9" w:rsidRPr="001513F9" w:rsidRDefault="007364F9" w:rsidP="007364F9">
      <w:pPr>
        <w:pStyle w:val="BodyTextIndent21"/>
        <w:rPr>
          <w:sz w:val="22"/>
          <w:szCs w:val="22"/>
          <w:lang w:val="el-GR"/>
        </w:rPr>
      </w:pPr>
    </w:p>
    <w:p w:rsidR="007364F9" w:rsidRPr="001513F9" w:rsidRDefault="007364F9" w:rsidP="007364F9">
      <w:pPr>
        <w:pStyle w:val="BodyTextIndent21"/>
        <w:ind w:left="0" w:firstLine="0"/>
        <w:rPr>
          <w:sz w:val="22"/>
          <w:szCs w:val="22"/>
          <w:lang w:val="el-GR"/>
        </w:rPr>
      </w:pPr>
      <w:r w:rsidRPr="001513F9">
        <w:rPr>
          <w:sz w:val="22"/>
          <w:szCs w:val="22"/>
          <w:lang w:val="el-GR"/>
        </w:rPr>
        <w:t>Συνιστάται η πρόληψη ή/και θεραπεία με ισχυρό αντιεμετικό παράγοντα.</w:t>
      </w:r>
    </w:p>
    <w:p w:rsidR="007364F9" w:rsidRPr="001513F9" w:rsidRDefault="007364F9" w:rsidP="007364F9">
      <w:pPr>
        <w:pStyle w:val="BodyTextIndent21"/>
        <w:ind w:left="0" w:firstLine="0"/>
        <w:rPr>
          <w:strike/>
          <w:szCs w:val="24"/>
          <w:lang w:val="el-GR"/>
        </w:rPr>
      </w:pPr>
    </w:p>
    <w:p w:rsidR="007364F9" w:rsidRPr="001513F9" w:rsidRDefault="007364F9" w:rsidP="007364F9">
      <w:pPr>
        <w:jc w:val="both"/>
      </w:pPr>
      <w:r w:rsidRPr="001513F9">
        <w:t xml:space="preserve">Αφυδάτωση, παραλυτικός ειλεός, εντερική απόφραξη, υποκαλιαιμία, μεταβολική οξέωση και νεφρική βλάβη ενδέχεται να προκληθούν από σοβαρή διάρροια/έμετο, ιδιαίτερα επί χορήγησης του </w:t>
      </w:r>
      <w:r w:rsidRPr="001513F9">
        <w:lastRenderedPageBreak/>
        <w:t xml:space="preserve">συνδυασμού οξαλιπλατίνης με </w:t>
      </w:r>
      <w:r w:rsidR="00767322" w:rsidRPr="001513F9">
        <w:t>5-φ</w:t>
      </w:r>
      <w:r w:rsidRPr="001513F9">
        <w:t>θοριουρακίλη (</w:t>
      </w:r>
      <w:r w:rsidR="00767322" w:rsidRPr="001513F9">
        <w:t>5-F</w:t>
      </w:r>
      <w:r w:rsidRPr="001513F9">
        <w:rPr>
          <w:lang w:val="en-US"/>
        </w:rPr>
        <w:t>U</w:t>
      </w:r>
      <w:r w:rsidRPr="001513F9">
        <w:t>) (βλ. παράγραφο 4.4).</w:t>
      </w:r>
    </w:p>
    <w:p w:rsidR="007364F9" w:rsidRPr="001513F9" w:rsidRDefault="007364F9" w:rsidP="007364F9">
      <w:pPr>
        <w:jc w:val="both"/>
        <w:rPr>
          <w:iCs/>
          <w:szCs w:val="22"/>
        </w:rPr>
      </w:pPr>
    </w:p>
    <w:p w:rsidR="007364F9" w:rsidRPr="00C06019" w:rsidRDefault="007364F9" w:rsidP="007364F9">
      <w:pPr>
        <w:rPr>
          <w:b/>
          <w:u w:val="single"/>
        </w:rPr>
      </w:pPr>
      <w:r w:rsidRPr="001513F9">
        <w:rPr>
          <w:b/>
          <w:u w:val="single"/>
        </w:rPr>
        <w:t xml:space="preserve">Διαταραχές </w:t>
      </w:r>
      <w:r w:rsidR="00B55622" w:rsidRPr="001513F9">
        <w:rPr>
          <w:b/>
          <w:u w:val="single"/>
        </w:rPr>
        <w:t xml:space="preserve">του </w:t>
      </w:r>
      <w:r w:rsidRPr="001513F9">
        <w:rPr>
          <w:b/>
          <w:u w:val="single"/>
        </w:rPr>
        <w:t xml:space="preserve">ήπατος και </w:t>
      </w:r>
      <w:r w:rsidR="00B55622" w:rsidRPr="001513F9">
        <w:rPr>
          <w:b/>
          <w:u w:val="single"/>
        </w:rPr>
        <w:t xml:space="preserve">των </w:t>
      </w:r>
      <w:r w:rsidRPr="001513F9">
        <w:rPr>
          <w:b/>
          <w:u w:val="single"/>
        </w:rPr>
        <w:t>χοληφόρων</w:t>
      </w:r>
    </w:p>
    <w:p w:rsidR="00161CBC" w:rsidRPr="00C06019" w:rsidRDefault="00161CBC" w:rsidP="007364F9">
      <w:pPr>
        <w:rPr>
          <w:i/>
        </w:rPr>
      </w:pPr>
    </w:p>
    <w:p w:rsidR="007364F9" w:rsidRPr="000B008B" w:rsidRDefault="007364F9" w:rsidP="007364F9">
      <w:pPr>
        <w:rPr>
          <w:i/>
        </w:rPr>
      </w:pPr>
      <w:r w:rsidRPr="000B008B">
        <w:rPr>
          <w:i/>
        </w:rPr>
        <w:t>Πολύ σπάνιες (&lt;1/10000):</w:t>
      </w:r>
    </w:p>
    <w:p w:rsidR="007364F9" w:rsidRPr="009530F7" w:rsidRDefault="007364F9" w:rsidP="007364F9">
      <w:r w:rsidRPr="001513F9">
        <w:t>Σύνδρομο κολποειδούς απόφραξης του ήπατος, επίσης γνωστό ως φλεβοαποφρακτική ηπατοπάθεια, ή παθολογικές εκδηλώσεις που σχετίζονται με τέτοιου είδους ηπατικές διαταραχές, συμπεριλαμβανομένης της ηπατικής πελίωσης, της οζώδους αναγεννητικής υπερπλασίας</w:t>
      </w:r>
      <w:r w:rsidR="009530F7">
        <w:t xml:space="preserve"> και</w:t>
      </w:r>
      <w:r w:rsidRPr="009530F7">
        <w:t xml:space="preserve"> της περικολποειδούς ίνωσης. Οι κλινικές εκδηλώσεις μπορεί να είναι πυλαία υπέρταση και/ή αυξημένες τρανσαμινάσες. </w:t>
      </w:r>
    </w:p>
    <w:p w:rsidR="007364F9" w:rsidRPr="001513F9" w:rsidRDefault="007364F9" w:rsidP="007364F9"/>
    <w:p w:rsidR="007364F9" w:rsidRPr="00C06019" w:rsidRDefault="007364F9" w:rsidP="007364F9">
      <w:pPr>
        <w:rPr>
          <w:b/>
          <w:u w:val="single"/>
        </w:rPr>
      </w:pPr>
      <w:r w:rsidRPr="001513F9">
        <w:rPr>
          <w:b/>
          <w:u w:val="single"/>
        </w:rPr>
        <w:t>Διαταραχές</w:t>
      </w:r>
      <w:r w:rsidRPr="00C06019">
        <w:rPr>
          <w:b/>
          <w:u w:val="single"/>
        </w:rPr>
        <w:t xml:space="preserve"> των νεφρών και των ουροφόρων οδών</w:t>
      </w:r>
    </w:p>
    <w:p w:rsidR="00161CBC" w:rsidRPr="001513F9" w:rsidRDefault="00161CBC" w:rsidP="007364F9">
      <w:pPr>
        <w:rPr>
          <w:i/>
        </w:rPr>
      </w:pPr>
    </w:p>
    <w:p w:rsidR="007364F9" w:rsidRPr="00C06019" w:rsidRDefault="00781118" w:rsidP="007364F9">
      <w:pPr>
        <w:rPr>
          <w:i/>
        </w:rPr>
      </w:pPr>
      <w:r w:rsidRPr="00C06019">
        <w:rPr>
          <w:i/>
        </w:rPr>
        <w:t xml:space="preserve">Πολύ σπάνιες </w:t>
      </w:r>
      <w:r w:rsidR="007364F9" w:rsidRPr="001513F9">
        <w:rPr>
          <w:i/>
        </w:rPr>
        <w:t>(&lt;</w:t>
      </w:r>
      <w:r w:rsidR="007364F9" w:rsidRPr="00C06019">
        <w:rPr>
          <w:i/>
        </w:rPr>
        <w:t>1/10000):</w:t>
      </w:r>
    </w:p>
    <w:p w:rsidR="00B55622" w:rsidRPr="000B008B" w:rsidRDefault="00B55622" w:rsidP="00B55622">
      <w:pPr>
        <w:ind w:right="-12"/>
        <w:jc w:val="both"/>
        <w:rPr>
          <w:iCs/>
          <w:szCs w:val="22"/>
        </w:rPr>
      </w:pPr>
      <w:r w:rsidRPr="000B008B">
        <w:rPr>
          <w:iCs/>
          <w:szCs w:val="22"/>
        </w:rPr>
        <w:t>Οξεία σωληναριακή νέκρωση, οξεία διάμεση νεφρίτιδα και οξεία νεφρική ανεπάρκεια.</w:t>
      </w:r>
    </w:p>
    <w:p w:rsidR="007364F9" w:rsidRPr="001513F9" w:rsidRDefault="007364F9" w:rsidP="007364F9">
      <w:pPr>
        <w:jc w:val="both"/>
        <w:rPr>
          <w:iCs/>
          <w:szCs w:val="22"/>
        </w:rPr>
      </w:pPr>
    </w:p>
    <w:p w:rsidR="007364F9" w:rsidRPr="001513F9" w:rsidRDefault="007364F9" w:rsidP="007364F9">
      <w:pPr>
        <w:rPr>
          <w:noProof/>
        </w:rPr>
      </w:pPr>
      <w:r w:rsidRPr="001513F9">
        <w:rPr>
          <w:b/>
          <w:noProof/>
        </w:rPr>
        <w:t>4.9</w:t>
      </w:r>
      <w:r w:rsidRPr="001513F9">
        <w:rPr>
          <w:b/>
          <w:noProof/>
        </w:rPr>
        <w:tab/>
        <w:t>Υπερδοσολογία</w:t>
      </w:r>
    </w:p>
    <w:p w:rsidR="007364F9" w:rsidRPr="001513F9" w:rsidRDefault="007364F9" w:rsidP="007364F9">
      <w:pPr>
        <w:rPr>
          <w:noProof/>
        </w:rPr>
      </w:pPr>
    </w:p>
    <w:p w:rsidR="007364F9" w:rsidRPr="001513F9" w:rsidRDefault="007364F9" w:rsidP="007364F9">
      <w:pPr>
        <w:rPr>
          <w:noProof/>
        </w:rPr>
      </w:pPr>
      <w:r w:rsidRPr="001513F9">
        <w:rPr>
          <w:szCs w:val="22"/>
        </w:rPr>
        <w:t>Δεν υπάρχει γνωστό αντίδοτο της οξαλιπλατίνης. Σε περιπτώσεις υπερδοσολογίας, είναι αναμενόμενη η επιδείνωση των ανεπιθύμητων ενεργειών. Θα πρέπει να αρχίσει η παρακολούθηση των αιματολογικών παραμέτρων και να χορηγείται συμπτωματική αγωγή.</w:t>
      </w:r>
    </w:p>
    <w:p w:rsidR="007364F9" w:rsidRPr="001513F9" w:rsidRDefault="007364F9" w:rsidP="007364F9">
      <w:pPr>
        <w:rPr>
          <w:noProof/>
        </w:rPr>
      </w:pPr>
    </w:p>
    <w:p w:rsidR="007364F9" w:rsidRPr="001513F9" w:rsidRDefault="007364F9" w:rsidP="007364F9">
      <w:pPr>
        <w:rPr>
          <w:noProof/>
        </w:rPr>
      </w:pPr>
    </w:p>
    <w:p w:rsidR="007364F9" w:rsidRPr="001513F9" w:rsidRDefault="007364F9" w:rsidP="007364F9">
      <w:pPr>
        <w:rPr>
          <w:noProof/>
        </w:rPr>
      </w:pPr>
      <w:r w:rsidRPr="001513F9">
        <w:rPr>
          <w:b/>
          <w:noProof/>
        </w:rPr>
        <w:t>5.</w:t>
      </w:r>
      <w:r w:rsidRPr="001513F9">
        <w:rPr>
          <w:b/>
          <w:noProof/>
        </w:rPr>
        <w:tab/>
        <w:t>ΦΑΡΜΑΚΟΛΟΓΙΚΕΣ ΙΔΙΟΤΗΤΕΣ</w:t>
      </w:r>
    </w:p>
    <w:p w:rsidR="007364F9" w:rsidRPr="001513F9" w:rsidRDefault="007364F9" w:rsidP="007364F9">
      <w:pPr>
        <w:rPr>
          <w:noProof/>
        </w:rPr>
      </w:pPr>
    </w:p>
    <w:p w:rsidR="007364F9" w:rsidRPr="001513F9" w:rsidRDefault="007364F9" w:rsidP="007364F9">
      <w:pPr>
        <w:rPr>
          <w:noProof/>
        </w:rPr>
      </w:pPr>
      <w:r w:rsidRPr="001513F9">
        <w:rPr>
          <w:b/>
          <w:noProof/>
        </w:rPr>
        <w:t>5.1</w:t>
      </w:r>
      <w:r w:rsidRPr="001513F9">
        <w:rPr>
          <w:b/>
          <w:noProof/>
        </w:rPr>
        <w:tab/>
        <w:t>Φαρμακοδυναμικές ιδιότητες</w:t>
      </w:r>
    </w:p>
    <w:p w:rsidR="007364F9" w:rsidRPr="001513F9" w:rsidRDefault="007364F9" w:rsidP="007364F9">
      <w:pPr>
        <w:rPr>
          <w:noProof/>
        </w:rPr>
      </w:pPr>
    </w:p>
    <w:p w:rsidR="007364F9" w:rsidRPr="001513F9" w:rsidRDefault="007364F9" w:rsidP="007364F9">
      <w:pPr>
        <w:rPr>
          <w:noProof/>
        </w:rPr>
      </w:pPr>
      <w:r w:rsidRPr="001513F9">
        <w:rPr>
          <w:noProof/>
        </w:rPr>
        <w:t xml:space="preserve">Φαρμακοθεραπευτική κατηγορία: Άλλοι αντινεοπλασματικοί παράγοντες, </w:t>
      </w:r>
      <w:r w:rsidR="00161CBC" w:rsidRPr="001513F9">
        <w:rPr>
          <w:noProof/>
        </w:rPr>
        <w:t>ενώσεις</w:t>
      </w:r>
      <w:r w:rsidRPr="001513F9">
        <w:rPr>
          <w:noProof/>
        </w:rPr>
        <w:t xml:space="preserve"> </w:t>
      </w:r>
      <w:r w:rsidR="000A5220" w:rsidRPr="001513F9">
        <w:rPr>
          <w:noProof/>
        </w:rPr>
        <w:t>λευκοχρύσου</w:t>
      </w:r>
    </w:p>
    <w:p w:rsidR="007364F9" w:rsidRPr="001513F9" w:rsidRDefault="007364F9" w:rsidP="007364F9">
      <w:pPr>
        <w:rPr>
          <w:noProof/>
        </w:rPr>
      </w:pPr>
      <w:r w:rsidRPr="001513F9">
        <w:rPr>
          <w:noProof/>
        </w:rPr>
        <w:t xml:space="preserve">Κωδικός ATC: </w:t>
      </w:r>
      <w:r w:rsidRPr="001513F9">
        <w:rPr>
          <w:noProof/>
          <w:lang w:val="en-US"/>
        </w:rPr>
        <w:t>L</w:t>
      </w:r>
      <w:r w:rsidRPr="001513F9">
        <w:rPr>
          <w:noProof/>
        </w:rPr>
        <w:t>01</w:t>
      </w:r>
      <w:r w:rsidRPr="001513F9">
        <w:rPr>
          <w:noProof/>
          <w:lang w:val="en-US"/>
        </w:rPr>
        <w:t>XA</w:t>
      </w:r>
      <w:r w:rsidRPr="001513F9">
        <w:rPr>
          <w:noProof/>
        </w:rPr>
        <w:t>03</w:t>
      </w:r>
    </w:p>
    <w:p w:rsidR="007364F9" w:rsidRPr="001513F9" w:rsidRDefault="007364F9" w:rsidP="007364F9">
      <w:pPr>
        <w:rPr>
          <w:noProof/>
        </w:rPr>
      </w:pPr>
    </w:p>
    <w:p w:rsidR="007364F9" w:rsidRPr="001513F9" w:rsidRDefault="007364F9" w:rsidP="007364F9">
      <w:pPr>
        <w:numPr>
          <w:ilvl w:val="12"/>
          <w:numId w:val="0"/>
        </w:numPr>
        <w:jc w:val="both"/>
        <w:rPr>
          <w:szCs w:val="22"/>
        </w:rPr>
      </w:pPr>
      <w:r w:rsidRPr="001513F9">
        <w:rPr>
          <w:szCs w:val="22"/>
        </w:rPr>
        <w:t xml:space="preserve">Η οξαλιπλατίνη είναι μία αντινεοπλασματική δραστική ουσία που ανήκει σε μια νέα κατηγορία παραγώγων </w:t>
      </w:r>
      <w:r w:rsidR="000A5220" w:rsidRPr="001513F9">
        <w:rPr>
          <w:noProof/>
        </w:rPr>
        <w:t xml:space="preserve">λευκοχρύσου </w:t>
      </w:r>
      <w:r w:rsidRPr="001513F9">
        <w:rPr>
          <w:szCs w:val="22"/>
        </w:rPr>
        <w:t>στα οποία το άτομο τ</w:t>
      </w:r>
      <w:r w:rsidR="000A5220" w:rsidRPr="001513F9">
        <w:rPr>
          <w:szCs w:val="22"/>
        </w:rPr>
        <w:t>ου</w:t>
      </w:r>
      <w:r w:rsidRPr="001513F9">
        <w:rPr>
          <w:szCs w:val="22"/>
        </w:rPr>
        <w:t xml:space="preserve"> </w:t>
      </w:r>
      <w:r w:rsidR="000A5220" w:rsidRPr="001513F9">
        <w:rPr>
          <w:noProof/>
        </w:rPr>
        <w:t xml:space="preserve">λευκοχρύσου </w:t>
      </w:r>
      <w:r w:rsidRPr="001513F9">
        <w:rPr>
          <w:szCs w:val="22"/>
        </w:rPr>
        <w:t>δημιουργεί σύμπλοκα με το 1,2-διαμινοκυκλοεξάνιο («</w:t>
      </w:r>
      <w:r w:rsidRPr="001513F9">
        <w:rPr>
          <w:szCs w:val="22"/>
          <w:lang w:val="en-GB"/>
        </w:rPr>
        <w:t>DACH</w:t>
      </w:r>
      <w:r w:rsidRPr="001513F9">
        <w:rPr>
          <w:szCs w:val="22"/>
        </w:rPr>
        <w:t xml:space="preserve">») και με μια οξαλική ομάδα. </w:t>
      </w:r>
    </w:p>
    <w:p w:rsidR="007364F9" w:rsidRPr="001513F9" w:rsidRDefault="007364F9" w:rsidP="007364F9">
      <w:pPr>
        <w:numPr>
          <w:ilvl w:val="12"/>
          <w:numId w:val="0"/>
        </w:numPr>
        <w:tabs>
          <w:tab w:val="left" w:pos="9060"/>
        </w:tabs>
        <w:jc w:val="both"/>
        <w:rPr>
          <w:szCs w:val="22"/>
        </w:rPr>
      </w:pPr>
      <w:r w:rsidRPr="001513F9">
        <w:rPr>
          <w:szCs w:val="22"/>
        </w:rPr>
        <w:t xml:space="preserve">Η οξαλιπλατίνη είναι ένα μονό εναντιομερές, το </w:t>
      </w:r>
      <w:r w:rsidRPr="001513F9">
        <w:rPr>
          <w:rStyle w:val="s1"/>
          <w:rFonts w:ascii="Times New Roman" w:hAnsi="Times New Roman" w:cs="Times New Roman"/>
          <w:szCs w:val="22"/>
        </w:rPr>
        <w:t>(</w:t>
      </w:r>
      <w:r w:rsidRPr="001513F9">
        <w:rPr>
          <w:rStyle w:val="s1"/>
          <w:rFonts w:ascii="Times New Roman" w:hAnsi="Times New Roman" w:cs="Times New Roman"/>
          <w:i/>
          <w:szCs w:val="22"/>
        </w:rPr>
        <w:t>SP</w:t>
      </w:r>
      <w:r w:rsidRPr="001513F9">
        <w:rPr>
          <w:rStyle w:val="s1"/>
          <w:rFonts w:ascii="Times New Roman" w:hAnsi="Times New Roman" w:cs="Times New Roman"/>
          <w:szCs w:val="22"/>
        </w:rPr>
        <w:t>-4-2)-[(1R,2R)-Cyclohexane-1,2-diamine-kN, kN'] [ethanedioato(2-)-kO</w:t>
      </w:r>
      <w:r w:rsidRPr="001513F9">
        <w:rPr>
          <w:rStyle w:val="f101"/>
          <w:sz w:val="22"/>
          <w:szCs w:val="22"/>
          <w:vertAlign w:val="superscript"/>
        </w:rPr>
        <w:t>1</w:t>
      </w:r>
      <w:r w:rsidRPr="001513F9">
        <w:rPr>
          <w:rStyle w:val="s1"/>
          <w:rFonts w:ascii="Times New Roman" w:hAnsi="Times New Roman" w:cs="Times New Roman"/>
          <w:szCs w:val="22"/>
        </w:rPr>
        <w:t>, kO</w:t>
      </w:r>
      <w:r w:rsidRPr="001513F9">
        <w:rPr>
          <w:rStyle w:val="f101"/>
          <w:sz w:val="22"/>
          <w:szCs w:val="22"/>
          <w:vertAlign w:val="superscript"/>
        </w:rPr>
        <w:t>2</w:t>
      </w:r>
      <w:r w:rsidRPr="001513F9">
        <w:rPr>
          <w:rStyle w:val="s1"/>
          <w:rFonts w:ascii="Times New Roman" w:hAnsi="Times New Roman" w:cs="Times New Roman"/>
          <w:szCs w:val="22"/>
        </w:rPr>
        <w:t>]</w:t>
      </w:r>
      <w:r w:rsidRPr="001513F9">
        <w:rPr>
          <w:szCs w:val="22"/>
        </w:rPr>
        <w:t xml:space="preserve"> platinum.</w:t>
      </w:r>
    </w:p>
    <w:p w:rsidR="007364F9" w:rsidRPr="001513F9" w:rsidRDefault="007364F9" w:rsidP="007364F9">
      <w:pPr>
        <w:numPr>
          <w:ilvl w:val="12"/>
          <w:numId w:val="0"/>
        </w:numPr>
        <w:ind w:left="60"/>
        <w:jc w:val="both"/>
        <w:rPr>
          <w:szCs w:val="22"/>
        </w:rPr>
      </w:pPr>
    </w:p>
    <w:p w:rsidR="007364F9" w:rsidRPr="001513F9" w:rsidRDefault="007364F9" w:rsidP="007364F9">
      <w:pPr>
        <w:numPr>
          <w:ilvl w:val="12"/>
          <w:numId w:val="0"/>
        </w:numPr>
        <w:jc w:val="both"/>
        <w:rPr>
          <w:szCs w:val="22"/>
        </w:rPr>
      </w:pPr>
      <w:r w:rsidRPr="001513F9">
        <w:rPr>
          <w:szCs w:val="22"/>
        </w:rPr>
        <w:t xml:space="preserve">Η οξαλιπλατίνη επιδεικνύει ένα ευρύ φάσμα τόσο </w:t>
      </w:r>
      <w:r w:rsidRPr="001513F9">
        <w:rPr>
          <w:i/>
          <w:szCs w:val="22"/>
          <w:lang w:val="en-GB"/>
        </w:rPr>
        <w:t>in</w:t>
      </w:r>
      <w:r w:rsidRPr="001513F9">
        <w:rPr>
          <w:i/>
          <w:szCs w:val="22"/>
        </w:rPr>
        <w:t xml:space="preserve"> </w:t>
      </w:r>
      <w:r w:rsidRPr="001513F9">
        <w:rPr>
          <w:i/>
          <w:szCs w:val="22"/>
          <w:lang w:val="en-GB"/>
        </w:rPr>
        <w:t>vitro</w:t>
      </w:r>
      <w:r w:rsidRPr="001513F9">
        <w:rPr>
          <w:szCs w:val="22"/>
        </w:rPr>
        <w:t xml:space="preserve"> κυτταροτοξικότητας όσο και </w:t>
      </w:r>
      <w:r w:rsidRPr="001513F9">
        <w:rPr>
          <w:i/>
          <w:szCs w:val="22"/>
          <w:lang w:val="en-GB"/>
        </w:rPr>
        <w:t>in</w:t>
      </w:r>
      <w:r w:rsidRPr="001513F9">
        <w:rPr>
          <w:i/>
          <w:szCs w:val="22"/>
        </w:rPr>
        <w:t xml:space="preserve"> </w:t>
      </w:r>
      <w:r w:rsidRPr="001513F9">
        <w:rPr>
          <w:i/>
          <w:szCs w:val="22"/>
          <w:lang w:val="en-GB"/>
        </w:rPr>
        <w:t>vivo</w:t>
      </w:r>
      <w:r w:rsidRPr="001513F9">
        <w:rPr>
          <w:szCs w:val="22"/>
        </w:rPr>
        <w:t xml:space="preserve"> αντικαρκινικής δράσης, σε δι</w:t>
      </w:r>
      <w:r w:rsidR="00DF7BC6">
        <w:rPr>
          <w:szCs w:val="22"/>
        </w:rPr>
        <w:t>άφορα</w:t>
      </w:r>
      <w:r w:rsidRPr="001513F9">
        <w:rPr>
          <w:szCs w:val="22"/>
        </w:rPr>
        <w:t xml:space="preserve"> συστήματα μοντέλων όγκων, συμπεριλαμβανομένων και εκείνων του </w:t>
      </w:r>
      <w:r w:rsidR="00DF7BC6">
        <w:rPr>
          <w:szCs w:val="22"/>
        </w:rPr>
        <w:t>α</w:t>
      </w:r>
      <w:r w:rsidR="00DF7BC6" w:rsidRPr="005B201E">
        <w:rPr>
          <w:szCs w:val="22"/>
        </w:rPr>
        <w:t>νθρ</w:t>
      </w:r>
      <w:r w:rsidR="00DF7BC6">
        <w:rPr>
          <w:szCs w:val="22"/>
        </w:rPr>
        <w:t>ώ</w:t>
      </w:r>
      <w:r w:rsidR="00DF7BC6" w:rsidRPr="005B201E">
        <w:rPr>
          <w:szCs w:val="22"/>
        </w:rPr>
        <w:t>π</w:t>
      </w:r>
      <w:r w:rsidR="00DF7BC6">
        <w:rPr>
          <w:szCs w:val="22"/>
        </w:rPr>
        <w:t>ιν</w:t>
      </w:r>
      <w:r w:rsidR="00DF7BC6" w:rsidRPr="005B201E">
        <w:rPr>
          <w:szCs w:val="22"/>
        </w:rPr>
        <w:t>ο</w:t>
      </w:r>
      <w:r w:rsidR="00DF7BC6">
        <w:rPr>
          <w:szCs w:val="22"/>
        </w:rPr>
        <w:t>υ καρκίνου</w:t>
      </w:r>
      <w:r w:rsidR="00DF7BC6" w:rsidRPr="001513F9">
        <w:rPr>
          <w:szCs w:val="22"/>
        </w:rPr>
        <w:t xml:space="preserve"> </w:t>
      </w:r>
      <w:r w:rsidRPr="001513F9">
        <w:rPr>
          <w:szCs w:val="22"/>
        </w:rPr>
        <w:t xml:space="preserve">παχέος εντέρου </w:t>
      </w:r>
      <w:r w:rsidR="000A5220" w:rsidRPr="001513F9">
        <w:rPr>
          <w:bCs/>
        </w:rPr>
        <w:t>και  ορθού</w:t>
      </w:r>
      <w:r w:rsidRPr="001513F9">
        <w:rPr>
          <w:szCs w:val="22"/>
        </w:rPr>
        <w:t xml:space="preserve">. Η οξαλιπλατίνη επίσης εμφανίζει </w:t>
      </w:r>
      <w:r w:rsidRPr="001513F9">
        <w:rPr>
          <w:i/>
          <w:szCs w:val="22"/>
          <w:lang w:val="en-GB"/>
        </w:rPr>
        <w:t>in</w:t>
      </w:r>
      <w:r w:rsidRPr="001513F9">
        <w:rPr>
          <w:i/>
          <w:szCs w:val="22"/>
        </w:rPr>
        <w:t xml:space="preserve"> </w:t>
      </w:r>
      <w:r w:rsidRPr="001513F9">
        <w:rPr>
          <w:i/>
          <w:szCs w:val="22"/>
          <w:lang w:val="en-GB"/>
        </w:rPr>
        <w:t>vitro</w:t>
      </w:r>
      <w:r w:rsidRPr="001513F9">
        <w:rPr>
          <w:i/>
          <w:szCs w:val="22"/>
        </w:rPr>
        <w:t xml:space="preserve"> </w:t>
      </w:r>
      <w:r w:rsidRPr="001513F9">
        <w:rPr>
          <w:szCs w:val="22"/>
        </w:rPr>
        <w:t xml:space="preserve">και </w:t>
      </w:r>
      <w:r w:rsidRPr="001513F9">
        <w:rPr>
          <w:i/>
          <w:szCs w:val="22"/>
          <w:lang w:val="en-GB"/>
        </w:rPr>
        <w:t>in</w:t>
      </w:r>
      <w:r w:rsidRPr="001513F9">
        <w:rPr>
          <w:i/>
          <w:szCs w:val="22"/>
        </w:rPr>
        <w:t xml:space="preserve"> </w:t>
      </w:r>
      <w:r w:rsidRPr="001513F9">
        <w:rPr>
          <w:i/>
          <w:szCs w:val="22"/>
          <w:lang w:val="en-GB"/>
        </w:rPr>
        <w:t>vivo</w:t>
      </w:r>
      <w:r w:rsidRPr="001513F9">
        <w:rPr>
          <w:szCs w:val="22"/>
        </w:rPr>
        <w:t xml:space="preserve"> δράση σε διάφορα μοντέλα ανθεκτικά στη σισπλατίνη.</w:t>
      </w:r>
    </w:p>
    <w:p w:rsidR="007364F9" w:rsidRPr="001513F9" w:rsidRDefault="007364F9" w:rsidP="007364F9">
      <w:pPr>
        <w:numPr>
          <w:ilvl w:val="12"/>
          <w:numId w:val="0"/>
        </w:numPr>
        <w:tabs>
          <w:tab w:val="left" w:pos="9060"/>
        </w:tabs>
        <w:jc w:val="both"/>
        <w:rPr>
          <w:szCs w:val="22"/>
        </w:rPr>
      </w:pPr>
      <w:r w:rsidRPr="001513F9">
        <w:rPr>
          <w:szCs w:val="22"/>
        </w:rPr>
        <w:t>Έχει παρατηρηθεί συνεργι</w:t>
      </w:r>
      <w:r w:rsidR="00DF7BC6">
        <w:rPr>
          <w:szCs w:val="22"/>
        </w:rPr>
        <w:t>στι</w:t>
      </w:r>
      <w:r w:rsidRPr="001513F9">
        <w:rPr>
          <w:szCs w:val="22"/>
        </w:rPr>
        <w:t xml:space="preserve">κή κυτταροτοξική δράση σε συνδυασμό με την </w:t>
      </w:r>
      <w:r w:rsidR="00767322" w:rsidRPr="001513F9">
        <w:rPr>
          <w:szCs w:val="22"/>
        </w:rPr>
        <w:t>5-φ</w:t>
      </w:r>
      <w:r w:rsidRPr="001513F9">
        <w:rPr>
          <w:szCs w:val="22"/>
        </w:rPr>
        <w:t xml:space="preserve">θοριοουρακίλη </w:t>
      </w:r>
      <w:r w:rsidRPr="001513F9">
        <w:t>(</w:t>
      </w:r>
      <w:r w:rsidR="00767322" w:rsidRPr="001513F9">
        <w:t>5-F</w:t>
      </w:r>
      <w:r w:rsidRPr="001513F9">
        <w:rPr>
          <w:lang w:val="en-US"/>
        </w:rPr>
        <w:t>U</w:t>
      </w:r>
      <w:r w:rsidRPr="001513F9">
        <w:t>)</w:t>
      </w:r>
      <w:r w:rsidRPr="001513F9">
        <w:rPr>
          <w:szCs w:val="22"/>
        </w:rPr>
        <w:t xml:space="preserve">, τόσο </w:t>
      </w:r>
      <w:r w:rsidRPr="001513F9">
        <w:rPr>
          <w:i/>
          <w:szCs w:val="22"/>
          <w:lang w:val="en-GB"/>
        </w:rPr>
        <w:t>in</w:t>
      </w:r>
      <w:r w:rsidRPr="001513F9">
        <w:rPr>
          <w:i/>
          <w:szCs w:val="22"/>
        </w:rPr>
        <w:t xml:space="preserve"> </w:t>
      </w:r>
      <w:r w:rsidRPr="001513F9">
        <w:rPr>
          <w:i/>
          <w:szCs w:val="22"/>
          <w:lang w:val="en-GB"/>
        </w:rPr>
        <w:t>vitro</w:t>
      </w:r>
      <w:r w:rsidRPr="001513F9">
        <w:rPr>
          <w:szCs w:val="22"/>
        </w:rPr>
        <w:t xml:space="preserve"> όσο και </w:t>
      </w:r>
      <w:r w:rsidRPr="001513F9">
        <w:rPr>
          <w:i/>
          <w:szCs w:val="22"/>
          <w:lang w:val="en-GB"/>
        </w:rPr>
        <w:t>in</w:t>
      </w:r>
      <w:r w:rsidRPr="001513F9">
        <w:rPr>
          <w:i/>
          <w:szCs w:val="22"/>
        </w:rPr>
        <w:t xml:space="preserve"> </w:t>
      </w:r>
      <w:r w:rsidRPr="001513F9">
        <w:rPr>
          <w:i/>
          <w:szCs w:val="22"/>
          <w:lang w:val="en-GB"/>
        </w:rPr>
        <w:t>vivo</w:t>
      </w:r>
      <w:r w:rsidRPr="001513F9">
        <w:rPr>
          <w:szCs w:val="22"/>
        </w:rPr>
        <w:t xml:space="preserve">. </w:t>
      </w:r>
    </w:p>
    <w:p w:rsidR="007364F9" w:rsidRPr="001513F9" w:rsidRDefault="007364F9" w:rsidP="007364F9">
      <w:pPr>
        <w:pStyle w:val="BodyText21"/>
        <w:ind w:left="0"/>
        <w:rPr>
          <w:sz w:val="22"/>
          <w:szCs w:val="22"/>
          <w:lang w:val="el-GR"/>
        </w:rPr>
      </w:pPr>
      <w:r w:rsidRPr="001513F9">
        <w:rPr>
          <w:sz w:val="22"/>
          <w:szCs w:val="22"/>
          <w:lang w:val="el-GR"/>
        </w:rPr>
        <w:t xml:space="preserve">Μελέτες του μηχανισμού δράσης της οξαλιπλατίνης, παρόλο που αυτό δεν έχει ακόμα πλήρως διευκρινιστεί, δείχνουν ότι τα ενυδατωμένα παράγωγα που προέρχονται από τη βιομετατροπή της οξαλιπλατίνης, αλληλεπιδρούν με το </w:t>
      </w:r>
      <w:r w:rsidRPr="001513F9">
        <w:rPr>
          <w:sz w:val="22"/>
          <w:szCs w:val="22"/>
        </w:rPr>
        <w:t>DNA</w:t>
      </w:r>
      <w:r w:rsidRPr="001513F9">
        <w:rPr>
          <w:sz w:val="22"/>
          <w:szCs w:val="22"/>
          <w:lang w:val="el-GR"/>
        </w:rPr>
        <w:t xml:space="preserve"> σχηματίζοντας ενδο- και </w:t>
      </w:r>
      <w:r w:rsidR="00781118" w:rsidRPr="001513F9">
        <w:rPr>
          <w:sz w:val="22"/>
          <w:szCs w:val="22"/>
          <w:lang w:val="el-GR"/>
        </w:rPr>
        <w:t>διακλωνικές</w:t>
      </w:r>
      <w:r w:rsidRPr="001513F9">
        <w:rPr>
          <w:sz w:val="22"/>
          <w:szCs w:val="22"/>
          <w:lang w:val="el-GR"/>
        </w:rPr>
        <w:t xml:space="preserve"> διασταυρούμενες </w:t>
      </w:r>
      <w:r w:rsidR="000A5220" w:rsidRPr="001513F9">
        <w:rPr>
          <w:sz w:val="22"/>
          <w:szCs w:val="22"/>
          <w:lang w:val="el-GR"/>
        </w:rPr>
        <w:t>συνδέσεις</w:t>
      </w:r>
      <w:r w:rsidRPr="001513F9">
        <w:rPr>
          <w:sz w:val="22"/>
          <w:szCs w:val="22"/>
          <w:lang w:val="el-GR"/>
        </w:rPr>
        <w:t xml:space="preserve">, αναστέλλοντας με αυτό τον τρόπο τη σύνθεση του </w:t>
      </w:r>
      <w:r w:rsidRPr="001513F9">
        <w:rPr>
          <w:sz w:val="22"/>
          <w:szCs w:val="22"/>
        </w:rPr>
        <w:t>DNA</w:t>
      </w:r>
      <w:r w:rsidRPr="001513F9">
        <w:rPr>
          <w:sz w:val="22"/>
          <w:szCs w:val="22"/>
          <w:lang w:val="el-GR"/>
        </w:rPr>
        <w:t>, που έχει ως αποτέλεσμα την κυτταροτοξική και την αντικαρκινική δράση.</w:t>
      </w:r>
    </w:p>
    <w:p w:rsidR="007364F9" w:rsidRPr="001513F9" w:rsidRDefault="007364F9" w:rsidP="007364F9">
      <w:pPr>
        <w:tabs>
          <w:tab w:val="left" w:pos="426"/>
        </w:tabs>
        <w:jc w:val="both"/>
        <w:rPr>
          <w:szCs w:val="22"/>
          <w:lang w:eastAsia="fr-FR"/>
        </w:rPr>
      </w:pPr>
    </w:p>
    <w:p w:rsidR="007364F9" w:rsidRPr="001513F9" w:rsidRDefault="007364F9" w:rsidP="007364F9">
      <w:pPr>
        <w:tabs>
          <w:tab w:val="left" w:pos="426"/>
          <w:tab w:val="left" w:pos="9072"/>
        </w:tabs>
        <w:jc w:val="both"/>
        <w:rPr>
          <w:szCs w:val="22"/>
        </w:rPr>
      </w:pPr>
      <w:r w:rsidRPr="001513F9">
        <w:rPr>
          <w:szCs w:val="22"/>
        </w:rPr>
        <w:t>Σε ασθενείς με μεταστατικό καρκίνο του παχέος εντέρου, η αποτελεσματικότητα της οξαλιπλατίνης (δοσολογία των 85</w:t>
      </w:r>
      <w:r w:rsidR="000A5220" w:rsidRPr="001513F9">
        <w:rPr>
          <w:szCs w:val="22"/>
        </w:rPr>
        <w:t> </w:t>
      </w:r>
      <w:r w:rsidRPr="001513F9">
        <w:rPr>
          <w:szCs w:val="22"/>
          <w:lang w:val="en-GB"/>
        </w:rPr>
        <w:t>mg</w:t>
      </w:r>
      <w:r w:rsidRPr="001513F9">
        <w:rPr>
          <w:szCs w:val="22"/>
        </w:rPr>
        <w:t>/</w:t>
      </w:r>
      <w:r w:rsidRPr="001513F9">
        <w:rPr>
          <w:szCs w:val="22"/>
          <w:lang w:val="en-GB"/>
        </w:rPr>
        <w:t>m</w:t>
      </w:r>
      <w:r w:rsidRPr="001513F9">
        <w:rPr>
          <w:szCs w:val="22"/>
          <w:vertAlign w:val="superscript"/>
        </w:rPr>
        <w:t xml:space="preserve">2 </w:t>
      </w:r>
      <w:r w:rsidRPr="001513F9">
        <w:rPr>
          <w:szCs w:val="22"/>
        </w:rPr>
        <w:t xml:space="preserve">επαναλαμβανόμενη κάθε δύο εβδομάδες) σε συνδυασμό με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0A5220" w:rsidRPr="001513F9">
        <w:t>υλ</w:t>
      </w:r>
      <w:r w:rsidR="00CC7CA5" w:rsidRPr="001513F9">
        <w:t>λ</w:t>
      </w:r>
      <w:r w:rsidRPr="001513F9">
        <w:t>ινικό οξύ</w:t>
      </w:r>
      <w:r w:rsidRPr="001513F9">
        <w:rPr>
          <w:bCs/>
        </w:rPr>
        <w:t xml:space="preserve"> (FA) </w:t>
      </w:r>
      <w:r w:rsidRPr="001513F9">
        <w:rPr>
          <w:szCs w:val="22"/>
        </w:rPr>
        <w:t>αναφέρεται σε τρεις κλινικές μελέτες:</w:t>
      </w:r>
    </w:p>
    <w:p w:rsidR="00C97FF0" w:rsidRPr="001513F9" w:rsidRDefault="00C97FF0" w:rsidP="007364F9">
      <w:pPr>
        <w:tabs>
          <w:tab w:val="left" w:pos="426"/>
          <w:tab w:val="left" w:pos="9072"/>
        </w:tabs>
        <w:jc w:val="both"/>
        <w:rPr>
          <w:szCs w:val="22"/>
        </w:rPr>
      </w:pPr>
    </w:p>
    <w:p w:rsidR="007364F9" w:rsidRPr="001513F9" w:rsidRDefault="007364F9" w:rsidP="007364F9">
      <w:pPr>
        <w:widowControl/>
        <w:numPr>
          <w:ilvl w:val="0"/>
          <w:numId w:val="21"/>
        </w:numPr>
        <w:tabs>
          <w:tab w:val="left" w:pos="426"/>
        </w:tabs>
        <w:jc w:val="both"/>
        <w:rPr>
          <w:szCs w:val="22"/>
        </w:rPr>
      </w:pPr>
      <w:r w:rsidRPr="001513F9">
        <w:rPr>
          <w:szCs w:val="22"/>
        </w:rPr>
        <w:t xml:space="preserve">Σε θεραπεία πρώτης γραμμής, </w:t>
      </w:r>
      <w:r w:rsidR="00DF7BC6">
        <w:rPr>
          <w:szCs w:val="22"/>
        </w:rPr>
        <w:t>κατά τ</w:t>
      </w:r>
      <w:r w:rsidRPr="001513F9">
        <w:rPr>
          <w:szCs w:val="22"/>
        </w:rPr>
        <w:t>η συγκριτική μελέτη</w:t>
      </w:r>
      <w:r w:rsidR="00C42BB8">
        <w:rPr>
          <w:szCs w:val="22"/>
        </w:rPr>
        <w:t>,</w:t>
      </w:r>
      <w:r w:rsidRPr="001513F9">
        <w:rPr>
          <w:szCs w:val="22"/>
        </w:rPr>
        <w:t xml:space="preserve"> </w:t>
      </w:r>
      <w:r w:rsidR="00C42BB8" w:rsidRPr="00C75F24">
        <w:rPr>
          <w:szCs w:val="22"/>
        </w:rPr>
        <w:t>δύο σκελών</w:t>
      </w:r>
      <w:r w:rsidR="008A685D">
        <w:rPr>
          <w:szCs w:val="22"/>
        </w:rPr>
        <w:t>,</w:t>
      </w:r>
      <w:r w:rsidR="00C42BB8" w:rsidRPr="00BE0D1F">
        <w:rPr>
          <w:szCs w:val="22"/>
        </w:rPr>
        <w:t xml:space="preserve"> </w:t>
      </w:r>
      <w:r w:rsidR="008A685D" w:rsidRPr="00BC5696">
        <w:rPr>
          <w:szCs w:val="22"/>
        </w:rPr>
        <w:t xml:space="preserve">φάσης ΙΙΙ, </w:t>
      </w:r>
      <w:r w:rsidRPr="001513F9">
        <w:rPr>
          <w:szCs w:val="22"/>
          <w:lang w:val="en-GB"/>
        </w:rPr>
        <w:t>EFC</w:t>
      </w:r>
      <w:r w:rsidRPr="001513F9">
        <w:rPr>
          <w:szCs w:val="22"/>
        </w:rPr>
        <w:t xml:space="preserve">2962 , </w:t>
      </w:r>
      <w:r w:rsidR="00C42BB8" w:rsidRPr="009500B2">
        <w:rPr>
          <w:szCs w:val="22"/>
        </w:rPr>
        <w:t xml:space="preserve">420 ασθενείς </w:t>
      </w:r>
      <w:r w:rsidR="00C42BB8" w:rsidRPr="001513F9">
        <w:rPr>
          <w:szCs w:val="22"/>
        </w:rPr>
        <w:t>τυχαιοπο</w:t>
      </w:r>
      <w:r w:rsidR="00C42BB8">
        <w:rPr>
          <w:szCs w:val="22"/>
        </w:rPr>
        <w:t>ιήθηκαν</w:t>
      </w:r>
      <w:r w:rsidR="00C42BB8" w:rsidRPr="001513F9">
        <w:rPr>
          <w:szCs w:val="22"/>
        </w:rPr>
        <w:t xml:space="preserve"> </w:t>
      </w:r>
      <w:r w:rsidR="00C42BB8">
        <w:rPr>
          <w:szCs w:val="22"/>
        </w:rPr>
        <w:t xml:space="preserve">για να τους χορηγείται </w:t>
      </w:r>
      <w:r w:rsidRPr="001513F9">
        <w:rPr>
          <w:szCs w:val="22"/>
        </w:rPr>
        <w:t xml:space="preserve">είτε μονοθεραπεία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0A5220" w:rsidRPr="001513F9">
        <w:t>υλ</w:t>
      </w:r>
      <w:r w:rsidR="00CC7CA5" w:rsidRPr="001513F9">
        <w:t>λ</w:t>
      </w:r>
      <w:r w:rsidRPr="001513F9">
        <w:t>ινικό οξύ</w:t>
      </w:r>
      <w:r w:rsidRPr="001513F9">
        <w:rPr>
          <w:bCs/>
        </w:rPr>
        <w:t xml:space="preserve"> (FA) </w:t>
      </w:r>
      <w:r w:rsidRPr="001513F9">
        <w:rPr>
          <w:szCs w:val="22"/>
        </w:rPr>
        <w:t>(</w:t>
      </w:r>
      <w:r w:rsidRPr="001513F9">
        <w:rPr>
          <w:szCs w:val="22"/>
          <w:lang w:val="en-GB"/>
        </w:rPr>
        <w:t>LV</w:t>
      </w:r>
      <w:r w:rsidRPr="001513F9">
        <w:rPr>
          <w:szCs w:val="22"/>
        </w:rPr>
        <w:t>5</w:t>
      </w:r>
      <w:r w:rsidRPr="001513F9">
        <w:rPr>
          <w:szCs w:val="22"/>
          <w:lang w:val="en-GB"/>
        </w:rPr>
        <w:t>FU</w:t>
      </w:r>
      <w:r w:rsidRPr="001513F9">
        <w:rPr>
          <w:szCs w:val="22"/>
        </w:rPr>
        <w:t>2, N=210) είτε συνδυασμό</w:t>
      </w:r>
      <w:r w:rsidR="00C42BB8">
        <w:rPr>
          <w:szCs w:val="22"/>
        </w:rPr>
        <w:t>ς</w:t>
      </w:r>
      <w:r w:rsidRPr="001513F9">
        <w:rPr>
          <w:szCs w:val="22"/>
        </w:rPr>
        <w:t xml:space="preserve"> οξαλιπλατίνης με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522E30" w:rsidRPr="001513F9">
        <w:t>υλ</w:t>
      </w:r>
      <w:r w:rsidR="00CC7CA5" w:rsidRPr="001513F9">
        <w:t>λ</w:t>
      </w:r>
      <w:r w:rsidRPr="001513F9">
        <w:t>ινικό οξύ</w:t>
      </w:r>
      <w:r w:rsidRPr="001513F9">
        <w:rPr>
          <w:bCs/>
        </w:rPr>
        <w:t xml:space="preserve"> (FA) </w:t>
      </w:r>
      <w:r w:rsidRPr="001513F9">
        <w:rPr>
          <w:szCs w:val="22"/>
        </w:rPr>
        <w:t>(</w:t>
      </w:r>
      <w:r w:rsidRPr="001513F9">
        <w:rPr>
          <w:szCs w:val="22"/>
          <w:lang w:val="en-GB"/>
        </w:rPr>
        <w:t>FOLFOX</w:t>
      </w:r>
      <w:r w:rsidRPr="001513F9">
        <w:rPr>
          <w:szCs w:val="22"/>
        </w:rPr>
        <w:t>4, N=210).</w:t>
      </w:r>
    </w:p>
    <w:p w:rsidR="007364F9" w:rsidRPr="001513F9" w:rsidRDefault="007364F9" w:rsidP="007364F9">
      <w:pPr>
        <w:widowControl/>
        <w:numPr>
          <w:ilvl w:val="0"/>
          <w:numId w:val="21"/>
        </w:numPr>
        <w:jc w:val="both"/>
        <w:rPr>
          <w:bCs/>
          <w:szCs w:val="22"/>
        </w:rPr>
      </w:pPr>
      <w:r w:rsidRPr="001513F9">
        <w:rPr>
          <w:szCs w:val="22"/>
        </w:rPr>
        <w:t xml:space="preserve">Σε ασθενείς που έχουν λάβει προηγούμενη θεραπεία, </w:t>
      </w:r>
      <w:r w:rsidR="00C42BB8">
        <w:rPr>
          <w:szCs w:val="22"/>
        </w:rPr>
        <w:t>κατά τ</w:t>
      </w:r>
      <w:r w:rsidRPr="001513F9">
        <w:rPr>
          <w:szCs w:val="22"/>
        </w:rPr>
        <w:t>η</w:t>
      </w:r>
      <w:r w:rsidR="00C42BB8">
        <w:rPr>
          <w:szCs w:val="22"/>
        </w:rPr>
        <w:t xml:space="preserve">ν </w:t>
      </w:r>
      <w:r w:rsidR="00C42BB8" w:rsidRPr="00BB587B">
        <w:rPr>
          <w:szCs w:val="22"/>
        </w:rPr>
        <w:t>τριών σκελών</w:t>
      </w:r>
      <w:r w:rsidR="00C42BB8" w:rsidRPr="001513F9">
        <w:rPr>
          <w:szCs w:val="22"/>
        </w:rPr>
        <w:t xml:space="preserve"> </w:t>
      </w:r>
      <w:r w:rsidRPr="001513F9">
        <w:rPr>
          <w:szCs w:val="22"/>
        </w:rPr>
        <w:t xml:space="preserve">συγκριτική μελέτη </w:t>
      </w:r>
      <w:r w:rsidR="008A685D" w:rsidRPr="009A3A95">
        <w:rPr>
          <w:szCs w:val="22"/>
        </w:rPr>
        <w:t>φάσης ΙΙΙ</w:t>
      </w:r>
      <w:r w:rsidR="008A685D" w:rsidRPr="001513F9">
        <w:rPr>
          <w:szCs w:val="22"/>
        </w:rPr>
        <w:t xml:space="preserve"> </w:t>
      </w:r>
      <w:r w:rsidRPr="001513F9">
        <w:rPr>
          <w:szCs w:val="22"/>
          <w:lang w:val="en-GB"/>
        </w:rPr>
        <w:t>EFC</w:t>
      </w:r>
      <w:r w:rsidRPr="001513F9">
        <w:rPr>
          <w:szCs w:val="22"/>
        </w:rPr>
        <w:t xml:space="preserve">4584 , </w:t>
      </w:r>
      <w:r w:rsidR="00C42BB8">
        <w:rPr>
          <w:szCs w:val="22"/>
        </w:rPr>
        <w:t>,</w:t>
      </w:r>
      <w:r w:rsidRPr="001513F9">
        <w:rPr>
          <w:szCs w:val="22"/>
        </w:rPr>
        <w:t xml:space="preserve"> </w:t>
      </w:r>
      <w:r w:rsidR="00C42BB8" w:rsidRPr="003C31D3">
        <w:rPr>
          <w:szCs w:val="22"/>
        </w:rPr>
        <w:t>821 ανθεκτικο</w:t>
      </w:r>
      <w:r w:rsidR="00C42BB8">
        <w:rPr>
          <w:szCs w:val="22"/>
        </w:rPr>
        <w:t>ί</w:t>
      </w:r>
      <w:r w:rsidR="00C42BB8" w:rsidRPr="003C31D3">
        <w:rPr>
          <w:szCs w:val="22"/>
        </w:rPr>
        <w:t xml:space="preserve"> στο συνδυασμό ιρινοτεκάνης (</w:t>
      </w:r>
      <w:r w:rsidR="00C42BB8" w:rsidRPr="003C31D3">
        <w:rPr>
          <w:szCs w:val="22"/>
          <w:lang w:val="en-GB"/>
        </w:rPr>
        <w:t>CPT</w:t>
      </w:r>
      <w:r w:rsidR="00C42BB8" w:rsidRPr="003C31D3">
        <w:rPr>
          <w:szCs w:val="22"/>
        </w:rPr>
        <w:t xml:space="preserve">-11) + </w:t>
      </w:r>
      <w:r w:rsidR="00C42BB8" w:rsidRPr="003C31D3">
        <w:t>5-</w:t>
      </w:r>
      <w:r w:rsidR="00C42BB8" w:rsidRPr="003C31D3">
        <w:lastRenderedPageBreak/>
        <w:t>φθοριοουρακίλη (5-F</w:t>
      </w:r>
      <w:r w:rsidR="00C42BB8" w:rsidRPr="003C31D3">
        <w:rPr>
          <w:lang w:val="en-US"/>
        </w:rPr>
        <w:t>U</w:t>
      </w:r>
      <w:r w:rsidR="00C42BB8" w:rsidRPr="003C31D3">
        <w:t>)/φυλλινικό οξύ</w:t>
      </w:r>
      <w:r w:rsidR="00C42BB8" w:rsidRPr="003C31D3">
        <w:rPr>
          <w:bCs/>
        </w:rPr>
        <w:t xml:space="preserve"> (FA)</w:t>
      </w:r>
      <w:r w:rsidR="00C42BB8" w:rsidRPr="00C42BB8">
        <w:rPr>
          <w:szCs w:val="22"/>
        </w:rPr>
        <w:t xml:space="preserve"> </w:t>
      </w:r>
      <w:r w:rsidR="00C42BB8" w:rsidRPr="003C31D3">
        <w:rPr>
          <w:szCs w:val="22"/>
        </w:rPr>
        <w:t>ασθενείς</w:t>
      </w:r>
      <w:r w:rsidR="00C42BB8" w:rsidRPr="001513F9">
        <w:rPr>
          <w:szCs w:val="22"/>
        </w:rPr>
        <w:t xml:space="preserve"> </w:t>
      </w:r>
      <w:r w:rsidRPr="001513F9">
        <w:rPr>
          <w:szCs w:val="22"/>
        </w:rPr>
        <w:t>τυχαιοπο</w:t>
      </w:r>
      <w:r w:rsidR="00C42BB8">
        <w:rPr>
          <w:szCs w:val="22"/>
        </w:rPr>
        <w:t xml:space="preserve">ιήθηκαν </w:t>
      </w:r>
      <w:r w:rsidRPr="001513F9">
        <w:rPr>
          <w:szCs w:val="22"/>
        </w:rPr>
        <w:t xml:space="preserve"> </w:t>
      </w:r>
      <w:r w:rsidRPr="001513F9">
        <w:rPr>
          <w:bCs/>
          <w:szCs w:val="22"/>
        </w:rPr>
        <w:t xml:space="preserve"> </w:t>
      </w:r>
      <w:r w:rsidR="00C42BB8">
        <w:rPr>
          <w:bCs/>
          <w:szCs w:val="22"/>
        </w:rPr>
        <w:t xml:space="preserve">για να </w:t>
      </w:r>
      <w:r w:rsidR="008A685D">
        <w:rPr>
          <w:bCs/>
          <w:szCs w:val="22"/>
        </w:rPr>
        <w:t xml:space="preserve">τους χορηγείται </w:t>
      </w:r>
      <w:r w:rsidRPr="001513F9">
        <w:rPr>
          <w:szCs w:val="22"/>
        </w:rPr>
        <w:t xml:space="preserve">είτε  μονοθεραπεία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5C0AC9" w:rsidRPr="001513F9">
        <w:t>υλ</w:t>
      </w:r>
      <w:r w:rsidR="00CC7CA5" w:rsidRPr="001513F9">
        <w:t>λ</w:t>
      </w:r>
      <w:r w:rsidRPr="001513F9">
        <w:t>ινικό οξύ</w:t>
      </w:r>
      <w:r w:rsidRPr="001513F9">
        <w:rPr>
          <w:bCs/>
        </w:rPr>
        <w:t xml:space="preserve"> (FA) </w:t>
      </w:r>
      <w:r w:rsidRPr="001513F9">
        <w:rPr>
          <w:szCs w:val="22"/>
        </w:rPr>
        <w:t>(</w:t>
      </w:r>
      <w:r w:rsidRPr="001513F9">
        <w:rPr>
          <w:szCs w:val="22"/>
          <w:lang w:val="en-GB"/>
        </w:rPr>
        <w:t>LV</w:t>
      </w:r>
      <w:r w:rsidRPr="001513F9">
        <w:rPr>
          <w:szCs w:val="22"/>
        </w:rPr>
        <w:t>5</w:t>
      </w:r>
      <w:r w:rsidRPr="001513F9">
        <w:rPr>
          <w:szCs w:val="22"/>
          <w:lang w:val="en-GB"/>
        </w:rPr>
        <w:t>FU</w:t>
      </w:r>
      <w:r w:rsidRPr="001513F9">
        <w:rPr>
          <w:szCs w:val="22"/>
        </w:rPr>
        <w:t xml:space="preserve">2, </w:t>
      </w:r>
      <w:r w:rsidRPr="001513F9">
        <w:rPr>
          <w:bCs/>
          <w:szCs w:val="22"/>
        </w:rPr>
        <w:t>N=275</w:t>
      </w:r>
      <w:r w:rsidRPr="001513F9">
        <w:rPr>
          <w:szCs w:val="22"/>
        </w:rPr>
        <w:t>), είτε μονοθεραπεία οξαλιπλατίνης (</w:t>
      </w:r>
      <w:r w:rsidRPr="001513F9">
        <w:rPr>
          <w:bCs/>
          <w:szCs w:val="22"/>
        </w:rPr>
        <w:t xml:space="preserve">N=275) </w:t>
      </w:r>
      <w:r w:rsidRPr="001513F9">
        <w:rPr>
          <w:szCs w:val="22"/>
        </w:rPr>
        <w:t xml:space="preserve">ή  συνδυασμό οξαλιπλατίνης με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656758" w:rsidRPr="001513F9">
        <w:t>υλ</w:t>
      </w:r>
      <w:r w:rsidR="00CC7CA5" w:rsidRPr="001513F9">
        <w:t>λ</w:t>
      </w:r>
      <w:r w:rsidRPr="001513F9">
        <w:t>ινικό οξύ</w:t>
      </w:r>
      <w:r w:rsidRPr="001513F9">
        <w:rPr>
          <w:bCs/>
        </w:rPr>
        <w:t xml:space="preserve"> (FA) </w:t>
      </w:r>
      <w:r w:rsidRPr="001513F9">
        <w:rPr>
          <w:szCs w:val="22"/>
        </w:rPr>
        <w:t>(</w:t>
      </w:r>
      <w:r w:rsidRPr="001513F9">
        <w:rPr>
          <w:szCs w:val="22"/>
          <w:lang w:val="en-GB"/>
        </w:rPr>
        <w:t>FOLFOX</w:t>
      </w:r>
      <w:r w:rsidRPr="001513F9">
        <w:rPr>
          <w:szCs w:val="22"/>
        </w:rPr>
        <w:t xml:space="preserve">4, </w:t>
      </w:r>
      <w:r w:rsidRPr="001513F9">
        <w:rPr>
          <w:bCs/>
          <w:szCs w:val="22"/>
        </w:rPr>
        <w:t>N=271</w:t>
      </w:r>
      <w:r w:rsidRPr="001513F9">
        <w:rPr>
          <w:szCs w:val="22"/>
        </w:rPr>
        <w:t>)</w:t>
      </w:r>
      <w:r w:rsidR="00C97FF0" w:rsidRPr="001513F9">
        <w:rPr>
          <w:szCs w:val="22"/>
        </w:rPr>
        <w:t>.</w:t>
      </w:r>
    </w:p>
    <w:p w:rsidR="007364F9" w:rsidRPr="001513F9" w:rsidRDefault="007364F9" w:rsidP="007364F9">
      <w:pPr>
        <w:widowControl/>
        <w:numPr>
          <w:ilvl w:val="0"/>
          <w:numId w:val="21"/>
        </w:numPr>
        <w:tabs>
          <w:tab w:val="left" w:pos="426"/>
        </w:tabs>
        <w:jc w:val="both"/>
        <w:rPr>
          <w:szCs w:val="22"/>
        </w:rPr>
      </w:pPr>
      <w:r w:rsidRPr="001513F9">
        <w:rPr>
          <w:szCs w:val="22"/>
        </w:rPr>
        <w:t>Τ</w:t>
      </w:r>
      <w:r w:rsidR="008A685D">
        <w:rPr>
          <w:szCs w:val="22"/>
        </w:rPr>
        <w:t>έλος</w:t>
      </w:r>
      <w:r w:rsidRPr="001513F9">
        <w:rPr>
          <w:szCs w:val="22"/>
        </w:rPr>
        <w:t xml:space="preserve">, </w:t>
      </w:r>
      <w:r w:rsidR="008A685D">
        <w:rPr>
          <w:szCs w:val="22"/>
        </w:rPr>
        <w:t>κατά τη</w:t>
      </w:r>
      <w:r w:rsidR="008A685D" w:rsidRPr="001513F9">
        <w:rPr>
          <w:szCs w:val="22"/>
        </w:rPr>
        <w:t xml:space="preserve"> </w:t>
      </w:r>
      <w:r w:rsidR="00767322" w:rsidRPr="001513F9">
        <w:rPr>
          <w:szCs w:val="22"/>
        </w:rPr>
        <w:t>μη-</w:t>
      </w:r>
      <w:r w:rsidRPr="001513F9">
        <w:rPr>
          <w:szCs w:val="22"/>
        </w:rPr>
        <w:t xml:space="preserve">ελεγχόμενη μελέτη </w:t>
      </w:r>
      <w:r w:rsidR="008A685D" w:rsidRPr="009A4BDC">
        <w:rPr>
          <w:szCs w:val="22"/>
        </w:rPr>
        <w:t xml:space="preserve">φάσης ΙΙ </w:t>
      </w:r>
      <w:r w:rsidRPr="001513F9">
        <w:rPr>
          <w:szCs w:val="22"/>
          <w:lang w:val="en-GB"/>
        </w:rPr>
        <w:t>EFC</w:t>
      </w:r>
      <w:r w:rsidRPr="001513F9">
        <w:rPr>
          <w:szCs w:val="22"/>
        </w:rPr>
        <w:t xml:space="preserve">2964 </w:t>
      </w:r>
      <w:r w:rsidR="008A685D" w:rsidRPr="001513F9">
        <w:rPr>
          <w:szCs w:val="22"/>
        </w:rPr>
        <w:t>συμπερι</w:t>
      </w:r>
      <w:r w:rsidR="008A685D">
        <w:rPr>
          <w:szCs w:val="22"/>
        </w:rPr>
        <w:t>λήφθησαν</w:t>
      </w:r>
      <w:r w:rsidRPr="001513F9">
        <w:rPr>
          <w:szCs w:val="22"/>
        </w:rPr>
        <w:t xml:space="preserve"> ανθεκτικ</w:t>
      </w:r>
      <w:r w:rsidR="008A685D">
        <w:rPr>
          <w:szCs w:val="22"/>
        </w:rPr>
        <w:t>οί</w:t>
      </w:r>
      <w:r w:rsidRPr="001513F9">
        <w:rPr>
          <w:szCs w:val="22"/>
        </w:rPr>
        <w:t xml:space="preserve"> στη μονοθεραπεία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656758" w:rsidRPr="001513F9">
        <w:t>υλ</w:t>
      </w:r>
      <w:r w:rsidR="00CC7CA5" w:rsidRPr="001513F9">
        <w:t>λ</w:t>
      </w:r>
      <w:r w:rsidRPr="001513F9">
        <w:t>ινικό οξύ</w:t>
      </w:r>
      <w:r w:rsidRPr="001513F9">
        <w:rPr>
          <w:bCs/>
        </w:rPr>
        <w:t xml:space="preserve"> (FA)</w:t>
      </w:r>
      <w:r w:rsidRPr="001513F9">
        <w:rPr>
          <w:szCs w:val="22"/>
        </w:rPr>
        <w:t xml:space="preserve"> </w:t>
      </w:r>
      <w:r w:rsidR="008A685D" w:rsidRPr="004375A9">
        <w:rPr>
          <w:szCs w:val="22"/>
        </w:rPr>
        <w:t>ασθενείς</w:t>
      </w:r>
      <w:r w:rsidR="008A685D">
        <w:rPr>
          <w:szCs w:val="22"/>
        </w:rPr>
        <w:t>,</w:t>
      </w:r>
      <w:r w:rsidR="008A685D" w:rsidRPr="001513F9">
        <w:rPr>
          <w:szCs w:val="22"/>
        </w:rPr>
        <w:t xml:space="preserve"> </w:t>
      </w:r>
      <w:r w:rsidRPr="001513F9">
        <w:rPr>
          <w:szCs w:val="22"/>
        </w:rPr>
        <w:t xml:space="preserve">οι οποίοι λάμβαναν το συνδυασμό οξαλιπλατίνης και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656758" w:rsidRPr="001513F9">
        <w:t>υλ</w:t>
      </w:r>
      <w:r w:rsidR="00CC7CA5" w:rsidRPr="001513F9">
        <w:t>λ</w:t>
      </w:r>
      <w:r w:rsidRPr="001513F9">
        <w:t>ινικό οξύ</w:t>
      </w:r>
      <w:r w:rsidRPr="001513F9">
        <w:rPr>
          <w:bCs/>
        </w:rPr>
        <w:t xml:space="preserve"> (FA) </w:t>
      </w:r>
      <w:r w:rsidRPr="001513F9">
        <w:rPr>
          <w:szCs w:val="22"/>
        </w:rPr>
        <w:t>(</w:t>
      </w:r>
      <w:r w:rsidRPr="001513F9">
        <w:rPr>
          <w:szCs w:val="22"/>
          <w:lang w:val="en-GB"/>
        </w:rPr>
        <w:t>FOLFOX</w:t>
      </w:r>
      <w:r w:rsidRPr="001513F9">
        <w:rPr>
          <w:szCs w:val="22"/>
        </w:rPr>
        <w:t>4, Ν=57)</w:t>
      </w:r>
      <w:r w:rsidR="00C97FF0" w:rsidRPr="001513F9">
        <w:rPr>
          <w:szCs w:val="22"/>
        </w:rPr>
        <w:t>.</w:t>
      </w:r>
    </w:p>
    <w:p w:rsidR="007364F9" w:rsidRPr="001513F9" w:rsidRDefault="007364F9" w:rsidP="007364F9">
      <w:pPr>
        <w:tabs>
          <w:tab w:val="left" w:pos="426"/>
        </w:tabs>
        <w:ind w:left="693"/>
        <w:jc w:val="both"/>
        <w:rPr>
          <w:szCs w:val="22"/>
        </w:rPr>
      </w:pPr>
    </w:p>
    <w:p w:rsidR="007364F9" w:rsidRPr="001513F9" w:rsidRDefault="007364F9" w:rsidP="007364F9">
      <w:pPr>
        <w:tabs>
          <w:tab w:val="left" w:pos="426"/>
        </w:tabs>
        <w:jc w:val="both"/>
        <w:rPr>
          <w:bCs/>
          <w:szCs w:val="22"/>
        </w:rPr>
      </w:pPr>
      <w:r w:rsidRPr="001513F9">
        <w:rPr>
          <w:szCs w:val="22"/>
        </w:rPr>
        <w:t xml:space="preserve">Οι δύο τυχαιοποιημένες κλινικές μελέτες, η </w:t>
      </w:r>
      <w:r w:rsidRPr="001513F9">
        <w:rPr>
          <w:szCs w:val="22"/>
          <w:lang w:val="en-GB"/>
        </w:rPr>
        <w:t>EFC</w:t>
      </w:r>
      <w:r w:rsidRPr="001513F9">
        <w:rPr>
          <w:szCs w:val="22"/>
        </w:rPr>
        <w:t xml:space="preserve">2962 για τη θεραπεία πρώτης γραμμής και η </w:t>
      </w:r>
      <w:r w:rsidRPr="001513F9">
        <w:rPr>
          <w:szCs w:val="22"/>
          <w:lang w:val="en-GB"/>
        </w:rPr>
        <w:t>EFC</w:t>
      </w:r>
      <w:r w:rsidRPr="001513F9">
        <w:rPr>
          <w:szCs w:val="22"/>
        </w:rPr>
        <w:t>4584 για τους ασθενείς που είχαν λάβει προηγούμενη θεραπεία, κατέδειξαν έναν σημαντικά μεγαλύτερο βαθμό ανταπόκρισης και μία παρατεταμένη</w:t>
      </w:r>
      <w:r w:rsidR="00F64258" w:rsidRPr="001513F9">
        <w:rPr>
          <w:szCs w:val="22"/>
        </w:rPr>
        <w:t>,</w:t>
      </w:r>
      <w:r w:rsidRPr="001513F9">
        <w:rPr>
          <w:szCs w:val="22"/>
        </w:rPr>
        <w:t xml:space="preserve"> ελεύθερη εξέλιξης</w:t>
      </w:r>
      <w:r w:rsidR="00F64258" w:rsidRPr="001513F9">
        <w:rPr>
          <w:szCs w:val="22"/>
        </w:rPr>
        <w:t>,</w:t>
      </w:r>
      <w:r w:rsidRPr="001513F9">
        <w:rPr>
          <w:szCs w:val="22"/>
        </w:rPr>
        <w:t xml:space="preserve"> </w:t>
      </w:r>
      <w:r w:rsidR="00F64258" w:rsidRPr="001513F9">
        <w:rPr>
          <w:szCs w:val="22"/>
        </w:rPr>
        <w:t xml:space="preserve">επιβίωση </w:t>
      </w:r>
      <w:r w:rsidRPr="001513F9">
        <w:rPr>
          <w:szCs w:val="22"/>
        </w:rPr>
        <w:t>(</w:t>
      </w:r>
      <w:r w:rsidRPr="001513F9">
        <w:rPr>
          <w:szCs w:val="22"/>
          <w:lang w:val="en-GB"/>
        </w:rPr>
        <w:t>PFS</w:t>
      </w:r>
      <w:r w:rsidRPr="001513F9">
        <w:rPr>
          <w:szCs w:val="22"/>
        </w:rPr>
        <w:t>)/χρόνο έως την ε</w:t>
      </w:r>
      <w:r w:rsidR="00F64258" w:rsidRPr="001513F9">
        <w:rPr>
          <w:szCs w:val="22"/>
        </w:rPr>
        <w:t>ξέλιξη</w:t>
      </w:r>
      <w:r w:rsidRPr="001513F9">
        <w:rPr>
          <w:szCs w:val="22"/>
        </w:rPr>
        <w:t xml:space="preserve"> (</w:t>
      </w:r>
      <w:r w:rsidRPr="001513F9">
        <w:rPr>
          <w:szCs w:val="22"/>
          <w:lang w:val="en-GB"/>
        </w:rPr>
        <w:t>TTP</w:t>
      </w:r>
      <w:r w:rsidRPr="001513F9">
        <w:rPr>
          <w:szCs w:val="22"/>
        </w:rPr>
        <w:t xml:space="preserve">) σε σύγκριση με τη μονοθεραπεία </w:t>
      </w:r>
      <w:r w:rsidR="00767322" w:rsidRPr="001513F9">
        <w:rPr>
          <w:szCs w:val="22"/>
        </w:rPr>
        <w:t>5-F</w:t>
      </w:r>
      <w:r w:rsidRPr="001513F9">
        <w:rPr>
          <w:szCs w:val="22"/>
        </w:rPr>
        <w:t xml:space="preserve">U/FA. </w:t>
      </w:r>
    </w:p>
    <w:p w:rsidR="007364F9" w:rsidRPr="001513F9" w:rsidRDefault="007364F9" w:rsidP="007364F9">
      <w:pPr>
        <w:numPr>
          <w:ilvl w:val="12"/>
          <w:numId w:val="0"/>
        </w:numPr>
        <w:rPr>
          <w:bCs/>
          <w:szCs w:val="22"/>
        </w:rPr>
      </w:pPr>
      <w:r w:rsidRPr="001513F9">
        <w:rPr>
          <w:szCs w:val="22"/>
        </w:rPr>
        <w:t xml:space="preserve">Στη μελέτη </w:t>
      </w:r>
      <w:r w:rsidRPr="001513F9">
        <w:rPr>
          <w:bCs/>
          <w:szCs w:val="22"/>
        </w:rPr>
        <w:t xml:space="preserve">EFC4584 που διεξήχθη σε ασθενείς που έχουν λάβει προηγούμενη θεραπεία και είναι ανθεκτικοί σε αυτή, η διαφορά στη διάμεση συνολική επιβίωση (OS) ανάμεσα στο συνδυασμό οξαλιπλατίνης και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656758" w:rsidRPr="001513F9">
        <w:t>υλ</w:t>
      </w:r>
      <w:r w:rsidR="00CC7CA5" w:rsidRPr="001513F9">
        <w:t>λ</w:t>
      </w:r>
      <w:r w:rsidRPr="001513F9">
        <w:t>ινικό οξύ</w:t>
      </w:r>
      <w:r w:rsidRPr="001513F9">
        <w:rPr>
          <w:bCs/>
        </w:rPr>
        <w:t xml:space="preserve"> (FA) </w:t>
      </w:r>
      <w:r w:rsidRPr="001513F9">
        <w:rPr>
          <w:bCs/>
          <w:szCs w:val="22"/>
        </w:rPr>
        <w:t>δεν είχε στατιστική σημαντικότητα</w:t>
      </w:r>
    </w:p>
    <w:p w:rsidR="007364F9" w:rsidRPr="001513F9" w:rsidRDefault="007364F9" w:rsidP="007364F9">
      <w:pPr>
        <w:rPr>
          <w:noProof/>
        </w:rPr>
      </w:pPr>
    </w:p>
    <w:p w:rsidR="007364F9" w:rsidRPr="001513F9" w:rsidRDefault="007364F9" w:rsidP="007364F9">
      <w:pPr>
        <w:pStyle w:val="BodyText21"/>
        <w:ind w:left="693" w:hanging="720"/>
        <w:jc w:val="center"/>
        <w:rPr>
          <w:b/>
          <w:bCs/>
          <w:sz w:val="22"/>
          <w:lang w:val="el-GR"/>
        </w:rPr>
      </w:pPr>
      <w:r w:rsidRPr="001513F9">
        <w:rPr>
          <w:b/>
          <w:bCs/>
          <w:sz w:val="22"/>
          <w:szCs w:val="22"/>
          <w:lang w:val="el-GR"/>
        </w:rPr>
        <w:t xml:space="preserve">Βαθμός ανταπόκρισης στη </w:t>
      </w:r>
      <w:r w:rsidRPr="001513F9">
        <w:rPr>
          <w:b/>
          <w:bCs/>
          <w:sz w:val="22"/>
          <w:szCs w:val="22"/>
        </w:rPr>
        <w:t>FOLFOX</w:t>
      </w:r>
      <w:r w:rsidRPr="001513F9">
        <w:rPr>
          <w:b/>
          <w:bCs/>
          <w:sz w:val="22"/>
          <w:szCs w:val="22"/>
          <w:lang w:val="el-GR"/>
        </w:rPr>
        <w:t xml:space="preserve">4 έναντι της </w:t>
      </w:r>
      <w:r w:rsidRPr="001513F9">
        <w:rPr>
          <w:b/>
          <w:bCs/>
          <w:sz w:val="22"/>
          <w:szCs w:val="22"/>
        </w:rPr>
        <w:t>LV</w:t>
      </w:r>
      <w:r w:rsidRPr="001513F9">
        <w:rPr>
          <w:b/>
          <w:bCs/>
          <w:sz w:val="22"/>
          <w:szCs w:val="22"/>
          <w:lang w:val="el-GR"/>
        </w:rPr>
        <w:t>5</w:t>
      </w:r>
      <w:r w:rsidRPr="001513F9">
        <w:rPr>
          <w:b/>
          <w:bCs/>
          <w:sz w:val="22"/>
          <w:szCs w:val="22"/>
        </w:rPr>
        <w:t>FU</w:t>
      </w:r>
      <w:r w:rsidRPr="001513F9">
        <w:rPr>
          <w:b/>
          <w:bCs/>
          <w:sz w:val="22"/>
          <w:szCs w:val="22"/>
          <w:lang w:val="el-GR"/>
        </w:rPr>
        <w:t>2</w:t>
      </w:r>
    </w:p>
    <w:tbl>
      <w:tblPr>
        <w:tblW w:w="0" w:type="auto"/>
        <w:jc w:val="center"/>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3135"/>
        <w:gridCol w:w="1417"/>
        <w:gridCol w:w="1276"/>
        <w:gridCol w:w="1505"/>
      </w:tblGrid>
      <w:tr w:rsidR="007364F9" w:rsidRPr="001513F9" w:rsidTr="007364F9">
        <w:trPr>
          <w:jc w:val="center"/>
        </w:trPr>
        <w:tc>
          <w:tcPr>
            <w:tcW w:w="3135" w:type="dxa"/>
          </w:tcPr>
          <w:p w:rsidR="007364F9" w:rsidRPr="001513F9" w:rsidRDefault="007364F9" w:rsidP="007364F9">
            <w:pPr>
              <w:pStyle w:val="BodyText21"/>
              <w:ind w:left="47"/>
              <w:jc w:val="left"/>
              <w:rPr>
                <w:b/>
                <w:bCs/>
                <w:sz w:val="20"/>
                <w:lang w:val="el-GR"/>
              </w:rPr>
            </w:pPr>
            <w:r w:rsidRPr="001513F9">
              <w:rPr>
                <w:b/>
                <w:bCs/>
                <w:sz w:val="20"/>
                <w:lang w:val="el-GR"/>
              </w:rPr>
              <w:t xml:space="preserve">% βαθμός ανταπόκρισης (95% </w:t>
            </w:r>
            <w:r w:rsidRPr="001513F9">
              <w:rPr>
                <w:b/>
                <w:bCs/>
                <w:sz w:val="20"/>
              </w:rPr>
              <w:t>CI</w:t>
            </w:r>
            <w:r w:rsidRPr="001513F9">
              <w:rPr>
                <w:b/>
                <w:bCs/>
                <w:sz w:val="20"/>
                <w:lang w:val="el-GR"/>
              </w:rPr>
              <w:t>)</w:t>
            </w:r>
          </w:p>
          <w:p w:rsidR="007364F9" w:rsidRPr="001513F9" w:rsidRDefault="007364F9" w:rsidP="007364F9">
            <w:pPr>
              <w:ind w:left="47"/>
              <w:rPr>
                <w:b/>
                <w:bCs/>
                <w:sz w:val="20"/>
              </w:rPr>
            </w:pPr>
            <w:r w:rsidRPr="001513F9">
              <w:rPr>
                <w:b/>
                <w:bCs/>
                <w:sz w:val="20"/>
              </w:rPr>
              <w:t xml:space="preserve">Ανάλυση </w:t>
            </w:r>
            <w:r w:rsidR="00656758" w:rsidRPr="001513F9">
              <w:rPr>
                <w:b/>
                <w:bCs/>
                <w:sz w:val="20"/>
              </w:rPr>
              <w:t>πληθυσμού με πρόθεση προς θεραπεία (</w:t>
            </w:r>
            <w:r w:rsidRPr="001513F9">
              <w:rPr>
                <w:b/>
                <w:bCs/>
                <w:sz w:val="20"/>
                <w:lang w:val="en-GB"/>
              </w:rPr>
              <w:t>ITT</w:t>
            </w:r>
            <w:r w:rsidR="00656758" w:rsidRPr="001513F9">
              <w:rPr>
                <w:b/>
                <w:bCs/>
                <w:sz w:val="20"/>
              </w:rPr>
              <w:t>)</w:t>
            </w:r>
            <w:r w:rsidRPr="001513F9">
              <w:rPr>
                <w:b/>
                <w:bCs/>
                <w:sz w:val="20"/>
              </w:rPr>
              <w:t>, ανεξάρτητη ακτινολογικής επιθεώρησης</w:t>
            </w:r>
          </w:p>
        </w:tc>
        <w:tc>
          <w:tcPr>
            <w:tcW w:w="1417" w:type="dxa"/>
          </w:tcPr>
          <w:p w:rsidR="007364F9" w:rsidRPr="001513F9" w:rsidRDefault="007364F9" w:rsidP="007364F9">
            <w:pPr>
              <w:pStyle w:val="9"/>
              <w:jc w:val="center"/>
              <w:rPr>
                <w:rFonts w:ascii="Times New Roman" w:hAnsi="Times New Roman" w:cs="Times New Roman"/>
                <w:b/>
                <w:bCs/>
                <w:iCs/>
                <w:sz w:val="20"/>
                <w:szCs w:val="20"/>
              </w:rPr>
            </w:pPr>
            <w:r w:rsidRPr="001513F9">
              <w:rPr>
                <w:rFonts w:ascii="Times New Roman" w:hAnsi="Times New Roman" w:cs="Times New Roman"/>
                <w:b/>
                <w:bCs/>
                <w:iCs/>
                <w:sz w:val="20"/>
                <w:szCs w:val="20"/>
              </w:rPr>
              <w:t>LV5FU2</w:t>
            </w:r>
          </w:p>
        </w:tc>
        <w:tc>
          <w:tcPr>
            <w:tcW w:w="1276" w:type="dxa"/>
          </w:tcPr>
          <w:p w:rsidR="007364F9" w:rsidRPr="001513F9" w:rsidRDefault="007364F9" w:rsidP="007364F9">
            <w:pPr>
              <w:spacing w:before="240"/>
              <w:ind w:left="-96"/>
              <w:jc w:val="center"/>
              <w:rPr>
                <w:b/>
                <w:bCs/>
                <w:sz w:val="20"/>
              </w:rPr>
            </w:pPr>
            <w:r w:rsidRPr="001513F9">
              <w:rPr>
                <w:b/>
                <w:bCs/>
                <w:sz w:val="20"/>
                <w:lang w:val="en-GB"/>
              </w:rPr>
              <w:t>FOLFOX</w:t>
            </w:r>
            <w:r w:rsidRPr="001513F9">
              <w:rPr>
                <w:b/>
                <w:bCs/>
                <w:sz w:val="20"/>
              </w:rPr>
              <w:t>4</w:t>
            </w:r>
          </w:p>
        </w:tc>
        <w:tc>
          <w:tcPr>
            <w:tcW w:w="1505" w:type="dxa"/>
          </w:tcPr>
          <w:p w:rsidR="007364F9" w:rsidRPr="001513F9" w:rsidRDefault="007364F9" w:rsidP="007364F9">
            <w:pPr>
              <w:jc w:val="center"/>
              <w:rPr>
                <w:b/>
                <w:bCs/>
                <w:sz w:val="20"/>
              </w:rPr>
            </w:pPr>
            <w:r w:rsidRPr="001513F9">
              <w:rPr>
                <w:b/>
                <w:bCs/>
                <w:sz w:val="20"/>
              </w:rPr>
              <w:t>Μονοθεραπεία οξαλιπλατίνης</w:t>
            </w: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rPr>
                <w:b/>
                <w:bCs/>
                <w:sz w:val="20"/>
                <w:lang w:val="el-GR"/>
              </w:rPr>
            </w:pPr>
            <w:r w:rsidRPr="001513F9">
              <w:rPr>
                <w:b/>
                <w:bCs/>
                <w:sz w:val="20"/>
                <w:lang w:val="el-GR"/>
              </w:rPr>
              <w:t xml:space="preserve">Θεραπεία πρώτης γραμμής </w:t>
            </w:r>
          </w:p>
          <w:p w:rsidR="007364F9" w:rsidRPr="001513F9" w:rsidRDefault="007364F9" w:rsidP="007364F9">
            <w:pPr>
              <w:ind w:left="47"/>
              <w:rPr>
                <w:sz w:val="20"/>
              </w:rPr>
            </w:pPr>
            <w:r w:rsidRPr="001513F9">
              <w:rPr>
                <w:sz w:val="20"/>
              </w:rPr>
              <w:t>EFC2962</w:t>
            </w:r>
          </w:p>
        </w:tc>
        <w:tc>
          <w:tcPr>
            <w:tcW w:w="1417" w:type="dxa"/>
          </w:tcPr>
          <w:p w:rsidR="007364F9" w:rsidRPr="001513F9" w:rsidRDefault="007364F9" w:rsidP="007364F9">
            <w:pPr>
              <w:jc w:val="center"/>
              <w:rPr>
                <w:sz w:val="20"/>
              </w:rPr>
            </w:pPr>
            <w:r w:rsidRPr="001513F9">
              <w:rPr>
                <w:sz w:val="20"/>
              </w:rPr>
              <w:t>22</w:t>
            </w:r>
          </w:p>
          <w:p w:rsidR="007364F9" w:rsidRPr="001513F9" w:rsidRDefault="007364F9" w:rsidP="007364F9">
            <w:pPr>
              <w:jc w:val="center"/>
              <w:rPr>
                <w:sz w:val="20"/>
              </w:rPr>
            </w:pPr>
            <w:r w:rsidRPr="001513F9">
              <w:rPr>
                <w:sz w:val="20"/>
              </w:rPr>
              <w:t>(16-27)</w:t>
            </w:r>
          </w:p>
        </w:tc>
        <w:tc>
          <w:tcPr>
            <w:tcW w:w="1276" w:type="dxa"/>
          </w:tcPr>
          <w:p w:rsidR="007364F9" w:rsidRPr="001513F9" w:rsidRDefault="007364F9" w:rsidP="007364F9">
            <w:pPr>
              <w:jc w:val="center"/>
              <w:rPr>
                <w:sz w:val="20"/>
              </w:rPr>
            </w:pPr>
            <w:r w:rsidRPr="001513F9">
              <w:rPr>
                <w:sz w:val="20"/>
              </w:rPr>
              <w:t>49</w:t>
            </w:r>
          </w:p>
          <w:p w:rsidR="007364F9" w:rsidRPr="001513F9" w:rsidRDefault="007364F9" w:rsidP="007364F9">
            <w:pPr>
              <w:jc w:val="center"/>
              <w:rPr>
                <w:sz w:val="20"/>
              </w:rPr>
            </w:pPr>
            <w:r w:rsidRPr="001513F9">
              <w:rPr>
                <w:sz w:val="20"/>
              </w:rPr>
              <w:t>(42-</w:t>
            </w:r>
            <w:r w:rsidR="007C4A54" w:rsidRPr="001513F9">
              <w:rPr>
                <w:sz w:val="20"/>
              </w:rPr>
              <w:t>56</w:t>
            </w:r>
            <w:r w:rsidRPr="001513F9">
              <w:rPr>
                <w:sz w:val="20"/>
              </w:rPr>
              <w:t>)</w:t>
            </w:r>
          </w:p>
        </w:tc>
        <w:tc>
          <w:tcPr>
            <w:tcW w:w="1505" w:type="dxa"/>
            <w:tcBorders>
              <w:bottom w:val="nil"/>
            </w:tcBorders>
          </w:tcPr>
          <w:p w:rsidR="007364F9" w:rsidRPr="001513F9" w:rsidRDefault="007364F9" w:rsidP="007364F9">
            <w:pPr>
              <w:spacing w:before="120"/>
              <w:jc w:val="center"/>
              <w:rPr>
                <w:sz w:val="20"/>
              </w:rPr>
            </w:pPr>
            <w:r w:rsidRPr="001513F9">
              <w:rPr>
                <w:sz w:val="20"/>
              </w:rPr>
              <w:t>ΔΕ*</w:t>
            </w:r>
          </w:p>
        </w:tc>
      </w:tr>
      <w:tr w:rsidR="007364F9" w:rsidRPr="001513F9" w:rsidTr="007364F9">
        <w:trPr>
          <w:cantSplit/>
          <w:jc w:val="center"/>
        </w:trPr>
        <w:tc>
          <w:tcPr>
            <w:tcW w:w="3135" w:type="dxa"/>
            <w:tcBorders>
              <w:top w:val="nil"/>
            </w:tcBorders>
          </w:tcPr>
          <w:p w:rsidR="007364F9" w:rsidRPr="00C06019" w:rsidRDefault="007364F9" w:rsidP="007364F9">
            <w:pPr>
              <w:pStyle w:val="BodyText21"/>
              <w:ind w:left="47"/>
              <w:rPr>
                <w:sz w:val="18"/>
                <w:lang w:val="el-GR"/>
              </w:rPr>
            </w:pPr>
            <w:r w:rsidRPr="001513F9">
              <w:rPr>
                <w:sz w:val="18"/>
                <w:lang w:val="el-GR"/>
              </w:rPr>
              <w:t>Αξιολόγηση ανταπόκρισης κάθε 8 εβδομάδες</w:t>
            </w:r>
          </w:p>
        </w:tc>
        <w:tc>
          <w:tcPr>
            <w:tcW w:w="2693" w:type="dxa"/>
            <w:gridSpan w:val="2"/>
          </w:tcPr>
          <w:p w:rsidR="007364F9" w:rsidRPr="000B008B" w:rsidRDefault="007364F9" w:rsidP="007364F9">
            <w:pPr>
              <w:jc w:val="center"/>
              <w:rPr>
                <w:sz w:val="20"/>
              </w:rPr>
            </w:pPr>
            <w:r w:rsidRPr="000B008B">
              <w:rPr>
                <w:sz w:val="20"/>
              </w:rPr>
              <w:t>Τιμή P = 0,0001</w:t>
            </w:r>
          </w:p>
        </w:tc>
        <w:tc>
          <w:tcPr>
            <w:tcW w:w="1505"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jc w:val="left"/>
              <w:rPr>
                <w:sz w:val="20"/>
                <w:lang w:val="el-GR"/>
              </w:rPr>
            </w:pPr>
            <w:r w:rsidRPr="001513F9">
              <w:rPr>
                <w:b/>
                <w:bCs/>
                <w:sz w:val="20"/>
                <w:lang w:val="el-GR"/>
              </w:rPr>
              <w:t>Ασθενείς που έχουν λάβει προηγούμενη θεραπεία</w:t>
            </w:r>
            <w:r w:rsidRPr="001513F9">
              <w:rPr>
                <w:sz w:val="20"/>
                <w:lang w:val="el-GR"/>
              </w:rPr>
              <w:t xml:space="preserve"> </w:t>
            </w:r>
          </w:p>
          <w:p w:rsidR="007364F9" w:rsidRPr="001513F9" w:rsidRDefault="007364F9" w:rsidP="007364F9">
            <w:pPr>
              <w:pStyle w:val="BodyText21"/>
              <w:ind w:left="47"/>
              <w:jc w:val="left"/>
              <w:rPr>
                <w:sz w:val="20"/>
                <w:lang w:val="el-GR"/>
              </w:rPr>
            </w:pPr>
            <w:r w:rsidRPr="001513F9">
              <w:rPr>
                <w:sz w:val="20"/>
              </w:rPr>
              <w:t>EFC</w:t>
            </w:r>
            <w:r w:rsidRPr="001513F9">
              <w:rPr>
                <w:sz w:val="20"/>
                <w:lang w:val="el-GR"/>
              </w:rPr>
              <w:t xml:space="preserve">4584 </w:t>
            </w:r>
          </w:p>
          <w:p w:rsidR="007364F9" w:rsidRPr="001513F9" w:rsidRDefault="007364F9" w:rsidP="007364F9">
            <w:pPr>
              <w:pStyle w:val="BodyText21"/>
              <w:ind w:left="47"/>
              <w:jc w:val="left"/>
              <w:rPr>
                <w:sz w:val="20"/>
                <w:lang w:val="el-GR"/>
              </w:rPr>
            </w:pPr>
            <w:r w:rsidRPr="001513F9">
              <w:rPr>
                <w:sz w:val="20"/>
                <w:lang w:val="el-GR"/>
              </w:rPr>
              <w:t>(ανθεκτικοί στο συνδυασμό</w:t>
            </w:r>
          </w:p>
          <w:p w:rsidR="007364F9" w:rsidRPr="001513F9" w:rsidRDefault="007364F9" w:rsidP="007364F9">
            <w:pPr>
              <w:ind w:left="47"/>
              <w:rPr>
                <w:sz w:val="20"/>
              </w:rPr>
            </w:pPr>
            <w:r w:rsidRPr="001513F9">
              <w:rPr>
                <w:sz w:val="20"/>
                <w:lang w:val="de-DE"/>
              </w:rPr>
              <w:t>CPT</w:t>
            </w:r>
            <w:r w:rsidRPr="001513F9">
              <w:rPr>
                <w:sz w:val="20"/>
              </w:rPr>
              <w:t xml:space="preserve">-11 + </w:t>
            </w:r>
            <w:r w:rsidR="00767322" w:rsidRPr="001513F9">
              <w:rPr>
                <w:sz w:val="20"/>
              </w:rPr>
              <w:t>5-F</w:t>
            </w:r>
            <w:r w:rsidRPr="001513F9">
              <w:rPr>
                <w:sz w:val="20"/>
                <w:lang w:val="de-DE"/>
              </w:rPr>
              <w:t>U</w:t>
            </w:r>
            <w:r w:rsidRPr="001513F9">
              <w:rPr>
                <w:sz w:val="20"/>
              </w:rPr>
              <w:t>/</w:t>
            </w:r>
            <w:r w:rsidRPr="001513F9">
              <w:rPr>
                <w:sz w:val="20"/>
                <w:lang w:val="en-US"/>
              </w:rPr>
              <w:t>FA</w:t>
            </w:r>
            <w:r w:rsidRPr="001513F9">
              <w:rPr>
                <w:sz w:val="20"/>
              </w:rPr>
              <w:t>)</w:t>
            </w:r>
          </w:p>
        </w:tc>
        <w:tc>
          <w:tcPr>
            <w:tcW w:w="1417" w:type="dxa"/>
          </w:tcPr>
          <w:p w:rsidR="007364F9" w:rsidRPr="001513F9" w:rsidRDefault="007364F9" w:rsidP="007364F9">
            <w:pPr>
              <w:ind w:left="34"/>
              <w:jc w:val="center"/>
              <w:rPr>
                <w:sz w:val="20"/>
              </w:rPr>
            </w:pPr>
          </w:p>
          <w:p w:rsidR="007364F9" w:rsidRPr="001513F9" w:rsidRDefault="007364F9" w:rsidP="007364F9">
            <w:pPr>
              <w:ind w:left="34"/>
              <w:jc w:val="center"/>
              <w:rPr>
                <w:sz w:val="20"/>
                <w:lang w:val="de-DE"/>
              </w:rPr>
            </w:pPr>
            <w:r w:rsidRPr="001513F9">
              <w:rPr>
                <w:sz w:val="20"/>
                <w:lang w:val="de-DE"/>
              </w:rPr>
              <w:t>0</w:t>
            </w:r>
            <w:r w:rsidRPr="001513F9">
              <w:rPr>
                <w:sz w:val="20"/>
              </w:rPr>
              <w:t>,7</w:t>
            </w:r>
          </w:p>
          <w:p w:rsidR="007364F9" w:rsidRPr="001513F9" w:rsidRDefault="007364F9" w:rsidP="007364F9">
            <w:pPr>
              <w:ind w:left="34"/>
              <w:jc w:val="center"/>
              <w:rPr>
                <w:sz w:val="20"/>
                <w:lang w:val="de-DE"/>
              </w:rPr>
            </w:pPr>
            <w:r w:rsidRPr="001513F9">
              <w:rPr>
                <w:sz w:val="20"/>
                <w:lang w:val="de-DE"/>
              </w:rPr>
              <w:t>(0</w:t>
            </w:r>
            <w:r w:rsidRPr="001513F9">
              <w:rPr>
                <w:sz w:val="20"/>
              </w:rPr>
              <w:t>,</w:t>
            </w:r>
            <w:r w:rsidRPr="001513F9">
              <w:rPr>
                <w:sz w:val="20"/>
                <w:lang w:val="de-DE"/>
              </w:rPr>
              <w:t>0-2</w:t>
            </w:r>
            <w:r w:rsidRPr="001513F9">
              <w:rPr>
                <w:sz w:val="20"/>
              </w:rPr>
              <w:t>,7</w:t>
            </w:r>
            <w:r w:rsidRPr="001513F9">
              <w:rPr>
                <w:sz w:val="20"/>
                <w:lang w:val="de-DE"/>
              </w:rPr>
              <w:t>)</w:t>
            </w:r>
          </w:p>
          <w:p w:rsidR="007364F9" w:rsidRPr="001513F9" w:rsidRDefault="007364F9" w:rsidP="007364F9">
            <w:pPr>
              <w:rPr>
                <w:sz w:val="20"/>
              </w:rPr>
            </w:pPr>
          </w:p>
        </w:tc>
        <w:tc>
          <w:tcPr>
            <w:tcW w:w="1276" w:type="dxa"/>
          </w:tcPr>
          <w:p w:rsidR="007364F9" w:rsidRPr="001513F9" w:rsidRDefault="007364F9" w:rsidP="007364F9">
            <w:pPr>
              <w:jc w:val="center"/>
              <w:rPr>
                <w:sz w:val="20"/>
              </w:rPr>
            </w:pPr>
          </w:p>
          <w:p w:rsidR="007364F9" w:rsidRPr="001513F9" w:rsidRDefault="007364F9" w:rsidP="007364F9">
            <w:pPr>
              <w:ind w:left="34"/>
              <w:jc w:val="center"/>
              <w:rPr>
                <w:sz w:val="20"/>
                <w:lang w:val="de-DE"/>
              </w:rPr>
            </w:pPr>
            <w:r w:rsidRPr="001513F9">
              <w:rPr>
                <w:sz w:val="20"/>
              </w:rPr>
              <w:t>11,1</w:t>
            </w:r>
          </w:p>
          <w:p w:rsidR="007364F9" w:rsidRPr="001513F9" w:rsidRDefault="007364F9" w:rsidP="007364F9">
            <w:pPr>
              <w:jc w:val="center"/>
              <w:rPr>
                <w:sz w:val="20"/>
              </w:rPr>
            </w:pPr>
            <w:r w:rsidRPr="001513F9">
              <w:rPr>
                <w:sz w:val="20"/>
                <w:lang w:val="de-DE"/>
              </w:rPr>
              <w:t>(7</w:t>
            </w:r>
            <w:r w:rsidRPr="001513F9">
              <w:rPr>
                <w:sz w:val="20"/>
              </w:rPr>
              <w:t>,</w:t>
            </w:r>
            <w:r w:rsidRPr="001513F9">
              <w:rPr>
                <w:sz w:val="20"/>
                <w:lang w:val="de-DE"/>
              </w:rPr>
              <w:t>6-15</w:t>
            </w:r>
            <w:r w:rsidRPr="001513F9">
              <w:rPr>
                <w:sz w:val="20"/>
              </w:rPr>
              <w:t>,5</w:t>
            </w:r>
            <w:r w:rsidRPr="001513F9">
              <w:rPr>
                <w:sz w:val="20"/>
                <w:lang w:val="de-DE"/>
              </w:rPr>
              <w:t>)</w:t>
            </w:r>
          </w:p>
          <w:p w:rsidR="007364F9" w:rsidRPr="001513F9" w:rsidRDefault="007364F9" w:rsidP="007364F9">
            <w:pPr>
              <w:jc w:val="center"/>
              <w:rPr>
                <w:sz w:val="20"/>
              </w:rPr>
            </w:pPr>
          </w:p>
        </w:tc>
        <w:tc>
          <w:tcPr>
            <w:tcW w:w="1505" w:type="dxa"/>
            <w:tcBorders>
              <w:bottom w:val="nil"/>
            </w:tcBorders>
          </w:tcPr>
          <w:p w:rsidR="007364F9" w:rsidRPr="001513F9" w:rsidRDefault="007364F9" w:rsidP="007364F9">
            <w:pPr>
              <w:jc w:val="center"/>
              <w:rPr>
                <w:sz w:val="20"/>
              </w:rPr>
            </w:pPr>
          </w:p>
          <w:p w:rsidR="007364F9" w:rsidRPr="001513F9" w:rsidRDefault="007364F9" w:rsidP="007364F9">
            <w:pPr>
              <w:ind w:left="34"/>
              <w:jc w:val="center"/>
              <w:rPr>
                <w:sz w:val="20"/>
              </w:rPr>
            </w:pPr>
            <w:r w:rsidRPr="001513F9">
              <w:rPr>
                <w:sz w:val="20"/>
                <w:lang w:val="de-DE"/>
              </w:rPr>
              <w:t>1</w:t>
            </w:r>
            <w:r w:rsidRPr="001513F9">
              <w:rPr>
                <w:sz w:val="20"/>
              </w:rPr>
              <w:t>,1</w:t>
            </w:r>
          </w:p>
          <w:p w:rsidR="007364F9" w:rsidRPr="001513F9" w:rsidRDefault="007364F9" w:rsidP="007364F9">
            <w:pPr>
              <w:ind w:left="34"/>
              <w:jc w:val="center"/>
              <w:rPr>
                <w:sz w:val="20"/>
              </w:rPr>
            </w:pPr>
            <w:r w:rsidRPr="001513F9">
              <w:rPr>
                <w:sz w:val="20"/>
                <w:lang w:val="de-DE"/>
              </w:rPr>
              <w:t>(0</w:t>
            </w:r>
            <w:r w:rsidRPr="001513F9">
              <w:rPr>
                <w:sz w:val="20"/>
              </w:rPr>
              <w:t>,2</w:t>
            </w:r>
            <w:r w:rsidRPr="001513F9">
              <w:rPr>
                <w:sz w:val="20"/>
                <w:lang w:val="de-DE"/>
              </w:rPr>
              <w:t>-</w:t>
            </w:r>
            <w:r w:rsidRPr="001513F9">
              <w:rPr>
                <w:sz w:val="20"/>
              </w:rPr>
              <w:t>3,2</w:t>
            </w:r>
            <w:r w:rsidRPr="001513F9">
              <w:rPr>
                <w:sz w:val="20"/>
                <w:lang w:val="de-DE"/>
              </w:rPr>
              <w:t>)</w:t>
            </w:r>
          </w:p>
          <w:p w:rsidR="007364F9" w:rsidRPr="001513F9" w:rsidRDefault="007364F9" w:rsidP="007364F9">
            <w:pPr>
              <w:jc w:val="center"/>
              <w:rPr>
                <w:sz w:val="20"/>
              </w:rPr>
            </w:pPr>
          </w:p>
        </w:tc>
      </w:tr>
      <w:tr w:rsidR="007364F9" w:rsidRPr="001513F9" w:rsidTr="007364F9">
        <w:trPr>
          <w:cantSplit/>
          <w:jc w:val="center"/>
        </w:trPr>
        <w:tc>
          <w:tcPr>
            <w:tcW w:w="3135" w:type="dxa"/>
            <w:tcBorders>
              <w:top w:val="nil"/>
            </w:tcBorders>
          </w:tcPr>
          <w:p w:rsidR="007364F9" w:rsidRPr="00C06019" w:rsidRDefault="007364F9" w:rsidP="007364F9">
            <w:pPr>
              <w:pStyle w:val="BodyText21"/>
              <w:ind w:left="47"/>
              <w:rPr>
                <w:b/>
                <w:bCs/>
                <w:sz w:val="20"/>
                <w:lang w:val="el-GR"/>
              </w:rPr>
            </w:pPr>
            <w:r w:rsidRPr="001513F9">
              <w:rPr>
                <w:sz w:val="18"/>
                <w:lang w:val="el-GR"/>
              </w:rPr>
              <w:t>Αξιολόγηση ανταπόκρισης κάθε 6 εβδομάδες</w:t>
            </w:r>
          </w:p>
        </w:tc>
        <w:tc>
          <w:tcPr>
            <w:tcW w:w="2693" w:type="dxa"/>
            <w:gridSpan w:val="2"/>
          </w:tcPr>
          <w:p w:rsidR="007364F9" w:rsidRPr="001513F9" w:rsidRDefault="007364F9" w:rsidP="007364F9">
            <w:pPr>
              <w:jc w:val="center"/>
              <w:rPr>
                <w:sz w:val="20"/>
              </w:rPr>
            </w:pPr>
            <w:r w:rsidRPr="000B008B">
              <w:rPr>
                <w:sz w:val="20"/>
              </w:rPr>
              <w:t>Τιμή</w:t>
            </w:r>
            <w:r w:rsidRPr="001513F9">
              <w:rPr>
                <w:bCs/>
                <w:sz w:val="18"/>
              </w:rPr>
              <w:t xml:space="preserve"> </w:t>
            </w:r>
            <w:r w:rsidRPr="001513F9">
              <w:rPr>
                <w:bCs/>
                <w:sz w:val="18"/>
                <w:lang w:val="en-US"/>
              </w:rPr>
              <w:t>P</w:t>
            </w:r>
            <w:r w:rsidRPr="001513F9">
              <w:rPr>
                <w:bCs/>
                <w:sz w:val="18"/>
              </w:rPr>
              <w:t xml:space="preserve"> &lt; 0,0001</w:t>
            </w:r>
          </w:p>
        </w:tc>
        <w:tc>
          <w:tcPr>
            <w:tcW w:w="1505"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Pr>
          <w:p w:rsidR="007364F9" w:rsidRPr="001513F9" w:rsidRDefault="007364F9" w:rsidP="007364F9">
            <w:pPr>
              <w:pStyle w:val="BodyText21"/>
              <w:ind w:left="47"/>
              <w:rPr>
                <w:sz w:val="20"/>
                <w:lang w:val="el-GR"/>
              </w:rPr>
            </w:pPr>
            <w:r w:rsidRPr="001513F9">
              <w:rPr>
                <w:b/>
                <w:bCs/>
                <w:sz w:val="20"/>
                <w:lang w:val="el-GR"/>
              </w:rPr>
              <w:t xml:space="preserve">Ασθενείς που έχουν λάβει προηγούμενη θεραπεία </w:t>
            </w:r>
            <w:r w:rsidRPr="001513F9">
              <w:rPr>
                <w:sz w:val="20"/>
                <w:lang w:val="el-GR"/>
              </w:rPr>
              <w:t xml:space="preserve"> </w:t>
            </w:r>
          </w:p>
          <w:p w:rsidR="007364F9" w:rsidRPr="001513F9" w:rsidRDefault="007364F9" w:rsidP="007364F9">
            <w:pPr>
              <w:pStyle w:val="BodyText21"/>
              <w:ind w:left="47"/>
              <w:rPr>
                <w:sz w:val="20"/>
                <w:lang w:val="el-GR"/>
              </w:rPr>
            </w:pPr>
            <w:r w:rsidRPr="001513F9">
              <w:rPr>
                <w:sz w:val="20"/>
              </w:rPr>
              <w:t>EFC</w:t>
            </w:r>
            <w:r w:rsidRPr="001513F9">
              <w:rPr>
                <w:sz w:val="20"/>
                <w:lang w:val="el-GR"/>
              </w:rPr>
              <w:t>2964</w:t>
            </w:r>
          </w:p>
          <w:p w:rsidR="007364F9" w:rsidRPr="001513F9" w:rsidRDefault="007364F9" w:rsidP="007364F9">
            <w:pPr>
              <w:ind w:left="47"/>
              <w:rPr>
                <w:sz w:val="20"/>
              </w:rPr>
            </w:pPr>
            <w:r w:rsidRPr="001513F9">
              <w:rPr>
                <w:sz w:val="20"/>
              </w:rPr>
              <w:t xml:space="preserve">(ανθεκτικοί στο συνδυασμό </w:t>
            </w:r>
            <w:r w:rsidR="00767322" w:rsidRPr="001513F9">
              <w:rPr>
                <w:sz w:val="20"/>
              </w:rPr>
              <w:t>5-F</w:t>
            </w:r>
            <w:r w:rsidRPr="001513F9">
              <w:rPr>
                <w:sz w:val="20"/>
              </w:rPr>
              <w:t>U/</w:t>
            </w:r>
            <w:r w:rsidRPr="001513F9">
              <w:rPr>
                <w:sz w:val="20"/>
                <w:lang w:val="en-US"/>
              </w:rPr>
              <w:t>FA</w:t>
            </w:r>
            <w:r w:rsidRPr="001513F9">
              <w:rPr>
                <w:sz w:val="20"/>
              </w:rPr>
              <w:t>)</w:t>
            </w:r>
          </w:p>
          <w:p w:rsidR="007364F9" w:rsidRPr="00C06019" w:rsidRDefault="007364F9" w:rsidP="007364F9">
            <w:pPr>
              <w:ind w:left="47"/>
              <w:rPr>
                <w:sz w:val="18"/>
                <w:szCs w:val="18"/>
              </w:rPr>
            </w:pPr>
            <w:r w:rsidRPr="001513F9">
              <w:rPr>
                <w:sz w:val="18"/>
              </w:rPr>
              <w:t>Αξιολόγηση ανταπόκρισης κάθε 12 εβδομάδες</w:t>
            </w:r>
          </w:p>
        </w:tc>
        <w:tc>
          <w:tcPr>
            <w:tcW w:w="1417" w:type="dxa"/>
          </w:tcPr>
          <w:p w:rsidR="007364F9" w:rsidRPr="000B008B" w:rsidRDefault="007364F9" w:rsidP="007364F9">
            <w:pPr>
              <w:jc w:val="center"/>
              <w:rPr>
                <w:sz w:val="20"/>
              </w:rPr>
            </w:pPr>
          </w:p>
          <w:p w:rsidR="007364F9" w:rsidRPr="001513F9" w:rsidRDefault="007364F9" w:rsidP="007364F9">
            <w:pPr>
              <w:jc w:val="center"/>
              <w:rPr>
                <w:sz w:val="20"/>
              </w:rPr>
            </w:pPr>
            <w:r w:rsidRPr="001513F9">
              <w:rPr>
                <w:sz w:val="20"/>
              </w:rPr>
              <w:t>ΔΕ*</w:t>
            </w:r>
          </w:p>
        </w:tc>
        <w:tc>
          <w:tcPr>
            <w:tcW w:w="1276"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23</w:t>
            </w:r>
          </w:p>
          <w:p w:rsidR="007364F9" w:rsidRPr="001513F9" w:rsidRDefault="007364F9" w:rsidP="007364F9">
            <w:pPr>
              <w:jc w:val="center"/>
              <w:rPr>
                <w:sz w:val="20"/>
              </w:rPr>
            </w:pPr>
            <w:r w:rsidRPr="001513F9">
              <w:rPr>
                <w:sz w:val="20"/>
              </w:rPr>
              <w:t>(13-36)</w:t>
            </w:r>
          </w:p>
        </w:tc>
        <w:tc>
          <w:tcPr>
            <w:tcW w:w="1505"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ΔΕ*</w:t>
            </w:r>
          </w:p>
        </w:tc>
      </w:tr>
    </w:tbl>
    <w:p w:rsidR="007364F9" w:rsidRPr="001513F9" w:rsidRDefault="007364F9" w:rsidP="007364F9">
      <w:pPr>
        <w:tabs>
          <w:tab w:val="left" w:pos="426"/>
        </w:tabs>
        <w:jc w:val="both"/>
        <w:rPr>
          <w:sz w:val="18"/>
        </w:rPr>
      </w:pPr>
      <w:r w:rsidRPr="001513F9">
        <w:rPr>
          <w:sz w:val="20"/>
        </w:rPr>
        <w:tab/>
      </w:r>
      <w:r w:rsidRPr="001513F9">
        <w:rPr>
          <w:sz w:val="20"/>
        </w:rPr>
        <w:tab/>
      </w:r>
      <w:r w:rsidRPr="001513F9">
        <w:rPr>
          <w:sz w:val="18"/>
        </w:rPr>
        <w:tab/>
        <w:t>* ΔΕ: Δεν εφαρμόζεται.</w:t>
      </w:r>
    </w:p>
    <w:p w:rsidR="007364F9" w:rsidRPr="001513F9" w:rsidRDefault="007364F9" w:rsidP="007364F9">
      <w:pPr>
        <w:tabs>
          <w:tab w:val="left" w:pos="426"/>
        </w:tabs>
        <w:jc w:val="both"/>
        <w:rPr>
          <w:lang w:val="en-US"/>
        </w:rPr>
      </w:pPr>
    </w:p>
    <w:p w:rsidR="007364F9" w:rsidRPr="001513F9" w:rsidRDefault="008F2DB3" w:rsidP="007364F9">
      <w:pPr>
        <w:pStyle w:val="BodyText21"/>
        <w:ind w:hanging="720"/>
        <w:jc w:val="center"/>
        <w:rPr>
          <w:b/>
          <w:bCs/>
          <w:sz w:val="22"/>
          <w:szCs w:val="22"/>
          <w:lang w:val="el-GR"/>
        </w:rPr>
      </w:pPr>
      <w:r w:rsidRPr="001513F9">
        <w:rPr>
          <w:b/>
          <w:bCs/>
          <w:sz w:val="22"/>
          <w:szCs w:val="22"/>
          <w:lang w:val="el-GR"/>
        </w:rPr>
        <w:t xml:space="preserve">Διάμεση ελεύθερη εξέλιξης </w:t>
      </w:r>
      <w:r w:rsidR="007364F9" w:rsidRPr="001513F9">
        <w:rPr>
          <w:b/>
          <w:bCs/>
          <w:sz w:val="22"/>
          <w:szCs w:val="22"/>
          <w:lang w:val="el-GR"/>
        </w:rPr>
        <w:t>επιβίωση (</w:t>
      </w:r>
      <w:r w:rsidR="007364F9" w:rsidRPr="001513F9">
        <w:rPr>
          <w:b/>
          <w:bCs/>
          <w:sz w:val="22"/>
          <w:szCs w:val="22"/>
        </w:rPr>
        <w:t>PFS</w:t>
      </w:r>
      <w:r w:rsidR="007364F9" w:rsidRPr="001513F9">
        <w:rPr>
          <w:b/>
          <w:bCs/>
          <w:sz w:val="22"/>
          <w:szCs w:val="22"/>
          <w:lang w:val="el-GR"/>
        </w:rPr>
        <w:t xml:space="preserve">) / </w:t>
      </w:r>
      <w:r w:rsidRPr="001513F9">
        <w:rPr>
          <w:b/>
          <w:bCs/>
          <w:sz w:val="22"/>
          <w:szCs w:val="22"/>
          <w:lang w:val="el-GR"/>
        </w:rPr>
        <w:t>Διάμεσος</w:t>
      </w:r>
      <w:r w:rsidR="007364F9" w:rsidRPr="001513F9">
        <w:rPr>
          <w:b/>
          <w:bCs/>
          <w:sz w:val="22"/>
          <w:szCs w:val="22"/>
          <w:lang w:val="el-GR"/>
        </w:rPr>
        <w:t xml:space="preserve"> χρόνο</w:t>
      </w:r>
      <w:r w:rsidRPr="001513F9">
        <w:rPr>
          <w:b/>
          <w:bCs/>
          <w:sz w:val="22"/>
          <w:szCs w:val="22"/>
          <w:lang w:val="el-GR"/>
        </w:rPr>
        <w:t>ς</w:t>
      </w:r>
      <w:r w:rsidR="007364F9" w:rsidRPr="001513F9">
        <w:rPr>
          <w:b/>
          <w:bCs/>
          <w:sz w:val="22"/>
          <w:szCs w:val="22"/>
          <w:lang w:val="el-GR"/>
        </w:rPr>
        <w:t xml:space="preserve"> έως την </w:t>
      </w:r>
    </w:p>
    <w:p w:rsidR="007364F9" w:rsidRPr="001513F9" w:rsidRDefault="008F2DB3" w:rsidP="007364F9">
      <w:pPr>
        <w:pStyle w:val="BodyText21"/>
        <w:ind w:hanging="720"/>
        <w:jc w:val="center"/>
        <w:rPr>
          <w:b/>
          <w:bCs/>
          <w:sz w:val="22"/>
          <w:lang w:val="el-GR"/>
        </w:rPr>
      </w:pPr>
      <w:r w:rsidRPr="001513F9">
        <w:rPr>
          <w:b/>
          <w:bCs/>
          <w:sz w:val="22"/>
          <w:szCs w:val="22"/>
          <w:lang w:val="el-GR"/>
        </w:rPr>
        <w:t>εξέλιξη</w:t>
      </w:r>
      <w:r w:rsidR="007364F9" w:rsidRPr="001513F9">
        <w:rPr>
          <w:b/>
          <w:bCs/>
          <w:sz w:val="22"/>
          <w:szCs w:val="22"/>
          <w:lang w:val="el-GR"/>
        </w:rPr>
        <w:t xml:space="preserve"> (</w:t>
      </w:r>
      <w:r w:rsidR="007364F9" w:rsidRPr="001513F9">
        <w:rPr>
          <w:b/>
          <w:bCs/>
          <w:sz w:val="22"/>
          <w:szCs w:val="22"/>
        </w:rPr>
        <w:t>TTP</w:t>
      </w:r>
      <w:r w:rsidR="007364F9" w:rsidRPr="001513F9">
        <w:rPr>
          <w:b/>
          <w:bCs/>
          <w:sz w:val="22"/>
          <w:szCs w:val="22"/>
          <w:lang w:val="el-GR"/>
        </w:rPr>
        <w:t xml:space="preserve">) </w:t>
      </w:r>
      <w:r w:rsidR="007364F9" w:rsidRPr="001513F9">
        <w:rPr>
          <w:b/>
          <w:bCs/>
          <w:sz w:val="22"/>
          <w:szCs w:val="22"/>
        </w:rPr>
        <w:t>FOLFOX</w:t>
      </w:r>
      <w:r w:rsidR="007364F9" w:rsidRPr="001513F9">
        <w:rPr>
          <w:b/>
          <w:bCs/>
          <w:sz w:val="22"/>
          <w:szCs w:val="22"/>
          <w:lang w:val="el-GR"/>
        </w:rPr>
        <w:t xml:space="preserve">4 έναντι </w:t>
      </w:r>
      <w:r w:rsidR="007364F9" w:rsidRPr="001513F9">
        <w:rPr>
          <w:b/>
          <w:bCs/>
          <w:sz w:val="22"/>
          <w:szCs w:val="22"/>
        </w:rPr>
        <w:t>LV</w:t>
      </w:r>
      <w:r w:rsidR="007364F9" w:rsidRPr="001513F9">
        <w:rPr>
          <w:b/>
          <w:bCs/>
          <w:sz w:val="22"/>
          <w:szCs w:val="22"/>
          <w:lang w:val="el-GR"/>
        </w:rPr>
        <w:t>5</w:t>
      </w:r>
      <w:r w:rsidR="007364F9" w:rsidRPr="001513F9">
        <w:rPr>
          <w:b/>
          <w:bCs/>
          <w:sz w:val="22"/>
          <w:szCs w:val="22"/>
        </w:rPr>
        <w:t>FU</w:t>
      </w:r>
      <w:r w:rsidR="007364F9" w:rsidRPr="001513F9">
        <w:rPr>
          <w:b/>
          <w:bCs/>
          <w:sz w:val="22"/>
          <w:szCs w:val="22"/>
          <w:lang w:val="el-GR"/>
        </w:rPr>
        <w:t>2</w:t>
      </w:r>
    </w:p>
    <w:tbl>
      <w:tblPr>
        <w:tblW w:w="0" w:type="auto"/>
        <w:jc w:val="center"/>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3135"/>
        <w:gridCol w:w="1417"/>
        <w:gridCol w:w="1351"/>
        <w:gridCol w:w="1470"/>
      </w:tblGrid>
      <w:tr w:rsidR="007364F9" w:rsidRPr="001513F9" w:rsidTr="007364F9">
        <w:trPr>
          <w:jc w:val="center"/>
        </w:trPr>
        <w:tc>
          <w:tcPr>
            <w:tcW w:w="3135" w:type="dxa"/>
          </w:tcPr>
          <w:p w:rsidR="007364F9" w:rsidRPr="001513F9" w:rsidRDefault="008F2DB3" w:rsidP="007364F9">
            <w:pPr>
              <w:pStyle w:val="BodyText21"/>
              <w:ind w:left="47"/>
              <w:jc w:val="left"/>
              <w:rPr>
                <w:b/>
                <w:bCs/>
                <w:sz w:val="20"/>
                <w:lang w:val="el-GR"/>
              </w:rPr>
            </w:pPr>
            <w:r w:rsidRPr="001513F9">
              <w:rPr>
                <w:b/>
                <w:bCs/>
                <w:sz w:val="20"/>
                <w:lang w:val="el-GR"/>
              </w:rPr>
              <w:t>Διάμεση</w:t>
            </w:r>
            <w:r w:rsidR="007364F9" w:rsidRPr="001513F9">
              <w:rPr>
                <w:b/>
                <w:bCs/>
                <w:sz w:val="20"/>
                <w:lang w:val="el-GR"/>
              </w:rPr>
              <w:t xml:space="preserve"> </w:t>
            </w:r>
            <w:r w:rsidR="007364F9" w:rsidRPr="001513F9">
              <w:rPr>
                <w:b/>
                <w:bCs/>
                <w:sz w:val="20"/>
              </w:rPr>
              <w:t>PFS</w:t>
            </w:r>
            <w:r w:rsidR="007364F9" w:rsidRPr="001513F9">
              <w:rPr>
                <w:b/>
                <w:bCs/>
                <w:sz w:val="20"/>
                <w:lang w:val="el-GR"/>
              </w:rPr>
              <w:t>/</w:t>
            </w:r>
            <w:r w:rsidR="007364F9" w:rsidRPr="001513F9">
              <w:rPr>
                <w:b/>
                <w:bCs/>
                <w:sz w:val="20"/>
              </w:rPr>
              <w:t>TTP</w:t>
            </w:r>
            <w:r w:rsidR="007364F9" w:rsidRPr="001513F9">
              <w:rPr>
                <w:b/>
                <w:bCs/>
                <w:sz w:val="20"/>
                <w:lang w:val="el-GR"/>
              </w:rPr>
              <w:t xml:space="preserve">, Μήνες (95% </w:t>
            </w:r>
            <w:r w:rsidR="007364F9" w:rsidRPr="001513F9">
              <w:rPr>
                <w:b/>
                <w:bCs/>
                <w:sz w:val="20"/>
              </w:rPr>
              <w:t>CI</w:t>
            </w:r>
            <w:r w:rsidR="007364F9" w:rsidRPr="001513F9">
              <w:rPr>
                <w:b/>
                <w:bCs/>
                <w:sz w:val="20"/>
                <w:lang w:val="el-GR"/>
              </w:rPr>
              <w:t>)</w:t>
            </w:r>
          </w:p>
          <w:p w:rsidR="007364F9" w:rsidRPr="001513F9" w:rsidRDefault="007364F9" w:rsidP="007364F9">
            <w:pPr>
              <w:ind w:left="47"/>
              <w:jc w:val="both"/>
              <w:rPr>
                <w:b/>
                <w:bCs/>
                <w:sz w:val="20"/>
              </w:rPr>
            </w:pPr>
            <w:r w:rsidRPr="001513F9">
              <w:rPr>
                <w:b/>
                <w:bCs/>
                <w:sz w:val="20"/>
              </w:rPr>
              <w:t xml:space="preserve">Ανάλυση </w:t>
            </w:r>
            <w:r w:rsidRPr="001513F9">
              <w:rPr>
                <w:b/>
                <w:bCs/>
                <w:sz w:val="20"/>
                <w:lang w:val="en-GB"/>
              </w:rPr>
              <w:t>ITT</w:t>
            </w:r>
            <w:r w:rsidRPr="001513F9">
              <w:rPr>
                <w:b/>
                <w:bCs/>
                <w:sz w:val="20"/>
              </w:rPr>
              <w:t>, ανεξάρτητη ακτινολογικής επιθεώρησης</w:t>
            </w:r>
          </w:p>
        </w:tc>
        <w:tc>
          <w:tcPr>
            <w:tcW w:w="1417" w:type="dxa"/>
          </w:tcPr>
          <w:p w:rsidR="007364F9" w:rsidRPr="001513F9" w:rsidRDefault="007364F9" w:rsidP="007364F9">
            <w:pPr>
              <w:ind w:hanging="107"/>
              <w:jc w:val="center"/>
              <w:rPr>
                <w:b/>
                <w:bCs/>
                <w:sz w:val="20"/>
              </w:rPr>
            </w:pPr>
          </w:p>
          <w:p w:rsidR="007364F9" w:rsidRPr="001513F9" w:rsidRDefault="007364F9" w:rsidP="007364F9">
            <w:pPr>
              <w:ind w:hanging="108"/>
              <w:jc w:val="center"/>
              <w:rPr>
                <w:b/>
                <w:bCs/>
                <w:sz w:val="20"/>
              </w:rPr>
            </w:pPr>
            <w:r w:rsidRPr="001513F9">
              <w:rPr>
                <w:b/>
                <w:bCs/>
                <w:sz w:val="20"/>
                <w:lang w:val="en-GB"/>
              </w:rPr>
              <w:t>LV</w:t>
            </w:r>
            <w:r w:rsidRPr="001513F9">
              <w:rPr>
                <w:b/>
                <w:bCs/>
                <w:sz w:val="20"/>
              </w:rPr>
              <w:t>5</w:t>
            </w:r>
            <w:r w:rsidRPr="001513F9">
              <w:rPr>
                <w:b/>
                <w:bCs/>
                <w:sz w:val="20"/>
                <w:lang w:val="en-GB"/>
              </w:rPr>
              <w:t>FU</w:t>
            </w:r>
            <w:r w:rsidRPr="001513F9">
              <w:rPr>
                <w:b/>
                <w:bCs/>
                <w:sz w:val="20"/>
              </w:rPr>
              <w:t>2</w:t>
            </w:r>
          </w:p>
        </w:tc>
        <w:tc>
          <w:tcPr>
            <w:tcW w:w="1351" w:type="dxa"/>
          </w:tcPr>
          <w:p w:rsidR="007364F9" w:rsidRPr="001513F9" w:rsidRDefault="007364F9" w:rsidP="007364F9">
            <w:pPr>
              <w:jc w:val="center"/>
              <w:rPr>
                <w:b/>
                <w:bCs/>
                <w:sz w:val="20"/>
              </w:rPr>
            </w:pPr>
          </w:p>
          <w:p w:rsidR="007364F9" w:rsidRPr="001513F9" w:rsidRDefault="007364F9" w:rsidP="007364F9">
            <w:pPr>
              <w:jc w:val="center"/>
              <w:rPr>
                <w:b/>
                <w:bCs/>
                <w:sz w:val="20"/>
              </w:rPr>
            </w:pPr>
            <w:r w:rsidRPr="001513F9">
              <w:rPr>
                <w:b/>
                <w:bCs/>
                <w:sz w:val="20"/>
                <w:lang w:val="en-GB"/>
              </w:rPr>
              <w:t>FOLFOX</w:t>
            </w:r>
            <w:r w:rsidRPr="001513F9">
              <w:rPr>
                <w:b/>
                <w:bCs/>
                <w:sz w:val="20"/>
              </w:rPr>
              <w:t>4</w:t>
            </w:r>
          </w:p>
        </w:tc>
        <w:tc>
          <w:tcPr>
            <w:tcW w:w="1293" w:type="dxa"/>
          </w:tcPr>
          <w:p w:rsidR="007364F9" w:rsidRPr="001513F9" w:rsidRDefault="007364F9" w:rsidP="007364F9">
            <w:pPr>
              <w:jc w:val="center"/>
              <w:rPr>
                <w:b/>
                <w:bCs/>
                <w:sz w:val="20"/>
              </w:rPr>
            </w:pPr>
            <w:r w:rsidRPr="001513F9">
              <w:rPr>
                <w:b/>
                <w:bCs/>
                <w:sz w:val="20"/>
              </w:rPr>
              <w:t>Μονοθεραπεία οξαλιπλατίνης</w:t>
            </w: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rPr>
                <w:b/>
                <w:bCs/>
                <w:sz w:val="20"/>
                <w:lang w:val="el-GR"/>
              </w:rPr>
            </w:pPr>
            <w:r w:rsidRPr="001513F9">
              <w:rPr>
                <w:b/>
                <w:bCs/>
                <w:sz w:val="20"/>
                <w:lang w:val="el-GR"/>
              </w:rPr>
              <w:t xml:space="preserve">Θεραπεία πρώτης γραμμής </w:t>
            </w:r>
          </w:p>
          <w:p w:rsidR="007364F9" w:rsidRPr="001513F9" w:rsidRDefault="007364F9" w:rsidP="007364F9">
            <w:pPr>
              <w:ind w:left="47"/>
              <w:rPr>
                <w:sz w:val="20"/>
              </w:rPr>
            </w:pPr>
            <w:r w:rsidRPr="001513F9">
              <w:rPr>
                <w:sz w:val="20"/>
                <w:lang w:val="en-GB"/>
              </w:rPr>
              <w:t>EFC</w:t>
            </w:r>
            <w:r w:rsidRPr="001513F9">
              <w:rPr>
                <w:sz w:val="20"/>
              </w:rPr>
              <w:t>2962 (</w:t>
            </w:r>
            <w:r w:rsidRPr="001513F9">
              <w:rPr>
                <w:sz w:val="20"/>
                <w:lang w:val="en-GB"/>
              </w:rPr>
              <w:t>PFS</w:t>
            </w:r>
            <w:r w:rsidRPr="001513F9">
              <w:rPr>
                <w:sz w:val="20"/>
              </w:rPr>
              <w:t>)</w:t>
            </w:r>
          </w:p>
        </w:tc>
        <w:tc>
          <w:tcPr>
            <w:tcW w:w="1417" w:type="dxa"/>
          </w:tcPr>
          <w:p w:rsidR="007364F9" w:rsidRPr="001513F9" w:rsidRDefault="007364F9" w:rsidP="007364F9">
            <w:pPr>
              <w:jc w:val="center"/>
              <w:rPr>
                <w:sz w:val="20"/>
              </w:rPr>
            </w:pPr>
            <w:r w:rsidRPr="001513F9">
              <w:rPr>
                <w:sz w:val="20"/>
              </w:rPr>
              <w:t>6,0</w:t>
            </w:r>
          </w:p>
          <w:p w:rsidR="007364F9" w:rsidRPr="001513F9" w:rsidRDefault="007364F9" w:rsidP="007364F9">
            <w:pPr>
              <w:jc w:val="center"/>
              <w:rPr>
                <w:sz w:val="20"/>
              </w:rPr>
            </w:pPr>
            <w:r w:rsidRPr="001513F9">
              <w:rPr>
                <w:sz w:val="20"/>
              </w:rPr>
              <w:t>(5,5-6,5)</w:t>
            </w:r>
          </w:p>
        </w:tc>
        <w:tc>
          <w:tcPr>
            <w:tcW w:w="1351" w:type="dxa"/>
          </w:tcPr>
          <w:p w:rsidR="007364F9" w:rsidRPr="001513F9" w:rsidRDefault="007364F9" w:rsidP="007364F9">
            <w:pPr>
              <w:jc w:val="center"/>
              <w:rPr>
                <w:sz w:val="20"/>
              </w:rPr>
            </w:pPr>
            <w:r w:rsidRPr="001513F9">
              <w:rPr>
                <w:sz w:val="20"/>
              </w:rPr>
              <w:t>8,2</w:t>
            </w:r>
          </w:p>
          <w:p w:rsidR="007364F9" w:rsidRPr="001513F9" w:rsidRDefault="007364F9" w:rsidP="007364F9">
            <w:pPr>
              <w:jc w:val="center"/>
              <w:rPr>
                <w:sz w:val="20"/>
              </w:rPr>
            </w:pPr>
            <w:r w:rsidRPr="001513F9">
              <w:rPr>
                <w:sz w:val="20"/>
              </w:rPr>
              <w:t>(7,2-8,8)</w:t>
            </w:r>
          </w:p>
        </w:tc>
        <w:tc>
          <w:tcPr>
            <w:tcW w:w="1293" w:type="dxa"/>
            <w:tcBorders>
              <w:bottom w:val="nil"/>
            </w:tcBorders>
          </w:tcPr>
          <w:p w:rsidR="007364F9" w:rsidRPr="001513F9" w:rsidRDefault="007364F9" w:rsidP="007364F9">
            <w:pPr>
              <w:spacing w:before="120"/>
              <w:jc w:val="center"/>
              <w:rPr>
                <w:sz w:val="20"/>
              </w:rPr>
            </w:pPr>
            <w:r w:rsidRPr="001513F9">
              <w:rPr>
                <w:sz w:val="20"/>
              </w:rPr>
              <w:t>ΔΕ*</w:t>
            </w:r>
          </w:p>
        </w:tc>
      </w:tr>
      <w:tr w:rsidR="007364F9" w:rsidRPr="001513F9" w:rsidTr="007364F9">
        <w:trPr>
          <w:cantSplit/>
          <w:jc w:val="center"/>
        </w:trPr>
        <w:tc>
          <w:tcPr>
            <w:tcW w:w="3135" w:type="dxa"/>
            <w:tcBorders>
              <w:top w:val="nil"/>
            </w:tcBorders>
          </w:tcPr>
          <w:p w:rsidR="007364F9" w:rsidRPr="001513F9" w:rsidRDefault="007364F9" w:rsidP="007364F9">
            <w:pPr>
              <w:pStyle w:val="BodyText21"/>
              <w:ind w:left="47"/>
              <w:rPr>
                <w:b/>
                <w:bCs/>
                <w:sz w:val="20"/>
                <w:lang w:val="el-GR"/>
              </w:rPr>
            </w:pPr>
          </w:p>
        </w:tc>
        <w:tc>
          <w:tcPr>
            <w:tcW w:w="2768" w:type="dxa"/>
            <w:gridSpan w:val="2"/>
          </w:tcPr>
          <w:p w:rsidR="007364F9" w:rsidRPr="001513F9" w:rsidRDefault="007364F9" w:rsidP="007364F9">
            <w:pPr>
              <w:jc w:val="center"/>
              <w:rPr>
                <w:sz w:val="20"/>
              </w:rPr>
            </w:pPr>
            <w:r w:rsidRPr="001513F9">
              <w:rPr>
                <w:sz w:val="20"/>
              </w:rPr>
              <w:t xml:space="preserve">Τιμή </w:t>
            </w:r>
            <w:r w:rsidRPr="001513F9">
              <w:rPr>
                <w:sz w:val="20"/>
                <w:lang w:val="en-GB"/>
              </w:rPr>
              <w:t>P</w:t>
            </w:r>
            <w:r w:rsidRPr="001513F9">
              <w:rPr>
                <w:sz w:val="20"/>
              </w:rPr>
              <w:t xml:space="preserve"> </w:t>
            </w:r>
            <w:r w:rsidR="008F2DB3" w:rsidRPr="001513F9">
              <w:rPr>
                <w:sz w:val="20"/>
                <w:lang w:val="en-US"/>
              </w:rPr>
              <w:t>log</w:t>
            </w:r>
            <w:r w:rsidR="008F2DB3" w:rsidRPr="001513F9">
              <w:rPr>
                <w:sz w:val="20"/>
              </w:rPr>
              <w:t>-</w:t>
            </w:r>
            <w:r w:rsidR="008F2DB3" w:rsidRPr="001513F9">
              <w:rPr>
                <w:sz w:val="20"/>
                <w:lang w:val="en-US"/>
              </w:rPr>
              <w:t>rank</w:t>
            </w:r>
            <w:r w:rsidRPr="001513F9">
              <w:rPr>
                <w:sz w:val="20"/>
              </w:rPr>
              <w:t xml:space="preserve"> = 0,0003</w:t>
            </w:r>
          </w:p>
        </w:tc>
        <w:tc>
          <w:tcPr>
            <w:tcW w:w="1293"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rPr>
                <w:sz w:val="20"/>
                <w:lang w:val="el-GR"/>
              </w:rPr>
            </w:pPr>
            <w:r w:rsidRPr="001513F9">
              <w:rPr>
                <w:b/>
                <w:bCs/>
                <w:sz w:val="20"/>
                <w:lang w:val="el-GR"/>
              </w:rPr>
              <w:t xml:space="preserve">Ασθενείς που έχουν λάβει προηγούμενη θεραπεία </w:t>
            </w:r>
            <w:r w:rsidRPr="001513F9">
              <w:rPr>
                <w:sz w:val="20"/>
                <w:lang w:val="el-GR"/>
              </w:rPr>
              <w:t xml:space="preserve"> </w:t>
            </w:r>
          </w:p>
          <w:p w:rsidR="007364F9" w:rsidRPr="001513F9" w:rsidRDefault="007364F9" w:rsidP="007364F9">
            <w:pPr>
              <w:pStyle w:val="BodyText21"/>
              <w:ind w:left="47"/>
              <w:rPr>
                <w:sz w:val="20"/>
                <w:lang w:val="el-GR"/>
              </w:rPr>
            </w:pPr>
            <w:r w:rsidRPr="001513F9">
              <w:rPr>
                <w:sz w:val="20"/>
              </w:rPr>
              <w:t>EFC</w:t>
            </w:r>
            <w:r w:rsidRPr="001513F9">
              <w:rPr>
                <w:sz w:val="20"/>
                <w:lang w:val="el-GR"/>
              </w:rPr>
              <w:t>4584 (</w:t>
            </w:r>
            <w:r w:rsidRPr="001513F9">
              <w:rPr>
                <w:sz w:val="20"/>
              </w:rPr>
              <w:t>TTP</w:t>
            </w:r>
            <w:r w:rsidRPr="001513F9">
              <w:rPr>
                <w:sz w:val="20"/>
                <w:lang w:val="el-GR"/>
              </w:rPr>
              <w:t>)</w:t>
            </w:r>
          </w:p>
          <w:p w:rsidR="007364F9" w:rsidRPr="001513F9" w:rsidRDefault="007364F9" w:rsidP="007364F9">
            <w:pPr>
              <w:pStyle w:val="BodyText21"/>
              <w:ind w:left="47"/>
              <w:rPr>
                <w:sz w:val="20"/>
                <w:lang w:val="el-GR"/>
              </w:rPr>
            </w:pPr>
            <w:r w:rsidRPr="001513F9">
              <w:rPr>
                <w:sz w:val="20"/>
                <w:lang w:val="el-GR"/>
              </w:rPr>
              <w:t>(ανθεκτικοί στο συνδυασμό</w:t>
            </w:r>
          </w:p>
          <w:p w:rsidR="007364F9" w:rsidRPr="001513F9" w:rsidRDefault="007364F9" w:rsidP="007364F9">
            <w:pPr>
              <w:ind w:left="47"/>
              <w:rPr>
                <w:sz w:val="20"/>
              </w:rPr>
            </w:pPr>
            <w:r w:rsidRPr="001513F9">
              <w:rPr>
                <w:sz w:val="20"/>
                <w:lang w:val="fr-FR"/>
              </w:rPr>
              <w:t>CPT</w:t>
            </w:r>
            <w:r w:rsidRPr="001513F9">
              <w:rPr>
                <w:sz w:val="20"/>
              </w:rPr>
              <w:t xml:space="preserve">-11 + </w:t>
            </w:r>
            <w:r w:rsidR="00767322" w:rsidRPr="001513F9">
              <w:rPr>
                <w:sz w:val="20"/>
              </w:rPr>
              <w:t>5-F</w:t>
            </w:r>
            <w:r w:rsidRPr="001513F9">
              <w:rPr>
                <w:sz w:val="20"/>
                <w:lang w:val="fr-FR"/>
              </w:rPr>
              <w:t>U</w:t>
            </w:r>
            <w:r w:rsidRPr="001513F9">
              <w:rPr>
                <w:sz w:val="20"/>
              </w:rPr>
              <w:t>/</w:t>
            </w:r>
            <w:r w:rsidRPr="001513F9">
              <w:rPr>
                <w:sz w:val="20"/>
                <w:lang w:val="en-US"/>
              </w:rPr>
              <w:t>FA</w:t>
            </w:r>
            <w:r w:rsidRPr="001513F9">
              <w:rPr>
                <w:sz w:val="20"/>
              </w:rPr>
              <w:t>)</w:t>
            </w:r>
          </w:p>
        </w:tc>
        <w:tc>
          <w:tcPr>
            <w:tcW w:w="1417" w:type="dxa"/>
          </w:tcPr>
          <w:p w:rsidR="007364F9" w:rsidRPr="001513F9" w:rsidRDefault="007364F9" w:rsidP="007364F9">
            <w:pPr>
              <w:ind w:left="34"/>
              <w:jc w:val="center"/>
              <w:rPr>
                <w:sz w:val="20"/>
              </w:rPr>
            </w:pPr>
          </w:p>
          <w:p w:rsidR="007364F9" w:rsidRPr="001513F9" w:rsidRDefault="007364F9" w:rsidP="007364F9">
            <w:pPr>
              <w:ind w:left="34"/>
              <w:jc w:val="center"/>
              <w:rPr>
                <w:sz w:val="20"/>
              </w:rPr>
            </w:pPr>
            <w:r w:rsidRPr="001513F9">
              <w:rPr>
                <w:sz w:val="20"/>
                <w:lang w:val="de-DE"/>
              </w:rPr>
              <w:t>2</w:t>
            </w:r>
            <w:r w:rsidRPr="001513F9">
              <w:rPr>
                <w:sz w:val="20"/>
              </w:rPr>
              <w:t>,6</w:t>
            </w:r>
          </w:p>
          <w:p w:rsidR="007364F9" w:rsidRPr="001513F9" w:rsidRDefault="007364F9" w:rsidP="007364F9">
            <w:pPr>
              <w:ind w:left="34"/>
              <w:jc w:val="center"/>
              <w:rPr>
                <w:sz w:val="20"/>
                <w:lang w:val="de-DE"/>
              </w:rPr>
            </w:pPr>
            <w:r w:rsidRPr="001513F9">
              <w:rPr>
                <w:sz w:val="20"/>
                <w:lang w:val="de-DE"/>
              </w:rPr>
              <w:t>(1</w:t>
            </w:r>
            <w:r w:rsidRPr="001513F9">
              <w:rPr>
                <w:sz w:val="20"/>
              </w:rPr>
              <w:t>,</w:t>
            </w:r>
            <w:r w:rsidRPr="001513F9">
              <w:rPr>
                <w:sz w:val="20"/>
                <w:lang w:val="de-DE"/>
              </w:rPr>
              <w:t>8-</w:t>
            </w:r>
            <w:r w:rsidRPr="001513F9">
              <w:rPr>
                <w:sz w:val="20"/>
              </w:rPr>
              <w:t>2,9</w:t>
            </w:r>
            <w:r w:rsidRPr="001513F9">
              <w:rPr>
                <w:sz w:val="20"/>
                <w:lang w:val="de-DE"/>
              </w:rPr>
              <w:t>)</w:t>
            </w:r>
          </w:p>
          <w:p w:rsidR="007364F9" w:rsidRPr="001513F9" w:rsidRDefault="007364F9" w:rsidP="007364F9">
            <w:pPr>
              <w:jc w:val="center"/>
              <w:rPr>
                <w:sz w:val="20"/>
              </w:rPr>
            </w:pPr>
          </w:p>
        </w:tc>
        <w:tc>
          <w:tcPr>
            <w:tcW w:w="1351" w:type="dxa"/>
          </w:tcPr>
          <w:p w:rsidR="007364F9" w:rsidRPr="001513F9" w:rsidRDefault="007364F9" w:rsidP="007364F9">
            <w:pPr>
              <w:jc w:val="center"/>
              <w:rPr>
                <w:sz w:val="20"/>
              </w:rPr>
            </w:pPr>
          </w:p>
          <w:p w:rsidR="007364F9" w:rsidRPr="001513F9" w:rsidRDefault="007364F9" w:rsidP="007364F9">
            <w:pPr>
              <w:ind w:left="34"/>
              <w:jc w:val="center"/>
              <w:rPr>
                <w:sz w:val="20"/>
              </w:rPr>
            </w:pPr>
            <w:r w:rsidRPr="001513F9">
              <w:rPr>
                <w:sz w:val="20"/>
              </w:rPr>
              <w:t>5,3</w:t>
            </w:r>
          </w:p>
          <w:p w:rsidR="007364F9" w:rsidRPr="001513F9" w:rsidRDefault="007364F9" w:rsidP="007364F9">
            <w:pPr>
              <w:ind w:left="34"/>
              <w:jc w:val="center"/>
              <w:rPr>
                <w:sz w:val="20"/>
              </w:rPr>
            </w:pPr>
            <w:r w:rsidRPr="001513F9">
              <w:rPr>
                <w:sz w:val="20"/>
                <w:lang w:val="de-DE"/>
              </w:rPr>
              <w:t>(4</w:t>
            </w:r>
            <w:r w:rsidRPr="001513F9">
              <w:rPr>
                <w:sz w:val="20"/>
              </w:rPr>
              <w:t>,7</w:t>
            </w:r>
            <w:r w:rsidRPr="001513F9">
              <w:rPr>
                <w:sz w:val="20"/>
                <w:lang w:val="de-DE"/>
              </w:rPr>
              <w:t>-6</w:t>
            </w:r>
            <w:r w:rsidRPr="001513F9">
              <w:rPr>
                <w:sz w:val="20"/>
              </w:rPr>
              <w:t>,</w:t>
            </w:r>
            <w:r w:rsidRPr="001513F9">
              <w:rPr>
                <w:sz w:val="20"/>
                <w:lang w:val="de-DE"/>
              </w:rPr>
              <w:t>1)</w:t>
            </w:r>
          </w:p>
          <w:p w:rsidR="007364F9" w:rsidRPr="001513F9" w:rsidRDefault="007364F9" w:rsidP="007364F9">
            <w:pPr>
              <w:jc w:val="center"/>
              <w:rPr>
                <w:sz w:val="20"/>
              </w:rPr>
            </w:pPr>
          </w:p>
        </w:tc>
        <w:tc>
          <w:tcPr>
            <w:tcW w:w="1293" w:type="dxa"/>
            <w:tcBorders>
              <w:bottom w:val="nil"/>
            </w:tcBorders>
          </w:tcPr>
          <w:p w:rsidR="007364F9" w:rsidRPr="001513F9" w:rsidRDefault="007364F9" w:rsidP="007364F9">
            <w:pPr>
              <w:jc w:val="center"/>
              <w:rPr>
                <w:sz w:val="20"/>
              </w:rPr>
            </w:pPr>
          </w:p>
          <w:p w:rsidR="007364F9" w:rsidRPr="001513F9" w:rsidRDefault="007364F9" w:rsidP="007364F9">
            <w:pPr>
              <w:ind w:left="34"/>
              <w:jc w:val="center"/>
              <w:rPr>
                <w:sz w:val="20"/>
              </w:rPr>
            </w:pPr>
            <w:r w:rsidRPr="001513F9">
              <w:rPr>
                <w:sz w:val="20"/>
              </w:rPr>
              <w:t>2,1</w:t>
            </w:r>
          </w:p>
          <w:p w:rsidR="007364F9" w:rsidRPr="001513F9" w:rsidRDefault="007364F9" w:rsidP="007364F9">
            <w:pPr>
              <w:ind w:left="34"/>
              <w:jc w:val="center"/>
              <w:rPr>
                <w:sz w:val="20"/>
              </w:rPr>
            </w:pPr>
            <w:r w:rsidRPr="001513F9">
              <w:rPr>
                <w:sz w:val="20"/>
                <w:lang w:val="de-DE"/>
              </w:rPr>
              <w:t>(1</w:t>
            </w:r>
            <w:r w:rsidRPr="001513F9">
              <w:rPr>
                <w:sz w:val="20"/>
              </w:rPr>
              <w:t>,6</w:t>
            </w:r>
            <w:r w:rsidRPr="001513F9">
              <w:rPr>
                <w:sz w:val="20"/>
                <w:lang w:val="de-DE"/>
              </w:rPr>
              <w:t>-2</w:t>
            </w:r>
            <w:r w:rsidRPr="001513F9">
              <w:rPr>
                <w:sz w:val="20"/>
              </w:rPr>
              <w:t>,</w:t>
            </w:r>
            <w:r w:rsidRPr="001513F9">
              <w:rPr>
                <w:sz w:val="20"/>
                <w:lang w:val="de-DE"/>
              </w:rPr>
              <w:t>7)</w:t>
            </w:r>
          </w:p>
          <w:p w:rsidR="007364F9" w:rsidRPr="001513F9" w:rsidRDefault="007364F9" w:rsidP="007364F9">
            <w:pPr>
              <w:jc w:val="center"/>
              <w:rPr>
                <w:sz w:val="20"/>
              </w:rPr>
            </w:pPr>
          </w:p>
        </w:tc>
      </w:tr>
      <w:tr w:rsidR="007364F9" w:rsidRPr="001513F9" w:rsidTr="007364F9">
        <w:trPr>
          <w:cantSplit/>
          <w:jc w:val="center"/>
        </w:trPr>
        <w:tc>
          <w:tcPr>
            <w:tcW w:w="3135" w:type="dxa"/>
            <w:tcBorders>
              <w:top w:val="nil"/>
            </w:tcBorders>
          </w:tcPr>
          <w:p w:rsidR="007364F9" w:rsidRPr="001513F9" w:rsidRDefault="007364F9" w:rsidP="007364F9">
            <w:pPr>
              <w:pStyle w:val="BodyText21"/>
              <w:ind w:left="47"/>
              <w:rPr>
                <w:b/>
                <w:bCs/>
                <w:sz w:val="20"/>
                <w:lang w:val="el-GR"/>
              </w:rPr>
            </w:pPr>
          </w:p>
        </w:tc>
        <w:tc>
          <w:tcPr>
            <w:tcW w:w="2768" w:type="dxa"/>
            <w:gridSpan w:val="2"/>
          </w:tcPr>
          <w:p w:rsidR="007364F9" w:rsidRPr="001513F9" w:rsidRDefault="007364F9" w:rsidP="007364F9">
            <w:pPr>
              <w:jc w:val="center"/>
              <w:rPr>
                <w:sz w:val="20"/>
              </w:rPr>
            </w:pPr>
            <w:r w:rsidRPr="001513F9">
              <w:rPr>
                <w:sz w:val="20"/>
              </w:rPr>
              <w:t xml:space="preserve">Τιμή </w:t>
            </w:r>
            <w:r w:rsidRPr="001513F9">
              <w:rPr>
                <w:sz w:val="20"/>
                <w:lang w:val="en-GB"/>
              </w:rPr>
              <w:t>P</w:t>
            </w:r>
            <w:r w:rsidRPr="001513F9">
              <w:rPr>
                <w:sz w:val="20"/>
              </w:rPr>
              <w:t xml:space="preserve"> </w:t>
            </w:r>
            <w:r w:rsidR="008F2DB3" w:rsidRPr="001513F9">
              <w:rPr>
                <w:sz w:val="20"/>
                <w:lang w:val="en-US"/>
              </w:rPr>
              <w:t>log</w:t>
            </w:r>
            <w:r w:rsidR="008F2DB3" w:rsidRPr="001513F9">
              <w:rPr>
                <w:sz w:val="20"/>
              </w:rPr>
              <w:t>-</w:t>
            </w:r>
            <w:r w:rsidR="008F2DB3" w:rsidRPr="001513F9">
              <w:rPr>
                <w:sz w:val="20"/>
                <w:lang w:val="en-US"/>
              </w:rPr>
              <w:t>rank</w:t>
            </w:r>
            <w:r w:rsidR="008F2DB3" w:rsidRPr="001513F9" w:rsidDel="008F2DB3">
              <w:rPr>
                <w:sz w:val="20"/>
              </w:rPr>
              <w:t xml:space="preserve"> </w:t>
            </w:r>
            <w:r w:rsidRPr="001513F9">
              <w:rPr>
                <w:sz w:val="20"/>
              </w:rPr>
              <w:t>&lt;</w:t>
            </w:r>
            <w:r w:rsidRPr="001513F9">
              <w:rPr>
                <w:sz w:val="16"/>
              </w:rPr>
              <w:t xml:space="preserve"> </w:t>
            </w:r>
            <w:r w:rsidRPr="001513F9">
              <w:rPr>
                <w:sz w:val="20"/>
              </w:rPr>
              <w:t>0,0001</w:t>
            </w:r>
          </w:p>
        </w:tc>
        <w:tc>
          <w:tcPr>
            <w:tcW w:w="1293"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Pr>
          <w:p w:rsidR="007364F9" w:rsidRPr="001513F9" w:rsidRDefault="007364F9" w:rsidP="007364F9">
            <w:pPr>
              <w:pStyle w:val="BodyText21"/>
              <w:ind w:left="47"/>
              <w:rPr>
                <w:sz w:val="20"/>
                <w:lang w:val="el-GR"/>
              </w:rPr>
            </w:pPr>
            <w:r w:rsidRPr="001513F9">
              <w:rPr>
                <w:b/>
                <w:bCs/>
                <w:sz w:val="20"/>
                <w:lang w:val="el-GR"/>
              </w:rPr>
              <w:t xml:space="preserve">Ασθενείς που έχουν λάβει προηγούμενη θεραπεία </w:t>
            </w:r>
            <w:r w:rsidRPr="001513F9">
              <w:rPr>
                <w:sz w:val="20"/>
                <w:lang w:val="el-GR"/>
              </w:rPr>
              <w:t xml:space="preserve"> </w:t>
            </w:r>
          </w:p>
          <w:p w:rsidR="007364F9" w:rsidRPr="001513F9" w:rsidRDefault="007364F9" w:rsidP="007364F9">
            <w:pPr>
              <w:pStyle w:val="BodyText21"/>
              <w:ind w:left="47"/>
              <w:rPr>
                <w:sz w:val="20"/>
                <w:lang w:val="el-GR"/>
              </w:rPr>
            </w:pPr>
            <w:r w:rsidRPr="001513F9">
              <w:rPr>
                <w:sz w:val="20"/>
              </w:rPr>
              <w:t>EFC</w:t>
            </w:r>
            <w:r w:rsidRPr="001513F9">
              <w:rPr>
                <w:sz w:val="20"/>
                <w:lang w:val="el-GR"/>
              </w:rPr>
              <w:t>2964</w:t>
            </w:r>
          </w:p>
          <w:p w:rsidR="007364F9" w:rsidRPr="001513F9" w:rsidRDefault="007364F9" w:rsidP="007364F9">
            <w:pPr>
              <w:ind w:left="47"/>
              <w:rPr>
                <w:sz w:val="20"/>
              </w:rPr>
            </w:pPr>
            <w:r w:rsidRPr="001513F9">
              <w:rPr>
                <w:sz w:val="20"/>
              </w:rPr>
              <w:lastRenderedPageBreak/>
              <w:t xml:space="preserve">(ανθεκτικοί στο συνδυασμό </w:t>
            </w:r>
            <w:r w:rsidR="00767322" w:rsidRPr="001513F9">
              <w:rPr>
                <w:sz w:val="20"/>
              </w:rPr>
              <w:t>5-F</w:t>
            </w:r>
            <w:r w:rsidRPr="001513F9">
              <w:rPr>
                <w:sz w:val="20"/>
              </w:rPr>
              <w:t xml:space="preserve">U/ </w:t>
            </w:r>
            <w:r w:rsidRPr="001513F9">
              <w:rPr>
                <w:sz w:val="20"/>
                <w:lang w:val="en-US"/>
              </w:rPr>
              <w:t>FA</w:t>
            </w:r>
            <w:r w:rsidRPr="001513F9">
              <w:rPr>
                <w:sz w:val="20"/>
              </w:rPr>
              <w:t>)</w:t>
            </w:r>
          </w:p>
        </w:tc>
        <w:tc>
          <w:tcPr>
            <w:tcW w:w="1417"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ΔΕ*</w:t>
            </w:r>
          </w:p>
        </w:tc>
        <w:tc>
          <w:tcPr>
            <w:tcW w:w="1351"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5,1</w:t>
            </w:r>
          </w:p>
          <w:p w:rsidR="007364F9" w:rsidRPr="001513F9" w:rsidRDefault="007364F9" w:rsidP="007364F9">
            <w:pPr>
              <w:jc w:val="center"/>
              <w:rPr>
                <w:sz w:val="20"/>
              </w:rPr>
            </w:pPr>
            <w:r w:rsidRPr="001513F9">
              <w:rPr>
                <w:sz w:val="20"/>
              </w:rPr>
              <w:t>(3,1-5,7)</w:t>
            </w:r>
          </w:p>
        </w:tc>
        <w:tc>
          <w:tcPr>
            <w:tcW w:w="1293"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ΔΕ*</w:t>
            </w:r>
          </w:p>
        </w:tc>
      </w:tr>
    </w:tbl>
    <w:p w:rsidR="007364F9" w:rsidRPr="001513F9" w:rsidRDefault="007364F9" w:rsidP="007364F9">
      <w:pPr>
        <w:tabs>
          <w:tab w:val="left" w:pos="426"/>
        </w:tabs>
        <w:jc w:val="both"/>
        <w:rPr>
          <w:sz w:val="18"/>
        </w:rPr>
      </w:pPr>
      <w:r w:rsidRPr="001513F9">
        <w:lastRenderedPageBreak/>
        <w:tab/>
      </w:r>
      <w:r w:rsidRPr="001513F9">
        <w:tab/>
      </w:r>
      <w:r w:rsidR="006D51E8" w:rsidRPr="001513F9">
        <w:rPr>
          <w:sz w:val="18"/>
        </w:rPr>
        <w:tab/>
        <w:t>*</w:t>
      </w:r>
      <w:r w:rsidRPr="001513F9">
        <w:rPr>
          <w:sz w:val="18"/>
        </w:rPr>
        <w:t>ΔΕ: Δεν εφαρμόζεται.</w:t>
      </w:r>
    </w:p>
    <w:p w:rsidR="007364F9" w:rsidRPr="001513F9" w:rsidRDefault="007364F9" w:rsidP="007364F9">
      <w:pPr>
        <w:tabs>
          <w:tab w:val="left" w:pos="426"/>
        </w:tabs>
        <w:jc w:val="center"/>
        <w:rPr>
          <w:b/>
          <w:bCs/>
          <w:szCs w:val="22"/>
        </w:rPr>
      </w:pPr>
    </w:p>
    <w:p w:rsidR="007364F9" w:rsidRPr="001513F9" w:rsidRDefault="008F2DB3" w:rsidP="007364F9">
      <w:pPr>
        <w:tabs>
          <w:tab w:val="left" w:pos="426"/>
        </w:tabs>
        <w:jc w:val="center"/>
        <w:rPr>
          <w:b/>
          <w:bCs/>
          <w:sz w:val="18"/>
        </w:rPr>
      </w:pPr>
      <w:r w:rsidRPr="001513F9">
        <w:rPr>
          <w:b/>
          <w:bCs/>
          <w:szCs w:val="22"/>
        </w:rPr>
        <w:t>Διάμεση</w:t>
      </w:r>
      <w:r w:rsidR="007364F9" w:rsidRPr="001513F9">
        <w:rPr>
          <w:b/>
          <w:bCs/>
          <w:szCs w:val="22"/>
        </w:rPr>
        <w:t xml:space="preserve"> συνολική επιβίωση (</w:t>
      </w:r>
      <w:r w:rsidR="007364F9" w:rsidRPr="001513F9">
        <w:rPr>
          <w:b/>
          <w:bCs/>
          <w:szCs w:val="22"/>
          <w:lang w:val="en-GB"/>
        </w:rPr>
        <w:t>OS</w:t>
      </w:r>
      <w:r w:rsidR="007364F9" w:rsidRPr="001513F9">
        <w:rPr>
          <w:b/>
          <w:bCs/>
          <w:szCs w:val="22"/>
        </w:rPr>
        <w:t xml:space="preserve">) υπό </w:t>
      </w:r>
      <w:r w:rsidR="007364F9" w:rsidRPr="001513F9">
        <w:rPr>
          <w:b/>
          <w:bCs/>
          <w:szCs w:val="22"/>
          <w:lang w:val="en-GB"/>
        </w:rPr>
        <w:t>FOLFOX</w:t>
      </w:r>
      <w:r w:rsidR="007364F9" w:rsidRPr="001513F9">
        <w:rPr>
          <w:b/>
          <w:bCs/>
          <w:szCs w:val="22"/>
        </w:rPr>
        <w:t xml:space="preserve">4 έναντι </w:t>
      </w:r>
      <w:r w:rsidR="007364F9" w:rsidRPr="001513F9">
        <w:rPr>
          <w:b/>
          <w:bCs/>
          <w:szCs w:val="22"/>
          <w:lang w:val="en-GB"/>
        </w:rPr>
        <w:t>LV</w:t>
      </w:r>
      <w:r w:rsidR="007364F9" w:rsidRPr="001513F9">
        <w:rPr>
          <w:b/>
          <w:bCs/>
          <w:szCs w:val="22"/>
        </w:rPr>
        <w:t>5</w:t>
      </w:r>
      <w:r w:rsidR="007364F9" w:rsidRPr="001513F9">
        <w:rPr>
          <w:b/>
          <w:bCs/>
          <w:szCs w:val="22"/>
          <w:lang w:val="en-GB"/>
        </w:rPr>
        <w:t>FU</w:t>
      </w:r>
      <w:r w:rsidR="007364F9" w:rsidRPr="001513F9">
        <w:rPr>
          <w:b/>
          <w:bCs/>
          <w:szCs w:val="22"/>
        </w:rPr>
        <w:t>2</w:t>
      </w:r>
    </w:p>
    <w:tbl>
      <w:tblPr>
        <w:tblW w:w="0" w:type="auto"/>
        <w:jc w:val="center"/>
        <w:tblInd w:w="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3135"/>
        <w:gridCol w:w="1417"/>
        <w:gridCol w:w="1276"/>
        <w:gridCol w:w="1470"/>
      </w:tblGrid>
      <w:tr w:rsidR="007364F9" w:rsidRPr="001513F9" w:rsidTr="0058359F">
        <w:trPr>
          <w:jc w:val="center"/>
        </w:trPr>
        <w:tc>
          <w:tcPr>
            <w:tcW w:w="3135" w:type="dxa"/>
          </w:tcPr>
          <w:p w:rsidR="007364F9" w:rsidRPr="001513F9" w:rsidRDefault="008F2DB3" w:rsidP="0058359F">
            <w:pPr>
              <w:pStyle w:val="BodyText21"/>
              <w:ind w:left="47"/>
              <w:jc w:val="center"/>
              <w:rPr>
                <w:b/>
                <w:bCs/>
                <w:sz w:val="20"/>
                <w:lang w:val="el-GR"/>
              </w:rPr>
            </w:pPr>
            <w:r w:rsidRPr="001513F9">
              <w:rPr>
                <w:b/>
                <w:bCs/>
                <w:sz w:val="20"/>
                <w:lang w:val="el-GR"/>
              </w:rPr>
              <w:t>Διάμεση</w:t>
            </w:r>
            <w:r w:rsidR="007364F9" w:rsidRPr="001513F9">
              <w:rPr>
                <w:b/>
                <w:bCs/>
                <w:sz w:val="20"/>
                <w:lang w:val="el-GR"/>
              </w:rPr>
              <w:t xml:space="preserve"> </w:t>
            </w:r>
            <w:r w:rsidR="007364F9" w:rsidRPr="001513F9">
              <w:rPr>
                <w:b/>
                <w:bCs/>
                <w:sz w:val="20"/>
              </w:rPr>
              <w:t>OS</w:t>
            </w:r>
            <w:r w:rsidR="007364F9" w:rsidRPr="001513F9">
              <w:rPr>
                <w:b/>
                <w:bCs/>
                <w:sz w:val="20"/>
                <w:lang w:val="el-GR"/>
              </w:rPr>
              <w:t xml:space="preserve">, Μήνες (95% </w:t>
            </w:r>
            <w:r w:rsidR="007364F9" w:rsidRPr="001513F9">
              <w:rPr>
                <w:b/>
                <w:bCs/>
                <w:sz w:val="20"/>
              </w:rPr>
              <w:t>CI</w:t>
            </w:r>
            <w:r w:rsidR="007364F9" w:rsidRPr="001513F9">
              <w:rPr>
                <w:b/>
                <w:bCs/>
                <w:sz w:val="20"/>
                <w:lang w:val="el-GR"/>
              </w:rPr>
              <w:t>)</w:t>
            </w:r>
          </w:p>
          <w:p w:rsidR="007364F9" w:rsidRPr="001513F9" w:rsidRDefault="007364F9" w:rsidP="0058359F">
            <w:pPr>
              <w:ind w:left="47"/>
              <w:jc w:val="center"/>
              <w:rPr>
                <w:b/>
                <w:bCs/>
                <w:sz w:val="20"/>
              </w:rPr>
            </w:pPr>
            <w:r w:rsidRPr="001513F9">
              <w:rPr>
                <w:b/>
                <w:bCs/>
                <w:sz w:val="20"/>
              </w:rPr>
              <w:t xml:space="preserve">Ανάλυση </w:t>
            </w:r>
            <w:r w:rsidRPr="001513F9">
              <w:rPr>
                <w:b/>
                <w:bCs/>
                <w:sz w:val="20"/>
                <w:lang w:val="en-GB"/>
              </w:rPr>
              <w:t>ITT</w:t>
            </w:r>
          </w:p>
        </w:tc>
        <w:tc>
          <w:tcPr>
            <w:tcW w:w="1417" w:type="dxa"/>
            <w:vAlign w:val="center"/>
          </w:tcPr>
          <w:p w:rsidR="007364F9" w:rsidRPr="001513F9" w:rsidRDefault="007364F9" w:rsidP="0058359F">
            <w:pPr>
              <w:ind w:hanging="107"/>
              <w:jc w:val="center"/>
              <w:rPr>
                <w:b/>
                <w:bCs/>
                <w:sz w:val="20"/>
                <w:lang w:val="de-DE"/>
              </w:rPr>
            </w:pPr>
            <w:r w:rsidRPr="001513F9">
              <w:rPr>
                <w:b/>
                <w:bCs/>
                <w:sz w:val="20"/>
                <w:lang w:val="de-DE"/>
              </w:rPr>
              <w:t>LV5FU2</w:t>
            </w:r>
          </w:p>
        </w:tc>
        <w:tc>
          <w:tcPr>
            <w:tcW w:w="1276" w:type="dxa"/>
            <w:vAlign w:val="center"/>
          </w:tcPr>
          <w:p w:rsidR="007364F9" w:rsidRPr="001513F9" w:rsidRDefault="007364F9" w:rsidP="0058359F">
            <w:pPr>
              <w:jc w:val="center"/>
              <w:rPr>
                <w:b/>
                <w:bCs/>
                <w:sz w:val="20"/>
              </w:rPr>
            </w:pPr>
            <w:r w:rsidRPr="001513F9">
              <w:rPr>
                <w:b/>
                <w:bCs/>
                <w:sz w:val="20"/>
                <w:lang w:val="en-GB"/>
              </w:rPr>
              <w:t>FOLFOX</w:t>
            </w:r>
            <w:r w:rsidRPr="001513F9">
              <w:rPr>
                <w:b/>
                <w:bCs/>
                <w:sz w:val="20"/>
              </w:rPr>
              <w:t>4</w:t>
            </w:r>
          </w:p>
        </w:tc>
        <w:tc>
          <w:tcPr>
            <w:tcW w:w="1374" w:type="dxa"/>
          </w:tcPr>
          <w:p w:rsidR="007364F9" w:rsidRPr="001513F9" w:rsidRDefault="007364F9" w:rsidP="007364F9">
            <w:pPr>
              <w:jc w:val="center"/>
              <w:rPr>
                <w:b/>
                <w:bCs/>
                <w:sz w:val="20"/>
              </w:rPr>
            </w:pPr>
            <w:r w:rsidRPr="001513F9">
              <w:rPr>
                <w:b/>
                <w:bCs/>
                <w:sz w:val="20"/>
              </w:rPr>
              <w:t>Μονοθεραπεία οξαλιπλατίνης</w:t>
            </w: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rPr>
                <w:b/>
                <w:bCs/>
                <w:sz w:val="20"/>
                <w:lang w:val="el-GR"/>
              </w:rPr>
            </w:pPr>
            <w:r w:rsidRPr="001513F9">
              <w:rPr>
                <w:b/>
                <w:bCs/>
                <w:sz w:val="20"/>
                <w:lang w:val="el-GR"/>
              </w:rPr>
              <w:t>Θεραπεία πρώτης γραμμής</w:t>
            </w:r>
          </w:p>
          <w:p w:rsidR="007364F9" w:rsidRPr="001513F9" w:rsidRDefault="007364F9" w:rsidP="007364F9">
            <w:pPr>
              <w:ind w:left="47"/>
              <w:rPr>
                <w:sz w:val="20"/>
              </w:rPr>
            </w:pPr>
            <w:r w:rsidRPr="001513F9">
              <w:rPr>
                <w:sz w:val="20"/>
              </w:rPr>
              <w:t xml:space="preserve">EFC2962 </w:t>
            </w:r>
          </w:p>
        </w:tc>
        <w:tc>
          <w:tcPr>
            <w:tcW w:w="1417" w:type="dxa"/>
          </w:tcPr>
          <w:p w:rsidR="007364F9" w:rsidRPr="001513F9" w:rsidRDefault="007364F9" w:rsidP="007364F9">
            <w:pPr>
              <w:jc w:val="center"/>
              <w:rPr>
                <w:sz w:val="20"/>
              </w:rPr>
            </w:pPr>
            <w:r w:rsidRPr="001513F9">
              <w:rPr>
                <w:sz w:val="20"/>
              </w:rPr>
              <w:t>14,7</w:t>
            </w:r>
          </w:p>
          <w:p w:rsidR="007364F9" w:rsidRPr="001513F9" w:rsidRDefault="007364F9" w:rsidP="007364F9">
            <w:pPr>
              <w:jc w:val="center"/>
              <w:rPr>
                <w:sz w:val="20"/>
              </w:rPr>
            </w:pPr>
            <w:r w:rsidRPr="001513F9">
              <w:rPr>
                <w:sz w:val="20"/>
              </w:rPr>
              <w:t>(13,0-18,2)</w:t>
            </w:r>
          </w:p>
        </w:tc>
        <w:tc>
          <w:tcPr>
            <w:tcW w:w="1276" w:type="dxa"/>
          </w:tcPr>
          <w:p w:rsidR="007364F9" w:rsidRPr="001513F9" w:rsidRDefault="007364F9" w:rsidP="007364F9">
            <w:pPr>
              <w:jc w:val="center"/>
              <w:rPr>
                <w:sz w:val="20"/>
              </w:rPr>
            </w:pPr>
            <w:r w:rsidRPr="001513F9">
              <w:rPr>
                <w:sz w:val="20"/>
              </w:rPr>
              <w:t>16,2</w:t>
            </w:r>
          </w:p>
          <w:p w:rsidR="007364F9" w:rsidRPr="001513F9" w:rsidRDefault="007364F9" w:rsidP="007364F9">
            <w:pPr>
              <w:jc w:val="center"/>
              <w:rPr>
                <w:sz w:val="20"/>
              </w:rPr>
            </w:pPr>
            <w:r w:rsidRPr="001513F9">
              <w:rPr>
                <w:sz w:val="20"/>
              </w:rPr>
              <w:t>(14,7-18,2)</w:t>
            </w:r>
          </w:p>
        </w:tc>
        <w:tc>
          <w:tcPr>
            <w:tcW w:w="1374" w:type="dxa"/>
            <w:tcBorders>
              <w:bottom w:val="nil"/>
            </w:tcBorders>
          </w:tcPr>
          <w:p w:rsidR="007364F9" w:rsidRPr="001513F9" w:rsidRDefault="007364F9" w:rsidP="007364F9">
            <w:pPr>
              <w:spacing w:before="120"/>
              <w:jc w:val="center"/>
              <w:rPr>
                <w:sz w:val="20"/>
              </w:rPr>
            </w:pPr>
            <w:r w:rsidRPr="001513F9">
              <w:rPr>
                <w:sz w:val="20"/>
              </w:rPr>
              <w:t>ΔΕ*</w:t>
            </w:r>
          </w:p>
        </w:tc>
      </w:tr>
      <w:tr w:rsidR="007364F9" w:rsidRPr="001513F9" w:rsidTr="007364F9">
        <w:trPr>
          <w:cantSplit/>
          <w:jc w:val="center"/>
        </w:trPr>
        <w:tc>
          <w:tcPr>
            <w:tcW w:w="3135" w:type="dxa"/>
            <w:tcBorders>
              <w:top w:val="nil"/>
            </w:tcBorders>
          </w:tcPr>
          <w:p w:rsidR="007364F9" w:rsidRPr="001513F9" w:rsidRDefault="007364F9" w:rsidP="007364F9">
            <w:pPr>
              <w:pStyle w:val="BodyText21"/>
              <w:ind w:left="47"/>
              <w:rPr>
                <w:b/>
                <w:bCs/>
                <w:sz w:val="20"/>
                <w:lang w:val="el-GR"/>
              </w:rPr>
            </w:pPr>
          </w:p>
        </w:tc>
        <w:tc>
          <w:tcPr>
            <w:tcW w:w="2693" w:type="dxa"/>
            <w:gridSpan w:val="2"/>
          </w:tcPr>
          <w:p w:rsidR="007364F9" w:rsidRPr="001513F9" w:rsidRDefault="007364F9" w:rsidP="007364F9">
            <w:pPr>
              <w:jc w:val="center"/>
              <w:rPr>
                <w:sz w:val="20"/>
              </w:rPr>
            </w:pPr>
            <w:r w:rsidRPr="001513F9">
              <w:rPr>
                <w:sz w:val="20"/>
              </w:rPr>
              <w:t xml:space="preserve">Τιμή </w:t>
            </w:r>
            <w:r w:rsidRPr="001513F9">
              <w:rPr>
                <w:sz w:val="20"/>
                <w:lang w:val="en-GB"/>
              </w:rPr>
              <w:t>P</w:t>
            </w:r>
            <w:r w:rsidRPr="001513F9">
              <w:rPr>
                <w:sz w:val="20"/>
              </w:rPr>
              <w:t xml:space="preserve"> </w:t>
            </w:r>
            <w:r w:rsidR="008F2DB3" w:rsidRPr="001513F9">
              <w:rPr>
                <w:sz w:val="20"/>
                <w:lang w:val="en-US"/>
              </w:rPr>
              <w:t>log</w:t>
            </w:r>
            <w:r w:rsidR="008F2DB3" w:rsidRPr="001513F9">
              <w:rPr>
                <w:sz w:val="20"/>
              </w:rPr>
              <w:t>-</w:t>
            </w:r>
            <w:r w:rsidR="008F2DB3" w:rsidRPr="001513F9">
              <w:rPr>
                <w:sz w:val="20"/>
                <w:lang w:val="en-US"/>
              </w:rPr>
              <w:t>rank</w:t>
            </w:r>
            <w:r w:rsidR="008F2DB3" w:rsidRPr="001513F9" w:rsidDel="008F2DB3">
              <w:rPr>
                <w:sz w:val="20"/>
              </w:rPr>
              <w:t xml:space="preserve"> </w:t>
            </w:r>
            <w:r w:rsidRPr="001513F9">
              <w:rPr>
                <w:sz w:val="20"/>
              </w:rPr>
              <w:t>= 0,12</w:t>
            </w:r>
          </w:p>
        </w:tc>
        <w:tc>
          <w:tcPr>
            <w:tcW w:w="1374"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Borders>
              <w:bottom w:val="nil"/>
            </w:tcBorders>
          </w:tcPr>
          <w:p w:rsidR="007364F9" w:rsidRPr="001513F9" w:rsidRDefault="007364F9" w:rsidP="007364F9">
            <w:pPr>
              <w:pStyle w:val="BodyText21"/>
              <w:ind w:left="47"/>
              <w:rPr>
                <w:sz w:val="20"/>
                <w:lang w:val="el-GR"/>
              </w:rPr>
            </w:pPr>
            <w:r w:rsidRPr="001513F9">
              <w:rPr>
                <w:b/>
                <w:bCs/>
                <w:sz w:val="20"/>
                <w:lang w:val="el-GR"/>
              </w:rPr>
              <w:t>Ασθενείς που έχουν λάβει προηγούμενη θεραπεία</w:t>
            </w:r>
            <w:r w:rsidRPr="001513F9">
              <w:rPr>
                <w:sz w:val="20"/>
                <w:lang w:val="el-GR"/>
              </w:rPr>
              <w:t xml:space="preserve"> </w:t>
            </w:r>
          </w:p>
          <w:p w:rsidR="007364F9" w:rsidRPr="001513F9" w:rsidRDefault="007364F9" w:rsidP="007364F9">
            <w:pPr>
              <w:pStyle w:val="BodyText21"/>
              <w:ind w:left="47"/>
              <w:rPr>
                <w:sz w:val="20"/>
                <w:lang w:val="el-GR"/>
              </w:rPr>
            </w:pPr>
            <w:r w:rsidRPr="001513F9">
              <w:rPr>
                <w:sz w:val="20"/>
              </w:rPr>
              <w:t>EFC</w:t>
            </w:r>
            <w:r w:rsidR="0058359F" w:rsidRPr="001513F9">
              <w:rPr>
                <w:sz w:val="20"/>
                <w:lang w:val="el-GR"/>
              </w:rPr>
              <w:t>4584*</w:t>
            </w:r>
          </w:p>
          <w:p w:rsidR="007364F9" w:rsidRPr="001513F9" w:rsidRDefault="007364F9" w:rsidP="007364F9">
            <w:pPr>
              <w:pStyle w:val="BodyText21"/>
              <w:ind w:left="47"/>
              <w:rPr>
                <w:sz w:val="20"/>
                <w:lang w:val="el-GR"/>
              </w:rPr>
            </w:pPr>
            <w:r w:rsidRPr="001513F9">
              <w:rPr>
                <w:sz w:val="20"/>
                <w:lang w:val="el-GR"/>
              </w:rPr>
              <w:t>(ανθεκτικοί στο συνδυασμό</w:t>
            </w:r>
          </w:p>
          <w:p w:rsidR="007364F9" w:rsidRPr="001513F9" w:rsidRDefault="007364F9" w:rsidP="007364F9">
            <w:pPr>
              <w:ind w:left="47"/>
              <w:rPr>
                <w:sz w:val="20"/>
              </w:rPr>
            </w:pPr>
            <w:r w:rsidRPr="001513F9">
              <w:rPr>
                <w:sz w:val="20"/>
                <w:lang w:val="fr-FR"/>
              </w:rPr>
              <w:t>CPT</w:t>
            </w:r>
            <w:r w:rsidRPr="001513F9">
              <w:rPr>
                <w:sz w:val="20"/>
              </w:rPr>
              <w:t xml:space="preserve">-11 + </w:t>
            </w:r>
            <w:r w:rsidR="00767322" w:rsidRPr="001513F9">
              <w:rPr>
                <w:sz w:val="20"/>
              </w:rPr>
              <w:t>5-F</w:t>
            </w:r>
            <w:r w:rsidRPr="001513F9">
              <w:rPr>
                <w:sz w:val="20"/>
                <w:lang w:val="fr-FR"/>
              </w:rPr>
              <w:t>U</w:t>
            </w:r>
            <w:r w:rsidRPr="001513F9">
              <w:rPr>
                <w:sz w:val="20"/>
              </w:rPr>
              <w:t>/</w:t>
            </w:r>
            <w:r w:rsidRPr="001513F9">
              <w:rPr>
                <w:sz w:val="20"/>
                <w:lang w:val="en-US"/>
              </w:rPr>
              <w:t>FA</w:t>
            </w:r>
            <w:r w:rsidRPr="001513F9">
              <w:rPr>
                <w:sz w:val="20"/>
              </w:rPr>
              <w:t>)</w:t>
            </w:r>
          </w:p>
        </w:tc>
        <w:tc>
          <w:tcPr>
            <w:tcW w:w="1417"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8,8</w:t>
            </w:r>
          </w:p>
          <w:p w:rsidR="007364F9" w:rsidRPr="001513F9" w:rsidRDefault="007364F9" w:rsidP="007364F9">
            <w:pPr>
              <w:jc w:val="center"/>
              <w:rPr>
                <w:sz w:val="20"/>
              </w:rPr>
            </w:pPr>
            <w:r w:rsidRPr="001513F9">
              <w:rPr>
                <w:sz w:val="20"/>
              </w:rPr>
              <w:t>(7,3-9,3)</w:t>
            </w:r>
          </w:p>
        </w:tc>
        <w:tc>
          <w:tcPr>
            <w:tcW w:w="1276"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9,9</w:t>
            </w:r>
          </w:p>
          <w:p w:rsidR="007364F9" w:rsidRPr="001513F9" w:rsidRDefault="007364F9" w:rsidP="007364F9">
            <w:pPr>
              <w:jc w:val="center"/>
              <w:rPr>
                <w:sz w:val="20"/>
              </w:rPr>
            </w:pPr>
            <w:r w:rsidRPr="001513F9">
              <w:rPr>
                <w:sz w:val="20"/>
              </w:rPr>
              <w:t>(9,1-10,5)</w:t>
            </w:r>
          </w:p>
        </w:tc>
        <w:tc>
          <w:tcPr>
            <w:tcW w:w="1374" w:type="dxa"/>
            <w:tcBorders>
              <w:bottom w:val="nil"/>
            </w:tcBorders>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8,1</w:t>
            </w:r>
          </w:p>
          <w:p w:rsidR="007364F9" w:rsidRPr="001513F9" w:rsidRDefault="007364F9" w:rsidP="007364F9">
            <w:pPr>
              <w:jc w:val="center"/>
              <w:rPr>
                <w:sz w:val="20"/>
              </w:rPr>
            </w:pPr>
            <w:r w:rsidRPr="001513F9">
              <w:rPr>
                <w:sz w:val="20"/>
              </w:rPr>
              <w:t>(7,2-8,7)</w:t>
            </w:r>
          </w:p>
        </w:tc>
      </w:tr>
      <w:tr w:rsidR="007364F9" w:rsidRPr="001513F9" w:rsidTr="007364F9">
        <w:trPr>
          <w:cantSplit/>
          <w:jc w:val="center"/>
        </w:trPr>
        <w:tc>
          <w:tcPr>
            <w:tcW w:w="3135" w:type="dxa"/>
            <w:tcBorders>
              <w:top w:val="nil"/>
            </w:tcBorders>
          </w:tcPr>
          <w:p w:rsidR="007364F9" w:rsidRPr="001513F9" w:rsidRDefault="007364F9" w:rsidP="007364F9">
            <w:pPr>
              <w:pStyle w:val="BodyText21"/>
              <w:ind w:left="47"/>
              <w:rPr>
                <w:b/>
                <w:bCs/>
                <w:sz w:val="20"/>
                <w:lang w:val="el-GR"/>
              </w:rPr>
            </w:pPr>
          </w:p>
        </w:tc>
        <w:tc>
          <w:tcPr>
            <w:tcW w:w="2693" w:type="dxa"/>
            <w:gridSpan w:val="2"/>
          </w:tcPr>
          <w:p w:rsidR="007364F9" w:rsidRPr="001513F9" w:rsidRDefault="007364F9" w:rsidP="007364F9">
            <w:pPr>
              <w:jc w:val="center"/>
              <w:rPr>
                <w:sz w:val="20"/>
              </w:rPr>
            </w:pPr>
            <w:r w:rsidRPr="001513F9">
              <w:rPr>
                <w:sz w:val="20"/>
              </w:rPr>
              <w:t xml:space="preserve">Τιμή </w:t>
            </w:r>
            <w:r w:rsidRPr="001513F9">
              <w:rPr>
                <w:sz w:val="20"/>
                <w:lang w:val="en-GB"/>
              </w:rPr>
              <w:t>P</w:t>
            </w:r>
            <w:r w:rsidRPr="001513F9">
              <w:rPr>
                <w:sz w:val="20"/>
              </w:rPr>
              <w:t xml:space="preserve"> </w:t>
            </w:r>
            <w:r w:rsidR="008F2DB3" w:rsidRPr="001513F9">
              <w:rPr>
                <w:sz w:val="20"/>
                <w:lang w:val="en-US"/>
              </w:rPr>
              <w:t>log</w:t>
            </w:r>
            <w:r w:rsidR="008F2DB3" w:rsidRPr="001513F9">
              <w:rPr>
                <w:sz w:val="20"/>
              </w:rPr>
              <w:t>-</w:t>
            </w:r>
            <w:r w:rsidR="008F2DB3" w:rsidRPr="001513F9">
              <w:rPr>
                <w:sz w:val="20"/>
                <w:lang w:val="en-US"/>
              </w:rPr>
              <w:t>rank</w:t>
            </w:r>
            <w:r w:rsidR="008F2DB3" w:rsidRPr="001513F9" w:rsidDel="008F2DB3">
              <w:rPr>
                <w:sz w:val="20"/>
              </w:rPr>
              <w:t xml:space="preserve"> </w:t>
            </w:r>
            <w:r w:rsidRPr="001513F9">
              <w:rPr>
                <w:sz w:val="20"/>
              </w:rPr>
              <w:t>= 0,09</w:t>
            </w:r>
          </w:p>
        </w:tc>
        <w:tc>
          <w:tcPr>
            <w:tcW w:w="1374" w:type="dxa"/>
            <w:tcBorders>
              <w:top w:val="nil"/>
            </w:tcBorders>
          </w:tcPr>
          <w:p w:rsidR="007364F9" w:rsidRPr="001513F9" w:rsidRDefault="007364F9" w:rsidP="007364F9">
            <w:pPr>
              <w:jc w:val="center"/>
              <w:rPr>
                <w:sz w:val="20"/>
              </w:rPr>
            </w:pPr>
          </w:p>
        </w:tc>
      </w:tr>
      <w:tr w:rsidR="007364F9" w:rsidRPr="001513F9" w:rsidTr="007364F9">
        <w:trPr>
          <w:jc w:val="center"/>
        </w:trPr>
        <w:tc>
          <w:tcPr>
            <w:tcW w:w="3135" w:type="dxa"/>
          </w:tcPr>
          <w:p w:rsidR="007364F9" w:rsidRPr="001513F9" w:rsidRDefault="007364F9" w:rsidP="007364F9">
            <w:pPr>
              <w:pStyle w:val="BodyText21"/>
              <w:ind w:left="47"/>
              <w:rPr>
                <w:sz w:val="20"/>
                <w:lang w:val="el-GR"/>
              </w:rPr>
            </w:pPr>
            <w:r w:rsidRPr="001513F9">
              <w:rPr>
                <w:b/>
                <w:bCs/>
                <w:sz w:val="20"/>
                <w:lang w:val="el-GR"/>
              </w:rPr>
              <w:t>Ασθενείς που έχουν λάβει προηγούμενη θεραπεία</w:t>
            </w:r>
            <w:r w:rsidRPr="001513F9">
              <w:rPr>
                <w:sz w:val="20"/>
                <w:lang w:val="el-GR"/>
              </w:rPr>
              <w:t xml:space="preserve"> </w:t>
            </w:r>
          </w:p>
          <w:p w:rsidR="007364F9" w:rsidRPr="001513F9" w:rsidRDefault="007364F9" w:rsidP="007364F9">
            <w:pPr>
              <w:pStyle w:val="BodyText21"/>
              <w:ind w:left="47"/>
              <w:rPr>
                <w:sz w:val="20"/>
                <w:lang w:val="el-GR"/>
              </w:rPr>
            </w:pPr>
            <w:r w:rsidRPr="001513F9">
              <w:rPr>
                <w:sz w:val="20"/>
              </w:rPr>
              <w:t>EFC</w:t>
            </w:r>
            <w:r w:rsidRPr="001513F9">
              <w:rPr>
                <w:sz w:val="20"/>
                <w:lang w:val="el-GR"/>
              </w:rPr>
              <w:t>2964</w:t>
            </w:r>
          </w:p>
          <w:p w:rsidR="007364F9" w:rsidRPr="001513F9" w:rsidRDefault="007364F9" w:rsidP="007364F9">
            <w:pPr>
              <w:ind w:left="47"/>
              <w:rPr>
                <w:sz w:val="20"/>
              </w:rPr>
            </w:pPr>
            <w:r w:rsidRPr="001513F9">
              <w:rPr>
                <w:sz w:val="20"/>
              </w:rPr>
              <w:t xml:space="preserve">(ανθεκτικοί στο συνδυασμό </w:t>
            </w:r>
            <w:r w:rsidR="00767322" w:rsidRPr="001513F9">
              <w:rPr>
                <w:sz w:val="20"/>
              </w:rPr>
              <w:t>5-F</w:t>
            </w:r>
            <w:r w:rsidRPr="001513F9">
              <w:rPr>
                <w:sz w:val="20"/>
              </w:rPr>
              <w:t>U/</w:t>
            </w:r>
            <w:r w:rsidRPr="001513F9">
              <w:rPr>
                <w:sz w:val="20"/>
                <w:lang w:val="en-US"/>
              </w:rPr>
              <w:t>FA</w:t>
            </w:r>
            <w:r w:rsidRPr="001513F9">
              <w:rPr>
                <w:sz w:val="20"/>
              </w:rPr>
              <w:t>)</w:t>
            </w:r>
          </w:p>
        </w:tc>
        <w:tc>
          <w:tcPr>
            <w:tcW w:w="1417"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ΔΕ*</w:t>
            </w:r>
          </w:p>
        </w:tc>
        <w:tc>
          <w:tcPr>
            <w:tcW w:w="1276"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10,8</w:t>
            </w:r>
          </w:p>
          <w:p w:rsidR="007364F9" w:rsidRPr="001513F9" w:rsidRDefault="007364F9" w:rsidP="007364F9">
            <w:pPr>
              <w:jc w:val="center"/>
              <w:rPr>
                <w:sz w:val="20"/>
              </w:rPr>
            </w:pPr>
            <w:r w:rsidRPr="001513F9">
              <w:rPr>
                <w:sz w:val="20"/>
              </w:rPr>
              <w:t>(9,3-12,8)</w:t>
            </w:r>
          </w:p>
        </w:tc>
        <w:tc>
          <w:tcPr>
            <w:tcW w:w="1374" w:type="dxa"/>
          </w:tcPr>
          <w:p w:rsidR="007364F9" w:rsidRPr="001513F9" w:rsidRDefault="007364F9" w:rsidP="007364F9">
            <w:pPr>
              <w:jc w:val="center"/>
              <w:rPr>
                <w:sz w:val="20"/>
              </w:rPr>
            </w:pPr>
          </w:p>
          <w:p w:rsidR="007364F9" w:rsidRPr="001513F9" w:rsidRDefault="007364F9" w:rsidP="007364F9">
            <w:pPr>
              <w:jc w:val="center"/>
              <w:rPr>
                <w:sz w:val="20"/>
              </w:rPr>
            </w:pPr>
            <w:r w:rsidRPr="001513F9">
              <w:rPr>
                <w:sz w:val="20"/>
              </w:rPr>
              <w:t>ΔΕ*</w:t>
            </w:r>
          </w:p>
        </w:tc>
      </w:tr>
    </w:tbl>
    <w:p w:rsidR="007364F9" w:rsidRPr="001513F9" w:rsidRDefault="007364F9" w:rsidP="007364F9">
      <w:pPr>
        <w:tabs>
          <w:tab w:val="left" w:pos="426"/>
        </w:tabs>
        <w:jc w:val="both"/>
        <w:rPr>
          <w:sz w:val="18"/>
        </w:rPr>
      </w:pPr>
      <w:r w:rsidRPr="001513F9">
        <w:rPr>
          <w:sz w:val="18"/>
        </w:rPr>
        <w:tab/>
      </w:r>
      <w:r w:rsidRPr="001513F9">
        <w:rPr>
          <w:sz w:val="18"/>
        </w:rPr>
        <w:tab/>
      </w:r>
      <w:r w:rsidR="006D51E8" w:rsidRPr="001513F9">
        <w:rPr>
          <w:sz w:val="18"/>
        </w:rPr>
        <w:tab/>
      </w:r>
      <w:r w:rsidRPr="001513F9">
        <w:rPr>
          <w:sz w:val="18"/>
        </w:rPr>
        <w:t>*ΔΕ:</w:t>
      </w:r>
      <w:r w:rsidRPr="001513F9">
        <w:t xml:space="preserve"> </w:t>
      </w:r>
      <w:r w:rsidRPr="001513F9">
        <w:rPr>
          <w:sz w:val="18"/>
        </w:rPr>
        <w:t>Δεν εφαρμόζεται.</w:t>
      </w:r>
    </w:p>
    <w:p w:rsidR="007364F9" w:rsidRPr="001513F9" w:rsidRDefault="007364F9" w:rsidP="007364F9">
      <w:pPr>
        <w:jc w:val="both"/>
      </w:pPr>
    </w:p>
    <w:p w:rsidR="007C4A54" w:rsidRPr="001513F9" w:rsidRDefault="007364F9" w:rsidP="007364F9">
      <w:pPr>
        <w:jc w:val="both"/>
        <w:rPr>
          <w:szCs w:val="22"/>
        </w:rPr>
      </w:pPr>
      <w:r w:rsidRPr="001513F9">
        <w:rPr>
          <w:szCs w:val="22"/>
        </w:rPr>
        <w:t>Σε ασθενείς που έχουν λάβει προηγούμενη θεραπεία (</w:t>
      </w:r>
      <w:r w:rsidRPr="001513F9">
        <w:rPr>
          <w:szCs w:val="22"/>
          <w:lang w:val="en-GB"/>
        </w:rPr>
        <w:t>EFC</w:t>
      </w:r>
      <w:r w:rsidRPr="001513F9">
        <w:rPr>
          <w:szCs w:val="22"/>
        </w:rPr>
        <w:t>4584), οι οποίοι ήταν συμπτωματικοί κατά την έναρξη, μία μεγαλύτερη αναλογία των ασθενών που έλαβαν οξαλιπλατίνη/</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094A3A" w:rsidRPr="001513F9">
        <w:t>υλ</w:t>
      </w:r>
      <w:r w:rsidR="00CC7CA5" w:rsidRPr="001513F9">
        <w:t>λ</w:t>
      </w:r>
      <w:r w:rsidRPr="001513F9">
        <w:t>ινικό οξύ</w:t>
      </w:r>
      <w:r w:rsidRPr="001513F9">
        <w:rPr>
          <w:bCs/>
        </w:rPr>
        <w:t xml:space="preserve"> (FA)</w:t>
      </w:r>
      <w:r w:rsidRPr="001513F9">
        <w:rPr>
          <w:szCs w:val="22"/>
        </w:rPr>
        <w:t xml:space="preserve"> εμφάνισαν σημαντική βελτίωση στα συμπτώματα που σχετίζονται με τη νόσο σε σύγκριση με αυτούς που έλαβαν μόνο </w:t>
      </w:r>
      <w:r w:rsidR="00767322" w:rsidRPr="001513F9">
        <w:t>5-φ</w:t>
      </w:r>
      <w:r w:rsidRPr="001513F9">
        <w:t>θοριοουρακίλη (</w:t>
      </w:r>
      <w:r w:rsidR="00767322" w:rsidRPr="001513F9">
        <w:t>5-F</w:t>
      </w:r>
      <w:r w:rsidRPr="001513F9">
        <w:rPr>
          <w:lang w:val="en-US"/>
        </w:rPr>
        <w:t>U</w:t>
      </w:r>
      <w:r w:rsidRPr="001513F9">
        <w:t>)/</w:t>
      </w:r>
      <w:r w:rsidR="00CC7CA5" w:rsidRPr="001513F9">
        <w:t>φ</w:t>
      </w:r>
      <w:r w:rsidR="00094A3A" w:rsidRPr="001513F9">
        <w:t>υλ</w:t>
      </w:r>
      <w:r w:rsidR="00CC7CA5" w:rsidRPr="001513F9">
        <w:t>λ</w:t>
      </w:r>
      <w:r w:rsidRPr="001513F9">
        <w:t>ινικό οξύ</w:t>
      </w:r>
      <w:r w:rsidRPr="001513F9">
        <w:rPr>
          <w:bCs/>
        </w:rPr>
        <w:t xml:space="preserve"> (FA)</w:t>
      </w:r>
      <w:r w:rsidRPr="001513F9">
        <w:rPr>
          <w:szCs w:val="22"/>
        </w:rPr>
        <w:t xml:space="preserve"> (27,7% έναντι 14,6%</w:t>
      </w:r>
      <w:r w:rsidR="00106C12" w:rsidRPr="001513F9">
        <w:rPr>
          <w:szCs w:val="22"/>
        </w:rPr>
        <w:t>,</w:t>
      </w:r>
      <w:r w:rsidRPr="001513F9">
        <w:rPr>
          <w:szCs w:val="22"/>
        </w:rPr>
        <w:t xml:space="preserve"> </w:t>
      </w:r>
      <w:r w:rsidRPr="001513F9">
        <w:rPr>
          <w:szCs w:val="22"/>
          <w:lang w:val="en-GB"/>
        </w:rPr>
        <w:t>p</w:t>
      </w:r>
      <w:r w:rsidRPr="001513F9">
        <w:rPr>
          <w:szCs w:val="22"/>
        </w:rPr>
        <w:t xml:space="preserve"> &lt; 0,0033). </w:t>
      </w:r>
    </w:p>
    <w:p w:rsidR="007364F9" w:rsidRPr="001513F9" w:rsidRDefault="007364F9" w:rsidP="007364F9">
      <w:pPr>
        <w:jc w:val="both"/>
        <w:rPr>
          <w:szCs w:val="22"/>
        </w:rPr>
      </w:pPr>
      <w:r w:rsidRPr="001513F9">
        <w:rPr>
          <w:szCs w:val="22"/>
        </w:rPr>
        <w:t>Σε ασθενείς που δεν είχαν λάβει προηγούμενη θεραπεία (</w:t>
      </w:r>
      <w:r w:rsidRPr="001513F9">
        <w:rPr>
          <w:szCs w:val="22"/>
          <w:lang w:val="en-GB"/>
        </w:rPr>
        <w:t>EFC</w:t>
      </w:r>
      <w:r w:rsidRPr="001513F9">
        <w:rPr>
          <w:szCs w:val="22"/>
        </w:rPr>
        <w:t xml:space="preserve">2962), δεν βρέθηκε </w:t>
      </w:r>
      <w:r w:rsidR="007C4A54" w:rsidRPr="001513F9">
        <w:rPr>
          <w:szCs w:val="22"/>
        </w:rPr>
        <w:t>κάποια</w:t>
      </w:r>
      <w:r w:rsidRPr="001513F9">
        <w:rPr>
          <w:szCs w:val="22"/>
        </w:rPr>
        <w:t xml:space="preserve"> στατιστικά σημαντική διαφορά ανάμεσα στις δύο θεραπευτικές ομάδες για οποιαδήποτε διάσταση της ποιότητας ζωής. Ωστόσο, οι βαθμολογίες στην ποιότητα ζωής ήταν γενικά καλύτερες στο σκέλος της θεραπείας ελέγχου για τη μέτρηση της γενικής κατάστασης της υγείας και του άλγους και χειρότερες στο σκέλος της οξαλιπλατίνης για ναυτία και έμετο.</w:t>
      </w:r>
    </w:p>
    <w:p w:rsidR="007364F9" w:rsidRPr="001513F9" w:rsidRDefault="007364F9" w:rsidP="007364F9">
      <w:pPr>
        <w:jc w:val="both"/>
      </w:pPr>
    </w:p>
    <w:p w:rsidR="007364F9" w:rsidRPr="001513F9" w:rsidRDefault="007364F9" w:rsidP="007364F9">
      <w:pPr>
        <w:jc w:val="both"/>
        <w:rPr>
          <w:bCs/>
          <w:szCs w:val="24"/>
        </w:rPr>
      </w:pPr>
      <w:r w:rsidRPr="001513F9">
        <w:t xml:space="preserve">Στην επικουρική θεραπεία, </w:t>
      </w:r>
      <w:r w:rsidR="009647CD">
        <w:t>στ</w:t>
      </w:r>
      <w:r w:rsidRPr="001513F9">
        <w:t>η</w:t>
      </w:r>
      <w:r w:rsidR="009647CD">
        <w:t>ν</w:t>
      </w:r>
      <w:r w:rsidRPr="001513F9">
        <w:t xml:space="preserve"> συγκριτική μελέτη φάσης ΙΙΙ </w:t>
      </w:r>
      <w:r w:rsidRPr="001513F9">
        <w:rPr>
          <w:lang w:val="en-US"/>
        </w:rPr>
        <w:t>MOSAIC</w:t>
      </w:r>
      <w:r w:rsidRPr="001513F9">
        <w:t xml:space="preserve"> </w:t>
      </w:r>
      <w:r w:rsidRPr="001513F9">
        <w:rPr>
          <w:bCs/>
          <w:szCs w:val="24"/>
        </w:rPr>
        <w:t>(</w:t>
      </w:r>
      <w:r w:rsidRPr="001513F9">
        <w:rPr>
          <w:bCs/>
          <w:szCs w:val="24"/>
          <w:lang w:val="en-GB"/>
        </w:rPr>
        <w:t>EFC</w:t>
      </w:r>
      <w:r w:rsidRPr="001513F9">
        <w:rPr>
          <w:bCs/>
          <w:szCs w:val="24"/>
        </w:rPr>
        <w:t>3313) τυχαιοπο</w:t>
      </w:r>
      <w:r w:rsidR="009647CD">
        <w:rPr>
          <w:bCs/>
          <w:szCs w:val="24"/>
        </w:rPr>
        <w:t>ιήθ</w:t>
      </w:r>
      <w:r w:rsidRPr="001513F9">
        <w:rPr>
          <w:bCs/>
          <w:szCs w:val="24"/>
        </w:rPr>
        <w:t>η</w:t>
      </w:r>
      <w:r w:rsidR="009647CD">
        <w:rPr>
          <w:bCs/>
          <w:szCs w:val="24"/>
        </w:rPr>
        <w:t>καν</w:t>
      </w:r>
      <w:r w:rsidRPr="001513F9">
        <w:rPr>
          <w:bCs/>
          <w:szCs w:val="24"/>
        </w:rPr>
        <w:t xml:space="preserve"> 2246 ασθενείς (899 σταδίου </w:t>
      </w:r>
      <w:r w:rsidRPr="001513F9">
        <w:rPr>
          <w:bCs/>
          <w:szCs w:val="24"/>
          <w:lang w:val="en-GB"/>
        </w:rPr>
        <w:t>II</w:t>
      </w:r>
      <w:r w:rsidRPr="001513F9">
        <w:rPr>
          <w:bCs/>
          <w:szCs w:val="24"/>
        </w:rPr>
        <w:t>/</w:t>
      </w:r>
      <w:r w:rsidR="009647CD" w:rsidRPr="001513F9">
        <w:rPr>
          <w:bCs/>
          <w:szCs w:val="24"/>
        </w:rPr>
        <w:t xml:space="preserve"> </w:t>
      </w:r>
      <w:r w:rsidR="007D0434">
        <w:rPr>
          <w:bCs/>
          <w:szCs w:val="24"/>
        </w:rPr>
        <w:t>Dukes</w:t>
      </w:r>
      <w:r w:rsidR="007D0434" w:rsidRPr="007D0434">
        <w:rPr>
          <w:bCs/>
          <w:szCs w:val="24"/>
        </w:rPr>
        <w:t xml:space="preserve">’ </w:t>
      </w:r>
      <w:r w:rsidR="009647CD" w:rsidRPr="003E6011">
        <w:rPr>
          <w:bCs/>
          <w:szCs w:val="24"/>
          <w:lang w:val="en-GB"/>
        </w:rPr>
        <w:t>B</w:t>
      </w:r>
      <w:r w:rsidR="009647CD" w:rsidRPr="003E6011">
        <w:rPr>
          <w:bCs/>
          <w:szCs w:val="24"/>
        </w:rPr>
        <w:t>2</w:t>
      </w:r>
      <w:r w:rsidRPr="001513F9">
        <w:rPr>
          <w:bCs/>
          <w:szCs w:val="24"/>
        </w:rPr>
        <w:t xml:space="preserve"> και 1</w:t>
      </w:r>
      <w:r w:rsidR="007C4A54" w:rsidRPr="001513F9">
        <w:rPr>
          <w:bCs/>
          <w:szCs w:val="24"/>
        </w:rPr>
        <w:t>.</w:t>
      </w:r>
      <w:r w:rsidRPr="001513F9">
        <w:rPr>
          <w:bCs/>
          <w:szCs w:val="24"/>
        </w:rPr>
        <w:t xml:space="preserve">347 σταδίου </w:t>
      </w:r>
      <w:r w:rsidRPr="001513F9">
        <w:rPr>
          <w:bCs/>
          <w:szCs w:val="24"/>
          <w:lang w:val="en-GB"/>
        </w:rPr>
        <w:t>III</w:t>
      </w:r>
      <w:r w:rsidRPr="001513F9">
        <w:rPr>
          <w:bCs/>
          <w:szCs w:val="24"/>
        </w:rPr>
        <w:t>/</w:t>
      </w:r>
      <w:r w:rsidR="007D0434" w:rsidRPr="007D0434">
        <w:rPr>
          <w:bCs/>
          <w:szCs w:val="24"/>
        </w:rPr>
        <w:t xml:space="preserve"> </w:t>
      </w:r>
      <w:r w:rsidR="007D0434">
        <w:rPr>
          <w:bCs/>
          <w:szCs w:val="24"/>
        </w:rPr>
        <w:t>Dukes</w:t>
      </w:r>
      <w:r w:rsidR="007D0434" w:rsidRPr="007D0434">
        <w:rPr>
          <w:bCs/>
          <w:szCs w:val="24"/>
        </w:rPr>
        <w:t>’</w:t>
      </w:r>
      <w:r w:rsidR="009647CD" w:rsidRPr="001513F9">
        <w:rPr>
          <w:bCs/>
          <w:szCs w:val="24"/>
        </w:rPr>
        <w:t xml:space="preserve"> </w:t>
      </w:r>
      <w:r w:rsidR="009647CD" w:rsidRPr="00AF775D">
        <w:rPr>
          <w:bCs/>
          <w:szCs w:val="24"/>
          <w:lang w:val="en-GB"/>
        </w:rPr>
        <w:t>C</w:t>
      </w:r>
      <w:r w:rsidRPr="001513F9">
        <w:rPr>
          <w:bCs/>
          <w:szCs w:val="24"/>
        </w:rPr>
        <w:t xml:space="preserve">) μετά την πλήρη εκτομή του πρωτοπαθούς όγκου του καρκίνου του παχέος εντέρου είτε μόνο σε </w:t>
      </w:r>
      <w:r w:rsidR="00767322" w:rsidRPr="001513F9">
        <w:rPr>
          <w:bCs/>
          <w:szCs w:val="24"/>
        </w:rPr>
        <w:t>5-F</w:t>
      </w:r>
      <w:r w:rsidRPr="001513F9">
        <w:rPr>
          <w:bCs/>
          <w:szCs w:val="24"/>
          <w:lang w:val="en-GB"/>
        </w:rPr>
        <w:t>U</w:t>
      </w:r>
      <w:r w:rsidRPr="001513F9">
        <w:rPr>
          <w:bCs/>
          <w:szCs w:val="24"/>
        </w:rPr>
        <w:t>/</w:t>
      </w:r>
      <w:r w:rsidRPr="001513F9">
        <w:rPr>
          <w:bCs/>
          <w:szCs w:val="24"/>
          <w:lang w:val="en-GB"/>
        </w:rPr>
        <w:t>FA</w:t>
      </w:r>
      <w:r w:rsidRPr="001513F9">
        <w:rPr>
          <w:bCs/>
          <w:szCs w:val="24"/>
        </w:rPr>
        <w:t xml:space="preserve"> (</w:t>
      </w:r>
      <w:r w:rsidRPr="001513F9">
        <w:rPr>
          <w:bCs/>
          <w:lang w:val="en-GB"/>
        </w:rPr>
        <w:t>LV</w:t>
      </w:r>
      <w:r w:rsidRPr="001513F9">
        <w:rPr>
          <w:bCs/>
        </w:rPr>
        <w:t>5</w:t>
      </w:r>
      <w:r w:rsidRPr="001513F9">
        <w:rPr>
          <w:bCs/>
          <w:lang w:val="en-GB"/>
        </w:rPr>
        <w:t>FU</w:t>
      </w:r>
      <w:r w:rsidRPr="001513F9">
        <w:rPr>
          <w:bCs/>
        </w:rPr>
        <w:t xml:space="preserve">2 </w:t>
      </w:r>
      <w:r w:rsidRPr="001513F9">
        <w:rPr>
          <w:bCs/>
          <w:lang w:val="en-GB"/>
        </w:rPr>
        <w:t>N</w:t>
      </w:r>
      <w:r w:rsidRPr="001513F9">
        <w:rPr>
          <w:bCs/>
        </w:rPr>
        <w:t xml:space="preserve">=1123, </w:t>
      </w:r>
      <w:r w:rsidRPr="001513F9">
        <w:rPr>
          <w:bCs/>
          <w:lang w:val="en-GB"/>
        </w:rPr>
        <w:t>B</w:t>
      </w:r>
      <w:r w:rsidRPr="001513F9">
        <w:rPr>
          <w:bCs/>
        </w:rPr>
        <w:t>2/</w:t>
      </w:r>
      <w:r w:rsidRPr="001513F9">
        <w:rPr>
          <w:bCs/>
          <w:lang w:val="en-GB"/>
        </w:rPr>
        <w:t>C</w:t>
      </w:r>
      <w:r w:rsidRPr="001513F9">
        <w:rPr>
          <w:bCs/>
        </w:rPr>
        <w:t xml:space="preserve"> = 448/675</w:t>
      </w:r>
      <w:r w:rsidRPr="001513F9">
        <w:rPr>
          <w:bCs/>
          <w:szCs w:val="24"/>
        </w:rPr>
        <w:t xml:space="preserve">) ή στο συνδυασμό οξαλιπλατίνης και </w:t>
      </w:r>
      <w:r w:rsidR="00767322" w:rsidRPr="001513F9">
        <w:rPr>
          <w:bCs/>
          <w:szCs w:val="24"/>
        </w:rPr>
        <w:t>5-F</w:t>
      </w:r>
      <w:r w:rsidRPr="001513F9">
        <w:rPr>
          <w:bCs/>
          <w:szCs w:val="24"/>
          <w:lang w:val="en-GB"/>
        </w:rPr>
        <w:t>U</w:t>
      </w:r>
      <w:r w:rsidRPr="001513F9">
        <w:rPr>
          <w:bCs/>
          <w:szCs w:val="24"/>
        </w:rPr>
        <w:t>/</w:t>
      </w:r>
      <w:r w:rsidRPr="001513F9">
        <w:rPr>
          <w:bCs/>
          <w:szCs w:val="24"/>
          <w:lang w:val="en-GB"/>
        </w:rPr>
        <w:t>FA</w:t>
      </w:r>
      <w:r w:rsidRPr="001513F9">
        <w:rPr>
          <w:bCs/>
          <w:szCs w:val="24"/>
        </w:rPr>
        <w:t xml:space="preserve"> (</w:t>
      </w:r>
      <w:r w:rsidRPr="001513F9">
        <w:rPr>
          <w:bCs/>
          <w:szCs w:val="24"/>
          <w:lang w:val="en-GB"/>
        </w:rPr>
        <w:t>FOLFOX</w:t>
      </w:r>
      <w:r w:rsidRPr="001513F9">
        <w:rPr>
          <w:bCs/>
          <w:szCs w:val="24"/>
        </w:rPr>
        <w:t xml:space="preserve"> 4 </w:t>
      </w:r>
      <w:r w:rsidRPr="001513F9">
        <w:rPr>
          <w:bCs/>
          <w:szCs w:val="24"/>
          <w:lang w:val="en-GB"/>
        </w:rPr>
        <w:t>N</w:t>
      </w:r>
      <w:r w:rsidRPr="001513F9">
        <w:rPr>
          <w:bCs/>
          <w:szCs w:val="24"/>
        </w:rPr>
        <w:t xml:space="preserve"> =1</w:t>
      </w:r>
      <w:r w:rsidR="007C4A54" w:rsidRPr="001513F9">
        <w:rPr>
          <w:bCs/>
          <w:szCs w:val="24"/>
        </w:rPr>
        <w:t>.</w:t>
      </w:r>
      <w:r w:rsidRPr="001513F9">
        <w:rPr>
          <w:bCs/>
          <w:szCs w:val="24"/>
        </w:rPr>
        <w:t xml:space="preserve">123, </w:t>
      </w:r>
      <w:r w:rsidRPr="001513F9">
        <w:rPr>
          <w:bCs/>
          <w:szCs w:val="24"/>
          <w:lang w:val="en-GB"/>
        </w:rPr>
        <w:t>B</w:t>
      </w:r>
      <w:r w:rsidRPr="001513F9">
        <w:rPr>
          <w:bCs/>
          <w:szCs w:val="24"/>
        </w:rPr>
        <w:t>2/</w:t>
      </w:r>
      <w:r w:rsidRPr="001513F9">
        <w:rPr>
          <w:bCs/>
          <w:szCs w:val="24"/>
          <w:lang w:val="en-GB"/>
        </w:rPr>
        <w:t>C</w:t>
      </w:r>
      <w:r w:rsidRPr="001513F9">
        <w:rPr>
          <w:bCs/>
          <w:szCs w:val="24"/>
        </w:rPr>
        <w:t xml:space="preserve"> = 451/672)</w:t>
      </w:r>
    </w:p>
    <w:p w:rsidR="007364F9" w:rsidRPr="001513F9" w:rsidRDefault="007364F9" w:rsidP="007364F9">
      <w:pPr>
        <w:rPr>
          <w:bCs/>
          <w:szCs w:val="24"/>
        </w:rPr>
      </w:pPr>
    </w:p>
    <w:p w:rsidR="007364F9" w:rsidRPr="001513F9" w:rsidRDefault="007364F9" w:rsidP="007364F9">
      <w:pPr>
        <w:ind w:firstLine="708"/>
        <w:jc w:val="center"/>
        <w:rPr>
          <w:b/>
          <w:bCs/>
        </w:rPr>
      </w:pPr>
      <w:r w:rsidRPr="001513F9">
        <w:rPr>
          <w:b/>
          <w:bCs/>
          <w:lang w:val="en-GB"/>
        </w:rPr>
        <w:t>EFC</w:t>
      </w:r>
      <w:r w:rsidRPr="001513F9">
        <w:rPr>
          <w:b/>
          <w:bCs/>
        </w:rPr>
        <w:t xml:space="preserve"> 3313 3-χρόνια </w:t>
      </w:r>
      <w:r w:rsidR="002E198D" w:rsidRPr="001513F9">
        <w:rPr>
          <w:b/>
          <w:bCs/>
        </w:rPr>
        <w:t xml:space="preserve">ελεύθερη νόσου </w:t>
      </w:r>
      <w:r w:rsidRPr="001513F9">
        <w:rPr>
          <w:b/>
          <w:bCs/>
        </w:rPr>
        <w:t>επιβίωση (</w:t>
      </w:r>
      <w:r w:rsidRPr="001513F9">
        <w:rPr>
          <w:b/>
          <w:bCs/>
          <w:lang w:val="en-GB"/>
        </w:rPr>
        <w:t>ITT</w:t>
      </w:r>
      <w:r w:rsidRPr="001513F9">
        <w:rPr>
          <w:b/>
          <w:bCs/>
        </w:rPr>
        <w:t xml:space="preserve"> ανάλυση)* για το συνολικό πληθυσμό</w:t>
      </w:r>
    </w:p>
    <w:p w:rsidR="007364F9" w:rsidRPr="001513F9" w:rsidRDefault="007364F9" w:rsidP="007364F9">
      <w:pPr>
        <w:jc w:val="center"/>
        <w:rPr>
          <w:b/>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7"/>
        <w:gridCol w:w="1573"/>
        <w:gridCol w:w="1710"/>
      </w:tblGrid>
      <w:tr w:rsidR="007364F9" w:rsidRPr="001513F9" w:rsidTr="007364F9">
        <w:trPr>
          <w:cantSplit/>
          <w:trHeight w:val="400"/>
        </w:trPr>
        <w:tc>
          <w:tcPr>
            <w:tcW w:w="3197"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rPr>
                <w:b/>
                <w:bCs/>
              </w:rPr>
            </w:pPr>
            <w:r w:rsidRPr="001513F9">
              <w:rPr>
                <w:b/>
                <w:bCs/>
              </w:rPr>
              <w:t xml:space="preserve">Θεραπευτικό σκέλος </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rPr>
                <w:b/>
                <w:bCs/>
              </w:rPr>
            </w:pPr>
            <w:r w:rsidRPr="001513F9">
              <w:rPr>
                <w:b/>
                <w:bCs/>
              </w:rPr>
              <w:t>LV5FU2</w:t>
            </w:r>
          </w:p>
          <w:p w:rsidR="007364F9" w:rsidRPr="001513F9" w:rsidRDefault="007364F9" w:rsidP="007364F9">
            <w:pPr>
              <w:jc w:val="center"/>
              <w:rPr>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rPr>
                <w:b/>
                <w:bCs/>
              </w:rPr>
            </w:pPr>
            <w:r w:rsidRPr="001513F9">
              <w:rPr>
                <w:b/>
                <w:bCs/>
              </w:rPr>
              <w:t>FOLFOX4</w:t>
            </w:r>
          </w:p>
        </w:tc>
      </w:tr>
      <w:tr w:rsidR="007364F9" w:rsidRPr="001513F9" w:rsidTr="007364F9">
        <w:trPr>
          <w:cantSplit/>
        </w:trPr>
        <w:tc>
          <w:tcPr>
            <w:tcW w:w="3197"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rPr>
                <w:b/>
                <w:bCs/>
              </w:rPr>
            </w:pPr>
            <w:r w:rsidRPr="001513F9">
              <w:rPr>
                <w:b/>
                <w:bCs/>
              </w:rPr>
              <w:t xml:space="preserve">Εκατοστιαία </w:t>
            </w:r>
            <w:r w:rsidR="002E198D" w:rsidRPr="001513F9">
              <w:rPr>
                <w:b/>
                <w:bCs/>
              </w:rPr>
              <w:t xml:space="preserve">ελεύθερη νόσου </w:t>
            </w:r>
            <w:r w:rsidRPr="001513F9">
              <w:rPr>
                <w:b/>
                <w:bCs/>
              </w:rPr>
              <w:t xml:space="preserve">επιβίωση για 3 χρόνια  (95% </w:t>
            </w:r>
            <w:r w:rsidRPr="001513F9">
              <w:rPr>
                <w:b/>
                <w:bCs/>
                <w:lang w:val="en-GB"/>
              </w:rPr>
              <w:t>CI</w:t>
            </w:r>
            <w:r w:rsidRPr="001513F9">
              <w:rPr>
                <w:b/>
                <w:bCs/>
              </w:rPr>
              <w:t>)</w:t>
            </w: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rPr>
                <w:lang w:val="it-IT"/>
              </w:rPr>
            </w:pPr>
            <w:r w:rsidRPr="001513F9">
              <w:rPr>
                <w:lang w:val="it-IT"/>
              </w:rPr>
              <w:t>73</w:t>
            </w:r>
            <w:r w:rsidRPr="001513F9">
              <w:t>,</w:t>
            </w:r>
            <w:r w:rsidRPr="001513F9">
              <w:rPr>
                <w:lang w:val="it-IT"/>
              </w:rPr>
              <w:t>3</w:t>
            </w:r>
          </w:p>
          <w:p w:rsidR="007364F9" w:rsidRPr="001513F9" w:rsidRDefault="007364F9" w:rsidP="007364F9">
            <w:pPr>
              <w:jc w:val="center"/>
              <w:rPr>
                <w:lang w:val="it-IT"/>
              </w:rPr>
            </w:pPr>
            <w:r w:rsidRPr="001513F9">
              <w:rPr>
                <w:lang w:val="it-IT"/>
              </w:rPr>
              <w:t>(70</w:t>
            </w:r>
            <w:r w:rsidRPr="001513F9">
              <w:t>,</w:t>
            </w:r>
            <w:r w:rsidRPr="001513F9">
              <w:rPr>
                <w:lang w:val="it-IT"/>
              </w:rPr>
              <w:t>6-75</w:t>
            </w:r>
            <w:r w:rsidRPr="001513F9">
              <w:t>,</w:t>
            </w:r>
            <w:r w:rsidRPr="001513F9">
              <w:rPr>
                <w:lang w:val="it-IT"/>
              </w:rPr>
              <w:t>9)</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rPr>
                <w:lang w:val="it-IT"/>
              </w:rPr>
            </w:pPr>
            <w:r w:rsidRPr="001513F9">
              <w:rPr>
                <w:lang w:val="it-IT"/>
              </w:rPr>
              <w:t>78</w:t>
            </w:r>
            <w:r w:rsidRPr="001513F9">
              <w:t>,</w:t>
            </w:r>
            <w:r w:rsidRPr="001513F9">
              <w:rPr>
                <w:lang w:val="it-IT"/>
              </w:rPr>
              <w:t>7</w:t>
            </w:r>
          </w:p>
          <w:p w:rsidR="007364F9" w:rsidRPr="001513F9" w:rsidRDefault="007364F9" w:rsidP="007364F9">
            <w:pPr>
              <w:jc w:val="center"/>
              <w:rPr>
                <w:lang w:val="it-IT"/>
              </w:rPr>
            </w:pPr>
            <w:r w:rsidRPr="001513F9">
              <w:rPr>
                <w:lang w:val="it-IT"/>
              </w:rPr>
              <w:t>(76</w:t>
            </w:r>
            <w:r w:rsidRPr="001513F9">
              <w:t>,</w:t>
            </w:r>
            <w:r w:rsidRPr="001513F9">
              <w:rPr>
                <w:lang w:val="it-IT"/>
              </w:rPr>
              <w:t>2-81</w:t>
            </w:r>
            <w:r w:rsidRPr="001513F9">
              <w:t>,</w:t>
            </w:r>
            <w:r w:rsidRPr="001513F9">
              <w:rPr>
                <w:lang w:val="it-IT"/>
              </w:rPr>
              <w:t>1)</w:t>
            </w:r>
          </w:p>
        </w:tc>
      </w:tr>
      <w:tr w:rsidR="007364F9" w:rsidRPr="001513F9" w:rsidTr="007364F9">
        <w:trPr>
          <w:cantSplit/>
        </w:trPr>
        <w:tc>
          <w:tcPr>
            <w:tcW w:w="3197"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2E198D" w:rsidP="007364F9">
            <w:pPr>
              <w:rPr>
                <w:b/>
                <w:bCs/>
                <w:lang w:val="it-IT"/>
              </w:rPr>
            </w:pPr>
            <w:r w:rsidRPr="001513F9">
              <w:rPr>
                <w:b/>
                <w:bCs/>
              </w:rPr>
              <w:t>Λόγος επικινδυνότητας</w:t>
            </w:r>
            <w:r w:rsidR="007364F9" w:rsidRPr="001513F9">
              <w:rPr>
                <w:b/>
                <w:bCs/>
                <w:lang w:val="it-IT"/>
              </w:rPr>
              <w:t xml:space="preserve"> (95% CI)</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pPr>
            <w:r w:rsidRPr="001513F9">
              <w:t>0,76</w:t>
            </w:r>
          </w:p>
          <w:p w:rsidR="007364F9" w:rsidRPr="001513F9" w:rsidRDefault="007364F9" w:rsidP="007364F9">
            <w:pPr>
              <w:jc w:val="center"/>
            </w:pPr>
            <w:r w:rsidRPr="001513F9">
              <w:t>(0,64-0,89)</w:t>
            </w:r>
          </w:p>
        </w:tc>
      </w:tr>
      <w:tr w:rsidR="007364F9" w:rsidRPr="001513F9" w:rsidTr="007364F9">
        <w:trPr>
          <w:cantSplit/>
        </w:trPr>
        <w:tc>
          <w:tcPr>
            <w:tcW w:w="3197" w:type="dxa"/>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2E198D" w:rsidP="007364F9">
            <w:pPr>
              <w:rPr>
                <w:b/>
                <w:bCs/>
              </w:rPr>
            </w:pPr>
            <w:r w:rsidRPr="001513F9">
              <w:rPr>
                <w:b/>
                <w:bCs/>
              </w:rPr>
              <w:t>Στρωματοποιημένη δοκιμασία</w:t>
            </w:r>
            <w:r w:rsidR="007364F9" w:rsidRPr="001513F9">
              <w:rPr>
                <w:b/>
                <w:bCs/>
                <w:lang w:val="en-GB"/>
              </w:rPr>
              <w:t xml:space="preserve"> log rank </w:t>
            </w:r>
          </w:p>
        </w:tc>
        <w:tc>
          <w:tcPr>
            <w:tcW w:w="3283" w:type="dxa"/>
            <w:gridSpan w:val="2"/>
            <w:tcBorders>
              <w:top w:val="single" w:sz="4" w:space="0" w:color="auto"/>
              <w:left w:val="single" w:sz="4" w:space="0" w:color="auto"/>
              <w:bottom w:val="single" w:sz="4" w:space="0" w:color="auto"/>
              <w:right w:val="single" w:sz="4" w:space="0" w:color="auto"/>
            </w:tcBorders>
            <w:shd w:val="clear" w:color="auto" w:fill="auto"/>
          </w:tcPr>
          <w:p w:rsidR="007364F9" w:rsidRPr="001513F9" w:rsidRDefault="007364F9" w:rsidP="007364F9">
            <w:pPr>
              <w:jc w:val="center"/>
            </w:pPr>
            <w:r w:rsidRPr="001513F9">
              <w:t>P=0,0008</w:t>
            </w:r>
          </w:p>
        </w:tc>
      </w:tr>
    </w:tbl>
    <w:p w:rsidR="007364F9" w:rsidRPr="001513F9" w:rsidRDefault="007364F9" w:rsidP="007364F9">
      <w:pPr>
        <w:ind w:left="1134" w:hanging="54"/>
      </w:pPr>
      <w:r w:rsidRPr="001513F9">
        <w:t>*</w:t>
      </w:r>
      <w:r w:rsidR="00C06019">
        <w:t xml:space="preserve"> διάμεσ</w:t>
      </w:r>
      <w:r w:rsidRPr="000B008B">
        <w:t>η παρακολούθηση μέ</w:t>
      </w:r>
      <w:r w:rsidRPr="001513F9">
        <w:t>χρι 44,2 μήνες (όλοι οι ασθενείς παρακολουθούνται για τουλάχιστον 3 χρόνια)</w:t>
      </w:r>
    </w:p>
    <w:p w:rsidR="007364F9" w:rsidRPr="001513F9" w:rsidRDefault="007364F9" w:rsidP="007364F9">
      <w:pPr>
        <w:rPr>
          <w:bCs/>
          <w:szCs w:val="24"/>
        </w:rPr>
      </w:pPr>
    </w:p>
    <w:p w:rsidR="007364F9" w:rsidRPr="001513F9" w:rsidRDefault="007364F9" w:rsidP="007364F9">
      <w:pPr>
        <w:rPr>
          <w:bCs/>
          <w:strike/>
        </w:rPr>
      </w:pPr>
      <w:r w:rsidRPr="001513F9">
        <w:rPr>
          <w:bCs/>
          <w:szCs w:val="24"/>
        </w:rPr>
        <w:t xml:space="preserve">Η μελέτη κατέδειξε ένα συνολικό σημαντικό πλεονέκτημα στην επιβίωση ελεύθερη νόσου για 3 χρόνια για το συνδυασμό οξαλιπλατίνης και </w:t>
      </w:r>
      <w:r w:rsidR="00767322" w:rsidRPr="001513F9">
        <w:rPr>
          <w:bCs/>
        </w:rPr>
        <w:t>5-F</w:t>
      </w:r>
      <w:r w:rsidRPr="001513F9">
        <w:rPr>
          <w:bCs/>
          <w:lang w:val="en-GB"/>
        </w:rPr>
        <w:t>U</w:t>
      </w:r>
      <w:r w:rsidRPr="001513F9">
        <w:rPr>
          <w:bCs/>
        </w:rPr>
        <w:t>/</w:t>
      </w:r>
      <w:r w:rsidRPr="001513F9">
        <w:rPr>
          <w:bCs/>
          <w:lang w:val="en-GB"/>
        </w:rPr>
        <w:t>FA</w:t>
      </w:r>
      <w:r w:rsidRPr="001513F9">
        <w:rPr>
          <w:bCs/>
        </w:rPr>
        <w:t xml:space="preserve"> (</w:t>
      </w:r>
      <w:r w:rsidRPr="001513F9">
        <w:rPr>
          <w:bCs/>
          <w:lang w:val="en-GB"/>
        </w:rPr>
        <w:t>FOLFOX</w:t>
      </w:r>
      <w:r w:rsidRPr="001513F9">
        <w:rPr>
          <w:bCs/>
        </w:rPr>
        <w:t xml:space="preserve">4) σε σχέση με το </w:t>
      </w:r>
      <w:r w:rsidR="00767322" w:rsidRPr="001513F9">
        <w:rPr>
          <w:bCs/>
        </w:rPr>
        <w:t>5-F</w:t>
      </w:r>
      <w:r w:rsidRPr="001513F9">
        <w:rPr>
          <w:bCs/>
          <w:lang w:val="en-GB"/>
        </w:rPr>
        <w:t>U</w:t>
      </w:r>
      <w:r w:rsidRPr="001513F9">
        <w:rPr>
          <w:bCs/>
        </w:rPr>
        <w:t>/</w:t>
      </w:r>
      <w:r w:rsidRPr="001513F9">
        <w:rPr>
          <w:bCs/>
          <w:lang w:val="en-GB"/>
        </w:rPr>
        <w:t>FA</w:t>
      </w:r>
      <w:r w:rsidRPr="001513F9">
        <w:rPr>
          <w:bCs/>
        </w:rPr>
        <w:t xml:space="preserve"> μόνο (</w:t>
      </w:r>
      <w:r w:rsidRPr="001513F9">
        <w:rPr>
          <w:bCs/>
          <w:lang w:val="en-GB"/>
        </w:rPr>
        <w:t>LV</w:t>
      </w:r>
      <w:r w:rsidRPr="001513F9">
        <w:rPr>
          <w:bCs/>
        </w:rPr>
        <w:t>5</w:t>
      </w:r>
      <w:r w:rsidRPr="001513F9">
        <w:rPr>
          <w:bCs/>
          <w:lang w:val="en-GB"/>
        </w:rPr>
        <w:t>FU</w:t>
      </w:r>
      <w:r w:rsidRPr="001513F9">
        <w:rPr>
          <w:bCs/>
        </w:rPr>
        <w:t>2).</w:t>
      </w:r>
    </w:p>
    <w:p w:rsidR="007364F9" w:rsidRPr="001513F9" w:rsidRDefault="007364F9" w:rsidP="007364F9">
      <w:pPr>
        <w:numPr>
          <w:ilvl w:val="12"/>
          <w:numId w:val="0"/>
        </w:numPr>
        <w:ind w:left="720"/>
      </w:pPr>
    </w:p>
    <w:p w:rsidR="007364F9" w:rsidRPr="001513F9" w:rsidRDefault="007364F9" w:rsidP="007364F9">
      <w:pPr>
        <w:ind w:firstLine="720"/>
        <w:jc w:val="center"/>
        <w:rPr>
          <w:b/>
          <w:bCs/>
        </w:rPr>
      </w:pPr>
      <w:r w:rsidRPr="001513F9">
        <w:rPr>
          <w:b/>
          <w:bCs/>
          <w:lang w:val="en-GB"/>
        </w:rPr>
        <w:t>EFC</w:t>
      </w:r>
      <w:r w:rsidRPr="001513F9">
        <w:rPr>
          <w:b/>
          <w:bCs/>
        </w:rPr>
        <w:t xml:space="preserve"> 3313 3-χρόνια </w:t>
      </w:r>
      <w:r w:rsidR="009C31EF" w:rsidRPr="001513F9">
        <w:rPr>
          <w:b/>
          <w:bCs/>
        </w:rPr>
        <w:t xml:space="preserve">ελεύθερη νόσου </w:t>
      </w:r>
      <w:r w:rsidRPr="001513F9">
        <w:rPr>
          <w:b/>
          <w:bCs/>
        </w:rPr>
        <w:t>επιβίωση (</w:t>
      </w:r>
      <w:r w:rsidRPr="001513F9">
        <w:rPr>
          <w:b/>
          <w:bCs/>
          <w:lang w:val="en-GB"/>
        </w:rPr>
        <w:t>ITT</w:t>
      </w:r>
      <w:r w:rsidRPr="001513F9">
        <w:rPr>
          <w:b/>
          <w:bCs/>
        </w:rPr>
        <w:t xml:space="preserve"> ανάλυση)* ανάλογα με το στάδιο της </w:t>
      </w:r>
      <w:r w:rsidRPr="001513F9">
        <w:rPr>
          <w:b/>
          <w:bCs/>
        </w:rPr>
        <w:lastRenderedPageBreak/>
        <w:t>ασθένειας</w:t>
      </w:r>
    </w:p>
    <w:p w:rsidR="007C4A54" w:rsidRPr="001513F9" w:rsidRDefault="007C4A54" w:rsidP="007364F9">
      <w:pPr>
        <w:ind w:firstLine="720"/>
        <w:jc w:val="center"/>
        <w:rPr>
          <w:b/>
          <w:bCs/>
        </w:rPr>
      </w:pPr>
    </w:p>
    <w:tbl>
      <w:tblPr>
        <w:tblpPr w:leftFromText="180" w:rightFromText="180" w:vertAnchor="text" w:horzAnchor="page" w:tblpX="2884" w:tblpY="111"/>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90"/>
        <w:gridCol w:w="1296"/>
        <w:gridCol w:w="1134"/>
        <w:gridCol w:w="1276"/>
      </w:tblGrid>
      <w:tr w:rsidR="00DC1637" w:rsidRPr="001513F9" w:rsidTr="008D2649">
        <w:trPr>
          <w:cantSplit/>
          <w:trHeight w:val="400"/>
        </w:trPr>
        <w:tc>
          <w:tcPr>
            <w:tcW w:w="2376" w:type="dxa"/>
          </w:tcPr>
          <w:p w:rsidR="00DC1637" w:rsidRPr="001513F9" w:rsidRDefault="00DC1637" w:rsidP="008D2649">
            <w:pPr>
              <w:ind w:left="-57" w:right="-12"/>
              <w:rPr>
                <w:b/>
                <w:bCs/>
              </w:rPr>
            </w:pPr>
            <w:r w:rsidRPr="001513F9">
              <w:rPr>
                <w:b/>
                <w:bCs/>
              </w:rPr>
              <w:t>Στάδιο ασθενή</w:t>
            </w:r>
          </w:p>
        </w:tc>
        <w:tc>
          <w:tcPr>
            <w:tcW w:w="2586" w:type="dxa"/>
            <w:gridSpan w:val="2"/>
          </w:tcPr>
          <w:p w:rsidR="00DC1637" w:rsidRPr="001513F9" w:rsidRDefault="00DC1637" w:rsidP="008D2649">
            <w:pPr>
              <w:ind w:left="-57" w:right="-12"/>
              <w:jc w:val="center"/>
              <w:rPr>
                <w:b/>
                <w:bCs/>
              </w:rPr>
            </w:pPr>
            <w:r w:rsidRPr="001513F9">
              <w:rPr>
                <w:b/>
                <w:bCs/>
              </w:rPr>
              <w:t>Στάδιο II</w:t>
            </w:r>
          </w:p>
          <w:p w:rsidR="00DC1637" w:rsidRPr="001513F9" w:rsidRDefault="00DC1637" w:rsidP="008D2649">
            <w:pPr>
              <w:ind w:left="-57" w:right="-12"/>
              <w:jc w:val="center"/>
              <w:rPr>
                <w:b/>
                <w:bCs/>
              </w:rPr>
            </w:pPr>
            <w:r w:rsidRPr="001513F9">
              <w:rPr>
                <w:b/>
                <w:bCs/>
              </w:rPr>
              <w:t>(</w:t>
            </w:r>
            <w:r w:rsidR="007D0434">
              <w:rPr>
                <w:bCs/>
                <w:szCs w:val="24"/>
              </w:rPr>
              <w:t xml:space="preserve"> </w:t>
            </w:r>
            <w:r w:rsidR="007D0434" w:rsidRPr="007D0434">
              <w:rPr>
                <w:b/>
                <w:bCs/>
                <w:szCs w:val="24"/>
              </w:rPr>
              <w:t>Dukes’</w:t>
            </w:r>
            <w:r w:rsidR="009647CD" w:rsidRPr="002840E9">
              <w:rPr>
                <w:b/>
                <w:bCs/>
              </w:rPr>
              <w:t xml:space="preserve"> B2</w:t>
            </w:r>
            <w:r w:rsidRPr="001513F9">
              <w:rPr>
                <w:b/>
                <w:bCs/>
              </w:rPr>
              <w:t>)</w:t>
            </w:r>
          </w:p>
          <w:p w:rsidR="00DC1637" w:rsidRPr="001513F9" w:rsidRDefault="00DC1637" w:rsidP="008D2649">
            <w:pPr>
              <w:ind w:left="-57" w:right="-12"/>
              <w:jc w:val="center"/>
              <w:rPr>
                <w:b/>
                <w:bCs/>
              </w:rPr>
            </w:pPr>
          </w:p>
        </w:tc>
        <w:tc>
          <w:tcPr>
            <w:tcW w:w="2410" w:type="dxa"/>
            <w:gridSpan w:val="2"/>
          </w:tcPr>
          <w:p w:rsidR="00DC1637" w:rsidRPr="001513F9" w:rsidRDefault="00DC1637" w:rsidP="008D2649">
            <w:pPr>
              <w:ind w:left="-57" w:right="-12"/>
              <w:jc w:val="center"/>
              <w:rPr>
                <w:b/>
                <w:bCs/>
              </w:rPr>
            </w:pPr>
            <w:r w:rsidRPr="001513F9">
              <w:rPr>
                <w:b/>
                <w:bCs/>
              </w:rPr>
              <w:t>Στάδιο III</w:t>
            </w:r>
          </w:p>
          <w:p w:rsidR="00DC1637" w:rsidRPr="001513F9" w:rsidRDefault="00DC1637" w:rsidP="007D0434">
            <w:pPr>
              <w:ind w:left="-57" w:right="-12"/>
              <w:jc w:val="center"/>
              <w:rPr>
                <w:b/>
                <w:bCs/>
              </w:rPr>
            </w:pPr>
            <w:r w:rsidRPr="001513F9">
              <w:rPr>
                <w:b/>
                <w:bCs/>
              </w:rPr>
              <w:t>(</w:t>
            </w:r>
            <w:r w:rsidR="009647CD" w:rsidRPr="00893BDA">
              <w:rPr>
                <w:b/>
                <w:bCs/>
              </w:rPr>
              <w:t xml:space="preserve"> </w:t>
            </w:r>
            <w:r w:rsidR="007D0434" w:rsidRPr="007D0434">
              <w:rPr>
                <w:b/>
                <w:bCs/>
                <w:szCs w:val="24"/>
              </w:rPr>
              <w:t>Dukes’</w:t>
            </w:r>
            <w:r w:rsidR="007D0434" w:rsidRPr="007D0434">
              <w:rPr>
                <w:b/>
                <w:bCs/>
                <w:szCs w:val="24"/>
                <w:lang w:val="en-US"/>
              </w:rPr>
              <w:t xml:space="preserve"> </w:t>
            </w:r>
            <w:r w:rsidR="009647CD" w:rsidRPr="00893BDA">
              <w:rPr>
                <w:b/>
                <w:bCs/>
              </w:rPr>
              <w:t>C</w:t>
            </w:r>
            <w:r w:rsidRPr="001513F9">
              <w:rPr>
                <w:b/>
                <w:bCs/>
              </w:rPr>
              <w:t>)</w:t>
            </w:r>
          </w:p>
        </w:tc>
      </w:tr>
      <w:tr w:rsidR="00DC1637" w:rsidRPr="001513F9" w:rsidTr="008D2649">
        <w:trPr>
          <w:cantSplit/>
        </w:trPr>
        <w:tc>
          <w:tcPr>
            <w:tcW w:w="2376" w:type="dxa"/>
          </w:tcPr>
          <w:p w:rsidR="00DC1637" w:rsidRPr="001513F9" w:rsidRDefault="00DC1637" w:rsidP="008D2649">
            <w:pPr>
              <w:ind w:left="-57" w:right="-12"/>
              <w:rPr>
                <w:b/>
                <w:bCs/>
              </w:rPr>
            </w:pPr>
            <w:r w:rsidRPr="001513F9">
              <w:rPr>
                <w:b/>
                <w:bCs/>
              </w:rPr>
              <w:t>Θεραπευτικό σκέλος</w:t>
            </w:r>
          </w:p>
        </w:tc>
        <w:tc>
          <w:tcPr>
            <w:tcW w:w="1290" w:type="dxa"/>
          </w:tcPr>
          <w:p w:rsidR="00DC1637" w:rsidRPr="001513F9" w:rsidRDefault="00DC1637" w:rsidP="008D2649">
            <w:pPr>
              <w:ind w:left="-57" w:right="-12"/>
              <w:jc w:val="center"/>
              <w:rPr>
                <w:lang w:val="de-DE"/>
              </w:rPr>
            </w:pPr>
            <w:r w:rsidRPr="001513F9">
              <w:rPr>
                <w:lang w:val="de-DE"/>
              </w:rPr>
              <w:t>LV5FU2</w:t>
            </w:r>
          </w:p>
        </w:tc>
        <w:tc>
          <w:tcPr>
            <w:tcW w:w="1296" w:type="dxa"/>
          </w:tcPr>
          <w:p w:rsidR="00DC1637" w:rsidRPr="001513F9" w:rsidRDefault="00DC1637" w:rsidP="008D2649">
            <w:pPr>
              <w:ind w:left="-57" w:right="-12"/>
              <w:jc w:val="center"/>
              <w:rPr>
                <w:lang w:val="de-DE"/>
              </w:rPr>
            </w:pPr>
            <w:r w:rsidRPr="001513F9">
              <w:rPr>
                <w:lang w:val="de-DE"/>
              </w:rPr>
              <w:t>FOLFOX4</w:t>
            </w:r>
          </w:p>
        </w:tc>
        <w:tc>
          <w:tcPr>
            <w:tcW w:w="1134" w:type="dxa"/>
          </w:tcPr>
          <w:p w:rsidR="00DC1637" w:rsidRPr="001513F9" w:rsidRDefault="00DC1637" w:rsidP="008D2649">
            <w:pPr>
              <w:ind w:left="-57" w:right="-12"/>
              <w:jc w:val="center"/>
              <w:rPr>
                <w:lang w:val="de-DE"/>
              </w:rPr>
            </w:pPr>
            <w:r w:rsidRPr="001513F9">
              <w:rPr>
                <w:lang w:val="de-DE"/>
              </w:rPr>
              <w:t>LV5FU2</w:t>
            </w:r>
          </w:p>
        </w:tc>
        <w:tc>
          <w:tcPr>
            <w:tcW w:w="1276" w:type="dxa"/>
          </w:tcPr>
          <w:p w:rsidR="00DC1637" w:rsidRPr="001513F9" w:rsidRDefault="00DC1637" w:rsidP="008D2649">
            <w:pPr>
              <w:ind w:left="-57" w:right="-12"/>
              <w:jc w:val="center"/>
              <w:rPr>
                <w:lang w:val="de-DE"/>
              </w:rPr>
            </w:pPr>
            <w:r w:rsidRPr="001513F9">
              <w:rPr>
                <w:lang w:val="de-DE"/>
              </w:rPr>
              <w:t>FOLFOX4</w:t>
            </w:r>
          </w:p>
        </w:tc>
      </w:tr>
      <w:tr w:rsidR="00DC1637" w:rsidRPr="001513F9" w:rsidTr="008D2649">
        <w:trPr>
          <w:cantSplit/>
        </w:trPr>
        <w:tc>
          <w:tcPr>
            <w:tcW w:w="2376" w:type="dxa"/>
          </w:tcPr>
          <w:p w:rsidR="00DC1637" w:rsidRPr="001513F9" w:rsidRDefault="00DC1637" w:rsidP="008D2649">
            <w:pPr>
              <w:ind w:left="-57" w:right="-12"/>
              <w:rPr>
                <w:b/>
                <w:bCs/>
              </w:rPr>
            </w:pPr>
            <w:r w:rsidRPr="001513F9">
              <w:rPr>
                <w:b/>
                <w:bCs/>
              </w:rPr>
              <w:t xml:space="preserve">Εκατοστιαία </w:t>
            </w:r>
            <w:r w:rsidR="009C31EF" w:rsidRPr="001513F9">
              <w:rPr>
                <w:b/>
                <w:bCs/>
              </w:rPr>
              <w:t xml:space="preserve"> ελεύθερη νόσου </w:t>
            </w:r>
            <w:r w:rsidRPr="001513F9">
              <w:rPr>
                <w:b/>
                <w:bCs/>
              </w:rPr>
              <w:t xml:space="preserve">επιβίωση για 3 χρόνια (95% </w:t>
            </w:r>
            <w:r w:rsidRPr="001513F9">
              <w:rPr>
                <w:b/>
                <w:bCs/>
                <w:lang w:val="en-GB"/>
              </w:rPr>
              <w:t>CI</w:t>
            </w:r>
            <w:r w:rsidRPr="001513F9">
              <w:rPr>
                <w:b/>
                <w:bCs/>
              </w:rPr>
              <w:t>)</w:t>
            </w:r>
          </w:p>
        </w:tc>
        <w:tc>
          <w:tcPr>
            <w:tcW w:w="1290" w:type="dxa"/>
          </w:tcPr>
          <w:p w:rsidR="00DC1637" w:rsidRPr="001513F9" w:rsidRDefault="00DC1637" w:rsidP="008D2649">
            <w:pPr>
              <w:ind w:right="-12"/>
            </w:pPr>
          </w:p>
          <w:p w:rsidR="00DC1637" w:rsidRPr="001513F9" w:rsidRDefault="00DC1637" w:rsidP="008D2649">
            <w:pPr>
              <w:ind w:left="-57" w:right="-12"/>
              <w:jc w:val="center"/>
            </w:pPr>
            <w:r w:rsidRPr="001513F9">
              <w:t>84</w:t>
            </w:r>
            <w:r w:rsidRPr="001513F9">
              <w:rPr>
                <w:bCs/>
              </w:rPr>
              <w:t>,</w:t>
            </w:r>
            <w:r w:rsidRPr="001513F9">
              <w:t>3</w:t>
            </w:r>
          </w:p>
          <w:p w:rsidR="00DC1637" w:rsidRPr="001513F9" w:rsidRDefault="00DC1637" w:rsidP="008D2649">
            <w:pPr>
              <w:ind w:left="-57" w:right="-12"/>
              <w:jc w:val="center"/>
            </w:pPr>
            <w:r w:rsidRPr="001513F9">
              <w:t>(80,9-87,7)</w:t>
            </w:r>
          </w:p>
        </w:tc>
        <w:tc>
          <w:tcPr>
            <w:tcW w:w="1296" w:type="dxa"/>
          </w:tcPr>
          <w:p w:rsidR="00DC1637" w:rsidRPr="001513F9" w:rsidRDefault="00DC1637" w:rsidP="008D2649">
            <w:pPr>
              <w:ind w:left="-113" w:right="-12"/>
              <w:jc w:val="center"/>
            </w:pPr>
          </w:p>
          <w:p w:rsidR="00DC1637" w:rsidRPr="001513F9" w:rsidRDefault="00DC1637" w:rsidP="008D2649">
            <w:pPr>
              <w:ind w:left="-113" w:right="-12"/>
              <w:jc w:val="center"/>
            </w:pPr>
            <w:r w:rsidRPr="001513F9">
              <w:t>87</w:t>
            </w:r>
            <w:r w:rsidRPr="001513F9">
              <w:rPr>
                <w:bCs/>
              </w:rPr>
              <w:t>,</w:t>
            </w:r>
            <w:r w:rsidRPr="001513F9">
              <w:t>4</w:t>
            </w:r>
          </w:p>
          <w:p w:rsidR="00DC1637" w:rsidRPr="001513F9" w:rsidRDefault="00DC1637" w:rsidP="008D2649">
            <w:pPr>
              <w:ind w:left="-113" w:right="-12"/>
              <w:jc w:val="center"/>
            </w:pPr>
            <w:r w:rsidRPr="001513F9">
              <w:t>(84,3-90,5)</w:t>
            </w:r>
          </w:p>
        </w:tc>
        <w:tc>
          <w:tcPr>
            <w:tcW w:w="1134" w:type="dxa"/>
          </w:tcPr>
          <w:p w:rsidR="00DC1637" w:rsidRPr="001513F9" w:rsidRDefault="00DC1637" w:rsidP="008D2649">
            <w:pPr>
              <w:ind w:left="-113" w:right="-12"/>
              <w:jc w:val="center"/>
            </w:pPr>
          </w:p>
          <w:p w:rsidR="00DC1637" w:rsidRPr="001513F9" w:rsidRDefault="00DC1637" w:rsidP="008D2649">
            <w:pPr>
              <w:ind w:left="-113" w:right="-12"/>
              <w:jc w:val="center"/>
            </w:pPr>
            <w:r w:rsidRPr="001513F9">
              <w:t>65</w:t>
            </w:r>
            <w:r w:rsidRPr="001513F9">
              <w:rPr>
                <w:bCs/>
              </w:rPr>
              <w:t>,</w:t>
            </w:r>
            <w:r w:rsidRPr="001513F9">
              <w:t>8</w:t>
            </w:r>
          </w:p>
          <w:p w:rsidR="00DC1637" w:rsidRPr="001513F9" w:rsidRDefault="00DC1637" w:rsidP="008D2649">
            <w:pPr>
              <w:ind w:left="-113" w:right="-12"/>
              <w:jc w:val="center"/>
            </w:pPr>
            <w:r w:rsidRPr="001513F9">
              <w:t>(62</w:t>
            </w:r>
            <w:r w:rsidRPr="001513F9">
              <w:rPr>
                <w:bCs/>
              </w:rPr>
              <w:t>,</w:t>
            </w:r>
            <w:r w:rsidRPr="001513F9">
              <w:t>2-69</w:t>
            </w:r>
            <w:r w:rsidRPr="001513F9">
              <w:rPr>
                <w:bCs/>
              </w:rPr>
              <w:t>,</w:t>
            </w:r>
            <w:r w:rsidRPr="001513F9">
              <w:t>5)</w:t>
            </w:r>
          </w:p>
        </w:tc>
        <w:tc>
          <w:tcPr>
            <w:tcW w:w="1276" w:type="dxa"/>
          </w:tcPr>
          <w:p w:rsidR="00DC1637" w:rsidRPr="001513F9" w:rsidRDefault="00DC1637" w:rsidP="008D2649">
            <w:pPr>
              <w:ind w:left="-113" w:right="-12"/>
            </w:pPr>
          </w:p>
          <w:p w:rsidR="00DC1637" w:rsidRPr="001513F9" w:rsidRDefault="00DC1637" w:rsidP="008D2649">
            <w:pPr>
              <w:ind w:left="-113" w:right="-12"/>
              <w:jc w:val="center"/>
            </w:pPr>
            <w:r w:rsidRPr="001513F9">
              <w:t>72</w:t>
            </w:r>
            <w:r w:rsidRPr="001513F9">
              <w:rPr>
                <w:bCs/>
              </w:rPr>
              <w:t>,</w:t>
            </w:r>
            <w:r w:rsidRPr="001513F9">
              <w:t>8</w:t>
            </w:r>
          </w:p>
          <w:p w:rsidR="00DC1637" w:rsidRPr="001513F9" w:rsidRDefault="00DC1637" w:rsidP="008D2649">
            <w:pPr>
              <w:ind w:left="-113" w:right="-12"/>
              <w:jc w:val="center"/>
            </w:pPr>
            <w:r w:rsidRPr="001513F9">
              <w:t>(69</w:t>
            </w:r>
            <w:r w:rsidRPr="001513F9">
              <w:rPr>
                <w:bCs/>
              </w:rPr>
              <w:t>,</w:t>
            </w:r>
            <w:r w:rsidRPr="001513F9">
              <w:t>4-76</w:t>
            </w:r>
            <w:r w:rsidRPr="001513F9">
              <w:rPr>
                <w:bCs/>
              </w:rPr>
              <w:t>,</w:t>
            </w:r>
            <w:r w:rsidRPr="001513F9">
              <w:t>2)</w:t>
            </w:r>
          </w:p>
        </w:tc>
      </w:tr>
      <w:tr w:rsidR="00DC1637" w:rsidRPr="001513F9" w:rsidTr="008D2649">
        <w:trPr>
          <w:cantSplit/>
        </w:trPr>
        <w:tc>
          <w:tcPr>
            <w:tcW w:w="2376" w:type="dxa"/>
          </w:tcPr>
          <w:p w:rsidR="00DC1637" w:rsidRPr="001513F9" w:rsidRDefault="009C31EF" w:rsidP="008D2649">
            <w:pPr>
              <w:ind w:left="-57" w:right="-12"/>
              <w:rPr>
                <w:b/>
                <w:bCs/>
              </w:rPr>
            </w:pPr>
            <w:r w:rsidRPr="001513F9">
              <w:rPr>
                <w:b/>
                <w:bCs/>
              </w:rPr>
              <w:t>Λόγος επικινδυνότητας</w:t>
            </w:r>
            <w:r w:rsidRPr="001513F9">
              <w:rPr>
                <w:b/>
                <w:bCs/>
                <w:lang w:val="it-IT"/>
              </w:rPr>
              <w:t xml:space="preserve"> </w:t>
            </w:r>
            <w:r w:rsidR="00DC1637" w:rsidRPr="001513F9">
              <w:rPr>
                <w:b/>
                <w:bCs/>
              </w:rPr>
              <w:t>(95% CI)</w:t>
            </w:r>
          </w:p>
        </w:tc>
        <w:tc>
          <w:tcPr>
            <w:tcW w:w="2586" w:type="dxa"/>
            <w:gridSpan w:val="2"/>
          </w:tcPr>
          <w:p w:rsidR="00DC1637" w:rsidRPr="001513F9" w:rsidRDefault="00DC1637" w:rsidP="008D2649">
            <w:pPr>
              <w:ind w:left="-57" w:right="-12"/>
              <w:jc w:val="center"/>
            </w:pPr>
            <w:r w:rsidRPr="001513F9">
              <w:t>0,79</w:t>
            </w:r>
          </w:p>
          <w:p w:rsidR="00DC1637" w:rsidRPr="001513F9" w:rsidRDefault="00DC1637" w:rsidP="008D2649">
            <w:pPr>
              <w:ind w:left="-57" w:right="-12"/>
              <w:jc w:val="center"/>
            </w:pPr>
            <w:r w:rsidRPr="001513F9">
              <w:t>(0,57-1,09)</w:t>
            </w:r>
          </w:p>
        </w:tc>
        <w:tc>
          <w:tcPr>
            <w:tcW w:w="2410" w:type="dxa"/>
            <w:gridSpan w:val="2"/>
          </w:tcPr>
          <w:p w:rsidR="00DC1637" w:rsidRPr="001513F9" w:rsidRDefault="00DC1637" w:rsidP="008D2649">
            <w:pPr>
              <w:ind w:left="-57" w:right="-12"/>
              <w:jc w:val="center"/>
            </w:pPr>
            <w:r w:rsidRPr="001513F9">
              <w:t>0,75</w:t>
            </w:r>
          </w:p>
          <w:p w:rsidR="00DC1637" w:rsidRPr="001513F9" w:rsidRDefault="00DC1637" w:rsidP="008D2649">
            <w:pPr>
              <w:ind w:left="-57" w:right="-12"/>
              <w:jc w:val="center"/>
            </w:pPr>
            <w:r w:rsidRPr="001513F9">
              <w:t>(0,62-0,90)</w:t>
            </w:r>
          </w:p>
        </w:tc>
      </w:tr>
      <w:tr w:rsidR="00DC1637" w:rsidRPr="001513F9" w:rsidTr="008D2649">
        <w:trPr>
          <w:cantSplit/>
        </w:trPr>
        <w:tc>
          <w:tcPr>
            <w:tcW w:w="2376" w:type="dxa"/>
          </w:tcPr>
          <w:p w:rsidR="00DC1637" w:rsidRPr="001513F9" w:rsidRDefault="009C31EF" w:rsidP="008D2649">
            <w:pPr>
              <w:ind w:left="-57" w:right="-12"/>
              <w:rPr>
                <w:b/>
                <w:bCs/>
              </w:rPr>
            </w:pPr>
            <w:r w:rsidRPr="001513F9">
              <w:rPr>
                <w:b/>
                <w:bCs/>
              </w:rPr>
              <w:t>Δοκιμασία</w:t>
            </w:r>
            <w:r w:rsidRPr="001513F9">
              <w:rPr>
                <w:b/>
                <w:bCs/>
                <w:lang w:val="en-GB"/>
              </w:rPr>
              <w:t xml:space="preserve"> </w:t>
            </w:r>
            <w:r w:rsidR="00DC1637" w:rsidRPr="001513F9">
              <w:rPr>
                <w:b/>
                <w:bCs/>
                <w:lang w:val="en-US"/>
              </w:rPr>
              <w:t>Log</w:t>
            </w:r>
            <w:r w:rsidR="00DC1637" w:rsidRPr="001513F9">
              <w:rPr>
                <w:b/>
                <w:bCs/>
              </w:rPr>
              <w:t>-</w:t>
            </w:r>
            <w:r w:rsidR="00DC1637" w:rsidRPr="001513F9">
              <w:rPr>
                <w:b/>
                <w:bCs/>
                <w:lang w:val="en-US"/>
              </w:rPr>
              <w:t>rank</w:t>
            </w:r>
          </w:p>
        </w:tc>
        <w:tc>
          <w:tcPr>
            <w:tcW w:w="2586" w:type="dxa"/>
            <w:gridSpan w:val="2"/>
          </w:tcPr>
          <w:p w:rsidR="00DC1637" w:rsidRPr="001513F9" w:rsidRDefault="00DC1637" w:rsidP="008D2649">
            <w:pPr>
              <w:ind w:left="-57" w:right="-12"/>
              <w:jc w:val="center"/>
            </w:pPr>
            <w:r w:rsidRPr="001513F9">
              <w:t>P=0,151</w:t>
            </w:r>
          </w:p>
          <w:p w:rsidR="00DC1637" w:rsidRPr="001513F9" w:rsidRDefault="00DC1637" w:rsidP="008D2649">
            <w:pPr>
              <w:ind w:left="-57" w:right="-12"/>
              <w:jc w:val="center"/>
            </w:pPr>
          </w:p>
        </w:tc>
        <w:tc>
          <w:tcPr>
            <w:tcW w:w="2410" w:type="dxa"/>
            <w:gridSpan w:val="2"/>
          </w:tcPr>
          <w:p w:rsidR="00DC1637" w:rsidRPr="001513F9" w:rsidRDefault="00DC1637" w:rsidP="008D2649">
            <w:pPr>
              <w:ind w:left="-57" w:right="-12"/>
              <w:jc w:val="center"/>
            </w:pPr>
            <w:r w:rsidRPr="001513F9">
              <w:t>P=0,002</w:t>
            </w:r>
          </w:p>
          <w:p w:rsidR="00DC1637" w:rsidRPr="001513F9" w:rsidRDefault="00DC1637" w:rsidP="008D2649">
            <w:pPr>
              <w:ind w:left="-57" w:right="-12"/>
              <w:jc w:val="center"/>
            </w:pPr>
          </w:p>
        </w:tc>
      </w:tr>
    </w:tbl>
    <w:p w:rsidR="00DC1637" w:rsidRPr="001513F9" w:rsidRDefault="00DC1637" w:rsidP="00DC1637">
      <w:pPr>
        <w:ind w:right="-12"/>
        <w:rPr>
          <w:b/>
          <w:szCs w:val="24"/>
        </w:rPr>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right="-12"/>
      </w:pPr>
    </w:p>
    <w:p w:rsidR="00DC1637" w:rsidRPr="001513F9" w:rsidRDefault="00DC1637" w:rsidP="00DC1637">
      <w:pPr>
        <w:ind w:left="1560" w:right="-12" w:hanging="142"/>
      </w:pPr>
      <w:r w:rsidRPr="001513F9">
        <w:t>*</w:t>
      </w:r>
      <w:r w:rsidR="00C06019">
        <w:t xml:space="preserve"> διάμεσ</w:t>
      </w:r>
      <w:r w:rsidRPr="000B008B">
        <w:t>η παρακολούθηση μέχρι 44,2 μήνες (</w:t>
      </w:r>
      <w:r w:rsidRPr="001513F9">
        <w:t>όλοι οι ασθενείς παρακολουθούνται για τουλάχιστον 3 χρόνια)</w:t>
      </w:r>
    </w:p>
    <w:p w:rsidR="007364F9" w:rsidRPr="001513F9" w:rsidRDefault="007364F9" w:rsidP="007364F9"/>
    <w:p w:rsidR="007364F9" w:rsidRPr="001513F9" w:rsidRDefault="007364F9" w:rsidP="007364F9">
      <w:pPr>
        <w:rPr>
          <w:b/>
          <w:bCs/>
        </w:rPr>
      </w:pPr>
      <w:r w:rsidRPr="001513F9">
        <w:rPr>
          <w:b/>
          <w:bCs/>
        </w:rPr>
        <w:t>Συνολική επιβίωση (</w:t>
      </w:r>
      <w:r w:rsidRPr="001513F9">
        <w:rPr>
          <w:b/>
          <w:bCs/>
          <w:lang w:val="en-GB"/>
        </w:rPr>
        <w:t>ITT</w:t>
      </w:r>
      <w:r w:rsidRPr="001513F9">
        <w:rPr>
          <w:b/>
          <w:bCs/>
        </w:rPr>
        <w:t xml:space="preserve"> ανάλυση)</w:t>
      </w:r>
    </w:p>
    <w:p w:rsidR="007364F9" w:rsidRPr="001513F9" w:rsidRDefault="007364F9" w:rsidP="007364F9">
      <w:r w:rsidRPr="001513F9">
        <w:t xml:space="preserve">Τη χρονική στιγμή της ανάλυσης της </w:t>
      </w:r>
      <w:r w:rsidR="003A469E" w:rsidRPr="001513F9">
        <w:t xml:space="preserve">ελεύθερης νόσου </w:t>
      </w:r>
      <w:r w:rsidRPr="001513F9">
        <w:t xml:space="preserve">επιβίωσης για 3 χρόνια, που ήταν και το </w:t>
      </w:r>
      <w:r w:rsidR="00E64170">
        <w:t>κύριο</w:t>
      </w:r>
      <w:r w:rsidRPr="001513F9">
        <w:t xml:space="preserve"> </w:t>
      </w:r>
      <w:r w:rsidR="00E64170">
        <w:t>καταληκτ</w:t>
      </w:r>
      <w:r w:rsidRPr="001513F9">
        <w:t xml:space="preserve">ικό σημείο αξιολόγησης της μελέτης </w:t>
      </w:r>
      <w:r w:rsidRPr="001513F9">
        <w:rPr>
          <w:lang w:val="en-GB"/>
        </w:rPr>
        <w:t>MOSAIC</w:t>
      </w:r>
      <w:r w:rsidRPr="001513F9">
        <w:t>, το 85,1</w:t>
      </w:r>
      <w:r w:rsidRPr="001513F9">
        <w:rPr>
          <w:lang w:val="en-GB"/>
        </w:rPr>
        <w:t> </w:t>
      </w:r>
      <w:r w:rsidRPr="001513F9">
        <w:t xml:space="preserve">% των ασθενών που ήταν στο σκέλος </w:t>
      </w:r>
      <w:r w:rsidRPr="001513F9">
        <w:rPr>
          <w:lang w:val="en-GB"/>
        </w:rPr>
        <w:t>FOLFOX</w:t>
      </w:r>
      <w:r w:rsidRPr="001513F9">
        <w:t>4 ήταν εν ζωή έναντι 83,8</w:t>
      </w:r>
      <w:r w:rsidRPr="001513F9">
        <w:rPr>
          <w:lang w:val="en-GB"/>
        </w:rPr>
        <w:t> </w:t>
      </w:r>
      <w:r w:rsidRPr="001513F9">
        <w:t xml:space="preserve">% που ήταν στο σκέλος </w:t>
      </w:r>
      <w:r w:rsidRPr="001513F9">
        <w:rPr>
          <w:lang w:val="en-GB"/>
        </w:rPr>
        <w:t>LV</w:t>
      </w:r>
      <w:r w:rsidRPr="001513F9">
        <w:t>5</w:t>
      </w:r>
      <w:r w:rsidRPr="001513F9">
        <w:rPr>
          <w:lang w:val="en-GB"/>
        </w:rPr>
        <w:t>FU</w:t>
      </w:r>
      <w:r w:rsidRPr="001513F9">
        <w:t xml:space="preserve">2. Αυτό μεταφράζεται σε μία συνολική μείωση του κινδύνου θνησιμότητας της τάξεως του 10% υπέρ του </w:t>
      </w:r>
      <w:r w:rsidRPr="001513F9">
        <w:rPr>
          <w:lang w:val="en-GB"/>
        </w:rPr>
        <w:t>FOLFOX</w:t>
      </w:r>
      <w:r w:rsidRPr="001513F9">
        <w:t>4 χωρίς επίτευξη στατιστικής σημαντικότητας (</w:t>
      </w:r>
      <w:r w:rsidR="003A469E" w:rsidRPr="001513F9">
        <w:rPr>
          <w:bCs/>
        </w:rPr>
        <w:t>λόγος επικινδυνότητας</w:t>
      </w:r>
      <w:r w:rsidR="003A469E" w:rsidRPr="001513F9">
        <w:rPr>
          <w:b/>
          <w:bCs/>
          <w:lang w:val="it-IT"/>
        </w:rPr>
        <w:t xml:space="preserve"> </w:t>
      </w:r>
      <w:r w:rsidRPr="001513F9">
        <w:t>=</w:t>
      </w:r>
      <w:r w:rsidRPr="001513F9">
        <w:rPr>
          <w:lang w:val="en-GB"/>
        </w:rPr>
        <w:t> </w:t>
      </w:r>
      <w:r w:rsidRPr="001513F9">
        <w:t>0,90).</w:t>
      </w:r>
    </w:p>
    <w:p w:rsidR="007364F9" w:rsidRPr="001513F9" w:rsidRDefault="007364F9" w:rsidP="007364F9">
      <w:pPr>
        <w:pStyle w:val="a7"/>
      </w:pPr>
      <w:r w:rsidRPr="001513F9">
        <w:t>Τα ποσοστά ήταν 92,2</w:t>
      </w:r>
      <w:r w:rsidRPr="001513F9">
        <w:rPr>
          <w:lang w:val="en-GB"/>
        </w:rPr>
        <w:t> </w:t>
      </w:r>
      <w:r w:rsidRPr="001513F9">
        <w:t>% έναντι 92,4</w:t>
      </w:r>
      <w:r w:rsidRPr="001513F9">
        <w:rPr>
          <w:lang w:val="en-GB"/>
        </w:rPr>
        <w:t> </w:t>
      </w:r>
      <w:r w:rsidRPr="001513F9">
        <w:t>% στην υποομάδα σταδίου ΙΙ (</w:t>
      </w:r>
      <w:r w:rsidR="007D0434">
        <w:rPr>
          <w:bCs/>
          <w:szCs w:val="24"/>
        </w:rPr>
        <w:t>Dukes</w:t>
      </w:r>
      <w:r w:rsidR="007D0434" w:rsidRPr="007D0434">
        <w:rPr>
          <w:bCs/>
          <w:szCs w:val="24"/>
        </w:rPr>
        <w:t xml:space="preserve">’ </w:t>
      </w:r>
      <w:r w:rsidR="009A4BE4" w:rsidRPr="0043758F">
        <w:rPr>
          <w:lang w:val="en-GB"/>
        </w:rPr>
        <w:t>B</w:t>
      </w:r>
      <w:r w:rsidR="009A4BE4" w:rsidRPr="0043758F">
        <w:t>2</w:t>
      </w:r>
      <w:r w:rsidRPr="001513F9">
        <w:t>) (</w:t>
      </w:r>
      <w:r w:rsidR="003A469E" w:rsidRPr="001513F9">
        <w:rPr>
          <w:bCs/>
        </w:rPr>
        <w:t>λόγος επικινδυνότητας</w:t>
      </w:r>
      <w:r w:rsidR="003A469E" w:rsidRPr="001513F9">
        <w:rPr>
          <w:b/>
          <w:bCs/>
          <w:lang w:val="it-IT"/>
        </w:rPr>
        <w:t xml:space="preserve"> </w:t>
      </w:r>
      <w:r w:rsidRPr="001513F9">
        <w:t>=</w:t>
      </w:r>
      <w:r w:rsidRPr="001513F9">
        <w:rPr>
          <w:lang w:val="en-GB"/>
        </w:rPr>
        <w:t> </w:t>
      </w:r>
      <w:r w:rsidRPr="001513F9">
        <w:t>1,01) και 80,4</w:t>
      </w:r>
      <w:r w:rsidRPr="001513F9">
        <w:rPr>
          <w:lang w:val="en-GB"/>
        </w:rPr>
        <w:t> </w:t>
      </w:r>
      <w:r w:rsidRPr="001513F9">
        <w:t>% έναντι 78,1</w:t>
      </w:r>
      <w:r w:rsidRPr="001513F9">
        <w:rPr>
          <w:lang w:val="en-GB"/>
        </w:rPr>
        <w:t> </w:t>
      </w:r>
      <w:r w:rsidRPr="001513F9">
        <w:t>% στην υποομάδα σταδίου ΙΙ</w:t>
      </w:r>
      <w:r w:rsidRPr="001513F9">
        <w:rPr>
          <w:lang w:val="en-GB"/>
        </w:rPr>
        <w:t>I</w:t>
      </w:r>
      <w:r w:rsidRPr="001513F9">
        <w:t xml:space="preserve"> (</w:t>
      </w:r>
      <w:r w:rsidR="007D0434">
        <w:rPr>
          <w:bCs/>
          <w:szCs w:val="24"/>
        </w:rPr>
        <w:t>Dukes</w:t>
      </w:r>
      <w:r w:rsidR="007D0434" w:rsidRPr="007D0434">
        <w:rPr>
          <w:bCs/>
          <w:szCs w:val="24"/>
        </w:rPr>
        <w:t xml:space="preserve">’ </w:t>
      </w:r>
      <w:r w:rsidR="009A4BE4" w:rsidRPr="002C42A2">
        <w:rPr>
          <w:lang w:val="en-GB"/>
        </w:rPr>
        <w:t>C</w:t>
      </w:r>
      <w:r w:rsidRPr="001513F9">
        <w:t>) (</w:t>
      </w:r>
      <w:r w:rsidR="003A469E" w:rsidRPr="001513F9">
        <w:rPr>
          <w:bCs/>
        </w:rPr>
        <w:t>λόγος επικινδυνότητας</w:t>
      </w:r>
      <w:r w:rsidR="003A469E" w:rsidRPr="001513F9">
        <w:rPr>
          <w:b/>
          <w:bCs/>
          <w:lang w:val="it-IT"/>
        </w:rPr>
        <w:t xml:space="preserve"> </w:t>
      </w:r>
      <w:r w:rsidRPr="001513F9">
        <w:t>=</w:t>
      </w:r>
      <w:r w:rsidRPr="001513F9">
        <w:rPr>
          <w:lang w:val="en-GB"/>
        </w:rPr>
        <w:t> </w:t>
      </w:r>
      <w:r w:rsidRPr="001513F9">
        <w:t xml:space="preserve">0,87), για το </w:t>
      </w:r>
      <w:r w:rsidRPr="001513F9">
        <w:rPr>
          <w:lang w:val="en-GB"/>
        </w:rPr>
        <w:t>FOLFOX</w:t>
      </w:r>
      <w:r w:rsidRPr="001513F9">
        <w:t xml:space="preserve">4 και το </w:t>
      </w:r>
      <w:r w:rsidRPr="001513F9">
        <w:rPr>
          <w:lang w:val="en-GB"/>
        </w:rPr>
        <w:t>LV</w:t>
      </w:r>
      <w:r w:rsidRPr="001513F9">
        <w:t>5</w:t>
      </w:r>
      <w:r w:rsidRPr="001513F9">
        <w:rPr>
          <w:lang w:val="en-GB"/>
        </w:rPr>
        <w:t>FU</w:t>
      </w:r>
      <w:r w:rsidRPr="001513F9">
        <w:t>2, αντίστοιχα.</w:t>
      </w:r>
    </w:p>
    <w:p w:rsidR="007364F9" w:rsidRPr="001513F9" w:rsidRDefault="007364F9" w:rsidP="007364F9">
      <w:pPr>
        <w:ind w:right="-12"/>
        <w:jc w:val="both"/>
      </w:pPr>
      <w:r w:rsidRPr="001513F9">
        <w:t>Η οξαλιπλατίνη ως μονοθεραπεία έχει αξιολογηθεί σε παιδιατρικούς πληθυσμούς σε 2 μελέτες φάσης Ι (69 ασθενείς) και 2 μελέτες φάσης ΙΙ (</w:t>
      </w:r>
      <w:r w:rsidR="007C4A54" w:rsidRPr="001513F9">
        <w:t>166</w:t>
      </w:r>
      <w:r w:rsidRPr="001513F9">
        <w:t xml:space="preserve"> ασθενείς). Συνολικά, υποβλήθηκαν σε θεραπεία </w:t>
      </w:r>
      <w:r w:rsidR="007C4A54" w:rsidRPr="001513F9">
        <w:t>235</w:t>
      </w:r>
      <w:r w:rsidRPr="001513F9">
        <w:t xml:space="preserve"> παιδιατρικοί ασθενείς (ηλικίας 7 μηνών – 22 χρονών) με συμπαγείς όγκους. Η αποτελεσματικότητα της οξαλιπλατίνης ως μονοθεραπεία στους παιδιατρικούς πληθυσμούς που υποβλήθηκαν σε θεραπεία δεν τεκμηριώθηκε. Η εισαγωγή ασθενών και στις δύο μελέτες φάσης ΙΙ, διακόπηκε λόγω μη ανταπόκρισης του όγκου.</w:t>
      </w:r>
    </w:p>
    <w:p w:rsidR="007364F9" w:rsidRPr="001513F9" w:rsidRDefault="007364F9" w:rsidP="007364F9">
      <w:pPr>
        <w:jc w:val="both"/>
      </w:pPr>
    </w:p>
    <w:p w:rsidR="007364F9" w:rsidRPr="001513F9" w:rsidRDefault="007364F9" w:rsidP="007364F9">
      <w:pPr>
        <w:rPr>
          <w:noProof/>
        </w:rPr>
      </w:pPr>
      <w:r w:rsidRPr="001513F9">
        <w:rPr>
          <w:b/>
          <w:noProof/>
        </w:rPr>
        <w:t>5.2</w:t>
      </w:r>
      <w:r w:rsidRPr="001513F9">
        <w:rPr>
          <w:b/>
          <w:noProof/>
        </w:rPr>
        <w:tab/>
        <w:t>Φαρμακοκινητικές ιδιότητες</w:t>
      </w:r>
    </w:p>
    <w:p w:rsidR="007364F9" w:rsidRPr="001513F9" w:rsidRDefault="007364F9" w:rsidP="007364F9">
      <w:pPr>
        <w:rPr>
          <w:noProof/>
        </w:rPr>
      </w:pPr>
    </w:p>
    <w:p w:rsidR="007364F9" w:rsidRPr="001513F9" w:rsidRDefault="007364F9" w:rsidP="007364F9">
      <w:pPr>
        <w:pStyle w:val="BodyText21"/>
        <w:ind w:left="0"/>
        <w:rPr>
          <w:sz w:val="22"/>
          <w:szCs w:val="22"/>
          <w:lang w:val="el-GR"/>
        </w:rPr>
      </w:pPr>
      <w:r w:rsidRPr="001513F9">
        <w:rPr>
          <w:sz w:val="22"/>
          <w:szCs w:val="22"/>
          <w:lang w:val="el-GR"/>
        </w:rPr>
        <w:t>Η φαρμακοκινητική των διαφό</w:t>
      </w:r>
      <w:r w:rsidRPr="009A4BE4">
        <w:rPr>
          <w:sz w:val="22"/>
          <w:szCs w:val="22"/>
          <w:lang w:val="el-GR"/>
        </w:rPr>
        <w:t xml:space="preserve">ρων </w:t>
      </w:r>
      <w:r w:rsidRPr="001513F9">
        <w:rPr>
          <w:sz w:val="22"/>
          <w:szCs w:val="22"/>
          <w:lang w:val="el-GR"/>
        </w:rPr>
        <w:t xml:space="preserve">δραστικών </w:t>
      </w:r>
      <w:r w:rsidR="009A4BE4">
        <w:rPr>
          <w:sz w:val="22"/>
          <w:szCs w:val="22"/>
          <w:lang w:val="el-GR"/>
        </w:rPr>
        <w:t>παραγώγων</w:t>
      </w:r>
      <w:r w:rsidR="009A4BE4" w:rsidRPr="001513F9">
        <w:rPr>
          <w:sz w:val="22"/>
          <w:szCs w:val="22"/>
          <w:lang w:val="el-GR"/>
        </w:rPr>
        <w:t xml:space="preserve"> </w:t>
      </w:r>
      <w:r w:rsidRPr="001513F9">
        <w:rPr>
          <w:sz w:val="22"/>
          <w:szCs w:val="22"/>
          <w:lang w:val="el-GR"/>
        </w:rPr>
        <w:t>δεν έχει προσδιορισθεί</w:t>
      </w:r>
      <w:r w:rsidR="009A4BE4">
        <w:rPr>
          <w:sz w:val="22"/>
          <w:szCs w:val="22"/>
          <w:lang w:val="el-GR"/>
        </w:rPr>
        <w:t xml:space="preserve"> μεμονωμ</w:t>
      </w:r>
      <w:r w:rsidR="00736FE9">
        <w:rPr>
          <w:sz w:val="22"/>
          <w:szCs w:val="22"/>
          <w:lang w:val="el-GR"/>
        </w:rPr>
        <w:t>ένα</w:t>
      </w:r>
      <w:r w:rsidRPr="001513F9">
        <w:rPr>
          <w:sz w:val="22"/>
          <w:szCs w:val="22"/>
          <w:lang w:val="el-GR"/>
        </w:rPr>
        <w:t xml:space="preserve">. Η φαρμακοκινητική </w:t>
      </w:r>
      <w:r w:rsidR="00193E6E" w:rsidRPr="001513F9">
        <w:rPr>
          <w:sz w:val="22"/>
          <w:szCs w:val="22"/>
          <w:lang w:val="el-GR"/>
        </w:rPr>
        <w:t>τ</w:t>
      </w:r>
      <w:r w:rsidR="00E64170">
        <w:rPr>
          <w:sz w:val="22"/>
          <w:szCs w:val="22"/>
          <w:lang w:val="el-GR"/>
        </w:rPr>
        <w:t>ου</w:t>
      </w:r>
      <w:r w:rsidRPr="001513F9">
        <w:rPr>
          <w:sz w:val="22"/>
          <w:szCs w:val="22"/>
          <w:lang w:val="el-GR"/>
        </w:rPr>
        <w:t xml:space="preserve"> υπερδιηθ</w:t>
      </w:r>
      <w:r w:rsidR="00E64170">
        <w:rPr>
          <w:sz w:val="22"/>
          <w:szCs w:val="22"/>
          <w:lang w:val="el-GR"/>
        </w:rPr>
        <w:t>ήσιμου</w:t>
      </w:r>
      <w:r w:rsidR="007C4A54" w:rsidRPr="000B008B">
        <w:rPr>
          <w:sz w:val="22"/>
          <w:szCs w:val="22"/>
          <w:lang w:val="el-GR"/>
        </w:rPr>
        <w:t xml:space="preserve"> </w:t>
      </w:r>
      <w:r w:rsidR="00E64170">
        <w:rPr>
          <w:noProof/>
          <w:sz w:val="22"/>
          <w:szCs w:val="22"/>
          <w:lang w:val="el-GR"/>
        </w:rPr>
        <w:t>λευκοχρύσου</w:t>
      </w:r>
      <w:r w:rsidRPr="000B008B">
        <w:rPr>
          <w:sz w:val="22"/>
          <w:szCs w:val="22"/>
          <w:lang w:val="el-GR"/>
        </w:rPr>
        <w:t xml:space="preserve">, που είναι το μίγμα όλων των </w:t>
      </w:r>
      <w:r w:rsidR="00767322" w:rsidRPr="001513F9">
        <w:rPr>
          <w:sz w:val="22"/>
          <w:szCs w:val="22"/>
          <w:lang w:val="el-GR"/>
        </w:rPr>
        <w:t>μη-</w:t>
      </w:r>
      <w:r w:rsidRPr="001513F9">
        <w:rPr>
          <w:sz w:val="22"/>
          <w:szCs w:val="22"/>
          <w:lang w:val="el-GR"/>
        </w:rPr>
        <w:t xml:space="preserve">δεσμευμένων, δραστικών και αδρανών </w:t>
      </w:r>
      <w:r w:rsidR="007C4A54" w:rsidRPr="001513F9">
        <w:rPr>
          <w:sz w:val="22"/>
          <w:szCs w:val="22"/>
          <w:lang w:val="el-GR"/>
        </w:rPr>
        <w:t xml:space="preserve">τύπων </w:t>
      </w:r>
      <w:r w:rsidR="00E64170">
        <w:rPr>
          <w:noProof/>
          <w:sz w:val="22"/>
          <w:szCs w:val="22"/>
          <w:lang w:val="el-GR"/>
        </w:rPr>
        <w:t>λευκοχρύσου</w:t>
      </w:r>
      <w:r w:rsidRPr="000B008B">
        <w:rPr>
          <w:sz w:val="22"/>
          <w:szCs w:val="22"/>
          <w:lang w:val="el-GR"/>
        </w:rPr>
        <w:t xml:space="preserve">, μετά από δίωρη έγχυση οξαλιπλατίνης 130 </w:t>
      </w:r>
      <w:r w:rsidRPr="001513F9">
        <w:rPr>
          <w:sz w:val="22"/>
          <w:szCs w:val="22"/>
        </w:rPr>
        <w:t>mg</w:t>
      </w:r>
      <w:r w:rsidRPr="001513F9">
        <w:rPr>
          <w:sz w:val="22"/>
          <w:szCs w:val="22"/>
          <w:lang w:val="el-GR"/>
        </w:rPr>
        <w:t>/</w:t>
      </w:r>
      <w:r w:rsidRPr="001513F9">
        <w:rPr>
          <w:sz w:val="22"/>
          <w:szCs w:val="22"/>
        </w:rPr>
        <w:t>m</w:t>
      </w:r>
      <w:r w:rsidRPr="001513F9">
        <w:rPr>
          <w:sz w:val="22"/>
          <w:szCs w:val="22"/>
          <w:vertAlign w:val="superscript"/>
          <w:lang w:val="el-GR"/>
        </w:rPr>
        <w:t>2</w:t>
      </w:r>
      <w:r w:rsidRPr="001513F9">
        <w:rPr>
          <w:sz w:val="22"/>
          <w:szCs w:val="22"/>
          <w:lang w:val="el-GR"/>
        </w:rPr>
        <w:t xml:space="preserve"> κάθε τρεις εβδομάδες για 1 έως 5 κύκλους και οξαλιπλατίνη 85 </w:t>
      </w:r>
      <w:r w:rsidRPr="001513F9">
        <w:rPr>
          <w:sz w:val="22"/>
          <w:szCs w:val="22"/>
        </w:rPr>
        <w:t>mg</w:t>
      </w:r>
      <w:r w:rsidRPr="001513F9">
        <w:rPr>
          <w:sz w:val="22"/>
          <w:szCs w:val="22"/>
          <w:lang w:val="el-GR"/>
        </w:rPr>
        <w:t>/</w:t>
      </w:r>
      <w:r w:rsidRPr="001513F9">
        <w:rPr>
          <w:sz w:val="22"/>
          <w:szCs w:val="22"/>
        </w:rPr>
        <w:t>m</w:t>
      </w:r>
      <w:r w:rsidRPr="001513F9">
        <w:rPr>
          <w:sz w:val="22"/>
          <w:szCs w:val="22"/>
          <w:vertAlign w:val="superscript"/>
          <w:lang w:val="el-GR"/>
        </w:rPr>
        <w:t>2</w:t>
      </w:r>
      <w:r w:rsidRPr="001513F9">
        <w:rPr>
          <w:sz w:val="22"/>
          <w:szCs w:val="22"/>
          <w:lang w:val="el-GR"/>
        </w:rPr>
        <w:t xml:space="preserve"> κάθε δύο εβδομάδες για 1 έως 3 θεραπευτικούς κύκλους, είναι η ακόλουθη:</w:t>
      </w:r>
    </w:p>
    <w:p w:rsidR="007364F9" w:rsidRPr="001513F9" w:rsidRDefault="007364F9" w:rsidP="007364F9">
      <w:pPr>
        <w:pStyle w:val="Table"/>
        <w:spacing w:before="0"/>
        <w:ind w:left="771"/>
        <w:rPr>
          <w:rFonts w:ascii="Times New Roman" w:hAnsi="Times New Roman"/>
          <w:b/>
          <w:bCs/>
          <w:lang w:val="el-GR"/>
        </w:rPr>
      </w:pPr>
    </w:p>
    <w:p w:rsidR="007364F9" w:rsidRPr="001513F9" w:rsidRDefault="000C75B2" w:rsidP="007364F9">
      <w:pPr>
        <w:pStyle w:val="Table"/>
        <w:spacing w:before="0"/>
        <w:ind w:left="771"/>
        <w:rPr>
          <w:rStyle w:val="Masqu"/>
          <w:rFonts w:ascii="Times New Roman" w:hAnsi="Times New Roman"/>
          <w:b/>
          <w:bCs/>
          <w:vanish w:val="0"/>
          <w:sz w:val="22"/>
          <w:szCs w:val="22"/>
          <w:lang w:val="el-GR"/>
        </w:rPr>
      </w:pPr>
      <w:r w:rsidRPr="00C06019">
        <w:rPr>
          <w:rFonts w:ascii="Times New Roman" w:hAnsi="Times New Roman"/>
          <w:b/>
          <w:bCs/>
          <w:sz w:val="22"/>
          <w:szCs w:val="22"/>
          <w:lang w:val="el-GR"/>
        </w:rPr>
        <w:br w:type="page"/>
      </w:r>
      <w:r w:rsidR="007364F9" w:rsidRPr="00C06019">
        <w:rPr>
          <w:rFonts w:ascii="Times New Roman" w:hAnsi="Times New Roman"/>
          <w:b/>
          <w:bCs/>
          <w:sz w:val="22"/>
          <w:szCs w:val="22"/>
          <w:lang w:val="el-GR"/>
        </w:rPr>
        <w:lastRenderedPageBreak/>
        <w:t xml:space="preserve">Σύνοψη των Εκτιμήσεων των Φαρμακοκινητικών Παραμέτρων </w:t>
      </w:r>
      <w:r w:rsidR="007C4A54" w:rsidRPr="000B008B">
        <w:rPr>
          <w:rFonts w:ascii="Times New Roman" w:hAnsi="Times New Roman"/>
          <w:b/>
          <w:bCs/>
          <w:sz w:val="22"/>
          <w:szCs w:val="22"/>
          <w:lang w:val="el-GR"/>
        </w:rPr>
        <w:t>τ</w:t>
      </w:r>
      <w:r w:rsidR="00380FFD">
        <w:rPr>
          <w:rFonts w:ascii="Times New Roman" w:hAnsi="Times New Roman"/>
          <w:b/>
          <w:bCs/>
          <w:sz w:val="22"/>
          <w:szCs w:val="22"/>
          <w:lang w:val="el-GR"/>
        </w:rPr>
        <w:t>ου</w:t>
      </w:r>
      <w:r w:rsidRPr="001513F9">
        <w:rPr>
          <w:rFonts w:ascii="Times New Roman" w:hAnsi="Times New Roman"/>
          <w:b/>
          <w:bCs/>
          <w:sz w:val="22"/>
          <w:szCs w:val="22"/>
          <w:lang w:val="el-GR"/>
        </w:rPr>
        <w:t xml:space="preserve"> </w:t>
      </w:r>
      <w:r w:rsidR="00E64170">
        <w:rPr>
          <w:rFonts w:ascii="Times New Roman" w:hAnsi="Times New Roman"/>
          <w:b/>
          <w:noProof/>
          <w:sz w:val="22"/>
          <w:szCs w:val="22"/>
          <w:lang w:val="el-GR"/>
        </w:rPr>
        <w:t>Λευκοχρύσου</w:t>
      </w:r>
      <w:r w:rsidR="007364F9" w:rsidRPr="000B008B">
        <w:rPr>
          <w:rFonts w:ascii="Times New Roman" w:hAnsi="Times New Roman"/>
          <w:b/>
          <w:bCs/>
          <w:sz w:val="22"/>
          <w:szCs w:val="22"/>
          <w:lang w:val="el-GR"/>
        </w:rPr>
        <w:t xml:space="preserve"> </w:t>
      </w:r>
      <w:r w:rsidR="00380FFD" w:rsidRPr="0002093C">
        <w:rPr>
          <w:rFonts w:ascii="Times New Roman" w:hAnsi="Times New Roman"/>
          <w:b/>
          <w:bCs/>
          <w:sz w:val="22"/>
          <w:szCs w:val="22"/>
          <w:lang w:val="el-GR"/>
        </w:rPr>
        <w:t>Υπερδιηθ</w:t>
      </w:r>
      <w:r w:rsidR="00380FFD">
        <w:rPr>
          <w:rFonts w:ascii="Times New Roman" w:hAnsi="Times New Roman"/>
          <w:b/>
          <w:bCs/>
          <w:sz w:val="22"/>
          <w:szCs w:val="22"/>
          <w:lang w:val="el-GR"/>
        </w:rPr>
        <w:t>ή</w:t>
      </w:r>
      <w:r w:rsidR="00380FFD" w:rsidRPr="0002093C">
        <w:rPr>
          <w:rFonts w:ascii="Times New Roman" w:hAnsi="Times New Roman"/>
          <w:b/>
          <w:bCs/>
          <w:sz w:val="22"/>
          <w:szCs w:val="22"/>
          <w:lang w:val="el-GR"/>
        </w:rPr>
        <w:t>μ</w:t>
      </w:r>
      <w:r w:rsidR="00380FFD">
        <w:rPr>
          <w:rFonts w:ascii="Times New Roman" w:hAnsi="Times New Roman"/>
          <w:b/>
          <w:bCs/>
          <w:sz w:val="22"/>
          <w:szCs w:val="22"/>
          <w:lang w:val="el-GR"/>
        </w:rPr>
        <w:t>ατο</w:t>
      </w:r>
      <w:r w:rsidR="00380FFD" w:rsidRPr="0002093C">
        <w:rPr>
          <w:rFonts w:ascii="Times New Roman" w:hAnsi="Times New Roman"/>
          <w:b/>
          <w:bCs/>
          <w:sz w:val="22"/>
          <w:szCs w:val="22"/>
          <w:lang w:val="el-GR"/>
        </w:rPr>
        <w:t>ς</w:t>
      </w:r>
      <w:r w:rsidR="00380FFD" w:rsidRPr="000B008B">
        <w:rPr>
          <w:rFonts w:ascii="Times New Roman" w:hAnsi="Times New Roman"/>
          <w:b/>
          <w:bCs/>
          <w:sz w:val="22"/>
          <w:szCs w:val="22"/>
          <w:lang w:val="el-GR"/>
        </w:rPr>
        <w:t xml:space="preserve"> </w:t>
      </w:r>
      <w:r w:rsidR="007364F9" w:rsidRPr="001513F9">
        <w:rPr>
          <w:rFonts w:ascii="Times New Roman" w:hAnsi="Times New Roman"/>
          <w:b/>
          <w:bCs/>
          <w:sz w:val="22"/>
          <w:szCs w:val="22"/>
          <w:lang w:val="el-GR"/>
        </w:rPr>
        <w:t xml:space="preserve">Μετά από Πολλαπλές Δόσεις Οξαλιπλατίνης των 85 </w:t>
      </w:r>
      <w:r w:rsidR="007364F9" w:rsidRPr="001513F9">
        <w:rPr>
          <w:rFonts w:ascii="Times New Roman" w:hAnsi="Times New Roman"/>
          <w:b/>
          <w:bCs/>
          <w:sz w:val="22"/>
          <w:szCs w:val="22"/>
        </w:rPr>
        <w:t>mg</w:t>
      </w:r>
      <w:r w:rsidR="007364F9" w:rsidRPr="001513F9">
        <w:rPr>
          <w:rFonts w:ascii="Times New Roman" w:hAnsi="Times New Roman"/>
          <w:b/>
          <w:bCs/>
          <w:sz w:val="22"/>
          <w:szCs w:val="22"/>
          <w:lang w:val="el-GR"/>
        </w:rPr>
        <w:t>/</w:t>
      </w:r>
      <w:r w:rsidR="007364F9" w:rsidRPr="001513F9">
        <w:rPr>
          <w:rFonts w:ascii="Times New Roman" w:hAnsi="Times New Roman"/>
          <w:b/>
          <w:bCs/>
          <w:sz w:val="22"/>
          <w:szCs w:val="22"/>
        </w:rPr>
        <w:t>m</w:t>
      </w:r>
      <w:r w:rsidR="007364F9" w:rsidRPr="001513F9">
        <w:rPr>
          <w:rFonts w:ascii="Times New Roman" w:hAnsi="Times New Roman"/>
          <w:b/>
          <w:bCs/>
          <w:sz w:val="22"/>
          <w:szCs w:val="22"/>
          <w:vertAlign w:val="superscript"/>
          <w:lang w:val="el-GR"/>
        </w:rPr>
        <w:t>2</w:t>
      </w:r>
      <w:r w:rsidR="007364F9" w:rsidRPr="001513F9">
        <w:rPr>
          <w:rFonts w:ascii="Times New Roman" w:hAnsi="Times New Roman"/>
          <w:b/>
          <w:bCs/>
          <w:sz w:val="22"/>
          <w:szCs w:val="22"/>
          <w:lang w:val="el-GR"/>
        </w:rPr>
        <w:t xml:space="preserve"> Κάθε Δύο Εβδομάδες ή των </w:t>
      </w:r>
      <w:r w:rsidR="007364F9" w:rsidRPr="001513F9">
        <w:rPr>
          <w:rStyle w:val="Masqu"/>
          <w:rFonts w:ascii="Times New Roman" w:hAnsi="Times New Roman"/>
          <w:b/>
          <w:bCs/>
          <w:vanish w:val="0"/>
          <w:sz w:val="22"/>
          <w:szCs w:val="22"/>
          <w:lang w:val="el-GR"/>
        </w:rPr>
        <w:t xml:space="preserve">130 </w:t>
      </w:r>
      <w:r w:rsidR="007364F9" w:rsidRPr="001513F9">
        <w:rPr>
          <w:rStyle w:val="Masqu"/>
          <w:rFonts w:ascii="Times New Roman" w:hAnsi="Times New Roman"/>
          <w:b/>
          <w:bCs/>
          <w:vanish w:val="0"/>
          <w:sz w:val="22"/>
          <w:szCs w:val="22"/>
        </w:rPr>
        <w:t>mg</w:t>
      </w:r>
      <w:r w:rsidR="007364F9" w:rsidRPr="001513F9">
        <w:rPr>
          <w:rStyle w:val="Masqu"/>
          <w:rFonts w:ascii="Times New Roman" w:hAnsi="Times New Roman"/>
          <w:b/>
          <w:bCs/>
          <w:vanish w:val="0"/>
          <w:sz w:val="22"/>
          <w:szCs w:val="22"/>
          <w:lang w:val="el-GR"/>
        </w:rPr>
        <w:t>/</w:t>
      </w:r>
      <w:r w:rsidR="007364F9" w:rsidRPr="001513F9">
        <w:rPr>
          <w:rStyle w:val="Masqu"/>
          <w:rFonts w:ascii="Times New Roman" w:hAnsi="Times New Roman"/>
          <w:b/>
          <w:bCs/>
          <w:vanish w:val="0"/>
          <w:sz w:val="22"/>
          <w:szCs w:val="22"/>
        </w:rPr>
        <w:t>m</w:t>
      </w:r>
      <w:r w:rsidR="007364F9" w:rsidRPr="001513F9">
        <w:rPr>
          <w:rStyle w:val="Masqu"/>
          <w:rFonts w:ascii="Times New Roman" w:hAnsi="Times New Roman"/>
          <w:b/>
          <w:bCs/>
          <w:vanish w:val="0"/>
          <w:sz w:val="22"/>
          <w:szCs w:val="22"/>
          <w:vertAlign w:val="superscript"/>
          <w:lang w:val="el-GR"/>
        </w:rPr>
        <w:t>2</w:t>
      </w:r>
      <w:r w:rsidR="007364F9" w:rsidRPr="001513F9">
        <w:rPr>
          <w:rFonts w:ascii="Times New Roman" w:hAnsi="Times New Roman"/>
          <w:b/>
          <w:bCs/>
          <w:sz w:val="22"/>
          <w:szCs w:val="22"/>
          <w:lang w:val="el-GR"/>
        </w:rPr>
        <w:t xml:space="preserve"> Κάθε Τρεις Εβδομάδες</w:t>
      </w:r>
    </w:p>
    <w:tbl>
      <w:tblPr>
        <w:tblW w:w="8008" w:type="dxa"/>
        <w:tblInd w:w="841" w:type="dxa"/>
        <w:tblBorders>
          <w:top w:val="double" w:sz="6" w:space="0" w:color="000000"/>
          <w:left w:val="double" w:sz="6" w:space="0" w:color="000000"/>
          <w:bottom w:val="double" w:sz="6" w:space="0" w:color="000000"/>
          <w:right w:val="double" w:sz="6" w:space="0" w:color="000000"/>
        </w:tblBorders>
        <w:tblLayout w:type="fixed"/>
        <w:tblCellMar>
          <w:left w:w="71" w:type="dxa"/>
          <w:right w:w="71" w:type="dxa"/>
        </w:tblCellMar>
        <w:tblLook w:val="0000"/>
      </w:tblPr>
      <w:tblGrid>
        <w:gridCol w:w="1540"/>
        <w:gridCol w:w="1001"/>
        <w:gridCol w:w="924"/>
        <w:gridCol w:w="924"/>
        <w:gridCol w:w="770"/>
        <w:gridCol w:w="770"/>
        <w:gridCol w:w="693"/>
        <w:gridCol w:w="693"/>
        <w:gridCol w:w="693"/>
      </w:tblGrid>
      <w:tr w:rsidR="007364F9" w:rsidRPr="001513F9" w:rsidTr="007364F9">
        <w:tc>
          <w:tcPr>
            <w:tcW w:w="1540" w:type="dxa"/>
            <w:tcBorders>
              <w:top w:val="double" w:sz="6" w:space="0" w:color="000000"/>
              <w:left w:val="double" w:sz="6" w:space="0" w:color="000000"/>
              <w:bottom w:val="nil"/>
              <w:right w:val="single" w:sz="6" w:space="0" w:color="000000"/>
            </w:tcBorders>
          </w:tcPr>
          <w:p w:rsidR="007364F9" w:rsidRPr="001513F9" w:rsidRDefault="007364F9" w:rsidP="007364F9">
            <w:pPr>
              <w:overflowPunct w:val="0"/>
              <w:autoSpaceDE w:val="0"/>
              <w:autoSpaceDN w:val="0"/>
              <w:adjustRightInd w:val="0"/>
              <w:jc w:val="both"/>
              <w:rPr>
                <w:b/>
                <w:sz w:val="20"/>
                <w:lang w:val="fr-FR" w:eastAsia="fr-FR"/>
              </w:rPr>
            </w:pPr>
            <w:r w:rsidRPr="001513F9">
              <w:rPr>
                <w:b/>
                <w:sz w:val="20"/>
              </w:rPr>
              <w:t>Δόση</w:t>
            </w:r>
          </w:p>
        </w:tc>
        <w:tc>
          <w:tcPr>
            <w:tcW w:w="1001"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fr-FR" w:eastAsia="fr-FR"/>
              </w:rPr>
            </w:pPr>
            <w:proofErr w:type="spellStart"/>
            <w:r w:rsidRPr="001513F9">
              <w:rPr>
                <w:b/>
                <w:sz w:val="20"/>
                <w:lang w:val="fr-FR"/>
              </w:rPr>
              <w:t>C</w:t>
            </w:r>
            <w:r w:rsidRPr="001513F9">
              <w:rPr>
                <w:b/>
                <w:sz w:val="20"/>
                <w:vertAlign w:val="subscript"/>
                <w:lang w:val="fr-FR"/>
              </w:rPr>
              <w:t>max</w:t>
            </w:r>
            <w:proofErr w:type="spellEnd"/>
          </w:p>
        </w:tc>
        <w:tc>
          <w:tcPr>
            <w:tcW w:w="924"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fr-FR" w:eastAsia="fr-FR"/>
              </w:rPr>
            </w:pPr>
            <w:r w:rsidRPr="001513F9">
              <w:rPr>
                <w:b/>
                <w:sz w:val="20"/>
                <w:lang w:val="fr-FR"/>
              </w:rPr>
              <w:t>AUC</w:t>
            </w:r>
            <w:r w:rsidRPr="001513F9">
              <w:rPr>
                <w:b/>
                <w:sz w:val="20"/>
                <w:vertAlign w:val="subscript"/>
                <w:lang w:val="fr-FR"/>
              </w:rPr>
              <w:t>0-48</w:t>
            </w:r>
          </w:p>
        </w:tc>
        <w:tc>
          <w:tcPr>
            <w:tcW w:w="924"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AUC</w:t>
            </w:r>
          </w:p>
        </w:tc>
        <w:tc>
          <w:tcPr>
            <w:tcW w:w="770"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t</w:t>
            </w:r>
            <w:r w:rsidRPr="001513F9">
              <w:rPr>
                <w:b/>
                <w:sz w:val="20"/>
                <w:vertAlign w:val="subscript"/>
                <w:lang w:val="de-DE"/>
              </w:rPr>
              <w:t>1/2</w:t>
            </w:r>
            <w:r w:rsidRPr="001513F9">
              <w:rPr>
                <w:b/>
                <w:sz w:val="20"/>
              </w:rPr>
              <w:sym w:font="Symbol" w:char="F061"/>
            </w:r>
          </w:p>
        </w:tc>
        <w:tc>
          <w:tcPr>
            <w:tcW w:w="770"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t</w:t>
            </w:r>
            <w:r w:rsidRPr="001513F9">
              <w:rPr>
                <w:b/>
                <w:sz w:val="20"/>
                <w:vertAlign w:val="subscript"/>
                <w:lang w:val="de-DE"/>
              </w:rPr>
              <w:t>1/2</w:t>
            </w:r>
            <w:r w:rsidRPr="001513F9">
              <w:rPr>
                <w:b/>
                <w:sz w:val="20"/>
              </w:rPr>
              <w:sym w:font="Symbol" w:char="F062"/>
            </w:r>
          </w:p>
        </w:tc>
        <w:tc>
          <w:tcPr>
            <w:tcW w:w="693"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t</w:t>
            </w:r>
            <w:r w:rsidRPr="001513F9">
              <w:rPr>
                <w:b/>
                <w:sz w:val="20"/>
                <w:vertAlign w:val="subscript"/>
                <w:lang w:val="de-DE"/>
              </w:rPr>
              <w:t>1/2</w:t>
            </w:r>
            <w:r w:rsidRPr="001513F9">
              <w:rPr>
                <w:b/>
                <w:sz w:val="20"/>
              </w:rPr>
              <w:sym w:font="Symbol" w:char="F067"/>
            </w:r>
          </w:p>
        </w:tc>
        <w:tc>
          <w:tcPr>
            <w:tcW w:w="693" w:type="dxa"/>
            <w:tcBorders>
              <w:top w:val="doub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proofErr w:type="spellStart"/>
            <w:r w:rsidRPr="001513F9">
              <w:rPr>
                <w:b/>
                <w:sz w:val="20"/>
                <w:lang w:val="de-DE"/>
              </w:rPr>
              <w:t>V</w:t>
            </w:r>
            <w:r w:rsidRPr="001513F9">
              <w:rPr>
                <w:b/>
                <w:sz w:val="20"/>
                <w:vertAlign w:val="subscript"/>
                <w:lang w:val="de-DE"/>
              </w:rPr>
              <w:t>ss</w:t>
            </w:r>
            <w:proofErr w:type="spellEnd"/>
          </w:p>
        </w:tc>
        <w:tc>
          <w:tcPr>
            <w:tcW w:w="693" w:type="dxa"/>
            <w:tcBorders>
              <w:top w:val="double" w:sz="6" w:space="0" w:color="000000"/>
              <w:left w:val="single" w:sz="6" w:space="0" w:color="000000"/>
              <w:bottom w:val="nil"/>
              <w:right w:val="doub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CL</w:t>
            </w:r>
          </w:p>
        </w:tc>
      </w:tr>
      <w:tr w:rsidR="007364F9" w:rsidRPr="001513F9" w:rsidTr="007364F9">
        <w:tc>
          <w:tcPr>
            <w:tcW w:w="1540" w:type="dxa"/>
            <w:tcBorders>
              <w:top w:val="nil"/>
              <w:left w:val="doub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both"/>
              <w:rPr>
                <w:b/>
                <w:sz w:val="20"/>
                <w:lang w:val="de-DE" w:eastAsia="fr-FR"/>
              </w:rPr>
            </w:pPr>
          </w:p>
        </w:tc>
        <w:tc>
          <w:tcPr>
            <w:tcW w:w="1001"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rPr>
              <w:sym w:font="Symbol" w:char="006D"/>
            </w:r>
            <w:r w:rsidRPr="001513F9">
              <w:rPr>
                <w:b/>
                <w:sz w:val="20"/>
                <w:lang w:val="de-DE"/>
              </w:rPr>
              <w:t>g/</w:t>
            </w:r>
            <w:proofErr w:type="spellStart"/>
            <w:r w:rsidRPr="001513F9">
              <w:rPr>
                <w:b/>
                <w:sz w:val="20"/>
                <w:lang w:val="de-DE"/>
              </w:rPr>
              <w:t>mL</w:t>
            </w:r>
            <w:proofErr w:type="spellEnd"/>
          </w:p>
        </w:tc>
        <w:tc>
          <w:tcPr>
            <w:tcW w:w="924"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rPr>
              <w:sym w:font="Symbol" w:char="006D"/>
            </w:r>
            <w:proofErr w:type="spellStart"/>
            <w:r w:rsidRPr="001513F9">
              <w:rPr>
                <w:b/>
                <w:sz w:val="20"/>
                <w:lang w:val="de-DE"/>
              </w:rPr>
              <w:t>g.h</w:t>
            </w:r>
            <w:proofErr w:type="spellEnd"/>
            <w:r w:rsidRPr="001513F9">
              <w:rPr>
                <w:b/>
                <w:sz w:val="20"/>
                <w:lang w:val="de-DE"/>
              </w:rPr>
              <w:t>/</w:t>
            </w:r>
            <w:proofErr w:type="spellStart"/>
            <w:r w:rsidRPr="001513F9">
              <w:rPr>
                <w:b/>
                <w:sz w:val="20"/>
                <w:lang w:val="de-DE"/>
              </w:rPr>
              <w:t>mL</w:t>
            </w:r>
            <w:proofErr w:type="spellEnd"/>
          </w:p>
        </w:tc>
        <w:tc>
          <w:tcPr>
            <w:tcW w:w="924"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rPr>
              <w:sym w:font="Symbol" w:char="006D"/>
            </w:r>
            <w:proofErr w:type="spellStart"/>
            <w:r w:rsidRPr="001513F9">
              <w:rPr>
                <w:b/>
                <w:sz w:val="20"/>
                <w:lang w:val="de-DE"/>
              </w:rPr>
              <w:t>g.h</w:t>
            </w:r>
            <w:proofErr w:type="spellEnd"/>
            <w:r w:rsidRPr="001513F9">
              <w:rPr>
                <w:b/>
                <w:sz w:val="20"/>
                <w:lang w:val="de-DE"/>
              </w:rPr>
              <w:t>/</w:t>
            </w:r>
            <w:proofErr w:type="spellStart"/>
            <w:r w:rsidRPr="001513F9">
              <w:rPr>
                <w:b/>
                <w:sz w:val="20"/>
                <w:lang w:val="de-DE"/>
              </w:rPr>
              <w:t>mL</w:t>
            </w:r>
            <w:proofErr w:type="spellEnd"/>
          </w:p>
        </w:tc>
        <w:tc>
          <w:tcPr>
            <w:tcW w:w="770"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h</w:t>
            </w:r>
          </w:p>
        </w:tc>
        <w:tc>
          <w:tcPr>
            <w:tcW w:w="770"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h</w:t>
            </w:r>
          </w:p>
        </w:tc>
        <w:tc>
          <w:tcPr>
            <w:tcW w:w="693"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h</w:t>
            </w:r>
          </w:p>
        </w:tc>
        <w:tc>
          <w:tcPr>
            <w:tcW w:w="693"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L</w:t>
            </w:r>
          </w:p>
        </w:tc>
        <w:tc>
          <w:tcPr>
            <w:tcW w:w="693" w:type="dxa"/>
            <w:tcBorders>
              <w:top w:val="nil"/>
              <w:left w:val="single" w:sz="6" w:space="0" w:color="000000"/>
              <w:bottom w:val="single" w:sz="6" w:space="0" w:color="000000"/>
              <w:right w:val="double" w:sz="6" w:space="0" w:color="000000"/>
            </w:tcBorders>
          </w:tcPr>
          <w:p w:rsidR="007364F9" w:rsidRPr="001513F9" w:rsidRDefault="007364F9" w:rsidP="007364F9">
            <w:pPr>
              <w:overflowPunct w:val="0"/>
              <w:autoSpaceDE w:val="0"/>
              <w:autoSpaceDN w:val="0"/>
              <w:adjustRightInd w:val="0"/>
              <w:jc w:val="center"/>
              <w:rPr>
                <w:b/>
                <w:sz w:val="20"/>
                <w:lang w:val="de-DE" w:eastAsia="fr-FR"/>
              </w:rPr>
            </w:pPr>
            <w:r w:rsidRPr="001513F9">
              <w:rPr>
                <w:b/>
                <w:sz w:val="20"/>
                <w:lang w:val="de-DE"/>
              </w:rPr>
              <w:t>L/h</w:t>
            </w:r>
          </w:p>
        </w:tc>
      </w:tr>
      <w:tr w:rsidR="007364F9" w:rsidRPr="001513F9" w:rsidTr="007364F9">
        <w:tc>
          <w:tcPr>
            <w:tcW w:w="1540" w:type="dxa"/>
            <w:tcBorders>
              <w:top w:val="single" w:sz="6" w:space="0" w:color="000000"/>
              <w:left w:val="double" w:sz="6" w:space="0" w:color="000000"/>
              <w:bottom w:val="nil"/>
              <w:right w:val="single" w:sz="6" w:space="0" w:color="000000"/>
            </w:tcBorders>
          </w:tcPr>
          <w:p w:rsidR="007364F9" w:rsidRPr="001513F9" w:rsidRDefault="007364F9" w:rsidP="007364F9">
            <w:pPr>
              <w:tabs>
                <w:tab w:val="left" w:pos="232"/>
              </w:tabs>
              <w:overflowPunct w:val="0"/>
              <w:autoSpaceDE w:val="0"/>
              <w:autoSpaceDN w:val="0"/>
              <w:adjustRightInd w:val="0"/>
              <w:rPr>
                <w:vertAlign w:val="superscript"/>
                <w:lang w:val="de-DE"/>
              </w:rPr>
            </w:pPr>
            <w:r w:rsidRPr="001513F9">
              <w:rPr>
                <w:b/>
                <w:bCs/>
                <w:lang w:val="de-DE"/>
              </w:rPr>
              <w:t>85 mg/m</w:t>
            </w:r>
            <w:r w:rsidRPr="001513F9">
              <w:rPr>
                <w:b/>
                <w:bCs/>
                <w:vertAlign w:val="superscript"/>
                <w:lang w:val="de-DE"/>
              </w:rPr>
              <w:t>2</w:t>
            </w:r>
            <w:r w:rsidRPr="001513F9">
              <w:rPr>
                <w:vertAlign w:val="superscript"/>
                <w:lang w:val="de-DE"/>
              </w:rPr>
              <w:t xml:space="preserve"> </w:t>
            </w:r>
          </w:p>
          <w:p w:rsidR="007364F9" w:rsidRPr="001513F9" w:rsidRDefault="007364F9" w:rsidP="007364F9">
            <w:pPr>
              <w:tabs>
                <w:tab w:val="left" w:pos="232"/>
              </w:tabs>
              <w:overflowPunct w:val="0"/>
              <w:autoSpaceDE w:val="0"/>
              <w:autoSpaceDN w:val="0"/>
              <w:adjustRightInd w:val="0"/>
              <w:rPr>
                <w:lang w:eastAsia="fr-FR"/>
              </w:rPr>
            </w:pPr>
            <w:r w:rsidRPr="00C06019">
              <w:t>Μέση τιμή</w:t>
            </w:r>
          </w:p>
        </w:tc>
        <w:tc>
          <w:tcPr>
            <w:tcW w:w="1001"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0,814</w:t>
            </w:r>
          </w:p>
        </w:tc>
        <w:tc>
          <w:tcPr>
            <w:tcW w:w="924"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4,19</w:t>
            </w:r>
          </w:p>
        </w:tc>
        <w:tc>
          <w:tcPr>
            <w:tcW w:w="924"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4,68</w:t>
            </w:r>
          </w:p>
        </w:tc>
        <w:tc>
          <w:tcPr>
            <w:tcW w:w="770"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0,43</w:t>
            </w:r>
          </w:p>
        </w:tc>
        <w:tc>
          <w:tcPr>
            <w:tcW w:w="770"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16,8</w:t>
            </w:r>
          </w:p>
        </w:tc>
        <w:tc>
          <w:tcPr>
            <w:tcW w:w="693"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391</w:t>
            </w:r>
          </w:p>
        </w:tc>
        <w:tc>
          <w:tcPr>
            <w:tcW w:w="693"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440</w:t>
            </w:r>
          </w:p>
        </w:tc>
        <w:tc>
          <w:tcPr>
            <w:tcW w:w="693" w:type="dxa"/>
            <w:tcBorders>
              <w:top w:val="single" w:sz="6" w:space="0" w:color="000000"/>
              <w:left w:val="single" w:sz="6" w:space="0" w:color="000000"/>
              <w:bottom w:val="nil"/>
              <w:right w:val="doub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17,4</w:t>
            </w:r>
          </w:p>
        </w:tc>
      </w:tr>
      <w:tr w:rsidR="007364F9" w:rsidRPr="001513F9" w:rsidTr="007364F9">
        <w:tc>
          <w:tcPr>
            <w:tcW w:w="1540" w:type="dxa"/>
            <w:tcBorders>
              <w:top w:val="nil"/>
              <w:left w:val="double" w:sz="6" w:space="0" w:color="000000"/>
              <w:bottom w:val="single" w:sz="6" w:space="0" w:color="000000"/>
              <w:right w:val="single" w:sz="6" w:space="0" w:color="000000"/>
            </w:tcBorders>
          </w:tcPr>
          <w:p w:rsidR="007364F9" w:rsidRPr="001513F9" w:rsidRDefault="007364F9" w:rsidP="007364F9">
            <w:pPr>
              <w:tabs>
                <w:tab w:val="left" w:pos="232"/>
              </w:tabs>
              <w:overflowPunct w:val="0"/>
              <w:autoSpaceDE w:val="0"/>
              <w:autoSpaceDN w:val="0"/>
              <w:adjustRightInd w:val="0"/>
              <w:jc w:val="both"/>
              <w:rPr>
                <w:lang w:eastAsia="fr-FR"/>
              </w:rPr>
            </w:pPr>
            <w:r w:rsidRPr="001513F9">
              <w:t>SD</w:t>
            </w:r>
          </w:p>
        </w:tc>
        <w:tc>
          <w:tcPr>
            <w:tcW w:w="1001"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0,193</w:t>
            </w:r>
          </w:p>
        </w:tc>
        <w:tc>
          <w:tcPr>
            <w:tcW w:w="924"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0,647</w:t>
            </w:r>
          </w:p>
        </w:tc>
        <w:tc>
          <w:tcPr>
            <w:tcW w:w="924"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1,40</w:t>
            </w:r>
          </w:p>
        </w:tc>
        <w:tc>
          <w:tcPr>
            <w:tcW w:w="770"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0,35</w:t>
            </w:r>
          </w:p>
        </w:tc>
        <w:tc>
          <w:tcPr>
            <w:tcW w:w="770"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5,74</w:t>
            </w:r>
          </w:p>
        </w:tc>
        <w:tc>
          <w:tcPr>
            <w:tcW w:w="693"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406</w:t>
            </w:r>
          </w:p>
        </w:tc>
        <w:tc>
          <w:tcPr>
            <w:tcW w:w="693" w:type="dxa"/>
            <w:tcBorders>
              <w:top w:val="nil"/>
              <w:left w:val="single" w:sz="6" w:space="0" w:color="000000"/>
              <w:bottom w:val="sing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199</w:t>
            </w:r>
          </w:p>
        </w:tc>
        <w:tc>
          <w:tcPr>
            <w:tcW w:w="693" w:type="dxa"/>
            <w:tcBorders>
              <w:top w:val="nil"/>
              <w:left w:val="single" w:sz="6" w:space="0" w:color="000000"/>
              <w:bottom w:val="single" w:sz="6" w:space="0" w:color="000000"/>
              <w:right w:val="double" w:sz="6" w:space="0" w:color="000000"/>
            </w:tcBorders>
          </w:tcPr>
          <w:p w:rsidR="007364F9" w:rsidRPr="001513F9" w:rsidRDefault="007364F9" w:rsidP="007364F9">
            <w:pPr>
              <w:overflowPunct w:val="0"/>
              <w:autoSpaceDE w:val="0"/>
              <w:autoSpaceDN w:val="0"/>
              <w:adjustRightInd w:val="0"/>
              <w:jc w:val="center"/>
              <w:rPr>
                <w:lang w:eastAsia="fr-FR"/>
              </w:rPr>
            </w:pPr>
            <w:r w:rsidRPr="001513F9">
              <w:t>6,35</w:t>
            </w:r>
          </w:p>
        </w:tc>
      </w:tr>
      <w:tr w:rsidR="007364F9" w:rsidRPr="001513F9" w:rsidTr="007364F9">
        <w:tc>
          <w:tcPr>
            <w:tcW w:w="1540" w:type="dxa"/>
            <w:tcBorders>
              <w:top w:val="single" w:sz="6" w:space="0" w:color="000000"/>
              <w:left w:val="double" w:sz="6" w:space="0" w:color="000000"/>
              <w:bottom w:val="nil"/>
              <w:right w:val="single" w:sz="6" w:space="0" w:color="000000"/>
            </w:tcBorders>
          </w:tcPr>
          <w:p w:rsidR="007364F9" w:rsidRPr="001513F9" w:rsidRDefault="007364F9" w:rsidP="007364F9">
            <w:pPr>
              <w:tabs>
                <w:tab w:val="left" w:pos="232"/>
              </w:tabs>
              <w:overflowPunct w:val="0"/>
              <w:autoSpaceDE w:val="0"/>
              <w:autoSpaceDN w:val="0"/>
              <w:adjustRightInd w:val="0"/>
              <w:rPr>
                <w:vertAlign w:val="superscript"/>
              </w:rPr>
            </w:pPr>
            <w:r w:rsidRPr="001513F9">
              <w:rPr>
                <w:b/>
                <w:bCs/>
              </w:rPr>
              <w:t>130 mg/m</w:t>
            </w:r>
            <w:r w:rsidRPr="001513F9">
              <w:rPr>
                <w:b/>
                <w:bCs/>
                <w:vertAlign w:val="superscript"/>
              </w:rPr>
              <w:t>2</w:t>
            </w:r>
            <w:r w:rsidRPr="001513F9">
              <w:rPr>
                <w:vertAlign w:val="superscript"/>
              </w:rPr>
              <w:t xml:space="preserve"> </w:t>
            </w:r>
          </w:p>
          <w:p w:rsidR="007364F9" w:rsidRPr="001513F9" w:rsidRDefault="007364F9" w:rsidP="007364F9">
            <w:pPr>
              <w:tabs>
                <w:tab w:val="left" w:pos="232"/>
              </w:tabs>
              <w:overflowPunct w:val="0"/>
              <w:autoSpaceDE w:val="0"/>
              <w:autoSpaceDN w:val="0"/>
              <w:adjustRightInd w:val="0"/>
              <w:rPr>
                <w:lang w:eastAsia="fr-FR"/>
              </w:rPr>
            </w:pPr>
            <w:r w:rsidRPr="00C06019">
              <w:t>Μέση τιμή</w:t>
            </w:r>
          </w:p>
        </w:tc>
        <w:tc>
          <w:tcPr>
            <w:tcW w:w="1001"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1,21</w:t>
            </w:r>
          </w:p>
        </w:tc>
        <w:tc>
          <w:tcPr>
            <w:tcW w:w="924"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8,20</w:t>
            </w:r>
          </w:p>
        </w:tc>
        <w:tc>
          <w:tcPr>
            <w:tcW w:w="924"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11,9</w:t>
            </w:r>
          </w:p>
        </w:tc>
        <w:tc>
          <w:tcPr>
            <w:tcW w:w="770"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0,28</w:t>
            </w:r>
          </w:p>
        </w:tc>
        <w:tc>
          <w:tcPr>
            <w:tcW w:w="770"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16,3</w:t>
            </w:r>
          </w:p>
        </w:tc>
        <w:tc>
          <w:tcPr>
            <w:tcW w:w="693"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ind w:left="18"/>
              <w:jc w:val="center"/>
            </w:pPr>
          </w:p>
          <w:p w:rsidR="007364F9" w:rsidRPr="001513F9" w:rsidRDefault="007364F9" w:rsidP="007364F9">
            <w:pPr>
              <w:overflowPunct w:val="0"/>
              <w:autoSpaceDE w:val="0"/>
              <w:autoSpaceDN w:val="0"/>
              <w:adjustRightInd w:val="0"/>
              <w:ind w:left="18"/>
              <w:jc w:val="center"/>
              <w:rPr>
                <w:lang w:eastAsia="fr-FR"/>
              </w:rPr>
            </w:pPr>
            <w:r w:rsidRPr="001513F9">
              <w:t>273</w:t>
            </w:r>
          </w:p>
        </w:tc>
        <w:tc>
          <w:tcPr>
            <w:tcW w:w="693" w:type="dxa"/>
            <w:tcBorders>
              <w:top w:val="single" w:sz="6" w:space="0" w:color="000000"/>
              <w:left w:val="single" w:sz="6" w:space="0" w:color="000000"/>
              <w:bottom w:val="nil"/>
              <w:right w:val="single" w:sz="6" w:space="0" w:color="000000"/>
            </w:tcBorders>
          </w:tcPr>
          <w:p w:rsidR="007364F9" w:rsidRPr="001513F9" w:rsidRDefault="007364F9" w:rsidP="007364F9">
            <w:pPr>
              <w:overflowPunct w:val="0"/>
              <w:autoSpaceDE w:val="0"/>
              <w:autoSpaceDN w:val="0"/>
              <w:adjustRightInd w:val="0"/>
              <w:ind w:left="55"/>
              <w:jc w:val="center"/>
            </w:pPr>
          </w:p>
          <w:p w:rsidR="007364F9" w:rsidRPr="001513F9" w:rsidRDefault="007364F9" w:rsidP="007364F9">
            <w:pPr>
              <w:overflowPunct w:val="0"/>
              <w:autoSpaceDE w:val="0"/>
              <w:autoSpaceDN w:val="0"/>
              <w:adjustRightInd w:val="0"/>
              <w:ind w:left="55"/>
              <w:jc w:val="center"/>
              <w:rPr>
                <w:lang w:eastAsia="fr-FR"/>
              </w:rPr>
            </w:pPr>
            <w:r w:rsidRPr="001513F9">
              <w:t>582</w:t>
            </w:r>
          </w:p>
        </w:tc>
        <w:tc>
          <w:tcPr>
            <w:tcW w:w="693" w:type="dxa"/>
            <w:tcBorders>
              <w:top w:val="single" w:sz="6" w:space="0" w:color="000000"/>
              <w:left w:val="single" w:sz="6" w:space="0" w:color="000000"/>
              <w:bottom w:val="nil"/>
              <w:right w:val="double" w:sz="6" w:space="0" w:color="000000"/>
            </w:tcBorders>
          </w:tcPr>
          <w:p w:rsidR="007364F9" w:rsidRPr="001513F9" w:rsidRDefault="007364F9" w:rsidP="007364F9">
            <w:pPr>
              <w:overflowPunct w:val="0"/>
              <w:autoSpaceDE w:val="0"/>
              <w:autoSpaceDN w:val="0"/>
              <w:adjustRightInd w:val="0"/>
              <w:jc w:val="center"/>
            </w:pPr>
          </w:p>
          <w:p w:rsidR="007364F9" w:rsidRPr="001513F9" w:rsidRDefault="007364F9" w:rsidP="007364F9">
            <w:pPr>
              <w:overflowPunct w:val="0"/>
              <w:autoSpaceDE w:val="0"/>
              <w:autoSpaceDN w:val="0"/>
              <w:adjustRightInd w:val="0"/>
              <w:jc w:val="center"/>
              <w:rPr>
                <w:lang w:eastAsia="fr-FR"/>
              </w:rPr>
            </w:pPr>
            <w:r w:rsidRPr="001513F9">
              <w:t>10,1</w:t>
            </w:r>
          </w:p>
        </w:tc>
      </w:tr>
      <w:tr w:rsidR="007364F9" w:rsidRPr="001513F9" w:rsidTr="007364F9">
        <w:tc>
          <w:tcPr>
            <w:tcW w:w="1540" w:type="dxa"/>
            <w:tcBorders>
              <w:top w:val="nil"/>
              <w:left w:val="double" w:sz="6" w:space="0" w:color="000000"/>
              <w:bottom w:val="double" w:sz="6" w:space="0" w:color="000000"/>
              <w:right w:val="single" w:sz="6" w:space="0" w:color="000000"/>
            </w:tcBorders>
          </w:tcPr>
          <w:p w:rsidR="007364F9" w:rsidRPr="001513F9" w:rsidRDefault="007364F9" w:rsidP="007364F9">
            <w:pPr>
              <w:tabs>
                <w:tab w:val="left" w:pos="232"/>
              </w:tabs>
              <w:overflowPunct w:val="0"/>
              <w:autoSpaceDE w:val="0"/>
              <w:autoSpaceDN w:val="0"/>
              <w:adjustRightInd w:val="0"/>
              <w:jc w:val="both"/>
              <w:rPr>
                <w:lang w:eastAsia="fr-FR"/>
              </w:rPr>
            </w:pPr>
            <w:r w:rsidRPr="001513F9">
              <w:t>SD</w:t>
            </w:r>
          </w:p>
        </w:tc>
        <w:tc>
          <w:tcPr>
            <w:tcW w:w="1001"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0,10</w:t>
            </w:r>
          </w:p>
        </w:tc>
        <w:tc>
          <w:tcPr>
            <w:tcW w:w="924"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2,40</w:t>
            </w:r>
          </w:p>
        </w:tc>
        <w:tc>
          <w:tcPr>
            <w:tcW w:w="924"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4,60</w:t>
            </w:r>
          </w:p>
        </w:tc>
        <w:tc>
          <w:tcPr>
            <w:tcW w:w="770"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0,06</w:t>
            </w:r>
          </w:p>
        </w:tc>
        <w:tc>
          <w:tcPr>
            <w:tcW w:w="770"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jc w:val="center"/>
              <w:rPr>
                <w:lang w:eastAsia="fr-FR"/>
              </w:rPr>
            </w:pPr>
            <w:r w:rsidRPr="001513F9">
              <w:t>2,90</w:t>
            </w:r>
          </w:p>
        </w:tc>
        <w:tc>
          <w:tcPr>
            <w:tcW w:w="693"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ind w:left="18"/>
              <w:jc w:val="center"/>
              <w:rPr>
                <w:lang w:eastAsia="fr-FR"/>
              </w:rPr>
            </w:pPr>
            <w:r w:rsidRPr="001513F9">
              <w:t>19,0</w:t>
            </w:r>
          </w:p>
        </w:tc>
        <w:tc>
          <w:tcPr>
            <w:tcW w:w="693" w:type="dxa"/>
            <w:tcBorders>
              <w:top w:val="nil"/>
              <w:left w:val="single" w:sz="6" w:space="0" w:color="000000"/>
              <w:bottom w:val="double" w:sz="6" w:space="0" w:color="000000"/>
              <w:right w:val="single" w:sz="6" w:space="0" w:color="000000"/>
            </w:tcBorders>
          </w:tcPr>
          <w:p w:rsidR="007364F9" w:rsidRPr="001513F9" w:rsidRDefault="007364F9" w:rsidP="007364F9">
            <w:pPr>
              <w:overflowPunct w:val="0"/>
              <w:autoSpaceDE w:val="0"/>
              <w:autoSpaceDN w:val="0"/>
              <w:adjustRightInd w:val="0"/>
              <w:ind w:left="55"/>
              <w:jc w:val="center"/>
              <w:rPr>
                <w:lang w:eastAsia="fr-FR"/>
              </w:rPr>
            </w:pPr>
            <w:r w:rsidRPr="001513F9">
              <w:t>261</w:t>
            </w:r>
          </w:p>
        </w:tc>
        <w:tc>
          <w:tcPr>
            <w:tcW w:w="693" w:type="dxa"/>
            <w:tcBorders>
              <w:top w:val="nil"/>
              <w:left w:val="single" w:sz="6" w:space="0" w:color="000000"/>
              <w:bottom w:val="double" w:sz="6" w:space="0" w:color="000000"/>
              <w:right w:val="double" w:sz="6" w:space="0" w:color="000000"/>
            </w:tcBorders>
          </w:tcPr>
          <w:p w:rsidR="007364F9" w:rsidRPr="001513F9" w:rsidRDefault="007364F9" w:rsidP="007364F9">
            <w:pPr>
              <w:overflowPunct w:val="0"/>
              <w:autoSpaceDE w:val="0"/>
              <w:autoSpaceDN w:val="0"/>
              <w:adjustRightInd w:val="0"/>
              <w:jc w:val="center"/>
              <w:rPr>
                <w:lang w:eastAsia="fr-FR"/>
              </w:rPr>
            </w:pPr>
            <w:r w:rsidRPr="001513F9">
              <w:t>3,07</w:t>
            </w:r>
          </w:p>
        </w:tc>
      </w:tr>
    </w:tbl>
    <w:p w:rsidR="007364F9" w:rsidRPr="001513F9" w:rsidRDefault="007364F9" w:rsidP="007364F9">
      <w:pPr>
        <w:ind w:left="770"/>
        <w:jc w:val="both"/>
        <w:rPr>
          <w:sz w:val="18"/>
          <w:szCs w:val="18"/>
        </w:rPr>
      </w:pPr>
      <w:r w:rsidRPr="00C06019">
        <w:rPr>
          <w:sz w:val="18"/>
          <w:szCs w:val="18"/>
        </w:rPr>
        <w:t xml:space="preserve">Ο μέσος όρος για τα </w:t>
      </w:r>
      <w:r w:rsidRPr="000B008B">
        <w:rPr>
          <w:sz w:val="18"/>
          <w:szCs w:val="18"/>
          <w:lang w:val="en-GB"/>
        </w:rPr>
        <w:t>AUC</w:t>
      </w:r>
      <w:r w:rsidRPr="001513F9">
        <w:rPr>
          <w:sz w:val="18"/>
          <w:szCs w:val="18"/>
          <w:vertAlign w:val="subscript"/>
        </w:rPr>
        <w:t xml:space="preserve">0-48 </w:t>
      </w:r>
      <w:r w:rsidRPr="001513F9">
        <w:rPr>
          <w:sz w:val="18"/>
          <w:szCs w:val="18"/>
        </w:rPr>
        <w:t xml:space="preserve">και </w:t>
      </w:r>
      <w:proofErr w:type="spellStart"/>
      <w:r w:rsidRPr="001513F9">
        <w:rPr>
          <w:sz w:val="18"/>
          <w:szCs w:val="18"/>
          <w:lang w:val="en-GB"/>
        </w:rPr>
        <w:t>C</w:t>
      </w:r>
      <w:r w:rsidRPr="001513F9">
        <w:rPr>
          <w:sz w:val="18"/>
          <w:szCs w:val="18"/>
          <w:vertAlign w:val="subscript"/>
          <w:lang w:val="en-GB"/>
        </w:rPr>
        <w:t>max</w:t>
      </w:r>
      <w:proofErr w:type="spellEnd"/>
      <w:r w:rsidRPr="001513F9">
        <w:rPr>
          <w:sz w:val="18"/>
          <w:szCs w:val="18"/>
        </w:rPr>
        <w:t xml:space="preserve"> υπολογίσθηκαν κατά τον 3</w:t>
      </w:r>
      <w:r w:rsidRPr="001513F9">
        <w:rPr>
          <w:sz w:val="18"/>
          <w:szCs w:val="18"/>
          <w:vertAlign w:val="superscript"/>
        </w:rPr>
        <w:t>ο</w:t>
      </w:r>
      <w:r w:rsidRPr="001513F9">
        <w:rPr>
          <w:sz w:val="18"/>
          <w:szCs w:val="18"/>
        </w:rPr>
        <w:t xml:space="preserve"> κύκλο (85 mg/m</w:t>
      </w:r>
      <w:r w:rsidRPr="001513F9">
        <w:rPr>
          <w:sz w:val="18"/>
          <w:szCs w:val="18"/>
          <w:vertAlign w:val="superscript"/>
        </w:rPr>
        <w:t>2</w:t>
      </w:r>
      <w:r w:rsidRPr="001513F9">
        <w:rPr>
          <w:sz w:val="18"/>
          <w:szCs w:val="18"/>
        </w:rPr>
        <w:t>) ή κατά τον 5</w:t>
      </w:r>
      <w:r w:rsidRPr="001513F9">
        <w:rPr>
          <w:sz w:val="18"/>
          <w:szCs w:val="18"/>
          <w:vertAlign w:val="superscript"/>
        </w:rPr>
        <w:t>ο</w:t>
      </w:r>
      <w:r w:rsidRPr="001513F9">
        <w:rPr>
          <w:sz w:val="18"/>
          <w:szCs w:val="18"/>
        </w:rPr>
        <w:t xml:space="preserve"> κύκλο (130</w:t>
      </w:r>
      <w:r w:rsidR="000C75B2" w:rsidRPr="001513F9">
        <w:rPr>
          <w:sz w:val="18"/>
          <w:szCs w:val="18"/>
        </w:rPr>
        <w:t> </w:t>
      </w:r>
      <w:r w:rsidRPr="001513F9">
        <w:rPr>
          <w:sz w:val="18"/>
          <w:szCs w:val="18"/>
        </w:rPr>
        <w:t>mg/m</w:t>
      </w:r>
      <w:r w:rsidRPr="001513F9">
        <w:rPr>
          <w:sz w:val="18"/>
          <w:szCs w:val="18"/>
          <w:vertAlign w:val="superscript"/>
        </w:rPr>
        <w:t>2</w:t>
      </w:r>
      <w:r w:rsidRPr="001513F9">
        <w:rPr>
          <w:sz w:val="18"/>
          <w:szCs w:val="18"/>
        </w:rPr>
        <w:t>).</w:t>
      </w:r>
    </w:p>
    <w:p w:rsidR="007364F9" w:rsidRPr="001513F9" w:rsidRDefault="007364F9" w:rsidP="007364F9">
      <w:pPr>
        <w:pStyle w:val="a7"/>
        <w:spacing w:after="0"/>
        <w:ind w:left="771"/>
        <w:rPr>
          <w:sz w:val="18"/>
          <w:szCs w:val="18"/>
        </w:rPr>
      </w:pPr>
      <w:r w:rsidRPr="001513F9">
        <w:rPr>
          <w:sz w:val="18"/>
          <w:szCs w:val="18"/>
        </w:rPr>
        <w:t>Ο μέσος όρος των AUC, V</w:t>
      </w:r>
      <w:r w:rsidRPr="001513F9">
        <w:rPr>
          <w:sz w:val="18"/>
          <w:szCs w:val="18"/>
          <w:vertAlign w:val="subscript"/>
        </w:rPr>
        <w:t>ss</w:t>
      </w:r>
      <w:r w:rsidRPr="001513F9">
        <w:rPr>
          <w:sz w:val="18"/>
          <w:szCs w:val="18"/>
        </w:rPr>
        <w:t xml:space="preserve"> </w:t>
      </w:r>
      <w:r w:rsidR="007B675C" w:rsidRPr="001513F9">
        <w:rPr>
          <w:sz w:val="18"/>
          <w:szCs w:val="18"/>
        </w:rPr>
        <w:t xml:space="preserve">και </w:t>
      </w:r>
      <w:r w:rsidRPr="001513F9">
        <w:rPr>
          <w:sz w:val="18"/>
          <w:szCs w:val="18"/>
        </w:rPr>
        <w:t>CL υπολογίσθηκαν κατά τον 1</w:t>
      </w:r>
      <w:r w:rsidRPr="001513F9">
        <w:rPr>
          <w:sz w:val="18"/>
          <w:szCs w:val="18"/>
          <w:vertAlign w:val="superscript"/>
        </w:rPr>
        <w:t>ο</w:t>
      </w:r>
      <w:r w:rsidRPr="001513F9">
        <w:rPr>
          <w:sz w:val="18"/>
          <w:szCs w:val="18"/>
        </w:rPr>
        <w:t xml:space="preserve"> κύκλο.</w:t>
      </w:r>
    </w:p>
    <w:p w:rsidR="007364F9" w:rsidRPr="001513F9" w:rsidRDefault="007364F9" w:rsidP="007364F9">
      <w:pPr>
        <w:pStyle w:val="a7"/>
        <w:spacing w:after="0"/>
        <w:ind w:left="771"/>
        <w:rPr>
          <w:sz w:val="18"/>
        </w:rPr>
      </w:pPr>
      <w:r w:rsidRPr="001513F9">
        <w:rPr>
          <w:sz w:val="18"/>
          <w:szCs w:val="18"/>
        </w:rPr>
        <w:t xml:space="preserve">Οι τιμές </w:t>
      </w:r>
      <w:r w:rsidRPr="001513F9">
        <w:rPr>
          <w:sz w:val="18"/>
        </w:rPr>
        <w:t>C</w:t>
      </w:r>
      <w:r w:rsidRPr="001513F9">
        <w:rPr>
          <w:sz w:val="18"/>
          <w:vertAlign w:val="subscript"/>
        </w:rPr>
        <w:t>max</w:t>
      </w:r>
      <w:r w:rsidRPr="001513F9">
        <w:rPr>
          <w:sz w:val="18"/>
        </w:rPr>
        <w:t>, AUC, AUC</w:t>
      </w:r>
      <w:r w:rsidRPr="001513F9">
        <w:rPr>
          <w:sz w:val="18"/>
          <w:vertAlign w:val="subscript"/>
        </w:rPr>
        <w:t>0-48</w:t>
      </w:r>
      <w:r w:rsidRPr="001513F9">
        <w:rPr>
          <w:sz w:val="18"/>
        </w:rPr>
        <w:t>, V</w:t>
      </w:r>
      <w:r w:rsidRPr="001513F9">
        <w:rPr>
          <w:sz w:val="18"/>
          <w:vertAlign w:val="subscript"/>
        </w:rPr>
        <w:t>ss</w:t>
      </w:r>
      <w:r w:rsidRPr="001513F9">
        <w:rPr>
          <w:sz w:val="18"/>
        </w:rPr>
        <w:t xml:space="preserve"> και CL καθορίστηκαν από </w:t>
      </w:r>
      <w:r w:rsidR="00767322" w:rsidRPr="001513F9">
        <w:rPr>
          <w:sz w:val="18"/>
        </w:rPr>
        <w:t>μη-</w:t>
      </w:r>
      <w:r w:rsidRPr="001513F9">
        <w:rPr>
          <w:sz w:val="18"/>
        </w:rPr>
        <w:t>διαμερισματική ανάλυση.</w:t>
      </w:r>
    </w:p>
    <w:p w:rsidR="007364F9" w:rsidRPr="000B008B" w:rsidRDefault="007364F9" w:rsidP="007364F9">
      <w:pPr>
        <w:overflowPunct w:val="0"/>
        <w:autoSpaceDE w:val="0"/>
        <w:autoSpaceDN w:val="0"/>
        <w:adjustRightInd w:val="0"/>
        <w:ind w:left="771"/>
        <w:rPr>
          <w:sz w:val="18"/>
          <w:lang w:eastAsia="fr-FR"/>
        </w:rPr>
      </w:pPr>
      <w:r w:rsidRPr="001513F9">
        <w:rPr>
          <w:sz w:val="18"/>
        </w:rPr>
        <w:t>Οι τιμές t</w:t>
      </w:r>
      <w:r w:rsidRPr="001513F9">
        <w:rPr>
          <w:sz w:val="18"/>
          <w:vertAlign w:val="subscript"/>
        </w:rPr>
        <w:t>1/2</w:t>
      </w:r>
      <w:r w:rsidRPr="00C06019">
        <w:rPr>
          <w:bCs/>
          <w:sz w:val="18"/>
        </w:rPr>
        <w:sym w:font="Symbol" w:char="F061"/>
      </w:r>
      <w:r w:rsidRPr="00C06019">
        <w:rPr>
          <w:sz w:val="18"/>
        </w:rPr>
        <w:t>, t</w:t>
      </w:r>
      <w:r w:rsidRPr="000B008B">
        <w:rPr>
          <w:sz w:val="18"/>
          <w:vertAlign w:val="subscript"/>
        </w:rPr>
        <w:t>1/2</w:t>
      </w:r>
      <w:r w:rsidRPr="00C06019">
        <w:rPr>
          <w:bCs/>
          <w:sz w:val="18"/>
        </w:rPr>
        <w:sym w:font="Symbol" w:char="F062"/>
      </w:r>
      <w:r w:rsidRPr="00C06019">
        <w:rPr>
          <w:sz w:val="18"/>
        </w:rPr>
        <w:t xml:space="preserve"> και t</w:t>
      </w:r>
      <w:r w:rsidRPr="000B008B">
        <w:rPr>
          <w:sz w:val="18"/>
          <w:vertAlign w:val="subscript"/>
        </w:rPr>
        <w:t>1/2</w:t>
      </w:r>
      <w:r w:rsidRPr="00C06019">
        <w:rPr>
          <w:bCs/>
        </w:rPr>
        <w:sym w:font="Symbol" w:char="F067"/>
      </w:r>
      <w:r w:rsidRPr="00C06019">
        <w:rPr>
          <w:sz w:val="18"/>
        </w:rPr>
        <w:t xml:space="preserve"> καθορίστηκαν από διαμερισματική ανάλυση (συνδυασμός Κύκλων 1-3).</w:t>
      </w:r>
    </w:p>
    <w:p w:rsidR="007364F9" w:rsidRPr="001513F9" w:rsidRDefault="007364F9" w:rsidP="007364F9">
      <w:pPr>
        <w:ind w:left="770"/>
        <w:jc w:val="both"/>
        <w:rPr>
          <w:lang w:eastAsia="fr-FR"/>
        </w:rPr>
      </w:pPr>
    </w:p>
    <w:p w:rsidR="007364F9" w:rsidRPr="001513F9" w:rsidRDefault="007364F9" w:rsidP="007364F9">
      <w:pPr>
        <w:numPr>
          <w:ilvl w:val="12"/>
          <w:numId w:val="0"/>
        </w:numPr>
        <w:jc w:val="both"/>
      </w:pPr>
      <w:r w:rsidRPr="001513F9">
        <w:t xml:space="preserve">Στο τέλος της δίωρης έγχυσης, 15% </w:t>
      </w:r>
      <w:r w:rsidR="000C75B2" w:rsidRPr="001513F9">
        <w:t>του</w:t>
      </w:r>
      <w:r w:rsidRPr="001513F9">
        <w:t xml:space="preserve"> χορηγούμεν</w:t>
      </w:r>
      <w:r w:rsidR="000C75B2" w:rsidRPr="001513F9">
        <w:t>ου</w:t>
      </w:r>
      <w:r w:rsidRPr="001513F9">
        <w:t xml:space="preserve"> </w:t>
      </w:r>
      <w:r w:rsidR="000C75B2" w:rsidRPr="001513F9">
        <w:rPr>
          <w:szCs w:val="22"/>
        </w:rPr>
        <w:t>λευκοχρύσου</w:t>
      </w:r>
      <w:r w:rsidRPr="001513F9">
        <w:t xml:space="preserve"> ευρίσκεται στη συστηματική κυκλοφορία, ενώ το υπόλοιπο 85% κατανέμεται </w:t>
      </w:r>
      <w:r w:rsidR="009A4BE4" w:rsidRPr="001513F9">
        <w:t>ταχ</w:t>
      </w:r>
      <w:r w:rsidR="009A4BE4">
        <w:t>έως</w:t>
      </w:r>
      <w:r w:rsidR="009A4BE4" w:rsidRPr="001513F9">
        <w:t xml:space="preserve"> </w:t>
      </w:r>
      <w:r w:rsidRPr="001513F9">
        <w:t xml:space="preserve">στους ιστούς ή απεκκρίνεται στα ούρα. Η </w:t>
      </w:r>
      <w:r w:rsidR="00767322" w:rsidRPr="001513F9">
        <w:t>μη-</w:t>
      </w:r>
      <w:r w:rsidRPr="001513F9">
        <w:t>αναστρέψιμη σύνδεση με ερυθρά αιμοσφαίρια και με το πλάσμα, έχει σαν συνέπεια οι χρόνοι ημιζωής στις θέσεις σύνδεσης να είναι πολύ κοντά στο φυσιολογικό χρόνο ανανέωσης των ερυθρών αιμοσφαιρίων και της λευκωματίνης του ορού. Δεν παρατηρήθηκε συσσώρευση σε υπερδι</w:t>
      </w:r>
      <w:r w:rsidR="000C75B2" w:rsidRPr="001513F9">
        <w:t>ήθημα</w:t>
      </w:r>
      <w:r w:rsidRPr="001513F9">
        <w:t xml:space="preserve"> πλάσμα</w:t>
      </w:r>
      <w:r w:rsidR="000C75B2" w:rsidRPr="001513F9">
        <w:t>τος</w:t>
      </w:r>
      <w:r w:rsidRPr="001513F9">
        <w:t xml:space="preserve"> μετά από χορήγηση 85</w:t>
      </w:r>
      <w:r w:rsidR="000C75B2" w:rsidRPr="001513F9">
        <w:t> </w:t>
      </w:r>
      <w:r w:rsidRPr="001513F9">
        <w:rPr>
          <w:lang w:val="en-GB"/>
        </w:rPr>
        <w:t>mg</w:t>
      </w:r>
      <w:r w:rsidRPr="001513F9">
        <w:t>/</w:t>
      </w:r>
      <w:r w:rsidRPr="001513F9">
        <w:rPr>
          <w:lang w:val="en-GB"/>
        </w:rPr>
        <w:t>m</w:t>
      </w:r>
      <w:r w:rsidRPr="001513F9">
        <w:rPr>
          <w:vertAlign w:val="superscript"/>
        </w:rPr>
        <w:t>2</w:t>
      </w:r>
      <w:r w:rsidRPr="001513F9">
        <w:t xml:space="preserve"> κάθε δύο εβδομάδες ή μετά από 130</w:t>
      </w:r>
      <w:r w:rsidR="000C75B2" w:rsidRPr="001513F9">
        <w:t> </w:t>
      </w:r>
      <w:r w:rsidRPr="001513F9">
        <w:rPr>
          <w:lang w:val="en-GB"/>
        </w:rPr>
        <w:t>mg</w:t>
      </w:r>
      <w:r w:rsidRPr="001513F9">
        <w:t>/</w:t>
      </w:r>
      <w:r w:rsidRPr="001513F9">
        <w:rPr>
          <w:lang w:val="en-GB"/>
        </w:rPr>
        <w:t>m</w:t>
      </w:r>
      <w:r w:rsidRPr="001513F9">
        <w:rPr>
          <w:vertAlign w:val="superscript"/>
        </w:rPr>
        <w:t>2</w:t>
      </w:r>
      <w:r w:rsidRPr="001513F9">
        <w:t xml:space="preserve"> κάθε τρεις εβδομάδες και η σταθερή κατάσταση επιτεύχθηκε κατά τον πρώτο κύκλο στις θέσεις σύνδεσης. </w:t>
      </w:r>
      <w:r w:rsidR="000C75B2" w:rsidRPr="001513F9">
        <w:t xml:space="preserve">Η </w:t>
      </w:r>
      <w:r w:rsidR="00380FFD">
        <w:t>ε</w:t>
      </w:r>
      <w:r w:rsidR="000C75B2" w:rsidRPr="001513F9">
        <w:t>νδο- και δι-ατομική μεταβλητότητα</w:t>
      </w:r>
      <w:r w:rsidRPr="001513F9">
        <w:t xml:space="preserve"> ήταν γενικά χαμηλή.</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 xml:space="preserve">Η </w:t>
      </w:r>
      <w:r w:rsidRPr="001513F9">
        <w:rPr>
          <w:i/>
          <w:lang w:val="en-GB"/>
        </w:rPr>
        <w:t>in</w:t>
      </w:r>
      <w:r w:rsidRPr="001513F9">
        <w:rPr>
          <w:i/>
        </w:rPr>
        <w:t xml:space="preserve"> </w:t>
      </w:r>
      <w:r w:rsidRPr="001513F9">
        <w:rPr>
          <w:i/>
          <w:lang w:val="en-GB"/>
        </w:rPr>
        <w:t>vitro</w:t>
      </w:r>
      <w:r w:rsidRPr="001513F9">
        <w:t xml:space="preserve"> βιομετατροπή θεωρείται ότι είναι το αποτέλεσμα μιας μη-ενζυμικής διάσπασης και δεν υπάρχει απόδειξη μεσολάβησης του κυτοχρώματος </w:t>
      </w:r>
      <w:r w:rsidRPr="001513F9">
        <w:rPr>
          <w:lang w:val="en-GB"/>
        </w:rPr>
        <w:t>P</w:t>
      </w:r>
      <w:r w:rsidRPr="001513F9">
        <w:t>450 στο μεταβολισμό του δακτυλίου του διαμινοκυκλοεξανίου (</w:t>
      </w:r>
      <w:r w:rsidRPr="001513F9">
        <w:rPr>
          <w:lang w:val="en-GB"/>
        </w:rPr>
        <w:t>DACH</w:t>
      </w:r>
      <w:r w:rsidRPr="001513F9">
        <w:t>).</w:t>
      </w:r>
    </w:p>
    <w:p w:rsidR="007364F9" w:rsidRPr="001513F9" w:rsidRDefault="007364F9" w:rsidP="007364F9">
      <w:pPr>
        <w:numPr>
          <w:ilvl w:val="12"/>
          <w:numId w:val="0"/>
        </w:numPr>
        <w:jc w:val="both"/>
        <w:rPr>
          <w:szCs w:val="22"/>
        </w:rPr>
      </w:pPr>
      <w:r w:rsidRPr="001513F9">
        <w:rPr>
          <w:szCs w:val="22"/>
        </w:rPr>
        <w:t>Η οξαλιπλατίνη μεταβολίζεται εκτεταμένα στον άνθρωπο και δεν ανιχνεύεται αδιάσπαστη δραστική ουσία στο υπερδι</w:t>
      </w:r>
      <w:r w:rsidR="000C75B2" w:rsidRPr="001513F9">
        <w:rPr>
          <w:szCs w:val="22"/>
        </w:rPr>
        <w:t>ήθημα</w:t>
      </w:r>
      <w:r w:rsidRPr="001513F9">
        <w:rPr>
          <w:szCs w:val="22"/>
        </w:rPr>
        <w:t xml:space="preserve"> πλάσμα</w:t>
      </w:r>
      <w:r w:rsidR="000C75B2" w:rsidRPr="001513F9">
        <w:rPr>
          <w:szCs w:val="22"/>
        </w:rPr>
        <w:t>τος</w:t>
      </w:r>
      <w:r w:rsidRPr="001513F9">
        <w:rPr>
          <w:szCs w:val="22"/>
        </w:rPr>
        <w:t xml:space="preserve"> στο τέλος της </w:t>
      </w:r>
      <w:r w:rsidR="007A52EE" w:rsidRPr="001513F9">
        <w:rPr>
          <w:szCs w:val="22"/>
        </w:rPr>
        <w:t>δί</w:t>
      </w:r>
      <w:r w:rsidRPr="001513F9">
        <w:rPr>
          <w:szCs w:val="22"/>
        </w:rPr>
        <w:t>ωρης έγχυσης. Αρκετοί κυτταροτοξικοί μεταβολίτες, συμπεριλαμβανομένων και των μονοχλ</w:t>
      </w:r>
      <w:r w:rsidR="007A52EE" w:rsidRPr="001513F9">
        <w:rPr>
          <w:szCs w:val="22"/>
        </w:rPr>
        <w:t>ω</w:t>
      </w:r>
      <w:r w:rsidR="00CF2967">
        <w:rPr>
          <w:szCs w:val="22"/>
        </w:rPr>
        <w:t>ρο-, διχλωρο- και διυ</w:t>
      </w:r>
      <w:r w:rsidRPr="001513F9">
        <w:rPr>
          <w:szCs w:val="22"/>
        </w:rPr>
        <w:t>δρο</w:t>
      </w:r>
      <w:r w:rsidR="00CF2967" w:rsidRPr="00CF2967">
        <w:rPr>
          <w:szCs w:val="22"/>
        </w:rPr>
        <w:t>-</w:t>
      </w:r>
      <w:r w:rsidRPr="001513F9">
        <w:rPr>
          <w:szCs w:val="22"/>
        </w:rPr>
        <w:t xml:space="preserve"> </w:t>
      </w:r>
      <w:r w:rsidRPr="001513F9">
        <w:rPr>
          <w:szCs w:val="22"/>
          <w:lang w:val="en-GB"/>
        </w:rPr>
        <w:t>DACH</w:t>
      </w:r>
      <w:r w:rsidRPr="001513F9">
        <w:rPr>
          <w:szCs w:val="22"/>
        </w:rPr>
        <w:t xml:space="preserve"> </w:t>
      </w:r>
      <w:r w:rsidR="000C75B2" w:rsidRPr="001513F9">
        <w:rPr>
          <w:szCs w:val="22"/>
        </w:rPr>
        <w:t>ενώσεων λευκοχρύσου</w:t>
      </w:r>
      <w:r w:rsidRPr="001513F9">
        <w:rPr>
          <w:szCs w:val="22"/>
        </w:rPr>
        <w:t xml:space="preserve">, και ένας αριθμός αδρανών μεταβολιτών έχουν ανιχνευτεί στη συστηματική κυκλοφορία και σε αργότερα χρονικά σημεία. </w:t>
      </w:r>
    </w:p>
    <w:p w:rsidR="007364F9" w:rsidRPr="001513F9" w:rsidRDefault="00380FFD" w:rsidP="007364F9">
      <w:pPr>
        <w:numPr>
          <w:ilvl w:val="12"/>
          <w:numId w:val="0"/>
        </w:numPr>
        <w:jc w:val="both"/>
        <w:rPr>
          <w:szCs w:val="22"/>
        </w:rPr>
      </w:pPr>
      <w:r>
        <w:rPr>
          <w:szCs w:val="22"/>
        </w:rPr>
        <w:t xml:space="preserve">Ο </w:t>
      </w:r>
      <w:r w:rsidR="00662B85" w:rsidRPr="001513F9">
        <w:rPr>
          <w:szCs w:val="22"/>
        </w:rPr>
        <w:t>λευκόχρυσος</w:t>
      </w:r>
      <w:r w:rsidR="007364F9" w:rsidRPr="001513F9">
        <w:rPr>
          <w:szCs w:val="22"/>
        </w:rPr>
        <w:t xml:space="preserve">, ως επί το πλείστον, αποβάλλεται στα ούρα με κάθαρση συνήθως εντός 48 ωρών μετά από τη χορήγηση. </w:t>
      </w:r>
      <w:r>
        <w:rPr>
          <w:szCs w:val="22"/>
        </w:rPr>
        <w:t>Μέχρι</w:t>
      </w:r>
      <w:r w:rsidR="007364F9" w:rsidRPr="001513F9">
        <w:rPr>
          <w:szCs w:val="22"/>
        </w:rPr>
        <w:t xml:space="preserve"> την 5η ημέρα, περίπου 54% της συνολικής δόσης </w:t>
      </w:r>
      <w:r w:rsidR="007A52EE" w:rsidRPr="001513F9">
        <w:rPr>
          <w:szCs w:val="22"/>
        </w:rPr>
        <w:t>αποβλήθηκε</w:t>
      </w:r>
      <w:r w:rsidR="007364F9" w:rsidRPr="001513F9">
        <w:rPr>
          <w:szCs w:val="22"/>
        </w:rPr>
        <w:t xml:space="preserve"> στα ούρα και &lt;3% στα κόπρανα. </w:t>
      </w:r>
    </w:p>
    <w:p w:rsidR="007A52EE" w:rsidRPr="001513F9" w:rsidRDefault="007A52EE" w:rsidP="007A52EE">
      <w:pPr>
        <w:rPr>
          <w:szCs w:val="22"/>
        </w:rPr>
      </w:pPr>
      <w:r w:rsidRPr="001513F9">
        <w:rPr>
          <w:szCs w:val="22"/>
        </w:rPr>
        <w:t>Η επίδραση της νεφρικής δυσλειτουργίας ως προς τη διάθεση της οξαλιπλατίνης μελετήθηκε σε ασθενείς με διαφόρων βαθμών νεφρική λειτουργία. Η οξαλιπλατίνη χορηγήθηκε σε δόση των 85</w:t>
      </w:r>
      <w:r w:rsidR="007B675C" w:rsidRPr="001513F9">
        <w:rPr>
          <w:szCs w:val="22"/>
        </w:rPr>
        <w:t> </w:t>
      </w:r>
      <w:r w:rsidRPr="001513F9">
        <w:rPr>
          <w:szCs w:val="22"/>
        </w:rPr>
        <w:t>mg/m</w:t>
      </w:r>
      <w:r w:rsidRPr="001513F9">
        <w:rPr>
          <w:szCs w:val="22"/>
          <w:vertAlign w:val="superscript"/>
        </w:rPr>
        <w:t>2</w:t>
      </w:r>
      <w:r w:rsidRPr="001513F9">
        <w:rPr>
          <w:szCs w:val="22"/>
        </w:rPr>
        <w:t xml:space="preserve"> στην ομάδα ελέγχου με φυσιολογική νεφρική λειτουργία (κάθαρση κρεατινίνης &gt; 80</w:t>
      </w:r>
      <w:r w:rsidR="007B675C" w:rsidRPr="001513F9">
        <w:rPr>
          <w:szCs w:val="22"/>
        </w:rPr>
        <w:t> </w:t>
      </w:r>
      <w:r w:rsidRPr="001513F9">
        <w:rPr>
          <w:szCs w:val="22"/>
        </w:rPr>
        <w:t xml:space="preserve">ml/min, n=12), καθώς και σε ασθενείς με </w:t>
      </w:r>
      <w:r w:rsidRPr="00C06019">
        <w:rPr>
          <w:szCs w:val="22"/>
        </w:rPr>
        <w:t xml:space="preserve">ήπια </w:t>
      </w:r>
      <w:r w:rsidRPr="000B008B">
        <w:rPr>
          <w:rFonts w:eastAsia="MS Mincho"/>
          <w:color w:val="333333"/>
          <w:szCs w:val="22"/>
          <w:lang w:eastAsia="ja-JP"/>
        </w:rPr>
        <w:t>(κάθαρση κρεατινίνης = 50-80 ml/min, n= 13) και μέτρια (κάθαρση κρεατινίνης = 30-49 ml/min, n=11)</w:t>
      </w:r>
      <w:r w:rsidRPr="001513F9">
        <w:rPr>
          <w:rFonts w:eastAsia="MS Mincho"/>
          <w:color w:val="333333"/>
          <w:sz w:val="17"/>
          <w:szCs w:val="17"/>
          <w:lang w:eastAsia="ja-JP"/>
        </w:rPr>
        <w:t xml:space="preserve"> </w:t>
      </w:r>
      <w:r w:rsidRPr="00C06019">
        <w:rPr>
          <w:rFonts w:eastAsia="MS Mincho"/>
          <w:color w:val="333333"/>
          <w:szCs w:val="22"/>
          <w:lang w:eastAsia="ja-JP"/>
        </w:rPr>
        <w:t>νεφρική δυσλειτουργία και σε δόση των 65</w:t>
      </w:r>
      <w:r w:rsidR="007B675C" w:rsidRPr="000B008B">
        <w:rPr>
          <w:rFonts w:eastAsia="MS Mincho"/>
          <w:color w:val="333333"/>
          <w:szCs w:val="22"/>
          <w:lang w:eastAsia="ja-JP"/>
        </w:rPr>
        <w:t> </w:t>
      </w:r>
      <w:r w:rsidRPr="001513F9">
        <w:rPr>
          <w:rFonts w:eastAsia="MS Mincho"/>
          <w:color w:val="333333"/>
          <w:szCs w:val="22"/>
          <w:lang w:eastAsia="ja-JP"/>
        </w:rPr>
        <w:t>mg/m</w:t>
      </w:r>
      <w:r w:rsidRPr="001513F9">
        <w:rPr>
          <w:rFonts w:eastAsia="MS Mincho"/>
          <w:color w:val="333333"/>
          <w:szCs w:val="22"/>
          <w:vertAlign w:val="superscript"/>
          <w:lang w:eastAsia="ja-JP"/>
        </w:rPr>
        <w:t>2</w:t>
      </w:r>
      <w:r w:rsidRPr="001513F9">
        <w:rPr>
          <w:rFonts w:eastAsia="MS Mincho"/>
          <w:color w:val="333333"/>
          <w:szCs w:val="22"/>
          <w:lang w:eastAsia="ja-JP"/>
        </w:rPr>
        <w:t xml:space="preserve"> σε ασθενείς με σοβαρή νεφρική δυσλειτουργία (κάθαρση κρεατινίνης &lt; 30 ml/min, n=5). Η διάμεση έκθεση ήταν 9, 4, 6 και 3 κύκλοι, αντίστοιχα, ενώ τα δεδομένα φαρμακοκινητικής στον κύκλο 1 έχουν ληφθεί από 11, 13, 10 και 4 ασθενείς, αντίστοιχα.</w:t>
      </w:r>
      <w:r w:rsidRPr="001513F9">
        <w:rPr>
          <w:szCs w:val="22"/>
        </w:rPr>
        <w:br/>
      </w:r>
    </w:p>
    <w:p w:rsidR="007A52EE" w:rsidRPr="001513F9" w:rsidRDefault="007A52EE" w:rsidP="007A52EE">
      <w:pPr>
        <w:rPr>
          <w:szCs w:val="22"/>
        </w:rPr>
      </w:pPr>
      <w:r w:rsidRPr="001513F9">
        <w:rPr>
          <w:rFonts w:eastAsia="MS Mincho"/>
          <w:color w:val="333333"/>
          <w:szCs w:val="22"/>
          <w:lang w:eastAsia="ja-JP"/>
        </w:rPr>
        <w:t>Υπήρξε μια αύξηση  στην AUC</w:t>
      </w:r>
      <w:r w:rsidR="00380FFD" w:rsidRPr="00380FFD">
        <w:rPr>
          <w:rFonts w:eastAsia="MS Mincho"/>
          <w:color w:val="333333"/>
          <w:szCs w:val="22"/>
          <w:lang w:eastAsia="ja-JP"/>
        </w:rPr>
        <w:t xml:space="preserve"> </w:t>
      </w:r>
      <w:r w:rsidR="00380FFD" w:rsidRPr="005262FD">
        <w:rPr>
          <w:rFonts w:eastAsia="MS Mincho"/>
          <w:color w:val="333333"/>
          <w:szCs w:val="22"/>
          <w:lang w:eastAsia="ja-JP"/>
        </w:rPr>
        <w:t>το</w:t>
      </w:r>
      <w:r w:rsidR="00380FFD">
        <w:rPr>
          <w:rFonts w:eastAsia="MS Mincho"/>
          <w:color w:val="333333"/>
          <w:szCs w:val="22"/>
          <w:lang w:eastAsia="ja-JP"/>
        </w:rPr>
        <w:t>υ</w:t>
      </w:r>
      <w:r w:rsidR="00380FFD" w:rsidRPr="005262FD">
        <w:rPr>
          <w:rFonts w:eastAsia="MS Mincho"/>
          <w:color w:val="333333"/>
          <w:szCs w:val="22"/>
          <w:lang w:eastAsia="ja-JP"/>
        </w:rPr>
        <w:t xml:space="preserve"> </w:t>
      </w:r>
      <w:r w:rsidR="00380FFD">
        <w:rPr>
          <w:rFonts w:eastAsia="MS Mincho"/>
          <w:color w:val="333333"/>
          <w:szCs w:val="22"/>
          <w:lang w:eastAsia="ja-JP"/>
        </w:rPr>
        <w:t>λευκοχρύσου του υπερδιηθήματος</w:t>
      </w:r>
      <w:r w:rsidR="00380FFD" w:rsidRPr="005262FD">
        <w:rPr>
          <w:rFonts w:eastAsia="MS Mincho"/>
          <w:color w:val="333333"/>
          <w:szCs w:val="22"/>
          <w:lang w:eastAsia="ja-JP"/>
        </w:rPr>
        <w:t xml:space="preserve"> πλάσμα</w:t>
      </w:r>
      <w:r w:rsidR="00380FFD">
        <w:rPr>
          <w:rFonts w:eastAsia="MS Mincho"/>
          <w:color w:val="333333"/>
          <w:szCs w:val="22"/>
          <w:lang w:eastAsia="ja-JP"/>
        </w:rPr>
        <w:t>τος</w:t>
      </w:r>
      <w:r w:rsidR="00380FFD" w:rsidRPr="005262FD">
        <w:rPr>
          <w:rFonts w:eastAsia="MS Mincho"/>
          <w:color w:val="333333"/>
          <w:szCs w:val="22"/>
          <w:lang w:eastAsia="ja-JP"/>
        </w:rPr>
        <w:t xml:space="preserve"> (PUF)</w:t>
      </w:r>
      <w:r w:rsidRPr="000B008B">
        <w:rPr>
          <w:rFonts w:eastAsia="MS Mincho"/>
          <w:color w:val="333333"/>
          <w:szCs w:val="22"/>
          <w:lang w:eastAsia="ja-JP"/>
        </w:rPr>
        <w:t>, στην AUC/ δόση και μια μείωση της ολικής και της νεφρικής κάθαρσης και της Vss όσο αυξανόταν η νεφρική δυσλειτουργία, ειδικά στη (μικρή) ομάδα των ασθενών με σοβαρή νεφ</w:t>
      </w:r>
      <w:r w:rsidRPr="001513F9">
        <w:rPr>
          <w:rFonts w:eastAsia="MS Mincho"/>
          <w:color w:val="333333"/>
          <w:szCs w:val="22"/>
          <w:lang w:eastAsia="ja-JP"/>
        </w:rPr>
        <w:t xml:space="preserve">ρική δυσλειτουργία: </w:t>
      </w:r>
      <w:r w:rsidR="00E90DF8">
        <w:rPr>
          <w:rFonts w:eastAsia="MS Mincho"/>
          <w:color w:val="333333"/>
          <w:szCs w:val="22"/>
          <w:lang w:eastAsia="ja-JP"/>
        </w:rPr>
        <w:t>οι</w:t>
      </w:r>
      <w:r w:rsidRPr="001513F9">
        <w:rPr>
          <w:rFonts w:eastAsia="MS Mincho"/>
          <w:color w:val="333333"/>
          <w:szCs w:val="22"/>
          <w:lang w:eastAsia="ja-JP"/>
        </w:rPr>
        <w:t xml:space="preserve"> </w:t>
      </w:r>
      <w:r w:rsidR="00736FE9" w:rsidRPr="00261227">
        <w:rPr>
          <w:rFonts w:eastAsia="MS Mincho"/>
          <w:color w:val="333333"/>
          <w:szCs w:val="22"/>
          <w:lang w:eastAsia="ja-JP"/>
        </w:rPr>
        <w:t>σημε</w:t>
      </w:r>
      <w:r w:rsidR="00736FE9">
        <w:rPr>
          <w:rFonts w:eastAsia="MS Mincho"/>
          <w:color w:val="333333"/>
          <w:szCs w:val="22"/>
          <w:lang w:eastAsia="ja-JP"/>
        </w:rPr>
        <w:t>ιακ</w:t>
      </w:r>
      <w:r w:rsidR="00E90DF8">
        <w:rPr>
          <w:rFonts w:eastAsia="MS Mincho"/>
          <w:color w:val="333333"/>
          <w:szCs w:val="22"/>
          <w:lang w:eastAsia="ja-JP"/>
        </w:rPr>
        <w:t>ές</w:t>
      </w:r>
      <w:r w:rsidR="00736FE9" w:rsidRPr="001513F9">
        <w:rPr>
          <w:rFonts w:eastAsia="MS Mincho"/>
          <w:color w:val="333333"/>
          <w:szCs w:val="22"/>
          <w:lang w:eastAsia="ja-JP"/>
        </w:rPr>
        <w:t xml:space="preserve"> </w:t>
      </w:r>
      <w:r w:rsidRPr="001513F9">
        <w:rPr>
          <w:rFonts w:eastAsia="MS Mincho"/>
          <w:color w:val="333333"/>
          <w:szCs w:val="22"/>
          <w:lang w:eastAsia="ja-JP"/>
        </w:rPr>
        <w:t>εκτ</w:t>
      </w:r>
      <w:r w:rsidR="00E90DF8">
        <w:rPr>
          <w:rFonts w:eastAsia="MS Mincho"/>
          <w:color w:val="333333"/>
          <w:szCs w:val="22"/>
          <w:lang w:eastAsia="ja-JP"/>
        </w:rPr>
        <w:t>ι</w:t>
      </w:r>
      <w:r w:rsidRPr="001513F9">
        <w:rPr>
          <w:rFonts w:eastAsia="MS Mincho"/>
          <w:color w:val="333333"/>
          <w:szCs w:val="22"/>
          <w:lang w:eastAsia="ja-JP"/>
        </w:rPr>
        <w:t>μ</w:t>
      </w:r>
      <w:r w:rsidR="00E90DF8">
        <w:rPr>
          <w:rFonts w:eastAsia="MS Mincho"/>
          <w:color w:val="333333"/>
          <w:szCs w:val="22"/>
          <w:lang w:eastAsia="ja-JP"/>
        </w:rPr>
        <w:t>ή</w:t>
      </w:r>
      <w:r w:rsidRPr="001513F9">
        <w:rPr>
          <w:rFonts w:eastAsia="MS Mincho"/>
          <w:color w:val="333333"/>
          <w:szCs w:val="22"/>
          <w:lang w:eastAsia="ja-JP"/>
        </w:rPr>
        <w:t>σ</w:t>
      </w:r>
      <w:r w:rsidR="00E90DF8">
        <w:rPr>
          <w:rFonts w:eastAsia="MS Mincho"/>
          <w:color w:val="333333"/>
          <w:szCs w:val="22"/>
          <w:lang w:eastAsia="ja-JP"/>
        </w:rPr>
        <w:t>εις</w:t>
      </w:r>
      <w:r w:rsidRPr="001513F9">
        <w:rPr>
          <w:rFonts w:eastAsia="MS Mincho"/>
          <w:color w:val="333333"/>
          <w:szCs w:val="22"/>
          <w:lang w:eastAsia="ja-JP"/>
        </w:rPr>
        <w:t xml:space="preserve"> (90% CI ) τ</w:t>
      </w:r>
      <w:r w:rsidR="00E90DF8">
        <w:rPr>
          <w:rFonts w:eastAsia="MS Mincho"/>
          <w:color w:val="333333"/>
          <w:szCs w:val="22"/>
          <w:lang w:eastAsia="ja-JP"/>
        </w:rPr>
        <w:t>ων</w:t>
      </w:r>
      <w:r w:rsidRPr="001513F9">
        <w:rPr>
          <w:rFonts w:eastAsia="MS Mincho"/>
          <w:color w:val="333333"/>
          <w:szCs w:val="22"/>
          <w:lang w:eastAsia="ja-JP"/>
        </w:rPr>
        <w:t xml:space="preserve"> υπολογισθ</w:t>
      </w:r>
      <w:r w:rsidR="00E90DF8">
        <w:rPr>
          <w:rFonts w:eastAsia="MS Mincho"/>
          <w:color w:val="333333"/>
          <w:szCs w:val="22"/>
          <w:lang w:eastAsia="ja-JP"/>
        </w:rPr>
        <w:t>έντων</w:t>
      </w:r>
      <w:r w:rsidRPr="00E90DF8">
        <w:rPr>
          <w:rFonts w:eastAsia="MS Mincho"/>
          <w:color w:val="333333"/>
          <w:szCs w:val="22"/>
          <w:lang w:eastAsia="ja-JP"/>
        </w:rPr>
        <w:t xml:space="preserve"> μέσ</w:t>
      </w:r>
      <w:r w:rsidR="00E90DF8">
        <w:rPr>
          <w:rFonts w:eastAsia="MS Mincho"/>
          <w:color w:val="333333"/>
          <w:szCs w:val="22"/>
          <w:lang w:eastAsia="ja-JP"/>
        </w:rPr>
        <w:t>ων</w:t>
      </w:r>
      <w:r w:rsidRPr="001513F9">
        <w:rPr>
          <w:rFonts w:eastAsia="MS Mincho"/>
          <w:color w:val="333333"/>
          <w:szCs w:val="22"/>
          <w:lang w:eastAsia="ja-JP"/>
        </w:rPr>
        <w:t xml:space="preserve"> αναλογ</w:t>
      </w:r>
      <w:r w:rsidR="00E90DF8">
        <w:rPr>
          <w:rFonts w:eastAsia="MS Mincho"/>
          <w:color w:val="333333"/>
          <w:szCs w:val="22"/>
          <w:lang w:eastAsia="ja-JP"/>
        </w:rPr>
        <w:t xml:space="preserve">ιών </w:t>
      </w:r>
      <w:r w:rsidR="00E90DF8" w:rsidRPr="00F56599">
        <w:rPr>
          <w:rFonts w:eastAsia="MS Mincho"/>
          <w:color w:val="333333"/>
          <w:szCs w:val="22"/>
          <w:lang w:eastAsia="ja-JP"/>
        </w:rPr>
        <w:t xml:space="preserve">AUC/δόση </w:t>
      </w:r>
      <w:r w:rsidR="00E90DF8" w:rsidRPr="0080599D">
        <w:rPr>
          <w:rFonts w:eastAsia="MS Mincho"/>
          <w:color w:val="333333"/>
          <w:szCs w:val="22"/>
          <w:lang w:eastAsia="ja-JP"/>
        </w:rPr>
        <w:t>έναντι φυσιολογικής νεφρικής λειτουργίας</w:t>
      </w:r>
      <w:r w:rsidR="00E90DF8">
        <w:rPr>
          <w:rFonts w:eastAsia="MS Mincho"/>
          <w:color w:val="333333"/>
          <w:szCs w:val="22"/>
          <w:lang w:eastAsia="ja-JP"/>
        </w:rPr>
        <w:t xml:space="preserve"> ανά</w:t>
      </w:r>
      <w:r w:rsidRPr="001513F9">
        <w:rPr>
          <w:rFonts w:eastAsia="MS Mincho"/>
          <w:color w:val="333333"/>
          <w:szCs w:val="22"/>
          <w:lang w:eastAsia="ja-JP"/>
        </w:rPr>
        <w:t xml:space="preserve">  νεφρική κατάσταση ήταν 1,36 (1,08, 1,71), 2,34 (1,82, 3.01) και 4,81 (3,49, 6,64) για τους ασθενείς με ήπια</w:t>
      </w:r>
      <w:r w:rsidR="009A4BE4">
        <w:rPr>
          <w:rFonts w:eastAsia="MS Mincho"/>
          <w:color w:val="333333"/>
          <w:szCs w:val="22"/>
          <w:lang w:eastAsia="ja-JP"/>
        </w:rPr>
        <w:t xml:space="preserve">, </w:t>
      </w:r>
      <w:r w:rsidRPr="001513F9">
        <w:rPr>
          <w:rFonts w:eastAsia="MS Mincho"/>
          <w:color w:val="333333"/>
          <w:szCs w:val="22"/>
          <w:lang w:eastAsia="ja-JP"/>
        </w:rPr>
        <w:t>μέτρια και σοβαρή νεφρική ανεπάρκεια, αντίστοιχα.</w:t>
      </w:r>
      <w:r w:rsidRPr="001513F9">
        <w:rPr>
          <w:rFonts w:eastAsia="MS Mincho"/>
          <w:color w:val="333333"/>
          <w:szCs w:val="22"/>
          <w:lang w:eastAsia="ja-JP"/>
        </w:rPr>
        <w:br/>
      </w:r>
    </w:p>
    <w:p w:rsidR="007A52EE" w:rsidRPr="000B008B" w:rsidRDefault="007A52EE" w:rsidP="007A52EE">
      <w:pPr>
        <w:rPr>
          <w:szCs w:val="22"/>
        </w:rPr>
      </w:pPr>
      <w:r w:rsidRPr="001513F9">
        <w:rPr>
          <w:rFonts w:eastAsia="MS Mincho"/>
          <w:color w:val="333333"/>
          <w:szCs w:val="22"/>
          <w:lang w:eastAsia="ja-JP"/>
        </w:rPr>
        <w:t xml:space="preserve">Η αποβολή της οξαλιπλατίνης σχετίζεται σημαντικά με την κάθαρση κρεατινίνης. Η ολική κάθαρση του </w:t>
      </w:r>
      <w:r w:rsidR="00380FFD">
        <w:rPr>
          <w:rFonts w:eastAsia="MS Mincho"/>
          <w:color w:val="333333"/>
          <w:szCs w:val="22"/>
          <w:lang w:eastAsia="ja-JP"/>
        </w:rPr>
        <w:t xml:space="preserve">λευκοχρύσου του </w:t>
      </w:r>
      <w:r w:rsidRPr="000B008B">
        <w:rPr>
          <w:rFonts w:eastAsia="MS Mincho"/>
          <w:color w:val="333333"/>
          <w:szCs w:val="22"/>
          <w:lang w:eastAsia="ja-JP"/>
        </w:rPr>
        <w:t>υπερδιηθ</w:t>
      </w:r>
      <w:r w:rsidR="00380FFD">
        <w:rPr>
          <w:rFonts w:eastAsia="MS Mincho"/>
          <w:color w:val="333333"/>
          <w:szCs w:val="22"/>
          <w:lang w:eastAsia="ja-JP"/>
        </w:rPr>
        <w:t>ήματος</w:t>
      </w:r>
      <w:r w:rsidRPr="000B008B">
        <w:rPr>
          <w:rFonts w:eastAsia="MS Mincho"/>
          <w:color w:val="333333"/>
          <w:szCs w:val="22"/>
          <w:lang w:eastAsia="ja-JP"/>
        </w:rPr>
        <w:t xml:space="preserve"> πλάσματος (PUF) </w:t>
      </w:r>
      <w:r w:rsidRPr="001513F9">
        <w:rPr>
          <w:rFonts w:eastAsia="MS Mincho"/>
          <w:color w:val="333333"/>
          <w:szCs w:val="22"/>
          <w:lang w:eastAsia="ja-JP"/>
        </w:rPr>
        <w:t xml:space="preserve"> ήταν, αντίστοιχα, 0,74 (0,59, 0,92), 0,43 (0,33, 0,55) και 0,21 (0,15, 0,29) και για τη Vss, αντίστοιχα 0,52 (0,41, 0,65), 0,73 (0,59, 0,91) και 0,27 (0,20, 0,36) για τους ασθενείς με ήπια, μέτρια και σοβαρή νεφρική ανεπάρκεια, αντίστοιχα. Η ολική κάθαρση το</w:t>
      </w:r>
      <w:r w:rsidR="00380FFD">
        <w:rPr>
          <w:rFonts w:eastAsia="MS Mincho"/>
          <w:color w:val="333333"/>
          <w:szCs w:val="22"/>
          <w:lang w:eastAsia="ja-JP"/>
        </w:rPr>
        <w:t>υ λευκοχρύσου</w:t>
      </w:r>
      <w:r w:rsidRPr="000B008B">
        <w:rPr>
          <w:rFonts w:eastAsia="MS Mincho"/>
          <w:color w:val="333333"/>
          <w:szCs w:val="22"/>
          <w:lang w:eastAsia="ja-JP"/>
        </w:rPr>
        <w:t xml:space="preserve"> υπερδιηθ</w:t>
      </w:r>
      <w:r w:rsidR="00380FFD">
        <w:rPr>
          <w:rFonts w:eastAsia="MS Mincho"/>
          <w:color w:val="333333"/>
          <w:szCs w:val="22"/>
          <w:lang w:eastAsia="ja-JP"/>
        </w:rPr>
        <w:t>ήματος</w:t>
      </w:r>
      <w:r w:rsidRPr="000B008B">
        <w:rPr>
          <w:rFonts w:eastAsia="MS Mincho"/>
          <w:color w:val="333333"/>
          <w:szCs w:val="22"/>
          <w:lang w:eastAsia="ja-JP"/>
        </w:rPr>
        <w:t xml:space="preserve"> πλάσμα</w:t>
      </w:r>
      <w:r w:rsidR="00380FFD">
        <w:rPr>
          <w:rFonts w:eastAsia="MS Mincho"/>
          <w:color w:val="333333"/>
          <w:szCs w:val="22"/>
          <w:lang w:eastAsia="ja-JP"/>
        </w:rPr>
        <w:t>τος</w:t>
      </w:r>
      <w:r w:rsidRPr="000B008B">
        <w:rPr>
          <w:rFonts w:eastAsia="MS Mincho"/>
          <w:color w:val="333333"/>
          <w:szCs w:val="22"/>
          <w:lang w:eastAsia="ja-JP"/>
        </w:rPr>
        <w:t xml:space="preserve"> (PUF) </w:t>
      </w:r>
      <w:r w:rsidRPr="001513F9">
        <w:rPr>
          <w:rFonts w:eastAsia="MS Mincho"/>
          <w:color w:val="333333"/>
          <w:szCs w:val="22"/>
          <w:lang w:eastAsia="ja-JP"/>
        </w:rPr>
        <w:t xml:space="preserve"> συνεπώς μειώθηκε αντίστοιχα </w:t>
      </w:r>
      <w:r w:rsidRPr="001513F9">
        <w:rPr>
          <w:rFonts w:eastAsia="MS Mincho"/>
          <w:color w:val="333333"/>
          <w:szCs w:val="22"/>
          <w:lang w:eastAsia="ja-JP"/>
        </w:rPr>
        <w:lastRenderedPageBreak/>
        <w:t>κατά 26% σε ήπια, 57% σε μέτρια και 79% σε σοβαρή νεφρική δυσλειτουργία σε σύγκριση με ασθενείς με φυσιολογική</w:t>
      </w:r>
      <w:r w:rsidRPr="001513F9">
        <w:rPr>
          <w:rFonts w:eastAsia="MS Mincho"/>
          <w:color w:val="333333"/>
          <w:sz w:val="17"/>
          <w:szCs w:val="17"/>
          <w:lang w:eastAsia="ja-JP"/>
        </w:rPr>
        <w:t xml:space="preserve"> </w:t>
      </w:r>
      <w:r w:rsidRPr="00C06019">
        <w:rPr>
          <w:rFonts w:eastAsia="MS Mincho"/>
          <w:color w:val="333333"/>
          <w:szCs w:val="22"/>
          <w:lang w:eastAsia="ja-JP"/>
        </w:rPr>
        <w:t>λειτουργία.</w:t>
      </w:r>
      <w:r w:rsidRPr="00C06019">
        <w:rPr>
          <w:rFonts w:eastAsia="MS Mincho"/>
          <w:color w:val="333333"/>
          <w:szCs w:val="22"/>
          <w:lang w:eastAsia="ja-JP"/>
        </w:rPr>
        <w:br/>
      </w:r>
    </w:p>
    <w:p w:rsidR="007A52EE" w:rsidRPr="001513F9" w:rsidRDefault="007A52EE" w:rsidP="007A52EE">
      <w:pPr>
        <w:rPr>
          <w:rFonts w:eastAsia="MS Mincho"/>
          <w:color w:val="333333"/>
          <w:szCs w:val="22"/>
          <w:lang w:eastAsia="ja-JP"/>
        </w:rPr>
      </w:pPr>
      <w:r w:rsidRPr="001513F9">
        <w:rPr>
          <w:rFonts w:eastAsia="MS Mincho"/>
          <w:color w:val="333333"/>
          <w:szCs w:val="22"/>
          <w:lang w:eastAsia="ja-JP"/>
        </w:rPr>
        <w:t xml:space="preserve">Η νεφρική κάθαρση </w:t>
      </w:r>
      <w:r w:rsidR="00163153" w:rsidRPr="001513F9">
        <w:rPr>
          <w:rFonts w:eastAsia="MS Mincho"/>
          <w:color w:val="333333"/>
          <w:szCs w:val="22"/>
          <w:lang w:eastAsia="ja-JP"/>
        </w:rPr>
        <w:t>τ</w:t>
      </w:r>
      <w:r w:rsidR="00163153">
        <w:rPr>
          <w:rFonts w:eastAsia="MS Mincho"/>
          <w:color w:val="333333"/>
          <w:szCs w:val="22"/>
          <w:lang w:eastAsia="ja-JP"/>
        </w:rPr>
        <w:t>ου</w:t>
      </w:r>
      <w:r w:rsidR="00163153" w:rsidRPr="000B008B">
        <w:rPr>
          <w:rFonts w:eastAsia="MS Mincho"/>
          <w:color w:val="333333"/>
          <w:szCs w:val="22"/>
          <w:lang w:eastAsia="ja-JP"/>
        </w:rPr>
        <w:t xml:space="preserve"> </w:t>
      </w:r>
      <w:r w:rsidR="00E64170">
        <w:rPr>
          <w:rFonts w:eastAsia="MS Mincho"/>
          <w:color w:val="333333"/>
          <w:szCs w:val="22"/>
          <w:lang w:eastAsia="ja-JP"/>
        </w:rPr>
        <w:t>λευκοχρύσου</w:t>
      </w:r>
      <w:r w:rsidRPr="000B008B">
        <w:rPr>
          <w:rFonts w:eastAsia="MS Mincho"/>
          <w:color w:val="333333"/>
          <w:szCs w:val="22"/>
          <w:lang w:eastAsia="ja-JP"/>
        </w:rPr>
        <w:t xml:space="preserve"> PUF ήταν</w:t>
      </w:r>
      <w:r w:rsidRPr="001513F9">
        <w:rPr>
          <w:rFonts w:eastAsia="MS Mincho"/>
          <w:color w:val="333333"/>
          <w:szCs w:val="22"/>
          <w:lang w:eastAsia="ja-JP"/>
        </w:rPr>
        <w:t xml:space="preserve"> μειωμένη σε ασθενείς με διαταραχή της νεφρικής λειτουργίας κατά 30% σε ήπια, 65% σε μέτρια και 84% σε σοβαρή νεφρική δυσλειτουργία σε σύγκριση με ασθενείς με φυσιολογική λειτουργία.</w:t>
      </w:r>
      <w:r w:rsidRPr="001513F9">
        <w:rPr>
          <w:rFonts w:eastAsia="MS Mincho"/>
          <w:color w:val="333333"/>
          <w:szCs w:val="22"/>
          <w:lang w:eastAsia="ja-JP"/>
        </w:rPr>
        <w:br/>
      </w:r>
      <w:r w:rsidRPr="001513F9">
        <w:rPr>
          <w:rFonts w:eastAsia="MS Mincho"/>
          <w:color w:val="333333"/>
          <w:szCs w:val="22"/>
          <w:lang w:eastAsia="ja-JP"/>
        </w:rPr>
        <w:br/>
        <w:t>Σημειώθηκε αύξηση στο βήτα χρόνο ημίσειας ζωής τ</w:t>
      </w:r>
      <w:r w:rsidR="00163153">
        <w:rPr>
          <w:rFonts w:eastAsia="MS Mincho"/>
          <w:color w:val="333333"/>
          <w:szCs w:val="22"/>
          <w:lang w:eastAsia="ja-JP"/>
        </w:rPr>
        <w:t xml:space="preserve">ου </w:t>
      </w:r>
      <w:r w:rsidR="00662B85" w:rsidRPr="001513F9">
        <w:rPr>
          <w:rFonts w:eastAsia="MS Mincho"/>
          <w:color w:val="333333"/>
          <w:szCs w:val="22"/>
          <w:lang w:eastAsia="ja-JP"/>
        </w:rPr>
        <w:t>λευκ</w:t>
      </w:r>
      <w:r w:rsidR="00163153">
        <w:rPr>
          <w:rFonts w:eastAsia="MS Mincho"/>
          <w:color w:val="333333"/>
          <w:szCs w:val="22"/>
          <w:lang w:eastAsia="ja-JP"/>
        </w:rPr>
        <w:t>ο</w:t>
      </w:r>
      <w:r w:rsidR="00662B85" w:rsidRPr="000B008B">
        <w:rPr>
          <w:rFonts w:eastAsia="MS Mincho"/>
          <w:color w:val="333333"/>
          <w:szCs w:val="22"/>
          <w:lang w:eastAsia="ja-JP"/>
        </w:rPr>
        <w:t>χρ</w:t>
      </w:r>
      <w:r w:rsidR="00163153">
        <w:rPr>
          <w:rFonts w:eastAsia="MS Mincho"/>
          <w:color w:val="333333"/>
          <w:szCs w:val="22"/>
          <w:lang w:eastAsia="ja-JP"/>
        </w:rPr>
        <w:t>ύ</w:t>
      </w:r>
      <w:r w:rsidR="00662B85" w:rsidRPr="000B008B">
        <w:rPr>
          <w:rFonts w:eastAsia="MS Mincho"/>
          <w:color w:val="333333"/>
          <w:szCs w:val="22"/>
          <w:lang w:eastAsia="ja-JP"/>
        </w:rPr>
        <w:t>σο</w:t>
      </w:r>
      <w:r w:rsidR="00163153">
        <w:rPr>
          <w:rFonts w:eastAsia="MS Mincho"/>
          <w:color w:val="333333"/>
          <w:szCs w:val="22"/>
          <w:lang w:eastAsia="ja-JP"/>
        </w:rPr>
        <w:t>υ</w:t>
      </w:r>
      <w:r w:rsidRPr="000B008B">
        <w:rPr>
          <w:rFonts w:eastAsia="MS Mincho"/>
          <w:color w:val="333333"/>
          <w:szCs w:val="22"/>
          <w:lang w:eastAsia="ja-JP"/>
        </w:rPr>
        <w:t xml:space="preserve"> PUF με την αύξηση του βαθμού νεφρικής ανεπάρκειας, κυρίως </w:t>
      </w:r>
      <w:r w:rsidR="00E90DF8">
        <w:rPr>
          <w:rFonts w:eastAsia="MS Mincho"/>
          <w:color w:val="333333"/>
          <w:szCs w:val="22"/>
          <w:lang w:eastAsia="ja-JP"/>
        </w:rPr>
        <w:t>σ</w:t>
      </w:r>
      <w:r w:rsidRPr="000B008B">
        <w:rPr>
          <w:rFonts w:eastAsia="MS Mincho"/>
          <w:color w:val="333333"/>
          <w:szCs w:val="22"/>
          <w:lang w:eastAsia="ja-JP"/>
        </w:rPr>
        <w:t>τη</w:t>
      </w:r>
      <w:r w:rsidR="00163153">
        <w:rPr>
          <w:rFonts w:eastAsia="MS Mincho"/>
          <w:color w:val="333333"/>
          <w:szCs w:val="22"/>
          <w:lang w:eastAsia="ja-JP"/>
        </w:rPr>
        <w:t>ν</w:t>
      </w:r>
      <w:r w:rsidRPr="000B008B">
        <w:rPr>
          <w:rFonts w:eastAsia="MS Mincho"/>
          <w:color w:val="333333"/>
          <w:szCs w:val="22"/>
          <w:lang w:eastAsia="ja-JP"/>
        </w:rPr>
        <w:t xml:space="preserve"> </w:t>
      </w:r>
      <w:r w:rsidR="00163153" w:rsidRPr="00A82826">
        <w:rPr>
          <w:rFonts w:eastAsia="MS Mincho"/>
          <w:color w:val="333333"/>
          <w:szCs w:val="22"/>
          <w:lang w:eastAsia="ja-JP"/>
        </w:rPr>
        <w:t>ομάδα</w:t>
      </w:r>
      <w:r w:rsidR="00163153" w:rsidRPr="000B008B">
        <w:rPr>
          <w:rFonts w:eastAsia="MS Mincho"/>
          <w:color w:val="333333"/>
          <w:szCs w:val="22"/>
          <w:lang w:eastAsia="ja-JP"/>
        </w:rPr>
        <w:t xml:space="preserve"> </w:t>
      </w:r>
      <w:r w:rsidRPr="001513F9">
        <w:rPr>
          <w:rFonts w:eastAsia="MS Mincho"/>
          <w:color w:val="333333"/>
          <w:szCs w:val="22"/>
          <w:lang w:eastAsia="ja-JP"/>
        </w:rPr>
        <w:t xml:space="preserve">σοβαρού </w:t>
      </w:r>
      <w:r w:rsidR="00163153">
        <w:rPr>
          <w:rFonts w:eastAsia="MS Mincho"/>
          <w:color w:val="333333"/>
          <w:szCs w:val="22"/>
          <w:lang w:eastAsia="ja-JP"/>
        </w:rPr>
        <w:t>β</w:t>
      </w:r>
      <w:r w:rsidR="00F10597" w:rsidRPr="000B008B">
        <w:rPr>
          <w:rFonts w:eastAsia="MS Mincho"/>
          <w:color w:val="333333"/>
          <w:szCs w:val="22"/>
          <w:lang w:eastAsia="ja-JP"/>
        </w:rPr>
        <w:t>αθμ</w:t>
      </w:r>
      <w:r w:rsidRPr="001513F9">
        <w:rPr>
          <w:rFonts w:eastAsia="MS Mincho"/>
          <w:color w:val="333333"/>
          <w:szCs w:val="22"/>
          <w:lang w:eastAsia="ja-JP"/>
        </w:rPr>
        <w:t xml:space="preserve">ού. Παρά το μικρό αριθμό ασθενών με σοβαρή νεφρική δυσλειτουργία, τα δεδομένα αυτά εγείρουν ανησυχία για τους ασθενείς με σοβαρή νεφρική ανεπάρκεια και πρέπει να λαμβάνονται υπόψη κατά τη συνταγογράφηση της οξαλιπλατίνης σε ασθενείς με νεφρική δυσλειτουργία (βλ. παραγράφους 4.2, 4.3 και 4.4). </w:t>
      </w:r>
    </w:p>
    <w:p w:rsidR="007364F9" w:rsidRPr="001513F9" w:rsidRDefault="007364F9" w:rsidP="007364F9">
      <w:pPr>
        <w:numPr>
          <w:ilvl w:val="12"/>
          <w:numId w:val="0"/>
        </w:numPr>
        <w:jc w:val="both"/>
        <w:rPr>
          <w:szCs w:val="22"/>
        </w:rPr>
      </w:pPr>
    </w:p>
    <w:p w:rsidR="007364F9" w:rsidRPr="001513F9" w:rsidRDefault="007364F9" w:rsidP="007364F9">
      <w:pPr>
        <w:rPr>
          <w:noProof/>
        </w:rPr>
      </w:pPr>
      <w:r w:rsidRPr="001513F9">
        <w:rPr>
          <w:b/>
          <w:noProof/>
        </w:rPr>
        <w:t>5.3</w:t>
      </w:r>
      <w:r w:rsidRPr="001513F9">
        <w:rPr>
          <w:b/>
          <w:noProof/>
        </w:rPr>
        <w:tab/>
        <w:t>Προκλινικά δεδομένα για την ασφάλεια</w:t>
      </w:r>
    </w:p>
    <w:p w:rsidR="007364F9" w:rsidRPr="001513F9" w:rsidRDefault="007364F9" w:rsidP="007364F9">
      <w:pPr>
        <w:rPr>
          <w:noProof/>
        </w:rPr>
      </w:pPr>
    </w:p>
    <w:p w:rsidR="007364F9" w:rsidRPr="001513F9" w:rsidRDefault="007364F9" w:rsidP="007364F9">
      <w:pPr>
        <w:numPr>
          <w:ilvl w:val="12"/>
          <w:numId w:val="0"/>
        </w:numPr>
        <w:jc w:val="both"/>
        <w:rPr>
          <w:szCs w:val="22"/>
        </w:rPr>
      </w:pPr>
      <w:r w:rsidRPr="001513F9">
        <w:rPr>
          <w:szCs w:val="22"/>
        </w:rPr>
        <w:t>Τα όργανα στόχος που αναγνωρίσθηκαν στις προκλινικές μελέτες (ποντίκια, αρουραίοι, σκύλοι ή/και πίθηκοι), σε μελέτες χορήγησης μ</w:t>
      </w:r>
      <w:r w:rsidR="007A52EE" w:rsidRPr="001513F9">
        <w:rPr>
          <w:szCs w:val="22"/>
        </w:rPr>
        <w:t>ί</w:t>
      </w:r>
      <w:r w:rsidRPr="001513F9">
        <w:rPr>
          <w:szCs w:val="22"/>
        </w:rPr>
        <w:t>ας και πολλαπλών δόσεων, συμπεριλάμβαναν το μυελό των οστών, το γαστρεντερικό σύστημα, τα νεφρά, τους όρχεις, το νευρικό σύστημα και την καρδιά. Οι περιπτώσεις τοξικότητας των οργάνων-στόχος που παρατηρήθηκαν στα ζώα εκτός της καρδιοτοξικότητας, συμφωνούν με εκείνες που παρατηρήθηκαν με άλλα φάρμακα που περιείχαν</w:t>
      </w:r>
      <w:r w:rsidR="00E90DF8">
        <w:rPr>
          <w:noProof/>
        </w:rPr>
        <w:t xml:space="preserve"> </w:t>
      </w:r>
      <w:r w:rsidR="00662B85" w:rsidRPr="001513F9">
        <w:rPr>
          <w:szCs w:val="22"/>
        </w:rPr>
        <w:t>λευκόχρυσο</w:t>
      </w:r>
      <w:r w:rsidR="00E90DF8">
        <w:rPr>
          <w:szCs w:val="22"/>
        </w:rPr>
        <w:t xml:space="preserve"> </w:t>
      </w:r>
      <w:r w:rsidRPr="001513F9">
        <w:rPr>
          <w:szCs w:val="22"/>
        </w:rPr>
        <w:t>καθώς και με κυτταρο</w:t>
      </w:r>
      <w:r w:rsidR="007D44C2" w:rsidRPr="001513F9">
        <w:rPr>
          <w:szCs w:val="22"/>
        </w:rPr>
        <w:t>τοξικά</w:t>
      </w:r>
      <w:r w:rsidRPr="001513F9">
        <w:rPr>
          <w:szCs w:val="22"/>
        </w:rPr>
        <w:t xml:space="preserve"> φάρμακα, που καταστρέφουν το </w:t>
      </w:r>
      <w:r w:rsidRPr="001513F9">
        <w:rPr>
          <w:szCs w:val="22"/>
          <w:lang w:val="en-GB"/>
        </w:rPr>
        <w:t>DNA</w:t>
      </w:r>
      <w:r w:rsidRPr="001513F9">
        <w:rPr>
          <w:szCs w:val="22"/>
        </w:rPr>
        <w:t>, και που χρησιμοποιούνται για τη θεραπεία δι</w:t>
      </w:r>
      <w:r w:rsidR="007A52EE" w:rsidRPr="001513F9">
        <w:rPr>
          <w:szCs w:val="22"/>
        </w:rPr>
        <w:t>αφόρων</w:t>
      </w:r>
      <w:r w:rsidRPr="001513F9">
        <w:rPr>
          <w:szCs w:val="22"/>
        </w:rPr>
        <w:t xml:space="preserve"> μορφών καρκίνου στον άνθρωπο. Επιπτώσεις στην καρδιά εμφανίσθηκαν μόνο στους σκύλους και περιελάμβαναν ηλεκτροφυσιολογικές διαταραχές με θανατηφόρα κο</w:t>
      </w:r>
      <w:r w:rsidR="007D44C2" w:rsidRPr="001513F9">
        <w:rPr>
          <w:szCs w:val="22"/>
        </w:rPr>
        <w:t>ιλιακ</w:t>
      </w:r>
      <w:r w:rsidRPr="001513F9">
        <w:rPr>
          <w:szCs w:val="22"/>
        </w:rPr>
        <w:t>ή μαρμαρυγή. Η καρδιοτοξικότητα θεωρείται ειδική στους σκύλους όχι μόνο γιατί παρατηρήθηκε μόνο σ’ αυτούς αλλά και επειδή δόσεις παρόμοιες με εκείνες που έδωσαν τη θανατηφόρα καρδιοτοξικότητα στους σκύλους (150</w:t>
      </w:r>
      <w:r w:rsidR="007D44C2" w:rsidRPr="001513F9">
        <w:rPr>
          <w:szCs w:val="22"/>
        </w:rPr>
        <w:t> </w:t>
      </w:r>
      <w:r w:rsidRPr="001513F9">
        <w:rPr>
          <w:szCs w:val="22"/>
          <w:lang w:val="en-GB"/>
        </w:rPr>
        <w:t>mg</w:t>
      </w:r>
      <w:r w:rsidRPr="001513F9">
        <w:rPr>
          <w:szCs w:val="22"/>
        </w:rPr>
        <w:t>/</w:t>
      </w:r>
      <w:r w:rsidRPr="001513F9">
        <w:rPr>
          <w:szCs w:val="22"/>
          <w:lang w:val="en-GB"/>
        </w:rPr>
        <w:t>m</w:t>
      </w:r>
      <w:r w:rsidRPr="001513F9">
        <w:rPr>
          <w:szCs w:val="22"/>
          <w:vertAlign w:val="superscript"/>
        </w:rPr>
        <w:t>2</w:t>
      </w:r>
      <w:r w:rsidRPr="001513F9">
        <w:rPr>
          <w:szCs w:val="22"/>
        </w:rPr>
        <w:t>) ήταν καλά ανεκτές από τους ανθρώπους. Προκλινικές μελέτες που χρησιμοποίησαν αισθητηριακούς νευρώνες επ</w:t>
      </w:r>
      <w:r w:rsidR="007A52EE" w:rsidRPr="001513F9">
        <w:rPr>
          <w:szCs w:val="22"/>
        </w:rPr>
        <w:t>ίμυων</w:t>
      </w:r>
      <w:r w:rsidRPr="001513F9">
        <w:rPr>
          <w:szCs w:val="22"/>
        </w:rPr>
        <w:t xml:space="preserve"> υποδηλώνουν ότι τα οξέα νευρ</w:t>
      </w:r>
      <w:r w:rsidR="00E90DF8">
        <w:rPr>
          <w:szCs w:val="22"/>
        </w:rPr>
        <w:t>ο</w:t>
      </w:r>
      <w:r w:rsidRPr="001513F9">
        <w:rPr>
          <w:szCs w:val="22"/>
        </w:rPr>
        <w:t xml:space="preserve">αισθητικά συμπτώματα που σχετίζονται με τη χορήγηση οξαλιπλατίνης ενδέχεται να ενέχονται σε μία αλληλεπίδραση με εξαρτώμενους από τη διαφορά δυναμικού διαύλους </w:t>
      </w:r>
      <w:r w:rsidRPr="001513F9">
        <w:rPr>
          <w:szCs w:val="22"/>
          <w:lang w:val="en-GB"/>
        </w:rPr>
        <w:t>Na</w:t>
      </w:r>
      <w:r w:rsidRPr="001513F9">
        <w:rPr>
          <w:szCs w:val="22"/>
          <w:vertAlign w:val="superscript"/>
        </w:rPr>
        <w:t>+</w:t>
      </w:r>
      <w:r w:rsidRPr="001513F9">
        <w:rPr>
          <w:szCs w:val="22"/>
        </w:rPr>
        <w:t xml:space="preserve">. </w:t>
      </w:r>
    </w:p>
    <w:p w:rsidR="007364F9" w:rsidRPr="001513F9" w:rsidRDefault="007364F9" w:rsidP="007364F9">
      <w:pPr>
        <w:numPr>
          <w:ilvl w:val="12"/>
          <w:numId w:val="0"/>
        </w:numPr>
        <w:ind w:left="60"/>
        <w:jc w:val="both"/>
        <w:rPr>
          <w:szCs w:val="22"/>
        </w:rPr>
      </w:pPr>
    </w:p>
    <w:p w:rsidR="007364F9" w:rsidRPr="001513F9" w:rsidRDefault="007364F9" w:rsidP="007364F9">
      <w:pPr>
        <w:jc w:val="both"/>
        <w:rPr>
          <w:szCs w:val="22"/>
          <w:lang w:eastAsia="fr-FR"/>
        </w:rPr>
      </w:pPr>
      <w:r w:rsidRPr="001513F9">
        <w:rPr>
          <w:szCs w:val="22"/>
        </w:rPr>
        <w:t xml:space="preserve">Η οξαλιπλατίνη ήταν μεταλλαξιογόνος και </w:t>
      </w:r>
      <w:r w:rsidR="007D44C2" w:rsidRPr="001513F9">
        <w:rPr>
          <w:szCs w:val="22"/>
        </w:rPr>
        <w:t xml:space="preserve">κλαστογόνος σε δοκιμασίες </w:t>
      </w:r>
      <w:r w:rsidRPr="001513F9">
        <w:rPr>
          <w:szCs w:val="22"/>
        </w:rPr>
        <w:t>κυττάρων των θηλαστικών και παρουσιάζει θανατηφόρα εμβρυοτοξικότητα σε αρουραίους. Η οξαλιπλατίνη θεωρείται πιθανόν καρκινογόνος, αν και σχετικές μελέτες δεν έχουν διεξαχθεί.</w:t>
      </w:r>
    </w:p>
    <w:p w:rsidR="007364F9" w:rsidRPr="001513F9" w:rsidRDefault="007364F9" w:rsidP="007364F9">
      <w:pPr>
        <w:rPr>
          <w:b/>
          <w:bCs/>
          <w:noProof/>
        </w:rPr>
      </w:pPr>
    </w:p>
    <w:p w:rsidR="007364F9" w:rsidRPr="001513F9" w:rsidRDefault="007364F9" w:rsidP="007364F9">
      <w:pPr>
        <w:pStyle w:val="a3"/>
        <w:tabs>
          <w:tab w:val="clear" w:pos="4153"/>
          <w:tab w:val="clear" w:pos="8306"/>
        </w:tabs>
        <w:rPr>
          <w:noProof/>
        </w:rPr>
      </w:pPr>
    </w:p>
    <w:p w:rsidR="007364F9" w:rsidRPr="001513F9" w:rsidRDefault="007364F9" w:rsidP="007364F9">
      <w:pPr>
        <w:rPr>
          <w:noProof/>
        </w:rPr>
      </w:pPr>
      <w:r w:rsidRPr="001513F9">
        <w:rPr>
          <w:b/>
          <w:noProof/>
        </w:rPr>
        <w:t>6.</w:t>
      </w:r>
      <w:r w:rsidRPr="001513F9">
        <w:rPr>
          <w:b/>
          <w:noProof/>
        </w:rPr>
        <w:tab/>
        <w:t>ΦΑΡΜΑΚΕΥΤΙΚΕΣ ΠΛΗΡΟΦΟΡΙΕΣ</w:t>
      </w:r>
    </w:p>
    <w:p w:rsidR="007364F9" w:rsidRPr="001513F9" w:rsidRDefault="007364F9" w:rsidP="007364F9">
      <w:pPr>
        <w:rPr>
          <w:noProof/>
        </w:rPr>
      </w:pPr>
    </w:p>
    <w:p w:rsidR="007364F9" w:rsidRPr="001513F9" w:rsidRDefault="007364F9" w:rsidP="007364F9">
      <w:pPr>
        <w:rPr>
          <w:noProof/>
        </w:rPr>
      </w:pPr>
      <w:r w:rsidRPr="001513F9">
        <w:rPr>
          <w:b/>
          <w:noProof/>
        </w:rPr>
        <w:t>6.1</w:t>
      </w:r>
      <w:r w:rsidRPr="001513F9">
        <w:rPr>
          <w:b/>
          <w:noProof/>
        </w:rPr>
        <w:tab/>
        <w:t>Κατάλογος εκδόχων</w:t>
      </w:r>
    </w:p>
    <w:p w:rsidR="007364F9" w:rsidRPr="001513F9" w:rsidRDefault="007364F9" w:rsidP="007364F9">
      <w:pPr>
        <w:rPr>
          <w:noProof/>
        </w:rPr>
      </w:pPr>
    </w:p>
    <w:p w:rsidR="007364F9" w:rsidRPr="001513F9" w:rsidRDefault="007364F9" w:rsidP="007364F9">
      <w:pPr>
        <w:rPr>
          <w:noProof/>
        </w:rPr>
      </w:pPr>
      <w:r w:rsidRPr="001513F9">
        <w:rPr>
          <w:noProof/>
        </w:rPr>
        <w:t>Ύδωρ για ενέσιμα</w:t>
      </w:r>
    </w:p>
    <w:p w:rsidR="007364F9" w:rsidRPr="001513F9" w:rsidRDefault="007364F9" w:rsidP="007364F9">
      <w:pPr>
        <w:rPr>
          <w:noProof/>
        </w:rPr>
      </w:pPr>
    </w:p>
    <w:p w:rsidR="007364F9" w:rsidRPr="001513F9" w:rsidRDefault="007364F9" w:rsidP="007364F9">
      <w:pPr>
        <w:rPr>
          <w:noProof/>
        </w:rPr>
      </w:pPr>
      <w:r w:rsidRPr="001513F9">
        <w:rPr>
          <w:b/>
          <w:noProof/>
        </w:rPr>
        <w:t>6.2</w:t>
      </w:r>
      <w:r w:rsidRPr="001513F9">
        <w:rPr>
          <w:b/>
          <w:noProof/>
        </w:rPr>
        <w:tab/>
        <w:t>Ασυμβατότητες</w:t>
      </w:r>
    </w:p>
    <w:p w:rsidR="007364F9" w:rsidRPr="001513F9" w:rsidRDefault="007364F9" w:rsidP="007364F9">
      <w:pPr>
        <w:jc w:val="both"/>
        <w:rPr>
          <w:noProof/>
        </w:rPr>
      </w:pPr>
    </w:p>
    <w:p w:rsidR="007364F9" w:rsidRPr="001513F9" w:rsidRDefault="007364F9" w:rsidP="007364F9">
      <w:pPr>
        <w:jc w:val="both"/>
        <w:rPr>
          <w:noProof/>
        </w:rPr>
      </w:pPr>
      <w:r w:rsidRPr="001513F9">
        <w:rPr>
          <w:noProof/>
        </w:rPr>
        <w:t xml:space="preserve">Το αραιωμένο φαρμακευτικό προϊόν δεν πρέπει να αναμειγνύεται με άλλα φαρμακευτικά προϊόντα </w:t>
      </w:r>
      <w:r w:rsidRPr="001513F9">
        <w:rPr>
          <w:szCs w:val="22"/>
        </w:rPr>
        <w:t>στην ίδια φιάλη έγχυσης ή γραμμή έγχυσης</w:t>
      </w:r>
      <w:r w:rsidRPr="001513F9">
        <w:rPr>
          <w:noProof/>
        </w:rPr>
        <w:t xml:space="preserve">. Η οξαλιπλατίνη μπορεί να συγχορηγηθεί με </w:t>
      </w:r>
      <w:r w:rsidR="00CC7CA5" w:rsidRPr="001513F9">
        <w:t>φ</w:t>
      </w:r>
      <w:r w:rsidR="007D44C2" w:rsidRPr="001513F9">
        <w:t>υλ</w:t>
      </w:r>
      <w:r w:rsidR="00CC7CA5" w:rsidRPr="001513F9">
        <w:t>λ</w:t>
      </w:r>
      <w:r w:rsidRPr="001513F9">
        <w:t>ινικό οξύ</w:t>
      </w:r>
      <w:r w:rsidRPr="001513F9">
        <w:rPr>
          <w:bCs/>
        </w:rPr>
        <w:t xml:space="preserve"> (FA)</w:t>
      </w:r>
      <w:r w:rsidRPr="001513F9">
        <w:rPr>
          <w:noProof/>
        </w:rPr>
        <w:t xml:space="preserve"> μέσω μίας γραμμής Υ και ακολουθώντας τις οδηγίες χρήσης που αναφέρονται στην παράγραφο 6.6.</w:t>
      </w:r>
    </w:p>
    <w:p w:rsidR="007364F9" w:rsidRPr="001513F9" w:rsidRDefault="007364F9" w:rsidP="007364F9">
      <w:pPr>
        <w:widowControl/>
        <w:numPr>
          <w:ilvl w:val="0"/>
          <w:numId w:val="22"/>
        </w:numPr>
        <w:tabs>
          <w:tab w:val="left" w:pos="8355"/>
        </w:tabs>
        <w:jc w:val="both"/>
      </w:pPr>
      <w:r w:rsidRPr="001513F9">
        <w:t xml:space="preserve">ΝΑ ΜΗΝ αναμιγνύεται με αλκαλικά φαρμακευτικά προϊόντα ή διαλύματα, ιδιαίτερα με </w:t>
      </w:r>
      <w:r w:rsidR="00767322" w:rsidRPr="001513F9">
        <w:t>5-φ</w:t>
      </w:r>
      <w:r w:rsidRPr="001513F9">
        <w:t>θοριοουρακίλη (</w:t>
      </w:r>
      <w:r w:rsidR="00767322" w:rsidRPr="001513F9">
        <w:t>5-F</w:t>
      </w:r>
      <w:r w:rsidRPr="001513F9">
        <w:rPr>
          <w:lang w:val="en-US"/>
        </w:rPr>
        <w:t>U</w:t>
      </w:r>
      <w:r w:rsidRPr="001513F9">
        <w:t xml:space="preserve">), παρασκευάσματα </w:t>
      </w:r>
      <w:r w:rsidR="00CC7CA5" w:rsidRPr="001513F9">
        <w:t>φ</w:t>
      </w:r>
      <w:r w:rsidR="007D44C2" w:rsidRPr="001513F9">
        <w:t>υλ</w:t>
      </w:r>
      <w:r w:rsidR="00CC7CA5" w:rsidRPr="001513F9">
        <w:t>λ</w:t>
      </w:r>
      <w:r w:rsidRPr="001513F9">
        <w:t>ινικού οξέος</w:t>
      </w:r>
      <w:r w:rsidRPr="001513F9">
        <w:rPr>
          <w:bCs/>
        </w:rPr>
        <w:t xml:space="preserve"> (FA) </w:t>
      </w:r>
      <w:r w:rsidRPr="001513F9">
        <w:rPr>
          <w:szCs w:val="22"/>
        </w:rPr>
        <w:t xml:space="preserve">που περιέχουν τρομεταμόλη ως έκδοχο και άλατα τρομεταμόλης άλλων δραστικών ουσιών. </w:t>
      </w:r>
      <w:r w:rsidR="006F6D43">
        <w:rPr>
          <w:szCs w:val="22"/>
        </w:rPr>
        <w:t>Τα α</w:t>
      </w:r>
      <w:r w:rsidRPr="001513F9">
        <w:rPr>
          <w:szCs w:val="22"/>
        </w:rPr>
        <w:t>λκαλικά φαρμακευτικά προϊόντα ή διαλύματα μπορεί να επηρεάσουν αρνητικά τη σταθερότητα της οξαλιπλατίνης (βλ. παράγραφο 6.6).</w:t>
      </w:r>
    </w:p>
    <w:p w:rsidR="007364F9" w:rsidRPr="001513F9" w:rsidRDefault="007364F9" w:rsidP="007364F9">
      <w:pPr>
        <w:widowControl/>
        <w:numPr>
          <w:ilvl w:val="0"/>
          <w:numId w:val="25"/>
        </w:numPr>
        <w:tabs>
          <w:tab w:val="left" w:pos="8355"/>
        </w:tabs>
        <w:jc w:val="both"/>
        <w:rPr>
          <w:szCs w:val="22"/>
        </w:rPr>
      </w:pPr>
      <w:r w:rsidRPr="001513F9">
        <w:rPr>
          <w:szCs w:val="22"/>
        </w:rPr>
        <w:t>ΝΑ ΜΗΝ αραιώνεται η οξαλιπλατίνη με διάλυμα φυσιολογικού ορού ή άλλα διαλύματα που περιέχουν ιόντα χλωρίου (συμπεριλαμβανομένων των χλωριδίων του ασβεστίου, καλίου ή νατρίου).</w:t>
      </w:r>
      <w:r w:rsidRPr="001513F9">
        <w:rPr>
          <w:szCs w:val="22"/>
        </w:rPr>
        <w:tab/>
      </w:r>
    </w:p>
    <w:p w:rsidR="007364F9" w:rsidRPr="001513F9" w:rsidRDefault="007364F9" w:rsidP="007364F9">
      <w:pPr>
        <w:widowControl/>
        <w:numPr>
          <w:ilvl w:val="0"/>
          <w:numId w:val="25"/>
        </w:numPr>
        <w:jc w:val="both"/>
        <w:rPr>
          <w:noProof/>
        </w:rPr>
      </w:pPr>
      <w:r w:rsidRPr="00C06019">
        <w:t>ΝΑ ΜΗΝ αναμιγνύεται με άλλα φαρμακευτικά προϊόντα</w:t>
      </w:r>
      <w:r w:rsidRPr="000B008B">
        <w:rPr>
          <w:szCs w:val="22"/>
        </w:rPr>
        <w:t xml:space="preserve"> στην ίδια φιάλη έγχυσης ή γραμμή έγχυσης (βλ. παράγραφο 6.6 για τις οδηγίες που αφορούν </w:t>
      </w:r>
      <w:r w:rsidR="007A52EE" w:rsidRPr="001513F9">
        <w:rPr>
          <w:szCs w:val="22"/>
        </w:rPr>
        <w:t>σ</w:t>
      </w:r>
      <w:r w:rsidRPr="001513F9">
        <w:rPr>
          <w:szCs w:val="22"/>
        </w:rPr>
        <w:t xml:space="preserve">την ταυτόχρονη χορήγηση με </w:t>
      </w:r>
      <w:r w:rsidR="00CC7CA5" w:rsidRPr="001513F9">
        <w:rPr>
          <w:szCs w:val="22"/>
        </w:rPr>
        <w:t>φ</w:t>
      </w:r>
      <w:r w:rsidR="007D44C2" w:rsidRPr="001513F9">
        <w:rPr>
          <w:szCs w:val="22"/>
        </w:rPr>
        <w:t>υλ</w:t>
      </w:r>
      <w:r w:rsidR="00CC7CA5" w:rsidRPr="001513F9">
        <w:rPr>
          <w:szCs w:val="22"/>
        </w:rPr>
        <w:t>λ</w:t>
      </w:r>
      <w:r w:rsidRPr="001513F9">
        <w:rPr>
          <w:szCs w:val="22"/>
        </w:rPr>
        <w:t xml:space="preserve">ινικό οξύ </w:t>
      </w:r>
      <w:r w:rsidRPr="001513F9">
        <w:rPr>
          <w:bCs/>
        </w:rPr>
        <w:t>(FA)</w:t>
      </w:r>
      <w:r w:rsidRPr="001513F9">
        <w:rPr>
          <w:szCs w:val="22"/>
        </w:rPr>
        <w:t xml:space="preserve">). </w:t>
      </w:r>
    </w:p>
    <w:p w:rsidR="007364F9" w:rsidRPr="00C06019" w:rsidRDefault="007364F9" w:rsidP="007364F9">
      <w:pPr>
        <w:widowControl/>
        <w:numPr>
          <w:ilvl w:val="0"/>
          <w:numId w:val="25"/>
        </w:numPr>
        <w:jc w:val="both"/>
        <w:rPr>
          <w:noProof/>
        </w:rPr>
      </w:pPr>
      <w:r w:rsidRPr="001513F9">
        <w:rPr>
          <w:szCs w:val="22"/>
        </w:rPr>
        <w:lastRenderedPageBreak/>
        <w:t>Ν</w:t>
      </w:r>
      <w:r w:rsidRPr="001513F9">
        <w:t>Α ΜΗ χρησιμοποι</w:t>
      </w:r>
      <w:r w:rsidR="007D44C2" w:rsidRPr="001513F9">
        <w:t>είται εξοπλισμός</w:t>
      </w:r>
      <w:r w:rsidRPr="001513F9">
        <w:t xml:space="preserve"> έγχυσης που περιέχ</w:t>
      </w:r>
      <w:r w:rsidR="007D44C2" w:rsidRPr="001513F9">
        <w:t>ει</w:t>
      </w:r>
      <w:r w:rsidRPr="001513F9">
        <w:t xml:space="preserve"> αλουμίνιο.</w:t>
      </w:r>
    </w:p>
    <w:p w:rsidR="007364F9" w:rsidRPr="000B008B" w:rsidRDefault="007364F9" w:rsidP="007364F9">
      <w:pPr>
        <w:jc w:val="both"/>
        <w:rPr>
          <w:lang w:eastAsia="fr-FR"/>
        </w:rPr>
      </w:pPr>
    </w:p>
    <w:p w:rsidR="007364F9" w:rsidRPr="001513F9" w:rsidRDefault="007364F9" w:rsidP="007364F9">
      <w:pPr>
        <w:rPr>
          <w:noProof/>
        </w:rPr>
      </w:pPr>
      <w:r w:rsidRPr="001513F9">
        <w:rPr>
          <w:b/>
          <w:noProof/>
        </w:rPr>
        <w:t>6.3</w:t>
      </w:r>
      <w:r w:rsidRPr="001513F9">
        <w:rPr>
          <w:b/>
          <w:noProof/>
        </w:rPr>
        <w:tab/>
        <w:t>Διάρκεια ζωής</w:t>
      </w:r>
    </w:p>
    <w:p w:rsidR="007364F9" w:rsidRPr="001513F9" w:rsidRDefault="007364F9" w:rsidP="007364F9">
      <w:pPr>
        <w:rPr>
          <w:noProof/>
        </w:rPr>
      </w:pPr>
    </w:p>
    <w:p w:rsidR="007364F9" w:rsidRPr="001513F9" w:rsidRDefault="007364F9" w:rsidP="007364F9">
      <w:pPr>
        <w:numPr>
          <w:ilvl w:val="12"/>
          <w:numId w:val="0"/>
        </w:numPr>
        <w:jc w:val="both"/>
      </w:pPr>
      <w:r w:rsidRPr="001513F9">
        <w:rPr>
          <w:bCs/>
          <w:iCs/>
        </w:rPr>
        <w:t>3</w:t>
      </w:r>
      <w:r w:rsidRPr="001513F9">
        <w:t xml:space="preserve"> χρόνια. </w:t>
      </w:r>
    </w:p>
    <w:p w:rsidR="007364F9" w:rsidRPr="001513F9" w:rsidRDefault="007364F9" w:rsidP="007364F9">
      <w:pPr>
        <w:numPr>
          <w:ilvl w:val="12"/>
          <w:numId w:val="0"/>
        </w:numPr>
        <w:ind w:left="60"/>
        <w:jc w:val="both"/>
      </w:pPr>
    </w:p>
    <w:p w:rsidR="007364F9" w:rsidRPr="001513F9" w:rsidRDefault="007364F9" w:rsidP="007364F9">
      <w:pPr>
        <w:numPr>
          <w:ilvl w:val="12"/>
          <w:numId w:val="0"/>
        </w:numPr>
        <w:jc w:val="both"/>
      </w:pPr>
      <w:r w:rsidRPr="001513F9">
        <w:t xml:space="preserve">Μετά την αραίωση σε διάλυμα γλυκόζης 5% (50 </w:t>
      </w:r>
      <w:r w:rsidRPr="001513F9">
        <w:rPr>
          <w:lang w:val="en-GB"/>
        </w:rPr>
        <w:t>mg</w:t>
      </w:r>
      <w:r w:rsidRPr="001513F9">
        <w:t>/</w:t>
      </w:r>
      <w:r w:rsidRPr="001513F9">
        <w:rPr>
          <w:lang w:val="en-GB"/>
        </w:rPr>
        <w:t>ml</w:t>
      </w:r>
      <w:r w:rsidRPr="001513F9">
        <w:t xml:space="preserve">), η χημική και φυσική σταθερότητα </w:t>
      </w:r>
      <w:r w:rsidR="00DB6921" w:rsidRPr="001513F9">
        <w:t>κατά</w:t>
      </w:r>
      <w:r w:rsidRPr="001513F9">
        <w:t xml:space="preserve"> τη χρήση έχει τεκμηριωθεί για 48 ώρες σε θερμοκρασία 2</w:t>
      </w:r>
      <w:r w:rsidR="007A52EE" w:rsidRPr="001513F9">
        <w:t>°</w:t>
      </w:r>
      <w:r w:rsidRPr="001513F9">
        <w:rPr>
          <w:lang w:val="en-GB"/>
        </w:rPr>
        <w:t>C</w:t>
      </w:r>
      <w:r w:rsidRPr="001513F9">
        <w:t xml:space="preserve"> έως 8</w:t>
      </w:r>
      <w:r w:rsidR="007A52EE" w:rsidRPr="001513F9">
        <w:t>°</w:t>
      </w:r>
      <w:r w:rsidRPr="001513F9">
        <w:rPr>
          <w:lang w:val="en-GB"/>
        </w:rPr>
        <w:t>C</w:t>
      </w:r>
      <w:r w:rsidRPr="001513F9">
        <w:t xml:space="preserve"> και για 24 ώρες σε θερμοκρασία 25</w:t>
      </w:r>
      <w:r w:rsidR="007A52EE" w:rsidRPr="001513F9">
        <w:t>°</w:t>
      </w:r>
      <w:r w:rsidRPr="001513F9">
        <w:rPr>
          <w:lang w:val="en-GB"/>
        </w:rPr>
        <w:t>C</w:t>
      </w:r>
      <w:r w:rsidRPr="001513F9">
        <w:t xml:space="preserve">. </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 xml:space="preserve">Από μικροβιολογικής πλευράς, το διάλυμα έγχυσης πρέπει να χρησιμοποιηθεί αμέσως. </w:t>
      </w:r>
    </w:p>
    <w:p w:rsidR="001B3B30" w:rsidRPr="001513F9" w:rsidRDefault="001B3B30" w:rsidP="001B3B30">
      <w:pPr>
        <w:rPr>
          <w:szCs w:val="22"/>
        </w:rPr>
      </w:pPr>
      <w:r w:rsidRPr="001513F9">
        <w:rPr>
          <w:szCs w:val="22"/>
        </w:rPr>
        <w:t>Εάν δεν χρησιμοποιηθεί αμέσως, ο</w:t>
      </w:r>
      <w:r w:rsidR="00CC7CA5" w:rsidRPr="001513F9">
        <w:rPr>
          <w:szCs w:val="22"/>
        </w:rPr>
        <w:t xml:space="preserve"> χρόνος</w:t>
      </w:r>
      <w:r w:rsidRPr="001513F9">
        <w:rPr>
          <w:szCs w:val="22"/>
        </w:rPr>
        <w:t xml:space="preserve"> διατήρησης του διαλύματος κατά τη χρήση, και οι συνθήκες πριν τη χρήση αποτελούν ευθύνη του χρήστη και κανονικά δε θα πρέπει να είναι περισσότερο από 24 ώρες σ</w:t>
      </w:r>
      <w:r w:rsidR="004725FA" w:rsidRPr="001513F9">
        <w:rPr>
          <w:szCs w:val="22"/>
        </w:rPr>
        <w:t>ε θερμοκρασία</w:t>
      </w:r>
      <w:r w:rsidRPr="001513F9">
        <w:rPr>
          <w:szCs w:val="22"/>
        </w:rPr>
        <w:t xml:space="preserve"> 2°C έως 8°C, εκτός εάν η αραίωση έχει πραγματοποιηθεί σε ελεγμ</w:t>
      </w:r>
      <w:r w:rsidR="00E504DF">
        <w:rPr>
          <w:szCs w:val="22"/>
        </w:rPr>
        <w:t>έ</w:t>
      </w:r>
      <w:r w:rsidRPr="001513F9">
        <w:rPr>
          <w:szCs w:val="22"/>
        </w:rPr>
        <w:t>ν</w:t>
      </w:r>
      <w:r w:rsidR="006F6D43">
        <w:rPr>
          <w:szCs w:val="22"/>
        </w:rPr>
        <w:t>α</w:t>
      </w:r>
      <w:r w:rsidRPr="001513F9">
        <w:rPr>
          <w:szCs w:val="22"/>
        </w:rPr>
        <w:t xml:space="preserve"> και αξιολογημέν</w:t>
      </w:r>
      <w:r w:rsidR="006F6D43">
        <w:rPr>
          <w:szCs w:val="22"/>
        </w:rPr>
        <w:t>α</w:t>
      </w:r>
      <w:r w:rsidRPr="001513F9">
        <w:rPr>
          <w:szCs w:val="22"/>
        </w:rPr>
        <w:t xml:space="preserve"> άσηπτες συνθήκες.</w:t>
      </w:r>
    </w:p>
    <w:p w:rsidR="007364F9" w:rsidRPr="001513F9" w:rsidRDefault="007364F9" w:rsidP="007364F9">
      <w:pPr>
        <w:rPr>
          <w:noProof/>
        </w:rPr>
      </w:pPr>
    </w:p>
    <w:p w:rsidR="007364F9" w:rsidRPr="001513F9" w:rsidRDefault="007364F9" w:rsidP="007364F9">
      <w:pPr>
        <w:rPr>
          <w:noProof/>
        </w:rPr>
      </w:pPr>
      <w:r w:rsidRPr="001513F9">
        <w:rPr>
          <w:b/>
          <w:noProof/>
        </w:rPr>
        <w:t>6.4</w:t>
      </w:r>
      <w:r w:rsidRPr="001513F9">
        <w:rPr>
          <w:b/>
          <w:noProof/>
        </w:rPr>
        <w:tab/>
        <w:t>Ιδιαίτερες προφυλάξεις κατά τη φύλαξη του προϊόντος</w:t>
      </w:r>
    </w:p>
    <w:p w:rsidR="007364F9" w:rsidRPr="001513F9" w:rsidRDefault="007364F9" w:rsidP="007364F9">
      <w:pPr>
        <w:rPr>
          <w:noProof/>
        </w:rPr>
      </w:pPr>
    </w:p>
    <w:p w:rsidR="007364F9" w:rsidRPr="001513F9" w:rsidRDefault="007364F9" w:rsidP="007364F9">
      <w:pPr>
        <w:rPr>
          <w:sz w:val="18"/>
          <w:szCs w:val="18"/>
        </w:rPr>
      </w:pPr>
      <w:r w:rsidRPr="001513F9">
        <w:t>Μην καταψύχετε.</w:t>
      </w:r>
    </w:p>
    <w:p w:rsidR="007364F9" w:rsidRPr="001513F9" w:rsidRDefault="007364F9" w:rsidP="007364F9">
      <w:r w:rsidRPr="001513F9">
        <w:t>Φυλάσσετε το φιαλίδιο στο εξωτερικό κουτί για να προστατεύεται από το φως.</w:t>
      </w:r>
    </w:p>
    <w:p w:rsidR="007A52EE" w:rsidRPr="001513F9" w:rsidRDefault="007A52EE" w:rsidP="007A52EE">
      <w:pPr>
        <w:rPr>
          <w:szCs w:val="22"/>
        </w:rPr>
      </w:pPr>
      <w:r w:rsidRPr="001513F9">
        <w:rPr>
          <w:szCs w:val="22"/>
        </w:rPr>
        <w:t>Για τις συνθήκες διατήρησης μετά την αραίωση του φαρμακευτικού προϊόντος, βλ. παράγραφο 6.3.</w:t>
      </w:r>
    </w:p>
    <w:p w:rsidR="007364F9" w:rsidRPr="001513F9" w:rsidRDefault="007364F9" w:rsidP="007364F9">
      <w:pPr>
        <w:rPr>
          <w:noProof/>
        </w:rPr>
      </w:pPr>
    </w:p>
    <w:p w:rsidR="007364F9" w:rsidRPr="001513F9" w:rsidRDefault="007364F9" w:rsidP="007364F9">
      <w:pPr>
        <w:rPr>
          <w:noProof/>
        </w:rPr>
      </w:pPr>
      <w:r w:rsidRPr="001513F9">
        <w:rPr>
          <w:b/>
          <w:noProof/>
        </w:rPr>
        <w:t>6.5</w:t>
      </w:r>
      <w:r w:rsidRPr="001513F9">
        <w:rPr>
          <w:b/>
          <w:noProof/>
        </w:rPr>
        <w:tab/>
        <w:t>Φύση και συστατικά του περιέκτη</w:t>
      </w:r>
    </w:p>
    <w:p w:rsidR="007364F9" w:rsidRPr="001513F9" w:rsidRDefault="007364F9" w:rsidP="007364F9">
      <w:pPr>
        <w:rPr>
          <w:noProof/>
        </w:rPr>
      </w:pPr>
    </w:p>
    <w:p w:rsidR="007364F9" w:rsidRPr="001513F9" w:rsidRDefault="007364F9" w:rsidP="007364F9">
      <w:r w:rsidRPr="001513F9">
        <w:t xml:space="preserve">10 </w:t>
      </w:r>
      <w:r w:rsidRPr="001513F9">
        <w:rPr>
          <w:lang w:val="en-GB"/>
        </w:rPr>
        <w:t>ml</w:t>
      </w:r>
      <w:r w:rsidRPr="001513F9">
        <w:t xml:space="preserve"> πυκνό διάλυμα σε φιαλίδιο (</w:t>
      </w:r>
      <w:r w:rsidR="007A52EE" w:rsidRPr="001513F9">
        <w:t>τ</w:t>
      </w:r>
      <w:r w:rsidRPr="001513F9">
        <w:t>ύπου Ι διαφανές γυάλινο) με πώμα από ελαστομερές βρωμοβουτύλιο.</w:t>
      </w:r>
    </w:p>
    <w:p w:rsidR="007364F9" w:rsidRPr="001513F9" w:rsidRDefault="007364F9" w:rsidP="007364F9">
      <w:r w:rsidRPr="001513F9">
        <w:t xml:space="preserve">20 </w:t>
      </w:r>
      <w:r w:rsidRPr="001513F9">
        <w:rPr>
          <w:lang w:val="en-GB"/>
        </w:rPr>
        <w:t>ml</w:t>
      </w:r>
      <w:r w:rsidRPr="001513F9">
        <w:t xml:space="preserve"> πυκνό διάλυμα σε φιαλίδιο (</w:t>
      </w:r>
      <w:r w:rsidR="007A52EE" w:rsidRPr="001513F9">
        <w:t>τ</w:t>
      </w:r>
      <w:r w:rsidRPr="001513F9">
        <w:t>ύπου Ι διαφανές γυάλινο) με πώμα από ελαστομερές βρωμοβουτύλιο.</w:t>
      </w:r>
    </w:p>
    <w:p w:rsidR="007364F9" w:rsidRPr="001513F9" w:rsidRDefault="007364F9" w:rsidP="007364F9">
      <w:r w:rsidRPr="001513F9">
        <w:t xml:space="preserve">40 </w:t>
      </w:r>
      <w:r w:rsidRPr="001513F9">
        <w:rPr>
          <w:lang w:val="en-GB"/>
        </w:rPr>
        <w:t>ml</w:t>
      </w:r>
      <w:r w:rsidRPr="001513F9">
        <w:t xml:space="preserve"> πυκνό διάλυμα σε φιαλίδιο (</w:t>
      </w:r>
      <w:r w:rsidR="007A52EE" w:rsidRPr="001513F9">
        <w:t>τ</w:t>
      </w:r>
      <w:r w:rsidRPr="001513F9">
        <w:t>ύπου Ι διαφανές γυάλινο) με πώμα από ελαστομερές βρωμοβουτύλιο.</w:t>
      </w:r>
    </w:p>
    <w:p w:rsidR="007364F9" w:rsidRPr="001513F9" w:rsidRDefault="007364F9" w:rsidP="007364F9"/>
    <w:p w:rsidR="007364F9" w:rsidRPr="001513F9" w:rsidRDefault="007364F9" w:rsidP="007364F9">
      <w:r w:rsidRPr="001513F9">
        <w:t>Συσκευασία: κουτί του 1 φιαλιδίου.</w:t>
      </w:r>
    </w:p>
    <w:p w:rsidR="00A30BB8" w:rsidRPr="001513F9" w:rsidRDefault="008B2BBA" w:rsidP="007364F9">
      <w:r w:rsidRPr="001513F9">
        <w:t>Μπορεί να μην κυκλοφορούν όλες οι συσκευασίες.</w:t>
      </w:r>
    </w:p>
    <w:p w:rsidR="007364F9" w:rsidRPr="001513F9" w:rsidRDefault="007364F9" w:rsidP="007364F9">
      <w:pPr>
        <w:rPr>
          <w:noProof/>
        </w:rPr>
      </w:pPr>
    </w:p>
    <w:p w:rsidR="007364F9" w:rsidRPr="001513F9" w:rsidRDefault="007364F9" w:rsidP="007364F9">
      <w:pPr>
        <w:rPr>
          <w:noProof/>
        </w:rPr>
      </w:pPr>
      <w:r w:rsidRPr="001513F9">
        <w:rPr>
          <w:b/>
          <w:noProof/>
        </w:rPr>
        <w:t>6.6</w:t>
      </w:r>
      <w:r w:rsidRPr="001513F9">
        <w:rPr>
          <w:b/>
          <w:noProof/>
        </w:rPr>
        <w:tab/>
        <w:t>Ιδιαίτερες προφυλάξεις απόρριψης</w:t>
      </w:r>
    </w:p>
    <w:p w:rsidR="007364F9" w:rsidRPr="001513F9" w:rsidRDefault="007364F9" w:rsidP="007364F9">
      <w:pPr>
        <w:rPr>
          <w:noProof/>
        </w:rPr>
      </w:pPr>
    </w:p>
    <w:p w:rsidR="001B3B30" w:rsidRPr="001513F9" w:rsidRDefault="001B3B30" w:rsidP="001B3B30">
      <w:pPr>
        <w:numPr>
          <w:ilvl w:val="12"/>
          <w:numId w:val="0"/>
        </w:numPr>
        <w:jc w:val="both"/>
        <w:rPr>
          <w:szCs w:val="22"/>
        </w:rPr>
      </w:pPr>
      <w:r w:rsidRPr="001513F9">
        <w:rPr>
          <w:szCs w:val="22"/>
        </w:rPr>
        <w:t xml:space="preserve">Όπως και με τις άλλες δυνητικώς τοξικές ενώσεις, ο χειρισμός και η παρασκευή των διαλυμάτων οξαλιπλατίνης χρειάζεται προσοχή. </w:t>
      </w:r>
    </w:p>
    <w:p w:rsidR="001B3B30" w:rsidRPr="001513F9" w:rsidRDefault="001B3B30" w:rsidP="001B3B30">
      <w:pPr>
        <w:numPr>
          <w:ilvl w:val="12"/>
          <w:numId w:val="0"/>
        </w:numPr>
        <w:ind w:left="60"/>
        <w:jc w:val="both"/>
        <w:rPr>
          <w:szCs w:val="22"/>
        </w:rPr>
      </w:pPr>
    </w:p>
    <w:p w:rsidR="001B3B30" w:rsidRPr="001513F9" w:rsidRDefault="001B3B30" w:rsidP="001B3B30">
      <w:pPr>
        <w:numPr>
          <w:ilvl w:val="12"/>
          <w:numId w:val="0"/>
        </w:numPr>
        <w:jc w:val="both"/>
        <w:rPr>
          <w:szCs w:val="22"/>
        </w:rPr>
      </w:pPr>
      <w:r w:rsidRPr="001513F9">
        <w:rPr>
          <w:szCs w:val="22"/>
          <w:u w:val="single"/>
        </w:rPr>
        <w:t>Οδηγίες χειρισμού</w:t>
      </w:r>
    </w:p>
    <w:p w:rsidR="001B3B30" w:rsidRPr="001513F9" w:rsidRDefault="00227C71" w:rsidP="001B3B30">
      <w:pPr>
        <w:jc w:val="both"/>
        <w:rPr>
          <w:szCs w:val="22"/>
          <w:lang w:eastAsia="fr-FR"/>
        </w:rPr>
      </w:pPr>
      <w:r w:rsidRPr="001513F9">
        <w:rPr>
          <w:szCs w:val="22"/>
        </w:rPr>
        <w:t>Ο χειρισμός αυτού του κυ</w:t>
      </w:r>
      <w:r w:rsidR="007A52EE" w:rsidRPr="001513F9">
        <w:rPr>
          <w:szCs w:val="22"/>
        </w:rPr>
        <w:t>τ</w:t>
      </w:r>
      <w:r w:rsidR="001B3B30" w:rsidRPr="001513F9">
        <w:rPr>
          <w:szCs w:val="22"/>
        </w:rPr>
        <w:t>ταροτοξικού παράγοντα από το υγειονομικό προσωπικό απαιτεί τη λήψη κάθε δυνατής προφύλαξης, για να διασφαλιστεί η προστασία του χειριστή και του περιβάλλοντός του.</w:t>
      </w:r>
    </w:p>
    <w:p w:rsidR="007364F9" w:rsidRPr="001513F9" w:rsidRDefault="007364F9" w:rsidP="007364F9">
      <w:pPr>
        <w:ind w:left="709"/>
        <w:jc w:val="both"/>
        <w:rPr>
          <w:lang w:eastAsia="fr-F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6"/>
      </w:tblGrid>
      <w:tr w:rsidR="007364F9" w:rsidRPr="001513F9" w:rsidTr="007364F9">
        <w:tc>
          <w:tcPr>
            <w:tcW w:w="9026" w:type="dxa"/>
            <w:tcBorders>
              <w:top w:val="single" w:sz="4" w:space="0" w:color="auto"/>
              <w:left w:val="single" w:sz="4" w:space="0" w:color="auto"/>
              <w:bottom w:val="single" w:sz="4" w:space="0" w:color="auto"/>
              <w:right w:val="single" w:sz="4" w:space="0" w:color="auto"/>
            </w:tcBorders>
          </w:tcPr>
          <w:p w:rsidR="001B3B30" w:rsidRPr="001513F9" w:rsidRDefault="001B3B30" w:rsidP="001B3B30">
            <w:pPr>
              <w:numPr>
                <w:ilvl w:val="12"/>
                <w:numId w:val="0"/>
              </w:numPr>
              <w:ind w:left="-31"/>
              <w:jc w:val="both"/>
              <w:rPr>
                <w:szCs w:val="22"/>
              </w:rPr>
            </w:pPr>
            <w:r w:rsidRPr="00C06019">
              <w:rPr>
                <w:noProof/>
                <w:szCs w:val="22"/>
              </w:rPr>
              <w:t>Η παρασκευή ενέσιμων διαλυμάτων κυ</w:t>
            </w:r>
            <w:r w:rsidR="007A52EE" w:rsidRPr="000B008B">
              <w:rPr>
                <w:noProof/>
                <w:szCs w:val="22"/>
              </w:rPr>
              <w:t>τ</w:t>
            </w:r>
            <w:r w:rsidRPr="001513F9">
              <w:rPr>
                <w:noProof/>
                <w:szCs w:val="22"/>
              </w:rPr>
              <w:t xml:space="preserve">ταροτοξικών παραγόντων πρέπει να πραγματοποιείται από εκπαιδευμένο και ειδικευμένο προσωπικό με γνώση </w:t>
            </w:r>
            <w:r w:rsidR="00DA6451" w:rsidRPr="001513F9">
              <w:rPr>
                <w:noProof/>
              </w:rPr>
              <w:t xml:space="preserve">των φαρμακευτικών προϊόντων </w:t>
            </w:r>
            <w:r w:rsidRPr="001513F9">
              <w:rPr>
                <w:noProof/>
                <w:szCs w:val="22"/>
              </w:rPr>
              <w:t xml:space="preserve">που χρησιμοποιούνται, σε συνθήκες που διασφαλίζουν την ακεραιότητα του φαρμακευτικού προϊόντος, την προστασία του περιβάλλοντος και </w:t>
            </w:r>
            <w:r w:rsidRPr="001513F9">
              <w:rPr>
                <w:szCs w:val="22"/>
              </w:rPr>
              <w:t xml:space="preserve">κυρίως </w:t>
            </w:r>
            <w:r w:rsidRPr="001513F9">
              <w:rPr>
                <w:noProof/>
                <w:szCs w:val="22"/>
              </w:rPr>
              <w:t xml:space="preserve">την προστασία του προσωπικού που χειρίζεται </w:t>
            </w:r>
            <w:r w:rsidR="00DA6451" w:rsidRPr="001513F9">
              <w:rPr>
                <w:noProof/>
              </w:rPr>
              <w:t>τα φαρμακευτικά προϊόντα</w:t>
            </w:r>
            <w:r w:rsidRPr="001513F9">
              <w:rPr>
                <w:noProof/>
                <w:szCs w:val="22"/>
              </w:rPr>
              <w:t>, σε συμφωνία με τους κανονισμούς του νοσοκομείου. Απαιτείται ένας χώρος παρασκευής αποκλειστικά γι</w:t>
            </w:r>
            <w:r w:rsidR="00ED1142" w:rsidRPr="001513F9">
              <w:rPr>
                <w:noProof/>
                <w:szCs w:val="22"/>
              </w:rPr>
              <w:t>΄</w:t>
            </w:r>
            <w:r w:rsidRPr="001513F9">
              <w:rPr>
                <w:noProof/>
                <w:szCs w:val="22"/>
              </w:rPr>
              <w:t xml:space="preserve"> αυτό το σκοπό. Απαγορεύεται το κάπνισμα, το φαγητό ή το ποτό σε αυτό το χώρο.</w:t>
            </w:r>
            <w:r w:rsidRPr="001513F9">
              <w:rPr>
                <w:szCs w:val="22"/>
              </w:rPr>
              <w:t xml:space="preserve"> </w:t>
            </w:r>
          </w:p>
          <w:p w:rsidR="001B3B30" w:rsidRPr="001513F9" w:rsidRDefault="001B3B30" w:rsidP="001B3B30">
            <w:pPr>
              <w:numPr>
                <w:ilvl w:val="12"/>
                <w:numId w:val="0"/>
              </w:numPr>
              <w:ind w:left="-31"/>
              <w:jc w:val="both"/>
              <w:rPr>
                <w:szCs w:val="22"/>
              </w:rPr>
            </w:pPr>
            <w:r w:rsidRPr="001513F9">
              <w:rPr>
                <w:szCs w:val="22"/>
              </w:rPr>
              <w:t>Το προσωπικό πρέπει να έχει στη διάθεσ</w:t>
            </w:r>
            <w:r w:rsidR="00ED1142" w:rsidRPr="001513F9">
              <w:rPr>
                <w:szCs w:val="22"/>
              </w:rPr>
              <w:t>ή</w:t>
            </w:r>
            <w:r w:rsidRPr="001513F9">
              <w:rPr>
                <w:szCs w:val="22"/>
              </w:rPr>
              <w:t xml:space="preserve"> του κατάλληλα υλικά χειρισμού, κυρίως, ένδυμα με μακριά μανίκια, προστατευτικές μάσκες, </w:t>
            </w:r>
            <w:r w:rsidR="00E504DF">
              <w:rPr>
                <w:szCs w:val="22"/>
              </w:rPr>
              <w:t>καλύμματα κεφαλιού</w:t>
            </w:r>
            <w:r w:rsidRPr="001513F9">
              <w:rPr>
                <w:szCs w:val="22"/>
              </w:rPr>
              <w:t>, προστατευτικά γυαλιά, αποστειρωμένα γάντια μίας χρήσης, προστατευτικά καλύμματα για το χώρο εργασίας, περιέκτες και σάκους συλλογής απορριμμάτων.</w:t>
            </w:r>
          </w:p>
          <w:p w:rsidR="001B3B30" w:rsidRPr="001513F9" w:rsidRDefault="001B3B30" w:rsidP="001B3B30">
            <w:pPr>
              <w:ind w:right="141"/>
              <w:rPr>
                <w:szCs w:val="22"/>
              </w:rPr>
            </w:pPr>
            <w:r w:rsidRPr="001513F9">
              <w:rPr>
                <w:szCs w:val="22"/>
              </w:rPr>
              <w:t>Ο χειρισμός των απεκκρίσεων και του εμέτου θα πρέπει να γίνεται με προσοχή.</w:t>
            </w:r>
          </w:p>
          <w:p w:rsidR="001B3B30" w:rsidRPr="001513F9" w:rsidRDefault="001B3B30" w:rsidP="001B3B30">
            <w:pPr>
              <w:numPr>
                <w:ilvl w:val="12"/>
                <w:numId w:val="0"/>
              </w:numPr>
              <w:ind w:left="-31"/>
              <w:jc w:val="both"/>
              <w:rPr>
                <w:szCs w:val="22"/>
              </w:rPr>
            </w:pPr>
            <w:r w:rsidRPr="001513F9">
              <w:rPr>
                <w:szCs w:val="22"/>
              </w:rPr>
              <w:t xml:space="preserve">Οι έγκυες γυναίκες θα πρέπει να προειδοποιούνται να αποφεύγουν το χειρισμό κυτταροτοξικών παραγόντων. </w:t>
            </w:r>
          </w:p>
          <w:p w:rsidR="001B3B30" w:rsidRPr="001513F9" w:rsidRDefault="001B3B30" w:rsidP="001B3B30">
            <w:pPr>
              <w:numPr>
                <w:ilvl w:val="12"/>
                <w:numId w:val="0"/>
              </w:numPr>
              <w:ind w:left="-31"/>
              <w:jc w:val="both"/>
              <w:rPr>
                <w:szCs w:val="22"/>
              </w:rPr>
            </w:pPr>
            <w:r w:rsidRPr="001513F9">
              <w:rPr>
                <w:szCs w:val="22"/>
              </w:rPr>
              <w:t xml:space="preserve">Κάθε σπασμένος περιέκτης πρέπει να </w:t>
            </w:r>
            <w:r w:rsidR="00E504DF">
              <w:rPr>
                <w:szCs w:val="22"/>
              </w:rPr>
              <w:t>αντιμετωπ</w:t>
            </w:r>
            <w:r w:rsidR="00E504DF" w:rsidRPr="001513F9">
              <w:rPr>
                <w:szCs w:val="22"/>
              </w:rPr>
              <w:t xml:space="preserve">ίζεται </w:t>
            </w:r>
            <w:r w:rsidRPr="001513F9">
              <w:rPr>
                <w:szCs w:val="22"/>
              </w:rPr>
              <w:t xml:space="preserve">με τις ίδιες προφυλάξεις και να θεωρείται ως </w:t>
            </w:r>
            <w:r w:rsidRPr="001513F9">
              <w:rPr>
                <w:szCs w:val="22"/>
              </w:rPr>
              <w:lastRenderedPageBreak/>
              <w:t xml:space="preserve">μολυσμένο απόβλητο. Τα μολυσμένα απόβλητα θα πρέπει να αποτεφρώνονται σε κατάλληλα επισημασμένους άκαμπτους περιέκτες. </w:t>
            </w:r>
            <w:r w:rsidR="00ED1142" w:rsidRPr="001513F9">
              <w:rPr>
                <w:szCs w:val="22"/>
              </w:rPr>
              <w:t>Ανατρέξτε</w:t>
            </w:r>
            <w:r w:rsidRPr="001513F9">
              <w:rPr>
                <w:szCs w:val="22"/>
              </w:rPr>
              <w:t xml:space="preserve"> παρακάτω </w:t>
            </w:r>
            <w:r w:rsidR="00ED1142" w:rsidRPr="001513F9">
              <w:rPr>
                <w:szCs w:val="22"/>
              </w:rPr>
              <w:t xml:space="preserve">στο </w:t>
            </w:r>
            <w:r w:rsidRPr="001513F9">
              <w:rPr>
                <w:szCs w:val="22"/>
              </w:rPr>
              <w:t>κεφάλαιο «Απόρριψη».</w:t>
            </w:r>
          </w:p>
          <w:p w:rsidR="001B3B30" w:rsidRPr="001513F9" w:rsidRDefault="001B3B30" w:rsidP="001B3B30">
            <w:pPr>
              <w:numPr>
                <w:ilvl w:val="12"/>
                <w:numId w:val="0"/>
              </w:numPr>
              <w:ind w:left="-31"/>
              <w:jc w:val="both"/>
              <w:rPr>
                <w:szCs w:val="22"/>
              </w:rPr>
            </w:pPr>
            <w:r w:rsidRPr="001513F9">
              <w:rPr>
                <w:szCs w:val="22"/>
              </w:rPr>
              <w:t>Εάν πυκνό διάλυμα για παρα</w:t>
            </w:r>
            <w:r w:rsidR="00ED1142" w:rsidRPr="001513F9">
              <w:rPr>
                <w:szCs w:val="22"/>
              </w:rPr>
              <w:t>σ</w:t>
            </w:r>
            <w:r w:rsidRPr="001513F9">
              <w:rPr>
                <w:szCs w:val="22"/>
              </w:rPr>
              <w:t>κευή διαλύματος προς έγχυση ή διάλυμα έγχυσης οξαλιπλατίνης έρθει σε επαφή με το δέρμα, ξεπλύνετε αμέσως και σχολαστικά με άφθονο νερό.</w:t>
            </w:r>
          </w:p>
          <w:p w:rsidR="007364F9" w:rsidRPr="001513F9" w:rsidRDefault="001B3B30" w:rsidP="00DA6451">
            <w:pPr>
              <w:ind w:right="141"/>
              <w:rPr>
                <w:b/>
                <w:i/>
                <w:szCs w:val="22"/>
              </w:rPr>
            </w:pPr>
            <w:r w:rsidRPr="001513F9">
              <w:rPr>
                <w:szCs w:val="22"/>
              </w:rPr>
              <w:t>Εάν πυκνό διάλυμα για παρα</w:t>
            </w:r>
            <w:r w:rsidR="00ED1142" w:rsidRPr="001513F9">
              <w:rPr>
                <w:szCs w:val="22"/>
              </w:rPr>
              <w:t>σ</w:t>
            </w:r>
            <w:r w:rsidRPr="001513F9">
              <w:rPr>
                <w:szCs w:val="22"/>
              </w:rPr>
              <w:t>κευή διαλύματος προς έγχυση ή διάλυμα έγχυσης οξαλιπλατίνης έρθει σε επαφή με τους βλεννογόνους, ξεπλύνετε αμέσως και σχολαστικά με άφθονο νερό</w:t>
            </w:r>
            <w:r w:rsidRPr="001513F9">
              <w:rPr>
                <w:b/>
                <w:i/>
                <w:szCs w:val="22"/>
              </w:rPr>
              <w:t>.</w:t>
            </w:r>
          </w:p>
        </w:tc>
      </w:tr>
    </w:tbl>
    <w:p w:rsidR="007364F9" w:rsidRPr="001513F9" w:rsidRDefault="007364F9" w:rsidP="007364F9">
      <w:pPr>
        <w:jc w:val="both"/>
        <w:rPr>
          <w:b/>
          <w:lang w:eastAsia="fr-FR"/>
        </w:rPr>
      </w:pPr>
    </w:p>
    <w:p w:rsidR="007364F9" w:rsidRPr="001513F9" w:rsidRDefault="007364F9" w:rsidP="007364F9">
      <w:pPr>
        <w:jc w:val="both"/>
        <w:rPr>
          <w:b/>
          <w:szCs w:val="24"/>
          <w:u w:val="single"/>
          <w:lang w:eastAsia="fr-FR"/>
        </w:rPr>
      </w:pPr>
      <w:r w:rsidRPr="00C06019">
        <w:rPr>
          <w:u w:val="single"/>
        </w:rPr>
        <w:t>Ειδικές προφυλάξεις κατά τη χορήγηση</w:t>
      </w:r>
    </w:p>
    <w:p w:rsidR="007364F9" w:rsidRPr="001513F9" w:rsidRDefault="007364F9" w:rsidP="007364F9">
      <w:pPr>
        <w:widowControl/>
        <w:numPr>
          <w:ilvl w:val="0"/>
          <w:numId w:val="22"/>
        </w:numPr>
        <w:jc w:val="both"/>
      </w:pPr>
      <w:r w:rsidRPr="00C06019">
        <w:t>ΝΑ ΜΗ χρησιμοποι</w:t>
      </w:r>
      <w:r w:rsidR="003D2215" w:rsidRPr="000B008B">
        <w:t>είται εξοπλισμός</w:t>
      </w:r>
      <w:r w:rsidRPr="001513F9">
        <w:t xml:space="preserve"> έγχυσης που περιέχ</w:t>
      </w:r>
      <w:r w:rsidR="003D2215" w:rsidRPr="001513F9">
        <w:t>ει</w:t>
      </w:r>
      <w:r w:rsidRPr="001513F9">
        <w:t xml:space="preserve"> αλουμίνιο. </w:t>
      </w:r>
    </w:p>
    <w:p w:rsidR="007364F9" w:rsidRPr="001513F9" w:rsidRDefault="007364F9" w:rsidP="007364F9">
      <w:pPr>
        <w:widowControl/>
        <w:numPr>
          <w:ilvl w:val="0"/>
          <w:numId w:val="22"/>
        </w:numPr>
        <w:jc w:val="both"/>
      </w:pPr>
      <w:r w:rsidRPr="001513F9">
        <w:t>ΝΑ ΜΗ χορηγείται αδιάλυτη.</w:t>
      </w:r>
    </w:p>
    <w:p w:rsidR="007364F9" w:rsidRPr="001513F9" w:rsidRDefault="007364F9" w:rsidP="007364F9">
      <w:pPr>
        <w:widowControl/>
        <w:numPr>
          <w:ilvl w:val="0"/>
          <w:numId w:val="22"/>
        </w:numPr>
        <w:tabs>
          <w:tab w:val="left" w:pos="8355"/>
        </w:tabs>
        <w:jc w:val="both"/>
      </w:pPr>
      <w:r w:rsidRPr="001513F9">
        <w:t xml:space="preserve">Μόνο </w:t>
      </w:r>
      <w:r w:rsidRPr="00C06019">
        <w:t xml:space="preserve">διάλυμα προς έγχυση γλυκόζης 5% (50 </w:t>
      </w:r>
      <w:r w:rsidRPr="000B008B">
        <w:rPr>
          <w:lang w:val="en-GB"/>
        </w:rPr>
        <w:t>mg</w:t>
      </w:r>
      <w:r w:rsidRPr="001513F9">
        <w:t>/</w:t>
      </w:r>
      <w:r w:rsidRPr="001513F9">
        <w:rPr>
          <w:lang w:val="en-GB"/>
        </w:rPr>
        <w:t>ml</w:t>
      </w:r>
      <w:r w:rsidRPr="001513F9">
        <w:t xml:space="preserve">) να χρησιμοποιείται ως διάλυμα αραίωσης. </w:t>
      </w:r>
      <w:r w:rsidR="009D22A9" w:rsidRPr="001513F9">
        <w:t xml:space="preserve">ΝΑ </w:t>
      </w:r>
      <w:r w:rsidRPr="001513F9">
        <w:t xml:space="preserve">ΜΗΝ αραιώνεται </w:t>
      </w:r>
      <w:r w:rsidR="00DB6172" w:rsidRPr="001513F9">
        <w:t>προς</w:t>
      </w:r>
      <w:r w:rsidRPr="001513F9">
        <w:t xml:space="preserve"> έγχυση με διάλυμα χλωριούχου νατρίου ή διαλύματα που περιέχουν χλ</w:t>
      </w:r>
      <w:r w:rsidR="004535AA" w:rsidRPr="001513F9">
        <w:t>ωριούχα</w:t>
      </w:r>
      <w:r w:rsidRPr="001513F9">
        <w:t>.</w:t>
      </w:r>
    </w:p>
    <w:p w:rsidR="007364F9" w:rsidRPr="001513F9" w:rsidRDefault="007364F9" w:rsidP="007364F9">
      <w:pPr>
        <w:widowControl/>
        <w:numPr>
          <w:ilvl w:val="0"/>
          <w:numId w:val="22"/>
        </w:numPr>
        <w:tabs>
          <w:tab w:val="left" w:pos="8355"/>
        </w:tabs>
        <w:jc w:val="both"/>
      </w:pPr>
      <w:r w:rsidRPr="00C06019">
        <w:t xml:space="preserve">ΝΑ ΜΗΝ αναμιγνύεται με κάποιο άλλο φάρμακο στην ίδια φιάλη έγχυσης ή να χορηγείται ταυτόχρονα μέσω της ίδιας οδού έγχυσης. </w:t>
      </w:r>
    </w:p>
    <w:p w:rsidR="007364F9" w:rsidRPr="001513F9" w:rsidRDefault="007364F9" w:rsidP="007364F9">
      <w:pPr>
        <w:widowControl/>
        <w:numPr>
          <w:ilvl w:val="0"/>
          <w:numId w:val="22"/>
        </w:numPr>
        <w:tabs>
          <w:tab w:val="left" w:pos="8355"/>
        </w:tabs>
        <w:jc w:val="both"/>
      </w:pPr>
      <w:r w:rsidRPr="00C06019">
        <w:t xml:space="preserve">ΝΑ ΜΗΝ αναμιγνύεται με αλκαλικά φαρμακευτικά προϊόντα ή διαλύματα, ιδιαίτερα με </w:t>
      </w:r>
      <w:r w:rsidR="00767322" w:rsidRPr="001513F9">
        <w:t>5-φ</w:t>
      </w:r>
      <w:r w:rsidRPr="001513F9">
        <w:t>θοριοουρακίλη (</w:t>
      </w:r>
      <w:r w:rsidR="00767322" w:rsidRPr="001513F9">
        <w:t>5-F</w:t>
      </w:r>
      <w:r w:rsidRPr="001513F9">
        <w:rPr>
          <w:lang w:val="en-US"/>
        </w:rPr>
        <w:t>U</w:t>
      </w:r>
      <w:r w:rsidRPr="001513F9">
        <w:t xml:space="preserve">), παρασκευάσματα </w:t>
      </w:r>
      <w:r w:rsidR="00CC7CA5" w:rsidRPr="001513F9">
        <w:t>φ</w:t>
      </w:r>
      <w:r w:rsidR="004535AA" w:rsidRPr="001513F9">
        <w:t>υλ</w:t>
      </w:r>
      <w:r w:rsidR="00CC7CA5" w:rsidRPr="001513F9">
        <w:t>λ</w:t>
      </w:r>
      <w:r w:rsidRPr="001513F9">
        <w:t>ινικού οξέος</w:t>
      </w:r>
      <w:r w:rsidRPr="001513F9">
        <w:rPr>
          <w:bCs/>
        </w:rPr>
        <w:t xml:space="preserve"> (FA) </w:t>
      </w:r>
      <w:r w:rsidRPr="001513F9">
        <w:rPr>
          <w:szCs w:val="22"/>
        </w:rPr>
        <w:t xml:space="preserve">που περιέχουν τρομεταμόλη ως έκδοχο και άλατα τρομεταμόλης άλλων δραστικών ουσιών. </w:t>
      </w:r>
      <w:r w:rsidR="00A1542B">
        <w:rPr>
          <w:szCs w:val="22"/>
        </w:rPr>
        <w:t>Τα α</w:t>
      </w:r>
      <w:r w:rsidRPr="001513F9">
        <w:rPr>
          <w:szCs w:val="22"/>
        </w:rPr>
        <w:t>λκαλικά φαρμακευτικά προϊόντα ή διαλύματα μπορεί να επηρεάσουν αρνητικά τη σ</w:t>
      </w:r>
      <w:r w:rsidR="009D22A9" w:rsidRPr="001513F9">
        <w:rPr>
          <w:szCs w:val="22"/>
        </w:rPr>
        <w:t>ταθερότητα της οξαλιπλατίνης.</w:t>
      </w:r>
    </w:p>
    <w:p w:rsidR="007364F9" w:rsidRPr="001513F9" w:rsidRDefault="007364F9" w:rsidP="007364F9">
      <w:pPr>
        <w:tabs>
          <w:tab w:val="left" w:pos="993"/>
        </w:tabs>
        <w:ind w:left="862" w:hanging="142"/>
        <w:jc w:val="both"/>
      </w:pPr>
      <w:r w:rsidRPr="001513F9">
        <w:tab/>
      </w:r>
    </w:p>
    <w:p w:rsidR="007364F9" w:rsidRPr="001513F9" w:rsidRDefault="007364F9" w:rsidP="007364F9">
      <w:pPr>
        <w:jc w:val="both"/>
        <w:rPr>
          <w:szCs w:val="24"/>
          <w:u w:val="single"/>
          <w:lang w:eastAsia="fr-FR"/>
        </w:rPr>
      </w:pPr>
      <w:r w:rsidRPr="00C06019">
        <w:rPr>
          <w:u w:val="single"/>
        </w:rPr>
        <w:t xml:space="preserve">Οδηγίες χρήσης με </w:t>
      </w:r>
      <w:r w:rsidR="00CC7CA5" w:rsidRPr="000B008B">
        <w:rPr>
          <w:u w:val="single"/>
        </w:rPr>
        <w:t>φ</w:t>
      </w:r>
      <w:r w:rsidR="004535AA" w:rsidRPr="001513F9">
        <w:rPr>
          <w:u w:val="single"/>
        </w:rPr>
        <w:t>υλ</w:t>
      </w:r>
      <w:r w:rsidR="00CC7CA5" w:rsidRPr="001513F9">
        <w:rPr>
          <w:u w:val="single"/>
        </w:rPr>
        <w:t>λ</w:t>
      </w:r>
      <w:r w:rsidRPr="001513F9">
        <w:rPr>
          <w:u w:val="single"/>
        </w:rPr>
        <w:t>ινικό οξύ</w:t>
      </w:r>
      <w:r w:rsidRPr="001513F9">
        <w:rPr>
          <w:bCs/>
          <w:u w:val="single"/>
        </w:rPr>
        <w:t xml:space="preserve"> (FA) (ως </w:t>
      </w:r>
      <w:r w:rsidR="00CC7CA5" w:rsidRPr="001513F9">
        <w:rPr>
          <w:u w:val="single"/>
        </w:rPr>
        <w:t>φ</w:t>
      </w:r>
      <w:r w:rsidR="004535AA" w:rsidRPr="001513F9">
        <w:rPr>
          <w:u w:val="single"/>
        </w:rPr>
        <w:t>υλ</w:t>
      </w:r>
      <w:r w:rsidR="00CC7CA5" w:rsidRPr="001513F9">
        <w:rPr>
          <w:u w:val="single"/>
        </w:rPr>
        <w:t>λ</w:t>
      </w:r>
      <w:r w:rsidRPr="001513F9">
        <w:rPr>
          <w:u w:val="single"/>
        </w:rPr>
        <w:t xml:space="preserve">ινικό ασβέστιο ή </w:t>
      </w:r>
      <w:r w:rsidR="00CC7CA5" w:rsidRPr="001513F9">
        <w:rPr>
          <w:u w:val="single"/>
        </w:rPr>
        <w:t>φ</w:t>
      </w:r>
      <w:r w:rsidR="004535AA" w:rsidRPr="001513F9">
        <w:rPr>
          <w:u w:val="single"/>
        </w:rPr>
        <w:t>υλ</w:t>
      </w:r>
      <w:r w:rsidR="00CC7CA5" w:rsidRPr="001513F9">
        <w:rPr>
          <w:u w:val="single"/>
        </w:rPr>
        <w:t>λ</w:t>
      </w:r>
      <w:r w:rsidRPr="001513F9">
        <w:rPr>
          <w:u w:val="single"/>
        </w:rPr>
        <w:t>ινικό νάτριο</w:t>
      </w:r>
      <w:r w:rsidRPr="001513F9">
        <w:rPr>
          <w:bCs/>
          <w:u w:val="single"/>
        </w:rPr>
        <w:t>)</w:t>
      </w:r>
    </w:p>
    <w:p w:rsidR="0029594E" w:rsidRPr="001513F9" w:rsidRDefault="00504424" w:rsidP="007364F9">
      <w:pPr>
        <w:tabs>
          <w:tab w:val="left" w:pos="693"/>
        </w:tabs>
        <w:jc w:val="both"/>
        <w:rPr>
          <w:snapToGrid w:val="0"/>
          <w:szCs w:val="22"/>
        </w:rPr>
      </w:pPr>
      <w:r w:rsidRPr="00C06019">
        <w:rPr>
          <w:snapToGrid w:val="0"/>
          <w:szCs w:val="22"/>
        </w:rPr>
        <w:t>Η ενδοφλέβια έγχυση οξαλιπλατίνης 85</w:t>
      </w:r>
      <w:r w:rsidR="004535AA" w:rsidRPr="000B008B">
        <w:rPr>
          <w:snapToGrid w:val="0"/>
          <w:szCs w:val="22"/>
        </w:rPr>
        <w:t> </w:t>
      </w:r>
      <w:r w:rsidRPr="001513F9">
        <w:rPr>
          <w:snapToGrid w:val="0"/>
          <w:szCs w:val="22"/>
        </w:rPr>
        <w:t xml:space="preserve">mg/m² σε 250 έως 500 ml διαλύματος γλυκόζης 5% (50 mg/ml) χορηγείται ταυτόχρονα με ενδοφλέβια έγχυση </w:t>
      </w:r>
      <w:r w:rsidR="00CC7CA5" w:rsidRPr="001513F9">
        <w:rPr>
          <w:snapToGrid w:val="0"/>
          <w:szCs w:val="22"/>
        </w:rPr>
        <w:t>φ</w:t>
      </w:r>
      <w:r w:rsidR="004535AA" w:rsidRPr="001513F9">
        <w:rPr>
          <w:snapToGrid w:val="0"/>
          <w:szCs w:val="22"/>
        </w:rPr>
        <w:t>υλ</w:t>
      </w:r>
      <w:r w:rsidR="00CC7CA5" w:rsidRPr="001513F9">
        <w:rPr>
          <w:snapToGrid w:val="0"/>
          <w:szCs w:val="22"/>
        </w:rPr>
        <w:t>λ</w:t>
      </w:r>
      <w:r w:rsidRPr="001513F9">
        <w:rPr>
          <w:snapToGrid w:val="0"/>
          <w:szCs w:val="22"/>
        </w:rPr>
        <w:t xml:space="preserve">ινικού οξέος σε διάλυμα γλυκόζης 5% (50 mg/ml), σε διάστημα 2 έως 6 ωρών, με χρήση μίας γραμμής Y που τοποθετείται αμέσως πριν τη θέση της έγχυσης. </w:t>
      </w:r>
    </w:p>
    <w:p w:rsidR="00504424" w:rsidRPr="00C06019" w:rsidRDefault="00504424" w:rsidP="007364F9">
      <w:pPr>
        <w:tabs>
          <w:tab w:val="left" w:pos="693"/>
        </w:tabs>
        <w:jc w:val="both"/>
        <w:rPr>
          <w:snapToGrid w:val="0"/>
          <w:szCs w:val="22"/>
        </w:rPr>
      </w:pPr>
      <w:r w:rsidRPr="001513F9">
        <w:rPr>
          <w:snapToGrid w:val="0"/>
          <w:szCs w:val="22"/>
        </w:rPr>
        <w:t xml:space="preserve">Αυτά τα δύο φαρμακευτικά προϊόντα δε θα πρέπει να συνδυάζονται στην ίδια φιάλη έγχυσης. Το </w:t>
      </w:r>
      <w:r w:rsidR="00CC7CA5" w:rsidRPr="001513F9">
        <w:rPr>
          <w:snapToGrid w:val="0"/>
          <w:szCs w:val="22"/>
        </w:rPr>
        <w:t>φ</w:t>
      </w:r>
      <w:r w:rsidR="004535AA" w:rsidRPr="001513F9">
        <w:rPr>
          <w:snapToGrid w:val="0"/>
          <w:szCs w:val="22"/>
        </w:rPr>
        <w:t>υλ</w:t>
      </w:r>
      <w:r w:rsidR="00CC7CA5" w:rsidRPr="001513F9">
        <w:rPr>
          <w:snapToGrid w:val="0"/>
          <w:szCs w:val="22"/>
        </w:rPr>
        <w:t>λ</w:t>
      </w:r>
      <w:r w:rsidRPr="001513F9">
        <w:rPr>
          <w:snapToGrid w:val="0"/>
          <w:szCs w:val="22"/>
        </w:rPr>
        <w:t xml:space="preserve">ινικό οξύ δε θα πρέπει να περιέχει τρομεταμόλη ως έκδοχο και θα πρέπει να αραιώνεται </w:t>
      </w:r>
      <w:r w:rsidRPr="001513F9">
        <w:t xml:space="preserve">χρησιμοποιώντας μόνο ισοτονικό διάλυμα </w:t>
      </w:r>
      <w:r w:rsidRPr="001513F9">
        <w:rPr>
          <w:snapToGrid w:val="0"/>
          <w:szCs w:val="22"/>
        </w:rPr>
        <w:t xml:space="preserve">γλυκόζης 5% (50 mg/ml) </w:t>
      </w:r>
      <w:r w:rsidRPr="001513F9">
        <w:t>και όχι αλκαλικά διαλύματα ή διαλύματα χλωριούχου νατρίου ή διαλύματα που περιέχουν χλ</w:t>
      </w:r>
      <w:r w:rsidR="004535AA" w:rsidRPr="001513F9">
        <w:t>ωριούχα</w:t>
      </w:r>
      <w:r w:rsidRPr="001513F9">
        <w:t>.</w:t>
      </w:r>
    </w:p>
    <w:p w:rsidR="00504424" w:rsidRPr="000B008B" w:rsidRDefault="00504424" w:rsidP="007364F9">
      <w:pPr>
        <w:tabs>
          <w:tab w:val="left" w:pos="693"/>
        </w:tabs>
        <w:jc w:val="both"/>
      </w:pPr>
    </w:p>
    <w:p w:rsidR="007364F9" w:rsidRPr="001513F9" w:rsidRDefault="007364F9" w:rsidP="007364F9">
      <w:pPr>
        <w:tabs>
          <w:tab w:val="left" w:pos="693"/>
        </w:tabs>
        <w:jc w:val="both"/>
        <w:rPr>
          <w:u w:val="single"/>
        </w:rPr>
      </w:pPr>
      <w:r w:rsidRPr="001513F9">
        <w:rPr>
          <w:u w:val="single"/>
        </w:rPr>
        <w:t xml:space="preserve">Οδηγίες χρήσης με </w:t>
      </w:r>
      <w:r w:rsidR="00767322" w:rsidRPr="001513F9">
        <w:rPr>
          <w:u w:val="single"/>
        </w:rPr>
        <w:t>5-φ</w:t>
      </w:r>
      <w:r w:rsidRPr="001513F9">
        <w:rPr>
          <w:u w:val="single"/>
        </w:rPr>
        <w:t>θοριοουρακίλη (</w:t>
      </w:r>
      <w:r w:rsidR="00767322" w:rsidRPr="001513F9">
        <w:rPr>
          <w:u w:val="single"/>
        </w:rPr>
        <w:t>5-F</w:t>
      </w:r>
      <w:r w:rsidRPr="001513F9">
        <w:rPr>
          <w:u w:val="single"/>
          <w:lang w:val="en-US"/>
        </w:rPr>
        <w:t>U</w:t>
      </w:r>
      <w:r w:rsidRPr="001513F9">
        <w:rPr>
          <w:u w:val="single"/>
        </w:rPr>
        <w:t>)</w:t>
      </w:r>
    </w:p>
    <w:p w:rsidR="00F8556B" w:rsidRPr="001513F9" w:rsidRDefault="00F8556B" w:rsidP="00F8556B">
      <w:pPr>
        <w:keepNext/>
        <w:ind w:right="144"/>
        <w:rPr>
          <w:szCs w:val="22"/>
        </w:rPr>
      </w:pPr>
      <w:r w:rsidRPr="001513F9">
        <w:rPr>
          <w:szCs w:val="22"/>
        </w:rPr>
        <w:t xml:space="preserve">Η οξαλιπλατίνη θα πρέπει να χορηγείται πάντοτε πριν από τις φθοριοπυριμιδίνες – δηλαδή την </w:t>
      </w:r>
      <w:r w:rsidR="00767322" w:rsidRPr="001513F9">
        <w:rPr>
          <w:szCs w:val="22"/>
        </w:rPr>
        <w:t>5-φ</w:t>
      </w:r>
      <w:r w:rsidRPr="001513F9">
        <w:rPr>
          <w:szCs w:val="22"/>
        </w:rPr>
        <w:t>θοριοουρακίλη. Μετά τη χορήγηση της οξαλιπλατίνης, θα πρέπει να ξεπλένετ</w:t>
      </w:r>
      <w:r w:rsidR="00A1542B">
        <w:rPr>
          <w:szCs w:val="22"/>
        </w:rPr>
        <w:t>αι</w:t>
      </w:r>
      <w:r w:rsidRPr="001513F9">
        <w:rPr>
          <w:szCs w:val="22"/>
        </w:rPr>
        <w:t xml:space="preserve"> η γραμμή και στη συνέχεια να χορηγείτ</w:t>
      </w:r>
      <w:r w:rsidR="00A1542B">
        <w:rPr>
          <w:szCs w:val="22"/>
        </w:rPr>
        <w:t>αι</w:t>
      </w:r>
      <w:r w:rsidRPr="001513F9">
        <w:rPr>
          <w:szCs w:val="22"/>
        </w:rPr>
        <w:t xml:space="preserve"> </w:t>
      </w:r>
      <w:r w:rsidR="00767322" w:rsidRPr="001513F9">
        <w:rPr>
          <w:szCs w:val="22"/>
        </w:rPr>
        <w:t>5-φ</w:t>
      </w:r>
      <w:r w:rsidRPr="001513F9">
        <w:rPr>
          <w:szCs w:val="22"/>
        </w:rPr>
        <w:t>θοριοουρακίλη.</w:t>
      </w:r>
    </w:p>
    <w:p w:rsidR="00F8556B" w:rsidRPr="001513F9" w:rsidRDefault="00F8556B" w:rsidP="00F8556B">
      <w:pPr>
        <w:keepNext/>
        <w:tabs>
          <w:tab w:val="left" w:pos="900"/>
        </w:tabs>
        <w:ind w:right="176"/>
        <w:rPr>
          <w:szCs w:val="22"/>
        </w:rPr>
      </w:pPr>
    </w:p>
    <w:p w:rsidR="00F8556B" w:rsidRPr="001513F9" w:rsidRDefault="00F8556B" w:rsidP="00F8556B">
      <w:pPr>
        <w:tabs>
          <w:tab w:val="left" w:pos="900"/>
        </w:tabs>
        <w:ind w:right="176"/>
        <w:rPr>
          <w:i/>
          <w:iCs/>
          <w:szCs w:val="22"/>
        </w:rPr>
      </w:pPr>
      <w:r w:rsidRPr="001513F9">
        <w:rPr>
          <w:szCs w:val="22"/>
        </w:rPr>
        <w:t>Για περισσότερες πληροφορίες σε σχέση με τα φαρμακευτικά προϊόντα που συνδυάζονται με την οξαλιπλατίνη, ανατρέξτε στην αντίστοιχη περίληψη των χαρακτηριστικών του προϊόντος του παρασκευαστή.</w:t>
      </w:r>
    </w:p>
    <w:p w:rsidR="007364F9" w:rsidRPr="001513F9" w:rsidRDefault="007364F9" w:rsidP="007364F9">
      <w:pPr>
        <w:tabs>
          <w:tab w:val="left" w:pos="693"/>
        </w:tabs>
        <w:jc w:val="both"/>
      </w:pPr>
    </w:p>
    <w:p w:rsidR="007364F9" w:rsidRPr="001513F9" w:rsidRDefault="007364F9" w:rsidP="007364F9">
      <w:pPr>
        <w:pStyle w:val="3"/>
        <w:ind w:right="0"/>
        <w:rPr>
          <w:rFonts w:ascii="Times New Roman" w:hAnsi="Times New Roman"/>
        </w:rPr>
      </w:pPr>
      <w:r w:rsidRPr="001513F9">
        <w:rPr>
          <w:rFonts w:ascii="Times New Roman" w:hAnsi="Times New Roman"/>
        </w:rPr>
        <w:t>Πυκνό διάλυμα για παρασκευή διαλύματος προς έγχυση</w:t>
      </w:r>
    </w:p>
    <w:p w:rsidR="00935961" w:rsidRPr="001513F9" w:rsidRDefault="00935961" w:rsidP="00935961">
      <w:pPr>
        <w:numPr>
          <w:ilvl w:val="12"/>
          <w:numId w:val="0"/>
        </w:numPr>
        <w:jc w:val="both"/>
        <w:rPr>
          <w:szCs w:val="22"/>
        </w:rPr>
      </w:pPr>
      <w:r w:rsidRPr="00C06019">
        <w:rPr>
          <w:szCs w:val="22"/>
        </w:rPr>
        <w:t xml:space="preserve">Ελέγξτε οπτικά το διάλυμα πριν από τη χρήση. </w:t>
      </w:r>
      <w:r w:rsidR="00AE253F" w:rsidRPr="000B008B">
        <w:rPr>
          <w:szCs w:val="22"/>
        </w:rPr>
        <w:t>Θα π</w:t>
      </w:r>
      <w:r w:rsidRPr="001513F9">
        <w:rPr>
          <w:szCs w:val="22"/>
        </w:rPr>
        <w:t xml:space="preserve">ρέπει να χρησιμοποιούνται μόνο τα διαυγή διαλύματα, χωρίς </w:t>
      </w:r>
      <w:r w:rsidR="00AE253F" w:rsidRPr="001513F9">
        <w:rPr>
          <w:szCs w:val="22"/>
        </w:rPr>
        <w:t xml:space="preserve">την παρουσία </w:t>
      </w:r>
      <w:r w:rsidRPr="001513F9">
        <w:rPr>
          <w:szCs w:val="22"/>
        </w:rPr>
        <w:t>σωματ</w:t>
      </w:r>
      <w:r w:rsidR="00AE253F" w:rsidRPr="001513F9">
        <w:rPr>
          <w:szCs w:val="22"/>
        </w:rPr>
        <w:t>ιδ</w:t>
      </w:r>
      <w:r w:rsidRPr="001513F9">
        <w:rPr>
          <w:szCs w:val="22"/>
        </w:rPr>
        <w:t>ί</w:t>
      </w:r>
      <w:r w:rsidR="00AE253F" w:rsidRPr="001513F9">
        <w:rPr>
          <w:szCs w:val="22"/>
        </w:rPr>
        <w:t>ων</w:t>
      </w:r>
      <w:r w:rsidRPr="001513F9">
        <w:rPr>
          <w:szCs w:val="22"/>
        </w:rPr>
        <w:t xml:space="preserve">. </w:t>
      </w:r>
    </w:p>
    <w:p w:rsidR="00935961" w:rsidRPr="001513F9" w:rsidRDefault="00935961" w:rsidP="00935961">
      <w:pPr>
        <w:pStyle w:val="a7"/>
      </w:pPr>
      <w:r w:rsidRPr="001513F9">
        <w:t xml:space="preserve">Αυτό το φαρμακευτικό προϊόν είναι για μία μόνο χρήση. Κάθε ποσότητα </w:t>
      </w:r>
      <w:r w:rsidR="004535AA" w:rsidRPr="001513F9">
        <w:t xml:space="preserve">πυκνού </w:t>
      </w:r>
      <w:r w:rsidRPr="001513F9">
        <w:t>διαλύματος που δε χρησιμοποιήθηκε θα πρέπει να απορρίπτεται (βλ. παρακάτω κεφάλαιο «απόρριψη»).</w:t>
      </w:r>
    </w:p>
    <w:p w:rsidR="007364F9" w:rsidRPr="001513F9" w:rsidRDefault="007364F9" w:rsidP="00935961">
      <w:pPr>
        <w:jc w:val="both"/>
        <w:rPr>
          <w:b/>
          <w:i/>
          <w:u w:val="single"/>
          <w:lang w:eastAsia="fr-FR"/>
        </w:rPr>
      </w:pPr>
    </w:p>
    <w:p w:rsidR="007364F9" w:rsidRPr="001513F9" w:rsidRDefault="007364F9" w:rsidP="00935961">
      <w:pPr>
        <w:jc w:val="both"/>
        <w:rPr>
          <w:szCs w:val="24"/>
          <w:u w:val="single"/>
          <w:lang w:eastAsia="fr-FR"/>
        </w:rPr>
      </w:pPr>
      <w:r w:rsidRPr="00C06019">
        <w:rPr>
          <w:u w:val="single"/>
        </w:rPr>
        <w:t>Αραίωση πριν την ενδοφλέβια έγχυση</w:t>
      </w:r>
    </w:p>
    <w:p w:rsidR="00202346" w:rsidRPr="001513F9" w:rsidRDefault="007364F9" w:rsidP="00202346">
      <w:pPr>
        <w:ind w:right="176"/>
        <w:rPr>
          <w:szCs w:val="22"/>
        </w:rPr>
      </w:pPr>
      <w:r w:rsidRPr="00C06019">
        <w:t>Αφαιρ</w:t>
      </w:r>
      <w:r w:rsidRPr="000B008B">
        <w:t xml:space="preserve">έστε την απαιτούμενη ποσότητα πυκνού διαλύματος από το φιαλίδιο και στη συνέχεια αραιώστε με 250 </w:t>
      </w:r>
      <w:r w:rsidRPr="001513F9">
        <w:rPr>
          <w:lang w:val="en-GB"/>
        </w:rPr>
        <w:t>ml</w:t>
      </w:r>
      <w:r w:rsidRPr="001513F9">
        <w:t xml:space="preserve"> έως 500</w:t>
      </w:r>
      <w:r w:rsidR="004535AA" w:rsidRPr="001513F9">
        <w:t> </w:t>
      </w:r>
      <w:r w:rsidRPr="001513F9">
        <w:rPr>
          <w:lang w:val="en-GB"/>
        </w:rPr>
        <w:t>ml</w:t>
      </w:r>
      <w:r w:rsidRPr="001513F9">
        <w:t xml:space="preserve"> διαλύματος γλυκόζης 5% (50</w:t>
      </w:r>
      <w:r w:rsidR="004535AA" w:rsidRPr="001513F9">
        <w:t> </w:t>
      </w:r>
      <w:r w:rsidRPr="001513F9">
        <w:rPr>
          <w:lang w:val="en-GB"/>
        </w:rPr>
        <w:t>mg</w:t>
      </w:r>
      <w:r w:rsidRPr="001513F9">
        <w:t>/</w:t>
      </w:r>
      <w:r w:rsidRPr="001513F9">
        <w:rPr>
          <w:lang w:val="en-GB"/>
        </w:rPr>
        <w:t>ml</w:t>
      </w:r>
      <w:r w:rsidRPr="001513F9">
        <w:t xml:space="preserve">) για την επίτευξη συγκέντρωσης οξαλιπλατίνης μεταξύ </w:t>
      </w:r>
      <w:r w:rsidR="004535AA" w:rsidRPr="001513F9">
        <w:t>τουλάχιστον</w:t>
      </w:r>
      <w:r w:rsidRPr="001513F9">
        <w:t xml:space="preserve"> 0,2</w:t>
      </w:r>
      <w:r w:rsidR="004535AA" w:rsidRPr="001513F9">
        <w:t> </w:t>
      </w:r>
      <w:r w:rsidRPr="001513F9">
        <w:rPr>
          <w:lang w:val="en-GB"/>
        </w:rPr>
        <w:t>mg</w:t>
      </w:r>
      <w:r w:rsidRPr="001513F9">
        <w:t>/</w:t>
      </w:r>
      <w:r w:rsidRPr="001513F9">
        <w:rPr>
          <w:lang w:val="en-GB"/>
        </w:rPr>
        <w:t>ml</w:t>
      </w:r>
      <w:r w:rsidRPr="001513F9">
        <w:t xml:space="preserve"> και έως 0,7</w:t>
      </w:r>
      <w:r w:rsidR="004535AA" w:rsidRPr="001513F9">
        <w:t> </w:t>
      </w:r>
      <w:r w:rsidRPr="001513F9">
        <w:rPr>
          <w:lang w:val="en-GB"/>
        </w:rPr>
        <w:t>mg</w:t>
      </w:r>
      <w:r w:rsidRPr="001513F9">
        <w:t>/</w:t>
      </w:r>
      <w:r w:rsidRPr="001513F9">
        <w:rPr>
          <w:lang w:val="en-GB"/>
        </w:rPr>
        <w:t>ml</w:t>
      </w:r>
      <w:r w:rsidRPr="001513F9">
        <w:t xml:space="preserve">. </w:t>
      </w:r>
      <w:r w:rsidR="00202346" w:rsidRPr="001513F9">
        <w:rPr>
          <w:szCs w:val="22"/>
        </w:rPr>
        <w:t xml:space="preserve">Το εύρος συγκέντρωσης στο οποίο έχει καταδειχτεί η φυσικοχημική σταθερότητα της οξαλιπλατίνης είναι από 0,2 mg/ml έως 2,0 mg/ml. </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Χορηγείστε με ενδοφλέβια έγχυση.</w:t>
      </w:r>
    </w:p>
    <w:p w:rsidR="007364F9" w:rsidRPr="001513F9" w:rsidRDefault="007364F9" w:rsidP="007364F9">
      <w:pPr>
        <w:numPr>
          <w:ilvl w:val="12"/>
          <w:numId w:val="0"/>
        </w:numPr>
        <w:jc w:val="both"/>
        <w:rPr>
          <w:szCs w:val="24"/>
        </w:rPr>
      </w:pPr>
    </w:p>
    <w:p w:rsidR="007364F9" w:rsidRPr="001513F9" w:rsidRDefault="007364F9" w:rsidP="007364F9">
      <w:pPr>
        <w:numPr>
          <w:ilvl w:val="12"/>
          <w:numId w:val="0"/>
        </w:numPr>
        <w:jc w:val="both"/>
      </w:pPr>
      <w:r w:rsidRPr="001513F9">
        <w:t>Μετά την αραίωση σε διάλυμα γλυκόζης 5% (50</w:t>
      </w:r>
      <w:r w:rsidR="004535AA" w:rsidRPr="001513F9">
        <w:t> </w:t>
      </w:r>
      <w:r w:rsidRPr="001513F9">
        <w:rPr>
          <w:lang w:val="en-GB"/>
        </w:rPr>
        <w:t>mg</w:t>
      </w:r>
      <w:r w:rsidRPr="001513F9">
        <w:t>/</w:t>
      </w:r>
      <w:r w:rsidRPr="001513F9">
        <w:rPr>
          <w:lang w:val="en-GB"/>
        </w:rPr>
        <w:t>ml</w:t>
      </w:r>
      <w:r w:rsidRPr="001513F9">
        <w:t xml:space="preserve">), η χημική και φυσική σταθερότητα </w:t>
      </w:r>
      <w:r w:rsidR="00202346" w:rsidRPr="001513F9">
        <w:t>κατά</w:t>
      </w:r>
      <w:r w:rsidRPr="001513F9">
        <w:t xml:space="preserve"> τη χρήση έχει τεκμηριωθεί για 48 ώρες σε θερμοκρασία +2</w:t>
      </w:r>
      <w:r w:rsidR="0029594E" w:rsidRPr="001513F9">
        <w:t>°</w:t>
      </w:r>
      <w:r w:rsidRPr="001513F9">
        <w:rPr>
          <w:lang w:val="en-GB"/>
        </w:rPr>
        <w:t>C</w:t>
      </w:r>
      <w:r w:rsidRPr="001513F9">
        <w:t xml:space="preserve"> έως +8</w:t>
      </w:r>
      <w:r w:rsidR="0029594E" w:rsidRPr="001513F9">
        <w:t>°</w:t>
      </w:r>
      <w:r w:rsidRPr="001513F9">
        <w:rPr>
          <w:lang w:val="en-GB"/>
        </w:rPr>
        <w:t>C</w:t>
      </w:r>
      <w:r w:rsidRPr="001513F9">
        <w:t xml:space="preserve"> και για 24 ώρες σε θερμοκρασία </w:t>
      </w:r>
      <w:r w:rsidRPr="001513F9">
        <w:lastRenderedPageBreak/>
        <w:t>+25</w:t>
      </w:r>
      <w:r w:rsidRPr="001513F9">
        <w:rPr>
          <w:vertAlign w:val="superscript"/>
        </w:rPr>
        <w:t xml:space="preserve"> </w:t>
      </w:r>
      <w:proofErr w:type="spellStart"/>
      <w:r w:rsidRPr="001513F9">
        <w:rPr>
          <w:vertAlign w:val="superscript"/>
          <w:lang w:val="en-GB"/>
        </w:rPr>
        <w:t>o</w:t>
      </w:r>
      <w:r w:rsidRPr="001513F9">
        <w:rPr>
          <w:lang w:val="en-GB"/>
        </w:rPr>
        <w:t>C</w:t>
      </w:r>
      <w:proofErr w:type="spellEnd"/>
      <w:r w:rsidRPr="001513F9">
        <w:t>.</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 xml:space="preserve">Από μικροβιολογικής πλευράς, το διάλυμα έγχυσης πρέπει να χρησιμοποιηθεί αμέσως. </w:t>
      </w:r>
    </w:p>
    <w:p w:rsidR="00202346" w:rsidRPr="001513F9" w:rsidRDefault="00202346" w:rsidP="00202346">
      <w:pPr>
        <w:rPr>
          <w:szCs w:val="22"/>
        </w:rPr>
      </w:pPr>
      <w:r w:rsidRPr="001513F9">
        <w:rPr>
          <w:szCs w:val="22"/>
        </w:rPr>
        <w:t>Εάν δε χρησιμοποιηθεί αμέσως, ο χρόνος διατήρησης του διαλύματος κατά τη χρήση, και οι συνθήκες πριν τη χρήση αποτελούν ευθύνη του χρήστη και κανονικά δε θα πρέπει να είναι περισσότερο από 24 ώρες σ</w:t>
      </w:r>
      <w:r w:rsidR="00BF4E28" w:rsidRPr="001513F9">
        <w:rPr>
          <w:szCs w:val="22"/>
        </w:rPr>
        <w:t xml:space="preserve">ε θερμοκρασία </w:t>
      </w:r>
      <w:r w:rsidRPr="001513F9">
        <w:rPr>
          <w:szCs w:val="22"/>
        </w:rPr>
        <w:t>2 °C έως 8 °C, εκτός εάν η αραίωση έχει πραγματοποιηθεί σε ελεγχόμενες και αξιολογημένες άσηπτες συνθήκες.</w:t>
      </w:r>
    </w:p>
    <w:p w:rsidR="007364F9" w:rsidRPr="001513F9" w:rsidRDefault="007364F9" w:rsidP="007364F9">
      <w:pPr>
        <w:numPr>
          <w:ilvl w:val="12"/>
          <w:numId w:val="0"/>
        </w:numPr>
        <w:jc w:val="both"/>
      </w:pPr>
    </w:p>
    <w:p w:rsidR="007364F9" w:rsidRPr="001513F9" w:rsidRDefault="007364F9" w:rsidP="007364F9">
      <w:pPr>
        <w:numPr>
          <w:ilvl w:val="12"/>
          <w:numId w:val="0"/>
        </w:numPr>
        <w:jc w:val="both"/>
      </w:pPr>
      <w:r w:rsidRPr="001513F9">
        <w:t xml:space="preserve">Ελέγξτε οπτικά το διάλυμα πριν από τη χρήση. </w:t>
      </w:r>
      <w:r w:rsidR="005E7FA9" w:rsidRPr="001513F9">
        <w:t>Θα π</w:t>
      </w:r>
      <w:r w:rsidRPr="001513F9">
        <w:t xml:space="preserve">ρέπει να χρησιμοποιούνται μόνο τα διαυγή διαλύματα, χωρίς </w:t>
      </w:r>
      <w:r w:rsidR="005E7FA9" w:rsidRPr="001513F9">
        <w:t xml:space="preserve">την παρουσία </w:t>
      </w:r>
      <w:r w:rsidRPr="001513F9">
        <w:t>σωματ</w:t>
      </w:r>
      <w:r w:rsidR="005E7FA9" w:rsidRPr="001513F9">
        <w:t>ιδ</w:t>
      </w:r>
      <w:r w:rsidRPr="001513F9">
        <w:t>ί</w:t>
      </w:r>
      <w:r w:rsidR="005E7FA9" w:rsidRPr="001513F9">
        <w:t>ων</w:t>
      </w:r>
      <w:r w:rsidRPr="001513F9">
        <w:t xml:space="preserve">. </w:t>
      </w:r>
    </w:p>
    <w:p w:rsidR="007364F9" w:rsidRPr="001513F9" w:rsidRDefault="007364F9" w:rsidP="007364F9">
      <w:pPr>
        <w:numPr>
          <w:ilvl w:val="12"/>
          <w:numId w:val="0"/>
        </w:numPr>
        <w:jc w:val="both"/>
      </w:pPr>
    </w:p>
    <w:p w:rsidR="007364F9" w:rsidRPr="001513F9" w:rsidRDefault="007364F9" w:rsidP="007364F9">
      <w:pPr>
        <w:jc w:val="both"/>
        <w:rPr>
          <w:lang w:eastAsia="fr-FR"/>
        </w:rPr>
      </w:pPr>
      <w:r w:rsidRPr="001513F9">
        <w:t xml:space="preserve">Το φαρμακευτικό αυτό προϊόν είναι για μία μόνο χρήση. Κάθε ποσότητα διαλύματος προς έγχυση που δε χρησιμοποιήθηκε θα πρέπει να </w:t>
      </w:r>
      <w:r w:rsidR="00D827CD" w:rsidRPr="001513F9">
        <w:t>απορρίπτεται</w:t>
      </w:r>
      <w:r w:rsidRPr="001513F9">
        <w:t xml:space="preserve"> (βλ. </w:t>
      </w:r>
      <w:r w:rsidR="00D827CD" w:rsidRPr="001513F9">
        <w:t xml:space="preserve">παρακάτω </w:t>
      </w:r>
      <w:r w:rsidRPr="001513F9">
        <w:t>κεφάλαιο «</w:t>
      </w:r>
      <w:r w:rsidR="00D827CD" w:rsidRPr="001513F9">
        <w:t>Απόρριψη</w:t>
      </w:r>
      <w:r w:rsidRPr="001513F9">
        <w:t>»).</w:t>
      </w:r>
    </w:p>
    <w:p w:rsidR="007364F9" w:rsidRPr="001513F9" w:rsidRDefault="007364F9" w:rsidP="007364F9">
      <w:pPr>
        <w:ind w:left="720"/>
        <w:jc w:val="both"/>
        <w:rPr>
          <w:lang w:eastAsia="fr-FR"/>
        </w:rPr>
      </w:pPr>
    </w:p>
    <w:p w:rsidR="00EA08A1" w:rsidRPr="001513F9" w:rsidRDefault="00EA08A1" w:rsidP="00EA08A1">
      <w:pPr>
        <w:rPr>
          <w:szCs w:val="22"/>
          <w:u w:val="single"/>
        </w:rPr>
      </w:pPr>
      <w:r w:rsidRPr="00C06019">
        <w:rPr>
          <w:szCs w:val="22"/>
        </w:rPr>
        <w:t xml:space="preserve">Μη χρησιμοποιείτε </w:t>
      </w:r>
      <w:r w:rsidRPr="000B008B">
        <w:rPr>
          <w:b/>
          <w:bCs/>
          <w:szCs w:val="22"/>
        </w:rPr>
        <w:t>ΠΟΤΕ</w:t>
      </w:r>
      <w:r w:rsidRPr="001513F9">
        <w:rPr>
          <w:szCs w:val="22"/>
        </w:rPr>
        <w:t xml:space="preserve"> για την  αραίωση διαλύματα που περιέχουν χλωριούχο νάτριο ή χλ</w:t>
      </w:r>
      <w:r w:rsidR="004535AA" w:rsidRPr="001513F9">
        <w:rPr>
          <w:szCs w:val="22"/>
        </w:rPr>
        <w:t>ωριούχα</w:t>
      </w:r>
      <w:r w:rsidRPr="001513F9">
        <w:rPr>
          <w:szCs w:val="22"/>
        </w:rPr>
        <w:t>.</w:t>
      </w:r>
    </w:p>
    <w:p w:rsidR="007364F9" w:rsidRPr="001513F9" w:rsidRDefault="007364F9" w:rsidP="007364F9">
      <w:pPr>
        <w:jc w:val="both"/>
      </w:pPr>
    </w:p>
    <w:p w:rsidR="00EA08A1" w:rsidRPr="00C06019" w:rsidRDefault="00EA08A1" w:rsidP="00EA08A1">
      <w:pPr>
        <w:rPr>
          <w:szCs w:val="22"/>
        </w:rPr>
      </w:pPr>
      <w:r w:rsidRPr="00C06019">
        <w:rPr>
          <w:szCs w:val="22"/>
        </w:rPr>
        <w:t>Η συμβατότητα του διαλύματος προς έγχυση της οξαλιπλατίνης έχει ελεγχθεί με αντιπροσωπευτικά σετ χορήγησης με βάση το PVC.</w:t>
      </w:r>
    </w:p>
    <w:p w:rsidR="007364F9" w:rsidRPr="001513F9" w:rsidRDefault="007364F9" w:rsidP="003554EF">
      <w:pPr>
        <w:pStyle w:val="6"/>
        <w:rPr>
          <w:i w:val="0"/>
          <w:lang w:val="el-GR"/>
        </w:rPr>
      </w:pPr>
    </w:p>
    <w:p w:rsidR="007364F9" w:rsidRPr="000B008B" w:rsidRDefault="007364F9" w:rsidP="007364F9">
      <w:pPr>
        <w:jc w:val="both"/>
        <w:rPr>
          <w:u w:val="single"/>
        </w:rPr>
      </w:pPr>
      <w:r w:rsidRPr="00C06019">
        <w:rPr>
          <w:u w:val="single"/>
        </w:rPr>
        <w:t>Έγχυση</w:t>
      </w:r>
    </w:p>
    <w:p w:rsidR="007364F9" w:rsidRPr="001513F9" w:rsidRDefault="007364F9" w:rsidP="007364F9">
      <w:pPr>
        <w:numPr>
          <w:ilvl w:val="12"/>
          <w:numId w:val="0"/>
        </w:numPr>
        <w:jc w:val="both"/>
        <w:rPr>
          <w:szCs w:val="24"/>
        </w:rPr>
      </w:pPr>
      <w:r w:rsidRPr="001513F9">
        <w:t xml:space="preserve">Η χορήγηση της οξαλιπλατίνης δεν απαιτεί προηγούμενη ενυδάτωση. </w:t>
      </w:r>
    </w:p>
    <w:p w:rsidR="007364F9" w:rsidRPr="001513F9" w:rsidRDefault="007364F9" w:rsidP="007364F9">
      <w:pPr>
        <w:numPr>
          <w:ilvl w:val="12"/>
          <w:numId w:val="0"/>
        </w:numPr>
        <w:ind w:left="60"/>
        <w:jc w:val="both"/>
      </w:pPr>
    </w:p>
    <w:p w:rsidR="002F1083" w:rsidRPr="001513F9" w:rsidRDefault="002F1083" w:rsidP="002F1083">
      <w:pPr>
        <w:pStyle w:val="a8"/>
        <w:ind w:left="0" w:firstLine="0"/>
        <w:rPr>
          <w:b w:val="0"/>
          <w:i w:val="0"/>
          <w:sz w:val="22"/>
          <w:szCs w:val="22"/>
          <w:lang w:val="el-GR"/>
        </w:rPr>
      </w:pPr>
      <w:r w:rsidRPr="001513F9">
        <w:rPr>
          <w:b w:val="0"/>
          <w:i w:val="0"/>
          <w:sz w:val="22"/>
          <w:szCs w:val="22"/>
          <w:lang w:val="el-GR"/>
        </w:rPr>
        <w:t>Η οξαλιπλατίνη αραιωμένη σε 250 έως 500 ml διαλύματος γλυκόζης 5% (50 mg/ml) για την επίτευξη συγκέντρωσης όχι μικρότερης των</w:t>
      </w:r>
      <w:r w:rsidRPr="001513F9">
        <w:rPr>
          <w:lang w:val="el-GR"/>
        </w:rPr>
        <w:t xml:space="preserve"> </w:t>
      </w:r>
      <w:r w:rsidRPr="001513F9">
        <w:rPr>
          <w:b w:val="0"/>
          <w:i w:val="0"/>
          <w:sz w:val="22"/>
          <w:szCs w:val="22"/>
          <w:lang w:val="el-GR"/>
        </w:rPr>
        <w:t>0,2 mg/ml θα πρέπει να εγχ</w:t>
      </w:r>
      <w:r w:rsidR="004535AA" w:rsidRPr="001513F9">
        <w:rPr>
          <w:b w:val="0"/>
          <w:i w:val="0"/>
          <w:sz w:val="22"/>
          <w:szCs w:val="22"/>
          <w:lang w:val="el-GR"/>
        </w:rPr>
        <w:t>έ</w:t>
      </w:r>
      <w:r w:rsidRPr="001513F9">
        <w:rPr>
          <w:b w:val="0"/>
          <w:i w:val="0"/>
          <w:sz w:val="22"/>
          <w:szCs w:val="22"/>
          <w:lang w:val="el-GR"/>
        </w:rPr>
        <w:t xml:space="preserve">εται μέσω είτε μίας κεντρικής </w:t>
      </w:r>
      <w:r w:rsidR="00D31CF0" w:rsidRPr="001513F9">
        <w:rPr>
          <w:b w:val="0"/>
          <w:i w:val="0"/>
          <w:sz w:val="22"/>
          <w:szCs w:val="22"/>
          <w:lang w:val="el-GR"/>
        </w:rPr>
        <w:t xml:space="preserve">φλεβικής γραμμής </w:t>
      </w:r>
      <w:r w:rsidRPr="001513F9">
        <w:rPr>
          <w:b w:val="0"/>
          <w:i w:val="0"/>
          <w:sz w:val="22"/>
          <w:szCs w:val="22"/>
          <w:lang w:val="el-GR"/>
        </w:rPr>
        <w:t xml:space="preserve">είτε μίας περιφερικής </w:t>
      </w:r>
      <w:r w:rsidR="00D31CF0" w:rsidRPr="001513F9">
        <w:rPr>
          <w:b w:val="0"/>
          <w:i w:val="0"/>
          <w:sz w:val="22"/>
          <w:szCs w:val="22"/>
          <w:lang w:val="el-GR"/>
        </w:rPr>
        <w:t xml:space="preserve">φλέβας </w:t>
      </w:r>
      <w:r w:rsidRPr="001513F9">
        <w:rPr>
          <w:b w:val="0"/>
          <w:i w:val="0"/>
          <w:sz w:val="22"/>
          <w:szCs w:val="22"/>
          <w:lang w:val="el-GR"/>
        </w:rPr>
        <w:t xml:space="preserve">σε διάστημα 2 έως 6 ωρών. Όταν η οξαλιπλατίνη χορηγείται μαζί με </w:t>
      </w:r>
      <w:r w:rsidR="00767322" w:rsidRPr="001513F9">
        <w:rPr>
          <w:b w:val="0"/>
          <w:i w:val="0"/>
          <w:sz w:val="22"/>
          <w:szCs w:val="22"/>
          <w:lang w:val="el-GR"/>
        </w:rPr>
        <w:t>5-φ</w:t>
      </w:r>
      <w:r w:rsidRPr="001513F9">
        <w:rPr>
          <w:b w:val="0"/>
          <w:i w:val="0"/>
          <w:sz w:val="22"/>
          <w:szCs w:val="22"/>
          <w:lang w:val="el-GR"/>
        </w:rPr>
        <w:t xml:space="preserve">θοριοουρακίλη, η έγχυση οξαλιπλατίνης θα πρέπει να προηγείται της χορήγησης της </w:t>
      </w:r>
      <w:r w:rsidR="00767322" w:rsidRPr="001513F9">
        <w:rPr>
          <w:b w:val="0"/>
          <w:i w:val="0"/>
          <w:sz w:val="22"/>
          <w:szCs w:val="22"/>
          <w:lang w:val="el-GR"/>
        </w:rPr>
        <w:t>5-φ</w:t>
      </w:r>
      <w:r w:rsidRPr="001513F9">
        <w:rPr>
          <w:b w:val="0"/>
          <w:i w:val="0"/>
          <w:sz w:val="22"/>
          <w:szCs w:val="22"/>
          <w:lang w:val="el-GR"/>
        </w:rPr>
        <w:t>θοριοουρακίλης.</w:t>
      </w:r>
    </w:p>
    <w:p w:rsidR="007364F9" w:rsidRPr="001513F9" w:rsidRDefault="007364F9" w:rsidP="003554EF">
      <w:pPr>
        <w:jc w:val="both"/>
        <w:rPr>
          <w:u w:val="single"/>
          <w:lang w:eastAsia="fr-FR"/>
        </w:rPr>
      </w:pPr>
    </w:p>
    <w:p w:rsidR="00A2454C" w:rsidRPr="00C06019" w:rsidRDefault="00A2454C" w:rsidP="00A2454C">
      <w:pPr>
        <w:ind w:right="-12"/>
        <w:jc w:val="both"/>
        <w:rPr>
          <w:bCs/>
          <w:snapToGrid w:val="0"/>
          <w:szCs w:val="22"/>
          <w:u w:val="single"/>
        </w:rPr>
      </w:pPr>
      <w:r w:rsidRPr="00C06019">
        <w:rPr>
          <w:bCs/>
          <w:snapToGrid w:val="0"/>
          <w:szCs w:val="22"/>
          <w:u w:val="single"/>
        </w:rPr>
        <w:t>Απόρριψη</w:t>
      </w:r>
    </w:p>
    <w:p w:rsidR="00A2454C" w:rsidRPr="001513F9" w:rsidRDefault="00A2454C" w:rsidP="00A2454C">
      <w:pPr>
        <w:keepNext/>
        <w:rPr>
          <w:szCs w:val="22"/>
        </w:rPr>
      </w:pPr>
      <w:r w:rsidRPr="000B008B">
        <w:rPr>
          <w:szCs w:val="22"/>
        </w:rPr>
        <w:t>Τα υπολείμματα του φαρμ</w:t>
      </w:r>
      <w:r w:rsidRPr="001513F9">
        <w:rPr>
          <w:szCs w:val="22"/>
        </w:rPr>
        <w:t xml:space="preserve">ακευτικού προϊόντος, καθώς και όλα τα υλικά που έχουν χρησιμοποιηθεί για την αραίωση και τη χορήγηση, θα πρέπει να καταστρέφονται σύμφωνα με τις συνήθεις διαδικασίες του νοσοκομείου που ισχύουν για τους </w:t>
      </w:r>
      <w:r w:rsidR="00163153" w:rsidRPr="001513F9">
        <w:rPr>
          <w:szCs w:val="22"/>
        </w:rPr>
        <w:t>κυτταροτοξικούς</w:t>
      </w:r>
      <w:r w:rsidRPr="001513F9">
        <w:rPr>
          <w:szCs w:val="22"/>
        </w:rPr>
        <w:t xml:space="preserve"> παράγοντες, σύμφωνα με τις κατά τόπους ισχύουσες διατάξεις που σχετίζονται με την αποκομιδή επικίνδυνων αποβλήτων.</w:t>
      </w:r>
    </w:p>
    <w:p w:rsidR="007364F9" w:rsidRPr="001513F9" w:rsidRDefault="007364F9" w:rsidP="003554EF">
      <w:pPr>
        <w:numPr>
          <w:ilvl w:val="12"/>
          <w:numId w:val="0"/>
        </w:numPr>
        <w:jc w:val="both"/>
      </w:pPr>
    </w:p>
    <w:p w:rsidR="007364F9" w:rsidRPr="001513F9" w:rsidRDefault="007364F9" w:rsidP="007364F9">
      <w:pPr>
        <w:rPr>
          <w:noProof/>
        </w:rPr>
      </w:pPr>
    </w:p>
    <w:p w:rsidR="007364F9" w:rsidRPr="001513F9" w:rsidRDefault="007364F9" w:rsidP="007364F9">
      <w:pPr>
        <w:rPr>
          <w:noProof/>
        </w:rPr>
      </w:pPr>
      <w:r w:rsidRPr="001513F9">
        <w:rPr>
          <w:b/>
          <w:noProof/>
        </w:rPr>
        <w:t>7.</w:t>
      </w:r>
      <w:r w:rsidRPr="001513F9">
        <w:rPr>
          <w:b/>
          <w:noProof/>
        </w:rPr>
        <w:tab/>
        <w:t>ΚΑΤΟΧΟΣ ΤΗΣ ΑΔΕΙΑΣ ΚΥΚΛΟΦΟΡΙΑΣ</w:t>
      </w:r>
    </w:p>
    <w:p w:rsidR="007364F9" w:rsidRPr="001513F9" w:rsidRDefault="007364F9" w:rsidP="007364F9">
      <w:pPr>
        <w:rPr>
          <w:noProof/>
        </w:rPr>
      </w:pPr>
    </w:p>
    <w:p w:rsidR="007364F9" w:rsidRPr="001513F9" w:rsidRDefault="007364F9" w:rsidP="007364F9">
      <w:pPr>
        <w:rPr>
          <w:b/>
        </w:rPr>
      </w:pPr>
      <w:r w:rsidRPr="001513F9">
        <w:rPr>
          <w:b/>
        </w:rPr>
        <w:t xml:space="preserve">sanofi-aventis AEBE </w:t>
      </w:r>
    </w:p>
    <w:p w:rsidR="007364F9" w:rsidRPr="001513F9" w:rsidRDefault="007364F9" w:rsidP="007364F9">
      <w:r w:rsidRPr="001513F9">
        <w:t>Λεωφ. Συγγρού 348 - Κτ</w:t>
      </w:r>
      <w:r w:rsidR="00544215" w:rsidRPr="001513F9">
        <w:t>ή</w:t>
      </w:r>
      <w:r w:rsidRPr="001513F9">
        <w:t>ριο Α</w:t>
      </w:r>
      <w:r w:rsidR="00544215" w:rsidRPr="001513F9">
        <w:t>΄</w:t>
      </w:r>
    </w:p>
    <w:p w:rsidR="007364F9" w:rsidRPr="001513F9" w:rsidRDefault="007364F9" w:rsidP="007364F9">
      <w:r w:rsidRPr="001513F9">
        <w:t>176 74 Καλλιθέα, Αθήνα</w:t>
      </w:r>
    </w:p>
    <w:p w:rsidR="007364F9" w:rsidRPr="001513F9" w:rsidRDefault="007364F9" w:rsidP="007364F9">
      <w:pPr>
        <w:rPr>
          <w:noProof/>
        </w:rPr>
      </w:pPr>
    </w:p>
    <w:p w:rsidR="007364F9" w:rsidRPr="001513F9" w:rsidRDefault="007364F9" w:rsidP="007364F9">
      <w:pPr>
        <w:rPr>
          <w:noProof/>
        </w:rPr>
      </w:pPr>
    </w:p>
    <w:p w:rsidR="007364F9" w:rsidRPr="001513F9" w:rsidRDefault="007364F9" w:rsidP="007364F9">
      <w:pPr>
        <w:rPr>
          <w:noProof/>
        </w:rPr>
      </w:pPr>
      <w:r w:rsidRPr="001513F9">
        <w:rPr>
          <w:b/>
          <w:noProof/>
        </w:rPr>
        <w:t>8.</w:t>
      </w:r>
      <w:r w:rsidRPr="001513F9">
        <w:rPr>
          <w:b/>
          <w:noProof/>
        </w:rPr>
        <w:tab/>
        <w:t>ΑΡΙΘΜΟΣ(ΟΙ) ΑΔΕΙΑΣ ΚΥΚΛΟΦΟΡΙΑΣ</w:t>
      </w:r>
    </w:p>
    <w:p w:rsidR="007364F9" w:rsidRPr="001513F9" w:rsidRDefault="007364F9" w:rsidP="007364F9">
      <w:pPr>
        <w:rPr>
          <w:noProof/>
        </w:rPr>
      </w:pPr>
    </w:p>
    <w:p w:rsidR="007364F9" w:rsidRPr="001513F9" w:rsidRDefault="007364F9" w:rsidP="007364F9">
      <w:pPr>
        <w:rPr>
          <w:noProof/>
        </w:rPr>
      </w:pPr>
    </w:p>
    <w:p w:rsidR="007364F9" w:rsidRPr="001513F9" w:rsidRDefault="007364F9" w:rsidP="007364F9">
      <w:pPr>
        <w:rPr>
          <w:noProof/>
        </w:rPr>
      </w:pPr>
      <w:r w:rsidRPr="001513F9">
        <w:rPr>
          <w:b/>
          <w:noProof/>
        </w:rPr>
        <w:t>9.</w:t>
      </w:r>
      <w:r w:rsidRPr="001513F9">
        <w:rPr>
          <w:b/>
          <w:noProof/>
        </w:rPr>
        <w:tab/>
        <w:t>ΗΜΕΡΟΜΗΝΙΑ ΠΡΩΤΗΣ ΕΓΚΡΙΣΗΣ / ΑΝΑΝΕΩΣΗΣ ΤΗΣ ΑΔΕΙΑΣ</w:t>
      </w:r>
    </w:p>
    <w:p w:rsidR="007364F9" w:rsidRPr="001513F9" w:rsidRDefault="007364F9" w:rsidP="007364F9">
      <w:pPr>
        <w:rPr>
          <w:noProof/>
        </w:rPr>
      </w:pPr>
    </w:p>
    <w:p w:rsidR="007364F9" w:rsidRPr="001513F9" w:rsidRDefault="00CA1025" w:rsidP="007364F9">
      <w:pPr>
        <w:rPr>
          <w:noProof/>
        </w:rPr>
      </w:pPr>
      <w:r w:rsidRPr="001513F9">
        <w:rPr>
          <w:noProof/>
        </w:rPr>
        <w:t xml:space="preserve">Ημερομηνία πρώτης έγκρισης: </w:t>
      </w:r>
      <w:r w:rsidR="007364F9" w:rsidRPr="001513F9">
        <w:rPr>
          <w:noProof/>
        </w:rPr>
        <w:t>31/08/2006</w:t>
      </w:r>
    </w:p>
    <w:p w:rsidR="007364F9" w:rsidRPr="001513F9" w:rsidRDefault="007364F9" w:rsidP="007364F9">
      <w:pPr>
        <w:rPr>
          <w:noProof/>
        </w:rPr>
      </w:pPr>
    </w:p>
    <w:p w:rsidR="007364F9" w:rsidRPr="001513F9" w:rsidRDefault="007364F9" w:rsidP="007364F9">
      <w:pPr>
        <w:rPr>
          <w:noProof/>
        </w:rPr>
      </w:pPr>
    </w:p>
    <w:p w:rsidR="008F6532" w:rsidRPr="00AD1862" w:rsidRDefault="007364F9" w:rsidP="007364F9">
      <w:pPr>
        <w:rPr>
          <w:b/>
          <w:noProof/>
          <w:lang w:val="en-US"/>
        </w:rPr>
        <w:sectPr w:rsidR="008F6532" w:rsidRPr="00AD1862">
          <w:footerReference w:type="default" r:id="rId7"/>
          <w:footerReference w:type="first" r:id="rId8"/>
          <w:endnotePr>
            <w:numFmt w:val="decimal"/>
          </w:endnotePr>
          <w:pgSz w:w="11896" w:h="16834" w:code="9"/>
          <w:pgMar w:top="993" w:right="1418" w:bottom="1134" w:left="1418" w:header="737" w:footer="737" w:gutter="0"/>
          <w:cols w:space="720"/>
          <w:titlePg/>
        </w:sectPr>
      </w:pPr>
      <w:r w:rsidRPr="001513F9">
        <w:rPr>
          <w:b/>
          <w:noProof/>
        </w:rPr>
        <w:t>10.</w:t>
      </w:r>
      <w:r w:rsidRPr="001513F9">
        <w:rPr>
          <w:b/>
          <w:noProof/>
        </w:rPr>
        <w:tab/>
        <w:t>ΗΜΕΡΟΜΗΝΙΑ ΑΝΑΘΕΩΡΗΣΗΣ ΤΟΥ ΚΕΙΜΕΝΟΥ</w:t>
      </w:r>
    </w:p>
    <w:p w:rsidR="008F6532" w:rsidRPr="00AD1862" w:rsidRDefault="008F6532" w:rsidP="007364F9">
      <w:pPr>
        <w:rPr>
          <w:noProof/>
          <w:lang w:val="en-US"/>
        </w:rPr>
      </w:pPr>
    </w:p>
    <w:sectPr w:rsidR="008F6532" w:rsidRPr="00AD1862" w:rsidSect="008F6532">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ED" w:rsidRDefault="00D200ED">
      <w:r>
        <w:separator/>
      </w:r>
    </w:p>
  </w:endnote>
  <w:endnote w:type="continuationSeparator" w:id="0">
    <w:p w:rsidR="00D200ED" w:rsidRDefault="00D2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F6" w:rsidRDefault="007E205F">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0C73F6">
      <w:rPr>
        <w:rFonts w:ascii="Helvetica" w:hAnsi="Helvetica"/>
        <w:sz w:val="16"/>
        <w:lang w:val="fr-FR"/>
      </w:rPr>
      <w:instrText xml:space="preserve">PAGE  </w:instrText>
    </w:r>
    <w:r>
      <w:rPr>
        <w:rFonts w:ascii="Helvetica" w:hAnsi="Helvetica"/>
        <w:sz w:val="16"/>
        <w:lang w:val="fr-FR"/>
      </w:rPr>
      <w:fldChar w:fldCharType="separate"/>
    </w:r>
    <w:r w:rsidR="00AD1862">
      <w:rPr>
        <w:rFonts w:ascii="Helvetica" w:hAnsi="Helvetica"/>
        <w:noProof/>
        <w:sz w:val="16"/>
        <w:lang w:val="fr-FR"/>
      </w:rPr>
      <w:t>19</w:t>
    </w:r>
    <w:r>
      <w:rPr>
        <w:rFonts w:ascii="Helvetica" w:hAnsi="Helvetica"/>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F6" w:rsidRDefault="007E205F">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sidR="000C73F6">
      <w:rPr>
        <w:rFonts w:ascii="Helvetica" w:hAnsi="Helvetica"/>
        <w:sz w:val="16"/>
        <w:lang w:val="fr-FR"/>
      </w:rPr>
      <w:instrText xml:space="preserve">PAGE  </w:instrText>
    </w:r>
    <w:r>
      <w:rPr>
        <w:rFonts w:ascii="Helvetica" w:hAnsi="Helvetica"/>
        <w:sz w:val="16"/>
        <w:lang w:val="fr-FR"/>
      </w:rPr>
      <w:fldChar w:fldCharType="separate"/>
    </w:r>
    <w:r w:rsidR="009C4577">
      <w:rPr>
        <w:rFonts w:ascii="Helvetica" w:hAnsi="Helvetica"/>
        <w:noProof/>
        <w:sz w:val="16"/>
        <w:lang w:val="fr-FR"/>
      </w:rPr>
      <w:t>1</w:t>
    </w:r>
    <w:r>
      <w:rPr>
        <w:rFonts w:ascii="Helvetica" w:hAnsi="Helvetica"/>
        <w:sz w:val="16"/>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F6" w:rsidRDefault="007E205F" w:rsidP="008F6532">
    <w:pPr>
      <w:pStyle w:val="a4"/>
      <w:framePr w:wrap="around" w:vAnchor="text" w:hAnchor="margin" w:xAlign="right" w:y="1"/>
      <w:rPr>
        <w:rStyle w:val="a5"/>
      </w:rPr>
    </w:pPr>
    <w:r>
      <w:rPr>
        <w:rStyle w:val="a5"/>
      </w:rPr>
      <w:fldChar w:fldCharType="begin"/>
    </w:r>
    <w:r w:rsidR="000C73F6">
      <w:rPr>
        <w:rStyle w:val="a5"/>
      </w:rPr>
      <w:instrText xml:space="preserve">PAGE  </w:instrText>
    </w:r>
    <w:r>
      <w:rPr>
        <w:rStyle w:val="a5"/>
      </w:rPr>
      <w:fldChar w:fldCharType="end"/>
    </w:r>
  </w:p>
  <w:p w:rsidR="000C73F6" w:rsidRDefault="000C73F6" w:rsidP="008F6532">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F6" w:rsidRPr="00AE2280" w:rsidRDefault="007E205F" w:rsidP="008F6532">
    <w:pPr>
      <w:pStyle w:val="a4"/>
      <w:framePr w:wrap="around" w:vAnchor="text" w:hAnchor="margin" w:xAlign="right" w:y="1"/>
      <w:rPr>
        <w:rStyle w:val="a5"/>
        <w:sz w:val="18"/>
        <w:szCs w:val="18"/>
      </w:rPr>
    </w:pPr>
    <w:r w:rsidRPr="00AE2280">
      <w:rPr>
        <w:rStyle w:val="a5"/>
        <w:sz w:val="18"/>
        <w:szCs w:val="18"/>
      </w:rPr>
      <w:fldChar w:fldCharType="begin"/>
    </w:r>
    <w:r w:rsidR="000C73F6" w:rsidRPr="00AE2280">
      <w:rPr>
        <w:rStyle w:val="a5"/>
        <w:sz w:val="18"/>
        <w:szCs w:val="18"/>
      </w:rPr>
      <w:instrText xml:space="preserve">PAGE  </w:instrText>
    </w:r>
    <w:r w:rsidRPr="00AE2280">
      <w:rPr>
        <w:rStyle w:val="a5"/>
        <w:sz w:val="18"/>
        <w:szCs w:val="18"/>
      </w:rPr>
      <w:fldChar w:fldCharType="separate"/>
    </w:r>
    <w:r w:rsidR="00AD1862">
      <w:rPr>
        <w:rStyle w:val="a5"/>
        <w:noProof/>
        <w:sz w:val="18"/>
        <w:szCs w:val="18"/>
      </w:rPr>
      <w:t>20</w:t>
    </w:r>
    <w:r w:rsidRPr="00AE2280">
      <w:rPr>
        <w:rStyle w:val="a5"/>
        <w:sz w:val="18"/>
        <w:szCs w:val="18"/>
      </w:rPr>
      <w:fldChar w:fldCharType="end"/>
    </w:r>
  </w:p>
  <w:p w:rsidR="000C73F6" w:rsidRPr="0092211C" w:rsidRDefault="000C73F6" w:rsidP="008F6532">
    <w:pPr>
      <w:pStyle w:val="a4"/>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ED" w:rsidRDefault="00D200ED">
      <w:r>
        <w:separator/>
      </w:r>
    </w:p>
  </w:footnote>
  <w:footnote w:type="continuationSeparator" w:id="0">
    <w:p w:rsidR="00D200ED" w:rsidRDefault="00D20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FB5C15"/>
    <w:multiLevelType w:val="hybridMultilevel"/>
    <w:tmpl w:val="B26C44E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146801DD"/>
    <w:multiLevelType w:val="hybridMultilevel"/>
    <w:tmpl w:val="63E25DB4"/>
    <w:lvl w:ilvl="0" w:tplc="2BC6AE08">
      <w:start w:val="1"/>
      <w:numFmt w:val="bullet"/>
      <w:lvlText w:val=""/>
      <w:lvlJc w:val="left"/>
      <w:pPr>
        <w:tabs>
          <w:tab w:val="num" w:pos="1429"/>
        </w:tabs>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B978CD"/>
    <w:multiLevelType w:val="singleLevel"/>
    <w:tmpl w:val="31304CA6"/>
    <w:lvl w:ilvl="0">
      <w:start w:val="1"/>
      <w:numFmt w:val="decimal"/>
      <w:lvlText w:val="%1."/>
      <w:legacy w:legacy="1" w:legacySpace="0" w:legacyIndent="360"/>
      <w:lvlJc w:val="left"/>
      <w:pPr>
        <w:ind w:left="360" w:hanging="360"/>
      </w:pPr>
    </w:lvl>
  </w:abstractNum>
  <w:abstractNum w:abstractNumId="5">
    <w:nsid w:val="1EA37FC5"/>
    <w:multiLevelType w:val="singleLevel"/>
    <w:tmpl w:val="FFFFFFFF"/>
    <w:lvl w:ilvl="0">
      <w:start w:val="1"/>
      <w:numFmt w:val="bullet"/>
      <w:lvlText w:val="-"/>
      <w:legacy w:legacy="1" w:legacySpace="0" w:legacyIndent="360"/>
      <w:lvlJc w:val="left"/>
      <w:pPr>
        <w:ind w:left="1800" w:hanging="360"/>
      </w:pPr>
    </w:lvl>
  </w:abstractNum>
  <w:abstractNum w:abstractNumId="6">
    <w:nsid w:val="1F301EDB"/>
    <w:multiLevelType w:val="hybridMultilevel"/>
    <w:tmpl w:val="019AC170"/>
    <w:lvl w:ilvl="0" w:tplc="D068A006">
      <w:start w:val="5"/>
      <w:numFmt w:val="bullet"/>
      <w:lvlText w:val="-"/>
      <w:lvlJc w:val="left"/>
      <w:pPr>
        <w:tabs>
          <w:tab w:val="num" w:pos="1080"/>
        </w:tabs>
        <w:ind w:left="1080" w:hanging="360"/>
      </w:pPr>
      <w:rPr>
        <w:rFonts w:ascii="Courier New" w:eastAsia="Times New Roman" w:hAnsi="Courier New" w:cs="Times New Roman" w:hint="default"/>
        <w:vertAlign w:val="baseli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4277ECB"/>
    <w:multiLevelType w:val="hybridMultilevel"/>
    <w:tmpl w:val="E8C0905C"/>
    <w:lvl w:ilvl="0" w:tplc="1438F934">
      <w:numFmt w:val="bullet"/>
      <w:lvlText w:val="-"/>
      <w:lvlJc w:val="left"/>
      <w:pPr>
        <w:tabs>
          <w:tab w:val="num" w:pos="1053"/>
        </w:tabs>
        <w:ind w:left="1053" w:hanging="360"/>
      </w:pPr>
      <w:rPr>
        <w:rFonts w:ascii="Times New Roman" w:eastAsia="Times New Roman" w:hAnsi="Times New Roman" w:cs="Times New Roman" w:hint="default"/>
      </w:rPr>
    </w:lvl>
    <w:lvl w:ilvl="1" w:tplc="04090001">
      <w:start w:val="1"/>
      <w:numFmt w:val="bullet"/>
      <w:lvlText w:val=""/>
      <w:lvlJc w:val="left"/>
      <w:pPr>
        <w:tabs>
          <w:tab w:val="num" w:pos="1773"/>
        </w:tabs>
        <w:ind w:left="1773" w:hanging="360"/>
      </w:pPr>
      <w:rPr>
        <w:rFonts w:ascii="Symbol" w:hAnsi="Symbol" w:hint="default"/>
      </w:rPr>
    </w:lvl>
    <w:lvl w:ilvl="2" w:tplc="04090005" w:tentative="1">
      <w:start w:val="1"/>
      <w:numFmt w:val="bullet"/>
      <w:lvlText w:val=""/>
      <w:lvlJc w:val="left"/>
      <w:pPr>
        <w:tabs>
          <w:tab w:val="num" w:pos="2493"/>
        </w:tabs>
        <w:ind w:left="2493" w:hanging="360"/>
      </w:pPr>
      <w:rPr>
        <w:rFonts w:ascii="Wingdings" w:hAnsi="Wingdings" w:hint="default"/>
      </w:rPr>
    </w:lvl>
    <w:lvl w:ilvl="3" w:tplc="04090001" w:tentative="1">
      <w:start w:val="1"/>
      <w:numFmt w:val="bullet"/>
      <w:lvlText w:val=""/>
      <w:lvlJc w:val="left"/>
      <w:pPr>
        <w:tabs>
          <w:tab w:val="num" w:pos="3213"/>
        </w:tabs>
        <w:ind w:left="3213" w:hanging="360"/>
      </w:pPr>
      <w:rPr>
        <w:rFonts w:ascii="Symbol" w:hAnsi="Symbol" w:hint="default"/>
      </w:rPr>
    </w:lvl>
    <w:lvl w:ilvl="4" w:tplc="04090003" w:tentative="1">
      <w:start w:val="1"/>
      <w:numFmt w:val="bullet"/>
      <w:lvlText w:val="o"/>
      <w:lvlJc w:val="left"/>
      <w:pPr>
        <w:tabs>
          <w:tab w:val="num" w:pos="3933"/>
        </w:tabs>
        <w:ind w:left="3933" w:hanging="360"/>
      </w:pPr>
      <w:rPr>
        <w:rFonts w:ascii="Courier New" w:hAnsi="Courier New" w:hint="default"/>
      </w:rPr>
    </w:lvl>
    <w:lvl w:ilvl="5" w:tplc="04090005" w:tentative="1">
      <w:start w:val="1"/>
      <w:numFmt w:val="bullet"/>
      <w:lvlText w:val=""/>
      <w:lvlJc w:val="left"/>
      <w:pPr>
        <w:tabs>
          <w:tab w:val="num" w:pos="4653"/>
        </w:tabs>
        <w:ind w:left="4653" w:hanging="360"/>
      </w:pPr>
      <w:rPr>
        <w:rFonts w:ascii="Wingdings" w:hAnsi="Wingdings" w:hint="default"/>
      </w:rPr>
    </w:lvl>
    <w:lvl w:ilvl="6" w:tplc="04090001" w:tentative="1">
      <w:start w:val="1"/>
      <w:numFmt w:val="bullet"/>
      <w:lvlText w:val=""/>
      <w:lvlJc w:val="left"/>
      <w:pPr>
        <w:tabs>
          <w:tab w:val="num" w:pos="5373"/>
        </w:tabs>
        <w:ind w:left="5373" w:hanging="360"/>
      </w:pPr>
      <w:rPr>
        <w:rFonts w:ascii="Symbol" w:hAnsi="Symbol" w:hint="default"/>
      </w:rPr>
    </w:lvl>
    <w:lvl w:ilvl="7" w:tplc="04090003" w:tentative="1">
      <w:start w:val="1"/>
      <w:numFmt w:val="bullet"/>
      <w:lvlText w:val="o"/>
      <w:lvlJc w:val="left"/>
      <w:pPr>
        <w:tabs>
          <w:tab w:val="num" w:pos="6093"/>
        </w:tabs>
        <w:ind w:left="6093" w:hanging="360"/>
      </w:pPr>
      <w:rPr>
        <w:rFonts w:ascii="Courier New" w:hAnsi="Courier New" w:hint="default"/>
      </w:rPr>
    </w:lvl>
    <w:lvl w:ilvl="8" w:tplc="04090005" w:tentative="1">
      <w:start w:val="1"/>
      <w:numFmt w:val="bullet"/>
      <w:lvlText w:val=""/>
      <w:lvlJc w:val="left"/>
      <w:pPr>
        <w:tabs>
          <w:tab w:val="num" w:pos="6813"/>
        </w:tabs>
        <w:ind w:left="6813" w:hanging="360"/>
      </w:pPr>
      <w:rPr>
        <w:rFonts w:ascii="Wingdings" w:hAnsi="Wingdings" w:hint="default"/>
      </w:rPr>
    </w:lvl>
  </w:abstractNum>
  <w:abstractNum w:abstractNumId="10">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7536F04"/>
    <w:multiLevelType w:val="hybridMultilevel"/>
    <w:tmpl w:val="7F9ADAF4"/>
    <w:lvl w:ilvl="0" w:tplc="BBC4CCFC">
      <w:start w:val="5"/>
      <w:numFmt w:val="bullet"/>
      <w:lvlText w:val="-"/>
      <w:lvlJc w:val="left"/>
      <w:pPr>
        <w:tabs>
          <w:tab w:val="num" w:pos="1080"/>
        </w:tabs>
        <w:ind w:left="1080" w:hanging="360"/>
      </w:pPr>
      <w:rPr>
        <w:rFonts w:ascii="Courier New" w:eastAsia="Times New Roman"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A810019"/>
    <w:multiLevelType w:val="singleLevel"/>
    <w:tmpl w:val="FFFFFFFF"/>
    <w:lvl w:ilvl="0">
      <w:start w:val="1"/>
      <w:numFmt w:val="bullet"/>
      <w:lvlText w:val="-"/>
      <w:legacy w:legacy="1" w:legacySpace="0" w:legacyIndent="360"/>
      <w:lvlJc w:val="left"/>
      <w:pPr>
        <w:ind w:left="1800" w:hanging="360"/>
      </w:pPr>
    </w:lvl>
  </w:abstractNum>
  <w:abstractNum w:abstractNumId="14">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60C4365"/>
    <w:multiLevelType w:val="singleLevel"/>
    <w:tmpl w:val="FFFFFFFF"/>
    <w:lvl w:ilvl="0">
      <w:start w:val="1"/>
      <w:numFmt w:val="bullet"/>
      <w:lvlText w:val="-"/>
      <w:legacy w:legacy="1" w:legacySpace="0" w:legacyIndent="360"/>
      <w:lvlJc w:val="left"/>
      <w:pPr>
        <w:ind w:left="1800" w:hanging="360"/>
      </w:pPr>
    </w:lvl>
  </w:abstractNum>
  <w:abstractNum w:abstractNumId="1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7">
    <w:nsid w:val="62633B9E"/>
    <w:multiLevelType w:val="hybridMultilevel"/>
    <w:tmpl w:val="D8048DB4"/>
    <w:lvl w:ilvl="0" w:tplc="D068A006">
      <w:start w:val="5"/>
      <w:numFmt w:val="bullet"/>
      <w:lvlText w:val="-"/>
      <w:lvlJc w:val="left"/>
      <w:pPr>
        <w:tabs>
          <w:tab w:val="num" w:pos="1080"/>
        </w:tabs>
        <w:ind w:left="1080" w:hanging="360"/>
      </w:pPr>
      <w:rPr>
        <w:rFonts w:ascii="Courier New" w:eastAsia="Times New Roman" w:hAnsi="Courier New" w:cs="Times New Roman" w:hint="default"/>
        <w:vertAlign w:val="baseline"/>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1">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DA6110B"/>
    <w:multiLevelType w:val="hybridMultilevel"/>
    <w:tmpl w:val="FA4835CE"/>
    <w:lvl w:ilvl="0" w:tplc="1DF24722">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16"/>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0"/>
  </w:num>
  <w:num w:numId="6">
    <w:abstractNumId w:val="19"/>
  </w:num>
  <w:num w:numId="7">
    <w:abstractNumId w:val="8"/>
  </w:num>
  <w:num w:numId="8">
    <w:abstractNumId w:val="15"/>
  </w:num>
  <w:num w:numId="9">
    <w:abstractNumId w:val="13"/>
  </w:num>
  <w:num w:numId="10">
    <w:abstractNumId w:val="5"/>
  </w:num>
  <w:num w:numId="11">
    <w:abstractNumId w:val="18"/>
  </w:num>
  <w:num w:numId="12">
    <w:abstractNumId w:val="1"/>
  </w:num>
  <w:num w:numId="13">
    <w:abstractNumId w:val="14"/>
  </w:num>
  <w:num w:numId="14">
    <w:abstractNumId w:val="22"/>
  </w:num>
  <w:num w:numId="15">
    <w:abstractNumId w:val="7"/>
  </w:num>
  <w:num w:numId="16">
    <w:abstractNumId w:val="10"/>
  </w:num>
  <w:num w:numId="17">
    <w:abstractNumId w:val="21"/>
  </w:num>
  <w:num w:numId="18">
    <w:abstractNumId w:val="11"/>
  </w:num>
  <w:num w:numId="19">
    <w:abstractNumId w:val="2"/>
  </w:num>
  <w:num w:numId="20">
    <w:abstractNumId w:val="12"/>
  </w:num>
  <w:num w:numId="21">
    <w:abstractNumId w:val="9"/>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7364F9"/>
    <w:rsid w:val="00002CE3"/>
    <w:rsid w:val="00003B2B"/>
    <w:rsid w:val="00004DC5"/>
    <w:rsid w:val="00005709"/>
    <w:rsid w:val="00006F9A"/>
    <w:rsid w:val="00011615"/>
    <w:rsid w:val="00011AB6"/>
    <w:rsid w:val="00012C38"/>
    <w:rsid w:val="000150BB"/>
    <w:rsid w:val="000152FD"/>
    <w:rsid w:val="00015F9D"/>
    <w:rsid w:val="00020186"/>
    <w:rsid w:val="0002383C"/>
    <w:rsid w:val="00024653"/>
    <w:rsid w:val="00025430"/>
    <w:rsid w:val="00031CEA"/>
    <w:rsid w:val="00033C8F"/>
    <w:rsid w:val="00033C9E"/>
    <w:rsid w:val="0003496F"/>
    <w:rsid w:val="0004035E"/>
    <w:rsid w:val="000404AF"/>
    <w:rsid w:val="00043003"/>
    <w:rsid w:val="000437B2"/>
    <w:rsid w:val="00045789"/>
    <w:rsid w:val="0004587F"/>
    <w:rsid w:val="00045CD5"/>
    <w:rsid w:val="0004608F"/>
    <w:rsid w:val="0005317B"/>
    <w:rsid w:val="00055C81"/>
    <w:rsid w:val="00061349"/>
    <w:rsid w:val="000658AF"/>
    <w:rsid w:val="00065DF6"/>
    <w:rsid w:val="00066F1F"/>
    <w:rsid w:val="00074764"/>
    <w:rsid w:val="0007554E"/>
    <w:rsid w:val="00077185"/>
    <w:rsid w:val="000777B2"/>
    <w:rsid w:val="000824B7"/>
    <w:rsid w:val="00083439"/>
    <w:rsid w:val="000858CD"/>
    <w:rsid w:val="000869F6"/>
    <w:rsid w:val="00090462"/>
    <w:rsid w:val="00093066"/>
    <w:rsid w:val="00093EC8"/>
    <w:rsid w:val="00094A3A"/>
    <w:rsid w:val="00096B03"/>
    <w:rsid w:val="000A0A73"/>
    <w:rsid w:val="000A1B2B"/>
    <w:rsid w:val="000A3321"/>
    <w:rsid w:val="000A36AE"/>
    <w:rsid w:val="000A3B28"/>
    <w:rsid w:val="000A4A56"/>
    <w:rsid w:val="000A5220"/>
    <w:rsid w:val="000A54B0"/>
    <w:rsid w:val="000A5861"/>
    <w:rsid w:val="000A6C92"/>
    <w:rsid w:val="000A7F89"/>
    <w:rsid w:val="000B008B"/>
    <w:rsid w:val="000B244C"/>
    <w:rsid w:val="000B2ACE"/>
    <w:rsid w:val="000B59FC"/>
    <w:rsid w:val="000B7650"/>
    <w:rsid w:val="000C10C7"/>
    <w:rsid w:val="000C1D17"/>
    <w:rsid w:val="000C2AAC"/>
    <w:rsid w:val="000C2DDB"/>
    <w:rsid w:val="000C550C"/>
    <w:rsid w:val="000C67FB"/>
    <w:rsid w:val="000C73F6"/>
    <w:rsid w:val="000C75B2"/>
    <w:rsid w:val="000D50A1"/>
    <w:rsid w:val="000D5995"/>
    <w:rsid w:val="000D5ADC"/>
    <w:rsid w:val="000D7A06"/>
    <w:rsid w:val="000E0343"/>
    <w:rsid w:val="000E0C33"/>
    <w:rsid w:val="000E1D5C"/>
    <w:rsid w:val="000E357A"/>
    <w:rsid w:val="000E4F23"/>
    <w:rsid w:val="000E5ADC"/>
    <w:rsid w:val="000E7351"/>
    <w:rsid w:val="000E7A5F"/>
    <w:rsid w:val="000F1A62"/>
    <w:rsid w:val="000F28BC"/>
    <w:rsid w:val="000F5669"/>
    <w:rsid w:val="001059CD"/>
    <w:rsid w:val="00105D68"/>
    <w:rsid w:val="00106C12"/>
    <w:rsid w:val="0010797B"/>
    <w:rsid w:val="001152EE"/>
    <w:rsid w:val="0011779A"/>
    <w:rsid w:val="001222A7"/>
    <w:rsid w:val="00123245"/>
    <w:rsid w:val="00125495"/>
    <w:rsid w:val="0012594E"/>
    <w:rsid w:val="00127066"/>
    <w:rsid w:val="001271B5"/>
    <w:rsid w:val="00130B99"/>
    <w:rsid w:val="00133F4D"/>
    <w:rsid w:val="00135ABB"/>
    <w:rsid w:val="00135CF9"/>
    <w:rsid w:val="00136F86"/>
    <w:rsid w:val="00137E50"/>
    <w:rsid w:val="00142AAF"/>
    <w:rsid w:val="00143CF4"/>
    <w:rsid w:val="00144FA4"/>
    <w:rsid w:val="0014593E"/>
    <w:rsid w:val="0014758E"/>
    <w:rsid w:val="00147AAA"/>
    <w:rsid w:val="00150B2B"/>
    <w:rsid w:val="001513F9"/>
    <w:rsid w:val="00155167"/>
    <w:rsid w:val="0016195E"/>
    <w:rsid w:val="00161CBC"/>
    <w:rsid w:val="00163153"/>
    <w:rsid w:val="00163BF4"/>
    <w:rsid w:val="001652CF"/>
    <w:rsid w:val="0016627B"/>
    <w:rsid w:val="00166E03"/>
    <w:rsid w:val="00173664"/>
    <w:rsid w:val="001736AE"/>
    <w:rsid w:val="00175669"/>
    <w:rsid w:val="0017582F"/>
    <w:rsid w:val="00180AD4"/>
    <w:rsid w:val="0018641A"/>
    <w:rsid w:val="00186C1D"/>
    <w:rsid w:val="001872DA"/>
    <w:rsid w:val="0018747C"/>
    <w:rsid w:val="001905C5"/>
    <w:rsid w:val="0019305F"/>
    <w:rsid w:val="00193E16"/>
    <w:rsid w:val="00193E6E"/>
    <w:rsid w:val="001A0F24"/>
    <w:rsid w:val="001A37BA"/>
    <w:rsid w:val="001A37C3"/>
    <w:rsid w:val="001A423E"/>
    <w:rsid w:val="001A7B98"/>
    <w:rsid w:val="001B1B48"/>
    <w:rsid w:val="001B3342"/>
    <w:rsid w:val="001B3B30"/>
    <w:rsid w:val="001B3E0A"/>
    <w:rsid w:val="001B4173"/>
    <w:rsid w:val="001B66A5"/>
    <w:rsid w:val="001B7A77"/>
    <w:rsid w:val="001C0F8F"/>
    <w:rsid w:val="001C2610"/>
    <w:rsid w:val="001C3594"/>
    <w:rsid w:val="001D15B7"/>
    <w:rsid w:val="001D1CDF"/>
    <w:rsid w:val="001D4B59"/>
    <w:rsid w:val="001D7BE9"/>
    <w:rsid w:val="001E4ACC"/>
    <w:rsid w:val="001E58D6"/>
    <w:rsid w:val="001E7C2A"/>
    <w:rsid w:val="001F2658"/>
    <w:rsid w:val="001F3E6C"/>
    <w:rsid w:val="001F7917"/>
    <w:rsid w:val="00200D68"/>
    <w:rsid w:val="002015C6"/>
    <w:rsid w:val="00201843"/>
    <w:rsid w:val="00201C6D"/>
    <w:rsid w:val="002020EB"/>
    <w:rsid w:val="00202346"/>
    <w:rsid w:val="00203671"/>
    <w:rsid w:val="00203DBC"/>
    <w:rsid w:val="0020770E"/>
    <w:rsid w:val="00207FC5"/>
    <w:rsid w:val="00212CC4"/>
    <w:rsid w:val="00215536"/>
    <w:rsid w:val="00216930"/>
    <w:rsid w:val="00216B8C"/>
    <w:rsid w:val="002216E6"/>
    <w:rsid w:val="00222083"/>
    <w:rsid w:val="00223ECA"/>
    <w:rsid w:val="00225D7C"/>
    <w:rsid w:val="00227A02"/>
    <w:rsid w:val="00227C71"/>
    <w:rsid w:val="00232713"/>
    <w:rsid w:val="002331E0"/>
    <w:rsid w:val="00233640"/>
    <w:rsid w:val="002349FF"/>
    <w:rsid w:val="0023698E"/>
    <w:rsid w:val="002373B6"/>
    <w:rsid w:val="002415CB"/>
    <w:rsid w:val="00246050"/>
    <w:rsid w:val="00246D33"/>
    <w:rsid w:val="00252DA8"/>
    <w:rsid w:val="002558EA"/>
    <w:rsid w:val="00256567"/>
    <w:rsid w:val="00261859"/>
    <w:rsid w:val="00261FD9"/>
    <w:rsid w:val="00263F8F"/>
    <w:rsid w:val="002646DB"/>
    <w:rsid w:val="00264A84"/>
    <w:rsid w:val="00265E2A"/>
    <w:rsid w:val="002664DC"/>
    <w:rsid w:val="0027079A"/>
    <w:rsid w:val="00271FC6"/>
    <w:rsid w:val="002720CE"/>
    <w:rsid w:val="00275A26"/>
    <w:rsid w:val="00277026"/>
    <w:rsid w:val="00286336"/>
    <w:rsid w:val="0029594E"/>
    <w:rsid w:val="00296908"/>
    <w:rsid w:val="002A0132"/>
    <w:rsid w:val="002A0CF5"/>
    <w:rsid w:val="002A247D"/>
    <w:rsid w:val="002A5119"/>
    <w:rsid w:val="002B0EF4"/>
    <w:rsid w:val="002B2000"/>
    <w:rsid w:val="002C0509"/>
    <w:rsid w:val="002C0F77"/>
    <w:rsid w:val="002C1160"/>
    <w:rsid w:val="002C3074"/>
    <w:rsid w:val="002C3F31"/>
    <w:rsid w:val="002C489B"/>
    <w:rsid w:val="002C6094"/>
    <w:rsid w:val="002D3101"/>
    <w:rsid w:val="002D4AE3"/>
    <w:rsid w:val="002D713B"/>
    <w:rsid w:val="002E1796"/>
    <w:rsid w:val="002E198D"/>
    <w:rsid w:val="002E2F3A"/>
    <w:rsid w:val="002E36E1"/>
    <w:rsid w:val="002E3E4F"/>
    <w:rsid w:val="002E68CE"/>
    <w:rsid w:val="002E7040"/>
    <w:rsid w:val="002E779C"/>
    <w:rsid w:val="002F0FE3"/>
    <w:rsid w:val="002F1083"/>
    <w:rsid w:val="002F56F7"/>
    <w:rsid w:val="002F5A12"/>
    <w:rsid w:val="002F6129"/>
    <w:rsid w:val="002F6F9B"/>
    <w:rsid w:val="003024B2"/>
    <w:rsid w:val="00302CA0"/>
    <w:rsid w:val="00304C60"/>
    <w:rsid w:val="0030528E"/>
    <w:rsid w:val="00305A99"/>
    <w:rsid w:val="00310888"/>
    <w:rsid w:val="00311992"/>
    <w:rsid w:val="003122E0"/>
    <w:rsid w:val="003147A9"/>
    <w:rsid w:val="00315BF1"/>
    <w:rsid w:val="00320927"/>
    <w:rsid w:val="00321007"/>
    <w:rsid w:val="00325966"/>
    <w:rsid w:val="00326DF0"/>
    <w:rsid w:val="00331031"/>
    <w:rsid w:val="003318B0"/>
    <w:rsid w:val="00331C50"/>
    <w:rsid w:val="00340082"/>
    <w:rsid w:val="00340BC2"/>
    <w:rsid w:val="00341B59"/>
    <w:rsid w:val="00344F90"/>
    <w:rsid w:val="003458FC"/>
    <w:rsid w:val="00346578"/>
    <w:rsid w:val="00352037"/>
    <w:rsid w:val="00352F2E"/>
    <w:rsid w:val="00353250"/>
    <w:rsid w:val="0035340E"/>
    <w:rsid w:val="003554EF"/>
    <w:rsid w:val="00356696"/>
    <w:rsid w:val="003645A0"/>
    <w:rsid w:val="0037302F"/>
    <w:rsid w:val="0037647E"/>
    <w:rsid w:val="0037690C"/>
    <w:rsid w:val="00380FFD"/>
    <w:rsid w:val="00383AF5"/>
    <w:rsid w:val="00383D66"/>
    <w:rsid w:val="003872EA"/>
    <w:rsid w:val="003915C3"/>
    <w:rsid w:val="00392684"/>
    <w:rsid w:val="0039291E"/>
    <w:rsid w:val="00393551"/>
    <w:rsid w:val="003938D2"/>
    <w:rsid w:val="003950AB"/>
    <w:rsid w:val="00397405"/>
    <w:rsid w:val="003A04AC"/>
    <w:rsid w:val="003A469E"/>
    <w:rsid w:val="003A4941"/>
    <w:rsid w:val="003A4E83"/>
    <w:rsid w:val="003A6D32"/>
    <w:rsid w:val="003A742A"/>
    <w:rsid w:val="003B33CE"/>
    <w:rsid w:val="003B50A7"/>
    <w:rsid w:val="003B5A9A"/>
    <w:rsid w:val="003C080A"/>
    <w:rsid w:val="003C598A"/>
    <w:rsid w:val="003C5FD6"/>
    <w:rsid w:val="003C6206"/>
    <w:rsid w:val="003C6CDD"/>
    <w:rsid w:val="003D1171"/>
    <w:rsid w:val="003D2215"/>
    <w:rsid w:val="003D30AC"/>
    <w:rsid w:val="003D4163"/>
    <w:rsid w:val="003E03AC"/>
    <w:rsid w:val="003E2F47"/>
    <w:rsid w:val="003E52C7"/>
    <w:rsid w:val="003E6D29"/>
    <w:rsid w:val="003E7180"/>
    <w:rsid w:val="003E7AC9"/>
    <w:rsid w:val="003F1763"/>
    <w:rsid w:val="003F32DE"/>
    <w:rsid w:val="003F4581"/>
    <w:rsid w:val="003F5C3D"/>
    <w:rsid w:val="0040164A"/>
    <w:rsid w:val="0040354D"/>
    <w:rsid w:val="0040706C"/>
    <w:rsid w:val="00407D7A"/>
    <w:rsid w:val="00410E80"/>
    <w:rsid w:val="00411813"/>
    <w:rsid w:val="00411CAF"/>
    <w:rsid w:val="00411CE1"/>
    <w:rsid w:val="00411D9F"/>
    <w:rsid w:val="004136D8"/>
    <w:rsid w:val="00414259"/>
    <w:rsid w:val="004164D5"/>
    <w:rsid w:val="00416AFC"/>
    <w:rsid w:val="004174A6"/>
    <w:rsid w:val="00417BC0"/>
    <w:rsid w:val="00422339"/>
    <w:rsid w:val="0042369C"/>
    <w:rsid w:val="004244E9"/>
    <w:rsid w:val="0043403C"/>
    <w:rsid w:val="004351C2"/>
    <w:rsid w:val="004353DB"/>
    <w:rsid w:val="00435655"/>
    <w:rsid w:val="00436706"/>
    <w:rsid w:val="00443330"/>
    <w:rsid w:val="004442EF"/>
    <w:rsid w:val="00444ABD"/>
    <w:rsid w:val="00445B1A"/>
    <w:rsid w:val="0044652B"/>
    <w:rsid w:val="004466A3"/>
    <w:rsid w:val="0045293C"/>
    <w:rsid w:val="00452AD8"/>
    <w:rsid w:val="004535AA"/>
    <w:rsid w:val="004550E5"/>
    <w:rsid w:val="00455144"/>
    <w:rsid w:val="0045583F"/>
    <w:rsid w:val="004560D1"/>
    <w:rsid w:val="00456BC4"/>
    <w:rsid w:val="00460A14"/>
    <w:rsid w:val="004611A9"/>
    <w:rsid w:val="00461379"/>
    <w:rsid w:val="004619F0"/>
    <w:rsid w:val="00463325"/>
    <w:rsid w:val="0046496C"/>
    <w:rsid w:val="0047030D"/>
    <w:rsid w:val="0047085D"/>
    <w:rsid w:val="00471085"/>
    <w:rsid w:val="004725FA"/>
    <w:rsid w:val="00473A10"/>
    <w:rsid w:val="00474546"/>
    <w:rsid w:val="00475AE3"/>
    <w:rsid w:val="00476479"/>
    <w:rsid w:val="0048012A"/>
    <w:rsid w:val="00485FF7"/>
    <w:rsid w:val="00491369"/>
    <w:rsid w:val="004944C4"/>
    <w:rsid w:val="00496E63"/>
    <w:rsid w:val="004A021D"/>
    <w:rsid w:val="004A2638"/>
    <w:rsid w:val="004A2E0D"/>
    <w:rsid w:val="004A3876"/>
    <w:rsid w:val="004A4DEC"/>
    <w:rsid w:val="004A5355"/>
    <w:rsid w:val="004A6140"/>
    <w:rsid w:val="004A6C03"/>
    <w:rsid w:val="004A72FF"/>
    <w:rsid w:val="004A78E5"/>
    <w:rsid w:val="004B1293"/>
    <w:rsid w:val="004B2063"/>
    <w:rsid w:val="004B33BC"/>
    <w:rsid w:val="004B3B70"/>
    <w:rsid w:val="004B3FB7"/>
    <w:rsid w:val="004B44BA"/>
    <w:rsid w:val="004B4702"/>
    <w:rsid w:val="004C0122"/>
    <w:rsid w:val="004C19B1"/>
    <w:rsid w:val="004C3116"/>
    <w:rsid w:val="004C463C"/>
    <w:rsid w:val="004C4DF8"/>
    <w:rsid w:val="004C5396"/>
    <w:rsid w:val="004C6CC6"/>
    <w:rsid w:val="004C77DE"/>
    <w:rsid w:val="004D305B"/>
    <w:rsid w:val="004D319F"/>
    <w:rsid w:val="004D52EC"/>
    <w:rsid w:val="004D5A23"/>
    <w:rsid w:val="004D600B"/>
    <w:rsid w:val="004E0B17"/>
    <w:rsid w:val="004E0B21"/>
    <w:rsid w:val="004E3175"/>
    <w:rsid w:val="004E39F4"/>
    <w:rsid w:val="004E4001"/>
    <w:rsid w:val="004E4439"/>
    <w:rsid w:val="004E472C"/>
    <w:rsid w:val="004E58DE"/>
    <w:rsid w:val="004E5E68"/>
    <w:rsid w:val="004F11F5"/>
    <w:rsid w:val="004F4309"/>
    <w:rsid w:val="004F75EE"/>
    <w:rsid w:val="005027CF"/>
    <w:rsid w:val="00504424"/>
    <w:rsid w:val="005057BB"/>
    <w:rsid w:val="005075A7"/>
    <w:rsid w:val="00507B4C"/>
    <w:rsid w:val="00513F54"/>
    <w:rsid w:val="00514D20"/>
    <w:rsid w:val="005155E0"/>
    <w:rsid w:val="00515F72"/>
    <w:rsid w:val="00520C8A"/>
    <w:rsid w:val="00520D82"/>
    <w:rsid w:val="00521284"/>
    <w:rsid w:val="0052162F"/>
    <w:rsid w:val="00522DA9"/>
    <w:rsid w:val="00522E30"/>
    <w:rsid w:val="005236EC"/>
    <w:rsid w:val="00526096"/>
    <w:rsid w:val="005268FE"/>
    <w:rsid w:val="00526FAB"/>
    <w:rsid w:val="005279C7"/>
    <w:rsid w:val="00530B86"/>
    <w:rsid w:val="005317ED"/>
    <w:rsid w:val="0053525D"/>
    <w:rsid w:val="005375AB"/>
    <w:rsid w:val="00542041"/>
    <w:rsid w:val="0054216F"/>
    <w:rsid w:val="00543B21"/>
    <w:rsid w:val="00544136"/>
    <w:rsid w:val="00544215"/>
    <w:rsid w:val="00544C48"/>
    <w:rsid w:val="00545131"/>
    <w:rsid w:val="0054699C"/>
    <w:rsid w:val="00550C8A"/>
    <w:rsid w:val="0055530C"/>
    <w:rsid w:val="00556844"/>
    <w:rsid w:val="0056069F"/>
    <w:rsid w:val="0056186B"/>
    <w:rsid w:val="005632F4"/>
    <w:rsid w:val="00564A18"/>
    <w:rsid w:val="00564C0D"/>
    <w:rsid w:val="00565563"/>
    <w:rsid w:val="00567312"/>
    <w:rsid w:val="005678E4"/>
    <w:rsid w:val="00573848"/>
    <w:rsid w:val="0057459C"/>
    <w:rsid w:val="00575AC2"/>
    <w:rsid w:val="005821BF"/>
    <w:rsid w:val="0058359F"/>
    <w:rsid w:val="00583D10"/>
    <w:rsid w:val="00584151"/>
    <w:rsid w:val="0058426F"/>
    <w:rsid w:val="0059382F"/>
    <w:rsid w:val="005976E5"/>
    <w:rsid w:val="005A0380"/>
    <w:rsid w:val="005A3484"/>
    <w:rsid w:val="005A4D6D"/>
    <w:rsid w:val="005A58AA"/>
    <w:rsid w:val="005B1AA2"/>
    <w:rsid w:val="005B1D37"/>
    <w:rsid w:val="005B2D60"/>
    <w:rsid w:val="005B3423"/>
    <w:rsid w:val="005B4438"/>
    <w:rsid w:val="005B4841"/>
    <w:rsid w:val="005B5899"/>
    <w:rsid w:val="005B6FB3"/>
    <w:rsid w:val="005C0AC9"/>
    <w:rsid w:val="005C0C89"/>
    <w:rsid w:val="005C3B13"/>
    <w:rsid w:val="005C5D4F"/>
    <w:rsid w:val="005C7167"/>
    <w:rsid w:val="005C7A0D"/>
    <w:rsid w:val="005D05AF"/>
    <w:rsid w:val="005D1141"/>
    <w:rsid w:val="005D3A2C"/>
    <w:rsid w:val="005D4A9B"/>
    <w:rsid w:val="005D6C21"/>
    <w:rsid w:val="005E07E5"/>
    <w:rsid w:val="005E20A2"/>
    <w:rsid w:val="005E552E"/>
    <w:rsid w:val="005E6552"/>
    <w:rsid w:val="005E7EA8"/>
    <w:rsid w:val="005E7FA9"/>
    <w:rsid w:val="005F0CCF"/>
    <w:rsid w:val="005F2738"/>
    <w:rsid w:val="005F41E6"/>
    <w:rsid w:val="005F5089"/>
    <w:rsid w:val="005F6214"/>
    <w:rsid w:val="00603885"/>
    <w:rsid w:val="00610801"/>
    <w:rsid w:val="00610A88"/>
    <w:rsid w:val="00612086"/>
    <w:rsid w:val="006152DE"/>
    <w:rsid w:val="00616B09"/>
    <w:rsid w:val="006170A9"/>
    <w:rsid w:val="00620B71"/>
    <w:rsid w:val="00620E5E"/>
    <w:rsid w:val="006221CE"/>
    <w:rsid w:val="0062632E"/>
    <w:rsid w:val="00626C27"/>
    <w:rsid w:val="00627927"/>
    <w:rsid w:val="00630A95"/>
    <w:rsid w:val="00635342"/>
    <w:rsid w:val="006361A5"/>
    <w:rsid w:val="00640D13"/>
    <w:rsid w:val="00646A27"/>
    <w:rsid w:val="0065537D"/>
    <w:rsid w:val="00656758"/>
    <w:rsid w:val="00656B5E"/>
    <w:rsid w:val="00657B0D"/>
    <w:rsid w:val="00662B85"/>
    <w:rsid w:val="006655D0"/>
    <w:rsid w:val="00666235"/>
    <w:rsid w:val="00666997"/>
    <w:rsid w:val="00666C52"/>
    <w:rsid w:val="00666D5A"/>
    <w:rsid w:val="00673702"/>
    <w:rsid w:val="0067459F"/>
    <w:rsid w:val="00676B3F"/>
    <w:rsid w:val="00682384"/>
    <w:rsid w:val="0069196A"/>
    <w:rsid w:val="00694E74"/>
    <w:rsid w:val="00697DE8"/>
    <w:rsid w:val="006A0586"/>
    <w:rsid w:val="006A069D"/>
    <w:rsid w:val="006A50A0"/>
    <w:rsid w:val="006A7352"/>
    <w:rsid w:val="006A7D95"/>
    <w:rsid w:val="006B0AB2"/>
    <w:rsid w:val="006B11B2"/>
    <w:rsid w:val="006B3021"/>
    <w:rsid w:val="006B462E"/>
    <w:rsid w:val="006B4AA5"/>
    <w:rsid w:val="006B7ACD"/>
    <w:rsid w:val="006C2E5B"/>
    <w:rsid w:val="006C35BC"/>
    <w:rsid w:val="006C6663"/>
    <w:rsid w:val="006C6792"/>
    <w:rsid w:val="006D10EF"/>
    <w:rsid w:val="006D1EC7"/>
    <w:rsid w:val="006D2267"/>
    <w:rsid w:val="006D2D59"/>
    <w:rsid w:val="006D4A87"/>
    <w:rsid w:val="006D51E8"/>
    <w:rsid w:val="006D7845"/>
    <w:rsid w:val="006D7E0C"/>
    <w:rsid w:val="006D7F65"/>
    <w:rsid w:val="006E021D"/>
    <w:rsid w:val="006E19EF"/>
    <w:rsid w:val="006E2749"/>
    <w:rsid w:val="006E3887"/>
    <w:rsid w:val="006E5EAB"/>
    <w:rsid w:val="006E658F"/>
    <w:rsid w:val="006E79CD"/>
    <w:rsid w:val="006F20AA"/>
    <w:rsid w:val="006F6D43"/>
    <w:rsid w:val="006F7152"/>
    <w:rsid w:val="00700076"/>
    <w:rsid w:val="00701EB3"/>
    <w:rsid w:val="007038B9"/>
    <w:rsid w:val="00704157"/>
    <w:rsid w:val="00714A78"/>
    <w:rsid w:val="00716919"/>
    <w:rsid w:val="0072042E"/>
    <w:rsid w:val="00721225"/>
    <w:rsid w:val="00721BE0"/>
    <w:rsid w:val="00723F3F"/>
    <w:rsid w:val="00724B64"/>
    <w:rsid w:val="00726733"/>
    <w:rsid w:val="007302BC"/>
    <w:rsid w:val="00735309"/>
    <w:rsid w:val="007364F9"/>
    <w:rsid w:val="00736FE9"/>
    <w:rsid w:val="00741155"/>
    <w:rsid w:val="007423B4"/>
    <w:rsid w:val="00744987"/>
    <w:rsid w:val="0074508D"/>
    <w:rsid w:val="00746835"/>
    <w:rsid w:val="00747A6F"/>
    <w:rsid w:val="00750F0B"/>
    <w:rsid w:val="00751517"/>
    <w:rsid w:val="007534D0"/>
    <w:rsid w:val="00754065"/>
    <w:rsid w:val="0075434C"/>
    <w:rsid w:val="00755CAC"/>
    <w:rsid w:val="007565C8"/>
    <w:rsid w:val="007601AF"/>
    <w:rsid w:val="007620CC"/>
    <w:rsid w:val="00764F00"/>
    <w:rsid w:val="00765313"/>
    <w:rsid w:val="00766F5C"/>
    <w:rsid w:val="00767322"/>
    <w:rsid w:val="007706B5"/>
    <w:rsid w:val="0077080B"/>
    <w:rsid w:val="0077352C"/>
    <w:rsid w:val="00777386"/>
    <w:rsid w:val="007779BD"/>
    <w:rsid w:val="00777ACB"/>
    <w:rsid w:val="00781118"/>
    <w:rsid w:val="00781DCF"/>
    <w:rsid w:val="00782692"/>
    <w:rsid w:val="00782996"/>
    <w:rsid w:val="00785D45"/>
    <w:rsid w:val="0078698E"/>
    <w:rsid w:val="00790625"/>
    <w:rsid w:val="00790A07"/>
    <w:rsid w:val="00791D09"/>
    <w:rsid w:val="007A2634"/>
    <w:rsid w:val="007A52EE"/>
    <w:rsid w:val="007B11A4"/>
    <w:rsid w:val="007B675C"/>
    <w:rsid w:val="007B67B9"/>
    <w:rsid w:val="007B7456"/>
    <w:rsid w:val="007C0283"/>
    <w:rsid w:val="007C1C52"/>
    <w:rsid w:val="007C2260"/>
    <w:rsid w:val="007C3798"/>
    <w:rsid w:val="007C4A54"/>
    <w:rsid w:val="007C4F30"/>
    <w:rsid w:val="007D0434"/>
    <w:rsid w:val="007D10AA"/>
    <w:rsid w:val="007D356E"/>
    <w:rsid w:val="007D4031"/>
    <w:rsid w:val="007D44C2"/>
    <w:rsid w:val="007E205F"/>
    <w:rsid w:val="007E5EA2"/>
    <w:rsid w:val="007E6714"/>
    <w:rsid w:val="007F13A4"/>
    <w:rsid w:val="007F15B4"/>
    <w:rsid w:val="007F2601"/>
    <w:rsid w:val="007F2678"/>
    <w:rsid w:val="007F26FB"/>
    <w:rsid w:val="007F48E2"/>
    <w:rsid w:val="007F5D3A"/>
    <w:rsid w:val="00800399"/>
    <w:rsid w:val="00801AA1"/>
    <w:rsid w:val="00803F88"/>
    <w:rsid w:val="0080612F"/>
    <w:rsid w:val="00806FA0"/>
    <w:rsid w:val="008117A3"/>
    <w:rsid w:val="00812B40"/>
    <w:rsid w:val="00813F6A"/>
    <w:rsid w:val="00817683"/>
    <w:rsid w:val="00817EAC"/>
    <w:rsid w:val="00821C98"/>
    <w:rsid w:val="00832983"/>
    <w:rsid w:val="008345D2"/>
    <w:rsid w:val="00835DA8"/>
    <w:rsid w:val="00836A31"/>
    <w:rsid w:val="00841AD7"/>
    <w:rsid w:val="008425D8"/>
    <w:rsid w:val="00843A78"/>
    <w:rsid w:val="00846348"/>
    <w:rsid w:val="008501DB"/>
    <w:rsid w:val="00853869"/>
    <w:rsid w:val="008540F3"/>
    <w:rsid w:val="00854770"/>
    <w:rsid w:val="0086073B"/>
    <w:rsid w:val="008612DC"/>
    <w:rsid w:val="00862465"/>
    <w:rsid w:val="00866B4F"/>
    <w:rsid w:val="00867A1C"/>
    <w:rsid w:val="00867A6B"/>
    <w:rsid w:val="00874275"/>
    <w:rsid w:val="00875B65"/>
    <w:rsid w:val="00883CF3"/>
    <w:rsid w:val="0088411A"/>
    <w:rsid w:val="0088523D"/>
    <w:rsid w:val="00890F8A"/>
    <w:rsid w:val="00893326"/>
    <w:rsid w:val="008949E0"/>
    <w:rsid w:val="0089500E"/>
    <w:rsid w:val="0089535E"/>
    <w:rsid w:val="008954CD"/>
    <w:rsid w:val="008A0ADB"/>
    <w:rsid w:val="008A1987"/>
    <w:rsid w:val="008A1B69"/>
    <w:rsid w:val="008A1CC2"/>
    <w:rsid w:val="008A3563"/>
    <w:rsid w:val="008A406C"/>
    <w:rsid w:val="008A4294"/>
    <w:rsid w:val="008A4770"/>
    <w:rsid w:val="008A497B"/>
    <w:rsid w:val="008A522F"/>
    <w:rsid w:val="008A65AF"/>
    <w:rsid w:val="008A685D"/>
    <w:rsid w:val="008A7DA3"/>
    <w:rsid w:val="008B1206"/>
    <w:rsid w:val="008B15A6"/>
    <w:rsid w:val="008B2BBA"/>
    <w:rsid w:val="008B2F1B"/>
    <w:rsid w:val="008B6627"/>
    <w:rsid w:val="008C0181"/>
    <w:rsid w:val="008C2543"/>
    <w:rsid w:val="008C3758"/>
    <w:rsid w:val="008C59F9"/>
    <w:rsid w:val="008C7872"/>
    <w:rsid w:val="008D2649"/>
    <w:rsid w:val="008D2B76"/>
    <w:rsid w:val="008D52C2"/>
    <w:rsid w:val="008D5D1A"/>
    <w:rsid w:val="008D6886"/>
    <w:rsid w:val="008E0292"/>
    <w:rsid w:val="008E15F5"/>
    <w:rsid w:val="008E3E9D"/>
    <w:rsid w:val="008E5157"/>
    <w:rsid w:val="008E6F44"/>
    <w:rsid w:val="008F0E1E"/>
    <w:rsid w:val="008F225F"/>
    <w:rsid w:val="008F2DB3"/>
    <w:rsid w:val="008F5C85"/>
    <w:rsid w:val="008F6532"/>
    <w:rsid w:val="008F68F9"/>
    <w:rsid w:val="0090115B"/>
    <w:rsid w:val="009018F1"/>
    <w:rsid w:val="009046D6"/>
    <w:rsid w:val="00905798"/>
    <w:rsid w:val="00905A73"/>
    <w:rsid w:val="00914478"/>
    <w:rsid w:val="009157F1"/>
    <w:rsid w:val="00917980"/>
    <w:rsid w:val="009203E3"/>
    <w:rsid w:val="009223E3"/>
    <w:rsid w:val="009261DA"/>
    <w:rsid w:val="0093074B"/>
    <w:rsid w:val="009315FD"/>
    <w:rsid w:val="00935961"/>
    <w:rsid w:val="00942648"/>
    <w:rsid w:val="0094342C"/>
    <w:rsid w:val="00945E74"/>
    <w:rsid w:val="00946AB4"/>
    <w:rsid w:val="00947007"/>
    <w:rsid w:val="0094789E"/>
    <w:rsid w:val="009502D8"/>
    <w:rsid w:val="00950C0E"/>
    <w:rsid w:val="009519FE"/>
    <w:rsid w:val="009530F7"/>
    <w:rsid w:val="00954C94"/>
    <w:rsid w:val="00954E13"/>
    <w:rsid w:val="0095741C"/>
    <w:rsid w:val="00960BF4"/>
    <w:rsid w:val="00960DF3"/>
    <w:rsid w:val="00961366"/>
    <w:rsid w:val="009647CD"/>
    <w:rsid w:val="00966389"/>
    <w:rsid w:val="0096748E"/>
    <w:rsid w:val="00967D29"/>
    <w:rsid w:val="00970559"/>
    <w:rsid w:val="00974186"/>
    <w:rsid w:val="00976D4A"/>
    <w:rsid w:val="00980F46"/>
    <w:rsid w:val="009813E2"/>
    <w:rsid w:val="0098341F"/>
    <w:rsid w:val="00983579"/>
    <w:rsid w:val="0098419B"/>
    <w:rsid w:val="00986330"/>
    <w:rsid w:val="009914A9"/>
    <w:rsid w:val="009943BD"/>
    <w:rsid w:val="00994B26"/>
    <w:rsid w:val="009952F2"/>
    <w:rsid w:val="009A1176"/>
    <w:rsid w:val="009A4BE4"/>
    <w:rsid w:val="009A7764"/>
    <w:rsid w:val="009B3B6A"/>
    <w:rsid w:val="009B4379"/>
    <w:rsid w:val="009B6A58"/>
    <w:rsid w:val="009C2D3D"/>
    <w:rsid w:val="009C2E63"/>
    <w:rsid w:val="009C31EF"/>
    <w:rsid w:val="009C4577"/>
    <w:rsid w:val="009C4DAA"/>
    <w:rsid w:val="009C62EC"/>
    <w:rsid w:val="009C70A0"/>
    <w:rsid w:val="009D0FD1"/>
    <w:rsid w:val="009D22A9"/>
    <w:rsid w:val="009D3DC8"/>
    <w:rsid w:val="009D5C5B"/>
    <w:rsid w:val="009D5DA2"/>
    <w:rsid w:val="009D63FE"/>
    <w:rsid w:val="009D6F46"/>
    <w:rsid w:val="009E574B"/>
    <w:rsid w:val="009F050F"/>
    <w:rsid w:val="009F0985"/>
    <w:rsid w:val="009F0D91"/>
    <w:rsid w:val="009F43E2"/>
    <w:rsid w:val="009F48A6"/>
    <w:rsid w:val="009F54F3"/>
    <w:rsid w:val="009F7998"/>
    <w:rsid w:val="00A0010A"/>
    <w:rsid w:val="00A02977"/>
    <w:rsid w:val="00A057E6"/>
    <w:rsid w:val="00A13A29"/>
    <w:rsid w:val="00A13CB0"/>
    <w:rsid w:val="00A1542B"/>
    <w:rsid w:val="00A15E8E"/>
    <w:rsid w:val="00A20043"/>
    <w:rsid w:val="00A237B6"/>
    <w:rsid w:val="00A2454C"/>
    <w:rsid w:val="00A25041"/>
    <w:rsid w:val="00A27081"/>
    <w:rsid w:val="00A3007F"/>
    <w:rsid w:val="00A30BB8"/>
    <w:rsid w:val="00A31A7F"/>
    <w:rsid w:val="00A325F8"/>
    <w:rsid w:val="00A33419"/>
    <w:rsid w:val="00A33963"/>
    <w:rsid w:val="00A41D50"/>
    <w:rsid w:val="00A41FB1"/>
    <w:rsid w:val="00A421F0"/>
    <w:rsid w:val="00A42653"/>
    <w:rsid w:val="00A4328D"/>
    <w:rsid w:val="00A4477C"/>
    <w:rsid w:val="00A44E17"/>
    <w:rsid w:val="00A464F2"/>
    <w:rsid w:val="00A47459"/>
    <w:rsid w:val="00A562A1"/>
    <w:rsid w:val="00A57949"/>
    <w:rsid w:val="00A57D24"/>
    <w:rsid w:val="00A6001E"/>
    <w:rsid w:val="00A60669"/>
    <w:rsid w:val="00A6364C"/>
    <w:rsid w:val="00A66C59"/>
    <w:rsid w:val="00A71B9F"/>
    <w:rsid w:val="00A731B5"/>
    <w:rsid w:val="00A7408C"/>
    <w:rsid w:val="00A77102"/>
    <w:rsid w:val="00A802EE"/>
    <w:rsid w:val="00A82C7A"/>
    <w:rsid w:val="00A82E2C"/>
    <w:rsid w:val="00A87D58"/>
    <w:rsid w:val="00A92050"/>
    <w:rsid w:val="00A92D02"/>
    <w:rsid w:val="00A93384"/>
    <w:rsid w:val="00A94A70"/>
    <w:rsid w:val="00A971DD"/>
    <w:rsid w:val="00AA0294"/>
    <w:rsid w:val="00AA0D95"/>
    <w:rsid w:val="00AA24CA"/>
    <w:rsid w:val="00AA3CF2"/>
    <w:rsid w:val="00AA480E"/>
    <w:rsid w:val="00AA6A2C"/>
    <w:rsid w:val="00AA7685"/>
    <w:rsid w:val="00AB0A3D"/>
    <w:rsid w:val="00AB385C"/>
    <w:rsid w:val="00AB60B9"/>
    <w:rsid w:val="00AB6369"/>
    <w:rsid w:val="00AC13D8"/>
    <w:rsid w:val="00AC20DF"/>
    <w:rsid w:val="00AC335B"/>
    <w:rsid w:val="00AC4106"/>
    <w:rsid w:val="00AC686B"/>
    <w:rsid w:val="00AC79F4"/>
    <w:rsid w:val="00AD1862"/>
    <w:rsid w:val="00AD2D00"/>
    <w:rsid w:val="00AD4546"/>
    <w:rsid w:val="00AD4BE8"/>
    <w:rsid w:val="00AD5351"/>
    <w:rsid w:val="00AE092C"/>
    <w:rsid w:val="00AE1F06"/>
    <w:rsid w:val="00AE253F"/>
    <w:rsid w:val="00AE3B5C"/>
    <w:rsid w:val="00AE626C"/>
    <w:rsid w:val="00AE69C8"/>
    <w:rsid w:val="00AF0343"/>
    <w:rsid w:val="00AF0A1A"/>
    <w:rsid w:val="00AF0A28"/>
    <w:rsid w:val="00AF23C5"/>
    <w:rsid w:val="00AF2B03"/>
    <w:rsid w:val="00B022E6"/>
    <w:rsid w:val="00B07088"/>
    <w:rsid w:val="00B07106"/>
    <w:rsid w:val="00B07B15"/>
    <w:rsid w:val="00B20159"/>
    <w:rsid w:val="00B2259F"/>
    <w:rsid w:val="00B23172"/>
    <w:rsid w:val="00B2394B"/>
    <w:rsid w:val="00B23A1B"/>
    <w:rsid w:val="00B25FC2"/>
    <w:rsid w:val="00B314EC"/>
    <w:rsid w:val="00B31F41"/>
    <w:rsid w:val="00B327D9"/>
    <w:rsid w:val="00B33E14"/>
    <w:rsid w:val="00B35600"/>
    <w:rsid w:val="00B3572A"/>
    <w:rsid w:val="00B368C3"/>
    <w:rsid w:val="00B36A8B"/>
    <w:rsid w:val="00B40011"/>
    <w:rsid w:val="00B408FD"/>
    <w:rsid w:val="00B41626"/>
    <w:rsid w:val="00B41EED"/>
    <w:rsid w:val="00B45C95"/>
    <w:rsid w:val="00B466F3"/>
    <w:rsid w:val="00B46C2D"/>
    <w:rsid w:val="00B50055"/>
    <w:rsid w:val="00B50C67"/>
    <w:rsid w:val="00B536AC"/>
    <w:rsid w:val="00B55622"/>
    <w:rsid w:val="00B57EC0"/>
    <w:rsid w:val="00B60631"/>
    <w:rsid w:val="00B649E1"/>
    <w:rsid w:val="00B64E48"/>
    <w:rsid w:val="00B65E80"/>
    <w:rsid w:val="00B67E37"/>
    <w:rsid w:val="00B70EC4"/>
    <w:rsid w:val="00B715C6"/>
    <w:rsid w:val="00B73861"/>
    <w:rsid w:val="00B73BEC"/>
    <w:rsid w:val="00B777B0"/>
    <w:rsid w:val="00B81D12"/>
    <w:rsid w:val="00B833E7"/>
    <w:rsid w:val="00B83BB5"/>
    <w:rsid w:val="00B84A9B"/>
    <w:rsid w:val="00B87789"/>
    <w:rsid w:val="00B906CB"/>
    <w:rsid w:val="00B9216F"/>
    <w:rsid w:val="00B947D5"/>
    <w:rsid w:val="00BA03FB"/>
    <w:rsid w:val="00BB3843"/>
    <w:rsid w:val="00BB3922"/>
    <w:rsid w:val="00BB68FC"/>
    <w:rsid w:val="00BC0045"/>
    <w:rsid w:val="00BC0258"/>
    <w:rsid w:val="00BC124D"/>
    <w:rsid w:val="00BC22A9"/>
    <w:rsid w:val="00BC29ED"/>
    <w:rsid w:val="00BC6837"/>
    <w:rsid w:val="00BD125D"/>
    <w:rsid w:val="00BD366E"/>
    <w:rsid w:val="00BD4579"/>
    <w:rsid w:val="00BD5A6F"/>
    <w:rsid w:val="00BD7CDE"/>
    <w:rsid w:val="00BE2A17"/>
    <w:rsid w:val="00BE5695"/>
    <w:rsid w:val="00BE6B8F"/>
    <w:rsid w:val="00BF0A3F"/>
    <w:rsid w:val="00BF0A7D"/>
    <w:rsid w:val="00BF0CC7"/>
    <w:rsid w:val="00BF4E28"/>
    <w:rsid w:val="00BF6BF6"/>
    <w:rsid w:val="00C03F39"/>
    <w:rsid w:val="00C06019"/>
    <w:rsid w:val="00C06F22"/>
    <w:rsid w:val="00C1279A"/>
    <w:rsid w:val="00C1374F"/>
    <w:rsid w:val="00C13838"/>
    <w:rsid w:val="00C13D1B"/>
    <w:rsid w:val="00C15F57"/>
    <w:rsid w:val="00C16564"/>
    <w:rsid w:val="00C220EA"/>
    <w:rsid w:val="00C229F0"/>
    <w:rsid w:val="00C23935"/>
    <w:rsid w:val="00C258AE"/>
    <w:rsid w:val="00C25EEB"/>
    <w:rsid w:val="00C2719A"/>
    <w:rsid w:val="00C300B7"/>
    <w:rsid w:val="00C30124"/>
    <w:rsid w:val="00C32822"/>
    <w:rsid w:val="00C345E5"/>
    <w:rsid w:val="00C35A87"/>
    <w:rsid w:val="00C40671"/>
    <w:rsid w:val="00C40AFF"/>
    <w:rsid w:val="00C40FBA"/>
    <w:rsid w:val="00C4120A"/>
    <w:rsid w:val="00C42BB8"/>
    <w:rsid w:val="00C46AA9"/>
    <w:rsid w:val="00C46FA5"/>
    <w:rsid w:val="00C477D2"/>
    <w:rsid w:val="00C53156"/>
    <w:rsid w:val="00C53DBD"/>
    <w:rsid w:val="00C54633"/>
    <w:rsid w:val="00C56CCF"/>
    <w:rsid w:val="00C61E88"/>
    <w:rsid w:val="00C623B0"/>
    <w:rsid w:val="00C625C2"/>
    <w:rsid w:val="00C6342D"/>
    <w:rsid w:val="00C64209"/>
    <w:rsid w:val="00C6764E"/>
    <w:rsid w:val="00C67901"/>
    <w:rsid w:val="00C67C5D"/>
    <w:rsid w:val="00C74D0A"/>
    <w:rsid w:val="00C755FA"/>
    <w:rsid w:val="00C76E43"/>
    <w:rsid w:val="00C77A50"/>
    <w:rsid w:val="00C80394"/>
    <w:rsid w:val="00C80E9B"/>
    <w:rsid w:val="00C81090"/>
    <w:rsid w:val="00C8397B"/>
    <w:rsid w:val="00C84254"/>
    <w:rsid w:val="00C8426D"/>
    <w:rsid w:val="00C84839"/>
    <w:rsid w:val="00C85D9F"/>
    <w:rsid w:val="00C862AE"/>
    <w:rsid w:val="00C9193E"/>
    <w:rsid w:val="00C923FC"/>
    <w:rsid w:val="00C97FF0"/>
    <w:rsid w:val="00CA0BF0"/>
    <w:rsid w:val="00CA1025"/>
    <w:rsid w:val="00CA1486"/>
    <w:rsid w:val="00CA57C3"/>
    <w:rsid w:val="00CA5F1C"/>
    <w:rsid w:val="00CA63C8"/>
    <w:rsid w:val="00CA69F6"/>
    <w:rsid w:val="00CB281B"/>
    <w:rsid w:val="00CB48D6"/>
    <w:rsid w:val="00CB7B99"/>
    <w:rsid w:val="00CC0E7B"/>
    <w:rsid w:val="00CC2BF7"/>
    <w:rsid w:val="00CC64FE"/>
    <w:rsid w:val="00CC69CF"/>
    <w:rsid w:val="00CC72E4"/>
    <w:rsid w:val="00CC7CA5"/>
    <w:rsid w:val="00CD1D46"/>
    <w:rsid w:val="00CD48F2"/>
    <w:rsid w:val="00CD5310"/>
    <w:rsid w:val="00CD5398"/>
    <w:rsid w:val="00CD5976"/>
    <w:rsid w:val="00CD6CCC"/>
    <w:rsid w:val="00CE35B2"/>
    <w:rsid w:val="00CE47CB"/>
    <w:rsid w:val="00CE60B9"/>
    <w:rsid w:val="00CE6816"/>
    <w:rsid w:val="00CF0D96"/>
    <w:rsid w:val="00CF2967"/>
    <w:rsid w:val="00CF6E1D"/>
    <w:rsid w:val="00D011F9"/>
    <w:rsid w:val="00D04C43"/>
    <w:rsid w:val="00D07091"/>
    <w:rsid w:val="00D07E77"/>
    <w:rsid w:val="00D10972"/>
    <w:rsid w:val="00D11B07"/>
    <w:rsid w:val="00D12D14"/>
    <w:rsid w:val="00D12DF0"/>
    <w:rsid w:val="00D17B9B"/>
    <w:rsid w:val="00D200ED"/>
    <w:rsid w:val="00D20D6B"/>
    <w:rsid w:val="00D2260E"/>
    <w:rsid w:val="00D242C7"/>
    <w:rsid w:val="00D248A6"/>
    <w:rsid w:val="00D252B2"/>
    <w:rsid w:val="00D26C63"/>
    <w:rsid w:val="00D274B5"/>
    <w:rsid w:val="00D31CF0"/>
    <w:rsid w:val="00D32368"/>
    <w:rsid w:val="00D32CE5"/>
    <w:rsid w:val="00D35CDE"/>
    <w:rsid w:val="00D376D9"/>
    <w:rsid w:val="00D41D8E"/>
    <w:rsid w:val="00D43AAF"/>
    <w:rsid w:val="00D4546B"/>
    <w:rsid w:val="00D477C1"/>
    <w:rsid w:val="00D50CC9"/>
    <w:rsid w:val="00D516C1"/>
    <w:rsid w:val="00D52AF1"/>
    <w:rsid w:val="00D56409"/>
    <w:rsid w:val="00D5782D"/>
    <w:rsid w:val="00D6076C"/>
    <w:rsid w:val="00D66952"/>
    <w:rsid w:val="00D6789F"/>
    <w:rsid w:val="00D738F5"/>
    <w:rsid w:val="00D74D00"/>
    <w:rsid w:val="00D75763"/>
    <w:rsid w:val="00D80C8B"/>
    <w:rsid w:val="00D81D71"/>
    <w:rsid w:val="00D827CD"/>
    <w:rsid w:val="00D84242"/>
    <w:rsid w:val="00D852B5"/>
    <w:rsid w:val="00D86458"/>
    <w:rsid w:val="00D87450"/>
    <w:rsid w:val="00D91BA9"/>
    <w:rsid w:val="00D93F9D"/>
    <w:rsid w:val="00D9457E"/>
    <w:rsid w:val="00D951FA"/>
    <w:rsid w:val="00D97419"/>
    <w:rsid w:val="00DA33C1"/>
    <w:rsid w:val="00DA474C"/>
    <w:rsid w:val="00DA6451"/>
    <w:rsid w:val="00DA6DE6"/>
    <w:rsid w:val="00DA6F2C"/>
    <w:rsid w:val="00DB0028"/>
    <w:rsid w:val="00DB10C2"/>
    <w:rsid w:val="00DB2BFF"/>
    <w:rsid w:val="00DB2D74"/>
    <w:rsid w:val="00DB2FF8"/>
    <w:rsid w:val="00DB4BA6"/>
    <w:rsid w:val="00DB59C2"/>
    <w:rsid w:val="00DB6172"/>
    <w:rsid w:val="00DB63E7"/>
    <w:rsid w:val="00DB6921"/>
    <w:rsid w:val="00DB7490"/>
    <w:rsid w:val="00DC14CA"/>
    <w:rsid w:val="00DC1637"/>
    <w:rsid w:val="00DC3BE0"/>
    <w:rsid w:val="00DD139C"/>
    <w:rsid w:val="00DD24FE"/>
    <w:rsid w:val="00DD27BA"/>
    <w:rsid w:val="00DE2421"/>
    <w:rsid w:val="00DE2AB4"/>
    <w:rsid w:val="00DE2BEE"/>
    <w:rsid w:val="00DE42B0"/>
    <w:rsid w:val="00DE613F"/>
    <w:rsid w:val="00DE7DE2"/>
    <w:rsid w:val="00DF15D9"/>
    <w:rsid w:val="00DF1FC2"/>
    <w:rsid w:val="00DF3A12"/>
    <w:rsid w:val="00DF483A"/>
    <w:rsid w:val="00DF548B"/>
    <w:rsid w:val="00DF7BC6"/>
    <w:rsid w:val="00E006F4"/>
    <w:rsid w:val="00E00869"/>
    <w:rsid w:val="00E034DE"/>
    <w:rsid w:val="00E0681C"/>
    <w:rsid w:val="00E11B2D"/>
    <w:rsid w:val="00E1323D"/>
    <w:rsid w:val="00E14AC7"/>
    <w:rsid w:val="00E1771B"/>
    <w:rsid w:val="00E21FFC"/>
    <w:rsid w:val="00E230DF"/>
    <w:rsid w:val="00E23796"/>
    <w:rsid w:val="00E24BCE"/>
    <w:rsid w:val="00E25D28"/>
    <w:rsid w:val="00E27911"/>
    <w:rsid w:val="00E37293"/>
    <w:rsid w:val="00E37C02"/>
    <w:rsid w:val="00E4099A"/>
    <w:rsid w:val="00E43798"/>
    <w:rsid w:val="00E44AF5"/>
    <w:rsid w:val="00E45B52"/>
    <w:rsid w:val="00E46414"/>
    <w:rsid w:val="00E468F7"/>
    <w:rsid w:val="00E504DF"/>
    <w:rsid w:val="00E50EF6"/>
    <w:rsid w:val="00E512B5"/>
    <w:rsid w:val="00E516E0"/>
    <w:rsid w:val="00E53F78"/>
    <w:rsid w:val="00E56511"/>
    <w:rsid w:val="00E57829"/>
    <w:rsid w:val="00E62D89"/>
    <w:rsid w:val="00E64170"/>
    <w:rsid w:val="00E66736"/>
    <w:rsid w:val="00E707C5"/>
    <w:rsid w:val="00E7247D"/>
    <w:rsid w:val="00E738E5"/>
    <w:rsid w:val="00E74B7E"/>
    <w:rsid w:val="00E753A5"/>
    <w:rsid w:val="00E777AD"/>
    <w:rsid w:val="00E80C95"/>
    <w:rsid w:val="00E8142C"/>
    <w:rsid w:val="00E81CB5"/>
    <w:rsid w:val="00E82413"/>
    <w:rsid w:val="00E85F80"/>
    <w:rsid w:val="00E90DF8"/>
    <w:rsid w:val="00E91040"/>
    <w:rsid w:val="00E91DE8"/>
    <w:rsid w:val="00E955D5"/>
    <w:rsid w:val="00E97D84"/>
    <w:rsid w:val="00EA08A1"/>
    <w:rsid w:val="00EA14B5"/>
    <w:rsid w:val="00EB290B"/>
    <w:rsid w:val="00EB3179"/>
    <w:rsid w:val="00EB4618"/>
    <w:rsid w:val="00EB4AF4"/>
    <w:rsid w:val="00EB52FA"/>
    <w:rsid w:val="00EC16A7"/>
    <w:rsid w:val="00EC30E4"/>
    <w:rsid w:val="00EC69F1"/>
    <w:rsid w:val="00EC6E93"/>
    <w:rsid w:val="00ED1142"/>
    <w:rsid w:val="00ED193B"/>
    <w:rsid w:val="00ED3CB9"/>
    <w:rsid w:val="00ED47F5"/>
    <w:rsid w:val="00ED5987"/>
    <w:rsid w:val="00EE1116"/>
    <w:rsid w:val="00EE151A"/>
    <w:rsid w:val="00EE2AF5"/>
    <w:rsid w:val="00EE39B1"/>
    <w:rsid w:val="00EE5581"/>
    <w:rsid w:val="00EF1922"/>
    <w:rsid w:val="00EF2E9A"/>
    <w:rsid w:val="00EF370D"/>
    <w:rsid w:val="00EF56E7"/>
    <w:rsid w:val="00EF612B"/>
    <w:rsid w:val="00EF6406"/>
    <w:rsid w:val="00EF712C"/>
    <w:rsid w:val="00F03AA9"/>
    <w:rsid w:val="00F04E08"/>
    <w:rsid w:val="00F078A4"/>
    <w:rsid w:val="00F10597"/>
    <w:rsid w:val="00F11A45"/>
    <w:rsid w:val="00F13403"/>
    <w:rsid w:val="00F14466"/>
    <w:rsid w:val="00F14A47"/>
    <w:rsid w:val="00F20C97"/>
    <w:rsid w:val="00F21780"/>
    <w:rsid w:val="00F23101"/>
    <w:rsid w:val="00F2528B"/>
    <w:rsid w:val="00F27175"/>
    <w:rsid w:val="00F30940"/>
    <w:rsid w:val="00F36689"/>
    <w:rsid w:val="00F370D4"/>
    <w:rsid w:val="00F40DCA"/>
    <w:rsid w:val="00F427E5"/>
    <w:rsid w:val="00F435A6"/>
    <w:rsid w:val="00F4487A"/>
    <w:rsid w:val="00F543DF"/>
    <w:rsid w:val="00F5790A"/>
    <w:rsid w:val="00F640BE"/>
    <w:rsid w:val="00F64258"/>
    <w:rsid w:val="00F67B26"/>
    <w:rsid w:val="00F74476"/>
    <w:rsid w:val="00F77F5E"/>
    <w:rsid w:val="00F8006F"/>
    <w:rsid w:val="00F806A4"/>
    <w:rsid w:val="00F8556B"/>
    <w:rsid w:val="00F862C6"/>
    <w:rsid w:val="00F87CFF"/>
    <w:rsid w:val="00F92A6F"/>
    <w:rsid w:val="00F93442"/>
    <w:rsid w:val="00F93C72"/>
    <w:rsid w:val="00F94683"/>
    <w:rsid w:val="00FA4B1D"/>
    <w:rsid w:val="00FA4C9A"/>
    <w:rsid w:val="00FA7BBA"/>
    <w:rsid w:val="00FB09D9"/>
    <w:rsid w:val="00FB1FE4"/>
    <w:rsid w:val="00FB24C8"/>
    <w:rsid w:val="00FB6B1C"/>
    <w:rsid w:val="00FC097A"/>
    <w:rsid w:val="00FD5385"/>
    <w:rsid w:val="00FD7926"/>
    <w:rsid w:val="00FD7975"/>
    <w:rsid w:val="00FE3562"/>
    <w:rsid w:val="00FE4282"/>
    <w:rsid w:val="00FE461C"/>
    <w:rsid w:val="00FE5238"/>
    <w:rsid w:val="00FE6512"/>
    <w:rsid w:val="00FE6868"/>
    <w:rsid w:val="00FE6E9F"/>
    <w:rsid w:val="00FE76F4"/>
    <w:rsid w:val="00FF1976"/>
    <w:rsid w:val="00FF3513"/>
    <w:rsid w:val="00FF4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B70"/>
    <w:pPr>
      <w:widowControl w:val="0"/>
    </w:pPr>
    <w:rPr>
      <w:sz w:val="22"/>
      <w:lang w:eastAsia="en-US"/>
    </w:rPr>
  </w:style>
  <w:style w:type="paragraph" w:styleId="1">
    <w:name w:val="heading 1"/>
    <w:basedOn w:val="a"/>
    <w:next w:val="a"/>
    <w:qFormat/>
    <w:rsid w:val="007364F9"/>
    <w:pPr>
      <w:keepNext/>
      <w:jc w:val="center"/>
      <w:outlineLvl w:val="0"/>
    </w:pPr>
    <w:rPr>
      <w:b/>
    </w:rPr>
  </w:style>
  <w:style w:type="paragraph" w:styleId="2">
    <w:name w:val="heading 2"/>
    <w:basedOn w:val="a"/>
    <w:next w:val="a"/>
    <w:qFormat/>
    <w:rsid w:val="007364F9"/>
    <w:pPr>
      <w:keepNext/>
      <w:outlineLvl w:val="1"/>
    </w:pPr>
    <w:rPr>
      <w:b/>
    </w:rPr>
  </w:style>
  <w:style w:type="paragraph" w:styleId="3">
    <w:name w:val="heading 3"/>
    <w:basedOn w:val="a"/>
    <w:next w:val="a"/>
    <w:qFormat/>
    <w:rsid w:val="007364F9"/>
    <w:pPr>
      <w:keepNext/>
      <w:tabs>
        <w:tab w:val="left" w:pos="693"/>
      </w:tabs>
      <w:ind w:right="141"/>
      <w:jc w:val="both"/>
      <w:outlineLvl w:val="2"/>
    </w:pPr>
    <w:rPr>
      <w:rFonts w:ascii="Times" w:hAnsi="Times"/>
      <w:u w:val="single"/>
    </w:rPr>
  </w:style>
  <w:style w:type="paragraph" w:styleId="4">
    <w:name w:val="heading 4"/>
    <w:basedOn w:val="a"/>
    <w:next w:val="a"/>
    <w:qFormat/>
    <w:rsid w:val="008F6532"/>
    <w:pPr>
      <w:keepNext/>
      <w:spacing w:before="240" w:after="60"/>
      <w:outlineLvl w:val="3"/>
    </w:pPr>
    <w:rPr>
      <w:b/>
      <w:bCs/>
      <w:sz w:val="28"/>
      <w:szCs w:val="28"/>
    </w:rPr>
  </w:style>
  <w:style w:type="paragraph" w:styleId="5">
    <w:name w:val="heading 5"/>
    <w:basedOn w:val="a"/>
    <w:next w:val="a"/>
    <w:qFormat/>
    <w:rsid w:val="007364F9"/>
    <w:pPr>
      <w:spacing w:before="240" w:after="60"/>
      <w:outlineLvl w:val="4"/>
    </w:pPr>
    <w:rPr>
      <w:b/>
      <w:bCs/>
      <w:i/>
      <w:iCs/>
      <w:sz w:val="26"/>
      <w:szCs w:val="26"/>
    </w:rPr>
  </w:style>
  <w:style w:type="paragraph" w:styleId="6">
    <w:name w:val="heading 6"/>
    <w:basedOn w:val="a"/>
    <w:next w:val="a"/>
    <w:qFormat/>
    <w:rsid w:val="007364F9"/>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7364F9"/>
    <w:pPr>
      <w:keepNext/>
      <w:tabs>
        <w:tab w:val="left" w:pos="-720"/>
        <w:tab w:val="left" w:pos="567"/>
        <w:tab w:val="left" w:pos="4536"/>
      </w:tabs>
      <w:suppressAutoHyphens/>
      <w:spacing w:line="-260" w:lineRule="auto"/>
      <w:jc w:val="both"/>
      <w:outlineLvl w:val="6"/>
    </w:pPr>
    <w:rPr>
      <w:i/>
      <w:lang w:val="en-GB"/>
    </w:rPr>
  </w:style>
  <w:style w:type="paragraph" w:styleId="9">
    <w:name w:val="heading 9"/>
    <w:basedOn w:val="a"/>
    <w:next w:val="a"/>
    <w:qFormat/>
    <w:rsid w:val="007364F9"/>
    <w:p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64F9"/>
    <w:pPr>
      <w:tabs>
        <w:tab w:val="center" w:pos="4153"/>
        <w:tab w:val="right" w:pos="8306"/>
      </w:tabs>
    </w:pPr>
  </w:style>
  <w:style w:type="paragraph" w:styleId="a4">
    <w:name w:val="footer"/>
    <w:basedOn w:val="a"/>
    <w:rsid w:val="007364F9"/>
    <w:pPr>
      <w:tabs>
        <w:tab w:val="center" w:pos="4153"/>
        <w:tab w:val="right" w:pos="8306"/>
      </w:tabs>
    </w:pPr>
  </w:style>
  <w:style w:type="character" w:styleId="a5">
    <w:name w:val="page number"/>
    <w:basedOn w:val="a0"/>
    <w:rsid w:val="007364F9"/>
  </w:style>
  <w:style w:type="character" w:styleId="-">
    <w:name w:val="Hyperlink"/>
    <w:rsid w:val="007364F9"/>
    <w:rPr>
      <w:color w:val="0000FF"/>
      <w:u w:val="single"/>
    </w:rPr>
  </w:style>
  <w:style w:type="character" w:styleId="-0">
    <w:name w:val="FollowedHyperlink"/>
    <w:rsid w:val="007364F9"/>
    <w:rPr>
      <w:color w:val="800080"/>
      <w:u w:val="single"/>
    </w:rPr>
  </w:style>
  <w:style w:type="paragraph" w:styleId="a6">
    <w:name w:val="Block Text"/>
    <w:basedOn w:val="a"/>
    <w:rsid w:val="007364F9"/>
    <w:pPr>
      <w:widowControl/>
      <w:pBdr>
        <w:top w:val="single" w:sz="4" w:space="1" w:color="auto"/>
        <w:left w:val="single" w:sz="4" w:space="4" w:color="auto"/>
        <w:bottom w:val="single" w:sz="4" w:space="1" w:color="auto"/>
        <w:right w:val="single" w:sz="4" w:space="4" w:color="auto"/>
      </w:pBdr>
      <w:ind w:left="540" w:right="70" w:hanging="540"/>
    </w:pPr>
    <w:rPr>
      <w:b/>
      <w:bCs/>
      <w:i/>
      <w:iCs/>
      <w:sz w:val="24"/>
      <w:szCs w:val="24"/>
      <w:lang w:val="en-US"/>
    </w:rPr>
  </w:style>
  <w:style w:type="paragraph" w:customStyle="1" w:styleId="BodyTextIndent31">
    <w:name w:val="Body Text Indent 31"/>
    <w:basedOn w:val="a"/>
    <w:rsid w:val="007364F9"/>
    <w:pPr>
      <w:widowControl/>
      <w:ind w:left="1701" w:hanging="283"/>
      <w:jc w:val="both"/>
    </w:pPr>
    <w:rPr>
      <w:sz w:val="24"/>
      <w:lang w:val="en-GB"/>
    </w:rPr>
  </w:style>
  <w:style w:type="paragraph" w:customStyle="1" w:styleId="BodyText21">
    <w:name w:val="Body Text 21"/>
    <w:basedOn w:val="a"/>
    <w:rsid w:val="007364F9"/>
    <w:pPr>
      <w:widowControl/>
      <w:ind w:left="720"/>
      <w:jc w:val="both"/>
    </w:pPr>
    <w:rPr>
      <w:sz w:val="24"/>
      <w:lang w:val="en-GB"/>
    </w:rPr>
  </w:style>
  <w:style w:type="paragraph" w:styleId="20">
    <w:name w:val="Body Text 2"/>
    <w:basedOn w:val="a"/>
    <w:rsid w:val="007364F9"/>
    <w:pPr>
      <w:widowControl/>
    </w:pPr>
    <w:rPr>
      <w:color w:val="000080"/>
      <w:sz w:val="24"/>
      <w:szCs w:val="24"/>
      <w:lang w:val="en-US"/>
    </w:rPr>
  </w:style>
  <w:style w:type="paragraph" w:customStyle="1" w:styleId="Table">
    <w:name w:val="Table"/>
    <w:basedOn w:val="a"/>
    <w:next w:val="a7"/>
    <w:rsid w:val="007364F9"/>
    <w:pPr>
      <w:widowControl/>
      <w:overflowPunct w:val="0"/>
      <w:autoSpaceDE w:val="0"/>
      <w:autoSpaceDN w:val="0"/>
      <w:adjustRightInd w:val="0"/>
      <w:spacing w:before="120"/>
      <w:jc w:val="center"/>
      <w:textAlignment w:val="baseline"/>
    </w:pPr>
    <w:rPr>
      <w:rFonts w:ascii="Times" w:hAnsi="Times"/>
      <w:sz w:val="24"/>
      <w:lang w:val="en-US" w:eastAsia="fr-FR"/>
    </w:rPr>
  </w:style>
  <w:style w:type="paragraph" w:styleId="a7">
    <w:name w:val="Body Text"/>
    <w:basedOn w:val="a"/>
    <w:rsid w:val="007364F9"/>
    <w:pPr>
      <w:spacing w:after="120"/>
    </w:pPr>
  </w:style>
  <w:style w:type="paragraph" w:customStyle="1" w:styleId="BodyTextIndent21">
    <w:name w:val="Body Text Indent 21"/>
    <w:basedOn w:val="a"/>
    <w:rsid w:val="007364F9"/>
    <w:pPr>
      <w:widowControl/>
      <w:ind w:left="748" w:hanging="34"/>
      <w:jc w:val="both"/>
    </w:pPr>
    <w:rPr>
      <w:sz w:val="24"/>
      <w:lang w:val="en-GB"/>
    </w:rPr>
  </w:style>
  <w:style w:type="paragraph" w:styleId="30">
    <w:name w:val="Body Text Indent 3"/>
    <w:basedOn w:val="a"/>
    <w:rsid w:val="007364F9"/>
    <w:pPr>
      <w:widowControl/>
      <w:pBdr>
        <w:top w:val="single" w:sz="4" w:space="1" w:color="auto"/>
        <w:left w:val="single" w:sz="4" w:space="4" w:color="auto"/>
        <w:bottom w:val="single" w:sz="4" w:space="1" w:color="auto"/>
        <w:right w:val="single" w:sz="4" w:space="4" w:color="auto"/>
      </w:pBdr>
      <w:ind w:left="540" w:hanging="540"/>
      <w:jc w:val="both"/>
    </w:pPr>
    <w:rPr>
      <w:b/>
      <w:bCs/>
      <w:i/>
      <w:iCs/>
      <w:sz w:val="24"/>
      <w:szCs w:val="24"/>
      <w:lang w:val="en-US"/>
    </w:rPr>
  </w:style>
  <w:style w:type="paragraph" w:styleId="a8">
    <w:name w:val="Body Text Indent"/>
    <w:basedOn w:val="a"/>
    <w:rsid w:val="007364F9"/>
    <w:pPr>
      <w:widowControl/>
      <w:ind w:left="360" w:hanging="360"/>
      <w:jc w:val="both"/>
    </w:pPr>
    <w:rPr>
      <w:b/>
      <w:bCs/>
      <w:i/>
      <w:iCs/>
      <w:sz w:val="24"/>
      <w:szCs w:val="24"/>
      <w:lang w:val="en-US"/>
    </w:rPr>
  </w:style>
  <w:style w:type="paragraph" w:customStyle="1" w:styleId="BlockText3">
    <w:name w:val="Block Text3"/>
    <w:basedOn w:val="a"/>
    <w:rsid w:val="007364F9"/>
    <w:pPr>
      <w:widowControl/>
      <w:overflowPunct w:val="0"/>
      <w:autoSpaceDE w:val="0"/>
      <w:autoSpaceDN w:val="0"/>
      <w:adjustRightInd w:val="0"/>
      <w:ind w:left="714" w:right="142"/>
      <w:jc w:val="both"/>
      <w:textAlignment w:val="baseline"/>
    </w:pPr>
    <w:rPr>
      <w:sz w:val="24"/>
      <w:lang w:val="en-GB"/>
    </w:rPr>
  </w:style>
  <w:style w:type="paragraph" w:customStyle="1" w:styleId="Texte-3">
    <w:name w:val="Texte-3"/>
    <w:basedOn w:val="a"/>
    <w:rsid w:val="007364F9"/>
    <w:pPr>
      <w:widowControl/>
      <w:overflowPunct w:val="0"/>
      <w:autoSpaceDE w:val="0"/>
      <w:autoSpaceDN w:val="0"/>
      <w:adjustRightInd w:val="0"/>
      <w:spacing w:before="120" w:after="40"/>
      <w:jc w:val="both"/>
      <w:textAlignment w:val="baseline"/>
    </w:pPr>
    <w:rPr>
      <w:rFonts w:ascii="Arial" w:hAnsi="Arial"/>
      <w:lang w:val="en-US"/>
    </w:rPr>
  </w:style>
  <w:style w:type="paragraph" w:customStyle="1" w:styleId="BodyText24">
    <w:name w:val="Body Text 24"/>
    <w:basedOn w:val="a"/>
    <w:rsid w:val="007364F9"/>
    <w:pPr>
      <w:widowControl/>
      <w:overflowPunct w:val="0"/>
      <w:autoSpaceDE w:val="0"/>
      <w:autoSpaceDN w:val="0"/>
      <w:adjustRightInd w:val="0"/>
      <w:ind w:left="720"/>
      <w:jc w:val="both"/>
      <w:textAlignment w:val="baseline"/>
    </w:pPr>
    <w:rPr>
      <w:sz w:val="24"/>
      <w:lang w:val="en-GB"/>
    </w:rPr>
  </w:style>
  <w:style w:type="paragraph" w:customStyle="1" w:styleId="BodyTextIndent22">
    <w:name w:val="Body Text Indent 22"/>
    <w:basedOn w:val="a"/>
    <w:rsid w:val="007364F9"/>
    <w:pPr>
      <w:widowControl/>
      <w:overflowPunct w:val="0"/>
      <w:autoSpaceDE w:val="0"/>
      <w:autoSpaceDN w:val="0"/>
      <w:adjustRightInd w:val="0"/>
      <w:ind w:left="748" w:hanging="34"/>
      <w:jc w:val="both"/>
      <w:textAlignment w:val="baseline"/>
    </w:pPr>
    <w:rPr>
      <w:sz w:val="24"/>
      <w:lang w:val="en-GB"/>
    </w:rPr>
  </w:style>
  <w:style w:type="paragraph" w:customStyle="1" w:styleId="BodyText22">
    <w:name w:val="Body Text 22"/>
    <w:basedOn w:val="a"/>
    <w:rsid w:val="007364F9"/>
    <w:pPr>
      <w:widowControl/>
      <w:overflowPunct w:val="0"/>
      <w:autoSpaceDE w:val="0"/>
      <w:autoSpaceDN w:val="0"/>
      <w:adjustRightInd w:val="0"/>
      <w:ind w:left="284"/>
      <w:jc w:val="both"/>
      <w:textAlignment w:val="baseline"/>
    </w:pPr>
    <w:rPr>
      <w:rFonts w:ascii="Arial" w:hAnsi="Arial"/>
      <w:sz w:val="24"/>
      <w:lang w:val="en-US"/>
    </w:rPr>
  </w:style>
  <w:style w:type="character" w:customStyle="1" w:styleId="Masqu">
    <w:name w:val="Masqué"/>
    <w:rsid w:val="007364F9"/>
    <w:rPr>
      <w:vanish/>
    </w:rPr>
  </w:style>
  <w:style w:type="character" w:customStyle="1" w:styleId="s1">
    <w:name w:val="s1"/>
    <w:rsid w:val="007364F9"/>
    <w:rPr>
      <w:rFonts w:ascii="Arial" w:hAnsi="Arial" w:cs="Arial" w:hint="default"/>
    </w:rPr>
  </w:style>
  <w:style w:type="character" w:customStyle="1" w:styleId="f101">
    <w:name w:val="f101"/>
    <w:rsid w:val="007364F9"/>
    <w:rPr>
      <w:sz w:val="20"/>
    </w:rPr>
  </w:style>
  <w:style w:type="paragraph" w:styleId="31">
    <w:name w:val="Body Text 3"/>
    <w:basedOn w:val="a"/>
    <w:rsid w:val="007364F9"/>
    <w:pPr>
      <w:numPr>
        <w:ilvl w:val="12"/>
      </w:numPr>
      <w:ind w:right="-12"/>
      <w:jc w:val="both"/>
    </w:pPr>
    <w:rPr>
      <w:szCs w:val="22"/>
    </w:rPr>
  </w:style>
  <w:style w:type="paragraph" w:styleId="a9">
    <w:name w:val="footnote text"/>
    <w:basedOn w:val="a"/>
    <w:semiHidden/>
    <w:rsid w:val="007364F9"/>
    <w:pPr>
      <w:widowControl/>
      <w:overflowPunct w:val="0"/>
      <w:autoSpaceDE w:val="0"/>
      <w:autoSpaceDN w:val="0"/>
      <w:adjustRightInd w:val="0"/>
      <w:ind w:left="454" w:hanging="227"/>
      <w:jc w:val="both"/>
      <w:textAlignment w:val="baseline"/>
    </w:pPr>
    <w:rPr>
      <w:sz w:val="20"/>
      <w:lang w:val="en-US" w:eastAsia="fr-FR"/>
    </w:rPr>
  </w:style>
  <w:style w:type="paragraph" w:customStyle="1" w:styleId="Sprechblasentext">
    <w:name w:val="Sprechblasentext"/>
    <w:basedOn w:val="a"/>
    <w:semiHidden/>
    <w:rsid w:val="007364F9"/>
    <w:pPr>
      <w:widowControl/>
    </w:pPr>
    <w:rPr>
      <w:rFonts w:ascii="Tahoma" w:hAnsi="Tahoma" w:cs="Tahoma"/>
      <w:sz w:val="16"/>
      <w:szCs w:val="16"/>
      <w:lang w:val="de-DE" w:eastAsia="de-DE"/>
    </w:rPr>
  </w:style>
  <w:style w:type="paragraph" w:styleId="aa">
    <w:name w:val="toa heading"/>
    <w:basedOn w:val="a"/>
    <w:next w:val="a"/>
    <w:semiHidden/>
    <w:rsid w:val="007364F9"/>
    <w:pPr>
      <w:widowControl/>
      <w:spacing w:before="120" w:line="276" w:lineRule="auto"/>
      <w:jc w:val="both"/>
    </w:pPr>
    <w:rPr>
      <w:rFonts w:ascii="Arial" w:hAnsi="Arial"/>
      <w:b/>
      <w:sz w:val="24"/>
      <w:lang w:val="en-GB" w:eastAsia="nl-NL"/>
    </w:rPr>
  </w:style>
  <w:style w:type="paragraph" w:styleId="ab">
    <w:name w:val="Balloon Text"/>
    <w:basedOn w:val="a"/>
    <w:semiHidden/>
    <w:rsid w:val="004D305B"/>
    <w:rPr>
      <w:rFonts w:ascii="Tahoma" w:hAnsi="Tahoma" w:cs="Tahoma"/>
      <w:sz w:val="16"/>
      <w:szCs w:val="16"/>
    </w:rPr>
  </w:style>
  <w:style w:type="paragraph" w:styleId="ac">
    <w:name w:val="Title"/>
    <w:basedOn w:val="a"/>
    <w:qFormat/>
    <w:rsid w:val="008F6532"/>
    <w:pPr>
      <w:widowControl/>
      <w:autoSpaceDE w:val="0"/>
      <w:autoSpaceDN w:val="0"/>
      <w:adjustRightInd w:val="0"/>
      <w:jc w:val="center"/>
    </w:pPr>
    <w:rPr>
      <w:b/>
      <w:bCs/>
      <w:snapToGrid w:val="0"/>
      <w:sz w:val="24"/>
      <w:szCs w:val="24"/>
      <w:lang w:val="en-GB"/>
    </w:rPr>
  </w:style>
</w:styles>
</file>

<file path=word/webSettings.xml><?xml version="1.0" encoding="utf-8"?>
<w:webSettings xmlns:r="http://schemas.openxmlformats.org/officeDocument/2006/relationships" xmlns:w="http://schemas.openxmlformats.org/wordprocessingml/2006/main">
  <w:divs>
    <w:div w:id="83503480">
      <w:bodyDiv w:val="1"/>
      <w:marLeft w:val="0"/>
      <w:marRight w:val="0"/>
      <w:marTop w:val="0"/>
      <w:marBottom w:val="0"/>
      <w:divBdr>
        <w:top w:val="none" w:sz="0" w:space="0" w:color="auto"/>
        <w:left w:val="none" w:sz="0" w:space="0" w:color="auto"/>
        <w:bottom w:val="none" w:sz="0" w:space="0" w:color="auto"/>
        <w:right w:val="none" w:sz="0" w:space="0" w:color="auto"/>
      </w:divBdr>
    </w:div>
    <w:div w:id="187529330">
      <w:bodyDiv w:val="1"/>
      <w:marLeft w:val="0"/>
      <w:marRight w:val="0"/>
      <w:marTop w:val="0"/>
      <w:marBottom w:val="0"/>
      <w:divBdr>
        <w:top w:val="none" w:sz="0" w:space="0" w:color="auto"/>
        <w:left w:val="none" w:sz="0" w:space="0" w:color="auto"/>
        <w:bottom w:val="none" w:sz="0" w:space="0" w:color="auto"/>
        <w:right w:val="none" w:sz="0" w:space="0" w:color="auto"/>
      </w:divBdr>
    </w:div>
    <w:div w:id="323290003">
      <w:bodyDiv w:val="1"/>
      <w:marLeft w:val="0"/>
      <w:marRight w:val="0"/>
      <w:marTop w:val="0"/>
      <w:marBottom w:val="0"/>
      <w:divBdr>
        <w:top w:val="none" w:sz="0" w:space="0" w:color="auto"/>
        <w:left w:val="none" w:sz="0" w:space="0" w:color="auto"/>
        <w:bottom w:val="none" w:sz="0" w:space="0" w:color="auto"/>
        <w:right w:val="none" w:sz="0" w:space="0" w:color="auto"/>
      </w:divBdr>
    </w:div>
    <w:div w:id="409429555">
      <w:bodyDiv w:val="1"/>
      <w:marLeft w:val="0"/>
      <w:marRight w:val="0"/>
      <w:marTop w:val="0"/>
      <w:marBottom w:val="0"/>
      <w:divBdr>
        <w:top w:val="none" w:sz="0" w:space="0" w:color="auto"/>
        <w:left w:val="none" w:sz="0" w:space="0" w:color="auto"/>
        <w:bottom w:val="none" w:sz="0" w:space="0" w:color="auto"/>
        <w:right w:val="none" w:sz="0" w:space="0" w:color="auto"/>
      </w:divBdr>
    </w:div>
    <w:div w:id="506480298">
      <w:bodyDiv w:val="1"/>
      <w:marLeft w:val="0"/>
      <w:marRight w:val="0"/>
      <w:marTop w:val="0"/>
      <w:marBottom w:val="0"/>
      <w:divBdr>
        <w:top w:val="none" w:sz="0" w:space="0" w:color="auto"/>
        <w:left w:val="none" w:sz="0" w:space="0" w:color="auto"/>
        <w:bottom w:val="none" w:sz="0" w:space="0" w:color="auto"/>
        <w:right w:val="none" w:sz="0" w:space="0" w:color="auto"/>
      </w:divBdr>
    </w:div>
    <w:div w:id="562761975">
      <w:bodyDiv w:val="1"/>
      <w:marLeft w:val="0"/>
      <w:marRight w:val="0"/>
      <w:marTop w:val="0"/>
      <w:marBottom w:val="0"/>
      <w:divBdr>
        <w:top w:val="none" w:sz="0" w:space="0" w:color="auto"/>
        <w:left w:val="none" w:sz="0" w:space="0" w:color="auto"/>
        <w:bottom w:val="none" w:sz="0" w:space="0" w:color="auto"/>
        <w:right w:val="none" w:sz="0" w:space="0" w:color="auto"/>
      </w:divBdr>
    </w:div>
    <w:div w:id="583806589">
      <w:bodyDiv w:val="1"/>
      <w:marLeft w:val="0"/>
      <w:marRight w:val="0"/>
      <w:marTop w:val="0"/>
      <w:marBottom w:val="0"/>
      <w:divBdr>
        <w:top w:val="none" w:sz="0" w:space="0" w:color="auto"/>
        <w:left w:val="none" w:sz="0" w:space="0" w:color="auto"/>
        <w:bottom w:val="none" w:sz="0" w:space="0" w:color="auto"/>
        <w:right w:val="none" w:sz="0" w:space="0" w:color="auto"/>
      </w:divBdr>
    </w:div>
    <w:div w:id="661544555">
      <w:bodyDiv w:val="1"/>
      <w:marLeft w:val="0"/>
      <w:marRight w:val="0"/>
      <w:marTop w:val="0"/>
      <w:marBottom w:val="0"/>
      <w:divBdr>
        <w:top w:val="none" w:sz="0" w:space="0" w:color="auto"/>
        <w:left w:val="none" w:sz="0" w:space="0" w:color="auto"/>
        <w:bottom w:val="none" w:sz="0" w:space="0" w:color="auto"/>
        <w:right w:val="none" w:sz="0" w:space="0" w:color="auto"/>
      </w:divBdr>
    </w:div>
    <w:div w:id="758526236">
      <w:bodyDiv w:val="1"/>
      <w:marLeft w:val="0"/>
      <w:marRight w:val="0"/>
      <w:marTop w:val="0"/>
      <w:marBottom w:val="0"/>
      <w:divBdr>
        <w:top w:val="none" w:sz="0" w:space="0" w:color="auto"/>
        <w:left w:val="none" w:sz="0" w:space="0" w:color="auto"/>
        <w:bottom w:val="none" w:sz="0" w:space="0" w:color="auto"/>
        <w:right w:val="none" w:sz="0" w:space="0" w:color="auto"/>
      </w:divBdr>
    </w:div>
    <w:div w:id="1010525634">
      <w:bodyDiv w:val="1"/>
      <w:marLeft w:val="0"/>
      <w:marRight w:val="0"/>
      <w:marTop w:val="0"/>
      <w:marBottom w:val="0"/>
      <w:divBdr>
        <w:top w:val="none" w:sz="0" w:space="0" w:color="auto"/>
        <w:left w:val="none" w:sz="0" w:space="0" w:color="auto"/>
        <w:bottom w:val="none" w:sz="0" w:space="0" w:color="auto"/>
        <w:right w:val="none" w:sz="0" w:space="0" w:color="auto"/>
      </w:divBdr>
    </w:div>
    <w:div w:id="1068192108">
      <w:bodyDiv w:val="1"/>
      <w:marLeft w:val="0"/>
      <w:marRight w:val="0"/>
      <w:marTop w:val="0"/>
      <w:marBottom w:val="0"/>
      <w:divBdr>
        <w:top w:val="none" w:sz="0" w:space="0" w:color="auto"/>
        <w:left w:val="none" w:sz="0" w:space="0" w:color="auto"/>
        <w:bottom w:val="none" w:sz="0" w:space="0" w:color="auto"/>
        <w:right w:val="none" w:sz="0" w:space="0" w:color="auto"/>
      </w:divBdr>
    </w:div>
    <w:div w:id="1128737995">
      <w:bodyDiv w:val="1"/>
      <w:marLeft w:val="0"/>
      <w:marRight w:val="0"/>
      <w:marTop w:val="0"/>
      <w:marBottom w:val="0"/>
      <w:divBdr>
        <w:top w:val="none" w:sz="0" w:space="0" w:color="auto"/>
        <w:left w:val="none" w:sz="0" w:space="0" w:color="auto"/>
        <w:bottom w:val="none" w:sz="0" w:space="0" w:color="auto"/>
        <w:right w:val="none" w:sz="0" w:space="0" w:color="auto"/>
      </w:divBdr>
    </w:div>
    <w:div w:id="1169371007">
      <w:bodyDiv w:val="1"/>
      <w:marLeft w:val="0"/>
      <w:marRight w:val="0"/>
      <w:marTop w:val="0"/>
      <w:marBottom w:val="0"/>
      <w:divBdr>
        <w:top w:val="none" w:sz="0" w:space="0" w:color="auto"/>
        <w:left w:val="none" w:sz="0" w:space="0" w:color="auto"/>
        <w:bottom w:val="none" w:sz="0" w:space="0" w:color="auto"/>
        <w:right w:val="none" w:sz="0" w:space="0" w:color="auto"/>
      </w:divBdr>
    </w:div>
    <w:div w:id="1286933153">
      <w:bodyDiv w:val="1"/>
      <w:marLeft w:val="0"/>
      <w:marRight w:val="0"/>
      <w:marTop w:val="0"/>
      <w:marBottom w:val="0"/>
      <w:divBdr>
        <w:top w:val="none" w:sz="0" w:space="0" w:color="auto"/>
        <w:left w:val="none" w:sz="0" w:space="0" w:color="auto"/>
        <w:bottom w:val="none" w:sz="0" w:space="0" w:color="auto"/>
        <w:right w:val="none" w:sz="0" w:space="0" w:color="auto"/>
      </w:divBdr>
    </w:div>
    <w:div w:id="1366713977">
      <w:bodyDiv w:val="1"/>
      <w:marLeft w:val="0"/>
      <w:marRight w:val="0"/>
      <w:marTop w:val="0"/>
      <w:marBottom w:val="0"/>
      <w:divBdr>
        <w:top w:val="none" w:sz="0" w:space="0" w:color="auto"/>
        <w:left w:val="none" w:sz="0" w:space="0" w:color="auto"/>
        <w:bottom w:val="none" w:sz="0" w:space="0" w:color="auto"/>
        <w:right w:val="none" w:sz="0" w:space="0" w:color="auto"/>
      </w:divBdr>
    </w:div>
    <w:div w:id="1370911957">
      <w:bodyDiv w:val="1"/>
      <w:marLeft w:val="0"/>
      <w:marRight w:val="0"/>
      <w:marTop w:val="0"/>
      <w:marBottom w:val="0"/>
      <w:divBdr>
        <w:top w:val="none" w:sz="0" w:space="0" w:color="auto"/>
        <w:left w:val="none" w:sz="0" w:space="0" w:color="auto"/>
        <w:bottom w:val="none" w:sz="0" w:space="0" w:color="auto"/>
        <w:right w:val="none" w:sz="0" w:space="0" w:color="auto"/>
      </w:divBdr>
    </w:div>
    <w:div w:id="1739665918">
      <w:bodyDiv w:val="1"/>
      <w:marLeft w:val="0"/>
      <w:marRight w:val="0"/>
      <w:marTop w:val="0"/>
      <w:marBottom w:val="0"/>
      <w:divBdr>
        <w:top w:val="none" w:sz="0" w:space="0" w:color="auto"/>
        <w:left w:val="none" w:sz="0" w:space="0" w:color="auto"/>
        <w:bottom w:val="none" w:sz="0" w:space="0" w:color="auto"/>
        <w:right w:val="none" w:sz="0" w:space="0" w:color="auto"/>
      </w:divBdr>
    </w:div>
    <w:div w:id="1788427499">
      <w:bodyDiv w:val="1"/>
      <w:marLeft w:val="0"/>
      <w:marRight w:val="0"/>
      <w:marTop w:val="0"/>
      <w:marBottom w:val="0"/>
      <w:divBdr>
        <w:top w:val="none" w:sz="0" w:space="0" w:color="auto"/>
        <w:left w:val="none" w:sz="0" w:space="0" w:color="auto"/>
        <w:bottom w:val="none" w:sz="0" w:space="0" w:color="auto"/>
        <w:right w:val="none" w:sz="0" w:space="0" w:color="auto"/>
      </w:divBdr>
    </w:div>
    <w:div w:id="1797983414">
      <w:bodyDiv w:val="1"/>
      <w:marLeft w:val="0"/>
      <w:marRight w:val="0"/>
      <w:marTop w:val="0"/>
      <w:marBottom w:val="0"/>
      <w:divBdr>
        <w:top w:val="none" w:sz="0" w:space="0" w:color="auto"/>
        <w:left w:val="none" w:sz="0" w:space="0" w:color="auto"/>
        <w:bottom w:val="none" w:sz="0" w:space="0" w:color="auto"/>
        <w:right w:val="none" w:sz="0" w:space="0" w:color="auto"/>
      </w:divBdr>
    </w:div>
    <w:div w:id="1832021627">
      <w:bodyDiv w:val="1"/>
      <w:marLeft w:val="0"/>
      <w:marRight w:val="0"/>
      <w:marTop w:val="0"/>
      <w:marBottom w:val="0"/>
      <w:divBdr>
        <w:top w:val="none" w:sz="0" w:space="0" w:color="auto"/>
        <w:left w:val="none" w:sz="0" w:space="0" w:color="auto"/>
        <w:bottom w:val="none" w:sz="0" w:space="0" w:color="auto"/>
        <w:right w:val="none" w:sz="0" w:space="0" w:color="auto"/>
      </w:divBdr>
    </w:div>
    <w:div w:id="1845515498">
      <w:bodyDiv w:val="1"/>
      <w:marLeft w:val="0"/>
      <w:marRight w:val="0"/>
      <w:marTop w:val="0"/>
      <w:marBottom w:val="0"/>
      <w:divBdr>
        <w:top w:val="none" w:sz="0" w:space="0" w:color="auto"/>
        <w:left w:val="none" w:sz="0" w:space="0" w:color="auto"/>
        <w:bottom w:val="none" w:sz="0" w:space="0" w:color="auto"/>
        <w:right w:val="none" w:sz="0" w:space="0" w:color="auto"/>
      </w:divBdr>
    </w:div>
    <w:div w:id="1858694126">
      <w:bodyDiv w:val="1"/>
      <w:marLeft w:val="0"/>
      <w:marRight w:val="0"/>
      <w:marTop w:val="0"/>
      <w:marBottom w:val="0"/>
      <w:divBdr>
        <w:top w:val="none" w:sz="0" w:space="0" w:color="auto"/>
        <w:left w:val="none" w:sz="0" w:space="0" w:color="auto"/>
        <w:bottom w:val="none" w:sz="0" w:space="0" w:color="auto"/>
        <w:right w:val="none" w:sz="0" w:space="0" w:color="auto"/>
      </w:divBdr>
    </w:div>
    <w:div w:id="2113279268">
      <w:bodyDiv w:val="1"/>
      <w:marLeft w:val="0"/>
      <w:marRight w:val="0"/>
      <w:marTop w:val="0"/>
      <w:marBottom w:val="0"/>
      <w:divBdr>
        <w:top w:val="none" w:sz="0" w:space="0" w:color="auto"/>
        <w:left w:val="none" w:sz="0" w:space="0" w:color="auto"/>
        <w:bottom w:val="none" w:sz="0" w:space="0" w:color="auto"/>
        <w:right w:val="none" w:sz="0" w:space="0" w:color="auto"/>
      </w:divBdr>
    </w:div>
    <w:div w:id="21224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7872</Words>
  <Characters>42514</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ELOXATIN®</vt:lpstr>
      <vt:lpstr>ELOXATIN® </vt:lpstr>
    </vt:vector>
  </TitlesOfParts>
  <Company>sanofi-aventis</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ELOXATIN®</dc:title>
  <dc:creator>GR600069</dc:creator>
  <cp:lastModifiedBy>user146</cp:lastModifiedBy>
  <cp:revision>5</cp:revision>
  <cp:lastPrinted>2013-12-12T07:32:00Z</cp:lastPrinted>
  <dcterms:created xsi:type="dcterms:W3CDTF">2013-12-12T07:32:00Z</dcterms:created>
  <dcterms:modified xsi:type="dcterms:W3CDTF">2014-01-07T10:36:00Z</dcterms:modified>
</cp:coreProperties>
</file>