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F6" w:rsidRPr="00F64CC0" w:rsidRDefault="002D45DF" w:rsidP="00710BBA">
      <w:pPr>
        <w:jc w:val="center"/>
        <w:rPr>
          <w:b/>
        </w:rPr>
      </w:pPr>
      <w:r w:rsidRPr="00F64CC0">
        <w:rPr>
          <w:b/>
        </w:rPr>
        <w:t>ΠΕΡΙΛΗΨΗ ΤΩΝ ΧΑΡΑΚΤΗΡΙΣΤΙΚΩΝ ΤΟΥ ΠΡΟΪΟΝΤΟΣ</w:t>
      </w:r>
    </w:p>
    <w:p w:rsidR="00830A33" w:rsidRPr="00900919" w:rsidRDefault="00830A33" w:rsidP="00900919">
      <w:pPr>
        <w:rPr>
          <w:b/>
          <w:lang w:val="en-US"/>
        </w:rPr>
      </w:pPr>
    </w:p>
    <w:p w:rsidR="006601C0" w:rsidRPr="00900919" w:rsidRDefault="00830A33" w:rsidP="00900919">
      <w:pPr>
        <w:ind w:left="-540"/>
        <w:rPr>
          <w:b/>
          <w:bCs/>
          <w:lang w:val="en-US"/>
        </w:rPr>
      </w:pPr>
      <w:r w:rsidRPr="00F64CC0">
        <w:rPr>
          <w:b/>
          <w:bCs/>
        </w:rPr>
        <w:t>1.</w:t>
      </w:r>
      <w:r w:rsidR="00710BBA" w:rsidRPr="00F64CC0">
        <w:rPr>
          <w:b/>
          <w:bCs/>
          <w:lang w:val="it-IT"/>
        </w:rPr>
        <w:tab/>
      </w:r>
      <w:r w:rsidRPr="00F64CC0">
        <w:rPr>
          <w:b/>
          <w:bCs/>
        </w:rPr>
        <w:t>ΟΝΟΜΑΣΙΑ ΤΟΥ ΦΑΡΜΑΚΕΥΤΙΚΟΥ ΠΡΟЇΟΝΤΟΣ</w:t>
      </w:r>
    </w:p>
    <w:p w:rsidR="00DA3B71" w:rsidRPr="00F64CC0" w:rsidRDefault="00DA3B71" w:rsidP="00710BBA">
      <w:pPr>
        <w:rPr>
          <w:bCs/>
        </w:rPr>
      </w:pPr>
      <w:r w:rsidRPr="00F64CC0">
        <w:rPr>
          <w:bCs/>
        </w:rPr>
        <w:t xml:space="preserve">Ig </w:t>
      </w:r>
      <w:r w:rsidR="00452B63" w:rsidRPr="00F64CC0">
        <w:rPr>
          <w:bCs/>
        </w:rPr>
        <w:t>VENA</w:t>
      </w:r>
      <w:r w:rsidR="007D6AA5" w:rsidRPr="00F64CC0">
        <w:rPr>
          <w:bCs/>
        </w:rPr>
        <w:t xml:space="preserve"> 50</w:t>
      </w:r>
      <w:r w:rsidR="00452B63" w:rsidRPr="00F64CC0">
        <w:rPr>
          <w:bCs/>
        </w:rPr>
        <w:t>g</w:t>
      </w:r>
      <w:r w:rsidRPr="00F64CC0">
        <w:rPr>
          <w:bCs/>
        </w:rPr>
        <w:t xml:space="preserve">/l Διάλυμα για έγχυση </w:t>
      </w:r>
    </w:p>
    <w:p w:rsidR="006601C0" w:rsidRPr="00F64CC0" w:rsidRDefault="006601C0" w:rsidP="00604AE9">
      <w:pPr>
        <w:rPr>
          <w:bCs/>
          <w:lang w:val="it-IT"/>
        </w:rPr>
      </w:pPr>
    </w:p>
    <w:p w:rsidR="00604AE9" w:rsidRPr="00900919" w:rsidRDefault="00604AE9" w:rsidP="00900919">
      <w:pPr>
        <w:ind w:left="-540"/>
        <w:rPr>
          <w:b/>
          <w:bCs/>
          <w:lang w:val="en-US"/>
        </w:rPr>
      </w:pPr>
      <w:r w:rsidRPr="00F64CC0">
        <w:rPr>
          <w:b/>
          <w:bCs/>
        </w:rPr>
        <w:t>2.</w:t>
      </w:r>
      <w:r w:rsidRPr="00F64CC0">
        <w:rPr>
          <w:b/>
          <w:bCs/>
          <w:lang w:val="it-IT"/>
        </w:rPr>
        <w:tab/>
      </w:r>
      <w:r w:rsidR="00830A33" w:rsidRPr="00F64CC0">
        <w:rPr>
          <w:b/>
          <w:bCs/>
        </w:rPr>
        <w:t>ΠΟΙΟΤΙΚΗ ΚΑΙ ΠΟΣΟΤΙΚΗ ΣΥΝΘΕΣΗ</w:t>
      </w:r>
    </w:p>
    <w:p w:rsidR="00F85987" w:rsidRPr="00F64CC0" w:rsidRDefault="00111FB0" w:rsidP="00710BBA">
      <w:pPr>
        <w:rPr>
          <w:bCs/>
        </w:rPr>
      </w:pPr>
      <w:r w:rsidRPr="00F64CC0">
        <w:rPr>
          <w:bCs/>
        </w:rPr>
        <w:t>Α</w:t>
      </w:r>
      <w:r w:rsidR="00F85987" w:rsidRPr="00F64CC0">
        <w:rPr>
          <w:bCs/>
        </w:rPr>
        <w:t xml:space="preserve">νθρώπινη </w:t>
      </w:r>
      <w:r w:rsidR="00452B63" w:rsidRPr="00F64CC0">
        <w:rPr>
          <w:bCs/>
        </w:rPr>
        <w:t>φυσιολογική</w:t>
      </w:r>
      <w:r w:rsidR="00F85987" w:rsidRPr="00F64CC0">
        <w:rPr>
          <w:bCs/>
        </w:rPr>
        <w:t xml:space="preserve"> ανο</w:t>
      </w:r>
      <w:r w:rsidR="00452B63" w:rsidRPr="00F64CC0">
        <w:rPr>
          <w:bCs/>
        </w:rPr>
        <w:t>σοσφαιρίνη</w:t>
      </w:r>
      <w:r w:rsidR="00F85987" w:rsidRPr="00F64CC0">
        <w:rPr>
          <w:bCs/>
        </w:rPr>
        <w:t xml:space="preserve"> (</w:t>
      </w:r>
      <w:r w:rsidR="00F10EEB" w:rsidRPr="00F64CC0">
        <w:rPr>
          <w:bCs/>
          <w:lang w:val="it-IT"/>
        </w:rPr>
        <w:t>IV</w:t>
      </w:r>
      <w:r w:rsidR="00F85987" w:rsidRPr="00F64CC0">
        <w:rPr>
          <w:bCs/>
          <w:lang w:val="it-IT"/>
        </w:rPr>
        <w:t>Ig</w:t>
      </w:r>
      <w:r w:rsidR="00F85987" w:rsidRPr="00F64CC0">
        <w:rPr>
          <w:bCs/>
        </w:rPr>
        <w:t xml:space="preserve">). </w:t>
      </w:r>
    </w:p>
    <w:p w:rsidR="00DA3B71" w:rsidRPr="00F64CC0" w:rsidRDefault="00351DCF" w:rsidP="00710BBA">
      <w:r w:rsidRPr="00F64CC0">
        <w:rPr>
          <w:bCs/>
        </w:rPr>
        <w:t xml:space="preserve">Ένα </w:t>
      </w:r>
      <w:r w:rsidR="00DA3B71" w:rsidRPr="00F64CC0">
        <w:rPr>
          <w:bCs/>
          <w:lang w:val="it-IT"/>
        </w:rPr>
        <w:t>ml</w:t>
      </w:r>
      <w:r w:rsidR="00DA3B71" w:rsidRPr="00F64CC0">
        <w:rPr>
          <w:bCs/>
        </w:rPr>
        <w:t xml:space="preserve"> περιέχει:</w:t>
      </w:r>
      <w:r w:rsidR="00DA3B71" w:rsidRPr="00F64CC0">
        <w:t xml:space="preserve"> </w:t>
      </w:r>
    </w:p>
    <w:p w:rsidR="00DA3B71" w:rsidRPr="00F64CC0" w:rsidRDefault="00351DCF" w:rsidP="00710BBA">
      <w:pPr>
        <w:rPr>
          <w:bCs/>
        </w:rPr>
      </w:pPr>
      <w:r w:rsidRPr="00F64CC0">
        <w:rPr>
          <w:bCs/>
        </w:rPr>
        <w:t>Α</w:t>
      </w:r>
      <w:r w:rsidR="00DA3B71" w:rsidRPr="00F64CC0">
        <w:rPr>
          <w:bCs/>
        </w:rPr>
        <w:t>νθρώπινη φυσιολογική ανοσοσφαιρίνη 50 mg</w:t>
      </w:r>
    </w:p>
    <w:p w:rsidR="00351DCF" w:rsidRPr="00900919" w:rsidRDefault="00351DCF" w:rsidP="00710BBA">
      <w:pPr>
        <w:rPr>
          <w:bCs/>
          <w:lang w:val="en-US"/>
        </w:rPr>
      </w:pPr>
      <w:r w:rsidRPr="00F64CC0">
        <w:rPr>
          <w:bCs/>
        </w:rPr>
        <w:t>(καθαρότητας τουλάχιστον</w:t>
      </w:r>
      <w:r w:rsidR="00791ECB" w:rsidRPr="00F64CC0">
        <w:rPr>
          <w:bCs/>
        </w:rPr>
        <w:t xml:space="preserve"> 95%  </w:t>
      </w:r>
      <w:proofErr w:type="spellStart"/>
      <w:r w:rsidR="00791ECB" w:rsidRPr="00F64CC0">
        <w:rPr>
          <w:bCs/>
          <w:lang w:val="en-US"/>
        </w:rPr>
        <w:t>IgG</w:t>
      </w:r>
      <w:proofErr w:type="spellEnd"/>
      <w:r w:rsidRPr="00F64CC0">
        <w:rPr>
          <w:bCs/>
        </w:rPr>
        <w:t>)</w:t>
      </w:r>
    </w:p>
    <w:p w:rsidR="00351DCF" w:rsidRPr="00F64CC0" w:rsidRDefault="00351DCF" w:rsidP="00710BBA">
      <w:pPr>
        <w:rPr>
          <w:bCs/>
        </w:rPr>
      </w:pPr>
      <w:r w:rsidRPr="00F64CC0">
        <w:rPr>
          <w:bCs/>
        </w:rPr>
        <w:t>Κάθε φιαλίδιο των 20</w:t>
      </w:r>
      <w:r w:rsidRPr="00F64CC0">
        <w:rPr>
          <w:bCs/>
          <w:lang w:val="en-US"/>
        </w:rPr>
        <w:t>ml</w:t>
      </w:r>
      <w:r w:rsidRPr="00F64CC0">
        <w:rPr>
          <w:bCs/>
        </w:rPr>
        <w:t xml:space="preserve"> περιέχει: 1 </w:t>
      </w:r>
      <w:r w:rsidRPr="00F64CC0">
        <w:rPr>
          <w:bCs/>
          <w:lang w:val="en-US"/>
        </w:rPr>
        <w:t>g</w:t>
      </w:r>
      <w:r w:rsidRPr="00F64CC0">
        <w:rPr>
          <w:bCs/>
        </w:rPr>
        <w:t xml:space="preserve"> ανθρώπινης φυσιολογικής ανοσοσφαιρίνης</w:t>
      </w:r>
    </w:p>
    <w:p w:rsidR="00351DCF" w:rsidRPr="00F64CC0" w:rsidRDefault="00351DCF" w:rsidP="00710BBA">
      <w:pPr>
        <w:rPr>
          <w:bCs/>
        </w:rPr>
      </w:pPr>
      <w:r w:rsidRPr="00F64CC0">
        <w:rPr>
          <w:bCs/>
        </w:rPr>
        <w:t>Κάθε φιαλίδιο των 50</w:t>
      </w:r>
      <w:r w:rsidRPr="00F64CC0">
        <w:rPr>
          <w:bCs/>
          <w:lang w:val="en-US"/>
        </w:rPr>
        <w:t>ml</w:t>
      </w:r>
      <w:r w:rsidRPr="00F64CC0">
        <w:rPr>
          <w:bCs/>
        </w:rPr>
        <w:t xml:space="preserve"> περιέχει: 2,5 </w:t>
      </w:r>
      <w:r w:rsidRPr="00F64CC0">
        <w:rPr>
          <w:bCs/>
          <w:lang w:val="en-US"/>
        </w:rPr>
        <w:t>g</w:t>
      </w:r>
      <w:r w:rsidRPr="00F64CC0">
        <w:rPr>
          <w:bCs/>
        </w:rPr>
        <w:t xml:space="preserve"> ανθρώπινης φυσιολογικής ανοσοσφαιρίνης</w:t>
      </w:r>
    </w:p>
    <w:p w:rsidR="00351DCF" w:rsidRPr="00F64CC0" w:rsidRDefault="00351DCF" w:rsidP="00710BBA">
      <w:pPr>
        <w:rPr>
          <w:bCs/>
        </w:rPr>
      </w:pPr>
      <w:r w:rsidRPr="00F64CC0">
        <w:rPr>
          <w:bCs/>
        </w:rPr>
        <w:t>Κάθε φιαλίδιο των 100</w:t>
      </w:r>
      <w:r w:rsidRPr="00F64CC0">
        <w:rPr>
          <w:bCs/>
          <w:lang w:val="en-US"/>
        </w:rPr>
        <w:t>ml</w:t>
      </w:r>
      <w:r w:rsidRPr="00F64CC0">
        <w:rPr>
          <w:bCs/>
        </w:rPr>
        <w:t xml:space="preserve"> περιέχει: 5 </w:t>
      </w:r>
      <w:r w:rsidRPr="00F64CC0">
        <w:rPr>
          <w:bCs/>
          <w:lang w:val="en-US"/>
        </w:rPr>
        <w:t>g</w:t>
      </w:r>
      <w:r w:rsidRPr="00F64CC0">
        <w:rPr>
          <w:bCs/>
        </w:rPr>
        <w:t xml:space="preserve"> ανθρώπινης φυσιολογικής ανοσοσφαιρίνης</w:t>
      </w:r>
    </w:p>
    <w:p w:rsidR="00351DCF" w:rsidRPr="00F64CC0" w:rsidRDefault="00351DCF" w:rsidP="00710BBA">
      <w:pPr>
        <w:rPr>
          <w:bCs/>
        </w:rPr>
      </w:pPr>
      <w:r w:rsidRPr="00F64CC0">
        <w:rPr>
          <w:bCs/>
        </w:rPr>
        <w:t>Κάθε φιαλίδιο των 200</w:t>
      </w:r>
      <w:r w:rsidRPr="00F64CC0">
        <w:rPr>
          <w:bCs/>
          <w:lang w:val="en-US"/>
        </w:rPr>
        <w:t>ml</w:t>
      </w:r>
      <w:r w:rsidRPr="00F64CC0">
        <w:rPr>
          <w:bCs/>
        </w:rPr>
        <w:t xml:space="preserve"> περιέχει: 10 </w:t>
      </w:r>
      <w:r w:rsidRPr="00F64CC0">
        <w:rPr>
          <w:bCs/>
          <w:lang w:val="en-US"/>
        </w:rPr>
        <w:t>g</w:t>
      </w:r>
      <w:r w:rsidRPr="00F64CC0">
        <w:rPr>
          <w:bCs/>
        </w:rPr>
        <w:t xml:space="preserve"> ανθρώπινης φυσιολογικής ανοσοσφαιρίνης</w:t>
      </w:r>
    </w:p>
    <w:p w:rsidR="00F85987" w:rsidRPr="00F64CC0" w:rsidRDefault="00F85987" w:rsidP="00710BBA">
      <w:pPr>
        <w:rPr>
          <w:bCs/>
        </w:rPr>
      </w:pPr>
    </w:p>
    <w:p w:rsidR="00791ECB" w:rsidRPr="00F64CC0" w:rsidRDefault="00351DCF" w:rsidP="00710BBA">
      <w:pPr>
        <w:rPr>
          <w:bCs/>
        </w:rPr>
      </w:pPr>
      <w:r w:rsidRPr="00F64CC0">
        <w:rPr>
          <w:bCs/>
        </w:rPr>
        <w:t xml:space="preserve">Κατανομή των </w:t>
      </w:r>
      <w:proofErr w:type="spellStart"/>
      <w:r w:rsidR="00F64CC0" w:rsidRPr="00F64CC0">
        <w:rPr>
          <w:bCs/>
          <w:lang w:val="en-US"/>
        </w:rPr>
        <w:t>IgG</w:t>
      </w:r>
      <w:proofErr w:type="spellEnd"/>
      <w:r w:rsidR="00F64CC0" w:rsidRPr="00F64CC0">
        <w:rPr>
          <w:bCs/>
        </w:rPr>
        <w:t xml:space="preserve"> </w:t>
      </w:r>
      <w:r w:rsidRPr="00F64CC0">
        <w:rPr>
          <w:bCs/>
        </w:rPr>
        <w:t>υποομάδων (</w:t>
      </w:r>
      <w:r w:rsidR="002F3B04" w:rsidRPr="00F64CC0">
        <w:rPr>
          <w:bCs/>
        </w:rPr>
        <w:t>τιμές κατά προσέγγιση</w:t>
      </w:r>
      <w:r w:rsidR="00F64CC0">
        <w:rPr>
          <w:bCs/>
        </w:rPr>
        <w:t>)</w:t>
      </w:r>
      <w:r w:rsidR="00791ECB" w:rsidRPr="00F64CC0">
        <w:rPr>
          <w:bCs/>
        </w:rPr>
        <w:t>:</w:t>
      </w:r>
    </w:p>
    <w:p w:rsidR="00791ECB" w:rsidRPr="00F64CC0" w:rsidRDefault="00791ECB" w:rsidP="00710BBA">
      <w:pPr>
        <w:rPr>
          <w:bCs/>
        </w:rPr>
      </w:pPr>
      <w:proofErr w:type="spellStart"/>
      <w:r w:rsidRPr="00F64CC0">
        <w:rPr>
          <w:bCs/>
          <w:lang w:val="en-US"/>
        </w:rPr>
        <w:t>IgG</w:t>
      </w:r>
      <w:proofErr w:type="spellEnd"/>
      <w:r w:rsidRPr="00F64CC0">
        <w:rPr>
          <w:bCs/>
          <w:vertAlign w:val="subscript"/>
        </w:rPr>
        <w:t>1</w:t>
      </w:r>
      <w:r w:rsidR="00604AE9" w:rsidRPr="00F64CC0">
        <w:rPr>
          <w:bCs/>
          <w:vertAlign w:val="subscript"/>
        </w:rPr>
        <w:tab/>
      </w:r>
      <w:r w:rsidR="00351DCF" w:rsidRPr="00F64CC0">
        <w:rPr>
          <w:bCs/>
        </w:rPr>
        <w:t>62</w:t>
      </w:r>
      <w:proofErr w:type="gramStart"/>
      <w:r w:rsidR="00351DCF" w:rsidRPr="00F64CC0">
        <w:rPr>
          <w:bCs/>
        </w:rPr>
        <w:t>,1</w:t>
      </w:r>
      <w:proofErr w:type="gramEnd"/>
      <w:r w:rsidR="00351DCF" w:rsidRPr="00F64CC0">
        <w:rPr>
          <w:bCs/>
        </w:rPr>
        <w:t>%</w:t>
      </w:r>
      <w:r w:rsidR="00351DCF" w:rsidRPr="00F64CC0">
        <w:rPr>
          <w:bCs/>
          <w:vertAlign w:val="subscript"/>
        </w:rPr>
        <w:t xml:space="preserve"> </w:t>
      </w:r>
    </w:p>
    <w:p w:rsidR="00224BEE" w:rsidRPr="00F64CC0" w:rsidRDefault="00791ECB" w:rsidP="00710BBA">
      <w:pPr>
        <w:rPr>
          <w:bCs/>
        </w:rPr>
      </w:pPr>
      <w:proofErr w:type="spellStart"/>
      <w:r w:rsidRPr="00F64CC0">
        <w:rPr>
          <w:bCs/>
          <w:lang w:val="en-US"/>
        </w:rPr>
        <w:t>IgG</w:t>
      </w:r>
      <w:proofErr w:type="spellEnd"/>
      <w:r w:rsidRPr="00F64CC0">
        <w:rPr>
          <w:bCs/>
          <w:vertAlign w:val="subscript"/>
        </w:rPr>
        <w:t>2</w:t>
      </w:r>
      <w:r w:rsidR="00604AE9" w:rsidRPr="00F64CC0">
        <w:rPr>
          <w:bCs/>
          <w:vertAlign w:val="subscript"/>
        </w:rPr>
        <w:tab/>
      </w:r>
      <w:r w:rsidR="00351DCF" w:rsidRPr="00F64CC0">
        <w:rPr>
          <w:bCs/>
        </w:rPr>
        <w:t>34</w:t>
      </w:r>
      <w:proofErr w:type="gramStart"/>
      <w:r w:rsidR="00351DCF" w:rsidRPr="00F64CC0">
        <w:rPr>
          <w:bCs/>
        </w:rPr>
        <w:t>,8</w:t>
      </w:r>
      <w:proofErr w:type="gramEnd"/>
      <w:r w:rsidR="00351DCF" w:rsidRPr="00F64CC0">
        <w:rPr>
          <w:bCs/>
        </w:rPr>
        <w:t xml:space="preserve">% </w:t>
      </w:r>
    </w:p>
    <w:p w:rsidR="00224BEE" w:rsidRPr="00F64CC0" w:rsidRDefault="00791ECB" w:rsidP="00710BBA">
      <w:pPr>
        <w:rPr>
          <w:bCs/>
        </w:rPr>
      </w:pPr>
      <w:proofErr w:type="spellStart"/>
      <w:r w:rsidRPr="00F64CC0">
        <w:rPr>
          <w:bCs/>
          <w:lang w:val="en-US"/>
        </w:rPr>
        <w:t>IgG</w:t>
      </w:r>
      <w:proofErr w:type="spellEnd"/>
      <w:r w:rsidRPr="00F64CC0">
        <w:rPr>
          <w:bCs/>
          <w:vertAlign w:val="subscript"/>
        </w:rPr>
        <w:t>3</w:t>
      </w:r>
      <w:r w:rsidR="00604AE9" w:rsidRPr="00F64CC0">
        <w:rPr>
          <w:bCs/>
          <w:vertAlign w:val="subscript"/>
        </w:rPr>
        <w:tab/>
      </w:r>
      <w:r w:rsidR="00351DCF" w:rsidRPr="00F64CC0">
        <w:rPr>
          <w:bCs/>
        </w:rPr>
        <w:t>2</w:t>
      </w:r>
      <w:proofErr w:type="gramStart"/>
      <w:r w:rsidR="00351DCF" w:rsidRPr="00F64CC0">
        <w:rPr>
          <w:bCs/>
        </w:rPr>
        <w:t>,5</w:t>
      </w:r>
      <w:proofErr w:type="gramEnd"/>
      <w:r w:rsidR="00351DCF" w:rsidRPr="00F64CC0">
        <w:rPr>
          <w:bCs/>
        </w:rPr>
        <w:t xml:space="preserve">% </w:t>
      </w:r>
    </w:p>
    <w:p w:rsidR="00224BEE" w:rsidRPr="00F64CC0" w:rsidRDefault="00791ECB" w:rsidP="00710BBA">
      <w:pPr>
        <w:rPr>
          <w:bCs/>
        </w:rPr>
      </w:pPr>
      <w:proofErr w:type="spellStart"/>
      <w:r w:rsidRPr="00F64CC0">
        <w:rPr>
          <w:bCs/>
          <w:lang w:val="en-US"/>
        </w:rPr>
        <w:t>IgG</w:t>
      </w:r>
      <w:proofErr w:type="spellEnd"/>
      <w:r w:rsidRPr="00F64CC0">
        <w:rPr>
          <w:bCs/>
          <w:vertAlign w:val="subscript"/>
        </w:rPr>
        <w:t>4</w:t>
      </w:r>
      <w:r w:rsidR="00604AE9" w:rsidRPr="00F64CC0">
        <w:rPr>
          <w:bCs/>
          <w:vertAlign w:val="subscript"/>
        </w:rPr>
        <w:tab/>
      </w:r>
      <w:r w:rsidR="0015635F" w:rsidRPr="00F64CC0">
        <w:rPr>
          <w:bCs/>
        </w:rPr>
        <w:t>0</w:t>
      </w:r>
      <w:proofErr w:type="gramStart"/>
      <w:r w:rsidR="0015635F" w:rsidRPr="00F64CC0">
        <w:rPr>
          <w:bCs/>
        </w:rPr>
        <w:t>,6</w:t>
      </w:r>
      <w:proofErr w:type="gramEnd"/>
      <w:r w:rsidR="0015635F" w:rsidRPr="00F64CC0">
        <w:rPr>
          <w:bCs/>
        </w:rPr>
        <w:t xml:space="preserve">% </w:t>
      </w:r>
    </w:p>
    <w:p w:rsidR="00F85987" w:rsidRPr="00F64CC0" w:rsidRDefault="001C4106" w:rsidP="00710BBA">
      <w:pPr>
        <w:rPr>
          <w:bCs/>
        </w:rPr>
      </w:pPr>
      <w:r w:rsidRPr="00F64CC0">
        <w:rPr>
          <w:bCs/>
        </w:rPr>
        <w:t>Η μ</w:t>
      </w:r>
      <w:r w:rsidR="00BD27BE" w:rsidRPr="00F64CC0">
        <w:rPr>
          <w:bCs/>
        </w:rPr>
        <w:t xml:space="preserve">έγιστη περιεκτικότητα σε </w:t>
      </w:r>
      <w:r w:rsidR="00BD27BE" w:rsidRPr="00F64CC0">
        <w:rPr>
          <w:bCs/>
          <w:lang w:val="en-US"/>
        </w:rPr>
        <w:t>IgA</w:t>
      </w:r>
      <w:r w:rsidR="00791ECB" w:rsidRPr="00F64CC0">
        <w:rPr>
          <w:bCs/>
        </w:rPr>
        <w:t xml:space="preserve"> </w:t>
      </w:r>
      <w:r w:rsidRPr="00F64CC0">
        <w:rPr>
          <w:bCs/>
        </w:rPr>
        <w:t xml:space="preserve">είναι  </w:t>
      </w:r>
      <w:r w:rsidRPr="00F64CC0">
        <w:rPr>
          <w:lang w:bidi="ar-JO"/>
        </w:rPr>
        <w:t>50 micrograms/ml.</w:t>
      </w:r>
      <w:r w:rsidR="00BD27BE" w:rsidRPr="00F64CC0">
        <w:rPr>
          <w:bCs/>
        </w:rPr>
        <w:t xml:space="preserve"> </w:t>
      </w:r>
    </w:p>
    <w:p w:rsidR="00224BEE" w:rsidRPr="00F64CC0" w:rsidRDefault="00224BEE" w:rsidP="00710BBA">
      <w:pPr>
        <w:rPr>
          <w:bCs/>
        </w:rPr>
      </w:pPr>
    </w:p>
    <w:p w:rsidR="00913035" w:rsidRPr="00F64CC0" w:rsidRDefault="001C4106" w:rsidP="00710BBA">
      <w:pPr>
        <w:rPr>
          <w:bCs/>
        </w:rPr>
      </w:pPr>
      <w:r w:rsidRPr="00F64CC0">
        <w:rPr>
          <w:bCs/>
        </w:rPr>
        <w:t xml:space="preserve">Παράγεται από το πλάσμα </w:t>
      </w:r>
      <w:r w:rsidR="00224BEE" w:rsidRPr="00F64CC0">
        <w:rPr>
          <w:bCs/>
        </w:rPr>
        <w:t>ανθρώπινων δοτών</w:t>
      </w:r>
      <w:r w:rsidR="002F3B04" w:rsidRPr="00F64CC0">
        <w:rPr>
          <w:bCs/>
        </w:rPr>
        <w:t>.</w:t>
      </w:r>
    </w:p>
    <w:p w:rsidR="001C4106" w:rsidRPr="00F64CC0" w:rsidRDefault="001C4106" w:rsidP="00710BBA">
      <w:pPr>
        <w:rPr>
          <w:bCs/>
        </w:rPr>
      </w:pPr>
    </w:p>
    <w:p w:rsidR="001C4106" w:rsidRPr="00F64CC0" w:rsidRDefault="001C4106" w:rsidP="00710BBA">
      <w:pPr>
        <w:rPr>
          <w:bCs/>
        </w:rPr>
      </w:pPr>
      <w:r w:rsidRPr="00F64CC0">
        <w:rPr>
          <w:bCs/>
        </w:rPr>
        <w:t xml:space="preserve">Έκδοχα: το προϊόν περιέχει 100 </w:t>
      </w:r>
      <w:r w:rsidRPr="00F64CC0">
        <w:rPr>
          <w:bCs/>
          <w:lang w:val="en-US"/>
        </w:rPr>
        <w:t>mg</w:t>
      </w:r>
      <w:r w:rsidRPr="00F64CC0">
        <w:rPr>
          <w:bCs/>
        </w:rPr>
        <w:t xml:space="preserve"> μαλτόζης ανά </w:t>
      </w:r>
      <w:r w:rsidRPr="00F64CC0">
        <w:rPr>
          <w:bCs/>
          <w:lang w:val="en-US"/>
        </w:rPr>
        <w:t>ml</w:t>
      </w:r>
      <w:r w:rsidRPr="00F64CC0">
        <w:rPr>
          <w:bCs/>
        </w:rPr>
        <w:t>.</w:t>
      </w:r>
    </w:p>
    <w:p w:rsidR="00A004F7" w:rsidRPr="00F64CC0" w:rsidRDefault="00A004F7" w:rsidP="00A82867">
      <w:pPr>
        <w:rPr>
          <w:bCs/>
        </w:rPr>
      </w:pPr>
      <w:r w:rsidRPr="00F64CC0">
        <w:rPr>
          <w:bCs/>
        </w:rPr>
        <w:t xml:space="preserve">Αυτό το φαρμακευτικό προϊόν περιέχει 3 </w:t>
      </w:r>
      <w:r w:rsidRPr="00F64CC0">
        <w:rPr>
          <w:bCs/>
          <w:lang w:val="it-IT"/>
        </w:rPr>
        <w:t>mmol</w:t>
      </w:r>
      <w:r w:rsidRPr="00F64CC0">
        <w:rPr>
          <w:bCs/>
        </w:rPr>
        <w:t>/</w:t>
      </w:r>
      <w:r w:rsidRPr="00F64CC0">
        <w:rPr>
          <w:bCs/>
          <w:lang w:val="it-IT"/>
        </w:rPr>
        <w:t>liter</w:t>
      </w:r>
      <w:r w:rsidRPr="00F64CC0">
        <w:rPr>
          <w:bCs/>
        </w:rPr>
        <w:t xml:space="preserve"> (ή 69 </w:t>
      </w:r>
      <w:r w:rsidRPr="00F64CC0">
        <w:rPr>
          <w:bCs/>
          <w:lang w:val="it-IT"/>
        </w:rPr>
        <w:t>mg</w:t>
      </w:r>
      <w:r w:rsidRPr="00F64CC0">
        <w:rPr>
          <w:bCs/>
        </w:rPr>
        <w:t xml:space="preserve">) νατρίου. Να λαμβάνεται υπόψη από ασθενείς σε δίαιτα </w:t>
      </w:r>
      <w:r w:rsidR="00224BEE" w:rsidRPr="00F64CC0">
        <w:rPr>
          <w:bCs/>
        </w:rPr>
        <w:t>ελεγχόμενη σε νάτριο</w:t>
      </w:r>
      <w:r w:rsidRPr="00F64CC0">
        <w:rPr>
          <w:bCs/>
        </w:rPr>
        <w:t>.</w:t>
      </w:r>
    </w:p>
    <w:p w:rsidR="00AA3770" w:rsidRPr="00F64CC0" w:rsidRDefault="001C4106" w:rsidP="00710BBA">
      <w:pPr>
        <w:rPr>
          <w:bCs/>
        </w:rPr>
      </w:pPr>
      <w:r w:rsidRPr="00F64CC0">
        <w:rPr>
          <w:bCs/>
        </w:rPr>
        <w:t>Για τον πλήρη κατάλογο των εκδόχων</w:t>
      </w:r>
      <w:r w:rsidR="00224BEE" w:rsidRPr="00F64CC0">
        <w:rPr>
          <w:bCs/>
        </w:rPr>
        <w:t xml:space="preserve">, βλέπε </w:t>
      </w:r>
      <w:r w:rsidR="00111FB0" w:rsidRPr="00F64CC0">
        <w:rPr>
          <w:bCs/>
        </w:rPr>
        <w:t>παράγραφο</w:t>
      </w:r>
      <w:r w:rsidR="00913035" w:rsidRPr="00F64CC0">
        <w:rPr>
          <w:bCs/>
        </w:rPr>
        <w:t xml:space="preserve"> 6.1</w:t>
      </w:r>
    </w:p>
    <w:p w:rsidR="00DF1031" w:rsidRPr="00900919" w:rsidRDefault="00DF1031" w:rsidP="00710BBA">
      <w:pPr>
        <w:rPr>
          <w:bCs/>
          <w:lang w:val="en-US"/>
        </w:rPr>
      </w:pPr>
    </w:p>
    <w:p w:rsidR="00830A33" w:rsidRPr="00F64CC0" w:rsidRDefault="00DF1031" w:rsidP="00710BBA">
      <w:pPr>
        <w:ind w:left="-540"/>
        <w:rPr>
          <w:b/>
          <w:bCs/>
          <w:u w:val="single"/>
        </w:rPr>
      </w:pPr>
      <w:r w:rsidRPr="00F64CC0">
        <w:rPr>
          <w:b/>
          <w:bCs/>
        </w:rPr>
        <w:t>3.</w:t>
      </w:r>
      <w:r w:rsidRPr="00F64CC0">
        <w:rPr>
          <w:b/>
          <w:bCs/>
        </w:rPr>
        <w:tab/>
      </w:r>
      <w:r w:rsidR="00830A33" w:rsidRPr="00F64CC0">
        <w:rPr>
          <w:b/>
          <w:bCs/>
        </w:rPr>
        <w:t>ΦΑΡΜΑΚΟΤΕΧΝΙΚΗ ΜΟΡΦΗ</w:t>
      </w:r>
    </w:p>
    <w:p w:rsidR="00F93960" w:rsidRPr="00F64CC0" w:rsidRDefault="00791ECB" w:rsidP="00DF1031">
      <w:r w:rsidRPr="00F64CC0">
        <w:rPr>
          <w:bCs/>
        </w:rPr>
        <w:t>Διάλυμα</w:t>
      </w:r>
      <w:r w:rsidRPr="00F64CC0">
        <w:t xml:space="preserve"> για έγχυση</w:t>
      </w:r>
      <w:r w:rsidR="001C4106" w:rsidRPr="00F64CC0">
        <w:t>.</w:t>
      </w:r>
    </w:p>
    <w:p w:rsidR="001C4106" w:rsidRPr="00F64CC0" w:rsidRDefault="001C4106" w:rsidP="00710BBA">
      <w:pPr>
        <w:rPr>
          <w:bCs/>
        </w:rPr>
      </w:pPr>
      <w:r w:rsidRPr="00F64CC0">
        <w:rPr>
          <w:bCs/>
        </w:rPr>
        <w:t>Το διάλυμα θα πρέπει να είναι</w:t>
      </w:r>
      <w:r w:rsidR="002F3B04" w:rsidRPr="00F64CC0">
        <w:rPr>
          <w:bCs/>
        </w:rPr>
        <w:t xml:space="preserve"> διαυγές ή ελαφρώς ιριδίζον</w:t>
      </w:r>
      <w:r w:rsidRPr="00F64CC0">
        <w:rPr>
          <w:bCs/>
        </w:rPr>
        <w:t>, άχρωμο ή ανοιχτό κίτρινο.</w:t>
      </w:r>
    </w:p>
    <w:p w:rsidR="00DF1031" w:rsidRPr="00900919" w:rsidRDefault="00DF1031" w:rsidP="00710BBA">
      <w:pPr>
        <w:rPr>
          <w:bCs/>
          <w:lang w:val="en-US"/>
        </w:rPr>
      </w:pPr>
    </w:p>
    <w:p w:rsidR="00F51457" w:rsidRPr="00F64CC0" w:rsidRDefault="00F51457" w:rsidP="00710BBA">
      <w:pPr>
        <w:ind w:left="-540"/>
        <w:rPr>
          <w:b/>
          <w:bCs/>
          <w:u w:val="single"/>
        </w:rPr>
      </w:pPr>
      <w:r w:rsidRPr="00F64CC0">
        <w:rPr>
          <w:b/>
          <w:bCs/>
        </w:rPr>
        <w:t>4.</w:t>
      </w:r>
      <w:r w:rsidR="00DF1031" w:rsidRPr="00F64CC0">
        <w:rPr>
          <w:b/>
          <w:bCs/>
        </w:rPr>
        <w:tab/>
      </w:r>
      <w:r w:rsidR="005F28CD" w:rsidRPr="00F64CC0">
        <w:rPr>
          <w:b/>
          <w:bCs/>
        </w:rPr>
        <w:t>ΚΛΙΝΙΚΑ ΣΤΟΙΧΕΙΑ</w:t>
      </w:r>
    </w:p>
    <w:p w:rsidR="00F51457" w:rsidRPr="00F64CC0" w:rsidRDefault="00F51457" w:rsidP="00710BBA">
      <w:pPr>
        <w:ind w:left="-540"/>
        <w:rPr>
          <w:b/>
          <w:bCs/>
        </w:rPr>
      </w:pPr>
      <w:r w:rsidRPr="00F64CC0">
        <w:rPr>
          <w:b/>
          <w:bCs/>
        </w:rPr>
        <w:t>4.1</w:t>
      </w:r>
      <w:r w:rsidR="00DF1031" w:rsidRPr="00F64CC0">
        <w:rPr>
          <w:b/>
          <w:bCs/>
        </w:rPr>
        <w:tab/>
      </w:r>
      <w:r w:rsidRPr="00F64CC0">
        <w:rPr>
          <w:b/>
          <w:bCs/>
        </w:rPr>
        <w:t>Θεραπευτικές ενδείξεις</w:t>
      </w:r>
    </w:p>
    <w:p w:rsidR="00294C13" w:rsidRPr="00F64CC0" w:rsidRDefault="00294C13" w:rsidP="00710BBA">
      <w:pPr>
        <w:rPr>
          <w:bCs/>
          <w:u w:val="single"/>
        </w:rPr>
      </w:pPr>
      <w:r w:rsidRPr="00F64CC0">
        <w:rPr>
          <w:bCs/>
        </w:rPr>
        <w:t xml:space="preserve">  </w:t>
      </w:r>
      <w:r w:rsidRPr="00F64CC0">
        <w:rPr>
          <w:bCs/>
          <w:u w:val="single"/>
        </w:rPr>
        <w:t>Θεραπεία υποκατάστασης σε</w:t>
      </w:r>
      <w:r w:rsidR="008373EC" w:rsidRPr="00F64CC0">
        <w:rPr>
          <w:bCs/>
          <w:u w:val="single"/>
        </w:rPr>
        <w:t xml:space="preserve"> </w:t>
      </w:r>
      <w:r w:rsidR="008373EC" w:rsidRPr="00F64CC0">
        <w:rPr>
          <w:bCs/>
        </w:rPr>
        <w:t xml:space="preserve">ενήλικες, παιδιά και εφήβους (0-18 χρονών) </w:t>
      </w:r>
      <w:r w:rsidR="00224BEE" w:rsidRPr="00F64CC0">
        <w:rPr>
          <w:bCs/>
        </w:rPr>
        <w:t>με</w:t>
      </w:r>
      <w:r w:rsidR="00F64CC0">
        <w:rPr>
          <w:bCs/>
        </w:rPr>
        <w:t>:</w:t>
      </w:r>
    </w:p>
    <w:p w:rsidR="00294C13" w:rsidRPr="00F64CC0" w:rsidRDefault="00294C13" w:rsidP="00710BBA">
      <w:pPr>
        <w:numPr>
          <w:ilvl w:val="0"/>
          <w:numId w:val="23"/>
        </w:numPr>
        <w:rPr>
          <w:bCs/>
        </w:rPr>
      </w:pPr>
      <w:r w:rsidRPr="00F64CC0">
        <w:rPr>
          <w:bCs/>
        </w:rPr>
        <w:t>Σύνδρομα πρωτοπαθούς ανοσοανεπάρκειας</w:t>
      </w:r>
      <w:r w:rsidR="008373EC" w:rsidRPr="00F64CC0">
        <w:rPr>
          <w:bCs/>
        </w:rPr>
        <w:t xml:space="preserve"> με μειωμένη παραγωγή αντισωμάτων (βλ. παράγραφο 4.4)</w:t>
      </w:r>
      <w:r w:rsidRPr="00F64CC0">
        <w:rPr>
          <w:bCs/>
        </w:rPr>
        <w:t xml:space="preserve">, </w:t>
      </w:r>
    </w:p>
    <w:p w:rsidR="00294C13" w:rsidRPr="00F64CC0" w:rsidRDefault="008373EC" w:rsidP="00710BBA">
      <w:pPr>
        <w:numPr>
          <w:ilvl w:val="0"/>
          <w:numId w:val="23"/>
        </w:numPr>
        <w:rPr>
          <w:bCs/>
        </w:rPr>
      </w:pPr>
      <w:r w:rsidRPr="00F64CC0">
        <w:rPr>
          <w:bCs/>
        </w:rPr>
        <w:t>Υ</w:t>
      </w:r>
      <w:r w:rsidR="00294C13" w:rsidRPr="00F64CC0">
        <w:rPr>
          <w:bCs/>
        </w:rPr>
        <w:t>πογαμμασφαιριναιμία</w:t>
      </w:r>
      <w:r w:rsidRPr="00F64CC0">
        <w:rPr>
          <w:bCs/>
        </w:rPr>
        <w:t xml:space="preserve"> και υποτροπιάζουσες βακτηριακές λοιμώξεις σε ασθενείς με χρόνια λεμφοκυτταρική λευχαιμία, στους οποίους </w:t>
      </w:r>
      <w:r w:rsidR="002F3B04" w:rsidRPr="00F64CC0">
        <w:rPr>
          <w:bCs/>
        </w:rPr>
        <w:t xml:space="preserve">η </w:t>
      </w:r>
      <w:r w:rsidRPr="00F64CC0">
        <w:rPr>
          <w:bCs/>
        </w:rPr>
        <w:t>προφυλακτική αγωγή με αντιβιοτικά έχει αποτύχει.</w:t>
      </w:r>
    </w:p>
    <w:p w:rsidR="00224BEE" w:rsidRPr="00F64CC0" w:rsidRDefault="004F51AD" w:rsidP="00F64CC0">
      <w:pPr>
        <w:numPr>
          <w:ilvl w:val="0"/>
          <w:numId w:val="23"/>
        </w:numPr>
        <w:ind w:hanging="294"/>
        <w:rPr>
          <w:bCs/>
        </w:rPr>
      </w:pPr>
      <w:r w:rsidRPr="00F64CC0">
        <w:rPr>
          <w:bCs/>
        </w:rPr>
        <w:t>Υπογαμμασφαιριναιμία και υποτροπιάζουσες βακτηριακές λοιμώξεις σε ασθενείς με πολλαπλό μ</w:t>
      </w:r>
      <w:r w:rsidR="00841E30" w:rsidRPr="00F64CC0">
        <w:rPr>
          <w:bCs/>
        </w:rPr>
        <w:t xml:space="preserve">υέλωμα </w:t>
      </w:r>
      <w:r w:rsidR="00224BEE" w:rsidRPr="00F64CC0">
        <w:rPr>
          <w:bCs/>
        </w:rPr>
        <w:t xml:space="preserve">σε φάση </w:t>
      </w:r>
      <w:r w:rsidR="00224BEE" w:rsidRPr="00F64CC0">
        <w:rPr>
          <w:bCs/>
          <w:lang w:val="en-US"/>
        </w:rPr>
        <w:t>plateau</w:t>
      </w:r>
      <w:r w:rsidR="00224BEE" w:rsidRPr="00F64CC0">
        <w:rPr>
          <w:bCs/>
        </w:rPr>
        <w:t xml:space="preserve"> </w:t>
      </w:r>
      <w:r w:rsidRPr="00F64CC0">
        <w:rPr>
          <w:bCs/>
        </w:rPr>
        <w:t>που δεν ανταποκρίθηκαν στο πνευμονι</w:t>
      </w:r>
      <w:r w:rsidR="002F3B04" w:rsidRPr="00F64CC0">
        <w:rPr>
          <w:bCs/>
        </w:rPr>
        <w:t>ο</w:t>
      </w:r>
      <w:r w:rsidRPr="00F64CC0">
        <w:rPr>
          <w:bCs/>
        </w:rPr>
        <w:t>κοκκικό εμβολιασμό</w:t>
      </w:r>
      <w:r w:rsidRPr="00F64CC0" w:rsidDel="004F51AD">
        <w:rPr>
          <w:bCs/>
        </w:rPr>
        <w:t xml:space="preserve"> </w:t>
      </w:r>
    </w:p>
    <w:p w:rsidR="00841E30" w:rsidRPr="00F64CC0" w:rsidRDefault="00025924" w:rsidP="00F64CC0">
      <w:pPr>
        <w:numPr>
          <w:ilvl w:val="0"/>
          <w:numId w:val="27"/>
        </w:numPr>
        <w:ind w:left="709" w:hanging="283"/>
        <w:rPr>
          <w:bCs/>
        </w:rPr>
      </w:pPr>
      <w:r w:rsidRPr="00F64CC0">
        <w:rPr>
          <w:bCs/>
        </w:rPr>
        <w:t xml:space="preserve">Υπογαμμασφαιριναιμία σε ασθενείς μετά από αλλογενή μεταμόσχευση </w:t>
      </w:r>
      <w:r w:rsidR="00224BEE" w:rsidRPr="00F64CC0">
        <w:rPr>
          <w:bCs/>
        </w:rPr>
        <w:t xml:space="preserve">αρχέγονων αιμοποιητικών κυττάρων </w:t>
      </w:r>
      <w:r w:rsidRPr="00F64CC0">
        <w:rPr>
          <w:bCs/>
        </w:rPr>
        <w:t>(</w:t>
      </w:r>
      <w:r w:rsidRPr="00F64CC0">
        <w:rPr>
          <w:bCs/>
          <w:lang w:val="en-US"/>
        </w:rPr>
        <w:t>HSCT</w:t>
      </w:r>
      <w:r w:rsidRPr="00F64CC0">
        <w:rPr>
          <w:bCs/>
        </w:rPr>
        <w:t>).</w:t>
      </w:r>
    </w:p>
    <w:p w:rsidR="00841E30" w:rsidRPr="00F64CC0" w:rsidRDefault="004F51AD" w:rsidP="00F64CC0">
      <w:pPr>
        <w:numPr>
          <w:ilvl w:val="0"/>
          <w:numId w:val="27"/>
        </w:numPr>
        <w:ind w:hanging="578"/>
        <w:rPr>
          <w:bCs/>
        </w:rPr>
      </w:pPr>
      <w:r w:rsidRPr="00F64CC0">
        <w:rPr>
          <w:bCs/>
        </w:rPr>
        <w:t>Σ</w:t>
      </w:r>
      <w:r w:rsidR="00841E30" w:rsidRPr="00F64CC0">
        <w:rPr>
          <w:bCs/>
        </w:rPr>
        <w:t xml:space="preserve">υγγενές </w:t>
      </w:r>
      <w:r w:rsidR="00841E30" w:rsidRPr="00F64CC0">
        <w:rPr>
          <w:bCs/>
          <w:lang w:val="en-US"/>
        </w:rPr>
        <w:t>AIDS</w:t>
      </w:r>
      <w:r w:rsidR="00841E30" w:rsidRPr="00F64CC0">
        <w:rPr>
          <w:bCs/>
        </w:rPr>
        <w:t xml:space="preserve"> </w:t>
      </w:r>
      <w:r w:rsidRPr="00F64CC0">
        <w:rPr>
          <w:bCs/>
        </w:rPr>
        <w:t xml:space="preserve">με </w:t>
      </w:r>
      <w:r w:rsidR="00111FB0" w:rsidRPr="00F64CC0">
        <w:rPr>
          <w:bCs/>
        </w:rPr>
        <w:t>υποτροπ</w:t>
      </w:r>
      <w:r w:rsidR="00791ECB" w:rsidRPr="00F64CC0">
        <w:rPr>
          <w:bCs/>
        </w:rPr>
        <w:t xml:space="preserve">ιάζουσες </w:t>
      </w:r>
      <w:r w:rsidRPr="00F64CC0">
        <w:rPr>
          <w:bCs/>
        </w:rPr>
        <w:t xml:space="preserve">βακτηριακές </w:t>
      </w:r>
      <w:r w:rsidR="00791ECB" w:rsidRPr="00F64CC0">
        <w:rPr>
          <w:bCs/>
        </w:rPr>
        <w:t>λοιμώξεις</w:t>
      </w:r>
      <w:r w:rsidR="00454EDB" w:rsidRPr="00F64CC0">
        <w:rPr>
          <w:bCs/>
        </w:rPr>
        <w:t>.</w:t>
      </w:r>
    </w:p>
    <w:p w:rsidR="00BB2573" w:rsidRPr="00F64CC0" w:rsidRDefault="00BB2573" w:rsidP="00A03AAE">
      <w:pPr>
        <w:rPr>
          <w:bCs/>
        </w:rPr>
      </w:pPr>
    </w:p>
    <w:p w:rsidR="00841E30" w:rsidRPr="00F64CC0" w:rsidRDefault="00841E30" w:rsidP="00A03AAE">
      <w:pPr>
        <w:rPr>
          <w:bCs/>
        </w:rPr>
      </w:pPr>
      <w:r w:rsidRPr="00F64CC0">
        <w:rPr>
          <w:bCs/>
          <w:u w:val="single"/>
        </w:rPr>
        <w:t>Ανο</w:t>
      </w:r>
      <w:r w:rsidR="00F75997" w:rsidRPr="00F64CC0">
        <w:rPr>
          <w:bCs/>
          <w:u w:val="single"/>
        </w:rPr>
        <w:t>σο</w:t>
      </w:r>
      <w:r w:rsidRPr="00F64CC0">
        <w:rPr>
          <w:bCs/>
          <w:u w:val="single"/>
        </w:rPr>
        <w:t>τρο</w:t>
      </w:r>
      <w:r w:rsidR="00871DB3" w:rsidRPr="00F64CC0">
        <w:rPr>
          <w:bCs/>
          <w:u w:val="single"/>
        </w:rPr>
        <w:t>πο</w:t>
      </w:r>
      <w:r w:rsidRPr="00F64CC0">
        <w:rPr>
          <w:bCs/>
          <w:u w:val="single"/>
        </w:rPr>
        <w:t>ποιητική δράση</w:t>
      </w:r>
      <w:r w:rsidR="00025924" w:rsidRPr="00F64CC0">
        <w:rPr>
          <w:bCs/>
          <w:u w:val="single"/>
        </w:rPr>
        <w:t xml:space="preserve"> </w:t>
      </w:r>
      <w:r w:rsidR="00AB76D0" w:rsidRPr="00F64CC0">
        <w:rPr>
          <w:bCs/>
          <w:u w:val="single"/>
        </w:rPr>
        <w:t xml:space="preserve">σε </w:t>
      </w:r>
      <w:r w:rsidR="00025924" w:rsidRPr="00F64CC0">
        <w:rPr>
          <w:bCs/>
          <w:u w:val="single"/>
        </w:rPr>
        <w:t>ενήλικες, παιδιά και εφήβους (0-18 χρονών)</w:t>
      </w:r>
      <w:r w:rsidR="00224BEE" w:rsidRPr="00F64CC0">
        <w:rPr>
          <w:bCs/>
          <w:u w:val="single"/>
        </w:rPr>
        <w:t xml:space="preserve"> με</w:t>
      </w:r>
      <w:r w:rsidR="00025924" w:rsidRPr="00F64CC0">
        <w:rPr>
          <w:bCs/>
        </w:rPr>
        <w:t>:</w:t>
      </w:r>
    </w:p>
    <w:p w:rsidR="00841E30" w:rsidRPr="00F64CC0" w:rsidRDefault="00841E30" w:rsidP="00A03AAE">
      <w:pPr>
        <w:rPr>
          <w:bCs/>
        </w:rPr>
      </w:pPr>
    </w:p>
    <w:p w:rsidR="00841E30" w:rsidRPr="00F64CC0" w:rsidRDefault="00AB76D0" w:rsidP="00A03AAE">
      <w:pPr>
        <w:numPr>
          <w:ilvl w:val="0"/>
          <w:numId w:val="24"/>
        </w:numPr>
        <w:rPr>
          <w:bCs/>
        </w:rPr>
      </w:pPr>
      <w:r w:rsidRPr="00F64CC0">
        <w:rPr>
          <w:bCs/>
        </w:rPr>
        <w:lastRenderedPageBreak/>
        <w:t xml:space="preserve">Πρωτοπαθή </w:t>
      </w:r>
      <w:r w:rsidR="003C6C17">
        <w:rPr>
          <w:bCs/>
        </w:rPr>
        <w:t>άνοση</w:t>
      </w:r>
      <w:r w:rsidR="008231A4" w:rsidRPr="00F64CC0">
        <w:rPr>
          <w:bCs/>
        </w:rPr>
        <w:t xml:space="preserve"> θρομβοπενία </w:t>
      </w:r>
      <w:r w:rsidR="00841E30" w:rsidRPr="00F64CC0">
        <w:rPr>
          <w:bCs/>
        </w:rPr>
        <w:t>(ΙΤΡ)</w:t>
      </w:r>
      <w:r w:rsidR="00BB2573" w:rsidRPr="00F64CC0">
        <w:rPr>
          <w:bCs/>
        </w:rPr>
        <w:t xml:space="preserve">, </w:t>
      </w:r>
      <w:r w:rsidR="008231A4" w:rsidRPr="00F64CC0">
        <w:rPr>
          <w:bCs/>
        </w:rPr>
        <w:t xml:space="preserve">ασθενών </w:t>
      </w:r>
      <w:r w:rsidR="00BB2573" w:rsidRPr="00F64CC0">
        <w:rPr>
          <w:bCs/>
        </w:rPr>
        <w:t>με αυξημένο κίνδυνο</w:t>
      </w:r>
      <w:r w:rsidR="0090329E" w:rsidRPr="00F64CC0">
        <w:rPr>
          <w:bCs/>
        </w:rPr>
        <w:t xml:space="preserve"> </w:t>
      </w:r>
      <w:r w:rsidR="009C1738" w:rsidRPr="00F64CC0">
        <w:rPr>
          <w:bCs/>
        </w:rPr>
        <w:t>αιμορραγίας</w:t>
      </w:r>
      <w:r w:rsidR="0090329E" w:rsidRPr="00F64CC0">
        <w:rPr>
          <w:bCs/>
        </w:rPr>
        <w:t xml:space="preserve"> ή προχειρουργικής επέμβασης για διόρθω</w:t>
      </w:r>
      <w:r w:rsidR="005B25B6" w:rsidRPr="00F64CC0">
        <w:rPr>
          <w:bCs/>
        </w:rPr>
        <w:t>ση του αριθμού των αιμοπεταλίων</w:t>
      </w:r>
    </w:p>
    <w:p w:rsidR="0090329E" w:rsidRPr="00F64CC0" w:rsidRDefault="0090329E" w:rsidP="00A03AAE">
      <w:pPr>
        <w:numPr>
          <w:ilvl w:val="0"/>
          <w:numId w:val="24"/>
        </w:numPr>
        <w:rPr>
          <w:bCs/>
          <w:lang w:val="en-US"/>
        </w:rPr>
      </w:pPr>
      <w:r w:rsidRPr="00F64CC0">
        <w:rPr>
          <w:bCs/>
        </w:rPr>
        <w:t xml:space="preserve">Σύνδρομο </w:t>
      </w:r>
      <w:proofErr w:type="spellStart"/>
      <w:r w:rsidR="000C1309" w:rsidRPr="00F64CC0">
        <w:rPr>
          <w:bCs/>
          <w:lang w:val="en-US"/>
        </w:rPr>
        <w:t>Guill</w:t>
      </w:r>
      <w:r w:rsidRPr="00F64CC0">
        <w:rPr>
          <w:bCs/>
          <w:lang w:val="en-US"/>
        </w:rPr>
        <w:t>a</w:t>
      </w:r>
      <w:r w:rsidR="000C1309" w:rsidRPr="00F64CC0">
        <w:rPr>
          <w:bCs/>
          <w:lang w:val="en-US"/>
        </w:rPr>
        <w:t>i</w:t>
      </w:r>
      <w:r w:rsidR="005B25B6" w:rsidRPr="00F64CC0">
        <w:rPr>
          <w:bCs/>
          <w:lang w:val="en-US"/>
        </w:rPr>
        <w:t>n</w:t>
      </w:r>
      <w:proofErr w:type="spellEnd"/>
      <w:r w:rsidR="005B25B6" w:rsidRPr="00F64CC0">
        <w:rPr>
          <w:bCs/>
        </w:rPr>
        <w:t xml:space="preserve"> – </w:t>
      </w:r>
      <w:proofErr w:type="spellStart"/>
      <w:r w:rsidR="005B25B6" w:rsidRPr="00F64CC0">
        <w:rPr>
          <w:bCs/>
          <w:lang w:val="en-US"/>
        </w:rPr>
        <w:t>Barre</w:t>
      </w:r>
      <w:proofErr w:type="spellEnd"/>
    </w:p>
    <w:p w:rsidR="00363B7B" w:rsidRPr="00F64CC0" w:rsidRDefault="00363B7B" w:rsidP="00F64CC0">
      <w:pPr>
        <w:numPr>
          <w:ilvl w:val="0"/>
          <w:numId w:val="24"/>
        </w:numPr>
        <w:jc w:val="both"/>
        <w:rPr>
          <w:bCs/>
          <w:lang w:val="en-US"/>
        </w:rPr>
      </w:pPr>
      <w:r w:rsidRPr="00224BEE">
        <w:rPr>
          <w:bCs/>
        </w:rPr>
        <w:t>Χρόνια</w:t>
      </w:r>
      <w:r w:rsidRPr="00F64CC0">
        <w:rPr>
          <w:bCs/>
          <w:lang w:val="en-US"/>
        </w:rPr>
        <w:t xml:space="preserve"> </w:t>
      </w:r>
      <w:r w:rsidR="00224BEE">
        <w:rPr>
          <w:bCs/>
        </w:rPr>
        <w:t>Φ</w:t>
      </w:r>
      <w:r w:rsidR="00224BEE" w:rsidRPr="00224BEE">
        <w:rPr>
          <w:bCs/>
        </w:rPr>
        <w:t>λεγμονώδης</w:t>
      </w:r>
      <w:r w:rsidR="00224BEE" w:rsidRPr="00F64CC0">
        <w:rPr>
          <w:bCs/>
          <w:lang w:val="en-US"/>
        </w:rPr>
        <w:t xml:space="preserve"> </w:t>
      </w:r>
      <w:r w:rsidRPr="00224BEE">
        <w:rPr>
          <w:bCs/>
        </w:rPr>
        <w:t>Απομυελινωτική</w:t>
      </w:r>
      <w:r w:rsidRPr="00F64CC0">
        <w:rPr>
          <w:bCs/>
          <w:lang w:val="en-US"/>
        </w:rPr>
        <w:t xml:space="preserve"> </w:t>
      </w:r>
      <w:r w:rsidRPr="00224BEE">
        <w:rPr>
          <w:bCs/>
        </w:rPr>
        <w:t>Πολυριζονευροπάθεια</w:t>
      </w:r>
      <w:r w:rsidRPr="00F64CC0">
        <w:rPr>
          <w:bCs/>
          <w:lang w:val="en-US"/>
        </w:rPr>
        <w:t xml:space="preserve"> (</w:t>
      </w:r>
      <w:r w:rsidR="00224BEE">
        <w:rPr>
          <w:bCs/>
          <w:lang w:val="en-US"/>
        </w:rPr>
        <w:t xml:space="preserve">Chronic Inflammatory </w:t>
      </w:r>
      <w:proofErr w:type="spellStart"/>
      <w:r w:rsidR="00224BEE">
        <w:rPr>
          <w:bCs/>
          <w:lang w:val="en-US"/>
        </w:rPr>
        <w:t>Demyelinating</w:t>
      </w:r>
      <w:proofErr w:type="spellEnd"/>
      <w:r w:rsidR="00224BEE">
        <w:rPr>
          <w:bCs/>
          <w:lang w:val="en-US"/>
        </w:rPr>
        <w:t xml:space="preserve"> </w:t>
      </w:r>
      <w:proofErr w:type="spellStart"/>
      <w:r w:rsidR="00224BEE">
        <w:rPr>
          <w:bCs/>
          <w:lang w:val="en-US"/>
        </w:rPr>
        <w:t>Polyradiculopathy</w:t>
      </w:r>
      <w:proofErr w:type="spellEnd"/>
      <w:r w:rsidR="00224BEE">
        <w:rPr>
          <w:bCs/>
          <w:lang w:val="en-US"/>
        </w:rPr>
        <w:t>, CIDP</w:t>
      </w:r>
      <w:r w:rsidRPr="00F64CC0">
        <w:rPr>
          <w:bCs/>
          <w:lang w:val="en-US"/>
        </w:rPr>
        <w:t>)</w:t>
      </w:r>
    </w:p>
    <w:p w:rsidR="0090329E" w:rsidRPr="00F64CC0" w:rsidRDefault="0090329E" w:rsidP="00A03AAE">
      <w:pPr>
        <w:numPr>
          <w:ilvl w:val="0"/>
          <w:numId w:val="24"/>
        </w:numPr>
        <w:rPr>
          <w:bCs/>
        </w:rPr>
      </w:pPr>
      <w:r w:rsidRPr="00F64CC0">
        <w:rPr>
          <w:bCs/>
        </w:rPr>
        <w:t xml:space="preserve">Νόσο </w:t>
      </w:r>
      <w:r w:rsidRPr="00F64CC0">
        <w:rPr>
          <w:bCs/>
          <w:lang w:val="en-US"/>
        </w:rPr>
        <w:t>Kawasaki</w:t>
      </w:r>
    </w:p>
    <w:p w:rsidR="00FE6D23" w:rsidRPr="00900919" w:rsidRDefault="00FE6D23" w:rsidP="00A03AAE">
      <w:pPr>
        <w:rPr>
          <w:bCs/>
          <w:lang w:val="en-US"/>
        </w:rPr>
      </w:pPr>
    </w:p>
    <w:p w:rsidR="005B1955" w:rsidRPr="00F64CC0" w:rsidRDefault="00602D31" w:rsidP="00A03AAE">
      <w:pPr>
        <w:numPr>
          <w:ilvl w:val="1"/>
          <w:numId w:val="18"/>
        </w:numPr>
        <w:rPr>
          <w:b/>
          <w:bCs/>
        </w:rPr>
      </w:pPr>
      <w:r w:rsidRPr="00F64CC0">
        <w:rPr>
          <w:b/>
          <w:bCs/>
        </w:rPr>
        <w:t>Δοσολογία και τρόπος χορήγησης</w:t>
      </w:r>
    </w:p>
    <w:p w:rsidR="00685A81" w:rsidRPr="00F64CC0" w:rsidRDefault="00685A81" w:rsidP="00A03AAE">
      <w:pPr>
        <w:rPr>
          <w:bCs/>
        </w:rPr>
      </w:pPr>
      <w:r w:rsidRPr="00F64CC0">
        <w:rPr>
          <w:bCs/>
        </w:rPr>
        <w:t>Η θεραπεία υποκατάστασης θα πρέπει να αρχίζει και να παρακολουθείται υπό την επίβλεψη ιατρού με εμπειρία στη θεραπεία της ανοσοανεπάρκειας.</w:t>
      </w:r>
    </w:p>
    <w:p w:rsidR="00685A81" w:rsidRPr="00F64CC0" w:rsidRDefault="00685A81" w:rsidP="00A03AAE">
      <w:pPr>
        <w:ind w:left="495"/>
        <w:rPr>
          <w:b/>
          <w:bCs/>
        </w:rPr>
      </w:pPr>
    </w:p>
    <w:p w:rsidR="00224BEE" w:rsidRPr="00900919" w:rsidRDefault="005B1955" w:rsidP="00A03AAE">
      <w:pPr>
        <w:rPr>
          <w:bCs/>
          <w:u w:val="single"/>
        </w:rPr>
      </w:pPr>
      <w:r w:rsidRPr="00F64CC0">
        <w:rPr>
          <w:bCs/>
          <w:u w:val="single"/>
        </w:rPr>
        <w:t>Δοσολογία</w:t>
      </w:r>
    </w:p>
    <w:p w:rsidR="00F64CC0" w:rsidRPr="00900919" w:rsidRDefault="00D43500" w:rsidP="00A03AAE">
      <w:pPr>
        <w:rPr>
          <w:bCs/>
        </w:rPr>
      </w:pPr>
      <w:r w:rsidRPr="00F64CC0">
        <w:rPr>
          <w:bCs/>
        </w:rPr>
        <w:t>Η δόση και τ</w:t>
      </w:r>
      <w:r w:rsidR="00EE2B35" w:rsidRPr="00F64CC0">
        <w:rPr>
          <w:bCs/>
        </w:rPr>
        <w:t>ο δ</w:t>
      </w:r>
      <w:r w:rsidR="00197A6E" w:rsidRPr="00F64CC0">
        <w:rPr>
          <w:bCs/>
        </w:rPr>
        <w:t>οσολογικό σχήμα</w:t>
      </w:r>
      <w:r w:rsidR="00981EC5" w:rsidRPr="00F64CC0">
        <w:rPr>
          <w:bCs/>
        </w:rPr>
        <w:t xml:space="preserve"> </w:t>
      </w:r>
      <w:r w:rsidR="00EE2B35" w:rsidRPr="00F64CC0">
        <w:rPr>
          <w:bCs/>
        </w:rPr>
        <w:t>εξαρτώνται από</w:t>
      </w:r>
      <w:r w:rsidRPr="00F64CC0">
        <w:rPr>
          <w:bCs/>
        </w:rPr>
        <w:t xml:space="preserve"> </w:t>
      </w:r>
      <w:r w:rsidR="00EE2B35" w:rsidRPr="00F64CC0">
        <w:rPr>
          <w:bCs/>
        </w:rPr>
        <w:t>την ένδειξη.</w:t>
      </w:r>
      <w:r w:rsidR="00197A6E" w:rsidRPr="00F64CC0">
        <w:rPr>
          <w:bCs/>
        </w:rPr>
        <w:t xml:space="preserve"> </w:t>
      </w:r>
    </w:p>
    <w:p w:rsidR="00D50C99" w:rsidRPr="00F64CC0" w:rsidRDefault="00F41AB7" w:rsidP="00A03AAE">
      <w:pPr>
        <w:rPr>
          <w:bCs/>
        </w:rPr>
      </w:pPr>
      <w:r w:rsidRPr="00F64CC0">
        <w:rPr>
          <w:bCs/>
        </w:rPr>
        <w:t xml:space="preserve">Στη </w:t>
      </w:r>
      <w:r w:rsidR="005B25B6" w:rsidRPr="00F64CC0">
        <w:rPr>
          <w:bCs/>
        </w:rPr>
        <w:t>θεραπεία</w:t>
      </w:r>
      <w:r w:rsidRPr="00F64CC0">
        <w:rPr>
          <w:bCs/>
        </w:rPr>
        <w:t xml:space="preserve"> </w:t>
      </w:r>
      <w:r w:rsidR="005B25B6" w:rsidRPr="00F64CC0">
        <w:rPr>
          <w:bCs/>
        </w:rPr>
        <w:t>υποκατάστασης</w:t>
      </w:r>
      <w:r w:rsidRPr="00F64CC0">
        <w:rPr>
          <w:bCs/>
        </w:rPr>
        <w:t xml:space="preserve"> η</w:t>
      </w:r>
      <w:r w:rsidR="00B7223C" w:rsidRPr="00F64CC0">
        <w:rPr>
          <w:bCs/>
        </w:rPr>
        <w:t xml:space="preserve"> </w:t>
      </w:r>
      <w:r w:rsidR="00685A81" w:rsidRPr="00F64CC0">
        <w:rPr>
          <w:bCs/>
        </w:rPr>
        <w:t>δόση</w:t>
      </w:r>
      <w:r w:rsidR="00B7223C" w:rsidRPr="00F64CC0">
        <w:rPr>
          <w:bCs/>
        </w:rPr>
        <w:t xml:space="preserve"> μπορεί να </w:t>
      </w:r>
      <w:r w:rsidR="00224BEE">
        <w:rPr>
          <w:bCs/>
        </w:rPr>
        <w:t xml:space="preserve">απαιτείται να </w:t>
      </w:r>
      <w:r w:rsidR="00B7223C" w:rsidRPr="00F64CC0">
        <w:rPr>
          <w:bCs/>
        </w:rPr>
        <w:t>εξατομικευτεί</w:t>
      </w:r>
      <w:r w:rsidRPr="00F64CC0">
        <w:rPr>
          <w:bCs/>
        </w:rPr>
        <w:t xml:space="preserve"> για κάθε ασθενή ανάλογα με τη φαρμακοκινητική και την κλινική ανταπόκριση. Τα παρακάτω δοσολογικά σχήματα μπορούν να χρησιμοποιηθούν</w:t>
      </w:r>
      <w:r w:rsidR="008C745F" w:rsidRPr="00F64CC0">
        <w:rPr>
          <w:bCs/>
        </w:rPr>
        <w:t xml:space="preserve"> ως δοσολογία</w:t>
      </w:r>
      <w:r w:rsidR="003859D9" w:rsidRPr="00F64CC0">
        <w:rPr>
          <w:bCs/>
        </w:rPr>
        <w:t xml:space="preserve"> αναφοράς.</w:t>
      </w:r>
    </w:p>
    <w:p w:rsidR="003859D9" w:rsidRPr="00F64CC0" w:rsidRDefault="003859D9" w:rsidP="00A03AAE">
      <w:pPr>
        <w:rPr>
          <w:bCs/>
        </w:rPr>
      </w:pPr>
    </w:p>
    <w:p w:rsidR="00C64D66" w:rsidRPr="00900919" w:rsidRDefault="003859D9" w:rsidP="00A03AAE">
      <w:pPr>
        <w:rPr>
          <w:bCs/>
          <w:i/>
        </w:rPr>
      </w:pPr>
      <w:r w:rsidRPr="00F64CC0">
        <w:rPr>
          <w:bCs/>
          <w:i/>
        </w:rPr>
        <w:t>Θεραπεία υποκατάστασης σε σύνδρο</w:t>
      </w:r>
      <w:r w:rsidR="005B25B6" w:rsidRPr="00F64CC0">
        <w:rPr>
          <w:bCs/>
          <w:i/>
        </w:rPr>
        <w:t>μα πρωτοπαθούς ανοσοανεπάρκειας</w:t>
      </w:r>
      <w:r w:rsidR="00F64CC0">
        <w:rPr>
          <w:bCs/>
          <w:i/>
        </w:rPr>
        <w:t>:</w:t>
      </w:r>
    </w:p>
    <w:p w:rsidR="008514B0" w:rsidRPr="00F64CC0" w:rsidRDefault="00C64D66" w:rsidP="00A03AAE">
      <w:pPr>
        <w:rPr>
          <w:bCs/>
        </w:rPr>
      </w:pPr>
      <w:r w:rsidRPr="00F64CC0">
        <w:rPr>
          <w:bCs/>
        </w:rPr>
        <w:t>Το δοσολογικό σχήμα πρέπει να επιτύχει</w:t>
      </w:r>
      <w:r w:rsidR="00D43500" w:rsidRPr="00F64CC0">
        <w:rPr>
          <w:bCs/>
        </w:rPr>
        <w:t xml:space="preserve"> ελάχιστη συγκέντρωση</w:t>
      </w:r>
      <w:r w:rsidR="008514B0" w:rsidRPr="00F64CC0">
        <w:rPr>
          <w:bCs/>
        </w:rPr>
        <w:t xml:space="preserve"> (</w:t>
      </w:r>
      <w:r w:rsidR="008514B0" w:rsidRPr="00F64CC0">
        <w:rPr>
          <w:bCs/>
          <w:lang w:val="en-US"/>
        </w:rPr>
        <w:t>trough</w:t>
      </w:r>
      <w:r w:rsidR="00D43500" w:rsidRPr="00F64CC0">
        <w:rPr>
          <w:bCs/>
        </w:rPr>
        <w:t>)</w:t>
      </w:r>
      <w:r w:rsidR="008514B0" w:rsidRPr="00F64CC0">
        <w:rPr>
          <w:bCs/>
        </w:rPr>
        <w:t xml:space="preserve"> ανοσοσφαιρινών </w:t>
      </w:r>
      <w:r w:rsidR="008514B0" w:rsidRPr="00F64CC0">
        <w:rPr>
          <w:bCs/>
          <w:lang w:val="en-US"/>
        </w:rPr>
        <w:t>G</w:t>
      </w:r>
      <w:r w:rsidR="008514B0" w:rsidRPr="00F64CC0">
        <w:rPr>
          <w:bCs/>
        </w:rPr>
        <w:t xml:space="preserve"> (</w:t>
      </w:r>
      <w:proofErr w:type="spellStart"/>
      <w:r w:rsidR="008514B0" w:rsidRPr="00F64CC0">
        <w:rPr>
          <w:bCs/>
          <w:lang w:val="en-US"/>
        </w:rPr>
        <w:t>IgG</w:t>
      </w:r>
      <w:proofErr w:type="spellEnd"/>
      <w:r w:rsidR="008514B0" w:rsidRPr="00F64CC0">
        <w:rPr>
          <w:bCs/>
        </w:rPr>
        <w:t>) (</w:t>
      </w:r>
      <w:r w:rsidR="00D43500" w:rsidRPr="00F64CC0">
        <w:rPr>
          <w:bCs/>
        </w:rPr>
        <w:t>μετρούμενη</w:t>
      </w:r>
      <w:r w:rsidR="008514B0" w:rsidRPr="00F64CC0">
        <w:rPr>
          <w:bCs/>
        </w:rPr>
        <w:t xml:space="preserve"> πριν την επόμενη έγχυση) τουλάχιστον </w:t>
      </w:r>
      <w:r w:rsidR="00685A81" w:rsidRPr="00F64CC0">
        <w:rPr>
          <w:bCs/>
        </w:rPr>
        <w:t>5</w:t>
      </w:r>
      <w:r w:rsidR="002F3B04" w:rsidRPr="00F64CC0">
        <w:rPr>
          <w:bCs/>
        </w:rPr>
        <w:t xml:space="preserve"> έως</w:t>
      </w:r>
      <w:r w:rsidR="00224BEE">
        <w:rPr>
          <w:bCs/>
        </w:rPr>
        <w:t xml:space="preserve"> </w:t>
      </w:r>
      <w:r w:rsidR="008514B0" w:rsidRPr="00F64CC0">
        <w:rPr>
          <w:bCs/>
        </w:rPr>
        <w:t xml:space="preserve">6 </w:t>
      </w:r>
      <w:r w:rsidR="008514B0" w:rsidRPr="00F64CC0">
        <w:rPr>
          <w:bCs/>
          <w:lang w:val="en-US"/>
        </w:rPr>
        <w:t>g</w:t>
      </w:r>
      <w:r w:rsidR="008514B0" w:rsidRPr="00F64CC0">
        <w:rPr>
          <w:bCs/>
        </w:rPr>
        <w:t>/</w:t>
      </w:r>
      <w:r w:rsidR="00BC72C8" w:rsidRPr="00F64CC0">
        <w:rPr>
          <w:bCs/>
          <w:lang w:val="en-US"/>
        </w:rPr>
        <w:t>l</w:t>
      </w:r>
      <w:r w:rsidR="008514B0" w:rsidRPr="00F64CC0">
        <w:rPr>
          <w:bCs/>
        </w:rPr>
        <w:t xml:space="preserve">. </w:t>
      </w:r>
      <w:r w:rsidR="005B25B6" w:rsidRPr="00F64CC0">
        <w:rPr>
          <w:bCs/>
        </w:rPr>
        <w:t>Για την επίτευξη εξισορ</w:t>
      </w:r>
      <w:r w:rsidR="00477D11" w:rsidRPr="00F64CC0">
        <w:rPr>
          <w:bCs/>
        </w:rPr>
        <w:t>ρ</w:t>
      </w:r>
      <w:r w:rsidR="005B25B6" w:rsidRPr="00F64CC0">
        <w:rPr>
          <w:bCs/>
        </w:rPr>
        <w:t>όπησης</w:t>
      </w:r>
      <w:r w:rsidR="008514B0" w:rsidRPr="00F64CC0">
        <w:rPr>
          <w:bCs/>
        </w:rPr>
        <w:t xml:space="preserve"> απαιτούνται 3-6 μήνες από την έναρξη της θεραπευτικής αγωγής.</w:t>
      </w:r>
    </w:p>
    <w:p w:rsidR="00F5009E" w:rsidRPr="00900919" w:rsidRDefault="008514B0" w:rsidP="00A03AAE">
      <w:pPr>
        <w:rPr>
          <w:bCs/>
        </w:rPr>
      </w:pPr>
      <w:r w:rsidRPr="00F64CC0">
        <w:rPr>
          <w:bCs/>
        </w:rPr>
        <w:t xml:space="preserve">Η συνιστώμενη αρχική δόση είναι 0,4-0,8 </w:t>
      </w:r>
      <w:r w:rsidRPr="00F64CC0">
        <w:rPr>
          <w:bCs/>
          <w:lang w:val="en-US"/>
        </w:rPr>
        <w:t>g</w:t>
      </w:r>
      <w:r w:rsidRPr="00F64CC0">
        <w:rPr>
          <w:bCs/>
        </w:rPr>
        <w:t>/</w:t>
      </w:r>
      <w:r w:rsidRPr="00F64CC0">
        <w:rPr>
          <w:bCs/>
          <w:lang w:val="en-US"/>
        </w:rPr>
        <w:t>kg</w:t>
      </w:r>
      <w:r w:rsidRPr="00F64CC0">
        <w:rPr>
          <w:bCs/>
        </w:rPr>
        <w:t xml:space="preserve"> </w:t>
      </w:r>
      <w:r w:rsidR="00224BEE">
        <w:rPr>
          <w:bCs/>
        </w:rPr>
        <w:t xml:space="preserve">χορηγούμενη </w:t>
      </w:r>
      <w:r w:rsidR="00685A81" w:rsidRPr="00F64CC0">
        <w:rPr>
          <w:bCs/>
        </w:rPr>
        <w:t>εφάπαξ</w:t>
      </w:r>
      <w:r w:rsidR="00224BEE">
        <w:rPr>
          <w:bCs/>
        </w:rPr>
        <w:t>,</w:t>
      </w:r>
      <w:r w:rsidR="00685A81" w:rsidRPr="00F64CC0">
        <w:rPr>
          <w:bCs/>
        </w:rPr>
        <w:t xml:space="preserve"> </w:t>
      </w:r>
      <w:r w:rsidRPr="00F64CC0">
        <w:rPr>
          <w:bCs/>
        </w:rPr>
        <w:t xml:space="preserve">ακολουθούμενη από τουλάχιστον 0,2 </w:t>
      </w:r>
      <w:r w:rsidRPr="00F64CC0">
        <w:rPr>
          <w:bCs/>
          <w:lang w:val="en-US"/>
        </w:rPr>
        <w:t>g</w:t>
      </w:r>
      <w:r w:rsidRPr="00F64CC0">
        <w:rPr>
          <w:bCs/>
        </w:rPr>
        <w:t>/</w:t>
      </w:r>
      <w:r w:rsidRPr="00F64CC0">
        <w:rPr>
          <w:bCs/>
          <w:lang w:val="en-US"/>
        </w:rPr>
        <w:t>kg</w:t>
      </w:r>
      <w:r w:rsidR="00F5009E" w:rsidRPr="00F64CC0">
        <w:rPr>
          <w:bCs/>
        </w:rPr>
        <w:t xml:space="preserve"> </w:t>
      </w:r>
      <w:r w:rsidR="00685A81" w:rsidRPr="00F64CC0">
        <w:rPr>
          <w:bCs/>
        </w:rPr>
        <w:t xml:space="preserve">χορηγούμενη </w:t>
      </w:r>
      <w:r w:rsidR="00F5009E" w:rsidRPr="00F64CC0">
        <w:rPr>
          <w:bCs/>
        </w:rPr>
        <w:t>κάθε τρεις</w:t>
      </w:r>
      <w:r w:rsidRPr="00F64CC0">
        <w:rPr>
          <w:bCs/>
        </w:rPr>
        <w:t xml:space="preserve"> </w:t>
      </w:r>
      <w:r w:rsidR="00685A81" w:rsidRPr="00F64CC0">
        <w:rPr>
          <w:bCs/>
        </w:rPr>
        <w:t xml:space="preserve">με τέσσερις </w:t>
      </w:r>
      <w:r w:rsidR="00F5009E" w:rsidRPr="00F64CC0">
        <w:rPr>
          <w:bCs/>
        </w:rPr>
        <w:t>εβδομάδες.</w:t>
      </w:r>
    </w:p>
    <w:p w:rsidR="00F5009E" w:rsidRPr="00F64CC0" w:rsidRDefault="00F5009E" w:rsidP="00A03AAE">
      <w:pPr>
        <w:rPr>
          <w:bCs/>
        </w:rPr>
      </w:pPr>
      <w:r w:rsidRPr="00F64CC0">
        <w:rPr>
          <w:bCs/>
        </w:rPr>
        <w:t>Η απαιτούμενη δόση</w:t>
      </w:r>
      <w:r w:rsidR="002110AC" w:rsidRPr="00F64CC0">
        <w:rPr>
          <w:bCs/>
        </w:rPr>
        <w:t xml:space="preserve"> για την επίτευξη </w:t>
      </w:r>
      <w:r w:rsidR="00D43500" w:rsidRPr="00F64CC0">
        <w:rPr>
          <w:bCs/>
        </w:rPr>
        <w:t>ελάχιστης συγκέντρωσης (</w:t>
      </w:r>
      <w:r w:rsidR="00D43500" w:rsidRPr="00F64CC0">
        <w:rPr>
          <w:bCs/>
          <w:lang w:val="en-US"/>
        </w:rPr>
        <w:t>trough</w:t>
      </w:r>
      <w:r w:rsidR="00D43500" w:rsidRPr="00F64CC0">
        <w:rPr>
          <w:bCs/>
        </w:rPr>
        <w:t xml:space="preserve"> </w:t>
      </w:r>
      <w:r w:rsidR="00D43500" w:rsidRPr="00F64CC0">
        <w:rPr>
          <w:bCs/>
          <w:lang w:val="en-US"/>
        </w:rPr>
        <w:t>level</w:t>
      </w:r>
      <w:r w:rsidR="00D43500" w:rsidRPr="00F64CC0">
        <w:rPr>
          <w:bCs/>
        </w:rPr>
        <w:t>)</w:t>
      </w:r>
      <w:r w:rsidR="002110AC" w:rsidRPr="00F64CC0">
        <w:rPr>
          <w:bCs/>
        </w:rPr>
        <w:t xml:space="preserve"> </w:t>
      </w:r>
      <w:r w:rsidR="00685A81" w:rsidRPr="00F64CC0">
        <w:rPr>
          <w:bCs/>
        </w:rPr>
        <w:t>5-</w:t>
      </w:r>
      <w:r w:rsidR="002110AC" w:rsidRPr="00F64CC0">
        <w:rPr>
          <w:bCs/>
        </w:rPr>
        <w:t>6</w:t>
      </w:r>
      <w:r w:rsidR="005051DA" w:rsidRPr="00F64CC0">
        <w:rPr>
          <w:bCs/>
        </w:rPr>
        <w:t xml:space="preserve"> </w:t>
      </w:r>
      <w:r w:rsidR="002110AC" w:rsidRPr="00F64CC0">
        <w:rPr>
          <w:bCs/>
          <w:lang w:val="en-US"/>
        </w:rPr>
        <w:t>g</w:t>
      </w:r>
      <w:r w:rsidR="002110AC" w:rsidRPr="00F64CC0">
        <w:rPr>
          <w:bCs/>
        </w:rPr>
        <w:t>/</w:t>
      </w:r>
      <w:r w:rsidR="00E932FA" w:rsidRPr="00F64CC0">
        <w:rPr>
          <w:bCs/>
          <w:lang w:val="en-US"/>
        </w:rPr>
        <w:t>l</w:t>
      </w:r>
      <w:r w:rsidR="002110AC" w:rsidRPr="00F64CC0">
        <w:rPr>
          <w:bCs/>
        </w:rPr>
        <w:t xml:space="preserve"> είναι της τάξης των 0,2-0,8 </w:t>
      </w:r>
      <w:r w:rsidR="002110AC" w:rsidRPr="00F64CC0">
        <w:rPr>
          <w:bCs/>
          <w:lang w:val="en-US"/>
        </w:rPr>
        <w:t>g</w:t>
      </w:r>
      <w:r w:rsidR="002110AC" w:rsidRPr="00F64CC0">
        <w:rPr>
          <w:bCs/>
        </w:rPr>
        <w:t>/</w:t>
      </w:r>
      <w:r w:rsidR="002110AC" w:rsidRPr="00F64CC0">
        <w:rPr>
          <w:bCs/>
          <w:lang w:val="en-US"/>
        </w:rPr>
        <w:t>kg</w:t>
      </w:r>
      <w:r w:rsidR="002110AC" w:rsidRPr="00F64CC0">
        <w:rPr>
          <w:bCs/>
        </w:rPr>
        <w:t xml:space="preserve">/ μηνιαίως. Το μεσοδιάστημα των δόσεων, όταν έχει επιτευχθεί σταθεροποίηση, ποικίλλει μεταξύ </w:t>
      </w:r>
      <w:r w:rsidR="00685A81" w:rsidRPr="00F64CC0">
        <w:rPr>
          <w:bCs/>
        </w:rPr>
        <w:t>3-</w:t>
      </w:r>
      <w:r w:rsidR="002110AC" w:rsidRPr="00F64CC0">
        <w:rPr>
          <w:bCs/>
        </w:rPr>
        <w:t xml:space="preserve"> 4 εβδομάδων.</w:t>
      </w:r>
    </w:p>
    <w:p w:rsidR="002110AC" w:rsidRPr="00F64CC0" w:rsidRDefault="00EF3D86" w:rsidP="00A03AAE">
      <w:pPr>
        <w:rPr>
          <w:bCs/>
        </w:rPr>
      </w:pPr>
      <w:r>
        <w:rPr>
          <w:bCs/>
        </w:rPr>
        <w:t>Οι</w:t>
      </w:r>
      <w:r w:rsidRPr="00F64CC0">
        <w:rPr>
          <w:bCs/>
        </w:rPr>
        <w:t xml:space="preserve"> ελάχιστ</w:t>
      </w:r>
      <w:r>
        <w:rPr>
          <w:bCs/>
        </w:rPr>
        <w:t>ες</w:t>
      </w:r>
      <w:r w:rsidRPr="00F64CC0">
        <w:rPr>
          <w:bCs/>
        </w:rPr>
        <w:t xml:space="preserve"> </w:t>
      </w:r>
      <w:r>
        <w:rPr>
          <w:bCs/>
        </w:rPr>
        <w:t>συγκεντρώσεις</w:t>
      </w:r>
      <w:r w:rsidRPr="00F64CC0">
        <w:rPr>
          <w:bCs/>
        </w:rPr>
        <w:t xml:space="preserve"> </w:t>
      </w:r>
      <w:r w:rsidR="00D43500" w:rsidRPr="00F64CC0">
        <w:rPr>
          <w:bCs/>
        </w:rPr>
        <w:t>(</w:t>
      </w:r>
      <w:r w:rsidR="00D43500" w:rsidRPr="00F64CC0">
        <w:rPr>
          <w:bCs/>
          <w:lang w:val="en-US"/>
        </w:rPr>
        <w:t>trough</w:t>
      </w:r>
      <w:r w:rsidR="00D43500" w:rsidRPr="00F64CC0">
        <w:rPr>
          <w:bCs/>
        </w:rPr>
        <w:t xml:space="preserve"> </w:t>
      </w:r>
      <w:r w:rsidR="00D43500" w:rsidRPr="00F64CC0">
        <w:rPr>
          <w:bCs/>
          <w:lang w:val="en-US"/>
        </w:rPr>
        <w:t>level</w:t>
      </w:r>
      <w:r w:rsidR="00D43500" w:rsidRPr="00F64CC0">
        <w:rPr>
          <w:bCs/>
        </w:rPr>
        <w:t xml:space="preserve">) θα πρέπει να </w:t>
      </w:r>
      <w:r w:rsidRPr="00F64CC0">
        <w:rPr>
          <w:bCs/>
        </w:rPr>
        <w:t>μετρ</w:t>
      </w:r>
      <w:r>
        <w:rPr>
          <w:bCs/>
        </w:rPr>
        <w:t>ούν</w:t>
      </w:r>
      <w:r w:rsidRPr="00F64CC0">
        <w:rPr>
          <w:bCs/>
        </w:rPr>
        <w:t xml:space="preserve">ται </w:t>
      </w:r>
      <w:r w:rsidR="00685A81" w:rsidRPr="00F64CC0">
        <w:rPr>
          <w:bCs/>
        </w:rPr>
        <w:t xml:space="preserve">και να </w:t>
      </w:r>
      <w:r w:rsidRPr="00F64CC0">
        <w:rPr>
          <w:bCs/>
        </w:rPr>
        <w:t>αξιολογ</w:t>
      </w:r>
      <w:r>
        <w:rPr>
          <w:bCs/>
        </w:rPr>
        <w:t>ούν</w:t>
      </w:r>
      <w:r w:rsidRPr="00F64CC0">
        <w:rPr>
          <w:bCs/>
        </w:rPr>
        <w:t xml:space="preserve">ται </w:t>
      </w:r>
      <w:r w:rsidR="00685A81" w:rsidRPr="00F64CC0">
        <w:rPr>
          <w:bCs/>
        </w:rPr>
        <w:t xml:space="preserve">σε συνδυασμό με τη συχνότητα εμφάνισης της λοίμωξης. Για να μειωθεί το ποσοστό της λοίμωξης, μπορεί να είναι απαραίτητο να αυξηθεί η δοσολογία </w:t>
      </w:r>
      <w:r w:rsidR="00AC019D" w:rsidRPr="00F64CC0">
        <w:rPr>
          <w:bCs/>
        </w:rPr>
        <w:t>με</w:t>
      </w:r>
      <w:r w:rsidR="00685A81" w:rsidRPr="00F64CC0">
        <w:rPr>
          <w:bCs/>
        </w:rPr>
        <w:t xml:space="preserve"> στόχο υψηλότερες τιμές </w:t>
      </w:r>
      <w:r>
        <w:rPr>
          <w:bCs/>
        </w:rPr>
        <w:t xml:space="preserve">στις ελάχιστες συγκεντρώσεις </w:t>
      </w:r>
      <w:r w:rsidR="00D261AC" w:rsidRPr="00F64CC0">
        <w:rPr>
          <w:bCs/>
        </w:rPr>
        <w:t>(</w:t>
      </w:r>
      <w:r w:rsidR="00D261AC" w:rsidRPr="00F64CC0">
        <w:rPr>
          <w:bCs/>
          <w:lang w:val="en-US"/>
        </w:rPr>
        <w:t>trough</w:t>
      </w:r>
      <w:r w:rsidR="00D261AC" w:rsidRPr="00F64CC0">
        <w:rPr>
          <w:bCs/>
        </w:rPr>
        <w:t xml:space="preserve"> </w:t>
      </w:r>
      <w:r w:rsidR="00D261AC" w:rsidRPr="00F64CC0">
        <w:rPr>
          <w:bCs/>
          <w:lang w:val="en-US"/>
        </w:rPr>
        <w:t>level</w:t>
      </w:r>
      <w:r>
        <w:rPr>
          <w:bCs/>
          <w:lang w:val="en-US"/>
        </w:rPr>
        <w:t>s</w:t>
      </w:r>
      <w:r w:rsidR="00D261AC" w:rsidRPr="00F64CC0">
        <w:rPr>
          <w:bCs/>
        </w:rPr>
        <w:t xml:space="preserve">) </w:t>
      </w:r>
      <w:r w:rsidR="002110AC" w:rsidRPr="00F64CC0">
        <w:rPr>
          <w:bCs/>
        </w:rPr>
        <w:t>.</w:t>
      </w:r>
    </w:p>
    <w:p w:rsidR="004A5A60" w:rsidRDefault="004A5A60" w:rsidP="00A03AAE">
      <w:pPr>
        <w:rPr>
          <w:bCs/>
          <w:i/>
        </w:rPr>
      </w:pPr>
    </w:p>
    <w:p w:rsidR="002110AC" w:rsidRPr="00F64CC0" w:rsidRDefault="00D261AC" w:rsidP="00A03AAE">
      <w:pPr>
        <w:rPr>
          <w:bCs/>
          <w:i/>
        </w:rPr>
      </w:pPr>
      <w:r w:rsidRPr="00F64CC0">
        <w:rPr>
          <w:bCs/>
          <w:i/>
        </w:rPr>
        <w:t xml:space="preserve">Υπογαμμασφαιριναιμία και υποτροπιάζουσες βακτηριακές λοιμώξεις σε ασθενείς με χρόνια λεμφοκυτταρική λευχαιμία, στους οποίους η προφυλακτική χορήγηση αντιβιοτικών έχει αποτύχει; υπογαμμασφαιριναιμία και υποτροπιάζουσες βακτηριακές λοιμώξεις σε ασθενείς με πολλαπλό μυέλωμα </w:t>
      </w:r>
      <w:r w:rsidR="00EF3D86">
        <w:rPr>
          <w:bCs/>
          <w:i/>
        </w:rPr>
        <w:t xml:space="preserve">σε </w:t>
      </w:r>
      <w:r w:rsidRPr="00F64CC0">
        <w:rPr>
          <w:bCs/>
          <w:i/>
        </w:rPr>
        <w:t>φάση plateau, οι οποίοι απέτυχαν να ανταποκριθούν στο πνευμονιοκοκκικό εμβολιασμό</w:t>
      </w:r>
      <w:r w:rsidR="00EF3D86" w:rsidRPr="00F64CC0">
        <w:rPr>
          <w:bCs/>
          <w:i/>
        </w:rPr>
        <w:t>.</w:t>
      </w:r>
      <w:r w:rsidR="008B68E3" w:rsidRPr="00F64CC0">
        <w:rPr>
          <w:bCs/>
          <w:i/>
        </w:rPr>
        <w:t xml:space="preserve"> </w:t>
      </w:r>
      <w:r w:rsidR="00EF3D86" w:rsidRPr="00F64CC0">
        <w:rPr>
          <w:bCs/>
          <w:i/>
        </w:rPr>
        <w:t xml:space="preserve">Συγγενές </w:t>
      </w:r>
      <w:r w:rsidR="002110AC" w:rsidRPr="00F64CC0">
        <w:rPr>
          <w:bCs/>
          <w:i/>
          <w:lang w:val="en-US"/>
        </w:rPr>
        <w:t>AIDS</w:t>
      </w:r>
      <w:r w:rsidR="00780142" w:rsidRPr="00F64CC0">
        <w:rPr>
          <w:bCs/>
          <w:i/>
        </w:rPr>
        <w:t xml:space="preserve"> </w:t>
      </w:r>
      <w:r w:rsidRPr="00F64CC0">
        <w:rPr>
          <w:bCs/>
          <w:i/>
        </w:rPr>
        <w:t xml:space="preserve">με </w:t>
      </w:r>
      <w:r w:rsidR="00780142" w:rsidRPr="00F64CC0">
        <w:rPr>
          <w:bCs/>
          <w:i/>
        </w:rPr>
        <w:t>υποτροπ</w:t>
      </w:r>
      <w:r w:rsidR="002110AC" w:rsidRPr="00F64CC0">
        <w:rPr>
          <w:bCs/>
          <w:i/>
        </w:rPr>
        <w:t xml:space="preserve">ιάζουσες </w:t>
      </w:r>
      <w:r w:rsidRPr="00F64CC0">
        <w:rPr>
          <w:bCs/>
          <w:i/>
        </w:rPr>
        <w:t xml:space="preserve">βακτηριακές </w:t>
      </w:r>
      <w:r w:rsidR="002110AC" w:rsidRPr="00F64CC0">
        <w:rPr>
          <w:bCs/>
          <w:i/>
        </w:rPr>
        <w:t>λοιμώξεις</w:t>
      </w:r>
    </w:p>
    <w:p w:rsidR="006F48FB" w:rsidRPr="00F64CC0" w:rsidRDefault="006F48FB" w:rsidP="00A03AAE">
      <w:pPr>
        <w:rPr>
          <w:b/>
          <w:bCs/>
        </w:rPr>
      </w:pPr>
    </w:p>
    <w:p w:rsidR="006F48FB" w:rsidRPr="00F64CC0" w:rsidRDefault="006F48FB" w:rsidP="00A03AAE">
      <w:pPr>
        <w:rPr>
          <w:bCs/>
        </w:rPr>
      </w:pPr>
      <w:r w:rsidRPr="00F64CC0">
        <w:rPr>
          <w:bCs/>
        </w:rPr>
        <w:t xml:space="preserve">Η συνιστώμενη δόση είναι 0,2-0,4 </w:t>
      </w:r>
      <w:r w:rsidRPr="00F64CC0">
        <w:rPr>
          <w:bCs/>
          <w:lang w:val="en-US"/>
        </w:rPr>
        <w:t>g</w:t>
      </w:r>
      <w:r w:rsidRPr="00F64CC0">
        <w:rPr>
          <w:bCs/>
        </w:rPr>
        <w:t>/</w:t>
      </w:r>
      <w:r w:rsidRPr="00F64CC0">
        <w:rPr>
          <w:bCs/>
          <w:lang w:val="en-US"/>
        </w:rPr>
        <w:t>kg</w:t>
      </w:r>
      <w:r w:rsidRPr="00F64CC0">
        <w:rPr>
          <w:bCs/>
        </w:rPr>
        <w:t xml:space="preserve"> κάθ</w:t>
      </w:r>
      <w:r w:rsidR="000313F0" w:rsidRPr="00F64CC0">
        <w:rPr>
          <w:bCs/>
        </w:rPr>
        <w:t>ε τρεις έως τέσσερις εβδομάδες</w:t>
      </w:r>
      <w:r w:rsidR="00A74246" w:rsidRPr="00F64CC0">
        <w:rPr>
          <w:bCs/>
        </w:rPr>
        <w:t>.</w:t>
      </w:r>
    </w:p>
    <w:p w:rsidR="005B114F" w:rsidRPr="00F64CC0" w:rsidRDefault="005B114F" w:rsidP="00A03AAE">
      <w:pPr>
        <w:rPr>
          <w:bCs/>
        </w:rPr>
      </w:pPr>
    </w:p>
    <w:p w:rsidR="00B63C28" w:rsidRPr="00F64CC0" w:rsidRDefault="00E22385" w:rsidP="00A03AAE">
      <w:pPr>
        <w:rPr>
          <w:bCs/>
          <w:i/>
        </w:rPr>
      </w:pPr>
      <w:r w:rsidRPr="00F64CC0">
        <w:rPr>
          <w:bCs/>
          <w:i/>
        </w:rPr>
        <w:t xml:space="preserve">Υπογαμμασφαιριναιμία σε ασθενείς μετά από αλλογενή μεταμόσχευση </w:t>
      </w:r>
      <w:r w:rsidR="00EF3D86">
        <w:rPr>
          <w:bCs/>
          <w:i/>
        </w:rPr>
        <w:t>αρχέγονων αιμοποιητικών κυττάρων</w:t>
      </w:r>
      <w:r w:rsidRPr="00F64CC0">
        <w:rPr>
          <w:bCs/>
          <w:i/>
        </w:rPr>
        <w:t>.</w:t>
      </w:r>
    </w:p>
    <w:p w:rsidR="00B63C28" w:rsidRPr="00F64CC0" w:rsidRDefault="00B63C28" w:rsidP="00A03AAE">
      <w:pPr>
        <w:rPr>
          <w:bCs/>
        </w:rPr>
      </w:pPr>
    </w:p>
    <w:p w:rsidR="00E22385" w:rsidRPr="00F64CC0" w:rsidRDefault="00E22385" w:rsidP="00A03AAE">
      <w:pPr>
        <w:rPr>
          <w:bCs/>
        </w:rPr>
      </w:pPr>
      <w:r w:rsidRPr="00F64CC0">
        <w:rPr>
          <w:bCs/>
        </w:rPr>
        <w:t xml:space="preserve">Η συνιστώμενη δόση είναι 0,2-0,4 </w:t>
      </w:r>
      <w:r w:rsidRPr="00F64CC0">
        <w:rPr>
          <w:bCs/>
          <w:lang w:val="en-US"/>
        </w:rPr>
        <w:t>g</w:t>
      </w:r>
      <w:r w:rsidRPr="00F64CC0">
        <w:rPr>
          <w:bCs/>
        </w:rPr>
        <w:t xml:space="preserve"> / </w:t>
      </w:r>
      <w:r w:rsidRPr="00F64CC0">
        <w:rPr>
          <w:bCs/>
          <w:lang w:val="en-US"/>
        </w:rPr>
        <w:t>kg</w:t>
      </w:r>
      <w:r w:rsidRPr="00F64CC0">
        <w:rPr>
          <w:bCs/>
        </w:rPr>
        <w:t xml:space="preserve"> κάθε τρεις έως τέσσερις εβδομάδες. </w:t>
      </w:r>
      <w:r w:rsidR="00EF3D86">
        <w:rPr>
          <w:bCs/>
        </w:rPr>
        <w:t>Οι ελάχιστες συγκεντρώσεις</w:t>
      </w:r>
      <w:r w:rsidRPr="00F64CC0">
        <w:rPr>
          <w:bCs/>
        </w:rPr>
        <w:t xml:space="preserve"> θα πρέπει να διατηρούνται πάνω από 5 </w:t>
      </w:r>
      <w:r w:rsidRPr="00F64CC0">
        <w:rPr>
          <w:bCs/>
          <w:lang w:val="en-US"/>
        </w:rPr>
        <w:t>g</w:t>
      </w:r>
      <w:r w:rsidRPr="00F64CC0">
        <w:rPr>
          <w:bCs/>
        </w:rPr>
        <w:t xml:space="preserve"> / </w:t>
      </w:r>
      <w:r w:rsidRPr="00F64CC0">
        <w:rPr>
          <w:bCs/>
          <w:lang w:val="en-US"/>
        </w:rPr>
        <w:t>l</w:t>
      </w:r>
      <w:r w:rsidRPr="00F64CC0">
        <w:rPr>
          <w:bCs/>
        </w:rPr>
        <w:t>.</w:t>
      </w:r>
      <w:r w:rsidRPr="00F64CC0">
        <w:rPr>
          <w:bCs/>
        </w:rPr>
        <w:br/>
      </w:r>
    </w:p>
    <w:p w:rsidR="00E22385" w:rsidRPr="00F64CC0" w:rsidRDefault="00E22385" w:rsidP="00A03AAE">
      <w:pPr>
        <w:rPr>
          <w:bCs/>
          <w:i/>
        </w:rPr>
      </w:pPr>
      <w:r w:rsidRPr="00F64CC0">
        <w:rPr>
          <w:bCs/>
          <w:i/>
        </w:rPr>
        <w:t xml:space="preserve">Πρωτοπαθής </w:t>
      </w:r>
      <w:r w:rsidR="003C6C17">
        <w:rPr>
          <w:bCs/>
          <w:i/>
        </w:rPr>
        <w:t>άνοση</w:t>
      </w:r>
      <w:r w:rsidRPr="00F64CC0">
        <w:rPr>
          <w:bCs/>
          <w:i/>
        </w:rPr>
        <w:t xml:space="preserve"> θρομβοπενία:</w:t>
      </w:r>
    </w:p>
    <w:p w:rsidR="00E22385" w:rsidRPr="00F64CC0" w:rsidRDefault="00E22385" w:rsidP="00A03AAE">
      <w:pPr>
        <w:rPr>
          <w:bCs/>
        </w:rPr>
      </w:pPr>
    </w:p>
    <w:p w:rsidR="000B5317" w:rsidRPr="00F64CC0" w:rsidRDefault="007C7B52" w:rsidP="00A03AAE">
      <w:pPr>
        <w:rPr>
          <w:bCs/>
        </w:rPr>
      </w:pPr>
      <w:r w:rsidRPr="00F64CC0">
        <w:rPr>
          <w:bCs/>
        </w:rPr>
        <w:t>Υπάρχουν δύο εναλλακτικά σχήματα θεραπείας:</w:t>
      </w:r>
    </w:p>
    <w:p w:rsidR="007C7B52" w:rsidRPr="00F64CC0" w:rsidRDefault="000B5317" w:rsidP="00A03AAE">
      <w:pPr>
        <w:numPr>
          <w:ilvl w:val="0"/>
          <w:numId w:val="25"/>
        </w:numPr>
        <w:rPr>
          <w:bCs/>
        </w:rPr>
      </w:pPr>
      <w:r w:rsidRPr="00F64CC0">
        <w:rPr>
          <w:bCs/>
        </w:rPr>
        <w:t xml:space="preserve"> 0,8-1 </w:t>
      </w:r>
      <w:r w:rsidRPr="00F64CC0">
        <w:rPr>
          <w:bCs/>
          <w:lang w:val="en-US"/>
        </w:rPr>
        <w:t>g</w:t>
      </w:r>
      <w:r w:rsidRPr="00F64CC0">
        <w:rPr>
          <w:bCs/>
        </w:rPr>
        <w:t>/</w:t>
      </w:r>
      <w:r w:rsidRPr="00F64CC0">
        <w:rPr>
          <w:bCs/>
          <w:lang w:val="en-US"/>
        </w:rPr>
        <w:t>kg</w:t>
      </w:r>
      <w:r w:rsidRPr="00F64CC0">
        <w:rPr>
          <w:bCs/>
        </w:rPr>
        <w:t xml:space="preserve"> </w:t>
      </w:r>
      <w:r w:rsidR="007C7B52" w:rsidRPr="00F64CC0">
        <w:rPr>
          <w:bCs/>
        </w:rPr>
        <w:t xml:space="preserve">χορηγούμενα </w:t>
      </w:r>
      <w:r w:rsidRPr="00F64CC0">
        <w:rPr>
          <w:bCs/>
        </w:rPr>
        <w:t>την πρώτη ημέ</w:t>
      </w:r>
      <w:r w:rsidR="00C57116" w:rsidRPr="00F64CC0">
        <w:rPr>
          <w:bCs/>
        </w:rPr>
        <w:t>ρα</w:t>
      </w:r>
      <w:r w:rsidR="007C7B52" w:rsidRPr="00F64CC0">
        <w:rPr>
          <w:bCs/>
        </w:rPr>
        <w:t>. Η δόση αυτή</w:t>
      </w:r>
      <w:r w:rsidR="000313F0" w:rsidRPr="00F64CC0">
        <w:rPr>
          <w:bCs/>
        </w:rPr>
        <w:t xml:space="preserve"> μπορεί να επαναληφθεί </w:t>
      </w:r>
      <w:r w:rsidRPr="00F64CC0">
        <w:rPr>
          <w:bCs/>
        </w:rPr>
        <w:t>μία φορά μέσα στις επόμενες τρεις μέρες</w:t>
      </w:r>
      <w:r w:rsidR="007C7B52" w:rsidRPr="00F64CC0">
        <w:rPr>
          <w:bCs/>
        </w:rPr>
        <w:t>.</w:t>
      </w:r>
    </w:p>
    <w:p w:rsidR="007C7B52" w:rsidRPr="00F64CC0" w:rsidRDefault="000B5317" w:rsidP="00A03AAE">
      <w:pPr>
        <w:numPr>
          <w:ilvl w:val="0"/>
          <w:numId w:val="25"/>
        </w:numPr>
        <w:rPr>
          <w:bCs/>
        </w:rPr>
      </w:pPr>
      <w:r w:rsidRPr="00F64CC0">
        <w:rPr>
          <w:bCs/>
        </w:rPr>
        <w:lastRenderedPageBreak/>
        <w:t xml:space="preserve"> 0,4 </w:t>
      </w:r>
      <w:r w:rsidRPr="00F64CC0">
        <w:rPr>
          <w:bCs/>
          <w:lang w:val="en-US"/>
        </w:rPr>
        <w:t>g</w:t>
      </w:r>
      <w:r w:rsidRPr="00F64CC0">
        <w:rPr>
          <w:bCs/>
        </w:rPr>
        <w:t>/</w:t>
      </w:r>
      <w:r w:rsidRPr="00F64CC0">
        <w:rPr>
          <w:bCs/>
          <w:lang w:val="en-US"/>
        </w:rPr>
        <w:t>kg</w:t>
      </w:r>
      <w:r w:rsidR="007C7B52" w:rsidRPr="00F64CC0">
        <w:rPr>
          <w:bCs/>
        </w:rPr>
        <w:t xml:space="preserve"> χορηγούμενα</w:t>
      </w:r>
      <w:r w:rsidRPr="00F64CC0">
        <w:rPr>
          <w:bCs/>
        </w:rPr>
        <w:t xml:space="preserve"> ημερησίως επί δύο έως πέντε ημέρες. </w:t>
      </w:r>
    </w:p>
    <w:p w:rsidR="000B5317" w:rsidRPr="00F64CC0" w:rsidRDefault="000B5317" w:rsidP="00F64CC0">
      <w:pPr>
        <w:ind w:left="720" w:hanging="720"/>
        <w:rPr>
          <w:bCs/>
        </w:rPr>
      </w:pPr>
      <w:r w:rsidRPr="00F64CC0">
        <w:rPr>
          <w:bCs/>
        </w:rPr>
        <w:t>Η θεραπεία μπορεί να ε</w:t>
      </w:r>
      <w:r w:rsidR="00F44D5D" w:rsidRPr="00F64CC0">
        <w:rPr>
          <w:bCs/>
        </w:rPr>
        <w:t>παναληφθεί εάν υπάρξει υποτροπή</w:t>
      </w:r>
      <w:r w:rsidRPr="00F64CC0">
        <w:rPr>
          <w:bCs/>
        </w:rPr>
        <w:t>.</w:t>
      </w:r>
    </w:p>
    <w:p w:rsidR="000C1309" w:rsidRPr="00F64CC0" w:rsidRDefault="000C1309" w:rsidP="00A03AAE">
      <w:pPr>
        <w:rPr>
          <w:bCs/>
        </w:rPr>
      </w:pPr>
    </w:p>
    <w:p w:rsidR="000C1309" w:rsidRPr="00F64CC0" w:rsidRDefault="000C1309" w:rsidP="00A03AAE">
      <w:pPr>
        <w:rPr>
          <w:bCs/>
          <w:i/>
        </w:rPr>
      </w:pPr>
      <w:r w:rsidRPr="00F64CC0">
        <w:rPr>
          <w:bCs/>
          <w:i/>
        </w:rPr>
        <w:t xml:space="preserve">Σύνδρομο </w:t>
      </w:r>
      <w:proofErr w:type="spellStart"/>
      <w:r w:rsidRPr="00F64CC0">
        <w:rPr>
          <w:bCs/>
          <w:i/>
          <w:lang w:val="en-US"/>
        </w:rPr>
        <w:t>Guillain</w:t>
      </w:r>
      <w:proofErr w:type="spellEnd"/>
      <w:r w:rsidRPr="00F64CC0">
        <w:rPr>
          <w:bCs/>
          <w:i/>
        </w:rPr>
        <w:t xml:space="preserve"> – </w:t>
      </w:r>
      <w:r w:rsidR="009A4B68" w:rsidRPr="00F64CC0">
        <w:rPr>
          <w:bCs/>
          <w:i/>
          <w:lang w:val="en-US"/>
        </w:rPr>
        <w:t>Barr</w:t>
      </w:r>
      <w:r w:rsidR="009A4B68" w:rsidRPr="00F64CC0">
        <w:rPr>
          <w:bCs/>
          <w:i/>
        </w:rPr>
        <w:t>é</w:t>
      </w:r>
      <w:r w:rsidRPr="00F64CC0">
        <w:rPr>
          <w:bCs/>
          <w:i/>
        </w:rPr>
        <w:t>:</w:t>
      </w:r>
    </w:p>
    <w:p w:rsidR="00F93960" w:rsidRPr="00F64CC0" w:rsidRDefault="00F93960" w:rsidP="00A03AAE">
      <w:pPr>
        <w:rPr>
          <w:bCs/>
        </w:rPr>
      </w:pPr>
    </w:p>
    <w:p w:rsidR="000C1309" w:rsidRPr="00F64CC0" w:rsidRDefault="000C1309" w:rsidP="00A03AAE">
      <w:pPr>
        <w:rPr>
          <w:bCs/>
        </w:rPr>
      </w:pPr>
      <w:r w:rsidRPr="00F64CC0">
        <w:rPr>
          <w:bCs/>
        </w:rPr>
        <w:t xml:space="preserve">0,4 </w:t>
      </w:r>
      <w:r w:rsidRPr="00F64CC0">
        <w:rPr>
          <w:bCs/>
          <w:lang w:val="en-US"/>
        </w:rPr>
        <w:t>g</w:t>
      </w:r>
      <w:r w:rsidRPr="00F64CC0">
        <w:rPr>
          <w:bCs/>
        </w:rPr>
        <w:t>/</w:t>
      </w:r>
      <w:r w:rsidRPr="00F64CC0">
        <w:rPr>
          <w:bCs/>
          <w:lang w:val="en-US"/>
        </w:rPr>
        <w:t>kg</w:t>
      </w:r>
      <w:r w:rsidR="00D43500" w:rsidRPr="00F64CC0">
        <w:rPr>
          <w:bCs/>
        </w:rPr>
        <w:t xml:space="preserve">/ημέρα </w:t>
      </w:r>
      <w:r w:rsidR="00EF3D86">
        <w:rPr>
          <w:bCs/>
        </w:rPr>
        <w:t>μέσα σε</w:t>
      </w:r>
      <w:r w:rsidR="007C7B52" w:rsidRPr="00F64CC0">
        <w:rPr>
          <w:bCs/>
        </w:rPr>
        <w:t xml:space="preserve"> 5</w:t>
      </w:r>
      <w:r w:rsidR="00B63C28" w:rsidRPr="00F64CC0">
        <w:rPr>
          <w:bCs/>
        </w:rPr>
        <w:t xml:space="preserve"> </w:t>
      </w:r>
      <w:r w:rsidRPr="00F64CC0">
        <w:rPr>
          <w:bCs/>
        </w:rPr>
        <w:t>ημέρες.</w:t>
      </w:r>
    </w:p>
    <w:p w:rsidR="00F93960" w:rsidRPr="00F64CC0" w:rsidRDefault="00F93960" w:rsidP="00A03AAE">
      <w:pPr>
        <w:rPr>
          <w:bCs/>
        </w:rPr>
      </w:pPr>
    </w:p>
    <w:p w:rsidR="00363B7B" w:rsidRDefault="00363B7B" w:rsidP="00363B7B">
      <w:pPr>
        <w:jc w:val="both"/>
        <w:rPr>
          <w:bCs/>
          <w:i/>
          <w:lang w:val="en-US"/>
        </w:rPr>
      </w:pPr>
      <w:r w:rsidRPr="00224BEE">
        <w:rPr>
          <w:bCs/>
          <w:i/>
        </w:rPr>
        <w:t>Χρόνια Φλεγμονώδης Απομυελινωτική Πολυριζονευροπάθεια (</w:t>
      </w:r>
      <w:r w:rsidR="00674A19">
        <w:rPr>
          <w:bCs/>
          <w:i/>
        </w:rPr>
        <w:t>CIDP</w:t>
      </w:r>
      <w:r w:rsidRPr="00224BEE">
        <w:rPr>
          <w:bCs/>
          <w:i/>
        </w:rPr>
        <w:t>)</w:t>
      </w:r>
    </w:p>
    <w:p w:rsidR="00243E6D" w:rsidRPr="00243E6D" w:rsidRDefault="00243E6D" w:rsidP="00363B7B">
      <w:pPr>
        <w:jc w:val="both"/>
        <w:rPr>
          <w:bCs/>
          <w:i/>
          <w:lang w:val="en-US"/>
        </w:rPr>
      </w:pPr>
    </w:p>
    <w:p w:rsidR="00363B7B" w:rsidRPr="00F64CC0" w:rsidRDefault="00363B7B" w:rsidP="00363B7B">
      <w:pPr>
        <w:jc w:val="both"/>
        <w:rPr>
          <w:bCs/>
        </w:rPr>
      </w:pPr>
      <w:r w:rsidRPr="00F64CC0">
        <w:rPr>
          <w:bCs/>
        </w:rPr>
        <w:t>Αρχική δόση: 2</w:t>
      </w:r>
      <w:r w:rsidRPr="00F64CC0">
        <w:rPr>
          <w:bCs/>
          <w:lang w:val="en-US"/>
        </w:rPr>
        <w:t>g</w:t>
      </w:r>
      <w:r w:rsidRPr="00F64CC0">
        <w:rPr>
          <w:bCs/>
        </w:rPr>
        <w:t>/</w:t>
      </w:r>
      <w:r w:rsidRPr="00F64CC0">
        <w:rPr>
          <w:bCs/>
          <w:lang w:val="en-US"/>
        </w:rPr>
        <w:t>kg</w:t>
      </w:r>
      <w:r w:rsidRPr="00F64CC0">
        <w:rPr>
          <w:bCs/>
        </w:rPr>
        <w:t xml:space="preserve"> </w:t>
      </w:r>
      <w:r w:rsidR="004A5A60">
        <w:rPr>
          <w:bCs/>
        </w:rPr>
        <w:t>σε</w:t>
      </w:r>
      <w:r w:rsidRPr="00F64CC0">
        <w:rPr>
          <w:bCs/>
        </w:rPr>
        <w:t xml:space="preserve"> 4 διαδοχικές η</w:t>
      </w:r>
      <w:r w:rsidR="000579EE" w:rsidRPr="00F64CC0">
        <w:rPr>
          <w:bCs/>
        </w:rPr>
        <w:t>μέρες: συνιστάται να χορηγείται</w:t>
      </w:r>
      <w:r w:rsidRPr="00F64CC0">
        <w:rPr>
          <w:bCs/>
        </w:rPr>
        <w:t xml:space="preserve"> η αρχική δόση κάθε 3-4 εβδομάδες, μέχρι να  </w:t>
      </w:r>
      <w:r w:rsidR="00EF3D86" w:rsidRPr="00F64CC0">
        <w:rPr>
          <w:bCs/>
        </w:rPr>
        <w:t>επιτ</w:t>
      </w:r>
      <w:r w:rsidR="00EF3D86">
        <w:rPr>
          <w:bCs/>
        </w:rPr>
        <w:t>ευχθεί</w:t>
      </w:r>
      <w:r w:rsidR="00EF3D86" w:rsidRPr="00F64CC0">
        <w:rPr>
          <w:bCs/>
        </w:rPr>
        <w:t xml:space="preserve"> </w:t>
      </w:r>
      <w:r w:rsidRPr="00F64CC0">
        <w:rPr>
          <w:bCs/>
        </w:rPr>
        <w:t>το μέγιστο όφελος.</w:t>
      </w:r>
    </w:p>
    <w:p w:rsidR="00363B7B" w:rsidRPr="00F64CC0" w:rsidRDefault="00363B7B" w:rsidP="00363B7B">
      <w:pPr>
        <w:rPr>
          <w:bCs/>
        </w:rPr>
      </w:pPr>
      <w:r w:rsidRPr="00F64CC0">
        <w:rPr>
          <w:bCs/>
        </w:rPr>
        <w:t xml:space="preserve">Δόση συντήρησης: καθορίζεται από τον θεράποντα ιατρό: Μόλις επιτευχθεί το μέγιστο όφελος, συνιστάται η μείωση της δόσης και η συχνότητα χορήγησης </w:t>
      </w:r>
      <w:r w:rsidR="00EF3D86">
        <w:rPr>
          <w:bCs/>
        </w:rPr>
        <w:t xml:space="preserve">προσαρμόζεται </w:t>
      </w:r>
      <w:r w:rsidRPr="00F64CC0">
        <w:rPr>
          <w:bCs/>
        </w:rPr>
        <w:t>μέχρι να εντοπιστεί η χαμηλότερη αποτελεσματική δόση συντήρησης.</w:t>
      </w:r>
    </w:p>
    <w:p w:rsidR="00363B7B" w:rsidRPr="00F64CC0" w:rsidRDefault="00363B7B" w:rsidP="00363B7B">
      <w:pPr>
        <w:rPr>
          <w:bCs/>
        </w:rPr>
      </w:pPr>
    </w:p>
    <w:p w:rsidR="00363B7B" w:rsidRPr="00F64CC0" w:rsidRDefault="00363B7B" w:rsidP="00363B7B">
      <w:pPr>
        <w:rPr>
          <w:bCs/>
        </w:rPr>
      </w:pPr>
      <w:r w:rsidRPr="00F64CC0">
        <w:rPr>
          <w:bCs/>
        </w:rPr>
        <w:t>Έχει αποδειχθεί ότι η αρχική δόση είναι καλά ανεκτή έως 7 διαδοχικούς κύκλους θεραπείας που διεξάγονται σε διάστημα 6 μηνών.</w:t>
      </w:r>
    </w:p>
    <w:p w:rsidR="00363B7B" w:rsidRPr="00F64CC0" w:rsidRDefault="00363B7B" w:rsidP="00A03AAE">
      <w:pPr>
        <w:rPr>
          <w:bCs/>
          <w:u w:val="single"/>
        </w:rPr>
      </w:pPr>
    </w:p>
    <w:p w:rsidR="00002814" w:rsidRPr="004A5A60" w:rsidRDefault="00002814" w:rsidP="00A03AAE">
      <w:pPr>
        <w:rPr>
          <w:bCs/>
          <w:i/>
        </w:rPr>
      </w:pPr>
      <w:r w:rsidRPr="004A5A60">
        <w:rPr>
          <w:bCs/>
          <w:i/>
        </w:rPr>
        <w:t>Νόσος Kawasaki:</w:t>
      </w:r>
    </w:p>
    <w:p w:rsidR="00002814" w:rsidRPr="00F64CC0" w:rsidRDefault="00002814" w:rsidP="00A03AAE">
      <w:pPr>
        <w:rPr>
          <w:bCs/>
        </w:rPr>
      </w:pPr>
    </w:p>
    <w:p w:rsidR="00002814" w:rsidRPr="00F64CC0" w:rsidRDefault="00002814" w:rsidP="00A03AAE">
      <w:pPr>
        <w:rPr>
          <w:bCs/>
        </w:rPr>
      </w:pPr>
      <w:r w:rsidRPr="00F64CC0">
        <w:rPr>
          <w:bCs/>
        </w:rPr>
        <w:t xml:space="preserve">1,6-2,0 </w:t>
      </w:r>
      <w:r w:rsidRPr="00F64CC0">
        <w:rPr>
          <w:bCs/>
          <w:lang w:val="en-US"/>
        </w:rPr>
        <w:t>g</w:t>
      </w:r>
      <w:r w:rsidRPr="00F64CC0">
        <w:rPr>
          <w:bCs/>
        </w:rPr>
        <w:t>/</w:t>
      </w:r>
      <w:r w:rsidRPr="00F64CC0">
        <w:rPr>
          <w:bCs/>
          <w:lang w:val="en-US"/>
        </w:rPr>
        <w:t>kg</w:t>
      </w:r>
      <w:r w:rsidRPr="00F64CC0">
        <w:rPr>
          <w:bCs/>
        </w:rPr>
        <w:t xml:space="preserve"> πρέπει να χορηγηθούν </w:t>
      </w:r>
      <w:r w:rsidR="00EF3D86" w:rsidRPr="00CC18D1">
        <w:rPr>
          <w:bCs/>
        </w:rPr>
        <w:t>σε διαιρεμένες δόσεις</w:t>
      </w:r>
      <w:r w:rsidR="00EF3D86">
        <w:rPr>
          <w:bCs/>
        </w:rPr>
        <w:t>,</w:t>
      </w:r>
      <w:r w:rsidR="00EF3D86" w:rsidRPr="00CC18D1">
        <w:rPr>
          <w:bCs/>
        </w:rPr>
        <w:t xml:space="preserve"> </w:t>
      </w:r>
      <w:r w:rsidRPr="00F64CC0">
        <w:rPr>
          <w:bCs/>
        </w:rPr>
        <w:t xml:space="preserve">μέσα σε δύο έως πέντε ημέρες ή 2,0 </w:t>
      </w:r>
      <w:r w:rsidRPr="00F64CC0">
        <w:rPr>
          <w:bCs/>
          <w:lang w:val="en-US"/>
        </w:rPr>
        <w:t>g</w:t>
      </w:r>
      <w:r w:rsidR="00294017" w:rsidRPr="00F64CC0">
        <w:rPr>
          <w:bCs/>
        </w:rPr>
        <w:t>/</w:t>
      </w:r>
      <w:r w:rsidRPr="00F64CC0">
        <w:rPr>
          <w:bCs/>
          <w:lang w:val="en-US"/>
        </w:rPr>
        <w:t>kg</w:t>
      </w:r>
      <w:r w:rsidRPr="00F64CC0">
        <w:rPr>
          <w:bCs/>
        </w:rPr>
        <w:t xml:space="preserve"> σε μία εφάπαξ δόση. Οι ασθενείς πρέπει να λαμβάνουν τα</w:t>
      </w:r>
      <w:r w:rsidR="00B11B43" w:rsidRPr="00F64CC0">
        <w:rPr>
          <w:bCs/>
        </w:rPr>
        <w:t>υτόχρονα ακετυλοσαλικυλικό οξύ.</w:t>
      </w:r>
    </w:p>
    <w:p w:rsidR="00B11B43" w:rsidRPr="00F64CC0" w:rsidRDefault="00B11B43" w:rsidP="00A03AAE">
      <w:pPr>
        <w:rPr>
          <w:bCs/>
        </w:rPr>
      </w:pPr>
    </w:p>
    <w:p w:rsidR="009C6393" w:rsidRPr="00F64CC0" w:rsidRDefault="009C6393" w:rsidP="00A03AAE">
      <w:pPr>
        <w:rPr>
          <w:bCs/>
        </w:rPr>
      </w:pPr>
      <w:r w:rsidRPr="00F64CC0">
        <w:rPr>
          <w:bCs/>
        </w:rPr>
        <w:t>Τα συνιστώμενα δοσολογικά</w:t>
      </w:r>
      <w:r w:rsidR="00B11B43" w:rsidRPr="00F64CC0">
        <w:rPr>
          <w:bCs/>
        </w:rPr>
        <w:t xml:space="preserve"> σχήματα αναφέρονται</w:t>
      </w:r>
      <w:r w:rsidRPr="00F64CC0">
        <w:rPr>
          <w:bCs/>
        </w:rPr>
        <w:t xml:space="preserve"> </w:t>
      </w:r>
      <w:r w:rsidR="00E52301" w:rsidRPr="00F64CC0">
        <w:rPr>
          <w:bCs/>
        </w:rPr>
        <w:t xml:space="preserve">περιληπτικά </w:t>
      </w:r>
      <w:r w:rsidRPr="00F64CC0">
        <w:rPr>
          <w:bCs/>
        </w:rPr>
        <w:t>στον παρακάτω πίνακα:</w:t>
      </w:r>
    </w:p>
    <w:p w:rsidR="000D3774" w:rsidRPr="00900919" w:rsidRDefault="000D3774" w:rsidP="00A03AAE">
      <w:pPr>
        <w:rPr>
          <w:bCs/>
          <w:lang w:val="en-U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2"/>
        <w:gridCol w:w="2157"/>
        <w:gridCol w:w="4820"/>
      </w:tblGrid>
      <w:tr w:rsidR="00247075" w:rsidRPr="00F64CC0" w:rsidTr="00F64CC0">
        <w:tc>
          <w:tcPr>
            <w:tcW w:w="3372" w:type="dxa"/>
          </w:tcPr>
          <w:p w:rsidR="00247075" w:rsidRPr="00F64CC0" w:rsidRDefault="00247075" w:rsidP="00CC3726">
            <w:pPr>
              <w:jc w:val="center"/>
              <w:rPr>
                <w:b/>
                <w:bCs/>
              </w:rPr>
            </w:pPr>
            <w:r w:rsidRPr="00F64CC0">
              <w:rPr>
                <w:b/>
                <w:bCs/>
              </w:rPr>
              <w:t>Ένδειξη</w:t>
            </w:r>
          </w:p>
        </w:tc>
        <w:tc>
          <w:tcPr>
            <w:tcW w:w="2157" w:type="dxa"/>
          </w:tcPr>
          <w:p w:rsidR="00247075" w:rsidRPr="00F64CC0" w:rsidRDefault="00247075" w:rsidP="00CC3726">
            <w:pPr>
              <w:jc w:val="center"/>
              <w:rPr>
                <w:b/>
                <w:bCs/>
              </w:rPr>
            </w:pPr>
            <w:r w:rsidRPr="00F64CC0">
              <w:rPr>
                <w:b/>
                <w:bCs/>
              </w:rPr>
              <w:t>Δοσολογία</w:t>
            </w:r>
          </w:p>
        </w:tc>
        <w:tc>
          <w:tcPr>
            <w:tcW w:w="4820" w:type="dxa"/>
          </w:tcPr>
          <w:p w:rsidR="00247075" w:rsidRPr="00F64CC0" w:rsidRDefault="00247075" w:rsidP="00CC3726">
            <w:pPr>
              <w:jc w:val="center"/>
              <w:rPr>
                <w:b/>
                <w:bCs/>
              </w:rPr>
            </w:pPr>
            <w:r w:rsidRPr="00F64CC0">
              <w:rPr>
                <w:b/>
                <w:bCs/>
              </w:rPr>
              <w:t>Συχνότητα των εγχύσεων</w:t>
            </w:r>
          </w:p>
        </w:tc>
      </w:tr>
      <w:tr w:rsidR="00247075" w:rsidRPr="00F64CC0" w:rsidTr="00F64CC0">
        <w:trPr>
          <w:trHeight w:val="1796"/>
        </w:trPr>
        <w:tc>
          <w:tcPr>
            <w:tcW w:w="3372" w:type="dxa"/>
          </w:tcPr>
          <w:p w:rsidR="00247075" w:rsidRPr="00F64CC0" w:rsidRDefault="00762903" w:rsidP="003859D9">
            <w:pPr>
              <w:rPr>
                <w:bCs/>
              </w:rPr>
            </w:pPr>
            <w:r w:rsidRPr="00F64CC0">
              <w:rPr>
                <w:bCs/>
              </w:rPr>
              <w:t>Θεραπεία υποκατάστασης σε πρωτοπαθή ανοσοανεπάρκεια</w:t>
            </w:r>
          </w:p>
          <w:p w:rsidR="00762903" w:rsidRPr="00F64CC0" w:rsidRDefault="00762903" w:rsidP="003859D9">
            <w:pPr>
              <w:rPr>
                <w:bCs/>
              </w:rPr>
            </w:pPr>
          </w:p>
          <w:p w:rsidR="000D4D38" w:rsidRPr="00F64CC0" w:rsidRDefault="000D4D38" w:rsidP="003859D9">
            <w:pPr>
              <w:rPr>
                <w:bCs/>
              </w:rPr>
            </w:pPr>
          </w:p>
          <w:p w:rsidR="00674A19" w:rsidRPr="00F64CC0" w:rsidRDefault="00674A19" w:rsidP="003859D9">
            <w:pPr>
              <w:rPr>
                <w:bCs/>
              </w:rPr>
            </w:pPr>
          </w:p>
          <w:p w:rsidR="00762903" w:rsidRPr="00F64CC0" w:rsidRDefault="00762903" w:rsidP="003859D9">
            <w:pPr>
              <w:rPr>
                <w:bCs/>
              </w:rPr>
            </w:pPr>
            <w:r w:rsidRPr="00F64CC0">
              <w:rPr>
                <w:bCs/>
              </w:rPr>
              <w:t>Θεραπεία υποκατάστασης σε δευτεροπαθή ανοσοανεπάρκεια</w:t>
            </w:r>
          </w:p>
          <w:p w:rsidR="00AA3770" w:rsidRPr="00F64CC0" w:rsidRDefault="00AA3770" w:rsidP="003859D9">
            <w:pPr>
              <w:rPr>
                <w:bCs/>
              </w:rPr>
            </w:pPr>
          </w:p>
          <w:p w:rsidR="00C91C59" w:rsidRPr="00F64CC0" w:rsidRDefault="00C91C59" w:rsidP="003859D9">
            <w:pPr>
              <w:rPr>
                <w:bCs/>
              </w:rPr>
            </w:pPr>
          </w:p>
          <w:p w:rsidR="00762903" w:rsidRPr="00F64CC0" w:rsidRDefault="007C7B52" w:rsidP="003859D9">
            <w:pPr>
              <w:rPr>
                <w:bCs/>
              </w:rPr>
            </w:pPr>
            <w:r w:rsidRPr="00F64CC0">
              <w:rPr>
                <w:bCs/>
              </w:rPr>
              <w:t>Συγγενές</w:t>
            </w:r>
            <w:r w:rsidR="00762903" w:rsidRPr="00F64CC0">
              <w:rPr>
                <w:bCs/>
              </w:rPr>
              <w:t xml:space="preserve"> </w:t>
            </w:r>
            <w:r w:rsidR="00762903" w:rsidRPr="00F64CC0">
              <w:rPr>
                <w:bCs/>
                <w:lang w:val="en-US"/>
              </w:rPr>
              <w:t>AIDS</w:t>
            </w:r>
          </w:p>
          <w:p w:rsidR="007C7B52" w:rsidRPr="00F64CC0" w:rsidRDefault="007C7B52" w:rsidP="003859D9">
            <w:pPr>
              <w:rPr>
                <w:bCs/>
              </w:rPr>
            </w:pPr>
          </w:p>
          <w:p w:rsidR="007C7B52" w:rsidRPr="00F64CC0" w:rsidRDefault="007C7B52" w:rsidP="004A5A60">
            <w:pPr>
              <w:rPr>
                <w:bCs/>
              </w:rPr>
            </w:pPr>
            <w:r w:rsidRPr="00F64CC0">
              <w:rPr>
                <w:bCs/>
              </w:rPr>
              <w:t xml:space="preserve">Υπογαμμασφαιριναιμία </w:t>
            </w:r>
            <w:r w:rsidR="009E6B6A" w:rsidRPr="00224BEE">
              <w:rPr>
                <w:bCs/>
              </w:rPr>
              <w:t>(</w:t>
            </w:r>
            <w:r w:rsidR="009E6B6A" w:rsidRPr="00224BEE">
              <w:rPr>
                <w:lang w:bidi="ar-JO"/>
              </w:rPr>
              <w:t xml:space="preserve">&lt; 4 </w:t>
            </w:r>
            <w:r w:rsidR="009E6B6A" w:rsidRPr="00F64CC0">
              <w:rPr>
                <w:lang w:val="en-US" w:bidi="ar-JO"/>
              </w:rPr>
              <w:t>g</w:t>
            </w:r>
            <w:r w:rsidR="009E6B6A" w:rsidRPr="00F64CC0">
              <w:rPr>
                <w:lang w:bidi="ar-JO"/>
              </w:rPr>
              <w:t>/</w:t>
            </w:r>
            <w:r w:rsidR="009E6B6A" w:rsidRPr="00F64CC0">
              <w:rPr>
                <w:lang w:val="en-US" w:bidi="ar-JO"/>
              </w:rPr>
              <w:t>l</w:t>
            </w:r>
            <w:r w:rsidR="009E6B6A" w:rsidRPr="00F64CC0">
              <w:rPr>
                <w:bCs/>
              </w:rPr>
              <w:t xml:space="preserve">) </w:t>
            </w:r>
            <w:r w:rsidRPr="00F64CC0">
              <w:rPr>
                <w:bCs/>
              </w:rPr>
              <w:t xml:space="preserve">σε ασθενείς  μετά από αλλογενή μεταμόσχευση </w:t>
            </w:r>
            <w:r w:rsidR="004A5A60">
              <w:rPr>
                <w:bCs/>
              </w:rPr>
              <w:t>αρχέγονων αιμοποιητικών κυττάρων</w:t>
            </w:r>
          </w:p>
        </w:tc>
        <w:tc>
          <w:tcPr>
            <w:tcW w:w="2157" w:type="dxa"/>
          </w:tcPr>
          <w:p w:rsidR="00EF3D86" w:rsidRPr="00F64CC0" w:rsidRDefault="009F1351" w:rsidP="00F64CC0">
            <w:pPr>
              <w:jc w:val="center"/>
              <w:rPr>
                <w:bCs/>
              </w:rPr>
            </w:pPr>
            <w:r w:rsidRPr="00F64CC0">
              <w:rPr>
                <w:bCs/>
              </w:rPr>
              <w:t>Δόση έναρξης:</w:t>
            </w:r>
          </w:p>
          <w:p w:rsidR="00247075" w:rsidRPr="00F64CC0" w:rsidRDefault="009F1351" w:rsidP="00F64CC0">
            <w:pPr>
              <w:jc w:val="center"/>
              <w:rPr>
                <w:bCs/>
              </w:rPr>
            </w:pPr>
            <w:r w:rsidRPr="00F64CC0">
              <w:rPr>
                <w:bCs/>
              </w:rPr>
              <w:t xml:space="preserve">0,4 - 0,8 </w:t>
            </w:r>
            <w:r w:rsidRPr="00F64CC0">
              <w:rPr>
                <w:bCs/>
                <w:lang w:val="en-US"/>
              </w:rPr>
              <w:t>g</w:t>
            </w:r>
            <w:r w:rsidRPr="00F64CC0">
              <w:rPr>
                <w:bCs/>
              </w:rPr>
              <w:t>/</w:t>
            </w:r>
            <w:r w:rsidRPr="00F64CC0">
              <w:rPr>
                <w:bCs/>
                <w:lang w:val="en-US"/>
              </w:rPr>
              <w:t>kg</w:t>
            </w:r>
          </w:p>
          <w:p w:rsidR="00EF3D86" w:rsidRPr="00F64CC0" w:rsidRDefault="009F1351" w:rsidP="00F64CC0">
            <w:pPr>
              <w:jc w:val="center"/>
              <w:rPr>
                <w:bCs/>
              </w:rPr>
            </w:pPr>
            <w:r w:rsidRPr="00F64CC0">
              <w:rPr>
                <w:bCs/>
              </w:rPr>
              <w:t>Στην συνέχεια</w:t>
            </w:r>
            <w:r w:rsidR="00EF3D86" w:rsidRPr="00F64CC0">
              <w:rPr>
                <w:bCs/>
              </w:rPr>
              <w:t>:</w:t>
            </w:r>
          </w:p>
          <w:p w:rsidR="009F1351" w:rsidRPr="00F64CC0" w:rsidRDefault="009F1351" w:rsidP="00F64CC0">
            <w:pPr>
              <w:jc w:val="center"/>
              <w:rPr>
                <w:bCs/>
                <w:lang w:val="en-US"/>
              </w:rPr>
            </w:pPr>
            <w:r w:rsidRPr="00F64CC0">
              <w:rPr>
                <w:bCs/>
                <w:lang w:val="en-US"/>
              </w:rPr>
              <w:t>0,2 – 0,8</w:t>
            </w:r>
            <w:r w:rsidR="000553D1" w:rsidRPr="00F64CC0">
              <w:rPr>
                <w:bCs/>
                <w:lang w:val="en-US"/>
              </w:rPr>
              <w:t xml:space="preserve"> </w:t>
            </w:r>
            <w:r w:rsidRPr="00F64CC0">
              <w:rPr>
                <w:bCs/>
                <w:lang w:val="en-US"/>
              </w:rPr>
              <w:t>g/kg</w:t>
            </w:r>
          </w:p>
          <w:p w:rsidR="009F1351" w:rsidRPr="00F64CC0" w:rsidRDefault="009F1351" w:rsidP="00F64CC0">
            <w:pPr>
              <w:jc w:val="center"/>
              <w:rPr>
                <w:bCs/>
                <w:lang w:val="en-US"/>
              </w:rPr>
            </w:pPr>
          </w:p>
          <w:p w:rsidR="009F1351" w:rsidRPr="00F64CC0" w:rsidRDefault="009F1351" w:rsidP="00F64CC0">
            <w:pPr>
              <w:jc w:val="center"/>
              <w:rPr>
                <w:bCs/>
                <w:lang w:val="en-US"/>
              </w:rPr>
            </w:pPr>
            <w:r w:rsidRPr="00F64CC0">
              <w:rPr>
                <w:bCs/>
                <w:lang w:val="en-US"/>
              </w:rPr>
              <w:t>0,2 – 0,4 g/kg</w:t>
            </w:r>
          </w:p>
          <w:p w:rsidR="009F1351" w:rsidRPr="00F64CC0" w:rsidRDefault="009F1351" w:rsidP="00F64CC0">
            <w:pPr>
              <w:jc w:val="center"/>
              <w:rPr>
                <w:bCs/>
                <w:lang w:val="en-US"/>
              </w:rPr>
            </w:pPr>
          </w:p>
          <w:p w:rsidR="00C91C59" w:rsidRPr="00F64CC0" w:rsidRDefault="00C91C59" w:rsidP="00F64CC0">
            <w:pPr>
              <w:jc w:val="center"/>
              <w:rPr>
                <w:bCs/>
                <w:lang w:val="en-US"/>
              </w:rPr>
            </w:pPr>
          </w:p>
          <w:p w:rsidR="004A5A60" w:rsidRDefault="004A5A60" w:rsidP="00F64CC0">
            <w:pPr>
              <w:jc w:val="center"/>
              <w:rPr>
                <w:bCs/>
              </w:rPr>
            </w:pPr>
          </w:p>
          <w:p w:rsidR="009F1351" w:rsidRPr="00F64CC0" w:rsidRDefault="009F1351" w:rsidP="00F64CC0">
            <w:pPr>
              <w:jc w:val="center"/>
              <w:rPr>
                <w:bCs/>
                <w:lang w:val="en-US"/>
              </w:rPr>
            </w:pPr>
            <w:r w:rsidRPr="00F64CC0">
              <w:rPr>
                <w:bCs/>
                <w:lang w:val="en-US"/>
              </w:rPr>
              <w:t>0,2 – 0,4 g/kg</w:t>
            </w:r>
          </w:p>
          <w:p w:rsidR="007C7B52" w:rsidRPr="00F64CC0" w:rsidRDefault="007C7B52" w:rsidP="00F64CC0">
            <w:pPr>
              <w:jc w:val="center"/>
              <w:rPr>
                <w:bCs/>
                <w:lang w:val="en-US"/>
              </w:rPr>
            </w:pPr>
          </w:p>
          <w:p w:rsidR="007C7B52" w:rsidRPr="00F64CC0" w:rsidRDefault="007C7B52" w:rsidP="00F64CC0">
            <w:pPr>
              <w:jc w:val="center"/>
              <w:rPr>
                <w:bCs/>
                <w:lang w:val="en-GB"/>
              </w:rPr>
            </w:pPr>
            <w:r w:rsidRPr="00F64CC0">
              <w:rPr>
                <w:bCs/>
                <w:lang w:val="en-GB"/>
              </w:rPr>
              <w:t>0.2 – 0.4 g/kg</w:t>
            </w:r>
          </w:p>
          <w:p w:rsidR="007C7B52" w:rsidRPr="00F64CC0" w:rsidRDefault="007C7B52" w:rsidP="00F64CC0">
            <w:pPr>
              <w:jc w:val="center"/>
              <w:rPr>
                <w:bCs/>
                <w:lang w:val="en-US"/>
              </w:rPr>
            </w:pPr>
          </w:p>
        </w:tc>
        <w:tc>
          <w:tcPr>
            <w:tcW w:w="4820" w:type="dxa"/>
          </w:tcPr>
          <w:p w:rsidR="004A5A60" w:rsidRDefault="004A5A60" w:rsidP="003859D9">
            <w:pPr>
              <w:rPr>
                <w:bCs/>
              </w:rPr>
            </w:pPr>
          </w:p>
          <w:p w:rsidR="0038442E" w:rsidRPr="00F64CC0" w:rsidRDefault="00D447DA" w:rsidP="003859D9">
            <w:pPr>
              <w:rPr>
                <w:bCs/>
              </w:rPr>
            </w:pPr>
            <w:r w:rsidRPr="00F64CC0">
              <w:rPr>
                <w:bCs/>
              </w:rPr>
              <w:t xml:space="preserve">Κάθε </w:t>
            </w:r>
            <w:r w:rsidR="007C7B52" w:rsidRPr="00F64CC0">
              <w:rPr>
                <w:bCs/>
              </w:rPr>
              <w:t>3</w:t>
            </w:r>
            <w:r w:rsidR="00D43500" w:rsidRPr="00F64CC0">
              <w:rPr>
                <w:bCs/>
              </w:rPr>
              <w:t>-4 εβδομάδες ώστε να επιτευχθεί ελάχιστη συγκέντρωση (</w:t>
            </w:r>
            <w:r w:rsidR="00D43500" w:rsidRPr="00F64CC0">
              <w:rPr>
                <w:bCs/>
                <w:lang w:val="en-US"/>
              </w:rPr>
              <w:t>trough</w:t>
            </w:r>
            <w:r w:rsidR="00D43500" w:rsidRPr="00F64CC0">
              <w:rPr>
                <w:bCs/>
              </w:rPr>
              <w:t xml:space="preserve"> </w:t>
            </w:r>
            <w:r w:rsidR="00D43500" w:rsidRPr="00F64CC0">
              <w:rPr>
                <w:bCs/>
                <w:lang w:val="en-US"/>
              </w:rPr>
              <w:t>level</w:t>
            </w:r>
            <w:r w:rsidR="00D43500" w:rsidRPr="00F64CC0">
              <w:rPr>
                <w:bCs/>
              </w:rPr>
              <w:t xml:space="preserve">) </w:t>
            </w:r>
            <w:proofErr w:type="spellStart"/>
            <w:r w:rsidRPr="00F64CC0">
              <w:rPr>
                <w:bCs/>
                <w:lang w:val="en-US"/>
              </w:rPr>
              <w:t>IgG</w:t>
            </w:r>
            <w:proofErr w:type="spellEnd"/>
            <w:r w:rsidRPr="00F64CC0">
              <w:rPr>
                <w:bCs/>
              </w:rPr>
              <w:t xml:space="preserve"> τουλάχιστον </w:t>
            </w:r>
            <w:r w:rsidR="007C7B52" w:rsidRPr="00F64CC0">
              <w:rPr>
                <w:bCs/>
              </w:rPr>
              <w:t>5</w:t>
            </w:r>
            <w:r w:rsidRPr="00F64CC0">
              <w:rPr>
                <w:bCs/>
              </w:rPr>
              <w:t xml:space="preserve"> – 6 </w:t>
            </w:r>
            <w:r w:rsidRPr="00F64CC0">
              <w:rPr>
                <w:bCs/>
                <w:lang w:val="en-US"/>
              </w:rPr>
              <w:t>g</w:t>
            </w:r>
            <w:r w:rsidRPr="00F64CC0">
              <w:rPr>
                <w:bCs/>
              </w:rPr>
              <w:t>/</w:t>
            </w:r>
            <w:r w:rsidR="00E52301" w:rsidRPr="00F64CC0">
              <w:rPr>
                <w:bCs/>
                <w:lang w:val="en-US"/>
              </w:rPr>
              <w:t>l</w:t>
            </w:r>
          </w:p>
          <w:p w:rsidR="004A5A60" w:rsidRDefault="004A5A60" w:rsidP="003859D9">
            <w:pPr>
              <w:rPr>
                <w:bCs/>
              </w:rPr>
            </w:pPr>
          </w:p>
          <w:p w:rsidR="0038442E" w:rsidRPr="00F64CC0" w:rsidRDefault="00AA3770" w:rsidP="003859D9">
            <w:pPr>
              <w:rPr>
                <w:bCs/>
              </w:rPr>
            </w:pPr>
            <w:r w:rsidRPr="00F64CC0">
              <w:rPr>
                <w:bCs/>
              </w:rPr>
              <w:t xml:space="preserve">Κάθε 3 – 4 εβδομάδες </w:t>
            </w:r>
            <w:r w:rsidR="00D43500" w:rsidRPr="00F64CC0">
              <w:rPr>
                <w:bCs/>
              </w:rPr>
              <w:t>ώστε να επιτευχθεί ελάχιστη συγκέντρωση (</w:t>
            </w:r>
            <w:r w:rsidR="00D43500" w:rsidRPr="00F64CC0">
              <w:rPr>
                <w:bCs/>
                <w:lang w:val="it-IT"/>
              </w:rPr>
              <w:t>trough</w:t>
            </w:r>
            <w:r w:rsidR="00D43500" w:rsidRPr="00F64CC0">
              <w:rPr>
                <w:bCs/>
              </w:rPr>
              <w:t xml:space="preserve"> </w:t>
            </w:r>
            <w:r w:rsidR="00D43500" w:rsidRPr="00F64CC0">
              <w:rPr>
                <w:bCs/>
                <w:lang w:val="it-IT"/>
              </w:rPr>
              <w:t>level</w:t>
            </w:r>
            <w:r w:rsidR="00D43500" w:rsidRPr="00F64CC0">
              <w:rPr>
                <w:bCs/>
              </w:rPr>
              <w:t>)</w:t>
            </w:r>
            <w:r w:rsidRPr="00F64CC0">
              <w:rPr>
                <w:bCs/>
              </w:rPr>
              <w:t xml:space="preserve"> </w:t>
            </w:r>
            <w:r w:rsidRPr="00F64CC0">
              <w:rPr>
                <w:bCs/>
                <w:lang w:val="it-IT"/>
              </w:rPr>
              <w:t>IgG</w:t>
            </w:r>
            <w:r w:rsidRPr="00F64CC0">
              <w:rPr>
                <w:bCs/>
              </w:rPr>
              <w:t xml:space="preserve"> τουλάχιστον </w:t>
            </w:r>
            <w:r w:rsidR="007C7B52" w:rsidRPr="00F64CC0">
              <w:rPr>
                <w:bCs/>
              </w:rPr>
              <w:t>5</w:t>
            </w:r>
            <w:r w:rsidRPr="00F64CC0">
              <w:rPr>
                <w:bCs/>
              </w:rPr>
              <w:t xml:space="preserve"> – 6</w:t>
            </w:r>
            <w:r w:rsidRPr="00F64CC0">
              <w:rPr>
                <w:bCs/>
                <w:lang w:val="it-IT"/>
              </w:rPr>
              <w:t>g</w:t>
            </w:r>
            <w:r w:rsidRPr="00F64CC0">
              <w:rPr>
                <w:bCs/>
              </w:rPr>
              <w:t>/</w:t>
            </w:r>
            <w:r w:rsidR="00294017" w:rsidRPr="00F64CC0">
              <w:rPr>
                <w:bCs/>
                <w:lang w:val="it-IT"/>
              </w:rPr>
              <w:t>l</w:t>
            </w:r>
            <w:r w:rsidR="00294017" w:rsidRPr="00F64CC0">
              <w:rPr>
                <w:bCs/>
              </w:rPr>
              <w:t xml:space="preserve"> </w:t>
            </w:r>
          </w:p>
          <w:p w:rsidR="0038442E" w:rsidRPr="00F64CC0" w:rsidRDefault="0038442E" w:rsidP="003859D9">
            <w:pPr>
              <w:rPr>
                <w:bCs/>
              </w:rPr>
            </w:pPr>
          </w:p>
          <w:p w:rsidR="0038442E" w:rsidRPr="00F64CC0" w:rsidRDefault="00D508E6" w:rsidP="003859D9">
            <w:pPr>
              <w:rPr>
                <w:bCs/>
              </w:rPr>
            </w:pPr>
            <w:r w:rsidRPr="00F64CC0">
              <w:rPr>
                <w:bCs/>
              </w:rPr>
              <w:t>Κάθε 3 – 4 εβδομάδες</w:t>
            </w:r>
          </w:p>
          <w:p w:rsidR="007C7B52" w:rsidRPr="00F64CC0" w:rsidRDefault="007C7B52" w:rsidP="003859D9">
            <w:pPr>
              <w:rPr>
                <w:bCs/>
              </w:rPr>
            </w:pPr>
          </w:p>
          <w:p w:rsidR="007C7B52" w:rsidRPr="00F64CC0" w:rsidRDefault="007C7B52" w:rsidP="004A5A60">
            <w:pPr>
              <w:rPr>
                <w:bCs/>
              </w:rPr>
            </w:pPr>
            <w:r w:rsidRPr="00F64CC0">
              <w:rPr>
                <w:bCs/>
              </w:rPr>
              <w:t xml:space="preserve">Κάθε 3-4 εβδομάδες ώστε να επιτευχθεί ελάχιστη συγκέντρωση (trough level) IgG </w:t>
            </w:r>
            <w:r w:rsidR="004A5A60">
              <w:rPr>
                <w:bCs/>
              </w:rPr>
              <w:t>άνω των</w:t>
            </w:r>
            <w:r w:rsidRPr="00F64CC0">
              <w:rPr>
                <w:bCs/>
              </w:rPr>
              <w:t xml:space="preserve"> 5 g/l</w:t>
            </w:r>
          </w:p>
        </w:tc>
      </w:tr>
      <w:tr w:rsidR="00247075" w:rsidRPr="00F64CC0" w:rsidTr="00F64CC0">
        <w:tc>
          <w:tcPr>
            <w:tcW w:w="3372" w:type="dxa"/>
          </w:tcPr>
          <w:p w:rsidR="00247075" w:rsidRPr="00F64CC0" w:rsidRDefault="00D0718C" w:rsidP="003859D9">
            <w:pPr>
              <w:rPr>
                <w:bCs/>
              </w:rPr>
            </w:pPr>
            <w:r w:rsidRPr="00F64CC0">
              <w:rPr>
                <w:bCs/>
              </w:rPr>
              <w:t>Ανοσοτρο</w:t>
            </w:r>
            <w:r w:rsidR="00E52301" w:rsidRPr="00F64CC0">
              <w:rPr>
                <w:bCs/>
              </w:rPr>
              <w:t>πο</w:t>
            </w:r>
            <w:r w:rsidRPr="00F64CC0">
              <w:rPr>
                <w:bCs/>
              </w:rPr>
              <w:t>ποιητική Δράση</w:t>
            </w:r>
            <w:r w:rsidR="00190522" w:rsidRPr="00F64CC0">
              <w:rPr>
                <w:bCs/>
              </w:rPr>
              <w:t>:</w:t>
            </w:r>
          </w:p>
          <w:p w:rsidR="00D0718C" w:rsidRPr="00F64CC0" w:rsidRDefault="00D0718C" w:rsidP="003859D9">
            <w:pPr>
              <w:rPr>
                <w:bCs/>
              </w:rPr>
            </w:pPr>
          </w:p>
          <w:p w:rsidR="00D0718C" w:rsidRPr="00F64CC0" w:rsidRDefault="007C7B52" w:rsidP="003859D9">
            <w:pPr>
              <w:rPr>
                <w:bCs/>
              </w:rPr>
            </w:pPr>
            <w:r w:rsidRPr="00F64CC0">
              <w:rPr>
                <w:bCs/>
              </w:rPr>
              <w:t xml:space="preserve">Πρωτοπαθής </w:t>
            </w:r>
            <w:r w:rsidR="003C6C17">
              <w:rPr>
                <w:bCs/>
              </w:rPr>
              <w:t>άνοση</w:t>
            </w:r>
            <w:r w:rsidRPr="00F64CC0">
              <w:rPr>
                <w:bCs/>
              </w:rPr>
              <w:t xml:space="preserve"> θρομβοπενία </w:t>
            </w:r>
          </w:p>
          <w:p w:rsidR="00EF3D86" w:rsidRPr="00F64CC0" w:rsidRDefault="00EF3D86" w:rsidP="00AF7100">
            <w:pPr>
              <w:rPr>
                <w:bCs/>
              </w:rPr>
            </w:pPr>
          </w:p>
          <w:p w:rsidR="004A5A60" w:rsidRDefault="004A5A60" w:rsidP="00AF7100">
            <w:pPr>
              <w:rPr>
                <w:bCs/>
              </w:rPr>
            </w:pPr>
          </w:p>
          <w:p w:rsidR="004A5A60" w:rsidRDefault="004A5A60" w:rsidP="00AF7100">
            <w:pPr>
              <w:rPr>
                <w:bCs/>
              </w:rPr>
            </w:pPr>
          </w:p>
          <w:p w:rsidR="00AF7100" w:rsidRPr="00F64CC0" w:rsidRDefault="00AF7100" w:rsidP="00AF7100">
            <w:pPr>
              <w:rPr>
                <w:bCs/>
              </w:rPr>
            </w:pPr>
            <w:r w:rsidRPr="00F64CC0">
              <w:rPr>
                <w:bCs/>
              </w:rPr>
              <w:t xml:space="preserve">Σύνδρομο </w:t>
            </w:r>
            <w:proofErr w:type="spellStart"/>
            <w:r w:rsidRPr="00F64CC0">
              <w:rPr>
                <w:bCs/>
                <w:lang w:val="en-US"/>
              </w:rPr>
              <w:t>Guillain</w:t>
            </w:r>
            <w:proofErr w:type="spellEnd"/>
            <w:r w:rsidRPr="00F64CC0">
              <w:rPr>
                <w:bCs/>
              </w:rPr>
              <w:t xml:space="preserve"> </w:t>
            </w:r>
            <w:proofErr w:type="spellStart"/>
            <w:r w:rsidRPr="00F64CC0">
              <w:rPr>
                <w:bCs/>
                <w:lang w:val="en-US"/>
              </w:rPr>
              <w:t>Barre</w:t>
            </w:r>
            <w:proofErr w:type="spellEnd"/>
          </w:p>
          <w:p w:rsidR="00363B7B" w:rsidRPr="00F64CC0" w:rsidRDefault="00363B7B" w:rsidP="003859D9">
            <w:pPr>
              <w:rPr>
                <w:bCs/>
              </w:rPr>
            </w:pPr>
          </w:p>
          <w:p w:rsidR="004A5A60" w:rsidRDefault="004A5A60" w:rsidP="00363B7B">
            <w:pPr>
              <w:rPr>
                <w:bCs/>
              </w:rPr>
            </w:pPr>
          </w:p>
          <w:p w:rsidR="004A5A60" w:rsidRDefault="004A5A60" w:rsidP="00363B7B">
            <w:pPr>
              <w:rPr>
                <w:bCs/>
              </w:rPr>
            </w:pPr>
          </w:p>
          <w:p w:rsidR="005D7DC9" w:rsidRDefault="00363B7B" w:rsidP="00363B7B">
            <w:pPr>
              <w:rPr>
                <w:bCs/>
                <w:lang w:val="en-US"/>
              </w:rPr>
            </w:pPr>
            <w:r w:rsidRPr="00224BEE">
              <w:rPr>
                <w:bCs/>
              </w:rPr>
              <w:t>Χρόνια</w:t>
            </w:r>
            <w:r w:rsidRPr="00F64CC0">
              <w:rPr>
                <w:bCs/>
              </w:rPr>
              <w:t xml:space="preserve"> </w:t>
            </w:r>
            <w:r w:rsidR="00EF3D86">
              <w:rPr>
                <w:bCs/>
              </w:rPr>
              <w:t>Φ</w:t>
            </w:r>
            <w:r w:rsidR="00EF3D86" w:rsidRPr="00224BEE">
              <w:rPr>
                <w:bCs/>
              </w:rPr>
              <w:t>λεγμονώδης</w:t>
            </w:r>
            <w:r w:rsidR="00EF3D86" w:rsidRPr="00F64CC0">
              <w:rPr>
                <w:bCs/>
              </w:rPr>
              <w:t xml:space="preserve"> </w:t>
            </w:r>
            <w:r w:rsidR="00EF3D86">
              <w:rPr>
                <w:bCs/>
              </w:rPr>
              <w:t>Α</w:t>
            </w:r>
            <w:r w:rsidR="00EF3D86" w:rsidRPr="00224BEE">
              <w:rPr>
                <w:bCs/>
              </w:rPr>
              <w:t>πομυελινωτική</w:t>
            </w:r>
            <w:r w:rsidR="00EF3D86" w:rsidRPr="00F64CC0">
              <w:rPr>
                <w:bCs/>
              </w:rPr>
              <w:t xml:space="preserve"> </w:t>
            </w:r>
            <w:r w:rsidR="00EF3D86">
              <w:rPr>
                <w:bCs/>
              </w:rPr>
              <w:t>Π</w:t>
            </w:r>
            <w:r w:rsidR="00EF3D86" w:rsidRPr="00224BEE">
              <w:rPr>
                <w:bCs/>
              </w:rPr>
              <w:t>ολυρ</w:t>
            </w:r>
            <w:r w:rsidR="00EF3D86" w:rsidRPr="00F64CC0">
              <w:rPr>
                <w:bCs/>
              </w:rPr>
              <w:t xml:space="preserve">ιζονευροπάθεια </w:t>
            </w:r>
          </w:p>
          <w:p w:rsidR="00363B7B" w:rsidRPr="00F64CC0" w:rsidRDefault="00363B7B" w:rsidP="00363B7B">
            <w:pPr>
              <w:rPr>
                <w:bCs/>
              </w:rPr>
            </w:pPr>
            <w:r w:rsidRPr="00F64CC0">
              <w:rPr>
                <w:bCs/>
              </w:rPr>
              <w:t>(</w:t>
            </w:r>
            <w:r w:rsidR="00674A19" w:rsidRPr="00F64CC0">
              <w:rPr>
                <w:bCs/>
                <w:lang w:val="en-US"/>
              </w:rPr>
              <w:t>CIDP</w:t>
            </w:r>
            <w:r w:rsidRPr="00F64CC0">
              <w:rPr>
                <w:bCs/>
              </w:rPr>
              <w:t>)</w:t>
            </w:r>
            <w:r w:rsidRPr="005D7DC9">
              <w:rPr>
                <w:snapToGrid w:val="0"/>
                <w:lang w:bidi="ar-JO"/>
              </w:rPr>
              <w:t>*</w:t>
            </w:r>
          </w:p>
          <w:p w:rsidR="00434857" w:rsidRPr="00F64CC0" w:rsidRDefault="00434857" w:rsidP="003859D9">
            <w:pPr>
              <w:rPr>
                <w:bCs/>
              </w:rPr>
            </w:pPr>
          </w:p>
          <w:p w:rsidR="00EF3D86" w:rsidRPr="00F64CC0" w:rsidRDefault="00EF3D86" w:rsidP="00AF7100">
            <w:pPr>
              <w:rPr>
                <w:bCs/>
              </w:rPr>
            </w:pPr>
          </w:p>
          <w:p w:rsidR="00EF3D86" w:rsidRPr="00F64CC0" w:rsidRDefault="00EF3D86" w:rsidP="00AF7100">
            <w:pPr>
              <w:rPr>
                <w:bCs/>
              </w:rPr>
            </w:pPr>
          </w:p>
          <w:p w:rsidR="00EF3D86" w:rsidRPr="00F64CC0" w:rsidRDefault="00EF3D86" w:rsidP="00AF7100">
            <w:pPr>
              <w:rPr>
                <w:bCs/>
              </w:rPr>
            </w:pPr>
          </w:p>
          <w:p w:rsidR="00AF7100" w:rsidRPr="00F64CC0" w:rsidRDefault="00AF7100" w:rsidP="00AF7100">
            <w:pPr>
              <w:rPr>
                <w:bCs/>
              </w:rPr>
            </w:pPr>
            <w:r w:rsidRPr="00F64CC0">
              <w:rPr>
                <w:bCs/>
              </w:rPr>
              <w:t xml:space="preserve">Νόσος </w:t>
            </w:r>
            <w:r w:rsidRPr="00F64CC0">
              <w:rPr>
                <w:bCs/>
                <w:lang w:val="en-US"/>
              </w:rPr>
              <w:t>Kawasaki</w:t>
            </w:r>
          </w:p>
          <w:p w:rsidR="00434857" w:rsidRPr="00F64CC0" w:rsidRDefault="00434857" w:rsidP="00434857"/>
          <w:p w:rsidR="00D0718C" w:rsidRPr="00F64CC0" w:rsidRDefault="00D0718C" w:rsidP="00AF7100"/>
        </w:tc>
        <w:tc>
          <w:tcPr>
            <w:tcW w:w="2157" w:type="dxa"/>
          </w:tcPr>
          <w:p w:rsidR="00247075" w:rsidRPr="00F64CC0" w:rsidRDefault="00247075" w:rsidP="00F64CC0">
            <w:pPr>
              <w:jc w:val="center"/>
              <w:rPr>
                <w:bCs/>
              </w:rPr>
            </w:pPr>
          </w:p>
          <w:p w:rsidR="00D0718C" w:rsidRPr="00F64CC0" w:rsidRDefault="00D0718C" w:rsidP="00F64CC0">
            <w:pPr>
              <w:jc w:val="center"/>
              <w:rPr>
                <w:bCs/>
              </w:rPr>
            </w:pPr>
          </w:p>
          <w:p w:rsidR="00E52301" w:rsidRPr="00F64CC0" w:rsidRDefault="00D0718C" w:rsidP="00F64CC0">
            <w:pPr>
              <w:jc w:val="center"/>
              <w:rPr>
                <w:bCs/>
              </w:rPr>
            </w:pPr>
            <w:r w:rsidRPr="00F64CC0">
              <w:rPr>
                <w:bCs/>
              </w:rPr>
              <w:t>0,8 – 1</w:t>
            </w:r>
            <w:r w:rsidR="0055651B" w:rsidRPr="00F64CC0">
              <w:rPr>
                <w:bCs/>
              </w:rPr>
              <w:t xml:space="preserve"> </w:t>
            </w:r>
            <w:r w:rsidRPr="00F64CC0">
              <w:rPr>
                <w:bCs/>
                <w:lang w:val="en-US"/>
              </w:rPr>
              <w:t>g</w:t>
            </w:r>
            <w:r w:rsidRPr="00F64CC0">
              <w:rPr>
                <w:bCs/>
              </w:rPr>
              <w:t>/</w:t>
            </w:r>
            <w:r w:rsidRPr="00F64CC0">
              <w:rPr>
                <w:bCs/>
                <w:lang w:val="en-US"/>
              </w:rPr>
              <w:t>kg</w:t>
            </w:r>
          </w:p>
          <w:p w:rsidR="00D0718C" w:rsidRPr="00F64CC0" w:rsidRDefault="00D0718C" w:rsidP="00F64CC0">
            <w:pPr>
              <w:jc w:val="center"/>
              <w:rPr>
                <w:bCs/>
              </w:rPr>
            </w:pPr>
            <w:r w:rsidRPr="00F64CC0">
              <w:rPr>
                <w:bCs/>
              </w:rPr>
              <w:t>ή</w:t>
            </w:r>
          </w:p>
          <w:p w:rsidR="00D0718C" w:rsidRPr="00F64CC0" w:rsidRDefault="00D0718C" w:rsidP="00F64CC0">
            <w:pPr>
              <w:jc w:val="center"/>
              <w:rPr>
                <w:bCs/>
              </w:rPr>
            </w:pPr>
            <w:r w:rsidRPr="00F64CC0">
              <w:rPr>
                <w:bCs/>
              </w:rPr>
              <w:t xml:space="preserve">0,4 </w:t>
            </w:r>
            <w:r w:rsidRPr="00F64CC0">
              <w:rPr>
                <w:bCs/>
                <w:lang w:val="en-US"/>
              </w:rPr>
              <w:t>g</w:t>
            </w:r>
            <w:r w:rsidRPr="00F64CC0">
              <w:rPr>
                <w:bCs/>
              </w:rPr>
              <w:t>/</w:t>
            </w:r>
            <w:r w:rsidRPr="00F64CC0">
              <w:rPr>
                <w:bCs/>
                <w:lang w:val="en-US"/>
              </w:rPr>
              <w:t>kg</w:t>
            </w:r>
            <w:r w:rsidRPr="00F64CC0">
              <w:rPr>
                <w:bCs/>
              </w:rPr>
              <w:t>/ημέρα</w:t>
            </w:r>
          </w:p>
          <w:p w:rsidR="004A5A60" w:rsidRDefault="004A5A60" w:rsidP="00F64CC0">
            <w:pPr>
              <w:jc w:val="center"/>
              <w:rPr>
                <w:bCs/>
              </w:rPr>
            </w:pPr>
          </w:p>
          <w:p w:rsidR="004A5A60" w:rsidRDefault="004A5A60" w:rsidP="00F64CC0">
            <w:pPr>
              <w:jc w:val="center"/>
              <w:rPr>
                <w:bCs/>
              </w:rPr>
            </w:pPr>
          </w:p>
          <w:p w:rsidR="00D0718C" w:rsidRPr="00F64CC0" w:rsidRDefault="00D0718C" w:rsidP="00F64CC0">
            <w:pPr>
              <w:jc w:val="center"/>
              <w:rPr>
                <w:bCs/>
              </w:rPr>
            </w:pPr>
            <w:r w:rsidRPr="00F64CC0">
              <w:rPr>
                <w:bCs/>
              </w:rPr>
              <w:t xml:space="preserve">0,4 </w:t>
            </w:r>
            <w:r w:rsidRPr="00F64CC0">
              <w:rPr>
                <w:bCs/>
                <w:lang w:val="en-US"/>
              </w:rPr>
              <w:t>g</w:t>
            </w:r>
            <w:r w:rsidRPr="00F64CC0">
              <w:rPr>
                <w:bCs/>
              </w:rPr>
              <w:t>/</w:t>
            </w:r>
            <w:r w:rsidRPr="00F64CC0">
              <w:rPr>
                <w:bCs/>
                <w:lang w:val="en-US"/>
              </w:rPr>
              <w:t>kg</w:t>
            </w:r>
            <w:r w:rsidRPr="00F64CC0">
              <w:rPr>
                <w:bCs/>
              </w:rPr>
              <w:t>/ημέρα</w:t>
            </w:r>
          </w:p>
          <w:p w:rsidR="0055651B" w:rsidRPr="00F64CC0" w:rsidRDefault="0055651B" w:rsidP="00F64CC0">
            <w:pPr>
              <w:jc w:val="center"/>
              <w:rPr>
                <w:bCs/>
              </w:rPr>
            </w:pPr>
          </w:p>
          <w:p w:rsidR="004A5A60" w:rsidRDefault="004A5A60" w:rsidP="00F64CC0">
            <w:pPr>
              <w:jc w:val="center"/>
              <w:rPr>
                <w:bCs/>
              </w:rPr>
            </w:pPr>
          </w:p>
          <w:p w:rsidR="004A5A60" w:rsidRDefault="004A5A60" w:rsidP="00F64CC0">
            <w:pPr>
              <w:jc w:val="center"/>
              <w:rPr>
                <w:bCs/>
              </w:rPr>
            </w:pPr>
          </w:p>
          <w:p w:rsidR="00363B7B" w:rsidRPr="00224BEE" w:rsidRDefault="00363B7B" w:rsidP="00F64CC0">
            <w:pPr>
              <w:jc w:val="center"/>
              <w:rPr>
                <w:bCs/>
              </w:rPr>
            </w:pPr>
            <w:r w:rsidRPr="00224BEE">
              <w:rPr>
                <w:bCs/>
              </w:rPr>
              <w:t>Αρχική δόση</w:t>
            </w:r>
          </w:p>
          <w:p w:rsidR="00363B7B" w:rsidRPr="00F64CC0" w:rsidRDefault="00363B7B" w:rsidP="00F64CC0">
            <w:pPr>
              <w:jc w:val="center"/>
              <w:rPr>
                <w:bCs/>
              </w:rPr>
            </w:pPr>
            <w:r w:rsidRPr="00F64CC0">
              <w:rPr>
                <w:bCs/>
              </w:rPr>
              <w:t>2</w:t>
            </w:r>
            <w:r w:rsidRPr="00F64CC0">
              <w:rPr>
                <w:bCs/>
                <w:lang w:val="en-US"/>
              </w:rPr>
              <w:t>g</w:t>
            </w:r>
            <w:r w:rsidRPr="00F64CC0">
              <w:rPr>
                <w:bCs/>
              </w:rPr>
              <w:t>/</w:t>
            </w:r>
            <w:r w:rsidRPr="00F64CC0">
              <w:rPr>
                <w:bCs/>
                <w:lang w:val="en-US"/>
              </w:rPr>
              <w:t>Kg</w:t>
            </w:r>
          </w:p>
          <w:p w:rsidR="00363B7B" w:rsidRPr="00F64CC0" w:rsidRDefault="00363B7B" w:rsidP="00F64CC0">
            <w:pPr>
              <w:jc w:val="center"/>
              <w:rPr>
                <w:bCs/>
              </w:rPr>
            </w:pPr>
          </w:p>
          <w:p w:rsidR="00363B7B" w:rsidRPr="00F64CC0" w:rsidRDefault="00363B7B" w:rsidP="00F64CC0">
            <w:pPr>
              <w:jc w:val="center"/>
              <w:rPr>
                <w:bCs/>
              </w:rPr>
            </w:pPr>
            <w:r w:rsidRPr="00F64CC0">
              <w:rPr>
                <w:bCs/>
              </w:rPr>
              <w:t>Δόση συντήρησης</w:t>
            </w:r>
          </w:p>
          <w:p w:rsidR="00363B7B" w:rsidRPr="00F64CC0" w:rsidRDefault="00363B7B" w:rsidP="00F64CC0">
            <w:pPr>
              <w:jc w:val="center"/>
              <w:rPr>
                <w:bCs/>
              </w:rPr>
            </w:pPr>
          </w:p>
          <w:p w:rsidR="00434857" w:rsidRPr="00F64CC0" w:rsidRDefault="00434857" w:rsidP="00F64CC0">
            <w:pPr>
              <w:jc w:val="center"/>
              <w:rPr>
                <w:bCs/>
              </w:rPr>
            </w:pPr>
          </w:p>
          <w:p w:rsidR="00E93FBB" w:rsidRPr="00F64CC0" w:rsidRDefault="00E93FBB" w:rsidP="00F64CC0">
            <w:pPr>
              <w:jc w:val="center"/>
              <w:rPr>
                <w:bCs/>
              </w:rPr>
            </w:pPr>
          </w:p>
          <w:p w:rsidR="00363B7B" w:rsidRPr="00F64CC0" w:rsidRDefault="00363B7B" w:rsidP="00F64CC0">
            <w:pPr>
              <w:jc w:val="center"/>
              <w:rPr>
                <w:bCs/>
              </w:rPr>
            </w:pPr>
          </w:p>
          <w:p w:rsidR="0055651B" w:rsidRPr="00F64CC0" w:rsidRDefault="0055651B" w:rsidP="00F64CC0">
            <w:pPr>
              <w:jc w:val="center"/>
              <w:rPr>
                <w:bCs/>
              </w:rPr>
            </w:pPr>
            <w:r w:rsidRPr="00F64CC0">
              <w:rPr>
                <w:bCs/>
              </w:rPr>
              <w:t xml:space="preserve">1,6 – 2 </w:t>
            </w:r>
            <w:r w:rsidRPr="00F64CC0">
              <w:rPr>
                <w:bCs/>
                <w:lang w:val="en-US"/>
              </w:rPr>
              <w:t>g</w:t>
            </w:r>
            <w:r w:rsidRPr="00F64CC0">
              <w:rPr>
                <w:bCs/>
              </w:rPr>
              <w:t>/</w:t>
            </w:r>
            <w:r w:rsidRPr="00F64CC0">
              <w:rPr>
                <w:bCs/>
                <w:lang w:val="en-US"/>
              </w:rPr>
              <w:t>kg</w:t>
            </w:r>
          </w:p>
          <w:p w:rsidR="0055651B" w:rsidRPr="00F64CC0" w:rsidRDefault="0055651B" w:rsidP="00F64CC0">
            <w:pPr>
              <w:jc w:val="center"/>
              <w:rPr>
                <w:bCs/>
              </w:rPr>
            </w:pPr>
            <w:r w:rsidRPr="00F64CC0">
              <w:rPr>
                <w:bCs/>
              </w:rPr>
              <w:t>ή</w:t>
            </w:r>
          </w:p>
          <w:p w:rsidR="0055651B" w:rsidRPr="00F64CC0" w:rsidRDefault="0055651B" w:rsidP="00F64CC0">
            <w:pPr>
              <w:jc w:val="center"/>
              <w:rPr>
                <w:bCs/>
              </w:rPr>
            </w:pPr>
          </w:p>
          <w:p w:rsidR="0055651B" w:rsidRPr="00F64CC0" w:rsidRDefault="0055651B" w:rsidP="00F64CC0">
            <w:pPr>
              <w:jc w:val="center"/>
              <w:rPr>
                <w:bCs/>
              </w:rPr>
            </w:pPr>
            <w:r w:rsidRPr="00F64CC0">
              <w:rPr>
                <w:bCs/>
              </w:rPr>
              <w:t xml:space="preserve">2 </w:t>
            </w:r>
            <w:r w:rsidRPr="00F64CC0">
              <w:rPr>
                <w:bCs/>
                <w:lang w:val="en-US"/>
              </w:rPr>
              <w:t>g</w:t>
            </w:r>
            <w:r w:rsidRPr="00F64CC0">
              <w:rPr>
                <w:bCs/>
              </w:rPr>
              <w:t>/</w:t>
            </w:r>
            <w:r w:rsidRPr="00F64CC0">
              <w:rPr>
                <w:bCs/>
                <w:lang w:val="en-US"/>
              </w:rPr>
              <w:t>kg</w:t>
            </w:r>
          </w:p>
        </w:tc>
        <w:tc>
          <w:tcPr>
            <w:tcW w:w="4820" w:type="dxa"/>
          </w:tcPr>
          <w:p w:rsidR="00247075" w:rsidRPr="00F64CC0" w:rsidRDefault="00247075" w:rsidP="003859D9">
            <w:pPr>
              <w:rPr>
                <w:bCs/>
              </w:rPr>
            </w:pPr>
          </w:p>
          <w:p w:rsidR="00D0718C" w:rsidRPr="00F64CC0" w:rsidRDefault="00D0718C" w:rsidP="003859D9">
            <w:pPr>
              <w:rPr>
                <w:bCs/>
              </w:rPr>
            </w:pPr>
          </w:p>
          <w:p w:rsidR="00D0718C" w:rsidRPr="00F64CC0" w:rsidRDefault="00D0718C" w:rsidP="003859D9">
            <w:pPr>
              <w:rPr>
                <w:bCs/>
              </w:rPr>
            </w:pPr>
            <w:r w:rsidRPr="00F64CC0">
              <w:rPr>
                <w:bCs/>
              </w:rPr>
              <w:t xml:space="preserve">Την πρώτη ημέρα, με δυνατότητα επανάληψης μία φορά μέσα </w:t>
            </w:r>
            <w:r w:rsidR="00674A19" w:rsidRPr="00F64CC0">
              <w:rPr>
                <w:bCs/>
              </w:rPr>
              <w:t>σ</w:t>
            </w:r>
            <w:r w:rsidR="00674A19">
              <w:rPr>
                <w:bCs/>
              </w:rPr>
              <w:t>ε</w:t>
            </w:r>
            <w:r w:rsidR="00674A19" w:rsidRPr="00F64CC0">
              <w:rPr>
                <w:bCs/>
              </w:rPr>
              <w:t xml:space="preserve"> </w:t>
            </w:r>
            <w:r w:rsidRPr="00F64CC0">
              <w:rPr>
                <w:bCs/>
              </w:rPr>
              <w:t>3 μέρες</w:t>
            </w:r>
          </w:p>
          <w:p w:rsidR="00D0718C" w:rsidRPr="00F64CC0" w:rsidRDefault="00B6042F" w:rsidP="003859D9">
            <w:pPr>
              <w:rPr>
                <w:bCs/>
              </w:rPr>
            </w:pPr>
            <w:r w:rsidRPr="00F64CC0">
              <w:rPr>
                <w:bCs/>
              </w:rPr>
              <w:t>Για</w:t>
            </w:r>
            <w:r w:rsidR="00434857" w:rsidRPr="00F64CC0">
              <w:rPr>
                <w:bCs/>
              </w:rPr>
              <w:t xml:space="preserve"> 2 – 5 ημέρες</w:t>
            </w:r>
          </w:p>
          <w:p w:rsidR="0055651B" w:rsidRPr="00F64CC0" w:rsidRDefault="0055651B" w:rsidP="003859D9">
            <w:pPr>
              <w:rPr>
                <w:bCs/>
              </w:rPr>
            </w:pPr>
          </w:p>
          <w:p w:rsidR="00434857" w:rsidRPr="00F64CC0" w:rsidRDefault="00434857" w:rsidP="003859D9">
            <w:pPr>
              <w:rPr>
                <w:bCs/>
              </w:rPr>
            </w:pPr>
          </w:p>
          <w:p w:rsidR="0055651B" w:rsidRPr="00F64CC0" w:rsidRDefault="00B6042F" w:rsidP="003859D9">
            <w:pPr>
              <w:rPr>
                <w:bCs/>
              </w:rPr>
            </w:pPr>
            <w:r w:rsidRPr="00F64CC0">
              <w:rPr>
                <w:bCs/>
              </w:rPr>
              <w:t>Για</w:t>
            </w:r>
            <w:r w:rsidR="0055651B" w:rsidRPr="00F64CC0">
              <w:rPr>
                <w:bCs/>
              </w:rPr>
              <w:t xml:space="preserve"> </w:t>
            </w:r>
            <w:r w:rsidR="00AF7100" w:rsidRPr="00F64CC0">
              <w:rPr>
                <w:bCs/>
              </w:rPr>
              <w:t>5</w:t>
            </w:r>
            <w:r w:rsidR="00434857" w:rsidRPr="00F64CC0">
              <w:rPr>
                <w:bCs/>
              </w:rPr>
              <w:t xml:space="preserve"> ημέρες</w:t>
            </w:r>
          </w:p>
          <w:p w:rsidR="0055651B" w:rsidRPr="00F64CC0" w:rsidRDefault="0055651B" w:rsidP="003859D9">
            <w:pPr>
              <w:rPr>
                <w:bCs/>
              </w:rPr>
            </w:pPr>
          </w:p>
          <w:p w:rsidR="00363B7B" w:rsidRPr="00F64CC0" w:rsidRDefault="00363B7B" w:rsidP="003859D9">
            <w:pPr>
              <w:rPr>
                <w:bCs/>
              </w:rPr>
            </w:pPr>
          </w:p>
          <w:p w:rsidR="004A5A60" w:rsidRDefault="004A5A60" w:rsidP="00363B7B">
            <w:pPr>
              <w:rPr>
                <w:bCs/>
              </w:rPr>
            </w:pPr>
          </w:p>
          <w:p w:rsidR="00363B7B" w:rsidRPr="00F64CC0" w:rsidRDefault="004A5A60" w:rsidP="00363B7B">
            <w:pPr>
              <w:rPr>
                <w:bCs/>
              </w:rPr>
            </w:pPr>
            <w:r>
              <w:rPr>
                <w:bCs/>
              </w:rPr>
              <w:t>σε</w:t>
            </w:r>
            <w:r w:rsidR="00363B7B" w:rsidRPr="00224BEE">
              <w:rPr>
                <w:bCs/>
              </w:rPr>
              <w:t xml:space="preserve"> 4 διαδοχικές ημέρες</w:t>
            </w:r>
            <w:r>
              <w:rPr>
                <w:bCs/>
              </w:rPr>
              <w:t>,</w:t>
            </w:r>
            <w:r w:rsidR="00826F46" w:rsidRPr="00224BEE">
              <w:rPr>
                <w:bCs/>
              </w:rPr>
              <w:t xml:space="preserve"> κάθε 3-4 εβδομάδες</w:t>
            </w:r>
          </w:p>
          <w:p w:rsidR="00363B7B" w:rsidRPr="00F64CC0" w:rsidRDefault="00363B7B" w:rsidP="00363B7B">
            <w:pPr>
              <w:rPr>
                <w:bCs/>
              </w:rPr>
            </w:pPr>
          </w:p>
          <w:p w:rsidR="004A5A60" w:rsidRDefault="004A5A60" w:rsidP="00363B7B">
            <w:pPr>
              <w:rPr>
                <w:bCs/>
              </w:rPr>
            </w:pPr>
          </w:p>
          <w:p w:rsidR="00363B7B" w:rsidRPr="00F64CC0" w:rsidRDefault="00363B7B" w:rsidP="00363B7B">
            <w:pPr>
              <w:rPr>
                <w:bCs/>
              </w:rPr>
            </w:pPr>
            <w:r w:rsidRPr="00F64CC0">
              <w:rPr>
                <w:bCs/>
              </w:rPr>
              <w:t>Πρέπει να προσαρμοστεί στις ανάγκες του ασθενούς, βλ. παραπάνω</w:t>
            </w:r>
          </w:p>
          <w:p w:rsidR="00434857" w:rsidRPr="00F64CC0" w:rsidRDefault="00434857" w:rsidP="003859D9">
            <w:pPr>
              <w:rPr>
                <w:bCs/>
              </w:rPr>
            </w:pPr>
          </w:p>
          <w:p w:rsidR="00947DE0" w:rsidRPr="00F64CC0" w:rsidRDefault="00947DE0" w:rsidP="003859D9">
            <w:pPr>
              <w:rPr>
                <w:bCs/>
              </w:rPr>
            </w:pPr>
          </w:p>
          <w:p w:rsidR="00EF3D86" w:rsidRPr="00F64CC0" w:rsidRDefault="00EF3D86" w:rsidP="003859D9">
            <w:pPr>
              <w:rPr>
                <w:bCs/>
              </w:rPr>
            </w:pPr>
          </w:p>
          <w:p w:rsidR="0055651B" w:rsidRPr="00F64CC0" w:rsidRDefault="00B6042F" w:rsidP="003859D9">
            <w:pPr>
              <w:rPr>
                <w:bCs/>
              </w:rPr>
            </w:pPr>
            <w:r w:rsidRPr="00F64CC0">
              <w:rPr>
                <w:bCs/>
              </w:rPr>
              <w:t xml:space="preserve">Σε διαιρεμένες δόσεις </w:t>
            </w:r>
            <w:r w:rsidR="00AF7100" w:rsidRPr="00F64CC0">
              <w:rPr>
                <w:bCs/>
              </w:rPr>
              <w:t xml:space="preserve"> </w:t>
            </w:r>
            <w:r w:rsidR="004A5A60">
              <w:rPr>
                <w:bCs/>
              </w:rPr>
              <w:t>για</w:t>
            </w:r>
            <w:r w:rsidR="00AF7100" w:rsidRPr="00F64CC0">
              <w:rPr>
                <w:bCs/>
              </w:rPr>
              <w:t xml:space="preserve"> </w:t>
            </w:r>
            <w:r w:rsidR="0055651B" w:rsidRPr="00F64CC0">
              <w:rPr>
                <w:bCs/>
              </w:rPr>
              <w:t xml:space="preserve"> 2 – 5 </w:t>
            </w:r>
            <w:r w:rsidR="004A5A60">
              <w:rPr>
                <w:bCs/>
              </w:rPr>
              <w:t>ημέρες,</w:t>
            </w:r>
            <w:r w:rsidR="0055651B" w:rsidRPr="00F64CC0">
              <w:rPr>
                <w:bCs/>
              </w:rPr>
              <w:t xml:space="preserve"> σε </w:t>
            </w:r>
            <w:r w:rsidR="009C1CA1" w:rsidRPr="00F64CC0">
              <w:rPr>
                <w:bCs/>
              </w:rPr>
              <w:t>συνδυασμό</w:t>
            </w:r>
            <w:r w:rsidR="0055651B" w:rsidRPr="00F64CC0">
              <w:rPr>
                <w:bCs/>
              </w:rPr>
              <w:t xml:space="preserve"> με ακετυλοσαλικυλικό οξύ</w:t>
            </w:r>
          </w:p>
          <w:p w:rsidR="0055651B" w:rsidRPr="00F64CC0" w:rsidRDefault="0055651B" w:rsidP="003859D9">
            <w:pPr>
              <w:rPr>
                <w:bCs/>
              </w:rPr>
            </w:pPr>
          </w:p>
          <w:p w:rsidR="0055651B" w:rsidRPr="00F64CC0" w:rsidRDefault="0055651B" w:rsidP="004A5A60">
            <w:pPr>
              <w:spacing w:after="120"/>
              <w:rPr>
                <w:bCs/>
              </w:rPr>
            </w:pPr>
            <w:r w:rsidRPr="00F64CC0">
              <w:rPr>
                <w:bCs/>
              </w:rPr>
              <w:t>Σε μία δόση σε συνδυασμό με ακετυλοσαλικυλικό οξύ</w:t>
            </w:r>
          </w:p>
        </w:tc>
      </w:tr>
    </w:tbl>
    <w:p w:rsidR="00363B7B" w:rsidRPr="00F64CC0" w:rsidRDefault="00363B7B" w:rsidP="00A03AAE">
      <w:pPr>
        <w:rPr>
          <w:bCs/>
        </w:rPr>
      </w:pPr>
    </w:p>
    <w:p w:rsidR="00363B7B" w:rsidRPr="00F64CC0" w:rsidRDefault="00363B7B" w:rsidP="00363B7B">
      <w:pPr>
        <w:rPr>
          <w:bCs/>
        </w:rPr>
      </w:pPr>
      <w:r w:rsidRPr="00224BEE">
        <w:rPr>
          <w:lang w:bidi="ar-JO"/>
        </w:rPr>
        <w:t xml:space="preserve">* Η δόση βασίζεται στη δόση που χρησιμοποιήθηκε στη κλινική μελέτη που διενεργήθηκε με το </w:t>
      </w:r>
      <w:proofErr w:type="spellStart"/>
      <w:r w:rsidRPr="00F64CC0">
        <w:rPr>
          <w:lang w:val="en-US" w:bidi="ar-JO"/>
        </w:rPr>
        <w:t>Ig</w:t>
      </w:r>
      <w:proofErr w:type="spellEnd"/>
      <w:r w:rsidRPr="00F64CC0">
        <w:rPr>
          <w:lang w:bidi="ar-JO"/>
        </w:rPr>
        <w:t xml:space="preserve"> </w:t>
      </w:r>
      <w:r w:rsidRPr="00F64CC0">
        <w:rPr>
          <w:lang w:val="en-US" w:bidi="ar-JO"/>
        </w:rPr>
        <w:t>VENA</w:t>
      </w:r>
      <w:r w:rsidRPr="00F64CC0">
        <w:rPr>
          <w:lang w:bidi="ar-JO"/>
        </w:rPr>
        <w:t xml:space="preserve"> (βλ. παράγραφο 5.1)</w:t>
      </w:r>
    </w:p>
    <w:p w:rsidR="00363B7B" w:rsidRPr="00F64CC0" w:rsidRDefault="00363B7B" w:rsidP="00A03AAE">
      <w:pPr>
        <w:rPr>
          <w:bCs/>
        </w:rPr>
      </w:pPr>
    </w:p>
    <w:p w:rsidR="00363B7B" w:rsidRPr="00900919" w:rsidRDefault="00363B7B" w:rsidP="00363B7B">
      <w:pPr>
        <w:rPr>
          <w:bCs/>
          <w:i/>
          <w:u w:val="single"/>
          <w:lang w:val="en-US"/>
        </w:rPr>
      </w:pPr>
      <w:r w:rsidRPr="00224BEE">
        <w:rPr>
          <w:bCs/>
          <w:i/>
          <w:u w:val="single"/>
        </w:rPr>
        <w:t>Ειδικοί πληθυσμοί</w:t>
      </w:r>
    </w:p>
    <w:p w:rsidR="00363B7B" w:rsidRPr="00F64CC0" w:rsidRDefault="00674A19" w:rsidP="00363B7B">
      <w:pPr>
        <w:rPr>
          <w:bCs/>
        </w:rPr>
      </w:pPr>
      <w:r>
        <w:rPr>
          <w:bCs/>
        </w:rPr>
        <w:t>Π</w:t>
      </w:r>
      <w:r w:rsidRPr="008A1070">
        <w:rPr>
          <w:bCs/>
        </w:rPr>
        <w:t>εριορισμένη</w:t>
      </w:r>
      <w:r w:rsidRPr="00F64CC0">
        <w:rPr>
          <w:bCs/>
        </w:rPr>
        <w:t xml:space="preserve"> </w:t>
      </w:r>
      <w:r>
        <w:rPr>
          <w:bCs/>
        </w:rPr>
        <w:t>ε</w:t>
      </w:r>
      <w:r w:rsidRPr="00F64CC0">
        <w:rPr>
          <w:bCs/>
        </w:rPr>
        <w:t xml:space="preserve">μπειρία </w:t>
      </w:r>
      <w:r w:rsidR="00363B7B" w:rsidRPr="00F64CC0">
        <w:rPr>
          <w:bCs/>
        </w:rPr>
        <w:t xml:space="preserve">σε άτομα 65 ετών και άνω. </w:t>
      </w:r>
    </w:p>
    <w:p w:rsidR="00363B7B" w:rsidRPr="00F64CC0" w:rsidRDefault="00363B7B" w:rsidP="00A03AAE">
      <w:pPr>
        <w:rPr>
          <w:bCs/>
        </w:rPr>
      </w:pPr>
    </w:p>
    <w:p w:rsidR="00287672" w:rsidRPr="00F64CC0" w:rsidRDefault="00AF7100" w:rsidP="00A03AAE">
      <w:pPr>
        <w:rPr>
          <w:bCs/>
        </w:rPr>
      </w:pPr>
      <w:r w:rsidRPr="00F64CC0">
        <w:rPr>
          <w:bCs/>
          <w:i/>
        </w:rPr>
        <w:t>Παιδιατρικός πληθυσμός</w:t>
      </w:r>
    </w:p>
    <w:p w:rsidR="00AF7100" w:rsidRPr="00F64CC0" w:rsidRDefault="00AF7100" w:rsidP="00A03AAE">
      <w:pPr>
        <w:rPr>
          <w:bCs/>
        </w:rPr>
      </w:pPr>
      <w:r w:rsidRPr="00F64CC0">
        <w:rPr>
          <w:bCs/>
        </w:rPr>
        <w:t xml:space="preserve">Η δοσολογία σε παιδιά και εφήβους (0-18 ετών) δεν διαφέρει από εκείνη των ενηλίκων, καθώς η δοσολογία για κάθε ένδειξη χορηγείται με βάση το σωματικό βάρος και προσαρμόζεται ανάλογα </w:t>
      </w:r>
      <w:r w:rsidR="00674A19">
        <w:rPr>
          <w:bCs/>
        </w:rPr>
        <w:t xml:space="preserve">με </w:t>
      </w:r>
      <w:r w:rsidRPr="00F64CC0">
        <w:rPr>
          <w:bCs/>
        </w:rPr>
        <w:t>την κλινική έκβαση των παραπάνω αναφερθέντων συνθηκών.</w:t>
      </w:r>
    </w:p>
    <w:p w:rsidR="00AF7100" w:rsidRPr="00F64CC0" w:rsidRDefault="00AF7100" w:rsidP="00A03AAE">
      <w:pPr>
        <w:ind w:hanging="540"/>
        <w:rPr>
          <w:b/>
          <w:bCs/>
        </w:rPr>
      </w:pPr>
    </w:p>
    <w:p w:rsidR="004A5A60" w:rsidRPr="004A5A60" w:rsidRDefault="00674A19" w:rsidP="00363B7B">
      <w:pPr>
        <w:jc w:val="both"/>
        <w:rPr>
          <w:bCs/>
          <w:i/>
        </w:rPr>
      </w:pPr>
      <w:r w:rsidRPr="004A5A60">
        <w:rPr>
          <w:bCs/>
          <w:i/>
          <w:lang w:val="en-US"/>
        </w:rPr>
        <w:t>CIDP</w:t>
      </w:r>
      <w:r w:rsidRPr="004A5A60" w:rsidDel="00674A19">
        <w:rPr>
          <w:bCs/>
          <w:i/>
        </w:rPr>
        <w:t xml:space="preserve"> </w:t>
      </w:r>
    </w:p>
    <w:p w:rsidR="00363B7B" w:rsidRPr="00F64CC0" w:rsidRDefault="002D0052" w:rsidP="00363B7B">
      <w:pPr>
        <w:jc w:val="both"/>
        <w:rPr>
          <w:bCs/>
        </w:rPr>
      </w:pPr>
      <w:r w:rsidRPr="00F64CC0">
        <w:rPr>
          <w:bCs/>
        </w:rPr>
        <w:t>Εξαιτίας</w:t>
      </w:r>
      <w:r w:rsidR="00363B7B" w:rsidRPr="00F64CC0">
        <w:rPr>
          <w:bCs/>
        </w:rPr>
        <w:t xml:space="preserve"> τη</w:t>
      </w:r>
      <w:r w:rsidRPr="00F64CC0">
        <w:rPr>
          <w:bCs/>
        </w:rPr>
        <w:t>ς</w:t>
      </w:r>
      <w:r w:rsidR="00363B7B" w:rsidRPr="00F64CC0">
        <w:rPr>
          <w:bCs/>
        </w:rPr>
        <w:t xml:space="preserve"> σπανιότητα</w:t>
      </w:r>
      <w:r w:rsidRPr="00F64CC0">
        <w:rPr>
          <w:bCs/>
        </w:rPr>
        <w:t>ς</w:t>
      </w:r>
      <w:r w:rsidR="00363B7B" w:rsidRPr="00F64CC0">
        <w:rPr>
          <w:bCs/>
        </w:rPr>
        <w:t xml:space="preserve"> της νόσου και ως εκ τούτ</w:t>
      </w:r>
      <w:r w:rsidRPr="00F64CC0">
        <w:rPr>
          <w:bCs/>
        </w:rPr>
        <w:t xml:space="preserve">ου του μικρού αριθμού ασθενών </w:t>
      </w:r>
      <w:r w:rsidR="00674A19" w:rsidRPr="008441E7">
        <w:rPr>
          <w:bCs/>
        </w:rPr>
        <w:t xml:space="preserve">υπάρχει </w:t>
      </w:r>
      <w:r w:rsidRPr="00F64CC0">
        <w:rPr>
          <w:bCs/>
        </w:rPr>
        <w:t xml:space="preserve">μόνο περιορισμένη εμπειρία για την χρήση των ενδοφλέβιων ανοσοσφαιρινών σε παιδιά με </w:t>
      </w:r>
      <w:r w:rsidR="00674A19">
        <w:rPr>
          <w:bCs/>
        </w:rPr>
        <w:t>CIDP</w:t>
      </w:r>
      <w:r w:rsidRPr="00F64CC0">
        <w:rPr>
          <w:bCs/>
        </w:rPr>
        <w:t xml:space="preserve"> και </w:t>
      </w:r>
      <w:r w:rsidR="00674A19">
        <w:rPr>
          <w:bCs/>
        </w:rPr>
        <w:t xml:space="preserve">κατά συνέπεια </w:t>
      </w:r>
      <w:r w:rsidRPr="00F64CC0">
        <w:rPr>
          <w:bCs/>
        </w:rPr>
        <w:t>μόνο στοιχεία από την βιβλιογραφία είναι διαθέσιμα. Παρ</w:t>
      </w:r>
      <w:r w:rsidR="00674A19">
        <w:rPr>
          <w:bCs/>
        </w:rPr>
        <w:t xml:space="preserve">’ </w:t>
      </w:r>
      <w:r w:rsidRPr="00F64CC0">
        <w:rPr>
          <w:bCs/>
        </w:rPr>
        <w:t>όλα</w:t>
      </w:r>
      <w:r w:rsidR="00674A19">
        <w:rPr>
          <w:bCs/>
        </w:rPr>
        <w:t xml:space="preserve"> α</w:t>
      </w:r>
      <w:r w:rsidR="00674A19" w:rsidRPr="00F64CC0">
        <w:rPr>
          <w:bCs/>
        </w:rPr>
        <w:t>υτ</w:t>
      </w:r>
      <w:r w:rsidR="00674A19">
        <w:rPr>
          <w:bCs/>
        </w:rPr>
        <w:t>ά</w:t>
      </w:r>
      <w:r w:rsidRPr="00F64CC0">
        <w:rPr>
          <w:bCs/>
        </w:rPr>
        <w:t>,</w:t>
      </w:r>
      <w:r w:rsidR="00363B7B" w:rsidRPr="00F64CC0">
        <w:rPr>
          <w:bCs/>
        </w:rPr>
        <w:t xml:space="preserve"> δημοσιευμένα στοιχεία δείχνουν ότι η θεραπεία με </w:t>
      </w:r>
      <w:proofErr w:type="spellStart"/>
      <w:r w:rsidR="002C438B" w:rsidRPr="00F64CC0">
        <w:rPr>
          <w:bCs/>
          <w:lang w:val="en-US"/>
        </w:rPr>
        <w:t>IVIg</w:t>
      </w:r>
      <w:proofErr w:type="spellEnd"/>
      <w:r w:rsidR="00363B7B" w:rsidRPr="00F64CC0">
        <w:rPr>
          <w:bCs/>
        </w:rPr>
        <w:t xml:space="preserve"> είναι το ίδιο αποτελεσματική σε παιδιά και ενήλικες, όπως συμβαίνει στη περίπτωση των ήδη ενδεδειγμένων ενδείξεων </w:t>
      </w:r>
      <w:r w:rsidR="00C13AE2" w:rsidRPr="00F64CC0">
        <w:rPr>
          <w:snapToGrid w:val="0"/>
          <w:lang w:bidi="ar-JO"/>
        </w:rPr>
        <w:t>για IVI</w:t>
      </w:r>
      <w:r w:rsidR="00C13AE2" w:rsidRPr="00F64CC0">
        <w:rPr>
          <w:snapToGrid w:val="0"/>
          <w:lang w:val="en-US" w:bidi="ar-JO"/>
        </w:rPr>
        <w:t>g</w:t>
      </w:r>
      <w:r w:rsidR="00363B7B" w:rsidRPr="00F64CC0">
        <w:rPr>
          <w:i/>
          <w:snapToGrid w:val="0"/>
          <w:lang w:bidi="ar-JO"/>
        </w:rPr>
        <w:t>.</w:t>
      </w:r>
    </w:p>
    <w:p w:rsidR="00AF7100" w:rsidRPr="00F64CC0" w:rsidRDefault="00AF7100" w:rsidP="00A03AAE">
      <w:pPr>
        <w:ind w:hanging="426"/>
        <w:rPr>
          <w:b/>
          <w:bCs/>
        </w:rPr>
      </w:pPr>
    </w:p>
    <w:p w:rsidR="0034461D" w:rsidRPr="00F64CC0" w:rsidRDefault="001B0AC3" w:rsidP="00A03AAE">
      <w:pPr>
        <w:rPr>
          <w:b/>
          <w:bCs/>
        </w:rPr>
      </w:pPr>
      <w:r w:rsidRPr="00F64CC0">
        <w:rPr>
          <w:b/>
          <w:bCs/>
        </w:rPr>
        <w:t>Τρόπος</w:t>
      </w:r>
      <w:r w:rsidR="00366866" w:rsidRPr="00F64CC0">
        <w:rPr>
          <w:b/>
          <w:bCs/>
        </w:rPr>
        <w:t xml:space="preserve"> Χορήγησης</w:t>
      </w:r>
    </w:p>
    <w:p w:rsidR="00AF7100" w:rsidRPr="00F64CC0" w:rsidRDefault="00AF7100" w:rsidP="00A03AAE">
      <w:pPr>
        <w:rPr>
          <w:bCs/>
        </w:rPr>
      </w:pPr>
      <w:r w:rsidRPr="00F64CC0">
        <w:rPr>
          <w:bCs/>
        </w:rPr>
        <w:t>Για ενδοφλέβια χρήση.</w:t>
      </w:r>
    </w:p>
    <w:p w:rsidR="009A091F" w:rsidRPr="00F64CC0" w:rsidRDefault="00191D21" w:rsidP="00A03AAE">
      <w:pPr>
        <w:rPr>
          <w:bCs/>
        </w:rPr>
      </w:pPr>
      <w:r w:rsidRPr="00F64CC0">
        <w:rPr>
          <w:bCs/>
          <w:lang w:val="it-IT"/>
        </w:rPr>
        <w:t>H</w:t>
      </w:r>
      <w:r w:rsidRPr="00F64CC0">
        <w:rPr>
          <w:bCs/>
        </w:rPr>
        <w:t xml:space="preserve"> </w:t>
      </w:r>
      <w:r w:rsidR="00AF7100" w:rsidRPr="00F64CC0">
        <w:rPr>
          <w:bCs/>
        </w:rPr>
        <w:t xml:space="preserve">ανθρώπινη φυσιολογική ανοσοσφαιρίνη </w:t>
      </w:r>
      <w:r w:rsidR="00366866" w:rsidRPr="00F64CC0">
        <w:rPr>
          <w:bCs/>
        </w:rPr>
        <w:t xml:space="preserve">πρέπει να </w:t>
      </w:r>
      <w:r w:rsidR="00B6042F" w:rsidRPr="00F64CC0">
        <w:rPr>
          <w:bCs/>
        </w:rPr>
        <w:t>χορηγηθεί με ενδοφλέβια έγχυση</w:t>
      </w:r>
      <w:r w:rsidR="00366866" w:rsidRPr="00F64CC0">
        <w:rPr>
          <w:bCs/>
        </w:rPr>
        <w:t xml:space="preserve"> με αρχικό ρυθμό </w:t>
      </w:r>
      <w:r w:rsidR="00DA574C" w:rsidRPr="00F64CC0">
        <w:rPr>
          <w:bCs/>
        </w:rPr>
        <w:t xml:space="preserve"> </w:t>
      </w:r>
      <w:r w:rsidR="00986B27" w:rsidRPr="00F64CC0">
        <w:rPr>
          <w:bCs/>
        </w:rPr>
        <w:t>0,46-0,92</w:t>
      </w:r>
      <w:r w:rsidR="00DA574C" w:rsidRPr="00F64CC0">
        <w:rPr>
          <w:bCs/>
        </w:rPr>
        <w:t xml:space="preserve"> </w:t>
      </w:r>
      <w:r w:rsidR="00DA574C" w:rsidRPr="00F64CC0">
        <w:rPr>
          <w:bCs/>
          <w:lang w:val="en-US"/>
        </w:rPr>
        <w:t>ml</w:t>
      </w:r>
      <w:r w:rsidR="00DA574C" w:rsidRPr="00F64CC0">
        <w:rPr>
          <w:bCs/>
        </w:rPr>
        <w:t>/</w:t>
      </w:r>
      <w:r w:rsidR="00DA574C" w:rsidRPr="00F64CC0">
        <w:rPr>
          <w:bCs/>
          <w:lang w:val="en-US"/>
        </w:rPr>
        <w:t>kg</w:t>
      </w:r>
      <w:r w:rsidR="00986B27" w:rsidRPr="00F64CC0">
        <w:rPr>
          <w:bCs/>
        </w:rPr>
        <w:t>/</w:t>
      </w:r>
      <w:r w:rsidR="00DA574C" w:rsidRPr="00F64CC0">
        <w:rPr>
          <w:bCs/>
        </w:rPr>
        <w:t>ώρα (</w:t>
      </w:r>
      <w:r w:rsidR="00986B27" w:rsidRPr="00F64CC0">
        <w:rPr>
          <w:bCs/>
        </w:rPr>
        <w:t>10-20 σταγόνες το λεπτό</w:t>
      </w:r>
      <w:r w:rsidR="00DA574C" w:rsidRPr="00F64CC0">
        <w:rPr>
          <w:bCs/>
        </w:rPr>
        <w:t xml:space="preserve">) </w:t>
      </w:r>
      <w:r w:rsidR="00986B27" w:rsidRPr="00F64CC0">
        <w:rPr>
          <w:bCs/>
        </w:rPr>
        <w:t>επί 20-30 λεπτά</w:t>
      </w:r>
      <w:r w:rsidR="00740656" w:rsidRPr="00F64CC0">
        <w:rPr>
          <w:bCs/>
        </w:rPr>
        <w:t>.</w:t>
      </w:r>
      <w:r w:rsidR="008D608B" w:rsidRPr="00F64CC0">
        <w:rPr>
          <w:bCs/>
        </w:rPr>
        <w:t xml:space="preserve"> Εάν </w:t>
      </w:r>
      <w:r w:rsidR="00674A19">
        <w:rPr>
          <w:bCs/>
        </w:rPr>
        <w:t>είναι</w:t>
      </w:r>
      <w:r w:rsidR="00674A19" w:rsidRPr="00F64CC0">
        <w:rPr>
          <w:bCs/>
        </w:rPr>
        <w:t xml:space="preserve"> </w:t>
      </w:r>
      <w:r w:rsidR="008D608B" w:rsidRPr="00F64CC0">
        <w:rPr>
          <w:bCs/>
        </w:rPr>
        <w:t>καλώς ανεκτό</w:t>
      </w:r>
      <w:r w:rsidR="00AF7100" w:rsidRPr="00F64CC0">
        <w:rPr>
          <w:bCs/>
        </w:rPr>
        <w:t xml:space="preserve"> (βλ. παράγραφο 4.4)</w:t>
      </w:r>
      <w:r w:rsidR="00DA574C" w:rsidRPr="00F64CC0">
        <w:rPr>
          <w:bCs/>
        </w:rPr>
        <w:t>, ο ρυθμός χορήγησης μπορεί να αυξηθεί</w:t>
      </w:r>
      <w:r w:rsidR="00986B27" w:rsidRPr="00F64CC0">
        <w:rPr>
          <w:bCs/>
        </w:rPr>
        <w:t xml:space="preserve"> σταδιακά μέχρι </w:t>
      </w:r>
      <w:r w:rsidR="00B6042F" w:rsidRPr="00F64CC0">
        <w:rPr>
          <w:bCs/>
        </w:rPr>
        <w:t xml:space="preserve">του </w:t>
      </w:r>
      <w:r w:rsidR="00986B27" w:rsidRPr="00F64CC0">
        <w:rPr>
          <w:bCs/>
        </w:rPr>
        <w:t>αν</w:t>
      </w:r>
      <w:r w:rsidR="00B6042F" w:rsidRPr="00F64CC0">
        <w:rPr>
          <w:bCs/>
        </w:rPr>
        <w:t>ώ</w:t>
      </w:r>
      <w:r w:rsidR="00986B27" w:rsidRPr="00F64CC0">
        <w:rPr>
          <w:bCs/>
        </w:rPr>
        <w:t>τ</w:t>
      </w:r>
      <w:r w:rsidR="00B6042F" w:rsidRPr="00F64CC0">
        <w:rPr>
          <w:bCs/>
        </w:rPr>
        <w:t>α</w:t>
      </w:r>
      <w:r w:rsidR="00986B27" w:rsidRPr="00F64CC0">
        <w:rPr>
          <w:bCs/>
        </w:rPr>
        <w:t>του ορίου 1,85</w:t>
      </w:r>
      <w:r w:rsidR="00DA574C" w:rsidRPr="00F64CC0">
        <w:rPr>
          <w:bCs/>
        </w:rPr>
        <w:t xml:space="preserve"> </w:t>
      </w:r>
      <w:r w:rsidR="00DA574C" w:rsidRPr="00F64CC0">
        <w:rPr>
          <w:bCs/>
          <w:lang w:val="en-US"/>
        </w:rPr>
        <w:t>ml</w:t>
      </w:r>
      <w:r w:rsidR="00DA574C" w:rsidRPr="00F64CC0">
        <w:rPr>
          <w:bCs/>
        </w:rPr>
        <w:t>/</w:t>
      </w:r>
      <w:r w:rsidR="00DA574C" w:rsidRPr="00F64CC0">
        <w:rPr>
          <w:bCs/>
          <w:lang w:val="en-US"/>
        </w:rPr>
        <w:t>kg</w:t>
      </w:r>
      <w:r w:rsidR="00DA574C" w:rsidRPr="00F64CC0">
        <w:rPr>
          <w:bCs/>
        </w:rPr>
        <w:t>/ ώρα</w:t>
      </w:r>
      <w:r w:rsidR="00986B27" w:rsidRPr="00F64CC0">
        <w:rPr>
          <w:bCs/>
        </w:rPr>
        <w:t xml:space="preserve"> (40 σταγόνες /λεπτό)</w:t>
      </w:r>
      <w:r w:rsidR="00DA574C" w:rsidRPr="00F64CC0">
        <w:rPr>
          <w:bCs/>
        </w:rPr>
        <w:t>.</w:t>
      </w:r>
      <w:r w:rsidR="00AF7100" w:rsidRPr="00F64CC0">
        <w:rPr>
          <w:bCs/>
        </w:rPr>
        <w:t xml:space="preserve"> Βλέπε παράγραφο 6.6.</w:t>
      </w:r>
    </w:p>
    <w:p w:rsidR="00DA574C" w:rsidRPr="00F64CC0" w:rsidRDefault="00DA574C" w:rsidP="00A03AAE">
      <w:pPr>
        <w:rPr>
          <w:bCs/>
        </w:rPr>
      </w:pPr>
    </w:p>
    <w:p w:rsidR="00F51457" w:rsidRPr="00F64CC0" w:rsidRDefault="00282AD0" w:rsidP="00A03AAE">
      <w:pPr>
        <w:numPr>
          <w:ilvl w:val="1"/>
          <w:numId w:val="18"/>
        </w:numPr>
        <w:rPr>
          <w:b/>
          <w:bCs/>
        </w:rPr>
      </w:pPr>
      <w:r w:rsidRPr="00F64CC0">
        <w:rPr>
          <w:b/>
          <w:bCs/>
        </w:rPr>
        <w:t>Αντενδείξεις</w:t>
      </w:r>
    </w:p>
    <w:p w:rsidR="009422C6" w:rsidRPr="00F64CC0" w:rsidRDefault="00997574" w:rsidP="00A03AAE">
      <w:pPr>
        <w:rPr>
          <w:bCs/>
        </w:rPr>
      </w:pPr>
      <w:r w:rsidRPr="00F64CC0">
        <w:rPr>
          <w:bCs/>
        </w:rPr>
        <w:t>Υπερευαισθησία</w:t>
      </w:r>
      <w:r w:rsidR="009422C6" w:rsidRPr="00F64CC0">
        <w:rPr>
          <w:bCs/>
        </w:rPr>
        <w:t xml:space="preserve"> </w:t>
      </w:r>
      <w:r w:rsidR="00AF7100" w:rsidRPr="00F64CC0">
        <w:rPr>
          <w:bCs/>
        </w:rPr>
        <w:t xml:space="preserve">στην δραστική ουσία ή </w:t>
      </w:r>
      <w:r w:rsidR="009422C6" w:rsidRPr="00F64CC0">
        <w:rPr>
          <w:bCs/>
        </w:rPr>
        <w:t>σε οποιοδήποτε από τα</w:t>
      </w:r>
      <w:r w:rsidR="00674A19" w:rsidRPr="00F64CC0">
        <w:rPr>
          <w:bCs/>
        </w:rPr>
        <w:t xml:space="preserve"> </w:t>
      </w:r>
      <w:r w:rsidR="00AF7100" w:rsidRPr="00F64CC0">
        <w:rPr>
          <w:bCs/>
        </w:rPr>
        <w:t>έκδοχα</w:t>
      </w:r>
      <w:r w:rsidR="00674A19">
        <w:rPr>
          <w:bCs/>
        </w:rPr>
        <w:t xml:space="preserve"> (βλ. παράγραφο 4.4)</w:t>
      </w:r>
      <w:r w:rsidR="009422C6" w:rsidRPr="00F64CC0">
        <w:rPr>
          <w:bCs/>
        </w:rPr>
        <w:t>.</w:t>
      </w:r>
    </w:p>
    <w:p w:rsidR="00A82A38" w:rsidRPr="00F64CC0" w:rsidRDefault="009422C6" w:rsidP="00A03AAE">
      <w:pPr>
        <w:rPr>
          <w:bCs/>
        </w:rPr>
      </w:pPr>
      <w:r w:rsidRPr="00F64CC0">
        <w:rPr>
          <w:bCs/>
        </w:rPr>
        <w:t xml:space="preserve">Υπερευαισθησία σε </w:t>
      </w:r>
      <w:r w:rsidR="00AF7100" w:rsidRPr="00F64CC0">
        <w:rPr>
          <w:bCs/>
        </w:rPr>
        <w:t xml:space="preserve">ανθρώπινες </w:t>
      </w:r>
      <w:r w:rsidRPr="00F64CC0">
        <w:rPr>
          <w:bCs/>
        </w:rPr>
        <w:t xml:space="preserve">ανοσοσφαιρίνες, </w:t>
      </w:r>
      <w:r w:rsidR="00997574" w:rsidRPr="00F64CC0">
        <w:rPr>
          <w:bCs/>
        </w:rPr>
        <w:t xml:space="preserve">ειδικά </w:t>
      </w:r>
      <w:r w:rsidR="00AF7100" w:rsidRPr="00F64CC0">
        <w:rPr>
          <w:bCs/>
        </w:rPr>
        <w:t xml:space="preserve">σε </w:t>
      </w:r>
      <w:r w:rsidR="00A82A38" w:rsidRPr="00F64CC0">
        <w:rPr>
          <w:bCs/>
        </w:rPr>
        <w:t>ασθεν</w:t>
      </w:r>
      <w:r w:rsidR="00AF7100" w:rsidRPr="00F64CC0">
        <w:rPr>
          <w:bCs/>
        </w:rPr>
        <w:t>είς</w:t>
      </w:r>
      <w:r w:rsidR="00A82A38" w:rsidRPr="00F64CC0">
        <w:rPr>
          <w:bCs/>
        </w:rPr>
        <w:t xml:space="preserve"> </w:t>
      </w:r>
      <w:r w:rsidR="00AF7100" w:rsidRPr="00F64CC0">
        <w:rPr>
          <w:bCs/>
        </w:rPr>
        <w:t xml:space="preserve">με </w:t>
      </w:r>
      <w:r w:rsidR="00A82A38" w:rsidRPr="00F64CC0">
        <w:rPr>
          <w:bCs/>
        </w:rPr>
        <w:t xml:space="preserve">αντισώματα έναντι της </w:t>
      </w:r>
      <w:r w:rsidR="00A82A38" w:rsidRPr="00F64CC0">
        <w:rPr>
          <w:bCs/>
          <w:lang w:val="en-US"/>
        </w:rPr>
        <w:t>IgA</w:t>
      </w:r>
      <w:r w:rsidR="00A82A38" w:rsidRPr="00F64CC0">
        <w:rPr>
          <w:bCs/>
        </w:rPr>
        <w:t>.</w:t>
      </w:r>
    </w:p>
    <w:p w:rsidR="009A091F" w:rsidRPr="00F64CC0" w:rsidRDefault="009A091F" w:rsidP="00A03AAE">
      <w:pPr>
        <w:rPr>
          <w:bCs/>
        </w:rPr>
      </w:pPr>
    </w:p>
    <w:p w:rsidR="003500DD" w:rsidRPr="00F64CC0" w:rsidRDefault="009422C6" w:rsidP="00A03AAE">
      <w:pPr>
        <w:numPr>
          <w:ilvl w:val="1"/>
          <w:numId w:val="18"/>
        </w:numPr>
        <w:rPr>
          <w:b/>
          <w:bCs/>
        </w:rPr>
      </w:pPr>
      <w:r w:rsidRPr="00F64CC0">
        <w:rPr>
          <w:b/>
          <w:bCs/>
        </w:rPr>
        <w:t>Ιδιαίτερες</w:t>
      </w:r>
      <w:r w:rsidR="00B15F76" w:rsidRPr="00F64CC0">
        <w:rPr>
          <w:b/>
          <w:bCs/>
        </w:rPr>
        <w:t xml:space="preserve"> προειδοποιήσεις και</w:t>
      </w:r>
      <w:r w:rsidR="003500DD" w:rsidRPr="00F64CC0">
        <w:rPr>
          <w:b/>
          <w:bCs/>
        </w:rPr>
        <w:t xml:space="preserve"> προφυλάξεις κατά τη χρήση</w:t>
      </w:r>
    </w:p>
    <w:p w:rsidR="005426FC" w:rsidRPr="00F64CC0" w:rsidRDefault="005426FC" w:rsidP="00A03AAE">
      <w:pPr>
        <w:ind w:left="-45"/>
        <w:rPr>
          <w:bCs/>
        </w:rPr>
      </w:pPr>
      <w:r w:rsidRPr="00F64CC0">
        <w:rPr>
          <w:bCs/>
        </w:rPr>
        <w:t>Αυτό το φαρμακευτικό προϊόν περιέχει 100 mg μαλτόζης ανά ml</w:t>
      </w:r>
      <w:r w:rsidR="00674A19">
        <w:rPr>
          <w:bCs/>
        </w:rPr>
        <w:t>,</w:t>
      </w:r>
      <w:r w:rsidRPr="00F64CC0">
        <w:rPr>
          <w:bCs/>
        </w:rPr>
        <w:t xml:space="preserve"> ως έκδοχο. Η </w:t>
      </w:r>
      <w:r w:rsidR="00674A19">
        <w:rPr>
          <w:bCs/>
        </w:rPr>
        <w:t>παρεμβολή</w:t>
      </w:r>
      <w:r w:rsidR="00674A19" w:rsidRPr="00F64CC0">
        <w:rPr>
          <w:bCs/>
        </w:rPr>
        <w:t xml:space="preserve"> </w:t>
      </w:r>
      <w:r w:rsidRPr="00F64CC0">
        <w:rPr>
          <w:bCs/>
        </w:rPr>
        <w:t xml:space="preserve">της μαλτόζης </w:t>
      </w:r>
      <w:r w:rsidR="00674A19" w:rsidRPr="00F64CC0">
        <w:rPr>
          <w:bCs/>
        </w:rPr>
        <w:t>σε</w:t>
      </w:r>
      <w:r w:rsidR="00674A19">
        <w:rPr>
          <w:bCs/>
        </w:rPr>
        <w:t xml:space="preserve"> δοκιμασίες </w:t>
      </w:r>
      <w:r w:rsidRPr="00F64CC0">
        <w:rPr>
          <w:bCs/>
        </w:rPr>
        <w:t xml:space="preserve">προσδιορισμού γλυκόζης του αίματος μπορεί να οδηγήσει σε ψευδώς αυξημένες τιμές γλυκόζης και, κατά συνέπεια, στην ακατάλληλη </w:t>
      </w:r>
      <w:r w:rsidR="00674A19">
        <w:rPr>
          <w:bCs/>
        </w:rPr>
        <w:t>χορήγηση</w:t>
      </w:r>
      <w:r w:rsidR="00674A19" w:rsidRPr="00F64CC0">
        <w:rPr>
          <w:bCs/>
        </w:rPr>
        <w:t xml:space="preserve"> </w:t>
      </w:r>
      <w:r w:rsidRPr="00F64CC0">
        <w:rPr>
          <w:bCs/>
        </w:rPr>
        <w:t xml:space="preserve">ινσουλίνης, με </w:t>
      </w:r>
      <w:r w:rsidRPr="00F64CC0">
        <w:rPr>
          <w:bCs/>
        </w:rPr>
        <w:lastRenderedPageBreak/>
        <w:t>αποτέλεσμα την απειλητική για τη ζωή υπογλυκαιμία και το θάνατο. Επίσης, περιπτώσεις πραγματικής υπογλυκαιμίας μπορεί να μην αντιμετωπιστούν αν η υπογλυκαιμική κατάσταση καλύπτεται με ψευδώς αυξημένες τιμές γλυκόζης.</w:t>
      </w:r>
      <w:r w:rsidR="005D0A26" w:rsidRPr="00F64CC0">
        <w:rPr>
          <w:bCs/>
        </w:rPr>
        <w:t xml:space="preserve"> Για περισσότερες λεπτομέρειες βλέπε παράγραφο 4.5</w:t>
      </w:r>
      <w:r w:rsidRPr="00F64CC0">
        <w:rPr>
          <w:bCs/>
        </w:rPr>
        <w:t xml:space="preserve"> Για την οξεία νεφρική ανεπάρκεια βλέπε παρακάτω.</w:t>
      </w:r>
    </w:p>
    <w:p w:rsidR="005426FC" w:rsidRPr="00F64CC0" w:rsidRDefault="005426FC" w:rsidP="00A03AAE">
      <w:pPr>
        <w:ind w:left="-45"/>
        <w:rPr>
          <w:bCs/>
        </w:rPr>
      </w:pPr>
    </w:p>
    <w:p w:rsidR="00F741D2" w:rsidRPr="00F64CC0" w:rsidRDefault="009C6F4D" w:rsidP="00A03AAE">
      <w:pPr>
        <w:ind w:left="-45"/>
        <w:rPr>
          <w:bCs/>
        </w:rPr>
      </w:pPr>
      <w:r w:rsidRPr="00F64CC0">
        <w:rPr>
          <w:bCs/>
        </w:rPr>
        <w:t>Ορισμένες</w:t>
      </w:r>
      <w:r w:rsidR="00B22621" w:rsidRPr="00F64CC0">
        <w:rPr>
          <w:bCs/>
        </w:rPr>
        <w:t xml:space="preserve"> </w:t>
      </w:r>
      <w:r w:rsidRPr="00F64CC0">
        <w:rPr>
          <w:bCs/>
        </w:rPr>
        <w:t xml:space="preserve">σοβαρές ανεπιθύμητες ενέργειες είναι δυνατόν να συνδέονται με το ρυθμό της έγχυσης. </w:t>
      </w:r>
      <w:r w:rsidR="00B15F76" w:rsidRPr="00F64CC0">
        <w:rPr>
          <w:bCs/>
        </w:rPr>
        <w:t>Πρέπει να ακολουθείται πιστά ο</w:t>
      </w:r>
      <w:r w:rsidRPr="00F64CC0">
        <w:rPr>
          <w:bCs/>
        </w:rPr>
        <w:t xml:space="preserve"> </w:t>
      </w:r>
      <w:r w:rsidR="006E54E9">
        <w:rPr>
          <w:bCs/>
        </w:rPr>
        <w:t xml:space="preserve">συνιστώμενος </w:t>
      </w:r>
      <w:r w:rsidRPr="00F64CC0">
        <w:rPr>
          <w:bCs/>
        </w:rPr>
        <w:t>ρυθμός έγχυσης</w:t>
      </w:r>
      <w:r w:rsidR="00C10207" w:rsidRPr="00F64CC0">
        <w:rPr>
          <w:bCs/>
        </w:rPr>
        <w:t>, που αναφέρεται στην παράγραφο 4.2</w:t>
      </w:r>
      <w:r w:rsidR="009566FE" w:rsidRPr="00F64CC0">
        <w:rPr>
          <w:bCs/>
        </w:rPr>
        <w:t xml:space="preserve">. </w:t>
      </w:r>
      <w:r w:rsidR="000C0033" w:rsidRPr="00F64CC0">
        <w:rPr>
          <w:bCs/>
        </w:rPr>
        <w:t>Οι ασθενείς πρέπει να ελέγχονται με προσοχή και να παρακολουθούνται αυστηρά για την εμφάνιση τυχόν συμπτωμά</w:t>
      </w:r>
      <w:r w:rsidR="00B6042F" w:rsidRPr="00F64CC0">
        <w:rPr>
          <w:bCs/>
        </w:rPr>
        <w:t xml:space="preserve">των κατά τη </w:t>
      </w:r>
      <w:r w:rsidR="00B15F76" w:rsidRPr="00F64CC0">
        <w:rPr>
          <w:bCs/>
        </w:rPr>
        <w:t>διάρκεια της έ</w:t>
      </w:r>
      <w:r w:rsidR="000C0033" w:rsidRPr="00F64CC0">
        <w:rPr>
          <w:bCs/>
        </w:rPr>
        <w:t>γχ</w:t>
      </w:r>
      <w:r w:rsidR="00B15F76" w:rsidRPr="00F64CC0">
        <w:rPr>
          <w:bCs/>
        </w:rPr>
        <w:t>υ</w:t>
      </w:r>
      <w:r w:rsidR="000C0033" w:rsidRPr="00F64CC0">
        <w:rPr>
          <w:bCs/>
        </w:rPr>
        <w:t>σ</w:t>
      </w:r>
      <w:r w:rsidR="00B15F76" w:rsidRPr="00F64CC0">
        <w:rPr>
          <w:bCs/>
        </w:rPr>
        <w:t>η</w:t>
      </w:r>
      <w:r w:rsidR="009566FE" w:rsidRPr="00F64CC0">
        <w:rPr>
          <w:bCs/>
        </w:rPr>
        <w:t>ς</w:t>
      </w:r>
      <w:r w:rsidR="000C0033" w:rsidRPr="00F64CC0">
        <w:rPr>
          <w:bCs/>
        </w:rPr>
        <w:t>.</w:t>
      </w:r>
    </w:p>
    <w:p w:rsidR="000C77DA" w:rsidRPr="00F64CC0" w:rsidRDefault="000C0033" w:rsidP="00A03AAE">
      <w:pPr>
        <w:ind w:left="-45"/>
        <w:rPr>
          <w:bCs/>
        </w:rPr>
      </w:pPr>
      <w:r w:rsidRPr="00F64CC0">
        <w:rPr>
          <w:bCs/>
        </w:rPr>
        <w:t xml:space="preserve">Ορισμένες ανεπιθύμητες </w:t>
      </w:r>
      <w:r w:rsidR="00B15F76" w:rsidRPr="00F64CC0">
        <w:rPr>
          <w:bCs/>
        </w:rPr>
        <w:t>ενέργειες μπορεί να παρατηρηθούν</w:t>
      </w:r>
      <w:r w:rsidR="004C5F5C" w:rsidRPr="00F64CC0">
        <w:rPr>
          <w:bCs/>
        </w:rPr>
        <w:t xml:space="preserve"> πιο συχνά:</w:t>
      </w:r>
    </w:p>
    <w:p w:rsidR="00BC66A1" w:rsidRPr="00F64CC0" w:rsidRDefault="00BC66A1" w:rsidP="00A03AAE">
      <w:pPr>
        <w:numPr>
          <w:ilvl w:val="0"/>
          <w:numId w:val="21"/>
        </w:numPr>
        <w:rPr>
          <w:bCs/>
        </w:rPr>
      </w:pPr>
      <w:r w:rsidRPr="00F64CC0">
        <w:rPr>
          <w:bCs/>
        </w:rPr>
        <w:t>σε περίπτωση υψηλού ρυθμού έγχυσης</w:t>
      </w:r>
    </w:p>
    <w:p w:rsidR="00BC66A1" w:rsidRPr="00F64CC0" w:rsidRDefault="00BC66A1" w:rsidP="00A03AAE">
      <w:pPr>
        <w:numPr>
          <w:ilvl w:val="0"/>
          <w:numId w:val="21"/>
        </w:numPr>
        <w:rPr>
          <w:bCs/>
        </w:rPr>
      </w:pPr>
      <w:r w:rsidRPr="00F64CC0">
        <w:rPr>
          <w:bCs/>
        </w:rPr>
        <w:t xml:space="preserve">σε ασθενείς που λαμβάνουν ανθρώπινη φυσιολογική ανοσοσφαιρίνη για </w:t>
      </w:r>
      <w:r w:rsidR="00335D5A" w:rsidRPr="00F64CC0">
        <w:rPr>
          <w:bCs/>
        </w:rPr>
        <w:t>πρώτη φορά ή</w:t>
      </w:r>
      <w:r w:rsidRPr="00F64CC0">
        <w:rPr>
          <w:bCs/>
        </w:rPr>
        <w:t xml:space="preserve"> σε σπ</w:t>
      </w:r>
      <w:r w:rsidR="009566FE" w:rsidRPr="00F64CC0">
        <w:rPr>
          <w:bCs/>
        </w:rPr>
        <w:t xml:space="preserve">άνιες περιπτώσεις, όταν </w:t>
      </w:r>
      <w:r w:rsidR="00B15F76" w:rsidRPr="00F64CC0">
        <w:rPr>
          <w:bCs/>
        </w:rPr>
        <w:t xml:space="preserve">αλλάζουν </w:t>
      </w:r>
      <w:r w:rsidR="009566FE" w:rsidRPr="00F64CC0">
        <w:rPr>
          <w:bCs/>
        </w:rPr>
        <w:t xml:space="preserve">ιδιοσκεύασμα </w:t>
      </w:r>
      <w:r w:rsidRPr="00F64CC0">
        <w:rPr>
          <w:bCs/>
        </w:rPr>
        <w:t>ανθρώπι</w:t>
      </w:r>
      <w:r w:rsidR="009566FE" w:rsidRPr="00F64CC0">
        <w:rPr>
          <w:bCs/>
        </w:rPr>
        <w:t>νης φυσ</w:t>
      </w:r>
      <w:r w:rsidR="00B15F76" w:rsidRPr="00F64CC0">
        <w:rPr>
          <w:bCs/>
        </w:rPr>
        <w:t>ιολογικής ανοσοσφαιρίνης</w:t>
      </w:r>
      <w:r w:rsidRPr="00F64CC0">
        <w:rPr>
          <w:bCs/>
        </w:rPr>
        <w:t xml:space="preserve"> ή όταν το μεσοδιάστημα από την τελευταία έγχυση είναι μεγάλο.</w:t>
      </w:r>
    </w:p>
    <w:p w:rsidR="00E0270C" w:rsidRPr="00F64CC0" w:rsidRDefault="00E0270C" w:rsidP="00A03AAE">
      <w:pPr>
        <w:ind w:left="-45"/>
        <w:rPr>
          <w:bCs/>
        </w:rPr>
      </w:pPr>
    </w:p>
    <w:p w:rsidR="00E0270C" w:rsidRPr="00F64CC0" w:rsidRDefault="00E0270C" w:rsidP="00A03AAE">
      <w:pPr>
        <w:ind w:left="-45"/>
        <w:rPr>
          <w:bCs/>
        </w:rPr>
      </w:pPr>
      <w:r w:rsidRPr="00F64CC0">
        <w:rPr>
          <w:bCs/>
        </w:rPr>
        <w:t>Δυνητικές επιπλοκές μπορεί να αποφευ</w:t>
      </w:r>
      <w:r w:rsidR="00524C79" w:rsidRPr="00F64CC0">
        <w:rPr>
          <w:bCs/>
        </w:rPr>
        <w:t>χθούν εξασφαλίζοντας</w:t>
      </w:r>
      <w:r w:rsidR="003C69EE" w:rsidRPr="00F64CC0">
        <w:rPr>
          <w:bCs/>
        </w:rPr>
        <w:t xml:space="preserve"> ότι οι ασθενείς</w:t>
      </w:r>
      <w:r w:rsidR="00524C79" w:rsidRPr="00F64CC0">
        <w:rPr>
          <w:bCs/>
        </w:rPr>
        <w:t>:</w:t>
      </w:r>
    </w:p>
    <w:p w:rsidR="00524C79" w:rsidRPr="00F64CC0" w:rsidRDefault="00524C79" w:rsidP="006445F5">
      <w:pPr>
        <w:numPr>
          <w:ilvl w:val="0"/>
          <w:numId w:val="21"/>
        </w:numPr>
        <w:rPr>
          <w:bCs/>
        </w:rPr>
      </w:pPr>
      <w:r w:rsidRPr="00F64CC0">
        <w:rPr>
          <w:bCs/>
        </w:rPr>
        <w:t>δεν παρουσιάζουν ευαισθ</w:t>
      </w:r>
      <w:r w:rsidR="006445F5" w:rsidRPr="00F64CC0">
        <w:rPr>
          <w:bCs/>
        </w:rPr>
        <w:t>ησία στην ανθρώπινη φυσιολογική</w:t>
      </w:r>
      <w:r w:rsidR="00335D5A" w:rsidRPr="00F64CC0">
        <w:rPr>
          <w:bCs/>
        </w:rPr>
        <w:t xml:space="preserve"> </w:t>
      </w:r>
      <w:r w:rsidRPr="00F64CC0">
        <w:rPr>
          <w:bCs/>
        </w:rPr>
        <w:t xml:space="preserve">ανοσοσφαιρίνη </w:t>
      </w:r>
      <w:r w:rsidR="00B6042F" w:rsidRPr="00F64CC0">
        <w:rPr>
          <w:bCs/>
        </w:rPr>
        <w:t xml:space="preserve">χορηγώντας </w:t>
      </w:r>
      <w:r w:rsidR="00C247E6">
        <w:rPr>
          <w:bCs/>
        </w:rPr>
        <w:t xml:space="preserve">το προϊόν </w:t>
      </w:r>
      <w:r w:rsidR="00B6042F" w:rsidRPr="00F64CC0">
        <w:rPr>
          <w:bCs/>
        </w:rPr>
        <w:t xml:space="preserve">αρχικά </w:t>
      </w:r>
      <w:r w:rsidR="00335D5A" w:rsidRPr="00F64CC0">
        <w:rPr>
          <w:bCs/>
        </w:rPr>
        <w:t>με αργό ρυθμό</w:t>
      </w:r>
      <w:r w:rsidRPr="00F64CC0">
        <w:rPr>
          <w:bCs/>
        </w:rPr>
        <w:t xml:space="preserve"> </w:t>
      </w:r>
      <w:r w:rsidR="00335D5A" w:rsidRPr="00F64CC0">
        <w:rPr>
          <w:bCs/>
        </w:rPr>
        <w:t>(</w:t>
      </w:r>
      <w:r w:rsidRPr="00F64CC0">
        <w:rPr>
          <w:bCs/>
        </w:rPr>
        <w:t>ρυθμός</w:t>
      </w:r>
      <w:r w:rsidR="00335D5A" w:rsidRPr="00F64CC0">
        <w:rPr>
          <w:bCs/>
        </w:rPr>
        <w:t xml:space="preserve"> χορήγησης 0,46-0,92</w:t>
      </w:r>
      <w:r w:rsidRPr="00F64CC0">
        <w:rPr>
          <w:bCs/>
          <w:lang w:val="en-US"/>
        </w:rPr>
        <w:t>ml</w:t>
      </w:r>
      <w:r w:rsidRPr="00F64CC0">
        <w:rPr>
          <w:bCs/>
        </w:rPr>
        <w:t>/</w:t>
      </w:r>
      <w:r w:rsidRPr="00F64CC0">
        <w:rPr>
          <w:bCs/>
          <w:lang w:val="en-US"/>
        </w:rPr>
        <w:t>kg</w:t>
      </w:r>
      <w:r w:rsidR="00335D5A" w:rsidRPr="00F64CC0">
        <w:rPr>
          <w:bCs/>
        </w:rPr>
        <w:t>/ ώρα)</w:t>
      </w:r>
      <w:r w:rsidRPr="00F64CC0">
        <w:rPr>
          <w:bCs/>
        </w:rPr>
        <w:t>.</w:t>
      </w:r>
    </w:p>
    <w:p w:rsidR="00077D6A" w:rsidRPr="00F64CC0" w:rsidRDefault="00B15F76" w:rsidP="00A03AAE">
      <w:pPr>
        <w:numPr>
          <w:ilvl w:val="0"/>
          <w:numId w:val="21"/>
        </w:numPr>
        <w:rPr>
          <w:bCs/>
        </w:rPr>
      </w:pPr>
      <w:r w:rsidRPr="00F64CC0">
        <w:rPr>
          <w:bCs/>
        </w:rPr>
        <w:t>παρακολουθούνται στε</w:t>
      </w:r>
      <w:r w:rsidR="00773BB2" w:rsidRPr="00F64CC0">
        <w:rPr>
          <w:bCs/>
        </w:rPr>
        <w:t>νά</w:t>
      </w:r>
      <w:r w:rsidR="00077D6A" w:rsidRPr="00F64CC0">
        <w:rPr>
          <w:bCs/>
        </w:rPr>
        <w:t xml:space="preserve"> για τυχόν συμπτώματα κατά τη διάρκεια της έγχυσης. Ειδικότερα, </w:t>
      </w:r>
      <w:r w:rsidR="0032229D" w:rsidRPr="00F64CC0">
        <w:rPr>
          <w:bCs/>
        </w:rPr>
        <w:t xml:space="preserve">οι </w:t>
      </w:r>
      <w:r w:rsidR="00077D6A" w:rsidRPr="00F64CC0">
        <w:rPr>
          <w:bCs/>
        </w:rPr>
        <w:t>ασθενείς που λαμβάνουν ανθρώπινη φυσιολογική ανοσοσφαιρίνη για πρώτη φορά</w:t>
      </w:r>
      <w:r w:rsidR="00773BB2" w:rsidRPr="00F64CC0">
        <w:rPr>
          <w:bCs/>
        </w:rPr>
        <w:t xml:space="preserve"> ή</w:t>
      </w:r>
      <w:r w:rsidR="00077D6A" w:rsidRPr="00F64CC0">
        <w:rPr>
          <w:bCs/>
        </w:rPr>
        <w:t xml:space="preserve"> που αλλάζουν ιδιοσκεύασμα ανθρώπινης </w:t>
      </w:r>
      <w:r w:rsidR="00E263D5" w:rsidRPr="00F64CC0">
        <w:rPr>
          <w:bCs/>
        </w:rPr>
        <w:t>φυσιολογικής</w:t>
      </w:r>
      <w:r w:rsidR="00077D6A" w:rsidRPr="00F64CC0">
        <w:rPr>
          <w:bCs/>
        </w:rPr>
        <w:t xml:space="preserve"> ανοσοσφαιρίνης ή όταν το μεσοδιάστημα από την τε</w:t>
      </w:r>
      <w:r w:rsidR="0032229D" w:rsidRPr="00F64CC0">
        <w:rPr>
          <w:bCs/>
        </w:rPr>
        <w:t xml:space="preserve">λευταία έγχυση είναι μεγάλο, </w:t>
      </w:r>
      <w:r w:rsidR="00077D6A" w:rsidRPr="00F64CC0">
        <w:rPr>
          <w:bCs/>
        </w:rPr>
        <w:t>πρέπει να παρακολουθούνται κατά τη διάρκεια της πρώτης</w:t>
      </w:r>
      <w:r w:rsidR="000A7433" w:rsidRPr="00F64CC0">
        <w:rPr>
          <w:bCs/>
        </w:rPr>
        <w:t xml:space="preserve"> </w:t>
      </w:r>
      <w:r w:rsidR="00077D6A" w:rsidRPr="00F64CC0">
        <w:rPr>
          <w:bCs/>
        </w:rPr>
        <w:t>έγχυσης και επί μία ώρα μετά την πρώτη έγχυση, ώστε να εντοπιστ</w:t>
      </w:r>
      <w:r w:rsidR="0032229D" w:rsidRPr="00F64CC0">
        <w:rPr>
          <w:bCs/>
        </w:rPr>
        <w:t xml:space="preserve">ούν τυχόν ανεπιθύμητες </w:t>
      </w:r>
      <w:r w:rsidR="000A7433" w:rsidRPr="00F64CC0">
        <w:rPr>
          <w:bCs/>
        </w:rPr>
        <w:t>ενέργειες</w:t>
      </w:r>
      <w:r w:rsidR="00077D6A" w:rsidRPr="00F64CC0">
        <w:rPr>
          <w:bCs/>
        </w:rPr>
        <w:t>. Οι υπόλοιποι ασθενείς θα πρέπει να παρακολουθούνται για τουλάχιστον 20 λεπτά μετά τη χορήγηση.</w:t>
      </w:r>
    </w:p>
    <w:p w:rsidR="000E1003" w:rsidRPr="00F64CC0" w:rsidRDefault="000E1003" w:rsidP="00A03AAE">
      <w:pPr>
        <w:ind w:left="-45"/>
        <w:rPr>
          <w:bCs/>
        </w:rPr>
      </w:pPr>
    </w:p>
    <w:p w:rsidR="00C43A82" w:rsidRPr="00F64CC0" w:rsidRDefault="00C43A82" w:rsidP="00A03AAE">
      <w:pPr>
        <w:ind w:left="-45"/>
        <w:rPr>
          <w:bCs/>
        </w:rPr>
      </w:pPr>
      <w:r w:rsidRPr="00F64CC0">
        <w:rPr>
          <w:bCs/>
        </w:rPr>
        <w:t>Σε περίπτωση ανεπιθύμητης ενέργειας, είτε ο ρυθμός της χορήγησης πρέπει να μειωθεί είτε η έγχυση να διακοπεί.</w:t>
      </w:r>
      <w:r w:rsidR="00C247E6" w:rsidRPr="00F64CC0" w:rsidDel="00C247E6">
        <w:rPr>
          <w:bCs/>
        </w:rPr>
        <w:t xml:space="preserve"> </w:t>
      </w:r>
      <w:r w:rsidRPr="00F64CC0">
        <w:rPr>
          <w:bCs/>
        </w:rPr>
        <w:t>Η απαιτούμενη θεραπεία εξαρτάται από τη φύση και τη σοβαρότητα της ανεπιθύμητης ενέργειας.</w:t>
      </w:r>
    </w:p>
    <w:p w:rsidR="00C43A82" w:rsidRPr="00F64CC0" w:rsidRDefault="00C43A82" w:rsidP="00A03AAE">
      <w:pPr>
        <w:ind w:left="-45"/>
        <w:rPr>
          <w:bCs/>
        </w:rPr>
      </w:pPr>
      <w:r w:rsidRPr="00F64CC0">
        <w:rPr>
          <w:bCs/>
        </w:rPr>
        <w:t>Σε περίπτωση καταπληξίας πρέπει να εφαρμόζονται οι ισχύουσες ειδικές οδηγίες αντιμετώπισης της καταπληξίας.</w:t>
      </w:r>
    </w:p>
    <w:p w:rsidR="00C43A82" w:rsidRPr="00F64CC0" w:rsidRDefault="00C43A82" w:rsidP="00A03AAE">
      <w:pPr>
        <w:ind w:left="-45"/>
        <w:rPr>
          <w:bCs/>
        </w:rPr>
      </w:pPr>
    </w:p>
    <w:p w:rsidR="00C43A82" w:rsidRPr="00F64CC0" w:rsidRDefault="00C43A82" w:rsidP="00A03AAE">
      <w:pPr>
        <w:ind w:left="-45"/>
        <w:rPr>
          <w:bCs/>
        </w:rPr>
      </w:pPr>
      <w:r w:rsidRPr="00F64CC0">
        <w:rPr>
          <w:bCs/>
        </w:rPr>
        <w:t xml:space="preserve">Σε όλους τους ασθενείς, η χορήγηση </w:t>
      </w:r>
      <w:proofErr w:type="spellStart"/>
      <w:r w:rsidR="009B699A">
        <w:rPr>
          <w:bCs/>
          <w:lang w:val="en-US"/>
        </w:rPr>
        <w:t>IVIg</w:t>
      </w:r>
      <w:proofErr w:type="spellEnd"/>
      <w:r w:rsidRPr="00F64CC0">
        <w:rPr>
          <w:bCs/>
        </w:rPr>
        <w:t xml:space="preserve"> απαιτεί:</w:t>
      </w:r>
    </w:p>
    <w:p w:rsidR="00C43A82" w:rsidRPr="00F64CC0" w:rsidRDefault="00C43A82" w:rsidP="00A03AAE">
      <w:pPr>
        <w:numPr>
          <w:ilvl w:val="0"/>
          <w:numId w:val="21"/>
        </w:numPr>
        <w:rPr>
          <w:bCs/>
        </w:rPr>
      </w:pPr>
      <w:r w:rsidRPr="00F64CC0">
        <w:rPr>
          <w:bCs/>
        </w:rPr>
        <w:t xml:space="preserve">Επαρκή ενυδάτωση του ασθενούς πριν την έναρξη της έγχυσης της </w:t>
      </w:r>
      <w:proofErr w:type="spellStart"/>
      <w:r w:rsidRPr="00F64CC0">
        <w:rPr>
          <w:bCs/>
          <w:lang w:val="en-US"/>
        </w:rPr>
        <w:t>IVIg</w:t>
      </w:r>
      <w:proofErr w:type="spellEnd"/>
    </w:p>
    <w:p w:rsidR="00C43A82" w:rsidRPr="00F64CC0" w:rsidRDefault="00C43A82" w:rsidP="00A03AAE">
      <w:pPr>
        <w:numPr>
          <w:ilvl w:val="0"/>
          <w:numId w:val="21"/>
        </w:numPr>
        <w:rPr>
          <w:bCs/>
          <w:lang w:val="en-US"/>
        </w:rPr>
      </w:pPr>
      <w:proofErr w:type="spellStart"/>
      <w:r w:rsidRPr="00F64CC0">
        <w:rPr>
          <w:bCs/>
          <w:lang w:val="en-US"/>
        </w:rPr>
        <w:t>Παρακολούθηση</w:t>
      </w:r>
      <w:proofErr w:type="spellEnd"/>
      <w:r w:rsidRPr="00F64CC0">
        <w:rPr>
          <w:bCs/>
          <w:lang w:val="en-US"/>
        </w:rPr>
        <w:t xml:space="preserve"> </w:t>
      </w:r>
      <w:proofErr w:type="spellStart"/>
      <w:r w:rsidRPr="00F64CC0">
        <w:rPr>
          <w:bCs/>
          <w:lang w:val="en-US"/>
        </w:rPr>
        <w:t>της</w:t>
      </w:r>
      <w:proofErr w:type="spellEnd"/>
      <w:r w:rsidRPr="00F64CC0">
        <w:rPr>
          <w:bCs/>
          <w:lang w:val="en-US"/>
        </w:rPr>
        <w:t xml:space="preserve"> </w:t>
      </w:r>
      <w:proofErr w:type="spellStart"/>
      <w:r w:rsidRPr="00F64CC0">
        <w:rPr>
          <w:bCs/>
          <w:lang w:val="en-US"/>
        </w:rPr>
        <w:t>διούρησης</w:t>
      </w:r>
      <w:proofErr w:type="spellEnd"/>
    </w:p>
    <w:p w:rsidR="00C43A82" w:rsidRPr="00F64CC0" w:rsidRDefault="00C43A82" w:rsidP="00A03AAE">
      <w:pPr>
        <w:numPr>
          <w:ilvl w:val="0"/>
          <w:numId w:val="21"/>
        </w:numPr>
        <w:rPr>
          <w:bCs/>
        </w:rPr>
      </w:pPr>
      <w:r w:rsidRPr="00F64CC0">
        <w:rPr>
          <w:bCs/>
        </w:rPr>
        <w:t>Παρακολούθηση των επιπέδων κρεατινίνης του ορού</w:t>
      </w:r>
    </w:p>
    <w:p w:rsidR="00C43A82" w:rsidRPr="00F64CC0" w:rsidRDefault="00C43A82" w:rsidP="00A03AAE">
      <w:pPr>
        <w:numPr>
          <w:ilvl w:val="0"/>
          <w:numId w:val="21"/>
        </w:numPr>
        <w:rPr>
          <w:bCs/>
        </w:rPr>
      </w:pPr>
      <w:r w:rsidRPr="00F64CC0">
        <w:rPr>
          <w:bCs/>
        </w:rPr>
        <w:t>Αποφυγή ταυτόχρονης χορήγησης διουρητικών της αγκύλης</w:t>
      </w:r>
    </w:p>
    <w:p w:rsidR="00607858" w:rsidRPr="00F64CC0" w:rsidRDefault="00607858" w:rsidP="00A03AAE">
      <w:pPr>
        <w:ind w:left="-45"/>
        <w:rPr>
          <w:bCs/>
        </w:rPr>
      </w:pPr>
    </w:p>
    <w:p w:rsidR="001033AB" w:rsidRPr="00900919" w:rsidRDefault="00607858" w:rsidP="00900919">
      <w:pPr>
        <w:ind w:left="-45"/>
        <w:rPr>
          <w:bCs/>
          <w:u w:val="single"/>
          <w:lang w:val="en-US"/>
        </w:rPr>
      </w:pPr>
      <w:r w:rsidRPr="00F64CC0">
        <w:rPr>
          <w:bCs/>
          <w:u w:val="single"/>
        </w:rPr>
        <w:t>Υπερευαισθησία</w:t>
      </w:r>
    </w:p>
    <w:p w:rsidR="00830A1F" w:rsidRPr="00900919" w:rsidRDefault="00607858" w:rsidP="00900919">
      <w:pPr>
        <w:ind w:left="-45"/>
        <w:rPr>
          <w:bCs/>
        </w:rPr>
      </w:pPr>
      <w:r w:rsidRPr="00F64CC0">
        <w:rPr>
          <w:bCs/>
        </w:rPr>
        <w:t>Πραγματικές αντιδράσεις υπερευαισθησίας είναι σπάνιες. Μπορούν να εμφανιστούν σε ασθενείς με αντι-IgA αντισώματα.</w:t>
      </w:r>
    </w:p>
    <w:p w:rsidR="00830A1F" w:rsidRPr="00900919" w:rsidRDefault="00C247E6" w:rsidP="00900919">
      <w:pPr>
        <w:ind w:left="-45"/>
        <w:rPr>
          <w:bCs/>
        </w:rPr>
      </w:pPr>
      <w:r>
        <w:rPr>
          <w:bCs/>
        </w:rPr>
        <w:t>Οι</w:t>
      </w:r>
      <w:r w:rsidRPr="00F64CC0">
        <w:rPr>
          <w:bCs/>
        </w:rPr>
        <w:t xml:space="preserve"> </w:t>
      </w:r>
      <w:r w:rsidR="00607858" w:rsidRPr="00F64CC0">
        <w:rPr>
          <w:bCs/>
        </w:rPr>
        <w:t>IVIg δεν ενδείκνυται σε ασθενείς με επιλεκτική ανεπάρκεια IgA, όπου η ανεπάρκεια IgA είναι η μόνη ανωμαλία.που προκαλεί ανησυχία.</w:t>
      </w:r>
    </w:p>
    <w:p w:rsidR="00607858" w:rsidRPr="00F64CC0" w:rsidRDefault="00607858" w:rsidP="00A03AAE">
      <w:pPr>
        <w:ind w:left="-45"/>
        <w:rPr>
          <w:bCs/>
        </w:rPr>
      </w:pPr>
      <w:r w:rsidRPr="00F64CC0">
        <w:rPr>
          <w:bCs/>
        </w:rPr>
        <w:t>Σπάνια, η ανθρώπινη φυσιολογική ανοσοσφαιρίνη μπορεί να προκαλέσει πτώση της πίεσης του αίματος με αναφυλακτική αντίδραση, ακόμη και σε ασθενείς οι οποίοι είχαν ανεχθεί προηγούμενη θεραπεία με ανθρώπινη φυσιολογική ανοσοσφαιρίνη.</w:t>
      </w:r>
    </w:p>
    <w:p w:rsidR="00C43A82" w:rsidRPr="00F64CC0" w:rsidRDefault="00C43A82" w:rsidP="00A03AAE">
      <w:pPr>
        <w:ind w:left="-45"/>
        <w:rPr>
          <w:bCs/>
        </w:rPr>
      </w:pPr>
    </w:p>
    <w:p w:rsidR="00607858" w:rsidRPr="00F64CC0" w:rsidRDefault="00C43A82" w:rsidP="00A03AAE">
      <w:pPr>
        <w:ind w:left="-45"/>
        <w:rPr>
          <w:bCs/>
          <w:u w:val="single"/>
        </w:rPr>
      </w:pPr>
      <w:r w:rsidRPr="00F64CC0">
        <w:rPr>
          <w:bCs/>
          <w:u w:val="single"/>
        </w:rPr>
        <w:t>Θρομβοεμβολή</w:t>
      </w:r>
    </w:p>
    <w:p w:rsidR="006D580F" w:rsidRPr="00900919" w:rsidRDefault="000E1003" w:rsidP="00900919">
      <w:pPr>
        <w:rPr>
          <w:bCs/>
        </w:rPr>
      </w:pPr>
      <w:r w:rsidRPr="00F64CC0">
        <w:rPr>
          <w:bCs/>
        </w:rPr>
        <w:t>Υπάρχου</w:t>
      </w:r>
      <w:r w:rsidR="00B6042F" w:rsidRPr="00F64CC0">
        <w:rPr>
          <w:bCs/>
        </w:rPr>
        <w:t>ν κλινικές ενδείξεις συσχέτισης</w:t>
      </w:r>
      <w:r w:rsidRPr="00F64CC0">
        <w:rPr>
          <w:bCs/>
        </w:rPr>
        <w:t xml:space="preserve"> της χορήγησης </w:t>
      </w:r>
      <w:proofErr w:type="spellStart"/>
      <w:r w:rsidRPr="00F64CC0">
        <w:rPr>
          <w:bCs/>
          <w:lang w:val="en-US"/>
        </w:rPr>
        <w:t>IVIg</w:t>
      </w:r>
      <w:proofErr w:type="spellEnd"/>
      <w:r w:rsidRPr="00F64CC0">
        <w:rPr>
          <w:bCs/>
        </w:rPr>
        <w:t xml:space="preserve"> </w:t>
      </w:r>
      <w:r w:rsidR="00B6042F" w:rsidRPr="00F64CC0">
        <w:rPr>
          <w:bCs/>
        </w:rPr>
        <w:t>και θρομβοεμβολικών επεισοδίων</w:t>
      </w:r>
      <w:r w:rsidRPr="00F64CC0">
        <w:rPr>
          <w:bCs/>
        </w:rPr>
        <w:t xml:space="preserve"> όπως έμφραγμα του μυοκαρδίου,</w:t>
      </w:r>
      <w:r w:rsidR="006D580F" w:rsidRPr="00224BEE">
        <w:t xml:space="preserve"> </w:t>
      </w:r>
      <w:r w:rsidR="006D580F" w:rsidRPr="00F64CC0">
        <w:rPr>
          <w:bCs/>
        </w:rPr>
        <w:t>αγγειακό εγκεφαλικό επεισόδιο</w:t>
      </w:r>
      <w:r w:rsidRPr="00F64CC0">
        <w:rPr>
          <w:bCs/>
        </w:rPr>
        <w:t xml:space="preserve"> </w:t>
      </w:r>
      <w:r w:rsidR="006D580F" w:rsidRPr="00F64CC0">
        <w:rPr>
          <w:bCs/>
        </w:rPr>
        <w:t xml:space="preserve">(συμπεριλαμβανομένου </w:t>
      </w:r>
      <w:r w:rsidR="00414C89" w:rsidRPr="00F64CC0">
        <w:rPr>
          <w:bCs/>
        </w:rPr>
        <w:t xml:space="preserve">οξέος </w:t>
      </w:r>
      <w:r w:rsidRPr="00F64CC0">
        <w:rPr>
          <w:bCs/>
        </w:rPr>
        <w:lastRenderedPageBreak/>
        <w:t>εγκεφαλικ</w:t>
      </w:r>
      <w:r w:rsidR="006D580F" w:rsidRPr="00F64CC0">
        <w:rPr>
          <w:bCs/>
        </w:rPr>
        <w:t>ού</w:t>
      </w:r>
      <w:r w:rsidRPr="00F64CC0">
        <w:rPr>
          <w:bCs/>
        </w:rPr>
        <w:t xml:space="preserve"> </w:t>
      </w:r>
      <w:r w:rsidR="006D580F" w:rsidRPr="00F64CC0">
        <w:rPr>
          <w:bCs/>
        </w:rPr>
        <w:t>επεισοδίου</w:t>
      </w:r>
      <w:r w:rsidRPr="00F64CC0">
        <w:rPr>
          <w:bCs/>
        </w:rPr>
        <w:t xml:space="preserve">, πνευμονική εμβολή και </w:t>
      </w:r>
      <w:r w:rsidR="00B6042F" w:rsidRPr="00F64CC0">
        <w:rPr>
          <w:bCs/>
        </w:rPr>
        <w:t>εν τω βάθει φλεβική θρόμβωση</w:t>
      </w:r>
      <w:r w:rsidRPr="00F64CC0">
        <w:rPr>
          <w:bCs/>
        </w:rPr>
        <w:t>, τα οποία θ</w:t>
      </w:r>
      <w:r w:rsidR="007A0A9F" w:rsidRPr="00F64CC0">
        <w:rPr>
          <w:bCs/>
        </w:rPr>
        <w:t>εωρείται ότι σχετίζονται με τη σχετική</w:t>
      </w:r>
      <w:r w:rsidR="0032229D" w:rsidRPr="00F64CC0">
        <w:rPr>
          <w:bCs/>
        </w:rPr>
        <w:t xml:space="preserve"> </w:t>
      </w:r>
      <w:r w:rsidR="007A0A9F" w:rsidRPr="00F64CC0">
        <w:rPr>
          <w:bCs/>
        </w:rPr>
        <w:t>αύξηση της</w:t>
      </w:r>
      <w:r w:rsidRPr="00F64CC0">
        <w:rPr>
          <w:bCs/>
        </w:rPr>
        <w:t xml:space="preserve"> γλοιότητα</w:t>
      </w:r>
      <w:r w:rsidR="007A0A9F" w:rsidRPr="00F64CC0">
        <w:rPr>
          <w:bCs/>
        </w:rPr>
        <w:t>ς του</w:t>
      </w:r>
      <w:r w:rsidR="00D35102" w:rsidRPr="00F64CC0">
        <w:rPr>
          <w:bCs/>
        </w:rPr>
        <w:t xml:space="preserve"> αίματος </w:t>
      </w:r>
      <w:r w:rsidR="007A0A9F" w:rsidRPr="00F64CC0">
        <w:rPr>
          <w:bCs/>
        </w:rPr>
        <w:t>μέσω της υψηλής εισροής ανοσοσφαιρίνης σε</w:t>
      </w:r>
      <w:r w:rsidRPr="00F64CC0">
        <w:rPr>
          <w:bCs/>
        </w:rPr>
        <w:t xml:space="preserve"> </w:t>
      </w:r>
      <w:r w:rsidR="007A0A9F" w:rsidRPr="00F64CC0">
        <w:rPr>
          <w:bCs/>
        </w:rPr>
        <w:t xml:space="preserve">ασθενείς </w:t>
      </w:r>
      <w:r w:rsidRPr="00F64CC0">
        <w:rPr>
          <w:bCs/>
        </w:rPr>
        <w:t>υψηλού κινδύνου. Συνιστάται προσοχή στη</w:t>
      </w:r>
      <w:r w:rsidR="007A0A9F" w:rsidRPr="00F64CC0">
        <w:rPr>
          <w:bCs/>
        </w:rPr>
        <w:t xml:space="preserve"> συνταγογράφηση </w:t>
      </w:r>
      <w:r w:rsidRPr="00F64CC0">
        <w:rPr>
          <w:bCs/>
        </w:rPr>
        <w:t xml:space="preserve">και έγχυση </w:t>
      </w:r>
      <w:proofErr w:type="spellStart"/>
      <w:r w:rsidRPr="00F64CC0">
        <w:rPr>
          <w:bCs/>
          <w:lang w:val="en-US"/>
        </w:rPr>
        <w:t>IVIg</w:t>
      </w:r>
      <w:proofErr w:type="spellEnd"/>
      <w:r w:rsidR="0032229D" w:rsidRPr="00F64CC0">
        <w:rPr>
          <w:bCs/>
        </w:rPr>
        <w:t xml:space="preserve"> σε</w:t>
      </w:r>
      <w:r w:rsidRPr="00F64CC0">
        <w:rPr>
          <w:bCs/>
        </w:rPr>
        <w:t xml:space="preserve"> </w:t>
      </w:r>
      <w:r w:rsidR="007A0A9F" w:rsidRPr="00F64CC0">
        <w:rPr>
          <w:bCs/>
        </w:rPr>
        <w:t xml:space="preserve">παχύσαρκους </w:t>
      </w:r>
      <w:r w:rsidRPr="00F64CC0">
        <w:rPr>
          <w:bCs/>
        </w:rPr>
        <w:t>ασθενείς</w:t>
      </w:r>
      <w:r w:rsidR="007A0A9F" w:rsidRPr="00F64CC0">
        <w:rPr>
          <w:bCs/>
        </w:rPr>
        <w:t xml:space="preserve"> και σε ασθενείς με προϋ</w:t>
      </w:r>
      <w:r w:rsidRPr="00F64CC0">
        <w:rPr>
          <w:bCs/>
        </w:rPr>
        <w:t>πάρχοντες π</w:t>
      </w:r>
      <w:r w:rsidR="007A0A9F" w:rsidRPr="00F64CC0">
        <w:rPr>
          <w:bCs/>
        </w:rPr>
        <w:t xml:space="preserve">αράγοντες κινδύνου για </w:t>
      </w:r>
      <w:r w:rsidR="00C247E6" w:rsidRPr="00F64CC0">
        <w:rPr>
          <w:bCs/>
        </w:rPr>
        <w:t>θρ</w:t>
      </w:r>
      <w:r w:rsidR="00C247E6">
        <w:rPr>
          <w:bCs/>
        </w:rPr>
        <w:t>ομβωτικά επεισόδια</w:t>
      </w:r>
      <w:r w:rsidR="00C247E6" w:rsidRPr="00F64CC0">
        <w:rPr>
          <w:bCs/>
        </w:rPr>
        <w:t xml:space="preserve"> </w:t>
      </w:r>
      <w:r w:rsidR="0032229D" w:rsidRPr="00F64CC0">
        <w:rPr>
          <w:bCs/>
        </w:rPr>
        <w:t>(όπως προχωρημένη</w:t>
      </w:r>
      <w:r w:rsidRPr="00F64CC0">
        <w:rPr>
          <w:bCs/>
        </w:rPr>
        <w:t xml:space="preserve"> ηλικία, υπέρταση, σακχαρώδης διαβήτης και </w:t>
      </w:r>
      <w:r w:rsidR="007B3CD7" w:rsidRPr="00F64CC0">
        <w:rPr>
          <w:bCs/>
        </w:rPr>
        <w:t xml:space="preserve">ιστορικό </w:t>
      </w:r>
      <w:r w:rsidR="00C247E6" w:rsidRPr="00F64CC0">
        <w:rPr>
          <w:bCs/>
        </w:rPr>
        <w:t>αγγειακ</w:t>
      </w:r>
      <w:r w:rsidR="00C247E6">
        <w:rPr>
          <w:bCs/>
        </w:rPr>
        <w:t>ής</w:t>
      </w:r>
      <w:r w:rsidR="00C247E6" w:rsidRPr="00F64CC0">
        <w:rPr>
          <w:bCs/>
        </w:rPr>
        <w:t xml:space="preserve"> </w:t>
      </w:r>
      <w:r w:rsidR="00C247E6">
        <w:rPr>
          <w:bCs/>
        </w:rPr>
        <w:t>νόσου</w:t>
      </w:r>
      <w:r w:rsidR="00C247E6" w:rsidRPr="00F64CC0">
        <w:rPr>
          <w:bCs/>
        </w:rPr>
        <w:t xml:space="preserve"> </w:t>
      </w:r>
      <w:r w:rsidR="007B3CD7" w:rsidRPr="00F64CC0">
        <w:rPr>
          <w:bCs/>
        </w:rPr>
        <w:t>ή</w:t>
      </w:r>
      <w:r w:rsidR="007A0A9F" w:rsidRPr="00F64CC0">
        <w:rPr>
          <w:bCs/>
        </w:rPr>
        <w:t xml:space="preserve"> θρομβωτικών επεισο</w:t>
      </w:r>
      <w:r w:rsidRPr="00F64CC0">
        <w:rPr>
          <w:bCs/>
        </w:rPr>
        <w:t>δ</w:t>
      </w:r>
      <w:r w:rsidR="007A0A9F" w:rsidRPr="00F64CC0">
        <w:rPr>
          <w:bCs/>
        </w:rPr>
        <w:t>ίων</w:t>
      </w:r>
      <w:r w:rsidRPr="00F64CC0">
        <w:rPr>
          <w:bCs/>
        </w:rPr>
        <w:t>, ασθενείς με</w:t>
      </w:r>
      <w:r w:rsidR="007A0A9F" w:rsidRPr="00F64CC0">
        <w:rPr>
          <w:bCs/>
        </w:rPr>
        <w:t xml:space="preserve"> επίκτητες ή κληρονομικές </w:t>
      </w:r>
      <w:r w:rsidR="00C94A9F" w:rsidRPr="00F64CC0">
        <w:rPr>
          <w:bCs/>
        </w:rPr>
        <w:t>θ</w:t>
      </w:r>
      <w:r w:rsidR="007A0A9F" w:rsidRPr="00F64CC0">
        <w:rPr>
          <w:bCs/>
        </w:rPr>
        <w:t>ρομβοφιλικές διαταραχές</w:t>
      </w:r>
      <w:r w:rsidR="00146B03" w:rsidRPr="00F64CC0">
        <w:rPr>
          <w:bCs/>
        </w:rPr>
        <w:t>, ασθενείς με</w:t>
      </w:r>
      <w:r w:rsidRPr="00F64CC0">
        <w:rPr>
          <w:bCs/>
        </w:rPr>
        <w:t xml:space="preserve"> παρ</w:t>
      </w:r>
      <w:r w:rsidR="007A0A9F" w:rsidRPr="00F64CC0">
        <w:rPr>
          <w:bCs/>
        </w:rPr>
        <w:t>ατεταμένη περίοδο ακινησίας</w:t>
      </w:r>
      <w:r w:rsidRPr="00F64CC0">
        <w:rPr>
          <w:bCs/>
        </w:rPr>
        <w:t xml:space="preserve">, </w:t>
      </w:r>
      <w:r w:rsidR="007A0A9F" w:rsidRPr="00F64CC0">
        <w:rPr>
          <w:bCs/>
        </w:rPr>
        <w:t>σοβαρά υποογκαιμικούς</w:t>
      </w:r>
      <w:r w:rsidR="00146B03" w:rsidRPr="00F64CC0">
        <w:rPr>
          <w:bCs/>
        </w:rPr>
        <w:t xml:space="preserve"> ασθενείς</w:t>
      </w:r>
      <w:r w:rsidRPr="00F64CC0">
        <w:rPr>
          <w:bCs/>
        </w:rPr>
        <w:t xml:space="preserve">, ασθενείς με </w:t>
      </w:r>
      <w:r w:rsidR="007A0A9F" w:rsidRPr="00F64CC0">
        <w:rPr>
          <w:bCs/>
        </w:rPr>
        <w:t xml:space="preserve">νόσους που </w:t>
      </w:r>
      <w:r w:rsidR="00146B03" w:rsidRPr="00F64CC0">
        <w:rPr>
          <w:bCs/>
        </w:rPr>
        <w:t>αυξ</w:t>
      </w:r>
      <w:r w:rsidR="007A0A9F" w:rsidRPr="00F64CC0">
        <w:rPr>
          <w:bCs/>
        </w:rPr>
        <w:t>άνουν τη</w:t>
      </w:r>
      <w:r w:rsidR="00146B03" w:rsidRPr="00F64CC0">
        <w:rPr>
          <w:bCs/>
        </w:rPr>
        <w:t xml:space="preserve"> γλοιότητα</w:t>
      </w:r>
      <w:r w:rsidRPr="00F64CC0">
        <w:rPr>
          <w:bCs/>
        </w:rPr>
        <w:t xml:space="preserve"> του αίματος</w:t>
      </w:r>
      <w:r w:rsidR="004B63E0" w:rsidRPr="00F64CC0">
        <w:rPr>
          <w:bCs/>
        </w:rPr>
        <w:t>)</w:t>
      </w:r>
      <w:r w:rsidRPr="00F64CC0">
        <w:rPr>
          <w:bCs/>
        </w:rPr>
        <w:t xml:space="preserve">. </w:t>
      </w:r>
    </w:p>
    <w:p w:rsidR="006D580F" w:rsidRPr="00F64CC0" w:rsidRDefault="006D580F" w:rsidP="00A03AAE">
      <w:pPr>
        <w:ind w:left="-45"/>
        <w:rPr>
          <w:bCs/>
        </w:rPr>
      </w:pPr>
      <w:r w:rsidRPr="00F64CC0">
        <w:rPr>
          <w:bCs/>
        </w:rPr>
        <w:t>Σε ασθενείς με κίνδυνο εμφάνισης θρομβοεμβολικών ανεπιθύμητων ενεργειών, τα προϊόντα IVIg θα πρέπει να χορηγούνται με τον ελάχιστο ρυθμό έγχυσης και δόσης.</w:t>
      </w:r>
    </w:p>
    <w:p w:rsidR="006D580F" w:rsidRPr="00F64CC0" w:rsidRDefault="006D580F" w:rsidP="00A03AAE">
      <w:pPr>
        <w:ind w:left="-45"/>
        <w:rPr>
          <w:bCs/>
        </w:rPr>
      </w:pPr>
    </w:p>
    <w:p w:rsidR="006C5CBA" w:rsidRPr="00900919" w:rsidRDefault="006D580F" w:rsidP="00900919">
      <w:pPr>
        <w:ind w:left="-45"/>
        <w:rPr>
          <w:bCs/>
          <w:u w:val="single"/>
          <w:lang w:val="en-US"/>
        </w:rPr>
      </w:pPr>
      <w:r w:rsidRPr="00F64CC0">
        <w:rPr>
          <w:bCs/>
          <w:u w:val="single"/>
        </w:rPr>
        <w:t>Οξεία νεφρική ανεπάρκεια</w:t>
      </w:r>
    </w:p>
    <w:p w:rsidR="00AB1EB6" w:rsidRPr="00900919" w:rsidRDefault="00805A1F" w:rsidP="00900919">
      <w:pPr>
        <w:ind w:left="-45"/>
        <w:rPr>
          <w:bCs/>
        </w:rPr>
      </w:pPr>
      <w:r w:rsidRPr="00F64CC0">
        <w:rPr>
          <w:bCs/>
        </w:rPr>
        <w:t>Περιπτώσεις οξείας νεφρικής ανεπάρκειας έχουν αναφερθεί σε ασθενείς που</w:t>
      </w:r>
      <w:r w:rsidR="00346DC5" w:rsidRPr="00F64CC0">
        <w:rPr>
          <w:bCs/>
        </w:rPr>
        <w:t xml:space="preserve"> λαμβάνουν θεραπεία με </w:t>
      </w:r>
      <w:r w:rsidR="00C247E6">
        <w:rPr>
          <w:bCs/>
        </w:rPr>
        <w:t>IVIg</w:t>
      </w:r>
      <w:r w:rsidRPr="00F64CC0">
        <w:rPr>
          <w:bCs/>
        </w:rPr>
        <w:t xml:space="preserve">. Στις περισσότερες περιπτώσεις, εντοπίσθηκαν παράγοντες κινδύνου όπως προϋπάρχουσα νεφρική ανεπάρκεια, </w:t>
      </w:r>
      <w:r w:rsidR="00C464EA" w:rsidRPr="00F64CC0">
        <w:rPr>
          <w:bCs/>
        </w:rPr>
        <w:t>σακχαρώδης δ</w:t>
      </w:r>
      <w:r w:rsidR="006C5CBA" w:rsidRPr="00F64CC0">
        <w:rPr>
          <w:bCs/>
        </w:rPr>
        <w:t xml:space="preserve">ιαβήτης, </w:t>
      </w:r>
      <w:r w:rsidR="00E263D5" w:rsidRPr="00F64CC0">
        <w:rPr>
          <w:bCs/>
        </w:rPr>
        <w:t>υποογκαιμία</w:t>
      </w:r>
      <w:r w:rsidR="006C5CBA" w:rsidRPr="00F64CC0">
        <w:rPr>
          <w:bCs/>
        </w:rPr>
        <w:t xml:space="preserve">, </w:t>
      </w:r>
      <w:r w:rsidR="00E263D5" w:rsidRPr="00F64CC0">
        <w:rPr>
          <w:bCs/>
        </w:rPr>
        <w:t>υπερβάλλον</w:t>
      </w:r>
      <w:r w:rsidR="00C464EA" w:rsidRPr="00F64CC0">
        <w:rPr>
          <w:bCs/>
        </w:rPr>
        <w:t xml:space="preserve"> σωματικό βάρος, ταυτ</w:t>
      </w:r>
      <w:r w:rsidR="003A2760" w:rsidRPr="00F64CC0">
        <w:rPr>
          <w:bCs/>
        </w:rPr>
        <w:t>όχρονη</w:t>
      </w:r>
      <w:r w:rsidR="006C5CBA" w:rsidRPr="00F64CC0">
        <w:rPr>
          <w:bCs/>
        </w:rPr>
        <w:t xml:space="preserve"> χορήγηση νεφροτοξικών φαρμάκων</w:t>
      </w:r>
      <w:r w:rsidR="003A2760" w:rsidRPr="00F64CC0">
        <w:rPr>
          <w:bCs/>
        </w:rPr>
        <w:t xml:space="preserve"> ή ηλικία </w:t>
      </w:r>
      <w:r w:rsidR="007A0A9F" w:rsidRPr="00F64CC0">
        <w:rPr>
          <w:bCs/>
        </w:rPr>
        <w:t>άνω των</w:t>
      </w:r>
      <w:r w:rsidR="003A2760" w:rsidRPr="00F64CC0">
        <w:rPr>
          <w:bCs/>
        </w:rPr>
        <w:t xml:space="preserve"> 65 ετών.</w:t>
      </w:r>
    </w:p>
    <w:p w:rsidR="007A7FEA" w:rsidRPr="00900919" w:rsidRDefault="00B14569" w:rsidP="00900919">
      <w:pPr>
        <w:ind w:left="-45"/>
        <w:rPr>
          <w:bCs/>
          <w:lang w:val="en-US"/>
        </w:rPr>
      </w:pPr>
      <w:r w:rsidRPr="00F64CC0">
        <w:rPr>
          <w:bCs/>
        </w:rPr>
        <w:t xml:space="preserve">Σε περίπτωση νεφρικής βλάβης, </w:t>
      </w:r>
      <w:r w:rsidR="00A36B03" w:rsidRPr="00F64CC0">
        <w:rPr>
          <w:bCs/>
        </w:rPr>
        <w:t xml:space="preserve">θα πρέπει να εξετάζεται </w:t>
      </w:r>
      <w:r w:rsidRPr="00F64CC0">
        <w:rPr>
          <w:bCs/>
        </w:rPr>
        <w:t xml:space="preserve">η διακοπή της χορήγησης </w:t>
      </w:r>
      <w:r w:rsidR="009B699A" w:rsidRPr="009B699A">
        <w:rPr>
          <w:bCs/>
          <w:lang w:val="it-IT"/>
        </w:rPr>
        <w:t>IVIg</w:t>
      </w:r>
      <w:r w:rsidRPr="00F64CC0">
        <w:rPr>
          <w:bCs/>
        </w:rPr>
        <w:t>.</w:t>
      </w:r>
      <w:r w:rsidR="007A7FEA" w:rsidRPr="00F64CC0">
        <w:rPr>
          <w:bCs/>
        </w:rPr>
        <w:t xml:space="preserve"> </w:t>
      </w:r>
      <w:r w:rsidR="00346DC5" w:rsidRPr="00F64CC0">
        <w:rPr>
          <w:bCs/>
        </w:rPr>
        <w:t>Ενώ</w:t>
      </w:r>
      <w:r w:rsidR="00146B03" w:rsidRPr="00F64CC0">
        <w:rPr>
          <w:bCs/>
        </w:rPr>
        <w:t xml:space="preserve"> </w:t>
      </w:r>
      <w:r w:rsidRPr="00F64CC0">
        <w:rPr>
          <w:bCs/>
        </w:rPr>
        <w:t>οι αναφορές νεφρικής δυσλειτουργίας και οξείας νεφρικής ανεπ</w:t>
      </w:r>
      <w:r w:rsidR="00346DC5" w:rsidRPr="00F64CC0">
        <w:rPr>
          <w:bCs/>
        </w:rPr>
        <w:t>άρκειας έχουν συσχετιστεί με τη</w:t>
      </w:r>
      <w:r w:rsidRPr="00F64CC0">
        <w:rPr>
          <w:bCs/>
        </w:rPr>
        <w:t xml:space="preserve"> χρήση </w:t>
      </w:r>
      <w:r w:rsidR="00346DC5" w:rsidRPr="00F64CC0">
        <w:rPr>
          <w:bCs/>
        </w:rPr>
        <w:t xml:space="preserve">πολλών από τα διάφορα εγκεκριμένα </w:t>
      </w:r>
      <w:r w:rsidR="009A6784" w:rsidRPr="00F64CC0">
        <w:rPr>
          <w:bCs/>
        </w:rPr>
        <w:t xml:space="preserve">προϊόντα </w:t>
      </w:r>
      <w:r w:rsidR="00346DC5" w:rsidRPr="00F64CC0">
        <w:rPr>
          <w:bCs/>
        </w:rPr>
        <w:t>ενδοφλεβίων ανοσοσφαιρινών</w:t>
      </w:r>
      <w:r w:rsidRPr="00F64CC0">
        <w:rPr>
          <w:bCs/>
        </w:rPr>
        <w:t xml:space="preserve"> </w:t>
      </w:r>
      <w:r w:rsidR="00346DC5" w:rsidRPr="00F64CC0">
        <w:rPr>
          <w:bCs/>
        </w:rPr>
        <w:t>(</w:t>
      </w:r>
      <w:proofErr w:type="spellStart"/>
      <w:r w:rsidRPr="00F64CC0">
        <w:rPr>
          <w:bCs/>
          <w:lang w:val="en-US"/>
        </w:rPr>
        <w:t>IVIg</w:t>
      </w:r>
      <w:proofErr w:type="spellEnd"/>
      <w:r w:rsidR="00346DC5" w:rsidRPr="00F64CC0">
        <w:rPr>
          <w:bCs/>
        </w:rPr>
        <w:t xml:space="preserve">), που </w:t>
      </w:r>
      <w:r w:rsidR="009A6784" w:rsidRPr="00F64CC0">
        <w:rPr>
          <w:bCs/>
        </w:rPr>
        <w:t xml:space="preserve">περιέχουν διάφορα έκδοχα όπως </w:t>
      </w:r>
      <w:r w:rsidRPr="00F64CC0">
        <w:rPr>
          <w:bCs/>
        </w:rPr>
        <w:t>σακχαρόζη</w:t>
      </w:r>
      <w:r w:rsidR="006D580F" w:rsidRPr="00F64CC0">
        <w:rPr>
          <w:bCs/>
        </w:rPr>
        <w:t>, γλυκόζη και μαλτόζη</w:t>
      </w:r>
      <w:r w:rsidR="00023B8F" w:rsidRPr="00F64CC0">
        <w:rPr>
          <w:bCs/>
        </w:rPr>
        <w:t>, αυτά που περιέχουν σακχαρόζη</w:t>
      </w:r>
      <w:r w:rsidRPr="00F64CC0">
        <w:rPr>
          <w:bCs/>
        </w:rPr>
        <w:t xml:space="preserve"> ως σταθεροποιητή </w:t>
      </w:r>
      <w:r w:rsidR="00CE5E79" w:rsidRPr="00F64CC0">
        <w:rPr>
          <w:bCs/>
        </w:rPr>
        <w:t>ευθύνονταν</w:t>
      </w:r>
      <w:r w:rsidR="00346DC5" w:rsidRPr="00F64CC0">
        <w:rPr>
          <w:bCs/>
        </w:rPr>
        <w:t xml:space="preserve"> για ένα </w:t>
      </w:r>
      <w:r w:rsidR="009B699A" w:rsidRPr="00F64CC0">
        <w:rPr>
          <w:bCs/>
        </w:rPr>
        <w:t>δυσανάλογ</w:t>
      </w:r>
      <w:r w:rsidR="009B699A">
        <w:rPr>
          <w:bCs/>
        </w:rPr>
        <w:t>α</w:t>
      </w:r>
      <w:r w:rsidR="009B699A" w:rsidRPr="00F64CC0">
        <w:rPr>
          <w:bCs/>
        </w:rPr>
        <w:t xml:space="preserve"> </w:t>
      </w:r>
      <w:r w:rsidR="00346DC5" w:rsidRPr="00F64CC0">
        <w:rPr>
          <w:bCs/>
        </w:rPr>
        <w:t>μεγάλο μέρος</w:t>
      </w:r>
      <w:r w:rsidR="00CE5E79" w:rsidRPr="00F64CC0">
        <w:rPr>
          <w:bCs/>
        </w:rPr>
        <w:t xml:space="preserve"> του συνόλου των περιστατικών.</w:t>
      </w:r>
      <w:r w:rsidR="00AB1EB6" w:rsidRPr="00F64CC0">
        <w:rPr>
          <w:bCs/>
        </w:rPr>
        <w:t xml:space="preserve"> </w:t>
      </w:r>
      <w:r w:rsidR="00142F93" w:rsidRPr="00F64CC0">
        <w:rPr>
          <w:bCs/>
        </w:rPr>
        <w:t xml:space="preserve">Σε ασθενείς υψηλού κινδύνου, </w:t>
      </w:r>
      <w:r w:rsidR="00490119" w:rsidRPr="00F64CC0">
        <w:rPr>
          <w:bCs/>
        </w:rPr>
        <w:t xml:space="preserve">μπορεί να εξετάζεται η χρήση προïόντων </w:t>
      </w:r>
      <w:proofErr w:type="spellStart"/>
      <w:r w:rsidRPr="00F64CC0">
        <w:rPr>
          <w:bCs/>
          <w:lang w:val="en-US"/>
        </w:rPr>
        <w:t>IVIg</w:t>
      </w:r>
      <w:proofErr w:type="spellEnd"/>
      <w:r w:rsidRPr="00F64CC0">
        <w:rPr>
          <w:bCs/>
        </w:rPr>
        <w:t xml:space="preserve"> που δεν περιέχουν</w:t>
      </w:r>
      <w:r w:rsidR="00490119" w:rsidRPr="00F64CC0">
        <w:rPr>
          <w:bCs/>
        </w:rPr>
        <w:t xml:space="preserve"> </w:t>
      </w:r>
      <w:r w:rsidR="006D580F" w:rsidRPr="00F64CC0">
        <w:rPr>
          <w:bCs/>
        </w:rPr>
        <w:t>αυτά τα έκδοχα</w:t>
      </w:r>
      <w:r w:rsidR="007A7FEA" w:rsidRPr="00F64CC0">
        <w:rPr>
          <w:bCs/>
        </w:rPr>
        <w:t xml:space="preserve">. Η </w:t>
      </w:r>
      <w:proofErr w:type="spellStart"/>
      <w:r w:rsidR="007A7FEA" w:rsidRPr="00F64CC0">
        <w:rPr>
          <w:bCs/>
          <w:lang w:val="en-US"/>
        </w:rPr>
        <w:t>Ig</w:t>
      </w:r>
      <w:proofErr w:type="spellEnd"/>
      <w:r w:rsidR="007A7FEA" w:rsidRPr="00F64CC0">
        <w:rPr>
          <w:bCs/>
        </w:rPr>
        <w:t xml:space="preserve"> </w:t>
      </w:r>
      <w:r w:rsidR="007A7FEA" w:rsidRPr="00F64CC0">
        <w:rPr>
          <w:bCs/>
          <w:lang w:val="en-US"/>
        </w:rPr>
        <w:t>VENA</w:t>
      </w:r>
      <w:r w:rsidR="007A7FEA" w:rsidRPr="00F64CC0">
        <w:rPr>
          <w:bCs/>
        </w:rPr>
        <w:t xml:space="preserve"> περιέχει μαλτόζη. (Βλέπε τα έκδοχα παραπάνω).</w:t>
      </w:r>
    </w:p>
    <w:p w:rsidR="00B14569" w:rsidRPr="00F64CC0" w:rsidRDefault="00DE11C4" w:rsidP="00A03AAE">
      <w:pPr>
        <w:ind w:left="-45"/>
        <w:rPr>
          <w:bCs/>
        </w:rPr>
      </w:pPr>
      <w:r w:rsidRPr="00F64CC0">
        <w:rPr>
          <w:bCs/>
        </w:rPr>
        <w:t xml:space="preserve">Σε ασθενείς </w:t>
      </w:r>
      <w:r w:rsidR="007A0A9F" w:rsidRPr="00F64CC0">
        <w:rPr>
          <w:bCs/>
        </w:rPr>
        <w:t xml:space="preserve">σε </w:t>
      </w:r>
      <w:r w:rsidRPr="00F64CC0">
        <w:rPr>
          <w:bCs/>
        </w:rPr>
        <w:t>κ</w:t>
      </w:r>
      <w:r w:rsidR="007A0A9F" w:rsidRPr="00F64CC0">
        <w:rPr>
          <w:bCs/>
        </w:rPr>
        <w:t>ίνδυ</w:t>
      </w:r>
      <w:r w:rsidRPr="00F64CC0">
        <w:rPr>
          <w:bCs/>
        </w:rPr>
        <w:t xml:space="preserve">νο για οξεία νεφρική ανεπάρκεια </w:t>
      </w:r>
      <w:r w:rsidR="007A0A9F" w:rsidRPr="00F64CC0">
        <w:rPr>
          <w:bCs/>
        </w:rPr>
        <w:t xml:space="preserve">τα </w:t>
      </w:r>
      <w:r w:rsidR="00C27E2F" w:rsidRPr="00F64CC0">
        <w:rPr>
          <w:bCs/>
        </w:rPr>
        <w:t xml:space="preserve">προϊόντα </w:t>
      </w:r>
      <w:r w:rsidRPr="00F64CC0">
        <w:rPr>
          <w:bCs/>
          <w:lang w:val="it-IT"/>
        </w:rPr>
        <w:t>IVIg</w:t>
      </w:r>
      <w:r w:rsidRPr="00F64CC0">
        <w:rPr>
          <w:bCs/>
        </w:rPr>
        <w:t xml:space="preserve"> </w:t>
      </w:r>
      <w:r w:rsidR="00B14569" w:rsidRPr="00F64CC0">
        <w:rPr>
          <w:bCs/>
        </w:rPr>
        <w:t>πρέπει να χορηγ</w:t>
      </w:r>
      <w:r w:rsidRPr="00F64CC0">
        <w:rPr>
          <w:bCs/>
        </w:rPr>
        <w:t>ούνται</w:t>
      </w:r>
      <w:r w:rsidR="00B14569" w:rsidRPr="00F64CC0">
        <w:rPr>
          <w:bCs/>
        </w:rPr>
        <w:t xml:space="preserve"> </w:t>
      </w:r>
      <w:r w:rsidR="00AB1EB6" w:rsidRPr="00F64CC0">
        <w:rPr>
          <w:bCs/>
        </w:rPr>
        <w:t xml:space="preserve">στον ελάχιστο δυνατό ρυθμό έγχυσης και </w:t>
      </w:r>
      <w:r w:rsidR="007A0A9F" w:rsidRPr="00F64CC0">
        <w:rPr>
          <w:bCs/>
        </w:rPr>
        <w:t>στην ελάχιστη εφαρμόσιμη αποτελεσματική δόση</w:t>
      </w:r>
      <w:r w:rsidR="00B14569" w:rsidRPr="00F64CC0">
        <w:rPr>
          <w:bCs/>
        </w:rPr>
        <w:t>.</w:t>
      </w:r>
    </w:p>
    <w:p w:rsidR="00580EE1" w:rsidRPr="00F64CC0" w:rsidRDefault="00580EE1" w:rsidP="00A03AAE">
      <w:pPr>
        <w:ind w:left="-45"/>
        <w:rPr>
          <w:bCs/>
        </w:rPr>
      </w:pPr>
    </w:p>
    <w:p w:rsidR="00682B9F" w:rsidRPr="00900919" w:rsidRDefault="00314839" w:rsidP="00900919">
      <w:pPr>
        <w:ind w:left="-45"/>
        <w:rPr>
          <w:bCs/>
          <w:u w:val="single"/>
          <w:lang w:val="en-US"/>
        </w:rPr>
      </w:pPr>
      <w:r w:rsidRPr="00F64CC0">
        <w:rPr>
          <w:bCs/>
          <w:u w:val="single"/>
        </w:rPr>
        <w:t xml:space="preserve">Σύνδρομο </w:t>
      </w:r>
      <w:r w:rsidR="006E54E9">
        <w:rPr>
          <w:bCs/>
          <w:u w:val="single"/>
        </w:rPr>
        <w:t>Α</w:t>
      </w:r>
      <w:r w:rsidR="009B699A">
        <w:rPr>
          <w:bCs/>
          <w:u w:val="single"/>
        </w:rPr>
        <w:t>σηπτικής</w:t>
      </w:r>
      <w:r w:rsidR="009B699A" w:rsidRPr="00F64CC0">
        <w:rPr>
          <w:bCs/>
          <w:u w:val="single"/>
        </w:rPr>
        <w:t xml:space="preserve"> </w:t>
      </w:r>
      <w:r w:rsidRPr="00F64CC0">
        <w:rPr>
          <w:bCs/>
          <w:u w:val="single"/>
        </w:rPr>
        <w:t>μηνιγγίτιδας (AMS)</w:t>
      </w:r>
    </w:p>
    <w:p w:rsidR="00CA37ED" w:rsidRPr="00F64CC0" w:rsidRDefault="00314839" w:rsidP="00A03AAE">
      <w:pPr>
        <w:ind w:left="-45"/>
        <w:rPr>
          <w:bCs/>
        </w:rPr>
      </w:pPr>
      <w:r w:rsidRPr="00F64CC0">
        <w:rPr>
          <w:bCs/>
        </w:rPr>
        <w:t xml:space="preserve">Έχει αναφερθεί ότι το σύνδρομο </w:t>
      </w:r>
      <w:r w:rsidR="009B699A" w:rsidRPr="006E54E9">
        <w:rPr>
          <w:bCs/>
        </w:rPr>
        <w:t>ασηπτικής</w:t>
      </w:r>
      <w:r w:rsidRPr="00F64CC0">
        <w:rPr>
          <w:bCs/>
        </w:rPr>
        <w:t xml:space="preserve"> μηνιγγίτιδας σχετίζεται με τη θεραπεία IVIg.</w:t>
      </w:r>
    </w:p>
    <w:p w:rsidR="00C26F50" w:rsidRPr="00F64CC0" w:rsidRDefault="00314839" w:rsidP="00A03AAE">
      <w:pPr>
        <w:ind w:left="-45"/>
        <w:rPr>
          <w:bCs/>
        </w:rPr>
      </w:pPr>
      <w:r w:rsidRPr="00F64CC0">
        <w:rPr>
          <w:bCs/>
        </w:rPr>
        <w:t>Η διακοπή της θεραπείας με IVIg έχει οδηγήσει σε ύφεση της AMS μέσα σε μερικές μέρες χωρίς επακόλουθα. Το σύνδρομο ξεκινά συνήθως μέσα σε μερικές ώρες μέχρι 2 ημέρες μετά τη θεραπεία IVIg. Μελέτες σε εγκεφαλονωτιαίο υγρό είναι συχνά θετικές, με πλειοκυττάρωση έως και αρκετές χιλιάδες κύτταρα ανά mm</w:t>
      </w:r>
      <w:r w:rsidRPr="006E54E9">
        <w:rPr>
          <w:bCs/>
          <w:vertAlign w:val="superscript"/>
        </w:rPr>
        <w:t>3</w:t>
      </w:r>
      <w:r w:rsidRPr="00F64CC0">
        <w:rPr>
          <w:bCs/>
        </w:rPr>
        <w:t>, κυρίως από την κοκκιοκυτταρική σειρά, και αυξημένα επίπεδα πρωτεϊνών έως αρκετές εκατοντάδες mg / dl.</w:t>
      </w:r>
    </w:p>
    <w:p w:rsidR="00314839" w:rsidRPr="00F64CC0" w:rsidRDefault="00314839" w:rsidP="00A03AAE">
      <w:pPr>
        <w:ind w:left="-45"/>
        <w:rPr>
          <w:bCs/>
        </w:rPr>
      </w:pPr>
      <w:r w:rsidRPr="00F64CC0">
        <w:rPr>
          <w:bCs/>
        </w:rPr>
        <w:t xml:space="preserve">Σε υψηλή δόση (2 g / kg) </w:t>
      </w:r>
      <w:r w:rsidR="00682B9F" w:rsidRPr="00A3385F">
        <w:rPr>
          <w:bCs/>
        </w:rPr>
        <w:t>θεραπείας</w:t>
      </w:r>
      <w:r w:rsidR="00682B9F" w:rsidRPr="00F64CC0">
        <w:rPr>
          <w:bCs/>
        </w:rPr>
        <w:t xml:space="preserve"> </w:t>
      </w:r>
      <w:r w:rsidR="00682B9F">
        <w:rPr>
          <w:bCs/>
        </w:rPr>
        <w:t xml:space="preserve">με </w:t>
      </w:r>
      <w:r w:rsidRPr="00F64CC0">
        <w:rPr>
          <w:bCs/>
        </w:rPr>
        <w:t>IVIg</w:t>
      </w:r>
      <w:r w:rsidR="006E54E9">
        <w:rPr>
          <w:bCs/>
        </w:rPr>
        <w:t>,</w:t>
      </w:r>
      <w:r w:rsidRPr="00F64CC0">
        <w:rPr>
          <w:bCs/>
        </w:rPr>
        <w:t xml:space="preserve"> το AMS εμφανίζ</w:t>
      </w:r>
      <w:r w:rsidR="006E54E9">
        <w:rPr>
          <w:bCs/>
        </w:rPr>
        <w:t>ε</w:t>
      </w:r>
      <w:r w:rsidRPr="00F64CC0">
        <w:rPr>
          <w:bCs/>
        </w:rPr>
        <w:t xml:space="preserve">ται πιο συχνά. </w:t>
      </w:r>
    </w:p>
    <w:p w:rsidR="00314839" w:rsidRPr="00F64CC0" w:rsidRDefault="00314839" w:rsidP="00A03AAE">
      <w:pPr>
        <w:ind w:left="-45"/>
        <w:rPr>
          <w:bCs/>
        </w:rPr>
      </w:pPr>
    </w:p>
    <w:p w:rsidR="009C7D0F" w:rsidRPr="00F64CC0" w:rsidRDefault="00314839" w:rsidP="00A03AAE">
      <w:pPr>
        <w:ind w:left="-45"/>
        <w:rPr>
          <w:bCs/>
          <w:u w:val="single"/>
        </w:rPr>
      </w:pPr>
      <w:r w:rsidRPr="00F64CC0">
        <w:rPr>
          <w:bCs/>
          <w:u w:val="single"/>
        </w:rPr>
        <w:t>Αιμολυτική αναιμία</w:t>
      </w:r>
    </w:p>
    <w:p w:rsidR="00314839" w:rsidRPr="00F64CC0" w:rsidRDefault="00314839" w:rsidP="00A03AAE">
      <w:pPr>
        <w:ind w:left="-45"/>
        <w:rPr>
          <w:bCs/>
        </w:rPr>
      </w:pPr>
      <w:r w:rsidRPr="00F64CC0">
        <w:rPr>
          <w:bCs/>
        </w:rPr>
        <w:t xml:space="preserve">Τα προϊόντα IVIg μπορεί να περιέχουν αντισώματα ομάδων αίματος που μπορεί να λειτουργήσουν ως </w:t>
      </w:r>
      <w:r w:rsidR="00682B9F" w:rsidRPr="00F64CC0">
        <w:rPr>
          <w:bCs/>
        </w:rPr>
        <w:t>αιμολυ</w:t>
      </w:r>
      <w:r w:rsidR="00682B9F">
        <w:rPr>
          <w:bCs/>
        </w:rPr>
        <w:t>σίνες</w:t>
      </w:r>
      <w:r w:rsidR="00682B9F" w:rsidRPr="00F64CC0">
        <w:rPr>
          <w:bCs/>
        </w:rPr>
        <w:t xml:space="preserve"> </w:t>
      </w:r>
      <w:r w:rsidRPr="00F64CC0">
        <w:rPr>
          <w:bCs/>
        </w:rPr>
        <w:t xml:space="preserve">και να προκαλέσουν </w:t>
      </w:r>
      <w:r w:rsidRPr="00F64CC0">
        <w:rPr>
          <w:bCs/>
          <w:i/>
        </w:rPr>
        <w:t>in vivo</w:t>
      </w:r>
      <w:r w:rsidRPr="00F64CC0">
        <w:rPr>
          <w:bCs/>
        </w:rPr>
        <w:t xml:space="preserve"> επικάλυψη των ερυθρών αιμοσφαιρίων με ανοσοσφαιρίνη, προκαλώντας μια θετική άμεση αντίδραση αντισφαιρίνης (</w:t>
      </w:r>
      <w:r w:rsidR="00DF099A">
        <w:rPr>
          <w:bCs/>
        </w:rPr>
        <w:t xml:space="preserve">δοκιμασία </w:t>
      </w:r>
      <w:r w:rsidRPr="00F64CC0">
        <w:rPr>
          <w:bCs/>
        </w:rPr>
        <w:t xml:space="preserve">Coombs) και, σπανιότερα, αιμόλυση. Αιμολυτική αναιμία μπορεί να αναπτυχθεί </w:t>
      </w:r>
      <w:r w:rsidR="00682B9F">
        <w:rPr>
          <w:bCs/>
        </w:rPr>
        <w:t>επακόλουθα της</w:t>
      </w:r>
      <w:r w:rsidRPr="00F64CC0">
        <w:rPr>
          <w:bCs/>
        </w:rPr>
        <w:t xml:space="preserve"> θεραπεία</w:t>
      </w:r>
      <w:r w:rsidR="00682B9F">
        <w:rPr>
          <w:bCs/>
        </w:rPr>
        <w:t>ς</w:t>
      </w:r>
      <w:r w:rsidRPr="00F64CC0">
        <w:rPr>
          <w:bCs/>
        </w:rPr>
        <w:t xml:space="preserve"> με IVIg λόγω της ενισχυμένης </w:t>
      </w:r>
      <w:r w:rsidR="00682B9F" w:rsidRPr="00A66110">
        <w:rPr>
          <w:bCs/>
        </w:rPr>
        <w:t>κατάσχεση</w:t>
      </w:r>
      <w:r w:rsidR="00682B9F">
        <w:rPr>
          <w:bCs/>
        </w:rPr>
        <w:t>ς</w:t>
      </w:r>
      <w:r w:rsidR="00682B9F" w:rsidRPr="00F64CC0">
        <w:rPr>
          <w:bCs/>
        </w:rPr>
        <w:t xml:space="preserve"> </w:t>
      </w:r>
      <w:r w:rsidRPr="00F64CC0">
        <w:rPr>
          <w:bCs/>
        </w:rPr>
        <w:t>ερυθρών αιμοσφαιρίων (RBC). Όσοι λαμβάνουν IVIg θα πρέπει να παρακολουθούνται για κλινικά σημεία και συμπτώματα αιμόλυσης (βλ. παράγραφο 4.8).</w:t>
      </w:r>
    </w:p>
    <w:p w:rsidR="00887AA0" w:rsidRPr="00F64CC0" w:rsidRDefault="00887AA0" w:rsidP="00A03AAE">
      <w:pPr>
        <w:ind w:left="-45"/>
        <w:rPr>
          <w:bCs/>
        </w:rPr>
      </w:pPr>
    </w:p>
    <w:p w:rsidR="009C7D0F" w:rsidRPr="00900919" w:rsidRDefault="00682B9F" w:rsidP="00900919">
      <w:pPr>
        <w:ind w:left="-45"/>
        <w:rPr>
          <w:bCs/>
        </w:rPr>
      </w:pPr>
      <w:r w:rsidRPr="00F64CC0">
        <w:rPr>
          <w:bCs/>
          <w:u w:val="single"/>
        </w:rPr>
        <w:t>Παρεμβολή σ</w:t>
      </w:r>
      <w:r w:rsidR="001C640C" w:rsidRPr="00F64CC0">
        <w:rPr>
          <w:bCs/>
          <w:u w:val="single"/>
        </w:rPr>
        <w:t>τις ορολογικές δοκιμασίες</w:t>
      </w:r>
      <w:r w:rsidR="001C640C" w:rsidRPr="00F64CC0">
        <w:rPr>
          <w:bCs/>
        </w:rPr>
        <w:t>.</w:t>
      </w:r>
    </w:p>
    <w:p w:rsidR="00900919" w:rsidRDefault="001C640C" w:rsidP="00900919">
      <w:pPr>
        <w:ind w:left="-45"/>
        <w:rPr>
          <w:bCs/>
          <w:lang w:val="en-US"/>
        </w:rPr>
      </w:pPr>
      <w:r w:rsidRPr="00F64CC0">
        <w:rPr>
          <w:bCs/>
        </w:rPr>
        <w:t xml:space="preserve">Η παροδική αύξηση των διαφόρων </w:t>
      </w:r>
      <w:r w:rsidR="00682B9F">
        <w:rPr>
          <w:bCs/>
        </w:rPr>
        <w:t xml:space="preserve">παθητικά μεταφερόμενων </w:t>
      </w:r>
      <w:r w:rsidRPr="00F64CC0">
        <w:rPr>
          <w:bCs/>
        </w:rPr>
        <w:t>αντισωμάτων στο αίμα των ασθενών</w:t>
      </w:r>
      <w:r w:rsidR="00DF099A" w:rsidRPr="00F64CC0">
        <w:rPr>
          <w:bCs/>
        </w:rPr>
        <w:t>,</w:t>
      </w:r>
      <w:r w:rsidRPr="00F64CC0">
        <w:rPr>
          <w:bCs/>
        </w:rPr>
        <w:t xml:space="preserve"> μετά την έγχυση ανοσοσφαιρίνης, μπορεί να οδηγήσει σε ψευδώς θετικά αποτελέσματα ορολογικών δοκιμασιών.</w:t>
      </w:r>
    </w:p>
    <w:p w:rsidR="001C640C" w:rsidRPr="00F64CC0" w:rsidRDefault="001C640C" w:rsidP="00900919">
      <w:pPr>
        <w:ind w:left="-45"/>
        <w:rPr>
          <w:bCs/>
        </w:rPr>
      </w:pPr>
      <w:r w:rsidRPr="00F64CC0">
        <w:rPr>
          <w:bCs/>
        </w:rPr>
        <w:lastRenderedPageBreak/>
        <w:t xml:space="preserve">Η παθητική μεταφορά αντισωμάτων έναντι των ερυθροκυτταρικών αντιγόνων όπως A, B ή D μπορεί να παρεμβαίνει σε κάποιες ορολογικές δοκιμασίες για  ερυθροκυτταρικά αλλοαντισώματα </w:t>
      </w:r>
      <w:r w:rsidR="0076264D" w:rsidRPr="00F64CC0">
        <w:rPr>
          <w:bCs/>
        </w:rPr>
        <w:t xml:space="preserve">για παράδειγμα την άμεση αντίδραση αντισφαιρίνης </w:t>
      </w:r>
      <w:r w:rsidRPr="00F64CC0">
        <w:rPr>
          <w:bCs/>
        </w:rPr>
        <w:t>(</w:t>
      </w:r>
      <w:r w:rsidR="0076264D" w:rsidRPr="00F64CC0">
        <w:rPr>
          <w:bCs/>
          <w:lang w:val="en-US"/>
        </w:rPr>
        <w:t>DAT</w:t>
      </w:r>
      <w:r w:rsidR="0076264D" w:rsidRPr="00F64CC0">
        <w:rPr>
          <w:bCs/>
        </w:rPr>
        <w:t>, άμεση</w:t>
      </w:r>
      <w:r w:rsidR="00002608" w:rsidRPr="00F64CC0">
        <w:rPr>
          <w:bCs/>
        </w:rPr>
        <w:t xml:space="preserve"> </w:t>
      </w:r>
      <w:r w:rsidRPr="00F64CC0">
        <w:rPr>
          <w:bCs/>
        </w:rPr>
        <w:t>δοκιμασία Coombs).</w:t>
      </w:r>
    </w:p>
    <w:p w:rsidR="00314839" w:rsidRPr="00F64CC0" w:rsidRDefault="00314839" w:rsidP="00A03AAE">
      <w:pPr>
        <w:rPr>
          <w:bCs/>
        </w:rPr>
      </w:pPr>
    </w:p>
    <w:p w:rsidR="00682B9F" w:rsidRPr="00900919" w:rsidRDefault="00F926D6" w:rsidP="00900919">
      <w:pPr>
        <w:ind w:left="-45"/>
        <w:rPr>
          <w:bCs/>
          <w:u w:val="single"/>
          <w:lang w:val="en-US"/>
        </w:rPr>
      </w:pPr>
      <w:r w:rsidRPr="00F64CC0">
        <w:rPr>
          <w:bCs/>
          <w:u w:val="single"/>
        </w:rPr>
        <w:t>Μεταδοτικοί παράγοντες</w:t>
      </w:r>
    </w:p>
    <w:p w:rsidR="008F38B9" w:rsidRPr="00F64CC0" w:rsidRDefault="008F38B9" w:rsidP="00A03AAE">
      <w:pPr>
        <w:ind w:left="-45"/>
        <w:rPr>
          <w:bCs/>
        </w:rPr>
      </w:pPr>
      <w:r w:rsidRPr="00F64CC0">
        <w:rPr>
          <w:bCs/>
        </w:rPr>
        <w:t>Στα καθιερωμένα μέτρα πρόληψης των λοιμώξεων</w:t>
      </w:r>
      <w:r w:rsidR="000D79C4" w:rsidRPr="00F64CC0">
        <w:rPr>
          <w:bCs/>
        </w:rPr>
        <w:t>,</w:t>
      </w:r>
      <w:r w:rsidRPr="00F64CC0">
        <w:rPr>
          <w:bCs/>
        </w:rPr>
        <w:t xml:space="preserve"> οι οποίες προκύπτουν από τη χρήση φαρμακευτικών προϊόντων που έχουν παρασκευασθεί με βάση το ανθρώπινο αίμα ή πλάσμα περιλαμβάνονται η επιλογή δοτών, ο έλεγχος των ατομικών προσφορών και των δεξαμενών πλάσματος για ειδικούς δείκτες λοίμωξης και η εφαρμογή αποτελεσματικών </w:t>
      </w:r>
      <w:r w:rsidR="000D79C4" w:rsidRPr="00F64CC0">
        <w:rPr>
          <w:bCs/>
        </w:rPr>
        <w:t>σταδίων κατά την παραγωγή για την</w:t>
      </w:r>
      <w:r w:rsidRPr="00F64CC0">
        <w:rPr>
          <w:bCs/>
        </w:rPr>
        <w:t xml:space="preserve"> αδρανοποίηση/απομάκρυνση ιών. </w:t>
      </w:r>
    </w:p>
    <w:p w:rsidR="006E54E9" w:rsidRPr="00900919" w:rsidRDefault="008F38B9" w:rsidP="00900919">
      <w:pPr>
        <w:ind w:left="-45"/>
        <w:rPr>
          <w:bCs/>
        </w:rPr>
      </w:pPr>
      <w:r w:rsidRPr="00F64CC0">
        <w:rPr>
          <w:bCs/>
        </w:rPr>
        <w:t xml:space="preserve">Παρ’όλα αυτά, όταν χορηγούνται φαρμακευτικά </w:t>
      </w:r>
      <w:r w:rsidR="000D79C4" w:rsidRPr="00F64CC0">
        <w:rPr>
          <w:bCs/>
        </w:rPr>
        <w:t>προ</w:t>
      </w:r>
      <w:r w:rsidR="00046190" w:rsidRPr="00F64CC0">
        <w:rPr>
          <w:bCs/>
        </w:rPr>
        <w:t>ϊ</w:t>
      </w:r>
      <w:r w:rsidR="000D79C4" w:rsidRPr="00F64CC0">
        <w:rPr>
          <w:bCs/>
        </w:rPr>
        <w:t>όντα που παρασκευάζονται</w:t>
      </w:r>
      <w:r w:rsidRPr="00F64CC0">
        <w:rPr>
          <w:bCs/>
        </w:rPr>
        <w:t xml:space="preserve"> με βάση το ανθρώπινο αίμα ή πλάσμα, η πιθανότητα μετάδοσης λοιμογόνων παραγόντων δεν μπορεί να αποκλειστεί εντελώς.</w:t>
      </w:r>
      <w:r w:rsidR="00DF099A" w:rsidRPr="00F64CC0" w:rsidDel="00DF099A">
        <w:rPr>
          <w:bCs/>
        </w:rPr>
        <w:t xml:space="preserve"> </w:t>
      </w:r>
      <w:r w:rsidR="000D79C4" w:rsidRPr="00F64CC0">
        <w:rPr>
          <w:bCs/>
        </w:rPr>
        <w:t>Το ίδιο επίσης ισχύει</w:t>
      </w:r>
      <w:r w:rsidRPr="00F64CC0">
        <w:rPr>
          <w:bCs/>
        </w:rPr>
        <w:t xml:space="preserve"> για άγνωστους ή νεομφανιζόμενους ιούς και άλλους παθογόνους παράγοντες.</w:t>
      </w:r>
    </w:p>
    <w:p w:rsidR="008F38B9" w:rsidRPr="00F64CC0" w:rsidRDefault="008F38B9" w:rsidP="00A03AAE">
      <w:pPr>
        <w:ind w:left="-45"/>
        <w:rPr>
          <w:bCs/>
        </w:rPr>
      </w:pPr>
      <w:r w:rsidRPr="00F64CC0">
        <w:rPr>
          <w:bCs/>
        </w:rPr>
        <w:t xml:space="preserve">Τα μέτρα </w:t>
      </w:r>
      <w:r w:rsidR="00DF099A">
        <w:rPr>
          <w:bCs/>
        </w:rPr>
        <w:t xml:space="preserve">που λαμβάνονται </w:t>
      </w:r>
      <w:r w:rsidRPr="00F64CC0">
        <w:rPr>
          <w:bCs/>
        </w:rPr>
        <w:t xml:space="preserve">θεωρούνται αποτελεσματικά για </w:t>
      </w:r>
      <w:r w:rsidR="000D79C4" w:rsidRPr="00F64CC0">
        <w:rPr>
          <w:bCs/>
        </w:rPr>
        <w:t>ελυτροφόρους</w:t>
      </w:r>
      <w:r w:rsidRPr="00F64CC0">
        <w:rPr>
          <w:bCs/>
        </w:rPr>
        <w:t xml:space="preserve"> ιούς όπως HIV, HBV</w:t>
      </w:r>
      <w:r w:rsidR="00C94A9F" w:rsidRPr="00F64CC0">
        <w:rPr>
          <w:bCs/>
        </w:rPr>
        <w:t>,</w:t>
      </w:r>
      <w:r w:rsidRPr="00F64CC0">
        <w:rPr>
          <w:bCs/>
        </w:rPr>
        <w:t xml:space="preserve"> HCV</w:t>
      </w:r>
      <w:r w:rsidR="00EB2A4F" w:rsidRPr="00F64CC0">
        <w:rPr>
          <w:bCs/>
        </w:rPr>
        <w:t xml:space="preserve"> και για τον μη ελυτροφόρο ιό </w:t>
      </w:r>
      <w:r w:rsidR="00EB2A4F" w:rsidRPr="00F64CC0">
        <w:rPr>
          <w:bCs/>
          <w:lang w:val="en-US"/>
        </w:rPr>
        <w:t>HAV</w:t>
      </w:r>
      <w:r w:rsidR="00EB2A4F" w:rsidRPr="00F64CC0">
        <w:rPr>
          <w:bCs/>
        </w:rPr>
        <w:t>.</w:t>
      </w:r>
    </w:p>
    <w:p w:rsidR="008F38B9" w:rsidRPr="00F64CC0" w:rsidRDefault="008F38B9" w:rsidP="00A03AAE">
      <w:pPr>
        <w:ind w:left="-45"/>
        <w:rPr>
          <w:bCs/>
        </w:rPr>
      </w:pPr>
      <w:r w:rsidRPr="00F64CC0">
        <w:rPr>
          <w:bCs/>
        </w:rPr>
        <w:t xml:space="preserve">Τα μέτρα </w:t>
      </w:r>
      <w:r w:rsidR="00DF099A" w:rsidRPr="00DF099A">
        <w:rPr>
          <w:bCs/>
        </w:rPr>
        <w:t xml:space="preserve">που λαμβάνονται </w:t>
      </w:r>
      <w:r w:rsidRPr="00F64CC0">
        <w:rPr>
          <w:bCs/>
        </w:rPr>
        <w:t xml:space="preserve">μπορεί να έχουν περιορισμένη αξία έναντι των </w:t>
      </w:r>
      <w:r w:rsidR="000D79C4" w:rsidRPr="00F64CC0">
        <w:rPr>
          <w:bCs/>
        </w:rPr>
        <w:t>μη ελυτροφόρων</w:t>
      </w:r>
      <w:r w:rsidRPr="00F64CC0">
        <w:rPr>
          <w:bCs/>
        </w:rPr>
        <w:t xml:space="preserve"> ιών όπως</w:t>
      </w:r>
      <w:r w:rsidR="00795B0A" w:rsidRPr="00F64CC0">
        <w:rPr>
          <w:bCs/>
        </w:rPr>
        <w:t xml:space="preserve"> ο</w:t>
      </w:r>
      <w:r w:rsidRPr="00F64CC0">
        <w:rPr>
          <w:bCs/>
        </w:rPr>
        <w:t xml:space="preserve"> παρβο</w:t>
      </w:r>
      <w:r w:rsidR="00C94A9F" w:rsidRPr="00F64CC0">
        <w:rPr>
          <w:bCs/>
        </w:rPr>
        <w:t>ϊ</w:t>
      </w:r>
      <w:r w:rsidRPr="00F64CC0">
        <w:rPr>
          <w:bCs/>
        </w:rPr>
        <w:t>ός B19.</w:t>
      </w:r>
    </w:p>
    <w:p w:rsidR="008F38B9" w:rsidRPr="00900919" w:rsidRDefault="008F38B9" w:rsidP="00900919">
      <w:pPr>
        <w:ind w:left="-45"/>
        <w:rPr>
          <w:bCs/>
          <w:lang w:val="en-US"/>
        </w:rPr>
      </w:pPr>
      <w:r w:rsidRPr="00F64CC0">
        <w:rPr>
          <w:bCs/>
        </w:rPr>
        <w:t xml:space="preserve">Υπάρχει </w:t>
      </w:r>
      <w:r w:rsidR="00AB04CD">
        <w:rPr>
          <w:bCs/>
        </w:rPr>
        <w:t xml:space="preserve">καθυσηχαστική </w:t>
      </w:r>
      <w:r w:rsidRPr="00F64CC0">
        <w:rPr>
          <w:bCs/>
        </w:rPr>
        <w:t xml:space="preserve">κλινική εμπειρία σχετικά με την </w:t>
      </w:r>
      <w:r w:rsidR="00AB04CD">
        <w:rPr>
          <w:bCs/>
        </w:rPr>
        <w:t xml:space="preserve">απουσία </w:t>
      </w:r>
      <w:r w:rsidRPr="00F64CC0">
        <w:rPr>
          <w:bCs/>
        </w:rPr>
        <w:t>μετάδοση ηπατίτιδας A ή παρβο</w:t>
      </w:r>
      <w:r w:rsidR="00C94A9F" w:rsidRPr="00F64CC0">
        <w:rPr>
          <w:bCs/>
        </w:rPr>
        <w:t>ϊ</w:t>
      </w:r>
      <w:r w:rsidRPr="00F64CC0">
        <w:rPr>
          <w:bCs/>
        </w:rPr>
        <w:t>ού B19 με ανοσοσφαιρ</w:t>
      </w:r>
      <w:r w:rsidR="000D79C4" w:rsidRPr="00F64CC0">
        <w:rPr>
          <w:bCs/>
        </w:rPr>
        <w:t>ίνες και θεωρείται επίσης ότι τα περιεχόμενα αντισώματα</w:t>
      </w:r>
      <w:r w:rsidRPr="00F64CC0">
        <w:rPr>
          <w:bCs/>
        </w:rPr>
        <w:t xml:space="preserve"> έχ</w:t>
      </w:r>
      <w:r w:rsidR="000D79C4" w:rsidRPr="00F64CC0">
        <w:rPr>
          <w:bCs/>
        </w:rPr>
        <w:t>ουν</w:t>
      </w:r>
      <w:r w:rsidRPr="00F64CC0">
        <w:rPr>
          <w:bCs/>
        </w:rPr>
        <w:t xml:space="preserve"> σημαντική συμβολή στην ιολογική ασφάλεια.</w:t>
      </w:r>
    </w:p>
    <w:p w:rsidR="008F38B9" w:rsidRPr="00F64CC0" w:rsidRDefault="000D79C4" w:rsidP="00A03AAE">
      <w:pPr>
        <w:ind w:left="-45"/>
        <w:rPr>
          <w:bCs/>
        </w:rPr>
      </w:pPr>
      <w:r w:rsidRPr="00F64CC0">
        <w:rPr>
          <w:bCs/>
        </w:rPr>
        <w:t>Σ</w:t>
      </w:r>
      <w:r w:rsidR="008F38B9" w:rsidRPr="00F64CC0">
        <w:rPr>
          <w:bCs/>
        </w:rPr>
        <w:t xml:space="preserve">υνιστάται κάθε φορά που χορηγείται Ig VENA σε ασθενή, </w:t>
      </w:r>
      <w:r w:rsidRPr="00F64CC0">
        <w:rPr>
          <w:bCs/>
        </w:rPr>
        <w:t xml:space="preserve">να καταγράφονται </w:t>
      </w:r>
      <w:r w:rsidR="008F38B9" w:rsidRPr="00F64CC0">
        <w:rPr>
          <w:bCs/>
        </w:rPr>
        <w:t>το όνομα και ο αριθμός παρτίδας του προϊόντος, ώστε να διατηρηθεί ένας σύνδεσμος ανάμεσα στον ασθενή και την παρτίδα του προϊόντος.</w:t>
      </w:r>
      <w:r w:rsidRPr="00F64CC0">
        <w:rPr>
          <w:bCs/>
        </w:rPr>
        <w:t xml:space="preserve"> </w:t>
      </w:r>
    </w:p>
    <w:p w:rsidR="001C640C" w:rsidRPr="00F64CC0" w:rsidRDefault="001C640C" w:rsidP="00A03AAE">
      <w:pPr>
        <w:ind w:left="-45"/>
        <w:rPr>
          <w:bCs/>
        </w:rPr>
      </w:pPr>
    </w:p>
    <w:p w:rsidR="00567492" w:rsidRPr="00F64CC0" w:rsidRDefault="001C640C" w:rsidP="00A03AAE">
      <w:pPr>
        <w:ind w:left="-45"/>
        <w:rPr>
          <w:bCs/>
        </w:rPr>
      </w:pPr>
      <w:r w:rsidRPr="00F64CC0">
        <w:rPr>
          <w:bCs/>
          <w:u w:val="single"/>
        </w:rPr>
        <w:t>Παιδιατρικός πληθυσμός</w:t>
      </w:r>
      <w:r w:rsidRPr="00F64CC0">
        <w:rPr>
          <w:bCs/>
        </w:rPr>
        <w:t>.</w:t>
      </w:r>
    </w:p>
    <w:p w:rsidR="001C640C" w:rsidRPr="00F64CC0" w:rsidRDefault="001C640C" w:rsidP="00A03AAE">
      <w:pPr>
        <w:ind w:left="-45"/>
        <w:rPr>
          <w:bCs/>
        </w:rPr>
      </w:pPr>
      <w:r w:rsidRPr="00F64CC0">
        <w:rPr>
          <w:bCs/>
        </w:rPr>
        <w:t>Δεν απαιτούνται ειδικά μέτρα ή παρακολούθηση για τον παιδιατρικό πληθυσμό.</w:t>
      </w:r>
    </w:p>
    <w:p w:rsidR="008F38B9" w:rsidRPr="00F64CC0" w:rsidRDefault="008F38B9" w:rsidP="00A03AAE">
      <w:pPr>
        <w:ind w:left="-45"/>
        <w:rPr>
          <w:bCs/>
        </w:rPr>
      </w:pPr>
    </w:p>
    <w:p w:rsidR="001D1FF3" w:rsidRPr="00900919" w:rsidRDefault="00F741D2" w:rsidP="00900919">
      <w:pPr>
        <w:numPr>
          <w:ilvl w:val="1"/>
          <w:numId w:val="18"/>
        </w:numPr>
        <w:ind w:left="-46" w:firstLine="46"/>
        <w:rPr>
          <w:b/>
          <w:bCs/>
          <w:u w:val="single"/>
        </w:rPr>
      </w:pPr>
      <w:r w:rsidRPr="00F64CC0">
        <w:rPr>
          <w:b/>
          <w:bCs/>
        </w:rPr>
        <w:t>Αλληλεπιδράσεις με άλλα φαρμακευτικά προϊόντα κ</w:t>
      </w:r>
      <w:r w:rsidR="00CD40B8" w:rsidRPr="00F64CC0">
        <w:rPr>
          <w:b/>
          <w:bCs/>
        </w:rPr>
        <w:t>αι άλλες μορφές αλληλεπιδράσεων</w:t>
      </w:r>
      <w:r w:rsidRPr="00F64CC0">
        <w:rPr>
          <w:b/>
          <w:bCs/>
        </w:rPr>
        <w:t>.</w:t>
      </w:r>
    </w:p>
    <w:p w:rsidR="009F3275" w:rsidRPr="00900919" w:rsidRDefault="001D1FF3" w:rsidP="00900919">
      <w:pPr>
        <w:rPr>
          <w:bCs/>
          <w:u w:val="single"/>
          <w:lang w:val="en-US"/>
        </w:rPr>
      </w:pPr>
      <w:r w:rsidRPr="006E54E9">
        <w:rPr>
          <w:bCs/>
          <w:u w:val="single"/>
        </w:rPr>
        <w:t>Εμβόλια ζώντων εξα</w:t>
      </w:r>
      <w:r w:rsidR="00691958" w:rsidRPr="006E54E9">
        <w:rPr>
          <w:bCs/>
          <w:u w:val="single"/>
        </w:rPr>
        <w:t>σ</w:t>
      </w:r>
      <w:r w:rsidRPr="006E54E9">
        <w:rPr>
          <w:bCs/>
          <w:u w:val="single"/>
        </w:rPr>
        <w:t>θενημένων ιών</w:t>
      </w:r>
    </w:p>
    <w:p w:rsidR="00BE789B" w:rsidRPr="00F64CC0" w:rsidRDefault="009F3275" w:rsidP="002C07FC">
      <w:pPr>
        <w:ind w:left="-45"/>
        <w:rPr>
          <w:bCs/>
        </w:rPr>
      </w:pPr>
      <w:r w:rsidRPr="00F64CC0">
        <w:rPr>
          <w:bCs/>
        </w:rPr>
        <w:t xml:space="preserve">Η χορήγηση </w:t>
      </w:r>
      <w:r w:rsidR="0003325A" w:rsidRPr="00F64CC0">
        <w:rPr>
          <w:bCs/>
        </w:rPr>
        <w:t xml:space="preserve">ανοσοσφαιρίνης μπορεί να μειώσει για περίοδο τουλάχιστον 6 </w:t>
      </w:r>
      <w:r w:rsidR="00CA7C41" w:rsidRPr="00F64CC0">
        <w:rPr>
          <w:bCs/>
        </w:rPr>
        <w:t>εβδομάδων και</w:t>
      </w:r>
      <w:r w:rsidR="00BE789B" w:rsidRPr="00F64CC0">
        <w:rPr>
          <w:bCs/>
        </w:rPr>
        <w:t xml:space="preserve"> μέχρι 3 μηνών</w:t>
      </w:r>
      <w:r w:rsidR="0003325A" w:rsidRPr="00F64CC0">
        <w:rPr>
          <w:bCs/>
        </w:rPr>
        <w:t xml:space="preserve"> την αποτελεσματικότητα των εμβολίων με ζώντες </w:t>
      </w:r>
      <w:r w:rsidR="00CA7C41" w:rsidRPr="00F64CC0">
        <w:rPr>
          <w:bCs/>
        </w:rPr>
        <w:t>εξασθενημένους</w:t>
      </w:r>
      <w:r w:rsidR="0003325A" w:rsidRPr="00F64CC0">
        <w:rPr>
          <w:bCs/>
        </w:rPr>
        <w:t xml:space="preserve"> ιούς, όπως τα εμβόλια κατά της ιλαράς, της ερυθράς, </w:t>
      </w:r>
      <w:r w:rsidR="005203DF" w:rsidRPr="00F64CC0">
        <w:rPr>
          <w:bCs/>
        </w:rPr>
        <w:t xml:space="preserve">της </w:t>
      </w:r>
      <w:r w:rsidR="0003325A" w:rsidRPr="00F64CC0">
        <w:rPr>
          <w:bCs/>
        </w:rPr>
        <w:t>παρωτίτιδας και</w:t>
      </w:r>
      <w:r w:rsidR="005203DF" w:rsidRPr="00F64CC0">
        <w:rPr>
          <w:bCs/>
        </w:rPr>
        <w:t xml:space="preserve"> </w:t>
      </w:r>
      <w:r w:rsidR="0003325A" w:rsidRPr="00F64CC0">
        <w:rPr>
          <w:bCs/>
        </w:rPr>
        <w:t xml:space="preserve">της ανεμοβλογιάς. Μετά την </w:t>
      </w:r>
      <w:r w:rsidR="00CA7C41" w:rsidRPr="00F64CC0">
        <w:rPr>
          <w:bCs/>
        </w:rPr>
        <w:t xml:space="preserve">χορήγηση </w:t>
      </w:r>
      <w:r w:rsidR="001C640C" w:rsidRPr="00F64CC0">
        <w:rPr>
          <w:bCs/>
        </w:rPr>
        <w:t xml:space="preserve">αυτού </w:t>
      </w:r>
      <w:r w:rsidR="00CA7C41" w:rsidRPr="00F64CC0">
        <w:rPr>
          <w:bCs/>
        </w:rPr>
        <w:t xml:space="preserve">του </w:t>
      </w:r>
      <w:r w:rsidR="001C640C" w:rsidRPr="00F64CC0">
        <w:rPr>
          <w:bCs/>
        </w:rPr>
        <w:t xml:space="preserve">φαρμακευτικού </w:t>
      </w:r>
      <w:r w:rsidR="00CA7C41" w:rsidRPr="00F64CC0">
        <w:rPr>
          <w:bCs/>
        </w:rPr>
        <w:t>προϊόντος, θα πρέπει να μεσολαβήσει διά</w:t>
      </w:r>
      <w:r w:rsidR="0003325A" w:rsidRPr="00F64CC0">
        <w:rPr>
          <w:bCs/>
        </w:rPr>
        <w:t xml:space="preserve">στημα 3 </w:t>
      </w:r>
      <w:r w:rsidR="006D42F2" w:rsidRPr="00F64CC0">
        <w:rPr>
          <w:bCs/>
        </w:rPr>
        <w:t xml:space="preserve">μηνών πριν </w:t>
      </w:r>
      <w:r w:rsidR="000D79C4" w:rsidRPr="00F64CC0">
        <w:rPr>
          <w:bCs/>
        </w:rPr>
        <w:t>τη χορήγηση</w:t>
      </w:r>
      <w:r w:rsidR="00BE789B" w:rsidRPr="00F64CC0">
        <w:rPr>
          <w:bCs/>
        </w:rPr>
        <w:t xml:space="preserve"> εμβολίου </w:t>
      </w:r>
      <w:r w:rsidR="0003325A" w:rsidRPr="00F64CC0">
        <w:rPr>
          <w:bCs/>
        </w:rPr>
        <w:t xml:space="preserve">με ζώντες </w:t>
      </w:r>
      <w:r w:rsidR="00CA7C41" w:rsidRPr="00F64CC0">
        <w:rPr>
          <w:bCs/>
        </w:rPr>
        <w:t>εξασθενημένους</w:t>
      </w:r>
      <w:r w:rsidR="0003325A" w:rsidRPr="00F64CC0">
        <w:rPr>
          <w:bCs/>
        </w:rPr>
        <w:t xml:space="preserve"> ιούς. </w:t>
      </w:r>
    </w:p>
    <w:p w:rsidR="002376C0" w:rsidRPr="00F64CC0" w:rsidRDefault="0003325A" w:rsidP="002C07FC">
      <w:pPr>
        <w:ind w:left="-45"/>
        <w:rPr>
          <w:bCs/>
        </w:rPr>
      </w:pPr>
      <w:r w:rsidRPr="00F64CC0">
        <w:rPr>
          <w:bCs/>
        </w:rPr>
        <w:t xml:space="preserve">Στην </w:t>
      </w:r>
      <w:r w:rsidR="00BE789B" w:rsidRPr="00F64CC0">
        <w:rPr>
          <w:bCs/>
        </w:rPr>
        <w:t>π</w:t>
      </w:r>
      <w:r w:rsidRPr="00F64CC0">
        <w:rPr>
          <w:bCs/>
        </w:rPr>
        <w:t>ερίπτωση τ</w:t>
      </w:r>
      <w:r w:rsidR="00BE789B" w:rsidRPr="00F64CC0">
        <w:rPr>
          <w:bCs/>
        </w:rPr>
        <w:t>ης ιλαράς,</w:t>
      </w:r>
      <w:r w:rsidR="006D42F2" w:rsidRPr="00F64CC0">
        <w:rPr>
          <w:bCs/>
        </w:rPr>
        <w:t xml:space="preserve"> </w:t>
      </w:r>
      <w:r w:rsidRPr="00F64CC0">
        <w:rPr>
          <w:bCs/>
        </w:rPr>
        <w:t>η αποτελεσματικότητα</w:t>
      </w:r>
      <w:r w:rsidR="00CA7C41" w:rsidRPr="00F64CC0">
        <w:rPr>
          <w:bCs/>
        </w:rPr>
        <w:t xml:space="preserve"> </w:t>
      </w:r>
      <w:r w:rsidRPr="00F64CC0">
        <w:rPr>
          <w:bCs/>
        </w:rPr>
        <w:t>του εμβολίου μπορεί να</w:t>
      </w:r>
      <w:r w:rsidR="006D42F2" w:rsidRPr="00F64CC0">
        <w:rPr>
          <w:bCs/>
        </w:rPr>
        <w:t xml:space="preserve"> </w:t>
      </w:r>
      <w:r w:rsidR="00BE789B" w:rsidRPr="00F64CC0">
        <w:rPr>
          <w:bCs/>
        </w:rPr>
        <w:t xml:space="preserve">μειωθεί για διάστημα </w:t>
      </w:r>
      <w:r w:rsidRPr="00F64CC0">
        <w:rPr>
          <w:bCs/>
        </w:rPr>
        <w:t>μ</w:t>
      </w:r>
      <w:r w:rsidR="006D42F2" w:rsidRPr="00F64CC0">
        <w:rPr>
          <w:bCs/>
        </w:rPr>
        <w:t xml:space="preserve">έχρι και </w:t>
      </w:r>
      <w:r w:rsidR="00BE789B" w:rsidRPr="00F64CC0">
        <w:rPr>
          <w:bCs/>
        </w:rPr>
        <w:t>ενός</w:t>
      </w:r>
      <w:r w:rsidRPr="00F64CC0">
        <w:rPr>
          <w:bCs/>
        </w:rPr>
        <w:t xml:space="preserve"> χρόνο</w:t>
      </w:r>
      <w:r w:rsidR="00BE789B" w:rsidRPr="00F64CC0">
        <w:rPr>
          <w:bCs/>
        </w:rPr>
        <w:t>υ</w:t>
      </w:r>
      <w:r w:rsidRPr="00F64CC0">
        <w:rPr>
          <w:bCs/>
        </w:rPr>
        <w:t>. Ως εκ τούτου, ασθενείς που λαμβάνουν το εμβόλιο της ιλαράς, θα πρέπει να ελέγχουν την</w:t>
      </w:r>
      <w:r w:rsidR="00CA7C41" w:rsidRPr="00F64CC0">
        <w:rPr>
          <w:bCs/>
        </w:rPr>
        <w:t xml:space="preserve"> </w:t>
      </w:r>
      <w:r w:rsidR="008C7A79" w:rsidRPr="00F64CC0">
        <w:rPr>
          <w:bCs/>
        </w:rPr>
        <w:t xml:space="preserve">κατάσταση </w:t>
      </w:r>
      <w:r w:rsidR="00AB04CD">
        <w:rPr>
          <w:bCs/>
        </w:rPr>
        <w:t>των αντισωμάτων τους</w:t>
      </w:r>
      <w:r w:rsidR="008C7A79" w:rsidRPr="00F64CC0">
        <w:rPr>
          <w:bCs/>
        </w:rPr>
        <w:t xml:space="preserve"> </w:t>
      </w:r>
    </w:p>
    <w:p w:rsidR="00EF7308" w:rsidRPr="00F64CC0" w:rsidRDefault="00EF7308" w:rsidP="00F40088">
      <w:pPr>
        <w:rPr>
          <w:bCs/>
        </w:rPr>
      </w:pPr>
    </w:p>
    <w:p w:rsidR="00EF7308" w:rsidRPr="006E54E9" w:rsidRDefault="00EF7308" w:rsidP="00367AF0">
      <w:pPr>
        <w:ind w:left="-539"/>
        <w:rPr>
          <w:bCs/>
          <w:u w:val="single"/>
        </w:rPr>
      </w:pPr>
      <w:r w:rsidRPr="00F64CC0">
        <w:rPr>
          <w:bCs/>
        </w:rPr>
        <w:tab/>
      </w:r>
      <w:r w:rsidRPr="006E54E9">
        <w:rPr>
          <w:bCs/>
          <w:u w:val="single"/>
        </w:rPr>
        <w:t>Έλεγχος Γλυκόζης Αίματος</w:t>
      </w:r>
    </w:p>
    <w:p w:rsidR="00EF7308" w:rsidRPr="00900919" w:rsidRDefault="00EF7308" w:rsidP="00367AF0">
      <w:pPr>
        <w:rPr>
          <w:bCs/>
        </w:rPr>
      </w:pPr>
      <w:r w:rsidRPr="00F64CC0">
        <w:rPr>
          <w:bCs/>
        </w:rPr>
        <w:t>Ορισμένοι τύποι συστημάτων ελέγχου της γλυκόζης αίματος (για παράδειγμα, εκείνα που βασίζονται στην αφυδρογονάση της γλυκόζης - πυρρολοκινολίνη κινόνη (GDH-PQQ) ή σε μεθόδους glucose-dye-oxidoreductase) ερμηνεύουν εσφαλμένα τη μαλτόζη (100 mg/ml) που περιέχεται στ</w:t>
      </w:r>
      <w:r w:rsidR="00C417E8" w:rsidRPr="00F64CC0">
        <w:rPr>
          <w:bCs/>
          <w:lang w:val="it-IT"/>
        </w:rPr>
        <w:t>o</w:t>
      </w:r>
      <w:r w:rsidRPr="00F64CC0">
        <w:rPr>
          <w:bCs/>
        </w:rPr>
        <w:t xml:space="preserve"> Ig VENA</w:t>
      </w:r>
      <w:r w:rsidR="00C417E8" w:rsidRPr="00F64CC0">
        <w:rPr>
          <w:bCs/>
        </w:rPr>
        <w:t>,</w:t>
      </w:r>
      <w:r w:rsidRPr="00F64CC0">
        <w:rPr>
          <w:bCs/>
        </w:rPr>
        <w:t xml:space="preserve"> ως γλυκόζη. Αυτό μπορεί να </w:t>
      </w:r>
      <w:r w:rsidR="00C417E8" w:rsidRPr="00F64CC0">
        <w:rPr>
          <w:bCs/>
        </w:rPr>
        <w:t xml:space="preserve">έχει σαν αποτέλεσμα ψευδώς </w:t>
      </w:r>
      <w:r w:rsidRPr="00F64CC0">
        <w:rPr>
          <w:bCs/>
        </w:rPr>
        <w:t xml:space="preserve">αυξημένες μετρήσεις γλυκόζης κατά τη διάρκεια μιας έγχυσης και για διάστημα περίπου 15 ωρών μετά από το τέλος της έγχυσης και, κατά συνέπεια, τη λανθασμένη χορήγηση ινσουλίνης, προκαλώντας απειλητική για τη ζωή ή ακόμη και θανατηφόρα υπογλυκαιμία. Επίσης, περιστατικά πραγματικής υπογλυκαιμίας πιθανόν να μην αντιμετωπιστούν καταλλήλως εφόσον η υπογλυκαιμική κατάσταση συγκαλύπτεται από ψευδώς αυξημένες μετρήσεις γλυκόζης. Κατά συνέπεια, όταν </w:t>
      </w:r>
      <w:r w:rsidRPr="00F64CC0">
        <w:rPr>
          <w:bCs/>
        </w:rPr>
        <w:lastRenderedPageBreak/>
        <w:t>χορηγείται Ig VENA ή άλλα παρεντερικά προϊόντα που περιέχουν μαλτόζη, η μέτρηση της γλυκόζης αίματος πρέπει να διενεργείται με μέθοδο εξειδικευμένη για τη γλυκόζη.</w:t>
      </w:r>
    </w:p>
    <w:p w:rsidR="00EF7308" w:rsidRPr="00F64CC0" w:rsidRDefault="00EF7308" w:rsidP="00367AF0">
      <w:pPr>
        <w:rPr>
          <w:bCs/>
        </w:rPr>
      </w:pPr>
      <w:r w:rsidRPr="00F64CC0">
        <w:rPr>
          <w:bCs/>
        </w:rPr>
        <w:t>Οι πληροφορίες του προϊόντος για το σύστημα ελέγχου της γλυκόζης αίματος, περιλαμβανομένων των ταινιών ελέγχου, πρέπει να εξετάζονται προσεκτικά για να καθοριστεί κατά πόσο το σύστημα είναι κατάλληλο προς χρήση με παρεντερικά προϊόντα που περιέχουν μαλτόζη. Εάν υπάρχει οποιαδήποτε αμφιβολία, επικοινωνήστε με τον κατασκευαστή του συστήματος ελέγχου για να καθοριστεί κατά πόσο το σύστημα είναι κατάλληλο προς χρήση με παρεντερικά προϊόντα που περιέχουν μαλτόζη.</w:t>
      </w:r>
    </w:p>
    <w:p w:rsidR="00EF7308" w:rsidRPr="00F64CC0" w:rsidRDefault="00EF7308" w:rsidP="00367AF0">
      <w:pPr>
        <w:rPr>
          <w:bCs/>
        </w:rPr>
      </w:pPr>
    </w:p>
    <w:p w:rsidR="00367AF0" w:rsidRPr="00F64CC0" w:rsidRDefault="00EF7308" w:rsidP="004F38DE">
      <w:pPr>
        <w:rPr>
          <w:bCs/>
          <w:u w:val="single"/>
        </w:rPr>
      </w:pPr>
      <w:r w:rsidRPr="00F64CC0">
        <w:rPr>
          <w:bCs/>
          <w:u w:val="single"/>
        </w:rPr>
        <w:t>Παιδιατρικός</w:t>
      </w:r>
      <w:r w:rsidR="00534AAE" w:rsidRPr="00F64CC0">
        <w:rPr>
          <w:bCs/>
          <w:u w:val="single"/>
        </w:rPr>
        <w:t xml:space="preserve"> </w:t>
      </w:r>
      <w:r w:rsidRPr="00F64CC0">
        <w:rPr>
          <w:bCs/>
          <w:u w:val="single"/>
        </w:rPr>
        <w:t>πληθυσμός</w:t>
      </w:r>
    </w:p>
    <w:p w:rsidR="00EF7308" w:rsidRPr="00F64CC0" w:rsidRDefault="00EF7308" w:rsidP="00367AF0">
      <w:pPr>
        <w:rPr>
          <w:bCs/>
        </w:rPr>
      </w:pPr>
      <w:r w:rsidRPr="00F64CC0">
        <w:rPr>
          <w:bCs/>
        </w:rPr>
        <w:t>Αν και δεν έχουν γίνει ειδικές μελέτες αλληλεπίδρασης στον παιδιατρικό πληθυσμό, δεν αναμένονται διαφορές μεταξύ ενηλίκων και παιδιών .</w:t>
      </w:r>
    </w:p>
    <w:p w:rsidR="009F3275" w:rsidRPr="00F64CC0" w:rsidRDefault="009F3275" w:rsidP="00367AF0">
      <w:pPr>
        <w:ind w:left="-539"/>
        <w:rPr>
          <w:b/>
          <w:bCs/>
          <w:u w:val="single"/>
        </w:rPr>
      </w:pPr>
    </w:p>
    <w:p w:rsidR="006E54E9" w:rsidRPr="00900919" w:rsidRDefault="00EF7308" w:rsidP="00900919">
      <w:pPr>
        <w:numPr>
          <w:ilvl w:val="1"/>
          <w:numId w:val="18"/>
        </w:numPr>
        <w:rPr>
          <w:b/>
          <w:bCs/>
        </w:rPr>
      </w:pPr>
      <w:r w:rsidRPr="00F64CC0">
        <w:rPr>
          <w:b/>
          <w:bCs/>
        </w:rPr>
        <w:t>Γονιμότητα, κ</w:t>
      </w:r>
      <w:r w:rsidR="0038026D" w:rsidRPr="00F64CC0">
        <w:rPr>
          <w:b/>
          <w:bCs/>
        </w:rPr>
        <w:t>ύηση και</w:t>
      </w:r>
      <w:r w:rsidR="00D77183" w:rsidRPr="00F64CC0">
        <w:rPr>
          <w:b/>
          <w:bCs/>
        </w:rPr>
        <w:t xml:space="preserve"> γαλουχία</w:t>
      </w:r>
    </w:p>
    <w:p w:rsidR="00EF7308" w:rsidRPr="00F64CC0" w:rsidRDefault="00EF7308" w:rsidP="007019FC">
      <w:pPr>
        <w:rPr>
          <w:bCs/>
          <w:u w:val="single"/>
        </w:rPr>
      </w:pPr>
      <w:r w:rsidRPr="00F64CC0">
        <w:rPr>
          <w:bCs/>
          <w:u w:val="single"/>
        </w:rPr>
        <w:t>Κύηση</w:t>
      </w:r>
      <w:r w:rsidR="005732EE" w:rsidRPr="00F64CC0">
        <w:rPr>
          <w:bCs/>
          <w:u w:val="single"/>
        </w:rPr>
        <w:t xml:space="preserve"> </w:t>
      </w:r>
    </w:p>
    <w:p w:rsidR="00D77183" w:rsidRPr="00F64CC0" w:rsidRDefault="005732EE" w:rsidP="007019FC">
      <w:pPr>
        <w:rPr>
          <w:bCs/>
        </w:rPr>
      </w:pPr>
      <w:r w:rsidRPr="00F64CC0">
        <w:rPr>
          <w:bCs/>
        </w:rPr>
        <w:t>Η ασφάλεια χρήσης αυτού του φαρμακευτικού προϊό</w:t>
      </w:r>
      <w:r w:rsidR="008A20EF" w:rsidRPr="00F64CC0">
        <w:rPr>
          <w:bCs/>
        </w:rPr>
        <w:t>ντος κατά την</w:t>
      </w:r>
      <w:r w:rsidR="008032EE" w:rsidRPr="00F64CC0">
        <w:rPr>
          <w:bCs/>
        </w:rPr>
        <w:t xml:space="preserve"> </w:t>
      </w:r>
      <w:r w:rsidR="007467DC" w:rsidRPr="00F64CC0">
        <w:rPr>
          <w:bCs/>
        </w:rPr>
        <w:t>κύηση</w:t>
      </w:r>
      <w:r w:rsidR="008A20EF" w:rsidRPr="00F64CC0">
        <w:rPr>
          <w:bCs/>
        </w:rPr>
        <w:t xml:space="preserve"> του ανθρώπου</w:t>
      </w:r>
      <w:r w:rsidRPr="00F64CC0">
        <w:rPr>
          <w:bCs/>
        </w:rPr>
        <w:t xml:space="preserve"> δεν έχει αποδειχθεί με ελεγχόμενες κλι</w:t>
      </w:r>
      <w:r w:rsidR="007467DC" w:rsidRPr="00F64CC0">
        <w:rPr>
          <w:bCs/>
        </w:rPr>
        <w:t>νικές μελέτες</w:t>
      </w:r>
      <w:r w:rsidR="008A20EF" w:rsidRPr="00F64CC0">
        <w:rPr>
          <w:bCs/>
        </w:rPr>
        <w:t xml:space="preserve"> και κατά συνέπεια </w:t>
      </w:r>
      <w:r w:rsidRPr="00F64CC0">
        <w:rPr>
          <w:bCs/>
        </w:rPr>
        <w:t xml:space="preserve">αυτό θα πρέπει να χορηγείται με </w:t>
      </w:r>
      <w:r w:rsidR="007467DC" w:rsidRPr="00F64CC0">
        <w:rPr>
          <w:bCs/>
        </w:rPr>
        <w:t>προσοχή στις εγκύους και στις θη</w:t>
      </w:r>
      <w:r w:rsidRPr="00F64CC0">
        <w:rPr>
          <w:bCs/>
        </w:rPr>
        <w:t>λάζουσες μητέρες.</w:t>
      </w:r>
    </w:p>
    <w:p w:rsidR="00EF7308" w:rsidRPr="00F64CC0" w:rsidRDefault="00EF7308" w:rsidP="00A03AAE">
      <w:pPr>
        <w:ind w:left="1"/>
        <w:rPr>
          <w:bCs/>
        </w:rPr>
      </w:pPr>
      <w:r w:rsidRPr="00F64CC0">
        <w:rPr>
          <w:bCs/>
        </w:rPr>
        <w:t xml:space="preserve">Τα προϊόντα </w:t>
      </w:r>
      <w:proofErr w:type="spellStart"/>
      <w:r w:rsidRPr="00F64CC0">
        <w:rPr>
          <w:bCs/>
          <w:lang w:val="en-US"/>
        </w:rPr>
        <w:t>IVIg</w:t>
      </w:r>
      <w:proofErr w:type="spellEnd"/>
      <w:r w:rsidRPr="00F64CC0">
        <w:rPr>
          <w:bCs/>
        </w:rPr>
        <w:t xml:space="preserve"> έχει αποδειχθεί ότι διαπερνούν τον πλακούντα, </w:t>
      </w:r>
      <w:r w:rsidR="00AB04CD">
        <w:rPr>
          <w:bCs/>
        </w:rPr>
        <w:t>με αυξανόμενη τάση</w:t>
      </w:r>
      <w:r w:rsidRPr="00F64CC0">
        <w:rPr>
          <w:bCs/>
        </w:rPr>
        <w:t xml:space="preserve"> κατά τη διάρκεια του τρίτου τριμήνου</w:t>
      </w:r>
    </w:p>
    <w:p w:rsidR="005732EE" w:rsidRPr="00F64CC0" w:rsidRDefault="008032EE" w:rsidP="007019FC">
      <w:pPr>
        <w:rPr>
          <w:bCs/>
        </w:rPr>
      </w:pPr>
      <w:r w:rsidRPr="00F64CC0">
        <w:rPr>
          <w:bCs/>
        </w:rPr>
        <w:t xml:space="preserve">Η </w:t>
      </w:r>
      <w:r w:rsidR="005732EE" w:rsidRPr="00F64CC0">
        <w:rPr>
          <w:bCs/>
        </w:rPr>
        <w:t xml:space="preserve">κλινική εμπειρία με τις ανοσοσφαιρίνες </w:t>
      </w:r>
      <w:r w:rsidR="00AB04CD">
        <w:rPr>
          <w:bCs/>
        </w:rPr>
        <w:t>υποδηλώνει ότι δεν αναμένονται</w:t>
      </w:r>
      <w:r w:rsidR="008A20EF" w:rsidRPr="00F64CC0">
        <w:rPr>
          <w:bCs/>
        </w:rPr>
        <w:t xml:space="preserve"> </w:t>
      </w:r>
      <w:r w:rsidR="00AB04CD">
        <w:rPr>
          <w:bCs/>
        </w:rPr>
        <w:t xml:space="preserve">βλαβερές επιδράσεις </w:t>
      </w:r>
      <w:r w:rsidR="008A20EF" w:rsidRPr="00F64CC0">
        <w:rPr>
          <w:bCs/>
        </w:rPr>
        <w:t>κατά την κύηση</w:t>
      </w:r>
      <w:r w:rsidRPr="00F64CC0">
        <w:rPr>
          <w:bCs/>
        </w:rPr>
        <w:t xml:space="preserve"> </w:t>
      </w:r>
      <w:r w:rsidR="005732EE" w:rsidRPr="00F64CC0">
        <w:rPr>
          <w:bCs/>
        </w:rPr>
        <w:t>στο έμβρυο και το νεογνό.</w:t>
      </w:r>
    </w:p>
    <w:p w:rsidR="00EF7308" w:rsidRPr="00F64CC0" w:rsidRDefault="00EF7308" w:rsidP="00A03AAE">
      <w:pPr>
        <w:ind w:left="-539"/>
        <w:rPr>
          <w:bCs/>
        </w:rPr>
      </w:pPr>
    </w:p>
    <w:p w:rsidR="00EF7308" w:rsidRPr="00F64CC0" w:rsidRDefault="00EF7308" w:rsidP="00A03AAE">
      <w:pPr>
        <w:ind w:left="-539"/>
        <w:rPr>
          <w:bCs/>
          <w:u w:val="single"/>
        </w:rPr>
      </w:pPr>
      <w:r w:rsidRPr="00F64CC0">
        <w:rPr>
          <w:bCs/>
        </w:rPr>
        <w:tab/>
      </w:r>
      <w:r w:rsidRPr="00F64CC0">
        <w:rPr>
          <w:bCs/>
          <w:u w:val="single"/>
        </w:rPr>
        <w:t>Γαλουχία</w:t>
      </w:r>
    </w:p>
    <w:p w:rsidR="0095586F" w:rsidRPr="00F64CC0" w:rsidRDefault="0095586F" w:rsidP="007019FC">
      <w:pPr>
        <w:rPr>
          <w:bCs/>
        </w:rPr>
      </w:pPr>
      <w:r w:rsidRPr="00F64CC0">
        <w:rPr>
          <w:bCs/>
        </w:rPr>
        <w:t xml:space="preserve">Οι ανοσοσφαιρίνες απεκκρίνονται στο μητρικό γάλα και είναι δυνατόν να συμβάλλουν </w:t>
      </w:r>
      <w:r w:rsidR="000E655A" w:rsidRPr="00F64CC0">
        <w:rPr>
          <w:bCs/>
        </w:rPr>
        <w:t>σ</w:t>
      </w:r>
      <w:r w:rsidR="00EF7308" w:rsidRPr="00F64CC0">
        <w:rPr>
          <w:bCs/>
        </w:rPr>
        <w:t xml:space="preserve">την προστασία του νεογνού από παθογόνους οργανισμούς που </w:t>
      </w:r>
      <w:r w:rsidR="000E655A" w:rsidRPr="00F64CC0">
        <w:rPr>
          <w:bCs/>
        </w:rPr>
        <w:t>εισέρχονται στον οργανισμό μέσω του β</w:t>
      </w:r>
      <w:r w:rsidR="00EF7308" w:rsidRPr="00F64CC0">
        <w:rPr>
          <w:bCs/>
        </w:rPr>
        <w:t>λεννογόνου</w:t>
      </w:r>
      <w:r w:rsidR="000E655A" w:rsidRPr="00F64CC0">
        <w:rPr>
          <w:bCs/>
        </w:rPr>
        <w:t>.</w:t>
      </w:r>
    </w:p>
    <w:p w:rsidR="000E655A" w:rsidRPr="00F64CC0" w:rsidRDefault="000E655A" w:rsidP="00A03AAE">
      <w:pPr>
        <w:rPr>
          <w:bCs/>
        </w:rPr>
      </w:pPr>
    </w:p>
    <w:p w:rsidR="007019FC" w:rsidRPr="00F64CC0" w:rsidRDefault="000E655A" w:rsidP="00A03AAE">
      <w:pPr>
        <w:rPr>
          <w:bCs/>
          <w:u w:val="single"/>
        </w:rPr>
      </w:pPr>
      <w:r w:rsidRPr="00F64CC0">
        <w:rPr>
          <w:bCs/>
          <w:u w:val="single"/>
        </w:rPr>
        <w:t>Γονιμότητα</w:t>
      </w:r>
    </w:p>
    <w:p w:rsidR="000E655A" w:rsidRPr="00F64CC0" w:rsidRDefault="000E655A" w:rsidP="00A03AAE">
      <w:pPr>
        <w:rPr>
          <w:bCs/>
        </w:rPr>
      </w:pPr>
      <w:r w:rsidRPr="00F64CC0">
        <w:rPr>
          <w:bCs/>
        </w:rPr>
        <w:t>Η κλινική εμπειρία με ανοσοσφαιρίνες δείχνει ότι δεν πρέπει να αναμένονται επιβλαβείς επιδράσεις στη γονιμότητα.</w:t>
      </w:r>
    </w:p>
    <w:p w:rsidR="002C0811" w:rsidRPr="00F64CC0" w:rsidRDefault="002C0811" w:rsidP="00A03AAE">
      <w:pPr>
        <w:ind w:left="-45"/>
        <w:rPr>
          <w:bCs/>
        </w:rPr>
      </w:pPr>
    </w:p>
    <w:p w:rsidR="00062210" w:rsidRPr="00900919" w:rsidRDefault="00D70692" w:rsidP="00900919">
      <w:pPr>
        <w:numPr>
          <w:ilvl w:val="1"/>
          <w:numId w:val="18"/>
        </w:numPr>
        <w:rPr>
          <w:b/>
          <w:bCs/>
        </w:rPr>
      </w:pPr>
      <w:r w:rsidRPr="00F64CC0">
        <w:rPr>
          <w:b/>
          <w:bCs/>
        </w:rPr>
        <w:t>Επ</w:t>
      </w:r>
      <w:r w:rsidR="00D148B1" w:rsidRPr="00F64CC0">
        <w:rPr>
          <w:b/>
          <w:bCs/>
        </w:rPr>
        <w:t>ι</w:t>
      </w:r>
      <w:r w:rsidRPr="00F64CC0">
        <w:rPr>
          <w:b/>
          <w:bCs/>
        </w:rPr>
        <w:t>δρ</w:t>
      </w:r>
      <w:r w:rsidR="00D148B1" w:rsidRPr="00F64CC0">
        <w:rPr>
          <w:b/>
          <w:bCs/>
        </w:rPr>
        <w:t>άσεις</w:t>
      </w:r>
      <w:r w:rsidRPr="00F64CC0">
        <w:rPr>
          <w:b/>
          <w:bCs/>
        </w:rPr>
        <w:t xml:space="preserve"> στην ικανότητ</w:t>
      </w:r>
      <w:r w:rsidR="002C0811" w:rsidRPr="00F64CC0">
        <w:rPr>
          <w:b/>
          <w:bCs/>
        </w:rPr>
        <w:t xml:space="preserve">α οδήγησης και χειρισμού </w:t>
      </w:r>
      <w:r w:rsidR="004E7013" w:rsidRPr="00F64CC0">
        <w:rPr>
          <w:b/>
          <w:bCs/>
        </w:rPr>
        <w:t>μηχαν</w:t>
      </w:r>
      <w:r w:rsidR="006D12CA" w:rsidRPr="00F64CC0">
        <w:rPr>
          <w:b/>
          <w:bCs/>
        </w:rPr>
        <w:t>ημάτων</w:t>
      </w:r>
    </w:p>
    <w:p w:rsidR="00221349" w:rsidRPr="00F64CC0" w:rsidRDefault="00062210" w:rsidP="00672360">
      <w:r w:rsidRPr="00F64CC0">
        <w:t xml:space="preserve">Η </w:t>
      </w:r>
      <w:r w:rsidRPr="00F64CC0">
        <w:rPr>
          <w:bCs/>
        </w:rPr>
        <w:t>ικανότητα</w:t>
      </w:r>
      <w:r w:rsidRPr="00F64CC0">
        <w:t xml:space="preserve"> οδήγησης και χειρισμού μηχανημάτων μπορεί να επηρεαστεί από κάποιες ανεπιθύμητες ενέργειες που σχετίζονται με</w:t>
      </w:r>
      <w:r w:rsidR="006F0D33" w:rsidRPr="00F64CC0">
        <w:t xml:space="preserve"> την</w:t>
      </w:r>
      <w:r w:rsidRPr="00F64CC0">
        <w:t xml:space="preserve"> Ig Vena. Οι ασθενείς που παρουσιάζουν ανεπιθύμητες ενέργειες κατά τη διάρκεια της θεραπείας</w:t>
      </w:r>
      <w:r w:rsidR="00AB04CD">
        <w:t>,</w:t>
      </w:r>
      <w:r w:rsidRPr="00F64CC0">
        <w:t xml:space="preserve"> θα πρέπει να περιμένουν </w:t>
      </w:r>
      <w:r w:rsidR="00AB04CD" w:rsidRPr="00BE03BB">
        <w:t>πριν από την οδήγηση ή το χειρισμό μηχανημάτων</w:t>
      </w:r>
      <w:r w:rsidR="00AB04CD">
        <w:t>,</w:t>
      </w:r>
      <w:r w:rsidR="006E54E9">
        <w:t xml:space="preserve"> </w:t>
      </w:r>
      <w:r w:rsidR="00AB04CD">
        <w:t>ώσπου αυτές</w:t>
      </w:r>
      <w:r w:rsidR="00AB04CD" w:rsidRPr="00F64CC0">
        <w:t xml:space="preserve"> </w:t>
      </w:r>
      <w:r w:rsidRPr="00F64CC0">
        <w:t>να υποχωρήσουν.</w:t>
      </w:r>
    </w:p>
    <w:p w:rsidR="00E10563" w:rsidRPr="00F64CC0" w:rsidRDefault="00E10563" w:rsidP="00A03AAE">
      <w:pPr>
        <w:ind w:left="-45"/>
      </w:pPr>
    </w:p>
    <w:p w:rsidR="00766A5F" w:rsidRPr="00F64CC0" w:rsidRDefault="00766A5F" w:rsidP="00A03AAE">
      <w:pPr>
        <w:numPr>
          <w:ilvl w:val="1"/>
          <w:numId w:val="18"/>
        </w:numPr>
        <w:rPr>
          <w:b/>
          <w:bCs/>
        </w:rPr>
      </w:pPr>
      <w:r w:rsidRPr="00F64CC0">
        <w:rPr>
          <w:b/>
          <w:bCs/>
        </w:rPr>
        <w:t>Ανεπιθύμητες ενέργειες</w:t>
      </w:r>
    </w:p>
    <w:p w:rsidR="00743C66" w:rsidRPr="00F64CC0" w:rsidRDefault="00743C66" w:rsidP="000C1A57">
      <w:pPr>
        <w:rPr>
          <w:u w:val="single"/>
        </w:rPr>
      </w:pPr>
      <w:r w:rsidRPr="00F64CC0">
        <w:rPr>
          <w:u w:val="single"/>
        </w:rPr>
        <w:t xml:space="preserve">Περίληψη του </w:t>
      </w:r>
      <w:r w:rsidR="006F0D33" w:rsidRPr="00F64CC0">
        <w:rPr>
          <w:u w:val="single"/>
        </w:rPr>
        <w:t>προφίλ</w:t>
      </w:r>
      <w:r w:rsidRPr="00F64CC0">
        <w:rPr>
          <w:u w:val="single"/>
        </w:rPr>
        <w:t xml:space="preserve"> ασφαλείας.</w:t>
      </w:r>
    </w:p>
    <w:p w:rsidR="00B71E3A" w:rsidRPr="00900919" w:rsidRDefault="00234001" w:rsidP="000C1A57">
      <w:r w:rsidRPr="00F64CC0">
        <w:t xml:space="preserve">Ανεπιθύμητες ενέργειες όπως ρίγη, κεφαλαλγία, </w:t>
      </w:r>
      <w:r w:rsidR="00743C66" w:rsidRPr="00F64CC0">
        <w:t xml:space="preserve">ζάλη, </w:t>
      </w:r>
      <w:r w:rsidRPr="00F64CC0">
        <w:t xml:space="preserve">πυρετός, έμετος, αλλεργικές αντιδράσεις, ναυτία, αρθραλγία, χαμηλή </w:t>
      </w:r>
      <w:r w:rsidR="008D25EC" w:rsidRPr="00F64CC0">
        <w:t xml:space="preserve">αρτηριακή </w:t>
      </w:r>
      <w:r w:rsidRPr="00F64CC0">
        <w:t xml:space="preserve">πίεση και </w:t>
      </w:r>
      <w:r w:rsidR="0010322C" w:rsidRPr="00F64CC0">
        <w:t xml:space="preserve">ήπια </w:t>
      </w:r>
      <w:r w:rsidR="00B71E3A" w:rsidRPr="00F64CC0">
        <w:t xml:space="preserve">έντασης </w:t>
      </w:r>
      <w:r w:rsidRPr="00F64CC0">
        <w:t xml:space="preserve">οσφυαλγία ενδέχεται να εμφανιστούν περιστασιακά. </w:t>
      </w:r>
    </w:p>
    <w:p w:rsidR="00201F17" w:rsidRPr="00900919" w:rsidRDefault="00234001" w:rsidP="00900919">
      <w:r w:rsidRPr="00F64CC0">
        <w:t xml:space="preserve">Οι ανοσοσφαιρίνες σπανίως </w:t>
      </w:r>
      <w:r w:rsidR="007467DC" w:rsidRPr="00F64CC0">
        <w:t>προκαλούν</w:t>
      </w:r>
      <w:r w:rsidR="008D25EC" w:rsidRPr="00F64CC0">
        <w:t xml:space="preserve"> απότομη</w:t>
      </w:r>
      <w:r w:rsidR="007467DC" w:rsidRPr="00F64CC0">
        <w:t xml:space="preserve"> </w:t>
      </w:r>
      <w:r w:rsidRPr="00F64CC0">
        <w:t xml:space="preserve">πτώση της αρτηριακής πίεσης και σε μεμονωμένες περιπτώσεις, αναφυλακτικό σοκ, ακόμη και αν </w:t>
      </w:r>
      <w:r w:rsidR="00E15783">
        <w:t>ο</w:t>
      </w:r>
      <w:r w:rsidRPr="00F64CC0">
        <w:t xml:space="preserve"> </w:t>
      </w:r>
      <w:r w:rsidR="00E15783" w:rsidRPr="00F64CC0">
        <w:t>ασθεν</w:t>
      </w:r>
      <w:r w:rsidR="00E15783">
        <w:t>ή</w:t>
      </w:r>
      <w:r w:rsidR="00E15783" w:rsidRPr="00F64CC0">
        <w:t xml:space="preserve">ς </w:t>
      </w:r>
      <w:r w:rsidRPr="00F64CC0">
        <w:t xml:space="preserve">δεν </w:t>
      </w:r>
      <w:r w:rsidR="00E15783">
        <w:t>έχει παρουσιάσει</w:t>
      </w:r>
      <w:r w:rsidR="00E15783" w:rsidRPr="00F64CC0">
        <w:t xml:space="preserve"> </w:t>
      </w:r>
      <w:r w:rsidRPr="00F64CC0">
        <w:t>ευαισθησία σε προηγούμενη χορήγηση.</w:t>
      </w:r>
    </w:p>
    <w:p w:rsidR="00325BE7" w:rsidRPr="00900919" w:rsidRDefault="00201F17" w:rsidP="000C1A57">
      <w:r w:rsidRPr="00F64CC0">
        <w:t xml:space="preserve">Περιπτώσεις </w:t>
      </w:r>
      <w:r w:rsidR="007467DC" w:rsidRPr="00F64CC0">
        <w:t>αναστρέψιμης</w:t>
      </w:r>
      <w:r w:rsidR="008D25EC" w:rsidRPr="00F64CC0">
        <w:t xml:space="preserve"> </w:t>
      </w:r>
      <w:r w:rsidR="009B699A">
        <w:t>ασηπτικής</w:t>
      </w:r>
      <w:r w:rsidR="009B699A" w:rsidRPr="00F64CC0">
        <w:t xml:space="preserve"> </w:t>
      </w:r>
      <w:r w:rsidRPr="00F64CC0">
        <w:t>μηνιγγίτιδας, και σπάνιες περιπτώσεις παροδικών δερματικών αντιδράσεων έχουν παρατηρηθεί με την ανθρώπινη φυσιολογική ανοσοσφαιρίνη.</w:t>
      </w:r>
      <w:r w:rsidR="00743C66" w:rsidRPr="00224BEE">
        <w:t xml:space="preserve"> </w:t>
      </w:r>
      <w:r w:rsidR="00743C66" w:rsidRPr="00F64CC0">
        <w:t xml:space="preserve">Αναστρέψιμες αιμολυτικές αντιδράσεις έχουν παρατηρηθεί σε ασθενείς, ιδιαίτερα εκείνους με τις </w:t>
      </w:r>
      <w:r w:rsidR="00743C66" w:rsidRPr="00F64CC0">
        <w:lastRenderedPageBreak/>
        <w:t xml:space="preserve">ομάδες αίματος Α, Β και ΑΒ. Σπάνια, αιμολυτική αναιμία που απαιτεί μετάγγιση μπορεί να αναπτυχθεί μετά από υψηλή δόση IVIg θεραπείας (βλ. επίσης </w:t>
      </w:r>
      <w:r w:rsidR="00325BE7" w:rsidRPr="00F64CC0">
        <w:t>Παράγραφο</w:t>
      </w:r>
      <w:r w:rsidR="00743C66" w:rsidRPr="00F64CC0">
        <w:t xml:space="preserve"> 4.4).</w:t>
      </w:r>
    </w:p>
    <w:p w:rsidR="00B225F4" w:rsidRPr="00F64CC0" w:rsidRDefault="00E2176B" w:rsidP="000C1A57">
      <w:r w:rsidRPr="00F64CC0">
        <w:t>Έχουν παρατηρηθεί αύξηση της κρεατινίνης του</w:t>
      </w:r>
      <w:r w:rsidR="00795B0A" w:rsidRPr="00F64CC0">
        <w:t xml:space="preserve"> ορού</w:t>
      </w:r>
      <w:r w:rsidR="00B225F4" w:rsidRPr="00F64CC0">
        <w:t xml:space="preserve"> και/ή οξεία νεφρική ανεπάρκεια.</w:t>
      </w:r>
    </w:p>
    <w:p w:rsidR="00B225F4" w:rsidRPr="00F64CC0" w:rsidRDefault="00B225F4" w:rsidP="000C1A57">
      <w:r w:rsidRPr="00F64CC0">
        <w:t>Πολύ σπάνια</w:t>
      </w:r>
      <w:r w:rsidR="00325BE7" w:rsidRPr="00F64CC0">
        <w:t>:</w:t>
      </w:r>
      <w:r w:rsidRPr="00F64CC0">
        <w:t xml:space="preserve"> </w:t>
      </w:r>
      <w:r w:rsidR="00325BE7" w:rsidRPr="00F64CC0">
        <w:t>Έ</w:t>
      </w:r>
      <w:r w:rsidR="008D25EC" w:rsidRPr="00F64CC0">
        <w:t xml:space="preserve">χουν παρατηρηθεί </w:t>
      </w:r>
      <w:r w:rsidRPr="00F64CC0">
        <w:t>θρομβοεμβολικ</w:t>
      </w:r>
      <w:r w:rsidR="008D25EC" w:rsidRPr="00F64CC0">
        <w:t>ά επεισόδια</w:t>
      </w:r>
      <w:r w:rsidRPr="00F64CC0">
        <w:t xml:space="preserve"> όπως έμφραγμα του μυοκαρδίου, εγκεφαλικό επεισόδιο, πνευμονική εμβολή, </w:t>
      </w:r>
      <w:r w:rsidR="008D25EC" w:rsidRPr="00F64CC0">
        <w:t xml:space="preserve">εν τω βάθει </w:t>
      </w:r>
      <w:r w:rsidR="007D7139" w:rsidRPr="00F64CC0">
        <w:t>φλ</w:t>
      </w:r>
      <w:r w:rsidR="008D25EC" w:rsidRPr="00F64CC0">
        <w:t>εβική θρόμβωση</w:t>
      </w:r>
      <w:r w:rsidRPr="00F64CC0">
        <w:t>.</w:t>
      </w:r>
    </w:p>
    <w:p w:rsidR="00325BE7" w:rsidRPr="00F64CC0" w:rsidRDefault="00325BE7" w:rsidP="000C1A57"/>
    <w:p w:rsidR="006E54E9" w:rsidRPr="00900919" w:rsidRDefault="00325BE7" w:rsidP="000C1A57">
      <w:pPr>
        <w:rPr>
          <w:u w:val="single"/>
          <w:lang w:val="en-US"/>
        </w:rPr>
      </w:pPr>
      <w:r w:rsidRPr="00F64CC0">
        <w:rPr>
          <w:u w:val="single"/>
        </w:rPr>
        <w:t>Πίνακας ανεπιθύμητων ενεργειών</w:t>
      </w:r>
    </w:p>
    <w:p w:rsidR="00B71E3A" w:rsidRPr="00F64CC0" w:rsidRDefault="00B71E3A" w:rsidP="000C1A57">
      <w:r w:rsidRPr="00F64CC0">
        <w:t xml:space="preserve">Ο πίνακας που παρουσιάζεται παρακάτω είναι </w:t>
      </w:r>
      <w:r w:rsidR="00E15783" w:rsidRPr="00F64CC0">
        <w:t>σύμφων</w:t>
      </w:r>
      <w:r w:rsidR="00E15783">
        <w:t>ος</w:t>
      </w:r>
      <w:r w:rsidR="00E15783" w:rsidRPr="00F64CC0">
        <w:t xml:space="preserve"> </w:t>
      </w:r>
      <w:r w:rsidRPr="00F64CC0">
        <w:t xml:space="preserve">με την κατάταξη </w:t>
      </w:r>
      <w:r w:rsidR="00E15783">
        <w:t xml:space="preserve">κατά </w:t>
      </w:r>
      <w:r w:rsidR="00E15783" w:rsidRPr="00F64CC0">
        <w:t>οργανικ</w:t>
      </w:r>
      <w:r w:rsidR="00E15783">
        <w:t>ό</w:t>
      </w:r>
      <w:r w:rsidR="00E15783" w:rsidRPr="00F64CC0">
        <w:t xml:space="preserve"> </w:t>
      </w:r>
      <w:r w:rsidR="00E15783">
        <w:t>σύστημα</w:t>
      </w:r>
      <w:r w:rsidR="00E24E63">
        <w:t>, κατά</w:t>
      </w:r>
      <w:r w:rsidRPr="00F64CC0">
        <w:t xml:space="preserve"> </w:t>
      </w:r>
      <w:r w:rsidRPr="00F64CC0">
        <w:rPr>
          <w:lang w:val="en-US"/>
        </w:rPr>
        <w:t>MEDRA</w:t>
      </w:r>
      <w:r w:rsidRPr="00F64CC0">
        <w:t xml:space="preserve"> (</w:t>
      </w:r>
      <w:r w:rsidRPr="00F64CC0">
        <w:rPr>
          <w:lang w:val="en-US"/>
        </w:rPr>
        <w:t>SOC</w:t>
      </w:r>
      <w:r w:rsidRPr="00F64CC0">
        <w:t xml:space="preserve"> και Επ</w:t>
      </w:r>
      <w:r w:rsidR="00E24E63">
        <w:t>ίπεδο</w:t>
      </w:r>
      <w:r w:rsidRPr="00F64CC0">
        <w:t xml:space="preserve"> Προτιμώμενου Όρου)</w:t>
      </w:r>
    </w:p>
    <w:p w:rsidR="00B71E3A" w:rsidRPr="00F64CC0" w:rsidRDefault="00B71E3A" w:rsidP="000C1A57">
      <w:r w:rsidRPr="00F64CC0">
        <w:t>Οι συχνότητες έχουν αξιολογηθεί με βάση τις ακόλουθες παραδοχές: πολύ συχνές (≥1/10), συχνές (≥1/100 έως &lt;1/10), όχι συχνές (≥1/1.000 έως &lt;1/100), σπάνιες (≥1/10.000 έως &lt;1/1.000), πολύ σπάνιες (&lt;1/10.000), μη γνωστές (δεν μπορούν να υπολογιστούν από τα διαθέσιμα δεδομένα).</w:t>
      </w:r>
    </w:p>
    <w:p w:rsidR="00B71E3A" w:rsidRPr="00F64CC0" w:rsidRDefault="00B71E3A" w:rsidP="000C1A57"/>
    <w:p w:rsidR="008A2A7B" w:rsidRPr="00F64CC0" w:rsidRDefault="00325BE7" w:rsidP="008A2A7B">
      <w:r w:rsidRPr="00F64CC0">
        <w:t xml:space="preserve">Δεν υπάρχουν ισχυρά στοιχεία σχετικά με τη συχνότητα των ανεπιθύμητων ενεργειών από τις κλινικές δοκιμές. </w:t>
      </w:r>
    </w:p>
    <w:p w:rsidR="008A2A7B" w:rsidRPr="006E54E9" w:rsidRDefault="008A2A7B" w:rsidP="008A2A7B">
      <w:pPr>
        <w:rPr>
          <w:b/>
        </w:rPr>
      </w:pPr>
      <w:r w:rsidRPr="006E54E9">
        <w:rPr>
          <w:b/>
        </w:rPr>
        <w:t>Τα παρακάτω βασίζονται σε εμπειρία μετά την κυκλοφορία του προϊόντος:</w:t>
      </w:r>
    </w:p>
    <w:p w:rsidR="00325BE7" w:rsidRPr="00F64CC0" w:rsidRDefault="00325BE7" w:rsidP="000C1A5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3"/>
        <w:gridCol w:w="3009"/>
        <w:gridCol w:w="2891"/>
      </w:tblGrid>
      <w:tr w:rsidR="00D25D96" w:rsidRPr="00F64CC0" w:rsidTr="00D25D96">
        <w:trPr>
          <w:trHeight w:val="1096"/>
        </w:trPr>
        <w:tc>
          <w:tcPr>
            <w:tcW w:w="1963" w:type="pct"/>
            <w:vAlign w:val="center"/>
          </w:tcPr>
          <w:p w:rsidR="006E54E9" w:rsidRDefault="00D25D96" w:rsidP="00F64CC0">
            <w:pPr>
              <w:ind w:left="-45"/>
              <w:jc w:val="center"/>
              <w:rPr>
                <w:b/>
              </w:rPr>
            </w:pPr>
            <w:r w:rsidRPr="00224BEE">
              <w:rPr>
                <w:b/>
              </w:rPr>
              <w:t>Κατηγορί</w:t>
            </w:r>
            <w:r w:rsidR="00E24E63">
              <w:rPr>
                <w:b/>
              </w:rPr>
              <w:t>α</w:t>
            </w:r>
            <w:r w:rsidRPr="00224BEE">
              <w:rPr>
                <w:b/>
              </w:rPr>
              <w:t xml:space="preserve"> </w:t>
            </w:r>
            <w:r w:rsidR="00E24E63" w:rsidRPr="00224BEE">
              <w:rPr>
                <w:b/>
              </w:rPr>
              <w:t>Οργανικ</w:t>
            </w:r>
            <w:r w:rsidR="00E24E63">
              <w:rPr>
                <w:b/>
              </w:rPr>
              <w:t>ού</w:t>
            </w:r>
            <w:r w:rsidR="00E24E63" w:rsidRPr="00224BEE">
              <w:rPr>
                <w:b/>
              </w:rPr>
              <w:t xml:space="preserve"> Συστήματ</w:t>
            </w:r>
            <w:r w:rsidR="00E24E63">
              <w:rPr>
                <w:b/>
              </w:rPr>
              <w:t>ος</w:t>
            </w:r>
            <w:r w:rsidR="00E24E63" w:rsidRPr="00224BEE">
              <w:rPr>
                <w:b/>
              </w:rPr>
              <w:t xml:space="preserve"> </w:t>
            </w:r>
            <w:r w:rsidRPr="00224BEE">
              <w:rPr>
                <w:b/>
              </w:rPr>
              <w:t>κατά MedDRA</w:t>
            </w:r>
          </w:p>
          <w:p w:rsidR="00D25D96" w:rsidRPr="00224BEE" w:rsidRDefault="006E54E9" w:rsidP="00F64CC0">
            <w:pPr>
              <w:ind w:left="-45"/>
              <w:jc w:val="center"/>
              <w:rPr>
                <w:b/>
              </w:rPr>
            </w:pPr>
            <w:r w:rsidRPr="006E54E9">
              <w:rPr>
                <w:b/>
              </w:rPr>
              <w:t>(</w:t>
            </w:r>
            <w:r>
              <w:rPr>
                <w:b/>
                <w:lang w:val="en-US"/>
              </w:rPr>
              <w:t>SOC</w:t>
            </w:r>
            <w:r w:rsidR="00D25D96" w:rsidRPr="00224BEE">
              <w:rPr>
                <w:b/>
              </w:rPr>
              <w:t>)</w:t>
            </w:r>
          </w:p>
        </w:tc>
        <w:tc>
          <w:tcPr>
            <w:tcW w:w="1549" w:type="pct"/>
            <w:vAlign w:val="center"/>
          </w:tcPr>
          <w:p w:rsidR="00D25D96" w:rsidRPr="00F64CC0" w:rsidRDefault="00D25D96" w:rsidP="00D25D96">
            <w:pPr>
              <w:ind w:left="-45"/>
              <w:jc w:val="center"/>
              <w:rPr>
                <w:b/>
              </w:rPr>
            </w:pPr>
            <w:r w:rsidRPr="00F64CC0">
              <w:rPr>
                <w:b/>
              </w:rPr>
              <w:t>Ανεπιθύμητες ενέργειες</w:t>
            </w:r>
          </w:p>
          <w:p w:rsidR="00D25D96" w:rsidRPr="00F64CC0" w:rsidRDefault="00E24E63" w:rsidP="00F64CC0">
            <w:pPr>
              <w:ind w:left="-45"/>
              <w:jc w:val="center"/>
              <w:rPr>
                <w:b/>
              </w:rPr>
            </w:pPr>
            <w:r>
              <w:rPr>
                <w:b/>
              </w:rPr>
              <w:t>(</w:t>
            </w:r>
            <w:r w:rsidR="00D25D96" w:rsidRPr="00F64CC0">
              <w:rPr>
                <w:b/>
              </w:rPr>
              <w:t>Προτιμώμενος Όρος κατά MedDRA)</w:t>
            </w:r>
          </w:p>
        </w:tc>
        <w:tc>
          <w:tcPr>
            <w:tcW w:w="1488" w:type="pct"/>
            <w:vAlign w:val="center"/>
          </w:tcPr>
          <w:p w:rsidR="00D25D96" w:rsidRPr="00F64CC0" w:rsidRDefault="00D25D96" w:rsidP="00D25D96">
            <w:pPr>
              <w:ind w:left="-45"/>
              <w:jc w:val="center"/>
              <w:rPr>
                <w:b/>
              </w:rPr>
            </w:pPr>
            <w:r w:rsidRPr="00F64CC0">
              <w:rPr>
                <w:b/>
              </w:rPr>
              <w:t xml:space="preserve">Συχνότητα </w:t>
            </w:r>
          </w:p>
        </w:tc>
      </w:tr>
      <w:tr w:rsidR="00D25D96" w:rsidRPr="00F64CC0" w:rsidTr="00D25D96">
        <w:trPr>
          <w:tblHeader/>
        </w:trPr>
        <w:tc>
          <w:tcPr>
            <w:tcW w:w="1963" w:type="pct"/>
            <w:vAlign w:val="center"/>
          </w:tcPr>
          <w:p w:rsidR="00D25D96" w:rsidRPr="00F64CC0" w:rsidRDefault="00D25D96" w:rsidP="00D25D96">
            <w:pPr>
              <w:ind w:left="-45"/>
            </w:pPr>
            <w:r w:rsidRPr="00F64CC0">
              <w:t>Διαταραχές του αναπνευστικού συστήματος, του θώρακα και του μεσοθωρακίου</w:t>
            </w:r>
          </w:p>
        </w:tc>
        <w:tc>
          <w:tcPr>
            <w:tcW w:w="1549" w:type="pct"/>
            <w:vAlign w:val="center"/>
          </w:tcPr>
          <w:p w:rsidR="00D25D96" w:rsidRPr="00F64CC0" w:rsidRDefault="00D25D96" w:rsidP="00D25D96">
            <w:pPr>
              <w:ind w:left="-45"/>
            </w:pPr>
            <w:r w:rsidRPr="00F64CC0">
              <w:t>Πνευμονική εμβολή</w:t>
            </w:r>
          </w:p>
        </w:tc>
        <w:tc>
          <w:tcPr>
            <w:tcW w:w="1488" w:type="pct"/>
            <w:vAlign w:val="center"/>
          </w:tcPr>
          <w:p w:rsidR="00D25D96" w:rsidRPr="00F64CC0" w:rsidRDefault="00D25D96" w:rsidP="00D25D96">
            <w:pPr>
              <w:ind w:left="-45"/>
              <w:jc w:val="center"/>
            </w:pPr>
            <w:r w:rsidRPr="00F64CC0">
              <w:t>Μη γνωστή</w:t>
            </w:r>
          </w:p>
        </w:tc>
      </w:tr>
      <w:tr w:rsidR="00D25D96" w:rsidRPr="00F64CC0" w:rsidTr="00D25D96">
        <w:trPr>
          <w:tblHeader/>
        </w:trPr>
        <w:tc>
          <w:tcPr>
            <w:tcW w:w="1963" w:type="pct"/>
            <w:vMerge w:val="restart"/>
            <w:vAlign w:val="center"/>
          </w:tcPr>
          <w:p w:rsidR="00D25D96" w:rsidRPr="00F64CC0" w:rsidRDefault="00D25D96" w:rsidP="00D25D96">
            <w:pPr>
              <w:ind w:left="-45"/>
            </w:pPr>
            <w:r w:rsidRPr="00F64CC0">
              <w:t>Διαταραχές του νευρικού συστήματος</w:t>
            </w:r>
          </w:p>
        </w:tc>
        <w:tc>
          <w:tcPr>
            <w:tcW w:w="1549" w:type="pct"/>
            <w:vAlign w:val="center"/>
          </w:tcPr>
          <w:p w:rsidR="00D25D96" w:rsidRPr="00F64CC0" w:rsidRDefault="00D25D96" w:rsidP="00D25D96">
            <w:pPr>
              <w:ind w:left="-45"/>
            </w:pPr>
            <w:r w:rsidRPr="00F64CC0">
              <w:t>Αγγειακό εγκεφαλικό επεισόδιο</w:t>
            </w:r>
          </w:p>
        </w:tc>
        <w:tc>
          <w:tcPr>
            <w:tcW w:w="1488" w:type="pct"/>
            <w:vAlign w:val="center"/>
          </w:tcPr>
          <w:p w:rsidR="00D25D96" w:rsidRPr="00F64CC0" w:rsidRDefault="00D25D96" w:rsidP="00D25D96">
            <w:pPr>
              <w:ind w:left="-45"/>
              <w:jc w:val="center"/>
            </w:pPr>
            <w:r w:rsidRPr="00F64CC0">
              <w:t>Μη γνωστή</w:t>
            </w:r>
          </w:p>
        </w:tc>
      </w:tr>
      <w:tr w:rsidR="00D25D96" w:rsidRPr="00F64CC0" w:rsidTr="00D25D96">
        <w:trPr>
          <w:tblHeader/>
        </w:trPr>
        <w:tc>
          <w:tcPr>
            <w:tcW w:w="1963" w:type="pct"/>
            <w:vMerge/>
            <w:vAlign w:val="center"/>
          </w:tcPr>
          <w:p w:rsidR="00D25D96" w:rsidRPr="00F64CC0" w:rsidRDefault="00D25D96" w:rsidP="00D25D96">
            <w:pPr>
              <w:ind w:left="-45"/>
            </w:pPr>
          </w:p>
        </w:tc>
        <w:tc>
          <w:tcPr>
            <w:tcW w:w="1549" w:type="pct"/>
            <w:vAlign w:val="center"/>
          </w:tcPr>
          <w:p w:rsidR="00D25D96" w:rsidRPr="00F64CC0" w:rsidRDefault="00D25D96" w:rsidP="00D25D96">
            <w:pPr>
              <w:ind w:left="-45"/>
            </w:pPr>
            <w:r w:rsidRPr="00F64CC0">
              <w:t>Κεφαλαλγία</w:t>
            </w:r>
          </w:p>
        </w:tc>
        <w:tc>
          <w:tcPr>
            <w:tcW w:w="1488" w:type="pct"/>
            <w:vAlign w:val="center"/>
          </w:tcPr>
          <w:p w:rsidR="00D25D96" w:rsidRPr="00F64CC0" w:rsidRDefault="00D25D96" w:rsidP="00F64CC0">
            <w:pPr>
              <w:ind w:left="-45"/>
              <w:jc w:val="center"/>
            </w:pPr>
            <w:r w:rsidRPr="00F64CC0">
              <w:rPr>
                <w:noProof/>
                <w:lang w:val="de-DE"/>
              </w:rPr>
              <w:t xml:space="preserve">Πολύ </w:t>
            </w:r>
            <w:r w:rsidR="00E24E63" w:rsidRPr="00F64CC0">
              <w:rPr>
                <w:noProof/>
                <w:lang w:val="de-DE"/>
              </w:rPr>
              <w:t>σπάνι</w:t>
            </w:r>
            <w:r w:rsidR="00E24E63">
              <w:rPr>
                <w:noProof/>
              </w:rPr>
              <w:t>α</w:t>
            </w:r>
          </w:p>
        </w:tc>
      </w:tr>
      <w:tr w:rsidR="00D25D96" w:rsidRPr="00F64CC0" w:rsidTr="00D25D96">
        <w:trPr>
          <w:tblHeader/>
        </w:trPr>
        <w:tc>
          <w:tcPr>
            <w:tcW w:w="1963" w:type="pct"/>
            <w:vMerge/>
            <w:vAlign w:val="center"/>
          </w:tcPr>
          <w:p w:rsidR="00D25D96" w:rsidRPr="00F64CC0" w:rsidRDefault="00D25D96" w:rsidP="00D25D96">
            <w:pPr>
              <w:ind w:left="-45"/>
            </w:pPr>
          </w:p>
        </w:tc>
        <w:tc>
          <w:tcPr>
            <w:tcW w:w="1549" w:type="pct"/>
            <w:vAlign w:val="center"/>
          </w:tcPr>
          <w:p w:rsidR="00D25D96" w:rsidRPr="00F64CC0" w:rsidRDefault="00D25D96" w:rsidP="00D25D96">
            <w:pPr>
              <w:ind w:left="-45"/>
            </w:pPr>
            <w:r w:rsidRPr="00F64CC0">
              <w:t>Ζάλη</w:t>
            </w:r>
          </w:p>
        </w:tc>
        <w:tc>
          <w:tcPr>
            <w:tcW w:w="1488" w:type="pct"/>
            <w:vAlign w:val="center"/>
          </w:tcPr>
          <w:p w:rsidR="00D25D96" w:rsidRPr="00F64CC0" w:rsidRDefault="00D25D96" w:rsidP="00F64CC0">
            <w:pPr>
              <w:ind w:left="-45"/>
              <w:jc w:val="center"/>
            </w:pPr>
            <w:r w:rsidRPr="00F64CC0">
              <w:rPr>
                <w:noProof/>
                <w:lang w:val="de-DE"/>
              </w:rPr>
              <w:t xml:space="preserve">Πολύ </w:t>
            </w:r>
            <w:r w:rsidR="00E24E63" w:rsidRPr="00F64CC0">
              <w:rPr>
                <w:noProof/>
                <w:lang w:val="de-DE"/>
              </w:rPr>
              <w:t>σπάνι</w:t>
            </w:r>
            <w:r w:rsidR="00E24E63">
              <w:rPr>
                <w:noProof/>
              </w:rPr>
              <w:t>α</w:t>
            </w:r>
          </w:p>
        </w:tc>
      </w:tr>
      <w:tr w:rsidR="00D25D96" w:rsidRPr="00F64CC0" w:rsidTr="00D25D96">
        <w:trPr>
          <w:tblHeader/>
        </w:trPr>
        <w:tc>
          <w:tcPr>
            <w:tcW w:w="1963" w:type="pct"/>
            <w:vAlign w:val="center"/>
          </w:tcPr>
          <w:p w:rsidR="00D25D96" w:rsidRPr="00F64CC0" w:rsidRDefault="00D25D96" w:rsidP="00D25D96">
            <w:pPr>
              <w:ind w:left="-45"/>
            </w:pPr>
            <w:r w:rsidRPr="00F64CC0">
              <w:t>Καρδιακές διαταραχές</w:t>
            </w:r>
          </w:p>
        </w:tc>
        <w:tc>
          <w:tcPr>
            <w:tcW w:w="1549" w:type="pct"/>
            <w:vAlign w:val="center"/>
          </w:tcPr>
          <w:p w:rsidR="00D25D96" w:rsidRPr="00F64CC0" w:rsidRDefault="00D25D96" w:rsidP="00D25D96">
            <w:pPr>
              <w:ind w:left="-45"/>
            </w:pPr>
            <w:r w:rsidRPr="00F64CC0">
              <w:t>Έμφραγμα του μυοκαρδίου</w:t>
            </w:r>
          </w:p>
        </w:tc>
        <w:tc>
          <w:tcPr>
            <w:tcW w:w="1488" w:type="pct"/>
            <w:vAlign w:val="center"/>
          </w:tcPr>
          <w:p w:rsidR="00D25D96" w:rsidRPr="00F64CC0" w:rsidRDefault="00D25D96" w:rsidP="00D25D96">
            <w:pPr>
              <w:ind w:left="-45"/>
              <w:jc w:val="center"/>
            </w:pPr>
            <w:r w:rsidRPr="00F64CC0">
              <w:t>Μη γνωστή</w:t>
            </w:r>
          </w:p>
        </w:tc>
      </w:tr>
      <w:tr w:rsidR="00D25D96" w:rsidRPr="00F64CC0" w:rsidTr="00D25D96">
        <w:trPr>
          <w:tblHeader/>
        </w:trPr>
        <w:tc>
          <w:tcPr>
            <w:tcW w:w="1963" w:type="pct"/>
            <w:vMerge w:val="restart"/>
            <w:vAlign w:val="center"/>
          </w:tcPr>
          <w:p w:rsidR="00D25D96" w:rsidRPr="00F64CC0" w:rsidRDefault="00D25D96" w:rsidP="00D25D96">
            <w:pPr>
              <w:ind w:left="-45"/>
            </w:pPr>
            <w:r w:rsidRPr="00F64CC0">
              <w:t>Αγγειακές διαταραχές</w:t>
            </w:r>
          </w:p>
        </w:tc>
        <w:tc>
          <w:tcPr>
            <w:tcW w:w="1549" w:type="pct"/>
            <w:vAlign w:val="center"/>
          </w:tcPr>
          <w:p w:rsidR="00D25D96" w:rsidRPr="00F64CC0" w:rsidRDefault="00D25D96" w:rsidP="00D25D96">
            <w:pPr>
              <w:ind w:left="-45"/>
            </w:pPr>
            <w:r w:rsidRPr="00F64CC0">
              <w:t>Εν τω βάθει φλεβική θρόμβωση</w:t>
            </w:r>
          </w:p>
        </w:tc>
        <w:tc>
          <w:tcPr>
            <w:tcW w:w="1488" w:type="pct"/>
            <w:vAlign w:val="center"/>
          </w:tcPr>
          <w:p w:rsidR="00D25D96" w:rsidRPr="00F64CC0" w:rsidRDefault="00D25D96" w:rsidP="00D25D96">
            <w:pPr>
              <w:ind w:left="-45"/>
              <w:jc w:val="center"/>
            </w:pPr>
            <w:r w:rsidRPr="00F64CC0">
              <w:t>Μη γνωστή</w:t>
            </w:r>
          </w:p>
        </w:tc>
      </w:tr>
      <w:tr w:rsidR="00D25D96" w:rsidRPr="00F64CC0" w:rsidTr="00D25D96">
        <w:trPr>
          <w:tblHeader/>
        </w:trPr>
        <w:tc>
          <w:tcPr>
            <w:tcW w:w="1963" w:type="pct"/>
            <w:vMerge/>
            <w:vAlign w:val="center"/>
          </w:tcPr>
          <w:p w:rsidR="00D25D96" w:rsidRPr="00F64CC0" w:rsidRDefault="00D25D96" w:rsidP="00D25D96">
            <w:pPr>
              <w:ind w:left="-45"/>
            </w:pPr>
          </w:p>
        </w:tc>
        <w:tc>
          <w:tcPr>
            <w:tcW w:w="1549" w:type="pct"/>
            <w:vAlign w:val="center"/>
          </w:tcPr>
          <w:p w:rsidR="00D25D96" w:rsidRPr="00F64CC0" w:rsidRDefault="00D25D96" w:rsidP="00D25D96">
            <w:pPr>
              <w:ind w:left="-45"/>
            </w:pPr>
            <w:r w:rsidRPr="00F64CC0">
              <w:t>Εμβολή</w:t>
            </w:r>
          </w:p>
        </w:tc>
        <w:tc>
          <w:tcPr>
            <w:tcW w:w="1488" w:type="pct"/>
            <w:vAlign w:val="center"/>
          </w:tcPr>
          <w:p w:rsidR="00D25D96" w:rsidRPr="00F64CC0" w:rsidRDefault="00D25D96" w:rsidP="00D25D96">
            <w:pPr>
              <w:ind w:left="-45"/>
              <w:jc w:val="center"/>
            </w:pPr>
            <w:r w:rsidRPr="00F64CC0">
              <w:t>Μη γνωστή</w:t>
            </w:r>
          </w:p>
        </w:tc>
      </w:tr>
      <w:tr w:rsidR="00D25D96" w:rsidRPr="00F64CC0" w:rsidTr="00D25D96">
        <w:tc>
          <w:tcPr>
            <w:tcW w:w="1963" w:type="pct"/>
            <w:vMerge/>
            <w:vAlign w:val="center"/>
          </w:tcPr>
          <w:p w:rsidR="00D25D96" w:rsidRPr="00F64CC0" w:rsidRDefault="00D25D96" w:rsidP="00D25D96">
            <w:pPr>
              <w:ind w:left="-45"/>
            </w:pPr>
          </w:p>
        </w:tc>
        <w:tc>
          <w:tcPr>
            <w:tcW w:w="1549" w:type="pct"/>
            <w:vAlign w:val="center"/>
          </w:tcPr>
          <w:p w:rsidR="00D25D96" w:rsidRPr="00F64CC0" w:rsidRDefault="00D25D96" w:rsidP="00D25D96">
            <w:pPr>
              <w:ind w:left="-45"/>
            </w:pPr>
            <w:r w:rsidRPr="00F64CC0">
              <w:t>Υπόταση</w:t>
            </w:r>
          </w:p>
        </w:tc>
        <w:tc>
          <w:tcPr>
            <w:tcW w:w="1488" w:type="pct"/>
            <w:vAlign w:val="center"/>
          </w:tcPr>
          <w:p w:rsidR="00D25D96" w:rsidRPr="00F64CC0" w:rsidRDefault="00D25D96" w:rsidP="00F64CC0">
            <w:pPr>
              <w:ind w:left="-45"/>
              <w:jc w:val="center"/>
            </w:pPr>
            <w:r w:rsidRPr="00F64CC0">
              <w:rPr>
                <w:noProof/>
                <w:lang w:val="de-DE"/>
              </w:rPr>
              <w:t xml:space="preserve">Πολύ </w:t>
            </w:r>
            <w:r w:rsidR="00E24E63" w:rsidRPr="00F64CC0">
              <w:rPr>
                <w:noProof/>
                <w:lang w:val="de-DE"/>
              </w:rPr>
              <w:t>σπάνι</w:t>
            </w:r>
            <w:r w:rsidR="00E24E63">
              <w:rPr>
                <w:noProof/>
              </w:rPr>
              <w:t>α</w:t>
            </w:r>
          </w:p>
        </w:tc>
      </w:tr>
      <w:tr w:rsidR="00D25D96" w:rsidRPr="00F64CC0" w:rsidTr="00D25D96">
        <w:tc>
          <w:tcPr>
            <w:tcW w:w="1963" w:type="pct"/>
            <w:vMerge w:val="restart"/>
            <w:vAlign w:val="center"/>
          </w:tcPr>
          <w:p w:rsidR="00D25D96" w:rsidRPr="00F64CC0" w:rsidRDefault="00D25D96" w:rsidP="00D25D96">
            <w:pPr>
              <w:ind w:left="-45"/>
            </w:pPr>
            <w:r w:rsidRPr="00F64CC0">
              <w:t>Διαταραχές του ανοσοποιητικού συστήματος</w:t>
            </w:r>
          </w:p>
        </w:tc>
        <w:tc>
          <w:tcPr>
            <w:tcW w:w="1549" w:type="pct"/>
            <w:vAlign w:val="center"/>
          </w:tcPr>
          <w:p w:rsidR="00D25D96" w:rsidRPr="00F64CC0" w:rsidRDefault="00D25D96" w:rsidP="00D25D96">
            <w:pPr>
              <w:ind w:left="-45"/>
            </w:pPr>
            <w:r w:rsidRPr="00F64CC0">
              <w:t xml:space="preserve">Αναφυλακτικό shock </w:t>
            </w:r>
          </w:p>
        </w:tc>
        <w:tc>
          <w:tcPr>
            <w:tcW w:w="1488" w:type="pct"/>
            <w:vAlign w:val="center"/>
          </w:tcPr>
          <w:p w:rsidR="00D25D96" w:rsidRPr="00F64CC0" w:rsidRDefault="00D25D96" w:rsidP="00D25D96">
            <w:pPr>
              <w:ind w:left="-45"/>
              <w:jc w:val="center"/>
            </w:pPr>
            <w:r w:rsidRPr="00F64CC0">
              <w:t>Μη γνωστή</w:t>
            </w:r>
          </w:p>
        </w:tc>
      </w:tr>
      <w:tr w:rsidR="00D25D96" w:rsidRPr="00F64CC0" w:rsidTr="00D25D96">
        <w:trPr>
          <w:trHeight w:val="531"/>
        </w:trPr>
        <w:tc>
          <w:tcPr>
            <w:tcW w:w="1963" w:type="pct"/>
            <w:vMerge/>
            <w:vAlign w:val="center"/>
          </w:tcPr>
          <w:p w:rsidR="00D25D96" w:rsidRPr="00F64CC0" w:rsidRDefault="00D25D96" w:rsidP="00D25D96">
            <w:pPr>
              <w:ind w:left="-45"/>
            </w:pPr>
          </w:p>
        </w:tc>
        <w:tc>
          <w:tcPr>
            <w:tcW w:w="1549" w:type="pct"/>
            <w:vAlign w:val="center"/>
          </w:tcPr>
          <w:p w:rsidR="00D25D96" w:rsidRPr="00F64CC0" w:rsidRDefault="00D25D96" w:rsidP="00D25D96">
            <w:pPr>
              <w:ind w:left="-45"/>
            </w:pPr>
            <w:r w:rsidRPr="00F64CC0">
              <w:t>Υπερευαισθησία</w:t>
            </w:r>
          </w:p>
        </w:tc>
        <w:tc>
          <w:tcPr>
            <w:tcW w:w="1488" w:type="pct"/>
            <w:vAlign w:val="center"/>
          </w:tcPr>
          <w:p w:rsidR="00D25D96" w:rsidRPr="00F64CC0" w:rsidRDefault="00D25D96" w:rsidP="00D25D96">
            <w:pPr>
              <w:ind w:left="-45"/>
              <w:jc w:val="center"/>
            </w:pPr>
            <w:r w:rsidRPr="00F64CC0">
              <w:t>Μη γνωστή</w:t>
            </w:r>
          </w:p>
        </w:tc>
      </w:tr>
      <w:tr w:rsidR="00D25D96" w:rsidRPr="00F64CC0" w:rsidTr="00D25D96">
        <w:tc>
          <w:tcPr>
            <w:tcW w:w="1963" w:type="pct"/>
            <w:vAlign w:val="center"/>
          </w:tcPr>
          <w:p w:rsidR="00D25D96" w:rsidRPr="00F64CC0" w:rsidRDefault="00D25D96" w:rsidP="00D25D96">
            <w:pPr>
              <w:ind w:left="-45"/>
            </w:pPr>
            <w:r w:rsidRPr="00F64CC0">
              <w:t>Διαταραχές των νεφρών και των ουροφόρων οδών</w:t>
            </w:r>
          </w:p>
        </w:tc>
        <w:tc>
          <w:tcPr>
            <w:tcW w:w="1549" w:type="pct"/>
            <w:vAlign w:val="center"/>
          </w:tcPr>
          <w:p w:rsidR="00D25D96" w:rsidRPr="00F64CC0" w:rsidRDefault="00D25D96" w:rsidP="00D25D96">
            <w:pPr>
              <w:ind w:left="-45"/>
            </w:pPr>
            <w:r w:rsidRPr="00F64CC0">
              <w:t>Οξεία νεφρική ανεπάρκεια</w:t>
            </w:r>
          </w:p>
        </w:tc>
        <w:tc>
          <w:tcPr>
            <w:tcW w:w="1488" w:type="pct"/>
            <w:vAlign w:val="center"/>
          </w:tcPr>
          <w:p w:rsidR="00D25D96" w:rsidRPr="00F64CC0" w:rsidRDefault="00D25D96" w:rsidP="00F64CC0">
            <w:pPr>
              <w:ind w:left="-45"/>
              <w:jc w:val="center"/>
            </w:pPr>
            <w:r w:rsidRPr="00F64CC0">
              <w:rPr>
                <w:noProof/>
                <w:lang w:val="de-DE"/>
              </w:rPr>
              <w:t xml:space="preserve">Πολύ </w:t>
            </w:r>
            <w:r w:rsidR="00E24E63" w:rsidRPr="00F64CC0">
              <w:rPr>
                <w:noProof/>
                <w:lang w:val="de-DE"/>
              </w:rPr>
              <w:t>σπάνι</w:t>
            </w:r>
            <w:r w:rsidR="00E24E63">
              <w:rPr>
                <w:noProof/>
              </w:rPr>
              <w:t>α</w:t>
            </w:r>
          </w:p>
        </w:tc>
      </w:tr>
      <w:tr w:rsidR="00D25D96" w:rsidRPr="00F64CC0" w:rsidTr="00D25D96">
        <w:tc>
          <w:tcPr>
            <w:tcW w:w="1963" w:type="pct"/>
            <w:vAlign w:val="center"/>
          </w:tcPr>
          <w:p w:rsidR="00D25D96" w:rsidRPr="00F64CC0" w:rsidRDefault="00D25D96" w:rsidP="00D25D96">
            <w:pPr>
              <w:ind w:left="-45"/>
            </w:pPr>
            <w:r w:rsidRPr="00F64CC0">
              <w:t>Λοιμώξεις και παρασιτώσεις</w:t>
            </w:r>
          </w:p>
        </w:tc>
        <w:tc>
          <w:tcPr>
            <w:tcW w:w="1549" w:type="pct"/>
            <w:vAlign w:val="center"/>
          </w:tcPr>
          <w:p w:rsidR="00D25D96" w:rsidRPr="00F64CC0" w:rsidRDefault="00E24E63" w:rsidP="00D25D96">
            <w:pPr>
              <w:ind w:left="-45"/>
            </w:pPr>
            <w:r>
              <w:t>Ασηπτική</w:t>
            </w:r>
            <w:r w:rsidRPr="00F64CC0">
              <w:t xml:space="preserve"> </w:t>
            </w:r>
            <w:r w:rsidR="00D25D96" w:rsidRPr="00F64CC0">
              <w:t>μηνιγγίτιδα</w:t>
            </w:r>
          </w:p>
        </w:tc>
        <w:tc>
          <w:tcPr>
            <w:tcW w:w="1488" w:type="pct"/>
            <w:vAlign w:val="center"/>
          </w:tcPr>
          <w:p w:rsidR="00D25D96" w:rsidRPr="00F64CC0" w:rsidRDefault="00D25D96" w:rsidP="00F64CC0">
            <w:pPr>
              <w:ind w:left="-45"/>
              <w:jc w:val="center"/>
            </w:pPr>
            <w:r w:rsidRPr="00F64CC0">
              <w:rPr>
                <w:noProof/>
                <w:lang w:val="de-DE"/>
              </w:rPr>
              <w:t xml:space="preserve">Πολύ </w:t>
            </w:r>
            <w:r w:rsidR="00E24E63" w:rsidRPr="00F64CC0">
              <w:rPr>
                <w:noProof/>
                <w:lang w:val="de-DE"/>
              </w:rPr>
              <w:t>σπάνι</w:t>
            </w:r>
            <w:r w:rsidR="00E24E63">
              <w:rPr>
                <w:noProof/>
              </w:rPr>
              <w:t>α</w:t>
            </w:r>
          </w:p>
        </w:tc>
      </w:tr>
      <w:tr w:rsidR="00D25D96" w:rsidRPr="00F64CC0" w:rsidTr="00D25D96">
        <w:trPr>
          <w:trHeight w:val="542"/>
        </w:trPr>
        <w:tc>
          <w:tcPr>
            <w:tcW w:w="1963" w:type="pct"/>
            <w:vMerge w:val="restart"/>
            <w:vAlign w:val="center"/>
          </w:tcPr>
          <w:p w:rsidR="00D25D96" w:rsidRPr="00F64CC0" w:rsidRDefault="00D25D96" w:rsidP="00D25D96">
            <w:pPr>
              <w:ind w:left="-45"/>
            </w:pPr>
            <w:r w:rsidRPr="00F64CC0">
              <w:t>Διαταραχές του αιμοποιητικού και του λεμφικού συστήματος</w:t>
            </w:r>
          </w:p>
        </w:tc>
        <w:tc>
          <w:tcPr>
            <w:tcW w:w="1549" w:type="pct"/>
            <w:vAlign w:val="center"/>
          </w:tcPr>
          <w:p w:rsidR="00D25D96" w:rsidRPr="00F64CC0" w:rsidRDefault="00D25D96" w:rsidP="00D25D96">
            <w:pPr>
              <w:ind w:left="-45"/>
            </w:pPr>
            <w:r w:rsidRPr="00F64CC0">
              <w:t>Αιμόλυση</w:t>
            </w:r>
          </w:p>
        </w:tc>
        <w:tc>
          <w:tcPr>
            <w:tcW w:w="1488" w:type="pct"/>
            <w:vAlign w:val="center"/>
          </w:tcPr>
          <w:p w:rsidR="00D25D96" w:rsidRPr="00F64CC0" w:rsidRDefault="00D25D96" w:rsidP="00F64CC0">
            <w:pPr>
              <w:ind w:left="-45"/>
              <w:jc w:val="center"/>
            </w:pPr>
            <w:r w:rsidRPr="00F64CC0">
              <w:rPr>
                <w:noProof/>
                <w:lang w:val="de-DE"/>
              </w:rPr>
              <w:t xml:space="preserve">Πολύ </w:t>
            </w:r>
            <w:r w:rsidR="00E24E63" w:rsidRPr="00F64CC0">
              <w:rPr>
                <w:noProof/>
                <w:lang w:val="de-DE"/>
              </w:rPr>
              <w:t>σπάνι</w:t>
            </w:r>
            <w:r w:rsidR="00E24E63">
              <w:rPr>
                <w:noProof/>
              </w:rPr>
              <w:t>α</w:t>
            </w:r>
          </w:p>
        </w:tc>
      </w:tr>
      <w:tr w:rsidR="00D25D96" w:rsidRPr="00F64CC0" w:rsidTr="00D25D96">
        <w:tc>
          <w:tcPr>
            <w:tcW w:w="1963" w:type="pct"/>
            <w:vMerge/>
            <w:vAlign w:val="center"/>
          </w:tcPr>
          <w:p w:rsidR="00D25D96" w:rsidRPr="00F64CC0" w:rsidRDefault="00D25D96" w:rsidP="00D25D96">
            <w:pPr>
              <w:ind w:left="-45"/>
            </w:pPr>
          </w:p>
        </w:tc>
        <w:tc>
          <w:tcPr>
            <w:tcW w:w="1549" w:type="pct"/>
            <w:vAlign w:val="center"/>
          </w:tcPr>
          <w:p w:rsidR="00D25D96" w:rsidRPr="00F64CC0" w:rsidRDefault="00D25D96" w:rsidP="00D25D96">
            <w:pPr>
              <w:ind w:left="-45"/>
            </w:pPr>
            <w:r w:rsidRPr="00F64CC0">
              <w:t xml:space="preserve">Αιμολυτική αναιμία </w:t>
            </w:r>
          </w:p>
        </w:tc>
        <w:tc>
          <w:tcPr>
            <w:tcW w:w="1488" w:type="pct"/>
            <w:vAlign w:val="center"/>
          </w:tcPr>
          <w:p w:rsidR="00D25D96" w:rsidRPr="00F64CC0" w:rsidRDefault="00D25D96" w:rsidP="00D25D96">
            <w:pPr>
              <w:ind w:left="-45"/>
              <w:jc w:val="center"/>
            </w:pPr>
            <w:r w:rsidRPr="00F64CC0">
              <w:t>Μη γνωστή</w:t>
            </w:r>
          </w:p>
        </w:tc>
      </w:tr>
      <w:tr w:rsidR="00D25D96" w:rsidRPr="00F64CC0" w:rsidTr="00D25D96">
        <w:tc>
          <w:tcPr>
            <w:tcW w:w="1963" w:type="pct"/>
            <w:vAlign w:val="center"/>
          </w:tcPr>
          <w:p w:rsidR="00D25D96" w:rsidRPr="00F64CC0" w:rsidRDefault="00D25D96" w:rsidP="00D25D96">
            <w:pPr>
              <w:ind w:left="-45"/>
            </w:pPr>
            <w:r w:rsidRPr="00F64CC0">
              <w:t>Διαταραχές του δέρματος και του υποδόριου ιστού</w:t>
            </w:r>
          </w:p>
        </w:tc>
        <w:tc>
          <w:tcPr>
            <w:tcW w:w="1549" w:type="pct"/>
            <w:vAlign w:val="center"/>
          </w:tcPr>
          <w:p w:rsidR="00D25D96" w:rsidRPr="00F64CC0" w:rsidRDefault="00D25D96" w:rsidP="00D25D96">
            <w:pPr>
              <w:ind w:left="-45"/>
            </w:pPr>
            <w:r w:rsidRPr="00F64CC0">
              <w:t>Δερματική αντίδραση</w:t>
            </w:r>
          </w:p>
        </w:tc>
        <w:tc>
          <w:tcPr>
            <w:tcW w:w="1488" w:type="pct"/>
            <w:vAlign w:val="center"/>
          </w:tcPr>
          <w:p w:rsidR="00D25D96" w:rsidRPr="00F64CC0" w:rsidRDefault="00D25D96" w:rsidP="00F64CC0">
            <w:pPr>
              <w:ind w:left="-45"/>
              <w:jc w:val="center"/>
            </w:pPr>
            <w:r w:rsidRPr="00F64CC0">
              <w:rPr>
                <w:noProof/>
                <w:lang w:val="de-DE"/>
              </w:rPr>
              <w:t xml:space="preserve">Πολύ </w:t>
            </w:r>
            <w:r w:rsidR="00E24E63" w:rsidRPr="00F64CC0">
              <w:rPr>
                <w:noProof/>
                <w:lang w:val="de-DE"/>
              </w:rPr>
              <w:t>σπάνι</w:t>
            </w:r>
            <w:r w:rsidR="00E24E63">
              <w:rPr>
                <w:noProof/>
              </w:rPr>
              <w:t>α</w:t>
            </w:r>
          </w:p>
        </w:tc>
      </w:tr>
      <w:tr w:rsidR="00D25D96" w:rsidRPr="00F64CC0" w:rsidTr="00D25D96">
        <w:tc>
          <w:tcPr>
            <w:tcW w:w="1963" w:type="pct"/>
            <w:vMerge w:val="restart"/>
            <w:vAlign w:val="center"/>
          </w:tcPr>
          <w:p w:rsidR="00D25D96" w:rsidRPr="00F64CC0" w:rsidRDefault="00D25D96" w:rsidP="00D25D96">
            <w:pPr>
              <w:ind w:left="-45"/>
            </w:pPr>
            <w:r w:rsidRPr="00F64CC0">
              <w:t>Διαταραχές του μυοσκελετικού συστήματος και του συνδετικού ιστού</w:t>
            </w:r>
          </w:p>
        </w:tc>
        <w:tc>
          <w:tcPr>
            <w:tcW w:w="1549" w:type="pct"/>
            <w:vAlign w:val="center"/>
          </w:tcPr>
          <w:p w:rsidR="00D25D96" w:rsidRPr="00F64CC0" w:rsidRDefault="00D25D96" w:rsidP="00D25D96">
            <w:pPr>
              <w:ind w:left="-45"/>
            </w:pPr>
            <w:r w:rsidRPr="00F64CC0">
              <w:t>Αρθραλγία</w:t>
            </w:r>
          </w:p>
        </w:tc>
        <w:tc>
          <w:tcPr>
            <w:tcW w:w="1488" w:type="pct"/>
            <w:vAlign w:val="center"/>
          </w:tcPr>
          <w:p w:rsidR="00D25D96" w:rsidRPr="00F64CC0" w:rsidRDefault="00D25D96" w:rsidP="00F64CC0">
            <w:pPr>
              <w:ind w:left="-45"/>
              <w:jc w:val="center"/>
            </w:pPr>
            <w:r w:rsidRPr="00F64CC0">
              <w:rPr>
                <w:noProof/>
                <w:lang w:val="de-DE"/>
              </w:rPr>
              <w:t xml:space="preserve">Πολύ </w:t>
            </w:r>
            <w:r w:rsidR="00E24E63" w:rsidRPr="00F64CC0">
              <w:rPr>
                <w:noProof/>
                <w:lang w:val="de-DE"/>
              </w:rPr>
              <w:t>σπάνι</w:t>
            </w:r>
            <w:r w:rsidR="00E24E63">
              <w:rPr>
                <w:noProof/>
              </w:rPr>
              <w:t>α</w:t>
            </w:r>
          </w:p>
        </w:tc>
      </w:tr>
      <w:tr w:rsidR="00D25D96" w:rsidRPr="00F64CC0" w:rsidTr="00D25D96">
        <w:tc>
          <w:tcPr>
            <w:tcW w:w="1963" w:type="pct"/>
            <w:vMerge/>
            <w:vAlign w:val="center"/>
          </w:tcPr>
          <w:p w:rsidR="00D25D96" w:rsidRPr="00F64CC0" w:rsidRDefault="00D25D96" w:rsidP="00D25D96">
            <w:pPr>
              <w:ind w:left="-45"/>
            </w:pPr>
          </w:p>
        </w:tc>
        <w:tc>
          <w:tcPr>
            <w:tcW w:w="1549" w:type="pct"/>
            <w:vAlign w:val="center"/>
          </w:tcPr>
          <w:p w:rsidR="00D25D96" w:rsidRPr="00F64CC0" w:rsidRDefault="00D25D96" w:rsidP="00D25D96">
            <w:pPr>
              <w:ind w:left="-45"/>
            </w:pPr>
            <w:r w:rsidRPr="00F64CC0">
              <w:t xml:space="preserve">Πόνος στην πλάτη </w:t>
            </w:r>
          </w:p>
        </w:tc>
        <w:tc>
          <w:tcPr>
            <w:tcW w:w="1488" w:type="pct"/>
            <w:vAlign w:val="center"/>
          </w:tcPr>
          <w:p w:rsidR="00D25D96" w:rsidRPr="00F64CC0" w:rsidRDefault="00D25D96" w:rsidP="00F64CC0">
            <w:pPr>
              <w:ind w:left="-45"/>
              <w:jc w:val="center"/>
            </w:pPr>
            <w:r w:rsidRPr="00F64CC0">
              <w:rPr>
                <w:noProof/>
                <w:lang w:val="de-DE"/>
              </w:rPr>
              <w:t xml:space="preserve">Πολύ </w:t>
            </w:r>
            <w:r w:rsidR="00E24E63" w:rsidRPr="00F64CC0">
              <w:rPr>
                <w:noProof/>
                <w:lang w:val="de-DE"/>
              </w:rPr>
              <w:t>σπάνι</w:t>
            </w:r>
            <w:r w:rsidR="00E24E63">
              <w:rPr>
                <w:noProof/>
              </w:rPr>
              <w:t>α</w:t>
            </w:r>
          </w:p>
        </w:tc>
      </w:tr>
      <w:tr w:rsidR="00D25D96" w:rsidRPr="00F64CC0" w:rsidTr="00D25D96">
        <w:tc>
          <w:tcPr>
            <w:tcW w:w="1963" w:type="pct"/>
            <w:vMerge w:val="restart"/>
            <w:vAlign w:val="center"/>
          </w:tcPr>
          <w:p w:rsidR="00D25D96" w:rsidRPr="00F64CC0" w:rsidRDefault="00D25D96" w:rsidP="00D25D96">
            <w:pPr>
              <w:ind w:left="-45"/>
            </w:pPr>
            <w:r w:rsidRPr="00F64CC0">
              <w:t>Γενικές διαταραχές και καταστάσεις της οδού χορήγησης</w:t>
            </w:r>
          </w:p>
        </w:tc>
        <w:tc>
          <w:tcPr>
            <w:tcW w:w="1549" w:type="pct"/>
            <w:vAlign w:val="center"/>
          </w:tcPr>
          <w:p w:rsidR="00D25D96" w:rsidRPr="00F64CC0" w:rsidRDefault="00E24E63" w:rsidP="00D25D96">
            <w:pPr>
              <w:ind w:left="-45"/>
            </w:pPr>
            <w:r>
              <w:t>Π</w:t>
            </w:r>
            <w:r w:rsidRPr="00F64CC0">
              <w:t>υρεξία</w:t>
            </w:r>
          </w:p>
        </w:tc>
        <w:tc>
          <w:tcPr>
            <w:tcW w:w="1488" w:type="pct"/>
            <w:vAlign w:val="center"/>
          </w:tcPr>
          <w:p w:rsidR="00D25D96" w:rsidRPr="00F64CC0" w:rsidRDefault="00D25D96" w:rsidP="00F64CC0">
            <w:pPr>
              <w:ind w:left="-45"/>
              <w:jc w:val="center"/>
            </w:pPr>
            <w:r w:rsidRPr="00F64CC0">
              <w:rPr>
                <w:noProof/>
                <w:lang w:val="de-DE"/>
              </w:rPr>
              <w:t xml:space="preserve">Πολύ </w:t>
            </w:r>
            <w:r w:rsidR="00E24E63" w:rsidRPr="00F64CC0">
              <w:rPr>
                <w:noProof/>
                <w:lang w:val="de-DE"/>
              </w:rPr>
              <w:t>σπάνι</w:t>
            </w:r>
            <w:r w:rsidR="00E24E63">
              <w:rPr>
                <w:noProof/>
              </w:rPr>
              <w:t>α</w:t>
            </w:r>
          </w:p>
        </w:tc>
      </w:tr>
      <w:tr w:rsidR="00D25D96" w:rsidRPr="00F64CC0" w:rsidTr="00D25D96">
        <w:tc>
          <w:tcPr>
            <w:tcW w:w="1963" w:type="pct"/>
            <w:vMerge/>
            <w:vAlign w:val="center"/>
          </w:tcPr>
          <w:p w:rsidR="00D25D96" w:rsidRPr="00F64CC0" w:rsidRDefault="00D25D96" w:rsidP="00D25D96">
            <w:pPr>
              <w:ind w:left="-45"/>
            </w:pPr>
          </w:p>
        </w:tc>
        <w:tc>
          <w:tcPr>
            <w:tcW w:w="1549" w:type="pct"/>
            <w:vAlign w:val="center"/>
          </w:tcPr>
          <w:p w:rsidR="00D25D96" w:rsidRPr="00F64CC0" w:rsidRDefault="00D25D96" w:rsidP="00D25D96">
            <w:pPr>
              <w:ind w:left="-45"/>
            </w:pPr>
            <w:r w:rsidRPr="00F64CC0">
              <w:t>Ρίγη</w:t>
            </w:r>
          </w:p>
        </w:tc>
        <w:tc>
          <w:tcPr>
            <w:tcW w:w="1488" w:type="pct"/>
            <w:vAlign w:val="center"/>
          </w:tcPr>
          <w:p w:rsidR="00D25D96" w:rsidRPr="00F64CC0" w:rsidRDefault="00D25D96" w:rsidP="00F64CC0">
            <w:pPr>
              <w:ind w:left="-45"/>
              <w:jc w:val="center"/>
            </w:pPr>
            <w:r w:rsidRPr="00F64CC0">
              <w:rPr>
                <w:noProof/>
                <w:lang w:val="de-DE"/>
              </w:rPr>
              <w:t xml:space="preserve">Πολύ </w:t>
            </w:r>
            <w:r w:rsidR="00E24E63" w:rsidRPr="00F64CC0">
              <w:rPr>
                <w:noProof/>
                <w:lang w:val="de-DE"/>
              </w:rPr>
              <w:t>σπάνι</w:t>
            </w:r>
            <w:r w:rsidR="00E24E63">
              <w:rPr>
                <w:noProof/>
              </w:rPr>
              <w:t>α</w:t>
            </w:r>
          </w:p>
        </w:tc>
      </w:tr>
      <w:tr w:rsidR="00D25D96" w:rsidRPr="00F64CC0" w:rsidTr="00D25D96">
        <w:tc>
          <w:tcPr>
            <w:tcW w:w="1963" w:type="pct"/>
            <w:vMerge w:val="restart"/>
            <w:vAlign w:val="center"/>
          </w:tcPr>
          <w:p w:rsidR="00D25D96" w:rsidRPr="00F64CC0" w:rsidRDefault="00D25D96" w:rsidP="00D25D96">
            <w:pPr>
              <w:ind w:left="-45"/>
            </w:pPr>
            <w:r w:rsidRPr="00F64CC0">
              <w:t xml:space="preserve">Διαταραχές του γαστρεντερικού </w:t>
            </w:r>
            <w:r w:rsidRPr="00F64CC0">
              <w:lastRenderedPageBreak/>
              <w:t>συστήματος</w:t>
            </w:r>
          </w:p>
        </w:tc>
        <w:tc>
          <w:tcPr>
            <w:tcW w:w="1549" w:type="pct"/>
            <w:vAlign w:val="center"/>
          </w:tcPr>
          <w:p w:rsidR="00D25D96" w:rsidRPr="00F64CC0" w:rsidRDefault="00D25D96" w:rsidP="00D25D96">
            <w:pPr>
              <w:ind w:left="-45"/>
            </w:pPr>
            <w:r w:rsidRPr="00F64CC0">
              <w:lastRenderedPageBreak/>
              <w:t>Έμετος</w:t>
            </w:r>
          </w:p>
        </w:tc>
        <w:tc>
          <w:tcPr>
            <w:tcW w:w="1488" w:type="pct"/>
            <w:vAlign w:val="center"/>
          </w:tcPr>
          <w:p w:rsidR="00D25D96" w:rsidRPr="00F64CC0" w:rsidRDefault="00D25D96" w:rsidP="00F64CC0">
            <w:pPr>
              <w:ind w:left="-45"/>
              <w:jc w:val="center"/>
            </w:pPr>
            <w:r w:rsidRPr="00F64CC0">
              <w:rPr>
                <w:noProof/>
                <w:lang w:val="de-DE"/>
              </w:rPr>
              <w:t xml:space="preserve">Πολύ </w:t>
            </w:r>
            <w:r w:rsidR="00E24E63" w:rsidRPr="00F64CC0">
              <w:rPr>
                <w:noProof/>
                <w:lang w:val="de-DE"/>
              </w:rPr>
              <w:t>σπάνι</w:t>
            </w:r>
            <w:r w:rsidR="00E24E63">
              <w:rPr>
                <w:noProof/>
              </w:rPr>
              <w:t>α</w:t>
            </w:r>
          </w:p>
        </w:tc>
      </w:tr>
      <w:tr w:rsidR="00D25D96" w:rsidRPr="00F64CC0" w:rsidTr="00D25D96">
        <w:tc>
          <w:tcPr>
            <w:tcW w:w="1963" w:type="pct"/>
            <w:vMerge/>
            <w:vAlign w:val="center"/>
          </w:tcPr>
          <w:p w:rsidR="00D25D96" w:rsidRPr="00F64CC0" w:rsidRDefault="00D25D96" w:rsidP="00D25D96">
            <w:pPr>
              <w:ind w:left="-45"/>
            </w:pPr>
          </w:p>
        </w:tc>
        <w:tc>
          <w:tcPr>
            <w:tcW w:w="1549" w:type="pct"/>
            <w:vAlign w:val="center"/>
          </w:tcPr>
          <w:p w:rsidR="00D25D96" w:rsidRPr="00F64CC0" w:rsidRDefault="00D25D96" w:rsidP="00D25D96">
            <w:pPr>
              <w:ind w:left="-45"/>
            </w:pPr>
            <w:r w:rsidRPr="00F64CC0">
              <w:t>Ναυτία</w:t>
            </w:r>
          </w:p>
        </w:tc>
        <w:tc>
          <w:tcPr>
            <w:tcW w:w="1488" w:type="pct"/>
            <w:vAlign w:val="center"/>
          </w:tcPr>
          <w:p w:rsidR="00D25D96" w:rsidRPr="00F64CC0" w:rsidRDefault="00D25D96" w:rsidP="00F64CC0">
            <w:pPr>
              <w:ind w:left="-45"/>
              <w:jc w:val="center"/>
            </w:pPr>
            <w:r w:rsidRPr="00F64CC0">
              <w:rPr>
                <w:noProof/>
                <w:lang w:val="de-DE"/>
              </w:rPr>
              <w:t xml:space="preserve">Πολύ </w:t>
            </w:r>
            <w:r w:rsidR="00E24E63" w:rsidRPr="00F64CC0">
              <w:rPr>
                <w:noProof/>
                <w:lang w:val="de-DE"/>
              </w:rPr>
              <w:t>σπάνι</w:t>
            </w:r>
            <w:r w:rsidR="00E24E63">
              <w:rPr>
                <w:noProof/>
              </w:rPr>
              <w:t>α</w:t>
            </w:r>
          </w:p>
        </w:tc>
      </w:tr>
      <w:tr w:rsidR="00D25D96" w:rsidRPr="00F64CC0" w:rsidTr="00D25D96">
        <w:tc>
          <w:tcPr>
            <w:tcW w:w="1963" w:type="pct"/>
            <w:vMerge w:val="restart"/>
            <w:vAlign w:val="center"/>
          </w:tcPr>
          <w:p w:rsidR="00D25D96" w:rsidRPr="00F64CC0" w:rsidRDefault="00D25D96" w:rsidP="00D25D96">
            <w:pPr>
              <w:ind w:left="-45"/>
            </w:pPr>
            <w:r w:rsidRPr="00F64CC0">
              <w:lastRenderedPageBreak/>
              <w:t>Παρακλινικές εξετάσεις</w:t>
            </w:r>
          </w:p>
        </w:tc>
        <w:tc>
          <w:tcPr>
            <w:tcW w:w="1549" w:type="pct"/>
            <w:vAlign w:val="center"/>
          </w:tcPr>
          <w:p w:rsidR="00D25D96" w:rsidRPr="00F64CC0" w:rsidRDefault="00D25D96" w:rsidP="00D25D96">
            <w:pPr>
              <w:ind w:left="-45"/>
            </w:pPr>
            <w:r w:rsidRPr="00F64CC0">
              <w:t>Μείωση αρτηριακής πίεσης</w:t>
            </w:r>
          </w:p>
        </w:tc>
        <w:tc>
          <w:tcPr>
            <w:tcW w:w="1488" w:type="pct"/>
            <w:vAlign w:val="center"/>
          </w:tcPr>
          <w:p w:rsidR="00D25D96" w:rsidRPr="00F64CC0" w:rsidRDefault="00D25D96" w:rsidP="00D25D96">
            <w:pPr>
              <w:ind w:left="-45"/>
              <w:jc w:val="center"/>
            </w:pPr>
            <w:r w:rsidRPr="00F64CC0">
              <w:t>Μη γνωστή</w:t>
            </w:r>
          </w:p>
        </w:tc>
      </w:tr>
      <w:tr w:rsidR="00D25D96" w:rsidRPr="00F64CC0" w:rsidTr="00D25D96">
        <w:tc>
          <w:tcPr>
            <w:tcW w:w="1963" w:type="pct"/>
            <w:vMerge/>
            <w:vAlign w:val="center"/>
          </w:tcPr>
          <w:p w:rsidR="00D25D96" w:rsidRPr="00F64CC0" w:rsidRDefault="00D25D96" w:rsidP="00D25D96">
            <w:pPr>
              <w:ind w:left="-45"/>
            </w:pPr>
          </w:p>
        </w:tc>
        <w:tc>
          <w:tcPr>
            <w:tcW w:w="1549" w:type="pct"/>
            <w:vAlign w:val="center"/>
          </w:tcPr>
          <w:p w:rsidR="00D25D96" w:rsidRPr="00F64CC0" w:rsidRDefault="00D25D96" w:rsidP="00D25D96">
            <w:pPr>
              <w:ind w:left="-45"/>
            </w:pPr>
            <w:r w:rsidRPr="00F64CC0">
              <w:t>Αύξηση αρτηριακής πίεσης</w:t>
            </w:r>
          </w:p>
        </w:tc>
        <w:tc>
          <w:tcPr>
            <w:tcW w:w="1488" w:type="pct"/>
            <w:vAlign w:val="center"/>
          </w:tcPr>
          <w:p w:rsidR="00D25D96" w:rsidRPr="00F64CC0" w:rsidRDefault="00D25D96" w:rsidP="00D25D96">
            <w:pPr>
              <w:ind w:left="-45"/>
              <w:jc w:val="center"/>
            </w:pPr>
            <w:r w:rsidRPr="00F64CC0">
              <w:t>Μη γνωστή</w:t>
            </w:r>
          </w:p>
        </w:tc>
      </w:tr>
    </w:tbl>
    <w:p w:rsidR="00D25D96" w:rsidRPr="00F64CC0" w:rsidRDefault="00D25D96" w:rsidP="00900919">
      <w:pPr>
        <w:rPr>
          <w:lang w:val="it-IT"/>
        </w:rPr>
      </w:pPr>
    </w:p>
    <w:p w:rsidR="00363B7B" w:rsidRPr="00F64CC0" w:rsidRDefault="00363B7B" w:rsidP="00363B7B">
      <w:pPr>
        <w:ind w:left="-45"/>
        <w:jc w:val="center"/>
        <w:rPr>
          <w:b/>
        </w:rPr>
      </w:pPr>
      <w:r w:rsidRPr="00F64CC0">
        <w:rPr>
          <w:b/>
        </w:rPr>
        <w:t xml:space="preserve">Συχνότητα Ανεπιθύμητων Ενεργειών στην κλινική μελέτη </w:t>
      </w:r>
      <w:r w:rsidR="00674A19" w:rsidRPr="00F64CC0">
        <w:rPr>
          <w:b/>
          <w:bCs/>
        </w:rPr>
        <w:t>CIDP</w:t>
      </w:r>
      <w:r w:rsidRPr="00F64CC0">
        <w:rPr>
          <w:b/>
        </w:rPr>
        <w:t xml:space="preserve"> με </w:t>
      </w:r>
      <w:r w:rsidRPr="00F64CC0">
        <w:rPr>
          <w:b/>
          <w:lang w:val="it-IT"/>
        </w:rPr>
        <w:t>Ig</w:t>
      </w:r>
      <w:r w:rsidRPr="00F64CC0">
        <w:rPr>
          <w:b/>
        </w:rPr>
        <w:t xml:space="preserve"> </w:t>
      </w:r>
      <w:r w:rsidRPr="00F64CC0">
        <w:rPr>
          <w:b/>
          <w:lang w:val="it-IT"/>
        </w:rPr>
        <w:t>VENA</w:t>
      </w:r>
    </w:p>
    <w:p w:rsidR="00363B7B" w:rsidRPr="00F64CC0" w:rsidRDefault="00363B7B" w:rsidP="00363B7B">
      <w:pPr>
        <w:ind w:left="-45"/>
        <w:jc w:val="center"/>
        <w:rPr>
          <w:b/>
        </w:rPr>
      </w:pPr>
      <w:r w:rsidRPr="00F64CC0">
        <w:rPr>
          <w:b/>
        </w:rPr>
        <w:t xml:space="preserve">(756 δόσεις </w:t>
      </w:r>
      <w:r w:rsidRPr="00F64CC0">
        <w:rPr>
          <w:b/>
          <w:lang w:val="en-US"/>
        </w:rPr>
        <w:t>IG</w:t>
      </w:r>
      <w:r w:rsidRPr="00F64CC0">
        <w:rPr>
          <w:b/>
        </w:rPr>
        <w:t xml:space="preserve"> </w:t>
      </w:r>
      <w:r w:rsidRPr="00F64CC0">
        <w:rPr>
          <w:b/>
          <w:lang w:val="en-US"/>
        </w:rPr>
        <w:t>VENA</w:t>
      </w:r>
      <w:r w:rsidRPr="00F64CC0">
        <w:rPr>
          <w:b/>
        </w:rPr>
        <w:t xml:space="preserve"> χορηγήθηκαν κατά τη διάρκεια της κλινικής μελέτης)</w:t>
      </w:r>
    </w:p>
    <w:p w:rsidR="00363B7B" w:rsidRPr="00F64CC0" w:rsidRDefault="00363B7B" w:rsidP="00363B7B">
      <w:pPr>
        <w:ind w:left="-4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0"/>
        <w:gridCol w:w="2860"/>
        <w:gridCol w:w="2860"/>
      </w:tblGrid>
      <w:tr w:rsidR="00363B7B" w:rsidRPr="00F64CC0" w:rsidTr="0054043E">
        <w:tc>
          <w:tcPr>
            <w:tcW w:w="2860" w:type="dxa"/>
            <w:shd w:val="clear" w:color="auto" w:fill="auto"/>
          </w:tcPr>
          <w:p w:rsidR="00363B7B" w:rsidRPr="00F64CC0" w:rsidRDefault="00363B7B" w:rsidP="0054043E">
            <w:pPr>
              <w:jc w:val="center"/>
            </w:pPr>
            <w:proofErr w:type="spellStart"/>
            <w:r w:rsidRPr="00F64CC0">
              <w:rPr>
                <w:b/>
                <w:lang w:val="en-US"/>
              </w:rPr>
              <w:t>MedDRA</w:t>
            </w:r>
            <w:proofErr w:type="spellEnd"/>
            <w:r w:rsidRPr="00F64CC0">
              <w:rPr>
                <w:b/>
                <w:lang w:val="en-US"/>
              </w:rPr>
              <w:t xml:space="preserve"> SOC</w:t>
            </w:r>
          </w:p>
        </w:tc>
        <w:tc>
          <w:tcPr>
            <w:tcW w:w="2860" w:type="dxa"/>
            <w:shd w:val="clear" w:color="auto" w:fill="auto"/>
          </w:tcPr>
          <w:p w:rsidR="00363B7B" w:rsidRPr="00F64CC0" w:rsidRDefault="00363B7B" w:rsidP="0054043E">
            <w:pPr>
              <w:jc w:val="center"/>
              <w:rPr>
                <w:b/>
                <w:lang w:val="en-US" w:eastAsia="it-IT"/>
              </w:rPr>
            </w:pPr>
            <w:proofErr w:type="spellStart"/>
            <w:r w:rsidRPr="00F64CC0">
              <w:rPr>
                <w:b/>
                <w:lang w:val="en-US" w:eastAsia="it-IT"/>
              </w:rPr>
              <w:t>MedDRA</w:t>
            </w:r>
            <w:proofErr w:type="spellEnd"/>
            <w:r w:rsidRPr="00F64CC0">
              <w:rPr>
                <w:b/>
                <w:lang w:val="en-US" w:eastAsia="it-IT"/>
              </w:rPr>
              <w:t xml:space="preserve"> PT</w:t>
            </w:r>
          </w:p>
          <w:p w:rsidR="00363B7B" w:rsidRPr="00F64CC0" w:rsidRDefault="00363B7B" w:rsidP="0054043E">
            <w:pPr>
              <w:jc w:val="center"/>
              <w:rPr>
                <w:lang w:val="en-US"/>
              </w:rPr>
            </w:pPr>
            <w:r w:rsidRPr="00F64CC0">
              <w:rPr>
                <w:b/>
                <w:lang w:val="en-US" w:eastAsia="it-IT"/>
              </w:rPr>
              <w:t>(No. of ADRs)</w:t>
            </w:r>
          </w:p>
        </w:tc>
        <w:tc>
          <w:tcPr>
            <w:tcW w:w="2860" w:type="dxa"/>
            <w:shd w:val="clear" w:color="auto" w:fill="auto"/>
          </w:tcPr>
          <w:p w:rsidR="00363B7B" w:rsidRPr="00F64CC0" w:rsidRDefault="00363B7B" w:rsidP="0054043E">
            <w:pPr>
              <w:jc w:val="center"/>
            </w:pPr>
            <w:r w:rsidRPr="00F64CC0">
              <w:t>Συχνότητα</w:t>
            </w:r>
          </w:p>
        </w:tc>
      </w:tr>
      <w:tr w:rsidR="00363B7B" w:rsidRPr="00F64CC0" w:rsidTr="0054043E">
        <w:tc>
          <w:tcPr>
            <w:tcW w:w="2860" w:type="dxa"/>
            <w:shd w:val="clear" w:color="auto" w:fill="auto"/>
          </w:tcPr>
          <w:p w:rsidR="00363B7B" w:rsidRPr="00F64CC0" w:rsidRDefault="00363B7B" w:rsidP="0054043E">
            <w:r w:rsidRPr="00F64CC0">
              <w:t>Διαταραχή Νευρικού Συστήματος</w:t>
            </w:r>
          </w:p>
        </w:tc>
        <w:tc>
          <w:tcPr>
            <w:tcW w:w="2860" w:type="dxa"/>
            <w:shd w:val="clear" w:color="auto" w:fill="auto"/>
          </w:tcPr>
          <w:p w:rsidR="00363B7B" w:rsidRPr="00F64CC0" w:rsidRDefault="00363B7B" w:rsidP="0054043E">
            <w:r w:rsidRPr="00F64CC0">
              <w:t>Πονοκέφαλος (1)</w:t>
            </w:r>
          </w:p>
        </w:tc>
        <w:tc>
          <w:tcPr>
            <w:tcW w:w="2860" w:type="dxa"/>
            <w:shd w:val="clear" w:color="auto" w:fill="auto"/>
          </w:tcPr>
          <w:p w:rsidR="00363B7B" w:rsidRPr="00F64CC0" w:rsidRDefault="00363B7B" w:rsidP="00F64CC0">
            <w:r w:rsidRPr="00F64CC0">
              <w:t xml:space="preserve">Όχι </w:t>
            </w:r>
            <w:r w:rsidR="00E24E63" w:rsidRPr="00F64CC0">
              <w:t>συχν</w:t>
            </w:r>
            <w:r w:rsidR="00E24E63">
              <w:t>ά</w:t>
            </w:r>
            <w:r w:rsidR="00E24E63" w:rsidRPr="00F64CC0">
              <w:t xml:space="preserve"> </w:t>
            </w:r>
            <w:r w:rsidRPr="00F64CC0">
              <w:t>(1 στις 756 χορηγήσεις)</w:t>
            </w:r>
          </w:p>
        </w:tc>
      </w:tr>
    </w:tbl>
    <w:p w:rsidR="00363B7B" w:rsidRPr="00F64CC0" w:rsidRDefault="00363B7B" w:rsidP="005E25A8">
      <w:pPr>
        <w:ind w:left="-45"/>
        <w:rPr>
          <w:lang w:val="it-IT"/>
        </w:rPr>
      </w:pPr>
    </w:p>
    <w:p w:rsidR="00B225F4" w:rsidRPr="00F64CC0" w:rsidRDefault="00E2176B" w:rsidP="005E25A8">
      <w:r w:rsidRPr="00F64CC0">
        <w:t>Για την ασφάλεια σχετικ</w:t>
      </w:r>
      <w:r w:rsidR="00360F9E" w:rsidRPr="00F64CC0">
        <w:t>ά με τους</w:t>
      </w:r>
      <w:r w:rsidRPr="00F64CC0">
        <w:t xml:space="preserve"> μεταδιδ</w:t>
      </w:r>
      <w:r w:rsidR="00360F9E" w:rsidRPr="00F64CC0">
        <w:t>όμενους</w:t>
      </w:r>
      <w:r w:rsidRPr="00F64CC0">
        <w:t xml:space="preserve"> </w:t>
      </w:r>
      <w:r w:rsidR="00360F9E" w:rsidRPr="00F64CC0">
        <w:t>παράγοντες</w:t>
      </w:r>
      <w:r w:rsidRPr="00F64CC0">
        <w:t>,</w:t>
      </w:r>
      <w:r w:rsidR="00B225F4" w:rsidRPr="00F64CC0">
        <w:t xml:space="preserve"> δείτε 4.4. </w:t>
      </w:r>
    </w:p>
    <w:p w:rsidR="00AE7B57" w:rsidRPr="00F64CC0" w:rsidRDefault="00AE7B57" w:rsidP="005E25A8">
      <w:pPr>
        <w:ind w:left="-45"/>
        <w:rPr>
          <w:bCs/>
        </w:rPr>
      </w:pPr>
    </w:p>
    <w:p w:rsidR="00A57F31" w:rsidRPr="00F64CC0" w:rsidRDefault="00AE7B57" w:rsidP="005E25A8">
      <w:pPr>
        <w:ind w:left="-45"/>
        <w:rPr>
          <w:bCs/>
          <w:u w:val="single"/>
        </w:rPr>
      </w:pPr>
      <w:r w:rsidRPr="00F64CC0">
        <w:rPr>
          <w:bCs/>
          <w:u w:val="single"/>
        </w:rPr>
        <w:t>Παιδιατρικός πληθυσμός</w:t>
      </w:r>
    </w:p>
    <w:p w:rsidR="00AE7B57" w:rsidRPr="00F64CC0" w:rsidRDefault="00AE7B57" w:rsidP="005E25A8">
      <w:pPr>
        <w:ind w:left="-45"/>
        <w:rPr>
          <w:bCs/>
        </w:rPr>
      </w:pPr>
      <w:r w:rsidRPr="00F64CC0">
        <w:rPr>
          <w:bCs/>
        </w:rPr>
        <w:t>Η συχνότητα, ο τύπος και η σοβαρότητα των ανεπιθύμητων ενεργειών σε παιδιά αναμένεται να είναι ίδια με των ενηλίκων</w:t>
      </w:r>
    </w:p>
    <w:p w:rsidR="00A9519A" w:rsidRPr="00F64CC0" w:rsidRDefault="00A9519A" w:rsidP="005E25A8">
      <w:pPr>
        <w:ind w:left="-45"/>
        <w:rPr>
          <w:bCs/>
        </w:rPr>
      </w:pPr>
    </w:p>
    <w:p w:rsidR="00115053" w:rsidRPr="00F64CC0" w:rsidRDefault="00115053" w:rsidP="009A35C2">
      <w:pPr>
        <w:numPr>
          <w:ilvl w:val="1"/>
          <w:numId w:val="18"/>
        </w:numPr>
        <w:tabs>
          <w:tab w:val="clear" w:pos="495"/>
        </w:tabs>
        <w:rPr>
          <w:b/>
          <w:bCs/>
        </w:rPr>
      </w:pPr>
      <w:r w:rsidRPr="00F64CC0">
        <w:rPr>
          <w:b/>
          <w:bCs/>
        </w:rPr>
        <w:t>Υπερδοσολογία</w:t>
      </w:r>
    </w:p>
    <w:p w:rsidR="00404FAF" w:rsidRPr="00F64CC0" w:rsidRDefault="00CA58B6" w:rsidP="009A35C2">
      <w:pPr>
        <w:rPr>
          <w:bCs/>
        </w:rPr>
      </w:pPr>
      <w:r w:rsidRPr="00F64CC0">
        <w:rPr>
          <w:bCs/>
        </w:rPr>
        <w:t>Η υπέρβαση δόσης</w:t>
      </w:r>
      <w:r w:rsidR="008D25EC" w:rsidRPr="00F64CC0">
        <w:rPr>
          <w:bCs/>
        </w:rPr>
        <w:t xml:space="preserve"> μπορεί να οδηγήσει σε υπερφόρτωση του κυκλοφορικού και αυξημένη</w:t>
      </w:r>
      <w:r w:rsidRPr="00F64CC0">
        <w:rPr>
          <w:bCs/>
        </w:rPr>
        <w:t xml:space="preserve"> </w:t>
      </w:r>
      <w:r w:rsidR="008D25EC" w:rsidRPr="00F64CC0">
        <w:rPr>
          <w:bCs/>
        </w:rPr>
        <w:t xml:space="preserve">γλοιότητα </w:t>
      </w:r>
      <w:r w:rsidRPr="00F64CC0">
        <w:rPr>
          <w:bCs/>
        </w:rPr>
        <w:t>του αίματος ειδικά σε ασθενείς αυξημένο</w:t>
      </w:r>
      <w:r w:rsidR="00E24E63">
        <w:rPr>
          <w:bCs/>
        </w:rPr>
        <w:t>υ</w:t>
      </w:r>
      <w:r w:rsidRPr="00F64CC0">
        <w:rPr>
          <w:bCs/>
        </w:rPr>
        <w:t xml:space="preserve"> </w:t>
      </w:r>
      <w:r w:rsidR="00E24E63" w:rsidRPr="00F64CC0">
        <w:rPr>
          <w:bCs/>
        </w:rPr>
        <w:t>κ</w:t>
      </w:r>
      <w:r w:rsidR="00E24E63">
        <w:rPr>
          <w:bCs/>
        </w:rPr>
        <w:t>ι</w:t>
      </w:r>
      <w:r w:rsidR="00E24E63" w:rsidRPr="00F64CC0">
        <w:rPr>
          <w:bCs/>
        </w:rPr>
        <w:t>νδ</w:t>
      </w:r>
      <w:r w:rsidR="00E24E63">
        <w:rPr>
          <w:bCs/>
        </w:rPr>
        <w:t>ύνου, συμπ</w:t>
      </w:r>
      <w:r w:rsidR="006E54E9">
        <w:rPr>
          <w:bCs/>
        </w:rPr>
        <w:t>ε</w:t>
      </w:r>
      <w:r w:rsidR="00E24E63">
        <w:rPr>
          <w:bCs/>
        </w:rPr>
        <w:t>ριλαμβανομένων</w:t>
      </w:r>
      <w:r w:rsidR="00E24E63" w:rsidRPr="00F64CC0">
        <w:rPr>
          <w:bCs/>
        </w:rPr>
        <w:t xml:space="preserve"> </w:t>
      </w:r>
      <w:r w:rsidR="00E24E63">
        <w:rPr>
          <w:bCs/>
        </w:rPr>
        <w:t>των</w:t>
      </w:r>
      <w:r w:rsidR="00E24E63" w:rsidRPr="00F64CC0">
        <w:rPr>
          <w:bCs/>
        </w:rPr>
        <w:t xml:space="preserve"> ηλικιωμέν</w:t>
      </w:r>
      <w:r w:rsidR="00E24E63">
        <w:rPr>
          <w:bCs/>
        </w:rPr>
        <w:t>ων</w:t>
      </w:r>
      <w:r w:rsidR="00E24E63" w:rsidRPr="00F64CC0">
        <w:rPr>
          <w:bCs/>
        </w:rPr>
        <w:t xml:space="preserve"> ασθεν</w:t>
      </w:r>
      <w:r w:rsidR="00E24E63">
        <w:rPr>
          <w:bCs/>
        </w:rPr>
        <w:t>ών</w:t>
      </w:r>
      <w:r w:rsidR="00E24E63" w:rsidRPr="00F64CC0">
        <w:rPr>
          <w:bCs/>
        </w:rPr>
        <w:t xml:space="preserve"> </w:t>
      </w:r>
      <w:r w:rsidR="00D6030F" w:rsidRPr="00F64CC0">
        <w:rPr>
          <w:bCs/>
        </w:rPr>
        <w:t xml:space="preserve">ή </w:t>
      </w:r>
      <w:r w:rsidR="00E24E63">
        <w:rPr>
          <w:bCs/>
        </w:rPr>
        <w:t xml:space="preserve">των </w:t>
      </w:r>
      <w:r w:rsidR="00E24E63" w:rsidRPr="00F64CC0">
        <w:rPr>
          <w:bCs/>
        </w:rPr>
        <w:t>ασθεν</w:t>
      </w:r>
      <w:r w:rsidR="00E24E63">
        <w:rPr>
          <w:bCs/>
        </w:rPr>
        <w:t>ών</w:t>
      </w:r>
      <w:r w:rsidR="00E24E63" w:rsidRPr="00F64CC0">
        <w:rPr>
          <w:bCs/>
        </w:rPr>
        <w:t xml:space="preserve"> </w:t>
      </w:r>
      <w:r w:rsidR="00D6030F" w:rsidRPr="00F64CC0">
        <w:rPr>
          <w:bCs/>
        </w:rPr>
        <w:t xml:space="preserve">με </w:t>
      </w:r>
      <w:r w:rsidR="008D00F1" w:rsidRPr="00F64CC0">
        <w:rPr>
          <w:bCs/>
        </w:rPr>
        <w:t xml:space="preserve">καρδιακή ή </w:t>
      </w:r>
      <w:r w:rsidR="00D6030F" w:rsidRPr="00F64CC0">
        <w:rPr>
          <w:bCs/>
        </w:rPr>
        <w:t xml:space="preserve">νεφρική </w:t>
      </w:r>
      <w:r w:rsidR="00360F9E" w:rsidRPr="00F64CC0">
        <w:rPr>
          <w:bCs/>
        </w:rPr>
        <w:t>ανεπάρκεια</w:t>
      </w:r>
      <w:r w:rsidRPr="00F64CC0">
        <w:rPr>
          <w:bCs/>
        </w:rPr>
        <w:t>.</w:t>
      </w:r>
    </w:p>
    <w:p w:rsidR="00363B7B" w:rsidRPr="00224BEE" w:rsidRDefault="00363B7B" w:rsidP="00363B7B">
      <w:pPr>
        <w:ind w:left="-45"/>
        <w:jc w:val="both"/>
        <w:rPr>
          <w:bCs/>
        </w:rPr>
      </w:pPr>
      <w:r w:rsidRPr="00224BEE">
        <w:rPr>
          <w:bCs/>
        </w:rPr>
        <w:t xml:space="preserve">Δεν αναμένεται καμία διαφορά για τον παιδιατρικό πληθυσμό (0-18 ετών). </w:t>
      </w:r>
    </w:p>
    <w:p w:rsidR="00983B1B" w:rsidRPr="00900919" w:rsidRDefault="00983B1B" w:rsidP="00900919">
      <w:pPr>
        <w:rPr>
          <w:bCs/>
          <w:lang w:val="en-US"/>
        </w:rPr>
      </w:pPr>
    </w:p>
    <w:p w:rsidR="008D25EC" w:rsidRPr="00F64CC0" w:rsidRDefault="00AB766B" w:rsidP="009A35C2">
      <w:pPr>
        <w:numPr>
          <w:ilvl w:val="0"/>
          <w:numId w:val="19"/>
        </w:numPr>
        <w:tabs>
          <w:tab w:val="clear" w:pos="360"/>
        </w:tabs>
        <w:rPr>
          <w:b/>
          <w:bCs/>
        </w:rPr>
      </w:pPr>
      <w:r w:rsidRPr="00F64CC0">
        <w:rPr>
          <w:b/>
          <w:bCs/>
        </w:rPr>
        <w:t>ΦΑΡΜΑΚΟΛΟΓΙΚΈΣ ΙΔΙΟΤΗΤΕΣ</w:t>
      </w:r>
    </w:p>
    <w:p w:rsidR="00CE1BDD" w:rsidRPr="00F64CC0" w:rsidRDefault="009A35C2" w:rsidP="009A35C2">
      <w:pPr>
        <w:ind w:left="426" w:hanging="426"/>
        <w:rPr>
          <w:b/>
          <w:bCs/>
        </w:rPr>
      </w:pPr>
      <w:r w:rsidRPr="00F64CC0">
        <w:rPr>
          <w:b/>
          <w:bCs/>
        </w:rPr>
        <w:t>5.1</w:t>
      </w:r>
      <w:r w:rsidRPr="00F64CC0">
        <w:rPr>
          <w:b/>
          <w:bCs/>
        </w:rPr>
        <w:tab/>
      </w:r>
      <w:r w:rsidR="00CE1BDD" w:rsidRPr="00F64CC0">
        <w:rPr>
          <w:b/>
          <w:bCs/>
        </w:rPr>
        <w:t>Φαρμακοδυναμικές ιδιότητες</w:t>
      </w:r>
    </w:p>
    <w:p w:rsidR="006A2E04" w:rsidRPr="00F64CC0" w:rsidRDefault="007F59F5" w:rsidP="005E25A8">
      <w:pPr>
        <w:rPr>
          <w:bCs/>
        </w:rPr>
      </w:pPr>
      <w:r w:rsidRPr="00F64CC0">
        <w:rPr>
          <w:bCs/>
        </w:rPr>
        <w:t xml:space="preserve">Φαρμακοθεραπευτική ομάδα: </w:t>
      </w:r>
      <w:r w:rsidR="00360F9E" w:rsidRPr="00F64CC0">
        <w:rPr>
          <w:bCs/>
        </w:rPr>
        <w:t>Ανοσο</w:t>
      </w:r>
      <w:r w:rsidR="006A2E04" w:rsidRPr="00F64CC0">
        <w:rPr>
          <w:bCs/>
        </w:rPr>
        <w:t>οροί</w:t>
      </w:r>
      <w:r w:rsidRPr="00F64CC0">
        <w:rPr>
          <w:bCs/>
        </w:rPr>
        <w:t xml:space="preserve"> κ</w:t>
      </w:r>
      <w:r w:rsidR="008D25EC" w:rsidRPr="00F64CC0">
        <w:rPr>
          <w:bCs/>
        </w:rPr>
        <w:t xml:space="preserve">αι ανοσοσφαιρίνες: </w:t>
      </w:r>
      <w:r w:rsidR="00B901C4" w:rsidRPr="00F64CC0">
        <w:rPr>
          <w:bCs/>
        </w:rPr>
        <w:t>φυσιολογικές ανθρώπινες ανοσοσφαιρίνες</w:t>
      </w:r>
      <w:r w:rsidRPr="00F64CC0">
        <w:rPr>
          <w:bCs/>
        </w:rPr>
        <w:t>, για ενδ</w:t>
      </w:r>
      <w:r w:rsidR="006A2E04" w:rsidRPr="00F64CC0">
        <w:rPr>
          <w:bCs/>
        </w:rPr>
        <w:t>οαγγειακή χορήγηση.</w:t>
      </w:r>
    </w:p>
    <w:p w:rsidR="006468A9" w:rsidRPr="00F64CC0" w:rsidRDefault="007F59F5" w:rsidP="005E25A8">
      <w:pPr>
        <w:rPr>
          <w:bCs/>
        </w:rPr>
      </w:pPr>
      <w:r w:rsidRPr="00F64CC0">
        <w:rPr>
          <w:bCs/>
        </w:rPr>
        <w:t xml:space="preserve">Κωδικός </w:t>
      </w:r>
      <w:r w:rsidRPr="00F64CC0">
        <w:rPr>
          <w:bCs/>
          <w:lang w:val="en-US"/>
        </w:rPr>
        <w:t>ATC</w:t>
      </w:r>
      <w:r w:rsidRPr="00F64CC0">
        <w:rPr>
          <w:bCs/>
        </w:rPr>
        <w:t xml:space="preserve">: </w:t>
      </w:r>
      <w:r w:rsidRPr="00F64CC0">
        <w:rPr>
          <w:bCs/>
          <w:lang w:val="en-US"/>
        </w:rPr>
        <w:t>JO</w:t>
      </w:r>
      <w:r w:rsidRPr="00F64CC0">
        <w:rPr>
          <w:bCs/>
        </w:rPr>
        <w:t>6</w:t>
      </w:r>
      <w:r w:rsidRPr="00F64CC0">
        <w:rPr>
          <w:bCs/>
          <w:lang w:val="en-US"/>
        </w:rPr>
        <w:t>BA</w:t>
      </w:r>
      <w:r w:rsidRPr="00F64CC0">
        <w:rPr>
          <w:bCs/>
        </w:rPr>
        <w:t>02.</w:t>
      </w:r>
      <w:r w:rsidR="008D25EC" w:rsidRPr="00F64CC0">
        <w:rPr>
          <w:bCs/>
        </w:rPr>
        <w:t xml:space="preserve"> </w:t>
      </w:r>
    </w:p>
    <w:p w:rsidR="008B07CB" w:rsidRPr="00900919" w:rsidRDefault="00112CAE" w:rsidP="005E25A8">
      <w:pPr>
        <w:rPr>
          <w:bCs/>
        </w:rPr>
      </w:pPr>
      <w:r w:rsidRPr="00F64CC0">
        <w:rPr>
          <w:bCs/>
          <w:lang w:val="it-IT"/>
        </w:rPr>
        <w:t>H</w:t>
      </w:r>
      <w:r w:rsidRPr="00F64CC0">
        <w:rPr>
          <w:bCs/>
        </w:rPr>
        <w:t xml:space="preserve"> </w:t>
      </w:r>
      <w:r w:rsidR="00AE7B57" w:rsidRPr="00F64CC0">
        <w:rPr>
          <w:bCs/>
        </w:rPr>
        <w:t>ανθρώπινη φυσιολογική ανοσοσφαιρίνη</w:t>
      </w:r>
      <w:r w:rsidR="006A2E04" w:rsidRPr="00F64CC0">
        <w:rPr>
          <w:bCs/>
        </w:rPr>
        <w:t xml:space="preserve"> </w:t>
      </w:r>
      <w:r w:rsidR="00DA3FB8" w:rsidRPr="00F64CC0">
        <w:rPr>
          <w:bCs/>
        </w:rPr>
        <w:t xml:space="preserve">περιέχει κυρίως ανοσοσφαιρίνη </w:t>
      </w:r>
      <w:r w:rsidR="00DA3FB8" w:rsidRPr="00F64CC0">
        <w:rPr>
          <w:bCs/>
          <w:lang w:val="en-US"/>
        </w:rPr>
        <w:t>G</w:t>
      </w:r>
      <w:r w:rsidR="00DA3FB8" w:rsidRPr="00F64CC0">
        <w:rPr>
          <w:bCs/>
        </w:rPr>
        <w:t xml:space="preserve"> (</w:t>
      </w:r>
      <w:proofErr w:type="spellStart"/>
      <w:r w:rsidR="00DA3FB8" w:rsidRPr="00F64CC0">
        <w:rPr>
          <w:bCs/>
          <w:lang w:val="en-US"/>
        </w:rPr>
        <w:t>IgG</w:t>
      </w:r>
      <w:proofErr w:type="spellEnd"/>
      <w:r w:rsidR="00DA3FB8" w:rsidRPr="00F64CC0">
        <w:rPr>
          <w:bCs/>
        </w:rPr>
        <w:t>) με ευρύ φάσμα αντισωμάτων κατά διαφόρων λοιμογόνων παραγόντων.</w:t>
      </w:r>
    </w:p>
    <w:p w:rsidR="00E24E63" w:rsidRDefault="008B07CB" w:rsidP="005E25A8">
      <w:pPr>
        <w:rPr>
          <w:bCs/>
        </w:rPr>
      </w:pPr>
      <w:r w:rsidRPr="00F64CC0">
        <w:rPr>
          <w:bCs/>
        </w:rPr>
        <w:t>Η ανθρώπινη φυσιολογική ανοσοσφαιρίνη</w:t>
      </w:r>
      <w:r w:rsidR="007F59F5" w:rsidRPr="00F64CC0">
        <w:rPr>
          <w:bCs/>
        </w:rPr>
        <w:t xml:space="preserve"> </w:t>
      </w:r>
      <w:r w:rsidRPr="00F64CC0">
        <w:rPr>
          <w:bCs/>
        </w:rPr>
        <w:t xml:space="preserve">περιέχει αντισώματα </w:t>
      </w:r>
      <w:proofErr w:type="spellStart"/>
      <w:r w:rsidRPr="00F64CC0">
        <w:rPr>
          <w:bCs/>
          <w:lang w:val="en-US"/>
        </w:rPr>
        <w:t>IgG</w:t>
      </w:r>
      <w:proofErr w:type="spellEnd"/>
      <w:r w:rsidRPr="00F64CC0">
        <w:rPr>
          <w:bCs/>
        </w:rPr>
        <w:t xml:space="preserve"> που συναντώνται στο φυσιολογικό πληθυσμό. </w:t>
      </w:r>
      <w:r w:rsidR="00360F9E" w:rsidRPr="00F64CC0">
        <w:rPr>
          <w:bCs/>
        </w:rPr>
        <w:t>Π</w:t>
      </w:r>
      <w:r w:rsidRPr="00F64CC0">
        <w:rPr>
          <w:bCs/>
        </w:rPr>
        <w:t xml:space="preserve">αρασκευάζεται από δεξαμενές πλάσματος, </w:t>
      </w:r>
      <w:r w:rsidR="00E24E63">
        <w:rPr>
          <w:bCs/>
        </w:rPr>
        <w:t>προερχόμενο</w:t>
      </w:r>
      <w:r w:rsidRPr="00F64CC0">
        <w:rPr>
          <w:bCs/>
        </w:rPr>
        <w:t xml:space="preserve"> από 1000 </w:t>
      </w:r>
      <w:r w:rsidR="00360F9E" w:rsidRPr="00F64CC0">
        <w:rPr>
          <w:bCs/>
        </w:rPr>
        <w:t xml:space="preserve">τουλάχιστον </w:t>
      </w:r>
      <w:r w:rsidRPr="00F64CC0">
        <w:rPr>
          <w:bCs/>
        </w:rPr>
        <w:t>δότες. Η κατανομή των υποτάξεων</w:t>
      </w:r>
      <w:r w:rsidR="006A2E04" w:rsidRPr="00F64CC0">
        <w:rPr>
          <w:bCs/>
        </w:rPr>
        <w:t xml:space="preserve"> </w:t>
      </w:r>
      <w:r w:rsidRPr="00F64CC0">
        <w:rPr>
          <w:bCs/>
        </w:rPr>
        <w:t xml:space="preserve">της ανοσοσφαιρίνης </w:t>
      </w:r>
      <w:r w:rsidRPr="00F64CC0">
        <w:rPr>
          <w:bCs/>
          <w:lang w:val="en-US"/>
        </w:rPr>
        <w:t>G</w:t>
      </w:r>
      <w:r w:rsidR="006A2E04" w:rsidRPr="00F64CC0">
        <w:rPr>
          <w:bCs/>
        </w:rPr>
        <w:t xml:space="preserve"> </w:t>
      </w:r>
      <w:r w:rsidR="00360F9E" w:rsidRPr="00F64CC0">
        <w:rPr>
          <w:bCs/>
        </w:rPr>
        <w:t xml:space="preserve">στην </w:t>
      </w:r>
      <w:proofErr w:type="spellStart"/>
      <w:r w:rsidR="00360F9E" w:rsidRPr="00F64CC0">
        <w:rPr>
          <w:bCs/>
          <w:lang w:val="en-US"/>
        </w:rPr>
        <w:t>IVI</w:t>
      </w:r>
      <w:r w:rsidR="002C438B" w:rsidRPr="00F64CC0">
        <w:rPr>
          <w:bCs/>
          <w:lang w:val="en-US"/>
        </w:rPr>
        <w:t>g</w:t>
      </w:r>
      <w:proofErr w:type="spellEnd"/>
      <w:r w:rsidR="00360F9E" w:rsidRPr="00F64CC0">
        <w:rPr>
          <w:bCs/>
        </w:rPr>
        <w:t xml:space="preserve"> θα πρέπει να </w:t>
      </w:r>
      <w:r w:rsidRPr="00F64CC0">
        <w:rPr>
          <w:bCs/>
        </w:rPr>
        <w:t xml:space="preserve">είναι ακριβώς ανάλογη με εκείνη του </w:t>
      </w:r>
      <w:r w:rsidR="00360F9E" w:rsidRPr="00F64CC0">
        <w:rPr>
          <w:bCs/>
        </w:rPr>
        <w:t xml:space="preserve">φυσιολογικού </w:t>
      </w:r>
      <w:r w:rsidRPr="00F64CC0">
        <w:rPr>
          <w:bCs/>
        </w:rPr>
        <w:t>αν</w:t>
      </w:r>
      <w:r w:rsidR="00CD26E5" w:rsidRPr="00F64CC0">
        <w:rPr>
          <w:bCs/>
        </w:rPr>
        <w:t>θρώπινου πλάσματος. Επαρκείς δόσεις αυτού του φαρμακευτικού προϊόντος</w:t>
      </w:r>
      <w:r w:rsidR="00CE214D" w:rsidRPr="00F64CC0">
        <w:rPr>
          <w:bCs/>
        </w:rPr>
        <w:t xml:space="preserve">, </w:t>
      </w:r>
      <w:r w:rsidR="00360F9E" w:rsidRPr="00F64CC0">
        <w:rPr>
          <w:bCs/>
        </w:rPr>
        <w:t xml:space="preserve">μπορεί να αποκαταστήσουν </w:t>
      </w:r>
      <w:r w:rsidR="00E24E63">
        <w:rPr>
          <w:bCs/>
        </w:rPr>
        <w:t>μη φυσιολογικά</w:t>
      </w:r>
      <w:r w:rsidR="00E24E63" w:rsidRPr="00F64CC0">
        <w:rPr>
          <w:bCs/>
        </w:rPr>
        <w:t xml:space="preserve"> </w:t>
      </w:r>
      <w:r w:rsidR="00360F9E" w:rsidRPr="00F64CC0">
        <w:rPr>
          <w:bCs/>
        </w:rPr>
        <w:t xml:space="preserve">χαμηλές τιμές </w:t>
      </w:r>
      <w:r w:rsidR="00CE214D" w:rsidRPr="00F64CC0">
        <w:rPr>
          <w:bCs/>
        </w:rPr>
        <w:t xml:space="preserve">ανοσοσφαιρίνης </w:t>
      </w:r>
      <w:r w:rsidR="00CE214D" w:rsidRPr="00F64CC0">
        <w:rPr>
          <w:bCs/>
          <w:lang w:val="en-US"/>
        </w:rPr>
        <w:t>G</w:t>
      </w:r>
      <w:r w:rsidR="0067567B" w:rsidRPr="00F64CC0">
        <w:rPr>
          <w:bCs/>
        </w:rPr>
        <w:t>,</w:t>
      </w:r>
      <w:r w:rsidR="00CE214D" w:rsidRPr="00F64CC0">
        <w:rPr>
          <w:bCs/>
        </w:rPr>
        <w:t xml:space="preserve"> στα φυσιολογικά επίπεδα. </w:t>
      </w:r>
    </w:p>
    <w:p w:rsidR="00975EE8" w:rsidRPr="00F64CC0" w:rsidRDefault="00CE214D" w:rsidP="005E25A8">
      <w:pPr>
        <w:rPr>
          <w:bCs/>
        </w:rPr>
      </w:pPr>
      <w:r w:rsidRPr="00F64CC0">
        <w:rPr>
          <w:bCs/>
        </w:rPr>
        <w:t xml:space="preserve">Ο μηχανισμός δράσης σε ενδείξεις εκτός αυτής της θεραπείας υποκατάστασης δεν έχει πλήρως διευκρινιστεί, αλλά </w:t>
      </w:r>
      <w:r w:rsidR="00360F9E" w:rsidRPr="00F64CC0">
        <w:rPr>
          <w:bCs/>
        </w:rPr>
        <w:t xml:space="preserve">σχετίζεται με την ανοσοτροποποιητική δράση της </w:t>
      </w:r>
      <w:proofErr w:type="spellStart"/>
      <w:r w:rsidR="00360F9E" w:rsidRPr="00F64CC0">
        <w:rPr>
          <w:bCs/>
          <w:lang w:val="en-US"/>
        </w:rPr>
        <w:t>IVI</w:t>
      </w:r>
      <w:r w:rsidR="002C438B" w:rsidRPr="00F64CC0">
        <w:rPr>
          <w:bCs/>
          <w:lang w:val="en-US"/>
        </w:rPr>
        <w:t>g</w:t>
      </w:r>
      <w:proofErr w:type="spellEnd"/>
      <w:r w:rsidR="00D6030F" w:rsidRPr="00F64CC0">
        <w:rPr>
          <w:bCs/>
        </w:rPr>
        <w:t>.</w:t>
      </w:r>
    </w:p>
    <w:p w:rsidR="00AE7B57" w:rsidRPr="00F64CC0" w:rsidRDefault="00AE7B57" w:rsidP="005E25A8">
      <w:pPr>
        <w:rPr>
          <w:bCs/>
        </w:rPr>
      </w:pPr>
    </w:p>
    <w:p w:rsidR="00AE7B57" w:rsidRPr="00F64CC0" w:rsidRDefault="00AE7B57" w:rsidP="005E25A8">
      <w:pPr>
        <w:rPr>
          <w:bCs/>
          <w:u w:val="single"/>
        </w:rPr>
      </w:pPr>
      <w:r w:rsidRPr="00F64CC0">
        <w:rPr>
          <w:bCs/>
          <w:u w:val="single"/>
        </w:rPr>
        <w:t>Παιδιατρικός πληθυσμός</w:t>
      </w:r>
    </w:p>
    <w:p w:rsidR="00AE7B57" w:rsidRPr="00F64CC0" w:rsidRDefault="00AE7B57" w:rsidP="005E25A8">
      <w:pPr>
        <w:rPr>
          <w:bCs/>
        </w:rPr>
      </w:pPr>
      <w:r w:rsidRPr="00F64CC0">
        <w:rPr>
          <w:bCs/>
        </w:rPr>
        <w:t xml:space="preserve">Δημοσιευμένα στοιχεία </w:t>
      </w:r>
      <w:r w:rsidR="00E24E63">
        <w:rPr>
          <w:bCs/>
        </w:rPr>
        <w:t>σχετικά</w:t>
      </w:r>
      <w:r w:rsidRPr="00F64CC0">
        <w:rPr>
          <w:bCs/>
        </w:rPr>
        <w:t xml:space="preserve"> με μελέτες αποτελεσματικότητας και ασφάλειας δεν ανέφεραν σημαντικές διαφορές μεταξύ ενηλίκων και παιδιών που πάσ</w:t>
      </w:r>
      <w:r w:rsidR="006F0D33" w:rsidRPr="00F64CC0">
        <w:rPr>
          <w:bCs/>
        </w:rPr>
        <w:t>χουν από την ίδια διαταραχή</w:t>
      </w:r>
      <w:r w:rsidRPr="00F64CC0">
        <w:rPr>
          <w:bCs/>
        </w:rPr>
        <w:t>.</w:t>
      </w:r>
    </w:p>
    <w:p w:rsidR="00CB26B7" w:rsidRPr="00F64CC0" w:rsidRDefault="00CB26B7" w:rsidP="005E25A8">
      <w:pPr>
        <w:rPr>
          <w:bCs/>
        </w:rPr>
      </w:pPr>
    </w:p>
    <w:p w:rsidR="00CB26B7" w:rsidRPr="00900919" w:rsidRDefault="00CB26B7" w:rsidP="00900919">
      <w:pPr>
        <w:ind w:left="-45"/>
        <w:jc w:val="both"/>
        <w:rPr>
          <w:b/>
          <w:bCs/>
        </w:rPr>
      </w:pPr>
      <w:r w:rsidRPr="00224BEE">
        <w:rPr>
          <w:b/>
          <w:bCs/>
        </w:rPr>
        <w:t xml:space="preserve">Κλινικές μελέτες που διενεργήθηκαν με </w:t>
      </w:r>
      <w:proofErr w:type="spellStart"/>
      <w:r w:rsidRPr="00224BEE">
        <w:rPr>
          <w:b/>
          <w:bCs/>
          <w:lang w:val="en-US"/>
        </w:rPr>
        <w:t>Ig</w:t>
      </w:r>
      <w:proofErr w:type="spellEnd"/>
      <w:r w:rsidRPr="00F64CC0">
        <w:rPr>
          <w:b/>
          <w:bCs/>
        </w:rPr>
        <w:t xml:space="preserve"> </w:t>
      </w:r>
      <w:r w:rsidRPr="00F64CC0">
        <w:rPr>
          <w:b/>
          <w:bCs/>
          <w:lang w:val="en-US"/>
        </w:rPr>
        <w:t>VENA</w:t>
      </w:r>
      <w:r w:rsidRPr="00F64CC0">
        <w:rPr>
          <w:b/>
          <w:bCs/>
        </w:rPr>
        <w:t xml:space="preserve"> σε ασθενείς με Χρόνια Φλεγμονώδη Απομυελινωτική Πολυριζονευροπάθεια (</w:t>
      </w:r>
      <w:r w:rsidR="00674A19">
        <w:rPr>
          <w:b/>
          <w:bCs/>
        </w:rPr>
        <w:t>CIDP</w:t>
      </w:r>
      <w:r w:rsidRPr="00F64CC0">
        <w:rPr>
          <w:b/>
          <w:bCs/>
        </w:rPr>
        <w:t xml:space="preserve">): </w:t>
      </w:r>
    </w:p>
    <w:p w:rsidR="00CB26B7" w:rsidRPr="00900919" w:rsidRDefault="00CB26B7" w:rsidP="00900919">
      <w:pPr>
        <w:jc w:val="both"/>
        <w:rPr>
          <w:bCs/>
        </w:rPr>
      </w:pPr>
      <w:r w:rsidRPr="00F64CC0">
        <w:rPr>
          <w:bCs/>
        </w:rPr>
        <w:t xml:space="preserve">Η διπλή τυφλή, ελεγχόμενη μελέτη φάσης ΙΙΙ για την ασφάλεια και την αποτελεσματικότητα της μακροχρόνιας χορήγησης υψηλών δόσεων </w:t>
      </w:r>
      <w:r w:rsidR="00E24E63">
        <w:rPr>
          <w:bCs/>
        </w:rPr>
        <w:t>ενδοφλέβιων</w:t>
      </w:r>
      <w:r w:rsidR="00E24E63" w:rsidRPr="00F64CC0">
        <w:rPr>
          <w:bCs/>
        </w:rPr>
        <w:t xml:space="preserve"> </w:t>
      </w:r>
      <w:r w:rsidRPr="00F64CC0">
        <w:rPr>
          <w:bCs/>
        </w:rPr>
        <w:t xml:space="preserve">ανοσοσφαιρινών σε σύγκριση με την χορήγηση υψηλών δόσεων </w:t>
      </w:r>
      <w:r w:rsidR="00E24E63" w:rsidRPr="00477FC6">
        <w:rPr>
          <w:bCs/>
        </w:rPr>
        <w:t>ενδοφλέβια</w:t>
      </w:r>
      <w:r w:rsidR="00E24E63">
        <w:rPr>
          <w:bCs/>
        </w:rPr>
        <w:t>ς</w:t>
      </w:r>
      <w:r w:rsidR="00E24E63" w:rsidRPr="00477FC6">
        <w:rPr>
          <w:bCs/>
        </w:rPr>
        <w:t xml:space="preserve"> </w:t>
      </w:r>
      <w:r w:rsidRPr="00F64CC0">
        <w:rPr>
          <w:bCs/>
        </w:rPr>
        <w:t>μεθυλπρεδνιζόνης (</w:t>
      </w:r>
      <w:r w:rsidRPr="00F64CC0">
        <w:rPr>
          <w:bCs/>
          <w:lang w:val="en-GB"/>
        </w:rPr>
        <w:t>IVMP</w:t>
      </w:r>
      <w:r w:rsidRPr="00F64CC0">
        <w:rPr>
          <w:bCs/>
        </w:rPr>
        <w:t xml:space="preserve">) σε </w:t>
      </w:r>
      <w:r w:rsidR="00674A19">
        <w:rPr>
          <w:bCs/>
        </w:rPr>
        <w:t>CIDP</w:t>
      </w:r>
      <w:r w:rsidRPr="00F64CC0">
        <w:rPr>
          <w:lang w:eastAsia="it-IT" w:bidi="ar-JO"/>
        </w:rPr>
        <w:t xml:space="preserve"> </w:t>
      </w:r>
      <w:r w:rsidRPr="00F64CC0">
        <w:rPr>
          <w:bCs/>
        </w:rPr>
        <w:t>(</w:t>
      </w:r>
      <w:r w:rsidRPr="00F64CC0">
        <w:rPr>
          <w:bCs/>
          <w:lang w:val="en-US"/>
        </w:rPr>
        <w:t>KB</w:t>
      </w:r>
      <w:r w:rsidRPr="00F64CC0">
        <w:rPr>
          <w:bCs/>
        </w:rPr>
        <w:t>034),  διεξήχθη σε σύνολο 46 ενηλίκων ασθενών  (</w:t>
      </w:r>
      <w:r w:rsidR="00674A19">
        <w:rPr>
          <w:bCs/>
        </w:rPr>
        <w:t>CIDP</w:t>
      </w:r>
      <w:r w:rsidRPr="00F64CC0">
        <w:rPr>
          <w:bCs/>
        </w:rPr>
        <w:t xml:space="preserve">) </w:t>
      </w:r>
      <w:r w:rsidR="00E24E63">
        <w:rPr>
          <w:bCs/>
        </w:rPr>
        <w:t>οι οποίοι τυχαιοποιήθηκαν για να λάβουν</w:t>
      </w:r>
      <w:r w:rsidRPr="00F64CC0">
        <w:rPr>
          <w:bCs/>
        </w:rPr>
        <w:t xml:space="preserve"> είτε </w:t>
      </w:r>
      <w:proofErr w:type="spellStart"/>
      <w:r w:rsidRPr="00F64CC0">
        <w:rPr>
          <w:bCs/>
          <w:lang w:val="en-US"/>
        </w:rPr>
        <w:t>Ig</w:t>
      </w:r>
      <w:proofErr w:type="spellEnd"/>
      <w:r w:rsidRPr="00F64CC0">
        <w:rPr>
          <w:bCs/>
        </w:rPr>
        <w:t xml:space="preserve"> </w:t>
      </w:r>
      <w:r w:rsidRPr="00F64CC0">
        <w:rPr>
          <w:bCs/>
          <w:lang w:val="en-US"/>
        </w:rPr>
        <w:t>VENA</w:t>
      </w:r>
      <w:r w:rsidRPr="00F64CC0">
        <w:rPr>
          <w:bCs/>
        </w:rPr>
        <w:t xml:space="preserve"> </w:t>
      </w:r>
      <w:r w:rsidR="00982C8E" w:rsidRPr="00F64CC0">
        <w:rPr>
          <w:bCs/>
        </w:rPr>
        <w:lastRenderedPageBreak/>
        <w:t>(</w:t>
      </w:r>
      <w:r w:rsidR="00982C8E">
        <w:rPr>
          <w:bCs/>
        </w:rPr>
        <w:t>δοσολογία:</w:t>
      </w:r>
      <w:r w:rsidRPr="00F64CC0">
        <w:rPr>
          <w:bCs/>
        </w:rPr>
        <w:t> </w:t>
      </w:r>
      <w:r w:rsidR="00982C8E">
        <w:rPr>
          <w:bCs/>
        </w:rPr>
        <w:t>2</w:t>
      </w:r>
      <w:r w:rsidR="00982C8E" w:rsidRPr="00982C8E">
        <w:rPr>
          <w:bCs/>
        </w:rPr>
        <w:t xml:space="preserve"> </w:t>
      </w:r>
      <w:r w:rsidR="00982C8E" w:rsidRPr="00982C8E">
        <w:rPr>
          <w:bCs/>
          <w:lang w:val="en-US"/>
        </w:rPr>
        <w:t>g</w:t>
      </w:r>
      <w:r w:rsidR="00982C8E" w:rsidRPr="00982C8E">
        <w:rPr>
          <w:bCs/>
        </w:rPr>
        <w:t>/</w:t>
      </w:r>
      <w:r w:rsidR="00982C8E" w:rsidRPr="00982C8E">
        <w:rPr>
          <w:bCs/>
          <w:lang w:val="en-US"/>
        </w:rPr>
        <w:t>kg</w:t>
      </w:r>
      <w:r w:rsidR="00982C8E" w:rsidRPr="00982C8E">
        <w:rPr>
          <w:bCs/>
        </w:rPr>
        <w:t>/</w:t>
      </w:r>
      <w:r w:rsidR="00982C8E">
        <w:rPr>
          <w:bCs/>
        </w:rPr>
        <w:t xml:space="preserve">μήνα, σε </w:t>
      </w:r>
      <w:r w:rsidR="00982C8E" w:rsidRPr="00982C8E">
        <w:rPr>
          <w:bCs/>
        </w:rPr>
        <w:t xml:space="preserve">4 διαδοχικές ημέρες </w:t>
      </w:r>
      <w:r w:rsidR="00982C8E">
        <w:rPr>
          <w:bCs/>
        </w:rPr>
        <w:t xml:space="preserve">για 6 μήνες) </w:t>
      </w:r>
      <w:r w:rsidRPr="00982C8E">
        <w:rPr>
          <w:bCs/>
        </w:rPr>
        <w:t>ή  </w:t>
      </w:r>
      <w:r w:rsidRPr="00F64CC0">
        <w:rPr>
          <w:bCs/>
          <w:lang w:val="en-US"/>
        </w:rPr>
        <w:t>IVMP</w:t>
      </w:r>
      <w:r w:rsidRPr="00F64CC0">
        <w:rPr>
          <w:bCs/>
        </w:rPr>
        <w:t xml:space="preserve"> </w:t>
      </w:r>
      <w:r w:rsidR="00982C8E">
        <w:rPr>
          <w:bCs/>
        </w:rPr>
        <w:t>(</w:t>
      </w:r>
      <w:r w:rsidR="00982C8E" w:rsidRPr="00982C8E">
        <w:rPr>
          <w:bCs/>
        </w:rPr>
        <w:t xml:space="preserve">δοσολογία: 2 </w:t>
      </w:r>
      <w:r w:rsidR="00982C8E" w:rsidRPr="00982C8E">
        <w:rPr>
          <w:bCs/>
          <w:lang w:val="en-US"/>
        </w:rPr>
        <w:t>g</w:t>
      </w:r>
      <w:r w:rsidR="00982C8E" w:rsidRPr="00982C8E">
        <w:rPr>
          <w:bCs/>
        </w:rPr>
        <w:t>/μήνα, σε 4 διαδοχικές ημέρες για 6 μήνες</w:t>
      </w:r>
      <w:r w:rsidR="00982C8E">
        <w:rPr>
          <w:bCs/>
        </w:rPr>
        <w:t>)</w:t>
      </w:r>
      <w:r w:rsidRPr="00982C8E">
        <w:rPr>
          <w:bCs/>
        </w:rPr>
        <w:t xml:space="preserve">. </w:t>
      </w:r>
    </w:p>
    <w:p w:rsidR="00CB26B7" w:rsidRPr="00900919" w:rsidRDefault="008551B5" w:rsidP="00900919">
      <w:pPr>
        <w:jc w:val="both"/>
        <w:rPr>
          <w:lang w:eastAsia="it-IT" w:bidi="ar-JO"/>
        </w:rPr>
      </w:pPr>
      <w:r>
        <w:rPr>
          <w:lang w:eastAsia="it-IT" w:bidi="ar-JO"/>
        </w:rPr>
        <w:t>Ο</w:t>
      </w:r>
      <w:r w:rsidRPr="0002016A">
        <w:rPr>
          <w:lang w:eastAsia="it-IT" w:bidi="ar-JO"/>
        </w:rPr>
        <w:t xml:space="preserve">ι 10 </w:t>
      </w:r>
      <w:r>
        <w:rPr>
          <w:lang w:eastAsia="it-IT" w:bidi="ar-JO"/>
        </w:rPr>
        <w:t>α</w:t>
      </w:r>
      <w:r w:rsidRPr="00F64CC0">
        <w:rPr>
          <w:lang w:eastAsia="it-IT" w:bidi="ar-JO"/>
        </w:rPr>
        <w:t xml:space="preserve">πό </w:t>
      </w:r>
      <w:r w:rsidR="00CB26B7" w:rsidRPr="00F64CC0">
        <w:rPr>
          <w:lang w:eastAsia="it-IT" w:bidi="ar-JO"/>
        </w:rPr>
        <w:t>τους 21 ασθενείς που έλαβαν IVMP,  (47.6%) ολοκλήρωσαν την - διάρκειας 6 μηνών - μελέτη, συγκριτικά με τους 21</w:t>
      </w:r>
      <w:r>
        <w:rPr>
          <w:lang w:eastAsia="it-IT" w:bidi="ar-JO"/>
        </w:rPr>
        <w:t>/24</w:t>
      </w:r>
      <w:r w:rsidR="00CB26B7" w:rsidRPr="00F64CC0">
        <w:rPr>
          <w:lang w:eastAsia="it-IT" w:bidi="ar-JO"/>
        </w:rPr>
        <w:t xml:space="preserve"> ασθενείς που </w:t>
      </w:r>
      <w:r>
        <w:rPr>
          <w:lang w:eastAsia="it-IT" w:bidi="ar-JO"/>
        </w:rPr>
        <w:t>έλαβαν</w:t>
      </w:r>
      <w:r w:rsidR="00CB26B7" w:rsidRPr="00F64CC0">
        <w:rPr>
          <w:lang w:eastAsia="it-IT" w:bidi="ar-JO"/>
        </w:rPr>
        <w:t xml:space="preserve"> Ig Vena (87.5%)(p = 0.0085). Η </w:t>
      </w:r>
      <w:r>
        <w:rPr>
          <w:lang w:eastAsia="it-IT" w:bidi="ar-JO"/>
        </w:rPr>
        <w:t>αθροιστική</w:t>
      </w:r>
      <w:r w:rsidR="00CB26B7" w:rsidRPr="00F64CC0">
        <w:rPr>
          <w:lang w:eastAsia="it-IT" w:bidi="ar-JO"/>
        </w:rPr>
        <w:t xml:space="preserve"> πιθανότητα διακοπής της θεραπείας ήταν σημαντικά υψηλότερη στην ομάδα των ασθενών που έλαβε IVMP σε σύγκριση με την ομάδα που χορηγήθηκε  Ig Vena στα διαστήματα των 15 ημερών, 2 μηνών και 6 μηνών.</w:t>
      </w:r>
      <w:r w:rsidR="00CB26B7" w:rsidRPr="00F64CC0">
        <w:t xml:space="preserve"> </w:t>
      </w:r>
      <w:r w:rsidR="00CB26B7" w:rsidRPr="00F64CC0">
        <w:rPr>
          <w:lang w:eastAsia="it-IT" w:bidi="ar-JO"/>
        </w:rPr>
        <w:t xml:space="preserve">Σε σύνολο 11 ασθενών που διέκοψαν τη θεραπεία  με </w:t>
      </w:r>
      <w:r w:rsidR="00CB26B7" w:rsidRPr="00F64CC0">
        <w:rPr>
          <w:lang w:val="en-US" w:eastAsia="it-IT" w:bidi="ar-JO"/>
        </w:rPr>
        <w:t>IVMP</w:t>
      </w:r>
      <w:r w:rsidR="00CB26B7" w:rsidRPr="00F64CC0">
        <w:rPr>
          <w:lang w:eastAsia="it-IT" w:bidi="ar-JO"/>
        </w:rPr>
        <w:t>, οι 8 εμφάνισαν είτε υποτροπή της νόσου μετά την έναρξη της θεραπείας (5 ασθενείς) είτε μη βελτίωση της κατάστασής τους μετά από δύο κύκλους θεραπειών (3 ασθενείς), ενώ ένας ασθενής εμφάνισε παρενέργειες (γαστρίτιδα) (9.1%) και δύο ασθενείς διέκοψαν τη θεραπεία οικειοθελώς (18.2%). Κατά τη θεραπεία με Ig VENA, 3 ασθενείς διέκοψαν τη θεραπεία είτε λόγω υποτροπής της νόσου μετά την έναρξη της θεραπείας (2 ασθενείς) είτε λόγω μη βελτίωσης μετά από δύο κύκλους θεραπείας (1 ασθενής).</w:t>
      </w:r>
      <w:r w:rsidR="00CB26B7" w:rsidRPr="00F64CC0">
        <w:t xml:space="preserve"> </w:t>
      </w:r>
      <w:r w:rsidR="00CB26B7" w:rsidRPr="00F64CC0">
        <w:rPr>
          <w:lang w:eastAsia="it-IT" w:bidi="ar-JO"/>
        </w:rPr>
        <w:t xml:space="preserve">Στους ασθενείς που εμφάνισαν υποτροπή της νόσου ή δεν παρατηρήθηκε βελτίωση μετά τη θεραπεία τους με IVMP ή  IVIg  χορηγήθηκε </w:t>
      </w:r>
      <w:r>
        <w:rPr>
          <w:lang w:eastAsia="it-IT" w:bidi="ar-JO"/>
        </w:rPr>
        <w:t>το εναλλακτικό</w:t>
      </w:r>
      <w:r w:rsidRPr="00F64CC0">
        <w:rPr>
          <w:lang w:eastAsia="it-IT" w:bidi="ar-JO"/>
        </w:rPr>
        <w:t xml:space="preserve"> </w:t>
      </w:r>
      <w:r w:rsidR="00CB26B7" w:rsidRPr="00F64CC0">
        <w:rPr>
          <w:lang w:eastAsia="it-IT" w:bidi="ar-JO"/>
        </w:rPr>
        <w:t>θεραπευτικό σχήμα ενώ οι τρεις ασθενείς που διέκοψαν τη θεραπεία με IVMP λόγω παρενεργειών ή λόγω οικειοθελούς αποχώρησης αρνήθηκαν να υποβληθούν σε άλλη θεραπεία.</w:t>
      </w:r>
    </w:p>
    <w:p w:rsidR="00CB26B7" w:rsidRPr="00F64CC0" w:rsidRDefault="00CB26B7" w:rsidP="00CB26B7">
      <w:pPr>
        <w:rPr>
          <w:lang w:eastAsia="it-IT" w:bidi="ar-JO"/>
        </w:rPr>
      </w:pPr>
      <w:r w:rsidRPr="00F64CC0">
        <w:rPr>
          <w:lang w:eastAsia="it-IT" w:bidi="ar-JO"/>
        </w:rPr>
        <w:t>Τα αποτελέσματα των δευτερευόντων κριτηρίων της μελέτης παρουσιάζονται στον παρακάτω</w:t>
      </w:r>
      <w:r w:rsidRPr="00F64CC0">
        <w:rPr>
          <w:color w:val="002060"/>
          <w:lang w:eastAsia="it-IT" w:bidi="ar-JO"/>
        </w:rPr>
        <w:t xml:space="preserve"> </w:t>
      </w:r>
      <w:r w:rsidRPr="00F64CC0">
        <w:rPr>
          <w:lang w:eastAsia="it-IT" w:bidi="ar-JO"/>
        </w:rPr>
        <w:t xml:space="preserve">πίνακα (οι </w:t>
      </w:r>
      <w:r w:rsidR="008551B5" w:rsidRPr="00F64CC0">
        <w:rPr>
          <w:lang w:eastAsia="it-IT" w:bidi="ar-JO"/>
        </w:rPr>
        <w:t>στατιστικ</w:t>
      </w:r>
      <w:r w:rsidR="008551B5">
        <w:rPr>
          <w:lang w:eastAsia="it-IT" w:bidi="ar-JO"/>
        </w:rPr>
        <w:t>ά</w:t>
      </w:r>
      <w:r w:rsidR="008551B5" w:rsidRPr="00F64CC0">
        <w:rPr>
          <w:lang w:eastAsia="it-IT" w:bidi="ar-JO"/>
        </w:rPr>
        <w:t xml:space="preserve"> σημαντικ</w:t>
      </w:r>
      <w:r w:rsidR="008551B5">
        <w:rPr>
          <w:lang w:eastAsia="it-IT" w:bidi="ar-JO"/>
        </w:rPr>
        <w:t>ές</w:t>
      </w:r>
      <w:r w:rsidR="008551B5" w:rsidRPr="00F64CC0">
        <w:rPr>
          <w:lang w:eastAsia="it-IT" w:bidi="ar-JO"/>
        </w:rPr>
        <w:t xml:space="preserve"> </w:t>
      </w:r>
      <w:r w:rsidRPr="00F64CC0">
        <w:rPr>
          <w:lang w:eastAsia="it-IT" w:bidi="ar-JO"/>
        </w:rPr>
        <w:t>διαφορές παρουσιάζονται με έντονη επισήμανση)</w:t>
      </w:r>
    </w:p>
    <w:p w:rsidR="00CB26B7" w:rsidRPr="00F64CC0" w:rsidRDefault="00CB26B7" w:rsidP="00CB26B7">
      <w:pPr>
        <w:rPr>
          <w:lang w:eastAsia="it-IT" w:bidi="ar-JO"/>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500"/>
        <w:gridCol w:w="1483"/>
        <w:gridCol w:w="1130"/>
        <w:gridCol w:w="836"/>
        <w:gridCol w:w="1605"/>
        <w:gridCol w:w="1210"/>
        <w:gridCol w:w="883"/>
      </w:tblGrid>
      <w:tr w:rsidR="00995572" w:rsidRPr="00995572" w:rsidTr="0054043E">
        <w:trPr>
          <w:trHeight w:val="34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ind w:left="709"/>
              <w:rPr>
                <w:rFonts w:eastAsia="Calibri"/>
                <w:lang w:eastAsia="en-US" w:bidi="ar-JO"/>
              </w:rPr>
            </w:pPr>
          </w:p>
        </w:tc>
        <w:tc>
          <w:tcPr>
            <w:tcW w:w="0" w:type="auto"/>
            <w:gridSpan w:val="3"/>
            <w:tcBorders>
              <w:top w:val="outset" w:sz="6" w:space="0" w:color="auto"/>
              <w:left w:val="outset" w:sz="6" w:space="0" w:color="auto"/>
              <w:bottom w:val="outset" w:sz="6" w:space="0" w:color="auto"/>
              <w:right w:val="outset" w:sz="6" w:space="0" w:color="auto"/>
            </w:tcBorders>
          </w:tcPr>
          <w:p w:rsidR="00CB26B7" w:rsidRPr="00F64CC0" w:rsidRDefault="00CB26B7" w:rsidP="009969F8">
            <w:pPr>
              <w:spacing w:line="276" w:lineRule="auto"/>
              <w:jc w:val="center"/>
              <w:rPr>
                <w:rFonts w:eastAsia="Calibri"/>
                <w:b/>
                <w:lang w:eastAsia="en-US" w:bidi="ar-JO"/>
              </w:rPr>
            </w:pPr>
            <w:r w:rsidRPr="00995572">
              <w:rPr>
                <w:rFonts w:eastAsia="Calibri"/>
                <w:b/>
                <w:bCs/>
                <w:i/>
                <w:iCs/>
                <w:lang w:eastAsia="en-US" w:bidi="ar-JO"/>
              </w:rPr>
              <w:t xml:space="preserve">Πληθυσμός </w:t>
            </w:r>
            <w:r w:rsidR="009969F8" w:rsidRPr="00995572">
              <w:rPr>
                <w:rFonts w:eastAsia="Calibri"/>
                <w:b/>
                <w:bCs/>
                <w:i/>
                <w:iCs/>
                <w:lang w:eastAsia="en-US" w:bidi="ar-JO"/>
              </w:rPr>
              <w:t xml:space="preserve">με </w:t>
            </w:r>
            <w:r w:rsidRPr="00995572">
              <w:rPr>
                <w:rFonts w:eastAsia="Calibri"/>
                <w:b/>
                <w:bCs/>
                <w:i/>
                <w:iCs/>
                <w:lang w:eastAsia="en-US" w:bidi="ar-JO"/>
              </w:rPr>
              <w:t>πρόθεση θεραπεία</w:t>
            </w:r>
            <w:r w:rsidR="009969F8" w:rsidRPr="00995572">
              <w:rPr>
                <w:rFonts w:eastAsia="Calibri"/>
                <w:b/>
                <w:bCs/>
                <w:i/>
                <w:iCs/>
                <w:lang w:eastAsia="en-US" w:bidi="ar-JO"/>
              </w:rPr>
              <w:t>ς</w:t>
            </w:r>
            <w:r w:rsidRPr="00995572">
              <w:rPr>
                <w:rFonts w:eastAsia="Calibri"/>
                <w:b/>
                <w:bCs/>
                <w:i/>
                <w:iCs/>
                <w:lang w:eastAsia="en-US" w:bidi="ar-JO"/>
              </w:rPr>
              <w:t xml:space="preserve"> (</w:t>
            </w:r>
            <w:r w:rsidRPr="00F64CC0">
              <w:rPr>
                <w:rFonts w:eastAsia="Calibri"/>
                <w:b/>
                <w:bCs/>
                <w:i/>
                <w:iCs/>
                <w:lang w:val="en-US" w:eastAsia="en-US" w:bidi="ar-JO"/>
              </w:rPr>
              <w:t>ITT</w:t>
            </w:r>
            <w:r w:rsidRPr="00F64CC0">
              <w:rPr>
                <w:rFonts w:eastAsia="Calibri"/>
                <w:b/>
                <w:bCs/>
                <w:i/>
                <w:iCs/>
                <w:lang w:eastAsia="en-US" w:bidi="ar-JO"/>
              </w:rPr>
              <w:t>)</w:t>
            </w:r>
          </w:p>
        </w:tc>
        <w:tc>
          <w:tcPr>
            <w:tcW w:w="0" w:type="auto"/>
            <w:gridSpan w:val="3"/>
            <w:tcBorders>
              <w:top w:val="outset" w:sz="6" w:space="0" w:color="auto"/>
              <w:left w:val="outset" w:sz="6" w:space="0" w:color="auto"/>
              <w:bottom w:val="outset" w:sz="6" w:space="0" w:color="auto"/>
              <w:right w:val="outset" w:sz="6" w:space="0" w:color="auto"/>
            </w:tcBorders>
          </w:tcPr>
          <w:p w:rsidR="00CB26B7" w:rsidRPr="00995572" w:rsidRDefault="00CB26B7" w:rsidP="00995572">
            <w:pPr>
              <w:spacing w:line="276" w:lineRule="auto"/>
              <w:jc w:val="center"/>
              <w:rPr>
                <w:rFonts w:eastAsia="Calibri"/>
                <w:b/>
                <w:i/>
                <w:lang w:eastAsia="en-US" w:bidi="ar-JO"/>
              </w:rPr>
            </w:pPr>
            <w:r w:rsidRPr="0074032D">
              <w:rPr>
                <w:rFonts w:eastAsia="Calibri"/>
                <w:b/>
                <w:bCs/>
                <w:i/>
                <w:iCs/>
                <w:lang w:eastAsia="en-US" w:bidi="ar-JO"/>
              </w:rPr>
              <w:t xml:space="preserve">Πληθυσμός </w:t>
            </w:r>
            <w:r w:rsidR="00995572" w:rsidRPr="0074032D">
              <w:rPr>
                <w:rFonts w:eastAsia="Calibri"/>
                <w:b/>
                <w:bCs/>
                <w:i/>
                <w:iCs/>
                <w:lang w:eastAsia="en-US" w:bidi="ar-JO"/>
              </w:rPr>
              <w:t xml:space="preserve">που συμμορφώθηκε με </w:t>
            </w:r>
            <w:r w:rsidR="009969F8" w:rsidRPr="0074032D">
              <w:rPr>
                <w:rFonts w:eastAsia="Calibri"/>
                <w:b/>
                <w:bCs/>
                <w:i/>
                <w:iCs/>
                <w:lang w:eastAsia="en-US" w:bidi="ar-JO"/>
              </w:rPr>
              <w:t xml:space="preserve"> το </w:t>
            </w:r>
            <w:r w:rsidRPr="0074032D">
              <w:rPr>
                <w:rFonts w:eastAsia="Calibri"/>
                <w:b/>
                <w:bCs/>
                <w:i/>
                <w:iCs/>
                <w:lang w:eastAsia="en-US" w:bidi="ar-JO"/>
              </w:rPr>
              <w:t xml:space="preserve"> πρωτόκολλο</w:t>
            </w:r>
            <w:r w:rsidRPr="00995572">
              <w:rPr>
                <w:rFonts w:eastAsia="Calibri"/>
                <w:b/>
                <w:bCs/>
                <w:i/>
                <w:iCs/>
                <w:lang w:eastAsia="en-US" w:bidi="ar-JO"/>
              </w:rPr>
              <w:t xml:space="preserve"> (</w:t>
            </w:r>
            <w:r w:rsidRPr="00F64CC0">
              <w:rPr>
                <w:rFonts w:eastAsia="Calibri"/>
                <w:b/>
                <w:bCs/>
                <w:i/>
                <w:iCs/>
                <w:lang w:val="en-US" w:eastAsia="en-US" w:bidi="ar-JO"/>
              </w:rPr>
              <w:t>PP</w:t>
            </w:r>
            <w:r w:rsidRPr="00995572">
              <w:rPr>
                <w:rFonts w:eastAsia="Calibri"/>
                <w:b/>
                <w:bCs/>
                <w:i/>
                <w:iCs/>
                <w:lang w:eastAsia="en-US" w:bidi="ar-JO"/>
              </w:rPr>
              <w:t>)</w:t>
            </w:r>
          </w:p>
        </w:tc>
      </w:tr>
      <w:tr w:rsidR="00995572" w:rsidRPr="00F64CC0" w:rsidTr="0054043E">
        <w:trPr>
          <w:trHeight w:val="34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jc w:val="center"/>
              <w:rPr>
                <w:rFonts w:eastAsia="Calibri"/>
                <w:b/>
                <w:lang w:eastAsia="en-US" w:bidi="ar-JO"/>
              </w:rPr>
            </w:pPr>
            <w:r w:rsidRPr="00F64CC0">
              <w:rPr>
                <w:rFonts w:eastAsia="Calibri"/>
                <w:b/>
                <w:lang w:eastAsia="en-US" w:bidi="ar-JO"/>
              </w:rPr>
              <w:t>Δευτερεύοντα κριτήρια αξιολόγησης</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jc w:val="center"/>
              <w:rPr>
                <w:rFonts w:eastAsia="Calibri"/>
                <w:b/>
                <w:iCs/>
                <w:lang w:val="it-IT" w:eastAsia="en-US" w:bidi="ar-JO"/>
              </w:rPr>
            </w:pPr>
            <w:r w:rsidRPr="00F64CC0">
              <w:rPr>
                <w:rFonts w:eastAsia="Calibri"/>
                <w:b/>
                <w:iCs/>
                <w:lang w:val="it-IT" w:eastAsia="en-US" w:bidi="ar-JO"/>
              </w:rPr>
              <w:t>IgVENA</w:t>
            </w:r>
            <w:r w:rsidRPr="00F64CC0">
              <w:rPr>
                <w:rFonts w:eastAsia="Calibri"/>
                <w:b/>
                <w:iCs/>
                <w:vertAlign w:val="superscript"/>
                <w:lang w:val="it-IT" w:eastAsia="en-US" w:bidi="ar-JO"/>
              </w:rPr>
              <w:t>®</w:t>
            </w:r>
            <w:r w:rsidRPr="00F64CC0">
              <w:rPr>
                <w:rFonts w:eastAsia="Calibri"/>
                <w:b/>
                <w:iCs/>
                <w:lang w:val="it-IT" w:eastAsia="en-US" w:bidi="ar-JO"/>
              </w:rPr>
              <w:t xml:space="preserve"> 10 g/200 ml</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jc w:val="center"/>
              <w:rPr>
                <w:rFonts w:eastAsia="Calibri"/>
                <w:b/>
                <w:lang w:val="it-IT" w:eastAsia="en-US" w:bidi="ar-JO"/>
              </w:rPr>
            </w:pPr>
            <w:r w:rsidRPr="00F64CC0">
              <w:rPr>
                <w:rFonts w:eastAsia="Calibri"/>
                <w:b/>
                <w:lang w:val="it-IT" w:eastAsia="en-US" w:bidi="ar-JO"/>
              </w:rPr>
              <w:t>MPIV</w:t>
            </w:r>
          </w:p>
        </w:tc>
        <w:tc>
          <w:tcPr>
            <w:tcW w:w="0" w:type="auto"/>
            <w:tcBorders>
              <w:top w:val="outset" w:sz="6" w:space="0" w:color="auto"/>
              <w:left w:val="outset" w:sz="6" w:space="0" w:color="auto"/>
              <w:bottom w:val="outset" w:sz="6" w:space="0" w:color="auto"/>
              <w:right w:val="outset" w:sz="6" w:space="0" w:color="auto"/>
            </w:tcBorders>
            <w:hideMark/>
          </w:tcPr>
          <w:p w:rsidR="00CB26B7" w:rsidRPr="005D7DC9" w:rsidRDefault="00CB26B7" w:rsidP="0054043E">
            <w:pPr>
              <w:spacing w:line="276" w:lineRule="auto"/>
              <w:jc w:val="center"/>
              <w:rPr>
                <w:rFonts w:eastAsia="Calibri"/>
                <w:b/>
                <w:lang w:val="en-US" w:eastAsia="en-US" w:bidi="ar-JO"/>
              </w:rPr>
            </w:pPr>
            <w:r w:rsidRPr="00F64CC0">
              <w:rPr>
                <w:rFonts w:eastAsia="Calibri"/>
                <w:b/>
                <w:lang w:val="it-IT" w:eastAsia="en-US" w:bidi="ar-JO"/>
              </w:rPr>
              <w:t>p</w:t>
            </w:r>
            <w:r w:rsidR="005D7DC9">
              <w:rPr>
                <w:rFonts w:eastAsia="Calibri"/>
                <w:b/>
                <w:lang w:eastAsia="en-US" w:bidi="ar-JO"/>
              </w:rPr>
              <w:t>-</w:t>
            </w:r>
            <w:r w:rsidR="005D7DC9">
              <w:rPr>
                <w:rFonts w:eastAsia="Calibri"/>
                <w:b/>
                <w:lang w:val="en-US" w:eastAsia="en-US" w:bidi="ar-JO"/>
              </w:rPr>
              <w:t>value</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jc w:val="center"/>
              <w:rPr>
                <w:rFonts w:eastAsia="Calibri"/>
                <w:b/>
                <w:iCs/>
                <w:lang w:val="it-IT" w:eastAsia="en-US" w:bidi="ar-JO"/>
              </w:rPr>
            </w:pPr>
            <w:r w:rsidRPr="00F64CC0">
              <w:rPr>
                <w:rFonts w:eastAsia="Calibri"/>
                <w:b/>
                <w:iCs/>
                <w:lang w:val="it-IT" w:eastAsia="en-US" w:bidi="ar-JO"/>
              </w:rPr>
              <w:t>IgVENA</w:t>
            </w:r>
            <w:r w:rsidRPr="00F64CC0">
              <w:rPr>
                <w:rFonts w:eastAsia="Calibri"/>
                <w:b/>
                <w:iCs/>
                <w:vertAlign w:val="superscript"/>
                <w:lang w:val="it-IT" w:eastAsia="en-US" w:bidi="ar-JO"/>
              </w:rPr>
              <w:t>®</w:t>
            </w:r>
            <w:r w:rsidRPr="00F64CC0">
              <w:rPr>
                <w:rFonts w:eastAsia="Calibri"/>
                <w:b/>
                <w:iCs/>
                <w:lang w:val="it-IT" w:eastAsia="en-US" w:bidi="ar-JO"/>
              </w:rPr>
              <w:t xml:space="preserve"> 10 g/200 ml</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jc w:val="center"/>
              <w:rPr>
                <w:rFonts w:eastAsia="Calibri"/>
                <w:b/>
                <w:lang w:val="it-IT" w:eastAsia="en-US" w:bidi="ar-JO"/>
              </w:rPr>
            </w:pPr>
            <w:r w:rsidRPr="00F64CC0">
              <w:rPr>
                <w:rFonts w:eastAsia="Calibri"/>
                <w:b/>
                <w:lang w:val="it-IT" w:eastAsia="en-US" w:bidi="ar-JO"/>
              </w:rPr>
              <w:t>MPIV</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jc w:val="center"/>
              <w:rPr>
                <w:rFonts w:eastAsia="Calibri"/>
                <w:b/>
                <w:lang w:eastAsia="en-US" w:bidi="ar-JO"/>
              </w:rPr>
            </w:pPr>
            <w:r w:rsidRPr="00F64CC0">
              <w:rPr>
                <w:rFonts w:eastAsia="Calibri"/>
                <w:b/>
                <w:lang w:val="it-IT" w:eastAsia="en-US" w:bidi="ar-JO"/>
              </w:rPr>
              <w:t>p</w:t>
            </w:r>
            <w:r w:rsidR="005D7DC9">
              <w:rPr>
                <w:rFonts w:eastAsia="Calibri"/>
                <w:b/>
                <w:lang w:val="it-IT" w:eastAsia="en-US" w:bidi="ar-JO"/>
              </w:rPr>
              <w:t>-value</w:t>
            </w:r>
          </w:p>
        </w:tc>
      </w:tr>
      <w:tr w:rsidR="00995572" w:rsidRPr="00F64CC0" w:rsidTr="0054043E">
        <w:trPr>
          <w:trHeight w:val="34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D7DC9">
            <w:pPr>
              <w:spacing w:line="276" w:lineRule="auto"/>
              <w:rPr>
                <w:rFonts w:eastAsia="Calibri"/>
                <w:lang w:val="en-US" w:eastAsia="en-US" w:bidi="ar-JO"/>
              </w:rPr>
            </w:pPr>
            <w:r w:rsidRPr="00F64CC0">
              <w:t>Συχνότητα υποτροπής</w:t>
            </w:r>
            <w:r w:rsidRPr="00F64CC0">
              <w:rPr>
                <w:lang w:val="en-US"/>
              </w:rPr>
              <w:t>*</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45.8%</w:t>
            </w:r>
          </w:p>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(n 11/24)</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52.4%</w:t>
            </w:r>
          </w:p>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(n 11/21)</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0.7683</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38.1%</w:t>
            </w:r>
          </w:p>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(n 8/21)</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0%</w:t>
            </w:r>
          </w:p>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(n 0/10)</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b/>
                <w:lang w:val="it-IT" w:eastAsia="en-US"/>
              </w:rPr>
            </w:pPr>
            <w:r w:rsidRPr="00F64CC0">
              <w:rPr>
                <w:rFonts w:eastAsia="Calibri"/>
                <w:b/>
                <w:lang w:val="it-IT" w:eastAsia="en-US"/>
              </w:rPr>
              <w:t>0.0317</w:t>
            </w:r>
          </w:p>
        </w:tc>
      </w:tr>
      <w:tr w:rsidR="00995572" w:rsidRPr="00F64CC0" w:rsidTr="0054043E">
        <w:trPr>
          <w:trHeight w:val="3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F64CC0">
            <w:pPr>
              <w:spacing w:line="276" w:lineRule="auto"/>
              <w:rPr>
                <w:rFonts w:eastAsia="Calibri"/>
                <w:lang w:eastAsia="en-US" w:bidi="ar-JO"/>
              </w:rPr>
            </w:pPr>
            <w:r w:rsidRPr="00F64CC0">
              <w:rPr>
                <w:rFonts w:eastAsia="Calibri"/>
                <w:lang w:eastAsia="en-US" w:bidi="ar-JO"/>
              </w:rPr>
              <w:t xml:space="preserve">Συνολική βαθμολογία δείκτη </w:t>
            </w:r>
            <w:r w:rsidRPr="00F64CC0">
              <w:rPr>
                <w:rFonts w:eastAsia="Calibri"/>
                <w:lang w:val="it-IT" w:eastAsia="en-US" w:bidi="ar-JO"/>
              </w:rPr>
              <w:t>MRC</w:t>
            </w:r>
            <w:r w:rsidRPr="00F64CC0">
              <w:rPr>
                <w:rFonts w:eastAsia="Calibri"/>
                <w:lang w:eastAsia="en-US" w:bidi="ar-JO"/>
              </w:rPr>
              <w:t xml:space="preserve"> [</w:t>
            </w:r>
            <w:r w:rsidR="00982C8E">
              <w:rPr>
                <w:rFonts w:eastAsia="Calibri"/>
                <w:lang w:val="en-US" w:eastAsia="en-US" w:bidi="ar-JO"/>
              </w:rPr>
              <w:t>delta</w:t>
            </w:r>
            <w:r w:rsidR="00982C8E" w:rsidRPr="00F64CC0">
              <w:rPr>
                <w:rFonts w:eastAsia="Calibri"/>
                <w:lang w:eastAsia="en-US" w:bidi="ar-JO"/>
              </w:rPr>
              <w:t xml:space="preserve"> </w:t>
            </w:r>
            <w:r w:rsidRPr="00F64CC0">
              <w:rPr>
                <w:rFonts w:eastAsia="Calibri"/>
                <w:lang w:eastAsia="en-US" w:bidi="ar-JO"/>
              </w:rPr>
              <w:t>(</w:t>
            </w:r>
            <w:r w:rsidRPr="00F64CC0">
              <w:rPr>
                <w:rFonts w:eastAsia="Calibri"/>
                <w:lang w:val="it-IT" w:eastAsia="en-US" w:bidi="ar-JO"/>
              </w:rPr>
              <w:t>p</w:t>
            </w:r>
            <w:r w:rsidR="00982C8E" w:rsidRPr="00F64CC0">
              <w:rPr>
                <w:rFonts w:eastAsia="Calibri"/>
                <w:lang w:eastAsia="en-US" w:bidi="ar-JO"/>
              </w:rPr>
              <w:t>-</w:t>
            </w:r>
            <w:r w:rsidR="00982C8E">
              <w:rPr>
                <w:rFonts w:eastAsia="Calibri"/>
                <w:lang w:val="en-US" w:eastAsia="en-US" w:bidi="ar-JO"/>
              </w:rPr>
              <w:t>value</w:t>
            </w:r>
            <w:r w:rsidRPr="00F64CC0">
              <w:rPr>
                <w:rFonts w:eastAsia="Calibri"/>
                <w:lang w:eastAsia="en-US" w:bidi="ar-J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+4.7 (</w:t>
            </w:r>
            <w:r w:rsidRPr="00F64CC0">
              <w:rPr>
                <w:rFonts w:eastAsia="Calibri"/>
                <w:b/>
                <w:lang w:val="en-US" w:eastAsia="en-US" w:bidi="ar-JO"/>
              </w:rPr>
              <w:t>0.0078</w:t>
            </w:r>
            <w:r w:rsidRPr="00F64CC0">
              <w:rPr>
                <w:rFonts w:eastAsia="Calibri"/>
                <w:lang w:val="en-US" w:eastAsia="en-US" w:bidi="ar-JO"/>
              </w:rPr>
              <w:t>)</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+1.8 (0.1250)</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0.6148</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GB" w:eastAsia="en-US" w:bidi="ar-JO"/>
              </w:rPr>
            </w:pPr>
            <w:r w:rsidRPr="00F64CC0">
              <w:rPr>
                <w:rFonts w:eastAsia="Calibri"/>
                <w:lang w:val="en-US" w:eastAsia="en-US" w:bidi="ar-JO"/>
              </w:rPr>
              <w:t>+4.0 (</w:t>
            </w:r>
            <w:r w:rsidRPr="00F64CC0">
              <w:rPr>
                <w:rFonts w:eastAsia="Calibri"/>
                <w:b/>
                <w:lang w:val="en-US" w:eastAsia="en-US" w:bidi="ar-JO"/>
              </w:rPr>
              <w:t>0.0469</w:t>
            </w:r>
            <w:r w:rsidRPr="00F64CC0">
              <w:rPr>
                <w:rFonts w:eastAsia="Calibri"/>
                <w:lang w:val="en-US" w:eastAsia="en-US" w:bidi="ar-JO"/>
              </w:rPr>
              <w:t>)</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GB" w:eastAsia="en-US" w:bidi="ar-JO"/>
              </w:rPr>
            </w:pPr>
            <w:r w:rsidRPr="00F64CC0">
              <w:rPr>
                <w:rFonts w:eastAsia="Calibri"/>
                <w:lang w:val="en-US" w:eastAsia="en-US" w:bidi="ar-JO"/>
              </w:rPr>
              <w:t>+2.0 (0.5000)</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GB" w:eastAsia="en-US" w:bidi="ar-JO"/>
              </w:rPr>
            </w:pPr>
            <w:r w:rsidRPr="00F64CC0">
              <w:rPr>
                <w:rFonts w:eastAsia="Calibri"/>
                <w:lang w:val="it-IT" w:eastAsia="en-US"/>
              </w:rPr>
              <w:t>0.5473</w:t>
            </w:r>
          </w:p>
        </w:tc>
      </w:tr>
      <w:tr w:rsidR="00995572" w:rsidRPr="00F64CC0" w:rsidTr="0054043E">
        <w:trPr>
          <w:trHeight w:val="3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F64CC0">
            <w:pPr>
              <w:spacing w:line="276" w:lineRule="auto"/>
              <w:rPr>
                <w:rFonts w:eastAsia="Calibri"/>
                <w:lang w:val="en-US" w:eastAsia="en-US" w:bidi="ar-JO"/>
              </w:rPr>
            </w:pPr>
            <w:r w:rsidRPr="00F64CC0">
              <w:rPr>
                <w:rFonts w:eastAsia="Calibri"/>
                <w:lang w:eastAsia="en-US" w:bidi="ar-JO"/>
              </w:rPr>
              <w:t xml:space="preserve">Βαθμίδα </w:t>
            </w:r>
            <w:r w:rsidRPr="00F64CC0">
              <w:rPr>
                <w:rFonts w:eastAsia="Calibri"/>
                <w:lang w:val="en-US" w:eastAsia="en-US" w:bidi="ar-JO"/>
              </w:rPr>
              <w:t>INCAT (p</w:t>
            </w:r>
            <w:r w:rsidR="00982C8E">
              <w:rPr>
                <w:rFonts w:eastAsia="Calibri"/>
                <w:lang w:val="en-US" w:eastAsia="en-US" w:bidi="ar-JO"/>
              </w:rPr>
              <w:t>-value</w:t>
            </w:r>
            <w:r w:rsidRPr="00F64CC0">
              <w:rPr>
                <w:rFonts w:eastAsia="Calibri"/>
                <w:lang w:val="en-US" w:eastAsia="en-US" w:bidi="ar-JO"/>
              </w:rPr>
              <w:t>)</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b/>
                <w:lang w:val="en-US" w:eastAsia="en-US" w:bidi="ar-JO"/>
              </w:rPr>
            </w:pPr>
            <w:r w:rsidRPr="00F64CC0">
              <w:rPr>
                <w:rFonts w:eastAsia="Calibri"/>
                <w:b/>
                <w:lang w:val="en-US" w:eastAsia="en-US" w:bidi="ar-JO"/>
              </w:rPr>
              <w:t>0.0004</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0.1877</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0.3444</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b/>
                <w:lang w:val="en-US" w:eastAsia="en-US" w:bidi="ar-JO"/>
              </w:rPr>
            </w:pPr>
            <w:r w:rsidRPr="00F64CC0">
              <w:rPr>
                <w:rFonts w:eastAsia="Calibri"/>
                <w:b/>
                <w:lang w:val="en-US" w:eastAsia="en-US" w:bidi="ar-JO"/>
              </w:rPr>
              <w:t>0.0057</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0.2622</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US" w:eastAsia="en-US" w:bidi="ar-JO"/>
              </w:rPr>
            </w:pPr>
            <w:r w:rsidRPr="00F64CC0">
              <w:rPr>
                <w:rFonts w:eastAsia="Calibri"/>
                <w:lang w:val="it-IT" w:eastAsia="en-US"/>
              </w:rPr>
              <w:t>0.9065</w:t>
            </w:r>
          </w:p>
        </w:tc>
      </w:tr>
      <w:tr w:rsidR="00995572" w:rsidRPr="00F64CC0" w:rsidTr="0054043E">
        <w:trPr>
          <w:trHeight w:val="3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F64CC0">
            <w:pPr>
              <w:spacing w:line="276" w:lineRule="auto"/>
              <w:rPr>
                <w:rFonts w:eastAsia="Calibri"/>
                <w:lang w:eastAsia="en-US" w:bidi="ar-JO"/>
              </w:rPr>
            </w:pPr>
            <w:r w:rsidRPr="00F64CC0">
              <w:rPr>
                <w:rFonts w:eastAsia="Calibri"/>
                <w:lang w:eastAsia="en-US" w:bidi="ar-JO"/>
              </w:rPr>
              <w:t>Βαθμολογία περιστροφής- Έσω σφύρα (</w:t>
            </w:r>
            <w:r w:rsidRPr="00F64CC0">
              <w:rPr>
                <w:rFonts w:eastAsia="Calibri"/>
                <w:lang w:val="en-US" w:eastAsia="en-US" w:bidi="ar-JO"/>
              </w:rPr>
              <w:t>p</w:t>
            </w:r>
            <w:r w:rsidR="00982C8E" w:rsidRPr="00F64CC0">
              <w:rPr>
                <w:rFonts w:eastAsia="Calibri"/>
                <w:lang w:eastAsia="en-US" w:bidi="ar-JO"/>
              </w:rPr>
              <w:t>-</w:t>
            </w:r>
            <w:r w:rsidR="00982C8E">
              <w:rPr>
                <w:rFonts w:eastAsia="Calibri"/>
                <w:lang w:val="en-US" w:eastAsia="en-US" w:bidi="ar-JO"/>
              </w:rPr>
              <w:t>value</w:t>
            </w:r>
            <w:r w:rsidRPr="00F64CC0">
              <w:rPr>
                <w:rFonts w:eastAsia="Calibri"/>
                <w:lang w:eastAsia="en-US" w:bidi="ar-JO"/>
              </w:rPr>
              <w:t>)</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&lt;0.0001</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0.6515</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b/>
                <w:lang w:val="en-US" w:eastAsia="en-US" w:bidi="ar-JO"/>
              </w:rPr>
            </w:pPr>
            <w:r w:rsidRPr="00F64CC0">
              <w:rPr>
                <w:rFonts w:eastAsia="Calibri"/>
                <w:b/>
                <w:lang w:val="en-US" w:eastAsia="en-US" w:bidi="ar-JO"/>
              </w:rPr>
              <w:t>0.0380</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b/>
                <w:lang w:val="en-GB" w:eastAsia="en-US" w:bidi="ar-JO"/>
              </w:rPr>
            </w:pPr>
            <w:r w:rsidRPr="00F64CC0">
              <w:rPr>
                <w:rFonts w:eastAsia="Calibri"/>
                <w:b/>
                <w:lang w:val="it-IT" w:eastAsia="en-US" w:bidi="ar-JO"/>
              </w:rPr>
              <w:t>0.0009</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GB" w:eastAsia="en-US" w:bidi="ar-JO"/>
              </w:rPr>
            </w:pPr>
            <w:r w:rsidRPr="00F64CC0">
              <w:rPr>
                <w:rFonts w:eastAsia="Calibri"/>
                <w:lang w:val="it-IT" w:eastAsia="en-US" w:bidi="ar-JO"/>
              </w:rPr>
              <w:t>0.2160</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GB" w:eastAsia="en-US" w:bidi="ar-JO"/>
              </w:rPr>
            </w:pPr>
            <w:r w:rsidRPr="00F64CC0">
              <w:rPr>
                <w:rFonts w:eastAsia="Calibri"/>
                <w:lang w:val="it-IT" w:eastAsia="en-US"/>
              </w:rPr>
              <w:t>0.4051</w:t>
            </w:r>
          </w:p>
        </w:tc>
      </w:tr>
      <w:tr w:rsidR="00995572" w:rsidRPr="00F64CC0" w:rsidTr="0054043E">
        <w:trPr>
          <w:trHeight w:val="3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0B7F56">
            <w:pPr>
              <w:spacing w:line="276" w:lineRule="auto"/>
              <w:rPr>
                <w:rFonts w:eastAsia="Calibri"/>
                <w:lang w:eastAsia="en-US" w:bidi="ar-JO"/>
              </w:rPr>
            </w:pPr>
            <w:r w:rsidRPr="00F64CC0">
              <w:rPr>
                <w:rFonts w:eastAsia="Calibri"/>
                <w:lang w:eastAsia="en-US" w:bidi="ar-JO"/>
              </w:rPr>
              <w:t>Δύναμη δεξιάς γροθιάς [δέλτα (</w:t>
            </w:r>
            <w:r w:rsidRPr="00F64CC0">
              <w:rPr>
                <w:rFonts w:eastAsia="Calibri"/>
                <w:lang w:val="en-US" w:eastAsia="en-US" w:bidi="ar-JO"/>
              </w:rPr>
              <w:t>p</w:t>
            </w:r>
            <w:r w:rsidR="00982C8E" w:rsidRPr="00F64CC0">
              <w:rPr>
                <w:rFonts w:eastAsia="Calibri"/>
                <w:lang w:eastAsia="en-US" w:bidi="ar-JO"/>
              </w:rPr>
              <w:t>-</w:t>
            </w:r>
            <w:r w:rsidR="00982C8E">
              <w:rPr>
                <w:rFonts w:eastAsia="Calibri"/>
                <w:lang w:val="en-US" w:eastAsia="en-US" w:bidi="ar-JO"/>
              </w:rPr>
              <w:t>v</w:t>
            </w:r>
            <w:r w:rsidR="000B7F56">
              <w:rPr>
                <w:rFonts w:eastAsia="Calibri"/>
                <w:lang w:val="en-US" w:eastAsia="en-US" w:bidi="ar-JO"/>
              </w:rPr>
              <w:t>alue</w:t>
            </w:r>
            <w:r w:rsidRPr="00F64CC0">
              <w:rPr>
                <w:rFonts w:eastAsia="Calibri"/>
                <w:lang w:eastAsia="en-US" w:bidi="ar-JO"/>
              </w:rPr>
              <w:t>)]</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+19.4 (</w:t>
            </w:r>
            <w:r w:rsidRPr="00F64CC0">
              <w:rPr>
                <w:rFonts w:eastAsia="Calibri"/>
                <w:b/>
                <w:lang w:val="en-US" w:eastAsia="en-US" w:bidi="ar-JO"/>
              </w:rPr>
              <w:t>0.0005</w:t>
            </w:r>
            <w:r w:rsidRPr="00F64CC0">
              <w:rPr>
                <w:rFonts w:eastAsia="Calibri"/>
                <w:lang w:val="en-US" w:eastAsia="en-US" w:bidi="ar-JO"/>
              </w:rPr>
              <w:t>)</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+5.4 (0.6169)</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0.0641</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GB" w:eastAsia="en-US" w:bidi="ar-JO"/>
              </w:rPr>
            </w:pPr>
            <w:r w:rsidRPr="00F64CC0">
              <w:rPr>
                <w:rFonts w:eastAsia="Calibri"/>
                <w:lang w:val="it-IT" w:eastAsia="en-US" w:bidi="ar-JO"/>
              </w:rPr>
              <w:t>+16.5 (</w:t>
            </w:r>
            <w:r w:rsidRPr="00F64CC0">
              <w:rPr>
                <w:rFonts w:eastAsia="Calibri"/>
                <w:b/>
                <w:lang w:val="it-IT" w:eastAsia="en-US" w:bidi="ar-JO"/>
              </w:rPr>
              <w:t>0.0044</w:t>
            </w:r>
            <w:r w:rsidRPr="00F64CC0">
              <w:rPr>
                <w:rFonts w:eastAsia="Calibri"/>
                <w:lang w:val="it-IT" w:eastAsia="en-US" w:bidi="ar-JO"/>
              </w:rPr>
              <w:t>)</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GB" w:eastAsia="en-US" w:bidi="ar-JO"/>
              </w:rPr>
            </w:pPr>
            <w:r w:rsidRPr="00F64CC0">
              <w:rPr>
                <w:rFonts w:eastAsia="Calibri"/>
                <w:lang w:val="it-IT" w:eastAsia="en-US" w:bidi="ar-JO"/>
              </w:rPr>
              <w:t>+14.7 (</w:t>
            </w:r>
            <w:r w:rsidRPr="00F64CC0">
              <w:rPr>
                <w:rFonts w:eastAsia="Calibri"/>
                <w:b/>
                <w:lang w:val="it-IT" w:eastAsia="en-US" w:bidi="ar-JO"/>
              </w:rPr>
              <w:t>0.0156</w:t>
            </w:r>
            <w:r w:rsidRPr="00F64CC0">
              <w:rPr>
                <w:rFonts w:eastAsia="Calibri"/>
                <w:lang w:val="it-IT" w:eastAsia="en-US" w:bidi="ar-JO"/>
              </w:rPr>
              <w:t>)</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GB" w:eastAsia="en-US" w:bidi="ar-JO"/>
              </w:rPr>
            </w:pPr>
            <w:r w:rsidRPr="00F64CC0">
              <w:rPr>
                <w:rFonts w:eastAsia="Calibri"/>
                <w:lang w:val="it-IT" w:eastAsia="en-US" w:bidi="ar-JO"/>
              </w:rPr>
              <w:t>0.5012</w:t>
            </w:r>
          </w:p>
        </w:tc>
      </w:tr>
      <w:tr w:rsidR="00995572" w:rsidRPr="00F64CC0" w:rsidTr="0054043E">
        <w:trPr>
          <w:trHeight w:val="3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F64CC0">
            <w:pPr>
              <w:spacing w:line="276" w:lineRule="auto"/>
              <w:rPr>
                <w:rFonts w:eastAsia="Calibri"/>
                <w:lang w:eastAsia="en-US" w:bidi="ar-JO"/>
              </w:rPr>
            </w:pPr>
            <w:r w:rsidRPr="00F64CC0">
              <w:rPr>
                <w:rFonts w:eastAsia="Calibri"/>
                <w:lang w:eastAsia="en-US" w:bidi="ar-JO"/>
              </w:rPr>
              <w:t>Δύναμη αριστερής γροθιάς [</w:t>
            </w:r>
            <w:r w:rsidR="00982C8E">
              <w:rPr>
                <w:rFonts w:eastAsia="Calibri"/>
                <w:lang w:val="en-US" w:eastAsia="en-US" w:bidi="ar-JO"/>
              </w:rPr>
              <w:t>delta</w:t>
            </w:r>
            <w:r w:rsidR="00982C8E" w:rsidRPr="00F64CC0">
              <w:rPr>
                <w:rFonts w:eastAsia="Calibri"/>
                <w:lang w:eastAsia="en-US" w:bidi="ar-JO"/>
              </w:rPr>
              <w:t xml:space="preserve"> </w:t>
            </w:r>
            <w:r w:rsidRPr="00F64CC0">
              <w:rPr>
                <w:rFonts w:eastAsia="Calibri"/>
                <w:lang w:eastAsia="en-US" w:bidi="ar-JO"/>
              </w:rPr>
              <w:t>(</w:t>
            </w:r>
            <w:r w:rsidRPr="00F64CC0">
              <w:rPr>
                <w:rFonts w:eastAsia="Calibri"/>
                <w:lang w:val="en-US" w:eastAsia="en-US" w:bidi="ar-JO"/>
              </w:rPr>
              <w:t>p</w:t>
            </w:r>
            <w:r w:rsidR="00982C8E" w:rsidRPr="00F64CC0">
              <w:rPr>
                <w:rFonts w:eastAsia="Calibri"/>
                <w:lang w:eastAsia="en-US" w:bidi="ar-JO"/>
              </w:rPr>
              <w:t>-</w:t>
            </w:r>
            <w:r w:rsidR="00982C8E">
              <w:rPr>
                <w:rFonts w:eastAsia="Calibri"/>
                <w:lang w:val="en-US" w:eastAsia="en-US" w:bidi="ar-JO"/>
              </w:rPr>
              <w:t>value</w:t>
            </w:r>
            <w:r w:rsidRPr="00F64CC0">
              <w:rPr>
                <w:rFonts w:eastAsia="Calibri"/>
                <w:lang w:eastAsia="en-US" w:bidi="ar-JO"/>
              </w:rPr>
              <w:t>)]</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+16.9 (</w:t>
            </w:r>
            <w:r w:rsidRPr="00F64CC0">
              <w:rPr>
                <w:rFonts w:eastAsia="Calibri"/>
                <w:b/>
                <w:lang w:val="en-US" w:eastAsia="en-US" w:bidi="ar-JO"/>
              </w:rPr>
              <w:t>0.0011</w:t>
            </w:r>
            <w:r w:rsidRPr="00F64CC0">
              <w:rPr>
                <w:rFonts w:eastAsia="Calibri"/>
                <w:lang w:val="en-US" w:eastAsia="en-US" w:bidi="ar-JO"/>
              </w:rPr>
              <w:t>)</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+8.8 (0.1170)</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0.1358</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+12.7 (</w:t>
            </w:r>
            <w:r w:rsidRPr="00F64CC0">
              <w:rPr>
                <w:rFonts w:eastAsia="Calibri"/>
                <w:b/>
                <w:lang w:val="it-IT" w:eastAsia="en-US" w:bidi="ar-JO"/>
              </w:rPr>
              <w:t>0.0014</w:t>
            </w:r>
            <w:r w:rsidRPr="00F64CC0">
              <w:rPr>
                <w:rFonts w:eastAsia="Calibri"/>
                <w:lang w:val="it-IT" w:eastAsia="en-US" w:bidi="ar-JO"/>
              </w:rPr>
              <w:t>)</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+10.5 (</w:t>
            </w:r>
            <w:r w:rsidRPr="00F64CC0">
              <w:rPr>
                <w:rFonts w:eastAsia="Calibri"/>
                <w:b/>
                <w:lang w:val="it-IT" w:eastAsia="en-US" w:bidi="ar-JO"/>
              </w:rPr>
              <w:t>0.0156</w:t>
            </w:r>
            <w:r w:rsidRPr="00F64CC0">
              <w:rPr>
                <w:rFonts w:eastAsia="Calibri"/>
                <w:lang w:val="it-IT" w:eastAsia="en-US" w:bidi="ar-JO"/>
              </w:rPr>
              <w:t>)</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0.3330</w:t>
            </w:r>
          </w:p>
        </w:tc>
      </w:tr>
      <w:tr w:rsidR="00995572" w:rsidRPr="00F64CC0" w:rsidTr="0054043E">
        <w:trPr>
          <w:trHeight w:val="3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F64CC0">
            <w:pPr>
              <w:spacing w:line="276" w:lineRule="auto"/>
              <w:rPr>
                <w:rFonts w:eastAsia="Calibri"/>
                <w:lang w:eastAsia="en-US" w:bidi="ar-JO"/>
              </w:rPr>
            </w:pPr>
            <w:r w:rsidRPr="00F64CC0">
              <w:rPr>
                <w:rFonts w:eastAsia="Calibri"/>
                <w:lang w:eastAsia="en-US" w:bidi="ar-JO"/>
              </w:rPr>
              <w:t>Χρόνος διάνυσης 10 μέτρων [</w:t>
            </w:r>
            <w:r w:rsidR="00982C8E">
              <w:rPr>
                <w:rFonts w:eastAsia="Calibri"/>
                <w:lang w:val="en-US" w:eastAsia="en-US" w:bidi="ar-JO"/>
              </w:rPr>
              <w:t>delta</w:t>
            </w:r>
            <w:r w:rsidR="00982C8E" w:rsidRPr="00F64CC0">
              <w:rPr>
                <w:rFonts w:eastAsia="Calibri"/>
                <w:lang w:eastAsia="en-US" w:bidi="ar-JO"/>
              </w:rPr>
              <w:t xml:space="preserve"> </w:t>
            </w:r>
            <w:r w:rsidRPr="00F64CC0">
              <w:rPr>
                <w:rFonts w:eastAsia="Calibri"/>
                <w:lang w:eastAsia="en-US" w:bidi="ar-JO"/>
              </w:rPr>
              <w:t>(</w:t>
            </w:r>
            <w:r w:rsidRPr="00F64CC0">
              <w:rPr>
                <w:rFonts w:eastAsia="Calibri"/>
                <w:lang w:val="en-US" w:eastAsia="en-US" w:bidi="ar-JO"/>
              </w:rPr>
              <w:t>p</w:t>
            </w:r>
            <w:r w:rsidR="00982C8E" w:rsidRPr="00F64CC0">
              <w:rPr>
                <w:rFonts w:eastAsia="Calibri"/>
                <w:lang w:eastAsia="en-US" w:bidi="ar-JO"/>
              </w:rPr>
              <w:t>-</w:t>
            </w:r>
            <w:r w:rsidR="00982C8E">
              <w:rPr>
                <w:rFonts w:eastAsia="Calibri"/>
                <w:lang w:val="en-US" w:eastAsia="en-US" w:bidi="ar-JO"/>
              </w:rPr>
              <w:t>value</w:t>
            </w:r>
            <w:r w:rsidRPr="00F64CC0">
              <w:rPr>
                <w:rFonts w:eastAsia="Calibri"/>
                <w:lang w:eastAsia="en-US" w:bidi="ar-J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-3.2 (</w:t>
            </w:r>
            <w:r w:rsidRPr="00F64CC0">
              <w:rPr>
                <w:rFonts w:eastAsia="Calibri"/>
                <w:b/>
                <w:lang w:val="en-US" w:eastAsia="en-US" w:bidi="ar-JO"/>
              </w:rPr>
              <w:t>0.0025</w:t>
            </w:r>
            <w:r w:rsidRPr="00F64CC0">
              <w:rPr>
                <w:rFonts w:eastAsia="Calibri"/>
                <w:lang w:val="en-US" w:eastAsia="en-US" w:bidi="ar-JO"/>
              </w:rPr>
              <w:t>)</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 xml:space="preserve">-0.5 (0.2051) </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 xml:space="preserve">0.0800  </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-3.5 (</w:t>
            </w:r>
            <w:r w:rsidRPr="00F64CC0">
              <w:rPr>
                <w:rFonts w:eastAsia="Calibri"/>
                <w:b/>
                <w:lang w:val="en-US" w:eastAsia="en-US" w:bidi="ar-JO"/>
              </w:rPr>
              <w:t>0.0043</w:t>
            </w:r>
            <w:r w:rsidRPr="00F64CC0">
              <w:rPr>
                <w:rFonts w:eastAsia="Calibri"/>
                <w:lang w:val="en-US" w:eastAsia="en-US" w:bidi="ar-JO"/>
              </w:rPr>
              <w:t>)</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US" w:eastAsia="en-US" w:bidi="ar-JO"/>
              </w:rPr>
            </w:pPr>
            <w:r w:rsidRPr="00F64CC0">
              <w:rPr>
                <w:rFonts w:eastAsia="Calibri"/>
                <w:lang w:val="it-IT" w:eastAsia="en-US"/>
              </w:rPr>
              <w:t>-2.0 (0.4453)</w:t>
            </w:r>
            <w:r w:rsidRPr="00F64CC0">
              <w:rPr>
                <w:rFonts w:eastAsia="Calibri"/>
                <w:lang w:val="en-US" w:eastAsia="en-US" w:bidi="ar-JO"/>
              </w:rPr>
              <w:t xml:space="preserve"> </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US" w:eastAsia="en-US" w:bidi="ar-JO"/>
              </w:rPr>
            </w:pPr>
            <w:r w:rsidRPr="00F64CC0">
              <w:rPr>
                <w:rFonts w:eastAsia="Calibri"/>
                <w:lang w:val="it-IT" w:eastAsia="en-US"/>
              </w:rPr>
              <w:t xml:space="preserve">0.2899 </w:t>
            </w:r>
            <w:r w:rsidRPr="00F64CC0">
              <w:rPr>
                <w:rFonts w:eastAsia="Calibri"/>
                <w:lang w:val="en-US" w:eastAsia="en-US" w:bidi="ar-JO"/>
              </w:rPr>
              <w:t xml:space="preserve"> </w:t>
            </w:r>
          </w:p>
        </w:tc>
      </w:tr>
      <w:tr w:rsidR="00995572" w:rsidRPr="00F64CC0" w:rsidTr="0054043E">
        <w:trPr>
          <w:trHeight w:val="3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0B7F56" w:rsidP="000B7F56">
            <w:pPr>
              <w:spacing w:line="276" w:lineRule="auto"/>
              <w:rPr>
                <w:rFonts w:eastAsia="Calibri"/>
                <w:lang w:val="en-US" w:eastAsia="en-US" w:bidi="ar-JO"/>
              </w:rPr>
            </w:pPr>
            <w:r>
              <w:rPr>
                <w:rFonts w:eastAsia="Calibri"/>
                <w:lang w:eastAsia="en-US" w:bidi="ar-JO"/>
              </w:rPr>
              <w:t>Κλίμακα</w:t>
            </w:r>
            <w:r w:rsidR="00CB26B7" w:rsidRPr="00F64CC0">
              <w:rPr>
                <w:rFonts w:eastAsia="Calibri"/>
                <w:lang w:val="en-US" w:eastAsia="en-US" w:bidi="ar-JO"/>
              </w:rPr>
              <w:t xml:space="preserve"> ONLS (p</w:t>
            </w:r>
            <w:r w:rsidR="00982C8E" w:rsidRPr="00982C8E">
              <w:rPr>
                <w:rFonts w:eastAsia="Calibri"/>
                <w:lang w:eastAsia="en-US" w:bidi="ar-JO"/>
              </w:rPr>
              <w:t>-</w:t>
            </w:r>
            <w:r w:rsidR="00982C8E" w:rsidRPr="00982C8E">
              <w:rPr>
                <w:rFonts w:eastAsia="Calibri"/>
                <w:lang w:val="en-US" w:eastAsia="en-US" w:bidi="ar-JO"/>
              </w:rPr>
              <w:lastRenderedPageBreak/>
              <w:t>value</w:t>
            </w:r>
            <w:r w:rsidR="00CB26B7" w:rsidRPr="00F64CC0">
              <w:rPr>
                <w:rFonts w:eastAsia="Calibri"/>
                <w:lang w:val="en-US" w:eastAsia="en-US" w:bidi="ar-JO"/>
              </w:rPr>
              <w:t>)</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b/>
                <w:lang w:val="en-US" w:eastAsia="en-US" w:bidi="ar-JO"/>
              </w:rPr>
            </w:pPr>
            <w:r w:rsidRPr="00F64CC0">
              <w:rPr>
                <w:rFonts w:eastAsia="Calibri"/>
                <w:b/>
                <w:lang w:val="en-US" w:eastAsia="en-US" w:bidi="ar-JO"/>
              </w:rPr>
              <w:lastRenderedPageBreak/>
              <w:t>0.0006</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0.0876</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en-US" w:eastAsia="en-US" w:bidi="ar-JO"/>
              </w:rPr>
            </w:pPr>
            <w:r w:rsidRPr="00F64CC0">
              <w:rPr>
                <w:rFonts w:eastAsia="Calibri"/>
                <w:lang w:val="en-US" w:eastAsia="en-US" w:bidi="ar-JO"/>
              </w:rPr>
              <w:t>0.4030</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b/>
                <w:lang w:val="en-US" w:eastAsia="en-US" w:bidi="ar-JO"/>
              </w:rPr>
            </w:pPr>
            <w:r w:rsidRPr="00F64CC0">
              <w:rPr>
                <w:rFonts w:eastAsia="Calibri"/>
                <w:b/>
                <w:lang w:val="en-US" w:eastAsia="en-US" w:bidi="ar-JO"/>
              </w:rPr>
              <w:t>0.0033</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GB" w:eastAsia="en-US"/>
              </w:rPr>
            </w:pPr>
            <w:r w:rsidRPr="00F64CC0">
              <w:rPr>
                <w:rFonts w:eastAsia="Calibri"/>
                <w:lang w:val="it-IT" w:eastAsia="en-US"/>
              </w:rPr>
              <w:t>0.0661</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GB" w:eastAsia="en-US"/>
              </w:rPr>
            </w:pPr>
            <w:r w:rsidRPr="00F64CC0">
              <w:rPr>
                <w:rFonts w:eastAsia="Calibri"/>
                <w:lang w:val="it-IT" w:eastAsia="en-US"/>
              </w:rPr>
              <w:t>0.8884</w:t>
            </w:r>
          </w:p>
        </w:tc>
      </w:tr>
      <w:tr w:rsidR="00995572" w:rsidRPr="00F64CC0" w:rsidTr="0054043E">
        <w:trPr>
          <w:trHeight w:val="3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0B7F56" w:rsidP="00F64CC0">
            <w:pPr>
              <w:spacing w:line="276" w:lineRule="auto"/>
              <w:rPr>
                <w:rFonts w:eastAsia="Calibri"/>
                <w:lang w:val="en-US" w:eastAsia="en-US" w:bidi="ar-JO"/>
              </w:rPr>
            </w:pPr>
            <w:r w:rsidRPr="000B7F56">
              <w:rPr>
                <w:rFonts w:eastAsia="Calibri"/>
                <w:lang w:eastAsia="en-US" w:bidi="ar-JO"/>
              </w:rPr>
              <w:lastRenderedPageBreak/>
              <w:t>Κλίμακα</w:t>
            </w:r>
            <w:r w:rsidR="00CB26B7" w:rsidRPr="00F64CC0">
              <w:rPr>
                <w:rFonts w:eastAsia="Calibri"/>
                <w:lang w:val="en-US" w:eastAsia="en-US" w:bidi="ar-JO"/>
              </w:rPr>
              <w:t xml:space="preserve"> Rankin (p</w:t>
            </w:r>
            <w:r w:rsidR="00982C8E" w:rsidRPr="00982C8E">
              <w:rPr>
                <w:rFonts w:eastAsia="Calibri"/>
                <w:lang w:eastAsia="en-US" w:bidi="ar-JO"/>
              </w:rPr>
              <w:t>-</w:t>
            </w:r>
            <w:r w:rsidR="00982C8E" w:rsidRPr="00982C8E">
              <w:rPr>
                <w:rFonts w:eastAsia="Calibri"/>
                <w:lang w:val="en-US" w:eastAsia="en-US" w:bidi="ar-JO"/>
              </w:rPr>
              <w:t>value</w:t>
            </w:r>
            <w:r w:rsidR="00CB26B7" w:rsidRPr="00F64CC0">
              <w:rPr>
                <w:rFonts w:eastAsia="Calibri"/>
                <w:lang w:val="en-US" w:eastAsia="en-US" w:bidi="ar-JO"/>
              </w:rPr>
              <w:t>)</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b/>
                <w:lang w:val="it-IT" w:eastAsia="en-US" w:bidi="ar-JO"/>
              </w:rPr>
            </w:pPr>
            <w:r w:rsidRPr="00F64CC0">
              <w:rPr>
                <w:rFonts w:eastAsia="Calibri"/>
                <w:b/>
                <w:lang w:val="it-IT" w:eastAsia="en-US" w:bidi="ar-JO"/>
              </w:rPr>
              <w:t>0.0006</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0.0220</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0.3542</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b/>
                <w:lang w:val="en-GB" w:eastAsia="en-US"/>
              </w:rPr>
            </w:pPr>
            <w:r w:rsidRPr="00F64CC0">
              <w:rPr>
                <w:rFonts w:eastAsia="Calibri"/>
                <w:b/>
                <w:lang w:val="it-IT" w:eastAsia="en-US"/>
              </w:rPr>
              <w:t>0.0132</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GB" w:eastAsia="en-US"/>
              </w:rPr>
            </w:pPr>
            <w:r w:rsidRPr="00F64CC0">
              <w:rPr>
                <w:rFonts w:eastAsia="Calibri"/>
                <w:lang w:val="it-IT" w:eastAsia="en-US"/>
              </w:rPr>
              <w:t>0.2543</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en-GB" w:eastAsia="en-US"/>
              </w:rPr>
            </w:pPr>
            <w:r w:rsidRPr="00F64CC0">
              <w:rPr>
                <w:rFonts w:eastAsia="Calibri"/>
                <w:lang w:val="it-IT" w:eastAsia="en-US"/>
              </w:rPr>
              <w:t>0.8360</w:t>
            </w:r>
          </w:p>
        </w:tc>
      </w:tr>
      <w:tr w:rsidR="00995572" w:rsidRPr="00F64CC0" w:rsidTr="0054043E">
        <w:trPr>
          <w:trHeight w:val="3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0B7F56" w:rsidP="00F64CC0">
            <w:pPr>
              <w:spacing w:line="276" w:lineRule="auto"/>
              <w:rPr>
                <w:rFonts w:eastAsia="Calibri"/>
                <w:lang w:val="it-IT" w:eastAsia="en-US" w:bidi="ar-JO"/>
              </w:rPr>
            </w:pPr>
            <w:r w:rsidRPr="000B7F56">
              <w:rPr>
                <w:rFonts w:eastAsia="Calibri"/>
                <w:lang w:eastAsia="en-US" w:bidi="ar-JO"/>
              </w:rPr>
              <w:t>Κλίμακα</w:t>
            </w:r>
            <w:r w:rsidR="00CB26B7" w:rsidRPr="00F64CC0">
              <w:rPr>
                <w:rFonts w:eastAsia="Calibri"/>
                <w:lang w:val="it-IT" w:eastAsia="en-US" w:bidi="ar-JO"/>
              </w:rPr>
              <w:t xml:space="preserve"> Rotterdam [</w:t>
            </w:r>
            <w:r w:rsidR="00982C8E">
              <w:rPr>
                <w:rFonts w:eastAsia="Calibri"/>
                <w:lang w:val="en-US" w:eastAsia="en-US" w:bidi="ar-JO"/>
              </w:rPr>
              <w:t>delta</w:t>
            </w:r>
            <w:r w:rsidR="00982C8E" w:rsidRPr="00F64CC0">
              <w:rPr>
                <w:rFonts w:eastAsia="Calibri"/>
                <w:lang w:val="it-IT" w:eastAsia="en-US" w:bidi="ar-JO"/>
              </w:rPr>
              <w:t xml:space="preserve"> </w:t>
            </w:r>
            <w:r w:rsidR="00CB26B7" w:rsidRPr="00F64CC0">
              <w:rPr>
                <w:rFonts w:eastAsia="Calibri"/>
                <w:lang w:val="it-IT" w:eastAsia="en-US" w:bidi="ar-JO"/>
              </w:rPr>
              <w:t>(p</w:t>
            </w:r>
            <w:r w:rsidR="00982C8E" w:rsidRPr="00F64CC0">
              <w:rPr>
                <w:rFonts w:eastAsia="Calibri"/>
                <w:lang w:val="en-US" w:eastAsia="en-US" w:bidi="ar-JO"/>
              </w:rPr>
              <w:t>-</w:t>
            </w:r>
            <w:r w:rsidR="00982C8E" w:rsidRPr="00982C8E">
              <w:rPr>
                <w:rFonts w:eastAsia="Calibri"/>
                <w:lang w:val="en-US" w:eastAsia="en-US" w:bidi="ar-JO"/>
              </w:rPr>
              <w:t>value</w:t>
            </w:r>
            <w:r w:rsidR="00CB26B7" w:rsidRPr="00F64CC0">
              <w:rPr>
                <w:rFonts w:eastAsia="Calibri"/>
                <w:lang w:val="it-IT" w:eastAsia="en-US" w:bidi="ar-JO"/>
              </w:rPr>
              <w:t>)]</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+1.4 (</w:t>
            </w:r>
            <w:r w:rsidRPr="00F64CC0">
              <w:rPr>
                <w:rFonts w:eastAsia="Calibri"/>
                <w:b/>
                <w:lang w:val="it-IT" w:eastAsia="en-US" w:bidi="ar-JO"/>
              </w:rPr>
              <w:t>0.0071</w:t>
            </w:r>
            <w:r w:rsidRPr="00F64CC0">
              <w:rPr>
                <w:rFonts w:eastAsia="Calibri"/>
                <w:lang w:val="it-IT" w:eastAsia="en-US" w:bidi="ar-JO"/>
              </w:rPr>
              <w:t>)</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+1.3 (</w:t>
            </w:r>
            <w:r w:rsidRPr="00F64CC0">
              <w:rPr>
                <w:rFonts w:eastAsia="Calibri"/>
                <w:b/>
                <w:lang w:val="it-IT" w:eastAsia="en-US" w:bidi="ar-JO"/>
              </w:rPr>
              <w:t>0.0342</w:t>
            </w:r>
            <w:r w:rsidRPr="00F64CC0">
              <w:rPr>
                <w:rFonts w:eastAsia="Calibri"/>
                <w:lang w:val="it-IT" w:eastAsia="en-US" w:bidi="ar-JO"/>
              </w:rPr>
              <w:t>)</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0.6465</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it-IT" w:eastAsia="en-US"/>
              </w:rPr>
            </w:pPr>
            <w:r w:rsidRPr="00F64CC0">
              <w:rPr>
                <w:rFonts w:eastAsia="Calibri"/>
                <w:lang w:val="it-IT" w:eastAsia="en-US"/>
              </w:rPr>
              <w:t>+1.1 (</w:t>
            </w:r>
            <w:r w:rsidRPr="00F64CC0">
              <w:rPr>
                <w:rFonts w:eastAsia="Calibri"/>
                <w:b/>
                <w:lang w:val="it-IT" w:eastAsia="en-US"/>
              </w:rPr>
              <w:t>0.0342</w:t>
            </w:r>
            <w:r w:rsidRPr="00F64CC0">
              <w:rPr>
                <w:rFonts w:eastAsia="Calibri"/>
                <w:lang w:val="it-IT" w:eastAsia="en-US"/>
              </w:rPr>
              <w:t>)</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it-IT" w:eastAsia="en-US"/>
              </w:rPr>
            </w:pPr>
            <w:r w:rsidRPr="00F64CC0">
              <w:rPr>
                <w:rFonts w:eastAsia="Calibri"/>
                <w:lang w:val="it-IT" w:eastAsia="en-US"/>
              </w:rPr>
              <w:t xml:space="preserve">+1.1 </w:t>
            </w:r>
            <w:r w:rsidRPr="00F64CC0">
              <w:rPr>
                <w:rFonts w:eastAsia="Calibri"/>
                <w:iCs/>
                <w:lang w:val="it-IT" w:eastAsia="en-US"/>
              </w:rPr>
              <w:t>(0.0859)</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it-IT" w:eastAsia="en-US"/>
              </w:rPr>
            </w:pPr>
            <w:r w:rsidRPr="00F64CC0">
              <w:rPr>
                <w:rFonts w:eastAsia="Calibri"/>
                <w:lang w:val="it-IT" w:eastAsia="en-US"/>
              </w:rPr>
              <w:t>0.4056</w:t>
            </w:r>
          </w:p>
        </w:tc>
      </w:tr>
      <w:tr w:rsidR="00995572" w:rsidRPr="00F64CC0" w:rsidTr="0054043E">
        <w:trPr>
          <w:trHeight w:val="3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SF-36 QoL</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+14.2 (</w:t>
            </w:r>
            <w:r w:rsidRPr="00F64CC0">
              <w:rPr>
                <w:rFonts w:eastAsia="Calibri"/>
                <w:b/>
                <w:lang w:val="it-IT" w:eastAsia="en-US" w:bidi="ar-JO"/>
              </w:rPr>
              <w:t>0.0011</w:t>
            </w:r>
            <w:r w:rsidRPr="00F64CC0">
              <w:rPr>
                <w:rFonts w:eastAsia="Calibri"/>
                <w:lang w:val="it-IT" w:eastAsia="en-US" w:bidi="ar-JO"/>
              </w:rPr>
              <w:t>)</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+16.7 (</w:t>
            </w:r>
            <w:r w:rsidRPr="00F64CC0">
              <w:rPr>
                <w:rFonts w:eastAsia="Calibri"/>
                <w:b/>
                <w:lang w:val="it-IT" w:eastAsia="en-US" w:bidi="ar-JO"/>
              </w:rPr>
              <w:t>0.0008</w:t>
            </w:r>
            <w:r w:rsidRPr="00F64CC0">
              <w:rPr>
                <w:rFonts w:eastAsia="Calibri"/>
                <w:lang w:val="it-IT" w:eastAsia="en-US" w:bidi="ar-JO"/>
              </w:rPr>
              <w:t>)</w:t>
            </w:r>
          </w:p>
        </w:tc>
        <w:tc>
          <w:tcPr>
            <w:tcW w:w="0" w:type="auto"/>
            <w:tcBorders>
              <w:top w:val="outset" w:sz="6" w:space="0" w:color="auto"/>
              <w:left w:val="outset" w:sz="6" w:space="0" w:color="auto"/>
              <w:bottom w:val="outset" w:sz="6" w:space="0" w:color="auto"/>
              <w:right w:val="outset" w:sz="6" w:space="0" w:color="auto"/>
            </w:tcBorders>
            <w:hideMark/>
          </w:tcPr>
          <w:p w:rsidR="00CB26B7" w:rsidRPr="00F64CC0" w:rsidRDefault="00CB26B7" w:rsidP="0054043E">
            <w:pPr>
              <w:spacing w:line="276" w:lineRule="auto"/>
              <w:rPr>
                <w:rFonts w:eastAsia="Calibri"/>
                <w:lang w:val="it-IT" w:eastAsia="en-US" w:bidi="ar-JO"/>
              </w:rPr>
            </w:pPr>
            <w:r w:rsidRPr="00F64CC0">
              <w:rPr>
                <w:rFonts w:eastAsia="Calibri"/>
                <w:lang w:val="it-IT" w:eastAsia="en-US" w:bidi="ar-JO"/>
              </w:rPr>
              <w:t>0.3634</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it-IT" w:eastAsia="en-US"/>
              </w:rPr>
            </w:pPr>
            <w:r w:rsidRPr="00F64CC0">
              <w:rPr>
                <w:rFonts w:eastAsia="Calibri"/>
                <w:lang w:val="it-IT" w:eastAsia="en-US"/>
              </w:rPr>
              <w:t>+11.1 (</w:t>
            </w:r>
            <w:r w:rsidRPr="00F64CC0">
              <w:rPr>
                <w:rFonts w:eastAsia="Calibri"/>
                <w:b/>
                <w:lang w:val="it-IT" w:eastAsia="en-US"/>
              </w:rPr>
              <w:t>0.0091</w:t>
            </w:r>
            <w:r w:rsidRPr="00F64CC0">
              <w:rPr>
                <w:rFonts w:eastAsia="Calibri"/>
                <w:lang w:val="it-IT" w:eastAsia="en-US"/>
              </w:rPr>
              <w:t>)</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it-IT" w:eastAsia="en-US"/>
              </w:rPr>
            </w:pPr>
            <w:r w:rsidRPr="00F64CC0">
              <w:rPr>
                <w:rFonts w:eastAsia="Calibri"/>
                <w:lang w:val="it-IT" w:eastAsia="en-US"/>
              </w:rPr>
              <w:t>+16.0 (0.1094)</w:t>
            </w:r>
          </w:p>
        </w:tc>
        <w:tc>
          <w:tcPr>
            <w:tcW w:w="0" w:type="auto"/>
            <w:tcBorders>
              <w:top w:val="outset" w:sz="6" w:space="0" w:color="auto"/>
              <w:left w:val="outset" w:sz="6" w:space="0" w:color="auto"/>
              <w:bottom w:val="outset" w:sz="6" w:space="0" w:color="auto"/>
              <w:right w:val="outset" w:sz="6" w:space="0" w:color="auto"/>
            </w:tcBorders>
          </w:tcPr>
          <w:p w:rsidR="00CB26B7" w:rsidRPr="00F64CC0" w:rsidRDefault="00CB26B7" w:rsidP="0054043E">
            <w:pPr>
              <w:spacing w:line="276" w:lineRule="auto"/>
              <w:rPr>
                <w:rFonts w:eastAsia="Calibri"/>
                <w:lang w:val="it-IT" w:eastAsia="en-US"/>
              </w:rPr>
            </w:pPr>
            <w:r w:rsidRPr="00F64CC0">
              <w:rPr>
                <w:rFonts w:eastAsia="Calibri"/>
                <w:lang w:val="it-IT" w:eastAsia="en-US"/>
              </w:rPr>
              <w:t>0.6518</w:t>
            </w:r>
          </w:p>
        </w:tc>
      </w:tr>
    </w:tbl>
    <w:p w:rsidR="00CB26B7" w:rsidRPr="00F64CC0" w:rsidRDefault="00CB26B7" w:rsidP="00CB26B7">
      <w:pPr>
        <w:ind w:left="-45"/>
        <w:jc w:val="both"/>
        <w:rPr>
          <w:lang w:eastAsia="it-IT" w:bidi="ar-JO"/>
        </w:rPr>
      </w:pPr>
      <w:r w:rsidRPr="00F64CC0">
        <w:rPr>
          <w:lang w:eastAsia="it-IT" w:bidi="ar-JO"/>
        </w:rPr>
        <w:t>*</w:t>
      </w:r>
      <w:r w:rsidRPr="00F64CC0">
        <w:rPr>
          <w:lang w:val="it-IT" w:eastAsia="it-IT" w:bidi="ar-JO"/>
        </w:rPr>
        <w:t>ITT</w:t>
      </w:r>
      <w:r w:rsidRPr="00F64CC0">
        <w:rPr>
          <w:lang w:eastAsia="it-IT" w:bidi="ar-JO"/>
        </w:rPr>
        <w:t xml:space="preserve">: καθ’ όλη τη διάρκεια της μελέτης (12μήνες) </w:t>
      </w:r>
      <w:r w:rsidRPr="00F64CC0">
        <w:rPr>
          <w:lang w:val="it-IT" w:eastAsia="it-IT" w:bidi="ar-JO"/>
        </w:rPr>
        <w:t> PP</w:t>
      </w:r>
      <w:r w:rsidRPr="00F64CC0">
        <w:rPr>
          <w:lang w:eastAsia="it-IT" w:bidi="ar-JO"/>
        </w:rPr>
        <w:t>: φάση παρακολούθησης (6 μήνες)</w:t>
      </w:r>
    </w:p>
    <w:p w:rsidR="00CB26B7" w:rsidRPr="00F64CC0" w:rsidRDefault="00CB26B7" w:rsidP="005E25A8">
      <w:pPr>
        <w:rPr>
          <w:bCs/>
          <w:lang w:val="it-IT"/>
        </w:rPr>
      </w:pPr>
    </w:p>
    <w:p w:rsidR="00CE1BDD" w:rsidRPr="00F64CC0" w:rsidRDefault="009A35C2" w:rsidP="009A35C2">
      <w:pPr>
        <w:ind w:left="426" w:hanging="426"/>
        <w:rPr>
          <w:b/>
          <w:bCs/>
        </w:rPr>
      </w:pPr>
      <w:r w:rsidRPr="00F64CC0">
        <w:rPr>
          <w:b/>
          <w:bCs/>
        </w:rPr>
        <w:t>5.2</w:t>
      </w:r>
      <w:r w:rsidRPr="00F64CC0">
        <w:rPr>
          <w:b/>
          <w:bCs/>
          <w:lang w:val="it-IT"/>
        </w:rPr>
        <w:tab/>
      </w:r>
      <w:r w:rsidR="00CE1BDD" w:rsidRPr="00F64CC0">
        <w:rPr>
          <w:b/>
          <w:bCs/>
        </w:rPr>
        <w:t>Φαρμακοκινητικές ιδιότητες</w:t>
      </w:r>
    </w:p>
    <w:p w:rsidR="009527DD" w:rsidRPr="00900919" w:rsidRDefault="00B46AB1" w:rsidP="005E25A8">
      <w:pPr>
        <w:rPr>
          <w:bCs/>
        </w:rPr>
      </w:pPr>
      <w:r w:rsidRPr="00F64CC0">
        <w:rPr>
          <w:bCs/>
        </w:rPr>
        <w:t xml:space="preserve">Μετά την ενδοφλέβια χορήγηση, </w:t>
      </w:r>
      <w:r w:rsidR="00AE7B57" w:rsidRPr="00F64CC0">
        <w:rPr>
          <w:bCs/>
        </w:rPr>
        <w:t xml:space="preserve">η ανθρώπινη φυσιολογική ανοσοσφαιρίνη </w:t>
      </w:r>
      <w:r w:rsidRPr="00F64CC0">
        <w:rPr>
          <w:bCs/>
        </w:rPr>
        <w:t xml:space="preserve"> είναι άμεσα και πλήρως βιοδιαθέσιμη στην κυκλοφορία του λήπτη. Κατανέμεται σχετικά γρήγορα μεταξύ του πλάσματος</w:t>
      </w:r>
      <w:r w:rsidR="00712865" w:rsidRPr="00F64CC0">
        <w:rPr>
          <w:bCs/>
        </w:rPr>
        <w:t xml:space="preserve"> και του εξωαγγειακού υγρού</w:t>
      </w:r>
      <w:r w:rsidR="008D25EC" w:rsidRPr="00F64CC0">
        <w:rPr>
          <w:bCs/>
        </w:rPr>
        <w:t>,</w:t>
      </w:r>
      <w:r w:rsidR="00712865" w:rsidRPr="00F64CC0">
        <w:rPr>
          <w:bCs/>
        </w:rPr>
        <w:t xml:space="preserve"> ενώ μετά</w:t>
      </w:r>
      <w:r w:rsidR="00D6030F" w:rsidRPr="00F64CC0">
        <w:rPr>
          <w:bCs/>
        </w:rPr>
        <w:t xml:space="preserve"> από 3 – 5 ημέρες επιτυγχάνεται ισορρ</w:t>
      </w:r>
      <w:r w:rsidR="00D9591C" w:rsidRPr="00F64CC0">
        <w:rPr>
          <w:bCs/>
        </w:rPr>
        <w:t>οπία</w:t>
      </w:r>
      <w:r w:rsidR="00D6030F" w:rsidRPr="00F64CC0">
        <w:rPr>
          <w:bCs/>
        </w:rPr>
        <w:t xml:space="preserve"> μεταξύ των </w:t>
      </w:r>
      <w:r w:rsidR="00982C8E" w:rsidRPr="00F64CC0">
        <w:rPr>
          <w:bCs/>
        </w:rPr>
        <w:t>ενδ</w:t>
      </w:r>
      <w:r w:rsidR="00982C8E">
        <w:rPr>
          <w:bCs/>
        </w:rPr>
        <w:t xml:space="preserve">ο- </w:t>
      </w:r>
      <w:r w:rsidR="00982C8E" w:rsidRPr="00F64CC0">
        <w:rPr>
          <w:bCs/>
        </w:rPr>
        <w:t xml:space="preserve"> </w:t>
      </w:r>
      <w:r w:rsidR="00712865" w:rsidRPr="00F64CC0">
        <w:rPr>
          <w:bCs/>
        </w:rPr>
        <w:t>και τ</w:t>
      </w:r>
      <w:r w:rsidR="00D6030F" w:rsidRPr="00F64CC0">
        <w:rPr>
          <w:bCs/>
        </w:rPr>
        <w:t>ων</w:t>
      </w:r>
      <w:r w:rsidR="00712865" w:rsidRPr="00F64CC0">
        <w:rPr>
          <w:bCs/>
        </w:rPr>
        <w:t xml:space="preserve"> εξωαγγειακ</w:t>
      </w:r>
      <w:r w:rsidR="00D6030F" w:rsidRPr="00F64CC0">
        <w:rPr>
          <w:bCs/>
        </w:rPr>
        <w:t>ών</w:t>
      </w:r>
      <w:r w:rsidR="00712865" w:rsidRPr="00F64CC0">
        <w:rPr>
          <w:bCs/>
        </w:rPr>
        <w:t xml:space="preserve"> χώρ</w:t>
      </w:r>
      <w:r w:rsidR="00D6030F" w:rsidRPr="00F64CC0">
        <w:rPr>
          <w:bCs/>
        </w:rPr>
        <w:t>ων</w:t>
      </w:r>
      <w:r w:rsidR="00712865" w:rsidRPr="00F64CC0">
        <w:rPr>
          <w:bCs/>
        </w:rPr>
        <w:t>.</w:t>
      </w:r>
    </w:p>
    <w:p w:rsidR="00703D80" w:rsidRPr="00900919" w:rsidRDefault="006A2E04" w:rsidP="005E25A8">
      <w:pPr>
        <w:rPr>
          <w:bCs/>
        </w:rPr>
      </w:pPr>
      <w:r w:rsidRPr="00F64CC0">
        <w:rPr>
          <w:bCs/>
        </w:rPr>
        <w:t>Ο χρόνος ημι</w:t>
      </w:r>
      <w:r w:rsidR="009527DD" w:rsidRPr="00F64CC0">
        <w:rPr>
          <w:bCs/>
        </w:rPr>
        <w:t xml:space="preserve">ζωής της </w:t>
      </w:r>
      <w:r w:rsidR="00274708" w:rsidRPr="00F64CC0">
        <w:rPr>
          <w:bCs/>
        </w:rPr>
        <w:t xml:space="preserve">ανθρώπινης φυσιολογικής ανοσοσφαιρίνης </w:t>
      </w:r>
      <w:r w:rsidR="009527DD" w:rsidRPr="00F64CC0">
        <w:rPr>
          <w:bCs/>
        </w:rPr>
        <w:t xml:space="preserve"> είν</w:t>
      </w:r>
      <w:r w:rsidRPr="00F64CC0">
        <w:rPr>
          <w:bCs/>
        </w:rPr>
        <w:t xml:space="preserve">αι περίπου 21 </w:t>
      </w:r>
      <w:r w:rsidR="009527DD" w:rsidRPr="00F64CC0">
        <w:rPr>
          <w:bCs/>
        </w:rPr>
        <w:t>ημέρες</w:t>
      </w:r>
      <w:r w:rsidR="008D25EC" w:rsidRPr="00F64CC0">
        <w:rPr>
          <w:bCs/>
        </w:rPr>
        <w:t>,</w:t>
      </w:r>
      <w:r w:rsidR="009527DD" w:rsidRPr="00F64CC0">
        <w:rPr>
          <w:bCs/>
        </w:rPr>
        <w:t xml:space="preserve"> αλλά είναι δυνατόν να ποικίλλε</w:t>
      </w:r>
      <w:r w:rsidRPr="00F64CC0">
        <w:rPr>
          <w:bCs/>
        </w:rPr>
        <w:t>ι</w:t>
      </w:r>
      <w:r w:rsidR="009527DD" w:rsidRPr="00F64CC0">
        <w:rPr>
          <w:bCs/>
        </w:rPr>
        <w:t xml:space="preserve"> από άτομο σε άτομο, ιδίως στην περίπτωση της πρωτοπαθούς ανοσοανεπάρκειας.</w:t>
      </w:r>
    </w:p>
    <w:p w:rsidR="00703D80" w:rsidRPr="00F64CC0" w:rsidRDefault="00703D80" w:rsidP="005E25A8">
      <w:pPr>
        <w:rPr>
          <w:bCs/>
        </w:rPr>
      </w:pPr>
      <w:r w:rsidRPr="00F64CC0">
        <w:rPr>
          <w:bCs/>
        </w:rPr>
        <w:t xml:space="preserve">Η </w:t>
      </w:r>
      <w:proofErr w:type="spellStart"/>
      <w:r w:rsidRPr="00F64CC0">
        <w:rPr>
          <w:bCs/>
          <w:lang w:val="en-US"/>
        </w:rPr>
        <w:t>IgG</w:t>
      </w:r>
      <w:proofErr w:type="spellEnd"/>
      <w:r w:rsidRPr="00F64CC0">
        <w:rPr>
          <w:bCs/>
        </w:rPr>
        <w:t xml:space="preserve"> και τα συμπλέγματά της </w:t>
      </w:r>
      <w:proofErr w:type="spellStart"/>
      <w:r w:rsidR="00982C8E" w:rsidRPr="00982C8E">
        <w:rPr>
          <w:bCs/>
          <w:lang w:val="en-US"/>
        </w:rPr>
        <w:t>IgG</w:t>
      </w:r>
      <w:proofErr w:type="spellEnd"/>
      <w:r w:rsidR="00982C8E" w:rsidRPr="00F64CC0">
        <w:rPr>
          <w:bCs/>
        </w:rPr>
        <w:t xml:space="preserve"> </w:t>
      </w:r>
      <w:r w:rsidRPr="00F64CC0">
        <w:rPr>
          <w:bCs/>
        </w:rPr>
        <w:t>διασπώνται στα κύτταρα του δικτυοενδοθηλιακού συστήματος.</w:t>
      </w:r>
    </w:p>
    <w:p w:rsidR="00AE7B57" w:rsidRPr="00F64CC0" w:rsidRDefault="00AE7B57" w:rsidP="005E25A8">
      <w:pPr>
        <w:rPr>
          <w:bCs/>
        </w:rPr>
      </w:pPr>
    </w:p>
    <w:p w:rsidR="009A35C2" w:rsidRPr="00F64CC0" w:rsidRDefault="00AE7B57" w:rsidP="005E25A8">
      <w:pPr>
        <w:rPr>
          <w:bCs/>
        </w:rPr>
      </w:pPr>
      <w:r w:rsidRPr="00F64CC0">
        <w:rPr>
          <w:bCs/>
          <w:u w:val="single"/>
        </w:rPr>
        <w:t>Παιδιατρικός πληθυσμός</w:t>
      </w:r>
      <w:r w:rsidRPr="00F64CC0">
        <w:rPr>
          <w:bCs/>
        </w:rPr>
        <w:t>.</w:t>
      </w:r>
    </w:p>
    <w:p w:rsidR="00AE7B57" w:rsidRPr="00F64CC0" w:rsidRDefault="00AE7B57" w:rsidP="005E25A8">
      <w:pPr>
        <w:rPr>
          <w:bCs/>
        </w:rPr>
      </w:pPr>
      <w:r w:rsidRPr="00F64CC0">
        <w:rPr>
          <w:bCs/>
        </w:rPr>
        <w:t>Δημοσιευμένα στοιχεία που σχετίζονται με μελέτες φαρμακοκινητικής δεν έδειξαν σημαντικές διαφορές μεταξύ ενηλίκων και παιδιών που πάσχουν από την ίδια διαταραχή.</w:t>
      </w:r>
    </w:p>
    <w:p w:rsidR="002A112E" w:rsidRDefault="002A112E" w:rsidP="005E25A8">
      <w:pPr>
        <w:rPr>
          <w:bCs/>
        </w:rPr>
      </w:pPr>
      <w:r w:rsidRPr="00F64CC0">
        <w:rPr>
          <w:bCs/>
        </w:rPr>
        <w:t xml:space="preserve">Δεν υπάρχουν στοιχεία για τις φαρμακοκινητικές ιδιότητες </w:t>
      </w:r>
      <w:r w:rsidR="00982C8E" w:rsidRPr="00F64CC0">
        <w:rPr>
          <w:bCs/>
        </w:rPr>
        <w:t>σ</w:t>
      </w:r>
      <w:r w:rsidR="00982C8E">
        <w:rPr>
          <w:bCs/>
        </w:rPr>
        <w:t>ε</w:t>
      </w:r>
      <w:r w:rsidR="00982C8E" w:rsidRPr="00F64CC0">
        <w:rPr>
          <w:bCs/>
        </w:rPr>
        <w:t xml:space="preserve"> παιδιατρικ</w:t>
      </w:r>
      <w:r w:rsidR="00982C8E">
        <w:rPr>
          <w:bCs/>
        </w:rPr>
        <w:t>ούς</w:t>
      </w:r>
      <w:r w:rsidR="00982C8E" w:rsidRPr="00F64CC0">
        <w:rPr>
          <w:bCs/>
        </w:rPr>
        <w:t xml:space="preserve"> </w:t>
      </w:r>
      <w:r w:rsidR="00982C8E">
        <w:rPr>
          <w:bCs/>
        </w:rPr>
        <w:t>ασθενείς</w:t>
      </w:r>
      <w:r w:rsidR="00982C8E" w:rsidRPr="00F64CC0">
        <w:rPr>
          <w:bCs/>
        </w:rPr>
        <w:t xml:space="preserve"> </w:t>
      </w:r>
      <w:r w:rsidRPr="00F64CC0">
        <w:rPr>
          <w:bCs/>
        </w:rPr>
        <w:t xml:space="preserve">με </w:t>
      </w:r>
      <w:r w:rsidR="00674A19">
        <w:rPr>
          <w:bCs/>
        </w:rPr>
        <w:t>CIDP</w:t>
      </w:r>
    </w:p>
    <w:p w:rsidR="00982C8E" w:rsidRPr="00F64CC0" w:rsidRDefault="00982C8E" w:rsidP="005E25A8">
      <w:pPr>
        <w:rPr>
          <w:bCs/>
        </w:rPr>
      </w:pPr>
    </w:p>
    <w:p w:rsidR="005D7DC9" w:rsidRPr="005D7DC9" w:rsidRDefault="008D25EC" w:rsidP="005E25A8">
      <w:pPr>
        <w:rPr>
          <w:b/>
          <w:bCs/>
          <w:lang w:val="en-US"/>
        </w:rPr>
      </w:pPr>
      <w:r w:rsidRPr="00F64CC0">
        <w:rPr>
          <w:b/>
          <w:bCs/>
        </w:rPr>
        <w:t>5.3</w:t>
      </w:r>
      <w:r w:rsidR="009A35C2" w:rsidRPr="00F64CC0">
        <w:rPr>
          <w:b/>
          <w:bCs/>
        </w:rPr>
        <w:tab/>
      </w:r>
      <w:r w:rsidR="00A9519A" w:rsidRPr="00F64CC0">
        <w:rPr>
          <w:b/>
          <w:bCs/>
        </w:rPr>
        <w:t>Προκλινικά στοιχεία</w:t>
      </w:r>
      <w:r w:rsidR="00657E55" w:rsidRPr="00F64CC0">
        <w:rPr>
          <w:b/>
          <w:bCs/>
        </w:rPr>
        <w:t xml:space="preserve"> ασφάλεια</w:t>
      </w:r>
      <w:r w:rsidR="00A9519A" w:rsidRPr="00F64CC0">
        <w:rPr>
          <w:b/>
          <w:bCs/>
        </w:rPr>
        <w:t>ς</w:t>
      </w:r>
    </w:p>
    <w:p w:rsidR="004F1C3C" w:rsidRPr="00F64CC0" w:rsidRDefault="006A2E04" w:rsidP="005E25A8">
      <w:pPr>
        <w:ind w:left="-28"/>
        <w:rPr>
          <w:bCs/>
        </w:rPr>
      </w:pPr>
      <w:r w:rsidRPr="00F64CC0">
        <w:rPr>
          <w:bCs/>
        </w:rPr>
        <w:t xml:space="preserve">Οι </w:t>
      </w:r>
      <w:r w:rsidR="008D25EC" w:rsidRPr="00F64CC0">
        <w:rPr>
          <w:bCs/>
        </w:rPr>
        <w:t>ανοσοσφαιρίνες είναι φυσιολογικά</w:t>
      </w:r>
      <w:r w:rsidRPr="00F64CC0">
        <w:rPr>
          <w:bCs/>
        </w:rPr>
        <w:t xml:space="preserve"> συστατικά του ανθρώπινου σώματος.</w:t>
      </w:r>
    </w:p>
    <w:p w:rsidR="00A94CDA" w:rsidRPr="00F64CC0" w:rsidRDefault="00D9591C" w:rsidP="005E25A8">
      <w:pPr>
        <w:ind w:left="-28"/>
        <w:rPr>
          <w:bCs/>
        </w:rPr>
      </w:pPr>
      <w:r w:rsidRPr="00F64CC0">
        <w:rPr>
          <w:bCs/>
        </w:rPr>
        <w:t>Επιπλέον,</w:t>
      </w:r>
      <w:r w:rsidR="00982C8E">
        <w:rPr>
          <w:bCs/>
        </w:rPr>
        <w:t xml:space="preserve"> τα</w:t>
      </w:r>
      <w:r w:rsidRPr="00F64CC0">
        <w:rPr>
          <w:bCs/>
        </w:rPr>
        <w:t xml:space="preserve"> προκλινικά δεδομένα ασφάλειας είναι περιορισμένα καθώς</w:t>
      </w:r>
      <w:r w:rsidR="00D85FEC" w:rsidRPr="00F64CC0">
        <w:rPr>
          <w:bCs/>
        </w:rPr>
        <w:t>,</w:t>
      </w:r>
      <w:r w:rsidRPr="00F64CC0">
        <w:rPr>
          <w:bCs/>
        </w:rPr>
        <w:t xml:space="preserve"> η χορήγηση ανοσοσφαιρινών σε μελέτες με ζ</w:t>
      </w:r>
      <w:r w:rsidR="00F86E9A" w:rsidRPr="00F64CC0">
        <w:rPr>
          <w:bCs/>
        </w:rPr>
        <w:t>ώ</w:t>
      </w:r>
      <w:r w:rsidRPr="00F64CC0">
        <w:rPr>
          <w:bCs/>
        </w:rPr>
        <w:t>α μπορεί να οδηγήσει σε σχηματισμό αντισωμάτων.</w:t>
      </w:r>
    </w:p>
    <w:p w:rsidR="00A94CDA" w:rsidRPr="00F64CC0" w:rsidRDefault="00D85FEC" w:rsidP="005E25A8">
      <w:pPr>
        <w:ind w:left="-28"/>
        <w:rPr>
          <w:bCs/>
        </w:rPr>
      </w:pPr>
      <w:r w:rsidRPr="00F64CC0">
        <w:rPr>
          <w:bCs/>
        </w:rPr>
        <w:t>Παρόλα</w:t>
      </w:r>
      <w:r w:rsidR="008D25EC" w:rsidRPr="00F64CC0">
        <w:rPr>
          <w:bCs/>
        </w:rPr>
        <w:t xml:space="preserve"> α</w:t>
      </w:r>
      <w:r w:rsidRPr="00F64CC0">
        <w:rPr>
          <w:bCs/>
        </w:rPr>
        <w:t xml:space="preserve">υτά, περιορισμένες μελέτες σε </w:t>
      </w:r>
      <w:r w:rsidR="00F86E9A" w:rsidRPr="00F64CC0">
        <w:rPr>
          <w:bCs/>
        </w:rPr>
        <w:t xml:space="preserve">ζώα </w:t>
      </w:r>
      <w:r w:rsidRPr="00F64CC0">
        <w:rPr>
          <w:bCs/>
        </w:rPr>
        <w:t xml:space="preserve">δεν έδειξαν ιδιαίτερους κινδύνους για τον άνθρωπο, βασισμένες σε </w:t>
      </w:r>
      <w:r w:rsidR="008D25EC" w:rsidRPr="00F64CC0">
        <w:rPr>
          <w:bCs/>
        </w:rPr>
        <w:t xml:space="preserve">μελέτες </w:t>
      </w:r>
      <w:r w:rsidRPr="00F64CC0">
        <w:rPr>
          <w:bCs/>
        </w:rPr>
        <w:t>οξεί</w:t>
      </w:r>
      <w:r w:rsidR="008D25EC" w:rsidRPr="00F64CC0">
        <w:rPr>
          <w:bCs/>
        </w:rPr>
        <w:t>α</w:t>
      </w:r>
      <w:r w:rsidRPr="00F64CC0">
        <w:rPr>
          <w:bCs/>
        </w:rPr>
        <w:t>ς και υποξεί</w:t>
      </w:r>
      <w:r w:rsidR="008D25EC" w:rsidRPr="00F64CC0">
        <w:rPr>
          <w:bCs/>
        </w:rPr>
        <w:t>α</w:t>
      </w:r>
      <w:r w:rsidRPr="00F64CC0">
        <w:rPr>
          <w:bCs/>
        </w:rPr>
        <w:t>ς τοξικότητας.</w:t>
      </w:r>
    </w:p>
    <w:p w:rsidR="0052423C" w:rsidRPr="00F64CC0" w:rsidRDefault="0052423C" w:rsidP="005E25A8">
      <w:pPr>
        <w:ind w:left="-28"/>
        <w:rPr>
          <w:bCs/>
        </w:rPr>
      </w:pPr>
    </w:p>
    <w:p w:rsidR="00D76599" w:rsidRPr="00900919" w:rsidRDefault="00D76599" w:rsidP="00900919">
      <w:pPr>
        <w:rPr>
          <w:bCs/>
          <w:lang w:val="en-US"/>
        </w:rPr>
      </w:pPr>
    </w:p>
    <w:p w:rsidR="00982C8E" w:rsidRPr="00900919" w:rsidRDefault="004F1C3C" w:rsidP="00F64CC0">
      <w:pPr>
        <w:numPr>
          <w:ilvl w:val="0"/>
          <w:numId w:val="19"/>
        </w:numPr>
        <w:rPr>
          <w:b/>
          <w:bCs/>
        </w:rPr>
      </w:pPr>
      <w:r w:rsidRPr="00F64CC0">
        <w:rPr>
          <w:b/>
          <w:bCs/>
        </w:rPr>
        <w:t>ΦΑΡΜΑΚΕΥΤΙΚΑ ΣΤΟΙΧΕΙΑ</w:t>
      </w:r>
    </w:p>
    <w:p w:rsidR="0052423C" w:rsidRPr="00F64CC0" w:rsidRDefault="00D76599" w:rsidP="005E25A8">
      <w:pPr>
        <w:rPr>
          <w:b/>
          <w:bCs/>
        </w:rPr>
      </w:pPr>
      <w:r w:rsidRPr="00F64CC0">
        <w:rPr>
          <w:b/>
          <w:bCs/>
        </w:rPr>
        <w:t>6.1</w:t>
      </w:r>
      <w:r w:rsidRPr="00F64CC0">
        <w:rPr>
          <w:b/>
          <w:bCs/>
        </w:rPr>
        <w:tab/>
      </w:r>
      <w:r w:rsidR="00240D3C" w:rsidRPr="00F64CC0">
        <w:rPr>
          <w:b/>
          <w:bCs/>
        </w:rPr>
        <w:t>Κατάλογος</w:t>
      </w:r>
      <w:r w:rsidR="00825E4E" w:rsidRPr="00F64CC0">
        <w:rPr>
          <w:b/>
          <w:bCs/>
        </w:rPr>
        <w:t xml:space="preserve"> εκδόχων</w:t>
      </w:r>
    </w:p>
    <w:p w:rsidR="00982C8E" w:rsidRDefault="00CB26B7" w:rsidP="00D76599">
      <w:pPr>
        <w:ind w:left="-28"/>
        <w:rPr>
          <w:bCs/>
        </w:rPr>
      </w:pPr>
      <w:r w:rsidRPr="00F64CC0">
        <w:rPr>
          <w:bCs/>
        </w:rPr>
        <w:t xml:space="preserve">Μαλτόζη </w:t>
      </w:r>
    </w:p>
    <w:p w:rsidR="00EF449C" w:rsidRDefault="00CB26B7" w:rsidP="00D76599">
      <w:pPr>
        <w:ind w:left="-28"/>
        <w:rPr>
          <w:bCs/>
        </w:rPr>
      </w:pPr>
      <w:r w:rsidRPr="00F64CC0">
        <w:rPr>
          <w:bCs/>
        </w:rPr>
        <w:t>Ενέσιμο Υδωρ</w:t>
      </w:r>
    </w:p>
    <w:p w:rsidR="00982C8E" w:rsidRPr="00F64CC0" w:rsidRDefault="00982C8E" w:rsidP="00D76599">
      <w:pPr>
        <w:ind w:left="-28"/>
        <w:rPr>
          <w:bCs/>
        </w:rPr>
      </w:pPr>
    </w:p>
    <w:p w:rsidR="001E314B" w:rsidRPr="00F64CC0" w:rsidRDefault="00D76599" w:rsidP="005E25A8">
      <w:pPr>
        <w:rPr>
          <w:b/>
          <w:bCs/>
        </w:rPr>
      </w:pPr>
      <w:r w:rsidRPr="00F64CC0">
        <w:rPr>
          <w:b/>
          <w:bCs/>
        </w:rPr>
        <w:t>6.2</w:t>
      </w:r>
      <w:r w:rsidRPr="00F64CC0">
        <w:rPr>
          <w:b/>
          <w:bCs/>
        </w:rPr>
        <w:tab/>
      </w:r>
      <w:r w:rsidR="001E314B" w:rsidRPr="00F64CC0">
        <w:rPr>
          <w:b/>
          <w:bCs/>
        </w:rPr>
        <w:t>Ασυμβατότητες</w:t>
      </w:r>
    </w:p>
    <w:p w:rsidR="00254D51" w:rsidRPr="00F64CC0" w:rsidRDefault="00995897" w:rsidP="00D76599">
      <w:pPr>
        <w:rPr>
          <w:bCs/>
        </w:rPr>
      </w:pPr>
      <w:r w:rsidRPr="00F64CC0">
        <w:rPr>
          <w:bCs/>
        </w:rPr>
        <w:t>Λόγω της απουσίας μελετών συμβατότητας, αυτό το φαρμακευτικό προϊόν</w:t>
      </w:r>
      <w:r w:rsidRPr="00F64CC0" w:rsidDel="00995897">
        <w:rPr>
          <w:bCs/>
        </w:rPr>
        <w:t xml:space="preserve"> </w:t>
      </w:r>
      <w:r w:rsidR="00254D51" w:rsidRPr="00F64CC0">
        <w:rPr>
          <w:bCs/>
        </w:rPr>
        <w:t xml:space="preserve">δεν πρέπει να </w:t>
      </w:r>
      <w:r w:rsidR="008B2D47" w:rsidRPr="00F64CC0">
        <w:rPr>
          <w:bCs/>
        </w:rPr>
        <w:t>αναμιγνύεται</w:t>
      </w:r>
      <w:r w:rsidR="00254D51" w:rsidRPr="00F64CC0">
        <w:rPr>
          <w:bCs/>
        </w:rPr>
        <w:t xml:space="preserve"> με άλλα φαρμακευτικά </w:t>
      </w:r>
      <w:r w:rsidR="00A94CDA" w:rsidRPr="00F64CC0">
        <w:rPr>
          <w:bCs/>
        </w:rPr>
        <w:t>προϊόντα</w:t>
      </w:r>
      <w:r w:rsidR="00254D51" w:rsidRPr="00F64CC0">
        <w:rPr>
          <w:bCs/>
        </w:rPr>
        <w:t>.</w:t>
      </w:r>
    </w:p>
    <w:p w:rsidR="00254D51" w:rsidRPr="00F64CC0" w:rsidRDefault="00254D51" w:rsidP="005E25A8">
      <w:pPr>
        <w:ind w:left="-28"/>
        <w:rPr>
          <w:bCs/>
        </w:rPr>
      </w:pPr>
    </w:p>
    <w:p w:rsidR="00B71437" w:rsidRPr="00F64CC0" w:rsidRDefault="00D76599" w:rsidP="005E25A8">
      <w:pPr>
        <w:rPr>
          <w:b/>
          <w:bCs/>
        </w:rPr>
      </w:pPr>
      <w:r w:rsidRPr="00F64CC0">
        <w:rPr>
          <w:b/>
          <w:bCs/>
        </w:rPr>
        <w:t>6.3</w:t>
      </w:r>
      <w:r w:rsidRPr="00F64CC0">
        <w:rPr>
          <w:b/>
          <w:bCs/>
        </w:rPr>
        <w:tab/>
      </w:r>
      <w:r w:rsidR="00240D3C" w:rsidRPr="00F64CC0">
        <w:rPr>
          <w:b/>
          <w:bCs/>
        </w:rPr>
        <w:t>Διάρκεια</w:t>
      </w:r>
      <w:r w:rsidR="001E314B" w:rsidRPr="00F64CC0">
        <w:rPr>
          <w:b/>
          <w:bCs/>
        </w:rPr>
        <w:t xml:space="preserve"> ζωής</w:t>
      </w:r>
    </w:p>
    <w:p w:rsidR="00274708" w:rsidRPr="00F64CC0" w:rsidRDefault="00274708" w:rsidP="00274708">
      <w:pPr>
        <w:ind w:left="-28"/>
      </w:pPr>
      <w:r w:rsidRPr="00F64CC0">
        <w:rPr>
          <w:bCs/>
        </w:rPr>
        <w:t xml:space="preserve">3 χρόνια για την συσκευασία των 100 </w:t>
      </w:r>
      <w:r w:rsidRPr="00F64CC0">
        <w:rPr>
          <w:bCs/>
          <w:lang w:val="it-IT"/>
        </w:rPr>
        <w:t>ml</w:t>
      </w:r>
      <w:r w:rsidRPr="00F64CC0">
        <w:rPr>
          <w:bCs/>
        </w:rPr>
        <w:t>.</w:t>
      </w:r>
    </w:p>
    <w:p w:rsidR="00274708" w:rsidRPr="00F64CC0" w:rsidRDefault="00274708" w:rsidP="00274708">
      <w:pPr>
        <w:ind w:left="-28"/>
      </w:pPr>
      <w:r w:rsidRPr="00F64CC0">
        <w:rPr>
          <w:bCs/>
        </w:rPr>
        <w:t xml:space="preserve">2 χρόνια </w:t>
      </w:r>
      <w:r w:rsidRPr="00F64CC0">
        <w:t xml:space="preserve">για τις συσκευασίες των 20, 50 και 200 </w:t>
      </w:r>
      <w:r w:rsidRPr="00F64CC0">
        <w:rPr>
          <w:lang w:val="en-US"/>
        </w:rPr>
        <w:t>ml</w:t>
      </w:r>
      <w:r w:rsidRPr="00F64CC0">
        <w:t>.</w:t>
      </w:r>
    </w:p>
    <w:p w:rsidR="00D85FEC" w:rsidRPr="00F64CC0" w:rsidRDefault="00D85FEC" w:rsidP="005E25A8">
      <w:pPr>
        <w:ind w:left="-28"/>
        <w:rPr>
          <w:bCs/>
        </w:rPr>
      </w:pPr>
      <w:r w:rsidRPr="00F64CC0">
        <w:rPr>
          <w:bCs/>
        </w:rPr>
        <w:t>Όταν ανοιχτεί ο περιέκτης</w:t>
      </w:r>
      <w:r w:rsidR="00982C8E">
        <w:rPr>
          <w:bCs/>
        </w:rPr>
        <w:t>,</w:t>
      </w:r>
      <w:r w:rsidRPr="00F64CC0">
        <w:rPr>
          <w:bCs/>
        </w:rPr>
        <w:t xml:space="preserve"> το περιεχόμενο πρέπει να χρησιμοποιηθεί αμέσως.</w:t>
      </w:r>
    </w:p>
    <w:p w:rsidR="00D85FEC" w:rsidRPr="00F64CC0" w:rsidRDefault="00D85FEC" w:rsidP="00D76599">
      <w:pPr>
        <w:ind w:left="-28"/>
        <w:rPr>
          <w:bCs/>
        </w:rPr>
      </w:pPr>
    </w:p>
    <w:p w:rsidR="001E314B" w:rsidRPr="00F64CC0" w:rsidRDefault="00D76599" w:rsidP="005E25A8">
      <w:pPr>
        <w:rPr>
          <w:b/>
          <w:bCs/>
        </w:rPr>
      </w:pPr>
      <w:r w:rsidRPr="00F64CC0">
        <w:rPr>
          <w:b/>
          <w:bCs/>
        </w:rPr>
        <w:lastRenderedPageBreak/>
        <w:t>6.4</w:t>
      </w:r>
      <w:r w:rsidRPr="00F64CC0">
        <w:rPr>
          <w:b/>
          <w:bCs/>
        </w:rPr>
        <w:tab/>
      </w:r>
      <w:r w:rsidR="00240D3C" w:rsidRPr="00F64CC0">
        <w:rPr>
          <w:b/>
          <w:bCs/>
        </w:rPr>
        <w:t>Ιδιαίτερες προφυλάξεις κατά τη φύλαξη του προϊόντος</w:t>
      </w:r>
    </w:p>
    <w:p w:rsidR="00240D3C" w:rsidRPr="00F64CC0" w:rsidRDefault="00240D3C" w:rsidP="005E25A8">
      <w:pPr>
        <w:ind w:left="-28"/>
        <w:rPr>
          <w:bCs/>
        </w:rPr>
      </w:pPr>
      <w:r w:rsidRPr="00F64CC0">
        <w:rPr>
          <w:bCs/>
        </w:rPr>
        <w:t>Φυλάσσετ</w:t>
      </w:r>
      <w:r w:rsidR="00046190" w:rsidRPr="00F64CC0">
        <w:rPr>
          <w:bCs/>
        </w:rPr>
        <w:t>αι</w:t>
      </w:r>
      <w:r w:rsidRPr="00F64CC0">
        <w:rPr>
          <w:bCs/>
        </w:rPr>
        <w:t xml:space="preserve"> σε ψυγείο (</w:t>
      </w:r>
      <w:r w:rsidR="00995897" w:rsidRPr="00F64CC0">
        <w:rPr>
          <w:bCs/>
        </w:rPr>
        <w:t>+</w:t>
      </w:r>
      <w:r w:rsidRPr="00F64CC0">
        <w:rPr>
          <w:bCs/>
        </w:rPr>
        <w:t>2</w:t>
      </w:r>
      <w:r w:rsidRPr="00F64CC0">
        <w:rPr>
          <w:bCs/>
          <w:vertAlign w:val="superscript"/>
        </w:rPr>
        <w:t>ο</w:t>
      </w:r>
      <w:r w:rsidRPr="00F64CC0">
        <w:rPr>
          <w:bCs/>
        </w:rPr>
        <w:t>C</w:t>
      </w:r>
      <w:r w:rsidR="00995897" w:rsidRPr="00F64CC0">
        <w:rPr>
          <w:bCs/>
        </w:rPr>
        <w:t>/+</w:t>
      </w:r>
      <w:r w:rsidRPr="00F64CC0">
        <w:rPr>
          <w:bCs/>
        </w:rPr>
        <w:t>8</w:t>
      </w:r>
      <w:r w:rsidRPr="00F64CC0">
        <w:rPr>
          <w:bCs/>
          <w:vertAlign w:val="superscript"/>
        </w:rPr>
        <w:t>ο</w:t>
      </w:r>
      <w:r w:rsidRPr="00F64CC0">
        <w:rPr>
          <w:bCs/>
        </w:rPr>
        <w:t>C)</w:t>
      </w:r>
      <w:r w:rsidR="00D85FEC" w:rsidRPr="00F64CC0">
        <w:rPr>
          <w:bCs/>
        </w:rPr>
        <w:t>.</w:t>
      </w:r>
      <w:r w:rsidR="00F0740B" w:rsidRPr="00F64CC0">
        <w:rPr>
          <w:bCs/>
        </w:rPr>
        <w:t xml:space="preserve"> </w:t>
      </w:r>
      <w:r w:rsidR="00D85FEC" w:rsidRPr="00F64CC0">
        <w:rPr>
          <w:bCs/>
        </w:rPr>
        <w:t>Διατηρείτε το φιαλίδιο στο εξωτερικό κουτί</w:t>
      </w:r>
      <w:r w:rsidRPr="00F64CC0">
        <w:rPr>
          <w:bCs/>
        </w:rPr>
        <w:t xml:space="preserve">. </w:t>
      </w:r>
    </w:p>
    <w:p w:rsidR="00FA75E3" w:rsidRPr="00F64CC0" w:rsidRDefault="00240D3C" w:rsidP="005E25A8">
      <w:pPr>
        <w:ind w:left="-28"/>
        <w:rPr>
          <w:bCs/>
        </w:rPr>
      </w:pPr>
      <w:r w:rsidRPr="00F64CC0">
        <w:rPr>
          <w:bCs/>
        </w:rPr>
        <w:t>Μην καταψύχετε το προϊόν.</w:t>
      </w:r>
    </w:p>
    <w:p w:rsidR="00240D3C" w:rsidRPr="00F64CC0" w:rsidRDefault="00240D3C" w:rsidP="005E25A8">
      <w:pPr>
        <w:ind w:left="-28"/>
        <w:rPr>
          <w:bCs/>
        </w:rPr>
      </w:pPr>
    </w:p>
    <w:p w:rsidR="00240D3C" w:rsidRPr="00F64CC0" w:rsidRDefault="00D76599" w:rsidP="005E25A8">
      <w:pPr>
        <w:rPr>
          <w:b/>
          <w:bCs/>
        </w:rPr>
      </w:pPr>
      <w:r w:rsidRPr="00F64CC0">
        <w:rPr>
          <w:b/>
          <w:bCs/>
        </w:rPr>
        <w:t>6.5</w:t>
      </w:r>
      <w:r w:rsidRPr="00F64CC0">
        <w:rPr>
          <w:b/>
          <w:bCs/>
        </w:rPr>
        <w:tab/>
      </w:r>
      <w:r w:rsidR="00240D3C" w:rsidRPr="00F64CC0">
        <w:rPr>
          <w:b/>
          <w:bCs/>
        </w:rPr>
        <w:t>Φύση και συστατικά του περιέκτη</w:t>
      </w:r>
    </w:p>
    <w:p w:rsidR="00240D3C" w:rsidRPr="00F64CC0" w:rsidRDefault="004963C2" w:rsidP="005E25A8">
      <w:pPr>
        <w:rPr>
          <w:bCs/>
        </w:rPr>
      </w:pPr>
      <w:r w:rsidRPr="00F64CC0">
        <w:rPr>
          <w:bCs/>
        </w:rPr>
        <w:t xml:space="preserve">20 </w:t>
      </w:r>
      <w:r w:rsidRPr="00F64CC0">
        <w:rPr>
          <w:bCs/>
          <w:lang w:val="en-US"/>
        </w:rPr>
        <w:t>ml</w:t>
      </w:r>
      <w:r w:rsidR="00BF4423" w:rsidRPr="00F64CC0">
        <w:rPr>
          <w:bCs/>
        </w:rPr>
        <w:t xml:space="preserve"> διαλύματος σε φιαλίδιο (</w:t>
      </w:r>
      <w:r w:rsidR="00982C8E" w:rsidRPr="00CF2904">
        <w:rPr>
          <w:bCs/>
        </w:rPr>
        <w:t>γυαλί</w:t>
      </w:r>
      <w:r w:rsidR="00982C8E" w:rsidRPr="00F64CC0">
        <w:rPr>
          <w:bCs/>
        </w:rPr>
        <w:t xml:space="preserve"> </w:t>
      </w:r>
      <w:r w:rsidR="00BF4423" w:rsidRPr="00F64CC0">
        <w:rPr>
          <w:bCs/>
        </w:rPr>
        <w:t>Τ</w:t>
      </w:r>
      <w:r w:rsidRPr="00F64CC0">
        <w:rPr>
          <w:bCs/>
        </w:rPr>
        <w:t>ύπου</w:t>
      </w:r>
      <w:r w:rsidR="005D7DC9" w:rsidRPr="005D7DC9">
        <w:rPr>
          <w:bCs/>
        </w:rPr>
        <w:t xml:space="preserve"> </w:t>
      </w:r>
      <w:r w:rsidR="00982C8E" w:rsidRPr="00CF2904">
        <w:rPr>
          <w:bCs/>
          <w:lang w:val="en-US"/>
        </w:rPr>
        <w:t>I</w:t>
      </w:r>
      <w:r w:rsidR="00BF4423" w:rsidRPr="00F64CC0">
        <w:rPr>
          <w:bCs/>
        </w:rPr>
        <w:t>)</w:t>
      </w:r>
      <w:r w:rsidRPr="00F64CC0">
        <w:rPr>
          <w:bCs/>
        </w:rPr>
        <w:t>, με πώμα</w:t>
      </w:r>
      <w:r w:rsidR="00BF4423" w:rsidRPr="00F64CC0">
        <w:rPr>
          <w:bCs/>
        </w:rPr>
        <w:t xml:space="preserve"> (</w:t>
      </w:r>
      <w:r w:rsidR="00BB1B1D" w:rsidRPr="00F64CC0">
        <w:rPr>
          <w:bCs/>
        </w:rPr>
        <w:t>ελαστικό</w:t>
      </w:r>
      <w:r w:rsidR="00BB1B1D" w:rsidRPr="00F64CC0" w:rsidDel="00FA2A74">
        <w:rPr>
          <w:bCs/>
        </w:rPr>
        <w:t xml:space="preserve"> </w:t>
      </w:r>
      <w:r w:rsidR="00B94BFE" w:rsidRPr="00F64CC0">
        <w:rPr>
          <w:bCs/>
        </w:rPr>
        <w:t>αλοβουτ</w:t>
      </w:r>
      <w:r w:rsidR="00B94BFE">
        <w:rPr>
          <w:bCs/>
        </w:rPr>
        <w:t>ύλιο</w:t>
      </w:r>
      <w:r w:rsidR="00982C8E">
        <w:rPr>
          <w:bCs/>
        </w:rPr>
        <w:t>:</w:t>
      </w:r>
      <w:r w:rsidR="00982C8E" w:rsidRPr="00F64CC0">
        <w:rPr>
          <w:bCs/>
        </w:rPr>
        <w:t xml:space="preserve"> </w:t>
      </w:r>
      <w:r w:rsidR="00982C8E">
        <w:rPr>
          <w:bCs/>
        </w:rPr>
        <w:t>μ</w:t>
      </w:r>
      <w:r w:rsidR="00982C8E" w:rsidRPr="00F64CC0">
        <w:rPr>
          <w:bCs/>
        </w:rPr>
        <w:t xml:space="preserve">έγεθος </w:t>
      </w:r>
      <w:r w:rsidR="00452249" w:rsidRPr="00F64CC0">
        <w:rPr>
          <w:bCs/>
        </w:rPr>
        <w:t>συσκευασίας ενός φιαλιδίου</w:t>
      </w:r>
    </w:p>
    <w:p w:rsidR="004963C2" w:rsidRPr="00F64CC0" w:rsidRDefault="00452249" w:rsidP="005E25A8">
      <w:pPr>
        <w:rPr>
          <w:bCs/>
        </w:rPr>
      </w:pPr>
      <w:r w:rsidRPr="00F64CC0">
        <w:rPr>
          <w:bCs/>
        </w:rPr>
        <w:t>50</w:t>
      </w:r>
      <w:r w:rsidR="0092040B" w:rsidRPr="00F64CC0">
        <w:rPr>
          <w:bCs/>
        </w:rPr>
        <w:t xml:space="preserve"> </w:t>
      </w:r>
      <w:r w:rsidRPr="00F64CC0">
        <w:rPr>
          <w:bCs/>
          <w:lang w:val="it-IT"/>
        </w:rPr>
        <w:t>ml</w:t>
      </w:r>
      <w:r w:rsidRPr="00F64CC0">
        <w:rPr>
          <w:bCs/>
        </w:rPr>
        <w:t>, 100</w:t>
      </w:r>
      <w:r w:rsidR="0092040B" w:rsidRPr="00F64CC0">
        <w:rPr>
          <w:bCs/>
        </w:rPr>
        <w:t xml:space="preserve"> </w:t>
      </w:r>
      <w:r w:rsidRPr="00F64CC0">
        <w:rPr>
          <w:bCs/>
          <w:lang w:val="it-IT"/>
        </w:rPr>
        <w:t>ml</w:t>
      </w:r>
      <w:r w:rsidRPr="00F64CC0">
        <w:rPr>
          <w:bCs/>
        </w:rPr>
        <w:t xml:space="preserve"> και 200</w:t>
      </w:r>
      <w:r w:rsidR="0092040B" w:rsidRPr="00F64CC0">
        <w:rPr>
          <w:bCs/>
        </w:rPr>
        <w:t xml:space="preserve"> </w:t>
      </w:r>
      <w:r w:rsidRPr="00F64CC0">
        <w:rPr>
          <w:bCs/>
          <w:lang w:val="it-IT"/>
        </w:rPr>
        <w:t>ml</w:t>
      </w:r>
      <w:r w:rsidRPr="00F64CC0">
        <w:rPr>
          <w:bCs/>
        </w:rPr>
        <w:t xml:space="preserve"> διαλύματος σε φιαλίδιο (</w:t>
      </w:r>
      <w:r w:rsidR="00982C8E">
        <w:rPr>
          <w:bCs/>
        </w:rPr>
        <w:t xml:space="preserve">γυαλί </w:t>
      </w:r>
      <w:r w:rsidRPr="00F64CC0">
        <w:rPr>
          <w:bCs/>
        </w:rPr>
        <w:t xml:space="preserve">Τύπου </w:t>
      </w:r>
      <w:r w:rsidRPr="00F64CC0">
        <w:rPr>
          <w:bCs/>
          <w:lang w:val="it-IT"/>
        </w:rPr>
        <w:t>I</w:t>
      </w:r>
      <w:r w:rsidRPr="00F64CC0">
        <w:rPr>
          <w:bCs/>
        </w:rPr>
        <w:t>), με πώμα (</w:t>
      </w:r>
      <w:r w:rsidR="00BB1B1D" w:rsidRPr="00F64CC0">
        <w:rPr>
          <w:bCs/>
        </w:rPr>
        <w:t>ελαστικό</w:t>
      </w:r>
      <w:r w:rsidR="00BB1B1D" w:rsidRPr="00F64CC0" w:rsidDel="00FA2A74">
        <w:rPr>
          <w:bCs/>
        </w:rPr>
        <w:t xml:space="preserve"> </w:t>
      </w:r>
      <w:r w:rsidR="00BB1B1D" w:rsidRPr="00F64CC0">
        <w:rPr>
          <w:bCs/>
        </w:rPr>
        <w:t>α</w:t>
      </w:r>
      <w:r w:rsidR="0092040B" w:rsidRPr="00F64CC0">
        <w:rPr>
          <w:bCs/>
        </w:rPr>
        <w:t>λοβουτ</w:t>
      </w:r>
      <w:r w:rsidR="00B94BFE">
        <w:rPr>
          <w:bCs/>
        </w:rPr>
        <w:t>ύλιο</w:t>
      </w:r>
      <w:r w:rsidRPr="00F64CC0">
        <w:rPr>
          <w:bCs/>
        </w:rPr>
        <w:t>)</w:t>
      </w:r>
      <w:r w:rsidR="00B94BFE">
        <w:rPr>
          <w:bCs/>
        </w:rPr>
        <w:t>:</w:t>
      </w:r>
      <w:r w:rsidRPr="00F64CC0">
        <w:rPr>
          <w:bCs/>
        </w:rPr>
        <w:t xml:space="preserve"> </w:t>
      </w:r>
      <w:r w:rsidR="00B94BFE">
        <w:rPr>
          <w:bCs/>
        </w:rPr>
        <w:t>μ</w:t>
      </w:r>
      <w:r w:rsidR="00B94BFE" w:rsidRPr="00F64CC0">
        <w:rPr>
          <w:bCs/>
        </w:rPr>
        <w:t xml:space="preserve">έγεθος </w:t>
      </w:r>
      <w:r w:rsidRPr="00F64CC0">
        <w:rPr>
          <w:bCs/>
        </w:rPr>
        <w:t>συσκευασίας ενός φιαλιδίου + σετ έγχυσης</w:t>
      </w:r>
    </w:p>
    <w:p w:rsidR="00452249" w:rsidRPr="00F64CC0" w:rsidRDefault="00452249" w:rsidP="005E25A8">
      <w:pPr>
        <w:rPr>
          <w:bCs/>
        </w:rPr>
      </w:pPr>
    </w:p>
    <w:p w:rsidR="00074B7D" w:rsidRPr="00F64CC0" w:rsidRDefault="00D76599" w:rsidP="005E25A8">
      <w:pPr>
        <w:rPr>
          <w:b/>
          <w:bCs/>
        </w:rPr>
      </w:pPr>
      <w:r w:rsidRPr="00F64CC0">
        <w:rPr>
          <w:b/>
          <w:bCs/>
        </w:rPr>
        <w:t>6.6</w:t>
      </w:r>
      <w:r w:rsidRPr="00F64CC0">
        <w:rPr>
          <w:b/>
          <w:bCs/>
        </w:rPr>
        <w:tab/>
      </w:r>
      <w:r w:rsidR="004963C2" w:rsidRPr="00F64CC0">
        <w:rPr>
          <w:b/>
          <w:bCs/>
        </w:rPr>
        <w:t>Οδηγίες χρήσης, χειρισμού και απόρριψης</w:t>
      </w:r>
    </w:p>
    <w:p w:rsidR="00074B7D" w:rsidRPr="00F64CC0" w:rsidRDefault="00C23890" w:rsidP="005E25A8">
      <w:pPr>
        <w:ind w:left="-28"/>
        <w:rPr>
          <w:bCs/>
        </w:rPr>
      </w:pPr>
      <w:r w:rsidRPr="00F64CC0">
        <w:rPr>
          <w:bCs/>
        </w:rPr>
        <w:t>Το προϊόν πρέπει να φέρεται σε θερμοκρασία δωματίου ή σώματος πριν τη χρήση.</w:t>
      </w:r>
    </w:p>
    <w:p w:rsidR="009706BF" w:rsidRPr="00F64CC0" w:rsidRDefault="00BD2E71" w:rsidP="005E25A8">
      <w:pPr>
        <w:ind w:left="-28"/>
        <w:rPr>
          <w:bCs/>
        </w:rPr>
      </w:pPr>
      <w:r w:rsidRPr="00F64CC0">
        <w:rPr>
          <w:bCs/>
        </w:rPr>
        <w:t xml:space="preserve">Το διάλυμα θα πρέπει να είναι διαυγές ή ελαφρώς </w:t>
      </w:r>
      <w:r w:rsidR="00452249" w:rsidRPr="00F64CC0">
        <w:rPr>
          <w:bCs/>
        </w:rPr>
        <w:t>ιριδίζον</w:t>
      </w:r>
      <w:r w:rsidR="00995897" w:rsidRPr="00F64CC0">
        <w:rPr>
          <w:bCs/>
        </w:rPr>
        <w:t xml:space="preserve">, άχρωμο ή </w:t>
      </w:r>
      <w:r w:rsidR="006F0D33" w:rsidRPr="00F64CC0">
        <w:rPr>
          <w:bCs/>
        </w:rPr>
        <w:t>ανοιχτό</w:t>
      </w:r>
      <w:r w:rsidR="00995897" w:rsidRPr="00F64CC0">
        <w:rPr>
          <w:bCs/>
        </w:rPr>
        <w:t xml:space="preserve"> κίτρινο</w:t>
      </w:r>
    </w:p>
    <w:p w:rsidR="00BD2E71" w:rsidRPr="00F64CC0" w:rsidRDefault="00995897" w:rsidP="005E25A8">
      <w:pPr>
        <w:rPr>
          <w:bCs/>
        </w:rPr>
      </w:pPr>
      <w:r w:rsidRPr="00F64CC0">
        <w:rPr>
          <w:bCs/>
        </w:rPr>
        <w:t>Δ</w:t>
      </w:r>
      <w:r w:rsidR="00BD2E71" w:rsidRPr="00F64CC0">
        <w:rPr>
          <w:bCs/>
        </w:rPr>
        <w:t>ιαλύματα που είναι θολά ή παρουσιάζουν ίζημα</w:t>
      </w:r>
      <w:r w:rsidRPr="00F64CC0">
        <w:rPr>
          <w:bCs/>
        </w:rPr>
        <w:t xml:space="preserve"> δεν πρέπει να χρησιμοποιούνται</w:t>
      </w:r>
    </w:p>
    <w:p w:rsidR="00644997" w:rsidRPr="00F64CC0" w:rsidRDefault="00397CB6" w:rsidP="005E25A8">
      <w:pPr>
        <w:ind w:left="-28"/>
        <w:rPr>
          <w:bCs/>
        </w:rPr>
      </w:pPr>
      <w:r w:rsidRPr="00F64CC0">
        <w:rPr>
          <w:bCs/>
        </w:rPr>
        <w:t>Το διάλυμα πρέπει να</w:t>
      </w:r>
      <w:r w:rsidR="00644997" w:rsidRPr="00F64CC0">
        <w:rPr>
          <w:bCs/>
        </w:rPr>
        <w:t xml:space="preserve"> εξετά</w:t>
      </w:r>
      <w:r w:rsidR="00046190" w:rsidRPr="00F64CC0">
        <w:rPr>
          <w:bCs/>
        </w:rPr>
        <w:t>ζ</w:t>
      </w:r>
      <w:r w:rsidR="00D75385" w:rsidRPr="00F64CC0">
        <w:rPr>
          <w:bCs/>
        </w:rPr>
        <w:t>εται</w:t>
      </w:r>
      <w:r w:rsidR="00046190" w:rsidRPr="00F64CC0">
        <w:rPr>
          <w:bCs/>
        </w:rPr>
        <w:t xml:space="preserve"> οπτικά, προτού χορηγηθεί</w:t>
      </w:r>
      <w:r w:rsidR="00644997" w:rsidRPr="00F64CC0">
        <w:rPr>
          <w:bCs/>
        </w:rPr>
        <w:t>, για ύπαρξη σωματιδίων και χρωματική αλλοίωση.</w:t>
      </w:r>
    </w:p>
    <w:p w:rsidR="00E70973" w:rsidRPr="00F64CC0" w:rsidRDefault="00E70973" w:rsidP="005E25A8">
      <w:pPr>
        <w:ind w:left="-28"/>
        <w:rPr>
          <w:bCs/>
        </w:rPr>
      </w:pPr>
      <w:r w:rsidRPr="00F64CC0">
        <w:rPr>
          <w:bCs/>
        </w:rPr>
        <w:t xml:space="preserve">Τυχόν μη χρησιμοποιημένο προϊόν ή άλλα </w:t>
      </w:r>
      <w:r w:rsidR="004963C2" w:rsidRPr="00F64CC0">
        <w:rPr>
          <w:bCs/>
        </w:rPr>
        <w:t>απορρίμματα</w:t>
      </w:r>
      <w:r w:rsidRPr="00F64CC0">
        <w:rPr>
          <w:bCs/>
        </w:rPr>
        <w:t xml:space="preserve"> θα πρέπει να απορρίπτονται σύμφωνα με τους ισχύοντες κανονισμούς ασφαλείας.</w:t>
      </w:r>
    </w:p>
    <w:p w:rsidR="00D76599" w:rsidRPr="00900919" w:rsidRDefault="00D76599" w:rsidP="00D76599">
      <w:pPr>
        <w:rPr>
          <w:bCs/>
          <w:lang w:val="en-US"/>
        </w:rPr>
      </w:pPr>
    </w:p>
    <w:p w:rsidR="009706BF" w:rsidRPr="00F64CC0" w:rsidRDefault="009706BF" w:rsidP="005E25A8">
      <w:pPr>
        <w:numPr>
          <w:ilvl w:val="0"/>
          <w:numId w:val="19"/>
        </w:numPr>
        <w:rPr>
          <w:b/>
          <w:bCs/>
        </w:rPr>
      </w:pPr>
      <w:r w:rsidRPr="00F64CC0">
        <w:rPr>
          <w:b/>
          <w:bCs/>
        </w:rPr>
        <w:t>ΚΑΤΟΧΟΣ ΑΔΕΙΑΣ ΚΥΚΛΟΦΟΡΙΑΣ</w:t>
      </w:r>
    </w:p>
    <w:p w:rsidR="002D6A16" w:rsidRPr="00F64CC0" w:rsidRDefault="009706BF" w:rsidP="005E25A8">
      <w:pPr>
        <w:ind w:left="-180"/>
        <w:rPr>
          <w:bCs/>
          <w:lang w:val="it-IT"/>
        </w:rPr>
      </w:pPr>
      <w:r w:rsidRPr="00F64CC0">
        <w:rPr>
          <w:bCs/>
          <w:lang w:val="it-IT"/>
        </w:rPr>
        <w:t>Kedrion</w:t>
      </w:r>
      <w:r w:rsidRPr="00F64CC0">
        <w:rPr>
          <w:bCs/>
          <w:lang w:val="en-US"/>
        </w:rPr>
        <w:t xml:space="preserve"> </w:t>
      </w:r>
      <w:r w:rsidRPr="00F64CC0">
        <w:rPr>
          <w:bCs/>
          <w:lang w:val="it-IT"/>
        </w:rPr>
        <w:t>S</w:t>
      </w:r>
      <w:r w:rsidRPr="00F64CC0">
        <w:rPr>
          <w:bCs/>
          <w:lang w:val="en-US"/>
        </w:rPr>
        <w:t>.</w:t>
      </w:r>
      <w:r w:rsidRPr="00F64CC0">
        <w:rPr>
          <w:bCs/>
          <w:lang w:val="it-IT"/>
        </w:rPr>
        <w:t>p</w:t>
      </w:r>
      <w:r w:rsidRPr="00F64CC0">
        <w:rPr>
          <w:bCs/>
          <w:lang w:val="en-US"/>
        </w:rPr>
        <w:t>.</w:t>
      </w:r>
      <w:r w:rsidRPr="00F64CC0">
        <w:rPr>
          <w:bCs/>
          <w:lang w:val="it-IT"/>
        </w:rPr>
        <w:t>A</w:t>
      </w:r>
      <w:r w:rsidRPr="00F64CC0">
        <w:rPr>
          <w:bCs/>
          <w:lang w:val="en-US"/>
        </w:rPr>
        <w:t>.-</w:t>
      </w:r>
      <w:r w:rsidRPr="00F64CC0">
        <w:rPr>
          <w:bCs/>
          <w:lang w:val="it-IT"/>
        </w:rPr>
        <w:t>Loc</w:t>
      </w:r>
      <w:r w:rsidRPr="00F64CC0">
        <w:rPr>
          <w:bCs/>
          <w:lang w:val="en-US"/>
        </w:rPr>
        <w:t xml:space="preserve">. </w:t>
      </w:r>
      <w:r w:rsidRPr="00F64CC0">
        <w:rPr>
          <w:bCs/>
          <w:lang w:val="it-IT"/>
        </w:rPr>
        <w:t>Ai</w:t>
      </w:r>
      <w:r w:rsidRPr="00F64CC0">
        <w:rPr>
          <w:bCs/>
          <w:lang w:val="en-US"/>
        </w:rPr>
        <w:t xml:space="preserve">. </w:t>
      </w:r>
      <w:r w:rsidRPr="00F64CC0">
        <w:rPr>
          <w:bCs/>
          <w:lang w:val="it-IT"/>
        </w:rPr>
        <w:t>Conti, 550</w:t>
      </w:r>
      <w:r w:rsidR="002D344D" w:rsidRPr="00F64CC0">
        <w:rPr>
          <w:bCs/>
          <w:lang w:val="it-IT"/>
        </w:rPr>
        <w:t>51</w:t>
      </w:r>
      <w:r w:rsidRPr="00F64CC0">
        <w:rPr>
          <w:bCs/>
          <w:lang w:val="it-IT"/>
        </w:rPr>
        <w:t xml:space="preserve"> Castelvecchio Pascoli, Barga (Lucca), Italy.</w:t>
      </w:r>
    </w:p>
    <w:p w:rsidR="0052423C" w:rsidRPr="00F64CC0" w:rsidRDefault="0052423C" w:rsidP="00D76599">
      <w:pPr>
        <w:rPr>
          <w:bCs/>
          <w:lang w:val="it-IT"/>
        </w:rPr>
      </w:pPr>
    </w:p>
    <w:p w:rsidR="00D76599" w:rsidRPr="00F64CC0" w:rsidRDefault="00D76599" w:rsidP="00D76599">
      <w:pPr>
        <w:rPr>
          <w:bCs/>
          <w:lang w:val="it-IT"/>
        </w:rPr>
      </w:pPr>
    </w:p>
    <w:p w:rsidR="00441E92" w:rsidRPr="00F64CC0" w:rsidRDefault="009D3785" w:rsidP="005E25A8">
      <w:pPr>
        <w:numPr>
          <w:ilvl w:val="0"/>
          <w:numId w:val="19"/>
        </w:numPr>
        <w:rPr>
          <w:b/>
          <w:bCs/>
        </w:rPr>
      </w:pPr>
      <w:r w:rsidRPr="00F64CC0">
        <w:rPr>
          <w:b/>
          <w:bCs/>
        </w:rPr>
        <w:t xml:space="preserve">ΑΡΙΘΜΟΣ </w:t>
      </w:r>
      <w:r w:rsidR="001E314B" w:rsidRPr="00F64CC0">
        <w:rPr>
          <w:b/>
          <w:bCs/>
        </w:rPr>
        <w:t>ΑΔΕΙΑΣ ΚΥΚΛΟΦΟΡΙ</w:t>
      </w:r>
      <w:r w:rsidR="00287903" w:rsidRPr="00F64CC0">
        <w:rPr>
          <w:b/>
          <w:bCs/>
        </w:rPr>
        <w:t>ΑΣ</w:t>
      </w:r>
    </w:p>
    <w:p w:rsidR="002D344D" w:rsidRPr="00F64CC0" w:rsidRDefault="002D344D" w:rsidP="005E25A8">
      <w:pPr>
        <w:rPr>
          <w:bCs/>
          <w:lang w:val="it-IT"/>
        </w:rPr>
      </w:pPr>
    </w:p>
    <w:p w:rsidR="00D76599" w:rsidRPr="00F64CC0" w:rsidRDefault="00D76599" w:rsidP="005E25A8">
      <w:pPr>
        <w:rPr>
          <w:bCs/>
          <w:lang w:val="it-IT"/>
        </w:rPr>
      </w:pPr>
    </w:p>
    <w:p w:rsidR="00D76599" w:rsidRPr="00F64CC0" w:rsidRDefault="00D76599" w:rsidP="005E25A8">
      <w:pPr>
        <w:rPr>
          <w:bCs/>
          <w:lang w:val="it-IT"/>
        </w:rPr>
      </w:pPr>
    </w:p>
    <w:p w:rsidR="00441E92" w:rsidRPr="00F64CC0" w:rsidRDefault="00441E92" w:rsidP="005E25A8">
      <w:pPr>
        <w:numPr>
          <w:ilvl w:val="0"/>
          <w:numId w:val="19"/>
        </w:numPr>
        <w:rPr>
          <w:b/>
          <w:bCs/>
        </w:rPr>
      </w:pPr>
      <w:r w:rsidRPr="00F64CC0">
        <w:rPr>
          <w:b/>
          <w:bCs/>
        </w:rPr>
        <w:t>ΗΜΕΡΟΜΗΝΙΑ</w:t>
      </w:r>
      <w:r w:rsidRPr="00F64CC0">
        <w:rPr>
          <w:bCs/>
        </w:rPr>
        <w:t xml:space="preserve"> </w:t>
      </w:r>
      <w:r w:rsidRPr="00F64CC0">
        <w:rPr>
          <w:b/>
          <w:bCs/>
        </w:rPr>
        <w:t>ΠΡΩΤΗΣ ΕΓΚΡΙΣΗΣ/ΑΝΑΝΕΩΣΗΣ ΑΔΕΙΑΣ</w:t>
      </w:r>
    </w:p>
    <w:p w:rsidR="002D344D" w:rsidRPr="00F64CC0" w:rsidRDefault="00B90080" w:rsidP="005E25A8">
      <w:pPr>
        <w:rPr>
          <w:bCs/>
          <w:lang w:val="en-US"/>
        </w:rPr>
      </w:pPr>
      <w:r w:rsidRPr="00F64CC0">
        <w:rPr>
          <w:bCs/>
          <w:lang w:val="en-US"/>
        </w:rPr>
        <w:t>2-10-2007</w:t>
      </w:r>
    </w:p>
    <w:p w:rsidR="00D76599" w:rsidRPr="00F64CC0" w:rsidRDefault="00D76599" w:rsidP="005E25A8">
      <w:pPr>
        <w:rPr>
          <w:bCs/>
          <w:lang w:val="en-US"/>
        </w:rPr>
      </w:pPr>
    </w:p>
    <w:p w:rsidR="00D76599" w:rsidRPr="00F64CC0" w:rsidRDefault="00D76599" w:rsidP="005E25A8">
      <w:pPr>
        <w:rPr>
          <w:bCs/>
        </w:rPr>
      </w:pPr>
    </w:p>
    <w:p w:rsidR="00441E92" w:rsidRPr="00F64CC0" w:rsidRDefault="00441E92" w:rsidP="005E25A8">
      <w:pPr>
        <w:numPr>
          <w:ilvl w:val="0"/>
          <w:numId w:val="19"/>
        </w:numPr>
        <w:rPr>
          <w:b/>
          <w:bCs/>
        </w:rPr>
      </w:pPr>
      <w:r w:rsidRPr="00F64CC0">
        <w:rPr>
          <w:b/>
          <w:bCs/>
        </w:rPr>
        <w:t>ΗΜΕΡΟΜΗΝΙΑ ΑΝΑΘΕΩΡΗΣΗΣ ΤΟΥ ΚΕΙΜΕΝΟΥ</w:t>
      </w:r>
    </w:p>
    <w:p w:rsidR="00115053" w:rsidRPr="00F64CC0" w:rsidRDefault="00115053" w:rsidP="005E25A8">
      <w:pPr>
        <w:rPr>
          <w:bCs/>
        </w:rPr>
      </w:pPr>
    </w:p>
    <w:sectPr w:rsidR="00115053" w:rsidRPr="00F64CC0" w:rsidSect="00900919">
      <w:footerReference w:type="default" r:id="rId7"/>
      <w:pgSz w:w="11906" w:h="16838"/>
      <w:pgMar w:top="1418" w:right="1133"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393" w:rsidRDefault="00350393" w:rsidP="00ED1B53">
      <w:r>
        <w:separator/>
      </w:r>
    </w:p>
  </w:endnote>
  <w:endnote w:type="continuationSeparator" w:id="0">
    <w:p w:rsidR="00350393" w:rsidRDefault="00350393" w:rsidP="00ED1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8E" w:rsidRPr="0057455B" w:rsidRDefault="00982C8E" w:rsidP="00ED1B53">
    <w:pPr>
      <w:pStyle w:val="a4"/>
      <w:jc w:val="right"/>
      <w:rPr>
        <w:i/>
        <w:sz w:val="22"/>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393" w:rsidRDefault="00350393" w:rsidP="00ED1B53">
      <w:r>
        <w:separator/>
      </w:r>
    </w:p>
  </w:footnote>
  <w:footnote w:type="continuationSeparator" w:id="0">
    <w:p w:rsidR="00350393" w:rsidRDefault="00350393" w:rsidP="00ED1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08A0"/>
    <w:multiLevelType w:val="hybridMultilevel"/>
    <w:tmpl w:val="51D26E42"/>
    <w:lvl w:ilvl="0" w:tplc="14A8E5AA">
      <w:start w:val="4"/>
      <w:numFmt w:val="bullet"/>
      <w:lvlText w:val="-"/>
      <w:lvlJc w:val="left"/>
      <w:pPr>
        <w:tabs>
          <w:tab w:val="num" w:pos="315"/>
        </w:tabs>
        <w:ind w:left="315" w:hanging="360"/>
      </w:pPr>
      <w:rPr>
        <w:rFonts w:ascii="Times New Roman" w:eastAsia="Times New Roman" w:hAnsi="Times New Roman" w:cs="Times New Roman" w:hint="default"/>
      </w:rPr>
    </w:lvl>
    <w:lvl w:ilvl="1" w:tplc="04090003" w:tentative="1">
      <w:start w:val="1"/>
      <w:numFmt w:val="bullet"/>
      <w:lvlText w:val="o"/>
      <w:lvlJc w:val="left"/>
      <w:pPr>
        <w:tabs>
          <w:tab w:val="num" w:pos="1035"/>
        </w:tabs>
        <w:ind w:left="1035" w:hanging="360"/>
      </w:pPr>
      <w:rPr>
        <w:rFonts w:ascii="Courier New" w:hAnsi="Courier New" w:cs="Courier New"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1">
    <w:nsid w:val="0DBA5303"/>
    <w:multiLevelType w:val="hybridMultilevel"/>
    <w:tmpl w:val="1A64C69E"/>
    <w:lvl w:ilvl="0" w:tplc="519AE8F4">
      <w:start w:val="2"/>
      <w:numFmt w:val="decimal"/>
      <w:lvlText w:val="%1."/>
      <w:lvlJc w:val="left"/>
      <w:pPr>
        <w:tabs>
          <w:tab w:val="num" w:pos="180"/>
        </w:tabs>
        <w:ind w:left="180" w:hanging="360"/>
      </w:pPr>
      <w:rPr>
        <w:rFonts w:hint="default"/>
        <w:b/>
      </w:rPr>
    </w:lvl>
    <w:lvl w:ilvl="1" w:tplc="04080019" w:tentative="1">
      <w:start w:val="1"/>
      <w:numFmt w:val="lowerLetter"/>
      <w:lvlText w:val="%2."/>
      <w:lvlJc w:val="left"/>
      <w:pPr>
        <w:tabs>
          <w:tab w:val="num" w:pos="900"/>
        </w:tabs>
        <w:ind w:left="900" w:hanging="360"/>
      </w:pPr>
    </w:lvl>
    <w:lvl w:ilvl="2" w:tplc="0408001B" w:tentative="1">
      <w:start w:val="1"/>
      <w:numFmt w:val="lowerRoman"/>
      <w:lvlText w:val="%3."/>
      <w:lvlJc w:val="right"/>
      <w:pPr>
        <w:tabs>
          <w:tab w:val="num" w:pos="1620"/>
        </w:tabs>
        <w:ind w:left="1620" w:hanging="180"/>
      </w:pPr>
    </w:lvl>
    <w:lvl w:ilvl="3" w:tplc="0408000F" w:tentative="1">
      <w:start w:val="1"/>
      <w:numFmt w:val="decimal"/>
      <w:lvlText w:val="%4."/>
      <w:lvlJc w:val="left"/>
      <w:pPr>
        <w:tabs>
          <w:tab w:val="num" w:pos="2340"/>
        </w:tabs>
        <w:ind w:left="2340" w:hanging="360"/>
      </w:pPr>
    </w:lvl>
    <w:lvl w:ilvl="4" w:tplc="04080019" w:tentative="1">
      <w:start w:val="1"/>
      <w:numFmt w:val="lowerLetter"/>
      <w:lvlText w:val="%5."/>
      <w:lvlJc w:val="left"/>
      <w:pPr>
        <w:tabs>
          <w:tab w:val="num" w:pos="3060"/>
        </w:tabs>
        <w:ind w:left="3060" w:hanging="360"/>
      </w:pPr>
    </w:lvl>
    <w:lvl w:ilvl="5" w:tplc="0408001B" w:tentative="1">
      <w:start w:val="1"/>
      <w:numFmt w:val="lowerRoman"/>
      <w:lvlText w:val="%6."/>
      <w:lvlJc w:val="right"/>
      <w:pPr>
        <w:tabs>
          <w:tab w:val="num" w:pos="3780"/>
        </w:tabs>
        <w:ind w:left="3780" w:hanging="180"/>
      </w:pPr>
    </w:lvl>
    <w:lvl w:ilvl="6" w:tplc="0408000F" w:tentative="1">
      <w:start w:val="1"/>
      <w:numFmt w:val="decimal"/>
      <w:lvlText w:val="%7."/>
      <w:lvlJc w:val="left"/>
      <w:pPr>
        <w:tabs>
          <w:tab w:val="num" w:pos="4500"/>
        </w:tabs>
        <w:ind w:left="4500" w:hanging="360"/>
      </w:pPr>
    </w:lvl>
    <w:lvl w:ilvl="7" w:tplc="04080019" w:tentative="1">
      <w:start w:val="1"/>
      <w:numFmt w:val="lowerLetter"/>
      <w:lvlText w:val="%8."/>
      <w:lvlJc w:val="left"/>
      <w:pPr>
        <w:tabs>
          <w:tab w:val="num" w:pos="5220"/>
        </w:tabs>
        <w:ind w:left="5220" w:hanging="360"/>
      </w:pPr>
    </w:lvl>
    <w:lvl w:ilvl="8" w:tplc="0408001B" w:tentative="1">
      <w:start w:val="1"/>
      <w:numFmt w:val="lowerRoman"/>
      <w:lvlText w:val="%9."/>
      <w:lvlJc w:val="right"/>
      <w:pPr>
        <w:tabs>
          <w:tab w:val="num" w:pos="5940"/>
        </w:tabs>
        <w:ind w:left="5940" w:hanging="180"/>
      </w:pPr>
    </w:lvl>
  </w:abstractNum>
  <w:abstractNum w:abstractNumId="2">
    <w:nsid w:val="133F0973"/>
    <w:multiLevelType w:val="hybridMultilevel"/>
    <w:tmpl w:val="45146EA2"/>
    <w:lvl w:ilvl="0" w:tplc="14A8E5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62105"/>
    <w:multiLevelType w:val="hybridMultilevel"/>
    <w:tmpl w:val="DA14C0FA"/>
    <w:lvl w:ilvl="0" w:tplc="45309AA6">
      <w:start w:val="2"/>
      <w:numFmt w:val="decimal"/>
      <w:lvlText w:val="%1."/>
      <w:lvlJc w:val="left"/>
      <w:pPr>
        <w:tabs>
          <w:tab w:val="num" w:pos="180"/>
        </w:tabs>
        <w:ind w:left="180" w:hanging="360"/>
      </w:pPr>
      <w:rPr>
        <w:rFonts w:hint="default"/>
      </w:rPr>
    </w:lvl>
    <w:lvl w:ilvl="1" w:tplc="04080019" w:tentative="1">
      <w:start w:val="1"/>
      <w:numFmt w:val="lowerLetter"/>
      <w:lvlText w:val="%2."/>
      <w:lvlJc w:val="left"/>
      <w:pPr>
        <w:tabs>
          <w:tab w:val="num" w:pos="900"/>
        </w:tabs>
        <w:ind w:left="900" w:hanging="360"/>
      </w:pPr>
    </w:lvl>
    <w:lvl w:ilvl="2" w:tplc="0408001B" w:tentative="1">
      <w:start w:val="1"/>
      <w:numFmt w:val="lowerRoman"/>
      <w:lvlText w:val="%3."/>
      <w:lvlJc w:val="right"/>
      <w:pPr>
        <w:tabs>
          <w:tab w:val="num" w:pos="1620"/>
        </w:tabs>
        <w:ind w:left="1620" w:hanging="180"/>
      </w:pPr>
    </w:lvl>
    <w:lvl w:ilvl="3" w:tplc="0408000F" w:tentative="1">
      <w:start w:val="1"/>
      <w:numFmt w:val="decimal"/>
      <w:lvlText w:val="%4."/>
      <w:lvlJc w:val="left"/>
      <w:pPr>
        <w:tabs>
          <w:tab w:val="num" w:pos="2340"/>
        </w:tabs>
        <w:ind w:left="2340" w:hanging="360"/>
      </w:pPr>
    </w:lvl>
    <w:lvl w:ilvl="4" w:tplc="04080019" w:tentative="1">
      <w:start w:val="1"/>
      <w:numFmt w:val="lowerLetter"/>
      <w:lvlText w:val="%5."/>
      <w:lvlJc w:val="left"/>
      <w:pPr>
        <w:tabs>
          <w:tab w:val="num" w:pos="3060"/>
        </w:tabs>
        <w:ind w:left="3060" w:hanging="360"/>
      </w:pPr>
    </w:lvl>
    <w:lvl w:ilvl="5" w:tplc="0408001B" w:tentative="1">
      <w:start w:val="1"/>
      <w:numFmt w:val="lowerRoman"/>
      <w:lvlText w:val="%6."/>
      <w:lvlJc w:val="right"/>
      <w:pPr>
        <w:tabs>
          <w:tab w:val="num" w:pos="3780"/>
        </w:tabs>
        <w:ind w:left="3780" w:hanging="180"/>
      </w:pPr>
    </w:lvl>
    <w:lvl w:ilvl="6" w:tplc="0408000F" w:tentative="1">
      <w:start w:val="1"/>
      <w:numFmt w:val="decimal"/>
      <w:lvlText w:val="%7."/>
      <w:lvlJc w:val="left"/>
      <w:pPr>
        <w:tabs>
          <w:tab w:val="num" w:pos="4500"/>
        </w:tabs>
        <w:ind w:left="4500" w:hanging="360"/>
      </w:pPr>
    </w:lvl>
    <w:lvl w:ilvl="7" w:tplc="04080019" w:tentative="1">
      <w:start w:val="1"/>
      <w:numFmt w:val="lowerLetter"/>
      <w:lvlText w:val="%8."/>
      <w:lvlJc w:val="left"/>
      <w:pPr>
        <w:tabs>
          <w:tab w:val="num" w:pos="5220"/>
        </w:tabs>
        <w:ind w:left="5220" w:hanging="360"/>
      </w:pPr>
    </w:lvl>
    <w:lvl w:ilvl="8" w:tplc="0408001B" w:tentative="1">
      <w:start w:val="1"/>
      <w:numFmt w:val="lowerRoman"/>
      <w:lvlText w:val="%9."/>
      <w:lvlJc w:val="right"/>
      <w:pPr>
        <w:tabs>
          <w:tab w:val="num" w:pos="5940"/>
        </w:tabs>
        <w:ind w:left="5940" w:hanging="180"/>
      </w:pPr>
    </w:lvl>
  </w:abstractNum>
  <w:abstractNum w:abstractNumId="4">
    <w:nsid w:val="17F41A40"/>
    <w:multiLevelType w:val="multilevel"/>
    <w:tmpl w:val="D48A458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80811F6"/>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A07002"/>
    <w:multiLevelType w:val="hybridMultilevel"/>
    <w:tmpl w:val="E502F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FF81AB1"/>
    <w:multiLevelType w:val="hybridMultilevel"/>
    <w:tmpl w:val="5D727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42B3052"/>
    <w:multiLevelType w:val="hybridMultilevel"/>
    <w:tmpl w:val="9C32B19C"/>
    <w:lvl w:ilvl="0" w:tplc="A418D7A0">
      <w:start w:val="2"/>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2EBF11BA"/>
    <w:multiLevelType w:val="hybridMultilevel"/>
    <w:tmpl w:val="CFF2F04E"/>
    <w:lvl w:ilvl="0" w:tplc="030091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DA19A3"/>
    <w:multiLevelType w:val="hybridMultilevel"/>
    <w:tmpl w:val="4A983A32"/>
    <w:lvl w:ilvl="0" w:tplc="EB1AC202">
      <w:start w:val="1"/>
      <w:numFmt w:val="decimal"/>
      <w:lvlText w:val="%1."/>
      <w:lvlJc w:val="left"/>
      <w:pPr>
        <w:tabs>
          <w:tab w:val="num" w:pos="1005"/>
        </w:tabs>
        <w:ind w:left="1005" w:hanging="645"/>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9497290"/>
    <w:multiLevelType w:val="multilevel"/>
    <w:tmpl w:val="0408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9786EC9"/>
    <w:multiLevelType w:val="hybridMultilevel"/>
    <w:tmpl w:val="C81E9DA8"/>
    <w:lvl w:ilvl="0" w:tplc="45309AA6">
      <w:start w:val="2"/>
      <w:numFmt w:val="decimal"/>
      <w:lvlText w:val="%1."/>
      <w:lvlJc w:val="left"/>
      <w:pPr>
        <w:tabs>
          <w:tab w:val="num" w:pos="0"/>
        </w:tabs>
        <w:ind w:left="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3">
    <w:nsid w:val="3E00406C"/>
    <w:multiLevelType w:val="hybridMultilevel"/>
    <w:tmpl w:val="4D1CB8FA"/>
    <w:lvl w:ilvl="0" w:tplc="D2B89C86">
      <w:start w:val="1"/>
      <w:numFmt w:val="decimal"/>
      <w:lvlText w:val="%1."/>
      <w:lvlJc w:val="left"/>
      <w:pPr>
        <w:tabs>
          <w:tab w:val="num" w:pos="-240"/>
        </w:tabs>
        <w:ind w:left="-240" w:hanging="480"/>
      </w:pPr>
      <w:rPr>
        <w:rFonts w:hint="default"/>
      </w:r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14">
    <w:nsid w:val="41510215"/>
    <w:multiLevelType w:val="hybridMultilevel"/>
    <w:tmpl w:val="153602A2"/>
    <w:lvl w:ilvl="0" w:tplc="45309AA6">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6B72876"/>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D14400B"/>
    <w:multiLevelType w:val="hybridMultilevel"/>
    <w:tmpl w:val="6900A0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7786196"/>
    <w:multiLevelType w:val="multilevel"/>
    <w:tmpl w:val="4A983A32"/>
    <w:lvl w:ilvl="0">
      <w:start w:val="1"/>
      <w:numFmt w:val="decimal"/>
      <w:lvlText w:val="%1."/>
      <w:lvlJc w:val="left"/>
      <w:pPr>
        <w:tabs>
          <w:tab w:val="num" w:pos="1005"/>
        </w:tabs>
        <w:ind w:left="1005" w:hanging="64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F170B9"/>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CCA6F73"/>
    <w:multiLevelType w:val="hybridMultilevel"/>
    <w:tmpl w:val="5FDE63BA"/>
    <w:lvl w:ilvl="0" w:tplc="0AC20ADC">
      <w:start w:val="2"/>
      <w:numFmt w:val="bullet"/>
      <w:lvlText w:val="-"/>
      <w:lvlJc w:val="left"/>
      <w:pPr>
        <w:tabs>
          <w:tab w:val="num" w:pos="465"/>
        </w:tabs>
        <w:ind w:left="465" w:hanging="390"/>
      </w:pPr>
      <w:rPr>
        <w:rFonts w:ascii="Times New Roman" w:eastAsia="Times New Roman" w:hAnsi="Times New Roman" w:cs="Times New Roman" w:hint="default"/>
      </w:rPr>
    </w:lvl>
    <w:lvl w:ilvl="1" w:tplc="04080003" w:tentative="1">
      <w:start w:val="1"/>
      <w:numFmt w:val="bullet"/>
      <w:lvlText w:val="o"/>
      <w:lvlJc w:val="left"/>
      <w:pPr>
        <w:tabs>
          <w:tab w:val="num" w:pos="1155"/>
        </w:tabs>
        <w:ind w:left="1155" w:hanging="360"/>
      </w:pPr>
      <w:rPr>
        <w:rFonts w:ascii="Courier New" w:hAnsi="Courier New" w:cs="Courier New" w:hint="default"/>
      </w:rPr>
    </w:lvl>
    <w:lvl w:ilvl="2" w:tplc="04080005" w:tentative="1">
      <w:start w:val="1"/>
      <w:numFmt w:val="bullet"/>
      <w:lvlText w:val=""/>
      <w:lvlJc w:val="left"/>
      <w:pPr>
        <w:tabs>
          <w:tab w:val="num" w:pos="1875"/>
        </w:tabs>
        <w:ind w:left="1875" w:hanging="360"/>
      </w:pPr>
      <w:rPr>
        <w:rFonts w:ascii="Wingdings" w:hAnsi="Wingdings" w:hint="default"/>
      </w:rPr>
    </w:lvl>
    <w:lvl w:ilvl="3" w:tplc="04080001" w:tentative="1">
      <w:start w:val="1"/>
      <w:numFmt w:val="bullet"/>
      <w:lvlText w:val=""/>
      <w:lvlJc w:val="left"/>
      <w:pPr>
        <w:tabs>
          <w:tab w:val="num" w:pos="2595"/>
        </w:tabs>
        <w:ind w:left="2595" w:hanging="360"/>
      </w:pPr>
      <w:rPr>
        <w:rFonts w:ascii="Symbol" w:hAnsi="Symbol" w:hint="default"/>
      </w:rPr>
    </w:lvl>
    <w:lvl w:ilvl="4" w:tplc="04080003" w:tentative="1">
      <w:start w:val="1"/>
      <w:numFmt w:val="bullet"/>
      <w:lvlText w:val="o"/>
      <w:lvlJc w:val="left"/>
      <w:pPr>
        <w:tabs>
          <w:tab w:val="num" w:pos="3315"/>
        </w:tabs>
        <w:ind w:left="3315" w:hanging="360"/>
      </w:pPr>
      <w:rPr>
        <w:rFonts w:ascii="Courier New" w:hAnsi="Courier New" w:cs="Courier New" w:hint="default"/>
      </w:rPr>
    </w:lvl>
    <w:lvl w:ilvl="5" w:tplc="04080005" w:tentative="1">
      <w:start w:val="1"/>
      <w:numFmt w:val="bullet"/>
      <w:lvlText w:val=""/>
      <w:lvlJc w:val="left"/>
      <w:pPr>
        <w:tabs>
          <w:tab w:val="num" w:pos="4035"/>
        </w:tabs>
        <w:ind w:left="4035" w:hanging="360"/>
      </w:pPr>
      <w:rPr>
        <w:rFonts w:ascii="Wingdings" w:hAnsi="Wingdings" w:hint="default"/>
      </w:rPr>
    </w:lvl>
    <w:lvl w:ilvl="6" w:tplc="04080001" w:tentative="1">
      <w:start w:val="1"/>
      <w:numFmt w:val="bullet"/>
      <w:lvlText w:val=""/>
      <w:lvlJc w:val="left"/>
      <w:pPr>
        <w:tabs>
          <w:tab w:val="num" w:pos="4755"/>
        </w:tabs>
        <w:ind w:left="4755" w:hanging="360"/>
      </w:pPr>
      <w:rPr>
        <w:rFonts w:ascii="Symbol" w:hAnsi="Symbol" w:hint="default"/>
      </w:rPr>
    </w:lvl>
    <w:lvl w:ilvl="7" w:tplc="04080003" w:tentative="1">
      <w:start w:val="1"/>
      <w:numFmt w:val="bullet"/>
      <w:lvlText w:val="o"/>
      <w:lvlJc w:val="left"/>
      <w:pPr>
        <w:tabs>
          <w:tab w:val="num" w:pos="5475"/>
        </w:tabs>
        <w:ind w:left="5475" w:hanging="360"/>
      </w:pPr>
      <w:rPr>
        <w:rFonts w:ascii="Courier New" w:hAnsi="Courier New" w:cs="Courier New" w:hint="default"/>
      </w:rPr>
    </w:lvl>
    <w:lvl w:ilvl="8" w:tplc="04080005" w:tentative="1">
      <w:start w:val="1"/>
      <w:numFmt w:val="bullet"/>
      <w:lvlText w:val=""/>
      <w:lvlJc w:val="left"/>
      <w:pPr>
        <w:tabs>
          <w:tab w:val="num" w:pos="6195"/>
        </w:tabs>
        <w:ind w:left="6195" w:hanging="360"/>
      </w:pPr>
      <w:rPr>
        <w:rFonts w:ascii="Wingdings" w:hAnsi="Wingdings" w:hint="default"/>
      </w:rPr>
    </w:lvl>
  </w:abstractNum>
  <w:abstractNum w:abstractNumId="20">
    <w:nsid w:val="5E2E59D4"/>
    <w:multiLevelType w:val="hybridMultilevel"/>
    <w:tmpl w:val="8260305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
    <w:nsid w:val="62680C9F"/>
    <w:multiLevelType w:val="multilevel"/>
    <w:tmpl w:val="B2D8B10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87F2769"/>
    <w:multiLevelType w:val="hybridMultilevel"/>
    <w:tmpl w:val="3FE0EC0E"/>
    <w:lvl w:ilvl="0" w:tplc="45309AA6">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E2B351F"/>
    <w:multiLevelType w:val="hybridMultilevel"/>
    <w:tmpl w:val="23248DD2"/>
    <w:lvl w:ilvl="0" w:tplc="45309AA6">
      <w:start w:val="2"/>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4">
    <w:nsid w:val="70122A50"/>
    <w:multiLevelType w:val="hybridMultilevel"/>
    <w:tmpl w:val="7974E01C"/>
    <w:lvl w:ilvl="0" w:tplc="04080011">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7A7F2F0D"/>
    <w:multiLevelType w:val="hybridMultilevel"/>
    <w:tmpl w:val="6E6206C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7AF01851"/>
    <w:multiLevelType w:val="hybridMultilevel"/>
    <w:tmpl w:val="8216E5D0"/>
    <w:lvl w:ilvl="0" w:tplc="0E762252">
      <w:start w:val="5"/>
      <w:numFmt w:val="decimal"/>
      <w:lvlText w:val="%1."/>
      <w:lvlJc w:val="left"/>
      <w:pPr>
        <w:tabs>
          <w:tab w:val="num" w:pos="360"/>
        </w:tabs>
        <w:ind w:left="360" w:hanging="360"/>
      </w:pPr>
      <w:rPr>
        <w:rFonts w:hint="default"/>
      </w:rPr>
    </w:lvl>
    <w:lvl w:ilvl="1" w:tplc="1200E764">
      <w:numFmt w:val="none"/>
      <w:lvlText w:val=""/>
      <w:lvlJc w:val="left"/>
      <w:pPr>
        <w:tabs>
          <w:tab w:val="num" w:pos="360"/>
        </w:tabs>
      </w:pPr>
    </w:lvl>
    <w:lvl w:ilvl="2" w:tplc="7DC0BE44">
      <w:numFmt w:val="none"/>
      <w:lvlText w:val=""/>
      <w:lvlJc w:val="left"/>
      <w:pPr>
        <w:tabs>
          <w:tab w:val="num" w:pos="360"/>
        </w:tabs>
      </w:pPr>
    </w:lvl>
    <w:lvl w:ilvl="3" w:tplc="C756B5A6">
      <w:numFmt w:val="none"/>
      <w:lvlText w:val=""/>
      <w:lvlJc w:val="left"/>
      <w:pPr>
        <w:tabs>
          <w:tab w:val="num" w:pos="360"/>
        </w:tabs>
      </w:pPr>
    </w:lvl>
    <w:lvl w:ilvl="4" w:tplc="29E22542">
      <w:numFmt w:val="none"/>
      <w:lvlText w:val=""/>
      <w:lvlJc w:val="left"/>
      <w:pPr>
        <w:tabs>
          <w:tab w:val="num" w:pos="360"/>
        </w:tabs>
      </w:pPr>
    </w:lvl>
    <w:lvl w:ilvl="5" w:tplc="97AC4634">
      <w:numFmt w:val="none"/>
      <w:lvlText w:val=""/>
      <w:lvlJc w:val="left"/>
      <w:pPr>
        <w:tabs>
          <w:tab w:val="num" w:pos="360"/>
        </w:tabs>
      </w:pPr>
    </w:lvl>
    <w:lvl w:ilvl="6" w:tplc="91200CE0">
      <w:numFmt w:val="none"/>
      <w:lvlText w:val=""/>
      <w:lvlJc w:val="left"/>
      <w:pPr>
        <w:tabs>
          <w:tab w:val="num" w:pos="360"/>
        </w:tabs>
      </w:pPr>
    </w:lvl>
    <w:lvl w:ilvl="7" w:tplc="6FE8BA9E">
      <w:numFmt w:val="none"/>
      <w:lvlText w:val=""/>
      <w:lvlJc w:val="left"/>
      <w:pPr>
        <w:tabs>
          <w:tab w:val="num" w:pos="360"/>
        </w:tabs>
      </w:pPr>
    </w:lvl>
    <w:lvl w:ilvl="8" w:tplc="B81CB32E">
      <w:numFmt w:val="none"/>
      <w:lvlText w:val=""/>
      <w:lvlJc w:val="left"/>
      <w:pPr>
        <w:tabs>
          <w:tab w:val="num" w:pos="360"/>
        </w:tabs>
      </w:pPr>
    </w:lvl>
  </w:abstractNum>
  <w:num w:numId="1">
    <w:abstractNumId w:val="13"/>
  </w:num>
  <w:num w:numId="2">
    <w:abstractNumId w:val="8"/>
  </w:num>
  <w:num w:numId="3">
    <w:abstractNumId w:val="25"/>
  </w:num>
  <w:num w:numId="4">
    <w:abstractNumId w:val="14"/>
  </w:num>
  <w:num w:numId="5">
    <w:abstractNumId w:val="12"/>
  </w:num>
  <w:num w:numId="6">
    <w:abstractNumId w:val="24"/>
  </w:num>
  <w:num w:numId="7">
    <w:abstractNumId w:val="4"/>
  </w:num>
  <w:num w:numId="8">
    <w:abstractNumId w:val="5"/>
  </w:num>
  <w:num w:numId="9">
    <w:abstractNumId w:val="15"/>
  </w:num>
  <w:num w:numId="10">
    <w:abstractNumId w:val="18"/>
  </w:num>
  <w:num w:numId="11">
    <w:abstractNumId w:val="11"/>
  </w:num>
  <w:num w:numId="12">
    <w:abstractNumId w:val="22"/>
  </w:num>
  <w:num w:numId="13">
    <w:abstractNumId w:val="10"/>
  </w:num>
  <w:num w:numId="14">
    <w:abstractNumId w:val="17"/>
  </w:num>
  <w:num w:numId="15">
    <w:abstractNumId w:val="3"/>
  </w:num>
  <w:num w:numId="16">
    <w:abstractNumId w:val="23"/>
  </w:num>
  <w:num w:numId="17">
    <w:abstractNumId w:val="1"/>
  </w:num>
  <w:num w:numId="18">
    <w:abstractNumId w:val="21"/>
  </w:num>
  <w:num w:numId="19">
    <w:abstractNumId w:val="26"/>
  </w:num>
  <w:num w:numId="20">
    <w:abstractNumId w:val="9"/>
  </w:num>
  <w:num w:numId="21">
    <w:abstractNumId w:val="0"/>
  </w:num>
  <w:num w:numId="22">
    <w:abstractNumId w:val="19"/>
  </w:num>
  <w:num w:numId="23">
    <w:abstractNumId w:val="6"/>
  </w:num>
  <w:num w:numId="24">
    <w:abstractNumId w:val="7"/>
  </w:num>
  <w:num w:numId="25">
    <w:abstractNumId w:val="16"/>
  </w:num>
  <w:num w:numId="26">
    <w:abstractNumId w:val="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9218"/>
  </w:hdrShapeDefaults>
  <w:footnotePr>
    <w:footnote w:id="-1"/>
    <w:footnote w:id="0"/>
  </w:footnotePr>
  <w:endnotePr>
    <w:endnote w:id="-1"/>
    <w:endnote w:id="0"/>
  </w:endnotePr>
  <w:compat/>
  <w:rsids>
    <w:rsidRoot w:val="00F83F9C"/>
    <w:rsid w:val="00002608"/>
    <w:rsid w:val="00002814"/>
    <w:rsid w:val="00003291"/>
    <w:rsid w:val="00007A25"/>
    <w:rsid w:val="00007B21"/>
    <w:rsid w:val="00013FC8"/>
    <w:rsid w:val="00016762"/>
    <w:rsid w:val="00023B8F"/>
    <w:rsid w:val="00025924"/>
    <w:rsid w:val="00025A6F"/>
    <w:rsid w:val="000313F0"/>
    <w:rsid w:val="0003325A"/>
    <w:rsid w:val="00046190"/>
    <w:rsid w:val="00050192"/>
    <w:rsid w:val="000553D1"/>
    <w:rsid w:val="000568B0"/>
    <w:rsid w:val="000579EE"/>
    <w:rsid w:val="00061683"/>
    <w:rsid w:val="00062210"/>
    <w:rsid w:val="00064E5D"/>
    <w:rsid w:val="00074A00"/>
    <w:rsid w:val="00074B7D"/>
    <w:rsid w:val="00077D6A"/>
    <w:rsid w:val="0008680F"/>
    <w:rsid w:val="00087BF9"/>
    <w:rsid w:val="000A0BC0"/>
    <w:rsid w:val="000A2BB0"/>
    <w:rsid w:val="000A4B38"/>
    <w:rsid w:val="000A7433"/>
    <w:rsid w:val="000B0F93"/>
    <w:rsid w:val="000B3DE3"/>
    <w:rsid w:val="000B5317"/>
    <w:rsid w:val="000B7F56"/>
    <w:rsid w:val="000C0033"/>
    <w:rsid w:val="000C1309"/>
    <w:rsid w:val="000C1A57"/>
    <w:rsid w:val="000C77DA"/>
    <w:rsid w:val="000D0918"/>
    <w:rsid w:val="000D3774"/>
    <w:rsid w:val="000D3CC2"/>
    <w:rsid w:val="000D4D38"/>
    <w:rsid w:val="000D79C4"/>
    <w:rsid w:val="000E1003"/>
    <w:rsid w:val="000E655A"/>
    <w:rsid w:val="000F2967"/>
    <w:rsid w:val="00101B9D"/>
    <w:rsid w:val="0010322C"/>
    <w:rsid w:val="001033AB"/>
    <w:rsid w:val="00107E97"/>
    <w:rsid w:val="00111FB0"/>
    <w:rsid w:val="00112CAE"/>
    <w:rsid w:val="00115053"/>
    <w:rsid w:val="00116DAE"/>
    <w:rsid w:val="00133A78"/>
    <w:rsid w:val="00133E99"/>
    <w:rsid w:val="001341AA"/>
    <w:rsid w:val="001347F1"/>
    <w:rsid w:val="00142F93"/>
    <w:rsid w:val="00144FA1"/>
    <w:rsid w:val="00146B03"/>
    <w:rsid w:val="00156166"/>
    <w:rsid w:val="0015635F"/>
    <w:rsid w:val="001667D8"/>
    <w:rsid w:val="00171166"/>
    <w:rsid w:val="00173C1E"/>
    <w:rsid w:val="001758EF"/>
    <w:rsid w:val="00180D65"/>
    <w:rsid w:val="00182172"/>
    <w:rsid w:val="001822D5"/>
    <w:rsid w:val="00186457"/>
    <w:rsid w:val="00186E02"/>
    <w:rsid w:val="00190522"/>
    <w:rsid w:val="001911C3"/>
    <w:rsid w:val="00191D21"/>
    <w:rsid w:val="0019450E"/>
    <w:rsid w:val="00197A6E"/>
    <w:rsid w:val="001A56A7"/>
    <w:rsid w:val="001A72C6"/>
    <w:rsid w:val="001B0AC3"/>
    <w:rsid w:val="001C4106"/>
    <w:rsid w:val="001C640C"/>
    <w:rsid w:val="001D1FF3"/>
    <w:rsid w:val="001D6ACA"/>
    <w:rsid w:val="001E314B"/>
    <w:rsid w:val="001E4F4F"/>
    <w:rsid w:val="00201F17"/>
    <w:rsid w:val="002020B0"/>
    <w:rsid w:val="002110AC"/>
    <w:rsid w:val="00215979"/>
    <w:rsid w:val="00221349"/>
    <w:rsid w:val="00224BEE"/>
    <w:rsid w:val="00226DC9"/>
    <w:rsid w:val="00227AFB"/>
    <w:rsid w:val="00231B5A"/>
    <w:rsid w:val="00234001"/>
    <w:rsid w:val="002376C0"/>
    <w:rsid w:val="00240D3C"/>
    <w:rsid w:val="002425A2"/>
    <w:rsid w:val="00243E6D"/>
    <w:rsid w:val="00244BC3"/>
    <w:rsid w:val="00247075"/>
    <w:rsid w:val="00247C79"/>
    <w:rsid w:val="002513FB"/>
    <w:rsid w:val="00252A63"/>
    <w:rsid w:val="00254012"/>
    <w:rsid w:val="00254D51"/>
    <w:rsid w:val="0025766C"/>
    <w:rsid w:val="00260A19"/>
    <w:rsid w:val="00274708"/>
    <w:rsid w:val="00282AD0"/>
    <w:rsid w:val="00287672"/>
    <w:rsid w:val="00287903"/>
    <w:rsid w:val="002879DC"/>
    <w:rsid w:val="00294017"/>
    <w:rsid w:val="00294C13"/>
    <w:rsid w:val="002A009A"/>
    <w:rsid w:val="002A112E"/>
    <w:rsid w:val="002A1A73"/>
    <w:rsid w:val="002A2976"/>
    <w:rsid w:val="002C07FC"/>
    <w:rsid w:val="002C0811"/>
    <w:rsid w:val="002C383A"/>
    <w:rsid w:val="002C438B"/>
    <w:rsid w:val="002D0052"/>
    <w:rsid w:val="002D30BB"/>
    <w:rsid w:val="002D344D"/>
    <w:rsid w:val="002D45DF"/>
    <w:rsid w:val="002D6A16"/>
    <w:rsid w:val="002E7E2D"/>
    <w:rsid w:val="002F0FA2"/>
    <w:rsid w:val="002F38CA"/>
    <w:rsid w:val="002F3B04"/>
    <w:rsid w:val="002F3E2D"/>
    <w:rsid w:val="00302CD9"/>
    <w:rsid w:val="00304950"/>
    <w:rsid w:val="003075BF"/>
    <w:rsid w:val="00314839"/>
    <w:rsid w:val="00315B96"/>
    <w:rsid w:val="00321764"/>
    <w:rsid w:val="0032229D"/>
    <w:rsid w:val="00323B5A"/>
    <w:rsid w:val="003254D7"/>
    <w:rsid w:val="00325BE7"/>
    <w:rsid w:val="00335D5A"/>
    <w:rsid w:val="00336B39"/>
    <w:rsid w:val="00342A7B"/>
    <w:rsid w:val="0034461D"/>
    <w:rsid w:val="00346DC5"/>
    <w:rsid w:val="003500DD"/>
    <w:rsid w:val="00350393"/>
    <w:rsid w:val="00351DCF"/>
    <w:rsid w:val="00351F3F"/>
    <w:rsid w:val="00356C18"/>
    <w:rsid w:val="00357E1C"/>
    <w:rsid w:val="00360F9E"/>
    <w:rsid w:val="00363B7B"/>
    <w:rsid w:val="003667B0"/>
    <w:rsid w:val="00366866"/>
    <w:rsid w:val="00367AF0"/>
    <w:rsid w:val="0038026D"/>
    <w:rsid w:val="003806AA"/>
    <w:rsid w:val="0038442E"/>
    <w:rsid w:val="003859D9"/>
    <w:rsid w:val="00395AC1"/>
    <w:rsid w:val="00397CB6"/>
    <w:rsid w:val="00397E1E"/>
    <w:rsid w:val="003A2760"/>
    <w:rsid w:val="003A47C7"/>
    <w:rsid w:val="003B308F"/>
    <w:rsid w:val="003B5BE8"/>
    <w:rsid w:val="003B7332"/>
    <w:rsid w:val="003C69EE"/>
    <w:rsid w:val="003C6C17"/>
    <w:rsid w:val="003D2197"/>
    <w:rsid w:val="003E787D"/>
    <w:rsid w:val="003F1D0E"/>
    <w:rsid w:val="00404FAF"/>
    <w:rsid w:val="00410F1E"/>
    <w:rsid w:val="00414C89"/>
    <w:rsid w:val="0042134C"/>
    <w:rsid w:val="00424C17"/>
    <w:rsid w:val="00434857"/>
    <w:rsid w:val="004361C5"/>
    <w:rsid w:val="00441E92"/>
    <w:rsid w:val="00447F8D"/>
    <w:rsid w:val="0045063B"/>
    <w:rsid w:val="004509B8"/>
    <w:rsid w:val="00452249"/>
    <w:rsid w:val="00452B63"/>
    <w:rsid w:val="00454EDB"/>
    <w:rsid w:val="00455284"/>
    <w:rsid w:val="004554C7"/>
    <w:rsid w:val="00455920"/>
    <w:rsid w:val="00455A0B"/>
    <w:rsid w:val="0045785B"/>
    <w:rsid w:val="00460D7C"/>
    <w:rsid w:val="0046459C"/>
    <w:rsid w:val="004676D3"/>
    <w:rsid w:val="004711A2"/>
    <w:rsid w:val="00477D11"/>
    <w:rsid w:val="00480129"/>
    <w:rsid w:val="004862AA"/>
    <w:rsid w:val="00490119"/>
    <w:rsid w:val="00495CA1"/>
    <w:rsid w:val="004963C2"/>
    <w:rsid w:val="004A5A60"/>
    <w:rsid w:val="004A6FD1"/>
    <w:rsid w:val="004B35F6"/>
    <w:rsid w:val="004B55FA"/>
    <w:rsid w:val="004B63E0"/>
    <w:rsid w:val="004B7FA7"/>
    <w:rsid w:val="004C5F5C"/>
    <w:rsid w:val="004C69EB"/>
    <w:rsid w:val="004D15A2"/>
    <w:rsid w:val="004E7013"/>
    <w:rsid w:val="004F1C3C"/>
    <w:rsid w:val="004F38DE"/>
    <w:rsid w:val="004F51AD"/>
    <w:rsid w:val="005018DC"/>
    <w:rsid w:val="005033BE"/>
    <w:rsid w:val="005051DA"/>
    <w:rsid w:val="005053FB"/>
    <w:rsid w:val="005071E6"/>
    <w:rsid w:val="005122FF"/>
    <w:rsid w:val="00513350"/>
    <w:rsid w:val="005148EC"/>
    <w:rsid w:val="005203DF"/>
    <w:rsid w:val="0052423C"/>
    <w:rsid w:val="00524C79"/>
    <w:rsid w:val="0052798B"/>
    <w:rsid w:val="00534AAE"/>
    <w:rsid w:val="0054043E"/>
    <w:rsid w:val="00542632"/>
    <w:rsid w:val="005426FC"/>
    <w:rsid w:val="00545B20"/>
    <w:rsid w:val="00550028"/>
    <w:rsid w:val="00550882"/>
    <w:rsid w:val="00550934"/>
    <w:rsid w:val="0055651B"/>
    <w:rsid w:val="00564938"/>
    <w:rsid w:val="005664A9"/>
    <w:rsid w:val="00567492"/>
    <w:rsid w:val="005732EE"/>
    <w:rsid w:val="00573B7B"/>
    <w:rsid w:val="0057455B"/>
    <w:rsid w:val="00574779"/>
    <w:rsid w:val="005754CA"/>
    <w:rsid w:val="00580EE1"/>
    <w:rsid w:val="00584A07"/>
    <w:rsid w:val="0058571F"/>
    <w:rsid w:val="00587C38"/>
    <w:rsid w:val="0059499B"/>
    <w:rsid w:val="005A042A"/>
    <w:rsid w:val="005A21D4"/>
    <w:rsid w:val="005B114F"/>
    <w:rsid w:val="005B1955"/>
    <w:rsid w:val="005B25B6"/>
    <w:rsid w:val="005B60C3"/>
    <w:rsid w:val="005B6CFD"/>
    <w:rsid w:val="005C103D"/>
    <w:rsid w:val="005C4B35"/>
    <w:rsid w:val="005C5B86"/>
    <w:rsid w:val="005D0A26"/>
    <w:rsid w:val="005D3FC2"/>
    <w:rsid w:val="005D4688"/>
    <w:rsid w:val="005D64B2"/>
    <w:rsid w:val="005D7DC9"/>
    <w:rsid w:val="005E25A8"/>
    <w:rsid w:val="005E4F4B"/>
    <w:rsid w:val="005E7D00"/>
    <w:rsid w:val="005F28CD"/>
    <w:rsid w:val="00600761"/>
    <w:rsid w:val="00602D31"/>
    <w:rsid w:val="00603AA8"/>
    <w:rsid w:val="00604AE9"/>
    <w:rsid w:val="00607858"/>
    <w:rsid w:val="00612B89"/>
    <w:rsid w:val="0061411D"/>
    <w:rsid w:val="00615A7C"/>
    <w:rsid w:val="006253E9"/>
    <w:rsid w:val="0062566A"/>
    <w:rsid w:val="00630B5F"/>
    <w:rsid w:val="006404D5"/>
    <w:rsid w:val="00642D78"/>
    <w:rsid w:val="006445F5"/>
    <w:rsid w:val="00644997"/>
    <w:rsid w:val="006468A9"/>
    <w:rsid w:val="00657BBB"/>
    <w:rsid w:val="00657E55"/>
    <w:rsid w:val="006601C0"/>
    <w:rsid w:val="00663538"/>
    <w:rsid w:val="00672360"/>
    <w:rsid w:val="00674A19"/>
    <w:rsid w:val="0067567B"/>
    <w:rsid w:val="0067723B"/>
    <w:rsid w:val="0067742D"/>
    <w:rsid w:val="00682B9F"/>
    <w:rsid w:val="00685A81"/>
    <w:rsid w:val="00691958"/>
    <w:rsid w:val="006A2E04"/>
    <w:rsid w:val="006A337C"/>
    <w:rsid w:val="006A4814"/>
    <w:rsid w:val="006B0ACE"/>
    <w:rsid w:val="006C5CBA"/>
    <w:rsid w:val="006C7691"/>
    <w:rsid w:val="006D12CA"/>
    <w:rsid w:val="006D42F2"/>
    <w:rsid w:val="006D580F"/>
    <w:rsid w:val="006E3BCB"/>
    <w:rsid w:val="006E4CA4"/>
    <w:rsid w:val="006E54E9"/>
    <w:rsid w:val="006E6603"/>
    <w:rsid w:val="006F0D33"/>
    <w:rsid w:val="006F48FB"/>
    <w:rsid w:val="006F6874"/>
    <w:rsid w:val="00701272"/>
    <w:rsid w:val="007019FC"/>
    <w:rsid w:val="00703D80"/>
    <w:rsid w:val="00704C3A"/>
    <w:rsid w:val="00710BBA"/>
    <w:rsid w:val="00712865"/>
    <w:rsid w:val="007156F1"/>
    <w:rsid w:val="007216FE"/>
    <w:rsid w:val="00722C62"/>
    <w:rsid w:val="00723D9E"/>
    <w:rsid w:val="00726448"/>
    <w:rsid w:val="007276D9"/>
    <w:rsid w:val="0073067F"/>
    <w:rsid w:val="007355DA"/>
    <w:rsid w:val="0074032D"/>
    <w:rsid w:val="00740378"/>
    <w:rsid w:val="00740656"/>
    <w:rsid w:val="00742DBC"/>
    <w:rsid w:val="00743C66"/>
    <w:rsid w:val="00744528"/>
    <w:rsid w:val="007467DC"/>
    <w:rsid w:val="00752F74"/>
    <w:rsid w:val="00754589"/>
    <w:rsid w:val="0076264D"/>
    <w:rsid w:val="00762903"/>
    <w:rsid w:val="0076520D"/>
    <w:rsid w:val="00765D39"/>
    <w:rsid w:val="00766A5F"/>
    <w:rsid w:val="00773BB2"/>
    <w:rsid w:val="00775016"/>
    <w:rsid w:val="00780142"/>
    <w:rsid w:val="00781A10"/>
    <w:rsid w:val="00790E1D"/>
    <w:rsid w:val="00791ECB"/>
    <w:rsid w:val="00795B0A"/>
    <w:rsid w:val="007A0A9F"/>
    <w:rsid w:val="007A1A7D"/>
    <w:rsid w:val="007A7FEA"/>
    <w:rsid w:val="007B2405"/>
    <w:rsid w:val="007B264B"/>
    <w:rsid w:val="007B3CD7"/>
    <w:rsid w:val="007C1820"/>
    <w:rsid w:val="007C4A31"/>
    <w:rsid w:val="007C4F89"/>
    <w:rsid w:val="007C7B52"/>
    <w:rsid w:val="007D6AA5"/>
    <w:rsid w:val="007D7139"/>
    <w:rsid w:val="007E06F6"/>
    <w:rsid w:val="007E2C09"/>
    <w:rsid w:val="007E764F"/>
    <w:rsid w:val="007F59F5"/>
    <w:rsid w:val="007F6E62"/>
    <w:rsid w:val="008021A8"/>
    <w:rsid w:val="00802942"/>
    <w:rsid w:val="008032EE"/>
    <w:rsid w:val="00805A1F"/>
    <w:rsid w:val="00806528"/>
    <w:rsid w:val="00812A5B"/>
    <w:rsid w:val="00812C2B"/>
    <w:rsid w:val="00813505"/>
    <w:rsid w:val="00813514"/>
    <w:rsid w:val="008215EC"/>
    <w:rsid w:val="008231A4"/>
    <w:rsid w:val="00825E4E"/>
    <w:rsid w:val="00826F46"/>
    <w:rsid w:val="008279F8"/>
    <w:rsid w:val="00830A1F"/>
    <w:rsid w:val="00830A33"/>
    <w:rsid w:val="008373EC"/>
    <w:rsid w:val="0083740D"/>
    <w:rsid w:val="00841E30"/>
    <w:rsid w:val="008449A8"/>
    <w:rsid w:val="00845286"/>
    <w:rsid w:val="008514B0"/>
    <w:rsid w:val="008551B5"/>
    <w:rsid w:val="008637E8"/>
    <w:rsid w:val="00871DB3"/>
    <w:rsid w:val="00881A4A"/>
    <w:rsid w:val="00887AA0"/>
    <w:rsid w:val="00895CBD"/>
    <w:rsid w:val="008976B6"/>
    <w:rsid w:val="00897910"/>
    <w:rsid w:val="008A0637"/>
    <w:rsid w:val="008A20EF"/>
    <w:rsid w:val="008A2A7B"/>
    <w:rsid w:val="008A6AFC"/>
    <w:rsid w:val="008B07CB"/>
    <w:rsid w:val="008B2D47"/>
    <w:rsid w:val="008B3B1D"/>
    <w:rsid w:val="008B530E"/>
    <w:rsid w:val="008B68E3"/>
    <w:rsid w:val="008C20B8"/>
    <w:rsid w:val="008C6971"/>
    <w:rsid w:val="008C745F"/>
    <w:rsid w:val="008C7A79"/>
    <w:rsid w:val="008D00F1"/>
    <w:rsid w:val="008D25EC"/>
    <w:rsid w:val="008D4EA7"/>
    <w:rsid w:val="008D608B"/>
    <w:rsid w:val="008D610E"/>
    <w:rsid w:val="008E14AA"/>
    <w:rsid w:val="008E3B84"/>
    <w:rsid w:val="008E3E4F"/>
    <w:rsid w:val="008F38B9"/>
    <w:rsid w:val="008F4BB3"/>
    <w:rsid w:val="00900919"/>
    <w:rsid w:val="00902BD2"/>
    <w:rsid w:val="00903239"/>
    <w:rsid w:val="0090329E"/>
    <w:rsid w:val="0091271D"/>
    <w:rsid w:val="00913035"/>
    <w:rsid w:val="00914ED7"/>
    <w:rsid w:val="0092040B"/>
    <w:rsid w:val="00921970"/>
    <w:rsid w:val="00923F64"/>
    <w:rsid w:val="00926BC3"/>
    <w:rsid w:val="00926DF4"/>
    <w:rsid w:val="009314FD"/>
    <w:rsid w:val="00941979"/>
    <w:rsid w:val="009422C6"/>
    <w:rsid w:val="00942C75"/>
    <w:rsid w:val="00947DE0"/>
    <w:rsid w:val="009527DD"/>
    <w:rsid w:val="0095586F"/>
    <w:rsid w:val="009566FE"/>
    <w:rsid w:val="00962B79"/>
    <w:rsid w:val="009706BF"/>
    <w:rsid w:val="00975EE8"/>
    <w:rsid w:val="0097751E"/>
    <w:rsid w:val="00981EC5"/>
    <w:rsid w:val="00982C8E"/>
    <w:rsid w:val="009833AF"/>
    <w:rsid w:val="00983B1B"/>
    <w:rsid w:val="00986991"/>
    <w:rsid w:val="00986B27"/>
    <w:rsid w:val="0099271A"/>
    <w:rsid w:val="00995572"/>
    <w:rsid w:val="00995897"/>
    <w:rsid w:val="009969F8"/>
    <w:rsid w:val="00997574"/>
    <w:rsid w:val="009A091F"/>
    <w:rsid w:val="009A35C2"/>
    <w:rsid w:val="009A4B68"/>
    <w:rsid w:val="009A6784"/>
    <w:rsid w:val="009B17A7"/>
    <w:rsid w:val="009B699A"/>
    <w:rsid w:val="009C1357"/>
    <w:rsid w:val="009C1738"/>
    <w:rsid w:val="009C1CA1"/>
    <w:rsid w:val="009C2CBE"/>
    <w:rsid w:val="009C6393"/>
    <w:rsid w:val="009C6F4D"/>
    <w:rsid w:val="009C7898"/>
    <w:rsid w:val="009C7D0F"/>
    <w:rsid w:val="009D04E4"/>
    <w:rsid w:val="009D3785"/>
    <w:rsid w:val="009D553C"/>
    <w:rsid w:val="009E6B6A"/>
    <w:rsid w:val="009F1351"/>
    <w:rsid w:val="009F27BA"/>
    <w:rsid w:val="009F3275"/>
    <w:rsid w:val="00A004F7"/>
    <w:rsid w:val="00A03AAE"/>
    <w:rsid w:val="00A14785"/>
    <w:rsid w:val="00A20B62"/>
    <w:rsid w:val="00A266D0"/>
    <w:rsid w:val="00A3610F"/>
    <w:rsid w:val="00A36B03"/>
    <w:rsid w:val="00A41039"/>
    <w:rsid w:val="00A47AEA"/>
    <w:rsid w:val="00A522AC"/>
    <w:rsid w:val="00A530FE"/>
    <w:rsid w:val="00A57F31"/>
    <w:rsid w:val="00A6164E"/>
    <w:rsid w:val="00A6470C"/>
    <w:rsid w:val="00A74246"/>
    <w:rsid w:val="00A76C18"/>
    <w:rsid w:val="00A82867"/>
    <w:rsid w:val="00A82A38"/>
    <w:rsid w:val="00A94CDA"/>
    <w:rsid w:val="00A9519A"/>
    <w:rsid w:val="00AA2E3B"/>
    <w:rsid w:val="00AA3295"/>
    <w:rsid w:val="00AA3770"/>
    <w:rsid w:val="00AB04CD"/>
    <w:rsid w:val="00AB1EB6"/>
    <w:rsid w:val="00AB3460"/>
    <w:rsid w:val="00AB4FDD"/>
    <w:rsid w:val="00AB5AA8"/>
    <w:rsid w:val="00AB766B"/>
    <w:rsid w:val="00AB76D0"/>
    <w:rsid w:val="00AC019D"/>
    <w:rsid w:val="00AC12AF"/>
    <w:rsid w:val="00AC3F43"/>
    <w:rsid w:val="00AD4F96"/>
    <w:rsid w:val="00AE7B57"/>
    <w:rsid w:val="00AF05FA"/>
    <w:rsid w:val="00AF7100"/>
    <w:rsid w:val="00B01239"/>
    <w:rsid w:val="00B11B43"/>
    <w:rsid w:val="00B1396B"/>
    <w:rsid w:val="00B14569"/>
    <w:rsid w:val="00B15F76"/>
    <w:rsid w:val="00B20942"/>
    <w:rsid w:val="00B225F4"/>
    <w:rsid w:val="00B22621"/>
    <w:rsid w:val="00B26F9B"/>
    <w:rsid w:val="00B27FC2"/>
    <w:rsid w:val="00B349F1"/>
    <w:rsid w:val="00B3734F"/>
    <w:rsid w:val="00B46AB1"/>
    <w:rsid w:val="00B46AFF"/>
    <w:rsid w:val="00B474DD"/>
    <w:rsid w:val="00B532ED"/>
    <w:rsid w:val="00B56D8B"/>
    <w:rsid w:val="00B6042F"/>
    <w:rsid w:val="00B62FBC"/>
    <w:rsid w:val="00B630C4"/>
    <w:rsid w:val="00B63C28"/>
    <w:rsid w:val="00B71437"/>
    <w:rsid w:val="00B71E3A"/>
    <w:rsid w:val="00B7223C"/>
    <w:rsid w:val="00B90080"/>
    <w:rsid w:val="00B901C4"/>
    <w:rsid w:val="00B91965"/>
    <w:rsid w:val="00B94BFE"/>
    <w:rsid w:val="00BA1A90"/>
    <w:rsid w:val="00BA1DBA"/>
    <w:rsid w:val="00BA2787"/>
    <w:rsid w:val="00BA333A"/>
    <w:rsid w:val="00BB1B1D"/>
    <w:rsid w:val="00BB2128"/>
    <w:rsid w:val="00BB2573"/>
    <w:rsid w:val="00BB3608"/>
    <w:rsid w:val="00BC5257"/>
    <w:rsid w:val="00BC66A1"/>
    <w:rsid w:val="00BC72C8"/>
    <w:rsid w:val="00BD23BD"/>
    <w:rsid w:val="00BD27BE"/>
    <w:rsid w:val="00BD2E71"/>
    <w:rsid w:val="00BD7CB6"/>
    <w:rsid w:val="00BD7DE5"/>
    <w:rsid w:val="00BE6930"/>
    <w:rsid w:val="00BE6B58"/>
    <w:rsid w:val="00BE789B"/>
    <w:rsid w:val="00BF4423"/>
    <w:rsid w:val="00BF7CBD"/>
    <w:rsid w:val="00C0282F"/>
    <w:rsid w:val="00C02986"/>
    <w:rsid w:val="00C0607C"/>
    <w:rsid w:val="00C10207"/>
    <w:rsid w:val="00C13AE2"/>
    <w:rsid w:val="00C23890"/>
    <w:rsid w:val="00C247E6"/>
    <w:rsid w:val="00C26F50"/>
    <w:rsid w:val="00C27E2F"/>
    <w:rsid w:val="00C304EE"/>
    <w:rsid w:val="00C417E8"/>
    <w:rsid w:val="00C43A82"/>
    <w:rsid w:val="00C464EA"/>
    <w:rsid w:val="00C509E6"/>
    <w:rsid w:val="00C52BFE"/>
    <w:rsid w:val="00C57116"/>
    <w:rsid w:val="00C6381A"/>
    <w:rsid w:val="00C64D66"/>
    <w:rsid w:val="00C710A9"/>
    <w:rsid w:val="00C7470F"/>
    <w:rsid w:val="00C753E3"/>
    <w:rsid w:val="00C83F20"/>
    <w:rsid w:val="00C847BB"/>
    <w:rsid w:val="00C86CDE"/>
    <w:rsid w:val="00C9110D"/>
    <w:rsid w:val="00C91C59"/>
    <w:rsid w:val="00C91FCD"/>
    <w:rsid w:val="00C94A9F"/>
    <w:rsid w:val="00C94B6C"/>
    <w:rsid w:val="00CA37ED"/>
    <w:rsid w:val="00CA58B6"/>
    <w:rsid w:val="00CA6825"/>
    <w:rsid w:val="00CA7C41"/>
    <w:rsid w:val="00CB26B7"/>
    <w:rsid w:val="00CC2ECF"/>
    <w:rsid w:val="00CC3726"/>
    <w:rsid w:val="00CD14CE"/>
    <w:rsid w:val="00CD26E5"/>
    <w:rsid w:val="00CD32FD"/>
    <w:rsid w:val="00CD40B8"/>
    <w:rsid w:val="00CE1BDD"/>
    <w:rsid w:val="00CE214D"/>
    <w:rsid w:val="00CE55DB"/>
    <w:rsid w:val="00CE5E79"/>
    <w:rsid w:val="00CE7A0D"/>
    <w:rsid w:val="00CF0E7F"/>
    <w:rsid w:val="00CF1F15"/>
    <w:rsid w:val="00CF7BFA"/>
    <w:rsid w:val="00D04A74"/>
    <w:rsid w:val="00D069B9"/>
    <w:rsid w:val="00D0718C"/>
    <w:rsid w:val="00D10878"/>
    <w:rsid w:val="00D148B1"/>
    <w:rsid w:val="00D170B1"/>
    <w:rsid w:val="00D218BA"/>
    <w:rsid w:val="00D25D96"/>
    <w:rsid w:val="00D261AC"/>
    <w:rsid w:val="00D35102"/>
    <w:rsid w:val="00D36D88"/>
    <w:rsid w:val="00D404C1"/>
    <w:rsid w:val="00D40ECD"/>
    <w:rsid w:val="00D43500"/>
    <w:rsid w:val="00D447DA"/>
    <w:rsid w:val="00D4722D"/>
    <w:rsid w:val="00D508E6"/>
    <w:rsid w:val="00D50C99"/>
    <w:rsid w:val="00D52491"/>
    <w:rsid w:val="00D52A71"/>
    <w:rsid w:val="00D54650"/>
    <w:rsid w:val="00D6030F"/>
    <w:rsid w:val="00D70692"/>
    <w:rsid w:val="00D75385"/>
    <w:rsid w:val="00D76269"/>
    <w:rsid w:val="00D76599"/>
    <w:rsid w:val="00D76A02"/>
    <w:rsid w:val="00D77183"/>
    <w:rsid w:val="00D77286"/>
    <w:rsid w:val="00D84A94"/>
    <w:rsid w:val="00D85216"/>
    <w:rsid w:val="00D85FEC"/>
    <w:rsid w:val="00D91830"/>
    <w:rsid w:val="00D9591C"/>
    <w:rsid w:val="00D97E6A"/>
    <w:rsid w:val="00DA0AEA"/>
    <w:rsid w:val="00DA3B71"/>
    <w:rsid w:val="00DA3FB8"/>
    <w:rsid w:val="00DA574C"/>
    <w:rsid w:val="00DA743B"/>
    <w:rsid w:val="00DB0FA9"/>
    <w:rsid w:val="00DC5927"/>
    <w:rsid w:val="00DD3FE0"/>
    <w:rsid w:val="00DD6A55"/>
    <w:rsid w:val="00DE11C4"/>
    <w:rsid w:val="00DE289F"/>
    <w:rsid w:val="00DE65D1"/>
    <w:rsid w:val="00DF099A"/>
    <w:rsid w:val="00DF1031"/>
    <w:rsid w:val="00DF4AFA"/>
    <w:rsid w:val="00E0270C"/>
    <w:rsid w:val="00E10563"/>
    <w:rsid w:val="00E107F8"/>
    <w:rsid w:val="00E15783"/>
    <w:rsid w:val="00E2176B"/>
    <w:rsid w:val="00E22385"/>
    <w:rsid w:val="00E22F64"/>
    <w:rsid w:val="00E243F7"/>
    <w:rsid w:val="00E24E63"/>
    <w:rsid w:val="00E263D5"/>
    <w:rsid w:val="00E41B59"/>
    <w:rsid w:val="00E464C8"/>
    <w:rsid w:val="00E52301"/>
    <w:rsid w:val="00E56C72"/>
    <w:rsid w:val="00E668AD"/>
    <w:rsid w:val="00E70973"/>
    <w:rsid w:val="00E7296E"/>
    <w:rsid w:val="00E76DBD"/>
    <w:rsid w:val="00E77B63"/>
    <w:rsid w:val="00E80FFE"/>
    <w:rsid w:val="00E81B53"/>
    <w:rsid w:val="00E932FA"/>
    <w:rsid w:val="00E93FBB"/>
    <w:rsid w:val="00E95178"/>
    <w:rsid w:val="00EA5DAC"/>
    <w:rsid w:val="00EB2A4F"/>
    <w:rsid w:val="00EB6674"/>
    <w:rsid w:val="00EC010F"/>
    <w:rsid w:val="00EC3716"/>
    <w:rsid w:val="00ED1B53"/>
    <w:rsid w:val="00ED7823"/>
    <w:rsid w:val="00EE0141"/>
    <w:rsid w:val="00EE1DE8"/>
    <w:rsid w:val="00EE2B35"/>
    <w:rsid w:val="00EE4CC0"/>
    <w:rsid w:val="00EF0546"/>
    <w:rsid w:val="00EF2738"/>
    <w:rsid w:val="00EF2D2D"/>
    <w:rsid w:val="00EF37C2"/>
    <w:rsid w:val="00EF3D86"/>
    <w:rsid w:val="00EF449C"/>
    <w:rsid w:val="00EF7308"/>
    <w:rsid w:val="00F01E0F"/>
    <w:rsid w:val="00F04346"/>
    <w:rsid w:val="00F0740B"/>
    <w:rsid w:val="00F10400"/>
    <w:rsid w:val="00F10EEB"/>
    <w:rsid w:val="00F10F36"/>
    <w:rsid w:val="00F14FF4"/>
    <w:rsid w:val="00F347C8"/>
    <w:rsid w:val="00F40088"/>
    <w:rsid w:val="00F41AB7"/>
    <w:rsid w:val="00F4443E"/>
    <w:rsid w:val="00F44D5D"/>
    <w:rsid w:val="00F450C3"/>
    <w:rsid w:val="00F5009E"/>
    <w:rsid w:val="00F51457"/>
    <w:rsid w:val="00F546E8"/>
    <w:rsid w:val="00F63753"/>
    <w:rsid w:val="00F6434A"/>
    <w:rsid w:val="00F64CC0"/>
    <w:rsid w:val="00F735CD"/>
    <w:rsid w:val="00F741D2"/>
    <w:rsid w:val="00F75065"/>
    <w:rsid w:val="00F75997"/>
    <w:rsid w:val="00F83F9C"/>
    <w:rsid w:val="00F85987"/>
    <w:rsid w:val="00F85C76"/>
    <w:rsid w:val="00F86E9A"/>
    <w:rsid w:val="00F86FE4"/>
    <w:rsid w:val="00F926D6"/>
    <w:rsid w:val="00F93960"/>
    <w:rsid w:val="00F96D04"/>
    <w:rsid w:val="00FA4B04"/>
    <w:rsid w:val="00FA75E3"/>
    <w:rsid w:val="00FB018B"/>
    <w:rsid w:val="00FC33E8"/>
    <w:rsid w:val="00FC4AFB"/>
    <w:rsid w:val="00FD1990"/>
    <w:rsid w:val="00FE6D23"/>
    <w:rsid w:val="00FE79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378"/>
    <w:rPr>
      <w:sz w:val="24"/>
      <w:szCs w:val="24"/>
    </w:rPr>
  </w:style>
  <w:style w:type="paragraph" w:styleId="1">
    <w:name w:val="heading 1"/>
    <w:basedOn w:val="a"/>
    <w:next w:val="a"/>
    <w:qFormat/>
    <w:rsid w:val="00DA3B71"/>
    <w:pPr>
      <w:keepNext/>
      <w:jc w:val="both"/>
      <w:outlineLvl w:val="0"/>
    </w:pPr>
    <w:rPr>
      <w:rFonts w:ascii="Arial" w:hAnsi="Arial" w:cs="Arial"/>
      <w:b/>
      <w:bCs/>
      <w:snapToGrid w:val="0"/>
      <w:lang w:val="en-GB"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3DE3"/>
    <w:pPr>
      <w:spacing w:line="360" w:lineRule="auto"/>
    </w:pPr>
    <w:rPr>
      <w:b/>
      <w:bCs/>
      <w:lang w:eastAsia="en-US"/>
    </w:rPr>
  </w:style>
  <w:style w:type="paragraph" w:styleId="a4">
    <w:name w:val="footer"/>
    <w:basedOn w:val="a"/>
    <w:link w:val="Char"/>
    <w:uiPriority w:val="99"/>
    <w:rsid w:val="000B3DE3"/>
    <w:pPr>
      <w:tabs>
        <w:tab w:val="center" w:pos="4153"/>
        <w:tab w:val="right" w:pos="8306"/>
      </w:tabs>
    </w:pPr>
    <w:rPr>
      <w:lang w:eastAsia="en-US"/>
    </w:rPr>
  </w:style>
  <w:style w:type="table" w:styleId="a5">
    <w:name w:val="Table Grid"/>
    <w:basedOn w:val="a1"/>
    <w:rsid w:val="008A0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A94CDA"/>
    <w:pPr>
      <w:spacing w:after="120" w:line="480" w:lineRule="auto"/>
      <w:ind w:left="283"/>
    </w:pPr>
  </w:style>
  <w:style w:type="paragraph" w:styleId="a6">
    <w:name w:val="Balloon Text"/>
    <w:basedOn w:val="a"/>
    <w:semiHidden/>
    <w:rsid w:val="009C1738"/>
    <w:rPr>
      <w:rFonts w:ascii="Tahoma" w:hAnsi="Tahoma" w:cs="Tahoma"/>
      <w:sz w:val="16"/>
      <w:szCs w:val="16"/>
    </w:rPr>
  </w:style>
  <w:style w:type="character" w:customStyle="1" w:styleId="hps">
    <w:name w:val="hps"/>
    <w:basedOn w:val="a0"/>
    <w:rsid w:val="00AF7100"/>
  </w:style>
  <w:style w:type="paragraph" w:styleId="a7">
    <w:name w:val="header"/>
    <w:basedOn w:val="a"/>
    <w:link w:val="Char0"/>
    <w:rsid w:val="00ED1B53"/>
    <w:pPr>
      <w:tabs>
        <w:tab w:val="center" w:pos="4819"/>
        <w:tab w:val="right" w:pos="9638"/>
      </w:tabs>
    </w:pPr>
  </w:style>
  <w:style w:type="character" w:customStyle="1" w:styleId="Char0">
    <w:name w:val="Κεφαλίδα Char"/>
    <w:link w:val="a7"/>
    <w:rsid w:val="00ED1B53"/>
    <w:rPr>
      <w:sz w:val="24"/>
      <w:szCs w:val="24"/>
      <w:lang w:val="el-GR" w:eastAsia="el-GR"/>
    </w:rPr>
  </w:style>
  <w:style w:type="character" w:customStyle="1" w:styleId="Char">
    <w:name w:val="Υποσέλιδο Char"/>
    <w:link w:val="a4"/>
    <w:uiPriority w:val="99"/>
    <w:rsid w:val="00101B9D"/>
    <w:rPr>
      <w:sz w:val="24"/>
      <w:szCs w:val="24"/>
      <w:lang w:eastAsia="en-US"/>
    </w:rPr>
  </w:style>
  <w:style w:type="paragraph" w:styleId="a8">
    <w:name w:val="List Paragraph"/>
    <w:basedOn w:val="a"/>
    <w:uiPriority w:val="34"/>
    <w:qFormat/>
    <w:rsid w:val="00363B7B"/>
    <w:pPr>
      <w:ind w:left="720"/>
    </w:pPr>
  </w:style>
</w:styles>
</file>

<file path=word/webSettings.xml><?xml version="1.0" encoding="utf-8"?>
<w:webSettings xmlns:r="http://schemas.openxmlformats.org/officeDocument/2006/relationships" xmlns:w="http://schemas.openxmlformats.org/wordprocessingml/2006/main">
  <w:divs>
    <w:div w:id="88817374">
      <w:bodyDiv w:val="1"/>
      <w:marLeft w:val="0"/>
      <w:marRight w:val="0"/>
      <w:marTop w:val="0"/>
      <w:marBottom w:val="0"/>
      <w:divBdr>
        <w:top w:val="none" w:sz="0" w:space="0" w:color="auto"/>
        <w:left w:val="none" w:sz="0" w:space="0" w:color="auto"/>
        <w:bottom w:val="none" w:sz="0" w:space="0" w:color="auto"/>
        <w:right w:val="none" w:sz="0" w:space="0" w:color="auto"/>
      </w:divBdr>
      <w:divsChild>
        <w:div w:id="510028237">
          <w:marLeft w:val="0"/>
          <w:marRight w:val="0"/>
          <w:marTop w:val="0"/>
          <w:marBottom w:val="0"/>
          <w:divBdr>
            <w:top w:val="none" w:sz="0" w:space="0" w:color="auto"/>
            <w:left w:val="none" w:sz="0" w:space="0" w:color="auto"/>
            <w:bottom w:val="none" w:sz="0" w:space="0" w:color="auto"/>
            <w:right w:val="none" w:sz="0" w:space="0" w:color="auto"/>
          </w:divBdr>
          <w:divsChild>
            <w:div w:id="1673408449">
              <w:marLeft w:val="0"/>
              <w:marRight w:val="0"/>
              <w:marTop w:val="0"/>
              <w:marBottom w:val="0"/>
              <w:divBdr>
                <w:top w:val="none" w:sz="0" w:space="0" w:color="auto"/>
                <w:left w:val="none" w:sz="0" w:space="0" w:color="auto"/>
                <w:bottom w:val="none" w:sz="0" w:space="0" w:color="auto"/>
                <w:right w:val="none" w:sz="0" w:space="0" w:color="auto"/>
              </w:divBdr>
              <w:divsChild>
                <w:div w:id="557202465">
                  <w:marLeft w:val="0"/>
                  <w:marRight w:val="0"/>
                  <w:marTop w:val="0"/>
                  <w:marBottom w:val="0"/>
                  <w:divBdr>
                    <w:top w:val="none" w:sz="0" w:space="0" w:color="auto"/>
                    <w:left w:val="none" w:sz="0" w:space="0" w:color="auto"/>
                    <w:bottom w:val="none" w:sz="0" w:space="0" w:color="auto"/>
                    <w:right w:val="none" w:sz="0" w:space="0" w:color="auto"/>
                  </w:divBdr>
                  <w:divsChild>
                    <w:div w:id="1236284180">
                      <w:marLeft w:val="0"/>
                      <w:marRight w:val="0"/>
                      <w:marTop w:val="0"/>
                      <w:marBottom w:val="0"/>
                      <w:divBdr>
                        <w:top w:val="none" w:sz="0" w:space="0" w:color="auto"/>
                        <w:left w:val="none" w:sz="0" w:space="0" w:color="auto"/>
                        <w:bottom w:val="none" w:sz="0" w:space="0" w:color="auto"/>
                        <w:right w:val="none" w:sz="0" w:space="0" w:color="auto"/>
                      </w:divBdr>
                      <w:divsChild>
                        <w:div w:id="604536002">
                          <w:marLeft w:val="0"/>
                          <w:marRight w:val="0"/>
                          <w:marTop w:val="0"/>
                          <w:marBottom w:val="0"/>
                          <w:divBdr>
                            <w:top w:val="none" w:sz="0" w:space="0" w:color="auto"/>
                            <w:left w:val="none" w:sz="0" w:space="0" w:color="auto"/>
                            <w:bottom w:val="none" w:sz="0" w:space="0" w:color="auto"/>
                            <w:right w:val="none" w:sz="0" w:space="0" w:color="auto"/>
                          </w:divBdr>
                          <w:divsChild>
                            <w:div w:id="662124842">
                              <w:marLeft w:val="0"/>
                              <w:marRight w:val="0"/>
                              <w:marTop w:val="0"/>
                              <w:marBottom w:val="0"/>
                              <w:divBdr>
                                <w:top w:val="none" w:sz="0" w:space="0" w:color="auto"/>
                                <w:left w:val="none" w:sz="0" w:space="0" w:color="auto"/>
                                <w:bottom w:val="none" w:sz="0" w:space="0" w:color="auto"/>
                                <w:right w:val="none" w:sz="0" w:space="0" w:color="auto"/>
                              </w:divBdr>
                            </w:div>
                            <w:div w:id="709915537">
                              <w:marLeft w:val="0"/>
                              <w:marRight w:val="0"/>
                              <w:marTop w:val="0"/>
                              <w:marBottom w:val="0"/>
                              <w:divBdr>
                                <w:top w:val="none" w:sz="0" w:space="0" w:color="auto"/>
                                <w:left w:val="none" w:sz="0" w:space="0" w:color="auto"/>
                                <w:bottom w:val="none" w:sz="0" w:space="0" w:color="auto"/>
                                <w:right w:val="none" w:sz="0" w:space="0" w:color="auto"/>
                              </w:divBdr>
                              <w:divsChild>
                                <w:div w:id="1002467957">
                                  <w:marLeft w:val="0"/>
                                  <w:marRight w:val="0"/>
                                  <w:marTop w:val="0"/>
                                  <w:marBottom w:val="0"/>
                                  <w:divBdr>
                                    <w:top w:val="none" w:sz="0" w:space="0" w:color="auto"/>
                                    <w:left w:val="none" w:sz="0" w:space="0" w:color="auto"/>
                                    <w:bottom w:val="none" w:sz="0" w:space="0" w:color="auto"/>
                                    <w:right w:val="none" w:sz="0" w:space="0" w:color="auto"/>
                                  </w:divBdr>
                                  <w:divsChild>
                                    <w:div w:id="2823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024601">
      <w:bodyDiv w:val="1"/>
      <w:marLeft w:val="0"/>
      <w:marRight w:val="0"/>
      <w:marTop w:val="0"/>
      <w:marBottom w:val="0"/>
      <w:divBdr>
        <w:top w:val="none" w:sz="0" w:space="0" w:color="auto"/>
        <w:left w:val="none" w:sz="0" w:space="0" w:color="auto"/>
        <w:bottom w:val="none" w:sz="0" w:space="0" w:color="auto"/>
        <w:right w:val="none" w:sz="0" w:space="0" w:color="auto"/>
      </w:divBdr>
    </w:div>
    <w:div w:id="1043822809">
      <w:bodyDiv w:val="1"/>
      <w:marLeft w:val="0"/>
      <w:marRight w:val="0"/>
      <w:marTop w:val="0"/>
      <w:marBottom w:val="0"/>
      <w:divBdr>
        <w:top w:val="none" w:sz="0" w:space="0" w:color="auto"/>
        <w:left w:val="none" w:sz="0" w:space="0" w:color="auto"/>
        <w:bottom w:val="none" w:sz="0" w:space="0" w:color="auto"/>
        <w:right w:val="none" w:sz="0" w:space="0" w:color="auto"/>
      </w:divBdr>
    </w:div>
    <w:div w:id="1369451197">
      <w:bodyDiv w:val="1"/>
      <w:marLeft w:val="0"/>
      <w:marRight w:val="0"/>
      <w:marTop w:val="0"/>
      <w:marBottom w:val="0"/>
      <w:divBdr>
        <w:top w:val="none" w:sz="0" w:space="0" w:color="auto"/>
        <w:left w:val="none" w:sz="0" w:space="0" w:color="auto"/>
        <w:bottom w:val="none" w:sz="0" w:space="0" w:color="auto"/>
        <w:right w:val="none" w:sz="0" w:space="0" w:color="auto"/>
      </w:divBdr>
      <w:divsChild>
        <w:div w:id="700279507">
          <w:marLeft w:val="0"/>
          <w:marRight w:val="0"/>
          <w:marTop w:val="0"/>
          <w:marBottom w:val="0"/>
          <w:divBdr>
            <w:top w:val="none" w:sz="0" w:space="0" w:color="auto"/>
            <w:left w:val="none" w:sz="0" w:space="0" w:color="auto"/>
            <w:bottom w:val="none" w:sz="0" w:space="0" w:color="auto"/>
            <w:right w:val="none" w:sz="0" w:space="0" w:color="auto"/>
          </w:divBdr>
          <w:divsChild>
            <w:div w:id="1101101476">
              <w:marLeft w:val="0"/>
              <w:marRight w:val="0"/>
              <w:marTop w:val="0"/>
              <w:marBottom w:val="0"/>
              <w:divBdr>
                <w:top w:val="none" w:sz="0" w:space="0" w:color="auto"/>
                <w:left w:val="none" w:sz="0" w:space="0" w:color="auto"/>
                <w:bottom w:val="none" w:sz="0" w:space="0" w:color="auto"/>
                <w:right w:val="none" w:sz="0" w:space="0" w:color="auto"/>
              </w:divBdr>
              <w:divsChild>
                <w:div w:id="187837352">
                  <w:marLeft w:val="0"/>
                  <w:marRight w:val="0"/>
                  <w:marTop w:val="0"/>
                  <w:marBottom w:val="0"/>
                  <w:divBdr>
                    <w:top w:val="none" w:sz="0" w:space="0" w:color="auto"/>
                    <w:left w:val="none" w:sz="0" w:space="0" w:color="auto"/>
                    <w:bottom w:val="none" w:sz="0" w:space="0" w:color="auto"/>
                    <w:right w:val="none" w:sz="0" w:space="0" w:color="auto"/>
                  </w:divBdr>
                  <w:divsChild>
                    <w:div w:id="1676179141">
                      <w:marLeft w:val="0"/>
                      <w:marRight w:val="0"/>
                      <w:marTop w:val="0"/>
                      <w:marBottom w:val="0"/>
                      <w:divBdr>
                        <w:top w:val="none" w:sz="0" w:space="0" w:color="auto"/>
                        <w:left w:val="none" w:sz="0" w:space="0" w:color="auto"/>
                        <w:bottom w:val="none" w:sz="0" w:space="0" w:color="auto"/>
                        <w:right w:val="none" w:sz="0" w:space="0" w:color="auto"/>
                      </w:divBdr>
                      <w:divsChild>
                        <w:div w:id="893927795">
                          <w:marLeft w:val="0"/>
                          <w:marRight w:val="0"/>
                          <w:marTop w:val="0"/>
                          <w:marBottom w:val="0"/>
                          <w:divBdr>
                            <w:top w:val="none" w:sz="0" w:space="0" w:color="auto"/>
                            <w:left w:val="none" w:sz="0" w:space="0" w:color="auto"/>
                            <w:bottom w:val="none" w:sz="0" w:space="0" w:color="auto"/>
                            <w:right w:val="none" w:sz="0" w:space="0" w:color="auto"/>
                          </w:divBdr>
                        </w:div>
                        <w:div w:id="1033306461">
                          <w:marLeft w:val="0"/>
                          <w:marRight w:val="0"/>
                          <w:marTop w:val="0"/>
                          <w:marBottom w:val="0"/>
                          <w:divBdr>
                            <w:top w:val="single" w:sz="2" w:space="4" w:color="999999"/>
                            <w:left w:val="single" w:sz="6" w:space="3" w:color="CCCCCC"/>
                            <w:bottom w:val="single" w:sz="6" w:space="4" w:color="999999"/>
                            <w:right w:val="single" w:sz="6" w:space="3" w:color="999999"/>
                          </w:divBdr>
                        </w:div>
                        <w:div w:id="1193347011">
                          <w:marLeft w:val="0"/>
                          <w:marRight w:val="0"/>
                          <w:marTop w:val="0"/>
                          <w:marBottom w:val="0"/>
                          <w:divBdr>
                            <w:top w:val="single" w:sz="6" w:space="12" w:color="999999"/>
                            <w:left w:val="single" w:sz="6" w:space="12" w:color="999999"/>
                            <w:bottom w:val="single" w:sz="6" w:space="12" w:color="999999"/>
                            <w:right w:val="single" w:sz="6" w:space="12" w:color="999999"/>
                          </w:divBdr>
                          <w:divsChild>
                            <w:div w:id="1708799629">
                              <w:marLeft w:val="0"/>
                              <w:marRight w:val="0"/>
                              <w:marTop w:val="0"/>
                              <w:marBottom w:val="0"/>
                              <w:divBdr>
                                <w:top w:val="none" w:sz="0" w:space="0" w:color="auto"/>
                                <w:left w:val="none" w:sz="0" w:space="0" w:color="auto"/>
                                <w:bottom w:val="none" w:sz="0" w:space="0" w:color="auto"/>
                                <w:right w:val="none" w:sz="0" w:space="0" w:color="auto"/>
                              </w:divBdr>
                            </w:div>
                          </w:divsChild>
                        </w:div>
                        <w:div w:id="1656109121">
                          <w:marLeft w:val="0"/>
                          <w:marRight w:val="0"/>
                          <w:marTop w:val="0"/>
                          <w:marBottom w:val="0"/>
                          <w:divBdr>
                            <w:top w:val="none" w:sz="0" w:space="0" w:color="auto"/>
                            <w:left w:val="none" w:sz="0" w:space="0" w:color="auto"/>
                            <w:bottom w:val="none" w:sz="0" w:space="0" w:color="auto"/>
                            <w:right w:val="none" w:sz="0" w:space="0" w:color="auto"/>
                          </w:divBdr>
                        </w:div>
                        <w:div w:id="1979803500">
                          <w:marLeft w:val="0"/>
                          <w:marRight w:val="0"/>
                          <w:marTop w:val="0"/>
                          <w:marBottom w:val="0"/>
                          <w:divBdr>
                            <w:top w:val="single" w:sz="2" w:space="0" w:color="999999"/>
                            <w:left w:val="single" w:sz="6" w:space="5" w:color="CCCCCC"/>
                            <w:bottom w:val="single" w:sz="6" w:space="6" w:color="999999"/>
                            <w:right w:val="single" w:sz="6" w:space="0" w:color="999999"/>
                          </w:divBdr>
                        </w:div>
                        <w:div w:id="2055081978">
                          <w:marLeft w:val="137"/>
                          <w:marRight w:val="0"/>
                          <w:marTop w:val="34"/>
                          <w:marBottom w:val="0"/>
                          <w:divBdr>
                            <w:top w:val="none" w:sz="0" w:space="0" w:color="auto"/>
                            <w:left w:val="none" w:sz="0" w:space="0" w:color="auto"/>
                            <w:bottom w:val="none" w:sz="0" w:space="0" w:color="auto"/>
                            <w:right w:val="none" w:sz="0" w:space="0" w:color="auto"/>
                          </w:divBdr>
                          <w:divsChild>
                            <w:div w:id="1234047327">
                              <w:marLeft w:val="0"/>
                              <w:marRight w:val="0"/>
                              <w:marTop w:val="0"/>
                              <w:marBottom w:val="0"/>
                              <w:divBdr>
                                <w:top w:val="none" w:sz="0" w:space="0" w:color="auto"/>
                                <w:left w:val="none" w:sz="0" w:space="0" w:color="auto"/>
                                <w:bottom w:val="none" w:sz="0" w:space="0" w:color="auto"/>
                                <w:right w:val="none" w:sz="0" w:space="0" w:color="auto"/>
                              </w:divBdr>
                            </w:div>
                            <w:div w:id="20609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101">
                  <w:marLeft w:val="0"/>
                  <w:marRight w:val="0"/>
                  <w:marTop w:val="0"/>
                  <w:marBottom w:val="0"/>
                  <w:divBdr>
                    <w:top w:val="none" w:sz="0" w:space="0" w:color="auto"/>
                    <w:left w:val="none" w:sz="0" w:space="0" w:color="auto"/>
                    <w:bottom w:val="none" w:sz="0" w:space="0" w:color="auto"/>
                    <w:right w:val="none" w:sz="0" w:space="0" w:color="auto"/>
                  </w:divBdr>
                  <w:divsChild>
                    <w:div w:id="609433567">
                      <w:marLeft w:val="0"/>
                      <w:marRight w:val="0"/>
                      <w:marTop w:val="0"/>
                      <w:marBottom w:val="0"/>
                      <w:divBdr>
                        <w:top w:val="none" w:sz="0" w:space="0" w:color="auto"/>
                        <w:left w:val="none" w:sz="0" w:space="0" w:color="auto"/>
                        <w:bottom w:val="none" w:sz="0" w:space="0" w:color="auto"/>
                        <w:right w:val="none" w:sz="0" w:space="0" w:color="auto"/>
                      </w:divBdr>
                      <w:divsChild>
                        <w:div w:id="28843678">
                          <w:marLeft w:val="0"/>
                          <w:marRight w:val="0"/>
                          <w:marTop w:val="0"/>
                          <w:marBottom w:val="0"/>
                          <w:divBdr>
                            <w:top w:val="none" w:sz="0" w:space="0" w:color="auto"/>
                            <w:left w:val="none" w:sz="0" w:space="0" w:color="auto"/>
                            <w:bottom w:val="none" w:sz="0" w:space="0" w:color="auto"/>
                            <w:right w:val="none" w:sz="0" w:space="0" w:color="auto"/>
                          </w:divBdr>
                          <w:divsChild>
                            <w:div w:id="1911846367">
                              <w:marLeft w:val="0"/>
                              <w:marRight w:val="0"/>
                              <w:marTop w:val="0"/>
                              <w:marBottom w:val="0"/>
                              <w:divBdr>
                                <w:top w:val="none" w:sz="0" w:space="0" w:color="auto"/>
                                <w:left w:val="none" w:sz="0" w:space="0" w:color="auto"/>
                                <w:bottom w:val="none" w:sz="0" w:space="0" w:color="auto"/>
                                <w:right w:val="none" w:sz="0" w:space="0" w:color="auto"/>
                              </w:divBdr>
                            </w:div>
                            <w:div w:id="1965189327">
                              <w:marLeft w:val="0"/>
                              <w:marRight w:val="0"/>
                              <w:marTop w:val="0"/>
                              <w:marBottom w:val="0"/>
                              <w:divBdr>
                                <w:top w:val="none" w:sz="0" w:space="0" w:color="auto"/>
                                <w:left w:val="none" w:sz="0" w:space="0" w:color="auto"/>
                                <w:bottom w:val="none" w:sz="0" w:space="0" w:color="auto"/>
                                <w:right w:val="none" w:sz="0" w:space="0" w:color="auto"/>
                              </w:divBdr>
                              <w:divsChild>
                                <w:div w:id="847718983">
                                  <w:marLeft w:val="0"/>
                                  <w:marRight w:val="0"/>
                                  <w:marTop w:val="0"/>
                                  <w:marBottom w:val="0"/>
                                  <w:divBdr>
                                    <w:top w:val="none" w:sz="0" w:space="0" w:color="auto"/>
                                    <w:left w:val="none" w:sz="0" w:space="0" w:color="auto"/>
                                    <w:bottom w:val="none" w:sz="0" w:space="0" w:color="auto"/>
                                    <w:right w:val="none" w:sz="0" w:space="0" w:color="auto"/>
                                  </w:divBdr>
                                  <w:divsChild>
                                    <w:div w:id="6270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9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4953</Words>
  <Characters>26752</Characters>
  <Application>Microsoft Office Word</Application>
  <DocSecurity>0</DocSecurity>
  <Lines>222</Lines>
  <Paragraphs>63</Paragraphs>
  <ScaleCrop>false</ScaleCrop>
  <HeadingPairs>
    <vt:vector size="6" baseType="variant">
      <vt:variant>
        <vt:lpstr>Τίτλος</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Kedrion S.p.A.</Company>
  <LinksUpToDate>false</LinksUpToDate>
  <CharactersWithSpaces>31642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Kedrion S.p.A.</dc:creator>
  <cp:lastModifiedBy>user146</cp:lastModifiedBy>
  <cp:revision>4</cp:revision>
  <cp:lastPrinted>2013-04-12T10:27:00Z</cp:lastPrinted>
  <dcterms:created xsi:type="dcterms:W3CDTF">2013-07-25T06:13:00Z</dcterms:created>
  <dcterms:modified xsi:type="dcterms:W3CDTF">2013-09-27T11:05:00Z</dcterms:modified>
</cp:coreProperties>
</file>